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drawings/drawing2.xml" ContentType="application/vnd.openxmlformats-officedocument.drawingml.chartshapes+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ade"/>
        <w:tblW w:w="9351" w:type="dxa"/>
        <w:tblLook w:val="04A0" w:firstRow="1" w:lastRow="0" w:firstColumn="1" w:lastColumn="0" w:noHBand="0" w:noVBand="1"/>
      </w:tblPr>
      <w:tblGrid>
        <w:gridCol w:w="9351"/>
      </w:tblGrid>
      <w:tr w:rsidR="00F552AA" w:rsidRPr="00F552AA" w14:paraId="31C56C38" w14:textId="77777777" w:rsidTr="00F552AA">
        <w:tc>
          <w:tcPr>
            <w:tcW w:w="9351" w:type="dxa"/>
            <w:shd w:val="clear" w:color="auto" w:fill="215E99" w:themeFill="text2" w:themeFillTint="BF"/>
          </w:tcPr>
          <w:p w14:paraId="6CE612E7" w14:textId="77777777" w:rsidR="00F552AA" w:rsidRPr="00A82656" w:rsidRDefault="0057278F" w:rsidP="00A82656">
            <w:pPr>
              <w:jc w:val="center"/>
              <w:rPr>
                <w:rFonts w:ascii="Calibri" w:hAnsi="Calibri" w:cs="Calibri"/>
                <w:b/>
                <w:bCs/>
                <w:color w:val="FFFFFF" w:themeColor="background1"/>
                <w:sz w:val="24"/>
                <w:szCs w:val="24"/>
              </w:rPr>
            </w:pPr>
            <w:r w:rsidRPr="00A82656">
              <w:rPr>
                <w:rFonts w:ascii="Calibri" w:hAnsi="Calibri" w:cs="Calibri"/>
                <w:b/>
                <w:bCs/>
                <w:color w:val="FFFFFF" w:themeColor="background1"/>
                <w:sz w:val="24"/>
                <w:szCs w:val="24"/>
              </w:rPr>
              <w:t>R</w:t>
            </w:r>
            <w:r w:rsidR="00F552AA" w:rsidRPr="00A82656">
              <w:rPr>
                <w:rFonts w:ascii="Calibri" w:hAnsi="Calibri" w:cs="Calibri"/>
                <w:b/>
                <w:bCs/>
                <w:color w:val="FFFFFF" w:themeColor="background1"/>
                <w:sz w:val="24"/>
                <w:szCs w:val="24"/>
              </w:rPr>
              <w:t>elatório da Administração – 2023</w:t>
            </w:r>
          </w:p>
          <w:p w14:paraId="25686A5E" w14:textId="5347C70B" w:rsidR="00A82656" w:rsidRPr="00A82656" w:rsidRDefault="00A82656" w:rsidP="00A82656">
            <w:pPr>
              <w:jc w:val="center"/>
              <w:rPr>
                <w:rFonts w:ascii="Calibri" w:eastAsia="Times New Roman" w:hAnsi="Calibri" w:cs="Calibri"/>
                <w:b/>
                <w:bCs/>
                <w:color w:val="002060"/>
                <w:kern w:val="0"/>
                <w:sz w:val="24"/>
                <w:szCs w:val="24"/>
                <w14:ligatures w14:val="none"/>
              </w:rPr>
            </w:pPr>
            <w:r w:rsidRPr="00A82656">
              <w:rPr>
                <w:rFonts w:ascii="Calibri" w:hAnsi="Calibri" w:cs="Calibri"/>
                <w:b/>
                <w:bCs/>
                <w:color w:val="FFFFFF" w:themeColor="background1"/>
                <w:sz w:val="24"/>
                <w:szCs w:val="24"/>
              </w:rPr>
              <w:t>TELECOMUNICAÇÕES BRASILEIRAS S.A. - TELEBRAS</w:t>
            </w:r>
          </w:p>
        </w:tc>
      </w:tr>
    </w:tbl>
    <w:p w14:paraId="1208AED3" w14:textId="77777777" w:rsidR="00F552AA" w:rsidRPr="00F552AA" w:rsidRDefault="00F552AA" w:rsidP="00A82656">
      <w:pPr>
        <w:tabs>
          <w:tab w:val="left" w:pos="851"/>
        </w:tabs>
        <w:spacing w:after="0" w:line="240" w:lineRule="auto"/>
        <w:rPr>
          <w:rFonts w:ascii="Calibri" w:eastAsia="Times New Roman" w:hAnsi="Calibri" w:cs="Calibri"/>
          <w:color w:val="002060"/>
          <w:kern w:val="0"/>
          <w:sz w:val="20"/>
          <w:szCs w:val="20"/>
          <w14:ligatures w14:val="none"/>
        </w:rPr>
        <w:sectPr w:rsidR="00F552AA" w:rsidRPr="00F552AA">
          <w:pgSz w:w="11906" w:h="16838"/>
          <w:pgMar w:top="1417" w:right="1701" w:bottom="1417" w:left="1701" w:header="708" w:footer="708" w:gutter="0"/>
          <w:cols w:space="708"/>
          <w:docGrid w:linePitch="360"/>
        </w:sectPr>
      </w:pPr>
    </w:p>
    <w:p w14:paraId="61BD77DD" w14:textId="77777777" w:rsidR="00F552AA" w:rsidRPr="00F552AA" w:rsidRDefault="00F552AA" w:rsidP="00176FFB">
      <w:pPr>
        <w:tabs>
          <w:tab w:val="left" w:pos="851"/>
        </w:tabs>
        <w:spacing w:after="0" w:line="240" w:lineRule="auto"/>
        <w:jc w:val="both"/>
        <w:rPr>
          <w:rFonts w:ascii="Calibri" w:eastAsia="Times New Roman" w:hAnsi="Calibri" w:cs="Calibri"/>
          <w:b/>
          <w:color w:val="002060"/>
          <w:kern w:val="0"/>
          <w:sz w:val="20"/>
          <w:szCs w:val="20"/>
          <w14:ligatures w14:val="none"/>
        </w:rPr>
        <w:sectPr w:rsidR="00F552AA" w:rsidRPr="00F552AA" w:rsidSect="00F552AA">
          <w:type w:val="continuous"/>
          <w:pgSz w:w="11906" w:h="16838"/>
          <w:pgMar w:top="1417" w:right="1701" w:bottom="1417" w:left="1701" w:header="708" w:footer="708" w:gutter="0"/>
          <w:cols w:space="708"/>
          <w:docGrid w:linePitch="360"/>
        </w:sectPr>
      </w:pPr>
    </w:p>
    <w:p w14:paraId="4330994E" w14:textId="77777777" w:rsidR="00F552AA" w:rsidRPr="00AB442D" w:rsidRDefault="00F552AA" w:rsidP="00176FFB">
      <w:pPr>
        <w:tabs>
          <w:tab w:val="left" w:pos="851"/>
        </w:tabs>
        <w:spacing w:after="0" w:line="240" w:lineRule="auto"/>
        <w:jc w:val="both"/>
        <w:rPr>
          <w:rFonts w:ascii="Calibri" w:eastAsia="Times New Roman" w:hAnsi="Calibri" w:cs="Calibri"/>
          <w:b/>
          <w:color w:val="002060"/>
          <w:kern w:val="0"/>
          <w:sz w:val="16"/>
          <w:szCs w:val="16"/>
          <w14:ligatures w14:val="none"/>
        </w:rPr>
      </w:pPr>
      <w:r w:rsidRPr="00AB442D">
        <w:rPr>
          <w:rFonts w:ascii="Calibri" w:eastAsia="Times New Roman" w:hAnsi="Calibri" w:cs="Calibri"/>
          <w:b/>
          <w:color w:val="002060"/>
          <w:kern w:val="0"/>
          <w:sz w:val="16"/>
          <w:szCs w:val="16"/>
          <w14:ligatures w14:val="none"/>
        </w:rPr>
        <w:t xml:space="preserve">PRESIDENTE </w:t>
      </w:r>
    </w:p>
    <w:p w14:paraId="3A7617D5" w14:textId="77777777" w:rsidR="00F552AA" w:rsidRPr="00AB442D" w:rsidRDefault="00F552AA" w:rsidP="00176FFB">
      <w:pPr>
        <w:tabs>
          <w:tab w:val="left" w:pos="851"/>
        </w:tabs>
        <w:spacing w:after="0" w:line="240" w:lineRule="auto"/>
        <w:jc w:val="both"/>
        <w:rPr>
          <w:rFonts w:ascii="Calibri" w:eastAsia="Times New Roman" w:hAnsi="Calibri" w:cs="Calibri"/>
          <w:color w:val="002060"/>
          <w:kern w:val="0"/>
          <w:sz w:val="16"/>
          <w:szCs w:val="16"/>
          <w14:ligatures w14:val="none"/>
        </w:rPr>
      </w:pPr>
      <w:r w:rsidRPr="00AB442D">
        <w:rPr>
          <w:rFonts w:ascii="Calibri" w:eastAsia="Times New Roman" w:hAnsi="Calibri" w:cs="Calibri"/>
          <w:color w:val="002060"/>
          <w:kern w:val="0"/>
          <w:sz w:val="16"/>
          <w:szCs w:val="16"/>
          <w14:ligatures w14:val="none"/>
        </w:rPr>
        <w:t>Frederico de Siqueira Filho</w:t>
      </w:r>
    </w:p>
    <w:p w14:paraId="5F7D1FB1" w14:textId="77777777" w:rsidR="00F552AA" w:rsidRPr="00AB442D" w:rsidRDefault="00F552AA" w:rsidP="00176FFB">
      <w:pPr>
        <w:tabs>
          <w:tab w:val="left" w:pos="851"/>
        </w:tabs>
        <w:spacing w:after="0" w:line="240" w:lineRule="auto"/>
        <w:jc w:val="both"/>
        <w:rPr>
          <w:rFonts w:ascii="Calibri" w:eastAsia="Times New Roman" w:hAnsi="Calibri" w:cs="Calibri"/>
          <w:color w:val="002060"/>
          <w:kern w:val="0"/>
          <w:sz w:val="16"/>
          <w:szCs w:val="16"/>
          <w14:ligatures w14:val="none"/>
        </w:rPr>
      </w:pPr>
    </w:p>
    <w:p w14:paraId="5E35B6EB" w14:textId="77777777" w:rsidR="00F552AA" w:rsidRPr="00AB442D" w:rsidRDefault="00F552AA" w:rsidP="00176FFB">
      <w:pPr>
        <w:tabs>
          <w:tab w:val="left" w:pos="851"/>
        </w:tabs>
        <w:spacing w:after="0" w:line="240" w:lineRule="auto"/>
        <w:jc w:val="both"/>
        <w:rPr>
          <w:rFonts w:ascii="Calibri" w:eastAsia="Times New Roman" w:hAnsi="Calibri" w:cs="Calibri"/>
          <w:b/>
          <w:color w:val="002060"/>
          <w:kern w:val="0"/>
          <w:sz w:val="16"/>
          <w:szCs w:val="16"/>
          <w14:ligatures w14:val="none"/>
        </w:rPr>
      </w:pPr>
      <w:r w:rsidRPr="00AB442D">
        <w:rPr>
          <w:rFonts w:ascii="Calibri" w:eastAsia="Times New Roman" w:hAnsi="Calibri" w:cs="Calibri"/>
          <w:b/>
          <w:color w:val="002060"/>
          <w:kern w:val="0"/>
          <w:sz w:val="16"/>
          <w:szCs w:val="16"/>
          <w14:ligatures w14:val="none"/>
        </w:rPr>
        <w:t>DIRETORA ADMINISTRATIVA-FINANCEIRA E RELAÇÕES COM INVESTIDORES</w:t>
      </w:r>
    </w:p>
    <w:p w14:paraId="3CAC4721" w14:textId="75D0A7F4" w:rsidR="00F552AA" w:rsidRPr="00AB442D" w:rsidRDefault="00F552AA" w:rsidP="00176FFB">
      <w:pPr>
        <w:tabs>
          <w:tab w:val="left" w:pos="851"/>
        </w:tabs>
        <w:spacing w:after="0" w:line="240" w:lineRule="auto"/>
        <w:jc w:val="both"/>
        <w:rPr>
          <w:rFonts w:ascii="Calibri" w:eastAsia="Times New Roman" w:hAnsi="Calibri" w:cs="Calibri"/>
          <w:color w:val="002060"/>
          <w:kern w:val="0"/>
          <w:sz w:val="16"/>
          <w:szCs w:val="16"/>
          <w:lang w:eastAsia="pt-BR"/>
          <w14:ligatures w14:val="none"/>
        </w:rPr>
        <w:sectPr w:rsidR="00F552AA" w:rsidRPr="00AB442D" w:rsidSect="00F552AA">
          <w:type w:val="continuous"/>
          <w:pgSz w:w="11906" w:h="16838"/>
          <w:pgMar w:top="1417" w:right="1701" w:bottom="1417" w:left="1701" w:header="708" w:footer="708" w:gutter="0"/>
          <w:cols w:num="2" w:space="708"/>
          <w:docGrid w:linePitch="360"/>
        </w:sectPr>
      </w:pPr>
      <w:r w:rsidRPr="00AB442D">
        <w:rPr>
          <w:rFonts w:ascii="Calibri" w:eastAsia="Times New Roman" w:hAnsi="Calibri" w:cs="Calibri"/>
          <w:color w:val="002060"/>
          <w:kern w:val="0"/>
          <w:sz w:val="16"/>
          <w:szCs w:val="16"/>
          <w:lang w:eastAsia="pt-BR"/>
          <w14:ligatures w14:val="none"/>
        </w:rPr>
        <w:t>Tatiana Rúbia Melo Miranda</w:t>
      </w:r>
    </w:p>
    <w:p w14:paraId="7130997F" w14:textId="77777777" w:rsidR="00F552AA" w:rsidRPr="00AB442D" w:rsidRDefault="00F552AA" w:rsidP="00176FFB">
      <w:pPr>
        <w:tabs>
          <w:tab w:val="left" w:pos="851"/>
        </w:tabs>
        <w:spacing w:after="0" w:line="240" w:lineRule="auto"/>
        <w:jc w:val="both"/>
        <w:rPr>
          <w:rFonts w:ascii="Calibri" w:eastAsia="Times New Roman" w:hAnsi="Calibri" w:cs="Calibri"/>
          <w:b/>
          <w:color w:val="002060"/>
          <w:kern w:val="0"/>
          <w:sz w:val="16"/>
          <w:szCs w:val="16"/>
          <w14:ligatures w14:val="none"/>
        </w:rPr>
        <w:sectPr w:rsidR="00F552AA" w:rsidRPr="00AB442D" w:rsidSect="00F552AA">
          <w:type w:val="continuous"/>
          <w:pgSz w:w="11906" w:h="16838"/>
          <w:pgMar w:top="1417" w:right="1701" w:bottom="1417" w:left="1701" w:header="708" w:footer="708" w:gutter="0"/>
          <w:cols w:num="2" w:space="708"/>
          <w:docGrid w:linePitch="360"/>
        </w:sectPr>
      </w:pPr>
    </w:p>
    <w:p w14:paraId="220C40D6" w14:textId="77777777" w:rsidR="00F552AA" w:rsidRPr="00AB442D" w:rsidRDefault="00F552AA" w:rsidP="00176FFB">
      <w:pPr>
        <w:tabs>
          <w:tab w:val="left" w:pos="851"/>
        </w:tabs>
        <w:spacing w:after="0" w:line="240" w:lineRule="auto"/>
        <w:jc w:val="both"/>
        <w:rPr>
          <w:rFonts w:ascii="Calibri" w:eastAsia="Times New Roman" w:hAnsi="Calibri" w:cs="Calibri"/>
          <w:b/>
          <w:color w:val="002060"/>
          <w:kern w:val="0"/>
          <w:sz w:val="16"/>
          <w:szCs w:val="16"/>
          <w14:ligatures w14:val="none"/>
        </w:rPr>
      </w:pPr>
      <w:r w:rsidRPr="00AB442D">
        <w:rPr>
          <w:rFonts w:ascii="Calibri" w:eastAsia="Times New Roman" w:hAnsi="Calibri" w:cs="Calibri"/>
          <w:b/>
          <w:color w:val="002060"/>
          <w:kern w:val="0"/>
          <w:sz w:val="16"/>
          <w:szCs w:val="16"/>
          <w14:ligatures w14:val="none"/>
        </w:rPr>
        <w:t>DIRETOR TÉCNICO-OPERACIONAL</w:t>
      </w:r>
    </w:p>
    <w:p w14:paraId="4B201481" w14:textId="77777777" w:rsidR="00F552AA" w:rsidRPr="00AB442D" w:rsidRDefault="00F552AA" w:rsidP="00176FFB">
      <w:pPr>
        <w:tabs>
          <w:tab w:val="left" w:pos="851"/>
        </w:tabs>
        <w:spacing w:after="0" w:line="240" w:lineRule="auto"/>
        <w:jc w:val="both"/>
        <w:rPr>
          <w:rFonts w:ascii="Calibri" w:eastAsia="Times New Roman" w:hAnsi="Calibri" w:cs="Calibri"/>
          <w:color w:val="002060"/>
          <w:kern w:val="0"/>
          <w:sz w:val="16"/>
          <w:szCs w:val="16"/>
          <w:lang w:eastAsia="pt-BR"/>
          <w14:ligatures w14:val="none"/>
        </w:rPr>
      </w:pPr>
      <w:proofErr w:type="spellStart"/>
      <w:r w:rsidRPr="00AB442D">
        <w:rPr>
          <w:rFonts w:ascii="Calibri" w:eastAsia="Times New Roman" w:hAnsi="Calibri" w:cs="Calibri"/>
          <w:color w:val="002060"/>
          <w:kern w:val="0"/>
          <w:sz w:val="16"/>
          <w:szCs w:val="16"/>
          <w:lang w:eastAsia="pt-BR"/>
          <w14:ligatures w14:val="none"/>
        </w:rPr>
        <w:t>Nauro</w:t>
      </w:r>
      <w:proofErr w:type="spellEnd"/>
      <w:r w:rsidRPr="00AB442D">
        <w:rPr>
          <w:rFonts w:ascii="Calibri" w:eastAsia="Times New Roman" w:hAnsi="Calibri" w:cs="Calibri"/>
          <w:color w:val="002060"/>
          <w:kern w:val="0"/>
          <w:sz w:val="16"/>
          <w:szCs w:val="16"/>
          <w:lang w:eastAsia="pt-BR"/>
          <w14:ligatures w14:val="none"/>
        </w:rPr>
        <w:t xml:space="preserve"> Luiz </w:t>
      </w:r>
      <w:proofErr w:type="spellStart"/>
      <w:r w:rsidRPr="00AB442D">
        <w:rPr>
          <w:rFonts w:ascii="Calibri" w:eastAsia="Times New Roman" w:hAnsi="Calibri" w:cs="Calibri"/>
          <w:color w:val="002060"/>
          <w:kern w:val="0"/>
          <w:sz w:val="16"/>
          <w:szCs w:val="16"/>
          <w:lang w:eastAsia="pt-BR"/>
          <w14:ligatures w14:val="none"/>
        </w:rPr>
        <w:t>Scheufler</w:t>
      </w:r>
      <w:proofErr w:type="spellEnd"/>
    </w:p>
    <w:p w14:paraId="28BF6CA3" w14:textId="77777777" w:rsidR="00F552AA" w:rsidRPr="00AB442D" w:rsidRDefault="00F552AA" w:rsidP="00176FFB">
      <w:pPr>
        <w:tabs>
          <w:tab w:val="left" w:pos="851"/>
        </w:tabs>
        <w:spacing w:after="0" w:line="240" w:lineRule="auto"/>
        <w:jc w:val="both"/>
        <w:rPr>
          <w:rFonts w:ascii="Calibri" w:eastAsia="Times New Roman" w:hAnsi="Calibri" w:cs="Calibri"/>
          <w:color w:val="002060"/>
          <w:kern w:val="0"/>
          <w:sz w:val="16"/>
          <w:szCs w:val="16"/>
          <w14:ligatures w14:val="none"/>
        </w:rPr>
      </w:pPr>
    </w:p>
    <w:p w14:paraId="52B75F89" w14:textId="77777777" w:rsidR="00F552AA" w:rsidRPr="00AB442D" w:rsidRDefault="00F552AA" w:rsidP="00176FFB">
      <w:pPr>
        <w:tabs>
          <w:tab w:val="left" w:pos="851"/>
        </w:tabs>
        <w:spacing w:after="0" w:line="240" w:lineRule="auto"/>
        <w:jc w:val="both"/>
        <w:rPr>
          <w:rFonts w:ascii="Calibri" w:eastAsia="Times New Roman" w:hAnsi="Calibri" w:cs="Calibri"/>
          <w:b/>
          <w:color w:val="002060"/>
          <w:kern w:val="0"/>
          <w:sz w:val="16"/>
          <w:szCs w:val="16"/>
          <w14:ligatures w14:val="none"/>
        </w:rPr>
      </w:pPr>
      <w:r w:rsidRPr="00AB442D">
        <w:rPr>
          <w:rFonts w:ascii="Calibri" w:eastAsia="Times New Roman" w:hAnsi="Calibri" w:cs="Calibri"/>
          <w:b/>
          <w:color w:val="002060"/>
          <w:kern w:val="0"/>
          <w:sz w:val="16"/>
          <w:szCs w:val="16"/>
          <w14:ligatures w14:val="none"/>
        </w:rPr>
        <w:t>DIRETOR COMERCIAL</w:t>
      </w:r>
    </w:p>
    <w:p w14:paraId="5FD8FF0E" w14:textId="77777777" w:rsidR="00F552AA" w:rsidRPr="00AB442D" w:rsidRDefault="00F552AA" w:rsidP="00176FFB">
      <w:pPr>
        <w:tabs>
          <w:tab w:val="left" w:pos="851"/>
        </w:tabs>
        <w:spacing w:after="0" w:line="240" w:lineRule="auto"/>
        <w:jc w:val="both"/>
        <w:rPr>
          <w:rFonts w:ascii="Calibri" w:eastAsia="Times New Roman" w:hAnsi="Calibri" w:cs="Calibri"/>
          <w:color w:val="002060"/>
          <w:kern w:val="0"/>
          <w:sz w:val="16"/>
          <w:szCs w:val="16"/>
          <w14:ligatures w14:val="none"/>
        </w:rPr>
      </w:pPr>
      <w:r w:rsidRPr="00AB442D">
        <w:rPr>
          <w:rFonts w:ascii="Calibri" w:eastAsia="Times New Roman" w:hAnsi="Calibri" w:cs="Calibri"/>
          <w:color w:val="002060"/>
          <w:kern w:val="0"/>
          <w:sz w:val="16"/>
          <w:szCs w:val="16"/>
          <w14:ligatures w14:val="none"/>
        </w:rPr>
        <w:t>Levi Figueiredo</w:t>
      </w:r>
    </w:p>
    <w:p w14:paraId="707D97A4" w14:textId="77777777" w:rsidR="00F552AA" w:rsidRPr="00AB442D" w:rsidRDefault="00F552AA" w:rsidP="00176FFB">
      <w:pPr>
        <w:tabs>
          <w:tab w:val="left" w:pos="851"/>
        </w:tabs>
        <w:spacing w:after="0" w:line="240" w:lineRule="auto"/>
        <w:jc w:val="both"/>
        <w:rPr>
          <w:rFonts w:ascii="Calibri" w:eastAsia="Times New Roman" w:hAnsi="Calibri" w:cs="Calibri"/>
          <w:b/>
          <w:color w:val="002060"/>
          <w:kern w:val="0"/>
          <w:sz w:val="16"/>
          <w:szCs w:val="16"/>
          <w:lang w:eastAsia="pt-BR"/>
          <w14:ligatures w14:val="none"/>
        </w:rPr>
        <w:sectPr w:rsidR="00F552AA" w:rsidRPr="00AB442D" w:rsidSect="00F552AA">
          <w:type w:val="continuous"/>
          <w:pgSz w:w="11906" w:h="16838"/>
          <w:pgMar w:top="1417" w:right="1701" w:bottom="1417" w:left="1701" w:header="708" w:footer="708" w:gutter="0"/>
          <w:cols w:num="2" w:space="708"/>
          <w:docGrid w:linePitch="360"/>
        </w:sectPr>
      </w:pPr>
    </w:p>
    <w:p w14:paraId="22BDB8B2" w14:textId="77777777" w:rsidR="00F552AA" w:rsidRPr="00AB442D" w:rsidRDefault="00F552AA" w:rsidP="00176FFB">
      <w:pPr>
        <w:tabs>
          <w:tab w:val="left" w:pos="851"/>
        </w:tabs>
        <w:spacing w:after="0" w:line="240" w:lineRule="auto"/>
        <w:jc w:val="both"/>
        <w:rPr>
          <w:rFonts w:ascii="Calibri" w:eastAsia="Times New Roman" w:hAnsi="Calibri" w:cs="Calibri"/>
          <w:b/>
          <w:color w:val="002060"/>
          <w:kern w:val="0"/>
          <w:sz w:val="16"/>
          <w:szCs w:val="16"/>
          <w:lang w:eastAsia="pt-BR"/>
          <w14:ligatures w14:val="none"/>
        </w:rPr>
      </w:pPr>
    </w:p>
    <w:p w14:paraId="34001F33" w14:textId="77777777" w:rsidR="00F552AA" w:rsidRPr="00AB442D" w:rsidRDefault="00F552AA" w:rsidP="00176FFB">
      <w:pPr>
        <w:tabs>
          <w:tab w:val="left" w:pos="851"/>
        </w:tabs>
        <w:spacing w:after="0" w:line="240" w:lineRule="auto"/>
        <w:jc w:val="both"/>
        <w:rPr>
          <w:rFonts w:ascii="Calibri" w:eastAsia="Times New Roman" w:hAnsi="Calibri" w:cs="Calibri"/>
          <w:color w:val="002060"/>
          <w:kern w:val="0"/>
          <w:sz w:val="16"/>
          <w:szCs w:val="16"/>
          <w:lang w:eastAsia="pt-BR"/>
          <w14:ligatures w14:val="none"/>
        </w:rPr>
      </w:pPr>
      <w:r w:rsidRPr="00AB442D">
        <w:rPr>
          <w:rFonts w:ascii="Calibri" w:eastAsia="Times New Roman" w:hAnsi="Calibri" w:cs="Calibri"/>
          <w:b/>
          <w:color w:val="002060"/>
          <w:kern w:val="0"/>
          <w:sz w:val="16"/>
          <w:szCs w:val="16"/>
          <w14:ligatures w14:val="none"/>
        </w:rPr>
        <w:t>DIRETOR DE GOVERNANÇA</w:t>
      </w:r>
      <w:r w:rsidRPr="00AB442D">
        <w:rPr>
          <w:rFonts w:ascii="Calibri" w:eastAsia="Times New Roman" w:hAnsi="Calibri" w:cs="Calibri"/>
          <w:color w:val="002060"/>
          <w:kern w:val="0"/>
          <w:sz w:val="16"/>
          <w:szCs w:val="16"/>
          <w:lang w:eastAsia="pt-BR"/>
          <w14:ligatures w14:val="none"/>
        </w:rPr>
        <w:t xml:space="preserve"> </w:t>
      </w:r>
    </w:p>
    <w:p w14:paraId="2EDD18CB" w14:textId="443EB059" w:rsidR="00F552AA" w:rsidRPr="00AB442D" w:rsidRDefault="00F552AA" w:rsidP="00176FFB">
      <w:pPr>
        <w:tabs>
          <w:tab w:val="left" w:pos="851"/>
        </w:tabs>
        <w:spacing w:after="0" w:line="240" w:lineRule="auto"/>
        <w:jc w:val="both"/>
        <w:rPr>
          <w:rFonts w:ascii="Calibri" w:eastAsia="Times New Roman" w:hAnsi="Calibri" w:cs="Calibri"/>
          <w:color w:val="002060"/>
          <w:kern w:val="0"/>
          <w:sz w:val="16"/>
          <w:szCs w:val="16"/>
          <w:lang w:eastAsia="pt-BR"/>
          <w14:ligatures w14:val="none"/>
        </w:rPr>
      </w:pPr>
      <w:proofErr w:type="spellStart"/>
      <w:r w:rsidRPr="00AB442D">
        <w:rPr>
          <w:rFonts w:ascii="Calibri" w:eastAsia="Times New Roman" w:hAnsi="Calibri" w:cs="Calibri"/>
          <w:color w:val="002060"/>
          <w:kern w:val="0"/>
          <w:sz w:val="16"/>
          <w:szCs w:val="16"/>
          <w:lang w:eastAsia="pt-BR"/>
          <w14:ligatures w14:val="none"/>
        </w:rPr>
        <w:t>Wallyson</w:t>
      </w:r>
      <w:proofErr w:type="spellEnd"/>
      <w:r w:rsidRPr="00AB442D">
        <w:rPr>
          <w:rFonts w:ascii="Calibri" w:eastAsia="Times New Roman" w:hAnsi="Calibri" w:cs="Calibri"/>
          <w:color w:val="002060"/>
          <w:kern w:val="0"/>
          <w:sz w:val="16"/>
          <w:szCs w:val="16"/>
          <w:lang w:eastAsia="pt-BR"/>
          <w14:ligatures w14:val="none"/>
        </w:rPr>
        <w:t xml:space="preserve"> Lemos dos Reis Oliveira</w:t>
      </w:r>
    </w:p>
    <w:p w14:paraId="63633AC3" w14:textId="730CE5E8" w:rsidR="00F552AA" w:rsidRPr="00AB442D" w:rsidRDefault="00F552AA" w:rsidP="00176FFB">
      <w:pPr>
        <w:tabs>
          <w:tab w:val="left" w:pos="851"/>
        </w:tabs>
        <w:spacing w:after="0" w:line="240" w:lineRule="auto"/>
        <w:jc w:val="both"/>
        <w:rPr>
          <w:rFonts w:ascii="Calibri" w:eastAsia="Times New Roman" w:hAnsi="Calibri" w:cs="Calibri"/>
          <w:b/>
          <w:color w:val="002060"/>
          <w:kern w:val="0"/>
          <w:sz w:val="16"/>
          <w:szCs w:val="16"/>
          <w14:ligatures w14:val="none"/>
        </w:rPr>
      </w:pPr>
    </w:p>
    <w:p w14:paraId="7CB1F144" w14:textId="77777777" w:rsidR="00F552AA" w:rsidRPr="00AB442D" w:rsidRDefault="00F552AA" w:rsidP="00176FFB">
      <w:pPr>
        <w:tabs>
          <w:tab w:val="left" w:pos="851"/>
        </w:tabs>
        <w:spacing w:after="0" w:line="240" w:lineRule="auto"/>
        <w:jc w:val="both"/>
        <w:rPr>
          <w:rFonts w:ascii="Calibri" w:eastAsia="Times New Roman" w:hAnsi="Calibri" w:cs="Calibri"/>
          <w:b/>
          <w:color w:val="002060"/>
          <w:kern w:val="0"/>
          <w:sz w:val="16"/>
          <w:szCs w:val="16"/>
          <w14:ligatures w14:val="none"/>
        </w:rPr>
      </w:pPr>
    </w:p>
    <w:p w14:paraId="77DB3069" w14:textId="77777777" w:rsidR="00F552AA" w:rsidRPr="00AB442D" w:rsidRDefault="00F552AA" w:rsidP="00176FFB">
      <w:pPr>
        <w:tabs>
          <w:tab w:val="left" w:pos="851"/>
        </w:tabs>
        <w:spacing w:after="0" w:line="240" w:lineRule="auto"/>
        <w:jc w:val="both"/>
        <w:rPr>
          <w:rFonts w:ascii="Calibri" w:eastAsia="Times New Roman" w:hAnsi="Calibri" w:cs="Calibri"/>
          <w:b/>
          <w:color w:val="002060"/>
          <w:kern w:val="0"/>
          <w:sz w:val="16"/>
          <w:szCs w:val="16"/>
          <w14:ligatures w14:val="none"/>
        </w:rPr>
      </w:pPr>
    </w:p>
    <w:p w14:paraId="72278E45" w14:textId="77777777" w:rsidR="00F552AA" w:rsidRPr="00AB442D" w:rsidRDefault="00F552AA" w:rsidP="00176FFB">
      <w:pPr>
        <w:tabs>
          <w:tab w:val="left" w:pos="851"/>
        </w:tabs>
        <w:spacing w:before="240" w:after="120" w:line="240" w:lineRule="auto"/>
        <w:jc w:val="both"/>
        <w:rPr>
          <w:rFonts w:ascii="Calibri" w:eastAsia="Times New Roman" w:hAnsi="Calibri" w:cs="Calibri"/>
          <w:color w:val="002060"/>
          <w:kern w:val="0"/>
          <w:sz w:val="16"/>
          <w:szCs w:val="16"/>
          <w:highlight w:val="yellow"/>
          <w:lang w:eastAsia="pt-BR"/>
          <w14:ligatures w14:val="none"/>
        </w:rPr>
        <w:sectPr w:rsidR="00F552AA" w:rsidRPr="00AB442D" w:rsidSect="00F552AA">
          <w:type w:val="continuous"/>
          <w:pgSz w:w="11906" w:h="16838"/>
          <w:pgMar w:top="1417" w:right="1701" w:bottom="1417" w:left="1701" w:header="708" w:footer="708" w:gutter="0"/>
          <w:cols w:num="2" w:space="708"/>
          <w:docGrid w:linePitch="360"/>
        </w:sectPr>
      </w:pPr>
    </w:p>
    <w:p w14:paraId="22364832" w14:textId="77777777" w:rsidR="00F552AA" w:rsidRPr="00AB442D" w:rsidRDefault="00F552AA" w:rsidP="00176FFB">
      <w:pPr>
        <w:autoSpaceDE w:val="0"/>
        <w:autoSpaceDN w:val="0"/>
        <w:adjustRightInd w:val="0"/>
        <w:spacing w:after="0" w:line="240" w:lineRule="auto"/>
        <w:rPr>
          <w:rFonts w:ascii="Calibri" w:eastAsia="Times New Roman" w:hAnsi="Calibri" w:cs="Calibri"/>
          <w:color w:val="002060"/>
          <w:kern w:val="0"/>
          <w:sz w:val="16"/>
          <w:szCs w:val="16"/>
          <w:lang w:eastAsia="pt-BR"/>
          <w14:ligatures w14:val="none"/>
        </w:rPr>
      </w:pPr>
    </w:p>
    <w:p w14:paraId="2E2D5169" w14:textId="77777777" w:rsidR="007E1FEC" w:rsidRPr="00AB442D" w:rsidRDefault="007E1FEC" w:rsidP="00176FFB">
      <w:pPr>
        <w:autoSpaceDE w:val="0"/>
        <w:autoSpaceDN w:val="0"/>
        <w:adjustRightInd w:val="0"/>
        <w:spacing w:after="0" w:line="240" w:lineRule="auto"/>
        <w:rPr>
          <w:rFonts w:ascii="Calibri" w:eastAsia="Calibri" w:hAnsi="Calibri" w:cs="Calibri"/>
          <w:b/>
          <w:color w:val="002060"/>
          <w:kern w:val="0"/>
          <w:sz w:val="16"/>
          <w:szCs w:val="16"/>
          <w:lang w:eastAsia="pt-BR"/>
          <w14:ligatures w14:val="none"/>
        </w:rPr>
      </w:pPr>
    </w:p>
    <w:p w14:paraId="26E6A3EE" w14:textId="77777777" w:rsidR="00176FFB" w:rsidRPr="00AB442D" w:rsidRDefault="00176FFB" w:rsidP="00176FFB">
      <w:pPr>
        <w:autoSpaceDE w:val="0"/>
        <w:autoSpaceDN w:val="0"/>
        <w:adjustRightInd w:val="0"/>
        <w:spacing w:after="0" w:line="240" w:lineRule="auto"/>
        <w:rPr>
          <w:rFonts w:ascii="Calibri" w:eastAsia="Calibri" w:hAnsi="Calibri" w:cs="Calibri"/>
          <w:b/>
          <w:color w:val="002060"/>
          <w:kern w:val="0"/>
          <w:sz w:val="16"/>
          <w:szCs w:val="16"/>
          <w:lang w:eastAsia="pt-BR"/>
          <w14:ligatures w14:val="none"/>
        </w:rPr>
        <w:sectPr w:rsidR="00176FFB" w:rsidRPr="00AB442D" w:rsidSect="00F552AA">
          <w:type w:val="continuous"/>
          <w:pgSz w:w="11906" w:h="16838"/>
          <w:pgMar w:top="1417" w:right="1701" w:bottom="1417" w:left="1701" w:header="708" w:footer="708" w:gutter="0"/>
          <w:cols w:num="2" w:space="708"/>
          <w:docGrid w:linePitch="360"/>
        </w:sectPr>
      </w:pPr>
    </w:p>
    <w:p w14:paraId="03B9AB57" w14:textId="77777777" w:rsidR="00F552AA" w:rsidRPr="00AB442D" w:rsidRDefault="00F552AA" w:rsidP="00176FFB">
      <w:pPr>
        <w:autoSpaceDE w:val="0"/>
        <w:autoSpaceDN w:val="0"/>
        <w:adjustRightInd w:val="0"/>
        <w:spacing w:after="0" w:line="240" w:lineRule="auto"/>
        <w:rPr>
          <w:rFonts w:ascii="Calibri" w:eastAsia="Calibri" w:hAnsi="Calibri" w:cs="Calibri"/>
          <w:b/>
          <w:color w:val="002060"/>
          <w:kern w:val="0"/>
          <w:sz w:val="16"/>
          <w:szCs w:val="16"/>
          <w:lang w:eastAsia="pt-BR"/>
          <w14:ligatures w14:val="none"/>
        </w:rPr>
        <w:sectPr w:rsidR="00F552AA" w:rsidRPr="00AB442D" w:rsidSect="00176FFB">
          <w:type w:val="continuous"/>
          <w:pgSz w:w="11906" w:h="16838"/>
          <w:pgMar w:top="1417" w:right="1701" w:bottom="1417" w:left="1701" w:header="708" w:footer="708" w:gutter="0"/>
          <w:cols w:space="708"/>
          <w:docGrid w:linePitch="360"/>
        </w:sectPr>
      </w:pPr>
    </w:p>
    <w:p w14:paraId="0E7F12E6" w14:textId="792BA2DF" w:rsidR="00F552AA" w:rsidRPr="00AB442D" w:rsidRDefault="00F552AA" w:rsidP="00176FFB">
      <w:pPr>
        <w:autoSpaceDE w:val="0"/>
        <w:autoSpaceDN w:val="0"/>
        <w:adjustRightInd w:val="0"/>
        <w:spacing w:after="0" w:line="240" w:lineRule="auto"/>
        <w:rPr>
          <w:rFonts w:ascii="Calibri" w:eastAsia="Calibri" w:hAnsi="Calibri" w:cs="Calibri"/>
          <w:b/>
          <w:color w:val="002060"/>
          <w:kern w:val="0"/>
          <w:sz w:val="16"/>
          <w:szCs w:val="16"/>
          <w:lang w:eastAsia="pt-BR"/>
          <w14:ligatures w14:val="none"/>
        </w:rPr>
      </w:pPr>
      <w:r w:rsidRPr="00AB442D">
        <w:rPr>
          <w:rFonts w:ascii="Calibri" w:eastAsia="Calibri" w:hAnsi="Calibri" w:cs="Calibri"/>
          <w:b/>
          <w:color w:val="002060"/>
          <w:kern w:val="0"/>
          <w:sz w:val="16"/>
          <w:szCs w:val="16"/>
          <w:lang w:eastAsia="pt-BR"/>
          <w14:ligatures w14:val="none"/>
        </w:rPr>
        <w:t xml:space="preserve">CONSOLIDADO POR </w:t>
      </w:r>
    </w:p>
    <w:p w14:paraId="3C04A8D1" w14:textId="77777777" w:rsidR="00F552AA" w:rsidRPr="00AB442D" w:rsidRDefault="00F552AA" w:rsidP="00176FFB">
      <w:pPr>
        <w:autoSpaceDE w:val="0"/>
        <w:autoSpaceDN w:val="0"/>
        <w:adjustRightInd w:val="0"/>
        <w:spacing w:after="0" w:line="240" w:lineRule="auto"/>
        <w:ind w:firstLine="1"/>
        <w:rPr>
          <w:rFonts w:ascii="Calibri" w:eastAsia="Calibri" w:hAnsi="Calibri" w:cs="Calibri"/>
          <w:color w:val="002060"/>
          <w:kern w:val="0"/>
          <w:sz w:val="16"/>
          <w:szCs w:val="16"/>
          <w:lang w:eastAsia="pt-BR"/>
          <w14:ligatures w14:val="none"/>
        </w:rPr>
      </w:pPr>
      <w:r w:rsidRPr="00AB442D">
        <w:rPr>
          <w:rFonts w:ascii="Calibri" w:eastAsia="Calibri" w:hAnsi="Calibri" w:cs="Calibri"/>
          <w:color w:val="002060"/>
          <w:kern w:val="0"/>
          <w:sz w:val="16"/>
          <w:szCs w:val="16"/>
          <w:lang w:eastAsia="pt-BR"/>
          <w14:ligatures w14:val="none"/>
        </w:rPr>
        <w:t>Alex Luiz Martins Matheus da Rocha</w:t>
      </w:r>
    </w:p>
    <w:p w14:paraId="19CD3AA9" w14:textId="77777777" w:rsidR="00F552AA" w:rsidRPr="00AB442D" w:rsidRDefault="00F552AA" w:rsidP="00176FFB">
      <w:pPr>
        <w:autoSpaceDE w:val="0"/>
        <w:autoSpaceDN w:val="0"/>
        <w:adjustRightInd w:val="0"/>
        <w:spacing w:after="0" w:line="240" w:lineRule="auto"/>
        <w:ind w:firstLine="1"/>
        <w:rPr>
          <w:rFonts w:ascii="Calibri" w:eastAsia="Calibri" w:hAnsi="Calibri" w:cs="Calibri"/>
          <w:color w:val="002060"/>
          <w:kern w:val="0"/>
          <w:sz w:val="16"/>
          <w:szCs w:val="16"/>
          <w:lang w:eastAsia="pt-BR"/>
          <w14:ligatures w14:val="none"/>
        </w:rPr>
      </w:pPr>
    </w:p>
    <w:p w14:paraId="71502BF9" w14:textId="77777777" w:rsidR="00F552AA" w:rsidRPr="00AB442D" w:rsidRDefault="00F552AA" w:rsidP="00176FFB">
      <w:pPr>
        <w:autoSpaceDE w:val="0"/>
        <w:autoSpaceDN w:val="0"/>
        <w:adjustRightInd w:val="0"/>
        <w:spacing w:after="0" w:line="240" w:lineRule="auto"/>
        <w:rPr>
          <w:rFonts w:ascii="Calibri" w:eastAsia="Calibri" w:hAnsi="Calibri" w:cs="Calibri"/>
          <w:b/>
          <w:color w:val="002060"/>
          <w:kern w:val="0"/>
          <w:sz w:val="16"/>
          <w:szCs w:val="16"/>
          <w:lang w:eastAsia="pt-BR"/>
          <w14:ligatures w14:val="none"/>
        </w:rPr>
      </w:pPr>
      <w:r w:rsidRPr="00AB442D">
        <w:rPr>
          <w:rFonts w:ascii="Calibri" w:eastAsia="Calibri" w:hAnsi="Calibri" w:cs="Calibri"/>
          <w:b/>
          <w:color w:val="002060"/>
          <w:kern w:val="0"/>
          <w:sz w:val="16"/>
          <w:szCs w:val="16"/>
          <w:lang w:eastAsia="pt-BR"/>
          <w14:ligatures w14:val="none"/>
        </w:rPr>
        <w:t xml:space="preserve">REVISADO POR </w:t>
      </w:r>
    </w:p>
    <w:p w14:paraId="2BB3F3B5" w14:textId="77777777" w:rsidR="00F552AA" w:rsidRPr="00AB442D" w:rsidRDefault="00F552AA" w:rsidP="00176FFB">
      <w:pPr>
        <w:autoSpaceDE w:val="0"/>
        <w:autoSpaceDN w:val="0"/>
        <w:adjustRightInd w:val="0"/>
        <w:spacing w:after="0" w:line="240" w:lineRule="auto"/>
        <w:ind w:firstLine="1"/>
        <w:rPr>
          <w:rFonts w:ascii="Calibri" w:eastAsia="Calibri" w:hAnsi="Calibri" w:cs="Calibri"/>
          <w:color w:val="002060"/>
          <w:kern w:val="0"/>
          <w:sz w:val="16"/>
          <w:szCs w:val="16"/>
          <w:lang w:eastAsia="pt-BR"/>
          <w14:ligatures w14:val="none"/>
        </w:rPr>
      </w:pPr>
      <w:r w:rsidRPr="00AB442D">
        <w:rPr>
          <w:rFonts w:ascii="Calibri" w:eastAsia="Calibri" w:hAnsi="Calibri" w:cs="Calibri"/>
          <w:color w:val="002060"/>
          <w:kern w:val="0"/>
          <w:sz w:val="16"/>
          <w:szCs w:val="16"/>
          <w:lang w:eastAsia="pt-BR"/>
          <w14:ligatures w14:val="none"/>
        </w:rPr>
        <w:t xml:space="preserve">Eduardo </w:t>
      </w:r>
      <w:proofErr w:type="spellStart"/>
      <w:r w:rsidRPr="00AB442D">
        <w:rPr>
          <w:rFonts w:ascii="Calibri" w:eastAsia="Calibri" w:hAnsi="Calibri" w:cs="Calibri"/>
          <w:color w:val="002060"/>
          <w:kern w:val="0"/>
          <w:sz w:val="16"/>
          <w:szCs w:val="16"/>
          <w:lang w:eastAsia="pt-BR"/>
          <w14:ligatures w14:val="none"/>
        </w:rPr>
        <w:t>Masashi</w:t>
      </w:r>
      <w:proofErr w:type="spellEnd"/>
      <w:r w:rsidRPr="00AB442D">
        <w:rPr>
          <w:rFonts w:ascii="Calibri" w:eastAsia="Calibri" w:hAnsi="Calibri" w:cs="Calibri"/>
          <w:color w:val="002060"/>
          <w:kern w:val="0"/>
          <w:sz w:val="16"/>
          <w:szCs w:val="16"/>
          <w:lang w:eastAsia="pt-BR"/>
          <w14:ligatures w14:val="none"/>
        </w:rPr>
        <w:t xml:space="preserve"> Sasaki</w:t>
      </w:r>
    </w:p>
    <w:p w14:paraId="7BA2A8F2" w14:textId="77777777" w:rsidR="00F552AA" w:rsidRPr="00AB442D" w:rsidRDefault="00F552AA" w:rsidP="00920028">
      <w:pPr>
        <w:autoSpaceDE w:val="0"/>
        <w:autoSpaceDN w:val="0"/>
        <w:adjustRightInd w:val="0"/>
        <w:spacing w:after="0" w:line="240" w:lineRule="auto"/>
        <w:ind w:firstLine="1"/>
        <w:rPr>
          <w:rFonts w:ascii="Calibri" w:eastAsia="Calibri" w:hAnsi="Calibri" w:cs="Calibri"/>
          <w:color w:val="002060"/>
          <w:kern w:val="0"/>
          <w:sz w:val="16"/>
          <w:szCs w:val="16"/>
          <w:lang w:eastAsia="pt-BR"/>
          <w14:ligatures w14:val="none"/>
        </w:rPr>
      </w:pPr>
      <w:r w:rsidRPr="00AB442D">
        <w:rPr>
          <w:rFonts w:ascii="Calibri" w:eastAsia="Calibri" w:hAnsi="Calibri" w:cs="Calibri"/>
          <w:color w:val="002060"/>
          <w:kern w:val="0"/>
          <w:sz w:val="16"/>
          <w:szCs w:val="16"/>
          <w:lang w:eastAsia="pt-BR"/>
          <w14:ligatures w14:val="none"/>
        </w:rPr>
        <w:t>Rodrigo Ferreira Lim</w:t>
      </w:r>
      <w:r w:rsidR="00920028" w:rsidRPr="00AB442D">
        <w:rPr>
          <w:rFonts w:ascii="Calibri" w:eastAsia="Calibri" w:hAnsi="Calibri" w:cs="Calibri"/>
          <w:color w:val="002060"/>
          <w:kern w:val="0"/>
          <w:sz w:val="16"/>
          <w:szCs w:val="16"/>
          <w:lang w:eastAsia="pt-BR"/>
          <w14:ligatures w14:val="none"/>
        </w:rPr>
        <w:t>a</w:t>
      </w:r>
    </w:p>
    <w:p w14:paraId="04EEEAD9" w14:textId="1E2C633B" w:rsidR="00920028" w:rsidRPr="00920028" w:rsidRDefault="00920028" w:rsidP="00920028">
      <w:pPr>
        <w:autoSpaceDE w:val="0"/>
        <w:autoSpaceDN w:val="0"/>
        <w:adjustRightInd w:val="0"/>
        <w:spacing w:after="0" w:line="240" w:lineRule="auto"/>
        <w:ind w:firstLine="1"/>
        <w:rPr>
          <w:rFonts w:ascii="Calibri" w:eastAsia="Calibri" w:hAnsi="Calibri" w:cs="Calibri"/>
          <w:color w:val="002060"/>
          <w:kern w:val="0"/>
          <w:sz w:val="18"/>
          <w:szCs w:val="18"/>
          <w:lang w:eastAsia="pt-BR"/>
          <w14:ligatures w14:val="none"/>
        </w:rPr>
        <w:sectPr w:rsidR="00920028" w:rsidRPr="00920028" w:rsidSect="00176FFB">
          <w:type w:val="continuous"/>
          <w:pgSz w:w="11906" w:h="16838"/>
          <w:pgMar w:top="1417" w:right="1701" w:bottom="1417" w:left="1701" w:header="708" w:footer="708" w:gutter="0"/>
          <w:cols w:num="2" w:space="708"/>
          <w:docGrid w:linePitch="360"/>
        </w:sectPr>
      </w:pPr>
    </w:p>
    <w:p w14:paraId="7D0636C0" w14:textId="77777777" w:rsidR="00920028" w:rsidRPr="00176FFB" w:rsidRDefault="00920028" w:rsidP="00920028">
      <w:pPr>
        <w:spacing w:after="0"/>
        <w:jc w:val="both"/>
        <w:rPr>
          <w:rFonts w:ascii="Calibri" w:eastAsia="Times New Roman" w:hAnsi="Calibri" w:cs="Times New Roman"/>
          <w:b/>
          <w:bCs/>
          <w:color w:val="002060"/>
          <w:kern w:val="0"/>
          <w14:ligatures w14:val="none"/>
        </w:rPr>
      </w:pPr>
      <w:r>
        <w:rPr>
          <w:rFonts w:ascii="Calibri" w:eastAsia="Times New Roman" w:hAnsi="Calibri" w:cs="Times New Roman"/>
          <w:b/>
          <w:bCs/>
          <w:color w:val="002060"/>
          <w:kern w:val="0"/>
          <w14:ligatures w14:val="none"/>
        </w:rPr>
        <w:t xml:space="preserve">1. </w:t>
      </w:r>
      <w:r w:rsidRPr="00176FFB">
        <w:rPr>
          <w:rFonts w:ascii="Calibri" w:eastAsia="Times New Roman" w:hAnsi="Calibri" w:cs="Times New Roman"/>
          <w:b/>
          <w:bCs/>
          <w:color w:val="002060"/>
          <w:kern w:val="0"/>
          <w14:ligatures w14:val="none"/>
        </w:rPr>
        <w:t>Mensagem da Administração</w:t>
      </w:r>
    </w:p>
    <w:p w14:paraId="726F606E" w14:textId="77777777" w:rsidR="00920028" w:rsidRPr="00176FFB" w:rsidRDefault="00920028" w:rsidP="00920028">
      <w:pPr>
        <w:spacing w:after="0"/>
        <w:jc w:val="both"/>
        <w:rPr>
          <w:rFonts w:ascii="Calibri" w:eastAsia="Times New Roman" w:hAnsi="Calibri" w:cs="Times New Roman"/>
          <w:color w:val="002060"/>
          <w:kern w:val="0"/>
          <w14:ligatures w14:val="none"/>
        </w:rPr>
      </w:pPr>
      <w:r w:rsidRPr="00176FFB">
        <w:rPr>
          <w:rFonts w:ascii="Calibri" w:eastAsia="Times New Roman" w:hAnsi="Calibri" w:cs="Times New Roman"/>
          <w:color w:val="002060"/>
          <w:kern w:val="0"/>
          <w14:ligatures w14:val="none"/>
        </w:rPr>
        <w:t>À medida que refletimos sobre o ano de 2023, é com um profundo senso de realização que destacamos os avanços significativos e as conquistas estratégicas que marcaram este período. O ano foi um testemunho vibrante do nosso compromisso inabalável com a inclusão digital e a segurança nacional, refletindo nosso papel central na execução de políticas públicas, segurança nacional e gestão sustentável.</w:t>
      </w:r>
    </w:p>
    <w:p w14:paraId="35D33F64" w14:textId="77777777" w:rsidR="00920028" w:rsidRPr="00176FFB" w:rsidRDefault="00920028" w:rsidP="00920028">
      <w:pPr>
        <w:spacing w:after="0"/>
        <w:jc w:val="both"/>
        <w:rPr>
          <w:rFonts w:ascii="Calibri" w:eastAsia="Times New Roman" w:hAnsi="Calibri" w:cs="Times New Roman"/>
          <w:color w:val="002060"/>
          <w:kern w:val="0"/>
          <w14:ligatures w14:val="none"/>
        </w:rPr>
      </w:pPr>
      <w:r w:rsidRPr="00176FFB">
        <w:rPr>
          <w:rFonts w:ascii="Calibri" w:eastAsia="Times New Roman" w:hAnsi="Calibri" w:cs="Times New Roman"/>
          <w:color w:val="002060"/>
          <w:kern w:val="0"/>
          <w14:ligatures w14:val="none"/>
        </w:rPr>
        <w:t>A renovação do contrato com o Ministério das Comunicações (</w:t>
      </w:r>
      <w:proofErr w:type="spellStart"/>
      <w:r w:rsidRPr="00176FFB">
        <w:rPr>
          <w:rFonts w:ascii="Calibri" w:eastAsia="Times New Roman" w:hAnsi="Calibri" w:cs="Times New Roman"/>
          <w:color w:val="002060"/>
          <w:kern w:val="0"/>
          <w14:ligatures w14:val="none"/>
        </w:rPr>
        <w:t>MCom</w:t>
      </w:r>
      <w:proofErr w:type="spellEnd"/>
      <w:r w:rsidRPr="00176FFB">
        <w:rPr>
          <w:rFonts w:ascii="Calibri" w:eastAsia="Times New Roman" w:hAnsi="Calibri" w:cs="Times New Roman"/>
          <w:color w:val="002060"/>
          <w:kern w:val="0"/>
          <w14:ligatures w14:val="none"/>
        </w:rPr>
        <w:t>) para a execução do Governo Eletrônico – Serviço de Atendimento ao Cidadão (GESAC) reforça nossa missão de conectar o Brasil de ponta a ponta, democratizando o acesso à informação com a previsão de implementar 28 mil pontos de conexão. Este esforço é apenas uma faceta do nosso trabalho para impulsionar o desenvolvimento em áreas vitais como Educação, Saúde, Segurança e Economia.</w:t>
      </w:r>
    </w:p>
    <w:p w14:paraId="0433BAAB" w14:textId="77777777" w:rsidR="00920028" w:rsidRPr="00176FFB" w:rsidRDefault="00920028" w:rsidP="00920028">
      <w:pPr>
        <w:spacing w:after="0"/>
        <w:jc w:val="both"/>
        <w:rPr>
          <w:rFonts w:ascii="Calibri" w:eastAsia="Times New Roman" w:hAnsi="Calibri" w:cs="Times New Roman"/>
          <w:color w:val="002060"/>
          <w:kern w:val="0"/>
          <w14:ligatures w14:val="none"/>
        </w:rPr>
      </w:pPr>
      <w:r w:rsidRPr="00176FFB">
        <w:rPr>
          <w:rFonts w:ascii="Calibri" w:eastAsia="Times New Roman" w:hAnsi="Calibri" w:cs="Times New Roman"/>
          <w:color w:val="002060"/>
          <w:kern w:val="0"/>
          <w14:ligatures w14:val="none"/>
        </w:rPr>
        <w:t>Celebrando 51 anos de nossa criação, a Telebras alcançou uma conquista histórica ao receber o selo de Empresa de Defesa (ED), tornando-se a primeira operadora de telecomunicações no Brasil a obter tal certificação pelo Ministério da Defesa. Este reconhecimento não apenas valida nossa excelência operacional, mas também reforça nossa contribuição para a soberania e a segurança nacional, com nossos serviços estratégicos de comunicação agora reconhecidos como Produtos Estratégicos de Defesa (PED).</w:t>
      </w:r>
    </w:p>
    <w:p w14:paraId="4F8CF5B5" w14:textId="77777777" w:rsidR="00920028" w:rsidRPr="00176FFB" w:rsidRDefault="00920028" w:rsidP="00920028">
      <w:pPr>
        <w:spacing w:after="0"/>
        <w:jc w:val="both"/>
        <w:rPr>
          <w:rFonts w:ascii="Calibri" w:eastAsia="Times New Roman" w:hAnsi="Calibri" w:cs="Times New Roman"/>
          <w:color w:val="002060"/>
          <w:kern w:val="0"/>
          <w14:ligatures w14:val="none"/>
        </w:rPr>
      </w:pPr>
      <w:r w:rsidRPr="00176FFB">
        <w:rPr>
          <w:rFonts w:ascii="Calibri" w:eastAsia="Times New Roman" w:hAnsi="Calibri" w:cs="Times New Roman"/>
          <w:color w:val="002060"/>
          <w:kern w:val="0"/>
          <w14:ligatures w14:val="none"/>
        </w:rPr>
        <w:t>Nossa resposta rápida e eficaz às emergências, especialmente em face de desastres naturais, como a instalação de antenas de conexão banda larga via satélite nos municípios afetados pelas fortes chuvas no Rio Grande do Sul, destaca nossa capacidade de agir prontamente em situações críticas. Este compromisso se estendeu a regiões remotas, incluindo o Território Indígena Yanomami e São Sebastião (SP), onde superamos barreiras geográficas e sociais para garantir o acesso à comunicação e à informação a população afetada e as equipes de socorro às vítimas.</w:t>
      </w:r>
    </w:p>
    <w:p w14:paraId="6DBAF472" w14:textId="77777777" w:rsidR="00920028" w:rsidRPr="00176FFB" w:rsidRDefault="00920028" w:rsidP="00920028">
      <w:pPr>
        <w:spacing w:after="0"/>
        <w:jc w:val="both"/>
        <w:rPr>
          <w:rFonts w:ascii="Calibri" w:eastAsia="Times New Roman" w:hAnsi="Calibri" w:cs="Times New Roman"/>
          <w:color w:val="002060"/>
          <w:kern w:val="0"/>
          <w14:ligatures w14:val="none"/>
        </w:rPr>
      </w:pPr>
      <w:r w:rsidRPr="00176FFB">
        <w:rPr>
          <w:rFonts w:ascii="Calibri" w:eastAsia="Times New Roman" w:hAnsi="Calibri" w:cs="Times New Roman"/>
          <w:color w:val="002060"/>
          <w:kern w:val="0"/>
          <w14:ligatures w14:val="none"/>
        </w:rPr>
        <w:t>Sob a responsabilidade de implementar as Políticas Públicas de Telecomunicações, designadas pelos Decretos nº 9.612/2018, nº 10.799/2021 e nº 11.299/2022, focamos no planejamento da gestão da Rede Privativa do Governo Federal. Este planejamento é crucial para a segurança das informações e a eficiência na comunicação dentro da administração pública.</w:t>
      </w:r>
    </w:p>
    <w:p w14:paraId="3840B57F" w14:textId="3FC96629" w:rsidR="00920028" w:rsidRPr="00176FFB" w:rsidRDefault="00920028" w:rsidP="00920028">
      <w:pPr>
        <w:spacing w:after="0"/>
        <w:jc w:val="both"/>
        <w:rPr>
          <w:rFonts w:ascii="Calibri" w:eastAsia="Times New Roman" w:hAnsi="Calibri" w:cs="Times New Roman"/>
          <w:color w:val="002060"/>
          <w:kern w:val="0"/>
          <w14:ligatures w14:val="none"/>
        </w:rPr>
      </w:pPr>
      <w:r w:rsidRPr="00176FFB">
        <w:rPr>
          <w:rFonts w:ascii="Calibri" w:eastAsia="Times New Roman" w:hAnsi="Calibri" w:cs="Times New Roman"/>
          <w:color w:val="002060"/>
          <w:kern w:val="0"/>
          <w14:ligatures w14:val="none"/>
        </w:rPr>
        <w:t>Dentro do contexto estabelecido pela Lei Nº 14.744, de 30 de novembro de 2023, ressalta-se a importância estratégica da Telecomunicações Brasileiras S.A. (Telebras) no cenário nacional de comunicações. A legislação conferiu preferência à Telebras na contratação de serviços de comunicação multimídia pela administração pública federal direta e indireta, reconhecendo-a</w:t>
      </w:r>
      <w:r w:rsidR="0057278F">
        <w:rPr>
          <w:rFonts w:ascii="Calibri" w:eastAsia="Times New Roman" w:hAnsi="Calibri" w:cs="Times New Roman"/>
          <w:color w:val="002060"/>
          <w:kern w:val="0"/>
          <w14:ligatures w14:val="none"/>
        </w:rPr>
        <w:t xml:space="preserve"> </w:t>
      </w:r>
      <w:r w:rsidRPr="00176FFB">
        <w:rPr>
          <w:rFonts w:ascii="Calibri" w:eastAsia="Times New Roman" w:hAnsi="Calibri" w:cs="Times New Roman"/>
          <w:color w:val="002060"/>
          <w:kern w:val="0"/>
          <w14:ligatures w14:val="none"/>
        </w:rPr>
        <w:t xml:space="preserve">como um vetor essencial para a promoção da infraestrutura de telecomunicações no país. Essa preferência não apenas fortalece a posição da Telebras como uma entidade chave no </w:t>
      </w:r>
      <w:r w:rsidRPr="00176FFB">
        <w:rPr>
          <w:rFonts w:ascii="Calibri" w:eastAsia="Times New Roman" w:hAnsi="Calibri" w:cs="Times New Roman"/>
          <w:color w:val="002060"/>
          <w:kern w:val="0"/>
          <w14:ligatures w14:val="none"/>
        </w:rPr>
        <w:lastRenderedPageBreak/>
        <w:t>fornecimento de serviços de telecomunicações, mas também assegura que o governo tenha acesso a uma rede de comunicação robusta e eficiente, crucial para a implementação de políticas públicas eficazes.</w:t>
      </w:r>
    </w:p>
    <w:p w14:paraId="257F9B2F" w14:textId="77777777" w:rsidR="00920028" w:rsidRPr="00176FFB" w:rsidRDefault="00920028" w:rsidP="00920028">
      <w:pPr>
        <w:spacing w:after="0"/>
        <w:jc w:val="both"/>
        <w:rPr>
          <w:rFonts w:ascii="Calibri" w:eastAsia="Times New Roman" w:hAnsi="Calibri" w:cs="Times New Roman"/>
          <w:color w:val="002060"/>
          <w:kern w:val="0"/>
          <w14:ligatures w14:val="none"/>
        </w:rPr>
      </w:pPr>
      <w:r w:rsidRPr="00176FFB">
        <w:rPr>
          <w:rFonts w:ascii="Calibri" w:eastAsia="Times New Roman" w:hAnsi="Calibri" w:cs="Times New Roman"/>
          <w:color w:val="002060"/>
          <w:kern w:val="0"/>
          <w14:ligatures w14:val="none"/>
        </w:rPr>
        <w:t>Nosso trabalho não apenas reafirma a importância estratégica da Telebras para o país, como evidenciado pela decisão do Conselho do Programa de Parcerias e Investimentos (PPI) de nos excluir do Programa Nacional de Desestatização (PND), mas também demonstra nosso compromisso contínuo com a sociedade brasileira. Atingimos uma receita operacional bruta de 470 milhões de reais em 2023, 16,5% superior à de 2022, refletindo o sucesso de nossa estratégia diversificada e da gestão eficiente de recursos.</w:t>
      </w:r>
    </w:p>
    <w:p w14:paraId="2B712FF2" w14:textId="77777777" w:rsidR="00920028" w:rsidRPr="00176FFB" w:rsidRDefault="00920028" w:rsidP="00920028">
      <w:pPr>
        <w:spacing w:after="0"/>
        <w:jc w:val="both"/>
        <w:rPr>
          <w:rFonts w:ascii="Calibri" w:eastAsia="Times New Roman" w:hAnsi="Calibri" w:cs="Times New Roman"/>
          <w:color w:val="002060"/>
          <w:kern w:val="0"/>
          <w14:ligatures w14:val="none"/>
        </w:rPr>
      </w:pPr>
      <w:r w:rsidRPr="00176FFB">
        <w:rPr>
          <w:rFonts w:ascii="Calibri" w:eastAsia="Times New Roman" w:hAnsi="Calibri" w:cs="Times New Roman"/>
          <w:color w:val="002060"/>
          <w:kern w:val="0"/>
          <w14:ligatures w14:val="none"/>
        </w:rPr>
        <w:t>À medida que avançamos para 2024, permanecemos dedicados à execução de políticas públicas e à segurança nacional. Com o olhar sempre voltado para a inovação, a responsabilidade social e a segurança, estamos comprometidos em construir um futuro mais conectado e seguro para todos os brasileiros.</w:t>
      </w:r>
    </w:p>
    <w:p w14:paraId="30491089" w14:textId="77777777" w:rsidR="00920028" w:rsidRPr="00176FFB" w:rsidRDefault="00920028" w:rsidP="00920028">
      <w:pPr>
        <w:spacing w:after="0"/>
        <w:jc w:val="both"/>
        <w:rPr>
          <w:rFonts w:ascii="Calibri" w:eastAsia="Times New Roman" w:hAnsi="Calibri" w:cs="Times New Roman"/>
          <w:color w:val="002060"/>
          <w:kern w:val="0"/>
          <w14:ligatures w14:val="none"/>
        </w:rPr>
      </w:pPr>
      <w:r w:rsidRPr="00176FFB">
        <w:rPr>
          <w:rFonts w:ascii="Calibri" w:eastAsia="Times New Roman" w:hAnsi="Calibri" w:cs="Times New Roman"/>
          <w:color w:val="002060"/>
          <w:kern w:val="0"/>
          <w14:ligatures w14:val="none"/>
        </w:rPr>
        <w:t>Agradecemos imensamente a todos os nossos colaboradores, parceiros e acionistas pelo apoio contínuo e pela confiança depositada em nossa visão e missão. Juntos, enfrentaremos os desafios e aproveitaremos as oportunidades que o futuro nos reserva, sempre com o compromisso de servir e proteger nosso país.</w:t>
      </w:r>
    </w:p>
    <w:p w14:paraId="7E0C2564" w14:textId="77777777" w:rsidR="00920028" w:rsidRDefault="00920028" w:rsidP="00920028">
      <w:pPr>
        <w:spacing w:after="0"/>
        <w:jc w:val="both"/>
        <w:rPr>
          <w:rFonts w:ascii="Calibri" w:eastAsia="Times New Roman" w:hAnsi="Calibri" w:cs="Times New Roman"/>
          <w:color w:val="002060"/>
          <w:kern w:val="0"/>
          <w14:ligatures w14:val="none"/>
        </w:rPr>
      </w:pPr>
      <w:r w:rsidRPr="00176FFB">
        <w:rPr>
          <w:rFonts w:ascii="Calibri" w:eastAsia="Times New Roman" w:hAnsi="Calibri" w:cs="Times New Roman"/>
          <w:color w:val="002060"/>
          <w:kern w:val="0"/>
          <w14:ligatures w14:val="none"/>
        </w:rPr>
        <w:t>Atenciosamente,</w:t>
      </w:r>
    </w:p>
    <w:p w14:paraId="6999409E" w14:textId="77777777" w:rsidR="00920028" w:rsidRDefault="00920028" w:rsidP="00920028">
      <w:pPr>
        <w:spacing w:after="0"/>
        <w:jc w:val="both"/>
        <w:rPr>
          <w:rFonts w:ascii="Calibri" w:eastAsia="Times New Roman" w:hAnsi="Calibri" w:cs="Times New Roman"/>
          <w:b/>
          <w:bCs/>
          <w:color w:val="002060"/>
          <w:kern w:val="0"/>
          <w14:ligatures w14:val="none"/>
        </w:rPr>
      </w:pPr>
      <w:r w:rsidRPr="00176FFB">
        <w:rPr>
          <w:rFonts w:ascii="Calibri" w:eastAsia="Times New Roman" w:hAnsi="Calibri" w:cs="Times New Roman"/>
          <w:b/>
          <w:bCs/>
          <w:color w:val="002060"/>
          <w:kern w:val="0"/>
          <w14:ligatures w14:val="none"/>
        </w:rPr>
        <w:t>A Administraçã</w:t>
      </w:r>
      <w:r>
        <w:rPr>
          <w:rFonts w:ascii="Calibri" w:eastAsia="Times New Roman" w:hAnsi="Calibri" w:cs="Times New Roman"/>
          <w:b/>
          <w:bCs/>
          <w:color w:val="002060"/>
          <w:kern w:val="0"/>
          <w14:ligatures w14:val="none"/>
        </w:rPr>
        <w:t xml:space="preserve">o </w:t>
      </w:r>
    </w:p>
    <w:p w14:paraId="71D3CD8E" w14:textId="77777777" w:rsidR="00920028" w:rsidRPr="00176FFB" w:rsidRDefault="00920028" w:rsidP="00920028">
      <w:pPr>
        <w:spacing w:after="0"/>
        <w:jc w:val="both"/>
        <w:rPr>
          <w:rFonts w:ascii="Calibri" w:eastAsia="Times New Roman" w:hAnsi="Calibri" w:cs="Times New Roman"/>
          <w:b/>
          <w:bCs/>
          <w:color w:val="002060"/>
          <w:kern w:val="0"/>
          <w14:ligatures w14:val="none"/>
        </w:rPr>
      </w:pPr>
      <w:bookmarkStart w:id="0" w:name="_Toc161319429"/>
      <w:r w:rsidRPr="00176FFB">
        <w:rPr>
          <w:rFonts w:ascii="Calibri" w:eastAsia="Times New Roman" w:hAnsi="Calibri" w:cs="Times New Roman"/>
          <w:b/>
          <w:bCs/>
          <w:color w:val="002060"/>
          <w:kern w:val="0"/>
          <w14:ligatures w14:val="none"/>
        </w:rPr>
        <w:t>2. Perfil de Atuação</w:t>
      </w:r>
      <w:bookmarkEnd w:id="0"/>
    </w:p>
    <w:p w14:paraId="6581A6DC" w14:textId="77777777" w:rsidR="00920028" w:rsidRPr="00176FFB" w:rsidRDefault="00920028" w:rsidP="00920028">
      <w:pPr>
        <w:spacing w:after="0"/>
        <w:jc w:val="both"/>
        <w:rPr>
          <w:rFonts w:ascii="Calibri" w:eastAsia="Times New Roman" w:hAnsi="Calibri" w:cs="Times New Roman"/>
          <w:color w:val="002060"/>
          <w:kern w:val="0"/>
          <w14:ligatures w14:val="none"/>
        </w:rPr>
      </w:pPr>
      <w:r w:rsidRPr="00176FFB">
        <w:rPr>
          <w:rFonts w:ascii="Calibri" w:eastAsia="Times New Roman" w:hAnsi="Calibri" w:cs="Times New Roman"/>
          <w:color w:val="002060"/>
          <w:kern w:val="0"/>
          <w14:ligatures w14:val="none"/>
        </w:rPr>
        <w:t>A Telecomunicações Brasileiras S.A. – Telebras, sediada no Setor de Indústrias Gráficas – SIG, quadra 4, lotes 75, 83, 125 e 175, bloco A, salas 211 a 224, Edifício Capital Financial Center, CEP 70610-440, Brasília-DF, inscrita no CNPJ sob o nº 00.336.701/0001-04, é uma sociedade empresarial de economia mista e de capital aberto, listada na Bolsa de Valores B3, vinculada ao Ministério das Comunicações, constituída em 9 de novembro de 1972, de acordo com a Lei nº 5.792, de 1 de julho de 1972, autorizada pela ANATEL para a prestação do Serviço de Comunicação Multimídia, por meio do Termo PVST/SPV nº 118/2011, publicado no Diário Oficial da União em 7 de abril de 2011. Rege-se, portanto, pela Lei nº 6.404/76, por disposições especiais de leis federais e da Comissão de Valores Mobiliários – CVM, pela legislação de telecomunicações, pelas leis e usos do comércio e demais disposições legais aplicáveis.</w:t>
      </w:r>
    </w:p>
    <w:p w14:paraId="39EB43E1" w14:textId="77777777" w:rsidR="00920028" w:rsidRPr="00176FFB" w:rsidRDefault="00920028" w:rsidP="00920028">
      <w:pPr>
        <w:spacing w:after="0"/>
        <w:jc w:val="both"/>
        <w:rPr>
          <w:rFonts w:ascii="Calibri" w:eastAsia="Times New Roman" w:hAnsi="Calibri" w:cs="Times New Roman"/>
          <w:color w:val="002060"/>
          <w:kern w:val="0"/>
          <w14:ligatures w14:val="none"/>
        </w:rPr>
      </w:pPr>
      <w:r w:rsidRPr="00176FFB">
        <w:rPr>
          <w:rFonts w:ascii="Calibri" w:eastAsia="Times New Roman" w:hAnsi="Calibri" w:cs="Times New Roman"/>
          <w:color w:val="002060"/>
          <w:kern w:val="0"/>
          <w14:ligatures w14:val="none"/>
        </w:rPr>
        <w:t xml:space="preserve">Em conformidade com a Lei nº 13.978/2020, Lei Orçamentária Anual, a Telebras foi incluída no Orçamento Fiscal e da Seguridade Social (OFSS), passando a ser classificada como empresa estatal dependente. </w:t>
      </w:r>
    </w:p>
    <w:p w14:paraId="1197CF2E" w14:textId="77777777" w:rsidR="00920028" w:rsidRPr="00176FFB" w:rsidRDefault="00920028" w:rsidP="00920028">
      <w:pPr>
        <w:spacing w:after="0"/>
        <w:jc w:val="both"/>
        <w:rPr>
          <w:rFonts w:ascii="Calibri" w:eastAsia="Times New Roman" w:hAnsi="Calibri" w:cs="Times New Roman"/>
          <w:color w:val="002060"/>
          <w:kern w:val="0"/>
          <w14:ligatures w14:val="none"/>
        </w:rPr>
      </w:pPr>
      <w:r w:rsidRPr="00176FFB">
        <w:rPr>
          <w:rFonts w:ascii="Calibri" w:eastAsia="Times New Roman" w:hAnsi="Calibri" w:cs="Times New Roman"/>
          <w:color w:val="002060"/>
          <w:kern w:val="0"/>
          <w14:ligatures w14:val="none"/>
        </w:rPr>
        <w:t>A Telebras atua em conformidade com o Decreto nº 9.612/18, conforme descrito a seguir:</w:t>
      </w:r>
    </w:p>
    <w:p w14:paraId="07F3D348" w14:textId="77777777" w:rsidR="00920028" w:rsidRPr="00176FFB" w:rsidRDefault="00920028" w:rsidP="00920028">
      <w:pPr>
        <w:spacing w:after="0"/>
        <w:ind w:left="708"/>
        <w:jc w:val="both"/>
        <w:rPr>
          <w:rFonts w:ascii="Calibri" w:eastAsia="Times New Roman" w:hAnsi="Calibri" w:cs="Times New Roman"/>
          <w:color w:val="002060"/>
          <w:kern w:val="0"/>
          <w14:ligatures w14:val="none"/>
        </w:rPr>
      </w:pPr>
      <w:r w:rsidRPr="00176FFB">
        <w:rPr>
          <w:rFonts w:ascii="Calibri" w:eastAsia="Times New Roman" w:hAnsi="Calibri" w:cs="Times New Roman"/>
          <w:color w:val="002060"/>
          <w:kern w:val="0"/>
          <w14:ligatures w14:val="none"/>
        </w:rPr>
        <w:t>“Art. 12. As políticas públicas de telecomunicações de que trata este Decreto substituem, para todos os fins legais, o Programa Nacional de Banda Larga e o Programa Brasil Inteligente, mantidas as seguintes atribuições da Telecomunicações Brasileiras S.A. - Telebras:</w:t>
      </w:r>
    </w:p>
    <w:p w14:paraId="2FFD3425" w14:textId="77777777" w:rsidR="00920028" w:rsidRPr="00176FFB" w:rsidRDefault="00920028" w:rsidP="00920028">
      <w:pPr>
        <w:spacing w:after="0"/>
        <w:ind w:left="708"/>
        <w:jc w:val="both"/>
        <w:rPr>
          <w:rFonts w:ascii="Calibri" w:eastAsia="Times New Roman" w:hAnsi="Calibri" w:cs="Times New Roman"/>
          <w:color w:val="002060"/>
          <w:kern w:val="0"/>
          <w14:ligatures w14:val="none"/>
        </w:rPr>
      </w:pPr>
      <w:r w:rsidRPr="00176FFB">
        <w:rPr>
          <w:rFonts w:ascii="Calibri" w:eastAsia="Times New Roman" w:hAnsi="Calibri" w:cs="Times New Roman"/>
          <w:color w:val="002060"/>
          <w:kern w:val="0"/>
          <w14:ligatures w14:val="none"/>
        </w:rPr>
        <w:t xml:space="preserve">I - </w:t>
      </w:r>
      <w:proofErr w:type="gramStart"/>
      <w:r w:rsidRPr="00176FFB">
        <w:rPr>
          <w:rFonts w:ascii="Calibri" w:eastAsia="Times New Roman" w:hAnsi="Calibri" w:cs="Times New Roman"/>
          <w:color w:val="002060"/>
          <w:kern w:val="0"/>
          <w14:ligatures w14:val="none"/>
        </w:rPr>
        <w:t>implementação</w:t>
      </w:r>
      <w:proofErr w:type="gramEnd"/>
      <w:r w:rsidRPr="00176FFB">
        <w:rPr>
          <w:rFonts w:ascii="Calibri" w:eastAsia="Times New Roman" w:hAnsi="Calibri" w:cs="Times New Roman"/>
          <w:color w:val="002060"/>
          <w:kern w:val="0"/>
          <w14:ligatures w14:val="none"/>
        </w:rPr>
        <w:t xml:space="preserve"> da rede privativa de comunicação da administração pública federal; </w:t>
      </w:r>
    </w:p>
    <w:p w14:paraId="1FC631C1" w14:textId="77777777" w:rsidR="00920028" w:rsidRPr="00176FFB" w:rsidRDefault="00920028" w:rsidP="00920028">
      <w:pPr>
        <w:spacing w:after="0"/>
        <w:ind w:left="708"/>
        <w:jc w:val="both"/>
        <w:rPr>
          <w:rFonts w:ascii="Calibri" w:eastAsia="Times New Roman" w:hAnsi="Calibri" w:cs="Times New Roman"/>
          <w:color w:val="002060"/>
          <w:kern w:val="0"/>
          <w14:ligatures w14:val="none"/>
        </w:rPr>
      </w:pPr>
      <w:r w:rsidRPr="00176FFB">
        <w:rPr>
          <w:rFonts w:ascii="Calibri" w:eastAsia="Times New Roman" w:hAnsi="Calibri" w:cs="Times New Roman"/>
          <w:color w:val="002060"/>
          <w:kern w:val="0"/>
          <w14:ligatures w14:val="none"/>
        </w:rPr>
        <w:t xml:space="preserve">II - </w:t>
      </w:r>
      <w:proofErr w:type="gramStart"/>
      <w:r w:rsidRPr="00176FFB">
        <w:rPr>
          <w:rFonts w:ascii="Calibri" w:eastAsia="Times New Roman" w:hAnsi="Calibri" w:cs="Times New Roman"/>
          <w:color w:val="002060"/>
          <w:kern w:val="0"/>
          <w14:ligatures w14:val="none"/>
        </w:rPr>
        <w:t>prestação</w:t>
      </w:r>
      <w:proofErr w:type="gramEnd"/>
      <w:r w:rsidRPr="00176FFB">
        <w:rPr>
          <w:rFonts w:ascii="Calibri" w:eastAsia="Times New Roman" w:hAnsi="Calibri" w:cs="Times New Roman"/>
          <w:color w:val="002060"/>
          <w:kern w:val="0"/>
          <w14:ligatures w14:val="none"/>
        </w:rPr>
        <w:t xml:space="preserve"> de apoio e suporte às políticas públicas de conexão à internet em banda larga para universidades, centros de pesquisa, escolas, hospitais, postos de atendimento, telecentros comunitários e outros pontos de interesse público; </w:t>
      </w:r>
    </w:p>
    <w:p w14:paraId="116F8971" w14:textId="77777777" w:rsidR="00920028" w:rsidRPr="00176FFB" w:rsidRDefault="00920028" w:rsidP="00920028">
      <w:pPr>
        <w:spacing w:after="0"/>
        <w:ind w:left="708"/>
        <w:jc w:val="both"/>
        <w:rPr>
          <w:rFonts w:ascii="Calibri" w:eastAsia="Times New Roman" w:hAnsi="Calibri" w:cs="Times New Roman"/>
          <w:color w:val="002060"/>
          <w:kern w:val="0"/>
          <w14:ligatures w14:val="none"/>
        </w:rPr>
      </w:pPr>
      <w:r w:rsidRPr="00176FFB">
        <w:rPr>
          <w:rFonts w:ascii="Calibri" w:eastAsia="Times New Roman" w:hAnsi="Calibri" w:cs="Times New Roman"/>
          <w:color w:val="002060"/>
          <w:kern w:val="0"/>
          <w14:ligatures w14:val="none"/>
        </w:rPr>
        <w:t xml:space="preserve">III - provisão de infraestrutura e de redes de suporte a serviços de telecomunicações prestados por empresas privadas, pelos Estados, pelo Distrito Federal, pelos Municípios e por entidades sem fins lucrativos; e </w:t>
      </w:r>
    </w:p>
    <w:p w14:paraId="7EF85CBC" w14:textId="77777777" w:rsidR="00920028" w:rsidRPr="00176FFB" w:rsidRDefault="00920028" w:rsidP="00920028">
      <w:pPr>
        <w:spacing w:after="0"/>
        <w:ind w:left="708"/>
        <w:jc w:val="both"/>
        <w:rPr>
          <w:rFonts w:ascii="Calibri" w:eastAsia="Times New Roman" w:hAnsi="Calibri" w:cs="Times New Roman"/>
          <w:color w:val="002060"/>
          <w:kern w:val="0"/>
          <w14:ligatures w14:val="none"/>
        </w:rPr>
      </w:pPr>
      <w:r w:rsidRPr="00176FFB">
        <w:rPr>
          <w:rFonts w:ascii="Calibri" w:eastAsia="Times New Roman" w:hAnsi="Calibri" w:cs="Times New Roman"/>
          <w:color w:val="002060"/>
          <w:kern w:val="0"/>
          <w14:ligatures w14:val="none"/>
        </w:rPr>
        <w:t xml:space="preserve">IV - </w:t>
      </w:r>
      <w:proofErr w:type="gramStart"/>
      <w:r w:rsidRPr="00176FFB">
        <w:rPr>
          <w:rFonts w:ascii="Calibri" w:eastAsia="Times New Roman" w:hAnsi="Calibri" w:cs="Times New Roman"/>
          <w:color w:val="002060"/>
          <w:kern w:val="0"/>
          <w14:ligatures w14:val="none"/>
        </w:rPr>
        <w:t>prestação</w:t>
      </w:r>
      <w:proofErr w:type="gramEnd"/>
      <w:r w:rsidRPr="00176FFB">
        <w:rPr>
          <w:rFonts w:ascii="Calibri" w:eastAsia="Times New Roman" w:hAnsi="Calibri" w:cs="Times New Roman"/>
          <w:color w:val="002060"/>
          <w:kern w:val="0"/>
          <w14:ligatures w14:val="none"/>
        </w:rPr>
        <w:t xml:space="preserve"> de serviço de conexão à internet em banda larga para usuários finais, apenas em localidades onde inexista oferta adequada daqueles serviços. </w:t>
      </w:r>
    </w:p>
    <w:p w14:paraId="190A8A57" w14:textId="77777777" w:rsidR="00920028" w:rsidRPr="00176FFB" w:rsidRDefault="00920028" w:rsidP="00920028">
      <w:pPr>
        <w:spacing w:after="0"/>
        <w:ind w:left="708"/>
        <w:jc w:val="both"/>
        <w:rPr>
          <w:rFonts w:ascii="Calibri" w:eastAsia="Times New Roman" w:hAnsi="Calibri" w:cs="Times New Roman"/>
          <w:color w:val="002060"/>
          <w:kern w:val="0"/>
          <w14:ligatures w14:val="none"/>
        </w:rPr>
      </w:pPr>
      <w:r w:rsidRPr="00176FFB">
        <w:rPr>
          <w:rFonts w:ascii="Calibri" w:eastAsia="Times New Roman" w:hAnsi="Calibri" w:cs="Times New Roman"/>
          <w:color w:val="002060"/>
          <w:kern w:val="0"/>
          <w14:ligatures w14:val="none"/>
        </w:rPr>
        <w:t xml:space="preserve">§ 1º A Telebras exercerá suas atividades nos termos da legislação. </w:t>
      </w:r>
    </w:p>
    <w:p w14:paraId="4469F0C4" w14:textId="77777777" w:rsidR="00920028" w:rsidRPr="00176FFB" w:rsidRDefault="00920028" w:rsidP="00920028">
      <w:pPr>
        <w:spacing w:after="0"/>
        <w:ind w:left="708"/>
        <w:jc w:val="both"/>
        <w:rPr>
          <w:rFonts w:ascii="Calibri" w:eastAsia="Times New Roman" w:hAnsi="Calibri" w:cs="Times New Roman"/>
          <w:color w:val="002060"/>
          <w:kern w:val="0"/>
          <w14:ligatures w14:val="none"/>
        </w:rPr>
      </w:pPr>
      <w:r w:rsidRPr="00176FFB">
        <w:rPr>
          <w:rFonts w:ascii="Calibri" w:eastAsia="Times New Roman" w:hAnsi="Calibri" w:cs="Times New Roman"/>
          <w:color w:val="002060"/>
          <w:kern w:val="0"/>
          <w14:ligatures w14:val="none"/>
        </w:rPr>
        <w:lastRenderedPageBreak/>
        <w:t xml:space="preserve">§ 2º Os sistemas de tecnologia de informação e comunicação destinados às atividades de que tratam os incisos I e II do caput são considerados estratégicos para fins de contratação de bens e serviços relacionados à implantação, à manutenção e ao aperfeiçoamento. </w:t>
      </w:r>
    </w:p>
    <w:p w14:paraId="2F465BC8" w14:textId="77777777" w:rsidR="00920028" w:rsidRPr="00176FFB" w:rsidRDefault="00920028" w:rsidP="00920028">
      <w:pPr>
        <w:spacing w:after="0"/>
        <w:ind w:left="708"/>
        <w:jc w:val="both"/>
        <w:rPr>
          <w:rFonts w:ascii="Calibri" w:eastAsia="Times New Roman" w:hAnsi="Calibri" w:cs="Times New Roman"/>
          <w:color w:val="002060"/>
          <w:kern w:val="0"/>
          <w14:ligatures w14:val="none"/>
        </w:rPr>
      </w:pPr>
      <w:r w:rsidRPr="00176FFB">
        <w:rPr>
          <w:rFonts w:ascii="Calibri" w:eastAsia="Times New Roman" w:hAnsi="Calibri" w:cs="Times New Roman"/>
          <w:color w:val="002060"/>
          <w:kern w:val="0"/>
          <w14:ligatures w14:val="none"/>
        </w:rPr>
        <w:t xml:space="preserve">§ 3º A implementação da rede privativa de comunicação da administração pública federal de que trata o inciso I do caput consistirá na provisão de serviços, infraestrutura e redes de suporte à comunicação e à transmissão de dados, na forma da legislação em vigor. </w:t>
      </w:r>
    </w:p>
    <w:p w14:paraId="393BD38F" w14:textId="77777777" w:rsidR="00920028" w:rsidRPr="00176FFB" w:rsidRDefault="00920028" w:rsidP="00920028">
      <w:pPr>
        <w:spacing w:after="0"/>
        <w:ind w:left="708"/>
        <w:jc w:val="both"/>
        <w:rPr>
          <w:rFonts w:ascii="Calibri" w:eastAsia="Times New Roman" w:hAnsi="Calibri" w:cs="Times New Roman"/>
          <w:color w:val="002060"/>
          <w:kern w:val="0"/>
          <w14:ligatures w14:val="none"/>
        </w:rPr>
      </w:pPr>
      <w:r w:rsidRPr="00176FFB">
        <w:rPr>
          <w:rFonts w:ascii="Calibri" w:eastAsia="Times New Roman" w:hAnsi="Calibri" w:cs="Times New Roman"/>
          <w:color w:val="002060"/>
          <w:kern w:val="0"/>
          <w14:ligatures w14:val="none"/>
        </w:rPr>
        <w:t xml:space="preserve">§ 4º O Ministério das Comunicações definirá as localidades onde inexista a oferta adequada de serviços de conexão à internet em banda larga a que se refere o inciso IV do caput. </w:t>
      </w:r>
    </w:p>
    <w:p w14:paraId="472FEEDD" w14:textId="77777777" w:rsidR="00920028" w:rsidRPr="00176FFB" w:rsidRDefault="00920028" w:rsidP="00920028">
      <w:pPr>
        <w:spacing w:after="0"/>
        <w:ind w:left="708"/>
        <w:jc w:val="both"/>
        <w:rPr>
          <w:rFonts w:ascii="Calibri" w:eastAsia="Times New Roman" w:hAnsi="Calibri" w:cs="Times New Roman"/>
          <w:color w:val="002060"/>
          <w:kern w:val="0"/>
          <w14:ligatures w14:val="none"/>
        </w:rPr>
      </w:pPr>
      <w:r w:rsidRPr="00176FFB">
        <w:rPr>
          <w:rFonts w:ascii="Calibri" w:eastAsia="Times New Roman" w:hAnsi="Calibri" w:cs="Times New Roman"/>
          <w:color w:val="002060"/>
          <w:kern w:val="0"/>
          <w14:ligatures w14:val="none"/>
        </w:rPr>
        <w:t xml:space="preserve">§ 5º A Telebras permanece autorizada a usar, fruir, operar e manter a infraestrutura e as redes de suporte de serviços de telecomunicações de propriedade ou posse da administração pública federal e a firmar o correspondente contrato de cessão, na hipótese de uso de infraestrutura detida por entidade da administração pública federal indireta. </w:t>
      </w:r>
    </w:p>
    <w:p w14:paraId="14EB6CEE" w14:textId="77777777" w:rsidR="00920028" w:rsidRPr="00176FFB" w:rsidRDefault="00920028" w:rsidP="00920028">
      <w:pPr>
        <w:spacing w:after="0"/>
        <w:ind w:left="708"/>
        <w:jc w:val="both"/>
        <w:rPr>
          <w:rFonts w:ascii="Calibri" w:eastAsia="Times New Roman" w:hAnsi="Calibri" w:cs="Times New Roman"/>
          <w:color w:val="002060"/>
          <w:kern w:val="0"/>
          <w14:ligatures w14:val="none"/>
        </w:rPr>
      </w:pPr>
      <w:r w:rsidRPr="00176FFB">
        <w:rPr>
          <w:rFonts w:ascii="Calibri" w:eastAsia="Times New Roman" w:hAnsi="Calibri" w:cs="Times New Roman"/>
          <w:color w:val="002060"/>
          <w:kern w:val="0"/>
          <w14:ligatures w14:val="none"/>
        </w:rPr>
        <w:t>§ 6º As ações executadas ou em execução com fundamento nos programas indicados no caput não serão prejudicadas pela entrada em vigor deste Decreto.</w:t>
      </w:r>
    </w:p>
    <w:p w14:paraId="26BE955E" w14:textId="77777777" w:rsidR="00920028" w:rsidRPr="00176FFB" w:rsidRDefault="00920028" w:rsidP="00920028">
      <w:pPr>
        <w:spacing w:after="0"/>
        <w:ind w:left="708"/>
        <w:jc w:val="both"/>
        <w:rPr>
          <w:rFonts w:ascii="Calibri" w:eastAsia="Times New Roman" w:hAnsi="Calibri" w:cs="Times New Roman"/>
          <w:color w:val="002060"/>
          <w:kern w:val="0"/>
          <w14:ligatures w14:val="none"/>
        </w:rPr>
      </w:pPr>
      <w:r w:rsidRPr="00176FFB">
        <w:rPr>
          <w:rFonts w:ascii="Calibri" w:eastAsia="Times New Roman" w:hAnsi="Calibri" w:cs="Times New Roman"/>
          <w:color w:val="002060"/>
          <w:kern w:val="0"/>
          <w14:ligatures w14:val="none"/>
        </w:rPr>
        <w:t xml:space="preserve">§ 7º A rede privativa de comunicação da administração pública federal, de que trata o inciso I do caput, de abrangência nacional, será composta por segmentos de rede móvel e fixa, incluída rede satelital, e observará as seguintes condições: </w:t>
      </w:r>
    </w:p>
    <w:p w14:paraId="787505BF" w14:textId="77777777" w:rsidR="00920028" w:rsidRPr="00176FFB" w:rsidRDefault="00920028" w:rsidP="00920028">
      <w:pPr>
        <w:spacing w:after="0"/>
        <w:ind w:left="708"/>
        <w:jc w:val="both"/>
        <w:rPr>
          <w:rFonts w:ascii="Calibri" w:eastAsia="Times New Roman" w:hAnsi="Calibri" w:cs="Times New Roman"/>
          <w:color w:val="002060"/>
          <w:kern w:val="0"/>
          <w14:ligatures w14:val="none"/>
        </w:rPr>
      </w:pPr>
      <w:r w:rsidRPr="00176FFB">
        <w:rPr>
          <w:rFonts w:ascii="Calibri" w:eastAsia="Times New Roman" w:hAnsi="Calibri" w:cs="Times New Roman"/>
          <w:color w:val="002060"/>
          <w:kern w:val="0"/>
          <w14:ligatures w14:val="none"/>
        </w:rPr>
        <w:t xml:space="preserve">I - </w:t>
      </w:r>
      <w:proofErr w:type="gramStart"/>
      <w:r w:rsidRPr="00176FFB">
        <w:rPr>
          <w:rFonts w:ascii="Calibri" w:eastAsia="Times New Roman" w:hAnsi="Calibri" w:cs="Times New Roman"/>
          <w:color w:val="002060"/>
          <w:kern w:val="0"/>
          <w14:ligatures w14:val="none"/>
        </w:rPr>
        <w:t>prover</w:t>
      </w:r>
      <w:proofErr w:type="gramEnd"/>
      <w:r w:rsidRPr="00176FFB">
        <w:rPr>
          <w:rFonts w:ascii="Calibri" w:eastAsia="Times New Roman" w:hAnsi="Calibri" w:cs="Times New Roman"/>
          <w:color w:val="002060"/>
          <w:kern w:val="0"/>
          <w14:ligatures w14:val="none"/>
        </w:rPr>
        <w:t xml:space="preserve"> capacidade de rede adequada para o atendimento das demandas de órgãos e de entidades da administração pública federal e de órgãos de segurança pública e das forças armadas, com níveis de prioridade, segurança e criptografia adequados às necessidades desses órgãos e entidades; e </w:t>
      </w:r>
    </w:p>
    <w:p w14:paraId="3C6A5EFB" w14:textId="77777777" w:rsidR="00920028" w:rsidRPr="00176FFB" w:rsidRDefault="00920028" w:rsidP="00920028">
      <w:pPr>
        <w:spacing w:after="0"/>
        <w:ind w:left="708"/>
        <w:jc w:val="both"/>
        <w:rPr>
          <w:rFonts w:ascii="Calibri" w:eastAsia="Times New Roman" w:hAnsi="Calibri" w:cs="Times New Roman"/>
          <w:color w:val="002060"/>
          <w:kern w:val="0"/>
          <w14:ligatures w14:val="none"/>
        </w:rPr>
      </w:pPr>
      <w:r w:rsidRPr="00176FFB">
        <w:rPr>
          <w:rFonts w:ascii="Calibri" w:eastAsia="Times New Roman" w:hAnsi="Calibri" w:cs="Times New Roman"/>
          <w:color w:val="002060"/>
          <w:kern w:val="0"/>
          <w14:ligatures w14:val="none"/>
        </w:rPr>
        <w:t xml:space="preserve">II - </w:t>
      </w:r>
      <w:proofErr w:type="gramStart"/>
      <w:r w:rsidRPr="00176FFB">
        <w:rPr>
          <w:rFonts w:ascii="Calibri" w:eastAsia="Times New Roman" w:hAnsi="Calibri" w:cs="Times New Roman"/>
          <w:color w:val="002060"/>
          <w:kern w:val="0"/>
          <w14:ligatures w14:val="none"/>
        </w:rPr>
        <w:t>utilizar</w:t>
      </w:r>
      <w:proofErr w:type="gramEnd"/>
      <w:r w:rsidRPr="00176FFB">
        <w:rPr>
          <w:rFonts w:ascii="Calibri" w:eastAsia="Times New Roman" w:hAnsi="Calibri" w:cs="Times New Roman"/>
          <w:color w:val="002060"/>
          <w:kern w:val="0"/>
          <w14:ligatures w14:val="none"/>
        </w:rPr>
        <w:t xml:space="preserve">, em caráter primário, faixas de radiofrequências designadas pela Anatel para a consecução das atividades de segurança pública, defesa, serviços de socorro e emergência, resposta a desastres e outras atribuições críticas de Estado, incluídas as realizadas por entes federativos, e para atendimento aos órgãos públicos federais, em especial aquelas previstas em editais de licitação de radiofrequências. </w:t>
      </w:r>
    </w:p>
    <w:p w14:paraId="57CAA0EB" w14:textId="77777777" w:rsidR="00920028" w:rsidRPr="00176FFB" w:rsidRDefault="00920028" w:rsidP="00920028">
      <w:pPr>
        <w:spacing w:after="0"/>
        <w:ind w:left="708"/>
        <w:jc w:val="both"/>
        <w:rPr>
          <w:rFonts w:ascii="Calibri" w:eastAsia="Times New Roman" w:hAnsi="Calibri" w:cs="Times New Roman"/>
          <w:color w:val="002060"/>
          <w:kern w:val="0"/>
          <w14:ligatures w14:val="none"/>
        </w:rPr>
      </w:pPr>
      <w:r w:rsidRPr="00176FFB">
        <w:rPr>
          <w:rFonts w:ascii="Calibri" w:eastAsia="Times New Roman" w:hAnsi="Calibri" w:cs="Times New Roman"/>
          <w:color w:val="002060"/>
          <w:kern w:val="0"/>
          <w14:ligatures w14:val="none"/>
        </w:rPr>
        <w:t xml:space="preserve">§ 8º Para fins da consecução das atribuições dispostas nos incisos I e III do caput, fica facultado compartilhar infraestruturas passivas e ativas, incluídos os recursos espectrais, com outras redes, observado o incentivo à competição, conforme o disposto na alínea "c" do inciso I do caput do art. 2º. </w:t>
      </w:r>
    </w:p>
    <w:p w14:paraId="138C3A21" w14:textId="77777777" w:rsidR="00920028" w:rsidRPr="00176FFB" w:rsidRDefault="00920028" w:rsidP="00920028">
      <w:pPr>
        <w:spacing w:after="0"/>
        <w:ind w:left="708"/>
        <w:jc w:val="both"/>
        <w:rPr>
          <w:rFonts w:ascii="Calibri" w:eastAsia="Times New Roman" w:hAnsi="Calibri" w:cs="Times New Roman"/>
          <w:color w:val="002060"/>
          <w:kern w:val="0"/>
          <w14:ligatures w14:val="none"/>
        </w:rPr>
      </w:pPr>
      <w:r w:rsidRPr="00176FFB">
        <w:rPr>
          <w:rFonts w:ascii="Calibri" w:eastAsia="Times New Roman" w:hAnsi="Calibri" w:cs="Times New Roman"/>
          <w:color w:val="002060"/>
          <w:kern w:val="0"/>
          <w14:ligatures w14:val="none"/>
        </w:rPr>
        <w:t xml:space="preserve">§ 9º A Anatel expedirá as autorizações para a exploração de serviços de telecomunicações adequadas aos diferentes usos do segmento de rede móvel da rede privativa de comunicação da administração pública federal, de que tratam o inciso I do caput e o § 7º, e as respectivas autorizações de uso de radiofrequências. </w:t>
      </w:r>
    </w:p>
    <w:p w14:paraId="787B36B1" w14:textId="77777777" w:rsidR="0057278F" w:rsidRDefault="00920028" w:rsidP="00920028">
      <w:pPr>
        <w:spacing w:after="0"/>
        <w:jc w:val="both"/>
        <w:rPr>
          <w:rFonts w:ascii="Calibri" w:eastAsia="Times New Roman" w:hAnsi="Calibri" w:cs="Times New Roman"/>
          <w:color w:val="002060"/>
          <w:kern w:val="0"/>
          <w14:ligatures w14:val="none"/>
        </w:rPr>
      </w:pPr>
      <w:r w:rsidRPr="00176FFB">
        <w:rPr>
          <w:rFonts w:ascii="Calibri" w:eastAsia="Times New Roman" w:hAnsi="Calibri" w:cs="Times New Roman"/>
          <w:color w:val="002060"/>
          <w:kern w:val="0"/>
          <w14:ligatures w14:val="none"/>
        </w:rPr>
        <w:t>Em consonância com suas atribuições legais, a Telebras atua como agente executor de políticas públicas de telecomunicações visando à inclusão digital dos cidadãos, com o propósito de levar conectividade e internet de alta capacidade e excelente qualidade às localidades não atendidas ou com baixo atendimento, bem como atender às demandas de soluções em serviços de conexão para a Administração Pública, cumprindo sua função social. Adicionalmente, a Telebras foi designada para gerir exclusivamente a Rede Privativa de Comunicação da Administração Pública Federal (RPCAPF), conforme estipulado pelo Decreto nº 11.299/2022. Essa</w:t>
      </w:r>
    </w:p>
    <w:p w14:paraId="37414743" w14:textId="243AA290" w:rsidR="00920028" w:rsidRPr="00176FFB" w:rsidRDefault="00920028" w:rsidP="00920028">
      <w:pPr>
        <w:spacing w:after="0"/>
        <w:jc w:val="both"/>
        <w:rPr>
          <w:rFonts w:ascii="Calibri" w:eastAsia="Times New Roman" w:hAnsi="Calibri" w:cs="Times New Roman"/>
          <w:color w:val="002060"/>
          <w:kern w:val="0"/>
          <w14:ligatures w14:val="none"/>
        </w:rPr>
      </w:pPr>
      <w:r w:rsidRPr="00176FFB">
        <w:rPr>
          <w:rFonts w:ascii="Calibri" w:eastAsia="Times New Roman" w:hAnsi="Calibri" w:cs="Times New Roman"/>
          <w:color w:val="002060"/>
          <w:kern w:val="0"/>
          <w14:ligatures w14:val="none"/>
        </w:rPr>
        <w:t>responsabilidade reforça ainda mais nosso papel fundamental na implementação das políticas públicas de telecomunicações.</w:t>
      </w:r>
    </w:p>
    <w:p w14:paraId="5E57A9C8" w14:textId="77777777" w:rsidR="00920028" w:rsidRDefault="00920028" w:rsidP="00920028">
      <w:pPr>
        <w:spacing w:after="0"/>
        <w:jc w:val="both"/>
        <w:rPr>
          <w:rFonts w:ascii="Calibri" w:eastAsia="Times New Roman" w:hAnsi="Calibri" w:cs="Times New Roman"/>
          <w:color w:val="002060"/>
          <w:kern w:val="0"/>
          <w14:ligatures w14:val="none"/>
        </w:rPr>
      </w:pPr>
      <w:r w:rsidRPr="00176FFB">
        <w:rPr>
          <w:rFonts w:ascii="Calibri" w:eastAsia="Times New Roman" w:hAnsi="Calibri" w:cs="Times New Roman"/>
          <w:color w:val="002060"/>
          <w:kern w:val="0"/>
          <w14:ligatures w14:val="none"/>
        </w:rPr>
        <w:lastRenderedPageBreak/>
        <w:t xml:space="preserve">Em 2023, a Telebras atualizou suas diretrizes estratégicas ao aprovar o Plano Estratégico Institucional para o período de 2024 a 2028. Essa atualização visa direcionar os esforços essenciais para a implementação das políticas públicas de telecomunicações. Com essas ações, espera-se atender às expectativas da sociedade, bem como satisfazer as demandas dos clientes e dos acionistas, tanto majoritários quanto minoritários. </w:t>
      </w:r>
    </w:p>
    <w:p w14:paraId="4C3308E6" w14:textId="77777777" w:rsidR="00920028" w:rsidRPr="00176FFB" w:rsidRDefault="00920028" w:rsidP="00920028">
      <w:pPr>
        <w:spacing w:after="0"/>
        <w:jc w:val="both"/>
        <w:rPr>
          <w:rFonts w:ascii="Calibri" w:eastAsia="Times New Roman" w:hAnsi="Calibri" w:cs="Times New Roman"/>
          <w:b/>
          <w:bCs/>
          <w:color w:val="002060"/>
          <w:kern w:val="0"/>
          <w14:ligatures w14:val="none"/>
        </w:rPr>
      </w:pPr>
      <w:bookmarkStart w:id="1" w:name="_Toc161319430"/>
      <w:r>
        <w:rPr>
          <w:rFonts w:ascii="Calibri" w:eastAsia="Times New Roman" w:hAnsi="Calibri" w:cs="Times New Roman"/>
          <w:b/>
          <w:bCs/>
          <w:color w:val="002060"/>
          <w:kern w:val="0"/>
          <w14:ligatures w14:val="none"/>
        </w:rPr>
        <w:t xml:space="preserve">3. </w:t>
      </w:r>
      <w:r w:rsidRPr="00176FFB">
        <w:rPr>
          <w:rFonts w:ascii="Calibri" w:eastAsia="Times New Roman" w:hAnsi="Calibri" w:cs="Times New Roman"/>
          <w:b/>
          <w:bCs/>
          <w:color w:val="002060"/>
          <w:kern w:val="0"/>
          <w14:ligatures w14:val="none"/>
        </w:rPr>
        <w:t>Finanças</w:t>
      </w:r>
      <w:bookmarkEnd w:id="1"/>
    </w:p>
    <w:p w14:paraId="5CE942AF" w14:textId="542FECFA" w:rsidR="00920028" w:rsidRPr="00176FFB" w:rsidRDefault="00920028" w:rsidP="00920028">
      <w:pPr>
        <w:spacing w:after="0"/>
        <w:jc w:val="both"/>
        <w:rPr>
          <w:rFonts w:ascii="Calibri" w:eastAsia="Times New Roman" w:hAnsi="Calibri" w:cs="Times New Roman"/>
          <w:b/>
          <w:color w:val="002060"/>
          <w:kern w:val="0"/>
          <w14:ligatures w14:val="none"/>
        </w:rPr>
      </w:pPr>
      <w:r w:rsidRPr="00176FFB">
        <w:rPr>
          <w:rFonts w:ascii="Calibri" w:eastAsia="Times New Roman" w:hAnsi="Calibri" w:cs="Times New Roman"/>
          <w:b/>
          <w:color w:val="002060"/>
          <w:kern w:val="0"/>
          <w14:ligatures w14:val="none"/>
        </w:rPr>
        <w:t>Reclassificação dos Recursos Orçamentários Recebidos para Investimento (Aplicação no Ativo Imobilizado) e Reapresentação das Demonstrações Contábeis dos Exercícios de 2020,2021 e 2023.</w:t>
      </w:r>
    </w:p>
    <w:p w14:paraId="7BB01953" w14:textId="4DA3144D" w:rsidR="00920028" w:rsidRPr="00176FFB" w:rsidRDefault="00920028" w:rsidP="00920028">
      <w:pPr>
        <w:spacing w:after="0"/>
        <w:jc w:val="both"/>
        <w:rPr>
          <w:rFonts w:ascii="Calibri" w:eastAsia="Times New Roman" w:hAnsi="Calibri" w:cs="Times New Roman"/>
          <w:color w:val="002060"/>
          <w:kern w:val="0"/>
          <w14:ligatures w14:val="none"/>
        </w:rPr>
      </w:pPr>
      <w:r w:rsidRPr="00176FFB">
        <w:rPr>
          <w:rFonts w:ascii="Calibri" w:eastAsia="Times New Roman" w:hAnsi="Calibri" w:cs="Times New Roman"/>
          <w:color w:val="002060"/>
          <w:kern w:val="0"/>
          <w14:ligatures w14:val="none"/>
        </w:rPr>
        <w:t>Em fato relevante divulgado em 18 de dezembro de 2019 (Aprovação do Projeto de Lei do Orçamento anual 2020 pelo Congresso Nacional), a Telecomunicações Brasileiras S.A. (“Telebras” ou “Companhia”) (B3: TELB3 &amp; TELB4) informou ao mercado que passaria à condição de empresa estatal dependente do Orçamento Fiscal e da Seguridade Social (OFSS).</w:t>
      </w:r>
    </w:p>
    <w:p w14:paraId="2DC8789E" w14:textId="044EB3E1" w:rsidR="00920028" w:rsidRPr="00176FFB" w:rsidRDefault="00920028" w:rsidP="00920028">
      <w:pPr>
        <w:spacing w:after="0"/>
        <w:jc w:val="both"/>
        <w:rPr>
          <w:rFonts w:ascii="Calibri" w:eastAsia="Times New Roman" w:hAnsi="Calibri" w:cs="Times New Roman"/>
          <w:color w:val="002060"/>
          <w:kern w:val="0"/>
          <w14:ligatures w14:val="none"/>
        </w:rPr>
      </w:pPr>
      <w:r w:rsidRPr="00176FFB">
        <w:rPr>
          <w:rFonts w:ascii="Calibri" w:eastAsia="Times New Roman" w:hAnsi="Calibri" w:cs="Times New Roman"/>
          <w:color w:val="002060"/>
          <w:kern w:val="0"/>
          <w14:ligatures w14:val="none"/>
        </w:rPr>
        <w:t>Em 2020, em observância à Lei Orçamentária Anual, às Leis números 4.320/64, 6.404/76, 13.303/16, a companhia informou ao Acionista Controlador, sem que houvesse contraposição, que, na condição de empresa estatal dependente, contabilizaria os recursos orçamentários recebidos como Outras Receitas Operacionais, nos termos da Norma nº 07 do Comitê de pronunciamentos Contábeis (CPC 07).</w:t>
      </w:r>
    </w:p>
    <w:p w14:paraId="7EC81BCA" w14:textId="77777777" w:rsidR="00920028" w:rsidRPr="00176FFB" w:rsidRDefault="00920028" w:rsidP="00920028">
      <w:pPr>
        <w:spacing w:after="0"/>
        <w:jc w:val="both"/>
        <w:rPr>
          <w:rFonts w:ascii="Calibri" w:eastAsia="Times New Roman" w:hAnsi="Calibri" w:cs="Times New Roman"/>
          <w:color w:val="002060"/>
          <w:kern w:val="0"/>
          <w14:ligatures w14:val="none"/>
        </w:rPr>
      </w:pPr>
      <w:r w:rsidRPr="00176FFB">
        <w:rPr>
          <w:rFonts w:ascii="Calibri" w:eastAsia="Times New Roman" w:hAnsi="Calibri" w:cs="Times New Roman"/>
          <w:color w:val="002060"/>
          <w:kern w:val="0"/>
          <w14:ligatures w14:val="none"/>
        </w:rPr>
        <w:t>Assim, em novo Fato Relevante publicado em 25 de maio de 2020, a Telebras comunicou ao mercado que os recursos recebidos na forma de subvenções orçamentárias seriam reconhecidos de acordo com a norma contábil CPC 07, ou sejam, no resultado da Companhia, como Outras Receitas Operacionais.</w:t>
      </w:r>
    </w:p>
    <w:p w14:paraId="5DDEFEC8" w14:textId="77777777" w:rsidR="00920028" w:rsidRPr="00176FFB" w:rsidRDefault="00920028" w:rsidP="00920028">
      <w:pPr>
        <w:spacing w:after="0"/>
        <w:jc w:val="both"/>
        <w:rPr>
          <w:rFonts w:ascii="Calibri" w:eastAsia="Times New Roman" w:hAnsi="Calibri" w:cs="Times New Roman"/>
          <w:color w:val="002060"/>
          <w:kern w:val="0"/>
          <w14:ligatures w14:val="none"/>
        </w:rPr>
      </w:pPr>
      <w:r w:rsidRPr="00176FFB">
        <w:rPr>
          <w:rFonts w:ascii="Calibri" w:eastAsia="Times New Roman" w:hAnsi="Calibri" w:cs="Times New Roman"/>
          <w:color w:val="002060"/>
          <w:kern w:val="0"/>
          <w14:ligatures w14:val="none"/>
        </w:rPr>
        <w:t>Todavia, no ano de 2023, a União, na qualidade de Acionista Controlador, por meio do parecer da Secretaria de Tesouro Nacional que aprovou as Demonstrações Contábeis referente ao exercício social de 2022, recomendou, para fins de adequação da contabilidade societária e garantir maior precisão na caracterização dos repasses, que a Companhia passasse a reconhecer os recursos orçamentários transferidos para fins de investimentos (transferências de capital – ativo imobilizado) como Adiantamentos para Futuro Aumento de Capital – AFAC. A alteração resultará em uma informação mais confiável e mais relevante nas demonstrações contábeis, uma vez que, esta forma de reconhecimento apresenta de forma mais adequada a essência da operação para a Companhia.</w:t>
      </w:r>
    </w:p>
    <w:p w14:paraId="4EE115CC" w14:textId="5A577369" w:rsidR="00920028" w:rsidRPr="00176FFB" w:rsidRDefault="00920028" w:rsidP="00920028">
      <w:pPr>
        <w:spacing w:after="0"/>
        <w:jc w:val="both"/>
        <w:rPr>
          <w:rFonts w:ascii="Calibri" w:eastAsia="Times New Roman" w:hAnsi="Calibri" w:cs="Times New Roman"/>
          <w:color w:val="002060"/>
          <w:kern w:val="0"/>
          <w14:ligatures w14:val="none"/>
        </w:rPr>
      </w:pPr>
      <w:r w:rsidRPr="00176FFB">
        <w:rPr>
          <w:rFonts w:ascii="Calibri" w:eastAsia="Times New Roman" w:hAnsi="Calibri" w:cs="Times New Roman"/>
          <w:color w:val="002060"/>
          <w:kern w:val="0"/>
          <w14:ligatures w14:val="none"/>
        </w:rPr>
        <w:t>Em decorrência dos eventos acima relatados e após análise da Administração, esta decidiu por alterar a política contábil relativa aos recebimentos dos recursos orçamentários destinados à aplicação no pagamento de bens do ativo imobilizado (Subvenções para Investimento), que até o terceiro trimestre de 2023 vinham sendo reconhecidos no resultado da Telebras. Tais recebimentos passaram então a ser reconhecidos como Adiantamento para Futuro Aumento de Capital no “Passivo Exigível”. As demais transferências correntes para o pagamento de pessoal e outros custeios, continuarão sendo classificadas como “Outras Receitas Operacionais”.</w:t>
      </w:r>
    </w:p>
    <w:p w14:paraId="2C0E1677" w14:textId="67F37795" w:rsidR="00920028" w:rsidRPr="00176FFB" w:rsidRDefault="00920028" w:rsidP="00920028">
      <w:pPr>
        <w:spacing w:after="0"/>
        <w:jc w:val="both"/>
        <w:rPr>
          <w:rFonts w:ascii="Calibri" w:eastAsia="Times New Roman" w:hAnsi="Calibri" w:cs="Times New Roman"/>
          <w:color w:val="002060"/>
          <w:kern w:val="0"/>
          <w14:ligatures w14:val="none"/>
        </w:rPr>
      </w:pPr>
      <w:r w:rsidRPr="00176FFB">
        <w:rPr>
          <w:rFonts w:ascii="Calibri" w:eastAsia="Times New Roman" w:hAnsi="Calibri" w:cs="Times New Roman"/>
          <w:color w:val="002060"/>
          <w:kern w:val="0"/>
          <w14:ligatures w14:val="none"/>
        </w:rPr>
        <w:t>Considerando o exposto e a recomendação de modificação da política contábil anteriormente adotada, a Companhia informa que fará a reapresentação retrospectiva das demonstrações financeiras dos exercícios de 2020, 2021 e 2022 nas Demonstrações Contábeis do encerramento de 2023, conforme determina o CPC 23, que trata de Políticas Contábeis, Mudança de Estimativa e Retificação de Erro, de forma a atender as Características qualitativas da informação contábil financeira útil e o melhor entendimento das operações da Companhia.</w:t>
      </w:r>
    </w:p>
    <w:p w14:paraId="59A638A5" w14:textId="403CA2B0" w:rsidR="00920028" w:rsidRPr="007E1FEC" w:rsidRDefault="00920028" w:rsidP="00920028">
      <w:pPr>
        <w:spacing w:after="0"/>
        <w:jc w:val="both"/>
        <w:rPr>
          <w:rFonts w:ascii="Calibri" w:eastAsia="Times New Roman" w:hAnsi="Calibri" w:cs="Times New Roman"/>
          <w:color w:val="002060"/>
          <w:kern w:val="0"/>
          <w14:ligatures w14:val="none"/>
        </w:rPr>
      </w:pPr>
      <w:r w:rsidRPr="00176FFB">
        <w:rPr>
          <w:rFonts w:ascii="Calibri" w:eastAsia="Times New Roman" w:hAnsi="Calibri" w:cs="Times New Roman"/>
          <w:color w:val="002060"/>
          <w:kern w:val="0"/>
          <w14:ligatures w14:val="none"/>
        </w:rPr>
        <w:t>O impacto financeiro da reapresentação das demonstrações contábeis, que afetarão o passivo exigível não circulante e o patrimônio líquido está apresentado no quadro a seguir.</w:t>
      </w:r>
    </w:p>
    <w:tbl>
      <w:tblPr>
        <w:tblW w:w="5000" w:type="pct"/>
        <w:tblCellMar>
          <w:left w:w="70" w:type="dxa"/>
          <w:right w:w="70" w:type="dxa"/>
        </w:tblCellMar>
        <w:tblLook w:val="04A0" w:firstRow="1" w:lastRow="0" w:firstColumn="1" w:lastColumn="0" w:noHBand="0" w:noVBand="1"/>
      </w:tblPr>
      <w:tblGrid>
        <w:gridCol w:w="4171"/>
        <w:gridCol w:w="1441"/>
        <w:gridCol w:w="1441"/>
        <w:gridCol w:w="1441"/>
      </w:tblGrid>
      <w:tr w:rsidR="00920028" w:rsidRPr="003E0246" w14:paraId="0D9D8BCA" w14:textId="77777777" w:rsidTr="00446A14">
        <w:trPr>
          <w:trHeight w:val="238"/>
        </w:trPr>
        <w:tc>
          <w:tcPr>
            <w:tcW w:w="25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D8058E" w14:textId="77777777" w:rsidR="00920028" w:rsidRPr="00176FFB" w:rsidRDefault="00920028" w:rsidP="00446A14">
            <w:pPr>
              <w:spacing w:after="0" w:line="240" w:lineRule="auto"/>
              <w:rPr>
                <w:rFonts w:ascii="Arial" w:hAnsi="Arial" w:cs="Arial"/>
                <w:b/>
                <w:color w:val="000000"/>
                <w:sz w:val="16"/>
                <w:szCs w:val="16"/>
                <w:lang w:eastAsia="pt-BR"/>
              </w:rPr>
            </w:pPr>
            <w:r w:rsidRPr="00176FFB">
              <w:rPr>
                <w:rFonts w:ascii="Arial" w:hAnsi="Arial" w:cs="Arial"/>
                <w:b/>
                <w:color w:val="000000"/>
                <w:sz w:val="16"/>
                <w:szCs w:val="16"/>
                <w:lang w:eastAsia="pt-BR"/>
              </w:rPr>
              <w:t>Rubricas do Balanço Patrimonial</w:t>
            </w:r>
          </w:p>
        </w:tc>
        <w:tc>
          <w:tcPr>
            <w:tcW w:w="880" w:type="pct"/>
            <w:tcBorders>
              <w:top w:val="single" w:sz="4" w:space="0" w:color="auto"/>
              <w:left w:val="nil"/>
              <w:bottom w:val="single" w:sz="4" w:space="0" w:color="auto"/>
              <w:right w:val="single" w:sz="4" w:space="0" w:color="auto"/>
            </w:tcBorders>
            <w:shd w:val="clear" w:color="auto" w:fill="auto"/>
            <w:vAlign w:val="center"/>
            <w:hideMark/>
          </w:tcPr>
          <w:p w14:paraId="7259FCD6" w14:textId="77777777" w:rsidR="00920028" w:rsidRPr="00176FFB" w:rsidRDefault="00920028" w:rsidP="00446A14">
            <w:pPr>
              <w:spacing w:after="0" w:line="240" w:lineRule="auto"/>
              <w:jc w:val="center"/>
              <w:rPr>
                <w:rFonts w:ascii="Arial" w:hAnsi="Arial" w:cs="Arial"/>
                <w:b/>
                <w:color w:val="000000"/>
                <w:sz w:val="16"/>
                <w:szCs w:val="16"/>
                <w:lang w:eastAsia="pt-BR"/>
              </w:rPr>
            </w:pPr>
            <w:r w:rsidRPr="00176FFB">
              <w:rPr>
                <w:rFonts w:ascii="Arial" w:hAnsi="Arial" w:cs="Arial"/>
                <w:b/>
                <w:color w:val="000000"/>
                <w:sz w:val="16"/>
                <w:szCs w:val="16"/>
                <w:lang w:eastAsia="pt-BR"/>
              </w:rPr>
              <w:t xml:space="preserve">Recursos Orçamentários Recebidos e </w:t>
            </w:r>
            <w:r w:rsidRPr="00176FFB">
              <w:rPr>
                <w:rFonts w:ascii="Arial" w:hAnsi="Arial" w:cs="Arial"/>
                <w:b/>
                <w:color w:val="000000"/>
                <w:sz w:val="16"/>
                <w:szCs w:val="16"/>
                <w:lang w:eastAsia="pt-BR"/>
              </w:rPr>
              <w:lastRenderedPageBreak/>
              <w:t>Aplicados no Ativo Imobilizado</w:t>
            </w:r>
          </w:p>
        </w:tc>
        <w:tc>
          <w:tcPr>
            <w:tcW w:w="789" w:type="pct"/>
            <w:tcBorders>
              <w:top w:val="single" w:sz="4" w:space="0" w:color="auto"/>
              <w:left w:val="nil"/>
              <w:bottom w:val="single" w:sz="4" w:space="0" w:color="auto"/>
              <w:right w:val="single" w:sz="4" w:space="0" w:color="auto"/>
            </w:tcBorders>
            <w:shd w:val="clear" w:color="auto" w:fill="auto"/>
            <w:vAlign w:val="center"/>
            <w:hideMark/>
          </w:tcPr>
          <w:p w14:paraId="01459F4C" w14:textId="77777777" w:rsidR="00920028" w:rsidRPr="00176FFB" w:rsidRDefault="00920028" w:rsidP="00446A14">
            <w:pPr>
              <w:spacing w:after="0" w:line="240" w:lineRule="auto"/>
              <w:jc w:val="center"/>
              <w:rPr>
                <w:rFonts w:ascii="Arial" w:hAnsi="Arial" w:cs="Arial"/>
                <w:b/>
                <w:color w:val="000000"/>
                <w:sz w:val="16"/>
                <w:szCs w:val="16"/>
                <w:lang w:eastAsia="pt-BR"/>
              </w:rPr>
            </w:pPr>
            <w:r w:rsidRPr="00176FFB">
              <w:rPr>
                <w:rFonts w:ascii="Arial" w:hAnsi="Arial" w:cs="Arial"/>
                <w:b/>
                <w:color w:val="000000"/>
                <w:sz w:val="16"/>
                <w:szCs w:val="16"/>
                <w:lang w:eastAsia="pt-BR"/>
              </w:rPr>
              <w:lastRenderedPageBreak/>
              <w:t xml:space="preserve">Juros sobre Recursos Recebidos </w:t>
            </w:r>
            <w:r w:rsidRPr="00176FFB">
              <w:rPr>
                <w:rFonts w:ascii="Arial" w:hAnsi="Arial" w:cs="Arial"/>
                <w:b/>
                <w:color w:val="000000"/>
                <w:sz w:val="16"/>
                <w:szCs w:val="16"/>
                <w:lang w:eastAsia="pt-BR"/>
              </w:rPr>
              <w:lastRenderedPageBreak/>
              <w:t>(Atualizado pela SELIC)</w:t>
            </w:r>
          </w:p>
        </w:tc>
        <w:tc>
          <w:tcPr>
            <w:tcW w:w="789" w:type="pct"/>
            <w:tcBorders>
              <w:top w:val="single" w:sz="4" w:space="0" w:color="auto"/>
              <w:left w:val="nil"/>
              <w:bottom w:val="single" w:sz="4" w:space="0" w:color="auto"/>
              <w:right w:val="single" w:sz="4" w:space="0" w:color="auto"/>
            </w:tcBorders>
            <w:shd w:val="clear" w:color="auto" w:fill="auto"/>
            <w:vAlign w:val="center"/>
            <w:hideMark/>
          </w:tcPr>
          <w:p w14:paraId="66FCDC55" w14:textId="77777777" w:rsidR="00920028" w:rsidRPr="00176FFB" w:rsidRDefault="00920028" w:rsidP="00446A14">
            <w:pPr>
              <w:spacing w:after="0" w:line="240" w:lineRule="auto"/>
              <w:jc w:val="center"/>
              <w:rPr>
                <w:rFonts w:ascii="Arial" w:hAnsi="Arial" w:cs="Arial"/>
                <w:b/>
                <w:color w:val="000000"/>
                <w:sz w:val="16"/>
                <w:szCs w:val="16"/>
                <w:lang w:eastAsia="pt-BR"/>
              </w:rPr>
            </w:pPr>
            <w:r w:rsidRPr="00176FFB">
              <w:rPr>
                <w:rFonts w:ascii="Arial" w:hAnsi="Arial" w:cs="Arial"/>
                <w:b/>
                <w:color w:val="000000"/>
                <w:sz w:val="16"/>
                <w:szCs w:val="16"/>
                <w:lang w:eastAsia="pt-BR"/>
              </w:rPr>
              <w:lastRenderedPageBreak/>
              <w:t>Total</w:t>
            </w:r>
          </w:p>
        </w:tc>
      </w:tr>
      <w:tr w:rsidR="00920028" w:rsidRPr="003E0246" w14:paraId="51F9DA86" w14:textId="77777777" w:rsidTr="00446A14">
        <w:trPr>
          <w:trHeight w:val="238"/>
        </w:trPr>
        <w:tc>
          <w:tcPr>
            <w:tcW w:w="2542" w:type="pct"/>
            <w:tcBorders>
              <w:top w:val="nil"/>
              <w:left w:val="single" w:sz="4" w:space="0" w:color="auto"/>
              <w:bottom w:val="single" w:sz="4" w:space="0" w:color="auto"/>
              <w:right w:val="single" w:sz="4" w:space="0" w:color="auto"/>
            </w:tcBorders>
            <w:shd w:val="clear" w:color="auto" w:fill="auto"/>
            <w:noWrap/>
            <w:vAlign w:val="bottom"/>
            <w:hideMark/>
          </w:tcPr>
          <w:p w14:paraId="70087A54" w14:textId="77777777" w:rsidR="00920028" w:rsidRPr="00176FFB" w:rsidRDefault="00920028" w:rsidP="00446A14">
            <w:pPr>
              <w:spacing w:after="0" w:line="240" w:lineRule="auto"/>
              <w:rPr>
                <w:rFonts w:ascii="Arial" w:hAnsi="Arial" w:cs="Arial"/>
                <w:color w:val="000000"/>
                <w:sz w:val="16"/>
                <w:szCs w:val="16"/>
                <w:lang w:eastAsia="pt-BR"/>
              </w:rPr>
            </w:pPr>
            <w:r w:rsidRPr="00176FFB">
              <w:rPr>
                <w:rFonts w:ascii="Arial" w:hAnsi="Arial" w:cs="Arial"/>
                <w:color w:val="000000"/>
                <w:sz w:val="16"/>
                <w:szCs w:val="16"/>
                <w:lang w:eastAsia="pt-BR"/>
              </w:rPr>
              <w:t>Passivo Exigível Não Circulante e Patrimônio Líquido</w:t>
            </w:r>
          </w:p>
        </w:tc>
        <w:tc>
          <w:tcPr>
            <w:tcW w:w="880" w:type="pct"/>
            <w:tcBorders>
              <w:top w:val="nil"/>
              <w:left w:val="nil"/>
              <w:bottom w:val="single" w:sz="4" w:space="0" w:color="auto"/>
              <w:right w:val="single" w:sz="4" w:space="0" w:color="auto"/>
            </w:tcBorders>
            <w:shd w:val="clear" w:color="auto" w:fill="auto"/>
            <w:noWrap/>
            <w:vAlign w:val="bottom"/>
            <w:hideMark/>
          </w:tcPr>
          <w:p w14:paraId="1049E054" w14:textId="77777777" w:rsidR="00920028" w:rsidRPr="003E0246" w:rsidRDefault="00920028" w:rsidP="00446A14">
            <w:pPr>
              <w:spacing w:after="0" w:line="240" w:lineRule="auto"/>
              <w:jc w:val="right"/>
              <w:rPr>
                <w:rFonts w:ascii="Arial" w:hAnsi="Arial" w:cs="Arial"/>
                <w:color w:val="000000"/>
                <w:sz w:val="18"/>
                <w:szCs w:val="18"/>
                <w:lang w:eastAsia="pt-BR"/>
              </w:rPr>
            </w:pPr>
            <w:r w:rsidRPr="003E0246">
              <w:rPr>
                <w:rFonts w:ascii="Arial" w:hAnsi="Arial" w:cs="Arial"/>
                <w:color w:val="000000"/>
                <w:sz w:val="18"/>
                <w:szCs w:val="18"/>
                <w:lang w:eastAsia="pt-BR"/>
              </w:rPr>
              <w:t xml:space="preserve">               95.550 </w:t>
            </w:r>
          </w:p>
        </w:tc>
        <w:tc>
          <w:tcPr>
            <w:tcW w:w="789" w:type="pct"/>
            <w:tcBorders>
              <w:top w:val="nil"/>
              <w:left w:val="nil"/>
              <w:bottom w:val="single" w:sz="4" w:space="0" w:color="auto"/>
              <w:right w:val="single" w:sz="4" w:space="0" w:color="auto"/>
            </w:tcBorders>
            <w:shd w:val="clear" w:color="auto" w:fill="auto"/>
            <w:noWrap/>
            <w:vAlign w:val="bottom"/>
            <w:hideMark/>
          </w:tcPr>
          <w:p w14:paraId="7D2FBB12" w14:textId="77777777" w:rsidR="00920028" w:rsidRPr="003E0246" w:rsidRDefault="00920028" w:rsidP="00446A14">
            <w:pPr>
              <w:spacing w:after="0" w:line="240" w:lineRule="auto"/>
              <w:jc w:val="right"/>
              <w:rPr>
                <w:rFonts w:ascii="Arial" w:hAnsi="Arial" w:cs="Arial"/>
                <w:color w:val="000000"/>
                <w:sz w:val="18"/>
                <w:szCs w:val="18"/>
                <w:lang w:eastAsia="pt-BR"/>
              </w:rPr>
            </w:pPr>
            <w:r w:rsidRPr="003E0246">
              <w:rPr>
                <w:rFonts w:ascii="Arial" w:hAnsi="Arial" w:cs="Arial"/>
                <w:color w:val="000000"/>
                <w:sz w:val="18"/>
                <w:szCs w:val="18"/>
                <w:lang w:eastAsia="pt-BR"/>
              </w:rPr>
              <w:t xml:space="preserve">               12.745 </w:t>
            </w:r>
          </w:p>
        </w:tc>
        <w:tc>
          <w:tcPr>
            <w:tcW w:w="789" w:type="pct"/>
            <w:tcBorders>
              <w:top w:val="nil"/>
              <w:left w:val="nil"/>
              <w:bottom w:val="single" w:sz="4" w:space="0" w:color="auto"/>
              <w:right w:val="single" w:sz="4" w:space="0" w:color="auto"/>
            </w:tcBorders>
            <w:shd w:val="clear" w:color="auto" w:fill="auto"/>
            <w:noWrap/>
            <w:vAlign w:val="bottom"/>
            <w:hideMark/>
          </w:tcPr>
          <w:p w14:paraId="2B28A976" w14:textId="77777777" w:rsidR="00920028" w:rsidRPr="003E0246" w:rsidRDefault="00920028" w:rsidP="00446A14">
            <w:pPr>
              <w:spacing w:after="0" w:line="240" w:lineRule="auto"/>
              <w:jc w:val="right"/>
              <w:rPr>
                <w:rFonts w:ascii="Arial" w:hAnsi="Arial" w:cs="Arial"/>
                <w:color w:val="000000"/>
                <w:sz w:val="18"/>
                <w:szCs w:val="18"/>
                <w:lang w:eastAsia="pt-BR"/>
              </w:rPr>
            </w:pPr>
            <w:r w:rsidRPr="003E0246">
              <w:rPr>
                <w:rFonts w:ascii="Arial" w:hAnsi="Arial" w:cs="Arial"/>
                <w:color w:val="000000"/>
                <w:sz w:val="18"/>
                <w:szCs w:val="18"/>
                <w:lang w:eastAsia="pt-BR"/>
              </w:rPr>
              <w:t xml:space="preserve">             108.295 </w:t>
            </w:r>
          </w:p>
        </w:tc>
      </w:tr>
    </w:tbl>
    <w:p w14:paraId="76E6D652" w14:textId="3F942001" w:rsidR="00920028" w:rsidRPr="00176FFB" w:rsidRDefault="00920028" w:rsidP="00920028">
      <w:pPr>
        <w:spacing w:after="0"/>
        <w:jc w:val="both"/>
        <w:rPr>
          <w:rFonts w:ascii="Calibri" w:eastAsia="Times New Roman" w:hAnsi="Calibri" w:cs="Times New Roman"/>
          <w:b/>
          <w:bCs/>
          <w:iCs/>
          <w:color w:val="002060"/>
          <w:kern w:val="0"/>
          <w14:ligatures w14:val="none"/>
        </w:rPr>
      </w:pPr>
      <w:bookmarkStart w:id="2" w:name="_Toc161319431"/>
      <w:r>
        <w:rPr>
          <w:rFonts w:ascii="Calibri" w:eastAsia="Times New Roman" w:hAnsi="Calibri" w:cs="Times New Roman"/>
          <w:b/>
          <w:bCs/>
          <w:iCs/>
          <w:color w:val="002060"/>
          <w:kern w:val="0"/>
          <w14:ligatures w14:val="none"/>
        </w:rPr>
        <w:t xml:space="preserve">3.1. </w:t>
      </w:r>
      <w:r w:rsidRPr="00176FFB">
        <w:rPr>
          <w:rFonts w:ascii="Calibri" w:eastAsia="Times New Roman" w:hAnsi="Calibri" w:cs="Times New Roman"/>
          <w:b/>
          <w:bCs/>
          <w:iCs/>
          <w:color w:val="002060"/>
          <w:kern w:val="0"/>
          <w14:ligatures w14:val="none"/>
        </w:rPr>
        <w:t>Estrutura Patrimonial da Companhia – Principais Rubricas</w:t>
      </w:r>
      <w:bookmarkEnd w:id="2"/>
    </w:p>
    <w:p w14:paraId="6F281F47" w14:textId="7144E100" w:rsidR="00920028" w:rsidRDefault="00920028" w:rsidP="00920028">
      <w:pPr>
        <w:spacing w:after="0"/>
        <w:jc w:val="both"/>
        <w:rPr>
          <w:rFonts w:ascii="Calibri" w:eastAsia="Times New Roman" w:hAnsi="Calibri" w:cs="Times New Roman"/>
          <w:color w:val="002060"/>
          <w:kern w:val="0"/>
          <w14:ligatures w14:val="none"/>
        </w:rPr>
      </w:pPr>
      <w:r w:rsidRPr="00176FFB">
        <w:rPr>
          <w:rFonts w:ascii="Calibri" w:eastAsia="Times New Roman" w:hAnsi="Calibri" w:cs="Times New Roman"/>
          <w:color w:val="002060"/>
          <w:kern w:val="0"/>
          <w14:ligatures w14:val="none"/>
        </w:rPr>
        <w:t xml:space="preserve">O comportamento das principais rubricas patrimoniais entre os anos de 2021 </w:t>
      </w:r>
      <w:proofErr w:type="gramStart"/>
      <w:r w:rsidRPr="00176FFB">
        <w:rPr>
          <w:rFonts w:ascii="Calibri" w:eastAsia="Times New Roman" w:hAnsi="Calibri" w:cs="Times New Roman"/>
          <w:color w:val="002060"/>
          <w:kern w:val="0"/>
          <w14:ligatures w14:val="none"/>
        </w:rPr>
        <w:t>a</w:t>
      </w:r>
      <w:proofErr w:type="gramEnd"/>
      <w:r w:rsidRPr="00176FFB">
        <w:rPr>
          <w:rFonts w:ascii="Calibri" w:eastAsia="Times New Roman" w:hAnsi="Calibri" w:cs="Times New Roman"/>
          <w:color w:val="002060"/>
          <w:kern w:val="0"/>
          <w14:ligatures w14:val="none"/>
        </w:rPr>
        <w:t xml:space="preserve"> 2023 e as explicações acerca das principais variações estão apresentados a seguir: </w:t>
      </w:r>
    </w:p>
    <w:p w14:paraId="00BAF6C9" w14:textId="77777777" w:rsidR="00920028" w:rsidRDefault="00920028" w:rsidP="00920028">
      <w:pPr>
        <w:spacing w:after="0"/>
        <w:jc w:val="both"/>
        <w:rPr>
          <w:rFonts w:ascii="Calibri" w:eastAsia="Times New Roman" w:hAnsi="Calibri" w:cs="Times New Roman"/>
          <w:color w:val="002060"/>
          <w:kern w:val="0"/>
          <w14:ligatures w14:val="none"/>
        </w:rPr>
      </w:pPr>
    </w:p>
    <w:tbl>
      <w:tblPr>
        <w:tblW w:w="5000" w:type="pct"/>
        <w:tblCellMar>
          <w:left w:w="70" w:type="dxa"/>
          <w:right w:w="70" w:type="dxa"/>
        </w:tblCellMar>
        <w:tblLook w:val="04A0" w:firstRow="1" w:lastRow="0" w:firstColumn="1" w:lastColumn="0" w:noHBand="0" w:noVBand="1"/>
      </w:tblPr>
      <w:tblGrid>
        <w:gridCol w:w="1839"/>
        <w:gridCol w:w="750"/>
        <w:gridCol w:w="682"/>
        <w:gridCol w:w="575"/>
        <w:gridCol w:w="575"/>
        <w:gridCol w:w="750"/>
        <w:gridCol w:w="682"/>
        <w:gridCol w:w="575"/>
        <w:gridCol w:w="575"/>
        <w:gridCol w:w="146"/>
        <w:gridCol w:w="750"/>
        <w:gridCol w:w="605"/>
      </w:tblGrid>
      <w:tr w:rsidR="00920028" w:rsidRPr="00457198" w14:paraId="422156D5" w14:textId="77777777" w:rsidTr="00920028">
        <w:trPr>
          <w:trHeight w:val="258"/>
        </w:trPr>
        <w:tc>
          <w:tcPr>
            <w:tcW w:w="1081" w:type="pct"/>
            <w:tcBorders>
              <w:top w:val="nil"/>
              <w:left w:val="nil"/>
              <w:bottom w:val="nil"/>
              <w:right w:val="nil"/>
            </w:tcBorders>
            <w:shd w:val="clear" w:color="auto" w:fill="auto"/>
            <w:noWrap/>
            <w:vAlign w:val="center"/>
            <w:hideMark/>
          </w:tcPr>
          <w:p w14:paraId="5E255FE4" w14:textId="77777777" w:rsidR="00920028" w:rsidRPr="00087F48" w:rsidRDefault="00920028" w:rsidP="00446A14">
            <w:pPr>
              <w:spacing w:after="0" w:line="240" w:lineRule="auto"/>
              <w:rPr>
                <w:rFonts w:ascii="Arial" w:hAnsi="Arial" w:cs="Arial"/>
                <w:b/>
                <w:bCs/>
                <w:color w:val="538DD5"/>
                <w:sz w:val="14"/>
                <w:szCs w:val="16"/>
                <w:lang w:eastAsia="pt-BR"/>
              </w:rPr>
            </w:pPr>
            <w:r w:rsidRPr="00087F48">
              <w:rPr>
                <w:rFonts w:ascii="Arial" w:hAnsi="Arial" w:cs="Arial"/>
                <w:b/>
                <w:bCs/>
                <w:color w:val="538DD5"/>
                <w:sz w:val="14"/>
                <w:szCs w:val="16"/>
                <w:lang w:eastAsia="pt-BR"/>
              </w:rPr>
              <w:t>R$ mil</w:t>
            </w:r>
          </w:p>
        </w:tc>
        <w:tc>
          <w:tcPr>
            <w:tcW w:w="1180" w:type="pct"/>
            <w:gridSpan w:val="3"/>
            <w:tcBorders>
              <w:top w:val="nil"/>
              <w:left w:val="nil"/>
              <w:bottom w:val="single" w:sz="8" w:space="0" w:color="8DB4E2"/>
              <w:right w:val="nil"/>
            </w:tcBorders>
            <w:shd w:val="clear" w:color="auto" w:fill="auto"/>
            <w:noWrap/>
            <w:vAlign w:val="center"/>
            <w:hideMark/>
          </w:tcPr>
          <w:p w14:paraId="5ADC857E" w14:textId="77777777" w:rsidR="00920028" w:rsidRPr="00087F48" w:rsidRDefault="00920028" w:rsidP="00446A14">
            <w:pPr>
              <w:spacing w:after="0" w:line="240" w:lineRule="auto"/>
              <w:rPr>
                <w:rFonts w:ascii="Arial" w:hAnsi="Arial" w:cs="Arial"/>
                <w:b/>
                <w:bCs/>
                <w:color w:val="538DD5"/>
                <w:sz w:val="14"/>
                <w:szCs w:val="16"/>
                <w:lang w:eastAsia="pt-BR"/>
              </w:rPr>
            </w:pPr>
            <w:r w:rsidRPr="00087F48">
              <w:rPr>
                <w:rFonts w:ascii="Arial" w:hAnsi="Arial" w:cs="Arial"/>
                <w:b/>
                <w:bCs/>
                <w:color w:val="538DD5"/>
                <w:sz w:val="14"/>
                <w:szCs w:val="16"/>
                <w:lang w:eastAsia="pt-BR"/>
              </w:rPr>
              <w:t>Exercícios findos em:</w:t>
            </w:r>
          </w:p>
        </w:tc>
        <w:tc>
          <w:tcPr>
            <w:tcW w:w="338" w:type="pct"/>
            <w:tcBorders>
              <w:top w:val="nil"/>
              <w:left w:val="nil"/>
              <w:bottom w:val="nil"/>
              <w:right w:val="nil"/>
            </w:tcBorders>
            <w:shd w:val="clear" w:color="auto" w:fill="auto"/>
            <w:noWrap/>
            <w:vAlign w:val="center"/>
            <w:hideMark/>
          </w:tcPr>
          <w:p w14:paraId="58FA208B" w14:textId="77777777" w:rsidR="00920028" w:rsidRPr="00087F48" w:rsidRDefault="00920028" w:rsidP="00446A14">
            <w:pPr>
              <w:spacing w:after="0" w:line="240" w:lineRule="auto"/>
              <w:rPr>
                <w:rFonts w:ascii="Arial" w:hAnsi="Arial" w:cs="Arial"/>
                <w:b/>
                <w:bCs/>
                <w:color w:val="538DD5"/>
                <w:sz w:val="14"/>
                <w:szCs w:val="16"/>
                <w:lang w:eastAsia="pt-BR"/>
              </w:rPr>
            </w:pPr>
          </w:p>
        </w:tc>
        <w:tc>
          <w:tcPr>
            <w:tcW w:w="441" w:type="pct"/>
            <w:tcBorders>
              <w:top w:val="nil"/>
              <w:left w:val="nil"/>
              <w:bottom w:val="nil"/>
              <w:right w:val="nil"/>
            </w:tcBorders>
            <w:shd w:val="clear" w:color="auto" w:fill="auto"/>
            <w:noWrap/>
            <w:vAlign w:val="bottom"/>
            <w:hideMark/>
          </w:tcPr>
          <w:p w14:paraId="0EBF524F" w14:textId="77777777" w:rsidR="00920028" w:rsidRPr="00087F48" w:rsidRDefault="00920028" w:rsidP="00446A14">
            <w:pPr>
              <w:spacing w:after="0" w:line="240" w:lineRule="auto"/>
              <w:rPr>
                <w:rFonts w:ascii="Times New Roman" w:hAnsi="Times New Roman"/>
                <w:sz w:val="14"/>
                <w:szCs w:val="20"/>
                <w:lang w:eastAsia="pt-BR"/>
              </w:rPr>
            </w:pPr>
          </w:p>
        </w:tc>
        <w:tc>
          <w:tcPr>
            <w:tcW w:w="401" w:type="pct"/>
            <w:tcBorders>
              <w:top w:val="nil"/>
              <w:left w:val="nil"/>
              <w:bottom w:val="nil"/>
              <w:right w:val="nil"/>
            </w:tcBorders>
            <w:shd w:val="clear" w:color="auto" w:fill="auto"/>
            <w:noWrap/>
            <w:vAlign w:val="bottom"/>
            <w:hideMark/>
          </w:tcPr>
          <w:p w14:paraId="5CC5640F" w14:textId="77777777" w:rsidR="00920028" w:rsidRPr="00087F48" w:rsidRDefault="00920028" w:rsidP="00446A14">
            <w:pPr>
              <w:spacing w:after="0" w:line="240" w:lineRule="auto"/>
              <w:rPr>
                <w:rFonts w:ascii="Times New Roman" w:hAnsi="Times New Roman"/>
                <w:sz w:val="14"/>
                <w:szCs w:val="20"/>
                <w:lang w:eastAsia="pt-BR"/>
              </w:rPr>
            </w:pPr>
          </w:p>
        </w:tc>
        <w:tc>
          <w:tcPr>
            <w:tcW w:w="338" w:type="pct"/>
            <w:tcBorders>
              <w:top w:val="nil"/>
              <w:left w:val="nil"/>
              <w:bottom w:val="nil"/>
              <w:right w:val="nil"/>
            </w:tcBorders>
            <w:shd w:val="clear" w:color="auto" w:fill="auto"/>
            <w:noWrap/>
            <w:vAlign w:val="bottom"/>
            <w:hideMark/>
          </w:tcPr>
          <w:p w14:paraId="1B9C789B" w14:textId="77777777" w:rsidR="00920028" w:rsidRPr="00087F48" w:rsidRDefault="00920028" w:rsidP="00446A14">
            <w:pPr>
              <w:spacing w:after="0" w:line="240" w:lineRule="auto"/>
              <w:rPr>
                <w:rFonts w:ascii="Times New Roman" w:hAnsi="Times New Roman"/>
                <w:sz w:val="14"/>
                <w:szCs w:val="20"/>
                <w:lang w:eastAsia="pt-BR"/>
              </w:rPr>
            </w:pPr>
          </w:p>
        </w:tc>
        <w:tc>
          <w:tcPr>
            <w:tcW w:w="338" w:type="pct"/>
            <w:tcBorders>
              <w:top w:val="nil"/>
              <w:left w:val="nil"/>
              <w:bottom w:val="single" w:sz="8" w:space="0" w:color="8DB4E2"/>
              <w:right w:val="nil"/>
            </w:tcBorders>
            <w:shd w:val="clear" w:color="auto" w:fill="auto"/>
            <w:noWrap/>
            <w:vAlign w:val="center"/>
            <w:hideMark/>
          </w:tcPr>
          <w:p w14:paraId="5CCB8E06" w14:textId="77777777" w:rsidR="00920028" w:rsidRPr="00087F48" w:rsidRDefault="00920028" w:rsidP="00446A14">
            <w:pPr>
              <w:spacing w:after="0" w:line="240" w:lineRule="auto"/>
              <w:rPr>
                <w:rFonts w:ascii="Arial" w:hAnsi="Arial" w:cs="Arial"/>
                <w:b/>
                <w:bCs/>
                <w:color w:val="538DD5"/>
                <w:sz w:val="14"/>
                <w:szCs w:val="16"/>
                <w:lang w:eastAsia="pt-BR"/>
              </w:rPr>
            </w:pPr>
            <w:r w:rsidRPr="00087F48">
              <w:rPr>
                <w:rFonts w:ascii="Arial" w:hAnsi="Arial" w:cs="Arial"/>
                <w:b/>
                <w:bCs/>
                <w:color w:val="538DD5"/>
                <w:sz w:val="14"/>
                <w:szCs w:val="16"/>
                <w:lang w:eastAsia="pt-BR"/>
              </w:rPr>
              <w:t> </w:t>
            </w:r>
          </w:p>
        </w:tc>
        <w:tc>
          <w:tcPr>
            <w:tcW w:w="86" w:type="pct"/>
            <w:tcBorders>
              <w:top w:val="nil"/>
              <w:left w:val="nil"/>
              <w:bottom w:val="single" w:sz="8" w:space="0" w:color="8DB4E2"/>
              <w:right w:val="nil"/>
            </w:tcBorders>
          </w:tcPr>
          <w:p w14:paraId="01E833C5" w14:textId="77777777" w:rsidR="00920028" w:rsidRPr="00087F48" w:rsidRDefault="00920028" w:rsidP="00446A14">
            <w:pPr>
              <w:spacing w:after="0" w:line="240" w:lineRule="auto"/>
              <w:rPr>
                <w:rFonts w:ascii="Arial" w:hAnsi="Arial" w:cs="Arial"/>
                <w:b/>
                <w:bCs/>
                <w:color w:val="538DD5"/>
                <w:sz w:val="14"/>
                <w:szCs w:val="16"/>
                <w:lang w:eastAsia="pt-BR"/>
              </w:rPr>
            </w:pPr>
          </w:p>
        </w:tc>
        <w:tc>
          <w:tcPr>
            <w:tcW w:w="441" w:type="pct"/>
            <w:tcBorders>
              <w:top w:val="nil"/>
              <w:left w:val="nil"/>
              <w:bottom w:val="single" w:sz="8" w:space="0" w:color="8DB4E2"/>
              <w:right w:val="nil"/>
            </w:tcBorders>
            <w:shd w:val="clear" w:color="auto" w:fill="auto"/>
            <w:noWrap/>
            <w:vAlign w:val="center"/>
            <w:hideMark/>
          </w:tcPr>
          <w:p w14:paraId="08147378" w14:textId="123121BE" w:rsidR="00920028" w:rsidRPr="00087F48" w:rsidRDefault="00920028" w:rsidP="00446A14">
            <w:pPr>
              <w:spacing w:after="0" w:line="240" w:lineRule="auto"/>
              <w:rPr>
                <w:rFonts w:ascii="Arial" w:hAnsi="Arial" w:cs="Arial"/>
                <w:b/>
                <w:bCs/>
                <w:color w:val="538DD5"/>
                <w:sz w:val="14"/>
                <w:szCs w:val="16"/>
                <w:lang w:eastAsia="pt-BR"/>
              </w:rPr>
            </w:pPr>
            <w:r w:rsidRPr="00087F48">
              <w:rPr>
                <w:rFonts w:ascii="Arial" w:hAnsi="Arial" w:cs="Arial"/>
                <w:b/>
                <w:bCs/>
                <w:color w:val="538DD5"/>
                <w:sz w:val="14"/>
                <w:szCs w:val="16"/>
                <w:lang w:eastAsia="pt-BR"/>
              </w:rPr>
              <w:t> </w:t>
            </w:r>
          </w:p>
        </w:tc>
        <w:tc>
          <w:tcPr>
            <w:tcW w:w="356" w:type="pct"/>
            <w:tcBorders>
              <w:top w:val="nil"/>
              <w:left w:val="nil"/>
              <w:bottom w:val="nil"/>
              <w:right w:val="nil"/>
            </w:tcBorders>
            <w:shd w:val="clear" w:color="auto" w:fill="auto"/>
            <w:noWrap/>
            <w:vAlign w:val="bottom"/>
            <w:hideMark/>
          </w:tcPr>
          <w:p w14:paraId="139E7CAB" w14:textId="77777777" w:rsidR="00920028" w:rsidRPr="00087F48" w:rsidRDefault="00920028" w:rsidP="00446A14">
            <w:pPr>
              <w:spacing w:after="0" w:line="240" w:lineRule="auto"/>
              <w:rPr>
                <w:rFonts w:ascii="Arial" w:hAnsi="Arial" w:cs="Arial"/>
                <w:b/>
                <w:bCs/>
                <w:color w:val="538DD5"/>
                <w:sz w:val="14"/>
                <w:szCs w:val="16"/>
                <w:lang w:eastAsia="pt-BR"/>
              </w:rPr>
            </w:pPr>
          </w:p>
        </w:tc>
      </w:tr>
      <w:tr w:rsidR="00920028" w:rsidRPr="00457198" w14:paraId="4358D8EF" w14:textId="77777777" w:rsidTr="00920028">
        <w:trPr>
          <w:trHeight w:val="258"/>
        </w:trPr>
        <w:tc>
          <w:tcPr>
            <w:tcW w:w="1081" w:type="pct"/>
            <w:tcBorders>
              <w:top w:val="nil"/>
              <w:left w:val="nil"/>
              <w:bottom w:val="nil"/>
              <w:right w:val="nil"/>
            </w:tcBorders>
            <w:shd w:val="clear" w:color="auto" w:fill="auto"/>
            <w:noWrap/>
            <w:vAlign w:val="center"/>
            <w:hideMark/>
          </w:tcPr>
          <w:p w14:paraId="140CF163" w14:textId="77777777" w:rsidR="00920028" w:rsidRPr="00087F48" w:rsidRDefault="00920028" w:rsidP="00446A14">
            <w:pPr>
              <w:spacing w:after="0" w:line="240" w:lineRule="auto"/>
              <w:rPr>
                <w:rFonts w:ascii="Times New Roman" w:hAnsi="Times New Roman"/>
                <w:sz w:val="14"/>
                <w:szCs w:val="20"/>
                <w:lang w:eastAsia="pt-BR"/>
              </w:rPr>
            </w:pPr>
          </w:p>
        </w:tc>
        <w:tc>
          <w:tcPr>
            <w:tcW w:w="441" w:type="pct"/>
            <w:tcBorders>
              <w:top w:val="nil"/>
              <w:left w:val="nil"/>
              <w:bottom w:val="single" w:sz="8" w:space="0" w:color="8DB4E2"/>
              <w:right w:val="nil"/>
            </w:tcBorders>
            <w:shd w:val="clear" w:color="auto" w:fill="auto"/>
            <w:noWrap/>
            <w:vAlign w:val="center"/>
            <w:hideMark/>
          </w:tcPr>
          <w:p w14:paraId="4F952BCB" w14:textId="77777777" w:rsidR="00920028" w:rsidRPr="00087F48" w:rsidRDefault="00920028" w:rsidP="00446A14">
            <w:pPr>
              <w:spacing w:after="0" w:line="240" w:lineRule="auto"/>
              <w:jc w:val="right"/>
              <w:rPr>
                <w:rFonts w:ascii="Arial" w:hAnsi="Arial" w:cs="Arial"/>
                <w:b/>
                <w:bCs/>
                <w:color w:val="538DD5"/>
                <w:sz w:val="14"/>
                <w:szCs w:val="16"/>
                <w:lang w:eastAsia="pt-BR"/>
              </w:rPr>
            </w:pPr>
            <w:r w:rsidRPr="00087F48">
              <w:rPr>
                <w:rFonts w:ascii="Arial" w:hAnsi="Arial" w:cs="Arial"/>
                <w:b/>
                <w:bCs/>
                <w:color w:val="538DD5"/>
                <w:sz w:val="14"/>
                <w:szCs w:val="16"/>
                <w:lang w:eastAsia="pt-BR"/>
              </w:rPr>
              <w:t> </w:t>
            </w:r>
          </w:p>
        </w:tc>
        <w:tc>
          <w:tcPr>
            <w:tcW w:w="401" w:type="pct"/>
            <w:tcBorders>
              <w:top w:val="nil"/>
              <w:left w:val="nil"/>
              <w:bottom w:val="single" w:sz="8" w:space="0" w:color="8DB4E2"/>
              <w:right w:val="nil"/>
            </w:tcBorders>
            <w:shd w:val="clear" w:color="auto" w:fill="auto"/>
            <w:noWrap/>
            <w:vAlign w:val="center"/>
            <w:hideMark/>
          </w:tcPr>
          <w:p w14:paraId="28BDF9DE" w14:textId="77777777" w:rsidR="00920028" w:rsidRPr="00087F48" w:rsidRDefault="00920028" w:rsidP="00446A14">
            <w:pPr>
              <w:spacing w:after="0" w:line="240" w:lineRule="auto"/>
              <w:jc w:val="right"/>
              <w:rPr>
                <w:rFonts w:ascii="Arial" w:hAnsi="Arial" w:cs="Arial"/>
                <w:b/>
                <w:bCs/>
                <w:color w:val="538DD5"/>
                <w:sz w:val="14"/>
                <w:szCs w:val="16"/>
                <w:lang w:eastAsia="pt-BR"/>
              </w:rPr>
            </w:pPr>
            <w:r w:rsidRPr="00087F48">
              <w:rPr>
                <w:rFonts w:ascii="Arial" w:hAnsi="Arial" w:cs="Arial"/>
                <w:b/>
                <w:bCs/>
                <w:color w:val="538DD5"/>
                <w:sz w:val="14"/>
                <w:szCs w:val="16"/>
                <w:lang w:eastAsia="pt-BR"/>
              </w:rPr>
              <w:t> </w:t>
            </w:r>
          </w:p>
        </w:tc>
        <w:tc>
          <w:tcPr>
            <w:tcW w:w="338" w:type="pct"/>
            <w:tcBorders>
              <w:top w:val="nil"/>
              <w:left w:val="nil"/>
              <w:bottom w:val="single" w:sz="8" w:space="0" w:color="8DB4E2"/>
              <w:right w:val="nil"/>
            </w:tcBorders>
            <w:shd w:val="clear" w:color="auto" w:fill="auto"/>
            <w:noWrap/>
            <w:vAlign w:val="center"/>
            <w:hideMark/>
          </w:tcPr>
          <w:p w14:paraId="1B277B70" w14:textId="77777777" w:rsidR="00920028" w:rsidRPr="00087F48" w:rsidRDefault="00920028" w:rsidP="00446A14">
            <w:pPr>
              <w:spacing w:after="0" w:line="240" w:lineRule="auto"/>
              <w:jc w:val="right"/>
              <w:rPr>
                <w:rFonts w:ascii="Arial" w:hAnsi="Arial" w:cs="Arial"/>
                <w:b/>
                <w:bCs/>
                <w:color w:val="538DD5"/>
                <w:sz w:val="14"/>
                <w:szCs w:val="16"/>
                <w:lang w:eastAsia="pt-BR"/>
              </w:rPr>
            </w:pPr>
            <w:r w:rsidRPr="00087F48">
              <w:rPr>
                <w:rFonts w:ascii="Arial" w:hAnsi="Arial" w:cs="Arial"/>
                <w:b/>
                <w:bCs/>
                <w:color w:val="538DD5"/>
                <w:sz w:val="14"/>
                <w:szCs w:val="16"/>
                <w:lang w:eastAsia="pt-BR"/>
              </w:rPr>
              <w:t> </w:t>
            </w:r>
          </w:p>
        </w:tc>
        <w:tc>
          <w:tcPr>
            <w:tcW w:w="338" w:type="pct"/>
            <w:tcBorders>
              <w:top w:val="single" w:sz="8" w:space="0" w:color="8DB4E2"/>
              <w:left w:val="nil"/>
              <w:bottom w:val="single" w:sz="8" w:space="0" w:color="8DB4E2"/>
              <w:right w:val="single" w:sz="8" w:space="0" w:color="8DB4E2"/>
            </w:tcBorders>
            <w:shd w:val="clear" w:color="auto" w:fill="auto"/>
            <w:noWrap/>
            <w:vAlign w:val="center"/>
            <w:hideMark/>
          </w:tcPr>
          <w:p w14:paraId="54B73D98" w14:textId="77777777" w:rsidR="00920028" w:rsidRPr="00087F48" w:rsidRDefault="00920028" w:rsidP="00446A14">
            <w:pPr>
              <w:spacing w:after="0" w:line="240" w:lineRule="auto"/>
              <w:jc w:val="right"/>
              <w:rPr>
                <w:rFonts w:ascii="Arial" w:hAnsi="Arial" w:cs="Arial"/>
                <w:b/>
                <w:bCs/>
                <w:color w:val="538DD5"/>
                <w:sz w:val="14"/>
                <w:szCs w:val="16"/>
                <w:lang w:eastAsia="pt-BR"/>
              </w:rPr>
            </w:pPr>
            <w:r w:rsidRPr="00087F48">
              <w:rPr>
                <w:rFonts w:ascii="Arial" w:hAnsi="Arial" w:cs="Arial"/>
                <w:b/>
                <w:bCs/>
                <w:color w:val="538DD5"/>
                <w:sz w:val="14"/>
                <w:szCs w:val="16"/>
                <w:lang w:eastAsia="pt-BR"/>
              </w:rPr>
              <w:t>2023</w:t>
            </w:r>
          </w:p>
        </w:tc>
        <w:tc>
          <w:tcPr>
            <w:tcW w:w="441" w:type="pct"/>
            <w:tcBorders>
              <w:top w:val="single" w:sz="8" w:space="0" w:color="8DB4E2"/>
              <w:left w:val="nil"/>
              <w:bottom w:val="single" w:sz="8" w:space="0" w:color="8DB4E2"/>
              <w:right w:val="nil"/>
            </w:tcBorders>
            <w:shd w:val="clear" w:color="auto" w:fill="auto"/>
            <w:noWrap/>
            <w:vAlign w:val="center"/>
            <w:hideMark/>
          </w:tcPr>
          <w:p w14:paraId="14C2DC1E" w14:textId="77777777" w:rsidR="00920028" w:rsidRPr="00087F48" w:rsidRDefault="00920028" w:rsidP="00446A14">
            <w:pPr>
              <w:spacing w:after="0" w:line="240" w:lineRule="auto"/>
              <w:jc w:val="right"/>
              <w:rPr>
                <w:rFonts w:ascii="Arial" w:hAnsi="Arial" w:cs="Arial"/>
                <w:b/>
                <w:bCs/>
                <w:color w:val="538DD5"/>
                <w:sz w:val="14"/>
                <w:szCs w:val="16"/>
                <w:lang w:eastAsia="pt-BR"/>
              </w:rPr>
            </w:pPr>
            <w:r w:rsidRPr="00087F48">
              <w:rPr>
                <w:rFonts w:ascii="Arial" w:hAnsi="Arial" w:cs="Arial"/>
                <w:b/>
                <w:bCs/>
                <w:color w:val="538DD5"/>
                <w:sz w:val="14"/>
                <w:szCs w:val="16"/>
                <w:lang w:eastAsia="pt-BR"/>
              </w:rPr>
              <w:t> </w:t>
            </w:r>
          </w:p>
        </w:tc>
        <w:tc>
          <w:tcPr>
            <w:tcW w:w="401" w:type="pct"/>
            <w:tcBorders>
              <w:top w:val="single" w:sz="8" w:space="0" w:color="8DB4E2"/>
              <w:left w:val="nil"/>
              <w:bottom w:val="single" w:sz="8" w:space="0" w:color="8DB4E2"/>
              <w:right w:val="nil"/>
            </w:tcBorders>
            <w:shd w:val="clear" w:color="auto" w:fill="auto"/>
            <w:noWrap/>
            <w:vAlign w:val="center"/>
            <w:hideMark/>
          </w:tcPr>
          <w:p w14:paraId="128333F5" w14:textId="77777777" w:rsidR="00920028" w:rsidRPr="00087F48" w:rsidRDefault="00920028" w:rsidP="00446A14">
            <w:pPr>
              <w:spacing w:after="0" w:line="240" w:lineRule="auto"/>
              <w:jc w:val="right"/>
              <w:rPr>
                <w:rFonts w:ascii="Arial" w:hAnsi="Arial" w:cs="Arial"/>
                <w:b/>
                <w:bCs/>
                <w:color w:val="538DD5"/>
                <w:sz w:val="14"/>
                <w:szCs w:val="16"/>
                <w:lang w:eastAsia="pt-BR"/>
              </w:rPr>
            </w:pPr>
            <w:r w:rsidRPr="00087F48">
              <w:rPr>
                <w:rFonts w:ascii="Arial" w:hAnsi="Arial" w:cs="Arial"/>
                <w:b/>
                <w:bCs/>
                <w:color w:val="538DD5"/>
                <w:sz w:val="14"/>
                <w:szCs w:val="16"/>
                <w:lang w:eastAsia="pt-BR"/>
              </w:rPr>
              <w:t> </w:t>
            </w:r>
          </w:p>
        </w:tc>
        <w:tc>
          <w:tcPr>
            <w:tcW w:w="338" w:type="pct"/>
            <w:tcBorders>
              <w:top w:val="single" w:sz="8" w:space="0" w:color="8DB4E2"/>
              <w:left w:val="nil"/>
              <w:bottom w:val="single" w:sz="8" w:space="0" w:color="8DB4E2"/>
              <w:right w:val="nil"/>
            </w:tcBorders>
            <w:shd w:val="clear" w:color="auto" w:fill="auto"/>
            <w:noWrap/>
            <w:vAlign w:val="center"/>
            <w:hideMark/>
          </w:tcPr>
          <w:p w14:paraId="4E6CF54D" w14:textId="77777777" w:rsidR="00920028" w:rsidRPr="00087F48" w:rsidRDefault="00920028" w:rsidP="00446A14">
            <w:pPr>
              <w:spacing w:after="0" w:line="240" w:lineRule="auto"/>
              <w:jc w:val="right"/>
              <w:rPr>
                <w:rFonts w:ascii="Arial" w:hAnsi="Arial" w:cs="Arial"/>
                <w:b/>
                <w:bCs/>
                <w:color w:val="538DD5"/>
                <w:sz w:val="14"/>
                <w:szCs w:val="16"/>
                <w:lang w:eastAsia="pt-BR"/>
              </w:rPr>
            </w:pPr>
            <w:r w:rsidRPr="00087F48">
              <w:rPr>
                <w:rFonts w:ascii="Arial" w:hAnsi="Arial" w:cs="Arial"/>
                <w:b/>
                <w:bCs/>
                <w:color w:val="538DD5"/>
                <w:sz w:val="14"/>
                <w:szCs w:val="16"/>
                <w:lang w:eastAsia="pt-BR"/>
              </w:rPr>
              <w:t> </w:t>
            </w:r>
          </w:p>
        </w:tc>
        <w:tc>
          <w:tcPr>
            <w:tcW w:w="338" w:type="pct"/>
            <w:tcBorders>
              <w:top w:val="nil"/>
              <w:left w:val="nil"/>
              <w:bottom w:val="single" w:sz="8" w:space="0" w:color="8DB4E2"/>
              <w:right w:val="single" w:sz="8" w:space="0" w:color="8DB4E2"/>
            </w:tcBorders>
            <w:shd w:val="clear" w:color="auto" w:fill="auto"/>
            <w:noWrap/>
            <w:vAlign w:val="center"/>
            <w:hideMark/>
          </w:tcPr>
          <w:p w14:paraId="450B66C3" w14:textId="77777777" w:rsidR="00920028" w:rsidRPr="00087F48" w:rsidRDefault="00920028" w:rsidP="00446A14">
            <w:pPr>
              <w:spacing w:after="0" w:line="240" w:lineRule="auto"/>
              <w:jc w:val="right"/>
              <w:rPr>
                <w:rFonts w:ascii="Arial" w:hAnsi="Arial" w:cs="Arial"/>
                <w:b/>
                <w:bCs/>
                <w:color w:val="538DD5"/>
                <w:sz w:val="14"/>
                <w:szCs w:val="16"/>
                <w:lang w:eastAsia="pt-BR"/>
              </w:rPr>
            </w:pPr>
            <w:r w:rsidRPr="00087F48">
              <w:rPr>
                <w:rFonts w:ascii="Arial" w:hAnsi="Arial" w:cs="Arial"/>
                <w:b/>
                <w:bCs/>
                <w:color w:val="538DD5"/>
                <w:sz w:val="14"/>
                <w:szCs w:val="16"/>
                <w:lang w:eastAsia="pt-BR"/>
              </w:rPr>
              <w:t>2022</w:t>
            </w:r>
          </w:p>
        </w:tc>
        <w:tc>
          <w:tcPr>
            <w:tcW w:w="86" w:type="pct"/>
            <w:tcBorders>
              <w:top w:val="nil"/>
              <w:left w:val="nil"/>
              <w:bottom w:val="single" w:sz="8" w:space="0" w:color="8DB4E2"/>
              <w:right w:val="nil"/>
            </w:tcBorders>
          </w:tcPr>
          <w:p w14:paraId="35EF4D66" w14:textId="77777777" w:rsidR="00920028" w:rsidRPr="00087F48" w:rsidRDefault="00920028" w:rsidP="00446A14">
            <w:pPr>
              <w:spacing w:after="0" w:line="240" w:lineRule="auto"/>
              <w:jc w:val="right"/>
              <w:rPr>
                <w:rFonts w:ascii="Arial" w:hAnsi="Arial" w:cs="Arial"/>
                <w:b/>
                <w:bCs/>
                <w:color w:val="538DD5"/>
                <w:sz w:val="14"/>
                <w:szCs w:val="16"/>
                <w:lang w:eastAsia="pt-BR"/>
              </w:rPr>
            </w:pPr>
          </w:p>
        </w:tc>
        <w:tc>
          <w:tcPr>
            <w:tcW w:w="441" w:type="pct"/>
            <w:tcBorders>
              <w:top w:val="nil"/>
              <w:left w:val="nil"/>
              <w:bottom w:val="single" w:sz="8" w:space="0" w:color="8DB4E2"/>
              <w:right w:val="nil"/>
            </w:tcBorders>
            <w:shd w:val="clear" w:color="auto" w:fill="auto"/>
            <w:noWrap/>
            <w:vAlign w:val="center"/>
            <w:hideMark/>
          </w:tcPr>
          <w:p w14:paraId="61720DDF" w14:textId="4416B374" w:rsidR="00920028" w:rsidRPr="00087F48" w:rsidRDefault="00920028" w:rsidP="00446A14">
            <w:pPr>
              <w:spacing w:after="0" w:line="240" w:lineRule="auto"/>
              <w:jc w:val="right"/>
              <w:rPr>
                <w:rFonts w:ascii="Arial" w:hAnsi="Arial" w:cs="Arial"/>
                <w:b/>
                <w:bCs/>
                <w:color w:val="538DD5"/>
                <w:sz w:val="14"/>
                <w:szCs w:val="16"/>
                <w:lang w:eastAsia="pt-BR"/>
              </w:rPr>
            </w:pPr>
            <w:r w:rsidRPr="00087F48">
              <w:rPr>
                <w:rFonts w:ascii="Arial" w:hAnsi="Arial" w:cs="Arial"/>
                <w:b/>
                <w:bCs/>
                <w:color w:val="538DD5"/>
                <w:sz w:val="14"/>
                <w:szCs w:val="16"/>
                <w:lang w:eastAsia="pt-BR"/>
              </w:rPr>
              <w:t> </w:t>
            </w:r>
          </w:p>
        </w:tc>
        <w:tc>
          <w:tcPr>
            <w:tcW w:w="356" w:type="pct"/>
            <w:tcBorders>
              <w:top w:val="single" w:sz="8" w:space="0" w:color="8DB4E2"/>
              <w:left w:val="nil"/>
              <w:bottom w:val="single" w:sz="8" w:space="0" w:color="8DB4E2"/>
              <w:right w:val="nil"/>
            </w:tcBorders>
            <w:shd w:val="clear" w:color="auto" w:fill="auto"/>
            <w:noWrap/>
            <w:vAlign w:val="center"/>
            <w:hideMark/>
          </w:tcPr>
          <w:p w14:paraId="6F8B0557" w14:textId="77777777" w:rsidR="00920028" w:rsidRPr="00087F48" w:rsidRDefault="00920028" w:rsidP="00446A14">
            <w:pPr>
              <w:spacing w:after="0" w:line="240" w:lineRule="auto"/>
              <w:jc w:val="right"/>
              <w:rPr>
                <w:rFonts w:ascii="Arial" w:hAnsi="Arial" w:cs="Arial"/>
                <w:b/>
                <w:bCs/>
                <w:color w:val="538DD5"/>
                <w:sz w:val="14"/>
                <w:szCs w:val="16"/>
                <w:lang w:eastAsia="pt-BR"/>
              </w:rPr>
            </w:pPr>
            <w:r w:rsidRPr="00087F48">
              <w:rPr>
                <w:rFonts w:ascii="Arial" w:hAnsi="Arial" w:cs="Arial"/>
                <w:b/>
                <w:bCs/>
                <w:color w:val="538DD5"/>
                <w:sz w:val="14"/>
                <w:szCs w:val="16"/>
                <w:lang w:eastAsia="pt-BR"/>
              </w:rPr>
              <w:t>2021</w:t>
            </w:r>
          </w:p>
        </w:tc>
      </w:tr>
      <w:tr w:rsidR="00920028" w:rsidRPr="00457198" w14:paraId="77677C87" w14:textId="77777777" w:rsidTr="00920028">
        <w:trPr>
          <w:trHeight w:val="258"/>
        </w:trPr>
        <w:tc>
          <w:tcPr>
            <w:tcW w:w="1081" w:type="pct"/>
            <w:tcBorders>
              <w:top w:val="nil"/>
              <w:left w:val="nil"/>
              <w:bottom w:val="single" w:sz="8" w:space="0" w:color="8DB4E2"/>
              <w:right w:val="nil"/>
            </w:tcBorders>
            <w:shd w:val="clear" w:color="auto" w:fill="auto"/>
            <w:noWrap/>
            <w:vAlign w:val="center"/>
            <w:hideMark/>
          </w:tcPr>
          <w:p w14:paraId="42872C41" w14:textId="77777777" w:rsidR="00920028" w:rsidRPr="00087F48" w:rsidRDefault="00920028" w:rsidP="00446A14">
            <w:pPr>
              <w:spacing w:after="0" w:line="240" w:lineRule="auto"/>
              <w:rPr>
                <w:rFonts w:ascii="Arial" w:hAnsi="Arial" w:cs="Arial"/>
                <w:b/>
                <w:bCs/>
                <w:color w:val="538DD5"/>
                <w:sz w:val="14"/>
                <w:szCs w:val="16"/>
                <w:lang w:eastAsia="pt-BR"/>
              </w:rPr>
            </w:pPr>
            <w:r w:rsidRPr="00087F48">
              <w:rPr>
                <w:rFonts w:ascii="Arial" w:hAnsi="Arial" w:cs="Arial"/>
                <w:b/>
                <w:bCs/>
                <w:color w:val="538DD5"/>
                <w:sz w:val="14"/>
                <w:szCs w:val="16"/>
                <w:lang w:eastAsia="pt-BR"/>
              </w:rPr>
              <w:t>Rubricas</w:t>
            </w:r>
          </w:p>
        </w:tc>
        <w:tc>
          <w:tcPr>
            <w:tcW w:w="441" w:type="pct"/>
            <w:tcBorders>
              <w:top w:val="nil"/>
              <w:left w:val="nil"/>
              <w:bottom w:val="single" w:sz="8" w:space="0" w:color="8DB4E2"/>
              <w:right w:val="nil"/>
            </w:tcBorders>
            <w:shd w:val="clear" w:color="auto" w:fill="auto"/>
            <w:noWrap/>
            <w:vAlign w:val="center"/>
            <w:hideMark/>
          </w:tcPr>
          <w:p w14:paraId="56B994E0" w14:textId="77777777" w:rsidR="00920028" w:rsidRPr="00087F48" w:rsidRDefault="00920028" w:rsidP="00446A14">
            <w:pPr>
              <w:spacing w:after="0" w:line="240" w:lineRule="auto"/>
              <w:jc w:val="right"/>
              <w:rPr>
                <w:rFonts w:ascii="Arial" w:hAnsi="Arial" w:cs="Arial"/>
                <w:b/>
                <w:bCs/>
                <w:color w:val="538DD5"/>
                <w:sz w:val="14"/>
                <w:szCs w:val="16"/>
                <w:lang w:eastAsia="pt-BR"/>
              </w:rPr>
            </w:pPr>
            <w:r w:rsidRPr="00087F48">
              <w:rPr>
                <w:rFonts w:ascii="Arial" w:hAnsi="Arial" w:cs="Arial"/>
                <w:b/>
                <w:bCs/>
                <w:color w:val="538DD5"/>
                <w:sz w:val="14"/>
                <w:szCs w:val="16"/>
                <w:lang w:eastAsia="pt-BR"/>
              </w:rPr>
              <w:t>Valor</w:t>
            </w:r>
          </w:p>
        </w:tc>
        <w:tc>
          <w:tcPr>
            <w:tcW w:w="401" w:type="pct"/>
            <w:tcBorders>
              <w:top w:val="nil"/>
              <w:left w:val="nil"/>
              <w:bottom w:val="single" w:sz="8" w:space="0" w:color="8DB4E2"/>
              <w:right w:val="nil"/>
            </w:tcBorders>
            <w:shd w:val="clear" w:color="auto" w:fill="auto"/>
            <w:noWrap/>
            <w:vAlign w:val="center"/>
            <w:hideMark/>
          </w:tcPr>
          <w:p w14:paraId="2891385B" w14:textId="77777777" w:rsidR="00920028" w:rsidRPr="00087F48" w:rsidRDefault="00920028" w:rsidP="00446A14">
            <w:pPr>
              <w:spacing w:after="0" w:line="240" w:lineRule="auto"/>
              <w:jc w:val="right"/>
              <w:rPr>
                <w:rFonts w:ascii="Arial" w:hAnsi="Arial" w:cs="Arial"/>
                <w:b/>
                <w:bCs/>
                <w:color w:val="538DD5"/>
                <w:sz w:val="14"/>
                <w:szCs w:val="16"/>
                <w:lang w:eastAsia="pt-BR"/>
              </w:rPr>
            </w:pPr>
            <w:r w:rsidRPr="00087F48">
              <w:rPr>
                <w:rFonts w:ascii="Arial" w:hAnsi="Arial" w:cs="Arial"/>
                <w:b/>
                <w:bCs/>
                <w:color w:val="538DD5"/>
                <w:sz w:val="14"/>
                <w:szCs w:val="16"/>
                <w:lang w:eastAsia="pt-BR"/>
              </w:rPr>
              <w:t xml:space="preserve"> AV% </w:t>
            </w:r>
          </w:p>
        </w:tc>
        <w:tc>
          <w:tcPr>
            <w:tcW w:w="338" w:type="pct"/>
            <w:tcBorders>
              <w:top w:val="nil"/>
              <w:left w:val="nil"/>
              <w:bottom w:val="single" w:sz="8" w:space="0" w:color="8DB4E2"/>
              <w:right w:val="nil"/>
            </w:tcBorders>
            <w:shd w:val="clear" w:color="auto" w:fill="auto"/>
            <w:vAlign w:val="center"/>
            <w:hideMark/>
          </w:tcPr>
          <w:p w14:paraId="662BD2DF" w14:textId="77777777" w:rsidR="00920028" w:rsidRPr="00087F48" w:rsidRDefault="00920028" w:rsidP="00446A14">
            <w:pPr>
              <w:spacing w:after="0" w:line="240" w:lineRule="auto"/>
              <w:jc w:val="center"/>
              <w:rPr>
                <w:rFonts w:ascii="Arial" w:hAnsi="Arial" w:cs="Arial"/>
                <w:b/>
                <w:bCs/>
                <w:color w:val="538DD5"/>
                <w:sz w:val="14"/>
                <w:szCs w:val="16"/>
                <w:lang w:eastAsia="pt-BR"/>
              </w:rPr>
            </w:pPr>
            <w:r w:rsidRPr="00087F48">
              <w:rPr>
                <w:rFonts w:ascii="Arial" w:hAnsi="Arial" w:cs="Arial"/>
                <w:b/>
                <w:bCs/>
                <w:color w:val="538DD5"/>
                <w:sz w:val="14"/>
                <w:szCs w:val="16"/>
                <w:lang w:eastAsia="pt-BR"/>
              </w:rPr>
              <w:t xml:space="preserve"> AH% - 2022</w:t>
            </w:r>
          </w:p>
        </w:tc>
        <w:tc>
          <w:tcPr>
            <w:tcW w:w="338" w:type="pct"/>
            <w:tcBorders>
              <w:top w:val="nil"/>
              <w:left w:val="nil"/>
              <w:bottom w:val="single" w:sz="8" w:space="0" w:color="8DB4E2"/>
              <w:right w:val="single" w:sz="8" w:space="0" w:color="8DB4E2"/>
            </w:tcBorders>
            <w:shd w:val="clear" w:color="auto" w:fill="auto"/>
            <w:vAlign w:val="center"/>
            <w:hideMark/>
          </w:tcPr>
          <w:p w14:paraId="3A45B0B8" w14:textId="77777777" w:rsidR="00920028" w:rsidRPr="00087F48" w:rsidRDefault="00920028" w:rsidP="00446A14">
            <w:pPr>
              <w:spacing w:after="0" w:line="240" w:lineRule="auto"/>
              <w:jc w:val="center"/>
              <w:rPr>
                <w:rFonts w:ascii="Arial" w:hAnsi="Arial" w:cs="Arial"/>
                <w:b/>
                <w:bCs/>
                <w:color w:val="538DD5"/>
                <w:sz w:val="14"/>
                <w:szCs w:val="16"/>
                <w:lang w:eastAsia="pt-BR"/>
              </w:rPr>
            </w:pPr>
            <w:r w:rsidRPr="00087F48">
              <w:rPr>
                <w:rFonts w:ascii="Arial" w:hAnsi="Arial" w:cs="Arial"/>
                <w:b/>
                <w:bCs/>
                <w:color w:val="538DD5"/>
                <w:sz w:val="14"/>
                <w:szCs w:val="16"/>
                <w:lang w:eastAsia="pt-BR"/>
              </w:rPr>
              <w:t xml:space="preserve"> AH% - 2021</w:t>
            </w:r>
          </w:p>
        </w:tc>
        <w:tc>
          <w:tcPr>
            <w:tcW w:w="441" w:type="pct"/>
            <w:tcBorders>
              <w:top w:val="nil"/>
              <w:left w:val="nil"/>
              <w:bottom w:val="single" w:sz="8" w:space="0" w:color="8DB4E2"/>
              <w:right w:val="nil"/>
            </w:tcBorders>
            <w:shd w:val="clear" w:color="auto" w:fill="auto"/>
            <w:noWrap/>
            <w:vAlign w:val="center"/>
            <w:hideMark/>
          </w:tcPr>
          <w:p w14:paraId="1E99586A" w14:textId="77777777" w:rsidR="00920028" w:rsidRPr="00087F48" w:rsidRDefault="00920028" w:rsidP="00446A14">
            <w:pPr>
              <w:spacing w:after="0" w:line="240" w:lineRule="auto"/>
              <w:jc w:val="right"/>
              <w:rPr>
                <w:rFonts w:ascii="Arial" w:hAnsi="Arial" w:cs="Arial"/>
                <w:b/>
                <w:bCs/>
                <w:color w:val="538DD5"/>
                <w:sz w:val="14"/>
                <w:szCs w:val="16"/>
                <w:lang w:eastAsia="pt-BR"/>
              </w:rPr>
            </w:pPr>
            <w:r w:rsidRPr="00087F48">
              <w:rPr>
                <w:rFonts w:ascii="Arial" w:hAnsi="Arial" w:cs="Arial"/>
                <w:b/>
                <w:bCs/>
                <w:color w:val="538DD5"/>
                <w:sz w:val="14"/>
                <w:szCs w:val="16"/>
                <w:lang w:eastAsia="pt-BR"/>
              </w:rPr>
              <w:t>Valor</w:t>
            </w:r>
          </w:p>
        </w:tc>
        <w:tc>
          <w:tcPr>
            <w:tcW w:w="401" w:type="pct"/>
            <w:tcBorders>
              <w:top w:val="nil"/>
              <w:left w:val="nil"/>
              <w:bottom w:val="single" w:sz="8" w:space="0" w:color="8DB4E2"/>
              <w:right w:val="nil"/>
            </w:tcBorders>
            <w:shd w:val="clear" w:color="auto" w:fill="auto"/>
            <w:noWrap/>
            <w:vAlign w:val="center"/>
            <w:hideMark/>
          </w:tcPr>
          <w:p w14:paraId="7BE19E9D" w14:textId="77777777" w:rsidR="00920028" w:rsidRPr="00087F48" w:rsidRDefault="00920028" w:rsidP="00446A14">
            <w:pPr>
              <w:spacing w:after="0" w:line="240" w:lineRule="auto"/>
              <w:jc w:val="right"/>
              <w:rPr>
                <w:rFonts w:ascii="Arial" w:hAnsi="Arial" w:cs="Arial"/>
                <w:b/>
                <w:bCs/>
                <w:color w:val="538DD5"/>
                <w:sz w:val="14"/>
                <w:szCs w:val="16"/>
                <w:lang w:eastAsia="pt-BR"/>
              </w:rPr>
            </w:pPr>
            <w:r w:rsidRPr="00087F48">
              <w:rPr>
                <w:rFonts w:ascii="Arial" w:hAnsi="Arial" w:cs="Arial"/>
                <w:b/>
                <w:bCs/>
                <w:color w:val="538DD5"/>
                <w:sz w:val="14"/>
                <w:szCs w:val="16"/>
                <w:lang w:eastAsia="pt-BR"/>
              </w:rPr>
              <w:t xml:space="preserve"> AV% </w:t>
            </w:r>
          </w:p>
        </w:tc>
        <w:tc>
          <w:tcPr>
            <w:tcW w:w="338" w:type="pct"/>
            <w:tcBorders>
              <w:top w:val="nil"/>
              <w:left w:val="nil"/>
              <w:bottom w:val="single" w:sz="8" w:space="0" w:color="8DB4E2"/>
              <w:right w:val="nil"/>
            </w:tcBorders>
            <w:shd w:val="clear" w:color="auto" w:fill="auto"/>
            <w:vAlign w:val="center"/>
            <w:hideMark/>
          </w:tcPr>
          <w:p w14:paraId="198EF183" w14:textId="77777777" w:rsidR="00920028" w:rsidRPr="00087F48" w:rsidRDefault="00920028" w:rsidP="00446A14">
            <w:pPr>
              <w:spacing w:after="0" w:line="240" w:lineRule="auto"/>
              <w:jc w:val="center"/>
              <w:rPr>
                <w:rFonts w:ascii="Arial" w:hAnsi="Arial" w:cs="Arial"/>
                <w:b/>
                <w:bCs/>
                <w:color w:val="538DD5"/>
                <w:sz w:val="14"/>
                <w:szCs w:val="16"/>
                <w:lang w:eastAsia="pt-BR"/>
              </w:rPr>
            </w:pPr>
            <w:r w:rsidRPr="00087F48">
              <w:rPr>
                <w:rFonts w:ascii="Arial" w:hAnsi="Arial" w:cs="Arial"/>
                <w:b/>
                <w:bCs/>
                <w:color w:val="538DD5"/>
                <w:sz w:val="14"/>
                <w:szCs w:val="16"/>
                <w:lang w:eastAsia="pt-BR"/>
              </w:rPr>
              <w:t xml:space="preserve"> AH% - 2021</w:t>
            </w:r>
          </w:p>
        </w:tc>
        <w:tc>
          <w:tcPr>
            <w:tcW w:w="338" w:type="pct"/>
            <w:tcBorders>
              <w:top w:val="nil"/>
              <w:left w:val="nil"/>
              <w:bottom w:val="single" w:sz="8" w:space="0" w:color="8DB4E2"/>
              <w:right w:val="single" w:sz="8" w:space="0" w:color="8DB4E2"/>
            </w:tcBorders>
            <w:shd w:val="clear" w:color="auto" w:fill="auto"/>
            <w:vAlign w:val="center"/>
            <w:hideMark/>
          </w:tcPr>
          <w:p w14:paraId="1BD3E777" w14:textId="77777777" w:rsidR="00920028" w:rsidRPr="00087F48" w:rsidRDefault="00920028" w:rsidP="00446A14">
            <w:pPr>
              <w:spacing w:after="0" w:line="240" w:lineRule="auto"/>
              <w:jc w:val="center"/>
              <w:rPr>
                <w:rFonts w:ascii="Arial" w:hAnsi="Arial" w:cs="Arial"/>
                <w:b/>
                <w:bCs/>
                <w:color w:val="538DD5"/>
                <w:sz w:val="14"/>
                <w:szCs w:val="16"/>
                <w:lang w:eastAsia="pt-BR"/>
              </w:rPr>
            </w:pPr>
            <w:r w:rsidRPr="00087F48">
              <w:rPr>
                <w:rFonts w:ascii="Arial" w:hAnsi="Arial" w:cs="Arial"/>
                <w:b/>
                <w:bCs/>
                <w:color w:val="538DD5"/>
                <w:sz w:val="14"/>
                <w:szCs w:val="16"/>
                <w:lang w:eastAsia="pt-BR"/>
              </w:rPr>
              <w:t xml:space="preserve"> AH% - 2020</w:t>
            </w:r>
          </w:p>
        </w:tc>
        <w:tc>
          <w:tcPr>
            <w:tcW w:w="86" w:type="pct"/>
            <w:tcBorders>
              <w:top w:val="nil"/>
              <w:left w:val="nil"/>
              <w:bottom w:val="single" w:sz="8" w:space="0" w:color="8DB4E2"/>
              <w:right w:val="nil"/>
            </w:tcBorders>
          </w:tcPr>
          <w:p w14:paraId="17166A0D" w14:textId="77777777" w:rsidR="00920028" w:rsidRPr="00087F48" w:rsidRDefault="00920028" w:rsidP="00446A14">
            <w:pPr>
              <w:spacing w:after="0" w:line="240" w:lineRule="auto"/>
              <w:jc w:val="right"/>
              <w:rPr>
                <w:rFonts w:ascii="Arial" w:hAnsi="Arial" w:cs="Arial"/>
                <w:b/>
                <w:bCs/>
                <w:color w:val="538DD5"/>
                <w:sz w:val="14"/>
                <w:szCs w:val="16"/>
                <w:lang w:eastAsia="pt-BR"/>
              </w:rPr>
            </w:pPr>
          </w:p>
        </w:tc>
        <w:tc>
          <w:tcPr>
            <w:tcW w:w="441" w:type="pct"/>
            <w:tcBorders>
              <w:top w:val="nil"/>
              <w:left w:val="nil"/>
              <w:bottom w:val="single" w:sz="8" w:space="0" w:color="8DB4E2"/>
              <w:right w:val="nil"/>
            </w:tcBorders>
            <w:shd w:val="clear" w:color="auto" w:fill="auto"/>
            <w:noWrap/>
            <w:vAlign w:val="center"/>
            <w:hideMark/>
          </w:tcPr>
          <w:p w14:paraId="2B636E8A" w14:textId="38790DE2" w:rsidR="00920028" w:rsidRPr="00087F48" w:rsidRDefault="00920028" w:rsidP="00446A14">
            <w:pPr>
              <w:spacing w:after="0" w:line="240" w:lineRule="auto"/>
              <w:jc w:val="right"/>
              <w:rPr>
                <w:rFonts w:ascii="Arial" w:hAnsi="Arial" w:cs="Arial"/>
                <w:b/>
                <w:bCs/>
                <w:color w:val="538DD5"/>
                <w:sz w:val="14"/>
                <w:szCs w:val="16"/>
                <w:lang w:eastAsia="pt-BR"/>
              </w:rPr>
            </w:pPr>
            <w:r w:rsidRPr="00087F48">
              <w:rPr>
                <w:rFonts w:ascii="Arial" w:hAnsi="Arial" w:cs="Arial"/>
                <w:b/>
                <w:bCs/>
                <w:color w:val="538DD5"/>
                <w:sz w:val="14"/>
                <w:szCs w:val="16"/>
                <w:lang w:eastAsia="pt-BR"/>
              </w:rPr>
              <w:t>Valor</w:t>
            </w:r>
          </w:p>
        </w:tc>
        <w:tc>
          <w:tcPr>
            <w:tcW w:w="356" w:type="pct"/>
            <w:tcBorders>
              <w:top w:val="nil"/>
              <w:left w:val="nil"/>
              <w:bottom w:val="single" w:sz="8" w:space="0" w:color="8DB4E2"/>
              <w:right w:val="nil"/>
            </w:tcBorders>
            <w:shd w:val="clear" w:color="auto" w:fill="auto"/>
            <w:noWrap/>
            <w:vAlign w:val="center"/>
            <w:hideMark/>
          </w:tcPr>
          <w:p w14:paraId="2094615A" w14:textId="77777777" w:rsidR="00920028" w:rsidRPr="00087F48" w:rsidRDefault="00920028" w:rsidP="00446A14">
            <w:pPr>
              <w:spacing w:after="0" w:line="240" w:lineRule="auto"/>
              <w:jc w:val="right"/>
              <w:rPr>
                <w:rFonts w:ascii="Arial" w:hAnsi="Arial" w:cs="Arial"/>
                <w:b/>
                <w:bCs/>
                <w:color w:val="538DD5"/>
                <w:sz w:val="14"/>
                <w:szCs w:val="16"/>
                <w:lang w:eastAsia="pt-BR"/>
              </w:rPr>
            </w:pPr>
            <w:r w:rsidRPr="00087F48">
              <w:rPr>
                <w:rFonts w:ascii="Arial" w:hAnsi="Arial" w:cs="Arial"/>
                <w:b/>
                <w:bCs/>
                <w:color w:val="538DD5"/>
                <w:sz w:val="14"/>
                <w:szCs w:val="16"/>
                <w:lang w:eastAsia="pt-BR"/>
              </w:rPr>
              <w:t xml:space="preserve"> AV% </w:t>
            </w:r>
          </w:p>
        </w:tc>
      </w:tr>
      <w:tr w:rsidR="00920028" w:rsidRPr="00457198" w14:paraId="45840545" w14:textId="77777777" w:rsidTr="00920028">
        <w:trPr>
          <w:trHeight w:val="258"/>
        </w:trPr>
        <w:tc>
          <w:tcPr>
            <w:tcW w:w="1081" w:type="pct"/>
            <w:tcBorders>
              <w:top w:val="nil"/>
              <w:left w:val="nil"/>
              <w:bottom w:val="nil"/>
              <w:right w:val="nil"/>
            </w:tcBorders>
            <w:shd w:val="clear" w:color="auto" w:fill="auto"/>
            <w:noWrap/>
            <w:vAlign w:val="center"/>
            <w:hideMark/>
          </w:tcPr>
          <w:p w14:paraId="58214825" w14:textId="77777777" w:rsidR="00920028" w:rsidRPr="00087F48" w:rsidRDefault="00920028" w:rsidP="00446A14">
            <w:pPr>
              <w:spacing w:after="0" w:line="240" w:lineRule="auto"/>
              <w:rPr>
                <w:rFonts w:ascii="Arial" w:hAnsi="Arial" w:cs="Arial"/>
                <w:color w:val="000000"/>
                <w:sz w:val="14"/>
                <w:szCs w:val="16"/>
                <w:lang w:eastAsia="pt-BR"/>
              </w:rPr>
            </w:pPr>
            <w:r w:rsidRPr="00087F48">
              <w:rPr>
                <w:rFonts w:ascii="Arial" w:hAnsi="Arial" w:cs="Arial"/>
                <w:color w:val="000000"/>
                <w:sz w:val="14"/>
                <w:szCs w:val="16"/>
                <w:lang w:eastAsia="pt-BR"/>
              </w:rPr>
              <w:t>Ativo Circulante</w:t>
            </w:r>
          </w:p>
        </w:tc>
        <w:tc>
          <w:tcPr>
            <w:tcW w:w="441" w:type="pct"/>
            <w:tcBorders>
              <w:top w:val="nil"/>
              <w:left w:val="nil"/>
              <w:bottom w:val="nil"/>
              <w:right w:val="nil"/>
            </w:tcBorders>
            <w:shd w:val="clear" w:color="auto" w:fill="auto"/>
            <w:noWrap/>
            <w:vAlign w:val="center"/>
            <w:hideMark/>
          </w:tcPr>
          <w:p w14:paraId="0FD98C16"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1.607.349</w:t>
            </w:r>
          </w:p>
        </w:tc>
        <w:tc>
          <w:tcPr>
            <w:tcW w:w="401" w:type="pct"/>
            <w:tcBorders>
              <w:top w:val="nil"/>
              <w:left w:val="nil"/>
              <w:bottom w:val="nil"/>
              <w:right w:val="nil"/>
            </w:tcBorders>
            <w:shd w:val="clear" w:color="auto" w:fill="auto"/>
            <w:noWrap/>
            <w:vAlign w:val="center"/>
            <w:hideMark/>
          </w:tcPr>
          <w:p w14:paraId="27DFD6E6"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40,10%</w:t>
            </w:r>
          </w:p>
        </w:tc>
        <w:tc>
          <w:tcPr>
            <w:tcW w:w="338" w:type="pct"/>
            <w:tcBorders>
              <w:top w:val="nil"/>
              <w:left w:val="nil"/>
              <w:bottom w:val="nil"/>
              <w:right w:val="nil"/>
            </w:tcBorders>
            <w:shd w:val="clear" w:color="auto" w:fill="auto"/>
            <w:noWrap/>
            <w:vAlign w:val="center"/>
            <w:hideMark/>
          </w:tcPr>
          <w:p w14:paraId="51440427"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5,1%</w:t>
            </w:r>
          </w:p>
        </w:tc>
        <w:tc>
          <w:tcPr>
            <w:tcW w:w="338" w:type="pct"/>
            <w:tcBorders>
              <w:top w:val="nil"/>
              <w:left w:val="nil"/>
              <w:bottom w:val="nil"/>
              <w:right w:val="single" w:sz="8" w:space="0" w:color="8DB4E2"/>
            </w:tcBorders>
            <w:shd w:val="clear" w:color="auto" w:fill="auto"/>
            <w:noWrap/>
            <w:vAlign w:val="center"/>
            <w:hideMark/>
          </w:tcPr>
          <w:p w14:paraId="39603AC3"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10,3%</w:t>
            </w:r>
          </w:p>
        </w:tc>
        <w:tc>
          <w:tcPr>
            <w:tcW w:w="441" w:type="pct"/>
            <w:tcBorders>
              <w:top w:val="nil"/>
              <w:left w:val="nil"/>
              <w:bottom w:val="nil"/>
              <w:right w:val="nil"/>
            </w:tcBorders>
            <w:shd w:val="clear" w:color="auto" w:fill="auto"/>
            <w:noWrap/>
            <w:vAlign w:val="center"/>
            <w:hideMark/>
          </w:tcPr>
          <w:p w14:paraId="3BBB2893"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1.528.710</w:t>
            </w:r>
          </w:p>
        </w:tc>
        <w:tc>
          <w:tcPr>
            <w:tcW w:w="401" w:type="pct"/>
            <w:tcBorders>
              <w:top w:val="nil"/>
              <w:left w:val="nil"/>
              <w:bottom w:val="nil"/>
              <w:right w:val="nil"/>
            </w:tcBorders>
            <w:shd w:val="clear" w:color="auto" w:fill="auto"/>
            <w:noWrap/>
            <w:vAlign w:val="center"/>
            <w:hideMark/>
          </w:tcPr>
          <w:p w14:paraId="16107229"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37,90%</w:t>
            </w:r>
          </w:p>
        </w:tc>
        <w:tc>
          <w:tcPr>
            <w:tcW w:w="338" w:type="pct"/>
            <w:tcBorders>
              <w:top w:val="nil"/>
              <w:left w:val="nil"/>
              <w:bottom w:val="nil"/>
              <w:right w:val="nil"/>
            </w:tcBorders>
            <w:shd w:val="clear" w:color="auto" w:fill="auto"/>
            <w:noWrap/>
            <w:vAlign w:val="center"/>
            <w:hideMark/>
          </w:tcPr>
          <w:p w14:paraId="0FF851CF"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4,9%</w:t>
            </w:r>
          </w:p>
        </w:tc>
        <w:tc>
          <w:tcPr>
            <w:tcW w:w="338" w:type="pct"/>
            <w:tcBorders>
              <w:top w:val="nil"/>
              <w:left w:val="nil"/>
              <w:bottom w:val="nil"/>
              <w:right w:val="single" w:sz="8" w:space="0" w:color="8DB4E2"/>
            </w:tcBorders>
            <w:shd w:val="clear" w:color="auto" w:fill="auto"/>
            <w:noWrap/>
            <w:vAlign w:val="center"/>
            <w:hideMark/>
          </w:tcPr>
          <w:p w14:paraId="44672D8B"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16,1%</w:t>
            </w:r>
          </w:p>
        </w:tc>
        <w:tc>
          <w:tcPr>
            <w:tcW w:w="86" w:type="pct"/>
            <w:tcBorders>
              <w:top w:val="nil"/>
              <w:left w:val="nil"/>
              <w:bottom w:val="nil"/>
              <w:right w:val="nil"/>
            </w:tcBorders>
          </w:tcPr>
          <w:p w14:paraId="5F561927" w14:textId="77777777" w:rsidR="00920028" w:rsidRPr="00087F48" w:rsidRDefault="00920028" w:rsidP="00446A14">
            <w:pPr>
              <w:spacing w:after="0" w:line="240" w:lineRule="auto"/>
              <w:jc w:val="right"/>
              <w:rPr>
                <w:rFonts w:ascii="Arial" w:hAnsi="Arial" w:cs="Arial"/>
                <w:color w:val="000000"/>
                <w:sz w:val="14"/>
                <w:szCs w:val="16"/>
                <w:lang w:eastAsia="pt-BR"/>
              </w:rPr>
            </w:pPr>
          </w:p>
        </w:tc>
        <w:tc>
          <w:tcPr>
            <w:tcW w:w="441" w:type="pct"/>
            <w:tcBorders>
              <w:top w:val="nil"/>
              <w:left w:val="nil"/>
              <w:bottom w:val="nil"/>
              <w:right w:val="nil"/>
            </w:tcBorders>
            <w:shd w:val="clear" w:color="auto" w:fill="auto"/>
            <w:noWrap/>
            <w:vAlign w:val="center"/>
            <w:hideMark/>
          </w:tcPr>
          <w:p w14:paraId="454B01F1" w14:textId="51EF2B1F"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1.457.061</w:t>
            </w:r>
          </w:p>
        </w:tc>
        <w:tc>
          <w:tcPr>
            <w:tcW w:w="356" w:type="pct"/>
            <w:tcBorders>
              <w:top w:val="nil"/>
              <w:left w:val="nil"/>
              <w:bottom w:val="nil"/>
              <w:right w:val="nil"/>
            </w:tcBorders>
            <w:shd w:val="clear" w:color="auto" w:fill="auto"/>
            <w:noWrap/>
            <w:vAlign w:val="center"/>
            <w:hideMark/>
          </w:tcPr>
          <w:p w14:paraId="69964939"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35,5%</w:t>
            </w:r>
          </w:p>
        </w:tc>
      </w:tr>
      <w:tr w:rsidR="00920028" w:rsidRPr="00457198" w14:paraId="1C5811FB" w14:textId="77777777" w:rsidTr="00920028">
        <w:trPr>
          <w:trHeight w:val="258"/>
        </w:trPr>
        <w:tc>
          <w:tcPr>
            <w:tcW w:w="1081" w:type="pct"/>
            <w:tcBorders>
              <w:top w:val="nil"/>
              <w:left w:val="nil"/>
              <w:bottom w:val="nil"/>
              <w:right w:val="nil"/>
            </w:tcBorders>
            <w:shd w:val="clear" w:color="auto" w:fill="auto"/>
            <w:noWrap/>
            <w:vAlign w:val="center"/>
            <w:hideMark/>
          </w:tcPr>
          <w:p w14:paraId="74CB01AE" w14:textId="77777777" w:rsidR="00920028" w:rsidRPr="00087F48" w:rsidRDefault="00920028" w:rsidP="00446A14">
            <w:pPr>
              <w:spacing w:after="0" w:line="240" w:lineRule="auto"/>
              <w:rPr>
                <w:rFonts w:ascii="Arial" w:hAnsi="Arial" w:cs="Arial"/>
                <w:color w:val="000000"/>
                <w:sz w:val="14"/>
                <w:szCs w:val="16"/>
                <w:lang w:eastAsia="pt-BR"/>
              </w:rPr>
            </w:pPr>
            <w:r w:rsidRPr="00087F48">
              <w:rPr>
                <w:rFonts w:ascii="Arial" w:hAnsi="Arial" w:cs="Arial"/>
                <w:color w:val="000000"/>
                <w:sz w:val="14"/>
                <w:szCs w:val="16"/>
                <w:lang w:eastAsia="pt-BR"/>
              </w:rPr>
              <w:t>Ativo Não Circulante</w:t>
            </w:r>
          </w:p>
        </w:tc>
        <w:tc>
          <w:tcPr>
            <w:tcW w:w="441" w:type="pct"/>
            <w:tcBorders>
              <w:top w:val="nil"/>
              <w:left w:val="nil"/>
              <w:bottom w:val="nil"/>
              <w:right w:val="nil"/>
            </w:tcBorders>
            <w:shd w:val="clear" w:color="auto" w:fill="auto"/>
            <w:noWrap/>
            <w:vAlign w:val="center"/>
            <w:hideMark/>
          </w:tcPr>
          <w:p w14:paraId="2B0C5358"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2.396.238</w:t>
            </w:r>
          </w:p>
        </w:tc>
        <w:tc>
          <w:tcPr>
            <w:tcW w:w="401" w:type="pct"/>
            <w:tcBorders>
              <w:top w:val="nil"/>
              <w:left w:val="nil"/>
              <w:bottom w:val="nil"/>
              <w:right w:val="nil"/>
            </w:tcBorders>
            <w:shd w:val="clear" w:color="auto" w:fill="auto"/>
            <w:noWrap/>
            <w:vAlign w:val="center"/>
            <w:hideMark/>
          </w:tcPr>
          <w:p w14:paraId="12E61670"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59,90%</w:t>
            </w:r>
          </w:p>
        </w:tc>
        <w:tc>
          <w:tcPr>
            <w:tcW w:w="338" w:type="pct"/>
            <w:tcBorders>
              <w:top w:val="nil"/>
              <w:left w:val="nil"/>
              <w:bottom w:val="nil"/>
              <w:right w:val="nil"/>
            </w:tcBorders>
            <w:shd w:val="clear" w:color="auto" w:fill="auto"/>
            <w:noWrap/>
            <w:vAlign w:val="center"/>
            <w:hideMark/>
          </w:tcPr>
          <w:p w14:paraId="1FF77465"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-4,4%</w:t>
            </w:r>
          </w:p>
        </w:tc>
        <w:tc>
          <w:tcPr>
            <w:tcW w:w="338" w:type="pct"/>
            <w:tcBorders>
              <w:top w:val="nil"/>
              <w:left w:val="nil"/>
              <w:bottom w:val="nil"/>
              <w:right w:val="single" w:sz="8" w:space="0" w:color="8DB4E2"/>
            </w:tcBorders>
            <w:shd w:val="clear" w:color="auto" w:fill="auto"/>
            <w:noWrap/>
            <w:vAlign w:val="center"/>
            <w:hideMark/>
          </w:tcPr>
          <w:p w14:paraId="733918E3"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-9,3%</w:t>
            </w:r>
          </w:p>
        </w:tc>
        <w:tc>
          <w:tcPr>
            <w:tcW w:w="441" w:type="pct"/>
            <w:tcBorders>
              <w:top w:val="nil"/>
              <w:left w:val="nil"/>
              <w:bottom w:val="nil"/>
              <w:right w:val="nil"/>
            </w:tcBorders>
            <w:shd w:val="clear" w:color="auto" w:fill="auto"/>
            <w:noWrap/>
            <w:vAlign w:val="center"/>
            <w:hideMark/>
          </w:tcPr>
          <w:p w14:paraId="707CA044"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2.506.701</w:t>
            </w:r>
          </w:p>
        </w:tc>
        <w:tc>
          <w:tcPr>
            <w:tcW w:w="401" w:type="pct"/>
            <w:tcBorders>
              <w:top w:val="nil"/>
              <w:left w:val="nil"/>
              <w:bottom w:val="nil"/>
              <w:right w:val="nil"/>
            </w:tcBorders>
            <w:shd w:val="clear" w:color="auto" w:fill="auto"/>
            <w:noWrap/>
            <w:vAlign w:val="center"/>
            <w:hideMark/>
          </w:tcPr>
          <w:p w14:paraId="781D4ECE"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62,10%</w:t>
            </w:r>
          </w:p>
        </w:tc>
        <w:tc>
          <w:tcPr>
            <w:tcW w:w="338" w:type="pct"/>
            <w:tcBorders>
              <w:top w:val="nil"/>
              <w:left w:val="nil"/>
              <w:bottom w:val="nil"/>
              <w:right w:val="nil"/>
            </w:tcBorders>
            <w:shd w:val="clear" w:color="auto" w:fill="auto"/>
            <w:noWrap/>
            <w:vAlign w:val="center"/>
            <w:hideMark/>
          </w:tcPr>
          <w:p w14:paraId="176529A7"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-5,1%</w:t>
            </w:r>
          </w:p>
        </w:tc>
        <w:tc>
          <w:tcPr>
            <w:tcW w:w="338" w:type="pct"/>
            <w:tcBorders>
              <w:top w:val="nil"/>
              <w:left w:val="nil"/>
              <w:bottom w:val="nil"/>
              <w:right w:val="single" w:sz="8" w:space="0" w:color="8DB4E2"/>
            </w:tcBorders>
            <w:shd w:val="clear" w:color="auto" w:fill="auto"/>
            <w:noWrap/>
            <w:vAlign w:val="center"/>
            <w:hideMark/>
          </w:tcPr>
          <w:p w14:paraId="1EFBA60A"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-14,4%</w:t>
            </w:r>
          </w:p>
        </w:tc>
        <w:tc>
          <w:tcPr>
            <w:tcW w:w="86" w:type="pct"/>
            <w:tcBorders>
              <w:top w:val="nil"/>
              <w:left w:val="nil"/>
              <w:bottom w:val="nil"/>
              <w:right w:val="nil"/>
            </w:tcBorders>
          </w:tcPr>
          <w:p w14:paraId="4DEA1481" w14:textId="77777777" w:rsidR="00920028" w:rsidRPr="00087F48" w:rsidRDefault="00920028" w:rsidP="00446A14">
            <w:pPr>
              <w:spacing w:after="0" w:line="240" w:lineRule="auto"/>
              <w:jc w:val="right"/>
              <w:rPr>
                <w:rFonts w:ascii="Arial" w:hAnsi="Arial" w:cs="Arial"/>
                <w:color w:val="000000"/>
                <w:sz w:val="14"/>
                <w:szCs w:val="16"/>
                <w:lang w:eastAsia="pt-BR"/>
              </w:rPr>
            </w:pPr>
          </w:p>
        </w:tc>
        <w:tc>
          <w:tcPr>
            <w:tcW w:w="441" w:type="pct"/>
            <w:tcBorders>
              <w:top w:val="nil"/>
              <w:left w:val="nil"/>
              <w:bottom w:val="nil"/>
              <w:right w:val="nil"/>
            </w:tcBorders>
            <w:shd w:val="clear" w:color="auto" w:fill="auto"/>
            <w:noWrap/>
            <w:vAlign w:val="center"/>
            <w:hideMark/>
          </w:tcPr>
          <w:p w14:paraId="371D9437" w14:textId="050FE5A8"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2.641.993</w:t>
            </w:r>
          </w:p>
        </w:tc>
        <w:tc>
          <w:tcPr>
            <w:tcW w:w="356" w:type="pct"/>
            <w:tcBorders>
              <w:top w:val="nil"/>
              <w:left w:val="nil"/>
              <w:bottom w:val="nil"/>
              <w:right w:val="nil"/>
            </w:tcBorders>
            <w:shd w:val="clear" w:color="auto" w:fill="auto"/>
            <w:noWrap/>
            <w:vAlign w:val="center"/>
            <w:hideMark/>
          </w:tcPr>
          <w:p w14:paraId="04CBDFDF"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64,5%</w:t>
            </w:r>
          </w:p>
        </w:tc>
      </w:tr>
      <w:tr w:rsidR="00920028" w:rsidRPr="00457198" w14:paraId="113CAF98" w14:textId="77777777" w:rsidTr="00920028">
        <w:trPr>
          <w:trHeight w:val="258"/>
        </w:trPr>
        <w:tc>
          <w:tcPr>
            <w:tcW w:w="1081" w:type="pct"/>
            <w:tcBorders>
              <w:top w:val="nil"/>
              <w:left w:val="nil"/>
              <w:bottom w:val="nil"/>
              <w:right w:val="nil"/>
            </w:tcBorders>
            <w:shd w:val="clear" w:color="auto" w:fill="auto"/>
            <w:noWrap/>
            <w:vAlign w:val="center"/>
            <w:hideMark/>
          </w:tcPr>
          <w:p w14:paraId="79B684D9" w14:textId="77777777" w:rsidR="00920028" w:rsidRPr="00087F48" w:rsidRDefault="00920028" w:rsidP="00446A14">
            <w:pPr>
              <w:spacing w:after="0" w:line="240" w:lineRule="auto"/>
              <w:ind w:firstLineChars="100" w:firstLine="140"/>
              <w:rPr>
                <w:rFonts w:ascii="Arial" w:hAnsi="Arial" w:cs="Arial"/>
                <w:color w:val="000000"/>
                <w:sz w:val="14"/>
                <w:szCs w:val="16"/>
                <w:lang w:eastAsia="pt-BR"/>
              </w:rPr>
            </w:pPr>
            <w:r w:rsidRPr="00087F48">
              <w:rPr>
                <w:rFonts w:ascii="Arial" w:hAnsi="Arial" w:cs="Arial"/>
                <w:color w:val="000000"/>
                <w:sz w:val="14"/>
                <w:szCs w:val="16"/>
                <w:lang w:eastAsia="pt-BR"/>
              </w:rPr>
              <w:t>Realizável a Longo Prazo</w:t>
            </w:r>
          </w:p>
        </w:tc>
        <w:tc>
          <w:tcPr>
            <w:tcW w:w="441" w:type="pct"/>
            <w:tcBorders>
              <w:top w:val="nil"/>
              <w:left w:val="nil"/>
              <w:bottom w:val="nil"/>
              <w:right w:val="nil"/>
            </w:tcBorders>
            <w:shd w:val="clear" w:color="auto" w:fill="auto"/>
            <w:noWrap/>
            <w:vAlign w:val="center"/>
            <w:hideMark/>
          </w:tcPr>
          <w:p w14:paraId="6A1381A6"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181.609</w:t>
            </w:r>
          </w:p>
        </w:tc>
        <w:tc>
          <w:tcPr>
            <w:tcW w:w="401" w:type="pct"/>
            <w:tcBorders>
              <w:top w:val="nil"/>
              <w:left w:val="nil"/>
              <w:bottom w:val="nil"/>
              <w:right w:val="nil"/>
            </w:tcBorders>
            <w:shd w:val="clear" w:color="auto" w:fill="auto"/>
            <w:noWrap/>
            <w:vAlign w:val="center"/>
            <w:hideMark/>
          </w:tcPr>
          <w:p w14:paraId="0961B139"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4,50%</w:t>
            </w:r>
          </w:p>
        </w:tc>
        <w:tc>
          <w:tcPr>
            <w:tcW w:w="338" w:type="pct"/>
            <w:tcBorders>
              <w:top w:val="nil"/>
              <w:left w:val="nil"/>
              <w:bottom w:val="nil"/>
              <w:right w:val="nil"/>
            </w:tcBorders>
            <w:shd w:val="clear" w:color="auto" w:fill="auto"/>
            <w:noWrap/>
            <w:vAlign w:val="center"/>
            <w:hideMark/>
          </w:tcPr>
          <w:p w14:paraId="03D88B1D"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19,2%</w:t>
            </w:r>
          </w:p>
        </w:tc>
        <w:tc>
          <w:tcPr>
            <w:tcW w:w="338" w:type="pct"/>
            <w:tcBorders>
              <w:top w:val="nil"/>
              <w:left w:val="nil"/>
              <w:bottom w:val="nil"/>
              <w:right w:val="single" w:sz="8" w:space="0" w:color="8DB4E2"/>
            </w:tcBorders>
            <w:shd w:val="clear" w:color="auto" w:fill="auto"/>
            <w:noWrap/>
            <w:vAlign w:val="center"/>
            <w:hideMark/>
          </w:tcPr>
          <w:p w14:paraId="255D7BE1"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18,1%</w:t>
            </w:r>
          </w:p>
        </w:tc>
        <w:tc>
          <w:tcPr>
            <w:tcW w:w="441" w:type="pct"/>
            <w:tcBorders>
              <w:top w:val="nil"/>
              <w:left w:val="nil"/>
              <w:bottom w:val="nil"/>
              <w:right w:val="nil"/>
            </w:tcBorders>
            <w:shd w:val="clear" w:color="auto" w:fill="auto"/>
            <w:noWrap/>
            <w:vAlign w:val="center"/>
            <w:hideMark/>
          </w:tcPr>
          <w:p w14:paraId="0E661DE4"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152.413</w:t>
            </w:r>
          </w:p>
        </w:tc>
        <w:tc>
          <w:tcPr>
            <w:tcW w:w="401" w:type="pct"/>
            <w:tcBorders>
              <w:top w:val="nil"/>
              <w:left w:val="nil"/>
              <w:bottom w:val="nil"/>
              <w:right w:val="nil"/>
            </w:tcBorders>
            <w:shd w:val="clear" w:color="auto" w:fill="auto"/>
            <w:noWrap/>
            <w:vAlign w:val="center"/>
            <w:hideMark/>
          </w:tcPr>
          <w:p w14:paraId="7E955B50"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3,80%</w:t>
            </w:r>
          </w:p>
        </w:tc>
        <w:tc>
          <w:tcPr>
            <w:tcW w:w="338" w:type="pct"/>
            <w:tcBorders>
              <w:top w:val="nil"/>
              <w:left w:val="nil"/>
              <w:bottom w:val="nil"/>
              <w:right w:val="nil"/>
            </w:tcBorders>
            <w:shd w:val="clear" w:color="auto" w:fill="auto"/>
            <w:noWrap/>
            <w:vAlign w:val="center"/>
            <w:hideMark/>
          </w:tcPr>
          <w:p w14:paraId="42DD01B3"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-0,9%</w:t>
            </w:r>
          </w:p>
        </w:tc>
        <w:tc>
          <w:tcPr>
            <w:tcW w:w="338" w:type="pct"/>
            <w:tcBorders>
              <w:top w:val="nil"/>
              <w:left w:val="nil"/>
              <w:bottom w:val="nil"/>
              <w:right w:val="single" w:sz="8" w:space="0" w:color="8DB4E2"/>
            </w:tcBorders>
            <w:shd w:val="clear" w:color="auto" w:fill="auto"/>
            <w:noWrap/>
            <w:vAlign w:val="center"/>
            <w:hideMark/>
          </w:tcPr>
          <w:p w14:paraId="339710C3"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-30,2%</w:t>
            </w:r>
          </w:p>
        </w:tc>
        <w:tc>
          <w:tcPr>
            <w:tcW w:w="86" w:type="pct"/>
            <w:tcBorders>
              <w:top w:val="nil"/>
              <w:left w:val="nil"/>
              <w:bottom w:val="nil"/>
              <w:right w:val="nil"/>
            </w:tcBorders>
          </w:tcPr>
          <w:p w14:paraId="2687D193" w14:textId="77777777" w:rsidR="00920028" w:rsidRPr="00087F48" w:rsidRDefault="00920028" w:rsidP="00446A14">
            <w:pPr>
              <w:spacing w:after="0" w:line="240" w:lineRule="auto"/>
              <w:jc w:val="right"/>
              <w:rPr>
                <w:rFonts w:ascii="Arial" w:hAnsi="Arial" w:cs="Arial"/>
                <w:color w:val="000000"/>
                <w:sz w:val="14"/>
                <w:szCs w:val="16"/>
                <w:lang w:eastAsia="pt-BR"/>
              </w:rPr>
            </w:pPr>
          </w:p>
        </w:tc>
        <w:tc>
          <w:tcPr>
            <w:tcW w:w="441" w:type="pct"/>
            <w:tcBorders>
              <w:top w:val="nil"/>
              <w:left w:val="nil"/>
              <w:bottom w:val="nil"/>
              <w:right w:val="nil"/>
            </w:tcBorders>
            <w:shd w:val="clear" w:color="auto" w:fill="auto"/>
            <w:noWrap/>
            <w:vAlign w:val="center"/>
            <w:hideMark/>
          </w:tcPr>
          <w:p w14:paraId="456ACF6C" w14:textId="282174BA"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153.772</w:t>
            </w:r>
          </w:p>
        </w:tc>
        <w:tc>
          <w:tcPr>
            <w:tcW w:w="356" w:type="pct"/>
            <w:tcBorders>
              <w:top w:val="nil"/>
              <w:left w:val="nil"/>
              <w:bottom w:val="nil"/>
              <w:right w:val="nil"/>
            </w:tcBorders>
            <w:shd w:val="clear" w:color="auto" w:fill="auto"/>
            <w:noWrap/>
            <w:vAlign w:val="center"/>
            <w:hideMark/>
          </w:tcPr>
          <w:p w14:paraId="2DA4401F"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3,8%</w:t>
            </w:r>
          </w:p>
        </w:tc>
      </w:tr>
      <w:tr w:rsidR="00920028" w:rsidRPr="00457198" w14:paraId="2573225A" w14:textId="77777777" w:rsidTr="00920028">
        <w:trPr>
          <w:trHeight w:val="258"/>
        </w:trPr>
        <w:tc>
          <w:tcPr>
            <w:tcW w:w="1081" w:type="pct"/>
            <w:tcBorders>
              <w:top w:val="nil"/>
              <w:left w:val="nil"/>
              <w:bottom w:val="nil"/>
              <w:right w:val="nil"/>
            </w:tcBorders>
            <w:shd w:val="clear" w:color="auto" w:fill="auto"/>
            <w:noWrap/>
            <w:vAlign w:val="center"/>
            <w:hideMark/>
          </w:tcPr>
          <w:p w14:paraId="602914E3" w14:textId="77777777" w:rsidR="00920028" w:rsidRPr="00087F48" w:rsidRDefault="00920028" w:rsidP="00446A14">
            <w:pPr>
              <w:spacing w:after="0" w:line="240" w:lineRule="auto"/>
              <w:ind w:firstLineChars="100" w:firstLine="140"/>
              <w:rPr>
                <w:rFonts w:ascii="Arial" w:hAnsi="Arial" w:cs="Arial"/>
                <w:color w:val="000000"/>
                <w:sz w:val="14"/>
                <w:szCs w:val="16"/>
                <w:lang w:eastAsia="pt-BR"/>
              </w:rPr>
            </w:pPr>
            <w:r w:rsidRPr="00087F48">
              <w:rPr>
                <w:rFonts w:ascii="Arial" w:hAnsi="Arial" w:cs="Arial"/>
                <w:color w:val="000000"/>
                <w:sz w:val="14"/>
                <w:szCs w:val="16"/>
                <w:lang w:eastAsia="pt-BR"/>
              </w:rPr>
              <w:t>Investimentos</w:t>
            </w:r>
          </w:p>
        </w:tc>
        <w:tc>
          <w:tcPr>
            <w:tcW w:w="441" w:type="pct"/>
            <w:tcBorders>
              <w:top w:val="nil"/>
              <w:left w:val="nil"/>
              <w:bottom w:val="nil"/>
              <w:right w:val="nil"/>
            </w:tcBorders>
            <w:shd w:val="clear" w:color="auto" w:fill="auto"/>
            <w:noWrap/>
            <w:vAlign w:val="center"/>
            <w:hideMark/>
          </w:tcPr>
          <w:p w14:paraId="23132AEC"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70.084</w:t>
            </w:r>
          </w:p>
        </w:tc>
        <w:tc>
          <w:tcPr>
            <w:tcW w:w="401" w:type="pct"/>
            <w:tcBorders>
              <w:top w:val="nil"/>
              <w:left w:val="nil"/>
              <w:bottom w:val="nil"/>
              <w:right w:val="nil"/>
            </w:tcBorders>
            <w:shd w:val="clear" w:color="auto" w:fill="auto"/>
            <w:noWrap/>
            <w:vAlign w:val="center"/>
            <w:hideMark/>
          </w:tcPr>
          <w:p w14:paraId="31626D23"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1,80%</w:t>
            </w:r>
          </w:p>
        </w:tc>
        <w:tc>
          <w:tcPr>
            <w:tcW w:w="338" w:type="pct"/>
            <w:tcBorders>
              <w:top w:val="nil"/>
              <w:left w:val="nil"/>
              <w:bottom w:val="nil"/>
              <w:right w:val="nil"/>
            </w:tcBorders>
            <w:shd w:val="clear" w:color="auto" w:fill="auto"/>
            <w:noWrap/>
            <w:vAlign w:val="center"/>
            <w:hideMark/>
          </w:tcPr>
          <w:p w14:paraId="2801A38B"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-6,8%</w:t>
            </w:r>
          </w:p>
        </w:tc>
        <w:tc>
          <w:tcPr>
            <w:tcW w:w="338" w:type="pct"/>
            <w:tcBorders>
              <w:top w:val="nil"/>
              <w:left w:val="nil"/>
              <w:bottom w:val="nil"/>
              <w:right w:val="single" w:sz="8" w:space="0" w:color="8DB4E2"/>
            </w:tcBorders>
            <w:shd w:val="clear" w:color="auto" w:fill="auto"/>
            <w:noWrap/>
            <w:vAlign w:val="center"/>
            <w:hideMark/>
          </w:tcPr>
          <w:p w14:paraId="61EBDE71"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-20,5%</w:t>
            </w:r>
          </w:p>
        </w:tc>
        <w:tc>
          <w:tcPr>
            <w:tcW w:w="441" w:type="pct"/>
            <w:tcBorders>
              <w:top w:val="nil"/>
              <w:left w:val="nil"/>
              <w:bottom w:val="nil"/>
              <w:right w:val="nil"/>
            </w:tcBorders>
            <w:shd w:val="clear" w:color="auto" w:fill="auto"/>
            <w:noWrap/>
            <w:vAlign w:val="center"/>
            <w:hideMark/>
          </w:tcPr>
          <w:p w14:paraId="30C171D0"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75.195</w:t>
            </w:r>
          </w:p>
        </w:tc>
        <w:tc>
          <w:tcPr>
            <w:tcW w:w="401" w:type="pct"/>
            <w:tcBorders>
              <w:top w:val="nil"/>
              <w:left w:val="nil"/>
              <w:bottom w:val="nil"/>
              <w:right w:val="nil"/>
            </w:tcBorders>
            <w:shd w:val="clear" w:color="auto" w:fill="auto"/>
            <w:noWrap/>
            <w:vAlign w:val="center"/>
            <w:hideMark/>
          </w:tcPr>
          <w:p w14:paraId="08380D76"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1,90%</w:t>
            </w:r>
          </w:p>
        </w:tc>
        <w:tc>
          <w:tcPr>
            <w:tcW w:w="338" w:type="pct"/>
            <w:tcBorders>
              <w:top w:val="nil"/>
              <w:left w:val="nil"/>
              <w:bottom w:val="nil"/>
              <w:right w:val="nil"/>
            </w:tcBorders>
            <w:shd w:val="clear" w:color="auto" w:fill="auto"/>
            <w:noWrap/>
            <w:vAlign w:val="center"/>
            <w:hideMark/>
          </w:tcPr>
          <w:p w14:paraId="696913A0"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-14,7%</w:t>
            </w:r>
          </w:p>
        </w:tc>
        <w:tc>
          <w:tcPr>
            <w:tcW w:w="338" w:type="pct"/>
            <w:tcBorders>
              <w:top w:val="nil"/>
              <w:left w:val="nil"/>
              <w:bottom w:val="nil"/>
              <w:right w:val="single" w:sz="8" w:space="0" w:color="8DB4E2"/>
            </w:tcBorders>
            <w:shd w:val="clear" w:color="auto" w:fill="auto"/>
            <w:noWrap/>
            <w:vAlign w:val="center"/>
            <w:hideMark/>
          </w:tcPr>
          <w:p w14:paraId="7F22BDF5"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-16,5%</w:t>
            </w:r>
          </w:p>
        </w:tc>
        <w:tc>
          <w:tcPr>
            <w:tcW w:w="86" w:type="pct"/>
            <w:tcBorders>
              <w:top w:val="nil"/>
              <w:left w:val="nil"/>
              <w:bottom w:val="nil"/>
              <w:right w:val="nil"/>
            </w:tcBorders>
          </w:tcPr>
          <w:p w14:paraId="13D98E98" w14:textId="77777777" w:rsidR="00920028" w:rsidRPr="00087F48" w:rsidRDefault="00920028" w:rsidP="00446A14">
            <w:pPr>
              <w:spacing w:after="0" w:line="240" w:lineRule="auto"/>
              <w:jc w:val="right"/>
              <w:rPr>
                <w:rFonts w:ascii="Arial" w:hAnsi="Arial" w:cs="Arial"/>
                <w:color w:val="000000"/>
                <w:sz w:val="14"/>
                <w:szCs w:val="16"/>
                <w:lang w:eastAsia="pt-BR"/>
              </w:rPr>
            </w:pPr>
          </w:p>
        </w:tc>
        <w:tc>
          <w:tcPr>
            <w:tcW w:w="441" w:type="pct"/>
            <w:tcBorders>
              <w:top w:val="nil"/>
              <w:left w:val="nil"/>
              <w:bottom w:val="nil"/>
              <w:right w:val="nil"/>
            </w:tcBorders>
            <w:shd w:val="clear" w:color="auto" w:fill="auto"/>
            <w:noWrap/>
            <w:vAlign w:val="center"/>
            <w:hideMark/>
          </w:tcPr>
          <w:p w14:paraId="72DE623A" w14:textId="437FAB40"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88.152</w:t>
            </w:r>
          </w:p>
        </w:tc>
        <w:tc>
          <w:tcPr>
            <w:tcW w:w="356" w:type="pct"/>
            <w:tcBorders>
              <w:top w:val="nil"/>
              <w:left w:val="nil"/>
              <w:bottom w:val="nil"/>
              <w:right w:val="nil"/>
            </w:tcBorders>
            <w:shd w:val="clear" w:color="auto" w:fill="auto"/>
            <w:noWrap/>
            <w:vAlign w:val="center"/>
            <w:hideMark/>
          </w:tcPr>
          <w:p w14:paraId="586B3F95"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2,2%</w:t>
            </w:r>
          </w:p>
        </w:tc>
      </w:tr>
      <w:tr w:rsidR="00920028" w:rsidRPr="00457198" w14:paraId="75E1D148" w14:textId="77777777" w:rsidTr="00920028">
        <w:trPr>
          <w:trHeight w:val="258"/>
        </w:trPr>
        <w:tc>
          <w:tcPr>
            <w:tcW w:w="1081" w:type="pct"/>
            <w:tcBorders>
              <w:top w:val="nil"/>
              <w:left w:val="nil"/>
              <w:bottom w:val="nil"/>
              <w:right w:val="nil"/>
            </w:tcBorders>
            <w:shd w:val="clear" w:color="auto" w:fill="auto"/>
            <w:noWrap/>
            <w:vAlign w:val="center"/>
            <w:hideMark/>
          </w:tcPr>
          <w:p w14:paraId="4CF9ADC3" w14:textId="77777777" w:rsidR="00920028" w:rsidRPr="00087F48" w:rsidRDefault="00920028" w:rsidP="00446A14">
            <w:pPr>
              <w:spacing w:after="0" w:line="240" w:lineRule="auto"/>
              <w:ind w:firstLineChars="100" w:firstLine="140"/>
              <w:rPr>
                <w:rFonts w:ascii="Arial" w:hAnsi="Arial" w:cs="Arial"/>
                <w:color w:val="000000"/>
                <w:sz w:val="14"/>
                <w:szCs w:val="16"/>
                <w:lang w:eastAsia="pt-BR"/>
              </w:rPr>
            </w:pPr>
            <w:r w:rsidRPr="00087F48">
              <w:rPr>
                <w:rFonts w:ascii="Arial" w:hAnsi="Arial" w:cs="Arial"/>
                <w:color w:val="000000"/>
                <w:sz w:val="14"/>
                <w:szCs w:val="16"/>
                <w:lang w:eastAsia="pt-BR"/>
              </w:rPr>
              <w:t>Imobilizado</w:t>
            </w:r>
          </w:p>
        </w:tc>
        <w:tc>
          <w:tcPr>
            <w:tcW w:w="441" w:type="pct"/>
            <w:tcBorders>
              <w:top w:val="nil"/>
              <w:left w:val="nil"/>
              <w:bottom w:val="nil"/>
              <w:right w:val="nil"/>
            </w:tcBorders>
            <w:shd w:val="clear" w:color="auto" w:fill="auto"/>
            <w:noWrap/>
            <w:vAlign w:val="center"/>
            <w:hideMark/>
          </w:tcPr>
          <w:p w14:paraId="218BEE3B"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2.121.373</w:t>
            </w:r>
          </w:p>
        </w:tc>
        <w:tc>
          <w:tcPr>
            <w:tcW w:w="401" w:type="pct"/>
            <w:tcBorders>
              <w:top w:val="nil"/>
              <w:left w:val="nil"/>
              <w:bottom w:val="nil"/>
              <w:right w:val="nil"/>
            </w:tcBorders>
            <w:shd w:val="clear" w:color="auto" w:fill="auto"/>
            <w:noWrap/>
            <w:vAlign w:val="center"/>
            <w:hideMark/>
          </w:tcPr>
          <w:p w14:paraId="103EFF7D"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53,00%</w:t>
            </w:r>
          </w:p>
        </w:tc>
        <w:tc>
          <w:tcPr>
            <w:tcW w:w="338" w:type="pct"/>
            <w:tcBorders>
              <w:top w:val="nil"/>
              <w:left w:val="nil"/>
              <w:bottom w:val="nil"/>
              <w:right w:val="nil"/>
            </w:tcBorders>
            <w:shd w:val="clear" w:color="auto" w:fill="auto"/>
            <w:noWrap/>
            <w:vAlign w:val="center"/>
            <w:hideMark/>
          </w:tcPr>
          <w:p w14:paraId="5BDC1EC6"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-5,9%</w:t>
            </w:r>
          </w:p>
        </w:tc>
        <w:tc>
          <w:tcPr>
            <w:tcW w:w="338" w:type="pct"/>
            <w:tcBorders>
              <w:top w:val="nil"/>
              <w:left w:val="nil"/>
              <w:bottom w:val="nil"/>
              <w:right w:val="single" w:sz="8" w:space="0" w:color="8DB4E2"/>
            </w:tcBorders>
            <w:shd w:val="clear" w:color="auto" w:fill="auto"/>
            <w:noWrap/>
            <w:vAlign w:val="center"/>
            <w:hideMark/>
          </w:tcPr>
          <w:p w14:paraId="26956CE5"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-10,4%</w:t>
            </w:r>
          </w:p>
        </w:tc>
        <w:tc>
          <w:tcPr>
            <w:tcW w:w="441" w:type="pct"/>
            <w:tcBorders>
              <w:top w:val="nil"/>
              <w:left w:val="nil"/>
              <w:bottom w:val="nil"/>
              <w:right w:val="nil"/>
            </w:tcBorders>
            <w:shd w:val="clear" w:color="auto" w:fill="auto"/>
            <w:noWrap/>
            <w:vAlign w:val="center"/>
            <w:hideMark/>
          </w:tcPr>
          <w:p w14:paraId="4D7F544C"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2.253.712</w:t>
            </w:r>
          </w:p>
        </w:tc>
        <w:tc>
          <w:tcPr>
            <w:tcW w:w="401" w:type="pct"/>
            <w:tcBorders>
              <w:top w:val="nil"/>
              <w:left w:val="nil"/>
              <w:bottom w:val="nil"/>
              <w:right w:val="nil"/>
            </w:tcBorders>
            <w:shd w:val="clear" w:color="auto" w:fill="auto"/>
            <w:noWrap/>
            <w:vAlign w:val="center"/>
            <w:hideMark/>
          </w:tcPr>
          <w:p w14:paraId="28D1CFE9"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55,80%</w:t>
            </w:r>
          </w:p>
        </w:tc>
        <w:tc>
          <w:tcPr>
            <w:tcW w:w="338" w:type="pct"/>
            <w:tcBorders>
              <w:top w:val="nil"/>
              <w:left w:val="nil"/>
              <w:bottom w:val="nil"/>
              <w:right w:val="nil"/>
            </w:tcBorders>
            <w:shd w:val="clear" w:color="auto" w:fill="auto"/>
            <w:noWrap/>
            <w:vAlign w:val="center"/>
            <w:hideMark/>
          </w:tcPr>
          <w:p w14:paraId="1421F17E"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-4,8%</w:t>
            </w:r>
          </w:p>
        </w:tc>
        <w:tc>
          <w:tcPr>
            <w:tcW w:w="338" w:type="pct"/>
            <w:tcBorders>
              <w:top w:val="nil"/>
              <w:left w:val="nil"/>
              <w:bottom w:val="nil"/>
              <w:right w:val="single" w:sz="8" w:space="0" w:color="8DB4E2"/>
            </w:tcBorders>
            <w:shd w:val="clear" w:color="auto" w:fill="auto"/>
            <w:noWrap/>
            <w:vAlign w:val="center"/>
            <w:hideMark/>
          </w:tcPr>
          <w:p w14:paraId="753A2C10"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-13,0%</w:t>
            </w:r>
          </w:p>
        </w:tc>
        <w:tc>
          <w:tcPr>
            <w:tcW w:w="86" w:type="pct"/>
            <w:tcBorders>
              <w:top w:val="nil"/>
              <w:left w:val="nil"/>
              <w:bottom w:val="nil"/>
              <w:right w:val="nil"/>
            </w:tcBorders>
          </w:tcPr>
          <w:p w14:paraId="61B0641E" w14:textId="77777777" w:rsidR="00920028" w:rsidRPr="00087F48" w:rsidRDefault="00920028" w:rsidP="00446A14">
            <w:pPr>
              <w:spacing w:after="0" w:line="240" w:lineRule="auto"/>
              <w:jc w:val="right"/>
              <w:rPr>
                <w:rFonts w:ascii="Arial" w:hAnsi="Arial" w:cs="Arial"/>
                <w:color w:val="000000"/>
                <w:sz w:val="14"/>
                <w:szCs w:val="16"/>
                <w:lang w:eastAsia="pt-BR"/>
              </w:rPr>
            </w:pPr>
          </w:p>
        </w:tc>
        <w:tc>
          <w:tcPr>
            <w:tcW w:w="441" w:type="pct"/>
            <w:tcBorders>
              <w:top w:val="nil"/>
              <w:left w:val="nil"/>
              <w:bottom w:val="nil"/>
              <w:right w:val="nil"/>
            </w:tcBorders>
            <w:shd w:val="clear" w:color="auto" w:fill="auto"/>
            <w:noWrap/>
            <w:vAlign w:val="center"/>
            <w:hideMark/>
          </w:tcPr>
          <w:p w14:paraId="53B951FB" w14:textId="1C40169E"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2.368.459</w:t>
            </w:r>
          </w:p>
        </w:tc>
        <w:tc>
          <w:tcPr>
            <w:tcW w:w="356" w:type="pct"/>
            <w:tcBorders>
              <w:top w:val="nil"/>
              <w:left w:val="nil"/>
              <w:bottom w:val="nil"/>
              <w:right w:val="nil"/>
            </w:tcBorders>
            <w:shd w:val="clear" w:color="auto" w:fill="auto"/>
            <w:noWrap/>
            <w:vAlign w:val="center"/>
            <w:hideMark/>
          </w:tcPr>
          <w:p w14:paraId="078AE0E1"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57,8%</w:t>
            </w:r>
          </w:p>
        </w:tc>
      </w:tr>
      <w:tr w:rsidR="00920028" w:rsidRPr="00457198" w14:paraId="2BAF3BE9" w14:textId="77777777" w:rsidTr="00920028">
        <w:trPr>
          <w:trHeight w:val="258"/>
        </w:trPr>
        <w:tc>
          <w:tcPr>
            <w:tcW w:w="1081" w:type="pct"/>
            <w:tcBorders>
              <w:top w:val="nil"/>
              <w:left w:val="nil"/>
              <w:bottom w:val="nil"/>
              <w:right w:val="nil"/>
            </w:tcBorders>
            <w:shd w:val="clear" w:color="auto" w:fill="auto"/>
            <w:noWrap/>
            <w:vAlign w:val="center"/>
            <w:hideMark/>
          </w:tcPr>
          <w:p w14:paraId="7326A42D" w14:textId="77777777" w:rsidR="00920028" w:rsidRPr="00087F48" w:rsidRDefault="00920028" w:rsidP="00446A14">
            <w:pPr>
              <w:spacing w:after="0" w:line="240" w:lineRule="auto"/>
              <w:ind w:firstLineChars="100" w:firstLine="140"/>
              <w:rPr>
                <w:rFonts w:ascii="Arial" w:hAnsi="Arial" w:cs="Arial"/>
                <w:color w:val="000000"/>
                <w:sz w:val="14"/>
                <w:szCs w:val="16"/>
                <w:lang w:eastAsia="pt-BR"/>
              </w:rPr>
            </w:pPr>
            <w:r w:rsidRPr="00087F48">
              <w:rPr>
                <w:rFonts w:ascii="Arial" w:hAnsi="Arial" w:cs="Arial"/>
                <w:color w:val="000000"/>
                <w:sz w:val="14"/>
                <w:szCs w:val="16"/>
                <w:lang w:eastAsia="pt-BR"/>
              </w:rPr>
              <w:t>Intangível</w:t>
            </w:r>
          </w:p>
        </w:tc>
        <w:tc>
          <w:tcPr>
            <w:tcW w:w="441" w:type="pct"/>
            <w:tcBorders>
              <w:top w:val="nil"/>
              <w:left w:val="nil"/>
              <w:bottom w:val="nil"/>
              <w:right w:val="nil"/>
            </w:tcBorders>
            <w:shd w:val="clear" w:color="auto" w:fill="auto"/>
            <w:noWrap/>
            <w:vAlign w:val="center"/>
            <w:hideMark/>
          </w:tcPr>
          <w:p w14:paraId="2C753747"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23.172</w:t>
            </w:r>
          </w:p>
        </w:tc>
        <w:tc>
          <w:tcPr>
            <w:tcW w:w="401" w:type="pct"/>
            <w:tcBorders>
              <w:top w:val="nil"/>
              <w:left w:val="nil"/>
              <w:bottom w:val="nil"/>
              <w:right w:val="nil"/>
            </w:tcBorders>
            <w:shd w:val="clear" w:color="auto" w:fill="auto"/>
            <w:noWrap/>
            <w:vAlign w:val="center"/>
            <w:hideMark/>
          </w:tcPr>
          <w:p w14:paraId="27D66C0C"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0,60%</w:t>
            </w:r>
          </w:p>
        </w:tc>
        <w:tc>
          <w:tcPr>
            <w:tcW w:w="338" w:type="pct"/>
            <w:tcBorders>
              <w:top w:val="nil"/>
              <w:left w:val="nil"/>
              <w:bottom w:val="nil"/>
              <w:right w:val="nil"/>
            </w:tcBorders>
            <w:shd w:val="clear" w:color="auto" w:fill="auto"/>
            <w:noWrap/>
            <w:vAlign w:val="center"/>
            <w:hideMark/>
          </w:tcPr>
          <w:p w14:paraId="67FBC63F"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-8,7%</w:t>
            </w:r>
          </w:p>
        </w:tc>
        <w:tc>
          <w:tcPr>
            <w:tcW w:w="338" w:type="pct"/>
            <w:tcBorders>
              <w:top w:val="nil"/>
              <w:left w:val="nil"/>
              <w:bottom w:val="nil"/>
              <w:right w:val="single" w:sz="8" w:space="0" w:color="8DB4E2"/>
            </w:tcBorders>
            <w:shd w:val="clear" w:color="auto" w:fill="auto"/>
            <w:noWrap/>
            <w:vAlign w:val="center"/>
            <w:hideMark/>
          </w:tcPr>
          <w:p w14:paraId="40F16070"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-26,7%</w:t>
            </w:r>
          </w:p>
        </w:tc>
        <w:tc>
          <w:tcPr>
            <w:tcW w:w="441" w:type="pct"/>
            <w:tcBorders>
              <w:top w:val="nil"/>
              <w:left w:val="nil"/>
              <w:bottom w:val="nil"/>
              <w:right w:val="nil"/>
            </w:tcBorders>
            <w:shd w:val="clear" w:color="auto" w:fill="auto"/>
            <w:noWrap/>
            <w:vAlign w:val="center"/>
            <w:hideMark/>
          </w:tcPr>
          <w:p w14:paraId="070D84B4"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25.381</w:t>
            </w:r>
          </w:p>
        </w:tc>
        <w:tc>
          <w:tcPr>
            <w:tcW w:w="401" w:type="pct"/>
            <w:tcBorders>
              <w:top w:val="nil"/>
              <w:left w:val="nil"/>
              <w:bottom w:val="nil"/>
              <w:right w:val="nil"/>
            </w:tcBorders>
            <w:shd w:val="clear" w:color="auto" w:fill="auto"/>
            <w:noWrap/>
            <w:vAlign w:val="center"/>
            <w:hideMark/>
          </w:tcPr>
          <w:p w14:paraId="2CA8A2F7"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0,60%</w:t>
            </w:r>
          </w:p>
        </w:tc>
        <w:tc>
          <w:tcPr>
            <w:tcW w:w="338" w:type="pct"/>
            <w:tcBorders>
              <w:top w:val="nil"/>
              <w:left w:val="nil"/>
              <w:bottom w:val="nil"/>
              <w:right w:val="nil"/>
            </w:tcBorders>
            <w:shd w:val="clear" w:color="auto" w:fill="auto"/>
            <w:noWrap/>
            <w:vAlign w:val="center"/>
            <w:hideMark/>
          </w:tcPr>
          <w:p w14:paraId="5C80B2B3"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-19,7%</w:t>
            </w:r>
          </w:p>
        </w:tc>
        <w:tc>
          <w:tcPr>
            <w:tcW w:w="338" w:type="pct"/>
            <w:tcBorders>
              <w:top w:val="nil"/>
              <w:left w:val="nil"/>
              <w:bottom w:val="nil"/>
              <w:right w:val="single" w:sz="8" w:space="0" w:color="8DB4E2"/>
            </w:tcBorders>
            <w:shd w:val="clear" w:color="auto" w:fill="auto"/>
            <w:noWrap/>
            <w:vAlign w:val="center"/>
            <w:hideMark/>
          </w:tcPr>
          <w:p w14:paraId="5054561E"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-9,0%</w:t>
            </w:r>
          </w:p>
        </w:tc>
        <w:tc>
          <w:tcPr>
            <w:tcW w:w="86" w:type="pct"/>
            <w:tcBorders>
              <w:top w:val="nil"/>
              <w:left w:val="nil"/>
              <w:bottom w:val="nil"/>
              <w:right w:val="nil"/>
            </w:tcBorders>
          </w:tcPr>
          <w:p w14:paraId="0FBB5F19" w14:textId="77777777" w:rsidR="00920028" w:rsidRPr="00087F48" w:rsidRDefault="00920028" w:rsidP="00446A14">
            <w:pPr>
              <w:spacing w:after="0" w:line="240" w:lineRule="auto"/>
              <w:jc w:val="right"/>
              <w:rPr>
                <w:rFonts w:ascii="Arial" w:hAnsi="Arial" w:cs="Arial"/>
                <w:color w:val="000000"/>
                <w:sz w:val="14"/>
                <w:szCs w:val="16"/>
                <w:lang w:eastAsia="pt-BR"/>
              </w:rPr>
            </w:pPr>
          </w:p>
        </w:tc>
        <w:tc>
          <w:tcPr>
            <w:tcW w:w="441" w:type="pct"/>
            <w:tcBorders>
              <w:top w:val="nil"/>
              <w:left w:val="nil"/>
              <w:bottom w:val="nil"/>
              <w:right w:val="nil"/>
            </w:tcBorders>
            <w:shd w:val="clear" w:color="auto" w:fill="auto"/>
            <w:noWrap/>
            <w:vAlign w:val="center"/>
            <w:hideMark/>
          </w:tcPr>
          <w:p w14:paraId="4E78959D" w14:textId="46FDBFFE"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31.610</w:t>
            </w:r>
          </w:p>
        </w:tc>
        <w:tc>
          <w:tcPr>
            <w:tcW w:w="356" w:type="pct"/>
            <w:tcBorders>
              <w:top w:val="nil"/>
              <w:left w:val="nil"/>
              <w:bottom w:val="nil"/>
              <w:right w:val="nil"/>
            </w:tcBorders>
            <w:shd w:val="clear" w:color="auto" w:fill="auto"/>
            <w:noWrap/>
            <w:vAlign w:val="center"/>
            <w:hideMark/>
          </w:tcPr>
          <w:p w14:paraId="03108447"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0,8%</w:t>
            </w:r>
          </w:p>
        </w:tc>
      </w:tr>
      <w:tr w:rsidR="00920028" w:rsidRPr="00457198" w14:paraId="429412CF" w14:textId="77777777" w:rsidTr="00920028">
        <w:trPr>
          <w:trHeight w:val="258"/>
        </w:trPr>
        <w:tc>
          <w:tcPr>
            <w:tcW w:w="1081" w:type="pct"/>
            <w:tcBorders>
              <w:top w:val="single" w:sz="8" w:space="0" w:color="8DB4E2"/>
              <w:left w:val="nil"/>
              <w:bottom w:val="single" w:sz="8" w:space="0" w:color="8DB4E2"/>
              <w:right w:val="nil"/>
            </w:tcBorders>
            <w:shd w:val="clear" w:color="auto" w:fill="auto"/>
            <w:noWrap/>
            <w:vAlign w:val="center"/>
            <w:hideMark/>
          </w:tcPr>
          <w:p w14:paraId="7C9A2240" w14:textId="77777777" w:rsidR="00920028" w:rsidRPr="00087F48" w:rsidRDefault="00920028" w:rsidP="00446A14">
            <w:pPr>
              <w:spacing w:after="0" w:line="240" w:lineRule="auto"/>
              <w:rPr>
                <w:rFonts w:ascii="Arial" w:hAnsi="Arial" w:cs="Arial"/>
                <w:b/>
                <w:bCs/>
                <w:color w:val="000000"/>
                <w:sz w:val="14"/>
                <w:szCs w:val="16"/>
                <w:lang w:eastAsia="pt-BR"/>
              </w:rPr>
            </w:pPr>
            <w:r w:rsidRPr="00087F48">
              <w:rPr>
                <w:rFonts w:ascii="Arial" w:hAnsi="Arial" w:cs="Arial"/>
                <w:b/>
                <w:bCs/>
                <w:color w:val="000000"/>
                <w:sz w:val="14"/>
                <w:szCs w:val="16"/>
                <w:lang w:eastAsia="pt-BR"/>
              </w:rPr>
              <w:t>Ativo Total</w:t>
            </w:r>
          </w:p>
        </w:tc>
        <w:tc>
          <w:tcPr>
            <w:tcW w:w="441" w:type="pct"/>
            <w:tcBorders>
              <w:top w:val="single" w:sz="8" w:space="0" w:color="8DB4E2"/>
              <w:left w:val="nil"/>
              <w:bottom w:val="single" w:sz="8" w:space="0" w:color="8DB4E2"/>
              <w:right w:val="nil"/>
            </w:tcBorders>
            <w:shd w:val="clear" w:color="auto" w:fill="auto"/>
            <w:noWrap/>
            <w:vAlign w:val="center"/>
            <w:hideMark/>
          </w:tcPr>
          <w:p w14:paraId="4020E278" w14:textId="77777777" w:rsidR="00920028" w:rsidRPr="00087F48" w:rsidRDefault="00920028" w:rsidP="00446A14">
            <w:pPr>
              <w:spacing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4.003.587</w:t>
            </w:r>
          </w:p>
        </w:tc>
        <w:tc>
          <w:tcPr>
            <w:tcW w:w="401" w:type="pct"/>
            <w:tcBorders>
              <w:top w:val="single" w:sz="8" w:space="0" w:color="8DB4E2"/>
              <w:left w:val="nil"/>
              <w:bottom w:val="single" w:sz="8" w:space="0" w:color="8DB4E2"/>
              <w:right w:val="nil"/>
            </w:tcBorders>
            <w:shd w:val="clear" w:color="auto" w:fill="auto"/>
            <w:noWrap/>
            <w:vAlign w:val="center"/>
            <w:hideMark/>
          </w:tcPr>
          <w:p w14:paraId="489CDAC1" w14:textId="77777777" w:rsidR="00920028" w:rsidRPr="00087F48" w:rsidRDefault="00920028" w:rsidP="00446A14">
            <w:pPr>
              <w:spacing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100,00%</w:t>
            </w:r>
          </w:p>
        </w:tc>
        <w:tc>
          <w:tcPr>
            <w:tcW w:w="338" w:type="pct"/>
            <w:tcBorders>
              <w:top w:val="single" w:sz="8" w:space="0" w:color="8DB4E2"/>
              <w:left w:val="nil"/>
              <w:bottom w:val="single" w:sz="8" w:space="0" w:color="8DB4E2"/>
              <w:right w:val="nil"/>
            </w:tcBorders>
            <w:shd w:val="clear" w:color="auto" w:fill="auto"/>
            <w:noWrap/>
            <w:vAlign w:val="center"/>
            <w:hideMark/>
          </w:tcPr>
          <w:p w14:paraId="4480EAB1" w14:textId="77777777" w:rsidR="00920028" w:rsidRPr="00087F48" w:rsidRDefault="00920028" w:rsidP="00446A14">
            <w:pPr>
              <w:spacing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-0,8%</w:t>
            </w:r>
          </w:p>
        </w:tc>
        <w:tc>
          <w:tcPr>
            <w:tcW w:w="338" w:type="pct"/>
            <w:tcBorders>
              <w:top w:val="single" w:sz="8" w:space="0" w:color="8DB4E2"/>
              <w:left w:val="nil"/>
              <w:bottom w:val="single" w:sz="8" w:space="0" w:color="8DB4E2"/>
              <w:right w:val="single" w:sz="8" w:space="0" w:color="8DB4E2"/>
            </w:tcBorders>
            <w:shd w:val="clear" w:color="auto" w:fill="auto"/>
            <w:noWrap/>
            <w:vAlign w:val="center"/>
            <w:hideMark/>
          </w:tcPr>
          <w:p w14:paraId="20B85435" w14:textId="77777777" w:rsidR="00920028" w:rsidRPr="00087F48" w:rsidRDefault="00920028" w:rsidP="00446A14">
            <w:pPr>
              <w:spacing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-2,3%</w:t>
            </w:r>
          </w:p>
        </w:tc>
        <w:tc>
          <w:tcPr>
            <w:tcW w:w="441" w:type="pct"/>
            <w:tcBorders>
              <w:top w:val="single" w:sz="8" w:space="0" w:color="8DB4E2"/>
              <w:left w:val="nil"/>
              <w:bottom w:val="single" w:sz="8" w:space="0" w:color="8DB4E2"/>
              <w:right w:val="nil"/>
            </w:tcBorders>
            <w:shd w:val="clear" w:color="auto" w:fill="auto"/>
            <w:noWrap/>
            <w:vAlign w:val="center"/>
            <w:hideMark/>
          </w:tcPr>
          <w:p w14:paraId="5A8328CE" w14:textId="77777777" w:rsidR="00920028" w:rsidRPr="00087F48" w:rsidRDefault="00920028" w:rsidP="00446A14">
            <w:pPr>
              <w:spacing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4.035.411</w:t>
            </w:r>
          </w:p>
        </w:tc>
        <w:tc>
          <w:tcPr>
            <w:tcW w:w="401" w:type="pct"/>
            <w:tcBorders>
              <w:top w:val="single" w:sz="8" w:space="0" w:color="8DB4E2"/>
              <w:left w:val="nil"/>
              <w:bottom w:val="single" w:sz="8" w:space="0" w:color="8DB4E2"/>
              <w:right w:val="nil"/>
            </w:tcBorders>
            <w:shd w:val="clear" w:color="auto" w:fill="auto"/>
            <w:noWrap/>
            <w:vAlign w:val="center"/>
            <w:hideMark/>
          </w:tcPr>
          <w:p w14:paraId="74C13F79" w14:textId="77777777" w:rsidR="00920028" w:rsidRPr="00087F48" w:rsidRDefault="00920028" w:rsidP="00446A14">
            <w:pPr>
              <w:spacing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100,00%</w:t>
            </w:r>
          </w:p>
        </w:tc>
        <w:tc>
          <w:tcPr>
            <w:tcW w:w="338" w:type="pct"/>
            <w:tcBorders>
              <w:top w:val="single" w:sz="8" w:space="0" w:color="8DB4E2"/>
              <w:left w:val="nil"/>
              <w:bottom w:val="single" w:sz="8" w:space="0" w:color="8DB4E2"/>
              <w:right w:val="nil"/>
            </w:tcBorders>
            <w:shd w:val="clear" w:color="auto" w:fill="auto"/>
            <w:noWrap/>
            <w:vAlign w:val="center"/>
            <w:hideMark/>
          </w:tcPr>
          <w:p w14:paraId="34AD0097" w14:textId="77777777" w:rsidR="00920028" w:rsidRPr="00087F48" w:rsidRDefault="00920028" w:rsidP="00446A14">
            <w:pPr>
              <w:spacing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-1,6%</w:t>
            </w:r>
          </w:p>
        </w:tc>
        <w:tc>
          <w:tcPr>
            <w:tcW w:w="338" w:type="pct"/>
            <w:tcBorders>
              <w:top w:val="single" w:sz="8" w:space="0" w:color="8DB4E2"/>
              <w:left w:val="nil"/>
              <w:bottom w:val="single" w:sz="8" w:space="0" w:color="8DB4E2"/>
              <w:right w:val="single" w:sz="8" w:space="0" w:color="8DB4E2"/>
            </w:tcBorders>
            <w:shd w:val="clear" w:color="auto" w:fill="auto"/>
            <w:noWrap/>
            <w:vAlign w:val="center"/>
            <w:hideMark/>
          </w:tcPr>
          <w:p w14:paraId="6BFC6F9A" w14:textId="77777777" w:rsidR="00920028" w:rsidRPr="00087F48" w:rsidRDefault="00920028" w:rsidP="00446A14">
            <w:pPr>
              <w:spacing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-4,9%</w:t>
            </w:r>
          </w:p>
        </w:tc>
        <w:tc>
          <w:tcPr>
            <w:tcW w:w="86" w:type="pct"/>
            <w:tcBorders>
              <w:top w:val="single" w:sz="8" w:space="0" w:color="8DB4E2"/>
              <w:left w:val="nil"/>
              <w:bottom w:val="single" w:sz="8" w:space="0" w:color="8DB4E2"/>
              <w:right w:val="nil"/>
            </w:tcBorders>
          </w:tcPr>
          <w:p w14:paraId="7378C766" w14:textId="77777777" w:rsidR="00920028" w:rsidRPr="00087F48" w:rsidRDefault="00920028" w:rsidP="00446A14">
            <w:pPr>
              <w:spacing w:after="0" w:line="240" w:lineRule="auto"/>
              <w:jc w:val="right"/>
              <w:rPr>
                <w:rFonts w:ascii="Arial" w:hAnsi="Arial" w:cs="Arial"/>
                <w:b/>
                <w:bCs/>
                <w:color w:val="000000"/>
                <w:sz w:val="14"/>
                <w:szCs w:val="16"/>
                <w:lang w:eastAsia="pt-BR"/>
              </w:rPr>
            </w:pPr>
          </w:p>
        </w:tc>
        <w:tc>
          <w:tcPr>
            <w:tcW w:w="441" w:type="pct"/>
            <w:tcBorders>
              <w:top w:val="single" w:sz="8" w:space="0" w:color="8DB4E2"/>
              <w:left w:val="nil"/>
              <w:bottom w:val="single" w:sz="8" w:space="0" w:color="8DB4E2"/>
              <w:right w:val="nil"/>
            </w:tcBorders>
            <w:shd w:val="clear" w:color="auto" w:fill="auto"/>
            <w:noWrap/>
            <w:vAlign w:val="center"/>
            <w:hideMark/>
          </w:tcPr>
          <w:p w14:paraId="4E52637A" w14:textId="223C042C" w:rsidR="00920028" w:rsidRPr="00087F48" w:rsidRDefault="00920028" w:rsidP="00446A14">
            <w:pPr>
              <w:spacing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4.099.054</w:t>
            </w:r>
          </w:p>
        </w:tc>
        <w:tc>
          <w:tcPr>
            <w:tcW w:w="356" w:type="pct"/>
            <w:tcBorders>
              <w:top w:val="single" w:sz="8" w:space="0" w:color="8DB4E2"/>
              <w:left w:val="nil"/>
              <w:bottom w:val="single" w:sz="8" w:space="0" w:color="8DB4E2"/>
              <w:right w:val="nil"/>
            </w:tcBorders>
            <w:shd w:val="clear" w:color="auto" w:fill="auto"/>
            <w:noWrap/>
            <w:vAlign w:val="center"/>
            <w:hideMark/>
          </w:tcPr>
          <w:p w14:paraId="49BF14F7" w14:textId="77777777" w:rsidR="00920028" w:rsidRPr="00087F48" w:rsidRDefault="00920028" w:rsidP="00446A14">
            <w:pPr>
              <w:spacing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100,0%</w:t>
            </w:r>
          </w:p>
        </w:tc>
      </w:tr>
      <w:tr w:rsidR="00920028" w:rsidRPr="00457198" w14:paraId="0210E4BC" w14:textId="77777777" w:rsidTr="00920028">
        <w:trPr>
          <w:trHeight w:val="258"/>
        </w:trPr>
        <w:tc>
          <w:tcPr>
            <w:tcW w:w="1081" w:type="pct"/>
            <w:tcBorders>
              <w:top w:val="nil"/>
              <w:left w:val="nil"/>
              <w:bottom w:val="nil"/>
              <w:right w:val="nil"/>
            </w:tcBorders>
            <w:shd w:val="clear" w:color="auto" w:fill="auto"/>
            <w:noWrap/>
            <w:vAlign w:val="center"/>
            <w:hideMark/>
          </w:tcPr>
          <w:p w14:paraId="45A26930" w14:textId="77777777" w:rsidR="00920028" w:rsidRPr="00087F48" w:rsidRDefault="00920028" w:rsidP="00446A14">
            <w:pPr>
              <w:spacing w:after="0" w:line="240" w:lineRule="auto"/>
              <w:rPr>
                <w:rFonts w:ascii="Arial" w:hAnsi="Arial" w:cs="Arial"/>
                <w:color w:val="000000"/>
                <w:sz w:val="14"/>
                <w:szCs w:val="16"/>
                <w:lang w:eastAsia="pt-BR"/>
              </w:rPr>
            </w:pPr>
            <w:r w:rsidRPr="00087F48">
              <w:rPr>
                <w:rFonts w:ascii="Arial" w:hAnsi="Arial" w:cs="Arial"/>
                <w:color w:val="000000"/>
                <w:sz w:val="14"/>
                <w:szCs w:val="16"/>
                <w:lang w:eastAsia="pt-BR"/>
              </w:rPr>
              <w:t>Passivo Circulante</w:t>
            </w:r>
          </w:p>
        </w:tc>
        <w:tc>
          <w:tcPr>
            <w:tcW w:w="441" w:type="pct"/>
            <w:tcBorders>
              <w:top w:val="nil"/>
              <w:left w:val="nil"/>
              <w:bottom w:val="nil"/>
              <w:right w:val="nil"/>
            </w:tcBorders>
            <w:shd w:val="clear" w:color="auto" w:fill="auto"/>
            <w:noWrap/>
            <w:vAlign w:val="center"/>
            <w:hideMark/>
          </w:tcPr>
          <w:p w14:paraId="02AA360D"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280.660</w:t>
            </w:r>
          </w:p>
        </w:tc>
        <w:tc>
          <w:tcPr>
            <w:tcW w:w="401" w:type="pct"/>
            <w:tcBorders>
              <w:top w:val="nil"/>
              <w:left w:val="nil"/>
              <w:bottom w:val="nil"/>
              <w:right w:val="nil"/>
            </w:tcBorders>
            <w:shd w:val="clear" w:color="auto" w:fill="auto"/>
            <w:noWrap/>
            <w:vAlign w:val="center"/>
            <w:hideMark/>
          </w:tcPr>
          <w:p w14:paraId="56E83B81"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7,00%</w:t>
            </w:r>
          </w:p>
        </w:tc>
        <w:tc>
          <w:tcPr>
            <w:tcW w:w="338" w:type="pct"/>
            <w:tcBorders>
              <w:top w:val="nil"/>
              <w:left w:val="nil"/>
              <w:bottom w:val="nil"/>
              <w:right w:val="nil"/>
            </w:tcBorders>
            <w:shd w:val="clear" w:color="auto" w:fill="auto"/>
            <w:noWrap/>
            <w:vAlign w:val="center"/>
            <w:hideMark/>
          </w:tcPr>
          <w:p w14:paraId="263FB935"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-12,7%</w:t>
            </w:r>
          </w:p>
        </w:tc>
        <w:tc>
          <w:tcPr>
            <w:tcW w:w="338" w:type="pct"/>
            <w:tcBorders>
              <w:top w:val="nil"/>
              <w:left w:val="nil"/>
              <w:bottom w:val="nil"/>
              <w:right w:val="single" w:sz="8" w:space="0" w:color="8DB4E2"/>
            </w:tcBorders>
            <w:shd w:val="clear" w:color="auto" w:fill="auto"/>
            <w:noWrap/>
            <w:vAlign w:val="center"/>
            <w:hideMark/>
          </w:tcPr>
          <w:p w14:paraId="75B0DB9A"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-13,3%</w:t>
            </w:r>
          </w:p>
        </w:tc>
        <w:tc>
          <w:tcPr>
            <w:tcW w:w="441" w:type="pct"/>
            <w:tcBorders>
              <w:top w:val="nil"/>
              <w:left w:val="nil"/>
              <w:bottom w:val="nil"/>
              <w:right w:val="nil"/>
            </w:tcBorders>
            <w:shd w:val="clear" w:color="auto" w:fill="auto"/>
            <w:noWrap/>
            <w:vAlign w:val="center"/>
            <w:hideMark/>
          </w:tcPr>
          <w:p w14:paraId="1CE58960"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321.615</w:t>
            </w:r>
          </w:p>
        </w:tc>
        <w:tc>
          <w:tcPr>
            <w:tcW w:w="401" w:type="pct"/>
            <w:tcBorders>
              <w:top w:val="nil"/>
              <w:left w:val="nil"/>
              <w:bottom w:val="nil"/>
              <w:right w:val="nil"/>
            </w:tcBorders>
            <w:shd w:val="clear" w:color="auto" w:fill="auto"/>
            <w:noWrap/>
            <w:vAlign w:val="center"/>
            <w:hideMark/>
          </w:tcPr>
          <w:p w14:paraId="2CD3E70B"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8,00%</w:t>
            </w:r>
          </w:p>
        </w:tc>
        <w:tc>
          <w:tcPr>
            <w:tcW w:w="338" w:type="pct"/>
            <w:tcBorders>
              <w:top w:val="nil"/>
              <w:left w:val="nil"/>
              <w:bottom w:val="nil"/>
              <w:right w:val="nil"/>
            </w:tcBorders>
            <w:shd w:val="clear" w:color="auto" w:fill="auto"/>
            <w:noWrap/>
            <w:vAlign w:val="center"/>
            <w:hideMark/>
          </w:tcPr>
          <w:p w14:paraId="58534931"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-0,6%</w:t>
            </w:r>
          </w:p>
        </w:tc>
        <w:tc>
          <w:tcPr>
            <w:tcW w:w="338" w:type="pct"/>
            <w:tcBorders>
              <w:top w:val="nil"/>
              <w:left w:val="nil"/>
              <w:bottom w:val="nil"/>
              <w:right w:val="single" w:sz="8" w:space="0" w:color="8DB4E2"/>
            </w:tcBorders>
            <w:shd w:val="clear" w:color="auto" w:fill="auto"/>
            <w:noWrap/>
            <w:vAlign w:val="center"/>
            <w:hideMark/>
          </w:tcPr>
          <w:p w14:paraId="0E2BBF7C"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6,9%</w:t>
            </w:r>
          </w:p>
        </w:tc>
        <w:tc>
          <w:tcPr>
            <w:tcW w:w="86" w:type="pct"/>
            <w:tcBorders>
              <w:top w:val="nil"/>
              <w:left w:val="nil"/>
              <w:bottom w:val="nil"/>
              <w:right w:val="nil"/>
            </w:tcBorders>
          </w:tcPr>
          <w:p w14:paraId="752ED6EE" w14:textId="77777777" w:rsidR="00920028" w:rsidRPr="00087F48" w:rsidRDefault="00920028" w:rsidP="00446A14">
            <w:pPr>
              <w:spacing w:after="0" w:line="240" w:lineRule="auto"/>
              <w:jc w:val="right"/>
              <w:rPr>
                <w:rFonts w:ascii="Arial" w:hAnsi="Arial" w:cs="Arial"/>
                <w:color w:val="000000"/>
                <w:sz w:val="14"/>
                <w:szCs w:val="16"/>
                <w:lang w:eastAsia="pt-BR"/>
              </w:rPr>
            </w:pPr>
          </w:p>
        </w:tc>
        <w:tc>
          <w:tcPr>
            <w:tcW w:w="441" w:type="pct"/>
            <w:tcBorders>
              <w:top w:val="nil"/>
              <w:left w:val="nil"/>
              <w:bottom w:val="nil"/>
              <w:right w:val="nil"/>
            </w:tcBorders>
            <w:shd w:val="clear" w:color="auto" w:fill="auto"/>
            <w:noWrap/>
            <w:vAlign w:val="center"/>
            <w:hideMark/>
          </w:tcPr>
          <w:p w14:paraId="3F5DB3FD" w14:textId="7B8695D4"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323.710</w:t>
            </w:r>
          </w:p>
        </w:tc>
        <w:tc>
          <w:tcPr>
            <w:tcW w:w="356" w:type="pct"/>
            <w:tcBorders>
              <w:top w:val="nil"/>
              <w:left w:val="nil"/>
              <w:bottom w:val="nil"/>
              <w:right w:val="nil"/>
            </w:tcBorders>
            <w:shd w:val="clear" w:color="auto" w:fill="auto"/>
            <w:noWrap/>
            <w:vAlign w:val="center"/>
            <w:hideMark/>
          </w:tcPr>
          <w:p w14:paraId="08CED6BE"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7,9%</w:t>
            </w:r>
          </w:p>
        </w:tc>
      </w:tr>
      <w:tr w:rsidR="00920028" w:rsidRPr="00457198" w14:paraId="44BC506E" w14:textId="77777777" w:rsidTr="00920028">
        <w:trPr>
          <w:trHeight w:val="258"/>
        </w:trPr>
        <w:tc>
          <w:tcPr>
            <w:tcW w:w="1081" w:type="pct"/>
            <w:tcBorders>
              <w:top w:val="nil"/>
              <w:left w:val="nil"/>
              <w:bottom w:val="nil"/>
              <w:right w:val="nil"/>
            </w:tcBorders>
            <w:shd w:val="clear" w:color="auto" w:fill="auto"/>
            <w:noWrap/>
            <w:vAlign w:val="center"/>
            <w:hideMark/>
          </w:tcPr>
          <w:p w14:paraId="5D23AC21" w14:textId="77777777" w:rsidR="00920028" w:rsidRPr="00087F48" w:rsidRDefault="00920028" w:rsidP="00446A14">
            <w:pPr>
              <w:spacing w:after="0" w:line="240" w:lineRule="auto"/>
              <w:rPr>
                <w:rFonts w:ascii="Arial" w:hAnsi="Arial" w:cs="Arial"/>
                <w:color w:val="000000"/>
                <w:sz w:val="14"/>
                <w:szCs w:val="16"/>
                <w:lang w:eastAsia="pt-BR"/>
              </w:rPr>
            </w:pPr>
            <w:r w:rsidRPr="00087F48">
              <w:rPr>
                <w:rFonts w:ascii="Arial" w:hAnsi="Arial" w:cs="Arial"/>
                <w:color w:val="000000"/>
                <w:sz w:val="14"/>
                <w:szCs w:val="16"/>
                <w:lang w:eastAsia="pt-BR"/>
              </w:rPr>
              <w:t>Passivo Não Circulante</w:t>
            </w:r>
          </w:p>
        </w:tc>
        <w:tc>
          <w:tcPr>
            <w:tcW w:w="441" w:type="pct"/>
            <w:tcBorders>
              <w:top w:val="nil"/>
              <w:left w:val="nil"/>
              <w:bottom w:val="nil"/>
              <w:right w:val="nil"/>
            </w:tcBorders>
            <w:shd w:val="clear" w:color="auto" w:fill="auto"/>
            <w:noWrap/>
            <w:vAlign w:val="center"/>
            <w:hideMark/>
          </w:tcPr>
          <w:p w14:paraId="3C8F51CC"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2.297.276</w:t>
            </w:r>
          </w:p>
        </w:tc>
        <w:tc>
          <w:tcPr>
            <w:tcW w:w="401" w:type="pct"/>
            <w:tcBorders>
              <w:top w:val="nil"/>
              <w:left w:val="nil"/>
              <w:bottom w:val="nil"/>
              <w:right w:val="nil"/>
            </w:tcBorders>
            <w:shd w:val="clear" w:color="auto" w:fill="auto"/>
            <w:noWrap/>
            <w:vAlign w:val="center"/>
            <w:hideMark/>
          </w:tcPr>
          <w:p w14:paraId="6141C77D"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57,40%</w:t>
            </w:r>
          </w:p>
        </w:tc>
        <w:tc>
          <w:tcPr>
            <w:tcW w:w="338" w:type="pct"/>
            <w:tcBorders>
              <w:top w:val="nil"/>
              <w:left w:val="nil"/>
              <w:bottom w:val="nil"/>
              <w:right w:val="nil"/>
            </w:tcBorders>
            <w:shd w:val="clear" w:color="auto" w:fill="auto"/>
            <w:noWrap/>
            <w:vAlign w:val="center"/>
            <w:hideMark/>
          </w:tcPr>
          <w:p w14:paraId="338EF215"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6,4%</w:t>
            </w:r>
          </w:p>
        </w:tc>
        <w:tc>
          <w:tcPr>
            <w:tcW w:w="338" w:type="pct"/>
            <w:tcBorders>
              <w:top w:val="nil"/>
              <w:left w:val="nil"/>
              <w:bottom w:val="nil"/>
              <w:right w:val="single" w:sz="8" w:space="0" w:color="8DB4E2"/>
            </w:tcBorders>
            <w:shd w:val="clear" w:color="auto" w:fill="auto"/>
            <w:noWrap/>
            <w:vAlign w:val="center"/>
            <w:hideMark/>
          </w:tcPr>
          <w:p w14:paraId="0DE9EA25"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-4,8%</w:t>
            </w:r>
          </w:p>
        </w:tc>
        <w:tc>
          <w:tcPr>
            <w:tcW w:w="441" w:type="pct"/>
            <w:tcBorders>
              <w:top w:val="nil"/>
              <w:left w:val="nil"/>
              <w:bottom w:val="nil"/>
              <w:right w:val="nil"/>
            </w:tcBorders>
            <w:shd w:val="clear" w:color="auto" w:fill="auto"/>
            <w:noWrap/>
            <w:vAlign w:val="center"/>
            <w:hideMark/>
          </w:tcPr>
          <w:p w14:paraId="61C8511A"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2.158.693</w:t>
            </w:r>
          </w:p>
        </w:tc>
        <w:tc>
          <w:tcPr>
            <w:tcW w:w="401" w:type="pct"/>
            <w:tcBorders>
              <w:top w:val="nil"/>
              <w:left w:val="nil"/>
              <w:bottom w:val="nil"/>
              <w:right w:val="nil"/>
            </w:tcBorders>
            <w:shd w:val="clear" w:color="auto" w:fill="auto"/>
            <w:noWrap/>
            <w:vAlign w:val="center"/>
            <w:hideMark/>
          </w:tcPr>
          <w:p w14:paraId="5CDC2D1B"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53,50%</w:t>
            </w:r>
          </w:p>
        </w:tc>
        <w:tc>
          <w:tcPr>
            <w:tcW w:w="338" w:type="pct"/>
            <w:tcBorders>
              <w:top w:val="nil"/>
              <w:left w:val="nil"/>
              <w:bottom w:val="nil"/>
              <w:right w:val="nil"/>
            </w:tcBorders>
            <w:shd w:val="clear" w:color="auto" w:fill="auto"/>
            <w:noWrap/>
            <w:vAlign w:val="center"/>
            <w:hideMark/>
          </w:tcPr>
          <w:p w14:paraId="05BB5CC6"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-10,5%</w:t>
            </w:r>
          </w:p>
        </w:tc>
        <w:tc>
          <w:tcPr>
            <w:tcW w:w="338" w:type="pct"/>
            <w:tcBorders>
              <w:top w:val="nil"/>
              <w:left w:val="nil"/>
              <w:bottom w:val="nil"/>
              <w:right w:val="single" w:sz="8" w:space="0" w:color="8DB4E2"/>
            </w:tcBorders>
            <w:shd w:val="clear" w:color="auto" w:fill="auto"/>
            <w:noWrap/>
            <w:vAlign w:val="center"/>
            <w:hideMark/>
          </w:tcPr>
          <w:p w14:paraId="7FE2C3FC"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-10,8%</w:t>
            </w:r>
          </w:p>
        </w:tc>
        <w:tc>
          <w:tcPr>
            <w:tcW w:w="86" w:type="pct"/>
            <w:tcBorders>
              <w:top w:val="nil"/>
              <w:left w:val="nil"/>
              <w:bottom w:val="nil"/>
              <w:right w:val="nil"/>
            </w:tcBorders>
          </w:tcPr>
          <w:p w14:paraId="734D2517" w14:textId="77777777" w:rsidR="00920028" w:rsidRPr="00087F48" w:rsidRDefault="00920028" w:rsidP="00446A14">
            <w:pPr>
              <w:spacing w:after="0" w:line="240" w:lineRule="auto"/>
              <w:jc w:val="right"/>
              <w:rPr>
                <w:rFonts w:ascii="Arial" w:hAnsi="Arial" w:cs="Arial"/>
                <w:color w:val="000000"/>
                <w:sz w:val="14"/>
                <w:szCs w:val="16"/>
                <w:lang w:eastAsia="pt-BR"/>
              </w:rPr>
            </w:pPr>
          </w:p>
        </w:tc>
        <w:tc>
          <w:tcPr>
            <w:tcW w:w="441" w:type="pct"/>
            <w:tcBorders>
              <w:top w:val="nil"/>
              <w:left w:val="nil"/>
              <w:bottom w:val="nil"/>
              <w:right w:val="nil"/>
            </w:tcBorders>
            <w:shd w:val="clear" w:color="auto" w:fill="auto"/>
            <w:noWrap/>
            <w:vAlign w:val="center"/>
            <w:hideMark/>
          </w:tcPr>
          <w:p w14:paraId="39859342" w14:textId="20F85E7A"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2.412.134</w:t>
            </w:r>
          </w:p>
        </w:tc>
        <w:tc>
          <w:tcPr>
            <w:tcW w:w="356" w:type="pct"/>
            <w:tcBorders>
              <w:top w:val="nil"/>
              <w:left w:val="nil"/>
              <w:bottom w:val="nil"/>
              <w:right w:val="nil"/>
            </w:tcBorders>
            <w:shd w:val="clear" w:color="auto" w:fill="auto"/>
            <w:noWrap/>
            <w:vAlign w:val="center"/>
            <w:hideMark/>
          </w:tcPr>
          <w:p w14:paraId="546F166E"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58,8%</w:t>
            </w:r>
          </w:p>
        </w:tc>
      </w:tr>
      <w:tr w:rsidR="00920028" w:rsidRPr="00457198" w14:paraId="762AF244" w14:textId="77777777" w:rsidTr="00920028">
        <w:trPr>
          <w:trHeight w:val="258"/>
        </w:trPr>
        <w:tc>
          <w:tcPr>
            <w:tcW w:w="1081" w:type="pct"/>
            <w:tcBorders>
              <w:top w:val="nil"/>
              <w:left w:val="nil"/>
              <w:bottom w:val="nil"/>
              <w:right w:val="nil"/>
            </w:tcBorders>
            <w:shd w:val="clear" w:color="auto" w:fill="auto"/>
            <w:noWrap/>
            <w:vAlign w:val="center"/>
            <w:hideMark/>
          </w:tcPr>
          <w:p w14:paraId="076656F8" w14:textId="77777777" w:rsidR="00920028" w:rsidRPr="00087F48" w:rsidRDefault="00920028" w:rsidP="00446A14">
            <w:pPr>
              <w:spacing w:after="0" w:line="240" w:lineRule="auto"/>
              <w:rPr>
                <w:rFonts w:ascii="Arial" w:hAnsi="Arial" w:cs="Arial"/>
                <w:b/>
                <w:bCs/>
                <w:color w:val="000000"/>
                <w:sz w:val="14"/>
                <w:szCs w:val="16"/>
                <w:lang w:eastAsia="pt-BR"/>
              </w:rPr>
            </w:pPr>
            <w:r w:rsidRPr="00087F48">
              <w:rPr>
                <w:rFonts w:ascii="Arial" w:hAnsi="Arial" w:cs="Arial"/>
                <w:b/>
                <w:bCs/>
                <w:color w:val="000000"/>
                <w:sz w:val="14"/>
                <w:szCs w:val="16"/>
                <w:lang w:eastAsia="pt-BR"/>
              </w:rPr>
              <w:t>Passivo Exigível</w:t>
            </w:r>
          </w:p>
        </w:tc>
        <w:tc>
          <w:tcPr>
            <w:tcW w:w="441" w:type="pct"/>
            <w:tcBorders>
              <w:top w:val="nil"/>
              <w:left w:val="nil"/>
              <w:bottom w:val="nil"/>
              <w:right w:val="nil"/>
            </w:tcBorders>
            <w:shd w:val="clear" w:color="auto" w:fill="auto"/>
            <w:noWrap/>
            <w:vAlign w:val="center"/>
            <w:hideMark/>
          </w:tcPr>
          <w:p w14:paraId="7C2314BF" w14:textId="77777777" w:rsidR="00920028" w:rsidRPr="00087F48" w:rsidRDefault="00920028" w:rsidP="00446A14">
            <w:pPr>
              <w:spacing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2.577.936</w:t>
            </w:r>
          </w:p>
        </w:tc>
        <w:tc>
          <w:tcPr>
            <w:tcW w:w="401" w:type="pct"/>
            <w:tcBorders>
              <w:top w:val="nil"/>
              <w:left w:val="nil"/>
              <w:bottom w:val="nil"/>
              <w:right w:val="nil"/>
            </w:tcBorders>
            <w:shd w:val="clear" w:color="auto" w:fill="auto"/>
            <w:noWrap/>
            <w:vAlign w:val="center"/>
            <w:hideMark/>
          </w:tcPr>
          <w:p w14:paraId="68DFED7A" w14:textId="77777777" w:rsidR="00920028" w:rsidRPr="00087F48" w:rsidRDefault="00920028" w:rsidP="00446A14">
            <w:pPr>
              <w:spacing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64,40%</w:t>
            </w:r>
          </w:p>
        </w:tc>
        <w:tc>
          <w:tcPr>
            <w:tcW w:w="338" w:type="pct"/>
            <w:tcBorders>
              <w:top w:val="nil"/>
              <w:left w:val="nil"/>
              <w:bottom w:val="nil"/>
              <w:right w:val="nil"/>
            </w:tcBorders>
            <w:shd w:val="clear" w:color="auto" w:fill="auto"/>
            <w:noWrap/>
            <w:vAlign w:val="center"/>
            <w:hideMark/>
          </w:tcPr>
          <w:p w14:paraId="71A65887" w14:textId="77777777" w:rsidR="00920028" w:rsidRPr="00087F48" w:rsidRDefault="00920028" w:rsidP="00446A14">
            <w:pPr>
              <w:spacing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3,9%</w:t>
            </w:r>
          </w:p>
        </w:tc>
        <w:tc>
          <w:tcPr>
            <w:tcW w:w="338" w:type="pct"/>
            <w:tcBorders>
              <w:top w:val="nil"/>
              <w:left w:val="nil"/>
              <w:bottom w:val="nil"/>
              <w:right w:val="single" w:sz="8" w:space="0" w:color="8DB4E2"/>
            </w:tcBorders>
            <w:shd w:val="clear" w:color="auto" w:fill="auto"/>
            <w:noWrap/>
            <w:vAlign w:val="center"/>
            <w:hideMark/>
          </w:tcPr>
          <w:p w14:paraId="159F32E0" w14:textId="77777777" w:rsidR="00920028" w:rsidRPr="00087F48" w:rsidRDefault="00920028" w:rsidP="00446A14">
            <w:pPr>
              <w:spacing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-5,8%</w:t>
            </w:r>
          </w:p>
        </w:tc>
        <w:tc>
          <w:tcPr>
            <w:tcW w:w="441" w:type="pct"/>
            <w:tcBorders>
              <w:top w:val="nil"/>
              <w:left w:val="nil"/>
              <w:bottom w:val="nil"/>
              <w:right w:val="nil"/>
            </w:tcBorders>
            <w:shd w:val="clear" w:color="auto" w:fill="auto"/>
            <w:noWrap/>
            <w:vAlign w:val="center"/>
            <w:hideMark/>
          </w:tcPr>
          <w:p w14:paraId="176F6A5C" w14:textId="77777777" w:rsidR="00920028" w:rsidRPr="00087F48" w:rsidRDefault="00920028" w:rsidP="00446A14">
            <w:pPr>
              <w:spacing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2.480.308</w:t>
            </w:r>
          </w:p>
        </w:tc>
        <w:tc>
          <w:tcPr>
            <w:tcW w:w="401" w:type="pct"/>
            <w:tcBorders>
              <w:top w:val="nil"/>
              <w:left w:val="nil"/>
              <w:bottom w:val="nil"/>
              <w:right w:val="nil"/>
            </w:tcBorders>
            <w:shd w:val="clear" w:color="auto" w:fill="auto"/>
            <w:noWrap/>
            <w:vAlign w:val="center"/>
            <w:hideMark/>
          </w:tcPr>
          <w:p w14:paraId="284FFAA1" w14:textId="77777777" w:rsidR="00920028" w:rsidRPr="00087F48" w:rsidRDefault="00920028" w:rsidP="00446A14">
            <w:pPr>
              <w:spacing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61,50%</w:t>
            </w:r>
          </w:p>
        </w:tc>
        <w:tc>
          <w:tcPr>
            <w:tcW w:w="338" w:type="pct"/>
            <w:tcBorders>
              <w:top w:val="nil"/>
              <w:left w:val="nil"/>
              <w:bottom w:val="nil"/>
              <w:right w:val="nil"/>
            </w:tcBorders>
            <w:shd w:val="clear" w:color="auto" w:fill="auto"/>
            <w:noWrap/>
            <w:vAlign w:val="center"/>
            <w:hideMark/>
          </w:tcPr>
          <w:p w14:paraId="1F4EB69A" w14:textId="77777777" w:rsidR="00920028" w:rsidRPr="00087F48" w:rsidRDefault="00920028" w:rsidP="00446A14">
            <w:pPr>
              <w:spacing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-9,3%</w:t>
            </w:r>
          </w:p>
        </w:tc>
        <w:tc>
          <w:tcPr>
            <w:tcW w:w="338" w:type="pct"/>
            <w:tcBorders>
              <w:top w:val="nil"/>
              <w:left w:val="nil"/>
              <w:bottom w:val="nil"/>
              <w:right w:val="single" w:sz="8" w:space="0" w:color="8DB4E2"/>
            </w:tcBorders>
            <w:shd w:val="clear" w:color="auto" w:fill="auto"/>
            <w:noWrap/>
            <w:vAlign w:val="center"/>
            <w:hideMark/>
          </w:tcPr>
          <w:p w14:paraId="29BFE9B2" w14:textId="77777777" w:rsidR="00920028" w:rsidRPr="00087F48" w:rsidRDefault="00920028" w:rsidP="00446A14">
            <w:pPr>
              <w:spacing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-8,9%</w:t>
            </w:r>
          </w:p>
        </w:tc>
        <w:tc>
          <w:tcPr>
            <w:tcW w:w="86" w:type="pct"/>
            <w:tcBorders>
              <w:top w:val="nil"/>
              <w:left w:val="nil"/>
              <w:bottom w:val="nil"/>
              <w:right w:val="nil"/>
            </w:tcBorders>
          </w:tcPr>
          <w:p w14:paraId="76A5E562" w14:textId="77777777" w:rsidR="00920028" w:rsidRPr="00087F48" w:rsidRDefault="00920028" w:rsidP="00446A14">
            <w:pPr>
              <w:spacing w:after="0" w:line="240" w:lineRule="auto"/>
              <w:jc w:val="right"/>
              <w:rPr>
                <w:rFonts w:ascii="Arial" w:hAnsi="Arial" w:cs="Arial"/>
                <w:b/>
                <w:bCs/>
                <w:color w:val="000000"/>
                <w:sz w:val="14"/>
                <w:szCs w:val="16"/>
                <w:lang w:eastAsia="pt-BR"/>
              </w:rPr>
            </w:pPr>
          </w:p>
        </w:tc>
        <w:tc>
          <w:tcPr>
            <w:tcW w:w="441" w:type="pct"/>
            <w:tcBorders>
              <w:top w:val="nil"/>
              <w:left w:val="nil"/>
              <w:bottom w:val="nil"/>
              <w:right w:val="nil"/>
            </w:tcBorders>
            <w:shd w:val="clear" w:color="auto" w:fill="auto"/>
            <w:noWrap/>
            <w:vAlign w:val="center"/>
            <w:hideMark/>
          </w:tcPr>
          <w:p w14:paraId="42750A89" w14:textId="7194DB17" w:rsidR="00920028" w:rsidRPr="00087F48" w:rsidRDefault="00920028" w:rsidP="00446A14">
            <w:pPr>
              <w:spacing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2.735.844</w:t>
            </w:r>
          </w:p>
        </w:tc>
        <w:tc>
          <w:tcPr>
            <w:tcW w:w="356" w:type="pct"/>
            <w:tcBorders>
              <w:top w:val="nil"/>
              <w:left w:val="nil"/>
              <w:bottom w:val="nil"/>
              <w:right w:val="nil"/>
            </w:tcBorders>
            <w:shd w:val="clear" w:color="auto" w:fill="auto"/>
            <w:noWrap/>
            <w:vAlign w:val="center"/>
            <w:hideMark/>
          </w:tcPr>
          <w:p w14:paraId="1F21FE71" w14:textId="77777777" w:rsidR="00920028" w:rsidRPr="00087F48" w:rsidRDefault="00920028" w:rsidP="00446A14">
            <w:pPr>
              <w:spacing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66,7%</w:t>
            </w:r>
          </w:p>
        </w:tc>
      </w:tr>
      <w:tr w:rsidR="00920028" w:rsidRPr="00457198" w14:paraId="4DCF2382" w14:textId="77777777" w:rsidTr="00920028">
        <w:trPr>
          <w:trHeight w:val="258"/>
        </w:trPr>
        <w:tc>
          <w:tcPr>
            <w:tcW w:w="1081" w:type="pct"/>
            <w:tcBorders>
              <w:top w:val="nil"/>
              <w:left w:val="nil"/>
              <w:bottom w:val="nil"/>
              <w:right w:val="nil"/>
            </w:tcBorders>
            <w:shd w:val="clear" w:color="auto" w:fill="auto"/>
            <w:noWrap/>
            <w:vAlign w:val="center"/>
            <w:hideMark/>
          </w:tcPr>
          <w:p w14:paraId="689D03E6" w14:textId="77777777" w:rsidR="00920028" w:rsidRPr="00087F48" w:rsidRDefault="00920028" w:rsidP="00446A14">
            <w:pPr>
              <w:spacing w:after="0" w:line="240" w:lineRule="auto"/>
              <w:rPr>
                <w:rFonts w:ascii="Arial" w:hAnsi="Arial" w:cs="Arial"/>
                <w:color w:val="000000"/>
                <w:sz w:val="14"/>
                <w:szCs w:val="16"/>
                <w:lang w:eastAsia="pt-BR"/>
              </w:rPr>
            </w:pPr>
            <w:r w:rsidRPr="00087F48">
              <w:rPr>
                <w:rFonts w:ascii="Arial" w:hAnsi="Arial" w:cs="Arial"/>
                <w:color w:val="000000"/>
                <w:sz w:val="14"/>
                <w:szCs w:val="16"/>
                <w:lang w:eastAsia="pt-BR"/>
              </w:rPr>
              <w:t>Patrimônio Líquido</w:t>
            </w:r>
          </w:p>
        </w:tc>
        <w:tc>
          <w:tcPr>
            <w:tcW w:w="441" w:type="pct"/>
            <w:tcBorders>
              <w:top w:val="nil"/>
              <w:left w:val="nil"/>
              <w:bottom w:val="nil"/>
              <w:right w:val="nil"/>
            </w:tcBorders>
            <w:shd w:val="clear" w:color="auto" w:fill="auto"/>
            <w:noWrap/>
            <w:vAlign w:val="center"/>
            <w:hideMark/>
          </w:tcPr>
          <w:p w14:paraId="6AAB8FA7"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1.425.651</w:t>
            </w:r>
          </w:p>
        </w:tc>
        <w:tc>
          <w:tcPr>
            <w:tcW w:w="401" w:type="pct"/>
            <w:tcBorders>
              <w:top w:val="nil"/>
              <w:left w:val="nil"/>
              <w:bottom w:val="nil"/>
              <w:right w:val="nil"/>
            </w:tcBorders>
            <w:shd w:val="clear" w:color="auto" w:fill="auto"/>
            <w:noWrap/>
            <w:vAlign w:val="center"/>
            <w:hideMark/>
          </w:tcPr>
          <w:p w14:paraId="52B2F898"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35,60%</w:t>
            </w:r>
          </w:p>
        </w:tc>
        <w:tc>
          <w:tcPr>
            <w:tcW w:w="338" w:type="pct"/>
            <w:tcBorders>
              <w:top w:val="nil"/>
              <w:left w:val="nil"/>
              <w:bottom w:val="nil"/>
              <w:right w:val="nil"/>
            </w:tcBorders>
            <w:shd w:val="clear" w:color="auto" w:fill="auto"/>
            <w:noWrap/>
            <w:vAlign w:val="center"/>
            <w:hideMark/>
          </w:tcPr>
          <w:p w14:paraId="36F7D3E2"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-8,3%</w:t>
            </w:r>
          </w:p>
        </w:tc>
        <w:tc>
          <w:tcPr>
            <w:tcW w:w="338" w:type="pct"/>
            <w:tcBorders>
              <w:top w:val="nil"/>
              <w:left w:val="nil"/>
              <w:bottom w:val="nil"/>
              <w:right w:val="single" w:sz="8" w:space="0" w:color="8DB4E2"/>
            </w:tcBorders>
            <w:shd w:val="clear" w:color="auto" w:fill="auto"/>
            <w:noWrap/>
            <w:vAlign w:val="center"/>
            <w:hideMark/>
          </w:tcPr>
          <w:p w14:paraId="5C8857D2"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4,6%</w:t>
            </w:r>
          </w:p>
        </w:tc>
        <w:tc>
          <w:tcPr>
            <w:tcW w:w="441" w:type="pct"/>
            <w:tcBorders>
              <w:top w:val="nil"/>
              <w:left w:val="nil"/>
              <w:bottom w:val="nil"/>
              <w:right w:val="nil"/>
            </w:tcBorders>
            <w:shd w:val="clear" w:color="auto" w:fill="auto"/>
            <w:noWrap/>
            <w:vAlign w:val="center"/>
            <w:hideMark/>
          </w:tcPr>
          <w:p w14:paraId="759E0181"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1.555.103</w:t>
            </w:r>
          </w:p>
        </w:tc>
        <w:tc>
          <w:tcPr>
            <w:tcW w:w="401" w:type="pct"/>
            <w:tcBorders>
              <w:top w:val="nil"/>
              <w:left w:val="nil"/>
              <w:bottom w:val="nil"/>
              <w:right w:val="nil"/>
            </w:tcBorders>
            <w:shd w:val="clear" w:color="auto" w:fill="auto"/>
            <w:noWrap/>
            <w:vAlign w:val="center"/>
            <w:hideMark/>
          </w:tcPr>
          <w:p w14:paraId="49ACB97C"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38,50%</w:t>
            </w:r>
          </w:p>
        </w:tc>
        <w:tc>
          <w:tcPr>
            <w:tcW w:w="338" w:type="pct"/>
            <w:tcBorders>
              <w:top w:val="nil"/>
              <w:left w:val="nil"/>
              <w:bottom w:val="nil"/>
              <w:right w:val="nil"/>
            </w:tcBorders>
            <w:shd w:val="clear" w:color="auto" w:fill="auto"/>
            <w:noWrap/>
            <w:vAlign w:val="center"/>
            <w:hideMark/>
          </w:tcPr>
          <w:p w14:paraId="02549B33"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14,1%</w:t>
            </w:r>
          </w:p>
        </w:tc>
        <w:tc>
          <w:tcPr>
            <w:tcW w:w="338" w:type="pct"/>
            <w:tcBorders>
              <w:top w:val="nil"/>
              <w:left w:val="nil"/>
              <w:bottom w:val="nil"/>
              <w:right w:val="single" w:sz="8" w:space="0" w:color="8DB4E2"/>
            </w:tcBorders>
            <w:shd w:val="clear" w:color="auto" w:fill="auto"/>
            <w:noWrap/>
            <w:vAlign w:val="center"/>
            <w:hideMark/>
          </w:tcPr>
          <w:p w14:paraId="02D29C24"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2,2%</w:t>
            </w:r>
          </w:p>
        </w:tc>
        <w:tc>
          <w:tcPr>
            <w:tcW w:w="86" w:type="pct"/>
            <w:tcBorders>
              <w:top w:val="nil"/>
              <w:left w:val="nil"/>
              <w:bottom w:val="nil"/>
              <w:right w:val="nil"/>
            </w:tcBorders>
          </w:tcPr>
          <w:p w14:paraId="0A9AB236" w14:textId="77777777" w:rsidR="00920028" w:rsidRPr="00087F48" w:rsidRDefault="00920028" w:rsidP="00446A14">
            <w:pPr>
              <w:spacing w:after="0" w:line="240" w:lineRule="auto"/>
              <w:jc w:val="right"/>
              <w:rPr>
                <w:rFonts w:ascii="Arial" w:hAnsi="Arial" w:cs="Arial"/>
                <w:color w:val="000000"/>
                <w:sz w:val="14"/>
                <w:szCs w:val="16"/>
                <w:lang w:eastAsia="pt-BR"/>
              </w:rPr>
            </w:pPr>
          </w:p>
        </w:tc>
        <w:tc>
          <w:tcPr>
            <w:tcW w:w="441" w:type="pct"/>
            <w:tcBorders>
              <w:top w:val="nil"/>
              <w:left w:val="nil"/>
              <w:bottom w:val="nil"/>
              <w:right w:val="nil"/>
            </w:tcBorders>
            <w:shd w:val="clear" w:color="auto" w:fill="auto"/>
            <w:noWrap/>
            <w:vAlign w:val="center"/>
            <w:hideMark/>
          </w:tcPr>
          <w:p w14:paraId="64BCD5CA" w14:textId="555DCD52"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1.363.210</w:t>
            </w:r>
          </w:p>
        </w:tc>
        <w:tc>
          <w:tcPr>
            <w:tcW w:w="356" w:type="pct"/>
            <w:tcBorders>
              <w:top w:val="nil"/>
              <w:left w:val="nil"/>
              <w:bottom w:val="nil"/>
              <w:right w:val="nil"/>
            </w:tcBorders>
            <w:shd w:val="clear" w:color="auto" w:fill="auto"/>
            <w:noWrap/>
            <w:vAlign w:val="center"/>
            <w:hideMark/>
          </w:tcPr>
          <w:p w14:paraId="3B628683" w14:textId="77777777" w:rsidR="00920028" w:rsidRPr="00087F48" w:rsidRDefault="00920028" w:rsidP="00446A14">
            <w:pPr>
              <w:spacing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33,3%</w:t>
            </w:r>
          </w:p>
        </w:tc>
      </w:tr>
      <w:tr w:rsidR="00920028" w:rsidRPr="00457198" w14:paraId="0C71AB9F" w14:textId="77777777" w:rsidTr="00920028">
        <w:trPr>
          <w:trHeight w:val="258"/>
        </w:trPr>
        <w:tc>
          <w:tcPr>
            <w:tcW w:w="1081" w:type="pct"/>
            <w:tcBorders>
              <w:top w:val="single" w:sz="8" w:space="0" w:color="8DB4E2"/>
              <w:left w:val="nil"/>
              <w:bottom w:val="single" w:sz="8" w:space="0" w:color="8DB4E2"/>
              <w:right w:val="nil"/>
            </w:tcBorders>
            <w:shd w:val="clear" w:color="auto" w:fill="auto"/>
            <w:noWrap/>
            <w:vAlign w:val="center"/>
            <w:hideMark/>
          </w:tcPr>
          <w:p w14:paraId="1E921CDA" w14:textId="77777777" w:rsidR="00920028" w:rsidRPr="00087F48" w:rsidRDefault="00920028" w:rsidP="00446A14">
            <w:pPr>
              <w:spacing w:after="0" w:line="240" w:lineRule="auto"/>
              <w:rPr>
                <w:rFonts w:ascii="Arial" w:hAnsi="Arial" w:cs="Arial"/>
                <w:b/>
                <w:bCs/>
                <w:color w:val="000000"/>
                <w:sz w:val="14"/>
                <w:szCs w:val="16"/>
                <w:lang w:eastAsia="pt-BR"/>
              </w:rPr>
            </w:pPr>
            <w:r w:rsidRPr="00087F48">
              <w:rPr>
                <w:rFonts w:ascii="Arial" w:hAnsi="Arial" w:cs="Arial"/>
                <w:b/>
                <w:bCs/>
                <w:color w:val="000000"/>
                <w:sz w:val="14"/>
                <w:szCs w:val="16"/>
                <w:lang w:eastAsia="pt-BR"/>
              </w:rPr>
              <w:t>Passivo Total</w:t>
            </w:r>
          </w:p>
        </w:tc>
        <w:tc>
          <w:tcPr>
            <w:tcW w:w="441" w:type="pct"/>
            <w:tcBorders>
              <w:top w:val="single" w:sz="8" w:space="0" w:color="8DB4E2"/>
              <w:left w:val="nil"/>
              <w:bottom w:val="single" w:sz="8" w:space="0" w:color="8DB4E2"/>
              <w:right w:val="nil"/>
            </w:tcBorders>
            <w:shd w:val="clear" w:color="auto" w:fill="auto"/>
            <w:noWrap/>
            <w:vAlign w:val="center"/>
            <w:hideMark/>
          </w:tcPr>
          <w:p w14:paraId="66699CE0" w14:textId="77777777" w:rsidR="00920028" w:rsidRPr="00087F48" w:rsidRDefault="00920028" w:rsidP="00446A14">
            <w:pPr>
              <w:spacing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4.003.587</w:t>
            </w:r>
          </w:p>
        </w:tc>
        <w:tc>
          <w:tcPr>
            <w:tcW w:w="401" w:type="pct"/>
            <w:tcBorders>
              <w:top w:val="single" w:sz="8" w:space="0" w:color="8DB4E2"/>
              <w:left w:val="nil"/>
              <w:bottom w:val="single" w:sz="8" w:space="0" w:color="8DB4E2"/>
              <w:right w:val="nil"/>
            </w:tcBorders>
            <w:shd w:val="clear" w:color="auto" w:fill="auto"/>
            <w:noWrap/>
            <w:vAlign w:val="center"/>
            <w:hideMark/>
          </w:tcPr>
          <w:p w14:paraId="7CB43ABA" w14:textId="77777777" w:rsidR="00920028" w:rsidRPr="00087F48" w:rsidRDefault="00920028" w:rsidP="00446A14">
            <w:pPr>
              <w:spacing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100,00%</w:t>
            </w:r>
          </w:p>
        </w:tc>
        <w:tc>
          <w:tcPr>
            <w:tcW w:w="338" w:type="pct"/>
            <w:tcBorders>
              <w:top w:val="single" w:sz="8" w:space="0" w:color="8DB4E2"/>
              <w:left w:val="nil"/>
              <w:bottom w:val="single" w:sz="8" w:space="0" w:color="8DB4E2"/>
              <w:right w:val="nil"/>
            </w:tcBorders>
            <w:shd w:val="clear" w:color="auto" w:fill="auto"/>
            <w:noWrap/>
            <w:vAlign w:val="center"/>
            <w:hideMark/>
          </w:tcPr>
          <w:p w14:paraId="293DED5B" w14:textId="77777777" w:rsidR="00920028" w:rsidRPr="00087F48" w:rsidRDefault="00920028" w:rsidP="00446A14">
            <w:pPr>
              <w:spacing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-0,8%</w:t>
            </w:r>
          </w:p>
        </w:tc>
        <w:tc>
          <w:tcPr>
            <w:tcW w:w="338" w:type="pct"/>
            <w:tcBorders>
              <w:top w:val="single" w:sz="8" w:space="0" w:color="8DB4E2"/>
              <w:left w:val="nil"/>
              <w:bottom w:val="single" w:sz="8" w:space="0" w:color="8DB4E2"/>
              <w:right w:val="single" w:sz="8" w:space="0" w:color="8DB4E2"/>
            </w:tcBorders>
            <w:shd w:val="clear" w:color="auto" w:fill="auto"/>
            <w:noWrap/>
            <w:vAlign w:val="center"/>
            <w:hideMark/>
          </w:tcPr>
          <w:p w14:paraId="47C7723B" w14:textId="77777777" w:rsidR="00920028" w:rsidRPr="00087F48" w:rsidRDefault="00920028" w:rsidP="00446A14">
            <w:pPr>
              <w:spacing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-2,3%</w:t>
            </w:r>
          </w:p>
        </w:tc>
        <w:tc>
          <w:tcPr>
            <w:tcW w:w="441" w:type="pct"/>
            <w:tcBorders>
              <w:top w:val="single" w:sz="8" w:space="0" w:color="8DB4E2"/>
              <w:left w:val="nil"/>
              <w:bottom w:val="single" w:sz="8" w:space="0" w:color="8DB4E2"/>
              <w:right w:val="nil"/>
            </w:tcBorders>
            <w:shd w:val="clear" w:color="auto" w:fill="auto"/>
            <w:noWrap/>
            <w:vAlign w:val="center"/>
            <w:hideMark/>
          </w:tcPr>
          <w:p w14:paraId="497627C9" w14:textId="77777777" w:rsidR="00920028" w:rsidRPr="00087F48" w:rsidRDefault="00920028" w:rsidP="00446A14">
            <w:pPr>
              <w:spacing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4.035.411</w:t>
            </w:r>
          </w:p>
        </w:tc>
        <w:tc>
          <w:tcPr>
            <w:tcW w:w="401" w:type="pct"/>
            <w:tcBorders>
              <w:top w:val="single" w:sz="8" w:space="0" w:color="8DB4E2"/>
              <w:left w:val="nil"/>
              <w:bottom w:val="single" w:sz="8" w:space="0" w:color="8DB4E2"/>
              <w:right w:val="nil"/>
            </w:tcBorders>
            <w:shd w:val="clear" w:color="auto" w:fill="auto"/>
            <w:noWrap/>
            <w:vAlign w:val="center"/>
            <w:hideMark/>
          </w:tcPr>
          <w:p w14:paraId="54E12881" w14:textId="77777777" w:rsidR="00920028" w:rsidRPr="00087F48" w:rsidRDefault="00920028" w:rsidP="00446A14">
            <w:pPr>
              <w:spacing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100,00%</w:t>
            </w:r>
          </w:p>
        </w:tc>
        <w:tc>
          <w:tcPr>
            <w:tcW w:w="338" w:type="pct"/>
            <w:tcBorders>
              <w:top w:val="single" w:sz="8" w:space="0" w:color="8DB4E2"/>
              <w:left w:val="nil"/>
              <w:bottom w:val="single" w:sz="8" w:space="0" w:color="8DB4E2"/>
              <w:right w:val="nil"/>
            </w:tcBorders>
            <w:shd w:val="clear" w:color="auto" w:fill="auto"/>
            <w:noWrap/>
            <w:vAlign w:val="center"/>
            <w:hideMark/>
          </w:tcPr>
          <w:p w14:paraId="5CDBB893" w14:textId="77777777" w:rsidR="00920028" w:rsidRPr="00087F48" w:rsidRDefault="00920028" w:rsidP="00446A14">
            <w:pPr>
              <w:spacing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-1,6%</w:t>
            </w:r>
          </w:p>
        </w:tc>
        <w:tc>
          <w:tcPr>
            <w:tcW w:w="338" w:type="pct"/>
            <w:tcBorders>
              <w:top w:val="single" w:sz="8" w:space="0" w:color="8DB4E2"/>
              <w:left w:val="nil"/>
              <w:bottom w:val="single" w:sz="8" w:space="0" w:color="8DB4E2"/>
              <w:right w:val="single" w:sz="8" w:space="0" w:color="8DB4E2"/>
            </w:tcBorders>
            <w:shd w:val="clear" w:color="auto" w:fill="auto"/>
            <w:noWrap/>
            <w:vAlign w:val="center"/>
            <w:hideMark/>
          </w:tcPr>
          <w:p w14:paraId="7444C5D4" w14:textId="77777777" w:rsidR="00920028" w:rsidRPr="00087F48" w:rsidRDefault="00920028" w:rsidP="00446A14">
            <w:pPr>
              <w:spacing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-4,9%</w:t>
            </w:r>
          </w:p>
        </w:tc>
        <w:tc>
          <w:tcPr>
            <w:tcW w:w="86" w:type="pct"/>
            <w:tcBorders>
              <w:top w:val="single" w:sz="8" w:space="0" w:color="8DB4E2"/>
              <w:left w:val="nil"/>
              <w:bottom w:val="single" w:sz="8" w:space="0" w:color="8DB4E2"/>
              <w:right w:val="nil"/>
            </w:tcBorders>
          </w:tcPr>
          <w:p w14:paraId="5F3284CB" w14:textId="77777777" w:rsidR="00920028" w:rsidRPr="00087F48" w:rsidRDefault="00920028" w:rsidP="00446A14">
            <w:pPr>
              <w:spacing w:after="0" w:line="240" w:lineRule="auto"/>
              <w:jc w:val="right"/>
              <w:rPr>
                <w:rFonts w:ascii="Arial" w:hAnsi="Arial" w:cs="Arial"/>
                <w:b/>
                <w:bCs/>
                <w:color w:val="000000"/>
                <w:sz w:val="14"/>
                <w:szCs w:val="16"/>
                <w:lang w:eastAsia="pt-BR"/>
              </w:rPr>
            </w:pPr>
          </w:p>
        </w:tc>
        <w:tc>
          <w:tcPr>
            <w:tcW w:w="441" w:type="pct"/>
            <w:tcBorders>
              <w:top w:val="single" w:sz="8" w:space="0" w:color="8DB4E2"/>
              <w:left w:val="nil"/>
              <w:bottom w:val="single" w:sz="8" w:space="0" w:color="8DB4E2"/>
              <w:right w:val="nil"/>
            </w:tcBorders>
            <w:shd w:val="clear" w:color="auto" w:fill="auto"/>
            <w:noWrap/>
            <w:vAlign w:val="center"/>
            <w:hideMark/>
          </w:tcPr>
          <w:p w14:paraId="0D663B79" w14:textId="6BB378E9" w:rsidR="00920028" w:rsidRPr="00087F48" w:rsidRDefault="00920028" w:rsidP="00446A14">
            <w:pPr>
              <w:spacing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4.099.054</w:t>
            </w:r>
          </w:p>
        </w:tc>
        <w:tc>
          <w:tcPr>
            <w:tcW w:w="356" w:type="pct"/>
            <w:tcBorders>
              <w:top w:val="single" w:sz="8" w:space="0" w:color="8DB4E2"/>
              <w:left w:val="nil"/>
              <w:bottom w:val="single" w:sz="8" w:space="0" w:color="8DB4E2"/>
              <w:right w:val="nil"/>
            </w:tcBorders>
            <w:shd w:val="clear" w:color="auto" w:fill="auto"/>
            <w:noWrap/>
            <w:vAlign w:val="center"/>
            <w:hideMark/>
          </w:tcPr>
          <w:p w14:paraId="26044256" w14:textId="77777777" w:rsidR="00920028" w:rsidRPr="00087F48" w:rsidRDefault="00920028" w:rsidP="00446A14">
            <w:pPr>
              <w:spacing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100,0%</w:t>
            </w:r>
          </w:p>
        </w:tc>
      </w:tr>
    </w:tbl>
    <w:p w14:paraId="4AF5F6C2" w14:textId="77777777" w:rsidR="00920028" w:rsidRDefault="00920028" w:rsidP="00920028">
      <w:pPr>
        <w:rPr>
          <w:rFonts w:ascii="Calibri" w:eastAsia="Times New Roman" w:hAnsi="Calibri" w:cs="Times New Roman"/>
          <w:b/>
          <w:bCs/>
          <w:color w:val="002060"/>
          <w:kern w:val="0"/>
          <w14:ligatures w14:val="none"/>
        </w:rPr>
      </w:pPr>
    </w:p>
    <w:tbl>
      <w:tblPr>
        <w:tblW w:w="5000" w:type="pct"/>
        <w:tblCellMar>
          <w:left w:w="70" w:type="dxa"/>
          <w:right w:w="70" w:type="dxa"/>
        </w:tblCellMar>
        <w:tblLook w:val="04A0" w:firstRow="1" w:lastRow="0" w:firstColumn="1" w:lastColumn="0" w:noHBand="0" w:noVBand="1"/>
      </w:tblPr>
      <w:tblGrid>
        <w:gridCol w:w="3512"/>
        <w:gridCol w:w="1223"/>
        <w:gridCol w:w="1257"/>
        <w:gridCol w:w="1257"/>
        <w:gridCol w:w="1255"/>
      </w:tblGrid>
      <w:tr w:rsidR="00920028" w:rsidRPr="003E0246" w14:paraId="727A7A95" w14:textId="77777777" w:rsidTr="00446A14">
        <w:trPr>
          <w:trHeight w:val="238"/>
        </w:trPr>
        <w:tc>
          <w:tcPr>
            <w:tcW w:w="2065" w:type="pct"/>
            <w:tcBorders>
              <w:top w:val="single" w:sz="8" w:space="0" w:color="4472C4"/>
              <w:left w:val="nil"/>
              <w:bottom w:val="single" w:sz="8" w:space="0" w:color="4472C4"/>
              <w:right w:val="nil"/>
            </w:tcBorders>
            <w:shd w:val="clear" w:color="auto" w:fill="auto"/>
            <w:noWrap/>
            <w:vAlign w:val="center"/>
            <w:hideMark/>
          </w:tcPr>
          <w:p w14:paraId="7C279A09" w14:textId="77777777" w:rsidR="00920028" w:rsidRPr="003E0246" w:rsidRDefault="00920028" w:rsidP="00446A14">
            <w:pPr>
              <w:spacing w:after="0" w:line="240" w:lineRule="auto"/>
              <w:rPr>
                <w:rFonts w:ascii="Arial" w:hAnsi="Arial" w:cs="Arial"/>
                <w:b/>
                <w:bCs/>
                <w:color w:val="2F75B5"/>
                <w:sz w:val="18"/>
                <w:szCs w:val="18"/>
                <w:lang w:eastAsia="pt-BR"/>
              </w:rPr>
            </w:pPr>
            <w:r w:rsidRPr="003E0246">
              <w:rPr>
                <w:rFonts w:ascii="Arial" w:hAnsi="Arial" w:cs="Arial"/>
                <w:b/>
                <w:bCs/>
                <w:color w:val="2F75B5"/>
                <w:sz w:val="18"/>
                <w:szCs w:val="18"/>
                <w:lang w:eastAsia="pt-BR"/>
              </w:rPr>
              <w:t>Indicadores Financeiros</w:t>
            </w:r>
          </w:p>
        </w:tc>
        <w:tc>
          <w:tcPr>
            <w:tcW w:w="719" w:type="pct"/>
            <w:tcBorders>
              <w:top w:val="single" w:sz="8" w:space="0" w:color="4472C4"/>
              <w:left w:val="nil"/>
              <w:bottom w:val="single" w:sz="8" w:space="0" w:color="4472C4"/>
              <w:right w:val="nil"/>
            </w:tcBorders>
            <w:shd w:val="clear" w:color="auto" w:fill="auto"/>
            <w:vAlign w:val="center"/>
            <w:hideMark/>
          </w:tcPr>
          <w:p w14:paraId="164D5703" w14:textId="77777777" w:rsidR="00920028" w:rsidRPr="003E0246" w:rsidRDefault="00920028" w:rsidP="00446A14">
            <w:pPr>
              <w:spacing w:after="0" w:line="240" w:lineRule="auto"/>
              <w:jc w:val="center"/>
              <w:rPr>
                <w:rFonts w:ascii="Arial" w:hAnsi="Arial" w:cs="Arial"/>
                <w:b/>
                <w:color w:val="2F75B5"/>
                <w:sz w:val="18"/>
                <w:szCs w:val="18"/>
                <w:lang w:eastAsia="pt-BR"/>
              </w:rPr>
            </w:pPr>
            <w:r w:rsidRPr="003E0246">
              <w:rPr>
                <w:rFonts w:ascii="Arial" w:hAnsi="Arial" w:cs="Arial"/>
                <w:b/>
                <w:color w:val="2F75B5"/>
                <w:sz w:val="18"/>
                <w:szCs w:val="18"/>
                <w:lang w:eastAsia="pt-BR"/>
              </w:rPr>
              <w:t>Medida</w:t>
            </w:r>
          </w:p>
        </w:tc>
        <w:tc>
          <w:tcPr>
            <w:tcW w:w="739" w:type="pct"/>
            <w:tcBorders>
              <w:top w:val="single" w:sz="8" w:space="0" w:color="4472C4"/>
              <w:left w:val="nil"/>
              <w:bottom w:val="single" w:sz="8" w:space="0" w:color="4472C4"/>
              <w:right w:val="nil"/>
            </w:tcBorders>
            <w:shd w:val="clear" w:color="auto" w:fill="auto"/>
            <w:noWrap/>
            <w:vAlign w:val="center"/>
            <w:hideMark/>
          </w:tcPr>
          <w:p w14:paraId="300FDECA" w14:textId="77777777" w:rsidR="00920028" w:rsidRPr="003E0246" w:rsidRDefault="00920028" w:rsidP="00446A14">
            <w:pPr>
              <w:spacing w:after="0" w:line="240" w:lineRule="auto"/>
              <w:jc w:val="right"/>
              <w:rPr>
                <w:rFonts w:ascii="Arial" w:hAnsi="Arial" w:cs="Arial"/>
                <w:b/>
                <w:bCs/>
                <w:color w:val="2F75B5"/>
                <w:sz w:val="18"/>
                <w:szCs w:val="18"/>
                <w:lang w:eastAsia="pt-BR"/>
              </w:rPr>
            </w:pPr>
            <w:r w:rsidRPr="003E0246">
              <w:rPr>
                <w:rFonts w:ascii="Arial" w:hAnsi="Arial" w:cs="Arial"/>
                <w:b/>
                <w:bCs/>
                <w:color w:val="2F75B5"/>
                <w:sz w:val="18"/>
                <w:szCs w:val="18"/>
                <w:lang w:eastAsia="pt-BR"/>
              </w:rPr>
              <w:t>2023</w:t>
            </w:r>
          </w:p>
        </w:tc>
        <w:tc>
          <w:tcPr>
            <w:tcW w:w="739" w:type="pct"/>
            <w:tcBorders>
              <w:top w:val="single" w:sz="8" w:space="0" w:color="4472C4"/>
              <w:left w:val="nil"/>
              <w:bottom w:val="single" w:sz="8" w:space="0" w:color="4472C4"/>
              <w:right w:val="nil"/>
            </w:tcBorders>
            <w:shd w:val="clear" w:color="auto" w:fill="auto"/>
            <w:noWrap/>
            <w:vAlign w:val="center"/>
            <w:hideMark/>
          </w:tcPr>
          <w:p w14:paraId="6BE2B6E8" w14:textId="77777777" w:rsidR="00920028" w:rsidRPr="003E0246" w:rsidRDefault="00920028" w:rsidP="00446A14">
            <w:pPr>
              <w:spacing w:after="0" w:line="240" w:lineRule="auto"/>
              <w:jc w:val="right"/>
              <w:rPr>
                <w:rFonts w:ascii="Arial" w:hAnsi="Arial" w:cs="Arial"/>
                <w:b/>
                <w:bCs/>
                <w:color w:val="2F75B5"/>
                <w:sz w:val="18"/>
                <w:szCs w:val="18"/>
                <w:lang w:eastAsia="pt-BR"/>
              </w:rPr>
            </w:pPr>
            <w:r w:rsidRPr="003E0246">
              <w:rPr>
                <w:rFonts w:ascii="Arial" w:hAnsi="Arial" w:cs="Arial"/>
                <w:b/>
                <w:bCs/>
                <w:color w:val="2F75B5"/>
                <w:sz w:val="18"/>
                <w:szCs w:val="18"/>
                <w:lang w:eastAsia="pt-BR"/>
              </w:rPr>
              <w:t>2022</w:t>
            </w:r>
          </w:p>
        </w:tc>
        <w:tc>
          <w:tcPr>
            <w:tcW w:w="738" w:type="pct"/>
            <w:tcBorders>
              <w:top w:val="single" w:sz="8" w:space="0" w:color="4472C4"/>
              <w:left w:val="nil"/>
              <w:bottom w:val="single" w:sz="8" w:space="0" w:color="4472C4"/>
              <w:right w:val="nil"/>
            </w:tcBorders>
            <w:shd w:val="clear" w:color="auto" w:fill="auto"/>
            <w:noWrap/>
            <w:vAlign w:val="center"/>
            <w:hideMark/>
          </w:tcPr>
          <w:p w14:paraId="738FE614" w14:textId="77777777" w:rsidR="00920028" w:rsidRPr="003E0246" w:rsidRDefault="00920028" w:rsidP="00446A14">
            <w:pPr>
              <w:spacing w:after="0" w:line="240" w:lineRule="auto"/>
              <w:jc w:val="right"/>
              <w:rPr>
                <w:rFonts w:ascii="Arial" w:hAnsi="Arial" w:cs="Arial"/>
                <w:b/>
                <w:bCs/>
                <w:color w:val="2F75B5"/>
                <w:sz w:val="18"/>
                <w:szCs w:val="18"/>
                <w:lang w:eastAsia="pt-BR"/>
              </w:rPr>
            </w:pPr>
            <w:r w:rsidRPr="003E0246">
              <w:rPr>
                <w:rFonts w:ascii="Arial" w:hAnsi="Arial" w:cs="Arial"/>
                <w:b/>
                <w:bCs/>
                <w:color w:val="2F75B5"/>
                <w:sz w:val="18"/>
                <w:szCs w:val="18"/>
                <w:lang w:eastAsia="pt-BR"/>
              </w:rPr>
              <w:t>2021</w:t>
            </w:r>
          </w:p>
        </w:tc>
      </w:tr>
      <w:tr w:rsidR="00920028" w:rsidRPr="003E0246" w14:paraId="32AE4C51" w14:textId="77777777" w:rsidTr="00446A14">
        <w:trPr>
          <w:trHeight w:val="238"/>
        </w:trPr>
        <w:tc>
          <w:tcPr>
            <w:tcW w:w="2065" w:type="pct"/>
            <w:tcBorders>
              <w:top w:val="nil"/>
              <w:left w:val="nil"/>
              <w:bottom w:val="nil"/>
              <w:right w:val="nil"/>
            </w:tcBorders>
            <w:shd w:val="clear" w:color="auto" w:fill="auto"/>
            <w:noWrap/>
            <w:vAlign w:val="center"/>
            <w:hideMark/>
          </w:tcPr>
          <w:p w14:paraId="5FBDA6EE" w14:textId="77777777" w:rsidR="00920028" w:rsidRPr="003E0246" w:rsidRDefault="00920028" w:rsidP="00446A14">
            <w:pPr>
              <w:spacing w:after="0" w:line="240" w:lineRule="auto"/>
              <w:rPr>
                <w:rFonts w:ascii="Arial" w:hAnsi="Arial" w:cs="Arial"/>
                <w:color w:val="000000"/>
                <w:sz w:val="18"/>
                <w:szCs w:val="18"/>
                <w:lang w:eastAsia="pt-BR"/>
              </w:rPr>
            </w:pPr>
            <w:r w:rsidRPr="003E0246">
              <w:rPr>
                <w:rFonts w:ascii="Arial" w:hAnsi="Arial" w:cs="Arial"/>
                <w:color w:val="000000"/>
                <w:sz w:val="18"/>
                <w:szCs w:val="18"/>
                <w:lang w:eastAsia="pt-BR"/>
              </w:rPr>
              <w:t>Liquidez Corrente</w:t>
            </w:r>
          </w:p>
        </w:tc>
        <w:tc>
          <w:tcPr>
            <w:tcW w:w="719" w:type="pct"/>
            <w:tcBorders>
              <w:top w:val="nil"/>
              <w:left w:val="nil"/>
              <w:bottom w:val="nil"/>
              <w:right w:val="nil"/>
            </w:tcBorders>
            <w:shd w:val="clear" w:color="auto" w:fill="auto"/>
            <w:vAlign w:val="center"/>
            <w:hideMark/>
          </w:tcPr>
          <w:p w14:paraId="09B9DB98" w14:textId="77777777" w:rsidR="00920028" w:rsidRPr="003E0246" w:rsidRDefault="00920028" w:rsidP="00446A14">
            <w:pPr>
              <w:spacing w:after="0" w:line="240" w:lineRule="auto"/>
              <w:jc w:val="right"/>
              <w:rPr>
                <w:rFonts w:ascii="Arial" w:hAnsi="Arial" w:cs="Arial"/>
                <w:color w:val="000000"/>
                <w:sz w:val="18"/>
                <w:szCs w:val="18"/>
                <w:lang w:eastAsia="pt-BR"/>
              </w:rPr>
            </w:pPr>
            <w:r w:rsidRPr="003E0246">
              <w:rPr>
                <w:rFonts w:ascii="Arial" w:hAnsi="Arial" w:cs="Arial"/>
                <w:color w:val="000000"/>
                <w:sz w:val="18"/>
                <w:szCs w:val="18"/>
                <w:lang w:eastAsia="pt-BR"/>
              </w:rPr>
              <w:t>Índice</w:t>
            </w:r>
          </w:p>
        </w:tc>
        <w:tc>
          <w:tcPr>
            <w:tcW w:w="739" w:type="pct"/>
            <w:tcBorders>
              <w:top w:val="nil"/>
              <w:left w:val="nil"/>
              <w:bottom w:val="nil"/>
              <w:right w:val="nil"/>
            </w:tcBorders>
            <w:shd w:val="clear" w:color="auto" w:fill="auto"/>
            <w:noWrap/>
            <w:vAlign w:val="center"/>
            <w:hideMark/>
          </w:tcPr>
          <w:p w14:paraId="3A2A159C" w14:textId="77777777" w:rsidR="00920028" w:rsidRPr="003E0246" w:rsidRDefault="00920028" w:rsidP="00446A14">
            <w:pPr>
              <w:spacing w:after="0" w:line="240" w:lineRule="auto"/>
              <w:jc w:val="right"/>
              <w:rPr>
                <w:rFonts w:ascii="Arial" w:hAnsi="Arial" w:cs="Arial"/>
                <w:color w:val="000000"/>
                <w:sz w:val="18"/>
                <w:szCs w:val="18"/>
                <w:lang w:eastAsia="pt-BR"/>
              </w:rPr>
            </w:pPr>
            <w:r w:rsidRPr="003E0246">
              <w:rPr>
                <w:rFonts w:ascii="Arial" w:hAnsi="Arial" w:cs="Arial"/>
                <w:color w:val="000000"/>
                <w:sz w:val="18"/>
                <w:szCs w:val="18"/>
                <w:lang w:eastAsia="pt-BR"/>
              </w:rPr>
              <w:t>7,31</w:t>
            </w:r>
          </w:p>
        </w:tc>
        <w:tc>
          <w:tcPr>
            <w:tcW w:w="739" w:type="pct"/>
            <w:tcBorders>
              <w:top w:val="nil"/>
              <w:left w:val="nil"/>
              <w:bottom w:val="nil"/>
              <w:right w:val="nil"/>
            </w:tcBorders>
            <w:shd w:val="clear" w:color="auto" w:fill="auto"/>
            <w:noWrap/>
            <w:vAlign w:val="center"/>
            <w:hideMark/>
          </w:tcPr>
          <w:p w14:paraId="7B8BCEC5" w14:textId="77777777" w:rsidR="00920028" w:rsidRPr="003E0246" w:rsidRDefault="00920028" w:rsidP="00446A14">
            <w:pPr>
              <w:spacing w:after="0" w:line="240" w:lineRule="auto"/>
              <w:jc w:val="right"/>
              <w:rPr>
                <w:rFonts w:ascii="Arial" w:hAnsi="Arial" w:cs="Arial"/>
                <w:color w:val="000000"/>
                <w:sz w:val="18"/>
                <w:szCs w:val="18"/>
                <w:lang w:eastAsia="pt-BR"/>
              </w:rPr>
            </w:pPr>
            <w:r w:rsidRPr="003E0246">
              <w:rPr>
                <w:rFonts w:ascii="Arial" w:hAnsi="Arial" w:cs="Arial"/>
                <w:color w:val="000000"/>
                <w:sz w:val="18"/>
                <w:szCs w:val="18"/>
                <w:lang w:eastAsia="pt-BR"/>
              </w:rPr>
              <w:t>7,14</w:t>
            </w:r>
          </w:p>
        </w:tc>
        <w:tc>
          <w:tcPr>
            <w:tcW w:w="738" w:type="pct"/>
            <w:tcBorders>
              <w:top w:val="nil"/>
              <w:left w:val="nil"/>
              <w:bottom w:val="nil"/>
              <w:right w:val="nil"/>
            </w:tcBorders>
            <w:shd w:val="clear" w:color="auto" w:fill="auto"/>
            <w:noWrap/>
            <w:vAlign w:val="center"/>
            <w:hideMark/>
          </w:tcPr>
          <w:p w14:paraId="3D88583F" w14:textId="77777777" w:rsidR="00920028" w:rsidRPr="003E0246" w:rsidRDefault="00920028" w:rsidP="00446A14">
            <w:pPr>
              <w:spacing w:after="0" w:line="240" w:lineRule="auto"/>
              <w:jc w:val="right"/>
              <w:rPr>
                <w:rFonts w:ascii="Arial" w:hAnsi="Arial" w:cs="Arial"/>
                <w:color w:val="000000"/>
                <w:sz w:val="18"/>
                <w:szCs w:val="18"/>
                <w:lang w:eastAsia="pt-BR"/>
              </w:rPr>
            </w:pPr>
            <w:r w:rsidRPr="003E0246">
              <w:rPr>
                <w:rFonts w:ascii="Arial" w:hAnsi="Arial" w:cs="Arial"/>
                <w:color w:val="000000"/>
                <w:sz w:val="18"/>
                <w:szCs w:val="18"/>
                <w:lang w:eastAsia="pt-BR"/>
              </w:rPr>
              <w:t>8,42</w:t>
            </w:r>
          </w:p>
        </w:tc>
      </w:tr>
      <w:tr w:rsidR="00920028" w:rsidRPr="003E0246" w14:paraId="2210C02F" w14:textId="77777777" w:rsidTr="00446A14">
        <w:trPr>
          <w:trHeight w:val="238"/>
        </w:trPr>
        <w:tc>
          <w:tcPr>
            <w:tcW w:w="2065" w:type="pct"/>
            <w:tcBorders>
              <w:top w:val="nil"/>
              <w:left w:val="nil"/>
              <w:bottom w:val="nil"/>
              <w:right w:val="nil"/>
            </w:tcBorders>
            <w:shd w:val="clear" w:color="auto" w:fill="auto"/>
            <w:noWrap/>
            <w:vAlign w:val="center"/>
            <w:hideMark/>
          </w:tcPr>
          <w:p w14:paraId="63B29AB0" w14:textId="77777777" w:rsidR="00920028" w:rsidRPr="003E0246" w:rsidRDefault="00920028" w:rsidP="00446A14">
            <w:pPr>
              <w:spacing w:after="0" w:line="240" w:lineRule="auto"/>
              <w:rPr>
                <w:rFonts w:ascii="Arial" w:hAnsi="Arial" w:cs="Arial"/>
                <w:color w:val="000000"/>
                <w:sz w:val="18"/>
                <w:szCs w:val="18"/>
                <w:lang w:eastAsia="pt-BR"/>
              </w:rPr>
            </w:pPr>
            <w:r w:rsidRPr="003E0246">
              <w:rPr>
                <w:rFonts w:ascii="Arial" w:hAnsi="Arial" w:cs="Arial"/>
                <w:color w:val="000000"/>
                <w:sz w:val="18"/>
                <w:szCs w:val="18"/>
                <w:lang w:eastAsia="pt-BR"/>
              </w:rPr>
              <w:t xml:space="preserve">Liquidez Geral </w:t>
            </w:r>
          </w:p>
        </w:tc>
        <w:tc>
          <w:tcPr>
            <w:tcW w:w="719" w:type="pct"/>
            <w:tcBorders>
              <w:top w:val="nil"/>
              <w:left w:val="nil"/>
              <w:bottom w:val="nil"/>
              <w:right w:val="nil"/>
            </w:tcBorders>
            <w:shd w:val="clear" w:color="auto" w:fill="auto"/>
            <w:vAlign w:val="center"/>
            <w:hideMark/>
          </w:tcPr>
          <w:p w14:paraId="55E534EB" w14:textId="77777777" w:rsidR="00920028" w:rsidRPr="003E0246" w:rsidRDefault="00920028" w:rsidP="00446A14">
            <w:pPr>
              <w:spacing w:after="0" w:line="240" w:lineRule="auto"/>
              <w:jc w:val="right"/>
              <w:rPr>
                <w:rFonts w:ascii="Arial" w:hAnsi="Arial" w:cs="Arial"/>
                <w:color w:val="000000"/>
                <w:sz w:val="18"/>
                <w:szCs w:val="18"/>
                <w:lang w:eastAsia="pt-BR"/>
              </w:rPr>
            </w:pPr>
            <w:r w:rsidRPr="003E0246">
              <w:rPr>
                <w:rFonts w:ascii="Arial" w:hAnsi="Arial" w:cs="Arial"/>
                <w:color w:val="000000"/>
                <w:sz w:val="18"/>
                <w:szCs w:val="18"/>
                <w:lang w:eastAsia="pt-BR"/>
              </w:rPr>
              <w:t>Índice</w:t>
            </w:r>
          </w:p>
        </w:tc>
        <w:tc>
          <w:tcPr>
            <w:tcW w:w="739" w:type="pct"/>
            <w:tcBorders>
              <w:top w:val="nil"/>
              <w:left w:val="nil"/>
              <w:bottom w:val="nil"/>
              <w:right w:val="nil"/>
            </w:tcBorders>
            <w:shd w:val="clear" w:color="auto" w:fill="auto"/>
            <w:noWrap/>
            <w:vAlign w:val="center"/>
            <w:hideMark/>
          </w:tcPr>
          <w:p w14:paraId="552BF330" w14:textId="77777777" w:rsidR="00920028" w:rsidRPr="003E0246" w:rsidRDefault="00920028" w:rsidP="00446A14">
            <w:pPr>
              <w:spacing w:after="0" w:line="240" w:lineRule="auto"/>
              <w:jc w:val="right"/>
              <w:rPr>
                <w:rFonts w:ascii="Arial" w:hAnsi="Arial" w:cs="Arial"/>
                <w:color w:val="000000"/>
                <w:sz w:val="18"/>
                <w:szCs w:val="18"/>
                <w:lang w:eastAsia="pt-BR"/>
              </w:rPr>
            </w:pPr>
            <w:r w:rsidRPr="003E0246">
              <w:rPr>
                <w:rFonts w:ascii="Arial" w:hAnsi="Arial" w:cs="Arial"/>
                <w:color w:val="000000"/>
                <w:sz w:val="18"/>
                <w:szCs w:val="18"/>
                <w:lang w:eastAsia="pt-BR"/>
              </w:rPr>
              <w:t>3,84</w:t>
            </w:r>
          </w:p>
        </w:tc>
        <w:tc>
          <w:tcPr>
            <w:tcW w:w="739" w:type="pct"/>
            <w:tcBorders>
              <w:top w:val="nil"/>
              <w:left w:val="nil"/>
              <w:bottom w:val="nil"/>
              <w:right w:val="nil"/>
            </w:tcBorders>
            <w:shd w:val="clear" w:color="auto" w:fill="auto"/>
            <w:noWrap/>
            <w:vAlign w:val="center"/>
            <w:hideMark/>
          </w:tcPr>
          <w:p w14:paraId="121D4DC9" w14:textId="77777777" w:rsidR="00920028" w:rsidRPr="003E0246" w:rsidRDefault="00920028" w:rsidP="00446A14">
            <w:pPr>
              <w:spacing w:after="0" w:line="240" w:lineRule="auto"/>
              <w:jc w:val="right"/>
              <w:rPr>
                <w:rFonts w:ascii="Arial" w:hAnsi="Arial" w:cs="Arial"/>
                <w:color w:val="000000"/>
                <w:sz w:val="18"/>
                <w:szCs w:val="18"/>
                <w:lang w:eastAsia="pt-BR"/>
              </w:rPr>
            </w:pPr>
            <w:r w:rsidRPr="003E0246">
              <w:rPr>
                <w:rFonts w:ascii="Arial" w:hAnsi="Arial" w:cs="Arial"/>
                <w:color w:val="000000"/>
                <w:sz w:val="18"/>
                <w:szCs w:val="18"/>
                <w:lang w:eastAsia="pt-BR"/>
              </w:rPr>
              <w:t>3,195</w:t>
            </w:r>
          </w:p>
        </w:tc>
        <w:tc>
          <w:tcPr>
            <w:tcW w:w="738" w:type="pct"/>
            <w:tcBorders>
              <w:top w:val="nil"/>
              <w:left w:val="nil"/>
              <w:bottom w:val="nil"/>
              <w:right w:val="nil"/>
            </w:tcBorders>
            <w:shd w:val="clear" w:color="auto" w:fill="auto"/>
            <w:noWrap/>
            <w:vAlign w:val="center"/>
            <w:hideMark/>
          </w:tcPr>
          <w:p w14:paraId="093DC73A" w14:textId="77777777" w:rsidR="00920028" w:rsidRPr="003E0246" w:rsidRDefault="00920028" w:rsidP="00446A14">
            <w:pPr>
              <w:spacing w:after="0" w:line="240" w:lineRule="auto"/>
              <w:jc w:val="right"/>
              <w:rPr>
                <w:rFonts w:ascii="Arial" w:hAnsi="Arial" w:cs="Arial"/>
                <w:color w:val="000000"/>
                <w:sz w:val="18"/>
                <w:szCs w:val="18"/>
                <w:lang w:eastAsia="pt-BR"/>
              </w:rPr>
            </w:pPr>
            <w:r w:rsidRPr="003E0246">
              <w:rPr>
                <w:rFonts w:ascii="Arial" w:hAnsi="Arial" w:cs="Arial"/>
                <w:color w:val="000000"/>
                <w:sz w:val="18"/>
                <w:szCs w:val="18"/>
                <w:lang w:eastAsia="pt-BR"/>
              </w:rPr>
              <w:t>2,87</w:t>
            </w:r>
          </w:p>
        </w:tc>
      </w:tr>
      <w:tr w:rsidR="00920028" w:rsidRPr="003E0246" w14:paraId="111CDF6A" w14:textId="77777777" w:rsidTr="00446A14">
        <w:trPr>
          <w:trHeight w:val="238"/>
        </w:trPr>
        <w:tc>
          <w:tcPr>
            <w:tcW w:w="2065" w:type="pct"/>
            <w:tcBorders>
              <w:top w:val="nil"/>
              <w:left w:val="nil"/>
              <w:bottom w:val="nil"/>
              <w:right w:val="nil"/>
            </w:tcBorders>
            <w:shd w:val="clear" w:color="auto" w:fill="auto"/>
            <w:noWrap/>
            <w:vAlign w:val="center"/>
            <w:hideMark/>
          </w:tcPr>
          <w:p w14:paraId="77A982D1" w14:textId="77777777" w:rsidR="00920028" w:rsidRPr="003E0246" w:rsidRDefault="00920028" w:rsidP="00446A14">
            <w:pPr>
              <w:spacing w:after="0" w:line="240" w:lineRule="auto"/>
              <w:rPr>
                <w:rFonts w:ascii="Arial" w:hAnsi="Arial" w:cs="Arial"/>
                <w:color w:val="000000"/>
                <w:sz w:val="18"/>
                <w:szCs w:val="18"/>
                <w:lang w:eastAsia="pt-BR"/>
              </w:rPr>
            </w:pPr>
            <w:r w:rsidRPr="003E0246">
              <w:rPr>
                <w:rFonts w:ascii="Arial" w:hAnsi="Arial" w:cs="Arial"/>
                <w:color w:val="000000"/>
                <w:sz w:val="18"/>
                <w:szCs w:val="18"/>
                <w:lang w:eastAsia="pt-BR"/>
              </w:rPr>
              <w:t>Composição do Endividamento</w:t>
            </w:r>
          </w:p>
        </w:tc>
        <w:tc>
          <w:tcPr>
            <w:tcW w:w="719" w:type="pct"/>
            <w:tcBorders>
              <w:top w:val="nil"/>
              <w:left w:val="nil"/>
              <w:bottom w:val="nil"/>
              <w:right w:val="nil"/>
            </w:tcBorders>
            <w:shd w:val="clear" w:color="auto" w:fill="auto"/>
            <w:vAlign w:val="center"/>
            <w:hideMark/>
          </w:tcPr>
          <w:p w14:paraId="3D0C9186" w14:textId="77777777" w:rsidR="00920028" w:rsidRPr="003E0246" w:rsidRDefault="00920028" w:rsidP="00446A14">
            <w:pPr>
              <w:spacing w:after="0" w:line="240" w:lineRule="auto"/>
              <w:jc w:val="right"/>
              <w:rPr>
                <w:rFonts w:ascii="Arial" w:hAnsi="Arial" w:cs="Arial"/>
                <w:color w:val="000000"/>
                <w:sz w:val="18"/>
                <w:szCs w:val="18"/>
                <w:lang w:eastAsia="pt-BR"/>
              </w:rPr>
            </w:pPr>
            <w:r w:rsidRPr="003E0246">
              <w:rPr>
                <w:rFonts w:ascii="Arial" w:hAnsi="Arial" w:cs="Arial"/>
                <w:color w:val="000000"/>
                <w:sz w:val="18"/>
                <w:szCs w:val="18"/>
                <w:lang w:eastAsia="pt-BR"/>
              </w:rPr>
              <w:t>%</w:t>
            </w:r>
          </w:p>
        </w:tc>
        <w:tc>
          <w:tcPr>
            <w:tcW w:w="739" w:type="pct"/>
            <w:tcBorders>
              <w:top w:val="nil"/>
              <w:left w:val="nil"/>
              <w:bottom w:val="nil"/>
              <w:right w:val="nil"/>
            </w:tcBorders>
            <w:shd w:val="clear" w:color="auto" w:fill="auto"/>
            <w:noWrap/>
            <w:vAlign w:val="center"/>
            <w:hideMark/>
          </w:tcPr>
          <w:p w14:paraId="2637966D" w14:textId="77777777" w:rsidR="00920028" w:rsidRPr="003E0246" w:rsidRDefault="00920028" w:rsidP="00446A14">
            <w:pPr>
              <w:spacing w:after="0" w:line="240" w:lineRule="auto"/>
              <w:jc w:val="right"/>
              <w:rPr>
                <w:rFonts w:ascii="Arial" w:hAnsi="Arial" w:cs="Arial"/>
                <w:color w:val="000000"/>
                <w:sz w:val="18"/>
                <w:szCs w:val="18"/>
                <w:lang w:eastAsia="pt-BR"/>
              </w:rPr>
            </w:pPr>
            <w:r w:rsidRPr="003E0246">
              <w:rPr>
                <w:rFonts w:ascii="Arial" w:hAnsi="Arial" w:cs="Arial"/>
                <w:color w:val="000000"/>
                <w:sz w:val="18"/>
                <w:szCs w:val="18"/>
                <w:lang w:eastAsia="pt-BR"/>
              </w:rPr>
              <w:t>46,88%</w:t>
            </w:r>
          </w:p>
        </w:tc>
        <w:tc>
          <w:tcPr>
            <w:tcW w:w="739" w:type="pct"/>
            <w:tcBorders>
              <w:top w:val="nil"/>
              <w:left w:val="nil"/>
              <w:bottom w:val="nil"/>
              <w:right w:val="nil"/>
            </w:tcBorders>
            <w:shd w:val="clear" w:color="auto" w:fill="auto"/>
            <w:noWrap/>
            <w:vAlign w:val="center"/>
            <w:hideMark/>
          </w:tcPr>
          <w:p w14:paraId="3D9297C8" w14:textId="77777777" w:rsidR="00920028" w:rsidRPr="003E0246" w:rsidRDefault="00920028" w:rsidP="00446A14">
            <w:pPr>
              <w:spacing w:after="0" w:line="240" w:lineRule="auto"/>
              <w:jc w:val="right"/>
              <w:rPr>
                <w:rFonts w:ascii="Arial" w:hAnsi="Arial" w:cs="Arial"/>
                <w:color w:val="000000"/>
                <w:sz w:val="18"/>
                <w:szCs w:val="18"/>
                <w:lang w:eastAsia="pt-BR"/>
              </w:rPr>
            </w:pPr>
            <w:r w:rsidRPr="003E0246">
              <w:rPr>
                <w:rFonts w:ascii="Arial" w:hAnsi="Arial" w:cs="Arial"/>
                <w:color w:val="000000"/>
                <w:sz w:val="18"/>
                <w:szCs w:val="18"/>
                <w:lang w:eastAsia="pt-BR"/>
              </w:rPr>
              <w:t>40,21%</w:t>
            </w:r>
          </w:p>
        </w:tc>
        <w:tc>
          <w:tcPr>
            <w:tcW w:w="738" w:type="pct"/>
            <w:tcBorders>
              <w:top w:val="nil"/>
              <w:left w:val="nil"/>
              <w:bottom w:val="nil"/>
              <w:right w:val="nil"/>
            </w:tcBorders>
            <w:shd w:val="clear" w:color="auto" w:fill="auto"/>
            <w:noWrap/>
            <w:vAlign w:val="center"/>
            <w:hideMark/>
          </w:tcPr>
          <w:p w14:paraId="3BD5B8BC" w14:textId="77777777" w:rsidR="00920028" w:rsidRPr="003E0246" w:rsidRDefault="00920028" w:rsidP="00446A14">
            <w:pPr>
              <w:spacing w:after="0" w:line="240" w:lineRule="auto"/>
              <w:jc w:val="right"/>
              <w:rPr>
                <w:rFonts w:ascii="Arial" w:hAnsi="Arial" w:cs="Arial"/>
                <w:color w:val="000000"/>
                <w:sz w:val="18"/>
                <w:szCs w:val="18"/>
                <w:lang w:eastAsia="pt-BR"/>
              </w:rPr>
            </w:pPr>
            <w:r w:rsidRPr="003E0246">
              <w:rPr>
                <w:rFonts w:ascii="Arial" w:hAnsi="Arial" w:cs="Arial"/>
                <w:color w:val="000000"/>
                <w:sz w:val="18"/>
                <w:szCs w:val="18"/>
                <w:lang w:eastAsia="pt-BR"/>
              </w:rPr>
              <w:t>30,96%</w:t>
            </w:r>
          </w:p>
        </w:tc>
      </w:tr>
      <w:tr w:rsidR="00920028" w:rsidRPr="003E0246" w14:paraId="44B0EC4A" w14:textId="77777777" w:rsidTr="00446A14">
        <w:trPr>
          <w:trHeight w:val="238"/>
        </w:trPr>
        <w:tc>
          <w:tcPr>
            <w:tcW w:w="2065" w:type="pct"/>
            <w:tcBorders>
              <w:top w:val="nil"/>
              <w:left w:val="nil"/>
              <w:bottom w:val="nil"/>
              <w:right w:val="nil"/>
            </w:tcBorders>
            <w:shd w:val="clear" w:color="auto" w:fill="auto"/>
            <w:noWrap/>
            <w:vAlign w:val="center"/>
            <w:hideMark/>
          </w:tcPr>
          <w:p w14:paraId="1BB39431" w14:textId="77777777" w:rsidR="00920028" w:rsidRPr="003E0246" w:rsidRDefault="00920028" w:rsidP="00446A14">
            <w:pPr>
              <w:spacing w:after="0" w:line="240" w:lineRule="auto"/>
              <w:rPr>
                <w:rFonts w:ascii="Arial" w:hAnsi="Arial" w:cs="Arial"/>
                <w:color w:val="000000"/>
                <w:sz w:val="18"/>
                <w:szCs w:val="18"/>
                <w:lang w:eastAsia="pt-BR"/>
              </w:rPr>
            </w:pPr>
            <w:r w:rsidRPr="003E0246">
              <w:rPr>
                <w:rFonts w:ascii="Arial" w:hAnsi="Arial" w:cs="Arial"/>
                <w:color w:val="000000"/>
                <w:sz w:val="18"/>
                <w:szCs w:val="18"/>
                <w:lang w:eastAsia="pt-BR"/>
              </w:rPr>
              <w:t>Grau de Endividamento</w:t>
            </w:r>
          </w:p>
        </w:tc>
        <w:tc>
          <w:tcPr>
            <w:tcW w:w="719" w:type="pct"/>
            <w:tcBorders>
              <w:top w:val="nil"/>
              <w:left w:val="nil"/>
              <w:bottom w:val="nil"/>
              <w:right w:val="nil"/>
            </w:tcBorders>
            <w:shd w:val="clear" w:color="auto" w:fill="auto"/>
            <w:vAlign w:val="center"/>
            <w:hideMark/>
          </w:tcPr>
          <w:p w14:paraId="5348D57F" w14:textId="77777777" w:rsidR="00920028" w:rsidRPr="003E0246" w:rsidRDefault="00920028" w:rsidP="00446A14">
            <w:pPr>
              <w:spacing w:after="0" w:line="240" w:lineRule="auto"/>
              <w:jc w:val="right"/>
              <w:rPr>
                <w:rFonts w:ascii="Arial" w:hAnsi="Arial" w:cs="Arial"/>
                <w:color w:val="000000"/>
                <w:sz w:val="18"/>
                <w:szCs w:val="18"/>
                <w:lang w:eastAsia="pt-BR"/>
              </w:rPr>
            </w:pPr>
            <w:r w:rsidRPr="003E0246">
              <w:rPr>
                <w:rFonts w:ascii="Arial" w:hAnsi="Arial" w:cs="Arial"/>
                <w:color w:val="000000"/>
                <w:sz w:val="18"/>
                <w:szCs w:val="18"/>
                <w:lang w:eastAsia="pt-BR"/>
              </w:rPr>
              <w:t>%</w:t>
            </w:r>
          </w:p>
        </w:tc>
        <w:tc>
          <w:tcPr>
            <w:tcW w:w="739" w:type="pct"/>
            <w:tcBorders>
              <w:top w:val="nil"/>
              <w:left w:val="nil"/>
              <w:bottom w:val="nil"/>
              <w:right w:val="nil"/>
            </w:tcBorders>
            <w:shd w:val="clear" w:color="auto" w:fill="auto"/>
            <w:noWrap/>
            <w:vAlign w:val="center"/>
            <w:hideMark/>
          </w:tcPr>
          <w:p w14:paraId="2C333DBB" w14:textId="77777777" w:rsidR="00920028" w:rsidRPr="003E0246" w:rsidRDefault="00920028" w:rsidP="00446A14">
            <w:pPr>
              <w:spacing w:after="0" w:line="240" w:lineRule="auto"/>
              <w:jc w:val="right"/>
              <w:rPr>
                <w:rFonts w:ascii="Arial" w:hAnsi="Arial" w:cs="Arial"/>
                <w:color w:val="000000"/>
                <w:sz w:val="18"/>
                <w:szCs w:val="18"/>
                <w:lang w:eastAsia="pt-BR"/>
              </w:rPr>
            </w:pPr>
            <w:r w:rsidRPr="003E0246">
              <w:rPr>
                <w:rFonts w:ascii="Arial" w:hAnsi="Arial" w:cs="Arial"/>
                <w:color w:val="000000"/>
                <w:sz w:val="18"/>
                <w:szCs w:val="18"/>
                <w:lang w:eastAsia="pt-BR"/>
              </w:rPr>
              <w:t>11,61%</w:t>
            </w:r>
          </w:p>
        </w:tc>
        <w:tc>
          <w:tcPr>
            <w:tcW w:w="739" w:type="pct"/>
            <w:tcBorders>
              <w:top w:val="nil"/>
              <w:left w:val="nil"/>
              <w:bottom w:val="nil"/>
              <w:right w:val="nil"/>
            </w:tcBorders>
            <w:shd w:val="clear" w:color="auto" w:fill="auto"/>
            <w:noWrap/>
            <w:vAlign w:val="center"/>
            <w:hideMark/>
          </w:tcPr>
          <w:p w14:paraId="44D40B8C" w14:textId="77777777" w:rsidR="00920028" w:rsidRPr="003E0246" w:rsidRDefault="00920028" w:rsidP="00446A14">
            <w:pPr>
              <w:spacing w:after="0" w:line="240" w:lineRule="auto"/>
              <w:jc w:val="right"/>
              <w:rPr>
                <w:rFonts w:ascii="Arial" w:hAnsi="Arial" w:cs="Arial"/>
                <w:color w:val="000000"/>
                <w:sz w:val="18"/>
                <w:szCs w:val="18"/>
                <w:lang w:eastAsia="pt-BR"/>
              </w:rPr>
            </w:pPr>
            <w:r w:rsidRPr="003E0246">
              <w:rPr>
                <w:rFonts w:ascii="Arial" w:hAnsi="Arial" w:cs="Arial"/>
                <w:color w:val="000000"/>
                <w:sz w:val="18"/>
                <w:szCs w:val="18"/>
                <w:lang w:eastAsia="pt-BR"/>
              </w:rPr>
              <w:t>13,04%</w:t>
            </w:r>
          </w:p>
        </w:tc>
        <w:tc>
          <w:tcPr>
            <w:tcW w:w="738" w:type="pct"/>
            <w:tcBorders>
              <w:top w:val="nil"/>
              <w:left w:val="nil"/>
              <w:bottom w:val="nil"/>
              <w:right w:val="nil"/>
            </w:tcBorders>
            <w:shd w:val="clear" w:color="auto" w:fill="auto"/>
            <w:noWrap/>
            <w:vAlign w:val="center"/>
            <w:hideMark/>
          </w:tcPr>
          <w:p w14:paraId="15CBC0D2" w14:textId="77777777" w:rsidR="00920028" w:rsidRPr="003E0246" w:rsidRDefault="00920028" w:rsidP="00446A14">
            <w:pPr>
              <w:spacing w:after="0" w:line="240" w:lineRule="auto"/>
              <w:jc w:val="right"/>
              <w:rPr>
                <w:rFonts w:ascii="Arial" w:hAnsi="Arial" w:cs="Arial"/>
                <w:color w:val="000000"/>
                <w:sz w:val="18"/>
                <w:szCs w:val="18"/>
                <w:lang w:eastAsia="pt-BR"/>
              </w:rPr>
            </w:pPr>
            <w:r w:rsidRPr="003E0246">
              <w:rPr>
                <w:rFonts w:ascii="Arial" w:hAnsi="Arial" w:cs="Arial"/>
                <w:color w:val="000000"/>
                <w:sz w:val="18"/>
                <w:szCs w:val="18"/>
                <w:lang w:eastAsia="pt-BR"/>
              </w:rPr>
              <w:t>13,46%</w:t>
            </w:r>
          </w:p>
        </w:tc>
      </w:tr>
      <w:tr w:rsidR="00920028" w:rsidRPr="003E0246" w14:paraId="2B144F36" w14:textId="77777777" w:rsidTr="00446A14">
        <w:trPr>
          <w:trHeight w:val="238"/>
        </w:trPr>
        <w:tc>
          <w:tcPr>
            <w:tcW w:w="2065" w:type="pct"/>
            <w:tcBorders>
              <w:top w:val="nil"/>
              <w:left w:val="nil"/>
              <w:bottom w:val="single" w:sz="8" w:space="0" w:color="4472C4"/>
              <w:right w:val="nil"/>
            </w:tcBorders>
            <w:shd w:val="clear" w:color="auto" w:fill="auto"/>
            <w:noWrap/>
            <w:vAlign w:val="center"/>
            <w:hideMark/>
          </w:tcPr>
          <w:p w14:paraId="5265AEF8" w14:textId="77777777" w:rsidR="00920028" w:rsidRPr="003E0246" w:rsidRDefault="00920028" w:rsidP="00446A14">
            <w:pPr>
              <w:spacing w:after="0" w:line="240" w:lineRule="auto"/>
              <w:rPr>
                <w:rFonts w:ascii="Arial" w:hAnsi="Arial" w:cs="Arial"/>
                <w:color w:val="000000"/>
                <w:sz w:val="18"/>
                <w:szCs w:val="18"/>
                <w:lang w:eastAsia="pt-BR"/>
              </w:rPr>
            </w:pPr>
            <w:r w:rsidRPr="003E0246">
              <w:rPr>
                <w:rFonts w:ascii="Arial" w:hAnsi="Arial" w:cs="Arial"/>
                <w:color w:val="000000"/>
                <w:sz w:val="18"/>
                <w:szCs w:val="18"/>
                <w:lang w:eastAsia="pt-BR"/>
              </w:rPr>
              <w:t>Participação de Capital de Terceiros</w:t>
            </w:r>
          </w:p>
        </w:tc>
        <w:tc>
          <w:tcPr>
            <w:tcW w:w="719" w:type="pct"/>
            <w:tcBorders>
              <w:top w:val="nil"/>
              <w:left w:val="nil"/>
              <w:bottom w:val="single" w:sz="8" w:space="0" w:color="4472C4"/>
              <w:right w:val="nil"/>
            </w:tcBorders>
            <w:shd w:val="clear" w:color="auto" w:fill="auto"/>
            <w:vAlign w:val="center"/>
            <w:hideMark/>
          </w:tcPr>
          <w:p w14:paraId="21F64300" w14:textId="77777777" w:rsidR="00920028" w:rsidRPr="003E0246" w:rsidRDefault="00920028" w:rsidP="00446A14">
            <w:pPr>
              <w:spacing w:after="0" w:line="240" w:lineRule="auto"/>
              <w:jc w:val="right"/>
              <w:rPr>
                <w:rFonts w:ascii="Arial" w:hAnsi="Arial" w:cs="Arial"/>
                <w:color w:val="000000"/>
                <w:sz w:val="18"/>
                <w:szCs w:val="18"/>
                <w:lang w:eastAsia="pt-BR"/>
              </w:rPr>
            </w:pPr>
            <w:r w:rsidRPr="003E0246">
              <w:rPr>
                <w:rFonts w:ascii="Arial" w:hAnsi="Arial" w:cs="Arial"/>
                <w:color w:val="000000"/>
                <w:sz w:val="18"/>
                <w:szCs w:val="18"/>
                <w:lang w:eastAsia="pt-BR"/>
              </w:rPr>
              <w:t>%</w:t>
            </w:r>
          </w:p>
        </w:tc>
        <w:tc>
          <w:tcPr>
            <w:tcW w:w="739" w:type="pct"/>
            <w:tcBorders>
              <w:top w:val="nil"/>
              <w:left w:val="nil"/>
              <w:bottom w:val="single" w:sz="8" w:space="0" w:color="4472C4"/>
              <w:right w:val="nil"/>
            </w:tcBorders>
            <w:shd w:val="clear" w:color="auto" w:fill="auto"/>
            <w:noWrap/>
            <w:vAlign w:val="center"/>
            <w:hideMark/>
          </w:tcPr>
          <w:p w14:paraId="7F7527D8" w14:textId="77777777" w:rsidR="00920028" w:rsidRPr="003E0246" w:rsidRDefault="00920028" w:rsidP="00446A14">
            <w:pPr>
              <w:spacing w:after="0" w:line="240" w:lineRule="auto"/>
              <w:jc w:val="right"/>
              <w:rPr>
                <w:rFonts w:ascii="Arial" w:hAnsi="Arial" w:cs="Arial"/>
                <w:color w:val="000000"/>
                <w:sz w:val="18"/>
                <w:szCs w:val="18"/>
                <w:lang w:eastAsia="pt-BR"/>
              </w:rPr>
            </w:pPr>
            <w:r w:rsidRPr="003E0246">
              <w:rPr>
                <w:rFonts w:ascii="Arial" w:hAnsi="Arial" w:cs="Arial"/>
                <w:color w:val="000000"/>
                <w:sz w:val="18"/>
                <w:szCs w:val="18"/>
                <w:lang w:eastAsia="pt-BR"/>
              </w:rPr>
              <w:t>13,15%</w:t>
            </w:r>
          </w:p>
        </w:tc>
        <w:tc>
          <w:tcPr>
            <w:tcW w:w="739" w:type="pct"/>
            <w:tcBorders>
              <w:top w:val="nil"/>
              <w:left w:val="nil"/>
              <w:bottom w:val="single" w:sz="8" w:space="0" w:color="4472C4"/>
              <w:right w:val="nil"/>
            </w:tcBorders>
            <w:shd w:val="clear" w:color="auto" w:fill="auto"/>
            <w:noWrap/>
            <w:vAlign w:val="center"/>
            <w:hideMark/>
          </w:tcPr>
          <w:p w14:paraId="4C86894C" w14:textId="77777777" w:rsidR="00920028" w:rsidRPr="003E0246" w:rsidRDefault="00920028" w:rsidP="00446A14">
            <w:pPr>
              <w:spacing w:after="0" w:line="240" w:lineRule="auto"/>
              <w:jc w:val="right"/>
              <w:rPr>
                <w:rFonts w:ascii="Arial" w:hAnsi="Arial" w:cs="Arial"/>
                <w:color w:val="000000"/>
                <w:sz w:val="18"/>
                <w:szCs w:val="18"/>
                <w:lang w:eastAsia="pt-BR"/>
              </w:rPr>
            </w:pPr>
            <w:r w:rsidRPr="003E0246">
              <w:rPr>
                <w:rFonts w:ascii="Arial" w:hAnsi="Arial" w:cs="Arial"/>
                <w:color w:val="000000"/>
                <w:sz w:val="18"/>
                <w:szCs w:val="18"/>
                <w:lang w:eastAsia="pt-BR"/>
              </w:rPr>
              <w:t>15,00%</w:t>
            </w:r>
          </w:p>
        </w:tc>
        <w:tc>
          <w:tcPr>
            <w:tcW w:w="738" w:type="pct"/>
            <w:tcBorders>
              <w:top w:val="nil"/>
              <w:left w:val="nil"/>
              <w:bottom w:val="single" w:sz="8" w:space="0" w:color="4472C4"/>
              <w:right w:val="nil"/>
            </w:tcBorders>
            <w:shd w:val="clear" w:color="auto" w:fill="auto"/>
            <w:noWrap/>
            <w:vAlign w:val="center"/>
            <w:hideMark/>
          </w:tcPr>
          <w:p w14:paraId="604DFDF3" w14:textId="77777777" w:rsidR="00920028" w:rsidRPr="003E0246" w:rsidRDefault="00920028" w:rsidP="00446A14">
            <w:pPr>
              <w:spacing w:after="0" w:line="240" w:lineRule="auto"/>
              <w:jc w:val="right"/>
              <w:rPr>
                <w:rFonts w:ascii="Arial" w:hAnsi="Arial" w:cs="Arial"/>
                <w:color w:val="000000"/>
                <w:sz w:val="18"/>
                <w:szCs w:val="18"/>
                <w:lang w:eastAsia="pt-BR"/>
              </w:rPr>
            </w:pPr>
            <w:r w:rsidRPr="003E0246">
              <w:rPr>
                <w:rFonts w:ascii="Arial" w:hAnsi="Arial" w:cs="Arial"/>
                <w:color w:val="000000"/>
                <w:sz w:val="18"/>
                <w:szCs w:val="18"/>
                <w:lang w:eastAsia="pt-BR"/>
              </w:rPr>
              <w:t>15,69%</w:t>
            </w:r>
          </w:p>
        </w:tc>
      </w:tr>
    </w:tbl>
    <w:p w14:paraId="4723F122" w14:textId="208416F4" w:rsidR="00920028" w:rsidRPr="00920028" w:rsidRDefault="00920028" w:rsidP="00920028">
      <w:pPr>
        <w:tabs>
          <w:tab w:val="left" w:pos="851"/>
        </w:tabs>
        <w:spacing w:after="0" w:line="360" w:lineRule="exact"/>
        <w:jc w:val="both"/>
        <w:rPr>
          <w:rFonts w:ascii="Arial" w:eastAsia="Times New Roman" w:hAnsi="Arial" w:cs="Arial"/>
          <w:color w:val="002060"/>
          <w:kern w:val="0"/>
          <w:sz w:val="16"/>
          <w:szCs w:val="16"/>
          <w14:ligatures w14:val="none"/>
        </w:rPr>
        <w:sectPr w:rsidR="00920028" w:rsidRPr="00920028" w:rsidSect="00F552AA">
          <w:type w:val="continuous"/>
          <w:pgSz w:w="11906" w:h="16838"/>
          <w:pgMar w:top="1417" w:right="1701" w:bottom="1417" w:left="1701" w:header="708" w:footer="708" w:gutter="0"/>
          <w:cols w:space="708"/>
          <w:docGrid w:linePitch="360"/>
        </w:sectPr>
      </w:pPr>
      <w:r w:rsidRPr="00176FFB">
        <w:rPr>
          <w:rFonts w:ascii="Arial" w:eastAsia="Times New Roman" w:hAnsi="Arial" w:cs="Arial"/>
          <w:color w:val="002060"/>
          <w:kern w:val="0"/>
          <w:sz w:val="16"/>
          <w:szCs w:val="16"/>
          <w14:ligatures w14:val="none"/>
        </w:rPr>
        <w:t>Para fins de cálculo dos indicadores financeiros as rubricas de Despesas Antecipadas, Receitas Diferidas e Adiantamento para Futuro Aumento de Capital foram reclassificadas para o Patrimônio Líquid</w:t>
      </w:r>
      <w:r w:rsidR="00AB442D">
        <w:rPr>
          <w:rFonts w:ascii="Arial" w:eastAsia="Times New Roman" w:hAnsi="Arial" w:cs="Arial"/>
          <w:color w:val="002060"/>
          <w:kern w:val="0"/>
          <w:sz w:val="16"/>
          <w:szCs w:val="16"/>
          <w14:ligatures w14:val="none"/>
        </w:rPr>
        <w:t>o</w:t>
      </w:r>
    </w:p>
    <w:p w14:paraId="11103FCE" w14:textId="77777777" w:rsidR="00176FFB" w:rsidRPr="00176FFB" w:rsidRDefault="00176FFB" w:rsidP="00176FFB">
      <w:pPr>
        <w:spacing w:after="0"/>
        <w:jc w:val="both"/>
        <w:rPr>
          <w:rFonts w:ascii="Calibri" w:eastAsia="Times New Roman" w:hAnsi="Calibri" w:cs="Times New Roman"/>
          <w:color w:val="002060"/>
          <w:kern w:val="0"/>
          <w14:ligatures w14:val="none"/>
        </w:rPr>
      </w:pPr>
      <w:bookmarkStart w:id="3" w:name="_Hlk162275783"/>
      <w:r w:rsidRPr="00176FFB">
        <w:rPr>
          <w:rFonts w:ascii="Calibri" w:eastAsia="Times New Roman" w:hAnsi="Calibri" w:cs="Times New Roman"/>
          <w:b/>
          <w:color w:val="002060"/>
          <w:kern w:val="0"/>
          <w14:ligatures w14:val="none"/>
        </w:rPr>
        <w:lastRenderedPageBreak/>
        <w:t xml:space="preserve">Ativo Circulante – </w:t>
      </w:r>
      <w:r w:rsidRPr="00176FFB">
        <w:rPr>
          <w:rFonts w:ascii="Calibri" w:eastAsia="Times New Roman" w:hAnsi="Calibri" w:cs="Times New Roman"/>
          <w:color w:val="002060"/>
          <w:kern w:val="0"/>
          <w14:ligatures w14:val="none"/>
        </w:rPr>
        <w:t xml:space="preserve">O Ativo Circulante no final do ano de 2023 apresentou aumento de 5,1% e 10,3% em relação aos anos de 2022 e 2021, respectivamente. O aumento em relação aos exercícios comparados é explicado pelos aumentos das disponibilidades financeiras, dos tributos a recuperar/compensar e do contas a receber. </w:t>
      </w:r>
    </w:p>
    <w:bookmarkEnd w:id="3"/>
    <w:p w14:paraId="376C759D" w14:textId="77777777" w:rsidR="00176FFB" w:rsidRPr="00176FFB" w:rsidRDefault="00176FFB" w:rsidP="00176FFB">
      <w:pPr>
        <w:spacing w:after="0"/>
        <w:jc w:val="both"/>
        <w:rPr>
          <w:rFonts w:ascii="Calibri" w:eastAsia="Times New Roman" w:hAnsi="Calibri" w:cs="Times New Roman"/>
          <w:color w:val="002060"/>
          <w:kern w:val="0"/>
          <w14:ligatures w14:val="none"/>
        </w:rPr>
      </w:pPr>
      <w:r w:rsidRPr="00176FFB">
        <w:rPr>
          <w:rFonts w:ascii="Calibri" w:eastAsia="Times New Roman" w:hAnsi="Calibri" w:cs="Times New Roman"/>
          <w:b/>
          <w:color w:val="002060"/>
          <w:kern w:val="0"/>
          <w14:ligatures w14:val="none"/>
        </w:rPr>
        <w:t xml:space="preserve">Ativo Não Circulante – </w:t>
      </w:r>
      <w:r w:rsidRPr="00176FFB">
        <w:rPr>
          <w:rFonts w:ascii="Calibri" w:eastAsia="Times New Roman" w:hAnsi="Calibri" w:cs="Times New Roman"/>
          <w:color w:val="002060"/>
          <w:kern w:val="0"/>
          <w14:ligatures w14:val="none"/>
        </w:rPr>
        <w:t xml:space="preserve">O grupo apresentou redução de 4,4% na comparação com o ano de 2022 e de 9,3% em relação a 2021. Esse comportamento é reflexo dos seguintes eventos: i) transferências realizadas para o Circulante de valores relativos ao Superavit de Previdência Privada e Despesas Antecipadas; e </w:t>
      </w:r>
      <w:proofErr w:type="spellStart"/>
      <w:r w:rsidRPr="00176FFB">
        <w:rPr>
          <w:rFonts w:ascii="Calibri" w:eastAsia="Times New Roman" w:hAnsi="Calibri" w:cs="Times New Roman"/>
          <w:color w:val="002060"/>
          <w:kern w:val="0"/>
          <w14:ligatures w14:val="none"/>
        </w:rPr>
        <w:t>ii</w:t>
      </w:r>
      <w:proofErr w:type="spellEnd"/>
      <w:r w:rsidRPr="00176FFB">
        <w:rPr>
          <w:rFonts w:ascii="Calibri" w:eastAsia="Times New Roman" w:hAnsi="Calibri" w:cs="Times New Roman"/>
          <w:color w:val="002060"/>
          <w:kern w:val="0"/>
          <w14:ligatures w14:val="none"/>
        </w:rPr>
        <w:t>) Depreciação e Amortização do Imobilizado e Intangível.</w:t>
      </w:r>
    </w:p>
    <w:p w14:paraId="56E8CF37" w14:textId="77777777" w:rsidR="00176FFB" w:rsidRPr="00176FFB" w:rsidRDefault="00176FFB" w:rsidP="00176FFB">
      <w:pPr>
        <w:spacing w:after="0"/>
        <w:jc w:val="both"/>
        <w:rPr>
          <w:rFonts w:ascii="Calibri" w:eastAsia="Times New Roman" w:hAnsi="Calibri" w:cs="Times New Roman"/>
          <w:color w:val="002060"/>
          <w:kern w:val="0"/>
          <w14:ligatures w14:val="none"/>
        </w:rPr>
      </w:pPr>
      <w:r w:rsidRPr="00176FFB">
        <w:rPr>
          <w:rFonts w:ascii="Calibri" w:eastAsia="Times New Roman" w:hAnsi="Calibri" w:cs="Times New Roman"/>
          <w:b/>
          <w:color w:val="002060"/>
          <w:kern w:val="0"/>
          <w14:ligatures w14:val="none"/>
        </w:rPr>
        <w:t xml:space="preserve">Passivo Circulante: </w:t>
      </w:r>
      <w:r w:rsidRPr="00176FFB">
        <w:rPr>
          <w:rFonts w:ascii="Calibri" w:eastAsia="Times New Roman" w:hAnsi="Calibri" w:cs="Times New Roman"/>
          <w:color w:val="002060"/>
          <w:kern w:val="0"/>
          <w14:ligatures w14:val="none"/>
        </w:rPr>
        <w:t xml:space="preserve">O comportamento desta rubrica na comparação entre o exercício de 2023 e os exercícios de 2022 e 2021, apresentou redução de 12,7% e 13,3%, respectivamente. A diminuição é justificada pelos seguintes eventos: i) amortização das dívidas (Empréstimos e Financiamento e Credores por Perdas Judiciais); </w:t>
      </w:r>
      <w:proofErr w:type="spellStart"/>
      <w:r w:rsidRPr="00176FFB">
        <w:rPr>
          <w:rFonts w:ascii="Calibri" w:eastAsia="Times New Roman" w:hAnsi="Calibri" w:cs="Times New Roman"/>
          <w:color w:val="002060"/>
          <w:kern w:val="0"/>
          <w14:ligatures w14:val="none"/>
        </w:rPr>
        <w:t>ii</w:t>
      </w:r>
      <w:proofErr w:type="spellEnd"/>
      <w:r w:rsidRPr="00176FFB">
        <w:rPr>
          <w:rFonts w:ascii="Calibri" w:eastAsia="Times New Roman" w:hAnsi="Calibri" w:cs="Times New Roman"/>
          <w:color w:val="002060"/>
          <w:kern w:val="0"/>
          <w14:ligatures w14:val="none"/>
        </w:rPr>
        <w:t xml:space="preserve">) baixa </w:t>
      </w:r>
      <w:proofErr w:type="gramStart"/>
      <w:r w:rsidRPr="00176FFB">
        <w:rPr>
          <w:rFonts w:ascii="Calibri" w:eastAsia="Times New Roman" w:hAnsi="Calibri" w:cs="Times New Roman"/>
          <w:color w:val="002060"/>
          <w:kern w:val="0"/>
          <w14:ligatures w14:val="none"/>
        </w:rPr>
        <w:t>das  Receitas</w:t>
      </w:r>
      <w:proofErr w:type="gramEnd"/>
      <w:r w:rsidRPr="00176FFB">
        <w:rPr>
          <w:rFonts w:ascii="Calibri" w:eastAsia="Times New Roman" w:hAnsi="Calibri" w:cs="Times New Roman"/>
          <w:color w:val="002060"/>
          <w:kern w:val="0"/>
          <w14:ligatures w14:val="none"/>
        </w:rPr>
        <w:t xml:space="preserve"> Diferidas em função do reconhecimento da receita no resultado do exercício pela prestação dos serviços; e </w:t>
      </w:r>
      <w:proofErr w:type="spellStart"/>
      <w:r w:rsidRPr="00176FFB">
        <w:rPr>
          <w:rFonts w:ascii="Calibri" w:eastAsia="Times New Roman" w:hAnsi="Calibri" w:cs="Times New Roman"/>
          <w:color w:val="002060"/>
          <w:kern w:val="0"/>
          <w14:ligatures w14:val="none"/>
        </w:rPr>
        <w:t>iii</w:t>
      </w:r>
      <w:proofErr w:type="spellEnd"/>
      <w:r w:rsidRPr="00176FFB">
        <w:rPr>
          <w:rFonts w:ascii="Calibri" w:eastAsia="Times New Roman" w:hAnsi="Calibri" w:cs="Times New Roman"/>
          <w:color w:val="002060"/>
          <w:kern w:val="0"/>
          <w14:ligatures w14:val="none"/>
        </w:rPr>
        <w:t>) redução do valores de Provisão para Riscos Prováveis (Contingências).</w:t>
      </w:r>
    </w:p>
    <w:p w14:paraId="3C626040" w14:textId="77777777" w:rsidR="00176FFB" w:rsidRPr="00176FFB" w:rsidRDefault="00176FFB" w:rsidP="00176FFB">
      <w:pPr>
        <w:spacing w:after="0"/>
        <w:jc w:val="both"/>
        <w:rPr>
          <w:rFonts w:ascii="Calibri" w:eastAsia="Times New Roman" w:hAnsi="Calibri" w:cs="Times New Roman"/>
          <w:color w:val="002060"/>
          <w:kern w:val="0"/>
          <w14:ligatures w14:val="none"/>
        </w:rPr>
      </w:pPr>
      <w:r w:rsidRPr="00176FFB">
        <w:rPr>
          <w:rFonts w:ascii="Calibri" w:eastAsia="Times New Roman" w:hAnsi="Calibri" w:cs="Times New Roman"/>
          <w:b/>
          <w:color w:val="002060"/>
          <w:kern w:val="0"/>
          <w14:ligatures w14:val="none"/>
        </w:rPr>
        <w:t xml:space="preserve">Passivo Não Circulante - </w:t>
      </w:r>
      <w:r w:rsidRPr="00176FFB">
        <w:rPr>
          <w:rFonts w:ascii="Calibri" w:eastAsia="Times New Roman" w:hAnsi="Calibri" w:cs="Times New Roman"/>
          <w:color w:val="002060"/>
          <w:kern w:val="0"/>
          <w14:ligatures w14:val="none"/>
        </w:rPr>
        <w:t>O Passivo não Circulante apresentou aumento de 6,4% e redução de 4,8% na comparação com os exercícios de 2022 e 2021, respectivamente. Esse comportamento é justificado pelas transferências para o Circulante em função dos vencimentos que ocorrerão no decorrer dos próximos 12 meses, principalmente das rubricas de Empréstimos e Financiamentos, de Receitas Diferidas e de Credores por Perdas Judiciais, e pelo recebimento de recursos de Adiantamento para Futuro Aumento de Capital no período.</w:t>
      </w:r>
    </w:p>
    <w:p w14:paraId="251346FA" w14:textId="77777777" w:rsidR="00176FFB" w:rsidRPr="00176FFB" w:rsidRDefault="00176FFB" w:rsidP="00176FFB">
      <w:pPr>
        <w:spacing w:after="0"/>
        <w:jc w:val="both"/>
        <w:rPr>
          <w:rFonts w:ascii="Calibri" w:eastAsia="Times New Roman" w:hAnsi="Calibri" w:cs="Times New Roman"/>
          <w:color w:val="002060"/>
          <w:kern w:val="0"/>
          <w14:ligatures w14:val="none"/>
        </w:rPr>
      </w:pPr>
      <w:r w:rsidRPr="00176FFB">
        <w:rPr>
          <w:rFonts w:ascii="Calibri" w:eastAsia="Times New Roman" w:hAnsi="Calibri" w:cs="Times New Roman"/>
          <w:b/>
          <w:color w:val="002060"/>
          <w:kern w:val="0"/>
          <w14:ligatures w14:val="none"/>
        </w:rPr>
        <w:t xml:space="preserve">Patrimônio Líquido – </w:t>
      </w:r>
      <w:r w:rsidRPr="00176FFB">
        <w:rPr>
          <w:rFonts w:ascii="Calibri" w:eastAsia="Times New Roman" w:hAnsi="Calibri" w:cs="Times New Roman"/>
          <w:color w:val="002060"/>
          <w:kern w:val="0"/>
          <w14:ligatures w14:val="none"/>
        </w:rPr>
        <w:t xml:space="preserve">O exercício de 2023, quando comparado aos exercícios de 2022 apresentou uma diminuição de 8,3%, explicada pelo resultado negativo (Prejuízo do Exercício) no exercício de 2023. Em relação ao ano de 2021 houve um aumento de 4,6%, justificado pelo aumento de capital realizado no exercício de 2022, no montante de R$ 367,2 milhões, apesar </w:t>
      </w:r>
      <w:proofErr w:type="gramStart"/>
      <w:r w:rsidRPr="00176FFB">
        <w:rPr>
          <w:rFonts w:ascii="Calibri" w:eastAsia="Times New Roman" w:hAnsi="Calibri" w:cs="Times New Roman"/>
          <w:color w:val="002060"/>
          <w:kern w:val="0"/>
          <w14:ligatures w14:val="none"/>
        </w:rPr>
        <w:t>do  prejuízo</w:t>
      </w:r>
      <w:proofErr w:type="gramEnd"/>
      <w:r w:rsidRPr="00176FFB">
        <w:rPr>
          <w:rFonts w:ascii="Calibri" w:eastAsia="Times New Roman" w:hAnsi="Calibri" w:cs="Times New Roman"/>
          <w:color w:val="002060"/>
          <w:kern w:val="0"/>
          <w14:ligatures w14:val="none"/>
        </w:rPr>
        <w:t xml:space="preserve"> apurado no exercício.</w:t>
      </w:r>
    </w:p>
    <w:p w14:paraId="0257F06E" w14:textId="6E6BA7C0" w:rsidR="006C6302" w:rsidRPr="006C6302" w:rsidRDefault="006C6302" w:rsidP="006C6302">
      <w:pPr>
        <w:spacing w:after="0"/>
        <w:rPr>
          <w:rFonts w:ascii="Calibri" w:eastAsia="Times New Roman" w:hAnsi="Calibri" w:cs="Times New Roman"/>
          <w:b/>
          <w:bCs/>
          <w:iCs/>
          <w:color w:val="002060"/>
          <w:kern w:val="0"/>
          <w14:ligatures w14:val="none"/>
        </w:rPr>
      </w:pPr>
      <w:bookmarkStart w:id="4" w:name="_Toc161319432"/>
      <w:r>
        <w:rPr>
          <w:rFonts w:ascii="Calibri" w:eastAsia="Times New Roman" w:hAnsi="Calibri" w:cs="Times New Roman"/>
          <w:b/>
          <w:bCs/>
          <w:iCs/>
          <w:color w:val="002060"/>
          <w:kern w:val="0"/>
          <w14:ligatures w14:val="none"/>
        </w:rPr>
        <w:t xml:space="preserve">3.2. </w:t>
      </w:r>
      <w:r w:rsidRPr="006C6302">
        <w:rPr>
          <w:rFonts w:ascii="Calibri" w:eastAsia="Times New Roman" w:hAnsi="Calibri" w:cs="Times New Roman"/>
          <w:b/>
          <w:bCs/>
          <w:iCs/>
          <w:color w:val="002060"/>
          <w:kern w:val="0"/>
          <w14:ligatures w14:val="none"/>
        </w:rPr>
        <w:t>Estrutura Econômica da Companhia – Principais Rubricas</w:t>
      </w:r>
      <w:bookmarkEnd w:id="4"/>
    </w:p>
    <w:p w14:paraId="3BB0F371" w14:textId="05054DB2" w:rsidR="006C6302" w:rsidRPr="006C6302" w:rsidRDefault="006C6302" w:rsidP="006C6302">
      <w:pPr>
        <w:spacing w:after="0"/>
        <w:rPr>
          <w:rFonts w:ascii="Calibri" w:eastAsia="Times New Roman" w:hAnsi="Calibri" w:cs="Times New Roman"/>
          <w:color w:val="002060"/>
          <w:kern w:val="0"/>
          <w14:ligatures w14:val="none"/>
        </w:rPr>
      </w:pPr>
      <w:r w:rsidRPr="006C6302">
        <w:rPr>
          <w:rFonts w:ascii="Calibri" w:eastAsia="Times New Roman" w:hAnsi="Calibri" w:cs="Times New Roman"/>
          <w:color w:val="002060"/>
          <w:kern w:val="0"/>
          <w14:ligatures w14:val="none"/>
        </w:rPr>
        <w:t>O resultado obtido pela Companhia no exercício de 2023 comparado com os exercícios de 2022 e 2021 está apresentado a seguir com explicações sobre as principais variações ocorridas entre os períodos apresentados.</w:t>
      </w:r>
    </w:p>
    <w:tbl>
      <w:tblPr>
        <w:tblW w:w="5000" w:type="pct"/>
        <w:tblCellMar>
          <w:left w:w="70" w:type="dxa"/>
          <w:right w:w="70" w:type="dxa"/>
        </w:tblCellMar>
        <w:tblLook w:val="04A0" w:firstRow="1" w:lastRow="0" w:firstColumn="1" w:lastColumn="0" w:noHBand="0" w:noVBand="1"/>
      </w:tblPr>
      <w:tblGrid>
        <w:gridCol w:w="5705"/>
        <w:gridCol w:w="1123"/>
        <w:gridCol w:w="1123"/>
        <w:gridCol w:w="1121"/>
      </w:tblGrid>
      <w:tr w:rsidR="006C6302" w:rsidRPr="00393495" w14:paraId="24CD3272" w14:textId="77777777" w:rsidTr="00446A14">
        <w:trPr>
          <w:trHeight w:val="238"/>
          <w:tblHeader/>
        </w:trPr>
        <w:tc>
          <w:tcPr>
            <w:tcW w:w="3144" w:type="pct"/>
            <w:tcBorders>
              <w:top w:val="single" w:sz="8" w:space="0" w:color="8EAADB"/>
              <w:left w:val="nil"/>
              <w:bottom w:val="single" w:sz="8" w:space="0" w:color="8EAADB"/>
              <w:right w:val="nil"/>
            </w:tcBorders>
            <w:shd w:val="clear" w:color="auto" w:fill="auto"/>
            <w:vAlign w:val="center"/>
            <w:hideMark/>
          </w:tcPr>
          <w:p w14:paraId="3942BB6B" w14:textId="77777777" w:rsidR="006C6302" w:rsidRPr="00087F48" w:rsidRDefault="006C6302" w:rsidP="00446A14">
            <w:pPr>
              <w:spacing w:after="0" w:line="240" w:lineRule="auto"/>
              <w:rPr>
                <w:rFonts w:ascii="Arial" w:hAnsi="Arial" w:cs="Arial"/>
                <w:b/>
                <w:bCs/>
                <w:color w:val="2E74B5"/>
                <w:sz w:val="16"/>
                <w:szCs w:val="18"/>
                <w:lang w:eastAsia="pt-BR"/>
              </w:rPr>
            </w:pPr>
            <w:r w:rsidRPr="00087F48">
              <w:rPr>
                <w:rFonts w:ascii="Arial" w:hAnsi="Arial" w:cs="Arial"/>
                <w:b/>
                <w:bCs/>
                <w:color w:val="2E74B5"/>
                <w:sz w:val="16"/>
                <w:szCs w:val="18"/>
                <w:lang w:eastAsia="pt-BR"/>
              </w:rPr>
              <w:t>R$ mil</w:t>
            </w:r>
          </w:p>
        </w:tc>
        <w:tc>
          <w:tcPr>
            <w:tcW w:w="619" w:type="pct"/>
            <w:tcBorders>
              <w:top w:val="single" w:sz="8" w:space="0" w:color="8EAADB"/>
              <w:left w:val="nil"/>
              <w:bottom w:val="single" w:sz="8" w:space="0" w:color="8EAADB"/>
              <w:right w:val="nil"/>
            </w:tcBorders>
            <w:shd w:val="clear" w:color="auto" w:fill="auto"/>
            <w:vAlign w:val="center"/>
            <w:hideMark/>
          </w:tcPr>
          <w:p w14:paraId="501CC532" w14:textId="77777777" w:rsidR="006C6302" w:rsidRPr="00087F48" w:rsidRDefault="006C6302" w:rsidP="00446A14">
            <w:pPr>
              <w:spacing w:after="0" w:line="240" w:lineRule="auto"/>
              <w:jc w:val="center"/>
              <w:rPr>
                <w:rFonts w:ascii="Arial" w:hAnsi="Arial" w:cs="Arial"/>
                <w:b/>
                <w:bCs/>
                <w:color w:val="2E74B5"/>
                <w:sz w:val="16"/>
                <w:szCs w:val="18"/>
                <w:lang w:eastAsia="pt-BR"/>
              </w:rPr>
            </w:pPr>
            <w:r w:rsidRPr="00087F48">
              <w:rPr>
                <w:rFonts w:ascii="Arial" w:hAnsi="Arial" w:cs="Arial"/>
                <w:b/>
                <w:bCs/>
                <w:color w:val="2E74B5"/>
                <w:sz w:val="16"/>
                <w:szCs w:val="18"/>
                <w:lang w:eastAsia="pt-BR"/>
              </w:rPr>
              <w:t>2023</w:t>
            </w:r>
          </w:p>
        </w:tc>
        <w:tc>
          <w:tcPr>
            <w:tcW w:w="619" w:type="pct"/>
            <w:tcBorders>
              <w:top w:val="single" w:sz="8" w:space="0" w:color="8EAADB"/>
              <w:left w:val="nil"/>
              <w:bottom w:val="single" w:sz="8" w:space="0" w:color="8EAADB"/>
              <w:right w:val="nil"/>
            </w:tcBorders>
            <w:shd w:val="clear" w:color="auto" w:fill="auto"/>
            <w:vAlign w:val="center"/>
            <w:hideMark/>
          </w:tcPr>
          <w:p w14:paraId="7AC5FA62" w14:textId="77777777" w:rsidR="006C6302" w:rsidRPr="00087F48" w:rsidRDefault="006C6302" w:rsidP="00446A14">
            <w:pPr>
              <w:spacing w:after="0" w:line="240" w:lineRule="auto"/>
              <w:jc w:val="center"/>
              <w:rPr>
                <w:rFonts w:ascii="Arial" w:hAnsi="Arial" w:cs="Arial"/>
                <w:b/>
                <w:bCs/>
                <w:color w:val="2E74B5"/>
                <w:sz w:val="16"/>
                <w:szCs w:val="18"/>
                <w:lang w:eastAsia="pt-BR"/>
              </w:rPr>
            </w:pPr>
            <w:r w:rsidRPr="00087F48">
              <w:rPr>
                <w:rFonts w:ascii="Arial" w:hAnsi="Arial" w:cs="Arial"/>
                <w:b/>
                <w:bCs/>
                <w:color w:val="2E74B5"/>
                <w:sz w:val="16"/>
                <w:szCs w:val="18"/>
                <w:lang w:eastAsia="pt-BR"/>
              </w:rPr>
              <w:t>2022</w:t>
            </w:r>
          </w:p>
        </w:tc>
        <w:tc>
          <w:tcPr>
            <w:tcW w:w="619" w:type="pct"/>
            <w:tcBorders>
              <w:top w:val="single" w:sz="8" w:space="0" w:color="8EAADB"/>
              <w:left w:val="nil"/>
              <w:bottom w:val="single" w:sz="8" w:space="0" w:color="8EAADB"/>
              <w:right w:val="nil"/>
            </w:tcBorders>
            <w:shd w:val="clear" w:color="auto" w:fill="auto"/>
            <w:vAlign w:val="center"/>
            <w:hideMark/>
          </w:tcPr>
          <w:p w14:paraId="18237F09" w14:textId="77777777" w:rsidR="006C6302" w:rsidRPr="00087F48" w:rsidRDefault="006C6302" w:rsidP="00446A14">
            <w:pPr>
              <w:spacing w:after="0" w:line="240" w:lineRule="auto"/>
              <w:jc w:val="center"/>
              <w:rPr>
                <w:rFonts w:ascii="Arial" w:hAnsi="Arial" w:cs="Arial"/>
                <w:b/>
                <w:bCs/>
                <w:color w:val="2E74B5"/>
                <w:sz w:val="16"/>
                <w:szCs w:val="18"/>
                <w:lang w:eastAsia="pt-BR"/>
              </w:rPr>
            </w:pPr>
            <w:r w:rsidRPr="00087F48">
              <w:rPr>
                <w:rFonts w:ascii="Arial" w:hAnsi="Arial" w:cs="Arial"/>
                <w:b/>
                <w:bCs/>
                <w:color w:val="2E74B5"/>
                <w:sz w:val="16"/>
                <w:szCs w:val="18"/>
                <w:lang w:eastAsia="pt-BR"/>
              </w:rPr>
              <w:t>2021</w:t>
            </w:r>
          </w:p>
        </w:tc>
      </w:tr>
      <w:tr w:rsidR="006C6302" w:rsidRPr="00393495" w14:paraId="2DDB3F5A" w14:textId="77777777" w:rsidTr="00446A14">
        <w:trPr>
          <w:trHeight w:val="238"/>
        </w:trPr>
        <w:tc>
          <w:tcPr>
            <w:tcW w:w="3144" w:type="pct"/>
            <w:tcBorders>
              <w:top w:val="nil"/>
              <w:left w:val="nil"/>
              <w:bottom w:val="single" w:sz="8" w:space="0" w:color="8EAADB"/>
              <w:right w:val="nil"/>
            </w:tcBorders>
            <w:shd w:val="clear" w:color="auto" w:fill="auto"/>
            <w:noWrap/>
            <w:vAlign w:val="center"/>
            <w:hideMark/>
          </w:tcPr>
          <w:p w14:paraId="6F14FF66" w14:textId="77777777" w:rsidR="006C6302" w:rsidRPr="00087F48" w:rsidRDefault="006C6302" w:rsidP="00446A14">
            <w:pPr>
              <w:spacing w:after="0" w:line="240" w:lineRule="auto"/>
              <w:rPr>
                <w:rFonts w:ascii="Arial" w:hAnsi="Arial" w:cs="Arial"/>
                <w:b/>
                <w:bCs/>
                <w:color w:val="000000"/>
                <w:sz w:val="16"/>
                <w:szCs w:val="18"/>
                <w:lang w:eastAsia="pt-BR"/>
              </w:rPr>
            </w:pPr>
            <w:r w:rsidRPr="00087F48">
              <w:rPr>
                <w:rFonts w:ascii="Arial" w:hAnsi="Arial" w:cs="Arial"/>
                <w:b/>
                <w:bCs/>
                <w:color w:val="000000"/>
                <w:sz w:val="16"/>
                <w:szCs w:val="18"/>
                <w:lang w:eastAsia="pt-BR"/>
              </w:rPr>
              <w:t>RECEITA OPERACIONAL BRUTA</w:t>
            </w:r>
          </w:p>
        </w:tc>
        <w:tc>
          <w:tcPr>
            <w:tcW w:w="619" w:type="pct"/>
            <w:tcBorders>
              <w:top w:val="nil"/>
              <w:left w:val="nil"/>
              <w:bottom w:val="single" w:sz="8" w:space="0" w:color="8EAADB"/>
              <w:right w:val="nil"/>
            </w:tcBorders>
            <w:shd w:val="clear" w:color="auto" w:fill="auto"/>
            <w:noWrap/>
            <w:vAlign w:val="center"/>
            <w:hideMark/>
          </w:tcPr>
          <w:p w14:paraId="1396F0E8" w14:textId="77777777" w:rsidR="006C6302" w:rsidRPr="00087F48" w:rsidRDefault="006C6302"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470.052 </w:t>
            </w:r>
          </w:p>
        </w:tc>
        <w:tc>
          <w:tcPr>
            <w:tcW w:w="619" w:type="pct"/>
            <w:tcBorders>
              <w:top w:val="nil"/>
              <w:left w:val="nil"/>
              <w:bottom w:val="single" w:sz="8" w:space="0" w:color="8EAADB"/>
              <w:right w:val="nil"/>
            </w:tcBorders>
            <w:shd w:val="clear" w:color="auto" w:fill="auto"/>
            <w:noWrap/>
            <w:vAlign w:val="center"/>
            <w:hideMark/>
          </w:tcPr>
          <w:p w14:paraId="20A4A9B5" w14:textId="77777777" w:rsidR="006C6302" w:rsidRPr="00087F48" w:rsidRDefault="006C6302"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403.502 </w:t>
            </w:r>
          </w:p>
        </w:tc>
        <w:tc>
          <w:tcPr>
            <w:tcW w:w="619" w:type="pct"/>
            <w:tcBorders>
              <w:top w:val="nil"/>
              <w:left w:val="nil"/>
              <w:bottom w:val="single" w:sz="8" w:space="0" w:color="8EAADB"/>
              <w:right w:val="nil"/>
            </w:tcBorders>
            <w:shd w:val="clear" w:color="auto" w:fill="auto"/>
            <w:noWrap/>
            <w:vAlign w:val="center"/>
            <w:hideMark/>
          </w:tcPr>
          <w:p w14:paraId="680F4BC9" w14:textId="77777777" w:rsidR="006C6302" w:rsidRPr="00087F48" w:rsidRDefault="006C6302"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344.222 </w:t>
            </w:r>
          </w:p>
        </w:tc>
      </w:tr>
      <w:tr w:rsidR="006C6302" w:rsidRPr="00393495" w14:paraId="69CE5E51" w14:textId="77777777" w:rsidTr="00446A14">
        <w:trPr>
          <w:trHeight w:val="238"/>
        </w:trPr>
        <w:tc>
          <w:tcPr>
            <w:tcW w:w="3144" w:type="pct"/>
            <w:tcBorders>
              <w:top w:val="nil"/>
              <w:left w:val="nil"/>
              <w:bottom w:val="single" w:sz="8" w:space="0" w:color="8EAADB"/>
              <w:right w:val="nil"/>
            </w:tcBorders>
            <w:shd w:val="clear" w:color="auto" w:fill="auto"/>
            <w:noWrap/>
            <w:vAlign w:val="center"/>
            <w:hideMark/>
          </w:tcPr>
          <w:p w14:paraId="4F1A37A9" w14:textId="77777777" w:rsidR="006C6302" w:rsidRPr="00087F48" w:rsidRDefault="006C6302" w:rsidP="00446A14">
            <w:pPr>
              <w:spacing w:after="0" w:line="240" w:lineRule="auto"/>
              <w:rPr>
                <w:rFonts w:ascii="Arial" w:hAnsi="Arial" w:cs="Arial"/>
                <w:color w:val="000000"/>
                <w:sz w:val="16"/>
                <w:szCs w:val="18"/>
                <w:lang w:eastAsia="pt-BR"/>
              </w:rPr>
            </w:pPr>
            <w:r w:rsidRPr="00087F48">
              <w:rPr>
                <w:rFonts w:ascii="Arial" w:hAnsi="Arial" w:cs="Arial"/>
                <w:color w:val="000000"/>
                <w:sz w:val="16"/>
                <w:szCs w:val="18"/>
                <w:lang w:eastAsia="pt-BR"/>
              </w:rPr>
              <w:t xml:space="preserve">  Serviços de Comunicação Multimídia</w:t>
            </w:r>
          </w:p>
        </w:tc>
        <w:tc>
          <w:tcPr>
            <w:tcW w:w="619" w:type="pct"/>
            <w:tcBorders>
              <w:top w:val="nil"/>
              <w:left w:val="nil"/>
              <w:bottom w:val="single" w:sz="8" w:space="0" w:color="8EAADB"/>
              <w:right w:val="nil"/>
            </w:tcBorders>
            <w:shd w:val="clear" w:color="auto" w:fill="auto"/>
            <w:noWrap/>
            <w:vAlign w:val="center"/>
            <w:hideMark/>
          </w:tcPr>
          <w:p w14:paraId="3BD631AD"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356.511 </w:t>
            </w:r>
          </w:p>
        </w:tc>
        <w:tc>
          <w:tcPr>
            <w:tcW w:w="619" w:type="pct"/>
            <w:tcBorders>
              <w:top w:val="nil"/>
              <w:left w:val="nil"/>
              <w:bottom w:val="single" w:sz="8" w:space="0" w:color="8EAADB"/>
              <w:right w:val="nil"/>
            </w:tcBorders>
            <w:shd w:val="clear" w:color="auto" w:fill="auto"/>
            <w:noWrap/>
            <w:vAlign w:val="center"/>
            <w:hideMark/>
          </w:tcPr>
          <w:p w14:paraId="233C872D"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322.614 </w:t>
            </w:r>
          </w:p>
        </w:tc>
        <w:tc>
          <w:tcPr>
            <w:tcW w:w="619" w:type="pct"/>
            <w:tcBorders>
              <w:top w:val="nil"/>
              <w:left w:val="nil"/>
              <w:bottom w:val="single" w:sz="8" w:space="0" w:color="8EAADB"/>
              <w:right w:val="nil"/>
            </w:tcBorders>
            <w:shd w:val="clear" w:color="auto" w:fill="auto"/>
            <w:noWrap/>
            <w:vAlign w:val="center"/>
            <w:hideMark/>
          </w:tcPr>
          <w:p w14:paraId="641A8E34"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283.497 </w:t>
            </w:r>
          </w:p>
        </w:tc>
      </w:tr>
      <w:tr w:rsidR="006C6302" w:rsidRPr="00393495" w14:paraId="0041CCB0" w14:textId="77777777" w:rsidTr="00446A14">
        <w:trPr>
          <w:trHeight w:val="238"/>
        </w:trPr>
        <w:tc>
          <w:tcPr>
            <w:tcW w:w="3144" w:type="pct"/>
            <w:tcBorders>
              <w:top w:val="nil"/>
              <w:left w:val="nil"/>
              <w:bottom w:val="single" w:sz="8" w:space="0" w:color="8EAADB"/>
              <w:right w:val="nil"/>
            </w:tcBorders>
            <w:shd w:val="clear" w:color="auto" w:fill="auto"/>
            <w:noWrap/>
            <w:vAlign w:val="center"/>
            <w:hideMark/>
          </w:tcPr>
          <w:p w14:paraId="2D054C2D" w14:textId="77777777" w:rsidR="006C6302" w:rsidRPr="00087F48" w:rsidRDefault="006C6302" w:rsidP="00446A14">
            <w:pPr>
              <w:spacing w:after="0" w:line="240" w:lineRule="auto"/>
              <w:rPr>
                <w:rFonts w:ascii="Arial" w:hAnsi="Arial" w:cs="Arial"/>
                <w:color w:val="000000"/>
                <w:sz w:val="16"/>
                <w:szCs w:val="18"/>
                <w:lang w:eastAsia="pt-BR"/>
              </w:rPr>
            </w:pPr>
            <w:r w:rsidRPr="00087F48">
              <w:rPr>
                <w:rFonts w:ascii="Arial" w:hAnsi="Arial" w:cs="Arial"/>
                <w:color w:val="000000"/>
                <w:sz w:val="16"/>
                <w:szCs w:val="18"/>
                <w:lang w:eastAsia="pt-BR"/>
              </w:rPr>
              <w:t xml:space="preserve">  Locação de Capacidade Satelital</w:t>
            </w:r>
          </w:p>
        </w:tc>
        <w:tc>
          <w:tcPr>
            <w:tcW w:w="619" w:type="pct"/>
            <w:tcBorders>
              <w:top w:val="nil"/>
              <w:left w:val="nil"/>
              <w:bottom w:val="single" w:sz="8" w:space="0" w:color="8EAADB"/>
              <w:right w:val="nil"/>
            </w:tcBorders>
            <w:shd w:val="clear" w:color="auto" w:fill="auto"/>
            <w:noWrap/>
            <w:vAlign w:val="center"/>
            <w:hideMark/>
          </w:tcPr>
          <w:p w14:paraId="3F4832C3"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36.481 </w:t>
            </w:r>
          </w:p>
        </w:tc>
        <w:tc>
          <w:tcPr>
            <w:tcW w:w="619" w:type="pct"/>
            <w:tcBorders>
              <w:top w:val="nil"/>
              <w:left w:val="nil"/>
              <w:bottom w:val="single" w:sz="8" w:space="0" w:color="8EAADB"/>
              <w:right w:val="nil"/>
            </w:tcBorders>
            <w:shd w:val="clear" w:color="auto" w:fill="auto"/>
            <w:noWrap/>
            <w:vAlign w:val="center"/>
            <w:hideMark/>
          </w:tcPr>
          <w:p w14:paraId="4FD04991"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36.481 </w:t>
            </w:r>
          </w:p>
        </w:tc>
        <w:tc>
          <w:tcPr>
            <w:tcW w:w="619" w:type="pct"/>
            <w:tcBorders>
              <w:top w:val="nil"/>
              <w:left w:val="nil"/>
              <w:bottom w:val="single" w:sz="8" w:space="0" w:color="8EAADB"/>
              <w:right w:val="nil"/>
            </w:tcBorders>
            <w:shd w:val="clear" w:color="auto" w:fill="auto"/>
            <w:noWrap/>
            <w:vAlign w:val="center"/>
            <w:hideMark/>
          </w:tcPr>
          <w:p w14:paraId="04A31AA5"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36.481 </w:t>
            </w:r>
          </w:p>
        </w:tc>
      </w:tr>
      <w:tr w:rsidR="006C6302" w:rsidRPr="00393495" w14:paraId="6F5CDD59" w14:textId="77777777" w:rsidTr="00446A14">
        <w:trPr>
          <w:trHeight w:val="238"/>
        </w:trPr>
        <w:tc>
          <w:tcPr>
            <w:tcW w:w="3144" w:type="pct"/>
            <w:tcBorders>
              <w:top w:val="nil"/>
              <w:left w:val="nil"/>
              <w:bottom w:val="single" w:sz="8" w:space="0" w:color="8EAADB"/>
              <w:right w:val="nil"/>
            </w:tcBorders>
            <w:shd w:val="clear" w:color="auto" w:fill="auto"/>
            <w:noWrap/>
            <w:vAlign w:val="center"/>
            <w:hideMark/>
          </w:tcPr>
          <w:p w14:paraId="77563DDF" w14:textId="77777777" w:rsidR="006C6302" w:rsidRPr="00087F48" w:rsidRDefault="006C6302" w:rsidP="00446A14">
            <w:pPr>
              <w:spacing w:after="0" w:line="240" w:lineRule="auto"/>
              <w:rPr>
                <w:rFonts w:ascii="Arial" w:hAnsi="Arial" w:cs="Arial"/>
                <w:color w:val="000000"/>
                <w:sz w:val="16"/>
                <w:szCs w:val="18"/>
                <w:lang w:eastAsia="pt-BR"/>
              </w:rPr>
            </w:pPr>
            <w:r w:rsidRPr="00087F48">
              <w:rPr>
                <w:rFonts w:ascii="Arial" w:hAnsi="Arial" w:cs="Arial"/>
                <w:color w:val="000000"/>
                <w:sz w:val="16"/>
                <w:szCs w:val="18"/>
                <w:lang w:eastAsia="pt-BR"/>
              </w:rPr>
              <w:t xml:space="preserve">  Aluguéis e Locações</w:t>
            </w:r>
          </w:p>
        </w:tc>
        <w:tc>
          <w:tcPr>
            <w:tcW w:w="619" w:type="pct"/>
            <w:tcBorders>
              <w:top w:val="nil"/>
              <w:left w:val="nil"/>
              <w:bottom w:val="single" w:sz="8" w:space="0" w:color="8EAADB"/>
              <w:right w:val="nil"/>
            </w:tcBorders>
            <w:shd w:val="clear" w:color="auto" w:fill="auto"/>
            <w:noWrap/>
            <w:vAlign w:val="center"/>
            <w:hideMark/>
          </w:tcPr>
          <w:p w14:paraId="42908E39"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24.851 </w:t>
            </w:r>
          </w:p>
        </w:tc>
        <w:tc>
          <w:tcPr>
            <w:tcW w:w="619" w:type="pct"/>
            <w:tcBorders>
              <w:top w:val="nil"/>
              <w:left w:val="nil"/>
              <w:bottom w:val="single" w:sz="8" w:space="0" w:color="8EAADB"/>
              <w:right w:val="nil"/>
            </w:tcBorders>
            <w:shd w:val="clear" w:color="auto" w:fill="auto"/>
            <w:noWrap/>
            <w:vAlign w:val="center"/>
            <w:hideMark/>
          </w:tcPr>
          <w:p w14:paraId="3EACEC76"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22.056 </w:t>
            </w:r>
          </w:p>
        </w:tc>
        <w:tc>
          <w:tcPr>
            <w:tcW w:w="619" w:type="pct"/>
            <w:tcBorders>
              <w:top w:val="nil"/>
              <w:left w:val="nil"/>
              <w:bottom w:val="single" w:sz="8" w:space="0" w:color="8EAADB"/>
              <w:right w:val="nil"/>
            </w:tcBorders>
            <w:shd w:val="clear" w:color="auto" w:fill="auto"/>
            <w:noWrap/>
            <w:vAlign w:val="center"/>
            <w:hideMark/>
          </w:tcPr>
          <w:p w14:paraId="0AF836D9"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16.246 </w:t>
            </w:r>
          </w:p>
        </w:tc>
      </w:tr>
      <w:tr w:rsidR="006C6302" w:rsidRPr="00393495" w14:paraId="71EEF158" w14:textId="77777777" w:rsidTr="00446A14">
        <w:trPr>
          <w:trHeight w:val="238"/>
        </w:trPr>
        <w:tc>
          <w:tcPr>
            <w:tcW w:w="3144" w:type="pct"/>
            <w:tcBorders>
              <w:top w:val="nil"/>
              <w:left w:val="nil"/>
              <w:bottom w:val="single" w:sz="8" w:space="0" w:color="8EAADB"/>
              <w:right w:val="nil"/>
            </w:tcBorders>
            <w:shd w:val="clear" w:color="auto" w:fill="auto"/>
            <w:noWrap/>
            <w:vAlign w:val="center"/>
            <w:hideMark/>
          </w:tcPr>
          <w:p w14:paraId="58A49A37" w14:textId="77777777" w:rsidR="006C6302" w:rsidRPr="00087F48" w:rsidRDefault="006C6302" w:rsidP="00446A14">
            <w:pPr>
              <w:spacing w:after="0" w:line="240" w:lineRule="auto"/>
              <w:rPr>
                <w:rFonts w:ascii="Arial" w:hAnsi="Arial" w:cs="Arial"/>
                <w:color w:val="000000"/>
                <w:sz w:val="16"/>
                <w:szCs w:val="18"/>
                <w:lang w:eastAsia="pt-BR"/>
              </w:rPr>
            </w:pPr>
            <w:r w:rsidRPr="00087F48">
              <w:rPr>
                <w:rFonts w:ascii="Arial" w:hAnsi="Arial" w:cs="Arial"/>
                <w:color w:val="000000"/>
                <w:sz w:val="16"/>
                <w:szCs w:val="18"/>
                <w:lang w:eastAsia="pt-BR"/>
              </w:rPr>
              <w:t xml:space="preserve">  Compartilhamento de Receita</w:t>
            </w:r>
          </w:p>
        </w:tc>
        <w:tc>
          <w:tcPr>
            <w:tcW w:w="619" w:type="pct"/>
            <w:tcBorders>
              <w:top w:val="nil"/>
              <w:left w:val="nil"/>
              <w:bottom w:val="single" w:sz="8" w:space="0" w:color="8EAADB"/>
              <w:right w:val="nil"/>
            </w:tcBorders>
            <w:shd w:val="clear" w:color="auto" w:fill="auto"/>
            <w:noWrap/>
            <w:vAlign w:val="center"/>
            <w:hideMark/>
          </w:tcPr>
          <w:p w14:paraId="3DBD05A0"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19.640 </w:t>
            </w:r>
          </w:p>
        </w:tc>
        <w:tc>
          <w:tcPr>
            <w:tcW w:w="619" w:type="pct"/>
            <w:tcBorders>
              <w:top w:val="nil"/>
              <w:left w:val="nil"/>
              <w:bottom w:val="single" w:sz="8" w:space="0" w:color="8EAADB"/>
              <w:right w:val="nil"/>
            </w:tcBorders>
            <w:shd w:val="clear" w:color="auto" w:fill="auto"/>
            <w:noWrap/>
            <w:vAlign w:val="center"/>
            <w:hideMark/>
          </w:tcPr>
          <w:p w14:paraId="178D9635"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15.463 </w:t>
            </w:r>
          </w:p>
        </w:tc>
        <w:tc>
          <w:tcPr>
            <w:tcW w:w="619" w:type="pct"/>
            <w:tcBorders>
              <w:top w:val="nil"/>
              <w:left w:val="nil"/>
              <w:bottom w:val="single" w:sz="8" w:space="0" w:color="8EAADB"/>
              <w:right w:val="nil"/>
            </w:tcBorders>
            <w:shd w:val="clear" w:color="auto" w:fill="auto"/>
            <w:noWrap/>
            <w:vAlign w:val="center"/>
            <w:hideMark/>
          </w:tcPr>
          <w:p w14:paraId="2DC822E2"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7.099 </w:t>
            </w:r>
          </w:p>
        </w:tc>
      </w:tr>
      <w:tr w:rsidR="006C6302" w:rsidRPr="00393495" w14:paraId="3779A260" w14:textId="77777777" w:rsidTr="00446A14">
        <w:trPr>
          <w:trHeight w:val="238"/>
        </w:trPr>
        <w:tc>
          <w:tcPr>
            <w:tcW w:w="3144" w:type="pct"/>
            <w:tcBorders>
              <w:top w:val="nil"/>
              <w:left w:val="nil"/>
              <w:bottom w:val="single" w:sz="8" w:space="0" w:color="8EAADB"/>
              <w:right w:val="nil"/>
            </w:tcBorders>
            <w:shd w:val="clear" w:color="auto" w:fill="auto"/>
            <w:noWrap/>
            <w:vAlign w:val="center"/>
            <w:hideMark/>
          </w:tcPr>
          <w:p w14:paraId="76ADB47A" w14:textId="77777777" w:rsidR="006C6302" w:rsidRPr="00087F48" w:rsidRDefault="006C6302" w:rsidP="00446A14">
            <w:pPr>
              <w:spacing w:after="0" w:line="240" w:lineRule="auto"/>
              <w:rPr>
                <w:rFonts w:ascii="Arial" w:hAnsi="Arial" w:cs="Arial"/>
                <w:color w:val="000000"/>
                <w:sz w:val="16"/>
                <w:szCs w:val="18"/>
                <w:lang w:eastAsia="pt-BR"/>
              </w:rPr>
            </w:pPr>
            <w:r w:rsidRPr="00087F48">
              <w:rPr>
                <w:rFonts w:ascii="Arial" w:hAnsi="Arial" w:cs="Arial"/>
                <w:color w:val="000000"/>
                <w:sz w:val="16"/>
                <w:szCs w:val="18"/>
                <w:lang w:eastAsia="pt-BR"/>
              </w:rPr>
              <w:t xml:space="preserve">  Receita de Valor Adicionado</w:t>
            </w:r>
          </w:p>
        </w:tc>
        <w:tc>
          <w:tcPr>
            <w:tcW w:w="619" w:type="pct"/>
            <w:tcBorders>
              <w:top w:val="nil"/>
              <w:left w:val="nil"/>
              <w:bottom w:val="single" w:sz="8" w:space="0" w:color="8EAADB"/>
              <w:right w:val="nil"/>
            </w:tcBorders>
            <w:shd w:val="clear" w:color="auto" w:fill="auto"/>
            <w:noWrap/>
            <w:vAlign w:val="center"/>
            <w:hideMark/>
          </w:tcPr>
          <w:p w14:paraId="00F1A1BD"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18.073 </w:t>
            </w:r>
          </w:p>
        </w:tc>
        <w:tc>
          <w:tcPr>
            <w:tcW w:w="619" w:type="pct"/>
            <w:tcBorders>
              <w:top w:val="nil"/>
              <w:left w:val="nil"/>
              <w:bottom w:val="single" w:sz="8" w:space="0" w:color="8EAADB"/>
              <w:right w:val="nil"/>
            </w:tcBorders>
            <w:shd w:val="clear" w:color="auto" w:fill="auto"/>
            <w:noWrap/>
            <w:vAlign w:val="center"/>
            <w:hideMark/>
          </w:tcPr>
          <w:p w14:paraId="50D6750C"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     </w:t>
            </w:r>
          </w:p>
        </w:tc>
        <w:tc>
          <w:tcPr>
            <w:tcW w:w="619" w:type="pct"/>
            <w:tcBorders>
              <w:top w:val="nil"/>
              <w:left w:val="nil"/>
              <w:bottom w:val="single" w:sz="8" w:space="0" w:color="8EAADB"/>
              <w:right w:val="nil"/>
            </w:tcBorders>
            <w:shd w:val="clear" w:color="auto" w:fill="auto"/>
            <w:noWrap/>
            <w:vAlign w:val="center"/>
            <w:hideMark/>
          </w:tcPr>
          <w:p w14:paraId="4E553FB3"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 </w:t>
            </w:r>
          </w:p>
        </w:tc>
      </w:tr>
      <w:tr w:rsidR="006C6302" w:rsidRPr="00393495" w14:paraId="001BBB6C" w14:textId="77777777" w:rsidTr="00446A14">
        <w:trPr>
          <w:trHeight w:val="238"/>
        </w:trPr>
        <w:tc>
          <w:tcPr>
            <w:tcW w:w="3144" w:type="pct"/>
            <w:tcBorders>
              <w:top w:val="nil"/>
              <w:left w:val="nil"/>
              <w:bottom w:val="single" w:sz="8" w:space="0" w:color="8EAADB"/>
              <w:right w:val="nil"/>
            </w:tcBorders>
            <w:shd w:val="clear" w:color="auto" w:fill="auto"/>
            <w:noWrap/>
            <w:vAlign w:val="center"/>
            <w:hideMark/>
          </w:tcPr>
          <w:p w14:paraId="50570960" w14:textId="77777777" w:rsidR="006C6302" w:rsidRPr="00087F48" w:rsidRDefault="006C6302" w:rsidP="00446A14">
            <w:pPr>
              <w:spacing w:after="0" w:line="240" w:lineRule="auto"/>
              <w:rPr>
                <w:rFonts w:ascii="Arial" w:hAnsi="Arial" w:cs="Arial"/>
                <w:color w:val="000000"/>
                <w:sz w:val="16"/>
                <w:szCs w:val="18"/>
                <w:lang w:eastAsia="pt-BR"/>
              </w:rPr>
            </w:pPr>
            <w:r w:rsidRPr="00087F48">
              <w:rPr>
                <w:rFonts w:ascii="Arial" w:hAnsi="Arial" w:cs="Arial"/>
                <w:color w:val="000000"/>
                <w:sz w:val="16"/>
                <w:szCs w:val="18"/>
                <w:lang w:eastAsia="pt-BR"/>
              </w:rPr>
              <w:t xml:space="preserve">  Outras Receitas</w:t>
            </w:r>
          </w:p>
        </w:tc>
        <w:tc>
          <w:tcPr>
            <w:tcW w:w="619" w:type="pct"/>
            <w:tcBorders>
              <w:top w:val="nil"/>
              <w:left w:val="nil"/>
              <w:bottom w:val="single" w:sz="8" w:space="0" w:color="8EAADB"/>
              <w:right w:val="nil"/>
            </w:tcBorders>
            <w:shd w:val="clear" w:color="auto" w:fill="auto"/>
            <w:noWrap/>
            <w:vAlign w:val="center"/>
            <w:hideMark/>
          </w:tcPr>
          <w:p w14:paraId="360F932C"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14.496 </w:t>
            </w:r>
          </w:p>
        </w:tc>
        <w:tc>
          <w:tcPr>
            <w:tcW w:w="619" w:type="pct"/>
            <w:tcBorders>
              <w:top w:val="nil"/>
              <w:left w:val="nil"/>
              <w:bottom w:val="single" w:sz="8" w:space="0" w:color="8EAADB"/>
              <w:right w:val="nil"/>
            </w:tcBorders>
            <w:shd w:val="clear" w:color="auto" w:fill="auto"/>
            <w:noWrap/>
            <w:vAlign w:val="center"/>
            <w:hideMark/>
          </w:tcPr>
          <w:p w14:paraId="0E8DDD06"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6.888 </w:t>
            </w:r>
          </w:p>
        </w:tc>
        <w:tc>
          <w:tcPr>
            <w:tcW w:w="619" w:type="pct"/>
            <w:tcBorders>
              <w:top w:val="nil"/>
              <w:left w:val="nil"/>
              <w:bottom w:val="single" w:sz="8" w:space="0" w:color="8EAADB"/>
              <w:right w:val="nil"/>
            </w:tcBorders>
            <w:shd w:val="clear" w:color="auto" w:fill="auto"/>
            <w:noWrap/>
            <w:vAlign w:val="center"/>
            <w:hideMark/>
          </w:tcPr>
          <w:p w14:paraId="7364E114"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899 </w:t>
            </w:r>
          </w:p>
        </w:tc>
      </w:tr>
      <w:tr w:rsidR="006C6302" w:rsidRPr="00393495" w14:paraId="2CDA29C9" w14:textId="77777777" w:rsidTr="00446A14">
        <w:trPr>
          <w:trHeight w:val="238"/>
        </w:trPr>
        <w:tc>
          <w:tcPr>
            <w:tcW w:w="3144" w:type="pct"/>
            <w:tcBorders>
              <w:top w:val="nil"/>
              <w:left w:val="nil"/>
              <w:bottom w:val="single" w:sz="8" w:space="0" w:color="8EAADB"/>
              <w:right w:val="nil"/>
            </w:tcBorders>
            <w:shd w:val="clear" w:color="auto" w:fill="auto"/>
            <w:noWrap/>
            <w:vAlign w:val="center"/>
            <w:hideMark/>
          </w:tcPr>
          <w:p w14:paraId="42F1DB27" w14:textId="77777777" w:rsidR="006C6302" w:rsidRPr="00087F48" w:rsidRDefault="006C6302" w:rsidP="00446A14">
            <w:pPr>
              <w:spacing w:after="0" w:line="240" w:lineRule="auto"/>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DEDUÇÕES DA RECEITA OPERACIONAL BRUTA </w:t>
            </w:r>
          </w:p>
        </w:tc>
        <w:tc>
          <w:tcPr>
            <w:tcW w:w="619" w:type="pct"/>
            <w:tcBorders>
              <w:top w:val="nil"/>
              <w:left w:val="nil"/>
              <w:bottom w:val="single" w:sz="8" w:space="0" w:color="8EAADB"/>
              <w:right w:val="nil"/>
            </w:tcBorders>
            <w:shd w:val="clear" w:color="auto" w:fill="auto"/>
            <w:noWrap/>
            <w:vAlign w:val="center"/>
            <w:hideMark/>
          </w:tcPr>
          <w:p w14:paraId="5371347F" w14:textId="77777777" w:rsidR="006C6302" w:rsidRPr="00087F48" w:rsidRDefault="006C6302"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(53.212)</w:t>
            </w:r>
          </w:p>
        </w:tc>
        <w:tc>
          <w:tcPr>
            <w:tcW w:w="619" w:type="pct"/>
            <w:tcBorders>
              <w:top w:val="nil"/>
              <w:left w:val="nil"/>
              <w:bottom w:val="single" w:sz="8" w:space="0" w:color="8EAADB"/>
              <w:right w:val="nil"/>
            </w:tcBorders>
            <w:shd w:val="clear" w:color="auto" w:fill="auto"/>
            <w:noWrap/>
            <w:vAlign w:val="center"/>
            <w:hideMark/>
          </w:tcPr>
          <w:p w14:paraId="38F7BF62" w14:textId="77777777" w:rsidR="006C6302" w:rsidRPr="00087F48" w:rsidRDefault="006C6302"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(55.662)</w:t>
            </w:r>
          </w:p>
        </w:tc>
        <w:tc>
          <w:tcPr>
            <w:tcW w:w="619" w:type="pct"/>
            <w:tcBorders>
              <w:top w:val="nil"/>
              <w:left w:val="nil"/>
              <w:bottom w:val="single" w:sz="8" w:space="0" w:color="8EAADB"/>
              <w:right w:val="nil"/>
            </w:tcBorders>
            <w:shd w:val="clear" w:color="auto" w:fill="auto"/>
            <w:noWrap/>
            <w:vAlign w:val="center"/>
            <w:hideMark/>
          </w:tcPr>
          <w:p w14:paraId="1375E4E0" w14:textId="77777777" w:rsidR="006C6302" w:rsidRPr="00087F48" w:rsidRDefault="006C6302"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(58.569)</w:t>
            </w:r>
          </w:p>
        </w:tc>
      </w:tr>
      <w:tr w:rsidR="006C6302" w:rsidRPr="00393495" w14:paraId="35F81FAE" w14:textId="77777777" w:rsidTr="00446A14">
        <w:trPr>
          <w:trHeight w:val="238"/>
        </w:trPr>
        <w:tc>
          <w:tcPr>
            <w:tcW w:w="3144" w:type="pct"/>
            <w:tcBorders>
              <w:top w:val="nil"/>
              <w:left w:val="nil"/>
              <w:bottom w:val="single" w:sz="8" w:space="0" w:color="8EAADB"/>
              <w:right w:val="nil"/>
            </w:tcBorders>
            <w:shd w:val="clear" w:color="auto" w:fill="auto"/>
            <w:noWrap/>
            <w:vAlign w:val="center"/>
            <w:hideMark/>
          </w:tcPr>
          <w:p w14:paraId="4881D7A4" w14:textId="77777777" w:rsidR="006C6302" w:rsidRPr="00087F48" w:rsidRDefault="006C6302" w:rsidP="00446A14">
            <w:pPr>
              <w:spacing w:after="0" w:line="240" w:lineRule="auto"/>
              <w:rPr>
                <w:rFonts w:ascii="Arial" w:hAnsi="Arial" w:cs="Arial"/>
                <w:color w:val="000000"/>
                <w:sz w:val="16"/>
                <w:szCs w:val="18"/>
                <w:lang w:eastAsia="pt-BR"/>
              </w:rPr>
            </w:pPr>
            <w:r w:rsidRPr="00087F48">
              <w:rPr>
                <w:rFonts w:ascii="Arial" w:hAnsi="Arial" w:cs="Arial"/>
                <w:color w:val="000000"/>
                <w:sz w:val="16"/>
                <w:szCs w:val="18"/>
                <w:lang w:eastAsia="pt-BR"/>
              </w:rPr>
              <w:t xml:space="preserve">  Tributos s/ Receita Operacional Bruta</w:t>
            </w:r>
          </w:p>
        </w:tc>
        <w:tc>
          <w:tcPr>
            <w:tcW w:w="619" w:type="pct"/>
            <w:tcBorders>
              <w:top w:val="nil"/>
              <w:left w:val="nil"/>
              <w:bottom w:val="single" w:sz="8" w:space="0" w:color="8EAADB"/>
              <w:right w:val="nil"/>
            </w:tcBorders>
            <w:shd w:val="clear" w:color="auto" w:fill="auto"/>
            <w:noWrap/>
            <w:vAlign w:val="center"/>
            <w:hideMark/>
          </w:tcPr>
          <w:p w14:paraId="383A7D54"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(51.456)</w:t>
            </w:r>
          </w:p>
        </w:tc>
        <w:tc>
          <w:tcPr>
            <w:tcW w:w="619" w:type="pct"/>
            <w:tcBorders>
              <w:top w:val="nil"/>
              <w:left w:val="nil"/>
              <w:bottom w:val="single" w:sz="8" w:space="0" w:color="8EAADB"/>
              <w:right w:val="nil"/>
            </w:tcBorders>
            <w:shd w:val="clear" w:color="auto" w:fill="auto"/>
            <w:noWrap/>
            <w:vAlign w:val="center"/>
            <w:hideMark/>
          </w:tcPr>
          <w:p w14:paraId="36E6D5AF"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(55.280)</w:t>
            </w:r>
          </w:p>
        </w:tc>
        <w:tc>
          <w:tcPr>
            <w:tcW w:w="619" w:type="pct"/>
            <w:tcBorders>
              <w:top w:val="nil"/>
              <w:left w:val="nil"/>
              <w:bottom w:val="single" w:sz="8" w:space="0" w:color="8EAADB"/>
              <w:right w:val="nil"/>
            </w:tcBorders>
            <w:shd w:val="clear" w:color="auto" w:fill="auto"/>
            <w:noWrap/>
            <w:vAlign w:val="center"/>
            <w:hideMark/>
          </w:tcPr>
          <w:p w14:paraId="50A07011"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(58.161)</w:t>
            </w:r>
          </w:p>
        </w:tc>
      </w:tr>
      <w:tr w:rsidR="006C6302" w:rsidRPr="00393495" w14:paraId="7A75DD82" w14:textId="77777777" w:rsidTr="00446A14">
        <w:trPr>
          <w:trHeight w:val="238"/>
        </w:trPr>
        <w:tc>
          <w:tcPr>
            <w:tcW w:w="3144" w:type="pct"/>
            <w:tcBorders>
              <w:top w:val="nil"/>
              <w:left w:val="nil"/>
              <w:bottom w:val="single" w:sz="8" w:space="0" w:color="8EAADB"/>
              <w:right w:val="nil"/>
            </w:tcBorders>
            <w:shd w:val="clear" w:color="auto" w:fill="auto"/>
            <w:noWrap/>
            <w:vAlign w:val="center"/>
            <w:hideMark/>
          </w:tcPr>
          <w:p w14:paraId="0AE43872" w14:textId="77777777" w:rsidR="006C6302" w:rsidRPr="00087F48" w:rsidRDefault="006C6302" w:rsidP="00446A14">
            <w:pPr>
              <w:spacing w:after="0" w:line="240" w:lineRule="auto"/>
              <w:rPr>
                <w:rFonts w:ascii="Arial" w:hAnsi="Arial" w:cs="Arial"/>
                <w:color w:val="000000"/>
                <w:sz w:val="16"/>
                <w:szCs w:val="18"/>
                <w:lang w:eastAsia="pt-BR"/>
              </w:rPr>
            </w:pPr>
            <w:r w:rsidRPr="00087F48">
              <w:rPr>
                <w:rFonts w:ascii="Arial" w:hAnsi="Arial" w:cs="Arial"/>
                <w:color w:val="000000"/>
                <w:sz w:val="16"/>
                <w:szCs w:val="18"/>
                <w:lang w:eastAsia="pt-BR"/>
              </w:rPr>
              <w:t xml:space="preserve">   Descontos Incondicionais/Outros</w:t>
            </w:r>
          </w:p>
        </w:tc>
        <w:tc>
          <w:tcPr>
            <w:tcW w:w="619" w:type="pct"/>
            <w:tcBorders>
              <w:top w:val="nil"/>
              <w:left w:val="nil"/>
              <w:bottom w:val="single" w:sz="8" w:space="0" w:color="8EAADB"/>
              <w:right w:val="nil"/>
            </w:tcBorders>
            <w:shd w:val="clear" w:color="auto" w:fill="auto"/>
            <w:noWrap/>
            <w:vAlign w:val="center"/>
            <w:hideMark/>
          </w:tcPr>
          <w:p w14:paraId="705625E8"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(1.756)</w:t>
            </w:r>
          </w:p>
        </w:tc>
        <w:tc>
          <w:tcPr>
            <w:tcW w:w="619" w:type="pct"/>
            <w:tcBorders>
              <w:top w:val="nil"/>
              <w:left w:val="nil"/>
              <w:bottom w:val="single" w:sz="8" w:space="0" w:color="8EAADB"/>
              <w:right w:val="nil"/>
            </w:tcBorders>
            <w:shd w:val="clear" w:color="auto" w:fill="auto"/>
            <w:noWrap/>
            <w:vAlign w:val="center"/>
            <w:hideMark/>
          </w:tcPr>
          <w:p w14:paraId="33F933D6"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(382)</w:t>
            </w:r>
          </w:p>
        </w:tc>
        <w:tc>
          <w:tcPr>
            <w:tcW w:w="619" w:type="pct"/>
            <w:tcBorders>
              <w:top w:val="nil"/>
              <w:left w:val="nil"/>
              <w:bottom w:val="single" w:sz="8" w:space="0" w:color="8EAADB"/>
              <w:right w:val="nil"/>
            </w:tcBorders>
            <w:shd w:val="clear" w:color="auto" w:fill="auto"/>
            <w:noWrap/>
            <w:vAlign w:val="center"/>
            <w:hideMark/>
          </w:tcPr>
          <w:p w14:paraId="7A466AA3"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(408)</w:t>
            </w:r>
          </w:p>
        </w:tc>
      </w:tr>
      <w:tr w:rsidR="006C6302" w:rsidRPr="00393495" w14:paraId="29EB08A1" w14:textId="77777777" w:rsidTr="00446A14">
        <w:trPr>
          <w:trHeight w:val="238"/>
        </w:trPr>
        <w:tc>
          <w:tcPr>
            <w:tcW w:w="3144" w:type="pct"/>
            <w:tcBorders>
              <w:top w:val="nil"/>
              <w:left w:val="nil"/>
              <w:bottom w:val="single" w:sz="8" w:space="0" w:color="8EAADB"/>
              <w:right w:val="nil"/>
            </w:tcBorders>
            <w:shd w:val="clear" w:color="auto" w:fill="auto"/>
            <w:noWrap/>
            <w:vAlign w:val="center"/>
            <w:hideMark/>
          </w:tcPr>
          <w:p w14:paraId="16BFAC74" w14:textId="77777777" w:rsidR="006C6302" w:rsidRPr="00087F48" w:rsidRDefault="006C6302" w:rsidP="00446A14">
            <w:pPr>
              <w:spacing w:after="0" w:line="240" w:lineRule="auto"/>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RECEITA OPERACIONAL LÍQUIDA</w:t>
            </w:r>
          </w:p>
        </w:tc>
        <w:tc>
          <w:tcPr>
            <w:tcW w:w="619" w:type="pct"/>
            <w:tcBorders>
              <w:top w:val="nil"/>
              <w:left w:val="nil"/>
              <w:bottom w:val="single" w:sz="8" w:space="0" w:color="8EAADB"/>
              <w:right w:val="nil"/>
            </w:tcBorders>
            <w:shd w:val="clear" w:color="auto" w:fill="auto"/>
            <w:noWrap/>
            <w:vAlign w:val="center"/>
            <w:hideMark/>
          </w:tcPr>
          <w:p w14:paraId="5247AB17" w14:textId="77777777" w:rsidR="006C6302" w:rsidRPr="00087F48" w:rsidRDefault="006C6302"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416.840 </w:t>
            </w:r>
          </w:p>
        </w:tc>
        <w:tc>
          <w:tcPr>
            <w:tcW w:w="619" w:type="pct"/>
            <w:tcBorders>
              <w:top w:val="nil"/>
              <w:left w:val="nil"/>
              <w:bottom w:val="single" w:sz="8" w:space="0" w:color="8EAADB"/>
              <w:right w:val="nil"/>
            </w:tcBorders>
            <w:shd w:val="clear" w:color="auto" w:fill="auto"/>
            <w:noWrap/>
            <w:vAlign w:val="center"/>
            <w:hideMark/>
          </w:tcPr>
          <w:p w14:paraId="227B801A" w14:textId="77777777" w:rsidR="006C6302" w:rsidRPr="00087F48" w:rsidRDefault="006C6302"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347.840 </w:t>
            </w:r>
          </w:p>
        </w:tc>
        <w:tc>
          <w:tcPr>
            <w:tcW w:w="619" w:type="pct"/>
            <w:tcBorders>
              <w:top w:val="nil"/>
              <w:left w:val="nil"/>
              <w:bottom w:val="single" w:sz="8" w:space="0" w:color="8EAADB"/>
              <w:right w:val="nil"/>
            </w:tcBorders>
            <w:shd w:val="clear" w:color="auto" w:fill="auto"/>
            <w:noWrap/>
            <w:vAlign w:val="center"/>
            <w:hideMark/>
          </w:tcPr>
          <w:p w14:paraId="76EE2AC0" w14:textId="77777777" w:rsidR="006C6302" w:rsidRPr="00087F48" w:rsidRDefault="006C6302"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285.653 </w:t>
            </w:r>
          </w:p>
        </w:tc>
      </w:tr>
      <w:tr w:rsidR="006C6302" w:rsidRPr="00393495" w14:paraId="2D39DC0E" w14:textId="77777777" w:rsidTr="00446A14">
        <w:trPr>
          <w:trHeight w:val="238"/>
        </w:trPr>
        <w:tc>
          <w:tcPr>
            <w:tcW w:w="3144" w:type="pct"/>
            <w:tcBorders>
              <w:top w:val="nil"/>
              <w:left w:val="nil"/>
              <w:bottom w:val="single" w:sz="8" w:space="0" w:color="8EAADB"/>
              <w:right w:val="nil"/>
            </w:tcBorders>
            <w:shd w:val="clear" w:color="auto" w:fill="auto"/>
            <w:noWrap/>
            <w:vAlign w:val="center"/>
            <w:hideMark/>
          </w:tcPr>
          <w:p w14:paraId="38B6CC26" w14:textId="77777777" w:rsidR="006C6302" w:rsidRPr="00087F48" w:rsidRDefault="006C6302" w:rsidP="00446A14">
            <w:pPr>
              <w:spacing w:after="0" w:line="240" w:lineRule="auto"/>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RECEITAS/(CUSTOS/DESPESAS) OPERACIONAIS</w:t>
            </w:r>
          </w:p>
        </w:tc>
        <w:tc>
          <w:tcPr>
            <w:tcW w:w="619" w:type="pct"/>
            <w:tcBorders>
              <w:top w:val="nil"/>
              <w:left w:val="nil"/>
              <w:bottom w:val="single" w:sz="8" w:space="0" w:color="8EAADB"/>
              <w:right w:val="nil"/>
            </w:tcBorders>
            <w:shd w:val="clear" w:color="auto" w:fill="auto"/>
            <w:noWrap/>
            <w:vAlign w:val="center"/>
            <w:hideMark/>
          </w:tcPr>
          <w:p w14:paraId="57C2A877" w14:textId="77777777" w:rsidR="006C6302" w:rsidRPr="00087F48" w:rsidRDefault="006C6302"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(230.707)</w:t>
            </w:r>
          </w:p>
        </w:tc>
        <w:tc>
          <w:tcPr>
            <w:tcW w:w="619" w:type="pct"/>
            <w:tcBorders>
              <w:top w:val="nil"/>
              <w:left w:val="nil"/>
              <w:bottom w:val="single" w:sz="8" w:space="0" w:color="8EAADB"/>
              <w:right w:val="nil"/>
            </w:tcBorders>
            <w:shd w:val="clear" w:color="auto" w:fill="auto"/>
            <w:noWrap/>
            <w:vAlign w:val="center"/>
            <w:hideMark/>
          </w:tcPr>
          <w:p w14:paraId="61C5D530" w14:textId="77777777" w:rsidR="006C6302" w:rsidRPr="00087F48" w:rsidRDefault="006C6302"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(174.064)</w:t>
            </w:r>
          </w:p>
        </w:tc>
        <w:tc>
          <w:tcPr>
            <w:tcW w:w="619" w:type="pct"/>
            <w:tcBorders>
              <w:top w:val="nil"/>
              <w:left w:val="nil"/>
              <w:bottom w:val="single" w:sz="8" w:space="0" w:color="8EAADB"/>
              <w:right w:val="nil"/>
            </w:tcBorders>
            <w:shd w:val="clear" w:color="auto" w:fill="auto"/>
            <w:noWrap/>
            <w:vAlign w:val="center"/>
            <w:hideMark/>
          </w:tcPr>
          <w:p w14:paraId="7D908B38" w14:textId="77777777" w:rsidR="006C6302" w:rsidRPr="00087F48" w:rsidRDefault="006C6302"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(132.048)</w:t>
            </w:r>
          </w:p>
        </w:tc>
      </w:tr>
      <w:tr w:rsidR="006C6302" w:rsidRPr="00393495" w14:paraId="32E53958" w14:textId="77777777" w:rsidTr="00446A14">
        <w:trPr>
          <w:trHeight w:val="238"/>
        </w:trPr>
        <w:tc>
          <w:tcPr>
            <w:tcW w:w="3144" w:type="pct"/>
            <w:tcBorders>
              <w:top w:val="nil"/>
              <w:left w:val="nil"/>
              <w:bottom w:val="single" w:sz="8" w:space="0" w:color="8EAADB"/>
              <w:right w:val="nil"/>
            </w:tcBorders>
            <w:shd w:val="clear" w:color="auto" w:fill="auto"/>
            <w:noWrap/>
            <w:vAlign w:val="center"/>
            <w:hideMark/>
          </w:tcPr>
          <w:p w14:paraId="1FBBD08B" w14:textId="77777777" w:rsidR="006C6302" w:rsidRPr="00087F48" w:rsidRDefault="006C6302" w:rsidP="00446A14">
            <w:pPr>
              <w:spacing w:after="0" w:line="240" w:lineRule="auto"/>
              <w:rPr>
                <w:rFonts w:ascii="Arial" w:hAnsi="Arial" w:cs="Arial"/>
                <w:color w:val="000000"/>
                <w:sz w:val="16"/>
                <w:szCs w:val="18"/>
                <w:lang w:eastAsia="pt-BR"/>
              </w:rPr>
            </w:pPr>
            <w:r w:rsidRPr="00087F48">
              <w:rPr>
                <w:rFonts w:ascii="Arial" w:hAnsi="Arial" w:cs="Arial"/>
                <w:color w:val="000000"/>
                <w:sz w:val="16"/>
                <w:szCs w:val="18"/>
                <w:lang w:eastAsia="pt-BR"/>
              </w:rPr>
              <w:t xml:space="preserve">    Serviços de Terceiros</w:t>
            </w:r>
          </w:p>
        </w:tc>
        <w:tc>
          <w:tcPr>
            <w:tcW w:w="619" w:type="pct"/>
            <w:tcBorders>
              <w:top w:val="nil"/>
              <w:left w:val="nil"/>
              <w:bottom w:val="single" w:sz="8" w:space="0" w:color="8EAADB"/>
              <w:right w:val="nil"/>
            </w:tcBorders>
            <w:shd w:val="clear" w:color="auto" w:fill="auto"/>
            <w:noWrap/>
            <w:vAlign w:val="center"/>
            <w:hideMark/>
          </w:tcPr>
          <w:p w14:paraId="033C149B"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(159.570)</w:t>
            </w:r>
          </w:p>
        </w:tc>
        <w:tc>
          <w:tcPr>
            <w:tcW w:w="619" w:type="pct"/>
            <w:tcBorders>
              <w:top w:val="nil"/>
              <w:left w:val="nil"/>
              <w:bottom w:val="single" w:sz="8" w:space="0" w:color="8EAADB"/>
              <w:right w:val="nil"/>
            </w:tcBorders>
            <w:shd w:val="clear" w:color="auto" w:fill="auto"/>
            <w:noWrap/>
            <w:vAlign w:val="center"/>
            <w:hideMark/>
          </w:tcPr>
          <w:p w14:paraId="32EF22F3"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(109.165)</w:t>
            </w:r>
          </w:p>
        </w:tc>
        <w:tc>
          <w:tcPr>
            <w:tcW w:w="619" w:type="pct"/>
            <w:tcBorders>
              <w:top w:val="nil"/>
              <w:left w:val="nil"/>
              <w:bottom w:val="single" w:sz="8" w:space="0" w:color="8EAADB"/>
              <w:right w:val="nil"/>
            </w:tcBorders>
            <w:shd w:val="clear" w:color="auto" w:fill="auto"/>
            <w:noWrap/>
            <w:vAlign w:val="center"/>
            <w:hideMark/>
          </w:tcPr>
          <w:p w14:paraId="1B1C974E"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(84.088)</w:t>
            </w:r>
          </w:p>
        </w:tc>
      </w:tr>
      <w:tr w:rsidR="006C6302" w:rsidRPr="00393495" w14:paraId="31EEC767" w14:textId="77777777" w:rsidTr="00446A14">
        <w:trPr>
          <w:trHeight w:val="238"/>
        </w:trPr>
        <w:tc>
          <w:tcPr>
            <w:tcW w:w="3144" w:type="pct"/>
            <w:tcBorders>
              <w:top w:val="nil"/>
              <w:left w:val="nil"/>
              <w:bottom w:val="single" w:sz="8" w:space="0" w:color="8EAADB"/>
              <w:right w:val="nil"/>
            </w:tcBorders>
            <w:shd w:val="clear" w:color="auto" w:fill="auto"/>
            <w:noWrap/>
            <w:vAlign w:val="center"/>
            <w:hideMark/>
          </w:tcPr>
          <w:p w14:paraId="1ED5ACAD" w14:textId="77777777" w:rsidR="006C6302" w:rsidRPr="00087F48" w:rsidRDefault="006C6302" w:rsidP="00446A14">
            <w:pPr>
              <w:spacing w:after="0" w:line="240" w:lineRule="auto"/>
              <w:rPr>
                <w:rFonts w:ascii="Arial" w:hAnsi="Arial" w:cs="Arial"/>
                <w:color w:val="000000"/>
                <w:sz w:val="16"/>
                <w:szCs w:val="18"/>
                <w:lang w:eastAsia="pt-BR"/>
              </w:rPr>
            </w:pPr>
            <w:r w:rsidRPr="00087F48">
              <w:rPr>
                <w:rFonts w:ascii="Arial" w:hAnsi="Arial" w:cs="Arial"/>
                <w:color w:val="000000"/>
                <w:sz w:val="16"/>
                <w:szCs w:val="18"/>
                <w:lang w:eastAsia="pt-BR"/>
              </w:rPr>
              <w:t xml:space="preserve">    Meios de Conexão e Transmissão</w:t>
            </w:r>
          </w:p>
        </w:tc>
        <w:tc>
          <w:tcPr>
            <w:tcW w:w="619" w:type="pct"/>
            <w:tcBorders>
              <w:top w:val="nil"/>
              <w:left w:val="nil"/>
              <w:bottom w:val="single" w:sz="8" w:space="0" w:color="8EAADB"/>
              <w:right w:val="nil"/>
            </w:tcBorders>
            <w:shd w:val="clear" w:color="auto" w:fill="auto"/>
            <w:noWrap/>
            <w:vAlign w:val="center"/>
            <w:hideMark/>
          </w:tcPr>
          <w:p w14:paraId="064E3C2C"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(136.851)</w:t>
            </w:r>
          </w:p>
        </w:tc>
        <w:tc>
          <w:tcPr>
            <w:tcW w:w="619" w:type="pct"/>
            <w:tcBorders>
              <w:top w:val="nil"/>
              <w:left w:val="nil"/>
              <w:bottom w:val="single" w:sz="8" w:space="0" w:color="8EAADB"/>
              <w:right w:val="nil"/>
            </w:tcBorders>
            <w:shd w:val="clear" w:color="auto" w:fill="auto"/>
            <w:noWrap/>
            <w:vAlign w:val="center"/>
            <w:hideMark/>
          </w:tcPr>
          <w:p w14:paraId="026716DD"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(127.727)</w:t>
            </w:r>
          </w:p>
        </w:tc>
        <w:tc>
          <w:tcPr>
            <w:tcW w:w="619" w:type="pct"/>
            <w:tcBorders>
              <w:top w:val="nil"/>
              <w:left w:val="nil"/>
              <w:bottom w:val="single" w:sz="8" w:space="0" w:color="8EAADB"/>
              <w:right w:val="nil"/>
            </w:tcBorders>
            <w:shd w:val="clear" w:color="auto" w:fill="auto"/>
            <w:noWrap/>
            <w:vAlign w:val="center"/>
            <w:hideMark/>
          </w:tcPr>
          <w:p w14:paraId="47E4DC93"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(116.669)</w:t>
            </w:r>
          </w:p>
        </w:tc>
      </w:tr>
      <w:tr w:rsidR="006C6302" w:rsidRPr="00393495" w14:paraId="180762FC" w14:textId="77777777" w:rsidTr="00446A14">
        <w:trPr>
          <w:trHeight w:val="238"/>
        </w:trPr>
        <w:tc>
          <w:tcPr>
            <w:tcW w:w="3144" w:type="pct"/>
            <w:tcBorders>
              <w:top w:val="nil"/>
              <w:left w:val="nil"/>
              <w:bottom w:val="single" w:sz="8" w:space="0" w:color="8EAADB"/>
              <w:right w:val="nil"/>
            </w:tcBorders>
            <w:shd w:val="clear" w:color="auto" w:fill="auto"/>
            <w:noWrap/>
            <w:vAlign w:val="center"/>
            <w:hideMark/>
          </w:tcPr>
          <w:p w14:paraId="30647649" w14:textId="77777777" w:rsidR="006C6302" w:rsidRPr="00087F48" w:rsidRDefault="006C6302" w:rsidP="00446A14">
            <w:pPr>
              <w:spacing w:after="0" w:line="240" w:lineRule="auto"/>
              <w:rPr>
                <w:rFonts w:ascii="Arial" w:hAnsi="Arial" w:cs="Arial"/>
                <w:color w:val="000000"/>
                <w:sz w:val="16"/>
                <w:szCs w:val="18"/>
                <w:lang w:eastAsia="pt-BR"/>
              </w:rPr>
            </w:pPr>
            <w:r w:rsidRPr="00087F48">
              <w:rPr>
                <w:rFonts w:ascii="Arial" w:hAnsi="Arial" w:cs="Arial"/>
                <w:color w:val="000000"/>
                <w:sz w:val="16"/>
                <w:szCs w:val="18"/>
                <w:lang w:eastAsia="pt-BR"/>
              </w:rPr>
              <w:t xml:space="preserve">    Pessoal </w:t>
            </w:r>
          </w:p>
        </w:tc>
        <w:tc>
          <w:tcPr>
            <w:tcW w:w="619" w:type="pct"/>
            <w:tcBorders>
              <w:top w:val="nil"/>
              <w:left w:val="nil"/>
              <w:bottom w:val="single" w:sz="8" w:space="0" w:color="8EAADB"/>
              <w:right w:val="nil"/>
            </w:tcBorders>
            <w:shd w:val="clear" w:color="auto" w:fill="auto"/>
            <w:noWrap/>
            <w:vAlign w:val="center"/>
            <w:hideMark/>
          </w:tcPr>
          <w:p w14:paraId="191AAD62"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(106.908)</w:t>
            </w:r>
          </w:p>
        </w:tc>
        <w:tc>
          <w:tcPr>
            <w:tcW w:w="619" w:type="pct"/>
            <w:tcBorders>
              <w:top w:val="nil"/>
              <w:left w:val="nil"/>
              <w:bottom w:val="single" w:sz="8" w:space="0" w:color="8EAADB"/>
              <w:right w:val="nil"/>
            </w:tcBorders>
            <w:shd w:val="clear" w:color="auto" w:fill="auto"/>
            <w:noWrap/>
            <w:vAlign w:val="center"/>
            <w:hideMark/>
          </w:tcPr>
          <w:p w14:paraId="2F7A3A6E"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(97.129)</w:t>
            </w:r>
          </w:p>
        </w:tc>
        <w:tc>
          <w:tcPr>
            <w:tcW w:w="619" w:type="pct"/>
            <w:tcBorders>
              <w:top w:val="nil"/>
              <w:left w:val="nil"/>
              <w:bottom w:val="single" w:sz="8" w:space="0" w:color="8EAADB"/>
              <w:right w:val="nil"/>
            </w:tcBorders>
            <w:shd w:val="clear" w:color="auto" w:fill="auto"/>
            <w:noWrap/>
            <w:vAlign w:val="center"/>
            <w:hideMark/>
          </w:tcPr>
          <w:p w14:paraId="7F205FC7"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(85.729)</w:t>
            </w:r>
          </w:p>
        </w:tc>
      </w:tr>
      <w:tr w:rsidR="006C6302" w:rsidRPr="00393495" w14:paraId="2558F5C3" w14:textId="77777777" w:rsidTr="00446A14">
        <w:trPr>
          <w:trHeight w:val="238"/>
        </w:trPr>
        <w:tc>
          <w:tcPr>
            <w:tcW w:w="3144" w:type="pct"/>
            <w:tcBorders>
              <w:top w:val="nil"/>
              <w:left w:val="nil"/>
              <w:bottom w:val="single" w:sz="8" w:space="0" w:color="8EAADB"/>
              <w:right w:val="nil"/>
            </w:tcBorders>
            <w:shd w:val="clear" w:color="auto" w:fill="auto"/>
            <w:noWrap/>
            <w:vAlign w:val="center"/>
            <w:hideMark/>
          </w:tcPr>
          <w:p w14:paraId="6E6D239A" w14:textId="77777777" w:rsidR="006C6302" w:rsidRPr="00087F48" w:rsidRDefault="006C6302" w:rsidP="00446A14">
            <w:pPr>
              <w:spacing w:after="0" w:line="240" w:lineRule="auto"/>
              <w:rPr>
                <w:rFonts w:ascii="Arial" w:hAnsi="Arial" w:cs="Arial"/>
                <w:color w:val="000000"/>
                <w:sz w:val="16"/>
                <w:szCs w:val="18"/>
                <w:lang w:eastAsia="pt-BR"/>
              </w:rPr>
            </w:pPr>
            <w:r w:rsidRPr="00087F48">
              <w:rPr>
                <w:rFonts w:ascii="Arial" w:hAnsi="Arial" w:cs="Arial"/>
                <w:color w:val="000000"/>
                <w:sz w:val="16"/>
                <w:szCs w:val="18"/>
                <w:lang w:eastAsia="pt-BR"/>
              </w:rPr>
              <w:t xml:space="preserve">    Aluguéis, Locações e Seguros</w:t>
            </w:r>
          </w:p>
        </w:tc>
        <w:tc>
          <w:tcPr>
            <w:tcW w:w="619" w:type="pct"/>
            <w:tcBorders>
              <w:top w:val="nil"/>
              <w:left w:val="nil"/>
              <w:bottom w:val="single" w:sz="8" w:space="0" w:color="8EAADB"/>
              <w:right w:val="nil"/>
            </w:tcBorders>
            <w:shd w:val="clear" w:color="auto" w:fill="auto"/>
            <w:noWrap/>
            <w:vAlign w:val="center"/>
            <w:hideMark/>
          </w:tcPr>
          <w:p w14:paraId="6BFBC4C7"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(50.936)</w:t>
            </w:r>
          </w:p>
        </w:tc>
        <w:tc>
          <w:tcPr>
            <w:tcW w:w="619" w:type="pct"/>
            <w:tcBorders>
              <w:top w:val="nil"/>
              <w:left w:val="nil"/>
              <w:bottom w:val="single" w:sz="8" w:space="0" w:color="8EAADB"/>
              <w:right w:val="nil"/>
            </w:tcBorders>
            <w:shd w:val="clear" w:color="auto" w:fill="auto"/>
            <w:noWrap/>
            <w:vAlign w:val="center"/>
            <w:hideMark/>
          </w:tcPr>
          <w:p w14:paraId="34B8ED9F"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(48.463)</w:t>
            </w:r>
          </w:p>
        </w:tc>
        <w:tc>
          <w:tcPr>
            <w:tcW w:w="619" w:type="pct"/>
            <w:tcBorders>
              <w:top w:val="nil"/>
              <w:left w:val="nil"/>
              <w:bottom w:val="single" w:sz="8" w:space="0" w:color="8EAADB"/>
              <w:right w:val="nil"/>
            </w:tcBorders>
            <w:shd w:val="clear" w:color="auto" w:fill="auto"/>
            <w:noWrap/>
            <w:vAlign w:val="center"/>
            <w:hideMark/>
          </w:tcPr>
          <w:p w14:paraId="3580B2D2"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(48.186)</w:t>
            </w:r>
          </w:p>
        </w:tc>
      </w:tr>
      <w:tr w:rsidR="006C6302" w:rsidRPr="00393495" w14:paraId="7F624460" w14:textId="77777777" w:rsidTr="00446A14">
        <w:trPr>
          <w:trHeight w:val="238"/>
        </w:trPr>
        <w:tc>
          <w:tcPr>
            <w:tcW w:w="3144" w:type="pct"/>
            <w:tcBorders>
              <w:top w:val="nil"/>
              <w:left w:val="nil"/>
              <w:bottom w:val="single" w:sz="8" w:space="0" w:color="8EAADB"/>
              <w:right w:val="nil"/>
            </w:tcBorders>
            <w:shd w:val="clear" w:color="auto" w:fill="auto"/>
            <w:noWrap/>
            <w:vAlign w:val="center"/>
            <w:hideMark/>
          </w:tcPr>
          <w:p w14:paraId="60D8FAA7" w14:textId="77777777" w:rsidR="006C6302" w:rsidRPr="00087F48" w:rsidRDefault="006C6302" w:rsidP="00446A14">
            <w:pPr>
              <w:spacing w:after="0" w:line="240" w:lineRule="auto"/>
              <w:rPr>
                <w:rFonts w:ascii="Arial" w:hAnsi="Arial" w:cs="Arial"/>
                <w:color w:val="000000"/>
                <w:sz w:val="16"/>
                <w:szCs w:val="18"/>
                <w:lang w:eastAsia="pt-BR"/>
              </w:rPr>
            </w:pPr>
            <w:r w:rsidRPr="00087F48">
              <w:rPr>
                <w:rFonts w:ascii="Arial" w:hAnsi="Arial" w:cs="Arial"/>
                <w:color w:val="000000"/>
                <w:sz w:val="16"/>
                <w:szCs w:val="18"/>
                <w:lang w:eastAsia="pt-BR"/>
              </w:rPr>
              <w:t xml:space="preserve">    Compartilhamento de Instalações</w:t>
            </w:r>
          </w:p>
        </w:tc>
        <w:tc>
          <w:tcPr>
            <w:tcW w:w="619" w:type="pct"/>
            <w:tcBorders>
              <w:top w:val="nil"/>
              <w:left w:val="nil"/>
              <w:bottom w:val="single" w:sz="8" w:space="0" w:color="8EAADB"/>
              <w:right w:val="nil"/>
            </w:tcBorders>
            <w:shd w:val="clear" w:color="auto" w:fill="auto"/>
            <w:noWrap/>
            <w:vAlign w:val="center"/>
            <w:hideMark/>
          </w:tcPr>
          <w:p w14:paraId="7F14B713"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(5.379)</w:t>
            </w:r>
          </w:p>
        </w:tc>
        <w:tc>
          <w:tcPr>
            <w:tcW w:w="619" w:type="pct"/>
            <w:tcBorders>
              <w:top w:val="nil"/>
              <w:left w:val="nil"/>
              <w:bottom w:val="single" w:sz="8" w:space="0" w:color="8EAADB"/>
              <w:right w:val="nil"/>
            </w:tcBorders>
            <w:shd w:val="clear" w:color="auto" w:fill="auto"/>
            <w:noWrap/>
            <w:vAlign w:val="center"/>
            <w:hideMark/>
          </w:tcPr>
          <w:p w14:paraId="58C04F02"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(4.345)</w:t>
            </w:r>
          </w:p>
        </w:tc>
        <w:tc>
          <w:tcPr>
            <w:tcW w:w="619" w:type="pct"/>
            <w:tcBorders>
              <w:top w:val="nil"/>
              <w:left w:val="nil"/>
              <w:bottom w:val="single" w:sz="8" w:space="0" w:color="8EAADB"/>
              <w:right w:val="nil"/>
            </w:tcBorders>
            <w:shd w:val="clear" w:color="auto" w:fill="auto"/>
            <w:noWrap/>
            <w:vAlign w:val="center"/>
            <w:hideMark/>
          </w:tcPr>
          <w:p w14:paraId="64A3EA59"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(3.538)</w:t>
            </w:r>
          </w:p>
        </w:tc>
      </w:tr>
      <w:tr w:rsidR="006C6302" w:rsidRPr="00393495" w14:paraId="58A8F419" w14:textId="77777777" w:rsidTr="00446A14">
        <w:trPr>
          <w:trHeight w:val="238"/>
        </w:trPr>
        <w:tc>
          <w:tcPr>
            <w:tcW w:w="3144" w:type="pct"/>
            <w:tcBorders>
              <w:top w:val="nil"/>
              <w:left w:val="nil"/>
              <w:bottom w:val="single" w:sz="8" w:space="0" w:color="8EAADB"/>
              <w:right w:val="nil"/>
            </w:tcBorders>
            <w:shd w:val="clear" w:color="auto" w:fill="auto"/>
            <w:noWrap/>
            <w:vAlign w:val="center"/>
            <w:hideMark/>
          </w:tcPr>
          <w:p w14:paraId="77E6143A" w14:textId="77777777" w:rsidR="006C6302" w:rsidRPr="00087F48" w:rsidRDefault="006C6302" w:rsidP="00446A14">
            <w:pPr>
              <w:spacing w:after="0" w:line="240" w:lineRule="auto"/>
              <w:rPr>
                <w:rFonts w:ascii="Arial" w:hAnsi="Arial" w:cs="Arial"/>
                <w:color w:val="000000"/>
                <w:sz w:val="16"/>
                <w:szCs w:val="18"/>
                <w:lang w:eastAsia="pt-BR"/>
              </w:rPr>
            </w:pPr>
            <w:r w:rsidRPr="00087F48">
              <w:rPr>
                <w:rFonts w:ascii="Arial" w:hAnsi="Arial" w:cs="Arial"/>
                <w:color w:val="000000"/>
                <w:sz w:val="16"/>
                <w:szCs w:val="18"/>
                <w:lang w:eastAsia="pt-BR"/>
              </w:rPr>
              <w:t xml:space="preserve">    Tributos</w:t>
            </w:r>
          </w:p>
        </w:tc>
        <w:tc>
          <w:tcPr>
            <w:tcW w:w="619" w:type="pct"/>
            <w:tcBorders>
              <w:top w:val="nil"/>
              <w:left w:val="nil"/>
              <w:bottom w:val="single" w:sz="8" w:space="0" w:color="8EAADB"/>
              <w:right w:val="nil"/>
            </w:tcBorders>
            <w:shd w:val="clear" w:color="auto" w:fill="auto"/>
            <w:noWrap/>
            <w:vAlign w:val="center"/>
            <w:hideMark/>
          </w:tcPr>
          <w:p w14:paraId="50A2F0ED"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(5.296)</w:t>
            </w:r>
          </w:p>
        </w:tc>
        <w:tc>
          <w:tcPr>
            <w:tcW w:w="619" w:type="pct"/>
            <w:tcBorders>
              <w:top w:val="nil"/>
              <w:left w:val="nil"/>
              <w:bottom w:val="single" w:sz="8" w:space="0" w:color="8EAADB"/>
              <w:right w:val="nil"/>
            </w:tcBorders>
            <w:shd w:val="clear" w:color="auto" w:fill="auto"/>
            <w:noWrap/>
            <w:vAlign w:val="center"/>
            <w:hideMark/>
          </w:tcPr>
          <w:p w14:paraId="160197AE"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(4.791)</w:t>
            </w:r>
          </w:p>
        </w:tc>
        <w:tc>
          <w:tcPr>
            <w:tcW w:w="619" w:type="pct"/>
            <w:tcBorders>
              <w:top w:val="nil"/>
              <w:left w:val="nil"/>
              <w:bottom w:val="single" w:sz="8" w:space="0" w:color="8EAADB"/>
              <w:right w:val="nil"/>
            </w:tcBorders>
            <w:shd w:val="clear" w:color="auto" w:fill="auto"/>
            <w:noWrap/>
            <w:vAlign w:val="center"/>
            <w:hideMark/>
          </w:tcPr>
          <w:p w14:paraId="5624B10C"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(5.804)</w:t>
            </w:r>
          </w:p>
        </w:tc>
      </w:tr>
      <w:tr w:rsidR="006C6302" w:rsidRPr="00393495" w14:paraId="28D3B219" w14:textId="77777777" w:rsidTr="00446A14">
        <w:trPr>
          <w:trHeight w:val="238"/>
        </w:trPr>
        <w:tc>
          <w:tcPr>
            <w:tcW w:w="3144" w:type="pct"/>
            <w:tcBorders>
              <w:top w:val="nil"/>
              <w:left w:val="nil"/>
              <w:bottom w:val="single" w:sz="8" w:space="0" w:color="8EAADB"/>
              <w:right w:val="nil"/>
            </w:tcBorders>
            <w:shd w:val="clear" w:color="auto" w:fill="auto"/>
            <w:noWrap/>
            <w:vAlign w:val="center"/>
            <w:hideMark/>
          </w:tcPr>
          <w:p w14:paraId="64A93BA5" w14:textId="77777777" w:rsidR="006C6302" w:rsidRPr="00087F48" w:rsidRDefault="006C6302" w:rsidP="00446A14">
            <w:pPr>
              <w:spacing w:after="0" w:line="240" w:lineRule="auto"/>
              <w:rPr>
                <w:rFonts w:ascii="Arial" w:hAnsi="Arial" w:cs="Arial"/>
                <w:color w:val="000000"/>
                <w:sz w:val="16"/>
                <w:szCs w:val="18"/>
                <w:lang w:eastAsia="pt-BR"/>
              </w:rPr>
            </w:pPr>
            <w:r w:rsidRPr="00087F48">
              <w:rPr>
                <w:rFonts w:ascii="Arial" w:hAnsi="Arial" w:cs="Arial"/>
                <w:color w:val="000000"/>
                <w:sz w:val="16"/>
                <w:szCs w:val="18"/>
                <w:lang w:eastAsia="pt-BR"/>
              </w:rPr>
              <w:t xml:space="preserve">    Equivalência Patrimonial</w:t>
            </w:r>
          </w:p>
        </w:tc>
        <w:tc>
          <w:tcPr>
            <w:tcW w:w="619" w:type="pct"/>
            <w:tcBorders>
              <w:top w:val="nil"/>
              <w:left w:val="nil"/>
              <w:bottom w:val="single" w:sz="8" w:space="0" w:color="8EAADB"/>
              <w:right w:val="nil"/>
            </w:tcBorders>
            <w:shd w:val="clear" w:color="auto" w:fill="auto"/>
            <w:noWrap/>
            <w:vAlign w:val="center"/>
            <w:hideMark/>
          </w:tcPr>
          <w:p w14:paraId="4B621D9B"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(2.254)</w:t>
            </w:r>
          </w:p>
        </w:tc>
        <w:tc>
          <w:tcPr>
            <w:tcW w:w="619" w:type="pct"/>
            <w:tcBorders>
              <w:top w:val="nil"/>
              <w:left w:val="nil"/>
              <w:bottom w:val="single" w:sz="8" w:space="0" w:color="8EAADB"/>
              <w:right w:val="nil"/>
            </w:tcBorders>
            <w:shd w:val="clear" w:color="auto" w:fill="auto"/>
            <w:noWrap/>
            <w:vAlign w:val="center"/>
            <w:hideMark/>
          </w:tcPr>
          <w:p w14:paraId="0E169608"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(6.500)</w:t>
            </w:r>
          </w:p>
        </w:tc>
        <w:tc>
          <w:tcPr>
            <w:tcW w:w="619" w:type="pct"/>
            <w:tcBorders>
              <w:top w:val="nil"/>
              <w:left w:val="nil"/>
              <w:bottom w:val="single" w:sz="8" w:space="0" w:color="8EAADB"/>
              <w:right w:val="nil"/>
            </w:tcBorders>
            <w:shd w:val="clear" w:color="auto" w:fill="auto"/>
            <w:noWrap/>
            <w:vAlign w:val="center"/>
            <w:hideMark/>
          </w:tcPr>
          <w:p w14:paraId="138678C4"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(6.273)</w:t>
            </w:r>
          </w:p>
        </w:tc>
      </w:tr>
      <w:tr w:rsidR="006C6302" w:rsidRPr="00393495" w14:paraId="4A789FD4" w14:textId="77777777" w:rsidTr="00446A14">
        <w:trPr>
          <w:trHeight w:val="238"/>
        </w:trPr>
        <w:tc>
          <w:tcPr>
            <w:tcW w:w="3144" w:type="pct"/>
            <w:tcBorders>
              <w:top w:val="nil"/>
              <w:left w:val="nil"/>
              <w:bottom w:val="single" w:sz="8" w:space="0" w:color="8EAADB"/>
              <w:right w:val="nil"/>
            </w:tcBorders>
            <w:shd w:val="clear" w:color="auto" w:fill="auto"/>
            <w:noWrap/>
            <w:vAlign w:val="center"/>
            <w:hideMark/>
          </w:tcPr>
          <w:p w14:paraId="5C643A14" w14:textId="77777777" w:rsidR="006C6302" w:rsidRPr="00087F48" w:rsidRDefault="006C6302" w:rsidP="00446A14">
            <w:pPr>
              <w:spacing w:after="0" w:line="240" w:lineRule="auto"/>
              <w:rPr>
                <w:rFonts w:ascii="Arial" w:hAnsi="Arial" w:cs="Arial"/>
                <w:color w:val="000000"/>
                <w:sz w:val="16"/>
                <w:szCs w:val="18"/>
                <w:lang w:eastAsia="pt-BR"/>
              </w:rPr>
            </w:pPr>
            <w:r w:rsidRPr="00087F48">
              <w:rPr>
                <w:rFonts w:ascii="Arial" w:hAnsi="Arial" w:cs="Arial"/>
                <w:color w:val="000000"/>
                <w:sz w:val="16"/>
                <w:szCs w:val="18"/>
                <w:lang w:eastAsia="pt-BR"/>
              </w:rPr>
              <w:t xml:space="preserve">    Material </w:t>
            </w:r>
          </w:p>
        </w:tc>
        <w:tc>
          <w:tcPr>
            <w:tcW w:w="619" w:type="pct"/>
            <w:tcBorders>
              <w:top w:val="nil"/>
              <w:left w:val="nil"/>
              <w:bottom w:val="single" w:sz="8" w:space="0" w:color="8EAADB"/>
              <w:right w:val="nil"/>
            </w:tcBorders>
            <w:shd w:val="clear" w:color="auto" w:fill="auto"/>
            <w:noWrap/>
            <w:vAlign w:val="center"/>
            <w:hideMark/>
          </w:tcPr>
          <w:p w14:paraId="0C14F8AC"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(2.181)</w:t>
            </w:r>
          </w:p>
        </w:tc>
        <w:tc>
          <w:tcPr>
            <w:tcW w:w="619" w:type="pct"/>
            <w:tcBorders>
              <w:top w:val="nil"/>
              <w:left w:val="nil"/>
              <w:bottom w:val="single" w:sz="8" w:space="0" w:color="8EAADB"/>
              <w:right w:val="nil"/>
            </w:tcBorders>
            <w:shd w:val="clear" w:color="auto" w:fill="auto"/>
            <w:noWrap/>
            <w:vAlign w:val="center"/>
            <w:hideMark/>
          </w:tcPr>
          <w:p w14:paraId="1B948513"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(2.018)</w:t>
            </w:r>
          </w:p>
        </w:tc>
        <w:tc>
          <w:tcPr>
            <w:tcW w:w="619" w:type="pct"/>
            <w:tcBorders>
              <w:top w:val="nil"/>
              <w:left w:val="nil"/>
              <w:bottom w:val="single" w:sz="8" w:space="0" w:color="8EAADB"/>
              <w:right w:val="nil"/>
            </w:tcBorders>
            <w:shd w:val="clear" w:color="auto" w:fill="auto"/>
            <w:noWrap/>
            <w:vAlign w:val="center"/>
            <w:hideMark/>
          </w:tcPr>
          <w:p w14:paraId="2BC1F249"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(3.903)</w:t>
            </w:r>
          </w:p>
        </w:tc>
      </w:tr>
      <w:tr w:rsidR="006C6302" w:rsidRPr="00393495" w14:paraId="68A2E1CF" w14:textId="77777777" w:rsidTr="00446A14">
        <w:trPr>
          <w:trHeight w:val="238"/>
        </w:trPr>
        <w:tc>
          <w:tcPr>
            <w:tcW w:w="3144" w:type="pct"/>
            <w:tcBorders>
              <w:top w:val="nil"/>
              <w:left w:val="nil"/>
              <w:bottom w:val="single" w:sz="8" w:space="0" w:color="8EAADB"/>
              <w:right w:val="nil"/>
            </w:tcBorders>
            <w:shd w:val="clear" w:color="auto" w:fill="auto"/>
            <w:noWrap/>
            <w:vAlign w:val="center"/>
            <w:hideMark/>
          </w:tcPr>
          <w:p w14:paraId="10986288" w14:textId="77777777" w:rsidR="006C6302" w:rsidRPr="00087F48" w:rsidRDefault="006C6302" w:rsidP="00446A14">
            <w:pPr>
              <w:spacing w:after="0" w:line="240" w:lineRule="auto"/>
              <w:rPr>
                <w:rFonts w:ascii="Arial" w:hAnsi="Arial" w:cs="Arial"/>
                <w:color w:val="000000"/>
                <w:sz w:val="16"/>
                <w:szCs w:val="18"/>
                <w:lang w:eastAsia="pt-BR"/>
              </w:rPr>
            </w:pPr>
            <w:r w:rsidRPr="00087F48">
              <w:rPr>
                <w:rFonts w:ascii="Arial" w:hAnsi="Arial" w:cs="Arial"/>
                <w:color w:val="000000"/>
                <w:sz w:val="16"/>
                <w:szCs w:val="18"/>
                <w:lang w:eastAsia="pt-BR"/>
              </w:rPr>
              <w:lastRenderedPageBreak/>
              <w:t xml:space="preserve">    Perda Estimada com Crédito de Liquidação Duvidosa</w:t>
            </w:r>
          </w:p>
        </w:tc>
        <w:tc>
          <w:tcPr>
            <w:tcW w:w="619" w:type="pct"/>
            <w:tcBorders>
              <w:top w:val="nil"/>
              <w:left w:val="nil"/>
              <w:bottom w:val="single" w:sz="8" w:space="0" w:color="8EAADB"/>
              <w:right w:val="nil"/>
            </w:tcBorders>
            <w:shd w:val="clear" w:color="auto" w:fill="auto"/>
            <w:noWrap/>
            <w:vAlign w:val="center"/>
            <w:hideMark/>
          </w:tcPr>
          <w:p w14:paraId="4108BF11"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(1.314)</w:t>
            </w:r>
          </w:p>
        </w:tc>
        <w:tc>
          <w:tcPr>
            <w:tcW w:w="619" w:type="pct"/>
            <w:tcBorders>
              <w:top w:val="nil"/>
              <w:left w:val="nil"/>
              <w:bottom w:val="single" w:sz="8" w:space="0" w:color="8EAADB"/>
              <w:right w:val="nil"/>
            </w:tcBorders>
            <w:shd w:val="clear" w:color="auto" w:fill="auto"/>
            <w:noWrap/>
            <w:vAlign w:val="center"/>
            <w:hideMark/>
          </w:tcPr>
          <w:p w14:paraId="0796C9D8"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1.042 </w:t>
            </w:r>
          </w:p>
        </w:tc>
        <w:tc>
          <w:tcPr>
            <w:tcW w:w="619" w:type="pct"/>
            <w:tcBorders>
              <w:top w:val="nil"/>
              <w:left w:val="nil"/>
              <w:bottom w:val="single" w:sz="8" w:space="0" w:color="8EAADB"/>
              <w:right w:val="nil"/>
            </w:tcBorders>
            <w:shd w:val="clear" w:color="auto" w:fill="auto"/>
            <w:noWrap/>
            <w:vAlign w:val="center"/>
            <w:hideMark/>
          </w:tcPr>
          <w:p w14:paraId="3ECA0EB4"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515 </w:t>
            </w:r>
          </w:p>
        </w:tc>
      </w:tr>
      <w:tr w:rsidR="006C6302" w:rsidRPr="00393495" w14:paraId="610354E3" w14:textId="77777777" w:rsidTr="00446A14">
        <w:trPr>
          <w:trHeight w:val="238"/>
        </w:trPr>
        <w:tc>
          <w:tcPr>
            <w:tcW w:w="3144" w:type="pct"/>
            <w:tcBorders>
              <w:top w:val="nil"/>
              <w:left w:val="nil"/>
              <w:bottom w:val="single" w:sz="8" w:space="0" w:color="8EAADB"/>
              <w:right w:val="nil"/>
            </w:tcBorders>
            <w:shd w:val="clear" w:color="auto" w:fill="auto"/>
            <w:noWrap/>
            <w:vAlign w:val="center"/>
            <w:hideMark/>
          </w:tcPr>
          <w:p w14:paraId="4BBDBAE9" w14:textId="77777777" w:rsidR="006C6302" w:rsidRPr="00087F48" w:rsidRDefault="006C6302" w:rsidP="00446A14">
            <w:pPr>
              <w:spacing w:after="0" w:line="240" w:lineRule="auto"/>
              <w:rPr>
                <w:rFonts w:ascii="Arial" w:hAnsi="Arial" w:cs="Arial"/>
                <w:color w:val="000000"/>
                <w:sz w:val="16"/>
                <w:szCs w:val="18"/>
                <w:lang w:eastAsia="pt-BR"/>
              </w:rPr>
            </w:pPr>
            <w:r w:rsidRPr="00087F48">
              <w:rPr>
                <w:rFonts w:ascii="Arial" w:hAnsi="Arial" w:cs="Arial"/>
                <w:color w:val="000000"/>
                <w:sz w:val="16"/>
                <w:szCs w:val="18"/>
                <w:lang w:eastAsia="pt-BR"/>
              </w:rPr>
              <w:t xml:space="preserve">    Programa de Indenização por Serviços Prestados (PISP)</w:t>
            </w:r>
          </w:p>
        </w:tc>
        <w:tc>
          <w:tcPr>
            <w:tcW w:w="619" w:type="pct"/>
            <w:tcBorders>
              <w:top w:val="nil"/>
              <w:left w:val="nil"/>
              <w:bottom w:val="single" w:sz="8" w:space="0" w:color="8EAADB"/>
              <w:right w:val="nil"/>
            </w:tcBorders>
            <w:shd w:val="clear" w:color="auto" w:fill="auto"/>
            <w:noWrap/>
            <w:vAlign w:val="center"/>
            <w:hideMark/>
          </w:tcPr>
          <w:p w14:paraId="48B84806"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(1.231)</w:t>
            </w:r>
          </w:p>
        </w:tc>
        <w:tc>
          <w:tcPr>
            <w:tcW w:w="619" w:type="pct"/>
            <w:tcBorders>
              <w:top w:val="nil"/>
              <w:left w:val="nil"/>
              <w:bottom w:val="single" w:sz="8" w:space="0" w:color="8EAADB"/>
              <w:right w:val="nil"/>
            </w:tcBorders>
            <w:shd w:val="clear" w:color="auto" w:fill="auto"/>
            <w:noWrap/>
            <w:vAlign w:val="center"/>
            <w:hideMark/>
          </w:tcPr>
          <w:p w14:paraId="60AFDDAD"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(1.361)</w:t>
            </w:r>
          </w:p>
        </w:tc>
        <w:tc>
          <w:tcPr>
            <w:tcW w:w="619" w:type="pct"/>
            <w:tcBorders>
              <w:top w:val="nil"/>
              <w:left w:val="nil"/>
              <w:bottom w:val="single" w:sz="8" w:space="0" w:color="8EAADB"/>
              <w:right w:val="nil"/>
            </w:tcBorders>
            <w:shd w:val="clear" w:color="auto" w:fill="auto"/>
            <w:noWrap/>
            <w:vAlign w:val="center"/>
            <w:hideMark/>
          </w:tcPr>
          <w:p w14:paraId="55D82B56"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(644)</w:t>
            </w:r>
          </w:p>
        </w:tc>
      </w:tr>
      <w:tr w:rsidR="006C6302" w:rsidRPr="00393495" w14:paraId="6A048980" w14:textId="77777777" w:rsidTr="00446A14">
        <w:trPr>
          <w:trHeight w:val="238"/>
        </w:trPr>
        <w:tc>
          <w:tcPr>
            <w:tcW w:w="3144" w:type="pct"/>
            <w:tcBorders>
              <w:top w:val="nil"/>
              <w:left w:val="nil"/>
              <w:bottom w:val="single" w:sz="8" w:space="0" w:color="8EAADB"/>
              <w:right w:val="nil"/>
            </w:tcBorders>
            <w:shd w:val="clear" w:color="auto" w:fill="auto"/>
            <w:noWrap/>
            <w:vAlign w:val="center"/>
            <w:hideMark/>
          </w:tcPr>
          <w:p w14:paraId="57DC6FB7" w14:textId="77777777" w:rsidR="006C6302" w:rsidRPr="00087F48" w:rsidRDefault="006C6302" w:rsidP="00446A14">
            <w:pPr>
              <w:spacing w:after="0" w:line="240" w:lineRule="auto"/>
              <w:rPr>
                <w:rFonts w:ascii="Arial" w:hAnsi="Arial" w:cs="Arial"/>
                <w:color w:val="000000"/>
                <w:sz w:val="16"/>
                <w:szCs w:val="18"/>
                <w:lang w:eastAsia="pt-BR"/>
              </w:rPr>
            </w:pPr>
            <w:r w:rsidRPr="00087F48">
              <w:rPr>
                <w:rFonts w:ascii="Arial" w:hAnsi="Arial" w:cs="Arial"/>
                <w:color w:val="000000"/>
                <w:sz w:val="16"/>
                <w:szCs w:val="18"/>
                <w:lang w:eastAsia="pt-BR"/>
              </w:rPr>
              <w:t xml:space="preserve">    Outras Despesas Operacionais</w:t>
            </w:r>
          </w:p>
        </w:tc>
        <w:tc>
          <w:tcPr>
            <w:tcW w:w="619" w:type="pct"/>
            <w:tcBorders>
              <w:top w:val="nil"/>
              <w:left w:val="nil"/>
              <w:bottom w:val="single" w:sz="8" w:space="0" w:color="8EAADB"/>
              <w:right w:val="nil"/>
            </w:tcBorders>
            <w:shd w:val="clear" w:color="auto" w:fill="auto"/>
            <w:noWrap/>
            <w:vAlign w:val="center"/>
            <w:hideMark/>
          </w:tcPr>
          <w:p w14:paraId="3EB6A4DC"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(55.659)</w:t>
            </w:r>
          </w:p>
        </w:tc>
        <w:tc>
          <w:tcPr>
            <w:tcW w:w="619" w:type="pct"/>
            <w:tcBorders>
              <w:top w:val="nil"/>
              <w:left w:val="nil"/>
              <w:bottom w:val="single" w:sz="8" w:space="0" w:color="8EAADB"/>
              <w:right w:val="nil"/>
            </w:tcBorders>
            <w:shd w:val="clear" w:color="auto" w:fill="auto"/>
            <w:noWrap/>
            <w:vAlign w:val="center"/>
            <w:hideMark/>
          </w:tcPr>
          <w:p w14:paraId="7FDF5C8B"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(29.062)</w:t>
            </w:r>
          </w:p>
        </w:tc>
        <w:tc>
          <w:tcPr>
            <w:tcW w:w="619" w:type="pct"/>
            <w:tcBorders>
              <w:top w:val="nil"/>
              <w:left w:val="nil"/>
              <w:bottom w:val="single" w:sz="8" w:space="0" w:color="8EAADB"/>
              <w:right w:val="nil"/>
            </w:tcBorders>
            <w:shd w:val="clear" w:color="auto" w:fill="auto"/>
            <w:noWrap/>
            <w:vAlign w:val="center"/>
            <w:hideMark/>
          </w:tcPr>
          <w:p w14:paraId="36EE2B6B"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(20.792)</w:t>
            </w:r>
          </w:p>
        </w:tc>
      </w:tr>
      <w:tr w:rsidR="006C6302" w:rsidRPr="00393495" w14:paraId="1C08E0C5" w14:textId="77777777" w:rsidTr="00446A14">
        <w:trPr>
          <w:trHeight w:val="238"/>
        </w:trPr>
        <w:tc>
          <w:tcPr>
            <w:tcW w:w="3144" w:type="pct"/>
            <w:tcBorders>
              <w:top w:val="nil"/>
              <w:left w:val="nil"/>
              <w:bottom w:val="single" w:sz="8" w:space="0" w:color="8EAADB"/>
              <w:right w:val="nil"/>
            </w:tcBorders>
            <w:shd w:val="clear" w:color="auto" w:fill="auto"/>
            <w:noWrap/>
            <w:vAlign w:val="center"/>
            <w:hideMark/>
          </w:tcPr>
          <w:p w14:paraId="4B1BE757" w14:textId="77777777" w:rsidR="006C6302" w:rsidRPr="00087F48" w:rsidRDefault="006C6302" w:rsidP="00446A14">
            <w:pPr>
              <w:spacing w:after="0" w:line="240" w:lineRule="auto"/>
              <w:rPr>
                <w:rFonts w:ascii="Arial" w:hAnsi="Arial" w:cs="Arial"/>
                <w:color w:val="000000"/>
                <w:sz w:val="16"/>
                <w:szCs w:val="18"/>
                <w:lang w:eastAsia="pt-BR"/>
              </w:rPr>
            </w:pPr>
            <w:r w:rsidRPr="00087F48">
              <w:rPr>
                <w:rFonts w:ascii="Arial" w:hAnsi="Arial" w:cs="Arial"/>
                <w:color w:val="000000"/>
                <w:sz w:val="16"/>
                <w:szCs w:val="18"/>
                <w:lang w:eastAsia="pt-BR"/>
              </w:rPr>
              <w:t xml:space="preserve">    Outras Receitas Operacionais</w:t>
            </w:r>
          </w:p>
        </w:tc>
        <w:tc>
          <w:tcPr>
            <w:tcW w:w="619" w:type="pct"/>
            <w:tcBorders>
              <w:top w:val="nil"/>
              <w:left w:val="nil"/>
              <w:bottom w:val="single" w:sz="8" w:space="0" w:color="8EAADB"/>
              <w:right w:val="nil"/>
            </w:tcBorders>
            <w:shd w:val="clear" w:color="auto" w:fill="auto"/>
            <w:noWrap/>
            <w:vAlign w:val="center"/>
            <w:hideMark/>
          </w:tcPr>
          <w:p w14:paraId="0886C768"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296.872 </w:t>
            </w:r>
          </w:p>
        </w:tc>
        <w:tc>
          <w:tcPr>
            <w:tcW w:w="619" w:type="pct"/>
            <w:tcBorders>
              <w:top w:val="nil"/>
              <w:left w:val="nil"/>
              <w:bottom w:val="single" w:sz="8" w:space="0" w:color="8EAADB"/>
              <w:right w:val="nil"/>
            </w:tcBorders>
            <w:shd w:val="clear" w:color="auto" w:fill="auto"/>
            <w:noWrap/>
            <w:vAlign w:val="center"/>
            <w:hideMark/>
          </w:tcPr>
          <w:p w14:paraId="359C893E"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255.455 </w:t>
            </w:r>
          </w:p>
        </w:tc>
        <w:tc>
          <w:tcPr>
            <w:tcW w:w="619" w:type="pct"/>
            <w:tcBorders>
              <w:top w:val="nil"/>
              <w:left w:val="nil"/>
              <w:bottom w:val="single" w:sz="8" w:space="0" w:color="8EAADB"/>
              <w:right w:val="nil"/>
            </w:tcBorders>
            <w:shd w:val="clear" w:color="auto" w:fill="auto"/>
            <w:noWrap/>
            <w:vAlign w:val="center"/>
            <w:hideMark/>
          </w:tcPr>
          <w:p w14:paraId="5149ECA9"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243.063 </w:t>
            </w:r>
          </w:p>
        </w:tc>
      </w:tr>
      <w:tr w:rsidR="006C6302" w:rsidRPr="00393495" w14:paraId="2A8B4912" w14:textId="77777777" w:rsidTr="00446A14">
        <w:trPr>
          <w:trHeight w:val="238"/>
        </w:trPr>
        <w:tc>
          <w:tcPr>
            <w:tcW w:w="3144" w:type="pct"/>
            <w:tcBorders>
              <w:top w:val="nil"/>
              <w:left w:val="nil"/>
              <w:bottom w:val="single" w:sz="8" w:space="0" w:color="8EAADB"/>
              <w:right w:val="nil"/>
            </w:tcBorders>
            <w:shd w:val="clear" w:color="auto" w:fill="auto"/>
            <w:noWrap/>
            <w:vAlign w:val="center"/>
            <w:hideMark/>
          </w:tcPr>
          <w:p w14:paraId="1BA3A316" w14:textId="77777777" w:rsidR="006C6302" w:rsidRPr="00087F48" w:rsidRDefault="006C6302" w:rsidP="00446A14">
            <w:pPr>
              <w:spacing w:after="0" w:line="240" w:lineRule="auto"/>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EBITDA</w:t>
            </w:r>
          </w:p>
        </w:tc>
        <w:tc>
          <w:tcPr>
            <w:tcW w:w="619" w:type="pct"/>
            <w:tcBorders>
              <w:top w:val="nil"/>
              <w:left w:val="nil"/>
              <w:bottom w:val="single" w:sz="8" w:space="0" w:color="8EAADB"/>
              <w:right w:val="nil"/>
            </w:tcBorders>
            <w:shd w:val="clear" w:color="auto" w:fill="auto"/>
            <w:noWrap/>
            <w:vAlign w:val="center"/>
            <w:hideMark/>
          </w:tcPr>
          <w:p w14:paraId="6FB43B56" w14:textId="77777777" w:rsidR="006C6302" w:rsidRPr="00087F48" w:rsidRDefault="006C6302"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186.133 </w:t>
            </w:r>
          </w:p>
        </w:tc>
        <w:tc>
          <w:tcPr>
            <w:tcW w:w="619" w:type="pct"/>
            <w:tcBorders>
              <w:top w:val="nil"/>
              <w:left w:val="nil"/>
              <w:bottom w:val="single" w:sz="8" w:space="0" w:color="8EAADB"/>
              <w:right w:val="nil"/>
            </w:tcBorders>
            <w:shd w:val="clear" w:color="auto" w:fill="auto"/>
            <w:noWrap/>
            <w:vAlign w:val="center"/>
            <w:hideMark/>
          </w:tcPr>
          <w:p w14:paraId="705542DB" w14:textId="77777777" w:rsidR="006C6302" w:rsidRPr="00087F48" w:rsidRDefault="006C6302"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173.776 </w:t>
            </w:r>
          </w:p>
        </w:tc>
        <w:tc>
          <w:tcPr>
            <w:tcW w:w="619" w:type="pct"/>
            <w:tcBorders>
              <w:top w:val="nil"/>
              <w:left w:val="nil"/>
              <w:bottom w:val="single" w:sz="8" w:space="0" w:color="8EAADB"/>
              <w:right w:val="nil"/>
            </w:tcBorders>
            <w:shd w:val="clear" w:color="auto" w:fill="auto"/>
            <w:noWrap/>
            <w:vAlign w:val="center"/>
            <w:hideMark/>
          </w:tcPr>
          <w:p w14:paraId="11F2CC10" w14:textId="77777777" w:rsidR="006C6302" w:rsidRPr="00087F48" w:rsidRDefault="006C6302"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153.605 </w:t>
            </w:r>
          </w:p>
        </w:tc>
      </w:tr>
      <w:tr w:rsidR="006C6302" w:rsidRPr="00393495" w14:paraId="271FA1D1" w14:textId="77777777" w:rsidTr="00446A14">
        <w:trPr>
          <w:trHeight w:val="238"/>
        </w:trPr>
        <w:tc>
          <w:tcPr>
            <w:tcW w:w="3144" w:type="pct"/>
            <w:tcBorders>
              <w:top w:val="nil"/>
              <w:left w:val="nil"/>
              <w:bottom w:val="single" w:sz="8" w:space="0" w:color="8EAADB"/>
              <w:right w:val="nil"/>
            </w:tcBorders>
            <w:shd w:val="clear" w:color="auto" w:fill="auto"/>
            <w:noWrap/>
            <w:vAlign w:val="center"/>
            <w:hideMark/>
          </w:tcPr>
          <w:p w14:paraId="3C7F076A" w14:textId="77777777" w:rsidR="006C6302" w:rsidRPr="00087F48" w:rsidRDefault="006C6302" w:rsidP="00446A14">
            <w:pPr>
              <w:spacing w:after="0" w:line="240" w:lineRule="auto"/>
              <w:rPr>
                <w:rFonts w:ascii="Arial" w:hAnsi="Arial" w:cs="Arial"/>
                <w:b/>
                <w:bCs/>
                <w:i/>
                <w:iCs/>
                <w:color w:val="000000"/>
                <w:sz w:val="16"/>
                <w:szCs w:val="18"/>
                <w:lang w:eastAsia="pt-BR"/>
              </w:rPr>
            </w:pPr>
            <w:r w:rsidRPr="00087F48">
              <w:rPr>
                <w:rFonts w:ascii="Arial" w:hAnsi="Arial" w:cs="Arial"/>
                <w:b/>
                <w:bCs/>
                <w:i/>
                <w:iCs/>
                <w:color w:val="000000"/>
                <w:sz w:val="16"/>
                <w:szCs w:val="18"/>
                <w:lang w:eastAsia="pt-BR"/>
              </w:rPr>
              <w:t xml:space="preserve">    Margem EBITDA</w:t>
            </w:r>
          </w:p>
        </w:tc>
        <w:tc>
          <w:tcPr>
            <w:tcW w:w="619" w:type="pct"/>
            <w:tcBorders>
              <w:top w:val="nil"/>
              <w:left w:val="nil"/>
              <w:bottom w:val="single" w:sz="8" w:space="0" w:color="8EAADB"/>
              <w:right w:val="nil"/>
            </w:tcBorders>
            <w:shd w:val="clear" w:color="auto" w:fill="auto"/>
            <w:noWrap/>
            <w:vAlign w:val="center"/>
            <w:hideMark/>
          </w:tcPr>
          <w:p w14:paraId="704C391C" w14:textId="77777777" w:rsidR="006C6302" w:rsidRPr="00087F48" w:rsidRDefault="006C6302" w:rsidP="00446A14">
            <w:pPr>
              <w:spacing w:after="0" w:line="240" w:lineRule="auto"/>
              <w:jc w:val="right"/>
              <w:rPr>
                <w:rFonts w:ascii="Arial" w:hAnsi="Arial" w:cs="Arial"/>
                <w:b/>
                <w:bCs/>
                <w:i/>
                <w:iCs/>
                <w:color w:val="000000"/>
                <w:sz w:val="16"/>
                <w:szCs w:val="18"/>
                <w:lang w:eastAsia="pt-BR"/>
              </w:rPr>
            </w:pPr>
            <w:r w:rsidRPr="00087F48">
              <w:rPr>
                <w:rFonts w:ascii="Arial" w:hAnsi="Arial" w:cs="Arial"/>
                <w:b/>
                <w:bCs/>
                <w:i/>
                <w:iCs/>
                <w:color w:val="000000"/>
                <w:sz w:val="16"/>
                <w:szCs w:val="18"/>
                <w:lang w:eastAsia="pt-BR"/>
              </w:rPr>
              <w:t>44,65%</w:t>
            </w:r>
          </w:p>
        </w:tc>
        <w:tc>
          <w:tcPr>
            <w:tcW w:w="619" w:type="pct"/>
            <w:tcBorders>
              <w:top w:val="nil"/>
              <w:left w:val="nil"/>
              <w:bottom w:val="single" w:sz="8" w:space="0" w:color="8EAADB"/>
              <w:right w:val="nil"/>
            </w:tcBorders>
            <w:shd w:val="clear" w:color="auto" w:fill="auto"/>
            <w:noWrap/>
            <w:vAlign w:val="center"/>
            <w:hideMark/>
          </w:tcPr>
          <w:p w14:paraId="3737CB94" w14:textId="77777777" w:rsidR="006C6302" w:rsidRPr="00087F48" w:rsidRDefault="006C6302" w:rsidP="00446A14">
            <w:pPr>
              <w:spacing w:after="0" w:line="240" w:lineRule="auto"/>
              <w:jc w:val="right"/>
              <w:rPr>
                <w:rFonts w:ascii="Arial" w:hAnsi="Arial" w:cs="Arial"/>
                <w:b/>
                <w:bCs/>
                <w:i/>
                <w:iCs/>
                <w:color w:val="000000"/>
                <w:sz w:val="16"/>
                <w:szCs w:val="18"/>
                <w:lang w:eastAsia="pt-BR"/>
              </w:rPr>
            </w:pPr>
            <w:r w:rsidRPr="00087F48">
              <w:rPr>
                <w:rFonts w:ascii="Arial" w:hAnsi="Arial" w:cs="Arial"/>
                <w:b/>
                <w:bCs/>
                <w:i/>
                <w:iCs/>
                <w:color w:val="000000"/>
                <w:sz w:val="16"/>
                <w:szCs w:val="18"/>
                <w:lang w:eastAsia="pt-BR"/>
              </w:rPr>
              <w:t>49,96%</w:t>
            </w:r>
          </w:p>
        </w:tc>
        <w:tc>
          <w:tcPr>
            <w:tcW w:w="619" w:type="pct"/>
            <w:tcBorders>
              <w:top w:val="nil"/>
              <w:left w:val="nil"/>
              <w:bottom w:val="single" w:sz="8" w:space="0" w:color="8EAADB"/>
              <w:right w:val="nil"/>
            </w:tcBorders>
            <w:shd w:val="clear" w:color="auto" w:fill="auto"/>
            <w:noWrap/>
            <w:vAlign w:val="center"/>
            <w:hideMark/>
          </w:tcPr>
          <w:p w14:paraId="7289AF86" w14:textId="77777777" w:rsidR="006C6302" w:rsidRPr="00087F48" w:rsidRDefault="006C6302" w:rsidP="00446A14">
            <w:pPr>
              <w:spacing w:after="0" w:line="240" w:lineRule="auto"/>
              <w:jc w:val="right"/>
              <w:rPr>
                <w:rFonts w:ascii="Arial" w:hAnsi="Arial" w:cs="Arial"/>
                <w:b/>
                <w:bCs/>
                <w:i/>
                <w:iCs/>
                <w:color w:val="000000"/>
                <w:sz w:val="16"/>
                <w:szCs w:val="18"/>
                <w:lang w:eastAsia="pt-BR"/>
              </w:rPr>
            </w:pPr>
            <w:r w:rsidRPr="00087F48">
              <w:rPr>
                <w:rFonts w:ascii="Arial" w:hAnsi="Arial" w:cs="Arial"/>
                <w:b/>
                <w:bCs/>
                <w:i/>
                <w:iCs/>
                <w:color w:val="000000"/>
                <w:sz w:val="16"/>
                <w:szCs w:val="18"/>
                <w:lang w:eastAsia="pt-BR"/>
              </w:rPr>
              <w:t>53,77%</w:t>
            </w:r>
          </w:p>
        </w:tc>
      </w:tr>
      <w:tr w:rsidR="006C6302" w:rsidRPr="00393495" w14:paraId="7776DC8B" w14:textId="77777777" w:rsidTr="00446A14">
        <w:trPr>
          <w:trHeight w:val="238"/>
        </w:trPr>
        <w:tc>
          <w:tcPr>
            <w:tcW w:w="3144" w:type="pct"/>
            <w:tcBorders>
              <w:top w:val="nil"/>
              <w:left w:val="nil"/>
              <w:bottom w:val="single" w:sz="8" w:space="0" w:color="8EAADB"/>
              <w:right w:val="nil"/>
            </w:tcBorders>
            <w:shd w:val="clear" w:color="auto" w:fill="auto"/>
            <w:noWrap/>
            <w:vAlign w:val="center"/>
            <w:hideMark/>
          </w:tcPr>
          <w:p w14:paraId="038F8567" w14:textId="77777777" w:rsidR="006C6302" w:rsidRPr="00087F48" w:rsidRDefault="006C6302" w:rsidP="00446A14">
            <w:pPr>
              <w:spacing w:after="0" w:line="240" w:lineRule="auto"/>
              <w:rPr>
                <w:rFonts w:ascii="Arial" w:hAnsi="Arial" w:cs="Arial"/>
                <w:color w:val="000000"/>
                <w:sz w:val="16"/>
                <w:szCs w:val="18"/>
                <w:lang w:eastAsia="pt-BR"/>
              </w:rPr>
            </w:pPr>
            <w:r w:rsidRPr="00087F48">
              <w:rPr>
                <w:rFonts w:ascii="Arial" w:hAnsi="Arial" w:cs="Arial"/>
                <w:color w:val="000000"/>
                <w:sz w:val="16"/>
                <w:szCs w:val="18"/>
                <w:lang w:eastAsia="pt-BR"/>
              </w:rPr>
              <w:t xml:space="preserve">   Depreciação e Amortização</w:t>
            </w:r>
          </w:p>
        </w:tc>
        <w:tc>
          <w:tcPr>
            <w:tcW w:w="619" w:type="pct"/>
            <w:tcBorders>
              <w:top w:val="nil"/>
              <w:left w:val="nil"/>
              <w:bottom w:val="single" w:sz="8" w:space="0" w:color="8EAADB"/>
              <w:right w:val="nil"/>
            </w:tcBorders>
            <w:shd w:val="clear" w:color="auto" w:fill="auto"/>
            <w:noWrap/>
            <w:vAlign w:val="center"/>
            <w:hideMark/>
          </w:tcPr>
          <w:p w14:paraId="33FD75EB"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(253.540)</w:t>
            </w:r>
          </w:p>
        </w:tc>
        <w:tc>
          <w:tcPr>
            <w:tcW w:w="619" w:type="pct"/>
            <w:tcBorders>
              <w:top w:val="nil"/>
              <w:left w:val="nil"/>
              <w:bottom w:val="single" w:sz="8" w:space="0" w:color="8EAADB"/>
              <w:right w:val="nil"/>
            </w:tcBorders>
            <w:shd w:val="clear" w:color="auto" w:fill="auto"/>
            <w:noWrap/>
            <w:vAlign w:val="center"/>
            <w:hideMark/>
          </w:tcPr>
          <w:p w14:paraId="1DA18660"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(242.087)</w:t>
            </w:r>
          </w:p>
        </w:tc>
        <w:tc>
          <w:tcPr>
            <w:tcW w:w="619" w:type="pct"/>
            <w:tcBorders>
              <w:top w:val="nil"/>
              <w:left w:val="nil"/>
              <w:bottom w:val="single" w:sz="8" w:space="0" w:color="8EAADB"/>
              <w:right w:val="nil"/>
            </w:tcBorders>
            <w:shd w:val="clear" w:color="auto" w:fill="auto"/>
            <w:noWrap/>
            <w:vAlign w:val="center"/>
            <w:hideMark/>
          </w:tcPr>
          <w:p w14:paraId="58ACC7B9"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(254.336)</w:t>
            </w:r>
          </w:p>
        </w:tc>
      </w:tr>
      <w:tr w:rsidR="006C6302" w:rsidRPr="00393495" w14:paraId="183BBC65" w14:textId="77777777" w:rsidTr="00446A14">
        <w:trPr>
          <w:trHeight w:val="238"/>
        </w:trPr>
        <w:tc>
          <w:tcPr>
            <w:tcW w:w="3144" w:type="pct"/>
            <w:tcBorders>
              <w:top w:val="nil"/>
              <w:left w:val="nil"/>
              <w:bottom w:val="single" w:sz="8" w:space="0" w:color="8EAADB"/>
              <w:right w:val="nil"/>
            </w:tcBorders>
            <w:shd w:val="clear" w:color="auto" w:fill="auto"/>
            <w:noWrap/>
            <w:vAlign w:val="center"/>
            <w:hideMark/>
          </w:tcPr>
          <w:p w14:paraId="25F7C69F" w14:textId="77777777" w:rsidR="006C6302" w:rsidRPr="00087F48" w:rsidRDefault="006C6302" w:rsidP="00446A14">
            <w:pPr>
              <w:spacing w:after="0" w:line="240" w:lineRule="auto"/>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EBIT</w:t>
            </w:r>
          </w:p>
        </w:tc>
        <w:tc>
          <w:tcPr>
            <w:tcW w:w="619" w:type="pct"/>
            <w:tcBorders>
              <w:top w:val="nil"/>
              <w:left w:val="nil"/>
              <w:bottom w:val="single" w:sz="8" w:space="0" w:color="8EAADB"/>
              <w:right w:val="nil"/>
            </w:tcBorders>
            <w:shd w:val="clear" w:color="auto" w:fill="auto"/>
            <w:noWrap/>
            <w:vAlign w:val="center"/>
            <w:hideMark/>
          </w:tcPr>
          <w:p w14:paraId="2D8B7AA2" w14:textId="77777777" w:rsidR="006C6302" w:rsidRPr="00087F48" w:rsidRDefault="006C6302"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(67.407)</w:t>
            </w:r>
          </w:p>
        </w:tc>
        <w:tc>
          <w:tcPr>
            <w:tcW w:w="619" w:type="pct"/>
            <w:tcBorders>
              <w:top w:val="nil"/>
              <w:left w:val="nil"/>
              <w:bottom w:val="single" w:sz="8" w:space="0" w:color="8EAADB"/>
              <w:right w:val="nil"/>
            </w:tcBorders>
            <w:shd w:val="clear" w:color="auto" w:fill="auto"/>
            <w:noWrap/>
            <w:vAlign w:val="center"/>
            <w:hideMark/>
          </w:tcPr>
          <w:p w14:paraId="5AEC6D85" w14:textId="77777777" w:rsidR="006C6302" w:rsidRPr="00087F48" w:rsidRDefault="006C6302"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(68.311)</w:t>
            </w:r>
          </w:p>
        </w:tc>
        <w:tc>
          <w:tcPr>
            <w:tcW w:w="619" w:type="pct"/>
            <w:tcBorders>
              <w:top w:val="nil"/>
              <w:left w:val="nil"/>
              <w:bottom w:val="single" w:sz="8" w:space="0" w:color="8EAADB"/>
              <w:right w:val="nil"/>
            </w:tcBorders>
            <w:shd w:val="clear" w:color="auto" w:fill="auto"/>
            <w:noWrap/>
            <w:vAlign w:val="center"/>
            <w:hideMark/>
          </w:tcPr>
          <w:p w14:paraId="3B326AE6" w14:textId="77777777" w:rsidR="006C6302" w:rsidRPr="00087F48" w:rsidRDefault="006C6302"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(100.731)</w:t>
            </w:r>
          </w:p>
        </w:tc>
      </w:tr>
      <w:tr w:rsidR="006C6302" w:rsidRPr="00393495" w14:paraId="3D03791A" w14:textId="77777777" w:rsidTr="00446A14">
        <w:trPr>
          <w:trHeight w:val="238"/>
        </w:trPr>
        <w:tc>
          <w:tcPr>
            <w:tcW w:w="3144" w:type="pct"/>
            <w:tcBorders>
              <w:top w:val="nil"/>
              <w:left w:val="nil"/>
              <w:bottom w:val="single" w:sz="8" w:space="0" w:color="8EAADB"/>
              <w:right w:val="nil"/>
            </w:tcBorders>
            <w:shd w:val="clear" w:color="auto" w:fill="auto"/>
            <w:noWrap/>
            <w:vAlign w:val="center"/>
            <w:hideMark/>
          </w:tcPr>
          <w:p w14:paraId="46B72311" w14:textId="77777777" w:rsidR="006C6302" w:rsidRPr="00087F48" w:rsidRDefault="006C6302" w:rsidP="00446A14">
            <w:pPr>
              <w:spacing w:after="0" w:line="240" w:lineRule="auto"/>
              <w:rPr>
                <w:rFonts w:ascii="Arial" w:hAnsi="Arial" w:cs="Arial"/>
                <w:color w:val="000000"/>
                <w:sz w:val="16"/>
                <w:szCs w:val="18"/>
                <w:lang w:eastAsia="pt-BR"/>
              </w:rPr>
            </w:pPr>
            <w:r w:rsidRPr="00087F48">
              <w:rPr>
                <w:rFonts w:ascii="Arial" w:hAnsi="Arial" w:cs="Arial"/>
                <w:color w:val="000000"/>
                <w:sz w:val="16"/>
                <w:szCs w:val="18"/>
                <w:lang w:eastAsia="pt-BR"/>
              </w:rPr>
              <w:t xml:space="preserve">   Resultado Financeiro</w:t>
            </w:r>
          </w:p>
        </w:tc>
        <w:tc>
          <w:tcPr>
            <w:tcW w:w="619" w:type="pct"/>
            <w:tcBorders>
              <w:top w:val="nil"/>
              <w:left w:val="nil"/>
              <w:bottom w:val="single" w:sz="8" w:space="0" w:color="8EAADB"/>
              <w:right w:val="nil"/>
            </w:tcBorders>
            <w:shd w:val="clear" w:color="auto" w:fill="auto"/>
            <w:noWrap/>
            <w:vAlign w:val="center"/>
            <w:hideMark/>
          </w:tcPr>
          <w:p w14:paraId="7AC91BBD"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(59.950)</w:t>
            </w:r>
          </w:p>
        </w:tc>
        <w:tc>
          <w:tcPr>
            <w:tcW w:w="619" w:type="pct"/>
            <w:tcBorders>
              <w:top w:val="nil"/>
              <w:left w:val="nil"/>
              <w:bottom w:val="single" w:sz="8" w:space="0" w:color="8EAADB"/>
              <w:right w:val="nil"/>
            </w:tcBorders>
            <w:shd w:val="clear" w:color="auto" w:fill="auto"/>
            <w:noWrap/>
            <w:vAlign w:val="center"/>
            <w:hideMark/>
          </w:tcPr>
          <w:p w14:paraId="103A1654"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(100.148)</w:t>
            </w:r>
          </w:p>
        </w:tc>
        <w:tc>
          <w:tcPr>
            <w:tcW w:w="619" w:type="pct"/>
            <w:tcBorders>
              <w:top w:val="nil"/>
              <w:left w:val="nil"/>
              <w:bottom w:val="single" w:sz="8" w:space="0" w:color="8EAADB"/>
              <w:right w:val="nil"/>
            </w:tcBorders>
            <w:shd w:val="clear" w:color="auto" w:fill="auto"/>
            <w:noWrap/>
            <w:vAlign w:val="center"/>
            <w:hideMark/>
          </w:tcPr>
          <w:p w14:paraId="1F7740F3"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(62.282)</w:t>
            </w:r>
          </w:p>
        </w:tc>
      </w:tr>
      <w:tr w:rsidR="006C6302" w:rsidRPr="00393495" w14:paraId="464EE188" w14:textId="77777777" w:rsidTr="00446A14">
        <w:trPr>
          <w:trHeight w:val="238"/>
        </w:trPr>
        <w:tc>
          <w:tcPr>
            <w:tcW w:w="3144" w:type="pct"/>
            <w:tcBorders>
              <w:top w:val="nil"/>
              <w:left w:val="nil"/>
              <w:bottom w:val="single" w:sz="8" w:space="0" w:color="8EAADB"/>
              <w:right w:val="nil"/>
            </w:tcBorders>
            <w:shd w:val="clear" w:color="auto" w:fill="auto"/>
            <w:noWrap/>
            <w:vAlign w:val="center"/>
            <w:hideMark/>
          </w:tcPr>
          <w:p w14:paraId="4949B795" w14:textId="77777777" w:rsidR="006C6302" w:rsidRPr="00087F48" w:rsidRDefault="006C6302" w:rsidP="00446A14">
            <w:pPr>
              <w:spacing w:after="0" w:line="240" w:lineRule="auto"/>
              <w:rPr>
                <w:rFonts w:ascii="Arial" w:hAnsi="Arial" w:cs="Arial"/>
                <w:b/>
                <w:bCs/>
                <w:color w:val="000000"/>
                <w:sz w:val="16"/>
                <w:szCs w:val="18"/>
                <w:lang w:eastAsia="pt-BR"/>
              </w:rPr>
            </w:pPr>
            <w:r w:rsidRPr="00087F48">
              <w:rPr>
                <w:rFonts w:ascii="Arial" w:hAnsi="Arial" w:cs="Arial"/>
                <w:b/>
                <w:bCs/>
                <w:color w:val="000000"/>
                <w:sz w:val="16"/>
                <w:szCs w:val="18"/>
                <w:lang w:eastAsia="pt-BR"/>
              </w:rPr>
              <w:t>PREJUÍZO LÍQUIDO DO EXERCÍCIO</w:t>
            </w:r>
          </w:p>
        </w:tc>
        <w:tc>
          <w:tcPr>
            <w:tcW w:w="619" w:type="pct"/>
            <w:tcBorders>
              <w:top w:val="nil"/>
              <w:left w:val="nil"/>
              <w:bottom w:val="single" w:sz="8" w:space="0" w:color="8EAADB"/>
              <w:right w:val="nil"/>
            </w:tcBorders>
            <w:shd w:val="clear" w:color="auto" w:fill="auto"/>
            <w:noWrap/>
            <w:vAlign w:val="center"/>
            <w:hideMark/>
          </w:tcPr>
          <w:p w14:paraId="2C14A081" w14:textId="77777777" w:rsidR="006C6302" w:rsidRPr="00087F48" w:rsidRDefault="006C6302"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(127.357)</w:t>
            </w:r>
          </w:p>
        </w:tc>
        <w:tc>
          <w:tcPr>
            <w:tcW w:w="619" w:type="pct"/>
            <w:tcBorders>
              <w:top w:val="nil"/>
              <w:left w:val="nil"/>
              <w:bottom w:val="single" w:sz="8" w:space="0" w:color="8EAADB"/>
              <w:right w:val="nil"/>
            </w:tcBorders>
            <w:shd w:val="clear" w:color="auto" w:fill="auto"/>
            <w:noWrap/>
            <w:vAlign w:val="center"/>
            <w:hideMark/>
          </w:tcPr>
          <w:p w14:paraId="2E5E3261" w14:textId="77777777" w:rsidR="006C6302" w:rsidRPr="00087F48" w:rsidRDefault="006C6302"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(168.459)</w:t>
            </w:r>
          </w:p>
        </w:tc>
        <w:tc>
          <w:tcPr>
            <w:tcW w:w="619" w:type="pct"/>
            <w:tcBorders>
              <w:top w:val="nil"/>
              <w:left w:val="nil"/>
              <w:bottom w:val="single" w:sz="8" w:space="0" w:color="8EAADB"/>
              <w:right w:val="nil"/>
            </w:tcBorders>
            <w:shd w:val="clear" w:color="auto" w:fill="auto"/>
            <w:noWrap/>
            <w:vAlign w:val="center"/>
            <w:hideMark/>
          </w:tcPr>
          <w:p w14:paraId="6EBF91F2" w14:textId="77777777" w:rsidR="006C6302" w:rsidRPr="00087F48" w:rsidRDefault="006C6302"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(163.013)</w:t>
            </w:r>
          </w:p>
        </w:tc>
      </w:tr>
      <w:tr w:rsidR="006C6302" w:rsidRPr="00393495" w14:paraId="2171B09C" w14:textId="77777777" w:rsidTr="00446A14">
        <w:trPr>
          <w:trHeight w:val="238"/>
        </w:trPr>
        <w:tc>
          <w:tcPr>
            <w:tcW w:w="3144" w:type="pct"/>
            <w:tcBorders>
              <w:top w:val="nil"/>
              <w:left w:val="nil"/>
              <w:bottom w:val="single" w:sz="8" w:space="0" w:color="8EAADB"/>
              <w:right w:val="nil"/>
            </w:tcBorders>
            <w:shd w:val="clear" w:color="auto" w:fill="auto"/>
            <w:noWrap/>
            <w:vAlign w:val="center"/>
            <w:hideMark/>
          </w:tcPr>
          <w:p w14:paraId="5B2EF88B" w14:textId="77777777" w:rsidR="006C6302" w:rsidRPr="00087F48" w:rsidRDefault="006C6302" w:rsidP="00446A14">
            <w:pPr>
              <w:spacing w:after="0" w:line="240" w:lineRule="auto"/>
              <w:rPr>
                <w:rFonts w:ascii="Arial" w:hAnsi="Arial" w:cs="Arial"/>
                <w:b/>
                <w:bCs/>
                <w:i/>
                <w:iCs/>
                <w:color w:val="000000"/>
                <w:sz w:val="16"/>
                <w:szCs w:val="18"/>
                <w:lang w:eastAsia="pt-BR"/>
              </w:rPr>
            </w:pPr>
            <w:r w:rsidRPr="00087F48">
              <w:rPr>
                <w:rFonts w:ascii="Arial" w:hAnsi="Arial" w:cs="Arial"/>
                <w:b/>
                <w:bCs/>
                <w:i/>
                <w:iCs/>
                <w:color w:val="000000"/>
                <w:sz w:val="16"/>
                <w:szCs w:val="18"/>
                <w:lang w:eastAsia="pt-BR"/>
              </w:rPr>
              <w:t>Prejuízo por Ação (R$)</w:t>
            </w:r>
          </w:p>
        </w:tc>
        <w:tc>
          <w:tcPr>
            <w:tcW w:w="619" w:type="pct"/>
            <w:tcBorders>
              <w:top w:val="nil"/>
              <w:left w:val="nil"/>
              <w:bottom w:val="single" w:sz="8" w:space="0" w:color="8EAADB"/>
              <w:right w:val="nil"/>
            </w:tcBorders>
            <w:shd w:val="clear" w:color="auto" w:fill="auto"/>
            <w:noWrap/>
            <w:vAlign w:val="center"/>
            <w:hideMark/>
          </w:tcPr>
          <w:p w14:paraId="3401DA0B" w14:textId="77777777" w:rsidR="006C6302" w:rsidRPr="00087F48" w:rsidRDefault="006C6302" w:rsidP="00446A14">
            <w:pPr>
              <w:spacing w:after="0" w:line="240" w:lineRule="auto"/>
              <w:jc w:val="right"/>
              <w:rPr>
                <w:rFonts w:ascii="Arial" w:hAnsi="Arial" w:cs="Arial"/>
                <w:b/>
                <w:bCs/>
                <w:i/>
                <w:iCs/>
                <w:color w:val="000000"/>
                <w:sz w:val="16"/>
                <w:szCs w:val="18"/>
                <w:lang w:eastAsia="pt-BR"/>
              </w:rPr>
            </w:pPr>
            <w:r w:rsidRPr="00087F48">
              <w:rPr>
                <w:rFonts w:ascii="Arial" w:hAnsi="Arial" w:cs="Arial"/>
                <w:b/>
                <w:bCs/>
                <w:i/>
                <w:iCs/>
                <w:color w:val="000000"/>
                <w:sz w:val="16"/>
                <w:szCs w:val="18"/>
                <w:lang w:eastAsia="pt-BR"/>
              </w:rPr>
              <w:t>-1,4743</w:t>
            </w:r>
          </w:p>
        </w:tc>
        <w:tc>
          <w:tcPr>
            <w:tcW w:w="619" w:type="pct"/>
            <w:tcBorders>
              <w:top w:val="nil"/>
              <w:left w:val="nil"/>
              <w:bottom w:val="single" w:sz="8" w:space="0" w:color="8EAADB"/>
              <w:right w:val="nil"/>
            </w:tcBorders>
            <w:shd w:val="clear" w:color="auto" w:fill="auto"/>
            <w:noWrap/>
            <w:vAlign w:val="center"/>
            <w:hideMark/>
          </w:tcPr>
          <w:p w14:paraId="4616A0E7" w14:textId="77777777" w:rsidR="006C6302" w:rsidRPr="00087F48" w:rsidRDefault="006C6302" w:rsidP="00446A14">
            <w:pPr>
              <w:spacing w:after="0" w:line="240" w:lineRule="auto"/>
              <w:jc w:val="right"/>
              <w:rPr>
                <w:rFonts w:ascii="Arial" w:hAnsi="Arial" w:cs="Arial"/>
                <w:b/>
                <w:bCs/>
                <w:i/>
                <w:iCs/>
                <w:color w:val="000000"/>
                <w:sz w:val="16"/>
                <w:szCs w:val="18"/>
                <w:lang w:eastAsia="pt-BR"/>
              </w:rPr>
            </w:pPr>
            <w:r w:rsidRPr="00087F48">
              <w:rPr>
                <w:rFonts w:ascii="Arial" w:hAnsi="Arial" w:cs="Arial"/>
                <w:b/>
                <w:bCs/>
                <w:i/>
                <w:iCs/>
                <w:color w:val="000000"/>
                <w:sz w:val="16"/>
                <w:szCs w:val="18"/>
                <w:lang w:eastAsia="pt-BR"/>
              </w:rPr>
              <w:t>-1,9501</w:t>
            </w:r>
          </w:p>
        </w:tc>
        <w:tc>
          <w:tcPr>
            <w:tcW w:w="619" w:type="pct"/>
            <w:tcBorders>
              <w:top w:val="nil"/>
              <w:left w:val="nil"/>
              <w:bottom w:val="single" w:sz="8" w:space="0" w:color="8EAADB"/>
              <w:right w:val="nil"/>
            </w:tcBorders>
            <w:shd w:val="clear" w:color="auto" w:fill="auto"/>
            <w:noWrap/>
            <w:vAlign w:val="center"/>
            <w:hideMark/>
          </w:tcPr>
          <w:p w14:paraId="6D278DA4" w14:textId="77777777" w:rsidR="006C6302" w:rsidRPr="00087F48" w:rsidRDefault="006C6302" w:rsidP="00446A14">
            <w:pPr>
              <w:spacing w:after="0" w:line="240" w:lineRule="auto"/>
              <w:jc w:val="right"/>
              <w:rPr>
                <w:rFonts w:ascii="Arial" w:hAnsi="Arial" w:cs="Arial"/>
                <w:b/>
                <w:bCs/>
                <w:i/>
                <w:iCs/>
                <w:color w:val="000000"/>
                <w:sz w:val="16"/>
                <w:szCs w:val="18"/>
                <w:lang w:eastAsia="pt-BR"/>
              </w:rPr>
            </w:pPr>
            <w:r w:rsidRPr="00087F48">
              <w:rPr>
                <w:rFonts w:ascii="Arial" w:hAnsi="Arial" w:cs="Arial"/>
                <w:b/>
                <w:bCs/>
                <w:i/>
                <w:iCs/>
                <w:color w:val="000000"/>
                <w:sz w:val="16"/>
                <w:szCs w:val="18"/>
                <w:lang w:eastAsia="pt-BR"/>
              </w:rPr>
              <w:t>-2,4020</w:t>
            </w:r>
          </w:p>
        </w:tc>
      </w:tr>
    </w:tbl>
    <w:p w14:paraId="1C8903F0" w14:textId="77777777" w:rsidR="00874AA4" w:rsidRDefault="00874AA4" w:rsidP="006C6302">
      <w:pPr>
        <w:spacing w:after="0"/>
        <w:rPr>
          <w:rFonts w:ascii="Calibri" w:eastAsia="Times New Roman" w:hAnsi="Calibri" w:cs="Times New Roman"/>
          <w:b/>
          <w:bCs/>
          <w:color w:val="002060"/>
          <w:kern w:val="0"/>
          <w14:ligatures w14:val="none"/>
        </w:rPr>
      </w:pPr>
      <w:bookmarkStart w:id="5" w:name="_Toc161319433"/>
    </w:p>
    <w:p w14:paraId="1BE0E4E7" w14:textId="4F68C496" w:rsidR="006C6302" w:rsidRDefault="006C6302" w:rsidP="006C6302">
      <w:pPr>
        <w:spacing w:after="0"/>
        <w:rPr>
          <w:rFonts w:ascii="Calibri" w:eastAsia="Times New Roman" w:hAnsi="Calibri" w:cs="Times New Roman"/>
          <w:b/>
          <w:bCs/>
          <w:color w:val="002060"/>
          <w:kern w:val="0"/>
          <w14:ligatures w14:val="none"/>
        </w:rPr>
      </w:pPr>
      <w:r>
        <w:rPr>
          <w:rFonts w:ascii="Calibri" w:eastAsia="Times New Roman" w:hAnsi="Calibri" w:cs="Times New Roman"/>
          <w:b/>
          <w:bCs/>
          <w:color w:val="002060"/>
          <w:kern w:val="0"/>
          <w14:ligatures w14:val="none"/>
        </w:rPr>
        <w:t xml:space="preserve">3.2.1. </w:t>
      </w:r>
      <w:r w:rsidRPr="006C6302">
        <w:rPr>
          <w:rFonts w:ascii="Calibri" w:eastAsia="Times New Roman" w:hAnsi="Calibri" w:cs="Times New Roman"/>
          <w:b/>
          <w:bCs/>
          <w:color w:val="002060"/>
          <w:kern w:val="0"/>
          <w14:ligatures w14:val="none"/>
        </w:rPr>
        <w:t>Receita Operacional Líquida</w:t>
      </w:r>
      <w:bookmarkEnd w:id="5"/>
    </w:p>
    <w:tbl>
      <w:tblPr>
        <w:tblW w:w="5000" w:type="pct"/>
        <w:tblCellMar>
          <w:left w:w="70" w:type="dxa"/>
          <w:right w:w="70" w:type="dxa"/>
        </w:tblCellMar>
        <w:tblLook w:val="04A0" w:firstRow="1" w:lastRow="0" w:firstColumn="1" w:lastColumn="0" w:noHBand="0" w:noVBand="1"/>
      </w:tblPr>
      <w:tblGrid>
        <w:gridCol w:w="4282"/>
        <w:gridCol w:w="949"/>
        <w:gridCol w:w="994"/>
        <w:gridCol w:w="949"/>
        <w:gridCol w:w="949"/>
        <w:gridCol w:w="949"/>
      </w:tblGrid>
      <w:tr w:rsidR="006C6302" w:rsidRPr="00393495" w14:paraId="595B6AA6" w14:textId="77777777" w:rsidTr="00446A14">
        <w:trPr>
          <w:trHeight w:val="238"/>
        </w:trPr>
        <w:tc>
          <w:tcPr>
            <w:tcW w:w="2363" w:type="pct"/>
            <w:tcBorders>
              <w:top w:val="single" w:sz="8" w:space="0" w:color="9BC2E6"/>
              <w:left w:val="nil"/>
              <w:bottom w:val="single" w:sz="8" w:space="0" w:color="9BC2E6"/>
              <w:right w:val="nil"/>
            </w:tcBorders>
            <w:shd w:val="clear" w:color="auto" w:fill="auto"/>
            <w:vAlign w:val="center"/>
            <w:hideMark/>
          </w:tcPr>
          <w:p w14:paraId="4CBE9F6C" w14:textId="77777777" w:rsidR="006C6302" w:rsidRPr="00087F48" w:rsidRDefault="006C6302" w:rsidP="00446A14">
            <w:pPr>
              <w:spacing w:after="0" w:line="240" w:lineRule="auto"/>
              <w:rPr>
                <w:rFonts w:ascii="Arial" w:hAnsi="Arial" w:cs="Arial"/>
                <w:b/>
                <w:bCs/>
                <w:color w:val="2E74B5"/>
                <w:sz w:val="16"/>
                <w:szCs w:val="18"/>
                <w:lang w:eastAsia="pt-BR"/>
              </w:rPr>
            </w:pPr>
            <w:r w:rsidRPr="00087F48">
              <w:rPr>
                <w:rFonts w:ascii="Arial" w:hAnsi="Arial" w:cs="Arial"/>
                <w:b/>
                <w:bCs/>
                <w:color w:val="2E74B5"/>
                <w:sz w:val="16"/>
                <w:szCs w:val="18"/>
                <w:lang w:eastAsia="pt-BR"/>
              </w:rPr>
              <w:t>R$ mil</w:t>
            </w:r>
          </w:p>
        </w:tc>
        <w:tc>
          <w:tcPr>
            <w:tcW w:w="527" w:type="pct"/>
            <w:tcBorders>
              <w:top w:val="single" w:sz="8" w:space="0" w:color="9BC2E6"/>
              <w:left w:val="nil"/>
              <w:bottom w:val="single" w:sz="8" w:space="0" w:color="9BC2E6"/>
              <w:right w:val="nil"/>
            </w:tcBorders>
            <w:shd w:val="clear" w:color="auto" w:fill="auto"/>
            <w:vAlign w:val="center"/>
            <w:hideMark/>
          </w:tcPr>
          <w:p w14:paraId="47F6D4D7" w14:textId="77777777" w:rsidR="006C6302" w:rsidRPr="00087F48" w:rsidRDefault="006C6302" w:rsidP="00446A14">
            <w:pPr>
              <w:spacing w:after="0" w:line="240" w:lineRule="auto"/>
              <w:jc w:val="center"/>
              <w:rPr>
                <w:rFonts w:ascii="Arial" w:hAnsi="Arial" w:cs="Arial"/>
                <w:b/>
                <w:bCs/>
                <w:color w:val="2E74B5"/>
                <w:sz w:val="16"/>
                <w:szCs w:val="18"/>
                <w:lang w:eastAsia="pt-BR"/>
              </w:rPr>
            </w:pPr>
            <w:r w:rsidRPr="00087F48">
              <w:rPr>
                <w:rFonts w:ascii="Arial" w:hAnsi="Arial" w:cs="Arial"/>
                <w:b/>
                <w:bCs/>
                <w:color w:val="2E74B5"/>
                <w:sz w:val="16"/>
                <w:szCs w:val="18"/>
                <w:lang w:eastAsia="pt-BR"/>
              </w:rPr>
              <w:t>2023</w:t>
            </w:r>
          </w:p>
        </w:tc>
        <w:tc>
          <w:tcPr>
            <w:tcW w:w="527" w:type="pct"/>
            <w:tcBorders>
              <w:top w:val="single" w:sz="8" w:space="0" w:color="9BC2E6"/>
              <w:left w:val="nil"/>
              <w:bottom w:val="single" w:sz="8" w:space="0" w:color="9BC2E6"/>
              <w:right w:val="nil"/>
            </w:tcBorders>
            <w:shd w:val="clear" w:color="auto" w:fill="auto"/>
            <w:vAlign w:val="center"/>
            <w:hideMark/>
          </w:tcPr>
          <w:p w14:paraId="63501771" w14:textId="77777777" w:rsidR="006C6302" w:rsidRPr="00087F48" w:rsidRDefault="006C6302" w:rsidP="00446A14">
            <w:pPr>
              <w:spacing w:after="0" w:line="240" w:lineRule="auto"/>
              <w:jc w:val="center"/>
              <w:rPr>
                <w:rFonts w:ascii="Arial" w:hAnsi="Arial" w:cs="Arial"/>
                <w:b/>
                <w:bCs/>
                <w:color w:val="2E74B5"/>
                <w:sz w:val="16"/>
                <w:szCs w:val="18"/>
                <w:lang w:eastAsia="pt-BR"/>
              </w:rPr>
            </w:pPr>
            <w:r w:rsidRPr="00087F48">
              <w:rPr>
                <w:rFonts w:ascii="Arial" w:hAnsi="Arial" w:cs="Arial"/>
                <w:b/>
                <w:bCs/>
                <w:color w:val="2E74B5"/>
                <w:sz w:val="16"/>
                <w:szCs w:val="18"/>
                <w:lang w:eastAsia="pt-BR"/>
              </w:rPr>
              <w:t>2022</w:t>
            </w:r>
          </w:p>
        </w:tc>
        <w:tc>
          <w:tcPr>
            <w:tcW w:w="527" w:type="pct"/>
            <w:tcBorders>
              <w:top w:val="single" w:sz="8" w:space="0" w:color="9BC2E6"/>
              <w:left w:val="nil"/>
              <w:bottom w:val="single" w:sz="8" w:space="0" w:color="9BC2E6"/>
              <w:right w:val="nil"/>
            </w:tcBorders>
            <w:shd w:val="clear" w:color="auto" w:fill="auto"/>
            <w:vAlign w:val="center"/>
            <w:hideMark/>
          </w:tcPr>
          <w:p w14:paraId="12A03401" w14:textId="77777777" w:rsidR="006C6302" w:rsidRPr="00087F48" w:rsidRDefault="006C6302" w:rsidP="00446A14">
            <w:pPr>
              <w:spacing w:after="0" w:line="240" w:lineRule="auto"/>
              <w:jc w:val="center"/>
              <w:rPr>
                <w:rFonts w:ascii="Arial" w:hAnsi="Arial" w:cs="Arial"/>
                <w:b/>
                <w:bCs/>
                <w:color w:val="2E74B5"/>
                <w:sz w:val="16"/>
                <w:szCs w:val="18"/>
                <w:lang w:eastAsia="pt-BR"/>
              </w:rPr>
            </w:pPr>
            <w:r w:rsidRPr="00087F48">
              <w:rPr>
                <w:rFonts w:ascii="Arial" w:hAnsi="Arial" w:cs="Arial"/>
                <w:b/>
                <w:bCs/>
                <w:color w:val="2E74B5"/>
                <w:sz w:val="16"/>
                <w:szCs w:val="18"/>
                <w:lang w:eastAsia="pt-BR"/>
              </w:rPr>
              <w:t>2021</w:t>
            </w:r>
          </w:p>
        </w:tc>
        <w:tc>
          <w:tcPr>
            <w:tcW w:w="527" w:type="pct"/>
            <w:tcBorders>
              <w:top w:val="single" w:sz="8" w:space="0" w:color="9BC2E6"/>
              <w:left w:val="nil"/>
              <w:bottom w:val="single" w:sz="8" w:space="0" w:color="9BC2E6"/>
              <w:right w:val="nil"/>
            </w:tcBorders>
            <w:shd w:val="clear" w:color="000000" w:fill="FFFFFF"/>
            <w:vAlign w:val="center"/>
            <w:hideMark/>
          </w:tcPr>
          <w:p w14:paraId="26F7B7B2" w14:textId="77777777" w:rsidR="006C6302" w:rsidRPr="00087F48" w:rsidRDefault="006C6302" w:rsidP="00446A14">
            <w:pPr>
              <w:spacing w:after="0" w:line="240" w:lineRule="auto"/>
              <w:jc w:val="center"/>
              <w:rPr>
                <w:rFonts w:ascii="Arial" w:hAnsi="Arial" w:cs="Arial"/>
                <w:b/>
                <w:bCs/>
                <w:color w:val="2F75B5"/>
                <w:sz w:val="16"/>
                <w:szCs w:val="18"/>
                <w:lang w:eastAsia="pt-BR"/>
              </w:rPr>
            </w:pPr>
            <w:r w:rsidRPr="00087F48">
              <w:rPr>
                <w:rFonts w:ascii="Arial" w:hAnsi="Arial" w:cs="Arial"/>
                <w:b/>
                <w:bCs/>
                <w:color w:val="2F75B5"/>
                <w:sz w:val="16"/>
                <w:szCs w:val="18"/>
                <w:lang w:eastAsia="pt-BR"/>
              </w:rPr>
              <w:t>Δ 2023 X 2022</w:t>
            </w:r>
          </w:p>
        </w:tc>
        <w:tc>
          <w:tcPr>
            <w:tcW w:w="527" w:type="pct"/>
            <w:tcBorders>
              <w:top w:val="single" w:sz="8" w:space="0" w:color="9BC2E6"/>
              <w:left w:val="nil"/>
              <w:bottom w:val="single" w:sz="8" w:space="0" w:color="9BC2E6"/>
              <w:right w:val="nil"/>
            </w:tcBorders>
            <w:shd w:val="clear" w:color="000000" w:fill="FFFFFF"/>
            <w:vAlign w:val="center"/>
            <w:hideMark/>
          </w:tcPr>
          <w:p w14:paraId="084EFD63" w14:textId="77777777" w:rsidR="006C6302" w:rsidRPr="00087F48" w:rsidRDefault="006C6302" w:rsidP="00446A14">
            <w:pPr>
              <w:spacing w:after="0" w:line="240" w:lineRule="auto"/>
              <w:jc w:val="center"/>
              <w:rPr>
                <w:rFonts w:ascii="Arial" w:hAnsi="Arial" w:cs="Arial"/>
                <w:b/>
                <w:bCs/>
                <w:color w:val="2F75B5"/>
                <w:sz w:val="16"/>
                <w:szCs w:val="18"/>
                <w:lang w:eastAsia="pt-BR"/>
              </w:rPr>
            </w:pPr>
            <w:r w:rsidRPr="00087F48">
              <w:rPr>
                <w:rFonts w:ascii="Arial" w:hAnsi="Arial" w:cs="Arial"/>
                <w:b/>
                <w:bCs/>
                <w:color w:val="2F75B5"/>
                <w:sz w:val="16"/>
                <w:szCs w:val="18"/>
                <w:lang w:eastAsia="pt-BR"/>
              </w:rPr>
              <w:t>Δ 2023 X 2021</w:t>
            </w:r>
          </w:p>
        </w:tc>
      </w:tr>
      <w:tr w:rsidR="006C6302" w:rsidRPr="00393495" w14:paraId="39E32FAC" w14:textId="77777777" w:rsidTr="00446A14">
        <w:trPr>
          <w:trHeight w:val="238"/>
        </w:trPr>
        <w:tc>
          <w:tcPr>
            <w:tcW w:w="2363" w:type="pct"/>
            <w:tcBorders>
              <w:top w:val="nil"/>
              <w:left w:val="nil"/>
              <w:bottom w:val="single" w:sz="8" w:space="0" w:color="8EAADB"/>
              <w:right w:val="nil"/>
            </w:tcBorders>
            <w:shd w:val="clear" w:color="auto" w:fill="auto"/>
            <w:noWrap/>
            <w:vAlign w:val="center"/>
            <w:hideMark/>
          </w:tcPr>
          <w:p w14:paraId="2317382D" w14:textId="77777777" w:rsidR="006C6302" w:rsidRPr="00087F48" w:rsidRDefault="006C6302" w:rsidP="00446A14">
            <w:pPr>
              <w:spacing w:after="0" w:line="240" w:lineRule="auto"/>
              <w:rPr>
                <w:rFonts w:ascii="Arial" w:hAnsi="Arial" w:cs="Arial"/>
                <w:b/>
                <w:bCs/>
                <w:color w:val="000000"/>
                <w:sz w:val="16"/>
                <w:szCs w:val="18"/>
                <w:lang w:eastAsia="pt-BR"/>
              </w:rPr>
            </w:pPr>
            <w:r w:rsidRPr="00087F48">
              <w:rPr>
                <w:rFonts w:ascii="Arial" w:hAnsi="Arial" w:cs="Arial"/>
                <w:b/>
                <w:bCs/>
                <w:color w:val="000000"/>
                <w:sz w:val="16"/>
                <w:szCs w:val="18"/>
                <w:lang w:eastAsia="pt-BR"/>
              </w:rPr>
              <w:t>RECEITA OPERACIONAL BRUTA</w:t>
            </w:r>
          </w:p>
        </w:tc>
        <w:tc>
          <w:tcPr>
            <w:tcW w:w="527" w:type="pct"/>
            <w:tcBorders>
              <w:top w:val="nil"/>
              <w:left w:val="nil"/>
              <w:bottom w:val="single" w:sz="8" w:space="0" w:color="8EAADB"/>
              <w:right w:val="nil"/>
            </w:tcBorders>
            <w:shd w:val="clear" w:color="auto" w:fill="auto"/>
            <w:noWrap/>
            <w:vAlign w:val="center"/>
            <w:hideMark/>
          </w:tcPr>
          <w:p w14:paraId="4CD2CFF8" w14:textId="77777777" w:rsidR="006C6302" w:rsidRPr="00087F48" w:rsidRDefault="006C6302"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470.052</w:t>
            </w:r>
          </w:p>
        </w:tc>
        <w:tc>
          <w:tcPr>
            <w:tcW w:w="527" w:type="pct"/>
            <w:tcBorders>
              <w:top w:val="nil"/>
              <w:left w:val="nil"/>
              <w:bottom w:val="single" w:sz="8" w:space="0" w:color="8EAADB"/>
              <w:right w:val="nil"/>
            </w:tcBorders>
            <w:shd w:val="clear" w:color="auto" w:fill="auto"/>
            <w:noWrap/>
            <w:vAlign w:val="center"/>
            <w:hideMark/>
          </w:tcPr>
          <w:p w14:paraId="4E812AB8" w14:textId="77777777" w:rsidR="006C6302" w:rsidRPr="00087F48" w:rsidRDefault="006C6302"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403.502</w:t>
            </w:r>
          </w:p>
        </w:tc>
        <w:tc>
          <w:tcPr>
            <w:tcW w:w="527" w:type="pct"/>
            <w:tcBorders>
              <w:top w:val="nil"/>
              <w:left w:val="nil"/>
              <w:bottom w:val="single" w:sz="8" w:space="0" w:color="8EAADB"/>
              <w:right w:val="nil"/>
            </w:tcBorders>
            <w:shd w:val="clear" w:color="auto" w:fill="auto"/>
            <w:noWrap/>
            <w:vAlign w:val="center"/>
            <w:hideMark/>
          </w:tcPr>
          <w:p w14:paraId="4C50B593" w14:textId="77777777" w:rsidR="006C6302" w:rsidRPr="00087F48" w:rsidRDefault="006C6302"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344.222</w:t>
            </w:r>
          </w:p>
        </w:tc>
        <w:tc>
          <w:tcPr>
            <w:tcW w:w="527" w:type="pct"/>
            <w:tcBorders>
              <w:top w:val="nil"/>
              <w:left w:val="nil"/>
              <w:bottom w:val="single" w:sz="8" w:space="0" w:color="8EAADB"/>
              <w:right w:val="nil"/>
            </w:tcBorders>
            <w:shd w:val="clear" w:color="auto" w:fill="auto"/>
            <w:noWrap/>
            <w:vAlign w:val="center"/>
            <w:hideMark/>
          </w:tcPr>
          <w:p w14:paraId="4F52B559" w14:textId="77777777" w:rsidR="006C6302" w:rsidRPr="00087F48" w:rsidRDefault="006C6302"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16,5%</w:t>
            </w:r>
          </w:p>
        </w:tc>
        <w:tc>
          <w:tcPr>
            <w:tcW w:w="527" w:type="pct"/>
            <w:tcBorders>
              <w:top w:val="nil"/>
              <w:left w:val="nil"/>
              <w:bottom w:val="single" w:sz="8" w:space="0" w:color="8EAADB"/>
              <w:right w:val="nil"/>
            </w:tcBorders>
            <w:shd w:val="clear" w:color="auto" w:fill="auto"/>
            <w:noWrap/>
            <w:vAlign w:val="center"/>
            <w:hideMark/>
          </w:tcPr>
          <w:p w14:paraId="3303F538" w14:textId="77777777" w:rsidR="006C6302" w:rsidRPr="00087F48" w:rsidRDefault="006C6302"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36,6%</w:t>
            </w:r>
          </w:p>
        </w:tc>
      </w:tr>
      <w:tr w:rsidR="006C6302" w:rsidRPr="00393495" w14:paraId="2A335A62" w14:textId="77777777" w:rsidTr="00446A14">
        <w:trPr>
          <w:trHeight w:val="238"/>
        </w:trPr>
        <w:tc>
          <w:tcPr>
            <w:tcW w:w="2363" w:type="pct"/>
            <w:tcBorders>
              <w:top w:val="nil"/>
              <w:left w:val="nil"/>
              <w:bottom w:val="single" w:sz="8" w:space="0" w:color="8EAADB"/>
              <w:right w:val="nil"/>
            </w:tcBorders>
            <w:shd w:val="clear" w:color="auto" w:fill="auto"/>
            <w:noWrap/>
            <w:vAlign w:val="center"/>
            <w:hideMark/>
          </w:tcPr>
          <w:p w14:paraId="5BA8BA84" w14:textId="77777777" w:rsidR="006C6302" w:rsidRPr="00087F48" w:rsidRDefault="006C6302" w:rsidP="00446A14">
            <w:pPr>
              <w:spacing w:after="0" w:line="240" w:lineRule="auto"/>
              <w:rPr>
                <w:rFonts w:ascii="Arial" w:hAnsi="Arial" w:cs="Arial"/>
                <w:color w:val="000000"/>
                <w:sz w:val="16"/>
                <w:szCs w:val="18"/>
                <w:lang w:eastAsia="pt-BR"/>
              </w:rPr>
            </w:pPr>
            <w:r w:rsidRPr="00087F48">
              <w:rPr>
                <w:rFonts w:ascii="Arial" w:hAnsi="Arial" w:cs="Arial"/>
                <w:color w:val="000000"/>
                <w:sz w:val="16"/>
                <w:szCs w:val="18"/>
                <w:lang w:eastAsia="pt-BR"/>
              </w:rPr>
              <w:t xml:space="preserve">  Serviços de Comunicação Multimídia</w:t>
            </w:r>
          </w:p>
        </w:tc>
        <w:tc>
          <w:tcPr>
            <w:tcW w:w="527" w:type="pct"/>
            <w:tcBorders>
              <w:top w:val="nil"/>
              <w:left w:val="nil"/>
              <w:bottom w:val="single" w:sz="8" w:space="0" w:color="8EAADB"/>
              <w:right w:val="nil"/>
            </w:tcBorders>
            <w:shd w:val="clear" w:color="auto" w:fill="auto"/>
            <w:noWrap/>
            <w:vAlign w:val="center"/>
            <w:hideMark/>
          </w:tcPr>
          <w:p w14:paraId="73083C68"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356.511</w:t>
            </w:r>
          </w:p>
        </w:tc>
        <w:tc>
          <w:tcPr>
            <w:tcW w:w="527" w:type="pct"/>
            <w:tcBorders>
              <w:top w:val="nil"/>
              <w:left w:val="nil"/>
              <w:bottom w:val="single" w:sz="8" w:space="0" w:color="8EAADB"/>
              <w:right w:val="nil"/>
            </w:tcBorders>
            <w:shd w:val="clear" w:color="auto" w:fill="auto"/>
            <w:noWrap/>
            <w:vAlign w:val="center"/>
            <w:hideMark/>
          </w:tcPr>
          <w:p w14:paraId="1E02558C"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322.614</w:t>
            </w:r>
          </w:p>
        </w:tc>
        <w:tc>
          <w:tcPr>
            <w:tcW w:w="527" w:type="pct"/>
            <w:tcBorders>
              <w:top w:val="nil"/>
              <w:left w:val="nil"/>
              <w:bottom w:val="single" w:sz="8" w:space="0" w:color="8EAADB"/>
              <w:right w:val="nil"/>
            </w:tcBorders>
            <w:shd w:val="clear" w:color="auto" w:fill="auto"/>
            <w:noWrap/>
            <w:vAlign w:val="center"/>
            <w:hideMark/>
          </w:tcPr>
          <w:p w14:paraId="5A98A7C3"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283.497</w:t>
            </w:r>
          </w:p>
        </w:tc>
        <w:tc>
          <w:tcPr>
            <w:tcW w:w="527" w:type="pct"/>
            <w:tcBorders>
              <w:top w:val="nil"/>
              <w:left w:val="nil"/>
              <w:bottom w:val="single" w:sz="8" w:space="0" w:color="8EAADB"/>
              <w:right w:val="nil"/>
            </w:tcBorders>
            <w:shd w:val="clear" w:color="auto" w:fill="auto"/>
            <w:noWrap/>
            <w:vAlign w:val="center"/>
            <w:hideMark/>
          </w:tcPr>
          <w:p w14:paraId="2D68BDC1"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10,5%</w:t>
            </w:r>
          </w:p>
        </w:tc>
        <w:tc>
          <w:tcPr>
            <w:tcW w:w="527" w:type="pct"/>
            <w:tcBorders>
              <w:top w:val="nil"/>
              <w:left w:val="nil"/>
              <w:bottom w:val="single" w:sz="8" w:space="0" w:color="8EAADB"/>
              <w:right w:val="nil"/>
            </w:tcBorders>
            <w:shd w:val="clear" w:color="auto" w:fill="auto"/>
            <w:noWrap/>
            <w:vAlign w:val="center"/>
            <w:hideMark/>
          </w:tcPr>
          <w:p w14:paraId="26446DC1"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25,8%</w:t>
            </w:r>
          </w:p>
        </w:tc>
      </w:tr>
      <w:tr w:rsidR="006C6302" w:rsidRPr="00393495" w14:paraId="55B80F1C" w14:textId="77777777" w:rsidTr="00446A14">
        <w:trPr>
          <w:trHeight w:val="238"/>
        </w:trPr>
        <w:tc>
          <w:tcPr>
            <w:tcW w:w="2363" w:type="pct"/>
            <w:tcBorders>
              <w:top w:val="nil"/>
              <w:left w:val="nil"/>
              <w:bottom w:val="single" w:sz="8" w:space="0" w:color="8EAADB"/>
              <w:right w:val="nil"/>
            </w:tcBorders>
            <w:shd w:val="clear" w:color="auto" w:fill="auto"/>
            <w:noWrap/>
            <w:vAlign w:val="center"/>
            <w:hideMark/>
          </w:tcPr>
          <w:p w14:paraId="0F1F3034" w14:textId="77777777" w:rsidR="006C6302" w:rsidRPr="00087F48" w:rsidRDefault="006C6302" w:rsidP="00446A14">
            <w:pPr>
              <w:spacing w:after="0" w:line="240" w:lineRule="auto"/>
              <w:rPr>
                <w:rFonts w:ascii="Arial" w:hAnsi="Arial" w:cs="Arial"/>
                <w:color w:val="000000"/>
                <w:sz w:val="16"/>
                <w:szCs w:val="18"/>
                <w:lang w:eastAsia="pt-BR"/>
              </w:rPr>
            </w:pPr>
            <w:r w:rsidRPr="00087F48">
              <w:rPr>
                <w:rFonts w:ascii="Arial" w:hAnsi="Arial" w:cs="Arial"/>
                <w:color w:val="000000"/>
                <w:sz w:val="16"/>
                <w:szCs w:val="18"/>
                <w:lang w:eastAsia="pt-BR"/>
              </w:rPr>
              <w:t xml:space="preserve">  Locação de Capacidade Satelital</w:t>
            </w:r>
          </w:p>
        </w:tc>
        <w:tc>
          <w:tcPr>
            <w:tcW w:w="527" w:type="pct"/>
            <w:tcBorders>
              <w:top w:val="nil"/>
              <w:left w:val="nil"/>
              <w:bottom w:val="single" w:sz="8" w:space="0" w:color="8EAADB"/>
              <w:right w:val="nil"/>
            </w:tcBorders>
            <w:shd w:val="clear" w:color="auto" w:fill="auto"/>
            <w:noWrap/>
            <w:vAlign w:val="center"/>
            <w:hideMark/>
          </w:tcPr>
          <w:p w14:paraId="3A89031F"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36.481</w:t>
            </w:r>
          </w:p>
        </w:tc>
        <w:tc>
          <w:tcPr>
            <w:tcW w:w="527" w:type="pct"/>
            <w:tcBorders>
              <w:top w:val="nil"/>
              <w:left w:val="nil"/>
              <w:bottom w:val="single" w:sz="8" w:space="0" w:color="8EAADB"/>
              <w:right w:val="nil"/>
            </w:tcBorders>
            <w:shd w:val="clear" w:color="auto" w:fill="auto"/>
            <w:noWrap/>
            <w:vAlign w:val="center"/>
            <w:hideMark/>
          </w:tcPr>
          <w:p w14:paraId="354999FF"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36.481</w:t>
            </w:r>
          </w:p>
        </w:tc>
        <w:tc>
          <w:tcPr>
            <w:tcW w:w="527" w:type="pct"/>
            <w:tcBorders>
              <w:top w:val="nil"/>
              <w:left w:val="nil"/>
              <w:bottom w:val="single" w:sz="8" w:space="0" w:color="8EAADB"/>
              <w:right w:val="nil"/>
            </w:tcBorders>
            <w:shd w:val="clear" w:color="auto" w:fill="auto"/>
            <w:noWrap/>
            <w:vAlign w:val="center"/>
            <w:hideMark/>
          </w:tcPr>
          <w:p w14:paraId="63A5AE64"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36.481</w:t>
            </w:r>
          </w:p>
        </w:tc>
        <w:tc>
          <w:tcPr>
            <w:tcW w:w="527" w:type="pct"/>
            <w:tcBorders>
              <w:top w:val="nil"/>
              <w:left w:val="nil"/>
              <w:bottom w:val="single" w:sz="8" w:space="0" w:color="8EAADB"/>
              <w:right w:val="nil"/>
            </w:tcBorders>
            <w:shd w:val="clear" w:color="auto" w:fill="auto"/>
            <w:noWrap/>
            <w:vAlign w:val="center"/>
            <w:hideMark/>
          </w:tcPr>
          <w:p w14:paraId="66201B9A"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0,0%</w:t>
            </w:r>
          </w:p>
        </w:tc>
        <w:tc>
          <w:tcPr>
            <w:tcW w:w="527" w:type="pct"/>
            <w:tcBorders>
              <w:top w:val="nil"/>
              <w:left w:val="nil"/>
              <w:bottom w:val="single" w:sz="8" w:space="0" w:color="8EAADB"/>
              <w:right w:val="nil"/>
            </w:tcBorders>
            <w:shd w:val="clear" w:color="auto" w:fill="auto"/>
            <w:noWrap/>
            <w:vAlign w:val="center"/>
            <w:hideMark/>
          </w:tcPr>
          <w:p w14:paraId="78CFC4A6"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0,0%</w:t>
            </w:r>
          </w:p>
        </w:tc>
      </w:tr>
      <w:tr w:rsidR="006C6302" w:rsidRPr="00393495" w14:paraId="220A17C3" w14:textId="77777777" w:rsidTr="00446A14">
        <w:trPr>
          <w:trHeight w:val="238"/>
        </w:trPr>
        <w:tc>
          <w:tcPr>
            <w:tcW w:w="2363" w:type="pct"/>
            <w:tcBorders>
              <w:top w:val="nil"/>
              <w:left w:val="nil"/>
              <w:bottom w:val="single" w:sz="8" w:space="0" w:color="8EAADB"/>
              <w:right w:val="nil"/>
            </w:tcBorders>
            <w:shd w:val="clear" w:color="auto" w:fill="auto"/>
            <w:noWrap/>
            <w:vAlign w:val="center"/>
            <w:hideMark/>
          </w:tcPr>
          <w:p w14:paraId="11289A4A" w14:textId="77777777" w:rsidR="006C6302" w:rsidRPr="00087F48" w:rsidRDefault="006C6302" w:rsidP="00446A14">
            <w:pPr>
              <w:spacing w:after="0" w:line="240" w:lineRule="auto"/>
              <w:rPr>
                <w:rFonts w:ascii="Arial" w:hAnsi="Arial" w:cs="Arial"/>
                <w:color w:val="000000"/>
                <w:sz w:val="16"/>
                <w:szCs w:val="18"/>
                <w:lang w:eastAsia="pt-BR"/>
              </w:rPr>
            </w:pPr>
            <w:r w:rsidRPr="00087F48">
              <w:rPr>
                <w:rFonts w:ascii="Arial" w:hAnsi="Arial" w:cs="Arial"/>
                <w:color w:val="000000"/>
                <w:sz w:val="16"/>
                <w:szCs w:val="18"/>
                <w:lang w:eastAsia="pt-BR"/>
              </w:rPr>
              <w:t xml:space="preserve">  Aluguéis e Locações</w:t>
            </w:r>
          </w:p>
        </w:tc>
        <w:tc>
          <w:tcPr>
            <w:tcW w:w="527" w:type="pct"/>
            <w:tcBorders>
              <w:top w:val="nil"/>
              <w:left w:val="nil"/>
              <w:bottom w:val="single" w:sz="8" w:space="0" w:color="8EAADB"/>
              <w:right w:val="nil"/>
            </w:tcBorders>
            <w:shd w:val="clear" w:color="auto" w:fill="auto"/>
            <w:noWrap/>
            <w:vAlign w:val="center"/>
            <w:hideMark/>
          </w:tcPr>
          <w:p w14:paraId="5DB3B8B0"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24.851</w:t>
            </w:r>
          </w:p>
        </w:tc>
        <w:tc>
          <w:tcPr>
            <w:tcW w:w="527" w:type="pct"/>
            <w:tcBorders>
              <w:top w:val="nil"/>
              <w:left w:val="nil"/>
              <w:bottom w:val="single" w:sz="8" w:space="0" w:color="8EAADB"/>
              <w:right w:val="nil"/>
            </w:tcBorders>
            <w:shd w:val="clear" w:color="auto" w:fill="auto"/>
            <w:noWrap/>
            <w:vAlign w:val="center"/>
            <w:hideMark/>
          </w:tcPr>
          <w:p w14:paraId="52C10D6E"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22.056</w:t>
            </w:r>
          </w:p>
        </w:tc>
        <w:tc>
          <w:tcPr>
            <w:tcW w:w="527" w:type="pct"/>
            <w:tcBorders>
              <w:top w:val="nil"/>
              <w:left w:val="nil"/>
              <w:bottom w:val="single" w:sz="8" w:space="0" w:color="8EAADB"/>
              <w:right w:val="nil"/>
            </w:tcBorders>
            <w:shd w:val="clear" w:color="auto" w:fill="auto"/>
            <w:noWrap/>
            <w:vAlign w:val="center"/>
            <w:hideMark/>
          </w:tcPr>
          <w:p w14:paraId="532D1877"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16.246</w:t>
            </w:r>
          </w:p>
        </w:tc>
        <w:tc>
          <w:tcPr>
            <w:tcW w:w="527" w:type="pct"/>
            <w:tcBorders>
              <w:top w:val="nil"/>
              <w:left w:val="nil"/>
              <w:bottom w:val="single" w:sz="8" w:space="0" w:color="8EAADB"/>
              <w:right w:val="nil"/>
            </w:tcBorders>
            <w:shd w:val="clear" w:color="auto" w:fill="auto"/>
            <w:noWrap/>
            <w:vAlign w:val="center"/>
            <w:hideMark/>
          </w:tcPr>
          <w:p w14:paraId="04106F77"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12,7%</w:t>
            </w:r>
          </w:p>
        </w:tc>
        <w:tc>
          <w:tcPr>
            <w:tcW w:w="527" w:type="pct"/>
            <w:tcBorders>
              <w:top w:val="nil"/>
              <w:left w:val="nil"/>
              <w:bottom w:val="single" w:sz="8" w:space="0" w:color="8EAADB"/>
              <w:right w:val="nil"/>
            </w:tcBorders>
            <w:shd w:val="clear" w:color="auto" w:fill="auto"/>
            <w:noWrap/>
            <w:vAlign w:val="center"/>
            <w:hideMark/>
          </w:tcPr>
          <w:p w14:paraId="0590E0BB"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53,0%</w:t>
            </w:r>
          </w:p>
        </w:tc>
      </w:tr>
      <w:tr w:rsidR="006C6302" w:rsidRPr="00393495" w14:paraId="37F07903" w14:textId="77777777" w:rsidTr="00446A14">
        <w:trPr>
          <w:trHeight w:val="238"/>
        </w:trPr>
        <w:tc>
          <w:tcPr>
            <w:tcW w:w="2363" w:type="pct"/>
            <w:tcBorders>
              <w:top w:val="nil"/>
              <w:left w:val="nil"/>
              <w:bottom w:val="single" w:sz="8" w:space="0" w:color="8EAADB"/>
              <w:right w:val="nil"/>
            </w:tcBorders>
            <w:shd w:val="clear" w:color="auto" w:fill="auto"/>
            <w:noWrap/>
            <w:vAlign w:val="center"/>
            <w:hideMark/>
          </w:tcPr>
          <w:p w14:paraId="783E65A9" w14:textId="77777777" w:rsidR="006C6302" w:rsidRPr="00087F48" w:rsidRDefault="006C6302" w:rsidP="00446A14">
            <w:pPr>
              <w:spacing w:after="0" w:line="240" w:lineRule="auto"/>
              <w:rPr>
                <w:rFonts w:ascii="Arial" w:hAnsi="Arial" w:cs="Arial"/>
                <w:color w:val="000000"/>
                <w:sz w:val="16"/>
                <w:szCs w:val="18"/>
                <w:lang w:eastAsia="pt-BR"/>
              </w:rPr>
            </w:pPr>
            <w:r w:rsidRPr="00087F48">
              <w:rPr>
                <w:rFonts w:ascii="Arial" w:hAnsi="Arial" w:cs="Arial"/>
                <w:color w:val="000000"/>
                <w:sz w:val="16"/>
                <w:szCs w:val="18"/>
                <w:lang w:eastAsia="pt-BR"/>
              </w:rPr>
              <w:t xml:space="preserve">  Compartilhamento de Receita</w:t>
            </w:r>
          </w:p>
        </w:tc>
        <w:tc>
          <w:tcPr>
            <w:tcW w:w="527" w:type="pct"/>
            <w:tcBorders>
              <w:top w:val="nil"/>
              <w:left w:val="nil"/>
              <w:bottom w:val="single" w:sz="8" w:space="0" w:color="8EAADB"/>
              <w:right w:val="nil"/>
            </w:tcBorders>
            <w:shd w:val="clear" w:color="auto" w:fill="auto"/>
            <w:noWrap/>
            <w:vAlign w:val="center"/>
            <w:hideMark/>
          </w:tcPr>
          <w:p w14:paraId="0CCEEBB9"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19.640</w:t>
            </w:r>
          </w:p>
        </w:tc>
        <w:tc>
          <w:tcPr>
            <w:tcW w:w="527" w:type="pct"/>
            <w:tcBorders>
              <w:top w:val="nil"/>
              <w:left w:val="nil"/>
              <w:bottom w:val="single" w:sz="8" w:space="0" w:color="8EAADB"/>
              <w:right w:val="nil"/>
            </w:tcBorders>
            <w:shd w:val="clear" w:color="auto" w:fill="auto"/>
            <w:noWrap/>
            <w:vAlign w:val="center"/>
            <w:hideMark/>
          </w:tcPr>
          <w:p w14:paraId="7935DE43"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15.463</w:t>
            </w:r>
          </w:p>
        </w:tc>
        <w:tc>
          <w:tcPr>
            <w:tcW w:w="527" w:type="pct"/>
            <w:tcBorders>
              <w:top w:val="nil"/>
              <w:left w:val="nil"/>
              <w:bottom w:val="single" w:sz="8" w:space="0" w:color="8EAADB"/>
              <w:right w:val="nil"/>
            </w:tcBorders>
            <w:shd w:val="clear" w:color="auto" w:fill="auto"/>
            <w:noWrap/>
            <w:vAlign w:val="center"/>
            <w:hideMark/>
          </w:tcPr>
          <w:p w14:paraId="229CAA2D"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7.099</w:t>
            </w:r>
          </w:p>
        </w:tc>
        <w:tc>
          <w:tcPr>
            <w:tcW w:w="527" w:type="pct"/>
            <w:tcBorders>
              <w:top w:val="nil"/>
              <w:left w:val="nil"/>
              <w:bottom w:val="single" w:sz="8" w:space="0" w:color="8EAADB"/>
              <w:right w:val="nil"/>
            </w:tcBorders>
            <w:shd w:val="clear" w:color="auto" w:fill="auto"/>
            <w:noWrap/>
            <w:vAlign w:val="center"/>
            <w:hideMark/>
          </w:tcPr>
          <w:p w14:paraId="6F39414F"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27,0%</w:t>
            </w:r>
          </w:p>
        </w:tc>
        <w:tc>
          <w:tcPr>
            <w:tcW w:w="527" w:type="pct"/>
            <w:tcBorders>
              <w:top w:val="nil"/>
              <w:left w:val="nil"/>
              <w:bottom w:val="single" w:sz="8" w:space="0" w:color="8EAADB"/>
              <w:right w:val="nil"/>
            </w:tcBorders>
            <w:shd w:val="clear" w:color="auto" w:fill="auto"/>
            <w:noWrap/>
            <w:vAlign w:val="center"/>
            <w:hideMark/>
          </w:tcPr>
          <w:p w14:paraId="028B600D"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176,7%</w:t>
            </w:r>
          </w:p>
        </w:tc>
      </w:tr>
      <w:tr w:rsidR="006C6302" w:rsidRPr="00393495" w14:paraId="26704667" w14:textId="77777777" w:rsidTr="00446A14">
        <w:trPr>
          <w:trHeight w:val="238"/>
        </w:trPr>
        <w:tc>
          <w:tcPr>
            <w:tcW w:w="2363" w:type="pct"/>
            <w:tcBorders>
              <w:top w:val="nil"/>
              <w:left w:val="nil"/>
              <w:bottom w:val="single" w:sz="8" w:space="0" w:color="8EAADB"/>
              <w:right w:val="nil"/>
            </w:tcBorders>
            <w:shd w:val="clear" w:color="auto" w:fill="auto"/>
            <w:noWrap/>
            <w:vAlign w:val="center"/>
            <w:hideMark/>
          </w:tcPr>
          <w:p w14:paraId="1F5F3AF7" w14:textId="77777777" w:rsidR="006C6302" w:rsidRPr="00087F48" w:rsidRDefault="006C6302" w:rsidP="00446A14">
            <w:pPr>
              <w:spacing w:after="0" w:line="240" w:lineRule="auto"/>
              <w:rPr>
                <w:rFonts w:ascii="Arial" w:hAnsi="Arial" w:cs="Arial"/>
                <w:color w:val="000000"/>
                <w:sz w:val="16"/>
                <w:szCs w:val="18"/>
                <w:lang w:eastAsia="pt-BR"/>
              </w:rPr>
            </w:pPr>
            <w:r w:rsidRPr="00087F48">
              <w:rPr>
                <w:rFonts w:ascii="Arial" w:hAnsi="Arial" w:cs="Arial"/>
                <w:color w:val="000000"/>
                <w:sz w:val="16"/>
                <w:szCs w:val="18"/>
                <w:lang w:eastAsia="pt-BR"/>
              </w:rPr>
              <w:t xml:space="preserve">  Receita de Valor Adicionado</w:t>
            </w:r>
          </w:p>
        </w:tc>
        <w:tc>
          <w:tcPr>
            <w:tcW w:w="527" w:type="pct"/>
            <w:tcBorders>
              <w:top w:val="nil"/>
              <w:left w:val="nil"/>
              <w:bottom w:val="single" w:sz="8" w:space="0" w:color="8EAADB"/>
              <w:right w:val="nil"/>
            </w:tcBorders>
            <w:shd w:val="clear" w:color="auto" w:fill="auto"/>
            <w:noWrap/>
            <w:vAlign w:val="center"/>
            <w:hideMark/>
          </w:tcPr>
          <w:p w14:paraId="2365DC2A"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18.073 </w:t>
            </w:r>
          </w:p>
        </w:tc>
        <w:tc>
          <w:tcPr>
            <w:tcW w:w="527" w:type="pct"/>
            <w:tcBorders>
              <w:top w:val="nil"/>
              <w:left w:val="nil"/>
              <w:bottom w:val="single" w:sz="8" w:space="0" w:color="8EAADB"/>
              <w:right w:val="nil"/>
            </w:tcBorders>
            <w:shd w:val="clear" w:color="auto" w:fill="auto"/>
            <w:noWrap/>
            <w:vAlign w:val="center"/>
            <w:hideMark/>
          </w:tcPr>
          <w:p w14:paraId="15BC0736"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     </w:t>
            </w:r>
          </w:p>
        </w:tc>
        <w:tc>
          <w:tcPr>
            <w:tcW w:w="527" w:type="pct"/>
            <w:tcBorders>
              <w:top w:val="nil"/>
              <w:left w:val="nil"/>
              <w:bottom w:val="single" w:sz="8" w:space="0" w:color="8EAADB"/>
              <w:right w:val="nil"/>
            </w:tcBorders>
            <w:shd w:val="clear" w:color="auto" w:fill="auto"/>
            <w:noWrap/>
            <w:vAlign w:val="center"/>
            <w:hideMark/>
          </w:tcPr>
          <w:p w14:paraId="696D4ED3"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 </w:t>
            </w:r>
          </w:p>
        </w:tc>
        <w:tc>
          <w:tcPr>
            <w:tcW w:w="527" w:type="pct"/>
            <w:tcBorders>
              <w:top w:val="nil"/>
              <w:left w:val="nil"/>
              <w:bottom w:val="single" w:sz="8" w:space="0" w:color="8EAADB"/>
              <w:right w:val="nil"/>
            </w:tcBorders>
            <w:shd w:val="clear" w:color="auto" w:fill="auto"/>
            <w:noWrap/>
            <w:vAlign w:val="center"/>
            <w:hideMark/>
          </w:tcPr>
          <w:p w14:paraId="2175D4F0"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w:t>
            </w:r>
          </w:p>
        </w:tc>
        <w:tc>
          <w:tcPr>
            <w:tcW w:w="527" w:type="pct"/>
            <w:tcBorders>
              <w:top w:val="nil"/>
              <w:left w:val="nil"/>
              <w:bottom w:val="single" w:sz="8" w:space="0" w:color="8EAADB"/>
              <w:right w:val="nil"/>
            </w:tcBorders>
            <w:shd w:val="clear" w:color="auto" w:fill="auto"/>
            <w:noWrap/>
            <w:vAlign w:val="center"/>
            <w:hideMark/>
          </w:tcPr>
          <w:p w14:paraId="4076BE53"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w:t>
            </w:r>
          </w:p>
        </w:tc>
      </w:tr>
      <w:tr w:rsidR="006C6302" w:rsidRPr="00393495" w14:paraId="4EFFA915" w14:textId="77777777" w:rsidTr="00446A14">
        <w:trPr>
          <w:trHeight w:val="238"/>
        </w:trPr>
        <w:tc>
          <w:tcPr>
            <w:tcW w:w="2363" w:type="pct"/>
            <w:tcBorders>
              <w:top w:val="nil"/>
              <w:left w:val="nil"/>
              <w:bottom w:val="single" w:sz="8" w:space="0" w:color="8EAADB"/>
              <w:right w:val="nil"/>
            </w:tcBorders>
            <w:shd w:val="clear" w:color="auto" w:fill="auto"/>
            <w:noWrap/>
            <w:vAlign w:val="center"/>
            <w:hideMark/>
          </w:tcPr>
          <w:p w14:paraId="3C49A580" w14:textId="77777777" w:rsidR="006C6302" w:rsidRPr="00087F48" w:rsidRDefault="006C6302" w:rsidP="00446A14">
            <w:pPr>
              <w:spacing w:after="0" w:line="240" w:lineRule="auto"/>
              <w:rPr>
                <w:rFonts w:ascii="Arial" w:hAnsi="Arial" w:cs="Arial"/>
                <w:color w:val="000000"/>
                <w:sz w:val="16"/>
                <w:szCs w:val="18"/>
                <w:lang w:eastAsia="pt-BR"/>
              </w:rPr>
            </w:pPr>
            <w:r w:rsidRPr="00087F48">
              <w:rPr>
                <w:rFonts w:ascii="Arial" w:hAnsi="Arial" w:cs="Arial"/>
                <w:color w:val="000000"/>
                <w:sz w:val="16"/>
                <w:szCs w:val="18"/>
                <w:lang w:eastAsia="pt-BR"/>
              </w:rPr>
              <w:t xml:space="preserve">  Outras Receitas</w:t>
            </w:r>
          </w:p>
        </w:tc>
        <w:tc>
          <w:tcPr>
            <w:tcW w:w="527" w:type="pct"/>
            <w:tcBorders>
              <w:top w:val="nil"/>
              <w:left w:val="nil"/>
              <w:bottom w:val="single" w:sz="8" w:space="0" w:color="8EAADB"/>
              <w:right w:val="nil"/>
            </w:tcBorders>
            <w:shd w:val="clear" w:color="auto" w:fill="auto"/>
            <w:noWrap/>
            <w:vAlign w:val="center"/>
            <w:hideMark/>
          </w:tcPr>
          <w:p w14:paraId="705EEF4C"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14.496</w:t>
            </w:r>
          </w:p>
        </w:tc>
        <w:tc>
          <w:tcPr>
            <w:tcW w:w="527" w:type="pct"/>
            <w:tcBorders>
              <w:top w:val="nil"/>
              <w:left w:val="nil"/>
              <w:bottom w:val="single" w:sz="8" w:space="0" w:color="8EAADB"/>
              <w:right w:val="nil"/>
            </w:tcBorders>
            <w:shd w:val="clear" w:color="auto" w:fill="auto"/>
            <w:noWrap/>
            <w:vAlign w:val="center"/>
            <w:hideMark/>
          </w:tcPr>
          <w:p w14:paraId="050F219C"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6.888</w:t>
            </w:r>
          </w:p>
        </w:tc>
        <w:tc>
          <w:tcPr>
            <w:tcW w:w="527" w:type="pct"/>
            <w:tcBorders>
              <w:top w:val="nil"/>
              <w:left w:val="nil"/>
              <w:bottom w:val="single" w:sz="8" w:space="0" w:color="8EAADB"/>
              <w:right w:val="nil"/>
            </w:tcBorders>
            <w:shd w:val="clear" w:color="auto" w:fill="auto"/>
            <w:noWrap/>
            <w:vAlign w:val="center"/>
            <w:hideMark/>
          </w:tcPr>
          <w:p w14:paraId="30891FD6"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899</w:t>
            </w:r>
          </w:p>
        </w:tc>
        <w:tc>
          <w:tcPr>
            <w:tcW w:w="527" w:type="pct"/>
            <w:tcBorders>
              <w:top w:val="nil"/>
              <w:left w:val="nil"/>
              <w:bottom w:val="single" w:sz="8" w:space="0" w:color="8EAADB"/>
              <w:right w:val="nil"/>
            </w:tcBorders>
            <w:shd w:val="clear" w:color="auto" w:fill="auto"/>
            <w:noWrap/>
            <w:vAlign w:val="center"/>
            <w:hideMark/>
          </w:tcPr>
          <w:p w14:paraId="17971722"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110,5%</w:t>
            </w:r>
          </w:p>
        </w:tc>
        <w:tc>
          <w:tcPr>
            <w:tcW w:w="527" w:type="pct"/>
            <w:tcBorders>
              <w:top w:val="nil"/>
              <w:left w:val="nil"/>
              <w:bottom w:val="single" w:sz="8" w:space="0" w:color="8EAADB"/>
              <w:right w:val="nil"/>
            </w:tcBorders>
            <w:shd w:val="clear" w:color="auto" w:fill="auto"/>
            <w:noWrap/>
            <w:vAlign w:val="center"/>
            <w:hideMark/>
          </w:tcPr>
          <w:p w14:paraId="1A5F2448"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1512,5%</w:t>
            </w:r>
          </w:p>
        </w:tc>
      </w:tr>
      <w:tr w:rsidR="006C6302" w:rsidRPr="00393495" w14:paraId="3C028AA0" w14:textId="77777777" w:rsidTr="00446A14">
        <w:trPr>
          <w:trHeight w:val="238"/>
        </w:trPr>
        <w:tc>
          <w:tcPr>
            <w:tcW w:w="2363" w:type="pct"/>
            <w:tcBorders>
              <w:top w:val="nil"/>
              <w:left w:val="nil"/>
              <w:bottom w:val="single" w:sz="8" w:space="0" w:color="8EAADB"/>
              <w:right w:val="nil"/>
            </w:tcBorders>
            <w:shd w:val="clear" w:color="auto" w:fill="auto"/>
            <w:noWrap/>
            <w:vAlign w:val="center"/>
            <w:hideMark/>
          </w:tcPr>
          <w:p w14:paraId="41067D0B" w14:textId="77777777" w:rsidR="006C6302" w:rsidRPr="00087F48" w:rsidRDefault="006C6302" w:rsidP="00446A14">
            <w:pPr>
              <w:spacing w:after="0" w:line="240" w:lineRule="auto"/>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DEDUÇÕES DA RECEITA OPERACIONAL BRUTA </w:t>
            </w:r>
          </w:p>
        </w:tc>
        <w:tc>
          <w:tcPr>
            <w:tcW w:w="527" w:type="pct"/>
            <w:tcBorders>
              <w:top w:val="nil"/>
              <w:left w:val="nil"/>
              <w:bottom w:val="single" w:sz="8" w:space="0" w:color="8EAADB"/>
              <w:right w:val="nil"/>
            </w:tcBorders>
            <w:shd w:val="clear" w:color="auto" w:fill="auto"/>
            <w:noWrap/>
            <w:vAlign w:val="center"/>
            <w:hideMark/>
          </w:tcPr>
          <w:p w14:paraId="30F7F6D9" w14:textId="77777777" w:rsidR="006C6302" w:rsidRPr="00087F48" w:rsidRDefault="006C6302"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-53.212</w:t>
            </w:r>
          </w:p>
        </w:tc>
        <w:tc>
          <w:tcPr>
            <w:tcW w:w="527" w:type="pct"/>
            <w:tcBorders>
              <w:top w:val="nil"/>
              <w:left w:val="nil"/>
              <w:bottom w:val="single" w:sz="8" w:space="0" w:color="8EAADB"/>
              <w:right w:val="nil"/>
            </w:tcBorders>
            <w:shd w:val="clear" w:color="auto" w:fill="auto"/>
            <w:noWrap/>
            <w:vAlign w:val="center"/>
            <w:hideMark/>
          </w:tcPr>
          <w:p w14:paraId="33C5B33B" w14:textId="77777777" w:rsidR="006C6302" w:rsidRPr="00087F48" w:rsidRDefault="006C6302"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-55.662</w:t>
            </w:r>
          </w:p>
        </w:tc>
        <w:tc>
          <w:tcPr>
            <w:tcW w:w="527" w:type="pct"/>
            <w:tcBorders>
              <w:top w:val="nil"/>
              <w:left w:val="nil"/>
              <w:bottom w:val="single" w:sz="8" w:space="0" w:color="8EAADB"/>
              <w:right w:val="nil"/>
            </w:tcBorders>
            <w:shd w:val="clear" w:color="auto" w:fill="auto"/>
            <w:noWrap/>
            <w:vAlign w:val="center"/>
            <w:hideMark/>
          </w:tcPr>
          <w:p w14:paraId="4279B474" w14:textId="77777777" w:rsidR="006C6302" w:rsidRPr="00087F48" w:rsidRDefault="006C6302"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-58.569</w:t>
            </w:r>
          </w:p>
        </w:tc>
        <w:tc>
          <w:tcPr>
            <w:tcW w:w="527" w:type="pct"/>
            <w:tcBorders>
              <w:top w:val="nil"/>
              <w:left w:val="nil"/>
              <w:bottom w:val="single" w:sz="8" w:space="0" w:color="8EAADB"/>
              <w:right w:val="nil"/>
            </w:tcBorders>
            <w:shd w:val="clear" w:color="auto" w:fill="auto"/>
            <w:noWrap/>
            <w:vAlign w:val="center"/>
            <w:hideMark/>
          </w:tcPr>
          <w:p w14:paraId="520C8DB2" w14:textId="77777777" w:rsidR="006C6302" w:rsidRPr="00087F48" w:rsidRDefault="006C6302"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-4,4%</w:t>
            </w:r>
          </w:p>
        </w:tc>
        <w:tc>
          <w:tcPr>
            <w:tcW w:w="527" w:type="pct"/>
            <w:tcBorders>
              <w:top w:val="nil"/>
              <w:left w:val="nil"/>
              <w:bottom w:val="single" w:sz="8" w:space="0" w:color="8EAADB"/>
              <w:right w:val="nil"/>
            </w:tcBorders>
            <w:shd w:val="clear" w:color="auto" w:fill="auto"/>
            <w:noWrap/>
            <w:vAlign w:val="center"/>
            <w:hideMark/>
          </w:tcPr>
          <w:p w14:paraId="46A4D169" w14:textId="77777777" w:rsidR="006C6302" w:rsidRPr="00087F48" w:rsidRDefault="006C6302"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-9,1%</w:t>
            </w:r>
          </w:p>
        </w:tc>
      </w:tr>
      <w:tr w:rsidR="006C6302" w:rsidRPr="00393495" w14:paraId="4ECF963C" w14:textId="77777777" w:rsidTr="00446A14">
        <w:trPr>
          <w:trHeight w:val="238"/>
        </w:trPr>
        <w:tc>
          <w:tcPr>
            <w:tcW w:w="2363" w:type="pct"/>
            <w:tcBorders>
              <w:top w:val="nil"/>
              <w:left w:val="nil"/>
              <w:bottom w:val="single" w:sz="8" w:space="0" w:color="8EAADB"/>
              <w:right w:val="nil"/>
            </w:tcBorders>
            <w:shd w:val="clear" w:color="auto" w:fill="auto"/>
            <w:noWrap/>
            <w:vAlign w:val="center"/>
            <w:hideMark/>
          </w:tcPr>
          <w:p w14:paraId="488D0207" w14:textId="77777777" w:rsidR="006C6302" w:rsidRPr="00087F48" w:rsidRDefault="006C6302" w:rsidP="00446A14">
            <w:pPr>
              <w:spacing w:after="0" w:line="240" w:lineRule="auto"/>
              <w:rPr>
                <w:rFonts w:ascii="Arial" w:hAnsi="Arial" w:cs="Arial"/>
                <w:color w:val="000000"/>
                <w:sz w:val="16"/>
                <w:szCs w:val="18"/>
                <w:lang w:eastAsia="pt-BR"/>
              </w:rPr>
            </w:pPr>
            <w:r w:rsidRPr="00087F48">
              <w:rPr>
                <w:rFonts w:ascii="Arial" w:hAnsi="Arial" w:cs="Arial"/>
                <w:color w:val="000000"/>
                <w:sz w:val="16"/>
                <w:szCs w:val="18"/>
                <w:lang w:eastAsia="pt-BR"/>
              </w:rPr>
              <w:t xml:space="preserve">  Tributos s/ Receita Operacional Bruta</w:t>
            </w:r>
          </w:p>
        </w:tc>
        <w:tc>
          <w:tcPr>
            <w:tcW w:w="527" w:type="pct"/>
            <w:tcBorders>
              <w:top w:val="nil"/>
              <w:left w:val="nil"/>
              <w:bottom w:val="single" w:sz="8" w:space="0" w:color="8EAADB"/>
              <w:right w:val="nil"/>
            </w:tcBorders>
            <w:shd w:val="clear" w:color="auto" w:fill="auto"/>
            <w:noWrap/>
            <w:vAlign w:val="center"/>
            <w:hideMark/>
          </w:tcPr>
          <w:p w14:paraId="6493A194"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-51.456</w:t>
            </w:r>
          </w:p>
        </w:tc>
        <w:tc>
          <w:tcPr>
            <w:tcW w:w="527" w:type="pct"/>
            <w:tcBorders>
              <w:top w:val="nil"/>
              <w:left w:val="nil"/>
              <w:bottom w:val="single" w:sz="8" w:space="0" w:color="8EAADB"/>
              <w:right w:val="nil"/>
            </w:tcBorders>
            <w:shd w:val="clear" w:color="auto" w:fill="auto"/>
            <w:noWrap/>
            <w:vAlign w:val="center"/>
            <w:hideMark/>
          </w:tcPr>
          <w:p w14:paraId="0EAA9F35"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-55.280</w:t>
            </w:r>
          </w:p>
        </w:tc>
        <w:tc>
          <w:tcPr>
            <w:tcW w:w="527" w:type="pct"/>
            <w:tcBorders>
              <w:top w:val="nil"/>
              <w:left w:val="nil"/>
              <w:bottom w:val="single" w:sz="8" w:space="0" w:color="8EAADB"/>
              <w:right w:val="nil"/>
            </w:tcBorders>
            <w:shd w:val="clear" w:color="auto" w:fill="auto"/>
            <w:noWrap/>
            <w:vAlign w:val="center"/>
            <w:hideMark/>
          </w:tcPr>
          <w:p w14:paraId="42AA7212"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-58.161</w:t>
            </w:r>
          </w:p>
        </w:tc>
        <w:tc>
          <w:tcPr>
            <w:tcW w:w="527" w:type="pct"/>
            <w:tcBorders>
              <w:top w:val="nil"/>
              <w:left w:val="nil"/>
              <w:bottom w:val="single" w:sz="8" w:space="0" w:color="8EAADB"/>
              <w:right w:val="nil"/>
            </w:tcBorders>
            <w:shd w:val="clear" w:color="auto" w:fill="auto"/>
            <w:noWrap/>
            <w:vAlign w:val="center"/>
            <w:hideMark/>
          </w:tcPr>
          <w:p w14:paraId="1FE6F0C3"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-6,9%</w:t>
            </w:r>
          </w:p>
        </w:tc>
        <w:tc>
          <w:tcPr>
            <w:tcW w:w="527" w:type="pct"/>
            <w:tcBorders>
              <w:top w:val="nil"/>
              <w:left w:val="nil"/>
              <w:bottom w:val="single" w:sz="8" w:space="0" w:color="8EAADB"/>
              <w:right w:val="nil"/>
            </w:tcBorders>
            <w:shd w:val="clear" w:color="auto" w:fill="auto"/>
            <w:noWrap/>
            <w:vAlign w:val="center"/>
            <w:hideMark/>
          </w:tcPr>
          <w:p w14:paraId="79AF229B"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-11,5%</w:t>
            </w:r>
          </w:p>
        </w:tc>
      </w:tr>
      <w:tr w:rsidR="006C6302" w:rsidRPr="00393495" w14:paraId="50DDD2B1" w14:textId="77777777" w:rsidTr="00446A14">
        <w:trPr>
          <w:trHeight w:val="238"/>
        </w:trPr>
        <w:tc>
          <w:tcPr>
            <w:tcW w:w="2363" w:type="pct"/>
            <w:tcBorders>
              <w:top w:val="nil"/>
              <w:left w:val="nil"/>
              <w:bottom w:val="single" w:sz="8" w:space="0" w:color="8EAADB"/>
              <w:right w:val="nil"/>
            </w:tcBorders>
            <w:shd w:val="clear" w:color="auto" w:fill="auto"/>
            <w:noWrap/>
            <w:vAlign w:val="center"/>
            <w:hideMark/>
          </w:tcPr>
          <w:p w14:paraId="0CC35471" w14:textId="77777777" w:rsidR="006C6302" w:rsidRPr="00087F48" w:rsidRDefault="006C6302" w:rsidP="00446A14">
            <w:pPr>
              <w:spacing w:after="0" w:line="240" w:lineRule="auto"/>
              <w:rPr>
                <w:rFonts w:ascii="Arial" w:hAnsi="Arial" w:cs="Arial"/>
                <w:color w:val="000000"/>
                <w:sz w:val="16"/>
                <w:szCs w:val="18"/>
                <w:lang w:eastAsia="pt-BR"/>
              </w:rPr>
            </w:pPr>
            <w:r w:rsidRPr="00087F48">
              <w:rPr>
                <w:rFonts w:ascii="Arial" w:hAnsi="Arial" w:cs="Arial"/>
                <w:color w:val="000000"/>
                <w:sz w:val="16"/>
                <w:szCs w:val="18"/>
                <w:lang w:eastAsia="pt-BR"/>
              </w:rPr>
              <w:t xml:space="preserve">   Descontos Incondicionais/Outros</w:t>
            </w:r>
          </w:p>
        </w:tc>
        <w:tc>
          <w:tcPr>
            <w:tcW w:w="527" w:type="pct"/>
            <w:tcBorders>
              <w:top w:val="nil"/>
              <w:left w:val="nil"/>
              <w:bottom w:val="single" w:sz="8" w:space="0" w:color="8EAADB"/>
              <w:right w:val="nil"/>
            </w:tcBorders>
            <w:shd w:val="clear" w:color="auto" w:fill="auto"/>
            <w:noWrap/>
            <w:vAlign w:val="center"/>
            <w:hideMark/>
          </w:tcPr>
          <w:p w14:paraId="3C8B21F5"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-1756</w:t>
            </w:r>
          </w:p>
        </w:tc>
        <w:tc>
          <w:tcPr>
            <w:tcW w:w="527" w:type="pct"/>
            <w:tcBorders>
              <w:top w:val="nil"/>
              <w:left w:val="nil"/>
              <w:bottom w:val="single" w:sz="8" w:space="0" w:color="8EAADB"/>
              <w:right w:val="nil"/>
            </w:tcBorders>
            <w:shd w:val="clear" w:color="auto" w:fill="auto"/>
            <w:noWrap/>
            <w:vAlign w:val="center"/>
            <w:hideMark/>
          </w:tcPr>
          <w:p w14:paraId="40A2829B"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-382</w:t>
            </w:r>
          </w:p>
        </w:tc>
        <w:tc>
          <w:tcPr>
            <w:tcW w:w="527" w:type="pct"/>
            <w:tcBorders>
              <w:top w:val="nil"/>
              <w:left w:val="nil"/>
              <w:bottom w:val="single" w:sz="8" w:space="0" w:color="8EAADB"/>
              <w:right w:val="nil"/>
            </w:tcBorders>
            <w:shd w:val="clear" w:color="auto" w:fill="auto"/>
            <w:noWrap/>
            <w:vAlign w:val="center"/>
            <w:hideMark/>
          </w:tcPr>
          <w:p w14:paraId="35793C8A"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-408</w:t>
            </w:r>
          </w:p>
        </w:tc>
        <w:tc>
          <w:tcPr>
            <w:tcW w:w="527" w:type="pct"/>
            <w:tcBorders>
              <w:top w:val="nil"/>
              <w:left w:val="nil"/>
              <w:bottom w:val="single" w:sz="8" w:space="0" w:color="8EAADB"/>
              <w:right w:val="nil"/>
            </w:tcBorders>
            <w:shd w:val="clear" w:color="auto" w:fill="auto"/>
            <w:noWrap/>
            <w:vAlign w:val="center"/>
            <w:hideMark/>
          </w:tcPr>
          <w:p w14:paraId="071457DF"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359,7%</w:t>
            </w:r>
          </w:p>
        </w:tc>
        <w:tc>
          <w:tcPr>
            <w:tcW w:w="527" w:type="pct"/>
            <w:tcBorders>
              <w:top w:val="nil"/>
              <w:left w:val="nil"/>
              <w:bottom w:val="single" w:sz="8" w:space="0" w:color="8EAADB"/>
              <w:right w:val="nil"/>
            </w:tcBorders>
            <w:shd w:val="clear" w:color="auto" w:fill="auto"/>
            <w:noWrap/>
            <w:vAlign w:val="center"/>
            <w:hideMark/>
          </w:tcPr>
          <w:p w14:paraId="327BC268"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330,4%</w:t>
            </w:r>
          </w:p>
        </w:tc>
      </w:tr>
      <w:tr w:rsidR="006C6302" w:rsidRPr="00393495" w14:paraId="04FFB5FC" w14:textId="77777777" w:rsidTr="00446A14">
        <w:trPr>
          <w:trHeight w:val="238"/>
        </w:trPr>
        <w:tc>
          <w:tcPr>
            <w:tcW w:w="2363" w:type="pct"/>
            <w:tcBorders>
              <w:top w:val="nil"/>
              <w:left w:val="nil"/>
              <w:bottom w:val="single" w:sz="8" w:space="0" w:color="8EAADB"/>
              <w:right w:val="nil"/>
            </w:tcBorders>
            <w:shd w:val="clear" w:color="auto" w:fill="auto"/>
            <w:noWrap/>
            <w:vAlign w:val="center"/>
            <w:hideMark/>
          </w:tcPr>
          <w:p w14:paraId="68E8B201" w14:textId="77777777" w:rsidR="006C6302" w:rsidRPr="00087F48" w:rsidRDefault="006C6302" w:rsidP="00446A14">
            <w:pPr>
              <w:spacing w:after="0" w:line="240" w:lineRule="auto"/>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RECEITA OPERACIONAL LÍQUIDA</w:t>
            </w:r>
          </w:p>
        </w:tc>
        <w:tc>
          <w:tcPr>
            <w:tcW w:w="527" w:type="pct"/>
            <w:tcBorders>
              <w:top w:val="nil"/>
              <w:left w:val="nil"/>
              <w:bottom w:val="single" w:sz="8" w:space="0" w:color="8EAADB"/>
              <w:right w:val="nil"/>
            </w:tcBorders>
            <w:shd w:val="clear" w:color="auto" w:fill="auto"/>
            <w:noWrap/>
            <w:vAlign w:val="center"/>
            <w:hideMark/>
          </w:tcPr>
          <w:p w14:paraId="4201CB2C" w14:textId="77777777" w:rsidR="006C6302" w:rsidRPr="00087F48" w:rsidRDefault="006C6302"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416.840</w:t>
            </w:r>
          </w:p>
        </w:tc>
        <w:tc>
          <w:tcPr>
            <w:tcW w:w="527" w:type="pct"/>
            <w:tcBorders>
              <w:top w:val="nil"/>
              <w:left w:val="nil"/>
              <w:bottom w:val="single" w:sz="8" w:space="0" w:color="8EAADB"/>
              <w:right w:val="nil"/>
            </w:tcBorders>
            <w:shd w:val="clear" w:color="auto" w:fill="auto"/>
            <w:noWrap/>
            <w:vAlign w:val="center"/>
            <w:hideMark/>
          </w:tcPr>
          <w:p w14:paraId="59DC25A8" w14:textId="77777777" w:rsidR="006C6302" w:rsidRPr="00087F48" w:rsidRDefault="006C6302"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347.840</w:t>
            </w:r>
          </w:p>
        </w:tc>
        <w:tc>
          <w:tcPr>
            <w:tcW w:w="527" w:type="pct"/>
            <w:tcBorders>
              <w:top w:val="nil"/>
              <w:left w:val="nil"/>
              <w:bottom w:val="single" w:sz="8" w:space="0" w:color="8EAADB"/>
              <w:right w:val="nil"/>
            </w:tcBorders>
            <w:shd w:val="clear" w:color="auto" w:fill="auto"/>
            <w:noWrap/>
            <w:vAlign w:val="center"/>
            <w:hideMark/>
          </w:tcPr>
          <w:p w14:paraId="6D9D9397" w14:textId="77777777" w:rsidR="006C6302" w:rsidRPr="00087F48" w:rsidRDefault="006C6302"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285.653</w:t>
            </w:r>
          </w:p>
        </w:tc>
        <w:tc>
          <w:tcPr>
            <w:tcW w:w="527" w:type="pct"/>
            <w:tcBorders>
              <w:top w:val="nil"/>
              <w:left w:val="nil"/>
              <w:bottom w:val="single" w:sz="8" w:space="0" w:color="8EAADB"/>
              <w:right w:val="nil"/>
            </w:tcBorders>
            <w:shd w:val="clear" w:color="auto" w:fill="auto"/>
            <w:noWrap/>
            <w:vAlign w:val="center"/>
            <w:hideMark/>
          </w:tcPr>
          <w:p w14:paraId="513407D5" w14:textId="77777777" w:rsidR="006C6302" w:rsidRPr="00087F48" w:rsidRDefault="006C6302"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19,8%</w:t>
            </w:r>
          </w:p>
        </w:tc>
        <w:tc>
          <w:tcPr>
            <w:tcW w:w="527" w:type="pct"/>
            <w:tcBorders>
              <w:top w:val="nil"/>
              <w:left w:val="nil"/>
              <w:bottom w:val="single" w:sz="8" w:space="0" w:color="8EAADB"/>
              <w:right w:val="nil"/>
            </w:tcBorders>
            <w:shd w:val="clear" w:color="auto" w:fill="auto"/>
            <w:noWrap/>
            <w:vAlign w:val="center"/>
            <w:hideMark/>
          </w:tcPr>
          <w:p w14:paraId="541D5982" w14:textId="77777777" w:rsidR="006C6302" w:rsidRPr="00087F48" w:rsidRDefault="006C6302"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45,9%</w:t>
            </w:r>
          </w:p>
        </w:tc>
      </w:tr>
    </w:tbl>
    <w:p w14:paraId="08AF6B93" w14:textId="77777777" w:rsidR="006C6302" w:rsidRDefault="006C6302" w:rsidP="006C6302">
      <w:pPr>
        <w:spacing w:after="0"/>
        <w:rPr>
          <w:rFonts w:ascii="Calibri" w:eastAsia="Times New Roman" w:hAnsi="Calibri" w:cs="Times New Roman"/>
          <w:b/>
          <w:bCs/>
          <w:color w:val="002060"/>
          <w:kern w:val="0"/>
          <w:u w:val="single"/>
          <w14:ligatures w14:val="none"/>
        </w:rPr>
      </w:pPr>
    </w:p>
    <w:p w14:paraId="0F9D7E49" w14:textId="77777777" w:rsidR="006C6302" w:rsidRPr="006C6302" w:rsidRDefault="006C6302" w:rsidP="006C6302">
      <w:pPr>
        <w:spacing w:after="0"/>
        <w:jc w:val="both"/>
        <w:rPr>
          <w:rFonts w:ascii="Calibri" w:eastAsia="Times New Roman" w:hAnsi="Calibri" w:cs="Times New Roman"/>
          <w:color w:val="002060"/>
          <w:kern w:val="0"/>
          <w14:ligatures w14:val="none"/>
        </w:rPr>
      </w:pPr>
      <w:r w:rsidRPr="006C6302">
        <w:rPr>
          <w:rFonts w:ascii="Calibri" w:eastAsia="Times New Roman" w:hAnsi="Calibri" w:cs="Times New Roman"/>
          <w:color w:val="002060"/>
          <w:kern w:val="0"/>
          <w14:ligatures w14:val="none"/>
        </w:rPr>
        <w:t xml:space="preserve">Em 2023 a Receita Operacional Líquida totalizou R$ 416,8 milhões, 19,8% superior à receita apresentada em 2022, que foi de R$ 347,8 milhões (R$ 285,7 milhões em 2021). O comportamento da receita bruta por serviço em 2023 em relação aos anos de 2022 e 2021 foi o seguinte: </w:t>
      </w:r>
    </w:p>
    <w:p w14:paraId="280273E3" w14:textId="77777777" w:rsidR="006C6302" w:rsidRPr="006C6302" w:rsidRDefault="006C6302" w:rsidP="006C6302">
      <w:pPr>
        <w:spacing w:after="0"/>
        <w:jc w:val="both"/>
        <w:rPr>
          <w:rFonts w:ascii="Calibri" w:eastAsia="Times New Roman" w:hAnsi="Calibri" w:cs="Times New Roman"/>
          <w:color w:val="002060"/>
          <w:kern w:val="0"/>
          <w14:ligatures w14:val="none"/>
        </w:rPr>
      </w:pPr>
      <w:r w:rsidRPr="006C6302">
        <w:rPr>
          <w:rFonts w:ascii="Calibri" w:eastAsia="Times New Roman" w:hAnsi="Calibri" w:cs="Times New Roman"/>
          <w:b/>
          <w:bCs/>
          <w:color w:val="002060"/>
          <w:kern w:val="0"/>
          <w14:ligatures w14:val="none"/>
        </w:rPr>
        <w:t>Serviço de Comunicação Multimídia (SCM):</w:t>
      </w:r>
      <w:r w:rsidRPr="006C6302">
        <w:rPr>
          <w:rFonts w:ascii="Calibri" w:eastAsia="Times New Roman" w:hAnsi="Calibri" w:cs="Times New Roman"/>
          <w:color w:val="002060"/>
          <w:kern w:val="0"/>
          <w14:ligatures w14:val="none"/>
        </w:rPr>
        <w:t xml:space="preserve"> Em 2023, esta receita apresentou crescimento de 10,5% na comparação com o exercício de 2022 e 25,8% em relação ao ano de 2021, explicado pelos seguintes eventos: i) aumento dos circuitos/pontos vinculados à geração de receita; </w:t>
      </w:r>
      <w:proofErr w:type="spellStart"/>
      <w:r w:rsidRPr="006C6302">
        <w:rPr>
          <w:rFonts w:ascii="Calibri" w:eastAsia="Times New Roman" w:hAnsi="Calibri" w:cs="Times New Roman"/>
          <w:color w:val="002060"/>
          <w:kern w:val="0"/>
          <w14:ligatures w14:val="none"/>
        </w:rPr>
        <w:t>ii</w:t>
      </w:r>
      <w:proofErr w:type="spellEnd"/>
      <w:r w:rsidRPr="006C6302">
        <w:rPr>
          <w:rFonts w:ascii="Calibri" w:eastAsia="Times New Roman" w:hAnsi="Calibri" w:cs="Times New Roman"/>
          <w:color w:val="002060"/>
          <w:kern w:val="0"/>
          <w14:ligatures w14:val="none"/>
        </w:rPr>
        <w:t xml:space="preserve">) crescimento da banda larga faturada no período; e </w:t>
      </w:r>
      <w:proofErr w:type="spellStart"/>
      <w:r w:rsidRPr="006C6302">
        <w:rPr>
          <w:rFonts w:ascii="Calibri" w:eastAsia="Times New Roman" w:hAnsi="Calibri" w:cs="Times New Roman"/>
          <w:color w:val="002060"/>
          <w:kern w:val="0"/>
          <w14:ligatures w14:val="none"/>
        </w:rPr>
        <w:t>iii</w:t>
      </w:r>
      <w:proofErr w:type="spellEnd"/>
      <w:r w:rsidRPr="006C6302">
        <w:rPr>
          <w:rFonts w:ascii="Calibri" w:eastAsia="Times New Roman" w:hAnsi="Calibri" w:cs="Times New Roman"/>
          <w:color w:val="002060"/>
          <w:kern w:val="0"/>
          <w14:ligatures w14:val="none"/>
        </w:rPr>
        <w:t xml:space="preserve">) pelo efeito de reajustes dos contratos no decorrer dos exercícios de 2021, 2022 e 2023. </w:t>
      </w:r>
    </w:p>
    <w:p w14:paraId="01249C3E" w14:textId="77777777" w:rsidR="006C6302" w:rsidRPr="006C6302" w:rsidRDefault="006C6302" w:rsidP="006C6302">
      <w:pPr>
        <w:spacing w:after="0"/>
        <w:jc w:val="both"/>
        <w:rPr>
          <w:rFonts w:ascii="Calibri" w:eastAsia="Times New Roman" w:hAnsi="Calibri" w:cs="Times New Roman"/>
          <w:color w:val="002060"/>
          <w:kern w:val="0"/>
          <w14:ligatures w14:val="none"/>
        </w:rPr>
      </w:pPr>
      <w:r w:rsidRPr="006C6302">
        <w:rPr>
          <w:rFonts w:ascii="Calibri" w:eastAsia="Times New Roman" w:hAnsi="Calibri" w:cs="Times New Roman"/>
          <w:b/>
          <w:bCs/>
          <w:color w:val="002060"/>
          <w:kern w:val="0"/>
          <w14:ligatures w14:val="none"/>
        </w:rPr>
        <w:t>Locação de Capacidade Satelital:</w:t>
      </w:r>
      <w:r w:rsidRPr="006C6302">
        <w:rPr>
          <w:rFonts w:ascii="Calibri" w:eastAsia="Times New Roman" w:hAnsi="Calibri" w:cs="Times New Roman"/>
          <w:color w:val="002060"/>
          <w:kern w:val="0"/>
          <w14:ligatures w14:val="none"/>
        </w:rPr>
        <w:t xml:space="preserve"> este produto permaneceu estável na comparação entre o exercício de 2023 e os períodos comparados, com receita de R$ 36,5 milhões.</w:t>
      </w:r>
    </w:p>
    <w:p w14:paraId="748AA2A7" w14:textId="77777777" w:rsidR="006C6302" w:rsidRPr="006C6302" w:rsidRDefault="006C6302" w:rsidP="006C6302">
      <w:pPr>
        <w:spacing w:after="0"/>
        <w:jc w:val="both"/>
        <w:rPr>
          <w:rFonts w:ascii="Calibri" w:eastAsia="Times New Roman" w:hAnsi="Calibri" w:cs="Times New Roman"/>
          <w:color w:val="002060"/>
          <w:kern w:val="0"/>
          <w14:ligatures w14:val="none"/>
        </w:rPr>
      </w:pPr>
      <w:r w:rsidRPr="006C6302">
        <w:rPr>
          <w:rFonts w:ascii="Calibri" w:eastAsia="Times New Roman" w:hAnsi="Calibri" w:cs="Times New Roman"/>
          <w:b/>
          <w:bCs/>
          <w:color w:val="002060"/>
          <w:kern w:val="0"/>
          <w14:ligatures w14:val="none"/>
        </w:rPr>
        <w:t>Aluguéis e Locações – Outras:</w:t>
      </w:r>
      <w:r w:rsidRPr="006C6302">
        <w:rPr>
          <w:rFonts w:ascii="Calibri" w:eastAsia="Times New Roman" w:hAnsi="Calibri" w:cs="Times New Roman"/>
          <w:color w:val="002060"/>
          <w:kern w:val="0"/>
          <w14:ligatures w14:val="none"/>
        </w:rPr>
        <w:t xml:space="preserve">  compreende o aluguel de cabos ópticos, locação de roteadores e aluguel de infraestrutura do segmento satelital (contrato de parceria com a </w:t>
      </w:r>
      <w:proofErr w:type="spellStart"/>
      <w:r w:rsidRPr="006C6302">
        <w:rPr>
          <w:rFonts w:ascii="Calibri" w:eastAsia="Times New Roman" w:hAnsi="Calibri" w:cs="Times New Roman"/>
          <w:color w:val="002060"/>
          <w:kern w:val="0"/>
          <w14:ligatures w14:val="none"/>
        </w:rPr>
        <w:t>Viasat</w:t>
      </w:r>
      <w:proofErr w:type="spellEnd"/>
      <w:r w:rsidRPr="006C6302">
        <w:rPr>
          <w:rFonts w:ascii="Calibri" w:eastAsia="Times New Roman" w:hAnsi="Calibri" w:cs="Times New Roman"/>
          <w:color w:val="002060"/>
          <w:kern w:val="0"/>
          <w14:ligatures w14:val="none"/>
        </w:rPr>
        <w:t>). Nos 12M23, a receita reconhecida nessa rubrica totalizou R$ 24,5 milhões (R$ 22,1 milhões em 2022 e R$ 16,4 milhões em 2021), aumento de 12,7% e 53,0%, respectivamente.</w:t>
      </w:r>
    </w:p>
    <w:p w14:paraId="058EE05A" w14:textId="77777777" w:rsidR="006C6302" w:rsidRPr="006C6302" w:rsidRDefault="006C6302" w:rsidP="006C6302">
      <w:pPr>
        <w:spacing w:after="0"/>
        <w:jc w:val="both"/>
        <w:rPr>
          <w:rFonts w:ascii="Calibri" w:eastAsia="Times New Roman" w:hAnsi="Calibri" w:cs="Times New Roman"/>
          <w:color w:val="002060"/>
          <w:kern w:val="0"/>
          <w14:ligatures w14:val="none"/>
        </w:rPr>
      </w:pPr>
      <w:r w:rsidRPr="006C6302">
        <w:rPr>
          <w:rFonts w:ascii="Calibri" w:eastAsia="Times New Roman" w:hAnsi="Calibri" w:cs="Times New Roman"/>
          <w:b/>
          <w:bCs/>
          <w:color w:val="002060"/>
          <w:kern w:val="0"/>
          <w14:ligatures w14:val="none"/>
        </w:rPr>
        <w:t>Compartilhamento de Receitas:</w:t>
      </w:r>
      <w:r w:rsidRPr="006C6302">
        <w:rPr>
          <w:rFonts w:ascii="Calibri" w:eastAsia="Times New Roman" w:hAnsi="Calibri" w:cs="Times New Roman"/>
          <w:color w:val="002060"/>
          <w:kern w:val="0"/>
          <w14:ligatures w14:val="none"/>
        </w:rPr>
        <w:t xml:space="preserve"> No ano de 2023, a Telebras reconheceu o montante de R$ 19,6 milhões (R$ 15,5 milhões em 2022 e R$ 7,1 milhões em 2021). O crescimento é explicado pelo maior volume de recursos recebidos da </w:t>
      </w:r>
      <w:proofErr w:type="spellStart"/>
      <w:r w:rsidRPr="006C6302">
        <w:rPr>
          <w:rFonts w:ascii="Calibri" w:eastAsia="Times New Roman" w:hAnsi="Calibri" w:cs="Times New Roman"/>
          <w:color w:val="002060"/>
          <w:kern w:val="0"/>
          <w14:ligatures w14:val="none"/>
        </w:rPr>
        <w:t>Viasat</w:t>
      </w:r>
      <w:proofErr w:type="spellEnd"/>
      <w:r w:rsidRPr="006C6302">
        <w:rPr>
          <w:rFonts w:ascii="Calibri" w:eastAsia="Times New Roman" w:hAnsi="Calibri" w:cs="Times New Roman"/>
          <w:color w:val="002060"/>
          <w:kern w:val="0"/>
          <w14:ligatures w14:val="none"/>
        </w:rPr>
        <w:t xml:space="preserve"> no período, devido ao crescimento do faturamento da empresa parceira. </w:t>
      </w:r>
    </w:p>
    <w:p w14:paraId="55418920" w14:textId="77777777" w:rsidR="006C6302" w:rsidRPr="006C6302" w:rsidRDefault="006C6302" w:rsidP="006C6302">
      <w:pPr>
        <w:spacing w:after="0"/>
        <w:jc w:val="both"/>
        <w:rPr>
          <w:rFonts w:ascii="Calibri" w:eastAsia="Times New Roman" w:hAnsi="Calibri" w:cs="Times New Roman"/>
          <w:color w:val="002060"/>
          <w:kern w:val="0"/>
          <w14:ligatures w14:val="none"/>
        </w:rPr>
      </w:pPr>
      <w:r w:rsidRPr="006C6302">
        <w:rPr>
          <w:rFonts w:ascii="Calibri" w:eastAsia="Times New Roman" w:hAnsi="Calibri" w:cs="Times New Roman"/>
          <w:b/>
          <w:bCs/>
          <w:color w:val="002060"/>
          <w:kern w:val="0"/>
          <w14:ligatures w14:val="none"/>
        </w:rPr>
        <w:t xml:space="preserve">Serviço de Valor Adicionado: </w:t>
      </w:r>
      <w:r w:rsidRPr="006C6302">
        <w:rPr>
          <w:rFonts w:ascii="Calibri" w:eastAsia="Times New Roman" w:hAnsi="Calibri" w:cs="Times New Roman"/>
          <w:color w:val="002060"/>
          <w:kern w:val="0"/>
          <w14:ligatures w14:val="none"/>
        </w:rPr>
        <w:t xml:space="preserve">Em 2023, a Companhia reconheceu o montante de R$ 18,1 milhões de receita de SVA relativa ao contrato de prestação de serviços firmado com o INSS </w:t>
      </w:r>
      <w:proofErr w:type="gramStart"/>
      <w:r w:rsidRPr="006C6302">
        <w:rPr>
          <w:rFonts w:ascii="Calibri" w:eastAsia="Times New Roman" w:hAnsi="Calibri" w:cs="Times New Roman"/>
          <w:color w:val="002060"/>
          <w:kern w:val="0"/>
          <w14:ligatures w14:val="none"/>
        </w:rPr>
        <w:t>e também</w:t>
      </w:r>
      <w:proofErr w:type="gramEnd"/>
      <w:r w:rsidRPr="006C6302">
        <w:rPr>
          <w:rFonts w:ascii="Calibri" w:eastAsia="Times New Roman" w:hAnsi="Calibri" w:cs="Times New Roman"/>
          <w:color w:val="002060"/>
          <w:kern w:val="0"/>
          <w14:ligatures w14:val="none"/>
        </w:rPr>
        <w:t xml:space="preserve"> referente à participação da Telebras na receita de serviço da </w:t>
      </w:r>
      <w:proofErr w:type="spellStart"/>
      <w:r w:rsidRPr="006C6302">
        <w:rPr>
          <w:rFonts w:ascii="Calibri" w:eastAsia="Times New Roman" w:hAnsi="Calibri" w:cs="Times New Roman"/>
          <w:color w:val="002060"/>
          <w:kern w:val="0"/>
          <w14:ligatures w14:val="none"/>
        </w:rPr>
        <w:t>Viasat</w:t>
      </w:r>
      <w:proofErr w:type="spellEnd"/>
      <w:r w:rsidRPr="006C6302">
        <w:rPr>
          <w:rFonts w:ascii="Calibri" w:eastAsia="Times New Roman" w:hAnsi="Calibri" w:cs="Times New Roman"/>
          <w:color w:val="002060"/>
          <w:kern w:val="0"/>
          <w14:ligatures w14:val="none"/>
        </w:rPr>
        <w:t xml:space="preserve"> sobre os serviços de disponibilização de aplicativo de acesso a livros, jornais, revistas e streamings.</w:t>
      </w:r>
    </w:p>
    <w:p w14:paraId="4E3685D0" w14:textId="77777777" w:rsidR="006C6302" w:rsidRPr="006C6302" w:rsidRDefault="006C6302" w:rsidP="006C6302">
      <w:pPr>
        <w:spacing w:after="0"/>
        <w:jc w:val="both"/>
        <w:rPr>
          <w:rFonts w:ascii="Calibri" w:eastAsia="Times New Roman" w:hAnsi="Calibri" w:cs="Times New Roman"/>
          <w:color w:val="002060"/>
          <w:kern w:val="0"/>
          <w14:ligatures w14:val="none"/>
        </w:rPr>
      </w:pPr>
      <w:r w:rsidRPr="006C6302">
        <w:rPr>
          <w:rFonts w:ascii="Calibri" w:eastAsia="Times New Roman" w:hAnsi="Calibri" w:cs="Times New Roman"/>
          <w:b/>
          <w:bCs/>
          <w:color w:val="002060"/>
          <w:kern w:val="0"/>
          <w14:ligatures w14:val="none"/>
        </w:rPr>
        <w:lastRenderedPageBreak/>
        <w:t>Outras Receitas:</w:t>
      </w:r>
      <w:r w:rsidRPr="006C6302">
        <w:rPr>
          <w:rFonts w:ascii="Calibri" w:eastAsia="Times New Roman" w:hAnsi="Calibri" w:cs="Times New Roman"/>
          <w:color w:val="002060"/>
          <w:kern w:val="0"/>
          <w14:ligatures w14:val="none"/>
        </w:rPr>
        <w:t xml:space="preserve"> Representa o valor reconhecido relativo aos serviços prestados de instalação e manutenção do programa Wi-Fi Brasil. O montante reconhecido em 2023 foi de R$ 14,5 milhões (R$ 6,9 milhões em 2022 e R$ 0,1 milhões em 2021), crescimento de 110,5% e 1.512,5%, respectivamente. Esse aumento é explicado pelo aumento dos pontos instalados. </w:t>
      </w:r>
    </w:p>
    <w:p w14:paraId="493DCC5A" w14:textId="014A8364" w:rsidR="006C6302" w:rsidRPr="006C6302" w:rsidRDefault="006C6302" w:rsidP="006C6302">
      <w:pPr>
        <w:spacing w:after="0"/>
        <w:rPr>
          <w:rFonts w:ascii="Calibri" w:eastAsia="Times New Roman" w:hAnsi="Calibri" w:cs="Times New Roman"/>
          <w:b/>
          <w:bCs/>
          <w:color w:val="002060"/>
          <w:kern w:val="0"/>
          <w14:ligatures w14:val="none"/>
        </w:rPr>
      </w:pPr>
      <w:bookmarkStart w:id="6" w:name="_Toc161319434"/>
      <w:r>
        <w:rPr>
          <w:rFonts w:ascii="Calibri" w:eastAsia="Times New Roman" w:hAnsi="Calibri" w:cs="Times New Roman"/>
          <w:b/>
          <w:bCs/>
          <w:color w:val="002060"/>
          <w:kern w:val="0"/>
          <w14:ligatures w14:val="none"/>
        </w:rPr>
        <w:t xml:space="preserve">3.2.2. </w:t>
      </w:r>
      <w:r w:rsidRPr="006C6302">
        <w:rPr>
          <w:rFonts w:ascii="Calibri" w:eastAsia="Times New Roman" w:hAnsi="Calibri" w:cs="Times New Roman"/>
          <w:b/>
          <w:bCs/>
          <w:color w:val="002060"/>
          <w:kern w:val="0"/>
          <w14:ligatures w14:val="none"/>
        </w:rPr>
        <w:t>Custos e Despesas Vinculadas às Funções: Custo dos Serviços Prestados, Comercialização dos Serviços e Despesas Gerais e Administrativas (Exceto Depreciação e Amortização)</w:t>
      </w:r>
      <w:bookmarkEnd w:id="6"/>
    </w:p>
    <w:tbl>
      <w:tblPr>
        <w:tblW w:w="4987" w:type="pct"/>
        <w:tblCellMar>
          <w:left w:w="70" w:type="dxa"/>
          <w:right w:w="70" w:type="dxa"/>
        </w:tblCellMar>
        <w:tblLook w:val="04A0" w:firstRow="1" w:lastRow="0" w:firstColumn="1" w:lastColumn="0" w:noHBand="0" w:noVBand="1"/>
      </w:tblPr>
      <w:tblGrid>
        <w:gridCol w:w="4631"/>
        <w:gridCol w:w="923"/>
        <w:gridCol w:w="970"/>
        <w:gridCol w:w="970"/>
        <w:gridCol w:w="778"/>
        <w:gridCol w:w="776"/>
      </w:tblGrid>
      <w:tr w:rsidR="006C6302" w:rsidRPr="00457198" w14:paraId="30D6F02F" w14:textId="77777777" w:rsidTr="00446A14">
        <w:trPr>
          <w:trHeight w:val="241"/>
        </w:trPr>
        <w:tc>
          <w:tcPr>
            <w:tcW w:w="2559" w:type="pct"/>
            <w:tcBorders>
              <w:top w:val="single" w:sz="8" w:space="0" w:color="9BC2E6"/>
              <w:left w:val="nil"/>
              <w:bottom w:val="single" w:sz="8" w:space="0" w:color="9BC2E6"/>
              <w:right w:val="nil"/>
            </w:tcBorders>
            <w:shd w:val="clear" w:color="000000" w:fill="FFFFFF"/>
            <w:noWrap/>
            <w:vAlign w:val="center"/>
            <w:hideMark/>
          </w:tcPr>
          <w:p w14:paraId="43DD2100" w14:textId="77777777" w:rsidR="006C6302" w:rsidRPr="00087F48" w:rsidRDefault="006C6302" w:rsidP="00446A14">
            <w:pPr>
              <w:spacing w:after="0" w:line="240" w:lineRule="auto"/>
              <w:rPr>
                <w:rFonts w:ascii="Arial" w:hAnsi="Arial" w:cs="Arial"/>
                <w:b/>
                <w:bCs/>
                <w:color w:val="2F75B5"/>
                <w:sz w:val="16"/>
                <w:szCs w:val="18"/>
                <w:lang w:eastAsia="pt-BR"/>
              </w:rPr>
            </w:pPr>
            <w:r w:rsidRPr="00087F48">
              <w:rPr>
                <w:rFonts w:ascii="Arial" w:hAnsi="Arial" w:cs="Arial"/>
                <w:b/>
                <w:bCs/>
                <w:color w:val="2F75B5"/>
                <w:sz w:val="16"/>
                <w:szCs w:val="18"/>
                <w:lang w:eastAsia="pt-BR"/>
              </w:rPr>
              <w:t>R$ mil</w:t>
            </w:r>
          </w:p>
        </w:tc>
        <w:tc>
          <w:tcPr>
            <w:tcW w:w="510" w:type="pct"/>
            <w:tcBorders>
              <w:top w:val="single" w:sz="8" w:space="0" w:color="9BC2E6"/>
              <w:left w:val="nil"/>
              <w:bottom w:val="single" w:sz="8" w:space="0" w:color="9BC2E6"/>
              <w:right w:val="nil"/>
            </w:tcBorders>
            <w:shd w:val="clear" w:color="auto" w:fill="auto"/>
            <w:vAlign w:val="center"/>
            <w:hideMark/>
          </w:tcPr>
          <w:p w14:paraId="1547E5C1" w14:textId="77777777" w:rsidR="006C6302" w:rsidRPr="00087F48" w:rsidRDefault="006C6302" w:rsidP="00446A14">
            <w:pPr>
              <w:spacing w:after="0" w:line="240" w:lineRule="auto"/>
              <w:jc w:val="center"/>
              <w:rPr>
                <w:rFonts w:ascii="Arial" w:hAnsi="Arial" w:cs="Arial"/>
                <w:b/>
                <w:bCs/>
                <w:color w:val="2E74B5"/>
                <w:sz w:val="16"/>
                <w:szCs w:val="18"/>
                <w:lang w:eastAsia="pt-BR"/>
              </w:rPr>
            </w:pPr>
            <w:r w:rsidRPr="00087F48">
              <w:rPr>
                <w:rFonts w:ascii="Arial" w:hAnsi="Arial" w:cs="Arial"/>
                <w:b/>
                <w:bCs/>
                <w:color w:val="2E74B5"/>
                <w:sz w:val="16"/>
                <w:szCs w:val="18"/>
                <w:lang w:eastAsia="pt-BR"/>
              </w:rPr>
              <w:t>2023</w:t>
            </w:r>
          </w:p>
        </w:tc>
        <w:tc>
          <w:tcPr>
            <w:tcW w:w="536" w:type="pct"/>
            <w:tcBorders>
              <w:top w:val="single" w:sz="8" w:space="0" w:color="9BC2E6"/>
              <w:left w:val="nil"/>
              <w:bottom w:val="single" w:sz="8" w:space="0" w:color="9BC2E6"/>
              <w:right w:val="nil"/>
            </w:tcBorders>
            <w:shd w:val="clear" w:color="auto" w:fill="auto"/>
            <w:vAlign w:val="center"/>
            <w:hideMark/>
          </w:tcPr>
          <w:p w14:paraId="0245D982" w14:textId="77777777" w:rsidR="006C6302" w:rsidRPr="00087F48" w:rsidRDefault="006C6302" w:rsidP="00446A14">
            <w:pPr>
              <w:spacing w:after="0" w:line="240" w:lineRule="auto"/>
              <w:jc w:val="center"/>
              <w:rPr>
                <w:rFonts w:ascii="Arial" w:hAnsi="Arial" w:cs="Arial"/>
                <w:b/>
                <w:bCs/>
                <w:color w:val="2E74B5"/>
                <w:sz w:val="16"/>
                <w:szCs w:val="18"/>
                <w:lang w:eastAsia="pt-BR"/>
              </w:rPr>
            </w:pPr>
            <w:r w:rsidRPr="00087F48">
              <w:rPr>
                <w:rFonts w:ascii="Arial" w:hAnsi="Arial" w:cs="Arial"/>
                <w:b/>
                <w:bCs/>
                <w:color w:val="2E74B5"/>
                <w:sz w:val="16"/>
                <w:szCs w:val="18"/>
                <w:lang w:eastAsia="pt-BR"/>
              </w:rPr>
              <w:t>2022</w:t>
            </w:r>
          </w:p>
        </w:tc>
        <w:tc>
          <w:tcPr>
            <w:tcW w:w="536" w:type="pct"/>
            <w:tcBorders>
              <w:top w:val="single" w:sz="8" w:space="0" w:color="9BC2E6"/>
              <w:left w:val="nil"/>
              <w:bottom w:val="single" w:sz="8" w:space="0" w:color="9BC2E6"/>
              <w:right w:val="nil"/>
            </w:tcBorders>
            <w:shd w:val="clear" w:color="auto" w:fill="auto"/>
            <w:vAlign w:val="center"/>
            <w:hideMark/>
          </w:tcPr>
          <w:p w14:paraId="4CB61323" w14:textId="77777777" w:rsidR="006C6302" w:rsidRPr="00087F48" w:rsidRDefault="006C6302" w:rsidP="00446A14">
            <w:pPr>
              <w:spacing w:after="0" w:line="240" w:lineRule="auto"/>
              <w:jc w:val="center"/>
              <w:rPr>
                <w:rFonts w:ascii="Arial" w:hAnsi="Arial" w:cs="Arial"/>
                <w:b/>
                <w:bCs/>
                <w:color w:val="2E74B5"/>
                <w:sz w:val="16"/>
                <w:szCs w:val="18"/>
                <w:lang w:eastAsia="pt-BR"/>
              </w:rPr>
            </w:pPr>
            <w:r w:rsidRPr="00087F48">
              <w:rPr>
                <w:rFonts w:ascii="Arial" w:hAnsi="Arial" w:cs="Arial"/>
                <w:b/>
                <w:bCs/>
                <w:color w:val="2E74B5"/>
                <w:sz w:val="16"/>
                <w:szCs w:val="18"/>
                <w:lang w:eastAsia="pt-BR"/>
              </w:rPr>
              <w:t>2021</w:t>
            </w:r>
          </w:p>
        </w:tc>
        <w:tc>
          <w:tcPr>
            <w:tcW w:w="430" w:type="pct"/>
            <w:tcBorders>
              <w:top w:val="single" w:sz="8" w:space="0" w:color="9BC2E6"/>
              <w:left w:val="nil"/>
              <w:bottom w:val="single" w:sz="8" w:space="0" w:color="9BC2E6"/>
              <w:right w:val="nil"/>
            </w:tcBorders>
            <w:shd w:val="clear" w:color="000000" w:fill="FFFFFF"/>
            <w:vAlign w:val="center"/>
            <w:hideMark/>
          </w:tcPr>
          <w:p w14:paraId="0009076E" w14:textId="77777777" w:rsidR="006C6302" w:rsidRPr="00087F48" w:rsidRDefault="006C6302" w:rsidP="00446A14">
            <w:pPr>
              <w:spacing w:after="0" w:line="240" w:lineRule="auto"/>
              <w:jc w:val="center"/>
              <w:rPr>
                <w:rFonts w:ascii="Arial" w:hAnsi="Arial" w:cs="Arial"/>
                <w:b/>
                <w:bCs/>
                <w:color w:val="2F75B5"/>
                <w:sz w:val="16"/>
                <w:szCs w:val="18"/>
                <w:lang w:eastAsia="pt-BR"/>
              </w:rPr>
            </w:pPr>
            <w:r w:rsidRPr="00087F48">
              <w:rPr>
                <w:rFonts w:ascii="Arial" w:hAnsi="Arial" w:cs="Arial"/>
                <w:b/>
                <w:bCs/>
                <w:color w:val="2F75B5"/>
                <w:sz w:val="16"/>
                <w:szCs w:val="18"/>
                <w:lang w:eastAsia="pt-BR"/>
              </w:rPr>
              <w:t>Δ 2023 X 2022</w:t>
            </w:r>
          </w:p>
        </w:tc>
        <w:tc>
          <w:tcPr>
            <w:tcW w:w="430" w:type="pct"/>
            <w:tcBorders>
              <w:top w:val="single" w:sz="8" w:space="0" w:color="9BC2E6"/>
              <w:left w:val="nil"/>
              <w:bottom w:val="single" w:sz="8" w:space="0" w:color="9BC2E6"/>
              <w:right w:val="nil"/>
            </w:tcBorders>
            <w:shd w:val="clear" w:color="000000" w:fill="FFFFFF"/>
            <w:vAlign w:val="center"/>
            <w:hideMark/>
          </w:tcPr>
          <w:p w14:paraId="756EA5AE" w14:textId="77777777" w:rsidR="006C6302" w:rsidRPr="00087F48" w:rsidRDefault="006C6302" w:rsidP="00446A14">
            <w:pPr>
              <w:spacing w:after="0" w:line="240" w:lineRule="auto"/>
              <w:jc w:val="center"/>
              <w:rPr>
                <w:rFonts w:ascii="Arial" w:hAnsi="Arial" w:cs="Arial"/>
                <w:b/>
                <w:bCs/>
                <w:color w:val="2F75B5"/>
                <w:sz w:val="16"/>
                <w:szCs w:val="18"/>
                <w:lang w:eastAsia="pt-BR"/>
              </w:rPr>
            </w:pPr>
            <w:r w:rsidRPr="00087F48">
              <w:rPr>
                <w:rFonts w:ascii="Arial" w:hAnsi="Arial" w:cs="Arial"/>
                <w:b/>
                <w:bCs/>
                <w:color w:val="2F75B5"/>
                <w:sz w:val="16"/>
                <w:szCs w:val="18"/>
                <w:lang w:eastAsia="pt-BR"/>
              </w:rPr>
              <w:t>Δ 2023 X 2021</w:t>
            </w:r>
          </w:p>
        </w:tc>
      </w:tr>
      <w:tr w:rsidR="006C6302" w:rsidRPr="00457198" w14:paraId="39898B55" w14:textId="77777777" w:rsidTr="00446A14">
        <w:trPr>
          <w:trHeight w:val="241"/>
        </w:trPr>
        <w:tc>
          <w:tcPr>
            <w:tcW w:w="2559" w:type="pct"/>
            <w:tcBorders>
              <w:top w:val="nil"/>
              <w:left w:val="nil"/>
              <w:bottom w:val="single" w:sz="8" w:space="0" w:color="9BC2E6"/>
              <w:right w:val="nil"/>
            </w:tcBorders>
            <w:shd w:val="clear" w:color="auto" w:fill="auto"/>
            <w:noWrap/>
            <w:vAlign w:val="center"/>
            <w:hideMark/>
          </w:tcPr>
          <w:p w14:paraId="40C918CF" w14:textId="77777777" w:rsidR="006C6302" w:rsidRPr="00087F48" w:rsidRDefault="006C6302" w:rsidP="00446A14">
            <w:pPr>
              <w:spacing w:after="0" w:line="240" w:lineRule="auto"/>
              <w:rPr>
                <w:rFonts w:ascii="Arial" w:hAnsi="Arial" w:cs="Arial"/>
                <w:color w:val="000000"/>
                <w:sz w:val="16"/>
                <w:szCs w:val="18"/>
                <w:lang w:eastAsia="pt-BR"/>
              </w:rPr>
            </w:pPr>
            <w:r w:rsidRPr="00087F48">
              <w:rPr>
                <w:rFonts w:ascii="Arial" w:hAnsi="Arial" w:cs="Arial"/>
                <w:color w:val="000000"/>
                <w:sz w:val="16"/>
                <w:szCs w:val="18"/>
                <w:lang w:eastAsia="pt-BR"/>
              </w:rPr>
              <w:t>Serviços de Terceiros</w:t>
            </w:r>
          </w:p>
        </w:tc>
        <w:tc>
          <w:tcPr>
            <w:tcW w:w="510" w:type="pct"/>
            <w:tcBorders>
              <w:top w:val="nil"/>
              <w:left w:val="nil"/>
              <w:bottom w:val="single" w:sz="8" w:space="0" w:color="9BC2E6"/>
              <w:right w:val="nil"/>
            </w:tcBorders>
            <w:shd w:val="clear" w:color="auto" w:fill="auto"/>
            <w:noWrap/>
            <w:vAlign w:val="center"/>
            <w:hideMark/>
          </w:tcPr>
          <w:p w14:paraId="7DC99FF4"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(159.570)</w:t>
            </w:r>
          </w:p>
        </w:tc>
        <w:tc>
          <w:tcPr>
            <w:tcW w:w="536" w:type="pct"/>
            <w:tcBorders>
              <w:top w:val="nil"/>
              <w:left w:val="nil"/>
              <w:bottom w:val="single" w:sz="8" w:space="0" w:color="9BC2E6"/>
              <w:right w:val="nil"/>
            </w:tcBorders>
            <w:shd w:val="clear" w:color="auto" w:fill="auto"/>
            <w:noWrap/>
            <w:vAlign w:val="center"/>
            <w:hideMark/>
          </w:tcPr>
          <w:p w14:paraId="3B0A3CEA"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(109.165)</w:t>
            </w:r>
          </w:p>
        </w:tc>
        <w:tc>
          <w:tcPr>
            <w:tcW w:w="536" w:type="pct"/>
            <w:tcBorders>
              <w:top w:val="nil"/>
              <w:left w:val="nil"/>
              <w:bottom w:val="single" w:sz="8" w:space="0" w:color="9BC2E6"/>
              <w:right w:val="nil"/>
            </w:tcBorders>
            <w:shd w:val="clear" w:color="auto" w:fill="auto"/>
            <w:noWrap/>
            <w:vAlign w:val="center"/>
            <w:hideMark/>
          </w:tcPr>
          <w:p w14:paraId="12CFBECB"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(84.088)</w:t>
            </w:r>
          </w:p>
        </w:tc>
        <w:tc>
          <w:tcPr>
            <w:tcW w:w="430" w:type="pct"/>
            <w:tcBorders>
              <w:top w:val="nil"/>
              <w:left w:val="nil"/>
              <w:bottom w:val="single" w:sz="8" w:space="0" w:color="9BC2E6"/>
              <w:right w:val="nil"/>
            </w:tcBorders>
            <w:shd w:val="clear" w:color="auto" w:fill="auto"/>
            <w:noWrap/>
            <w:vAlign w:val="center"/>
            <w:hideMark/>
          </w:tcPr>
          <w:p w14:paraId="46D726CC"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46,2%</w:t>
            </w:r>
          </w:p>
        </w:tc>
        <w:tc>
          <w:tcPr>
            <w:tcW w:w="430" w:type="pct"/>
            <w:tcBorders>
              <w:top w:val="nil"/>
              <w:left w:val="nil"/>
              <w:bottom w:val="single" w:sz="8" w:space="0" w:color="9BC2E6"/>
              <w:right w:val="nil"/>
            </w:tcBorders>
            <w:shd w:val="clear" w:color="auto" w:fill="auto"/>
            <w:noWrap/>
            <w:vAlign w:val="center"/>
            <w:hideMark/>
          </w:tcPr>
          <w:p w14:paraId="46F82AAA"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89,8%</w:t>
            </w:r>
          </w:p>
        </w:tc>
      </w:tr>
      <w:tr w:rsidR="006C6302" w:rsidRPr="00457198" w14:paraId="29801F7E" w14:textId="77777777" w:rsidTr="00446A14">
        <w:trPr>
          <w:trHeight w:val="241"/>
        </w:trPr>
        <w:tc>
          <w:tcPr>
            <w:tcW w:w="2559" w:type="pct"/>
            <w:tcBorders>
              <w:top w:val="nil"/>
              <w:left w:val="nil"/>
              <w:bottom w:val="nil"/>
              <w:right w:val="nil"/>
            </w:tcBorders>
            <w:shd w:val="clear" w:color="auto" w:fill="auto"/>
            <w:noWrap/>
            <w:vAlign w:val="center"/>
            <w:hideMark/>
          </w:tcPr>
          <w:p w14:paraId="6CB311F8" w14:textId="77777777" w:rsidR="006C6302" w:rsidRPr="00087F48" w:rsidRDefault="006C6302" w:rsidP="00446A14">
            <w:pPr>
              <w:spacing w:after="0" w:line="240" w:lineRule="auto"/>
              <w:rPr>
                <w:rFonts w:ascii="Arial" w:hAnsi="Arial" w:cs="Arial"/>
                <w:color w:val="000000"/>
                <w:sz w:val="16"/>
                <w:szCs w:val="18"/>
                <w:lang w:eastAsia="pt-BR"/>
              </w:rPr>
            </w:pPr>
            <w:r w:rsidRPr="00087F48">
              <w:rPr>
                <w:rFonts w:ascii="Arial" w:hAnsi="Arial" w:cs="Arial"/>
                <w:color w:val="000000"/>
                <w:sz w:val="16"/>
                <w:szCs w:val="18"/>
                <w:lang w:eastAsia="pt-BR"/>
              </w:rPr>
              <w:t>Meios de Conexão e Transmissão</w:t>
            </w:r>
          </w:p>
        </w:tc>
        <w:tc>
          <w:tcPr>
            <w:tcW w:w="510" w:type="pct"/>
            <w:tcBorders>
              <w:top w:val="nil"/>
              <w:left w:val="nil"/>
              <w:bottom w:val="nil"/>
              <w:right w:val="nil"/>
            </w:tcBorders>
            <w:shd w:val="clear" w:color="auto" w:fill="auto"/>
            <w:noWrap/>
            <w:vAlign w:val="center"/>
            <w:hideMark/>
          </w:tcPr>
          <w:p w14:paraId="2CC54BFC"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(136.851)</w:t>
            </w:r>
          </w:p>
        </w:tc>
        <w:tc>
          <w:tcPr>
            <w:tcW w:w="536" w:type="pct"/>
            <w:tcBorders>
              <w:top w:val="nil"/>
              <w:left w:val="nil"/>
              <w:bottom w:val="nil"/>
              <w:right w:val="nil"/>
            </w:tcBorders>
            <w:shd w:val="clear" w:color="auto" w:fill="auto"/>
            <w:noWrap/>
            <w:vAlign w:val="center"/>
            <w:hideMark/>
          </w:tcPr>
          <w:p w14:paraId="2800C3D0"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(127.727)</w:t>
            </w:r>
          </w:p>
        </w:tc>
        <w:tc>
          <w:tcPr>
            <w:tcW w:w="536" w:type="pct"/>
            <w:tcBorders>
              <w:top w:val="nil"/>
              <w:left w:val="nil"/>
              <w:bottom w:val="nil"/>
              <w:right w:val="nil"/>
            </w:tcBorders>
            <w:shd w:val="clear" w:color="auto" w:fill="auto"/>
            <w:noWrap/>
            <w:vAlign w:val="center"/>
            <w:hideMark/>
          </w:tcPr>
          <w:p w14:paraId="4064BE0E"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(116.669)</w:t>
            </w:r>
          </w:p>
        </w:tc>
        <w:tc>
          <w:tcPr>
            <w:tcW w:w="430" w:type="pct"/>
            <w:tcBorders>
              <w:top w:val="nil"/>
              <w:left w:val="nil"/>
              <w:bottom w:val="single" w:sz="8" w:space="0" w:color="8EAADB"/>
              <w:right w:val="nil"/>
            </w:tcBorders>
            <w:shd w:val="clear" w:color="auto" w:fill="auto"/>
            <w:noWrap/>
            <w:vAlign w:val="center"/>
            <w:hideMark/>
          </w:tcPr>
          <w:p w14:paraId="73DC0177"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7,1%</w:t>
            </w:r>
          </w:p>
        </w:tc>
        <w:tc>
          <w:tcPr>
            <w:tcW w:w="430" w:type="pct"/>
            <w:tcBorders>
              <w:top w:val="nil"/>
              <w:left w:val="nil"/>
              <w:bottom w:val="single" w:sz="8" w:space="0" w:color="8EAADB"/>
              <w:right w:val="nil"/>
            </w:tcBorders>
            <w:shd w:val="clear" w:color="auto" w:fill="auto"/>
            <w:noWrap/>
            <w:vAlign w:val="center"/>
            <w:hideMark/>
          </w:tcPr>
          <w:p w14:paraId="5A311F06"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17,3%</w:t>
            </w:r>
          </w:p>
        </w:tc>
      </w:tr>
      <w:tr w:rsidR="006C6302" w:rsidRPr="00457198" w14:paraId="7D23A698" w14:textId="77777777" w:rsidTr="00446A14">
        <w:trPr>
          <w:trHeight w:val="241"/>
        </w:trPr>
        <w:tc>
          <w:tcPr>
            <w:tcW w:w="2559" w:type="pct"/>
            <w:tcBorders>
              <w:top w:val="single" w:sz="8" w:space="0" w:color="9BC2E6"/>
              <w:left w:val="nil"/>
              <w:bottom w:val="single" w:sz="8" w:space="0" w:color="9BC2E6"/>
              <w:right w:val="nil"/>
            </w:tcBorders>
            <w:shd w:val="clear" w:color="auto" w:fill="auto"/>
            <w:noWrap/>
            <w:vAlign w:val="center"/>
            <w:hideMark/>
          </w:tcPr>
          <w:p w14:paraId="3344F758" w14:textId="77777777" w:rsidR="006C6302" w:rsidRPr="00087F48" w:rsidRDefault="006C6302" w:rsidP="00446A14">
            <w:pPr>
              <w:spacing w:after="0" w:line="240" w:lineRule="auto"/>
              <w:rPr>
                <w:rFonts w:ascii="Arial" w:hAnsi="Arial" w:cs="Arial"/>
                <w:color w:val="000000"/>
                <w:sz w:val="16"/>
                <w:szCs w:val="18"/>
                <w:lang w:eastAsia="pt-BR"/>
              </w:rPr>
            </w:pPr>
            <w:r w:rsidRPr="00087F48">
              <w:rPr>
                <w:rFonts w:ascii="Arial" w:hAnsi="Arial" w:cs="Arial"/>
                <w:color w:val="000000"/>
                <w:sz w:val="16"/>
                <w:szCs w:val="18"/>
                <w:lang w:eastAsia="pt-BR"/>
              </w:rPr>
              <w:t xml:space="preserve">Pessoal </w:t>
            </w:r>
          </w:p>
        </w:tc>
        <w:tc>
          <w:tcPr>
            <w:tcW w:w="510" w:type="pct"/>
            <w:tcBorders>
              <w:top w:val="single" w:sz="8" w:space="0" w:color="9BC2E6"/>
              <w:left w:val="nil"/>
              <w:bottom w:val="single" w:sz="8" w:space="0" w:color="9BC2E6"/>
              <w:right w:val="nil"/>
            </w:tcBorders>
            <w:shd w:val="clear" w:color="auto" w:fill="auto"/>
            <w:noWrap/>
            <w:vAlign w:val="center"/>
            <w:hideMark/>
          </w:tcPr>
          <w:p w14:paraId="77D1CB40"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(106.908)</w:t>
            </w:r>
          </w:p>
        </w:tc>
        <w:tc>
          <w:tcPr>
            <w:tcW w:w="536" w:type="pct"/>
            <w:tcBorders>
              <w:top w:val="single" w:sz="8" w:space="0" w:color="9BC2E6"/>
              <w:left w:val="nil"/>
              <w:bottom w:val="single" w:sz="8" w:space="0" w:color="9BC2E6"/>
              <w:right w:val="nil"/>
            </w:tcBorders>
            <w:shd w:val="clear" w:color="auto" w:fill="auto"/>
            <w:noWrap/>
            <w:vAlign w:val="center"/>
            <w:hideMark/>
          </w:tcPr>
          <w:p w14:paraId="466F3FC0"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(97.129)</w:t>
            </w:r>
          </w:p>
        </w:tc>
        <w:tc>
          <w:tcPr>
            <w:tcW w:w="536" w:type="pct"/>
            <w:tcBorders>
              <w:top w:val="single" w:sz="8" w:space="0" w:color="9BC2E6"/>
              <w:left w:val="nil"/>
              <w:bottom w:val="single" w:sz="8" w:space="0" w:color="9BC2E6"/>
              <w:right w:val="nil"/>
            </w:tcBorders>
            <w:shd w:val="clear" w:color="auto" w:fill="auto"/>
            <w:noWrap/>
            <w:vAlign w:val="center"/>
            <w:hideMark/>
          </w:tcPr>
          <w:p w14:paraId="34ED7900"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(85.729)</w:t>
            </w:r>
          </w:p>
        </w:tc>
        <w:tc>
          <w:tcPr>
            <w:tcW w:w="430" w:type="pct"/>
            <w:tcBorders>
              <w:top w:val="nil"/>
              <w:left w:val="nil"/>
              <w:bottom w:val="single" w:sz="8" w:space="0" w:color="9BC2E6"/>
              <w:right w:val="nil"/>
            </w:tcBorders>
            <w:shd w:val="clear" w:color="auto" w:fill="auto"/>
            <w:noWrap/>
            <w:vAlign w:val="center"/>
            <w:hideMark/>
          </w:tcPr>
          <w:p w14:paraId="1547BD15"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10,1%</w:t>
            </w:r>
          </w:p>
        </w:tc>
        <w:tc>
          <w:tcPr>
            <w:tcW w:w="430" w:type="pct"/>
            <w:tcBorders>
              <w:top w:val="nil"/>
              <w:left w:val="nil"/>
              <w:bottom w:val="single" w:sz="8" w:space="0" w:color="9BC2E6"/>
              <w:right w:val="nil"/>
            </w:tcBorders>
            <w:shd w:val="clear" w:color="auto" w:fill="auto"/>
            <w:noWrap/>
            <w:vAlign w:val="center"/>
            <w:hideMark/>
          </w:tcPr>
          <w:p w14:paraId="7C2D9E6D"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24,7%</w:t>
            </w:r>
          </w:p>
        </w:tc>
      </w:tr>
      <w:tr w:rsidR="006C6302" w:rsidRPr="00457198" w14:paraId="1CAB5BC9" w14:textId="77777777" w:rsidTr="00446A14">
        <w:trPr>
          <w:trHeight w:val="241"/>
        </w:trPr>
        <w:tc>
          <w:tcPr>
            <w:tcW w:w="2559" w:type="pct"/>
            <w:tcBorders>
              <w:top w:val="nil"/>
              <w:left w:val="nil"/>
              <w:bottom w:val="single" w:sz="8" w:space="0" w:color="9BC2E6"/>
              <w:right w:val="nil"/>
            </w:tcBorders>
            <w:shd w:val="clear" w:color="auto" w:fill="auto"/>
            <w:noWrap/>
            <w:vAlign w:val="center"/>
            <w:hideMark/>
          </w:tcPr>
          <w:p w14:paraId="5BBAFDBE" w14:textId="77777777" w:rsidR="006C6302" w:rsidRPr="00087F48" w:rsidRDefault="006C6302" w:rsidP="00446A14">
            <w:pPr>
              <w:spacing w:after="0" w:line="240" w:lineRule="auto"/>
              <w:rPr>
                <w:rFonts w:ascii="Arial" w:hAnsi="Arial" w:cs="Arial"/>
                <w:color w:val="000000"/>
                <w:sz w:val="16"/>
                <w:szCs w:val="18"/>
                <w:lang w:eastAsia="pt-BR"/>
              </w:rPr>
            </w:pPr>
            <w:r w:rsidRPr="00087F48">
              <w:rPr>
                <w:rFonts w:ascii="Arial" w:hAnsi="Arial" w:cs="Arial"/>
                <w:color w:val="000000"/>
                <w:sz w:val="16"/>
                <w:szCs w:val="18"/>
                <w:lang w:eastAsia="pt-BR"/>
              </w:rPr>
              <w:t>Aluguéis, Locações e Seguros</w:t>
            </w:r>
          </w:p>
        </w:tc>
        <w:tc>
          <w:tcPr>
            <w:tcW w:w="510" w:type="pct"/>
            <w:tcBorders>
              <w:top w:val="nil"/>
              <w:left w:val="nil"/>
              <w:bottom w:val="single" w:sz="8" w:space="0" w:color="9BC2E6"/>
              <w:right w:val="nil"/>
            </w:tcBorders>
            <w:shd w:val="clear" w:color="auto" w:fill="auto"/>
            <w:noWrap/>
            <w:vAlign w:val="center"/>
            <w:hideMark/>
          </w:tcPr>
          <w:p w14:paraId="2FA54AD9"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(50.936)</w:t>
            </w:r>
          </w:p>
        </w:tc>
        <w:tc>
          <w:tcPr>
            <w:tcW w:w="536" w:type="pct"/>
            <w:tcBorders>
              <w:top w:val="nil"/>
              <w:left w:val="nil"/>
              <w:bottom w:val="single" w:sz="8" w:space="0" w:color="9BC2E6"/>
              <w:right w:val="nil"/>
            </w:tcBorders>
            <w:shd w:val="clear" w:color="auto" w:fill="auto"/>
            <w:noWrap/>
            <w:vAlign w:val="center"/>
            <w:hideMark/>
          </w:tcPr>
          <w:p w14:paraId="73354517"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(48.463)</w:t>
            </w:r>
          </w:p>
        </w:tc>
        <w:tc>
          <w:tcPr>
            <w:tcW w:w="536" w:type="pct"/>
            <w:tcBorders>
              <w:top w:val="nil"/>
              <w:left w:val="nil"/>
              <w:bottom w:val="single" w:sz="8" w:space="0" w:color="9BC2E6"/>
              <w:right w:val="nil"/>
            </w:tcBorders>
            <w:shd w:val="clear" w:color="auto" w:fill="auto"/>
            <w:noWrap/>
            <w:vAlign w:val="center"/>
            <w:hideMark/>
          </w:tcPr>
          <w:p w14:paraId="5DA87086"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(48.186)</w:t>
            </w:r>
          </w:p>
        </w:tc>
        <w:tc>
          <w:tcPr>
            <w:tcW w:w="430" w:type="pct"/>
            <w:tcBorders>
              <w:top w:val="nil"/>
              <w:left w:val="nil"/>
              <w:bottom w:val="single" w:sz="8" w:space="0" w:color="9BC2E6"/>
              <w:right w:val="nil"/>
            </w:tcBorders>
            <w:shd w:val="clear" w:color="auto" w:fill="auto"/>
            <w:noWrap/>
            <w:vAlign w:val="center"/>
            <w:hideMark/>
          </w:tcPr>
          <w:p w14:paraId="21F1B78C"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5,1%</w:t>
            </w:r>
          </w:p>
        </w:tc>
        <w:tc>
          <w:tcPr>
            <w:tcW w:w="430" w:type="pct"/>
            <w:tcBorders>
              <w:top w:val="nil"/>
              <w:left w:val="nil"/>
              <w:bottom w:val="single" w:sz="8" w:space="0" w:color="9BC2E6"/>
              <w:right w:val="nil"/>
            </w:tcBorders>
            <w:shd w:val="clear" w:color="auto" w:fill="auto"/>
            <w:noWrap/>
            <w:vAlign w:val="center"/>
            <w:hideMark/>
          </w:tcPr>
          <w:p w14:paraId="511B3ACB"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5,7%</w:t>
            </w:r>
          </w:p>
        </w:tc>
      </w:tr>
      <w:tr w:rsidR="006C6302" w:rsidRPr="00457198" w14:paraId="571451C6" w14:textId="77777777" w:rsidTr="00446A14">
        <w:trPr>
          <w:trHeight w:val="241"/>
        </w:trPr>
        <w:tc>
          <w:tcPr>
            <w:tcW w:w="2559" w:type="pct"/>
            <w:tcBorders>
              <w:top w:val="nil"/>
              <w:left w:val="nil"/>
              <w:bottom w:val="single" w:sz="8" w:space="0" w:color="9BC2E6"/>
              <w:right w:val="nil"/>
            </w:tcBorders>
            <w:shd w:val="clear" w:color="auto" w:fill="auto"/>
            <w:noWrap/>
            <w:vAlign w:val="center"/>
            <w:hideMark/>
          </w:tcPr>
          <w:p w14:paraId="74ECDFEB" w14:textId="77777777" w:rsidR="006C6302" w:rsidRPr="00087F48" w:rsidRDefault="006C6302" w:rsidP="00446A14">
            <w:pPr>
              <w:spacing w:after="0" w:line="240" w:lineRule="auto"/>
              <w:rPr>
                <w:rFonts w:ascii="Arial" w:hAnsi="Arial" w:cs="Arial"/>
                <w:color w:val="000000"/>
                <w:sz w:val="16"/>
                <w:szCs w:val="18"/>
                <w:lang w:eastAsia="pt-BR"/>
              </w:rPr>
            </w:pPr>
            <w:r w:rsidRPr="00087F48">
              <w:rPr>
                <w:rFonts w:ascii="Arial" w:hAnsi="Arial" w:cs="Arial"/>
                <w:color w:val="000000"/>
                <w:sz w:val="16"/>
                <w:szCs w:val="18"/>
                <w:lang w:eastAsia="pt-BR"/>
              </w:rPr>
              <w:t>Compartilhamento de Instalações</w:t>
            </w:r>
          </w:p>
        </w:tc>
        <w:tc>
          <w:tcPr>
            <w:tcW w:w="510" w:type="pct"/>
            <w:tcBorders>
              <w:top w:val="nil"/>
              <w:left w:val="nil"/>
              <w:bottom w:val="single" w:sz="8" w:space="0" w:color="9BC2E6"/>
              <w:right w:val="nil"/>
            </w:tcBorders>
            <w:shd w:val="clear" w:color="auto" w:fill="auto"/>
            <w:noWrap/>
            <w:vAlign w:val="center"/>
            <w:hideMark/>
          </w:tcPr>
          <w:p w14:paraId="3E573986"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(5.379)</w:t>
            </w:r>
          </w:p>
        </w:tc>
        <w:tc>
          <w:tcPr>
            <w:tcW w:w="536" w:type="pct"/>
            <w:tcBorders>
              <w:top w:val="nil"/>
              <w:left w:val="nil"/>
              <w:bottom w:val="single" w:sz="8" w:space="0" w:color="9BC2E6"/>
              <w:right w:val="nil"/>
            </w:tcBorders>
            <w:shd w:val="clear" w:color="auto" w:fill="auto"/>
            <w:noWrap/>
            <w:vAlign w:val="center"/>
            <w:hideMark/>
          </w:tcPr>
          <w:p w14:paraId="3346ACF6"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(4.345)</w:t>
            </w:r>
          </w:p>
        </w:tc>
        <w:tc>
          <w:tcPr>
            <w:tcW w:w="536" w:type="pct"/>
            <w:tcBorders>
              <w:top w:val="nil"/>
              <w:left w:val="nil"/>
              <w:bottom w:val="single" w:sz="8" w:space="0" w:color="9BC2E6"/>
              <w:right w:val="nil"/>
            </w:tcBorders>
            <w:shd w:val="clear" w:color="auto" w:fill="auto"/>
            <w:noWrap/>
            <w:vAlign w:val="center"/>
            <w:hideMark/>
          </w:tcPr>
          <w:p w14:paraId="396626B2"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(3.538)</w:t>
            </w:r>
          </w:p>
        </w:tc>
        <w:tc>
          <w:tcPr>
            <w:tcW w:w="430" w:type="pct"/>
            <w:tcBorders>
              <w:top w:val="nil"/>
              <w:left w:val="nil"/>
              <w:bottom w:val="single" w:sz="8" w:space="0" w:color="9BC2E6"/>
              <w:right w:val="nil"/>
            </w:tcBorders>
            <w:shd w:val="clear" w:color="auto" w:fill="auto"/>
            <w:noWrap/>
            <w:vAlign w:val="center"/>
            <w:hideMark/>
          </w:tcPr>
          <w:p w14:paraId="1EE73F87"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23,8%</w:t>
            </w:r>
          </w:p>
        </w:tc>
        <w:tc>
          <w:tcPr>
            <w:tcW w:w="430" w:type="pct"/>
            <w:tcBorders>
              <w:top w:val="nil"/>
              <w:left w:val="nil"/>
              <w:bottom w:val="single" w:sz="8" w:space="0" w:color="9BC2E6"/>
              <w:right w:val="nil"/>
            </w:tcBorders>
            <w:shd w:val="clear" w:color="auto" w:fill="auto"/>
            <w:noWrap/>
            <w:vAlign w:val="center"/>
            <w:hideMark/>
          </w:tcPr>
          <w:p w14:paraId="287CCEC0"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52,0%</w:t>
            </w:r>
          </w:p>
        </w:tc>
      </w:tr>
      <w:tr w:rsidR="006C6302" w:rsidRPr="00457198" w14:paraId="22228A8D" w14:textId="77777777" w:rsidTr="00446A14">
        <w:trPr>
          <w:trHeight w:val="241"/>
        </w:trPr>
        <w:tc>
          <w:tcPr>
            <w:tcW w:w="2559" w:type="pct"/>
            <w:tcBorders>
              <w:top w:val="nil"/>
              <w:left w:val="nil"/>
              <w:bottom w:val="single" w:sz="8" w:space="0" w:color="9BC2E6"/>
              <w:right w:val="nil"/>
            </w:tcBorders>
            <w:shd w:val="clear" w:color="auto" w:fill="auto"/>
            <w:noWrap/>
            <w:vAlign w:val="center"/>
            <w:hideMark/>
          </w:tcPr>
          <w:p w14:paraId="4191F158" w14:textId="77777777" w:rsidR="006C6302" w:rsidRPr="00087F48" w:rsidRDefault="006C6302" w:rsidP="00446A14">
            <w:pPr>
              <w:spacing w:after="0" w:line="240" w:lineRule="auto"/>
              <w:rPr>
                <w:rFonts w:ascii="Arial" w:hAnsi="Arial" w:cs="Arial"/>
                <w:color w:val="000000"/>
                <w:sz w:val="16"/>
                <w:szCs w:val="18"/>
                <w:lang w:eastAsia="pt-BR"/>
              </w:rPr>
            </w:pPr>
            <w:r w:rsidRPr="00087F48">
              <w:rPr>
                <w:rFonts w:ascii="Arial" w:hAnsi="Arial" w:cs="Arial"/>
                <w:color w:val="000000"/>
                <w:sz w:val="16"/>
                <w:szCs w:val="18"/>
                <w:lang w:eastAsia="pt-BR"/>
              </w:rPr>
              <w:t>Tributos</w:t>
            </w:r>
          </w:p>
        </w:tc>
        <w:tc>
          <w:tcPr>
            <w:tcW w:w="510" w:type="pct"/>
            <w:tcBorders>
              <w:top w:val="nil"/>
              <w:left w:val="nil"/>
              <w:bottom w:val="single" w:sz="8" w:space="0" w:color="9BC2E6"/>
              <w:right w:val="nil"/>
            </w:tcBorders>
            <w:shd w:val="clear" w:color="auto" w:fill="auto"/>
            <w:noWrap/>
            <w:vAlign w:val="center"/>
            <w:hideMark/>
          </w:tcPr>
          <w:p w14:paraId="16E4A3B3"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(5.296)</w:t>
            </w:r>
          </w:p>
        </w:tc>
        <w:tc>
          <w:tcPr>
            <w:tcW w:w="536" w:type="pct"/>
            <w:tcBorders>
              <w:top w:val="nil"/>
              <w:left w:val="nil"/>
              <w:bottom w:val="single" w:sz="8" w:space="0" w:color="9BC2E6"/>
              <w:right w:val="nil"/>
            </w:tcBorders>
            <w:shd w:val="clear" w:color="auto" w:fill="auto"/>
            <w:noWrap/>
            <w:vAlign w:val="center"/>
            <w:hideMark/>
          </w:tcPr>
          <w:p w14:paraId="5C68BEA0"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(4.791)</w:t>
            </w:r>
          </w:p>
        </w:tc>
        <w:tc>
          <w:tcPr>
            <w:tcW w:w="536" w:type="pct"/>
            <w:tcBorders>
              <w:top w:val="nil"/>
              <w:left w:val="nil"/>
              <w:bottom w:val="single" w:sz="8" w:space="0" w:color="9BC2E6"/>
              <w:right w:val="nil"/>
            </w:tcBorders>
            <w:shd w:val="clear" w:color="auto" w:fill="auto"/>
            <w:noWrap/>
            <w:vAlign w:val="center"/>
            <w:hideMark/>
          </w:tcPr>
          <w:p w14:paraId="3965ED99"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(5.804)</w:t>
            </w:r>
          </w:p>
        </w:tc>
        <w:tc>
          <w:tcPr>
            <w:tcW w:w="430" w:type="pct"/>
            <w:tcBorders>
              <w:top w:val="nil"/>
              <w:left w:val="nil"/>
              <w:bottom w:val="single" w:sz="8" w:space="0" w:color="9BC2E6"/>
              <w:right w:val="nil"/>
            </w:tcBorders>
            <w:shd w:val="clear" w:color="auto" w:fill="auto"/>
            <w:noWrap/>
            <w:vAlign w:val="center"/>
            <w:hideMark/>
          </w:tcPr>
          <w:p w14:paraId="1658C886"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10,5%</w:t>
            </w:r>
          </w:p>
        </w:tc>
        <w:tc>
          <w:tcPr>
            <w:tcW w:w="430" w:type="pct"/>
            <w:tcBorders>
              <w:top w:val="nil"/>
              <w:left w:val="nil"/>
              <w:bottom w:val="single" w:sz="8" w:space="0" w:color="9BC2E6"/>
              <w:right w:val="nil"/>
            </w:tcBorders>
            <w:shd w:val="clear" w:color="auto" w:fill="auto"/>
            <w:noWrap/>
            <w:vAlign w:val="center"/>
            <w:hideMark/>
          </w:tcPr>
          <w:p w14:paraId="67116A29"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-8,8%</w:t>
            </w:r>
          </w:p>
        </w:tc>
      </w:tr>
      <w:tr w:rsidR="006C6302" w:rsidRPr="00457198" w14:paraId="2F843DC1" w14:textId="77777777" w:rsidTr="00446A14">
        <w:trPr>
          <w:trHeight w:val="241"/>
        </w:trPr>
        <w:tc>
          <w:tcPr>
            <w:tcW w:w="2559" w:type="pct"/>
            <w:tcBorders>
              <w:top w:val="nil"/>
              <w:left w:val="nil"/>
              <w:bottom w:val="single" w:sz="8" w:space="0" w:color="9BC2E6"/>
              <w:right w:val="nil"/>
            </w:tcBorders>
            <w:shd w:val="clear" w:color="auto" w:fill="auto"/>
            <w:noWrap/>
            <w:vAlign w:val="center"/>
            <w:hideMark/>
          </w:tcPr>
          <w:p w14:paraId="222A0D07" w14:textId="77777777" w:rsidR="006C6302" w:rsidRPr="00087F48" w:rsidRDefault="006C6302" w:rsidP="00446A14">
            <w:pPr>
              <w:spacing w:after="0" w:line="240" w:lineRule="auto"/>
              <w:rPr>
                <w:rFonts w:ascii="Arial" w:hAnsi="Arial" w:cs="Arial"/>
                <w:color w:val="000000"/>
                <w:sz w:val="16"/>
                <w:szCs w:val="18"/>
                <w:lang w:eastAsia="pt-BR"/>
              </w:rPr>
            </w:pPr>
            <w:r w:rsidRPr="00087F48">
              <w:rPr>
                <w:rFonts w:ascii="Arial" w:hAnsi="Arial" w:cs="Arial"/>
                <w:color w:val="000000"/>
                <w:sz w:val="16"/>
                <w:szCs w:val="18"/>
                <w:lang w:eastAsia="pt-BR"/>
              </w:rPr>
              <w:t xml:space="preserve">Materiais </w:t>
            </w:r>
          </w:p>
        </w:tc>
        <w:tc>
          <w:tcPr>
            <w:tcW w:w="510" w:type="pct"/>
            <w:tcBorders>
              <w:top w:val="nil"/>
              <w:left w:val="nil"/>
              <w:bottom w:val="single" w:sz="8" w:space="0" w:color="9BC2E6"/>
              <w:right w:val="nil"/>
            </w:tcBorders>
            <w:shd w:val="clear" w:color="auto" w:fill="auto"/>
            <w:noWrap/>
            <w:vAlign w:val="center"/>
            <w:hideMark/>
          </w:tcPr>
          <w:p w14:paraId="42429C29"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(2.181)</w:t>
            </w:r>
          </w:p>
        </w:tc>
        <w:tc>
          <w:tcPr>
            <w:tcW w:w="536" w:type="pct"/>
            <w:tcBorders>
              <w:top w:val="nil"/>
              <w:left w:val="nil"/>
              <w:bottom w:val="single" w:sz="8" w:space="0" w:color="9BC2E6"/>
              <w:right w:val="nil"/>
            </w:tcBorders>
            <w:shd w:val="clear" w:color="auto" w:fill="auto"/>
            <w:noWrap/>
            <w:vAlign w:val="center"/>
            <w:hideMark/>
          </w:tcPr>
          <w:p w14:paraId="106DA9D6"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(2.019)</w:t>
            </w:r>
          </w:p>
        </w:tc>
        <w:tc>
          <w:tcPr>
            <w:tcW w:w="536" w:type="pct"/>
            <w:tcBorders>
              <w:top w:val="nil"/>
              <w:left w:val="nil"/>
              <w:bottom w:val="single" w:sz="8" w:space="0" w:color="9BC2E6"/>
              <w:right w:val="nil"/>
            </w:tcBorders>
            <w:shd w:val="clear" w:color="auto" w:fill="auto"/>
            <w:noWrap/>
            <w:vAlign w:val="center"/>
            <w:hideMark/>
          </w:tcPr>
          <w:p w14:paraId="5A194185"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(3.903)</w:t>
            </w:r>
          </w:p>
        </w:tc>
        <w:tc>
          <w:tcPr>
            <w:tcW w:w="430" w:type="pct"/>
            <w:tcBorders>
              <w:top w:val="nil"/>
              <w:left w:val="nil"/>
              <w:bottom w:val="single" w:sz="8" w:space="0" w:color="9BC2E6"/>
              <w:right w:val="nil"/>
            </w:tcBorders>
            <w:shd w:val="clear" w:color="auto" w:fill="auto"/>
            <w:noWrap/>
            <w:vAlign w:val="center"/>
            <w:hideMark/>
          </w:tcPr>
          <w:p w14:paraId="15F36FCC"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8,0%</w:t>
            </w:r>
          </w:p>
        </w:tc>
        <w:tc>
          <w:tcPr>
            <w:tcW w:w="430" w:type="pct"/>
            <w:tcBorders>
              <w:top w:val="nil"/>
              <w:left w:val="nil"/>
              <w:bottom w:val="single" w:sz="8" w:space="0" w:color="9BC2E6"/>
              <w:right w:val="nil"/>
            </w:tcBorders>
            <w:shd w:val="clear" w:color="auto" w:fill="auto"/>
            <w:noWrap/>
            <w:vAlign w:val="center"/>
            <w:hideMark/>
          </w:tcPr>
          <w:p w14:paraId="3714AED7"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-44,1%</w:t>
            </w:r>
          </w:p>
        </w:tc>
      </w:tr>
      <w:tr w:rsidR="006C6302" w:rsidRPr="00457198" w14:paraId="734ABC15" w14:textId="77777777" w:rsidTr="00446A14">
        <w:trPr>
          <w:trHeight w:val="241"/>
        </w:trPr>
        <w:tc>
          <w:tcPr>
            <w:tcW w:w="2559" w:type="pct"/>
            <w:tcBorders>
              <w:top w:val="nil"/>
              <w:left w:val="nil"/>
              <w:bottom w:val="single" w:sz="8" w:space="0" w:color="9BC2E6"/>
              <w:right w:val="nil"/>
            </w:tcBorders>
            <w:shd w:val="clear" w:color="auto" w:fill="auto"/>
            <w:noWrap/>
            <w:vAlign w:val="center"/>
            <w:hideMark/>
          </w:tcPr>
          <w:p w14:paraId="7F41F22C" w14:textId="77777777" w:rsidR="006C6302" w:rsidRPr="00087F48" w:rsidRDefault="006C6302" w:rsidP="00446A14">
            <w:pPr>
              <w:spacing w:after="0" w:line="240" w:lineRule="auto"/>
              <w:rPr>
                <w:rFonts w:ascii="Arial" w:hAnsi="Arial" w:cs="Arial"/>
                <w:color w:val="000000"/>
                <w:sz w:val="16"/>
                <w:szCs w:val="18"/>
                <w:lang w:eastAsia="pt-BR"/>
              </w:rPr>
            </w:pPr>
            <w:r w:rsidRPr="00087F48">
              <w:rPr>
                <w:rFonts w:ascii="Arial" w:hAnsi="Arial" w:cs="Arial"/>
                <w:color w:val="000000"/>
                <w:sz w:val="16"/>
                <w:szCs w:val="18"/>
                <w:lang w:eastAsia="pt-BR"/>
              </w:rPr>
              <w:t>Perda Estimada com Crédito de Liquidação Duvidosa</w:t>
            </w:r>
          </w:p>
        </w:tc>
        <w:tc>
          <w:tcPr>
            <w:tcW w:w="510" w:type="pct"/>
            <w:tcBorders>
              <w:top w:val="nil"/>
              <w:left w:val="nil"/>
              <w:bottom w:val="single" w:sz="8" w:space="0" w:color="9BC2E6"/>
              <w:right w:val="nil"/>
            </w:tcBorders>
            <w:shd w:val="clear" w:color="auto" w:fill="auto"/>
            <w:noWrap/>
            <w:vAlign w:val="center"/>
            <w:hideMark/>
          </w:tcPr>
          <w:p w14:paraId="1FF472C1"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(1.314)</w:t>
            </w:r>
          </w:p>
        </w:tc>
        <w:tc>
          <w:tcPr>
            <w:tcW w:w="536" w:type="pct"/>
            <w:tcBorders>
              <w:top w:val="nil"/>
              <w:left w:val="nil"/>
              <w:bottom w:val="single" w:sz="8" w:space="0" w:color="9BC2E6"/>
              <w:right w:val="nil"/>
            </w:tcBorders>
            <w:shd w:val="clear" w:color="auto" w:fill="auto"/>
            <w:noWrap/>
            <w:vAlign w:val="center"/>
            <w:hideMark/>
          </w:tcPr>
          <w:p w14:paraId="7FE317D2"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1.042 </w:t>
            </w:r>
          </w:p>
        </w:tc>
        <w:tc>
          <w:tcPr>
            <w:tcW w:w="536" w:type="pct"/>
            <w:tcBorders>
              <w:top w:val="nil"/>
              <w:left w:val="nil"/>
              <w:bottom w:val="single" w:sz="8" w:space="0" w:color="9BC2E6"/>
              <w:right w:val="nil"/>
            </w:tcBorders>
            <w:shd w:val="clear" w:color="auto" w:fill="auto"/>
            <w:noWrap/>
            <w:vAlign w:val="center"/>
            <w:hideMark/>
          </w:tcPr>
          <w:p w14:paraId="4615DEF5"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515 </w:t>
            </w:r>
          </w:p>
        </w:tc>
        <w:tc>
          <w:tcPr>
            <w:tcW w:w="430" w:type="pct"/>
            <w:tcBorders>
              <w:top w:val="nil"/>
              <w:left w:val="nil"/>
              <w:bottom w:val="single" w:sz="8" w:space="0" w:color="9BC2E6"/>
              <w:right w:val="nil"/>
            </w:tcBorders>
            <w:shd w:val="clear" w:color="auto" w:fill="auto"/>
            <w:noWrap/>
            <w:vAlign w:val="center"/>
            <w:hideMark/>
          </w:tcPr>
          <w:p w14:paraId="501726A8"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-226,1%</w:t>
            </w:r>
          </w:p>
        </w:tc>
        <w:tc>
          <w:tcPr>
            <w:tcW w:w="430" w:type="pct"/>
            <w:tcBorders>
              <w:top w:val="nil"/>
              <w:left w:val="nil"/>
              <w:bottom w:val="single" w:sz="8" w:space="0" w:color="9BC2E6"/>
              <w:right w:val="nil"/>
            </w:tcBorders>
            <w:shd w:val="clear" w:color="auto" w:fill="auto"/>
            <w:noWrap/>
            <w:vAlign w:val="center"/>
            <w:hideMark/>
          </w:tcPr>
          <w:p w14:paraId="2332EA14"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-355,1%</w:t>
            </w:r>
          </w:p>
        </w:tc>
      </w:tr>
      <w:tr w:rsidR="006C6302" w:rsidRPr="00457198" w14:paraId="65D7D574" w14:textId="77777777" w:rsidTr="00446A14">
        <w:trPr>
          <w:trHeight w:val="241"/>
        </w:trPr>
        <w:tc>
          <w:tcPr>
            <w:tcW w:w="2559" w:type="pct"/>
            <w:tcBorders>
              <w:top w:val="nil"/>
              <w:left w:val="nil"/>
              <w:bottom w:val="single" w:sz="8" w:space="0" w:color="9BC2E6"/>
              <w:right w:val="nil"/>
            </w:tcBorders>
            <w:shd w:val="clear" w:color="auto" w:fill="auto"/>
            <w:noWrap/>
            <w:vAlign w:val="center"/>
            <w:hideMark/>
          </w:tcPr>
          <w:p w14:paraId="151E6206" w14:textId="77777777" w:rsidR="006C6302" w:rsidRPr="00087F48" w:rsidRDefault="006C6302" w:rsidP="00446A14">
            <w:pPr>
              <w:spacing w:after="0" w:line="240" w:lineRule="auto"/>
              <w:rPr>
                <w:rFonts w:ascii="Arial" w:hAnsi="Arial" w:cs="Arial"/>
                <w:color w:val="000000"/>
                <w:sz w:val="16"/>
                <w:szCs w:val="18"/>
                <w:lang w:eastAsia="pt-BR"/>
              </w:rPr>
            </w:pPr>
            <w:r w:rsidRPr="00087F48">
              <w:rPr>
                <w:rFonts w:ascii="Arial" w:hAnsi="Arial" w:cs="Arial"/>
                <w:color w:val="000000"/>
                <w:sz w:val="16"/>
                <w:szCs w:val="18"/>
                <w:lang w:eastAsia="pt-BR"/>
              </w:rPr>
              <w:t>Programa de Indenização por Serviços Prestados (PISP)</w:t>
            </w:r>
          </w:p>
        </w:tc>
        <w:tc>
          <w:tcPr>
            <w:tcW w:w="510" w:type="pct"/>
            <w:tcBorders>
              <w:top w:val="nil"/>
              <w:left w:val="nil"/>
              <w:bottom w:val="single" w:sz="8" w:space="0" w:color="9BC2E6"/>
              <w:right w:val="nil"/>
            </w:tcBorders>
            <w:shd w:val="clear" w:color="auto" w:fill="auto"/>
            <w:noWrap/>
            <w:vAlign w:val="center"/>
            <w:hideMark/>
          </w:tcPr>
          <w:p w14:paraId="49A34557"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(1.231)</w:t>
            </w:r>
          </w:p>
        </w:tc>
        <w:tc>
          <w:tcPr>
            <w:tcW w:w="536" w:type="pct"/>
            <w:tcBorders>
              <w:top w:val="nil"/>
              <w:left w:val="nil"/>
              <w:bottom w:val="single" w:sz="8" w:space="0" w:color="9BC2E6"/>
              <w:right w:val="nil"/>
            </w:tcBorders>
            <w:shd w:val="clear" w:color="auto" w:fill="auto"/>
            <w:noWrap/>
            <w:vAlign w:val="center"/>
            <w:hideMark/>
          </w:tcPr>
          <w:p w14:paraId="17A7E72F"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(1.361)</w:t>
            </w:r>
          </w:p>
        </w:tc>
        <w:tc>
          <w:tcPr>
            <w:tcW w:w="536" w:type="pct"/>
            <w:tcBorders>
              <w:top w:val="nil"/>
              <w:left w:val="nil"/>
              <w:bottom w:val="single" w:sz="8" w:space="0" w:color="9BC2E6"/>
              <w:right w:val="nil"/>
            </w:tcBorders>
            <w:shd w:val="clear" w:color="auto" w:fill="auto"/>
            <w:noWrap/>
            <w:vAlign w:val="center"/>
            <w:hideMark/>
          </w:tcPr>
          <w:p w14:paraId="1F5CC1FB"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(644)</w:t>
            </w:r>
          </w:p>
        </w:tc>
        <w:tc>
          <w:tcPr>
            <w:tcW w:w="430" w:type="pct"/>
            <w:tcBorders>
              <w:top w:val="nil"/>
              <w:left w:val="nil"/>
              <w:bottom w:val="single" w:sz="8" w:space="0" w:color="9BC2E6"/>
              <w:right w:val="nil"/>
            </w:tcBorders>
            <w:shd w:val="clear" w:color="auto" w:fill="auto"/>
            <w:noWrap/>
            <w:vAlign w:val="center"/>
            <w:hideMark/>
          </w:tcPr>
          <w:p w14:paraId="448A6DBC"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-9,6%</w:t>
            </w:r>
          </w:p>
        </w:tc>
        <w:tc>
          <w:tcPr>
            <w:tcW w:w="430" w:type="pct"/>
            <w:tcBorders>
              <w:top w:val="nil"/>
              <w:left w:val="nil"/>
              <w:bottom w:val="single" w:sz="8" w:space="0" w:color="9BC2E6"/>
              <w:right w:val="nil"/>
            </w:tcBorders>
            <w:shd w:val="clear" w:color="auto" w:fill="auto"/>
            <w:noWrap/>
            <w:vAlign w:val="center"/>
            <w:hideMark/>
          </w:tcPr>
          <w:p w14:paraId="0DA09DF1"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91,1%</w:t>
            </w:r>
          </w:p>
        </w:tc>
      </w:tr>
      <w:tr w:rsidR="006C6302" w:rsidRPr="00457198" w14:paraId="10B3E48B" w14:textId="77777777" w:rsidTr="00446A14">
        <w:trPr>
          <w:trHeight w:val="241"/>
        </w:trPr>
        <w:tc>
          <w:tcPr>
            <w:tcW w:w="2559" w:type="pct"/>
            <w:tcBorders>
              <w:top w:val="nil"/>
              <w:left w:val="nil"/>
              <w:bottom w:val="single" w:sz="8" w:space="0" w:color="9BC2E6"/>
              <w:right w:val="nil"/>
            </w:tcBorders>
            <w:shd w:val="clear" w:color="auto" w:fill="auto"/>
            <w:noWrap/>
            <w:vAlign w:val="center"/>
            <w:hideMark/>
          </w:tcPr>
          <w:p w14:paraId="2424B81B" w14:textId="77777777" w:rsidR="006C6302" w:rsidRPr="00087F48" w:rsidRDefault="006C6302" w:rsidP="00446A14">
            <w:pPr>
              <w:spacing w:after="0" w:line="240" w:lineRule="auto"/>
              <w:rPr>
                <w:rFonts w:ascii="Arial" w:hAnsi="Arial" w:cs="Arial"/>
                <w:b/>
                <w:bCs/>
                <w:color w:val="000000"/>
                <w:sz w:val="16"/>
                <w:szCs w:val="18"/>
                <w:lang w:eastAsia="pt-BR"/>
              </w:rPr>
            </w:pPr>
            <w:r w:rsidRPr="00087F48">
              <w:rPr>
                <w:rFonts w:ascii="Arial" w:hAnsi="Arial" w:cs="Arial"/>
                <w:b/>
                <w:bCs/>
                <w:color w:val="000000"/>
                <w:sz w:val="16"/>
                <w:szCs w:val="18"/>
                <w:lang w:eastAsia="pt-BR"/>
              </w:rPr>
              <w:t>Total</w:t>
            </w:r>
          </w:p>
        </w:tc>
        <w:tc>
          <w:tcPr>
            <w:tcW w:w="510" w:type="pct"/>
            <w:tcBorders>
              <w:top w:val="nil"/>
              <w:left w:val="nil"/>
              <w:bottom w:val="single" w:sz="8" w:space="0" w:color="9BC2E6"/>
              <w:right w:val="nil"/>
            </w:tcBorders>
            <w:shd w:val="clear" w:color="auto" w:fill="auto"/>
            <w:noWrap/>
            <w:vAlign w:val="center"/>
            <w:hideMark/>
          </w:tcPr>
          <w:p w14:paraId="2FB7AC0A" w14:textId="77777777" w:rsidR="006C6302" w:rsidRPr="00087F48" w:rsidRDefault="006C6302"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(469.666)</w:t>
            </w:r>
          </w:p>
        </w:tc>
        <w:tc>
          <w:tcPr>
            <w:tcW w:w="536" w:type="pct"/>
            <w:tcBorders>
              <w:top w:val="nil"/>
              <w:left w:val="nil"/>
              <w:bottom w:val="single" w:sz="8" w:space="0" w:color="9BC2E6"/>
              <w:right w:val="nil"/>
            </w:tcBorders>
            <w:shd w:val="clear" w:color="auto" w:fill="auto"/>
            <w:noWrap/>
            <w:vAlign w:val="center"/>
            <w:hideMark/>
          </w:tcPr>
          <w:p w14:paraId="344FD95F" w14:textId="77777777" w:rsidR="006C6302" w:rsidRPr="00087F48" w:rsidRDefault="006C6302"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(393.958)</w:t>
            </w:r>
          </w:p>
        </w:tc>
        <w:tc>
          <w:tcPr>
            <w:tcW w:w="536" w:type="pct"/>
            <w:tcBorders>
              <w:top w:val="nil"/>
              <w:left w:val="nil"/>
              <w:bottom w:val="single" w:sz="8" w:space="0" w:color="9BC2E6"/>
              <w:right w:val="nil"/>
            </w:tcBorders>
            <w:shd w:val="clear" w:color="auto" w:fill="auto"/>
            <w:noWrap/>
            <w:vAlign w:val="center"/>
            <w:hideMark/>
          </w:tcPr>
          <w:p w14:paraId="7652CDE7" w14:textId="77777777" w:rsidR="006C6302" w:rsidRPr="00087F48" w:rsidRDefault="006C6302"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(348.046)</w:t>
            </w:r>
          </w:p>
        </w:tc>
        <w:tc>
          <w:tcPr>
            <w:tcW w:w="430" w:type="pct"/>
            <w:tcBorders>
              <w:top w:val="nil"/>
              <w:left w:val="nil"/>
              <w:bottom w:val="single" w:sz="8" w:space="0" w:color="9BC2E6"/>
              <w:right w:val="nil"/>
            </w:tcBorders>
            <w:shd w:val="clear" w:color="auto" w:fill="auto"/>
            <w:noWrap/>
            <w:vAlign w:val="center"/>
            <w:hideMark/>
          </w:tcPr>
          <w:p w14:paraId="61B20031" w14:textId="77777777" w:rsidR="006C6302" w:rsidRPr="00087F48" w:rsidRDefault="006C6302"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19,2%</w:t>
            </w:r>
          </w:p>
        </w:tc>
        <w:tc>
          <w:tcPr>
            <w:tcW w:w="430" w:type="pct"/>
            <w:tcBorders>
              <w:top w:val="nil"/>
              <w:left w:val="nil"/>
              <w:bottom w:val="single" w:sz="8" w:space="0" w:color="9BC2E6"/>
              <w:right w:val="nil"/>
            </w:tcBorders>
            <w:shd w:val="clear" w:color="auto" w:fill="auto"/>
            <w:noWrap/>
            <w:vAlign w:val="center"/>
            <w:hideMark/>
          </w:tcPr>
          <w:p w14:paraId="04BE3996" w14:textId="77777777" w:rsidR="006C6302" w:rsidRPr="00087F48" w:rsidRDefault="006C6302"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34,9%</w:t>
            </w:r>
          </w:p>
        </w:tc>
      </w:tr>
    </w:tbl>
    <w:p w14:paraId="677CA22D" w14:textId="229F3F17" w:rsidR="006C6302" w:rsidRPr="006C6302" w:rsidRDefault="006C6302" w:rsidP="006C6302">
      <w:pPr>
        <w:spacing w:after="0"/>
        <w:jc w:val="both"/>
        <w:rPr>
          <w:rFonts w:ascii="Calibri" w:eastAsia="Times New Roman" w:hAnsi="Calibri" w:cs="Times New Roman"/>
          <w:color w:val="002060"/>
          <w:kern w:val="0"/>
          <w14:ligatures w14:val="none"/>
        </w:rPr>
      </w:pPr>
      <w:r w:rsidRPr="006C6302">
        <w:rPr>
          <w:rFonts w:ascii="Calibri" w:eastAsia="Times New Roman" w:hAnsi="Calibri" w:cs="Times New Roman"/>
          <w:color w:val="002060"/>
          <w:kern w:val="0"/>
          <w14:ligatures w14:val="none"/>
        </w:rPr>
        <w:t>Em 2023, o crescimento dos Custos e Despesas foi de 19,2% e 34,9% em relação aos anos de 2022 e 2021, respectivamente, atingindo o montante de R$ 469,7 milhões (R$ 394,0 milhões em 2022 e R$ 348,0 em 2021).</w:t>
      </w:r>
    </w:p>
    <w:p w14:paraId="3366940E" w14:textId="77777777" w:rsidR="006C6302" w:rsidRPr="006C6302" w:rsidRDefault="006C6302" w:rsidP="006C6302">
      <w:pPr>
        <w:spacing w:after="0"/>
        <w:jc w:val="both"/>
        <w:rPr>
          <w:rFonts w:ascii="Calibri" w:eastAsia="Times New Roman" w:hAnsi="Calibri" w:cs="Times New Roman"/>
          <w:color w:val="002060"/>
          <w:kern w:val="0"/>
          <w14:ligatures w14:val="none"/>
        </w:rPr>
      </w:pPr>
      <w:r w:rsidRPr="006C6302">
        <w:rPr>
          <w:rFonts w:ascii="Calibri" w:eastAsia="Times New Roman" w:hAnsi="Calibri" w:cs="Times New Roman"/>
          <w:color w:val="002060"/>
          <w:kern w:val="0"/>
          <w14:ligatures w14:val="none"/>
        </w:rPr>
        <w:t>As principais ocorrências no período referentes aos itens de Custos e Despesas Operacionais foram as seguintes:</w:t>
      </w:r>
    </w:p>
    <w:p w14:paraId="014AB2A8" w14:textId="77777777" w:rsidR="006C6302" w:rsidRPr="006C6302" w:rsidRDefault="006C6302" w:rsidP="006C6302">
      <w:pPr>
        <w:spacing w:after="0"/>
        <w:jc w:val="both"/>
        <w:rPr>
          <w:rFonts w:ascii="Calibri" w:eastAsia="Times New Roman" w:hAnsi="Calibri" w:cs="Times New Roman"/>
          <w:color w:val="002060"/>
          <w:kern w:val="0"/>
          <w14:ligatures w14:val="none"/>
        </w:rPr>
      </w:pPr>
      <w:r w:rsidRPr="006C6302">
        <w:rPr>
          <w:rFonts w:ascii="Calibri" w:eastAsia="Times New Roman" w:hAnsi="Calibri" w:cs="Times New Roman"/>
          <w:b/>
          <w:color w:val="002060"/>
          <w:kern w:val="0"/>
          <w14:ligatures w14:val="none"/>
        </w:rPr>
        <w:t xml:space="preserve">Meios de Conexão e Transmissão: </w:t>
      </w:r>
      <w:r w:rsidRPr="006C6302">
        <w:rPr>
          <w:rFonts w:ascii="Calibri" w:eastAsia="Times New Roman" w:hAnsi="Calibri" w:cs="Times New Roman"/>
          <w:color w:val="002060"/>
          <w:kern w:val="0"/>
          <w14:ligatures w14:val="none"/>
        </w:rPr>
        <w:t xml:space="preserve">Apresentou aumento de 7,1% em relação ao ano de 2022 e de 17,3% na comparação com o exercício de 2021. Esse aumento foi impactado principalmente pelo serviço de Linha dedicada Industrial (EILD), devido aos reajustes de preços dos serviços contratados </w:t>
      </w:r>
      <w:proofErr w:type="gramStart"/>
      <w:r w:rsidRPr="006C6302">
        <w:rPr>
          <w:rFonts w:ascii="Calibri" w:eastAsia="Times New Roman" w:hAnsi="Calibri" w:cs="Times New Roman"/>
          <w:color w:val="002060"/>
          <w:kern w:val="0"/>
          <w14:ligatures w14:val="none"/>
        </w:rPr>
        <w:t>e também</w:t>
      </w:r>
      <w:proofErr w:type="gramEnd"/>
      <w:r w:rsidRPr="006C6302">
        <w:rPr>
          <w:rFonts w:ascii="Calibri" w:eastAsia="Times New Roman" w:hAnsi="Calibri" w:cs="Times New Roman"/>
          <w:color w:val="002060"/>
          <w:kern w:val="0"/>
          <w14:ligatures w14:val="none"/>
        </w:rPr>
        <w:t xml:space="preserve"> pelos novos contratos para atender as novas demandas. Os principais serviços que compõem essa rubrica são a Linha dedicada Industrial (EILD) e o serviço de Backbone, </w:t>
      </w:r>
    </w:p>
    <w:p w14:paraId="29B49B25" w14:textId="77777777" w:rsidR="006C6302" w:rsidRPr="006C6302" w:rsidRDefault="006C6302" w:rsidP="006C6302">
      <w:pPr>
        <w:spacing w:after="0"/>
        <w:jc w:val="both"/>
        <w:rPr>
          <w:rFonts w:ascii="Calibri" w:eastAsia="Times New Roman" w:hAnsi="Calibri" w:cs="Times New Roman"/>
          <w:color w:val="002060"/>
          <w:kern w:val="0"/>
          <w14:ligatures w14:val="none"/>
        </w:rPr>
      </w:pPr>
      <w:r w:rsidRPr="006C6302">
        <w:rPr>
          <w:rFonts w:ascii="Calibri" w:eastAsia="Times New Roman" w:hAnsi="Calibri" w:cs="Times New Roman"/>
          <w:b/>
          <w:color w:val="002060"/>
          <w:kern w:val="0"/>
          <w14:ligatures w14:val="none"/>
        </w:rPr>
        <w:t xml:space="preserve">Pessoal: </w:t>
      </w:r>
      <w:r w:rsidRPr="006C6302">
        <w:rPr>
          <w:rFonts w:ascii="Calibri" w:eastAsia="Times New Roman" w:hAnsi="Calibri" w:cs="Times New Roman"/>
          <w:color w:val="002060"/>
          <w:kern w:val="0"/>
          <w14:ligatures w14:val="none"/>
        </w:rPr>
        <w:t>Em 2023, os custos e despesas com Pessoal tiveram aumento de 10,1% em relação ao mesmo período do ano 2022 e de 24,7% quando comparado ao ano de 2021. O acréscimo é reflexo da contratação de novos colaboradores para reposição da força de trabalho, que foram aprovados em concurso público.</w:t>
      </w:r>
    </w:p>
    <w:p w14:paraId="10B09231" w14:textId="77777777" w:rsidR="006C6302" w:rsidRPr="006C6302" w:rsidRDefault="006C6302" w:rsidP="006C6302">
      <w:pPr>
        <w:spacing w:after="0"/>
        <w:jc w:val="both"/>
        <w:rPr>
          <w:rFonts w:ascii="Calibri" w:eastAsia="Times New Roman" w:hAnsi="Calibri" w:cs="Times New Roman"/>
          <w:color w:val="002060"/>
          <w:kern w:val="0"/>
          <w14:ligatures w14:val="none"/>
        </w:rPr>
      </w:pPr>
      <w:r w:rsidRPr="006C6302">
        <w:rPr>
          <w:rFonts w:ascii="Calibri" w:eastAsia="Times New Roman" w:hAnsi="Calibri" w:cs="Times New Roman"/>
          <w:b/>
          <w:color w:val="002060"/>
          <w:kern w:val="0"/>
          <w14:ligatures w14:val="none"/>
        </w:rPr>
        <w:t>Serviços de Terceiros:</w:t>
      </w:r>
      <w:r w:rsidRPr="006C6302">
        <w:rPr>
          <w:rFonts w:ascii="Calibri" w:eastAsia="Times New Roman" w:hAnsi="Calibri" w:cs="Times New Roman"/>
          <w:color w:val="002060"/>
          <w:kern w:val="0"/>
          <w14:ligatures w14:val="none"/>
        </w:rPr>
        <w:t xml:space="preserve"> No exercício de 2023, os custos e despesas com Serviços de Terceiros apresentaram crescimento de 46,2% e 89,8% na comparação com os anos de 2022 e 2021, respectivamente. Esse comportamento é justificado pelos seguintes fatos: i) aumento do contrato de manutenção da planta de rede de telecomunicações da Telebras, devido ao novo processo de licitação, que teve os preços majorados em relação ao contrato anterior; e </w:t>
      </w:r>
      <w:proofErr w:type="spellStart"/>
      <w:r w:rsidRPr="006C6302">
        <w:rPr>
          <w:rFonts w:ascii="Calibri" w:eastAsia="Times New Roman" w:hAnsi="Calibri" w:cs="Times New Roman"/>
          <w:color w:val="002060"/>
          <w:kern w:val="0"/>
          <w14:ligatures w14:val="none"/>
        </w:rPr>
        <w:t>ii</w:t>
      </w:r>
      <w:proofErr w:type="spellEnd"/>
      <w:r w:rsidRPr="006C6302">
        <w:rPr>
          <w:rFonts w:ascii="Calibri" w:eastAsia="Times New Roman" w:hAnsi="Calibri" w:cs="Times New Roman"/>
          <w:color w:val="002060"/>
          <w:kern w:val="0"/>
          <w14:ligatures w14:val="none"/>
        </w:rPr>
        <w:t>) crescimento dos custos de manutenção da infraestrutura satelital em decorrência do aumento dos pontos de conexão ao satélite SGDC.</w:t>
      </w:r>
    </w:p>
    <w:p w14:paraId="60E5262C" w14:textId="77777777" w:rsidR="006C6302" w:rsidRPr="006C6302" w:rsidRDefault="006C6302" w:rsidP="006C6302">
      <w:pPr>
        <w:spacing w:after="0"/>
        <w:jc w:val="both"/>
        <w:rPr>
          <w:rFonts w:ascii="Calibri" w:eastAsia="Times New Roman" w:hAnsi="Calibri" w:cs="Times New Roman"/>
          <w:color w:val="002060"/>
          <w:kern w:val="0"/>
          <w14:ligatures w14:val="none"/>
        </w:rPr>
      </w:pPr>
      <w:r w:rsidRPr="006C6302">
        <w:rPr>
          <w:rFonts w:ascii="Calibri" w:eastAsia="Times New Roman" w:hAnsi="Calibri" w:cs="Times New Roman"/>
          <w:b/>
          <w:color w:val="002060"/>
          <w:kern w:val="0"/>
          <w14:ligatures w14:val="none"/>
        </w:rPr>
        <w:t xml:space="preserve">Aluguéis, Locações e Seguros: </w:t>
      </w:r>
      <w:r w:rsidRPr="006C6302">
        <w:rPr>
          <w:rFonts w:ascii="Calibri" w:eastAsia="Times New Roman" w:hAnsi="Calibri" w:cs="Times New Roman"/>
          <w:color w:val="002060"/>
          <w:kern w:val="0"/>
          <w14:ligatures w14:val="none"/>
        </w:rPr>
        <w:t>O crescimento de 5,1% em relação ao ano de 2022 e de 5,7% na comparação ao ano de 2021, é justificado principalmente pelo</w:t>
      </w:r>
      <w:r w:rsidRPr="006C6302">
        <w:rPr>
          <w:rFonts w:ascii="Calibri" w:eastAsia="Times New Roman" w:hAnsi="Calibri" w:cs="Times New Roman"/>
          <w:b/>
          <w:color w:val="002060"/>
          <w:kern w:val="0"/>
          <w14:ligatures w14:val="none"/>
        </w:rPr>
        <w:t xml:space="preserve"> </w:t>
      </w:r>
      <w:r w:rsidRPr="006C6302">
        <w:rPr>
          <w:rFonts w:ascii="Calibri" w:eastAsia="Times New Roman" w:hAnsi="Calibri" w:cs="Times New Roman"/>
          <w:color w:val="002060"/>
          <w:kern w:val="0"/>
          <w14:ligatures w14:val="none"/>
        </w:rPr>
        <w:t>aumento dos custos de locação de equipamentos de conexão satelital, devido ao aumento dos pontos de conexão ao satélite SGDC para prestação dos serviços vinculados ao programa GESAC. Esses aumentos foram parcialmente amortizados pela redução nos custos do prêmio de seguro e da garantia estendida do satélite quando da renovação das apól</w:t>
      </w:r>
      <w:bookmarkStart w:id="7" w:name="_Hlk78376653"/>
      <w:r w:rsidRPr="006C6302">
        <w:rPr>
          <w:rFonts w:ascii="Calibri" w:eastAsia="Times New Roman" w:hAnsi="Calibri" w:cs="Times New Roman"/>
          <w:color w:val="002060"/>
          <w:kern w:val="0"/>
          <w14:ligatures w14:val="none"/>
        </w:rPr>
        <w:t>ices e dos contratos de garantia.</w:t>
      </w:r>
    </w:p>
    <w:p w14:paraId="4B820357" w14:textId="7926E562" w:rsidR="006C6302" w:rsidRPr="007E1FEC" w:rsidRDefault="006C6302" w:rsidP="006C6302">
      <w:pPr>
        <w:spacing w:after="0"/>
        <w:jc w:val="both"/>
        <w:rPr>
          <w:rFonts w:ascii="Calibri" w:eastAsia="Times New Roman" w:hAnsi="Calibri" w:cs="Times New Roman"/>
          <w:bCs/>
          <w:color w:val="002060"/>
          <w:kern w:val="0"/>
          <w14:ligatures w14:val="none"/>
        </w:rPr>
      </w:pPr>
      <w:bookmarkStart w:id="8" w:name="_Toc161319435"/>
      <w:bookmarkEnd w:id="7"/>
      <w:r>
        <w:rPr>
          <w:rFonts w:ascii="Calibri" w:eastAsia="Times New Roman" w:hAnsi="Calibri" w:cs="Times New Roman"/>
          <w:b/>
          <w:bCs/>
          <w:color w:val="002060"/>
          <w:kern w:val="0"/>
          <w14:ligatures w14:val="none"/>
        </w:rPr>
        <w:t xml:space="preserve">3.2.3. </w:t>
      </w:r>
      <w:r w:rsidRPr="006C6302">
        <w:rPr>
          <w:rFonts w:ascii="Calibri" w:eastAsia="Times New Roman" w:hAnsi="Calibri" w:cs="Times New Roman"/>
          <w:b/>
          <w:bCs/>
          <w:color w:val="002060"/>
          <w:kern w:val="0"/>
          <w14:ligatures w14:val="none"/>
        </w:rPr>
        <w:t>Depreciação e Amortização</w:t>
      </w:r>
      <w:bookmarkEnd w:id="8"/>
    </w:p>
    <w:tbl>
      <w:tblPr>
        <w:tblW w:w="5000" w:type="pct"/>
        <w:tblCellMar>
          <w:left w:w="70" w:type="dxa"/>
          <w:right w:w="70" w:type="dxa"/>
        </w:tblCellMar>
        <w:tblLook w:val="04A0" w:firstRow="1" w:lastRow="0" w:firstColumn="1" w:lastColumn="0" w:noHBand="0" w:noVBand="1"/>
      </w:tblPr>
      <w:tblGrid>
        <w:gridCol w:w="3963"/>
        <w:gridCol w:w="1054"/>
        <w:gridCol w:w="1054"/>
        <w:gridCol w:w="1054"/>
        <w:gridCol w:w="985"/>
        <w:gridCol w:w="962"/>
      </w:tblGrid>
      <w:tr w:rsidR="006C6302" w:rsidRPr="00393495" w14:paraId="764C905B" w14:textId="77777777" w:rsidTr="00446A14">
        <w:trPr>
          <w:trHeight w:val="238"/>
        </w:trPr>
        <w:tc>
          <w:tcPr>
            <w:tcW w:w="2184" w:type="pct"/>
            <w:tcBorders>
              <w:top w:val="single" w:sz="8" w:space="0" w:color="8EA9DB"/>
              <w:left w:val="nil"/>
              <w:bottom w:val="single" w:sz="8" w:space="0" w:color="8EA9DB"/>
              <w:right w:val="nil"/>
            </w:tcBorders>
            <w:shd w:val="clear" w:color="auto" w:fill="auto"/>
            <w:noWrap/>
            <w:vAlign w:val="center"/>
            <w:hideMark/>
          </w:tcPr>
          <w:p w14:paraId="39D6C634" w14:textId="77777777" w:rsidR="006C6302" w:rsidRPr="00087F48" w:rsidRDefault="006C6302" w:rsidP="00446A14">
            <w:pPr>
              <w:spacing w:after="0" w:line="240" w:lineRule="auto"/>
              <w:rPr>
                <w:rFonts w:ascii="Arial" w:hAnsi="Arial" w:cs="Arial"/>
                <w:b/>
                <w:bCs/>
                <w:color w:val="2F75B5"/>
                <w:sz w:val="16"/>
                <w:szCs w:val="18"/>
                <w:lang w:eastAsia="pt-BR"/>
              </w:rPr>
            </w:pPr>
            <w:r w:rsidRPr="00087F48">
              <w:rPr>
                <w:rFonts w:ascii="Arial" w:hAnsi="Arial" w:cs="Arial"/>
                <w:b/>
                <w:bCs/>
                <w:color w:val="2F75B5"/>
                <w:sz w:val="16"/>
                <w:szCs w:val="18"/>
                <w:lang w:eastAsia="pt-BR"/>
              </w:rPr>
              <w:t>R$ mil</w:t>
            </w:r>
          </w:p>
        </w:tc>
        <w:tc>
          <w:tcPr>
            <w:tcW w:w="581" w:type="pct"/>
            <w:tcBorders>
              <w:top w:val="single" w:sz="8" w:space="0" w:color="8EA9DB"/>
              <w:left w:val="nil"/>
              <w:bottom w:val="single" w:sz="8" w:space="0" w:color="8EA9DB"/>
              <w:right w:val="nil"/>
            </w:tcBorders>
            <w:shd w:val="clear" w:color="000000" w:fill="FFFFFF"/>
            <w:noWrap/>
            <w:vAlign w:val="center"/>
            <w:hideMark/>
          </w:tcPr>
          <w:p w14:paraId="7F7E91E7" w14:textId="77777777" w:rsidR="006C6302" w:rsidRPr="00087F48" w:rsidRDefault="006C6302" w:rsidP="00446A14">
            <w:pPr>
              <w:spacing w:after="0" w:line="240" w:lineRule="auto"/>
              <w:jc w:val="center"/>
              <w:rPr>
                <w:rFonts w:ascii="Arial" w:hAnsi="Arial" w:cs="Arial"/>
                <w:b/>
                <w:bCs/>
                <w:color w:val="2F75B5"/>
                <w:sz w:val="16"/>
                <w:szCs w:val="18"/>
                <w:lang w:eastAsia="pt-BR"/>
              </w:rPr>
            </w:pPr>
            <w:r w:rsidRPr="00087F48">
              <w:rPr>
                <w:rFonts w:ascii="Arial" w:hAnsi="Arial" w:cs="Arial"/>
                <w:b/>
                <w:bCs/>
                <w:color w:val="2F75B5"/>
                <w:sz w:val="16"/>
                <w:szCs w:val="18"/>
                <w:lang w:eastAsia="pt-BR"/>
              </w:rPr>
              <w:t>2023</w:t>
            </w:r>
          </w:p>
        </w:tc>
        <w:tc>
          <w:tcPr>
            <w:tcW w:w="581" w:type="pct"/>
            <w:tcBorders>
              <w:top w:val="single" w:sz="8" w:space="0" w:color="8EA9DB"/>
              <w:left w:val="nil"/>
              <w:bottom w:val="single" w:sz="8" w:space="0" w:color="8EA9DB"/>
              <w:right w:val="nil"/>
            </w:tcBorders>
            <w:shd w:val="clear" w:color="000000" w:fill="FFFFFF"/>
            <w:noWrap/>
            <w:vAlign w:val="center"/>
            <w:hideMark/>
          </w:tcPr>
          <w:p w14:paraId="35B04307" w14:textId="77777777" w:rsidR="006C6302" w:rsidRPr="00087F48" w:rsidRDefault="006C6302" w:rsidP="00446A14">
            <w:pPr>
              <w:spacing w:after="0" w:line="240" w:lineRule="auto"/>
              <w:jc w:val="center"/>
              <w:rPr>
                <w:rFonts w:ascii="Arial" w:hAnsi="Arial" w:cs="Arial"/>
                <w:b/>
                <w:bCs/>
                <w:color w:val="2F75B5"/>
                <w:sz w:val="16"/>
                <w:szCs w:val="18"/>
                <w:lang w:eastAsia="pt-BR"/>
              </w:rPr>
            </w:pPr>
            <w:r w:rsidRPr="00087F48">
              <w:rPr>
                <w:rFonts w:ascii="Arial" w:hAnsi="Arial" w:cs="Arial"/>
                <w:b/>
                <w:bCs/>
                <w:color w:val="2F75B5"/>
                <w:sz w:val="16"/>
                <w:szCs w:val="18"/>
                <w:lang w:eastAsia="pt-BR"/>
              </w:rPr>
              <w:t>2022</w:t>
            </w:r>
          </w:p>
        </w:tc>
        <w:tc>
          <w:tcPr>
            <w:tcW w:w="581" w:type="pct"/>
            <w:tcBorders>
              <w:top w:val="single" w:sz="8" w:space="0" w:color="8EA9DB"/>
              <w:left w:val="nil"/>
              <w:bottom w:val="single" w:sz="8" w:space="0" w:color="8EA9DB"/>
              <w:right w:val="nil"/>
            </w:tcBorders>
            <w:shd w:val="clear" w:color="000000" w:fill="FFFFFF"/>
            <w:noWrap/>
            <w:vAlign w:val="center"/>
            <w:hideMark/>
          </w:tcPr>
          <w:p w14:paraId="460843FA" w14:textId="77777777" w:rsidR="006C6302" w:rsidRPr="00087F48" w:rsidRDefault="006C6302" w:rsidP="00446A14">
            <w:pPr>
              <w:spacing w:after="0" w:line="240" w:lineRule="auto"/>
              <w:jc w:val="center"/>
              <w:rPr>
                <w:rFonts w:ascii="Arial" w:hAnsi="Arial" w:cs="Arial"/>
                <w:b/>
                <w:bCs/>
                <w:color w:val="2F75B5"/>
                <w:sz w:val="16"/>
                <w:szCs w:val="18"/>
                <w:lang w:eastAsia="pt-BR"/>
              </w:rPr>
            </w:pPr>
            <w:r w:rsidRPr="00087F48">
              <w:rPr>
                <w:rFonts w:ascii="Arial" w:hAnsi="Arial" w:cs="Arial"/>
                <w:b/>
                <w:bCs/>
                <w:color w:val="2F75B5"/>
                <w:sz w:val="16"/>
                <w:szCs w:val="18"/>
                <w:lang w:eastAsia="pt-BR"/>
              </w:rPr>
              <w:t>2021</w:t>
            </w:r>
          </w:p>
        </w:tc>
        <w:tc>
          <w:tcPr>
            <w:tcW w:w="543" w:type="pct"/>
            <w:tcBorders>
              <w:top w:val="single" w:sz="8" w:space="0" w:color="9BC2E6"/>
              <w:left w:val="nil"/>
              <w:bottom w:val="single" w:sz="8" w:space="0" w:color="9BC2E6"/>
              <w:right w:val="nil"/>
            </w:tcBorders>
            <w:shd w:val="clear" w:color="000000" w:fill="FFFFFF"/>
            <w:vAlign w:val="center"/>
            <w:hideMark/>
          </w:tcPr>
          <w:p w14:paraId="46249EE5" w14:textId="77777777" w:rsidR="006C6302" w:rsidRPr="00087F48" w:rsidRDefault="006C6302" w:rsidP="00446A14">
            <w:pPr>
              <w:spacing w:after="0" w:line="240" w:lineRule="auto"/>
              <w:jc w:val="center"/>
              <w:rPr>
                <w:rFonts w:ascii="Arial" w:hAnsi="Arial" w:cs="Arial"/>
                <w:b/>
                <w:bCs/>
                <w:color w:val="2F75B5"/>
                <w:sz w:val="16"/>
                <w:szCs w:val="18"/>
                <w:lang w:eastAsia="pt-BR"/>
              </w:rPr>
            </w:pPr>
            <w:r w:rsidRPr="00087F48">
              <w:rPr>
                <w:rFonts w:ascii="Arial" w:hAnsi="Arial" w:cs="Arial"/>
                <w:b/>
                <w:bCs/>
                <w:color w:val="2F75B5"/>
                <w:sz w:val="16"/>
                <w:szCs w:val="18"/>
                <w:lang w:eastAsia="pt-BR"/>
              </w:rPr>
              <w:t>Δ 2023 X 2022</w:t>
            </w:r>
          </w:p>
        </w:tc>
        <w:tc>
          <w:tcPr>
            <w:tcW w:w="530" w:type="pct"/>
            <w:tcBorders>
              <w:top w:val="single" w:sz="8" w:space="0" w:color="9BC2E6"/>
              <w:left w:val="nil"/>
              <w:bottom w:val="single" w:sz="8" w:space="0" w:color="9BC2E6"/>
              <w:right w:val="nil"/>
            </w:tcBorders>
            <w:shd w:val="clear" w:color="000000" w:fill="FFFFFF"/>
            <w:vAlign w:val="center"/>
            <w:hideMark/>
          </w:tcPr>
          <w:p w14:paraId="05F07F34" w14:textId="77777777" w:rsidR="006C6302" w:rsidRPr="00087F48" w:rsidRDefault="006C6302" w:rsidP="00446A14">
            <w:pPr>
              <w:spacing w:after="0" w:line="240" w:lineRule="auto"/>
              <w:jc w:val="center"/>
              <w:rPr>
                <w:rFonts w:ascii="Arial" w:hAnsi="Arial" w:cs="Arial"/>
                <w:b/>
                <w:bCs/>
                <w:color w:val="2F75B5"/>
                <w:sz w:val="16"/>
                <w:szCs w:val="18"/>
                <w:lang w:eastAsia="pt-BR"/>
              </w:rPr>
            </w:pPr>
            <w:r w:rsidRPr="00087F48">
              <w:rPr>
                <w:rFonts w:ascii="Arial" w:hAnsi="Arial" w:cs="Arial"/>
                <w:b/>
                <w:bCs/>
                <w:color w:val="2F75B5"/>
                <w:sz w:val="16"/>
                <w:szCs w:val="18"/>
                <w:lang w:eastAsia="pt-BR"/>
              </w:rPr>
              <w:t>Δ 2023 X 2021</w:t>
            </w:r>
          </w:p>
        </w:tc>
      </w:tr>
      <w:tr w:rsidR="006C6302" w:rsidRPr="00393495" w14:paraId="0DB304C8" w14:textId="77777777" w:rsidTr="00446A14">
        <w:trPr>
          <w:trHeight w:val="238"/>
        </w:trPr>
        <w:tc>
          <w:tcPr>
            <w:tcW w:w="2184" w:type="pct"/>
            <w:tcBorders>
              <w:top w:val="nil"/>
              <w:left w:val="nil"/>
              <w:bottom w:val="single" w:sz="8" w:space="0" w:color="4472C4"/>
              <w:right w:val="nil"/>
            </w:tcBorders>
            <w:shd w:val="clear" w:color="auto" w:fill="auto"/>
            <w:noWrap/>
            <w:vAlign w:val="center"/>
            <w:hideMark/>
          </w:tcPr>
          <w:p w14:paraId="724AE22D" w14:textId="77777777" w:rsidR="006C6302" w:rsidRPr="00087F48" w:rsidRDefault="006C6302" w:rsidP="00446A14">
            <w:pPr>
              <w:spacing w:after="0" w:line="240" w:lineRule="auto"/>
              <w:rPr>
                <w:rFonts w:ascii="Arial" w:hAnsi="Arial" w:cs="Arial"/>
                <w:color w:val="000000"/>
                <w:sz w:val="16"/>
                <w:szCs w:val="18"/>
                <w:lang w:eastAsia="pt-BR"/>
              </w:rPr>
            </w:pPr>
            <w:r w:rsidRPr="00087F48">
              <w:rPr>
                <w:rFonts w:ascii="Arial" w:hAnsi="Arial" w:cs="Arial"/>
                <w:color w:val="000000"/>
                <w:sz w:val="16"/>
                <w:szCs w:val="18"/>
                <w:lang w:eastAsia="pt-BR"/>
              </w:rPr>
              <w:t>Depreciação e Amortização</w:t>
            </w:r>
          </w:p>
        </w:tc>
        <w:tc>
          <w:tcPr>
            <w:tcW w:w="581" w:type="pct"/>
            <w:tcBorders>
              <w:top w:val="nil"/>
              <w:left w:val="nil"/>
              <w:bottom w:val="single" w:sz="8" w:space="0" w:color="4472C4"/>
              <w:right w:val="nil"/>
            </w:tcBorders>
            <w:shd w:val="clear" w:color="auto" w:fill="auto"/>
            <w:noWrap/>
            <w:vAlign w:val="center"/>
            <w:hideMark/>
          </w:tcPr>
          <w:p w14:paraId="3DD3C093"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(253.540)</w:t>
            </w:r>
          </w:p>
        </w:tc>
        <w:tc>
          <w:tcPr>
            <w:tcW w:w="581" w:type="pct"/>
            <w:tcBorders>
              <w:top w:val="nil"/>
              <w:left w:val="nil"/>
              <w:bottom w:val="single" w:sz="8" w:space="0" w:color="4472C4"/>
              <w:right w:val="nil"/>
            </w:tcBorders>
            <w:shd w:val="clear" w:color="auto" w:fill="auto"/>
            <w:noWrap/>
            <w:vAlign w:val="center"/>
            <w:hideMark/>
          </w:tcPr>
          <w:p w14:paraId="7F8F945A"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(242.086)</w:t>
            </w:r>
          </w:p>
        </w:tc>
        <w:tc>
          <w:tcPr>
            <w:tcW w:w="581" w:type="pct"/>
            <w:tcBorders>
              <w:top w:val="nil"/>
              <w:left w:val="nil"/>
              <w:bottom w:val="single" w:sz="8" w:space="0" w:color="4472C4"/>
              <w:right w:val="nil"/>
            </w:tcBorders>
            <w:shd w:val="clear" w:color="auto" w:fill="auto"/>
            <w:noWrap/>
            <w:vAlign w:val="center"/>
            <w:hideMark/>
          </w:tcPr>
          <w:p w14:paraId="423B2F71"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(254.336)</w:t>
            </w:r>
          </w:p>
        </w:tc>
        <w:tc>
          <w:tcPr>
            <w:tcW w:w="543" w:type="pct"/>
            <w:tcBorders>
              <w:top w:val="nil"/>
              <w:left w:val="nil"/>
              <w:bottom w:val="single" w:sz="8" w:space="0" w:color="4472C4"/>
              <w:right w:val="nil"/>
            </w:tcBorders>
            <w:shd w:val="clear" w:color="auto" w:fill="auto"/>
            <w:noWrap/>
            <w:vAlign w:val="center"/>
            <w:hideMark/>
          </w:tcPr>
          <w:p w14:paraId="7397C782"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4,7%</w:t>
            </w:r>
          </w:p>
        </w:tc>
        <w:tc>
          <w:tcPr>
            <w:tcW w:w="530" w:type="pct"/>
            <w:tcBorders>
              <w:top w:val="nil"/>
              <w:left w:val="nil"/>
              <w:bottom w:val="single" w:sz="8" w:space="0" w:color="4472C4"/>
              <w:right w:val="nil"/>
            </w:tcBorders>
            <w:shd w:val="clear" w:color="auto" w:fill="auto"/>
            <w:noWrap/>
            <w:vAlign w:val="center"/>
            <w:hideMark/>
          </w:tcPr>
          <w:p w14:paraId="20CDAEAE" w14:textId="77777777" w:rsidR="006C6302" w:rsidRPr="00087F48" w:rsidRDefault="006C6302"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-0,3%</w:t>
            </w:r>
          </w:p>
        </w:tc>
      </w:tr>
    </w:tbl>
    <w:p w14:paraId="1C9BB458" w14:textId="52DCBC0B" w:rsidR="001D7588" w:rsidRDefault="006C6302" w:rsidP="001D7588">
      <w:pPr>
        <w:spacing w:after="0"/>
        <w:jc w:val="both"/>
        <w:rPr>
          <w:rFonts w:ascii="Calibri" w:eastAsia="Times New Roman" w:hAnsi="Calibri" w:cs="Times New Roman"/>
          <w:color w:val="002060"/>
          <w:kern w:val="0"/>
          <w14:ligatures w14:val="none"/>
        </w:rPr>
      </w:pPr>
      <w:bookmarkStart w:id="9" w:name="_Hlk32496144"/>
      <w:r w:rsidRPr="006C6302">
        <w:rPr>
          <w:rFonts w:ascii="Calibri" w:eastAsia="Times New Roman" w:hAnsi="Calibri" w:cs="Times New Roman"/>
          <w:color w:val="002060"/>
          <w:kern w:val="0"/>
          <w14:ligatures w14:val="none"/>
        </w:rPr>
        <w:lastRenderedPageBreak/>
        <w:t xml:space="preserve">O comportamento da depreciação e amortização no exercício de 2023 em relação ao exercício de 2022, apresentou um aumento de 4,7%. Na comparação como o ano de 2021, houve uma estabilidade, com variação negativa de 0,3%. </w:t>
      </w:r>
      <w:bookmarkStart w:id="10" w:name="_Toc161319436"/>
      <w:bookmarkEnd w:id="9"/>
    </w:p>
    <w:p w14:paraId="7515C70E" w14:textId="48995EA4" w:rsidR="001D7588" w:rsidRDefault="001D7588" w:rsidP="001D7588">
      <w:pPr>
        <w:spacing w:after="0"/>
        <w:jc w:val="both"/>
        <w:rPr>
          <w:rFonts w:ascii="Calibri" w:eastAsia="Times New Roman" w:hAnsi="Calibri" w:cs="Times New Roman"/>
          <w:b/>
          <w:bCs/>
          <w:color w:val="002060"/>
          <w:kern w:val="0"/>
          <w14:ligatures w14:val="none"/>
        </w:rPr>
      </w:pPr>
      <w:r w:rsidRPr="001D7588">
        <w:rPr>
          <w:rFonts w:ascii="Calibri" w:eastAsia="Times New Roman" w:hAnsi="Calibri" w:cs="Times New Roman"/>
          <w:b/>
          <w:bCs/>
          <w:color w:val="002060"/>
          <w:kern w:val="0"/>
          <w14:ligatures w14:val="none"/>
        </w:rPr>
        <w:t>3.2.4. Resultado de Equivalência Patrimonial</w:t>
      </w:r>
      <w:bookmarkEnd w:id="10"/>
    </w:p>
    <w:tbl>
      <w:tblPr>
        <w:tblW w:w="5000" w:type="pct"/>
        <w:tblCellMar>
          <w:left w:w="70" w:type="dxa"/>
          <w:right w:w="70" w:type="dxa"/>
        </w:tblCellMar>
        <w:tblLook w:val="04A0" w:firstRow="1" w:lastRow="0" w:firstColumn="1" w:lastColumn="0" w:noHBand="0" w:noVBand="1"/>
      </w:tblPr>
      <w:tblGrid>
        <w:gridCol w:w="3963"/>
        <w:gridCol w:w="1054"/>
        <w:gridCol w:w="1054"/>
        <w:gridCol w:w="1054"/>
        <w:gridCol w:w="985"/>
        <w:gridCol w:w="962"/>
      </w:tblGrid>
      <w:tr w:rsidR="001D7588" w:rsidRPr="00393495" w14:paraId="33DEE7C6" w14:textId="77777777" w:rsidTr="00446A14">
        <w:trPr>
          <w:trHeight w:val="238"/>
        </w:trPr>
        <w:tc>
          <w:tcPr>
            <w:tcW w:w="2184" w:type="pct"/>
            <w:tcBorders>
              <w:top w:val="single" w:sz="8" w:space="0" w:color="8EA9DB"/>
              <w:left w:val="nil"/>
              <w:bottom w:val="single" w:sz="8" w:space="0" w:color="8EA9DB"/>
              <w:right w:val="nil"/>
            </w:tcBorders>
            <w:shd w:val="clear" w:color="auto" w:fill="auto"/>
            <w:noWrap/>
            <w:vAlign w:val="center"/>
            <w:hideMark/>
          </w:tcPr>
          <w:p w14:paraId="413ACEB1" w14:textId="77777777" w:rsidR="001D7588" w:rsidRPr="00087F48" w:rsidRDefault="001D7588" w:rsidP="00446A14">
            <w:pPr>
              <w:spacing w:after="0" w:line="240" w:lineRule="auto"/>
              <w:rPr>
                <w:rFonts w:ascii="Arial" w:hAnsi="Arial" w:cs="Arial"/>
                <w:b/>
                <w:bCs/>
                <w:color w:val="2F75B5"/>
                <w:sz w:val="16"/>
                <w:szCs w:val="18"/>
                <w:lang w:eastAsia="pt-BR"/>
              </w:rPr>
            </w:pPr>
            <w:r w:rsidRPr="00087F48">
              <w:rPr>
                <w:rFonts w:ascii="Arial" w:hAnsi="Arial" w:cs="Arial"/>
                <w:b/>
                <w:bCs/>
                <w:color w:val="2F75B5"/>
                <w:sz w:val="16"/>
                <w:szCs w:val="18"/>
                <w:lang w:eastAsia="pt-BR"/>
              </w:rPr>
              <w:t>R$ mil</w:t>
            </w:r>
          </w:p>
        </w:tc>
        <w:tc>
          <w:tcPr>
            <w:tcW w:w="581" w:type="pct"/>
            <w:tcBorders>
              <w:top w:val="single" w:sz="8" w:space="0" w:color="8EA9DB"/>
              <w:left w:val="nil"/>
              <w:bottom w:val="single" w:sz="8" w:space="0" w:color="8EA9DB"/>
              <w:right w:val="nil"/>
            </w:tcBorders>
            <w:shd w:val="clear" w:color="000000" w:fill="FFFFFF"/>
            <w:noWrap/>
            <w:vAlign w:val="center"/>
            <w:hideMark/>
          </w:tcPr>
          <w:p w14:paraId="08183133" w14:textId="77777777" w:rsidR="001D7588" w:rsidRPr="00087F48" w:rsidRDefault="001D7588" w:rsidP="00446A14">
            <w:pPr>
              <w:spacing w:after="0" w:line="240" w:lineRule="auto"/>
              <w:jc w:val="center"/>
              <w:rPr>
                <w:rFonts w:ascii="Arial" w:hAnsi="Arial" w:cs="Arial"/>
                <w:b/>
                <w:bCs/>
                <w:color w:val="2F75B5"/>
                <w:sz w:val="16"/>
                <w:szCs w:val="18"/>
                <w:lang w:eastAsia="pt-BR"/>
              </w:rPr>
            </w:pPr>
            <w:r w:rsidRPr="00087F48">
              <w:rPr>
                <w:rFonts w:ascii="Arial" w:hAnsi="Arial" w:cs="Arial"/>
                <w:b/>
                <w:bCs/>
                <w:color w:val="2F75B5"/>
                <w:sz w:val="16"/>
                <w:szCs w:val="18"/>
                <w:lang w:eastAsia="pt-BR"/>
              </w:rPr>
              <w:t>2023</w:t>
            </w:r>
          </w:p>
        </w:tc>
        <w:tc>
          <w:tcPr>
            <w:tcW w:w="581" w:type="pct"/>
            <w:tcBorders>
              <w:top w:val="single" w:sz="8" w:space="0" w:color="8EA9DB"/>
              <w:left w:val="nil"/>
              <w:bottom w:val="single" w:sz="8" w:space="0" w:color="8EA9DB"/>
              <w:right w:val="nil"/>
            </w:tcBorders>
            <w:shd w:val="clear" w:color="000000" w:fill="FFFFFF"/>
            <w:noWrap/>
            <w:vAlign w:val="center"/>
            <w:hideMark/>
          </w:tcPr>
          <w:p w14:paraId="23242B26" w14:textId="77777777" w:rsidR="001D7588" w:rsidRPr="00087F48" w:rsidRDefault="001D7588" w:rsidP="00446A14">
            <w:pPr>
              <w:spacing w:after="0" w:line="240" w:lineRule="auto"/>
              <w:jc w:val="center"/>
              <w:rPr>
                <w:rFonts w:ascii="Arial" w:hAnsi="Arial" w:cs="Arial"/>
                <w:b/>
                <w:bCs/>
                <w:color w:val="2F75B5"/>
                <w:sz w:val="16"/>
                <w:szCs w:val="18"/>
                <w:lang w:eastAsia="pt-BR"/>
              </w:rPr>
            </w:pPr>
            <w:r w:rsidRPr="00087F48">
              <w:rPr>
                <w:rFonts w:ascii="Arial" w:hAnsi="Arial" w:cs="Arial"/>
                <w:b/>
                <w:bCs/>
                <w:color w:val="2F75B5"/>
                <w:sz w:val="16"/>
                <w:szCs w:val="18"/>
                <w:lang w:eastAsia="pt-BR"/>
              </w:rPr>
              <w:t>2022</w:t>
            </w:r>
          </w:p>
        </w:tc>
        <w:tc>
          <w:tcPr>
            <w:tcW w:w="581" w:type="pct"/>
            <w:tcBorders>
              <w:top w:val="single" w:sz="8" w:space="0" w:color="8EA9DB"/>
              <w:left w:val="nil"/>
              <w:bottom w:val="single" w:sz="8" w:space="0" w:color="8EA9DB"/>
              <w:right w:val="nil"/>
            </w:tcBorders>
            <w:shd w:val="clear" w:color="000000" w:fill="FFFFFF"/>
            <w:noWrap/>
            <w:vAlign w:val="center"/>
            <w:hideMark/>
          </w:tcPr>
          <w:p w14:paraId="3D981E6E" w14:textId="77777777" w:rsidR="001D7588" w:rsidRPr="00087F48" w:rsidRDefault="001D7588" w:rsidP="00446A14">
            <w:pPr>
              <w:spacing w:after="0" w:line="240" w:lineRule="auto"/>
              <w:jc w:val="center"/>
              <w:rPr>
                <w:rFonts w:ascii="Arial" w:hAnsi="Arial" w:cs="Arial"/>
                <w:b/>
                <w:bCs/>
                <w:color w:val="2F75B5"/>
                <w:sz w:val="16"/>
                <w:szCs w:val="18"/>
                <w:lang w:eastAsia="pt-BR"/>
              </w:rPr>
            </w:pPr>
            <w:r w:rsidRPr="00087F48">
              <w:rPr>
                <w:rFonts w:ascii="Arial" w:hAnsi="Arial" w:cs="Arial"/>
                <w:b/>
                <w:bCs/>
                <w:color w:val="2F75B5"/>
                <w:sz w:val="16"/>
                <w:szCs w:val="18"/>
                <w:lang w:eastAsia="pt-BR"/>
              </w:rPr>
              <w:t>2021</w:t>
            </w:r>
          </w:p>
        </w:tc>
        <w:tc>
          <w:tcPr>
            <w:tcW w:w="543" w:type="pct"/>
            <w:tcBorders>
              <w:top w:val="single" w:sz="8" w:space="0" w:color="9BC2E6"/>
              <w:left w:val="nil"/>
              <w:bottom w:val="single" w:sz="8" w:space="0" w:color="9BC2E6"/>
              <w:right w:val="nil"/>
            </w:tcBorders>
            <w:shd w:val="clear" w:color="000000" w:fill="FFFFFF"/>
            <w:vAlign w:val="center"/>
            <w:hideMark/>
          </w:tcPr>
          <w:p w14:paraId="0FD442B2" w14:textId="77777777" w:rsidR="001D7588" w:rsidRPr="00087F48" w:rsidRDefault="001D7588" w:rsidP="00446A14">
            <w:pPr>
              <w:spacing w:after="0" w:line="240" w:lineRule="auto"/>
              <w:jc w:val="center"/>
              <w:rPr>
                <w:rFonts w:ascii="Arial" w:hAnsi="Arial" w:cs="Arial"/>
                <w:b/>
                <w:bCs/>
                <w:color w:val="2F75B5"/>
                <w:sz w:val="16"/>
                <w:szCs w:val="18"/>
                <w:lang w:eastAsia="pt-BR"/>
              </w:rPr>
            </w:pPr>
            <w:r w:rsidRPr="00087F48">
              <w:rPr>
                <w:rFonts w:ascii="Arial" w:hAnsi="Arial" w:cs="Arial"/>
                <w:b/>
                <w:bCs/>
                <w:color w:val="2F75B5"/>
                <w:sz w:val="16"/>
                <w:szCs w:val="18"/>
                <w:lang w:eastAsia="pt-BR"/>
              </w:rPr>
              <w:t>Δ 2023 X 2022</w:t>
            </w:r>
          </w:p>
        </w:tc>
        <w:tc>
          <w:tcPr>
            <w:tcW w:w="530" w:type="pct"/>
            <w:tcBorders>
              <w:top w:val="single" w:sz="8" w:space="0" w:color="9BC2E6"/>
              <w:left w:val="nil"/>
              <w:bottom w:val="single" w:sz="8" w:space="0" w:color="9BC2E6"/>
              <w:right w:val="nil"/>
            </w:tcBorders>
            <w:shd w:val="clear" w:color="000000" w:fill="FFFFFF"/>
            <w:vAlign w:val="center"/>
            <w:hideMark/>
          </w:tcPr>
          <w:p w14:paraId="5D0F6D3F" w14:textId="77777777" w:rsidR="001D7588" w:rsidRPr="00087F48" w:rsidRDefault="001D7588" w:rsidP="00446A14">
            <w:pPr>
              <w:spacing w:after="0" w:line="240" w:lineRule="auto"/>
              <w:jc w:val="center"/>
              <w:rPr>
                <w:rFonts w:ascii="Arial" w:hAnsi="Arial" w:cs="Arial"/>
                <w:b/>
                <w:bCs/>
                <w:color w:val="2F75B5"/>
                <w:sz w:val="16"/>
                <w:szCs w:val="18"/>
                <w:lang w:eastAsia="pt-BR"/>
              </w:rPr>
            </w:pPr>
            <w:r w:rsidRPr="00087F48">
              <w:rPr>
                <w:rFonts w:ascii="Arial" w:hAnsi="Arial" w:cs="Arial"/>
                <w:b/>
                <w:bCs/>
                <w:color w:val="2F75B5"/>
                <w:sz w:val="16"/>
                <w:szCs w:val="18"/>
                <w:lang w:eastAsia="pt-BR"/>
              </w:rPr>
              <w:t>Δ 2023 X 2021</w:t>
            </w:r>
          </w:p>
        </w:tc>
      </w:tr>
      <w:tr w:rsidR="001D7588" w:rsidRPr="00393495" w14:paraId="5FCDBB82" w14:textId="77777777" w:rsidTr="00446A14">
        <w:trPr>
          <w:trHeight w:val="238"/>
        </w:trPr>
        <w:tc>
          <w:tcPr>
            <w:tcW w:w="2184" w:type="pct"/>
            <w:tcBorders>
              <w:top w:val="nil"/>
              <w:left w:val="nil"/>
              <w:bottom w:val="single" w:sz="8" w:space="0" w:color="4472C4"/>
              <w:right w:val="nil"/>
            </w:tcBorders>
            <w:shd w:val="clear" w:color="auto" w:fill="auto"/>
            <w:noWrap/>
            <w:vAlign w:val="center"/>
            <w:hideMark/>
          </w:tcPr>
          <w:p w14:paraId="096E6143" w14:textId="77777777" w:rsidR="001D7588" w:rsidRPr="00087F48" w:rsidRDefault="001D7588" w:rsidP="00446A14">
            <w:pPr>
              <w:spacing w:after="0" w:line="240" w:lineRule="auto"/>
              <w:rPr>
                <w:rFonts w:ascii="Arial" w:hAnsi="Arial" w:cs="Arial"/>
                <w:color w:val="000000"/>
                <w:sz w:val="16"/>
                <w:szCs w:val="18"/>
                <w:lang w:eastAsia="pt-BR"/>
              </w:rPr>
            </w:pPr>
            <w:r w:rsidRPr="00087F48">
              <w:rPr>
                <w:rFonts w:ascii="Arial" w:hAnsi="Arial" w:cs="Arial"/>
                <w:color w:val="000000"/>
                <w:sz w:val="16"/>
                <w:szCs w:val="18"/>
                <w:lang w:eastAsia="pt-BR"/>
              </w:rPr>
              <w:t>Resultado de Equivalência Patrimonial</w:t>
            </w:r>
          </w:p>
        </w:tc>
        <w:tc>
          <w:tcPr>
            <w:tcW w:w="581" w:type="pct"/>
            <w:tcBorders>
              <w:top w:val="nil"/>
              <w:left w:val="nil"/>
              <w:bottom w:val="single" w:sz="8" w:space="0" w:color="4472C4"/>
              <w:right w:val="nil"/>
            </w:tcBorders>
            <w:shd w:val="clear" w:color="auto" w:fill="auto"/>
            <w:noWrap/>
            <w:vAlign w:val="center"/>
            <w:hideMark/>
          </w:tcPr>
          <w:p w14:paraId="6A960202" w14:textId="77777777" w:rsidR="001D7588" w:rsidRPr="00087F48" w:rsidRDefault="001D7588"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(2.254)</w:t>
            </w:r>
          </w:p>
        </w:tc>
        <w:tc>
          <w:tcPr>
            <w:tcW w:w="581" w:type="pct"/>
            <w:tcBorders>
              <w:top w:val="nil"/>
              <w:left w:val="nil"/>
              <w:bottom w:val="single" w:sz="8" w:space="0" w:color="4472C4"/>
              <w:right w:val="nil"/>
            </w:tcBorders>
            <w:shd w:val="clear" w:color="auto" w:fill="auto"/>
            <w:noWrap/>
            <w:vAlign w:val="center"/>
            <w:hideMark/>
          </w:tcPr>
          <w:p w14:paraId="17D7E92F" w14:textId="77777777" w:rsidR="001D7588" w:rsidRPr="00087F48" w:rsidRDefault="001D7588"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(6.500)</w:t>
            </w:r>
          </w:p>
        </w:tc>
        <w:tc>
          <w:tcPr>
            <w:tcW w:w="581" w:type="pct"/>
            <w:tcBorders>
              <w:top w:val="nil"/>
              <w:left w:val="nil"/>
              <w:bottom w:val="single" w:sz="8" w:space="0" w:color="4472C4"/>
              <w:right w:val="nil"/>
            </w:tcBorders>
            <w:shd w:val="clear" w:color="auto" w:fill="auto"/>
            <w:noWrap/>
            <w:vAlign w:val="center"/>
            <w:hideMark/>
          </w:tcPr>
          <w:p w14:paraId="51197D79" w14:textId="77777777" w:rsidR="001D7588" w:rsidRPr="00087F48" w:rsidRDefault="001D7588"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(6.273)</w:t>
            </w:r>
          </w:p>
        </w:tc>
        <w:tc>
          <w:tcPr>
            <w:tcW w:w="543" w:type="pct"/>
            <w:tcBorders>
              <w:top w:val="nil"/>
              <w:left w:val="nil"/>
              <w:bottom w:val="single" w:sz="8" w:space="0" w:color="4472C4"/>
              <w:right w:val="nil"/>
            </w:tcBorders>
            <w:shd w:val="clear" w:color="auto" w:fill="auto"/>
            <w:noWrap/>
            <w:vAlign w:val="center"/>
            <w:hideMark/>
          </w:tcPr>
          <w:p w14:paraId="59EF7D26" w14:textId="77777777" w:rsidR="001D7588" w:rsidRPr="00087F48" w:rsidRDefault="001D7588"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-65,3%</w:t>
            </w:r>
          </w:p>
        </w:tc>
        <w:tc>
          <w:tcPr>
            <w:tcW w:w="530" w:type="pct"/>
            <w:tcBorders>
              <w:top w:val="nil"/>
              <w:left w:val="nil"/>
              <w:bottom w:val="single" w:sz="8" w:space="0" w:color="4472C4"/>
              <w:right w:val="nil"/>
            </w:tcBorders>
            <w:shd w:val="clear" w:color="auto" w:fill="auto"/>
            <w:noWrap/>
            <w:vAlign w:val="center"/>
            <w:hideMark/>
          </w:tcPr>
          <w:p w14:paraId="53A0EDC0" w14:textId="77777777" w:rsidR="001D7588" w:rsidRPr="00087F48" w:rsidRDefault="001D7588" w:rsidP="00446A14">
            <w:pPr>
              <w:spacing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-64,1%</w:t>
            </w:r>
          </w:p>
        </w:tc>
      </w:tr>
    </w:tbl>
    <w:p w14:paraId="6D15D3ED" w14:textId="79701378" w:rsidR="007E1FEC" w:rsidRDefault="001D7588" w:rsidP="001D7588">
      <w:pPr>
        <w:spacing w:after="0"/>
        <w:jc w:val="both"/>
        <w:rPr>
          <w:rFonts w:ascii="Calibri" w:eastAsia="Times New Roman" w:hAnsi="Calibri" w:cs="Times New Roman"/>
          <w:bCs/>
          <w:color w:val="002060"/>
          <w:kern w:val="0"/>
          <w14:ligatures w14:val="none"/>
        </w:rPr>
      </w:pPr>
      <w:bookmarkStart w:id="11" w:name="_Hlk32496500"/>
      <w:r w:rsidRPr="001D7588">
        <w:rPr>
          <w:rFonts w:ascii="Calibri" w:eastAsia="Times New Roman" w:hAnsi="Calibri" w:cs="Times New Roman"/>
          <w:bCs/>
          <w:color w:val="002060"/>
          <w:kern w:val="0"/>
          <w14:ligatures w14:val="none"/>
        </w:rPr>
        <w:t xml:space="preserve">Os Resultados negativos de Equivalência Patrimonial apurados nos anos de 2023, 2022 e 2021 refletem a participação da Telebras (49%) nos resultados negativos gerados nesses anos pela </w:t>
      </w:r>
      <w:proofErr w:type="gramStart"/>
      <w:r w:rsidRPr="001D7588">
        <w:rPr>
          <w:rFonts w:ascii="Calibri" w:eastAsia="Times New Roman" w:hAnsi="Calibri" w:cs="Times New Roman"/>
          <w:bCs/>
          <w:color w:val="002060"/>
          <w:kern w:val="0"/>
          <w14:ligatures w14:val="none"/>
        </w:rPr>
        <w:t>coligada Visiona</w:t>
      </w:r>
      <w:proofErr w:type="gramEnd"/>
      <w:r w:rsidRPr="001D7588">
        <w:rPr>
          <w:rFonts w:ascii="Calibri" w:eastAsia="Times New Roman" w:hAnsi="Calibri" w:cs="Times New Roman"/>
          <w:bCs/>
          <w:color w:val="002060"/>
          <w:kern w:val="0"/>
          <w14:ligatures w14:val="none"/>
        </w:rPr>
        <w:t xml:space="preserve">. Em 2023, a coligada apresentou um prejuízo líquido de R$ 4,6 milhões (R$ 13,3 milhões em 2022 e R$ 12,8 milhões em 2021). </w:t>
      </w:r>
      <w:bookmarkEnd w:id="11"/>
    </w:p>
    <w:p w14:paraId="3A1292E5" w14:textId="643AD650" w:rsidR="001D7588" w:rsidRDefault="001D7588" w:rsidP="001D7588">
      <w:pPr>
        <w:spacing w:after="0"/>
        <w:jc w:val="both"/>
        <w:rPr>
          <w:rFonts w:ascii="Calibri" w:eastAsia="Times New Roman" w:hAnsi="Calibri" w:cs="Times New Roman"/>
          <w:bCs/>
          <w:color w:val="002060"/>
          <w:kern w:val="0"/>
          <w14:ligatures w14:val="none"/>
        </w:rPr>
      </w:pPr>
      <w:bookmarkStart w:id="12" w:name="_Toc161319437"/>
      <w:r>
        <w:rPr>
          <w:rFonts w:ascii="Calibri" w:eastAsia="Times New Roman" w:hAnsi="Calibri" w:cs="Times New Roman"/>
          <w:b/>
          <w:bCs/>
          <w:color w:val="002060"/>
          <w:kern w:val="0"/>
          <w14:ligatures w14:val="none"/>
        </w:rPr>
        <w:t xml:space="preserve">3.2.5. </w:t>
      </w:r>
      <w:r w:rsidRPr="001D7588">
        <w:rPr>
          <w:rFonts w:ascii="Calibri" w:eastAsia="Times New Roman" w:hAnsi="Calibri" w:cs="Times New Roman"/>
          <w:b/>
          <w:bCs/>
          <w:color w:val="002060"/>
          <w:kern w:val="0"/>
          <w14:ligatures w14:val="none"/>
        </w:rPr>
        <w:t>Outras Receitas / Despesas Operacionais</w:t>
      </w:r>
      <w:bookmarkEnd w:id="12"/>
      <w:r w:rsidRPr="001D7588">
        <w:rPr>
          <w:rFonts w:ascii="Calibri" w:eastAsia="Times New Roman" w:hAnsi="Calibri" w:cs="Times New Roman"/>
          <w:b/>
          <w:bCs/>
          <w:color w:val="002060"/>
          <w:kern w:val="0"/>
          <w14:ligatures w14:val="none"/>
        </w:rPr>
        <w:t xml:space="preserve"> </w:t>
      </w:r>
    </w:p>
    <w:tbl>
      <w:tblPr>
        <w:tblW w:w="5000" w:type="pct"/>
        <w:tblCellMar>
          <w:left w:w="70" w:type="dxa"/>
          <w:right w:w="70" w:type="dxa"/>
        </w:tblCellMar>
        <w:tblLook w:val="04A0" w:firstRow="1" w:lastRow="0" w:firstColumn="1" w:lastColumn="0" w:noHBand="0" w:noVBand="1"/>
      </w:tblPr>
      <w:tblGrid>
        <w:gridCol w:w="4548"/>
        <w:gridCol w:w="914"/>
        <w:gridCol w:w="914"/>
        <w:gridCol w:w="914"/>
        <w:gridCol w:w="893"/>
        <w:gridCol w:w="889"/>
      </w:tblGrid>
      <w:tr w:rsidR="001D7588" w:rsidRPr="00393495" w14:paraId="02B7BC27" w14:textId="77777777" w:rsidTr="00446A14">
        <w:trPr>
          <w:trHeight w:val="238"/>
        </w:trPr>
        <w:tc>
          <w:tcPr>
            <w:tcW w:w="2506" w:type="pct"/>
            <w:tcBorders>
              <w:top w:val="single" w:sz="8" w:space="0" w:color="8EA9DB"/>
              <w:left w:val="nil"/>
              <w:bottom w:val="single" w:sz="8" w:space="0" w:color="8EA9DB"/>
              <w:right w:val="nil"/>
            </w:tcBorders>
            <w:shd w:val="clear" w:color="auto" w:fill="auto"/>
            <w:noWrap/>
            <w:vAlign w:val="center"/>
            <w:hideMark/>
          </w:tcPr>
          <w:p w14:paraId="44E0C722" w14:textId="77777777" w:rsidR="001D7588" w:rsidRPr="00087F48" w:rsidRDefault="001D7588" w:rsidP="00446A14">
            <w:pPr>
              <w:spacing w:after="0" w:line="240" w:lineRule="auto"/>
              <w:rPr>
                <w:rFonts w:ascii="Arial" w:hAnsi="Arial" w:cs="Arial"/>
                <w:b/>
                <w:bCs/>
                <w:color w:val="2F75B5"/>
                <w:sz w:val="16"/>
                <w:szCs w:val="18"/>
                <w:lang w:eastAsia="pt-BR"/>
              </w:rPr>
            </w:pPr>
            <w:r w:rsidRPr="00087F48">
              <w:rPr>
                <w:rFonts w:ascii="Arial" w:hAnsi="Arial" w:cs="Arial"/>
                <w:b/>
                <w:bCs/>
                <w:color w:val="2F75B5"/>
                <w:sz w:val="16"/>
                <w:szCs w:val="18"/>
                <w:lang w:eastAsia="pt-BR"/>
              </w:rPr>
              <w:t>R$ mil</w:t>
            </w:r>
          </w:p>
        </w:tc>
        <w:tc>
          <w:tcPr>
            <w:tcW w:w="504" w:type="pct"/>
            <w:tcBorders>
              <w:top w:val="single" w:sz="8" w:space="0" w:color="8EA9DB"/>
              <w:left w:val="nil"/>
              <w:bottom w:val="single" w:sz="8" w:space="0" w:color="8EA9DB"/>
              <w:right w:val="nil"/>
            </w:tcBorders>
            <w:shd w:val="clear" w:color="000000" w:fill="FFFFFF"/>
            <w:noWrap/>
            <w:vAlign w:val="center"/>
            <w:hideMark/>
          </w:tcPr>
          <w:p w14:paraId="7E44371E" w14:textId="77777777" w:rsidR="001D7588" w:rsidRPr="00087F48" w:rsidRDefault="001D7588" w:rsidP="00446A14">
            <w:pPr>
              <w:spacing w:after="0" w:line="240" w:lineRule="auto"/>
              <w:jc w:val="center"/>
              <w:rPr>
                <w:rFonts w:ascii="Arial" w:hAnsi="Arial" w:cs="Arial"/>
                <w:b/>
                <w:bCs/>
                <w:color w:val="2F75B5"/>
                <w:sz w:val="16"/>
                <w:szCs w:val="18"/>
                <w:lang w:eastAsia="pt-BR"/>
              </w:rPr>
            </w:pPr>
            <w:r w:rsidRPr="00087F48">
              <w:rPr>
                <w:rFonts w:ascii="Arial" w:hAnsi="Arial" w:cs="Arial"/>
                <w:b/>
                <w:bCs/>
                <w:color w:val="2F75B5"/>
                <w:sz w:val="16"/>
                <w:szCs w:val="18"/>
                <w:lang w:eastAsia="pt-BR"/>
              </w:rPr>
              <w:t>2023</w:t>
            </w:r>
          </w:p>
        </w:tc>
        <w:tc>
          <w:tcPr>
            <w:tcW w:w="504" w:type="pct"/>
            <w:tcBorders>
              <w:top w:val="single" w:sz="8" w:space="0" w:color="8EA9DB"/>
              <w:left w:val="nil"/>
              <w:bottom w:val="single" w:sz="8" w:space="0" w:color="8EA9DB"/>
              <w:right w:val="nil"/>
            </w:tcBorders>
            <w:shd w:val="clear" w:color="000000" w:fill="FFFFFF"/>
            <w:noWrap/>
            <w:vAlign w:val="center"/>
            <w:hideMark/>
          </w:tcPr>
          <w:p w14:paraId="1A037CF3" w14:textId="77777777" w:rsidR="001D7588" w:rsidRPr="00087F48" w:rsidRDefault="001D7588" w:rsidP="00446A14">
            <w:pPr>
              <w:spacing w:after="0" w:line="240" w:lineRule="auto"/>
              <w:jc w:val="center"/>
              <w:rPr>
                <w:rFonts w:ascii="Arial" w:hAnsi="Arial" w:cs="Arial"/>
                <w:b/>
                <w:bCs/>
                <w:color w:val="2F75B5"/>
                <w:sz w:val="16"/>
                <w:szCs w:val="18"/>
                <w:lang w:eastAsia="pt-BR"/>
              </w:rPr>
            </w:pPr>
            <w:r w:rsidRPr="00087F48">
              <w:rPr>
                <w:rFonts w:ascii="Arial" w:hAnsi="Arial" w:cs="Arial"/>
                <w:b/>
                <w:bCs/>
                <w:color w:val="2F75B5"/>
                <w:sz w:val="16"/>
                <w:szCs w:val="18"/>
                <w:lang w:eastAsia="pt-BR"/>
              </w:rPr>
              <w:t>2022</w:t>
            </w:r>
          </w:p>
        </w:tc>
        <w:tc>
          <w:tcPr>
            <w:tcW w:w="504" w:type="pct"/>
            <w:tcBorders>
              <w:top w:val="single" w:sz="8" w:space="0" w:color="8EA9DB"/>
              <w:left w:val="nil"/>
              <w:bottom w:val="single" w:sz="8" w:space="0" w:color="8EA9DB"/>
              <w:right w:val="nil"/>
            </w:tcBorders>
            <w:shd w:val="clear" w:color="000000" w:fill="FFFFFF"/>
            <w:noWrap/>
            <w:vAlign w:val="center"/>
            <w:hideMark/>
          </w:tcPr>
          <w:p w14:paraId="12DD4448" w14:textId="77777777" w:rsidR="001D7588" w:rsidRPr="00087F48" w:rsidRDefault="001D7588" w:rsidP="00446A14">
            <w:pPr>
              <w:spacing w:after="0" w:line="240" w:lineRule="auto"/>
              <w:jc w:val="center"/>
              <w:rPr>
                <w:rFonts w:ascii="Arial" w:hAnsi="Arial" w:cs="Arial"/>
                <w:b/>
                <w:bCs/>
                <w:color w:val="2F75B5"/>
                <w:sz w:val="16"/>
                <w:szCs w:val="18"/>
                <w:lang w:eastAsia="pt-BR"/>
              </w:rPr>
            </w:pPr>
            <w:r w:rsidRPr="00087F48">
              <w:rPr>
                <w:rFonts w:ascii="Arial" w:hAnsi="Arial" w:cs="Arial"/>
                <w:b/>
                <w:bCs/>
                <w:color w:val="2F75B5"/>
                <w:sz w:val="16"/>
                <w:szCs w:val="18"/>
                <w:lang w:eastAsia="pt-BR"/>
              </w:rPr>
              <w:t>2021</w:t>
            </w:r>
          </w:p>
        </w:tc>
        <w:tc>
          <w:tcPr>
            <w:tcW w:w="492" w:type="pct"/>
            <w:tcBorders>
              <w:top w:val="single" w:sz="8" w:space="0" w:color="9BC2E6"/>
              <w:left w:val="nil"/>
              <w:bottom w:val="single" w:sz="8" w:space="0" w:color="9BC2E6"/>
              <w:right w:val="nil"/>
            </w:tcBorders>
            <w:shd w:val="clear" w:color="000000" w:fill="FFFFFF"/>
            <w:vAlign w:val="center"/>
            <w:hideMark/>
          </w:tcPr>
          <w:p w14:paraId="4D913501" w14:textId="77777777" w:rsidR="001D7588" w:rsidRPr="00087F48" w:rsidRDefault="001D7588" w:rsidP="00446A14">
            <w:pPr>
              <w:spacing w:after="0" w:line="240" w:lineRule="auto"/>
              <w:jc w:val="center"/>
              <w:rPr>
                <w:rFonts w:ascii="Arial" w:hAnsi="Arial" w:cs="Arial"/>
                <w:b/>
                <w:bCs/>
                <w:color w:val="2F75B5"/>
                <w:sz w:val="16"/>
                <w:szCs w:val="18"/>
                <w:lang w:eastAsia="pt-BR"/>
              </w:rPr>
            </w:pPr>
            <w:r w:rsidRPr="00087F48">
              <w:rPr>
                <w:rFonts w:ascii="Arial" w:hAnsi="Arial" w:cs="Arial"/>
                <w:b/>
                <w:bCs/>
                <w:color w:val="2F75B5"/>
                <w:sz w:val="16"/>
                <w:szCs w:val="18"/>
                <w:lang w:eastAsia="pt-BR"/>
              </w:rPr>
              <w:t>Δ 2023 X 2022</w:t>
            </w:r>
          </w:p>
        </w:tc>
        <w:tc>
          <w:tcPr>
            <w:tcW w:w="492" w:type="pct"/>
            <w:tcBorders>
              <w:top w:val="single" w:sz="8" w:space="0" w:color="9BC2E6"/>
              <w:left w:val="nil"/>
              <w:bottom w:val="single" w:sz="8" w:space="0" w:color="9BC2E6"/>
              <w:right w:val="nil"/>
            </w:tcBorders>
            <w:shd w:val="clear" w:color="000000" w:fill="FFFFFF"/>
            <w:vAlign w:val="center"/>
            <w:hideMark/>
          </w:tcPr>
          <w:p w14:paraId="56AB3FB4" w14:textId="77777777" w:rsidR="001D7588" w:rsidRPr="00087F48" w:rsidRDefault="001D7588" w:rsidP="00446A14">
            <w:pPr>
              <w:spacing w:after="0" w:line="240" w:lineRule="auto"/>
              <w:jc w:val="center"/>
              <w:rPr>
                <w:rFonts w:ascii="Arial" w:hAnsi="Arial" w:cs="Arial"/>
                <w:b/>
                <w:bCs/>
                <w:color w:val="2F75B5"/>
                <w:sz w:val="16"/>
                <w:szCs w:val="18"/>
                <w:lang w:eastAsia="pt-BR"/>
              </w:rPr>
            </w:pPr>
            <w:r w:rsidRPr="00087F48">
              <w:rPr>
                <w:rFonts w:ascii="Arial" w:hAnsi="Arial" w:cs="Arial"/>
                <w:b/>
                <w:bCs/>
                <w:color w:val="2F75B5"/>
                <w:sz w:val="16"/>
                <w:szCs w:val="18"/>
                <w:lang w:eastAsia="pt-BR"/>
              </w:rPr>
              <w:t>Δ 2023 X 2021</w:t>
            </w:r>
          </w:p>
        </w:tc>
      </w:tr>
      <w:tr w:rsidR="001D7588" w:rsidRPr="00393495" w14:paraId="7176F873" w14:textId="77777777" w:rsidTr="00446A14">
        <w:trPr>
          <w:trHeight w:val="238"/>
        </w:trPr>
        <w:tc>
          <w:tcPr>
            <w:tcW w:w="2506" w:type="pct"/>
            <w:tcBorders>
              <w:top w:val="nil"/>
              <w:left w:val="nil"/>
              <w:bottom w:val="nil"/>
              <w:right w:val="nil"/>
            </w:tcBorders>
            <w:shd w:val="clear" w:color="auto" w:fill="auto"/>
            <w:noWrap/>
            <w:vAlign w:val="center"/>
            <w:hideMark/>
          </w:tcPr>
          <w:p w14:paraId="5DB9DCE3" w14:textId="77777777" w:rsidR="001D7588" w:rsidRPr="00087F48" w:rsidRDefault="001D7588" w:rsidP="00446A14">
            <w:pPr>
              <w:spacing w:after="0" w:line="240" w:lineRule="auto"/>
              <w:rPr>
                <w:rFonts w:ascii="Arial" w:hAnsi="Arial" w:cs="Arial"/>
                <w:b/>
                <w:bCs/>
                <w:color w:val="000000"/>
                <w:sz w:val="16"/>
                <w:szCs w:val="17"/>
                <w:lang w:eastAsia="pt-BR"/>
              </w:rPr>
            </w:pPr>
            <w:r w:rsidRPr="00087F48">
              <w:rPr>
                <w:rFonts w:ascii="Arial" w:hAnsi="Arial" w:cs="Arial"/>
                <w:b/>
                <w:bCs/>
                <w:color w:val="000000"/>
                <w:sz w:val="16"/>
                <w:szCs w:val="17"/>
                <w:lang w:eastAsia="pt-BR"/>
              </w:rPr>
              <w:t>Outras Receitas Operacionais</w:t>
            </w:r>
          </w:p>
        </w:tc>
        <w:tc>
          <w:tcPr>
            <w:tcW w:w="504" w:type="pct"/>
            <w:tcBorders>
              <w:top w:val="nil"/>
              <w:left w:val="nil"/>
              <w:bottom w:val="nil"/>
              <w:right w:val="nil"/>
            </w:tcBorders>
            <w:shd w:val="clear" w:color="auto" w:fill="auto"/>
            <w:noWrap/>
            <w:vAlign w:val="center"/>
            <w:hideMark/>
          </w:tcPr>
          <w:p w14:paraId="3E5BDD90" w14:textId="77777777" w:rsidR="001D7588" w:rsidRPr="00087F48" w:rsidRDefault="001D7588" w:rsidP="00446A14">
            <w:pPr>
              <w:spacing w:after="0" w:line="240" w:lineRule="auto"/>
              <w:rPr>
                <w:rFonts w:ascii="Arial" w:hAnsi="Arial" w:cs="Arial"/>
                <w:b/>
                <w:bCs/>
                <w:color w:val="000000"/>
                <w:sz w:val="16"/>
                <w:szCs w:val="17"/>
                <w:lang w:eastAsia="pt-BR"/>
              </w:rPr>
            </w:pPr>
          </w:p>
        </w:tc>
        <w:tc>
          <w:tcPr>
            <w:tcW w:w="504" w:type="pct"/>
            <w:tcBorders>
              <w:top w:val="nil"/>
              <w:left w:val="nil"/>
              <w:bottom w:val="nil"/>
              <w:right w:val="nil"/>
            </w:tcBorders>
            <w:shd w:val="clear" w:color="auto" w:fill="auto"/>
            <w:noWrap/>
            <w:vAlign w:val="center"/>
            <w:hideMark/>
          </w:tcPr>
          <w:p w14:paraId="654FB9C6" w14:textId="77777777" w:rsidR="001D7588" w:rsidRPr="00087F48" w:rsidRDefault="001D7588" w:rsidP="00446A14">
            <w:pPr>
              <w:spacing w:after="0" w:line="240" w:lineRule="auto"/>
              <w:jc w:val="right"/>
              <w:rPr>
                <w:rFonts w:ascii="Arial" w:hAnsi="Arial" w:cs="Arial"/>
                <w:sz w:val="16"/>
                <w:szCs w:val="20"/>
                <w:lang w:eastAsia="pt-BR"/>
              </w:rPr>
            </w:pPr>
          </w:p>
        </w:tc>
        <w:tc>
          <w:tcPr>
            <w:tcW w:w="504" w:type="pct"/>
            <w:tcBorders>
              <w:top w:val="nil"/>
              <w:left w:val="nil"/>
              <w:bottom w:val="nil"/>
              <w:right w:val="nil"/>
            </w:tcBorders>
            <w:shd w:val="clear" w:color="auto" w:fill="auto"/>
            <w:noWrap/>
            <w:vAlign w:val="center"/>
            <w:hideMark/>
          </w:tcPr>
          <w:p w14:paraId="3E96C050" w14:textId="77777777" w:rsidR="001D7588" w:rsidRPr="00087F48" w:rsidRDefault="001D7588" w:rsidP="00446A14">
            <w:pPr>
              <w:spacing w:after="0" w:line="240" w:lineRule="auto"/>
              <w:jc w:val="right"/>
              <w:rPr>
                <w:rFonts w:ascii="Arial" w:hAnsi="Arial" w:cs="Arial"/>
                <w:sz w:val="16"/>
                <w:szCs w:val="20"/>
                <w:lang w:eastAsia="pt-BR"/>
              </w:rPr>
            </w:pPr>
          </w:p>
        </w:tc>
        <w:tc>
          <w:tcPr>
            <w:tcW w:w="492" w:type="pct"/>
            <w:tcBorders>
              <w:top w:val="nil"/>
              <w:left w:val="nil"/>
              <w:bottom w:val="nil"/>
              <w:right w:val="nil"/>
            </w:tcBorders>
            <w:shd w:val="clear" w:color="auto" w:fill="auto"/>
            <w:noWrap/>
            <w:vAlign w:val="center"/>
            <w:hideMark/>
          </w:tcPr>
          <w:p w14:paraId="385C9FAB"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w:t>
            </w:r>
          </w:p>
        </w:tc>
        <w:tc>
          <w:tcPr>
            <w:tcW w:w="492" w:type="pct"/>
            <w:tcBorders>
              <w:top w:val="nil"/>
              <w:left w:val="nil"/>
              <w:bottom w:val="nil"/>
              <w:right w:val="nil"/>
            </w:tcBorders>
            <w:shd w:val="clear" w:color="auto" w:fill="auto"/>
            <w:noWrap/>
            <w:vAlign w:val="center"/>
            <w:hideMark/>
          </w:tcPr>
          <w:p w14:paraId="54663E75"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w:t>
            </w:r>
          </w:p>
        </w:tc>
      </w:tr>
      <w:tr w:rsidR="001D7588" w:rsidRPr="00393495" w14:paraId="7795B95D" w14:textId="77777777" w:rsidTr="00446A14">
        <w:trPr>
          <w:trHeight w:val="238"/>
        </w:trPr>
        <w:tc>
          <w:tcPr>
            <w:tcW w:w="2506" w:type="pct"/>
            <w:tcBorders>
              <w:top w:val="nil"/>
              <w:left w:val="nil"/>
              <w:bottom w:val="nil"/>
              <w:right w:val="nil"/>
            </w:tcBorders>
            <w:shd w:val="clear" w:color="auto" w:fill="auto"/>
            <w:noWrap/>
            <w:vAlign w:val="center"/>
            <w:hideMark/>
          </w:tcPr>
          <w:p w14:paraId="7C264DD5" w14:textId="77777777" w:rsidR="001D7588" w:rsidRPr="00087F48" w:rsidRDefault="001D7588" w:rsidP="00446A14">
            <w:pPr>
              <w:spacing w:after="0" w:line="240" w:lineRule="auto"/>
              <w:rPr>
                <w:rFonts w:ascii="Arial" w:hAnsi="Arial" w:cs="Arial"/>
                <w:color w:val="000000"/>
                <w:sz w:val="16"/>
                <w:szCs w:val="17"/>
                <w:lang w:eastAsia="pt-BR"/>
              </w:rPr>
            </w:pPr>
            <w:r w:rsidRPr="00087F48">
              <w:rPr>
                <w:rFonts w:ascii="Arial" w:hAnsi="Arial" w:cs="Arial"/>
                <w:color w:val="000000"/>
                <w:sz w:val="16"/>
                <w:szCs w:val="17"/>
                <w:lang w:eastAsia="pt-BR"/>
              </w:rPr>
              <w:t>Subvenções Recebidas (i)</w:t>
            </w:r>
          </w:p>
        </w:tc>
        <w:tc>
          <w:tcPr>
            <w:tcW w:w="504" w:type="pct"/>
            <w:tcBorders>
              <w:top w:val="nil"/>
              <w:left w:val="nil"/>
              <w:bottom w:val="nil"/>
              <w:right w:val="nil"/>
            </w:tcBorders>
            <w:shd w:val="clear" w:color="auto" w:fill="auto"/>
            <w:noWrap/>
            <w:vAlign w:val="center"/>
            <w:hideMark/>
          </w:tcPr>
          <w:p w14:paraId="6484E088"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240.187 </w:t>
            </w:r>
          </w:p>
        </w:tc>
        <w:tc>
          <w:tcPr>
            <w:tcW w:w="504" w:type="pct"/>
            <w:tcBorders>
              <w:top w:val="nil"/>
              <w:left w:val="nil"/>
              <w:bottom w:val="nil"/>
              <w:right w:val="nil"/>
            </w:tcBorders>
            <w:shd w:val="clear" w:color="auto" w:fill="auto"/>
            <w:noWrap/>
            <w:vAlign w:val="center"/>
            <w:hideMark/>
          </w:tcPr>
          <w:p w14:paraId="58A6C0DC"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241.525 </w:t>
            </w:r>
          </w:p>
        </w:tc>
        <w:tc>
          <w:tcPr>
            <w:tcW w:w="504" w:type="pct"/>
            <w:tcBorders>
              <w:top w:val="nil"/>
              <w:left w:val="nil"/>
              <w:bottom w:val="nil"/>
              <w:right w:val="nil"/>
            </w:tcBorders>
            <w:shd w:val="clear" w:color="auto" w:fill="auto"/>
            <w:noWrap/>
            <w:vAlign w:val="center"/>
            <w:hideMark/>
          </w:tcPr>
          <w:p w14:paraId="104190A4"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216.554 </w:t>
            </w:r>
          </w:p>
        </w:tc>
        <w:tc>
          <w:tcPr>
            <w:tcW w:w="492" w:type="pct"/>
            <w:tcBorders>
              <w:top w:val="nil"/>
              <w:left w:val="nil"/>
              <w:bottom w:val="nil"/>
              <w:right w:val="nil"/>
            </w:tcBorders>
            <w:shd w:val="clear" w:color="auto" w:fill="auto"/>
            <w:noWrap/>
            <w:vAlign w:val="center"/>
            <w:hideMark/>
          </w:tcPr>
          <w:p w14:paraId="3E569974"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-0,6%</w:t>
            </w:r>
          </w:p>
        </w:tc>
        <w:tc>
          <w:tcPr>
            <w:tcW w:w="492" w:type="pct"/>
            <w:tcBorders>
              <w:top w:val="nil"/>
              <w:left w:val="nil"/>
              <w:bottom w:val="nil"/>
              <w:right w:val="nil"/>
            </w:tcBorders>
            <w:shd w:val="clear" w:color="auto" w:fill="auto"/>
            <w:noWrap/>
            <w:vAlign w:val="center"/>
            <w:hideMark/>
          </w:tcPr>
          <w:p w14:paraId="1B49C19F"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10,9%</w:t>
            </w:r>
          </w:p>
        </w:tc>
      </w:tr>
      <w:tr w:rsidR="001D7588" w:rsidRPr="00393495" w14:paraId="57F05F9D" w14:textId="77777777" w:rsidTr="00446A14">
        <w:trPr>
          <w:trHeight w:val="238"/>
        </w:trPr>
        <w:tc>
          <w:tcPr>
            <w:tcW w:w="2506" w:type="pct"/>
            <w:tcBorders>
              <w:top w:val="nil"/>
              <w:left w:val="nil"/>
              <w:bottom w:val="nil"/>
              <w:right w:val="nil"/>
            </w:tcBorders>
            <w:shd w:val="clear" w:color="auto" w:fill="auto"/>
            <w:noWrap/>
            <w:vAlign w:val="center"/>
            <w:hideMark/>
          </w:tcPr>
          <w:p w14:paraId="45F5255D" w14:textId="77777777" w:rsidR="001D7588" w:rsidRPr="00087F48" w:rsidRDefault="001D7588" w:rsidP="00446A14">
            <w:pPr>
              <w:spacing w:after="0" w:line="240" w:lineRule="auto"/>
              <w:rPr>
                <w:rFonts w:ascii="Arial" w:hAnsi="Arial" w:cs="Arial"/>
                <w:color w:val="000000"/>
                <w:sz w:val="16"/>
                <w:szCs w:val="17"/>
                <w:lang w:eastAsia="pt-BR"/>
              </w:rPr>
            </w:pPr>
            <w:r w:rsidRPr="00087F48">
              <w:rPr>
                <w:rFonts w:ascii="Arial" w:hAnsi="Arial" w:cs="Arial"/>
                <w:color w:val="000000"/>
                <w:sz w:val="16"/>
                <w:szCs w:val="17"/>
                <w:lang w:eastAsia="pt-BR"/>
              </w:rPr>
              <w:t>Fundo de Previdência Privada Fechado (</w:t>
            </w:r>
            <w:proofErr w:type="spellStart"/>
            <w:r w:rsidRPr="00087F48">
              <w:rPr>
                <w:rFonts w:ascii="Arial" w:hAnsi="Arial" w:cs="Arial"/>
                <w:color w:val="000000"/>
                <w:sz w:val="16"/>
                <w:szCs w:val="17"/>
                <w:lang w:eastAsia="pt-BR"/>
              </w:rPr>
              <w:t>ii</w:t>
            </w:r>
            <w:proofErr w:type="spellEnd"/>
            <w:r w:rsidRPr="00087F48">
              <w:rPr>
                <w:rFonts w:ascii="Arial" w:hAnsi="Arial" w:cs="Arial"/>
                <w:color w:val="000000"/>
                <w:sz w:val="16"/>
                <w:szCs w:val="17"/>
                <w:lang w:eastAsia="pt-BR"/>
              </w:rPr>
              <w:t>)</w:t>
            </w:r>
          </w:p>
        </w:tc>
        <w:tc>
          <w:tcPr>
            <w:tcW w:w="504" w:type="pct"/>
            <w:tcBorders>
              <w:top w:val="nil"/>
              <w:left w:val="nil"/>
              <w:bottom w:val="nil"/>
              <w:right w:val="nil"/>
            </w:tcBorders>
            <w:shd w:val="clear" w:color="auto" w:fill="auto"/>
            <w:noWrap/>
            <w:vAlign w:val="center"/>
            <w:hideMark/>
          </w:tcPr>
          <w:p w14:paraId="68A72EEF"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33.912 </w:t>
            </w:r>
          </w:p>
        </w:tc>
        <w:tc>
          <w:tcPr>
            <w:tcW w:w="504" w:type="pct"/>
            <w:tcBorders>
              <w:top w:val="nil"/>
              <w:left w:val="nil"/>
              <w:bottom w:val="nil"/>
              <w:right w:val="nil"/>
            </w:tcBorders>
            <w:shd w:val="clear" w:color="auto" w:fill="auto"/>
            <w:noWrap/>
            <w:vAlign w:val="center"/>
            <w:hideMark/>
          </w:tcPr>
          <w:p w14:paraId="70C071F8"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   </w:t>
            </w:r>
          </w:p>
        </w:tc>
        <w:tc>
          <w:tcPr>
            <w:tcW w:w="504" w:type="pct"/>
            <w:tcBorders>
              <w:top w:val="nil"/>
              <w:left w:val="nil"/>
              <w:bottom w:val="nil"/>
              <w:right w:val="nil"/>
            </w:tcBorders>
            <w:shd w:val="clear" w:color="auto" w:fill="auto"/>
            <w:noWrap/>
            <w:vAlign w:val="center"/>
            <w:hideMark/>
          </w:tcPr>
          <w:p w14:paraId="21E12D8F"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   </w:t>
            </w:r>
          </w:p>
        </w:tc>
        <w:tc>
          <w:tcPr>
            <w:tcW w:w="492" w:type="pct"/>
            <w:tcBorders>
              <w:top w:val="nil"/>
              <w:left w:val="nil"/>
              <w:bottom w:val="nil"/>
              <w:right w:val="nil"/>
            </w:tcBorders>
            <w:shd w:val="clear" w:color="auto" w:fill="auto"/>
            <w:noWrap/>
            <w:vAlign w:val="center"/>
            <w:hideMark/>
          </w:tcPr>
          <w:p w14:paraId="569D812B"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100,0%</w:t>
            </w:r>
          </w:p>
        </w:tc>
        <w:tc>
          <w:tcPr>
            <w:tcW w:w="492" w:type="pct"/>
            <w:tcBorders>
              <w:top w:val="nil"/>
              <w:left w:val="nil"/>
              <w:bottom w:val="nil"/>
              <w:right w:val="nil"/>
            </w:tcBorders>
            <w:shd w:val="clear" w:color="auto" w:fill="auto"/>
            <w:noWrap/>
            <w:vAlign w:val="center"/>
            <w:hideMark/>
          </w:tcPr>
          <w:p w14:paraId="73712DA1"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100,0%</w:t>
            </w:r>
          </w:p>
        </w:tc>
      </w:tr>
      <w:tr w:rsidR="001D7588" w:rsidRPr="00393495" w14:paraId="697D76D6" w14:textId="77777777" w:rsidTr="00446A14">
        <w:trPr>
          <w:trHeight w:val="238"/>
        </w:trPr>
        <w:tc>
          <w:tcPr>
            <w:tcW w:w="2506" w:type="pct"/>
            <w:tcBorders>
              <w:top w:val="nil"/>
              <w:left w:val="nil"/>
              <w:bottom w:val="nil"/>
              <w:right w:val="nil"/>
            </w:tcBorders>
            <w:shd w:val="clear" w:color="auto" w:fill="auto"/>
            <w:noWrap/>
            <w:vAlign w:val="center"/>
            <w:hideMark/>
          </w:tcPr>
          <w:p w14:paraId="3B90FA0E" w14:textId="77777777" w:rsidR="001D7588" w:rsidRPr="00087F48" w:rsidRDefault="001D7588" w:rsidP="00446A14">
            <w:pPr>
              <w:spacing w:after="0" w:line="240" w:lineRule="auto"/>
              <w:rPr>
                <w:rFonts w:ascii="Arial" w:hAnsi="Arial" w:cs="Arial"/>
                <w:color w:val="000000"/>
                <w:sz w:val="16"/>
                <w:szCs w:val="17"/>
                <w:lang w:eastAsia="pt-BR"/>
              </w:rPr>
            </w:pPr>
            <w:r w:rsidRPr="00087F48">
              <w:rPr>
                <w:rFonts w:ascii="Arial" w:hAnsi="Arial" w:cs="Arial"/>
                <w:color w:val="000000"/>
                <w:sz w:val="16"/>
                <w:szCs w:val="17"/>
                <w:lang w:eastAsia="pt-BR"/>
              </w:rPr>
              <w:t xml:space="preserve">Recuperação de Tributos </w:t>
            </w:r>
          </w:p>
        </w:tc>
        <w:tc>
          <w:tcPr>
            <w:tcW w:w="504" w:type="pct"/>
            <w:tcBorders>
              <w:top w:val="nil"/>
              <w:left w:val="nil"/>
              <w:bottom w:val="nil"/>
              <w:right w:val="nil"/>
            </w:tcBorders>
            <w:shd w:val="clear" w:color="auto" w:fill="auto"/>
            <w:noWrap/>
            <w:vAlign w:val="center"/>
            <w:hideMark/>
          </w:tcPr>
          <w:p w14:paraId="43D5B3C4"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9.450 </w:t>
            </w:r>
          </w:p>
        </w:tc>
        <w:tc>
          <w:tcPr>
            <w:tcW w:w="504" w:type="pct"/>
            <w:tcBorders>
              <w:top w:val="nil"/>
              <w:left w:val="nil"/>
              <w:bottom w:val="nil"/>
              <w:right w:val="nil"/>
            </w:tcBorders>
            <w:shd w:val="clear" w:color="auto" w:fill="auto"/>
            <w:noWrap/>
            <w:vAlign w:val="center"/>
            <w:hideMark/>
          </w:tcPr>
          <w:p w14:paraId="785E4762"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3.041 </w:t>
            </w:r>
          </w:p>
        </w:tc>
        <w:tc>
          <w:tcPr>
            <w:tcW w:w="504" w:type="pct"/>
            <w:tcBorders>
              <w:top w:val="nil"/>
              <w:left w:val="nil"/>
              <w:bottom w:val="nil"/>
              <w:right w:val="nil"/>
            </w:tcBorders>
            <w:shd w:val="clear" w:color="auto" w:fill="auto"/>
            <w:noWrap/>
            <w:vAlign w:val="center"/>
            <w:hideMark/>
          </w:tcPr>
          <w:p w14:paraId="53E56AFE"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9.087 </w:t>
            </w:r>
          </w:p>
        </w:tc>
        <w:tc>
          <w:tcPr>
            <w:tcW w:w="492" w:type="pct"/>
            <w:tcBorders>
              <w:top w:val="nil"/>
              <w:left w:val="nil"/>
              <w:bottom w:val="nil"/>
              <w:right w:val="nil"/>
            </w:tcBorders>
            <w:shd w:val="clear" w:color="auto" w:fill="auto"/>
            <w:noWrap/>
            <w:vAlign w:val="center"/>
            <w:hideMark/>
          </w:tcPr>
          <w:p w14:paraId="23467DCC"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210,8%</w:t>
            </w:r>
          </w:p>
        </w:tc>
        <w:tc>
          <w:tcPr>
            <w:tcW w:w="492" w:type="pct"/>
            <w:tcBorders>
              <w:top w:val="nil"/>
              <w:left w:val="nil"/>
              <w:bottom w:val="nil"/>
              <w:right w:val="nil"/>
            </w:tcBorders>
            <w:shd w:val="clear" w:color="auto" w:fill="auto"/>
            <w:noWrap/>
            <w:vAlign w:val="center"/>
            <w:hideMark/>
          </w:tcPr>
          <w:p w14:paraId="6254C7AF"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4,0%</w:t>
            </w:r>
          </w:p>
        </w:tc>
      </w:tr>
      <w:tr w:rsidR="001D7588" w:rsidRPr="00393495" w14:paraId="7651D708" w14:textId="77777777" w:rsidTr="00446A14">
        <w:trPr>
          <w:trHeight w:val="238"/>
        </w:trPr>
        <w:tc>
          <w:tcPr>
            <w:tcW w:w="2506" w:type="pct"/>
            <w:tcBorders>
              <w:top w:val="nil"/>
              <w:left w:val="nil"/>
              <w:bottom w:val="nil"/>
              <w:right w:val="nil"/>
            </w:tcBorders>
            <w:shd w:val="clear" w:color="auto" w:fill="auto"/>
            <w:noWrap/>
            <w:vAlign w:val="center"/>
            <w:hideMark/>
          </w:tcPr>
          <w:p w14:paraId="0D44F006" w14:textId="77777777" w:rsidR="001D7588" w:rsidRPr="00087F48" w:rsidRDefault="001D7588" w:rsidP="00446A14">
            <w:pPr>
              <w:spacing w:after="0" w:line="240" w:lineRule="auto"/>
              <w:rPr>
                <w:rFonts w:ascii="Arial" w:hAnsi="Arial" w:cs="Arial"/>
                <w:color w:val="000000"/>
                <w:sz w:val="16"/>
                <w:szCs w:val="17"/>
                <w:lang w:eastAsia="pt-BR"/>
              </w:rPr>
            </w:pPr>
            <w:r w:rsidRPr="00087F48">
              <w:rPr>
                <w:rFonts w:ascii="Arial" w:hAnsi="Arial" w:cs="Arial"/>
                <w:color w:val="000000"/>
                <w:sz w:val="16"/>
                <w:szCs w:val="17"/>
                <w:lang w:eastAsia="pt-BR"/>
              </w:rPr>
              <w:t xml:space="preserve">Rever. de Prov. p/ Riscos Trab., Cíveis, </w:t>
            </w:r>
            <w:proofErr w:type="gramStart"/>
            <w:r w:rsidRPr="00087F48">
              <w:rPr>
                <w:rFonts w:ascii="Arial" w:hAnsi="Arial" w:cs="Arial"/>
                <w:color w:val="000000"/>
                <w:sz w:val="16"/>
                <w:szCs w:val="17"/>
                <w:lang w:eastAsia="pt-BR"/>
              </w:rPr>
              <w:t>Fiscais</w:t>
            </w:r>
            <w:proofErr w:type="gramEnd"/>
          </w:p>
        </w:tc>
        <w:tc>
          <w:tcPr>
            <w:tcW w:w="504" w:type="pct"/>
            <w:tcBorders>
              <w:top w:val="nil"/>
              <w:left w:val="nil"/>
              <w:bottom w:val="nil"/>
              <w:right w:val="nil"/>
            </w:tcBorders>
            <w:shd w:val="clear" w:color="auto" w:fill="auto"/>
            <w:noWrap/>
            <w:vAlign w:val="center"/>
            <w:hideMark/>
          </w:tcPr>
          <w:p w14:paraId="28B8C875"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9.213 </w:t>
            </w:r>
          </w:p>
        </w:tc>
        <w:tc>
          <w:tcPr>
            <w:tcW w:w="504" w:type="pct"/>
            <w:tcBorders>
              <w:top w:val="nil"/>
              <w:left w:val="nil"/>
              <w:bottom w:val="nil"/>
              <w:right w:val="nil"/>
            </w:tcBorders>
            <w:shd w:val="clear" w:color="auto" w:fill="auto"/>
            <w:noWrap/>
            <w:vAlign w:val="center"/>
            <w:hideMark/>
          </w:tcPr>
          <w:p w14:paraId="53EF05C5"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8.550 </w:t>
            </w:r>
          </w:p>
        </w:tc>
        <w:tc>
          <w:tcPr>
            <w:tcW w:w="504" w:type="pct"/>
            <w:tcBorders>
              <w:top w:val="nil"/>
              <w:left w:val="nil"/>
              <w:bottom w:val="nil"/>
              <w:right w:val="nil"/>
            </w:tcBorders>
            <w:shd w:val="clear" w:color="auto" w:fill="auto"/>
            <w:noWrap/>
            <w:vAlign w:val="center"/>
            <w:hideMark/>
          </w:tcPr>
          <w:p w14:paraId="13BD4B88"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360 </w:t>
            </w:r>
          </w:p>
        </w:tc>
        <w:tc>
          <w:tcPr>
            <w:tcW w:w="492" w:type="pct"/>
            <w:tcBorders>
              <w:top w:val="nil"/>
              <w:left w:val="nil"/>
              <w:bottom w:val="nil"/>
              <w:right w:val="nil"/>
            </w:tcBorders>
            <w:shd w:val="clear" w:color="auto" w:fill="auto"/>
            <w:noWrap/>
            <w:vAlign w:val="center"/>
            <w:hideMark/>
          </w:tcPr>
          <w:p w14:paraId="600768A3"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7,8%</w:t>
            </w:r>
          </w:p>
        </w:tc>
        <w:tc>
          <w:tcPr>
            <w:tcW w:w="492" w:type="pct"/>
            <w:tcBorders>
              <w:top w:val="nil"/>
              <w:left w:val="nil"/>
              <w:bottom w:val="nil"/>
              <w:right w:val="nil"/>
            </w:tcBorders>
            <w:shd w:val="clear" w:color="auto" w:fill="auto"/>
            <w:noWrap/>
            <w:vAlign w:val="center"/>
            <w:hideMark/>
          </w:tcPr>
          <w:p w14:paraId="174612F4"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2459,2%</w:t>
            </w:r>
          </w:p>
        </w:tc>
      </w:tr>
      <w:tr w:rsidR="001D7588" w:rsidRPr="00393495" w14:paraId="56F0FC9F" w14:textId="77777777" w:rsidTr="00446A14">
        <w:trPr>
          <w:trHeight w:val="238"/>
        </w:trPr>
        <w:tc>
          <w:tcPr>
            <w:tcW w:w="2506" w:type="pct"/>
            <w:tcBorders>
              <w:top w:val="nil"/>
              <w:left w:val="nil"/>
              <w:bottom w:val="nil"/>
              <w:right w:val="nil"/>
            </w:tcBorders>
            <w:shd w:val="clear" w:color="auto" w:fill="auto"/>
            <w:noWrap/>
            <w:vAlign w:val="center"/>
            <w:hideMark/>
          </w:tcPr>
          <w:p w14:paraId="3CB3372E" w14:textId="77777777" w:rsidR="001D7588" w:rsidRPr="00087F48" w:rsidRDefault="001D7588" w:rsidP="00446A14">
            <w:pPr>
              <w:spacing w:after="0" w:line="240" w:lineRule="auto"/>
              <w:rPr>
                <w:rFonts w:ascii="Arial" w:hAnsi="Arial" w:cs="Arial"/>
                <w:color w:val="000000"/>
                <w:sz w:val="16"/>
                <w:szCs w:val="17"/>
                <w:lang w:eastAsia="pt-BR"/>
              </w:rPr>
            </w:pPr>
            <w:r w:rsidRPr="00087F48">
              <w:rPr>
                <w:rFonts w:ascii="Arial" w:hAnsi="Arial" w:cs="Arial"/>
                <w:color w:val="000000"/>
                <w:sz w:val="16"/>
                <w:szCs w:val="17"/>
                <w:lang w:eastAsia="pt-BR"/>
              </w:rPr>
              <w:t>Ganhos sobre o Passivo (</w:t>
            </w:r>
            <w:proofErr w:type="spellStart"/>
            <w:r w:rsidRPr="00087F48">
              <w:rPr>
                <w:rFonts w:ascii="Arial" w:hAnsi="Arial" w:cs="Arial"/>
                <w:color w:val="000000"/>
                <w:sz w:val="16"/>
                <w:szCs w:val="17"/>
                <w:lang w:eastAsia="pt-BR"/>
              </w:rPr>
              <w:t>iii</w:t>
            </w:r>
            <w:proofErr w:type="spellEnd"/>
            <w:r w:rsidRPr="00087F48">
              <w:rPr>
                <w:rFonts w:ascii="Arial" w:hAnsi="Arial" w:cs="Arial"/>
                <w:color w:val="000000"/>
                <w:sz w:val="16"/>
                <w:szCs w:val="17"/>
                <w:lang w:eastAsia="pt-BR"/>
              </w:rPr>
              <w:t>)</w:t>
            </w:r>
          </w:p>
        </w:tc>
        <w:tc>
          <w:tcPr>
            <w:tcW w:w="504" w:type="pct"/>
            <w:tcBorders>
              <w:top w:val="nil"/>
              <w:left w:val="nil"/>
              <w:bottom w:val="nil"/>
              <w:right w:val="nil"/>
            </w:tcBorders>
            <w:shd w:val="clear" w:color="auto" w:fill="auto"/>
            <w:noWrap/>
            <w:vAlign w:val="center"/>
            <w:hideMark/>
          </w:tcPr>
          <w:p w14:paraId="4258C17E"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417 </w:t>
            </w:r>
          </w:p>
        </w:tc>
        <w:tc>
          <w:tcPr>
            <w:tcW w:w="504" w:type="pct"/>
            <w:tcBorders>
              <w:top w:val="nil"/>
              <w:left w:val="nil"/>
              <w:bottom w:val="nil"/>
              <w:right w:val="nil"/>
            </w:tcBorders>
            <w:shd w:val="clear" w:color="auto" w:fill="auto"/>
            <w:noWrap/>
            <w:vAlign w:val="center"/>
            <w:hideMark/>
          </w:tcPr>
          <w:p w14:paraId="6203DA2F"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474 </w:t>
            </w:r>
          </w:p>
        </w:tc>
        <w:tc>
          <w:tcPr>
            <w:tcW w:w="504" w:type="pct"/>
            <w:tcBorders>
              <w:top w:val="nil"/>
              <w:left w:val="nil"/>
              <w:bottom w:val="nil"/>
              <w:right w:val="nil"/>
            </w:tcBorders>
            <w:shd w:val="clear" w:color="auto" w:fill="auto"/>
            <w:noWrap/>
            <w:vAlign w:val="center"/>
            <w:hideMark/>
          </w:tcPr>
          <w:p w14:paraId="48D62DFE"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15.501 </w:t>
            </w:r>
          </w:p>
        </w:tc>
        <w:tc>
          <w:tcPr>
            <w:tcW w:w="492" w:type="pct"/>
            <w:tcBorders>
              <w:top w:val="nil"/>
              <w:left w:val="nil"/>
              <w:bottom w:val="nil"/>
              <w:right w:val="nil"/>
            </w:tcBorders>
            <w:shd w:val="clear" w:color="auto" w:fill="auto"/>
            <w:noWrap/>
            <w:vAlign w:val="center"/>
            <w:hideMark/>
          </w:tcPr>
          <w:p w14:paraId="5BAF38D9"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-12,0%</w:t>
            </w:r>
          </w:p>
        </w:tc>
        <w:tc>
          <w:tcPr>
            <w:tcW w:w="492" w:type="pct"/>
            <w:tcBorders>
              <w:top w:val="nil"/>
              <w:left w:val="nil"/>
              <w:bottom w:val="nil"/>
              <w:right w:val="nil"/>
            </w:tcBorders>
            <w:shd w:val="clear" w:color="auto" w:fill="auto"/>
            <w:noWrap/>
            <w:vAlign w:val="center"/>
            <w:hideMark/>
          </w:tcPr>
          <w:p w14:paraId="6C24B2EC"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-97,3%</w:t>
            </w:r>
          </w:p>
        </w:tc>
      </w:tr>
      <w:tr w:rsidR="001D7588" w:rsidRPr="00393495" w14:paraId="0C2B9372" w14:textId="77777777" w:rsidTr="00446A14">
        <w:trPr>
          <w:trHeight w:val="238"/>
        </w:trPr>
        <w:tc>
          <w:tcPr>
            <w:tcW w:w="2506" w:type="pct"/>
            <w:tcBorders>
              <w:top w:val="nil"/>
              <w:left w:val="nil"/>
              <w:bottom w:val="nil"/>
              <w:right w:val="nil"/>
            </w:tcBorders>
            <w:shd w:val="clear" w:color="auto" w:fill="auto"/>
            <w:noWrap/>
            <w:vAlign w:val="center"/>
            <w:hideMark/>
          </w:tcPr>
          <w:p w14:paraId="76184762" w14:textId="77777777" w:rsidR="001D7588" w:rsidRPr="00087F48" w:rsidRDefault="001D7588" w:rsidP="00446A14">
            <w:pPr>
              <w:spacing w:after="0" w:line="240" w:lineRule="auto"/>
              <w:rPr>
                <w:rFonts w:ascii="Arial" w:hAnsi="Arial" w:cs="Arial"/>
                <w:color w:val="000000"/>
                <w:sz w:val="16"/>
                <w:szCs w:val="17"/>
                <w:lang w:eastAsia="pt-BR"/>
              </w:rPr>
            </w:pPr>
            <w:r w:rsidRPr="00087F48">
              <w:rPr>
                <w:rFonts w:ascii="Arial" w:hAnsi="Arial" w:cs="Arial"/>
                <w:color w:val="000000"/>
                <w:sz w:val="16"/>
                <w:szCs w:val="17"/>
                <w:lang w:eastAsia="pt-BR"/>
              </w:rPr>
              <w:t>Outras Receitas Operacionais</w:t>
            </w:r>
          </w:p>
        </w:tc>
        <w:tc>
          <w:tcPr>
            <w:tcW w:w="504" w:type="pct"/>
            <w:tcBorders>
              <w:top w:val="nil"/>
              <w:left w:val="nil"/>
              <w:bottom w:val="nil"/>
              <w:right w:val="nil"/>
            </w:tcBorders>
            <w:shd w:val="clear" w:color="auto" w:fill="auto"/>
            <w:noWrap/>
            <w:vAlign w:val="center"/>
            <w:hideMark/>
          </w:tcPr>
          <w:p w14:paraId="1C7782D3"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3.693 </w:t>
            </w:r>
          </w:p>
        </w:tc>
        <w:tc>
          <w:tcPr>
            <w:tcW w:w="504" w:type="pct"/>
            <w:tcBorders>
              <w:top w:val="nil"/>
              <w:left w:val="nil"/>
              <w:bottom w:val="nil"/>
              <w:right w:val="nil"/>
            </w:tcBorders>
            <w:shd w:val="clear" w:color="auto" w:fill="auto"/>
            <w:noWrap/>
            <w:vAlign w:val="center"/>
            <w:hideMark/>
          </w:tcPr>
          <w:p w14:paraId="2FE294D2"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1.865 </w:t>
            </w:r>
          </w:p>
        </w:tc>
        <w:tc>
          <w:tcPr>
            <w:tcW w:w="504" w:type="pct"/>
            <w:tcBorders>
              <w:top w:val="nil"/>
              <w:left w:val="nil"/>
              <w:bottom w:val="nil"/>
              <w:right w:val="nil"/>
            </w:tcBorders>
            <w:shd w:val="clear" w:color="auto" w:fill="auto"/>
            <w:noWrap/>
            <w:vAlign w:val="center"/>
            <w:hideMark/>
          </w:tcPr>
          <w:p w14:paraId="227410A9"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1.561 </w:t>
            </w:r>
          </w:p>
        </w:tc>
        <w:tc>
          <w:tcPr>
            <w:tcW w:w="492" w:type="pct"/>
            <w:tcBorders>
              <w:top w:val="nil"/>
              <w:left w:val="nil"/>
              <w:bottom w:val="nil"/>
              <w:right w:val="nil"/>
            </w:tcBorders>
            <w:shd w:val="clear" w:color="auto" w:fill="auto"/>
            <w:noWrap/>
            <w:vAlign w:val="center"/>
            <w:hideMark/>
          </w:tcPr>
          <w:p w14:paraId="59AFEB1A"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98,0%</w:t>
            </w:r>
          </w:p>
        </w:tc>
        <w:tc>
          <w:tcPr>
            <w:tcW w:w="492" w:type="pct"/>
            <w:tcBorders>
              <w:top w:val="nil"/>
              <w:left w:val="nil"/>
              <w:bottom w:val="nil"/>
              <w:right w:val="nil"/>
            </w:tcBorders>
            <w:shd w:val="clear" w:color="auto" w:fill="auto"/>
            <w:noWrap/>
            <w:vAlign w:val="center"/>
            <w:hideMark/>
          </w:tcPr>
          <w:p w14:paraId="4CDB17C4"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136,6%</w:t>
            </w:r>
          </w:p>
        </w:tc>
      </w:tr>
      <w:tr w:rsidR="001D7588" w:rsidRPr="00393495" w14:paraId="42D9072A" w14:textId="77777777" w:rsidTr="00446A14">
        <w:trPr>
          <w:trHeight w:val="238"/>
        </w:trPr>
        <w:tc>
          <w:tcPr>
            <w:tcW w:w="2506" w:type="pct"/>
            <w:tcBorders>
              <w:top w:val="single" w:sz="8" w:space="0" w:color="9BC2E6"/>
              <w:left w:val="nil"/>
              <w:bottom w:val="single" w:sz="8" w:space="0" w:color="9BC2E6"/>
              <w:right w:val="nil"/>
            </w:tcBorders>
            <w:shd w:val="clear" w:color="auto" w:fill="auto"/>
            <w:noWrap/>
            <w:vAlign w:val="center"/>
            <w:hideMark/>
          </w:tcPr>
          <w:p w14:paraId="7EC43CB3" w14:textId="77777777" w:rsidR="001D7588" w:rsidRPr="00087F48" w:rsidRDefault="001D7588" w:rsidP="00446A14">
            <w:pPr>
              <w:spacing w:after="0" w:line="240" w:lineRule="auto"/>
              <w:rPr>
                <w:rFonts w:ascii="Arial" w:hAnsi="Arial" w:cs="Arial"/>
                <w:b/>
                <w:bCs/>
                <w:color w:val="000000"/>
                <w:sz w:val="16"/>
                <w:szCs w:val="18"/>
                <w:lang w:eastAsia="pt-BR"/>
              </w:rPr>
            </w:pPr>
            <w:r w:rsidRPr="00087F48">
              <w:rPr>
                <w:rFonts w:ascii="Arial" w:hAnsi="Arial" w:cs="Arial"/>
                <w:b/>
                <w:bCs/>
                <w:color w:val="000000"/>
                <w:sz w:val="16"/>
                <w:szCs w:val="18"/>
                <w:lang w:eastAsia="pt-BR"/>
              </w:rPr>
              <w:t>Total</w:t>
            </w:r>
          </w:p>
        </w:tc>
        <w:tc>
          <w:tcPr>
            <w:tcW w:w="504" w:type="pct"/>
            <w:tcBorders>
              <w:top w:val="single" w:sz="8" w:space="0" w:color="9BC2E6"/>
              <w:left w:val="nil"/>
              <w:bottom w:val="single" w:sz="8" w:space="0" w:color="9BC2E6"/>
              <w:right w:val="nil"/>
            </w:tcBorders>
            <w:shd w:val="clear" w:color="auto" w:fill="auto"/>
            <w:noWrap/>
            <w:vAlign w:val="center"/>
            <w:hideMark/>
          </w:tcPr>
          <w:p w14:paraId="49599963" w14:textId="77777777" w:rsidR="001D7588" w:rsidRPr="00087F48" w:rsidRDefault="001D7588"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296.872 </w:t>
            </w:r>
          </w:p>
        </w:tc>
        <w:tc>
          <w:tcPr>
            <w:tcW w:w="504" w:type="pct"/>
            <w:tcBorders>
              <w:top w:val="single" w:sz="8" w:space="0" w:color="9BC2E6"/>
              <w:left w:val="nil"/>
              <w:bottom w:val="single" w:sz="8" w:space="0" w:color="9BC2E6"/>
              <w:right w:val="nil"/>
            </w:tcBorders>
            <w:shd w:val="clear" w:color="auto" w:fill="auto"/>
            <w:noWrap/>
            <w:vAlign w:val="center"/>
            <w:hideMark/>
          </w:tcPr>
          <w:p w14:paraId="0D5E3645" w14:textId="77777777" w:rsidR="001D7588" w:rsidRPr="00087F48" w:rsidRDefault="001D7588"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255.455 </w:t>
            </w:r>
          </w:p>
        </w:tc>
        <w:tc>
          <w:tcPr>
            <w:tcW w:w="504" w:type="pct"/>
            <w:tcBorders>
              <w:top w:val="single" w:sz="8" w:space="0" w:color="9BC2E6"/>
              <w:left w:val="nil"/>
              <w:bottom w:val="single" w:sz="8" w:space="0" w:color="9BC2E6"/>
              <w:right w:val="nil"/>
            </w:tcBorders>
            <w:shd w:val="clear" w:color="auto" w:fill="auto"/>
            <w:noWrap/>
            <w:vAlign w:val="center"/>
            <w:hideMark/>
          </w:tcPr>
          <w:p w14:paraId="7254BD98" w14:textId="77777777" w:rsidR="001D7588" w:rsidRPr="00087F48" w:rsidRDefault="001D7588"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243.063 </w:t>
            </w:r>
          </w:p>
        </w:tc>
        <w:tc>
          <w:tcPr>
            <w:tcW w:w="492" w:type="pct"/>
            <w:tcBorders>
              <w:top w:val="single" w:sz="8" w:space="0" w:color="9BC2E6"/>
              <w:left w:val="nil"/>
              <w:bottom w:val="single" w:sz="8" w:space="0" w:color="9BC2E6"/>
              <w:right w:val="nil"/>
            </w:tcBorders>
            <w:shd w:val="clear" w:color="auto" w:fill="auto"/>
            <w:noWrap/>
            <w:vAlign w:val="center"/>
            <w:hideMark/>
          </w:tcPr>
          <w:p w14:paraId="37FA69D4" w14:textId="77777777" w:rsidR="001D7588" w:rsidRPr="00087F48" w:rsidRDefault="001D7588"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16,2%</w:t>
            </w:r>
          </w:p>
        </w:tc>
        <w:tc>
          <w:tcPr>
            <w:tcW w:w="492" w:type="pct"/>
            <w:tcBorders>
              <w:top w:val="single" w:sz="8" w:space="0" w:color="9BC2E6"/>
              <w:left w:val="nil"/>
              <w:bottom w:val="single" w:sz="8" w:space="0" w:color="9BC2E6"/>
              <w:right w:val="nil"/>
            </w:tcBorders>
            <w:shd w:val="clear" w:color="auto" w:fill="auto"/>
            <w:noWrap/>
            <w:vAlign w:val="center"/>
            <w:hideMark/>
          </w:tcPr>
          <w:p w14:paraId="1CBABC5D" w14:textId="77777777" w:rsidR="001D7588" w:rsidRPr="00087F48" w:rsidRDefault="001D7588"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22,1%</w:t>
            </w:r>
          </w:p>
        </w:tc>
      </w:tr>
      <w:tr w:rsidR="001D7588" w:rsidRPr="00393495" w14:paraId="2C99F560" w14:textId="77777777" w:rsidTr="00446A14">
        <w:trPr>
          <w:trHeight w:val="238"/>
        </w:trPr>
        <w:tc>
          <w:tcPr>
            <w:tcW w:w="2506" w:type="pct"/>
            <w:tcBorders>
              <w:top w:val="nil"/>
              <w:left w:val="nil"/>
              <w:bottom w:val="nil"/>
              <w:right w:val="nil"/>
            </w:tcBorders>
            <w:shd w:val="clear" w:color="auto" w:fill="auto"/>
            <w:noWrap/>
            <w:vAlign w:val="center"/>
            <w:hideMark/>
          </w:tcPr>
          <w:p w14:paraId="1AF4A5C2" w14:textId="77777777" w:rsidR="001D7588" w:rsidRPr="00087F48" w:rsidRDefault="001D7588" w:rsidP="00446A14">
            <w:pPr>
              <w:spacing w:after="0" w:line="240" w:lineRule="auto"/>
              <w:rPr>
                <w:rFonts w:ascii="Arial" w:hAnsi="Arial" w:cs="Arial"/>
                <w:b/>
                <w:bCs/>
                <w:color w:val="000000"/>
                <w:sz w:val="16"/>
                <w:szCs w:val="17"/>
                <w:lang w:eastAsia="pt-BR"/>
              </w:rPr>
            </w:pPr>
            <w:r w:rsidRPr="00087F48">
              <w:rPr>
                <w:rFonts w:ascii="Arial" w:hAnsi="Arial" w:cs="Arial"/>
                <w:b/>
                <w:bCs/>
                <w:color w:val="000000"/>
                <w:sz w:val="16"/>
                <w:szCs w:val="17"/>
                <w:lang w:eastAsia="pt-BR"/>
              </w:rPr>
              <w:t xml:space="preserve">Outras Despesas Operacionais </w:t>
            </w:r>
          </w:p>
        </w:tc>
        <w:tc>
          <w:tcPr>
            <w:tcW w:w="504" w:type="pct"/>
            <w:tcBorders>
              <w:top w:val="nil"/>
              <w:left w:val="nil"/>
              <w:bottom w:val="nil"/>
              <w:right w:val="nil"/>
            </w:tcBorders>
            <w:shd w:val="clear" w:color="auto" w:fill="auto"/>
            <w:noWrap/>
            <w:vAlign w:val="center"/>
            <w:hideMark/>
          </w:tcPr>
          <w:p w14:paraId="3687D29A" w14:textId="77777777" w:rsidR="001D7588" w:rsidRPr="00087F48" w:rsidRDefault="001D7588" w:rsidP="00446A14">
            <w:pPr>
              <w:spacing w:after="0" w:line="240" w:lineRule="auto"/>
              <w:rPr>
                <w:rFonts w:ascii="Arial" w:hAnsi="Arial" w:cs="Arial"/>
                <w:b/>
                <w:bCs/>
                <w:color w:val="000000"/>
                <w:sz w:val="16"/>
                <w:szCs w:val="17"/>
                <w:lang w:eastAsia="pt-BR"/>
              </w:rPr>
            </w:pPr>
          </w:p>
        </w:tc>
        <w:tc>
          <w:tcPr>
            <w:tcW w:w="504" w:type="pct"/>
            <w:tcBorders>
              <w:top w:val="nil"/>
              <w:left w:val="nil"/>
              <w:bottom w:val="nil"/>
              <w:right w:val="nil"/>
            </w:tcBorders>
            <w:shd w:val="clear" w:color="auto" w:fill="auto"/>
            <w:noWrap/>
            <w:vAlign w:val="center"/>
            <w:hideMark/>
          </w:tcPr>
          <w:p w14:paraId="13A73098" w14:textId="77777777" w:rsidR="001D7588" w:rsidRPr="00087F48" w:rsidRDefault="001D7588" w:rsidP="00446A14">
            <w:pPr>
              <w:spacing w:after="0" w:line="240" w:lineRule="auto"/>
              <w:jc w:val="right"/>
              <w:rPr>
                <w:rFonts w:ascii="Arial" w:hAnsi="Arial" w:cs="Arial"/>
                <w:sz w:val="16"/>
                <w:szCs w:val="20"/>
                <w:lang w:eastAsia="pt-BR"/>
              </w:rPr>
            </w:pPr>
          </w:p>
        </w:tc>
        <w:tc>
          <w:tcPr>
            <w:tcW w:w="504" w:type="pct"/>
            <w:tcBorders>
              <w:top w:val="nil"/>
              <w:left w:val="nil"/>
              <w:bottom w:val="nil"/>
              <w:right w:val="nil"/>
            </w:tcBorders>
            <w:shd w:val="clear" w:color="auto" w:fill="auto"/>
            <w:noWrap/>
            <w:vAlign w:val="center"/>
            <w:hideMark/>
          </w:tcPr>
          <w:p w14:paraId="0FFFF81C" w14:textId="77777777" w:rsidR="001D7588" w:rsidRPr="00087F48" w:rsidRDefault="001D7588" w:rsidP="00446A14">
            <w:pPr>
              <w:spacing w:after="0" w:line="240" w:lineRule="auto"/>
              <w:jc w:val="right"/>
              <w:rPr>
                <w:rFonts w:ascii="Arial" w:hAnsi="Arial" w:cs="Arial"/>
                <w:sz w:val="16"/>
                <w:szCs w:val="20"/>
                <w:lang w:eastAsia="pt-BR"/>
              </w:rPr>
            </w:pPr>
          </w:p>
        </w:tc>
        <w:tc>
          <w:tcPr>
            <w:tcW w:w="492" w:type="pct"/>
            <w:tcBorders>
              <w:top w:val="nil"/>
              <w:left w:val="nil"/>
              <w:bottom w:val="nil"/>
              <w:right w:val="nil"/>
            </w:tcBorders>
            <w:shd w:val="clear" w:color="auto" w:fill="auto"/>
            <w:noWrap/>
            <w:vAlign w:val="center"/>
            <w:hideMark/>
          </w:tcPr>
          <w:p w14:paraId="69DE092F" w14:textId="77777777" w:rsidR="001D7588" w:rsidRPr="00087F48" w:rsidRDefault="001D7588" w:rsidP="00446A14">
            <w:pPr>
              <w:spacing w:after="0" w:line="240" w:lineRule="auto"/>
              <w:jc w:val="right"/>
              <w:rPr>
                <w:rFonts w:ascii="Arial" w:hAnsi="Arial" w:cs="Arial"/>
                <w:sz w:val="16"/>
                <w:szCs w:val="20"/>
                <w:lang w:eastAsia="pt-BR"/>
              </w:rPr>
            </w:pPr>
          </w:p>
        </w:tc>
        <w:tc>
          <w:tcPr>
            <w:tcW w:w="492" w:type="pct"/>
            <w:tcBorders>
              <w:top w:val="nil"/>
              <w:left w:val="nil"/>
              <w:bottom w:val="nil"/>
              <w:right w:val="nil"/>
            </w:tcBorders>
            <w:shd w:val="clear" w:color="auto" w:fill="auto"/>
            <w:noWrap/>
            <w:vAlign w:val="center"/>
            <w:hideMark/>
          </w:tcPr>
          <w:p w14:paraId="06134710" w14:textId="77777777" w:rsidR="001D7588" w:rsidRPr="00087F48" w:rsidRDefault="001D7588" w:rsidP="00446A14">
            <w:pPr>
              <w:spacing w:after="0" w:line="240" w:lineRule="auto"/>
              <w:jc w:val="right"/>
              <w:rPr>
                <w:rFonts w:ascii="Arial" w:hAnsi="Arial" w:cs="Arial"/>
                <w:sz w:val="16"/>
                <w:szCs w:val="20"/>
                <w:lang w:eastAsia="pt-BR"/>
              </w:rPr>
            </w:pPr>
          </w:p>
        </w:tc>
      </w:tr>
      <w:tr w:rsidR="001D7588" w:rsidRPr="00393495" w14:paraId="5AB36C07" w14:textId="77777777" w:rsidTr="00446A14">
        <w:trPr>
          <w:trHeight w:val="238"/>
        </w:trPr>
        <w:tc>
          <w:tcPr>
            <w:tcW w:w="2506" w:type="pct"/>
            <w:tcBorders>
              <w:top w:val="nil"/>
              <w:left w:val="nil"/>
              <w:bottom w:val="nil"/>
              <w:right w:val="nil"/>
            </w:tcBorders>
            <w:shd w:val="clear" w:color="auto" w:fill="auto"/>
            <w:noWrap/>
            <w:vAlign w:val="center"/>
            <w:hideMark/>
          </w:tcPr>
          <w:p w14:paraId="29671F12" w14:textId="77777777" w:rsidR="001D7588" w:rsidRPr="00087F48" w:rsidRDefault="001D7588" w:rsidP="00446A14">
            <w:pPr>
              <w:spacing w:after="0" w:line="240" w:lineRule="auto"/>
              <w:rPr>
                <w:rFonts w:ascii="Arial" w:hAnsi="Arial" w:cs="Arial"/>
                <w:color w:val="000000"/>
                <w:sz w:val="16"/>
                <w:szCs w:val="17"/>
                <w:lang w:eastAsia="pt-BR"/>
              </w:rPr>
            </w:pPr>
            <w:r w:rsidRPr="00087F48">
              <w:rPr>
                <w:rFonts w:ascii="Arial" w:hAnsi="Arial" w:cs="Arial"/>
                <w:color w:val="000000"/>
                <w:sz w:val="16"/>
                <w:szCs w:val="17"/>
                <w:lang w:eastAsia="pt-BR"/>
              </w:rPr>
              <w:t>Multas sobre Contas a Receber – Contratos (</w:t>
            </w:r>
            <w:proofErr w:type="spellStart"/>
            <w:r w:rsidRPr="00087F48">
              <w:rPr>
                <w:rFonts w:ascii="Arial" w:hAnsi="Arial" w:cs="Arial"/>
                <w:color w:val="000000"/>
                <w:sz w:val="16"/>
                <w:szCs w:val="17"/>
                <w:lang w:eastAsia="pt-BR"/>
              </w:rPr>
              <w:t>iv</w:t>
            </w:r>
            <w:proofErr w:type="spellEnd"/>
            <w:r w:rsidRPr="00087F48">
              <w:rPr>
                <w:rFonts w:ascii="Arial" w:hAnsi="Arial" w:cs="Arial"/>
                <w:color w:val="000000"/>
                <w:sz w:val="16"/>
                <w:szCs w:val="17"/>
                <w:lang w:eastAsia="pt-BR"/>
              </w:rPr>
              <w:t>)</w:t>
            </w:r>
          </w:p>
        </w:tc>
        <w:tc>
          <w:tcPr>
            <w:tcW w:w="504" w:type="pct"/>
            <w:tcBorders>
              <w:top w:val="nil"/>
              <w:left w:val="nil"/>
              <w:bottom w:val="nil"/>
              <w:right w:val="nil"/>
            </w:tcBorders>
            <w:shd w:val="clear" w:color="auto" w:fill="auto"/>
            <w:noWrap/>
            <w:vAlign w:val="center"/>
            <w:hideMark/>
          </w:tcPr>
          <w:p w14:paraId="741FBC0B"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(40.034)</w:t>
            </w:r>
          </w:p>
        </w:tc>
        <w:tc>
          <w:tcPr>
            <w:tcW w:w="504" w:type="pct"/>
            <w:tcBorders>
              <w:top w:val="nil"/>
              <w:left w:val="nil"/>
              <w:bottom w:val="nil"/>
              <w:right w:val="nil"/>
            </w:tcBorders>
            <w:shd w:val="clear" w:color="auto" w:fill="auto"/>
            <w:noWrap/>
            <w:vAlign w:val="center"/>
            <w:hideMark/>
          </w:tcPr>
          <w:p w14:paraId="007DEF48"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    </w:t>
            </w:r>
          </w:p>
        </w:tc>
        <w:tc>
          <w:tcPr>
            <w:tcW w:w="504" w:type="pct"/>
            <w:tcBorders>
              <w:top w:val="nil"/>
              <w:left w:val="nil"/>
              <w:bottom w:val="nil"/>
              <w:right w:val="nil"/>
            </w:tcBorders>
            <w:shd w:val="clear" w:color="auto" w:fill="auto"/>
            <w:noWrap/>
            <w:vAlign w:val="center"/>
            <w:hideMark/>
          </w:tcPr>
          <w:p w14:paraId="7A51453D"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   </w:t>
            </w:r>
          </w:p>
        </w:tc>
        <w:tc>
          <w:tcPr>
            <w:tcW w:w="492" w:type="pct"/>
            <w:tcBorders>
              <w:top w:val="nil"/>
              <w:left w:val="nil"/>
              <w:bottom w:val="nil"/>
              <w:right w:val="nil"/>
            </w:tcBorders>
            <w:shd w:val="clear" w:color="auto" w:fill="auto"/>
            <w:noWrap/>
            <w:vAlign w:val="center"/>
            <w:hideMark/>
          </w:tcPr>
          <w:p w14:paraId="1ADA3C2F" w14:textId="77777777" w:rsidR="001D7588" w:rsidRPr="00087F48" w:rsidRDefault="001D7588" w:rsidP="00446A14">
            <w:pPr>
              <w:spacing w:after="0" w:line="240" w:lineRule="auto"/>
              <w:jc w:val="right"/>
              <w:rPr>
                <w:rFonts w:ascii="Arial" w:hAnsi="Arial" w:cs="Arial"/>
                <w:color w:val="000000"/>
                <w:sz w:val="16"/>
                <w:szCs w:val="17"/>
                <w:lang w:eastAsia="pt-BR"/>
              </w:rPr>
            </w:pPr>
          </w:p>
        </w:tc>
        <w:tc>
          <w:tcPr>
            <w:tcW w:w="492" w:type="pct"/>
            <w:tcBorders>
              <w:top w:val="nil"/>
              <w:left w:val="nil"/>
              <w:bottom w:val="nil"/>
              <w:right w:val="nil"/>
            </w:tcBorders>
            <w:shd w:val="clear" w:color="auto" w:fill="auto"/>
            <w:noWrap/>
            <w:vAlign w:val="center"/>
            <w:hideMark/>
          </w:tcPr>
          <w:p w14:paraId="4143A23A" w14:textId="77777777" w:rsidR="001D7588" w:rsidRPr="00087F48" w:rsidRDefault="001D7588" w:rsidP="00446A14">
            <w:pPr>
              <w:spacing w:after="0" w:line="240" w:lineRule="auto"/>
              <w:jc w:val="right"/>
              <w:rPr>
                <w:rFonts w:ascii="Arial" w:hAnsi="Arial" w:cs="Arial"/>
                <w:sz w:val="16"/>
                <w:szCs w:val="20"/>
                <w:lang w:eastAsia="pt-BR"/>
              </w:rPr>
            </w:pPr>
          </w:p>
        </w:tc>
      </w:tr>
      <w:tr w:rsidR="001D7588" w:rsidRPr="00393495" w14:paraId="471C8737" w14:textId="77777777" w:rsidTr="00446A14">
        <w:trPr>
          <w:trHeight w:val="238"/>
        </w:trPr>
        <w:tc>
          <w:tcPr>
            <w:tcW w:w="2506" w:type="pct"/>
            <w:tcBorders>
              <w:top w:val="nil"/>
              <w:left w:val="nil"/>
              <w:bottom w:val="nil"/>
              <w:right w:val="nil"/>
            </w:tcBorders>
            <w:shd w:val="clear" w:color="auto" w:fill="auto"/>
            <w:noWrap/>
            <w:vAlign w:val="center"/>
            <w:hideMark/>
          </w:tcPr>
          <w:p w14:paraId="30442408" w14:textId="77777777" w:rsidR="001D7588" w:rsidRPr="00087F48" w:rsidRDefault="001D7588" w:rsidP="00446A14">
            <w:pPr>
              <w:spacing w:after="0" w:line="240" w:lineRule="auto"/>
              <w:rPr>
                <w:rFonts w:ascii="Arial" w:hAnsi="Arial" w:cs="Arial"/>
                <w:color w:val="000000"/>
                <w:sz w:val="16"/>
                <w:szCs w:val="17"/>
                <w:lang w:eastAsia="pt-BR"/>
              </w:rPr>
            </w:pPr>
            <w:r w:rsidRPr="00087F48">
              <w:rPr>
                <w:rFonts w:ascii="Arial" w:hAnsi="Arial" w:cs="Arial"/>
                <w:color w:val="000000"/>
                <w:sz w:val="16"/>
                <w:szCs w:val="17"/>
                <w:lang w:eastAsia="pt-BR"/>
              </w:rPr>
              <w:t>Tributos (v)</w:t>
            </w:r>
          </w:p>
        </w:tc>
        <w:tc>
          <w:tcPr>
            <w:tcW w:w="504" w:type="pct"/>
            <w:tcBorders>
              <w:top w:val="nil"/>
              <w:left w:val="nil"/>
              <w:bottom w:val="nil"/>
              <w:right w:val="nil"/>
            </w:tcBorders>
            <w:shd w:val="clear" w:color="auto" w:fill="auto"/>
            <w:noWrap/>
            <w:vAlign w:val="center"/>
            <w:hideMark/>
          </w:tcPr>
          <w:p w14:paraId="4127186E"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(10.835)</w:t>
            </w:r>
          </w:p>
        </w:tc>
        <w:tc>
          <w:tcPr>
            <w:tcW w:w="504" w:type="pct"/>
            <w:tcBorders>
              <w:top w:val="nil"/>
              <w:left w:val="nil"/>
              <w:bottom w:val="nil"/>
              <w:right w:val="nil"/>
            </w:tcBorders>
            <w:shd w:val="clear" w:color="auto" w:fill="auto"/>
            <w:noWrap/>
            <w:vAlign w:val="center"/>
            <w:hideMark/>
          </w:tcPr>
          <w:p w14:paraId="13E0FF6B"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(5.397)</w:t>
            </w:r>
          </w:p>
        </w:tc>
        <w:tc>
          <w:tcPr>
            <w:tcW w:w="504" w:type="pct"/>
            <w:tcBorders>
              <w:top w:val="nil"/>
              <w:left w:val="nil"/>
              <w:bottom w:val="nil"/>
              <w:right w:val="nil"/>
            </w:tcBorders>
            <w:shd w:val="clear" w:color="auto" w:fill="auto"/>
            <w:noWrap/>
            <w:vAlign w:val="center"/>
            <w:hideMark/>
          </w:tcPr>
          <w:p w14:paraId="39B35BFA"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(15.533)</w:t>
            </w:r>
          </w:p>
        </w:tc>
        <w:tc>
          <w:tcPr>
            <w:tcW w:w="492" w:type="pct"/>
            <w:tcBorders>
              <w:top w:val="nil"/>
              <w:left w:val="nil"/>
              <w:bottom w:val="nil"/>
              <w:right w:val="nil"/>
            </w:tcBorders>
            <w:shd w:val="clear" w:color="auto" w:fill="auto"/>
            <w:noWrap/>
            <w:vAlign w:val="center"/>
            <w:hideMark/>
          </w:tcPr>
          <w:p w14:paraId="30DC50D3"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100,8%</w:t>
            </w:r>
          </w:p>
        </w:tc>
        <w:tc>
          <w:tcPr>
            <w:tcW w:w="492" w:type="pct"/>
            <w:tcBorders>
              <w:top w:val="nil"/>
              <w:left w:val="nil"/>
              <w:bottom w:val="nil"/>
              <w:right w:val="nil"/>
            </w:tcBorders>
            <w:shd w:val="clear" w:color="auto" w:fill="auto"/>
            <w:noWrap/>
            <w:vAlign w:val="center"/>
            <w:hideMark/>
          </w:tcPr>
          <w:p w14:paraId="0F1581AD"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-30,2%</w:t>
            </w:r>
          </w:p>
        </w:tc>
      </w:tr>
      <w:tr w:rsidR="001D7588" w:rsidRPr="00393495" w14:paraId="22883C11" w14:textId="77777777" w:rsidTr="00446A14">
        <w:trPr>
          <w:trHeight w:val="238"/>
        </w:trPr>
        <w:tc>
          <w:tcPr>
            <w:tcW w:w="2506" w:type="pct"/>
            <w:tcBorders>
              <w:top w:val="nil"/>
              <w:left w:val="nil"/>
              <w:bottom w:val="nil"/>
              <w:right w:val="nil"/>
            </w:tcBorders>
            <w:shd w:val="clear" w:color="auto" w:fill="auto"/>
            <w:noWrap/>
            <w:vAlign w:val="center"/>
            <w:hideMark/>
          </w:tcPr>
          <w:p w14:paraId="2C7C19C1" w14:textId="77777777" w:rsidR="001D7588" w:rsidRPr="00087F48" w:rsidRDefault="001D7588" w:rsidP="00446A14">
            <w:pPr>
              <w:spacing w:after="0" w:line="240" w:lineRule="auto"/>
              <w:rPr>
                <w:rFonts w:ascii="Arial" w:hAnsi="Arial" w:cs="Arial"/>
                <w:color w:val="000000"/>
                <w:sz w:val="16"/>
                <w:szCs w:val="17"/>
                <w:lang w:eastAsia="pt-BR"/>
              </w:rPr>
            </w:pPr>
            <w:r w:rsidRPr="00087F48">
              <w:rPr>
                <w:rFonts w:ascii="Arial" w:hAnsi="Arial" w:cs="Arial"/>
                <w:color w:val="000000"/>
                <w:sz w:val="16"/>
                <w:szCs w:val="17"/>
                <w:lang w:eastAsia="pt-BR"/>
              </w:rPr>
              <w:t xml:space="preserve">Provisão p/ Riscos Trabalhistas, Cíveis, </w:t>
            </w:r>
            <w:proofErr w:type="gramStart"/>
            <w:r w:rsidRPr="00087F48">
              <w:rPr>
                <w:rFonts w:ascii="Arial" w:hAnsi="Arial" w:cs="Arial"/>
                <w:color w:val="000000"/>
                <w:sz w:val="16"/>
                <w:szCs w:val="17"/>
                <w:lang w:eastAsia="pt-BR"/>
              </w:rPr>
              <w:t>Fiscais</w:t>
            </w:r>
            <w:proofErr w:type="gramEnd"/>
          </w:p>
        </w:tc>
        <w:tc>
          <w:tcPr>
            <w:tcW w:w="504" w:type="pct"/>
            <w:tcBorders>
              <w:top w:val="nil"/>
              <w:left w:val="nil"/>
              <w:bottom w:val="nil"/>
              <w:right w:val="nil"/>
            </w:tcBorders>
            <w:shd w:val="clear" w:color="auto" w:fill="auto"/>
            <w:noWrap/>
            <w:vAlign w:val="center"/>
            <w:hideMark/>
          </w:tcPr>
          <w:p w14:paraId="2FF4D39C"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(962)</w:t>
            </w:r>
          </w:p>
        </w:tc>
        <w:tc>
          <w:tcPr>
            <w:tcW w:w="504" w:type="pct"/>
            <w:tcBorders>
              <w:top w:val="nil"/>
              <w:left w:val="nil"/>
              <w:bottom w:val="nil"/>
              <w:right w:val="nil"/>
            </w:tcBorders>
            <w:shd w:val="clear" w:color="auto" w:fill="auto"/>
            <w:noWrap/>
            <w:vAlign w:val="center"/>
            <w:hideMark/>
          </w:tcPr>
          <w:p w14:paraId="5E66E0FC"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(5.189)</w:t>
            </w:r>
          </w:p>
        </w:tc>
        <w:tc>
          <w:tcPr>
            <w:tcW w:w="504" w:type="pct"/>
            <w:tcBorders>
              <w:top w:val="nil"/>
              <w:left w:val="nil"/>
              <w:bottom w:val="nil"/>
              <w:right w:val="nil"/>
            </w:tcBorders>
            <w:shd w:val="clear" w:color="auto" w:fill="auto"/>
            <w:noWrap/>
            <w:vAlign w:val="center"/>
            <w:hideMark/>
          </w:tcPr>
          <w:p w14:paraId="2BD2112B"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(1.801)</w:t>
            </w:r>
          </w:p>
        </w:tc>
        <w:tc>
          <w:tcPr>
            <w:tcW w:w="492" w:type="pct"/>
            <w:tcBorders>
              <w:top w:val="nil"/>
              <w:left w:val="nil"/>
              <w:bottom w:val="nil"/>
              <w:right w:val="nil"/>
            </w:tcBorders>
            <w:shd w:val="clear" w:color="auto" w:fill="auto"/>
            <w:noWrap/>
            <w:vAlign w:val="center"/>
            <w:hideMark/>
          </w:tcPr>
          <w:p w14:paraId="34E96E7F"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-81,5%</w:t>
            </w:r>
          </w:p>
        </w:tc>
        <w:tc>
          <w:tcPr>
            <w:tcW w:w="492" w:type="pct"/>
            <w:tcBorders>
              <w:top w:val="nil"/>
              <w:left w:val="nil"/>
              <w:bottom w:val="nil"/>
              <w:right w:val="nil"/>
            </w:tcBorders>
            <w:shd w:val="clear" w:color="auto" w:fill="auto"/>
            <w:noWrap/>
            <w:vAlign w:val="center"/>
            <w:hideMark/>
          </w:tcPr>
          <w:p w14:paraId="7A40C9BC"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-46,6%</w:t>
            </w:r>
          </w:p>
        </w:tc>
      </w:tr>
      <w:tr w:rsidR="001D7588" w:rsidRPr="00393495" w14:paraId="4E04FB10" w14:textId="77777777" w:rsidTr="00446A14">
        <w:trPr>
          <w:trHeight w:val="238"/>
        </w:trPr>
        <w:tc>
          <w:tcPr>
            <w:tcW w:w="2506" w:type="pct"/>
            <w:tcBorders>
              <w:top w:val="nil"/>
              <w:left w:val="nil"/>
              <w:bottom w:val="nil"/>
              <w:right w:val="nil"/>
            </w:tcBorders>
            <w:shd w:val="clear" w:color="auto" w:fill="auto"/>
            <w:noWrap/>
            <w:vAlign w:val="center"/>
            <w:hideMark/>
          </w:tcPr>
          <w:p w14:paraId="5F751AEF" w14:textId="77777777" w:rsidR="001D7588" w:rsidRPr="00087F48" w:rsidRDefault="001D7588" w:rsidP="00446A14">
            <w:pPr>
              <w:spacing w:after="0" w:line="240" w:lineRule="auto"/>
              <w:rPr>
                <w:rFonts w:ascii="Arial" w:hAnsi="Arial" w:cs="Arial"/>
                <w:color w:val="000000"/>
                <w:sz w:val="16"/>
                <w:szCs w:val="17"/>
                <w:lang w:eastAsia="pt-BR"/>
              </w:rPr>
            </w:pPr>
            <w:r w:rsidRPr="00087F48">
              <w:rPr>
                <w:rFonts w:ascii="Arial" w:hAnsi="Arial" w:cs="Arial"/>
                <w:color w:val="000000"/>
                <w:sz w:val="16"/>
                <w:szCs w:val="17"/>
                <w:lang w:eastAsia="pt-BR"/>
              </w:rPr>
              <w:t>Baixa de Ativo Imobilizado (vi)</w:t>
            </w:r>
          </w:p>
        </w:tc>
        <w:tc>
          <w:tcPr>
            <w:tcW w:w="504" w:type="pct"/>
            <w:tcBorders>
              <w:top w:val="nil"/>
              <w:left w:val="nil"/>
              <w:bottom w:val="nil"/>
              <w:right w:val="nil"/>
            </w:tcBorders>
            <w:shd w:val="clear" w:color="auto" w:fill="auto"/>
            <w:noWrap/>
            <w:vAlign w:val="center"/>
            <w:hideMark/>
          </w:tcPr>
          <w:p w14:paraId="2A973CF5"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(383)</w:t>
            </w:r>
          </w:p>
        </w:tc>
        <w:tc>
          <w:tcPr>
            <w:tcW w:w="504" w:type="pct"/>
            <w:tcBorders>
              <w:top w:val="nil"/>
              <w:left w:val="nil"/>
              <w:bottom w:val="nil"/>
              <w:right w:val="nil"/>
            </w:tcBorders>
            <w:shd w:val="clear" w:color="auto" w:fill="auto"/>
            <w:noWrap/>
            <w:vAlign w:val="center"/>
            <w:hideMark/>
          </w:tcPr>
          <w:p w14:paraId="070A5FB2"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(16.643)</w:t>
            </w:r>
          </w:p>
        </w:tc>
        <w:tc>
          <w:tcPr>
            <w:tcW w:w="504" w:type="pct"/>
            <w:tcBorders>
              <w:top w:val="nil"/>
              <w:left w:val="nil"/>
              <w:bottom w:val="nil"/>
              <w:right w:val="nil"/>
            </w:tcBorders>
            <w:shd w:val="clear" w:color="auto" w:fill="auto"/>
            <w:noWrap/>
            <w:vAlign w:val="center"/>
            <w:hideMark/>
          </w:tcPr>
          <w:p w14:paraId="3405D73A"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    </w:t>
            </w:r>
          </w:p>
        </w:tc>
        <w:tc>
          <w:tcPr>
            <w:tcW w:w="492" w:type="pct"/>
            <w:tcBorders>
              <w:top w:val="nil"/>
              <w:left w:val="nil"/>
              <w:bottom w:val="nil"/>
              <w:right w:val="nil"/>
            </w:tcBorders>
            <w:shd w:val="clear" w:color="auto" w:fill="auto"/>
            <w:noWrap/>
            <w:vAlign w:val="center"/>
            <w:hideMark/>
          </w:tcPr>
          <w:p w14:paraId="5F1EA250"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-97,7%</w:t>
            </w:r>
          </w:p>
        </w:tc>
        <w:tc>
          <w:tcPr>
            <w:tcW w:w="492" w:type="pct"/>
            <w:tcBorders>
              <w:top w:val="nil"/>
              <w:left w:val="nil"/>
              <w:bottom w:val="nil"/>
              <w:right w:val="nil"/>
            </w:tcBorders>
            <w:shd w:val="clear" w:color="auto" w:fill="auto"/>
            <w:noWrap/>
            <w:vAlign w:val="center"/>
            <w:hideMark/>
          </w:tcPr>
          <w:p w14:paraId="3545B386"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100,0%</w:t>
            </w:r>
          </w:p>
        </w:tc>
      </w:tr>
      <w:tr w:rsidR="001D7588" w:rsidRPr="00393495" w14:paraId="0A2458A1" w14:textId="77777777" w:rsidTr="00446A14">
        <w:trPr>
          <w:trHeight w:val="238"/>
        </w:trPr>
        <w:tc>
          <w:tcPr>
            <w:tcW w:w="2506" w:type="pct"/>
            <w:tcBorders>
              <w:top w:val="nil"/>
              <w:left w:val="nil"/>
              <w:bottom w:val="nil"/>
              <w:right w:val="nil"/>
            </w:tcBorders>
            <w:shd w:val="clear" w:color="auto" w:fill="auto"/>
            <w:noWrap/>
            <w:vAlign w:val="center"/>
            <w:hideMark/>
          </w:tcPr>
          <w:p w14:paraId="3020776B" w14:textId="77777777" w:rsidR="001D7588" w:rsidRPr="00087F48" w:rsidRDefault="001D7588" w:rsidP="00446A14">
            <w:pPr>
              <w:spacing w:after="0" w:line="240" w:lineRule="auto"/>
              <w:rPr>
                <w:rFonts w:ascii="Arial" w:hAnsi="Arial" w:cs="Arial"/>
                <w:color w:val="000000"/>
                <w:sz w:val="16"/>
                <w:szCs w:val="17"/>
                <w:lang w:eastAsia="pt-BR"/>
              </w:rPr>
            </w:pPr>
            <w:r w:rsidRPr="00087F48">
              <w:rPr>
                <w:rFonts w:ascii="Arial" w:hAnsi="Arial" w:cs="Arial"/>
                <w:color w:val="000000"/>
                <w:sz w:val="16"/>
                <w:szCs w:val="17"/>
                <w:lang w:eastAsia="pt-BR"/>
              </w:rPr>
              <w:t xml:space="preserve">Outras Despesas Operacionais </w:t>
            </w:r>
          </w:p>
        </w:tc>
        <w:tc>
          <w:tcPr>
            <w:tcW w:w="504" w:type="pct"/>
            <w:tcBorders>
              <w:top w:val="nil"/>
              <w:left w:val="nil"/>
              <w:bottom w:val="nil"/>
              <w:right w:val="nil"/>
            </w:tcBorders>
            <w:shd w:val="clear" w:color="auto" w:fill="auto"/>
            <w:noWrap/>
            <w:vAlign w:val="center"/>
            <w:hideMark/>
          </w:tcPr>
          <w:p w14:paraId="68921F35"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(3.445)</w:t>
            </w:r>
          </w:p>
        </w:tc>
        <w:tc>
          <w:tcPr>
            <w:tcW w:w="504" w:type="pct"/>
            <w:tcBorders>
              <w:top w:val="nil"/>
              <w:left w:val="nil"/>
              <w:bottom w:val="nil"/>
              <w:right w:val="nil"/>
            </w:tcBorders>
            <w:shd w:val="clear" w:color="auto" w:fill="auto"/>
            <w:noWrap/>
            <w:vAlign w:val="center"/>
            <w:hideMark/>
          </w:tcPr>
          <w:p w14:paraId="48C41E34"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(1.833)</w:t>
            </w:r>
          </w:p>
        </w:tc>
        <w:tc>
          <w:tcPr>
            <w:tcW w:w="504" w:type="pct"/>
            <w:tcBorders>
              <w:top w:val="nil"/>
              <w:left w:val="nil"/>
              <w:bottom w:val="nil"/>
              <w:right w:val="nil"/>
            </w:tcBorders>
            <w:shd w:val="clear" w:color="auto" w:fill="auto"/>
            <w:noWrap/>
            <w:vAlign w:val="center"/>
            <w:hideMark/>
          </w:tcPr>
          <w:p w14:paraId="26C78496"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(3.458)</w:t>
            </w:r>
          </w:p>
        </w:tc>
        <w:tc>
          <w:tcPr>
            <w:tcW w:w="492" w:type="pct"/>
            <w:tcBorders>
              <w:top w:val="nil"/>
              <w:left w:val="nil"/>
              <w:bottom w:val="nil"/>
              <w:right w:val="nil"/>
            </w:tcBorders>
            <w:shd w:val="clear" w:color="auto" w:fill="auto"/>
            <w:noWrap/>
            <w:vAlign w:val="center"/>
            <w:hideMark/>
          </w:tcPr>
          <w:p w14:paraId="4F364436"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87,9%</w:t>
            </w:r>
          </w:p>
        </w:tc>
        <w:tc>
          <w:tcPr>
            <w:tcW w:w="492" w:type="pct"/>
            <w:tcBorders>
              <w:top w:val="nil"/>
              <w:left w:val="nil"/>
              <w:bottom w:val="nil"/>
              <w:right w:val="nil"/>
            </w:tcBorders>
            <w:shd w:val="clear" w:color="auto" w:fill="auto"/>
            <w:noWrap/>
            <w:vAlign w:val="center"/>
            <w:hideMark/>
          </w:tcPr>
          <w:p w14:paraId="6FE39DA9" w14:textId="77777777" w:rsidR="001D7588" w:rsidRPr="00087F48" w:rsidRDefault="001D7588" w:rsidP="00446A14">
            <w:pPr>
              <w:spacing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-0,4%</w:t>
            </w:r>
          </w:p>
        </w:tc>
      </w:tr>
      <w:tr w:rsidR="001D7588" w:rsidRPr="00393495" w14:paraId="20E9B058" w14:textId="77777777" w:rsidTr="00446A14">
        <w:trPr>
          <w:trHeight w:val="238"/>
        </w:trPr>
        <w:tc>
          <w:tcPr>
            <w:tcW w:w="2506" w:type="pct"/>
            <w:tcBorders>
              <w:top w:val="single" w:sz="8" w:space="0" w:color="9BC2E6"/>
              <w:left w:val="nil"/>
              <w:bottom w:val="single" w:sz="8" w:space="0" w:color="9BC2E6"/>
              <w:right w:val="nil"/>
            </w:tcBorders>
            <w:shd w:val="clear" w:color="auto" w:fill="auto"/>
            <w:noWrap/>
            <w:vAlign w:val="center"/>
            <w:hideMark/>
          </w:tcPr>
          <w:p w14:paraId="2F68D242" w14:textId="77777777" w:rsidR="001D7588" w:rsidRPr="00087F48" w:rsidRDefault="001D7588" w:rsidP="00446A14">
            <w:pPr>
              <w:spacing w:after="0" w:line="240" w:lineRule="auto"/>
              <w:rPr>
                <w:rFonts w:ascii="Arial" w:hAnsi="Arial" w:cs="Arial"/>
                <w:b/>
                <w:bCs/>
                <w:color w:val="000000"/>
                <w:sz w:val="16"/>
                <w:szCs w:val="18"/>
                <w:lang w:eastAsia="pt-BR"/>
              </w:rPr>
            </w:pPr>
            <w:r w:rsidRPr="00087F48">
              <w:rPr>
                <w:rFonts w:ascii="Arial" w:hAnsi="Arial" w:cs="Arial"/>
                <w:b/>
                <w:bCs/>
                <w:color w:val="000000"/>
                <w:sz w:val="16"/>
                <w:szCs w:val="18"/>
                <w:lang w:eastAsia="pt-BR"/>
              </w:rPr>
              <w:t>Total</w:t>
            </w:r>
          </w:p>
        </w:tc>
        <w:tc>
          <w:tcPr>
            <w:tcW w:w="504" w:type="pct"/>
            <w:tcBorders>
              <w:top w:val="single" w:sz="8" w:space="0" w:color="9BC2E6"/>
              <w:left w:val="nil"/>
              <w:bottom w:val="single" w:sz="8" w:space="0" w:color="9BC2E6"/>
              <w:right w:val="nil"/>
            </w:tcBorders>
            <w:shd w:val="clear" w:color="auto" w:fill="auto"/>
            <w:noWrap/>
            <w:vAlign w:val="center"/>
            <w:hideMark/>
          </w:tcPr>
          <w:p w14:paraId="63570989" w14:textId="77777777" w:rsidR="001D7588" w:rsidRPr="00087F48" w:rsidRDefault="001D7588"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(55.659)</w:t>
            </w:r>
          </w:p>
        </w:tc>
        <w:tc>
          <w:tcPr>
            <w:tcW w:w="504" w:type="pct"/>
            <w:tcBorders>
              <w:top w:val="single" w:sz="8" w:space="0" w:color="9BC2E6"/>
              <w:left w:val="nil"/>
              <w:bottom w:val="single" w:sz="8" w:space="0" w:color="9BC2E6"/>
              <w:right w:val="nil"/>
            </w:tcBorders>
            <w:shd w:val="clear" w:color="auto" w:fill="auto"/>
            <w:noWrap/>
            <w:vAlign w:val="center"/>
            <w:hideMark/>
          </w:tcPr>
          <w:p w14:paraId="1D15CBA0" w14:textId="77777777" w:rsidR="001D7588" w:rsidRPr="00087F48" w:rsidRDefault="001D7588"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(29.062)</w:t>
            </w:r>
          </w:p>
        </w:tc>
        <w:tc>
          <w:tcPr>
            <w:tcW w:w="504" w:type="pct"/>
            <w:tcBorders>
              <w:top w:val="single" w:sz="8" w:space="0" w:color="9BC2E6"/>
              <w:left w:val="nil"/>
              <w:bottom w:val="single" w:sz="8" w:space="0" w:color="9BC2E6"/>
              <w:right w:val="nil"/>
            </w:tcBorders>
            <w:shd w:val="clear" w:color="auto" w:fill="auto"/>
            <w:noWrap/>
            <w:vAlign w:val="center"/>
            <w:hideMark/>
          </w:tcPr>
          <w:p w14:paraId="68318074" w14:textId="77777777" w:rsidR="001D7588" w:rsidRPr="00087F48" w:rsidRDefault="001D7588"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(20.792)</w:t>
            </w:r>
          </w:p>
        </w:tc>
        <w:tc>
          <w:tcPr>
            <w:tcW w:w="492" w:type="pct"/>
            <w:tcBorders>
              <w:top w:val="single" w:sz="8" w:space="0" w:color="9BC2E6"/>
              <w:left w:val="nil"/>
              <w:bottom w:val="single" w:sz="8" w:space="0" w:color="9BC2E6"/>
              <w:right w:val="nil"/>
            </w:tcBorders>
            <w:shd w:val="clear" w:color="auto" w:fill="auto"/>
            <w:noWrap/>
            <w:vAlign w:val="center"/>
            <w:hideMark/>
          </w:tcPr>
          <w:p w14:paraId="4E19DF58" w14:textId="77777777" w:rsidR="001D7588" w:rsidRPr="00087F48" w:rsidRDefault="001D7588"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91,5%</w:t>
            </w:r>
          </w:p>
        </w:tc>
        <w:tc>
          <w:tcPr>
            <w:tcW w:w="492" w:type="pct"/>
            <w:tcBorders>
              <w:top w:val="single" w:sz="8" w:space="0" w:color="9BC2E6"/>
              <w:left w:val="nil"/>
              <w:bottom w:val="single" w:sz="8" w:space="0" w:color="9BC2E6"/>
              <w:right w:val="nil"/>
            </w:tcBorders>
            <w:shd w:val="clear" w:color="auto" w:fill="auto"/>
            <w:noWrap/>
            <w:vAlign w:val="center"/>
            <w:hideMark/>
          </w:tcPr>
          <w:p w14:paraId="519A20D0" w14:textId="77777777" w:rsidR="001D7588" w:rsidRPr="00087F48" w:rsidRDefault="001D7588"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167,7%</w:t>
            </w:r>
          </w:p>
        </w:tc>
      </w:tr>
      <w:tr w:rsidR="001D7588" w:rsidRPr="00393495" w14:paraId="2F2EC709" w14:textId="77777777" w:rsidTr="00446A14">
        <w:trPr>
          <w:trHeight w:val="238"/>
        </w:trPr>
        <w:tc>
          <w:tcPr>
            <w:tcW w:w="2506" w:type="pct"/>
            <w:tcBorders>
              <w:top w:val="nil"/>
              <w:left w:val="nil"/>
              <w:bottom w:val="single" w:sz="8" w:space="0" w:color="9BC2E6"/>
              <w:right w:val="nil"/>
            </w:tcBorders>
            <w:shd w:val="clear" w:color="auto" w:fill="auto"/>
            <w:noWrap/>
            <w:vAlign w:val="center"/>
            <w:hideMark/>
          </w:tcPr>
          <w:p w14:paraId="401EDF35" w14:textId="77777777" w:rsidR="001D7588" w:rsidRPr="00087F48" w:rsidRDefault="001D7588" w:rsidP="00446A14">
            <w:pPr>
              <w:spacing w:after="0" w:line="240" w:lineRule="auto"/>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Outras Receitas/Despesas Operacionais, </w:t>
            </w:r>
            <w:proofErr w:type="gramStart"/>
            <w:r w:rsidRPr="00087F48">
              <w:rPr>
                <w:rFonts w:ascii="Arial" w:hAnsi="Arial" w:cs="Arial"/>
                <w:b/>
                <w:bCs/>
                <w:color w:val="000000"/>
                <w:sz w:val="16"/>
                <w:szCs w:val="18"/>
                <w:lang w:eastAsia="pt-BR"/>
              </w:rPr>
              <w:t>Líquida</w:t>
            </w:r>
            <w:proofErr w:type="gramEnd"/>
          </w:p>
        </w:tc>
        <w:tc>
          <w:tcPr>
            <w:tcW w:w="504" w:type="pct"/>
            <w:tcBorders>
              <w:top w:val="nil"/>
              <w:left w:val="nil"/>
              <w:bottom w:val="single" w:sz="8" w:space="0" w:color="9BC2E6"/>
              <w:right w:val="nil"/>
            </w:tcBorders>
            <w:shd w:val="clear" w:color="auto" w:fill="auto"/>
            <w:noWrap/>
            <w:vAlign w:val="center"/>
            <w:hideMark/>
          </w:tcPr>
          <w:p w14:paraId="7B65D9C7" w14:textId="77777777" w:rsidR="001D7588" w:rsidRPr="00087F48" w:rsidRDefault="001D7588"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241.213 </w:t>
            </w:r>
          </w:p>
        </w:tc>
        <w:tc>
          <w:tcPr>
            <w:tcW w:w="504" w:type="pct"/>
            <w:tcBorders>
              <w:top w:val="nil"/>
              <w:left w:val="nil"/>
              <w:bottom w:val="single" w:sz="8" w:space="0" w:color="9BC2E6"/>
              <w:right w:val="nil"/>
            </w:tcBorders>
            <w:shd w:val="clear" w:color="auto" w:fill="auto"/>
            <w:noWrap/>
            <w:vAlign w:val="center"/>
            <w:hideMark/>
          </w:tcPr>
          <w:p w14:paraId="0D60AC38" w14:textId="77777777" w:rsidR="001D7588" w:rsidRPr="00087F48" w:rsidRDefault="001D7588"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226.393 </w:t>
            </w:r>
          </w:p>
        </w:tc>
        <w:tc>
          <w:tcPr>
            <w:tcW w:w="504" w:type="pct"/>
            <w:tcBorders>
              <w:top w:val="nil"/>
              <w:left w:val="nil"/>
              <w:bottom w:val="single" w:sz="8" w:space="0" w:color="9BC2E6"/>
              <w:right w:val="nil"/>
            </w:tcBorders>
            <w:shd w:val="clear" w:color="auto" w:fill="auto"/>
            <w:noWrap/>
            <w:vAlign w:val="center"/>
            <w:hideMark/>
          </w:tcPr>
          <w:p w14:paraId="50BB9CCF" w14:textId="77777777" w:rsidR="001D7588" w:rsidRPr="00087F48" w:rsidRDefault="001D7588"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222.271 </w:t>
            </w:r>
          </w:p>
        </w:tc>
        <w:tc>
          <w:tcPr>
            <w:tcW w:w="492" w:type="pct"/>
            <w:tcBorders>
              <w:top w:val="nil"/>
              <w:left w:val="nil"/>
              <w:bottom w:val="single" w:sz="8" w:space="0" w:color="9BC2E6"/>
              <w:right w:val="nil"/>
            </w:tcBorders>
            <w:shd w:val="clear" w:color="auto" w:fill="auto"/>
            <w:noWrap/>
            <w:vAlign w:val="center"/>
            <w:hideMark/>
          </w:tcPr>
          <w:p w14:paraId="487BA171" w14:textId="77777777" w:rsidR="001D7588" w:rsidRPr="00087F48" w:rsidRDefault="001D7588"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6,5%</w:t>
            </w:r>
          </w:p>
        </w:tc>
        <w:tc>
          <w:tcPr>
            <w:tcW w:w="492" w:type="pct"/>
            <w:tcBorders>
              <w:top w:val="nil"/>
              <w:left w:val="nil"/>
              <w:bottom w:val="single" w:sz="8" w:space="0" w:color="9BC2E6"/>
              <w:right w:val="nil"/>
            </w:tcBorders>
            <w:shd w:val="clear" w:color="auto" w:fill="auto"/>
            <w:noWrap/>
            <w:vAlign w:val="center"/>
            <w:hideMark/>
          </w:tcPr>
          <w:p w14:paraId="49ED49A3" w14:textId="77777777" w:rsidR="001D7588" w:rsidRPr="00087F48" w:rsidRDefault="001D7588" w:rsidP="00446A14">
            <w:pPr>
              <w:spacing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8,5%</w:t>
            </w:r>
          </w:p>
        </w:tc>
      </w:tr>
    </w:tbl>
    <w:p w14:paraId="5749984B" w14:textId="77777777" w:rsidR="007E1FEC" w:rsidRDefault="001D7588" w:rsidP="001D7588">
      <w:pPr>
        <w:spacing w:after="0"/>
        <w:jc w:val="both"/>
        <w:rPr>
          <w:rFonts w:ascii="Calibri" w:eastAsia="Times New Roman" w:hAnsi="Calibri" w:cs="Times New Roman"/>
          <w:bCs/>
          <w:color w:val="002060"/>
          <w:kern w:val="0"/>
          <w14:ligatures w14:val="none"/>
        </w:rPr>
      </w:pPr>
      <w:r w:rsidRPr="001D7588">
        <w:rPr>
          <w:rFonts w:ascii="Calibri" w:eastAsia="Times New Roman" w:hAnsi="Calibri" w:cs="Times New Roman"/>
          <w:bCs/>
          <w:color w:val="002060"/>
          <w:kern w:val="0"/>
          <w14:ligatures w14:val="none"/>
        </w:rPr>
        <w:t>No ano de 2023, o resultado da rubrica de Outras Receitas Operacionais deduzidas de Outras Despesas Operacionais foi positivo no montante de R$ 241,2 milhões (R$ 226,4 milhões em 2022 e R$ 222,3</w:t>
      </w:r>
    </w:p>
    <w:p w14:paraId="15E5730B" w14:textId="581FCEB3" w:rsidR="001D7588" w:rsidRPr="001D7588" w:rsidRDefault="001D7588" w:rsidP="001D7588">
      <w:pPr>
        <w:spacing w:after="0"/>
        <w:jc w:val="both"/>
        <w:rPr>
          <w:rFonts w:ascii="Calibri" w:eastAsia="Times New Roman" w:hAnsi="Calibri" w:cs="Times New Roman"/>
          <w:bCs/>
          <w:color w:val="002060"/>
          <w:kern w:val="0"/>
          <w14:ligatures w14:val="none"/>
        </w:rPr>
      </w:pPr>
      <w:r w:rsidRPr="001D7588">
        <w:rPr>
          <w:rFonts w:ascii="Calibri" w:eastAsia="Times New Roman" w:hAnsi="Calibri" w:cs="Times New Roman"/>
          <w:bCs/>
          <w:color w:val="002060"/>
          <w:kern w:val="0"/>
          <w14:ligatures w14:val="none"/>
        </w:rPr>
        <w:t xml:space="preserve">milhões em 2021), aumento de 6,5% e 8,5% em relação aos exercícios de 2022 e 2021, respectivamente. As principais variações ocorreram nas seguintes rubricas: </w:t>
      </w:r>
    </w:p>
    <w:p w14:paraId="1E7B3BF9" w14:textId="77777777" w:rsidR="001D7588" w:rsidRPr="001D7588" w:rsidRDefault="001D7588" w:rsidP="001D7588">
      <w:pPr>
        <w:spacing w:after="0"/>
        <w:jc w:val="both"/>
        <w:rPr>
          <w:rFonts w:ascii="Calibri" w:eastAsia="Times New Roman" w:hAnsi="Calibri" w:cs="Times New Roman"/>
          <w:bCs/>
          <w:color w:val="002060"/>
          <w:kern w:val="0"/>
          <w14:ligatures w14:val="none"/>
        </w:rPr>
      </w:pPr>
      <w:r w:rsidRPr="001D7588">
        <w:rPr>
          <w:rFonts w:ascii="Calibri" w:eastAsia="Times New Roman" w:hAnsi="Calibri" w:cs="Times New Roman"/>
          <w:b/>
          <w:bCs/>
          <w:color w:val="002060"/>
          <w:kern w:val="0"/>
          <w14:ligatures w14:val="none"/>
        </w:rPr>
        <w:t>i) Subvenções Orçamentárias Recebidas:</w:t>
      </w:r>
      <w:r w:rsidRPr="001D7588">
        <w:rPr>
          <w:rFonts w:ascii="Calibri" w:eastAsia="Times New Roman" w:hAnsi="Calibri" w:cs="Times New Roman"/>
          <w:bCs/>
          <w:color w:val="002060"/>
          <w:kern w:val="0"/>
          <w14:ligatures w14:val="none"/>
        </w:rPr>
        <w:t xml:space="preserve">  A partir de 1 de janeiro de 2020, a Telebras passou a ser classificada como uma Empresa Estatal Dependente, e, dessa forma, passou a receber recursos orçamentários para o pagamento dos gastos com pessoal, outros custeios e investimentos. Os recursos recebidos para pagamento de pessoal e outros custeios são reconhecidos no resultado da Companhia com base no CPC 07 – Subvenções e Assistência Governamentais, os recursos de investimento são contabilizados no passivo exigível (não circulante) como Adiantamento para Futuro Aumento de Capital (AFAC). Em 2023, a Telebras reconheceu o montante de R$ 240,2 milhões no resultado da Companhia (R$ 241,5 milhões em 2022 e R$ 216,6 em 2021). </w:t>
      </w:r>
    </w:p>
    <w:p w14:paraId="78B8842A" w14:textId="77777777" w:rsidR="001D7588" w:rsidRPr="001D7588" w:rsidRDefault="001D7588" w:rsidP="001D7588">
      <w:pPr>
        <w:spacing w:after="0"/>
        <w:jc w:val="both"/>
        <w:rPr>
          <w:rFonts w:ascii="Calibri" w:eastAsia="Times New Roman" w:hAnsi="Calibri" w:cs="Times New Roman"/>
          <w:bCs/>
          <w:color w:val="002060"/>
          <w:kern w:val="0"/>
          <w14:ligatures w14:val="none"/>
        </w:rPr>
      </w:pPr>
      <w:proofErr w:type="spellStart"/>
      <w:r w:rsidRPr="001D7588">
        <w:rPr>
          <w:rFonts w:ascii="Calibri" w:eastAsia="Times New Roman" w:hAnsi="Calibri" w:cs="Times New Roman"/>
          <w:b/>
          <w:bCs/>
          <w:color w:val="002060"/>
          <w:kern w:val="0"/>
          <w14:ligatures w14:val="none"/>
        </w:rPr>
        <w:t>ii</w:t>
      </w:r>
      <w:proofErr w:type="spellEnd"/>
      <w:r w:rsidRPr="001D7588">
        <w:rPr>
          <w:rFonts w:ascii="Calibri" w:eastAsia="Times New Roman" w:hAnsi="Calibri" w:cs="Times New Roman"/>
          <w:b/>
          <w:bCs/>
          <w:color w:val="002060"/>
          <w:kern w:val="0"/>
          <w14:ligatures w14:val="none"/>
        </w:rPr>
        <w:t>) Superávit de Previdência Privada:</w:t>
      </w:r>
      <w:r w:rsidRPr="001D7588">
        <w:rPr>
          <w:rFonts w:ascii="Calibri" w:eastAsia="Times New Roman" w:hAnsi="Calibri" w:cs="Times New Roman"/>
          <w:bCs/>
          <w:color w:val="002060"/>
          <w:kern w:val="0"/>
          <w14:ligatures w14:val="none"/>
        </w:rPr>
        <w:t xml:space="preserve"> Trata-se do reconhecimento do superávit relativo aos planos PBS-A e PBS-Telebras distribuídos pela Sistel no exercício de 2023 e que serão recebidos pela Telebras em 36 parcelas mensais.</w:t>
      </w:r>
    </w:p>
    <w:p w14:paraId="59B32EC0" w14:textId="77777777" w:rsidR="001D7588" w:rsidRPr="001D7588" w:rsidRDefault="001D7588" w:rsidP="001D7588">
      <w:pPr>
        <w:spacing w:after="0"/>
        <w:jc w:val="both"/>
        <w:rPr>
          <w:rFonts w:ascii="Calibri" w:eastAsia="Times New Roman" w:hAnsi="Calibri" w:cs="Times New Roman"/>
          <w:bCs/>
          <w:color w:val="002060"/>
          <w:kern w:val="0"/>
          <w14:ligatures w14:val="none"/>
        </w:rPr>
      </w:pPr>
      <w:proofErr w:type="spellStart"/>
      <w:r w:rsidRPr="001D7588">
        <w:rPr>
          <w:rFonts w:ascii="Calibri" w:eastAsia="Times New Roman" w:hAnsi="Calibri" w:cs="Times New Roman"/>
          <w:b/>
          <w:bCs/>
          <w:color w:val="002060"/>
          <w:kern w:val="0"/>
          <w14:ligatures w14:val="none"/>
        </w:rPr>
        <w:t>iii</w:t>
      </w:r>
      <w:proofErr w:type="spellEnd"/>
      <w:r w:rsidRPr="001D7588">
        <w:rPr>
          <w:rFonts w:ascii="Calibri" w:eastAsia="Times New Roman" w:hAnsi="Calibri" w:cs="Times New Roman"/>
          <w:b/>
          <w:bCs/>
          <w:color w:val="002060"/>
          <w:kern w:val="0"/>
          <w14:ligatures w14:val="none"/>
        </w:rPr>
        <w:t>) Ganho na Baixa de Passivos:</w:t>
      </w:r>
      <w:r w:rsidRPr="001D7588">
        <w:rPr>
          <w:rFonts w:ascii="Calibri" w:eastAsia="Times New Roman" w:hAnsi="Calibri" w:cs="Times New Roman"/>
          <w:bCs/>
          <w:color w:val="002060"/>
          <w:kern w:val="0"/>
          <w14:ligatures w14:val="none"/>
        </w:rPr>
        <w:t xml:space="preserve"> A redução dos anos de 2023 e 2022 em relação ao ano de 2021 é explicada pelos seguintes eventos ocorridos no exercício de 2021: i) baixa relativa à prescrição dos valores objeto do processo de grupamento de ações realizado no exercício de 2011, devido à prescrição do direito de os acionistas não controladores exercerem o direito de reclamar tais valores. O valor baixado foi de R$ 13,1 milhões; </w:t>
      </w:r>
      <w:proofErr w:type="spellStart"/>
      <w:r w:rsidRPr="001D7588">
        <w:rPr>
          <w:rFonts w:ascii="Calibri" w:eastAsia="Times New Roman" w:hAnsi="Calibri" w:cs="Times New Roman"/>
          <w:bCs/>
          <w:color w:val="002060"/>
          <w:kern w:val="0"/>
          <w14:ligatures w14:val="none"/>
        </w:rPr>
        <w:t>ii</w:t>
      </w:r>
      <w:proofErr w:type="spellEnd"/>
      <w:r w:rsidRPr="001D7588">
        <w:rPr>
          <w:rFonts w:ascii="Calibri" w:eastAsia="Times New Roman" w:hAnsi="Calibri" w:cs="Times New Roman"/>
          <w:bCs/>
          <w:color w:val="002060"/>
          <w:kern w:val="0"/>
          <w14:ligatures w14:val="none"/>
        </w:rPr>
        <w:t xml:space="preserve">) baixa de valores relativos a fornecedores em função da </w:t>
      </w:r>
      <w:r w:rsidRPr="001D7588">
        <w:rPr>
          <w:rFonts w:ascii="Calibri" w:eastAsia="Times New Roman" w:hAnsi="Calibri" w:cs="Times New Roman"/>
          <w:bCs/>
          <w:color w:val="002060"/>
          <w:kern w:val="0"/>
          <w14:ligatures w14:val="none"/>
        </w:rPr>
        <w:lastRenderedPageBreak/>
        <w:t xml:space="preserve">conciliação de valores, </w:t>
      </w:r>
      <w:proofErr w:type="spellStart"/>
      <w:r w:rsidRPr="001D7588">
        <w:rPr>
          <w:rFonts w:ascii="Calibri" w:eastAsia="Times New Roman" w:hAnsi="Calibri" w:cs="Times New Roman"/>
          <w:bCs/>
          <w:color w:val="002060"/>
          <w:kern w:val="0"/>
          <w14:ligatures w14:val="none"/>
        </w:rPr>
        <w:t>esta</w:t>
      </w:r>
      <w:proofErr w:type="spellEnd"/>
      <w:r w:rsidRPr="001D7588">
        <w:rPr>
          <w:rFonts w:ascii="Calibri" w:eastAsia="Times New Roman" w:hAnsi="Calibri" w:cs="Times New Roman"/>
          <w:bCs/>
          <w:color w:val="002060"/>
          <w:kern w:val="0"/>
          <w14:ligatures w14:val="none"/>
        </w:rPr>
        <w:t xml:space="preserve"> baixa foi de R$ 0,8 milhão; e </w:t>
      </w:r>
      <w:proofErr w:type="spellStart"/>
      <w:r w:rsidRPr="001D7588">
        <w:rPr>
          <w:rFonts w:ascii="Calibri" w:eastAsia="Times New Roman" w:hAnsi="Calibri" w:cs="Times New Roman"/>
          <w:bCs/>
          <w:color w:val="002060"/>
          <w:kern w:val="0"/>
          <w14:ligatures w14:val="none"/>
        </w:rPr>
        <w:t>iii</w:t>
      </w:r>
      <w:proofErr w:type="spellEnd"/>
      <w:r w:rsidRPr="001D7588">
        <w:rPr>
          <w:rFonts w:ascii="Calibri" w:eastAsia="Times New Roman" w:hAnsi="Calibri" w:cs="Times New Roman"/>
          <w:bCs/>
          <w:color w:val="002060"/>
          <w:kern w:val="0"/>
          <w14:ligatures w14:val="none"/>
        </w:rPr>
        <w:t>) baixa de R$ 1,3 milhão relativo a valores de passivo de tributos realizada durante o processo de conciliação de contas</w:t>
      </w:r>
    </w:p>
    <w:p w14:paraId="4A156061" w14:textId="77777777" w:rsidR="001D7588" w:rsidRPr="001D7588" w:rsidRDefault="001D7588" w:rsidP="001D7588">
      <w:pPr>
        <w:spacing w:after="0"/>
        <w:jc w:val="both"/>
        <w:rPr>
          <w:rFonts w:ascii="Calibri" w:eastAsia="Times New Roman" w:hAnsi="Calibri" w:cs="Times New Roman"/>
          <w:bCs/>
          <w:color w:val="002060"/>
          <w:kern w:val="0"/>
          <w14:ligatures w14:val="none"/>
        </w:rPr>
      </w:pPr>
      <w:proofErr w:type="spellStart"/>
      <w:r w:rsidRPr="001D7588">
        <w:rPr>
          <w:rFonts w:ascii="Calibri" w:eastAsia="Times New Roman" w:hAnsi="Calibri" w:cs="Times New Roman"/>
          <w:b/>
          <w:bCs/>
          <w:color w:val="002060"/>
          <w:kern w:val="0"/>
          <w14:ligatures w14:val="none"/>
        </w:rPr>
        <w:t>iv</w:t>
      </w:r>
      <w:proofErr w:type="spellEnd"/>
      <w:r w:rsidRPr="001D7588">
        <w:rPr>
          <w:rFonts w:ascii="Calibri" w:eastAsia="Times New Roman" w:hAnsi="Calibri" w:cs="Times New Roman"/>
          <w:b/>
          <w:bCs/>
          <w:color w:val="002060"/>
          <w:kern w:val="0"/>
          <w14:ligatures w14:val="none"/>
        </w:rPr>
        <w:t>) Multas sobre Contas a Receber – Contratos:</w:t>
      </w:r>
      <w:r w:rsidRPr="001D7588">
        <w:rPr>
          <w:rFonts w:ascii="Calibri" w:eastAsia="Times New Roman" w:hAnsi="Calibri" w:cs="Times New Roman"/>
          <w:bCs/>
          <w:color w:val="002060"/>
          <w:kern w:val="0"/>
          <w14:ligatures w14:val="none"/>
        </w:rPr>
        <w:t xml:space="preserve"> No ano de 2023, a Companhia reconheceu no resultado do período o valor relativo às multas aplicadas pela Dataprev sobre o contrato de prestação de serviços em decorrência de penalidades aplicadas na execução dos serviços. A Telebras vinha mantendo conversações com a Dataprev, no sentido de reverter tais penalidades, mas não obteve sucesso. O montante dessas multas foi de R$ 39,4 milhões.</w:t>
      </w:r>
    </w:p>
    <w:p w14:paraId="311F40E8" w14:textId="77777777" w:rsidR="001D7588" w:rsidRPr="001D7588" w:rsidRDefault="001D7588" w:rsidP="001D7588">
      <w:pPr>
        <w:spacing w:after="0"/>
        <w:jc w:val="both"/>
        <w:rPr>
          <w:rFonts w:ascii="Calibri" w:eastAsia="Times New Roman" w:hAnsi="Calibri" w:cs="Times New Roman"/>
          <w:bCs/>
          <w:color w:val="002060"/>
          <w:kern w:val="0"/>
          <w14:ligatures w14:val="none"/>
        </w:rPr>
      </w:pPr>
      <w:r w:rsidRPr="001D7588">
        <w:rPr>
          <w:rFonts w:ascii="Calibri" w:eastAsia="Times New Roman" w:hAnsi="Calibri" w:cs="Times New Roman"/>
          <w:b/>
          <w:bCs/>
          <w:color w:val="002060"/>
          <w:kern w:val="0"/>
          <w14:ligatures w14:val="none"/>
        </w:rPr>
        <w:t>v) Baixa de Ativos por Perdas – Tributos:</w:t>
      </w:r>
      <w:r w:rsidRPr="001D7588">
        <w:rPr>
          <w:rFonts w:ascii="Calibri" w:eastAsia="Times New Roman" w:hAnsi="Calibri" w:cs="Times New Roman"/>
          <w:bCs/>
          <w:color w:val="002060"/>
          <w:kern w:val="0"/>
          <w14:ligatures w14:val="none"/>
        </w:rPr>
        <w:t xml:space="preserve"> Representa o valor baixado dos créditos de tributos, principalmente, o ICMS, por impossibilidade de recuperabilidade.</w:t>
      </w:r>
    </w:p>
    <w:p w14:paraId="1709CBB1" w14:textId="77777777" w:rsidR="001D7588" w:rsidRPr="001D7588" w:rsidRDefault="001D7588" w:rsidP="001D7588">
      <w:pPr>
        <w:spacing w:after="0"/>
        <w:jc w:val="both"/>
        <w:rPr>
          <w:rFonts w:ascii="Calibri" w:eastAsia="Times New Roman" w:hAnsi="Calibri" w:cs="Times New Roman"/>
          <w:bCs/>
          <w:color w:val="002060"/>
          <w:kern w:val="0"/>
          <w14:ligatures w14:val="none"/>
        </w:rPr>
      </w:pPr>
      <w:r w:rsidRPr="001D7588">
        <w:rPr>
          <w:rFonts w:ascii="Calibri" w:eastAsia="Times New Roman" w:hAnsi="Calibri" w:cs="Times New Roman"/>
          <w:b/>
          <w:bCs/>
          <w:color w:val="002060"/>
          <w:kern w:val="0"/>
          <w14:ligatures w14:val="none"/>
        </w:rPr>
        <w:t>vi) Baixa de Bens do Ativo Imobilizado:</w:t>
      </w:r>
      <w:r w:rsidRPr="001D7588">
        <w:rPr>
          <w:rFonts w:ascii="Calibri" w:eastAsia="Times New Roman" w:hAnsi="Calibri" w:cs="Times New Roman"/>
          <w:bCs/>
          <w:color w:val="002060"/>
          <w:kern w:val="0"/>
          <w14:ligatures w14:val="none"/>
        </w:rPr>
        <w:t xml:space="preserve"> A redução de 97,7% é explicada pelo maior volume de baixas realizadas no ano de 2022 devido ao resultado do inventário dos bens da Telebras concluído naquele período.</w:t>
      </w:r>
    </w:p>
    <w:p w14:paraId="2F95C51F" w14:textId="1786AB62" w:rsidR="001D7588" w:rsidRDefault="001D7588" w:rsidP="001D7588">
      <w:pPr>
        <w:spacing w:after="0"/>
        <w:jc w:val="both"/>
        <w:rPr>
          <w:rFonts w:ascii="Calibri" w:eastAsia="Times New Roman" w:hAnsi="Calibri" w:cs="Times New Roman"/>
          <w:b/>
          <w:bCs/>
          <w:color w:val="002060"/>
          <w:kern w:val="0"/>
          <w14:ligatures w14:val="none"/>
        </w:rPr>
      </w:pPr>
      <w:r>
        <w:rPr>
          <w:rFonts w:ascii="Calibri" w:eastAsia="Times New Roman" w:hAnsi="Calibri" w:cs="Times New Roman"/>
          <w:b/>
          <w:bCs/>
          <w:color w:val="002060"/>
          <w:kern w:val="0"/>
          <w14:ligatures w14:val="none"/>
        </w:rPr>
        <w:t xml:space="preserve">3.2.6. </w:t>
      </w:r>
      <w:r w:rsidRPr="001D7588">
        <w:rPr>
          <w:rFonts w:ascii="Calibri" w:eastAsia="Times New Roman" w:hAnsi="Calibri" w:cs="Times New Roman"/>
          <w:b/>
          <w:bCs/>
          <w:color w:val="002060"/>
          <w:kern w:val="0"/>
          <w14:ligatures w14:val="none"/>
        </w:rPr>
        <w:t xml:space="preserve">Resultado Financeiro </w:t>
      </w:r>
    </w:p>
    <w:tbl>
      <w:tblPr>
        <w:tblW w:w="5000" w:type="pct"/>
        <w:tblCellMar>
          <w:left w:w="70" w:type="dxa"/>
          <w:right w:w="70" w:type="dxa"/>
        </w:tblCellMar>
        <w:tblLook w:val="04A0" w:firstRow="1" w:lastRow="0" w:firstColumn="1" w:lastColumn="0" w:noHBand="0" w:noVBand="1"/>
      </w:tblPr>
      <w:tblGrid>
        <w:gridCol w:w="4587"/>
        <w:gridCol w:w="909"/>
        <w:gridCol w:w="909"/>
        <w:gridCol w:w="909"/>
        <w:gridCol w:w="879"/>
        <w:gridCol w:w="879"/>
      </w:tblGrid>
      <w:tr w:rsidR="00D86180" w:rsidRPr="00D86180" w14:paraId="4FD5B1CE" w14:textId="77777777" w:rsidTr="00446A14">
        <w:trPr>
          <w:trHeight w:val="238"/>
        </w:trPr>
        <w:tc>
          <w:tcPr>
            <w:tcW w:w="2499" w:type="pct"/>
            <w:tcBorders>
              <w:top w:val="single" w:sz="8" w:space="0" w:color="8EA9DB"/>
              <w:left w:val="nil"/>
              <w:bottom w:val="single" w:sz="8" w:space="0" w:color="8EA9DB"/>
              <w:right w:val="nil"/>
            </w:tcBorders>
            <w:shd w:val="clear" w:color="auto" w:fill="auto"/>
            <w:noWrap/>
            <w:vAlign w:val="center"/>
            <w:hideMark/>
          </w:tcPr>
          <w:p w14:paraId="1B36A9E8" w14:textId="77777777" w:rsidR="00D86180" w:rsidRPr="00D86180" w:rsidRDefault="00D86180" w:rsidP="00D86180">
            <w:pPr>
              <w:spacing w:after="0" w:line="240" w:lineRule="auto"/>
              <w:rPr>
                <w:rFonts w:ascii="Arial" w:eastAsia="Times New Roman" w:hAnsi="Arial" w:cs="Arial"/>
                <w:b/>
                <w:bCs/>
                <w:color w:val="2F75B5"/>
                <w:kern w:val="0"/>
                <w:sz w:val="16"/>
                <w:szCs w:val="18"/>
                <w:lang w:eastAsia="pt-BR"/>
                <w14:ligatures w14:val="none"/>
              </w:rPr>
            </w:pPr>
            <w:bookmarkStart w:id="13" w:name="_Hlk162267540"/>
            <w:r w:rsidRPr="00D86180">
              <w:rPr>
                <w:rFonts w:ascii="Arial" w:eastAsia="Times New Roman" w:hAnsi="Arial" w:cs="Arial"/>
                <w:b/>
                <w:bCs/>
                <w:color w:val="2F75B5"/>
                <w:kern w:val="0"/>
                <w:sz w:val="16"/>
                <w:szCs w:val="18"/>
                <w:lang w:eastAsia="pt-BR"/>
                <w14:ligatures w14:val="none"/>
              </w:rPr>
              <w:t>R$ mil</w:t>
            </w:r>
          </w:p>
        </w:tc>
        <w:tc>
          <w:tcPr>
            <w:tcW w:w="507" w:type="pct"/>
            <w:tcBorders>
              <w:top w:val="single" w:sz="8" w:space="0" w:color="8EA9DB"/>
              <w:left w:val="nil"/>
              <w:bottom w:val="single" w:sz="8" w:space="0" w:color="8EA9DB"/>
              <w:right w:val="nil"/>
            </w:tcBorders>
            <w:shd w:val="clear" w:color="000000" w:fill="FFFFFF"/>
            <w:noWrap/>
            <w:vAlign w:val="center"/>
            <w:hideMark/>
          </w:tcPr>
          <w:p w14:paraId="1B20EE38" w14:textId="77777777" w:rsidR="00D86180" w:rsidRPr="00D86180" w:rsidRDefault="00D86180" w:rsidP="00D86180">
            <w:pPr>
              <w:spacing w:after="0" w:line="240" w:lineRule="auto"/>
              <w:jc w:val="center"/>
              <w:rPr>
                <w:rFonts w:ascii="Arial" w:eastAsia="Times New Roman" w:hAnsi="Arial" w:cs="Arial"/>
                <w:b/>
                <w:bCs/>
                <w:color w:val="2F75B5"/>
                <w:kern w:val="0"/>
                <w:sz w:val="16"/>
                <w:szCs w:val="18"/>
                <w:lang w:eastAsia="pt-BR"/>
                <w14:ligatures w14:val="none"/>
              </w:rPr>
            </w:pPr>
            <w:r w:rsidRPr="00D86180">
              <w:rPr>
                <w:rFonts w:ascii="Arial" w:eastAsia="Times New Roman" w:hAnsi="Arial" w:cs="Arial"/>
                <w:b/>
                <w:bCs/>
                <w:color w:val="2F75B5"/>
                <w:kern w:val="0"/>
                <w:sz w:val="16"/>
                <w:szCs w:val="18"/>
                <w:lang w:eastAsia="pt-BR"/>
                <w14:ligatures w14:val="none"/>
              </w:rPr>
              <w:t>2023</w:t>
            </w:r>
          </w:p>
        </w:tc>
        <w:tc>
          <w:tcPr>
            <w:tcW w:w="507" w:type="pct"/>
            <w:tcBorders>
              <w:top w:val="single" w:sz="8" w:space="0" w:color="8EA9DB"/>
              <w:left w:val="nil"/>
              <w:bottom w:val="single" w:sz="8" w:space="0" w:color="8EA9DB"/>
              <w:right w:val="nil"/>
            </w:tcBorders>
            <w:shd w:val="clear" w:color="000000" w:fill="FFFFFF"/>
            <w:noWrap/>
            <w:vAlign w:val="center"/>
            <w:hideMark/>
          </w:tcPr>
          <w:p w14:paraId="595F9204" w14:textId="77777777" w:rsidR="00D86180" w:rsidRPr="00D86180" w:rsidRDefault="00D86180" w:rsidP="00D86180">
            <w:pPr>
              <w:spacing w:after="0" w:line="240" w:lineRule="auto"/>
              <w:jc w:val="center"/>
              <w:rPr>
                <w:rFonts w:ascii="Arial" w:eastAsia="Times New Roman" w:hAnsi="Arial" w:cs="Arial"/>
                <w:b/>
                <w:bCs/>
                <w:color w:val="2F75B5"/>
                <w:kern w:val="0"/>
                <w:sz w:val="16"/>
                <w:szCs w:val="18"/>
                <w:lang w:eastAsia="pt-BR"/>
                <w14:ligatures w14:val="none"/>
              </w:rPr>
            </w:pPr>
            <w:r w:rsidRPr="00D86180">
              <w:rPr>
                <w:rFonts w:ascii="Arial" w:eastAsia="Times New Roman" w:hAnsi="Arial" w:cs="Arial"/>
                <w:b/>
                <w:bCs/>
                <w:color w:val="2F75B5"/>
                <w:kern w:val="0"/>
                <w:sz w:val="16"/>
                <w:szCs w:val="18"/>
                <w:lang w:eastAsia="pt-BR"/>
                <w14:ligatures w14:val="none"/>
              </w:rPr>
              <w:t>2022</w:t>
            </w:r>
          </w:p>
        </w:tc>
        <w:tc>
          <w:tcPr>
            <w:tcW w:w="507" w:type="pct"/>
            <w:tcBorders>
              <w:top w:val="single" w:sz="8" w:space="0" w:color="8EA9DB"/>
              <w:left w:val="nil"/>
              <w:bottom w:val="single" w:sz="8" w:space="0" w:color="8EA9DB"/>
              <w:right w:val="nil"/>
            </w:tcBorders>
            <w:shd w:val="clear" w:color="000000" w:fill="FFFFFF"/>
            <w:noWrap/>
            <w:vAlign w:val="center"/>
            <w:hideMark/>
          </w:tcPr>
          <w:p w14:paraId="42717BB8" w14:textId="77777777" w:rsidR="00D86180" w:rsidRPr="00D86180" w:rsidRDefault="00D86180" w:rsidP="00D86180">
            <w:pPr>
              <w:spacing w:after="0" w:line="240" w:lineRule="auto"/>
              <w:jc w:val="center"/>
              <w:rPr>
                <w:rFonts w:ascii="Arial" w:eastAsia="Times New Roman" w:hAnsi="Arial" w:cs="Arial"/>
                <w:b/>
                <w:bCs/>
                <w:color w:val="2F75B5"/>
                <w:kern w:val="0"/>
                <w:sz w:val="16"/>
                <w:szCs w:val="18"/>
                <w:lang w:eastAsia="pt-BR"/>
                <w14:ligatures w14:val="none"/>
              </w:rPr>
            </w:pPr>
            <w:r w:rsidRPr="00D86180">
              <w:rPr>
                <w:rFonts w:ascii="Arial" w:eastAsia="Times New Roman" w:hAnsi="Arial" w:cs="Arial"/>
                <w:b/>
                <w:bCs/>
                <w:color w:val="2F75B5"/>
                <w:kern w:val="0"/>
                <w:sz w:val="16"/>
                <w:szCs w:val="18"/>
                <w:lang w:eastAsia="pt-BR"/>
                <w14:ligatures w14:val="none"/>
              </w:rPr>
              <w:t>2021</w:t>
            </w:r>
          </w:p>
        </w:tc>
        <w:tc>
          <w:tcPr>
            <w:tcW w:w="490" w:type="pct"/>
            <w:tcBorders>
              <w:top w:val="single" w:sz="8" w:space="0" w:color="8EA9DB"/>
              <w:left w:val="nil"/>
              <w:bottom w:val="single" w:sz="8" w:space="0" w:color="8EA9DB"/>
              <w:right w:val="nil"/>
            </w:tcBorders>
            <w:shd w:val="clear" w:color="000000" w:fill="FFFFFF"/>
            <w:vAlign w:val="center"/>
            <w:hideMark/>
          </w:tcPr>
          <w:p w14:paraId="16A41AA3" w14:textId="77777777" w:rsidR="00D86180" w:rsidRPr="00D86180" w:rsidRDefault="00D86180" w:rsidP="00D86180">
            <w:pPr>
              <w:spacing w:after="0" w:line="240" w:lineRule="auto"/>
              <w:jc w:val="center"/>
              <w:rPr>
                <w:rFonts w:ascii="Arial" w:eastAsia="Times New Roman" w:hAnsi="Arial" w:cs="Arial"/>
                <w:b/>
                <w:bCs/>
                <w:color w:val="2F75B5"/>
                <w:kern w:val="0"/>
                <w:sz w:val="16"/>
                <w:szCs w:val="18"/>
                <w:lang w:eastAsia="pt-BR"/>
                <w14:ligatures w14:val="none"/>
              </w:rPr>
            </w:pPr>
            <w:r w:rsidRPr="00D86180">
              <w:rPr>
                <w:rFonts w:ascii="Arial" w:eastAsia="Times New Roman" w:hAnsi="Arial" w:cs="Arial"/>
                <w:b/>
                <w:bCs/>
                <w:color w:val="2F75B5"/>
                <w:kern w:val="0"/>
                <w:sz w:val="16"/>
                <w:szCs w:val="18"/>
                <w:lang w:eastAsia="pt-BR"/>
                <w14:ligatures w14:val="none"/>
              </w:rPr>
              <w:t>Δ 2023 X 2022</w:t>
            </w:r>
          </w:p>
        </w:tc>
        <w:tc>
          <w:tcPr>
            <w:tcW w:w="490" w:type="pct"/>
            <w:tcBorders>
              <w:top w:val="single" w:sz="8" w:space="0" w:color="8EA9DB"/>
              <w:left w:val="nil"/>
              <w:bottom w:val="single" w:sz="8" w:space="0" w:color="8EA9DB"/>
              <w:right w:val="nil"/>
            </w:tcBorders>
            <w:shd w:val="clear" w:color="000000" w:fill="FFFFFF"/>
            <w:vAlign w:val="center"/>
            <w:hideMark/>
          </w:tcPr>
          <w:p w14:paraId="309E9C0F" w14:textId="77777777" w:rsidR="00D86180" w:rsidRPr="00D86180" w:rsidRDefault="00D86180" w:rsidP="00D86180">
            <w:pPr>
              <w:spacing w:after="0" w:line="240" w:lineRule="auto"/>
              <w:jc w:val="center"/>
              <w:rPr>
                <w:rFonts w:ascii="Arial" w:eastAsia="Times New Roman" w:hAnsi="Arial" w:cs="Arial"/>
                <w:b/>
                <w:bCs/>
                <w:color w:val="2F75B5"/>
                <w:kern w:val="0"/>
                <w:sz w:val="16"/>
                <w:szCs w:val="18"/>
                <w:lang w:eastAsia="pt-BR"/>
                <w14:ligatures w14:val="none"/>
              </w:rPr>
            </w:pPr>
            <w:r w:rsidRPr="00D86180">
              <w:rPr>
                <w:rFonts w:ascii="Arial" w:eastAsia="Times New Roman" w:hAnsi="Arial" w:cs="Arial"/>
                <w:b/>
                <w:bCs/>
                <w:color w:val="2F75B5"/>
                <w:kern w:val="0"/>
                <w:sz w:val="16"/>
                <w:szCs w:val="18"/>
                <w:lang w:eastAsia="pt-BR"/>
                <w14:ligatures w14:val="none"/>
              </w:rPr>
              <w:t>Δ 2023 X 2021</w:t>
            </w:r>
          </w:p>
        </w:tc>
      </w:tr>
      <w:tr w:rsidR="00D86180" w:rsidRPr="00D86180" w14:paraId="216F9279" w14:textId="77777777" w:rsidTr="00446A14">
        <w:trPr>
          <w:trHeight w:val="238"/>
        </w:trPr>
        <w:tc>
          <w:tcPr>
            <w:tcW w:w="2499" w:type="pct"/>
            <w:tcBorders>
              <w:top w:val="nil"/>
              <w:left w:val="nil"/>
              <w:bottom w:val="nil"/>
              <w:right w:val="nil"/>
            </w:tcBorders>
            <w:shd w:val="clear" w:color="auto" w:fill="auto"/>
            <w:noWrap/>
            <w:vAlign w:val="center"/>
            <w:hideMark/>
          </w:tcPr>
          <w:p w14:paraId="54131B2E" w14:textId="77777777" w:rsidR="00D86180" w:rsidRPr="00D86180" w:rsidRDefault="00D86180" w:rsidP="00D86180">
            <w:pPr>
              <w:spacing w:after="0" w:line="240" w:lineRule="auto"/>
              <w:rPr>
                <w:rFonts w:ascii="Arial" w:eastAsia="Times New Roman" w:hAnsi="Arial" w:cs="Arial"/>
                <w:b/>
                <w:bCs/>
                <w:color w:val="000000"/>
                <w:kern w:val="0"/>
                <w:sz w:val="16"/>
                <w:szCs w:val="17"/>
                <w:lang w:eastAsia="pt-BR"/>
                <w14:ligatures w14:val="none"/>
              </w:rPr>
            </w:pPr>
            <w:r w:rsidRPr="00D86180">
              <w:rPr>
                <w:rFonts w:ascii="Arial" w:eastAsia="Times New Roman" w:hAnsi="Arial" w:cs="Arial"/>
                <w:b/>
                <w:bCs/>
                <w:color w:val="000000"/>
                <w:kern w:val="0"/>
                <w:sz w:val="16"/>
                <w:szCs w:val="17"/>
                <w:lang w:eastAsia="pt-BR"/>
                <w14:ligatures w14:val="none"/>
              </w:rPr>
              <w:t>Receitas Financeiras</w:t>
            </w:r>
          </w:p>
        </w:tc>
        <w:tc>
          <w:tcPr>
            <w:tcW w:w="507" w:type="pct"/>
            <w:tcBorders>
              <w:top w:val="nil"/>
              <w:left w:val="nil"/>
              <w:bottom w:val="nil"/>
              <w:right w:val="nil"/>
            </w:tcBorders>
            <w:shd w:val="clear" w:color="auto" w:fill="auto"/>
            <w:noWrap/>
            <w:vAlign w:val="center"/>
            <w:hideMark/>
          </w:tcPr>
          <w:p w14:paraId="7C068A66" w14:textId="77777777" w:rsidR="00D86180" w:rsidRPr="00D86180" w:rsidRDefault="00D86180" w:rsidP="00D86180">
            <w:pPr>
              <w:spacing w:after="0" w:line="240" w:lineRule="auto"/>
              <w:rPr>
                <w:rFonts w:ascii="Arial" w:eastAsia="Times New Roman" w:hAnsi="Arial" w:cs="Arial"/>
                <w:b/>
                <w:bCs/>
                <w:color w:val="000000"/>
                <w:kern w:val="0"/>
                <w:sz w:val="16"/>
                <w:szCs w:val="17"/>
                <w:lang w:eastAsia="pt-BR"/>
                <w14:ligatures w14:val="none"/>
              </w:rPr>
            </w:pPr>
          </w:p>
        </w:tc>
        <w:tc>
          <w:tcPr>
            <w:tcW w:w="507" w:type="pct"/>
            <w:tcBorders>
              <w:top w:val="nil"/>
              <w:left w:val="nil"/>
              <w:bottom w:val="nil"/>
              <w:right w:val="nil"/>
            </w:tcBorders>
            <w:shd w:val="clear" w:color="auto" w:fill="auto"/>
            <w:noWrap/>
            <w:vAlign w:val="center"/>
            <w:hideMark/>
          </w:tcPr>
          <w:p w14:paraId="21F87154" w14:textId="77777777" w:rsidR="00D86180" w:rsidRPr="00D86180" w:rsidRDefault="00D86180" w:rsidP="00D86180">
            <w:pPr>
              <w:spacing w:after="0" w:line="240" w:lineRule="auto"/>
              <w:rPr>
                <w:rFonts w:ascii="Arial" w:eastAsia="Times New Roman" w:hAnsi="Arial" w:cs="Arial"/>
                <w:kern w:val="0"/>
                <w:sz w:val="16"/>
                <w:szCs w:val="20"/>
                <w:lang w:eastAsia="pt-BR"/>
                <w14:ligatures w14:val="none"/>
              </w:rPr>
            </w:pPr>
          </w:p>
        </w:tc>
        <w:tc>
          <w:tcPr>
            <w:tcW w:w="507" w:type="pct"/>
            <w:tcBorders>
              <w:top w:val="nil"/>
              <w:left w:val="nil"/>
              <w:bottom w:val="nil"/>
              <w:right w:val="nil"/>
            </w:tcBorders>
            <w:shd w:val="clear" w:color="auto" w:fill="auto"/>
            <w:noWrap/>
            <w:vAlign w:val="center"/>
            <w:hideMark/>
          </w:tcPr>
          <w:p w14:paraId="53206A2C" w14:textId="77777777" w:rsidR="00D86180" w:rsidRPr="00D86180" w:rsidRDefault="00D86180" w:rsidP="00D86180">
            <w:pPr>
              <w:spacing w:after="0" w:line="240" w:lineRule="auto"/>
              <w:rPr>
                <w:rFonts w:ascii="Arial" w:eastAsia="Times New Roman" w:hAnsi="Arial" w:cs="Arial"/>
                <w:kern w:val="0"/>
                <w:sz w:val="16"/>
                <w:szCs w:val="20"/>
                <w:lang w:eastAsia="pt-BR"/>
                <w14:ligatures w14:val="none"/>
              </w:rPr>
            </w:pPr>
          </w:p>
        </w:tc>
        <w:tc>
          <w:tcPr>
            <w:tcW w:w="490" w:type="pct"/>
            <w:tcBorders>
              <w:top w:val="nil"/>
              <w:left w:val="nil"/>
              <w:bottom w:val="nil"/>
              <w:right w:val="nil"/>
            </w:tcBorders>
            <w:shd w:val="clear" w:color="auto" w:fill="auto"/>
            <w:vAlign w:val="center"/>
            <w:hideMark/>
          </w:tcPr>
          <w:p w14:paraId="1D95FED7" w14:textId="77777777" w:rsidR="00D86180" w:rsidRPr="00D86180" w:rsidRDefault="00D86180" w:rsidP="00D86180">
            <w:pPr>
              <w:spacing w:after="0" w:line="240" w:lineRule="auto"/>
              <w:rPr>
                <w:rFonts w:ascii="Arial" w:eastAsia="Times New Roman" w:hAnsi="Arial" w:cs="Arial"/>
                <w:b/>
                <w:bCs/>
                <w:color w:val="000000"/>
                <w:kern w:val="0"/>
                <w:sz w:val="16"/>
                <w:szCs w:val="17"/>
                <w:lang w:eastAsia="pt-BR"/>
                <w14:ligatures w14:val="none"/>
              </w:rPr>
            </w:pPr>
            <w:r w:rsidRPr="00D86180">
              <w:rPr>
                <w:rFonts w:ascii="Arial" w:eastAsia="Times New Roman" w:hAnsi="Arial" w:cs="Arial"/>
                <w:b/>
                <w:bCs/>
                <w:color w:val="000000"/>
                <w:kern w:val="0"/>
                <w:sz w:val="16"/>
                <w:szCs w:val="17"/>
                <w:lang w:eastAsia="pt-BR"/>
                <w14:ligatures w14:val="none"/>
              </w:rPr>
              <w:t xml:space="preserve"> </w:t>
            </w:r>
          </w:p>
        </w:tc>
        <w:tc>
          <w:tcPr>
            <w:tcW w:w="490" w:type="pct"/>
            <w:tcBorders>
              <w:top w:val="nil"/>
              <w:left w:val="nil"/>
              <w:bottom w:val="nil"/>
              <w:right w:val="nil"/>
            </w:tcBorders>
            <w:shd w:val="clear" w:color="auto" w:fill="auto"/>
            <w:vAlign w:val="center"/>
            <w:hideMark/>
          </w:tcPr>
          <w:p w14:paraId="1E5E4451" w14:textId="77777777" w:rsidR="00D86180" w:rsidRPr="00D86180" w:rsidRDefault="00D86180" w:rsidP="00D86180">
            <w:pPr>
              <w:spacing w:after="0" w:line="240" w:lineRule="auto"/>
              <w:rPr>
                <w:rFonts w:ascii="Arial" w:eastAsia="Times New Roman" w:hAnsi="Arial" w:cs="Arial"/>
                <w:b/>
                <w:bCs/>
                <w:color w:val="000000"/>
                <w:kern w:val="0"/>
                <w:sz w:val="16"/>
                <w:szCs w:val="17"/>
                <w:lang w:eastAsia="pt-BR"/>
                <w14:ligatures w14:val="none"/>
              </w:rPr>
            </w:pPr>
            <w:r w:rsidRPr="00D86180">
              <w:rPr>
                <w:rFonts w:ascii="Arial" w:eastAsia="Times New Roman" w:hAnsi="Arial" w:cs="Arial"/>
                <w:b/>
                <w:bCs/>
                <w:color w:val="000000"/>
                <w:kern w:val="0"/>
                <w:sz w:val="16"/>
                <w:szCs w:val="17"/>
                <w:lang w:eastAsia="pt-BR"/>
                <w14:ligatures w14:val="none"/>
              </w:rPr>
              <w:t xml:space="preserve"> </w:t>
            </w:r>
          </w:p>
        </w:tc>
      </w:tr>
      <w:tr w:rsidR="00D86180" w:rsidRPr="00D86180" w14:paraId="13A31497" w14:textId="77777777" w:rsidTr="00446A14">
        <w:trPr>
          <w:trHeight w:val="238"/>
        </w:trPr>
        <w:tc>
          <w:tcPr>
            <w:tcW w:w="2499" w:type="pct"/>
            <w:tcBorders>
              <w:top w:val="nil"/>
              <w:left w:val="nil"/>
              <w:bottom w:val="nil"/>
              <w:right w:val="nil"/>
            </w:tcBorders>
            <w:shd w:val="clear" w:color="auto" w:fill="auto"/>
            <w:noWrap/>
            <w:vAlign w:val="center"/>
            <w:hideMark/>
          </w:tcPr>
          <w:p w14:paraId="5052E487" w14:textId="77777777" w:rsidR="00D86180" w:rsidRPr="00D86180" w:rsidRDefault="00D86180" w:rsidP="00D86180">
            <w:pPr>
              <w:spacing w:after="0" w:line="240" w:lineRule="auto"/>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Juros sobre Aplicação Financeira (i)</w:t>
            </w:r>
          </w:p>
        </w:tc>
        <w:tc>
          <w:tcPr>
            <w:tcW w:w="507" w:type="pct"/>
            <w:tcBorders>
              <w:top w:val="nil"/>
              <w:left w:val="nil"/>
              <w:bottom w:val="nil"/>
              <w:right w:val="nil"/>
            </w:tcBorders>
            <w:shd w:val="clear" w:color="auto" w:fill="auto"/>
            <w:noWrap/>
            <w:vAlign w:val="center"/>
            <w:hideMark/>
          </w:tcPr>
          <w:p w14:paraId="1715EE34"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 xml:space="preserve">   155.382 </w:t>
            </w:r>
          </w:p>
        </w:tc>
        <w:tc>
          <w:tcPr>
            <w:tcW w:w="507" w:type="pct"/>
            <w:tcBorders>
              <w:top w:val="nil"/>
              <w:left w:val="nil"/>
              <w:bottom w:val="nil"/>
              <w:right w:val="nil"/>
            </w:tcBorders>
            <w:shd w:val="clear" w:color="auto" w:fill="auto"/>
            <w:noWrap/>
            <w:vAlign w:val="center"/>
            <w:hideMark/>
          </w:tcPr>
          <w:p w14:paraId="3F600E97"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 xml:space="preserve">   108.348 </w:t>
            </w:r>
          </w:p>
        </w:tc>
        <w:tc>
          <w:tcPr>
            <w:tcW w:w="507" w:type="pct"/>
            <w:tcBorders>
              <w:top w:val="nil"/>
              <w:left w:val="nil"/>
              <w:bottom w:val="nil"/>
              <w:right w:val="nil"/>
            </w:tcBorders>
            <w:shd w:val="clear" w:color="auto" w:fill="auto"/>
            <w:noWrap/>
            <w:vAlign w:val="center"/>
            <w:hideMark/>
          </w:tcPr>
          <w:p w14:paraId="631C9E8E"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 xml:space="preserve">    24.877 </w:t>
            </w:r>
          </w:p>
        </w:tc>
        <w:tc>
          <w:tcPr>
            <w:tcW w:w="490" w:type="pct"/>
            <w:tcBorders>
              <w:top w:val="nil"/>
              <w:left w:val="nil"/>
              <w:bottom w:val="nil"/>
              <w:right w:val="nil"/>
            </w:tcBorders>
            <w:shd w:val="clear" w:color="auto" w:fill="auto"/>
            <w:noWrap/>
            <w:vAlign w:val="center"/>
            <w:hideMark/>
          </w:tcPr>
          <w:p w14:paraId="5BFB9669"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43,4%</w:t>
            </w:r>
          </w:p>
        </w:tc>
        <w:tc>
          <w:tcPr>
            <w:tcW w:w="490" w:type="pct"/>
            <w:tcBorders>
              <w:top w:val="nil"/>
              <w:left w:val="nil"/>
              <w:bottom w:val="nil"/>
              <w:right w:val="nil"/>
            </w:tcBorders>
            <w:shd w:val="clear" w:color="auto" w:fill="auto"/>
            <w:noWrap/>
            <w:vAlign w:val="center"/>
            <w:hideMark/>
          </w:tcPr>
          <w:p w14:paraId="5DC61867"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524,6%</w:t>
            </w:r>
          </w:p>
        </w:tc>
      </w:tr>
      <w:tr w:rsidR="00D86180" w:rsidRPr="00D86180" w14:paraId="266C138E" w14:textId="77777777" w:rsidTr="00446A14">
        <w:trPr>
          <w:trHeight w:val="238"/>
        </w:trPr>
        <w:tc>
          <w:tcPr>
            <w:tcW w:w="2499" w:type="pct"/>
            <w:tcBorders>
              <w:top w:val="nil"/>
              <w:left w:val="nil"/>
              <w:bottom w:val="nil"/>
              <w:right w:val="nil"/>
            </w:tcBorders>
            <w:shd w:val="clear" w:color="auto" w:fill="auto"/>
            <w:noWrap/>
            <w:vAlign w:val="center"/>
            <w:hideMark/>
          </w:tcPr>
          <w:p w14:paraId="7259B148" w14:textId="77777777" w:rsidR="00D86180" w:rsidRPr="00D86180" w:rsidRDefault="00D86180" w:rsidP="00D86180">
            <w:pPr>
              <w:spacing w:after="0" w:line="240" w:lineRule="auto"/>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Juros sobre Tributos</w:t>
            </w:r>
          </w:p>
        </w:tc>
        <w:tc>
          <w:tcPr>
            <w:tcW w:w="507" w:type="pct"/>
            <w:tcBorders>
              <w:top w:val="nil"/>
              <w:left w:val="nil"/>
              <w:bottom w:val="nil"/>
              <w:right w:val="nil"/>
            </w:tcBorders>
            <w:shd w:val="clear" w:color="auto" w:fill="auto"/>
            <w:noWrap/>
            <w:vAlign w:val="center"/>
            <w:hideMark/>
          </w:tcPr>
          <w:p w14:paraId="75F2FB7B"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 xml:space="preserve">    12.221 </w:t>
            </w:r>
          </w:p>
        </w:tc>
        <w:tc>
          <w:tcPr>
            <w:tcW w:w="507" w:type="pct"/>
            <w:tcBorders>
              <w:top w:val="nil"/>
              <w:left w:val="nil"/>
              <w:bottom w:val="nil"/>
              <w:right w:val="nil"/>
            </w:tcBorders>
            <w:shd w:val="clear" w:color="auto" w:fill="auto"/>
            <w:noWrap/>
            <w:vAlign w:val="center"/>
            <w:hideMark/>
          </w:tcPr>
          <w:p w14:paraId="05A6A648"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 xml:space="preserve">      8.743 </w:t>
            </w:r>
          </w:p>
        </w:tc>
        <w:tc>
          <w:tcPr>
            <w:tcW w:w="507" w:type="pct"/>
            <w:tcBorders>
              <w:top w:val="nil"/>
              <w:left w:val="nil"/>
              <w:bottom w:val="nil"/>
              <w:right w:val="nil"/>
            </w:tcBorders>
            <w:shd w:val="clear" w:color="auto" w:fill="auto"/>
            <w:noWrap/>
            <w:vAlign w:val="center"/>
            <w:hideMark/>
          </w:tcPr>
          <w:p w14:paraId="6545D0BA"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 xml:space="preserve">      6.460 </w:t>
            </w:r>
          </w:p>
        </w:tc>
        <w:tc>
          <w:tcPr>
            <w:tcW w:w="490" w:type="pct"/>
            <w:tcBorders>
              <w:top w:val="nil"/>
              <w:left w:val="nil"/>
              <w:bottom w:val="nil"/>
              <w:right w:val="nil"/>
            </w:tcBorders>
            <w:shd w:val="clear" w:color="auto" w:fill="auto"/>
            <w:noWrap/>
            <w:vAlign w:val="center"/>
            <w:hideMark/>
          </w:tcPr>
          <w:p w14:paraId="42654EBB"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39,8%</w:t>
            </w:r>
          </w:p>
        </w:tc>
        <w:tc>
          <w:tcPr>
            <w:tcW w:w="490" w:type="pct"/>
            <w:tcBorders>
              <w:top w:val="nil"/>
              <w:left w:val="nil"/>
              <w:bottom w:val="nil"/>
              <w:right w:val="nil"/>
            </w:tcBorders>
            <w:shd w:val="clear" w:color="auto" w:fill="auto"/>
            <w:noWrap/>
            <w:vAlign w:val="center"/>
            <w:hideMark/>
          </w:tcPr>
          <w:p w14:paraId="438A29A2"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89,2%</w:t>
            </w:r>
          </w:p>
        </w:tc>
      </w:tr>
      <w:tr w:rsidR="00D86180" w:rsidRPr="00D86180" w14:paraId="46623AB3" w14:textId="77777777" w:rsidTr="00446A14">
        <w:trPr>
          <w:trHeight w:val="238"/>
        </w:trPr>
        <w:tc>
          <w:tcPr>
            <w:tcW w:w="2499" w:type="pct"/>
            <w:tcBorders>
              <w:top w:val="nil"/>
              <w:left w:val="nil"/>
              <w:bottom w:val="nil"/>
              <w:right w:val="nil"/>
            </w:tcBorders>
            <w:shd w:val="clear" w:color="auto" w:fill="auto"/>
            <w:noWrap/>
            <w:vAlign w:val="center"/>
            <w:hideMark/>
          </w:tcPr>
          <w:p w14:paraId="1B36F10D" w14:textId="77777777" w:rsidR="00D86180" w:rsidRPr="00D86180" w:rsidRDefault="00D86180" w:rsidP="00D86180">
            <w:pPr>
              <w:spacing w:after="0" w:line="240" w:lineRule="auto"/>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Juros sobre Depósitos Judiciais</w:t>
            </w:r>
          </w:p>
        </w:tc>
        <w:tc>
          <w:tcPr>
            <w:tcW w:w="507" w:type="pct"/>
            <w:tcBorders>
              <w:top w:val="nil"/>
              <w:left w:val="nil"/>
              <w:bottom w:val="nil"/>
              <w:right w:val="nil"/>
            </w:tcBorders>
            <w:shd w:val="clear" w:color="auto" w:fill="auto"/>
            <w:noWrap/>
            <w:vAlign w:val="center"/>
            <w:hideMark/>
          </w:tcPr>
          <w:p w14:paraId="25CA379F"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 xml:space="preserve">      4.142 </w:t>
            </w:r>
          </w:p>
        </w:tc>
        <w:tc>
          <w:tcPr>
            <w:tcW w:w="507" w:type="pct"/>
            <w:tcBorders>
              <w:top w:val="nil"/>
              <w:left w:val="nil"/>
              <w:bottom w:val="nil"/>
              <w:right w:val="nil"/>
            </w:tcBorders>
            <w:shd w:val="clear" w:color="auto" w:fill="auto"/>
            <w:noWrap/>
            <w:vAlign w:val="center"/>
            <w:hideMark/>
          </w:tcPr>
          <w:p w14:paraId="59C49591"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 xml:space="preserve">      3.467 </w:t>
            </w:r>
          </w:p>
        </w:tc>
        <w:tc>
          <w:tcPr>
            <w:tcW w:w="507" w:type="pct"/>
            <w:tcBorders>
              <w:top w:val="nil"/>
              <w:left w:val="nil"/>
              <w:bottom w:val="nil"/>
              <w:right w:val="nil"/>
            </w:tcBorders>
            <w:shd w:val="clear" w:color="auto" w:fill="auto"/>
            <w:noWrap/>
            <w:vAlign w:val="center"/>
            <w:hideMark/>
          </w:tcPr>
          <w:p w14:paraId="65AACE77"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 xml:space="preserve">      2.616 </w:t>
            </w:r>
          </w:p>
        </w:tc>
        <w:tc>
          <w:tcPr>
            <w:tcW w:w="490" w:type="pct"/>
            <w:tcBorders>
              <w:top w:val="nil"/>
              <w:left w:val="nil"/>
              <w:bottom w:val="nil"/>
              <w:right w:val="nil"/>
            </w:tcBorders>
            <w:shd w:val="clear" w:color="auto" w:fill="auto"/>
            <w:noWrap/>
            <w:vAlign w:val="center"/>
            <w:hideMark/>
          </w:tcPr>
          <w:p w14:paraId="64BF8F8F"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19,5%</w:t>
            </w:r>
          </w:p>
        </w:tc>
        <w:tc>
          <w:tcPr>
            <w:tcW w:w="490" w:type="pct"/>
            <w:tcBorders>
              <w:top w:val="nil"/>
              <w:left w:val="nil"/>
              <w:bottom w:val="nil"/>
              <w:right w:val="nil"/>
            </w:tcBorders>
            <w:shd w:val="clear" w:color="auto" w:fill="auto"/>
            <w:noWrap/>
            <w:vAlign w:val="center"/>
            <w:hideMark/>
          </w:tcPr>
          <w:p w14:paraId="23F3431B"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58,3%</w:t>
            </w:r>
          </w:p>
        </w:tc>
      </w:tr>
      <w:tr w:rsidR="00D86180" w:rsidRPr="00D86180" w14:paraId="3A1ED106" w14:textId="77777777" w:rsidTr="00446A14">
        <w:trPr>
          <w:trHeight w:val="238"/>
        </w:trPr>
        <w:tc>
          <w:tcPr>
            <w:tcW w:w="2499" w:type="pct"/>
            <w:tcBorders>
              <w:top w:val="nil"/>
              <w:left w:val="nil"/>
              <w:bottom w:val="nil"/>
              <w:right w:val="nil"/>
            </w:tcBorders>
            <w:shd w:val="clear" w:color="auto" w:fill="auto"/>
            <w:noWrap/>
            <w:vAlign w:val="center"/>
            <w:hideMark/>
          </w:tcPr>
          <w:p w14:paraId="4172C157" w14:textId="77777777" w:rsidR="00D86180" w:rsidRPr="00D86180" w:rsidRDefault="00D86180" w:rsidP="00D86180">
            <w:pPr>
              <w:spacing w:after="0" w:line="240" w:lineRule="auto"/>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Juros sobre Superávit Previdência Privada (</w:t>
            </w:r>
            <w:proofErr w:type="spellStart"/>
            <w:r w:rsidRPr="00D86180">
              <w:rPr>
                <w:rFonts w:ascii="Arial" w:eastAsia="Times New Roman" w:hAnsi="Arial" w:cs="Arial"/>
                <w:color w:val="000000"/>
                <w:kern w:val="0"/>
                <w:sz w:val="16"/>
                <w:szCs w:val="17"/>
                <w:lang w:eastAsia="pt-BR"/>
                <w14:ligatures w14:val="none"/>
              </w:rPr>
              <w:t>ii</w:t>
            </w:r>
            <w:proofErr w:type="spellEnd"/>
            <w:r w:rsidRPr="00D86180">
              <w:rPr>
                <w:rFonts w:ascii="Arial" w:eastAsia="Times New Roman" w:hAnsi="Arial" w:cs="Arial"/>
                <w:color w:val="000000"/>
                <w:kern w:val="0"/>
                <w:sz w:val="16"/>
                <w:szCs w:val="17"/>
                <w:lang w:eastAsia="pt-BR"/>
                <w14:ligatures w14:val="none"/>
              </w:rPr>
              <w:t>)</w:t>
            </w:r>
          </w:p>
        </w:tc>
        <w:tc>
          <w:tcPr>
            <w:tcW w:w="507" w:type="pct"/>
            <w:tcBorders>
              <w:top w:val="nil"/>
              <w:left w:val="nil"/>
              <w:bottom w:val="nil"/>
              <w:right w:val="nil"/>
            </w:tcBorders>
            <w:shd w:val="clear" w:color="auto" w:fill="auto"/>
            <w:noWrap/>
            <w:vAlign w:val="center"/>
            <w:hideMark/>
          </w:tcPr>
          <w:p w14:paraId="6A6FF80D"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 xml:space="preserve">      1.439 </w:t>
            </w:r>
          </w:p>
        </w:tc>
        <w:tc>
          <w:tcPr>
            <w:tcW w:w="507" w:type="pct"/>
            <w:tcBorders>
              <w:top w:val="nil"/>
              <w:left w:val="nil"/>
              <w:bottom w:val="nil"/>
              <w:right w:val="nil"/>
            </w:tcBorders>
            <w:shd w:val="clear" w:color="auto" w:fill="auto"/>
            <w:noWrap/>
            <w:vAlign w:val="center"/>
            <w:hideMark/>
          </w:tcPr>
          <w:p w14:paraId="648BF592"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 xml:space="preserve">      4.132 </w:t>
            </w:r>
          </w:p>
        </w:tc>
        <w:tc>
          <w:tcPr>
            <w:tcW w:w="507" w:type="pct"/>
            <w:tcBorders>
              <w:top w:val="nil"/>
              <w:left w:val="nil"/>
              <w:bottom w:val="nil"/>
              <w:right w:val="nil"/>
            </w:tcBorders>
            <w:shd w:val="clear" w:color="auto" w:fill="auto"/>
            <w:noWrap/>
            <w:vAlign w:val="center"/>
            <w:hideMark/>
          </w:tcPr>
          <w:p w14:paraId="6858BCA0"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 xml:space="preserve">    17.374 </w:t>
            </w:r>
          </w:p>
        </w:tc>
        <w:tc>
          <w:tcPr>
            <w:tcW w:w="490" w:type="pct"/>
            <w:tcBorders>
              <w:top w:val="nil"/>
              <w:left w:val="nil"/>
              <w:bottom w:val="nil"/>
              <w:right w:val="nil"/>
            </w:tcBorders>
            <w:shd w:val="clear" w:color="auto" w:fill="auto"/>
            <w:noWrap/>
            <w:vAlign w:val="center"/>
            <w:hideMark/>
          </w:tcPr>
          <w:p w14:paraId="2F49371E"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-65,2%</w:t>
            </w:r>
          </w:p>
        </w:tc>
        <w:tc>
          <w:tcPr>
            <w:tcW w:w="490" w:type="pct"/>
            <w:tcBorders>
              <w:top w:val="nil"/>
              <w:left w:val="nil"/>
              <w:bottom w:val="nil"/>
              <w:right w:val="nil"/>
            </w:tcBorders>
            <w:shd w:val="clear" w:color="auto" w:fill="auto"/>
            <w:noWrap/>
            <w:vAlign w:val="center"/>
            <w:hideMark/>
          </w:tcPr>
          <w:p w14:paraId="26D45071"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-91,7%</w:t>
            </w:r>
          </w:p>
        </w:tc>
      </w:tr>
      <w:tr w:rsidR="00D86180" w:rsidRPr="00D86180" w14:paraId="4FF8672F" w14:textId="77777777" w:rsidTr="00446A14">
        <w:trPr>
          <w:trHeight w:val="238"/>
        </w:trPr>
        <w:tc>
          <w:tcPr>
            <w:tcW w:w="2499" w:type="pct"/>
            <w:tcBorders>
              <w:top w:val="nil"/>
              <w:left w:val="nil"/>
              <w:bottom w:val="nil"/>
              <w:right w:val="nil"/>
            </w:tcBorders>
            <w:shd w:val="clear" w:color="auto" w:fill="auto"/>
            <w:noWrap/>
            <w:vAlign w:val="center"/>
            <w:hideMark/>
          </w:tcPr>
          <w:p w14:paraId="4B45A214" w14:textId="77777777" w:rsidR="00D86180" w:rsidRPr="00D86180" w:rsidRDefault="00D86180" w:rsidP="00D86180">
            <w:pPr>
              <w:spacing w:after="0" w:line="240" w:lineRule="auto"/>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Outras Receitas</w:t>
            </w:r>
          </w:p>
        </w:tc>
        <w:tc>
          <w:tcPr>
            <w:tcW w:w="507" w:type="pct"/>
            <w:tcBorders>
              <w:top w:val="nil"/>
              <w:left w:val="nil"/>
              <w:bottom w:val="nil"/>
              <w:right w:val="nil"/>
            </w:tcBorders>
            <w:shd w:val="clear" w:color="auto" w:fill="auto"/>
            <w:noWrap/>
            <w:vAlign w:val="center"/>
            <w:hideMark/>
          </w:tcPr>
          <w:p w14:paraId="4967BD5F"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 xml:space="preserve">         294 </w:t>
            </w:r>
          </w:p>
        </w:tc>
        <w:tc>
          <w:tcPr>
            <w:tcW w:w="507" w:type="pct"/>
            <w:tcBorders>
              <w:top w:val="nil"/>
              <w:left w:val="nil"/>
              <w:bottom w:val="nil"/>
              <w:right w:val="nil"/>
            </w:tcBorders>
            <w:shd w:val="clear" w:color="auto" w:fill="auto"/>
            <w:noWrap/>
            <w:vAlign w:val="center"/>
            <w:hideMark/>
          </w:tcPr>
          <w:p w14:paraId="2BD8B2C4"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 xml:space="preserve">         349 </w:t>
            </w:r>
          </w:p>
        </w:tc>
        <w:tc>
          <w:tcPr>
            <w:tcW w:w="507" w:type="pct"/>
            <w:tcBorders>
              <w:top w:val="nil"/>
              <w:left w:val="nil"/>
              <w:bottom w:val="nil"/>
              <w:right w:val="nil"/>
            </w:tcBorders>
            <w:shd w:val="clear" w:color="auto" w:fill="auto"/>
            <w:noWrap/>
            <w:vAlign w:val="center"/>
            <w:hideMark/>
          </w:tcPr>
          <w:p w14:paraId="334EC718"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 xml:space="preserve">         720 </w:t>
            </w:r>
          </w:p>
        </w:tc>
        <w:tc>
          <w:tcPr>
            <w:tcW w:w="490" w:type="pct"/>
            <w:tcBorders>
              <w:top w:val="nil"/>
              <w:left w:val="nil"/>
              <w:bottom w:val="nil"/>
              <w:right w:val="nil"/>
            </w:tcBorders>
            <w:shd w:val="clear" w:color="auto" w:fill="auto"/>
            <w:noWrap/>
            <w:vAlign w:val="center"/>
            <w:hideMark/>
          </w:tcPr>
          <w:p w14:paraId="7038BEE7"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-15,8%</w:t>
            </w:r>
          </w:p>
        </w:tc>
        <w:tc>
          <w:tcPr>
            <w:tcW w:w="490" w:type="pct"/>
            <w:tcBorders>
              <w:top w:val="nil"/>
              <w:left w:val="nil"/>
              <w:bottom w:val="nil"/>
              <w:right w:val="nil"/>
            </w:tcBorders>
            <w:shd w:val="clear" w:color="auto" w:fill="auto"/>
            <w:noWrap/>
            <w:vAlign w:val="center"/>
            <w:hideMark/>
          </w:tcPr>
          <w:p w14:paraId="4C00A64B"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-59,2%</w:t>
            </w:r>
          </w:p>
        </w:tc>
      </w:tr>
      <w:tr w:rsidR="00D86180" w:rsidRPr="00D86180" w14:paraId="57392C0E" w14:textId="77777777" w:rsidTr="00446A14">
        <w:trPr>
          <w:trHeight w:val="238"/>
        </w:trPr>
        <w:tc>
          <w:tcPr>
            <w:tcW w:w="2499" w:type="pct"/>
            <w:tcBorders>
              <w:top w:val="nil"/>
              <w:left w:val="nil"/>
              <w:bottom w:val="nil"/>
              <w:right w:val="nil"/>
            </w:tcBorders>
            <w:shd w:val="clear" w:color="auto" w:fill="auto"/>
            <w:noWrap/>
            <w:vAlign w:val="center"/>
            <w:hideMark/>
          </w:tcPr>
          <w:p w14:paraId="079B4B0C" w14:textId="77777777" w:rsidR="00D86180" w:rsidRPr="00D86180" w:rsidRDefault="00D86180" w:rsidP="00D86180">
            <w:pPr>
              <w:spacing w:after="0" w:line="240" w:lineRule="auto"/>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Tributos sobre Receitas Financeiras</w:t>
            </w:r>
          </w:p>
        </w:tc>
        <w:tc>
          <w:tcPr>
            <w:tcW w:w="507" w:type="pct"/>
            <w:tcBorders>
              <w:top w:val="nil"/>
              <w:left w:val="nil"/>
              <w:bottom w:val="nil"/>
              <w:right w:val="nil"/>
            </w:tcBorders>
            <w:shd w:val="clear" w:color="auto" w:fill="auto"/>
            <w:noWrap/>
            <w:vAlign w:val="center"/>
            <w:hideMark/>
          </w:tcPr>
          <w:p w14:paraId="6B9ABE15"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 xml:space="preserve">     (7.840)</w:t>
            </w:r>
          </w:p>
        </w:tc>
        <w:tc>
          <w:tcPr>
            <w:tcW w:w="507" w:type="pct"/>
            <w:tcBorders>
              <w:top w:val="nil"/>
              <w:left w:val="nil"/>
              <w:bottom w:val="nil"/>
              <w:right w:val="nil"/>
            </w:tcBorders>
            <w:shd w:val="clear" w:color="auto" w:fill="auto"/>
            <w:noWrap/>
            <w:vAlign w:val="center"/>
            <w:hideMark/>
          </w:tcPr>
          <w:p w14:paraId="2A7B2AB5"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 xml:space="preserve">     (5.667)</w:t>
            </w:r>
          </w:p>
        </w:tc>
        <w:tc>
          <w:tcPr>
            <w:tcW w:w="507" w:type="pct"/>
            <w:tcBorders>
              <w:top w:val="nil"/>
              <w:left w:val="nil"/>
              <w:bottom w:val="nil"/>
              <w:right w:val="nil"/>
            </w:tcBorders>
            <w:shd w:val="clear" w:color="auto" w:fill="auto"/>
            <w:noWrap/>
            <w:vAlign w:val="center"/>
            <w:hideMark/>
          </w:tcPr>
          <w:p w14:paraId="52223DFD"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 xml:space="preserve">     (2.580)</w:t>
            </w:r>
          </w:p>
        </w:tc>
        <w:tc>
          <w:tcPr>
            <w:tcW w:w="490" w:type="pct"/>
            <w:tcBorders>
              <w:top w:val="nil"/>
              <w:left w:val="nil"/>
              <w:bottom w:val="nil"/>
              <w:right w:val="nil"/>
            </w:tcBorders>
            <w:shd w:val="clear" w:color="auto" w:fill="auto"/>
            <w:noWrap/>
            <w:vAlign w:val="center"/>
            <w:hideMark/>
          </w:tcPr>
          <w:p w14:paraId="06B103C2"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38,3%</w:t>
            </w:r>
          </w:p>
        </w:tc>
        <w:tc>
          <w:tcPr>
            <w:tcW w:w="490" w:type="pct"/>
            <w:tcBorders>
              <w:top w:val="nil"/>
              <w:left w:val="nil"/>
              <w:bottom w:val="nil"/>
              <w:right w:val="nil"/>
            </w:tcBorders>
            <w:shd w:val="clear" w:color="auto" w:fill="auto"/>
            <w:noWrap/>
            <w:vAlign w:val="center"/>
            <w:hideMark/>
          </w:tcPr>
          <w:p w14:paraId="4FE9CBB8"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203,9%</w:t>
            </w:r>
          </w:p>
        </w:tc>
      </w:tr>
      <w:tr w:rsidR="00D86180" w:rsidRPr="00D86180" w14:paraId="7BEA2460" w14:textId="77777777" w:rsidTr="00446A14">
        <w:trPr>
          <w:trHeight w:val="238"/>
        </w:trPr>
        <w:tc>
          <w:tcPr>
            <w:tcW w:w="2499" w:type="pct"/>
            <w:tcBorders>
              <w:top w:val="single" w:sz="8" w:space="0" w:color="9BC2E6"/>
              <w:left w:val="nil"/>
              <w:bottom w:val="single" w:sz="8" w:space="0" w:color="9BC2E6"/>
              <w:right w:val="nil"/>
            </w:tcBorders>
            <w:shd w:val="clear" w:color="auto" w:fill="auto"/>
            <w:noWrap/>
            <w:vAlign w:val="center"/>
            <w:hideMark/>
          </w:tcPr>
          <w:p w14:paraId="475C0999" w14:textId="77777777" w:rsidR="00D86180" w:rsidRPr="00D86180" w:rsidRDefault="00D86180" w:rsidP="00D86180">
            <w:pPr>
              <w:spacing w:after="0" w:line="240" w:lineRule="auto"/>
              <w:rPr>
                <w:rFonts w:ascii="Arial" w:eastAsia="Times New Roman" w:hAnsi="Arial" w:cs="Arial"/>
                <w:b/>
                <w:bCs/>
                <w:color w:val="000000"/>
                <w:kern w:val="0"/>
                <w:sz w:val="16"/>
                <w:szCs w:val="17"/>
                <w:lang w:eastAsia="pt-BR"/>
                <w14:ligatures w14:val="none"/>
              </w:rPr>
            </w:pPr>
            <w:r w:rsidRPr="00D86180">
              <w:rPr>
                <w:rFonts w:ascii="Arial" w:eastAsia="Times New Roman" w:hAnsi="Arial" w:cs="Arial"/>
                <w:b/>
                <w:bCs/>
                <w:color w:val="000000"/>
                <w:kern w:val="0"/>
                <w:sz w:val="16"/>
                <w:szCs w:val="17"/>
                <w:lang w:eastAsia="pt-BR"/>
                <w14:ligatures w14:val="none"/>
              </w:rPr>
              <w:t>Total</w:t>
            </w:r>
          </w:p>
        </w:tc>
        <w:tc>
          <w:tcPr>
            <w:tcW w:w="507" w:type="pct"/>
            <w:tcBorders>
              <w:top w:val="single" w:sz="8" w:space="0" w:color="9BC2E6"/>
              <w:left w:val="nil"/>
              <w:bottom w:val="single" w:sz="8" w:space="0" w:color="9BC2E6"/>
              <w:right w:val="nil"/>
            </w:tcBorders>
            <w:shd w:val="clear" w:color="auto" w:fill="auto"/>
            <w:noWrap/>
            <w:vAlign w:val="center"/>
            <w:hideMark/>
          </w:tcPr>
          <w:p w14:paraId="30E91DBB" w14:textId="77777777" w:rsidR="00D86180" w:rsidRPr="00D86180" w:rsidRDefault="00D86180" w:rsidP="00D86180">
            <w:pPr>
              <w:spacing w:after="0" w:line="240" w:lineRule="auto"/>
              <w:jc w:val="right"/>
              <w:rPr>
                <w:rFonts w:ascii="Arial" w:eastAsia="Times New Roman" w:hAnsi="Arial" w:cs="Arial"/>
                <w:b/>
                <w:bCs/>
                <w:color w:val="000000"/>
                <w:kern w:val="0"/>
                <w:sz w:val="16"/>
                <w:szCs w:val="17"/>
                <w:lang w:eastAsia="pt-BR"/>
                <w14:ligatures w14:val="none"/>
              </w:rPr>
            </w:pPr>
            <w:r w:rsidRPr="00D86180">
              <w:rPr>
                <w:rFonts w:ascii="Arial" w:eastAsia="Times New Roman" w:hAnsi="Arial" w:cs="Arial"/>
                <w:b/>
                <w:bCs/>
                <w:color w:val="000000"/>
                <w:kern w:val="0"/>
                <w:sz w:val="16"/>
                <w:szCs w:val="17"/>
                <w:lang w:eastAsia="pt-BR"/>
                <w14:ligatures w14:val="none"/>
              </w:rPr>
              <w:t xml:space="preserve">   165.638 </w:t>
            </w:r>
          </w:p>
        </w:tc>
        <w:tc>
          <w:tcPr>
            <w:tcW w:w="507" w:type="pct"/>
            <w:tcBorders>
              <w:top w:val="single" w:sz="8" w:space="0" w:color="9BC2E6"/>
              <w:left w:val="nil"/>
              <w:bottom w:val="single" w:sz="8" w:space="0" w:color="9BC2E6"/>
              <w:right w:val="nil"/>
            </w:tcBorders>
            <w:shd w:val="clear" w:color="auto" w:fill="auto"/>
            <w:noWrap/>
            <w:vAlign w:val="center"/>
            <w:hideMark/>
          </w:tcPr>
          <w:p w14:paraId="7A265F07" w14:textId="77777777" w:rsidR="00D86180" w:rsidRPr="00D86180" w:rsidRDefault="00D86180" w:rsidP="00D86180">
            <w:pPr>
              <w:spacing w:after="0" w:line="240" w:lineRule="auto"/>
              <w:jc w:val="right"/>
              <w:rPr>
                <w:rFonts w:ascii="Arial" w:eastAsia="Times New Roman" w:hAnsi="Arial" w:cs="Arial"/>
                <w:b/>
                <w:bCs/>
                <w:color w:val="000000"/>
                <w:kern w:val="0"/>
                <w:sz w:val="16"/>
                <w:szCs w:val="17"/>
                <w:lang w:eastAsia="pt-BR"/>
                <w14:ligatures w14:val="none"/>
              </w:rPr>
            </w:pPr>
            <w:r w:rsidRPr="00D86180">
              <w:rPr>
                <w:rFonts w:ascii="Arial" w:eastAsia="Times New Roman" w:hAnsi="Arial" w:cs="Arial"/>
                <w:b/>
                <w:bCs/>
                <w:color w:val="000000"/>
                <w:kern w:val="0"/>
                <w:sz w:val="16"/>
                <w:szCs w:val="17"/>
                <w:lang w:eastAsia="pt-BR"/>
                <w14:ligatures w14:val="none"/>
              </w:rPr>
              <w:t xml:space="preserve">   119.372 </w:t>
            </w:r>
          </w:p>
        </w:tc>
        <w:tc>
          <w:tcPr>
            <w:tcW w:w="507" w:type="pct"/>
            <w:tcBorders>
              <w:top w:val="single" w:sz="8" w:space="0" w:color="9BC2E6"/>
              <w:left w:val="nil"/>
              <w:bottom w:val="single" w:sz="8" w:space="0" w:color="9BC2E6"/>
              <w:right w:val="nil"/>
            </w:tcBorders>
            <w:shd w:val="clear" w:color="auto" w:fill="auto"/>
            <w:noWrap/>
            <w:vAlign w:val="center"/>
            <w:hideMark/>
          </w:tcPr>
          <w:p w14:paraId="2D18966A" w14:textId="77777777" w:rsidR="00D86180" w:rsidRPr="00D86180" w:rsidRDefault="00D86180" w:rsidP="00D86180">
            <w:pPr>
              <w:spacing w:after="0" w:line="240" w:lineRule="auto"/>
              <w:jc w:val="right"/>
              <w:rPr>
                <w:rFonts w:ascii="Arial" w:eastAsia="Times New Roman" w:hAnsi="Arial" w:cs="Arial"/>
                <w:b/>
                <w:bCs/>
                <w:color w:val="000000"/>
                <w:kern w:val="0"/>
                <w:sz w:val="16"/>
                <w:szCs w:val="17"/>
                <w:lang w:eastAsia="pt-BR"/>
                <w14:ligatures w14:val="none"/>
              </w:rPr>
            </w:pPr>
            <w:r w:rsidRPr="00D86180">
              <w:rPr>
                <w:rFonts w:ascii="Arial" w:eastAsia="Times New Roman" w:hAnsi="Arial" w:cs="Arial"/>
                <w:b/>
                <w:bCs/>
                <w:color w:val="000000"/>
                <w:kern w:val="0"/>
                <w:sz w:val="16"/>
                <w:szCs w:val="17"/>
                <w:lang w:eastAsia="pt-BR"/>
                <w14:ligatures w14:val="none"/>
              </w:rPr>
              <w:t xml:space="preserve">    49.467 </w:t>
            </w:r>
          </w:p>
        </w:tc>
        <w:tc>
          <w:tcPr>
            <w:tcW w:w="490" w:type="pct"/>
            <w:tcBorders>
              <w:top w:val="single" w:sz="8" w:space="0" w:color="9BC2E6"/>
              <w:left w:val="nil"/>
              <w:bottom w:val="single" w:sz="8" w:space="0" w:color="9BC2E6"/>
              <w:right w:val="nil"/>
            </w:tcBorders>
            <w:shd w:val="clear" w:color="auto" w:fill="auto"/>
            <w:noWrap/>
            <w:vAlign w:val="center"/>
            <w:hideMark/>
          </w:tcPr>
          <w:p w14:paraId="234F388D" w14:textId="77777777" w:rsidR="00D86180" w:rsidRPr="00D86180" w:rsidRDefault="00D86180" w:rsidP="00D86180">
            <w:pPr>
              <w:spacing w:after="0" w:line="240" w:lineRule="auto"/>
              <w:jc w:val="right"/>
              <w:rPr>
                <w:rFonts w:ascii="Arial" w:eastAsia="Times New Roman" w:hAnsi="Arial" w:cs="Arial"/>
                <w:b/>
                <w:bCs/>
                <w:color w:val="000000"/>
                <w:kern w:val="0"/>
                <w:sz w:val="16"/>
                <w:szCs w:val="17"/>
                <w:lang w:eastAsia="pt-BR"/>
                <w14:ligatures w14:val="none"/>
              </w:rPr>
            </w:pPr>
            <w:r w:rsidRPr="00D86180">
              <w:rPr>
                <w:rFonts w:ascii="Arial" w:eastAsia="Times New Roman" w:hAnsi="Arial" w:cs="Arial"/>
                <w:b/>
                <w:bCs/>
                <w:color w:val="000000"/>
                <w:kern w:val="0"/>
                <w:sz w:val="16"/>
                <w:szCs w:val="17"/>
                <w:lang w:eastAsia="pt-BR"/>
                <w14:ligatures w14:val="none"/>
              </w:rPr>
              <w:t>38,8%</w:t>
            </w:r>
          </w:p>
        </w:tc>
        <w:tc>
          <w:tcPr>
            <w:tcW w:w="490" w:type="pct"/>
            <w:tcBorders>
              <w:top w:val="single" w:sz="8" w:space="0" w:color="9BC2E6"/>
              <w:left w:val="nil"/>
              <w:bottom w:val="single" w:sz="8" w:space="0" w:color="9BC2E6"/>
              <w:right w:val="nil"/>
            </w:tcBorders>
            <w:shd w:val="clear" w:color="auto" w:fill="auto"/>
            <w:noWrap/>
            <w:vAlign w:val="center"/>
            <w:hideMark/>
          </w:tcPr>
          <w:p w14:paraId="31393D1C" w14:textId="77777777" w:rsidR="00D86180" w:rsidRPr="00D86180" w:rsidRDefault="00D86180" w:rsidP="00D86180">
            <w:pPr>
              <w:spacing w:after="0" w:line="240" w:lineRule="auto"/>
              <w:jc w:val="right"/>
              <w:rPr>
                <w:rFonts w:ascii="Arial" w:eastAsia="Times New Roman" w:hAnsi="Arial" w:cs="Arial"/>
                <w:b/>
                <w:bCs/>
                <w:color w:val="000000"/>
                <w:kern w:val="0"/>
                <w:sz w:val="16"/>
                <w:szCs w:val="17"/>
                <w:lang w:eastAsia="pt-BR"/>
                <w14:ligatures w14:val="none"/>
              </w:rPr>
            </w:pPr>
            <w:r w:rsidRPr="00D86180">
              <w:rPr>
                <w:rFonts w:ascii="Arial" w:eastAsia="Times New Roman" w:hAnsi="Arial" w:cs="Arial"/>
                <w:b/>
                <w:bCs/>
                <w:color w:val="000000"/>
                <w:kern w:val="0"/>
                <w:sz w:val="16"/>
                <w:szCs w:val="17"/>
                <w:lang w:eastAsia="pt-BR"/>
                <w14:ligatures w14:val="none"/>
              </w:rPr>
              <w:t>234,8%</w:t>
            </w:r>
          </w:p>
        </w:tc>
      </w:tr>
      <w:tr w:rsidR="00D86180" w:rsidRPr="00D86180" w14:paraId="2F6A7EB9" w14:textId="77777777" w:rsidTr="00446A14">
        <w:trPr>
          <w:trHeight w:val="238"/>
        </w:trPr>
        <w:tc>
          <w:tcPr>
            <w:tcW w:w="2499" w:type="pct"/>
            <w:tcBorders>
              <w:top w:val="nil"/>
              <w:left w:val="nil"/>
              <w:bottom w:val="nil"/>
              <w:right w:val="nil"/>
            </w:tcBorders>
            <w:shd w:val="clear" w:color="auto" w:fill="auto"/>
            <w:noWrap/>
            <w:vAlign w:val="center"/>
            <w:hideMark/>
          </w:tcPr>
          <w:p w14:paraId="60826278" w14:textId="77777777" w:rsidR="00D86180" w:rsidRPr="00D86180" w:rsidRDefault="00D86180" w:rsidP="00D86180">
            <w:pPr>
              <w:spacing w:after="0" w:line="240" w:lineRule="auto"/>
              <w:rPr>
                <w:rFonts w:ascii="Arial" w:eastAsia="Times New Roman" w:hAnsi="Arial" w:cs="Arial"/>
                <w:b/>
                <w:bCs/>
                <w:color w:val="000000"/>
                <w:kern w:val="0"/>
                <w:sz w:val="16"/>
                <w:szCs w:val="17"/>
                <w:lang w:eastAsia="pt-BR"/>
                <w14:ligatures w14:val="none"/>
              </w:rPr>
            </w:pPr>
            <w:r w:rsidRPr="00D86180">
              <w:rPr>
                <w:rFonts w:ascii="Arial" w:eastAsia="Times New Roman" w:hAnsi="Arial" w:cs="Arial"/>
                <w:b/>
                <w:bCs/>
                <w:color w:val="000000"/>
                <w:kern w:val="0"/>
                <w:sz w:val="16"/>
                <w:szCs w:val="17"/>
                <w:lang w:eastAsia="pt-BR"/>
                <w14:ligatures w14:val="none"/>
              </w:rPr>
              <w:t>Despesas Financeiras</w:t>
            </w:r>
          </w:p>
        </w:tc>
        <w:tc>
          <w:tcPr>
            <w:tcW w:w="507" w:type="pct"/>
            <w:tcBorders>
              <w:top w:val="nil"/>
              <w:left w:val="nil"/>
              <w:bottom w:val="nil"/>
              <w:right w:val="nil"/>
            </w:tcBorders>
            <w:shd w:val="clear" w:color="auto" w:fill="auto"/>
            <w:noWrap/>
            <w:vAlign w:val="bottom"/>
            <w:hideMark/>
          </w:tcPr>
          <w:p w14:paraId="05088F82" w14:textId="77777777" w:rsidR="00D86180" w:rsidRPr="00D86180" w:rsidRDefault="00D86180" w:rsidP="00D86180">
            <w:pPr>
              <w:spacing w:after="0" w:line="240" w:lineRule="auto"/>
              <w:rPr>
                <w:rFonts w:ascii="Arial" w:eastAsia="Times New Roman" w:hAnsi="Arial" w:cs="Arial"/>
                <w:b/>
                <w:bCs/>
                <w:color w:val="000000"/>
                <w:kern w:val="0"/>
                <w:sz w:val="16"/>
                <w:szCs w:val="17"/>
                <w:lang w:eastAsia="pt-BR"/>
                <w14:ligatures w14:val="none"/>
              </w:rPr>
            </w:pPr>
          </w:p>
        </w:tc>
        <w:tc>
          <w:tcPr>
            <w:tcW w:w="507" w:type="pct"/>
            <w:tcBorders>
              <w:top w:val="nil"/>
              <w:left w:val="nil"/>
              <w:bottom w:val="nil"/>
              <w:right w:val="nil"/>
            </w:tcBorders>
            <w:shd w:val="clear" w:color="auto" w:fill="auto"/>
            <w:noWrap/>
            <w:vAlign w:val="bottom"/>
            <w:hideMark/>
          </w:tcPr>
          <w:p w14:paraId="34760FA5" w14:textId="77777777" w:rsidR="00D86180" w:rsidRPr="00D86180" w:rsidRDefault="00D86180" w:rsidP="00D86180">
            <w:pPr>
              <w:spacing w:after="0" w:line="240" w:lineRule="auto"/>
              <w:rPr>
                <w:rFonts w:ascii="Arial" w:eastAsia="Times New Roman" w:hAnsi="Arial" w:cs="Arial"/>
                <w:kern w:val="0"/>
                <w:sz w:val="16"/>
                <w:szCs w:val="20"/>
                <w:lang w:eastAsia="pt-BR"/>
                <w14:ligatures w14:val="none"/>
              </w:rPr>
            </w:pPr>
          </w:p>
        </w:tc>
        <w:tc>
          <w:tcPr>
            <w:tcW w:w="507" w:type="pct"/>
            <w:tcBorders>
              <w:top w:val="nil"/>
              <w:left w:val="nil"/>
              <w:bottom w:val="nil"/>
              <w:right w:val="nil"/>
            </w:tcBorders>
            <w:shd w:val="clear" w:color="auto" w:fill="auto"/>
            <w:noWrap/>
            <w:vAlign w:val="bottom"/>
            <w:hideMark/>
          </w:tcPr>
          <w:p w14:paraId="3043073B" w14:textId="77777777" w:rsidR="00D86180" w:rsidRPr="00D86180" w:rsidRDefault="00D86180" w:rsidP="00D86180">
            <w:pPr>
              <w:spacing w:after="0" w:line="240" w:lineRule="auto"/>
              <w:rPr>
                <w:rFonts w:ascii="Arial" w:eastAsia="Times New Roman" w:hAnsi="Arial" w:cs="Arial"/>
                <w:kern w:val="0"/>
                <w:sz w:val="16"/>
                <w:szCs w:val="20"/>
                <w:lang w:eastAsia="pt-BR"/>
                <w14:ligatures w14:val="none"/>
              </w:rPr>
            </w:pPr>
          </w:p>
        </w:tc>
        <w:tc>
          <w:tcPr>
            <w:tcW w:w="490" w:type="pct"/>
            <w:tcBorders>
              <w:top w:val="nil"/>
              <w:left w:val="nil"/>
              <w:bottom w:val="nil"/>
              <w:right w:val="nil"/>
            </w:tcBorders>
            <w:shd w:val="clear" w:color="auto" w:fill="auto"/>
            <w:noWrap/>
            <w:vAlign w:val="bottom"/>
            <w:hideMark/>
          </w:tcPr>
          <w:p w14:paraId="1679378E" w14:textId="77777777" w:rsidR="00D86180" w:rsidRPr="00D86180" w:rsidRDefault="00D86180" w:rsidP="00D86180">
            <w:pPr>
              <w:spacing w:after="0" w:line="240" w:lineRule="auto"/>
              <w:rPr>
                <w:rFonts w:ascii="Arial" w:eastAsia="Times New Roman" w:hAnsi="Arial" w:cs="Arial"/>
                <w:kern w:val="0"/>
                <w:sz w:val="16"/>
                <w:szCs w:val="20"/>
                <w:lang w:eastAsia="pt-BR"/>
                <w14:ligatures w14:val="none"/>
              </w:rPr>
            </w:pPr>
          </w:p>
        </w:tc>
        <w:tc>
          <w:tcPr>
            <w:tcW w:w="490" w:type="pct"/>
            <w:tcBorders>
              <w:top w:val="nil"/>
              <w:left w:val="nil"/>
              <w:bottom w:val="nil"/>
              <w:right w:val="nil"/>
            </w:tcBorders>
            <w:shd w:val="clear" w:color="auto" w:fill="auto"/>
            <w:noWrap/>
            <w:vAlign w:val="bottom"/>
            <w:hideMark/>
          </w:tcPr>
          <w:p w14:paraId="43550340" w14:textId="77777777" w:rsidR="00D86180" w:rsidRPr="00D86180" w:rsidRDefault="00D86180" w:rsidP="00D86180">
            <w:pPr>
              <w:spacing w:after="0" w:line="240" w:lineRule="auto"/>
              <w:rPr>
                <w:rFonts w:ascii="Arial" w:eastAsia="Times New Roman" w:hAnsi="Arial" w:cs="Arial"/>
                <w:kern w:val="0"/>
                <w:sz w:val="16"/>
                <w:szCs w:val="20"/>
                <w:lang w:eastAsia="pt-BR"/>
                <w14:ligatures w14:val="none"/>
              </w:rPr>
            </w:pPr>
          </w:p>
        </w:tc>
      </w:tr>
      <w:tr w:rsidR="00D86180" w:rsidRPr="00D86180" w14:paraId="318500E8" w14:textId="77777777" w:rsidTr="00446A14">
        <w:trPr>
          <w:trHeight w:val="238"/>
        </w:trPr>
        <w:tc>
          <w:tcPr>
            <w:tcW w:w="2499" w:type="pct"/>
            <w:tcBorders>
              <w:top w:val="nil"/>
              <w:left w:val="nil"/>
              <w:bottom w:val="nil"/>
              <w:right w:val="nil"/>
            </w:tcBorders>
            <w:shd w:val="clear" w:color="auto" w:fill="auto"/>
            <w:noWrap/>
            <w:vAlign w:val="center"/>
            <w:hideMark/>
          </w:tcPr>
          <w:p w14:paraId="238C5C32" w14:textId="77777777" w:rsidR="00D86180" w:rsidRPr="00D86180" w:rsidRDefault="00D86180" w:rsidP="00D86180">
            <w:pPr>
              <w:spacing w:after="0" w:line="240" w:lineRule="auto"/>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Juros sobre Adiantamento para Futuro Aumento de Capital (</w:t>
            </w:r>
            <w:proofErr w:type="spellStart"/>
            <w:r w:rsidRPr="00D86180">
              <w:rPr>
                <w:rFonts w:ascii="Arial" w:eastAsia="Times New Roman" w:hAnsi="Arial" w:cs="Arial"/>
                <w:color w:val="000000"/>
                <w:kern w:val="0"/>
                <w:sz w:val="16"/>
                <w:szCs w:val="17"/>
                <w:lang w:eastAsia="pt-BR"/>
                <w14:ligatures w14:val="none"/>
              </w:rPr>
              <w:t>iii</w:t>
            </w:r>
            <w:proofErr w:type="spellEnd"/>
            <w:r w:rsidRPr="00D86180">
              <w:rPr>
                <w:rFonts w:ascii="Arial" w:eastAsia="Times New Roman" w:hAnsi="Arial" w:cs="Arial"/>
                <w:color w:val="000000"/>
                <w:kern w:val="0"/>
                <w:sz w:val="16"/>
                <w:szCs w:val="17"/>
                <w:lang w:eastAsia="pt-BR"/>
                <w14:ligatures w14:val="none"/>
              </w:rPr>
              <w:t>)</w:t>
            </w:r>
          </w:p>
        </w:tc>
        <w:tc>
          <w:tcPr>
            <w:tcW w:w="507" w:type="pct"/>
            <w:tcBorders>
              <w:top w:val="nil"/>
              <w:left w:val="nil"/>
              <w:bottom w:val="nil"/>
              <w:right w:val="nil"/>
            </w:tcBorders>
            <w:shd w:val="clear" w:color="auto" w:fill="auto"/>
            <w:noWrap/>
            <w:vAlign w:val="center"/>
            <w:hideMark/>
          </w:tcPr>
          <w:p w14:paraId="5AB9AD99"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 xml:space="preserve"> (198.416)</w:t>
            </w:r>
          </w:p>
        </w:tc>
        <w:tc>
          <w:tcPr>
            <w:tcW w:w="507" w:type="pct"/>
            <w:tcBorders>
              <w:top w:val="nil"/>
              <w:left w:val="nil"/>
              <w:bottom w:val="nil"/>
              <w:right w:val="nil"/>
            </w:tcBorders>
            <w:shd w:val="clear" w:color="auto" w:fill="auto"/>
            <w:noWrap/>
            <w:vAlign w:val="center"/>
            <w:hideMark/>
          </w:tcPr>
          <w:p w14:paraId="2045B2B5"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 xml:space="preserve"> (185.767)</w:t>
            </w:r>
          </w:p>
        </w:tc>
        <w:tc>
          <w:tcPr>
            <w:tcW w:w="507" w:type="pct"/>
            <w:tcBorders>
              <w:top w:val="nil"/>
              <w:left w:val="nil"/>
              <w:bottom w:val="nil"/>
              <w:right w:val="nil"/>
            </w:tcBorders>
            <w:shd w:val="clear" w:color="auto" w:fill="auto"/>
            <w:noWrap/>
            <w:vAlign w:val="center"/>
            <w:hideMark/>
          </w:tcPr>
          <w:p w14:paraId="2CE5815A"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 xml:space="preserve">   (69.344)</w:t>
            </w:r>
          </w:p>
        </w:tc>
        <w:tc>
          <w:tcPr>
            <w:tcW w:w="490" w:type="pct"/>
            <w:tcBorders>
              <w:top w:val="nil"/>
              <w:left w:val="nil"/>
              <w:bottom w:val="nil"/>
              <w:right w:val="nil"/>
            </w:tcBorders>
            <w:shd w:val="clear" w:color="auto" w:fill="auto"/>
            <w:noWrap/>
            <w:vAlign w:val="center"/>
            <w:hideMark/>
          </w:tcPr>
          <w:p w14:paraId="7BA02AFD"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6,8%</w:t>
            </w:r>
          </w:p>
        </w:tc>
        <w:tc>
          <w:tcPr>
            <w:tcW w:w="490" w:type="pct"/>
            <w:tcBorders>
              <w:top w:val="nil"/>
              <w:left w:val="nil"/>
              <w:bottom w:val="nil"/>
              <w:right w:val="nil"/>
            </w:tcBorders>
            <w:shd w:val="clear" w:color="auto" w:fill="auto"/>
            <w:noWrap/>
            <w:vAlign w:val="center"/>
            <w:hideMark/>
          </w:tcPr>
          <w:p w14:paraId="4A9E2F2F"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186,1%</w:t>
            </w:r>
          </w:p>
        </w:tc>
      </w:tr>
      <w:tr w:rsidR="00D86180" w:rsidRPr="00D86180" w14:paraId="10B2C860" w14:textId="77777777" w:rsidTr="00446A14">
        <w:trPr>
          <w:trHeight w:val="238"/>
        </w:trPr>
        <w:tc>
          <w:tcPr>
            <w:tcW w:w="2499" w:type="pct"/>
            <w:tcBorders>
              <w:top w:val="nil"/>
              <w:left w:val="nil"/>
              <w:bottom w:val="nil"/>
              <w:right w:val="nil"/>
            </w:tcBorders>
            <w:shd w:val="clear" w:color="auto" w:fill="auto"/>
            <w:noWrap/>
            <w:vAlign w:val="center"/>
            <w:hideMark/>
          </w:tcPr>
          <w:p w14:paraId="56808E29" w14:textId="77777777" w:rsidR="00D86180" w:rsidRPr="00D86180" w:rsidRDefault="00D86180" w:rsidP="00D86180">
            <w:pPr>
              <w:spacing w:after="0" w:line="240" w:lineRule="auto"/>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Juros e Variação Monetária de Acordos Judiciais (</w:t>
            </w:r>
            <w:proofErr w:type="spellStart"/>
            <w:r w:rsidRPr="00D86180">
              <w:rPr>
                <w:rFonts w:ascii="Arial" w:eastAsia="Times New Roman" w:hAnsi="Arial" w:cs="Arial"/>
                <w:color w:val="000000"/>
                <w:kern w:val="0"/>
                <w:sz w:val="16"/>
                <w:szCs w:val="17"/>
                <w:lang w:eastAsia="pt-BR"/>
                <w14:ligatures w14:val="none"/>
              </w:rPr>
              <w:t>iv</w:t>
            </w:r>
            <w:proofErr w:type="spellEnd"/>
            <w:r w:rsidRPr="00D86180">
              <w:rPr>
                <w:rFonts w:ascii="Arial" w:eastAsia="Times New Roman" w:hAnsi="Arial" w:cs="Arial"/>
                <w:color w:val="000000"/>
                <w:kern w:val="0"/>
                <w:sz w:val="16"/>
                <w:szCs w:val="17"/>
                <w:lang w:eastAsia="pt-BR"/>
                <w14:ligatures w14:val="none"/>
              </w:rPr>
              <w:t>)</w:t>
            </w:r>
          </w:p>
        </w:tc>
        <w:tc>
          <w:tcPr>
            <w:tcW w:w="507" w:type="pct"/>
            <w:tcBorders>
              <w:top w:val="nil"/>
              <w:left w:val="nil"/>
              <w:bottom w:val="nil"/>
              <w:right w:val="nil"/>
            </w:tcBorders>
            <w:shd w:val="clear" w:color="auto" w:fill="auto"/>
            <w:noWrap/>
            <w:vAlign w:val="center"/>
            <w:hideMark/>
          </w:tcPr>
          <w:p w14:paraId="1CDA987C"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 xml:space="preserve">   (13.678)</w:t>
            </w:r>
          </w:p>
        </w:tc>
        <w:tc>
          <w:tcPr>
            <w:tcW w:w="507" w:type="pct"/>
            <w:tcBorders>
              <w:top w:val="nil"/>
              <w:left w:val="nil"/>
              <w:bottom w:val="nil"/>
              <w:right w:val="nil"/>
            </w:tcBorders>
            <w:shd w:val="clear" w:color="auto" w:fill="auto"/>
            <w:noWrap/>
            <w:vAlign w:val="center"/>
            <w:hideMark/>
          </w:tcPr>
          <w:p w14:paraId="09187B82"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 xml:space="preserve">   (18.483)</w:t>
            </w:r>
          </w:p>
        </w:tc>
        <w:tc>
          <w:tcPr>
            <w:tcW w:w="507" w:type="pct"/>
            <w:tcBorders>
              <w:top w:val="nil"/>
              <w:left w:val="nil"/>
              <w:bottom w:val="nil"/>
              <w:right w:val="nil"/>
            </w:tcBorders>
            <w:shd w:val="clear" w:color="auto" w:fill="auto"/>
            <w:noWrap/>
            <w:vAlign w:val="center"/>
            <w:hideMark/>
          </w:tcPr>
          <w:p w14:paraId="0B46CF05"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 xml:space="preserve">   (25.904)</w:t>
            </w:r>
          </w:p>
        </w:tc>
        <w:tc>
          <w:tcPr>
            <w:tcW w:w="490" w:type="pct"/>
            <w:tcBorders>
              <w:top w:val="nil"/>
              <w:left w:val="nil"/>
              <w:bottom w:val="nil"/>
              <w:right w:val="nil"/>
            </w:tcBorders>
            <w:shd w:val="clear" w:color="auto" w:fill="auto"/>
            <w:noWrap/>
            <w:vAlign w:val="center"/>
            <w:hideMark/>
          </w:tcPr>
          <w:p w14:paraId="3680AD69"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-26,0%</w:t>
            </w:r>
          </w:p>
        </w:tc>
        <w:tc>
          <w:tcPr>
            <w:tcW w:w="490" w:type="pct"/>
            <w:tcBorders>
              <w:top w:val="nil"/>
              <w:left w:val="nil"/>
              <w:bottom w:val="nil"/>
              <w:right w:val="nil"/>
            </w:tcBorders>
            <w:shd w:val="clear" w:color="auto" w:fill="auto"/>
            <w:noWrap/>
            <w:vAlign w:val="center"/>
            <w:hideMark/>
          </w:tcPr>
          <w:p w14:paraId="018970A3"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-47,2%</w:t>
            </w:r>
          </w:p>
        </w:tc>
      </w:tr>
      <w:tr w:rsidR="00D86180" w:rsidRPr="00D86180" w14:paraId="72BC62A7" w14:textId="77777777" w:rsidTr="00446A14">
        <w:trPr>
          <w:trHeight w:val="238"/>
        </w:trPr>
        <w:tc>
          <w:tcPr>
            <w:tcW w:w="2499" w:type="pct"/>
            <w:tcBorders>
              <w:top w:val="nil"/>
              <w:left w:val="nil"/>
              <w:bottom w:val="nil"/>
              <w:right w:val="nil"/>
            </w:tcBorders>
            <w:shd w:val="clear" w:color="auto" w:fill="auto"/>
            <w:noWrap/>
            <w:vAlign w:val="center"/>
            <w:hideMark/>
          </w:tcPr>
          <w:p w14:paraId="35BDD654" w14:textId="77777777" w:rsidR="00D86180" w:rsidRPr="00D86180" w:rsidRDefault="00D86180" w:rsidP="00D86180">
            <w:pPr>
              <w:spacing w:after="0" w:line="240" w:lineRule="auto"/>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Juros/VM s/ Prov. p/ Riscos Trabalhistas, Cíveis e Fiscais</w:t>
            </w:r>
          </w:p>
        </w:tc>
        <w:tc>
          <w:tcPr>
            <w:tcW w:w="507" w:type="pct"/>
            <w:tcBorders>
              <w:top w:val="nil"/>
              <w:left w:val="nil"/>
              <w:bottom w:val="nil"/>
              <w:right w:val="nil"/>
            </w:tcBorders>
            <w:shd w:val="clear" w:color="auto" w:fill="auto"/>
            <w:noWrap/>
            <w:vAlign w:val="center"/>
            <w:hideMark/>
          </w:tcPr>
          <w:p w14:paraId="4ED4367C"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 xml:space="preserve">     (6.775)</w:t>
            </w:r>
          </w:p>
        </w:tc>
        <w:tc>
          <w:tcPr>
            <w:tcW w:w="507" w:type="pct"/>
            <w:tcBorders>
              <w:top w:val="nil"/>
              <w:left w:val="nil"/>
              <w:bottom w:val="nil"/>
              <w:right w:val="nil"/>
            </w:tcBorders>
            <w:shd w:val="clear" w:color="auto" w:fill="auto"/>
            <w:noWrap/>
            <w:vAlign w:val="center"/>
            <w:hideMark/>
          </w:tcPr>
          <w:p w14:paraId="3E3B0CA9"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 xml:space="preserve">     (7.544)</w:t>
            </w:r>
          </w:p>
        </w:tc>
        <w:tc>
          <w:tcPr>
            <w:tcW w:w="507" w:type="pct"/>
            <w:tcBorders>
              <w:top w:val="nil"/>
              <w:left w:val="nil"/>
              <w:bottom w:val="nil"/>
              <w:right w:val="nil"/>
            </w:tcBorders>
            <w:shd w:val="clear" w:color="auto" w:fill="auto"/>
            <w:noWrap/>
            <w:vAlign w:val="center"/>
            <w:hideMark/>
          </w:tcPr>
          <w:p w14:paraId="7A619285"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 xml:space="preserve">     (8.847)</w:t>
            </w:r>
          </w:p>
        </w:tc>
        <w:tc>
          <w:tcPr>
            <w:tcW w:w="490" w:type="pct"/>
            <w:tcBorders>
              <w:top w:val="nil"/>
              <w:left w:val="nil"/>
              <w:bottom w:val="nil"/>
              <w:right w:val="nil"/>
            </w:tcBorders>
            <w:shd w:val="clear" w:color="auto" w:fill="auto"/>
            <w:noWrap/>
            <w:vAlign w:val="center"/>
            <w:hideMark/>
          </w:tcPr>
          <w:p w14:paraId="0C3F0470"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-10,2%</w:t>
            </w:r>
          </w:p>
        </w:tc>
        <w:tc>
          <w:tcPr>
            <w:tcW w:w="490" w:type="pct"/>
            <w:tcBorders>
              <w:top w:val="nil"/>
              <w:left w:val="nil"/>
              <w:bottom w:val="nil"/>
              <w:right w:val="nil"/>
            </w:tcBorders>
            <w:shd w:val="clear" w:color="auto" w:fill="auto"/>
            <w:noWrap/>
            <w:vAlign w:val="center"/>
            <w:hideMark/>
          </w:tcPr>
          <w:p w14:paraId="6899E393"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-23,4%</w:t>
            </w:r>
          </w:p>
        </w:tc>
      </w:tr>
      <w:tr w:rsidR="00D86180" w:rsidRPr="00D86180" w14:paraId="7987B3C8" w14:textId="77777777" w:rsidTr="00446A14">
        <w:trPr>
          <w:trHeight w:val="238"/>
        </w:trPr>
        <w:tc>
          <w:tcPr>
            <w:tcW w:w="2499" w:type="pct"/>
            <w:tcBorders>
              <w:top w:val="nil"/>
              <w:left w:val="nil"/>
              <w:bottom w:val="nil"/>
              <w:right w:val="nil"/>
            </w:tcBorders>
            <w:shd w:val="clear" w:color="auto" w:fill="auto"/>
            <w:noWrap/>
            <w:vAlign w:val="center"/>
            <w:hideMark/>
          </w:tcPr>
          <w:p w14:paraId="4021A238" w14:textId="77777777" w:rsidR="00D86180" w:rsidRPr="00D86180" w:rsidRDefault="00D86180" w:rsidP="00D86180">
            <w:pPr>
              <w:spacing w:after="0" w:line="240" w:lineRule="auto"/>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Juros sobre Empréstimos e Financiamentos</w:t>
            </w:r>
          </w:p>
        </w:tc>
        <w:tc>
          <w:tcPr>
            <w:tcW w:w="507" w:type="pct"/>
            <w:tcBorders>
              <w:top w:val="nil"/>
              <w:left w:val="nil"/>
              <w:bottom w:val="nil"/>
              <w:right w:val="nil"/>
            </w:tcBorders>
            <w:shd w:val="clear" w:color="auto" w:fill="auto"/>
            <w:noWrap/>
            <w:vAlign w:val="center"/>
            <w:hideMark/>
          </w:tcPr>
          <w:p w14:paraId="65591A6E"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 xml:space="preserve">     (5.474)</w:t>
            </w:r>
          </w:p>
        </w:tc>
        <w:tc>
          <w:tcPr>
            <w:tcW w:w="507" w:type="pct"/>
            <w:tcBorders>
              <w:top w:val="nil"/>
              <w:left w:val="nil"/>
              <w:bottom w:val="nil"/>
              <w:right w:val="nil"/>
            </w:tcBorders>
            <w:shd w:val="clear" w:color="auto" w:fill="auto"/>
            <w:noWrap/>
            <w:vAlign w:val="center"/>
            <w:hideMark/>
          </w:tcPr>
          <w:p w14:paraId="2657D0DE"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 xml:space="preserve">     (6.707)</w:t>
            </w:r>
          </w:p>
        </w:tc>
        <w:tc>
          <w:tcPr>
            <w:tcW w:w="507" w:type="pct"/>
            <w:tcBorders>
              <w:top w:val="nil"/>
              <w:left w:val="nil"/>
              <w:bottom w:val="nil"/>
              <w:right w:val="nil"/>
            </w:tcBorders>
            <w:shd w:val="clear" w:color="auto" w:fill="auto"/>
            <w:noWrap/>
            <w:vAlign w:val="center"/>
            <w:hideMark/>
          </w:tcPr>
          <w:p w14:paraId="11F4A580"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 xml:space="preserve">     (6.538)</w:t>
            </w:r>
          </w:p>
        </w:tc>
        <w:tc>
          <w:tcPr>
            <w:tcW w:w="490" w:type="pct"/>
            <w:tcBorders>
              <w:top w:val="nil"/>
              <w:left w:val="nil"/>
              <w:bottom w:val="nil"/>
              <w:right w:val="nil"/>
            </w:tcBorders>
            <w:shd w:val="clear" w:color="auto" w:fill="auto"/>
            <w:noWrap/>
            <w:vAlign w:val="center"/>
            <w:hideMark/>
          </w:tcPr>
          <w:p w14:paraId="717DD299"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-18,4%</w:t>
            </w:r>
          </w:p>
        </w:tc>
        <w:tc>
          <w:tcPr>
            <w:tcW w:w="490" w:type="pct"/>
            <w:tcBorders>
              <w:top w:val="nil"/>
              <w:left w:val="nil"/>
              <w:bottom w:val="nil"/>
              <w:right w:val="nil"/>
            </w:tcBorders>
            <w:shd w:val="clear" w:color="auto" w:fill="auto"/>
            <w:noWrap/>
            <w:vAlign w:val="center"/>
            <w:hideMark/>
          </w:tcPr>
          <w:p w14:paraId="03053325"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-16,3%</w:t>
            </w:r>
          </w:p>
        </w:tc>
      </w:tr>
      <w:tr w:rsidR="00D86180" w:rsidRPr="00D86180" w14:paraId="5EF33FBF" w14:textId="77777777" w:rsidTr="00446A14">
        <w:trPr>
          <w:trHeight w:val="238"/>
        </w:trPr>
        <w:tc>
          <w:tcPr>
            <w:tcW w:w="2499" w:type="pct"/>
            <w:tcBorders>
              <w:top w:val="nil"/>
              <w:left w:val="nil"/>
              <w:bottom w:val="nil"/>
              <w:right w:val="nil"/>
            </w:tcBorders>
            <w:shd w:val="clear" w:color="auto" w:fill="auto"/>
            <w:noWrap/>
            <w:vAlign w:val="center"/>
            <w:hideMark/>
          </w:tcPr>
          <w:p w14:paraId="6608F957" w14:textId="77777777" w:rsidR="00D86180" w:rsidRPr="00D86180" w:rsidRDefault="00D86180" w:rsidP="00D86180">
            <w:pPr>
              <w:spacing w:after="0" w:line="240" w:lineRule="auto"/>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Outras Despesas</w:t>
            </w:r>
          </w:p>
        </w:tc>
        <w:tc>
          <w:tcPr>
            <w:tcW w:w="507" w:type="pct"/>
            <w:tcBorders>
              <w:top w:val="nil"/>
              <w:left w:val="nil"/>
              <w:bottom w:val="nil"/>
              <w:right w:val="nil"/>
            </w:tcBorders>
            <w:shd w:val="clear" w:color="auto" w:fill="auto"/>
            <w:noWrap/>
            <w:vAlign w:val="center"/>
            <w:hideMark/>
          </w:tcPr>
          <w:p w14:paraId="01526EED"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 xml:space="preserve">     (1.245)</w:t>
            </w:r>
          </w:p>
        </w:tc>
        <w:tc>
          <w:tcPr>
            <w:tcW w:w="507" w:type="pct"/>
            <w:tcBorders>
              <w:top w:val="nil"/>
              <w:left w:val="nil"/>
              <w:bottom w:val="nil"/>
              <w:right w:val="nil"/>
            </w:tcBorders>
            <w:shd w:val="clear" w:color="auto" w:fill="auto"/>
            <w:noWrap/>
            <w:vAlign w:val="center"/>
            <w:hideMark/>
          </w:tcPr>
          <w:p w14:paraId="5276384A"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 xml:space="preserve">     (1.019)</w:t>
            </w:r>
          </w:p>
        </w:tc>
        <w:tc>
          <w:tcPr>
            <w:tcW w:w="507" w:type="pct"/>
            <w:tcBorders>
              <w:top w:val="nil"/>
              <w:left w:val="nil"/>
              <w:bottom w:val="nil"/>
              <w:right w:val="nil"/>
            </w:tcBorders>
            <w:shd w:val="clear" w:color="auto" w:fill="auto"/>
            <w:noWrap/>
            <w:vAlign w:val="center"/>
            <w:hideMark/>
          </w:tcPr>
          <w:p w14:paraId="1C5A3F96"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 xml:space="preserve">     (1.116)</w:t>
            </w:r>
          </w:p>
        </w:tc>
        <w:tc>
          <w:tcPr>
            <w:tcW w:w="490" w:type="pct"/>
            <w:tcBorders>
              <w:top w:val="nil"/>
              <w:left w:val="nil"/>
              <w:bottom w:val="nil"/>
              <w:right w:val="nil"/>
            </w:tcBorders>
            <w:shd w:val="clear" w:color="auto" w:fill="auto"/>
            <w:noWrap/>
            <w:vAlign w:val="center"/>
            <w:hideMark/>
          </w:tcPr>
          <w:p w14:paraId="4D460E1F"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22,2%</w:t>
            </w:r>
          </w:p>
        </w:tc>
        <w:tc>
          <w:tcPr>
            <w:tcW w:w="490" w:type="pct"/>
            <w:tcBorders>
              <w:top w:val="nil"/>
              <w:left w:val="nil"/>
              <w:bottom w:val="nil"/>
              <w:right w:val="nil"/>
            </w:tcBorders>
            <w:shd w:val="clear" w:color="auto" w:fill="auto"/>
            <w:noWrap/>
            <w:vAlign w:val="center"/>
            <w:hideMark/>
          </w:tcPr>
          <w:p w14:paraId="139890AF" w14:textId="77777777" w:rsidR="00D86180" w:rsidRPr="00D86180" w:rsidRDefault="00D86180" w:rsidP="00D86180">
            <w:pPr>
              <w:spacing w:after="0" w:line="240" w:lineRule="auto"/>
              <w:jc w:val="right"/>
              <w:rPr>
                <w:rFonts w:ascii="Arial" w:eastAsia="Times New Roman" w:hAnsi="Arial" w:cs="Arial"/>
                <w:color w:val="000000"/>
                <w:kern w:val="0"/>
                <w:sz w:val="16"/>
                <w:szCs w:val="17"/>
                <w:lang w:eastAsia="pt-BR"/>
                <w14:ligatures w14:val="none"/>
              </w:rPr>
            </w:pPr>
            <w:r w:rsidRPr="00D86180">
              <w:rPr>
                <w:rFonts w:ascii="Arial" w:eastAsia="Times New Roman" w:hAnsi="Arial" w:cs="Arial"/>
                <w:color w:val="000000"/>
                <w:kern w:val="0"/>
                <w:sz w:val="16"/>
                <w:szCs w:val="17"/>
                <w:lang w:eastAsia="pt-BR"/>
                <w14:ligatures w14:val="none"/>
              </w:rPr>
              <w:t>11,6%</w:t>
            </w:r>
          </w:p>
        </w:tc>
      </w:tr>
      <w:tr w:rsidR="00D86180" w:rsidRPr="00D86180" w14:paraId="5D6F83B4" w14:textId="77777777" w:rsidTr="00446A14">
        <w:trPr>
          <w:trHeight w:val="238"/>
        </w:trPr>
        <w:tc>
          <w:tcPr>
            <w:tcW w:w="2499" w:type="pct"/>
            <w:tcBorders>
              <w:top w:val="single" w:sz="8" w:space="0" w:color="9BC2E6"/>
              <w:left w:val="nil"/>
              <w:bottom w:val="single" w:sz="8" w:space="0" w:color="9BC2E6"/>
              <w:right w:val="nil"/>
            </w:tcBorders>
            <w:shd w:val="clear" w:color="auto" w:fill="auto"/>
            <w:noWrap/>
            <w:vAlign w:val="center"/>
            <w:hideMark/>
          </w:tcPr>
          <w:p w14:paraId="34E168BD" w14:textId="77777777" w:rsidR="00D86180" w:rsidRPr="00D86180" w:rsidRDefault="00D86180" w:rsidP="00D86180">
            <w:pPr>
              <w:spacing w:after="0" w:line="240" w:lineRule="auto"/>
              <w:rPr>
                <w:rFonts w:ascii="Arial" w:eastAsia="Times New Roman" w:hAnsi="Arial" w:cs="Arial"/>
                <w:b/>
                <w:bCs/>
                <w:color w:val="000000"/>
                <w:kern w:val="0"/>
                <w:sz w:val="16"/>
                <w:szCs w:val="17"/>
                <w:lang w:eastAsia="pt-BR"/>
                <w14:ligatures w14:val="none"/>
              </w:rPr>
            </w:pPr>
            <w:r w:rsidRPr="00D86180">
              <w:rPr>
                <w:rFonts w:ascii="Arial" w:eastAsia="Times New Roman" w:hAnsi="Arial" w:cs="Arial"/>
                <w:b/>
                <w:bCs/>
                <w:color w:val="000000"/>
                <w:kern w:val="0"/>
                <w:sz w:val="16"/>
                <w:szCs w:val="17"/>
                <w:lang w:eastAsia="pt-BR"/>
                <w14:ligatures w14:val="none"/>
              </w:rPr>
              <w:t>Total</w:t>
            </w:r>
          </w:p>
        </w:tc>
        <w:tc>
          <w:tcPr>
            <w:tcW w:w="507" w:type="pct"/>
            <w:tcBorders>
              <w:top w:val="single" w:sz="8" w:space="0" w:color="9BC2E6"/>
              <w:left w:val="nil"/>
              <w:bottom w:val="single" w:sz="8" w:space="0" w:color="9BC2E6"/>
              <w:right w:val="nil"/>
            </w:tcBorders>
            <w:shd w:val="clear" w:color="auto" w:fill="auto"/>
            <w:noWrap/>
            <w:vAlign w:val="center"/>
            <w:hideMark/>
          </w:tcPr>
          <w:p w14:paraId="467BF925" w14:textId="77777777" w:rsidR="00D86180" w:rsidRPr="00D86180" w:rsidRDefault="00D86180" w:rsidP="00D86180">
            <w:pPr>
              <w:spacing w:after="0" w:line="240" w:lineRule="auto"/>
              <w:jc w:val="right"/>
              <w:rPr>
                <w:rFonts w:ascii="Arial" w:eastAsia="Times New Roman" w:hAnsi="Arial" w:cs="Arial"/>
                <w:b/>
                <w:bCs/>
                <w:color w:val="000000"/>
                <w:kern w:val="0"/>
                <w:sz w:val="16"/>
                <w:szCs w:val="17"/>
                <w:lang w:eastAsia="pt-BR"/>
                <w14:ligatures w14:val="none"/>
              </w:rPr>
            </w:pPr>
            <w:r w:rsidRPr="00D86180">
              <w:rPr>
                <w:rFonts w:ascii="Arial" w:eastAsia="Times New Roman" w:hAnsi="Arial" w:cs="Arial"/>
                <w:b/>
                <w:bCs/>
                <w:color w:val="000000"/>
                <w:kern w:val="0"/>
                <w:sz w:val="16"/>
                <w:szCs w:val="17"/>
                <w:lang w:eastAsia="pt-BR"/>
                <w14:ligatures w14:val="none"/>
              </w:rPr>
              <w:t xml:space="preserve"> (225.588)</w:t>
            </w:r>
          </w:p>
        </w:tc>
        <w:tc>
          <w:tcPr>
            <w:tcW w:w="507" w:type="pct"/>
            <w:tcBorders>
              <w:top w:val="single" w:sz="8" w:space="0" w:color="9BC2E6"/>
              <w:left w:val="nil"/>
              <w:bottom w:val="single" w:sz="8" w:space="0" w:color="9BC2E6"/>
              <w:right w:val="nil"/>
            </w:tcBorders>
            <w:shd w:val="clear" w:color="auto" w:fill="auto"/>
            <w:noWrap/>
            <w:vAlign w:val="center"/>
            <w:hideMark/>
          </w:tcPr>
          <w:p w14:paraId="1D11DC28" w14:textId="77777777" w:rsidR="00D86180" w:rsidRPr="00D86180" w:rsidRDefault="00D86180" w:rsidP="00D86180">
            <w:pPr>
              <w:spacing w:after="0" w:line="240" w:lineRule="auto"/>
              <w:jc w:val="right"/>
              <w:rPr>
                <w:rFonts w:ascii="Arial" w:eastAsia="Times New Roman" w:hAnsi="Arial" w:cs="Arial"/>
                <w:b/>
                <w:bCs/>
                <w:color w:val="000000"/>
                <w:kern w:val="0"/>
                <w:sz w:val="16"/>
                <w:szCs w:val="17"/>
                <w:lang w:eastAsia="pt-BR"/>
                <w14:ligatures w14:val="none"/>
              </w:rPr>
            </w:pPr>
            <w:r w:rsidRPr="00D86180">
              <w:rPr>
                <w:rFonts w:ascii="Arial" w:eastAsia="Times New Roman" w:hAnsi="Arial" w:cs="Arial"/>
                <w:b/>
                <w:bCs/>
                <w:color w:val="000000"/>
                <w:kern w:val="0"/>
                <w:sz w:val="16"/>
                <w:szCs w:val="17"/>
                <w:lang w:eastAsia="pt-BR"/>
                <w14:ligatures w14:val="none"/>
              </w:rPr>
              <w:t xml:space="preserve"> (219.520)</w:t>
            </w:r>
          </w:p>
        </w:tc>
        <w:tc>
          <w:tcPr>
            <w:tcW w:w="507" w:type="pct"/>
            <w:tcBorders>
              <w:top w:val="single" w:sz="8" w:space="0" w:color="9BC2E6"/>
              <w:left w:val="nil"/>
              <w:bottom w:val="single" w:sz="8" w:space="0" w:color="9BC2E6"/>
              <w:right w:val="nil"/>
            </w:tcBorders>
            <w:shd w:val="clear" w:color="auto" w:fill="auto"/>
            <w:noWrap/>
            <w:vAlign w:val="center"/>
            <w:hideMark/>
          </w:tcPr>
          <w:p w14:paraId="5137AA98" w14:textId="77777777" w:rsidR="00D86180" w:rsidRPr="00D86180" w:rsidRDefault="00D86180" w:rsidP="00D86180">
            <w:pPr>
              <w:spacing w:after="0" w:line="240" w:lineRule="auto"/>
              <w:jc w:val="right"/>
              <w:rPr>
                <w:rFonts w:ascii="Arial" w:eastAsia="Times New Roman" w:hAnsi="Arial" w:cs="Arial"/>
                <w:b/>
                <w:bCs/>
                <w:color w:val="000000"/>
                <w:kern w:val="0"/>
                <w:sz w:val="16"/>
                <w:szCs w:val="17"/>
                <w:lang w:eastAsia="pt-BR"/>
                <w14:ligatures w14:val="none"/>
              </w:rPr>
            </w:pPr>
            <w:r w:rsidRPr="00D86180">
              <w:rPr>
                <w:rFonts w:ascii="Arial" w:eastAsia="Times New Roman" w:hAnsi="Arial" w:cs="Arial"/>
                <w:b/>
                <w:bCs/>
                <w:color w:val="000000"/>
                <w:kern w:val="0"/>
                <w:sz w:val="16"/>
                <w:szCs w:val="17"/>
                <w:lang w:eastAsia="pt-BR"/>
                <w14:ligatures w14:val="none"/>
              </w:rPr>
              <w:t xml:space="preserve"> (111.749)</w:t>
            </w:r>
          </w:p>
        </w:tc>
        <w:tc>
          <w:tcPr>
            <w:tcW w:w="490" w:type="pct"/>
            <w:tcBorders>
              <w:top w:val="single" w:sz="8" w:space="0" w:color="9BC2E6"/>
              <w:left w:val="nil"/>
              <w:bottom w:val="single" w:sz="8" w:space="0" w:color="9BC2E6"/>
              <w:right w:val="nil"/>
            </w:tcBorders>
            <w:shd w:val="clear" w:color="auto" w:fill="auto"/>
            <w:noWrap/>
            <w:vAlign w:val="center"/>
            <w:hideMark/>
          </w:tcPr>
          <w:p w14:paraId="5F986EAC" w14:textId="77777777" w:rsidR="00D86180" w:rsidRPr="00D86180" w:rsidRDefault="00D86180" w:rsidP="00D86180">
            <w:pPr>
              <w:spacing w:after="0" w:line="240" w:lineRule="auto"/>
              <w:jc w:val="right"/>
              <w:rPr>
                <w:rFonts w:ascii="Arial" w:eastAsia="Times New Roman" w:hAnsi="Arial" w:cs="Arial"/>
                <w:b/>
                <w:bCs/>
                <w:color w:val="000000"/>
                <w:kern w:val="0"/>
                <w:sz w:val="16"/>
                <w:szCs w:val="17"/>
                <w:lang w:eastAsia="pt-BR"/>
                <w14:ligatures w14:val="none"/>
              </w:rPr>
            </w:pPr>
            <w:r w:rsidRPr="00D86180">
              <w:rPr>
                <w:rFonts w:ascii="Arial" w:eastAsia="Times New Roman" w:hAnsi="Arial" w:cs="Arial"/>
                <w:b/>
                <w:bCs/>
                <w:color w:val="000000"/>
                <w:kern w:val="0"/>
                <w:sz w:val="16"/>
                <w:szCs w:val="17"/>
                <w:lang w:eastAsia="pt-BR"/>
                <w14:ligatures w14:val="none"/>
              </w:rPr>
              <w:t>2,8%</w:t>
            </w:r>
          </w:p>
        </w:tc>
        <w:tc>
          <w:tcPr>
            <w:tcW w:w="490" w:type="pct"/>
            <w:tcBorders>
              <w:top w:val="single" w:sz="8" w:space="0" w:color="9BC2E6"/>
              <w:left w:val="nil"/>
              <w:bottom w:val="single" w:sz="8" w:space="0" w:color="9BC2E6"/>
              <w:right w:val="nil"/>
            </w:tcBorders>
            <w:shd w:val="clear" w:color="auto" w:fill="auto"/>
            <w:noWrap/>
            <w:vAlign w:val="center"/>
            <w:hideMark/>
          </w:tcPr>
          <w:p w14:paraId="75DA9413" w14:textId="77777777" w:rsidR="00D86180" w:rsidRPr="00D86180" w:rsidRDefault="00D86180" w:rsidP="00D86180">
            <w:pPr>
              <w:spacing w:after="0" w:line="240" w:lineRule="auto"/>
              <w:jc w:val="right"/>
              <w:rPr>
                <w:rFonts w:ascii="Arial" w:eastAsia="Times New Roman" w:hAnsi="Arial" w:cs="Arial"/>
                <w:b/>
                <w:bCs/>
                <w:color w:val="000000"/>
                <w:kern w:val="0"/>
                <w:sz w:val="16"/>
                <w:szCs w:val="17"/>
                <w:lang w:eastAsia="pt-BR"/>
                <w14:ligatures w14:val="none"/>
              </w:rPr>
            </w:pPr>
            <w:r w:rsidRPr="00D86180">
              <w:rPr>
                <w:rFonts w:ascii="Arial" w:eastAsia="Times New Roman" w:hAnsi="Arial" w:cs="Arial"/>
                <w:b/>
                <w:bCs/>
                <w:color w:val="000000"/>
                <w:kern w:val="0"/>
                <w:sz w:val="16"/>
                <w:szCs w:val="17"/>
                <w:lang w:eastAsia="pt-BR"/>
                <w14:ligatures w14:val="none"/>
              </w:rPr>
              <w:t>101,9%</w:t>
            </w:r>
          </w:p>
        </w:tc>
      </w:tr>
      <w:tr w:rsidR="00D86180" w:rsidRPr="00D86180" w14:paraId="705168B0" w14:textId="77777777" w:rsidTr="00446A14">
        <w:trPr>
          <w:trHeight w:val="238"/>
        </w:trPr>
        <w:tc>
          <w:tcPr>
            <w:tcW w:w="2499" w:type="pct"/>
            <w:tcBorders>
              <w:top w:val="nil"/>
              <w:left w:val="nil"/>
              <w:bottom w:val="single" w:sz="8" w:space="0" w:color="9BC2E6"/>
              <w:right w:val="nil"/>
            </w:tcBorders>
            <w:shd w:val="clear" w:color="auto" w:fill="auto"/>
            <w:noWrap/>
            <w:vAlign w:val="center"/>
            <w:hideMark/>
          </w:tcPr>
          <w:p w14:paraId="1A1C7253" w14:textId="77777777" w:rsidR="00D86180" w:rsidRPr="00D86180" w:rsidRDefault="00D86180" w:rsidP="00D86180">
            <w:pPr>
              <w:spacing w:after="0" w:line="240" w:lineRule="auto"/>
              <w:rPr>
                <w:rFonts w:ascii="Arial" w:eastAsia="Times New Roman" w:hAnsi="Arial" w:cs="Arial"/>
                <w:b/>
                <w:bCs/>
                <w:color w:val="000000"/>
                <w:kern w:val="0"/>
                <w:sz w:val="16"/>
                <w:szCs w:val="17"/>
                <w:lang w:eastAsia="pt-BR"/>
                <w14:ligatures w14:val="none"/>
              </w:rPr>
            </w:pPr>
            <w:r w:rsidRPr="00D86180">
              <w:rPr>
                <w:rFonts w:ascii="Arial" w:eastAsia="Times New Roman" w:hAnsi="Arial" w:cs="Arial"/>
                <w:b/>
                <w:bCs/>
                <w:color w:val="000000"/>
                <w:kern w:val="0"/>
                <w:sz w:val="16"/>
                <w:szCs w:val="17"/>
                <w:lang w:eastAsia="pt-BR"/>
                <w14:ligatures w14:val="none"/>
              </w:rPr>
              <w:t>Resultado Financeiro</w:t>
            </w:r>
          </w:p>
        </w:tc>
        <w:tc>
          <w:tcPr>
            <w:tcW w:w="507" w:type="pct"/>
            <w:tcBorders>
              <w:top w:val="nil"/>
              <w:left w:val="nil"/>
              <w:bottom w:val="single" w:sz="8" w:space="0" w:color="9BC2E6"/>
              <w:right w:val="nil"/>
            </w:tcBorders>
            <w:shd w:val="clear" w:color="auto" w:fill="auto"/>
            <w:noWrap/>
            <w:vAlign w:val="center"/>
            <w:hideMark/>
          </w:tcPr>
          <w:p w14:paraId="505A9D23" w14:textId="77777777" w:rsidR="00D86180" w:rsidRPr="00D86180" w:rsidRDefault="00D86180" w:rsidP="00D86180">
            <w:pPr>
              <w:spacing w:after="0" w:line="240" w:lineRule="auto"/>
              <w:jc w:val="right"/>
              <w:rPr>
                <w:rFonts w:ascii="Arial" w:eastAsia="Times New Roman" w:hAnsi="Arial" w:cs="Arial"/>
                <w:b/>
                <w:bCs/>
                <w:color w:val="000000"/>
                <w:kern w:val="0"/>
                <w:sz w:val="16"/>
                <w:szCs w:val="17"/>
                <w:lang w:eastAsia="pt-BR"/>
                <w14:ligatures w14:val="none"/>
              </w:rPr>
            </w:pPr>
            <w:r w:rsidRPr="00D86180">
              <w:rPr>
                <w:rFonts w:ascii="Arial" w:eastAsia="Times New Roman" w:hAnsi="Arial" w:cs="Arial"/>
                <w:b/>
                <w:bCs/>
                <w:color w:val="000000"/>
                <w:kern w:val="0"/>
                <w:sz w:val="16"/>
                <w:szCs w:val="17"/>
                <w:lang w:eastAsia="pt-BR"/>
                <w14:ligatures w14:val="none"/>
              </w:rPr>
              <w:t xml:space="preserve">   (59.950)</w:t>
            </w:r>
          </w:p>
        </w:tc>
        <w:tc>
          <w:tcPr>
            <w:tcW w:w="507" w:type="pct"/>
            <w:tcBorders>
              <w:top w:val="nil"/>
              <w:left w:val="nil"/>
              <w:bottom w:val="single" w:sz="8" w:space="0" w:color="9BC2E6"/>
              <w:right w:val="nil"/>
            </w:tcBorders>
            <w:shd w:val="clear" w:color="auto" w:fill="auto"/>
            <w:noWrap/>
            <w:vAlign w:val="center"/>
            <w:hideMark/>
          </w:tcPr>
          <w:p w14:paraId="3F4B3064" w14:textId="77777777" w:rsidR="00D86180" w:rsidRPr="00D86180" w:rsidRDefault="00D86180" w:rsidP="00D86180">
            <w:pPr>
              <w:spacing w:after="0" w:line="240" w:lineRule="auto"/>
              <w:jc w:val="right"/>
              <w:rPr>
                <w:rFonts w:ascii="Arial" w:eastAsia="Times New Roman" w:hAnsi="Arial" w:cs="Arial"/>
                <w:b/>
                <w:bCs/>
                <w:color w:val="000000"/>
                <w:kern w:val="0"/>
                <w:sz w:val="16"/>
                <w:szCs w:val="17"/>
                <w:lang w:eastAsia="pt-BR"/>
                <w14:ligatures w14:val="none"/>
              </w:rPr>
            </w:pPr>
            <w:r w:rsidRPr="00D86180">
              <w:rPr>
                <w:rFonts w:ascii="Arial" w:eastAsia="Times New Roman" w:hAnsi="Arial" w:cs="Arial"/>
                <w:b/>
                <w:bCs/>
                <w:color w:val="000000"/>
                <w:kern w:val="0"/>
                <w:sz w:val="16"/>
                <w:szCs w:val="17"/>
                <w:lang w:eastAsia="pt-BR"/>
                <w14:ligatures w14:val="none"/>
              </w:rPr>
              <w:t xml:space="preserve"> (100.148)</w:t>
            </w:r>
          </w:p>
        </w:tc>
        <w:tc>
          <w:tcPr>
            <w:tcW w:w="507" w:type="pct"/>
            <w:tcBorders>
              <w:top w:val="nil"/>
              <w:left w:val="nil"/>
              <w:bottom w:val="single" w:sz="8" w:space="0" w:color="9BC2E6"/>
              <w:right w:val="nil"/>
            </w:tcBorders>
            <w:shd w:val="clear" w:color="auto" w:fill="auto"/>
            <w:noWrap/>
            <w:vAlign w:val="center"/>
            <w:hideMark/>
          </w:tcPr>
          <w:p w14:paraId="428C3CA7" w14:textId="77777777" w:rsidR="00D86180" w:rsidRPr="00D86180" w:rsidRDefault="00D86180" w:rsidP="00D86180">
            <w:pPr>
              <w:spacing w:after="0" w:line="240" w:lineRule="auto"/>
              <w:jc w:val="right"/>
              <w:rPr>
                <w:rFonts w:ascii="Arial" w:eastAsia="Times New Roman" w:hAnsi="Arial" w:cs="Arial"/>
                <w:b/>
                <w:bCs/>
                <w:color w:val="000000"/>
                <w:kern w:val="0"/>
                <w:sz w:val="16"/>
                <w:szCs w:val="17"/>
                <w:lang w:eastAsia="pt-BR"/>
                <w14:ligatures w14:val="none"/>
              </w:rPr>
            </w:pPr>
            <w:r w:rsidRPr="00D86180">
              <w:rPr>
                <w:rFonts w:ascii="Arial" w:eastAsia="Times New Roman" w:hAnsi="Arial" w:cs="Arial"/>
                <w:b/>
                <w:bCs/>
                <w:color w:val="000000"/>
                <w:kern w:val="0"/>
                <w:sz w:val="16"/>
                <w:szCs w:val="17"/>
                <w:lang w:eastAsia="pt-BR"/>
                <w14:ligatures w14:val="none"/>
              </w:rPr>
              <w:t xml:space="preserve">   (62.282)</w:t>
            </w:r>
          </w:p>
        </w:tc>
        <w:tc>
          <w:tcPr>
            <w:tcW w:w="490" w:type="pct"/>
            <w:tcBorders>
              <w:top w:val="nil"/>
              <w:left w:val="nil"/>
              <w:bottom w:val="single" w:sz="8" w:space="0" w:color="9BC2E6"/>
              <w:right w:val="nil"/>
            </w:tcBorders>
            <w:shd w:val="clear" w:color="auto" w:fill="auto"/>
            <w:noWrap/>
            <w:vAlign w:val="center"/>
            <w:hideMark/>
          </w:tcPr>
          <w:p w14:paraId="18FFA1B8" w14:textId="77777777" w:rsidR="00D86180" w:rsidRPr="00D86180" w:rsidRDefault="00D86180" w:rsidP="00D86180">
            <w:pPr>
              <w:spacing w:after="0" w:line="240" w:lineRule="auto"/>
              <w:jc w:val="right"/>
              <w:rPr>
                <w:rFonts w:ascii="Arial" w:eastAsia="Times New Roman" w:hAnsi="Arial" w:cs="Arial"/>
                <w:b/>
                <w:bCs/>
                <w:color w:val="000000"/>
                <w:kern w:val="0"/>
                <w:sz w:val="16"/>
                <w:szCs w:val="17"/>
                <w:lang w:eastAsia="pt-BR"/>
                <w14:ligatures w14:val="none"/>
              </w:rPr>
            </w:pPr>
            <w:r w:rsidRPr="00D86180">
              <w:rPr>
                <w:rFonts w:ascii="Arial" w:eastAsia="Times New Roman" w:hAnsi="Arial" w:cs="Arial"/>
                <w:b/>
                <w:bCs/>
                <w:color w:val="000000"/>
                <w:kern w:val="0"/>
                <w:sz w:val="16"/>
                <w:szCs w:val="17"/>
                <w:lang w:eastAsia="pt-BR"/>
                <w14:ligatures w14:val="none"/>
              </w:rPr>
              <w:t>-40,1%</w:t>
            </w:r>
          </w:p>
        </w:tc>
        <w:tc>
          <w:tcPr>
            <w:tcW w:w="490" w:type="pct"/>
            <w:tcBorders>
              <w:top w:val="nil"/>
              <w:left w:val="nil"/>
              <w:bottom w:val="single" w:sz="8" w:space="0" w:color="9BC2E6"/>
              <w:right w:val="nil"/>
            </w:tcBorders>
            <w:shd w:val="clear" w:color="auto" w:fill="auto"/>
            <w:noWrap/>
            <w:vAlign w:val="center"/>
            <w:hideMark/>
          </w:tcPr>
          <w:p w14:paraId="21EBDB86" w14:textId="77777777" w:rsidR="00D86180" w:rsidRPr="00D86180" w:rsidRDefault="00D86180" w:rsidP="00D86180">
            <w:pPr>
              <w:spacing w:after="0" w:line="240" w:lineRule="auto"/>
              <w:jc w:val="right"/>
              <w:rPr>
                <w:rFonts w:ascii="Arial" w:eastAsia="Times New Roman" w:hAnsi="Arial" w:cs="Arial"/>
                <w:b/>
                <w:bCs/>
                <w:color w:val="000000"/>
                <w:kern w:val="0"/>
                <w:sz w:val="16"/>
                <w:szCs w:val="17"/>
                <w:lang w:eastAsia="pt-BR"/>
                <w14:ligatures w14:val="none"/>
              </w:rPr>
            </w:pPr>
            <w:r w:rsidRPr="00D86180">
              <w:rPr>
                <w:rFonts w:ascii="Arial" w:eastAsia="Times New Roman" w:hAnsi="Arial" w:cs="Arial"/>
                <w:b/>
                <w:bCs/>
                <w:color w:val="000000"/>
                <w:kern w:val="0"/>
                <w:sz w:val="16"/>
                <w:szCs w:val="17"/>
                <w:lang w:eastAsia="pt-BR"/>
                <w14:ligatures w14:val="none"/>
              </w:rPr>
              <w:t>-3,7%</w:t>
            </w:r>
          </w:p>
        </w:tc>
      </w:tr>
    </w:tbl>
    <w:p w14:paraId="728B3BC5" w14:textId="77777777" w:rsidR="00D86180" w:rsidRPr="00D86180" w:rsidRDefault="00D86180" w:rsidP="00D86180">
      <w:pPr>
        <w:spacing w:after="0"/>
        <w:jc w:val="both"/>
        <w:rPr>
          <w:rFonts w:ascii="Calibri" w:eastAsia="Times New Roman" w:hAnsi="Calibri" w:cs="Times New Roman"/>
          <w:bCs/>
          <w:color w:val="002060"/>
          <w:kern w:val="0"/>
          <w14:ligatures w14:val="none"/>
        </w:rPr>
      </w:pPr>
      <w:bookmarkStart w:id="14" w:name="_Hlk364801"/>
      <w:bookmarkEnd w:id="13"/>
      <w:r w:rsidRPr="00D86180">
        <w:rPr>
          <w:rFonts w:ascii="Calibri" w:eastAsia="Times New Roman" w:hAnsi="Calibri" w:cs="Times New Roman"/>
          <w:bCs/>
          <w:color w:val="002060"/>
          <w:kern w:val="0"/>
          <w14:ligatures w14:val="none"/>
        </w:rPr>
        <w:t>No exercício de 2023, o resultado financeiro foi negativo no valor de R$ 60,0 milhões (R$ 100,1 milhões em 2022 e R$ 62,3 milhões em 2021), redução de 40,1% na comparação com o ano de 2022 e de 3,7% em relação ao ano de 2021. As principais rubricas do resultado financeiro apresentaram os seguintes comportamentos:</w:t>
      </w:r>
    </w:p>
    <w:p w14:paraId="6280F4FE" w14:textId="77777777" w:rsidR="00D86180" w:rsidRPr="00D86180" w:rsidRDefault="00D86180" w:rsidP="00D86180">
      <w:pPr>
        <w:spacing w:after="0"/>
        <w:jc w:val="both"/>
        <w:rPr>
          <w:rFonts w:ascii="Calibri" w:eastAsia="Times New Roman" w:hAnsi="Calibri" w:cs="Times New Roman"/>
          <w:bCs/>
          <w:color w:val="002060"/>
          <w:kern w:val="0"/>
          <w14:ligatures w14:val="none"/>
        </w:rPr>
      </w:pPr>
      <w:r w:rsidRPr="00D86180">
        <w:rPr>
          <w:rFonts w:ascii="Calibri" w:eastAsia="Times New Roman" w:hAnsi="Calibri" w:cs="Times New Roman"/>
          <w:b/>
          <w:bCs/>
          <w:color w:val="002060"/>
          <w:kern w:val="0"/>
          <w14:ligatures w14:val="none"/>
        </w:rPr>
        <w:t>i) Juros sobre Aplicações Financeiras:</w:t>
      </w:r>
      <w:r w:rsidRPr="00D86180">
        <w:rPr>
          <w:rFonts w:ascii="Calibri" w:eastAsia="Times New Roman" w:hAnsi="Calibri" w:cs="Times New Roman"/>
          <w:bCs/>
          <w:color w:val="002060"/>
          <w:kern w:val="0"/>
          <w14:ligatures w14:val="none"/>
        </w:rPr>
        <w:t xml:space="preserve">  O comportamento é reflexo da rentabilidade dos fundos nos exercícios apresentados e pelo aumento de recursos disponíveis para aplicações.</w:t>
      </w:r>
    </w:p>
    <w:p w14:paraId="08439B01" w14:textId="77777777" w:rsidR="00D86180" w:rsidRPr="00D86180" w:rsidRDefault="00D86180" w:rsidP="00D86180">
      <w:pPr>
        <w:spacing w:after="0"/>
        <w:jc w:val="both"/>
        <w:rPr>
          <w:rFonts w:ascii="Calibri" w:eastAsia="Times New Roman" w:hAnsi="Calibri" w:cs="Times New Roman"/>
          <w:bCs/>
          <w:color w:val="002060"/>
          <w:kern w:val="0"/>
          <w14:ligatures w14:val="none"/>
        </w:rPr>
      </w:pPr>
      <w:proofErr w:type="spellStart"/>
      <w:r w:rsidRPr="00D86180">
        <w:rPr>
          <w:rFonts w:ascii="Calibri" w:eastAsia="Times New Roman" w:hAnsi="Calibri" w:cs="Times New Roman"/>
          <w:b/>
          <w:bCs/>
          <w:color w:val="002060"/>
          <w:kern w:val="0"/>
          <w14:ligatures w14:val="none"/>
        </w:rPr>
        <w:t>ii</w:t>
      </w:r>
      <w:proofErr w:type="spellEnd"/>
      <w:r w:rsidRPr="00D86180">
        <w:rPr>
          <w:rFonts w:ascii="Calibri" w:eastAsia="Times New Roman" w:hAnsi="Calibri" w:cs="Times New Roman"/>
          <w:b/>
          <w:bCs/>
          <w:color w:val="002060"/>
          <w:kern w:val="0"/>
          <w14:ligatures w14:val="none"/>
        </w:rPr>
        <w:t>) Juros sobre Superávit – Previdência Privada:</w:t>
      </w:r>
      <w:r w:rsidRPr="00D86180">
        <w:rPr>
          <w:rFonts w:ascii="Calibri" w:eastAsia="Times New Roman" w:hAnsi="Calibri" w:cs="Times New Roman"/>
          <w:bCs/>
          <w:color w:val="002060"/>
          <w:kern w:val="0"/>
          <w14:ligatures w14:val="none"/>
        </w:rPr>
        <w:t xml:space="preserve">  A rubrica apresentou redução de 65,2% e 91,7% na comparação entre o ano de 2023 e os anos 2022 e 2021, respectivamente. A diminuição é explicada pela redução do saldo a receber em razão dos recebimentos das parcelas mensais pagas pela administradora dos planos (SISTEL).</w:t>
      </w:r>
    </w:p>
    <w:p w14:paraId="249E29F7" w14:textId="77777777" w:rsidR="00D86180" w:rsidRPr="00D86180" w:rsidRDefault="00D86180" w:rsidP="00D86180">
      <w:pPr>
        <w:spacing w:after="0"/>
        <w:jc w:val="both"/>
        <w:rPr>
          <w:rFonts w:ascii="Calibri" w:eastAsia="Times New Roman" w:hAnsi="Calibri" w:cs="Times New Roman"/>
          <w:bCs/>
          <w:color w:val="002060"/>
          <w:kern w:val="0"/>
          <w14:ligatures w14:val="none"/>
        </w:rPr>
      </w:pPr>
      <w:proofErr w:type="spellStart"/>
      <w:r w:rsidRPr="00D86180">
        <w:rPr>
          <w:rFonts w:ascii="Calibri" w:eastAsia="Times New Roman" w:hAnsi="Calibri" w:cs="Times New Roman"/>
          <w:b/>
          <w:bCs/>
          <w:color w:val="002060"/>
          <w:kern w:val="0"/>
          <w14:ligatures w14:val="none"/>
        </w:rPr>
        <w:t>iii</w:t>
      </w:r>
      <w:proofErr w:type="spellEnd"/>
      <w:r w:rsidRPr="00D86180">
        <w:rPr>
          <w:rFonts w:ascii="Calibri" w:eastAsia="Times New Roman" w:hAnsi="Calibri" w:cs="Times New Roman"/>
          <w:b/>
          <w:bCs/>
          <w:color w:val="002060"/>
          <w:kern w:val="0"/>
          <w14:ligatures w14:val="none"/>
        </w:rPr>
        <w:t>) Juros sobre Adiantamentos para Futuro Aumento de Capital:</w:t>
      </w:r>
      <w:r w:rsidRPr="00D86180">
        <w:rPr>
          <w:rFonts w:ascii="Calibri" w:eastAsia="Times New Roman" w:hAnsi="Calibri" w:cs="Times New Roman"/>
          <w:bCs/>
          <w:color w:val="002060"/>
          <w:kern w:val="0"/>
          <w14:ligatures w14:val="none"/>
        </w:rPr>
        <w:t xml:space="preserve"> O aumento de 6,8% e 186,1% na comparação entre o ano de 2023 e os anos de 2022 e 2021 é explicado basicamente pela variação da taxa SELIC sobre os aportes recebidos do controlador (a União). </w:t>
      </w:r>
    </w:p>
    <w:p w14:paraId="484937A9" w14:textId="233E1CAF" w:rsidR="00A37AC4" w:rsidRDefault="00D86180" w:rsidP="00D86180">
      <w:pPr>
        <w:spacing w:after="0"/>
        <w:jc w:val="both"/>
        <w:rPr>
          <w:rFonts w:ascii="Calibri" w:eastAsia="Times New Roman" w:hAnsi="Calibri" w:cs="Times New Roman"/>
          <w:bCs/>
          <w:color w:val="002060"/>
          <w:kern w:val="0"/>
          <w14:ligatures w14:val="none"/>
        </w:rPr>
      </w:pPr>
      <w:proofErr w:type="spellStart"/>
      <w:r w:rsidRPr="00D86180">
        <w:rPr>
          <w:rFonts w:ascii="Calibri" w:eastAsia="Times New Roman" w:hAnsi="Calibri" w:cs="Times New Roman"/>
          <w:bCs/>
          <w:color w:val="002060"/>
          <w:kern w:val="0"/>
          <w14:ligatures w14:val="none"/>
        </w:rPr>
        <w:t>iv</w:t>
      </w:r>
      <w:proofErr w:type="spellEnd"/>
      <w:r w:rsidRPr="00D86180">
        <w:rPr>
          <w:rFonts w:ascii="Calibri" w:eastAsia="Times New Roman" w:hAnsi="Calibri" w:cs="Times New Roman"/>
          <w:bCs/>
          <w:color w:val="002060"/>
          <w:kern w:val="0"/>
          <w14:ligatures w14:val="none"/>
        </w:rPr>
        <w:t xml:space="preserve">) </w:t>
      </w:r>
      <w:r w:rsidRPr="00D86180">
        <w:rPr>
          <w:rFonts w:ascii="Calibri" w:eastAsia="Times New Roman" w:hAnsi="Calibri" w:cs="Times New Roman"/>
          <w:b/>
          <w:bCs/>
          <w:color w:val="002060"/>
          <w:kern w:val="0"/>
          <w14:ligatures w14:val="none"/>
        </w:rPr>
        <w:t>Juros e Variação Monetária de Acordos Judiciais:</w:t>
      </w:r>
      <w:r w:rsidRPr="00D86180">
        <w:rPr>
          <w:rFonts w:ascii="Calibri" w:eastAsia="Times New Roman" w:hAnsi="Calibri" w:cs="Times New Roman"/>
          <w:bCs/>
          <w:color w:val="002060"/>
          <w:kern w:val="0"/>
          <w14:ligatures w14:val="none"/>
        </w:rPr>
        <w:t xml:space="preserve"> A redução de 26,0% e 47,2%, respectivamente, em relação aos anos de 2022 e 2021, é explicada pela amortização da dívida e pela queda dos níveis inflacionários entre os períodos comparados. Os credores dessa dívida são a FUNCEF e a PREV.</w:t>
      </w:r>
    </w:p>
    <w:p w14:paraId="2A1E838B" w14:textId="77777777" w:rsidR="00A37AC4" w:rsidRPr="00D86180" w:rsidRDefault="00A37AC4" w:rsidP="00D86180">
      <w:pPr>
        <w:spacing w:after="0"/>
        <w:jc w:val="both"/>
        <w:rPr>
          <w:rFonts w:ascii="Calibri" w:eastAsia="Times New Roman" w:hAnsi="Calibri" w:cs="Times New Roman"/>
          <w:bCs/>
          <w:color w:val="002060"/>
          <w:kern w:val="0"/>
          <w14:ligatures w14:val="none"/>
        </w:rPr>
      </w:pPr>
    </w:p>
    <w:p w14:paraId="1658E35D" w14:textId="246984DA" w:rsidR="00D86180" w:rsidRPr="001D7588" w:rsidRDefault="00D86180" w:rsidP="001D7588">
      <w:pPr>
        <w:spacing w:after="0"/>
        <w:jc w:val="both"/>
        <w:rPr>
          <w:rFonts w:ascii="Calibri" w:eastAsia="Times New Roman" w:hAnsi="Calibri" w:cs="Times New Roman"/>
          <w:bCs/>
          <w:color w:val="002060"/>
          <w:kern w:val="0"/>
          <w14:ligatures w14:val="none"/>
        </w:rPr>
      </w:pPr>
      <w:bookmarkStart w:id="15" w:name="_Toc161319439"/>
      <w:bookmarkEnd w:id="14"/>
      <w:r>
        <w:rPr>
          <w:rFonts w:ascii="Calibri" w:eastAsia="Times New Roman" w:hAnsi="Calibri" w:cs="Times New Roman"/>
          <w:b/>
          <w:bCs/>
          <w:color w:val="002060"/>
          <w:kern w:val="0"/>
          <w14:ligatures w14:val="none"/>
        </w:rPr>
        <w:t xml:space="preserve">3.2.7. </w:t>
      </w:r>
      <w:r w:rsidRPr="00D86180">
        <w:rPr>
          <w:rFonts w:ascii="Calibri" w:eastAsia="Times New Roman" w:hAnsi="Calibri" w:cs="Times New Roman"/>
          <w:b/>
          <w:bCs/>
          <w:color w:val="002060"/>
          <w:kern w:val="0"/>
          <w14:ligatures w14:val="none"/>
        </w:rPr>
        <w:t>Prejuízo Líquido do Exercício Ajustado</w:t>
      </w:r>
      <w:bookmarkEnd w:id="15"/>
      <w:r w:rsidRPr="00D86180">
        <w:rPr>
          <w:rFonts w:ascii="Calibri" w:eastAsia="Times New Roman" w:hAnsi="Calibri" w:cs="Times New Roman"/>
          <w:b/>
          <w:bCs/>
          <w:color w:val="002060"/>
          <w:kern w:val="0"/>
          <w14:ligatures w14:val="none"/>
        </w:rPr>
        <w:t xml:space="preserve"> </w:t>
      </w:r>
    </w:p>
    <w:tbl>
      <w:tblPr>
        <w:tblW w:w="5000" w:type="pct"/>
        <w:tblCellMar>
          <w:left w:w="70" w:type="dxa"/>
          <w:right w:w="70" w:type="dxa"/>
        </w:tblCellMar>
        <w:tblLook w:val="04A0" w:firstRow="1" w:lastRow="0" w:firstColumn="1" w:lastColumn="0" w:noHBand="0" w:noVBand="1"/>
      </w:tblPr>
      <w:tblGrid>
        <w:gridCol w:w="4259"/>
        <w:gridCol w:w="994"/>
        <w:gridCol w:w="994"/>
        <w:gridCol w:w="994"/>
        <w:gridCol w:w="915"/>
        <w:gridCol w:w="916"/>
      </w:tblGrid>
      <w:tr w:rsidR="00D86180" w:rsidRPr="009323E1" w14:paraId="23A496B2" w14:textId="77777777" w:rsidTr="00446A14">
        <w:trPr>
          <w:trHeight w:val="238"/>
        </w:trPr>
        <w:tc>
          <w:tcPr>
            <w:tcW w:w="2368" w:type="pct"/>
            <w:tcBorders>
              <w:top w:val="single" w:sz="8" w:space="0" w:color="8EA9DB"/>
              <w:left w:val="nil"/>
              <w:bottom w:val="single" w:sz="8" w:space="0" w:color="8EA9DB"/>
              <w:right w:val="nil"/>
            </w:tcBorders>
            <w:shd w:val="clear" w:color="auto" w:fill="auto"/>
            <w:noWrap/>
            <w:vAlign w:val="center"/>
            <w:hideMark/>
          </w:tcPr>
          <w:p w14:paraId="2C824FA9" w14:textId="77777777" w:rsidR="00D86180" w:rsidRPr="003B40B6" w:rsidRDefault="00D86180" w:rsidP="00446A14">
            <w:pPr>
              <w:spacing w:after="0" w:line="240" w:lineRule="auto"/>
              <w:rPr>
                <w:rFonts w:ascii="Arial" w:hAnsi="Arial" w:cs="Arial"/>
                <w:b/>
                <w:bCs/>
                <w:color w:val="2F75B5"/>
                <w:sz w:val="16"/>
                <w:szCs w:val="18"/>
                <w:lang w:eastAsia="pt-BR"/>
              </w:rPr>
            </w:pPr>
            <w:bookmarkStart w:id="16" w:name="_Hlk162267921"/>
            <w:r w:rsidRPr="003B40B6">
              <w:rPr>
                <w:rFonts w:ascii="Arial" w:hAnsi="Arial" w:cs="Arial"/>
                <w:b/>
                <w:bCs/>
                <w:color w:val="2F75B5"/>
                <w:sz w:val="16"/>
                <w:szCs w:val="18"/>
                <w:lang w:eastAsia="pt-BR"/>
              </w:rPr>
              <w:lastRenderedPageBreak/>
              <w:t>R$ mil</w:t>
            </w:r>
          </w:p>
        </w:tc>
        <w:tc>
          <w:tcPr>
            <w:tcW w:w="526" w:type="pct"/>
            <w:tcBorders>
              <w:top w:val="single" w:sz="8" w:space="0" w:color="8EA9DB"/>
              <w:left w:val="nil"/>
              <w:bottom w:val="single" w:sz="8" w:space="0" w:color="8EA9DB"/>
              <w:right w:val="nil"/>
            </w:tcBorders>
            <w:shd w:val="clear" w:color="000000" w:fill="FFFFFF"/>
            <w:noWrap/>
            <w:vAlign w:val="center"/>
            <w:hideMark/>
          </w:tcPr>
          <w:p w14:paraId="1E36DC7D" w14:textId="77777777" w:rsidR="00D86180" w:rsidRPr="003B40B6" w:rsidRDefault="00D86180" w:rsidP="00446A14">
            <w:pPr>
              <w:spacing w:after="0" w:line="240" w:lineRule="auto"/>
              <w:jc w:val="center"/>
              <w:rPr>
                <w:rFonts w:ascii="Arial" w:hAnsi="Arial" w:cs="Arial"/>
                <w:b/>
                <w:bCs/>
                <w:color w:val="2F75B5"/>
                <w:sz w:val="16"/>
                <w:szCs w:val="18"/>
                <w:lang w:eastAsia="pt-BR"/>
              </w:rPr>
            </w:pPr>
            <w:r w:rsidRPr="003B40B6">
              <w:rPr>
                <w:rFonts w:ascii="Arial" w:hAnsi="Arial" w:cs="Arial"/>
                <w:b/>
                <w:bCs/>
                <w:color w:val="2F75B5"/>
                <w:sz w:val="16"/>
                <w:szCs w:val="18"/>
                <w:lang w:eastAsia="pt-BR"/>
              </w:rPr>
              <w:t>2023</w:t>
            </w:r>
          </w:p>
        </w:tc>
        <w:tc>
          <w:tcPr>
            <w:tcW w:w="526" w:type="pct"/>
            <w:tcBorders>
              <w:top w:val="single" w:sz="8" w:space="0" w:color="8EA9DB"/>
              <w:left w:val="nil"/>
              <w:bottom w:val="single" w:sz="8" w:space="0" w:color="8EA9DB"/>
              <w:right w:val="nil"/>
            </w:tcBorders>
            <w:shd w:val="clear" w:color="000000" w:fill="FFFFFF"/>
            <w:noWrap/>
            <w:vAlign w:val="center"/>
            <w:hideMark/>
          </w:tcPr>
          <w:p w14:paraId="39B575F0" w14:textId="77777777" w:rsidR="00D86180" w:rsidRPr="003B40B6" w:rsidRDefault="00D86180" w:rsidP="00446A14">
            <w:pPr>
              <w:spacing w:after="0" w:line="240" w:lineRule="auto"/>
              <w:jc w:val="center"/>
              <w:rPr>
                <w:rFonts w:ascii="Arial" w:hAnsi="Arial" w:cs="Arial"/>
                <w:b/>
                <w:bCs/>
                <w:color w:val="2F75B5"/>
                <w:sz w:val="16"/>
                <w:szCs w:val="18"/>
                <w:lang w:eastAsia="pt-BR"/>
              </w:rPr>
            </w:pPr>
            <w:r w:rsidRPr="003B40B6">
              <w:rPr>
                <w:rFonts w:ascii="Arial" w:hAnsi="Arial" w:cs="Arial"/>
                <w:b/>
                <w:bCs/>
                <w:color w:val="2F75B5"/>
                <w:sz w:val="16"/>
                <w:szCs w:val="18"/>
                <w:lang w:eastAsia="pt-BR"/>
              </w:rPr>
              <w:t>2022</w:t>
            </w:r>
          </w:p>
        </w:tc>
        <w:tc>
          <w:tcPr>
            <w:tcW w:w="526" w:type="pct"/>
            <w:tcBorders>
              <w:top w:val="single" w:sz="8" w:space="0" w:color="8EA9DB"/>
              <w:left w:val="nil"/>
              <w:bottom w:val="single" w:sz="8" w:space="0" w:color="8EA9DB"/>
              <w:right w:val="nil"/>
            </w:tcBorders>
            <w:shd w:val="clear" w:color="000000" w:fill="FFFFFF"/>
            <w:noWrap/>
            <w:vAlign w:val="center"/>
            <w:hideMark/>
          </w:tcPr>
          <w:p w14:paraId="017A3974" w14:textId="77777777" w:rsidR="00D86180" w:rsidRPr="003B40B6" w:rsidRDefault="00D86180" w:rsidP="00446A14">
            <w:pPr>
              <w:spacing w:after="0" w:line="240" w:lineRule="auto"/>
              <w:jc w:val="center"/>
              <w:rPr>
                <w:rFonts w:ascii="Arial" w:hAnsi="Arial" w:cs="Arial"/>
                <w:b/>
                <w:bCs/>
                <w:color w:val="2F75B5"/>
                <w:sz w:val="16"/>
                <w:szCs w:val="18"/>
                <w:lang w:eastAsia="pt-BR"/>
              </w:rPr>
            </w:pPr>
            <w:r w:rsidRPr="003B40B6">
              <w:rPr>
                <w:rFonts w:ascii="Arial" w:hAnsi="Arial" w:cs="Arial"/>
                <w:b/>
                <w:bCs/>
                <w:color w:val="2F75B5"/>
                <w:sz w:val="16"/>
                <w:szCs w:val="18"/>
                <w:lang w:eastAsia="pt-BR"/>
              </w:rPr>
              <w:t>2021</w:t>
            </w:r>
          </w:p>
        </w:tc>
        <w:tc>
          <w:tcPr>
            <w:tcW w:w="526" w:type="pct"/>
            <w:tcBorders>
              <w:top w:val="single" w:sz="8" w:space="0" w:color="9BC2E6"/>
              <w:left w:val="nil"/>
              <w:bottom w:val="single" w:sz="8" w:space="0" w:color="9BC2E6"/>
              <w:right w:val="nil"/>
            </w:tcBorders>
            <w:shd w:val="clear" w:color="000000" w:fill="FFFFFF"/>
            <w:vAlign w:val="center"/>
            <w:hideMark/>
          </w:tcPr>
          <w:p w14:paraId="48FAD2A2" w14:textId="77777777" w:rsidR="00D86180" w:rsidRPr="003B40B6" w:rsidRDefault="00D86180" w:rsidP="00446A14">
            <w:pPr>
              <w:spacing w:after="0" w:line="240" w:lineRule="auto"/>
              <w:jc w:val="center"/>
              <w:rPr>
                <w:rFonts w:ascii="Arial" w:hAnsi="Arial" w:cs="Arial"/>
                <w:b/>
                <w:bCs/>
                <w:color w:val="2F75B5"/>
                <w:sz w:val="16"/>
                <w:szCs w:val="18"/>
                <w:lang w:eastAsia="pt-BR"/>
              </w:rPr>
            </w:pPr>
            <w:r w:rsidRPr="003B40B6">
              <w:rPr>
                <w:rFonts w:ascii="Arial" w:hAnsi="Arial" w:cs="Arial"/>
                <w:b/>
                <w:bCs/>
                <w:color w:val="2F75B5"/>
                <w:sz w:val="16"/>
                <w:szCs w:val="18"/>
                <w:lang w:eastAsia="pt-BR"/>
              </w:rPr>
              <w:t>Δ 2023 X 2022</w:t>
            </w:r>
          </w:p>
        </w:tc>
        <w:tc>
          <w:tcPr>
            <w:tcW w:w="526" w:type="pct"/>
            <w:tcBorders>
              <w:top w:val="single" w:sz="8" w:space="0" w:color="9BC2E6"/>
              <w:left w:val="nil"/>
              <w:bottom w:val="single" w:sz="8" w:space="0" w:color="9BC2E6"/>
              <w:right w:val="nil"/>
            </w:tcBorders>
            <w:shd w:val="clear" w:color="000000" w:fill="FFFFFF"/>
            <w:vAlign w:val="center"/>
            <w:hideMark/>
          </w:tcPr>
          <w:p w14:paraId="596F733B" w14:textId="77777777" w:rsidR="00D86180" w:rsidRPr="003B40B6" w:rsidRDefault="00D86180" w:rsidP="00446A14">
            <w:pPr>
              <w:spacing w:after="0" w:line="240" w:lineRule="auto"/>
              <w:jc w:val="center"/>
              <w:rPr>
                <w:rFonts w:ascii="Arial" w:hAnsi="Arial" w:cs="Arial"/>
                <w:b/>
                <w:bCs/>
                <w:color w:val="2F75B5"/>
                <w:sz w:val="16"/>
                <w:szCs w:val="18"/>
                <w:lang w:eastAsia="pt-BR"/>
              </w:rPr>
            </w:pPr>
            <w:r w:rsidRPr="003B40B6">
              <w:rPr>
                <w:rFonts w:ascii="Arial" w:hAnsi="Arial" w:cs="Arial"/>
                <w:b/>
                <w:bCs/>
                <w:color w:val="2F75B5"/>
                <w:sz w:val="16"/>
                <w:szCs w:val="18"/>
                <w:lang w:eastAsia="pt-BR"/>
              </w:rPr>
              <w:t>Δ 2023 X 2021</w:t>
            </w:r>
          </w:p>
        </w:tc>
      </w:tr>
      <w:bookmarkEnd w:id="16"/>
      <w:tr w:rsidR="00D86180" w:rsidRPr="009323E1" w14:paraId="7208BB4B" w14:textId="77777777" w:rsidTr="00446A14">
        <w:trPr>
          <w:trHeight w:val="238"/>
        </w:trPr>
        <w:tc>
          <w:tcPr>
            <w:tcW w:w="2368" w:type="pct"/>
            <w:tcBorders>
              <w:top w:val="nil"/>
              <w:left w:val="nil"/>
              <w:bottom w:val="nil"/>
              <w:right w:val="nil"/>
            </w:tcBorders>
            <w:shd w:val="clear" w:color="auto" w:fill="auto"/>
            <w:noWrap/>
            <w:vAlign w:val="center"/>
            <w:hideMark/>
          </w:tcPr>
          <w:p w14:paraId="7C35F298" w14:textId="77777777" w:rsidR="00D86180" w:rsidRPr="003B40B6" w:rsidRDefault="00D86180" w:rsidP="00446A14">
            <w:pPr>
              <w:spacing w:after="0" w:line="240" w:lineRule="auto"/>
              <w:rPr>
                <w:rFonts w:ascii="Arial" w:hAnsi="Arial" w:cs="Arial"/>
                <w:b/>
                <w:bCs/>
                <w:color w:val="000000"/>
                <w:sz w:val="16"/>
                <w:szCs w:val="18"/>
                <w:lang w:eastAsia="pt-BR"/>
              </w:rPr>
            </w:pPr>
            <w:r w:rsidRPr="003B40B6">
              <w:rPr>
                <w:rFonts w:ascii="Arial" w:hAnsi="Arial" w:cs="Arial"/>
                <w:b/>
                <w:bCs/>
                <w:color w:val="000000"/>
                <w:sz w:val="16"/>
                <w:szCs w:val="18"/>
                <w:lang w:eastAsia="pt-BR"/>
              </w:rPr>
              <w:t>Prejuízo Líquido do Exercício</w:t>
            </w:r>
          </w:p>
        </w:tc>
        <w:tc>
          <w:tcPr>
            <w:tcW w:w="526" w:type="pct"/>
            <w:tcBorders>
              <w:top w:val="nil"/>
              <w:left w:val="nil"/>
              <w:bottom w:val="nil"/>
              <w:right w:val="nil"/>
            </w:tcBorders>
            <w:shd w:val="clear" w:color="auto" w:fill="auto"/>
            <w:noWrap/>
            <w:vAlign w:val="center"/>
            <w:hideMark/>
          </w:tcPr>
          <w:p w14:paraId="3CA89972" w14:textId="77777777" w:rsidR="00D86180" w:rsidRPr="003B40B6" w:rsidRDefault="00D86180" w:rsidP="00446A14">
            <w:pPr>
              <w:spacing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 xml:space="preserve">  (127.357)</w:t>
            </w:r>
          </w:p>
        </w:tc>
        <w:tc>
          <w:tcPr>
            <w:tcW w:w="526" w:type="pct"/>
            <w:tcBorders>
              <w:top w:val="nil"/>
              <w:left w:val="nil"/>
              <w:bottom w:val="nil"/>
              <w:right w:val="nil"/>
            </w:tcBorders>
            <w:shd w:val="clear" w:color="auto" w:fill="auto"/>
            <w:noWrap/>
            <w:vAlign w:val="center"/>
            <w:hideMark/>
          </w:tcPr>
          <w:p w14:paraId="2B13775E" w14:textId="77777777" w:rsidR="00D86180" w:rsidRPr="003B40B6" w:rsidRDefault="00D86180" w:rsidP="00446A14">
            <w:pPr>
              <w:spacing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 xml:space="preserve">  (168.459)</w:t>
            </w:r>
          </w:p>
        </w:tc>
        <w:tc>
          <w:tcPr>
            <w:tcW w:w="526" w:type="pct"/>
            <w:tcBorders>
              <w:top w:val="nil"/>
              <w:left w:val="nil"/>
              <w:bottom w:val="nil"/>
              <w:right w:val="nil"/>
            </w:tcBorders>
            <w:shd w:val="clear" w:color="auto" w:fill="auto"/>
            <w:noWrap/>
            <w:vAlign w:val="center"/>
            <w:hideMark/>
          </w:tcPr>
          <w:p w14:paraId="24D71988" w14:textId="77777777" w:rsidR="00D86180" w:rsidRPr="003B40B6" w:rsidRDefault="00D86180" w:rsidP="00446A14">
            <w:pPr>
              <w:spacing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 xml:space="preserve">  (163.013)</w:t>
            </w:r>
          </w:p>
        </w:tc>
        <w:tc>
          <w:tcPr>
            <w:tcW w:w="526" w:type="pct"/>
            <w:tcBorders>
              <w:top w:val="nil"/>
              <w:left w:val="nil"/>
              <w:bottom w:val="nil"/>
              <w:right w:val="nil"/>
            </w:tcBorders>
            <w:shd w:val="clear" w:color="auto" w:fill="auto"/>
            <w:noWrap/>
            <w:vAlign w:val="center"/>
            <w:hideMark/>
          </w:tcPr>
          <w:p w14:paraId="6AFB3BB6" w14:textId="77777777" w:rsidR="00D86180" w:rsidRPr="003B40B6" w:rsidRDefault="00D86180" w:rsidP="00446A14">
            <w:pPr>
              <w:spacing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-24,4%</w:t>
            </w:r>
          </w:p>
        </w:tc>
        <w:tc>
          <w:tcPr>
            <w:tcW w:w="526" w:type="pct"/>
            <w:tcBorders>
              <w:top w:val="nil"/>
              <w:left w:val="nil"/>
              <w:bottom w:val="nil"/>
              <w:right w:val="nil"/>
            </w:tcBorders>
            <w:shd w:val="clear" w:color="auto" w:fill="auto"/>
            <w:noWrap/>
            <w:vAlign w:val="center"/>
            <w:hideMark/>
          </w:tcPr>
          <w:p w14:paraId="432EB5FE" w14:textId="77777777" w:rsidR="00D86180" w:rsidRPr="003B40B6" w:rsidRDefault="00D86180" w:rsidP="00446A14">
            <w:pPr>
              <w:spacing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-21,9%</w:t>
            </w:r>
          </w:p>
        </w:tc>
      </w:tr>
      <w:tr w:rsidR="00D86180" w:rsidRPr="009323E1" w14:paraId="7AFA96FC" w14:textId="77777777" w:rsidTr="00446A14">
        <w:trPr>
          <w:trHeight w:val="238"/>
        </w:trPr>
        <w:tc>
          <w:tcPr>
            <w:tcW w:w="2368" w:type="pct"/>
            <w:tcBorders>
              <w:top w:val="nil"/>
              <w:left w:val="nil"/>
              <w:bottom w:val="nil"/>
              <w:right w:val="nil"/>
            </w:tcBorders>
            <w:shd w:val="clear" w:color="auto" w:fill="auto"/>
            <w:noWrap/>
            <w:vAlign w:val="center"/>
            <w:hideMark/>
          </w:tcPr>
          <w:p w14:paraId="54062D46" w14:textId="77777777" w:rsidR="00D86180" w:rsidRPr="003B40B6" w:rsidRDefault="00D86180" w:rsidP="00446A14">
            <w:pPr>
              <w:spacing w:after="0" w:line="240" w:lineRule="auto"/>
              <w:rPr>
                <w:rFonts w:ascii="Arial" w:hAnsi="Arial" w:cs="Arial"/>
                <w:b/>
                <w:bCs/>
                <w:color w:val="000000"/>
                <w:sz w:val="16"/>
                <w:szCs w:val="18"/>
                <w:lang w:eastAsia="pt-BR"/>
              </w:rPr>
            </w:pPr>
            <w:r w:rsidRPr="003B40B6">
              <w:rPr>
                <w:rFonts w:ascii="Arial" w:hAnsi="Arial" w:cs="Arial"/>
                <w:b/>
                <w:bCs/>
                <w:color w:val="000000"/>
                <w:sz w:val="16"/>
                <w:szCs w:val="18"/>
                <w:lang w:eastAsia="pt-BR"/>
              </w:rPr>
              <w:t>Ajuste de Eventos Não Recorrentes:</w:t>
            </w:r>
          </w:p>
        </w:tc>
        <w:tc>
          <w:tcPr>
            <w:tcW w:w="526" w:type="pct"/>
            <w:tcBorders>
              <w:top w:val="nil"/>
              <w:left w:val="nil"/>
              <w:bottom w:val="nil"/>
              <w:right w:val="nil"/>
            </w:tcBorders>
            <w:shd w:val="clear" w:color="auto" w:fill="auto"/>
            <w:noWrap/>
            <w:vAlign w:val="center"/>
            <w:hideMark/>
          </w:tcPr>
          <w:p w14:paraId="0C03A82E" w14:textId="77777777" w:rsidR="00D86180" w:rsidRPr="003B40B6" w:rsidRDefault="00D86180" w:rsidP="00446A14">
            <w:pPr>
              <w:spacing w:after="0" w:line="240" w:lineRule="auto"/>
              <w:rPr>
                <w:rFonts w:ascii="Arial" w:hAnsi="Arial" w:cs="Arial"/>
                <w:b/>
                <w:bCs/>
                <w:color w:val="000000"/>
                <w:sz w:val="16"/>
                <w:szCs w:val="18"/>
                <w:lang w:eastAsia="pt-BR"/>
              </w:rPr>
            </w:pPr>
          </w:p>
        </w:tc>
        <w:tc>
          <w:tcPr>
            <w:tcW w:w="526" w:type="pct"/>
            <w:tcBorders>
              <w:top w:val="nil"/>
              <w:left w:val="nil"/>
              <w:bottom w:val="nil"/>
              <w:right w:val="nil"/>
            </w:tcBorders>
            <w:shd w:val="clear" w:color="auto" w:fill="auto"/>
            <w:noWrap/>
            <w:vAlign w:val="center"/>
            <w:hideMark/>
          </w:tcPr>
          <w:p w14:paraId="0357A6B6" w14:textId="77777777" w:rsidR="00D86180" w:rsidRPr="003B40B6" w:rsidRDefault="00D86180" w:rsidP="00446A14">
            <w:pPr>
              <w:spacing w:after="0" w:line="240" w:lineRule="auto"/>
              <w:rPr>
                <w:rFonts w:ascii="Times New Roman" w:hAnsi="Times New Roman"/>
                <w:sz w:val="16"/>
                <w:szCs w:val="20"/>
                <w:lang w:eastAsia="pt-BR"/>
              </w:rPr>
            </w:pPr>
          </w:p>
        </w:tc>
        <w:tc>
          <w:tcPr>
            <w:tcW w:w="526" w:type="pct"/>
            <w:tcBorders>
              <w:top w:val="nil"/>
              <w:left w:val="nil"/>
              <w:bottom w:val="nil"/>
              <w:right w:val="nil"/>
            </w:tcBorders>
            <w:shd w:val="clear" w:color="auto" w:fill="auto"/>
            <w:noWrap/>
            <w:vAlign w:val="center"/>
            <w:hideMark/>
          </w:tcPr>
          <w:p w14:paraId="54A337DB" w14:textId="77777777" w:rsidR="00D86180" w:rsidRPr="003B40B6" w:rsidRDefault="00D86180" w:rsidP="00446A14">
            <w:pPr>
              <w:spacing w:after="0" w:line="240" w:lineRule="auto"/>
              <w:rPr>
                <w:rFonts w:ascii="Times New Roman" w:hAnsi="Times New Roman"/>
                <w:sz w:val="16"/>
                <w:szCs w:val="20"/>
                <w:lang w:eastAsia="pt-BR"/>
              </w:rPr>
            </w:pPr>
          </w:p>
        </w:tc>
        <w:tc>
          <w:tcPr>
            <w:tcW w:w="526" w:type="pct"/>
            <w:tcBorders>
              <w:top w:val="nil"/>
              <w:left w:val="nil"/>
              <w:bottom w:val="nil"/>
              <w:right w:val="nil"/>
            </w:tcBorders>
            <w:shd w:val="clear" w:color="auto" w:fill="auto"/>
            <w:noWrap/>
            <w:vAlign w:val="center"/>
            <w:hideMark/>
          </w:tcPr>
          <w:p w14:paraId="14A2BF0D" w14:textId="77777777" w:rsidR="00D86180" w:rsidRPr="003B40B6" w:rsidRDefault="00D86180" w:rsidP="00446A14">
            <w:pPr>
              <w:spacing w:after="0" w:line="240" w:lineRule="auto"/>
              <w:rPr>
                <w:rFonts w:ascii="Times New Roman" w:hAnsi="Times New Roman"/>
                <w:sz w:val="16"/>
                <w:szCs w:val="20"/>
                <w:lang w:eastAsia="pt-BR"/>
              </w:rPr>
            </w:pPr>
          </w:p>
        </w:tc>
        <w:tc>
          <w:tcPr>
            <w:tcW w:w="526" w:type="pct"/>
            <w:tcBorders>
              <w:top w:val="nil"/>
              <w:left w:val="nil"/>
              <w:bottom w:val="nil"/>
              <w:right w:val="nil"/>
            </w:tcBorders>
            <w:shd w:val="clear" w:color="auto" w:fill="auto"/>
            <w:noWrap/>
            <w:vAlign w:val="center"/>
            <w:hideMark/>
          </w:tcPr>
          <w:p w14:paraId="42881E2E" w14:textId="77777777" w:rsidR="00D86180" w:rsidRPr="003B40B6" w:rsidRDefault="00D86180" w:rsidP="00446A14">
            <w:pPr>
              <w:spacing w:after="0" w:line="240" w:lineRule="auto"/>
              <w:rPr>
                <w:rFonts w:ascii="Times New Roman" w:hAnsi="Times New Roman"/>
                <w:sz w:val="16"/>
                <w:szCs w:val="20"/>
                <w:lang w:eastAsia="pt-BR"/>
              </w:rPr>
            </w:pPr>
          </w:p>
        </w:tc>
      </w:tr>
      <w:tr w:rsidR="00D86180" w:rsidRPr="009323E1" w14:paraId="534BC142" w14:textId="77777777" w:rsidTr="00446A14">
        <w:trPr>
          <w:trHeight w:val="238"/>
        </w:trPr>
        <w:tc>
          <w:tcPr>
            <w:tcW w:w="2368" w:type="pct"/>
            <w:tcBorders>
              <w:top w:val="nil"/>
              <w:left w:val="nil"/>
              <w:bottom w:val="nil"/>
              <w:right w:val="nil"/>
            </w:tcBorders>
            <w:shd w:val="clear" w:color="auto" w:fill="auto"/>
            <w:noWrap/>
            <w:vAlign w:val="center"/>
            <w:hideMark/>
          </w:tcPr>
          <w:p w14:paraId="7A7F3E4D" w14:textId="77777777" w:rsidR="00D86180" w:rsidRPr="003B40B6" w:rsidRDefault="00D86180" w:rsidP="00446A14">
            <w:pPr>
              <w:spacing w:after="0" w:line="240" w:lineRule="auto"/>
              <w:rPr>
                <w:rFonts w:ascii="Arial" w:hAnsi="Arial" w:cs="Arial"/>
                <w:color w:val="000000"/>
                <w:sz w:val="16"/>
                <w:szCs w:val="18"/>
                <w:lang w:eastAsia="pt-BR"/>
              </w:rPr>
            </w:pPr>
            <w:r w:rsidRPr="003B40B6">
              <w:rPr>
                <w:rFonts w:ascii="Arial" w:hAnsi="Arial" w:cs="Arial"/>
                <w:color w:val="000000"/>
                <w:sz w:val="16"/>
                <w:szCs w:val="18"/>
                <w:lang w:eastAsia="pt-BR"/>
              </w:rPr>
              <w:t>(-) Exclusão do ICMS na BC do PIS e COFINS</w:t>
            </w:r>
          </w:p>
        </w:tc>
        <w:tc>
          <w:tcPr>
            <w:tcW w:w="526" w:type="pct"/>
            <w:tcBorders>
              <w:top w:val="nil"/>
              <w:left w:val="nil"/>
              <w:bottom w:val="nil"/>
              <w:right w:val="nil"/>
            </w:tcBorders>
            <w:shd w:val="clear" w:color="auto" w:fill="auto"/>
            <w:noWrap/>
            <w:vAlign w:val="center"/>
            <w:hideMark/>
          </w:tcPr>
          <w:p w14:paraId="7E85FA71" w14:textId="77777777" w:rsidR="00D86180" w:rsidRPr="003B40B6" w:rsidRDefault="00D86180"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      </w:t>
            </w:r>
          </w:p>
        </w:tc>
        <w:tc>
          <w:tcPr>
            <w:tcW w:w="526" w:type="pct"/>
            <w:tcBorders>
              <w:top w:val="nil"/>
              <w:left w:val="nil"/>
              <w:bottom w:val="nil"/>
              <w:right w:val="nil"/>
            </w:tcBorders>
            <w:shd w:val="clear" w:color="auto" w:fill="auto"/>
            <w:noWrap/>
            <w:vAlign w:val="center"/>
            <w:hideMark/>
          </w:tcPr>
          <w:p w14:paraId="74E5C599" w14:textId="77777777" w:rsidR="00D86180" w:rsidRPr="003B40B6" w:rsidRDefault="00D86180"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      </w:t>
            </w:r>
          </w:p>
        </w:tc>
        <w:tc>
          <w:tcPr>
            <w:tcW w:w="526" w:type="pct"/>
            <w:tcBorders>
              <w:top w:val="nil"/>
              <w:left w:val="nil"/>
              <w:bottom w:val="nil"/>
              <w:right w:val="nil"/>
            </w:tcBorders>
            <w:shd w:val="clear" w:color="auto" w:fill="auto"/>
            <w:noWrap/>
            <w:vAlign w:val="center"/>
            <w:hideMark/>
          </w:tcPr>
          <w:p w14:paraId="2DDA64DC" w14:textId="77777777" w:rsidR="00D86180" w:rsidRPr="003B40B6" w:rsidRDefault="00D86180"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(6.933)</w:t>
            </w:r>
          </w:p>
        </w:tc>
        <w:tc>
          <w:tcPr>
            <w:tcW w:w="526" w:type="pct"/>
            <w:tcBorders>
              <w:top w:val="nil"/>
              <w:left w:val="nil"/>
              <w:bottom w:val="nil"/>
              <w:right w:val="nil"/>
            </w:tcBorders>
            <w:shd w:val="clear" w:color="auto" w:fill="auto"/>
            <w:noWrap/>
            <w:vAlign w:val="center"/>
            <w:hideMark/>
          </w:tcPr>
          <w:p w14:paraId="2E5C2384" w14:textId="77777777" w:rsidR="00D86180" w:rsidRPr="003B40B6" w:rsidRDefault="00D86180"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w:t>
            </w:r>
          </w:p>
        </w:tc>
        <w:tc>
          <w:tcPr>
            <w:tcW w:w="526" w:type="pct"/>
            <w:tcBorders>
              <w:top w:val="nil"/>
              <w:left w:val="nil"/>
              <w:bottom w:val="nil"/>
              <w:right w:val="nil"/>
            </w:tcBorders>
            <w:shd w:val="clear" w:color="auto" w:fill="auto"/>
            <w:noWrap/>
            <w:vAlign w:val="center"/>
            <w:hideMark/>
          </w:tcPr>
          <w:p w14:paraId="1FCB3F65" w14:textId="77777777" w:rsidR="00D86180" w:rsidRPr="003B40B6" w:rsidRDefault="00D86180"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-100,0%</w:t>
            </w:r>
          </w:p>
        </w:tc>
      </w:tr>
      <w:tr w:rsidR="00D86180" w:rsidRPr="009323E1" w14:paraId="306796A1" w14:textId="77777777" w:rsidTr="00446A14">
        <w:trPr>
          <w:trHeight w:val="238"/>
        </w:trPr>
        <w:tc>
          <w:tcPr>
            <w:tcW w:w="2368" w:type="pct"/>
            <w:tcBorders>
              <w:top w:val="nil"/>
              <w:left w:val="nil"/>
              <w:bottom w:val="nil"/>
              <w:right w:val="nil"/>
            </w:tcBorders>
            <w:shd w:val="clear" w:color="auto" w:fill="auto"/>
            <w:noWrap/>
            <w:vAlign w:val="center"/>
            <w:hideMark/>
          </w:tcPr>
          <w:p w14:paraId="1C41EA54" w14:textId="77777777" w:rsidR="00D86180" w:rsidRPr="003B40B6" w:rsidRDefault="00D86180" w:rsidP="00446A14">
            <w:pPr>
              <w:spacing w:after="0" w:line="240" w:lineRule="auto"/>
              <w:rPr>
                <w:rFonts w:ascii="Arial" w:hAnsi="Arial" w:cs="Arial"/>
                <w:color w:val="000000"/>
                <w:sz w:val="16"/>
                <w:szCs w:val="18"/>
                <w:lang w:eastAsia="pt-BR"/>
              </w:rPr>
            </w:pPr>
            <w:r w:rsidRPr="003B40B6">
              <w:rPr>
                <w:rFonts w:ascii="Arial" w:hAnsi="Arial" w:cs="Arial"/>
                <w:color w:val="000000"/>
                <w:sz w:val="16"/>
                <w:szCs w:val="18"/>
                <w:lang w:eastAsia="pt-BR"/>
              </w:rPr>
              <w:t>(-) Superávit de Previdência Privada</w:t>
            </w:r>
          </w:p>
        </w:tc>
        <w:tc>
          <w:tcPr>
            <w:tcW w:w="526" w:type="pct"/>
            <w:tcBorders>
              <w:top w:val="nil"/>
              <w:left w:val="nil"/>
              <w:bottom w:val="nil"/>
              <w:right w:val="nil"/>
            </w:tcBorders>
            <w:shd w:val="clear" w:color="auto" w:fill="auto"/>
            <w:noWrap/>
            <w:vAlign w:val="center"/>
            <w:hideMark/>
          </w:tcPr>
          <w:p w14:paraId="27C75AD4" w14:textId="77777777" w:rsidR="00D86180" w:rsidRPr="003B40B6" w:rsidRDefault="00D86180"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(33.912)</w:t>
            </w:r>
          </w:p>
        </w:tc>
        <w:tc>
          <w:tcPr>
            <w:tcW w:w="526" w:type="pct"/>
            <w:tcBorders>
              <w:top w:val="nil"/>
              <w:left w:val="nil"/>
              <w:bottom w:val="nil"/>
              <w:right w:val="nil"/>
            </w:tcBorders>
            <w:shd w:val="clear" w:color="auto" w:fill="auto"/>
            <w:noWrap/>
            <w:vAlign w:val="center"/>
            <w:hideMark/>
          </w:tcPr>
          <w:p w14:paraId="25F44757" w14:textId="77777777" w:rsidR="00D86180" w:rsidRPr="003B40B6" w:rsidRDefault="00D86180"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      </w:t>
            </w:r>
          </w:p>
        </w:tc>
        <w:tc>
          <w:tcPr>
            <w:tcW w:w="526" w:type="pct"/>
            <w:tcBorders>
              <w:top w:val="nil"/>
              <w:left w:val="nil"/>
              <w:bottom w:val="nil"/>
              <w:right w:val="nil"/>
            </w:tcBorders>
            <w:shd w:val="clear" w:color="auto" w:fill="auto"/>
            <w:noWrap/>
            <w:vAlign w:val="center"/>
            <w:hideMark/>
          </w:tcPr>
          <w:p w14:paraId="2761A3A8" w14:textId="77777777" w:rsidR="00D86180" w:rsidRPr="003B40B6" w:rsidRDefault="00D86180"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      </w:t>
            </w:r>
          </w:p>
        </w:tc>
        <w:tc>
          <w:tcPr>
            <w:tcW w:w="526" w:type="pct"/>
            <w:tcBorders>
              <w:top w:val="nil"/>
              <w:left w:val="nil"/>
              <w:bottom w:val="nil"/>
              <w:right w:val="nil"/>
            </w:tcBorders>
            <w:shd w:val="clear" w:color="auto" w:fill="auto"/>
            <w:noWrap/>
            <w:vAlign w:val="center"/>
            <w:hideMark/>
          </w:tcPr>
          <w:p w14:paraId="67D02FB5" w14:textId="77777777" w:rsidR="00D86180" w:rsidRPr="003B40B6" w:rsidRDefault="00D86180"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100,0%</w:t>
            </w:r>
          </w:p>
        </w:tc>
        <w:tc>
          <w:tcPr>
            <w:tcW w:w="526" w:type="pct"/>
            <w:tcBorders>
              <w:top w:val="nil"/>
              <w:left w:val="nil"/>
              <w:bottom w:val="nil"/>
              <w:right w:val="nil"/>
            </w:tcBorders>
            <w:shd w:val="clear" w:color="auto" w:fill="auto"/>
            <w:noWrap/>
            <w:vAlign w:val="center"/>
            <w:hideMark/>
          </w:tcPr>
          <w:p w14:paraId="38C31E20" w14:textId="77777777" w:rsidR="00D86180" w:rsidRPr="003B40B6" w:rsidRDefault="00D86180"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100,0%</w:t>
            </w:r>
          </w:p>
        </w:tc>
      </w:tr>
      <w:tr w:rsidR="00D86180" w:rsidRPr="009323E1" w14:paraId="411ADC95" w14:textId="77777777" w:rsidTr="00446A14">
        <w:trPr>
          <w:trHeight w:val="238"/>
        </w:trPr>
        <w:tc>
          <w:tcPr>
            <w:tcW w:w="2368" w:type="pct"/>
            <w:tcBorders>
              <w:top w:val="nil"/>
              <w:left w:val="nil"/>
              <w:bottom w:val="nil"/>
              <w:right w:val="nil"/>
            </w:tcBorders>
            <w:shd w:val="clear" w:color="auto" w:fill="auto"/>
            <w:noWrap/>
            <w:vAlign w:val="center"/>
            <w:hideMark/>
          </w:tcPr>
          <w:p w14:paraId="110A72A3" w14:textId="77777777" w:rsidR="00D86180" w:rsidRPr="003B40B6" w:rsidRDefault="00D86180" w:rsidP="00446A14">
            <w:pPr>
              <w:spacing w:after="0" w:line="240" w:lineRule="auto"/>
              <w:rPr>
                <w:rFonts w:ascii="Arial" w:hAnsi="Arial" w:cs="Arial"/>
                <w:color w:val="000000"/>
                <w:sz w:val="16"/>
                <w:szCs w:val="18"/>
                <w:lang w:eastAsia="pt-BR"/>
              </w:rPr>
            </w:pPr>
            <w:r w:rsidRPr="003B40B6">
              <w:rPr>
                <w:rFonts w:ascii="Arial" w:hAnsi="Arial" w:cs="Arial"/>
                <w:color w:val="000000"/>
                <w:sz w:val="16"/>
                <w:szCs w:val="18"/>
                <w:lang w:eastAsia="pt-BR"/>
              </w:rPr>
              <w:t>(+) Tributos sobre Superávit de Previdência Privada</w:t>
            </w:r>
          </w:p>
        </w:tc>
        <w:tc>
          <w:tcPr>
            <w:tcW w:w="526" w:type="pct"/>
            <w:tcBorders>
              <w:top w:val="nil"/>
              <w:left w:val="nil"/>
              <w:bottom w:val="nil"/>
              <w:right w:val="nil"/>
            </w:tcBorders>
            <w:shd w:val="clear" w:color="auto" w:fill="auto"/>
            <w:noWrap/>
            <w:vAlign w:val="center"/>
            <w:hideMark/>
          </w:tcPr>
          <w:p w14:paraId="58DC8A04" w14:textId="77777777" w:rsidR="00D86180" w:rsidRPr="003B40B6" w:rsidRDefault="00D86180"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3.137 </w:t>
            </w:r>
          </w:p>
        </w:tc>
        <w:tc>
          <w:tcPr>
            <w:tcW w:w="526" w:type="pct"/>
            <w:tcBorders>
              <w:top w:val="nil"/>
              <w:left w:val="nil"/>
              <w:bottom w:val="nil"/>
              <w:right w:val="nil"/>
            </w:tcBorders>
            <w:shd w:val="clear" w:color="auto" w:fill="auto"/>
            <w:noWrap/>
            <w:vAlign w:val="center"/>
            <w:hideMark/>
          </w:tcPr>
          <w:p w14:paraId="1FA79B24" w14:textId="77777777" w:rsidR="00D86180" w:rsidRPr="003B40B6" w:rsidRDefault="00D86180"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      </w:t>
            </w:r>
          </w:p>
        </w:tc>
        <w:tc>
          <w:tcPr>
            <w:tcW w:w="526" w:type="pct"/>
            <w:tcBorders>
              <w:top w:val="nil"/>
              <w:left w:val="nil"/>
              <w:bottom w:val="nil"/>
              <w:right w:val="nil"/>
            </w:tcBorders>
            <w:shd w:val="clear" w:color="auto" w:fill="auto"/>
            <w:noWrap/>
            <w:vAlign w:val="center"/>
            <w:hideMark/>
          </w:tcPr>
          <w:p w14:paraId="7BF765D4" w14:textId="77777777" w:rsidR="00D86180" w:rsidRPr="003B40B6" w:rsidRDefault="00D86180"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      </w:t>
            </w:r>
          </w:p>
        </w:tc>
        <w:tc>
          <w:tcPr>
            <w:tcW w:w="526" w:type="pct"/>
            <w:tcBorders>
              <w:top w:val="nil"/>
              <w:left w:val="nil"/>
              <w:bottom w:val="nil"/>
              <w:right w:val="nil"/>
            </w:tcBorders>
            <w:shd w:val="clear" w:color="auto" w:fill="auto"/>
            <w:noWrap/>
            <w:vAlign w:val="center"/>
            <w:hideMark/>
          </w:tcPr>
          <w:p w14:paraId="5D0A673B" w14:textId="77777777" w:rsidR="00D86180" w:rsidRPr="003B40B6" w:rsidRDefault="00D86180"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100,0%</w:t>
            </w:r>
          </w:p>
        </w:tc>
        <w:tc>
          <w:tcPr>
            <w:tcW w:w="526" w:type="pct"/>
            <w:tcBorders>
              <w:top w:val="nil"/>
              <w:left w:val="nil"/>
              <w:bottom w:val="nil"/>
              <w:right w:val="nil"/>
            </w:tcBorders>
            <w:shd w:val="clear" w:color="auto" w:fill="auto"/>
            <w:noWrap/>
            <w:vAlign w:val="center"/>
            <w:hideMark/>
          </w:tcPr>
          <w:p w14:paraId="73272DF4" w14:textId="77777777" w:rsidR="00D86180" w:rsidRPr="003B40B6" w:rsidRDefault="00D86180"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100,0%</w:t>
            </w:r>
          </w:p>
        </w:tc>
      </w:tr>
      <w:tr w:rsidR="00D86180" w:rsidRPr="009323E1" w14:paraId="13A4D4EB" w14:textId="77777777" w:rsidTr="00446A14">
        <w:trPr>
          <w:trHeight w:val="238"/>
        </w:trPr>
        <w:tc>
          <w:tcPr>
            <w:tcW w:w="2368" w:type="pct"/>
            <w:tcBorders>
              <w:top w:val="nil"/>
              <w:left w:val="nil"/>
              <w:bottom w:val="nil"/>
              <w:right w:val="nil"/>
            </w:tcBorders>
            <w:shd w:val="clear" w:color="auto" w:fill="auto"/>
            <w:noWrap/>
            <w:vAlign w:val="center"/>
            <w:hideMark/>
          </w:tcPr>
          <w:p w14:paraId="3E8D0C2E" w14:textId="77777777" w:rsidR="00D86180" w:rsidRPr="003B40B6" w:rsidRDefault="00D86180" w:rsidP="00446A14">
            <w:pPr>
              <w:spacing w:after="0" w:line="240" w:lineRule="auto"/>
              <w:rPr>
                <w:rFonts w:ascii="Arial" w:hAnsi="Arial" w:cs="Arial"/>
                <w:color w:val="000000"/>
                <w:sz w:val="16"/>
                <w:szCs w:val="18"/>
                <w:lang w:eastAsia="pt-BR"/>
              </w:rPr>
            </w:pPr>
            <w:r w:rsidRPr="003B40B6">
              <w:rPr>
                <w:rFonts w:ascii="Arial" w:hAnsi="Arial" w:cs="Arial"/>
                <w:color w:val="000000"/>
                <w:sz w:val="16"/>
                <w:szCs w:val="18"/>
                <w:lang w:eastAsia="pt-BR"/>
              </w:rPr>
              <w:t>(-) Ganho na Baixa de Passivo</w:t>
            </w:r>
          </w:p>
        </w:tc>
        <w:tc>
          <w:tcPr>
            <w:tcW w:w="526" w:type="pct"/>
            <w:tcBorders>
              <w:top w:val="nil"/>
              <w:left w:val="nil"/>
              <w:bottom w:val="nil"/>
              <w:right w:val="nil"/>
            </w:tcBorders>
            <w:shd w:val="clear" w:color="auto" w:fill="auto"/>
            <w:noWrap/>
            <w:vAlign w:val="center"/>
            <w:hideMark/>
          </w:tcPr>
          <w:p w14:paraId="44192890" w14:textId="77777777" w:rsidR="00D86180" w:rsidRPr="003B40B6" w:rsidRDefault="00D86180"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(417)</w:t>
            </w:r>
          </w:p>
        </w:tc>
        <w:tc>
          <w:tcPr>
            <w:tcW w:w="526" w:type="pct"/>
            <w:tcBorders>
              <w:top w:val="nil"/>
              <w:left w:val="nil"/>
              <w:bottom w:val="nil"/>
              <w:right w:val="nil"/>
            </w:tcBorders>
            <w:shd w:val="clear" w:color="auto" w:fill="auto"/>
            <w:noWrap/>
            <w:vAlign w:val="center"/>
            <w:hideMark/>
          </w:tcPr>
          <w:p w14:paraId="1435ECB7" w14:textId="77777777" w:rsidR="00D86180" w:rsidRPr="003B40B6" w:rsidRDefault="00D86180"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(474)</w:t>
            </w:r>
          </w:p>
        </w:tc>
        <w:tc>
          <w:tcPr>
            <w:tcW w:w="526" w:type="pct"/>
            <w:tcBorders>
              <w:top w:val="nil"/>
              <w:left w:val="nil"/>
              <w:bottom w:val="nil"/>
              <w:right w:val="nil"/>
            </w:tcBorders>
            <w:shd w:val="clear" w:color="auto" w:fill="auto"/>
            <w:noWrap/>
            <w:vAlign w:val="center"/>
            <w:hideMark/>
          </w:tcPr>
          <w:p w14:paraId="73C6D822" w14:textId="77777777" w:rsidR="00D86180" w:rsidRPr="003B40B6" w:rsidRDefault="00D86180"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(15.501)</w:t>
            </w:r>
          </w:p>
        </w:tc>
        <w:tc>
          <w:tcPr>
            <w:tcW w:w="526" w:type="pct"/>
            <w:tcBorders>
              <w:top w:val="nil"/>
              <w:left w:val="nil"/>
              <w:bottom w:val="nil"/>
              <w:right w:val="nil"/>
            </w:tcBorders>
            <w:shd w:val="clear" w:color="auto" w:fill="auto"/>
            <w:noWrap/>
            <w:vAlign w:val="center"/>
            <w:hideMark/>
          </w:tcPr>
          <w:p w14:paraId="2E5E7E46" w14:textId="77777777" w:rsidR="00D86180" w:rsidRPr="003B40B6" w:rsidRDefault="00D86180"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-12,0%</w:t>
            </w:r>
          </w:p>
        </w:tc>
        <w:tc>
          <w:tcPr>
            <w:tcW w:w="526" w:type="pct"/>
            <w:tcBorders>
              <w:top w:val="nil"/>
              <w:left w:val="nil"/>
              <w:bottom w:val="nil"/>
              <w:right w:val="nil"/>
            </w:tcBorders>
            <w:shd w:val="clear" w:color="auto" w:fill="auto"/>
            <w:noWrap/>
            <w:vAlign w:val="center"/>
            <w:hideMark/>
          </w:tcPr>
          <w:p w14:paraId="7A1F08E3" w14:textId="77777777" w:rsidR="00D86180" w:rsidRPr="003B40B6" w:rsidRDefault="00D86180"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-97,3%</w:t>
            </w:r>
          </w:p>
        </w:tc>
      </w:tr>
      <w:tr w:rsidR="00D86180" w:rsidRPr="009323E1" w14:paraId="17C0BC1F" w14:textId="77777777" w:rsidTr="00446A14">
        <w:trPr>
          <w:trHeight w:val="238"/>
        </w:trPr>
        <w:tc>
          <w:tcPr>
            <w:tcW w:w="2368" w:type="pct"/>
            <w:tcBorders>
              <w:top w:val="nil"/>
              <w:left w:val="nil"/>
              <w:bottom w:val="nil"/>
              <w:right w:val="nil"/>
            </w:tcBorders>
            <w:shd w:val="clear" w:color="auto" w:fill="auto"/>
            <w:noWrap/>
            <w:vAlign w:val="center"/>
            <w:hideMark/>
          </w:tcPr>
          <w:p w14:paraId="3588F6F1" w14:textId="77777777" w:rsidR="00D86180" w:rsidRPr="003B40B6" w:rsidRDefault="00D86180" w:rsidP="00446A14">
            <w:pPr>
              <w:spacing w:after="0" w:line="240" w:lineRule="auto"/>
              <w:rPr>
                <w:rFonts w:ascii="Arial" w:hAnsi="Arial" w:cs="Arial"/>
                <w:color w:val="000000"/>
                <w:sz w:val="16"/>
                <w:szCs w:val="18"/>
                <w:lang w:eastAsia="pt-BR"/>
              </w:rPr>
            </w:pPr>
            <w:r w:rsidRPr="003B40B6">
              <w:rPr>
                <w:rFonts w:ascii="Arial" w:hAnsi="Arial" w:cs="Arial"/>
                <w:color w:val="000000"/>
                <w:sz w:val="16"/>
                <w:szCs w:val="18"/>
                <w:lang w:eastAsia="pt-BR"/>
              </w:rPr>
              <w:t>(+) Baixa de Ativo Imobilizado</w:t>
            </w:r>
          </w:p>
        </w:tc>
        <w:tc>
          <w:tcPr>
            <w:tcW w:w="526" w:type="pct"/>
            <w:tcBorders>
              <w:top w:val="nil"/>
              <w:left w:val="nil"/>
              <w:bottom w:val="nil"/>
              <w:right w:val="nil"/>
            </w:tcBorders>
            <w:shd w:val="clear" w:color="auto" w:fill="auto"/>
            <w:noWrap/>
            <w:vAlign w:val="center"/>
            <w:hideMark/>
          </w:tcPr>
          <w:p w14:paraId="62763E89" w14:textId="77777777" w:rsidR="00D86180" w:rsidRPr="003B40B6" w:rsidRDefault="00D86180"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383 </w:t>
            </w:r>
          </w:p>
        </w:tc>
        <w:tc>
          <w:tcPr>
            <w:tcW w:w="526" w:type="pct"/>
            <w:tcBorders>
              <w:top w:val="nil"/>
              <w:left w:val="nil"/>
              <w:bottom w:val="nil"/>
              <w:right w:val="nil"/>
            </w:tcBorders>
            <w:shd w:val="clear" w:color="auto" w:fill="auto"/>
            <w:noWrap/>
            <w:vAlign w:val="center"/>
            <w:hideMark/>
          </w:tcPr>
          <w:p w14:paraId="6D49F671" w14:textId="77777777" w:rsidR="00D86180" w:rsidRPr="003B40B6" w:rsidRDefault="00D86180"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16.643 </w:t>
            </w:r>
          </w:p>
        </w:tc>
        <w:tc>
          <w:tcPr>
            <w:tcW w:w="526" w:type="pct"/>
            <w:tcBorders>
              <w:top w:val="nil"/>
              <w:left w:val="nil"/>
              <w:bottom w:val="nil"/>
              <w:right w:val="nil"/>
            </w:tcBorders>
            <w:shd w:val="clear" w:color="auto" w:fill="auto"/>
            <w:noWrap/>
            <w:vAlign w:val="center"/>
            <w:hideMark/>
          </w:tcPr>
          <w:p w14:paraId="498043BD" w14:textId="77777777" w:rsidR="00D86180" w:rsidRPr="003B40B6" w:rsidRDefault="00D86180"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   </w:t>
            </w:r>
          </w:p>
        </w:tc>
        <w:tc>
          <w:tcPr>
            <w:tcW w:w="526" w:type="pct"/>
            <w:tcBorders>
              <w:top w:val="nil"/>
              <w:left w:val="nil"/>
              <w:bottom w:val="nil"/>
              <w:right w:val="nil"/>
            </w:tcBorders>
            <w:shd w:val="clear" w:color="auto" w:fill="auto"/>
            <w:noWrap/>
            <w:vAlign w:val="center"/>
            <w:hideMark/>
          </w:tcPr>
          <w:p w14:paraId="58B378B5" w14:textId="77777777" w:rsidR="00D86180" w:rsidRPr="003B40B6" w:rsidRDefault="00D86180"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-97,7%</w:t>
            </w:r>
          </w:p>
        </w:tc>
        <w:tc>
          <w:tcPr>
            <w:tcW w:w="526" w:type="pct"/>
            <w:tcBorders>
              <w:top w:val="nil"/>
              <w:left w:val="nil"/>
              <w:bottom w:val="nil"/>
              <w:right w:val="nil"/>
            </w:tcBorders>
            <w:shd w:val="clear" w:color="auto" w:fill="auto"/>
            <w:noWrap/>
            <w:vAlign w:val="center"/>
            <w:hideMark/>
          </w:tcPr>
          <w:p w14:paraId="782AA9CB" w14:textId="77777777" w:rsidR="00D86180" w:rsidRPr="003B40B6" w:rsidRDefault="00D86180"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100,0%</w:t>
            </w:r>
          </w:p>
        </w:tc>
      </w:tr>
      <w:tr w:rsidR="00D86180" w:rsidRPr="009323E1" w14:paraId="29CB45DF" w14:textId="77777777" w:rsidTr="00446A14">
        <w:trPr>
          <w:trHeight w:val="238"/>
        </w:trPr>
        <w:tc>
          <w:tcPr>
            <w:tcW w:w="2368" w:type="pct"/>
            <w:tcBorders>
              <w:top w:val="nil"/>
              <w:left w:val="nil"/>
              <w:bottom w:val="nil"/>
              <w:right w:val="nil"/>
            </w:tcBorders>
            <w:shd w:val="clear" w:color="auto" w:fill="auto"/>
            <w:noWrap/>
            <w:vAlign w:val="center"/>
            <w:hideMark/>
          </w:tcPr>
          <w:p w14:paraId="57FDAFFA" w14:textId="77777777" w:rsidR="00D86180" w:rsidRPr="003B40B6" w:rsidRDefault="00D86180" w:rsidP="00446A14">
            <w:pPr>
              <w:spacing w:after="0" w:line="240" w:lineRule="auto"/>
              <w:rPr>
                <w:rFonts w:ascii="Arial" w:hAnsi="Arial" w:cs="Arial"/>
                <w:color w:val="000000"/>
                <w:sz w:val="16"/>
                <w:szCs w:val="18"/>
                <w:lang w:eastAsia="pt-BR"/>
              </w:rPr>
            </w:pPr>
            <w:r w:rsidRPr="003B40B6">
              <w:rPr>
                <w:rFonts w:ascii="Arial" w:hAnsi="Arial" w:cs="Arial"/>
                <w:color w:val="000000"/>
                <w:sz w:val="16"/>
                <w:szCs w:val="18"/>
                <w:lang w:eastAsia="pt-BR"/>
              </w:rPr>
              <w:t xml:space="preserve">(+) Baixa de Ativos - Tributos </w:t>
            </w:r>
          </w:p>
        </w:tc>
        <w:tc>
          <w:tcPr>
            <w:tcW w:w="526" w:type="pct"/>
            <w:tcBorders>
              <w:top w:val="nil"/>
              <w:left w:val="nil"/>
              <w:bottom w:val="nil"/>
              <w:right w:val="nil"/>
            </w:tcBorders>
            <w:shd w:val="clear" w:color="auto" w:fill="auto"/>
            <w:noWrap/>
            <w:vAlign w:val="center"/>
            <w:hideMark/>
          </w:tcPr>
          <w:p w14:paraId="3A54E4EF" w14:textId="77777777" w:rsidR="00D86180" w:rsidRPr="003B40B6" w:rsidRDefault="00D86180"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7.183 </w:t>
            </w:r>
          </w:p>
        </w:tc>
        <w:tc>
          <w:tcPr>
            <w:tcW w:w="526" w:type="pct"/>
            <w:tcBorders>
              <w:top w:val="nil"/>
              <w:left w:val="nil"/>
              <w:bottom w:val="nil"/>
              <w:right w:val="nil"/>
            </w:tcBorders>
            <w:shd w:val="clear" w:color="auto" w:fill="auto"/>
            <w:noWrap/>
            <w:vAlign w:val="center"/>
            <w:hideMark/>
          </w:tcPr>
          <w:p w14:paraId="65DF79DE" w14:textId="77777777" w:rsidR="00D86180" w:rsidRPr="003B40B6" w:rsidRDefault="00D86180"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   </w:t>
            </w:r>
          </w:p>
        </w:tc>
        <w:tc>
          <w:tcPr>
            <w:tcW w:w="526" w:type="pct"/>
            <w:tcBorders>
              <w:top w:val="nil"/>
              <w:left w:val="nil"/>
              <w:bottom w:val="nil"/>
              <w:right w:val="nil"/>
            </w:tcBorders>
            <w:shd w:val="clear" w:color="auto" w:fill="auto"/>
            <w:noWrap/>
            <w:vAlign w:val="center"/>
            <w:hideMark/>
          </w:tcPr>
          <w:p w14:paraId="495319B5" w14:textId="77777777" w:rsidR="00D86180" w:rsidRPr="003B40B6" w:rsidRDefault="00D86180"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13.488 </w:t>
            </w:r>
          </w:p>
        </w:tc>
        <w:tc>
          <w:tcPr>
            <w:tcW w:w="526" w:type="pct"/>
            <w:tcBorders>
              <w:top w:val="nil"/>
              <w:left w:val="nil"/>
              <w:bottom w:val="nil"/>
              <w:right w:val="nil"/>
            </w:tcBorders>
            <w:shd w:val="clear" w:color="auto" w:fill="auto"/>
            <w:noWrap/>
            <w:vAlign w:val="center"/>
            <w:hideMark/>
          </w:tcPr>
          <w:p w14:paraId="140E095A" w14:textId="77777777" w:rsidR="00D86180" w:rsidRPr="003B40B6" w:rsidRDefault="00D86180"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100,0%</w:t>
            </w:r>
          </w:p>
        </w:tc>
        <w:tc>
          <w:tcPr>
            <w:tcW w:w="526" w:type="pct"/>
            <w:tcBorders>
              <w:top w:val="nil"/>
              <w:left w:val="nil"/>
              <w:bottom w:val="nil"/>
              <w:right w:val="nil"/>
            </w:tcBorders>
            <w:shd w:val="clear" w:color="auto" w:fill="auto"/>
            <w:noWrap/>
            <w:vAlign w:val="center"/>
            <w:hideMark/>
          </w:tcPr>
          <w:p w14:paraId="798977F1" w14:textId="77777777" w:rsidR="00D86180" w:rsidRPr="003B40B6" w:rsidRDefault="00D86180"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-46,7%</w:t>
            </w:r>
          </w:p>
        </w:tc>
      </w:tr>
      <w:tr w:rsidR="00D86180" w:rsidRPr="009323E1" w14:paraId="766A3A81" w14:textId="77777777" w:rsidTr="00446A14">
        <w:trPr>
          <w:trHeight w:val="238"/>
        </w:trPr>
        <w:tc>
          <w:tcPr>
            <w:tcW w:w="2368" w:type="pct"/>
            <w:tcBorders>
              <w:top w:val="nil"/>
              <w:left w:val="nil"/>
              <w:bottom w:val="nil"/>
              <w:right w:val="nil"/>
            </w:tcBorders>
            <w:shd w:val="clear" w:color="auto" w:fill="auto"/>
            <w:noWrap/>
            <w:vAlign w:val="center"/>
            <w:hideMark/>
          </w:tcPr>
          <w:p w14:paraId="76445672" w14:textId="77777777" w:rsidR="00D86180" w:rsidRPr="003B40B6" w:rsidRDefault="00D86180" w:rsidP="00446A14">
            <w:pPr>
              <w:spacing w:after="0" w:line="240" w:lineRule="auto"/>
              <w:rPr>
                <w:rFonts w:ascii="Arial" w:hAnsi="Arial" w:cs="Arial"/>
                <w:color w:val="000000"/>
                <w:sz w:val="16"/>
                <w:szCs w:val="18"/>
                <w:lang w:eastAsia="pt-BR"/>
              </w:rPr>
            </w:pPr>
            <w:r w:rsidRPr="003B40B6">
              <w:rPr>
                <w:rFonts w:ascii="Arial" w:hAnsi="Arial" w:cs="Arial"/>
                <w:color w:val="000000"/>
                <w:sz w:val="16"/>
                <w:szCs w:val="18"/>
                <w:lang w:eastAsia="pt-BR"/>
              </w:rPr>
              <w:t>(+) Multas Contratuais - Dataprev</w:t>
            </w:r>
          </w:p>
        </w:tc>
        <w:tc>
          <w:tcPr>
            <w:tcW w:w="526" w:type="pct"/>
            <w:tcBorders>
              <w:top w:val="nil"/>
              <w:left w:val="nil"/>
              <w:bottom w:val="nil"/>
              <w:right w:val="nil"/>
            </w:tcBorders>
            <w:shd w:val="clear" w:color="auto" w:fill="auto"/>
            <w:noWrap/>
            <w:vAlign w:val="center"/>
            <w:hideMark/>
          </w:tcPr>
          <w:p w14:paraId="36B55CD5" w14:textId="77777777" w:rsidR="00D86180" w:rsidRPr="003B40B6" w:rsidRDefault="00D86180"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39.352 </w:t>
            </w:r>
          </w:p>
        </w:tc>
        <w:tc>
          <w:tcPr>
            <w:tcW w:w="526" w:type="pct"/>
            <w:tcBorders>
              <w:top w:val="nil"/>
              <w:left w:val="nil"/>
              <w:bottom w:val="nil"/>
              <w:right w:val="nil"/>
            </w:tcBorders>
            <w:shd w:val="clear" w:color="auto" w:fill="auto"/>
            <w:noWrap/>
            <w:vAlign w:val="center"/>
            <w:hideMark/>
          </w:tcPr>
          <w:p w14:paraId="66B73650" w14:textId="77777777" w:rsidR="00D86180" w:rsidRPr="003B40B6" w:rsidRDefault="00D86180"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      </w:t>
            </w:r>
          </w:p>
        </w:tc>
        <w:tc>
          <w:tcPr>
            <w:tcW w:w="526" w:type="pct"/>
            <w:tcBorders>
              <w:top w:val="nil"/>
              <w:left w:val="nil"/>
              <w:bottom w:val="nil"/>
              <w:right w:val="nil"/>
            </w:tcBorders>
            <w:shd w:val="clear" w:color="auto" w:fill="auto"/>
            <w:noWrap/>
            <w:vAlign w:val="center"/>
            <w:hideMark/>
          </w:tcPr>
          <w:p w14:paraId="1DAB7A39" w14:textId="77777777" w:rsidR="00D86180" w:rsidRPr="003B40B6" w:rsidRDefault="00D86180"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      </w:t>
            </w:r>
          </w:p>
        </w:tc>
        <w:tc>
          <w:tcPr>
            <w:tcW w:w="526" w:type="pct"/>
            <w:tcBorders>
              <w:top w:val="nil"/>
              <w:left w:val="nil"/>
              <w:bottom w:val="nil"/>
              <w:right w:val="nil"/>
            </w:tcBorders>
            <w:shd w:val="clear" w:color="auto" w:fill="auto"/>
            <w:noWrap/>
            <w:vAlign w:val="center"/>
            <w:hideMark/>
          </w:tcPr>
          <w:p w14:paraId="567CAA68" w14:textId="77777777" w:rsidR="00D86180" w:rsidRPr="003B40B6" w:rsidRDefault="00D86180"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100,0%</w:t>
            </w:r>
          </w:p>
        </w:tc>
        <w:tc>
          <w:tcPr>
            <w:tcW w:w="526" w:type="pct"/>
            <w:tcBorders>
              <w:top w:val="nil"/>
              <w:left w:val="nil"/>
              <w:bottom w:val="nil"/>
              <w:right w:val="nil"/>
            </w:tcBorders>
            <w:shd w:val="clear" w:color="auto" w:fill="auto"/>
            <w:noWrap/>
            <w:vAlign w:val="center"/>
            <w:hideMark/>
          </w:tcPr>
          <w:p w14:paraId="07A23F7C" w14:textId="77777777" w:rsidR="00D86180" w:rsidRPr="003B40B6" w:rsidRDefault="00D86180"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100,0%</w:t>
            </w:r>
          </w:p>
        </w:tc>
      </w:tr>
      <w:tr w:rsidR="00D86180" w:rsidRPr="009323E1" w14:paraId="48B8583D" w14:textId="77777777" w:rsidTr="00446A14">
        <w:trPr>
          <w:trHeight w:val="238"/>
        </w:trPr>
        <w:tc>
          <w:tcPr>
            <w:tcW w:w="2368" w:type="pct"/>
            <w:tcBorders>
              <w:top w:val="single" w:sz="8" w:space="0" w:color="9BC2E6"/>
              <w:left w:val="nil"/>
              <w:bottom w:val="single" w:sz="8" w:space="0" w:color="9BC2E6"/>
              <w:right w:val="nil"/>
            </w:tcBorders>
            <w:shd w:val="clear" w:color="auto" w:fill="auto"/>
            <w:noWrap/>
            <w:vAlign w:val="center"/>
            <w:hideMark/>
          </w:tcPr>
          <w:p w14:paraId="64536B7C" w14:textId="77777777" w:rsidR="00D86180" w:rsidRPr="003B40B6" w:rsidRDefault="00D86180" w:rsidP="00446A14">
            <w:pPr>
              <w:spacing w:after="0" w:line="240" w:lineRule="auto"/>
              <w:rPr>
                <w:rFonts w:ascii="Arial" w:hAnsi="Arial" w:cs="Arial"/>
                <w:b/>
                <w:bCs/>
                <w:color w:val="000000"/>
                <w:sz w:val="16"/>
                <w:szCs w:val="18"/>
                <w:lang w:eastAsia="pt-BR"/>
              </w:rPr>
            </w:pPr>
            <w:r w:rsidRPr="003B40B6">
              <w:rPr>
                <w:rFonts w:ascii="Arial" w:hAnsi="Arial" w:cs="Arial"/>
                <w:b/>
                <w:bCs/>
                <w:color w:val="000000"/>
                <w:sz w:val="16"/>
                <w:szCs w:val="18"/>
                <w:lang w:eastAsia="pt-BR"/>
              </w:rPr>
              <w:t>Prejuízo do Exercício Ajustado</w:t>
            </w:r>
          </w:p>
        </w:tc>
        <w:tc>
          <w:tcPr>
            <w:tcW w:w="526" w:type="pct"/>
            <w:tcBorders>
              <w:top w:val="single" w:sz="8" w:space="0" w:color="9BC2E6"/>
              <w:left w:val="nil"/>
              <w:bottom w:val="single" w:sz="8" w:space="0" w:color="9BC2E6"/>
              <w:right w:val="nil"/>
            </w:tcBorders>
            <w:shd w:val="clear" w:color="auto" w:fill="auto"/>
            <w:noWrap/>
            <w:vAlign w:val="center"/>
            <w:hideMark/>
          </w:tcPr>
          <w:p w14:paraId="6F4F615D" w14:textId="77777777" w:rsidR="00D86180" w:rsidRPr="003B40B6" w:rsidRDefault="00D86180" w:rsidP="00446A14">
            <w:pPr>
              <w:spacing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 xml:space="preserve">  (111.631)</w:t>
            </w:r>
          </w:p>
        </w:tc>
        <w:tc>
          <w:tcPr>
            <w:tcW w:w="526" w:type="pct"/>
            <w:tcBorders>
              <w:top w:val="single" w:sz="8" w:space="0" w:color="9BC2E6"/>
              <w:left w:val="nil"/>
              <w:bottom w:val="single" w:sz="8" w:space="0" w:color="9BC2E6"/>
              <w:right w:val="nil"/>
            </w:tcBorders>
            <w:shd w:val="clear" w:color="auto" w:fill="auto"/>
            <w:noWrap/>
            <w:vAlign w:val="center"/>
            <w:hideMark/>
          </w:tcPr>
          <w:p w14:paraId="53572D83" w14:textId="77777777" w:rsidR="00D86180" w:rsidRPr="003B40B6" w:rsidRDefault="00D86180" w:rsidP="00446A14">
            <w:pPr>
              <w:spacing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 xml:space="preserve">  (152.290)</w:t>
            </w:r>
          </w:p>
        </w:tc>
        <w:tc>
          <w:tcPr>
            <w:tcW w:w="526" w:type="pct"/>
            <w:tcBorders>
              <w:top w:val="single" w:sz="8" w:space="0" w:color="9BC2E6"/>
              <w:left w:val="nil"/>
              <w:bottom w:val="single" w:sz="8" w:space="0" w:color="9BC2E6"/>
              <w:right w:val="nil"/>
            </w:tcBorders>
            <w:shd w:val="clear" w:color="auto" w:fill="auto"/>
            <w:noWrap/>
            <w:vAlign w:val="center"/>
            <w:hideMark/>
          </w:tcPr>
          <w:p w14:paraId="5279D6D3" w14:textId="77777777" w:rsidR="00D86180" w:rsidRPr="003B40B6" w:rsidRDefault="00D86180" w:rsidP="00446A14">
            <w:pPr>
              <w:spacing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 xml:space="preserve">  (171.959)</w:t>
            </w:r>
          </w:p>
        </w:tc>
        <w:tc>
          <w:tcPr>
            <w:tcW w:w="526" w:type="pct"/>
            <w:tcBorders>
              <w:top w:val="single" w:sz="8" w:space="0" w:color="9BC2E6"/>
              <w:left w:val="nil"/>
              <w:bottom w:val="single" w:sz="8" w:space="0" w:color="9BC2E6"/>
              <w:right w:val="nil"/>
            </w:tcBorders>
            <w:shd w:val="clear" w:color="auto" w:fill="auto"/>
            <w:noWrap/>
            <w:vAlign w:val="center"/>
            <w:hideMark/>
          </w:tcPr>
          <w:p w14:paraId="27334D7F" w14:textId="77777777" w:rsidR="00D86180" w:rsidRPr="003B40B6" w:rsidRDefault="00D86180" w:rsidP="00446A14">
            <w:pPr>
              <w:spacing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-26,7%</w:t>
            </w:r>
          </w:p>
        </w:tc>
        <w:tc>
          <w:tcPr>
            <w:tcW w:w="526" w:type="pct"/>
            <w:tcBorders>
              <w:top w:val="single" w:sz="8" w:space="0" w:color="9BC2E6"/>
              <w:left w:val="nil"/>
              <w:bottom w:val="single" w:sz="8" w:space="0" w:color="9BC2E6"/>
              <w:right w:val="nil"/>
            </w:tcBorders>
            <w:shd w:val="clear" w:color="auto" w:fill="auto"/>
            <w:noWrap/>
            <w:vAlign w:val="center"/>
            <w:hideMark/>
          </w:tcPr>
          <w:p w14:paraId="7630C9BD" w14:textId="77777777" w:rsidR="00D86180" w:rsidRPr="003B40B6" w:rsidRDefault="00D86180" w:rsidP="00446A14">
            <w:pPr>
              <w:spacing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-35,1%</w:t>
            </w:r>
          </w:p>
        </w:tc>
      </w:tr>
      <w:tr w:rsidR="00D86180" w:rsidRPr="009323E1" w14:paraId="7EFDD604" w14:textId="77777777" w:rsidTr="00446A14">
        <w:trPr>
          <w:trHeight w:val="238"/>
        </w:trPr>
        <w:tc>
          <w:tcPr>
            <w:tcW w:w="2368" w:type="pct"/>
            <w:tcBorders>
              <w:top w:val="nil"/>
              <w:left w:val="nil"/>
              <w:bottom w:val="single" w:sz="8" w:space="0" w:color="9BC2E6"/>
              <w:right w:val="nil"/>
            </w:tcBorders>
            <w:shd w:val="clear" w:color="auto" w:fill="auto"/>
            <w:noWrap/>
            <w:vAlign w:val="center"/>
            <w:hideMark/>
          </w:tcPr>
          <w:p w14:paraId="631DEA4F" w14:textId="77777777" w:rsidR="00D86180" w:rsidRPr="003B40B6" w:rsidRDefault="00D86180" w:rsidP="00446A14">
            <w:pPr>
              <w:spacing w:after="0" w:line="240" w:lineRule="auto"/>
              <w:rPr>
                <w:rFonts w:ascii="Arial" w:hAnsi="Arial" w:cs="Arial"/>
                <w:b/>
                <w:bCs/>
                <w:color w:val="000000"/>
                <w:sz w:val="16"/>
                <w:szCs w:val="18"/>
                <w:lang w:eastAsia="pt-BR"/>
              </w:rPr>
            </w:pPr>
            <w:r w:rsidRPr="003B40B6">
              <w:rPr>
                <w:rFonts w:ascii="Arial" w:hAnsi="Arial" w:cs="Arial"/>
                <w:b/>
                <w:bCs/>
                <w:color w:val="000000"/>
                <w:sz w:val="16"/>
                <w:szCs w:val="18"/>
                <w:lang w:eastAsia="pt-BR"/>
              </w:rPr>
              <w:t>Margem Líquida</w:t>
            </w:r>
          </w:p>
        </w:tc>
        <w:tc>
          <w:tcPr>
            <w:tcW w:w="526" w:type="pct"/>
            <w:tcBorders>
              <w:top w:val="nil"/>
              <w:left w:val="nil"/>
              <w:bottom w:val="single" w:sz="8" w:space="0" w:color="9BC2E6"/>
              <w:right w:val="nil"/>
            </w:tcBorders>
            <w:shd w:val="clear" w:color="auto" w:fill="auto"/>
            <w:noWrap/>
            <w:vAlign w:val="center"/>
            <w:hideMark/>
          </w:tcPr>
          <w:p w14:paraId="0DB2C3DA" w14:textId="77777777" w:rsidR="00D86180" w:rsidRPr="003B40B6" w:rsidRDefault="00D86180" w:rsidP="00446A14">
            <w:pPr>
              <w:spacing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-26,8%</w:t>
            </w:r>
          </w:p>
        </w:tc>
        <w:tc>
          <w:tcPr>
            <w:tcW w:w="526" w:type="pct"/>
            <w:tcBorders>
              <w:top w:val="nil"/>
              <w:left w:val="nil"/>
              <w:bottom w:val="single" w:sz="8" w:space="0" w:color="9BC2E6"/>
              <w:right w:val="nil"/>
            </w:tcBorders>
            <w:shd w:val="clear" w:color="auto" w:fill="auto"/>
            <w:noWrap/>
            <w:vAlign w:val="center"/>
            <w:hideMark/>
          </w:tcPr>
          <w:p w14:paraId="1E102BEF" w14:textId="77777777" w:rsidR="00D86180" w:rsidRPr="003B40B6" w:rsidRDefault="00D86180" w:rsidP="00446A14">
            <w:pPr>
              <w:spacing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-43,8%</w:t>
            </w:r>
          </w:p>
        </w:tc>
        <w:tc>
          <w:tcPr>
            <w:tcW w:w="526" w:type="pct"/>
            <w:tcBorders>
              <w:top w:val="nil"/>
              <w:left w:val="nil"/>
              <w:bottom w:val="single" w:sz="8" w:space="0" w:color="9BC2E6"/>
              <w:right w:val="nil"/>
            </w:tcBorders>
            <w:shd w:val="clear" w:color="auto" w:fill="auto"/>
            <w:noWrap/>
            <w:vAlign w:val="center"/>
            <w:hideMark/>
          </w:tcPr>
          <w:p w14:paraId="6D7229F7" w14:textId="77777777" w:rsidR="00D86180" w:rsidRPr="003B40B6" w:rsidRDefault="00D86180" w:rsidP="00446A14">
            <w:pPr>
              <w:spacing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-60,2%</w:t>
            </w:r>
          </w:p>
        </w:tc>
        <w:tc>
          <w:tcPr>
            <w:tcW w:w="526" w:type="pct"/>
            <w:tcBorders>
              <w:top w:val="nil"/>
              <w:left w:val="nil"/>
              <w:bottom w:val="single" w:sz="8" w:space="0" w:color="9BC2E6"/>
              <w:right w:val="nil"/>
            </w:tcBorders>
            <w:shd w:val="clear" w:color="auto" w:fill="auto"/>
            <w:noWrap/>
            <w:vAlign w:val="center"/>
            <w:hideMark/>
          </w:tcPr>
          <w:p w14:paraId="4FC0E722" w14:textId="77777777" w:rsidR="00D86180" w:rsidRPr="003B40B6" w:rsidRDefault="00D86180" w:rsidP="00446A14">
            <w:pPr>
              <w:spacing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-38,9%</w:t>
            </w:r>
          </w:p>
        </w:tc>
        <w:tc>
          <w:tcPr>
            <w:tcW w:w="526" w:type="pct"/>
            <w:tcBorders>
              <w:top w:val="nil"/>
              <w:left w:val="nil"/>
              <w:bottom w:val="single" w:sz="8" w:space="0" w:color="9BC2E6"/>
              <w:right w:val="nil"/>
            </w:tcBorders>
            <w:shd w:val="clear" w:color="auto" w:fill="auto"/>
            <w:noWrap/>
            <w:vAlign w:val="center"/>
            <w:hideMark/>
          </w:tcPr>
          <w:p w14:paraId="366FEDAD" w14:textId="77777777" w:rsidR="00D86180" w:rsidRPr="003B40B6" w:rsidRDefault="00D86180" w:rsidP="00446A14">
            <w:pPr>
              <w:spacing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-55,5%</w:t>
            </w:r>
          </w:p>
        </w:tc>
      </w:tr>
      <w:tr w:rsidR="00D86180" w:rsidRPr="009323E1" w14:paraId="20EBCE0A" w14:textId="77777777" w:rsidTr="00446A14">
        <w:trPr>
          <w:trHeight w:val="238"/>
        </w:trPr>
        <w:tc>
          <w:tcPr>
            <w:tcW w:w="2368" w:type="pct"/>
            <w:tcBorders>
              <w:top w:val="nil"/>
              <w:left w:val="nil"/>
              <w:bottom w:val="single" w:sz="8" w:space="0" w:color="9BC2E6"/>
              <w:right w:val="nil"/>
            </w:tcBorders>
            <w:shd w:val="clear" w:color="auto" w:fill="auto"/>
            <w:noWrap/>
            <w:vAlign w:val="center"/>
            <w:hideMark/>
          </w:tcPr>
          <w:p w14:paraId="6B08654A" w14:textId="77777777" w:rsidR="00D86180" w:rsidRPr="003B40B6" w:rsidRDefault="00D86180" w:rsidP="00446A14">
            <w:pPr>
              <w:spacing w:after="0" w:line="240" w:lineRule="auto"/>
              <w:rPr>
                <w:rFonts w:ascii="Arial" w:hAnsi="Arial" w:cs="Arial"/>
                <w:b/>
                <w:bCs/>
                <w:color w:val="000000"/>
                <w:sz w:val="16"/>
                <w:szCs w:val="18"/>
                <w:lang w:eastAsia="pt-BR"/>
              </w:rPr>
            </w:pPr>
            <w:r w:rsidRPr="003B40B6">
              <w:rPr>
                <w:rFonts w:ascii="Arial" w:hAnsi="Arial" w:cs="Arial"/>
                <w:b/>
                <w:bCs/>
                <w:color w:val="000000"/>
                <w:sz w:val="16"/>
                <w:szCs w:val="18"/>
                <w:lang w:eastAsia="pt-BR"/>
              </w:rPr>
              <w:t>Prejuízo por Ação (R$)</w:t>
            </w:r>
          </w:p>
        </w:tc>
        <w:tc>
          <w:tcPr>
            <w:tcW w:w="526" w:type="pct"/>
            <w:tcBorders>
              <w:top w:val="nil"/>
              <w:left w:val="nil"/>
              <w:bottom w:val="single" w:sz="8" w:space="0" w:color="9BC2E6"/>
              <w:right w:val="nil"/>
            </w:tcBorders>
            <w:shd w:val="clear" w:color="auto" w:fill="auto"/>
            <w:noWrap/>
            <w:vAlign w:val="center"/>
            <w:hideMark/>
          </w:tcPr>
          <w:p w14:paraId="3C22C23E" w14:textId="77777777" w:rsidR="00D86180" w:rsidRPr="003B40B6" w:rsidRDefault="00D86180" w:rsidP="00446A14">
            <w:pPr>
              <w:spacing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-1,2923</w:t>
            </w:r>
          </w:p>
        </w:tc>
        <w:tc>
          <w:tcPr>
            <w:tcW w:w="526" w:type="pct"/>
            <w:tcBorders>
              <w:top w:val="nil"/>
              <w:left w:val="nil"/>
              <w:bottom w:val="single" w:sz="8" w:space="0" w:color="9BC2E6"/>
              <w:right w:val="nil"/>
            </w:tcBorders>
            <w:shd w:val="clear" w:color="auto" w:fill="auto"/>
            <w:noWrap/>
            <w:vAlign w:val="center"/>
            <w:hideMark/>
          </w:tcPr>
          <w:p w14:paraId="1C828FD4" w14:textId="77777777" w:rsidR="00D86180" w:rsidRPr="003B40B6" w:rsidRDefault="00D86180" w:rsidP="00446A14">
            <w:pPr>
              <w:spacing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-1,7629</w:t>
            </w:r>
          </w:p>
        </w:tc>
        <w:tc>
          <w:tcPr>
            <w:tcW w:w="526" w:type="pct"/>
            <w:tcBorders>
              <w:top w:val="nil"/>
              <w:left w:val="nil"/>
              <w:bottom w:val="single" w:sz="8" w:space="0" w:color="9BC2E6"/>
              <w:right w:val="nil"/>
            </w:tcBorders>
            <w:shd w:val="clear" w:color="auto" w:fill="auto"/>
            <w:noWrap/>
            <w:vAlign w:val="center"/>
            <w:hideMark/>
          </w:tcPr>
          <w:p w14:paraId="57D4808C" w14:textId="77777777" w:rsidR="00D86180" w:rsidRPr="003B40B6" w:rsidRDefault="00D86180" w:rsidP="00446A14">
            <w:pPr>
              <w:spacing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-2,5338</w:t>
            </w:r>
          </w:p>
        </w:tc>
        <w:tc>
          <w:tcPr>
            <w:tcW w:w="526" w:type="pct"/>
            <w:tcBorders>
              <w:top w:val="nil"/>
              <w:left w:val="nil"/>
              <w:bottom w:val="single" w:sz="8" w:space="0" w:color="9BC2E6"/>
              <w:right w:val="nil"/>
            </w:tcBorders>
            <w:shd w:val="clear" w:color="auto" w:fill="auto"/>
            <w:noWrap/>
            <w:vAlign w:val="center"/>
            <w:hideMark/>
          </w:tcPr>
          <w:p w14:paraId="0E544E1C" w14:textId="77777777" w:rsidR="00D86180" w:rsidRPr="003B40B6" w:rsidRDefault="00D86180" w:rsidP="00446A14">
            <w:pPr>
              <w:spacing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-26,7%</w:t>
            </w:r>
          </w:p>
        </w:tc>
        <w:tc>
          <w:tcPr>
            <w:tcW w:w="526" w:type="pct"/>
            <w:tcBorders>
              <w:top w:val="nil"/>
              <w:left w:val="nil"/>
              <w:bottom w:val="single" w:sz="8" w:space="0" w:color="9BC2E6"/>
              <w:right w:val="nil"/>
            </w:tcBorders>
            <w:shd w:val="clear" w:color="auto" w:fill="auto"/>
            <w:noWrap/>
            <w:vAlign w:val="center"/>
            <w:hideMark/>
          </w:tcPr>
          <w:p w14:paraId="53453414" w14:textId="77777777" w:rsidR="00D86180" w:rsidRPr="003B40B6" w:rsidRDefault="00D86180" w:rsidP="00446A14">
            <w:pPr>
              <w:spacing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-49,0%</w:t>
            </w:r>
          </w:p>
        </w:tc>
      </w:tr>
    </w:tbl>
    <w:p w14:paraId="6F2C67B5" w14:textId="7F1A6626" w:rsidR="00A37AC4" w:rsidRDefault="00A37AC4" w:rsidP="006C6302">
      <w:pPr>
        <w:spacing w:after="0"/>
        <w:jc w:val="both"/>
        <w:rPr>
          <w:rFonts w:ascii="Calibri" w:eastAsia="Times New Roman" w:hAnsi="Calibri" w:cs="Times New Roman"/>
          <w:color w:val="002060"/>
          <w:kern w:val="0"/>
          <w14:ligatures w14:val="none"/>
        </w:rPr>
      </w:pPr>
      <w:r w:rsidRPr="00A37AC4">
        <w:rPr>
          <w:rFonts w:ascii="Calibri" w:eastAsia="Times New Roman" w:hAnsi="Calibri" w:cs="Times New Roman"/>
          <w:color w:val="002060"/>
          <w:kern w:val="0"/>
          <w14:ligatures w14:val="none"/>
        </w:rPr>
        <w:t xml:space="preserve">Em 2023, a Companhia teve um Prejuízo Líquido Ajustado de R$ 111,6 milhões (R$ 152,3 milhões em 2022 e R$ 172,0 milhões em 2021), redução de 26,7% e 49,0%, respectivamente. </w:t>
      </w:r>
    </w:p>
    <w:p w14:paraId="4AF55958" w14:textId="14FE8AEB" w:rsidR="00A37AC4" w:rsidRDefault="00A37AC4" w:rsidP="00A37AC4">
      <w:pPr>
        <w:spacing w:after="0"/>
        <w:jc w:val="both"/>
        <w:rPr>
          <w:rFonts w:ascii="Calibri" w:eastAsia="Times New Roman" w:hAnsi="Calibri" w:cs="Times New Roman"/>
          <w:b/>
          <w:bCs/>
          <w:color w:val="002060"/>
          <w:kern w:val="0"/>
          <w14:ligatures w14:val="none"/>
        </w:rPr>
      </w:pPr>
      <w:bookmarkStart w:id="17" w:name="_Toc161319440"/>
      <w:r>
        <w:rPr>
          <w:rFonts w:ascii="Calibri" w:eastAsia="Times New Roman" w:hAnsi="Calibri" w:cs="Times New Roman"/>
          <w:b/>
          <w:bCs/>
          <w:color w:val="002060"/>
          <w:kern w:val="0"/>
          <w14:ligatures w14:val="none"/>
        </w:rPr>
        <w:t xml:space="preserve">3.2.8. </w:t>
      </w:r>
      <w:r w:rsidRPr="00A37AC4">
        <w:rPr>
          <w:rFonts w:ascii="Calibri" w:eastAsia="Times New Roman" w:hAnsi="Calibri" w:cs="Times New Roman"/>
          <w:b/>
          <w:bCs/>
          <w:color w:val="002060"/>
          <w:kern w:val="0"/>
          <w14:ligatures w14:val="none"/>
        </w:rPr>
        <w:t>EBITDA/LAJIDA</w:t>
      </w:r>
      <w:bookmarkEnd w:id="17"/>
      <w:r w:rsidRPr="00A37AC4">
        <w:rPr>
          <w:rFonts w:ascii="Calibri" w:eastAsia="Times New Roman" w:hAnsi="Calibri" w:cs="Times New Roman"/>
          <w:b/>
          <w:bCs/>
          <w:color w:val="002060"/>
          <w:kern w:val="0"/>
          <w14:ligatures w14:val="none"/>
        </w:rPr>
        <w:t xml:space="preserve"> </w:t>
      </w:r>
    </w:p>
    <w:tbl>
      <w:tblPr>
        <w:tblW w:w="5000" w:type="pct"/>
        <w:tblCellMar>
          <w:left w:w="70" w:type="dxa"/>
          <w:right w:w="70" w:type="dxa"/>
        </w:tblCellMar>
        <w:tblLook w:val="04A0" w:firstRow="1" w:lastRow="0" w:firstColumn="1" w:lastColumn="0" w:noHBand="0" w:noVBand="1"/>
      </w:tblPr>
      <w:tblGrid>
        <w:gridCol w:w="4247"/>
        <w:gridCol w:w="951"/>
        <w:gridCol w:w="1036"/>
        <w:gridCol w:w="1083"/>
        <w:gridCol w:w="853"/>
        <w:gridCol w:w="902"/>
      </w:tblGrid>
      <w:tr w:rsidR="00A37AC4" w:rsidRPr="000C16E8" w14:paraId="3E48CA28" w14:textId="77777777" w:rsidTr="00446A14">
        <w:trPr>
          <w:trHeight w:val="238"/>
        </w:trPr>
        <w:tc>
          <w:tcPr>
            <w:tcW w:w="2340" w:type="pct"/>
            <w:tcBorders>
              <w:top w:val="single" w:sz="8" w:space="0" w:color="8EA9DB"/>
              <w:left w:val="nil"/>
              <w:bottom w:val="single" w:sz="8" w:space="0" w:color="8EA9DB"/>
              <w:right w:val="nil"/>
            </w:tcBorders>
            <w:shd w:val="clear" w:color="auto" w:fill="auto"/>
            <w:noWrap/>
            <w:vAlign w:val="center"/>
            <w:hideMark/>
          </w:tcPr>
          <w:p w14:paraId="424637BB" w14:textId="77777777" w:rsidR="00A37AC4" w:rsidRPr="003B40B6" w:rsidRDefault="00A37AC4" w:rsidP="00446A14">
            <w:pPr>
              <w:spacing w:after="0" w:line="240" w:lineRule="auto"/>
              <w:rPr>
                <w:rFonts w:ascii="Arial" w:hAnsi="Arial" w:cs="Arial"/>
                <w:b/>
                <w:bCs/>
                <w:color w:val="2F75B5"/>
                <w:sz w:val="16"/>
                <w:szCs w:val="18"/>
                <w:lang w:eastAsia="pt-BR"/>
              </w:rPr>
            </w:pPr>
            <w:r w:rsidRPr="003B40B6">
              <w:rPr>
                <w:rFonts w:ascii="Arial" w:hAnsi="Arial" w:cs="Arial"/>
                <w:b/>
                <w:bCs/>
                <w:color w:val="2F75B5"/>
                <w:sz w:val="16"/>
                <w:szCs w:val="18"/>
                <w:lang w:eastAsia="pt-BR"/>
              </w:rPr>
              <w:t>R$ mil</w:t>
            </w:r>
          </w:p>
        </w:tc>
        <w:tc>
          <w:tcPr>
            <w:tcW w:w="524" w:type="pct"/>
            <w:tcBorders>
              <w:top w:val="single" w:sz="8" w:space="0" w:color="8EA9DB"/>
              <w:left w:val="nil"/>
              <w:bottom w:val="single" w:sz="8" w:space="0" w:color="8EA9DB"/>
              <w:right w:val="nil"/>
            </w:tcBorders>
            <w:shd w:val="clear" w:color="000000" w:fill="FFFFFF"/>
            <w:noWrap/>
            <w:vAlign w:val="center"/>
            <w:hideMark/>
          </w:tcPr>
          <w:p w14:paraId="1AD4E138" w14:textId="77777777" w:rsidR="00A37AC4" w:rsidRPr="003B40B6" w:rsidRDefault="00A37AC4" w:rsidP="00446A14">
            <w:pPr>
              <w:spacing w:after="0" w:line="240" w:lineRule="auto"/>
              <w:jc w:val="center"/>
              <w:rPr>
                <w:rFonts w:ascii="Arial" w:hAnsi="Arial" w:cs="Arial"/>
                <w:b/>
                <w:bCs/>
                <w:color w:val="2F75B5"/>
                <w:sz w:val="16"/>
                <w:szCs w:val="18"/>
                <w:lang w:eastAsia="pt-BR"/>
              </w:rPr>
            </w:pPr>
            <w:r w:rsidRPr="003B40B6">
              <w:rPr>
                <w:rFonts w:ascii="Arial" w:hAnsi="Arial" w:cs="Arial"/>
                <w:b/>
                <w:bCs/>
                <w:color w:val="2F75B5"/>
                <w:sz w:val="16"/>
                <w:szCs w:val="18"/>
                <w:lang w:eastAsia="pt-BR"/>
              </w:rPr>
              <w:t>2023</w:t>
            </w:r>
          </w:p>
        </w:tc>
        <w:tc>
          <w:tcPr>
            <w:tcW w:w="571" w:type="pct"/>
            <w:tcBorders>
              <w:top w:val="single" w:sz="8" w:space="0" w:color="8EA9DB"/>
              <w:left w:val="nil"/>
              <w:bottom w:val="single" w:sz="8" w:space="0" w:color="8EA9DB"/>
              <w:right w:val="nil"/>
            </w:tcBorders>
            <w:shd w:val="clear" w:color="000000" w:fill="FFFFFF"/>
            <w:noWrap/>
            <w:vAlign w:val="center"/>
            <w:hideMark/>
          </w:tcPr>
          <w:p w14:paraId="73D0E47A" w14:textId="77777777" w:rsidR="00A37AC4" w:rsidRPr="003B40B6" w:rsidRDefault="00A37AC4" w:rsidP="00446A14">
            <w:pPr>
              <w:spacing w:after="0" w:line="240" w:lineRule="auto"/>
              <w:jc w:val="center"/>
              <w:rPr>
                <w:rFonts w:ascii="Arial" w:hAnsi="Arial" w:cs="Arial"/>
                <w:b/>
                <w:bCs/>
                <w:color w:val="2F75B5"/>
                <w:sz w:val="16"/>
                <w:szCs w:val="18"/>
                <w:lang w:eastAsia="pt-BR"/>
              </w:rPr>
            </w:pPr>
            <w:r w:rsidRPr="003B40B6">
              <w:rPr>
                <w:rFonts w:ascii="Arial" w:hAnsi="Arial" w:cs="Arial"/>
                <w:b/>
                <w:bCs/>
                <w:color w:val="2F75B5"/>
                <w:sz w:val="16"/>
                <w:szCs w:val="18"/>
                <w:lang w:eastAsia="pt-BR"/>
              </w:rPr>
              <w:t>2022</w:t>
            </w:r>
          </w:p>
        </w:tc>
        <w:tc>
          <w:tcPr>
            <w:tcW w:w="597" w:type="pct"/>
            <w:tcBorders>
              <w:top w:val="single" w:sz="8" w:space="0" w:color="8EA9DB"/>
              <w:left w:val="nil"/>
              <w:bottom w:val="single" w:sz="8" w:space="0" w:color="8EA9DB"/>
              <w:right w:val="nil"/>
            </w:tcBorders>
            <w:shd w:val="clear" w:color="000000" w:fill="FFFFFF"/>
            <w:noWrap/>
            <w:vAlign w:val="center"/>
            <w:hideMark/>
          </w:tcPr>
          <w:p w14:paraId="2FDA12EF" w14:textId="77777777" w:rsidR="00A37AC4" w:rsidRPr="003B40B6" w:rsidRDefault="00A37AC4" w:rsidP="00446A14">
            <w:pPr>
              <w:spacing w:after="0" w:line="240" w:lineRule="auto"/>
              <w:jc w:val="center"/>
              <w:rPr>
                <w:rFonts w:ascii="Arial" w:hAnsi="Arial" w:cs="Arial"/>
                <w:b/>
                <w:bCs/>
                <w:color w:val="2F75B5"/>
                <w:sz w:val="16"/>
                <w:szCs w:val="18"/>
                <w:lang w:eastAsia="pt-BR"/>
              </w:rPr>
            </w:pPr>
            <w:r w:rsidRPr="003B40B6">
              <w:rPr>
                <w:rFonts w:ascii="Arial" w:hAnsi="Arial" w:cs="Arial"/>
                <w:b/>
                <w:bCs/>
                <w:color w:val="2F75B5"/>
                <w:sz w:val="16"/>
                <w:szCs w:val="18"/>
                <w:lang w:eastAsia="pt-BR"/>
              </w:rPr>
              <w:t>2021</w:t>
            </w:r>
          </w:p>
        </w:tc>
        <w:tc>
          <w:tcPr>
            <w:tcW w:w="470" w:type="pct"/>
            <w:tcBorders>
              <w:top w:val="single" w:sz="8" w:space="0" w:color="9BC2E6"/>
              <w:left w:val="nil"/>
              <w:bottom w:val="single" w:sz="8" w:space="0" w:color="9BC2E6"/>
              <w:right w:val="nil"/>
            </w:tcBorders>
            <w:shd w:val="clear" w:color="000000" w:fill="FFFFFF"/>
            <w:vAlign w:val="center"/>
            <w:hideMark/>
          </w:tcPr>
          <w:p w14:paraId="5C1522FB" w14:textId="77777777" w:rsidR="00A37AC4" w:rsidRPr="003B40B6" w:rsidRDefault="00A37AC4" w:rsidP="00446A14">
            <w:pPr>
              <w:spacing w:after="0" w:line="240" w:lineRule="auto"/>
              <w:jc w:val="center"/>
              <w:rPr>
                <w:rFonts w:ascii="Arial" w:hAnsi="Arial" w:cs="Arial"/>
                <w:b/>
                <w:bCs/>
                <w:color w:val="2F75B5"/>
                <w:sz w:val="16"/>
                <w:szCs w:val="18"/>
                <w:lang w:eastAsia="pt-BR"/>
              </w:rPr>
            </w:pPr>
            <w:r w:rsidRPr="003B40B6">
              <w:rPr>
                <w:rFonts w:ascii="Arial" w:hAnsi="Arial" w:cs="Arial"/>
                <w:b/>
                <w:bCs/>
                <w:color w:val="2F75B5"/>
                <w:sz w:val="16"/>
                <w:szCs w:val="18"/>
                <w:lang w:eastAsia="pt-BR"/>
              </w:rPr>
              <w:t>Δ 2023 X 2022</w:t>
            </w:r>
          </w:p>
        </w:tc>
        <w:tc>
          <w:tcPr>
            <w:tcW w:w="497" w:type="pct"/>
            <w:tcBorders>
              <w:top w:val="single" w:sz="8" w:space="0" w:color="9BC2E6"/>
              <w:left w:val="nil"/>
              <w:bottom w:val="single" w:sz="8" w:space="0" w:color="9BC2E6"/>
              <w:right w:val="nil"/>
            </w:tcBorders>
            <w:shd w:val="clear" w:color="000000" w:fill="FFFFFF"/>
            <w:vAlign w:val="center"/>
            <w:hideMark/>
          </w:tcPr>
          <w:p w14:paraId="31EBCDF4" w14:textId="77777777" w:rsidR="00A37AC4" w:rsidRPr="003B40B6" w:rsidRDefault="00A37AC4" w:rsidP="00446A14">
            <w:pPr>
              <w:spacing w:after="0" w:line="240" w:lineRule="auto"/>
              <w:jc w:val="center"/>
              <w:rPr>
                <w:rFonts w:ascii="Arial" w:hAnsi="Arial" w:cs="Arial"/>
                <w:b/>
                <w:bCs/>
                <w:color w:val="2F75B5"/>
                <w:sz w:val="16"/>
                <w:szCs w:val="18"/>
                <w:lang w:eastAsia="pt-BR"/>
              </w:rPr>
            </w:pPr>
            <w:r w:rsidRPr="003B40B6">
              <w:rPr>
                <w:rFonts w:ascii="Arial" w:hAnsi="Arial" w:cs="Arial"/>
                <w:b/>
                <w:bCs/>
                <w:color w:val="2F75B5"/>
                <w:sz w:val="16"/>
                <w:szCs w:val="18"/>
                <w:lang w:eastAsia="pt-BR"/>
              </w:rPr>
              <w:t>Δ 2023 X 2021</w:t>
            </w:r>
          </w:p>
        </w:tc>
      </w:tr>
      <w:tr w:rsidR="00A37AC4" w:rsidRPr="000C16E8" w14:paraId="49EB7B7D" w14:textId="77777777" w:rsidTr="00446A14">
        <w:trPr>
          <w:trHeight w:val="238"/>
        </w:trPr>
        <w:tc>
          <w:tcPr>
            <w:tcW w:w="2340" w:type="pct"/>
            <w:tcBorders>
              <w:top w:val="nil"/>
              <w:left w:val="nil"/>
              <w:bottom w:val="nil"/>
              <w:right w:val="nil"/>
            </w:tcBorders>
            <w:shd w:val="clear" w:color="auto" w:fill="auto"/>
            <w:noWrap/>
            <w:vAlign w:val="center"/>
            <w:hideMark/>
          </w:tcPr>
          <w:p w14:paraId="09802312" w14:textId="77777777" w:rsidR="00A37AC4" w:rsidRPr="003B40B6" w:rsidRDefault="00A37AC4" w:rsidP="00446A14">
            <w:pPr>
              <w:spacing w:after="0" w:line="240" w:lineRule="auto"/>
              <w:rPr>
                <w:rFonts w:ascii="Arial" w:hAnsi="Arial" w:cs="Arial"/>
                <w:b/>
                <w:bCs/>
                <w:color w:val="000000"/>
                <w:sz w:val="16"/>
                <w:szCs w:val="18"/>
                <w:lang w:eastAsia="pt-BR"/>
              </w:rPr>
            </w:pPr>
            <w:r w:rsidRPr="003B40B6">
              <w:rPr>
                <w:rFonts w:ascii="Arial" w:hAnsi="Arial" w:cs="Arial"/>
                <w:b/>
                <w:bCs/>
                <w:color w:val="000000"/>
                <w:sz w:val="16"/>
                <w:szCs w:val="18"/>
                <w:lang w:eastAsia="pt-BR"/>
              </w:rPr>
              <w:t>Prejuízo Líquido do Exercício</w:t>
            </w:r>
          </w:p>
        </w:tc>
        <w:tc>
          <w:tcPr>
            <w:tcW w:w="524" w:type="pct"/>
            <w:tcBorders>
              <w:top w:val="nil"/>
              <w:left w:val="nil"/>
              <w:bottom w:val="nil"/>
              <w:right w:val="nil"/>
            </w:tcBorders>
            <w:shd w:val="clear" w:color="auto" w:fill="auto"/>
            <w:noWrap/>
            <w:vAlign w:val="center"/>
            <w:hideMark/>
          </w:tcPr>
          <w:p w14:paraId="13CE2868" w14:textId="77777777" w:rsidR="00A37AC4" w:rsidRPr="003B40B6" w:rsidRDefault="00A37AC4" w:rsidP="00446A14">
            <w:pPr>
              <w:spacing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 xml:space="preserve">  (127.357)</w:t>
            </w:r>
          </w:p>
        </w:tc>
        <w:tc>
          <w:tcPr>
            <w:tcW w:w="571" w:type="pct"/>
            <w:tcBorders>
              <w:top w:val="nil"/>
              <w:left w:val="nil"/>
              <w:bottom w:val="nil"/>
              <w:right w:val="nil"/>
            </w:tcBorders>
            <w:shd w:val="clear" w:color="auto" w:fill="auto"/>
            <w:noWrap/>
            <w:vAlign w:val="center"/>
            <w:hideMark/>
          </w:tcPr>
          <w:p w14:paraId="66F0E077" w14:textId="77777777" w:rsidR="00A37AC4" w:rsidRPr="003B40B6" w:rsidRDefault="00A37AC4" w:rsidP="00446A14">
            <w:pPr>
              <w:spacing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 xml:space="preserve">  (168.459)</w:t>
            </w:r>
          </w:p>
        </w:tc>
        <w:tc>
          <w:tcPr>
            <w:tcW w:w="597" w:type="pct"/>
            <w:tcBorders>
              <w:top w:val="nil"/>
              <w:left w:val="nil"/>
              <w:bottom w:val="nil"/>
              <w:right w:val="nil"/>
            </w:tcBorders>
            <w:shd w:val="clear" w:color="auto" w:fill="auto"/>
            <w:noWrap/>
            <w:vAlign w:val="center"/>
            <w:hideMark/>
          </w:tcPr>
          <w:p w14:paraId="41E02865" w14:textId="77777777" w:rsidR="00A37AC4" w:rsidRPr="003B40B6" w:rsidRDefault="00A37AC4" w:rsidP="00446A14">
            <w:pPr>
              <w:spacing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 xml:space="preserve">  (163.013)</w:t>
            </w:r>
          </w:p>
        </w:tc>
        <w:tc>
          <w:tcPr>
            <w:tcW w:w="470" w:type="pct"/>
            <w:tcBorders>
              <w:top w:val="nil"/>
              <w:left w:val="nil"/>
              <w:bottom w:val="nil"/>
              <w:right w:val="nil"/>
            </w:tcBorders>
            <w:shd w:val="clear" w:color="auto" w:fill="auto"/>
            <w:noWrap/>
            <w:vAlign w:val="center"/>
            <w:hideMark/>
          </w:tcPr>
          <w:p w14:paraId="4F7A8B80" w14:textId="77777777" w:rsidR="00A37AC4" w:rsidRPr="003B40B6" w:rsidRDefault="00A37AC4" w:rsidP="00446A14">
            <w:pPr>
              <w:spacing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-24,4%</w:t>
            </w:r>
          </w:p>
        </w:tc>
        <w:tc>
          <w:tcPr>
            <w:tcW w:w="497" w:type="pct"/>
            <w:tcBorders>
              <w:top w:val="nil"/>
              <w:left w:val="nil"/>
              <w:bottom w:val="nil"/>
              <w:right w:val="nil"/>
            </w:tcBorders>
            <w:shd w:val="clear" w:color="auto" w:fill="auto"/>
            <w:noWrap/>
            <w:vAlign w:val="center"/>
            <w:hideMark/>
          </w:tcPr>
          <w:p w14:paraId="2B467B0D" w14:textId="77777777" w:rsidR="00A37AC4" w:rsidRPr="003B40B6" w:rsidRDefault="00A37AC4" w:rsidP="00446A14">
            <w:pPr>
              <w:spacing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-21,9%</w:t>
            </w:r>
          </w:p>
        </w:tc>
      </w:tr>
      <w:tr w:rsidR="00A37AC4" w:rsidRPr="000C16E8" w14:paraId="2255F33E" w14:textId="77777777" w:rsidTr="00446A14">
        <w:trPr>
          <w:trHeight w:val="238"/>
        </w:trPr>
        <w:tc>
          <w:tcPr>
            <w:tcW w:w="2340" w:type="pct"/>
            <w:tcBorders>
              <w:top w:val="nil"/>
              <w:left w:val="nil"/>
              <w:bottom w:val="nil"/>
              <w:right w:val="nil"/>
            </w:tcBorders>
            <w:shd w:val="clear" w:color="auto" w:fill="auto"/>
            <w:noWrap/>
            <w:vAlign w:val="center"/>
            <w:hideMark/>
          </w:tcPr>
          <w:p w14:paraId="69ED351D" w14:textId="77777777" w:rsidR="00A37AC4" w:rsidRPr="003B40B6" w:rsidRDefault="00A37AC4" w:rsidP="00446A14">
            <w:pPr>
              <w:spacing w:after="0" w:line="240" w:lineRule="auto"/>
              <w:rPr>
                <w:rFonts w:ascii="Arial" w:hAnsi="Arial" w:cs="Arial"/>
                <w:color w:val="000000"/>
                <w:sz w:val="16"/>
                <w:szCs w:val="18"/>
                <w:lang w:eastAsia="pt-BR"/>
              </w:rPr>
            </w:pPr>
            <w:r w:rsidRPr="003B40B6">
              <w:rPr>
                <w:rFonts w:ascii="Arial" w:hAnsi="Arial" w:cs="Arial"/>
                <w:color w:val="000000"/>
                <w:sz w:val="16"/>
                <w:szCs w:val="18"/>
                <w:lang w:eastAsia="pt-BR"/>
              </w:rPr>
              <w:t>(+/-) Resultado Financeiro</w:t>
            </w:r>
          </w:p>
        </w:tc>
        <w:tc>
          <w:tcPr>
            <w:tcW w:w="524" w:type="pct"/>
            <w:tcBorders>
              <w:top w:val="nil"/>
              <w:left w:val="nil"/>
              <w:bottom w:val="nil"/>
              <w:right w:val="nil"/>
            </w:tcBorders>
            <w:shd w:val="clear" w:color="auto" w:fill="auto"/>
            <w:noWrap/>
            <w:vAlign w:val="center"/>
            <w:hideMark/>
          </w:tcPr>
          <w:p w14:paraId="4C1B770C"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59.950 </w:t>
            </w:r>
          </w:p>
        </w:tc>
        <w:tc>
          <w:tcPr>
            <w:tcW w:w="571" w:type="pct"/>
            <w:tcBorders>
              <w:top w:val="nil"/>
              <w:left w:val="nil"/>
              <w:bottom w:val="nil"/>
              <w:right w:val="nil"/>
            </w:tcBorders>
            <w:shd w:val="clear" w:color="auto" w:fill="auto"/>
            <w:noWrap/>
            <w:vAlign w:val="center"/>
            <w:hideMark/>
          </w:tcPr>
          <w:p w14:paraId="54B2D535"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100.148 </w:t>
            </w:r>
          </w:p>
        </w:tc>
        <w:tc>
          <w:tcPr>
            <w:tcW w:w="597" w:type="pct"/>
            <w:tcBorders>
              <w:top w:val="nil"/>
              <w:left w:val="nil"/>
              <w:bottom w:val="nil"/>
              <w:right w:val="nil"/>
            </w:tcBorders>
            <w:shd w:val="clear" w:color="auto" w:fill="auto"/>
            <w:noWrap/>
            <w:vAlign w:val="center"/>
            <w:hideMark/>
          </w:tcPr>
          <w:p w14:paraId="6BAA47E4"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59.891 </w:t>
            </w:r>
          </w:p>
        </w:tc>
        <w:tc>
          <w:tcPr>
            <w:tcW w:w="470" w:type="pct"/>
            <w:tcBorders>
              <w:top w:val="nil"/>
              <w:left w:val="nil"/>
              <w:bottom w:val="nil"/>
              <w:right w:val="nil"/>
            </w:tcBorders>
            <w:shd w:val="clear" w:color="auto" w:fill="auto"/>
            <w:noWrap/>
            <w:vAlign w:val="center"/>
            <w:hideMark/>
          </w:tcPr>
          <w:p w14:paraId="7E94D668"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-40,1%</w:t>
            </w:r>
          </w:p>
        </w:tc>
        <w:tc>
          <w:tcPr>
            <w:tcW w:w="497" w:type="pct"/>
            <w:tcBorders>
              <w:top w:val="nil"/>
              <w:left w:val="nil"/>
              <w:bottom w:val="nil"/>
              <w:right w:val="nil"/>
            </w:tcBorders>
            <w:shd w:val="clear" w:color="auto" w:fill="auto"/>
            <w:noWrap/>
            <w:vAlign w:val="center"/>
            <w:hideMark/>
          </w:tcPr>
          <w:p w14:paraId="2EF2593B"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0,1%</w:t>
            </w:r>
          </w:p>
        </w:tc>
      </w:tr>
      <w:tr w:rsidR="00A37AC4" w:rsidRPr="000C16E8" w14:paraId="1CF95916" w14:textId="77777777" w:rsidTr="00446A14">
        <w:trPr>
          <w:trHeight w:val="238"/>
        </w:trPr>
        <w:tc>
          <w:tcPr>
            <w:tcW w:w="2340" w:type="pct"/>
            <w:tcBorders>
              <w:top w:val="nil"/>
              <w:left w:val="nil"/>
              <w:bottom w:val="nil"/>
              <w:right w:val="nil"/>
            </w:tcBorders>
            <w:shd w:val="clear" w:color="auto" w:fill="auto"/>
            <w:noWrap/>
            <w:vAlign w:val="center"/>
            <w:hideMark/>
          </w:tcPr>
          <w:p w14:paraId="56615DF3" w14:textId="77777777" w:rsidR="00A37AC4" w:rsidRPr="003B40B6" w:rsidRDefault="00A37AC4" w:rsidP="00446A14">
            <w:pPr>
              <w:spacing w:after="0" w:line="240" w:lineRule="auto"/>
              <w:rPr>
                <w:rFonts w:ascii="Arial" w:hAnsi="Arial" w:cs="Arial"/>
                <w:color w:val="000000"/>
                <w:sz w:val="16"/>
                <w:szCs w:val="18"/>
                <w:lang w:eastAsia="pt-BR"/>
              </w:rPr>
            </w:pPr>
            <w:r w:rsidRPr="003B40B6">
              <w:rPr>
                <w:rFonts w:ascii="Arial" w:hAnsi="Arial" w:cs="Arial"/>
                <w:color w:val="000000"/>
                <w:sz w:val="16"/>
                <w:szCs w:val="18"/>
                <w:lang w:eastAsia="pt-BR"/>
              </w:rPr>
              <w:t>(+) Depreciação e Amortização</w:t>
            </w:r>
          </w:p>
        </w:tc>
        <w:tc>
          <w:tcPr>
            <w:tcW w:w="524" w:type="pct"/>
            <w:tcBorders>
              <w:top w:val="nil"/>
              <w:left w:val="nil"/>
              <w:bottom w:val="nil"/>
              <w:right w:val="nil"/>
            </w:tcBorders>
            <w:shd w:val="clear" w:color="auto" w:fill="auto"/>
            <w:noWrap/>
            <w:vAlign w:val="center"/>
            <w:hideMark/>
          </w:tcPr>
          <w:p w14:paraId="705E179B"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253.540 </w:t>
            </w:r>
          </w:p>
        </w:tc>
        <w:tc>
          <w:tcPr>
            <w:tcW w:w="571" w:type="pct"/>
            <w:tcBorders>
              <w:top w:val="nil"/>
              <w:left w:val="nil"/>
              <w:bottom w:val="nil"/>
              <w:right w:val="nil"/>
            </w:tcBorders>
            <w:shd w:val="clear" w:color="auto" w:fill="auto"/>
            <w:noWrap/>
            <w:vAlign w:val="center"/>
            <w:hideMark/>
          </w:tcPr>
          <w:p w14:paraId="64BC7776"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242.087 </w:t>
            </w:r>
          </w:p>
        </w:tc>
        <w:tc>
          <w:tcPr>
            <w:tcW w:w="597" w:type="pct"/>
            <w:tcBorders>
              <w:top w:val="nil"/>
              <w:left w:val="nil"/>
              <w:bottom w:val="nil"/>
              <w:right w:val="nil"/>
            </w:tcBorders>
            <w:shd w:val="clear" w:color="auto" w:fill="auto"/>
            <w:noWrap/>
            <w:vAlign w:val="center"/>
            <w:hideMark/>
          </w:tcPr>
          <w:p w14:paraId="2D3FE846"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254.336 </w:t>
            </w:r>
          </w:p>
        </w:tc>
        <w:tc>
          <w:tcPr>
            <w:tcW w:w="470" w:type="pct"/>
            <w:tcBorders>
              <w:top w:val="nil"/>
              <w:left w:val="nil"/>
              <w:bottom w:val="nil"/>
              <w:right w:val="nil"/>
            </w:tcBorders>
            <w:shd w:val="clear" w:color="auto" w:fill="auto"/>
            <w:noWrap/>
            <w:vAlign w:val="center"/>
            <w:hideMark/>
          </w:tcPr>
          <w:p w14:paraId="07BE8952"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4,7%</w:t>
            </w:r>
          </w:p>
        </w:tc>
        <w:tc>
          <w:tcPr>
            <w:tcW w:w="497" w:type="pct"/>
            <w:tcBorders>
              <w:top w:val="nil"/>
              <w:left w:val="nil"/>
              <w:bottom w:val="nil"/>
              <w:right w:val="nil"/>
            </w:tcBorders>
            <w:shd w:val="clear" w:color="auto" w:fill="auto"/>
            <w:noWrap/>
            <w:vAlign w:val="center"/>
            <w:hideMark/>
          </w:tcPr>
          <w:p w14:paraId="33A6B1A2"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-0,3%</w:t>
            </w:r>
          </w:p>
        </w:tc>
      </w:tr>
      <w:tr w:rsidR="00A37AC4" w:rsidRPr="000C16E8" w14:paraId="42E90A12" w14:textId="77777777" w:rsidTr="00446A14">
        <w:trPr>
          <w:trHeight w:val="238"/>
        </w:trPr>
        <w:tc>
          <w:tcPr>
            <w:tcW w:w="2340" w:type="pct"/>
            <w:tcBorders>
              <w:top w:val="single" w:sz="8" w:space="0" w:color="9BC2E6"/>
              <w:left w:val="nil"/>
              <w:bottom w:val="single" w:sz="8" w:space="0" w:color="9BC2E6"/>
              <w:right w:val="nil"/>
            </w:tcBorders>
            <w:shd w:val="clear" w:color="auto" w:fill="auto"/>
            <w:noWrap/>
            <w:vAlign w:val="center"/>
            <w:hideMark/>
          </w:tcPr>
          <w:p w14:paraId="24DB748A" w14:textId="77777777" w:rsidR="00A37AC4" w:rsidRPr="003B40B6" w:rsidRDefault="00A37AC4" w:rsidP="00446A14">
            <w:pPr>
              <w:spacing w:after="0" w:line="240" w:lineRule="auto"/>
              <w:rPr>
                <w:rFonts w:ascii="Arial" w:hAnsi="Arial" w:cs="Arial"/>
                <w:b/>
                <w:bCs/>
                <w:color w:val="000000"/>
                <w:sz w:val="16"/>
                <w:szCs w:val="18"/>
                <w:lang w:eastAsia="pt-BR"/>
              </w:rPr>
            </w:pPr>
            <w:r w:rsidRPr="003B40B6">
              <w:rPr>
                <w:rFonts w:ascii="Arial" w:hAnsi="Arial" w:cs="Arial"/>
                <w:b/>
                <w:bCs/>
                <w:color w:val="000000"/>
                <w:sz w:val="16"/>
                <w:szCs w:val="18"/>
                <w:lang w:eastAsia="pt-BR"/>
              </w:rPr>
              <w:t>EBITDA</w:t>
            </w:r>
          </w:p>
        </w:tc>
        <w:tc>
          <w:tcPr>
            <w:tcW w:w="524" w:type="pct"/>
            <w:tcBorders>
              <w:top w:val="single" w:sz="8" w:space="0" w:color="9BC2E6"/>
              <w:left w:val="nil"/>
              <w:bottom w:val="single" w:sz="8" w:space="0" w:color="9BC2E6"/>
              <w:right w:val="nil"/>
            </w:tcBorders>
            <w:shd w:val="clear" w:color="auto" w:fill="auto"/>
            <w:noWrap/>
            <w:vAlign w:val="center"/>
            <w:hideMark/>
          </w:tcPr>
          <w:p w14:paraId="121299EB" w14:textId="77777777" w:rsidR="00A37AC4" w:rsidRPr="003B40B6" w:rsidRDefault="00A37AC4" w:rsidP="00446A14">
            <w:pPr>
              <w:spacing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 xml:space="preserve">   186.133 </w:t>
            </w:r>
          </w:p>
        </w:tc>
        <w:tc>
          <w:tcPr>
            <w:tcW w:w="571" w:type="pct"/>
            <w:tcBorders>
              <w:top w:val="single" w:sz="8" w:space="0" w:color="9BC2E6"/>
              <w:left w:val="nil"/>
              <w:bottom w:val="single" w:sz="8" w:space="0" w:color="9BC2E6"/>
              <w:right w:val="nil"/>
            </w:tcBorders>
            <w:shd w:val="clear" w:color="auto" w:fill="auto"/>
            <w:noWrap/>
            <w:vAlign w:val="center"/>
            <w:hideMark/>
          </w:tcPr>
          <w:p w14:paraId="6EA7804B" w14:textId="77777777" w:rsidR="00A37AC4" w:rsidRPr="003B40B6" w:rsidRDefault="00A37AC4" w:rsidP="00446A14">
            <w:pPr>
              <w:spacing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 xml:space="preserve">   173.776 </w:t>
            </w:r>
          </w:p>
        </w:tc>
        <w:tc>
          <w:tcPr>
            <w:tcW w:w="597" w:type="pct"/>
            <w:tcBorders>
              <w:top w:val="single" w:sz="8" w:space="0" w:color="9BC2E6"/>
              <w:left w:val="nil"/>
              <w:bottom w:val="single" w:sz="8" w:space="0" w:color="9BC2E6"/>
              <w:right w:val="nil"/>
            </w:tcBorders>
            <w:shd w:val="clear" w:color="auto" w:fill="auto"/>
            <w:noWrap/>
            <w:vAlign w:val="center"/>
            <w:hideMark/>
          </w:tcPr>
          <w:p w14:paraId="2AF1B8BB" w14:textId="77777777" w:rsidR="00A37AC4" w:rsidRPr="003B40B6" w:rsidRDefault="00A37AC4" w:rsidP="00446A14">
            <w:pPr>
              <w:spacing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 xml:space="preserve">   151.214 </w:t>
            </w:r>
          </w:p>
        </w:tc>
        <w:tc>
          <w:tcPr>
            <w:tcW w:w="470" w:type="pct"/>
            <w:tcBorders>
              <w:top w:val="single" w:sz="8" w:space="0" w:color="9BC2E6"/>
              <w:left w:val="nil"/>
              <w:bottom w:val="single" w:sz="8" w:space="0" w:color="9BC2E6"/>
              <w:right w:val="nil"/>
            </w:tcBorders>
            <w:shd w:val="clear" w:color="auto" w:fill="auto"/>
            <w:noWrap/>
            <w:vAlign w:val="center"/>
            <w:hideMark/>
          </w:tcPr>
          <w:p w14:paraId="16489E99" w14:textId="77777777" w:rsidR="00A37AC4" w:rsidRPr="003B40B6" w:rsidRDefault="00A37AC4" w:rsidP="00446A14">
            <w:pPr>
              <w:spacing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7,1%</w:t>
            </w:r>
          </w:p>
        </w:tc>
        <w:tc>
          <w:tcPr>
            <w:tcW w:w="497" w:type="pct"/>
            <w:tcBorders>
              <w:top w:val="single" w:sz="8" w:space="0" w:color="9BC2E6"/>
              <w:left w:val="nil"/>
              <w:bottom w:val="single" w:sz="8" w:space="0" w:color="9BC2E6"/>
              <w:right w:val="nil"/>
            </w:tcBorders>
            <w:shd w:val="clear" w:color="auto" w:fill="auto"/>
            <w:noWrap/>
            <w:vAlign w:val="center"/>
            <w:hideMark/>
          </w:tcPr>
          <w:p w14:paraId="7AF9240D" w14:textId="77777777" w:rsidR="00A37AC4" w:rsidRPr="003B40B6" w:rsidRDefault="00A37AC4" w:rsidP="00446A14">
            <w:pPr>
              <w:spacing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23,1%</w:t>
            </w:r>
          </w:p>
        </w:tc>
      </w:tr>
      <w:tr w:rsidR="00A37AC4" w:rsidRPr="000C16E8" w14:paraId="5E3A59AF" w14:textId="77777777" w:rsidTr="00446A14">
        <w:trPr>
          <w:trHeight w:val="238"/>
        </w:trPr>
        <w:tc>
          <w:tcPr>
            <w:tcW w:w="2340" w:type="pct"/>
            <w:tcBorders>
              <w:top w:val="nil"/>
              <w:left w:val="nil"/>
              <w:bottom w:val="nil"/>
              <w:right w:val="nil"/>
            </w:tcBorders>
            <w:shd w:val="clear" w:color="auto" w:fill="auto"/>
            <w:noWrap/>
            <w:vAlign w:val="center"/>
            <w:hideMark/>
          </w:tcPr>
          <w:p w14:paraId="01343E6B" w14:textId="77777777" w:rsidR="00A37AC4" w:rsidRPr="003B40B6" w:rsidRDefault="00A37AC4" w:rsidP="00446A14">
            <w:pPr>
              <w:spacing w:after="0" w:line="240" w:lineRule="auto"/>
              <w:rPr>
                <w:rFonts w:ascii="Arial" w:hAnsi="Arial" w:cs="Arial"/>
                <w:b/>
                <w:bCs/>
                <w:color w:val="000000"/>
                <w:sz w:val="16"/>
                <w:szCs w:val="18"/>
                <w:lang w:eastAsia="pt-BR"/>
              </w:rPr>
            </w:pPr>
            <w:r w:rsidRPr="003B40B6">
              <w:rPr>
                <w:rFonts w:ascii="Arial" w:hAnsi="Arial" w:cs="Arial"/>
                <w:b/>
                <w:bCs/>
                <w:color w:val="000000"/>
                <w:sz w:val="16"/>
                <w:szCs w:val="18"/>
                <w:lang w:eastAsia="pt-BR"/>
              </w:rPr>
              <w:t>Ajustes:</w:t>
            </w:r>
          </w:p>
        </w:tc>
        <w:tc>
          <w:tcPr>
            <w:tcW w:w="524" w:type="pct"/>
            <w:tcBorders>
              <w:top w:val="nil"/>
              <w:left w:val="nil"/>
              <w:bottom w:val="nil"/>
              <w:right w:val="nil"/>
            </w:tcBorders>
            <w:shd w:val="clear" w:color="auto" w:fill="auto"/>
            <w:noWrap/>
            <w:vAlign w:val="center"/>
            <w:hideMark/>
          </w:tcPr>
          <w:p w14:paraId="4C4B353C" w14:textId="77777777" w:rsidR="00A37AC4" w:rsidRPr="003B40B6" w:rsidRDefault="00A37AC4" w:rsidP="00446A14">
            <w:pPr>
              <w:spacing w:after="0" w:line="240" w:lineRule="auto"/>
              <w:rPr>
                <w:rFonts w:ascii="Arial" w:hAnsi="Arial" w:cs="Arial"/>
                <w:b/>
                <w:bCs/>
                <w:color w:val="000000"/>
                <w:sz w:val="16"/>
                <w:szCs w:val="18"/>
                <w:lang w:eastAsia="pt-BR"/>
              </w:rPr>
            </w:pPr>
          </w:p>
        </w:tc>
        <w:tc>
          <w:tcPr>
            <w:tcW w:w="571" w:type="pct"/>
            <w:tcBorders>
              <w:top w:val="nil"/>
              <w:left w:val="nil"/>
              <w:bottom w:val="nil"/>
              <w:right w:val="nil"/>
            </w:tcBorders>
            <w:shd w:val="clear" w:color="auto" w:fill="auto"/>
            <w:noWrap/>
            <w:vAlign w:val="center"/>
            <w:hideMark/>
          </w:tcPr>
          <w:p w14:paraId="7C4618A2" w14:textId="77777777" w:rsidR="00A37AC4" w:rsidRPr="003B40B6" w:rsidRDefault="00A37AC4" w:rsidP="00446A14">
            <w:pPr>
              <w:spacing w:after="0" w:line="240" w:lineRule="auto"/>
              <w:rPr>
                <w:rFonts w:ascii="Times New Roman" w:hAnsi="Times New Roman"/>
                <w:sz w:val="16"/>
                <w:szCs w:val="20"/>
                <w:lang w:eastAsia="pt-BR"/>
              </w:rPr>
            </w:pPr>
          </w:p>
        </w:tc>
        <w:tc>
          <w:tcPr>
            <w:tcW w:w="597" w:type="pct"/>
            <w:tcBorders>
              <w:top w:val="nil"/>
              <w:left w:val="nil"/>
              <w:bottom w:val="nil"/>
              <w:right w:val="nil"/>
            </w:tcBorders>
            <w:shd w:val="clear" w:color="auto" w:fill="auto"/>
            <w:noWrap/>
            <w:vAlign w:val="center"/>
            <w:hideMark/>
          </w:tcPr>
          <w:p w14:paraId="282C025A" w14:textId="77777777" w:rsidR="00A37AC4" w:rsidRPr="003B40B6" w:rsidRDefault="00A37AC4" w:rsidP="00446A14">
            <w:pPr>
              <w:spacing w:after="0" w:line="240" w:lineRule="auto"/>
              <w:rPr>
                <w:rFonts w:ascii="Times New Roman" w:hAnsi="Times New Roman"/>
                <w:sz w:val="16"/>
                <w:szCs w:val="20"/>
                <w:lang w:eastAsia="pt-BR"/>
              </w:rPr>
            </w:pPr>
          </w:p>
        </w:tc>
        <w:tc>
          <w:tcPr>
            <w:tcW w:w="470" w:type="pct"/>
            <w:tcBorders>
              <w:top w:val="nil"/>
              <w:left w:val="nil"/>
              <w:bottom w:val="nil"/>
              <w:right w:val="nil"/>
            </w:tcBorders>
            <w:shd w:val="clear" w:color="auto" w:fill="auto"/>
            <w:noWrap/>
            <w:vAlign w:val="center"/>
            <w:hideMark/>
          </w:tcPr>
          <w:p w14:paraId="3B630825" w14:textId="77777777" w:rsidR="00A37AC4" w:rsidRPr="003B40B6" w:rsidRDefault="00A37AC4" w:rsidP="00446A14">
            <w:pPr>
              <w:spacing w:after="0" w:line="240" w:lineRule="auto"/>
              <w:rPr>
                <w:rFonts w:ascii="Times New Roman" w:hAnsi="Times New Roman"/>
                <w:sz w:val="16"/>
                <w:szCs w:val="20"/>
                <w:lang w:eastAsia="pt-BR"/>
              </w:rPr>
            </w:pPr>
          </w:p>
        </w:tc>
        <w:tc>
          <w:tcPr>
            <w:tcW w:w="497" w:type="pct"/>
            <w:tcBorders>
              <w:top w:val="nil"/>
              <w:left w:val="nil"/>
              <w:bottom w:val="nil"/>
              <w:right w:val="nil"/>
            </w:tcBorders>
            <w:shd w:val="clear" w:color="auto" w:fill="auto"/>
            <w:noWrap/>
            <w:vAlign w:val="center"/>
            <w:hideMark/>
          </w:tcPr>
          <w:p w14:paraId="613C37ED" w14:textId="77777777" w:rsidR="00A37AC4" w:rsidRPr="003B40B6" w:rsidRDefault="00A37AC4" w:rsidP="00446A14">
            <w:pPr>
              <w:spacing w:after="0" w:line="240" w:lineRule="auto"/>
              <w:rPr>
                <w:rFonts w:ascii="Times New Roman" w:hAnsi="Times New Roman"/>
                <w:sz w:val="16"/>
                <w:szCs w:val="20"/>
                <w:lang w:eastAsia="pt-BR"/>
              </w:rPr>
            </w:pPr>
          </w:p>
        </w:tc>
      </w:tr>
      <w:tr w:rsidR="00A37AC4" w:rsidRPr="000C16E8" w14:paraId="4FF5F579" w14:textId="77777777" w:rsidTr="00446A14">
        <w:trPr>
          <w:trHeight w:val="238"/>
        </w:trPr>
        <w:tc>
          <w:tcPr>
            <w:tcW w:w="2340" w:type="pct"/>
            <w:tcBorders>
              <w:top w:val="nil"/>
              <w:left w:val="nil"/>
              <w:bottom w:val="nil"/>
              <w:right w:val="nil"/>
            </w:tcBorders>
            <w:shd w:val="clear" w:color="auto" w:fill="auto"/>
            <w:noWrap/>
            <w:vAlign w:val="center"/>
            <w:hideMark/>
          </w:tcPr>
          <w:p w14:paraId="7F8F7F90" w14:textId="77777777" w:rsidR="00A37AC4" w:rsidRPr="003B40B6" w:rsidRDefault="00A37AC4" w:rsidP="00446A14">
            <w:pPr>
              <w:spacing w:after="0" w:line="240" w:lineRule="auto"/>
              <w:rPr>
                <w:rFonts w:ascii="Arial" w:hAnsi="Arial" w:cs="Arial"/>
                <w:color w:val="000000"/>
                <w:sz w:val="16"/>
                <w:szCs w:val="18"/>
                <w:lang w:eastAsia="pt-BR"/>
              </w:rPr>
            </w:pPr>
            <w:r w:rsidRPr="003B40B6">
              <w:rPr>
                <w:rFonts w:ascii="Arial" w:hAnsi="Arial" w:cs="Arial"/>
                <w:color w:val="000000"/>
                <w:sz w:val="16"/>
                <w:szCs w:val="18"/>
                <w:lang w:eastAsia="pt-BR"/>
              </w:rPr>
              <w:t>(-) Ganho na Baixa de Passivos</w:t>
            </w:r>
          </w:p>
        </w:tc>
        <w:tc>
          <w:tcPr>
            <w:tcW w:w="524" w:type="pct"/>
            <w:tcBorders>
              <w:top w:val="nil"/>
              <w:left w:val="nil"/>
              <w:bottom w:val="nil"/>
              <w:right w:val="nil"/>
            </w:tcBorders>
            <w:shd w:val="clear" w:color="auto" w:fill="auto"/>
            <w:noWrap/>
            <w:vAlign w:val="center"/>
            <w:hideMark/>
          </w:tcPr>
          <w:p w14:paraId="3F1DB438"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(417)</w:t>
            </w:r>
          </w:p>
        </w:tc>
        <w:tc>
          <w:tcPr>
            <w:tcW w:w="571" w:type="pct"/>
            <w:tcBorders>
              <w:top w:val="nil"/>
              <w:left w:val="nil"/>
              <w:bottom w:val="nil"/>
              <w:right w:val="nil"/>
            </w:tcBorders>
            <w:shd w:val="clear" w:color="auto" w:fill="auto"/>
            <w:noWrap/>
            <w:vAlign w:val="center"/>
            <w:hideMark/>
          </w:tcPr>
          <w:p w14:paraId="71979A63"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(474)</w:t>
            </w:r>
          </w:p>
        </w:tc>
        <w:tc>
          <w:tcPr>
            <w:tcW w:w="597" w:type="pct"/>
            <w:tcBorders>
              <w:top w:val="nil"/>
              <w:left w:val="nil"/>
              <w:bottom w:val="nil"/>
              <w:right w:val="nil"/>
            </w:tcBorders>
            <w:shd w:val="clear" w:color="auto" w:fill="auto"/>
            <w:noWrap/>
            <w:vAlign w:val="center"/>
            <w:hideMark/>
          </w:tcPr>
          <w:p w14:paraId="600AC432"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(15.501)</w:t>
            </w:r>
          </w:p>
        </w:tc>
        <w:tc>
          <w:tcPr>
            <w:tcW w:w="470" w:type="pct"/>
            <w:tcBorders>
              <w:top w:val="nil"/>
              <w:left w:val="nil"/>
              <w:bottom w:val="nil"/>
              <w:right w:val="nil"/>
            </w:tcBorders>
            <w:shd w:val="clear" w:color="auto" w:fill="auto"/>
            <w:noWrap/>
            <w:vAlign w:val="center"/>
            <w:hideMark/>
          </w:tcPr>
          <w:p w14:paraId="1815924D"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-12,0%</w:t>
            </w:r>
          </w:p>
        </w:tc>
        <w:tc>
          <w:tcPr>
            <w:tcW w:w="497" w:type="pct"/>
            <w:tcBorders>
              <w:top w:val="nil"/>
              <w:left w:val="nil"/>
              <w:bottom w:val="nil"/>
              <w:right w:val="nil"/>
            </w:tcBorders>
            <w:shd w:val="clear" w:color="auto" w:fill="auto"/>
            <w:noWrap/>
            <w:vAlign w:val="center"/>
            <w:hideMark/>
          </w:tcPr>
          <w:p w14:paraId="0E9A492D"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-97,3%</w:t>
            </w:r>
          </w:p>
        </w:tc>
      </w:tr>
      <w:tr w:rsidR="00A37AC4" w:rsidRPr="000C16E8" w14:paraId="3DAE6119" w14:textId="77777777" w:rsidTr="00446A14">
        <w:trPr>
          <w:trHeight w:val="238"/>
        </w:trPr>
        <w:tc>
          <w:tcPr>
            <w:tcW w:w="2340" w:type="pct"/>
            <w:tcBorders>
              <w:top w:val="nil"/>
              <w:left w:val="nil"/>
              <w:bottom w:val="nil"/>
              <w:right w:val="nil"/>
            </w:tcBorders>
            <w:shd w:val="clear" w:color="auto" w:fill="auto"/>
            <w:noWrap/>
            <w:vAlign w:val="center"/>
            <w:hideMark/>
          </w:tcPr>
          <w:p w14:paraId="29D710A7" w14:textId="77777777" w:rsidR="00A37AC4" w:rsidRPr="003B40B6" w:rsidRDefault="00A37AC4" w:rsidP="00446A14">
            <w:pPr>
              <w:spacing w:after="0" w:line="240" w:lineRule="auto"/>
              <w:rPr>
                <w:rFonts w:ascii="Arial" w:hAnsi="Arial" w:cs="Arial"/>
                <w:color w:val="000000"/>
                <w:sz w:val="16"/>
                <w:szCs w:val="18"/>
                <w:lang w:eastAsia="pt-BR"/>
              </w:rPr>
            </w:pPr>
            <w:r w:rsidRPr="003B40B6">
              <w:rPr>
                <w:rFonts w:ascii="Arial" w:hAnsi="Arial" w:cs="Arial"/>
                <w:color w:val="000000"/>
                <w:sz w:val="16"/>
                <w:szCs w:val="18"/>
                <w:lang w:eastAsia="pt-BR"/>
              </w:rPr>
              <w:t>(-) Superávit de Previdência Privada</w:t>
            </w:r>
          </w:p>
        </w:tc>
        <w:tc>
          <w:tcPr>
            <w:tcW w:w="524" w:type="pct"/>
            <w:tcBorders>
              <w:top w:val="nil"/>
              <w:left w:val="nil"/>
              <w:bottom w:val="nil"/>
              <w:right w:val="nil"/>
            </w:tcBorders>
            <w:shd w:val="clear" w:color="auto" w:fill="auto"/>
            <w:noWrap/>
            <w:vAlign w:val="center"/>
            <w:hideMark/>
          </w:tcPr>
          <w:p w14:paraId="3AA6AD83"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(33.912)</w:t>
            </w:r>
          </w:p>
        </w:tc>
        <w:tc>
          <w:tcPr>
            <w:tcW w:w="571" w:type="pct"/>
            <w:tcBorders>
              <w:top w:val="nil"/>
              <w:left w:val="nil"/>
              <w:bottom w:val="nil"/>
              <w:right w:val="nil"/>
            </w:tcBorders>
            <w:shd w:val="clear" w:color="auto" w:fill="auto"/>
            <w:noWrap/>
            <w:vAlign w:val="center"/>
            <w:hideMark/>
          </w:tcPr>
          <w:p w14:paraId="275B4213"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      </w:t>
            </w:r>
          </w:p>
        </w:tc>
        <w:tc>
          <w:tcPr>
            <w:tcW w:w="597" w:type="pct"/>
            <w:tcBorders>
              <w:top w:val="nil"/>
              <w:left w:val="nil"/>
              <w:bottom w:val="nil"/>
              <w:right w:val="nil"/>
            </w:tcBorders>
            <w:shd w:val="clear" w:color="auto" w:fill="auto"/>
            <w:noWrap/>
            <w:vAlign w:val="center"/>
            <w:hideMark/>
          </w:tcPr>
          <w:p w14:paraId="73029151"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      </w:t>
            </w:r>
          </w:p>
        </w:tc>
        <w:tc>
          <w:tcPr>
            <w:tcW w:w="470" w:type="pct"/>
            <w:tcBorders>
              <w:top w:val="nil"/>
              <w:left w:val="nil"/>
              <w:bottom w:val="nil"/>
              <w:right w:val="nil"/>
            </w:tcBorders>
            <w:shd w:val="clear" w:color="auto" w:fill="auto"/>
            <w:noWrap/>
            <w:vAlign w:val="center"/>
            <w:hideMark/>
          </w:tcPr>
          <w:p w14:paraId="448DB607"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100,0%</w:t>
            </w:r>
          </w:p>
        </w:tc>
        <w:tc>
          <w:tcPr>
            <w:tcW w:w="497" w:type="pct"/>
            <w:tcBorders>
              <w:top w:val="nil"/>
              <w:left w:val="nil"/>
              <w:bottom w:val="nil"/>
              <w:right w:val="nil"/>
            </w:tcBorders>
            <w:shd w:val="clear" w:color="auto" w:fill="auto"/>
            <w:noWrap/>
            <w:vAlign w:val="center"/>
            <w:hideMark/>
          </w:tcPr>
          <w:p w14:paraId="0B8D1013"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100,0%</w:t>
            </w:r>
          </w:p>
        </w:tc>
      </w:tr>
      <w:tr w:rsidR="00A37AC4" w:rsidRPr="000C16E8" w14:paraId="6D678EB8" w14:textId="77777777" w:rsidTr="00446A14">
        <w:trPr>
          <w:trHeight w:val="238"/>
        </w:trPr>
        <w:tc>
          <w:tcPr>
            <w:tcW w:w="2340" w:type="pct"/>
            <w:tcBorders>
              <w:top w:val="nil"/>
              <w:left w:val="nil"/>
              <w:bottom w:val="nil"/>
              <w:right w:val="nil"/>
            </w:tcBorders>
            <w:shd w:val="clear" w:color="auto" w:fill="auto"/>
            <w:noWrap/>
            <w:vAlign w:val="center"/>
            <w:hideMark/>
          </w:tcPr>
          <w:p w14:paraId="65CFDEC3" w14:textId="77777777" w:rsidR="00A37AC4" w:rsidRPr="003B40B6" w:rsidRDefault="00A37AC4" w:rsidP="00446A14">
            <w:pPr>
              <w:spacing w:after="0" w:line="240" w:lineRule="auto"/>
              <w:rPr>
                <w:rFonts w:ascii="Arial" w:hAnsi="Arial" w:cs="Arial"/>
                <w:color w:val="000000"/>
                <w:sz w:val="16"/>
                <w:szCs w:val="18"/>
                <w:lang w:eastAsia="pt-BR"/>
              </w:rPr>
            </w:pPr>
            <w:r w:rsidRPr="003B40B6">
              <w:rPr>
                <w:rFonts w:ascii="Arial" w:hAnsi="Arial" w:cs="Arial"/>
                <w:color w:val="000000"/>
                <w:sz w:val="16"/>
                <w:szCs w:val="18"/>
                <w:lang w:eastAsia="pt-BR"/>
              </w:rPr>
              <w:t>(+) Tributos sobre Superávit de Previdência Privada</w:t>
            </w:r>
          </w:p>
        </w:tc>
        <w:tc>
          <w:tcPr>
            <w:tcW w:w="524" w:type="pct"/>
            <w:tcBorders>
              <w:top w:val="nil"/>
              <w:left w:val="nil"/>
              <w:bottom w:val="nil"/>
              <w:right w:val="nil"/>
            </w:tcBorders>
            <w:shd w:val="clear" w:color="auto" w:fill="auto"/>
            <w:noWrap/>
            <w:vAlign w:val="center"/>
            <w:hideMark/>
          </w:tcPr>
          <w:p w14:paraId="72A1C125"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3.137 </w:t>
            </w:r>
          </w:p>
        </w:tc>
        <w:tc>
          <w:tcPr>
            <w:tcW w:w="571" w:type="pct"/>
            <w:tcBorders>
              <w:top w:val="nil"/>
              <w:left w:val="nil"/>
              <w:bottom w:val="nil"/>
              <w:right w:val="nil"/>
            </w:tcBorders>
            <w:shd w:val="clear" w:color="auto" w:fill="auto"/>
            <w:noWrap/>
            <w:vAlign w:val="center"/>
            <w:hideMark/>
          </w:tcPr>
          <w:p w14:paraId="427B8E45"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      </w:t>
            </w:r>
          </w:p>
        </w:tc>
        <w:tc>
          <w:tcPr>
            <w:tcW w:w="597" w:type="pct"/>
            <w:tcBorders>
              <w:top w:val="nil"/>
              <w:left w:val="nil"/>
              <w:bottom w:val="nil"/>
              <w:right w:val="nil"/>
            </w:tcBorders>
            <w:shd w:val="clear" w:color="auto" w:fill="auto"/>
            <w:noWrap/>
            <w:vAlign w:val="center"/>
            <w:hideMark/>
          </w:tcPr>
          <w:p w14:paraId="190DC137"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      </w:t>
            </w:r>
          </w:p>
        </w:tc>
        <w:tc>
          <w:tcPr>
            <w:tcW w:w="470" w:type="pct"/>
            <w:tcBorders>
              <w:top w:val="nil"/>
              <w:left w:val="nil"/>
              <w:bottom w:val="nil"/>
              <w:right w:val="nil"/>
            </w:tcBorders>
            <w:shd w:val="clear" w:color="auto" w:fill="auto"/>
            <w:noWrap/>
            <w:vAlign w:val="center"/>
            <w:hideMark/>
          </w:tcPr>
          <w:p w14:paraId="3FBA0DC8"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100,0%</w:t>
            </w:r>
          </w:p>
        </w:tc>
        <w:tc>
          <w:tcPr>
            <w:tcW w:w="497" w:type="pct"/>
            <w:tcBorders>
              <w:top w:val="nil"/>
              <w:left w:val="nil"/>
              <w:bottom w:val="nil"/>
              <w:right w:val="nil"/>
            </w:tcBorders>
            <w:shd w:val="clear" w:color="auto" w:fill="auto"/>
            <w:noWrap/>
            <w:vAlign w:val="center"/>
            <w:hideMark/>
          </w:tcPr>
          <w:p w14:paraId="5FAF9157"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100,0%</w:t>
            </w:r>
          </w:p>
        </w:tc>
      </w:tr>
      <w:tr w:rsidR="00A37AC4" w:rsidRPr="000C16E8" w14:paraId="3C465853" w14:textId="77777777" w:rsidTr="00446A14">
        <w:trPr>
          <w:trHeight w:val="238"/>
        </w:trPr>
        <w:tc>
          <w:tcPr>
            <w:tcW w:w="2340" w:type="pct"/>
            <w:tcBorders>
              <w:top w:val="nil"/>
              <w:left w:val="nil"/>
              <w:bottom w:val="nil"/>
              <w:right w:val="nil"/>
            </w:tcBorders>
            <w:shd w:val="clear" w:color="auto" w:fill="auto"/>
            <w:noWrap/>
            <w:vAlign w:val="center"/>
            <w:hideMark/>
          </w:tcPr>
          <w:p w14:paraId="38DB1A10" w14:textId="77777777" w:rsidR="00A37AC4" w:rsidRPr="003B40B6" w:rsidRDefault="00A37AC4" w:rsidP="00446A14">
            <w:pPr>
              <w:spacing w:after="0" w:line="240" w:lineRule="auto"/>
              <w:rPr>
                <w:rFonts w:ascii="Arial" w:hAnsi="Arial" w:cs="Arial"/>
                <w:color w:val="000000"/>
                <w:sz w:val="16"/>
                <w:szCs w:val="18"/>
                <w:lang w:eastAsia="pt-BR"/>
              </w:rPr>
            </w:pPr>
            <w:r w:rsidRPr="003B40B6">
              <w:rPr>
                <w:rFonts w:ascii="Arial" w:hAnsi="Arial" w:cs="Arial"/>
                <w:color w:val="000000"/>
                <w:sz w:val="16"/>
                <w:szCs w:val="18"/>
                <w:lang w:eastAsia="pt-BR"/>
              </w:rPr>
              <w:t>(+) Baixa de Ativo Imobilizado</w:t>
            </w:r>
          </w:p>
        </w:tc>
        <w:tc>
          <w:tcPr>
            <w:tcW w:w="524" w:type="pct"/>
            <w:tcBorders>
              <w:top w:val="nil"/>
              <w:left w:val="nil"/>
              <w:bottom w:val="nil"/>
              <w:right w:val="nil"/>
            </w:tcBorders>
            <w:shd w:val="clear" w:color="auto" w:fill="auto"/>
            <w:noWrap/>
            <w:vAlign w:val="center"/>
            <w:hideMark/>
          </w:tcPr>
          <w:p w14:paraId="48839CF9"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383 </w:t>
            </w:r>
          </w:p>
        </w:tc>
        <w:tc>
          <w:tcPr>
            <w:tcW w:w="571" w:type="pct"/>
            <w:tcBorders>
              <w:top w:val="nil"/>
              <w:left w:val="nil"/>
              <w:bottom w:val="nil"/>
              <w:right w:val="nil"/>
            </w:tcBorders>
            <w:shd w:val="clear" w:color="auto" w:fill="auto"/>
            <w:noWrap/>
            <w:vAlign w:val="center"/>
            <w:hideMark/>
          </w:tcPr>
          <w:p w14:paraId="7C29C908"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16.643 </w:t>
            </w:r>
          </w:p>
        </w:tc>
        <w:tc>
          <w:tcPr>
            <w:tcW w:w="597" w:type="pct"/>
            <w:tcBorders>
              <w:top w:val="nil"/>
              <w:left w:val="nil"/>
              <w:bottom w:val="nil"/>
              <w:right w:val="nil"/>
            </w:tcBorders>
            <w:shd w:val="clear" w:color="auto" w:fill="auto"/>
            <w:noWrap/>
            <w:vAlign w:val="center"/>
            <w:hideMark/>
          </w:tcPr>
          <w:p w14:paraId="6A122A2B"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       </w:t>
            </w:r>
          </w:p>
        </w:tc>
        <w:tc>
          <w:tcPr>
            <w:tcW w:w="470" w:type="pct"/>
            <w:tcBorders>
              <w:top w:val="nil"/>
              <w:left w:val="nil"/>
              <w:bottom w:val="nil"/>
              <w:right w:val="nil"/>
            </w:tcBorders>
            <w:shd w:val="clear" w:color="auto" w:fill="auto"/>
            <w:noWrap/>
            <w:vAlign w:val="center"/>
            <w:hideMark/>
          </w:tcPr>
          <w:p w14:paraId="55E8B3F9"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-97,7%</w:t>
            </w:r>
          </w:p>
        </w:tc>
        <w:tc>
          <w:tcPr>
            <w:tcW w:w="497" w:type="pct"/>
            <w:tcBorders>
              <w:top w:val="nil"/>
              <w:left w:val="nil"/>
              <w:bottom w:val="nil"/>
              <w:right w:val="nil"/>
            </w:tcBorders>
            <w:shd w:val="clear" w:color="auto" w:fill="auto"/>
            <w:noWrap/>
            <w:vAlign w:val="center"/>
            <w:hideMark/>
          </w:tcPr>
          <w:p w14:paraId="5B4D3710"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100,0%</w:t>
            </w:r>
          </w:p>
        </w:tc>
      </w:tr>
      <w:tr w:rsidR="00A37AC4" w:rsidRPr="000C16E8" w14:paraId="2D2CDB2D" w14:textId="77777777" w:rsidTr="00446A14">
        <w:trPr>
          <w:trHeight w:val="238"/>
        </w:trPr>
        <w:tc>
          <w:tcPr>
            <w:tcW w:w="2340" w:type="pct"/>
            <w:tcBorders>
              <w:top w:val="nil"/>
              <w:left w:val="nil"/>
              <w:bottom w:val="nil"/>
              <w:right w:val="nil"/>
            </w:tcBorders>
            <w:shd w:val="clear" w:color="auto" w:fill="auto"/>
            <w:noWrap/>
            <w:vAlign w:val="center"/>
            <w:hideMark/>
          </w:tcPr>
          <w:p w14:paraId="71B73720" w14:textId="77777777" w:rsidR="00A37AC4" w:rsidRPr="003B40B6" w:rsidRDefault="00A37AC4" w:rsidP="00446A14">
            <w:pPr>
              <w:spacing w:after="0" w:line="240" w:lineRule="auto"/>
              <w:rPr>
                <w:rFonts w:ascii="Arial" w:hAnsi="Arial" w:cs="Arial"/>
                <w:color w:val="000000"/>
                <w:sz w:val="16"/>
                <w:szCs w:val="18"/>
                <w:lang w:eastAsia="pt-BR"/>
              </w:rPr>
            </w:pPr>
            <w:r w:rsidRPr="003B40B6">
              <w:rPr>
                <w:rFonts w:ascii="Arial" w:hAnsi="Arial" w:cs="Arial"/>
                <w:color w:val="000000"/>
                <w:sz w:val="16"/>
                <w:szCs w:val="18"/>
                <w:lang w:eastAsia="pt-BR"/>
              </w:rPr>
              <w:t>(-) Exclusão do ICMS na BC do PIS e COFINS</w:t>
            </w:r>
          </w:p>
        </w:tc>
        <w:tc>
          <w:tcPr>
            <w:tcW w:w="524" w:type="pct"/>
            <w:tcBorders>
              <w:top w:val="nil"/>
              <w:left w:val="nil"/>
              <w:bottom w:val="nil"/>
              <w:right w:val="nil"/>
            </w:tcBorders>
            <w:shd w:val="clear" w:color="auto" w:fill="auto"/>
            <w:noWrap/>
            <w:vAlign w:val="center"/>
            <w:hideMark/>
          </w:tcPr>
          <w:p w14:paraId="1CCAB1B3"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     </w:t>
            </w:r>
          </w:p>
        </w:tc>
        <w:tc>
          <w:tcPr>
            <w:tcW w:w="571" w:type="pct"/>
            <w:tcBorders>
              <w:top w:val="nil"/>
              <w:left w:val="nil"/>
              <w:bottom w:val="nil"/>
              <w:right w:val="nil"/>
            </w:tcBorders>
            <w:shd w:val="clear" w:color="auto" w:fill="auto"/>
            <w:noWrap/>
            <w:vAlign w:val="center"/>
            <w:hideMark/>
          </w:tcPr>
          <w:p w14:paraId="270FE93C"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     </w:t>
            </w:r>
          </w:p>
        </w:tc>
        <w:tc>
          <w:tcPr>
            <w:tcW w:w="597" w:type="pct"/>
            <w:tcBorders>
              <w:top w:val="nil"/>
              <w:left w:val="nil"/>
              <w:bottom w:val="nil"/>
              <w:right w:val="nil"/>
            </w:tcBorders>
            <w:shd w:val="clear" w:color="auto" w:fill="auto"/>
            <w:noWrap/>
            <w:vAlign w:val="center"/>
            <w:hideMark/>
          </w:tcPr>
          <w:p w14:paraId="28736808"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(6.933)</w:t>
            </w:r>
          </w:p>
        </w:tc>
        <w:tc>
          <w:tcPr>
            <w:tcW w:w="470" w:type="pct"/>
            <w:tcBorders>
              <w:top w:val="nil"/>
              <w:left w:val="nil"/>
              <w:bottom w:val="nil"/>
              <w:right w:val="nil"/>
            </w:tcBorders>
            <w:shd w:val="clear" w:color="auto" w:fill="auto"/>
            <w:noWrap/>
            <w:vAlign w:val="center"/>
            <w:hideMark/>
          </w:tcPr>
          <w:p w14:paraId="6E6ACE73"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0,0%</w:t>
            </w:r>
          </w:p>
        </w:tc>
        <w:tc>
          <w:tcPr>
            <w:tcW w:w="497" w:type="pct"/>
            <w:tcBorders>
              <w:top w:val="nil"/>
              <w:left w:val="nil"/>
              <w:bottom w:val="nil"/>
              <w:right w:val="nil"/>
            </w:tcBorders>
            <w:shd w:val="clear" w:color="auto" w:fill="auto"/>
            <w:noWrap/>
            <w:vAlign w:val="center"/>
            <w:hideMark/>
          </w:tcPr>
          <w:p w14:paraId="127EFFED"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-100,0%</w:t>
            </w:r>
          </w:p>
        </w:tc>
      </w:tr>
      <w:tr w:rsidR="00A37AC4" w:rsidRPr="000C16E8" w14:paraId="130EDFDA" w14:textId="77777777" w:rsidTr="00446A14">
        <w:trPr>
          <w:trHeight w:val="238"/>
        </w:trPr>
        <w:tc>
          <w:tcPr>
            <w:tcW w:w="2340" w:type="pct"/>
            <w:tcBorders>
              <w:top w:val="nil"/>
              <w:left w:val="nil"/>
              <w:bottom w:val="nil"/>
              <w:right w:val="nil"/>
            </w:tcBorders>
            <w:shd w:val="clear" w:color="auto" w:fill="auto"/>
            <w:noWrap/>
            <w:vAlign w:val="center"/>
            <w:hideMark/>
          </w:tcPr>
          <w:p w14:paraId="2CE10A0B" w14:textId="77777777" w:rsidR="00A37AC4" w:rsidRPr="003B40B6" w:rsidRDefault="00A37AC4" w:rsidP="00446A14">
            <w:pPr>
              <w:spacing w:after="0" w:line="240" w:lineRule="auto"/>
              <w:rPr>
                <w:rFonts w:ascii="Arial" w:hAnsi="Arial" w:cs="Arial"/>
                <w:color w:val="000000"/>
                <w:sz w:val="16"/>
                <w:szCs w:val="18"/>
                <w:lang w:eastAsia="pt-BR"/>
              </w:rPr>
            </w:pPr>
            <w:r w:rsidRPr="003B40B6">
              <w:rPr>
                <w:rFonts w:ascii="Arial" w:hAnsi="Arial" w:cs="Arial"/>
                <w:color w:val="000000"/>
                <w:sz w:val="16"/>
                <w:szCs w:val="18"/>
                <w:lang w:eastAsia="pt-BR"/>
              </w:rPr>
              <w:t>(-) Depreciação - CPC 6(R2) / IFRS 16</w:t>
            </w:r>
          </w:p>
        </w:tc>
        <w:tc>
          <w:tcPr>
            <w:tcW w:w="524" w:type="pct"/>
            <w:tcBorders>
              <w:top w:val="nil"/>
              <w:left w:val="nil"/>
              <w:bottom w:val="nil"/>
              <w:right w:val="nil"/>
            </w:tcBorders>
            <w:shd w:val="clear" w:color="auto" w:fill="auto"/>
            <w:noWrap/>
            <w:vAlign w:val="center"/>
            <w:hideMark/>
          </w:tcPr>
          <w:p w14:paraId="504B006B"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(5.175)</w:t>
            </w:r>
          </w:p>
        </w:tc>
        <w:tc>
          <w:tcPr>
            <w:tcW w:w="571" w:type="pct"/>
            <w:tcBorders>
              <w:top w:val="nil"/>
              <w:left w:val="nil"/>
              <w:bottom w:val="nil"/>
              <w:right w:val="nil"/>
            </w:tcBorders>
            <w:shd w:val="clear" w:color="auto" w:fill="auto"/>
            <w:noWrap/>
            <w:vAlign w:val="center"/>
            <w:hideMark/>
          </w:tcPr>
          <w:p w14:paraId="685BDA17"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(5.006)</w:t>
            </w:r>
          </w:p>
        </w:tc>
        <w:tc>
          <w:tcPr>
            <w:tcW w:w="597" w:type="pct"/>
            <w:tcBorders>
              <w:top w:val="nil"/>
              <w:left w:val="nil"/>
              <w:bottom w:val="nil"/>
              <w:right w:val="nil"/>
            </w:tcBorders>
            <w:shd w:val="clear" w:color="auto" w:fill="auto"/>
            <w:noWrap/>
            <w:vAlign w:val="center"/>
            <w:hideMark/>
          </w:tcPr>
          <w:p w14:paraId="26CAA0AA"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(4.443)</w:t>
            </w:r>
          </w:p>
        </w:tc>
        <w:tc>
          <w:tcPr>
            <w:tcW w:w="470" w:type="pct"/>
            <w:tcBorders>
              <w:top w:val="nil"/>
              <w:left w:val="nil"/>
              <w:bottom w:val="nil"/>
              <w:right w:val="nil"/>
            </w:tcBorders>
            <w:shd w:val="clear" w:color="auto" w:fill="auto"/>
            <w:noWrap/>
            <w:vAlign w:val="center"/>
            <w:hideMark/>
          </w:tcPr>
          <w:p w14:paraId="46825A59"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3,4%</w:t>
            </w:r>
          </w:p>
        </w:tc>
        <w:tc>
          <w:tcPr>
            <w:tcW w:w="497" w:type="pct"/>
            <w:tcBorders>
              <w:top w:val="nil"/>
              <w:left w:val="nil"/>
              <w:bottom w:val="nil"/>
              <w:right w:val="nil"/>
            </w:tcBorders>
            <w:shd w:val="clear" w:color="auto" w:fill="auto"/>
            <w:noWrap/>
            <w:vAlign w:val="center"/>
            <w:hideMark/>
          </w:tcPr>
          <w:p w14:paraId="11D0D1D7"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16,5%</w:t>
            </w:r>
          </w:p>
        </w:tc>
      </w:tr>
      <w:tr w:rsidR="00A37AC4" w:rsidRPr="000C16E8" w14:paraId="176E7DA3" w14:textId="77777777" w:rsidTr="00446A14">
        <w:trPr>
          <w:trHeight w:val="238"/>
        </w:trPr>
        <w:tc>
          <w:tcPr>
            <w:tcW w:w="2340" w:type="pct"/>
            <w:tcBorders>
              <w:top w:val="nil"/>
              <w:left w:val="nil"/>
              <w:bottom w:val="nil"/>
              <w:right w:val="nil"/>
            </w:tcBorders>
            <w:shd w:val="clear" w:color="auto" w:fill="auto"/>
            <w:noWrap/>
            <w:vAlign w:val="center"/>
            <w:hideMark/>
          </w:tcPr>
          <w:p w14:paraId="3CAE7142" w14:textId="77777777" w:rsidR="00A37AC4" w:rsidRPr="003B40B6" w:rsidRDefault="00A37AC4" w:rsidP="00446A14">
            <w:pPr>
              <w:spacing w:after="0" w:line="240" w:lineRule="auto"/>
              <w:rPr>
                <w:rFonts w:ascii="Arial" w:hAnsi="Arial" w:cs="Arial"/>
                <w:color w:val="000000"/>
                <w:sz w:val="16"/>
                <w:szCs w:val="18"/>
                <w:lang w:eastAsia="pt-BR"/>
              </w:rPr>
            </w:pPr>
            <w:r w:rsidRPr="003B40B6">
              <w:rPr>
                <w:rFonts w:ascii="Arial" w:hAnsi="Arial" w:cs="Arial"/>
                <w:color w:val="000000"/>
                <w:sz w:val="16"/>
                <w:szCs w:val="18"/>
                <w:lang w:eastAsia="pt-BR"/>
              </w:rPr>
              <w:t>(-) Despesas Financeiras - CPC 6(R2) / IFRS 16</w:t>
            </w:r>
          </w:p>
        </w:tc>
        <w:tc>
          <w:tcPr>
            <w:tcW w:w="524" w:type="pct"/>
            <w:tcBorders>
              <w:top w:val="nil"/>
              <w:left w:val="nil"/>
              <w:bottom w:val="nil"/>
              <w:right w:val="nil"/>
            </w:tcBorders>
            <w:shd w:val="clear" w:color="auto" w:fill="auto"/>
            <w:noWrap/>
            <w:vAlign w:val="center"/>
            <w:hideMark/>
          </w:tcPr>
          <w:p w14:paraId="0B3BBA43"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(1.034)</w:t>
            </w:r>
          </w:p>
        </w:tc>
        <w:tc>
          <w:tcPr>
            <w:tcW w:w="571" w:type="pct"/>
            <w:tcBorders>
              <w:top w:val="nil"/>
              <w:left w:val="nil"/>
              <w:bottom w:val="nil"/>
              <w:right w:val="nil"/>
            </w:tcBorders>
            <w:shd w:val="clear" w:color="auto" w:fill="auto"/>
            <w:noWrap/>
            <w:vAlign w:val="center"/>
            <w:hideMark/>
          </w:tcPr>
          <w:p w14:paraId="0D65422F"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(939)</w:t>
            </w:r>
          </w:p>
        </w:tc>
        <w:tc>
          <w:tcPr>
            <w:tcW w:w="597" w:type="pct"/>
            <w:tcBorders>
              <w:top w:val="nil"/>
              <w:left w:val="nil"/>
              <w:bottom w:val="nil"/>
              <w:right w:val="nil"/>
            </w:tcBorders>
            <w:shd w:val="clear" w:color="auto" w:fill="auto"/>
            <w:noWrap/>
            <w:vAlign w:val="center"/>
            <w:hideMark/>
          </w:tcPr>
          <w:p w14:paraId="00A8AE24"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(755)</w:t>
            </w:r>
          </w:p>
        </w:tc>
        <w:tc>
          <w:tcPr>
            <w:tcW w:w="470" w:type="pct"/>
            <w:tcBorders>
              <w:top w:val="nil"/>
              <w:left w:val="nil"/>
              <w:bottom w:val="nil"/>
              <w:right w:val="nil"/>
            </w:tcBorders>
            <w:shd w:val="clear" w:color="auto" w:fill="auto"/>
            <w:noWrap/>
            <w:vAlign w:val="center"/>
            <w:hideMark/>
          </w:tcPr>
          <w:p w14:paraId="622D3CDE"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10,1%</w:t>
            </w:r>
          </w:p>
        </w:tc>
        <w:tc>
          <w:tcPr>
            <w:tcW w:w="497" w:type="pct"/>
            <w:tcBorders>
              <w:top w:val="nil"/>
              <w:left w:val="nil"/>
              <w:bottom w:val="nil"/>
              <w:right w:val="nil"/>
            </w:tcBorders>
            <w:shd w:val="clear" w:color="auto" w:fill="auto"/>
            <w:noWrap/>
            <w:vAlign w:val="center"/>
            <w:hideMark/>
          </w:tcPr>
          <w:p w14:paraId="7C850DC7"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37,0%</w:t>
            </w:r>
          </w:p>
        </w:tc>
      </w:tr>
      <w:tr w:rsidR="00A37AC4" w:rsidRPr="000C16E8" w14:paraId="3163595C" w14:textId="77777777" w:rsidTr="00446A14">
        <w:trPr>
          <w:trHeight w:val="238"/>
        </w:trPr>
        <w:tc>
          <w:tcPr>
            <w:tcW w:w="2340" w:type="pct"/>
            <w:tcBorders>
              <w:top w:val="nil"/>
              <w:left w:val="nil"/>
              <w:bottom w:val="nil"/>
              <w:right w:val="nil"/>
            </w:tcBorders>
            <w:shd w:val="clear" w:color="auto" w:fill="auto"/>
            <w:noWrap/>
            <w:vAlign w:val="center"/>
            <w:hideMark/>
          </w:tcPr>
          <w:p w14:paraId="04D690E3" w14:textId="77777777" w:rsidR="00A37AC4" w:rsidRPr="003B40B6" w:rsidRDefault="00A37AC4" w:rsidP="00446A14">
            <w:pPr>
              <w:spacing w:after="0" w:line="240" w:lineRule="auto"/>
              <w:rPr>
                <w:rFonts w:ascii="Arial" w:hAnsi="Arial" w:cs="Arial"/>
                <w:color w:val="000000"/>
                <w:sz w:val="16"/>
                <w:szCs w:val="18"/>
                <w:lang w:eastAsia="pt-BR"/>
              </w:rPr>
            </w:pPr>
            <w:r w:rsidRPr="003B40B6">
              <w:rPr>
                <w:rFonts w:ascii="Arial" w:hAnsi="Arial" w:cs="Arial"/>
                <w:color w:val="000000"/>
                <w:sz w:val="16"/>
                <w:szCs w:val="18"/>
                <w:lang w:eastAsia="pt-BR"/>
              </w:rPr>
              <w:t>(+) Baixa de Créditos Tributários</w:t>
            </w:r>
          </w:p>
        </w:tc>
        <w:tc>
          <w:tcPr>
            <w:tcW w:w="524" w:type="pct"/>
            <w:tcBorders>
              <w:top w:val="nil"/>
              <w:left w:val="nil"/>
              <w:bottom w:val="nil"/>
              <w:right w:val="nil"/>
            </w:tcBorders>
            <w:shd w:val="clear" w:color="auto" w:fill="auto"/>
            <w:noWrap/>
            <w:vAlign w:val="center"/>
            <w:hideMark/>
          </w:tcPr>
          <w:p w14:paraId="3681108F"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7.183 </w:t>
            </w:r>
          </w:p>
        </w:tc>
        <w:tc>
          <w:tcPr>
            <w:tcW w:w="571" w:type="pct"/>
            <w:tcBorders>
              <w:top w:val="nil"/>
              <w:left w:val="nil"/>
              <w:bottom w:val="nil"/>
              <w:right w:val="nil"/>
            </w:tcBorders>
            <w:shd w:val="clear" w:color="auto" w:fill="auto"/>
            <w:noWrap/>
            <w:vAlign w:val="center"/>
            <w:hideMark/>
          </w:tcPr>
          <w:p w14:paraId="10650B5A"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     </w:t>
            </w:r>
          </w:p>
        </w:tc>
        <w:tc>
          <w:tcPr>
            <w:tcW w:w="597" w:type="pct"/>
            <w:tcBorders>
              <w:top w:val="nil"/>
              <w:left w:val="nil"/>
              <w:bottom w:val="nil"/>
              <w:right w:val="nil"/>
            </w:tcBorders>
            <w:shd w:val="clear" w:color="auto" w:fill="auto"/>
            <w:noWrap/>
            <w:vAlign w:val="center"/>
            <w:hideMark/>
          </w:tcPr>
          <w:p w14:paraId="0F714787"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13.488 </w:t>
            </w:r>
          </w:p>
        </w:tc>
        <w:tc>
          <w:tcPr>
            <w:tcW w:w="470" w:type="pct"/>
            <w:tcBorders>
              <w:top w:val="nil"/>
              <w:left w:val="nil"/>
              <w:bottom w:val="nil"/>
              <w:right w:val="nil"/>
            </w:tcBorders>
            <w:shd w:val="clear" w:color="auto" w:fill="auto"/>
            <w:noWrap/>
            <w:vAlign w:val="center"/>
            <w:hideMark/>
          </w:tcPr>
          <w:p w14:paraId="07D1B2A1"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100,0%</w:t>
            </w:r>
          </w:p>
        </w:tc>
        <w:tc>
          <w:tcPr>
            <w:tcW w:w="497" w:type="pct"/>
            <w:tcBorders>
              <w:top w:val="nil"/>
              <w:left w:val="nil"/>
              <w:bottom w:val="nil"/>
              <w:right w:val="nil"/>
            </w:tcBorders>
            <w:shd w:val="clear" w:color="auto" w:fill="auto"/>
            <w:noWrap/>
            <w:vAlign w:val="center"/>
            <w:hideMark/>
          </w:tcPr>
          <w:p w14:paraId="12BE80E4"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-46,7%</w:t>
            </w:r>
          </w:p>
        </w:tc>
      </w:tr>
      <w:tr w:rsidR="00A37AC4" w:rsidRPr="000C16E8" w14:paraId="5108510C" w14:textId="77777777" w:rsidTr="00446A14">
        <w:trPr>
          <w:trHeight w:val="238"/>
        </w:trPr>
        <w:tc>
          <w:tcPr>
            <w:tcW w:w="2340" w:type="pct"/>
            <w:tcBorders>
              <w:top w:val="nil"/>
              <w:left w:val="nil"/>
              <w:bottom w:val="nil"/>
              <w:right w:val="nil"/>
            </w:tcBorders>
            <w:shd w:val="clear" w:color="auto" w:fill="auto"/>
            <w:noWrap/>
            <w:vAlign w:val="center"/>
            <w:hideMark/>
          </w:tcPr>
          <w:p w14:paraId="4B67F08B" w14:textId="77777777" w:rsidR="00A37AC4" w:rsidRPr="003B40B6" w:rsidRDefault="00A37AC4" w:rsidP="00446A14">
            <w:pPr>
              <w:spacing w:after="0" w:line="240" w:lineRule="auto"/>
              <w:rPr>
                <w:rFonts w:ascii="Arial" w:hAnsi="Arial" w:cs="Arial"/>
                <w:color w:val="000000"/>
                <w:sz w:val="16"/>
                <w:szCs w:val="18"/>
                <w:lang w:eastAsia="pt-BR"/>
              </w:rPr>
            </w:pPr>
            <w:r w:rsidRPr="003B40B6">
              <w:rPr>
                <w:rFonts w:ascii="Arial" w:hAnsi="Arial" w:cs="Arial"/>
                <w:color w:val="000000"/>
                <w:sz w:val="16"/>
                <w:szCs w:val="18"/>
                <w:lang w:eastAsia="pt-BR"/>
              </w:rPr>
              <w:t>(+) Multas Contratuais - Dataprev</w:t>
            </w:r>
          </w:p>
        </w:tc>
        <w:tc>
          <w:tcPr>
            <w:tcW w:w="524" w:type="pct"/>
            <w:tcBorders>
              <w:top w:val="nil"/>
              <w:left w:val="nil"/>
              <w:bottom w:val="nil"/>
              <w:right w:val="nil"/>
            </w:tcBorders>
            <w:shd w:val="clear" w:color="auto" w:fill="auto"/>
            <w:noWrap/>
            <w:vAlign w:val="center"/>
            <w:hideMark/>
          </w:tcPr>
          <w:p w14:paraId="6D83E154"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39.352 </w:t>
            </w:r>
          </w:p>
        </w:tc>
        <w:tc>
          <w:tcPr>
            <w:tcW w:w="571" w:type="pct"/>
            <w:tcBorders>
              <w:top w:val="nil"/>
              <w:left w:val="nil"/>
              <w:bottom w:val="nil"/>
              <w:right w:val="nil"/>
            </w:tcBorders>
            <w:shd w:val="clear" w:color="auto" w:fill="auto"/>
            <w:noWrap/>
            <w:vAlign w:val="center"/>
            <w:hideMark/>
          </w:tcPr>
          <w:p w14:paraId="776855BD"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      </w:t>
            </w:r>
          </w:p>
        </w:tc>
        <w:tc>
          <w:tcPr>
            <w:tcW w:w="597" w:type="pct"/>
            <w:tcBorders>
              <w:top w:val="nil"/>
              <w:left w:val="nil"/>
              <w:bottom w:val="nil"/>
              <w:right w:val="nil"/>
            </w:tcBorders>
            <w:shd w:val="clear" w:color="auto" w:fill="auto"/>
            <w:noWrap/>
            <w:vAlign w:val="center"/>
            <w:hideMark/>
          </w:tcPr>
          <w:p w14:paraId="78AE282C"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      </w:t>
            </w:r>
          </w:p>
        </w:tc>
        <w:tc>
          <w:tcPr>
            <w:tcW w:w="470" w:type="pct"/>
            <w:tcBorders>
              <w:top w:val="nil"/>
              <w:left w:val="nil"/>
              <w:bottom w:val="nil"/>
              <w:right w:val="nil"/>
            </w:tcBorders>
            <w:shd w:val="clear" w:color="auto" w:fill="auto"/>
            <w:noWrap/>
            <w:vAlign w:val="center"/>
            <w:hideMark/>
          </w:tcPr>
          <w:p w14:paraId="4C480B35"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100,0%</w:t>
            </w:r>
          </w:p>
        </w:tc>
        <w:tc>
          <w:tcPr>
            <w:tcW w:w="497" w:type="pct"/>
            <w:tcBorders>
              <w:top w:val="nil"/>
              <w:left w:val="nil"/>
              <w:bottom w:val="nil"/>
              <w:right w:val="nil"/>
            </w:tcBorders>
            <w:shd w:val="clear" w:color="auto" w:fill="auto"/>
            <w:noWrap/>
            <w:vAlign w:val="center"/>
            <w:hideMark/>
          </w:tcPr>
          <w:p w14:paraId="02E2C766"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100,0%</w:t>
            </w:r>
          </w:p>
        </w:tc>
      </w:tr>
      <w:tr w:rsidR="00A37AC4" w:rsidRPr="000C16E8" w14:paraId="291A0926" w14:textId="77777777" w:rsidTr="00446A14">
        <w:trPr>
          <w:trHeight w:val="238"/>
        </w:trPr>
        <w:tc>
          <w:tcPr>
            <w:tcW w:w="2340" w:type="pct"/>
            <w:tcBorders>
              <w:top w:val="nil"/>
              <w:left w:val="nil"/>
              <w:bottom w:val="nil"/>
              <w:right w:val="nil"/>
            </w:tcBorders>
            <w:shd w:val="clear" w:color="auto" w:fill="auto"/>
            <w:noWrap/>
            <w:vAlign w:val="center"/>
            <w:hideMark/>
          </w:tcPr>
          <w:p w14:paraId="471A0DA8" w14:textId="77777777" w:rsidR="00A37AC4" w:rsidRPr="003B40B6" w:rsidRDefault="00A37AC4" w:rsidP="00446A14">
            <w:pPr>
              <w:spacing w:after="0" w:line="240" w:lineRule="auto"/>
              <w:rPr>
                <w:rFonts w:ascii="Arial" w:hAnsi="Arial" w:cs="Arial"/>
                <w:color w:val="000000"/>
                <w:sz w:val="16"/>
                <w:szCs w:val="18"/>
                <w:lang w:eastAsia="pt-BR"/>
              </w:rPr>
            </w:pPr>
            <w:r w:rsidRPr="003B40B6">
              <w:rPr>
                <w:rFonts w:ascii="Arial" w:hAnsi="Arial" w:cs="Arial"/>
                <w:color w:val="000000"/>
                <w:sz w:val="16"/>
                <w:szCs w:val="18"/>
                <w:lang w:eastAsia="pt-BR"/>
              </w:rPr>
              <w:t>(+) Equivalência Patrimonial</w:t>
            </w:r>
          </w:p>
        </w:tc>
        <w:tc>
          <w:tcPr>
            <w:tcW w:w="524" w:type="pct"/>
            <w:tcBorders>
              <w:top w:val="nil"/>
              <w:left w:val="nil"/>
              <w:bottom w:val="nil"/>
              <w:right w:val="nil"/>
            </w:tcBorders>
            <w:shd w:val="clear" w:color="auto" w:fill="auto"/>
            <w:noWrap/>
            <w:vAlign w:val="center"/>
            <w:hideMark/>
          </w:tcPr>
          <w:p w14:paraId="4D8ABDC6"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2.254 </w:t>
            </w:r>
          </w:p>
        </w:tc>
        <w:tc>
          <w:tcPr>
            <w:tcW w:w="571" w:type="pct"/>
            <w:tcBorders>
              <w:top w:val="nil"/>
              <w:left w:val="nil"/>
              <w:bottom w:val="nil"/>
              <w:right w:val="nil"/>
            </w:tcBorders>
            <w:shd w:val="clear" w:color="auto" w:fill="auto"/>
            <w:noWrap/>
            <w:vAlign w:val="center"/>
            <w:hideMark/>
          </w:tcPr>
          <w:p w14:paraId="5E9F234E"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6.500 </w:t>
            </w:r>
          </w:p>
        </w:tc>
        <w:tc>
          <w:tcPr>
            <w:tcW w:w="597" w:type="pct"/>
            <w:tcBorders>
              <w:top w:val="nil"/>
              <w:left w:val="nil"/>
              <w:bottom w:val="nil"/>
              <w:right w:val="nil"/>
            </w:tcBorders>
            <w:shd w:val="clear" w:color="auto" w:fill="auto"/>
            <w:noWrap/>
            <w:vAlign w:val="center"/>
            <w:hideMark/>
          </w:tcPr>
          <w:p w14:paraId="1A1A4107"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6.273 </w:t>
            </w:r>
          </w:p>
        </w:tc>
        <w:tc>
          <w:tcPr>
            <w:tcW w:w="470" w:type="pct"/>
            <w:tcBorders>
              <w:top w:val="nil"/>
              <w:left w:val="nil"/>
              <w:bottom w:val="nil"/>
              <w:right w:val="nil"/>
            </w:tcBorders>
            <w:shd w:val="clear" w:color="auto" w:fill="auto"/>
            <w:noWrap/>
            <w:vAlign w:val="center"/>
            <w:hideMark/>
          </w:tcPr>
          <w:p w14:paraId="7C3D6D46"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-65,3%</w:t>
            </w:r>
          </w:p>
        </w:tc>
        <w:tc>
          <w:tcPr>
            <w:tcW w:w="497" w:type="pct"/>
            <w:tcBorders>
              <w:top w:val="nil"/>
              <w:left w:val="nil"/>
              <w:bottom w:val="nil"/>
              <w:right w:val="nil"/>
            </w:tcBorders>
            <w:shd w:val="clear" w:color="auto" w:fill="auto"/>
            <w:noWrap/>
            <w:vAlign w:val="center"/>
            <w:hideMark/>
          </w:tcPr>
          <w:p w14:paraId="5B961E6C" w14:textId="77777777" w:rsidR="00A37AC4" w:rsidRPr="003B40B6" w:rsidRDefault="00A37AC4" w:rsidP="00446A14">
            <w:pPr>
              <w:spacing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-64,1%</w:t>
            </w:r>
          </w:p>
        </w:tc>
      </w:tr>
      <w:tr w:rsidR="00A37AC4" w:rsidRPr="000C16E8" w14:paraId="57A6B834" w14:textId="77777777" w:rsidTr="00446A14">
        <w:trPr>
          <w:trHeight w:val="238"/>
        </w:trPr>
        <w:tc>
          <w:tcPr>
            <w:tcW w:w="2340" w:type="pct"/>
            <w:tcBorders>
              <w:top w:val="single" w:sz="8" w:space="0" w:color="9BC2E6"/>
              <w:left w:val="nil"/>
              <w:bottom w:val="single" w:sz="8" w:space="0" w:color="9BC2E6"/>
              <w:right w:val="nil"/>
            </w:tcBorders>
            <w:shd w:val="clear" w:color="auto" w:fill="auto"/>
            <w:noWrap/>
            <w:vAlign w:val="center"/>
            <w:hideMark/>
          </w:tcPr>
          <w:p w14:paraId="66DDD091" w14:textId="77777777" w:rsidR="00A37AC4" w:rsidRPr="003B40B6" w:rsidRDefault="00A37AC4" w:rsidP="00446A14">
            <w:pPr>
              <w:spacing w:after="0" w:line="240" w:lineRule="auto"/>
              <w:rPr>
                <w:rFonts w:ascii="Arial" w:hAnsi="Arial" w:cs="Arial"/>
                <w:b/>
                <w:bCs/>
                <w:color w:val="000000"/>
                <w:sz w:val="16"/>
                <w:szCs w:val="18"/>
                <w:lang w:eastAsia="pt-BR"/>
              </w:rPr>
            </w:pPr>
            <w:r w:rsidRPr="003B40B6">
              <w:rPr>
                <w:rFonts w:ascii="Arial" w:hAnsi="Arial" w:cs="Arial"/>
                <w:b/>
                <w:bCs/>
                <w:color w:val="000000"/>
                <w:sz w:val="16"/>
                <w:szCs w:val="18"/>
                <w:lang w:eastAsia="pt-BR"/>
              </w:rPr>
              <w:t>EBITDA Ajustado</w:t>
            </w:r>
          </w:p>
        </w:tc>
        <w:tc>
          <w:tcPr>
            <w:tcW w:w="524" w:type="pct"/>
            <w:tcBorders>
              <w:top w:val="single" w:sz="8" w:space="0" w:color="9BC2E6"/>
              <w:left w:val="nil"/>
              <w:bottom w:val="single" w:sz="8" w:space="0" w:color="9BC2E6"/>
              <w:right w:val="nil"/>
            </w:tcBorders>
            <w:shd w:val="clear" w:color="auto" w:fill="auto"/>
            <w:noWrap/>
            <w:vAlign w:val="center"/>
            <w:hideMark/>
          </w:tcPr>
          <w:p w14:paraId="66973BBE" w14:textId="77777777" w:rsidR="00A37AC4" w:rsidRPr="003B40B6" w:rsidRDefault="00A37AC4" w:rsidP="00446A14">
            <w:pPr>
              <w:spacing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 xml:space="preserve">   197.904 </w:t>
            </w:r>
          </w:p>
        </w:tc>
        <w:tc>
          <w:tcPr>
            <w:tcW w:w="571" w:type="pct"/>
            <w:tcBorders>
              <w:top w:val="single" w:sz="8" w:space="0" w:color="9BC2E6"/>
              <w:left w:val="nil"/>
              <w:bottom w:val="single" w:sz="8" w:space="0" w:color="9BC2E6"/>
              <w:right w:val="nil"/>
            </w:tcBorders>
            <w:shd w:val="clear" w:color="auto" w:fill="auto"/>
            <w:noWrap/>
            <w:vAlign w:val="center"/>
            <w:hideMark/>
          </w:tcPr>
          <w:p w14:paraId="52DBC588" w14:textId="77777777" w:rsidR="00A37AC4" w:rsidRPr="003B40B6" w:rsidRDefault="00A37AC4" w:rsidP="00446A14">
            <w:pPr>
              <w:spacing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 xml:space="preserve">   190.500 </w:t>
            </w:r>
          </w:p>
        </w:tc>
        <w:tc>
          <w:tcPr>
            <w:tcW w:w="597" w:type="pct"/>
            <w:tcBorders>
              <w:top w:val="single" w:sz="8" w:space="0" w:color="9BC2E6"/>
              <w:left w:val="nil"/>
              <w:bottom w:val="single" w:sz="8" w:space="0" w:color="9BC2E6"/>
              <w:right w:val="nil"/>
            </w:tcBorders>
            <w:shd w:val="clear" w:color="auto" w:fill="auto"/>
            <w:noWrap/>
            <w:vAlign w:val="center"/>
            <w:hideMark/>
          </w:tcPr>
          <w:p w14:paraId="5435E69E" w14:textId="77777777" w:rsidR="00A37AC4" w:rsidRPr="003B40B6" w:rsidRDefault="00A37AC4" w:rsidP="00446A14">
            <w:pPr>
              <w:spacing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 xml:space="preserve">   143.343 </w:t>
            </w:r>
          </w:p>
        </w:tc>
        <w:tc>
          <w:tcPr>
            <w:tcW w:w="470" w:type="pct"/>
            <w:tcBorders>
              <w:top w:val="single" w:sz="8" w:space="0" w:color="9BC2E6"/>
              <w:left w:val="nil"/>
              <w:bottom w:val="single" w:sz="8" w:space="0" w:color="9BC2E6"/>
              <w:right w:val="nil"/>
            </w:tcBorders>
            <w:shd w:val="clear" w:color="auto" w:fill="auto"/>
            <w:noWrap/>
            <w:vAlign w:val="center"/>
            <w:hideMark/>
          </w:tcPr>
          <w:p w14:paraId="32DD3109" w14:textId="77777777" w:rsidR="00A37AC4" w:rsidRPr="003B40B6" w:rsidRDefault="00A37AC4" w:rsidP="00446A14">
            <w:pPr>
              <w:spacing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3,9%</w:t>
            </w:r>
          </w:p>
        </w:tc>
        <w:tc>
          <w:tcPr>
            <w:tcW w:w="497" w:type="pct"/>
            <w:tcBorders>
              <w:top w:val="single" w:sz="8" w:space="0" w:color="9BC2E6"/>
              <w:left w:val="nil"/>
              <w:bottom w:val="single" w:sz="8" w:space="0" w:color="9BC2E6"/>
              <w:right w:val="nil"/>
            </w:tcBorders>
            <w:shd w:val="clear" w:color="auto" w:fill="auto"/>
            <w:noWrap/>
            <w:vAlign w:val="center"/>
            <w:hideMark/>
          </w:tcPr>
          <w:p w14:paraId="6AAF06DA" w14:textId="77777777" w:rsidR="00A37AC4" w:rsidRPr="003B40B6" w:rsidRDefault="00A37AC4" w:rsidP="00446A14">
            <w:pPr>
              <w:spacing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38,1%</w:t>
            </w:r>
          </w:p>
        </w:tc>
      </w:tr>
      <w:tr w:rsidR="00A37AC4" w:rsidRPr="000C16E8" w14:paraId="2C963FFD" w14:textId="77777777" w:rsidTr="00446A14">
        <w:trPr>
          <w:trHeight w:val="238"/>
        </w:trPr>
        <w:tc>
          <w:tcPr>
            <w:tcW w:w="2340" w:type="pct"/>
            <w:tcBorders>
              <w:top w:val="nil"/>
              <w:left w:val="nil"/>
              <w:bottom w:val="single" w:sz="8" w:space="0" w:color="9BC2E6"/>
              <w:right w:val="nil"/>
            </w:tcBorders>
            <w:shd w:val="clear" w:color="auto" w:fill="auto"/>
            <w:noWrap/>
            <w:vAlign w:val="center"/>
            <w:hideMark/>
          </w:tcPr>
          <w:p w14:paraId="31F58905" w14:textId="77777777" w:rsidR="00A37AC4" w:rsidRPr="003B40B6" w:rsidRDefault="00A37AC4" w:rsidP="00446A14">
            <w:pPr>
              <w:spacing w:after="0" w:line="240" w:lineRule="auto"/>
              <w:rPr>
                <w:rFonts w:ascii="Arial" w:hAnsi="Arial" w:cs="Arial"/>
                <w:b/>
                <w:bCs/>
                <w:color w:val="000000"/>
                <w:sz w:val="16"/>
                <w:szCs w:val="18"/>
                <w:lang w:eastAsia="pt-BR"/>
              </w:rPr>
            </w:pPr>
            <w:r w:rsidRPr="003B40B6">
              <w:rPr>
                <w:rFonts w:ascii="Arial" w:hAnsi="Arial" w:cs="Arial"/>
                <w:b/>
                <w:bCs/>
                <w:color w:val="000000"/>
                <w:sz w:val="16"/>
                <w:szCs w:val="18"/>
                <w:lang w:eastAsia="pt-BR"/>
              </w:rPr>
              <w:t>Margem EBITDA</w:t>
            </w:r>
          </w:p>
        </w:tc>
        <w:tc>
          <w:tcPr>
            <w:tcW w:w="524" w:type="pct"/>
            <w:tcBorders>
              <w:top w:val="nil"/>
              <w:left w:val="nil"/>
              <w:bottom w:val="single" w:sz="8" w:space="0" w:color="9BC2E6"/>
              <w:right w:val="nil"/>
            </w:tcBorders>
            <w:shd w:val="clear" w:color="auto" w:fill="auto"/>
            <w:noWrap/>
            <w:vAlign w:val="center"/>
            <w:hideMark/>
          </w:tcPr>
          <w:p w14:paraId="33964E66" w14:textId="77777777" w:rsidR="00A37AC4" w:rsidRPr="003B40B6" w:rsidRDefault="00A37AC4" w:rsidP="00446A14">
            <w:pPr>
              <w:spacing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44,7%</w:t>
            </w:r>
          </w:p>
        </w:tc>
        <w:tc>
          <w:tcPr>
            <w:tcW w:w="571" w:type="pct"/>
            <w:tcBorders>
              <w:top w:val="nil"/>
              <w:left w:val="nil"/>
              <w:bottom w:val="single" w:sz="8" w:space="0" w:color="9BC2E6"/>
              <w:right w:val="nil"/>
            </w:tcBorders>
            <w:shd w:val="clear" w:color="auto" w:fill="auto"/>
            <w:noWrap/>
            <w:vAlign w:val="center"/>
            <w:hideMark/>
          </w:tcPr>
          <w:p w14:paraId="284A60C5" w14:textId="77777777" w:rsidR="00A37AC4" w:rsidRPr="003B40B6" w:rsidRDefault="00A37AC4" w:rsidP="00446A14">
            <w:pPr>
              <w:spacing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50,0%</w:t>
            </w:r>
          </w:p>
        </w:tc>
        <w:tc>
          <w:tcPr>
            <w:tcW w:w="597" w:type="pct"/>
            <w:tcBorders>
              <w:top w:val="nil"/>
              <w:left w:val="nil"/>
              <w:bottom w:val="single" w:sz="8" w:space="0" w:color="9BC2E6"/>
              <w:right w:val="nil"/>
            </w:tcBorders>
            <w:shd w:val="clear" w:color="auto" w:fill="auto"/>
            <w:noWrap/>
            <w:vAlign w:val="center"/>
            <w:hideMark/>
          </w:tcPr>
          <w:p w14:paraId="486F2482" w14:textId="77777777" w:rsidR="00A37AC4" w:rsidRPr="003B40B6" w:rsidRDefault="00A37AC4" w:rsidP="00446A14">
            <w:pPr>
              <w:spacing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52,9%</w:t>
            </w:r>
          </w:p>
        </w:tc>
        <w:tc>
          <w:tcPr>
            <w:tcW w:w="470" w:type="pct"/>
            <w:tcBorders>
              <w:top w:val="nil"/>
              <w:left w:val="nil"/>
              <w:bottom w:val="single" w:sz="8" w:space="0" w:color="9BC2E6"/>
              <w:right w:val="nil"/>
            </w:tcBorders>
            <w:shd w:val="clear" w:color="auto" w:fill="auto"/>
            <w:noWrap/>
            <w:vAlign w:val="center"/>
            <w:hideMark/>
          </w:tcPr>
          <w:p w14:paraId="6AD858E1" w14:textId="77777777" w:rsidR="00A37AC4" w:rsidRPr="003B40B6" w:rsidRDefault="00A37AC4" w:rsidP="00446A14">
            <w:pPr>
              <w:spacing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-10,6%</w:t>
            </w:r>
          </w:p>
        </w:tc>
        <w:tc>
          <w:tcPr>
            <w:tcW w:w="497" w:type="pct"/>
            <w:tcBorders>
              <w:top w:val="nil"/>
              <w:left w:val="nil"/>
              <w:bottom w:val="single" w:sz="8" w:space="0" w:color="9BC2E6"/>
              <w:right w:val="nil"/>
            </w:tcBorders>
            <w:shd w:val="clear" w:color="auto" w:fill="auto"/>
            <w:noWrap/>
            <w:vAlign w:val="center"/>
            <w:hideMark/>
          </w:tcPr>
          <w:p w14:paraId="08D69EC9" w14:textId="77777777" w:rsidR="00A37AC4" w:rsidRPr="003B40B6" w:rsidRDefault="00A37AC4" w:rsidP="00446A14">
            <w:pPr>
              <w:spacing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-15,6%</w:t>
            </w:r>
          </w:p>
        </w:tc>
      </w:tr>
      <w:tr w:rsidR="00A37AC4" w:rsidRPr="000C16E8" w14:paraId="46518D22" w14:textId="77777777" w:rsidTr="00446A14">
        <w:trPr>
          <w:trHeight w:val="238"/>
        </w:trPr>
        <w:tc>
          <w:tcPr>
            <w:tcW w:w="2340" w:type="pct"/>
            <w:tcBorders>
              <w:top w:val="nil"/>
              <w:left w:val="nil"/>
              <w:bottom w:val="single" w:sz="8" w:space="0" w:color="9BC2E6"/>
              <w:right w:val="nil"/>
            </w:tcBorders>
            <w:shd w:val="clear" w:color="auto" w:fill="auto"/>
            <w:noWrap/>
            <w:vAlign w:val="center"/>
            <w:hideMark/>
          </w:tcPr>
          <w:p w14:paraId="1B21A4E1" w14:textId="77777777" w:rsidR="00A37AC4" w:rsidRPr="003B40B6" w:rsidRDefault="00A37AC4" w:rsidP="00446A14">
            <w:pPr>
              <w:spacing w:after="0" w:line="240" w:lineRule="auto"/>
              <w:rPr>
                <w:rFonts w:ascii="Arial" w:hAnsi="Arial" w:cs="Arial"/>
                <w:b/>
                <w:bCs/>
                <w:color w:val="000000"/>
                <w:sz w:val="16"/>
                <w:szCs w:val="18"/>
                <w:lang w:eastAsia="pt-BR"/>
              </w:rPr>
            </w:pPr>
            <w:r w:rsidRPr="003B40B6">
              <w:rPr>
                <w:rFonts w:ascii="Arial" w:hAnsi="Arial" w:cs="Arial"/>
                <w:b/>
                <w:bCs/>
                <w:color w:val="000000"/>
                <w:sz w:val="16"/>
                <w:szCs w:val="18"/>
                <w:lang w:eastAsia="pt-BR"/>
              </w:rPr>
              <w:t xml:space="preserve">Margem EBITDA Ajustado </w:t>
            </w:r>
          </w:p>
        </w:tc>
        <w:tc>
          <w:tcPr>
            <w:tcW w:w="524" w:type="pct"/>
            <w:tcBorders>
              <w:top w:val="nil"/>
              <w:left w:val="nil"/>
              <w:bottom w:val="single" w:sz="8" w:space="0" w:color="9BC2E6"/>
              <w:right w:val="nil"/>
            </w:tcBorders>
            <w:shd w:val="clear" w:color="auto" w:fill="auto"/>
            <w:noWrap/>
            <w:vAlign w:val="center"/>
            <w:hideMark/>
          </w:tcPr>
          <w:p w14:paraId="74BF08A7" w14:textId="77777777" w:rsidR="00A37AC4" w:rsidRPr="003B40B6" w:rsidRDefault="00A37AC4" w:rsidP="00446A14">
            <w:pPr>
              <w:spacing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47,5%</w:t>
            </w:r>
          </w:p>
        </w:tc>
        <w:tc>
          <w:tcPr>
            <w:tcW w:w="571" w:type="pct"/>
            <w:tcBorders>
              <w:top w:val="nil"/>
              <w:left w:val="nil"/>
              <w:bottom w:val="single" w:sz="8" w:space="0" w:color="9BC2E6"/>
              <w:right w:val="nil"/>
            </w:tcBorders>
            <w:shd w:val="clear" w:color="auto" w:fill="auto"/>
            <w:noWrap/>
            <w:vAlign w:val="center"/>
            <w:hideMark/>
          </w:tcPr>
          <w:p w14:paraId="5FBBE25B" w14:textId="77777777" w:rsidR="00A37AC4" w:rsidRPr="003B40B6" w:rsidRDefault="00A37AC4" w:rsidP="00446A14">
            <w:pPr>
              <w:spacing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54,8%</w:t>
            </w:r>
          </w:p>
        </w:tc>
        <w:tc>
          <w:tcPr>
            <w:tcW w:w="597" w:type="pct"/>
            <w:tcBorders>
              <w:top w:val="nil"/>
              <w:left w:val="nil"/>
              <w:bottom w:val="single" w:sz="8" w:space="0" w:color="9BC2E6"/>
              <w:right w:val="nil"/>
            </w:tcBorders>
            <w:shd w:val="clear" w:color="auto" w:fill="auto"/>
            <w:noWrap/>
            <w:vAlign w:val="center"/>
            <w:hideMark/>
          </w:tcPr>
          <w:p w14:paraId="45E7A848" w14:textId="77777777" w:rsidR="00A37AC4" w:rsidRPr="003B40B6" w:rsidRDefault="00A37AC4" w:rsidP="00446A14">
            <w:pPr>
              <w:spacing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50,2%</w:t>
            </w:r>
          </w:p>
        </w:tc>
        <w:tc>
          <w:tcPr>
            <w:tcW w:w="470" w:type="pct"/>
            <w:tcBorders>
              <w:top w:val="nil"/>
              <w:left w:val="nil"/>
              <w:bottom w:val="single" w:sz="8" w:space="0" w:color="9BC2E6"/>
              <w:right w:val="nil"/>
            </w:tcBorders>
            <w:shd w:val="clear" w:color="auto" w:fill="auto"/>
            <w:noWrap/>
            <w:vAlign w:val="center"/>
            <w:hideMark/>
          </w:tcPr>
          <w:p w14:paraId="632FA939" w14:textId="77777777" w:rsidR="00A37AC4" w:rsidRPr="003B40B6" w:rsidRDefault="00A37AC4" w:rsidP="00446A14">
            <w:pPr>
              <w:spacing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-13,3%</w:t>
            </w:r>
          </w:p>
        </w:tc>
        <w:tc>
          <w:tcPr>
            <w:tcW w:w="497" w:type="pct"/>
            <w:tcBorders>
              <w:top w:val="nil"/>
              <w:left w:val="nil"/>
              <w:bottom w:val="single" w:sz="8" w:space="0" w:color="9BC2E6"/>
              <w:right w:val="nil"/>
            </w:tcBorders>
            <w:shd w:val="clear" w:color="auto" w:fill="auto"/>
            <w:noWrap/>
            <w:vAlign w:val="center"/>
            <w:hideMark/>
          </w:tcPr>
          <w:p w14:paraId="367BCC18" w14:textId="77777777" w:rsidR="00A37AC4" w:rsidRPr="003B40B6" w:rsidRDefault="00A37AC4" w:rsidP="00446A14">
            <w:pPr>
              <w:spacing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-5,4%</w:t>
            </w:r>
          </w:p>
        </w:tc>
      </w:tr>
    </w:tbl>
    <w:p w14:paraId="19673B93" w14:textId="77777777" w:rsidR="00A37AC4" w:rsidRPr="00A37AC4" w:rsidRDefault="00A37AC4" w:rsidP="00A37AC4">
      <w:pPr>
        <w:spacing w:after="0"/>
        <w:jc w:val="both"/>
        <w:rPr>
          <w:rFonts w:ascii="Calibri" w:eastAsia="Times New Roman" w:hAnsi="Calibri" w:cs="Times New Roman"/>
          <w:color w:val="002060"/>
          <w:kern w:val="0"/>
          <w14:ligatures w14:val="none"/>
        </w:rPr>
      </w:pPr>
      <w:r w:rsidRPr="00A37AC4">
        <w:rPr>
          <w:rFonts w:ascii="Calibri" w:eastAsia="Times New Roman" w:hAnsi="Calibri" w:cs="Times New Roman"/>
          <w:color w:val="002060"/>
          <w:kern w:val="0"/>
          <w14:ligatures w14:val="none"/>
        </w:rPr>
        <w:t>O EBITDA não é uma medida definida pelas práticas contábeis internacionais (IFRS) e representa o lucro / (prejuízo) antes do pagamento de juros, imposto de renda e contribuição social, depreciação e amortização. A Companhia divulga seu EBITDA Ajustado, conforme Instrução CVM N° 527, de 4 de outubro de 2012, e estes ajustes incluem a adição/exclusão do Resultado de Equivalência Patrimonial, da Depreciação e das Despesas Financeiras originadas  das alterações do CPC 6(R2) / IFRS 16 – Operações de Arrendamento Mercantil e Outros Eventos não Recorrentes que possam vir a ocorrer no curso dos negócios da Companhia, para proporcionar melhores informações sobre sua capacidade de pagamento de dívidas, manutenção de seus investimentos e possibilidade de cobertura de suas necessidades de capital de giro. Ambas as medidas desse agregado (EBITDA e EBITDA Ajustado) não devem ser consideradas como alternativas ao Lucro Operacional e ao Fluxo de Caixa Operacional, quando utilizados como indicador de liquidez. Destaca-se ainda que o EBITDA Ajustado pode não ser comparável com o mesmo indicador divulgado por outras empresas.</w:t>
      </w:r>
    </w:p>
    <w:p w14:paraId="2865380B" w14:textId="77777777" w:rsidR="00A37AC4" w:rsidRPr="00A37AC4" w:rsidRDefault="00A37AC4" w:rsidP="00A37AC4">
      <w:pPr>
        <w:spacing w:after="0"/>
        <w:jc w:val="both"/>
        <w:rPr>
          <w:rFonts w:ascii="Calibri" w:eastAsia="Times New Roman" w:hAnsi="Calibri" w:cs="Times New Roman"/>
          <w:color w:val="002060"/>
          <w:kern w:val="0"/>
          <w14:ligatures w14:val="none"/>
        </w:rPr>
      </w:pPr>
      <w:r w:rsidRPr="00A37AC4">
        <w:rPr>
          <w:rFonts w:ascii="Calibri" w:eastAsia="Times New Roman" w:hAnsi="Calibri" w:cs="Times New Roman"/>
          <w:color w:val="002060"/>
          <w:kern w:val="0"/>
          <w14:ligatures w14:val="none"/>
        </w:rPr>
        <w:t xml:space="preserve">No exercício de 2023, o EBITDA Ajustado da Telebras foi positivo no valor de R$ 197,9 milhões (R$ 190,5 milhões em 2022 e R$ 143,3 milhões em 2021). O crescimento foi de 3,9% e 38,1%, respectivamente, entre os anos comparados. A justificativa para esse aumento foram os seguintes </w:t>
      </w:r>
      <w:r w:rsidRPr="00A37AC4">
        <w:rPr>
          <w:rFonts w:ascii="Calibri" w:eastAsia="Times New Roman" w:hAnsi="Calibri" w:cs="Times New Roman"/>
          <w:color w:val="002060"/>
          <w:kern w:val="0"/>
          <w14:ligatures w14:val="none"/>
        </w:rPr>
        <w:lastRenderedPageBreak/>
        <w:t xml:space="preserve">eventos: incremento da Receita Operacional Líquida (19,8% e 45,9% em relação aos anos de 2022 e 2021, respectivamente); </w:t>
      </w:r>
      <w:proofErr w:type="spellStart"/>
      <w:r w:rsidRPr="00A37AC4">
        <w:rPr>
          <w:rFonts w:ascii="Calibri" w:eastAsia="Times New Roman" w:hAnsi="Calibri" w:cs="Times New Roman"/>
          <w:color w:val="002060"/>
          <w:kern w:val="0"/>
          <w14:ligatures w14:val="none"/>
        </w:rPr>
        <w:t>ii</w:t>
      </w:r>
      <w:proofErr w:type="spellEnd"/>
      <w:r w:rsidRPr="00A37AC4">
        <w:rPr>
          <w:rFonts w:ascii="Calibri" w:eastAsia="Times New Roman" w:hAnsi="Calibri" w:cs="Times New Roman"/>
          <w:color w:val="002060"/>
          <w:kern w:val="0"/>
          <w14:ligatures w14:val="none"/>
        </w:rPr>
        <w:t xml:space="preserve">) recebimento/reconhecimento de Subvenções do Orçamento Federal para pagamento dos gastos com pessoal, outros custeios; e </w:t>
      </w:r>
      <w:proofErr w:type="spellStart"/>
      <w:r w:rsidRPr="00A37AC4">
        <w:rPr>
          <w:rFonts w:ascii="Calibri" w:eastAsia="Times New Roman" w:hAnsi="Calibri" w:cs="Times New Roman"/>
          <w:color w:val="002060"/>
          <w:kern w:val="0"/>
          <w14:ligatures w14:val="none"/>
        </w:rPr>
        <w:t>iii</w:t>
      </w:r>
      <w:proofErr w:type="spellEnd"/>
      <w:r w:rsidRPr="00A37AC4">
        <w:rPr>
          <w:rFonts w:ascii="Calibri" w:eastAsia="Times New Roman" w:hAnsi="Calibri" w:cs="Times New Roman"/>
          <w:color w:val="002060"/>
          <w:kern w:val="0"/>
          <w14:ligatures w14:val="none"/>
        </w:rPr>
        <w:t xml:space="preserve">) aumento dos Custos e Despesas Operacionais em 19,2,2% e 34,9%, em relação aos anos de 2022 e 2021, com percentuais inferiores ao crescimento da receita nos mesmos períodos.  </w:t>
      </w:r>
    </w:p>
    <w:p w14:paraId="4E23B5F8" w14:textId="77777777" w:rsidR="00A37AC4" w:rsidRPr="00A37AC4" w:rsidRDefault="00A37AC4" w:rsidP="00A37AC4">
      <w:pPr>
        <w:spacing w:after="0"/>
        <w:jc w:val="both"/>
        <w:rPr>
          <w:rFonts w:ascii="Calibri" w:eastAsia="Times New Roman" w:hAnsi="Calibri" w:cs="Times New Roman"/>
          <w:color w:val="002060"/>
          <w:kern w:val="0"/>
          <w14:ligatures w14:val="none"/>
        </w:rPr>
      </w:pPr>
      <w:r w:rsidRPr="00A37AC4">
        <w:rPr>
          <w:rFonts w:ascii="Calibri" w:eastAsia="Times New Roman" w:hAnsi="Calibri" w:cs="Times New Roman"/>
          <w:color w:val="002060"/>
          <w:kern w:val="0"/>
          <w14:ligatures w14:val="none"/>
        </w:rPr>
        <w:t>A Margem EBITDA Ajustada em 2023 foi de 47,5% (54,8% em 2022 e 50,2% em 2021), aumento de 0,2% e 9,4%, respectivamente.</w:t>
      </w:r>
    </w:p>
    <w:p w14:paraId="4B08B8DE" w14:textId="77777777" w:rsidR="00A37AC4" w:rsidRDefault="00A37AC4" w:rsidP="00A37AC4">
      <w:pPr>
        <w:spacing w:after="0"/>
        <w:jc w:val="both"/>
        <w:rPr>
          <w:rFonts w:ascii="Calibri" w:eastAsia="Times New Roman" w:hAnsi="Calibri" w:cs="Times New Roman"/>
          <w:color w:val="002060"/>
          <w:kern w:val="0"/>
          <w14:ligatures w14:val="none"/>
        </w:rPr>
      </w:pPr>
      <w:r w:rsidRPr="00A37AC4">
        <w:rPr>
          <w:rFonts w:ascii="Calibri" w:eastAsia="Times New Roman" w:hAnsi="Calibri" w:cs="Times New Roman"/>
          <w:color w:val="002060"/>
          <w:kern w:val="0"/>
          <w14:ligatures w14:val="none"/>
        </w:rPr>
        <w:t>Desconsiderando o efeito das Subvenções Orçamentárias Recebidas (R$ 240,2 milhões em 2023 – R$ 241,5 milhões em 2022 e R$ 216,5 milhões em 2021) do cálculo do EBITDA Ajustado, teríamos um EBITDA negativo em 2023 de R$ 42,3 milhões (R$ 51,0 milhões negativo em 2022 e R$ 73,2 milhões em 2021), e uma Margem EBITIDA Ajustada de -10,7%, -14,7% e -25,6%, respectivamente.</w:t>
      </w:r>
    </w:p>
    <w:p w14:paraId="7CAC9E6A" w14:textId="2EE575B5" w:rsidR="00A37AC4" w:rsidRDefault="00A37AC4" w:rsidP="00A37AC4">
      <w:pPr>
        <w:spacing w:after="0"/>
        <w:jc w:val="both"/>
        <w:rPr>
          <w:rFonts w:ascii="Calibri" w:eastAsia="Times New Roman" w:hAnsi="Calibri" w:cs="Times New Roman"/>
          <w:b/>
          <w:bCs/>
          <w:iCs/>
          <w:color w:val="002060"/>
          <w:kern w:val="0"/>
          <w14:ligatures w14:val="none"/>
        </w:rPr>
      </w:pPr>
      <w:bookmarkStart w:id="18" w:name="_Toc161319441"/>
      <w:r>
        <w:rPr>
          <w:rFonts w:ascii="Calibri" w:eastAsia="Times New Roman" w:hAnsi="Calibri" w:cs="Times New Roman"/>
          <w:b/>
          <w:bCs/>
          <w:iCs/>
          <w:color w:val="002060"/>
          <w:kern w:val="0"/>
          <w14:ligatures w14:val="none"/>
        </w:rPr>
        <w:t xml:space="preserve">3.3. </w:t>
      </w:r>
      <w:r w:rsidRPr="00A37AC4">
        <w:rPr>
          <w:rFonts w:ascii="Calibri" w:eastAsia="Times New Roman" w:hAnsi="Calibri" w:cs="Times New Roman"/>
          <w:b/>
          <w:bCs/>
          <w:iCs/>
          <w:color w:val="002060"/>
          <w:kern w:val="0"/>
          <w14:ligatures w14:val="none"/>
        </w:rPr>
        <w:t>Execução Orçamentária</w:t>
      </w:r>
      <w:bookmarkEnd w:id="18"/>
    </w:p>
    <w:p w14:paraId="1A1B05F2" w14:textId="77777777" w:rsidR="00A37AC4" w:rsidRPr="00A37AC4" w:rsidRDefault="00A37AC4" w:rsidP="00A37AC4">
      <w:pPr>
        <w:spacing w:after="0"/>
        <w:jc w:val="both"/>
        <w:rPr>
          <w:rFonts w:ascii="Calibri" w:eastAsia="Times New Roman" w:hAnsi="Calibri" w:cs="Times New Roman"/>
          <w:iCs/>
          <w:color w:val="002060"/>
          <w:kern w:val="0"/>
          <w14:ligatures w14:val="none"/>
        </w:rPr>
      </w:pPr>
      <w:r w:rsidRPr="00A37AC4">
        <w:rPr>
          <w:rFonts w:ascii="Calibri" w:eastAsia="Times New Roman" w:hAnsi="Calibri" w:cs="Times New Roman"/>
          <w:iCs/>
          <w:color w:val="002060"/>
          <w:kern w:val="0"/>
          <w14:ligatures w14:val="none"/>
        </w:rPr>
        <w:t>Em 2023, com a continuidade da Telebras no Orçamento Fiscal e da Seguridade Social da União, as operações foram registradas nos sistemas governamentais SIAFI e SIOP, conforme a Lei nº 14.535/23. Os dados, compatíveis com o SIAFI, foram extraídos do portal Siga-Brasil.</w:t>
      </w:r>
    </w:p>
    <w:p w14:paraId="19BFE5B0" w14:textId="77777777" w:rsidR="00A37AC4" w:rsidRPr="00A37AC4" w:rsidRDefault="00A37AC4" w:rsidP="00A37AC4">
      <w:pPr>
        <w:spacing w:after="0"/>
        <w:jc w:val="both"/>
        <w:rPr>
          <w:rFonts w:ascii="Calibri" w:eastAsia="Times New Roman" w:hAnsi="Calibri" w:cs="Times New Roman"/>
          <w:iCs/>
          <w:color w:val="002060"/>
          <w:kern w:val="0"/>
          <w14:ligatures w14:val="none"/>
        </w:rPr>
      </w:pPr>
      <w:r w:rsidRPr="00A37AC4">
        <w:rPr>
          <w:rFonts w:ascii="Calibri" w:eastAsia="Times New Roman" w:hAnsi="Calibri" w:cs="Times New Roman"/>
          <w:iCs/>
          <w:color w:val="002060"/>
          <w:kern w:val="0"/>
          <w14:ligatures w14:val="none"/>
        </w:rPr>
        <w:t>A execução orçamentária neste exercício foi viabilizada pelos valores aprovados em 17 de janeiro de 2023 na Lei nº 14.535 (LOA 2023) e suas alterações, e os inscritos em restos a pagar não processados e processados.</w:t>
      </w:r>
    </w:p>
    <w:p w14:paraId="4B045667" w14:textId="0E302908" w:rsidR="00A37AC4" w:rsidRDefault="00A37AC4" w:rsidP="00A37AC4">
      <w:pPr>
        <w:spacing w:after="0"/>
        <w:jc w:val="both"/>
        <w:rPr>
          <w:rFonts w:ascii="Calibri" w:eastAsia="Times New Roman" w:hAnsi="Calibri" w:cs="Times New Roman"/>
          <w:b/>
          <w:bCs/>
          <w:color w:val="002060"/>
          <w:kern w:val="0"/>
          <w14:ligatures w14:val="none"/>
        </w:rPr>
      </w:pPr>
      <w:bookmarkStart w:id="19" w:name="_Toc161319442"/>
      <w:r>
        <w:rPr>
          <w:rFonts w:ascii="Calibri" w:eastAsia="Times New Roman" w:hAnsi="Calibri" w:cs="Times New Roman"/>
          <w:b/>
          <w:bCs/>
          <w:color w:val="002060"/>
          <w:kern w:val="0"/>
          <w14:ligatures w14:val="none"/>
        </w:rPr>
        <w:t xml:space="preserve">3.2.1. </w:t>
      </w:r>
      <w:r w:rsidRPr="00A37AC4">
        <w:rPr>
          <w:rFonts w:ascii="Calibri" w:eastAsia="Times New Roman" w:hAnsi="Calibri" w:cs="Times New Roman"/>
          <w:b/>
          <w:bCs/>
          <w:color w:val="002060"/>
          <w:kern w:val="0"/>
          <w14:ligatures w14:val="none"/>
        </w:rPr>
        <w:t>Execução da Receita Pública por Categoria Econômica</w:t>
      </w:r>
      <w:bookmarkEnd w:id="19"/>
    </w:p>
    <w:p w14:paraId="760334B2" w14:textId="77777777" w:rsidR="00A37AC4" w:rsidRPr="00A37AC4" w:rsidRDefault="00A37AC4" w:rsidP="00A37AC4">
      <w:pPr>
        <w:spacing w:after="0"/>
        <w:jc w:val="both"/>
        <w:rPr>
          <w:rFonts w:ascii="Calibri" w:eastAsia="Times New Roman" w:hAnsi="Calibri" w:cs="Times New Roman"/>
          <w:color w:val="002060"/>
          <w:kern w:val="0"/>
          <w14:ligatures w14:val="none"/>
        </w:rPr>
      </w:pPr>
      <w:r w:rsidRPr="00A37AC4">
        <w:rPr>
          <w:rFonts w:ascii="Calibri" w:eastAsia="Times New Roman" w:hAnsi="Calibri" w:cs="Times New Roman"/>
          <w:color w:val="002060"/>
          <w:kern w:val="0"/>
          <w14:ligatures w14:val="none"/>
        </w:rPr>
        <w:t>A receita líquida arrecadada foi de R$ 463,5 milhões, proveniente principalmente da prestação de serviço ao Governo e ao setor privado, além de receitas financeiras do superávit da Fundação Sistel de Seguridade Social (Sistel) que administra os planos de previdência dos colaboradores efetivos da Telebras. Em acordo firmado entre a Telebras e a Sistel, esta deveria realizar repasses, mensalmente, de valores decorrentes de superávit financeiro dos Planos “PBS Telebras”, “PBS A” e "</w:t>
      </w:r>
      <w:proofErr w:type="spellStart"/>
      <w:r w:rsidRPr="00A37AC4">
        <w:rPr>
          <w:rFonts w:ascii="Calibri" w:eastAsia="Times New Roman" w:hAnsi="Calibri" w:cs="Times New Roman"/>
          <w:color w:val="002060"/>
          <w:kern w:val="0"/>
          <w14:ligatures w14:val="none"/>
        </w:rPr>
        <w:t>Telebrasprev</w:t>
      </w:r>
      <w:proofErr w:type="spellEnd"/>
      <w:r w:rsidRPr="00A37AC4">
        <w:rPr>
          <w:rFonts w:ascii="Calibri" w:eastAsia="Times New Roman" w:hAnsi="Calibri" w:cs="Times New Roman"/>
          <w:color w:val="002060"/>
          <w:kern w:val="0"/>
          <w14:ligatures w14:val="none"/>
        </w:rPr>
        <w:t>". Porém, em relação ao Plano PBS Telebras, referente aos exercícios de 2014 e 2015, esses caíram em exigências para adequação de proposta pela PREVIC, sendo autorizado apenas em dezembro de 2023, quando arrecadamos a primeira parcela.</w:t>
      </w:r>
    </w:p>
    <w:p w14:paraId="13DF3BBB" w14:textId="32CDC088" w:rsidR="00A37AC4" w:rsidRPr="00874AA4" w:rsidRDefault="00A37AC4" w:rsidP="00A37AC4">
      <w:pPr>
        <w:spacing w:after="0"/>
        <w:jc w:val="both"/>
        <w:rPr>
          <w:rFonts w:ascii="Calibri" w:eastAsia="Times New Roman" w:hAnsi="Calibri" w:cs="Times New Roman"/>
          <w:color w:val="002060"/>
          <w:kern w:val="0"/>
          <w14:ligatures w14:val="none"/>
        </w:rPr>
      </w:pPr>
      <w:r w:rsidRPr="00A37AC4">
        <w:rPr>
          <w:rFonts w:ascii="Calibri" w:eastAsia="Times New Roman" w:hAnsi="Calibri" w:cs="Times New Roman"/>
          <w:color w:val="002060"/>
          <w:kern w:val="0"/>
          <w14:ligatures w14:val="none"/>
        </w:rPr>
        <w:t>A arrecadação foi impactada pela limitação financeira de clientes federais, especialmente o GESAC, não atingindo as expectativas.</w:t>
      </w:r>
    </w:p>
    <w:p w14:paraId="1132BD3F" w14:textId="2A2C20DD" w:rsidR="00A37AC4" w:rsidRPr="00A37AC4" w:rsidRDefault="00A37AC4" w:rsidP="00A37AC4">
      <w:pPr>
        <w:spacing w:after="0"/>
        <w:jc w:val="both"/>
        <w:rPr>
          <w:rFonts w:ascii="Calibri" w:eastAsia="Times New Roman" w:hAnsi="Calibri" w:cs="Times New Roman"/>
          <w:b/>
          <w:bCs/>
          <w:color w:val="002060"/>
          <w:kern w:val="0"/>
          <w14:ligatures w14:val="none"/>
        </w:rPr>
      </w:pPr>
      <w:r>
        <w:rPr>
          <w:noProof/>
          <w:lang w:eastAsia="pt-BR"/>
        </w:rPr>
        <w:drawing>
          <wp:inline distT="0" distB="0" distL="0" distR="0" wp14:anchorId="79F59247" wp14:editId="5CF99F62">
            <wp:extent cx="4905375" cy="885825"/>
            <wp:effectExtent l="0" t="0" r="9525" b="9525"/>
            <wp:docPr id="2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5375" cy="8858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5460AFB" w14:textId="77777777" w:rsidR="00A37AC4" w:rsidRPr="002E3EC5" w:rsidRDefault="00A37AC4" w:rsidP="00A37AC4">
      <w:pPr>
        <w:pStyle w:val="Legenda"/>
        <w:ind w:left="0" w:firstLine="0"/>
        <w:rPr>
          <w:rFonts w:ascii="Calibri" w:hAnsi="Calibri"/>
        </w:rPr>
      </w:pPr>
      <w:bookmarkStart w:id="20" w:name="_Toc161319860"/>
      <w:r w:rsidRPr="002E3EC5">
        <w:t xml:space="preserve">Tabela </w:t>
      </w:r>
      <w:r>
        <w:fldChar w:fldCharType="begin"/>
      </w:r>
      <w:r>
        <w:instrText xml:space="preserve"> STYLEREF 1 \s </w:instrText>
      </w:r>
      <w:r>
        <w:fldChar w:fldCharType="separate"/>
      </w:r>
      <w:r>
        <w:rPr>
          <w:noProof/>
        </w:rPr>
        <w:t>3</w:t>
      </w:r>
      <w:r>
        <w:rPr>
          <w:noProof/>
        </w:rPr>
        <w:fldChar w:fldCharType="end"/>
      </w:r>
      <w:r w:rsidRPr="002E3EC5">
        <w:noBreakHyphen/>
      </w:r>
      <w:r>
        <w:fldChar w:fldCharType="begin"/>
      </w:r>
      <w:r>
        <w:instrText xml:space="preserve"> SEQ Tabela \* ARABIC \s 1 </w:instrText>
      </w:r>
      <w:r>
        <w:fldChar w:fldCharType="separate"/>
      </w:r>
      <w:r>
        <w:rPr>
          <w:noProof/>
        </w:rPr>
        <w:t>1</w:t>
      </w:r>
      <w:r>
        <w:rPr>
          <w:noProof/>
        </w:rPr>
        <w:fldChar w:fldCharType="end"/>
      </w:r>
      <w:r w:rsidRPr="002E3EC5">
        <w:t xml:space="preserve"> Receita Prevista x Arrecadada</w:t>
      </w:r>
      <w:bookmarkEnd w:id="20"/>
    </w:p>
    <w:p w14:paraId="6BAEA49A" w14:textId="4F2BD4F9" w:rsidR="006B22F2" w:rsidRPr="006B22F2" w:rsidRDefault="006B22F2" w:rsidP="006B22F2">
      <w:pPr>
        <w:spacing w:after="0"/>
        <w:jc w:val="both"/>
        <w:rPr>
          <w:rFonts w:ascii="Calibri" w:eastAsia="Times New Roman" w:hAnsi="Calibri" w:cs="Times New Roman"/>
          <w:b/>
          <w:bCs/>
          <w:color w:val="002060"/>
          <w:kern w:val="0"/>
          <w14:ligatures w14:val="none"/>
        </w:rPr>
      </w:pPr>
      <w:bookmarkStart w:id="21" w:name="_Toc161319443"/>
      <w:r>
        <w:rPr>
          <w:rFonts w:ascii="Calibri" w:eastAsia="Times New Roman" w:hAnsi="Calibri" w:cs="Times New Roman"/>
          <w:b/>
          <w:bCs/>
          <w:color w:val="002060"/>
          <w:kern w:val="0"/>
          <w14:ligatures w14:val="none"/>
        </w:rPr>
        <w:t xml:space="preserve">3.3.2. </w:t>
      </w:r>
      <w:r w:rsidRPr="006B22F2">
        <w:rPr>
          <w:rFonts w:ascii="Calibri" w:eastAsia="Times New Roman" w:hAnsi="Calibri" w:cs="Times New Roman"/>
          <w:b/>
          <w:bCs/>
          <w:color w:val="002060"/>
          <w:kern w:val="0"/>
          <w14:ligatures w14:val="none"/>
        </w:rPr>
        <w:t>Execução da Despesa Pública por Categoria Econômica</w:t>
      </w:r>
      <w:bookmarkEnd w:id="21"/>
    </w:p>
    <w:p w14:paraId="25ED8934" w14:textId="77777777" w:rsidR="006B22F2" w:rsidRPr="006B22F2" w:rsidRDefault="006B22F2" w:rsidP="006B22F2">
      <w:pPr>
        <w:spacing w:after="0"/>
        <w:jc w:val="both"/>
        <w:rPr>
          <w:rFonts w:ascii="Calibri" w:eastAsia="Times New Roman" w:hAnsi="Calibri" w:cs="Times New Roman"/>
          <w:color w:val="002060"/>
          <w:kern w:val="0"/>
          <w14:ligatures w14:val="none"/>
        </w:rPr>
      </w:pPr>
      <w:r w:rsidRPr="006B22F2">
        <w:rPr>
          <w:rFonts w:ascii="Calibri" w:eastAsia="Times New Roman" w:hAnsi="Calibri" w:cs="Times New Roman"/>
          <w:color w:val="002060"/>
          <w:kern w:val="0"/>
          <w14:ligatures w14:val="none"/>
        </w:rPr>
        <w:t>Primeiramente, faz-se necessário explicar o que é executar o Orçamento Público para as unidades orçamentárias inseridas no Orçamento Fiscal. Executar o orçamento é realizar as despesas públicas nele previstas, seguindo à risca os três estágios da execução das despesas expressos na Lei nº 4.320/64: empenho, liquidação e pagamento. Abaixo estão detalhadas as despesas por categoria econômica:</w:t>
      </w:r>
    </w:p>
    <w:p w14:paraId="64419F4A" w14:textId="4488C4CE" w:rsidR="006B22F2" w:rsidRDefault="006B22F2" w:rsidP="006C6302">
      <w:pPr>
        <w:spacing w:after="0"/>
        <w:jc w:val="both"/>
        <w:rPr>
          <w:rFonts w:ascii="Calibri" w:eastAsia="Times New Roman" w:hAnsi="Calibri" w:cs="Times New Roman"/>
          <w:color w:val="002060"/>
          <w:kern w:val="0"/>
          <w14:ligatures w14:val="none"/>
        </w:rPr>
      </w:pPr>
      <w:r>
        <w:rPr>
          <w:noProof/>
          <w:lang w:eastAsia="pt-BR"/>
        </w:rPr>
        <w:lastRenderedPageBreak/>
        <w:drawing>
          <wp:inline distT="0" distB="0" distL="0" distR="0" wp14:anchorId="4DF2F464" wp14:editId="0013050E">
            <wp:extent cx="5400040" cy="1448225"/>
            <wp:effectExtent l="0" t="0" r="0" b="0"/>
            <wp:docPr id="3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1448225"/>
                    </a:xfrm>
                    <a:prstGeom prst="rect">
                      <a:avLst/>
                    </a:prstGeom>
                    <a:noFill/>
                  </pic:spPr>
                </pic:pic>
              </a:graphicData>
            </a:graphic>
          </wp:inline>
        </w:drawing>
      </w:r>
    </w:p>
    <w:p w14:paraId="3A6B82C9" w14:textId="77777777" w:rsidR="006B22F2" w:rsidRDefault="006B22F2" w:rsidP="006B22F2">
      <w:pPr>
        <w:pStyle w:val="Legenda"/>
      </w:pPr>
      <w:bookmarkStart w:id="22" w:name="_Toc161319861"/>
      <w:r w:rsidRPr="002E3EC5">
        <w:t xml:space="preserve">Tabela </w:t>
      </w:r>
      <w:r>
        <w:fldChar w:fldCharType="begin"/>
      </w:r>
      <w:r>
        <w:instrText xml:space="preserve"> STYLEREF 1 \s </w:instrText>
      </w:r>
      <w:r>
        <w:fldChar w:fldCharType="separate"/>
      </w:r>
      <w:r>
        <w:rPr>
          <w:noProof/>
        </w:rPr>
        <w:t>3</w:t>
      </w:r>
      <w:r>
        <w:rPr>
          <w:noProof/>
        </w:rPr>
        <w:fldChar w:fldCharType="end"/>
      </w:r>
      <w:r w:rsidRPr="002E3EC5">
        <w:noBreakHyphen/>
      </w:r>
      <w:r>
        <w:fldChar w:fldCharType="begin"/>
      </w:r>
      <w:r>
        <w:instrText xml:space="preserve"> SEQ Tabela \* ARABIC \s 1 </w:instrText>
      </w:r>
      <w:r>
        <w:fldChar w:fldCharType="separate"/>
      </w:r>
      <w:r>
        <w:rPr>
          <w:noProof/>
        </w:rPr>
        <w:t>2</w:t>
      </w:r>
      <w:r>
        <w:rPr>
          <w:noProof/>
        </w:rPr>
        <w:fldChar w:fldCharType="end"/>
      </w:r>
      <w:r w:rsidRPr="002E3EC5">
        <w:t xml:space="preserve"> </w:t>
      </w:r>
      <w:r>
        <w:t>Execução da Despesa por Categoria Econômica</w:t>
      </w:r>
      <w:bookmarkEnd w:id="22"/>
    </w:p>
    <w:p w14:paraId="65604CB4" w14:textId="1A5FFDA5" w:rsidR="006B22F2" w:rsidRDefault="006B22F2" w:rsidP="006C6302">
      <w:pPr>
        <w:spacing w:after="0"/>
        <w:jc w:val="both"/>
        <w:rPr>
          <w:rFonts w:ascii="Calibri" w:eastAsia="Times New Roman" w:hAnsi="Calibri" w:cs="Times New Roman"/>
          <w:color w:val="002060"/>
          <w:kern w:val="0"/>
          <w14:ligatures w14:val="none"/>
        </w:rPr>
      </w:pPr>
      <w:r w:rsidRPr="006B22F2">
        <w:rPr>
          <w:rFonts w:ascii="Calibri" w:eastAsia="Times New Roman" w:hAnsi="Calibri" w:cs="Times New Roman"/>
          <w:color w:val="002060"/>
          <w:kern w:val="0"/>
          <w14:ligatures w14:val="none"/>
        </w:rPr>
        <w:t xml:space="preserve">Para o exercício de 2023, a Telebras foi autorizada a executar R$ 873,79 milhões de recursos orçamentários. No ano, a empresa empenhou R$ 606,95 milhões, que representam 99,07% do orçamento disponível. O empenho é o primeiro estágio da despesa e pode ser conceituado como sendo o ato emanado de autoridade competente que cria para o Estado a obrigação de pagamento, pendente, ou não, de implemento de condição. Do valor total empenhado de R$ 606,95 milhões, foram pagos R$ 529,59 milhões. Observa-se que uma parcela significativa dos gastos está relacionada às Despesas Correntes que visam a manutenção e o funcionamento dos serviços públicos em geral de atendimento às políticas públicas. </w:t>
      </w:r>
    </w:p>
    <w:p w14:paraId="3D870FE3" w14:textId="1726B6D5" w:rsidR="006B22F2" w:rsidRDefault="006B22F2" w:rsidP="006C6302">
      <w:pPr>
        <w:spacing w:after="0"/>
        <w:jc w:val="both"/>
        <w:rPr>
          <w:rFonts w:ascii="Calibri" w:eastAsia="Times New Roman" w:hAnsi="Calibri" w:cs="Times New Roman"/>
          <w:color w:val="002060"/>
          <w:kern w:val="0"/>
          <w14:ligatures w14:val="none"/>
        </w:rPr>
      </w:pPr>
      <w:r>
        <w:rPr>
          <w:rFonts w:eastAsia="Calibri" w:cs="Arial"/>
          <w:noProof/>
          <w:lang w:eastAsia="pt-BR"/>
        </w:rPr>
        <w:drawing>
          <wp:inline distT="0" distB="0" distL="0" distR="0" wp14:anchorId="4340D488" wp14:editId="0060B414">
            <wp:extent cx="5400040" cy="4955133"/>
            <wp:effectExtent l="0" t="0" r="0" b="0"/>
            <wp:docPr id="10" name="Imagem 10" descr="Interface gráfica do usuári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Interface gráfica do usuário, Tabela&#10;&#10;Descrição gerada automa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4955133"/>
                    </a:xfrm>
                    <a:prstGeom prst="rect">
                      <a:avLst/>
                    </a:prstGeom>
                    <a:noFill/>
                  </pic:spPr>
                </pic:pic>
              </a:graphicData>
            </a:graphic>
          </wp:inline>
        </w:drawing>
      </w:r>
    </w:p>
    <w:p w14:paraId="0E4AE47F" w14:textId="6A2CA2CB" w:rsidR="006B22F2" w:rsidRDefault="006B22F2" w:rsidP="006B22F2">
      <w:pPr>
        <w:pStyle w:val="Legenda"/>
        <w:ind w:left="0" w:firstLine="0"/>
      </w:pPr>
      <w:bookmarkStart w:id="23" w:name="_Toc161319862"/>
      <w:r w:rsidRPr="002E3EC5">
        <w:t xml:space="preserve">Tabela </w:t>
      </w:r>
      <w:r>
        <w:fldChar w:fldCharType="begin"/>
      </w:r>
      <w:r>
        <w:instrText xml:space="preserve"> STYLEREF 1 \s </w:instrText>
      </w:r>
      <w:r>
        <w:fldChar w:fldCharType="separate"/>
      </w:r>
      <w:r>
        <w:t>3</w:t>
      </w:r>
      <w:r>
        <w:fldChar w:fldCharType="end"/>
      </w:r>
      <w:r w:rsidRPr="002E3EC5">
        <w:noBreakHyphen/>
      </w:r>
      <w:r>
        <w:fldChar w:fldCharType="begin"/>
      </w:r>
      <w:r>
        <w:instrText xml:space="preserve"> SEQ Tabela \* ARABIC \s 1 </w:instrText>
      </w:r>
      <w:r>
        <w:fldChar w:fldCharType="separate"/>
      </w:r>
      <w:r>
        <w:t>3</w:t>
      </w:r>
      <w:r>
        <w:fldChar w:fldCharType="end"/>
      </w:r>
      <w:r w:rsidRPr="002E3EC5">
        <w:t xml:space="preserve"> </w:t>
      </w:r>
      <w:r>
        <w:t>Ações Orçamentárias de 2023</w:t>
      </w:r>
      <w:bookmarkEnd w:id="23"/>
    </w:p>
    <w:p w14:paraId="7C843756" w14:textId="77777777" w:rsidR="006B22F2" w:rsidRDefault="006B22F2" w:rsidP="006B22F2"/>
    <w:p w14:paraId="48CD6265" w14:textId="77777777" w:rsidR="00874AA4" w:rsidRDefault="006B22F2" w:rsidP="00874AA4">
      <w:pPr>
        <w:tabs>
          <w:tab w:val="left" w:pos="851"/>
        </w:tabs>
        <w:spacing w:after="0" w:line="240" w:lineRule="auto"/>
        <w:jc w:val="both"/>
        <w:rPr>
          <w:rFonts w:ascii="Calibri" w:eastAsia="Calibri" w:hAnsi="Calibri" w:cs="Arial"/>
          <w:color w:val="002060"/>
          <w:kern w:val="0"/>
          <w14:ligatures w14:val="none"/>
        </w:rPr>
      </w:pPr>
      <w:r w:rsidRPr="006B22F2">
        <w:rPr>
          <w:rFonts w:ascii="Calibri" w:eastAsia="Calibri" w:hAnsi="Calibri" w:cs="Arial"/>
          <w:color w:val="002060"/>
          <w:kern w:val="0"/>
          <w14:ligatures w14:val="none"/>
        </w:rPr>
        <w:t xml:space="preserve">As ações orçamentárias utilizadas em 2023 foram: </w:t>
      </w:r>
    </w:p>
    <w:p w14:paraId="01AFDBCE" w14:textId="5F7C90D7" w:rsidR="006B22F2" w:rsidRPr="006B22F2" w:rsidRDefault="006B22F2" w:rsidP="00874AA4">
      <w:pPr>
        <w:tabs>
          <w:tab w:val="left" w:pos="851"/>
        </w:tabs>
        <w:spacing w:after="0" w:line="240" w:lineRule="auto"/>
        <w:jc w:val="both"/>
        <w:rPr>
          <w:rFonts w:ascii="Calibri" w:eastAsia="Calibri" w:hAnsi="Calibri" w:cs="Arial"/>
          <w:color w:val="002060"/>
          <w:kern w:val="0"/>
          <w14:ligatures w14:val="none"/>
        </w:rPr>
      </w:pPr>
      <w:r w:rsidRPr="006B22F2">
        <w:rPr>
          <w:rFonts w:ascii="Calibri" w:eastAsia="Calibri" w:hAnsi="Calibri" w:cs="Arial"/>
          <w:b/>
          <w:color w:val="002060"/>
          <w:kern w:val="0"/>
          <w14:ligatures w14:val="none"/>
        </w:rPr>
        <w:t>Ação 15UI</w:t>
      </w:r>
      <w:r w:rsidRPr="006B22F2">
        <w:rPr>
          <w:rFonts w:ascii="Calibri" w:eastAsia="Calibri" w:hAnsi="Calibri" w:cs="Arial"/>
          <w:color w:val="002060"/>
          <w:kern w:val="0"/>
          <w14:ligatures w14:val="none"/>
        </w:rPr>
        <w:t xml:space="preserve">: Implantação da Infraestrutura para a Prestação de Serviço de Comunicação de Dados para Inclusão Digital. Visa proporcionar o acesso à Internet em banda larga aos cidadãos, instituições, Governo, entidades da sociedade civil e empresas. Expandir a cobertura do serviço, elevar a velocidade de transmissão e reduzir o preço final para o consumidor. Para isso, o Governo Federal instituiu o </w:t>
      </w:r>
      <w:r w:rsidRPr="006B22F2">
        <w:rPr>
          <w:rFonts w:ascii="Calibri" w:eastAsia="Calibri" w:hAnsi="Calibri" w:cs="Arial"/>
          <w:i/>
          <w:color w:val="002060"/>
          <w:kern w:val="0"/>
          <w14:ligatures w14:val="none"/>
        </w:rPr>
        <w:t>Programa Conecta Brasil</w:t>
      </w:r>
      <w:r w:rsidRPr="006B22F2">
        <w:rPr>
          <w:rFonts w:ascii="Calibri" w:eastAsia="Calibri" w:hAnsi="Calibri" w:cs="Arial"/>
          <w:color w:val="002060"/>
          <w:kern w:val="0"/>
          <w14:ligatures w14:val="none"/>
        </w:rPr>
        <w:t>, mediante o Decreto nº 9.612, de 17 de dezembro de 2018. O principal objetivo é massificar o acesso à Internet em banda larga para os cidadãos, instituições do Governo, entidades da sociedade civil e empresas.</w:t>
      </w:r>
    </w:p>
    <w:p w14:paraId="52902761" w14:textId="77777777" w:rsidR="006B22F2" w:rsidRPr="006B22F2" w:rsidRDefault="006B22F2" w:rsidP="00874AA4">
      <w:pPr>
        <w:tabs>
          <w:tab w:val="left" w:pos="851"/>
        </w:tabs>
        <w:spacing w:after="0" w:line="240" w:lineRule="auto"/>
        <w:jc w:val="both"/>
        <w:rPr>
          <w:rFonts w:ascii="Calibri" w:eastAsia="Calibri" w:hAnsi="Calibri" w:cs="Arial"/>
          <w:color w:val="002060"/>
          <w:kern w:val="0"/>
          <w14:ligatures w14:val="none"/>
        </w:rPr>
      </w:pPr>
      <w:r w:rsidRPr="006B22F2">
        <w:rPr>
          <w:rFonts w:ascii="Calibri" w:eastAsia="Calibri" w:hAnsi="Calibri" w:cs="Arial"/>
          <w:b/>
          <w:color w:val="002060"/>
          <w:kern w:val="0"/>
          <w14:ligatures w14:val="none"/>
        </w:rPr>
        <w:t>Ação 21C8</w:t>
      </w:r>
      <w:r w:rsidRPr="006B22F2">
        <w:rPr>
          <w:rFonts w:ascii="Calibri" w:eastAsia="Calibri" w:hAnsi="Calibri" w:cs="Arial"/>
          <w:color w:val="002060"/>
          <w:kern w:val="0"/>
          <w14:ligatures w14:val="none"/>
        </w:rPr>
        <w:t>: Operação da Infraestrutura da Rede de Serviço de Comunicação de Dados do Programa Conecta Brasil. Visa a disponibilização e fornecimento dos serviços de comunicação multimídia contratados pelos clientes da Telebras, em observância às políticas públicas de telecomunicações e a finalidade e missão institucional da Telebras.</w:t>
      </w:r>
    </w:p>
    <w:p w14:paraId="7F43A142" w14:textId="77777777" w:rsidR="006B22F2" w:rsidRPr="006B22F2" w:rsidRDefault="006B22F2" w:rsidP="00874AA4">
      <w:pPr>
        <w:tabs>
          <w:tab w:val="left" w:pos="851"/>
        </w:tabs>
        <w:spacing w:after="0" w:line="240" w:lineRule="auto"/>
        <w:jc w:val="both"/>
        <w:rPr>
          <w:rFonts w:ascii="Calibri" w:eastAsia="Calibri" w:hAnsi="Calibri" w:cs="Arial"/>
          <w:color w:val="002060"/>
          <w:kern w:val="0"/>
          <w14:ligatures w14:val="none"/>
        </w:rPr>
      </w:pPr>
      <w:r w:rsidRPr="006B22F2">
        <w:rPr>
          <w:rFonts w:ascii="Calibri" w:eastAsia="Calibri" w:hAnsi="Calibri" w:cs="Arial"/>
          <w:b/>
          <w:color w:val="002060"/>
          <w:kern w:val="0"/>
          <w14:ligatures w14:val="none"/>
        </w:rPr>
        <w:t xml:space="preserve">Ação 0283: </w:t>
      </w:r>
      <w:r w:rsidRPr="006B22F2">
        <w:rPr>
          <w:rFonts w:ascii="Calibri" w:eastAsia="Calibri" w:hAnsi="Calibri" w:cs="Arial"/>
          <w:color w:val="002060"/>
          <w:kern w:val="0"/>
          <w14:ligatures w14:val="none"/>
        </w:rPr>
        <w:t xml:space="preserve">Amortização e Encargos de Financiamento da Dívida Contratual Interna. Visa a amortização e o pagamento de juros do financiamento firmado com a FINEP, Financiadora de Estudos e Projetos, destinado ao Projeto do Satélite Geoestacionário de Defesa e Comunicações, SGDC. </w:t>
      </w:r>
    </w:p>
    <w:p w14:paraId="608E5CD5" w14:textId="77777777" w:rsidR="006B22F2" w:rsidRPr="006B22F2" w:rsidRDefault="006B22F2" w:rsidP="00874AA4">
      <w:pPr>
        <w:tabs>
          <w:tab w:val="left" w:pos="851"/>
        </w:tabs>
        <w:spacing w:after="0" w:line="240" w:lineRule="auto"/>
        <w:jc w:val="both"/>
        <w:rPr>
          <w:rFonts w:ascii="Calibri" w:eastAsia="Calibri" w:hAnsi="Calibri" w:cs="Arial"/>
          <w:color w:val="002060"/>
          <w:kern w:val="0"/>
          <w14:ligatures w14:val="none"/>
        </w:rPr>
      </w:pPr>
      <w:r w:rsidRPr="006B22F2">
        <w:rPr>
          <w:rFonts w:ascii="Calibri" w:eastAsia="Calibri" w:hAnsi="Calibri" w:cs="Arial"/>
          <w:b/>
          <w:color w:val="002060"/>
          <w:kern w:val="0"/>
          <w14:ligatures w14:val="none"/>
        </w:rPr>
        <w:t>Ação 0022</w:t>
      </w:r>
      <w:r w:rsidRPr="006B22F2">
        <w:rPr>
          <w:rFonts w:ascii="Calibri" w:eastAsia="Calibri" w:hAnsi="Calibri" w:cs="Arial"/>
          <w:color w:val="002060"/>
          <w:kern w:val="0"/>
          <w14:ligatures w14:val="none"/>
        </w:rPr>
        <w:t xml:space="preserve">: Sentenças Judiciais Devidas por Empresas Estatais. Refere-se ao pagamento de despesas decorrentes do cumprimento de decisões judiciais, devidas por Empresas Públicas e Sociedades de Economia Mista. </w:t>
      </w:r>
    </w:p>
    <w:p w14:paraId="508C3AF5" w14:textId="77777777" w:rsidR="006B22F2" w:rsidRPr="006B22F2" w:rsidRDefault="006B22F2" w:rsidP="00874AA4">
      <w:pPr>
        <w:tabs>
          <w:tab w:val="left" w:pos="851"/>
        </w:tabs>
        <w:spacing w:after="0" w:line="240" w:lineRule="auto"/>
        <w:jc w:val="both"/>
        <w:rPr>
          <w:rFonts w:ascii="Calibri" w:eastAsia="Calibri" w:hAnsi="Calibri" w:cs="Arial"/>
          <w:color w:val="002060"/>
          <w:kern w:val="0"/>
          <w14:ligatures w14:val="none"/>
        </w:rPr>
      </w:pPr>
      <w:r w:rsidRPr="006B22F2">
        <w:rPr>
          <w:rFonts w:ascii="Calibri" w:eastAsia="Calibri" w:hAnsi="Calibri" w:cs="Arial"/>
          <w:b/>
          <w:color w:val="002060"/>
          <w:kern w:val="0"/>
          <w14:ligatures w14:val="none"/>
        </w:rPr>
        <w:t>Ação 2000</w:t>
      </w:r>
      <w:r w:rsidRPr="006B22F2">
        <w:rPr>
          <w:rFonts w:ascii="Calibri" w:eastAsia="Calibri" w:hAnsi="Calibri" w:cs="Arial"/>
          <w:color w:val="002060"/>
          <w:kern w:val="0"/>
          <w14:ligatures w14:val="none"/>
        </w:rPr>
        <w:t xml:space="preserve">: Administração da Unidade. Visa agregar as despesas que não são passíveis de apropriação em ações finalísticas, com fornecimento de produtos e serviços e demais atividades-meio necessárias à gestão e à administração da unidade. </w:t>
      </w:r>
    </w:p>
    <w:p w14:paraId="2EBEB234" w14:textId="77777777" w:rsidR="006B22F2" w:rsidRPr="006B22F2" w:rsidRDefault="006B22F2" w:rsidP="00874AA4">
      <w:pPr>
        <w:tabs>
          <w:tab w:val="left" w:pos="851"/>
        </w:tabs>
        <w:spacing w:after="0" w:line="240" w:lineRule="auto"/>
        <w:jc w:val="both"/>
        <w:rPr>
          <w:rFonts w:ascii="Calibri" w:eastAsia="Calibri" w:hAnsi="Calibri" w:cs="Arial"/>
          <w:color w:val="002060"/>
          <w:kern w:val="0"/>
          <w14:ligatures w14:val="none"/>
        </w:rPr>
      </w:pPr>
      <w:r w:rsidRPr="006B22F2">
        <w:rPr>
          <w:rFonts w:ascii="Calibri" w:eastAsia="Calibri" w:hAnsi="Calibri" w:cs="Arial"/>
          <w:b/>
          <w:color w:val="002060"/>
          <w:kern w:val="0"/>
          <w14:ligatures w14:val="none"/>
        </w:rPr>
        <w:t>Ação 20TP</w:t>
      </w:r>
      <w:r w:rsidRPr="006B22F2">
        <w:rPr>
          <w:rFonts w:ascii="Calibri" w:eastAsia="Calibri" w:hAnsi="Calibri" w:cs="Arial"/>
          <w:color w:val="002060"/>
          <w:kern w:val="0"/>
          <w14:ligatures w14:val="none"/>
        </w:rPr>
        <w:t xml:space="preserve">: Ativos Civis da União. Se refere ao cumprimento dos compromissos com a folha de pagamento dos empregados ativos civis da União. </w:t>
      </w:r>
    </w:p>
    <w:p w14:paraId="64C74FA0" w14:textId="77777777" w:rsidR="006B22F2" w:rsidRPr="006B22F2" w:rsidRDefault="006B22F2" w:rsidP="00874AA4">
      <w:pPr>
        <w:tabs>
          <w:tab w:val="left" w:pos="851"/>
        </w:tabs>
        <w:spacing w:after="0" w:line="240" w:lineRule="auto"/>
        <w:jc w:val="both"/>
        <w:rPr>
          <w:rFonts w:ascii="Calibri" w:eastAsia="Calibri" w:hAnsi="Calibri" w:cs="Calibri"/>
          <w:color w:val="002060"/>
          <w:kern w:val="0"/>
          <w14:ligatures w14:val="none"/>
        </w:rPr>
      </w:pPr>
      <w:r w:rsidRPr="006B22F2">
        <w:rPr>
          <w:rFonts w:ascii="Calibri" w:eastAsia="Calibri" w:hAnsi="Calibri" w:cs="Calibri"/>
          <w:b/>
          <w:color w:val="002060"/>
          <w:kern w:val="0"/>
          <w14:ligatures w14:val="none"/>
        </w:rPr>
        <w:t>Ação 2004</w:t>
      </w:r>
      <w:r w:rsidRPr="006B22F2">
        <w:rPr>
          <w:rFonts w:ascii="Calibri" w:eastAsia="Calibri" w:hAnsi="Calibri" w:cs="Calibri"/>
          <w:color w:val="002060"/>
          <w:kern w:val="0"/>
          <w14:ligatures w14:val="none"/>
        </w:rPr>
        <w:t>: Assistência Médica e Odontológica aos Servidores Civis, Empregados, Militares e seus Dependentes, concessão, em caráter suplementar, do benefício de assistência médico hospitalar e odontológica aos empregados, ativos e inativos, dependentes e pensionistas.</w:t>
      </w:r>
    </w:p>
    <w:p w14:paraId="4D46AC0E" w14:textId="77777777" w:rsidR="006B22F2" w:rsidRPr="006B22F2" w:rsidRDefault="006B22F2" w:rsidP="00874AA4">
      <w:pPr>
        <w:tabs>
          <w:tab w:val="left" w:pos="851"/>
        </w:tabs>
        <w:spacing w:after="0" w:line="240" w:lineRule="auto"/>
        <w:jc w:val="both"/>
        <w:rPr>
          <w:rFonts w:ascii="Calibri" w:eastAsia="Calibri" w:hAnsi="Calibri" w:cs="Calibri"/>
          <w:color w:val="002060"/>
          <w:kern w:val="0"/>
          <w14:ligatures w14:val="none"/>
        </w:rPr>
      </w:pPr>
      <w:r w:rsidRPr="006B22F2">
        <w:rPr>
          <w:rFonts w:ascii="Calibri" w:eastAsia="Calibri" w:hAnsi="Calibri" w:cs="Calibri"/>
          <w:b/>
          <w:color w:val="002060"/>
          <w:kern w:val="0"/>
          <w14:ligatures w14:val="none"/>
        </w:rPr>
        <w:t>Ação 212B</w:t>
      </w:r>
      <w:r w:rsidRPr="006B22F2">
        <w:rPr>
          <w:rFonts w:ascii="Calibri" w:eastAsia="Calibri" w:hAnsi="Calibri" w:cs="Calibri"/>
          <w:color w:val="002060"/>
          <w:kern w:val="0"/>
          <w14:ligatures w14:val="none"/>
        </w:rPr>
        <w:t xml:space="preserve">: Benefícios Obrigatórios aos Servidores Civis, Empregados, Militares e seus Dependentes. </w:t>
      </w:r>
    </w:p>
    <w:p w14:paraId="2B436363" w14:textId="77777777" w:rsidR="006B22F2" w:rsidRPr="006B22F2" w:rsidRDefault="006B22F2" w:rsidP="00874AA4">
      <w:pPr>
        <w:tabs>
          <w:tab w:val="left" w:pos="851"/>
        </w:tabs>
        <w:spacing w:after="0" w:line="240" w:lineRule="auto"/>
        <w:jc w:val="both"/>
        <w:rPr>
          <w:rFonts w:ascii="Calibri" w:eastAsia="Calibri" w:hAnsi="Calibri" w:cs="Calibri"/>
          <w:color w:val="002060"/>
          <w:kern w:val="0"/>
          <w14:ligatures w14:val="none"/>
        </w:rPr>
      </w:pPr>
      <w:r w:rsidRPr="006B22F2">
        <w:rPr>
          <w:rFonts w:ascii="Calibri" w:eastAsia="Calibri" w:hAnsi="Calibri" w:cs="Calibri"/>
          <w:b/>
          <w:color w:val="002060"/>
          <w:kern w:val="0"/>
          <w14:ligatures w14:val="none"/>
        </w:rPr>
        <w:t>Ação 216H</w:t>
      </w:r>
      <w:r w:rsidRPr="006B22F2">
        <w:rPr>
          <w:rFonts w:ascii="Calibri" w:eastAsia="Calibri" w:hAnsi="Calibri" w:cs="Calibri"/>
          <w:color w:val="002060"/>
          <w:kern w:val="0"/>
          <w14:ligatures w14:val="none"/>
        </w:rPr>
        <w:t>: Ajuda de Custo para Moradia ou Auxílio-Moradia a Agentes Públicos. Visa a ajuda de custo para moradia ou auxílio-moradia.</w:t>
      </w:r>
    </w:p>
    <w:p w14:paraId="53489FAF" w14:textId="77777777" w:rsidR="006B22F2" w:rsidRPr="006B22F2" w:rsidRDefault="006B22F2" w:rsidP="00874AA4">
      <w:pPr>
        <w:tabs>
          <w:tab w:val="left" w:pos="851"/>
        </w:tabs>
        <w:spacing w:after="0" w:line="240" w:lineRule="auto"/>
        <w:jc w:val="both"/>
        <w:rPr>
          <w:rFonts w:ascii="Calibri" w:eastAsia="Calibri" w:hAnsi="Calibri" w:cs="Calibri"/>
          <w:color w:val="002060"/>
          <w:kern w:val="0"/>
          <w14:ligatures w14:val="none"/>
        </w:rPr>
      </w:pPr>
      <w:r w:rsidRPr="006B22F2">
        <w:rPr>
          <w:rFonts w:ascii="Calibri" w:eastAsia="Calibri" w:hAnsi="Calibri" w:cs="Calibri"/>
          <w:b/>
          <w:color w:val="002060"/>
          <w:kern w:val="0"/>
          <w14:ligatures w14:val="none"/>
        </w:rPr>
        <w:t>Ação 0Z00</w:t>
      </w:r>
      <w:r w:rsidRPr="006B22F2">
        <w:rPr>
          <w:rFonts w:ascii="Calibri" w:eastAsia="Calibri" w:hAnsi="Calibri" w:cs="Calibri"/>
          <w:color w:val="002060"/>
          <w:kern w:val="0"/>
          <w14:ligatures w14:val="none"/>
        </w:rPr>
        <w:t>: Reserva de Contingência Financeira.</w:t>
      </w:r>
    </w:p>
    <w:p w14:paraId="7F5B5B9C" w14:textId="77777777" w:rsidR="00874AA4" w:rsidRDefault="00874AA4" w:rsidP="00175066">
      <w:pPr>
        <w:spacing w:after="0"/>
        <w:jc w:val="both"/>
        <w:rPr>
          <w:rFonts w:ascii="Calibri" w:eastAsia="Times New Roman" w:hAnsi="Calibri" w:cs="Calibri"/>
          <w:b/>
          <w:bCs/>
          <w:color w:val="002060"/>
          <w:kern w:val="0"/>
          <w14:ligatures w14:val="none"/>
        </w:rPr>
      </w:pPr>
      <w:bookmarkStart w:id="24" w:name="_Toc161319444"/>
    </w:p>
    <w:p w14:paraId="74BD8CB9" w14:textId="72AA03A9" w:rsidR="00175066" w:rsidRDefault="006B22F2" w:rsidP="00175066">
      <w:pPr>
        <w:spacing w:after="0"/>
        <w:jc w:val="both"/>
        <w:rPr>
          <w:rFonts w:ascii="Calibri" w:eastAsia="Times New Roman" w:hAnsi="Calibri" w:cs="Calibri"/>
          <w:b/>
          <w:bCs/>
          <w:color w:val="002060"/>
          <w:kern w:val="0"/>
          <w14:ligatures w14:val="none"/>
        </w:rPr>
      </w:pPr>
      <w:r w:rsidRPr="006B22F2">
        <w:rPr>
          <w:rFonts w:ascii="Calibri" w:eastAsia="Times New Roman" w:hAnsi="Calibri" w:cs="Calibri"/>
          <w:b/>
          <w:bCs/>
          <w:color w:val="002060"/>
          <w:kern w:val="0"/>
          <w14:ligatures w14:val="none"/>
        </w:rPr>
        <w:t>3.3.3. Execução dos Restos a Pagar (processados e não processados)</w:t>
      </w:r>
      <w:bookmarkEnd w:id="24"/>
    </w:p>
    <w:p w14:paraId="6BBAA71D" w14:textId="77777777" w:rsidR="00874AA4" w:rsidRDefault="006B22F2" w:rsidP="00874AA4">
      <w:pPr>
        <w:spacing w:after="0"/>
        <w:jc w:val="both"/>
        <w:rPr>
          <w:rFonts w:ascii="Calibri" w:eastAsia="Times New Roman" w:hAnsi="Calibri" w:cs="Calibri"/>
          <w:b/>
          <w:bCs/>
          <w:color w:val="002060"/>
          <w:kern w:val="0"/>
          <w14:ligatures w14:val="none"/>
        </w:rPr>
      </w:pPr>
      <w:r w:rsidRPr="006B22F2">
        <w:rPr>
          <w:rFonts w:ascii="Calibri" w:eastAsia="Calibri" w:hAnsi="Calibri" w:cs="Calibri"/>
          <w:bCs/>
          <w:color w:val="002060"/>
          <w:kern w:val="0"/>
          <w14:ligatures w14:val="none"/>
        </w:rPr>
        <w:t xml:space="preserve">A empresa inscreveu em Restos a Pagar (RP) processados e não processados o montante de R$ 227,79 milhões. Desse total, R$ 39,08 milhões foram cancelados e R$ 169,61 milhões foram pagos em 2023, restando um saldo de RP de R$ 19,10 milhões. </w:t>
      </w:r>
    </w:p>
    <w:p w14:paraId="1664AFAC" w14:textId="06A464C6" w:rsidR="006B22F2" w:rsidRPr="00874AA4" w:rsidRDefault="006B22F2" w:rsidP="00874AA4">
      <w:pPr>
        <w:spacing w:after="0"/>
        <w:jc w:val="both"/>
        <w:rPr>
          <w:rFonts w:ascii="Calibri" w:eastAsia="Times New Roman" w:hAnsi="Calibri" w:cs="Calibri"/>
          <w:b/>
          <w:bCs/>
          <w:color w:val="002060"/>
          <w:kern w:val="0"/>
          <w14:ligatures w14:val="none"/>
        </w:rPr>
      </w:pPr>
      <w:r w:rsidRPr="006B22F2">
        <w:rPr>
          <w:rFonts w:ascii="Calibri" w:eastAsia="Calibri" w:hAnsi="Calibri" w:cs="Calibri"/>
          <w:bCs/>
          <w:color w:val="002060"/>
          <w:kern w:val="0"/>
          <w14:ligatures w14:val="none"/>
        </w:rPr>
        <w:t xml:space="preserve">As ações com maiores valores pagos foram: 15UI, 15UJ, 21C8, 2000, 20TP. As três primeiras estão </w:t>
      </w:r>
      <w:proofErr w:type="gramStart"/>
      <w:r w:rsidRPr="006B22F2">
        <w:rPr>
          <w:rFonts w:ascii="Calibri" w:eastAsia="Calibri" w:hAnsi="Calibri" w:cs="Calibri"/>
          <w:bCs/>
          <w:color w:val="002060"/>
          <w:kern w:val="0"/>
          <w14:ligatures w14:val="none"/>
        </w:rPr>
        <w:t>relacionadas</w:t>
      </w:r>
      <w:proofErr w:type="gramEnd"/>
      <w:r w:rsidRPr="006B22F2">
        <w:rPr>
          <w:rFonts w:ascii="Calibri" w:eastAsia="Calibri" w:hAnsi="Calibri" w:cs="Calibri"/>
          <w:bCs/>
          <w:color w:val="002060"/>
          <w:kern w:val="0"/>
          <w14:ligatures w14:val="none"/>
        </w:rPr>
        <w:t xml:space="preserve"> com investimentos, manutenção da rede e do satélite. Já a Ação 2000 está relacionada com a parte administrativa, </w:t>
      </w:r>
      <w:proofErr w:type="gramStart"/>
      <w:r w:rsidRPr="006B22F2">
        <w:rPr>
          <w:rFonts w:ascii="Calibri" w:eastAsia="Calibri" w:hAnsi="Calibri" w:cs="Calibri"/>
          <w:bCs/>
          <w:color w:val="002060"/>
          <w:kern w:val="0"/>
          <w14:ligatures w14:val="none"/>
        </w:rPr>
        <w:t>enquanto que</w:t>
      </w:r>
      <w:proofErr w:type="gramEnd"/>
      <w:r w:rsidRPr="006B22F2">
        <w:rPr>
          <w:rFonts w:ascii="Calibri" w:eastAsia="Calibri" w:hAnsi="Calibri" w:cs="Calibri"/>
          <w:bCs/>
          <w:color w:val="002060"/>
          <w:kern w:val="0"/>
          <w14:ligatures w14:val="none"/>
        </w:rPr>
        <w:t xml:space="preserve"> a 20TP se refere à folha de pagamento de pessoal.</w:t>
      </w:r>
    </w:p>
    <w:p w14:paraId="309C6D53" w14:textId="77777777" w:rsidR="001F501D" w:rsidRPr="006B22F2" w:rsidRDefault="001F501D" w:rsidP="006B22F2">
      <w:pPr>
        <w:tabs>
          <w:tab w:val="left" w:pos="851"/>
        </w:tabs>
        <w:spacing w:before="120" w:after="120" w:line="240" w:lineRule="auto"/>
        <w:jc w:val="both"/>
        <w:rPr>
          <w:rFonts w:ascii="Calibri" w:eastAsia="Calibri" w:hAnsi="Calibri" w:cs="Calibri"/>
          <w:bCs/>
          <w:color w:val="002060"/>
          <w:kern w:val="0"/>
          <w14:ligatures w14:val="none"/>
        </w:rPr>
      </w:pPr>
    </w:p>
    <w:p w14:paraId="6E1EBA08" w14:textId="100C1980" w:rsidR="006B22F2" w:rsidRDefault="006B22F2" w:rsidP="006B22F2">
      <w:r w:rsidRPr="003B40B6">
        <w:rPr>
          <w:rFonts w:eastAsia="Calibri"/>
          <w:noProof/>
          <w:lang w:eastAsia="pt-BR"/>
        </w:rPr>
        <w:lastRenderedPageBreak/>
        <w:drawing>
          <wp:inline distT="0" distB="0" distL="0" distR="0" wp14:anchorId="3B3AFBD9" wp14:editId="7DF87DE9">
            <wp:extent cx="5400040" cy="5177228"/>
            <wp:effectExtent l="0" t="0" r="0" b="4445"/>
            <wp:docPr id="12" name="Imagem 12" descr="Uma imagem contendo 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Uma imagem contendo Interface gráfica do usuário&#10;&#10;Descrição gerad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5177228"/>
                    </a:xfrm>
                    <a:prstGeom prst="rect">
                      <a:avLst/>
                    </a:prstGeom>
                    <a:noFill/>
                  </pic:spPr>
                </pic:pic>
              </a:graphicData>
            </a:graphic>
          </wp:inline>
        </w:drawing>
      </w:r>
    </w:p>
    <w:p w14:paraId="7EE3A17E" w14:textId="77777777" w:rsidR="001F501D" w:rsidRDefault="001F501D" w:rsidP="001F501D">
      <w:pPr>
        <w:pStyle w:val="Legenda"/>
        <w:spacing w:before="120" w:after="0"/>
        <w:rPr>
          <w:rFonts w:ascii="Calibri" w:eastAsia="Calibri" w:hAnsi="Calibri" w:cs="Calibri"/>
          <w:color w:val="44546A"/>
        </w:rPr>
      </w:pPr>
      <w:bookmarkStart w:id="25" w:name="_Toc161319863"/>
      <w:r w:rsidRPr="00531E99">
        <w:t xml:space="preserve">Tabela </w:t>
      </w:r>
      <w:r>
        <w:fldChar w:fldCharType="begin"/>
      </w:r>
      <w:r>
        <w:instrText xml:space="preserve"> STYLEREF 1 \s </w:instrText>
      </w:r>
      <w:r>
        <w:fldChar w:fldCharType="separate"/>
      </w:r>
      <w:r>
        <w:rPr>
          <w:noProof/>
        </w:rPr>
        <w:t>3</w:t>
      </w:r>
      <w:r>
        <w:rPr>
          <w:noProof/>
        </w:rPr>
        <w:fldChar w:fldCharType="end"/>
      </w:r>
      <w:r w:rsidRPr="00531E99">
        <w:noBreakHyphen/>
      </w:r>
      <w:r>
        <w:fldChar w:fldCharType="begin"/>
      </w:r>
      <w:r>
        <w:instrText xml:space="preserve"> SEQ Tabela \* ARABIC \s 1 </w:instrText>
      </w:r>
      <w:r>
        <w:fldChar w:fldCharType="separate"/>
      </w:r>
      <w:r>
        <w:rPr>
          <w:noProof/>
        </w:rPr>
        <w:t>4</w:t>
      </w:r>
      <w:r>
        <w:rPr>
          <w:noProof/>
        </w:rPr>
        <w:fldChar w:fldCharType="end"/>
      </w:r>
      <w:r w:rsidRPr="00531E99">
        <w:t xml:space="preserve"> Execução dos Restos a Pagar</w:t>
      </w:r>
      <w:bookmarkEnd w:id="25"/>
      <w:r w:rsidRPr="00531E99">
        <w:rPr>
          <w:rFonts w:ascii="Calibri" w:eastAsia="Calibri" w:hAnsi="Calibri" w:cs="Calibri"/>
          <w:color w:val="44546A"/>
        </w:rPr>
        <w:t xml:space="preserve"> </w:t>
      </w:r>
    </w:p>
    <w:p w14:paraId="635F963E" w14:textId="31744E7C" w:rsidR="001F501D" w:rsidRPr="001F501D" w:rsidRDefault="001F501D" w:rsidP="001F501D">
      <w:pPr>
        <w:spacing w:after="0"/>
        <w:jc w:val="both"/>
        <w:rPr>
          <w:rFonts w:ascii="Calibri" w:eastAsia="Times New Roman" w:hAnsi="Calibri" w:cs="Calibri"/>
          <w:b/>
          <w:bCs/>
          <w:color w:val="002060"/>
          <w:kern w:val="0"/>
          <w14:ligatures w14:val="none"/>
        </w:rPr>
      </w:pPr>
      <w:bookmarkStart w:id="26" w:name="_Toc161319445"/>
      <w:r>
        <w:rPr>
          <w:rFonts w:ascii="Calibri" w:eastAsia="Times New Roman" w:hAnsi="Calibri" w:cs="Calibri"/>
          <w:b/>
          <w:bCs/>
          <w:color w:val="002060"/>
          <w:kern w:val="0"/>
          <w14:ligatures w14:val="none"/>
        </w:rPr>
        <w:t xml:space="preserve">3.3.4. </w:t>
      </w:r>
      <w:r w:rsidRPr="001F501D">
        <w:rPr>
          <w:rFonts w:ascii="Calibri" w:eastAsia="Times New Roman" w:hAnsi="Calibri" w:cs="Calibri"/>
          <w:b/>
          <w:bCs/>
          <w:color w:val="002060"/>
          <w:kern w:val="0"/>
          <w14:ligatures w14:val="none"/>
        </w:rPr>
        <w:t>Execução de Pagamentos</w:t>
      </w:r>
      <w:bookmarkEnd w:id="26"/>
      <w:r w:rsidRPr="001F501D">
        <w:rPr>
          <w:rFonts w:ascii="Calibri" w:eastAsia="Times New Roman" w:hAnsi="Calibri" w:cs="Calibri"/>
          <w:b/>
          <w:bCs/>
          <w:color w:val="002060"/>
          <w:kern w:val="0"/>
          <w14:ligatures w14:val="none"/>
        </w:rPr>
        <w:t xml:space="preserve"> </w:t>
      </w:r>
    </w:p>
    <w:p w14:paraId="7F488905" w14:textId="0DC9E7ED" w:rsidR="001F501D" w:rsidRDefault="001F501D" w:rsidP="001F501D">
      <w:pPr>
        <w:spacing w:after="0"/>
        <w:jc w:val="both"/>
        <w:rPr>
          <w:rFonts w:ascii="Calibri" w:eastAsia="Calibri" w:hAnsi="Calibri" w:cs="Calibri"/>
          <w:bCs/>
          <w:color w:val="002060"/>
          <w:kern w:val="0"/>
          <w14:ligatures w14:val="none"/>
        </w:rPr>
      </w:pPr>
      <w:r w:rsidRPr="001F501D">
        <w:rPr>
          <w:rFonts w:ascii="Calibri" w:eastAsia="Calibri" w:hAnsi="Calibri" w:cs="Calibri"/>
          <w:bCs/>
          <w:color w:val="002060"/>
          <w:kern w:val="0"/>
          <w14:ligatures w14:val="none"/>
        </w:rPr>
        <w:t xml:space="preserve">Em referência aos pagamentos das despesas correntes e de capital de 2023, incluindo Restos a Pagar, distribuídos entre Financeiras, </w:t>
      </w:r>
      <w:proofErr w:type="gramStart"/>
      <w:r w:rsidRPr="001F501D">
        <w:rPr>
          <w:rFonts w:ascii="Calibri" w:eastAsia="Calibri" w:hAnsi="Calibri" w:cs="Calibri"/>
          <w:bCs/>
          <w:color w:val="002060"/>
          <w:kern w:val="0"/>
          <w14:ligatures w14:val="none"/>
        </w:rPr>
        <w:t>Obrigatórias e Discricionárias</w:t>
      </w:r>
      <w:proofErr w:type="gramEnd"/>
      <w:r w:rsidRPr="001F501D">
        <w:rPr>
          <w:rFonts w:ascii="Calibri" w:eastAsia="Calibri" w:hAnsi="Calibri" w:cs="Calibri"/>
          <w:bCs/>
          <w:color w:val="002060"/>
          <w:kern w:val="0"/>
          <w14:ligatures w14:val="none"/>
        </w:rPr>
        <w:t>, disponibiliza-se na tabela a seguir sua composição total do ano.</w:t>
      </w:r>
    </w:p>
    <w:p w14:paraId="15D33828" w14:textId="631E0DD4" w:rsidR="001F501D" w:rsidRPr="001F501D" w:rsidRDefault="001F501D" w:rsidP="001F501D">
      <w:pPr>
        <w:tabs>
          <w:tab w:val="left" w:pos="851"/>
        </w:tabs>
        <w:spacing w:before="120" w:after="120" w:line="240" w:lineRule="auto"/>
        <w:jc w:val="center"/>
        <w:rPr>
          <w:rFonts w:ascii="Calibri" w:eastAsia="Calibri" w:hAnsi="Calibri" w:cs="Calibri"/>
          <w:bCs/>
          <w:color w:val="002060"/>
          <w:kern w:val="0"/>
          <w14:ligatures w14:val="none"/>
        </w:rPr>
      </w:pPr>
      <w:r w:rsidRPr="00CF06CE">
        <w:rPr>
          <w:rFonts w:eastAsia="Calibri"/>
          <w:noProof/>
          <w:lang w:eastAsia="pt-BR"/>
        </w:rPr>
        <w:lastRenderedPageBreak/>
        <w:drawing>
          <wp:anchor distT="0" distB="0" distL="114300" distR="114300" simplePos="0" relativeHeight="251659264" behindDoc="0" locked="0" layoutInCell="1" allowOverlap="1" wp14:anchorId="11A194A8" wp14:editId="283740BC">
            <wp:simplePos x="0" y="0"/>
            <wp:positionH relativeFrom="margin">
              <wp:posOffset>-171450</wp:posOffset>
            </wp:positionH>
            <wp:positionV relativeFrom="paragraph">
              <wp:posOffset>100965</wp:posOffset>
            </wp:positionV>
            <wp:extent cx="5760720" cy="3444240"/>
            <wp:effectExtent l="0" t="0" r="0" b="3810"/>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444240"/>
                    </a:xfrm>
                    <a:prstGeom prst="rect">
                      <a:avLst/>
                    </a:prstGeom>
                    <a:noFill/>
                    <a:ln>
                      <a:noFill/>
                    </a:ln>
                  </pic:spPr>
                </pic:pic>
              </a:graphicData>
            </a:graphic>
          </wp:anchor>
        </w:drawing>
      </w:r>
      <w:r w:rsidRPr="001F501D">
        <w:rPr>
          <w:rFonts w:ascii="Calibri" w:eastAsia="Calibri" w:hAnsi="Calibri" w:cs="Calibri"/>
          <w:bCs/>
          <w:color w:val="002060"/>
          <w:kern w:val="0"/>
          <w14:ligatures w14:val="none"/>
        </w:rPr>
        <w:t>Tabela 3-</w:t>
      </w:r>
      <w:r w:rsidRPr="001F501D">
        <w:rPr>
          <w:rFonts w:ascii="Calibri" w:eastAsia="Calibri" w:hAnsi="Calibri" w:cs="Calibri"/>
          <w:bCs/>
          <w:color w:val="002060"/>
          <w:kern w:val="0"/>
          <w14:ligatures w14:val="none"/>
        </w:rPr>
        <w:fldChar w:fldCharType="begin"/>
      </w:r>
      <w:r w:rsidRPr="001F501D">
        <w:rPr>
          <w:rFonts w:ascii="Calibri" w:eastAsia="Calibri" w:hAnsi="Calibri" w:cs="Calibri"/>
          <w:bCs/>
          <w:color w:val="002060"/>
          <w:kern w:val="0"/>
          <w14:ligatures w14:val="none"/>
        </w:rPr>
        <w:instrText xml:space="preserve"> SEQ Tabela \* ARABIC </w:instrText>
      </w:r>
      <w:r w:rsidRPr="001F501D">
        <w:rPr>
          <w:rFonts w:ascii="Calibri" w:eastAsia="Calibri" w:hAnsi="Calibri" w:cs="Calibri"/>
          <w:bCs/>
          <w:color w:val="002060"/>
          <w:kern w:val="0"/>
          <w14:ligatures w14:val="none"/>
        </w:rPr>
        <w:fldChar w:fldCharType="separate"/>
      </w:r>
      <w:r w:rsidRPr="001F501D">
        <w:rPr>
          <w:rFonts w:ascii="Calibri" w:eastAsia="Calibri" w:hAnsi="Calibri" w:cs="Calibri"/>
          <w:bCs/>
          <w:color w:val="002060"/>
          <w:kern w:val="0"/>
          <w14:ligatures w14:val="none"/>
        </w:rPr>
        <w:t>5</w:t>
      </w:r>
      <w:r w:rsidRPr="001F501D">
        <w:rPr>
          <w:rFonts w:ascii="Calibri" w:eastAsia="Calibri" w:hAnsi="Calibri" w:cs="Calibri"/>
          <w:bCs/>
          <w:color w:val="002060"/>
          <w:kern w:val="0"/>
          <w14:ligatures w14:val="none"/>
        </w:rPr>
        <w:fldChar w:fldCharType="end"/>
      </w:r>
      <w:r w:rsidRPr="001F501D">
        <w:rPr>
          <w:rFonts w:ascii="Calibri" w:eastAsia="Calibri" w:hAnsi="Calibri" w:cs="Calibri"/>
          <w:bCs/>
          <w:color w:val="002060"/>
          <w:kern w:val="0"/>
          <w14:ligatures w14:val="none"/>
        </w:rPr>
        <w:t xml:space="preserve"> Execução de Pagamentos</w:t>
      </w:r>
    </w:p>
    <w:p w14:paraId="701A23E5" w14:textId="77777777" w:rsidR="001F501D" w:rsidRDefault="001F501D" w:rsidP="001F501D">
      <w:pPr>
        <w:spacing w:after="0"/>
        <w:jc w:val="both"/>
        <w:rPr>
          <w:rFonts w:ascii="Calibri" w:eastAsia="Calibri" w:hAnsi="Calibri" w:cs="Calibri"/>
          <w:bCs/>
          <w:color w:val="002060"/>
          <w:kern w:val="0"/>
          <w14:ligatures w14:val="none"/>
        </w:rPr>
      </w:pPr>
      <w:r w:rsidRPr="001F501D">
        <w:rPr>
          <w:rFonts w:ascii="Calibri" w:eastAsia="Calibri" w:hAnsi="Calibri" w:cs="Calibri"/>
          <w:bCs/>
          <w:color w:val="002060"/>
          <w:kern w:val="0"/>
          <w14:ligatures w14:val="none"/>
        </w:rPr>
        <w:t>Ressalta-se que as Despesas Discricionárias de Capital foram realizadas com recursos do Tesouro e Recursos próprios que totalizam R$ 109,8 milhões, sendo que os recursos da categoria econômica de capital da fonte Tesouro proveniente do AFAC de 2023 correspondem a R$ 44,41 milhões.</w:t>
      </w:r>
    </w:p>
    <w:p w14:paraId="3DAB7131" w14:textId="30BBE8BE" w:rsidR="001F501D" w:rsidRPr="001F501D" w:rsidRDefault="001F501D" w:rsidP="001F501D">
      <w:pPr>
        <w:spacing w:after="0"/>
        <w:jc w:val="both"/>
        <w:rPr>
          <w:rFonts w:ascii="Calibri" w:eastAsia="Calibri" w:hAnsi="Calibri" w:cs="Calibri"/>
          <w:b/>
          <w:bCs/>
          <w:iCs/>
          <w:color w:val="002060"/>
          <w:kern w:val="0"/>
          <w14:ligatures w14:val="none"/>
        </w:rPr>
      </w:pPr>
      <w:bookmarkStart w:id="27" w:name="_Toc161319446"/>
      <w:r>
        <w:rPr>
          <w:rFonts w:ascii="Calibri" w:eastAsia="Calibri" w:hAnsi="Calibri" w:cs="Calibri"/>
          <w:b/>
          <w:bCs/>
          <w:iCs/>
          <w:color w:val="002060"/>
          <w:kern w:val="0"/>
          <w14:ligatures w14:val="none"/>
        </w:rPr>
        <w:t xml:space="preserve">3.4. </w:t>
      </w:r>
      <w:r w:rsidRPr="001F501D">
        <w:rPr>
          <w:rFonts w:ascii="Calibri" w:eastAsia="Calibri" w:hAnsi="Calibri" w:cs="Calibri"/>
          <w:b/>
          <w:bCs/>
          <w:iCs/>
          <w:color w:val="002060"/>
          <w:kern w:val="0"/>
          <w14:ligatures w14:val="none"/>
        </w:rPr>
        <w:t>Investimentos em sociedades coligadas e/ou controladas</w:t>
      </w:r>
      <w:bookmarkEnd w:id="27"/>
    </w:p>
    <w:p w14:paraId="46099C04" w14:textId="77777777" w:rsidR="001F501D" w:rsidRPr="001F501D" w:rsidRDefault="001F501D" w:rsidP="001F501D">
      <w:pPr>
        <w:spacing w:after="0"/>
        <w:jc w:val="both"/>
        <w:rPr>
          <w:rFonts w:ascii="Calibri" w:eastAsia="Calibri" w:hAnsi="Calibri" w:cs="Calibri"/>
          <w:bCs/>
          <w:color w:val="002060"/>
          <w:kern w:val="0"/>
          <w14:ligatures w14:val="none"/>
        </w:rPr>
      </w:pPr>
      <w:r w:rsidRPr="001F501D">
        <w:rPr>
          <w:rFonts w:ascii="Calibri" w:eastAsia="Calibri" w:hAnsi="Calibri" w:cs="Calibri"/>
          <w:bCs/>
          <w:color w:val="002060"/>
          <w:kern w:val="0"/>
          <w14:ligatures w14:val="none"/>
        </w:rPr>
        <w:t>A Telebras possui participação na VISIONA Tecnologia Espacial S.A., uma empresa criada em 14 de junho de 2011, localizada em São José dos Campos, São Paulo. A VISIONA atua em uma ampla gama de atividades aeroespaciais, incluindo pesquisa, desenvolvimento, fabricação e prestação de serviços relacionados a satélites e sistemas aeroespaciais. Seu foco abrange desde a manutenção e modernização até a comercialização e operação de satélites, estações de terra, e outros equipamentos, visando atender às demandas do Governo Federal no âmbito do Programa Nacional de Banda Larga (PNBL) e comunicações estratégicas de defesa e governamentais.</w:t>
      </w:r>
    </w:p>
    <w:p w14:paraId="79B31300" w14:textId="77777777" w:rsidR="001F501D" w:rsidRDefault="001F501D" w:rsidP="001F501D">
      <w:pPr>
        <w:spacing w:after="0"/>
        <w:jc w:val="both"/>
        <w:rPr>
          <w:rFonts w:ascii="Calibri" w:eastAsia="Calibri" w:hAnsi="Calibri" w:cs="Calibri"/>
          <w:bCs/>
          <w:color w:val="002060"/>
          <w:kern w:val="0"/>
          <w14:ligatures w14:val="none"/>
        </w:rPr>
      </w:pPr>
      <w:r w:rsidRPr="001F501D">
        <w:rPr>
          <w:rFonts w:ascii="Calibri" w:eastAsia="Calibri" w:hAnsi="Calibri" w:cs="Calibri"/>
          <w:bCs/>
          <w:color w:val="002060"/>
          <w:kern w:val="0"/>
          <w14:ligatures w14:val="none"/>
        </w:rPr>
        <w:t>A VISIONA é uma sociedade empresarial entre a Embraer Defesa e Segurança Participações S.A., que possui 51% do capital social, e a Telecomunicações Brasileiras S.A. (Telebras), que detém os restantes 49%. A gestão e o controle da empresa são exercidos pela Embraer Defesa e Segurança Participações S.A., posicionando a VISIONA como um agente fundamental no desenvolvimento da infraestrutura aeroespacial brasileira e na promoção da inovação tecnológica para comunicações estratégicas e de defesa.</w:t>
      </w:r>
    </w:p>
    <w:p w14:paraId="2FB864EF" w14:textId="4A300208" w:rsidR="001F501D" w:rsidRDefault="001F501D" w:rsidP="001F501D">
      <w:pPr>
        <w:spacing w:after="0"/>
        <w:jc w:val="both"/>
        <w:rPr>
          <w:rFonts w:ascii="Calibri" w:eastAsia="Calibri" w:hAnsi="Calibri" w:cs="Calibri"/>
          <w:b/>
          <w:bCs/>
          <w:color w:val="002060"/>
          <w:kern w:val="0"/>
          <w14:ligatures w14:val="none"/>
        </w:rPr>
      </w:pPr>
      <w:bookmarkStart w:id="28" w:name="_Toc161319447"/>
      <w:r>
        <w:rPr>
          <w:rFonts w:ascii="Calibri" w:eastAsia="Calibri" w:hAnsi="Calibri" w:cs="Calibri"/>
          <w:b/>
          <w:bCs/>
          <w:color w:val="002060"/>
          <w:kern w:val="0"/>
          <w14:ligatures w14:val="none"/>
        </w:rPr>
        <w:t xml:space="preserve">4. </w:t>
      </w:r>
      <w:r w:rsidRPr="001F501D">
        <w:rPr>
          <w:rFonts w:ascii="Calibri" w:eastAsia="Calibri" w:hAnsi="Calibri" w:cs="Calibri"/>
          <w:b/>
          <w:bCs/>
          <w:color w:val="002060"/>
          <w:kern w:val="0"/>
          <w14:ligatures w14:val="none"/>
        </w:rPr>
        <w:t>Interesse coletivo e execução de Políticas Públicas</w:t>
      </w:r>
      <w:bookmarkEnd w:id="28"/>
    </w:p>
    <w:p w14:paraId="0FE73372" w14:textId="77777777" w:rsidR="001F501D" w:rsidRPr="001F501D" w:rsidRDefault="001F501D" w:rsidP="001F501D">
      <w:pPr>
        <w:spacing w:after="0"/>
        <w:jc w:val="both"/>
        <w:rPr>
          <w:rFonts w:ascii="Calibri" w:eastAsia="Calibri" w:hAnsi="Calibri" w:cs="Calibri"/>
          <w:color w:val="002060"/>
          <w:kern w:val="0"/>
          <w14:ligatures w14:val="none"/>
        </w:rPr>
      </w:pPr>
      <w:r w:rsidRPr="001F501D">
        <w:rPr>
          <w:rFonts w:ascii="Calibri" w:eastAsia="Calibri" w:hAnsi="Calibri" w:cs="Calibri"/>
          <w:color w:val="002060"/>
          <w:kern w:val="0"/>
          <w14:ligatures w14:val="none"/>
        </w:rPr>
        <w:t>Em 2023, a Telebras desempenhou um papel fundamental na promoção da inclusão digital através do Programa Wi-Fi Brasil. Sob a coordenação do Ministério das Comunicações, este programa visa proporcionar acesso à internet de banda larga de alta qualidade em regiões remotas e comunidades vulneráveis do Brasil. Segundo dados fornecidos no portal do Ministério das Comunicações em 21 de dezembro de 2023, até o final de 2023, a Telebras instalou mais de 20,7 mil pontos de acesso em todo o país, com impactos significativos nas seguintes áreas:</w:t>
      </w:r>
    </w:p>
    <w:p w14:paraId="33AD4B52" w14:textId="77777777" w:rsidR="001F501D" w:rsidRPr="001F501D" w:rsidRDefault="001F501D" w:rsidP="001F501D">
      <w:pPr>
        <w:spacing w:after="0"/>
        <w:jc w:val="both"/>
        <w:rPr>
          <w:rFonts w:ascii="Calibri" w:eastAsia="Calibri" w:hAnsi="Calibri" w:cs="Calibri"/>
          <w:color w:val="002060"/>
          <w:kern w:val="0"/>
          <w14:ligatures w14:val="none"/>
        </w:rPr>
      </w:pPr>
      <w:r w:rsidRPr="001F501D">
        <w:rPr>
          <w:rFonts w:ascii="Calibri" w:eastAsia="Calibri" w:hAnsi="Calibri" w:cs="Calibri"/>
          <w:b/>
          <w:bCs/>
          <w:color w:val="002060"/>
          <w:kern w:val="0"/>
          <w14:ligatures w14:val="none"/>
        </w:rPr>
        <w:lastRenderedPageBreak/>
        <w:t>Educação:</w:t>
      </w:r>
      <w:r w:rsidRPr="001F501D">
        <w:rPr>
          <w:rFonts w:ascii="Calibri" w:eastAsia="Calibri" w:hAnsi="Calibri" w:cs="Calibri"/>
          <w:color w:val="002060"/>
          <w:kern w:val="0"/>
          <w14:ligatures w14:val="none"/>
        </w:rPr>
        <w:t xml:space="preserve"> Com 16,4 mil pontos em escolas, aproximadamente 4 milhões de alunos tiveram a oportunidade de melhorar o desempenho acadêmico por meio do acesso à informação.</w:t>
      </w:r>
    </w:p>
    <w:p w14:paraId="1A2F5764" w14:textId="77777777" w:rsidR="001F501D" w:rsidRPr="001F501D" w:rsidRDefault="001F501D" w:rsidP="001F501D">
      <w:pPr>
        <w:spacing w:after="0"/>
        <w:jc w:val="both"/>
        <w:rPr>
          <w:rFonts w:ascii="Calibri" w:eastAsia="Calibri" w:hAnsi="Calibri" w:cs="Calibri"/>
          <w:color w:val="002060"/>
          <w:kern w:val="0"/>
          <w14:ligatures w14:val="none"/>
        </w:rPr>
      </w:pPr>
      <w:r w:rsidRPr="001F501D">
        <w:rPr>
          <w:rFonts w:ascii="Calibri" w:eastAsia="Calibri" w:hAnsi="Calibri" w:cs="Calibri"/>
          <w:b/>
          <w:bCs/>
          <w:color w:val="002060"/>
          <w:kern w:val="0"/>
          <w14:ligatures w14:val="none"/>
        </w:rPr>
        <w:t>Saúde:</w:t>
      </w:r>
      <w:r w:rsidRPr="001F501D">
        <w:rPr>
          <w:rFonts w:ascii="Calibri" w:eastAsia="Calibri" w:hAnsi="Calibri" w:cs="Calibri"/>
          <w:color w:val="002060"/>
          <w:kern w:val="0"/>
          <w14:ligatures w14:val="none"/>
        </w:rPr>
        <w:t xml:space="preserve"> A instalação de 785 pontos instalados em Unidades de Saúde possibilitou a informatização dos serviços, incluindo a implementação do Prontuário Eletrônico Nacional Interligado, melhorando a qualidade do atendimento e diagnóstico dos pacientes em todo o país.</w:t>
      </w:r>
    </w:p>
    <w:p w14:paraId="25385F90" w14:textId="77777777" w:rsidR="001F501D" w:rsidRPr="001F501D" w:rsidRDefault="001F501D" w:rsidP="001F501D">
      <w:pPr>
        <w:spacing w:after="0"/>
        <w:jc w:val="both"/>
        <w:rPr>
          <w:rFonts w:ascii="Calibri" w:eastAsia="Calibri" w:hAnsi="Calibri" w:cs="Calibri"/>
          <w:color w:val="002060"/>
          <w:kern w:val="0"/>
          <w14:ligatures w14:val="none"/>
        </w:rPr>
      </w:pPr>
      <w:r w:rsidRPr="001F501D">
        <w:rPr>
          <w:rFonts w:ascii="Calibri" w:eastAsia="Calibri" w:hAnsi="Calibri" w:cs="Calibri"/>
          <w:b/>
          <w:bCs/>
          <w:color w:val="002060"/>
          <w:kern w:val="0"/>
          <w14:ligatures w14:val="none"/>
        </w:rPr>
        <w:t>Segurança:</w:t>
      </w:r>
      <w:r w:rsidRPr="001F501D">
        <w:rPr>
          <w:rFonts w:ascii="Calibri" w:eastAsia="Calibri" w:hAnsi="Calibri" w:cs="Calibri"/>
          <w:color w:val="002060"/>
          <w:kern w:val="0"/>
          <w14:ligatures w14:val="none"/>
        </w:rPr>
        <w:t xml:space="preserve"> A instalação de 620 pontos dedicados à Segurança Pública e 159 em Postos de Fronteira tem sido crucial no combate ao crime, reforçando a segurança nas áreas mais sensíveis.</w:t>
      </w:r>
    </w:p>
    <w:p w14:paraId="7EB6CEAE" w14:textId="77777777" w:rsidR="001F501D" w:rsidRPr="001F501D" w:rsidRDefault="001F501D" w:rsidP="001F501D">
      <w:pPr>
        <w:spacing w:after="0"/>
        <w:jc w:val="both"/>
        <w:rPr>
          <w:rFonts w:ascii="Calibri" w:eastAsia="Calibri" w:hAnsi="Calibri" w:cs="Calibri"/>
          <w:color w:val="002060"/>
          <w:kern w:val="0"/>
          <w14:ligatures w14:val="none"/>
        </w:rPr>
      </w:pPr>
      <w:r w:rsidRPr="001F501D">
        <w:rPr>
          <w:rFonts w:ascii="Calibri" w:eastAsia="Calibri" w:hAnsi="Calibri" w:cs="Calibri"/>
          <w:b/>
          <w:bCs/>
          <w:color w:val="002060"/>
          <w:kern w:val="0"/>
          <w14:ligatures w14:val="none"/>
        </w:rPr>
        <w:t>Economia:</w:t>
      </w:r>
      <w:r w:rsidRPr="001F501D">
        <w:rPr>
          <w:rFonts w:ascii="Calibri" w:eastAsia="Calibri" w:hAnsi="Calibri" w:cs="Calibri"/>
          <w:color w:val="002060"/>
          <w:kern w:val="0"/>
          <w14:ligatures w14:val="none"/>
        </w:rPr>
        <w:t xml:space="preserve"> O acesso à internet tem fomentado a geração de renda em locais remotos, beneficiando a população dessas regiões.</w:t>
      </w:r>
    </w:p>
    <w:p w14:paraId="4623F254" w14:textId="77777777" w:rsidR="001F501D" w:rsidRPr="001F501D" w:rsidRDefault="001F501D" w:rsidP="001F501D">
      <w:pPr>
        <w:spacing w:after="0"/>
        <w:jc w:val="both"/>
        <w:rPr>
          <w:rFonts w:ascii="Calibri" w:eastAsia="Calibri" w:hAnsi="Calibri" w:cs="Calibri"/>
          <w:color w:val="002060"/>
          <w:kern w:val="0"/>
          <w14:ligatures w14:val="none"/>
        </w:rPr>
      </w:pPr>
      <w:r w:rsidRPr="001F501D">
        <w:rPr>
          <w:rFonts w:ascii="Calibri" w:eastAsia="Calibri" w:hAnsi="Calibri" w:cs="Calibri"/>
          <w:color w:val="002060"/>
          <w:kern w:val="0"/>
          <w14:ligatures w14:val="none"/>
        </w:rPr>
        <w:t>Esses números demonstram que a Telebras continua trabalhando arduamente para garantir que a inclusão digital se torne uma realidade, independentemente de sua localização geográfica e permanece dedicada a atuar na política pública de telecomunicações no Brasil e a contribuir para um país mais conectado e inclusivo.</w:t>
      </w:r>
    </w:p>
    <w:p w14:paraId="6C1469F0" w14:textId="77777777" w:rsidR="001F501D" w:rsidRPr="001F501D" w:rsidRDefault="001F501D" w:rsidP="001F501D">
      <w:pPr>
        <w:spacing w:after="0"/>
        <w:jc w:val="both"/>
        <w:rPr>
          <w:rFonts w:ascii="Calibri" w:eastAsia="Calibri" w:hAnsi="Calibri" w:cs="Calibri"/>
          <w:color w:val="002060"/>
          <w:kern w:val="0"/>
          <w14:ligatures w14:val="none"/>
        </w:rPr>
      </w:pPr>
      <w:r w:rsidRPr="001F501D">
        <w:rPr>
          <w:rFonts w:ascii="Calibri" w:eastAsia="Calibri" w:hAnsi="Calibri" w:cs="Calibri"/>
          <w:color w:val="002060"/>
          <w:kern w:val="0"/>
          <w14:ligatures w14:val="none"/>
        </w:rPr>
        <w:t xml:space="preserve">Embora a Telebras opere sob um conjunto de diretrizes voltadas para políticas públicas, distintas das condições de mercado enfrentadas por empresas privadas no setor de telecomunicações, é importante salientar que mantemos equivalência em aspectos cruciais como preços dos serviços, níveis de Acordos de Nível de Serviço (SLA), condições contratuais, adoção de tecnologias e na qualidade do atendimento ao cliente. Essa equivalência é estratégica, permitindo que a Telebras promova a inclusão digital e o acesso equitativo aos serviços de telecomunicações em todo o território nacional, alinhando-se assim aos objetivos nacionais de desenvolvimento socioeconômico, sem </w:t>
      </w:r>
      <w:proofErr w:type="gramStart"/>
      <w:r w:rsidRPr="001F501D">
        <w:rPr>
          <w:rFonts w:ascii="Calibri" w:eastAsia="Calibri" w:hAnsi="Calibri" w:cs="Calibri"/>
          <w:color w:val="002060"/>
          <w:kern w:val="0"/>
          <w14:ligatures w14:val="none"/>
        </w:rPr>
        <w:t>abrir mão da</w:t>
      </w:r>
      <w:proofErr w:type="gramEnd"/>
      <w:r w:rsidRPr="001F501D">
        <w:rPr>
          <w:rFonts w:ascii="Calibri" w:eastAsia="Calibri" w:hAnsi="Calibri" w:cs="Calibri"/>
          <w:color w:val="002060"/>
          <w:kern w:val="0"/>
          <w14:ligatures w14:val="none"/>
        </w:rPr>
        <w:t xml:space="preserve"> competitividade e das melhores práticas de mercado. Desta forma, mesmo operando em um contexto diferenciado, a Telebras reafirma seu compromisso com a promoção de uma sociedade mais conectada e inclusiva, garantindo condições de serviço comparáveis às melhores disponíveis no setor privado.</w:t>
      </w:r>
    </w:p>
    <w:p w14:paraId="1E7BD416" w14:textId="5C421983" w:rsidR="001F501D" w:rsidRPr="001F501D" w:rsidRDefault="001F501D" w:rsidP="001F501D">
      <w:pPr>
        <w:spacing w:after="0"/>
        <w:jc w:val="both"/>
        <w:rPr>
          <w:rFonts w:ascii="Calibri" w:eastAsia="Calibri" w:hAnsi="Calibri" w:cs="Calibri"/>
          <w:b/>
          <w:bCs/>
          <w:color w:val="002060"/>
          <w:kern w:val="0"/>
          <w14:ligatures w14:val="none"/>
        </w:rPr>
      </w:pPr>
      <w:bookmarkStart w:id="29" w:name="_Toc161319448"/>
      <w:r>
        <w:rPr>
          <w:rFonts w:ascii="Calibri" w:eastAsia="Calibri" w:hAnsi="Calibri" w:cs="Calibri"/>
          <w:b/>
          <w:bCs/>
          <w:color w:val="002060"/>
          <w:kern w:val="0"/>
          <w14:ligatures w14:val="none"/>
        </w:rPr>
        <w:t xml:space="preserve">5. </w:t>
      </w:r>
      <w:r w:rsidRPr="001F501D">
        <w:rPr>
          <w:rFonts w:ascii="Calibri" w:eastAsia="Calibri" w:hAnsi="Calibri" w:cs="Calibri"/>
          <w:b/>
          <w:bCs/>
          <w:color w:val="002060"/>
          <w:kern w:val="0"/>
          <w14:ligatures w14:val="none"/>
        </w:rPr>
        <w:t>Governança Corporativa, Relações com Investidores e Mercado</w:t>
      </w:r>
      <w:bookmarkEnd w:id="29"/>
    </w:p>
    <w:p w14:paraId="370C59B3" w14:textId="6DABAC22" w:rsidR="00175066" w:rsidRPr="00175066" w:rsidRDefault="00175066" w:rsidP="00175066">
      <w:pPr>
        <w:spacing w:after="0"/>
        <w:jc w:val="both"/>
        <w:rPr>
          <w:rFonts w:ascii="Calibri" w:eastAsia="Calibri" w:hAnsi="Calibri" w:cs="Calibri"/>
          <w:color w:val="002060"/>
          <w:kern w:val="0"/>
          <w14:ligatures w14:val="none"/>
        </w:rPr>
      </w:pPr>
      <w:r w:rsidRPr="00175066">
        <w:rPr>
          <w:rFonts w:ascii="Calibri" w:eastAsia="Calibri" w:hAnsi="Calibri" w:cs="Calibri"/>
          <w:color w:val="002060"/>
          <w:kern w:val="0"/>
          <w14:ligatures w14:val="none"/>
        </w:rPr>
        <w:t>A Telebras trabalha em proposta de aprimoramento do modelo atual a partir dos referenciais de governança que orientam o setor, com destaque para os normativos e orientações emitidos pelos seguintes órgãos e instituições: Controladoria-Geral da União – CGU, Tribunal de Contas da União – TCU, Comissão Interministerial de Governança Corporativa e de Administração de Participações Societárias da União – CGPAR, Comissão de Valores Mobiliários – CVM, Instituto Brasileiro de Governança Corporativa – IBGC, entre outros.</w:t>
      </w:r>
    </w:p>
    <w:p w14:paraId="6FD9EBE9" w14:textId="77777777" w:rsidR="00175066" w:rsidRPr="00175066" w:rsidRDefault="00175066" w:rsidP="00175066">
      <w:pPr>
        <w:spacing w:after="0"/>
        <w:jc w:val="both"/>
        <w:rPr>
          <w:rFonts w:ascii="Calibri" w:eastAsia="Calibri" w:hAnsi="Calibri" w:cs="Calibri"/>
          <w:color w:val="002060"/>
          <w:kern w:val="0"/>
          <w14:ligatures w14:val="none"/>
        </w:rPr>
      </w:pPr>
      <w:r w:rsidRPr="00175066">
        <w:rPr>
          <w:rFonts w:ascii="Calibri" w:eastAsia="Calibri" w:hAnsi="Calibri" w:cs="Calibri"/>
          <w:color w:val="002060"/>
          <w:kern w:val="0"/>
          <w14:ligatures w14:val="none"/>
        </w:rPr>
        <w:t>Foram concluídas as avaliações de desempenho de administradores e membros de conselhos e comitês referentes ao ano de 2022, conforme previsão na Lei nº 13.303/2016, no Decreto 8.945/2016 e no Estatuto Social da Companhia. O objetivo geral do processo é avaliar a efetividade dos órgãos estatutários na gestão da Companhia no que diz respeito às funções e responsabilidades aceitas como suas e pré-definidas nos instrumentos legais, estatuto e regimentos internos.</w:t>
      </w:r>
    </w:p>
    <w:p w14:paraId="163C3937" w14:textId="77777777" w:rsidR="00175066" w:rsidRPr="00175066" w:rsidRDefault="00175066" w:rsidP="00175066">
      <w:pPr>
        <w:spacing w:after="0"/>
        <w:jc w:val="both"/>
        <w:rPr>
          <w:rFonts w:ascii="Calibri" w:eastAsia="Calibri" w:hAnsi="Calibri" w:cs="Calibri"/>
          <w:color w:val="002060"/>
          <w:kern w:val="0"/>
          <w14:ligatures w14:val="none"/>
        </w:rPr>
      </w:pPr>
      <w:r w:rsidRPr="00175066">
        <w:rPr>
          <w:rFonts w:ascii="Calibri" w:eastAsia="Calibri" w:hAnsi="Calibri" w:cs="Calibri"/>
          <w:color w:val="002060"/>
          <w:kern w:val="0"/>
          <w14:ligatures w14:val="none"/>
        </w:rPr>
        <w:t xml:space="preserve">O processo avaliativo ocorreu em duas etapas, sendo que o primeiro grupo, composto pelo Conselho Fiscal, Comitê de Auditoria e Comitê de Pessoas, Elegibilidade, Sucessão e Remuneração, foi avaliado em dezembro de 2022, e o segundo grupo, composto pelo Conselho de Administração e pela Diretoria Executiva, foi avaliado em setembro de 2023. A metodologia de avaliação consistiu na aplicação, via formulário eletrônico, dos questionários padronizados disponibilizados pela SEST – Secretaria de Coordenação e Governança das Empresas Estatais – em sua Central de Conteúdos. </w:t>
      </w:r>
    </w:p>
    <w:p w14:paraId="1F6BB84B" w14:textId="2EBEED8B" w:rsidR="00175066" w:rsidRDefault="00175066" w:rsidP="00175066">
      <w:pPr>
        <w:spacing w:after="0"/>
        <w:jc w:val="both"/>
        <w:rPr>
          <w:rFonts w:ascii="Calibri" w:eastAsia="Calibri" w:hAnsi="Calibri" w:cs="Calibri"/>
          <w:color w:val="002060"/>
          <w:kern w:val="0"/>
          <w14:ligatures w14:val="none"/>
        </w:rPr>
      </w:pPr>
      <w:r w:rsidRPr="00175066">
        <w:rPr>
          <w:rFonts w:ascii="Calibri" w:eastAsia="Calibri" w:hAnsi="Calibri" w:cs="Calibri"/>
          <w:color w:val="002060"/>
          <w:kern w:val="0"/>
          <w14:ligatures w14:val="none"/>
        </w:rPr>
        <w:t>No mês de dezembro, foram apresentados à Diretoria Executiva e ao Conselho de Administração (501ª ROCA) os resultados consolidados das avaliações. Em seguimento, a Telebras está trabalhando na comunicação dos resultados às partes interessadas, incluindo as informações necessárias à verificação de conformidade que será realizada pelo Comitê de Pessoas, Elegibilidade, Sucessão e Remuneração</w:t>
      </w:r>
      <w:r>
        <w:rPr>
          <w:rFonts w:ascii="Calibri" w:eastAsia="Calibri" w:hAnsi="Calibri" w:cs="Calibri"/>
          <w:color w:val="002060"/>
          <w:kern w:val="0"/>
          <w14:ligatures w14:val="none"/>
        </w:rPr>
        <w:t xml:space="preserve">. </w:t>
      </w:r>
    </w:p>
    <w:p w14:paraId="0EBE0F3A" w14:textId="77777777" w:rsidR="00175066" w:rsidRDefault="00175066" w:rsidP="00175066">
      <w:pPr>
        <w:spacing w:after="0"/>
        <w:jc w:val="both"/>
        <w:rPr>
          <w:rFonts w:ascii="Calibri" w:eastAsia="Calibri" w:hAnsi="Calibri" w:cs="Calibri"/>
          <w:color w:val="002060"/>
          <w:kern w:val="0"/>
          <w14:ligatures w14:val="none"/>
        </w:rPr>
      </w:pPr>
    </w:p>
    <w:p w14:paraId="196E1ED8" w14:textId="027A1732" w:rsidR="00175066" w:rsidRPr="00175066" w:rsidRDefault="00175066" w:rsidP="00175066">
      <w:pPr>
        <w:spacing w:after="0"/>
        <w:jc w:val="both"/>
        <w:rPr>
          <w:rFonts w:ascii="Calibri" w:eastAsia="Calibri" w:hAnsi="Calibri" w:cs="Calibri"/>
          <w:b/>
          <w:bCs/>
          <w:iCs/>
          <w:color w:val="002060"/>
          <w:kern w:val="0"/>
          <w14:ligatures w14:val="none"/>
        </w:rPr>
      </w:pPr>
      <w:bookmarkStart w:id="30" w:name="_Toc161319449"/>
      <w:r>
        <w:rPr>
          <w:rFonts w:ascii="Calibri" w:eastAsia="Calibri" w:hAnsi="Calibri" w:cs="Calibri"/>
          <w:b/>
          <w:bCs/>
          <w:iCs/>
          <w:color w:val="002060"/>
          <w:kern w:val="0"/>
          <w14:ligatures w14:val="none"/>
        </w:rPr>
        <w:lastRenderedPageBreak/>
        <w:t xml:space="preserve">5.1. </w:t>
      </w:r>
      <w:r w:rsidRPr="00175066">
        <w:rPr>
          <w:rFonts w:ascii="Calibri" w:eastAsia="Calibri" w:hAnsi="Calibri" w:cs="Calibri"/>
          <w:b/>
          <w:bCs/>
          <w:iCs/>
          <w:color w:val="002060"/>
          <w:kern w:val="0"/>
          <w14:ligatures w14:val="none"/>
        </w:rPr>
        <w:t>Integridade, Riscos e Conformidade</w:t>
      </w:r>
      <w:bookmarkEnd w:id="30"/>
    </w:p>
    <w:p w14:paraId="73D0C784" w14:textId="77777777" w:rsidR="00175066" w:rsidRPr="00175066" w:rsidRDefault="00175066" w:rsidP="00175066">
      <w:pPr>
        <w:spacing w:after="0"/>
        <w:jc w:val="both"/>
        <w:rPr>
          <w:rFonts w:ascii="Calibri" w:eastAsia="Calibri" w:hAnsi="Calibri" w:cs="Calibri"/>
          <w:color w:val="002060"/>
          <w:kern w:val="0"/>
          <w14:ligatures w14:val="none"/>
        </w:rPr>
      </w:pPr>
      <w:r w:rsidRPr="00175066">
        <w:rPr>
          <w:rFonts w:ascii="Calibri" w:eastAsia="Calibri" w:hAnsi="Calibri" w:cs="Calibri"/>
          <w:color w:val="002060"/>
          <w:kern w:val="0"/>
          <w14:ligatures w14:val="none"/>
        </w:rPr>
        <w:t>Em setembro de 2023, a Telebras renovou seu compromisso com ética e transparência ao lançar a nova versão do Programa de Integridade, alinhado aos melhores padrões e normativas do setor público, incluindo diretrizes da CGU, em especial o Guia de Implantação de Programa de Integridade nas Empresas Estatais.</w:t>
      </w:r>
    </w:p>
    <w:p w14:paraId="2B831841" w14:textId="77777777" w:rsidR="00175066" w:rsidRDefault="00175066" w:rsidP="00175066">
      <w:pPr>
        <w:spacing w:after="0"/>
        <w:jc w:val="both"/>
        <w:rPr>
          <w:rFonts w:ascii="Calibri" w:eastAsia="Calibri" w:hAnsi="Calibri" w:cs="Calibri"/>
          <w:color w:val="002060"/>
          <w:kern w:val="0"/>
          <w14:ligatures w14:val="none"/>
        </w:rPr>
      </w:pPr>
      <w:r w:rsidRPr="00175066">
        <w:rPr>
          <w:rFonts w:ascii="Calibri" w:eastAsia="Calibri" w:hAnsi="Calibri" w:cs="Calibri"/>
          <w:color w:val="002060"/>
          <w:kern w:val="0"/>
          <w14:ligatures w14:val="none"/>
        </w:rPr>
        <w:t>O Programa de Integridade "Integra+", versão 3.0, para o biênio 2023-2024, reforça a cultura de integridade da empresa, visando prevenir e mitigar fraudes e atos de corrupção. Em 2023, das 13 iniciativas propostas aprovadas, 77% já foram iniciadas, incluindo diagnósticos de integridade e capacitações para a Alta Administração.</w:t>
      </w:r>
    </w:p>
    <w:p w14:paraId="38E1B490" w14:textId="77777777" w:rsidR="00175066" w:rsidRDefault="00175066" w:rsidP="00175066">
      <w:pPr>
        <w:spacing w:after="0"/>
        <w:jc w:val="both"/>
        <w:rPr>
          <w:rFonts w:ascii="Calibri" w:eastAsia="Calibri" w:hAnsi="Calibri" w:cs="Calibri"/>
          <w:color w:val="002060"/>
          <w:kern w:val="0"/>
          <w14:ligatures w14:val="none"/>
        </w:rPr>
      </w:pPr>
    </w:p>
    <w:p w14:paraId="59FD0F9A" w14:textId="5C4C68CD" w:rsidR="00175066" w:rsidRPr="00175066" w:rsidRDefault="00175066" w:rsidP="00175066">
      <w:pPr>
        <w:spacing w:after="0"/>
        <w:jc w:val="both"/>
        <w:rPr>
          <w:rFonts w:ascii="Calibri" w:eastAsia="Calibri" w:hAnsi="Calibri" w:cs="Calibri"/>
          <w:color w:val="002060"/>
          <w:kern w:val="0"/>
          <w14:ligatures w14:val="none"/>
        </w:rPr>
      </w:pPr>
      <w:r w:rsidRPr="00253E3B">
        <w:rPr>
          <w:rFonts w:eastAsia="Calibri"/>
          <w:noProof/>
          <w:lang w:eastAsia="pt-BR"/>
        </w:rPr>
        <w:drawing>
          <wp:inline distT="0" distB="0" distL="0" distR="0" wp14:anchorId="7A5D62DA" wp14:editId="682AA56C">
            <wp:extent cx="2222500" cy="1219200"/>
            <wp:effectExtent l="0" t="0" r="6350" b="0"/>
            <wp:docPr id="8" name="Imagem 8" descr="https://www.telebras.com.br/wp-content/uploads/2019/10/imagem-3_Prancheta-1-1-1024x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elebras.com.br/wp-content/uploads/2019/10/imagem-3_Prancheta-1-1-1024x59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2500" cy="1219200"/>
                    </a:xfrm>
                    <a:prstGeom prst="rect">
                      <a:avLst/>
                    </a:prstGeom>
                    <a:noFill/>
                    <a:ln>
                      <a:noFill/>
                    </a:ln>
                  </pic:spPr>
                </pic:pic>
              </a:graphicData>
            </a:graphic>
          </wp:inline>
        </w:drawing>
      </w:r>
    </w:p>
    <w:p w14:paraId="2063B4F1" w14:textId="77777777" w:rsidR="00175066" w:rsidRPr="001F501D" w:rsidRDefault="00175066" w:rsidP="001F501D">
      <w:pPr>
        <w:spacing w:after="0"/>
        <w:jc w:val="both"/>
        <w:rPr>
          <w:rFonts w:ascii="Calibri" w:eastAsia="Calibri" w:hAnsi="Calibri" w:cs="Calibri"/>
          <w:b/>
          <w:bCs/>
          <w:color w:val="002060"/>
          <w:kern w:val="0"/>
          <w14:ligatures w14:val="none"/>
        </w:rPr>
      </w:pPr>
    </w:p>
    <w:p w14:paraId="58BF7323" w14:textId="44194719" w:rsidR="00175066" w:rsidRPr="00175066" w:rsidRDefault="00175066" w:rsidP="00175066">
      <w:pPr>
        <w:tabs>
          <w:tab w:val="left" w:pos="851"/>
        </w:tabs>
        <w:spacing w:before="120" w:after="120" w:line="240" w:lineRule="auto"/>
        <w:jc w:val="both"/>
        <w:rPr>
          <w:rFonts w:eastAsia="Calibri" w:cs="Times New Roman"/>
          <w:color w:val="002060"/>
          <w:kern w:val="0"/>
          <w:szCs w:val="24"/>
          <w14:ligatures w14:val="none"/>
        </w:rPr>
      </w:pPr>
      <w:r w:rsidRPr="00175066">
        <w:rPr>
          <w:rFonts w:eastAsia="Calibri" w:cs="Times New Roman"/>
          <w:color w:val="002060"/>
          <w:kern w:val="0"/>
          <w:szCs w:val="24"/>
          <w14:ligatures w14:val="none"/>
        </w:rPr>
        <w:t>O Integra+ está estruturado em cinco pilares:</w:t>
      </w:r>
    </w:p>
    <w:p w14:paraId="2E5B462E" w14:textId="77777777" w:rsidR="00175066" w:rsidRDefault="00175066" w:rsidP="00175066">
      <w:r w:rsidRPr="00175066">
        <w:rPr>
          <w:rFonts w:ascii="Calibri" w:eastAsia="Calibri" w:hAnsi="Calibri" w:cs="Times New Roman"/>
          <w:noProof/>
          <w:color w:val="002060"/>
          <w:kern w:val="0"/>
          <w:szCs w:val="24"/>
          <w:lang w:eastAsia="pt-BR"/>
          <w14:ligatures w14:val="none"/>
        </w:rPr>
        <w:drawing>
          <wp:inline distT="0" distB="0" distL="0" distR="0" wp14:anchorId="011B2D84" wp14:editId="316FA572">
            <wp:extent cx="4159250" cy="2195830"/>
            <wp:effectExtent l="0" t="0" r="0" b="0"/>
            <wp:docPr id="56" name="Imagem 56" descr="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m 56" descr="Linha do tempo&#10;&#10;Descrição gerada automaticamente"/>
                    <pic:cNvPicPr/>
                  </pic:nvPicPr>
                  <pic:blipFill>
                    <a:blip r:embed="rId14">
                      <a:extLst>
                        <a:ext uri="{28A0092B-C50C-407E-A947-70E740481C1C}">
                          <a14:useLocalDpi xmlns:a14="http://schemas.microsoft.com/office/drawing/2010/main" val="0"/>
                        </a:ext>
                      </a:extLst>
                    </a:blip>
                    <a:stretch>
                      <a:fillRect/>
                    </a:stretch>
                  </pic:blipFill>
                  <pic:spPr>
                    <a:xfrm>
                      <a:off x="0" y="0"/>
                      <a:ext cx="4159292" cy="2195852"/>
                    </a:xfrm>
                    <a:prstGeom prst="rect">
                      <a:avLst/>
                    </a:prstGeom>
                  </pic:spPr>
                </pic:pic>
              </a:graphicData>
            </a:graphic>
          </wp:inline>
        </w:drawing>
      </w:r>
      <w:bookmarkStart w:id="31" w:name="_Toc159258265"/>
    </w:p>
    <w:p w14:paraId="368C58F7" w14:textId="239E4AAF" w:rsidR="00175066" w:rsidRDefault="00175066" w:rsidP="00175066">
      <w:pPr>
        <w:rPr>
          <w:rFonts w:ascii="Calibri" w:eastAsia="Calibri" w:hAnsi="Calibri" w:cs="Times New Roman"/>
          <w:bCs/>
          <w:noProof/>
          <w:color w:val="002060"/>
          <w:kern w:val="0"/>
          <w:sz w:val="20"/>
          <w:szCs w:val="20"/>
          <w:lang w:eastAsia="pt-BR"/>
          <w14:ligatures w14:val="none"/>
        </w:rPr>
      </w:pPr>
      <w:r>
        <w:t xml:space="preserve">                                 </w:t>
      </w:r>
      <w:r w:rsidRPr="00175066">
        <w:rPr>
          <w:rFonts w:ascii="Calibri" w:eastAsia="Calibri" w:hAnsi="Calibri" w:cs="Times New Roman"/>
          <w:bCs/>
          <w:noProof/>
          <w:color w:val="002060"/>
          <w:kern w:val="0"/>
          <w:sz w:val="20"/>
          <w:szCs w:val="20"/>
          <w:lang w:eastAsia="pt-BR"/>
          <w14:ligatures w14:val="none"/>
        </w:rPr>
        <w:t xml:space="preserve">Figura </w:t>
      </w:r>
      <w:r w:rsidRPr="00175066">
        <w:rPr>
          <w:rFonts w:ascii="Calibri" w:eastAsia="Calibri" w:hAnsi="Calibri" w:cs="Times New Roman"/>
          <w:bCs/>
          <w:noProof/>
          <w:color w:val="002060"/>
          <w:kern w:val="0"/>
          <w:sz w:val="20"/>
          <w:szCs w:val="20"/>
          <w:lang w:eastAsia="pt-BR"/>
          <w14:ligatures w14:val="none"/>
        </w:rPr>
        <w:fldChar w:fldCharType="begin"/>
      </w:r>
      <w:r w:rsidRPr="00175066">
        <w:rPr>
          <w:rFonts w:ascii="Calibri" w:eastAsia="Calibri" w:hAnsi="Calibri" w:cs="Times New Roman"/>
          <w:bCs/>
          <w:noProof/>
          <w:color w:val="002060"/>
          <w:kern w:val="0"/>
          <w:sz w:val="20"/>
          <w:szCs w:val="20"/>
          <w:lang w:eastAsia="pt-BR"/>
          <w14:ligatures w14:val="none"/>
        </w:rPr>
        <w:instrText xml:space="preserve"> STYLEREF 1 \s </w:instrText>
      </w:r>
      <w:r w:rsidRPr="00175066">
        <w:rPr>
          <w:rFonts w:ascii="Calibri" w:eastAsia="Calibri" w:hAnsi="Calibri" w:cs="Times New Roman"/>
          <w:bCs/>
          <w:noProof/>
          <w:color w:val="002060"/>
          <w:kern w:val="0"/>
          <w:sz w:val="20"/>
          <w:szCs w:val="20"/>
          <w:lang w:eastAsia="pt-BR"/>
          <w14:ligatures w14:val="none"/>
        </w:rPr>
        <w:fldChar w:fldCharType="separate"/>
      </w:r>
      <w:r w:rsidRPr="00175066">
        <w:rPr>
          <w:rFonts w:ascii="Calibri" w:eastAsia="Calibri" w:hAnsi="Calibri" w:cs="Times New Roman"/>
          <w:bCs/>
          <w:noProof/>
          <w:color w:val="002060"/>
          <w:kern w:val="0"/>
          <w:sz w:val="20"/>
          <w:szCs w:val="20"/>
          <w:lang w:eastAsia="pt-BR"/>
          <w14:ligatures w14:val="none"/>
        </w:rPr>
        <w:t>5</w:t>
      </w:r>
      <w:r w:rsidRPr="00175066">
        <w:rPr>
          <w:rFonts w:ascii="Calibri" w:eastAsia="Calibri" w:hAnsi="Calibri" w:cs="Times New Roman"/>
          <w:noProof/>
          <w:color w:val="002060"/>
          <w:kern w:val="0"/>
          <w:sz w:val="20"/>
          <w:szCs w:val="20"/>
          <w:lang w:eastAsia="pt-BR"/>
          <w14:ligatures w14:val="none"/>
        </w:rPr>
        <w:fldChar w:fldCharType="end"/>
      </w:r>
      <w:r w:rsidRPr="00175066">
        <w:rPr>
          <w:rFonts w:ascii="Calibri" w:eastAsia="Calibri" w:hAnsi="Calibri" w:cs="Times New Roman"/>
          <w:bCs/>
          <w:noProof/>
          <w:color w:val="002060"/>
          <w:kern w:val="0"/>
          <w:sz w:val="20"/>
          <w:szCs w:val="20"/>
          <w:lang w:eastAsia="pt-BR"/>
          <w14:ligatures w14:val="none"/>
        </w:rPr>
        <w:noBreakHyphen/>
      </w:r>
      <w:r w:rsidRPr="00175066">
        <w:rPr>
          <w:rFonts w:ascii="Calibri" w:eastAsia="Calibri" w:hAnsi="Calibri" w:cs="Times New Roman"/>
          <w:bCs/>
          <w:noProof/>
          <w:color w:val="002060"/>
          <w:kern w:val="0"/>
          <w:sz w:val="20"/>
          <w:szCs w:val="20"/>
          <w:lang w:eastAsia="pt-BR"/>
          <w14:ligatures w14:val="none"/>
        </w:rPr>
        <w:fldChar w:fldCharType="begin"/>
      </w:r>
      <w:r w:rsidRPr="00175066">
        <w:rPr>
          <w:rFonts w:ascii="Calibri" w:eastAsia="Calibri" w:hAnsi="Calibri" w:cs="Times New Roman"/>
          <w:bCs/>
          <w:noProof/>
          <w:color w:val="002060"/>
          <w:kern w:val="0"/>
          <w:sz w:val="20"/>
          <w:szCs w:val="20"/>
          <w:lang w:eastAsia="pt-BR"/>
          <w14:ligatures w14:val="none"/>
        </w:rPr>
        <w:instrText xml:space="preserve"> SEQ Figura \* ARABIC \s 1 </w:instrText>
      </w:r>
      <w:r w:rsidRPr="00175066">
        <w:rPr>
          <w:rFonts w:ascii="Calibri" w:eastAsia="Calibri" w:hAnsi="Calibri" w:cs="Times New Roman"/>
          <w:bCs/>
          <w:noProof/>
          <w:color w:val="002060"/>
          <w:kern w:val="0"/>
          <w:sz w:val="20"/>
          <w:szCs w:val="20"/>
          <w:lang w:eastAsia="pt-BR"/>
          <w14:ligatures w14:val="none"/>
        </w:rPr>
        <w:fldChar w:fldCharType="separate"/>
      </w:r>
      <w:r w:rsidRPr="00175066">
        <w:rPr>
          <w:rFonts w:ascii="Calibri" w:eastAsia="Calibri" w:hAnsi="Calibri" w:cs="Times New Roman"/>
          <w:bCs/>
          <w:noProof/>
          <w:color w:val="002060"/>
          <w:kern w:val="0"/>
          <w:sz w:val="20"/>
          <w:szCs w:val="20"/>
          <w:lang w:eastAsia="pt-BR"/>
          <w14:ligatures w14:val="none"/>
        </w:rPr>
        <w:t>1</w:t>
      </w:r>
      <w:r w:rsidRPr="00175066">
        <w:rPr>
          <w:rFonts w:ascii="Calibri" w:eastAsia="Calibri" w:hAnsi="Calibri" w:cs="Times New Roman"/>
          <w:noProof/>
          <w:color w:val="002060"/>
          <w:kern w:val="0"/>
          <w:sz w:val="20"/>
          <w:szCs w:val="20"/>
          <w:lang w:eastAsia="pt-BR"/>
          <w14:ligatures w14:val="none"/>
        </w:rPr>
        <w:fldChar w:fldCharType="end"/>
      </w:r>
      <w:r w:rsidRPr="00175066">
        <w:rPr>
          <w:rFonts w:ascii="Calibri" w:eastAsia="Calibri" w:hAnsi="Calibri" w:cs="Times New Roman"/>
          <w:bCs/>
          <w:noProof/>
          <w:color w:val="002060"/>
          <w:kern w:val="0"/>
          <w:sz w:val="20"/>
          <w:szCs w:val="20"/>
          <w:lang w:eastAsia="pt-BR"/>
          <w14:ligatures w14:val="none"/>
        </w:rPr>
        <w:t xml:space="preserve"> Pilares do Programa de Integridade</w:t>
      </w:r>
      <w:bookmarkEnd w:id="31"/>
    </w:p>
    <w:p w14:paraId="2164D892" w14:textId="77777777" w:rsidR="00175066" w:rsidRPr="00175066" w:rsidRDefault="00175066" w:rsidP="00874AA4">
      <w:pPr>
        <w:tabs>
          <w:tab w:val="left" w:pos="851"/>
        </w:tabs>
        <w:spacing w:after="0" w:line="240" w:lineRule="auto"/>
        <w:jc w:val="both"/>
        <w:rPr>
          <w:rFonts w:ascii="Calibri" w:eastAsia="Calibri" w:hAnsi="Calibri" w:cs="Calibri"/>
          <w:color w:val="002060"/>
          <w:kern w:val="0"/>
          <w:szCs w:val="24"/>
          <w14:ligatures w14:val="none"/>
        </w:rPr>
      </w:pPr>
      <w:r w:rsidRPr="00175066">
        <w:rPr>
          <w:rFonts w:ascii="Calibri" w:eastAsia="Calibri" w:hAnsi="Calibri" w:cs="Calibri"/>
          <w:color w:val="002060"/>
          <w:kern w:val="0"/>
          <w:szCs w:val="24"/>
          <w14:ligatures w14:val="none"/>
        </w:rPr>
        <w:t xml:space="preserve">A gestão de riscos segue a Instrução Normativa Conjunta MP/CGU Nº 01/2016, com uma Política de Gestão de Riscos estabelecendo princípios e diretrizes para a identificação e controle de riscos estratégicos e operacionais. </w:t>
      </w:r>
    </w:p>
    <w:p w14:paraId="452E6085" w14:textId="77777777" w:rsidR="00175066" w:rsidRPr="00D26B5F" w:rsidRDefault="00175066" w:rsidP="00874AA4">
      <w:pPr>
        <w:tabs>
          <w:tab w:val="left" w:pos="851"/>
        </w:tabs>
        <w:spacing w:after="0" w:line="240" w:lineRule="auto"/>
        <w:jc w:val="both"/>
        <w:rPr>
          <w:rFonts w:ascii="Calibri" w:eastAsia="Calibri" w:hAnsi="Calibri" w:cs="Calibri"/>
          <w:color w:val="002060"/>
          <w:kern w:val="0"/>
          <w:szCs w:val="24"/>
          <w14:ligatures w14:val="none"/>
        </w:rPr>
      </w:pPr>
      <w:r w:rsidRPr="00175066">
        <w:rPr>
          <w:rFonts w:ascii="Calibri" w:eastAsia="Calibri" w:hAnsi="Calibri" w:cs="Calibri"/>
          <w:color w:val="002060"/>
          <w:kern w:val="0"/>
          <w:szCs w:val="24"/>
          <w14:ligatures w14:val="none"/>
        </w:rPr>
        <w:t>Em dezembro de 2022, o Conselho de Administração estabeleceu os principais riscos estratégicos da Companhia, abrangendo áreas como conhecimentos sobre tecnologias específicas, utilização da infraestrutura de telecomunicações, custos dos serviços prestados, aumento da concorrência no mercado e a pauta ESG, entre outros aspectos relevantes. Reconhecendo a importância de manter uma visão atualizada dos riscos e de identificar potenciais novos ameaças emergentes, foi identificada a necessidade de revisão e análise contínua desses riscos. Nesse contexto, está prevista uma análise abrangente para identificar e avaliar novos riscos no primeiro trimestre de 2024.</w:t>
      </w:r>
      <w:r w:rsidRPr="00175066" w:rsidDel="00710E03">
        <w:rPr>
          <w:rFonts w:ascii="Calibri" w:eastAsia="Calibri" w:hAnsi="Calibri" w:cs="Calibri"/>
          <w:color w:val="002060"/>
          <w:kern w:val="0"/>
          <w:szCs w:val="24"/>
          <w14:ligatures w14:val="none"/>
        </w:rPr>
        <w:t xml:space="preserve"> </w:t>
      </w:r>
    </w:p>
    <w:p w14:paraId="59F70CC6" w14:textId="77777777" w:rsidR="00874AA4" w:rsidRDefault="00175066" w:rsidP="00874AA4">
      <w:pPr>
        <w:tabs>
          <w:tab w:val="left" w:pos="851"/>
        </w:tabs>
        <w:spacing w:after="0" w:line="240" w:lineRule="auto"/>
        <w:jc w:val="both"/>
        <w:rPr>
          <w:rFonts w:ascii="Calibri" w:eastAsia="Calibri" w:hAnsi="Calibri" w:cs="Calibri"/>
          <w:color w:val="002060"/>
          <w:kern w:val="0"/>
          <w:szCs w:val="24"/>
          <w14:ligatures w14:val="none"/>
        </w:rPr>
      </w:pPr>
      <w:r w:rsidRPr="00175066">
        <w:rPr>
          <w:rFonts w:ascii="Calibri" w:eastAsia="Calibri" w:hAnsi="Calibri" w:cs="Calibri"/>
          <w:color w:val="002060"/>
          <w:kern w:val="0"/>
          <w:szCs w:val="24"/>
          <w14:ligatures w14:val="none"/>
        </w:rPr>
        <w:t>A Telebras adota uma abordagem proativa na gestão de riscos corporativos operacionais, envolvendo tanto a segunda quanto a primeira linha de defesa, visando avaliar e gerenciar os fatores de risco. Essa abordagem é embasada no valor gerado pela organização e abrange os riscos associados a projetos, processos, contratos e atividades específicas. Até dezembro de 2023, a Companhia monitorou</w:t>
      </w:r>
    </w:p>
    <w:p w14:paraId="6C0BD899" w14:textId="1C934CD3" w:rsidR="00175066" w:rsidRPr="00175066" w:rsidRDefault="00175066" w:rsidP="00874AA4">
      <w:pPr>
        <w:tabs>
          <w:tab w:val="left" w:pos="851"/>
        </w:tabs>
        <w:spacing w:after="0" w:line="240" w:lineRule="auto"/>
        <w:jc w:val="both"/>
        <w:rPr>
          <w:rFonts w:ascii="Calibri" w:eastAsia="Calibri" w:hAnsi="Calibri" w:cs="Calibri"/>
          <w:color w:val="002060"/>
          <w:kern w:val="0"/>
          <w:szCs w:val="24"/>
          <w14:ligatures w14:val="none"/>
        </w:rPr>
      </w:pPr>
      <w:r w:rsidRPr="00175066">
        <w:rPr>
          <w:rFonts w:ascii="Calibri" w:eastAsia="Calibri" w:hAnsi="Calibri" w:cs="Calibri"/>
          <w:color w:val="002060"/>
          <w:kern w:val="0"/>
          <w:szCs w:val="24"/>
          <w14:ligatures w14:val="none"/>
        </w:rPr>
        <w:lastRenderedPageBreak/>
        <w:t>ativamente um portfólio composto por 241 riscos corporativos, dos quais 8 eram estratégicos e 233 eram operacionais, reforçando seu compromisso contínuo com a identificação e gestão eficaz dessas possíveis ameaças.</w:t>
      </w:r>
    </w:p>
    <w:p w14:paraId="7026DBEB" w14:textId="6A780EEE" w:rsidR="00175066" w:rsidRDefault="00175066" w:rsidP="00175066">
      <w:pPr>
        <w:spacing w:after="0"/>
        <w:jc w:val="both"/>
        <w:rPr>
          <w:rFonts w:ascii="Calibri" w:eastAsia="Calibri" w:hAnsi="Calibri" w:cs="Calibri"/>
          <w:b/>
          <w:bCs/>
          <w:iCs/>
          <w:color w:val="002060"/>
          <w:kern w:val="0"/>
          <w14:ligatures w14:val="none"/>
        </w:rPr>
      </w:pPr>
      <w:bookmarkStart w:id="32" w:name="_Toc161319450"/>
      <w:r>
        <w:rPr>
          <w:rFonts w:ascii="Calibri" w:eastAsia="Calibri" w:hAnsi="Calibri" w:cs="Calibri"/>
          <w:b/>
          <w:bCs/>
          <w:iCs/>
          <w:color w:val="002060"/>
          <w:kern w:val="0"/>
          <w14:ligatures w14:val="none"/>
        </w:rPr>
        <w:t>5</w:t>
      </w:r>
      <w:r w:rsidR="00D26B5F">
        <w:rPr>
          <w:rFonts w:ascii="Calibri" w:eastAsia="Calibri" w:hAnsi="Calibri" w:cs="Calibri"/>
          <w:b/>
          <w:bCs/>
          <w:iCs/>
          <w:color w:val="002060"/>
          <w:kern w:val="0"/>
          <w14:ligatures w14:val="none"/>
        </w:rPr>
        <w:t xml:space="preserve">.2. </w:t>
      </w:r>
      <w:r w:rsidRPr="00175066">
        <w:rPr>
          <w:rFonts w:ascii="Calibri" w:eastAsia="Calibri" w:hAnsi="Calibri" w:cs="Calibri"/>
          <w:b/>
          <w:bCs/>
          <w:iCs/>
          <w:color w:val="002060"/>
          <w:kern w:val="0"/>
          <w14:ligatures w14:val="none"/>
        </w:rPr>
        <w:t>Gestão Ambiental, Social e de Governança – ESG</w:t>
      </w:r>
      <w:bookmarkEnd w:id="32"/>
    </w:p>
    <w:p w14:paraId="0BD3626E" w14:textId="77777777" w:rsidR="00D26B5F" w:rsidRPr="00D26B5F" w:rsidRDefault="00D26B5F" w:rsidP="00D26B5F">
      <w:pPr>
        <w:tabs>
          <w:tab w:val="left" w:pos="851"/>
        </w:tabs>
        <w:spacing w:after="0" w:line="240" w:lineRule="auto"/>
        <w:jc w:val="both"/>
        <w:rPr>
          <w:rFonts w:ascii="Calibri" w:eastAsia="Calibri" w:hAnsi="Calibri" w:cs="Calibri"/>
          <w:color w:val="002060"/>
          <w:kern w:val="0"/>
          <w:szCs w:val="24"/>
          <w14:ligatures w14:val="none"/>
        </w:rPr>
      </w:pPr>
      <w:r w:rsidRPr="00D26B5F">
        <w:rPr>
          <w:rFonts w:ascii="Calibri" w:eastAsia="Calibri" w:hAnsi="Calibri" w:cs="Calibri"/>
          <w:color w:val="002060"/>
          <w:kern w:val="0"/>
          <w:szCs w:val="24"/>
          <w14:ligatures w14:val="none"/>
        </w:rPr>
        <w:t>A Telebras reconhece a importância estratégica de adotar princípios e diretrizes de sustentabilidade e responsabilidade social como norteadores de suas ações, demonstrando seu compromisso como agente responsável e transparente perante a sociedade e o mercado.</w:t>
      </w:r>
    </w:p>
    <w:p w14:paraId="4773BBF3" w14:textId="77777777" w:rsidR="00D26B5F" w:rsidRDefault="00D26B5F" w:rsidP="00D26B5F">
      <w:pPr>
        <w:tabs>
          <w:tab w:val="left" w:pos="851"/>
        </w:tabs>
        <w:spacing w:after="0" w:line="240" w:lineRule="auto"/>
        <w:jc w:val="both"/>
        <w:rPr>
          <w:rFonts w:ascii="Calibri" w:eastAsia="Calibri" w:hAnsi="Calibri" w:cs="Calibri"/>
          <w:color w:val="002060"/>
          <w:kern w:val="0"/>
          <w:szCs w:val="24"/>
          <w14:ligatures w14:val="none"/>
        </w:rPr>
      </w:pPr>
      <w:r w:rsidRPr="00D26B5F">
        <w:rPr>
          <w:rFonts w:ascii="Calibri" w:eastAsia="Calibri" w:hAnsi="Calibri" w:cs="Calibri"/>
          <w:color w:val="002060"/>
          <w:kern w:val="0"/>
          <w:szCs w:val="24"/>
          <w14:ligatures w14:val="none"/>
        </w:rPr>
        <w:t>A Política Ambiental, Social e de Governança expressa o compromisso da Companhia com os valores universalmente reconhecidos no âmbito ambiental, social e de governança (ESG) e estabelece princípios de atuação para cada uma das áreas de foco. A seguir, destacamos alguns desses princípios:</w:t>
      </w:r>
    </w:p>
    <w:p w14:paraId="1C6CD053" w14:textId="5E77F86D" w:rsidR="00D26B5F" w:rsidRPr="00D26B5F" w:rsidRDefault="00D26B5F" w:rsidP="00D26B5F">
      <w:pPr>
        <w:tabs>
          <w:tab w:val="left" w:pos="851"/>
        </w:tabs>
        <w:spacing w:after="0" w:line="240" w:lineRule="auto"/>
        <w:jc w:val="both"/>
        <w:rPr>
          <w:rFonts w:ascii="Calibri" w:eastAsia="Calibri" w:hAnsi="Calibri" w:cs="Calibri"/>
          <w:color w:val="002060"/>
          <w:kern w:val="0"/>
          <w:szCs w:val="24"/>
          <w14:ligatures w14:val="none"/>
        </w:rPr>
      </w:pPr>
      <w:r w:rsidRPr="00D26B5F">
        <w:rPr>
          <w:rFonts w:ascii="Calibri" w:eastAsia="Calibri" w:hAnsi="Calibri" w:cs="Times New Roman"/>
          <w:noProof/>
          <w:color w:val="002060"/>
          <w:kern w:val="0"/>
          <w:szCs w:val="24"/>
          <w:lang w:eastAsia="pt-BR"/>
          <w14:ligatures w14:val="none"/>
        </w:rPr>
        <w:drawing>
          <wp:inline distT="0" distB="0" distL="0" distR="0" wp14:anchorId="3B825081" wp14:editId="2169C70C">
            <wp:extent cx="5398877" cy="4921250"/>
            <wp:effectExtent l="0" t="0" r="0" b="0"/>
            <wp:docPr id="295471125" name="Imagem 295471125" descr="C:\Users\erika.oliveira\Downloads\Princípios ES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rika.oliveira\Downloads\Princípios ESG (1).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4164" r="12902"/>
                    <a:stretch/>
                  </pic:blipFill>
                  <pic:spPr bwMode="auto">
                    <a:xfrm>
                      <a:off x="0" y="0"/>
                      <a:ext cx="5414329" cy="4935335"/>
                    </a:xfrm>
                    <a:prstGeom prst="rect">
                      <a:avLst/>
                    </a:prstGeom>
                    <a:noFill/>
                    <a:ln>
                      <a:noFill/>
                    </a:ln>
                    <a:extLst>
                      <a:ext uri="{53640926-AAD7-44D8-BBD7-CCE9431645EC}">
                        <a14:shadowObscured xmlns:a14="http://schemas.microsoft.com/office/drawing/2010/main"/>
                      </a:ext>
                    </a:extLst>
                  </pic:spPr>
                </pic:pic>
              </a:graphicData>
            </a:graphic>
          </wp:inline>
        </w:drawing>
      </w:r>
    </w:p>
    <w:p w14:paraId="309C7EDA" w14:textId="7AF92982" w:rsidR="00D26B5F" w:rsidRDefault="00D26B5F" w:rsidP="00D26B5F">
      <w:pPr>
        <w:tabs>
          <w:tab w:val="left" w:pos="851"/>
        </w:tabs>
        <w:spacing w:after="0" w:line="240" w:lineRule="auto"/>
        <w:jc w:val="both"/>
        <w:rPr>
          <w:rFonts w:ascii="Calibri" w:eastAsia="Calibri" w:hAnsi="Calibri" w:cs="Calibri"/>
          <w:color w:val="002060"/>
          <w:kern w:val="0"/>
          <w:szCs w:val="24"/>
          <w14:ligatures w14:val="none"/>
        </w:rPr>
      </w:pPr>
    </w:p>
    <w:p w14:paraId="4D73C14B" w14:textId="58009A87" w:rsidR="00D26B5F" w:rsidRDefault="00D26B5F" w:rsidP="00D26B5F">
      <w:pPr>
        <w:tabs>
          <w:tab w:val="left" w:pos="851"/>
        </w:tabs>
        <w:spacing w:after="0" w:line="240" w:lineRule="auto"/>
        <w:jc w:val="both"/>
        <w:rPr>
          <w:rFonts w:ascii="Calibri" w:eastAsia="Calibri" w:hAnsi="Calibri" w:cs="Calibri"/>
          <w:color w:val="002060"/>
          <w:kern w:val="0"/>
          <w:szCs w:val="24"/>
          <w14:ligatures w14:val="none"/>
        </w:rPr>
      </w:pPr>
      <w:r w:rsidRPr="00D26B5F">
        <w:rPr>
          <w:rFonts w:ascii="Calibri" w:eastAsia="Calibri" w:hAnsi="Calibri" w:cs="Calibri"/>
          <w:color w:val="002060"/>
          <w:kern w:val="0"/>
          <w:szCs w:val="24"/>
          <w14:ligatures w14:val="none"/>
        </w:rPr>
        <w:t>Ao fim de 2023, a Telebras decidiu fortalecer estrategicamente a pauta de ESG, considerando sua priorização e aumento da aderência ao negócio. Nesse sentido, os instrumentos normativos e de planejamento estão em processo de revisão, assim como a dinâmica de trabalho e as estratégias de implementação das iniciativas. Dentre as novas ações previstas, incluem-se a criação de um programa de lideranças femininas e ações específicas para promoção de diversidade.</w:t>
      </w:r>
    </w:p>
    <w:p w14:paraId="2FDEFA8B" w14:textId="63349394" w:rsidR="00D26B5F" w:rsidRPr="00D26B5F" w:rsidRDefault="00D26B5F" w:rsidP="00D26B5F">
      <w:pPr>
        <w:tabs>
          <w:tab w:val="left" w:pos="851"/>
        </w:tabs>
        <w:spacing w:after="0" w:line="240" w:lineRule="auto"/>
        <w:jc w:val="both"/>
        <w:rPr>
          <w:rFonts w:ascii="Calibri" w:eastAsia="Calibri" w:hAnsi="Calibri" w:cs="Calibri"/>
          <w:b/>
          <w:bCs/>
          <w:iCs/>
          <w:color w:val="002060"/>
          <w:kern w:val="0"/>
          <w:szCs w:val="24"/>
          <w14:ligatures w14:val="none"/>
        </w:rPr>
      </w:pPr>
      <w:bookmarkStart w:id="33" w:name="_Toc161319451"/>
      <w:r>
        <w:rPr>
          <w:rFonts w:ascii="Calibri" w:eastAsia="Calibri" w:hAnsi="Calibri" w:cs="Calibri"/>
          <w:b/>
          <w:bCs/>
          <w:iCs/>
          <w:color w:val="002060"/>
          <w:kern w:val="0"/>
          <w:szCs w:val="24"/>
          <w14:ligatures w14:val="none"/>
        </w:rPr>
        <w:t xml:space="preserve">5.3. </w:t>
      </w:r>
      <w:r w:rsidRPr="00D26B5F">
        <w:rPr>
          <w:rFonts w:ascii="Calibri" w:eastAsia="Calibri" w:hAnsi="Calibri" w:cs="Calibri"/>
          <w:b/>
          <w:bCs/>
          <w:iCs/>
          <w:color w:val="002060"/>
          <w:kern w:val="0"/>
          <w:szCs w:val="24"/>
          <w14:ligatures w14:val="none"/>
        </w:rPr>
        <w:t>Relações com Investidores e Mercado</w:t>
      </w:r>
      <w:bookmarkEnd w:id="33"/>
    </w:p>
    <w:p w14:paraId="183E6B82" w14:textId="77777777" w:rsidR="00D26B5F" w:rsidRPr="00D26B5F" w:rsidRDefault="00D26B5F" w:rsidP="00D26B5F">
      <w:pPr>
        <w:tabs>
          <w:tab w:val="left" w:pos="851"/>
        </w:tabs>
        <w:spacing w:after="0" w:line="240" w:lineRule="auto"/>
        <w:jc w:val="both"/>
        <w:rPr>
          <w:rFonts w:ascii="Calibri" w:eastAsia="Calibri" w:hAnsi="Calibri" w:cs="Calibri"/>
          <w:color w:val="002060"/>
          <w:kern w:val="0"/>
          <w:szCs w:val="24"/>
          <w14:ligatures w14:val="none"/>
        </w:rPr>
      </w:pPr>
      <w:r w:rsidRPr="00D26B5F">
        <w:rPr>
          <w:rFonts w:ascii="Calibri" w:eastAsia="Calibri" w:hAnsi="Calibri" w:cs="Calibri"/>
          <w:color w:val="002060"/>
          <w:kern w:val="0"/>
          <w:szCs w:val="24"/>
          <w14:ligatures w14:val="none"/>
        </w:rPr>
        <w:t xml:space="preserve">A Telebras manteve sua estrutura acionária inalterada, com um total de 67.975.599 ações ordinárias (ON) e 18.407.491 ações preferenciais (PN). </w:t>
      </w:r>
    </w:p>
    <w:p w14:paraId="2DAF18DE" w14:textId="77777777" w:rsidR="00D26B5F" w:rsidRDefault="00D26B5F" w:rsidP="00D26B5F">
      <w:pPr>
        <w:tabs>
          <w:tab w:val="left" w:pos="851"/>
        </w:tabs>
        <w:spacing w:after="0" w:line="240" w:lineRule="auto"/>
        <w:jc w:val="both"/>
        <w:rPr>
          <w:rFonts w:ascii="Calibri" w:eastAsia="Calibri" w:hAnsi="Calibri" w:cs="Calibri"/>
          <w:color w:val="002060"/>
          <w:kern w:val="0"/>
          <w:szCs w:val="24"/>
          <w14:ligatures w14:val="none"/>
        </w:rPr>
      </w:pPr>
      <w:r w:rsidRPr="00D26B5F">
        <w:rPr>
          <w:rFonts w:ascii="Calibri" w:eastAsia="Calibri" w:hAnsi="Calibri" w:cs="Calibri"/>
          <w:color w:val="002060"/>
          <w:kern w:val="0"/>
          <w:szCs w:val="24"/>
          <w14:ligatures w14:val="none"/>
        </w:rPr>
        <w:t>O quadro a seguir detalha os principais investidores da Companhia, enquanto o Organograma Societário fornece uma visão clara da estrutura organizacional e da distribuição acionária.</w:t>
      </w:r>
    </w:p>
    <w:p w14:paraId="04AF33D0" w14:textId="77777777" w:rsidR="00D26B5F" w:rsidRPr="00D26B5F" w:rsidRDefault="00D26B5F" w:rsidP="00D26B5F">
      <w:pPr>
        <w:tabs>
          <w:tab w:val="left" w:pos="851"/>
        </w:tabs>
        <w:spacing w:after="0" w:line="240" w:lineRule="auto"/>
        <w:jc w:val="both"/>
        <w:rPr>
          <w:rFonts w:ascii="Calibri" w:eastAsia="Calibri" w:hAnsi="Calibri" w:cs="Calibri"/>
          <w:color w:val="002060"/>
          <w:kern w:val="0"/>
          <w:szCs w:val="24"/>
          <w14:ligatures w14:val="none"/>
        </w:rPr>
      </w:pPr>
    </w:p>
    <w:p w14:paraId="7A54B12A" w14:textId="346C11AF" w:rsidR="00175066" w:rsidRPr="00D26B5F" w:rsidRDefault="00D26B5F" w:rsidP="00D26B5F">
      <w:pPr>
        <w:tabs>
          <w:tab w:val="left" w:pos="851"/>
        </w:tabs>
        <w:spacing w:after="0" w:line="240" w:lineRule="auto"/>
        <w:jc w:val="both"/>
        <w:rPr>
          <w:rFonts w:ascii="Calibri" w:eastAsia="Calibri" w:hAnsi="Calibri" w:cs="Calibri"/>
          <w:color w:val="002060"/>
          <w:kern w:val="0"/>
          <w:szCs w:val="24"/>
          <w14:ligatures w14:val="none"/>
        </w:rPr>
      </w:pPr>
      <w:r>
        <w:rPr>
          <w:noProof/>
          <w:lang w:eastAsia="pt-BR"/>
        </w:rPr>
        <w:drawing>
          <wp:inline distT="0" distB="0" distL="0" distR="0" wp14:anchorId="30EF4223" wp14:editId="43BC200A">
            <wp:extent cx="5400040" cy="1679179"/>
            <wp:effectExtent l="0" t="0" r="0" b="0"/>
            <wp:docPr id="166562905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1679179"/>
                    </a:xfrm>
                    <a:prstGeom prst="rect">
                      <a:avLst/>
                    </a:prstGeom>
                    <a:noFill/>
                  </pic:spPr>
                </pic:pic>
              </a:graphicData>
            </a:graphic>
          </wp:inline>
        </w:drawing>
      </w:r>
    </w:p>
    <w:p w14:paraId="3E519624" w14:textId="77777777" w:rsidR="00175066" w:rsidRPr="00D26B5F" w:rsidRDefault="00175066" w:rsidP="00D26B5F">
      <w:pPr>
        <w:tabs>
          <w:tab w:val="left" w:pos="851"/>
        </w:tabs>
        <w:spacing w:after="0" w:line="240" w:lineRule="auto"/>
        <w:jc w:val="both"/>
        <w:rPr>
          <w:rFonts w:ascii="Calibri" w:eastAsia="Calibri" w:hAnsi="Calibri" w:cs="Calibri"/>
          <w:color w:val="002060"/>
          <w:kern w:val="0"/>
          <w:szCs w:val="24"/>
          <w14:ligatures w14:val="none"/>
        </w:rPr>
      </w:pPr>
    </w:p>
    <w:p w14:paraId="37FCCA20" w14:textId="41348A28" w:rsidR="00175066" w:rsidRDefault="00D26B5F" w:rsidP="006B22F2">
      <w:r>
        <w:rPr>
          <w:noProof/>
          <w:lang w:eastAsia="pt-BR"/>
        </w:rPr>
        <w:drawing>
          <wp:inline distT="0" distB="0" distL="0" distR="0" wp14:anchorId="17A50084" wp14:editId="25416BE5">
            <wp:extent cx="5400040" cy="3119666"/>
            <wp:effectExtent l="0" t="0" r="0" b="5080"/>
            <wp:docPr id="14" name="Imagem 14" descr="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Linha do tempo&#10;&#10;Descrição gerada automaticamente"/>
                    <pic:cNvPicPr/>
                  </pic:nvPicPr>
                  <pic:blipFill>
                    <a:blip r:embed="rId17">
                      <a:extLst>
                        <a:ext uri="{28A0092B-C50C-407E-A947-70E740481C1C}">
                          <a14:useLocalDpi xmlns:a14="http://schemas.microsoft.com/office/drawing/2010/main" val="0"/>
                        </a:ext>
                      </a:extLst>
                    </a:blip>
                    <a:stretch>
                      <a:fillRect/>
                    </a:stretch>
                  </pic:blipFill>
                  <pic:spPr>
                    <a:xfrm>
                      <a:off x="0" y="0"/>
                      <a:ext cx="5400040" cy="3119666"/>
                    </a:xfrm>
                    <a:prstGeom prst="rect">
                      <a:avLst/>
                    </a:prstGeom>
                  </pic:spPr>
                </pic:pic>
              </a:graphicData>
            </a:graphic>
          </wp:inline>
        </w:drawing>
      </w:r>
    </w:p>
    <w:p w14:paraId="70D69ECB" w14:textId="77777777" w:rsidR="00D26B5F" w:rsidRDefault="00D26B5F" w:rsidP="00D26B5F">
      <w:pPr>
        <w:tabs>
          <w:tab w:val="left" w:pos="851"/>
        </w:tabs>
        <w:spacing w:after="0" w:line="240" w:lineRule="auto"/>
        <w:jc w:val="both"/>
        <w:rPr>
          <w:rFonts w:ascii="Calibri" w:eastAsia="Calibri" w:hAnsi="Calibri" w:cs="Calibri"/>
          <w:color w:val="002060"/>
          <w:kern w:val="0"/>
          <w:szCs w:val="24"/>
          <w14:ligatures w14:val="none"/>
        </w:rPr>
      </w:pPr>
      <w:r w:rsidRPr="00D26B5F">
        <w:rPr>
          <w:rFonts w:ascii="Calibri" w:eastAsia="Calibri" w:hAnsi="Calibri" w:cs="Calibri"/>
          <w:color w:val="002060"/>
          <w:kern w:val="0"/>
          <w:szCs w:val="24"/>
          <w14:ligatures w14:val="none"/>
        </w:rPr>
        <w:t>Os acionistas e investidores em obter mais informações podem contatar a Assessoria de Relações com Investidores pelo e-mail investidores@telebras.com.br ou pelo telefone (61) 2027-1210.</w:t>
      </w:r>
    </w:p>
    <w:p w14:paraId="0E0C28CA" w14:textId="0F310C4B" w:rsidR="00D26B5F" w:rsidRDefault="00D26B5F" w:rsidP="00D26B5F">
      <w:pPr>
        <w:tabs>
          <w:tab w:val="left" w:pos="851"/>
        </w:tabs>
        <w:spacing w:after="0" w:line="240" w:lineRule="auto"/>
        <w:jc w:val="both"/>
        <w:rPr>
          <w:rFonts w:ascii="Calibri" w:eastAsia="Calibri" w:hAnsi="Calibri" w:cs="Calibri"/>
          <w:b/>
          <w:bCs/>
          <w:iCs/>
          <w:color w:val="002060"/>
          <w:kern w:val="0"/>
          <w:szCs w:val="24"/>
          <w14:ligatures w14:val="none"/>
        </w:rPr>
      </w:pPr>
      <w:bookmarkStart w:id="34" w:name="_Toc161319452"/>
      <w:r>
        <w:rPr>
          <w:rFonts w:ascii="Calibri" w:eastAsia="Calibri" w:hAnsi="Calibri" w:cs="Calibri"/>
          <w:b/>
          <w:bCs/>
          <w:iCs/>
          <w:color w:val="002060"/>
          <w:kern w:val="0"/>
          <w:szCs w:val="24"/>
          <w14:ligatures w14:val="none"/>
        </w:rPr>
        <w:t xml:space="preserve">5.4. </w:t>
      </w:r>
      <w:r w:rsidRPr="00D26B5F">
        <w:rPr>
          <w:rFonts w:ascii="Calibri" w:eastAsia="Calibri" w:hAnsi="Calibri" w:cs="Calibri"/>
          <w:b/>
          <w:bCs/>
          <w:iCs/>
          <w:color w:val="002060"/>
          <w:kern w:val="0"/>
          <w:szCs w:val="24"/>
          <w14:ligatures w14:val="none"/>
        </w:rPr>
        <w:t>Gestão Empresarial</w:t>
      </w:r>
      <w:bookmarkEnd w:id="34"/>
    </w:p>
    <w:p w14:paraId="2B607164" w14:textId="0A8387ED" w:rsidR="00D26B5F" w:rsidRPr="00D26B5F" w:rsidRDefault="00D26B5F" w:rsidP="00D26B5F">
      <w:pPr>
        <w:tabs>
          <w:tab w:val="left" w:pos="851"/>
        </w:tabs>
        <w:spacing w:after="0" w:line="240" w:lineRule="auto"/>
        <w:jc w:val="both"/>
        <w:rPr>
          <w:rFonts w:ascii="Calibri" w:eastAsia="Calibri" w:hAnsi="Calibri" w:cs="Calibri"/>
          <w:b/>
          <w:bCs/>
          <w:iCs/>
          <w:color w:val="002060"/>
          <w:kern w:val="0"/>
          <w:szCs w:val="24"/>
          <w14:ligatures w14:val="none"/>
        </w:rPr>
      </w:pPr>
      <w:bookmarkStart w:id="35" w:name="_Toc161319453"/>
      <w:r>
        <w:rPr>
          <w:rFonts w:ascii="Calibri" w:eastAsia="Calibri" w:hAnsi="Calibri" w:cs="Calibri"/>
          <w:b/>
          <w:bCs/>
          <w:iCs/>
          <w:color w:val="002060"/>
          <w:kern w:val="0"/>
          <w:szCs w:val="24"/>
          <w14:ligatures w14:val="none"/>
        </w:rPr>
        <w:t xml:space="preserve">5.4.1. </w:t>
      </w:r>
      <w:r w:rsidRPr="00D26B5F">
        <w:rPr>
          <w:rFonts w:ascii="Calibri" w:eastAsia="Calibri" w:hAnsi="Calibri" w:cs="Calibri"/>
          <w:b/>
          <w:bCs/>
          <w:iCs/>
          <w:color w:val="002060"/>
          <w:kern w:val="0"/>
          <w:szCs w:val="24"/>
          <w14:ligatures w14:val="none"/>
        </w:rPr>
        <w:t>Desempenho Estratégico</w:t>
      </w:r>
      <w:bookmarkEnd w:id="35"/>
      <w:r w:rsidRPr="00D26B5F">
        <w:rPr>
          <w:rFonts w:ascii="Calibri" w:eastAsia="Calibri" w:hAnsi="Calibri" w:cs="Calibri"/>
          <w:b/>
          <w:bCs/>
          <w:iCs/>
          <w:color w:val="002060"/>
          <w:kern w:val="0"/>
          <w:szCs w:val="24"/>
          <w14:ligatures w14:val="none"/>
        </w:rPr>
        <w:tab/>
      </w:r>
    </w:p>
    <w:p w14:paraId="730E4E13" w14:textId="77777777" w:rsidR="00D26B5F" w:rsidRPr="00D26B5F" w:rsidRDefault="00D26B5F" w:rsidP="00D26B5F">
      <w:pPr>
        <w:tabs>
          <w:tab w:val="left" w:pos="851"/>
        </w:tabs>
        <w:spacing w:after="0" w:line="240" w:lineRule="auto"/>
        <w:jc w:val="both"/>
        <w:rPr>
          <w:rFonts w:ascii="Calibri" w:eastAsia="Arial" w:hAnsi="Calibri" w:cs="Times New Roman"/>
          <w:bCs/>
          <w:color w:val="002060"/>
          <w:kern w:val="0"/>
          <w:szCs w:val="24"/>
          <w:lang w:bidi="pt-BR"/>
          <w14:ligatures w14:val="none"/>
        </w:rPr>
      </w:pPr>
      <w:r w:rsidRPr="00D26B5F">
        <w:rPr>
          <w:rFonts w:ascii="Calibri" w:eastAsia="Arial" w:hAnsi="Calibri" w:cs="Times New Roman"/>
          <w:bCs/>
          <w:color w:val="002060"/>
          <w:kern w:val="0"/>
          <w:szCs w:val="24"/>
          <w:lang w:bidi="pt-BR"/>
          <w14:ligatures w14:val="none"/>
        </w:rPr>
        <w:t>Em 2023, a Telebras reformulou seu Planejamento Estratégico para o quinquênio 2024 a 2028. Os direcionadores estratégicos enfatizam o atendimento às políticas de telecomunicações, segurança nacional e gestão sustentável, na diversificação do portfólio de produtos e serviços e na gestão eficiente dos recursos materiais, orçamentários, financeiros e patrimoniais.  Os direcionadores estratégicos atualizados, estão descritos a seguir:</w:t>
      </w:r>
    </w:p>
    <w:p w14:paraId="06D61FAC" w14:textId="77777777" w:rsidR="00D26B5F" w:rsidRPr="00D26B5F" w:rsidRDefault="00D26B5F" w:rsidP="00D26B5F">
      <w:pPr>
        <w:tabs>
          <w:tab w:val="left" w:pos="851"/>
        </w:tabs>
        <w:spacing w:after="0" w:line="240" w:lineRule="auto"/>
        <w:jc w:val="both"/>
        <w:rPr>
          <w:rFonts w:ascii="Calibri" w:eastAsia="Arial" w:hAnsi="Calibri" w:cs="Arial"/>
          <w:bCs/>
          <w:color w:val="002060"/>
          <w:kern w:val="0"/>
          <w:szCs w:val="24"/>
          <w:lang w:bidi="pt-BR"/>
          <w14:ligatures w14:val="none"/>
        </w:rPr>
      </w:pPr>
      <w:r w:rsidRPr="00D26B5F">
        <w:rPr>
          <w:rFonts w:ascii="Calibri" w:eastAsia="Arial" w:hAnsi="Calibri" w:cs="Arial"/>
          <w:b/>
          <w:bCs/>
          <w:color w:val="002060"/>
          <w:kern w:val="0"/>
          <w:szCs w:val="24"/>
          <w:lang w:bidi="pt-BR"/>
          <w14:ligatures w14:val="none"/>
        </w:rPr>
        <w:t xml:space="preserve">Missão: </w:t>
      </w:r>
      <w:r w:rsidRPr="00D26B5F">
        <w:rPr>
          <w:rFonts w:ascii="Calibri" w:eastAsia="Arial" w:hAnsi="Calibri" w:cs="Arial"/>
          <w:bCs/>
          <w:color w:val="002060"/>
          <w:kern w:val="0"/>
          <w:szCs w:val="24"/>
          <w:lang w:bidi="pt-BR"/>
          <w14:ligatures w14:val="none"/>
        </w:rPr>
        <w:t>Conectar o Brasil com soluções de telecomunicações e tecnológicas para a segurança e o desenvolvimento nacional, democratizando o acesso à informação.</w:t>
      </w:r>
    </w:p>
    <w:p w14:paraId="5F89CB32" w14:textId="77777777" w:rsidR="00D26B5F" w:rsidRPr="00D26B5F" w:rsidRDefault="00D26B5F" w:rsidP="00D26B5F">
      <w:pPr>
        <w:tabs>
          <w:tab w:val="left" w:pos="851"/>
        </w:tabs>
        <w:spacing w:after="0" w:line="240" w:lineRule="auto"/>
        <w:jc w:val="both"/>
        <w:rPr>
          <w:rFonts w:ascii="Calibri" w:eastAsia="Arial" w:hAnsi="Calibri" w:cs="Arial"/>
          <w:bCs/>
          <w:color w:val="002060"/>
          <w:kern w:val="0"/>
          <w:szCs w:val="24"/>
          <w:lang w:bidi="pt-BR"/>
          <w14:ligatures w14:val="none"/>
        </w:rPr>
      </w:pPr>
      <w:r w:rsidRPr="00D26B5F">
        <w:rPr>
          <w:rFonts w:ascii="Calibri" w:eastAsia="Arial" w:hAnsi="Calibri" w:cs="Arial"/>
          <w:b/>
          <w:bCs/>
          <w:color w:val="002060"/>
          <w:kern w:val="0"/>
          <w:szCs w:val="24"/>
          <w:lang w:bidi="pt-BR"/>
          <w14:ligatures w14:val="none"/>
        </w:rPr>
        <w:t xml:space="preserve">Visão: </w:t>
      </w:r>
      <w:r w:rsidRPr="00D26B5F">
        <w:rPr>
          <w:rFonts w:ascii="Calibri" w:eastAsia="Arial" w:hAnsi="Calibri" w:cs="Arial"/>
          <w:bCs/>
          <w:color w:val="002060"/>
          <w:kern w:val="0"/>
          <w:szCs w:val="24"/>
          <w:lang w:bidi="pt-BR"/>
          <w14:ligatures w14:val="none"/>
        </w:rPr>
        <w:t xml:space="preserve">Ser reconhecida como o provedor de comunicação segura de Estado e de soluções de telecomunicações e tecnológicas em apoio às políticas públicas. </w:t>
      </w:r>
    </w:p>
    <w:p w14:paraId="44452278" w14:textId="77777777" w:rsidR="00D26B5F" w:rsidRPr="00D26B5F" w:rsidRDefault="00D26B5F" w:rsidP="00D26B5F">
      <w:pPr>
        <w:tabs>
          <w:tab w:val="left" w:pos="851"/>
        </w:tabs>
        <w:spacing w:after="0" w:line="240" w:lineRule="auto"/>
        <w:jc w:val="both"/>
        <w:rPr>
          <w:rFonts w:ascii="Calibri" w:eastAsia="Arial" w:hAnsi="Calibri" w:cs="Arial"/>
          <w:b/>
          <w:bCs/>
          <w:color w:val="002060"/>
          <w:kern w:val="0"/>
          <w:szCs w:val="24"/>
          <w:lang w:bidi="pt-BR"/>
          <w14:ligatures w14:val="none"/>
        </w:rPr>
      </w:pPr>
      <w:r w:rsidRPr="00D26B5F">
        <w:rPr>
          <w:rFonts w:ascii="Calibri" w:eastAsia="Arial" w:hAnsi="Calibri" w:cs="Arial"/>
          <w:b/>
          <w:bCs/>
          <w:color w:val="002060"/>
          <w:kern w:val="0"/>
          <w:szCs w:val="24"/>
          <w:lang w:bidi="pt-BR"/>
          <w14:ligatures w14:val="none"/>
        </w:rPr>
        <w:t>Valores:</w:t>
      </w:r>
    </w:p>
    <w:p w14:paraId="2B481F40" w14:textId="77777777" w:rsidR="00D26B5F" w:rsidRPr="00D26B5F" w:rsidRDefault="00D26B5F" w:rsidP="00D26B5F">
      <w:pPr>
        <w:numPr>
          <w:ilvl w:val="0"/>
          <w:numId w:val="1"/>
        </w:numPr>
        <w:tabs>
          <w:tab w:val="left" w:pos="851"/>
        </w:tabs>
        <w:spacing w:after="0" w:line="240" w:lineRule="auto"/>
        <w:jc w:val="both"/>
        <w:rPr>
          <w:rFonts w:ascii="Calibri" w:eastAsia="Arial" w:hAnsi="Calibri" w:cs="Arial"/>
          <w:bCs/>
          <w:color w:val="002060"/>
          <w:kern w:val="0"/>
          <w:szCs w:val="24"/>
          <w:lang w:bidi="pt-BR"/>
          <w14:ligatures w14:val="none"/>
        </w:rPr>
      </w:pPr>
      <w:r w:rsidRPr="00D26B5F">
        <w:rPr>
          <w:rFonts w:ascii="Calibri" w:eastAsia="Arial" w:hAnsi="Calibri" w:cs="Arial"/>
          <w:b/>
          <w:bCs/>
          <w:color w:val="002060"/>
          <w:kern w:val="0"/>
          <w:szCs w:val="24"/>
          <w:lang w:bidi="pt-BR"/>
          <w14:ligatures w14:val="none"/>
        </w:rPr>
        <w:t>Foco no Cliente</w:t>
      </w:r>
      <w:r w:rsidRPr="00D26B5F">
        <w:rPr>
          <w:rFonts w:ascii="Calibri" w:eastAsia="Arial" w:hAnsi="Calibri" w:cs="Arial"/>
          <w:bCs/>
          <w:color w:val="002060"/>
          <w:kern w:val="0"/>
          <w:szCs w:val="24"/>
          <w:lang w:bidi="pt-BR"/>
          <w14:ligatures w14:val="none"/>
        </w:rPr>
        <w:t>: Nossas ações são orientadas e desenvolvidas para atender às necessidades dos clientes de forma rápida e eficiente.</w:t>
      </w:r>
    </w:p>
    <w:p w14:paraId="08E3A2EF" w14:textId="77777777" w:rsidR="00D26B5F" w:rsidRPr="00D26B5F" w:rsidRDefault="00D26B5F" w:rsidP="00D26B5F">
      <w:pPr>
        <w:numPr>
          <w:ilvl w:val="0"/>
          <w:numId w:val="1"/>
        </w:numPr>
        <w:tabs>
          <w:tab w:val="left" w:pos="851"/>
        </w:tabs>
        <w:spacing w:after="0" w:line="240" w:lineRule="auto"/>
        <w:jc w:val="both"/>
        <w:rPr>
          <w:rFonts w:ascii="Calibri" w:eastAsia="Arial" w:hAnsi="Calibri" w:cs="Arial"/>
          <w:bCs/>
          <w:color w:val="002060"/>
          <w:kern w:val="0"/>
          <w:szCs w:val="24"/>
          <w:lang w:bidi="pt-BR"/>
          <w14:ligatures w14:val="none"/>
        </w:rPr>
      </w:pPr>
      <w:r w:rsidRPr="00D26B5F">
        <w:rPr>
          <w:rFonts w:ascii="Calibri" w:eastAsia="Arial" w:hAnsi="Calibri" w:cs="Arial"/>
          <w:b/>
          <w:bCs/>
          <w:color w:val="002060"/>
          <w:kern w:val="0"/>
          <w:szCs w:val="24"/>
          <w:lang w:bidi="pt-BR"/>
          <w14:ligatures w14:val="none"/>
        </w:rPr>
        <w:t>Compromisso com Resultados</w:t>
      </w:r>
      <w:r w:rsidRPr="00D26B5F">
        <w:rPr>
          <w:rFonts w:ascii="Calibri" w:eastAsia="Arial" w:hAnsi="Calibri" w:cs="Arial"/>
          <w:bCs/>
          <w:color w:val="002060"/>
          <w:kern w:val="0"/>
          <w:szCs w:val="24"/>
          <w:lang w:bidi="pt-BR"/>
          <w14:ligatures w14:val="none"/>
        </w:rPr>
        <w:t>: Estamos determinados a alcançar os objetivos e metas estabelecidos.</w:t>
      </w:r>
    </w:p>
    <w:p w14:paraId="1FEE65A5" w14:textId="77777777" w:rsidR="00D26B5F" w:rsidRPr="00D26B5F" w:rsidRDefault="00D26B5F" w:rsidP="00D26B5F">
      <w:pPr>
        <w:numPr>
          <w:ilvl w:val="0"/>
          <w:numId w:val="1"/>
        </w:numPr>
        <w:tabs>
          <w:tab w:val="left" w:pos="851"/>
        </w:tabs>
        <w:spacing w:after="0" w:line="240" w:lineRule="auto"/>
        <w:jc w:val="both"/>
        <w:rPr>
          <w:rFonts w:ascii="Calibri" w:eastAsia="Arial" w:hAnsi="Calibri" w:cs="Arial"/>
          <w:bCs/>
          <w:color w:val="002060"/>
          <w:kern w:val="0"/>
          <w:szCs w:val="24"/>
          <w:lang w:bidi="pt-BR"/>
          <w14:ligatures w14:val="none"/>
        </w:rPr>
      </w:pPr>
      <w:r w:rsidRPr="00D26B5F">
        <w:rPr>
          <w:rFonts w:ascii="Calibri" w:eastAsia="Arial" w:hAnsi="Calibri" w:cs="Arial"/>
          <w:b/>
          <w:bCs/>
          <w:color w:val="002060"/>
          <w:kern w:val="0"/>
          <w:szCs w:val="24"/>
          <w:lang w:bidi="pt-BR"/>
          <w14:ligatures w14:val="none"/>
        </w:rPr>
        <w:lastRenderedPageBreak/>
        <w:t>Valorização do Capital Humano</w:t>
      </w:r>
      <w:r w:rsidRPr="00D26B5F">
        <w:rPr>
          <w:rFonts w:ascii="Calibri" w:eastAsia="Arial" w:hAnsi="Calibri" w:cs="Arial"/>
          <w:bCs/>
          <w:color w:val="002060"/>
          <w:kern w:val="0"/>
          <w:szCs w:val="24"/>
          <w:lang w:bidi="pt-BR"/>
          <w14:ligatures w14:val="none"/>
        </w:rPr>
        <w:t>: Nossa equipe é o nosso maior ativo e juntos transformamos realidades.</w:t>
      </w:r>
    </w:p>
    <w:p w14:paraId="17BE34F9" w14:textId="77777777" w:rsidR="00D26B5F" w:rsidRPr="00D26B5F" w:rsidRDefault="00D26B5F" w:rsidP="00D26B5F">
      <w:pPr>
        <w:numPr>
          <w:ilvl w:val="0"/>
          <w:numId w:val="1"/>
        </w:numPr>
        <w:tabs>
          <w:tab w:val="left" w:pos="851"/>
        </w:tabs>
        <w:spacing w:after="0" w:line="240" w:lineRule="auto"/>
        <w:jc w:val="both"/>
        <w:rPr>
          <w:rFonts w:ascii="Calibri" w:eastAsia="Arial" w:hAnsi="Calibri" w:cs="Arial"/>
          <w:bCs/>
          <w:color w:val="002060"/>
          <w:kern w:val="0"/>
          <w:szCs w:val="24"/>
          <w:lang w:bidi="pt-BR"/>
          <w14:ligatures w14:val="none"/>
        </w:rPr>
      </w:pPr>
      <w:r w:rsidRPr="00D26B5F">
        <w:rPr>
          <w:rFonts w:ascii="Calibri" w:eastAsia="Arial" w:hAnsi="Calibri" w:cs="Arial"/>
          <w:b/>
          <w:bCs/>
          <w:color w:val="002060"/>
          <w:kern w:val="0"/>
          <w:szCs w:val="24"/>
          <w:lang w:bidi="pt-BR"/>
          <w14:ligatures w14:val="none"/>
        </w:rPr>
        <w:t>Respeito:</w:t>
      </w:r>
      <w:r w:rsidRPr="00D26B5F">
        <w:rPr>
          <w:rFonts w:ascii="Calibri" w:eastAsia="Arial" w:hAnsi="Calibri" w:cs="Arial"/>
          <w:bCs/>
          <w:color w:val="002060"/>
          <w:kern w:val="0"/>
          <w:szCs w:val="24"/>
          <w:lang w:bidi="pt-BR"/>
          <w14:ligatures w14:val="none"/>
        </w:rPr>
        <w:t xml:space="preserve"> Respeitamos as pessoas e nossos compromissos.</w:t>
      </w:r>
    </w:p>
    <w:p w14:paraId="7702F99D" w14:textId="77777777" w:rsidR="00D26B5F" w:rsidRPr="00D26B5F" w:rsidRDefault="00D26B5F" w:rsidP="00D26B5F">
      <w:pPr>
        <w:numPr>
          <w:ilvl w:val="0"/>
          <w:numId w:val="1"/>
        </w:numPr>
        <w:tabs>
          <w:tab w:val="left" w:pos="851"/>
        </w:tabs>
        <w:spacing w:after="0" w:line="240" w:lineRule="auto"/>
        <w:jc w:val="both"/>
        <w:rPr>
          <w:rFonts w:ascii="Calibri" w:eastAsia="Arial" w:hAnsi="Calibri" w:cs="Arial"/>
          <w:bCs/>
          <w:color w:val="002060"/>
          <w:kern w:val="0"/>
          <w:szCs w:val="24"/>
          <w:lang w:bidi="pt-BR"/>
          <w14:ligatures w14:val="none"/>
        </w:rPr>
      </w:pPr>
      <w:r w:rsidRPr="00D26B5F">
        <w:rPr>
          <w:rFonts w:ascii="Calibri" w:eastAsia="Arial" w:hAnsi="Calibri" w:cs="Arial"/>
          <w:b/>
          <w:bCs/>
          <w:color w:val="002060"/>
          <w:kern w:val="0"/>
          <w:szCs w:val="24"/>
          <w:lang w:bidi="pt-BR"/>
          <w14:ligatures w14:val="none"/>
        </w:rPr>
        <w:t>Integridade e Ética</w:t>
      </w:r>
      <w:r w:rsidRPr="00D26B5F">
        <w:rPr>
          <w:rFonts w:ascii="Calibri" w:eastAsia="Arial" w:hAnsi="Calibri" w:cs="Arial"/>
          <w:bCs/>
          <w:color w:val="002060"/>
          <w:kern w:val="0"/>
          <w:szCs w:val="24"/>
          <w:lang w:bidi="pt-BR"/>
          <w14:ligatures w14:val="none"/>
        </w:rPr>
        <w:t>: Fazemos o que é certo e cumprimos o que prometemos.</w:t>
      </w:r>
    </w:p>
    <w:p w14:paraId="482EEEFA" w14:textId="77777777" w:rsidR="00D26B5F" w:rsidRPr="00D26B5F" w:rsidRDefault="00D26B5F" w:rsidP="00D26B5F">
      <w:pPr>
        <w:numPr>
          <w:ilvl w:val="0"/>
          <w:numId w:val="1"/>
        </w:numPr>
        <w:tabs>
          <w:tab w:val="left" w:pos="851"/>
        </w:tabs>
        <w:spacing w:after="0" w:line="240" w:lineRule="auto"/>
        <w:jc w:val="both"/>
        <w:rPr>
          <w:rFonts w:ascii="Calibri" w:eastAsia="Arial" w:hAnsi="Calibri" w:cs="Arial"/>
          <w:bCs/>
          <w:color w:val="002060"/>
          <w:kern w:val="0"/>
          <w:szCs w:val="24"/>
          <w:lang w:bidi="pt-BR"/>
          <w14:ligatures w14:val="none"/>
        </w:rPr>
      </w:pPr>
      <w:r w:rsidRPr="00D26B5F">
        <w:rPr>
          <w:rFonts w:ascii="Calibri" w:eastAsia="Arial" w:hAnsi="Calibri" w:cs="Arial"/>
          <w:b/>
          <w:bCs/>
          <w:color w:val="002060"/>
          <w:kern w:val="0"/>
          <w:szCs w:val="24"/>
          <w:lang w:bidi="pt-BR"/>
          <w14:ligatures w14:val="none"/>
        </w:rPr>
        <w:t>Responsabilidade Social e Ambiental</w:t>
      </w:r>
      <w:r w:rsidRPr="00D26B5F">
        <w:rPr>
          <w:rFonts w:ascii="Calibri" w:eastAsia="Arial" w:hAnsi="Calibri" w:cs="Arial"/>
          <w:bCs/>
          <w:color w:val="002060"/>
          <w:kern w:val="0"/>
          <w:szCs w:val="24"/>
          <w:lang w:bidi="pt-BR"/>
          <w14:ligatures w14:val="none"/>
        </w:rPr>
        <w:t>: Trabalhamos para assegurar a acessibilidade e inclusão digital em todo o território nacional, mantendo um compromisso com práticas sustentáveis e respeito ao meio ambiente.</w:t>
      </w:r>
    </w:p>
    <w:p w14:paraId="4B92B8DF" w14:textId="77777777" w:rsidR="00D26B5F" w:rsidRPr="00D26B5F" w:rsidRDefault="00D26B5F" w:rsidP="00D26B5F">
      <w:pPr>
        <w:numPr>
          <w:ilvl w:val="0"/>
          <w:numId w:val="1"/>
        </w:numPr>
        <w:tabs>
          <w:tab w:val="left" w:pos="851"/>
        </w:tabs>
        <w:spacing w:after="0" w:line="240" w:lineRule="auto"/>
        <w:jc w:val="both"/>
        <w:rPr>
          <w:rFonts w:ascii="Calibri" w:eastAsia="Arial" w:hAnsi="Calibri" w:cs="Arial"/>
          <w:color w:val="002060"/>
          <w:kern w:val="0"/>
          <w:szCs w:val="24"/>
          <w14:ligatures w14:val="none"/>
        </w:rPr>
      </w:pPr>
      <w:r w:rsidRPr="00D26B5F">
        <w:rPr>
          <w:rFonts w:ascii="Calibri" w:eastAsia="Arial" w:hAnsi="Calibri" w:cs="Arial"/>
          <w:b/>
          <w:bCs/>
          <w:color w:val="002060"/>
          <w:kern w:val="0"/>
          <w:szCs w:val="24"/>
          <w:lang w:bidi="pt-BR"/>
          <w14:ligatures w14:val="none"/>
        </w:rPr>
        <w:t>Ser inovador:</w:t>
      </w:r>
      <w:r w:rsidRPr="00D26B5F">
        <w:rPr>
          <w:rFonts w:ascii="Calibri" w:eastAsia="Arial" w:hAnsi="Calibri" w:cs="Arial"/>
          <w:bCs/>
          <w:color w:val="002060"/>
          <w:kern w:val="0"/>
          <w:szCs w:val="24"/>
          <w:lang w:bidi="pt-BR"/>
          <w14:ligatures w14:val="none"/>
        </w:rPr>
        <w:t xml:space="preserve"> Exploramos e desenvolvemos soluções inovadoras de tecnologias, processos e ferramentas.</w:t>
      </w:r>
    </w:p>
    <w:p w14:paraId="56CB2ADC" w14:textId="77777777" w:rsidR="00D26B5F" w:rsidRPr="00D26B5F" w:rsidRDefault="00D26B5F" w:rsidP="00D26B5F">
      <w:pPr>
        <w:numPr>
          <w:ilvl w:val="0"/>
          <w:numId w:val="1"/>
        </w:numPr>
        <w:tabs>
          <w:tab w:val="left" w:pos="851"/>
        </w:tabs>
        <w:spacing w:after="0" w:line="240" w:lineRule="auto"/>
        <w:jc w:val="both"/>
        <w:rPr>
          <w:rFonts w:ascii="Calibri" w:eastAsia="Arial" w:hAnsi="Calibri" w:cs="Arial"/>
          <w:color w:val="002060"/>
          <w:kern w:val="0"/>
          <w:szCs w:val="24"/>
          <w14:ligatures w14:val="none"/>
        </w:rPr>
      </w:pPr>
      <w:r w:rsidRPr="00D26B5F">
        <w:rPr>
          <w:rFonts w:ascii="Calibri" w:eastAsia="Arial" w:hAnsi="Calibri" w:cs="Arial"/>
          <w:b/>
          <w:bCs/>
          <w:color w:val="002060"/>
          <w:kern w:val="0"/>
          <w:szCs w:val="24"/>
          <w:lang w:bidi="pt-BR"/>
          <w14:ligatures w14:val="none"/>
        </w:rPr>
        <w:t>Nossa Rede em Defesa da Vida:</w:t>
      </w:r>
      <w:r w:rsidRPr="00D26B5F">
        <w:rPr>
          <w:rFonts w:ascii="Calibri" w:eastAsia="Arial" w:hAnsi="Calibri" w:cs="Arial"/>
          <w:bCs/>
          <w:color w:val="002060"/>
          <w:kern w:val="0"/>
          <w:szCs w:val="24"/>
          <w:lang w:bidi="pt-BR"/>
          <w14:ligatures w14:val="none"/>
        </w:rPr>
        <w:t xml:space="preserve"> Comprometidos em </w:t>
      </w:r>
      <w:proofErr w:type="spellStart"/>
      <w:r w:rsidRPr="00D26B5F">
        <w:rPr>
          <w:rFonts w:ascii="Calibri" w:eastAsia="Arial" w:hAnsi="Calibri" w:cs="Arial"/>
          <w:bCs/>
          <w:color w:val="002060"/>
          <w:kern w:val="0"/>
          <w:szCs w:val="24"/>
          <w:lang w:bidi="pt-BR"/>
          <w14:ligatures w14:val="none"/>
        </w:rPr>
        <w:t>fornecer</w:t>
      </w:r>
      <w:proofErr w:type="spellEnd"/>
      <w:r w:rsidRPr="00D26B5F">
        <w:rPr>
          <w:rFonts w:ascii="Calibri" w:eastAsia="Arial" w:hAnsi="Calibri" w:cs="Arial"/>
          <w:bCs/>
          <w:color w:val="002060"/>
          <w:kern w:val="0"/>
          <w:szCs w:val="24"/>
          <w:lang w:bidi="pt-BR"/>
          <w14:ligatures w14:val="none"/>
        </w:rPr>
        <w:t xml:space="preserve"> conectividade confiável e rápida para equipes de resgate em momentos críticos.</w:t>
      </w:r>
    </w:p>
    <w:p w14:paraId="4B3830AF" w14:textId="77777777" w:rsidR="00D26B5F" w:rsidRPr="00D26B5F" w:rsidRDefault="00D26B5F" w:rsidP="00D26B5F">
      <w:pPr>
        <w:tabs>
          <w:tab w:val="left" w:pos="851"/>
        </w:tabs>
        <w:spacing w:after="0" w:line="240" w:lineRule="auto"/>
        <w:jc w:val="both"/>
        <w:rPr>
          <w:rFonts w:ascii="Calibri" w:eastAsia="Times New Roman" w:hAnsi="Calibri" w:cs="Times New Roman"/>
          <w:bCs/>
          <w:color w:val="002060"/>
          <w:kern w:val="0"/>
          <w:szCs w:val="24"/>
          <w:lang w:bidi="pt-BR"/>
          <w14:ligatures w14:val="none"/>
        </w:rPr>
      </w:pPr>
      <w:r w:rsidRPr="00D26B5F">
        <w:rPr>
          <w:rFonts w:ascii="Calibri" w:eastAsia="Times New Roman" w:hAnsi="Calibri" w:cs="Times New Roman"/>
          <w:b/>
          <w:bCs/>
          <w:color w:val="002060"/>
          <w:kern w:val="0"/>
          <w:szCs w:val="24"/>
          <w:lang w:bidi="pt-BR"/>
          <w14:ligatures w14:val="none"/>
        </w:rPr>
        <w:t>Mapa Estratégico:</w:t>
      </w:r>
      <w:r w:rsidRPr="00D26B5F">
        <w:rPr>
          <w:rFonts w:ascii="Calibri" w:eastAsia="Times New Roman" w:hAnsi="Calibri" w:cs="Times New Roman"/>
          <w:bCs/>
          <w:color w:val="002060"/>
          <w:kern w:val="0"/>
          <w:szCs w:val="24"/>
          <w:lang w:bidi="pt-BR"/>
          <w14:ligatures w14:val="none"/>
        </w:rPr>
        <w:t xml:space="preserve"> O mapa estratégico da Telebras está estruturado em cinco perspectivas, representando o encadeamento lógico de sua estratégia de atuação. Cada perspectiva engloba um conjunto de objetivos estratégicos que retrata os principais desafios a serem enfrentados pela Telebras no alcance de sua Visão e no cumprimento de sua Missão. </w:t>
      </w:r>
    </w:p>
    <w:p w14:paraId="45B07F98" w14:textId="77777777" w:rsidR="00D26B5F" w:rsidRPr="00D26B5F" w:rsidRDefault="00D26B5F" w:rsidP="00D26B5F">
      <w:pPr>
        <w:numPr>
          <w:ilvl w:val="0"/>
          <w:numId w:val="2"/>
        </w:numPr>
        <w:tabs>
          <w:tab w:val="left" w:pos="851"/>
        </w:tabs>
        <w:spacing w:after="0" w:line="240" w:lineRule="auto"/>
        <w:ind w:left="714" w:hanging="357"/>
        <w:jc w:val="both"/>
        <w:rPr>
          <w:rFonts w:ascii="Calibri" w:eastAsia="Times New Roman" w:hAnsi="Calibri" w:cs="Times New Roman"/>
          <w:bCs/>
          <w:color w:val="002060"/>
          <w:kern w:val="0"/>
          <w:szCs w:val="24"/>
          <w:lang w:bidi="pt-BR"/>
          <w14:ligatures w14:val="none"/>
        </w:rPr>
      </w:pPr>
      <w:r w:rsidRPr="00D26B5F">
        <w:rPr>
          <w:rFonts w:ascii="Calibri" w:eastAsia="Times New Roman" w:hAnsi="Calibri" w:cs="Times New Roman"/>
          <w:bCs/>
          <w:color w:val="002060"/>
          <w:kern w:val="0"/>
          <w:szCs w:val="24"/>
          <w:lang w:bidi="pt-BR"/>
          <w14:ligatures w14:val="none"/>
        </w:rPr>
        <w:t xml:space="preserve">A </w:t>
      </w:r>
      <w:r w:rsidRPr="00D26B5F">
        <w:rPr>
          <w:rFonts w:ascii="Calibri" w:eastAsia="Times New Roman" w:hAnsi="Calibri" w:cs="Times New Roman"/>
          <w:b/>
          <w:bCs/>
          <w:color w:val="002060"/>
          <w:kern w:val="0"/>
          <w:szCs w:val="24"/>
          <w:lang w:bidi="pt-BR"/>
          <w14:ligatures w14:val="none"/>
        </w:rPr>
        <w:t>Perspectiva de Aprendizado e Crescimento</w:t>
      </w:r>
      <w:r w:rsidRPr="00D26B5F">
        <w:rPr>
          <w:rFonts w:ascii="Calibri" w:eastAsia="Times New Roman" w:hAnsi="Calibri" w:cs="Times New Roman"/>
          <w:bCs/>
          <w:color w:val="002060"/>
          <w:kern w:val="0"/>
          <w:szCs w:val="24"/>
          <w:lang w:bidi="pt-BR"/>
          <w14:ligatures w14:val="none"/>
        </w:rPr>
        <w:t xml:space="preserve"> define a capacidade que a Telebras possui para manter seu capital intelectual com elevado grau de motivação, satisfação interna e produtividade. Abrange pessoas, tecnologia e infraestrutura.</w:t>
      </w:r>
    </w:p>
    <w:p w14:paraId="1F1BB1C7" w14:textId="77777777" w:rsidR="00D26B5F" w:rsidRPr="00D26B5F" w:rsidRDefault="00D26B5F" w:rsidP="00D26B5F">
      <w:pPr>
        <w:numPr>
          <w:ilvl w:val="0"/>
          <w:numId w:val="2"/>
        </w:numPr>
        <w:tabs>
          <w:tab w:val="left" w:pos="851"/>
        </w:tabs>
        <w:spacing w:after="0" w:line="240" w:lineRule="auto"/>
        <w:ind w:left="714" w:hanging="357"/>
        <w:jc w:val="both"/>
        <w:rPr>
          <w:rFonts w:ascii="Calibri" w:eastAsia="Times New Roman" w:hAnsi="Calibri" w:cs="Times New Roman"/>
          <w:bCs/>
          <w:color w:val="002060"/>
          <w:kern w:val="0"/>
          <w:szCs w:val="24"/>
          <w:lang w:bidi="pt-BR"/>
          <w14:ligatures w14:val="none"/>
        </w:rPr>
      </w:pPr>
      <w:r w:rsidRPr="00D26B5F">
        <w:rPr>
          <w:rFonts w:ascii="Calibri" w:eastAsia="Times New Roman" w:hAnsi="Calibri" w:cs="Times New Roman"/>
          <w:bCs/>
          <w:color w:val="002060"/>
          <w:kern w:val="0"/>
          <w:szCs w:val="24"/>
          <w:lang w:bidi="pt-BR"/>
          <w14:ligatures w14:val="none"/>
        </w:rPr>
        <w:t xml:space="preserve">A </w:t>
      </w:r>
      <w:r w:rsidRPr="00D26B5F">
        <w:rPr>
          <w:rFonts w:ascii="Calibri" w:eastAsia="Times New Roman" w:hAnsi="Calibri" w:cs="Times New Roman"/>
          <w:b/>
          <w:bCs/>
          <w:color w:val="002060"/>
          <w:kern w:val="0"/>
          <w:szCs w:val="24"/>
          <w:lang w:bidi="pt-BR"/>
          <w14:ligatures w14:val="none"/>
        </w:rPr>
        <w:t>Perspectiva de Organização, Processos e Governança</w:t>
      </w:r>
      <w:r w:rsidRPr="00D26B5F">
        <w:rPr>
          <w:rFonts w:ascii="Calibri" w:eastAsia="Times New Roman" w:hAnsi="Calibri" w:cs="Times New Roman"/>
          <w:bCs/>
          <w:color w:val="002060"/>
          <w:kern w:val="0"/>
          <w:szCs w:val="24"/>
          <w:lang w:bidi="pt-BR"/>
          <w14:ligatures w14:val="none"/>
        </w:rPr>
        <w:t xml:space="preserve"> define o grau de inovação nos processos de gestão, integridade, o nível de qualidade das operações e a viabilização dos objetivos. Almejamos processos mais eficientes, operações de alta qualidade e uma gestão transparente que inspire confiança em todos os stakeholders.</w:t>
      </w:r>
    </w:p>
    <w:p w14:paraId="047FE4AE" w14:textId="77777777" w:rsidR="00D26B5F" w:rsidRPr="00D26B5F" w:rsidRDefault="00D26B5F" w:rsidP="00D26B5F">
      <w:pPr>
        <w:numPr>
          <w:ilvl w:val="0"/>
          <w:numId w:val="2"/>
        </w:numPr>
        <w:tabs>
          <w:tab w:val="left" w:pos="851"/>
        </w:tabs>
        <w:spacing w:after="0" w:line="240" w:lineRule="auto"/>
        <w:ind w:left="714" w:hanging="357"/>
        <w:jc w:val="both"/>
        <w:rPr>
          <w:rFonts w:ascii="Calibri" w:eastAsia="Times New Roman" w:hAnsi="Calibri" w:cs="Times New Roman"/>
          <w:bCs/>
          <w:color w:val="002060"/>
          <w:kern w:val="0"/>
          <w:szCs w:val="24"/>
          <w:lang w:bidi="pt-BR"/>
          <w14:ligatures w14:val="none"/>
        </w:rPr>
      </w:pPr>
      <w:r w:rsidRPr="00D26B5F">
        <w:rPr>
          <w:rFonts w:ascii="Calibri" w:eastAsia="Times New Roman" w:hAnsi="Calibri" w:cs="Times New Roman"/>
          <w:bCs/>
          <w:color w:val="002060"/>
          <w:kern w:val="0"/>
          <w:szCs w:val="24"/>
          <w:lang w:bidi="pt-BR"/>
          <w14:ligatures w14:val="none"/>
        </w:rPr>
        <w:t xml:space="preserve">A </w:t>
      </w:r>
      <w:r w:rsidRPr="00D26B5F">
        <w:rPr>
          <w:rFonts w:ascii="Calibri" w:eastAsia="Times New Roman" w:hAnsi="Calibri" w:cs="Times New Roman"/>
          <w:b/>
          <w:bCs/>
          <w:color w:val="002060"/>
          <w:kern w:val="0"/>
          <w:szCs w:val="24"/>
          <w:lang w:bidi="pt-BR"/>
          <w14:ligatures w14:val="none"/>
        </w:rPr>
        <w:t>Perspectiva Clientes</w:t>
      </w:r>
      <w:r w:rsidRPr="00D26B5F">
        <w:rPr>
          <w:rFonts w:ascii="Calibri" w:eastAsia="Times New Roman" w:hAnsi="Calibri" w:cs="Times New Roman"/>
          <w:bCs/>
          <w:color w:val="002060"/>
          <w:kern w:val="0"/>
          <w:szCs w:val="24"/>
          <w:lang w:bidi="pt-BR"/>
          <w14:ligatures w14:val="none"/>
        </w:rPr>
        <w:t xml:space="preserve"> define a forma de atuação no mercado e a intensidade que cada unidade de negócio apresenta em termos de captação e retenção de clientes. Mostra em quais segmentos estratégicos a organização precisará obter sucesso para viabilizar os objetivos.</w:t>
      </w:r>
    </w:p>
    <w:p w14:paraId="3974A255" w14:textId="77777777" w:rsidR="00D26B5F" w:rsidRPr="00D26B5F" w:rsidRDefault="00D26B5F" w:rsidP="00D26B5F">
      <w:pPr>
        <w:numPr>
          <w:ilvl w:val="0"/>
          <w:numId w:val="2"/>
        </w:numPr>
        <w:tabs>
          <w:tab w:val="left" w:pos="851"/>
        </w:tabs>
        <w:spacing w:after="0" w:line="240" w:lineRule="auto"/>
        <w:ind w:left="714" w:hanging="357"/>
        <w:jc w:val="both"/>
        <w:rPr>
          <w:rFonts w:ascii="Calibri" w:eastAsia="Times New Roman" w:hAnsi="Calibri" w:cs="Times New Roman"/>
          <w:bCs/>
          <w:color w:val="002060"/>
          <w:kern w:val="0"/>
          <w:szCs w:val="24"/>
          <w:lang w:bidi="pt-BR"/>
          <w14:ligatures w14:val="none"/>
        </w:rPr>
      </w:pPr>
      <w:r w:rsidRPr="00D26B5F">
        <w:rPr>
          <w:rFonts w:ascii="Calibri" w:eastAsia="Times New Roman" w:hAnsi="Calibri" w:cs="Times New Roman"/>
          <w:bCs/>
          <w:color w:val="002060"/>
          <w:kern w:val="0"/>
          <w:szCs w:val="24"/>
          <w:lang w:bidi="pt-BR"/>
          <w14:ligatures w14:val="none"/>
        </w:rPr>
        <w:t xml:space="preserve">A </w:t>
      </w:r>
      <w:r w:rsidRPr="00D26B5F">
        <w:rPr>
          <w:rFonts w:ascii="Calibri" w:eastAsia="Times New Roman" w:hAnsi="Calibri" w:cs="Times New Roman"/>
          <w:b/>
          <w:bCs/>
          <w:color w:val="002060"/>
          <w:kern w:val="0"/>
          <w:szCs w:val="24"/>
          <w:lang w:bidi="pt-BR"/>
          <w14:ligatures w14:val="none"/>
        </w:rPr>
        <w:t>Perspectiva Governo e Sociedade</w:t>
      </w:r>
      <w:r w:rsidRPr="00D26B5F">
        <w:rPr>
          <w:rFonts w:ascii="Calibri" w:eastAsia="Times New Roman" w:hAnsi="Calibri" w:cs="Times New Roman"/>
          <w:bCs/>
          <w:color w:val="002060"/>
          <w:kern w:val="0"/>
          <w:szCs w:val="24"/>
          <w:lang w:bidi="pt-BR"/>
          <w14:ligatures w14:val="none"/>
        </w:rPr>
        <w:t xml:space="preserve"> define o grau de efetividade das ações públicas orientados para o cidadão, alinhando nossas ações às necessidades da população e contribuindo para um Brasil melhor.</w:t>
      </w:r>
    </w:p>
    <w:p w14:paraId="4A84566B" w14:textId="77777777" w:rsidR="00D26B5F" w:rsidRPr="00D26B5F" w:rsidRDefault="00D26B5F" w:rsidP="00D26B5F">
      <w:pPr>
        <w:numPr>
          <w:ilvl w:val="0"/>
          <w:numId w:val="2"/>
        </w:numPr>
        <w:tabs>
          <w:tab w:val="left" w:pos="851"/>
        </w:tabs>
        <w:spacing w:after="0" w:line="240" w:lineRule="auto"/>
        <w:ind w:left="714" w:hanging="357"/>
        <w:jc w:val="both"/>
        <w:rPr>
          <w:rFonts w:ascii="Calibri" w:eastAsia="Times New Roman" w:hAnsi="Calibri" w:cs="Times New Roman"/>
          <w:color w:val="002060"/>
          <w:kern w:val="0"/>
          <w:szCs w:val="24"/>
          <w14:ligatures w14:val="none"/>
        </w:rPr>
      </w:pPr>
      <w:r w:rsidRPr="00D26B5F">
        <w:rPr>
          <w:rFonts w:ascii="Calibri" w:eastAsia="Times New Roman" w:hAnsi="Calibri" w:cs="Times New Roman"/>
          <w:bCs/>
          <w:color w:val="002060"/>
          <w:kern w:val="0"/>
          <w:szCs w:val="24"/>
          <w:lang w:bidi="pt-BR"/>
          <w14:ligatures w14:val="none"/>
        </w:rPr>
        <w:t xml:space="preserve">A </w:t>
      </w:r>
      <w:r w:rsidRPr="00D26B5F">
        <w:rPr>
          <w:rFonts w:ascii="Calibri" w:eastAsia="Times New Roman" w:hAnsi="Calibri" w:cs="Times New Roman"/>
          <w:b/>
          <w:bCs/>
          <w:color w:val="002060"/>
          <w:kern w:val="0"/>
          <w:szCs w:val="24"/>
          <w:lang w:bidi="pt-BR"/>
          <w14:ligatures w14:val="none"/>
        </w:rPr>
        <w:t>Perspectiva Econômico-Financeira</w:t>
      </w:r>
      <w:r w:rsidRPr="00D26B5F">
        <w:rPr>
          <w:rFonts w:ascii="Calibri" w:eastAsia="Times New Roman" w:hAnsi="Calibri" w:cs="Times New Roman"/>
          <w:bCs/>
          <w:color w:val="002060"/>
          <w:kern w:val="0"/>
          <w:szCs w:val="24"/>
          <w:lang w:bidi="pt-BR"/>
          <w14:ligatures w14:val="none"/>
        </w:rPr>
        <w:t xml:space="preserve"> define a forma de atuação da Telebras na gestão econômico-financeira para a otimização do fluxo de caixa, aumento das receitas, redução dos custos e despesas e rentabilidade dos investimentos.</w:t>
      </w:r>
    </w:p>
    <w:p w14:paraId="203BA61D" w14:textId="77777777" w:rsidR="00D26B5F" w:rsidRPr="00D26B5F" w:rsidRDefault="00D26B5F" w:rsidP="00D26B5F">
      <w:pPr>
        <w:tabs>
          <w:tab w:val="left" w:pos="851"/>
        </w:tabs>
        <w:spacing w:after="0" w:line="240" w:lineRule="auto"/>
        <w:jc w:val="both"/>
        <w:rPr>
          <w:rFonts w:ascii="Calibri" w:eastAsia="Calibri" w:hAnsi="Calibri" w:cs="Calibri"/>
          <w:b/>
          <w:bCs/>
          <w:iCs/>
          <w:color w:val="002060"/>
          <w:kern w:val="0"/>
          <w:szCs w:val="24"/>
          <w14:ligatures w14:val="none"/>
        </w:rPr>
      </w:pPr>
    </w:p>
    <w:p w14:paraId="51BB5A03" w14:textId="5796A528" w:rsidR="00D26B5F" w:rsidRPr="00D26B5F" w:rsidRDefault="00D26B5F" w:rsidP="00D26B5F">
      <w:pPr>
        <w:tabs>
          <w:tab w:val="left" w:pos="851"/>
        </w:tabs>
        <w:spacing w:after="0" w:line="240" w:lineRule="auto"/>
        <w:jc w:val="both"/>
        <w:rPr>
          <w:rFonts w:ascii="Calibri" w:eastAsia="Calibri" w:hAnsi="Calibri" w:cs="Calibri"/>
          <w:color w:val="002060"/>
          <w:kern w:val="0"/>
          <w:szCs w:val="24"/>
          <w14:ligatures w14:val="none"/>
        </w:rPr>
      </w:pPr>
      <w:r w:rsidRPr="00AE3EC3">
        <w:rPr>
          <w:noProof/>
          <w:lang w:eastAsia="pt-BR"/>
        </w:rPr>
        <w:lastRenderedPageBreak/>
        <w:drawing>
          <wp:inline distT="0" distB="0" distL="0" distR="0" wp14:anchorId="494AC34D" wp14:editId="79876A47">
            <wp:extent cx="5400040" cy="7533264"/>
            <wp:effectExtent l="0" t="0" r="0" b="0"/>
            <wp:docPr id="16" name="Imagem 16"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Interface gráfica do usuário&#10;&#10;Descrição gerada automa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7533264"/>
                    </a:xfrm>
                    <a:prstGeom prst="rect">
                      <a:avLst/>
                    </a:prstGeom>
                    <a:noFill/>
                  </pic:spPr>
                </pic:pic>
              </a:graphicData>
            </a:graphic>
          </wp:inline>
        </w:drawing>
      </w:r>
    </w:p>
    <w:p w14:paraId="48F90B8C" w14:textId="4DE4B069" w:rsidR="00D26B5F" w:rsidRDefault="00D26B5F" w:rsidP="00D26B5F">
      <w:pPr>
        <w:spacing w:before="120" w:after="120" w:line="240" w:lineRule="auto"/>
        <w:jc w:val="both"/>
        <w:rPr>
          <w:rFonts w:eastAsia="Times New Roman" w:cs="Times New Roman"/>
          <w:b/>
          <w:color w:val="002060"/>
          <w:kern w:val="0"/>
          <w:sz w:val="24"/>
          <w:szCs w:val="24"/>
          <w14:ligatures w14:val="none"/>
        </w:rPr>
      </w:pPr>
    </w:p>
    <w:p w14:paraId="08C04EAB" w14:textId="75207F5D" w:rsidR="00D26B5F" w:rsidRDefault="00D26B5F" w:rsidP="00D26B5F">
      <w:pPr>
        <w:spacing w:before="120" w:after="120" w:line="240" w:lineRule="auto"/>
        <w:jc w:val="both"/>
        <w:rPr>
          <w:rFonts w:ascii="Calibri" w:eastAsia="Times New Roman" w:hAnsi="Calibri" w:cs="Calibri"/>
          <w:bCs/>
          <w:color w:val="002060"/>
          <w:kern w:val="0"/>
          <w14:ligatures w14:val="none"/>
        </w:rPr>
      </w:pPr>
      <w:r w:rsidRPr="00D26B5F">
        <w:rPr>
          <w:rFonts w:ascii="Calibri" w:eastAsia="Times New Roman" w:hAnsi="Calibri" w:cs="Calibri"/>
          <w:b/>
          <w:color w:val="002060"/>
          <w:kern w:val="0"/>
          <w14:ligatures w14:val="none"/>
        </w:rPr>
        <w:t>Painel de Gestão:</w:t>
      </w:r>
      <w:r w:rsidRPr="00D26B5F">
        <w:rPr>
          <w:rFonts w:ascii="Calibri" w:eastAsia="Times New Roman" w:hAnsi="Calibri" w:cs="Calibri"/>
          <w:bCs/>
          <w:color w:val="002060"/>
          <w:kern w:val="0"/>
          <w14:ligatures w14:val="none"/>
        </w:rPr>
        <w:t xml:space="preserve"> refere-se ao conjunto de indicadores que quantificam os objetivos estratégicos. Apresentamos a seguir o Painel de Gestão da Telebras para o período de 2024 a 2028:</w:t>
      </w:r>
    </w:p>
    <w:p w14:paraId="266F003F" w14:textId="12405398" w:rsidR="007E1FEC" w:rsidRDefault="007E1FEC" w:rsidP="00D26B5F">
      <w:pPr>
        <w:spacing w:before="120" w:after="120" w:line="240" w:lineRule="auto"/>
        <w:jc w:val="both"/>
        <w:rPr>
          <w:rFonts w:ascii="Calibri" w:eastAsia="Times New Roman" w:hAnsi="Calibri" w:cs="Calibri"/>
          <w:bCs/>
          <w:color w:val="002060"/>
          <w:kern w:val="0"/>
          <w14:ligatures w14:val="none"/>
        </w:rPr>
      </w:pPr>
      <w:r w:rsidRPr="007E1FEC">
        <w:rPr>
          <w:rFonts w:ascii="Calibri" w:eastAsia="Times New Roman" w:hAnsi="Calibri" w:cs="Times New Roman"/>
          <w:noProof/>
          <w:color w:val="002060"/>
          <w:kern w:val="0"/>
          <w:sz w:val="24"/>
          <w:szCs w:val="24"/>
          <w:lang w:eastAsia="pt-BR"/>
          <w14:ligatures w14:val="none"/>
        </w:rPr>
        <w:lastRenderedPageBreak/>
        <w:drawing>
          <wp:inline distT="0" distB="0" distL="0" distR="0" wp14:anchorId="48D3A298" wp14:editId="347245E3">
            <wp:extent cx="6350000" cy="2774315"/>
            <wp:effectExtent l="0" t="0" r="0" b="698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51318" cy="2774891"/>
                    </a:xfrm>
                    <a:prstGeom prst="rect">
                      <a:avLst/>
                    </a:prstGeom>
                    <a:noFill/>
                    <a:ln>
                      <a:noFill/>
                    </a:ln>
                  </pic:spPr>
                </pic:pic>
              </a:graphicData>
            </a:graphic>
          </wp:inline>
        </w:drawing>
      </w:r>
    </w:p>
    <w:p w14:paraId="1FD7DB9B" w14:textId="77777777" w:rsidR="003C2F67" w:rsidRPr="003C2F67" w:rsidRDefault="003C2F67" w:rsidP="003C2F67">
      <w:pPr>
        <w:spacing w:before="120" w:after="120" w:line="240" w:lineRule="auto"/>
        <w:jc w:val="center"/>
        <w:rPr>
          <w:rFonts w:ascii="Calibri" w:eastAsia="Times New Roman" w:hAnsi="Calibri" w:cs="Calibri"/>
          <w:bCs/>
          <w:color w:val="002060"/>
          <w:kern w:val="0"/>
          <w:sz w:val="20"/>
          <w:szCs w:val="20"/>
          <w14:ligatures w14:val="none"/>
        </w:rPr>
        <w:sectPr w:rsidR="003C2F67" w:rsidRPr="003C2F67" w:rsidSect="00920028">
          <w:footnotePr>
            <w:pos w:val="beneathText"/>
          </w:footnotePr>
          <w:pgSz w:w="11907" w:h="16840" w:code="9"/>
          <w:pgMar w:top="1701" w:right="1134" w:bottom="1531" w:left="1701" w:header="397" w:footer="397" w:gutter="0"/>
          <w:cols w:space="708"/>
          <w:titlePg/>
          <w:docGrid w:linePitch="360"/>
        </w:sectPr>
      </w:pPr>
      <w:bookmarkStart w:id="36" w:name="_Hlk162272261"/>
      <w:r w:rsidRPr="003C2F67">
        <w:rPr>
          <w:rFonts w:ascii="Calibri" w:eastAsia="Times New Roman" w:hAnsi="Calibri" w:cs="Calibri"/>
          <w:bCs/>
          <w:color w:val="002060"/>
          <w:kern w:val="0"/>
          <w:sz w:val="20"/>
          <w:szCs w:val="20"/>
          <w14:ligatures w14:val="none"/>
        </w:rPr>
        <w:t xml:space="preserve">Tabela </w:t>
      </w:r>
      <w:r w:rsidRPr="003C2F67">
        <w:rPr>
          <w:rFonts w:ascii="Calibri" w:eastAsia="Times New Roman" w:hAnsi="Calibri" w:cs="Calibri"/>
          <w:bCs/>
          <w:color w:val="002060"/>
          <w:kern w:val="0"/>
          <w:sz w:val="20"/>
          <w:szCs w:val="20"/>
          <w14:ligatures w14:val="none"/>
        </w:rPr>
        <w:fldChar w:fldCharType="begin"/>
      </w:r>
      <w:r w:rsidRPr="003C2F67">
        <w:rPr>
          <w:rFonts w:ascii="Calibri" w:eastAsia="Times New Roman" w:hAnsi="Calibri" w:cs="Calibri"/>
          <w:bCs/>
          <w:color w:val="002060"/>
          <w:kern w:val="0"/>
          <w:sz w:val="20"/>
          <w:szCs w:val="20"/>
          <w14:ligatures w14:val="none"/>
        </w:rPr>
        <w:instrText xml:space="preserve"> STYLEREF 1 \s </w:instrText>
      </w:r>
      <w:r w:rsidRPr="003C2F67">
        <w:rPr>
          <w:rFonts w:ascii="Calibri" w:eastAsia="Times New Roman" w:hAnsi="Calibri" w:cs="Calibri"/>
          <w:bCs/>
          <w:color w:val="002060"/>
          <w:kern w:val="0"/>
          <w:sz w:val="20"/>
          <w:szCs w:val="20"/>
          <w14:ligatures w14:val="none"/>
        </w:rPr>
        <w:fldChar w:fldCharType="separate"/>
      </w:r>
      <w:r w:rsidRPr="003C2F67">
        <w:rPr>
          <w:rFonts w:ascii="Calibri" w:eastAsia="Times New Roman" w:hAnsi="Calibri" w:cs="Calibri"/>
          <w:bCs/>
          <w:color w:val="002060"/>
          <w:kern w:val="0"/>
          <w:sz w:val="20"/>
          <w:szCs w:val="20"/>
          <w14:ligatures w14:val="none"/>
        </w:rPr>
        <w:t>5</w:t>
      </w:r>
      <w:r w:rsidRPr="003C2F67">
        <w:rPr>
          <w:rFonts w:ascii="Calibri" w:eastAsia="Times New Roman" w:hAnsi="Calibri" w:cs="Calibri"/>
          <w:bCs/>
          <w:color w:val="002060"/>
          <w:kern w:val="0"/>
          <w:sz w:val="20"/>
          <w:szCs w:val="20"/>
          <w14:ligatures w14:val="none"/>
        </w:rPr>
        <w:fldChar w:fldCharType="end"/>
      </w:r>
      <w:r w:rsidRPr="003C2F67">
        <w:rPr>
          <w:rFonts w:ascii="Calibri" w:eastAsia="Times New Roman" w:hAnsi="Calibri" w:cs="Calibri"/>
          <w:bCs/>
          <w:color w:val="002060"/>
          <w:kern w:val="0"/>
          <w:sz w:val="20"/>
          <w:szCs w:val="20"/>
          <w14:ligatures w14:val="none"/>
        </w:rPr>
        <w:noBreakHyphen/>
        <w:t>2 Painel de Indicadores Estratégicos 2024 a 2028</w:t>
      </w:r>
    </w:p>
    <w:bookmarkEnd w:id="36"/>
    <w:p w14:paraId="4524F2D6" w14:textId="58F8CCD3" w:rsidR="003C2F67" w:rsidRPr="003C2F67" w:rsidRDefault="003C2F67" w:rsidP="003C2F67">
      <w:pPr>
        <w:tabs>
          <w:tab w:val="left" w:pos="851"/>
        </w:tabs>
        <w:spacing w:after="0" w:line="240" w:lineRule="auto"/>
        <w:jc w:val="both"/>
        <w:rPr>
          <w:rFonts w:ascii="Calibri" w:eastAsia="Calibri" w:hAnsi="Calibri" w:cs="Calibri"/>
          <w:color w:val="002060"/>
          <w:kern w:val="0"/>
          <w:szCs w:val="24"/>
          <w14:ligatures w14:val="none"/>
        </w:rPr>
      </w:pPr>
      <w:r w:rsidRPr="003C2F67">
        <w:rPr>
          <w:rFonts w:ascii="Calibri" w:eastAsia="Calibri" w:hAnsi="Calibri" w:cs="Calibri"/>
          <w:color w:val="002060"/>
          <w:kern w:val="0"/>
          <w:szCs w:val="24"/>
          <w14:ligatures w14:val="none"/>
        </w:rPr>
        <w:t>O desempenho estratégico é monitorado por meio da análise dos resultados da execução da estratégia, os quais são refletidos nos indicadores estratégicos. Esses indicadores fornecem informações cruciais para avaliar o progresso em direção às metas estabelecidas e identificar a necessidade de implementar ações corretivas, quando necessário.</w:t>
      </w:r>
      <w:bookmarkStart w:id="37" w:name="_Toc95122849"/>
      <w:bookmarkStart w:id="38" w:name="_Toc95154925"/>
      <w:bookmarkStart w:id="39" w:name="_Toc95160598"/>
      <w:bookmarkStart w:id="40" w:name="_Toc95160657"/>
      <w:bookmarkStart w:id="41" w:name="_Toc95160716"/>
      <w:bookmarkStart w:id="42" w:name="_Toc95160775"/>
      <w:bookmarkStart w:id="43" w:name="_Toc95160834"/>
      <w:bookmarkStart w:id="44" w:name="_Toc95161122"/>
      <w:bookmarkStart w:id="45" w:name="_Toc95161341"/>
      <w:bookmarkStart w:id="46" w:name="_Toc95161441"/>
      <w:bookmarkStart w:id="47" w:name="_Toc95205579"/>
      <w:bookmarkStart w:id="48" w:name="_Toc95207172"/>
      <w:bookmarkStart w:id="49" w:name="_Toc95397107"/>
      <w:bookmarkStart w:id="50" w:name="_Toc95922473"/>
      <w:bookmarkStart w:id="51" w:name="_Toc97281012"/>
      <w:bookmarkStart w:id="52" w:name="_Toc97281072"/>
      <w:bookmarkStart w:id="53" w:name="_Toc97647161"/>
      <w:bookmarkStart w:id="54" w:name="_Toc97647221"/>
      <w:bookmarkStart w:id="55" w:name="_Toc97647281"/>
      <w:bookmarkStart w:id="56" w:name="_Toc97647550"/>
      <w:bookmarkStart w:id="57" w:name="_Toc97647610"/>
      <w:bookmarkStart w:id="58" w:name="_Toc97647670"/>
      <w:bookmarkStart w:id="59" w:name="_Toc97647730"/>
      <w:bookmarkStart w:id="60" w:name="_Toc98433173"/>
      <w:bookmarkStart w:id="61" w:name="_Toc98433239"/>
      <w:bookmarkStart w:id="62" w:name="_Toc98433299"/>
      <w:bookmarkStart w:id="63" w:name="_Toc98433359"/>
      <w:bookmarkStart w:id="64" w:name="_Toc126941669"/>
      <w:bookmarkStart w:id="65" w:name="_Toc126942734"/>
      <w:bookmarkStart w:id="66" w:name="_Toc126943960"/>
      <w:bookmarkStart w:id="67" w:name="_Toc126945802"/>
      <w:bookmarkStart w:id="68" w:name="_Toc127550249"/>
      <w:bookmarkStart w:id="69" w:name="_Toc128043946"/>
      <w:bookmarkStart w:id="70" w:name="_Toc129609294"/>
      <w:bookmarkStart w:id="71" w:name="_Toc129609357"/>
      <w:bookmarkStart w:id="72" w:name="_Toc129609422"/>
      <w:bookmarkStart w:id="73" w:name="_Toc95122850"/>
      <w:bookmarkStart w:id="74" w:name="_Toc95154926"/>
      <w:bookmarkStart w:id="75" w:name="_Toc95160599"/>
      <w:bookmarkStart w:id="76" w:name="_Toc95160658"/>
      <w:bookmarkStart w:id="77" w:name="_Toc95160717"/>
      <w:bookmarkStart w:id="78" w:name="_Toc95160776"/>
      <w:bookmarkStart w:id="79" w:name="_Toc95160835"/>
      <w:bookmarkStart w:id="80" w:name="_Toc95161123"/>
      <w:bookmarkStart w:id="81" w:name="_Toc95161342"/>
      <w:bookmarkStart w:id="82" w:name="_Toc95161442"/>
      <w:bookmarkStart w:id="83" w:name="_Toc95205580"/>
      <w:bookmarkStart w:id="84" w:name="_Toc95207173"/>
      <w:bookmarkStart w:id="85" w:name="_Toc95397108"/>
      <w:bookmarkStart w:id="86" w:name="_Toc95922474"/>
      <w:bookmarkStart w:id="87" w:name="_Toc97281013"/>
      <w:bookmarkStart w:id="88" w:name="_Toc97281073"/>
      <w:bookmarkStart w:id="89" w:name="_Toc97647162"/>
      <w:bookmarkStart w:id="90" w:name="_Toc97647222"/>
      <w:bookmarkStart w:id="91" w:name="_Toc97647282"/>
      <w:bookmarkStart w:id="92" w:name="_Toc97647551"/>
      <w:bookmarkStart w:id="93" w:name="_Toc97647611"/>
      <w:bookmarkStart w:id="94" w:name="_Toc97647671"/>
      <w:bookmarkStart w:id="95" w:name="_Toc97647731"/>
      <w:bookmarkStart w:id="96" w:name="_Toc98433174"/>
      <w:bookmarkStart w:id="97" w:name="_Toc98433240"/>
      <w:bookmarkStart w:id="98" w:name="_Toc98433300"/>
      <w:bookmarkStart w:id="99" w:name="_Toc98433360"/>
      <w:bookmarkStart w:id="100" w:name="_Toc126941670"/>
      <w:bookmarkStart w:id="101" w:name="_Toc126942735"/>
      <w:bookmarkStart w:id="102" w:name="_Toc126943961"/>
      <w:bookmarkStart w:id="103" w:name="_Toc126945803"/>
      <w:bookmarkStart w:id="104" w:name="_Toc127550250"/>
      <w:bookmarkStart w:id="105" w:name="_Toc128043947"/>
      <w:bookmarkStart w:id="106" w:name="_Toc129609295"/>
      <w:bookmarkStart w:id="107" w:name="_Toc129609358"/>
      <w:bookmarkStart w:id="108" w:name="_Toc129609423"/>
      <w:bookmarkStart w:id="109" w:name="_Toc95122851"/>
      <w:bookmarkStart w:id="110" w:name="_Toc95154927"/>
      <w:bookmarkStart w:id="111" w:name="_Toc95160600"/>
      <w:bookmarkStart w:id="112" w:name="_Toc95160659"/>
      <w:bookmarkStart w:id="113" w:name="_Toc95160718"/>
      <w:bookmarkStart w:id="114" w:name="_Toc95160777"/>
      <w:bookmarkStart w:id="115" w:name="_Toc95160836"/>
      <w:bookmarkStart w:id="116" w:name="_Toc95161124"/>
      <w:bookmarkStart w:id="117" w:name="_Toc95161343"/>
      <w:bookmarkStart w:id="118" w:name="_Toc95161443"/>
      <w:bookmarkStart w:id="119" w:name="_Toc95205581"/>
      <w:bookmarkStart w:id="120" w:name="_Toc95207174"/>
      <w:bookmarkStart w:id="121" w:name="_Toc95397109"/>
      <w:bookmarkStart w:id="122" w:name="_Toc95922475"/>
      <w:bookmarkStart w:id="123" w:name="_Toc97281014"/>
      <w:bookmarkStart w:id="124" w:name="_Toc97281074"/>
      <w:bookmarkStart w:id="125" w:name="_Toc97647163"/>
      <w:bookmarkStart w:id="126" w:name="_Toc97647223"/>
      <w:bookmarkStart w:id="127" w:name="_Toc97647283"/>
      <w:bookmarkStart w:id="128" w:name="_Toc97647552"/>
      <w:bookmarkStart w:id="129" w:name="_Toc97647612"/>
      <w:bookmarkStart w:id="130" w:name="_Toc97647672"/>
      <w:bookmarkStart w:id="131" w:name="_Toc97647732"/>
      <w:bookmarkStart w:id="132" w:name="_Toc98433175"/>
      <w:bookmarkStart w:id="133" w:name="_Toc98433241"/>
      <w:bookmarkStart w:id="134" w:name="_Toc98433301"/>
      <w:bookmarkStart w:id="135" w:name="_Toc98433361"/>
      <w:bookmarkStart w:id="136" w:name="_Toc126941671"/>
      <w:bookmarkStart w:id="137" w:name="_Toc126942736"/>
      <w:bookmarkStart w:id="138" w:name="_Toc126943962"/>
      <w:bookmarkStart w:id="139" w:name="_Toc126945804"/>
      <w:bookmarkStart w:id="140" w:name="_Toc127550251"/>
      <w:bookmarkStart w:id="141" w:name="_Toc128043948"/>
      <w:bookmarkStart w:id="142" w:name="_Toc129609296"/>
      <w:bookmarkStart w:id="143" w:name="_Toc129609359"/>
      <w:bookmarkStart w:id="144" w:name="_Toc129609424"/>
      <w:bookmarkStart w:id="145" w:name="_Toc95122852"/>
      <w:bookmarkStart w:id="146" w:name="_Toc95154928"/>
      <w:bookmarkStart w:id="147" w:name="_Toc95160601"/>
      <w:bookmarkStart w:id="148" w:name="_Toc95160660"/>
      <w:bookmarkStart w:id="149" w:name="_Toc95160719"/>
      <w:bookmarkStart w:id="150" w:name="_Toc95160778"/>
      <w:bookmarkStart w:id="151" w:name="_Toc95160837"/>
      <w:bookmarkStart w:id="152" w:name="_Toc95161125"/>
      <w:bookmarkStart w:id="153" w:name="_Toc95161344"/>
      <w:bookmarkStart w:id="154" w:name="_Toc95161444"/>
      <w:bookmarkStart w:id="155" w:name="_Toc95205582"/>
      <w:bookmarkStart w:id="156" w:name="_Toc95207175"/>
      <w:bookmarkStart w:id="157" w:name="_Toc95397110"/>
      <w:bookmarkStart w:id="158" w:name="_Toc95922476"/>
      <w:bookmarkStart w:id="159" w:name="_Toc97281015"/>
      <w:bookmarkStart w:id="160" w:name="_Toc97281075"/>
      <w:bookmarkStart w:id="161" w:name="_Toc97647164"/>
      <w:bookmarkStart w:id="162" w:name="_Toc97647224"/>
      <w:bookmarkStart w:id="163" w:name="_Toc97647284"/>
      <w:bookmarkStart w:id="164" w:name="_Toc97647553"/>
      <w:bookmarkStart w:id="165" w:name="_Toc97647613"/>
      <w:bookmarkStart w:id="166" w:name="_Toc97647673"/>
      <w:bookmarkStart w:id="167" w:name="_Toc97647733"/>
      <w:bookmarkStart w:id="168" w:name="_Toc98433176"/>
      <w:bookmarkStart w:id="169" w:name="_Toc98433242"/>
      <w:bookmarkStart w:id="170" w:name="_Toc98433302"/>
      <w:bookmarkStart w:id="171" w:name="_Toc98433362"/>
      <w:bookmarkStart w:id="172" w:name="_Toc126941672"/>
      <w:bookmarkStart w:id="173" w:name="_Toc126942737"/>
      <w:bookmarkStart w:id="174" w:name="_Toc126943963"/>
      <w:bookmarkStart w:id="175" w:name="_Toc126945805"/>
      <w:bookmarkStart w:id="176" w:name="_Toc127550252"/>
      <w:bookmarkStart w:id="177" w:name="_Toc128043949"/>
      <w:bookmarkStart w:id="178" w:name="_Toc129609297"/>
      <w:bookmarkStart w:id="179" w:name="_Toc129609360"/>
      <w:bookmarkStart w:id="180" w:name="_Toc129609425"/>
      <w:bookmarkStart w:id="181" w:name="_Toc95122853"/>
      <w:bookmarkStart w:id="182" w:name="_Toc95154929"/>
      <w:bookmarkStart w:id="183" w:name="_Toc95160602"/>
      <w:bookmarkStart w:id="184" w:name="_Toc95160661"/>
      <w:bookmarkStart w:id="185" w:name="_Toc95160720"/>
      <w:bookmarkStart w:id="186" w:name="_Toc95160779"/>
      <w:bookmarkStart w:id="187" w:name="_Toc95160838"/>
      <w:bookmarkStart w:id="188" w:name="_Toc95161126"/>
      <w:bookmarkStart w:id="189" w:name="_Toc95161345"/>
      <w:bookmarkStart w:id="190" w:name="_Toc95161445"/>
      <w:bookmarkStart w:id="191" w:name="_Toc95205583"/>
      <w:bookmarkStart w:id="192" w:name="_Toc95207176"/>
      <w:bookmarkStart w:id="193" w:name="_Toc95397111"/>
      <w:bookmarkStart w:id="194" w:name="_Toc95922477"/>
      <w:bookmarkStart w:id="195" w:name="_Toc97281016"/>
      <w:bookmarkStart w:id="196" w:name="_Toc97281076"/>
      <w:bookmarkStart w:id="197" w:name="_Toc97647165"/>
      <w:bookmarkStart w:id="198" w:name="_Toc97647225"/>
      <w:bookmarkStart w:id="199" w:name="_Toc97647285"/>
      <w:bookmarkStart w:id="200" w:name="_Toc97647554"/>
      <w:bookmarkStart w:id="201" w:name="_Toc97647614"/>
      <w:bookmarkStart w:id="202" w:name="_Toc97647674"/>
      <w:bookmarkStart w:id="203" w:name="_Toc97647734"/>
      <w:bookmarkStart w:id="204" w:name="_Toc98433177"/>
      <w:bookmarkStart w:id="205" w:name="_Toc98433243"/>
      <w:bookmarkStart w:id="206" w:name="_Toc98433303"/>
      <w:bookmarkStart w:id="207" w:name="_Toc98433363"/>
      <w:bookmarkStart w:id="208" w:name="_Toc126941673"/>
      <w:bookmarkStart w:id="209" w:name="_Toc126942738"/>
      <w:bookmarkStart w:id="210" w:name="_Toc126943964"/>
      <w:bookmarkStart w:id="211" w:name="_Toc126945806"/>
      <w:bookmarkStart w:id="212" w:name="_Toc127550253"/>
      <w:bookmarkStart w:id="213" w:name="_Toc128043950"/>
      <w:bookmarkStart w:id="214" w:name="_Toc129609298"/>
      <w:bookmarkStart w:id="215" w:name="_Toc129609361"/>
      <w:bookmarkStart w:id="216" w:name="_Toc129609426"/>
      <w:bookmarkStart w:id="217" w:name="_Toc95122854"/>
      <w:bookmarkStart w:id="218" w:name="_Toc95154930"/>
      <w:bookmarkStart w:id="219" w:name="_Toc95160603"/>
      <w:bookmarkStart w:id="220" w:name="_Toc95160662"/>
      <w:bookmarkStart w:id="221" w:name="_Toc95160721"/>
      <w:bookmarkStart w:id="222" w:name="_Toc95160780"/>
      <w:bookmarkStart w:id="223" w:name="_Toc95160839"/>
      <w:bookmarkStart w:id="224" w:name="_Toc95161127"/>
      <w:bookmarkStart w:id="225" w:name="_Toc95161346"/>
      <w:bookmarkStart w:id="226" w:name="_Toc95161446"/>
      <w:bookmarkStart w:id="227" w:name="_Toc95205584"/>
      <w:bookmarkStart w:id="228" w:name="_Toc95207177"/>
      <w:bookmarkStart w:id="229" w:name="_Toc95397112"/>
      <w:bookmarkStart w:id="230" w:name="_Toc95922478"/>
      <w:bookmarkStart w:id="231" w:name="_Toc97281017"/>
      <w:bookmarkStart w:id="232" w:name="_Toc97281077"/>
      <w:bookmarkStart w:id="233" w:name="_Toc97647166"/>
      <w:bookmarkStart w:id="234" w:name="_Toc97647226"/>
      <w:bookmarkStart w:id="235" w:name="_Toc97647286"/>
      <w:bookmarkStart w:id="236" w:name="_Toc97647555"/>
      <w:bookmarkStart w:id="237" w:name="_Toc97647615"/>
      <w:bookmarkStart w:id="238" w:name="_Toc97647675"/>
      <w:bookmarkStart w:id="239" w:name="_Toc97647735"/>
      <w:bookmarkStart w:id="240" w:name="_Toc98433178"/>
      <w:bookmarkStart w:id="241" w:name="_Toc98433244"/>
      <w:bookmarkStart w:id="242" w:name="_Toc98433304"/>
      <w:bookmarkStart w:id="243" w:name="_Toc98433364"/>
      <w:bookmarkStart w:id="244" w:name="_Toc126941674"/>
      <w:bookmarkStart w:id="245" w:name="_Toc126942739"/>
      <w:bookmarkStart w:id="246" w:name="_Toc126943965"/>
      <w:bookmarkStart w:id="247" w:name="_Toc126945807"/>
      <w:bookmarkStart w:id="248" w:name="_Toc127550254"/>
      <w:bookmarkStart w:id="249" w:name="_Toc128043951"/>
      <w:bookmarkStart w:id="250" w:name="_Toc129609299"/>
      <w:bookmarkStart w:id="251" w:name="_Toc129609362"/>
      <w:bookmarkStart w:id="252" w:name="_Toc129609427"/>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5DE37E78" w14:textId="77777777" w:rsidR="007E1FEC" w:rsidRDefault="003C2F67" w:rsidP="007E1FEC">
      <w:pPr>
        <w:spacing w:after="0"/>
        <w:rPr>
          <w:rFonts w:ascii="Calibri" w:eastAsia="Calibri" w:hAnsi="Calibri" w:cs="Calibri"/>
          <w:b/>
          <w:bCs/>
          <w:color w:val="002060"/>
          <w:kern w:val="0"/>
          <w:szCs w:val="24"/>
          <w14:ligatures w14:val="none"/>
        </w:rPr>
      </w:pPr>
      <w:bookmarkStart w:id="253" w:name="_Toc161319454"/>
      <w:r>
        <w:rPr>
          <w:rFonts w:ascii="Calibri" w:eastAsia="Calibri" w:hAnsi="Calibri" w:cs="Calibri"/>
          <w:b/>
          <w:bCs/>
          <w:color w:val="002060"/>
          <w:kern w:val="0"/>
          <w:szCs w:val="24"/>
          <w14:ligatures w14:val="none"/>
        </w:rPr>
        <w:t xml:space="preserve">5.4.2. </w:t>
      </w:r>
      <w:r w:rsidRPr="003C2F67">
        <w:rPr>
          <w:rFonts w:ascii="Calibri" w:eastAsia="Calibri" w:hAnsi="Calibri" w:cs="Calibri"/>
          <w:b/>
          <w:bCs/>
          <w:color w:val="002060"/>
          <w:kern w:val="0"/>
          <w:szCs w:val="24"/>
          <w14:ligatures w14:val="none"/>
        </w:rPr>
        <w:t>Gestão de Processos</w:t>
      </w:r>
      <w:bookmarkEnd w:id="253"/>
    </w:p>
    <w:p w14:paraId="592F5BE2" w14:textId="615A3D03" w:rsidR="003C2F67" w:rsidRPr="003C2F67" w:rsidRDefault="003C2F67" w:rsidP="007E1FEC">
      <w:pPr>
        <w:spacing w:after="0"/>
        <w:rPr>
          <w:rFonts w:ascii="Calibri" w:eastAsia="Calibri" w:hAnsi="Calibri" w:cs="Calibri"/>
          <w:b/>
          <w:bCs/>
          <w:color w:val="002060"/>
          <w:kern w:val="0"/>
          <w:szCs w:val="24"/>
          <w14:ligatures w14:val="none"/>
        </w:rPr>
      </w:pPr>
      <w:r w:rsidRPr="003C2F67">
        <w:rPr>
          <w:rFonts w:ascii="Calibri" w:eastAsia="Calibri" w:hAnsi="Calibri" w:cs="Calibri"/>
          <w:color w:val="002060"/>
          <w:kern w:val="0"/>
          <w:szCs w:val="24"/>
          <w:lang w:bidi="pt-BR"/>
          <w14:ligatures w14:val="none"/>
        </w:rPr>
        <w:t xml:space="preserve">Em 2023, a Telebras tem buscado meios para tornar mais efetivo o trabalho relacionado ao mapeamento e aperfeiçoamento de processos, buscando aumentar sua capacidade de entrega através de ações como criar critérios para apoiar a alta direção na priorização das demandas de processo a serem atendidas, reduzindo assim as ocorrências de mudanças de prioridade ao longo das entregas. Além disso, buscando também atuar no formato de entrega, propondo reduzir descritivos e focando nas entregas dos fluxos desenhados. Estas ações serão implementadas a partir de 2024. </w:t>
      </w:r>
    </w:p>
    <w:p w14:paraId="08E4D960" w14:textId="77777777" w:rsidR="003C2F67" w:rsidRPr="003C2F67" w:rsidRDefault="003C2F67" w:rsidP="007E1FEC">
      <w:pPr>
        <w:widowControl w:val="0"/>
        <w:tabs>
          <w:tab w:val="left" w:pos="851"/>
        </w:tabs>
        <w:suppressAutoHyphens/>
        <w:spacing w:after="0" w:line="240" w:lineRule="auto"/>
        <w:jc w:val="both"/>
        <w:rPr>
          <w:rFonts w:ascii="Calibri" w:eastAsia="Calibri" w:hAnsi="Calibri" w:cs="Calibri"/>
          <w:color w:val="002060"/>
          <w:kern w:val="0"/>
          <w:szCs w:val="24"/>
          <w:lang w:bidi="pt-BR"/>
          <w14:ligatures w14:val="none"/>
        </w:rPr>
      </w:pPr>
      <w:r w:rsidRPr="003C2F67">
        <w:rPr>
          <w:rFonts w:ascii="Calibri" w:eastAsia="Calibri" w:hAnsi="Calibri" w:cs="Calibri"/>
          <w:color w:val="002060"/>
          <w:kern w:val="0"/>
          <w:szCs w:val="24"/>
          <w:lang w:bidi="pt-BR"/>
          <w14:ligatures w14:val="none"/>
        </w:rPr>
        <w:t>O Portfólio de Processos da Telebras atualmente conta com 71 processos de negócio finalísticos e de apoio, que representam o conjunto de rotinas promovidas pelas diversas áreas da empresa para alcançar seus resultados. Ao longo do ano, o escritório de processos (E-PROC) atuou em 6 desses processos, com a conclusão de 26 processos de trabalho e 253 atividades mapeadas e descritas.</w:t>
      </w:r>
    </w:p>
    <w:p w14:paraId="4E73FD68" w14:textId="77777777" w:rsidR="003C2F67" w:rsidRPr="003C2F67" w:rsidRDefault="003C2F67" w:rsidP="007E1FEC">
      <w:pPr>
        <w:widowControl w:val="0"/>
        <w:tabs>
          <w:tab w:val="left" w:pos="851"/>
        </w:tabs>
        <w:suppressAutoHyphens/>
        <w:spacing w:after="0" w:line="240" w:lineRule="auto"/>
        <w:jc w:val="both"/>
        <w:rPr>
          <w:rFonts w:ascii="Calibri" w:eastAsia="Calibri" w:hAnsi="Calibri" w:cs="Calibri"/>
          <w:color w:val="002060"/>
          <w:kern w:val="0"/>
          <w:szCs w:val="24"/>
          <w:lang w:bidi="pt-BR"/>
          <w14:ligatures w14:val="none"/>
        </w:rPr>
      </w:pPr>
      <w:r w:rsidRPr="003C2F67">
        <w:rPr>
          <w:rFonts w:ascii="Calibri" w:eastAsia="Calibri" w:hAnsi="Calibri" w:cs="Calibri"/>
          <w:color w:val="002060"/>
          <w:kern w:val="0"/>
          <w:szCs w:val="24"/>
          <w:lang w:bidi="pt-BR"/>
          <w14:ligatures w14:val="none"/>
        </w:rPr>
        <w:t>A cadeia de valor analítica da Telebras, está representada a seguir:</w:t>
      </w:r>
    </w:p>
    <w:p w14:paraId="42934ADD" w14:textId="765744E1" w:rsidR="003C2F67" w:rsidRPr="003C2F67" w:rsidRDefault="003C2F67" w:rsidP="003C2F67">
      <w:pPr>
        <w:widowControl w:val="0"/>
        <w:tabs>
          <w:tab w:val="left" w:pos="851"/>
        </w:tabs>
        <w:suppressAutoHyphens/>
        <w:spacing w:before="120" w:after="120" w:line="240" w:lineRule="auto"/>
        <w:jc w:val="both"/>
        <w:rPr>
          <w:rFonts w:ascii="Calibri" w:eastAsia="Calibri" w:hAnsi="Calibri" w:cs="Calibri"/>
          <w:b/>
          <w:bCs/>
          <w:color w:val="002060"/>
          <w:kern w:val="0"/>
          <w:szCs w:val="24"/>
          <w14:ligatures w14:val="none"/>
        </w:rPr>
      </w:pPr>
      <w:r w:rsidRPr="00415029">
        <w:rPr>
          <w:rFonts w:cstheme="minorHAnsi"/>
          <w:noProof/>
          <w:lang w:eastAsia="pt-BR"/>
        </w:rPr>
        <w:drawing>
          <wp:inline distT="0" distB="0" distL="0" distR="0" wp14:anchorId="0CFA6BB8" wp14:editId="2BE133A7">
            <wp:extent cx="5400040" cy="2254779"/>
            <wp:effectExtent l="0" t="0" r="0" b="0"/>
            <wp:docPr id="54" name="Imagem 54" descr="Interface gráfica do usuário, 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m 54" descr="Interface gráfica do usuário, Linha do tempo&#10;&#10;Descrição gerada automa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2254779"/>
                    </a:xfrm>
                    <a:prstGeom prst="rect">
                      <a:avLst/>
                    </a:prstGeom>
                    <a:noFill/>
                  </pic:spPr>
                </pic:pic>
              </a:graphicData>
            </a:graphic>
          </wp:inline>
        </w:drawing>
      </w:r>
    </w:p>
    <w:p w14:paraId="0974176A" w14:textId="5D0FF74C" w:rsidR="003C2F67" w:rsidRDefault="003C2F67" w:rsidP="006B22F2"/>
    <w:p w14:paraId="1FA69E5E" w14:textId="77777777" w:rsidR="003C2F67" w:rsidRDefault="003C2F67" w:rsidP="003C2F67">
      <w:pPr>
        <w:spacing w:after="0"/>
        <w:rPr>
          <w:rFonts w:ascii="Calibri" w:eastAsia="Calibri" w:hAnsi="Calibri" w:cs="Calibri"/>
          <w:b/>
          <w:bCs/>
          <w:color w:val="002060"/>
          <w:kern w:val="0"/>
          <w:szCs w:val="24"/>
          <w14:ligatures w14:val="none"/>
        </w:rPr>
      </w:pPr>
      <w:r>
        <w:rPr>
          <w:rFonts w:ascii="Calibri" w:eastAsia="Calibri" w:hAnsi="Calibri" w:cs="Calibri"/>
          <w:b/>
          <w:bCs/>
          <w:color w:val="002060"/>
          <w:kern w:val="0"/>
          <w:szCs w:val="24"/>
          <w14:ligatures w14:val="none"/>
        </w:rPr>
        <w:lastRenderedPageBreak/>
        <w:t xml:space="preserve">5.4.3. </w:t>
      </w:r>
      <w:r w:rsidRPr="003C2F67">
        <w:rPr>
          <w:rFonts w:ascii="Calibri" w:eastAsia="Calibri" w:hAnsi="Calibri" w:cs="Calibri"/>
          <w:b/>
          <w:bCs/>
          <w:color w:val="002060"/>
          <w:kern w:val="0"/>
          <w:szCs w:val="24"/>
          <w14:ligatures w14:val="none"/>
        </w:rPr>
        <w:t>Gestão de Projetos</w:t>
      </w:r>
    </w:p>
    <w:p w14:paraId="1301DAA7" w14:textId="0294C06C" w:rsidR="003C2F67" w:rsidRPr="003C2F67" w:rsidRDefault="003C2F67" w:rsidP="003C2F67">
      <w:pPr>
        <w:spacing w:after="0"/>
        <w:rPr>
          <w:rFonts w:ascii="Calibri" w:eastAsia="Calibri" w:hAnsi="Calibri" w:cs="Calibri"/>
          <w:b/>
          <w:bCs/>
          <w:color w:val="002060"/>
          <w:kern w:val="0"/>
          <w:szCs w:val="24"/>
          <w14:ligatures w14:val="none"/>
        </w:rPr>
      </w:pPr>
      <w:r w:rsidRPr="003C2F67">
        <w:rPr>
          <w:rFonts w:ascii="Calibri" w:eastAsia="Calibri" w:hAnsi="Calibri" w:cs="Calibri"/>
          <w:color w:val="002060"/>
          <w:kern w:val="0"/>
          <w:szCs w:val="24"/>
          <w14:ligatures w14:val="none"/>
        </w:rPr>
        <w:t xml:space="preserve">Em 2023, a gestão de projetos contabilizou a atuação em 87 frentes de projetos, dos quais 31 foram concluídos. Dentre os principais projetos estão aqueles relacionados às Redes Privativas, modernização do CORE IP, ampliação da rede DWDM, Programa Amazônia Conectada (PAC), lançamento de produtos, mapeamento de processos, vendas com equipagem e outros projetos das diretorias da Telebras. Esses projetos possuem impacto direto nos resultados econômico-financeiros, competências organizacionais, cultura, gestão da informação e do conhecimento, processos, desenvolvimento de serviços e infraestrutura, satisfação dos clientes, políticas públicas e segurança, com foco no atingimento dos Objetivos Estratégicos da Companhia. </w:t>
      </w:r>
    </w:p>
    <w:p w14:paraId="492DF0DD" w14:textId="064C522A" w:rsidR="003C2F67" w:rsidRPr="003C2F67" w:rsidRDefault="003C2F67" w:rsidP="003C2F67">
      <w:pPr>
        <w:spacing w:after="0"/>
        <w:rPr>
          <w:rFonts w:ascii="Calibri" w:eastAsia="Calibri" w:hAnsi="Calibri" w:cs="Calibri"/>
          <w:color w:val="002060"/>
          <w:kern w:val="0"/>
          <w:szCs w:val="24"/>
          <w14:ligatures w14:val="none"/>
        </w:rPr>
        <w:sectPr w:rsidR="003C2F67" w:rsidRPr="003C2F67" w:rsidSect="003C2F67">
          <w:footnotePr>
            <w:pos w:val="beneathText"/>
          </w:footnotePr>
          <w:type w:val="continuous"/>
          <w:pgSz w:w="11907" w:h="16840" w:code="9"/>
          <w:pgMar w:top="1701" w:right="1134" w:bottom="1531" w:left="1701" w:header="397" w:footer="397" w:gutter="0"/>
          <w:cols w:space="708"/>
          <w:titlePg/>
          <w:docGrid w:linePitch="360"/>
        </w:sectPr>
      </w:pPr>
      <w:r w:rsidRPr="003C2F67">
        <w:rPr>
          <w:rFonts w:ascii="Calibri" w:eastAsia="Calibri" w:hAnsi="Calibri" w:cs="Calibri"/>
          <w:color w:val="002060"/>
          <w:kern w:val="0"/>
          <w:szCs w:val="24"/>
          <w14:ligatures w14:val="none"/>
        </w:rPr>
        <w:t xml:space="preserve">Adicionalmente, a Gestão de Projetos atuou focada no desdobramento tático e operacional do Plano Estratégico (PEI) 2023-2027 com análise de indicadores e acompanhamento de prazos. Esses esforços terão continuidade em 2024 com foco na atualização do </w:t>
      </w:r>
      <w:proofErr w:type="gramStart"/>
      <w:r w:rsidRPr="003C2F67">
        <w:rPr>
          <w:rFonts w:ascii="Calibri" w:eastAsia="Calibri" w:hAnsi="Calibri" w:cs="Calibri"/>
          <w:color w:val="002060"/>
          <w:kern w:val="0"/>
          <w:szCs w:val="24"/>
          <w14:ligatures w14:val="none"/>
        </w:rPr>
        <w:t xml:space="preserve">PEI </w:t>
      </w:r>
      <w:r>
        <w:rPr>
          <w:rFonts w:ascii="Calibri" w:eastAsia="Calibri" w:hAnsi="Calibri" w:cs="Calibri"/>
          <w:color w:val="002060"/>
          <w:kern w:val="0"/>
          <w:szCs w:val="24"/>
          <w14:ligatures w14:val="none"/>
        </w:rPr>
        <w:t>.</w:t>
      </w:r>
      <w:proofErr w:type="gramEnd"/>
      <w:r>
        <w:rPr>
          <w:rFonts w:ascii="Calibri" w:eastAsia="Calibri" w:hAnsi="Calibri" w:cs="Calibri"/>
          <w:color w:val="002060"/>
          <w:kern w:val="0"/>
          <w:szCs w:val="24"/>
          <w14:ligatures w14:val="none"/>
        </w:rPr>
        <w:t xml:space="preserve"> </w:t>
      </w:r>
    </w:p>
    <w:p w14:paraId="3393DAE4" w14:textId="41EC2A43" w:rsidR="003C2F67" w:rsidRPr="003C2F67" w:rsidRDefault="003C2F67" w:rsidP="003C2F67">
      <w:pPr>
        <w:spacing w:after="0"/>
        <w:rPr>
          <w:rFonts w:ascii="Calibri" w:eastAsia="Calibri" w:hAnsi="Calibri" w:cs="Calibri"/>
          <w:b/>
          <w:bCs/>
          <w:color w:val="002060"/>
          <w:kern w:val="0"/>
          <w:szCs w:val="24"/>
          <w14:ligatures w14:val="none"/>
        </w:rPr>
      </w:pPr>
      <w:bookmarkStart w:id="254" w:name="_Toc161319456"/>
      <w:r>
        <w:rPr>
          <w:rFonts w:ascii="Calibri" w:eastAsia="Calibri" w:hAnsi="Calibri" w:cs="Calibri"/>
          <w:b/>
          <w:bCs/>
          <w:color w:val="002060"/>
          <w:kern w:val="0"/>
          <w:szCs w:val="24"/>
          <w14:ligatures w14:val="none"/>
        </w:rPr>
        <w:t xml:space="preserve">6. </w:t>
      </w:r>
      <w:r w:rsidRPr="003C2F67">
        <w:rPr>
          <w:rFonts w:ascii="Calibri" w:eastAsia="Calibri" w:hAnsi="Calibri" w:cs="Calibri"/>
          <w:b/>
          <w:bCs/>
          <w:color w:val="002060"/>
          <w:kern w:val="0"/>
          <w:szCs w:val="24"/>
          <w14:ligatures w14:val="none"/>
        </w:rPr>
        <w:t>Os Negócios da Telebras</w:t>
      </w:r>
      <w:bookmarkStart w:id="255" w:name="_Toc9860145"/>
      <w:bookmarkEnd w:id="254"/>
    </w:p>
    <w:p w14:paraId="4A4122D0" w14:textId="02222D1D" w:rsidR="003C2F67" w:rsidRDefault="003C2F67" w:rsidP="003C2F67">
      <w:pPr>
        <w:spacing w:after="0"/>
        <w:rPr>
          <w:rFonts w:ascii="Calibri" w:eastAsia="Calibri" w:hAnsi="Calibri" w:cs="Calibri"/>
          <w:b/>
          <w:bCs/>
          <w:iCs/>
          <w:color w:val="002060"/>
          <w:kern w:val="0"/>
          <w:szCs w:val="24"/>
          <w14:ligatures w14:val="none"/>
        </w:rPr>
      </w:pPr>
      <w:bookmarkStart w:id="256" w:name="_Toc966433"/>
      <w:bookmarkStart w:id="257" w:name="_Toc966434"/>
      <w:bookmarkStart w:id="258" w:name="_Toc966435"/>
      <w:bookmarkStart w:id="259" w:name="_Toc966436"/>
      <w:bookmarkStart w:id="260" w:name="_Toc966437"/>
      <w:bookmarkStart w:id="261" w:name="_Toc966438"/>
      <w:bookmarkStart w:id="262" w:name="_Toc966439"/>
      <w:bookmarkStart w:id="263" w:name="_Toc966440"/>
      <w:bookmarkStart w:id="264" w:name="_Toc966441"/>
      <w:bookmarkStart w:id="265" w:name="_Toc966442"/>
      <w:bookmarkStart w:id="266" w:name="_Toc966443"/>
      <w:bookmarkStart w:id="267" w:name="_Toc966444"/>
      <w:bookmarkStart w:id="268" w:name="_Toc95121277"/>
      <w:bookmarkStart w:id="269" w:name="_Toc95122858"/>
      <w:bookmarkStart w:id="270" w:name="_Toc95154934"/>
      <w:bookmarkStart w:id="271" w:name="_Toc95160607"/>
      <w:bookmarkStart w:id="272" w:name="_Toc95160666"/>
      <w:bookmarkStart w:id="273" w:name="_Toc95160725"/>
      <w:bookmarkStart w:id="274" w:name="_Toc95160784"/>
      <w:bookmarkStart w:id="275" w:name="_Toc95160843"/>
      <w:bookmarkStart w:id="276" w:name="_Toc95161131"/>
      <w:bookmarkStart w:id="277" w:name="_Toc95161350"/>
      <w:bookmarkStart w:id="278" w:name="_Toc95161450"/>
      <w:bookmarkStart w:id="279" w:name="_Toc95205588"/>
      <w:bookmarkStart w:id="280" w:name="_Toc95207181"/>
      <w:bookmarkStart w:id="281" w:name="_Toc95397116"/>
      <w:bookmarkStart w:id="282" w:name="_Toc95922482"/>
      <w:bookmarkStart w:id="283" w:name="_Toc97281021"/>
      <w:bookmarkStart w:id="284" w:name="_Toc97281081"/>
      <w:bookmarkStart w:id="285" w:name="_Toc97647170"/>
      <w:bookmarkStart w:id="286" w:name="_Toc97647230"/>
      <w:bookmarkStart w:id="287" w:name="_Toc97647290"/>
      <w:bookmarkStart w:id="288" w:name="_Toc97647559"/>
      <w:bookmarkStart w:id="289" w:name="_Toc97647619"/>
      <w:bookmarkStart w:id="290" w:name="_Toc97647679"/>
      <w:bookmarkStart w:id="291" w:name="_Toc97647739"/>
      <w:bookmarkStart w:id="292" w:name="_Toc98433182"/>
      <w:bookmarkStart w:id="293" w:name="_Toc98433248"/>
      <w:bookmarkStart w:id="294" w:name="_Toc98433308"/>
      <w:bookmarkStart w:id="295" w:name="_Toc98433368"/>
      <w:bookmarkStart w:id="296" w:name="_Toc126941678"/>
      <w:bookmarkStart w:id="297" w:name="_Toc126942743"/>
      <w:bookmarkStart w:id="298" w:name="_Toc126943969"/>
      <w:bookmarkStart w:id="299" w:name="_Toc126945811"/>
      <w:bookmarkStart w:id="300" w:name="_Toc127550258"/>
      <w:bookmarkStart w:id="301" w:name="_Toc128043955"/>
      <w:bookmarkStart w:id="302" w:name="_Toc129609303"/>
      <w:bookmarkStart w:id="303" w:name="_Toc129609366"/>
      <w:bookmarkStart w:id="304" w:name="_Toc129609431"/>
      <w:bookmarkStart w:id="305" w:name="_Toc95122859"/>
      <w:bookmarkStart w:id="306" w:name="_Toc95154935"/>
      <w:bookmarkStart w:id="307" w:name="_Toc95160608"/>
      <w:bookmarkStart w:id="308" w:name="_Toc95160667"/>
      <w:bookmarkStart w:id="309" w:name="_Toc95160726"/>
      <w:bookmarkStart w:id="310" w:name="_Toc95160785"/>
      <w:bookmarkStart w:id="311" w:name="_Toc95160844"/>
      <w:bookmarkStart w:id="312" w:name="_Toc95161132"/>
      <w:bookmarkStart w:id="313" w:name="_Toc95161351"/>
      <w:bookmarkStart w:id="314" w:name="_Toc95161451"/>
      <w:bookmarkStart w:id="315" w:name="_Toc95205589"/>
      <w:bookmarkStart w:id="316" w:name="_Toc95207182"/>
      <w:bookmarkStart w:id="317" w:name="_Toc95397117"/>
      <w:bookmarkStart w:id="318" w:name="_Toc95922483"/>
      <w:bookmarkStart w:id="319" w:name="_Toc97281022"/>
      <w:bookmarkStart w:id="320" w:name="_Toc97281082"/>
      <w:bookmarkStart w:id="321" w:name="_Toc97647171"/>
      <w:bookmarkStart w:id="322" w:name="_Toc97647231"/>
      <w:bookmarkStart w:id="323" w:name="_Toc97647291"/>
      <w:bookmarkStart w:id="324" w:name="_Toc97647560"/>
      <w:bookmarkStart w:id="325" w:name="_Toc97647620"/>
      <w:bookmarkStart w:id="326" w:name="_Toc97647680"/>
      <w:bookmarkStart w:id="327" w:name="_Toc97647740"/>
      <w:bookmarkStart w:id="328" w:name="_Toc98433183"/>
      <w:bookmarkStart w:id="329" w:name="_Toc98433249"/>
      <w:bookmarkStart w:id="330" w:name="_Toc98433309"/>
      <w:bookmarkStart w:id="331" w:name="_Toc98433369"/>
      <w:bookmarkStart w:id="332" w:name="_Toc126941679"/>
      <w:bookmarkStart w:id="333" w:name="_Toc126942744"/>
      <w:bookmarkStart w:id="334" w:name="_Toc126943970"/>
      <w:bookmarkStart w:id="335" w:name="_Toc126945812"/>
      <w:bookmarkStart w:id="336" w:name="_Toc127550259"/>
      <w:bookmarkStart w:id="337" w:name="_Toc128043956"/>
      <w:bookmarkStart w:id="338" w:name="_Toc129609304"/>
      <w:bookmarkStart w:id="339" w:name="_Toc129609367"/>
      <w:bookmarkStart w:id="340" w:name="_Toc129609432"/>
      <w:bookmarkStart w:id="341" w:name="_Toc161319457"/>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r>
        <w:rPr>
          <w:rFonts w:ascii="Calibri" w:eastAsia="Calibri" w:hAnsi="Calibri" w:cs="Calibri"/>
          <w:b/>
          <w:bCs/>
          <w:iCs/>
          <w:color w:val="002060"/>
          <w:kern w:val="0"/>
          <w:szCs w:val="24"/>
          <w14:ligatures w14:val="none"/>
        </w:rPr>
        <w:t xml:space="preserve">6.1. </w:t>
      </w:r>
      <w:r w:rsidRPr="003C2F67">
        <w:rPr>
          <w:rFonts w:ascii="Calibri" w:eastAsia="Calibri" w:hAnsi="Calibri" w:cs="Calibri"/>
          <w:b/>
          <w:bCs/>
          <w:iCs/>
          <w:color w:val="002060"/>
          <w:kern w:val="0"/>
          <w:szCs w:val="24"/>
          <w14:ligatures w14:val="none"/>
        </w:rPr>
        <w:t>Conjuntura Econômica Setorial</w:t>
      </w:r>
      <w:bookmarkEnd w:id="341"/>
    </w:p>
    <w:p w14:paraId="5CE48A6A" w14:textId="77777777" w:rsidR="003C2F67" w:rsidRPr="003C2F67" w:rsidRDefault="003C2F67" w:rsidP="003C2F67">
      <w:pPr>
        <w:spacing w:after="0"/>
        <w:jc w:val="both"/>
        <w:rPr>
          <w:rFonts w:ascii="Calibri" w:eastAsia="Calibri" w:hAnsi="Calibri" w:cs="Calibri"/>
          <w:iCs/>
          <w:color w:val="002060"/>
          <w:kern w:val="0"/>
          <w:szCs w:val="24"/>
          <w14:ligatures w14:val="none"/>
        </w:rPr>
      </w:pPr>
      <w:r w:rsidRPr="003C2F67">
        <w:rPr>
          <w:rFonts w:ascii="Calibri" w:eastAsia="Calibri" w:hAnsi="Calibri" w:cs="Calibri"/>
          <w:iCs/>
          <w:color w:val="002060"/>
          <w:kern w:val="0"/>
          <w:szCs w:val="24"/>
          <w14:ligatures w14:val="none"/>
        </w:rPr>
        <w:t xml:space="preserve">O ano de 2023 apresentou desafios significativos para as empresas de telecomunicações. O número de acessos à internet banda larga registrou um crescimento de 4,1%, uma taxa inferior à observada nos últimos cinco anos. Segundo dados da </w:t>
      </w:r>
      <w:proofErr w:type="spellStart"/>
      <w:r w:rsidRPr="003C2F67">
        <w:rPr>
          <w:rFonts w:ascii="Calibri" w:eastAsia="Calibri" w:hAnsi="Calibri" w:cs="Calibri"/>
          <w:iCs/>
          <w:color w:val="002060"/>
          <w:kern w:val="0"/>
          <w:szCs w:val="24"/>
          <w14:ligatures w14:val="none"/>
        </w:rPr>
        <w:t>Conexis</w:t>
      </w:r>
      <w:proofErr w:type="spellEnd"/>
      <w:r w:rsidRPr="003C2F67">
        <w:rPr>
          <w:rFonts w:ascii="Calibri" w:eastAsia="Calibri" w:hAnsi="Calibri" w:cs="Calibri"/>
          <w:iCs/>
          <w:color w:val="002060"/>
          <w:kern w:val="0"/>
          <w:szCs w:val="24"/>
          <w14:ligatures w14:val="none"/>
        </w:rPr>
        <w:t xml:space="preserve"> Brasil Digital, nos primeiros nove meses de 2023, a banda larga fixa e a telefonia móvel contribuíram positivamente para a geração de receita no setor, com destaque para o aumento de 13,2% na receita da banda larga fixa.</w:t>
      </w:r>
    </w:p>
    <w:p w14:paraId="469EF55A" w14:textId="77777777" w:rsidR="003C2F67" w:rsidRPr="003C2F67" w:rsidRDefault="003C2F67" w:rsidP="003C2F67">
      <w:pPr>
        <w:spacing w:after="0"/>
        <w:jc w:val="both"/>
        <w:rPr>
          <w:rFonts w:ascii="Calibri" w:eastAsia="Calibri" w:hAnsi="Calibri" w:cs="Calibri"/>
          <w:iCs/>
          <w:color w:val="002060"/>
          <w:kern w:val="0"/>
          <w:szCs w:val="24"/>
          <w14:ligatures w14:val="none"/>
        </w:rPr>
      </w:pPr>
      <w:r w:rsidRPr="003C2F67">
        <w:rPr>
          <w:rFonts w:ascii="Calibri" w:eastAsia="Calibri" w:hAnsi="Calibri" w:cs="Calibri"/>
          <w:iCs/>
          <w:color w:val="002060"/>
          <w:kern w:val="0"/>
          <w:szCs w:val="24"/>
          <w14:ligatures w14:val="none"/>
        </w:rPr>
        <w:t xml:space="preserve">A </w:t>
      </w:r>
      <w:proofErr w:type="spellStart"/>
      <w:r w:rsidRPr="003C2F67">
        <w:rPr>
          <w:rFonts w:ascii="Calibri" w:eastAsia="Calibri" w:hAnsi="Calibri" w:cs="Calibri"/>
          <w:iCs/>
          <w:color w:val="002060"/>
          <w:kern w:val="0"/>
          <w:szCs w:val="24"/>
          <w14:ligatures w14:val="none"/>
        </w:rPr>
        <w:t>Conexis</w:t>
      </w:r>
      <w:proofErr w:type="spellEnd"/>
      <w:r w:rsidRPr="003C2F67">
        <w:rPr>
          <w:rFonts w:ascii="Calibri" w:eastAsia="Calibri" w:hAnsi="Calibri" w:cs="Calibri"/>
          <w:iCs/>
          <w:color w:val="002060"/>
          <w:kern w:val="0"/>
          <w:szCs w:val="24"/>
          <w14:ligatures w14:val="none"/>
        </w:rPr>
        <w:t xml:space="preserve"> reportou que o setor de telecomunicações investiu um total de R$ 24,7 bilhões até o terceiro trimestre de 2023. Durante o mesmo período, a receita bruta do setor atingiu R$ 214 bilhões, em valores atualizados. Os principais investimentos durante esse período foram direcionados para a expansão da rede de fibra e o reforço da rede móvel, especialmente do 5G, de acordo com a entidade que representa as principais operadoras do país.</w:t>
      </w:r>
    </w:p>
    <w:p w14:paraId="5B37464D" w14:textId="77777777" w:rsidR="003C2F67" w:rsidRPr="003C2F67" w:rsidRDefault="003C2F67" w:rsidP="003C2F67">
      <w:pPr>
        <w:spacing w:after="0"/>
        <w:jc w:val="both"/>
        <w:rPr>
          <w:rFonts w:ascii="Calibri" w:eastAsia="Calibri" w:hAnsi="Calibri" w:cs="Calibri"/>
          <w:iCs/>
          <w:color w:val="002060"/>
          <w:kern w:val="0"/>
          <w:szCs w:val="24"/>
          <w14:ligatures w14:val="none"/>
        </w:rPr>
      </w:pPr>
      <w:r w:rsidRPr="003C2F67">
        <w:rPr>
          <w:rFonts w:ascii="Calibri" w:eastAsia="Calibri" w:hAnsi="Calibri" w:cs="Calibri"/>
          <w:iCs/>
          <w:color w:val="002060"/>
          <w:kern w:val="0"/>
          <w:szCs w:val="24"/>
          <w14:ligatures w14:val="none"/>
        </w:rPr>
        <w:t>O montante total investido representa uma queda real de 10% em relação ao mesmo período de 2022, após o ajuste dos efeitos da inflação, quando foram investidos R$ 27,5 bilhões.</w:t>
      </w:r>
    </w:p>
    <w:p w14:paraId="7290D22F" w14:textId="77777777" w:rsidR="003C2F67" w:rsidRPr="003C2F67" w:rsidRDefault="003C2F67" w:rsidP="003C2F67">
      <w:pPr>
        <w:spacing w:after="0"/>
        <w:jc w:val="both"/>
        <w:rPr>
          <w:rFonts w:ascii="Calibri" w:eastAsia="Calibri" w:hAnsi="Calibri" w:cs="Calibri"/>
          <w:iCs/>
          <w:color w:val="002060"/>
          <w:kern w:val="0"/>
          <w:szCs w:val="24"/>
          <w14:ligatures w14:val="none"/>
        </w:rPr>
      </w:pPr>
      <w:r w:rsidRPr="003C2F67">
        <w:rPr>
          <w:rFonts w:ascii="Calibri" w:eastAsia="Calibri" w:hAnsi="Calibri" w:cs="Calibri"/>
          <w:iCs/>
          <w:color w:val="002060"/>
          <w:kern w:val="0"/>
          <w:szCs w:val="24"/>
          <w14:ligatures w14:val="none"/>
        </w:rPr>
        <w:t>De acordo com CGI.br, em 2023, 84% dos domicílios brasileiros tinham acesso à internet, representando um aumento de 5% em relação a 2022. No entanto, ainda há uma parcela significativa de 29% da população brasileira que não está conectada à rede.</w:t>
      </w:r>
    </w:p>
    <w:p w14:paraId="38DC4997" w14:textId="77777777" w:rsidR="003C2F67" w:rsidRPr="003C2F67" w:rsidRDefault="003C2F67" w:rsidP="003C2F67">
      <w:pPr>
        <w:spacing w:after="0"/>
        <w:jc w:val="both"/>
        <w:rPr>
          <w:rFonts w:ascii="Calibri" w:eastAsia="Calibri" w:hAnsi="Calibri" w:cs="Calibri"/>
          <w:iCs/>
          <w:color w:val="002060"/>
          <w:kern w:val="0"/>
          <w:szCs w:val="24"/>
          <w14:ligatures w14:val="none"/>
        </w:rPr>
      </w:pPr>
      <w:r w:rsidRPr="003C2F67">
        <w:rPr>
          <w:rFonts w:ascii="Calibri" w:eastAsia="Calibri" w:hAnsi="Calibri" w:cs="Calibri"/>
          <w:iCs/>
          <w:color w:val="002060"/>
          <w:kern w:val="0"/>
          <w:szCs w:val="24"/>
          <w14:ligatures w14:val="none"/>
        </w:rPr>
        <w:t xml:space="preserve">Segundo a Anatel, o mercado brasileiro de banda larga fixa via acesso satelital passou por uma transformação significativa em 2023, impulsionada pela expansão da oferta de satélites </w:t>
      </w:r>
      <w:proofErr w:type="spellStart"/>
      <w:r w:rsidRPr="003C2F67">
        <w:rPr>
          <w:rFonts w:ascii="Calibri" w:eastAsia="Calibri" w:hAnsi="Calibri" w:cs="Calibri"/>
          <w:iCs/>
          <w:color w:val="002060"/>
          <w:kern w:val="0"/>
          <w:szCs w:val="24"/>
          <w14:ligatures w14:val="none"/>
        </w:rPr>
        <w:t>de</w:t>
      </w:r>
      <w:proofErr w:type="spellEnd"/>
      <w:r w:rsidRPr="003C2F67">
        <w:rPr>
          <w:rFonts w:ascii="Calibri" w:eastAsia="Calibri" w:hAnsi="Calibri" w:cs="Calibri"/>
          <w:iCs/>
          <w:color w:val="002060"/>
          <w:kern w:val="0"/>
          <w:szCs w:val="24"/>
          <w14:ligatures w14:val="none"/>
        </w:rPr>
        <w:t xml:space="preserve"> órbita terrestre baixa (LEO). Houve aumento expressivo no total de acessos em 2023, na ordem de 25,75%. </w:t>
      </w:r>
    </w:p>
    <w:p w14:paraId="75FFEAB6" w14:textId="77777777" w:rsidR="003C2F67" w:rsidRPr="003C2F67" w:rsidRDefault="003C2F67" w:rsidP="003C2F67">
      <w:pPr>
        <w:spacing w:after="0"/>
        <w:jc w:val="both"/>
        <w:rPr>
          <w:rFonts w:ascii="Calibri" w:eastAsia="Calibri" w:hAnsi="Calibri" w:cs="Calibri"/>
          <w:iCs/>
          <w:color w:val="002060"/>
          <w:kern w:val="0"/>
          <w:szCs w:val="24"/>
          <w14:ligatures w14:val="none"/>
        </w:rPr>
      </w:pPr>
      <w:r w:rsidRPr="003C2F67">
        <w:rPr>
          <w:rFonts w:ascii="Calibri" w:eastAsia="Calibri" w:hAnsi="Calibri" w:cs="Calibri"/>
          <w:iCs/>
          <w:color w:val="002060"/>
          <w:kern w:val="0"/>
          <w:szCs w:val="24"/>
          <w14:ligatures w14:val="none"/>
        </w:rPr>
        <w:t>A tabela abaixo ilustra a evolução da competição no mercado de banda larga via satélite brasileiro em 2023, conforme relatado pelas empresas à Anatel:</w:t>
      </w:r>
    </w:p>
    <w:p w14:paraId="2DB0642A" w14:textId="77777777" w:rsidR="003C2F67" w:rsidRDefault="003C2F67" w:rsidP="003C2F67">
      <w:pPr>
        <w:spacing w:after="0"/>
        <w:rPr>
          <w:rFonts w:ascii="Calibri" w:eastAsia="Calibri" w:hAnsi="Calibri" w:cs="Calibri"/>
          <w:b/>
          <w:bCs/>
          <w:iCs/>
          <w:color w:val="002060"/>
          <w:kern w:val="0"/>
          <w:szCs w:val="24"/>
          <w14:ligatures w14:val="none"/>
        </w:rPr>
      </w:pPr>
    </w:p>
    <w:p w14:paraId="16B5C63A" w14:textId="56824D26" w:rsidR="00CD43C8" w:rsidRDefault="00CD43C8" w:rsidP="003C2F67">
      <w:pPr>
        <w:spacing w:after="0"/>
        <w:rPr>
          <w:rFonts w:ascii="Calibri" w:eastAsia="Calibri" w:hAnsi="Calibri" w:cs="Calibri"/>
          <w:b/>
          <w:bCs/>
          <w:iCs/>
          <w:color w:val="002060"/>
          <w:kern w:val="0"/>
          <w:szCs w:val="24"/>
          <w14:ligatures w14:val="none"/>
        </w:rPr>
      </w:pPr>
      <w:r>
        <w:rPr>
          <w:noProof/>
          <w:lang w:eastAsia="pt-BR"/>
        </w:rPr>
        <w:drawing>
          <wp:inline distT="0" distB="0" distL="0" distR="0" wp14:anchorId="5FD69FD7" wp14:editId="47BEF0AB">
            <wp:extent cx="5219700" cy="1857375"/>
            <wp:effectExtent l="0" t="0" r="0" b="9525"/>
            <wp:docPr id="2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18573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3167D8C" w14:textId="77777777" w:rsidR="00CD43C8" w:rsidRPr="00531E99" w:rsidRDefault="00CD43C8" w:rsidP="00CD43C8">
      <w:pPr>
        <w:pStyle w:val="Legenda"/>
        <w:spacing w:before="120" w:after="0"/>
        <w:rPr>
          <w:rFonts w:ascii="Calibri" w:eastAsia="Calibri" w:hAnsi="Calibri" w:cs="Calibri"/>
          <w:color w:val="44546A"/>
        </w:rPr>
      </w:pPr>
      <w:bookmarkStart w:id="342" w:name="_Toc161319866"/>
      <w:r w:rsidRPr="00AE3EC3">
        <w:t xml:space="preserve">Tabela </w:t>
      </w:r>
      <w:r>
        <w:fldChar w:fldCharType="begin"/>
      </w:r>
      <w:r>
        <w:instrText xml:space="preserve"> STYLEREF 1 \s </w:instrText>
      </w:r>
      <w:r>
        <w:fldChar w:fldCharType="separate"/>
      </w:r>
      <w:r>
        <w:rPr>
          <w:noProof/>
        </w:rPr>
        <w:t>6</w:t>
      </w:r>
      <w:r>
        <w:rPr>
          <w:noProof/>
        </w:rPr>
        <w:fldChar w:fldCharType="end"/>
      </w:r>
      <w:r w:rsidRPr="00AE3EC3">
        <w:noBreakHyphen/>
      </w:r>
      <w:r>
        <w:fldChar w:fldCharType="begin"/>
      </w:r>
      <w:r>
        <w:instrText xml:space="preserve"> SEQ Tabela \* ARABIC \s 1 </w:instrText>
      </w:r>
      <w:r>
        <w:fldChar w:fldCharType="separate"/>
      </w:r>
      <w:r>
        <w:rPr>
          <w:noProof/>
        </w:rPr>
        <w:t>1</w:t>
      </w:r>
      <w:r>
        <w:rPr>
          <w:noProof/>
        </w:rPr>
        <w:fldChar w:fldCharType="end"/>
      </w:r>
      <w:r w:rsidRPr="00AE3EC3">
        <w:t xml:space="preserve"> Mercado de Banda Larga por Satélite</w:t>
      </w:r>
      <w:bookmarkEnd w:id="342"/>
    </w:p>
    <w:p w14:paraId="24B9B30B" w14:textId="77777777" w:rsidR="00CD43C8" w:rsidRDefault="00CD43C8" w:rsidP="003C2F67">
      <w:pPr>
        <w:spacing w:after="0"/>
        <w:rPr>
          <w:rFonts w:ascii="Calibri" w:eastAsia="Calibri" w:hAnsi="Calibri" w:cs="Calibri"/>
          <w:b/>
          <w:bCs/>
          <w:iCs/>
          <w:color w:val="002060"/>
          <w:kern w:val="0"/>
          <w:szCs w:val="24"/>
          <w14:ligatures w14:val="none"/>
        </w:rPr>
      </w:pPr>
    </w:p>
    <w:p w14:paraId="7F64364B" w14:textId="6A5B340E" w:rsidR="00CD43C8" w:rsidRPr="00CD43C8" w:rsidRDefault="00CD43C8" w:rsidP="00CD43C8">
      <w:pPr>
        <w:spacing w:after="0"/>
        <w:rPr>
          <w:rFonts w:ascii="Calibri" w:eastAsia="Calibri" w:hAnsi="Calibri" w:cs="Calibri"/>
          <w:b/>
          <w:bCs/>
          <w:iCs/>
          <w:color w:val="002060"/>
          <w:kern w:val="0"/>
          <w:szCs w:val="24"/>
          <w14:ligatures w14:val="none"/>
        </w:rPr>
      </w:pPr>
      <w:bookmarkStart w:id="343" w:name="_Toc161319458"/>
      <w:r>
        <w:rPr>
          <w:rFonts w:ascii="Calibri" w:eastAsia="Calibri" w:hAnsi="Calibri" w:cs="Calibri"/>
          <w:b/>
          <w:bCs/>
          <w:iCs/>
          <w:color w:val="002060"/>
          <w:kern w:val="0"/>
          <w:szCs w:val="24"/>
          <w14:ligatures w14:val="none"/>
        </w:rPr>
        <w:t xml:space="preserve">6.2. </w:t>
      </w:r>
      <w:r w:rsidRPr="00CD43C8">
        <w:rPr>
          <w:rFonts w:ascii="Calibri" w:eastAsia="Calibri" w:hAnsi="Calibri" w:cs="Calibri"/>
          <w:b/>
          <w:bCs/>
          <w:iCs/>
          <w:color w:val="002060"/>
          <w:kern w:val="0"/>
          <w:szCs w:val="24"/>
          <w14:ligatures w14:val="none"/>
        </w:rPr>
        <w:t>Vendas</w:t>
      </w:r>
      <w:bookmarkEnd w:id="343"/>
      <w:r w:rsidRPr="00CD43C8">
        <w:rPr>
          <w:rFonts w:ascii="Calibri" w:eastAsia="Calibri" w:hAnsi="Calibri" w:cs="Calibri"/>
          <w:b/>
          <w:bCs/>
          <w:iCs/>
          <w:color w:val="002060"/>
          <w:kern w:val="0"/>
          <w:szCs w:val="24"/>
          <w14:ligatures w14:val="none"/>
        </w:rPr>
        <w:t xml:space="preserve"> </w:t>
      </w:r>
    </w:p>
    <w:p w14:paraId="4283D741" w14:textId="77777777" w:rsidR="00CD43C8" w:rsidRPr="00CD43C8" w:rsidRDefault="00CD43C8" w:rsidP="00CD43C8">
      <w:pPr>
        <w:spacing w:after="0"/>
        <w:jc w:val="both"/>
        <w:rPr>
          <w:rFonts w:ascii="Calibri" w:eastAsia="Calibri" w:hAnsi="Calibri" w:cs="Calibri"/>
          <w:iCs/>
          <w:color w:val="002060"/>
          <w:kern w:val="0"/>
          <w:szCs w:val="24"/>
          <w14:ligatures w14:val="none"/>
        </w:rPr>
      </w:pPr>
      <w:r w:rsidRPr="00CD43C8">
        <w:rPr>
          <w:rFonts w:ascii="Calibri" w:eastAsia="Calibri" w:hAnsi="Calibri" w:cs="Calibri"/>
          <w:iCs/>
          <w:color w:val="002060"/>
          <w:kern w:val="0"/>
          <w:szCs w:val="24"/>
          <w14:ligatures w14:val="none"/>
        </w:rPr>
        <w:t>Com o primeiro ano do novo governo e a recuperação da economia brasileira, as áreas de vendas da Telebras (sede e Escritórios Regionais) tiveram como principal meta o aumento da receita anual, chegando ao final de 2023 com um total de 2.259 links terrestres e 21.103 links satelitais ativos.</w:t>
      </w:r>
    </w:p>
    <w:p w14:paraId="56E5A3C4" w14:textId="77777777" w:rsidR="00CD43C8" w:rsidRPr="00CD43C8" w:rsidRDefault="00CD43C8" w:rsidP="00CD43C8">
      <w:pPr>
        <w:spacing w:after="0"/>
        <w:jc w:val="both"/>
        <w:rPr>
          <w:rFonts w:ascii="Calibri" w:eastAsia="Calibri" w:hAnsi="Calibri" w:cs="Calibri"/>
          <w:iCs/>
          <w:color w:val="002060"/>
          <w:kern w:val="0"/>
          <w:szCs w:val="24"/>
          <w14:ligatures w14:val="none"/>
        </w:rPr>
      </w:pPr>
      <w:r w:rsidRPr="00CD43C8">
        <w:rPr>
          <w:rFonts w:ascii="Calibri" w:eastAsia="Calibri" w:hAnsi="Calibri" w:cs="Calibri"/>
          <w:iCs/>
          <w:color w:val="002060"/>
          <w:kern w:val="0"/>
          <w:szCs w:val="24"/>
          <w14:ligatures w14:val="none"/>
        </w:rPr>
        <w:t xml:space="preserve">O contrato com o Programa de Governo Eletrônico — Serviço de Atendimento ao Cidadão (GESAC) foi renovado em 2023 com o Ministério das Comunicações, contemplando maiores velocidades e garantia de nível de serviço, abrindo possibilidade para o uso de novas tecnologias satelitais. </w:t>
      </w:r>
    </w:p>
    <w:p w14:paraId="42C87729" w14:textId="77777777" w:rsidR="00CD43C8" w:rsidRPr="00CD43C8" w:rsidRDefault="00CD43C8" w:rsidP="00CD43C8">
      <w:pPr>
        <w:spacing w:after="0"/>
        <w:jc w:val="both"/>
        <w:rPr>
          <w:rFonts w:ascii="Calibri" w:eastAsia="Calibri" w:hAnsi="Calibri" w:cs="Calibri"/>
          <w:iCs/>
          <w:color w:val="002060"/>
          <w:kern w:val="0"/>
          <w:szCs w:val="24"/>
          <w14:ligatures w14:val="none"/>
        </w:rPr>
      </w:pPr>
      <w:r w:rsidRPr="00CD43C8">
        <w:rPr>
          <w:rFonts w:ascii="Calibri" w:eastAsia="Calibri" w:hAnsi="Calibri" w:cs="Calibri"/>
          <w:iCs/>
          <w:color w:val="002060"/>
          <w:kern w:val="0"/>
          <w:szCs w:val="24"/>
          <w14:ligatures w14:val="none"/>
        </w:rPr>
        <w:t>Em 2023 a Telebras concluiu a migração da rede corporativa do Instituto Nacional do Seguro Social (INSS), de mais de 1.600 pontos em todo o território nacional, de uma topologia baseada na tecnologia MPLS (</w:t>
      </w:r>
      <w:proofErr w:type="spellStart"/>
      <w:r w:rsidRPr="00CD43C8">
        <w:rPr>
          <w:rFonts w:ascii="Calibri" w:eastAsia="Calibri" w:hAnsi="Calibri" w:cs="Calibri"/>
          <w:i/>
          <w:iCs/>
          <w:color w:val="002060"/>
          <w:kern w:val="0"/>
          <w:szCs w:val="24"/>
          <w14:ligatures w14:val="none"/>
        </w:rPr>
        <w:t>Multiprotocol</w:t>
      </w:r>
      <w:proofErr w:type="spellEnd"/>
      <w:r w:rsidRPr="00CD43C8">
        <w:rPr>
          <w:rFonts w:ascii="Calibri" w:eastAsia="Calibri" w:hAnsi="Calibri" w:cs="Calibri"/>
          <w:i/>
          <w:iCs/>
          <w:color w:val="002060"/>
          <w:kern w:val="0"/>
          <w:szCs w:val="24"/>
          <w14:ligatures w14:val="none"/>
        </w:rPr>
        <w:t xml:space="preserve"> </w:t>
      </w:r>
      <w:proofErr w:type="spellStart"/>
      <w:r w:rsidRPr="00CD43C8">
        <w:rPr>
          <w:rFonts w:ascii="Calibri" w:eastAsia="Calibri" w:hAnsi="Calibri" w:cs="Calibri"/>
          <w:i/>
          <w:iCs/>
          <w:color w:val="002060"/>
          <w:kern w:val="0"/>
          <w:szCs w:val="24"/>
          <w14:ligatures w14:val="none"/>
        </w:rPr>
        <w:t>Label</w:t>
      </w:r>
      <w:proofErr w:type="spellEnd"/>
      <w:r w:rsidRPr="00CD43C8">
        <w:rPr>
          <w:rFonts w:ascii="Calibri" w:eastAsia="Calibri" w:hAnsi="Calibri" w:cs="Calibri"/>
          <w:i/>
          <w:iCs/>
          <w:color w:val="002060"/>
          <w:kern w:val="0"/>
          <w:szCs w:val="24"/>
          <w14:ligatures w14:val="none"/>
        </w:rPr>
        <w:t xml:space="preserve"> </w:t>
      </w:r>
      <w:proofErr w:type="spellStart"/>
      <w:r w:rsidRPr="00CD43C8">
        <w:rPr>
          <w:rFonts w:ascii="Calibri" w:eastAsia="Calibri" w:hAnsi="Calibri" w:cs="Calibri"/>
          <w:i/>
          <w:iCs/>
          <w:color w:val="002060"/>
          <w:kern w:val="0"/>
          <w:szCs w:val="24"/>
          <w14:ligatures w14:val="none"/>
        </w:rPr>
        <w:t>Switching</w:t>
      </w:r>
      <w:proofErr w:type="spellEnd"/>
      <w:r w:rsidRPr="00CD43C8">
        <w:rPr>
          <w:rFonts w:ascii="Calibri" w:eastAsia="Calibri" w:hAnsi="Calibri" w:cs="Calibri"/>
          <w:iCs/>
          <w:color w:val="002060"/>
          <w:kern w:val="0"/>
          <w:szCs w:val="24"/>
          <w14:ligatures w14:val="none"/>
        </w:rPr>
        <w:t>) para uma topologia baseada na tecnologia SD-WAN (</w:t>
      </w:r>
      <w:r w:rsidRPr="00CD43C8">
        <w:rPr>
          <w:rFonts w:ascii="Calibri" w:eastAsia="Calibri" w:hAnsi="Calibri" w:cs="Calibri"/>
          <w:i/>
          <w:iCs/>
          <w:color w:val="002060"/>
          <w:kern w:val="0"/>
          <w:szCs w:val="24"/>
          <w14:ligatures w14:val="none"/>
        </w:rPr>
        <w:t>Software-</w:t>
      </w:r>
      <w:proofErr w:type="spellStart"/>
      <w:r w:rsidRPr="00CD43C8">
        <w:rPr>
          <w:rFonts w:ascii="Calibri" w:eastAsia="Calibri" w:hAnsi="Calibri" w:cs="Calibri"/>
          <w:i/>
          <w:iCs/>
          <w:color w:val="002060"/>
          <w:kern w:val="0"/>
          <w:szCs w:val="24"/>
          <w14:ligatures w14:val="none"/>
        </w:rPr>
        <w:t>Defined</w:t>
      </w:r>
      <w:proofErr w:type="spellEnd"/>
      <w:r w:rsidRPr="00CD43C8">
        <w:rPr>
          <w:rFonts w:ascii="Calibri" w:eastAsia="Calibri" w:hAnsi="Calibri" w:cs="Calibri"/>
          <w:i/>
          <w:iCs/>
          <w:color w:val="002060"/>
          <w:kern w:val="0"/>
          <w:szCs w:val="24"/>
          <w14:ligatures w14:val="none"/>
        </w:rPr>
        <w:t xml:space="preserve"> </w:t>
      </w:r>
      <w:proofErr w:type="spellStart"/>
      <w:r w:rsidRPr="00CD43C8">
        <w:rPr>
          <w:rFonts w:ascii="Calibri" w:eastAsia="Calibri" w:hAnsi="Calibri" w:cs="Calibri"/>
          <w:i/>
          <w:iCs/>
          <w:color w:val="002060"/>
          <w:kern w:val="0"/>
          <w:szCs w:val="24"/>
          <w14:ligatures w14:val="none"/>
        </w:rPr>
        <w:t>Wide</w:t>
      </w:r>
      <w:proofErr w:type="spellEnd"/>
      <w:r w:rsidRPr="00CD43C8">
        <w:rPr>
          <w:rFonts w:ascii="Calibri" w:eastAsia="Calibri" w:hAnsi="Calibri" w:cs="Calibri"/>
          <w:i/>
          <w:iCs/>
          <w:color w:val="002060"/>
          <w:kern w:val="0"/>
          <w:szCs w:val="24"/>
          <w14:ligatures w14:val="none"/>
        </w:rPr>
        <w:t xml:space="preserve"> Area Network</w:t>
      </w:r>
      <w:r w:rsidRPr="00CD43C8">
        <w:rPr>
          <w:rFonts w:ascii="Calibri" w:eastAsia="Calibri" w:hAnsi="Calibri" w:cs="Calibri"/>
          <w:iCs/>
          <w:color w:val="002060"/>
          <w:kern w:val="0"/>
          <w:szCs w:val="24"/>
          <w14:ligatures w14:val="none"/>
        </w:rPr>
        <w:t xml:space="preserve">), totalmente baseada na rede IP. As migrações atenderam os prazos contratuais firmados, com </w:t>
      </w:r>
      <w:proofErr w:type="gramStart"/>
      <w:r w:rsidRPr="00CD43C8">
        <w:rPr>
          <w:rFonts w:ascii="Calibri" w:eastAsia="Calibri" w:hAnsi="Calibri" w:cs="Calibri"/>
          <w:iCs/>
          <w:color w:val="002060"/>
          <w:kern w:val="0"/>
          <w:szCs w:val="24"/>
          <w14:ligatures w14:val="none"/>
        </w:rPr>
        <w:t>todas Agências</w:t>
      </w:r>
      <w:proofErr w:type="gramEnd"/>
      <w:r w:rsidRPr="00CD43C8">
        <w:rPr>
          <w:rFonts w:ascii="Calibri" w:eastAsia="Calibri" w:hAnsi="Calibri" w:cs="Calibri"/>
          <w:iCs/>
          <w:color w:val="002060"/>
          <w:kern w:val="0"/>
          <w:szCs w:val="24"/>
          <w14:ligatures w14:val="none"/>
        </w:rPr>
        <w:t xml:space="preserve"> da Previdência Social conectadas com o estado da arte das redes corporativas de longa distância, fortalecendo a posição da empresa no mercado e demonstrou a capacidade de adaptação e resiliência.</w:t>
      </w:r>
    </w:p>
    <w:p w14:paraId="1F903B62" w14:textId="77777777" w:rsidR="00CD43C8" w:rsidRPr="00CD43C8" w:rsidRDefault="00CD43C8" w:rsidP="00CD43C8">
      <w:pPr>
        <w:spacing w:after="0"/>
        <w:jc w:val="both"/>
        <w:rPr>
          <w:rFonts w:ascii="Calibri" w:eastAsia="Calibri" w:hAnsi="Calibri" w:cs="Calibri"/>
          <w:iCs/>
          <w:color w:val="002060"/>
          <w:kern w:val="0"/>
          <w:szCs w:val="24"/>
          <w14:ligatures w14:val="none"/>
        </w:rPr>
      </w:pPr>
      <w:r w:rsidRPr="00CD43C8">
        <w:rPr>
          <w:rFonts w:ascii="Calibri" w:eastAsia="Calibri" w:hAnsi="Calibri" w:cs="Calibri"/>
          <w:iCs/>
          <w:color w:val="002060"/>
          <w:kern w:val="0"/>
          <w:szCs w:val="24"/>
          <w14:ligatures w14:val="none"/>
        </w:rPr>
        <w:t>Além da renovação do contrato GESAC, destacam-se a renovação dos clientes: Instituto Chico Mendes de Conservação da Biodiversidade (</w:t>
      </w:r>
      <w:proofErr w:type="spellStart"/>
      <w:r w:rsidRPr="00CD43C8">
        <w:rPr>
          <w:rFonts w:ascii="Calibri" w:eastAsia="Calibri" w:hAnsi="Calibri" w:cs="Calibri"/>
          <w:iCs/>
          <w:color w:val="002060"/>
          <w:kern w:val="0"/>
          <w:szCs w:val="24"/>
          <w14:ligatures w14:val="none"/>
        </w:rPr>
        <w:t>ICMBio</w:t>
      </w:r>
      <w:proofErr w:type="spellEnd"/>
      <w:r w:rsidRPr="00CD43C8">
        <w:rPr>
          <w:rFonts w:ascii="Calibri" w:eastAsia="Calibri" w:hAnsi="Calibri" w:cs="Calibri"/>
          <w:iCs/>
          <w:color w:val="002060"/>
          <w:kern w:val="0"/>
          <w:szCs w:val="24"/>
          <w14:ligatures w14:val="none"/>
        </w:rPr>
        <w:t>), Comando Militar da Amazônia – (CMA), Policia Federal, Ministério da Defesa, Instituto de Pesquisa Econômica Aplicada (IPEA) e Fundação Banco do Brasil. Dentre os novos, destacamos: Departamento Nacional de Infraestrutura de Transportes (DNIT), Comando Militar do Norte, Departamento Nacional de Obras contra as Secas (DNOCS), e Ministério da Gestão e da Inovação em Serviços Públicos.</w:t>
      </w:r>
    </w:p>
    <w:p w14:paraId="7B42F01F" w14:textId="77777777" w:rsidR="00CD43C8" w:rsidRPr="00CD43C8" w:rsidRDefault="00CD43C8" w:rsidP="00CD43C8">
      <w:pPr>
        <w:spacing w:after="0"/>
        <w:jc w:val="both"/>
        <w:rPr>
          <w:rFonts w:ascii="Calibri" w:eastAsia="Calibri" w:hAnsi="Calibri" w:cs="Calibri"/>
          <w:iCs/>
          <w:color w:val="002060"/>
          <w:kern w:val="0"/>
          <w:szCs w:val="24"/>
          <w14:ligatures w14:val="none"/>
        </w:rPr>
      </w:pPr>
      <w:r w:rsidRPr="00CD43C8">
        <w:rPr>
          <w:rFonts w:ascii="Calibri" w:eastAsia="Calibri" w:hAnsi="Calibri" w:cs="Calibri"/>
          <w:iCs/>
          <w:color w:val="002060"/>
          <w:kern w:val="0"/>
          <w:szCs w:val="24"/>
          <w14:ligatures w14:val="none"/>
        </w:rPr>
        <w:t>Em um cenário de acirrada oferta de links a preços altamente competitivos, a região nordeste impõe um desafio ao Escritório Regional de Fortaleza, fazendo valer a qualidade do link Telebras como diferencial. Em 2023, buscou-se a manutenção dos clientes atuais, bem como a expansão da carteira comercial. Clientes novos assinaram contratos para vendas com equipagem, como a SEA Telecom e WLAN</w:t>
      </w:r>
    </w:p>
    <w:p w14:paraId="5202C714" w14:textId="77777777" w:rsidR="00CD43C8" w:rsidRPr="00CD43C8" w:rsidRDefault="00CD43C8" w:rsidP="00CD43C8">
      <w:pPr>
        <w:spacing w:after="0"/>
        <w:jc w:val="both"/>
        <w:rPr>
          <w:rFonts w:ascii="Calibri" w:eastAsia="Calibri" w:hAnsi="Calibri" w:cs="Calibri"/>
          <w:iCs/>
          <w:color w:val="002060"/>
          <w:kern w:val="0"/>
          <w:szCs w:val="24"/>
          <w14:ligatures w14:val="none"/>
        </w:rPr>
      </w:pPr>
      <w:r w:rsidRPr="00CD43C8">
        <w:rPr>
          <w:rFonts w:ascii="Calibri" w:eastAsia="Calibri" w:hAnsi="Calibri" w:cs="Calibri"/>
          <w:iCs/>
          <w:color w:val="002060"/>
          <w:kern w:val="0"/>
          <w:szCs w:val="24"/>
          <w14:ligatures w14:val="none"/>
        </w:rPr>
        <w:t xml:space="preserve">Na área de abrangência do Escritório Regional de Belém, o esforço contínuo para expansão da carteira e resultado, acabou sendo convertido por meio da ampliação do número de circuitos terrestres, com a celebração de contratos com clientes como Yasmin net, Future Digital e </w:t>
      </w:r>
      <w:proofErr w:type="spellStart"/>
      <w:r w:rsidRPr="00CD43C8">
        <w:rPr>
          <w:rFonts w:ascii="Calibri" w:eastAsia="Calibri" w:hAnsi="Calibri" w:cs="Calibri"/>
          <w:iCs/>
          <w:color w:val="002060"/>
          <w:kern w:val="0"/>
          <w:szCs w:val="24"/>
          <w14:ligatures w14:val="none"/>
        </w:rPr>
        <w:t>Freedom</w:t>
      </w:r>
      <w:proofErr w:type="spellEnd"/>
      <w:r w:rsidRPr="00CD43C8">
        <w:rPr>
          <w:rFonts w:ascii="Calibri" w:eastAsia="Calibri" w:hAnsi="Calibri" w:cs="Calibri"/>
          <w:iCs/>
          <w:color w:val="002060"/>
          <w:kern w:val="0"/>
          <w:szCs w:val="24"/>
          <w14:ligatures w14:val="none"/>
        </w:rPr>
        <w:t>. O destaque desse esforço na área satelital/governo se deu pela renovação do contrato com a Empresa de Tecnologia da Informação e Comunicação do Estado do Pará - PRODEPA.</w:t>
      </w:r>
    </w:p>
    <w:p w14:paraId="4F9C20CF" w14:textId="77777777" w:rsidR="00CD43C8" w:rsidRPr="00CD43C8" w:rsidRDefault="00CD43C8" w:rsidP="00CD43C8">
      <w:pPr>
        <w:spacing w:after="0"/>
        <w:jc w:val="both"/>
        <w:rPr>
          <w:rFonts w:ascii="Calibri" w:eastAsia="Calibri" w:hAnsi="Calibri" w:cs="Calibri"/>
          <w:iCs/>
          <w:color w:val="002060"/>
          <w:kern w:val="0"/>
          <w:szCs w:val="24"/>
          <w14:ligatures w14:val="none"/>
        </w:rPr>
      </w:pPr>
      <w:r w:rsidRPr="00CD43C8">
        <w:rPr>
          <w:rFonts w:ascii="Calibri" w:eastAsia="Calibri" w:hAnsi="Calibri" w:cs="Calibri"/>
          <w:iCs/>
          <w:color w:val="002060"/>
          <w:kern w:val="0"/>
          <w:szCs w:val="24"/>
          <w14:ligatures w14:val="none"/>
        </w:rPr>
        <w:t>Da mesma forma os Escritórios Regionais de São Paulo e Porto Alegre em sua área de atuação, manteve suas investidas para retenção e ampliação da carteira existente, assim como, empenho no aumento da penetração em localidades com menor nível de vendas, seja através de contratos de venda por equipagem, seja por meio de contratos de SVA.</w:t>
      </w:r>
    </w:p>
    <w:p w14:paraId="33A3772C" w14:textId="77777777" w:rsidR="00CD43C8" w:rsidRPr="00CD43C8" w:rsidRDefault="00CD43C8" w:rsidP="00CD43C8">
      <w:pPr>
        <w:spacing w:after="0"/>
        <w:jc w:val="both"/>
        <w:rPr>
          <w:rFonts w:ascii="Calibri" w:eastAsia="Calibri" w:hAnsi="Calibri" w:cs="Calibri"/>
          <w:iCs/>
          <w:color w:val="002060"/>
          <w:kern w:val="0"/>
          <w:szCs w:val="24"/>
          <w14:ligatures w14:val="none"/>
        </w:rPr>
      </w:pPr>
      <w:r w:rsidRPr="00CD43C8">
        <w:rPr>
          <w:rFonts w:ascii="Calibri" w:eastAsia="Calibri" w:hAnsi="Calibri" w:cs="Calibri"/>
          <w:iCs/>
          <w:color w:val="002060"/>
          <w:kern w:val="0"/>
          <w:szCs w:val="24"/>
          <w14:ligatures w14:val="none"/>
        </w:rPr>
        <w:t>Todas as áreas de vendas da Telebras possuem exemplos significativos em termos de possibilidades de vendas que estão reprimidas e não se consolidaram durante o ano de 2023. Mantido o foco das áreas de vendas e atenção aos clientes envolvidos, será possível o atendimento às demandas, as convertendo em vendas e receitas para a Telebras, além do novo portfólio de soluções SVA planejadas.</w:t>
      </w:r>
    </w:p>
    <w:p w14:paraId="211FA1E3" w14:textId="77777777" w:rsidR="00CD43C8" w:rsidRPr="00CD43C8" w:rsidRDefault="00CD43C8" w:rsidP="00CD43C8">
      <w:pPr>
        <w:spacing w:after="0"/>
        <w:jc w:val="both"/>
        <w:rPr>
          <w:rFonts w:ascii="Calibri" w:eastAsia="Calibri" w:hAnsi="Calibri" w:cs="Calibri"/>
          <w:iCs/>
          <w:color w:val="002060"/>
          <w:kern w:val="0"/>
          <w:szCs w:val="24"/>
          <w14:ligatures w14:val="none"/>
        </w:rPr>
      </w:pPr>
      <w:r w:rsidRPr="00CD43C8">
        <w:rPr>
          <w:rFonts w:ascii="Calibri" w:eastAsia="Calibri" w:hAnsi="Calibri" w:cs="Calibri"/>
          <w:iCs/>
          <w:color w:val="002060"/>
          <w:kern w:val="0"/>
          <w:szCs w:val="24"/>
          <w14:ligatures w14:val="none"/>
        </w:rPr>
        <w:t>Com relação ao atendimento dos clientes, houve uma reorganização da equipe de modo a dar vazão às tarefas relacionadas à implantação do novo contrato do INSS, bem como a operação do contrato GESAC, que é a maior receita da empresa, além de garantir o melhor atendimento aos demais clientes dos segmentos governo e privados (provedores).</w:t>
      </w:r>
    </w:p>
    <w:p w14:paraId="1D1B7D11" w14:textId="6BB76F92" w:rsidR="00CD43C8" w:rsidRPr="00CD43C8" w:rsidRDefault="00CD43C8" w:rsidP="00CD43C8">
      <w:pPr>
        <w:spacing w:after="0"/>
        <w:jc w:val="both"/>
        <w:rPr>
          <w:rFonts w:ascii="Calibri" w:eastAsia="Calibri" w:hAnsi="Calibri" w:cs="Calibri"/>
          <w:b/>
          <w:bCs/>
          <w:iCs/>
          <w:color w:val="002060"/>
          <w:kern w:val="0"/>
          <w:szCs w:val="24"/>
          <w14:ligatures w14:val="none"/>
        </w:rPr>
      </w:pPr>
      <w:bookmarkStart w:id="344" w:name="_Toc161319459"/>
      <w:r w:rsidRPr="00CD43C8">
        <w:rPr>
          <w:rFonts w:ascii="Calibri" w:eastAsia="Calibri" w:hAnsi="Calibri" w:cs="Calibri"/>
          <w:b/>
          <w:bCs/>
          <w:iCs/>
          <w:color w:val="002060"/>
          <w:kern w:val="0"/>
          <w:szCs w:val="24"/>
          <w14:ligatures w14:val="none"/>
        </w:rPr>
        <w:t>6.3. Inovação e Desenvolvimento de Produtos e Serviços</w:t>
      </w:r>
      <w:bookmarkEnd w:id="344"/>
    </w:p>
    <w:p w14:paraId="61A1658F" w14:textId="77777777" w:rsidR="00CD43C8" w:rsidRDefault="00CD43C8" w:rsidP="00CD43C8">
      <w:pPr>
        <w:spacing w:after="0"/>
        <w:jc w:val="both"/>
        <w:rPr>
          <w:rFonts w:ascii="Calibri" w:eastAsia="Calibri" w:hAnsi="Calibri" w:cs="Calibri"/>
          <w:iCs/>
          <w:color w:val="002060"/>
          <w:kern w:val="0"/>
          <w:szCs w:val="24"/>
          <w14:ligatures w14:val="none"/>
        </w:rPr>
      </w:pPr>
      <w:r w:rsidRPr="00CD43C8">
        <w:rPr>
          <w:rFonts w:ascii="Calibri" w:eastAsia="Calibri" w:hAnsi="Calibri" w:cs="Calibri"/>
          <w:iCs/>
          <w:color w:val="002060"/>
          <w:kern w:val="0"/>
          <w:szCs w:val="24"/>
          <w14:ligatures w14:val="none"/>
        </w:rPr>
        <w:t xml:space="preserve">Em 2023, a Telebras consolidou seu compromisso com a inovação e o desenvolvimento tecnológico, conforme delineado em seu Estatuto Social e no Plano Diretor Técnico-Operacional 2020-2024. Destacamos a implementação efetiva da Gerência de Inovação (GI), sob a Diretoria Técnico </w:t>
      </w:r>
      <w:r w:rsidRPr="00CD43C8">
        <w:rPr>
          <w:rFonts w:ascii="Calibri" w:eastAsia="Calibri" w:hAnsi="Calibri" w:cs="Calibri"/>
          <w:iCs/>
          <w:color w:val="002060"/>
          <w:kern w:val="0"/>
          <w:szCs w:val="24"/>
          <w14:ligatures w14:val="none"/>
        </w:rPr>
        <w:lastRenderedPageBreak/>
        <w:t>Operacional (DTO), essencial para promover um ambiente de Inovação Aberta e para sistematizar o avanço tecnológico.</w:t>
      </w:r>
    </w:p>
    <w:p w14:paraId="2048EDE8" w14:textId="417932DF" w:rsidR="00CD43C8" w:rsidRPr="00CD43C8" w:rsidRDefault="00CD43C8" w:rsidP="00CD43C8">
      <w:pPr>
        <w:spacing w:after="0"/>
        <w:jc w:val="both"/>
        <w:rPr>
          <w:rFonts w:ascii="Calibri" w:eastAsia="Calibri" w:hAnsi="Calibri" w:cs="Calibri"/>
          <w:iCs/>
          <w:color w:val="002060"/>
          <w:kern w:val="0"/>
          <w:szCs w:val="24"/>
          <w14:ligatures w14:val="none"/>
        </w:rPr>
      </w:pPr>
      <w:r w:rsidRPr="00CD43C8">
        <w:rPr>
          <w:rFonts w:ascii="Calibri" w:eastAsia="Calibri" w:hAnsi="Calibri" w:cs="Calibri"/>
          <w:b/>
          <w:bCs/>
          <w:iCs/>
          <w:color w:val="002060"/>
          <w:kern w:val="0"/>
          <w:szCs w:val="24"/>
          <w14:ligatures w14:val="none"/>
        </w:rPr>
        <w:t>Desenvolvimento da Rede Privativa de Comunicação da Administração Pública Federal</w:t>
      </w:r>
    </w:p>
    <w:p w14:paraId="28DB945B" w14:textId="77777777" w:rsidR="00CD43C8" w:rsidRPr="00CD43C8" w:rsidRDefault="00CD43C8" w:rsidP="00CD43C8">
      <w:pPr>
        <w:spacing w:after="0"/>
        <w:jc w:val="both"/>
        <w:rPr>
          <w:rFonts w:ascii="Calibri" w:eastAsia="Calibri" w:hAnsi="Calibri" w:cs="Calibri"/>
          <w:iCs/>
          <w:color w:val="002060"/>
          <w:kern w:val="0"/>
          <w:szCs w:val="24"/>
          <w14:ligatures w14:val="none"/>
        </w:rPr>
      </w:pPr>
      <w:r w:rsidRPr="00CD43C8">
        <w:rPr>
          <w:rFonts w:ascii="Calibri" w:eastAsia="Calibri" w:hAnsi="Calibri" w:cs="Calibri"/>
          <w:iCs/>
          <w:color w:val="002060"/>
          <w:kern w:val="0"/>
          <w:szCs w:val="24"/>
          <w14:ligatures w14:val="none"/>
        </w:rPr>
        <w:t>Fortalecemos a segurança das comunicações governamentais ao concluir testes de criptografia essenciais para a implementação da Rede Privativa. Essa iniciativa garante uma infraestrutura de comunicação segura, alinhada com padrões rigorosos de segurança e privacidade.</w:t>
      </w:r>
    </w:p>
    <w:p w14:paraId="7C0A49F1" w14:textId="77777777" w:rsidR="00CD43C8" w:rsidRPr="00CD43C8" w:rsidRDefault="00CD43C8" w:rsidP="00CD43C8">
      <w:pPr>
        <w:spacing w:after="0"/>
        <w:jc w:val="both"/>
        <w:rPr>
          <w:rFonts w:ascii="Calibri" w:eastAsia="Calibri" w:hAnsi="Calibri" w:cs="Calibri"/>
          <w:b/>
          <w:bCs/>
          <w:iCs/>
          <w:color w:val="002060"/>
          <w:kern w:val="0"/>
          <w:szCs w:val="24"/>
          <w14:ligatures w14:val="none"/>
        </w:rPr>
      </w:pPr>
      <w:r w:rsidRPr="00CD43C8">
        <w:rPr>
          <w:rFonts w:ascii="Calibri" w:eastAsia="Calibri" w:hAnsi="Calibri" w:cs="Calibri"/>
          <w:b/>
          <w:bCs/>
          <w:iCs/>
          <w:color w:val="002060"/>
          <w:kern w:val="0"/>
          <w:szCs w:val="24"/>
          <w14:ligatures w14:val="none"/>
        </w:rPr>
        <w:t>Certificação de Empresa de Defesa</w:t>
      </w:r>
    </w:p>
    <w:p w14:paraId="31C3A920" w14:textId="77777777" w:rsidR="00CD43C8" w:rsidRPr="00CD43C8" w:rsidRDefault="00CD43C8" w:rsidP="00CD43C8">
      <w:pPr>
        <w:spacing w:after="0"/>
        <w:jc w:val="both"/>
        <w:rPr>
          <w:rFonts w:ascii="Calibri" w:eastAsia="Calibri" w:hAnsi="Calibri" w:cs="Calibri"/>
          <w:iCs/>
          <w:color w:val="002060"/>
          <w:kern w:val="0"/>
          <w:szCs w:val="24"/>
          <w14:ligatures w14:val="none"/>
        </w:rPr>
      </w:pPr>
      <w:r w:rsidRPr="00CD43C8">
        <w:rPr>
          <w:rFonts w:ascii="Calibri" w:eastAsia="Calibri" w:hAnsi="Calibri" w:cs="Calibri"/>
          <w:iCs/>
          <w:color w:val="002060"/>
          <w:kern w:val="0"/>
          <w:szCs w:val="24"/>
          <w14:ligatures w14:val="none"/>
        </w:rPr>
        <w:t>Obtivemos a certificação que nos coloca em posição singular no mercado de defesa. Projetos inovadores, como o T3SAT, E-</w:t>
      </w:r>
      <w:proofErr w:type="spellStart"/>
      <w:r w:rsidRPr="00CD43C8">
        <w:rPr>
          <w:rFonts w:ascii="Calibri" w:eastAsia="Calibri" w:hAnsi="Calibri" w:cs="Calibri"/>
          <w:iCs/>
          <w:color w:val="002060"/>
          <w:kern w:val="0"/>
          <w:szCs w:val="24"/>
          <w14:ligatures w14:val="none"/>
        </w:rPr>
        <w:t>LynX</w:t>
      </w:r>
      <w:proofErr w:type="spellEnd"/>
      <w:r w:rsidRPr="00CD43C8">
        <w:rPr>
          <w:rFonts w:ascii="Calibri" w:eastAsia="Calibri" w:hAnsi="Calibri" w:cs="Calibri"/>
          <w:iCs/>
          <w:color w:val="002060"/>
          <w:kern w:val="0"/>
          <w:szCs w:val="24"/>
          <w14:ligatures w14:val="none"/>
        </w:rPr>
        <w:t>-Sat e nossas soluções de criptografia, são testemunhos do nosso avanço na tecnologia de defesa e segurança nacional.</w:t>
      </w:r>
    </w:p>
    <w:p w14:paraId="27F7FC1E" w14:textId="77777777" w:rsidR="00CD43C8" w:rsidRPr="00CD43C8" w:rsidRDefault="00CD43C8" w:rsidP="00CD43C8">
      <w:pPr>
        <w:spacing w:after="0"/>
        <w:jc w:val="both"/>
        <w:rPr>
          <w:rFonts w:ascii="Calibri" w:eastAsia="Calibri" w:hAnsi="Calibri" w:cs="Calibri"/>
          <w:b/>
          <w:bCs/>
          <w:iCs/>
          <w:color w:val="002060"/>
          <w:kern w:val="0"/>
          <w:szCs w:val="24"/>
          <w14:ligatures w14:val="none"/>
        </w:rPr>
      </w:pPr>
      <w:r w:rsidRPr="00CD43C8">
        <w:rPr>
          <w:rFonts w:ascii="Calibri" w:eastAsia="Calibri" w:hAnsi="Calibri" w:cs="Calibri"/>
          <w:b/>
          <w:bCs/>
          <w:iCs/>
          <w:color w:val="002060"/>
          <w:kern w:val="0"/>
          <w:szCs w:val="24"/>
          <w14:ligatures w14:val="none"/>
        </w:rPr>
        <w:t>Lançamento do T3SAT 2.0</w:t>
      </w:r>
    </w:p>
    <w:p w14:paraId="6F8FD29A" w14:textId="77777777" w:rsidR="00CD43C8" w:rsidRPr="00CD43C8" w:rsidRDefault="00CD43C8" w:rsidP="00CD43C8">
      <w:pPr>
        <w:spacing w:after="0"/>
        <w:jc w:val="both"/>
        <w:rPr>
          <w:rFonts w:ascii="Calibri" w:eastAsia="Calibri" w:hAnsi="Calibri" w:cs="Calibri"/>
          <w:iCs/>
          <w:color w:val="002060"/>
          <w:kern w:val="0"/>
          <w:szCs w:val="24"/>
          <w14:ligatures w14:val="none"/>
        </w:rPr>
      </w:pPr>
      <w:r w:rsidRPr="00CD43C8">
        <w:rPr>
          <w:rFonts w:ascii="Calibri" w:eastAsia="Calibri" w:hAnsi="Calibri" w:cs="Calibri"/>
          <w:iCs/>
          <w:color w:val="002060"/>
          <w:kern w:val="0"/>
          <w:szCs w:val="24"/>
          <w14:ligatures w14:val="none"/>
        </w:rPr>
        <w:t>Desenvolvemos e começamos a demonstrar aos clientes o T3SAT 2.0, um terminal satelital avançado, projetado para oferecer conectividade móvel em banda larga em todo o território nacional. Esse lançamento marca um importante passo em nossa oferta de serviços inovadores.</w:t>
      </w:r>
    </w:p>
    <w:p w14:paraId="452194BA" w14:textId="77777777" w:rsidR="00CD43C8" w:rsidRPr="00CD43C8" w:rsidRDefault="00CD43C8" w:rsidP="00CD43C8">
      <w:pPr>
        <w:spacing w:after="0"/>
        <w:jc w:val="both"/>
        <w:rPr>
          <w:rFonts w:ascii="Calibri" w:eastAsia="Calibri" w:hAnsi="Calibri" w:cs="Calibri"/>
          <w:b/>
          <w:bCs/>
          <w:iCs/>
          <w:color w:val="002060"/>
          <w:kern w:val="0"/>
          <w:szCs w:val="24"/>
          <w14:ligatures w14:val="none"/>
        </w:rPr>
      </w:pPr>
      <w:r w:rsidRPr="00CD43C8">
        <w:rPr>
          <w:rFonts w:ascii="Calibri" w:eastAsia="Calibri" w:hAnsi="Calibri" w:cs="Calibri"/>
          <w:b/>
          <w:bCs/>
          <w:iCs/>
          <w:color w:val="002060"/>
          <w:kern w:val="0"/>
          <w:szCs w:val="24"/>
          <w14:ligatures w14:val="none"/>
        </w:rPr>
        <w:t>Projeto Semear</w:t>
      </w:r>
    </w:p>
    <w:p w14:paraId="34538A4C" w14:textId="77777777" w:rsidR="00CD43C8" w:rsidRPr="00CD43C8" w:rsidRDefault="00CD43C8" w:rsidP="00CD43C8">
      <w:pPr>
        <w:spacing w:after="0"/>
        <w:jc w:val="both"/>
        <w:rPr>
          <w:rFonts w:ascii="Calibri" w:eastAsia="Calibri" w:hAnsi="Calibri" w:cs="Calibri"/>
          <w:iCs/>
          <w:color w:val="002060"/>
          <w:kern w:val="0"/>
          <w:szCs w:val="24"/>
          <w14:ligatures w14:val="none"/>
        </w:rPr>
      </w:pPr>
      <w:r w:rsidRPr="00CD43C8">
        <w:rPr>
          <w:rFonts w:ascii="Calibri" w:eastAsia="Calibri" w:hAnsi="Calibri" w:cs="Calibri"/>
          <w:iCs/>
          <w:color w:val="002060"/>
          <w:kern w:val="0"/>
          <w:szCs w:val="24"/>
          <w14:ligatures w14:val="none"/>
        </w:rPr>
        <w:t>Em São Miguel Arcanjo/SP, realizamos um evento para apresentar os resultados da prova de conceito do Projeto Semear, uma iniciativa que nos coloca na vanguarda da agricultura inteligente, utilizando tecnologia IoT para otimizar a coleta e análise de dados agrícolas.</w:t>
      </w:r>
    </w:p>
    <w:p w14:paraId="449EAE82" w14:textId="77777777" w:rsidR="00CD43C8" w:rsidRPr="00CD43C8" w:rsidRDefault="00CD43C8" w:rsidP="00CD43C8">
      <w:pPr>
        <w:spacing w:after="0"/>
        <w:jc w:val="both"/>
        <w:rPr>
          <w:rFonts w:ascii="Calibri" w:eastAsia="Calibri" w:hAnsi="Calibri" w:cs="Calibri"/>
          <w:b/>
          <w:bCs/>
          <w:iCs/>
          <w:color w:val="002060"/>
          <w:kern w:val="0"/>
          <w:szCs w:val="24"/>
          <w14:ligatures w14:val="none"/>
        </w:rPr>
      </w:pPr>
      <w:r w:rsidRPr="00CD43C8">
        <w:rPr>
          <w:rFonts w:ascii="Calibri" w:eastAsia="Calibri" w:hAnsi="Calibri" w:cs="Calibri"/>
          <w:b/>
          <w:bCs/>
          <w:iCs/>
          <w:color w:val="002060"/>
          <w:kern w:val="0"/>
          <w:szCs w:val="24"/>
          <w14:ligatures w14:val="none"/>
        </w:rPr>
        <w:t xml:space="preserve">Integração da Plataforma </w:t>
      </w:r>
      <w:proofErr w:type="spellStart"/>
      <w:r w:rsidRPr="00CD43C8">
        <w:rPr>
          <w:rFonts w:ascii="Calibri" w:eastAsia="Calibri" w:hAnsi="Calibri" w:cs="Calibri"/>
          <w:b/>
          <w:bCs/>
          <w:iCs/>
          <w:color w:val="002060"/>
          <w:kern w:val="0"/>
          <w:szCs w:val="24"/>
          <w14:ligatures w14:val="none"/>
        </w:rPr>
        <w:t>WebVis</w:t>
      </w:r>
      <w:proofErr w:type="spellEnd"/>
    </w:p>
    <w:p w14:paraId="16999988" w14:textId="77777777" w:rsidR="00CD43C8" w:rsidRPr="00CD43C8" w:rsidRDefault="00CD43C8" w:rsidP="00CD43C8">
      <w:pPr>
        <w:spacing w:after="0"/>
        <w:jc w:val="both"/>
        <w:rPr>
          <w:rFonts w:ascii="Calibri" w:eastAsia="Calibri" w:hAnsi="Calibri" w:cs="Calibri"/>
          <w:iCs/>
          <w:color w:val="002060"/>
          <w:kern w:val="0"/>
          <w:szCs w:val="24"/>
          <w14:ligatures w14:val="none"/>
        </w:rPr>
      </w:pPr>
      <w:r w:rsidRPr="00CD43C8">
        <w:rPr>
          <w:rFonts w:ascii="Calibri" w:eastAsia="Calibri" w:hAnsi="Calibri" w:cs="Calibri"/>
          <w:iCs/>
          <w:color w:val="002060"/>
          <w:kern w:val="0"/>
          <w:szCs w:val="24"/>
          <w14:ligatures w14:val="none"/>
        </w:rPr>
        <w:t xml:space="preserve">Com a integração bem-sucedida da </w:t>
      </w:r>
      <w:proofErr w:type="spellStart"/>
      <w:r w:rsidRPr="00CD43C8">
        <w:rPr>
          <w:rFonts w:ascii="Calibri" w:eastAsia="Calibri" w:hAnsi="Calibri" w:cs="Calibri"/>
          <w:iCs/>
          <w:color w:val="002060"/>
          <w:kern w:val="0"/>
          <w:szCs w:val="24"/>
          <w14:ligatures w14:val="none"/>
        </w:rPr>
        <w:t>WebVis</w:t>
      </w:r>
      <w:proofErr w:type="spellEnd"/>
      <w:r w:rsidRPr="00CD43C8">
        <w:rPr>
          <w:rFonts w:ascii="Calibri" w:eastAsia="Calibri" w:hAnsi="Calibri" w:cs="Calibri"/>
          <w:iCs/>
          <w:color w:val="002060"/>
          <w:kern w:val="0"/>
          <w:szCs w:val="24"/>
          <w14:ligatures w14:val="none"/>
        </w:rPr>
        <w:t xml:space="preserve"> em nosso Datacenter, expandimos significativamente nossa capacidade de fornecer análises geoespaciais avançadas, abrindo novas possibilidades em diversos setores, desde o monitoramento ambiental até a segurança nacional.</w:t>
      </w:r>
    </w:p>
    <w:p w14:paraId="29D31F1F" w14:textId="77777777" w:rsidR="00CD43C8" w:rsidRPr="00CD43C8" w:rsidRDefault="00CD43C8" w:rsidP="00CD43C8">
      <w:pPr>
        <w:spacing w:after="0"/>
        <w:jc w:val="both"/>
        <w:rPr>
          <w:rFonts w:ascii="Calibri" w:eastAsia="Calibri" w:hAnsi="Calibri" w:cs="Calibri"/>
          <w:b/>
          <w:bCs/>
          <w:iCs/>
          <w:color w:val="002060"/>
          <w:kern w:val="0"/>
          <w:szCs w:val="24"/>
          <w14:ligatures w14:val="none"/>
        </w:rPr>
      </w:pPr>
      <w:r w:rsidRPr="00CD43C8">
        <w:rPr>
          <w:rFonts w:ascii="Calibri" w:eastAsia="Calibri" w:hAnsi="Calibri" w:cs="Calibri"/>
          <w:b/>
          <w:bCs/>
          <w:iCs/>
          <w:color w:val="002060"/>
          <w:kern w:val="0"/>
          <w:szCs w:val="24"/>
          <w14:ligatures w14:val="none"/>
        </w:rPr>
        <w:t>Projeto E-</w:t>
      </w:r>
      <w:proofErr w:type="spellStart"/>
      <w:r w:rsidRPr="00CD43C8">
        <w:rPr>
          <w:rFonts w:ascii="Calibri" w:eastAsia="Calibri" w:hAnsi="Calibri" w:cs="Calibri"/>
          <w:b/>
          <w:bCs/>
          <w:iCs/>
          <w:color w:val="002060"/>
          <w:kern w:val="0"/>
          <w:szCs w:val="24"/>
          <w14:ligatures w14:val="none"/>
        </w:rPr>
        <w:t>LynX</w:t>
      </w:r>
      <w:proofErr w:type="spellEnd"/>
      <w:r w:rsidRPr="00CD43C8">
        <w:rPr>
          <w:rFonts w:ascii="Calibri" w:eastAsia="Calibri" w:hAnsi="Calibri" w:cs="Calibri"/>
          <w:b/>
          <w:bCs/>
          <w:iCs/>
          <w:color w:val="002060"/>
          <w:kern w:val="0"/>
          <w:szCs w:val="24"/>
          <w14:ligatures w14:val="none"/>
        </w:rPr>
        <w:t>-Sat</w:t>
      </w:r>
    </w:p>
    <w:p w14:paraId="235DB211" w14:textId="77777777" w:rsidR="00CD43C8" w:rsidRPr="00CD43C8" w:rsidRDefault="00CD43C8" w:rsidP="00CD43C8">
      <w:pPr>
        <w:spacing w:after="0"/>
        <w:jc w:val="both"/>
        <w:rPr>
          <w:rFonts w:ascii="Calibri" w:eastAsia="Calibri" w:hAnsi="Calibri" w:cs="Calibri"/>
          <w:iCs/>
          <w:color w:val="002060"/>
          <w:kern w:val="0"/>
          <w:szCs w:val="24"/>
          <w14:ligatures w14:val="none"/>
        </w:rPr>
      </w:pPr>
      <w:r w:rsidRPr="00CD43C8">
        <w:rPr>
          <w:rFonts w:ascii="Calibri" w:eastAsia="Calibri" w:hAnsi="Calibri" w:cs="Calibri"/>
          <w:iCs/>
          <w:color w:val="002060"/>
          <w:kern w:val="0"/>
          <w:szCs w:val="24"/>
          <w14:ligatures w14:val="none"/>
        </w:rPr>
        <w:t>Aprofundamos nosso trabalho no E-</w:t>
      </w:r>
      <w:proofErr w:type="spellStart"/>
      <w:r w:rsidRPr="00CD43C8">
        <w:rPr>
          <w:rFonts w:ascii="Calibri" w:eastAsia="Calibri" w:hAnsi="Calibri" w:cs="Calibri"/>
          <w:iCs/>
          <w:color w:val="002060"/>
          <w:kern w:val="0"/>
          <w:szCs w:val="24"/>
          <w14:ligatures w14:val="none"/>
        </w:rPr>
        <w:t>LynX</w:t>
      </w:r>
      <w:proofErr w:type="spellEnd"/>
      <w:r w:rsidRPr="00CD43C8">
        <w:rPr>
          <w:rFonts w:ascii="Calibri" w:eastAsia="Calibri" w:hAnsi="Calibri" w:cs="Calibri"/>
          <w:iCs/>
          <w:color w:val="002060"/>
          <w:kern w:val="0"/>
          <w:szCs w:val="24"/>
          <w14:ligatures w14:val="none"/>
        </w:rPr>
        <w:t>-Sat, uma solução de comunicação móvel via satélite para voz e dados, apresentando-a a importantes parceiros governamentais. Este projeto sublinha nossa liderança em oferecer soluções de comunicação seguras e eficazes.</w:t>
      </w:r>
    </w:p>
    <w:p w14:paraId="5C850CCB" w14:textId="77777777" w:rsidR="00CD43C8" w:rsidRPr="00CD43C8" w:rsidRDefault="00CD43C8" w:rsidP="00CD43C8">
      <w:pPr>
        <w:spacing w:after="0"/>
        <w:jc w:val="both"/>
        <w:rPr>
          <w:rFonts w:ascii="Calibri" w:eastAsia="Calibri" w:hAnsi="Calibri" w:cs="Calibri"/>
          <w:b/>
          <w:bCs/>
          <w:iCs/>
          <w:color w:val="002060"/>
          <w:kern w:val="0"/>
          <w:szCs w:val="24"/>
          <w14:ligatures w14:val="none"/>
        </w:rPr>
      </w:pPr>
      <w:r w:rsidRPr="00CD43C8">
        <w:rPr>
          <w:rFonts w:ascii="Calibri" w:eastAsia="Calibri" w:hAnsi="Calibri" w:cs="Calibri"/>
          <w:b/>
          <w:bCs/>
          <w:iCs/>
          <w:color w:val="002060"/>
          <w:kern w:val="0"/>
          <w:szCs w:val="24"/>
          <w14:ligatures w14:val="none"/>
        </w:rPr>
        <w:t>Soluções de Valor Agregado (SVA)</w:t>
      </w:r>
    </w:p>
    <w:p w14:paraId="7748A0AF" w14:textId="77777777" w:rsidR="00CD43C8" w:rsidRPr="00CD43C8" w:rsidRDefault="00CD43C8" w:rsidP="00CD43C8">
      <w:pPr>
        <w:spacing w:after="0"/>
        <w:jc w:val="both"/>
        <w:rPr>
          <w:rFonts w:ascii="Calibri" w:eastAsia="Calibri" w:hAnsi="Calibri" w:cs="Calibri"/>
          <w:iCs/>
          <w:color w:val="002060"/>
          <w:kern w:val="0"/>
          <w:szCs w:val="24"/>
          <w14:ligatures w14:val="none"/>
        </w:rPr>
      </w:pPr>
      <w:r w:rsidRPr="00CD43C8">
        <w:rPr>
          <w:rFonts w:ascii="Calibri" w:eastAsia="Calibri" w:hAnsi="Calibri" w:cs="Calibri"/>
          <w:iCs/>
          <w:color w:val="002060"/>
          <w:kern w:val="0"/>
          <w:szCs w:val="24"/>
          <w14:ligatures w14:val="none"/>
        </w:rPr>
        <w:t>A Companhia avançou no desenvolvimento de soluções de SVA, como Imageamento e Backup, marcando o início da exploração de novas oportunidades no setor público e reafirmando nosso papel como fornecedor líder de soluções de infraestrutura e TI.</w:t>
      </w:r>
    </w:p>
    <w:p w14:paraId="38F63D99" w14:textId="77777777" w:rsidR="00CD43C8" w:rsidRDefault="00CD43C8" w:rsidP="00CD43C8">
      <w:pPr>
        <w:spacing w:after="0"/>
        <w:jc w:val="both"/>
        <w:rPr>
          <w:rFonts w:ascii="Calibri" w:eastAsia="Calibri" w:hAnsi="Calibri" w:cs="Calibri"/>
          <w:iCs/>
          <w:color w:val="002060"/>
          <w:kern w:val="0"/>
          <w:szCs w:val="24"/>
          <w14:ligatures w14:val="none"/>
        </w:rPr>
      </w:pPr>
      <w:r w:rsidRPr="00CD43C8">
        <w:rPr>
          <w:rFonts w:ascii="Calibri" w:eastAsia="Calibri" w:hAnsi="Calibri" w:cs="Calibri"/>
          <w:iCs/>
          <w:color w:val="002060"/>
          <w:kern w:val="0"/>
          <w:szCs w:val="24"/>
          <w14:ligatures w14:val="none"/>
        </w:rPr>
        <w:t>Estes avanços em 2023 destacam o compromisso contínuo da Telebras com a inovação, a segurança e a excelência em tecnologia, visando atender às necessidades atuais e futuras de nossos clientes e do país.</w:t>
      </w:r>
    </w:p>
    <w:p w14:paraId="7CCF3970" w14:textId="5BA65DA0" w:rsidR="00CD43C8" w:rsidRPr="00CD43C8" w:rsidRDefault="00CD43C8" w:rsidP="00CD43C8">
      <w:pPr>
        <w:spacing w:after="0"/>
        <w:jc w:val="both"/>
        <w:rPr>
          <w:rFonts w:ascii="Calibri" w:eastAsia="Calibri" w:hAnsi="Calibri" w:cs="Calibri"/>
          <w:b/>
          <w:bCs/>
          <w:iCs/>
          <w:color w:val="002060"/>
          <w:kern w:val="0"/>
          <w:szCs w:val="24"/>
          <w14:ligatures w14:val="none"/>
        </w:rPr>
      </w:pPr>
      <w:bookmarkStart w:id="345" w:name="_Toc161319460"/>
      <w:r>
        <w:rPr>
          <w:rFonts w:ascii="Calibri" w:eastAsia="Calibri" w:hAnsi="Calibri" w:cs="Calibri"/>
          <w:b/>
          <w:bCs/>
          <w:iCs/>
          <w:color w:val="002060"/>
          <w:kern w:val="0"/>
          <w:szCs w:val="24"/>
          <w14:ligatures w14:val="none"/>
        </w:rPr>
        <w:t xml:space="preserve">7. </w:t>
      </w:r>
      <w:r w:rsidRPr="00CD43C8">
        <w:rPr>
          <w:rFonts w:ascii="Calibri" w:eastAsia="Calibri" w:hAnsi="Calibri" w:cs="Calibri"/>
          <w:b/>
          <w:bCs/>
          <w:iCs/>
          <w:color w:val="002060"/>
          <w:kern w:val="0"/>
          <w:szCs w:val="24"/>
          <w14:ligatures w14:val="none"/>
        </w:rPr>
        <w:t>Evolução da Rede de Telecomunicações</w:t>
      </w:r>
      <w:bookmarkEnd w:id="345"/>
    </w:p>
    <w:p w14:paraId="59E05614" w14:textId="7424D275" w:rsidR="00CD43C8" w:rsidRPr="00CD43C8" w:rsidRDefault="00CD43C8" w:rsidP="00CD43C8">
      <w:pPr>
        <w:spacing w:after="0"/>
        <w:jc w:val="both"/>
        <w:rPr>
          <w:rFonts w:ascii="Calibri" w:eastAsia="Calibri" w:hAnsi="Calibri" w:cs="Calibri"/>
          <w:b/>
          <w:bCs/>
          <w:iCs/>
          <w:color w:val="002060"/>
          <w:kern w:val="0"/>
          <w:szCs w:val="24"/>
          <w14:ligatures w14:val="none"/>
        </w:rPr>
      </w:pPr>
      <w:bookmarkStart w:id="346" w:name="_Toc161319461"/>
      <w:r>
        <w:rPr>
          <w:rFonts w:ascii="Calibri" w:eastAsia="Calibri" w:hAnsi="Calibri" w:cs="Calibri"/>
          <w:b/>
          <w:bCs/>
          <w:iCs/>
          <w:color w:val="002060"/>
          <w:kern w:val="0"/>
          <w:szCs w:val="24"/>
          <w14:ligatures w14:val="none"/>
        </w:rPr>
        <w:t xml:space="preserve">7.1. </w:t>
      </w:r>
      <w:r w:rsidRPr="00CD43C8">
        <w:rPr>
          <w:rFonts w:ascii="Calibri" w:eastAsia="Calibri" w:hAnsi="Calibri" w:cs="Calibri"/>
          <w:b/>
          <w:bCs/>
          <w:iCs/>
          <w:color w:val="002060"/>
          <w:kern w:val="0"/>
          <w:szCs w:val="24"/>
          <w14:ligatures w14:val="none"/>
        </w:rPr>
        <w:t>Rede Terrestre</w:t>
      </w:r>
      <w:bookmarkEnd w:id="346"/>
    </w:p>
    <w:p w14:paraId="0E5329C4" w14:textId="77777777" w:rsidR="00CD43C8" w:rsidRPr="00CD43C8" w:rsidRDefault="00CD43C8" w:rsidP="00CD43C8">
      <w:pPr>
        <w:spacing w:after="0"/>
        <w:jc w:val="both"/>
        <w:rPr>
          <w:rFonts w:ascii="Calibri" w:eastAsia="Calibri" w:hAnsi="Calibri" w:cs="Calibri"/>
          <w:iCs/>
          <w:color w:val="002060"/>
          <w:kern w:val="0"/>
          <w:szCs w:val="24"/>
          <w14:ligatures w14:val="none"/>
        </w:rPr>
      </w:pPr>
      <w:r w:rsidRPr="00CD43C8">
        <w:rPr>
          <w:rFonts w:ascii="Calibri" w:eastAsia="Calibri" w:hAnsi="Calibri" w:cs="Calibri"/>
          <w:iCs/>
          <w:color w:val="002060"/>
          <w:kern w:val="0"/>
          <w:szCs w:val="24"/>
          <w14:ligatures w14:val="none"/>
        </w:rPr>
        <w:t xml:space="preserve">A rede da Telebras se estende por todo o Brasil, com um </w:t>
      </w:r>
      <w:proofErr w:type="spellStart"/>
      <w:r w:rsidRPr="00CD43C8">
        <w:rPr>
          <w:rFonts w:ascii="Calibri" w:eastAsia="Calibri" w:hAnsi="Calibri" w:cs="Calibri"/>
          <w:iCs/>
          <w:color w:val="002060"/>
          <w:kern w:val="0"/>
          <w:szCs w:val="24"/>
          <w14:ligatures w14:val="none"/>
        </w:rPr>
        <w:t>backbone</w:t>
      </w:r>
      <w:proofErr w:type="spellEnd"/>
      <w:r w:rsidRPr="00CD43C8">
        <w:rPr>
          <w:rFonts w:ascii="Calibri" w:eastAsia="Calibri" w:hAnsi="Calibri" w:cs="Calibri"/>
          <w:iCs/>
          <w:color w:val="002060"/>
          <w:kern w:val="0"/>
          <w:szCs w:val="24"/>
          <w14:ligatures w14:val="none"/>
        </w:rPr>
        <w:t xml:space="preserve"> nacional composto por 30.115 km de fibras ópticas. Essas fibras, que são o coração da nossa infraestrutura de conectividade, atravessam diversas regiões do país, usando principalmente cabos OPGW (</w:t>
      </w:r>
      <w:proofErr w:type="spellStart"/>
      <w:r w:rsidRPr="00CD43C8">
        <w:rPr>
          <w:rFonts w:ascii="Calibri" w:eastAsia="Calibri" w:hAnsi="Calibri" w:cs="Calibri"/>
          <w:iCs/>
          <w:color w:val="002060"/>
          <w:kern w:val="0"/>
          <w:szCs w:val="24"/>
          <w14:ligatures w14:val="none"/>
        </w:rPr>
        <w:t>Optical</w:t>
      </w:r>
      <w:proofErr w:type="spellEnd"/>
      <w:r w:rsidRPr="00CD43C8">
        <w:rPr>
          <w:rFonts w:ascii="Calibri" w:eastAsia="Calibri" w:hAnsi="Calibri" w:cs="Calibri"/>
          <w:iCs/>
          <w:color w:val="002060"/>
          <w:kern w:val="0"/>
          <w:szCs w:val="24"/>
          <w14:ligatures w14:val="none"/>
        </w:rPr>
        <w:t xml:space="preserve"> Ground Wire) ao longo das linhas de transmissão de energia elétrica. Além disso, a rede também se estende por gasodutos e rodovias, tanto estaduais quanto federais. Aqui está a composição detalhada da nossa rede:</w:t>
      </w:r>
    </w:p>
    <w:p w14:paraId="2775F848" w14:textId="77777777" w:rsidR="00CD43C8" w:rsidRPr="00CD43C8" w:rsidRDefault="00CD43C8" w:rsidP="00CD43C8">
      <w:pPr>
        <w:numPr>
          <w:ilvl w:val="0"/>
          <w:numId w:val="3"/>
        </w:numPr>
        <w:spacing w:after="0"/>
        <w:jc w:val="both"/>
        <w:rPr>
          <w:rFonts w:ascii="Calibri" w:eastAsia="Calibri" w:hAnsi="Calibri" w:cs="Calibri"/>
          <w:iCs/>
          <w:color w:val="002060"/>
          <w:kern w:val="0"/>
          <w:szCs w:val="24"/>
          <w14:ligatures w14:val="none"/>
        </w:rPr>
      </w:pPr>
      <w:r w:rsidRPr="00CD43C8">
        <w:rPr>
          <w:rFonts w:ascii="Calibri" w:eastAsia="Calibri" w:hAnsi="Calibri" w:cs="Calibri"/>
          <w:iCs/>
          <w:color w:val="002060"/>
          <w:kern w:val="0"/>
          <w:szCs w:val="24"/>
          <w14:ligatures w14:val="none"/>
        </w:rPr>
        <w:t>2.433,5 km de fibras são de propriedade direta da Telebras;</w:t>
      </w:r>
    </w:p>
    <w:p w14:paraId="73C29ED8" w14:textId="77777777" w:rsidR="00CD43C8" w:rsidRPr="00CD43C8" w:rsidRDefault="00CD43C8" w:rsidP="00CD43C8">
      <w:pPr>
        <w:numPr>
          <w:ilvl w:val="0"/>
          <w:numId w:val="3"/>
        </w:numPr>
        <w:spacing w:after="0"/>
        <w:jc w:val="both"/>
        <w:rPr>
          <w:rFonts w:ascii="Calibri" w:eastAsia="Calibri" w:hAnsi="Calibri" w:cs="Calibri"/>
          <w:iCs/>
          <w:color w:val="002060"/>
          <w:kern w:val="0"/>
          <w:szCs w:val="24"/>
          <w14:ligatures w14:val="none"/>
        </w:rPr>
      </w:pPr>
      <w:r w:rsidRPr="00CD43C8">
        <w:rPr>
          <w:rFonts w:ascii="Calibri" w:eastAsia="Calibri" w:hAnsi="Calibri" w:cs="Calibri"/>
          <w:iCs/>
          <w:color w:val="002060"/>
          <w:kern w:val="0"/>
          <w:szCs w:val="24"/>
          <w14:ligatures w14:val="none"/>
        </w:rPr>
        <w:t>17.623,7 km estão instalados em sistemas da Eletrobras;</w:t>
      </w:r>
    </w:p>
    <w:p w14:paraId="0C54C99F" w14:textId="77777777" w:rsidR="00CD43C8" w:rsidRPr="00CD43C8" w:rsidRDefault="00CD43C8" w:rsidP="00CD43C8">
      <w:pPr>
        <w:numPr>
          <w:ilvl w:val="0"/>
          <w:numId w:val="3"/>
        </w:numPr>
        <w:spacing w:after="0"/>
        <w:jc w:val="both"/>
        <w:rPr>
          <w:rFonts w:ascii="Calibri" w:eastAsia="Calibri" w:hAnsi="Calibri" w:cs="Calibri"/>
          <w:iCs/>
          <w:color w:val="002060"/>
          <w:kern w:val="0"/>
          <w:szCs w:val="24"/>
          <w14:ligatures w14:val="none"/>
        </w:rPr>
      </w:pPr>
      <w:r w:rsidRPr="00CD43C8">
        <w:rPr>
          <w:rFonts w:ascii="Calibri" w:eastAsia="Calibri" w:hAnsi="Calibri" w:cs="Calibri"/>
          <w:iCs/>
          <w:color w:val="002060"/>
          <w:kern w:val="0"/>
          <w:szCs w:val="24"/>
          <w14:ligatures w14:val="none"/>
        </w:rPr>
        <w:t>2.229,5 km utilizam a infraestrutura da Petrobras;</w:t>
      </w:r>
    </w:p>
    <w:p w14:paraId="2BC783B2" w14:textId="77777777" w:rsidR="00CD43C8" w:rsidRPr="00CD43C8" w:rsidRDefault="00CD43C8" w:rsidP="00CD43C8">
      <w:pPr>
        <w:numPr>
          <w:ilvl w:val="0"/>
          <w:numId w:val="3"/>
        </w:numPr>
        <w:spacing w:after="0"/>
        <w:jc w:val="both"/>
        <w:rPr>
          <w:rFonts w:ascii="Calibri" w:eastAsia="Calibri" w:hAnsi="Calibri" w:cs="Calibri"/>
          <w:iCs/>
          <w:color w:val="002060"/>
          <w:kern w:val="0"/>
          <w:szCs w:val="24"/>
          <w14:ligatures w14:val="none"/>
        </w:rPr>
      </w:pPr>
      <w:r w:rsidRPr="00CD43C8">
        <w:rPr>
          <w:rFonts w:ascii="Calibri" w:eastAsia="Calibri" w:hAnsi="Calibri" w:cs="Calibri"/>
          <w:iCs/>
          <w:color w:val="002060"/>
          <w:kern w:val="0"/>
          <w:szCs w:val="24"/>
          <w14:ligatures w14:val="none"/>
        </w:rPr>
        <w:t xml:space="preserve">1235,0 km em cabos </w:t>
      </w:r>
      <w:proofErr w:type="spellStart"/>
      <w:r w:rsidRPr="00CD43C8">
        <w:rPr>
          <w:rFonts w:ascii="Calibri" w:eastAsia="Calibri" w:hAnsi="Calibri" w:cs="Calibri"/>
          <w:iCs/>
          <w:color w:val="002060"/>
          <w:kern w:val="0"/>
          <w:szCs w:val="24"/>
          <w14:ligatures w14:val="none"/>
        </w:rPr>
        <w:t>subfluviais</w:t>
      </w:r>
      <w:proofErr w:type="spellEnd"/>
      <w:r w:rsidRPr="00CD43C8">
        <w:rPr>
          <w:rFonts w:ascii="Calibri" w:eastAsia="Calibri" w:hAnsi="Calibri" w:cs="Calibri"/>
          <w:iCs/>
          <w:color w:val="002060"/>
          <w:kern w:val="0"/>
          <w:szCs w:val="24"/>
          <w14:ligatures w14:val="none"/>
        </w:rPr>
        <w:t>;</w:t>
      </w:r>
    </w:p>
    <w:p w14:paraId="20142094" w14:textId="77777777" w:rsidR="00CD43C8" w:rsidRPr="00CD43C8" w:rsidRDefault="00CD43C8" w:rsidP="00CD43C8">
      <w:pPr>
        <w:numPr>
          <w:ilvl w:val="0"/>
          <w:numId w:val="3"/>
        </w:numPr>
        <w:spacing w:after="0"/>
        <w:jc w:val="both"/>
        <w:rPr>
          <w:rFonts w:ascii="Calibri" w:eastAsia="Calibri" w:hAnsi="Calibri" w:cs="Calibri"/>
          <w:iCs/>
          <w:color w:val="002060"/>
          <w:kern w:val="0"/>
          <w:szCs w:val="24"/>
          <w14:ligatures w14:val="none"/>
        </w:rPr>
      </w:pPr>
      <w:r w:rsidRPr="00CD43C8">
        <w:rPr>
          <w:rFonts w:ascii="Calibri" w:eastAsia="Calibri" w:hAnsi="Calibri" w:cs="Calibri"/>
          <w:iCs/>
          <w:color w:val="002060"/>
          <w:kern w:val="0"/>
          <w:szCs w:val="24"/>
          <w14:ligatures w14:val="none"/>
        </w:rPr>
        <w:t>6.593,5 km provêm de outras parcerias ou acordos de troca (swap).</w:t>
      </w:r>
    </w:p>
    <w:p w14:paraId="3F328A3C" w14:textId="77777777" w:rsidR="00CD43C8" w:rsidRPr="00CD43C8" w:rsidRDefault="00CD43C8" w:rsidP="00CD43C8">
      <w:pPr>
        <w:spacing w:after="0"/>
        <w:jc w:val="both"/>
        <w:rPr>
          <w:rFonts w:ascii="Calibri" w:eastAsia="Calibri" w:hAnsi="Calibri" w:cs="Calibri"/>
          <w:iCs/>
          <w:color w:val="002060"/>
          <w:kern w:val="0"/>
          <w:szCs w:val="24"/>
          <w14:ligatures w14:val="none"/>
        </w:rPr>
      </w:pPr>
      <w:r w:rsidRPr="00CD43C8">
        <w:rPr>
          <w:rFonts w:ascii="Calibri" w:eastAsia="Calibri" w:hAnsi="Calibri" w:cs="Calibri"/>
          <w:iCs/>
          <w:color w:val="002060"/>
          <w:kern w:val="0"/>
          <w:szCs w:val="24"/>
          <w14:ligatures w14:val="none"/>
        </w:rPr>
        <w:lastRenderedPageBreak/>
        <w:t xml:space="preserve">Encontra-se em fase de planejamento a incorporação de 586 km de novos trechos de fibra óptica, com a perspectiva de utilização de novos cabos </w:t>
      </w:r>
      <w:proofErr w:type="spellStart"/>
      <w:r w:rsidRPr="00CD43C8">
        <w:rPr>
          <w:rFonts w:ascii="Calibri" w:eastAsia="Calibri" w:hAnsi="Calibri" w:cs="Calibri"/>
          <w:iCs/>
          <w:color w:val="002060"/>
          <w:kern w:val="0"/>
          <w:szCs w:val="24"/>
          <w14:ligatures w14:val="none"/>
        </w:rPr>
        <w:t>subfluviais</w:t>
      </w:r>
      <w:proofErr w:type="spellEnd"/>
      <w:r w:rsidRPr="00CD43C8">
        <w:rPr>
          <w:rFonts w:ascii="Calibri" w:eastAsia="Calibri" w:hAnsi="Calibri" w:cs="Calibri"/>
          <w:iCs/>
          <w:color w:val="002060"/>
          <w:kern w:val="0"/>
          <w:szCs w:val="24"/>
          <w14:ligatures w14:val="none"/>
        </w:rPr>
        <w:t>. É importante notar que os números apresentados não incluem as conexões de última milha, que são fornecidas por diversas empresas parceiras nos locais atendidos pela Telebras, onde não temos rede metropolitana própria.</w:t>
      </w:r>
    </w:p>
    <w:p w14:paraId="10EDE9AE" w14:textId="77777777" w:rsidR="00CD43C8" w:rsidRDefault="00CD43C8" w:rsidP="00CD43C8">
      <w:pPr>
        <w:spacing w:after="0"/>
        <w:jc w:val="both"/>
        <w:rPr>
          <w:rFonts w:ascii="Calibri" w:eastAsia="Calibri" w:hAnsi="Calibri" w:cs="Calibri"/>
          <w:iCs/>
          <w:color w:val="002060"/>
          <w:kern w:val="0"/>
          <w:szCs w:val="24"/>
          <w14:ligatures w14:val="none"/>
        </w:rPr>
      </w:pPr>
      <w:r w:rsidRPr="00CD43C8">
        <w:rPr>
          <w:rFonts w:ascii="Calibri" w:eastAsia="Calibri" w:hAnsi="Calibri" w:cs="Calibri"/>
          <w:iCs/>
          <w:color w:val="002060"/>
          <w:kern w:val="0"/>
          <w:szCs w:val="24"/>
          <w14:ligatures w14:val="none"/>
        </w:rPr>
        <w:t xml:space="preserve">Para visualizar melhor nossa rede e os planos de expansão, confira o mapa a seguir, onde a rede atual está destacada em LARANJA. </w:t>
      </w:r>
    </w:p>
    <w:p w14:paraId="21420AAD" w14:textId="00AFE06B" w:rsidR="00CD43C8" w:rsidRDefault="00CD43C8" w:rsidP="00CD43C8">
      <w:pPr>
        <w:spacing w:after="0"/>
        <w:jc w:val="both"/>
        <w:rPr>
          <w:rFonts w:ascii="Calibri" w:eastAsia="Calibri" w:hAnsi="Calibri" w:cs="Calibri"/>
          <w:iCs/>
          <w:color w:val="002060"/>
          <w:kern w:val="0"/>
          <w:szCs w:val="24"/>
          <w14:ligatures w14:val="none"/>
        </w:rPr>
      </w:pPr>
      <w:r w:rsidRPr="00691819">
        <w:rPr>
          <w:noProof/>
          <w:lang w:eastAsia="pt-BR"/>
        </w:rPr>
        <w:drawing>
          <wp:inline distT="0" distB="0" distL="0" distR="0" wp14:anchorId="76411F31" wp14:editId="408FDBE6">
            <wp:extent cx="1612900" cy="1028700"/>
            <wp:effectExtent l="0" t="0" r="6350" b="0"/>
            <wp:docPr id="271608378" name="Imagem 271608378"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Mapa&#10;&#10;Descrição gerada automaticamente"/>
                    <pic:cNvPicPr/>
                  </pic:nvPicPr>
                  <pic:blipFill rotWithShape="1">
                    <a:blip r:embed="rId22">
                      <a:extLst>
                        <a:ext uri="{28A0092B-C50C-407E-A947-70E740481C1C}">
                          <a14:useLocalDpi xmlns:a14="http://schemas.microsoft.com/office/drawing/2010/main" val="0"/>
                        </a:ext>
                      </a:extLst>
                    </a:blip>
                    <a:srcRect l="7089" t="24548" r="4203" b="14657"/>
                    <a:stretch/>
                  </pic:blipFill>
                  <pic:spPr bwMode="auto">
                    <a:xfrm>
                      <a:off x="0" y="0"/>
                      <a:ext cx="1612900" cy="1028700"/>
                    </a:xfrm>
                    <a:prstGeom prst="rect">
                      <a:avLst/>
                    </a:prstGeom>
                    <a:ln>
                      <a:noFill/>
                    </a:ln>
                    <a:extLst>
                      <a:ext uri="{53640926-AAD7-44D8-BBD7-CCE9431645EC}">
                        <a14:shadowObscured xmlns:a14="http://schemas.microsoft.com/office/drawing/2010/main"/>
                      </a:ext>
                    </a:extLst>
                  </pic:spPr>
                </pic:pic>
              </a:graphicData>
            </a:graphic>
          </wp:inline>
        </w:drawing>
      </w:r>
    </w:p>
    <w:p w14:paraId="5548CE1D" w14:textId="77777777" w:rsidR="00CD43C8" w:rsidRDefault="00CD43C8" w:rsidP="00CD43C8">
      <w:pPr>
        <w:spacing w:after="0"/>
        <w:jc w:val="both"/>
        <w:rPr>
          <w:rFonts w:ascii="Calibri" w:eastAsia="Calibri" w:hAnsi="Calibri" w:cs="Calibri"/>
          <w:iCs/>
          <w:color w:val="002060"/>
          <w:kern w:val="0"/>
          <w:szCs w:val="24"/>
          <w14:ligatures w14:val="none"/>
        </w:rPr>
      </w:pPr>
      <w:r w:rsidRPr="00CD43C8">
        <w:rPr>
          <w:rFonts w:ascii="Calibri" w:eastAsia="Calibri" w:hAnsi="Calibri" w:cs="Calibri"/>
          <w:iCs/>
          <w:color w:val="002060"/>
          <w:kern w:val="0"/>
          <w:szCs w:val="24"/>
          <w14:ligatures w14:val="none"/>
        </w:rPr>
        <w:t>Em 2023, a Telebras realizou avanços significativos em seus projetos e operações, visando aprimorar e expandir sua infraestrutura de telecomunicações em todo o território nacional. Destacamos algumas das iniciativas mais importantes:</w:t>
      </w:r>
    </w:p>
    <w:p w14:paraId="50A7AA27" w14:textId="77777777" w:rsidR="00CD43C8" w:rsidRDefault="00CD43C8" w:rsidP="00CD43C8">
      <w:pPr>
        <w:spacing w:after="0"/>
        <w:jc w:val="both"/>
        <w:rPr>
          <w:rFonts w:ascii="Calibri" w:eastAsia="Calibri" w:hAnsi="Calibri" w:cs="Calibri"/>
          <w:iCs/>
          <w:color w:val="002060"/>
          <w:kern w:val="0"/>
          <w:szCs w:val="24"/>
          <w14:ligatures w14:val="none"/>
        </w:rPr>
      </w:pPr>
      <w:r w:rsidRPr="00CD43C8">
        <w:rPr>
          <w:rFonts w:ascii="Calibri" w:eastAsia="Arial" w:hAnsi="Calibri" w:cs="Times New Roman"/>
          <w:b/>
          <w:color w:val="002060"/>
          <w:kern w:val="0"/>
          <w:szCs w:val="24"/>
          <w14:ligatures w14:val="none"/>
        </w:rPr>
        <w:t>Energização de Estações:</w:t>
      </w:r>
      <w:r w:rsidRPr="00CD43C8">
        <w:rPr>
          <w:rFonts w:ascii="Calibri" w:eastAsia="Arial" w:hAnsi="Calibri" w:cs="Times New Roman"/>
          <w:color w:val="002060"/>
          <w:kern w:val="0"/>
          <w:szCs w:val="24"/>
          <w14:ligatures w14:val="none"/>
        </w:rPr>
        <w:t xml:space="preserve"> Estamos finalizando a contratação e implantação da energização definitiva para 19 estações que ainda dependiam de fontes externas, marcando um progresso essencial na autonomia operacional das nossas instalações.</w:t>
      </w:r>
    </w:p>
    <w:p w14:paraId="667018EE" w14:textId="77777777" w:rsidR="00CD43C8" w:rsidRDefault="00CD43C8" w:rsidP="00CD43C8">
      <w:pPr>
        <w:spacing w:after="0"/>
        <w:jc w:val="both"/>
        <w:rPr>
          <w:rFonts w:ascii="Calibri" w:eastAsia="Calibri" w:hAnsi="Calibri" w:cs="Calibri"/>
          <w:iCs/>
          <w:color w:val="002060"/>
          <w:kern w:val="0"/>
          <w:szCs w:val="24"/>
          <w14:ligatures w14:val="none"/>
        </w:rPr>
      </w:pPr>
      <w:r w:rsidRPr="00CD43C8">
        <w:rPr>
          <w:rFonts w:ascii="Calibri" w:eastAsia="Arial" w:hAnsi="Calibri" w:cs="Times New Roman"/>
          <w:b/>
          <w:color w:val="002060"/>
          <w:kern w:val="0"/>
          <w:szCs w:val="24"/>
          <w14:ligatures w14:val="none"/>
        </w:rPr>
        <w:t>Desenvolvimento Técnico:</w:t>
      </w:r>
      <w:r w:rsidRPr="00CD43C8">
        <w:rPr>
          <w:rFonts w:ascii="Calibri" w:eastAsia="Arial" w:hAnsi="Calibri" w:cs="Times New Roman"/>
          <w:color w:val="002060"/>
          <w:kern w:val="0"/>
          <w:szCs w:val="24"/>
          <w14:ligatures w14:val="none"/>
        </w:rPr>
        <w:t xml:space="preserve"> Emitimos Notas Técnicas de Planejamento para orientar a implantação e o atendimento a clientes de circuitos de transmissão, além de expandir nosso </w:t>
      </w:r>
      <w:proofErr w:type="spellStart"/>
      <w:r w:rsidRPr="00CD43C8">
        <w:rPr>
          <w:rFonts w:ascii="Calibri" w:eastAsia="Arial" w:hAnsi="Calibri" w:cs="Times New Roman"/>
          <w:color w:val="002060"/>
          <w:kern w:val="0"/>
          <w:szCs w:val="24"/>
          <w14:ligatures w14:val="none"/>
        </w:rPr>
        <w:t>backbone</w:t>
      </w:r>
      <w:proofErr w:type="spellEnd"/>
      <w:r w:rsidRPr="00CD43C8">
        <w:rPr>
          <w:rFonts w:ascii="Calibri" w:eastAsia="Arial" w:hAnsi="Calibri" w:cs="Times New Roman"/>
          <w:color w:val="002060"/>
          <w:kern w:val="0"/>
          <w:szCs w:val="24"/>
          <w14:ligatures w14:val="none"/>
        </w:rPr>
        <w:t xml:space="preserve"> DWDM e desativar Estações de Transmissão Remota sem demanda comercial.</w:t>
      </w:r>
    </w:p>
    <w:p w14:paraId="2F008FDE" w14:textId="77777777" w:rsidR="00CD43C8" w:rsidRDefault="00CD43C8" w:rsidP="00CD43C8">
      <w:pPr>
        <w:spacing w:after="0"/>
        <w:jc w:val="both"/>
        <w:rPr>
          <w:rFonts w:ascii="Calibri" w:eastAsia="Calibri" w:hAnsi="Calibri" w:cs="Calibri"/>
          <w:iCs/>
          <w:color w:val="002060"/>
          <w:kern w:val="0"/>
          <w:szCs w:val="24"/>
          <w14:ligatures w14:val="none"/>
        </w:rPr>
      </w:pPr>
      <w:r w:rsidRPr="00CD43C8">
        <w:rPr>
          <w:rFonts w:ascii="Calibri" w:eastAsia="Arial" w:hAnsi="Calibri" w:cs="Times New Roman"/>
          <w:b/>
          <w:color w:val="002060"/>
          <w:kern w:val="0"/>
          <w:szCs w:val="24"/>
          <w14:ligatures w14:val="none"/>
        </w:rPr>
        <w:t>Parceria com o Exército Brasileiro:</w:t>
      </w:r>
      <w:r w:rsidRPr="00CD43C8">
        <w:rPr>
          <w:rFonts w:ascii="Calibri" w:eastAsia="Arial" w:hAnsi="Calibri" w:cs="Times New Roman"/>
          <w:color w:val="002060"/>
          <w:kern w:val="0"/>
          <w:szCs w:val="24"/>
          <w14:ligatures w14:val="none"/>
        </w:rPr>
        <w:t xml:space="preserve"> Em dezembro de 2022, firmamos um Termo de Cooperação Técnica com o Exército, visando unir esforços na implantação de infraestruturas de telecomunicações estratégicas para a Defesa Nacional e promover a inclusão digital na Amazônia Ocidental. Este acordo abriu caminho para o uso da rede óptica do Projeto Amazônia Conectada, além de futuras expansões.</w:t>
      </w:r>
    </w:p>
    <w:p w14:paraId="66A9227F" w14:textId="77777777" w:rsidR="00CD43C8" w:rsidRDefault="00CD43C8" w:rsidP="00CD43C8">
      <w:pPr>
        <w:spacing w:after="0"/>
        <w:jc w:val="both"/>
        <w:rPr>
          <w:rFonts w:ascii="Calibri" w:eastAsia="Calibri" w:hAnsi="Calibri" w:cs="Calibri"/>
          <w:iCs/>
          <w:color w:val="002060"/>
          <w:kern w:val="0"/>
          <w:szCs w:val="24"/>
          <w14:ligatures w14:val="none"/>
        </w:rPr>
      </w:pPr>
      <w:r w:rsidRPr="00CD43C8">
        <w:rPr>
          <w:rFonts w:ascii="Calibri" w:eastAsia="Arial" w:hAnsi="Calibri" w:cs="Times New Roman"/>
          <w:color w:val="002060"/>
          <w:kern w:val="0"/>
          <w:szCs w:val="24"/>
          <w14:ligatures w14:val="none"/>
        </w:rPr>
        <w:t>Realizamos inspeções técnicas em instalações do Projeto Amazônia Conectada, preparando a rede para ativações de capacidade significativas e integrações de gestão de rede.</w:t>
      </w:r>
    </w:p>
    <w:p w14:paraId="7FB4808C" w14:textId="77777777" w:rsidR="00CD43C8" w:rsidRDefault="00CD43C8" w:rsidP="00CD43C8">
      <w:pPr>
        <w:spacing w:after="0"/>
        <w:jc w:val="both"/>
        <w:rPr>
          <w:rFonts w:ascii="Calibri" w:eastAsia="Calibri" w:hAnsi="Calibri" w:cs="Calibri"/>
          <w:iCs/>
          <w:color w:val="002060"/>
          <w:kern w:val="0"/>
          <w:szCs w:val="24"/>
          <w14:ligatures w14:val="none"/>
        </w:rPr>
      </w:pPr>
      <w:r w:rsidRPr="00CD43C8">
        <w:rPr>
          <w:rFonts w:ascii="Calibri" w:eastAsia="Arial" w:hAnsi="Calibri" w:cs="Times New Roman"/>
          <w:color w:val="002060"/>
          <w:kern w:val="0"/>
          <w:szCs w:val="24"/>
          <w14:ligatures w14:val="none"/>
        </w:rPr>
        <w:t>Implementamos infraestrutura crítica para ativar canais de 10 Gbps e 100 Gbps, atendendo às necessidades do Exército Brasileiro e expandindo nossa rede em Manaus.</w:t>
      </w:r>
    </w:p>
    <w:p w14:paraId="7A87E96A" w14:textId="77777777" w:rsidR="00CD43C8" w:rsidRDefault="00CD43C8" w:rsidP="00CD43C8">
      <w:pPr>
        <w:spacing w:after="0"/>
        <w:jc w:val="both"/>
        <w:rPr>
          <w:rFonts w:ascii="Calibri" w:eastAsia="Calibri" w:hAnsi="Calibri" w:cs="Calibri"/>
          <w:iCs/>
          <w:color w:val="002060"/>
          <w:kern w:val="0"/>
          <w:szCs w:val="24"/>
          <w14:ligatures w14:val="none"/>
        </w:rPr>
      </w:pPr>
      <w:r w:rsidRPr="00CD43C8">
        <w:rPr>
          <w:rFonts w:ascii="Calibri" w:eastAsia="Arial" w:hAnsi="Calibri" w:cs="Times New Roman"/>
          <w:b/>
          <w:color w:val="002060"/>
          <w:kern w:val="0"/>
          <w:szCs w:val="24"/>
          <w14:ligatures w14:val="none"/>
        </w:rPr>
        <w:t>Atendimento ao INSS:</w:t>
      </w:r>
      <w:r w:rsidRPr="00CD43C8">
        <w:rPr>
          <w:rFonts w:ascii="Calibri" w:eastAsia="Arial" w:hAnsi="Calibri" w:cs="Times New Roman"/>
          <w:color w:val="002060"/>
          <w:kern w:val="0"/>
          <w:szCs w:val="24"/>
          <w14:ligatures w14:val="none"/>
        </w:rPr>
        <w:t xml:space="preserve"> Concluímos a implantação de serviços para 1.656 pontos do INSS utilizando tecnologia SD-WAN, reforçando nosso compromisso com a prestação de serviços essenciais por meio de uma infraestrutura moderna e eficiente.</w:t>
      </w:r>
    </w:p>
    <w:p w14:paraId="65EBA0CC" w14:textId="77777777" w:rsidR="00CD43C8" w:rsidRDefault="00CD43C8" w:rsidP="00CD43C8">
      <w:pPr>
        <w:spacing w:after="0"/>
        <w:jc w:val="both"/>
        <w:rPr>
          <w:rFonts w:ascii="Calibri" w:eastAsia="Calibri" w:hAnsi="Calibri" w:cs="Calibri"/>
          <w:iCs/>
          <w:color w:val="002060"/>
          <w:kern w:val="0"/>
          <w:szCs w:val="24"/>
          <w14:ligatures w14:val="none"/>
        </w:rPr>
      </w:pPr>
      <w:r w:rsidRPr="00CD43C8">
        <w:rPr>
          <w:rFonts w:ascii="Calibri" w:eastAsia="Arial" w:hAnsi="Calibri" w:cs="Times New Roman"/>
          <w:b/>
          <w:color w:val="002060"/>
          <w:kern w:val="0"/>
          <w:szCs w:val="24"/>
          <w14:ligatures w14:val="none"/>
        </w:rPr>
        <w:t>Projeto 100 Gbps:</w:t>
      </w:r>
      <w:r w:rsidRPr="00CD43C8">
        <w:rPr>
          <w:rFonts w:ascii="Calibri" w:eastAsia="Arial" w:hAnsi="Calibri" w:cs="Times New Roman"/>
          <w:color w:val="002060"/>
          <w:kern w:val="0"/>
          <w:szCs w:val="24"/>
          <w14:ligatures w14:val="none"/>
        </w:rPr>
        <w:t xml:space="preserve"> Em colaboração com a RNP, avançamos na implantação de canais de 100 Gbps em nosso </w:t>
      </w:r>
      <w:proofErr w:type="spellStart"/>
      <w:r w:rsidRPr="00CD43C8">
        <w:rPr>
          <w:rFonts w:ascii="Calibri" w:eastAsia="Arial" w:hAnsi="Calibri" w:cs="Times New Roman"/>
          <w:color w:val="002060"/>
          <w:kern w:val="0"/>
          <w:szCs w:val="24"/>
          <w14:ligatures w14:val="none"/>
        </w:rPr>
        <w:t>backbone</w:t>
      </w:r>
      <w:proofErr w:type="spellEnd"/>
      <w:r w:rsidRPr="00CD43C8">
        <w:rPr>
          <w:rFonts w:ascii="Calibri" w:eastAsia="Arial" w:hAnsi="Calibri" w:cs="Times New Roman"/>
          <w:color w:val="002060"/>
          <w:kern w:val="0"/>
          <w:szCs w:val="24"/>
          <w14:ligatures w14:val="none"/>
        </w:rPr>
        <w:t xml:space="preserve"> DWDM, com 85% do projeto já concluído. Esse esforço representa um salto qualitativo na capacidade e na qualidade da nossa rede.</w:t>
      </w:r>
    </w:p>
    <w:p w14:paraId="3454296C" w14:textId="77777777" w:rsidR="00CD43C8" w:rsidRDefault="00CD43C8" w:rsidP="00CD43C8">
      <w:pPr>
        <w:spacing w:after="0"/>
        <w:jc w:val="both"/>
        <w:rPr>
          <w:rFonts w:ascii="Calibri" w:eastAsia="Calibri" w:hAnsi="Calibri" w:cs="Calibri"/>
          <w:iCs/>
          <w:color w:val="002060"/>
          <w:kern w:val="0"/>
          <w:szCs w:val="24"/>
          <w14:ligatures w14:val="none"/>
        </w:rPr>
      </w:pPr>
      <w:r w:rsidRPr="00CD43C8">
        <w:rPr>
          <w:rFonts w:ascii="Calibri" w:eastAsia="Arial" w:hAnsi="Calibri" w:cs="Times New Roman"/>
          <w:b/>
          <w:color w:val="002060"/>
          <w:kern w:val="0"/>
          <w:szCs w:val="24"/>
          <w14:ligatures w14:val="none"/>
        </w:rPr>
        <w:t>Infraestrutura e Expansão da Rede</w:t>
      </w:r>
      <w:r w:rsidRPr="00CD43C8">
        <w:rPr>
          <w:rFonts w:ascii="Calibri" w:eastAsia="Arial" w:hAnsi="Calibri" w:cs="Times New Roman"/>
          <w:color w:val="002060"/>
          <w:kern w:val="0"/>
          <w:szCs w:val="24"/>
          <w14:ligatures w14:val="none"/>
        </w:rPr>
        <w:t xml:space="preserve">: Ampliamos significativamente nossa infraestrutura com a instalação de novos racks de espelhamento óptico e a implementação física de roteadores no </w:t>
      </w:r>
      <w:proofErr w:type="spellStart"/>
      <w:r w:rsidRPr="00CD43C8">
        <w:rPr>
          <w:rFonts w:ascii="Calibri" w:eastAsia="Arial" w:hAnsi="Calibri" w:cs="Times New Roman"/>
          <w:color w:val="002060"/>
          <w:kern w:val="0"/>
          <w:szCs w:val="24"/>
          <w14:ligatures w14:val="none"/>
        </w:rPr>
        <w:t>backbone</w:t>
      </w:r>
      <w:proofErr w:type="spellEnd"/>
      <w:r w:rsidRPr="00CD43C8">
        <w:rPr>
          <w:rFonts w:ascii="Calibri" w:eastAsia="Arial" w:hAnsi="Calibri" w:cs="Times New Roman"/>
          <w:color w:val="002060"/>
          <w:kern w:val="0"/>
          <w:szCs w:val="24"/>
          <w14:ligatures w14:val="none"/>
        </w:rPr>
        <w:t xml:space="preserve"> IP/MPLS, preparando a rede para futuras demandas e tecnologias.</w:t>
      </w:r>
    </w:p>
    <w:p w14:paraId="2CBF3E7E" w14:textId="77777777" w:rsidR="00CD43C8" w:rsidRDefault="00CD43C8" w:rsidP="00CD43C8">
      <w:pPr>
        <w:spacing w:after="0"/>
        <w:jc w:val="both"/>
        <w:rPr>
          <w:rFonts w:ascii="Calibri" w:eastAsia="Calibri" w:hAnsi="Calibri" w:cs="Calibri"/>
          <w:iCs/>
          <w:color w:val="002060"/>
          <w:kern w:val="0"/>
          <w:szCs w:val="24"/>
          <w14:ligatures w14:val="none"/>
        </w:rPr>
      </w:pPr>
      <w:r w:rsidRPr="00CD43C8">
        <w:rPr>
          <w:rFonts w:ascii="Calibri" w:eastAsia="Arial" w:hAnsi="Calibri" w:cs="Times New Roman"/>
          <w:b/>
          <w:color w:val="002060"/>
          <w:kern w:val="0"/>
          <w:szCs w:val="24"/>
          <w14:ligatures w14:val="none"/>
        </w:rPr>
        <w:t>Cobertura Nacional</w:t>
      </w:r>
      <w:r w:rsidRPr="00CD43C8">
        <w:rPr>
          <w:rFonts w:ascii="Calibri" w:eastAsia="Arial" w:hAnsi="Calibri" w:cs="Times New Roman"/>
          <w:color w:val="002060"/>
          <w:kern w:val="0"/>
          <w:szCs w:val="24"/>
          <w14:ligatures w14:val="none"/>
        </w:rPr>
        <w:t>: Ao final de 2023, a rede terrestre da Telebras atingiu um potencial de cobertura impressionante, atendendo diretamente 499 municípios e indiretamente 1.420 municípios por meio de provedores de internet parceiros.</w:t>
      </w:r>
    </w:p>
    <w:p w14:paraId="48E5C26C" w14:textId="12178E6A" w:rsidR="00CD43C8" w:rsidRPr="00CD43C8" w:rsidRDefault="00CD43C8" w:rsidP="00CD43C8">
      <w:pPr>
        <w:spacing w:after="0"/>
        <w:jc w:val="both"/>
        <w:rPr>
          <w:rFonts w:ascii="Calibri" w:eastAsia="Calibri" w:hAnsi="Calibri" w:cs="Calibri"/>
          <w:iCs/>
          <w:color w:val="002060"/>
          <w:kern w:val="0"/>
          <w:szCs w:val="24"/>
          <w14:ligatures w14:val="none"/>
        </w:rPr>
      </w:pPr>
      <w:r w:rsidRPr="00CD43C8">
        <w:rPr>
          <w:rFonts w:ascii="Calibri" w:eastAsia="Arial" w:hAnsi="Calibri" w:cs="Times New Roman"/>
          <w:color w:val="002060"/>
          <w:kern w:val="0"/>
          <w:szCs w:val="24"/>
          <w14:ligatures w14:val="none"/>
        </w:rPr>
        <w:t>Estas iniciativas refletem o compromisso contínuo da Telebras em fortalecer a infraestrutura de telecomunicações do Brasil, garantindo comunicações seguras e promovendo a inclusão digital em todo o país.</w:t>
      </w:r>
    </w:p>
    <w:p w14:paraId="137F49C8" w14:textId="5EE06E7D" w:rsidR="00CD43C8" w:rsidRPr="00CD43C8" w:rsidRDefault="00CD43C8" w:rsidP="00CD43C8">
      <w:pPr>
        <w:spacing w:after="0"/>
        <w:jc w:val="both"/>
        <w:rPr>
          <w:rFonts w:ascii="Calibri" w:eastAsia="Calibri" w:hAnsi="Calibri" w:cs="Calibri"/>
          <w:b/>
          <w:bCs/>
          <w:iCs/>
          <w:color w:val="002060"/>
          <w:kern w:val="0"/>
          <w:szCs w:val="24"/>
          <w14:ligatures w14:val="none"/>
        </w:rPr>
      </w:pPr>
      <w:bookmarkStart w:id="347" w:name="_Toc161319462"/>
      <w:r>
        <w:rPr>
          <w:rFonts w:ascii="Calibri" w:eastAsia="Calibri" w:hAnsi="Calibri" w:cs="Calibri"/>
          <w:b/>
          <w:bCs/>
          <w:iCs/>
          <w:color w:val="002060"/>
          <w:kern w:val="0"/>
          <w:szCs w:val="24"/>
          <w14:ligatures w14:val="none"/>
        </w:rPr>
        <w:t xml:space="preserve">7.2. </w:t>
      </w:r>
      <w:r w:rsidRPr="00CD43C8">
        <w:rPr>
          <w:rFonts w:ascii="Calibri" w:eastAsia="Calibri" w:hAnsi="Calibri" w:cs="Calibri"/>
          <w:b/>
          <w:bCs/>
          <w:iCs/>
          <w:color w:val="002060"/>
          <w:kern w:val="0"/>
          <w:szCs w:val="24"/>
          <w14:ligatures w14:val="none"/>
        </w:rPr>
        <w:t>Satélite Geoestacionário de Defesa e Comunicações Estratégicas</w:t>
      </w:r>
      <w:bookmarkEnd w:id="347"/>
    </w:p>
    <w:p w14:paraId="59A720AE" w14:textId="77777777" w:rsidR="00CD43C8" w:rsidRPr="00CD43C8" w:rsidRDefault="00CD43C8" w:rsidP="00CD43C8">
      <w:pPr>
        <w:tabs>
          <w:tab w:val="left" w:pos="851"/>
        </w:tabs>
        <w:spacing w:after="0" w:line="240" w:lineRule="auto"/>
        <w:jc w:val="both"/>
        <w:rPr>
          <w:rFonts w:ascii="Calibri" w:eastAsia="Times New Roman" w:hAnsi="Calibri" w:cs="Times New Roman"/>
          <w:color w:val="002060"/>
          <w:kern w:val="0"/>
          <w14:ligatures w14:val="none"/>
        </w:rPr>
      </w:pPr>
      <w:r w:rsidRPr="00CD43C8">
        <w:rPr>
          <w:rFonts w:ascii="Calibri" w:eastAsia="Times New Roman" w:hAnsi="Calibri" w:cs="Times New Roman"/>
          <w:color w:val="002060"/>
          <w:kern w:val="0"/>
          <w14:ligatures w14:val="none"/>
        </w:rPr>
        <w:t xml:space="preserve">Lançado em maio de 2017, o Satélite Geoestacionário de Defesa e Comunicações Estratégicas (SGDC) é uma peça fundamental para a infraestrutura de telecomunicações do Brasil, proporcionando uma </w:t>
      </w:r>
      <w:r w:rsidRPr="00CD43C8">
        <w:rPr>
          <w:rFonts w:ascii="Calibri" w:eastAsia="Times New Roman" w:hAnsi="Calibri" w:cs="Times New Roman"/>
          <w:color w:val="002060"/>
          <w:kern w:val="0"/>
          <w14:ligatures w14:val="none"/>
        </w:rPr>
        <w:lastRenderedPageBreak/>
        <w:t>cobertura nacional homogênea de internet banda larga. Além de seu papel crucial na inclusão digital, o SGDC serve a propósitos de defesa nacional com suas duas cargas úteis distintas: uma para comunicações civis na banda Ka e outra para operações militares na banda X.</w:t>
      </w:r>
    </w:p>
    <w:p w14:paraId="7B9D9D3B" w14:textId="77777777" w:rsidR="00CD43C8" w:rsidRPr="00CD43C8" w:rsidRDefault="00CD43C8" w:rsidP="00CD43C8">
      <w:pPr>
        <w:tabs>
          <w:tab w:val="left" w:pos="851"/>
        </w:tabs>
        <w:spacing w:after="0" w:line="240" w:lineRule="auto"/>
        <w:ind w:firstLine="6"/>
        <w:jc w:val="both"/>
        <w:rPr>
          <w:rFonts w:ascii="Calibri" w:eastAsia="Times New Roman" w:hAnsi="Calibri" w:cs="Times New Roman"/>
          <w:color w:val="002060"/>
          <w:kern w:val="0"/>
          <w14:ligatures w14:val="none"/>
        </w:rPr>
      </w:pPr>
      <w:r w:rsidRPr="00CD43C8">
        <w:rPr>
          <w:rFonts w:ascii="Calibri" w:eastAsia="Times New Roman" w:hAnsi="Calibri" w:cs="Times New Roman"/>
          <w:color w:val="002060"/>
          <w:kern w:val="0"/>
          <w14:ligatures w14:val="none"/>
        </w:rPr>
        <w:t xml:space="preserve">Este satélite permite à Telebras ampliar significativamente o acesso à internet em banda larga para regiões remotas do país, incluindo escolas, unidades de saúde, postos de fronteira e aldeias indígenas, facilitando a comunicação em </w:t>
      </w:r>
      <w:proofErr w:type="gramStart"/>
      <w:r w:rsidRPr="00CD43C8">
        <w:rPr>
          <w:rFonts w:ascii="Calibri" w:eastAsia="Times New Roman" w:hAnsi="Calibri" w:cs="Times New Roman"/>
          <w:color w:val="002060"/>
          <w:kern w:val="0"/>
          <w14:ligatures w14:val="none"/>
        </w:rPr>
        <w:t>situações de emergência</w:t>
      </w:r>
      <w:proofErr w:type="gramEnd"/>
      <w:r w:rsidRPr="00CD43C8">
        <w:rPr>
          <w:rFonts w:ascii="Calibri" w:eastAsia="Times New Roman" w:hAnsi="Calibri" w:cs="Times New Roman"/>
          <w:color w:val="002060"/>
          <w:kern w:val="0"/>
          <w14:ligatures w14:val="none"/>
        </w:rPr>
        <w:t xml:space="preserve"> e promovendo a inclusão digital.</w:t>
      </w:r>
    </w:p>
    <w:p w14:paraId="68A5E175" w14:textId="77777777" w:rsidR="00CD43C8" w:rsidRPr="00CD43C8" w:rsidRDefault="00CD43C8" w:rsidP="00CD43C8">
      <w:pPr>
        <w:tabs>
          <w:tab w:val="left" w:pos="851"/>
        </w:tabs>
        <w:spacing w:after="0" w:line="240" w:lineRule="auto"/>
        <w:ind w:firstLine="6"/>
        <w:jc w:val="both"/>
        <w:rPr>
          <w:rFonts w:ascii="Calibri" w:eastAsia="Times New Roman" w:hAnsi="Calibri" w:cs="Times New Roman"/>
          <w:color w:val="002060"/>
          <w:kern w:val="0"/>
          <w14:ligatures w14:val="none"/>
        </w:rPr>
      </w:pPr>
      <w:r w:rsidRPr="00CD43C8">
        <w:rPr>
          <w:rFonts w:ascii="Calibri" w:eastAsia="Times New Roman" w:hAnsi="Calibri" w:cs="Times New Roman"/>
          <w:color w:val="002060"/>
          <w:kern w:val="0"/>
          <w14:ligatures w14:val="none"/>
        </w:rPr>
        <w:t xml:space="preserve">O sistema de operação do SGDC é apoiado por Centros de Operações Espaciais em Brasília (COPE-P) e no Rio de Janeiro (COPE-S). O COPE-P, localizado na capital, destaca-se por sua infraestrutura de missão crítica, sendo classificado como tolerante a falhas de acordo com a norma norte-americana ANSI/TIA e certificado TIER IV pelo </w:t>
      </w:r>
      <w:proofErr w:type="spellStart"/>
      <w:r w:rsidRPr="00CD43C8">
        <w:rPr>
          <w:rFonts w:ascii="Calibri" w:eastAsia="Times New Roman" w:hAnsi="Calibri" w:cs="Times New Roman"/>
          <w:color w:val="002060"/>
          <w:kern w:val="0"/>
          <w14:ligatures w14:val="none"/>
        </w:rPr>
        <w:t>Uptime</w:t>
      </w:r>
      <w:proofErr w:type="spellEnd"/>
      <w:r w:rsidRPr="00CD43C8">
        <w:rPr>
          <w:rFonts w:ascii="Calibri" w:eastAsia="Times New Roman" w:hAnsi="Calibri" w:cs="Times New Roman"/>
          <w:color w:val="002060"/>
          <w:kern w:val="0"/>
          <w14:ligatures w14:val="none"/>
        </w:rPr>
        <w:t xml:space="preserve"> </w:t>
      </w:r>
      <w:proofErr w:type="spellStart"/>
      <w:r w:rsidRPr="00CD43C8">
        <w:rPr>
          <w:rFonts w:ascii="Calibri" w:eastAsia="Times New Roman" w:hAnsi="Calibri" w:cs="Times New Roman"/>
          <w:color w:val="002060"/>
          <w:kern w:val="0"/>
          <w14:ligatures w14:val="none"/>
        </w:rPr>
        <w:t>Institute</w:t>
      </w:r>
      <w:proofErr w:type="spellEnd"/>
      <w:r w:rsidRPr="00CD43C8">
        <w:rPr>
          <w:rFonts w:ascii="Calibri" w:eastAsia="Times New Roman" w:hAnsi="Calibri" w:cs="Times New Roman"/>
          <w:color w:val="002060"/>
          <w:kern w:val="0"/>
          <w14:ligatures w14:val="none"/>
        </w:rPr>
        <w:t>. Esta certificação coloca o centro no mais alto nível de resiliência, assegurando que a infraestrutura possa suportar interrupções sem impactar os serviços críticos de tecnologia da informação.</w:t>
      </w:r>
    </w:p>
    <w:p w14:paraId="3EC73D9D" w14:textId="77777777" w:rsidR="00CD43C8" w:rsidRPr="00CD43C8" w:rsidRDefault="00CD43C8" w:rsidP="00CD43C8">
      <w:pPr>
        <w:tabs>
          <w:tab w:val="left" w:pos="851"/>
        </w:tabs>
        <w:spacing w:after="0" w:line="240" w:lineRule="auto"/>
        <w:ind w:firstLine="6"/>
        <w:jc w:val="both"/>
        <w:rPr>
          <w:rFonts w:ascii="Calibri" w:eastAsia="Times New Roman" w:hAnsi="Calibri" w:cs="Times New Roman"/>
          <w:color w:val="002060"/>
          <w:kern w:val="0"/>
          <w14:ligatures w14:val="none"/>
        </w:rPr>
      </w:pPr>
      <w:r w:rsidRPr="00CD43C8">
        <w:rPr>
          <w:rFonts w:ascii="Calibri" w:eastAsia="Times New Roman" w:hAnsi="Calibri" w:cs="Times New Roman"/>
          <w:color w:val="002060"/>
          <w:kern w:val="0"/>
          <w14:ligatures w14:val="none"/>
        </w:rPr>
        <w:t>As Estações de Acesso, ou Gateways, distribuídas pelo país, facilitam a comunicação entre a rede terrestre e o satélite, controlando e otimizando o tráfego de dados. Localizadas em pontos estratégicos como Campo Grande, Florianópolis, Salvador, Brasília e Rio de Janeiro, essas estações garantem a eficiência e a segurança das comunicações via satélite.</w:t>
      </w:r>
    </w:p>
    <w:p w14:paraId="7C939064" w14:textId="77777777" w:rsidR="00CD43C8" w:rsidRPr="00CD43C8" w:rsidRDefault="00CD43C8" w:rsidP="00CD43C8">
      <w:pPr>
        <w:tabs>
          <w:tab w:val="left" w:pos="851"/>
        </w:tabs>
        <w:spacing w:after="0" w:line="240" w:lineRule="auto"/>
        <w:ind w:firstLine="6"/>
        <w:jc w:val="both"/>
        <w:rPr>
          <w:rFonts w:ascii="Calibri" w:eastAsia="Times New Roman" w:hAnsi="Calibri" w:cs="Times New Roman"/>
          <w:color w:val="002060"/>
          <w:kern w:val="0"/>
          <w14:ligatures w14:val="none"/>
        </w:rPr>
      </w:pPr>
      <w:r w:rsidRPr="00CD43C8">
        <w:rPr>
          <w:rFonts w:ascii="Calibri" w:eastAsia="Times New Roman" w:hAnsi="Calibri" w:cs="Times New Roman"/>
          <w:color w:val="002060"/>
          <w:kern w:val="0"/>
          <w14:ligatures w14:val="none"/>
        </w:rPr>
        <w:t>Complementando este sistema, as Estações de Monitoramento e Controle, presentes em várias regiões, monitoram continuamente os parâmetros do satélite para assegurar a integridade e o desempenho da rede.</w:t>
      </w:r>
    </w:p>
    <w:p w14:paraId="77E11D44" w14:textId="77777777" w:rsidR="001820F7" w:rsidRDefault="00CD43C8" w:rsidP="001820F7">
      <w:pPr>
        <w:tabs>
          <w:tab w:val="left" w:pos="851"/>
        </w:tabs>
        <w:spacing w:after="0" w:line="240" w:lineRule="auto"/>
        <w:jc w:val="both"/>
        <w:rPr>
          <w:rFonts w:ascii="Calibri" w:eastAsia="Times New Roman" w:hAnsi="Calibri" w:cs="Times New Roman"/>
          <w:color w:val="002060"/>
          <w:kern w:val="0"/>
          <w14:ligatures w14:val="none"/>
        </w:rPr>
      </w:pPr>
      <w:r w:rsidRPr="00CD43C8">
        <w:rPr>
          <w:rFonts w:ascii="Calibri" w:eastAsia="Times New Roman" w:hAnsi="Calibri" w:cs="Times New Roman"/>
          <w:color w:val="002060"/>
          <w:kern w:val="0"/>
          <w14:ligatures w14:val="none"/>
        </w:rPr>
        <w:t xml:space="preserve">Os Terminais de Usuário, ou </w:t>
      </w:r>
      <w:proofErr w:type="spellStart"/>
      <w:r w:rsidRPr="00CD43C8">
        <w:rPr>
          <w:rFonts w:ascii="Calibri" w:eastAsia="Times New Roman" w:hAnsi="Calibri" w:cs="Times New Roman"/>
          <w:color w:val="002060"/>
          <w:kern w:val="0"/>
          <w14:ligatures w14:val="none"/>
        </w:rPr>
        <w:t>VSATs</w:t>
      </w:r>
      <w:proofErr w:type="spellEnd"/>
      <w:r w:rsidRPr="00CD43C8">
        <w:rPr>
          <w:rFonts w:ascii="Calibri" w:eastAsia="Times New Roman" w:hAnsi="Calibri" w:cs="Times New Roman"/>
          <w:color w:val="002060"/>
          <w:kern w:val="0"/>
          <w14:ligatures w14:val="none"/>
        </w:rPr>
        <w:t>, instalados em locais remotos, conectam-se diretamente ao SGDC, trazendo internet banda larga às comunidades mais isoladas através da Rede Nacional de Banda Larga da Telebras, reforçando o compromisso da empresa em conectar todo o território nacional e promover a inclusão digital.</w:t>
      </w:r>
      <w:bookmarkStart w:id="348" w:name="_Toc161319463"/>
    </w:p>
    <w:p w14:paraId="267F616E" w14:textId="311FDF9B" w:rsidR="00CD43C8" w:rsidRPr="001820F7" w:rsidRDefault="001820F7" w:rsidP="001820F7">
      <w:pPr>
        <w:tabs>
          <w:tab w:val="left" w:pos="851"/>
        </w:tabs>
        <w:spacing w:after="0" w:line="240" w:lineRule="auto"/>
        <w:jc w:val="both"/>
        <w:rPr>
          <w:rFonts w:ascii="Calibri" w:eastAsia="Times New Roman" w:hAnsi="Calibri" w:cs="Times New Roman"/>
          <w:color w:val="002060"/>
          <w:kern w:val="0"/>
          <w14:ligatures w14:val="none"/>
        </w:rPr>
      </w:pPr>
      <w:r>
        <w:rPr>
          <w:rFonts w:ascii="Calibri" w:eastAsia="Times New Roman" w:hAnsi="Calibri" w:cs="Arial"/>
          <w:b/>
          <w:bCs/>
          <w:iCs/>
          <w:color w:val="002060"/>
          <w:kern w:val="0"/>
          <w:sz w:val="24"/>
          <w:szCs w:val="24"/>
          <w14:ligatures w14:val="none"/>
        </w:rPr>
        <w:t xml:space="preserve">7.3. </w:t>
      </w:r>
      <w:r w:rsidR="00CD43C8" w:rsidRPr="00CD43C8">
        <w:rPr>
          <w:rFonts w:ascii="Calibri" w:eastAsia="Times New Roman" w:hAnsi="Calibri" w:cs="Arial"/>
          <w:b/>
          <w:bCs/>
          <w:iCs/>
          <w:color w:val="002060"/>
          <w:kern w:val="0"/>
          <w:sz w:val="24"/>
          <w:szCs w:val="24"/>
          <w14:ligatures w14:val="none"/>
        </w:rPr>
        <w:t>Circuitos GESAC</w:t>
      </w:r>
      <w:bookmarkEnd w:id="348"/>
    </w:p>
    <w:p w14:paraId="5D4FEAB5" w14:textId="77777777" w:rsidR="001820F7" w:rsidRPr="001820F7" w:rsidRDefault="001820F7" w:rsidP="001820F7">
      <w:pPr>
        <w:spacing w:after="0"/>
        <w:jc w:val="both"/>
        <w:rPr>
          <w:rFonts w:ascii="Calibri" w:eastAsia="Calibri" w:hAnsi="Calibri" w:cs="Calibri"/>
          <w:iCs/>
          <w:color w:val="002060"/>
          <w:kern w:val="0"/>
          <w:szCs w:val="24"/>
          <w14:ligatures w14:val="none"/>
        </w:rPr>
      </w:pPr>
      <w:r w:rsidRPr="001820F7">
        <w:rPr>
          <w:rFonts w:ascii="Calibri" w:eastAsia="Calibri" w:hAnsi="Calibri" w:cs="Calibri"/>
          <w:iCs/>
          <w:color w:val="002060"/>
          <w:kern w:val="0"/>
          <w:szCs w:val="24"/>
          <w14:ligatures w14:val="none"/>
        </w:rPr>
        <w:t>É essencial entender a importância e o impacto do projeto Governo Eletrônico – Serviço de Atendimento ao Cidadão (GESAC) na estratégia e no valor da Telebras. O GESAC é uma iniciativa governamental que visa fornecer acesso à internet em banda larga para comunidades em áreas remotas e estratégicas do Brasil, promovendo a inclusão digital e o acesso a serviços públicos digitais.</w:t>
      </w:r>
    </w:p>
    <w:p w14:paraId="5DEC155E" w14:textId="77777777" w:rsidR="001820F7" w:rsidRPr="001820F7" w:rsidRDefault="001820F7" w:rsidP="001820F7">
      <w:pPr>
        <w:spacing w:after="0"/>
        <w:jc w:val="both"/>
        <w:rPr>
          <w:rFonts w:ascii="Calibri" w:eastAsia="Calibri" w:hAnsi="Calibri" w:cs="Calibri"/>
          <w:iCs/>
          <w:color w:val="002060"/>
          <w:kern w:val="0"/>
          <w:szCs w:val="24"/>
          <w14:ligatures w14:val="none"/>
        </w:rPr>
      </w:pPr>
      <w:r w:rsidRPr="001820F7">
        <w:rPr>
          <w:rFonts w:ascii="Calibri" w:eastAsia="Calibri" w:hAnsi="Calibri" w:cs="Calibri"/>
          <w:iCs/>
          <w:color w:val="002060"/>
          <w:kern w:val="0"/>
          <w:szCs w:val="24"/>
          <w14:ligatures w14:val="none"/>
        </w:rPr>
        <w:t>A representação visual abaixo ilustra o acompanhamento acumulado ao longo do tempo do projeto GESAC, desde o primeiro trimestre de 2019, a iniciativa registrou uma evolução nas solicitações de novos pontos de acesso pelo Ministério das Comunicações (</w:t>
      </w:r>
      <w:proofErr w:type="spellStart"/>
      <w:r w:rsidRPr="001820F7">
        <w:rPr>
          <w:rFonts w:ascii="Calibri" w:eastAsia="Calibri" w:hAnsi="Calibri" w:cs="Calibri"/>
          <w:iCs/>
          <w:color w:val="002060"/>
          <w:kern w:val="0"/>
          <w:szCs w:val="24"/>
          <w14:ligatures w14:val="none"/>
        </w:rPr>
        <w:t>MCom</w:t>
      </w:r>
      <w:proofErr w:type="spellEnd"/>
      <w:r w:rsidRPr="001820F7">
        <w:rPr>
          <w:rFonts w:ascii="Calibri" w:eastAsia="Calibri" w:hAnsi="Calibri" w:cs="Calibri"/>
          <w:iCs/>
          <w:color w:val="002060"/>
          <w:kern w:val="0"/>
          <w:szCs w:val="24"/>
          <w14:ligatures w14:val="none"/>
        </w:rPr>
        <w:t>). No entanto, em 2023, o projeto demonstrou uma notável estabilidade nessas solicitações em comparação aos anos anteriores.</w:t>
      </w:r>
    </w:p>
    <w:p w14:paraId="4A9B77D3" w14:textId="77777777" w:rsidR="001820F7" w:rsidRDefault="001820F7" w:rsidP="00CD43C8">
      <w:pPr>
        <w:spacing w:after="0"/>
        <w:jc w:val="both"/>
        <w:rPr>
          <w:rFonts w:ascii="Calibri" w:eastAsia="Calibri" w:hAnsi="Calibri" w:cs="Calibri"/>
          <w:b/>
          <w:bCs/>
          <w:iCs/>
          <w:color w:val="002060"/>
          <w:kern w:val="0"/>
          <w:szCs w:val="24"/>
          <w14:ligatures w14:val="none"/>
        </w:rPr>
      </w:pPr>
    </w:p>
    <w:p w14:paraId="7E22A568" w14:textId="26A81306" w:rsidR="001820F7" w:rsidRPr="001820F7" w:rsidRDefault="001820F7" w:rsidP="00CD43C8">
      <w:pPr>
        <w:spacing w:after="0"/>
        <w:jc w:val="both"/>
        <w:rPr>
          <w:rFonts w:ascii="Calibri" w:eastAsia="Calibri" w:hAnsi="Calibri" w:cs="Calibri"/>
          <w:iCs/>
          <w:color w:val="002060"/>
          <w:kern w:val="0"/>
          <w:szCs w:val="24"/>
          <w14:ligatures w14:val="none"/>
        </w:rPr>
      </w:pPr>
      <w:r w:rsidRPr="001820F7">
        <w:rPr>
          <w:noProof/>
          <w:lang w:eastAsia="pt-BR"/>
        </w:rPr>
        <w:drawing>
          <wp:inline distT="0" distB="0" distL="0" distR="0" wp14:anchorId="18EE8A19" wp14:editId="0D4D77E0">
            <wp:extent cx="5760720" cy="1212850"/>
            <wp:effectExtent l="0" t="0" r="0" b="6350"/>
            <wp:docPr id="223537658" name="Gráfico 1">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FBB5598" w14:textId="6AE24F16" w:rsidR="001820F7" w:rsidRPr="001820F7" w:rsidRDefault="001820F7" w:rsidP="001820F7">
      <w:pPr>
        <w:tabs>
          <w:tab w:val="left" w:pos="851"/>
        </w:tabs>
        <w:spacing w:before="240" w:after="120" w:line="240" w:lineRule="auto"/>
        <w:jc w:val="center"/>
        <w:rPr>
          <w:rFonts w:ascii="Calibri" w:eastAsia="Times New Roman" w:hAnsi="Calibri" w:cs="Times New Roman"/>
          <w:bCs/>
          <w:color w:val="002060"/>
          <w:kern w:val="0"/>
          <w:sz w:val="16"/>
          <w:szCs w:val="24"/>
          <w14:ligatures w14:val="none"/>
        </w:rPr>
      </w:pPr>
      <w:bookmarkStart w:id="349" w:name="_Toc159258277"/>
      <w:r w:rsidRPr="001820F7">
        <w:rPr>
          <w:rFonts w:ascii="Calibri" w:eastAsia="Times New Roman" w:hAnsi="Calibri" w:cs="Times New Roman"/>
          <w:bCs/>
          <w:color w:val="002060"/>
          <w:kern w:val="0"/>
          <w:sz w:val="16"/>
          <w:szCs w:val="24"/>
          <w14:ligatures w14:val="none"/>
        </w:rPr>
        <w:t xml:space="preserve">Gráfico </w:t>
      </w:r>
      <w:r w:rsidRPr="001820F7">
        <w:rPr>
          <w:rFonts w:ascii="Calibri" w:eastAsia="Times New Roman" w:hAnsi="Calibri" w:cs="Times New Roman"/>
          <w:bCs/>
          <w:color w:val="002060"/>
          <w:kern w:val="0"/>
          <w:sz w:val="16"/>
          <w:szCs w:val="24"/>
          <w14:ligatures w14:val="none"/>
        </w:rPr>
        <w:fldChar w:fldCharType="begin"/>
      </w:r>
      <w:r w:rsidRPr="001820F7">
        <w:rPr>
          <w:rFonts w:ascii="Calibri" w:eastAsia="Times New Roman" w:hAnsi="Calibri" w:cs="Times New Roman"/>
          <w:bCs/>
          <w:color w:val="002060"/>
          <w:kern w:val="0"/>
          <w:sz w:val="16"/>
          <w:szCs w:val="24"/>
          <w14:ligatures w14:val="none"/>
        </w:rPr>
        <w:instrText xml:space="preserve"> STYLEREF 1 \s </w:instrText>
      </w:r>
      <w:r w:rsidRPr="001820F7">
        <w:rPr>
          <w:rFonts w:ascii="Calibri" w:eastAsia="Times New Roman" w:hAnsi="Calibri" w:cs="Times New Roman"/>
          <w:bCs/>
          <w:color w:val="002060"/>
          <w:kern w:val="0"/>
          <w:sz w:val="16"/>
          <w:szCs w:val="24"/>
          <w14:ligatures w14:val="none"/>
        </w:rPr>
        <w:fldChar w:fldCharType="separate"/>
      </w:r>
      <w:r w:rsidRPr="001820F7">
        <w:rPr>
          <w:rFonts w:ascii="Calibri" w:eastAsia="Times New Roman" w:hAnsi="Calibri" w:cs="Times New Roman"/>
          <w:bCs/>
          <w:noProof/>
          <w:color w:val="002060"/>
          <w:kern w:val="0"/>
          <w:sz w:val="16"/>
          <w:szCs w:val="24"/>
          <w14:ligatures w14:val="none"/>
        </w:rPr>
        <w:t>7</w:t>
      </w:r>
      <w:r w:rsidRPr="001820F7">
        <w:rPr>
          <w:rFonts w:ascii="Calibri" w:eastAsia="Times New Roman" w:hAnsi="Calibri" w:cs="Times New Roman"/>
          <w:bCs/>
          <w:noProof/>
          <w:color w:val="002060"/>
          <w:kern w:val="0"/>
          <w:sz w:val="16"/>
          <w:szCs w:val="24"/>
          <w14:ligatures w14:val="none"/>
        </w:rPr>
        <w:fldChar w:fldCharType="end"/>
      </w:r>
      <w:r w:rsidRPr="001820F7">
        <w:rPr>
          <w:rFonts w:ascii="Calibri" w:eastAsia="Times New Roman" w:hAnsi="Calibri" w:cs="Times New Roman"/>
          <w:bCs/>
          <w:color w:val="002060"/>
          <w:kern w:val="0"/>
          <w:sz w:val="16"/>
          <w:szCs w:val="24"/>
          <w14:ligatures w14:val="none"/>
        </w:rPr>
        <w:noBreakHyphen/>
      </w:r>
      <w:r w:rsidRPr="001820F7">
        <w:rPr>
          <w:rFonts w:ascii="Calibri" w:eastAsia="Times New Roman" w:hAnsi="Calibri" w:cs="Times New Roman"/>
          <w:bCs/>
          <w:color w:val="002060"/>
          <w:kern w:val="0"/>
          <w:sz w:val="16"/>
          <w:szCs w:val="24"/>
          <w14:ligatures w14:val="none"/>
        </w:rPr>
        <w:fldChar w:fldCharType="begin"/>
      </w:r>
      <w:r w:rsidRPr="001820F7">
        <w:rPr>
          <w:rFonts w:ascii="Calibri" w:eastAsia="Times New Roman" w:hAnsi="Calibri" w:cs="Times New Roman"/>
          <w:bCs/>
          <w:color w:val="002060"/>
          <w:kern w:val="0"/>
          <w:sz w:val="16"/>
          <w:szCs w:val="24"/>
          <w14:ligatures w14:val="none"/>
        </w:rPr>
        <w:instrText xml:space="preserve"> SEQ Gráfico \* ARABIC \s 1 </w:instrText>
      </w:r>
      <w:r w:rsidRPr="001820F7">
        <w:rPr>
          <w:rFonts w:ascii="Calibri" w:eastAsia="Times New Roman" w:hAnsi="Calibri" w:cs="Times New Roman"/>
          <w:bCs/>
          <w:color w:val="002060"/>
          <w:kern w:val="0"/>
          <w:sz w:val="16"/>
          <w:szCs w:val="24"/>
          <w14:ligatures w14:val="none"/>
        </w:rPr>
        <w:fldChar w:fldCharType="separate"/>
      </w:r>
      <w:r w:rsidRPr="001820F7">
        <w:rPr>
          <w:rFonts w:ascii="Calibri" w:eastAsia="Times New Roman" w:hAnsi="Calibri" w:cs="Times New Roman"/>
          <w:bCs/>
          <w:noProof/>
          <w:color w:val="002060"/>
          <w:kern w:val="0"/>
          <w:sz w:val="16"/>
          <w:szCs w:val="24"/>
          <w14:ligatures w14:val="none"/>
        </w:rPr>
        <w:t>1</w:t>
      </w:r>
      <w:r w:rsidRPr="001820F7">
        <w:rPr>
          <w:rFonts w:ascii="Calibri" w:eastAsia="Times New Roman" w:hAnsi="Calibri" w:cs="Times New Roman"/>
          <w:bCs/>
          <w:noProof/>
          <w:color w:val="002060"/>
          <w:kern w:val="0"/>
          <w:sz w:val="16"/>
          <w:szCs w:val="24"/>
          <w14:ligatures w14:val="none"/>
        </w:rPr>
        <w:fldChar w:fldCharType="end"/>
      </w:r>
      <w:r w:rsidRPr="001820F7">
        <w:rPr>
          <w:rFonts w:ascii="Calibri" w:eastAsia="Times New Roman" w:hAnsi="Calibri" w:cs="Times New Roman"/>
          <w:bCs/>
          <w:color w:val="002060"/>
          <w:kern w:val="0"/>
          <w:sz w:val="16"/>
          <w:szCs w:val="24"/>
          <w14:ligatures w14:val="none"/>
        </w:rPr>
        <w:t xml:space="preserve"> Projeto GESAC</w:t>
      </w:r>
      <w:bookmarkEnd w:id="349"/>
    </w:p>
    <w:p w14:paraId="517B9A02" w14:textId="77777777" w:rsidR="001820F7" w:rsidRPr="001820F7" w:rsidRDefault="001820F7" w:rsidP="001820F7">
      <w:pPr>
        <w:tabs>
          <w:tab w:val="left" w:pos="851"/>
        </w:tabs>
        <w:spacing w:before="240" w:after="120" w:line="240" w:lineRule="auto"/>
        <w:jc w:val="both"/>
        <w:rPr>
          <w:rFonts w:ascii="Calibri" w:eastAsia="Times New Roman" w:hAnsi="Calibri" w:cs="Times New Roman"/>
          <w:color w:val="002060"/>
          <w:kern w:val="0"/>
          <w:sz w:val="24"/>
          <w:szCs w:val="24"/>
          <w14:ligatures w14:val="none"/>
        </w:rPr>
      </w:pPr>
      <w:r w:rsidRPr="001820F7">
        <w:rPr>
          <w:rFonts w:ascii="Calibri" w:eastAsia="Times New Roman" w:hAnsi="Calibri" w:cs="Times New Roman"/>
          <w:color w:val="002060"/>
          <w:kern w:val="0"/>
          <w14:ligatures w14:val="none"/>
        </w:rPr>
        <w:t>Em 21 de dezembro de 2023, o Ministério das Comunicações (</w:t>
      </w:r>
      <w:proofErr w:type="spellStart"/>
      <w:r w:rsidRPr="001820F7">
        <w:rPr>
          <w:rFonts w:ascii="Calibri" w:eastAsia="Times New Roman" w:hAnsi="Calibri" w:cs="Times New Roman"/>
          <w:color w:val="002060"/>
          <w:kern w:val="0"/>
          <w14:ligatures w14:val="none"/>
        </w:rPr>
        <w:t>MCom</w:t>
      </w:r>
      <w:proofErr w:type="spellEnd"/>
      <w:r w:rsidRPr="001820F7">
        <w:rPr>
          <w:rFonts w:ascii="Calibri" w:eastAsia="Times New Roman" w:hAnsi="Calibri" w:cs="Times New Roman"/>
          <w:color w:val="002060"/>
          <w:kern w:val="0"/>
          <w14:ligatures w14:val="none"/>
        </w:rPr>
        <w:t xml:space="preserve">) confirmou a renovação do contrato com a Telebras para dar continuidade ao programa GESAC, fundamentado na Lei Nº 14.744, de 2023. Este acordo estratégico visa estabelecer 28 mil novos pontos de acesso à internet via satélite, focando em regiões remotas e comunidades em situação de vulnerabilidade social. A iniciativa é um marco na promoção da inclusão digital e na oferta de serviços essenciais, abrangendo escolas, unidades de saúde, comunidades indígenas, quilombolas, órgãos de segurança pública, postos de fronteira, além de programas de monitoramento ambiental na Amazônia. Outros beneficiários incluem </w:t>
      </w:r>
      <w:r w:rsidRPr="001820F7">
        <w:rPr>
          <w:rFonts w:ascii="Calibri" w:eastAsia="Times New Roman" w:hAnsi="Calibri" w:cs="Times New Roman"/>
          <w:color w:val="002060"/>
          <w:kern w:val="0"/>
          <w14:ligatures w14:val="none"/>
        </w:rPr>
        <w:lastRenderedPageBreak/>
        <w:t>os Centros de Referência de Assistência Social (CRAS), reforçando o compromisso do programa em assegurar conectividade e acesso à informação para todos, contribuindo significativamente para o desenvolvimento social e econômico das áreas atendidas.</w:t>
      </w:r>
    </w:p>
    <w:p w14:paraId="7E6511C3" w14:textId="444FB91F" w:rsidR="001820F7" w:rsidRPr="007E1FEC" w:rsidRDefault="001820F7" w:rsidP="00874AA4">
      <w:pPr>
        <w:pStyle w:val="Ttulo2"/>
        <w:spacing w:before="0" w:after="0" w:line="240" w:lineRule="auto"/>
        <w:rPr>
          <w:rFonts w:ascii="Calibri" w:eastAsia="Times New Roman" w:hAnsi="Calibri" w:cs="Arial"/>
          <w:b/>
          <w:bCs/>
          <w:iCs/>
          <w:color w:val="002060"/>
          <w:kern w:val="0"/>
          <w:sz w:val="24"/>
          <w:szCs w:val="24"/>
          <w14:ligatures w14:val="none"/>
        </w:rPr>
      </w:pPr>
      <w:bookmarkStart w:id="350" w:name="_Toc161319464"/>
      <w:r>
        <w:rPr>
          <w:rFonts w:ascii="Calibri" w:eastAsia="Times New Roman" w:hAnsi="Calibri" w:cs="Arial"/>
          <w:b/>
          <w:bCs/>
          <w:iCs/>
          <w:color w:val="002060"/>
          <w:kern w:val="0"/>
          <w:sz w:val="24"/>
          <w:szCs w:val="24"/>
          <w14:ligatures w14:val="none"/>
        </w:rPr>
        <w:t xml:space="preserve">7.4. </w:t>
      </w:r>
      <w:r w:rsidRPr="001820F7">
        <w:rPr>
          <w:rFonts w:ascii="Calibri" w:eastAsia="Times New Roman" w:hAnsi="Calibri" w:cs="Arial"/>
          <w:b/>
          <w:bCs/>
          <w:iCs/>
          <w:color w:val="002060"/>
          <w:kern w:val="0"/>
          <w:sz w:val="24"/>
          <w:szCs w:val="24"/>
          <w14:ligatures w14:val="none"/>
        </w:rPr>
        <w:t>Operação e Manutenção</w:t>
      </w:r>
      <w:bookmarkEnd w:id="350"/>
    </w:p>
    <w:p w14:paraId="1B1FCAFE" w14:textId="77777777" w:rsidR="001820F7" w:rsidRPr="001820F7" w:rsidRDefault="001820F7" w:rsidP="007E1FEC">
      <w:pPr>
        <w:tabs>
          <w:tab w:val="left" w:pos="851"/>
        </w:tabs>
        <w:spacing w:after="0" w:line="240" w:lineRule="auto"/>
        <w:jc w:val="both"/>
        <w:rPr>
          <w:rFonts w:ascii="Calibri" w:eastAsia="Times New Roman" w:hAnsi="Calibri" w:cs="Times New Roman"/>
          <w:color w:val="002060"/>
          <w:kern w:val="0"/>
          <w14:ligatures w14:val="none"/>
        </w:rPr>
      </w:pPr>
      <w:r w:rsidRPr="001820F7">
        <w:rPr>
          <w:rFonts w:ascii="Calibri" w:eastAsia="Times New Roman" w:hAnsi="Calibri" w:cs="Times New Roman"/>
          <w:color w:val="002060"/>
          <w:kern w:val="0"/>
          <w14:ligatures w14:val="none"/>
        </w:rPr>
        <w:t>A Telebras mantém a excelência operacional de sua Rede Nacional de Telecomunicações através de uma combinação eficaz de manutenção de campo e operações centralizadas. No coração dessas operações está o Centro Integrado de Gerência de Rede (CIGR/NOC), estrategicamente localizado em Brasília. Este centro desempenha um papel crucial, sendo responsável por uma ampla gama de atividades essenciais para a manutenção da qualidade e confiabilidade da rede. Essas atividades incluem o monitoramento contínuo, a análise de desempenho e tráfego, o tratamento e escalonamento de incidentes, a aceitação de novas estações, a gestão de mudanças, a ativação, a configuração, e o gerenciamento proativo de clientes e circuitos de rede, tudo isso sob a orientação dos Níveis de Serviço Acordados (</w:t>
      </w:r>
      <w:proofErr w:type="spellStart"/>
      <w:r w:rsidRPr="001820F7">
        <w:rPr>
          <w:rFonts w:ascii="Calibri" w:eastAsia="Times New Roman" w:hAnsi="Calibri" w:cs="Times New Roman"/>
          <w:color w:val="002060"/>
          <w:kern w:val="0"/>
          <w14:ligatures w14:val="none"/>
        </w:rPr>
        <w:t>SLAs</w:t>
      </w:r>
      <w:proofErr w:type="spellEnd"/>
      <w:r w:rsidRPr="001820F7">
        <w:rPr>
          <w:rFonts w:ascii="Calibri" w:eastAsia="Times New Roman" w:hAnsi="Calibri" w:cs="Times New Roman"/>
          <w:color w:val="002060"/>
          <w:kern w:val="0"/>
          <w14:ligatures w14:val="none"/>
        </w:rPr>
        <w:t>).</w:t>
      </w:r>
    </w:p>
    <w:p w14:paraId="30C9F1DB" w14:textId="4184B4FB" w:rsidR="001820F7" w:rsidRPr="001820F7" w:rsidRDefault="001820F7" w:rsidP="007E1FEC">
      <w:pPr>
        <w:tabs>
          <w:tab w:val="left" w:pos="851"/>
        </w:tabs>
        <w:spacing w:after="0" w:line="240" w:lineRule="auto"/>
        <w:jc w:val="both"/>
        <w:rPr>
          <w:rFonts w:ascii="Calibri" w:eastAsia="Times New Roman" w:hAnsi="Calibri" w:cs="Times New Roman"/>
          <w:color w:val="002060"/>
          <w:kern w:val="0"/>
          <w14:ligatures w14:val="none"/>
        </w:rPr>
      </w:pPr>
      <w:r w:rsidRPr="001820F7">
        <w:rPr>
          <w:rFonts w:ascii="Calibri" w:eastAsia="Times New Roman" w:hAnsi="Calibri" w:cs="Times New Roman"/>
          <w:color w:val="002060"/>
          <w:kern w:val="0"/>
          <w14:ligatures w14:val="none"/>
        </w:rPr>
        <w:t xml:space="preserve">Os </w:t>
      </w:r>
      <w:proofErr w:type="spellStart"/>
      <w:r w:rsidRPr="001820F7">
        <w:rPr>
          <w:rFonts w:ascii="Calibri" w:eastAsia="Times New Roman" w:hAnsi="Calibri" w:cs="Times New Roman"/>
          <w:color w:val="002060"/>
          <w:kern w:val="0"/>
          <w14:ligatures w14:val="none"/>
        </w:rPr>
        <w:t>SLAs</w:t>
      </w:r>
      <w:proofErr w:type="spellEnd"/>
      <w:r w:rsidRPr="001820F7">
        <w:rPr>
          <w:rFonts w:ascii="Calibri" w:eastAsia="Times New Roman" w:hAnsi="Calibri" w:cs="Times New Roman"/>
          <w:color w:val="002060"/>
          <w:kern w:val="0"/>
          <w14:ligatures w14:val="none"/>
        </w:rPr>
        <w:t xml:space="preserve"> são fundamentais para definir os padrões de serviço esperados e garantir a entrega de uma qualidade de serviço consistente e confiável. A monitoração desses níveis de serviço permite à Telebras uma gestão rigorosa da qualidade, assegurando que os altos padrões de serviço sejam atingidos e mantidos.</w:t>
      </w:r>
    </w:p>
    <w:p w14:paraId="4E503D1E" w14:textId="77777777" w:rsidR="001820F7" w:rsidRPr="001820F7" w:rsidRDefault="001820F7" w:rsidP="007E1FEC">
      <w:pPr>
        <w:keepNext/>
        <w:tabs>
          <w:tab w:val="left" w:pos="851"/>
        </w:tabs>
        <w:spacing w:after="0" w:line="240" w:lineRule="auto"/>
        <w:jc w:val="both"/>
        <w:rPr>
          <w:rFonts w:ascii="Calibri" w:eastAsia="Times New Roman" w:hAnsi="Calibri" w:cs="Times New Roman"/>
          <w:color w:val="002060"/>
          <w:kern w:val="0"/>
          <w14:ligatures w14:val="none"/>
        </w:rPr>
      </w:pPr>
      <w:r w:rsidRPr="001820F7">
        <w:rPr>
          <w:rFonts w:ascii="Calibri" w:eastAsia="Times New Roman" w:hAnsi="Calibri" w:cs="Times New Roman"/>
          <w:color w:val="002060"/>
          <w:kern w:val="0"/>
          <w14:ligatures w14:val="none"/>
        </w:rPr>
        <w:t>Refletindo o compromisso da Telebras com a excelência operacional, os dados dos últimos 12 meses mostram uma taxa de disponibilidade da rede de telecomunicações de 99,86% em dezembro de 2023 conforme gráfico abaixo. Este número não apenas excede as expectativas, mas também evidencia o sucesso das estratégias de manutenção e operação da empresa em garantir uma infraestrutura de telecomunicações altamente confiável e disponível.</w:t>
      </w:r>
    </w:p>
    <w:p w14:paraId="491E3146" w14:textId="77777777" w:rsidR="001820F7" w:rsidRDefault="001820F7" w:rsidP="00CD43C8">
      <w:pPr>
        <w:spacing w:after="0"/>
        <w:jc w:val="both"/>
        <w:rPr>
          <w:rFonts w:ascii="Calibri" w:eastAsia="Calibri" w:hAnsi="Calibri" w:cs="Calibri"/>
          <w:iCs/>
          <w:color w:val="002060"/>
          <w:kern w:val="0"/>
          <w:szCs w:val="24"/>
          <w14:ligatures w14:val="none"/>
        </w:rPr>
      </w:pPr>
    </w:p>
    <w:p w14:paraId="26AA1579" w14:textId="5C428D2F" w:rsidR="001820F7" w:rsidRDefault="001820F7" w:rsidP="00CD43C8">
      <w:pPr>
        <w:spacing w:after="0"/>
        <w:jc w:val="both"/>
        <w:rPr>
          <w:rFonts w:ascii="Calibri" w:eastAsia="Calibri" w:hAnsi="Calibri" w:cs="Calibri"/>
          <w:iCs/>
          <w:color w:val="002060"/>
          <w:kern w:val="0"/>
          <w:szCs w:val="24"/>
          <w14:ligatures w14:val="none"/>
        </w:rPr>
      </w:pPr>
      <w:r>
        <w:rPr>
          <w:noProof/>
          <w:lang w:eastAsia="pt-BR"/>
        </w:rPr>
        <w:drawing>
          <wp:inline distT="0" distB="0" distL="0" distR="0" wp14:anchorId="002F1F1E" wp14:editId="72548961">
            <wp:extent cx="5760720" cy="2673350"/>
            <wp:effectExtent l="0" t="0" r="0" b="12700"/>
            <wp:docPr id="1665629075" name="Gráfico 1665629075">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4D04428" w14:textId="2AB98062" w:rsidR="001820F7" w:rsidRPr="001820F7" w:rsidRDefault="001820F7" w:rsidP="001820F7">
      <w:pPr>
        <w:pStyle w:val="Legenda"/>
        <w:ind w:left="0" w:firstLine="0"/>
      </w:pPr>
      <w:bookmarkStart w:id="351" w:name="_Toc159258278"/>
      <w:r w:rsidRPr="00CE6386">
        <w:t xml:space="preserve">Gráfico </w:t>
      </w:r>
      <w:r>
        <w:fldChar w:fldCharType="begin"/>
      </w:r>
      <w:r>
        <w:instrText xml:space="preserve"> STYLEREF 1 \s </w:instrText>
      </w:r>
      <w:r>
        <w:fldChar w:fldCharType="separate"/>
      </w:r>
      <w:r>
        <w:rPr>
          <w:noProof/>
        </w:rPr>
        <w:t>7</w:t>
      </w:r>
      <w:r>
        <w:rPr>
          <w:noProof/>
        </w:rPr>
        <w:fldChar w:fldCharType="end"/>
      </w:r>
      <w:r w:rsidRPr="00CE6386">
        <w:noBreakHyphen/>
      </w:r>
      <w:r>
        <w:fldChar w:fldCharType="begin"/>
      </w:r>
      <w:r>
        <w:instrText xml:space="preserve"> SEQ Gráfico \* ARABIC \s 1 </w:instrText>
      </w:r>
      <w:r>
        <w:fldChar w:fldCharType="separate"/>
      </w:r>
      <w:r>
        <w:rPr>
          <w:noProof/>
        </w:rPr>
        <w:t>2</w:t>
      </w:r>
      <w:r>
        <w:rPr>
          <w:noProof/>
        </w:rPr>
        <w:fldChar w:fldCharType="end"/>
      </w:r>
      <w:r w:rsidRPr="00CE6386">
        <w:t xml:space="preserve"> Nível de Serviço – Disponibilidade da Rede</w:t>
      </w:r>
      <w:bookmarkEnd w:id="351"/>
    </w:p>
    <w:p w14:paraId="21303C08" w14:textId="77777777" w:rsidR="001820F7" w:rsidRDefault="001820F7" w:rsidP="00CD43C8">
      <w:pPr>
        <w:spacing w:after="0"/>
        <w:jc w:val="both"/>
        <w:rPr>
          <w:rFonts w:ascii="Calibri" w:eastAsia="Calibri" w:hAnsi="Calibri" w:cs="Calibri"/>
          <w:iCs/>
          <w:color w:val="002060"/>
          <w:kern w:val="0"/>
          <w:szCs w:val="24"/>
          <w14:ligatures w14:val="none"/>
        </w:rPr>
      </w:pPr>
    </w:p>
    <w:p w14:paraId="3A83DEA4" w14:textId="77777777" w:rsidR="001820F7" w:rsidRPr="001820F7" w:rsidRDefault="001820F7" w:rsidP="001820F7">
      <w:pPr>
        <w:tabs>
          <w:tab w:val="left" w:pos="851"/>
        </w:tabs>
        <w:spacing w:after="0" w:line="240" w:lineRule="auto"/>
        <w:jc w:val="both"/>
        <w:rPr>
          <w:rFonts w:ascii="Calibri" w:eastAsia="MS Mincho" w:hAnsi="Calibri" w:cs="Times New Roman"/>
          <w:color w:val="002060"/>
          <w:kern w:val="0"/>
          <w14:ligatures w14:val="none"/>
        </w:rPr>
      </w:pPr>
      <w:r w:rsidRPr="001820F7">
        <w:rPr>
          <w:rFonts w:ascii="Calibri" w:eastAsia="MS Mincho" w:hAnsi="Calibri" w:cs="Times New Roman"/>
          <w:color w:val="002060"/>
          <w:kern w:val="0"/>
          <w14:ligatures w14:val="none"/>
        </w:rPr>
        <w:t>Nos últimos 12 meses, a Telebras identificou os principais desafios que afetaram a operacionalidade de sua rede:</w:t>
      </w:r>
    </w:p>
    <w:p w14:paraId="70011A15" w14:textId="77777777" w:rsidR="001820F7" w:rsidRPr="001820F7" w:rsidRDefault="001820F7" w:rsidP="001820F7">
      <w:pPr>
        <w:tabs>
          <w:tab w:val="left" w:pos="851"/>
        </w:tabs>
        <w:spacing w:after="0" w:line="240" w:lineRule="auto"/>
        <w:jc w:val="both"/>
        <w:rPr>
          <w:rFonts w:ascii="Calibri" w:eastAsia="MS Mincho" w:hAnsi="Calibri" w:cs="Times New Roman"/>
          <w:color w:val="002060"/>
          <w:kern w:val="0"/>
          <w14:ligatures w14:val="none"/>
        </w:rPr>
      </w:pPr>
      <w:r w:rsidRPr="001820F7">
        <w:rPr>
          <w:rFonts w:ascii="Calibri" w:eastAsia="MS Mincho" w:hAnsi="Calibri" w:cs="Times New Roman"/>
          <w:b/>
          <w:color w:val="002060"/>
          <w:kern w:val="0"/>
          <w14:ligatures w14:val="none"/>
        </w:rPr>
        <w:t>Qualidade do Fornecimento de Energia Elétrica:</w:t>
      </w:r>
      <w:r w:rsidRPr="001820F7">
        <w:rPr>
          <w:rFonts w:ascii="Calibri" w:eastAsia="MS Mincho" w:hAnsi="Calibri" w:cs="Times New Roman"/>
          <w:color w:val="002060"/>
          <w:kern w:val="0"/>
          <w14:ligatures w14:val="none"/>
        </w:rPr>
        <w:t xml:space="preserve"> Flutuações e interrupções no fornecimento de energia elétrica resultaram na indisponibilidade temporária de estações e na degradação de componentes críticos da infraestrutura, incluindo bancos de baterias e sistemas de ar-condicionado. Tais eventos impactam diretamente a continuidade e a confiabilidade dos serviços oferecidos.</w:t>
      </w:r>
    </w:p>
    <w:p w14:paraId="75529608" w14:textId="77777777" w:rsidR="001820F7" w:rsidRPr="001820F7" w:rsidRDefault="001820F7" w:rsidP="001820F7">
      <w:pPr>
        <w:tabs>
          <w:tab w:val="left" w:pos="851"/>
        </w:tabs>
        <w:spacing w:after="0" w:line="240" w:lineRule="auto"/>
        <w:jc w:val="both"/>
        <w:rPr>
          <w:rFonts w:ascii="Calibri" w:eastAsia="MS Mincho" w:hAnsi="Calibri" w:cs="Times New Roman"/>
          <w:color w:val="002060"/>
          <w:kern w:val="0"/>
          <w14:ligatures w14:val="none"/>
        </w:rPr>
      </w:pPr>
      <w:r w:rsidRPr="001820F7">
        <w:rPr>
          <w:rFonts w:ascii="Calibri" w:eastAsia="MS Mincho" w:hAnsi="Calibri" w:cs="Times New Roman"/>
          <w:b/>
          <w:color w:val="002060"/>
          <w:kern w:val="0"/>
          <w14:ligatures w14:val="none"/>
        </w:rPr>
        <w:t>Rompimentos de Fibra Óptica:</w:t>
      </w:r>
      <w:r w:rsidRPr="001820F7">
        <w:rPr>
          <w:rFonts w:ascii="Calibri" w:eastAsia="MS Mincho" w:hAnsi="Calibri" w:cs="Times New Roman"/>
          <w:color w:val="002060"/>
          <w:kern w:val="0"/>
          <w14:ligatures w14:val="none"/>
        </w:rPr>
        <w:t xml:space="preserve"> Incidentes envolvendo o rompimento de fibras ópticas em elementos da rede externa causaram interrupções significativas na rede </w:t>
      </w:r>
      <w:proofErr w:type="spellStart"/>
      <w:r w:rsidRPr="001820F7">
        <w:rPr>
          <w:rFonts w:ascii="Calibri" w:eastAsia="MS Mincho" w:hAnsi="Calibri" w:cs="Times New Roman"/>
          <w:color w:val="002060"/>
          <w:kern w:val="0"/>
          <w14:ligatures w14:val="none"/>
        </w:rPr>
        <w:t>backbone</w:t>
      </w:r>
      <w:proofErr w:type="spellEnd"/>
      <w:r w:rsidRPr="001820F7">
        <w:rPr>
          <w:rFonts w:ascii="Calibri" w:eastAsia="MS Mincho" w:hAnsi="Calibri" w:cs="Times New Roman"/>
          <w:color w:val="002060"/>
          <w:kern w:val="0"/>
          <w14:ligatures w14:val="none"/>
        </w:rPr>
        <w:t xml:space="preserve">. Esses eventos não apenas </w:t>
      </w:r>
      <w:r w:rsidRPr="001820F7">
        <w:rPr>
          <w:rFonts w:ascii="Calibri" w:eastAsia="MS Mincho" w:hAnsi="Calibri" w:cs="Times New Roman"/>
          <w:color w:val="002060"/>
          <w:kern w:val="0"/>
          <w14:ligatures w14:val="none"/>
        </w:rPr>
        <w:lastRenderedPageBreak/>
        <w:t>afetam a qualidade do serviço, mas também demandam esforços imediatos de reparo e recuperação para restabelecer a conectividade.</w:t>
      </w:r>
    </w:p>
    <w:p w14:paraId="7C529B3A" w14:textId="77777777" w:rsidR="001820F7" w:rsidRPr="001820F7" w:rsidRDefault="001820F7" w:rsidP="001820F7">
      <w:pPr>
        <w:tabs>
          <w:tab w:val="left" w:pos="851"/>
        </w:tabs>
        <w:spacing w:after="0" w:line="240" w:lineRule="auto"/>
        <w:jc w:val="both"/>
        <w:rPr>
          <w:rFonts w:ascii="Calibri" w:eastAsia="MS Mincho" w:hAnsi="Calibri" w:cs="Times New Roman"/>
          <w:color w:val="002060"/>
          <w:kern w:val="0"/>
          <w14:ligatures w14:val="none"/>
        </w:rPr>
      </w:pPr>
      <w:r w:rsidRPr="001820F7">
        <w:rPr>
          <w:rFonts w:ascii="Calibri" w:eastAsia="MS Mincho" w:hAnsi="Calibri" w:cs="Times New Roman"/>
          <w:b/>
          <w:color w:val="002060"/>
          <w:kern w:val="0"/>
          <w14:ligatures w14:val="none"/>
        </w:rPr>
        <w:t>Vandalismos:</w:t>
      </w:r>
      <w:r w:rsidRPr="001820F7">
        <w:rPr>
          <w:rFonts w:ascii="Calibri" w:eastAsia="MS Mincho" w:hAnsi="Calibri" w:cs="Times New Roman"/>
          <w:color w:val="002060"/>
          <w:kern w:val="0"/>
          <w14:ligatures w14:val="none"/>
        </w:rPr>
        <w:t xml:space="preserve"> Atos de vandalismo, incluindo furtos de baterias e cabos ópticos, bem como de cabos de alimentação de energia, representaram desafios adicionais à manutenção da infraestrutura. Essas ocorrências não apenas resultam em custos diretos de reposição e reparo, mas também em potenciais interrupções de serviço até que as infraestruturas afetadas sejam restauradas.</w:t>
      </w:r>
    </w:p>
    <w:p w14:paraId="0819F6AF" w14:textId="77777777" w:rsidR="001820F7" w:rsidRPr="001820F7" w:rsidRDefault="001820F7" w:rsidP="001820F7">
      <w:pPr>
        <w:tabs>
          <w:tab w:val="left" w:pos="851"/>
        </w:tabs>
        <w:spacing w:after="0" w:line="240" w:lineRule="auto"/>
        <w:jc w:val="both"/>
        <w:rPr>
          <w:rFonts w:ascii="Calibri" w:eastAsia="MS Mincho" w:hAnsi="Calibri" w:cs="Times New Roman"/>
          <w:color w:val="002060"/>
          <w:kern w:val="0"/>
          <w14:ligatures w14:val="none"/>
        </w:rPr>
      </w:pPr>
      <w:r w:rsidRPr="001820F7">
        <w:rPr>
          <w:rFonts w:ascii="Calibri" w:eastAsia="MS Mincho" w:hAnsi="Calibri" w:cs="Times New Roman"/>
          <w:color w:val="002060"/>
          <w:kern w:val="0"/>
          <w14:ligatures w14:val="none"/>
        </w:rPr>
        <w:t xml:space="preserve">Esses desafios sublinham a importância de estratégias robustas de manutenção, segurança e gestão de riscos por parte da Telebras. </w:t>
      </w:r>
    </w:p>
    <w:p w14:paraId="67195FBA" w14:textId="77777777" w:rsidR="001820F7" w:rsidRPr="001820F7" w:rsidRDefault="001820F7" w:rsidP="001820F7">
      <w:pPr>
        <w:tabs>
          <w:tab w:val="left" w:pos="851"/>
        </w:tabs>
        <w:spacing w:after="0" w:line="240" w:lineRule="auto"/>
        <w:jc w:val="both"/>
        <w:rPr>
          <w:rFonts w:ascii="Calibri" w:eastAsia="MS Mincho" w:hAnsi="Calibri" w:cs="Times New Roman"/>
          <w:color w:val="002060"/>
          <w:kern w:val="0"/>
          <w14:ligatures w14:val="none"/>
        </w:rPr>
      </w:pPr>
      <w:r w:rsidRPr="001820F7">
        <w:rPr>
          <w:rFonts w:ascii="Calibri" w:eastAsia="MS Mincho" w:hAnsi="Calibri" w:cs="Times New Roman"/>
          <w:color w:val="002060"/>
          <w:kern w:val="0"/>
          <w14:ligatures w14:val="none"/>
        </w:rPr>
        <w:t>A Telebras continua a implementar medidas para fortalecer sua infraestrutura e melhorar a resiliência da rede, visando a manutenção de altos padrões de disponibilidade e a melhoria contínua da qualidade de serviço, alinhando-se assim com as expectativas de investidores e clientes.</w:t>
      </w:r>
    </w:p>
    <w:p w14:paraId="0638CCA7" w14:textId="77777777" w:rsidR="001820F7" w:rsidRDefault="001820F7" w:rsidP="00874AA4">
      <w:pPr>
        <w:keepNext/>
        <w:numPr>
          <w:ilvl w:val="1"/>
          <w:numId w:val="0"/>
        </w:numPr>
        <w:spacing w:after="0" w:line="240" w:lineRule="auto"/>
        <w:ind w:left="567" w:hanging="567"/>
        <w:jc w:val="both"/>
        <w:outlineLvl w:val="1"/>
        <w:rPr>
          <w:rFonts w:ascii="Calibri" w:eastAsia="Times New Roman" w:hAnsi="Calibri" w:cs="Arial"/>
          <w:b/>
          <w:bCs/>
          <w:iCs/>
          <w:color w:val="002060"/>
          <w:kern w:val="0"/>
          <w:sz w:val="24"/>
          <w:szCs w:val="24"/>
          <w14:ligatures w14:val="none"/>
        </w:rPr>
      </w:pPr>
      <w:bookmarkStart w:id="352" w:name="_Toc161319465"/>
    </w:p>
    <w:p w14:paraId="537A5FB3" w14:textId="0E7803C8" w:rsidR="001820F7" w:rsidRPr="001820F7" w:rsidRDefault="001820F7" w:rsidP="00874AA4">
      <w:pPr>
        <w:keepNext/>
        <w:numPr>
          <w:ilvl w:val="1"/>
          <w:numId w:val="0"/>
        </w:numPr>
        <w:spacing w:after="0" w:line="240" w:lineRule="auto"/>
        <w:ind w:left="567" w:hanging="567"/>
        <w:jc w:val="both"/>
        <w:outlineLvl w:val="1"/>
        <w:rPr>
          <w:rFonts w:ascii="Calibri" w:eastAsia="Times New Roman" w:hAnsi="Calibri" w:cs="Arial"/>
          <w:b/>
          <w:bCs/>
          <w:iCs/>
          <w:color w:val="002060"/>
          <w:kern w:val="0"/>
          <w14:ligatures w14:val="none"/>
        </w:rPr>
      </w:pPr>
      <w:r w:rsidRPr="001820F7">
        <w:rPr>
          <w:rFonts w:ascii="Calibri" w:eastAsia="Times New Roman" w:hAnsi="Calibri" w:cs="Arial"/>
          <w:b/>
          <w:bCs/>
          <w:iCs/>
          <w:color w:val="002060"/>
          <w:kern w:val="0"/>
          <w14:ligatures w14:val="none"/>
        </w:rPr>
        <w:t>7.5 Tecnologia da Informação</w:t>
      </w:r>
      <w:bookmarkEnd w:id="352"/>
    </w:p>
    <w:p w14:paraId="18B63CE8" w14:textId="77777777" w:rsidR="001820F7" w:rsidRPr="001820F7" w:rsidRDefault="001820F7" w:rsidP="001820F7">
      <w:pPr>
        <w:tabs>
          <w:tab w:val="left" w:pos="851"/>
        </w:tabs>
        <w:spacing w:after="0" w:line="240" w:lineRule="auto"/>
        <w:jc w:val="both"/>
        <w:rPr>
          <w:rFonts w:ascii="Calibri" w:eastAsia="MS Mincho" w:hAnsi="Calibri" w:cs="Times New Roman"/>
          <w:color w:val="002060"/>
          <w:kern w:val="0"/>
          <w14:ligatures w14:val="none"/>
        </w:rPr>
      </w:pPr>
      <w:r w:rsidRPr="001820F7">
        <w:rPr>
          <w:rFonts w:ascii="Calibri" w:eastAsia="MS Mincho" w:hAnsi="Calibri" w:cs="Times New Roman"/>
          <w:color w:val="002060"/>
          <w:kern w:val="0"/>
          <w14:ligatures w14:val="none"/>
        </w:rPr>
        <w:t>A empresa realizou uma série de atualizações importantes em suas ferramentas de TI, que são fundamentais para melhorar a operacionalidade e atender às exigências de serviço. Aqui está uma visão detalhada dessas iniciativas:</w:t>
      </w:r>
    </w:p>
    <w:p w14:paraId="224B52D2" w14:textId="77777777" w:rsidR="001820F7" w:rsidRPr="001820F7" w:rsidRDefault="001820F7" w:rsidP="001820F7">
      <w:pPr>
        <w:tabs>
          <w:tab w:val="left" w:pos="851"/>
        </w:tabs>
        <w:spacing w:after="0" w:line="240" w:lineRule="auto"/>
        <w:jc w:val="both"/>
        <w:rPr>
          <w:rFonts w:ascii="Calibri" w:eastAsia="MS Mincho" w:hAnsi="Calibri" w:cs="Times New Roman"/>
          <w:color w:val="002060"/>
          <w:kern w:val="0"/>
          <w14:ligatures w14:val="none"/>
        </w:rPr>
      </w:pPr>
      <w:r w:rsidRPr="001820F7">
        <w:rPr>
          <w:rFonts w:ascii="Calibri" w:eastAsia="MS Mincho" w:hAnsi="Calibri" w:cs="Times New Roman"/>
          <w:b/>
          <w:color w:val="002060"/>
          <w:kern w:val="0"/>
          <w14:ligatures w14:val="none"/>
        </w:rPr>
        <w:t>Portal de Clientes:</w:t>
      </w:r>
      <w:r w:rsidRPr="001820F7">
        <w:rPr>
          <w:rFonts w:ascii="Calibri" w:eastAsia="MS Mincho" w:hAnsi="Calibri" w:cs="Times New Roman"/>
          <w:color w:val="002060"/>
          <w:kern w:val="0"/>
          <w14:ligatures w14:val="none"/>
        </w:rPr>
        <w:t xml:space="preserve"> Desenvolvemos um novo portal para oferecer um acompanhamento mais eficiente do serviço SD-WAN, proporcionando uma experiência aprimorada aos nossos clientes.</w:t>
      </w:r>
    </w:p>
    <w:p w14:paraId="3EB50128" w14:textId="77777777" w:rsidR="001820F7" w:rsidRPr="001820F7" w:rsidRDefault="001820F7" w:rsidP="001820F7">
      <w:pPr>
        <w:tabs>
          <w:tab w:val="left" w:pos="851"/>
        </w:tabs>
        <w:spacing w:after="0" w:line="240" w:lineRule="auto"/>
        <w:jc w:val="both"/>
        <w:rPr>
          <w:rFonts w:ascii="Calibri" w:eastAsia="MS Mincho" w:hAnsi="Calibri" w:cs="Times New Roman"/>
          <w:color w:val="002060"/>
          <w:kern w:val="0"/>
          <w14:ligatures w14:val="none"/>
        </w:rPr>
      </w:pPr>
      <w:r w:rsidRPr="001820F7">
        <w:rPr>
          <w:rFonts w:ascii="Calibri" w:eastAsia="MS Mincho" w:hAnsi="Calibri" w:cs="Times New Roman"/>
          <w:b/>
          <w:color w:val="002060"/>
          <w:kern w:val="0"/>
          <w14:ligatures w14:val="none"/>
        </w:rPr>
        <w:t>SAP FIORI:</w:t>
      </w:r>
      <w:r w:rsidRPr="001820F7">
        <w:rPr>
          <w:rFonts w:ascii="Calibri" w:eastAsia="MS Mincho" w:hAnsi="Calibri" w:cs="Times New Roman"/>
          <w:color w:val="002060"/>
          <w:kern w:val="0"/>
          <w14:ligatures w14:val="none"/>
        </w:rPr>
        <w:t xml:space="preserve"> Esta ferramenta de gestão de pessoal foi atualizada para permitir que gestores realizem aprovações diretamente de seus dispositivos móveis, aumentando assim a agilidade e a flexibilidade nas operações de gestão.</w:t>
      </w:r>
    </w:p>
    <w:p w14:paraId="40FA1E38" w14:textId="77777777" w:rsidR="001820F7" w:rsidRPr="001820F7" w:rsidRDefault="001820F7" w:rsidP="001820F7">
      <w:pPr>
        <w:tabs>
          <w:tab w:val="left" w:pos="851"/>
        </w:tabs>
        <w:spacing w:after="0" w:line="240" w:lineRule="auto"/>
        <w:jc w:val="both"/>
        <w:rPr>
          <w:rFonts w:ascii="Calibri" w:eastAsia="MS Mincho" w:hAnsi="Calibri" w:cs="Times New Roman"/>
          <w:color w:val="002060"/>
          <w:kern w:val="0"/>
          <w14:ligatures w14:val="none"/>
        </w:rPr>
      </w:pPr>
      <w:r w:rsidRPr="001820F7">
        <w:rPr>
          <w:rFonts w:ascii="Calibri" w:eastAsia="MS Mincho" w:hAnsi="Calibri" w:cs="Times New Roman"/>
          <w:b/>
          <w:color w:val="002060"/>
          <w:kern w:val="0"/>
          <w14:ligatures w14:val="none"/>
        </w:rPr>
        <w:t>SAD (Sistema de Avaliação de Desempenho):</w:t>
      </w:r>
      <w:r w:rsidRPr="001820F7">
        <w:rPr>
          <w:rFonts w:ascii="Calibri" w:eastAsia="MS Mincho" w:hAnsi="Calibri" w:cs="Times New Roman"/>
          <w:color w:val="002060"/>
          <w:kern w:val="0"/>
          <w14:ligatures w14:val="none"/>
        </w:rPr>
        <w:t xml:space="preserve"> Modificações foram implementadas para facilitar o processo de avaliação de desempenho dos colaboradores em 2023, visando o aprimoramento contínuo da equipe.</w:t>
      </w:r>
    </w:p>
    <w:p w14:paraId="56661725" w14:textId="77777777" w:rsidR="001820F7" w:rsidRPr="001820F7" w:rsidRDefault="001820F7" w:rsidP="001820F7">
      <w:pPr>
        <w:tabs>
          <w:tab w:val="left" w:pos="851"/>
        </w:tabs>
        <w:spacing w:after="0" w:line="240" w:lineRule="auto"/>
        <w:jc w:val="both"/>
        <w:rPr>
          <w:rFonts w:ascii="Calibri" w:eastAsia="MS Mincho" w:hAnsi="Calibri" w:cs="Times New Roman"/>
          <w:color w:val="002060"/>
          <w:kern w:val="0"/>
          <w14:ligatures w14:val="none"/>
        </w:rPr>
      </w:pPr>
      <w:r w:rsidRPr="001820F7">
        <w:rPr>
          <w:rFonts w:ascii="Calibri" w:eastAsia="MS Mincho" w:hAnsi="Calibri" w:cs="Times New Roman"/>
          <w:b/>
          <w:color w:val="002060"/>
          <w:kern w:val="0"/>
          <w14:ligatures w14:val="none"/>
        </w:rPr>
        <w:t>SIGA-DOC (Sistema de Gestão Administrativa de Documentos)</w:t>
      </w:r>
      <w:r w:rsidRPr="001820F7">
        <w:rPr>
          <w:rFonts w:ascii="Calibri" w:eastAsia="MS Mincho" w:hAnsi="Calibri" w:cs="Times New Roman"/>
          <w:color w:val="002060"/>
          <w:kern w:val="0"/>
          <w14:ligatures w14:val="none"/>
        </w:rPr>
        <w:t>: Uma versão atualizada foi disponibilizada, trazendo melhorias operacionais significativas.</w:t>
      </w:r>
    </w:p>
    <w:p w14:paraId="2592C740" w14:textId="77777777" w:rsidR="001820F7" w:rsidRPr="001820F7" w:rsidRDefault="001820F7" w:rsidP="001820F7">
      <w:pPr>
        <w:tabs>
          <w:tab w:val="left" w:pos="851"/>
        </w:tabs>
        <w:spacing w:after="0" w:line="240" w:lineRule="auto"/>
        <w:jc w:val="both"/>
        <w:rPr>
          <w:rFonts w:ascii="Calibri" w:eastAsia="MS Mincho" w:hAnsi="Calibri" w:cs="Times New Roman"/>
          <w:color w:val="002060"/>
          <w:kern w:val="0"/>
          <w14:ligatures w14:val="none"/>
        </w:rPr>
      </w:pPr>
      <w:r w:rsidRPr="001820F7">
        <w:rPr>
          <w:rFonts w:ascii="Calibri" w:eastAsia="MS Mincho" w:hAnsi="Calibri" w:cs="Times New Roman"/>
          <w:b/>
          <w:color w:val="002060"/>
          <w:kern w:val="0"/>
          <w14:ligatures w14:val="none"/>
        </w:rPr>
        <w:t>Ferramenta de Inventário de Planta de Telecomunicações:</w:t>
      </w:r>
      <w:r w:rsidRPr="001820F7">
        <w:rPr>
          <w:rFonts w:ascii="Calibri" w:eastAsia="MS Mincho" w:hAnsi="Calibri" w:cs="Times New Roman"/>
          <w:color w:val="002060"/>
          <w:kern w:val="0"/>
          <w14:ligatures w14:val="none"/>
        </w:rPr>
        <w:t xml:space="preserve"> Uma nova versão desta ferramenta foi disponibilizada, agora compatível com dispositivos móveis, para facilitar o acesso e a gestão da infraestrutura de telecomunicações.</w:t>
      </w:r>
    </w:p>
    <w:p w14:paraId="0AF2AFCE" w14:textId="77777777" w:rsidR="001820F7" w:rsidRPr="001820F7" w:rsidRDefault="001820F7" w:rsidP="001820F7">
      <w:pPr>
        <w:tabs>
          <w:tab w:val="left" w:pos="851"/>
        </w:tabs>
        <w:spacing w:after="0" w:line="240" w:lineRule="auto"/>
        <w:jc w:val="both"/>
        <w:rPr>
          <w:rFonts w:ascii="Calibri" w:eastAsia="MS Mincho" w:hAnsi="Calibri" w:cs="Times New Roman"/>
          <w:color w:val="002060"/>
          <w:kern w:val="0"/>
          <w14:ligatures w14:val="none"/>
        </w:rPr>
      </w:pPr>
      <w:r w:rsidRPr="001820F7">
        <w:rPr>
          <w:rFonts w:ascii="Calibri" w:eastAsia="MS Mincho" w:hAnsi="Calibri" w:cs="Times New Roman"/>
          <w:b/>
          <w:color w:val="002060"/>
          <w:kern w:val="0"/>
          <w14:ligatures w14:val="none"/>
        </w:rPr>
        <w:t>CRM (Gestão de Relacionamento com o Cliente)</w:t>
      </w:r>
      <w:r w:rsidRPr="001820F7">
        <w:rPr>
          <w:rFonts w:ascii="Calibri" w:eastAsia="MS Mincho" w:hAnsi="Calibri" w:cs="Times New Roman"/>
          <w:color w:val="002060"/>
          <w:kern w:val="0"/>
          <w14:ligatures w14:val="none"/>
        </w:rPr>
        <w:t xml:space="preserve">: Novos produtos, como SD-WAN, </w:t>
      </w:r>
      <w:proofErr w:type="spellStart"/>
      <w:r w:rsidRPr="001820F7">
        <w:rPr>
          <w:rFonts w:ascii="Calibri" w:eastAsia="MS Mincho" w:hAnsi="Calibri" w:cs="Times New Roman"/>
          <w:color w:val="002060"/>
          <w:kern w:val="0"/>
          <w14:ligatures w14:val="none"/>
        </w:rPr>
        <w:t>Wifi</w:t>
      </w:r>
      <w:proofErr w:type="spellEnd"/>
      <w:r w:rsidRPr="001820F7">
        <w:rPr>
          <w:rFonts w:ascii="Calibri" w:eastAsia="MS Mincho" w:hAnsi="Calibri" w:cs="Times New Roman"/>
          <w:color w:val="002060"/>
          <w:kern w:val="0"/>
          <w14:ligatures w14:val="none"/>
        </w:rPr>
        <w:t xml:space="preserve"> Telebras e IP Light, foram adicionados ao nosso portfólio, enriquecendo as opções disponíveis para nossos clientes.</w:t>
      </w:r>
    </w:p>
    <w:p w14:paraId="1B4F253D" w14:textId="77777777" w:rsidR="001820F7" w:rsidRPr="001820F7" w:rsidRDefault="001820F7" w:rsidP="001820F7">
      <w:pPr>
        <w:tabs>
          <w:tab w:val="left" w:pos="851"/>
        </w:tabs>
        <w:spacing w:after="0" w:line="240" w:lineRule="auto"/>
        <w:jc w:val="both"/>
        <w:rPr>
          <w:rFonts w:ascii="Calibri" w:eastAsia="MS Mincho" w:hAnsi="Calibri" w:cs="Times New Roman"/>
          <w:color w:val="002060"/>
          <w:kern w:val="0"/>
          <w14:ligatures w14:val="none"/>
        </w:rPr>
      </w:pPr>
      <w:r w:rsidRPr="001820F7">
        <w:rPr>
          <w:rFonts w:ascii="Calibri" w:eastAsia="MS Mincho" w:hAnsi="Calibri" w:cs="Times New Roman"/>
          <w:color w:val="002060"/>
          <w:kern w:val="0"/>
          <w14:ligatures w14:val="none"/>
        </w:rPr>
        <w:t>Além disso, uma solução de backup foi implementada para os Centros de Operações Espaciais (COPE-P e COPE-S), reforçando a segurança dos dados da Telebras. Uma nova solução de armazenamento (</w:t>
      </w:r>
      <w:proofErr w:type="spellStart"/>
      <w:r w:rsidRPr="001820F7">
        <w:rPr>
          <w:rFonts w:ascii="Calibri" w:eastAsia="MS Mincho" w:hAnsi="Calibri" w:cs="Times New Roman"/>
          <w:color w:val="002060"/>
          <w:kern w:val="0"/>
          <w14:ligatures w14:val="none"/>
        </w:rPr>
        <w:t>Storage</w:t>
      </w:r>
      <w:proofErr w:type="spellEnd"/>
      <w:r w:rsidRPr="001820F7">
        <w:rPr>
          <w:rFonts w:ascii="Calibri" w:eastAsia="MS Mincho" w:hAnsi="Calibri" w:cs="Times New Roman"/>
          <w:color w:val="002060"/>
          <w:kern w:val="0"/>
          <w14:ligatures w14:val="none"/>
        </w:rPr>
        <w:t xml:space="preserve">) também foi introduzida, além da migração de todos os serviços produtivos para ambientes mais eficientes. Essa atualização na infraestrutura de </w:t>
      </w:r>
      <w:proofErr w:type="spellStart"/>
      <w:r w:rsidRPr="001820F7">
        <w:rPr>
          <w:rFonts w:ascii="Calibri" w:eastAsia="MS Mincho" w:hAnsi="Calibri" w:cs="Times New Roman"/>
          <w:color w:val="002060"/>
          <w:kern w:val="0"/>
          <w14:ligatures w14:val="none"/>
        </w:rPr>
        <w:t>storage</w:t>
      </w:r>
      <w:proofErr w:type="spellEnd"/>
      <w:r w:rsidRPr="001820F7">
        <w:rPr>
          <w:rFonts w:ascii="Calibri" w:eastAsia="MS Mincho" w:hAnsi="Calibri" w:cs="Times New Roman"/>
          <w:color w:val="002060"/>
          <w:kern w:val="0"/>
          <w14:ligatures w14:val="none"/>
        </w:rPr>
        <w:t xml:space="preserve"> é parte do nosso compromisso contínuo com a segurança e eficiência dos dados, embora não especificamente indicada como de última geração, enfatiza nosso foco em melhorar a resiliência e a capacidade operacional.</w:t>
      </w:r>
    </w:p>
    <w:p w14:paraId="2D3A2FD3" w14:textId="10D18725" w:rsidR="00622C25" w:rsidRPr="00874AA4" w:rsidRDefault="001820F7" w:rsidP="00622C25">
      <w:pPr>
        <w:tabs>
          <w:tab w:val="left" w:pos="851"/>
        </w:tabs>
        <w:spacing w:after="0" w:line="240" w:lineRule="auto"/>
        <w:jc w:val="both"/>
        <w:rPr>
          <w:rFonts w:ascii="Calibri" w:eastAsia="MS Mincho" w:hAnsi="Calibri" w:cs="Times New Roman"/>
          <w:color w:val="002060"/>
          <w:kern w:val="0"/>
          <w14:ligatures w14:val="none"/>
        </w:rPr>
      </w:pPr>
      <w:r w:rsidRPr="001820F7">
        <w:rPr>
          <w:rFonts w:ascii="Calibri" w:eastAsia="MS Mincho" w:hAnsi="Calibri" w:cs="Times New Roman"/>
          <w:color w:val="002060"/>
          <w:kern w:val="0"/>
          <w14:ligatures w14:val="none"/>
        </w:rPr>
        <w:t>Para assegurar a execução eficiente dos trabalhos do dia a dia, os equipamentos de microinformática dos colaboradores foram atualizados, mantendo a segurança necessária para as operações da Telebras.</w:t>
      </w:r>
      <w:bookmarkStart w:id="353" w:name="_Toc161319466"/>
    </w:p>
    <w:p w14:paraId="3E72D7AC" w14:textId="3FCD4973" w:rsidR="001820F7" w:rsidRDefault="00622C25" w:rsidP="00622C25">
      <w:pPr>
        <w:tabs>
          <w:tab w:val="left" w:pos="851"/>
        </w:tabs>
        <w:spacing w:after="0" w:line="240" w:lineRule="auto"/>
        <w:jc w:val="both"/>
        <w:rPr>
          <w:rFonts w:ascii="Calibri" w:eastAsia="Times New Roman" w:hAnsi="Calibri" w:cs="Arial"/>
          <w:b/>
          <w:bCs/>
          <w:iCs/>
          <w:color w:val="002060"/>
          <w:kern w:val="0"/>
          <w:sz w:val="24"/>
          <w:szCs w:val="24"/>
          <w14:ligatures w14:val="none"/>
        </w:rPr>
      </w:pPr>
      <w:r>
        <w:rPr>
          <w:rFonts w:ascii="Calibri" w:eastAsia="Times New Roman" w:hAnsi="Calibri" w:cs="Arial"/>
          <w:b/>
          <w:bCs/>
          <w:iCs/>
          <w:color w:val="002060"/>
          <w:kern w:val="0"/>
          <w:sz w:val="24"/>
          <w:szCs w:val="24"/>
          <w14:ligatures w14:val="none"/>
        </w:rPr>
        <w:t xml:space="preserve">7.6 </w:t>
      </w:r>
      <w:r w:rsidR="001820F7" w:rsidRPr="001820F7">
        <w:rPr>
          <w:rFonts w:ascii="Calibri" w:eastAsia="Times New Roman" w:hAnsi="Calibri" w:cs="Arial"/>
          <w:b/>
          <w:bCs/>
          <w:iCs/>
          <w:color w:val="002060"/>
          <w:kern w:val="0"/>
          <w:sz w:val="24"/>
          <w:szCs w:val="24"/>
          <w14:ligatures w14:val="none"/>
        </w:rPr>
        <w:t>Segurança da Informação e Comunicações</w:t>
      </w:r>
      <w:bookmarkEnd w:id="353"/>
    </w:p>
    <w:p w14:paraId="5FF8C614" w14:textId="77777777" w:rsidR="00622C25" w:rsidRPr="00622C25" w:rsidRDefault="00622C25" w:rsidP="00622C25">
      <w:pPr>
        <w:tabs>
          <w:tab w:val="left" w:pos="851"/>
        </w:tabs>
        <w:spacing w:after="0" w:line="240" w:lineRule="auto"/>
        <w:jc w:val="both"/>
        <w:rPr>
          <w:rFonts w:ascii="Calibri" w:eastAsia="MS Mincho" w:hAnsi="Calibri" w:cs="Times New Roman"/>
          <w:b/>
          <w:color w:val="002060"/>
          <w:kern w:val="0"/>
          <w14:ligatures w14:val="none"/>
        </w:rPr>
      </w:pPr>
      <w:bookmarkStart w:id="354" w:name="_Hlk162274062"/>
      <w:r w:rsidRPr="00622C25">
        <w:rPr>
          <w:rFonts w:ascii="Calibri" w:eastAsia="MS Mincho" w:hAnsi="Calibri" w:cs="Times New Roman"/>
          <w:b/>
          <w:color w:val="002060"/>
          <w:kern w:val="0"/>
          <w14:ligatures w14:val="none"/>
        </w:rPr>
        <w:t>Conscientização e Treinamento em Segurança Cibernética</w:t>
      </w:r>
    </w:p>
    <w:p w14:paraId="0B392993" w14:textId="1687A70A" w:rsidR="00622C25" w:rsidRPr="00622C25" w:rsidRDefault="00622C25" w:rsidP="00622C25">
      <w:pPr>
        <w:tabs>
          <w:tab w:val="left" w:pos="851"/>
        </w:tabs>
        <w:spacing w:after="0" w:line="240" w:lineRule="auto"/>
        <w:jc w:val="both"/>
        <w:rPr>
          <w:rFonts w:ascii="Calibri" w:eastAsia="MS Mincho" w:hAnsi="Calibri" w:cs="Times New Roman"/>
          <w:color w:val="002060"/>
          <w:kern w:val="0"/>
          <w14:ligatures w14:val="none"/>
        </w:rPr>
      </w:pPr>
      <w:r w:rsidRPr="00622C25">
        <w:rPr>
          <w:rFonts w:ascii="Calibri" w:eastAsia="MS Mincho" w:hAnsi="Calibri" w:cs="Times New Roman"/>
          <w:color w:val="002060"/>
          <w:kern w:val="0"/>
          <w14:ligatures w14:val="none"/>
        </w:rPr>
        <w:t xml:space="preserve">A Telebras implementou um programa de treinamento em segurança cibernética destinado a seus colaboradores, visando equipá-los com o conhecimento necessário para identificar e proteger-se contra ameaças virtuais. Este curso, desenvolvido internamente, abrange detalhes fundamentais sobre a rede nacional de telecomunicações da empresa, seu posicionamento estratégico em relação à segurança na internet, e a relevância da tecnologia SD-WAN nos serviços de segurança prestados pela Telebras. A iniciativa sublinha o compromisso da empresa em manter um ambiente digital seguro tanto para seus funcionários quanto para a infraestrutura crítica que </w:t>
      </w:r>
      <w:proofErr w:type="spellStart"/>
      <w:proofErr w:type="gramStart"/>
      <w:r w:rsidRPr="00622C25">
        <w:rPr>
          <w:rFonts w:ascii="Calibri" w:eastAsia="MS Mincho" w:hAnsi="Calibri" w:cs="Times New Roman"/>
          <w:color w:val="002060"/>
          <w:kern w:val="0"/>
          <w14:ligatures w14:val="none"/>
        </w:rPr>
        <w:t>opera.</w:t>
      </w:r>
      <w:r w:rsidRPr="00622C25">
        <w:rPr>
          <w:rFonts w:ascii="Calibri" w:eastAsia="MS Mincho" w:hAnsi="Calibri" w:cs="Times New Roman"/>
          <w:b/>
          <w:color w:val="002060"/>
          <w:kern w:val="0"/>
          <w14:ligatures w14:val="none"/>
        </w:rPr>
        <w:t>Participação</w:t>
      </w:r>
      <w:proofErr w:type="spellEnd"/>
      <w:proofErr w:type="gramEnd"/>
      <w:r w:rsidRPr="00622C25">
        <w:rPr>
          <w:rFonts w:ascii="Calibri" w:eastAsia="MS Mincho" w:hAnsi="Calibri" w:cs="Times New Roman"/>
          <w:b/>
          <w:color w:val="002060"/>
          <w:kern w:val="0"/>
          <w14:ligatures w14:val="none"/>
        </w:rPr>
        <w:t xml:space="preserve"> no Exercício Guardião Cibernético (EGC) 5.0</w:t>
      </w:r>
    </w:p>
    <w:p w14:paraId="2AFCABF1" w14:textId="77777777" w:rsidR="00622C25" w:rsidRPr="00622C25" w:rsidRDefault="00622C25" w:rsidP="00622C25">
      <w:pPr>
        <w:tabs>
          <w:tab w:val="left" w:pos="851"/>
        </w:tabs>
        <w:spacing w:after="0" w:line="240" w:lineRule="auto"/>
        <w:jc w:val="both"/>
        <w:rPr>
          <w:rFonts w:ascii="Calibri" w:eastAsia="Times New Roman" w:hAnsi="Calibri" w:cs="Times New Roman"/>
          <w:color w:val="002060"/>
          <w:kern w:val="0"/>
          <w:sz w:val="24"/>
          <w:szCs w:val="24"/>
          <w:highlight w:val="yellow"/>
          <w14:ligatures w14:val="none"/>
        </w:rPr>
      </w:pPr>
      <w:r w:rsidRPr="00622C25">
        <w:rPr>
          <w:rFonts w:ascii="Calibri" w:eastAsia="MS Mincho" w:hAnsi="Calibri" w:cs="Times New Roman"/>
          <w:color w:val="002060"/>
          <w:kern w:val="0"/>
          <w14:ligatures w14:val="none"/>
        </w:rPr>
        <w:lastRenderedPageBreak/>
        <w:t>Além disso, a Telebras participou do Exercício Guardião Cibernético (EGC) 5.0, um evento significativo de defesa cibernética no Hemisfério Sul. Organizado pelo Comando de Defesa Cibernética (</w:t>
      </w:r>
      <w:proofErr w:type="spellStart"/>
      <w:r w:rsidRPr="00622C25">
        <w:rPr>
          <w:rFonts w:ascii="Calibri" w:eastAsia="MS Mincho" w:hAnsi="Calibri" w:cs="Times New Roman"/>
          <w:color w:val="002060"/>
          <w:kern w:val="0"/>
          <w14:ligatures w14:val="none"/>
        </w:rPr>
        <w:t>ComDCiber</w:t>
      </w:r>
      <w:proofErr w:type="spellEnd"/>
      <w:r w:rsidRPr="00622C25">
        <w:rPr>
          <w:rFonts w:ascii="Calibri" w:eastAsia="MS Mincho" w:hAnsi="Calibri" w:cs="Times New Roman"/>
          <w:color w:val="002060"/>
          <w:kern w:val="0"/>
          <w14:ligatures w14:val="none"/>
        </w:rPr>
        <w:t>) e realizado na Escola Superior de Defesa (ESD) em Brasília, este evento representou uma oportunidade para a Telebras aprimorar suas estratégias de defesa cibernética, trocar conhecimentos com outras entidades e fortalecer suas capacidades de resposta a incidentes cibernéticos.</w:t>
      </w:r>
    </w:p>
    <w:bookmarkEnd w:id="354"/>
    <w:p w14:paraId="6703E959" w14:textId="77777777" w:rsidR="00622C25" w:rsidRDefault="00622C25" w:rsidP="00622C25">
      <w:pPr>
        <w:tabs>
          <w:tab w:val="left" w:pos="851"/>
        </w:tabs>
        <w:spacing w:after="0" w:line="240" w:lineRule="auto"/>
        <w:jc w:val="both"/>
        <w:rPr>
          <w:rFonts w:ascii="Calibri" w:eastAsia="Times New Roman" w:hAnsi="Calibri" w:cs="Arial"/>
          <w:b/>
          <w:bCs/>
          <w:iCs/>
          <w:color w:val="002060"/>
          <w:kern w:val="0"/>
          <w:sz w:val="24"/>
          <w:szCs w:val="24"/>
          <w14:ligatures w14:val="none"/>
        </w:rPr>
      </w:pPr>
    </w:p>
    <w:p w14:paraId="60214B86" w14:textId="12B8EDF7" w:rsidR="00622C25" w:rsidRDefault="00622C25" w:rsidP="00622C25">
      <w:pPr>
        <w:tabs>
          <w:tab w:val="left" w:pos="851"/>
        </w:tabs>
        <w:spacing w:after="0" w:line="240" w:lineRule="auto"/>
        <w:jc w:val="both"/>
        <w:rPr>
          <w:rFonts w:ascii="Calibri" w:eastAsia="Times New Roman" w:hAnsi="Calibri" w:cs="Arial"/>
          <w:b/>
          <w:bCs/>
          <w:iCs/>
          <w:color w:val="002060"/>
          <w:kern w:val="0"/>
          <w:sz w:val="24"/>
          <w:szCs w:val="24"/>
          <w14:ligatures w14:val="none"/>
        </w:rPr>
      </w:pPr>
      <w:r>
        <w:rPr>
          <w:rFonts w:ascii="Calibri" w:eastAsia="Times New Roman" w:hAnsi="Calibri" w:cs="Arial"/>
          <w:b/>
          <w:bCs/>
          <w:iCs/>
          <w:color w:val="002060"/>
          <w:kern w:val="0"/>
          <w:sz w:val="24"/>
          <w:szCs w:val="24"/>
          <w14:ligatures w14:val="none"/>
        </w:rPr>
        <w:t xml:space="preserve">8. Gestão de Pessoas </w:t>
      </w:r>
    </w:p>
    <w:p w14:paraId="7F46900B" w14:textId="77777777" w:rsidR="00622C25" w:rsidRDefault="00622C25" w:rsidP="00622C25">
      <w:pPr>
        <w:tabs>
          <w:tab w:val="left" w:pos="851"/>
        </w:tabs>
        <w:spacing w:after="0" w:line="240" w:lineRule="auto"/>
        <w:jc w:val="both"/>
        <w:rPr>
          <w:rFonts w:ascii="Calibri" w:eastAsia="Times New Roman" w:hAnsi="Calibri" w:cs="Arial"/>
          <w:b/>
          <w:bCs/>
          <w:iCs/>
          <w:color w:val="002060"/>
          <w:kern w:val="0"/>
          <w:sz w:val="24"/>
          <w:szCs w:val="24"/>
          <w14:ligatures w14:val="none"/>
        </w:rPr>
      </w:pPr>
      <w:r>
        <w:rPr>
          <w:rFonts w:ascii="Calibri" w:eastAsia="Times New Roman" w:hAnsi="Calibri" w:cs="Arial"/>
          <w:b/>
          <w:bCs/>
          <w:iCs/>
          <w:color w:val="002060"/>
          <w:kern w:val="0"/>
          <w:sz w:val="24"/>
          <w:szCs w:val="24"/>
          <w14:ligatures w14:val="none"/>
        </w:rPr>
        <w:t xml:space="preserve">8.1. </w:t>
      </w:r>
      <w:bookmarkStart w:id="355" w:name="_Toc161319468"/>
      <w:r w:rsidRPr="00622C25">
        <w:rPr>
          <w:rFonts w:ascii="Calibri" w:eastAsia="Times New Roman" w:hAnsi="Calibri" w:cs="Arial"/>
          <w:b/>
          <w:bCs/>
          <w:iCs/>
          <w:color w:val="002060"/>
          <w:kern w:val="0"/>
          <w:sz w:val="24"/>
          <w:szCs w:val="24"/>
          <w14:ligatures w14:val="none"/>
        </w:rPr>
        <w:t>Planos de Previdência e Seguridade Social</w:t>
      </w:r>
      <w:bookmarkEnd w:id="355"/>
    </w:p>
    <w:p w14:paraId="3894F20B" w14:textId="77777777" w:rsidR="00622C25" w:rsidRDefault="00622C25" w:rsidP="00622C25">
      <w:pPr>
        <w:tabs>
          <w:tab w:val="left" w:pos="851"/>
        </w:tabs>
        <w:spacing w:after="0" w:line="240" w:lineRule="auto"/>
        <w:jc w:val="both"/>
        <w:rPr>
          <w:rFonts w:ascii="Calibri" w:eastAsia="Times New Roman" w:hAnsi="Calibri" w:cs="Arial"/>
          <w:b/>
          <w:bCs/>
          <w:iCs/>
          <w:color w:val="002060"/>
          <w:kern w:val="0"/>
          <w:sz w:val="24"/>
          <w:szCs w:val="24"/>
          <w14:ligatures w14:val="none"/>
        </w:rPr>
      </w:pPr>
      <w:r w:rsidRPr="00622C25">
        <w:rPr>
          <w:rFonts w:ascii="Calibri" w:eastAsia="Times New Roman" w:hAnsi="Calibri" w:cs="Arial"/>
          <w:color w:val="002060"/>
          <w:kern w:val="0"/>
          <w:szCs w:val="24"/>
          <w14:ligatures w14:val="none"/>
        </w:rPr>
        <w:t>A Telebras patrocina três planos de previdência complementar geridos pela Fundação Sistel de Seguridade Social, demonstrando seu compromisso com o bem-estar dos colaboradores atuais e aposentados:</w:t>
      </w:r>
    </w:p>
    <w:p w14:paraId="68ADD01D" w14:textId="77777777" w:rsidR="00622C25" w:rsidRDefault="00622C25" w:rsidP="00622C25">
      <w:pPr>
        <w:tabs>
          <w:tab w:val="left" w:pos="851"/>
        </w:tabs>
        <w:spacing w:after="0" w:line="240" w:lineRule="auto"/>
        <w:jc w:val="both"/>
        <w:rPr>
          <w:rFonts w:ascii="Calibri" w:eastAsia="Times New Roman" w:hAnsi="Calibri" w:cs="Arial"/>
          <w:b/>
          <w:bCs/>
          <w:iCs/>
          <w:color w:val="002060"/>
          <w:kern w:val="0"/>
          <w:sz w:val="24"/>
          <w:szCs w:val="24"/>
          <w14:ligatures w14:val="none"/>
        </w:rPr>
      </w:pPr>
      <w:r w:rsidRPr="00622C25">
        <w:rPr>
          <w:rFonts w:ascii="Calibri" w:eastAsia="Times New Roman" w:hAnsi="Calibri" w:cs="Arial"/>
          <w:b/>
          <w:color w:val="002060"/>
          <w:kern w:val="0"/>
          <w:szCs w:val="24"/>
          <w14:ligatures w14:val="none"/>
        </w:rPr>
        <w:t>Plano de Benefícios da Sistel - PBS-A</w:t>
      </w:r>
      <w:r w:rsidRPr="00622C25">
        <w:rPr>
          <w:rFonts w:ascii="Calibri" w:eastAsia="Times New Roman" w:hAnsi="Calibri" w:cs="Arial"/>
          <w:color w:val="002060"/>
          <w:kern w:val="0"/>
          <w:szCs w:val="24"/>
          <w14:ligatures w14:val="none"/>
        </w:rPr>
        <w:t>: Este plano de benefício definido atende ex-funcionários do Sistema Telebras, aposentados até janeiro de 2000. Oferece aposentadoria, pensão, auxílios diversos e pecúlios por morte.</w:t>
      </w:r>
    </w:p>
    <w:p w14:paraId="7D7C9261" w14:textId="77777777" w:rsidR="00622C25" w:rsidRDefault="00622C25" w:rsidP="00622C25">
      <w:pPr>
        <w:tabs>
          <w:tab w:val="left" w:pos="851"/>
        </w:tabs>
        <w:spacing w:after="0" w:line="240" w:lineRule="auto"/>
        <w:jc w:val="both"/>
        <w:rPr>
          <w:rFonts w:ascii="Calibri" w:eastAsia="Times New Roman" w:hAnsi="Calibri" w:cs="Arial"/>
          <w:b/>
          <w:bCs/>
          <w:iCs/>
          <w:color w:val="002060"/>
          <w:kern w:val="0"/>
          <w:sz w:val="24"/>
          <w:szCs w:val="24"/>
          <w14:ligatures w14:val="none"/>
        </w:rPr>
      </w:pPr>
      <w:r w:rsidRPr="00622C25">
        <w:rPr>
          <w:rFonts w:ascii="Calibri" w:eastAsia="Times New Roman" w:hAnsi="Calibri" w:cs="Arial"/>
          <w:b/>
          <w:color w:val="002060"/>
          <w:kern w:val="0"/>
          <w:szCs w:val="24"/>
          <w14:ligatures w14:val="none"/>
        </w:rPr>
        <w:t>Plano PBS-Telebras</w:t>
      </w:r>
      <w:r w:rsidRPr="00622C25">
        <w:rPr>
          <w:rFonts w:ascii="Calibri" w:eastAsia="Times New Roman" w:hAnsi="Calibri" w:cs="Arial"/>
          <w:color w:val="002060"/>
          <w:kern w:val="0"/>
          <w:szCs w:val="24"/>
          <w14:ligatures w14:val="none"/>
        </w:rPr>
        <w:t>: Também um plano de benefício definido, patrocinado exclusivamente pela Telebras e em fase de extinção. Garante aposentadoria, auxílio-doença, auxílio-reclusão e pecúlios por morte.</w:t>
      </w:r>
    </w:p>
    <w:p w14:paraId="5268689E" w14:textId="77777777" w:rsidR="00622C25" w:rsidRDefault="00622C25" w:rsidP="00622C25">
      <w:pPr>
        <w:tabs>
          <w:tab w:val="left" w:pos="851"/>
        </w:tabs>
        <w:spacing w:after="0" w:line="240" w:lineRule="auto"/>
        <w:jc w:val="both"/>
        <w:rPr>
          <w:rFonts w:ascii="Calibri" w:eastAsia="Times New Roman" w:hAnsi="Calibri" w:cs="Arial"/>
          <w:b/>
          <w:bCs/>
          <w:iCs/>
          <w:color w:val="002060"/>
          <w:kern w:val="0"/>
          <w:sz w:val="24"/>
          <w:szCs w:val="24"/>
          <w14:ligatures w14:val="none"/>
        </w:rPr>
      </w:pPr>
      <w:r w:rsidRPr="00622C25">
        <w:rPr>
          <w:rFonts w:ascii="Calibri" w:eastAsia="Times New Roman" w:hAnsi="Calibri" w:cs="Arial"/>
          <w:b/>
          <w:color w:val="002060"/>
          <w:kern w:val="0"/>
          <w:szCs w:val="24"/>
          <w14:ligatures w14:val="none"/>
        </w:rPr>
        <w:t xml:space="preserve">Plano </w:t>
      </w:r>
      <w:proofErr w:type="spellStart"/>
      <w:r w:rsidRPr="00622C25">
        <w:rPr>
          <w:rFonts w:ascii="Calibri" w:eastAsia="Times New Roman" w:hAnsi="Calibri" w:cs="Arial"/>
          <w:b/>
          <w:color w:val="002060"/>
          <w:kern w:val="0"/>
          <w:szCs w:val="24"/>
          <w14:ligatures w14:val="none"/>
        </w:rPr>
        <w:t>Telebrasprev</w:t>
      </w:r>
      <w:proofErr w:type="spellEnd"/>
      <w:r w:rsidRPr="00622C25">
        <w:rPr>
          <w:rFonts w:ascii="Calibri" w:eastAsia="Times New Roman" w:hAnsi="Calibri" w:cs="Arial"/>
          <w:color w:val="002060"/>
          <w:kern w:val="0"/>
          <w:szCs w:val="24"/>
          <w14:ligatures w14:val="none"/>
        </w:rPr>
        <w:t>: Estruturado na modalidade de contribuição variável, está fechado a novos participantes e oferece benefícios programados e de risco, incluindo aposentadoria (ordinária e por invalidez), pensão por morte e auxílio-doença.</w:t>
      </w:r>
    </w:p>
    <w:p w14:paraId="0DB8D641" w14:textId="7896F600" w:rsidR="00622C25" w:rsidRPr="00622C25" w:rsidRDefault="00622C25" w:rsidP="00622C25">
      <w:pPr>
        <w:tabs>
          <w:tab w:val="left" w:pos="851"/>
        </w:tabs>
        <w:spacing w:after="0" w:line="240" w:lineRule="auto"/>
        <w:jc w:val="both"/>
        <w:rPr>
          <w:rFonts w:ascii="Calibri" w:eastAsia="Times New Roman" w:hAnsi="Calibri" w:cs="Arial"/>
          <w:b/>
          <w:bCs/>
          <w:iCs/>
          <w:color w:val="002060"/>
          <w:kern w:val="0"/>
          <w:sz w:val="24"/>
          <w:szCs w:val="24"/>
          <w14:ligatures w14:val="none"/>
        </w:rPr>
      </w:pPr>
      <w:r w:rsidRPr="00622C25">
        <w:rPr>
          <w:rFonts w:ascii="Calibri" w:eastAsia="Times New Roman" w:hAnsi="Calibri" w:cs="Arial"/>
          <w:color w:val="002060"/>
          <w:kern w:val="0"/>
          <w:szCs w:val="24"/>
          <w14:ligatures w14:val="none"/>
        </w:rPr>
        <w:t>Esses planos refletem o esforço contínuo da Telebras em assegurar segurança financeira e tranquilidade para seus colaboradores e suas famílias, reafirmando seu papel como empregador responsável e comprometido com a sustentabilidade social de sua força de trabalho.</w:t>
      </w:r>
      <w:r w:rsidRPr="00622C25">
        <w:rPr>
          <w:rFonts w:ascii="Calibri" w:eastAsia="Times New Roman" w:hAnsi="Calibri" w:cs="Arial"/>
          <w:color w:val="002060"/>
          <w:kern w:val="0"/>
          <w:sz w:val="24"/>
          <w:szCs w:val="24"/>
          <w14:ligatures w14:val="none"/>
        </w:rPr>
        <w:t xml:space="preserve"> </w:t>
      </w:r>
    </w:p>
    <w:p w14:paraId="443DE0AB" w14:textId="77777777" w:rsidR="00874AA4" w:rsidRDefault="00622C25" w:rsidP="00874AA4">
      <w:pPr>
        <w:tabs>
          <w:tab w:val="left" w:pos="851"/>
        </w:tabs>
        <w:spacing w:after="0" w:line="240" w:lineRule="auto"/>
        <w:jc w:val="both"/>
        <w:rPr>
          <w:rFonts w:ascii="Calibri" w:eastAsia="Times New Roman" w:hAnsi="Calibri" w:cs="Arial"/>
          <w:b/>
          <w:bCs/>
          <w:iCs/>
          <w:color w:val="002060"/>
          <w:kern w:val="0"/>
          <w:sz w:val="24"/>
          <w:szCs w:val="24"/>
          <w14:ligatures w14:val="none"/>
        </w:rPr>
      </w:pPr>
      <w:r>
        <w:rPr>
          <w:rFonts w:ascii="Calibri" w:eastAsia="Times New Roman" w:hAnsi="Calibri" w:cs="Arial"/>
          <w:b/>
          <w:bCs/>
          <w:iCs/>
          <w:color w:val="002060"/>
          <w:kern w:val="0"/>
          <w:sz w:val="24"/>
          <w:szCs w:val="24"/>
          <w14:ligatures w14:val="none"/>
        </w:rPr>
        <w:t xml:space="preserve">8.2. Quadro de Pessoal e Remuneração </w:t>
      </w:r>
    </w:p>
    <w:p w14:paraId="4D60F534" w14:textId="28118C3E" w:rsidR="00622C25" w:rsidRPr="00622C25" w:rsidRDefault="00622C25" w:rsidP="00874AA4">
      <w:pPr>
        <w:tabs>
          <w:tab w:val="left" w:pos="851"/>
        </w:tabs>
        <w:spacing w:after="0" w:line="240" w:lineRule="auto"/>
        <w:jc w:val="both"/>
        <w:rPr>
          <w:rFonts w:ascii="Calibri" w:eastAsia="Times New Roman" w:hAnsi="Calibri" w:cs="Arial"/>
          <w:b/>
          <w:bCs/>
          <w:iCs/>
          <w:color w:val="002060"/>
          <w:kern w:val="0"/>
          <w:sz w:val="24"/>
          <w:szCs w:val="24"/>
          <w14:ligatures w14:val="none"/>
        </w:rPr>
      </w:pPr>
      <w:r w:rsidRPr="00622C25">
        <w:rPr>
          <w:rFonts w:ascii="Calibri" w:eastAsia="Times New Roman" w:hAnsi="Calibri" w:cs="Arial"/>
          <w:color w:val="002060"/>
          <w:kern w:val="0"/>
          <w14:ligatures w14:val="none"/>
        </w:rPr>
        <w:t>Em 2023, a Telebras ajustou seu quadro de pessoal para alinhar-se às necessidades operacionais e estratégicas da empresa, finalizando o ano com um total de 467 colaboradores. Essa equipe é composta por 297 empregados efetivos, 50 colaboradores ad nutum, 1 funcionário requisitado, 71 estagiários e 5 jovens aprendizes. Dentro desse quadro, 13 empregados efetivos foram cedidos para trabalhar em outros órgãos da Administração Pública, enquanto 30 fazem parte de um quadro transitório, também cedidos. Observa-se na tabela a seguir o comparativo entre os anos de 2022 e 2023:</w:t>
      </w:r>
    </w:p>
    <w:p w14:paraId="7F8292EC" w14:textId="50309C71" w:rsidR="00622C25" w:rsidRPr="001820F7" w:rsidRDefault="00622C25" w:rsidP="00622C25">
      <w:pPr>
        <w:tabs>
          <w:tab w:val="left" w:pos="851"/>
        </w:tabs>
        <w:spacing w:after="0" w:line="240" w:lineRule="auto"/>
        <w:jc w:val="both"/>
        <w:rPr>
          <w:rFonts w:ascii="Calibri" w:eastAsia="Times New Roman" w:hAnsi="Calibri" w:cs="Arial"/>
          <w:b/>
          <w:bCs/>
          <w:iCs/>
          <w:color w:val="002060"/>
          <w:kern w:val="0"/>
          <w:sz w:val="24"/>
          <w:szCs w:val="24"/>
          <w14:ligatures w14:val="none"/>
        </w:rPr>
      </w:pPr>
      <w:r>
        <w:rPr>
          <w:noProof/>
          <w:lang w:eastAsia="pt-BR"/>
        </w:rPr>
        <w:drawing>
          <wp:inline distT="0" distB="0" distL="0" distR="0" wp14:anchorId="3368CEF5" wp14:editId="7BCA8E59">
            <wp:extent cx="3286125" cy="1676400"/>
            <wp:effectExtent l="0" t="0" r="9525" b="0"/>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6125" cy="1676400"/>
                    </a:xfrm>
                    <a:prstGeom prst="rect">
                      <a:avLst/>
                    </a:prstGeom>
                    <a:noFill/>
                  </pic:spPr>
                </pic:pic>
              </a:graphicData>
            </a:graphic>
          </wp:inline>
        </w:drawing>
      </w:r>
    </w:p>
    <w:p w14:paraId="376162B6" w14:textId="50309C71" w:rsidR="00A81801" w:rsidRPr="00731834" w:rsidRDefault="00A81801" w:rsidP="00A81801">
      <w:pPr>
        <w:pStyle w:val="Legenda"/>
        <w:ind w:left="0" w:firstLine="0"/>
        <w:jc w:val="left"/>
      </w:pPr>
      <w:bookmarkStart w:id="356" w:name="_Toc161319867"/>
      <w:r w:rsidRPr="00731834">
        <w:t xml:space="preserve">Tabela </w:t>
      </w:r>
      <w:r>
        <w:fldChar w:fldCharType="begin"/>
      </w:r>
      <w:r>
        <w:instrText xml:space="preserve"> STYLEREF 1 \s </w:instrText>
      </w:r>
      <w:r>
        <w:fldChar w:fldCharType="separate"/>
      </w:r>
      <w:r>
        <w:rPr>
          <w:noProof/>
        </w:rPr>
        <w:t>8</w:t>
      </w:r>
      <w:r>
        <w:rPr>
          <w:noProof/>
        </w:rPr>
        <w:fldChar w:fldCharType="end"/>
      </w:r>
      <w:r w:rsidRPr="00731834">
        <w:noBreakHyphen/>
      </w:r>
      <w:r>
        <w:fldChar w:fldCharType="begin"/>
      </w:r>
      <w:r>
        <w:instrText xml:space="preserve"> SEQ Tabela \* ARABIC \s 1 </w:instrText>
      </w:r>
      <w:r>
        <w:fldChar w:fldCharType="separate"/>
      </w:r>
      <w:r>
        <w:rPr>
          <w:noProof/>
        </w:rPr>
        <w:t>1</w:t>
      </w:r>
      <w:r>
        <w:rPr>
          <w:noProof/>
        </w:rPr>
        <w:fldChar w:fldCharType="end"/>
      </w:r>
      <w:r w:rsidRPr="00731834">
        <w:t xml:space="preserve"> Comparativo do quadro de empregados por exercício – 2023/2022</w:t>
      </w:r>
      <w:bookmarkEnd w:id="356"/>
    </w:p>
    <w:p w14:paraId="30CC7512" w14:textId="77777777" w:rsidR="00A81801" w:rsidRPr="00A81801" w:rsidRDefault="00A81801" w:rsidP="00A81801">
      <w:pPr>
        <w:tabs>
          <w:tab w:val="left" w:pos="851"/>
        </w:tabs>
        <w:spacing w:before="240" w:after="120" w:line="276" w:lineRule="auto"/>
        <w:jc w:val="both"/>
        <w:rPr>
          <w:rFonts w:ascii="Calibri" w:eastAsia="Times New Roman" w:hAnsi="Calibri" w:cs="Times New Roman"/>
          <w:color w:val="002060"/>
          <w:kern w:val="0"/>
          <w:sz w:val="24"/>
          <w:szCs w:val="24"/>
          <w14:ligatures w14:val="none"/>
        </w:rPr>
      </w:pPr>
      <w:r w:rsidRPr="00A81801">
        <w:rPr>
          <w:rFonts w:ascii="Calibri" w:eastAsia="Times New Roman" w:hAnsi="Calibri" w:cs="Times New Roman"/>
          <w:color w:val="002060"/>
          <w:kern w:val="0"/>
          <w:sz w:val="24"/>
          <w:szCs w:val="24"/>
          <w14:ligatures w14:val="none"/>
        </w:rPr>
        <w:t>O gráfico abaixo apresenta a evolução do quadro de pessoal em 2023:</w:t>
      </w:r>
    </w:p>
    <w:p w14:paraId="02BD9597" w14:textId="77777777" w:rsidR="00A81801" w:rsidRDefault="00A81801" w:rsidP="00CD43C8">
      <w:pPr>
        <w:spacing w:after="0"/>
        <w:jc w:val="both"/>
        <w:rPr>
          <w:rFonts w:ascii="Calibri" w:eastAsia="Calibri" w:hAnsi="Calibri" w:cs="Calibri"/>
          <w:iCs/>
          <w:color w:val="002060"/>
          <w:kern w:val="0"/>
          <w:szCs w:val="24"/>
          <w14:ligatures w14:val="none"/>
        </w:rPr>
      </w:pPr>
    </w:p>
    <w:p w14:paraId="57E8DE25" w14:textId="77777777" w:rsidR="007E1FEC" w:rsidRDefault="007E1FEC" w:rsidP="00CD43C8">
      <w:pPr>
        <w:spacing w:after="0"/>
        <w:jc w:val="both"/>
        <w:rPr>
          <w:noProof/>
          <w:lang w:eastAsia="pt-BR"/>
        </w:rPr>
      </w:pPr>
      <w:r w:rsidRPr="00731834">
        <w:rPr>
          <w:noProof/>
          <w:lang w:eastAsia="pt-BR"/>
        </w:rPr>
        <w:lastRenderedPageBreak/>
        <w:drawing>
          <wp:inline distT="0" distB="0" distL="0" distR="0" wp14:anchorId="7C3F86B3" wp14:editId="3A872422">
            <wp:extent cx="5400040" cy="1212850"/>
            <wp:effectExtent l="0" t="0" r="10160" b="6350"/>
            <wp:docPr id="1355203386" name="Gráfico 1355203386">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D18E766" w14:textId="77777777" w:rsidR="007E1FEC" w:rsidRDefault="007E1FEC" w:rsidP="007E1FEC">
      <w:pPr>
        <w:pStyle w:val="Legenda"/>
        <w:ind w:left="0" w:firstLine="0"/>
      </w:pPr>
      <w:bookmarkStart w:id="357" w:name="_Toc159258279"/>
      <w:r w:rsidRPr="00731834">
        <w:t xml:space="preserve">Gráfico </w:t>
      </w:r>
      <w:r>
        <w:fldChar w:fldCharType="begin"/>
      </w:r>
      <w:r>
        <w:instrText xml:space="preserve"> STYLEREF 1 \s </w:instrText>
      </w:r>
      <w:r>
        <w:fldChar w:fldCharType="separate"/>
      </w:r>
      <w:r>
        <w:rPr>
          <w:noProof/>
        </w:rPr>
        <w:t>8</w:t>
      </w:r>
      <w:r>
        <w:rPr>
          <w:noProof/>
        </w:rPr>
        <w:fldChar w:fldCharType="end"/>
      </w:r>
      <w:r w:rsidRPr="00731834">
        <w:noBreakHyphen/>
      </w:r>
      <w:r>
        <w:fldChar w:fldCharType="begin"/>
      </w:r>
      <w:r>
        <w:instrText xml:space="preserve"> SEQ Gráfico \* ARABIC \s 1 </w:instrText>
      </w:r>
      <w:r>
        <w:fldChar w:fldCharType="separate"/>
      </w:r>
      <w:r>
        <w:rPr>
          <w:noProof/>
        </w:rPr>
        <w:t>1</w:t>
      </w:r>
      <w:r>
        <w:rPr>
          <w:noProof/>
        </w:rPr>
        <w:fldChar w:fldCharType="end"/>
      </w:r>
      <w:r w:rsidRPr="00731834">
        <w:t xml:space="preserve"> Evolução do quadro funcional em 2023</w:t>
      </w:r>
      <w:bookmarkEnd w:id="357"/>
    </w:p>
    <w:p w14:paraId="772F1D48" w14:textId="77777777" w:rsidR="007E1FEC" w:rsidRDefault="007E1FEC" w:rsidP="007E1FEC">
      <w:pPr>
        <w:rPr>
          <w:rFonts w:eastAsia="Times New Roman" w:cs="Times New Roman"/>
          <w:bCs/>
          <w:color w:val="002060"/>
          <w:kern w:val="0"/>
          <w:sz w:val="16"/>
          <w:szCs w:val="24"/>
          <w14:ligatures w14:val="none"/>
        </w:rPr>
      </w:pPr>
    </w:p>
    <w:p w14:paraId="7D6E0542" w14:textId="77777777" w:rsidR="007E1FEC" w:rsidRPr="00A81801" w:rsidRDefault="007E1FEC" w:rsidP="007E1FEC">
      <w:pPr>
        <w:spacing w:after="0"/>
        <w:rPr>
          <w:rFonts w:ascii="Calibri" w:eastAsia="Times New Roman" w:hAnsi="Calibri" w:cs="Arial"/>
          <w:b/>
          <w:bCs/>
          <w:color w:val="002060"/>
          <w:kern w:val="0"/>
          <w14:ligatures w14:val="none"/>
        </w:rPr>
      </w:pPr>
      <w:bookmarkStart w:id="358" w:name="_Toc161319470"/>
      <w:bookmarkStart w:id="359" w:name="_Toc1052042"/>
      <w:r w:rsidRPr="00A81801">
        <w:rPr>
          <w:rFonts w:ascii="Calibri" w:eastAsia="Times New Roman" w:hAnsi="Calibri" w:cs="Arial"/>
          <w:b/>
          <w:bCs/>
          <w:color w:val="002060"/>
          <w:kern w:val="0"/>
          <w14:ligatures w14:val="none"/>
        </w:rPr>
        <w:t>8.3. Remuneração</w:t>
      </w:r>
      <w:bookmarkEnd w:id="358"/>
      <w:r w:rsidRPr="00A81801">
        <w:rPr>
          <w:rFonts w:ascii="Calibri" w:eastAsia="Times New Roman" w:hAnsi="Calibri" w:cs="Arial"/>
          <w:b/>
          <w:bCs/>
          <w:color w:val="002060"/>
          <w:kern w:val="0"/>
          <w14:ligatures w14:val="none"/>
        </w:rPr>
        <w:t xml:space="preserve"> </w:t>
      </w:r>
      <w:bookmarkEnd w:id="359"/>
    </w:p>
    <w:p w14:paraId="00CCB722" w14:textId="77777777" w:rsidR="007E1FEC" w:rsidRPr="00A81801" w:rsidRDefault="007E1FEC" w:rsidP="007E1FEC">
      <w:pPr>
        <w:spacing w:after="0"/>
        <w:rPr>
          <w:rFonts w:ascii="Calibri" w:eastAsia="Times New Roman" w:hAnsi="Calibri" w:cs="Arial"/>
          <w:color w:val="002060"/>
          <w:kern w:val="0"/>
          <w14:ligatures w14:val="none"/>
        </w:rPr>
      </w:pPr>
      <w:r w:rsidRPr="00A81801">
        <w:rPr>
          <w:rFonts w:ascii="Calibri" w:eastAsia="Times New Roman" w:hAnsi="Calibri" w:cs="Arial"/>
          <w:color w:val="002060"/>
          <w:kern w:val="0"/>
          <w14:ligatures w14:val="none"/>
        </w:rPr>
        <w:t>A maior remuneração para o quadro de pessoal alcançou R$ 33.764,65, e a menor foi de R$ 4.121,07, estabelecendo um salário médio de R$ 14.062,55. Para os dirigentes, a remuneração oscilou entre R$ 38.396,51 e R$ 42.236,17, com uma média de R$ 39.164,44, reconhecendo as responsabilidades e a liderança desses profissionais dentro da organização.</w:t>
      </w:r>
    </w:p>
    <w:p w14:paraId="489A3418" w14:textId="77777777" w:rsidR="007E1FEC" w:rsidRPr="00A81801" w:rsidRDefault="007E1FEC" w:rsidP="007E1FEC">
      <w:pPr>
        <w:spacing w:after="0"/>
        <w:rPr>
          <w:rFonts w:ascii="Calibri" w:eastAsia="Times New Roman" w:hAnsi="Calibri" w:cs="Arial"/>
          <w:b/>
          <w:bCs/>
          <w:color w:val="002060"/>
          <w:kern w:val="0"/>
          <w14:ligatures w14:val="none"/>
        </w:rPr>
      </w:pPr>
      <w:bookmarkStart w:id="360" w:name="_Toc1052043"/>
      <w:bookmarkStart w:id="361" w:name="_Toc161319471"/>
      <w:r w:rsidRPr="00A81801">
        <w:rPr>
          <w:rFonts w:ascii="Calibri" w:eastAsia="Times New Roman" w:hAnsi="Calibri" w:cs="Arial"/>
          <w:b/>
          <w:bCs/>
          <w:color w:val="002060"/>
          <w:kern w:val="0"/>
          <w14:ligatures w14:val="none"/>
        </w:rPr>
        <w:t>8.4. Acordo Coletivo de Trabalho</w:t>
      </w:r>
      <w:bookmarkEnd w:id="360"/>
      <w:bookmarkEnd w:id="361"/>
    </w:p>
    <w:p w14:paraId="5ECD6505" w14:textId="77777777" w:rsidR="007E1FEC" w:rsidRPr="00A81801" w:rsidRDefault="007E1FEC" w:rsidP="007E1FEC">
      <w:pPr>
        <w:spacing w:after="0"/>
        <w:rPr>
          <w:rFonts w:ascii="Calibri" w:eastAsia="Times New Roman" w:hAnsi="Calibri" w:cs="Arial"/>
          <w:color w:val="002060"/>
          <w:kern w:val="0"/>
          <w14:ligatures w14:val="none"/>
        </w:rPr>
      </w:pPr>
      <w:r w:rsidRPr="00A81801">
        <w:rPr>
          <w:rFonts w:ascii="Calibri" w:eastAsia="Times New Roman" w:hAnsi="Calibri" w:cs="Arial"/>
          <w:color w:val="002060"/>
          <w:kern w:val="0"/>
          <w14:ligatures w14:val="none"/>
        </w:rPr>
        <w:t>A Telebras concluiu com êxito as negociações do ACT 2022/2023, implementando um reajuste salarial e de benefícios de 6,3%, além de manter as cláusulas sociais. Este acordo, válido de 1º de novembro de 2022 a 31 de outubro de 2023. As negociações para o ACT 2023/2024 estão em andamento, demonstrando a contínua busca da Telebras por um ambiente de trabalho equitativo e produtivo.</w:t>
      </w:r>
    </w:p>
    <w:p w14:paraId="08A95021" w14:textId="77777777" w:rsidR="007E1FEC" w:rsidRPr="00A81801" w:rsidRDefault="007E1FEC" w:rsidP="007E1FEC">
      <w:pPr>
        <w:spacing w:after="0"/>
        <w:rPr>
          <w:rFonts w:ascii="Calibri" w:eastAsia="Times New Roman" w:hAnsi="Calibri" w:cs="Arial"/>
          <w:b/>
          <w:bCs/>
          <w:color w:val="002060"/>
          <w:kern w:val="0"/>
          <w14:ligatures w14:val="none"/>
        </w:rPr>
      </w:pPr>
      <w:bookmarkStart w:id="362" w:name="_Toc1052044"/>
      <w:bookmarkStart w:id="363" w:name="_Toc161319472"/>
      <w:r w:rsidRPr="00A81801">
        <w:rPr>
          <w:rFonts w:ascii="Calibri" w:eastAsia="Times New Roman" w:hAnsi="Calibri" w:cs="Arial"/>
          <w:b/>
          <w:bCs/>
          <w:color w:val="002060"/>
          <w:kern w:val="0"/>
          <w14:ligatures w14:val="none"/>
        </w:rPr>
        <w:t>8.5. Concurso Público</w:t>
      </w:r>
      <w:bookmarkEnd w:id="362"/>
      <w:bookmarkEnd w:id="363"/>
    </w:p>
    <w:p w14:paraId="6273B743" w14:textId="77777777" w:rsidR="007E1FEC" w:rsidRPr="00A81801" w:rsidRDefault="007E1FEC" w:rsidP="007E1FEC">
      <w:pPr>
        <w:spacing w:after="0"/>
        <w:rPr>
          <w:rFonts w:ascii="Calibri" w:eastAsia="Times New Roman" w:hAnsi="Calibri" w:cs="Arial"/>
          <w:color w:val="002060"/>
          <w:kern w:val="0"/>
          <w14:ligatures w14:val="none"/>
        </w:rPr>
      </w:pPr>
      <w:r w:rsidRPr="00A81801">
        <w:rPr>
          <w:rFonts w:ascii="Calibri" w:eastAsia="Times New Roman" w:hAnsi="Calibri" w:cs="Arial"/>
          <w:color w:val="002060"/>
          <w:kern w:val="0"/>
          <w14:ligatures w14:val="none"/>
        </w:rPr>
        <w:t xml:space="preserve">A estratégia de recrutamento da Telebras incluiu a realização de concursos públicos para atrair talentos especializados. Desde 2015, a empresa realizou três concursos, admitindo um total de 424 funcionários até dezembro de 2023, apesar de 148 desses funcionários terem se desligado. O mais recente concurso, anunciado em novembro de 2021, ofereceu 9 vagas diretas e cadastro reserva, resultando na contratação de 59 novos especialistas em gestão de telecomunicações até o final de 2023.  </w:t>
      </w:r>
    </w:p>
    <w:p w14:paraId="0C4A64CD" w14:textId="77777777" w:rsidR="007E1FEC" w:rsidRPr="00A81801" w:rsidRDefault="007E1FEC" w:rsidP="007E1FEC">
      <w:pPr>
        <w:spacing w:after="0"/>
        <w:rPr>
          <w:rFonts w:ascii="Calibri" w:eastAsia="Times New Roman" w:hAnsi="Calibri" w:cs="Arial"/>
          <w:b/>
          <w:bCs/>
          <w:color w:val="002060"/>
          <w:kern w:val="0"/>
          <w14:ligatures w14:val="none"/>
        </w:rPr>
      </w:pPr>
      <w:bookmarkStart w:id="364" w:name="_Toc1052045"/>
      <w:bookmarkStart w:id="365" w:name="_Toc161319473"/>
      <w:r w:rsidRPr="00A81801">
        <w:rPr>
          <w:rFonts w:ascii="Calibri" w:eastAsia="Times New Roman" w:hAnsi="Calibri" w:cs="Arial"/>
          <w:b/>
          <w:bCs/>
          <w:color w:val="002060"/>
          <w:kern w:val="0"/>
          <w14:ligatures w14:val="none"/>
        </w:rPr>
        <w:t>8.6. Avaliação de Desempenho</w:t>
      </w:r>
      <w:bookmarkEnd w:id="364"/>
      <w:bookmarkEnd w:id="365"/>
    </w:p>
    <w:p w14:paraId="1D09CFB0" w14:textId="77777777" w:rsidR="007E1FEC" w:rsidRPr="00A81801" w:rsidRDefault="007E1FEC" w:rsidP="007E1FEC">
      <w:pPr>
        <w:spacing w:after="0"/>
        <w:rPr>
          <w:rFonts w:ascii="Calibri" w:eastAsia="Times New Roman" w:hAnsi="Calibri" w:cs="Arial"/>
          <w:color w:val="002060"/>
          <w:kern w:val="0"/>
          <w14:ligatures w14:val="none"/>
        </w:rPr>
      </w:pPr>
      <w:r w:rsidRPr="00A81801">
        <w:rPr>
          <w:rFonts w:ascii="Calibri" w:eastAsia="Times New Roman" w:hAnsi="Calibri" w:cs="Arial"/>
          <w:color w:val="002060"/>
          <w:kern w:val="0"/>
          <w14:ligatures w14:val="none"/>
        </w:rPr>
        <w:t xml:space="preserve">A Telebras conduziu sua Avaliação de Desempenho por Competências e Resultados em 2023, com o intuito de avaliar e promover o desenvolvimento profissional dos seus colaboradores. Participaram 311 empregados, que foram avaliados com base no seu desempenho entre 6 de fevereiro a 29 de setembro de 2023. Como resultado, 31 empregados foram promovidos por antiguidade, reconhecendo sua dedicação e tempo de serviço, enquanto 115 receberam promoções por mérito, destacando suas contribuições excepcionais e impacto no sucesso da empresa. Entre os promovidos por mérito, as promoções variaram de um a três níveis salariais, evidenciando o compromisso da Telebras em valorizar e incentivar o alto desempenho. </w:t>
      </w:r>
    </w:p>
    <w:p w14:paraId="1C7143CB" w14:textId="77777777" w:rsidR="007E1FEC" w:rsidRPr="00A81801" w:rsidRDefault="007E1FEC" w:rsidP="007E1FEC">
      <w:pPr>
        <w:spacing w:after="0"/>
        <w:rPr>
          <w:rFonts w:ascii="Calibri" w:eastAsia="Times New Roman" w:hAnsi="Calibri" w:cs="Arial"/>
          <w:b/>
          <w:bCs/>
          <w:color w:val="002060"/>
          <w:kern w:val="0"/>
          <w14:ligatures w14:val="none"/>
        </w:rPr>
      </w:pPr>
      <w:bookmarkStart w:id="366" w:name="_Toc1052046"/>
      <w:bookmarkStart w:id="367" w:name="_Toc161319474"/>
      <w:r w:rsidRPr="00A81801">
        <w:rPr>
          <w:rFonts w:ascii="Calibri" w:eastAsia="Times New Roman" w:hAnsi="Calibri" w:cs="Arial"/>
          <w:b/>
          <w:bCs/>
          <w:color w:val="002060"/>
          <w:kern w:val="0"/>
          <w14:ligatures w14:val="none"/>
        </w:rPr>
        <w:t>8.7. Capacitação</w:t>
      </w:r>
      <w:bookmarkEnd w:id="366"/>
      <w:bookmarkEnd w:id="367"/>
    </w:p>
    <w:p w14:paraId="50CF50D8" w14:textId="1FEA16E5" w:rsidR="007E1FEC" w:rsidRDefault="007E1FEC" w:rsidP="007E1FEC">
      <w:pPr>
        <w:spacing w:after="0"/>
        <w:rPr>
          <w:rFonts w:ascii="Calibri" w:eastAsia="Times New Roman" w:hAnsi="Calibri" w:cs="Arial"/>
          <w:color w:val="002060"/>
          <w:kern w:val="0"/>
          <w14:ligatures w14:val="none"/>
        </w:rPr>
      </w:pPr>
      <w:r w:rsidRPr="00A81801">
        <w:rPr>
          <w:rFonts w:ascii="Calibri" w:eastAsia="Times New Roman" w:hAnsi="Calibri" w:cs="Arial"/>
          <w:color w:val="002060"/>
          <w:kern w:val="0"/>
          <w14:ligatures w14:val="none"/>
        </w:rPr>
        <w:t xml:space="preserve">Em 2023, a Telebras investiu mais de 15.500 horas em treinamentos, alcançando uma média de 40 horas por empregado. Essa iniciativa abrangeu cursos da Escola Nacional de Administração Pública (ENAP) e de empresas privadas, destacando-se um curso sobre Governança conforme a Lei 13.303/16 para todos os conselheiros, diretores e ao Presidente da Telebras. </w:t>
      </w:r>
    </w:p>
    <w:p w14:paraId="3C5D580B" w14:textId="77777777" w:rsidR="007E1FEC" w:rsidRDefault="007E1FEC" w:rsidP="007E1FEC">
      <w:pPr>
        <w:spacing w:after="0"/>
        <w:rPr>
          <w:rFonts w:ascii="Calibri" w:eastAsia="Times New Roman" w:hAnsi="Calibri" w:cs="Arial"/>
          <w:b/>
          <w:bCs/>
          <w:color w:val="002060"/>
          <w:kern w:val="0"/>
          <w14:ligatures w14:val="none"/>
        </w:rPr>
      </w:pPr>
      <w:r w:rsidRPr="00A81801">
        <w:rPr>
          <w:rFonts w:ascii="Calibri" w:eastAsia="Times New Roman" w:hAnsi="Calibri" w:cs="Arial"/>
          <w:b/>
          <w:bCs/>
          <w:color w:val="002060"/>
          <w:kern w:val="0"/>
          <w14:ligatures w14:val="none"/>
        </w:rPr>
        <w:t xml:space="preserve">9. Licitações </w:t>
      </w:r>
      <w:r>
        <w:rPr>
          <w:rFonts w:ascii="Calibri" w:eastAsia="Times New Roman" w:hAnsi="Calibri" w:cs="Arial"/>
          <w:b/>
          <w:bCs/>
          <w:color w:val="002060"/>
          <w:kern w:val="0"/>
          <w14:ligatures w14:val="none"/>
        </w:rPr>
        <w:t xml:space="preserve">e Contratos </w:t>
      </w:r>
    </w:p>
    <w:p w14:paraId="64077536" w14:textId="77777777" w:rsidR="007E1FEC" w:rsidRPr="00A81801" w:rsidRDefault="007E1FEC" w:rsidP="007E1FEC">
      <w:pPr>
        <w:spacing w:after="0"/>
        <w:rPr>
          <w:rFonts w:ascii="Calibri" w:eastAsia="Times New Roman" w:hAnsi="Calibri" w:cs="Arial"/>
          <w:b/>
          <w:bCs/>
          <w:color w:val="002060"/>
          <w:kern w:val="0"/>
          <w14:ligatures w14:val="none"/>
        </w:rPr>
      </w:pPr>
      <w:r w:rsidRPr="00A81801">
        <w:rPr>
          <w:rFonts w:ascii="Calibri" w:eastAsia="Times New Roman" w:hAnsi="Calibri" w:cs="Arial"/>
          <w:color w:val="002060"/>
          <w:kern w:val="0"/>
          <w:szCs w:val="24"/>
          <w14:ligatures w14:val="none"/>
        </w:rPr>
        <w:t>Em 2023, a empresa realizou contratações significativas para a aquisição de bens, produtos e serviços, totalizando R$ 133.089.337. Estas contratações foram distribuídas conforme modalidades de licitação específicas, refletindo a aderência rigorosa da Telebras às normativas legais e regulamentares em suas operações de compra, conforme tabela abaixo:</w:t>
      </w:r>
    </w:p>
    <w:p w14:paraId="0D2882F2" w14:textId="77777777" w:rsidR="007E1FEC" w:rsidRDefault="007E1FEC" w:rsidP="007E1FEC">
      <w:pPr>
        <w:spacing w:after="0"/>
        <w:rPr>
          <w:rFonts w:ascii="Calibri" w:eastAsia="Times New Roman" w:hAnsi="Calibri" w:cs="Arial"/>
          <w:b/>
          <w:bCs/>
          <w:color w:val="002060"/>
          <w:kern w:val="0"/>
          <w14:ligatures w14:val="none"/>
        </w:rPr>
      </w:pPr>
    </w:p>
    <w:p w14:paraId="663427B9" w14:textId="77777777" w:rsidR="007E1FEC" w:rsidRDefault="007E1FEC" w:rsidP="007E1FEC">
      <w:pPr>
        <w:spacing w:after="0"/>
        <w:rPr>
          <w:rFonts w:ascii="Calibri" w:eastAsia="Times New Roman" w:hAnsi="Calibri" w:cs="Arial"/>
          <w:b/>
          <w:bCs/>
          <w:color w:val="002060"/>
          <w:kern w:val="0"/>
          <w14:ligatures w14:val="none"/>
        </w:rPr>
      </w:pPr>
      <w:r>
        <w:rPr>
          <w:noProof/>
          <w:lang w:eastAsia="pt-BR"/>
        </w:rPr>
        <w:drawing>
          <wp:inline distT="0" distB="0" distL="0" distR="0" wp14:anchorId="525EE6F2" wp14:editId="1DCEC1B6">
            <wp:extent cx="4657725" cy="1285875"/>
            <wp:effectExtent l="0" t="0" r="9525" b="9525"/>
            <wp:docPr id="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7725" cy="12858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9E4CBAE" w14:textId="77777777" w:rsidR="007E1FEC" w:rsidRPr="00A81801" w:rsidRDefault="007E1FEC" w:rsidP="007E1FEC">
      <w:pPr>
        <w:tabs>
          <w:tab w:val="left" w:pos="851"/>
        </w:tabs>
        <w:spacing w:before="240" w:after="120" w:line="240" w:lineRule="auto"/>
        <w:ind w:left="1304" w:hanging="1304"/>
        <w:jc w:val="center"/>
        <w:rPr>
          <w:rFonts w:ascii="Calibri" w:eastAsia="Times New Roman" w:hAnsi="Calibri" w:cs="Times New Roman"/>
          <w:bCs/>
          <w:color w:val="002060"/>
          <w:kern w:val="0"/>
          <w:sz w:val="16"/>
          <w:szCs w:val="24"/>
          <w14:ligatures w14:val="none"/>
        </w:rPr>
      </w:pPr>
      <w:bookmarkStart w:id="368" w:name="_Toc161319868"/>
      <w:r w:rsidRPr="00A81801">
        <w:rPr>
          <w:rFonts w:ascii="Calibri" w:eastAsia="Times New Roman" w:hAnsi="Calibri" w:cs="Times New Roman"/>
          <w:bCs/>
          <w:color w:val="002060"/>
          <w:kern w:val="0"/>
          <w:sz w:val="16"/>
          <w:szCs w:val="24"/>
          <w14:ligatures w14:val="none"/>
        </w:rPr>
        <w:t xml:space="preserve">Tabela </w:t>
      </w:r>
      <w:r w:rsidRPr="00A81801">
        <w:rPr>
          <w:rFonts w:ascii="Calibri" w:eastAsia="Times New Roman" w:hAnsi="Calibri" w:cs="Times New Roman"/>
          <w:bCs/>
          <w:color w:val="002060"/>
          <w:kern w:val="0"/>
          <w:sz w:val="16"/>
          <w:szCs w:val="24"/>
          <w14:ligatures w14:val="none"/>
        </w:rPr>
        <w:fldChar w:fldCharType="begin"/>
      </w:r>
      <w:r w:rsidRPr="00A81801">
        <w:rPr>
          <w:rFonts w:ascii="Calibri" w:eastAsia="Times New Roman" w:hAnsi="Calibri" w:cs="Times New Roman"/>
          <w:bCs/>
          <w:color w:val="002060"/>
          <w:kern w:val="0"/>
          <w:sz w:val="16"/>
          <w:szCs w:val="24"/>
          <w14:ligatures w14:val="none"/>
        </w:rPr>
        <w:instrText xml:space="preserve"> STYLEREF 1 \s </w:instrText>
      </w:r>
      <w:r w:rsidRPr="00A81801">
        <w:rPr>
          <w:rFonts w:ascii="Calibri" w:eastAsia="Times New Roman" w:hAnsi="Calibri" w:cs="Times New Roman"/>
          <w:bCs/>
          <w:color w:val="002060"/>
          <w:kern w:val="0"/>
          <w:sz w:val="16"/>
          <w:szCs w:val="24"/>
          <w14:ligatures w14:val="none"/>
        </w:rPr>
        <w:fldChar w:fldCharType="separate"/>
      </w:r>
      <w:r w:rsidRPr="00A81801">
        <w:rPr>
          <w:rFonts w:ascii="Calibri" w:eastAsia="Times New Roman" w:hAnsi="Calibri" w:cs="Times New Roman"/>
          <w:bCs/>
          <w:noProof/>
          <w:color w:val="002060"/>
          <w:kern w:val="0"/>
          <w:sz w:val="16"/>
          <w:szCs w:val="24"/>
          <w14:ligatures w14:val="none"/>
        </w:rPr>
        <w:t>9</w:t>
      </w:r>
      <w:r w:rsidRPr="00A81801">
        <w:rPr>
          <w:rFonts w:ascii="Calibri" w:eastAsia="Times New Roman" w:hAnsi="Calibri" w:cs="Times New Roman"/>
          <w:bCs/>
          <w:noProof/>
          <w:color w:val="002060"/>
          <w:kern w:val="0"/>
          <w:sz w:val="16"/>
          <w:szCs w:val="24"/>
          <w14:ligatures w14:val="none"/>
        </w:rPr>
        <w:fldChar w:fldCharType="end"/>
      </w:r>
      <w:r w:rsidRPr="00A81801">
        <w:rPr>
          <w:rFonts w:ascii="Calibri" w:eastAsia="Times New Roman" w:hAnsi="Calibri" w:cs="Times New Roman"/>
          <w:bCs/>
          <w:color w:val="002060"/>
          <w:kern w:val="0"/>
          <w:sz w:val="16"/>
          <w:szCs w:val="24"/>
          <w14:ligatures w14:val="none"/>
        </w:rPr>
        <w:noBreakHyphen/>
      </w:r>
      <w:r w:rsidRPr="00A81801">
        <w:rPr>
          <w:rFonts w:ascii="Calibri" w:eastAsia="Times New Roman" w:hAnsi="Calibri" w:cs="Times New Roman"/>
          <w:bCs/>
          <w:color w:val="002060"/>
          <w:kern w:val="0"/>
          <w:sz w:val="16"/>
          <w:szCs w:val="24"/>
          <w14:ligatures w14:val="none"/>
        </w:rPr>
        <w:fldChar w:fldCharType="begin"/>
      </w:r>
      <w:r w:rsidRPr="00A81801">
        <w:rPr>
          <w:rFonts w:ascii="Calibri" w:eastAsia="Times New Roman" w:hAnsi="Calibri" w:cs="Times New Roman"/>
          <w:bCs/>
          <w:color w:val="002060"/>
          <w:kern w:val="0"/>
          <w:sz w:val="16"/>
          <w:szCs w:val="24"/>
          <w14:ligatures w14:val="none"/>
        </w:rPr>
        <w:instrText xml:space="preserve"> SEQ Tabela \* ARABIC \s 1 </w:instrText>
      </w:r>
      <w:r w:rsidRPr="00A81801">
        <w:rPr>
          <w:rFonts w:ascii="Calibri" w:eastAsia="Times New Roman" w:hAnsi="Calibri" w:cs="Times New Roman"/>
          <w:bCs/>
          <w:color w:val="002060"/>
          <w:kern w:val="0"/>
          <w:sz w:val="16"/>
          <w:szCs w:val="24"/>
          <w14:ligatures w14:val="none"/>
        </w:rPr>
        <w:fldChar w:fldCharType="separate"/>
      </w:r>
      <w:r w:rsidRPr="00A81801">
        <w:rPr>
          <w:rFonts w:ascii="Calibri" w:eastAsia="Times New Roman" w:hAnsi="Calibri" w:cs="Times New Roman"/>
          <w:bCs/>
          <w:noProof/>
          <w:color w:val="002060"/>
          <w:kern w:val="0"/>
          <w:sz w:val="16"/>
          <w:szCs w:val="24"/>
          <w14:ligatures w14:val="none"/>
        </w:rPr>
        <w:t>1</w:t>
      </w:r>
      <w:r w:rsidRPr="00A81801">
        <w:rPr>
          <w:rFonts w:ascii="Calibri" w:eastAsia="Times New Roman" w:hAnsi="Calibri" w:cs="Times New Roman"/>
          <w:bCs/>
          <w:noProof/>
          <w:color w:val="002060"/>
          <w:kern w:val="0"/>
          <w:sz w:val="16"/>
          <w:szCs w:val="24"/>
          <w14:ligatures w14:val="none"/>
        </w:rPr>
        <w:fldChar w:fldCharType="end"/>
      </w:r>
      <w:r w:rsidRPr="00A81801">
        <w:rPr>
          <w:rFonts w:ascii="Calibri" w:eastAsia="Times New Roman" w:hAnsi="Calibri" w:cs="Times New Roman"/>
          <w:bCs/>
          <w:color w:val="002060"/>
          <w:kern w:val="0"/>
          <w:sz w:val="16"/>
          <w:szCs w:val="24"/>
          <w14:ligatures w14:val="none"/>
        </w:rPr>
        <w:t xml:space="preserve"> Contratos de aquisição e serviços por modalidade de licitação</w:t>
      </w:r>
      <w:bookmarkEnd w:id="368"/>
    </w:p>
    <w:p w14:paraId="5966CC7E" w14:textId="77777777" w:rsidR="007E1FEC" w:rsidRDefault="007E1FEC" w:rsidP="007E1FEC">
      <w:pPr>
        <w:spacing w:after="0" w:line="240" w:lineRule="auto"/>
        <w:rPr>
          <w:rFonts w:ascii="Calibri" w:eastAsia="Times New Roman" w:hAnsi="Calibri" w:cs="Arial"/>
          <w:b/>
          <w:bCs/>
          <w:color w:val="002060"/>
          <w:kern w:val="0"/>
          <w14:ligatures w14:val="none"/>
        </w:rPr>
      </w:pPr>
    </w:p>
    <w:p w14:paraId="57BFE865" w14:textId="77777777" w:rsidR="007E1FEC" w:rsidRDefault="007E1FEC" w:rsidP="007E1FEC">
      <w:pPr>
        <w:tabs>
          <w:tab w:val="left" w:pos="851"/>
        </w:tabs>
        <w:spacing w:after="0" w:line="240" w:lineRule="auto"/>
        <w:jc w:val="both"/>
        <w:rPr>
          <w:rFonts w:ascii="Calibri" w:eastAsia="Calibri" w:hAnsi="Calibri" w:cs="Times New Roman"/>
          <w:b/>
          <w:color w:val="002060"/>
          <w:kern w:val="0"/>
          <w:szCs w:val="24"/>
          <w14:ligatures w14:val="none"/>
        </w:rPr>
      </w:pPr>
      <w:r w:rsidRPr="004F2B2E">
        <w:rPr>
          <w:rFonts w:ascii="Calibri" w:eastAsia="Calibri" w:hAnsi="Calibri" w:cs="Times New Roman"/>
          <w:b/>
          <w:color w:val="002060"/>
          <w:kern w:val="0"/>
          <w:szCs w:val="24"/>
          <w14:ligatures w14:val="none"/>
        </w:rPr>
        <w:t>Modalidades de Licitação e Justificativas</w:t>
      </w:r>
    </w:p>
    <w:p w14:paraId="784356BC" w14:textId="77777777" w:rsidR="007E1FEC" w:rsidRPr="004F2B2E" w:rsidRDefault="007E1FEC" w:rsidP="007E1FEC">
      <w:pPr>
        <w:tabs>
          <w:tab w:val="left" w:pos="851"/>
        </w:tabs>
        <w:spacing w:after="0" w:line="240" w:lineRule="auto"/>
        <w:jc w:val="both"/>
        <w:rPr>
          <w:rFonts w:ascii="Calibri" w:eastAsia="Calibri" w:hAnsi="Calibri" w:cs="Times New Roman"/>
          <w:b/>
          <w:color w:val="002060"/>
          <w:kern w:val="0"/>
          <w:szCs w:val="24"/>
          <w14:ligatures w14:val="none"/>
        </w:rPr>
      </w:pPr>
      <w:r w:rsidRPr="004F2B2E">
        <w:rPr>
          <w:rFonts w:ascii="Calibri" w:eastAsia="Calibri" w:hAnsi="Calibri" w:cs="Times New Roman"/>
          <w:b/>
          <w:color w:val="002060"/>
          <w:kern w:val="0"/>
          <w:szCs w:val="24"/>
          <w14:ligatures w14:val="none"/>
        </w:rPr>
        <w:t>Inexigibilidade de Licitação</w:t>
      </w:r>
      <w:r w:rsidRPr="004F2B2E">
        <w:rPr>
          <w:rFonts w:ascii="Calibri" w:eastAsia="Calibri" w:hAnsi="Calibri" w:cs="Times New Roman"/>
          <w:color w:val="002060"/>
          <w:kern w:val="0"/>
          <w:szCs w:val="24"/>
          <w14:ligatures w14:val="none"/>
        </w:rPr>
        <w:t>: As contratações realizadas sob esta modalidade foram fundamentadas na notória especialização de serviços, incluindo capacitações e outros serviços especializados sem concorrência disponível no mercado, como o fornecimento de energia elétrica e extensões da rede.</w:t>
      </w:r>
    </w:p>
    <w:p w14:paraId="4A6367A7" w14:textId="77777777" w:rsidR="007E1FEC" w:rsidRPr="004F2B2E" w:rsidRDefault="007E1FEC" w:rsidP="007E1FEC">
      <w:pPr>
        <w:tabs>
          <w:tab w:val="left" w:pos="851"/>
        </w:tabs>
        <w:spacing w:after="0" w:line="240" w:lineRule="auto"/>
        <w:jc w:val="both"/>
        <w:rPr>
          <w:rFonts w:ascii="Calibri" w:eastAsia="Calibri" w:hAnsi="Calibri" w:cs="Times New Roman"/>
          <w:color w:val="002060"/>
          <w:kern w:val="0"/>
          <w:szCs w:val="24"/>
          <w14:ligatures w14:val="none"/>
        </w:rPr>
      </w:pPr>
      <w:r w:rsidRPr="004F2B2E">
        <w:rPr>
          <w:rFonts w:ascii="Calibri" w:eastAsia="Calibri" w:hAnsi="Calibri" w:cs="Times New Roman"/>
          <w:b/>
          <w:color w:val="002060"/>
          <w:kern w:val="0"/>
          <w:szCs w:val="24"/>
          <w14:ligatures w14:val="none"/>
        </w:rPr>
        <w:t>Dispensa de Licitação</w:t>
      </w:r>
      <w:r w:rsidRPr="004F2B2E">
        <w:rPr>
          <w:rFonts w:ascii="Calibri" w:eastAsia="Calibri" w:hAnsi="Calibri" w:cs="Times New Roman"/>
          <w:color w:val="002060"/>
          <w:kern w:val="0"/>
          <w:szCs w:val="24"/>
          <w14:ligatures w14:val="none"/>
        </w:rPr>
        <w:t>: Esta modalidade foi aplicada a aquisições de pequeno valor, justificadas pelos critérios estabelecidos nos Incisos I, II, IV e V do Art. 112 do Regulamento de Licitações e Contratos da Telebras (RELIC) e pelos Incisos I, II, IV e V do Art. 29 da Lei nº 13.303/2016.</w:t>
      </w:r>
    </w:p>
    <w:p w14:paraId="628C4729" w14:textId="77777777" w:rsidR="007E1FEC" w:rsidRPr="004F2B2E" w:rsidRDefault="007E1FEC" w:rsidP="007E1FEC">
      <w:pPr>
        <w:tabs>
          <w:tab w:val="left" w:pos="851"/>
        </w:tabs>
        <w:spacing w:after="0" w:line="240" w:lineRule="auto"/>
        <w:jc w:val="both"/>
        <w:rPr>
          <w:rFonts w:ascii="Calibri" w:eastAsia="Calibri" w:hAnsi="Calibri" w:cs="Times New Roman"/>
          <w:color w:val="002060"/>
          <w:kern w:val="0"/>
          <w:szCs w:val="24"/>
          <w14:ligatures w14:val="none"/>
        </w:rPr>
      </w:pPr>
      <w:r w:rsidRPr="004F2B2E">
        <w:rPr>
          <w:rFonts w:ascii="Calibri" w:eastAsia="Calibri" w:hAnsi="Calibri" w:cs="Times New Roman"/>
          <w:b/>
          <w:color w:val="002060"/>
          <w:kern w:val="0"/>
          <w:szCs w:val="24"/>
          <w14:ligatures w14:val="none"/>
        </w:rPr>
        <w:t>Afastamento de Licitação</w:t>
      </w:r>
      <w:r w:rsidRPr="004F2B2E">
        <w:rPr>
          <w:rFonts w:ascii="Calibri" w:eastAsia="Calibri" w:hAnsi="Calibri" w:cs="Times New Roman"/>
          <w:color w:val="002060"/>
          <w:kern w:val="0"/>
          <w:szCs w:val="24"/>
          <w14:ligatures w14:val="none"/>
        </w:rPr>
        <w:t>: Casos que se enquadram no Inciso I do § 3º do Art. 28 da Lei nº 13.303/2016, destacando situações específicas que permitem a Telebras realizar contratações diretas, de acordo com a legislação.</w:t>
      </w:r>
    </w:p>
    <w:p w14:paraId="3A92D366" w14:textId="77777777" w:rsidR="007E1FEC" w:rsidRDefault="007E1FEC" w:rsidP="007E1FEC">
      <w:pPr>
        <w:tabs>
          <w:tab w:val="left" w:pos="851"/>
        </w:tabs>
        <w:spacing w:after="0" w:line="240" w:lineRule="auto"/>
        <w:jc w:val="both"/>
        <w:rPr>
          <w:rFonts w:ascii="Calibri" w:eastAsia="Calibri" w:hAnsi="Calibri" w:cs="Times New Roman"/>
          <w:color w:val="002060"/>
          <w:kern w:val="0"/>
          <w:szCs w:val="24"/>
          <w14:ligatures w14:val="none"/>
        </w:rPr>
      </w:pPr>
      <w:r w:rsidRPr="004F2B2E">
        <w:rPr>
          <w:rFonts w:ascii="Calibri" w:eastAsia="Calibri" w:hAnsi="Calibri" w:cs="Times New Roman"/>
          <w:b/>
          <w:color w:val="002060"/>
          <w:kern w:val="0"/>
          <w:szCs w:val="24"/>
          <w14:ligatures w14:val="none"/>
        </w:rPr>
        <w:t>Pregão Eletrônico</w:t>
      </w:r>
      <w:r w:rsidRPr="004F2B2E">
        <w:rPr>
          <w:rFonts w:ascii="Calibri" w:eastAsia="Calibri" w:hAnsi="Calibri" w:cs="Times New Roman"/>
          <w:color w:val="002060"/>
          <w:kern w:val="0"/>
          <w:szCs w:val="24"/>
          <w14:ligatures w14:val="none"/>
        </w:rPr>
        <w:t>: A modalidade de pregão eletrônico foi utilizada conforme as diretrizes do artigo 32, IV da Lei nº 13.303/2016, Lei nº 10.520/2002, Decreto nº 10.024/2019 e artigo 92, I do RELIC, evidenciando a busca da Telebras pela eficiência e transparência nas contratações públicas.</w:t>
      </w:r>
    </w:p>
    <w:p w14:paraId="72C41960" w14:textId="77777777" w:rsidR="007E1FEC" w:rsidRPr="004F2B2E" w:rsidRDefault="007E1FEC" w:rsidP="007E1FEC">
      <w:pPr>
        <w:tabs>
          <w:tab w:val="left" w:pos="851"/>
        </w:tabs>
        <w:spacing w:after="0" w:line="240" w:lineRule="auto"/>
        <w:jc w:val="both"/>
        <w:rPr>
          <w:rFonts w:ascii="Calibri" w:eastAsia="Calibri" w:hAnsi="Calibri" w:cs="Times New Roman"/>
          <w:b/>
          <w:bCs/>
          <w:color w:val="002060"/>
          <w:kern w:val="0"/>
          <w:szCs w:val="24"/>
          <w14:ligatures w14:val="none"/>
        </w:rPr>
      </w:pPr>
      <w:r w:rsidRPr="004F2B2E">
        <w:rPr>
          <w:rFonts w:ascii="Calibri" w:eastAsia="Calibri" w:hAnsi="Calibri" w:cs="Times New Roman"/>
          <w:b/>
          <w:bCs/>
          <w:color w:val="002060"/>
          <w:kern w:val="0"/>
          <w:szCs w:val="24"/>
          <w14:ligatures w14:val="none"/>
        </w:rPr>
        <w:t xml:space="preserve">10. Auditoria Externa </w:t>
      </w:r>
    </w:p>
    <w:p w14:paraId="680E766D" w14:textId="77777777" w:rsidR="007E1FEC" w:rsidRPr="004F2B2E" w:rsidRDefault="007E1FEC" w:rsidP="007E1FEC">
      <w:pPr>
        <w:tabs>
          <w:tab w:val="left" w:pos="851"/>
        </w:tabs>
        <w:spacing w:after="0" w:line="240" w:lineRule="auto"/>
        <w:jc w:val="both"/>
        <w:rPr>
          <w:rFonts w:ascii="Calibri" w:eastAsia="Times New Roman" w:hAnsi="Calibri" w:cs="Arial"/>
          <w:color w:val="002060"/>
          <w:kern w:val="0"/>
          <w:szCs w:val="24"/>
          <w14:ligatures w14:val="none"/>
        </w:rPr>
      </w:pPr>
      <w:r w:rsidRPr="004F2B2E">
        <w:rPr>
          <w:rFonts w:ascii="Calibri" w:eastAsia="Times New Roman" w:hAnsi="Calibri" w:cs="Arial"/>
          <w:color w:val="002060"/>
          <w:kern w:val="0"/>
          <w:szCs w:val="24"/>
          <w14:ligatures w14:val="none"/>
        </w:rPr>
        <w:t xml:space="preserve">Em atenção aos termos da Instrução CVM 381/03, a Telebras esclarece que, em 25 de outubro de 2022, contratou pelo período de três anos a empresa </w:t>
      </w:r>
      <w:proofErr w:type="spellStart"/>
      <w:r w:rsidRPr="004F2B2E">
        <w:rPr>
          <w:rFonts w:ascii="Calibri" w:eastAsia="Times New Roman" w:hAnsi="Calibri" w:cs="Arial"/>
          <w:i/>
          <w:iCs/>
          <w:color w:val="002060"/>
          <w:kern w:val="0"/>
          <w:szCs w:val="24"/>
          <w14:ligatures w14:val="none"/>
        </w:rPr>
        <w:t>Consult</w:t>
      </w:r>
      <w:proofErr w:type="spellEnd"/>
      <w:r w:rsidRPr="004F2B2E">
        <w:rPr>
          <w:rFonts w:ascii="Calibri" w:eastAsia="Times New Roman" w:hAnsi="Calibri" w:cs="Arial"/>
          <w:color w:val="002060"/>
          <w:kern w:val="0"/>
          <w:szCs w:val="24"/>
          <w14:ligatures w14:val="none"/>
        </w:rPr>
        <w:t xml:space="preserve"> – Auditores Independentes, para a prestação de serviços de auditoria independente das demonstrações contábeis, ora apresentada ao mercado. O valor total dos honorários contratados para esse serviço, conforme contrato firmado entre as partes, foi de R$ 160,5 mil.</w:t>
      </w:r>
    </w:p>
    <w:p w14:paraId="0DE22BDC" w14:textId="77777777" w:rsidR="007E1FEC" w:rsidRPr="004F2B2E" w:rsidRDefault="007E1FEC" w:rsidP="007E1FEC">
      <w:pPr>
        <w:tabs>
          <w:tab w:val="left" w:pos="851"/>
        </w:tabs>
        <w:spacing w:after="0" w:line="240" w:lineRule="auto"/>
        <w:jc w:val="both"/>
        <w:rPr>
          <w:rFonts w:ascii="Calibri" w:eastAsia="Times New Roman" w:hAnsi="Calibri" w:cs="Arial"/>
          <w:color w:val="002060"/>
          <w:kern w:val="0"/>
          <w:szCs w:val="24"/>
          <w14:ligatures w14:val="none"/>
        </w:rPr>
      </w:pPr>
      <w:r w:rsidRPr="004F2B2E">
        <w:rPr>
          <w:rFonts w:ascii="Calibri" w:eastAsia="Times New Roman" w:hAnsi="Calibri" w:cs="Arial"/>
          <w:color w:val="002060"/>
          <w:kern w:val="0"/>
          <w:szCs w:val="24"/>
          <w14:ligatures w14:val="none"/>
        </w:rPr>
        <w:t>Na contratação dos serviços de auditoria independente, as políticas adotadas pela Companhia fundamentam-se nos princípios que preservam a independência do auditor. Esses princípios consistem, de acordo com os padrões internacionalmente aceitos, em: (a) o auditor não deve auditar o seu próprio trabalho; (b) o auditor não deve exercer função de gerência no seu cliente; e (c) o auditor não deve representar legalmente os interesses de seus clientes.</w:t>
      </w:r>
    </w:p>
    <w:p w14:paraId="38B95EDB" w14:textId="77777777" w:rsidR="007E1FEC" w:rsidRPr="004F2B2E" w:rsidRDefault="007E1FEC" w:rsidP="007E1FEC">
      <w:pPr>
        <w:tabs>
          <w:tab w:val="left" w:pos="851"/>
        </w:tabs>
        <w:spacing w:after="0" w:line="240" w:lineRule="auto"/>
        <w:jc w:val="both"/>
        <w:rPr>
          <w:rFonts w:ascii="Calibri" w:eastAsia="Times New Roman" w:hAnsi="Calibri" w:cs="Arial"/>
          <w:color w:val="002060"/>
          <w:kern w:val="0"/>
          <w:szCs w:val="24"/>
          <w14:ligatures w14:val="none"/>
        </w:rPr>
      </w:pPr>
      <w:r w:rsidRPr="004F2B2E">
        <w:rPr>
          <w:rFonts w:ascii="Calibri" w:eastAsia="Times New Roman" w:hAnsi="Calibri" w:cs="Arial"/>
          <w:color w:val="002060"/>
          <w:kern w:val="0"/>
          <w:szCs w:val="24"/>
          <w14:ligatures w14:val="none"/>
        </w:rPr>
        <w:t xml:space="preserve">A </w:t>
      </w:r>
      <w:proofErr w:type="spellStart"/>
      <w:r w:rsidRPr="004F2B2E">
        <w:rPr>
          <w:rFonts w:ascii="Calibri" w:eastAsia="Times New Roman" w:hAnsi="Calibri" w:cs="Arial"/>
          <w:i/>
          <w:iCs/>
          <w:color w:val="002060"/>
          <w:kern w:val="0"/>
          <w:szCs w:val="24"/>
          <w14:ligatures w14:val="none"/>
        </w:rPr>
        <w:t>Consult</w:t>
      </w:r>
      <w:proofErr w:type="spellEnd"/>
      <w:r w:rsidRPr="004F2B2E">
        <w:rPr>
          <w:rFonts w:ascii="Calibri" w:eastAsia="Times New Roman" w:hAnsi="Calibri" w:cs="Arial"/>
          <w:color w:val="002060"/>
          <w:kern w:val="0"/>
          <w:szCs w:val="24"/>
          <w14:ligatures w14:val="none"/>
        </w:rPr>
        <w:t xml:space="preserve"> – Auditores Independentes declarou que a prestação dos serviços foi feita em estrita observância das normas contábeis que tratam da independência dos auditores independentes em trabalhos de auditoria e não representaram situação que poderia afetar a independência e a objetividade ao desempenho de seus serviços de auditoria externa.</w:t>
      </w:r>
    </w:p>
    <w:p w14:paraId="446E311C" w14:textId="77777777" w:rsidR="007E1FEC" w:rsidRPr="004F2B2E" w:rsidRDefault="007E1FEC" w:rsidP="007E1FEC">
      <w:pPr>
        <w:spacing w:after="0"/>
        <w:rPr>
          <w:rFonts w:ascii="Calibri" w:eastAsia="Times New Roman" w:hAnsi="Calibri" w:cs="Arial"/>
          <w:b/>
          <w:bCs/>
          <w:color w:val="002060"/>
          <w:kern w:val="0"/>
          <w14:ligatures w14:val="none"/>
        </w:rPr>
      </w:pPr>
      <w:r>
        <w:rPr>
          <w:rFonts w:ascii="Calibri" w:eastAsia="Times New Roman" w:hAnsi="Calibri" w:cs="Arial"/>
          <w:b/>
          <w:bCs/>
          <w:color w:val="002060"/>
          <w:kern w:val="0"/>
          <w14:ligatures w14:val="none"/>
        </w:rPr>
        <w:t xml:space="preserve">11. </w:t>
      </w:r>
      <w:bookmarkStart w:id="369" w:name="_Toc161319477"/>
      <w:r w:rsidRPr="004F2B2E">
        <w:rPr>
          <w:rFonts w:ascii="Calibri" w:eastAsia="Times New Roman" w:hAnsi="Calibri" w:cs="Arial"/>
          <w:b/>
          <w:bCs/>
          <w:color w:val="002060"/>
          <w:kern w:val="0"/>
          <w14:ligatures w14:val="none"/>
        </w:rPr>
        <w:t>Declaração dos Diretores sobre os Relatórios de Auditoria e Demonstrações Contábeis</w:t>
      </w:r>
      <w:bookmarkEnd w:id="369"/>
    </w:p>
    <w:p w14:paraId="2C19EA42" w14:textId="77777777" w:rsidR="007E1FEC" w:rsidRPr="004F2B2E" w:rsidRDefault="007E1FEC" w:rsidP="007E1FEC">
      <w:pPr>
        <w:tabs>
          <w:tab w:val="left" w:pos="851"/>
        </w:tabs>
        <w:spacing w:after="0" w:line="240" w:lineRule="auto"/>
        <w:jc w:val="both"/>
        <w:rPr>
          <w:rFonts w:ascii="Calibri" w:eastAsia="Times New Roman" w:hAnsi="Calibri" w:cs="Times New Roman"/>
          <w:color w:val="002060"/>
          <w:kern w:val="0"/>
          <w:szCs w:val="24"/>
          <w14:ligatures w14:val="none"/>
        </w:rPr>
      </w:pPr>
      <w:r w:rsidRPr="004F2B2E">
        <w:rPr>
          <w:rFonts w:ascii="Calibri" w:eastAsia="Times New Roman" w:hAnsi="Calibri" w:cs="Times New Roman"/>
          <w:color w:val="002060"/>
          <w:kern w:val="0"/>
          <w:szCs w:val="24"/>
          <w14:ligatures w14:val="none"/>
        </w:rPr>
        <w:t xml:space="preserve">Em atendimento ao disposto no art. 27, parágrafo 1º, incisos V e VI, da Instrução CVM nº 80, de 29 de março de 2022, os Diretores da Telecomunicações Brasileiras S.A. – Telebras, inscrita no CNPJ nº 00.336.701/0001-04, declaram: </w:t>
      </w:r>
    </w:p>
    <w:p w14:paraId="793CB7DF" w14:textId="77777777" w:rsidR="007E1FEC" w:rsidRPr="004F2B2E" w:rsidRDefault="007E1FEC" w:rsidP="007E1FEC">
      <w:pPr>
        <w:tabs>
          <w:tab w:val="left" w:pos="851"/>
        </w:tabs>
        <w:spacing w:after="0" w:line="240" w:lineRule="auto"/>
        <w:ind w:left="851"/>
        <w:jc w:val="both"/>
        <w:rPr>
          <w:rFonts w:ascii="Calibri" w:eastAsia="Times New Roman" w:hAnsi="Calibri" w:cs="Times New Roman"/>
          <w:color w:val="002060"/>
          <w:kern w:val="0"/>
          <w:szCs w:val="24"/>
          <w14:ligatures w14:val="none"/>
        </w:rPr>
      </w:pPr>
      <w:r w:rsidRPr="004F2B2E">
        <w:rPr>
          <w:rFonts w:ascii="Calibri" w:eastAsia="Times New Roman" w:hAnsi="Calibri" w:cs="Times New Roman"/>
          <w:color w:val="002060"/>
          <w:kern w:val="0"/>
          <w:szCs w:val="24"/>
          <w14:ligatures w14:val="none"/>
        </w:rPr>
        <w:t>(I)</w:t>
      </w:r>
      <w:r w:rsidRPr="004F2B2E">
        <w:rPr>
          <w:rFonts w:ascii="Calibri" w:eastAsia="Times New Roman" w:hAnsi="Calibri" w:cs="Times New Roman"/>
          <w:color w:val="002060"/>
          <w:kern w:val="0"/>
          <w:szCs w:val="24"/>
          <w14:ligatures w14:val="none"/>
        </w:rPr>
        <w:tab/>
        <w:t xml:space="preserve"> baseados em seus conhecimentos, no relatório apresentado pelos auditores e nas discussões subsequentes sobre os resultados de auditoria, que concordam com as opiniões expressas no relatório elaborado pelos auditores da empresa </w:t>
      </w:r>
      <w:proofErr w:type="spellStart"/>
      <w:r w:rsidRPr="004F2B2E">
        <w:rPr>
          <w:rFonts w:ascii="Calibri" w:eastAsia="Times New Roman" w:hAnsi="Calibri" w:cs="Times New Roman"/>
          <w:color w:val="002060"/>
          <w:kern w:val="0"/>
          <w:szCs w:val="24"/>
          <w14:ligatures w14:val="none"/>
        </w:rPr>
        <w:t>Consult</w:t>
      </w:r>
      <w:proofErr w:type="spellEnd"/>
      <w:r w:rsidRPr="004F2B2E">
        <w:rPr>
          <w:rFonts w:ascii="Calibri" w:eastAsia="Times New Roman" w:hAnsi="Calibri" w:cs="Times New Roman"/>
          <w:color w:val="002060"/>
          <w:kern w:val="0"/>
          <w:szCs w:val="24"/>
          <w14:ligatures w14:val="none"/>
        </w:rPr>
        <w:t xml:space="preserve"> – Auditores Independentes, emitido em 05 de março de 2023, não havendo qualquer discordância com relação às Demonstrações Contábeis relativas ao exercício social encerrado em 31 de dezembro de 2023.</w:t>
      </w:r>
    </w:p>
    <w:p w14:paraId="38494AB7" w14:textId="5133DB14" w:rsidR="007E1FEC" w:rsidRPr="00AB442D" w:rsidRDefault="007E1FEC" w:rsidP="00AB442D">
      <w:pPr>
        <w:tabs>
          <w:tab w:val="left" w:pos="851"/>
        </w:tabs>
        <w:spacing w:after="0" w:line="240" w:lineRule="auto"/>
        <w:ind w:left="851"/>
        <w:jc w:val="both"/>
        <w:rPr>
          <w:rFonts w:ascii="Calibri" w:eastAsia="Times New Roman" w:hAnsi="Calibri" w:cs="Times New Roman"/>
          <w:color w:val="002060"/>
          <w:kern w:val="0"/>
          <w:szCs w:val="24"/>
          <w14:ligatures w14:val="none"/>
        </w:rPr>
        <w:sectPr w:rsidR="007E1FEC" w:rsidRPr="00AB442D" w:rsidSect="00CD43C8">
          <w:headerReference w:type="default" r:id="rId28"/>
          <w:footerReference w:type="default" r:id="rId29"/>
          <w:headerReference w:type="first" r:id="rId30"/>
          <w:footerReference w:type="first" r:id="rId31"/>
          <w:type w:val="continuous"/>
          <w:pgSz w:w="11907" w:h="16840" w:code="9"/>
          <w:pgMar w:top="1701" w:right="1134" w:bottom="1531" w:left="1701" w:header="454" w:footer="397" w:gutter="0"/>
          <w:cols w:space="708"/>
          <w:titlePg/>
          <w:docGrid w:linePitch="360"/>
        </w:sectPr>
      </w:pPr>
      <w:r w:rsidRPr="004F2B2E">
        <w:rPr>
          <w:rFonts w:ascii="Calibri" w:eastAsia="Times New Roman" w:hAnsi="Calibri" w:cs="Times New Roman"/>
          <w:color w:val="002060"/>
          <w:kern w:val="0"/>
          <w:szCs w:val="24"/>
          <w14:ligatures w14:val="none"/>
        </w:rPr>
        <w:lastRenderedPageBreak/>
        <w:t xml:space="preserve">(II) </w:t>
      </w:r>
      <w:r w:rsidRPr="004F2B2E">
        <w:rPr>
          <w:rFonts w:ascii="Calibri" w:eastAsia="Times New Roman" w:hAnsi="Calibri" w:cs="Times New Roman"/>
          <w:color w:val="002060"/>
          <w:kern w:val="0"/>
          <w:szCs w:val="24"/>
          <w14:ligatures w14:val="none"/>
        </w:rPr>
        <w:tab/>
        <w:t>que revisaram o relatório dos referidos auditores sobre as Demonstrações Contábeis relativas ao exercício encerrado em 31 de dezembro de 2023, da Telecomunicações Brasileiras S.A - Telebras e, baseados nas discussões subsequentes, concordam que tais demonstrações refletem adequadamente, em todos os aspectos relevantes, a posição patrimonial e financeira correspondente ao exercício apresentado.</w:t>
      </w:r>
    </w:p>
    <w:p w14:paraId="4AC13513" w14:textId="77777777" w:rsidR="006C518A" w:rsidRDefault="006C518A" w:rsidP="006C518A">
      <w:pPr>
        <w:tabs>
          <w:tab w:val="left" w:pos="851"/>
        </w:tabs>
        <w:spacing w:after="0" w:line="240" w:lineRule="auto"/>
        <w:jc w:val="both"/>
        <w:rPr>
          <w:rFonts w:ascii="Calibri" w:eastAsia="Times New Roman" w:hAnsi="Calibri" w:cs="Arial"/>
          <w:b/>
          <w:bCs/>
          <w:color w:val="002060"/>
          <w:kern w:val="0"/>
          <w14:ligatures w14:val="none"/>
        </w:rPr>
      </w:pPr>
    </w:p>
    <w:tbl>
      <w:tblPr>
        <w:tblStyle w:val="Tabelacomgrade"/>
        <w:tblW w:w="0" w:type="auto"/>
        <w:tblLook w:val="04A0" w:firstRow="1" w:lastRow="0" w:firstColumn="1" w:lastColumn="0" w:noHBand="0" w:noVBand="1"/>
      </w:tblPr>
      <w:tblGrid>
        <w:gridCol w:w="8784"/>
      </w:tblGrid>
      <w:tr w:rsidR="00701971" w14:paraId="35566A96" w14:textId="77777777" w:rsidTr="00490EAF">
        <w:trPr>
          <w:trHeight w:val="762"/>
        </w:trPr>
        <w:tc>
          <w:tcPr>
            <w:tcW w:w="8784" w:type="dxa"/>
            <w:shd w:val="clear" w:color="auto" w:fill="215E99" w:themeFill="text2" w:themeFillTint="BF"/>
          </w:tcPr>
          <w:p w14:paraId="375402AE" w14:textId="4F3B7CAE" w:rsidR="00A82656" w:rsidRDefault="00701971" w:rsidP="00A82656">
            <w:pPr>
              <w:tabs>
                <w:tab w:val="left" w:pos="851"/>
              </w:tabs>
              <w:jc w:val="center"/>
              <w:rPr>
                <w:rFonts w:ascii="Calibri" w:eastAsia="Times New Roman" w:hAnsi="Calibri" w:cs="Arial"/>
                <w:b/>
                <w:bCs/>
                <w:color w:val="FFFFFF" w:themeColor="background1"/>
                <w:kern w:val="0"/>
                <w:sz w:val="24"/>
                <w:szCs w:val="24"/>
                <w14:ligatures w14:val="none"/>
              </w:rPr>
            </w:pPr>
            <w:bookmarkStart w:id="370" w:name="_Hlk162368047"/>
            <w:r w:rsidRPr="006C518A">
              <w:rPr>
                <w:rFonts w:ascii="Calibri" w:eastAsia="Times New Roman" w:hAnsi="Calibri" w:cs="Arial"/>
                <w:b/>
                <w:bCs/>
                <w:color w:val="FFFFFF" w:themeColor="background1"/>
                <w:kern w:val="0"/>
                <w:sz w:val="24"/>
                <w:szCs w:val="24"/>
                <w14:ligatures w14:val="none"/>
              </w:rPr>
              <w:t xml:space="preserve">Demonstrações Contábeis Anuais </w:t>
            </w:r>
            <w:r w:rsidR="00A82656">
              <w:rPr>
                <w:rFonts w:ascii="Calibri" w:eastAsia="Times New Roman" w:hAnsi="Calibri" w:cs="Arial"/>
                <w:b/>
                <w:bCs/>
                <w:color w:val="FFFFFF" w:themeColor="background1"/>
                <w:kern w:val="0"/>
                <w:sz w:val="24"/>
                <w:szCs w:val="24"/>
                <w14:ligatures w14:val="none"/>
              </w:rPr>
              <w:t>–</w:t>
            </w:r>
          </w:p>
          <w:p w14:paraId="023BD133" w14:textId="7F1A8457" w:rsidR="00701971" w:rsidRPr="006C518A" w:rsidRDefault="00701971" w:rsidP="00701971">
            <w:pPr>
              <w:tabs>
                <w:tab w:val="left" w:pos="851"/>
              </w:tabs>
              <w:jc w:val="center"/>
              <w:rPr>
                <w:rFonts w:ascii="Calibri" w:eastAsia="Times New Roman" w:hAnsi="Calibri" w:cs="Arial"/>
                <w:b/>
                <w:bCs/>
                <w:color w:val="FFFFFF" w:themeColor="background1"/>
                <w:kern w:val="0"/>
                <w:sz w:val="24"/>
                <w:szCs w:val="24"/>
                <w14:ligatures w14:val="none"/>
              </w:rPr>
            </w:pPr>
            <w:r w:rsidRPr="006C518A">
              <w:rPr>
                <w:rFonts w:ascii="Calibri" w:eastAsia="Times New Roman" w:hAnsi="Calibri" w:cs="Arial"/>
                <w:b/>
                <w:bCs/>
                <w:color w:val="FFFFFF" w:themeColor="background1"/>
                <w:kern w:val="0"/>
                <w:sz w:val="24"/>
                <w:szCs w:val="24"/>
                <w14:ligatures w14:val="none"/>
              </w:rPr>
              <w:t>TELECOMUNICAÇÕES BRASILEIRAS S.A – TELEBRAS</w:t>
            </w:r>
          </w:p>
          <w:p w14:paraId="4F240EBE" w14:textId="451845D3" w:rsidR="00701971" w:rsidRPr="00A82656" w:rsidRDefault="00701971" w:rsidP="00A82656">
            <w:pPr>
              <w:tabs>
                <w:tab w:val="left" w:pos="851"/>
              </w:tabs>
              <w:jc w:val="center"/>
              <w:rPr>
                <w:rFonts w:ascii="Calibri" w:eastAsia="Times New Roman" w:hAnsi="Calibri" w:cs="Arial"/>
                <w:b/>
                <w:bCs/>
                <w:color w:val="FFFFFF" w:themeColor="background1"/>
                <w:kern w:val="0"/>
                <w:sz w:val="24"/>
                <w:szCs w:val="24"/>
                <w14:ligatures w14:val="none"/>
              </w:rPr>
            </w:pPr>
            <w:r w:rsidRPr="006C518A">
              <w:rPr>
                <w:rFonts w:ascii="Calibri" w:eastAsia="Times New Roman" w:hAnsi="Calibri" w:cs="Arial"/>
                <w:b/>
                <w:bCs/>
                <w:color w:val="FFFFFF" w:themeColor="background1"/>
                <w:kern w:val="0"/>
                <w:sz w:val="24"/>
                <w:szCs w:val="24"/>
                <w14:ligatures w14:val="none"/>
              </w:rPr>
              <w:t>Em 31 de Dezembro de 2023 e 2022</w:t>
            </w:r>
          </w:p>
        </w:tc>
      </w:tr>
    </w:tbl>
    <w:bookmarkEnd w:id="370"/>
    <w:p w14:paraId="34CC9F97" w14:textId="149E8B06" w:rsidR="00701971" w:rsidRPr="00490EAF" w:rsidRDefault="00490EAF" w:rsidP="00490EAF">
      <w:pPr>
        <w:tabs>
          <w:tab w:val="left" w:pos="851"/>
        </w:tabs>
        <w:spacing w:after="0" w:line="240" w:lineRule="auto"/>
        <w:jc w:val="both"/>
        <w:rPr>
          <w:rFonts w:ascii="Calibri" w:eastAsia="Times New Roman" w:hAnsi="Calibri" w:cs="Arial"/>
          <w:b/>
          <w:bCs/>
          <w:color w:val="002060"/>
          <w:kern w:val="0"/>
          <w14:ligatures w14:val="none"/>
        </w:rPr>
      </w:pPr>
      <w:r>
        <w:rPr>
          <w:noProof/>
          <w:sz w:val="24"/>
          <w:szCs w:val="24"/>
        </w:rPr>
        <w:drawing>
          <wp:anchor distT="0" distB="0" distL="114300" distR="114300" simplePos="0" relativeHeight="251661312" behindDoc="0" locked="0" layoutInCell="1" allowOverlap="1" wp14:anchorId="4E6C23B3" wp14:editId="6EA4E160">
            <wp:simplePos x="0" y="0"/>
            <wp:positionH relativeFrom="margin">
              <wp:posOffset>-635</wp:posOffset>
            </wp:positionH>
            <wp:positionV relativeFrom="paragraph">
              <wp:posOffset>31115</wp:posOffset>
            </wp:positionV>
            <wp:extent cx="1689100" cy="425450"/>
            <wp:effectExtent l="0" t="0" r="6350" b="0"/>
            <wp:wrapSquare wrapText="bothSides"/>
            <wp:docPr id="1522513727" name="Imagem 1522513727"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13727" name="Imagem 1522513727" descr="Logotipo, nome da empresa&#10;&#10;Descrição gerada automaticamen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89100" cy="425450"/>
                    </a:xfrm>
                    <a:prstGeom prst="rect">
                      <a:avLst/>
                    </a:prstGeom>
                    <a:noFill/>
                  </pic:spPr>
                </pic:pic>
              </a:graphicData>
            </a:graphic>
            <wp14:sizeRelH relativeFrom="page">
              <wp14:pctWidth>0</wp14:pctWidth>
            </wp14:sizeRelH>
            <wp14:sizeRelV relativeFrom="page">
              <wp14:pctHeight>0</wp14:pctHeight>
            </wp14:sizeRelV>
          </wp:anchor>
        </w:drawing>
      </w:r>
    </w:p>
    <w:p w14:paraId="3E5C77AF" w14:textId="7D6A35F4" w:rsidR="00701971" w:rsidRPr="00701971" w:rsidRDefault="00701971" w:rsidP="0092558B">
      <w:pPr>
        <w:spacing w:after="0"/>
        <w:jc w:val="center"/>
        <w:rPr>
          <w:rFonts w:ascii="Calibri" w:eastAsia="Times New Roman" w:hAnsi="Calibri" w:cs="Arial"/>
          <w:b/>
          <w:sz w:val="24"/>
          <w:szCs w:val="24"/>
          <w:u w:val="single"/>
        </w:rPr>
      </w:pPr>
      <w:r w:rsidRPr="00701971">
        <w:rPr>
          <w:rFonts w:ascii="Calibri" w:eastAsia="Times New Roman" w:hAnsi="Calibri" w:cs="Arial"/>
          <w:noProof/>
          <w:sz w:val="24"/>
          <w:szCs w:val="24"/>
          <w:u w:val="single"/>
        </w:rPr>
        <w:drawing>
          <wp:anchor distT="0" distB="0" distL="114300" distR="114300" simplePos="0" relativeHeight="251663360" behindDoc="0" locked="0" layoutInCell="1" allowOverlap="1" wp14:anchorId="68EA96A3" wp14:editId="0AA1EBA5">
            <wp:simplePos x="0" y="0"/>
            <wp:positionH relativeFrom="page">
              <wp:posOffset>1752600</wp:posOffset>
            </wp:positionH>
            <wp:positionV relativeFrom="paragraph">
              <wp:posOffset>-22209125</wp:posOffset>
            </wp:positionV>
            <wp:extent cx="5778500" cy="9043670"/>
            <wp:effectExtent l="0" t="0" r="0" b="0"/>
            <wp:wrapNone/>
            <wp:docPr id="25" name="Imagem 7" descr="Desenho preto e branc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7" descr="Desenho preto e branco&#10;&#10;Descrição gerada automaticamente com confiança baixa"/>
                    <pic:cNvPicPr>
                      <a:picLocks noChangeAspect="1"/>
                    </pic:cNvPicPr>
                  </pic:nvPicPr>
                  <pic:blipFill rotWithShape="1">
                    <a:blip r:embed="rId33" cstate="hqprint">
                      <a:extLst>
                        <a:ext uri="{28A0092B-C50C-407E-A947-70E740481C1C}">
                          <a14:useLocalDpi xmlns:a14="http://schemas.microsoft.com/office/drawing/2010/main" val="0"/>
                        </a:ext>
                      </a:extLst>
                    </a:blip>
                    <a:srcRect t="23355" r="39649" b="8508"/>
                    <a:stretch/>
                  </pic:blipFill>
                  <pic:spPr bwMode="auto">
                    <a:xfrm>
                      <a:off x="0" y="0"/>
                      <a:ext cx="5778500" cy="9043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1971">
        <w:rPr>
          <w:rFonts w:ascii="Calibri" w:eastAsia="Times New Roman" w:hAnsi="Calibri" w:cs="Arial"/>
          <w:b/>
          <w:sz w:val="24"/>
          <w:szCs w:val="24"/>
          <w:u w:val="single"/>
        </w:rPr>
        <w:t>RELATÓRIO DOS AUDITORES INDEPENDENTES SOBRE AS DEMONSTRAÇÕES CONTÁBEIS</w:t>
      </w:r>
    </w:p>
    <w:p w14:paraId="65120045" w14:textId="77777777" w:rsidR="00490EAF" w:rsidRPr="00D25BCA" w:rsidRDefault="00490EAF" w:rsidP="00701971">
      <w:pPr>
        <w:spacing w:after="0"/>
        <w:rPr>
          <w:rFonts w:ascii="Calibri" w:eastAsia="Times New Roman" w:hAnsi="Calibri" w:cs="Calibri"/>
        </w:rPr>
      </w:pPr>
    </w:p>
    <w:p w14:paraId="17FD916B" w14:textId="2148131D" w:rsidR="00701971" w:rsidRPr="00D25BCA" w:rsidRDefault="00701971" w:rsidP="00701971">
      <w:pPr>
        <w:spacing w:after="0"/>
        <w:rPr>
          <w:rFonts w:ascii="Calibri" w:eastAsia="Times New Roman" w:hAnsi="Calibri" w:cs="Calibri"/>
        </w:rPr>
      </w:pPr>
      <w:r w:rsidRPr="00701971">
        <w:rPr>
          <w:rFonts w:ascii="Calibri" w:eastAsia="Times New Roman" w:hAnsi="Calibri" w:cs="Calibri"/>
        </w:rPr>
        <w:t>Aos Diretores, Conselho de Administração e Acionistas da</w:t>
      </w:r>
      <w:r w:rsidRPr="00D25BCA">
        <w:rPr>
          <w:rFonts w:ascii="Calibri" w:eastAsia="Times New Roman" w:hAnsi="Calibri" w:cs="Calibri"/>
        </w:rPr>
        <w:t xml:space="preserve"> - </w:t>
      </w:r>
      <w:r w:rsidRPr="00701971">
        <w:rPr>
          <w:rFonts w:ascii="Calibri" w:eastAsia="Times New Roman" w:hAnsi="Calibri" w:cs="Calibri"/>
        </w:rPr>
        <w:t xml:space="preserve">TELECOMUNICAÇÕES BRASILEIRAS S.A. – </w:t>
      </w:r>
      <w:r w:rsidRPr="00D25BCA">
        <w:rPr>
          <w:rFonts w:ascii="Calibri" w:eastAsia="Times New Roman" w:hAnsi="Calibri" w:cs="Calibri"/>
        </w:rPr>
        <w:t xml:space="preserve">TELEBRAS - </w:t>
      </w:r>
      <w:r w:rsidRPr="00701971">
        <w:rPr>
          <w:rFonts w:ascii="Calibri" w:eastAsia="Times New Roman" w:hAnsi="Calibri" w:cs="Calibri"/>
        </w:rPr>
        <w:t xml:space="preserve">Brasília - DF </w:t>
      </w:r>
    </w:p>
    <w:p w14:paraId="7941F90E" w14:textId="7CB71DC2" w:rsidR="00701971" w:rsidRPr="00701971" w:rsidRDefault="00701971" w:rsidP="0092558B">
      <w:pPr>
        <w:spacing w:after="0"/>
        <w:jc w:val="both"/>
        <w:rPr>
          <w:rFonts w:ascii="Calibri" w:eastAsia="Times New Roman" w:hAnsi="Calibri" w:cs="Calibri"/>
        </w:rPr>
      </w:pPr>
      <w:r w:rsidRPr="00701971">
        <w:rPr>
          <w:rFonts w:ascii="Calibri" w:eastAsia="Times New Roman" w:hAnsi="Calibri" w:cs="Calibri"/>
          <w:b/>
        </w:rPr>
        <w:t xml:space="preserve">Opinião </w:t>
      </w:r>
    </w:p>
    <w:p w14:paraId="5C5ED07A" w14:textId="77777777" w:rsidR="00701971" w:rsidRPr="00701971" w:rsidRDefault="00701971" w:rsidP="0092558B">
      <w:pPr>
        <w:spacing w:after="0"/>
        <w:jc w:val="both"/>
        <w:rPr>
          <w:rFonts w:ascii="Calibri" w:eastAsia="Times New Roman" w:hAnsi="Calibri" w:cs="Calibri"/>
        </w:rPr>
      </w:pPr>
      <w:r w:rsidRPr="00701971">
        <w:rPr>
          <w:rFonts w:ascii="Calibri" w:eastAsia="Times New Roman" w:hAnsi="Calibri" w:cs="Calibri"/>
        </w:rPr>
        <w:t>Examinamos as demonstrações contábeis da Telecomunicações Brasileiras S.A – TELEBRÁS (“Companhia”), que compreendem o balanço patrimonial em 31 de dezembro de 2023 e as respectivas demonstrações do resultado, do resultado abrangente, das mutações do patrimônio líquido e dos fluxos de caixa para o exercício findo nessa data, bem como as correspondentes notas explicativas, incluindo o resumo das principais políticas contábeis.</w:t>
      </w:r>
    </w:p>
    <w:p w14:paraId="4A69E0D3" w14:textId="0FF9C72B" w:rsidR="00701971" w:rsidRPr="00701971" w:rsidRDefault="00701971" w:rsidP="0092558B">
      <w:pPr>
        <w:spacing w:after="0"/>
        <w:jc w:val="both"/>
        <w:rPr>
          <w:rFonts w:ascii="Calibri" w:eastAsia="Times New Roman" w:hAnsi="Calibri" w:cs="Calibri"/>
        </w:rPr>
      </w:pPr>
      <w:r w:rsidRPr="00701971">
        <w:rPr>
          <w:rFonts w:ascii="Calibri" w:eastAsia="Times New Roman" w:hAnsi="Calibri" w:cs="Calibri"/>
        </w:rPr>
        <w:t>Em nossa opinião, as demonstrações contábeis acima referidas apresentam adequadamente, em todos os aspectos relevantes, a posição patrimonial e financeira da Companhia em 31 de dezembro de 2023, o desempenho de suas operações e os seus fluxos de caixa para o exercício findo nessa data, de acordo com as práticas contábeis adotadas no Brasil e com as normas internacionais de relatório financeiro (“</w:t>
      </w:r>
      <w:proofErr w:type="spellStart"/>
      <w:r w:rsidRPr="00701971">
        <w:rPr>
          <w:rFonts w:ascii="Calibri" w:eastAsia="Times New Roman" w:hAnsi="Calibri" w:cs="Calibri"/>
          <w:i/>
          <w:iCs/>
        </w:rPr>
        <w:t>International</w:t>
      </w:r>
      <w:proofErr w:type="spellEnd"/>
      <w:r w:rsidRPr="00701971">
        <w:rPr>
          <w:rFonts w:ascii="Calibri" w:eastAsia="Times New Roman" w:hAnsi="Calibri" w:cs="Calibri"/>
          <w:i/>
          <w:iCs/>
        </w:rPr>
        <w:t xml:space="preserve"> Financial </w:t>
      </w:r>
      <w:proofErr w:type="spellStart"/>
      <w:r w:rsidRPr="00701971">
        <w:rPr>
          <w:rFonts w:ascii="Calibri" w:eastAsia="Times New Roman" w:hAnsi="Calibri" w:cs="Calibri"/>
          <w:i/>
          <w:iCs/>
        </w:rPr>
        <w:t>Reporting</w:t>
      </w:r>
      <w:proofErr w:type="spellEnd"/>
      <w:r w:rsidRPr="00701971">
        <w:rPr>
          <w:rFonts w:ascii="Calibri" w:eastAsia="Times New Roman" w:hAnsi="Calibri" w:cs="Calibri"/>
          <w:i/>
          <w:iCs/>
        </w:rPr>
        <w:t xml:space="preserve"> Standards</w:t>
      </w:r>
      <w:r w:rsidRPr="00701971">
        <w:rPr>
          <w:rFonts w:ascii="Calibri" w:eastAsia="Times New Roman" w:hAnsi="Calibri" w:cs="Calibri"/>
        </w:rPr>
        <w:t xml:space="preserve"> – IFRS”) emitidas pelo “</w:t>
      </w:r>
      <w:proofErr w:type="spellStart"/>
      <w:r w:rsidRPr="00701971">
        <w:rPr>
          <w:rFonts w:ascii="Calibri" w:eastAsia="Times New Roman" w:hAnsi="Calibri" w:cs="Calibri"/>
        </w:rPr>
        <w:t>International</w:t>
      </w:r>
      <w:proofErr w:type="spellEnd"/>
      <w:r w:rsidRPr="00701971">
        <w:rPr>
          <w:rFonts w:ascii="Calibri" w:eastAsia="Times New Roman" w:hAnsi="Calibri" w:cs="Calibri"/>
        </w:rPr>
        <w:t xml:space="preserve"> </w:t>
      </w:r>
      <w:proofErr w:type="spellStart"/>
      <w:r w:rsidRPr="00701971">
        <w:rPr>
          <w:rFonts w:ascii="Calibri" w:eastAsia="Times New Roman" w:hAnsi="Calibri" w:cs="Calibri"/>
        </w:rPr>
        <w:t>Accounting</w:t>
      </w:r>
      <w:proofErr w:type="spellEnd"/>
      <w:r w:rsidRPr="00701971">
        <w:rPr>
          <w:rFonts w:ascii="Calibri" w:eastAsia="Times New Roman" w:hAnsi="Calibri" w:cs="Calibri"/>
        </w:rPr>
        <w:t xml:space="preserve"> Standards Board – IASB”.</w:t>
      </w:r>
    </w:p>
    <w:p w14:paraId="4CC31DFF" w14:textId="77777777" w:rsidR="00701971" w:rsidRPr="00701971" w:rsidRDefault="00701971" w:rsidP="0092558B">
      <w:pPr>
        <w:spacing w:after="0"/>
        <w:jc w:val="both"/>
        <w:rPr>
          <w:rFonts w:ascii="Calibri" w:eastAsia="Times New Roman" w:hAnsi="Calibri" w:cs="Calibri"/>
          <w:b/>
        </w:rPr>
      </w:pPr>
      <w:r w:rsidRPr="00701971">
        <w:rPr>
          <w:rFonts w:ascii="Calibri" w:eastAsia="Times New Roman" w:hAnsi="Calibri" w:cs="Calibri"/>
          <w:b/>
        </w:rPr>
        <w:t xml:space="preserve">Base para Opinião </w:t>
      </w:r>
    </w:p>
    <w:p w14:paraId="04987B27" w14:textId="77777777" w:rsidR="00701971" w:rsidRPr="00701971" w:rsidRDefault="00701971" w:rsidP="0092558B">
      <w:pPr>
        <w:spacing w:after="0"/>
        <w:jc w:val="both"/>
        <w:rPr>
          <w:rFonts w:ascii="Calibri" w:eastAsia="Times New Roman" w:hAnsi="Calibri" w:cs="Calibri"/>
        </w:rPr>
      </w:pPr>
      <w:r w:rsidRPr="00701971">
        <w:rPr>
          <w:rFonts w:ascii="Calibri" w:eastAsia="Times New Roman" w:hAnsi="Calibri" w:cs="Calibri"/>
        </w:rPr>
        <w:t>Nossa auditoria foi conduzida de acordo com as normas brasileiras e internacionais de auditoria. Nossas responsabilidades, em conformidade com tais normas, estão descritas na seção a seguir, intitulada “Responsabilidades do auditor pela auditoria das demonstrações contábeis”. Somos independentes em relação à Companhia, de acordo com os princípios éticos relevantes previstos no Código de Ética Profissional do Contador e nas normas profissionais emitidas pelo Conselho Federal de Contabilidade - CFC, e cumprimos com as demais responsabilidades éticas de acordo com essas normas. Acreditamos que a evidência de auditoria obtida é suficiente e apropriada para fundamentar nossa opinião.</w:t>
      </w:r>
    </w:p>
    <w:p w14:paraId="258A17ED" w14:textId="77777777" w:rsidR="00701971" w:rsidRPr="00701971" w:rsidRDefault="00701971" w:rsidP="0092558B">
      <w:pPr>
        <w:spacing w:after="0"/>
        <w:jc w:val="both"/>
        <w:rPr>
          <w:rFonts w:ascii="Calibri" w:eastAsia="Times New Roman" w:hAnsi="Calibri" w:cs="Calibri"/>
          <w:b/>
        </w:rPr>
      </w:pPr>
      <w:r w:rsidRPr="00701971">
        <w:rPr>
          <w:rFonts w:ascii="Calibri" w:eastAsia="Times New Roman" w:hAnsi="Calibri" w:cs="Calibri"/>
          <w:b/>
        </w:rPr>
        <w:t>Principais Assuntos de Auditoria - PAA</w:t>
      </w:r>
    </w:p>
    <w:p w14:paraId="007D827F" w14:textId="3AB911BF" w:rsidR="00701971" w:rsidRPr="00D25BCA" w:rsidRDefault="00701971" w:rsidP="0092558B">
      <w:pPr>
        <w:spacing w:after="0"/>
        <w:jc w:val="both"/>
        <w:rPr>
          <w:rFonts w:ascii="Calibri" w:eastAsia="Times New Roman" w:hAnsi="Calibri" w:cs="Calibri"/>
        </w:rPr>
      </w:pPr>
      <w:r w:rsidRPr="00D25BCA">
        <w:rPr>
          <w:rFonts w:ascii="Calibri" w:eastAsia="Times New Roman" w:hAnsi="Calibri" w:cs="Calibri"/>
        </w:rPr>
        <w:t>Principais assuntos de auditoria (“PAA”) são aqueles que, em nosso julgamento profissional, foram os mais significativos em nossa auditoria do exercício corrente. Esses assuntos foram abordados no contexto de nossa auditoria das demonstrações contábeis como um todo e na formação de nossa opinião sobre essas demonstrações contábeis, e, portanto, não expressamos uma opinião separada sobre esses assuntos.</w:t>
      </w:r>
    </w:p>
    <w:p w14:paraId="0EDFD01A" w14:textId="77777777" w:rsidR="0092558B" w:rsidRPr="0092558B" w:rsidRDefault="0092558B" w:rsidP="0092558B">
      <w:pPr>
        <w:spacing w:after="0"/>
        <w:jc w:val="both"/>
        <w:rPr>
          <w:rFonts w:ascii="Calibri" w:eastAsia="Times New Roman" w:hAnsi="Calibri" w:cs="Calibri"/>
        </w:rPr>
      </w:pPr>
      <w:bookmarkStart w:id="371" w:name="_Hlk159854531"/>
      <w:r w:rsidRPr="0092558B">
        <w:rPr>
          <w:rFonts w:ascii="Calibri" w:eastAsia="Times New Roman" w:hAnsi="Calibri" w:cs="Calibri"/>
        </w:rPr>
        <w:t>Ativo Imobilizado e Análise de Recuperabilidade (</w:t>
      </w:r>
      <w:proofErr w:type="spellStart"/>
      <w:r w:rsidRPr="0092558B">
        <w:rPr>
          <w:rFonts w:ascii="Calibri" w:eastAsia="Times New Roman" w:hAnsi="Calibri" w:cs="Calibri"/>
          <w:i/>
          <w:iCs/>
        </w:rPr>
        <w:t>Impairment</w:t>
      </w:r>
      <w:proofErr w:type="spellEnd"/>
      <w:r w:rsidRPr="0092558B">
        <w:rPr>
          <w:rFonts w:ascii="Calibri" w:eastAsia="Times New Roman" w:hAnsi="Calibri" w:cs="Calibri"/>
        </w:rPr>
        <w:t xml:space="preserve">). </w:t>
      </w:r>
    </w:p>
    <w:p w14:paraId="02876699" w14:textId="77777777" w:rsidR="0092558B" w:rsidRPr="0092558B" w:rsidRDefault="0092558B" w:rsidP="0092558B">
      <w:pPr>
        <w:spacing w:after="0"/>
        <w:jc w:val="both"/>
        <w:rPr>
          <w:rFonts w:ascii="Calibri" w:eastAsia="Times New Roman" w:hAnsi="Calibri" w:cs="Calibri"/>
        </w:rPr>
      </w:pPr>
      <w:r w:rsidRPr="0092558B">
        <w:rPr>
          <w:rFonts w:ascii="Calibri" w:eastAsia="Times New Roman" w:hAnsi="Calibri" w:cs="Calibri"/>
        </w:rPr>
        <w:t>Em 31 de dezembro de 2023, a Companhia possui registrado no imobilizado o montante de R$ 2.121.373 mil, conforme nota explicativa n</w:t>
      </w:r>
      <w:r w:rsidRPr="0092558B">
        <w:rPr>
          <w:rFonts w:ascii="Calibri" w:eastAsia="Times New Roman" w:hAnsi="Calibri" w:cs="Calibri"/>
          <w:u w:val="single"/>
          <w:vertAlign w:val="superscript"/>
        </w:rPr>
        <w:t>o</w:t>
      </w:r>
      <w:r w:rsidRPr="0092558B">
        <w:rPr>
          <w:rFonts w:ascii="Calibri" w:eastAsia="Times New Roman" w:hAnsi="Calibri" w:cs="Calibri"/>
        </w:rPr>
        <w:t xml:space="preserve"> 14. A administração avalia periodicamente ou quando há indícios acerca do risco de </w:t>
      </w:r>
      <w:proofErr w:type="spellStart"/>
      <w:r w:rsidRPr="0092558B">
        <w:rPr>
          <w:rFonts w:ascii="Calibri" w:eastAsia="Times New Roman" w:hAnsi="Calibri" w:cs="Calibri"/>
          <w:i/>
          <w:iCs/>
        </w:rPr>
        <w:t>impairment</w:t>
      </w:r>
      <w:proofErr w:type="spellEnd"/>
      <w:r w:rsidRPr="0092558B">
        <w:rPr>
          <w:rFonts w:ascii="Calibri" w:eastAsia="Times New Roman" w:hAnsi="Calibri" w:cs="Calibri"/>
        </w:rPr>
        <w:t xml:space="preserve"> de seus ativos mediante a avaliação quanto à recuperabilidade do ativo imobilizado e definição prevista para a Unidade Geradora de Caixa. O processo incorpora </w:t>
      </w:r>
      <w:r w:rsidRPr="0092558B">
        <w:rPr>
          <w:rFonts w:ascii="Calibri" w:eastAsia="Times New Roman" w:hAnsi="Calibri" w:cs="Calibri"/>
        </w:rPr>
        <w:lastRenderedPageBreak/>
        <w:t xml:space="preserve">julgamentos significativos em relação a fatores associados à prestação de serviço futuro e premissas econômico-financeiras, como o fluxo de caixa descontado. Devido à relevância do ativo imobilizado, consideramos este tema um assunto significativo para a auditoria. </w:t>
      </w:r>
    </w:p>
    <w:p w14:paraId="4DA62292" w14:textId="77777777" w:rsidR="0092558B" w:rsidRPr="0092558B" w:rsidRDefault="0092558B" w:rsidP="0092558B">
      <w:pPr>
        <w:spacing w:after="0"/>
        <w:jc w:val="both"/>
        <w:rPr>
          <w:rFonts w:ascii="Calibri" w:eastAsia="Times New Roman" w:hAnsi="Calibri" w:cs="Calibri"/>
        </w:rPr>
      </w:pPr>
      <w:bookmarkStart w:id="372" w:name="_Hlk63242626"/>
      <w:r w:rsidRPr="0092558B">
        <w:rPr>
          <w:rFonts w:ascii="Calibri" w:eastAsia="Times New Roman" w:hAnsi="Calibri" w:cs="Calibri"/>
        </w:rPr>
        <w:t>Como o Assunto foi Conduzido em Nossa Auditoria:</w:t>
      </w:r>
    </w:p>
    <w:p w14:paraId="1CAA99A0" w14:textId="77777777" w:rsidR="0092558B" w:rsidRPr="0092558B" w:rsidRDefault="0092558B" w:rsidP="0092558B">
      <w:pPr>
        <w:spacing w:after="0"/>
        <w:jc w:val="both"/>
        <w:rPr>
          <w:rFonts w:ascii="Calibri" w:eastAsia="Times New Roman" w:hAnsi="Calibri" w:cs="Calibri"/>
        </w:rPr>
      </w:pPr>
      <w:bookmarkStart w:id="373" w:name="_Hlk95308117"/>
      <w:r w:rsidRPr="0092558B">
        <w:rPr>
          <w:rFonts w:ascii="Calibri" w:eastAsia="Times New Roman" w:hAnsi="Calibri" w:cs="Calibri"/>
        </w:rPr>
        <w:t xml:space="preserve">Nossos procedimentos de auditoria incluíram, dentre outros: entendimento e avaliação dos processos adotados pela Companhia, através de teste documental, análise do Plano de Negócios, considerando a receita projetada e a confirmação da taxa de desconto utilizada, a qual está de acordo com a determinada pela Anatel para o setor de telecomunicações e o cálculo do fluxo de caixa descontado. </w:t>
      </w:r>
    </w:p>
    <w:p w14:paraId="083C3AE4" w14:textId="77777777" w:rsidR="0092558B" w:rsidRPr="0092558B" w:rsidRDefault="0092558B" w:rsidP="0092558B">
      <w:pPr>
        <w:spacing w:after="0"/>
        <w:jc w:val="both"/>
        <w:rPr>
          <w:rFonts w:ascii="Calibri" w:eastAsia="Times New Roman" w:hAnsi="Calibri" w:cs="Calibri"/>
        </w:rPr>
      </w:pPr>
      <w:r w:rsidRPr="0092558B">
        <w:rPr>
          <w:rFonts w:ascii="Calibri" w:eastAsia="Times New Roman" w:hAnsi="Calibri" w:cs="Calibri"/>
        </w:rPr>
        <w:t>Com base no resultado dos procedimentos de auditoria efetuados e nas evidências de auditoria obtidas, entendemos que os critérios adotados para a análise da receita projetada, a validação da taxa de desconto utilizada e o cálculo do fluxo de caixa descontado contido no Plano de Negócios adotados pela Administração, assim como as respectivas divulgações nas notas explicativas, são aceitáveis, no contexto das demonstrações contábeis.</w:t>
      </w:r>
    </w:p>
    <w:bookmarkEnd w:id="371"/>
    <w:bookmarkEnd w:id="372"/>
    <w:bookmarkEnd w:id="373"/>
    <w:p w14:paraId="26F1D232" w14:textId="77777777" w:rsidR="0092558B" w:rsidRPr="0092558B" w:rsidRDefault="0092558B" w:rsidP="0092558B">
      <w:pPr>
        <w:spacing w:after="0"/>
        <w:jc w:val="both"/>
        <w:rPr>
          <w:rFonts w:ascii="Calibri" w:eastAsia="Times New Roman" w:hAnsi="Calibri" w:cs="Calibri"/>
          <w:b/>
        </w:rPr>
      </w:pPr>
      <w:r w:rsidRPr="0092558B">
        <w:rPr>
          <w:rFonts w:ascii="Calibri" w:eastAsia="Times New Roman" w:hAnsi="Calibri" w:cs="Calibri"/>
          <w:b/>
        </w:rPr>
        <w:t>Ênfases</w:t>
      </w:r>
    </w:p>
    <w:p w14:paraId="3DE4EF01" w14:textId="77777777" w:rsidR="0092558B" w:rsidRPr="0092558B" w:rsidRDefault="0092558B" w:rsidP="0092558B">
      <w:pPr>
        <w:spacing w:after="0"/>
        <w:jc w:val="both"/>
        <w:rPr>
          <w:rFonts w:ascii="Calibri" w:eastAsia="Times New Roman" w:hAnsi="Calibri" w:cs="Calibri"/>
          <w:b/>
        </w:rPr>
      </w:pPr>
      <w:r w:rsidRPr="0092558B">
        <w:rPr>
          <w:rFonts w:ascii="Calibri" w:eastAsia="Times New Roman" w:hAnsi="Calibri" w:cs="Calibri"/>
          <w:b/>
        </w:rPr>
        <w:t>Reapresentação dos valores correspondentes do exercício social de 2022</w:t>
      </w:r>
    </w:p>
    <w:p w14:paraId="321BC70E" w14:textId="77777777" w:rsidR="0092558B" w:rsidRPr="00D25BCA" w:rsidRDefault="0092558B" w:rsidP="0092558B">
      <w:pPr>
        <w:spacing w:after="0"/>
        <w:jc w:val="both"/>
        <w:rPr>
          <w:rFonts w:ascii="Calibri" w:eastAsia="Times New Roman" w:hAnsi="Calibri" w:cs="Calibri"/>
        </w:rPr>
      </w:pPr>
      <w:r w:rsidRPr="0092558B">
        <w:rPr>
          <w:rFonts w:ascii="Calibri" w:eastAsia="Times New Roman" w:hAnsi="Calibri" w:cs="Calibri"/>
        </w:rPr>
        <w:t>Conforme mencionado na nota n° 3, os valores relativos ao balanço patrimonial e as informações contábeis correspondentes à demonstração do resultado, do resultado abrangente, das mutações do patrimônio líquido e dos fluxos de caixa referentes ao exercício findo em 31 de dezembro de 2022, apresentados para fins de comparação, estão sendo reapresentados, como previsto no CPC 23 (IAS 08) – Políticas Contábeis, Mudança de Estimativa e Retificação de Erro e no CPC 26 (IAS 01) – Apresentação das Demonstrações Contábeis. Nossa conclusão não contém modificação relacionada à adequação da reapresentação de exercícios anteriores</w:t>
      </w:r>
      <w:r w:rsidRPr="00D25BCA">
        <w:rPr>
          <w:rFonts w:ascii="Calibri" w:eastAsia="Times New Roman" w:hAnsi="Calibri" w:cs="Calibri"/>
        </w:rPr>
        <w:t xml:space="preserve">. </w:t>
      </w:r>
    </w:p>
    <w:p w14:paraId="67A54C90" w14:textId="77777777" w:rsidR="0092558B" w:rsidRPr="0092558B" w:rsidRDefault="0092558B" w:rsidP="0092558B">
      <w:pPr>
        <w:spacing w:after="0"/>
        <w:jc w:val="both"/>
        <w:rPr>
          <w:rFonts w:ascii="Calibri" w:eastAsia="Times New Roman" w:hAnsi="Calibri" w:cs="Calibri"/>
          <w:b/>
          <w:bCs/>
        </w:rPr>
      </w:pPr>
      <w:r w:rsidRPr="0092558B">
        <w:rPr>
          <w:rFonts w:ascii="Calibri" w:eastAsia="Times New Roman" w:hAnsi="Calibri" w:cs="Calibri"/>
          <w:b/>
          <w:bCs/>
        </w:rPr>
        <w:t>Subvenção para Investimento – Reconhecimento Contábil Direto como Adiantamento para Futuro Aumento de Capital</w:t>
      </w:r>
    </w:p>
    <w:p w14:paraId="317F83D3" w14:textId="77777777" w:rsidR="0092558B" w:rsidRPr="0092558B" w:rsidRDefault="0092558B" w:rsidP="0092558B">
      <w:pPr>
        <w:spacing w:after="0"/>
        <w:jc w:val="both"/>
        <w:rPr>
          <w:rFonts w:ascii="Calibri" w:eastAsia="Times New Roman" w:hAnsi="Calibri" w:cs="Calibri"/>
        </w:rPr>
      </w:pPr>
      <w:r w:rsidRPr="0092558B">
        <w:rPr>
          <w:rFonts w:ascii="Calibri" w:eastAsia="Times New Roman" w:hAnsi="Calibri" w:cs="Calibri"/>
        </w:rPr>
        <w:t xml:space="preserve">A partir de 2020, a Companhia passou a ser classificada como uma empresa Estatal Dependente e, dessa forma, passou a receber recursos orçamentários para o pagamento dos gastos com pessoal e outros custeios. E esses recursos foram reconhecidos nos exatos termos da CPC 07 – Subvenções e Assistência Governamentais. Contudo, entendendo que a Companhia deveria observar ditames da </w:t>
      </w:r>
      <w:proofErr w:type="spellStart"/>
      <w:r w:rsidRPr="0092558B">
        <w:rPr>
          <w:rFonts w:ascii="Calibri" w:eastAsia="Times New Roman" w:hAnsi="Calibri" w:cs="Calibri"/>
        </w:rPr>
        <w:t>macrofunção</w:t>
      </w:r>
      <w:proofErr w:type="spellEnd"/>
      <w:r w:rsidRPr="0092558B">
        <w:rPr>
          <w:rFonts w:ascii="Calibri" w:eastAsia="Times New Roman" w:hAnsi="Calibri" w:cs="Calibri"/>
        </w:rPr>
        <w:t xml:space="preserve"> 021122, item 2.3 – Repasses de recursos para as empresas estatais, e sob interpretação de Parecer emitido pela Secretaria do Tesouro Nacional, foi tomada a decisão de reapresentação das demonstrações contábeis dos exercícios de 2020 a 2022, passando a registrar como Adiantamento para Futuro Aumento de Capital, no Passivo Não Circulante, a parte destes recursos recebidos como Subvenção para Investimentos, adequando suas demonstrações contábeis às práticas contábeis do controlador, embora os ajustes pudessem ser feitos diretamente pelo investidor (CPC 18 e CPC 36), bem como tendo como justificativa a aplicação do princípio da Primazia da Essência sobre a Forma (CPC 00), haja vista que recursos deste gênero certamente terão como destino o futuro aumento de capital.</w:t>
      </w:r>
    </w:p>
    <w:p w14:paraId="1B8756C7" w14:textId="77777777" w:rsidR="0092558B" w:rsidRPr="0092558B" w:rsidRDefault="0092558B" w:rsidP="0092558B">
      <w:pPr>
        <w:spacing w:after="0"/>
        <w:jc w:val="both"/>
        <w:rPr>
          <w:rFonts w:ascii="Calibri" w:eastAsia="Times New Roman" w:hAnsi="Calibri" w:cs="Calibri"/>
          <w:b/>
        </w:rPr>
      </w:pPr>
      <w:r w:rsidRPr="0092558B">
        <w:rPr>
          <w:rFonts w:ascii="Calibri" w:eastAsia="Times New Roman" w:hAnsi="Calibri" w:cs="Calibri"/>
          <w:b/>
        </w:rPr>
        <w:t xml:space="preserve">Investimentos </w:t>
      </w:r>
    </w:p>
    <w:p w14:paraId="3218D587" w14:textId="77777777" w:rsidR="0092558B" w:rsidRPr="0092558B" w:rsidRDefault="0092558B" w:rsidP="0092558B">
      <w:pPr>
        <w:spacing w:after="0"/>
        <w:jc w:val="both"/>
        <w:rPr>
          <w:rFonts w:ascii="Calibri" w:eastAsia="Times New Roman" w:hAnsi="Calibri" w:cs="Calibri"/>
        </w:rPr>
        <w:sectPr w:rsidR="0092558B" w:rsidRPr="0092558B" w:rsidSect="0092558B">
          <w:footerReference w:type="default" r:id="rId34"/>
          <w:footnotePr>
            <w:pos w:val="sectEnd"/>
          </w:footnotePr>
          <w:endnotePr>
            <w:numFmt w:val="decimal"/>
            <w:numStart w:val="0"/>
          </w:endnotePr>
          <w:type w:val="continuous"/>
          <w:pgSz w:w="11907" w:h="16840" w:code="9"/>
          <w:pgMar w:top="2127" w:right="1134" w:bottom="1588" w:left="1701" w:header="1020" w:footer="0" w:gutter="0"/>
          <w:cols w:space="720"/>
          <w:docGrid w:linePitch="326"/>
        </w:sectPr>
      </w:pPr>
    </w:p>
    <w:p w14:paraId="73F9BBA2" w14:textId="77777777" w:rsidR="0092558B" w:rsidRPr="0092558B" w:rsidRDefault="0092558B" w:rsidP="0092558B">
      <w:pPr>
        <w:spacing w:after="0"/>
        <w:jc w:val="both"/>
        <w:rPr>
          <w:rFonts w:ascii="Calibri" w:eastAsia="Times New Roman" w:hAnsi="Calibri" w:cs="Calibri"/>
        </w:rPr>
      </w:pPr>
      <w:r w:rsidRPr="0092558B">
        <w:rPr>
          <w:rFonts w:ascii="Calibri" w:eastAsia="Times New Roman" w:hAnsi="Calibri" w:cs="Calibri"/>
        </w:rPr>
        <w:t>Conforme mencionado na nota explicativa n</w:t>
      </w:r>
      <w:r w:rsidRPr="0092558B">
        <w:rPr>
          <w:rFonts w:ascii="Calibri" w:eastAsia="Times New Roman" w:hAnsi="Calibri" w:cs="Calibri"/>
          <w:u w:val="single"/>
          <w:vertAlign w:val="superscript"/>
        </w:rPr>
        <w:t>o</w:t>
      </w:r>
      <w:r w:rsidRPr="0092558B">
        <w:rPr>
          <w:rFonts w:ascii="Calibri" w:eastAsia="Times New Roman" w:hAnsi="Calibri" w:cs="Calibri"/>
        </w:rPr>
        <w:t xml:space="preserve"> 13, a Companhia participa do capital social da coligada Visiona Tecnologia Espacial S/A com 49%. As demonstrações contábeis de 31 de dezembro de 2023 desta coligada foram examinadas por outros auditores independentes. Nossa conclusão não contém modificação relacionada a esse assunto.</w:t>
      </w:r>
    </w:p>
    <w:p w14:paraId="662F82DC" w14:textId="77777777" w:rsidR="0092558B" w:rsidRPr="0092558B" w:rsidRDefault="0092558B" w:rsidP="0092558B">
      <w:pPr>
        <w:spacing w:after="0"/>
        <w:jc w:val="both"/>
        <w:rPr>
          <w:rFonts w:ascii="Calibri" w:eastAsia="Times New Roman" w:hAnsi="Calibri" w:cs="Calibri"/>
          <w:b/>
        </w:rPr>
      </w:pPr>
      <w:r w:rsidRPr="0092558B">
        <w:rPr>
          <w:rFonts w:ascii="Calibri" w:eastAsia="Times New Roman" w:hAnsi="Calibri" w:cs="Calibri"/>
          <w:b/>
        </w:rPr>
        <w:t>Programa de Indenização por Serviços Prestados – PISP</w:t>
      </w:r>
    </w:p>
    <w:p w14:paraId="17F8DD07" w14:textId="77777777" w:rsidR="0092558B" w:rsidRPr="0092558B" w:rsidRDefault="0092558B" w:rsidP="0092558B">
      <w:pPr>
        <w:spacing w:after="0"/>
        <w:jc w:val="both"/>
        <w:rPr>
          <w:rFonts w:ascii="Calibri" w:eastAsia="Times New Roman" w:hAnsi="Calibri" w:cs="Calibri"/>
        </w:rPr>
      </w:pPr>
      <w:r w:rsidRPr="0092558B">
        <w:rPr>
          <w:rFonts w:ascii="Calibri" w:eastAsia="Times New Roman" w:hAnsi="Calibri" w:cs="Calibri"/>
        </w:rPr>
        <w:t>Conforme mencionado na nota explicativa n</w:t>
      </w:r>
      <w:r w:rsidRPr="0092558B">
        <w:rPr>
          <w:rFonts w:ascii="Calibri" w:eastAsia="Times New Roman" w:hAnsi="Calibri" w:cs="Calibri"/>
          <w:u w:val="single"/>
          <w:vertAlign w:val="superscript"/>
        </w:rPr>
        <w:t>o</w:t>
      </w:r>
      <w:r w:rsidRPr="0092558B">
        <w:rPr>
          <w:rFonts w:ascii="Calibri" w:eastAsia="Times New Roman" w:hAnsi="Calibri" w:cs="Calibri"/>
        </w:rPr>
        <w:t xml:space="preserve"> 17, a Companhia mantém registrado na rubrica “Programa de Indenização por Serviços Prestados – PISP”, no Passivo Circulante e Não Circulante em </w:t>
      </w:r>
      <w:r w:rsidRPr="0092558B">
        <w:rPr>
          <w:rFonts w:ascii="Calibri" w:eastAsia="Times New Roman" w:hAnsi="Calibri" w:cs="Calibri"/>
        </w:rPr>
        <w:lastRenderedPageBreak/>
        <w:t>31 de dezembro de 2023, o valor de R$ 1.766 mil e de R$ 21.910 mil, respectivamente, apurado a partir da definição do universo dos colaboradores que fazem jus à indenização decorrente do Programa. Nossa conclusão não contém modificação em função deste assunto.</w:t>
      </w:r>
    </w:p>
    <w:p w14:paraId="6396C4D4" w14:textId="77777777" w:rsidR="0092558B" w:rsidRPr="0092558B" w:rsidRDefault="0092558B" w:rsidP="0092558B">
      <w:pPr>
        <w:spacing w:after="0"/>
        <w:jc w:val="both"/>
        <w:rPr>
          <w:rFonts w:ascii="Calibri" w:eastAsia="Times New Roman" w:hAnsi="Calibri" w:cs="Calibri"/>
          <w:b/>
        </w:rPr>
      </w:pPr>
      <w:r w:rsidRPr="0092558B">
        <w:rPr>
          <w:rFonts w:ascii="Calibri" w:eastAsia="Times New Roman" w:hAnsi="Calibri" w:cs="Calibri"/>
          <w:b/>
        </w:rPr>
        <w:t>Recursos Capitalizáveis</w:t>
      </w:r>
    </w:p>
    <w:p w14:paraId="5AEFD36C" w14:textId="77777777" w:rsidR="0092558B" w:rsidRPr="0092558B" w:rsidRDefault="0092558B" w:rsidP="0092558B">
      <w:pPr>
        <w:spacing w:after="0"/>
        <w:jc w:val="both"/>
        <w:rPr>
          <w:rFonts w:ascii="Calibri" w:eastAsia="Times New Roman" w:hAnsi="Calibri" w:cs="Calibri"/>
        </w:rPr>
      </w:pPr>
      <w:r w:rsidRPr="0092558B">
        <w:rPr>
          <w:rFonts w:ascii="Calibri" w:eastAsia="Times New Roman" w:hAnsi="Calibri" w:cs="Calibri"/>
        </w:rPr>
        <w:t>Conforme mencionado na nota explicativa n</w:t>
      </w:r>
      <w:r w:rsidRPr="0092558B">
        <w:rPr>
          <w:rFonts w:ascii="Calibri" w:eastAsia="Times New Roman" w:hAnsi="Calibri" w:cs="Calibri"/>
          <w:u w:val="single"/>
          <w:vertAlign w:val="superscript"/>
        </w:rPr>
        <w:t>o</w:t>
      </w:r>
      <w:r w:rsidRPr="0092558B">
        <w:rPr>
          <w:rFonts w:ascii="Calibri" w:eastAsia="Times New Roman" w:hAnsi="Calibri" w:cs="Calibri"/>
        </w:rPr>
        <w:t xml:space="preserve"> 23, a Companhia mantém registrado na rubrica “Recursos Capitalizáveis”, saldo de R$ 1.740.318 mil em 31 de dezembro de 2023. Esse valor é decorrente de Adiantamento para Futuro Aumento de Capital – AFAC, concedido pela União, o qual é corrigido pela taxa </w:t>
      </w:r>
      <w:proofErr w:type="spellStart"/>
      <w:r w:rsidRPr="0092558B">
        <w:rPr>
          <w:rFonts w:ascii="Calibri" w:eastAsia="Times New Roman" w:hAnsi="Calibri" w:cs="Calibri"/>
        </w:rPr>
        <w:t>selic</w:t>
      </w:r>
      <w:proofErr w:type="spellEnd"/>
      <w:r w:rsidRPr="0092558B">
        <w:rPr>
          <w:rFonts w:ascii="Calibri" w:eastAsia="Times New Roman" w:hAnsi="Calibri" w:cs="Calibri"/>
        </w:rPr>
        <w:t xml:space="preserve"> e será utilizado em futuro aumento de capital em favor da União.</w:t>
      </w:r>
    </w:p>
    <w:p w14:paraId="65AEFEFF" w14:textId="77777777" w:rsidR="0092558B" w:rsidRPr="0092558B" w:rsidRDefault="0092558B" w:rsidP="0092558B">
      <w:pPr>
        <w:spacing w:after="0"/>
        <w:jc w:val="both"/>
        <w:rPr>
          <w:rFonts w:ascii="Calibri" w:eastAsia="Times New Roman" w:hAnsi="Calibri" w:cs="Calibri"/>
          <w:b/>
        </w:rPr>
      </w:pPr>
      <w:r w:rsidRPr="0092558B">
        <w:rPr>
          <w:rFonts w:ascii="Calibri" w:eastAsia="Times New Roman" w:hAnsi="Calibri" w:cs="Calibri"/>
          <w:b/>
        </w:rPr>
        <w:t>Inclusão nos Orçamentos Fiscal e da Seguridade Social da União</w:t>
      </w:r>
    </w:p>
    <w:p w14:paraId="1D8F5A1F" w14:textId="77777777" w:rsidR="0092558B" w:rsidRPr="0092558B" w:rsidRDefault="0092558B" w:rsidP="0092558B">
      <w:pPr>
        <w:spacing w:after="0"/>
        <w:jc w:val="both"/>
        <w:rPr>
          <w:rFonts w:ascii="Calibri" w:eastAsia="Times New Roman" w:hAnsi="Calibri" w:cs="Calibri"/>
        </w:rPr>
      </w:pPr>
      <w:r w:rsidRPr="0092558B">
        <w:rPr>
          <w:rFonts w:ascii="Calibri" w:eastAsia="Times New Roman" w:hAnsi="Calibri" w:cs="Calibri"/>
        </w:rPr>
        <w:t>Conforme nota explicativa n</w:t>
      </w:r>
      <w:r w:rsidRPr="0092558B">
        <w:rPr>
          <w:rFonts w:ascii="Calibri" w:eastAsia="Times New Roman" w:hAnsi="Calibri" w:cs="Calibri"/>
          <w:u w:val="single"/>
          <w:vertAlign w:val="superscript"/>
        </w:rPr>
        <w:t>o</w:t>
      </w:r>
      <w:r w:rsidRPr="0092558B">
        <w:rPr>
          <w:rFonts w:ascii="Calibri" w:eastAsia="Times New Roman" w:hAnsi="Calibri" w:cs="Calibri"/>
        </w:rPr>
        <w:t> 1.2 a Companhia foi declarada dependente do orçamento fiscal e da Seguridade Social, conforme sanção da Lei n</w:t>
      </w:r>
      <w:r w:rsidRPr="0092558B">
        <w:rPr>
          <w:rFonts w:ascii="Calibri" w:eastAsia="Times New Roman" w:hAnsi="Calibri" w:cs="Calibri"/>
          <w:u w:val="single"/>
          <w:vertAlign w:val="superscript"/>
        </w:rPr>
        <w:t>o</w:t>
      </w:r>
      <w:r w:rsidRPr="0092558B">
        <w:rPr>
          <w:rFonts w:ascii="Calibri" w:eastAsia="Times New Roman" w:hAnsi="Calibri" w:cs="Calibri"/>
        </w:rPr>
        <w:t>13.978 de 17 de janeiro de 2020 (Lei Orçamentaria Anual - LOA).</w:t>
      </w:r>
    </w:p>
    <w:p w14:paraId="097DDA36" w14:textId="77777777" w:rsidR="0092558B" w:rsidRPr="0092558B" w:rsidRDefault="0092558B" w:rsidP="0092558B">
      <w:pPr>
        <w:spacing w:after="0"/>
        <w:jc w:val="both"/>
        <w:rPr>
          <w:rFonts w:ascii="Calibri" w:eastAsia="Times New Roman" w:hAnsi="Calibri" w:cs="Calibri"/>
          <w:b/>
        </w:rPr>
      </w:pPr>
      <w:r w:rsidRPr="0092558B">
        <w:rPr>
          <w:rFonts w:ascii="Calibri" w:eastAsia="Times New Roman" w:hAnsi="Calibri" w:cs="Calibri"/>
          <w:b/>
        </w:rPr>
        <w:t xml:space="preserve">Outros Assuntos </w:t>
      </w:r>
    </w:p>
    <w:p w14:paraId="1788D9C2" w14:textId="77777777" w:rsidR="0092558B" w:rsidRPr="0092558B" w:rsidRDefault="0092558B" w:rsidP="0092558B">
      <w:pPr>
        <w:spacing w:after="0"/>
        <w:jc w:val="both"/>
        <w:rPr>
          <w:rFonts w:ascii="Calibri" w:eastAsia="Times New Roman" w:hAnsi="Calibri" w:cs="Calibri"/>
        </w:rPr>
      </w:pPr>
      <w:r w:rsidRPr="0092558B">
        <w:rPr>
          <w:rFonts w:ascii="Calibri" w:eastAsia="Times New Roman" w:hAnsi="Calibri" w:cs="Calibri"/>
        </w:rPr>
        <w:t xml:space="preserve">Demonstrações do Valor Adicionado </w:t>
      </w:r>
    </w:p>
    <w:p w14:paraId="6DF7BFE5" w14:textId="77156975" w:rsidR="0092558B" w:rsidRPr="0092558B" w:rsidRDefault="0092558B" w:rsidP="00490EAF">
      <w:pPr>
        <w:spacing w:after="0" w:line="240" w:lineRule="auto"/>
        <w:jc w:val="both"/>
        <w:rPr>
          <w:rFonts w:ascii="Calibri" w:eastAsia="Times New Roman" w:hAnsi="Calibri" w:cs="Calibri"/>
        </w:rPr>
        <w:sectPr w:rsidR="0092558B" w:rsidRPr="0092558B" w:rsidSect="0092558B">
          <w:footerReference w:type="default" r:id="rId35"/>
          <w:footnotePr>
            <w:pos w:val="sectEnd"/>
          </w:footnotePr>
          <w:endnotePr>
            <w:numFmt w:val="decimal"/>
            <w:numStart w:val="0"/>
          </w:endnotePr>
          <w:type w:val="continuous"/>
          <w:pgSz w:w="11907" w:h="16840" w:code="9"/>
          <w:pgMar w:top="2127" w:right="1134" w:bottom="1588" w:left="1701" w:header="1020" w:footer="0" w:gutter="0"/>
          <w:cols w:space="720"/>
          <w:docGrid w:linePitch="326"/>
        </w:sectPr>
      </w:pPr>
      <w:r w:rsidRPr="0092558B">
        <w:rPr>
          <w:rFonts w:ascii="Calibri" w:eastAsia="Times New Roman" w:hAnsi="Calibri" w:cs="Calibri"/>
        </w:rPr>
        <w:t>A Demonstração do Valor Adicionado – DVA, referente ao exercício findo em 31 de dezembro de 2023, elaborada sob a responsabilidade da administração da Companhia e apresentada como informação suplementar para fins de IFRS, foi submetida a procedimentos de auditoria executados em conjunto com a auditoria das demonstrações contábeis da Companhia. Para a formação de nossa opinião, avaliamos se essa demonstração está conciliada com as demais demonstrações contábeis e os registros contábeis, conforme aplicável, e se a sua forma e o seu conteúdo estão de acordo com os critérios definidos no pronunciamento técnico CPC 09 - demonstração do valor adicionado. Em nossa opinião, a demonstração do valor adicionado está adequadamente apresentada, em todos os aspectos relevantes, segundo os critérios definidos nesse pronunciamento técnico e está consistente em relação às demonstrações contábeis tomadas em conjunt</w:t>
      </w:r>
      <w:r w:rsidRPr="00D25BCA">
        <w:rPr>
          <w:rFonts w:ascii="Calibri" w:eastAsia="Times New Roman" w:hAnsi="Calibri" w:cs="Calibri"/>
        </w:rPr>
        <w:t>o</w:t>
      </w:r>
      <w:r w:rsidR="00490EAF" w:rsidRPr="00D25BCA">
        <w:rPr>
          <w:rFonts w:ascii="Calibri" w:eastAsia="Times New Roman" w:hAnsi="Calibri" w:cs="Calibri"/>
        </w:rPr>
        <w:t xml:space="preserve">. </w:t>
      </w:r>
    </w:p>
    <w:p w14:paraId="54899C1E" w14:textId="77777777" w:rsidR="0092558B" w:rsidRPr="0092558B" w:rsidRDefault="0092558B" w:rsidP="00490EAF">
      <w:pPr>
        <w:spacing w:after="0" w:line="240" w:lineRule="auto"/>
        <w:jc w:val="both"/>
        <w:rPr>
          <w:rFonts w:ascii="Calibri" w:eastAsia="Times New Roman" w:hAnsi="Calibri" w:cs="Calibri"/>
        </w:rPr>
        <w:sectPr w:rsidR="0092558B" w:rsidRPr="0092558B" w:rsidSect="0092558B">
          <w:footerReference w:type="default" r:id="rId36"/>
          <w:footnotePr>
            <w:pos w:val="sectEnd"/>
          </w:footnotePr>
          <w:endnotePr>
            <w:numFmt w:val="decimal"/>
            <w:numStart w:val="0"/>
          </w:endnotePr>
          <w:type w:val="continuous"/>
          <w:pgSz w:w="11907" w:h="16840" w:code="9"/>
          <w:pgMar w:top="2127" w:right="1134" w:bottom="1588" w:left="1701" w:header="1020" w:footer="0" w:gutter="0"/>
          <w:cols w:space="720"/>
          <w:docGrid w:linePitch="326"/>
        </w:sectPr>
      </w:pPr>
    </w:p>
    <w:p w14:paraId="5F619C78" w14:textId="612D2CCA" w:rsidR="0092558B" w:rsidRPr="0092558B" w:rsidRDefault="0092558B" w:rsidP="00490EAF">
      <w:pPr>
        <w:spacing w:after="0" w:line="240" w:lineRule="auto"/>
        <w:jc w:val="both"/>
        <w:rPr>
          <w:rFonts w:ascii="Calibri" w:eastAsia="Times New Roman" w:hAnsi="Calibri" w:cs="Calibri"/>
          <w:b/>
        </w:rPr>
      </w:pPr>
      <w:r w:rsidRPr="0092558B">
        <w:rPr>
          <w:rFonts w:ascii="Calibri" w:eastAsia="Times New Roman" w:hAnsi="Calibri" w:cs="Calibri"/>
          <w:b/>
        </w:rPr>
        <w:t xml:space="preserve">Outras Informações </w:t>
      </w:r>
      <w:r w:rsidRPr="00D25BCA">
        <w:rPr>
          <w:rFonts w:ascii="Calibri" w:eastAsia="Times New Roman" w:hAnsi="Calibri" w:cs="Calibri"/>
          <w:b/>
        </w:rPr>
        <w:t>que acompanham</w:t>
      </w:r>
      <w:r w:rsidRPr="0092558B">
        <w:rPr>
          <w:rFonts w:ascii="Calibri" w:eastAsia="Times New Roman" w:hAnsi="Calibri" w:cs="Calibri"/>
          <w:b/>
        </w:rPr>
        <w:t xml:space="preserve"> as Demonstrações Contábeis e o Relatório do Auditor:</w:t>
      </w:r>
    </w:p>
    <w:p w14:paraId="6330F4CD" w14:textId="77777777" w:rsidR="0092558B" w:rsidRPr="0092558B" w:rsidRDefault="0092558B" w:rsidP="0092558B">
      <w:pPr>
        <w:spacing w:after="0"/>
        <w:jc w:val="both"/>
        <w:rPr>
          <w:rFonts w:ascii="Calibri" w:eastAsia="Times New Roman" w:hAnsi="Calibri" w:cs="Calibri"/>
        </w:rPr>
      </w:pPr>
      <w:r w:rsidRPr="0092558B">
        <w:rPr>
          <w:rFonts w:ascii="Calibri" w:eastAsia="Times New Roman" w:hAnsi="Calibri" w:cs="Calibri"/>
        </w:rPr>
        <w:t>A administração da Companhia é responsável por essas outras informações que compreendem o Relatório da Administração.</w:t>
      </w:r>
    </w:p>
    <w:p w14:paraId="682C4C30" w14:textId="77777777" w:rsidR="0092558B" w:rsidRPr="0092558B" w:rsidRDefault="0092558B" w:rsidP="0092558B">
      <w:pPr>
        <w:spacing w:after="0"/>
        <w:jc w:val="both"/>
        <w:rPr>
          <w:rFonts w:ascii="Calibri" w:eastAsia="Times New Roman" w:hAnsi="Calibri" w:cs="Calibri"/>
        </w:rPr>
      </w:pPr>
      <w:r w:rsidRPr="0092558B">
        <w:rPr>
          <w:rFonts w:ascii="Calibri" w:eastAsia="Times New Roman" w:hAnsi="Calibri" w:cs="Calibri"/>
        </w:rPr>
        <w:t>Nossa opinião sobre as demonstrações contábeis não abrange o Relatório da Administração e não expressamos qualquer forma de conclusão de auditoria sobre esse relatório.</w:t>
      </w:r>
    </w:p>
    <w:p w14:paraId="22A509C3" w14:textId="77777777" w:rsidR="0092558B" w:rsidRPr="0092558B" w:rsidRDefault="0092558B" w:rsidP="0092558B">
      <w:pPr>
        <w:spacing w:after="0"/>
        <w:jc w:val="both"/>
        <w:rPr>
          <w:rFonts w:ascii="Calibri" w:eastAsia="Times New Roman" w:hAnsi="Calibri" w:cs="Calibri"/>
        </w:rPr>
      </w:pPr>
      <w:r w:rsidRPr="0092558B">
        <w:rPr>
          <w:rFonts w:ascii="Calibri" w:eastAsia="Times New Roman" w:hAnsi="Calibri" w:cs="Calibri"/>
        </w:rPr>
        <w:t xml:space="preserve">Em conexão com a auditoria das demonstrações contábeis, nossa responsabilidade é a de ler o Relatório da Administração e, ao fazê-lo, considerar se este está, de forma relevante, inconsistente com as demonstrações contábeis ou com nosso conhecimento obtido na auditoria ou, de outra forma, aparenta estar distorcido de forma relevante. Se, com base no trabalho realizado, concluirmos que há distorção relevante no Relatório da Administração, somos requeridos a comunicar esse fato. Não temos nada a relatar a este respeito. </w:t>
      </w:r>
    </w:p>
    <w:p w14:paraId="77BC7DC1" w14:textId="77777777" w:rsidR="0092558B" w:rsidRPr="0092558B" w:rsidRDefault="0092558B" w:rsidP="0092558B">
      <w:pPr>
        <w:spacing w:after="0"/>
        <w:jc w:val="both"/>
        <w:rPr>
          <w:rFonts w:ascii="Calibri" w:eastAsia="Times New Roman" w:hAnsi="Calibri" w:cs="Calibri"/>
          <w:b/>
        </w:rPr>
      </w:pPr>
      <w:r w:rsidRPr="0092558B">
        <w:rPr>
          <w:rFonts w:ascii="Calibri" w:eastAsia="Times New Roman" w:hAnsi="Calibri" w:cs="Calibri"/>
          <w:b/>
        </w:rPr>
        <w:t>Responsabilidades da Administração e da Governança pelas Demonstrações Contábeis</w:t>
      </w:r>
    </w:p>
    <w:p w14:paraId="1F808350" w14:textId="77777777" w:rsidR="0092558B" w:rsidRPr="0092558B" w:rsidRDefault="0092558B" w:rsidP="0092558B">
      <w:pPr>
        <w:spacing w:after="0"/>
        <w:jc w:val="both"/>
        <w:rPr>
          <w:rFonts w:ascii="Calibri" w:eastAsia="Times New Roman" w:hAnsi="Calibri" w:cs="Calibri"/>
        </w:rPr>
        <w:sectPr w:rsidR="0092558B" w:rsidRPr="0092558B" w:rsidSect="0092558B">
          <w:footerReference w:type="default" r:id="rId37"/>
          <w:footnotePr>
            <w:pos w:val="sectEnd"/>
          </w:footnotePr>
          <w:endnotePr>
            <w:numFmt w:val="decimal"/>
            <w:numStart w:val="0"/>
          </w:endnotePr>
          <w:type w:val="continuous"/>
          <w:pgSz w:w="11907" w:h="16840" w:code="9"/>
          <w:pgMar w:top="2127" w:right="1134" w:bottom="1588" w:left="1701" w:header="1020" w:footer="0" w:gutter="0"/>
          <w:cols w:space="720"/>
          <w:docGrid w:linePitch="326"/>
        </w:sectPr>
      </w:pPr>
      <w:r w:rsidRPr="0092558B">
        <w:rPr>
          <w:rFonts w:ascii="Calibri" w:eastAsia="Times New Roman" w:hAnsi="Calibri" w:cs="Calibri"/>
        </w:rPr>
        <w:t>A administração é responsável pela elaboração e adequada apresentação das demonstrações contábeis de acordo com as práticas contábeis adotadas no Brasil e pelos controles internos que ela determinou como necessários para permitir a elaboração de demonstrações contábeis livres de distorção relevante, independentemente se causada por fraude ou erro.</w:t>
      </w:r>
    </w:p>
    <w:p w14:paraId="175385DD" w14:textId="16906C53" w:rsidR="0092558B" w:rsidRPr="0092558B" w:rsidRDefault="0092558B" w:rsidP="0092558B">
      <w:pPr>
        <w:spacing w:after="0"/>
        <w:jc w:val="both"/>
        <w:rPr>
          <w:rFonts w:ascii="Calibri" w:eastAsia="Times New Roman" w:hAnsi="Calibri" w:cs="Calibri"/>
        </w:rPr>
        <w:sectPr w:rsidR="0092558B" w:rsidRPr="0092558B" w:rsidSect="0092558B">
          <w:footerReference w:type="default" r:id="rId38"/>
          <w:footnotePr>
            <w:pos w:val="sectEnd"/>
          </w:footnotePr>
          <w:endnotePr>
            <w:numFmt w:val="decimal"/>
            <w:numStart w:val="0"/>
          </w:endnotePr>
          <w:type w:val="continuous"/>
          <w:pgSz w:w="11907" w:h="16840" w:code="9"/>
          <w:pgMar w:top="2127" w:right="1134" w:bottom="1588" w:left="1701" w:header="1020" w:footer="0" w:gutter="0"/>
          <w:cols w:space="720"/>
          <w:docGrid w:linePitch="326"/>
        </w:sectPr>
      </w:pPr>
      <w:r w:rsidRPr="00D25BCA">
        <w:rPr>
          <w:rFonts w:ascii="Calibri" w:eastAsia="Times New Roman" w:hAnsi="Calibri" w:cs="Calibri"/>
        </w:rPr>
        <w:t xml:space="preserve">Na elaboração das demonstrações contábeis, a administração é responsável pela avaliação da capacidade de a Companhia continuar operando, divulgando, quando aplicável, os assuntos relacionados com a sua continuidade operacional e o uso dessa base contábil na elaboração das demonstrações contábeis, a não ser que a administração pretenda liquidar a Companhia, ou cessar suas operações, ou não tenha nenhuma alternativa realista para evitar o encerramento das operações. </w:t>
      </w:r>
    </w:p>
    <w:p w14:paraId="68A95E09" w14:textId="77777777" w:rsidR="0092558B" w:rsidRPr="00D25BCA" w:rsidRDefault="0092558B" w:rsidP="0092558B">
      <w:pPr>
        <w:spacing w:after="0"/>
        <w:jc w:val="both"/>
        <w:rPr>
          <w:rFonts w:ascii="Calibri" w:eastAsia="Times New Roman" w:hAnsi="Calibri" w:cs="Calibri"/>
        </w:rPr>
      </w:pPr>
    </w:p>
    <w:p w14:paraId="79A21012" w14:textId="77777777" w:rsidR="0057278F" w:rsidRDefault="0092558B" w:rsidP="0092558B">
      <w:pPr>
        <w:spacing w:after="0"/>
        <w:jc w:val="both"/>
        <w:rPr>
          <w:rFonts w:ascii="Calibri" w:eastAsia="Times New Roman" w:hAnsi="Calibri" w:cs="Calibri"/>
        </w:rPr>
      </w:pPr>
      <w:r w:rsidRPr="0092558B">
        <w:rPr>
          <w:rFonts w:ascii="Calibri" w:eastAsia="Times New Roman" w:hAnsi="Calibri" w:cs="Calibri"/>
        </w:rPr>
        <w:t>Os responsáveis pela administração da Companhia são aqueles com responsabilidade pela supervisão do processo de elaboração das demonstrações contábeis.</w:t>
      </w:r>
    </w:p>
    <w:p w14:paraId="77D82F54" w14:textId="2D06D18E" w:rsidR="0092558B" w:rsidRPr="0092558B" w:rsidRDefault="0092558B" w:rsidP="0092558B">
      <w:pPr>
        <w:spacing w:after="0"/>
        <w:jc w:val="both"/>
        <w:rPr>
          <w:rFonts w:ascii="Calibri" w:eastAsia="Times New Roman" w:hAnsi="Calibri" w:cs="Calibri"/>
        </w:rPr>
      </w:pPr>
      <w:r w:rsidRPr="0092558B">
        <w:rPr>
          <w:rFonts w:ascii="Calibri" w:eastAsia="Times New Roman" w:hAnsi="Calibri" w:cs="Calibri"/>
          <w:b/>
        </w:rPr>
        <w:t>Responsabilidades do Auditor pela Auditoria das Demonstrações Contábeis</w:t>
      </w:r>
    </w:p>
    <w:p w14:paraId="24FB7C83" w14:textId="77777777" w:rsidR="00490EAF" w:rsidRPr="00D25BCA" w:rsidRDefault="0092558B" w:rsidP="0092558B">
      <w:pPr>
        <w:spacing w:after="0"/>
        <w:jc w:val="both"/>
        <w:rPr>
          <w:rFonts w:ascii="Calibri" w:eastAsia="Times New Roman" w:hAnsi="Calibri" w:cs="Calibri"/>
        </w:rPr>
      </w:pPr>
      <w:r w:rsidRPr="0092558B">
        <w:rPr>
          <w:rFonts w:ascii="Calibri" w:eastAsia="Times New Roman" w:hAnsi="Calibri" w:cs="Calibri"/>
        </w:rPr>
        <w:t>Nossos objetivos são obter segurança razoável de que as demonstrações contábeis, tomadas em conjunto, estão livres de distorção relevante, independentemente se causada por fraude ou erro, e emitir relatório de auditoria contendo nossa opinião. Segurança razoável é um alto nível de segurança, mas não uma garantia de que a auditoria realizada de acordo com as normas brasileiras e internacionais de auditoria sempre detectam as eventuais distorções relevantes existentes. As distorções podem ser decorrentes de fraude ou erro e são consideradas relevantes quando, individualmente ou em conjunto, possam influenciar, dentro de uma perspectiva razoável, as decisões econômicas dos usuários tomadas com base nas referidas demonstrações contábeis</w:t>
      </w:r>
      <w:r w:rsidRPr="00D25BCA">
        <w:rPr>
          <w:rFonts w:ascii="Calibri" w:eastAsia="Times New Roman" w:hAnsi="Calibri" w:cs="Calibri"/>
        </w:rPr>
        <w:t>.</w:t>
      </w:r>
    </w:p>
    <w:p w14:paraId="585BA870" w14:textId="0B7BA877" w:rsidR="00490EAF" w:rsidRPr="0092558B" w:rsidRDefault="00490EAF" w:rsidP="0092558B">
      <w:pPr>
        <w:spacing w:after="0"/>
        <w:jc w:val="both"/>
        <w:rPr>
          <w:rFonts w:ascii="Calibri" w:eastAsia="Times New Roman" w:hAnsi="Calibri" w:cs="Calibri"/>
        </w:rPr>
        <w:sectPr w:rsidR="00490EAF" w:rsidRPr="0092558B" w:rsidSect="0092558B">
          <w:footerReference w:type="default" r:id="rId39"/>
          <w:footnotePr>
            <w:pos w:val="sectEnd"/>
          </w:footnotePr>
          <w:endnotePr>
            <w:numFmt w:val="decimal"/>
            <w:numStart w:val="0"/>
          </w:endnotePr>
          <w:type w:val="continuous"/>
          <w:pgSz w:w="11907" w:h="16840" w:code="9"/>
          <w:pgMar w:top="2127" w:right="1134" w:bottom="1588" w:left="1701" w:header="1020" w:footer="0" w:gutter="0"/>
          <w:cols w:space="720"/>
          <w:docGrid w:linePitch="326"/>
        </w:sectPr>
      </w:pPr>
    </w:p>
    <w:p w14:paraId="4F59B910" w14:textId="77777777" w:rsidR="0092558B" w:rsidRPr="0092558B" w:rsidRDefault="0092558B" w:rsidP="0092558B">
      <w:pPr>
        <w:spacing w:after="0"/>
        <w:jc w:val="both"/>
        <w:rPr>
          <w:rFonts w:ascii="Calibri" w:eastAsia="Times New Roman" w:hAnsi="Calibri" w:cs="Calibri"/>
        </w:rPr>
        <w:sectPr w:rsidR="0092558B" w:rsidRPr="0092558B" w:rsidSect="0092558B">
          <w:footerReference w:type="default" r:id="rId40"/>
          <w:footnotePr>
            <w:pos w:val="sectEnd"/>
          </w:footnotePr>
          <w:endnotePr>
            <w:numFmt w:val="decimal"/>
            <w:numStart w:val="0"/>
          </w:endnotePr>
          <w:type w:val="continuous"/>
          <w:pgSz w:w="11907" w:h="16840" w:code="9"/>
          <w:pgMar w:top="2127" w:right="1134" w:bottom="1588" w:left="1701" w:header="1020" w:footer="0" w:gutter="0"/>
          <w:cols w:space="720"/>
          <w:docGrid w:linePitch="326"/>
        </w:sectPr>
      </w:pPr>
    </w:p>
    <w:p w14:paraId="48A8D2F5" w14:textId="77777777" w:rsidR="0092558B" w:rsidRPr="0092558B" w:rsidRDefault="0092558B" w:rsidP="0092558B">
      <w:pPr>
        <w:spacing w:after="0"/>
        <w:jc w:val="both"/>
        <w:rPr>
          <w:rFonts w:ascii="Calibri" w:eastAsia="Times New Roman" w:hAnsi="Calibri" w:cs="Calibri"/>
        </w:rPr>
      </w:pPr>
      <w:r w:rsidRPr="0092558B">
        <w:rPr>
          <w:rFonts w:ascii="Calibri" w:eastAsia="Times New Roman" w:hAnsi="Calibri" w:cs="Calibri"/>
        </w:rPr>
        <w:t xml:space="preserve">Como parte da auditoria realizada, de acordo com as normas brasileiras e internacionais de auditoria, exercemos julgamento profissional e mantemos ceticismo profissional ao longo da auditoria. Além disso: </w:t>
      </w:r>
    </w:p>
    <w:p w14:paraId="2BBCF21E" w14:textId="77777777" w:rsidR="0092558B" w:rsidRPr="0092558B" w:rsidRDefault="0092558B" w:rsidP="0092558B">
      <w:pPr>
        <w:spacing w:after="0"/>
        <w:jc w:val="both"/>
        <w:rPr>
          <w:rFonts w:ascii="Calibri" w:eastAsia="Times New Roman" w:hAnsi="Calibri" w:cs="Calibri"/>
        </w:rPr>
        <w:sectPr w:rsidR="0092558B" w:rsidRPr="0092558B" w:rsidSect="0092558B">
          <w:footerReference w:type="default" r:id="rId41"/>
          <w:footnotePr>
            <w:pos w:val="sectEnd"/>
          </w:footnotePr>
          <w:endnotePr>
            <w:numFmt w:val="decimal"/>
            <w:numStart w:val="0"/>
          </w:endnotePr>
          <w:type w:val="continuous"/>
          <w:pgSz w:w="11907" w:h="16840" w:code="9"/>
          <w:pgMar w:top="2127" w:right="1134" w:bottom="1588" w:left="1701" w:header="1020" w:footer="0" w:gutter="0"/>
          <w:cols w:space="720"/>
          <w:docGrid w:linePitch="326"/>
        </w:sectPr>
      </w:pPr>
    </w:p>
    <w:p w14:paraId="662E4DFA" w14:textId="77777777" w:rsidR="0092558B" w:rsidRPr="0092558B" w:rsidRDefault="0092558B" w:rsidP="0092558B">
      <w:pPr>
        <w:spacing w:after="0"/>
        <w:jc w:val="both"/>
        <w:rPr>
          <w:rFonts w:ascii="Calibri" w:eastAsia="Times New Roman" w:hAnsi="Calibri" w:cs="Calibri"/>
        </w:rPr>
      </w:pPr>
      <w:r w:rsidRPr="0092558B">
        <w:rPr>
          <w:rFonts w:ascii="Calibri" w:eastAsia="Times New Roman" w:hAnsi="Calibri" w:cs="Calibri"/>
        </w:rPr>
        <w:t xml:space="preserve">• Identificamos e avaliamos os riscos de distorção relevante nas demonstrações contábeis, independentemente se causada por fraude ou erro, planejamos e executamos procedimentos de auditoria em resposta a tais riscos, bem como, obtemos evidência de auditoria apropriada e suficiente para fundamentar nossa opinião. O risco de não detecção de distorção relevante resultante de fraude é maior do que o proveniente de erro, já que a fraude pode envolver o ato de burlar os controles internos, conluio, falsificação, omissão ou representações falsas intencionais. </w:t>
      </w:r>
    </w:p>
    <w:p w14:paraId="562C48C1" w14:textId="77777777" w:rsidR="0092558B" w:rsidRPr="0092558B" w:rsidRDefault="0092558B" w:rsidP="0092558B">
      <w:pPr>
        <w:spacing w:after="0"/>
        <w:jc w:val="both"/>
        <w:rPr>
          <w:rFonts w:ascii="Calibri" w:eastAsia="Times New Roman" w:hAnsi="Calibri" w:cs="Calibri"/>
        </w:rPr>
      </w:pPr>
      <w:r w:rsidRPr="0092558B">
        <w:rPr>
          <w:rFonts w:ascii="Calibri" w:eastAsia="Times New Roman" w:hAnsi="Calibri" w:cs="Calibri"/>
        </w:rPr>
        <w:t xml:space="preserve">• Obtemos entendimento dos controles internos relevantes para a auditoria para planejarmos procedimentos de auditoria apropriados às circunstâncias, mas não com o objetivo de expressarmos opinião sobre a eficácia dos controles internos da Companhia. </w:t>
      </w:r>
    </w:p>
    <w:p w14:paraId="2D196424" w14:textId="77777777" w:rsidR="0092558B" w:rsidRPr="00D25BCA" w:rsidRDefault="0092558B" w:rsidP="0092558B">
      <w:pPr>
        <w:spacing w:after="0"/>
        <w:jc w:val="both"/>
        <w:rPr>
          <w:rFonts w:ascii="Calibri" w:eastAsia="Times New Roman" w:hAnsi="Calibri" w:cs="Calibri"/>
        </w:rPr>
      </w:pPr>
      <w:r w:rsidRPr="0092558B">
        <w:rPr>
          <w:rFonts w:ascii="Calibri" w:eastAsia="Times New Roman" w:hAnsi="Calibri" w:cs="Calibri"/>
        </w:rPr>
        <w:t xml:space="preserve">• Avaliamos a adequação das políticas contábeis utilizadas e a razoabilidade das estimativas contábeis e respectivas divulgações feitas pela administração. </w:t>
      </w:r>
    </w:p>
    <w:p w14:paraId="0634C3D0" w14:textId="77777777" w:rsidR="001D10E5" w:rsidRPr="001D10E5" w:rsidRDefault="001D10E5" w:rsidP="001D10E5">
      <w:pPr>
        <w:spacing w:after="0"/>
        <w:jc w:val="both"/>
        <w:rPr>
          <w:rFonts w:ascii="Calibri" w:eastAsia="Times New Roman" w:hAnsi="Calibri" w:cs="Calibri"/>
        </w:rPr>
      </w:pPr>
      <w:r w:rsidRPr="001D10E5">
        <w:rPr>
          <w:rFonts w:ascii="Calibri" w:eastAsia="Times New Roman" w:hAnsi="Calibri" w:cs="Calibri"/>
        </w:rPr>
        <w:t>• Concluímos sobre a adequação do uso, pela administração, da base contábil de continuidade operacional e, com base nas evidências de auditoria obtidas, se existe incerteza relevante em relação a eventos ou condições que possam levantar dúvida significativa em relação à capacidade de continuidade operacional da Companhia. Se concluirmos que existe incerteza relevante, devemos chamar atenção em nosso relatório de auditoria para as respectivas divulgações nas demonstrações contábeis ou incluir modificação em nossa opinião, se as divulgações forem inadequadas. Nossas conclusões estão fundamentadas nas evidências de auditoria obtidas até a data do nosso relatório. Todavia, eventos ou condições futuras podem levar a Companhia a não mais manter em continuidade operacional.</w:t>
      </w:r>
    </w:p>
    <w:p w14:paraId="0D509D06" w14:textId="77777777" w:rsidR="001D10E5" w:rsidRDefault="001D10E5" w:rsidP="001D10E5">
      <w:pPr>
        <w:spacing w:after="0"/>
        <w:jc w:val="both"/>
        <w:rPr>
          <w:rFonts w:ascii="Calibri" w:eastAsia="Times New Roman" w:hAnsi="Calibri" w:cs="Calibri"/>
        </w:rPr>
      </w:pPr>
      <w:r w:rsidRPr="001D10E5">
        <w:rPr>
          <w:rFonts w:ascii="Calibri" w:eastAsia="Times New Roman" w:hAnsi="Calibri" w:cs="Calibri"/>
        </w:rPr>
        <w:t xml:space="preserve">• Avaliamos a apresentação geral, a estrutura e o conteúdo das demonstrações contábeis, inclusive as divulgações, e se as demonstrações contábeis representam as correspondentes transações e os eventos de maneira compatível com o objetivo de apresentação adequada. </w:t>
      </w:r>
    </w:p>
    <w:p w14:paraId="1B801982" w14:textId="77777777" w:rsidR="00B22B3C" w:rsidRDefault="00B22B3C" w:rsidP="00B22B3C">
      <w:pPr>
        <w:spacing w:after="0"/>
        <w:jc w:val="both"/>
        <w:rPr>
          <w:rFonts w:ascii="Calibri" w:eastAsia="Times New Roman" w:hAnsi="Calibri" w:cs="Calibri"/>
        </w:rPr>
      </w:pPr>
      <w:r w:rsidRPr="001D10E5">
        <w:rPr>
          <w:rFonts w:ascii="Calibri" w:eastAsia="Times New Roman" w:hAnsi="Calibri" w:cs="Calibri"/>
        </w:rPr>
        <w:t xml:space="preserve">Comunicamo-nos com os responsáveis pela governança a respeito, entre outros aspectos, do alcance planejado, da época da auditoria e das constatações significativas de auditoria, inclusive as eventuais deficiências nos controles internos que identificamos durante nossos trabalhos. </w:t>
      </w:r>
    </w:p>
    <w:p w14:paraId="397AC512" w14:textId="77777777" w:rsidR="00B22B3C" w:rsidRDefault="00B22B3C" w:rsidP="001D10E5">
      <w:pPr>
        <w:spacing w:after="0"/>
        <w:jc w:val="both"/>
        <w:rPr>
          <w:rFonts w:ascii="Calibri" w:eastAsia="Times New Roman" w:hAnsi="Calibri" w:cs="Calibri"/>
        </w:rPr>
      </w:pPr>
      <w:r>
        <w:rPr>
          <w:noProof/>
        </w:rPr>
        <w:lastRenderedPageBreak/>
        <w:drawing>
          <wp:inline distT="0" distB="0" distL="0" distR="0" wp14:anchorId="051CB233" wp14:editId="57B33899">
            <wp:extent cx="5656767" cy="1109965"/>
            <wp:effectExtent l="0" t="0" r="1270" b="0"/>
            <wp:docPr id="784207158" name="Imagem 784207158"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207158" name="Imagem 784207158" descr="Texto&#10;&#10;Descrição gerada automaticamente"/>
                    <pic:cNvPicPr/>
                  </pic:nvPicPr>
                  <pic:blipFill>
                    <a:blip r:embed="rId42"/>
                    <a:stretch>
                      <a:fillRect/>
                    </a:stretch>
                  </pic:blipFill>
                  <pic:spPr>
                    <a:xfrm>
                      <a:off x="0" y="0"/>
                      <a:ext cx="5910615" cy="1159775"/>
                    </a:xfrm>
                    <a:prstGeom prst="rect">
                      <a:avLst/>
                    </a:prstGeom>
                  </pic:spPr>
                </pic:pic>
              </a:graphicData>
            </a:graphic>
          </wp:inline>
        </w:drawing>
      </w:r>
    </w:p>
    <w:p w14:paraId="7AAD2E74" w14:textId="77777777" w:rsidR="00BC54EC" w:rsidRDefault="00BC54EC" w:rsidP="001D10E5">
      <w:pPr>
        <w:spacing w:after="0"/>
        <w:jc w:val="both"/>
        <w:rPr>
          <w:rFonts w:ascii="Calibri" w:eastAsia="Times New Roman" w:hAnsi="Calibri" w:cs="Calibri"/>
        </w:rPr>
      </w:pPr>
    </w:p>
    <w:p w14:paraId="18CE4272" w14:textId="77777777" w:rsidR="007712BC" w:rsidRDefault="007712BC" w:rsidP="001D10E5">
      <w:pPr>
        <w:spacing w:after="0"/>
        <w:jc w:val="both"/>
        <w:rPr>
          <w:rFonts w:ascii="Calibri" w:eastAsia="Times New Roman" w:hAnsi="Calibri" w:cs="Calibri"/>
        </w:rPr>
      </w:pPr>
    </w:p>
    <w:p w14:paraId="161B7D53" w14:textId="77777777" w:rsidR="007712BC" w:rsidRDefault="007712BC" w:rsidP="001D10E5">
      <w:pPr>
        <w:spacing w:after="0"/>
        <w:jc w:val="both"/>
        <w:rPr>
          <w:rFonts w:ascii="Calibri" w:eastAsia="Times New Roman" w:hAnsi="Calibri" w:cs="Calibri"/>
        </w:rPr>
      </w:pPr>
    </w:p>
    <w:p w14:paraId="1C86FDED" w14:textId="77777777" w:rsidR="007712BC" w:rsidRDefault="007712BC" w:rsidP="001D10E5">
      <w:pPr>
        <w:spacing w:after="0"/>
        <w:jc w:val="both"/>
        <w:rPr>
          <w:rFonts w:ascii="Calibri" w:eastAsia="Times New Roman" w:hAnsi="Calibri" w:cs="Calibri"/>
        </w:rPr>
      </w:pPr>
    </w:p>
    <w:p w14:paraId="75209E60" w14:textId="77777777" w:rsidR="007712BC" w:rsidRDefault="007712BC" w:rsidP="001D10E5">
      <w:pPr>
        <w:spacing w:after="0"/>
        <w:jc w:val="both"/>
        <w:rPr>
          <w:rFonts w:ascii="Calibri" w:eastAsia="Times New Roman" w:hAnsi="Calibri" w:cs="Calibri"/>
        </w:rPr>
      </w:pPr>
    </w:p>
    <w:p w14:paraId="6E78F53C" w14:textId="77777777" w:rsidR="007712BC" w:rsidRDefault="007712BC" w:rsidP="001D10E5">
      <w:pPr>
        <w:spacing w:after="0"/>
        <w:jc w:val="both"/>
        <w:rPr>
          <w:rFonts w:ascii="Calibri" w:eastAsia="Times New Roman" w:hAnsi="Calibri" w:cs="Calibri"/>
        </w:rPr>
      </w:pPr>
    </w:p>
    <w:p w14:paraId="06D1A034" w14:textId="77777777" w:rsidR="007712BC" w:rsidRDefault="007712BC" w:rsidP="001D10E5">
      <w:pPr>
        <w:spacing w:after="0"/>
        <w:jc w:val="both"/>
        <w:rPr>
          <w:rFonts w:ascii="Calibri" w:eastAsia="Times New Roman" w:hAnsi="Calibri" w:cs="Calibri"/>
        </w:rPr>
      </w:pPr>
    </w:p>
    <w:p w14:paraId="7B7B5C5C" w14:textId="77777777" w:rsidR="007712BC" w:rsidRDefault="007712BC" w:rsidP="001D10E5">
      <w:pPr>
        <w:spacing w:after="0"/>
        <w:jc w:val="both"/>
        <w:rPr>
          <w:rFonts w:ascii="Calibri" w:eastAsia="Times New Roman" w:hAnsi="Calibri" w:cs="Calibri"/>
        </w:rPr>
      </w:pPr>
    </w:p>
    <w:p w14:paraId="15890ED0" w14:textId="77777777" w:rsidR="007712BC" w:rsidRDefault="007712BC" w:rsidP="001D10E5">
      <w:pPr>
        <w:spacing w:after="0"/>
        <w:jc w:val="both"/>
        <w:rPr>
          <w:rFonts w:ascii="Calibri" w:eastAsia="Times New Roman" w:hAnsi="Calibri" w:cs="Calibri"/>
        </w:rPr>
      </w:pPr>
    </w:p>
    <w:p w14:paraId="086BE267" w14:textId="77777777" w:rsidR="007712BC" w:rsidRDefault="007712BC" w:rsidP="001D10E5">
      <w:pPr>
        <w:spacing w:after="0"/>
        <w:jc w:val="both"/>
        <w:rPr>
          <w:rFonts w:ascii="Calibri" w:eastAsia="Times New Roman" w:hAnsi="Calibri" w:cs="Calibri"/>
        </w:rPr>
      </w:pPr>
    </w:p>
    <w:p w14:paraId="00B75DBD" w14:textId="77777777" w:rsidR="007712BC" w:rsidRDefault="007712BC" w:rsidP="001D10E5">
      <w:pPr>
        <w:spacing w:after="0"/>
        <w:jc w:val="both"/>
        <w:rPr>
          <w:rFonts w:ascii="Calibri" w:eastAsia="Times New Roman" w:hAnsi="Calibri" w:cs="Calibri"/>
        </w:rPr>
      </w:pPr>
    </w:p>
    <w:p w14:paraId="64754CC1" w14:textId="77777777" w:rsidR="007712BC" w:rsidRDefault="007712BC" w:rsidP="001D10E5">
      <w:pPr>
        <w:spacing w:after="0"/>
        <w:jc w:val="both"/>
        <w:rPr>
          <w:rFonts w:ascii="Calibri" w:eastAsia="Times New Roman" w:hAnsi="Calibri" w:cs="Calibri"/>
        </w:rPr>
      </w:pPr>
    </w:p>
    <w:p w14:paraId="5CA0AEE1" w14:textId="77777777" w:rsidR="007712BC" w:rsidRDefault="007712BC" w:rsidP="001D10E5">
      <w:pPr>
        <w:spacing w:after="0"/>
        <w:jc w:val="both"/>
        <w:rPr>
          <w:rFonts w:ascii="Calibri" w:eastAsia="Times New Roman" w:hAnsi="Calibri" w:cs="Calibri"/>
        </w:rPr>
      </w:pPr>
    </w:p>
    <w:p w14:paraId="11212238" w14:textId="77777777" w:rsidR="007712BC" w:rsidRDefault="007712BC" w:rsidP="001D10E5">
      <w:pPr>
        <w:spacing w:after="0"/>
        <w:jc w:val="both"/>
        <w:rPr>
          <w:rFonts w:ascii="Calibri" w:eastAsia="Times New Roman" w:hAnsi="Calibri" w:cs="Calibri"/>
        </w:rPr>
      </w:pPr>
    </w:p>
    <w:p w14:paraId="5CA4DCB5" w14:textId="77777777" w:rsidR="007712BC" w:rsidRDefault="007712BC" w:rsidP="001D10E5">
      <w:pPr>
        <w:spacing w:after="0"/>
        <w:jc w:val="both"/>
        <w:rPr>
          <w:rFonts w:ascii="Calibri" w:eastAsia="Times New Roman" w:hAnsi="Calibri" w:cs="Calibri"/>
        </w:rPr>
      </w:pPr>
    </w:p>
    <w:p w14:paraId="00871DDE" w14:textId="77777777" w:rsidR="007712BC" w:rsidRDefault="007712BC" w:rsidP="001D10E5">
      <w:pPr>
        <w:spacing w:after="0"/>
        <w:jc w:val="both"/>
        <w:rPr>
          <w:rFonts w:ascii="Calibri" w:eastAsia="Times New Roman" w:hAnsi="Calibri" w:cs="Calibri"/>
        </w:rPr>
      </w:pPr>
    </w:p>
    <w:p w14:paraId="1B109A6E" w14:textId="77777777" w:rsidR="007712BC" w:rsidRDefault="007712BC" w:rsidP="001D10E5">
      <w:pPr>
        <w:spacing w:after="0"/>
        <w:jc w:val="both"/>
        <w:rPr>
          <w:rFonts w:ascii="Calibri" w:eastAsia="Times New Roman" w:hAnsi="Calibri" w:cs="Calibri"/>
        </w:rPr>
      </w:pPr>
    </w:p>
    <w:p w14:paraId="33B13D3D" w14:textId="77777777" w:rsidR="007712BC" w:rsidRDefault="007712BC" w:rsidP="001D10E5">
      <w:pPr>
        <w:spacing w:after="0"/>
        <w:jc w:val="both"/>
        <w:rPr>
          <w:rFonts w:ascii="Calibri" w:eastAsia="Times New Roman" w:hAnsi="Calibri" w:cs="Calibri"/>
        </w:rPr>
      </w:pPr>
    </w:p>
    <w:p w14:paraId="24D9ABC0" w14:textId="77777777" w:rsidR="007712BC" w:rsidRDefault="007712BC" w:rsidP="001D10E5">
      <w:pPr>
        <w:spacing w:after="0"/>
        <w:jc w:val="both"/>
        <w:rPr>
          <w:rFonts w:ascii="Calibri" w:eastAsia="Times New Roman" w:hAnsi="Calibri" w:cs="Calibri"/>
        </w:rPr>
      </w:pPr>
    </w:p>
    <w:p w14:paraId="58C6F4CB" w14:textId="77777777" w:rsidR="007712BC" w:rsidRDefault="007712BC" w:rsidP="001D10E5">
      <w:pPr>
        <w:spacing w:after="0"/>
        <w:jc w:val="both"/>
        <w:rPr>
          <w:rFonts w:ascii="Calibri" w:eastAsia="Times New Roman" w:hAnsi="Calibri" w:cs="Calibri"/>
        </w:rPr>
      </w:pPr>
    </w:p>
    <w:p w14:paraId="08B7EE10" w14:textId="77777777" w:rsidR="007712BC" w:rsidRDefault="007712BC" w:rsidP="001D10E5">
      <w:pPr>
        <w:spacing w:after="0"/>
        <w:jc w:val="both"/>
        <w:rPr>
          <w:rFonts w:ascii="Calibri" w:eastAsia="Times New Roman" w:hAnsi="Calibri" w:cs="Calibri"/>
        </w:rPr>
      </w:pPr>
    </w:p>
    <w:p w14:paraId="64C58065" w14:textId="77777777" w:rsidR="007712BC" w:rsidRDefault="007712BC" w:rsidP="001D10E5">
      <w:pPr>
        <w:spacing w:after="0"/>
        <w:jc w:val="both"/>
        <w:rPr>
          <w:rFonts w:ascii="Calibri" w:eastAsia="Times New Roman" w:hAnsi="Calibri" w:cs="Calibri"/>
        </w:rPr>
      </w:pPr>
    </w:p>
    <w:p w14:paraId="0CBDA2A1" w14:textId="77777777" w:rsidR="007712BC" w:rsidRDefault="007712BC" w:rsidP="001D10E5">
      <w:pPr>
        <w:spacing w:after="0"/>
        <w:jc w:val="both"/>
        <w:rPr>
          <w:rFonts w:ascii="Calibri" w:eastAsia="Times New Roman" w:hAnsi="Calibri" w:cs="Calibri"/>
        </w:rPr>
      </w:pPr>
    </w:p>
    <w:p w14:paraId="506DD6DD" w14:textId="77777777" w:rsidR="007712BC" w:rsidRDefault="007712BC" w:rsidP="001D10E5">
      <w:pPr>
        <w:spacing w:after="0"/>
        <w:jc w:val="both"/>
        <w:rPr>
          <w:rFonts w:ascii="Calibri" w:eastAsia="Times New Roman" w:hAnsi="Calibri" w:cs="Calibri"/>
        </w:rPr>
      </w:pPr>
    </w:p>
    <w:p w14:paraId="37539E54" w14:textId="77777777" w:rsidR="007712BC" w:rsidRDefault="007712BC" w:rsidP="001D10E5">
      <w:pPr>
        <w:spacing w:after="0"/>
        <w:jc w:val="both"/>
        <w:rPr>
          <w:rFonts w:ascii="Calibri" w:eastAsia="Times New Roman" w:hAnsi="Calibri" w:cs="Calibri"/>
        </w:rPr>
      </w:pPr>
    </w:p>
    <w:p w14:paraId="47D7F7A5" w14:textId="77777777" w:rsidR="007712BC" w:rsidRDefault="007712BC" w:rsidP="001D10E5">
      <w:pPr>
        <w:spacing w:after="0"/>
        <w:jc w:val="both"/>
        <w:rPr>
          <w:rFonts w:ascii="Calibri" w:eastAsia="Times New Roman" w:hAnsi="Calibri" w:cs="Calibri"/>
        </w:rPr>
      </w:pPr>
    </w:p>
    <w:p w14:paraId="2EF69BAC" w14:textId="77777777" w:rsidR="007712BC" w:rsidRDefault="007712BC" w:rsidP="001D10E5">
      <w:pPr>
        <w:spacing w:after="0"/>
        <w:jc w:val="both"/>
        <w:rPr>
          <w:rFonts w:ascii="Calibri" w:eastAsia="Times New Roman" w:hAnsi="Calibri" w:cs="Calibri"/>
        </w:rPr>
      </w:pPr>
    </w:p>
    <w:p w14:paraId="49A24CCE" w14:textId="77777777" w:rsidR="007712BC" w:rsidRDefault="007712BC" w:rsidP="001D10E5">
      <w:pPr>
        <w:spacing w:after="0"/>
        <w:jc w:val="both"/>
        <w:rPr>
          <w:rFonts w:ascii="Calibri" w:eastAsia="Times New Roman" w:hAnsi="Calibri" w:cs="Calibri"/>
        </w:rPr>
      </w:pPr>
    </w:p>
    <w:p w14:paraId="4FC52CCB" w14:textId="77777777" w:rsidR="007712BC" w:rsidRDefault="007712BC" w:rsidP="001D10E5">
      <w:pPr>
        <w:spacing w:after="0"/>
        <w:jc w:val="both"/>
        <w:rPr>
          <w:rFonts w:ascii="Calibri" w:eastAsia="Times New Roman" w:hAnsi="Calibri" w:cs="Calibri"/>
        </w:rPr>
      </w:pPr>
    </w:p>
    <w:p w14:paraId="6D146CC8" w14:textId="77777777" w:rsidR="007712BC" w:rsidRDefault="007712BC" w:rsidP="001D10E5">
      <w:pPr>
        <w:spacing w:after="0"/>
        <w:jc w:val="both"/>
        <w:rPr>
          <w:rFonts w:ascii="Calibri" w:eastAsia="Times New Roman" w:hAnsi="Calibri" w:cs="Calibri"/>
        </w:rPr>
      </w:pPr>
    </w:p>
    <w:p w14:paraId="2758EDEE" w14:textId="77777777" w:rsidR="007712BC" w:rsidRDefault="007712BC" w:rsidP="001D10E5">
      <w:pPr>
        <w:spacing w:after="0"/>
        <w:jc w:val="both"/>
        <w:rPr>
          <w:rFonts w:ascii="Calibri" w:eastAsia="Times New Roman" w:hAnsi="Calibri" w:cs="Calibri"/>
        </w:rPr>
      </w:pPr>
    </w:p>
    <w:p w14:paraId="0A91ED63" w14:textId="77777777" w:rsidR="007712BC" w:rsidRDefault="007712BC" w:rsidP="001D10E5">
      <w:pPr>
        <w:spacing w:after="0"/>
        <w:jc w:val="both"/>
        <w:rPr>
          <w:rFonts w:ascii="Calibri" w:eastAsia="Times New Roman" w:hAnsi="Calibri" w:cs="Calibri"/>
        </w:rPr>
      </w:pPr>
    </w:p>
    <w:p w14:paraId="6500C63B" w14:textId="77777777" w:rsidR="007712BC" w:rsidRDefault="007712BC" w:rsidP="001D10E5">
      <w:pPr>
        <w:spacing w:after="0"/>
        <w:jc w:val="both"/>
        <w:rPr>
          <w:rFonts w:ascii="Calibri" w:eastAsia="Times New Roman" w:hAnsi="Calibri" w:cs="Calibri"/>
        </w:rPr>
      </w:pPr>
    </w:p>
    <w:p w14:paraId="472FCDC3" w14:textId="77777777" w:rsidR="007712BC" w:rsidRDefault="007712BC" w:rsidP="001D10E5">
      <w:pPr>
        <w:spacing w:after="0"/>
        <w:jc w:val="both"/>
        <w:rPr>
          <w:rFonts w:ascii="Calibri" w:eastAsia="Times New Roman" w:hAnsi="Calibri" w:cs="Calibri"/>
        </w:rPr>
      </w:pPr>
    </w:p>
    <w:p w14:paraId="58DA10F2" w14:textId="77777777" w:rsidR="007712BC" w:rsidRDefault="007712BC" w:rsidP="001D10E5">
      <w:pPr>
        <w:spacing w:after="0"/>
        <w:jc w:val="both"/>
        <w:rPr>
          <w:rFonts w:ascii="Calibri" w:eastAsia="Times New Roman" w:hAnsi="Calibri" w:cs="Calibri"/>
        </w:rPr>
      </w:pPr>
    </w:p>
    <w:p w14:paraId="76674184" w14:textId="77777777" w:rsidR="007712BC" w:rsidRDefault="007712BC" w:rsidP="001D10E5">
      <w:pPr>
        <w:spacing w:after="0"/>
        <w:jc w:val="both"/>
        <w:rPr>
          <w:rFonts w:ascii="Calibri" w:eastAsia="Times New Roman" w:hAnsi="Calibri" w:cs="Calibri"/>
        </w:rPr>
      </w:pPr>
    </w:p>
    <w:p w14:paraId="1367F812" w14:textId="3AA99D55" w:rsidR="00BC54EC" w:rsidRDefault="00BC54EC" w:rsidP="001D10E5">
      <w:pPr>
        <w:spacing w:after="0"/>
        <w:jc w:val="both"/>
        <w:rPr>
          <w:noProof/>
        </w:rPr>
      </w:pPr>
    </w:p>
    <w:p w14:paraId="7CEB9222" w14:textId="77777777" w:rsidR="007712BC" w:rsidRDefault="007712BC" w:rsidP="001D10E5">
      <w:pPr>
        <w:spacing w:after="0"/>
        <w:jc w:val="both"/>
        <w:rPr>
          <w:noProof/>
        </w:rPr>
      </w:pPr>
    </w:p>
    <w:p w14:paraId="30C6247F" w14:textId="77777777" w:rsidR="007712BC" w:rsidRDefault="007712BC" w:rsidP="001D10E5">
      <w:pPr>
        <w:spacing w:after="0"/>
        <w:jc w:val="both"/>
        <w:rPr>
          <w:noProof/>
        </w:rPr>
      </w:pPr>
    </w:p>
    <w:tbl>
      <w:tblPr>
        <w:tblW w:w="4939" w:type="pct"/>
        <w:tblCellMar>
          <w:left w:w="70" w:type="dxa"/>
          <w:right w:w="70" w:type="dxa"/>
        </w:tblCellMar>
        <w:tblLook w:val="04A0" w:firstRow="1" w:lastRow="0" w:firstColumn="1" w:lastColumn="0" w:noHBand="0" w:noVBand="1"/>
      </w:tblPr>
      <w:tblGrid>
        <w:gridCol w:w="1863"/>
        <w:gridCol w:w="328"/>
        <w:gridCol w:w="820"/>
        <w:gridCol w:w="143"/>
        <w:gridCol w:w="820"/>
        <w:gridCol w:w="143"/>
        <w:gridCol w:w="2543"/>
        <w:gridCol w:w="328"/>
        <w:gridCol w:w="899"/>
        <w:gridCol w:w="143"/>
        <w:gridCol w:w="899"/>
        <w:gridCol w:w="143"/>
      </w:tblGrid>
      <w:tr w:rsidR="004449AB" w:rsidRPr="004449AB" w14:paraId="349D0F35" w14:textId="77777777" w:rsidTr="00075425">
        <w:trPr>
          <w:trHeight w:val="200"/>
        </w:trPr>
        <w:tc>
          <w:tcPr>
            <w:tcW w:w="5000" w:type="pct"/>
            <w:gridSpan w:val="12"/>
            <w:tcBorders>
              <w:top w:val="nil"/>
              <w:left w:val="nil"/>
              <w:bottom w:val="nil"/>
              <w:right w:val="nil"/>
            </w:tcBorders>
            <w:shd w:val="clear" w:color="auto" w:fill="auto"/>
            <w:noWrap/>
            <w:vAlign w:val="bottom"/>
            <w:hideMark/>
          </w:tcPr>
          <w:p w14:paraId="6B945566" w14:textId="77777777" w:rsidR="004449AB" w:rsidRPr="004449AB" w:rsidRDefault="004449AB" w:rsidP="004449AB">
            <w:pPr>
              <w:spacing w:after="0" w:line="240" w:lineRule="auto"/>
              <w:jc w:val="center"/>
              <w:rPr>
                <w:rFonts w:ascii="Arial" w:eastAsia="Times New Roman" w:hAnsi="Arial" w:cs="Arial"/>
                <w:b/>
                <w:bCs/>
                <w:color w:val="000000"/>
                <w:kern w:val="0"/>
                <w:sz w:val="15"/>
                <w:szCs w:val="15"/>
                <w:lang w:eastAsia="pt-BR"/>
                <w14:ligatures w14:val="none"/>
              </w:rPr>
            </w:pPr>
            <w:bookmarkStart w:id="374" w:name="_Hlk162279545"/>
            <w:r w:rsidRPr="004449AB">
              <w:rPr>
                <w:rFonts w:ascii="Arial" w:eastAsia="Times New Roman" w:hAnsi="Arial" w:cs="Arial"/>
                <w:b/>
                <w:bCs/>
                <w:color w:val="000000"/>
                <w:kern w:val="0"/>
                <w:sz w:val="15"/>
                <w:szCs w:val="15"/>
                <w:lang w:eastAsia="pt-BR"/>
                <w14:ligatures w14:val="none"/>
              </w:rPr>
              <w:lastRenderedPageBreak/>
              <w:t>TELECOMUNICAÇÕES BRASILEIRAS S.A - "TELEBRAS"</w:t>
            </w:r>
          </w:p>
        </w:tc>
      </w:tr>
      <w:tr w:rsidR="004449AB" w:rsidRPr="004449AB" w14:paraId="7D65E1E7" w14:textId="77777777" w:rsidTr="00075425">
        <w:trPr>
          <w:trHeight w:val="200"/>
        </w:trPr>
        <w:tc>
          <w:tcPr>
            <w:tcW w:w="5000" w:type="pct"/>
            <w:gridSpan w:val="12"/>
            <w:tcBorders>
              <w:top w:val="nil"/>
              <w:left w:val="nil"/>
              <w:bottom w:val="nil"/>
              <w:right w:val="nil"/>
            </w:tcBorders>
            <w:shd w:val="clear" w:color="auto" w:fill="auto"/>
            <w:noWrap/>
            <w:vAlign w:val="bottom"/>
            <w:hideMark/>
          </w:tcPr>
          <w:p w14:paraId="085D467D" w14:textId="77777777" w:rsidR="004449AB" w:rsidRPr="004449AB" w:rsidRDefault="004449AB" w:rsidP="004449AB">
            <w:pPr>
              <w:spacing w:after="0" w:line="240" w:lineRule="auto"/>
              <w:jc w:val="center"/>
              <w:rPr>
                <w:rFonts w:ascii="Arial" w:eastAsia="Times New Roman" w:hAnsi="Arial" w:cs="Arial"/>
                <w:b/>
                <w:bCs/>
                <w:kern w:val="0"/>
                <w:sz w:val="15"/>
                <w:szCs w:val="15"/>
                <w:lang w:eastAsia="pt-BR"/>
                <w14:ligatures w14:val="none"/>
              </w:rPr>
            </w:pPr>
            <w:r w:rsidRPr="004449AB">
              <w:rPr>
                <w:rFonts w:ascii="Arial" w:eastAsia="Times New Roman" w:hAnsi="Arial" w:cs="Arial"/>
                <w:b/>
                <w:bCs/>
                <w:kern w:val="0"/>
                <w:sz w:val="15"/>
                <w:szCs w:val="15"/>
                <w:lang w:eastAsia="pt-BR"/>
                <w14:ligatures w14:val="none"/>
              </w:rPr>
              <w:t>CNPJ 00.336.701/0001-04</w:t>
            </w:r>
          </w:p>
        </w:tc>
      </w:tr>
      <w:tr w:rsidR="004449AB" w:rsidRPr="004449AB" w14:paraId="17AD48DB" w14:textId="77777777" w:rsidTr="00075425">
        <w:trPr>
          <w:trHeight w:val="200"/>
        </w:trPr>
        <w:tc>
          <w:tcPr>
            <w:tcW w:w="5000" w:type="pct"/>
            <w:gridSpan w:val="12"/>
            <w:tcBorders>
              <w:top w:val="nil"/>
              <w:left w:val="nil"/>
              <w:bottom w:val="nil"/>
              <w:right w:val="nil"/>
            </w:tcBorders>
            <w:shd w:val="clear" w:color="auto" w:fill="auto"/>
            <w:noWrap/>
            <w:vAlign w:val="bottom"/>
            <w:hideMark/>
          </w:tcPr>
          <w:p w14:paraId="48985979" w14:textId="77777777" w:rsidR="004449AB" w:rsidRPr="004449AB" w:rsidRDefault="004449AB" w:rsidP="004449AB">
            <w:pPr>
              <w:spacing w:after="0" w:line="240" w:lineRule="auto"/>
              <w:jc w:val="center"/>
              <w:rPr>
                <w:rFonts w:ascii="Arial" w:eastAsia="Times New Roman" w:hAnsi="Arial" w:cs="Arial"/>
                <w:b/>
                <w:bCs/>
                <w:color w:val="000000"/>
                <w:kern w:val="0"/>
                <w:sz w:val="15"/>
                <w:szCs w:val="15"/>
                <w:lang w:eastAsia="pt-BR"/>
                <w14:ligatures w14:val="none"/>
              </w:rPr>
            </w:pPr>
            <w:r w:rsidRPr="004449AB">
              <w:rPr>
                <w:rFonts w:ascii="Arial" w:eastAsia="Times New Roman" w:hAnsi="Arial" w:cs="Arial"/>
                <w:b/>
                <w:bCs/>
                <w:color w:val="000000"/>
                <w:kern w:val="0"/>
                <w:sz w:val="15"/>
                <w:szCs w:val="15"/>
                <w:lang w:eastAsia="pt-BR"/>
                <w14:ligatures w14:val="none"/>
              </w:rPr>
              <w:t>Balanços Patrimoniais</w:t>
            </w:r>
          </w:p>
        </w:tc>
      </w:tr>
      <w:tr w:rsidR="004449AB" w:rsidRPr="004449AB" w14:paraId="7C9BC0A2" w14:textId="77777777" w:rsidTr="00075425">
        <w:trPr>
          <w:trHeight w:val="200"/>
        </w:trPr>
        <w:tc>
          <w:tcPr>
            <w:tcW w:w="5000" w:type="pct"/>
            <w:gridSpan w:val="12"/>
            <w:tcBorders>
              <w:top w:val="nil"/>
              <w:left w:val="nil"/>
              <w:bottom w:val="nil"/>
              <w:right w:val="nil"/>
            </w:tcBorders>
            <w:shd w:val="clear" w:color="auto" w:fill="auto"/>
            <w:noWrap/>
            <w:vAlign w:val="bottom"/>
            <w:hideMark/>
          </w:tcPr>
          <w:p w14:paraId="6DD0C17D" w14:textId="77777777" w:rsidR="004449AB" w:rsidRPr="004449AB" w:rsidRDefault="004449AB" w:rsidP="004449AB">
            <w:pPr>
              <w:spacing w:after="0" w:line="240" w:lineRule="auto"/>
              <w:jc w:val="center"/>
              <w:rPr>
                <w:rFonts w:ascii="Arial" w:eastAsia="Times New Roman" w:hAnsi="Arial" w:cs="Arial"/>
                <w:b/>
                <w:bCs/>
                <w:color w:val="000000"/>
                <w:kern w:val="0"/>
                <w:sz w:val="15"/>
                <w:szCs w:val="15"/>
                <w:lang w:eastAsia="pt-BR"/>
                <w14:ligatures w14:val="none"/>
              </w:rPr>
            </w:pPr>
            <w:r w:rsidRPr="004449AB">
              <w:rPr>
                <w:rFonts w:ascii="Arial" w:eastAsia="Times New Roman" w:hAnsi="Arial" w:cs="Arial"/>
                <w:b/>
                <w:bCs/>
                <w:color w:val="000000"/>
                <w:kern w:val="0"/>
                <w:sz w:val="15"/>
                <w:szCs w:val="15"/>
                <w:lang w:eastAsia="pt-BR"/>
                <w14:ligatures w14:val="none"/>
              </w:rPr>
              <w:t>Em 31 de dezembro de 2023 e 2022</w:t>
            </w:r>
          </w:p>
        </w:tc>
      </w:tr>
      <w:tr w:rsidR="004449AB" w:rsidRPr="004449AB" w14:paraId="113F0C14" w14:textId="77777777" w:rsidTr="00075425">
        <w:trPr>
          <w:trHeight w:val="200"/>
        </w:trPr>
        <w:tc>
          <w:tcPr>
            <w:tcW w:w="5000" w:type="pct"/>
            <w:gridSpan w:val="12"/>
            <w:tcBorders>
              <w:top w:val="nil"/>
              <w:left w:val="nil"/>
              <w:bottom w:val="nil"/>
              <w:right w:val="nil"/>
            </w:tcBorders>
            <w:shd w:val="clear" w:color="auto" w:fill="auto"/>
            <w:noWrap/>
            <w:vAlign w:val="bottom"/>
            <w:hideMark/>
          </w:tcPr>
          <w:p w14:paraId="7E39FA2A" w14:textId="77777777" w:rsidR="004449AB" w:rsidRPr="004449AB" w:rsidRDefault="004449AB" w:rsidP="004449AB">
            <w:pPr>
              <w:spacing w:after="0" w:line="240" w:lineRule="auto"/>
              <w:jc w:val="center"/>
              <w:rPr>
                <w:rFonts w:ascii="Arial" w:eastAsia="Times New Roman" w:hAnsi="Arial" w:cs="Arial"/>
                <w:b/>
                <w:bCs/>
                <w:color w:val="000000"/>
                <w:kern w:val="0"/>
                <w:sz w:val="15"/>
                <w:szCs w:val="15"/>
                <w:lang w:eastAsia="pt-BR"/>
                <w14:ligatures w14:val="none"/>
              </w:rPr>
            </w:pPr>
            <w:r w:rsidRPr="004449AB">
              <w:rPr>
                <w:rFonts w:ascii="Arial" w:eastAsia="Times New Roman" w:hAnsi="Arial" w:cs="Arial"/>
                <w:b/>
                <w:bCs/>
                <w:color w:val="000000"/>
                <w:kern w:val="0"/>
                <w:sz w:val="15"/>
                <w:szCs w:val="15"/>
                <w:lang w:eastAsia="pt-BR"/>
                <w14:ligatures w14:val="none"/>
              </w:rPr>
              <w:t>Em milhares de reais, exceto quando indicado de outra forma</w:t>
            </w:r>
          </w:p>
        </w:tc>
      </w:tr>
      <w:tr w:rsidR="004449AB" w:rsidRPr="004449AB" w14:paraId="467D4776" w14:textId="77777777" w:rsidTr="00075425">
        <w:trPr>
          <w:trHeight w:val="200"/>
        </w:trPr>
        <w:tc>
          <w:tcPr>
            <w:tcW w:w="1081" w:type="pct"/>
            <w:tcBorders>
              <w:top w:val="nil"/>
              <w:left w:val="nil"/>
              <w:bottom w:val="nil"/>
              <w:right w:val="nil"/>
            </w:tcBorders>
            <w:shd w:val="clear" w:color="auto" w:fill="auto"/>
            <w:noWrap/>
            <w:vAlign w:val="center"/>
            <w:hideMark/>
          </w:tcPr>
          <w:p w14:paraId="3ABF279E" w14:textId="77777777" w:rsidR="004449AB" w:rsidRPr="004449AB" w:rsidRDefault="004449AB" w:rsidP="004449AB">
            <w:pPr>
              <w:spacing w:after="0" w:line="240" w:lineRule="auto"/>
              <w:jc w:val="center"/>
              <w:rPr>
                <w:rFonts w:ascii="Arial" w:eastAsia="Times New Roman" w:hAnsi="Arial" w:cs="Arial"/>
                <w:b/>
                <w:bCs/>
                <w:color w:val="000000"/>
                <w:kern w:val="0"/>
                <w:sz w:val="15"/>
                <w:szCs w:val="15"/>
                <w:lang w:eastAsia="pt-BR"/>
                <w14:ligatures w14:val="none"/>
              </w:rPr>
            </w:pPr>
          </w:p>
        </w:tc>
        <w:tc>
          <w:tcPr>
            <w:tcW w:w="160" w:type="pct"/>
            <w:tcBorders>
              <w:top w:val="nil"/>
              <w:left w:val="nil"/>
              <w:bottom w:val="nil"/>
              <w:right w:val="nil"/>
            </w:tcBorders>
            <w:shd w:val="clear" w:color="auto" w:fill="auto"/>
            <w:noWrap/>
            <w:vAlign w:val="center"/>
            <w:hideMark/>
          </w:tcPr>
          <w:p w14:paraId="525FB5C2"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959" w:type="pct"/>
            <w:gridSpan w:val="3"/>
            <w:tcBorders>
              <w:top w:val="nil"/>
              <w:left w:val="nil"/>
              <w:bottom w:val="nil"/>
              <w:right w:val="nil"/>
            </w:tcBorders>
            <w:shd w:val="clear" w:color="auto" w:fill="auto"/>
            <w:noWrap/>
            <w:vAlign w:val="center"/>
            <w:hideMark/>
          </w:tcPr>
          <w:p w14:paraId="3CCCB9C1"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9" w:type="pct"/>
            <w:tcBorders>
              <w:top w:val="nil"/>
              <w:left w:val="nil"/>
              <w:bottom w:val="nil"/>
              <w:right w:val="nil"/>
            </w:tcBorders>
            <w:shd w:val="clear" w:color="auto" w:fill="auto"/>
            <w:noWrap/>
            <w:vAlign w:val="center"/>
            <w:hideMark/>
          </w:tcPr>
          <w:p w14:paraId="14FEF8A2" w14:textId="77777777" w:rsidR="004449AB" w:rsidRPr="004449AB" w:rsidRDefault="004449AB" w:rsidP="004449AB">
            <w:pPr>
              <w:spacing w:after="0" w:line="240" w:lineRule="auto"/>
              <w:jc w:val="center"/>
              <w:rPr>
                <w:rFonts w:ascii="Times New Roman" w:eastAsia="Times New Roman" w:hAnsi="Times New Roman" w:cs="Times New Roman"/>
                <w:kern w:val="0"/>
                <w:sz w:val="15"/>
                <w:szCs w:val="15"/>
                <w:lang w:eastAsia="pt-BR"/>
                <w14:ligatures w14:val="none"/>
              </w:rPr>
            </w:pPr>
          </w:p>
        </w:tc>
        <w:tc>
          <w:tcPr>
            <w:tcW w:w="1488" w:type="pct"/>
            <w:tcBorders>
              <w:top w:val="nil"/>
              <w:left w:val="nil"/>
              <w:bottom w:val="nil"/>
              <w:right w:val="nil"/>
            </w:tcBorders>
            <w:shd w:val="clear" w:color="auto" w:fill="auto"/>
            <w:noWrap/>
            <w:vAlign w:val="center"/>
            <w:hideMark/>
          </w:tcPr>
          <w:p w14:paraId="14951853"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160" w:type="pct"/>
            <w:tcBorders>
              <w:top w:val="nil"/>
              <w:left w:val="nil"/>
              <w:bottom w:val="nil"/>
              <w:right w:val="nil"/>
            </w:tcBorders>
            <w:shd w:val="clear" w:color="auto" w:fill="auto"/>
            <w:noWrap/>
            <w:vAlign w:val="center"/>
            <w:hideMark/>
          </w:tcPr>
          <w:p w14:paraId="36D2E7D8"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1103" w:type="pct"/>
            <w:gridSpan w:val="4"/>
            <w:tcBorders>
              <w:top w:val="nil"/>
              <w:left w:val="nil"/>
              <w:bottom w:val="nil"/>
              <w:right w:val="nil"/>
            </w:tcBorders>
            <w:shd w:val="clear" w:color="auto" w:fill="auto"/>
            <w:noWrap/>
            <w:vAlign w:val="center"/>
            <w:hideMark/>
          </w:tcPr>
          <w:p w14:paraId="54150C14"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r>
      <w:tr w:rsidR="004449AB" w:rsidRPr="004449AB" w14:paraId="64A8E5CC" w14:textId="77777777" w:rsidTr="00075425">
        <w:trPr>
          <w:trHeight w:val="200"/>
        </w:trPr>
        <w:tc>
          <w:tcPr>
            <w:tcW w:w="1081" w:type="pct"/>
            <w:tcBorders>
              <w:top w:val="nil"/>
              <w:left w:val="nil"/>
              <w:bottom w:val="nil"/>
              <w:right w:val="nil"/>
            </w:tcBorders>
            <w:shd w:val="clear" w:color="auto" w:fill="auto"/>
            <w:noWrap/>
            <w:vAlign w:val="center"/>
            <w:hideMark/>
          </w:tcPr>
          <w:p w14:paraId="4F2B5ECC" w14:textId="77777777" w:rsidR="004449AB" w:rsidRPr="004449AB" w:rsidRDefault="004449AB" w:rsidP="004449AB">
            <w:pPr>
              <w:spacing w:after="0" w:line="240" w:lineRule="auto"/>
              <w:rPr>
                <w:rFonts w:ascii="Arial" w:eastAsia="Times New Roman" w:hAnsi="Arial" w:cs="Arial"/>
                <w:b/>
                <w:bCs/>
                <w:color w:val="000000"/>
                <w:kern w:val="0"/>
                <w:sz w:val="15"/>
                <w:szCs w:val="15"/>
                <w:lang w:eastAsia="pt-BR"/>
                <w14:ligatures w14:val="none"/>
              </w:rPr>
            </w:pPr>
            <w:r w:rsidRPr="004449AB">
              <w:rPr>
                <w:rFonts w:ascii="Arial" w:eastAsia="Times New Roman" w:hAnsi="Arial" w:cs="Arial"/>
                <w:b/>
                <w:bCs/>
                <w:color w:val="000000"/>
                <w:kern w:val="0"/>
                <w:sz w:val="15"/>
                <w:szCs w:val="15"/>
                <w:lang w:eastAsia="pt-BR"/>
                <w14:ligatures w14:val="none"/>
              </w:rPr>
              <w:t>Ativo</w:t>
            </w:r>
          </w:p>
        </w:tc>
        <w:tc>
          <w:tcPr>
            <w:tcW w:w="160" w:type="pct"/>
            <w:tcBorders>
              <w:top w:val="nil"/>
              <w:left w:val="nil"/>
              <w:bottom w:val="nil"/>
              <w:right w:val="nil"/>
            </w:tcBorders>
            <w:shd w:val="clear" w:color="auto" w:fill="auto"/>
            <w:noWrap/>
            <w:vAlign w:val="center"/>
            <w:hideMark/>
          </w:tcPr>
          <w:p w14:paraId="4DE08549" w14:textId="77777777" w:rsidR="004449AB" w:rsidRPr="004449AB" w:rsidRDefault="004449AB" w:rsidP="004449AB">
            <w:pPr>
              <w:spacing w:after="0" w:line="240" w:lineRule="auto"/>
              <w:jc w:val="center"/>
              <w:rPr>
                <w:rFonts w:ascii="Arial" w:eastAsia="Times New Roman" w:hAnsi="Arial" w:cs="Arial"/>
                <w:b/>
                <w:bCs/>
                <w:color w:val="000000"/>
                <w:kern w:val="0"/>
                <w:sz w:val="15"/>
                <w:szCs w:val="15"/>
                <w:lang w:eastAsia="pt-BR"/>
                <w14:ligatures w14:val="none"/>
              </w:rPr>
            </w:pPr>
            <w:r w:rsidRPr="004449AB">
              <w:rPr>
                <w:rFonts w:ascii="Arial" w:eastAsia="Times New Roman" w:hAnsi="Arial" w:cs="Arial"/>
                <w:b/>
                <w:bCs/>
                <w:color w:val="000000"/>
                <w:kern w:val="0"/>
                <w:sz w:val="15"/>
                <w:szCs w:val="15"/>
                <w:lang w:eastAsia="pt-BR"/>
                <w14:ligatures w14:val="none"/>
              </w:rPr>
              <w:t>Nota</w:t>
            </w:r>
          </w:p>
        </w:tc>
        <w:tc>
          <w:tcPr>
            <w:tcW w:w="455" w:type="pct"/>
            <w:tcBorders>
              <w:top w:val="single" w:sz="4" w:space="0" w:color="auto"/>
              <w:left w:val="nil"/>
              <w:bottom w:val="single" w:sz="4" w:space="0" w:color="auto"/>
              <w:right w:val="nil"/>
            </w:tcBorders>
            <w:shd w:val="clear" w:color="auto" w:fill="auto"/>
            <w:vAlign w:val="center"/>
            <w:hideMark/>
          </w:tcPr>
          <w:p w14:paraId="39661ECE" w14:textId="77777777" w:rsidR="004449AB" w:rsidRPr="004449AB" w:rsidRDefault="004449AB" w:rsidP="004449AB">
            <w:pPr>
              <w:spacing w:after="0" w:line="240" w:lineRule="auto"/>
              <w:jc w:val="center"/>
              <w:rPr>
                <w:rFonts w:ascii="Arial" w:eastAsia="Times New Roman" w:hAnsi="Arial" w:cs="Arial"/>
                <w:b/>
                <w:bCs/>
                <w:color w:val="000000"/>
                <w:kern w:val="0"/>
                <w:sz w:val="15"/>
                <w:szCs w:val="15"/>
                <w:lang w:eastAsia="pt-BR"/>
                <w14:ligatures w14:val="none"/>
              </w:rPr>
            </w:pPr>
            <w:r w:rsidRPr="004449AB">
              <w:rPr>
                <w:rFonts w:ascii="Arial" w:eastAsia="Times New Roman" w:hAnsi="Arial" w:cs="Arial"/>
                <w:b/>
                <w:bCs/>
                <w:color w:val="000000"/>
                <w:kern w:val="0"/>
                <w:sz w:val="15"/>
                <w:szCs w:val="15"/>
                <w:lang w:eastAsia="pt-BR"/>
                <w14:ligatures w14:val="none"/>
              </w:rPr>
              <w:t>2023</w:t>
            </w:r>
          </w:p>
        </w:tc>
        <w:tc>
          <w:tcPr>
            <w:tcW w:w="49" w:type="pct"/>
            <w:tcBorders>
              <w:top w:val="nil"/>
              <w:left w:val="nil"/>
              <w:bottom w:val="nil"/>
              <w:right w:val="nil"/>
            </w:tcBorders>
            <w:shd w:val="clear" w:color="auto" w:fill="auto"/>
            <w:noWrap/>
            <w:vAlign w:val="center"/>
            <w:hideMark/>
          </w:tcPr>
          <w:p w14:paraId="1DB8A426" w14:textId="77777777" w:rsidR="004449AB" w:rsidRPr="004449AB" w:rsidRDefault="004449AB" w:rsidP="004449AB">
            <w:pPr>
              <w:spacing w:after="0" w:line="240" w:lineRule="auto"/>
              <w:jc w:val="center"/>
              <w:rPr>
                <w:rFonts w:ascii="Arial" w:eastAsia="Times New Roman" w:hAnsi="Arial" w:cs="Arial"/>
                <w:b/>
                <w:bCs/>
                <w:color w:val="000000"/>
                <w:kern w:val="0"/>
                <w:sz w:val="15"/>
                <w:szCs w:val="15"/>
                <w:lang w:eastAsia="pt-BR"/>
                <w14:ligatures w14:val="none"/>
              </w:rPr>
            </w:pPr>
          </w:p>
        </w:tc>
        <w:tc>
          <w:tcPr>
            <w:tcW w:w="455" w:type="pct"/>
            <w:tcBorders>
              <w:top w:val="single" w:sz="4" w:space="0" w:color="auto"/>
              <w:left w:val="nil"/>
              <w:bottom w:val="single" w:sz="4" w:space="0" w:color="auto"/>
              <w:right w:val="nil"/>
            </w:tcBorders>
            <w:shd w:val="clear" w:color="auto" w:fill="auto"/>
            <w:vAlign w:val="center"/>
            <w:hideMark/>
          </w:tcPr>
          <w:p w14:paraId="4F7DFB14" w14:textId="77777777" w:rsidR="004449AB" w:rsidRPr="004449AB" w:rsidRDefault="004449AB" w:rsidP="004449AB">
            <w:pPr>
              <w:spacing w:after="0" w:line="240" w:lineRule="auto"/>
              <w:jc w:val="center"/>
              <w:rPr>
                <w:rFonts w:ascii="Arial" w:eastAsia="Times New Roman" w:hAnsi="Arial" w:cs="Arial"/>
                <w:b/>
                <w:bCs/>
                <w:color w:val="000000"/>
                <w:kern w:val="0"/>
                <w:sz w:val="15"/>
                <w:szCs w:val="15"/>
                <w:lang w:eastAsia="pt-BR"/>
                <w14:ligatures w14:val="none"/>
              </w:rPr>
            </w:pPr>
            <w:proofErr w:type="gramStart"/>
            <w:r w:rsidRPr="004449AB">
              <w:rPr>
                <w:rFonts w:ascii="Arial" w:eastAsia="Times New Roman" w:hAnsi="Arial" w:cs="Arial"/>
                <w:b/>
                <w:bCs/>
                <w:color w:val="000000"/>
                <w:kern w:val="0"/>
                <w:sz w:val="15"/>
                <w:szCs w:val="15"/>
                <w:lang w:eastAsia="pt-BR"/>
                <w14:ligatures w14:val="none"/>
              </w:rPr>
              <w:t>2022  Reapresentado</w:t>
            </w:r>
            <w:proofErr w:type="gramEnd"/>
          </w:p>
        </w:tc>
        <w:tc>
          <w:tcPr>
            <w:tcW w:w="49" w:type="pct"/>
            <w:tcBorders>
              <w:top w:val="nil"/>
              <w:left w:val="nil"/>
              <w:bottom w:val="nil"/>
              <w:right w:val="nil"/>
            </w:tcBorders>
            <w:shd w:val="clear" w:color="auto" w:fill="auto"/>
            <w:noWrap/>
            <w:vAlign w:val="center"/>
            <w:hideMark/>
          </w:tcPr>
          <w:p w14:paraId="2F160DBA" w14:textId="77777777" w:rsidR="004449AB" w:rsidRPr="004449AB" w:rsidRDefault="004449AB" w:rsidP="004449AB">
            <w:pPr>
              <w:spacing w:after="0" w:line="240" w:lineRule="auto"/>
              <w:jc w:val="center"/>
              <w:rPr>
                <w:rFonts w:ascii="Arial" w:eastAsia="Times New Roman" w:hAnsi="Arial" w:cs="Arial"/>
                <w:b/>
                <w:bCs/>
                <w:color w:val="000000"/>
                <w:kern w:val="0"/>
                <w:sz w:val="15"/>
                <w:szCs w:val="15"/>
                <w:lang w:eastAsia="pt-BR"/>
                <w14:ligatures w14:val="none"/>
              </w:rPr>
            </w:pPr>
          </w:p>
        </w:tc>
        <w:tc>
          <w:tcPr>
            <w:tcW w:w="1488" w:type="pct"/>
            <w:tcBorders>
              <w:top w:val="nil"/>
              <w:left w:val="nil"/>
              <w:bottom w:val="nil"/>
              <w:right w:val="nil"/>
            </w:tcBorders>
            <w:shd w:val="clear" w:color="auto" w:fill="auto"/>
            <w:noWrap/>
            <w:vAlign w:val="center"/>
            <w:hideMark/>
          </w:tcPr>
          <w:p w14:paraId="7C195BC7" w14:textId="77777777" w:rsidR="004449AB" w:rsidRPr="004449AB" w:rsidRDefault="004449AB" w:rsidP="004449AB">
            <w:pPr>
              <w:spacing w:after="0" w:line="240" w:lineRule="auto"/>
              <w:rPr>
                <w:rFonts w:ascii="Arial" w:eastAsia="Times New Roman" w:hAnsi="Arial" w:cs="Arial"/>
                <w:b/>
                <w:bCs/>
                <w:color w:val="000000"/>
                <w:kern w:val="0"/>
                <w:sz w:val="15"/>
                <w:szCs w:val="15"/>
                <w:lang w:eastAsia="pt-BR"/>
                <w14:ligatures w14:val="none"/>
              </w:rPr>
            </w:pPr>
            <w:r w:rsidRPr="004449AB">
              <w:rPr>
                <w:rFonts w:ascii="Arial" w:eastAsia="Times New Roman" w:hAnsi="Arial" w:cs="Arial"/>
                <w:b/>
                <w:bCs/>
                <w:color w:val="000000"/>
                <w:kern w:val="0"/>
                <w:sz w:val="15"/>
                <w:szCs w:val="15"/>
                <w:lang w:eastAsia="pt-BR"/>
                <w14:ligatures w14:val="none"/>
              </w:rPr>
              <w:t>Passivo</w:t>
            </w:r>
          </w:p>
        </w:tc>
        <w:tc>
          <w:tcPr>
            <w:tcW w:w="160" w:type="pct"/>
            <w:tcBorders>
              <w:top w:val="nil"/>
              <w:left w:val="nil"/>
              <w:bottom w:val="nil"/>
              <w:right w:val="nil"/>
            </w:tcBorders>
            <w:shd w:val="clear" w:color="auto" w:fill="auto"/>
            <w:noWrap/>
            <w:vAlign w:val="center"/>
            <w:hideMark/>
          </w:tcPr>
          <w:p w14:paraId="73E2DEDF" w14:textId="77777777" w:rsidR="004449AB" w:rsidRPr="004449AB" w:rsidRDefault="004449AB" w:rsidP="004449AB">
            <w:pPr>
              <w:spacing w:after="0" w:line="240" w:lineRule="auto"/>
              <w:jc w:val="center"/>
              <w:rPr>
                <w:rFonts w:ascii="Arial" w:eastAsia="Times New Roman" w:hAnsi="Arial" w:cs="Arial"/>
                <w:b/>
                <w:bCs/>
                <w:color w:val="000000"/>
                <w:kern w:val="0"/>
                <w:sz w:val="15"/>
                <w:szCs w:val="15"/>
                <w:lang w:eastAsia="pt-BR"/>
                <w14:ligatures w14:val="none"/>
              </w:rPr>
            </w:pPr>
            <w:r w:rsidRPr="004449AB">
              <w:rPr>
                <w:rFonts w:ascii="Arial" w:eastAsia="Times New Roman" w:hAnsi="Arial" w:cs="Arial"/>
                <w:b/>
                <w:bCs/>
                <w:color w:val="000000"/>
                <w:kern w:val="0"/>
                <w:sz w:val="15"/>
                <w:szCs w:val="15"/>
                <w:lang w:eastAsia="pt-BR"/>
                <w14:ligatures w14:val="none"/>
              </w:rPr>
              <w:t>Nota</w:t>
            </w:r>
          </w:p>
        </w:tc>
        <w:tc>
          <w:tcPr>
            <w:tcW w:w="502" w:type="pct"/>
            <w:tcBorders>
              <w:top w:val="single" w:sz="4" w:space="0" w:color="auto"/>
              <w:left w:val="nil"/>
              <w:bottom w:val="single" w:sz="4" w:space="0" w:color="auto"/>
              <w:right w:val="nil"/>
            </w:tcBorders>
            <w:shd w:val="clear" w:color="auto" w:fill="auto"/>
            <w:vAlign w:val="center"/>
            <w:hideMark/>
          </w:tcPr>
          <w:p w14:paraId="618CFB55" w14:textId="77777777" w:rsidR="004449AB" w:rsidRPr="004449AB" w:rsidRDefault="004449AB" w:rsidP="004449AB">
            <w:pPr>
              <w:spacing w:after="0" w:line="240" w:lineRule="auto"/>
              <w:jc w:val="center"/>
              <w:rPr>
                <w:rFonts w:ascii="Arial" w:eastAsia="Times New Roman" w:hAnsi="Arial" w:cs="Arial"/>
                <w:b/>
                <w:bCs/>
                <w:color w:val="000000"/>
                <w:kern w:val="0"/>
                <w:sz w:val="15"/>
                <w:szCs w:val="15"/>
                <w:lang w:eastAsia="pt-BR"/>
                <w14:ligatures w14:val="none"/>
              </w:rPr>
            </w:pPr>
            <w:r w:rsidRPr="004449AB">
              <w:rPr>
                <w:rFonts w:ascii="Arial" w:eastAsia="Times New Roman" w:hAnsi="Arial" w:cs="Arial"/>
                <w:b/>
                <w:bCs/>
                <w:color w:val="000000"/>
                <w:kern w:val="0"/>
                <w:sz w:val="15"/>
                <w:szCs w:val="15"/>
                <w:lang w:eastAsia="pt-BR"/>
                <w14:ligatures w14:val="none"/>
              </w:rPr>
              <w:t>2023</w:t>
            </w:r>
          </w:p>
        </w:tc>
        <w:tc>
          <w:tcPr>
            <w:tcW w:w="49" w:type="pct"/>
            <w:tcBorders>
              <w:top w:val="nil"/>
              <w:left w:val="nil"/>
              <w:bottom w:val="nil"/>
              <w:right w:val="nil"/>
            </w:tcBorders>
            <w:shd w:val="clear" w:color="auto" w:fill="auto"/>
            <w:noWrap/>
            <w:vAlign w:val="center"/>
            <w:hideMark/>
          </w:tcPr>
          <w:p w14:paraId="7892E27D" w14:textId="77777777" w:rsidR="004449AB" w:rsidRPr="004449AB" w:rsidRDefault="004449AB" w:rsidP="004449AB">
            <w:pPr>
              <w:spacing w:after="0" w:line="240" w:lineRule="auto"/>
              <w:jc w:val="center"/>
              <w:rPr>
                <w:rFonts w:ascii="Arial" w:eastAsia="Times New Roman" w:hAnsi="Arial" w:cs="Arial"/>
                <w:b/>
                <w:bCs/>
                <w:color w:val="000000"/>
                <w:kern w:val="0"/>
                <w:sz w:val="15"/>
                <w:szCs w:val="15"/>
                <w:lang w:eastAsia="pt-BR"/>
                <w14:ligatures w14:val="none"/>
              </w:rPr>
            </w:pPr>
          </w:p>
        </w:tc>
        <w:tc>
          <w:tcPr>
            <w:tcW w:w="502" w:type="pct"/>
            <w:tcBorders>
              <w:top w:val="single" w:sz="4" w:space="0" w:color="auto"/>
              <w:left w:val="nil"/>
              <w:bottom w:val="single" w:sz="4" w:space="0" w:color="auto"/>
              <w:right w:val="nil"/>
            </w:tcBorders>
            <w:shd w:val="clear" w:color="auto" w:fill="auto"/>
            <w:vAlign w:val="center"/>
            <w:hideMark/>
          </w:tcPr>
          <w:p w14:paraId="3607C3DB" w14:textId="77777777" w:rsidR="004449AB" w:rsidRPr="004449AB" w:rsidRDefault="004449AB" w:rsidP="004449AB">
            <w:pPr>
              <w:spacing w:after="0" w:line="240" w:lineRule="auto"/>
              <w:jc w:val="center"/>
              <w:rPr>
                <w:rFonts w:ascii="Arial" w:eastAsia="Times New Roman" w:hAnsi="Arial" w:cs="Arial"/>
                <w:b/>
                <w:bCs/>
                <w:color w:val="000000"/>
                <w:kern w:val="0"/>
                <w:sz w:val="15"/>
                <w:szCs w:val="15"/>
                <w:lang w:eastAsia="pt-BR"/>
                <w14:ligatures w14:val="none"/>
              </w:rPr>
            </w:pPr>
            <w:proofErr w:type="gramStart"/>
            <w:r w:rsidRPr="004449AB">
              <w:rPr>
                <w:rFonts w:ascii="Arial" w:eastAsia="Times New Roman" w:hAnsi="Arial" w:cs="Arial"/>
                <w:b/>
                <w:bCs/>
                <w:color w:val="000000"/>
                <w:kern w:val="0"/>
                <w:sz w:val="15"/>
                <w:szCs w:val="15"/>
                <w:lang w:eastAsia="pt-BR"/>
                <w14:ligatures w14:val="none"/>
              </w:rPr>
              <w:t>2022  Reapresentado</w:t>
            </w:r>
            <w:proofErr w:type="gramEnd"/>
          </w:p>
        </w:tc>
        <w:tc>
          <w:tcPr>
            <w:tcW w:w="49" w:type="pct"/>
            <w:tcBorders>
              <w:top w:val="nil"/>
              <w:left w:val="nil"/>
              <w:bottom w:val="nil"/>
              <w:right w:val="nil"/>
            </w:tcBorders>
            <w:shd w:val="clear" w:color="auto" w:fill="auto"/>
            <w:vAlign w:val="center"/>
            <w:hideMark/>
          </w:tcPr>
          <w:p w14:paraId="62F17881" w14:textId="77777777" w:rsidR="004449AB" w:rsidRPr="004449AB" w:rsidRDefault="004449AB" w:rsidP="004449AB">
            <w:pPr>
              <w:spacing w:after="0" w:line="240" w:lineRule="auto"/>
              <w:jc w:val="center"/>
              <w:rPr>
                <w:rFonts w:ascii="Arial" w:eastAsia="Times New Roman" w:hAnsi="Arial" w:cs="Arial"/>
                <w:b/>
                <w:bCs/>
                <w:color w:val="000000"/>
                <w:kern w:val="0"/>
                <w:sz w:val="15"/>
                <w:szCs w:val="15"/>
                <w:lang w:eastAsia="pt-BR"/>
                <w14:ligatures w14:val="none"/>
              </w:rPr>
            </w:pPr>
          </w:p>
        </w:tc>
      </w:tr>
      <w:tr w:rsidR="004449AB" w:rsidRPr="004449AB" w14:paraId="61F15D96" w14:textId="77777777" w:rsidTr="00075425">
        <w:trPr>
          <w:trHeight w:val="200"/>
        </w:trPr>
        <w:tc>
          <w:tcPr>
            <w:tcW w:w="1081" w:type="pct"/>
            <w:tcBorders>
              <w:top w:val="nil"/>
              <w:left w:val="nil"/>
              <w:bottom w:val="nil"/>
              <w:right w:val="nil"/>
            </w:tcBorders>
            <w:shd w:val="clear" w:color="auto" w:fill="auto"/>
            <w:noWrap/>
            <w:vAlign w:val="center"/>
            <w:hideMark/>
          </w:tcPr>
          <w:p w14:paraId="3E84A365" w14:textId="77777777" w:rsidR="004449AB" w:rsidRPr="004449AB" w:rsidRDefault="004449AB" w:rsidP="004449AB">
            <w:pPr>
              <w:spacing w:after="0" w:line="240" w:lineRule="auto"/>
              <w:rPr>
                <w:rFonts w:ascii="Arial" w:eastAsia="Times New Roman" w:hAnsi="Arial" w:cs="Arial"/>
                <w:b/>
                <w:bCs/>
                <w:color w:val="000000"/>
                <w:kern w:val="0"/>
                <w:sz w:val="15"/>
                <w:szCs w:val="15"/>
                <w:lang w:eastAsia="pt-BR"/>
                <w14:ligatures w14:val="none"/>
              </w:rPr>
            </w:pPr>
            <w:r w:rsidRPr="004449AB">
              <w:rPr>
                <w:rFonts w:ascii="Arial" w:eastAsia="Times New Roman" w:hAnsi="Arial" w:cs="Arial"/>
                <w:b/>
                <w:bCs/>
                <w:color w:val="000000"/>
                <w:kern w:val="0"/>
                <w:sz w:val="15"/>
                <w:szCs w:val="15"/>
                <w:lang w:eastAsia="pt-BR"/>
                <w14:ligatures w14:val="none"/>
              </w:rPr>
              <w:t>Circulante</w:t>
            </w:r>
          </w:p>
        </w:tc>
        <w:tc>
          <w:tcPr>
            <w:tcW w:w="160" w:type="pct"/>
            <w:tcBorders>
              <w:top w:val="nil"/>
              <w:left w:val="nil"/>
              <w:bottom w:val="nil"/>
              <w:right w:val="nil"/>
            </w:tcBorders>
            <w:shd w:val="clear" w:color="auto" w:fill="auto"/>
            <w:noWrap/>
            <w:vAlign w:val="center"/>
            <w:hideMark/>
          </w:tcPr>
          <w:p w14:paraId="017D1CD5" w14:textId="77777777" w:rsidR="004449AB" w:rsidRPr="004449AB" w:rsidRDefault="004449AB" w:rsidP="004449AB">
            <w:pPr>
              <w:spacing w:after="0" w:line="240" w:lineRule="auto"/>
              <w:rPr>
                <w:rFonts w:ascii="Arial" w:eastAsia="Times New Roman" w:hAnsi="Arial" w:cs="Arial"/>
                <w:b/>
                <w:bCs/>
                <w:color w:val="000000"/>
                <w:kern w:val="0"/>
                <w:sz w:val="15"/>
                <w:szCs w:val="15"/>
                <w:lang w:eastAsia="pt-BR"/>
                <w14:ligatures w14:val="none"/>
              </w:rPr>
            </w:pPr>
          </w:p>
        </w:tc>
        <w:tc>
          <w:tcPr>
            <w:tcW w:w="455" w:type="pct"/>
            <w:tcBorders>
              <w:top w:val="nil"/>
              <w:left w:val="nil"/>
              <w:bottom w:val="nil"/>
              <w:right w:val="nil"/>
            </w:tcBorders>
            <w:shd w:val="clear" w:color="auto" w:fill="auto"/>
            <w:noWrap/>
            <w:vAlign w:val="center"/>
            <w:hideMark/>
          </w:tcPr>
          <w:p w14:paraId="37C7C144"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9" w:type="pct"/>
            <w:tcBorders>
              <w:top w:val="nil"/>
              <w:left w:val="nil"/>
              <w:bottom w:val="nil"/>
              <w:right w:val="nil"/>
            </w:tcBorders>
            <w:shd w:val="clear" w:color="auto" w:fill="auto"/>
            <w:noWrap/>
            <w:vAlign w:val="center"/>
            <w:hideMark/>
          </w:tcPr>
          <w:p w14:paraId="054E15CA"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55" w:type="pct"/>
            <w:tcBorders>
              <w:top w:val="nil"/>
              <w:left w:val="nil"/>
              <w:bottom w:val="nil"/>
              <w:right w:val="nil"/>
            </w:tcBorders>
            <w:shd w:val="clear" w:color="auto" w:fill="auto"/>
            <w:noWrap/>
            <w:vAlign w:val="center"/>
            <w:hideMark/>
          </w:tcPr>
          <w:p w14:paraId="1FA69B49"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9" w:type="pct"/>
            <w:tcBorders>
              <w:top w:val="nil"/>
              <w:left w:val="nil"/>
              <w:bottom w:val="nil"/>
              <w:right w:val="nil"/>
            </w:tcBorders>
            <w:shd w:val="clear" w:color="auto" w:fill="auto"/>
            <w:noWrap/>
            <w:vAlign w:val="center"/>
            <w:hideMark/>
          </w:tcPr>
          <w:p w14:paraId="559FFC23"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1488" w:type="pct"/>
            <w:tcBorders>
              <w:top w:val="nil"/>
              <w:left w:val="nil"/>
              <w:bottom w:val="nil"/>
              <w:right w:val="nil"/>
            </w:tcBorders>
            <w:shd w:val="clear" w:color="auto" w:fill="auto"/>
            <w:noWrap/>
            <w:vAlign w:val="center"/>
            <w:hideMark/>
          </w:tcPr>
          <w:p w14:paraId="7598A287" w14:textId="77777777" w:rsidR="004449AB" w:rsidRPr="004449AB" w:rsidRDefault="004449AB" w:rsidP="004449AB">
            <w:pPr>
              <w:spacing w:after="0" w:line="240" w:lineRule="auto"/>
              <w:rPr>
                <w:rFonts w:ascii="Arial" w:eastAsia="Times New Roman" w:hAnsi="Arial" w:cs="Arial"/>
                <w:b/>
                <w:bCs/>
                <w:color w:val="000000"/>
                <w:kern w:val="0"/>
                <w:sz w:val="15"/>
                <w:szCs w:val="15"/>
                <w:lang w:eastAsia="pt-BR"/>
                <w14:ligatures w14:val="none"/>
              </w:rPr>
            </w:pPr>
            <w:r w:rsidRPr="004449AB">
              <w:rPr>
                <w:rFonts w:ascii="Arial" w:eastAsia="Times New Roman" w:hAnsi="Arial" w:cs="Arial"/>
                <w:b/>
                <w:bCs/>
                <w:color w:val="000000"/>
                <w:kern w:val="0"/>
                <w:sz w:val="15"/>
                <w:szCs w:val="15"/>
                <w:lang w:eastAsia="pt-BR"/>
                <w14:ligatures w14:val="none"/>
              </w:rPr>
              <w:t>Circulante</w:t>
            </w:r>
          </w:p>
        </w:tc>
        <w:tc>
          <w:tcPr>
            <w:tcW w:w="160" w:type="pct"/>
            <w:tcBorders>
              <w:top w:val="nil"/>
              <w:left w:val="nil"/>
              <w:bottom w:val="nil"/>
              <w:right w:val="nil"/>
            </w:tcBorders>
            <w:shd w:val="clear" w:color="auto" w:fill="auto"/>
            <w:noWrap/>
            <w:vAlign w:val="center"/>
            <w:hideMark/>
          </w:tcPr>
          <w:p w14:paraId="7BA010BF" w14:textId="77777777" w:rsidR="004449AB" w:rsidRPr="004449AB" w:rsidRDefault="004449AB" w:rsidP="004449AB">
            <w:pPr>
              <w:spacing w:after="0" w:line="240" w:lineRule="auto"/>
              <w:rPr>
                <w:rFonts w:ascii="Arial" w:eastAsia="Times New Roman" w:hAnsi="Arial" w:cs="Arial"/>
                <w:b/>
                <w:bCs/>
                <w:color w:val="000000"/>
                <w:kern w:val="0"/>
                <w:sz w:val="15"/>
                <w:szCs w:val="15"/>
                <w:lang w:eastAsia="pt-BR"/>
                <w14:ligatures w14:val="none"/>
              </w:rPr>
            </w:pPr>
          </w:p>
        </w:tc>
        <w:tc>
          <w:tcPr>
            <w:tcW w:w="502" w:type="pct"/>
            <w:tcBorders>
              <w:top w:val="nil"/>
              <w:left w:val="nil"/>
              <w:bottom w:val="nil"/>
              <w:right w:val="nil"/>
            </w:tcBorders>
            <w:shd w:val="clear" w:color="auto" w:fill="auto"/>
            <w:noWrap/>
            <w:vAlign w:val="center"/>
            <w:hideMark/>
          </w:tcPr>
          <w:p w14:paraId="46AF6B65"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9" w:type="pct"/>
            <w:tcBorders>
              <w:top w:val="nil"/>
              <w:left w:val="nil"/>
              <w:bottom w:val="nil"/>
              <w:right w:val="nil"/>
            </w:tcBorders>
            <w:shd w:val="clear" w:color="auto" w:fill="auto"/>
            <w:noWrap/>
            <w:vAlign w:val="center"/>
            <w:hideMark/>
          </w:tcPr>
          <w:p w14:paraId="52B7CCD8"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502" w:type="pct"/>
            <w:tcBorders>
              <w:top w:val="nil"/>
              <w:left w:val="nil"/>
              <w:bottom w:val="nil"/>
              <w:right w:val="nil"/>
            </w:tcBorders>
            <w:shd w:val="clear" w:color="auto" w:fill="auto"/>
            <w:noWrap/>
            <w:vAlign w:val="center"/>
            <w:hideMark/>
          </w:tcPr>
          <w:p w14:paraId="703A5B6C"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9" w:type="pct"/>
            <w:tcBorders>
              <w:top w:val="nil"/>
              <w:left w:val="nil"/>
              <w:bottom w:val="nil"/>
              <w:right w:val="nil"/>
            </w:tcBorders>
            <w:shd w:val="clear" w:color="auto" w:fill="auto"/>
            <w:noWrap/>
            <w:vAlign w:val="center"/>
            <w:hideMark/>
          </w:tcPr>
          <w:p w14:paraId="09D24017"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r>
      <w:tr w:rsidR="004449AB" w:rsidRPr="004449AB" w14:paraId="7319E05A" w14:textId="77777777" w:rsidTr="00075425">
        <w:trPr>
          <w:trHeight w:val="200"/>
        </w:trPr>
        <w:tc>
          <w:tcPr>
            <w:tcW w:w="1081" w:type="pct"/>
            <w:tcBorders>
              <w:top w:val="nil"/>
              <w:left w:val="nil"/>
              <w:bottom w:val="nil"/>
              <w:right w:val="nil"/>
            </w:tcBorders>
            <w:shd w:val="clear" w:color="auto" w:fill="auto"/>
            <w:noWrap/>
            <w:vAlign w:val="center"/>
            <w:hideMark/>
          </w:tcPr>
          <w:p w14:paraId="03A03C48" w14:textId="77777777" w:rsidR="004449AB" w:rsidRPr="004449AB" w:rsidRDefault="004449AB" w:rsidP="004449AB">
            <w:pPr>
              <w:spacing w:after="0" w:line="240" w:lineRule="auto"/>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Caixa e Equivalentes de Caixa</w:t>
            </w:r>
          </w:p>
        </w:tc>
        <w:tc>
          <w:tcPr>
            <w:tcW w:w="160" w:type="pct"/>
            <w:tcBorders>
              <w:top w:val="nil"/>
              <w:left w:val="nil"/>
              <w:bottom w:val="nil"/>
              <w:right w:val="nil"/>
            </w:tcBorders>
            <w:shd w:val="clear" w:color="auto" w:fill="auto"/>
            <w:noWrap/>
            <w:vAlign w:val="center"/>
            <w:hideMark/>
          </w:tcPr>
          <w:p w14:paraId="35354224" w14:textId="77777777" w:rsidR="004449AB" w:rsidRPr="004449AB" w:rsidRDefault="004449AB" w:rsidP="004449AB">
            <w:pPr>
              <w:spacing w:after="0" w:line="240" w:lineRule="auto"/>
              <w:jc w:val="center"/>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5</w:t>
            </w:r>
          </w:p>
        </w:tc>
        <w:tc>
          <w:tcPr>
            <w:tcW w:w="455" w:type="pct"/>
            <w:tcBorders>
              <w:top w:val="nil"/>
              <w:left w:val="nil"/>
              <w:bottom w:val="nil"/>
              <w:right w:val="nil"/>
            </w:tcBorders>
            <w:shd w:val="clear" w:color="auto" w:fill="auto"/>
            <w:noWrap/>
            <w:vAlign w:val="center"/>
            <w:hideMark/>
          </w:tcPr>
          <w:p w14:paraId="57372A74"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380.712 </w:t>
            </w:r>
          </w:p>
        </w:tc>
        <w:tc>
          <w:tcPr>
            <w:tcW w:w="49" w:type="pct"/>
            <w:tcBorders>
              <w:top w:val="nil"/>
              <w:left w:val="nil"/>
              <w:bottom w:val="nil"/>
              <w:right w:val="nil"/>
            </w:tcBorders>
            <w:shd w:val="clear" w:color="auto" w:fill="auto"/>
            <w:noWrap/>
            <w:vAlign w:val="center"/>
            <w:hideMark/>
          </w:tcPr>
          <w:p w14:paraId="7A649A00"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455" w:type="pct"/>
            <w:tcBorders>
              <w:top w:val="nil"/>
              <w:left w:val="nil"/>
              <w:bottom w:val="nil"/>
              <w:right w:val="nil"/>
            </w:tcBorders>
            <w:shd w:val="clear" w:color="auto" w:fill="auto"/>
            <w:noWrap/>
            <w:vAlign w:val="center"/>
            <w:hideMark/>
          </w:tcPr>
          <w:p w14:paraId="0074E77E"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352.611 </w:t>
            </w:r>
          </w:p>
        </w:tc>
        <w:tc>
          <w:tcPr>
            <w:tcW w:w="49" w:type="pct"/>
            <w:tcBorders>
              <w:top w:val="nil"/>
              <w:left w:val="nil"/>
              <w:bottom w:val="nil"/>
              <w:right w:val="nil"/>
            </w:tcBorders>
            <w:shd w:val="clear" w:color="auto" w:fill="auto"/>
            <w:noWrap/>
            <w:vAlign w:val="center"/>
            <w:hideMark/>
          </w:tcPr>
          <w:p w14:paraId="1FE1790F"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1488" w:type="pct"/>
            <w:tcBorders>
              <w:top w:val="nil"/>
              <w:left w:val="nil"/>
              <w:bottom w:val="nil"/>
              <w:right w:val="nil"/>
            </w:tcBorders>
            <w:shd w:val="clear" w:color="auto" w:fill="auto"/>
            <w:noWrap/>
            <w:vAlign w:val="center"/>
            <w:hideMark/>
          </w:tcPr>
          <w:p w14:paraId="27EDF557" w14:textId="77777777" w:rsidR="004449AB" w:rsidRPr="004449AB" w:rsidRDefault="004449AB" w:rsidP="004449AB">
            <w:pPr>
              <w:spacing w:after="0" w:line="240" w:lineRule="auto"/>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Pessoal, Encargos e Benefícios Sociais</w:t>
            </w:r>
          </w:p>
        </w:tc>
        <w:tc>
          <w:tcPr>
            <w:tcW w:w="160" w:type="pct"/>
            <w:tcBorders>
              <w:top w:val="nil"/>
              <w:left w:val="nil"/>
              <w:bottom w:val="nil"/>
              <w:right w:val="nil"/>
            </w:tcBorders>
            <w:shd w:val="clear" w:color="auto" w:fill="auto"/>
            <w:noWrap/>
            <w:vAlign w:val="center"/>
            <w:hideMark/>
          </w:tcPr>
          <w:p w14:paraId="6EE9D51E" w14:textId="77777777" w:rsidR="004449AB" w:rsidRPr="004449AB" w:rsidRDefault="004449AB" w:rsidP="004449AB">
            <w:pPr>
              <w:spacing w:after="0" w:line="240" w:lineRule="auto"/>
              <w:jc w:val="center"/>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16</w:t>
            </w:r>
          </w:p>
        </w:tc>
        <w:tc>
          <w:tcPr>
            <w:tcW w:w="502" w:type="pct"/>
            <w:tcBorders>
              <w:top w:val="nil"/>
              <w:left w:val="nil"/>
              <w:bottom w:val="nil"/>
              <w:right w:val="nil"/>
            </w:tcBorders>
            <w:shd w:val="clear" w:color="auto" w:fill="auto"/>
            <w:noWrap/>
            <w:vAlign w:val="center"/>
            <w:hideMark/>
          </w:tcPr>
          <w:p w14:paraId="1BA1E589"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13.114 </w:t>
            </w:r>
          </w:p>
        </w:tc>
        <w:tc>
          <w:tcPr>
            <w:tcW w:w="49" w:type="pct"/>
            <w:tcBorders>
              <w:top w:val="nil"/>
              <w:left w:val="nil"/>
              <w:bottom w:val="nil"/>
              <w:right w:val="nil"/>
            </w:tcBorders>
            <w:shd w:val="clear" w:color="auto" w:fill="auto"/>
            <w:noWrap/>
            <w:vAlign w:val="center"/>
            <w:hideMark/>
          </w:tcPr>
          <w:p w14:paraId="2CEF7DC8"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502" w:type="pct"/>
            <w:tcBorders>
              <w:top w:val="nil"/>
              <w:left w:val="nil"/>
              <w:bottom w:val="nil"/>
              <w:right w:val="nil"/>
            </w:tcBorders>
            <w:shd w:val="clear" w:color="auto" w:fill="auto"/>
            <w:noWrap/>
            <w:vAlign w:val="center"/>
            <w:hideMark/>
          </w:tcPr>
          <w:p w14:paraId="7AB9204B"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12.418 </w:t>
            </w:r>
          </w:p>
        </w:tc>
        <w:tc>
          <w:tcPr>
            <w:tcW w:w="49" w:type="pct"/>
            <w:tcBorders>
              <w:top w:val="nil"/>
              <w:left w:val="nil"/>
              <w:bottom w:val="nil"/>
              <w:right w:val="nil"/>
            </w:tcBorders>
            <w:shd w:val="clear" w:color="auto" w:fill="auto"/>
            <w:noWrap/>
            <w:vAlign w:val="center"/>
            <w:hideMark/>
          </w:tcPr>
          <w:p w14:paraId="2B18D7C1"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r>
      <w:tr w:rsidR="004449AB" w:rsidRPr="004449AB" w14:paraId="3C1F3F71" w14:textId="77777777" w:rsidTr="00075425">
        <w:trPr>
          <w:trHeight w:val="200"/>
        </w:trPr>
        <w:tc>
          <w:tcPr>
            <w:tcW w:w="1081" w:type="pct"/>
            <w:tcBorders>
              <w:top w:val="nil"/>
              <w:left w:val="nil"/>
              <w:bottom w:val="nil"/>
              <w:right w:val="nil"/>
            </w:tcBorders>
            <w:shd w:val="clear" w:color="auto" w:fill="auto"/>
            <w:noWrap/>
            <w:vAlign w:val="center"/>
            <w:hideMark/>
          </w:tcPr>
          <w:p w14:paraId="42C0C359" w14:textId="77777777" w:rsidR="004449AB" w:rsidRPr="004449AB" w:rsidRDefault="004449AB" w:rsidP="004449AB">
            <w:pPr>
              <w:spacing w:after="0" w:line="240" w:lineRule="auto"/>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Contas a Receber</w:t>
            </w:r>
          </w:p>
        </w:tc>
        <w:tc>
          <w:tcPr>
            <w:tcW w:w="160" w:type="pct"/>
            <w:tcBorders>
              <w:top w:val="nil"/>
              <w:left w:val="nil"/>
              <w:bottom w:val="nil"/>
              <w:right w:val="nil"/>
            </w:tcBorders>
            <w:shd w:val="clear" w:color="auto" w:fill="auto"/>
            <w:noWrap/>
            <w:vAlign w:val="center"/>
            <w:hideMark/>
          </w:tcPr>
          <w:p w14:paraId="78130179" w14:textId="77777777" w:rsidR="004449AB" w:rsidRPr="004449AB" w:rsidRDefault="004449AB" w:rsidP="004449AB">
            <w:pPr>
              <w:spacing w:after="0" w:line="240" w:lineRule="auto"/>
              <w:jc w:val="center"/>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6</w:t>
            </w:r>
          </w:p>
        </w:tc>
        <w:tc>
          <w:tcPr>
            <w:tcW w:w="455" w:type="pct"/>
            <w:tcBorders>
              <w:top w:val="nil"/>
              <w:left w:val="nil"/>
              <w:bottom w:val="nil"/>
              <w:right w:val="nil"/>
            </w:tcBorders>
            <w:shd w:val="clear" w:color="auto" w:fill="auto"/>
            <w:noWrap/>
            <w:vAlign w:val="center"/>
            <w:hideMark/>
          </w:tcPr>
          <w:p w14:paraId="0C2C7E7D"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176.885 </w:t>
            </w:r>
          </w:p>
        </w:tc>
        <w:tc>
          <w:tcPr>
            <w:tcW w:w="49" w:type="pct"/>
            <w:tcBorders>
              <w:top w:val="nil"/>
              <w:left w:val="nil"/>
              <w:bottom w:val="nil"/>
              <w:right w:val="nil"/>
            </w:tcBorders>
            <w:shd w:val="clear" w:color="auto" w:fill="auto"/>
            <w:noWrap/>
            <w:vAlign w:val="center"/>
            <w:hideMark/>
          </w:tcPr>
          <w:p w14:paraId="21FD3AE2"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455" w:type="pct"/>
            <w:tcBorders>
              <w:top w:val="nil"/>
              <w:left w:val="nil"/>
              <w:bottom w:val="nil"/>
              <w:right w:val="nil"/>
            </w:tcBorders>
            <w:shd w:val="clear" w:color="auto" w:fill="auto"/>
            <w:noWrap/>
            <w:vAlign w:val="center"/>
            <w:hideMark/>
          </w:tcPr>
          <w:p w14:paraId="0AC8AFCB"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105.869 </w:t>
            </w:r>
          </w:p>
        </w:tc>
        <w:tc>
          <w:tcPr>
            <w:tcW w:w="49" w:type="pct"/>
            <w:tcBorders>
              <w:top w:val="nil"/>
              <w:left w:val="nil"/>
              <w:bottom w:val="nil"/>
              <w:right w:val="nil"/>
            </w:tcBorders>
            <w:shd w:val="clear" w:color="auto" w:fill="auto"/>
            <w:noWrap/>
            <w:vAlign w:val="center"/>
            <w:hideMark/>
          </w:tcPr>
          <w:p w14:paraId="500CC15B"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1488" w:type="pct"/>
            <w:tcBorders>
              <w:top w:val="nil"/>
              <w:left w:val="nil"/>
              <w:bottom w:val="nil"/>
              <w:right w:val="nil"/>
            </w:tcBorders>
            <w:shd w:val="clear" w:color="auto" w:fill="auto"/>
            <w:noWrap/>
            <w:vAlign w:val="center"/>
            <w:hideMark/>
          </w:tcPr>
          <w:p w14:paraId="1462AC42" w14:textId="77777777" w:rsidR="004449AB" w:rsidRPr="004449AB" w:rsidRDefault="004449AB" w:rsidP="004449AB">
            <w:pPr>
              <w:spacing w:after="0" w:line="240" w:lineRule="auto"/>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Fornecedores</w:t>
            </w:r>
          </w:p>
        </w:tc>
        <w:tc>
          <w:tcPr>
            <w:tcW w:w="160" w:type="pct"/>
            <w:tcBorders>
              <w:top w:val="nil"/>
              <w:left w:val="nil"/>
              <w:bottom w:val="nil"/>
              <w:right w:val="nil"/>
            </w:tcBorders>
            <w:shd w:val="clear" w:color="auto" w:fill="auto"/>
            <w:noWrap/>
            <w:vAlign w:val="center"/>
            <w:hideMark/>
          </w:tcPr>
          <w:p w14:paraId="28771E8B" w14:textId="77777777" w:rsidR="004449AB" w:rsidRPr="004449AB" w:rsidRDefault="004449AB" w:rsidP="004449AB">
            <w:pPr>
              <w:spacing w:after="0" w:line="240" w:lineRule="auto"/>
              <w:jc w:val="center"/>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19</w:t>
            </w:r>
          </w:p>
        </w:tc>
        <w:tc>
          <w:tcPr>
            <w:tcW w:w="502" w:type="pct"/>
            <w:tcBorders>
              <w:top w:val="nil"/>
              <w:left w:val="nil"/>
              <w:bottom w:val="nil"/>
              <w:right w:val="nil"/>
            </w:tcBorders>
            <w:shd w:val="clear" w:color="auto" w:fill="auto"/>
            <w:noWrap/>
            <w:vAlign w:val="center"/>
            <w:hideMark/>
          </w:tcPr>
          <w:p w14:paraId="7CDB87AB"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122.719 </w:t>
            </w:r>
          </w:p>
        </w:tc>
        <w:tc>
          <w:tcPr>
            <w:tcW w:w="49" w:type="pct"/>
            <w:tcBorders>
              <w:top w:val="nil"/>
              <w:left w:val="nil"/>
              <w:bottom w:val="nil"/>
              <w:right w:val="nil"/>
            </w:tcBorders>
            <w:shd w:val="clear" w:color="auto" w:fill="auto"/>
            <w:noWrap/>
            <w:vAlign w:val="center"/>
            <w:hideMark/>
          </w:tcPr>
          <w:p w14:paraId="0CF0AEC6"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502" w:type="pct"/>
            <w:tcBorders>
              <w:top w:val="nil"/>
              <w:left w:val="nil"/>
              <w:bottom w:val="nil"/>
              <w:right w:val="nil"/>
            </w:tcBorders>
            <w:shd w:val="clear" w:color="auto" w:fill="auto"/>
            <w:noWrap/>
            <w:vAlign w:val="center"/>
            <w:hideMark/>
          </w:tcPr>
          <w:p w14:paraId="086D9AF4"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106.843 </w:t>
            </w:r>
          </w:p>
        </w:tc>
        <w:tc>
          <w:tcPr>
            <w:tcW w:w="49" w:type="pct"/>
            <w:tcBorders>
              <w:top w:val="nil"/>
              <w:left w:val="nil"/>
              <w:bottom w:val="nil"/>
              <w:right w:val="nil"/>
            </w:tcBorders>
            <w:shd w:val="clear" w:color="auto" w:fill="auto"/>
            <w:noWrap/>
            <w:vAlign w:val="center"/>
            <w:hideMark/>
          </w:tcPr>
          <w:p w14:paraId="6FDE3EE1"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r>
      <w:tr w:rsidR="004449AB" w:rsidRPr="004449AB" w14:paraId="3A7FB46E" w14:textId="77777777" w:rsidTr="00075425">
        <w:trPr>
          <w:trHeight w:val="200"/>
        </w:trPr>
        <w:tc>
          <w:tcPr>
            <w:tcW w:w="1081" w:type="pct"/>
            <w:tcBorders>
              <w:top w:val="nil"/>
              <w:left w:val="nil"/>
              <w:bottom w:val="nil"/>
              <w:right w:val="nil"/>
            </w:tcBorders>
            <w:shd w:val="clear" w:color="auto" w:fill="auto"/>
            <w:noWrap/>
            <w:vAlign w:val="center"/>
            <w:hideMark/>
          </w:tcPr>
          <w:p w14:paraId="15D195B7" w14:textId="77777777" w:rsidR="004449AB" w:rsidRPr="004449AB" w:rsidRDefault="004449AB" w:rsidP="004449AB">
            <w:pPr>
              <w:spacing w:after="0" w:line="240" w:lineRule="auto"/>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Tributos a Compensar/Recuperar</w:t>
            </w:r>
          </w:p>
        </w:tc>
        <w:tc>
          <w:tcPr>
            <w:tcW w:w="160" w:type="pct"/>
            <w:tcBorders>
              <w:top w:val="nil"/>
              <w:left w:val="nil"/>
              <w:bottom w:val="nil"/>
              <w:right w:val="nil"/>
            </w:tcBorders>
            <w:shd w:val="clear" w:color="auto" w:fill="auto"/>
            <w:noWrap/>
            <w:vAlign w:val="center"/>
            <w:hideMark/>
          </w:tcPr>
          <w:p w14:paraId="246941C8" w14:textId="77777777" w:rsidR="004449AB" w:rsidRPr="004449AB" w:rsidRDefault="004449AB" w:rsidP="004449AB">
            <w:pPr>
              <w:spacing w:after="0" w:line="240" w:lineRule="auto"/>
              <w:jc w:val="center"/>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7</w:t>
            </w:r>
          </w:p>
        </w:tc>
        <w:tc>
          <w:tcPr>
            <w:tcW w:w="455" w:type="pct"/>
            <w:tcBorders>
              <w:top w:val="nil"/>
              <w:left w:val="nil"/>
              <w:bottom w:val="nil"/>
              <w:right w:val="nil"/>
            </w:tcBorders>
            <w:shd w:val="clear" w:color="auto" w:fill="auto"/>
            <w:noWrap/>
            <w:vAlign w:val="center"/>
            <w:hideMark/>
          </w:tcPr>
          <w:p w14:paraId="750D6740"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177.601 </w:t>
            </w:r>
          </w:p>
        </w:tc>
        <w:tc>
          <w:tcPr>
            <w:tcW w:w="49" w:type="pct"/>
            <w:tcBorders>
              <w:top w:val="nil"/>
              <w:left w:val="nil"/>
              <w:bottom w:val="nil"/>
              <w:right w:val="nil"/>
            </w:tcBorders>
            <w:shd w:val="clear" w:color="auto" w:fill="auto"/>
            <w:noWrap/>
            <w:vAlign w:val="bottom"/>
            <w:hideMark/>
          </w:tcPr>
          <w:p w14:paraId="1E3EFB09"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455" w:type="pct"/>
            <w:tcBorders>
              <w:top w:val="nil"/>
              <w:left w:val="nil"/>
              <w:bottom w:val="nil"/>
              <w:right w:val="nil"/>
            </w:tcBorders>
            <w:shd w:val="clear" w:color="auto" w:fill="auto"/>
            <w:noWrap/>
            <w:vAlign w:val="center"/>
            <w:hideMark/>
          </w:tcPr>
          <w:p w14:paraId="71315A9D"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169.089 </w:t>
            </w:r>
          </w:p>
        </w:tc>
        <w:tc>
          <w:tcPr>
            <w:tcW w:w="49" w:type="pct"/>
            <w:tcBorders>
              <w:top w:val="nil"/>
              <w:left w:val="nil"/>
              <w:bottom w:val="nil"/>
              <w:right w:val="nil"/>
            </w:tcBorders>
            <w:shd w:val="clear" w:color="auto" w:fill="auto"/>
            <w:noWrap/>
            <w:vAlign w:val="center"/>
            <w:hideMark/>
          </w:tcPr>
          <w:p w14:paraId="0D6E2AC8"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1488" w:type="pct"/>
            <w:tcBorders>
              <w:top w:val="nil"/>
              <w:left w:val="nil"/>
              <w:bottom w:val="nil"/>
              <w:right w:val="nil"/>
            </w:tcBorders>
            <w:shd w:val="clear" w:color="auto" w:fill="auto"/>
            <w:noWrap/>
            <w:vAlign w:val="bottom"/>
            <w:hideMark/>
          </w:tcPr>
          <w:p w14:paraId="566BE3F1" w14:textId="77777777" w:rsidR="004449AB" w:rsidRPr="004449AB" w:rsidRDefault="004449AB" w:rsidP="004449AB">
            <w:pPr>
              <w:spacing w:after="0" w:line="240" w:lineRule="auto"/>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Receitas Diferidas</w:t>
            </w:r>
          </w:p>
        </w:tc>
        <w:tc>
          <w:tcPr>
            <w:tcW w:w="160" w:type="pct"/>
            <w:tcBorders>
              <w:top w:val="nil"/>
              <w:left w:val="nil"/>
              <w:bottom w:val="nil"/>
              <w:right w:val="nil"/>
            </w:tcBorders>
            <w:shd w:val="clear" w:color="auto" w:fill="auto"/>
            <w:noWrap/>
            <w:vAlign w:val="center"/>
            <w:hideMark/>
          </w:tcPr>
          <w:p w14:paraId="0414719E" w14:textId="77777777" w:rsidR="004449AB" w:rsidRPr="004449AB" w:rsidRDefault="004449AB" w:rsidP="004449AB">
            <w:pPr>
              <w:spacing w:after="0" w:line="240" w:lineRule="auto"/>
              <w:jc w:val="center"/>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25</w:t>
            </w:r>
          </w:p>
        </w:tc>
        <w:tc>
          <w:tcPr>
            <w:tcW w:w="502" w:type="pct"/>
            <w:tcBorders>
              <w:top w:val="nil"/>
              <w:left w:val="nil"/>
              <w:bottom w:val="nil"/>
              <w:right w:val="nil"/>
            </w:tcBorders>
            <w:shd w:val="clear" w:color="auto" w:fill="auto"/>
            <w:noWrap/>
            <w:vAlign w:val="center"/>
            <w:hideMark/>
          </w:tcPr>
          <w:p w14:paraId="1F575E71"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62.812 </w:t>
            </w:r>
          </w:p>
        </w:tc>
        <w:tc>
          <w:tcPr>
            <w:tcW w:w="49" w:type="pct"/>
            <w:tcBorders>
              <w:top w:val="nil"/>
              <w:left w:val="nil"/>
              <w:bottom w:val="nil"/>
              <w:right w:val="nil"/>
            </w:tcBorders>
            <w:shd w:val="clear" w:color="auto" w:fill="auto"/>
            <w:noWrap/>
            <w:vAlign w:val="bottom"/>
            <w:hideMark/>
          </w:tcPr>
          <w:p w14:paraId="75CED6AF"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502" w:type="pct"/>
            <w:tcBorders>
              <w:top w:val="nil"/>
              <w:left w:val="nil"/>
              <w:bottom w:val="nil"/>
              <w:right w:val="nil"/>
            </w:tcBorders>
            <w:shd w:val="clear" w:color="auto" w:fill="auto"/>
            <w:noWrap/>
            <w:vAlign w:val="center"/>
            <w:hideMark/>
          </w:tcPr>
          <w:p w14:paraId="1B0EFC46"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110.057 </w:t>
            </w:r>
          </w:p>
        </w:tc>
        <w:tc>
          <w:tcPr>
            <w:tcW w:w="49" w:type="pct"/>
            <w:tcBorders>
              <w:top w:val="nil"/>
              <w:left w:val="nil"/>
              <w:bottom w:val="nil"/>
              <w:right w:val="nil"/>
            </w:tcBorders>
            <w:shd w:val="clear" w:color="auto" w:fill="auto"/>
            <w:noWrap/>
            <w:vAlign w:val="center"/>
            <w:hideMark/>
          </w:tcPr>
          <w:p w14:paraId="28F0D748"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r>
      <w:tr w:rsidR="004449AB" w:rsidRPr="004449AB" w14:paraId="48E5F2AC" w14:textId="77777777" w:rsidTr="00075425">
        <w:trPr>
          <w:trHeight w:val="200"/>
        </w:trPr>
        <w:tc>
          <w:tcPr>
            <w:tcW w:w="1081" w:type="pct"/>
            <w:tcBorders>
              <w:top w:val="nil"/>
              <w:left w:val="nil"/>
              <w:bottom w:val="nil"/>
              <w:right w:val="nil"/>
            </w:tcBorders>
            <w:shd w:val="clear" w:color="auto" w:fill="auto"/>
            <w:noWrap/>
            <w:vAlign w:val="center"/>
            <w:hideMark/>
          </w:tcPr>
          <w:p w14:paraId="5039C08B" w14:textId="77777777" w:rsidR="004449AB" w:rsidRPr="004449AB" w:rsidRDefault="004449AB" w:rsidP="004449AB">
            <w:pPr>
              <w:spacing w:after="0" w:line="240" w:lineRule="auto"/>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Depósitos Judiciais</w:t>
            </w:r>
          </w:p>
        </w:tc>
        <w:tc>
          <w:tcPr>
            <w:tcW w:w="160" w:type="pct"/>
            <w:tcBorders>
              <w:top w:val="nil"/>
              <w:left w:val="nil"/>
              <w:bottom w:val="nil"/>
              <w:right w:val="nil"/>
            </w:tcBorders>
            <w:shd w:val="clear" w:color="auto" w:fill="auto"/>
            <w:noWrap/>
            <w:vAlign w:val="center"/>
            <w:hideMark/>
          </w:tcPr>
          <w:p w14:paraId="529C7381" w14:textId="77777777" w:rsidR="004449AB" w:rsidRPr="004449AB" w:rsidRDefault="004449AB" w:rsidP="004449AB">
            <w:pPr>
              <w:spacing w:after="0" w:line="240" w:lineRule="auto"/>
              <w:jc w:val="center"/>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8</w:t>
            </w:r>
          </w:p>
        </w:tc>
        <w:tc>
          <w:tcPr>
            <w:tcW w:w="455" w:type="pct"/>
            <w:tcBorders>
              <w:top w:val="nil"/>
              <w:left w:val="nil"/>
              <w:bottom w:val="nil"/>
              <w:right w:val="nil"/>
            </w:tcBorders>
            <w:shd w:val="clear" w:color="auto" w:fill="auto"/>
            <w:noWrap/>
            <w:vAlign w:val="center"/>
            <w:hideMark/>
          </w:tcPr>
          <w:p w14:paraId="570801FD"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6.903 </w:t>
            </w:r>
          </w:p>
        </w:tc>
        <w:tc>
          <w:tcPr>
            <w:tcW w:w="49" w:type="pct"/>
            <w:tcBorders>
              <w:top w:val="nil"/>
              <w:left w:val="nil"/>
              <w:bottom w:val="nil"/>
              <w:right w:val="nil"/>
            </w:tcBorders>
            <w:shd w:val="clear" w:color="auto" w:fill="auto"/>
            <w:noWrap/>
            <w:vAlign w:val="center"/>
            <w:hideMark/>
          </w:tcPr>
          <w:p w14:paraId="694136DA"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455" w:type="pct"/>
            <w:tcBorders>
              <w:top w:val="nil"/>
              <w:left w:val="nil"/>
              <w:bottom w:val="nil"/>
              <w:right w:val="nil"/>
            </w:tcBorders>
            <w:shd w:val="clear" w:color="auto" w:fill="auto"/>
            <w:noWrap/>
            <w:vAlign w:val="center"/>
            <w:hideMark/>
          </w:tcPr>
          <w:p w14:paraId="05E23146"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7.114 </w:t>
            </w:r>
          </w:p>
        </w:tc>
        <w:tc>
          <w:tcPr>
            <w:tcW w:w="49" w:type="pct"/>
            <w:tcBorders>
              <w:top w:val="nil"/>
              <w:left w:val="nil"/>
              <w:bottom w:val="nil"/>
              <w:right w:val="nil"/>
            </w:tcBorders>
            <w:shd w:val="clear" w:color="auto" w:fill="auto"/>
            <w:noWrap/>
            <w:vAlign w:val="center"/>
            <w:hideMark/>
          </w:tcPr>
          <w:p w14:paraId="5189095E"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1488" w:type="pct"/>
            <w:tcBorders>
              <w:top w:val="nil"/>
              <w:left w:val="nil"/>
              <w:bottom w:val="nil"/>
              <w:right w:val="nil"/>
            </w:tcBorders>
            <w:shd w:val="clear" w:color="auto" w:fill="auto"/>
            <w:noWrap/>
            <w:vAlign w:val="center"/>
            <w:hideMark/>
          </w:tcPr>
          <w:p w14:paraId="11394B2B" w14:textId="77777777" w:rsidR="004449AB" w:rsidRPr="004449AB" w:rsidRDefault="004449AB" w:rsidP="004449AB">
            <w:pPr>
              <w:spacing w:after="0" w:line="240" w:lineRule="auto"/>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Tributos Indiretos</w:t>
            </w:r>
          </w:p>
        </w:tc>
        <w:tc>
          <w:tcPr>
            <w:tcW w:w="160" w:type="pct"/>
            <w:tcBorders>
              <w:top w:val="nil"/>
              <w:left w:val="nil"/>
              <w:bottom w:val="nil"/>
              <w:right w:val="nil"/>
            </w:tcBorders>
            <w:shd w:val="clear" w:color="auto" w:fill="auto"/>
            <w:noWrap/>
            <w:vAlign w:val="center"/>
            <w:hideMark/>
          </w:tcPr>
          <w:p w14:paraId="5E05794D" w14:textId="77777777" w:rsidR="004449AB" w:rsidRPr="004449AB" w:rsidRDefault="004449AB" w:rsidP="004449AB">
            <w:pPr>
              <w:spacing w:after="0" w:line="240" w:lineRule="auto"/>
              <w:jc w:val="center"/>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20</w:t>
            </w:r>
          </w:p>
        </w:tc>
        <w:tc>
          <w:tcPr>
            <w:tcW w:w="502" w:type="pct"/>
            <w:tcBorders>
              <w:top w:val="nil"/>
              <w:left w:val="nil"/>
              <w:bottom w:val="nil"/>
              <w:right w:val="nil"/>
            </w:tcBorders>
            <w:shd w:val="clear" w:color="auto" w:fill="auto"/>
            <w:noWrap/>
            <w:vAlign w:val="center"/>
            <w:hideMark/>
          </w:tcPr>
          <w:p w14:paraId="130B6028"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3.466 </w:t>
            </w:r>
          </w:p>
        </w:tc>
        <w:tc>
          <w:tcPr>
            <w:tcW w:w="49" w:type="pct"/>
            <w:tcBorders>
              <w:top w:val="nil"/>
              <w:left w:val="nil"/>
              <w:bottom w:val="nil"/>
              <w:right w:val="nil"/>
            </w:tcBorders>
            <w:shd w:val="clear" w:color="auto" w:fill="auto"/>
            <w:noWrap/>
            <w:vAlign w:val="center"/>
            <w:hideMark/>
          </w:tcPr>
          <w:p w14:paraId="3674A890"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502" w:type="pct"/>
            <w:tcBorders>
              <w:top w:val="nil"/>
              <w:left w:val="nil"/>
              <w:bottom w:val="nil"/>
              <w:right w:val="nil"/>
            </w:tcBorders>
            <w:shd w:val="clear" w:color="auto" w:fill="auto"/>
            <w:noWrap/>
            <w:vAlign w:val="center"/>
            <w:hideMark/>
          </w:tcPr>
          <w:p w14:paraId="34736179"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5.698 </w:t>
            </w:r>
          </w:p>
        </w:tc>
        <w:tc>
          <w:tcPr>
            <w:tcW w:w="49" w:type="pct"/>
            <w:tcBorders>
              <w:top w:val="nil"/>
              <w:left w:val="nil"/>
              <w:bottom w:val="nil"/>
              <w:right w:val="nil"/>
            </w:tcBorders>
            <w:shd w:val="clear" w:color="auto" w:fill="auto"/>
            <w:noWrap/>
            <w:vAlign w:val="center"/>
            <w:hideMark/>
          </w:tcPr>
          <w:p w14:paraId="496F2B89"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r>
      <w:tr w:rsidR="004449AB" w:rsidRPr="004449AB" w14:paraId="320C0E75" w14:textId="77777777" w:rsidTr="00075425">
        <w:trPr>
          <w:trHeight w:val="200"/>
        </w:trPr>
        <w:tc>
          <w:tcPr>
            <w:tcW w:w="1081" w:type="pct"/>
            <w:tcBorders>
              <w:top w:val="nil"/>
              <w:left w:val="nil"/>
              <w:bottom w:val="nil"/>
              <w:right w:val="nil"/>
            </w:tcBorders>
            <w:shd w:val="clear" w:color="auto" w:fill="auto"/>
            <w:noWrap/>
            <w:vAlign w:val="center"/>
            <w:hideMark/>
          </w:tcPr>
          <w:p w14:paraId="389B8A66" w14:textId="77777777" w:rsidR="004449AB" w:rsidRPr="004449AB" w:rsidRDefault="004449AB" w:rsidP="004449AB">
            <w:pPr>
              <w:spacing w:after="0" w:line="240" w:lineRule="auto"/>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Aplicações Financeiras</w:t>
            </w:r>
          </w:p>
        </w:tc>
        <w:tc>
          <w:tcPr>
            <w:tcW w:w="160" w:type="pct"/>
            <w:tcBorders>
              <w:top w:val="nil"/>
              <w:left w:val="nil"/>
              <w:bottom w:val="nil"/>
              <w:right w:val="nil"/>
            </w:tcBorders>
            <w:shd w:val="clear" w:color="auto" w:fill="auto"/>
            <w:noWrap/>
            <w:vAlign w:val="center"/>
            <w:hideMark/>
          </w:tcPr>
          <w:p w14:paraId="421943B2" w14:textId="77777777" w:rsidR="004449AB" w:rsidRPr="004449AB" w:rsidRDefault="004449AB" w:rsidP="004449AB">
            <w:pPr>
              <w:spacing w:after="0" w:line="240" w:lineRule="auto"/>
              <w:jc w:val="center"/>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12</w:t>
            </w:r>
          </w:p>
        </w:tc>
        <w:tc>
          <w:tcPr>
            <w:tcW w:w="455" w:type="pct"/>
            <w:tcBorders>
              <w:top w:val="nil"/>
              <w:left w:val="nil"/>
              <w:bottom w:val="nil"/>
              <w:right w:val="nil"/>
            </w:tcBorders>
            <w:shd w:val="clear" w:color="auto" w:fill="auto"/>
            <w:noWrap/>
            <w:vAlign w:val="center"/>
            <w:hideMark/>
          </w:tcPr>
          <w:p w14:paraId="5E46D8EE"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822.352 </w:t>
            </w:r>
          </w:p>
        </w:tc>
        <w:tc>
          <w:tcPr>
            <w:tcW w:w="49" w:type="pct"/>
            <w:tcBorders>
              <w:top w:val="nil"/>
              <w:left w:val="nil"/>
              <w:bottom w:val="nil"/>
              <w:right w:val="nil"/>
            </w:tcBorders>
            <w:shd w:val="clear" w:color="auto" w:fill="auto"/>
            <w:noWrap/>
            <w:vAlign w:val="bottom"/>
            <w:hideMark/>
          </w:tcPr>
          <w:p w14:paraId="5EFD176C"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455" w:type="pct"/>
            <w:tcBorders>
              <w:top w:val="nil"/>
              <w:left w:val="nil"/>
              <w:bottom w:val="nil"/>
              <w:right w:val="nil"/>
            </w:tcBorders>
            <w:shd w:val="clear" w:color="auto" w:fill="auto"/>
            <w:noWrap/>
            <w:vAlign w:val="center"/>
            <w:hideMark/>
          </w:tcPr>
          <w:p w14:paraId="2E7878D4"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822.352 </w:t>
            </w:r>
          </w:p>
        </w:tc>
        <w:tc>
          <w:tcPr>
            <w:tcW w:w="49" w:type="pct"/>
            <w:tcBorders>
              <w:top w:val="nil"/>
              <w:left w:val="nil"/>
              <w:bottom w:val="nil"/>
              <w:right w:val="nil"/>
            </w:tcBorders>
            <w:shd w:val="clear" w:color="auto" w:fill="auto"/>
            <w:noWrap/>
            <w:vAlign w:val="center"/>
            <w:hideMark/>
          </w:tcPr>
          <w:p w14:paraId="5EC03AC0"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1488" w:type="pct"/>
            <w:tcBorders>
              <w:top w:val="nil"/>
              <w:left w:val="nil"/>
              <w:bottom w:val="nil"/>
              <w:right w:val="nil"/>
            </w:tcBorders>
            <w:shd w:val="clear" w:color="auto" w:fill="auto"/>
            <w:noWrap/>
            <w:vAlign w:val="center"/>
            <w:hideMark/>
          </w:tcPr>
          <w:p w14:paraId="0F9ABA82" w14:textId="77777777" w:rsidR="004449AB" w:rsidRPr="004449AB" w:rsidRDefault="004449AB" w:rsidP="004449AB">
            <w:pPr>
              <w:spacing w:after="0" w:line="240" w:lineRule="auto"/>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Empréstimos e Financiamentos</w:t>
            </w:r>
          </w:p>
        </w:tc>
        <w:tc>
          <w:tcPr>
            <w:tcW w:w="160" w:type="pct"/>
            <w:tcBorders>
              <w:top w:val="nil"/>
              <w:left w:val="nil"/>
              <w:bottom w:val="nil"/>
              <w:right w:val="nil"/>
            </w:tcBorders>
            <w:shd w:val="clear" w:color="auto" w:fill="auto"/>
            <w:noWrap/>
            <w:vAlign w:val="center"/>
            <w:hideMark/>
          </w:tcPr>
          <w:p w14:paraId="3DF1D023" w14:textId="77777777" w:rsidR="004449AB" w:rsidRPr="004449AB" w:rsidRDefault="004449AB" w:rsidP="004449AB">
            <w:pPr>
              <w:spacing w:after="0" w:line="240" w:lineRule="auto"/>
              <w:jc w:val="center"/>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24.1</w:t>
            </w:r>
          </w:p>
        </w:tc>
        <w:tc>
          <w:tcPr>
            <w:tcW w:w="502" w:type="pct"/>
            <w:tcBorders>
              <w:top w:val="nil"/>
              <w:left w:val="nil"/>
              <w:bottom w:val="nil"/>
              <w:right w:val="nil"/>
            </w:tcBorders>
            <w:shd w:val="clear" w:color="auto" w:fill="auto"/>
            <w:noWrap/>
            <w:vAlign w:val="center"/>
            <w:hideMark/>
          </w:tcPr>
          <w:p w14:paraId="00CAB06D"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45.710 </w:t>
            </w:r>
          </w:p>
        </w:tc>
        <w:tc>
          <w:tcPr>
            <w:tcW w:w="49" w:type="pct"/>
            <w:tcBorders>
              <w:top w:val="nil"/>
              <w:left w:val="nil"/>
              <w:bottom w:val="nil"/>
              <w:right w:val="nil"/>
            </w:tcBorders>
            <w:shd w:val="clear" w:color="auto" w:fill="auto"/>
            <w:noWrap/>
            <w:vAlign w:val="center"/>
            <w:hideMark/>
          </w:tcPr>
          <w:p w14:paraId="7ADEF3AD"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502" w:type="pct"/>
            <w:tcBorders>
              <w:top w:val="nil"/>
              <w:left w:val="nil"/>
              <w:bottom w:val="nil"/>
              <w:right w:val="nil"/>
            </w:tcBorders>
            <w:shd w:val="clear" w:color="auto" w:fill="auto"/>
            <w:noWrap/>
            <w:vAlign w:val="center"/>
            <w:hideMark/>
          </w:tcPr>
          <w:p w14:paraId="563728E3"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47.175 </w:t>
            </w:r>
          </w:p>
        </w:tc>
        <w:tc>
          <w:tcPr>
            <w:tcW w:w="49" w:type="pct"/>
            <w:tcBorders>
              <w:top w:val="nil"/>
              <w:left w:val="nil"/>
              <w:bottom w:val="nil"/>
              <w:right w:val="nil"/>
            </w:tcBorders>
            <w:shd w:val="clear" w:color="auto" w:fill="auto"/>
            <w:noWrap/>
            <w:vAlign w:val="bottom"/>
            <w:hideMark/>
          </w:tcPr>
          <w:p w14:paraId="1D286735"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r>
      <w:tr w:rsidR="004449AB" w:rsidRPr="004449AB" w14:paraId="0E68F0C4" w14:textId="77777777" w:rsidTr="00075425">
        <w:trPr>
          <w:trHeight w:val="200"/>
        </w:trPr>
        <w:tc>
          <w:tcPr>
            <w:tcW w:w="1081" w:type="pct"/>
            <w:tcBorders>
              <w:top w:val="nil"/>
              <w:left w:val="nil"/>
              <w:bottom w:val="nil"/>
              <w:right w:val="nil"/>
            </w:tcBorders>
            <w:shd w:val="clear" w:color="auto" w:fill="auto"/>
            <w:noWrap/>
            <w:vAlign w:val="bottom"/>
            <w:hideMark/>
          </w:tcPr>
          <w:p w14:paraId="13936CCF" w14:textId="77777777" w:rsidR="004449AB" w:rsidRPr="004449AB" w:rsidRDefault="004449AB" w:rsidP="004449AB">
            <w:pPr>
              <w:spacing w:after="0" w:line="240" w:lineRule="auto"/>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Superávit - Previdência Privada</w:t>
            </w:r>
          </w:p>
        </w:tc>
        <w:tc>
          <w:tcPr>
            <w:tcW w:w="160" w:type="pct"/>
            <w:tcBorders>
              <w:top w:val="nil"/>
              <w:left w:val="nil"/>
              <w:bottom w:val="nil"/>
              <w:right w:val="nil"/>
            </w:tcBorders>
            <w:shd w:val="clear" w:color="auto" w:fill="auto"/>
            <w:noWrap/>
            <w:vAlign w:val="center"/>
            <w:hideMark/>
          </w:tcPr>
          <w:p w14:paraId="19C1ED8F" w14:textId="77777777" w:rsidR="004449AB" w:rsidRPr="004449AB" w:rsidRDefault="004449AB" w:rsidP="004449AB">
            <w:pPr>
              <w:spacing w:after="0" w:line="240" w:lineRule="auto"/>
              <w:jc w:val="center"/>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9</w:t>
            </w:r>
          </w:p>
        </w:tc>
        <w:tc>
          <w:tcPr>
            <w:tcW w:w="455" w:type="pct"/>
            <w:tcBorders>
              <w:top w:val="nil"/>
              <w:left w:val="nil"/>
              <w:bottom w:val="nil"/>
              <w:right w:val="nil"/>
            </w:tcBorders>
            <w:shd w:val="clear" w:color="auto" w:fill="auto"/>
            <w:noWrap/>
            <w:vAlign w:val="center"/>
            <w:hideMark/>
          </w:tcPr>
          <w:p w14:paraId="3FC34ECE"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12.270 </w:t>
            </w:r>
          </w:p>
        </w:tc>
        <w:tc>
          <w:tcPr>
            <w:tcW w:w="49" w:type="pct"/>
            <w:tcBorders>
              <w:top w:val="nil"/>
              <w:left w:val="nil"/>
              <w:bottom w:val="nil"/>
              <w:right w:val="nil"/>
            </w:tcBorders>
            <w:shd w:val="clear" w:color="auto" w:fill="auto"/>
            <w:noWrap/>
            <w:vAlign w:val="bottom"/>
            <w:hideMark/>
          </w:tcPr>
          <w:p w14:paraId="42B31618"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455" w:type="pct"/>
            <w:tcBorders>
              <w:top w:val="nil"/>
              <w:left w:val="nil"/>
              <w:bottom w:val="nil"/>
              <w:right w:val="nil"/>
            </w:tcBorders>
            <w:shd w:val="clear" w:color="auto" w:fill="auto"/>
            <w:noWrap/>
            <w:vAlign w:val="center"/>
            <w:hideMark/>
          </w:tcPr>
          <w:p w14:paraId="6B6367B7"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   </w:t>
            </w:r>
          </w:p>
        </w:tc>
        <w:tc>
          <w:tcPr>
            <w:tcW w:w="49" w:type="pct"/>
            <w:tcBorders>
              <w:top w:val="nil"/>
              <w:left w:val="nil"/>
              <w:bottom w:val="nil"/>
              <w:right w:val="nil"/>
            </w:tcBorders>
            <w:shd w:val="clear" w:color="auto" w:fill="auto"/>
            <w:noWrap/>
            <w:vAlign w:val="center"/>
            <w:hideMark/>
          </w:tcPr>
          <w:p w14:paraId="5F8EBEE1"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1488" w:type="pct"/>
            <w:tcBorders>
              <w:top w:val="nil"/>
              <w:left w:val="nil"/>
              <w:bottom w:val="nil"/>
              <w:right w:val="nil"/>
            </w:tcBorders>
            <w:shd w:val="clear" w:color="auto" w:fill="auto"/>
            <w:noWrap/>
            <w:vAlign w:val="bottom"/>
            <w:hideMark/>
          </w:tcPr>
          <w:p w14:paraId="023DB10F" w14:textId="77777777" w:rsidR="004449AB" w:rsidRPr="004449AB" w:rsidRDefault="004449AB" w:rsidP="004449AB">
            <w:pPr>
              <w:spacing w:after="0" w:line="240" w:lineRule="auto"/>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Operações de Arrendamento Mercantil Financeiro</w:t>
            </w:r>
          </w:p>
        </w:tc>
        <w:tc>
          <w:tcPr>
            <w:tcW w:w="160" w:type="pct"/>
            <w:tcBorders>
              <w:top w:val="nil"/>
              <w:left w:val="nil"/>
              <w:bottom w:val="nil"/>
              <w:right w:val="nil"/>
            </w:tcBorders>
            <w:shd w:val="clear" w:color="auto" w:fill="auto"/>
            <w:noWrap/>
            <w:vAlign w:val="center"/>
            <w:hideMark/>
          </w:tcPr>
          <w:p w14:paraId="13BE2E78" w14:textId="77777777" w:rsidR="004449AB" w:rsidRPr="004449AB" w:rsidRDefault="004449AB" w:rsidP="004449AB">
            <w:pPr>
              <w:spacing w:after="0" w:line="240" w:lineRule="auto"/>
              <w:jc w:val="center"/>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24.2</w:t>
            </w:r>
          </w:p>
        </w:tc>
        <w:tc>
          <w:tcPr>
            <w:tcW w:w="502" w:type="pct"/>
            <w:tcBorders>
              <w:top w:val="nil"/>
              <w:left w:val="nil"/>
              <w:bottom w:val="nil"/>
              <w:right w:val="nil"/>
            </w:tcBorders>
            <w:shd w:val="clear" w:color="auto" w:fill="auto"/>
            <w:noWrap/>
            <w:vAlign w:val="center"/>
            <w:hideMark/>
          </w:tcPr>
          <w:p w14:paraId="020976E9"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5.324 </w:t>
            </w:r>
          </w:p>
        </w:tc>
        <w:tc>
          <w:tcPr>
            <w:tcW w:w="49" w:type="pct"/>
            <w:tcBorders>
              <w:top w:val="nil"/>
              <w:left w:val="nil"/>
              <w:bottom w:val="nil"/>
              <w:right w:val="nil"/>
            </w:tcBorders>
            <w:shd w:val="clear" w:color="auto" w:fill="auto"/>
            <w:noWrap/>
            <w:vAlign w:val="bottom"/>
            <w:hideMark/>
          </w:tcPr>
          <w:p w14:paraId="40236D6F"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502" w:type="pct"/>
            <w:tcBorders>
              <w:top w:val="nil"/>
              <w:left w:val="nil"/>
              <w:bottom w:val="nil"/>
              <w:right w:val="nil"/>
            </w:tcBorders>
            <w:shd w:val="clear" w:color="auto" w:fill="auto"/>
            <w:noWrap/>
            <w:vAlign w:val="center"/>
            <w:hideMark/>
          </w:tcPr>
          <w:p w14:paraId="2A2A1C49"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4.788 </w:t>
            </w:r>
          </w:p>
        </w:tc>
        <w:tc>
          <w:tcPr>
            <w:tcW w:w="49" w:type="pct"/>
            <w:tcBorders>
              <w:top w:val="nil"/>
              <w:left w:val="nil"/>
              <w:bottom w:val="nil"/>
              <w:right w:val="nil"/>
            </w:tcBorders>
            <w:shd w:val="clear" w:color="auto" w:fill="auto"/>
            <w:noWrap/>
            <w:vAlign w:val="bottom"/>
            <w:hideMark/>
          </w:tcPr>
          <w:p w14:paraId="2C8BE8A6"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r>
      <w:tr w:rsidR="004449AB" w:rsidRPr="004449AB" w14:paraId="6B0CC086" w14:textId="77777777" w:rsidTr="00075425">
        <w:trPr>
          <w:trHeight w:val="200"/>
        </w:trPr>
        <w:tc>
          <w:tcPr>
            <w:tcW w:w="1081" w:type="pct"/>
            <w:tcBorders>
              <w:top w:val="nil"/>
              <w:left w:val="nil"/>
              <w:bottom w:val="nil"/>
              <w:right w:val="nil"/>
            </w:tcBorders>
            <w:shd w:val="clear" w:color="auto" w:fill="auto"/>
            <w:noWrap/>
            <w:vAlign w:val="bottom"/>
            <w:hideMark/>
          </w:tcPr>
          <w:p w14:paraId="6AE9351D" w14:textId="77777777" w:rsidR="004449AB" w:rsidRPr="004449AB" w:rsidRDefault="004449AB" w:rsidP="004449AB">
            <w:pPr>
              <w:spacing w:after="0" w:line="240" w:lineRule="auto"/>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Valores a Receber de Colaboradores Cedidos</w:t>
            </w:r>
          </w:p>
        </w:tc>
        <w:tc>
          <w:tcPr>
            <w:tcW w:w="160" w:type="pct"/>
            <w:tcBorders>
              <w:top w:val="nil"/>
              <w:left w:val="nil"/>
              <w:bottom w:val="nil"/>
              <w:right w:val="nil"/>
            </w:tcBorders>
            <w:shd w:val="clear" w:color="auto" w:fill="auto"/>
            <w:noWrap/>
            <w:vAlign w:val="center"/>
            <w:hideMark/>
          </w:tcPr>
          <w:p w14:paraId="0FA7964B" w14:textId="77777777" w:rsidR="004449AB" w:rsidRPr="004449AB" w:rsidRDefault="004449AB" w:rsidP="004449AB">
            <w:pPr>
              <w:spacing w:after="0" w:line="240" w:lineRule="auto"/>
              <w:jc w:val="center"/>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10.1</w:t>
            </w:r>
          </w:p>
        </w:tc>
        <w:tc>
          <w:tcPr>
            <w:tcW w:w="455" w:type="pct"/>
            <w:tcBorders>
              <w:top w:val="nil"/>
              <w:left w:val="nil"/>
              <w:bottom w:val="nil"/>
              <w:right w:val="nil"/>
            </w:tcBorders>
            <w:shd w:val="clear" w:color="auto" w:fill="auto"/>
            <w:noWrap/>
            <w:vAlign w:val="center"/>
            <w:hideMark/>
          </w:tcPr>
          <w:p w14:paraId="2B3D7F5C"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1.945 </w:t>
            </w:r>
          </w:p>
        </w:tc>
        <w:tc>
          <w:tcPr>
            <w:tcW w:w="49" w:type="pct"/>
            <w:tcBorders>
              <w:top w:val="nil"/>
              <w:left w:val="nil"/>
              <w:bottom w:val="nil"/>
              <w:right w:val="nil"/>
            </w:tcBorders>
            <w:shd w:val="clear" w:color="auto" w:fill="auto"/>
            <w:noWrap/>
            <w:vAlign w:val="bottom"/>
            <w:hideMark/>
          </w:tcPr>
          <w:p w14:paraId="714BA42A"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455" w:type="pct"/>
            <w:tcBorders>
              <w:top w:val="nil"/>
              <w:left w:val="nil"/>
              <w:bottom w:val="nil"/>
              <w:right w:val="nil"/>
            </w:tcBorders>
            <w:shd w:val="clear" w:color="auto" w:fill="auto"/>
            <w:noWrap/>
            <w:vAlign w:val="center"/>
            <w:hideMark/>
          </w:tcPr>
          <w:p w14:paraId="7DE5E4DA"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1.945 </w:t>
            </w:r>
          </w:p>
        </w:tc>
        <w:tc>
          <w:tcPr>
            <w:tcW w:w="49" w:type="pct"/>
            <w:tcBorders>
              <w:top w:val="nil"/>
              <w:left w:val="nil"/>
              <w:bottom w:val="nil"/>
              <w:right w:val="nil"/>
            </w:tcBorders>
            <w:shd w:val="clear" w:color="auto" w:fill="auto"/>
            <w:noWrap/>
            <w:vAlign w:val="center"/>
            <w:hideMark/>
          </w:tcPr>
          <w:p w14:paraId="77897A4D"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1488" w:type="pct"/>
            <w:tcBorders>
              <w:top w:val="nil"/>
              <w:left w:val="nil"/>
              <w:bottom w:val="nil"/>
              <w:right w:val="nil"/>
            </w:tcBorders>
            <w:shd w:val="clear" w:color="auto" w:fill="auto"/>
            <w:noWrap/>
            <w:vAlign w:val="bottom"/>
            <w:hideMark/>
          </w:tcPr>
          <w:p w14:paraId="7025C698" w14:textId="77777777" w:rsidR="004449AB" w:rsidRPr="004449AB" w:rsidRDefault="004449AB" w:rsidP="004449AB">
            <w:pPr>
              <w:spacing w:after="0" w:line="240" w:lineRule="auto"/>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Provisão para Riscos Trabalhistas, Cíveis e Fiscais</w:t>
            </w:r>
          </w:p>
        </w:tc>
        <w:tc>
          <w:tcPr>
            <w:tcW w:w="160" w:type="pct"/>
            <w:tcBorders>
              <w:top w:val="nil"/>
              <w:left w:val="nil"/>
              <w:bottom w:val="nil"/>
              <w:right w:val="nil"/>
            </w:tcBorders>
            <w:shd w:val="clear" w:color="auto" w:fill="auto"/>
            <w:noWrap/>
            <w:vAlign w:val="center"/>
            <w:hideMark/>
          </w:tcPr>
          <w:p w14:paraId="7440A156" w14:textId="77777777" w:rsidR="004449AB" w:rsidRPr="004449AB" w:rsidRDefault="004449AB" w:rsidP="004449AB">
            <w:pPr>
              <w:spacing w:after="0" w:line="240" w:lineRule="auto"/>
              <w:jc w:val="center"/>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21</w:t>
            </w:r>
          </w:p>
        </w:tc>
        <w:tc>
          <w:tcPr>
            <w:tcW w:w="502" w:type="pct"/>
            <w:tcBorders>
              <w:top w:val="nil"/>
              <w:left w:val="nil"/>
              <w:bottom w:val="nil"/>
              <w:right w:val="nil"/>
            </w:tcBorders>
            <w:shd w:val="clear" w:color="auto" w:fill="auto"/>
            <w:noWrap/>
            <w:vAlign w:val="center"/>
            <w:hideMark/>
          </w:tcPr>
          <w:p w14:paraId="6E7A64A3"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4.295 </w:t>
            </w:r>
          </w:p>
        </w:tc>
        <w:tc>
          <w:tcPr>
            <w:tcW w:w="49" w:type="pct"/>
            <w:tcBorders>
              <w:top w:val="nil"/>
              <w:left w:val="nil"/>
              <w:bottom w:val="nil"/>
              <w:right w:val="nil"/>
            </w:tcBorders>
            <w:shd w:val="clear" w:color="auto" w:fill="auto"/>
            <w:noWrap/>
            <w:vAlign w:val="bottom"/>
            <w:hideMark/>
          </w:tcPr>
          <w:p w14:paraId="6873BFEB"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502" w:type="pct"/>
            <w:tcBorders>
              <w:top w:val="nil"/>
              <w:left w:val="nil"/>
              <w:bottom w:val="nil"/>
              <w:right w:val="nil"/>
            </w:tcBorders>
            <w:shd w:val="clear" w:color="auto" w:fill="auto"/>
            <w:noWrap/>
            <w:vAlign w:val="center"/>
            <w:hideMark/>
          </w:tcPr>
          <w:p w14:paraId="3B967A34"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12.565 </w:t>
            </w:r>
          </w:p>
        </w:tc>
        <w:tc>
          <w:tcPr>
            <w:tcW w:w="49" w:type="pct"/>
            <w:tcBorders>
              <w:top w:val="nil"/>
              <w:left w:val="nil"/>
              <w:bottom w:val="nil"/>
              <w:right w:val="nil"/>
            </w:tcBorders>
            <w:shd w:val="clear" w:color="auto" w:fill="auto"/>
            <w:noWrap/>
            <w:vAlign w:val="center"/>
            <w:hideMark/>
          </w:tcPr>
          <w:p w14:paraId="16DB02F2"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r>
      <w:tr w:rsidR="004449AB" w:rsidRPr="004449AB" w14:paraId="36ABE1D5" w14:textId="77777777" w:rsidTr="00075425">
        <w:trPr>
          <w:trHeight w:val="200"/>
        </w:trPr>
        <w:tc>
          <w:tcPr>
            <w:tcW w:w="1081" w:type="pct"/>
            <w:tcBorders>
              <w:top w:val="nil"/>
              <w:left w:val="nil"/>
              <w:bottom w:val="nil"/>
              <w:right w:val="nil"/>
            </w:tcBorders>
            <w:shd w:val="clear" w:color="auto" w:fill="auto"/>
            <w:noWrap/>
            <w:vAlign w:val="center"/>
            <w:hideMark/>
          </w:tcPr>
          <w:p w14:paraId="6342C0E0" w14:textId="77777777" w:rsidR="004449AB" w:rsidRPr="004449AB" w:rsidRDefault="004449AB" w:rsidP="004449AB">
            <w:pPr>
              <w:spacing w:after="0" w:line="240" w:lineRule="auto"/>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Outros Ativos Realizáveis</w:t>
            </w:r>
          </w:p>
        </w:tc>
        <w:tc>
          <w:tcPr>
            <w:tcW w:w="160" w:type="pct"/>
            <w:tcBorders>
              <w:top w:val="nil"/>
              <w:left w:val="nil"/>
              <w:bottom w:val="nil"/>
              <w:right w:val="nil"/>
            </w:tcBorders>
            <w:shd w:val="clear" w:color="auto" w:fill="auto"/>
            <w:noWrap/>
            <w:vAlign w:val="center"/>
            <w:hideMark/>
          </w:tcPr>
          <w:p w14:paraId="12EE364E" w14:textId="77777777" w:rsidR="004449AB" w:rsidRPr="004449AB" w:rsidRDefault="004449AB" w:rsidP="004449AB">
            <w:pPr>
              <w:spacing w:after="0" w:line="240" w:lineRule="auto"/>
              <w:jc w:val="center"/>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10.2</w:t>
            </w:r>
          </w:p>
        </w:tc>
        <w:tc>
          <w:tcPr>
            <w:tcW w:w="455" w:type="pct"/>
            <w:tcBorders>
              <w:top w:val="nil"/>
              <w:left w:val="nil"/>
              <w:bottom w:val="nil"/>
              <w:right w:val="nil"/>
            </w:tcBorders>
            <w:shd w:val="clear" w:color="auto" w:fill="auto"/>
            <w:noWrap/>
            <w:vAlign w:val="center"/>
            <w:hideMark/>
          </w:tcPr>
          <w:p w14:paraId="57A61B83"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28.681 </w:t>
            </w:r>
          </w:p>
        </w:tc>
        <w:tc>
          <w:tcPr>
            <w:tcW w:w="49" w:type="pct"/>
            <w:tcBorders>
              <w:top w:val="nil"/>
              <w:left w:val="nil"/>
              <w:bottom w:val="nil"/>
              <w:right w:val="nil"/>
            </w:tcBorders>
            <w:shd w:val="clear" w:color="auto" w:fill="auto"/>
            <w:noWrap/>
            <w:vAlign w:val="center"/>
            <w:hideMark/>
          </w:tcPr>
          <w:p w14:paraId="1A7A4DE1"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455" w:type="pct"/>
            <w:tcBorders>
              <w:top w:val="nil"/>
              <w:left w:val="nil"/>
              <w:bottom w:val="nil"/>
              <w:right w:val="nil"/>
            </w:tcBorders>
            <w:shd w:val="clear" w:color="auto" w:fill="auto"/>
            <w:noWrap/>
            <w:vAlign w:val="center"/>
            <w:hideMark/>
          </w:tcPr>
          <w:p w14:paraId="610A69AF"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69.730 </w:t>
            </w:r>
          </w:p>
        </w:tc>
        <w:tc>
          <w:tcPr>
            <w:tcW w:w="49" w:type="pct"/>
            <w:tcBorders>
              <w:top w:val="nil"/>
              <w:left w:val="nil"/>
              <w:bottom w:val="nil"/>
              <w:right w:val="nil"/>
            </w:tcBorders>
            <w:shd w:val="clear" w:color="auto" w:fill="auto"/>
            <w:noWrap/>
            <w:vAlign w:val="center"/>
            <w:hideMark/>
          </w:tcPr>
          <w:p w14:paraId="67853A36"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1488" w:type="pct"/>
            <w:tcBorders>
              <w:top w:val="nil"/>
              <w:left w:val="nil"/>
              <w:bottom w:val="nil"/>
              <w:right w:val="nil"/>
            </w:tcBorders>
            <w:shd w:val="clear" w:color="auto" w:fill="auto"/>
            <w:noWrap/>
            <w:vAlign w:val="center"/>
            <w:hideMark/>
          </w:tcPr>
          <w:p w14:paraId="7D170913" w14:textId="77777777" w:rsidR="004449AB" w:rsidRPr="004449AB" w:rsidRDefault="004449AB" w:rsidP="004449AB">
            <w:pPr>
              <w:spacing w:after="0" w:line="240" w:lineRule="auto"/>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Credores por Perdas Judiciais</w:t>
            </w:r>
          </w:p>
        </w:tc>
        <w:tc>
          <w:tcPr>
            <w:tcW w:w="160" w:type="pct"/>
            <w:tcBorders>
              <w:top w:val="nil"/>
              <w:left w:val="nil"/>
              <w:bottom w:val="nil"/>
              <w:right w:val="nil"/>
            </w:tcBorders>
            <w:shd w:val="clear" w:color="auto" w:fill="auto"/>
            <w:noWrap/>
            <w:vAlign w:val="center"/>
            <w:hideMark/>
          </w:tcPr>
          <w:p w14:paraId="77C40779" w14:textId="77777777" w:rsidR="004449AB" w:rsidRPr="004449AB" w:rsidRDefault="004449AB" w:rsidP="004449AB">
            <w:pPr>
              <w:spacing w:after="0" w:line="240" w:lineRule="auto"/>
              <w:jc w:val="center"/>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22</w:t>
            </w:r>
          </w:p>
        </w:tc>
        <w:tc>
          <w:tcPr>
            <w:tcW w:w="502" w:type="pct"/>
            <w:tcBorders>
              <w:top w:val="nil"/>
              <w:left w:val="nil"/>
              <w:bottom w:val="nil"/>
              <w:right w:val="nil"/>
            </w:tcBorders>
            <w:shd w:val="clear" w:color="auto" w:fill="auto"/>
            <w:noWrap/>
            <w:vAlign w:val="center"/>
            <w:hideMark/>
          </w:tcPr>
          <w:p w14:paraId="365FAA9D"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16.436 </w:t>
            </w:r>
          </w:p>
        </w:tc>
        <w:tc>
          <w:tcPr>
            <w:tcW w:w="49" w:type="pct"/>
            <w:tcBorders>
              <w:top w:val="nil"/>
              <w:left w:val="nil"/>
              <w:bottom w:val="nil"/>
              <w:right w:val="nil"/>
            </w:tcBorders>
            <w:shd w:val="clear" w:color="auto" w:fill="auto"/>
            <w:noWrap/>
            <w:vAlign w:val="center"/>
            <w:hideMark/>
          </w:tcPr>
          <w:p w14:paraId="0F21140B"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502" w:type="pct"/>
            <w:tcBorders>
              <w:top w:val="nil"/>
              <w:left w:val="nil"/>
              <w:bottom w:val="nil"/>
              <w:right w:val="nil"/>
            </w:tcBorders>
            <w:shd w:val="clear" w:color="auto" w:fill="auto"/>
            <w:noWrap/>
            <w:vAlign w:val="center"/>
            <w:hideMark/>
          </w:tcPr>
          <w:p w14:paraId="030A96A8"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17.170 </w:t>
            </w:r>
          </w:p>
        </w:tc>
        <w:tc>
          <w:tcPr>
            <w:tcW w:w="49" w:type="pct"/>
            <w:tcBorders>
              <w:top w:val="nil"/>
              <w:left w:val="nil"/>
              <w:bottom w:val="nil"/>
              <w:right w:val="nil"/>
            </w:tcBorders>
            <w:shd w:val="clear" w:color="auto" w:fill="auto"/>
            <w:noWrap/>
            <w:vAlign w:val="center"/>
            <w:hideMark/>
          </w:tcPr>
          <w:p w14:paraId="48426866"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r>
      <w:tr w:rsidR="004449AB" w:rsidRPr="004449AB" w14:paraId="12E08217" w14:textId="77777777" w:rsidTr="00075425">
        <w:trPr>
          <w:trHeight w:val="200"/>
        </w:trPr>
        <w:tc>
          <w:tcPr>
            <w:tcW w:w="1081" w:type="pct"/>
            <w:tcBorders>
              <w:top w:val="nil"/>
              <w:left w:val="nil"/>
              <w:bottom w:val="nil"/>
              <w:right w:val="nil"/>
            </w:tcBorders>
            <w:shd w:val="clear" w:color="auto" w:fill="auto"/>
            <w:noWrap/>
            <w:vAlign w:val="center"/>
            <w:hideMark/>
          </w:tcPr>
          <w:p w14:paraId="7B036B83" w14:textId="77777777" w:rsidR="004449AB" w:rsidRPr="004449AB" w:rsidRDefault="004449AB" w:rsidP="004449AB">
            <w:pPr>
              <w:spacing w:after="0" w:line="240" w:lineRule="auto"/>
              <w:rPr>
                <w:rFonts w:ascii="Arial" w:eastAsia="Times New Roman" w:hAnsi="Arial" w:cs="Arial"/>
                <w:b/>
                <w:bCs/>
                <w:color w:val="000000"/>
                <w:kern w:val="0"/>
                <w:sz w:val="15"/>
                <w:szCs w:val="15"/>
                <w:lang w:eastAsia="pt-BR"/>
                <w14:ligatures w14:val="none"/>
              </w:rPr>
            </w:pPr>
            <w:r w:rsidRPr="004449AB">
              <w:rPr>
                <w:rFonts w:ascii="Arial" w:eastAsia="Times New Roman" w:hAnsi="Arial" w:cs="Arial"/>
                <w:b/>
                <w:bCs/>
                <w:color w:val="000000"/>
                <w:kern w:val="0"/>
                <w:sz w:val="15"/>
                <w:szCs w:val="15"/>
                <w:lang w:eastAsia="pt-BR"/>
                <w14:ligatures w14:val="none"/>
              </w:rPr>
              <w:t>Total do Circulante</w:t>
            </w:r>
          </w:p>
        </w:tc>
        <w:tc>
          <w:tcPr>
            <w:tcW w:w="160" w:type="pct"/>
            <w:tcBorders>
              <w:top w:val="nil"/>
              <w:left w:val="nil"/>
              <w:bottom w:val="nil"/>
              <w:right w:val="nil"/>
            </w:tcBorders>
            <w:shd w:val="clear" w:color="auto" w:fill="auto"/>
            <w:noWrap/>
            <w:vAlign w:val="bottom"/>
            <w:hideMark/>
          </w:tcPr>
          <w:p w14:paraId="4D407733" w14:textId="77777777" w:rsidR="004449AB" w:rsidRPr="004449AB" w:rsidRDefault="004449AB" w:rsidP="004449AB">
            <w:pPr>
              <w:spacing w:after="0" w:line="240" w:lineRule="auto"/>
              <w:rPr>
                <w:rFonts w:ascii="Arial" w:eastAsia="Times New Roman" w:hAnsi="Arial" w:cs="Arial"/>
                <w:b/>
                <w:bCs/>
                <w:color w:val="000000"/>
                <w:kern w:val="0"/>
                <w:sz w:val="15"/>
                <w:szCs w:val="15"/>
                <w:lang w:eastAsia="pt-BR"/>
                <w14:ligatures w14:val="none"/>
              </w:rPr>
            </w:pPr>
          </w:p>
        </w:tc>
        <w:tc>
          <w:tcPr>
            <w:tcW w:w="455" w:type="pct"/>
            <w:tcBorders>
              <w:top w:val="single" w:sz="4" w:space="0" w:color="auto"/>
              <w:left w:val="nil"/>
              <w:bottom w:val="single" w:sz="4" w:space="0" w:color="auto"/>
              <w:right w:val="nil"/>
            </w:tcBorders>
            <w:shd w:val="clear" w:color="auto" w:fill="auto"/>
            <w:noWrap/>
            <w:vAlign w:val="center"/>
            <w:hideMark/>
          </w:tcPr>
          <w:p w14:paraId="3D29CE0C" w14:textId="77777777" w:rsidR="004449AB" w:rsidRPr="004449AB" w:rsidRDefault="004449AB" w:rsidP="004449AB">
            <w:pPr>
              <w:spacing w:after="0" w:line="240" w:lineRule="auto"/>
              <w:jc w:val="right"/>
              <w:rPr>
                <w:rFonts w:ascii="Arial" w:eastAsia="Times New Roman" w:hAnsi="Arial" w:cs="Arial"/>
                <w:b/>
                <w:bCs/>
                <w:color w:val="000000"/>
                <w:kern w:val="0"/>
                <w:sz w:val="15"/>
                <w:szCs w:val="15"/>
                <w:lang w:eastAsia="pt-BR"/>
                <w14:ligatures w14:val="none"/>
              </w:rPr>
            </w:pPr>
            <w:r w:rsidRPr="004449AB">
              <w:rPr>
                <w:rFonts w:ascii="Arial" w:eastAsia="Times New Roman" w:hAnsi="Arial" w:cs="Arial"/>
                <w:b/>
                <w:bCs/>
                <w:color w:val="000000"/>
                <w:kern w:val="0"/>
                <w:sz w:val="15"/>
                <w:szCs w:val="15"/>
                <w:lang w:eastAsia="pt-BR"/>
                <w14:ligatures w14:val="none"/>
              </w:rPr>
              <w:t xml:space="preserve">             1.607.349 </w:t>
            </w:r>
          </w:p>
        </w:tc>
        <w:tc>
          <w:tcPr>
            <w:tcW w:w="49" w:type="pct"/>
            <w:tcBorders>
              <w:top w:val="nil"/>
              <w:left w:val="nil"/>
              <w:bottom w:val="nil"/>
              <w:right w:val="nil"/>
            </w:tcBorders>
            <w:shd w:val="clear" w:color="auto" w:fill="auto"/>
            <w:noWrap/>
            <w:vAlign w:val="center"/>
            <w:hideMark/>
          </w:tcPr>
          <w:p w14:paraId="07D27921" w14:textId="77777777" w:rsidR="004449AB" w:rsidRPr="004449AB" w:rsidRDefault="004449AB" w:rsidP="004449AB">
            <w:pPr>
              <w:spacing w:after="0" w:line="240" w:lineRule="auto"/>
              <w:jc w:val="right"/>
              <w:rPr>
                <w:rFonts w:ascii="Arial" w:eastAsia="Times New Roman" w:hAnsi="Arial" w:cs="Arial"/>
                <w:b/>
                <w:bCs/>
                <w:color w:val="000000"/>
                <w:kern w:val="0"/>
                <w:sz w:val="15"/>
                <w:szCs w:val="15"/>
                <w:lang w:eastAsia="pt-BR"/>
                <w14:ligatures w14:val="none"/>
              </w:rPr>
            </w:pPr>
          </w:p>
        </w:tc>
        <w:tc>
          <w:tcPr>
            <w:tcW w:w="455" w:type="pct"/>
            <w:tcBorders>
              <w:top w:val="single" w:sz="4" w:space="0" w:color="auto"/>
              <w:left w:val="nil"/>
              <w:bottom w:val="single" w:sz="4" w:space="0" w:color="auto"/>
              <w:right w:val="nil"/>
            </w:tcBorders>
            <w:shd w:val="clear" w:color="auto" w:fill="auto"/>
            <w:noWrap/>
            <w:vAlign w:val="center"/>
            <w:hideMark/>
          </w:tcPr>
          <w:p w14:paraId="307DA781" w14:textId="77777777" w:rsidR="004449AB" w:rsidRPr="004449AB" w:rsidRDefault="004449AB" w:rsidP="004449AB">
            <w:pPr>
              <w:spacing w:after="0" w:line="240" w:lineRule="auto"/>
              <w:jc w:val="right"/>
              <w:rPr>
                <w:rFonts w:ascii="Arial" w:eastAsia="Times New Roman" w:hAnsi="Arial" w:cs="Arial"/>
                <w:b/>
                <w:bCs/>
                <w:color w:val="000000"/>
                <w:kern w:val="0"/>
                <w:sz w:val="15"/>
                <w:szCs w:val="15"/>
                <w:lang w:eastAsia="pt-BR"/>
                <w14:ligatures w14:val="none"/>
              </w:rPr>
            </w:pPr>
            <w:r w:rsidRPr="004449AB">
              <w:rPr>
                <w:rFonts w:ascii="Arial" w:eastAsia="Times New Roman" w:hAnsi="Arial" w:cs="Arial"/>
                <w:b/>
                <w:bCs/>
                <w:color w:val="000000"/>
                <w:kern w:val="0"/>
                <w:sz w:val="15"/>
                <w:szCs w:val="15"/>
                <w:lang w:eastAsia="pt-BR"/>
                <w14:ligatures w14:val="none"/>
              </w:rPr>
              <w:t xml:space="preserve">             1.528.710 </w:t>
            </w:r>
          </w:p>
        </w:tc>
        <w:tc>
          <w:tcPr>
            <w:tcW w:w="49" w:type="pct"/>
            <w:tcBorders>
              <w:top w:val="nil"/>
              <w:left w:val="nil"/>
              <w:bottom w:val="nil"/>
              <w:right w:val="nil"/>
            </w:tcBorders>
            <w:shd w:val="clear" w:color="auto" w:fill="auto"/>
            <w:noWrap/>
            <w:vAlign w:val="center"/>
            <w:hideMark/>
          </w:tcPr>
          <w:p w14:paraId="5F8FC266" w14:textId="77777777" w:rsidR="004449AB" w:rsidRPr="004449AB" w:rsidRDefault="004449AB" w:rsidP="004449AB">
            <w:pPr>
              <w:spacing w:after="0" w:line="240" w:lineRule="auto"/>
              <w:jc w:val="right"/>
              <w:rPr>
                <w:rFonts w:ascii="Arial" w:eastAsia="Times New Roman" w:hAnsi="Arial" w:cs="Arial"/>
                <w:b/>
                <w:bCs/>
                <w:color w:val="000000"/>
                <w:kern w:val="0"/>
                <w:sz w:val="15"/>
                <w:szCs w:val="15"/>
                <w:lang w:eastAsia="pt-BR"/>
                <w14:ligatures w14:val="none"/>
              </w:rPr>
            </w:pPr>
          </w:p>
        </w:tc>
        <w:tc>
          <w:tcPr>
            <w:tcW w:w="1488" w:type="pct"/>
            <w:tcBorders>
              <w:top w:val="nil"/>
              <w:left w:val="nil"/>
              <w:bottom w:val="nil"/>
              <w:right w:val="nil"/>
            </w:tcBorders>
            <w:shd w:val="clear" w:color="auto" w:fill="auto"/>
            <w:noWrap/>
            <w:vAlign w:val="bottom"/>
            <w:hideMark/>
          </w:tcPr>
          <w:p w14:paraId="2921A849" w14:textId="77777777" w:rsidR="004449AB" w:rsidRPr="004449AB" w:rsidRDefault="004449AB" w:rsidP="004449AB">
            <w:pPr>
              <w:spacing w:after="0" w:line="240" w:lineRule="auto"/>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Provisão para Programa de Indenização por Serviços Prestados</w:t>
            </w:r>
          </w:p>
        </w:tc>
        <w:tc>
          <w:tcPr>
            <w:tcW w:w="160" w:type="pct"/>
            <w:tcBorders>
              <w:top w:val="nil"/>
              <w:left w:val="nil"/>
              <w:bottom w:val="nil"/>
              <w:right w:val="nil"/>
            </w:tcBorders>
            <w:shd w:val="clear" w:color="auto" w:fill="auto"/>
            <w:noWrap/>
            <w:vAlign w:val="center"/>
            <w:hideMark/>
          </w:tcPr>
          <w:p w14:paraId="0B41BB36" w14:textId="77777777" w:rsidR="004449AB" w:rsidRPr="004449AB" w:rsidRDefault="004449AB" w:rsidP="004449AB">
            <w:pPr>
              <w:spacing w:after="0" w:line="240" w:lineRule="auto"/>
              <w:jc w:val="center"/>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17</w:t>
            </w:r>
          </w:p>
        </w:tc>
        <w:tc>
          <w:tcPr>
            <w:tcW w:w="502" w:type="pct"/>
            <w:tcBorders>
              <w:top w:val="nil"/>
              <w:left w:val="nil"/>
              <w:bottom w:val="nil"/>
              <w:right w:val="nil"/>
            </w:tcBorders>
            <w:shd w:val="clear" w:color="auto" w:fill="auto"/>
            <w:noWrap/>
            <w:vAlign w:val="center"/>
            <w:hideMark/>
          </w:tcPr>
          <w:p w14:paraId="73B7AD0D"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1.766 </w:t>
            </w:r>
          </w:p>
        </w:tc>
        <w:tc>
          <w:tcPr>
            <w:tcW w:w="49" w:type="pct"/>
            <w:tcBorders>
              <w:top w:val="nil"/>
              <w:left w:val="nil"/>
              <w:bottom w:val="nil"/>
              <w:right w:val="nil"/>
            </w:tcBorders>
            <w:shd w:val="clear" w:color="auto" w:fill="auto"/>
            <w:noWrap/>
            <w:vAlign w:val="bottom"/>
            <w:hideMark/>
          </w:tcPr>
          <w:p w14:paraId="6876D2E4"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502" w:type="pct"/>
            <w:tcBorders>
              <w:top w:val="nil"/>
              <w:left w:val="nil"/>
              <w:bottom w:val="nil"/>
              <w:right w:val="nil"/>
            </w:tcBorders>
            <w:shd w:val="clear" w:color="auto" w:fill="auto"/>
            <w:noWrap/>
            <w:vAlign w:val="center"/>
            <w:hideMark/>
          </w:tcPr>
          <w:p w14:paraId="318568BE"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1.747 </w:t>
            </w:r>
          </w:p>
        </w:tc>
        <w:tc>
          <w:tcPr>
            <w:tcW w:w="49" w:type="pct"/>
            <w:tcBorders>
              <w:top w:val="nil"/>
              <w:left w:val="nil"/>
              <w:bottom w:val="nil"/>
              <w:right w:val="nil"/>
            </w:tcBorders>
            <w:shd w:val="clear" w:color="auto" w:fill="auto"/>
            <w:noWrap/>
            <w:vAlign w:val="center"/>
            <w:hideMark/>
          </w:tcPr>
          <w:p w14:paraId="66101AC9"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r>
      <w:tr w:rsidR="004449AB" w:rsidRPr="004449AB" w14:paraId="2DE78F9B" w14:textId="77777777" w:rsidTr="00075425">
        <w:trPr>
          <w:trHeight w:val="200"/>
        </w:trPr>
        <w:tc>
          <w:tcPr>
            <w:tcW w:w="1081" w:type="pct"/>
            <w:tcBorders>
              <w:top w:val="nil"/>
              <w:left w:val="nil"/>
              <w:bottom w:val="nil"/>
              <w:right w:val="nil"/>
            </w:tcBorders>
            <w:shd w:val="clear" w:color="auto" w:fill="auto"/>
            <w:noWrap/>
            <w:vAlign w:val="bottom"/>
            <w:hideMark/>
          </w:tcPr>
          <w:p w14:paraId="49EB6381" w14:textId="77777777" w:rsidR="004449AB" w:rsidRPr="004449AB" w:rsidRDefault="004449AB" w:rsidP="004449AB">
            <w:pPr>
              <w:spacing w:after="0" w:line="240" w:lineRule="auto"/>
              <w:jc w:val="right"/>
              <w:rPr>
                <w:rFonts w:ascii="Times New Roman" w:eastAsia="Times New Roman" w:hAnsi="Times New Roman" w:cs="Times New Roman"/>
                <w:kern w:val="0"/>
                <w:sz w:val="15"/>
                <w:szCs w:val="15"/>
                <w:lang w:eastAsia="pt-BR"/>
                <w14:ligatures w14:val="none"/>
              </w:rPr>
            </w:pPr>
          </w:p>
        </w:tc>
        <w:tc>
          <w:tcPr>
            <w:tcW w:w="160" w:type="pct"/>
            <w:tcBorders>
              <w:top w:val="nil"/>
              <w:left w:val="nil"/>
              <w:bottom w:val="nil"/>
              <w:right w:val="nil"/>
            </w:tcBorders>
            <w:shd w:val="clear" w:color="auto" w:fill="auto"/>
            <w:noWrap/>
            <w:vAlign w:val="bottom"/>
            <w:hideMark/>
          </w:tcPr>
          <w:p w14:paraId="665519B6"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55" w:type="pct"/>
            <w:tcBorders>
              <w:top w:val="nil"/>
              <w:left w:val="nil"/>
              <w:bottom w:val="nil"/>
              <w:right w:val="nil"/>
            </w:tcBorders>
            <w:shd w:val="clear" w:color="auto" w:fill="auto"/>
            <w:noWrap/>
            <w:vAlign w:val="bottom"/>
            <w:hideMark/>
          </w:tcPr>
          <w:p w14:paraId="69C850C1"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9" w:type="pct"/>
            <w:tcBorders>
              <w:top w:val="nil"/>
              <w:left w:val="nil"/>
              <w:bottom w:val="nil"/>
              <w:right w:val="nil"/>
            </w:tcBorders>
            <w:shd w:val="clear" w:color="auto" w:fill="auto"/>
            <w:noWrap/>
            <w:vAlign w:val="bottom"/>
            <w:hideMark/>
          </w:tcPr>
          <w:p w14:paraId="44CEDCB2"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55" w:type="pct"/>
            <w:tcBorders>
              <w:top w:val="nil"/>
              <w:left w:val="nil"/>
              <w:bottom w:val="nil"/>
              <w:right w:val="nil"/>
            </w:tcBorders>
            <w:shd w:val="clear" w:color="auto" w:fill="auto"/>
            <w:noWrap/>
            <w:vAlign w:val="bottom"/>
            <w:hideMark/>
          </w:tcPr>
          <w:p w14:paraId="4EF577AC"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9" w:type="pct"/>
            <w:tcBorders>
              <w:top w:val="nil"/>
              <w:left w:val="nil"/>
              <w:bottom w:val="nil"/>
              <w:right w:val="nil"/>
            </w:tcBorders>
            <w:shd w:val="clear" w:color="auto" w:fill="auto"/>
            <w:noWrap/>
            <w:vAlign w:val="bottom"/>
            <w:hideMark/>
          </w:tcPr>
          <w:p w14:paraId="39FCE79D"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1488" w:type="pct"/>
            <w:tcBorders>
              <w:top w:val="nil"/>
              <w:left w:val="nil"/>
              <w:bottom w:val="nil"/>
              <w:right w:val="nil"/>
            </w:tcBorders>
            <w:shd w:val="clear" w:color="auto" w:fill="auto"/>
            <w:vAlign w:val="center"/>
            <w:hideMark/>
          </w:tcPr>
          <w:p w14:paraId="364E3B9E" w14:textId="77777777" w:rsidR="004449AB" w:rsidRPr="004449AB" w:rsidRDefault="004449AB" w:rsidP="004449AB">
            <w:pPr>
              <w:spacing w:after="0" w:line="240" w:lineRule="auto"/>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Outras Obrigações</w:t>
            </w:r>
          </w:p>
        </w:tc>
        <w:tc>
          <w:tcPr>
            <w:tcW w:w="160" w:type="pct"/>
            <w:tcBorders>
              <w:top w:val="nil"/>
              <w:left w:val="nil"/>
              <w:bottom w:val="nil"/>
              <w:right w:val="nil"/>
            </w:tcBorders>
            <w:shd w:val="clear" w:color="auto" w:fill="auto"/>
            <w:noWrap/>
            <w:vAlign w:val="center"/>
            <w:hideMark/>
          </w:tcPr>
          <w:p w14:paraId="7251DE1C" w14:textId="77777777" w:rsidR="004449AB" w:rsidRPr="004449AB" w:rsidRDefault="004449AB" w:rsidP="004449AB">
            <w:pPr>
              <w:spacing w:after="0" w:line="240" w:lineRule="auto"/>
              <w:jc w:val="center"/>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26</w:t>
            </w:r>
          </w:p>
        </w:tc>
        <w:tc>
          <w:tcPr>
            <w:tcW w:w="502" w:type="pct"/>
            <w:tcBorders>
              <w:top w:val="nil"/>
              <w:left w:val="nil"/>
              <w:bottom w:val="nil"/>
              <w:right w:val="nil"/>
            </w:tcBorders>
            <w:shd w:val="clear" w:color="auto" w:fill="auto"/>
            <w:noWrap/>
            <w:vAlign w:val="center"/>
            <w:hideMark/>
          </w:tcPr>
          <w:p w14:paraId="49C2BD7A"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5.018 </w:t>
            </w:r>
          </w:p>
        </w:tc>
        <w:tc>
          <w:tcPr>
            <w:tcW w:w="49" w:type="pct"/>
            <w:tcBorders>
              <w:top w:val="nil"/>
              <w:left w:val="nil"/>
              <w:bottom w:val="nil"/>
              <w:right w:val="nil"/>
            </w:tcBorders>
            <w:shd w:val="clear" w:color="auto" w:fill="auto"/>
            <w:noWrap/>
            <w:vAlign w:val="center"/>
            <w:hideMark/>
          </w:tcPr>
          <w:p w14:paraId="4EEBBAF9"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502" w:type="pct"/>
            <w:tcBorders>
              <w:top w:val="nil"/>
              <w:left w:val="nil"/>
              <w:bottom w:val="nil"/>
              <w:right w:val="nil"/>
            </w:tcBorders>
            <w:shd w:val="clear" w:color="auto" w:fill="auto"/>
            <w:noWrap/>
            <w:vAlign w:val="center"/>
            <w:hideMark/>
          </w:tcPr>
          <w:p w14:paraId="4470D180"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3.154 </w:t>
            </w:r>
          </w:p>
        </w:tc>
        <w:tc>
          <w:tcPr>
            <w:tcW w:w="49" w:type="pct"/>
            <w:tcBorders>
              <w:top w:val="nil"/>
              <w:left w:val="nil"/>
              <w:bottom w:val="nil"/>
              <w:right w:val="nil"/>
            </w:tcBorders>
            <w:shd w:val="clear" w:color="auto" w:fill="auto"/>
            <w:noWrap/>
            <w:vAlign w:val="bottom"/>
            <w:hideMark/>
          </w:tcPr>
          <w:p w14:paraId="3721FCAF"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r>
      <w:tr w:rsidR="004449AB" w:rsidRPr="004449AB" w14:paraId="0480464A" w14:textId="77777777" w:rsidTr="00075425">
        <w:trPr>
          <w:trHeight w:val="200"/>
        </w:trPr>
        <w:tc>
          <w:tcPr>
            <w:tcW w:w="1081" w:type="pct"/>
            <w:tcBorders>
              <w:top w:val="nil"/>
              <w:left w:val="nil"/>
              <w:bottom w:val="nil"/>
              <w:right w:val="nil"/>
            </w:tcBorders>
            <w:shd w:val="clear" w:color="auto" w:fill="auto"/>
            <w:noWrap/>
            <w:vAlign w:val="center"/>
            <w:hideMark/>
          </w:tcPr>
          <w:p w14:paraId="277CF278" w14:textId="77777777" w:rsidR="004449AB" w:rsidRPr="004449AB" w:rsidRDefault="004449AB" w:rsidP="004449AB">
            <w:pPr>
              <w:spacing w:after="0" w:line="240" w:lineRule="auto"/>
              <w:rPr>
                <w:rFonts w:ascii="Arial" w:eastAsia="Times New Roman" w:hAnsi="Arial" w:cs="Arial"/>
                <w:b/>
                <w:bCs/>
                <w:color w:val="000000"/>
                <w:kern w:val="0"/>
                <w:sz w:val="15"/>
                <w:szCs w:val="15"/>
                <w:lang w:eastAsia="pt-BR"/>
                <w14:ligatures w14:val="none"/>
              </w:rPr>
            </w:pPr>
            <w:r w:rsidRPr="004449AB">
              <w:rPr>
                <w:rFonts w:ascii="Arial" w:eastAsia="Times New Roman" w:hAnsi="Arial" w:cs="Arial"/>
                <w:b/>
                <w:bCs/>
                <w:color w:val="000000"/>
                <w:kern w:val="0"/>
                <w:sz w:val="15"/>
                <w:szCs w:val="15"/>
                <w:lang w:eastAsia="pt-BR"/>
                <w14:ligatures w14:val="none"/>
              </w:rPr>
              <w:t>Não Circulante</w:t>
            </w:r>
          </w:p>
        </w:tc>
        <w:tc>
          <w:tcPr>
            <w:tcW w:w="160" w:type="pct"/>
            <w:tcBorders>
              <w:top w:val="nil"/>
              <w:left w:val="nil"/>
              <w:bottom w:val="nil"/>
              <w:right w:val="nil"/>
            </w:tcBorders>
            <w:shd w:val="clear" w:color="auto" w:fill="auto"/>
            <w:noWrap/>
            <w:vAlign w:val="center"/>
            <w:hideMark/>
          </w:tcPr>
          <w:p w14:paraId="7F6EB22B" w14:textId="77777777" w:rsidR="004449AB" w:rsidRPr="004449AB" w:rsidRDefault="004449AB" w:rsidP="004449AB">
            <w:pPr>
              <w:spacing w:after="0" w:line="240" w:lineRule="auto"/>
              <w:rPr>
                <w:rFonts w:ascii="Arial" w:eastAsia="Times New Roman" w:hAnsi="Arial" w:cs="Arial"/>
                <w:b/>
                <w:bCs/>
                <w:color w:val="000000"/>
                <w:kern w:val="0"/>
                <w:sz w:val="15"/>
                <w:szCs w:val="15"/>
                <w:lang w:eastAsia="pt-BR"/>
                <w14:ligatures w14:val="none"/>
              </w:rPr>
            </w:pPr>
          </w:p>
        </w:tc>
        <w:tc>
          <w:tcPr>
            <w:tcW w:w="455" w:type="pct"/>
            <w:tcBorders>
              <w:top w:val="nil"/>
              <w:left w:val="nil"/>
              <w:bottom w:val="nil"/>
              <w:right w:val="nil"/>
            </w:tcBorders>
            <w:shd w:val="clear" w:color="auto" w:fill="auto"/>
            <w:noWrap/>
            <w:vAlign w:val="center"/>
            <w:hideMark/>
          </w:tcPr>
          <w:p w14:paraId="54B60DE3"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9" w:type="pct"/>
            <w:tcBorders>
              <w:top w:val="nil"/>
              <w:left w:val="nil"/>
              <w:bottom w:val="nil"/>
              <w:right w:val="nil"/>
            </w:tcBorders>
            <w:shd w:val="clear" w:color="auto" w:fill="auto"/>
            <w:noWrap/>
            <w:vAlign w:val="center"/>
            <w:hideMark/>
          </w:tcPr>
          <w:p w14:paraId="673F9774"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55" w:type="pct"/>
            <w:tcBorders>
              <w:top w:val="nil"/>
              <w:left w:val="nil"/>
              <w:bottom w:val="nil"/>
              <w:right w:val="nil"/>
            </w:tcBorders>
            <w:shd w:val="clear" w:color="auto" w:fill="auto"/>
            <w:noWrap/>
            <w:vAlign w:val="center"/>
            <w:hideMark/>
          </w:tcPr>
          <w:p w14:paraId="0DA21CC1"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9" w:type="pct"/>
            <w:tcBorders>
              <w:top w:val="nil"/>
              <w:left w:val="nil"/>
              <w:bottom w:val="nil"/>
              <w:right w:val="nil"/>
            </w:tcBorders>
            <w:shd w:val="clear" w:color="auto" w:fill="auto"/>
            <w:noWrap/>
            <w:vAlign w:val="center"/>
            <w:hideMark/>
          </w:tcPr>
          <w:p w14:paraId="1F35C2E6"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1488" w:type="pct"/>
            <w:tcBorders>
              <w:top w:val="nil"/>
              <w:left w:val="nil"/>
              <w:bottom w:val="nil"/>
              <w:right w:val="nil"/>
            </w:tcBorders>
            <w:shd w:val="clear" w:color="auto" w:fill="auto"/>
            <w:noWrap/>
            <w:vAlign w:val="center"/>
            <w:hideMark/>
          </w:tcPr>
          <w:p w14:paraId="6C82C087" w14:textId="77777777" w:rsidR="004449AB" w:rsidRPr="004449AB" w:rsidRDefault="004449AB" w:rsidP="004449AB">
            <w:pPr>
              <w:spacing w:after="0" w:line="240" w:lineRule="auto"/>
              <w:rPr>
                <w:rFonts w:ascii="Arial" w:eastAsia="Times New Roman" w:hAnsi="Arial" w:cs="Arial"/>
                <w:b/>
                <w:bCs/>
                <w:color w:val="000000"/>
                <w:kern w:val="0"/>
                <w:sz w:val="15"/>
                <w:szCs w:val="15"/>
                <w:lang w:eastAsia="pt-BR"/>
                <w14:ligatures w14:val="none"/>
              </w:rPr>
            </w:pPr>
            <w:r w:rsidRPr="004449AB">
              <w:rPr>
                <w:rFonts w:ascii="Arial" w:eastAsia="Times New Roman" w:hAnsi="Arial" w:cs="Arial"/>
                <w:b/>
                <w:bCs/>
                <w:color w:val="000000"/>
                <w:kern w:val="0"/>
                <w:sz w:val="15"/>
                <w:szCs w:val="15"/>
                <w:lang w:eastAsia="pt-BR"/>
                <w14:ligatures w14:val="none"/>
              </w:rPr>
              <w:t>Total do Circulante</w:t>
            </w:r>
          </w:p>
        </w:tc>
        <w:tc>
          <w:tcPr>
            <w:tcW w:w="160" w:type="pct"/>
            <w:tcBorders>
              <w:top w:val="nil"/>
              <w:left w:val="nil"/>
              <w:bottom w:val="nil"/>
              <w:right w:val="nil"/>
            </w:tcBorders>
            <w:shd w:val="clear" w:color="auto" w:fill="auto"/>
            <w:noWrap/>
            <w:vAlign w:val="center"/>
            <w:hideMark/>
          </w:tcPr>
          <w:p w14:paraId="6F20E61D" w14:textId="77777777" w:rsidR="004449AB" w:rsidRPr="004449AB" w:rsidRDefault="004449AB" w:rsidP="004449AB">
            <w:pPr>
              <w:spacing w:after="0" w:line="240" w:lineRule="auto"/>
              <w:rPr>
                <w:rFonts w:ascii="Arial" w:eastAsia="Times New Roman" w:hAnsi="Arial" w:cs="Arial"/>
                <w:b/>
                <w:bCs/>
                <w:color w:val="000000"/>
                <w:kern w:val="0"/>
                <w:sz w:val="15"/>
                <w:szCs w:val="15"/>
                <w:lang w:eastAsia="pt-BR"/>
                <w14:ligatures w14:val="none"/>
              </w:rPr>
            </w:pPr>
          </w:p>
        </w:tc>
        <w:tc>
          <w:tcPr>
            <w:tcW w:w="502" w:type="pct"/>
            <w:tcBorders>
              <w:top w:val="single" w:sz="4" w:space="0" w:color="auto"/>
              <w:left w:val="nil"/>
              <w:bottom w:val="single" w:sz="4" w:space="0" w:color="auto"/>
              <w:right w:val="nil"/>
            </w:tcBorders>
            <w:shd w:val="clear" w:color="auto" w:fill="auto"/>
            <w:noWrap/>
            <w:vAlign w:val="center"/>
            <w:hideMark/>
          </w:tcPr>
          <w:p w14:paraId="5C28D61A" w14:textId="77777777" w:rsidR="004449AB" w:rsidRPr="004449AB" w:rsidRDefault="004449AB" w:rsidP="004449AB">
            <w:pPr>
              <w:spacing w:after="0" w:line="240" w:lineRule="auto"/>
              <w:jc w:val="right"/>
              <w:rPr>
                <w:rFonts w:ascii="Arial" w:eastAsia="Times New Roman" w:hAnsi="Arial" w:cs="Arial"/>
                <w:b/>
                <w:bCs/>
                <w:color w:val="000000"/>
                <w:kern w:val="0"/>
                <w:sz w:val="15"/>
                <w:szCs w:val="15"/>
                <w:lang w:eastAsia="pt-BR"/>
                <w14:ligatures w14:val="none"/>
              </w:rPr>
            </w:pPr>
            <w:r w:rsidRPr="004449AB">
              <w:rPr>
                <w:rFonts w:ascii="Arial" w:eastAsia="Times New Roman" w:hAnsi="Arial" w:cs="Arial"/>
                <w:b/>
                <w:bCs/>
                <w:color w:val="000000"/>
                <w:kern w:val="0"/>
                <w:sz w:val="15"/>
                <w:szCs w:val="15"/>
                <w:lang w:eastAsia="pt-BR"/>
                <w14:ligatures w14:val="none"/>
              </w:rPr>
              <w:t xml:space="preserve">                  280.660 </w:t>
            </w:r>
          </w:p>
        </w:tc>
        <w:tc>
          <w:tcPr>
            <w:tcW w:w="49" w:type="pct"/>
            <w:tcBorders>
              <w:top w:val="nil"/>
              <w:left w:val="nil"/>
              <w:bottom w:val="nil"/>
              <w:right w:val="nil"/>
            </w:tcBorders>
            <w:shd w:val="clear" w:color="auto" w:fill="auto"/>
            <w:noWrap/>
            <w:vAlign w:val="center"/>
            <w:hideMark/>
          </w:tcPr>
          <w:p w14:paraId="25AA8F1F" w14:textId="77777777" w:rsidR="004449AB" w:rsidRPr="004449AB" w:rsidRDefault="004449AB" w:rsidP="004449AB">
            <w:pPr>
              <w:spacing w:after="0" w:line="240" w:lineRule="auto"/>
              <w:jc w:val="right"/>
              <w:rPr>
                <w:rFonts w:ascii="Arial" w:eastAsia="Times New Roman" w:hAnsi="Arial" w:cs="Arial"/>
                <w:b/>
                <w:bCs/>
                <w:color w:val="000000"/>
                <w:kern w:val="0"/>
                <w:sz w:val="15"/>
                <w:szCs w:val="15"/>
                <w:lang w:eastAsia="pt-BR"/>
                <w14:ligatures w14:val="none"/>
              </w:rPr>
            </w:pPr>
          </w:p>
        </w:tc>
        <w:tc>
          <w:tcPr>
            <w:tcW w:w="502" w:type="pct"/>
            <w:tcBorders>
              <w:top w:val="single" w:sz="4" w:space="0" w:color="auto"/>
              <w:left w:val="nil"/>
              <w:bottom w:val="single" w:sz="4" w:space="0" w:color="auto"/>
              <w:right w:val="nil"/>
            </w:tcBorders>
            <w:shd w:val="clear" w:color="auto" w:fill="auto"/>
            <w:noWrap/>
            <w:vAlign w:val="center"/>
            <w:hideMark/>
          </w:tcPr>
          <w:p w14:paraId="1B414C6A" w14:textId="77777777" w:rsidR="004449AB" w:rsidRPr="004449AB" w:rsidRDefault="004449AB" w:rsidP="004449AB">
            <w:pPr>
              <w:spacing w:after="0" w:line="240" w:lineRule="auto"/>
              <w:jc w:val="right"/>
              <w:rPr>
                <w:rFonts w:ascii="Arial" w:eastAsia="Times New Roman" w:hAnsi="Arial" w:cs="Arial"/>
                <w:b/>
                <w:bCs/>
                <w:color w:val="000000"/>
                <w:kern w:val="0"/>
                <w:sz w:val="15"/>
                <w:szCs w:val="15"/>
                <w:lang w:eastAsia="pt-BR"/>
                <w14:ligatures w14:val="none"/>
              </w:rPr>
            </w:pPr>
            <w:r w:rsidRPr="004449AB">
              <w:rPr>
                <w:rFonts w:ascii="Arial" w:eastAsia="Times New Roman" w:hAnsi="Arial" w:cs="Arial"/>
                <w:b/>
                <w:bCs/>
                <w:color w:val="000000"/>
                <w:kern w:val="0"/>
                <w:sz w:val="15"/>
                <w:szCs w:val="15"/>
                <w:lang w:eastAsia="pt-BR"/>
                <w14:ligatures w14:val="none"/>
              </w:rPr>
              <w:t xml:space="preserve">                  321.615 </w:t>
            </w:r>
          </w:p>
        </w:tc>
        <w:tc>
          <w:tcPr>
            <w:tcW w:w="49" w:type="pct"/>
            <w:tcBorders>
              <w:top w:val="nil"/>
              <w:left w:val="nil"/>
              <w:bottom w:val="nil"/>
              <w:right w:val="nil"/>
            </w:tcBorders>
            <w:shd w:val="clear" w:color="auto" w:fill="auto"/>
            <w:noWrap/>
            <w:vAlign w:val="bottom"/>
            <w:hideMark/>
          </w:tcPr>
          <w:p w14:paraId="331D422B" w14:textId="77777777" w:rsidR="004449AB" w:rsidRPr="004449AB" w:rsidRDefault="004449AB" w:rsidP="004449AB">
            <w:pPr>
              <w:spacing w:after="0" w:line="240" w:lineRule="auto"/>
              <w:jc w:val="right"/>
              <w:rPr>
                <w:rFonts w:ascii="Arial" w:eastAsia="Times New Roman" w:hAnsi="Arial" w:cs="Arial"/>
                <w:b/>
                <w:bCs/>
                <w:color w:val="000000"/>
                <w:kern w:val="0"/>
                <w:sz w:val="15"/>
                <w:szCs w:val="15"/>
                <w:lang w:eastAsia="pt-BR"/>
                <w14:ligatures w14:val="none"/>
              </w:rPr>
            </w:pPr>
          </w:p>
        </w:tc>
      </w:tr>
      <w:tr w:rsidR="004449AB" w:rsidRPr="004449AB" w14:paraId="78F04823" w14:textId="77777777" w:rsidTr="00075425">
        <w:trPr>
          <w:trHeight w:val="200"/>
        </w:trPr>
        <w:tc>
          <w:tcPr>
            <w:tcW w:w="1081" w:type="pct"/>
            <w:tcBorders>
              <w:top w:val="nil"/>
              <w:left w:val="nil"/>
              <w:bottom w:val="nil"/>
              <w:right w:val="nil"/>
            </w:tcBorders>
            <w:shd w:val="clear" w:color="auto" w:fill="auto"/>
            <w:noWrap/>
            <w:vAlign w:val="bottom"/>
            <w:hideMark/>
          </w:tcPr>
          <w:p w14:paraId="4815301E" w14:textId="77777777" w:rsidR="004449AB" w:rsidRPr="004449AB" w:rsidRDefault="004449AB" w:rsidP="004449AB">
            <w:pPr>
              <w:spacing w:after="0" w:line="240" w:lineRule="auto"/>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Aplicações Financeiras</w:t>
            </w:r>
          </w:p>
        </w:tc>
        <w:tc>
          <w:tcPr>
            <w:tcW w:w="160" w:type="pct"/>
            <w:tcBorders>
              <w:top w:val="nil"/>
              <w:left w:val="nil"/>
              <w:bottom w:val="nil"/>
              <w:right w:val="nil"/>
            </w:tcBorders>
            <w:shd w:val="clear" w:color="auto" w:fill="auto"/>
            <w:noWrap/>
            <w:vAlign w:val="center"/>
            <w:hideMark/>
          </w:tcPr>
          <w:p w14:paraId="6FE3C151" w14:textId="77777777" w:rsidR="004449AB" w:rsidRPr="004449AB" w:rsidRDefault="004449AB" w:rsidP="004449AB">
            <w:pPr>
              <w:spacing w:after="0" w:line="240" w:lineRule="auto"/>
              <w:jc w:val="center"/>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12</w:t>
            </w:r>
          </w:p>
        </w:tc>
        <w:tc>
          <w:tcPr>
            <w:tcW w:w="455" w:type="pct"/>
            <w:tcBorders>
              <w:top w:val="nil"/>
              <w:left w:val="nil"/>
              <w:bottom w:val="nil"/>
              <w:right w:val="nil"/>
            </w:tcBorders>
            <w:shd w:val="clear" w:color="auto" w:fill="auto"/>
            <w:noWrap/>
            <w:vAlign w:val="center"/>
            <w:hideMark/>
          </w:tcPr>
          <w:p w14:paraId="0F7C3923"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80.682 </w:t>
            </w:r>
          </w:p>
        </w:tc>
        <w:tc>
          <w:tcPr>
            <w:tcW w:w="49" w:type="pct"/>
            <w:tcBorders>
              <w:top w:val="nil"/>
              <w:left w:val="nil"/>
              <w:bottom w:val="nil"/>
              <w:right w:val="nil"/>
            </w:tcBorders>
            <w:shd w:val="clear" w:color="auto" w:fill="auto"/>
            <w:noWrap/>
            <w:vAlign w:val="bottom"/>
            <w:hideMark/>
          </w:tcPr>
          <w:p w14:paraId="2BA8BF2B"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455" w:type="pct"/>
            <w:tcBorders>
              <w:top w:val="nil"/>
              <w:left w:val="nil"/>
              <w:bottom w:val="nil"/>
              <w:right w:val="nil"/>
            </w:tcBorders>
            <w:shd w:val="clear" w:color="auto" w:fill="auto"/>
            <w:noWrap/>
            <w:vAlign w:val="center"/>
            <w:hideMark/>
          </w:tcPr>
          <w:p w14:paraId="03BAAB18"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72.479 </w:t>
            </w:r>
          </w:p>
        </w:tc>
        <w:tc>
          <w:tcPr>
            <w:tcW w:w="49" w:type="pct"/>
            <w:tcBorders>
              <w:top w:val="nil"/>
              <w:left w:val="nil"/>
              <w:bottom w:val="nil"/>
              <w:right w:val="nil"/>
            </w:tcBorders>
            <w:shd w:val="clear" w:color="auto" w:fill="auto"/>
            <w:noWrap/>
            <w:vAlign w:val="center"/>
            <w:hideMark/>
          </w:tcPr>
          <w:p w14:paraId="2B425C5C"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1488" w:type="pct"/>
            <w:tcBorders>
              <w:top w:val="nil"/>
              <w:left w:val="nil"/>
              <w:bottom w:val="nil"/>
              <w:right w:val="nil"/>
            </w:tcBorders>
            <w:shd w:val="clear" w:color="auto" w:fill="auto"/>
            <w:noWrap/>
            <w:vAlign w:val="bottom"/>
            <w:hideMark/>
          </w:tcPr>
          <w:p w14:paraId="2BDE0872"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160" w:type="pct"/>
            <w:tcBorders>
              <w:top w:val="nil"/>
              <w:left w:val="nil"/>
              <w:bottom w:val="nil"/>
              <w:right w:val="nil"/>
            </w:tcBorders>
            <w:shd w:val="clear" w:color="auto" w:fill="auto"/>
            <w:noWrap/>
            <w:vAlign w:val="bottom"/>
            <w:hideMark/>
          </w:tcPr>
          <w:p w14:paraId="7FF6BAC7"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502" w:type="pct"/>
            <w:tcBorders>
              <w:top w:val="nil"/>
              <w:left w:val="nil"/>
              <w:bottom w:val="nil"/>
              <w:right w:val="nil"/>
            </w:tcBorders>
            <w:shd w:val="clear" w:color="auto" w:fill="auto"/>
            <w:noWrap/>
            <w:vAlign w:val="bottom"/>
            <w:hideMark/>
          </w:tcPr>
          <w:p w14:paraId="37685B6E"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9" w:type="pct"/>
            <w:tcBorders>
              <w:top w:val="nil"/>
              <w:left w:val="nil"/>
              <w:bottom w:val="nil"/>
              <w:right w:val="nil"/>
            </w:tcBorders>
            <w:shd w:val="clear" w:color="auto" w:fill="auto"/>
            <w:noWrap/>
            <w:vAlign w:val="bottom"/>
            <w:hideMark/>
          </w:tcPr>
          <w:p w14:paraId="39885D9C"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502" w:type="pct"/>
            <w:tcBorders>
              <w:top w:val="nil"/>
              <w:left w:val="nil"/>
              <w:bottom w:val="nil"/>
              <w:right w:val="nil"/>
            </w:tcBorders>
            <w:shd w:val="clear" w:color="auto" w:fill="auto"/>
            <w:noWrap/>
            <w:vAlign w:val="bottom"/>
            <w:hideMark/>
          </w:tcPr>
          <w:p w14:paraId="3F7BEA8F"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9" w:type="pct"/>
            <w:tcBorders>
              <w:top w:val="nil"/>
              <w:left w:val="nil"/>
              <w:bottom w:val="nil"/>
              <w:right w:val="nil"/>
            </w:tcBorders>
            <w:shd w:val="clear" w:color="auto" w:fill="auto"/>
            <w:noWrap/>
            <w:vAlign w:val="center"/>
            <w:hideMark/>
          </w:tcPr>
          <w:p w14:paraId="0FE25555"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r>
      <w:tr w:rsidR="004449AB" w:rsidRPr="004449AB" w14:paraId="0438CC87" w14:textId="77777777" w:rsidTr="00075425">
        <w:trPr>
          <w:trHeight w:val="200"/>
        </w:trPr>
        <w:tc>
          <w:tcPr>
            <w:tcW w:w="1081" w:type="pct"/>
            <w:tcBorders>
              <w:top w:val="nil"/>
              <w:left w:val="nil"/>
              <w:bottom w:val="nil"/>
              <w:right w:val="nil"/>
            </w:tcBorders>
            <w:shd w:val="clear" w:color="auto" w:fill="auto"/>
            <w:noWrap/>
            <w:vAlign w:val="center"/>
            <w:hideMark/>
          </w:tcPr>
          <w:p w14:paraId="350C51A3" w14:textId="77777777" w:rsidR="004449AB" w:rsidRPr="004449AB" w:rsidRDefault="004449AB" w:rsidP="004449AB">
            <w:pPr>
              <w:spacing w:after="0" w:line="240" w:lineRule="auto"/>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Tributos a Compensar/Recuperar</w:t>
            </w:r>
          </w:p>
        </w:tc>
        <w:tc>
          <w:tcPr>
            <w:tcW w:w="160" w:type="pct"/>
            <w:tcBorders>
              <w:top w:val="nil"/>
              <w:left w:val="nil"/>
              <w:bottom w:val="nil"/>
              <w:right w:val="nil"/>
            </w:tcBorders>
            <w:shd w:val="clear" w:color="auto" w:fill="auto"/>
            <w:noWrap/>
            <w:vAlign w:val="center"/>
            <w:hideMark/>
          </w:tcPr>
          <w:p w14:paraId="34A4BBD9" w14:textId="77777777" w:rsidR="004449AB" w:rsidRPr="004449AB" w:rsidRDefault="004449AB" w:rsidP="004449AB">
            <w:pPr>
              <w:spacing w:after="0" w:line="240" w:lineRule="auto"/>
              <w:jc w:val="center"/>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7</w:t>
            </w:r>
          </w:p>
        </w:tc>
        <w:tc>
          <w:tcPr>
            <w:tcW w:w="455" w:type="pct"/>
            <w:tcBorders>
              <w:top w:val="nil"/>
              <w:left w:val="nil"/>
              <w:bottom w:val="nil"/>
              <w:right w:val="nil"/>
            </w:tcBorders>
            <w:shd w:val="clear" w:color="auto" w:fill="auto"/>
            <w:noWrap/>
            <w:vAlign w:val="center"/>
            <w:hideMark/>
          </w:tcPr>
          <w:p w14:paraId="2EC7414F"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11.634 </w:t>
            </w:r>
          </w:p>
        </w:tc>
        <w:tc>
          <w:tcPr>
            <w:tcW w:w="49" w:type="pct"/>
            <w:tcBorders>
              <w:top w:val="nil"/>
              <w:left w:val="nil"/>
              <w:bottom w:val="nil"/>
              <w:right w:val="nil"/>
            </w:tcBorders>
            <w:shd w:val="clear" w:color="auto" w:fill="auto"/>
            <w:noWrap/>
            <w:vAlign w:val="center"/>
            <w:hideMark/>
          </w:tcPr>
          <w:p w14:paraId="2D21467F"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455" w:type="pct"/>
            <w:tcBorders>
              <w:top w:val="nil"/>
              <w:left w:val="nil"/>
              <w:bottom w:val="nil"/>
              <w:right w:val="nil"/>
            </w:tcBorders>
            <w:shd w:val="clear" w:color="auto" w:fill="auto"/>
            <w:noWrap/>
            <w:vAlign w:val="center"/>
            <w:hideMark/>
          </w:tcPr>
          <w:p w14:paraId="709A44F5"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9.225 </w:t>
            </w:r>
          </w:p>
        </w:tc>
        <w:tc>
          <w:tcPr>
            <w:tcW w:w="49" w:type="pct"/>
            <w:tcBorders>
              <w:top w:val="nil"/>
              <w:left w:val="nil"/>
              <w:bottom w:val="nil"/>
              <w:right w:val="nil"/>
            </w:tcBorders>
            <w:shd w:val="clear" w:color="auto" w:fill="auto"/>
            <w:noWrap/>
            <w:vAlign w:val="center"/>
            <w:hideMark/>
          </w:tcPr>
          <w:p w14:paraId="69546E80"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1488" w:type="pct"/>
            <w:tcBorders>
              <w:top w:val="nil"/>
              <w:left w:val="nil"/>
              <w:bottom w:val="nil"/>
              <w:right w:val="nil"/>
            </w:tcBorders>
            <w:shd w:val="clear" w:color="auto" w:fill="auto"/>
            <w:noWrap/>
            <w:vAlign w:val="center"/>
            <w:hideMark/>
          </w:tcPr>
          <w:p w14:paraId="67201C4F" w14:textId="77777777" w:rsidR="004449AB" w:rsidRPr="004449AB" w:rsidRDefault="004449AB" w:rsidP="004449AB">
            <w:pPr>
              <w:spacing w:after="0" w:line="240" w:lineRule="auto"/>
              <w:rPr>
                <w:rFonts w:ascii="Arial" w:eastAsia="Times New Roman" w:hAnsi="Arial" w:cs="Arial"/>
                <w:b/>
                <w:bCs/>
                <w:color w:val="000000"/>
                <w:kern w:val="0"/>
                <w:sz w:val="15"/>
                <w:szCs w:val="15"/>
                <w:lang w:eastAsia="pt-BR"/>
                <w14:ligatures w14:val="none"/>
              </w:rPr>
            </w:pPr>
            <w:r w:rsidRPr="004449AB">
              <w:rPr>
                <w:rFonts w:ascii="Arial" w:eastAsia="Times New Roman" w:hAnsi="Arial" w:cs="Arial"/>
                <w:b/>
                <w:bCs/>
                <w:color w:val="000000"/>
                <w:kern w:val="0"/>
                <w:sz w:val="15"/>
                <w:szCs w:val="15"/>
                <w:lang w:eastAsia="pt-BR"/>
                <w14:ligatures w14:val="none"/>
              </w:rPr>
              <w:t>Não Circulante</w:t>
            </w:r>
          </w:p>
        </w:tc>
        <w:tc>
          <w:tcPr>
            <w:tcW w:w="160" w:type="pct"/>
            <w:tcBorders>
              <w:top w:val="nil"/>
              <w:left w:val="nil"/>
              <w:bottom w:val="nil"/>
              <w:right w:val="nil"/>
            </w:tcBorders>
            <w:shd w:val="clear" w:color="auto" w:fill="auto"/>
            <w:noWrap/>
            <w:vAlign w:val="center"/>
            <w:hideMark/>
          </w:tcPr>
          <w:p w14:paraId="55EAED8C" w14:textId="77777777" w:rsidR="004449AB" w:rsidRPr="004449AB" w:rsidRDefault="004449AB" w:rsidP="004449AB">
            <w:pPr>
              <w:spacing w:after="0" w:line="240" w:lineRule="auto"/>
              <w:rPr>
                <w:rFonts w:ascii="Arial" w:eastAsia="Times New Roman" w:hAnsi="Arial" w:cs="Arial"/>
                <w:b/>
                <w:bCs/>
                <w:color w:val="000000"/>
                <w:kern w:val="0"/>
                <w:sz w:val="15"/>
                <w:szCs w:val="15"/>
                <w:lang w:eastAsia="pt-BR"/>
                <w14:ligatures w14:val="none"/>
              </w:rPr>
            </w:pPr>
          </w:p>
        </w:tc>
        <w:tc>
          <w:tcPr>
            <w:tcW w:w="502" w:type="pct"/>
            <w:tcBorders>
              <w:top w:val="nil"/>
              <w:left w:val="nil"/>
              <w:bottom w:val="nil"/>
              <w:right w:val="nil"/>
            </w:tcBorders>
            <w:shd w:val="clear" w:color="auto" w:fill="auto"/>
            <w:noWrap/>
            <w:vAlign w:val="center"/>
            <w:hideMark/>
          </w:tcPr>
          <w:p w14:paraId="30A7EE73"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9" w:type="pct"/>
            <w:tcBorders>
              <w:top w:val="nil"/>
              <w:left w:val="nil"/>
              <w:bottom w:val="nil"/>
              <w:right w:val="nil"/>
            </w:tcBorders>
            <w:shd w:val="clear" w:color="auto" w:fill="auto"/>
            <w:noWrap/>
            <w:vAlign w:val="center"/>
            <w:hideMark/>
          </w:tcPr>
          <w:p w14:paraId="35737C68" w14:textId="77777777" w:rsidR="004449AB" w:rsidRPr="004449AB" w:rsidRDefault="004449AB" w:rsidP="004449AB">
            <w:pPr>
              <w:spacing w:after="0" w:line="240" w:lineRule="auto"/>
              <w:jc w:val="right"/>
              <w:rPr>
                <w:rFonts w:ascii="Times New Roman" w:eastAsia="Times New Roman" w:hAnsi="Times New Roman" w:cs="Times New Roman"/>
                <w:kern w:val="0"/>
                <w:sz w:val="15"/>
                <w:szCs w:val="15"/>
                <w:lang w:eastAsia="pt-BR"/>
                <w14:ligatures w14:val="none"/>
              </w:rPr>
            </w:pPr>
          </w:p>
        </w:tc>
        <w:tc>
          <w:tcPr>
            <w:tcW w:w="502" w:type="pct"/>
            <w:tcBorders>
              <w:top w:val="nil"/>
              <w:left w:val="nil"/>
              <w:bottom w:val="nil"/>
              <w:right w:val="nil"/>
            </w:tcBorders>
            <w:shd w:val="clear" w:color="auto" w:fill="auto"/>
            <w:noWrap/>
            <w:vAlign w:val="center"/>
            <w:hideMark/>
          </w:tcPr>
          <w:p w14:paraId="2A787853" w14:textId="77777777" w:rsidR="004449AB" w:rsidRPr="004449AB" w:rsidRDefault="004449AB" w:rsidP="004449AB">
            <w:pPr>
              <w:spacing w:after="0" w:line="240" w:lineRule="auto"/>
              <w:jc w:val="right"/>
              <w:rPr>
                <w:rFonts w:ascii="Times New Roman" w:eastAsia="Times New Roman" w:hAnsi="Times New Roman" w:cs="Times New Roman"/>
                <w:kern w:val="0"/>
                <w:sz w:val="15"/>
                <w:szCs w:val="15"/>
                <w:lang w:eastAsia="pt-BR"/>
                <w14:ligatures w14:val="none"/>
              </w:rPr>
            </w:pPr>
          </w:p>
        </w:tc>
        <w:tc>
          <w:tcPr>
            <w:tcW w:w="49" w:type="pct"/>
            <w:tcBorders>
              <w:top w:val="nil"/>
              <w:left w:val="nil"/>
              <w:bottom w:val="nil"/>
              <w:right w:val="nil"/>
            </w:tcBorders>
            <w:shd w:val="clear" w:color="auto" w:fill="auto"/>
            <w:noWrap/>
            <w:vAlign w:val="center"/>
            <w:hideMark/>
          </w:tcPr>
          <w:p w14:paraId="6AACDA1F" w14:textId="77777777" w:rsidR="004449AB" w:rsidRPr="004449AB" w:rsidRDefault="004449AB" w:rsidP="004449AB">
            <w:pPr>
              <w:spacing w:after="0" w:line="240" w:lineRule="auto"/>
              <w:jc w:val="right"/>
              <w:rPr>
                <w:rFonts w:ascii="Times New Roman" w:eastAsia="Times New Roman" w:hAnsi="Times New Roman" w:cs="Times New Roman"/>
                <w:kern w:val="0"/>
                <w:sz w:val="15"/>
                <w:szCs w:val="15"/>
                <w:lang w:eastAsia="pt-BR"/>
                <w14:ligatures w14:val="none"/>
              </w:rPr>
            </w:pPr>
          </w:p>
        </w:tc>
      </w:tr>
      <w:tr w:rsidR="004449AB" w:rsidRPr="004449AB" w14:paraId="4EB7D5D9" w14:textId="77777777" w:rsidTr="00075425">
        <w:trPr>
          <w:trHeight w:val="200"/>
        </w:trPr>
        <w:tc>
          <w:tcPr>
            <w:tcW w:w="1081" w:type="pct"/>
            <w:tcBorders>
              <w:top w:val="nil"/>
              <w:left w:val="nil"/>
              <w:bottom w:val="nil"/>
              <w:right w:val="nil"/>
            </w:tcBorders>
            <w:shd w:val="clear" w:color="auto" w:fill="auto"/>
            <w:noWrap/>
            <w:vAlign w:val="bottom"/>
            <w:hideMark/>
          </w:tcPr>
          <w:p w14:paraId="120B14C9" w14:textId="77777777" w:rsidR="004449AB" w:rsidRPr="004449AB" w:rsidRDefault="004449AB" w:rsidP="004449AB">
            <w:pPr>
              <w:spacing w:after="0" w:line="240" w:lineRule="auto"/>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Depósitos Judiciais</w:t>
            </w:r>
          </w:p>
        </w:tc>
        <w:tc>
          <w:tcPr>
            <w:tcW w:w="160" w:type="pct"/>
            <w:tcBorders>
              <w:top w:val="nil"/>
              <w:left w:val="nil"/>
              <w:bottom w:val="nil"/>
              <w:right w:val="nil"/>
            </w:tcBorders>
            <w:shd w:val="clear" w:color="auto" w:fill="auto"/>
            <w:noWrap/>
            <w:vAlign w:val="center"/>
            <w:hideMark/>
          </w:tcPr>
          <w:p w14:paraId="4E293045" w14:textId="77777777" w:rsidR="004449AB" w:rsidRPr="004449AB" w:rsidRDefault="004449AB" w:rsidP="004449AB">
            <w:pPr>
              <w:spacing w:after="0" w:line="240" w:lineRule="auto"/>
              <w:jc w:val="center"/>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8</w:t>
            </w:r>
          </w:p>
        </w:tc>
        <w:tc>
          <w:tcPr>
            <w:tcW w:w="455" w:type="pct"/>
            <w:tcBorders>
              <w:top w:val="nil"/>
              <w:left w:val="nil"/>
              <w:bottom w:val="nil"/>
              <w:right w:val="nil"/>
            </w:tcBorders>
            <w:shd w:val="clear" w:color="auto" w:fill="auto"/>
            <w:noWrap/>
            <w:vAlign w:val="center"/>
            <w:hideMark/>
          </w:tcPr>
          <w:p w14:paraId="1D2DAB53"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45.542 </w:t>
            </w:r>
          </w:p>
        </w:tc>
        <w:tc>
          <w:tcPr>
            <w:tcW w:w="49" w:type="pct"/>
            <w:tcBorders>
              <w:top w:val="nil"/>
              <w:left w:val="nil"/>
              <w:bottom w:val="nil"/>
              <w:right w:val="nil"/>
            </w:tcBorders>
            <w:shd w:val="clear" w:color="auto" w:fill="auto"/>
            <w:noWrap/>
            <w:vAlign w:val="bottom"/>
            <w:hideMark/>
          </w:tcPr>
          <w:p w14:paraId="7C1243F9"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455" w:type="pct"/>
            <w:tcBorders>
              <w:top w:val="nil"/>
              <w:left w:val="nil"/>
              <w:bottom w:val="nil"/>
              <w:right w:val="nil"/>
            </w:tcBorders>
            <w:shd w:val="clear" w:color="auto" w:fill="auto"/>
            <w:noWrap/>
            <w:vAlign w:val="center"/>
            <w:hideMark/>
          </w:tcPr>
          <w:p w14:paraId="63C6A9D5"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41.311 </w:t>
            </w:r>
          </w:p>
        </w:tc>
        <w:tc>
          <w:tcPr>
            <w:tcW w:w="49" w:type="pct"/>
            <w:tcBorders>
              <w:top w:val="nil"/>
              <w:left w:val="nil"/>
              <w:bottom w:val="nil"/>
              <w:right w:val="nil"/>
            </w:tcBorders>
            <w:shd w:val="clear" w:color="auto" w:fill="auto"/>
            <w:noWrap/>
            <w:vAlign w:val="center"/>
            <w:hideMark/>
          </w:tcPr>
          <w:p w14:paraId="576E2C51"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1488" w:type="pct"/>
            <w:tcBorders>
              <w:top w:val="nil"/>
              <w:left w:val="nil"/>
              <w:bottom w:val="nil"/>
              <w:right w:val="nil"/>
            </w:tcBorders>
            <w:shd w:val="clear" w:color="auto" w:fill="auto"/>
            <w:noWrap/>
            <w:vAlign w:val="bottom"/>
            <w:hideMark/>
          </w:tcPr>
          <w:p w14:paraId="38A6F465" w14:textId="77777777" w:rsidR="004449AB" w:rsidRPr="004449AB" w:rsidRDefault="004449AB" w:rsidP="004449AB">
            <w:pPr>
              <w:spacing w:after="0" w:line="240" w:lineRule="auto"/>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Empréstimos e Financiamentos</w:t>
            </w:r>
          </w:p>
        </w:tc>
        <w:tc>
          <w:tcPr>
            <w:tcW w:w="160" w:type="pct"/>
            <w:tcBorders>
              <w:top w:val="nil"/>
              <w:left w:val="nil"/>
              <w:bottom w:val="nil"/>
              <w:right w:val="nil"/>
            </w:tcBorders>
            <w:shd w:val="clear" w:color="auto" w:fill="auto"/>
            <w:noWrap/>
            <w:vAlign w:val="center"/>
            <w:hideMark/>
          </w:tcPr>
          <w:p w14:paraId="77FA9FC7" w14:textId="77777777" w:rsidR="004449AB" w:rsidRPr="004449AB" w:rsidRDefault="004449AB" w:rsidP="004449AB">
            <w:pPr>
              <w:spacing w:after="0" w:line="240" w:lineRule="auto"/>
              <w:jc w:val="center"/>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24.1</w:t>
            </w:r>
          </w:p>
        </w:tc>
        <w:tc>
          <w:tcPr>
            <w:tcW w:w="502" w:type="pct"/>
            <w:tcBorders>
              <w:top w:val="nil"/>
              <w:left w:val="nil"/>
              <w:bottom w:val="nil"/>
              <w:right w:val="nil"/>
            </w:tcBorders>
            <w:shd w:val="clear" w:color="auto" w:fill="auto"/>
            <w:noWrap/>
            <w:vAlign w:val="center"/>
            <w:hideMark/>
          </w:tcPr>
          <w:p w14:paraId="64D0945F"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44.892 </w:t>
            </w:r>
          </w:p>
        </w:tc>
        <w:tc>
          <w:tcPr>
            <w:tcW w:w="49" w:type="pct"/>
            <w:tcBorders>
              <w:top w:val="nil"/>
              <w:left w:val="nil"/>
              <w:bottom w:val="nil"/>
              <w:right w:val="nil"/>
            </w:tcBorders>
            <w:shd w:val="clear" w:color="auto" w:fill="auto"/>
            <w:noWrap/>
            <w:vAlign w:val="bottom"/>
            <w:hideMark/>
          </w:tcPr>
          <w:p w14:paraId="30D8DCC0"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502" w:type="pct"/>
            <w:tcBorders>
              <w:top w:val="nil"/>
              <w:left w:val="nil"/>
              <w:bottom w:val="nil"/>
              <w:right w:val="nil"/>
            </w:tcBorders>
            <w:shd w:val="clear" w:color="auto" w:fill="auto"/>
            <w:noWrap/>
            <w:vAlign w:val="center"/>
            <w:hideMark/>
          </w:tcPr>
          <w:p w14:paraId="0A997C3B"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89.635 </w:t>
            </w:r>
          </w:p>
        </w:tc>
        <w:tc>
          <w:tcPr>
            <w:tcW w:w="49" w:type="pct"/>
            <w:tcBorders>
              <w:top w:val="nil"/>
              <w:left w:val="nil"/>
              <w:bottom w:val="nil"/>
              <w:right w:val="nil"/>
            </w:tcBorders>
            <w:shd w:val="clear" w:color="auto" w:fill="auto"/>
            <w:noWrap/>
            <w:vAlign w:val="bottom"/>
            <w:hideMark/>
          </w:tcPr>
          <w:p w14:paraId="3D3FAC0A"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r>
      <w:tr w:rsidR="004449AB" w:rsidRPr="004449AB" w14:paraId="4022D1D5" w14:textId="77777777" w:rsidTr="00075425">
        <w:trPr>
          <w:trHeight w:val="200"/>
        </w:trPr>
        <w:tc>
          <w:tcPr>
            <w:tcW w:w="1081" w:type="pct"/>
            <w:tcBorders>
              <w:top w:val="nil"/>
              <w:left w:val="nil"/>
              <w:bottom w:val="nil"/>
              <w:right w:val="nil"/>
            </w:tcBorders>
            <w:shd w:val="clear" w:color="auto" w:fill="auto"/>
            <w:noWrap/>
            <w:vAlign w:val="center"/>
            <w:hideMark/>
          </w:tcPr>
          <w:p w14:paraId="7D93B3FB" w14:textId="77777777" w:rsidR="004449AB" w:rsidRPr="004449AB" w:rsidRDefault="004449AB" w:rsidP="004449AB">
            <w:pPr>
              <w:spacing w:after="0" w:line="240" w:lineRule="auto"/>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Dividendos a Receber</w:t>
            </w:r>
          </w:p>
        </w:tc>
        <w:tc>
          <w:tcPr>
            <w:tcW w:w="160" w:type="pct"/>
            <w:tcBorders>
              <w:top w:val="nil"/>
              <w:left w:val="nil"/>
              <w:bottom w:val="nil"/>
              <w:right w:val="nil"/>
            </w:tcBorders>
            <w:shd w:val="clear" w:color="auto" w:fill="auto"/>
            <w:noWrap/>
            <w:vAlign w:val="center"/>
            <w:hideMark/>
          </w:tcPr>
          <w:p w14:paraId="266C8F55" w14:textId="77777777" w:rsidR="004449AB" w:rsidRPr="004449AB" w:rsidRDefault="004449AB" w:rsidP="004449AB">
            <w:pPr>
              <w:spacing w:after="0" w:line="240" w:lineRule="auto"/>
              <w:jc w:val="center"/>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11</w:t>
            </w:r>
          </w:p>
        </w:tc>
        <w:tc>
          <w:tcPr>
            <w:tcW w:w="455" w:type="pct"/>
            <w:tcBorders>
              <w:top w:val="nil"/>
              <w:left w:val="nil"/>
              <w:bottom w:val="nil"/>
              <w:right w:val="nil"/>
            </w:tcBorders>
            <w:shd w:val="clear" w:color="auto" w:fill="auto"/>
            <w:noWrap/>
            <w:vAlign w:val="center"/>
            <w:hideMark/>
          </w:tcPr>
          <w:p w14:paraId="2DC38021"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5.456 </w:t>
            </w:r>
          </w:p>
        </w:tc>
        <w:tc>
          <w:tcPr>
            <w:tcW w:w="49" w:type="pct"/>
            <w:tcBorders>
              <w:top w:val="nil"/>
              <w:left w:val="nil"/>
              <w:bottom w:val="nil"/>
              <w:right w:val="nil"/>
            </w:tcBorders>
            <w:shd w:val="clear" w:color="auto" w:fill="auto"/>
            <w:noWrap/>
            <w:vAlign w:val="bottom"/>
            <w:hideMark/>
          </w:tcPr>
          <w:p w14:paraId="40173A12"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455" w:type="pct"/>
            <w:tcBorders>
              <w:top w:val="nil"/>
              <w:left w:val="nil"/>
              <w:bottom w:val="nil"/>
              <w:right w:val="nil"/>
            </w:tcBorders>
            <w:shd w:val="clear" w:color="auto" w:fill="auto"/>
            <w:noWrap/>
            <w:vAlign w:val="center"/>
            <w:hideMark/>
          </w:tcPr>
          <w:p w14:paraId="561B9456"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5.456 </w:t>
            </w:r>
          </w:p>
        </w:tc>
        <w:tc>
          <w:tcPr>
            <w:tcW w:w="49" w:type="pct"/>
            <w:tcBorders>
              <w:top w:val="nil"/>
              <w:left w:val="nil"/>
              <w:bottom w:val="nil"/>
              <w:right w:val="nil"/>
            </w:tcBorders>
            <w:shd w:val="clear" w:color="auto" w:fill="auto"/>
            <w:noWrap/>
            <w:vAlign w:val="center"/>
            <w:hideMark/>
          </w:tcPr>
          <w:p w14:paraId="7B16923D"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1488" w:type="pct"/>
            <w:tcBorders>
              <w:top w:val="nil"/>
              <w:left w:val="nil"/>
              <w:bottom w:val="nil"/>
              <w:right w:val="nil"/>
            </w:tcBorders>
            <w:shd w:val="clear" w:color="auto" w:fill="auto"/>
            <w:noWrap/>
            <w:vAlign w:val="bottom"/>
            <w:hideMark/>
          </w:tcPr>
          <w:p w14:paraId="2BF516B0" w14:textId="77777777" w:rsidR="004449AB" w:rsidRPr="004449AB" w:rsidRDefault="004449AB" w:rsidP="004449AB">
            <w:pPr>
              <w:spacing w:after="0" w:line="240" w:lineRule="auto"/>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Operações de Arrendamento Mercantil Financeiro</w:t>
            </w:r>
          </w:p>
        </w:tc>
        <w:tc>
          <w:tcPr>
            <w:tcW w:w="160" w:type="pct"/>
            <w:tcBorders>
              <w:top w:val="nil"/>
              <w:left w:val="nil"/>
              <w:bottom w:val="nil"/>
              <w:right w:val="nil"/>
            </w:tcBorders>
            <w:shd w:val="clear" w:color="auto" w:fill="auto"/>
            <w:noWrap/>
            <w:vAlign w:val="center"/>
            <w:hideMark/>
          </w:tcPr>
          <w:p w14:paraId="74742065" w14:textId="77777777" w:rsidR="004449AB" w:rsidRPr="004449AB" w:rsidRDefault="004449AB" w:rsidP="004449AB">
            <w:pPr>
              <w:spacing w:after="0" w:line="240" w:lineRule="auto"/>
              <w:jc w:val="center"/>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24.2</w:t>
            </w:r>
          </w:p>
        </w:tc>
        <w:tc>
          <w:tcPr>
            <w:tcW w:w="502" w:type="pct"/>
            <w:tcBorders>
              <w:top w:val="nil"/>
              <w:left w:val="nil"/>
              <w:bottom w:val="nil"/>
              <w:right w:val="nil"/>
            </w:tcBorders>
            <w:shd w:val="clear" w:color="auto" w:fill="auto"/>
            <w:noWrap/>
            <w:vAlign w:val="center"/>
            <w:hideMark/>
          </w:tcPr>
          <w:p w14:paraId="260BC751"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8.797 </w:t>
            </w:r>
          </w:p>
        </w:tc>
        <w:tc>
          <w:tcPr>
            <w:tcW w:w="49" w:type="pct"/>
            <w:tcBorders>
              <w:top w:val="nil"/>
              <w:left w:val="nil"/>
              <w:bottom w:val="nil"/>
              <w:right w:val="nil"/>
            </w:tcBorders>
            <w:shd w:val="clear" w:color="auto" w:fill="auto"/>
            <w:noWrap/>
            <w:vAlign w:val="center"/>
            <w:hideMark/>
          </w:tcPr>
          <w:p w14:paraId="2CEA3562"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502" w:type="pct"/>
            <w:tcBorders>
              <w:top w:val="nil"/>
              <w:left w:val="nil"/>
              <w:bottom w:val="nil"/>
              <w:right w:val="nil"/>
            </w:tcBorders>
            <w:shd w:val="clear" w:color="auto" w:fill="auto"/>
            <w:noWrap/>
            <w:vAlign w:val="center"/>
            <w:hideMark/>
          </w:tcPr>
          <w:p w14:paraId="300ECAF7"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11.869 </w:t>
            </w:r>
          </w:p>
        </w:tc>
        <w:tc>
          <w:tcPr>
            <w:tcW w:w="49" w:type="pct"/>
            <w:tcBorders>
              <w:top w:val="nil"/>
              <w:left w:val="nil"/>
              <w:bottom w:val="nil"/>
              <w:right w:val="nil"/>
            </w:tcBorders>
            <w:shd w:val="clear" w:color="auto" w:fill="auto"/>
            <w:noWrap/>
            <w:vAlign w:val="center"/>
            <w:hideMark/>
          </w:tcPr>
          <w:p w14:paraId="428D41D1"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r>
      <w:tr w:rsidR="004449AB" w:rsidRPr="004449AB" w14:paraId="5DD17B41" w14:textId="77777777" w:rsidTr="00075425">
        <w:trPr>
          <w:trHeight w:val="200"/>
        </w:trPr>
        <w:tc>
          <w:tcPr>
            <w:tcW w:w="1081" w:type="pct"/>
            <w:tcBorders>
              <w:top w:val="nil"/>
              <w:left w:val="nil"/>
              <w:bottom w:val="nil"/>
              <w:right w:val="nil"/>
            </w:tcBorders>
            <w:shd w:val="clear" w:color="auto" w:fill="auto"/>
            <w:noWrap/>
            <w:vAlign w:val="bottom"/>
            <w:hideMark/>
          </w:tcPr>
          <w:p w14:paraId="12D8A93B" w14:textId="77777777" w:rsidR="004449AB" w:rsidRPr="004449AB" w:rsidRDefault="004449AB" w:rsidP="004449AB">
            <w:pPr>
              <w:spacing w:after="0" w:line="240" w:lineRule="auto"/>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Superávit - Previdência Privada</w:t>
            </w:r>
          </w:p>
        </w:tc>
        <w:tc>
          <w:tcPr>
            <w:tcW w:w="160" w:type="pct"/>
            <w:tcBorders>
              <w:top w:val="nil"/>
              <w:left w:val="nil"/>
              <w:bottom w:val="nil"/>
              <w:right w:val="nil"/>
            </w:tcBorders>
            <w:shd w:val="clear" w:color="auto" w:fill="auto"/>
            <w:noWrap/>
            <w:vAlign w:val="center"/>
            <w:hideMark/>
          </w:tcPr>
          <w:p w14:paraId="1CE0EF8A" w14:textId="77777777" w:rsidR="004449AB" w:rsidRPr="004449AB" w:rsidRDefault="004449AB" w:rsidP="004449AB">
            <w:pPr>
              <w:spacing w:after="0" w:line="240" w:lineRule="auto"/>
              <w:jc w:val="center"/>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9</w:t>
            </w:r>
          </w:p>
        </w:tc>
        <w:tc>
          <w:tcPr>
            <w:tcW w:w="455" w:type="pct"/>
            <w:tcBorders>
              <w:top w:val="nil"/>
              <w:left w:val="nil"/>
              <w:bottom w:val="nil"/>
              <w:right w:val="nil"/>
            </w:tcBorders>
            <w:shd w:val="clear" w:color="auto" w:fill="auto"/>
            <w:noWrap/>
            <w:vAlign w:val="bottom"/>
            <w:hideMark/>
          </w:tcPr>
          <w:p w14:paraId="7C522FF6" w14:textId="77777777" w:rsidR="004449AB" w:rsidRPr="004449AB" w:rsidRDefault="004449AB" w:rsidP="004449AB">
            <w:pPr>
              <w:spacing w:after="0" w:line="240" w:lineRule="auto"/>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15.726 </w:t>
            </w:r>
          </w:p>
        </w:tc>
        <w:tc>
          <w:tcPr>
            <w:tcW w:w="49" w:type="pct"/>
            <w:tcBorders>
              <w:top w:val="nil"/>
              <w:left w:val="nil"/>
              <w:bottom w:val="nil"/>
              <w:right w:val="nil"/>
            </w:tcBorders>
            <w:shd w:val="clear" w:color="auto" w:fill="auto"/>
            <w:noWrap/>
            <w:vAlign w:val="bottom"/>
            <w:hideMark/>
          </w:tcPr>
          <w:p w14:paraId="7806DE5C" w14:textId="77777777" w:rsidR="004449AB" w:rsidRPr="004449AB" w:rsidRDefault="004449AB" w:rsidP="004449AB">
            <w:pPr>
              <w:spacing w:after="0" w:line="240" w:lineRule="auto"/>
              <w:rPr>
                <w:rFonts w:ascii="Arial" w:eastAsia="Times New Roman" w:hAnsi="Arial" w:cs="Arial"/>
                <w:color w:val="000000"/>
                <w:kern w:val="0"/>
                <w:sz w:val="15"/>
                <w:szCs w:val="15"/>
                <w:lang w:eastAsia="pt-BR"/>
                <w14:ligatures w14:val="none"/>
              </w:rPr>
            </w:pPr>
          </w:p>
        </w:tc>
        <w:tc>
          <w:tcPr>
            <w:tcW w:w="455" w:type="pct"/>
            <w:tcBorders>
              <w:top w:val="nil"/>
              <w:left w:val="nil"/>
              <w:bottom w:val="nil"/>
              <w:right w:val="nil"/>
            </w:tcBorders>
            <w:shd w:val="clear" w:color="auto" w:fill="auto"/>
            <w:noWrap/>
            <w:vAlign w:val="center"/>
            <w:hideMark/>
          </w:tcPr>
          <w:p w14:paraId="3A8D6223"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   </w:t>
            </w:r>
          </w:p>
        </w:tc>
        <w:tc>
          <w:tcPr>
            <w:tcW w:w="49" w:type="pct"/>
            <w:tcBorders>
              <w:top w:val="nil"/>
              <w:left w:val="nil"/>
              <w:bottom w:val="nil"/>
              <w:right w:val="nil"/>
            </w:tcBorders>
            <w:shd w:val="clear" w:color="auto" w:fill="auto"/>
            <w:noWrap/>
            <w:vAlign w:val="center"/>
            <w:hideMark/>
          </w:tcPr>
          <w:p w14:paraId="5CFAB626"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1488" w:type="pct"/>
            <w:tcBorders>
              <w:top w:val="nil"/>
              <w:left w:val="nil"/>
              <w:bottom w:val="nil"/>
              <w:right w:val="nil"/>
            </w:tcBorders>
            <w:shd w:val="clear" w:color="auto" w:fill="auto"/>
            <w:noWrap/>
            <w:vAlign w:val="bottom"/>
            <w:hideMark/>
          </w:tcPr>
          <w:p w14:paraId="192ABD0E" w14:textId="77777777" w:rsidR="004449AB" w:rsidRPr="004449AB" w:rsidRDefault="004449AB" w:rsidP="004449AB">
            <w:pPr>
              <w:spacing w:after="0" w:line="240" w:lineRule="auto"/>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Provisão para Riscos Trabalhistas, Cíveis e Fiscais</w:t>
            </w:r>
          </w:p>
        </w:tc>
        <w:tc>
          <w:tcPr>
            <w:tcW w:w="160" w:type="pct"/>
            <w:tcBorders>
              <w:top w:val="nil"/>
              <w:left w:val="nil"/>
              <w:bottom w:val="nil"/>
              <w:right w:val="nil"/>
            </w:tcBorders>
            <w:shd w:val="clear" w:color="auto" w:fill="auto"/>
            <w:noWrap/>
            <w:vAlign w:val="center"/>
            <w:hideMark/>
          </w:tcPr>
          <w:p w14:paraId="17A36F1F" w14:textId="77777777" w:rsidR="004449AB" w:rsidRPr="004449AB" w:rsidRDefault="004449AB" w:rsidP="004449AB">
            <w:pPr>
              <w:spacing w:after="0" w:line="240" w:lineRule="auto"/>
              <w:jc w:val="center"/>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21</w:t>
            </w:r>
          </w:p>
        </w:tc>
        <w:tc>
          <w:tcPr>
            <w:tcW w:w="502" w:type="pct"/>
            <w:tcBorders>
              <w:top w:val="nil"/>
              <w:left w:val="nil"/>
              <w:bottom w:val="nil"/>
              <w:right w:val="nil"/>
            </w:tcBorders>
            <w:shd w:val="clear" w:color="auto" w:fill="auto"/>
            <w:noWrap/>
            <w:vAlign w:val="center"/>
            <w:hideMark/>
          </w:tcPr>
          <w:p w14:paraId="73EAB21B"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54.590 </w:t>
            </w:r>
          </w:p>
        </w:tc>
        <w:tc>
          <w:tcPr>
            <w:tcW w:w="49" w:type="pct"/>
            <w:tcBorders>
              <w:top w:val="nil"/>
              <w:left w:val="nil"/>
              <w:bottom w:val="nil"/>
              <w:right w:val="nil"/>
            </w:tcBorders>
            <w:shd w:val="clear" w:color="auto" w:fill="auto"/>
            <w:noWrap/>
            <w:vAlign w:val="center"/>
            <w:hideMark/>
          </w:tcPr>
          <w:p w14:paraId="0DBF9858"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502" w:type="pct"/>
            <w:tcBorders>
              <w:top w:val="nil"/>
              <w:left w:val="nil"/>
              <w:bottom w:val="nil"/>
              <w:right w:val="nil"/>
            </w:tcBorders>
            <w:shd w:val="clear" w:color="auto" w:fill="auto"/>
            <w:noWrap/>
            <w:vAlign w:val="center"/>
            <w:hideMark/>
          </w:tcPr>
          <w:p w14:paraId="0A44160E"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51.285 </w:t>
            </w:r>
          </w:p>
        </w:tc>
        <w:tc>
          <w:tcPr>
            <w:tcW w:w="49" w:type="pct"/>
            <w:tcBorders>
              <w:top w:val="nil"/>
              <w:left w:val="nil"/>
              <w:bottom w:val="nil"/>
              <w:right w:val="nil"/>
            </w:tcBorders>
            <w:shd w:val="clear" w:color="auto" w:fill="auto"/>
            <w:noWrap/>
            <w:vAlign w:val="bottom"/>
            <w:hideMark/>
          </w:tcPr>
          <w:p w14:paraId="710EBF65"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r>
      <w:tr w:rsidR="004449AB" w:rsidRPr="004449AB" w14:paraId="63F4000A" w14:textId="77777777" w:rsidTr="00075425">
        <w:trPr>
          <w:trHeight w:val="200"/>
        </w:trPr>
        <w:tc>
          <w:tcPr>
            <w:tcW w:w="1081" w:type="pct"/>
            <w:tcBorders>
              <w:top w:val="nil"/>
              <w:left w:val="nil"/>
              <w:bottom w:val="nil"/>
              <w:right w:val="nil"/>
            </w:tcBorders>
            <w:shd w:val="clear" w:color="auto" w:fill="auto"/>
            <w:noWrap/>
            <w:vAlign w:val="center"/>
            <w:hideMark/>
          </w:tcPr>
          <w:p w14:paraId="4872464D" w14:textId="77777777" w:rsidR="004449AB" w:rsidRPr="004449AB" w:rsidRDefault="004449AB" w:rsidP="004449AB">
            <w:pPr>
              <w:spacing w:after="0" w:line="240" w:lineRule="auto"/>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Outros Ativos Realizáveis</w:t>
            </w:r>
          </w:p>
        </w:tc>
        <w:tc>
          <w:tcPr>
            <w:tcW w:w="160" w:type="pct"/>
            <w:tcBorders>
              <w:top w:val="nil"/>
              <w:left w:val="nil"/>
              <w:bottom w:val="nil"/>
              <w:right w:val="nil"/>
            </w:tcBorders>
            <w:shd w:val="clear" w:color="auto" w:fill="auto"/>
            <w:noWrap/>
            <w:vAlign w:val="center"/>
            <w:hideMark/>
          </w:tcPr>
          <w:p w14:paraId="62FFE212" w14:textId="77777777" w:rsidR="004449AB" w:rsidRPr="004449AB" w:rsidRDefault="004449AB" w:rsidP="004449AB">
            <w:pPr>
              <w:spacing w:after="0" w:line="240" w:lineRule="auto"/>
              <w:jc w:val="center"/>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10.2</w:t>
            </w:r>
          </w:p>
        </w:tc>
        <w:tc>
          <w:tcPr>
            <w:tcW w:w="455" w:type="pct"/>
            <w:tcBorders>
              <w:top w:val="nil"/>
              <w:left w:val="nil"/>
              <w:bottom w:val="nil"/>
              <w:right w:val="nil"/>
            </w:tcBorders>
            <w:shd w:val="clear" w:color="auto" w:fill="auto"/>
            <w:noWrap/>
            <w:vAlign w:val="center"/>
            <w:hideMark/>
          </w:tcPr>
          <w:p w14:paraId="0D90AE2D"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22.569 </w:t>
            </w:r>
          </w:p>
        </w:tc>
        <w:tc>
          <w:tcPr>
            <w:tcW w:w="49" w:type="pct"/>
            <w:tcBorders>
              <w:top w:val="nil"/>
              <w:left w:val="nil"/>
              <w:bottom w:val="nil"/>
              <w:right w:val="nil"/>
            </w:tcBorders>
            <w:shd w:val="clear" w:color="auto" w:fill="auto"/>
            <w:noWrap/>
            <w:vAlign w:val="center"/>
            <w:hideMark/>
          </w:tcPr>
          <w:p w14:paraId="02769B77"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455" w:type="pct"/>
            <w:tcBorders>
              <w:top w:val="nil"/>
              <w:left w:val="nil"/>
              <w:bottom w:val="nil"/>
              <w:right w:val="nil"/>
            </w:tcBorders>
            <w:shd w:val="clear" w:color="auto" w:fill="auto"/>
            <w:noWrap/>
            <w:vAlign w:val="center"/>
            <w:hideMark/>
          </w:tcPr>
          <w:p w14:paraId="1B36D0AA"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23.942 </w:t>
            </w:r>
          </w:p>
        </w:tc>
        <w:tc>
          <w:tcPr>
            <w:tcW w:w="49" w:type="pct"/>
            <w:tcBorders>
              <w:top w:val="nil"/>
              <w:left w:val="nil"/>
              <w:bottom w:val="nil"/>
              <w:right w:val="nil"/>
            </w:tcBorders>
            <w:shd w:val="clear" w:color="auto" w:fill="auto"/>
            <w:noWrap/>
            <w:vAlign w:val="center"/>
            <w:hideMark/>
          </w:tcPr>
          <w:p w14:paraId="20EFD896"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1488" w:type="pct"/>
            <w:tcBorders>
              <w:top w:val="nil"/>
              <w:left w:val="nil"/>
              <w:bottom w:val="nil"/>
              <w:right w:val="nil"/>
            </w:tcBorders>
            <w:shd w:val="clear" w:color="auto" w:fill="auto"/>
            <w:noWrap/>
            <w:vAlign w:val="center"/>
            <w:hideMark/>
          </w:tcPr>
          <w:p w14:paraId="2C54C045" w14:textId="77777777" w:rsidR="004449AB" w:rsidRPr="004449AB" w:rsidRDefault="004449AB" w:rsidP="004449AB">
            <w:pPr>
              <w:spacing w:after="0" w:line="240" w:lineRule="auto"/>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Credores por Perdas Judiciais</w:t>
            </w:r>
          </w:p>
        </w:tc>
        <w:tc>
          <w:tcPr>
            <w:tcW w:w="160" w:type="pct"/>
            <w:tcBorders>
              <w:top w:val="nil"/>
              <w:left w:val="nil"/>
              <w:bottom w:val="nil"/>
              <w:right w:val="nil"/>
            </w:tcBorders>
            <w:shd w:val="clear" w:color="auto" w:fill="auto"/>
            <w:noWrap/>
            <w:vAlign w:val="center"/>
            <w:hideMark/>
          </w:tcPr>
          <w:p w14:paraId="4A60DF5F" w14:textId="77777777" w:rsidR="004449AB" w:rsidRPr="004449AB" w:rsidRDefault="004449AB" w:rsidP="004449AB">
            <w:pPr>
              <w:spacing w:after="0" w:line="240" w:lineRule="auto"/>
              <w:jc w:val="center"/>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22</w:t>
            </w:r>
          </w:p>
        </w:tc>
        <w:tc>
          <w:tcPr>
            <w:tcW w:w="502" w:type="pct"/>
            <w:tcBorders>
              <w:top w:val="nil"/>
              <w:left w:val="nil"/>
              <w:bottom w:val="nil"/>
              <w:right w:val="nil"/>
            </w:tcBorders>
            <w:shd w:val="clear" w:color="auto" w:fill="auto"/>
            <w:noWrap/>
            <w:vAlign w:val="center"/>
            <w:hideMark/>
          </w:tcPr>
          <w:p w14:paraId="01662438"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116.004 </w:t>
            </w:r>
          </w:p>
        </w:tc>
        <w:tc>
          <w:tcPr>
            <w:tcW w:w="49" w:type="pct"/>
            <w:tcBorders>
              <w:top w:val="nil"/>
              <w:left w:val="nil"/>
              <w:bottom w:val="nil"/>
              <w:right w:val="nil"/>
            </w:tcBorders>
            <w:shd w:val="clear" w:color="auto" w:fill="auto"/>
            <w:noWrap/>
            <w:vAlign w:val="center"/>
            <w:hideMark/>
          </w:tcPr>
          <w:p w14:paraId="4688309D"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502" w:type="pct"/>
            <w:tcBorders>
              <w:top w:val="nil"/>
              <w:left w:val="nil"/>
              <w:bottom w:val="nil"/>
              <w:right w:val="nil"/>
            </w:tcBorders>
            <w:shd w:val="clear" w:color="auto" w:fill="auto"/>
            <w:noWrap/>
            <w:vAlign w:val="center"/>
            <w:hideMark/>
          </w:tcPr>
          <w:p w14:paraId="71BDE0AF"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137.253 </w:t>
            </w:r>
          </w:p>
        </w:tc>
        <w:tc>
          <w:tcPr>
            <w:tcW w:w="49" w:type="pct"/>
            <w:tcBorders>
              <w:top w:val="nil"/>
              <w:left w:val="nil"/>
              <w:bottom w:val="nil"/>
              <w:right w:val="nil"/>
            </w:tcBorders>
            <w:shd w:val="clear" w:color="auto" w:fill="auto"/>
            <w:noWrap/>
            <w:vAlign w:val="bottom"/>
            <w:hideMark/>
          </w:tcPr>
          <w:p w14:paraId="1C61833A"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r>
      <w:tr w:rsidR="004449AB" w:rsidRPr="004449AB" w14:paraId="0E2F6696" w14:textId="77777777" w:rsidTr="00075425">
        <w:trPr>
          <w:trHeight w:val="200"/>
        </w:trPr>
        <w:tc>
          <w:tcPr>
            <w:tcW w:w="1081" w:type="pct"/>
            <w:tcBorders>
              <w:top w:val="nil"/>
              <w:left w:val="nil"/>
              <w:bottom w:val="nil"/>
              <w:right w:val="nil"/>
            </w:tcBorders>
            <w:shd w:val="clear" w:color="auto" w:fill="auto"/>
            <w:noWrap/>
            <w:vAlign w:val="center"/>
            <w:hideMark/>
          </w:tcPr>
          <w:p w14:paraId="22B273C6"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160" w:type="pct"/>
            <w:tcBorders>
              <w:top w:val="nil"/>
              <w:left w:val="nil"/>
              <w:bottom w:val="nil"/>
              <w:right w:val="nil"/>
            </w:tcBorders>
            <w:shd w:val="clear" w:color="auto" w:fill="auto"/>
            <w:noWrap/>
            <w:vAlign w:val="center"/>
            <w:hideMark/>
          </w:tcPr>
          <w:p w14:paraId="33103B3D"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55" w:type="pct"/>
            <w:tcBorders>
              <w:top w:val="single" w:sz="4" w:space="0" w:color="auto"/>
              <w:left w:val="nil"/>
              <w:bottom w:val="single" w:sz="4" w:space="0" w:color="auto"/>
              <w:right w:val="nil"/>
            </w:tcBorders>
            <w:shd w:val="clear" w:color="auto" w:fill="auto"/>
            <w:noWrap/>
            <w:vAlign w:val="center"/>
            <w:hideMark/>
          </w:tcPr>
          <w:p w14:paraId="10BD5181" w14:textId="77777777" w:rsidR="004449AB" w:rsidRPr="004449AB" w:rsidRDefault="004449AB" w:rsidP="004449AB">
            <w:pPr>
              <w:spacing w:after="0" w:line="240" w:lineRule="auto"/>
              <w:jc w:val="right"/>
              <w:rPr>
                <w:rFonts w:ascii="Arial" w:eastAsia="Times New Roman" w:hAnsi="Arial" w:cs="Arial"/>
                <w:b/>
                <w:bCs/>
                <w:color w:val="000000"/>
                <w:kern w:val="0"/>
                <w:sz w:val="15"/>
                <w:szCs w:val="15"/>
                <w:lang w:eastAsia="pt-BR"/>
                <w14:ligatures w14:val="none"/>
              </w:rPr>
            </w:pPr>
            <w:r w:rsidRPr="004449AB">
              <w:rPr>
                <w:rFonts w:ascii="Arial" w:eastAsia="Times New Roman" w:hAnsi="Arial" w:cs="Arial"/>
                <w:b/>
                <w:bCs/>
                <w:color w:val="000000"/>
                <w:kern w:val="0"/>
                <w:sz w:val="15"/>
                <w:szCs w:val="15"/>
                <w:lang w:eastAsia="pt-BR"/>
                <w14:ligatures w14:val="none"/>
              </w:rPr>
              <w:t xml:space="preserve">                181.609 </w:t>
            </w:r>
          </w:p>
        </w:tc>
        <w:tc>
          <w:tcPr>
            <w:tcW w:w="49" w:type="pct"/>
            <w:tcBorders>
              <w:top w:val="nil"/>
              <w:left w:val="nil"/>
              <w:bottom w:val="nil"/>
              <w:right w:val="nil"/>
            </w:tcBorders>
            <w:shd w:val="clear" w:color="auto" w:fill="auto"/>
            <w:noWrap/>
            <w:vAlign w:val="bottom"/>
            <w:hideMark/>
          </w:tcPr>
          <w:p w14:paraId="49EC7A22" w14:textId="77777777" w:rsidR="004449AB" w:rsidRPr="004449AB" w:rsidRDefault="004449AB" w:rsidP="004449AB">
            <w:pPr>
              <w:spacing w:after="0" w:line="240" w:lineRule="auto"/>
              <w:jc w:val="right"/>
              <w:rPr>
                <w:rFonts w:ascii="Arial" w:eastAsia="Times New Roman" w:hAnsi="Arial" w:cs="Arial"/>
                <w:b/>
                <w:bCs/>
                <w:color w:val="000000"/>
                <w:kern w:val="0"/>
                <w:sz w:val="15"/>
                <w:szCs w:val="15"/>
                <w:lang w:eastAsia="pt-BR"/>
                <w14:ligatures w14:val="none"/>
              </w:rPr>
            </w:pPr>
          </w:p>
        </w:tc>
        <w:tc>
          <w:tcPr>
            <w:tcW w:w="455" w:type="pct"/>
            <w:tcBorders>
              <w:top w:val="single" w:sz="4" w:space="0" w:color="auto"/>
              <w:left w:val="nil"/>
              <w:bottom w:val="single" w:sz="4" w:space="0" w:color="auto"/>
              <w:right w:val="nil"/>
            </w:tcBorders>
            <w:shd w:val="clear" w:color="auto" w:fill="auto"/>
            <w:noWrap/>
            <w:vAlign w:val="center"/>
            <w:hideMark/>
          </w:tcPr>
          <w:p w14:paraId="10165401" w14:textId="77777777" w:rsidR="004449AB" w:rsidRPr="004449AB" w:rsidRDefault="004449AB" w:rsidP="004449AB">
            <w:pPr>
              <w:spacing w:after="0" w:line="240" w:lineRule="auto"/>
              <w:jc w:val="right"/>
              <w:rPr>
                <w:rFonts w:ascii="Arial" w:eastAsia="Times New Roman" w:hAnsi="Arial" w:cs="Arial"/>
                <w:b/>
                <w:bCs/>
                <w:color w:val="000000"/>
                <w:kern w:val="0"/>
                <w:sz w:val="15"/>
                <w:szCs w:val="15"/>
                <w:lang w:eastAsia="pt-BR"/>
                <w14:ligatures w14:val="none"/>
              </w:rPr>
            </w:pPr>
            <w:r w:rsidRPr="004449AB">
              <w:rPr>
                <w:rFonts w:ascii="Arial" w:eastAsia="Times New Roman" w:hAnsi="Arial" w:cs="Arial"/>
                <w:b/>
                <w:bCs/>
                <w:color w:val="000000"/>
                <w:kern w:val="0"/>
                <w:sz w:val="15"/>
                <w:szCs w:val="15"/>
                <w:lang w:eastAsia="pt-BR"/>
                <w14:ligatures w14:val="none"/>
              </w:rPr>
              <w:t xml:space="preserve">                152.413 </w:t>
            </w:r>
          </w:p>
        </w:tc>
        <w:tc>
          <w:tcPr>
            <w:tcW w:w="49" w:type="pct"/>
            <w:tcBorders>
              <w:top w:val="nil"/>
              <w:left w:val="nil"/>
              <w:bottom w:val="nil"/>
              <w:right w:val="nil"/>
            </w:tcBorders>
            <w:shd w:val="clear" w:color="auto" w:fill="auto"/>
            <w:noWrap/>
            <w:vAlign w:val="center"/>
            <w:hideMark/>
          </w:tcPr>
          <w:p w14:paraId="43A1622F" w14:textId="77777777" w:rsidR="004449AB" w:rsidRPr="004449AB" w:rsidRDefault="004449AB" w:rsidP="004449AB">
            <w:pPr>
              <w:spacing w:after="0" w:line="240" w:lineRule="auto"/>
              <w:jc w:val="right"/>
              <w:rPr>
                <w:rFonts w:ascii="Arial" w:eastAsia="Times New Roman" w:hAnsi="Arial" w:cs="Arial"/>
                <w:b/>
                <w:bCs/>
                <w:color w:val="000000"/>
                <w:kern w:val="0"/>
                <w:sz w:val="15"/>
                <w:szCs w:val="15"/>
                <w:lang w:eastAsia="pt-BR"/>
                <w14:ligatures w14:val="none"/>
              </w:rPr>
            </w:pPr>
          </w:p>
        </w:tc>
        <w:tc>
          <w:tcPr>
            <w:tcW w:w="1488" w:type="pct"/>
            <w:tcBorders>
              <w:top w:val="nil"/>
              <w:left w:val="nil"/>
              <w:bottom w:val="nil"/>
              <w:right w:val="nil"/>
            </w:tcBorders>
            <w:shd w:val="clear" w:color="auto" w:fill="auto"/>
            <w:noWrap/>
            <w:vAlign w:val="bottom"/>
            <w:hideMark/>
          </w:tcPr>
          <w:p w14:paraId="21408B47" w14:textId="77777777" w:rsidR="004449AB" w:rsidRPr="004449AB" w:rsidRDefault="004449AB" w:rsidP="004449AB">
            <w:pPr>
              <w:spacing w:after="0" w:line="240" w:lineRule="auto"/>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Provisão para Programa de Indenização por Serviços Prestados</w:t>
            </w:r>
          </w:p>
        </w:tc>
        <w:tc>
          <w:tcPr>
            <w:tcW w:w="160" w:type="pct"/>
            <w:tcBorders>
              <w:top w:val="nil"/>
              <w:left w:val="nil"/>
              <w:bottom w:val="nil"/>
              <w:right w:val="nil"/>
            </w:tcBorders>
            <w:shd w:val="clear" w:color="auto" w:fill="auto"/>
            <w:noWrap/>
            <w:vAlign w:val="center"/>
            <w:hideMark/>
          </w:tcPr>
          <w:p w14:paraId="442BF357" w14:textId="77777777" w:rsidR="004449AB" w:rsidRPr="004449AB" w:rsidRDefault="004449AB" w:rsidP="004449AB">
            <w:pPr>
              <w:spacing w:after="0" w:line="240" w:lineRule="auto"/>
              <w:jc w:val="center"/>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17</w:t>
            </w:r>
          </w:p>
        </w:tc>
        <w:tc>
          <w:tcPr>
            <w:tcW w:w="502" w:type="pct"/>
            <w:tcBorders>
              <w:top w:val="nil"/>
              <w:left w:val="nil"/>
              <w:bottom w:val="nil"/>
              <w:right w:val="nil"/>
            </w:tcBorders>
            <w:shd w:val="clear" w:color="auto" w:fill="auto"/>
            <w:noWrap/>
            <w:vAlign w:val="center"/>
            <w:hideMark/>
          </w:tcPr>
          <w:p w14:paraId="6523348F"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21.910 </w:t>
            </w:r>
          </w:p>
        </w:tc>
        <w:tc>
          <w:tcPr>
            <w:tcW w:w="49" w:type="pct"/>
            <w:tcBorders>
              <w:top w:val="nil"/>
              <w:left w:val="nil"/>
              <w:bottom w:val="nil"/>
              <w:right w:val="nil"/>
            </w:tcBorders>
            <w:shd w:val="clear" w:color="auto" w:fill="auto"/>
            <w:noWrap/>
            <w:vAlign w:val="center"/>
            <w:hideMark/>
          </w:tcPr>
          <w:p w14:paraId="12A437A1"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502" w:type="pct"/>
            <w:tcBorders>
              <w:top w:val="nil"/>
              <w:left w:val="nil"/>
              <w:bottom w:val="nil"/>
              <w:right w:val="nil"/>
            </w:tcBorders>
            <w:shd w:val="clear" w:color="auto" w:fill="auto"/>
            <w:noWrap/>
            <w:vAlign w:val="center"/>
            <w:hideMark/>
          </w:tcPr>
          <w:p w14:paraId="40F6E19F"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23.909 </w:t>
            </w:r>
          </w:p>
        </w:tc>
        <w:tc>
          <w:tcPr>
            <w:tcW w:w="49" w:type="pct"/>
            <w:tcBorders>
              <w:top w:val="nil"/>
              <w:left w:val="nil"/>
              <w:bottom w:val="nil"/>
              <w:right w:val="nil"/>
            </w:tcBorders>
            <w:shd w:val="clear" w:color="auto" w:fill="auto"/>
            <w:noWrap/>
            <w:vAlign w:val="center"/>
            <w:hideMark/>
          </w:tcPr>
          <w:p w14:paraId="5A3A6B33"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r>
      <w:tr w:rsidR="004449AB" w:rsidRPr="004449AB" w14:paraId="0AA9EC13" w14:textId="77777777" w:rsidTr="00075425">
        <w:trPr>
          <w:trHeight w:val="200"/>
        </w:trPr>
        <w:tc>
          <w:tcPr>
            <w:tcW w:w="1081" w:type="pct"/>
            <w:tcBorders>
              <w:top w:val="nil"/>
              <w:left w:val="nil"/>
              <w:bottom w:val="nil"/>
              <w:right w:val="nil"/>
            </w:tcBorders>
            <w:shd w:val="clear" w:color="auto" w:fill="auto"/>
            <w:noWrap/>
            <w:vAlign w:val="center"/>
            <w:hideMark/>
          </w:tcPr>
          <w:p w14:paraId="4B7F40EA" w14:textId="77777777" w:rsidR="004449AB" w:rsidRPr="004449AB" w:rsidRDefault="004449AB" w:rsidP="004449AB">
            <w:pPr>
              <w:spacing w:after="0" w:line="240" w:lineRule="auto"/>
              <w:jc w:val="right"/>
              <w:rPr>
                <w:rFonts w:ascii="Times New Roman" w:eastAsia="Times New Roman" w:hAnsi="Times New Roman" w:cs="Times New Roman"/>
                <w:kern w:val="0"/>
                <w:sz w:val="15"/>
                <w:szCs w:val="15"/>
                <w:lang w:eastAsia="pt-BR"/>
                <w14:ligatures w14:val="none"/>
              </w:rPr>
            </w:pPr>
          </w:p>
        </w:tc>
        <w:tc>
          <w:tcPr>
            <w:tcW w:w="160" w:type="pct"/>
            <w:tcBorders>
              <w:top w:val="nil"/>
              <w:left w:val="nil"/>
              <w:bottom w:val="nil"/>
              <w:right w:val="nil"/>
            </w:tcBorders>
            <w:shd w:val="clear" w:color="auto" w:fill="auto"/>
            <w:noWrap/>
            <w:vAlign w:val="center"/>
            <w:hideMark/>
          </w:tcPr>
          <w:p w14:paraId="6BEA223A"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55" w:type="pct"/>
            <w:tcBorders>
              <w:top w:val="nil"/>
              <w:left w:val="nil"/>
              <w:bottom w:val="nil"/>
              <w:right w:val="nil"/>
            </w:tcBorders>
            <w:shd w:val="clear" w:color="auto" w:fill="auto"/>
            <w:noWrap/>
            <w:vAlign w:val="center"/>
            <w:hideMark/>
          </w:tcPr>
          <w:p w14:paraId="10300761" w14:textId="77777777" w:rsidR="004449AB" w:rsidRPr="004449AB" w:rsidRDefault="004449AB" w:rsidP="004449AB">
            <w:pPr>
              <w:spacing w:after="0" w:line="240" w:lineRule="auto"/>
              <w:jc w:val="center"/>
              <w:rPr>
                <w:rFonts w:ascii="Times New Roman" w:eastAsia="Times New Roman" w:hAnsi="Times New Roman" w:cs="Times New Roman"/>
                <w:kern w:val="0"/>
                <w:sz w:val="15"/>
                <w:szCs w:val="15"/>
                <w:lang w:eastAsia="pt-BR"/>
                <w14:ligatures w14:val="none"/>
              </w:rPr>
            </w:pPr>
          </w:p>
        </w:tc>
        <w:tc>
          <w:tcPr>
            <w:tcW w:w="49" w:type="pct"/>
            <w:tcBorders>
              <w:top w:val="nil"/>
              <w:left w:val="nil"/>
              <w:bottom w:val="nil"/>
              <w:right w:val="nil"/>
            </w:tcBorders>
            <w:shd w:val="clear" w:color="auto" w:fill="auto"/>
            <w:noWrap/>
            <w:vAlign w:val="center"/>
            <w:hideMark/>
          </w:tcPr>
          <w:p w14:paraId="1D97D4E7" w14:textId="77777777" w:rsidR="004449AB" w:rsidRPr="004449AB" w:rsidRDefault="004449AB" w:rsidP="004449AB">
            <w:pPr>
              <w:spacing w:after="0" w:line="240" w:lineRule="auto"/>
              <w:jc w:val="right"/>
              <w:rPr>
                <w:rFonts w:ascii="Times New Roman" w:eastAsia="Times New Roman" w:hAnsi="Times New Roman" w:cs="Times New Roman"/>
                <w:kern w:val="0"/>
                <w:sz w:val="15"/>
                <w:szCs w:val="15"/>
                <w:lang w:eastAsia="pt-BR"/>
                <w14:ligatures w14:val="none"/>
              </w:rPr>
            </w:pPr>
          </w:p>
        </w:tc>
        <w:tc>
          <w:tcPr>
            <w:tcW w:w="455" w:type="pct"/>
            <w:tcBorders>
              <w:top w:val="nil"/>
              <w:left w:val="nil"/>
              <w:bottom w:val="nil"/>
              <w:right w:val="nil"/>
            </w:tcBorders>
            <w:shd w:val="clear" w:color="auto" w:fill="auto"/>
            <w:noWrap/>
            <w:vAlign w:val="center"/>
            <w:hideMark/>
          </w:tcPr>
          <w:p w14:paraId="64CF7264" w14:textId="77777777" w:rsidR="004449AB" w:rsidRPr="004449AB" w:rsidRDefault="004449AB" w:rsidP="004449AB">
            <w:pPr>
              <w:spacing w:after="0" w:line="240" w:lineRule="auto"/>
              <w:jc w:val="right"/>
              <w:rPr>
                <w:rFonts w:ascii="Times New Roman" w:eastAsia="Times New Roman" w:hAnsi="Times New Roman" w:cs="Times New Roman"/>
                <w:kern w:val="0"/>
                <w:sz w:val="15"/>
                <w:szCs w:val="15"/>
                <w:lang w:eastAsia="pt-BR"/>
                <w14:ligatures w14:val="none"/>
              </w:rPr>
            </w:pPr>
          </w:p>
        </w:tc>
        <w:tc>
          <w:tcPr>
            <w:tcW w:w="49" w:type="pct"/>
            <w:tcBorders>
              <w:top w:val="nil"/>
              <w:left w:val="nil"/>
              <w:bottom w:val="nil"/>
              <w:right w:val="nil"/>
            </w:tcBorders>
            <w:shd w:val="clear" w:color="auto" w:fill="auto"/>
            <w:noWrap/>
            <w:vAlign w:val="center"/>
            <w:hideMark/>
          </w:tcPr>
          <w:p w14:paraId="05644351" w14:textId="77777777" w:rsidR="004449AB" w:rsidRPr="004449AB" w:rsidRDefault="004449AB" w:rsidP="004449AB">
            <w:pPr>
              <w:spacing w:after="0" w:line="240" w:lineRule="auto"/>
              <w:jc w:val="right"/>
              <w:rPr>
                <w:rFonts w:ascii="Times New Roman" w:eastAsia="Times New Roman" w:hAnsi="Times New Roman" w:cs="Times New Roman"/>
                <w:kern w:val="0"/>
                <w:sz w:val="15"/>
                <w:szCs w:val="15"/>
                <w:lang w:eastAsia="pt-BR"/>
                <w14:ligatures w14:val="none"/>
              </w:rPr>
            </w:pPr>
          </w:p>
        </w:tc>
        <w:tc>
          <w:tcPr>
            <w:tcW w:w="1488" w:type="pct"/>
            <w:tcBorders>
              <w:top w:val="nil"/>
              <w:left w:val="nil"/>
              <w:bottom w:val="nil"/>
              <w:right w:val="nil"/>
            </w:tcBorders>
            <w:shd w:val="clear" w:color="auto" w:fill="auto"/>
            <w:noWrap/>
            <w:vAlign w:val="center"/>
            <w:hideMark/>
          </w:tcPr>
          <w:p w14:paraId="72773DDC" w14:textId="77777777" w:rsidR="004449AB" w:rsidRPr="004449AB" w:rsidRDefault="004449AB" w:rsidP="004449AB">
            <w:pPr>
              <w:spacing w:after="0" w:line="240" w:lineRule="auto"/>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Grupamento de Ações</w:t>
            </w:r>
          </w:p>
        </w:tc>
        <w:tc>
          <w:tcPr>
            <w:tcW w:w="160" w:type="pct"/>
            <w:tcBorders>
              <w:top w:val="nil"/>
              <w:left w:val="nil"/>
              <w:bottom w:val="nil"/>
              <w:right w:val="nil"/>
            </w:tcBorders>
            <w:shd w:val="clear" w:color="auto" w:fill="auto"/>
            <w:noWrap/>
            <w:vAlign w:val="center"/>
            <w:hideMark/>
          </w:tcPr>
          <w:p w14:paraId="638D0D0B" w14:textId="77777777" w:rsidR="004449AB" w:rsidRPr="004449AB" w:rsidRDefault="004449AB" w:rsidP="004449AB">
            <w:pPr>
              <w:spacing w:after="0" w:line="240" w:lineRule="auto"/>
              <w:jc w:val="center"/>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18</w:t>
            </w:r>
          </w:p>
        </w:tc>
        <w:tc>
          <w:tcPr>
            <w:tcW w:w="502" w:type="pct"/>
            <w:tcBorders>
              <w:top w:val="nil"/>
              <w:left w:val="nil"/>
              <w:bottom w:val="nil"/>
              <w:right w:val="nil"/>
            </w:tcBorders>
            <w:shd w:val="clear" w:color="auto" w:fill="auto"/>
            <w:noWrap/>
            <w:vAlign w:val="center"/>
            <w:hideMark/>
          </w:tcPr>
          <w:p w14:paraId="353A3D08"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680 </w:t>
            </w:r>
          </w:p>
        </w:tc>
        <w:tc>
          <w:tcPr>
            <w:tcW w:w="49" w:type="pct"/>
            <w:tcBorders>
              <w:top w:val="nil"/>
              <w:left w:val="nil"/>
              <w:bottom w:val="nil"/>
              <w:right w:val="nil"/>
            </w:tcBorders>
            <w:shd w:val="clear" w:color="auto" w:fill="auto"/>
            <w:noWrap/>
            <w:vAlign w:val="center"/>
            <w:hideMark/>
          </w:tcPr>
          <w:p w14:paraId="1644342D"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502" w:type="pct"/>
            <w:tcBorders>
              <w:top w:val="nil"/>
              <w:left w:val="nil"/>
              <w:bottom w:val="nil"/>
              <w:right w:val="nil"/>
            </w:tcBorders>
            <w:shd w:val="clear" w:color="auto" w:fill="auto"/>
            <w:noWrap/>
            <w:vAlign w:val="center"/>
            <w:hideMark/>
          </w:tcPr>
          <w:p w14:paraId="519254C6"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680 </w:t>
            </w:r>
          </w:p>
        </w:tc>
        <w:tc>
          <w:tcPr>
            <w:tcW w:w="49" w:type="pct"/>
            <w:tcBorders>
              <w:top w:val="nil"/>
              <w:left w:val="nil"/>
              <w:bottom w:val="nil"/>
              <w:right w:val="nil"/>
            </w:tcBorders>
            <w:shd w:val="clear" w:color="auto" w:fill="auto"/>
            <w:noWrap/>
            <w:vAlign w:val="center"/>
            <w:hideMark/>
          </w:tcPr>
          <w:p w14:paraId="75CB1322"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r>
      <w:tr w:rsidR="004449AB" w:rsidRPr="004449AB" w14:paraId="21604AC1" w14:textId="77777777" w:rsidTr="00075425">
        <w:trPr>
          <w:trHeight w:val="200"/>
        </w:trPr>
        <w:tc>
          <w:tcPr>
            <w:tcW w:w="1081" w:type="pct"/>
            <w:tcBorders>
              <w:top w:val="nil"/>
              <w:left w:val="nil"/>
              <w:bottom w:val="nil"/>
              <w:right w:val="nil"/>
            </w:tcBorders>
            <w:shd w:val="clear" w:color="auto" w:fill="auto"/>
            <w:noWrap/>
            <w:vAlign w:val="bottom"/>
            <w:hideMark/>
          </w:tcPr>
          <w:p w14:paraId="33D25DF5" w14:textId="77777777" w:rsidR="004449AB" w:rsidRPr="004449AB" w:rsidRDefault="004449AB" w:rsidP="004449AB">
            <w:pPr>
              <w:spacing w:after="0" w:line="240" w:lineRule="auto"/>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Investimentos</w:t>
            </w:r>
          </w:p>
        </w:tc>
        <w:tc>
          <w:tcPr>
            <w:tcW w:w="160" w:type="pct"/>
            <w:tcBorders>
              <w:top w:val="nil"/>
              <w:left w:val="nil"/>
              <w:bottom w:val="nil"/>
              <w:right w:val="nil"/>
            </w:tcBorders>
            <w:shd w:val="clear" w:color="auto" w:fill="auto"/>
            <w:noWrap/>
            <w:vAlign w:val="bottom"/>
            <w:hideMark/>
          </w:tcPr>
          <w:p w14:paraId="286B5DAB" w14:textId="77777777" w:rsidR="004449AB" w:rsidRPr="004449AB" w:rsidRDefault="004449AB" w:rsidP="004449AB">
            <w:pPr>
              <w:spacing w:after="0" w:line="240" w:lineRule="auto"/>
              <w:jc w:val="center"/>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13</w:t>
            </w:r>
          </w:p>
        </w:tc>
        <w:tc>
          <w:tcPr>
            <w:tcW w:w="455" w:type="pct"/>
            <w:tcBorders>
              <w:top w:val="nil"/>
              <w:left w:val="nil"/>
              <w:bottom w:val="nil"/>
              <w:right w:val="nil"/>
            </w:tcBorders>
            <w:shd w:val="clear" w:color="auto" w:fill="auto"/>
            <w:noWrap/>
            <w:vAlign w:val="bottom"/>
            <w:hideMark/>
          </w:tcPr>
          <w:p w14:paraId="39F51E8C" w14:textId="77777777" w:rsidR="004449AB" w:rsidRPr="004449AB" w:rsidRDefault="004449AB" w:rsidP="004449AB">
            <w:pPr>
              <w:spacing w:after="0" w:line="240" w:lineRule="auto"/>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70.084 </w:t>
            </w:r>
          </w:p>
        </w:tc>
        <w:tc>
          <w:tcPr>
            <w:tcW w:w="49" w:type="pct"/>
            <w:tcBorders>
              <w:top w:val="nil"/>
              <w:left w:val="nil"/>
              <w:bottom w:val="nil"/>
              <w:right w:val="nil"/>
            </w:tcBorders>
            <w:shd w:val="clear" w:color="auto" w:fill="auto"/>
            <w:noWrap/>
            <w:vAlign w:val="bottom"/>
            <w:hideMark/>
          </w:tcPr>
          <w:p w14:paraId="0BA1A7E5" w14:textId="77777777" w:rsidR="004449AB" w:rsidRPr="004449AB" w:rsidRDefault="004449AB" w:rsidP="004449AB">
            <w:pPr>
              <w:spacing w:after="0" w:line="240" w:lineRule="auto"/>
              <w:rPr>
                <w:rFonts w:ascii="Arial" w:eastAsia="Times New Roman" w:hAnsi="Arial" w:cs="Arial"/>
                <w:color w:val="000000"/>
                <w:kern w:val="0"/>
                <w:sz w:val="15"/>
                <w:szCs w:val="15"/>
                <w:lang w:eastAsia="pt-BR"/>
                <w14:ligatures w14:val="none"/>
              </w:rPr>
            </w:pPr>
          </w:p>
        </w:tc>
        <w:tc>
          <w:tcPr>
            <w:tcW w:w="455" w:type="pct"/>
            <w:tcBorders>
              <w:top w:val="nil"/>
              <w:left w:val="nil"/>
              <w:bottom w:val="nil"/>
              <w:right w:val="nil"/>
            </w:tcBorders>
            <w:shd w:val="clear" w:color="auto" w:fill="auto"/>
            <w:noWrap/>
            <w:vAlign w:val="bottom"/>
            <w:hideMark/>
          </w:tcPr>
          <w:p w14:paraId="53B2B729" w14:textId="77777777" w:rsidR="004449AB" w:rsidRPr="004449AB" w:rsidRDefault="004449AB" w:rsidP="004449AB">
            <w:pPr>
              <w:spacing w:after="0" w:line="240" w:lineRule="auto"/>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75.195 </w:t>
            </w:r>
          </w:p>
        </w:tc>
        <w:tc>
          <w:tcPr>
            <w:tcW w:w="49" w:type="pct"/>
            <w:tcBorders>
              <w:top w:val="nil"/>
              <w:left w:val="nil"/>
              <w:bottom w:val="nil"/>
              <w:right w:val="nil"/>
            </w:tcBorders>
            <w:shd w:val="clear" w:color="auto" w:fill="auto"/>
            <w:noWrap/>
            <w:vAlign w:val="center"/>
            <w:hideMark/>
          </w:tcPr>
          <w:p w14:paraId="0A2977DD" w14:textId="77777777" w:rsidR="004449AB" w:rsidRPr="004449AB" w:rsidRDefault="004449AB" w:rsidP="004449AB">
            <w:pPr>
              <w:spacing w:after="0" w:line="240" w:lineRule="auto"/>
              <w:rPr>
                <w:rFonts w:ascii="Arial" w:eastAsia="Times New Roman" w:hAnsi="Arial" w:cs="Arial"/>
                <w:color w:val="000000"/>
                <w:kern w:val="0"/>
                <w:sz w:val="15"/>
                <w:szCs w:val="15"/>
                <w:lang w:eastAsia="pt-BR"/>
                <w14:ligatures w14:val="none"/>
              </w:rPr>
            </w:pPr>
          </w:p>
        </w:tc>
        <w:tc>
          <w:tcPr>
            <w:tcW w:w="1488" w:type="pct"/>
            <w:tcBorders>
              <w:top w:val="nil"/>
              <w:left w:val="nil"/>
              <w:bottom w:val="nil"/>
              <w:right w:val="nil"/>
            </w:tcBorders>
            <w:shd w:val="clear" w:color="auto" w:fill="auto"/>
            <w:noWrap/>
            <w:vAlign w:val="center"/>
            <w:hideMark/>
          </w:tcPr>
          <w:p w14:paraId="73E81633" w14:textId="77777777" w:rsidR="004449AB" w:rsidRPr="004449AB" w:rsidRDefault="004449AB" w:rsidP="004449AB">
            <w:pPr>
              <w:spacing w:after="0" w:line="240" w:lineRule="auto"/>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Receitas Diferidas</w:t>
            </w:r>
          </w:p>
        </w:tc>
        <w:tc>
          <w:tcPr>
            <w:tcW w:w="160" w:type="pct"/>
            <w:tcBorders>
              <w:top w:val="nil"/>
              <w:left w:val="nil"/>
              <w:bottom w:val="nil"/>
              <w:right w:val="nil"/>
            </w:tcBorders>
            <w:shd w:val="clear" w:color="auto" w:fill="auto"/>
            <w:noWrap/>
            <w:vAlign w:val="center"/>
            <w:hideMark/>
          </w:tcPr>
          <w:p w14:paraId="29A89638" w14:textId="77777777" w:rsidR="004449AB" w:rsidRPr="004449AB" w:rsidRDefault="004449AB" w:rsidP="004449AB">
            <w:pPr>
              <w:spacing w:after="0" w:line="240" w:lineRule="auto"/>
              <w:jc w:val="center"/>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25</w:t>
            </w:r>
          </w:p>
        </w:tc>
        <w:tc>
          <w:tcPr>
            <w:tcW w:w="502" w:type="pct"/>
            <w:tcBorders>
              <w:top w:val="nil"/>
              <w:left w:val="nil"/>
              <w:bottom w:val="nil"/>
              <w:right w:val="nil"/>
            </w:tcBorders>
            <w:shd w:val="clear" w:color="auto" w:fill="auto"/>
            <w:noWrap/>
            <w:vAlign w:val="center"/>
            <w:hideMark/>
          </w:tcPr>
          <w:p w14:paraId="4397A734"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310.085 </w:t>
            </w:r>
          </w:p>
        </w:tc>
        <w:tc>
          <w:tcPr>
            <w:tcW w:w="49" w:type="pct"/>
            <w:tcBorders>
              <w:top w:val="nil"/>
              <w:left w:val="nil"/>
              <w:bottom w:val="nil"/>
              <w:right w:val="nil"/>
            </w:tcBorders>
            <w:shd w:val="clear" w:color="auto" w:fill="auto"/>
            <w:noWrap/>
            <w:vAlign w:val="center"/>
            <w:hideMark/>
          </w:tcPr>
          <w:p w14:paraId="2BF64CF5"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502" w:type="pct"/>
            <w:tcBorders>
              <w:top w:val="nil"/>
              <w:left w:val="nil"/>
              <w:bottom w:val="nil"/>
              <w:right w:val="nil"/>
            </w:tcBorders>
            <w:shd w:val="clear" w:color="auto" w:fill="auto"/>
            <w:noWrap/>
            <w:vAlign w:val="center"/>
            <w:hideMark/>
          </w:tcPr>
          <w:p w14:paraId="22F32F65"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346.566 </w:t>
            </w:r>
          </w:p>
        </w:tc>
        <w:tc>
          <w:tcPr>
            <w:tcW w:w="49" w:type="pct"/>
            <w:tcBorders>
              <w:top w:val="nil"/>
              <w:left w:val="nil"/>
              <w:bottom w:val="nil"/>
              <w:right w:val="nil"/>
            </w:tcBorders>
            <w:shd w:val="clear" w:color="auto" w:fill="auto"/>
            <w:noWrap/>
            <w:vAlign w:val="bottom"/>
            <w:hideMark/>
          </w:tcPr>
          <w:p w14:paraId="666DE7BE"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r>
      <w:tr w:rsidR="004449AB" w:rsidRPr="004449AB" w14:paraId="68A83A09" w14:textId="77777777" w:rsidTr="00075425">
        <w:trPr>
          <w:trHeight w:val="200"/>
        </w:trPr>
        <w:tc>
          <w:tcPr>
            <w:tcW w:w="1081" w:type="pct"/>
            <w:tcBorders>
              <w:top w:val="nil"/>
              <w:left w:val="nil"/>
              <w:bottom w:val="nil"/>
              <w:right w:val="nil"/>
            </w:tcBorders>
            <w:shd w:val="clear" w:color="auto" w:fill="auto"/>
            <w:noWrap/>
            <w:vAlign w:val="center"/>
            <w:hideMark/>
          </w:tcPr>
          <w:p w14:paraId="062082B8" w14:textId="77777777" w:rsidR="004449AB" w:rsidRPr="004449AB" w:rsidRDefault="004449AB" w:rsidP="004449AB">
            <w:pPr>
              <w:spacing w:after="0" w:line="240" w:lineRule="auto"/>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Imobilizado</w:t>
            </w:r>
          </w:p>
        </w:tc>
        <w:tc>
          <w:tcPr>
            <w:tcW w:w="160" w:type="pct"/>
            <w:tcBorders>
              <w:top w:val="nil"/>
              <w:left w:val="nil"/>
              <w:bottom w:val="nil"/>
              <w:right w:val="nil"/>
            </w:tcBorders>
            <w:shd w:val="clear" w:color="auto" w:fill="auto"/>
            <w:noWrap/>
            <w:vAlign w:val="center"/>
            <w:hideMark/>
          </w:tcPr>
          <w:p w14:paraId="28436D97" w14:textId="77777777" w:rsidR="004449AB" w:rsidRPr="004449AB" w:rsidRDefault="004449AB" w:rsidP="004449AB">
            <w:pPr>
              <w:spacing w:after="0" w:line="240" w:lineRule="auto"/>
              <w:jc w:val="center"/>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14</w:t>
            </w:r>
          </w:p>
        </w:tc>
        <w:tc>
          <w:tcPr>
            <w:tcW w:w="455" w:type="pct"/>
            <w:tcBorders>
              <w:top w:val="nil"/>
              <w:left w:val="nil"/>
              <w:bottom w:val="nil"/>
              <w:right w:val="nil"/>
            </w:tcBorders>
            <w:shd w:val="clear" w:color="auto" w:fill="auto"/>
            <w:noWrap/>
            <w:vAlign w:val="center"/>
            <w:hideMark/>
          </w:tcPr>
          <w:p w14:paraId="3DCFFBCB"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2.121.373 </w:t>
            </w:r>
          </w:p>
        </w:tc>
        <w:tc>
          <w:tcPr>
            <w:tcW w:w="49" w:type="pct"/>
            <w:tcBorders>
              <w:top w:val="nil"/>
              <w:left w:val="nil"/>
              <w:bottom w:val="nil"/>
              <w:right w:val="nil"/>
            </w:tcBorders>
            <w:shd w:val="clear" w:color="auto" w:fill="auto"/>
            <w:noWrap/>
            <w:vAlign w:val="center"/>
            <w:hideMark/>
          </w:tcPr>
          <w:p w14:paraId="6EFB6E97"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455" w:type="pct"/>
            <w:tcBorders>
              <w:top w:val="nil"/>
              <w:left w:val="nil"/>
              <w:bottom w:val="nil"/>
              <w:right w:val="nil"/>
            </w:tcBorders>
            <w:shd w:val="clear" w:color="auto" w:fill="auto"/>
            <w:noWrap/>
            <w:vAlign w:val="center"/>
            <w:hideMark/>
          </w:tcPr>
          <w:p w14:paraId="3ECE7A83"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2.253.712 </w:t>
            </w:r>
          </w:p>
        </w:tc>
        <w:tc>
          <w:tcPr>
            <w:tcW w:w="49" w:type="pct"/>
            <w:tcBorders>
              <w:top w:val="nil"/>
              <w:left w:val="nil"/>
              <w:bottom w:val="nil"/>
              <w:right w:val="nil"/>
            </w:tcBorders>
            <w:shd w:val="clear" w:color="auto" w:fill="auto"/>
            <w:noWrap/>
            <w:vAlign w:val="center"/>
            <w:hideMark/>
          </w:tcPr>
          <w:p w14:paraId="123EBD8C"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1488" w:type="pct"/>
            <w:tcBorders>
              <w:top w:val="nil"/>
              <w:left w:val="nil"/>
              <w:bottom w:val="nil"/>
              <w:right w:val="nil"/>
            </w:tcBorders>
            <w:shd w:val="clear" w:color="auto" w:fill="auto"/>
            <w:noWrap/>
            <w:vAlign w:val="center"/>
            <w:hideMark/>
          </w:tcPr>
          <w:p w14:paraId="0BFA620E" w14:textId="77777777" w:rsidR="004449AB" w:rsidRPr="004449AB" w:rsidRDefault="004449AB" w:rsidP="004449AB">
            <w:pPr>
              <w:spacing w:after="0" w:line="240" w:lineRule="auto"/>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Recursos Capitalizáveis</w:t>
            </w:r>
          </w:p>
        </w:tc>
        <w:tc>
          <w:tcPr>
            <w:tcW w:w="160" w:type="pct"/>
            <w:tcBorders>
              <w:top w:val="nil"/>
              <w:left w:val="nil"/>
              <w:bottom w:val="nil"/>
              <w:right w:val="nil"/>
            </w:tcBorders>
            <w:shd w:val="clear" w:color="auto" w:fill="auto"/>
            <w:noWrap/>
            <w:vAlign w:val="center"/>
            <w:hideMark/>
          </w:tcPr>
          <w:p w14:paraId="1F905D6C" w14:textId="77777777" w:rsidR="004449AB" w:rsidRPr="004449AB" w:rsidRDefault="004449AB" w:rsidP="004449AB">
            <w:pPr>
              <w:spacing w:after="0" w:line="240" w:lineRule="auto"/>
              <w:jc w:val="center"/>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23</w:t>
            </w:r>
          </w:p>
        </w:tc>
        <w:tc>
          <w:tcPr>
            <w:tcW w:w="502" w:type="pct"/>
            <w:tcBorders>
              <w:top w:val="nil"/>
              <w:left w:val="nil"/>
              <w:bottom w:val="nil"/>
              <w:right w:val="nil"/>
            </w:tcBorders>
            <w:shd w:val="clear" w:color="auto" w:fill="auto"/>
            <w:noWrap/>
            <w:vAlign w:val="center"/>
            <w:hideMark/>
          </w:tcPr>
          <w:p w14:paraId="005CC3C4"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1.740.318 </w:t>
            </w:r>
          </w:p>
        </w:tc>
        <w:tc>
          <w:tcPr>
            <w:tcW w:w="49" w:type="pct"/>
            <w:tcBorders>
              <w:top w:val="nil"/>
              <w:left w:val="nil"/>
              <w:bottom w:val="nil"/>
              <w:right w:val="nil"/>
            </w:tcBorders>
            <w:shd w:val="clear" w:color="auto" w:fill="auto"/>
            <w:noWrap/>
            <w:vAlign w:val="center"/>
            <w:hideMark/>
          </w:tcPr>
          <w:p w14:paraId="01CEED48"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502" w:type="pct"/>
            <w:tcBorders>
              <w:top w:val="nil"/>
              <w:left w:val="nil"/>
              <w:bottom w:val="nil"/>
              <w:right w:val="nil"/>
            </w:tcBorders>
            <w:shd w:val="clear" w:color="auto" w:fill="auto"/>
            <w:noWrap/>
            <w:vAlign w:val="center"/>
            <w:hideMark/>
          </w:tcPr>
          <w:p w14:paraId="7A7183AC"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1.497.496 </w:t>
            </w:r>
          </w:p>
        </w:tc>
        <w:tc>
          <w:tcPr>
            <w:tcW w:w="49" w:type="pct"/>
            <w:tcBorders>
              <w:top w:val="nil"/>
              <w:left w:val="nil"/>
              <w:bottom w:val="nil"/>
              <w:right w:val="nil"/>
            </w:tcBorders>
            <w:shd w:val="clear" w:color="auto" w:fill="auto"/>
            <w:noWrap/>
            <w:vAlign w:val="bottom"/>
            <w:hideMark/>
          </w:tcPr>
          <w:p w14:paraId="6FD5659D"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r>
      <w:tr w:rsidR="004449AB" w:rsidRPr="004449AB" w14:paraId="5628920B" w14:textId="77777777" w:rsidTr="00075425">
        <w:trPr>
          <w:trHeight w:val="200"/>
        </w:trPr>
        <w:tc>
          <w:tcPr>
            <w:tcW w:w="1081" w:type="pct"/>
            <w:tcBorders>
              <w:top w:val="nil"/>
              <w:left w:val="nil"/>
              <w:bottom w:val="nil"/>
              <w:right w:val="nil"/>
            </w:tcBorders>
            <w:shd w:val="clear" w:color="auto" w:fill="auto"/>
            <w:noWrap/>
            <w:vAlign w:val="center"/>
            <w:hideMark/>
          </w:tcPr>
          <w:p w14:paraId="18C74ACE" w14:textId="77777777" w:rsidR="004449AB" w:rsidRPr="004449AB" w:rsidRDefault="004449AB" w:rsidP="004449AB">
            <w:pPr>
              <w:spacing w:after="0" w:line="240" w:lineRule="auto"/>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Intangível</w:t>
            </w:r>
          </w:p>
        </w:tc>
        <w:tc>
          <w:tcPr>
            <w:tcW w:w="160" w:type="pct"/>
            <w:tcBorders>
              <w:top w:val="nil"/>
              <w:left w:val="nil"/>
              <w:bottom w:val="nil"/>
              <w:right w:val="nil"/>
            </w:tcBorders>
            <w:shd w:val="clear" w:color="auto" w:fill="auto"/>
            <w:noWrap/>
            <w:vAlign w:val="center"/>
            <w:hideMark/>
          </w:tcPr>
          <w:p w14:paraId="308D8B04" w14:textId="77777777" w:rsidR="004449AB" w:rsidRPr="004449AB" w:rsidRDefault="004449AB" w:rsidP="004449AB">
            <w:pPr>
              <w:spacing w:after="0" w:line="240" w:lineRule="auto"/>
              <w:jc w:val="center"/>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15</w:t>
            </w:r>
          </w:p>
        </w:tc>
        <w:tc>
          <w:tcPr>
            <w:tcW w:w="455" w:type="pct"/>
            <w:tcBorders>
              <w:top w:val="nil"/>
              <w:left w:val="nil"/>
              <w:bottom w:val="nil"/>
              <w:right w:val="nil"/>
            </w:tcBorders>
            <w:shd w:val="clear" w:color="auto" w:fill="auto"/>
            <w:noWrap/>
            <w:vAlign w:val="center"/>
            <w:hideMark/>
          </w:tcPr>
          <w:p w14:paraId="411AEB8D"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23.172 </w:t>
            </w:r>
          </w:p>
        </w:tc>
        <w:tc>
          <w:tcPr>
            <w:tcW w:w="49" w:type="pct"/>
            <w:tcBorders>
              <w:top w:val="nil"/>
              <w:left w:val="nil"/>
              <w:bottom w:val="nil"/>
              <w:right w:val="nil"/>
            </w:tcBorders>
            <w:shd w:val="clear" w:color="auto" w:fill="auto"/>
            <w:noWrap/>
            <w:vAlign w:val="center"/>
            <w:hideMark/>
          </w:tcPr>
          <w:p w14:paraId="40CB448F"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455" w:type="pct"/>
            <w:tcBorders>
              <w:top w:val="nil"/>
              <w:left w:val="nil"/>
              <w:bottom w:val="nil"/>
              <w:right w:val="nil"/>
            </w:tcBorders>
            <w:shd w:val="clear" w:color="auto" w:fill="auto"/>
            <w:noWrap/>
            <w:vAlign w:val="center"/>
            <w:hideMark/>
          </w:tcPr>
          <w:p w14:paraId="5111EE9A"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25.381 </w:t>
            </w:r>
          </w:p>
        </w:tc>
        <w:tc>
          <w:tcPr>
            <w:tcW w:w="49" w:type="pct"/>
            <w:tcBorders>
              <w:top w:val="nil"/>
              <w:left w:val="nil"/>
              <w:bottom w:val="nil"/>
              <w:right w:val="nil"/>
            </w:tcBorders>
            <w:shd w:val="clear" w:color="auto" w:fill="auto"/>
            <w:noWrap/>
            <w:vAlign w:val="center"/>
            <w:hideMark/>
          </w:tcPr>
          <w:p w14:paraId="37FB5CD1"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1488" w:type="pct"/>
            <w:tcBorders>
              <w:top w:val="nil"/>
              <w:left w:val="nil"/>
              <w:bottom w:val="nil"/>
              <w:right w:val="nil"/>
            </w:tcBorders>
            <w:shd w:val="clear" w:color="auto" w:fill="auto"/>
            <w:noWrap/>
            <w:vAlign w:val="center"/>
            <w:hideMark/>
          </w:tcPr>
          <w:p w14:paraId="412493B8" w14:textId="77777777" w:rsidR="004449AB" w:rsidRPr="004449AB" w:rsidRDefault="004449AB" w:rsidP="004449AB">
            <w:pPr>
              <w:spacing w:after="0" w:line="240" w:lineRule="auto"/>
              <w:rPr>
                <w:rFonts w:ascii="Arial" w:eastAsia="Times New Roman" w:hAnsi="Arial" w:cs="Arial"/>
                <w:b/>
                <w:bCs/>
                <w:color w:val="000000"/>
                <w:kern w:val="0"/>
                <w:sz w:val="15"/>
                <w:szCs w:val="15"/>
                <w:lang w:eastAsia="pt-BR"/>
                <w14:ligatures w14:val="none"/>
              </w:rPr>
            </w:pPr>
            <w:r w:rsidRPr="004449AB">
              <w:rPr>
                <w:rFonts w:ascii="Arial" w:eastAsia="Times New Roman" w:hAnsi="Arial" w:cs="Arial"/>
                <w:b/>
                <w:bCs/>
                <w:color w:val="000000"/>
                <w:kern w:val="0"/>
                <w:sz w:val="15"/>
                <w:szCs w:val="15"/>
                <w:lang w:eastAsia="pt-BR"/>
                <w14:ligatures w14:val="none"/>
              </w:rPr>
              <w:t>Total do Não Circulante</w:t>
            </w:r>
          </w:p>
        </w:tc>
        <w:tc>
          <w:tcPr>
            <w:tcW w:w="160" w:type="pct"/>
            <w:tcBorders>
              <w:top w:val="nil"/>
              <w:left w:val="nil"/>
              <w:bottom w:val="nil"/>
              <w:right w:val="nil"/>
            </w:tcBorders>
            <w:shd w:val="clear" w:color="auto" w:fill="auto"/>
            <w:noWrap/>
            <w:vAlign w:val="center"/>
            <w:hideMark/>
          </w:tcPr>
          <w:p w14:paraId="3343D2DC" w14:textId="77777777" w:rsidR="004449AB" w:rsidRPr="004449AB" w:rsidRDefault="004449AB" w:rsidP="004449AB">
            <w:pPr>
              <w:spacing w:after="0" w:line="240" w:lineRule="auto"/>
              <w:rPr>
                <w:rFonts w:ascii="Arial" w:eastAsia="Times New Roman" w:hAnsi="Arial" w:cs="Arial"/>
                <w:b/>
                <w:bCs/>
                <w:color w:val="000000"/>
                <w:kern w:val="0"/>
                <w:sz w:val="15"/>
                <w:szCs w:val="15"/>
                <w:lang w:eastAsia="pt-BR"/>
                <w14:ligatures w14:val="none"/>
              </w:rPr>
            </w:pPr>
          </w:p>
        </w:tc>
        <w:tc>
          <w:tcPr>
            <w:tcW w:w="502" w:type="pct"/>
            <w:tcBorders>
              <w:top w:val="single" w:sz="4" w:space="0" w:color="auto"/>
              <w:left w:val="nil"/>
              <w:bottom w:val="single" w:sz="4" w:space="0" w:color="auto"/>
              <w:right w:val="nil"/>
            </w:tcBorders>
            <w:shd w:val="clear" w:color="auto" w:fill="auto"/>
            <w:noWrap/>
            <w:vAlign w:val="center"/>
            <w:hideMark/>
          </w:tcPr>
          <w:p w14:paraId="4BFD13AB" w14:textId="77777777" w:rsidR="004449AB" w:rsidRPr="004449AB" w:rsidRDefault="004449AB" w:rsidP="004449AB">
            <w:pPr>
              <w:spacing w:after="0" w:line="240" w:lineRule="auto"/>
              <w:jc w:val="right"/>
              <w:rPr>
                <w:rFonts w:ascii="Arial" w:eastAsia="Times New Roman" w:hAnsi="Arial" w:cs="Arial"/>
                <w:b/>
                <w:bCs/>
                <w:color w:val="000000"/>
                <w:kern w:val="0"/>
                <w:sz w:val="15"/>
                <w:szCs w:val="15"/>
                <w:lang w:eastAsia="pt-BR"/>
                <w14:ligatures w14:val="none"/>
              </w:rPr>
            </w:pPr>
            <w:r w:rsidRPr="004449AB">
              <w:rPr>
                <w:rFonts w:ascii="Arial" w:eastAsia="Times New Roman" w:hAnsi="Arial" w:cs="Arial"/>
                <w:b/>
                <w:bCs/>
                <w:color w:val="000000"/>
                <w:kern w:val="0"/>
                <w:sz w:val="15"/>
                <w:szCs w:val="15"/>
                <w:lang w:eastAsia="pt-BR"/>
                <w14:ligatures w14:val="none"/>
              </w:rPr>
              <w:t xml:space="preserve">               2.297.276 </w:t>
            </w:r>
          </w:p>
        </w:tc>
        <w:tc>
          <w:tcPr>
            <w:tcW w:w="49" w:type="pct"/>
            <w:tcBorders>
              <w:top w:val="nil"/>
              <w:left w:val="nil"/>
              <w:bottom w:val="nil"/>
              <w:right w:val="nil"/>
            </w:tcBorders>
            <w:shd w:val="clear" w:color="auto" w:fill="auto"/>
            <w:noWrap/>
            <w:vAlign w:val="center"/>
            <w:hideMark/>
          </w:tcPr>
          <w:p w14:paraId="46E8677B" w14:textId="77777777" w:rsidR="004449AB" w:rsidRPr="004449AB" w:rsidRDefault="004449AB" w:rsidP="004449AB">
            <w:pPr>
              <w:spacing w:after="0" w:line="240" w:lineRule="auto"/>
              <w:jc w:val="right"/>
              <w:rPr>
                <w:rFonts w:ascii="Arial" w:eastAsia="Times New Roman" w:hAnsi="Arial" w:cs="Arial"/>
                <w:b/>
                <w:bCs/>
                <w:color w:val="000000"/>
                <w:kern w:val="0"/>
                <w:sz w:val="15"/>
                <w:szCs w:val="15"/>
                <w:lang w:eastAsia="pt-BR"/>
                <w14:ligatures w14:val="none"/>
              </w:rPr>
            </w:pPr>
          </w:p>
        </w:tc>
        <w:tc>
          <w:tcPr>
            <w:tcW w:w="502" w:type="pct"/>
            <w:tcBorders>
              <w:top w:val="single" w:sz="4" w:space="0" w:color="auto"/>
              <w:left w:val="nil"/>
              <w:bottom w:val="single" w:sz="4" w:space="0" w:color="auto"/>
              <w:right w:val="nil"/>
            </w:tcBorders>
            <w:shd w:val="clear" w:color="auto" w:fill="auto"/>
            <w:noWrap/>
            <w:vAlign w:val="center"/>
            <w:hideMark/>
          </w:tcPr>
          <w:p w14:paraId="5CD6A3C9" w14:textId="77777777" w:rsidR="004449AB" w:rsidRPr="004449AB" w:rsidRDefault="004449AB" w:rsidP="004449AB">
            <w:pPr>
              <w:spacing w:after="0" w:line="240" w:lineRule="auto"/>
              <w:jc w:val="right"/>
              <w:rPr>
                <w:rFonts w:ascii="Arial" w:eastAsia="Times New Roman" w:hAnsi="Arial" w:cs="Arial"/>
                <w:b/>
                <w:bCs/>
                <w:color w:val="000000"/>
                <w:kern w:val="0"/>
                <w:sz w:val="15"/>
                <w:szCs w:val="15"/>
                <w:lang w:eastAsia="pt-BR"/>
                <w14:ligatures w14:val="none"/>
              </w:rPr>
            </w:pPr>
            <w:r w:rsidRPr="004449AB">
              <w:rPr>
                <w:rFonts w:ascii="Arial" w:eastAsia="Times New Roman" w:hAnsi="Arial" w:cs="Arial"/>
                <w:b/>
                <w:bCs/>
                <w:color w:val="000000"/>
                <w:kern w:val="0"/>
                <w:sz w:val="15"/>
                <w:szCs w:val="15"/>
                <w:lang w:eastAsia="pt-BR"/>
                <w14:ligatures w14:val="none"/>
              </w:rPr>
              <w:t xml:space="preserve">               2.158.693 </w:t>
            </w:r>
          </w:p>
        </w:tc>
        <w:tc>
          <w:tcPr>
            <w:tcW w:w="49" w:type="pct"/>
            <w:tcBorders>
              <w:top w:val="nil"/>
              <w:left w:val="nil"/>
              <w:bottom w:val="nil"/>
              <w:right w:val="nil"/>
            </w:tcBorders>
            <w:shd w:val="clear" w:color="auto" w:fill="auto"/>
            <w:noWrap/>
            <w:vAlign w:val="bottom"/>
            <w:hideMark/>
          </w:tcPr>
          <w:p w14:paraId="31564883" w14:textId="77777777" w:rsidR="004449AB" w:rsidRPr="004449AB" w:rsidRDefault="004449AB" w:rsidP="004449AB">
            <w:pPr>
              <w:spacing w:after="0" w:line="240" w:lineRule="auto"/>
              <w:jc w:val="right"/>
              <w:rPr>
                <w:rFonts w:ascii="Arial" w:eastAsia="Times New Roman" w:hAnsi="Arial" w:cs="Arial"/>
                <w:b/>
                <w:bCs/>
                <w:color w:val="000000"/>
                <w:kern w:val="0"/>
                <w:sz w:val="15"/>
                <w:szCs w:val="15"/>
                <w:lang w:eastAsia="pt-BR"/>
                <w14:ligatures w14:val="none"/>
              </w:rPr>
            </w:pPr>
          </w:p>
        </w:tc>
      </w:tr>
      <w:tr w:rsidR="004449AB" w:rsidRPr="004449AB" w14:paraId="35B1D491" w14:textId="77777777" w:rsidTr="00075425">
        <w:trPr>
          <w:trHeight w:val="200"/>
        </w:trPr>
        <w:tc>
          <w:tcPr>
            <w:tcW w:w="1081" w:type="pct"/>
            <w:tcBorders>
              <w:top w:val="nil"/>
              <w:left w:val="nil"/>
              <w:bottom w:val="nil"/>
              <w:right w:val="nil"/>
            </w:tcBorders>
            <w:shd w:val="clear" w:color="auto" w:fill="auto"/>
            <w:noWrap/>
            <w:vAlign w:val="center"/>
            <w:hideMark/>
          </w:tcPr>
          <w:p w14:paraId="6D77A2A2" w14:textId="77777777" w:rsidR="004449AB" w:rsidRPr="004449AB" w:rsidRDefault="004449AB" w:rsidP="004449AB">
            <w:pPr>
              <w:spacing w:after="0" w:line="240" w:lineRule="auto"/>
              <w:rPr>
                <w:rFonts w:ascii="Arial" w:eastAsia="Times New Roman" w:hAnsi="Arial" w:cs="Arial"/>
                <w:b/>
                <w:bCs/>
                <w:color w:val="000000"/>
                <w:kern w:val="0"/>
                <w:sz w:val="15"/>
                <w:szCs w:val="15"/>
                <w:lang w:eastAsia="pt-BR"/>
                <w14:ligatures w14:val="none"/>
              </w:rPr>
            </w:pPr>
            <w:r w:rsidRPr="004449AB">
              <w:rPr>
                <w:rFonts w:ascii="Arial" w:eastAsia="Times New Roman" w:hAnsi="Arial" w:cs="Arial"/>
                <w:b/>
                <w:bCs/>
                <w:color w:val="000000"/>
                <w:kern w:val="0"/>
                <w:sz w:val="15"/>
                <w:szCs w:val="15"/>
                <w:lang w:eastAsia="pt-BR"/>
                <w14:ligatures w14:val="none"/>
              </w:rPr>
              <w:t>Total do Não Circulante</w:t>
            </w:r>
          </w:p>
        </w:tc>
        <w:tc>
          <w:tcPr>
            <w:tcW w:w="160" w:type="pct"/>
            <w:tcBorders>
              <w:top w:val="nil"/>
              <w:left w:val="nil"/>
              <w:bottom w:val="nil"/>
              <w:right w:val="nil"/>
            </w:tcBorders>
            <w:shd w:val="clear" w:color="auto" w:fill="auto"/>
            <w:noWrap/>
            <w:vAlign w:val="center"/>
            <w:hideMark/>
          </w:tcPr>
          <w:p w14:paraId="21A71D9C" w14:textId="77777777" w:rsidR="004449AB" w:rsidRPr="004449AB" w:rsidRDefault="004449AB" w:rsidP="004449AB">
            <w:pPr>
              <w:spacing w:after="0" w:line="240" w:lineRule="auto"/>
              <w:rPr>
                <w:rFonts w:ascii="Arial" w:eastAsia="Times New Roman" w:hAnsi="Arial" w:cs="Arial"/>
                <w:b/>
                <w:bCs/>
                <w:color w:val="000000"/>
                <w:kern w:val="0"/>
                <w:sz w:val="15"/>
                <w:szCs w:val="15"/>
                <w:lang w:eastAsia="pt-BR"/>
                <w14:ligatures w14:val="none"/>
              </w:rPr>
            </w:pPr>
          </w:p>
        </w:tc>
        <w:tc>
          <w:tcPr>
            <w:tcW w:w="455" w:type="pct"/>
            <w:tcBorders>
              <w:top w:val="single" w:sz="4" w:space="0" w:color="auto"/>
              <w:left w:val="nil"/>
              <w:bottom w:val="single" w:sz="4" w:space="0" w:color="auto"/>
              <w:right w:val="nil"/>
            </w:tcBorders>
            <w:shd w:val="clear" w:color="auto" w:fill="auto"/>
            <w:noWrap/>
            <w:vAlign w:val="center"/>
            <w:hideMark/>
          </w:tcPr>
          <w:p w14:paraId="2327ADC9" w14:textId="77777777" w:rsidR="004449AB" w:rsidRPr="004449AB" w:rsidRDefault="004449AB" w:rsidP="004449AB">
            <w:pPr>
              <w:spacing w:after="0" w:line="240" w:lineRule="auto"/>
              <w:jc w:val="right"/>
              <w:rPr>
                <w:rFonts w:ascii="Arial" w:eastAsia="Times New Roman" w:hAnsi="Arial" w:cs="Arial"/>
                <w:b/>
                <w:bCs/>
                <w:color w:val="000000"/>
                <w:kern w:val="0"/>
                <w:sz w:val="15"/>
                <w:szCs w:val="15"/>
                <w:lang w:eastAsia="pt-BR"/>
                <w14:ligatures w14:val="none"/>
              </w:rPr>
            </w:pPr>
            <w:r w:rsidRPr="004449AB">
              <w:rPr>
                <w:rFonts w:ascii="Arial" w:eastAsia="Times New Roman" w:hAnsi="Arial" w:cs="Arial"/>
                <w:b/>
                <w:bCs/>
                <w:color w:val="000000"/>
                <w:kern w:val="0"/>
                <w:sz w:val="15"/>
                <w:szCs w:val="15"/>
                <w:lang w:eastAsia="pt-BR"/>
                <w14:ligatures w14:val="none"/>
              </w:rPr>
              <w:t xml:space="preserve">             2.396.238 </w:t>
            </w:r>
          </w:p>
        </w:tc>
        <w:tc>
          <w:tcPr>
            <w:tcW w:w="49" w:type="pct"/>
            <w:tcBorders>
              <w:top w:val="nil"/>
              <w:left w:val="nil"/>
              <w:bottom w:val="nil"/>
              <w:right w:val="nil"/>
            </w:tcBorders>
            <w:shd w:val="clear" w:color="auto" w:fill="auto"/>
            <w:noWrap/>
            <w:vAlign w:val="center"/>
            <w:hideMark/>
          </w:tcPr>
          <w:p w14:paraId="4442AFC4" w14:textId="77777777" w:rsidR="004449AB" w:rsidRPr="004449AB" w:rsidRDefault="004449AB" w:rsidP="004449AB">
            <w:pPr>
              <w:spacing w:after="0" w:line="240" w:lineRule="auto"/>
              <w:jc w:val="right"/>
              <w:rPr>
                <w:rFonts w:ascii="Arial" w:eastAsia="Times New Roman" w:hAnsi="Arial" w:cs="Arial"/>
                <w:b/>
                <w:bCs/>
                <w:color w:val="000000"/>
                <w:kern w:val="0"/>
                <w:sz w:val="15"/>
                <w:szCs w:val="15"/>
                <w:lang w:eastAsia="pt-BR"/>
                <w14:ligatures w14:val="none"/>
              </w:rPr>
            </w:pPr>
          </w:p>
        </w:tc>
        <w:tc>
          <w:tcPr>
            <w:tcW w:w="455" w:type="pct"/>
            <w:tcBorders>
              <w:top w:val="single" w:sz="4" w:space="0" w:color="auto"/>
              <w:left w:val="nil"/>
              <w:bottom w:val="single" w:sz="4" w:space="0" w:color="auto"/>
              <w:right w:val="nil"/>
            </w:tcBorders>
            <w:shd w:val="clear" w:color="auto" w:fill="auto"/>
            <w:noWrap/>
            <w:vAlign w:val="center"/>
            <w:hideMark/>
          </w:tcPr>
          <w:p w14:paraId="4D5DD170" w14:textId="77777777" w:rsidR="004449AB" w:rsidRPr="004449AB" w:rsidRDefault="004449AB" w:rsidP="004449AB">
            <w:pPr>
              <w:spacing w:after="0" w:line="240" w:lineRule="auto"/>
              <w:jc w:val="right"/>
              <w:rPr>
                <w:rFonts w:ascii="Arial" w:eastAsia="Times New Roman" w:hAnsi="Arial" w:cs="Arial"/>
                <w:b/>
                <w:bCs/>
                <w:color w:val="000000"/>
                <w:kern w:val="0"/>
                <w:sz w:val="15"/>
                <w:szCs w:val="15"/>
                <w:lang w:eastAsia="pt-BR"/>
                <w14:ligatures w14:val="none"/>
              </w:rPr>
            </w:pPr>
            <w:r w:rsidRPr="004449AB">
              <w:rPr>
                <w:rFonts w:ascii="Arial" w:eastAsia="Times New Roman" w:hAnsi="Arial" w:cs="Arial"/>
                <w:b/>
                <w:bCs/>
                <w:color w:val="000000"/>
                <w:kern w:val="0"/>
                <w:sz w:val="15"/>
                <w:szCs w:val="15"/>
                <w:lang w:eastAsia="pt-BR"/>
                <w14:ligatures w14:val="none"/>
              </w:rPr>
              <w:t xml:space="preserve">             2.506.701 </w:t>
            </w:r>
          </w:p>
        </w:tc>
        <w:tc>
          <w:tcPr>
            <w:tcW w:w="49" w:type="pct"/>
            <w:tcBorders>
              <w:top w:val="nil"/>
              <w:left w:val="nil"/>
              <w:bottom w:val="nil"/>
              <w:right w:val="nil"/>
            </w:tcBorders>
            <w:shd w:val="clear" w:color="auto" w:fill="auto"/>
            <w:noWrap/>
            <w:vAlign w:val="center"/>
            <w:hideMark/>
          </w:tcPr>
          <w:p w14:paraId="23388A5C" w14:textId="77777777" w:rsidR="004449AB" w:rsidRPr="004449AB" w:rsidRDefault="004449AB" w:rsidP="004449AB">
            <w:pPr>
              <w:spacing w:after="0" w:line="240" w:lineRule="auto"/>
              <w:jc w:val="right"/>
              <w:rPr>
                <w:rFonts w:ascii="Arial" w:eastAsia="Times New Roman" w:hAnsi="Arial" w:cs="Arial"/>
                <w:b/>
                <w:bCs/>
                <w:color w:val="000000"/>
                <w:kern w:val="0"/>
                <w:sz w:val="15"/>
                <w:szCs w:val="15"/>
                <w:lang w:eastAsia="pt-BR"/>
                <w14:ligatures w14:val="none"/>
              </w:rPr>
            </w:pPr>
          </w:p>
        </w:tc>
        <w:tc>
          <w:tcPr>
            <w:tcW w:w="1488" w:type="pct"/>
            <w:tcBorders>
              <w:top w:val="nil"/>
              <w:left w:val="nil"/>
              <w:bottom w:val="nil"/>
              <w:right w:val="nil"/>
            </w:tcBorders>
            <w:shd w:val="clear" w:color="auto" w:fill="auto"/>
            <w:noWrap/>
            <w:vAlign w:val="bottom"/>
            <w:hideMark/>
          </w:tcPr>
          <w:p w14:paraId="4B20A8A3"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160" w:type="pct"/>
            <w:tcBorders>
              <w:top w:val="nil"/>
              <w:left w:val="nil"/>
              <w:bottom w:val="nil"/>
              <w:right w:val="nil"/>
            </w:tcBorders>
            <w:shd w:val="clear" w:color="auto" w:fill="auto"/>
            <w:noWrap/>
            <w:vAlign w:val="bottom"/>
            <w:hideMark/>
          </w:tcPr>
          <w:p w14:paraId="3EF25E6A"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502" w:type="pct"/>
            <w:tcBorders>
              <w:top w:val="nil"/>
              <w:left w:val="nil"/>
              <w:bottom w:val="nil"/>
              <w:right w:val="nil"/>
            </w:tcBorders>
            <w:shd w:val="clear" w:color="auto" w:fill="auto"/>
            <w:noWrap/>
            <w:vAlign w:val="bottom"/>
            <w:hideMark/>
          </w:tcPr>
          <w:p w14:paraId="731CE33E"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9" w:type="pct"/>
            <w:tcBorders>
              <w:top w:val="nil"/>
              <w:left w:val="nil"/>
              <w:bottom w:val="nil"/>
              <w:right w:val="nil"/>
            </w:tcBorders>
            <w:shd w:val="clear" w:color="auto" w:fill="auto"/>
            <w:noWrap/>
            <w:vAlign w:val="bottom"/>
            <w:hideMark/>
          </w:tcPr>
          <w:p w14:paraId="3646C074"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502" w:type="pct"/>
            <w:tcBorders>
              <w:top w:val="nil"/>
              <w:left w:val="nil"/>
              <w:bottom w:val="nil"/>
              <w:right w:val="nil"/>
            </w:tcBorders>
            <w:shd w:val="clear" w:color="auto" w:fill="auto"/>
            <w:noWrap/>
            <w:vAlign w:val="bottom"/>
            <w:hideMark/>
          </w:tcPr>
          <w:p w14:paraId="5351F097"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9" w:type="pct"/>
            <w:tcBorders>
              <w:top w:val="nil"/>
              <w:left w:val="nil"/>
              <w:bottom w:val="nil"/>
              <w:right w:val="nil"/>
            </w:tcBorders>
            <w:shd w:val="clear" w:color="auto" w:fill="auto"/>
            <w:noWrap/>
            <w:vAlign w:val="center"/>
            <w:hideMark/>
          </w:tcPr>
          <w:p w14:paraId="0987B184"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r>
      <w:tr w:rsidR="004449AB" w:rsidRPr="004449AB" w14:paraId="3CA35E5D" w14:textId="77777777" w:rsidTr="00075425">
        <w:trPr>
          <w:trHeight w:val="200"/>
        </w:trPr>
        <w:tc>
          <w:tcPr>
            <w:tcW w:w="1081" w:type="pct"/>
            <w:tcBorders>
              <w:top w:val="nil"/>
              <w:left w:val="nil"/>
              <w:bottom w:val="nil"/>
              <w:right w:val="nil"/>
            </w:tcBorders>
            <w:shd w:val="clear" w:color="auto" w:fill="auto"/>
            <w:noWrap/>
            <w:vAlign w:val="bottom"/>
            <w:hideMark/>
          </w:tcPr>
          <w:p w14:paraId="0234A0B0" w14:textId="77777777" w:rsidR="004449AB" w:rsidRPr="004449AB" w:rsidRDefault="004449AB" w:rsidP="004449AB">
            <w:pPr>
              <w:spacing w:after="0" w:line="240" w:lineRule="auto"/>
              <w:jc w:val="right"/>
              <w:rPr>
                <w:rFonts w:ascii="Times New Roman" w:eastAsia="Times New Roman" w:hAnsi="Times New Roman" w:cs="Times New Roman"/>
                <w:kern w:val="0"/>
                <w:sz w:val="15"/>
                <w:szCs w:val="15"/>
                <w:lang w:eastAsia="pt-BR"/>
                <w14:ligatures w14:val="none"/>
              </w:rPr>
            </w:pPr>
          </w:p>
        </w:tc>
        <w:tc>
          <w:tcPr>
            <w:tcW w:w="160" w:type="pct"/>
            <w:tcBorders>
              <w:top w:val="nil"/>
              <w:left w:val="nil"/>
              <w:bottom w:val="nil"/>
              <w:right w:val="nil"/>
            </w:tcBorders>
            <w:shd w:val="clear" w:color="auto" w:fill="auto"/>
            <w:noWrap/>
            <w:vAlign w:val="bottom"/>
            <w:hideMark/>
          </w:tcPr>
          <w:p w14:paraId="38052387"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55" w:type="pct"/>
            <w:tcBorders>
              <w:top w:val="nil"/>
              <w:left w:val="nil"/>
              <w:bottom w:val="nil"/>
              <w:right w:val="nil"/>
            </w:tcBorders>
            <w:shd w:val="clear" w:color="auto" w:fill="auto"/>
            <w:noWrap/>
            <w:vAlign w:val="bottom"/>
            <w:hideMark/>
          </w:tcPr>
          <w:p w14:paraId="3830D69A"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9" w:type="pct"/>
            <w:tcBorders>
              <w:top w:val="nil"/>
              <w:left w:val="nil"/>
              <w:bottom w:val="nil"/>
              <w:right w:val="nil"/>
            </w:tcBorders>
            <w:shd w:val="clear" w:color="auto" w:fill="auto"/>
            <w:noWrap/>
            <w:vAlign w:val="bottom"/>
            <w:hideMark/>
          </w:tcPr>
          <w:p w14:paraId="44A59348"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55" w:type="pct"/>
            <w:tcBorders>
              <w:top w:val="nil"/>
              <w:left w:val="nil"/>
              <w:bottom w:val="nil"/>
              <w:right w:val="nil"/>
            </w:tcBorders>
            <w:shd w:val="clear" w:color="auto" w:fill="auto"/>
            <w:noWrap/>
            <w:vAlign w:val="bottom"/>
            <w:hideMark/>
          </w:tcPr>
          <w:p w14:paraId="1F1019FC"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9" w:type="pct"/>
            <w:tcBorders>
              <w:top w:val="nil"/>
              <w:left w:val="nil"/>
              <w:bottom w:val="nil"/>
              <w:right w:val="nil"/>
            </w:tcBorders>
            <w:shd w:val="clear" w:color="auto" w:fill="auto"/>
            <w:noWrap/>
            <w:vAlign w:val="center"/>
            <w:hideMark/>
          </w:tcPr>
          <w:p w14:paraId="47C19071"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1488" w:type="pct"/>
            <w:tcBorders>
              <w:top w:val="nil"/>
              <w:left w:val="nil"/>
              <w:bottom w:val="nil"/>
              <w:right w:val="nil"/>
            </w:tcBorders>
            <w:shd w:val="clear" w:color="auto" w:fill="auto"/>
            <w:noWrap/>
            <w:vAlign w:val="bottom"/>
            <w:hideMark/>
          </w:tcPr>
          <w:p w14:paraId="67CF2C38"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160" w:type="pct"/>
            <w:tcBorders>
              <w:top w:val="nil"/>
              <w:left w:val="nil"/>
              <w:bottom w:val="nil"/>
              <w:right w:val="nil"/>
            </w:tcBorders>
            <w:shd w:val="clear" w:color="auto" w:fill="auto"/>
            <w:noWrap/>
            <w:vAlign w:val="bottom"/>
            <w:hideMark/>
          </w:tcPr>
          <w:p w14:paraId="11E05323"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502" w:type="pct"/>
            <w:tcBorders>
              <w:top w:val="nil"/>
              <w:left w:val="nil"/>
              <w:bottom w:val="nil"/>
              <w:right w:val="nil"/>
            </w:tcBorders>
            <w:shd w:val="clear" w:color="auto" w:fill="auto"/>
            <w:noWrap/>
            <w:vAlign w:val="bottom"/>
            <w:hideMark/>
          </w:tcPr>
          <w:p w14:paraId="65E223AE"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9" w:type="pct"/>
            <w:tcBorders>
              <w:top w:val="nil"/>
              <w:left w:val="nil"/>
              <w:bottom w:val="nil"/>
              <w:right w:val="nil"/>
            </w:tcBorders>
            <w:shd w:val="clear" w:color="auto" w:fill="auto"/>
            <w:noWrap/>
            <w:vAlign w:val="bottom"/>
            <w:hideMark/>
          </w:tcPr>
          <w:p w14:paraId="2F7FAC5E"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502" w:type="pct"/>
            <w:tcBorders>
              <w:top w:val="nil"/>
              <w:left w:val="nil"/>
              <w:bottom w:val="nil"/>
              <w:right w:val="nil"/>
            </w:tcBorders>
            <w:shd w:val="clear" w:color="auto" w:fill="auto"/>
            <w:noWrap/>
            <w:vAlign w:val="bottom"/>
            <w:hideMark/>
          </w:tcPr>
          <w:p w14:paraId="50046A0A"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9" w:type="pct"/>
            <w:tcBorders>
              <w:top w:val="nil"/>
              <w:left w:val="nil"/>
              <w:bottom w:val="nil"/>
              <w:right w:val="nil"/>
            </w:tcBorders>
            <w:shd w:val="clear" w:color="auto" w:fill="auto"/>
            <w:noWrap/>
            <w:vAlign w:val="bottom"/>
            <w:hideMark/>
          </w:tcPr>
          <w:p w14:paraId="5464DDF2"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r>
      <w:tr w:rsidR="004449AB" w:rsidRPr="004449AB" w14:paraId="758A49B8" w14:textId="77777777" w:rsidTr="00075425">
        <w:trPr>
          <w:trHeight w:val="200"/>
        </w:trPr>
        <w:tc>
          <w:tcPr>
            <w:tcW w:w="1081" w:type="pct"/>
            <w:tcBorders>
              <w:top w:val="nil"/>
              <w:left w:val="nil"/>
              <w:bottom w:val="nil"/>
              <w:right w:val="nil"/>
            </w:tcBorders>
            <w:shd w:val="clear" w:color="auto" w:fill="auto"/>
            <w:noWrap/>
            <w:vAlign w:val="bottom"/>
            <w:hideMark/>
          </w:tcPr>
          <w:p w14:paraId="6267DA45"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160" w:type="pct"/>
            <w:tcBorders>
              <w:top w:val="nil"/>
              <w:left w:val="nil"/>
              <w:bottom w:val="nil"/>
              <w:right w:val="nil"/>
            </w:tcBorders>
            <w:shd w:val="clear" w:color="auto" w:fill="auto"/>
            <w:noWrap/>
            <w:vAlign w:val="bottom"/>
            <w:hideMark/>
          </w:tcPr>
          <w:p w14:paraId="452D63A8"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55" w:type="pct"/>
            <w:tcBorders>
              <w:top w:val="nil"/>
              <w:left w:val="nil"/>
              <w:bottom w:val="nil"/>
              <w:right w:val="nil"/>
            </w:tcBorders>
            <w:shd w:val="clear" w:color="auto" w:fill="auto"/>
            <w:noWrap/>
            <w:vAlign w:val="bottom"/>
            <w:hideMark/>
          </w:tcPr>
          <w:p w14:paraId="7954EEA8"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9" w:type="pct"/>
            <w:tcBorders>
              <w:top w:val="nil"/>
              <w:left w:val="nil"/>
              <w:bottom w:val="nil"/>
              <w:right w:val="nil"/>
            </w:tcBorders>
            <w:shd w:val="clear" w:color="auto" w:fill="auto"/>
            <w:noWrap/>
            <w:vAlign w:val="bottom"/>
            <w:hideMark/>
          </w:tcPr>
          <w:p w14:paraId="4A549FF0"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55" w:type="pct"/>
            <w:tcBorders>
              <w:top w:val="nil"/>
              <w:left w:val="nil"/>
              <w:bottom w:val="nil"/>
              <w:right w:val="nil"/>
            </w:tcBorders>
            <w:shd w:val="clear" w:color="auto" w:fill="auto"/>
            <w:noWrap/>
            <w:vAlign w:val="bottom"/>
            <w:hideMark/>
          </w:tcPr>
          <w:p w14:paraId="2B888C3C"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9" w:type="pct"/>
            <w:tcBorders>
              <w:top w:val="nil"/>
              <w:left w:val="nil"/>
              <w:bottom w:val="nil"/>
              <w:right w:val="nil"/>
            </w:tcBorders>
            <w:shd w:val="clear" w:color="auto" w:fill="auto"/>
            <w:noWrap/>
            <w:vAlign w:val="center"/>
            <w:hideMark/>
          </w:tcPr>
          <w:p w14:paraId="3078AFAA"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1488" w:type="pct"/>
            <w:tcBorders>
              <w:top w:val="nil"/>
              <w:left w:val="nil"/>
              <w:bottom w:val="nil"/>
              <w:right w:val="nil"/>
            </w:tcBorders>
            <w:shd w:val="clear" w:color="auto" w:fill="auto"/>
            <w:vAlign w:val="center"/>
            <w:hideMark/>
          </w:tcPr>
          <w:p w14:paraId="20F7ECBE" w14:textId="77777777" w:rsidR="004449AB" w:rsidRPr="004449AB" w:rsidRDefault="004449AB" w:rsidP="004449AB">
            <w:pPr>
              <w:spacing w:after="0" w:line="240" w:lineRule="auto"/>
              <w:rPr>
                <w:rFonts w:ascii="Arial" w:eastAsia="Times New Roman" w:hAnsi="Arial" w:cs="Arial"/>
                <w:b/>
                <w:bCs/>
                <w:color w:val="000000"/>
                <w:kern w:val="0"/>
                <w:sz w:val="15"/>
                <w:szCs w:val="15"/>
                <w:lang w:eastAsia="pt-BR"/>
                <w14:ligatures w14:val="none"/>
              </w:rPr>
            </w:pPr>
            <w:r w:rsidRPr="004449AB">
              <w:rPr>
                <w:rFonts w:ascii="Arial" w:eastAsia="Times New Roman" w:hAnsi="Arial" w:cs="Arial"/>
                <w:b/>
                <w:bCs/>
                <w:color w:val="000000"/>
                <w:kern w:val="0"/>
                <w:sz w:val="15"/>
                <w:szCs w:val="15"/>
                <w:lang w:eastAsia="pt-BR"/>
                <w14:ligatures w14:val="none"/>
              </w:rPr>
              <w:t>Patrimônio Líquido</w:t>
            </w:r>
          </w:p>
        </w:tc>
        <w:tc>
          <w:tcPr>
            <w:tcW w:w="160" w:type="pct"/>
            <w:tcBorders>
              <w:top w:val="nil"/>
              <w:left w:val="nil"/>
              <w:bottom w:val="nil"/>
              <w:right w:val="nil"/>
            </w:tcBorders>
            <w:shd w:val="clear" w:color="auto" w:fill="auto"/>
            <w:noWrap/>
            <w:vAlign w:val="center"/>
            <w:hideMark/>
          </w:tcPr>
          <w:p w14:paraId="624202A6" w14:textId="77777777" w:rsidR="004449AB" w:rsidRPr="004449AB" w:rsidRDefault="004449AB" w:rsidP="004449AB">
            <w:pPr>
              <w:spacing w:after="0" w:line="240" w:lineRule="auto"/>
              <w:jc w:val="center"/>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27</w:t>
            </w:r>
          </w:p>
        </w:tc>
        <w:tc>
          <w:tcPr>
            <w:tcW w:w="502" w:type="pct"/>
            <w:tcBorders>
              <w:top w:val="nil"/>
              <w:left w:val="nil"/>
              <w:bottom w:val="nil"/>
              <w:right w:val="nil"/>
            </w:tcBorders>
            <w:shd w:val="clear" w:color="auto" w:fill="auto"/>
            <w:noWrap/>
            <w:vAlign w:val="center"/>
            <w:hideMark/>
          </w:tcPr>
          <w:p w14:paraId="196C7B0A" w14:textId="77777777" w:rsidR="004449AB" w:rsidRPr="004449AB" w:rsidRDefault="004449AB" w:rsidP="004449AB">
            <w:pPr>
              <w:spacing w:after="0" w:line="240" w:lineRule="auto"/>
              <w:jc w:val="center"/>
              <w:rPr>
                <w:rFonts w:ascii="Arial" w:eastAsia="Times New Roman" w:hAnsi="Arial" w:cs="Arial"/>
                <w:color w:val="000000"/>
                <w:kern w:val="0"/>
                <w:sz w:val="15"/>
                <w:szCs w:val="15"/>
                <w:lang w:eastAsia="pt-BR"/>
                <w14:ligatures w14:val="none"/>
              </w:rPr>
            </w:pPr>
          </w:p>
        </w:tc>
        <w:tc>
          <w:tcPr>
            <w:tcW w:w="49" w:type="pct"/>
            <w:tcBorders>
              <w:top w:val="nil"/>
              <w:left w:val="nil"/>
              <w:bottom w:val="nil"/>
              <w:right w:val="nil"/>
            </w:tcBorders>
            <w:shd w:val="clear" w:color="auto" w:fill="auto"/>
            <w:noWrap/>
            <w:vAlign w:val="center"/>
            <w:hideMark/>
          </w:tcPr>
          <w:p w14:paraId="71B8F536" w14:textId="77777777" w:rsidR="004449AB" w:rsidRPr="004449AB" w:rsidRDefault="004449AB" w:rsidP="004449AB">
            <w:pPr>
              <w:spacing w:after="0" w:line="240" w:lineRule="auto"/>
              <w:jc w:val="right"/>
              <w:rPr>
                <w:rFonts w:ascii="Times New Roman" w:eastAsia="Times New Roman" w:hAnsi="Times New Roman" w:cs="Times New Roman"/>
                <w:kern w:val="0"/>
                <w:sz w:val="15"/>
                <w:szCs w:val="15"/>
                <w:lang w:eastAsia="pt-BR"/>
                <w14:ligatures w14:val="none"/>
              </w:rPr>
            </w:pPr>
          </w:p>
        </w:tc>
        <w:tc>
          <w:tcPr>
            <w:tcW w:w="502" w:type="pct"/>
            <w:tcBorders>
              <w:top w:val="nil"/>
              <w:left w:val="nil"/>
              <w:bottom w:val="nil"/>
              <w:right w:val="nil"/>
            </w:tcBorders>
            <w:shd w:val="clear" w:color="auto" w:fill="auto"/>
            <w:noWrap/>
            <w:vAlign w:val="center"/>
            <w:hideMark/>
          </w:tcPr>
          <w:p w14:paraId="5FA41CDD" w14:textId="77777777" w:rsidR="004449AB" w:rsidRPr="004449AB" w:rsidRDefault="004449AB" w:rsidP="004449AB">
            <w:pPr>
              <w:spacing w:after="0" w:line="240" w:lineRule="auto"/>
              <w:jc w:val="right"/>
              <w:rPr>
                <w:rFonts w:ascii="Times New Roman" w:eastAsia="Times New Roman" w:hAnsi="Times New Roman" w:cs="Times New Roman"/>
                <w:kern w:val="0"/>
                <w:sz w:val="15"/>
                <w:szCs w:val="15"/>
                <w:lang w:eastAsia="pt-BR"/>
                <w14:ligatures w14:val="none"/>
              </w:rPr>
            </w:pPr>
          </w:p>
        </w:tc>
        <w:tc>
          <w:tcPr>
            <w:tcW w:w="49" w:type="pct"/>
            <w:tcBorders>
              <w:top w:val="nil"/>
              <w:left w:val="nil"/>
              <w:bottom w:val="nil"/>
              <w:right w:val="nil"/>
            </w:tcBorders>
            <w:shd w:val="clear" w:color="auto" w:fill="auto"/>
            <w:noWrap/>
            <w:vAlign w:val="center"/>
            <w:hideMark/>
          </w:tcPr>
          <w:p w14:paraId="35F43B0E" w14:textId="77777777" w:rsidR="004449AB" w:rsidRPr="004449AB" w:rsidRDefault="004449AB" w:rsidP="004449AB">
            <w:pPr>
              <w:spacing w:after="0" w:line="240" w:lineRule="auto"/>
              <w:jc w:val="right"/>
              <w:rPr>
                <w:rFonts w:ascii="Times New Roman" w:eastAsia="Times New Roman" w:hAnsi="Times New Roman" w:cs="Times New Roman"/>
                <w:kern w:val="0"/>
                <w:sz w:val="15"/>
                <w:szCs w:val="15"/>
                <w:lang w:eastAsia="pt-BR"/>
                <w14:ligatures w14:val="none"/>
              </w:rPr>
            </w:pPr>
          </w:p>
        </w:tc>
      </w:tr>
      <w:tr w:rsidR="004449AB" w:rsidRPr="004449AB" w14:paraId="00849106" w14:textId="77777777" w:rsidTr="00075425">
        <w:trPr>
          <w:trHeight w:val="200"/>
        </w:trPr>
        <w:tc>
          <w:tcPr>
            <w:tcW w:w="1081" w:type="pct"/>
            <w:tcBorders>
              <w:top w:val="nil"/>
              <w:left w:val="nil"/>
              <w:bottom w:val="nil"/>
              <w:right w:val="nil"/>
            </w:tcBorders>
            <w:shd w:val="clear" w:color="auto" w:fill="auto"/>
            <w:noWrap/>
            <w:vAlign w:val="bottom"/>
            <w:hideMark/>
          </w:tcPr>
          <w:p w14:paraId="553B1C8A" w14:textId="77777777" w:rsidR="004449AB" w:rsidRPr="004449AB" w:rsidRDefault="004449AB" w:rsidP="004449AB">
            <w:pPr>
              <w:spacing w:after="0" w:line="240" w:lineRule="auto"/>
              <w:jc w:val="right"/>
              <w:rPr>
                <w:rFonts w:ascii="Times New Roman" w:eastAsia="Times New Roman" w:hAnsi="Times New Roman" w:cs="Times New Roman"/>
                <w:kern w:val="0"/>
                <w:sz w:val="15"/>
                <w:szCs w:val="15"/>
                <w:lang w:eastAsia="pt-BR"/>
                <w14:ligatures w14:val="none"/>
              </w:rPr>
            </w:pPr>
          </w:p>
        </w:tc>
        <w:tc>
          <w:tcPr>
            <w:tcW w:w="160" w:type="pct"/>
            <w:tcBorders>
              <w:top w:val="nil"/>
              <w:left w:val="nil"/>
              <w:bottom w:val="nil"/>
              <w:right w:val="nil"/>
            </w:tcBorders>
            <w:shd w:val="clear" w:color="auto" w:fill="auto"/>
            <w:noWrap/>
            <w:vAlign w:val="bottom"/>
            <w:hideMark/>
          </w:tcPr>
          <w:p w14:paraId="57C2CE58"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55" w:type="pct"/>
            <w:tcBorders>
              <w:top w:val="nil"/>
              <w:left w:val="nil"/>
              <w:bottom w:val="nil"/>
              <w:right w:val="nil"/>
            </w:tcBorders>
            <w:shd w:val="clear" w:color="auto" w:fill="auto"/>
            <w:noWrap/>
            <w:vAlign w:val="bottom"/>
            <w:hideMark/>
          </w:tcPr>
          <w:p w14:paraId="6772FB9B"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9" w:type="pct"/>
            <w:tcBorders>
              <w:top w:val="nil"/>
              <w:left w:val="nil"/>
              <w:bottom w:val="nil"/>
              <w:right w:val="nil"/>
            </w:tcBorders>
            <w:shd w:val="clear" w:color="auto" w:fill="auto"/>
            <w:noWrap/>
            <w:vAlign w:val="bottom"/>
            <w:hideMark/>
          </w:tcPr>
          <w:p w14:paraId="412B49E4"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55" w:type="pct"/>
            <w:tcBorders>
              <w:top w:val="nil"/>
              <w:left w:val="nil"/>
              <w:bottom w:val="nil"/>
              <w:right w:val="nil"/>
            </w:tcBorders>
            <w:shd w:val="clear" w:color="auto" w:fill="auto"/>
            <w:noWrap/>
            <w:vAlign w:val="bottom"/>
            <w:hideMark/>
          </w:tcPr>
          <w:p w14:paraId="34BE8ED7"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9" w:type="pct"/>
            <w:tcBorders>
              <w:top w:val="nil"/>
              <w:left w:val="nil"/>
              <w:bottom w:val="nil"/>
              <w:right w:val="nil"/>
            </w:tcBorders>
            <w:shd w:val="clear" w:color="auto" w:fill="auto"/>
            <w:noWrap/>
            <w:vAlign w:val="center"/>
            <w:hideMark/>
          </w:tcPr>
          <w:p w14:paraId="0D7A8DDF"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1488" w:type="pct"/>
            <w:tcBorders>
              <w:top w:val="nil"/>
              <w:left w:val="nil"/>
              <w:bottom w:val="nil"/>
              <w:right w:val="nil"/>
            </w:tcBorders>
            <w:shd w:val="clear" w:color="auto" w:fill="auto"/>
            <w:noWrap/>
            <w:vAlign w:val="center"/>
            <w:hideMark/>
          </w:tcPr>
          <w:p w14:paraId="31A16D98" w14:textId="77777777" w:rsidR="004449AB" w:rsidRPr="004449AB" w:rsidRDefault="004449AB" w:rsidP="004449AB">
            <w:pPr>
              <w:spacing w:after="0" w:line="240" w:lineRule="auto"/>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Capital Social</w:t>
            </w:r>
          </w:p>
        </w:tc>
        <w:tc>
          <w:tcPr>
            <w:tcW w:w="160" w:type="pct"/>
            <w:tcBorders>
              <w:top w:val="nil"/>
              <w:left w:val="nil"/>
              <w:bottom w:val="nil"/>
              <w:right w:val="nil"/>
            </w:tcBorders>
            <w:shd w:val="clear" w:color="auto" w:fill="auto"/>
            <w:noWrap/>
            <w:vAlign w:val="center"/>
            <w:hideMark/>
          </w:tcPr>
          <w:p w14:paraId="18F621EF" w14:textId="77777777" w:rsidR="004449AB" w:rsidRPr="004449AB" w:rsidRDefault="004449AB" w:rsidP="004449AB">
            <w:pPr>
              <w:spacing w:after="0" w:line="240" w:lineRule="auto"/>
              <w:rPr>
                <w:rFonts w:ascii="Arial" w:eastAsia="Times New Roman" w:hAnsi="Arial" w:cs="Arial"/>
                <w:color w:val="000000"/>
                <w:kern w:val="0"/>
                <w:sz w:val="15"/>
                <w:szCs w:val="15"/>
                <w:lang w:eastAsia="pt-BR"/>
                <w14:ligatures w14:val="none"/>
              </w:rPr>
            </w:pPr>
          </w:p>
        </w:tc>
        <w:tc>
          <w:tcPr>
            <w:tcW w:w="502" w:type="pct"/>
            <w:tcBorders>
              <w:top w:val="nil"/>
              <w:left w:val="nil"/>
              <w:bottom w:val="nil"/>
              <w:right w:val="nil"/>
            </w:tcBorders>
            <w:shd w:val="clear" w:color="auto" w:fill="auto"/>
            <w:noWrap/>
            <w:vAlign w:val="center"/>
            <w:hideMark/>
          </w:tcPr>
          <w:p w14:paraId="35808CC4"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3.474.498 </w:t>
            </w:r>
          </w:p>
        </w:tc>
        <w:tc>
          <w:tcPr>
            <w:tcW w:w="49" w:type="pct"/>
            <w:tcBorders>
              <w:top w:val="nil"/>
              <w:left w:val="nil"/>
              <w:bottom w:val="nil"/>
              <w:right w:val="nil"/>
            </w:tcBorders>
            <w:shd w:val="clear" w:color="auto" w:fill="auto"/>
            <w:noWrap/>
            <w:vAlign w:val="center"/>
            <w:hideMark/>
          </w:tcPr>
          <w:p w14:paraId="1FA504DC"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502" w:type="pct"/>
            <w:tcBorders>
              <w:top w:val="nil"/>
              <w:left w:val="nil"/>
              <w:bottom w:val="nil"/>
              <w:right w:val="nil"/>
            </w:tcBorders>
            <w:shd w:val="clear" w:color="auto" w:fill="auto"/>
            <w:noWrap/>
            <w:vAlign w:val="center"/>
            <w:hideMark/>
          </w:tcPr>
          <w:p w14:paraId="18B8349B"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3.474.498 </w:t>
            </w:r>
          </w:p>
        </w:tc>
        <w:tc>
          <w:tcPr>
            <w:tcW w:w="49" w:type="pct"/>
            <w:tcBorders>
              <w:top w:val="nil"/>
              <w:left w:val="nil"/>
              <w:bottom w:val="nil"/>
              <w:right w:val="nil"/>
            </w:tcBorders>
            <w:shd w:val="clear" w:color="auto" w:fill="auto"/>
            <w:noWrap/>
            <w:vAlign w:val="center"/>
            <w:hideMark/>
          </w:tcPr>
          <w:p w14:paraId="6DC6D920"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r>
      <w:tr w:rsidR="004449AB" w:rsidRPr="004449AB" w14:paraId="33FA2991" w14:textId="77777777" w:rsidTr="00075425">
        <w:trPr>
          <w:trHeight w:val="200"/>
        </w:trPr>
        <w:tc>
          <w:tcPr>
            <w:tcW w:w="1081" w:type="pct"/>
            <w:tcBorders>
              <w:top w:val="nil"/>
              <w:left w:val="nil"/>
              <w:bottom w:val="nil"/>
              <w:right w:val="nil"/>
            </w:tcBorders>
            <w:shd w:val="clear" w:color="auto" w:fill="auto"/>
            <w:noWrap/>
            <w:vAlign w:val="bottom"/>
            <w:hideMark/>
          </w:tcPr>
          <w:p w14:paraId="78BC31F9" w14:textId="77777777" w:rsidR="004449AB" w:rsidRPr="004449AB" w:rsidRDefault="004449AB" w:rsidP="004449AB">
            <w:pPr>
              <w:spacing w:after="0" w:line="240" w:lineRule="auto"/>
              <w:jc w:val="right"/>
              <w:rPr>
                <w:rFonts w:ascii="Times New Roman" w:eastAsia="Times New Roman" w:hAnsi="Times New Roman" w:cs="Times New Roman"/>
                <w:kern w:val="0"/>
                <w:sz w:val="15"/>
                <w:szCs w:val="15"/>
                <w:lang w:eastAsia="pt-BR"/>
                <w14:ligatures w14:val="none"/>
              </w:rPr>
            </w:pPr>
          </w:p>
        </w:tc>
        <w:tc>
          <w:tcPr>
            <w:tcW w:w="160" w:type="pct"/>
            <w:tcBorders>
              <w:top w:val="nil"/>
              <w:left w:val="nil"/>
              <w:bottom w:val="nil"/>
              <w:right w:val="nil"/>
            </w:tcBorders>
            <w:shd w:val="clear" w:color="auto" w:fill="auto"/>
            <w:noWrap/>
            <w:vAlign w:val="bottom"/>
            <w:hideMark/>
          </w:tcPr>
          <w:p w14:paraId="66D61065"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55" w:type="pct"/>
            <w:tcBorders>
              <w:top w:val="nil"/>
              <w:left w:val="nil"/>
              <w:bottom w:val="nil"/>
              <w:right w:val="nil"/>
            </w:tcBorders>
            <w:shd w:val="clear" w:color="auto" w:fill="auto"/>
            <w:noWrap/>
            <w:vAlign w:val="bottom"/>
            <w:hideMark/>
          </w:tcPr>
          <w:p w14:paraId="3D3FF07F"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9" w:type="pct"/>
            <w:tcBorders>
              <w:top w:val="nil"/>
              <w:left w:val="nil"/>
              <w:bottom w:val="nil"/>
              <w:right w:val="nil"/>
            </w:tcBorders>
            <w:shd w:val="clear" w:color="auto" w:fill="auto"/>
            <w:noWrap/>
            <w:vAlign w:val="bottom"/>
            <w:hideMark/>
          </w:tcPr>
          <w:p w14:paraId="58FA1100"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55" w:type="pct"/>
            <w:tcBorders>
              <w:top w:val="nil"/>
              <w:left w:val="nil"/>
              <w:bottom w:val="nil"/>
              <w:right w:val="nil"/>
            </w:tcBorders>
            <w:shd w:val="clear" w:color="auto" w:fill="auto"/>
            <w:noWrap/>
            <w:vAlign w:val="bottom"/>
            <w:hideMark/>
          </w:tcPr>
          <w:p w14:paraId="0C6B172D"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9" w:type="pct"/>
            <w:tcBorders>
              <w:top w:val="nil"/>
              <w:left w:val="nil"/>
              <w:bottom w:val="nil"/>
              <w:right w:val="nil"/>
            </w:tcBorders>
            <w:shd w:val="clear" w:color="auto" w:fill="auto"/>
            <w:noWrap/>
            <w:vAlign w:val="center"/>
            <w:hideMark/>
          </w:tcPr>
          <w:p w14:paraId="0364DB97"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1488" w:type="pct"/>
            <w:tcBorders>
              <w:top w:val="nil"/>
              <w:left w:val="nil"/>
              <w:bottom w:val="nil"/>
              <w:right w:val="nil"/>
            </w:tcBorders>
            <w:shd w:val="clear" w:color="auto" w:fill="auto"/>
            <w:noWrap/>
            <w:vAlign w:val="center"/>
            <w:hideMark/>
          </w:tcPr>
          <w:p w14:paraId="4F48D2D9" w14:textId="77777777" w:rsidR="004449AB" w:rsidRPr="004449AB" w:rsidRDefault="004449AB" w:rsidP="004449AB">
            <w:pPr>
              <w:spacing w:after="0" w:line="240" w:lineRule="auto"/>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Prejuízos Acumulados</w:t>
            </w:r>
          </w:p>
        </w:tc>
        <w:tc>
          <w:tcPr>
            <w:tcW w:w="160" w:type="pct"/>
            <w:tcBorders>
              <w:top w:val="nil"/>
              <w:left w:val="nil"/>
              <w:bottom w:val="nil"/>
              <w:right w:val="nil"/>
            </w:tcBorders>
            <w:shd w:val="clear" w:color="auto" w:fill="auto"/>
            <w:noWrap/>
            <w:vAlign w:val="center"/>
            <w:hideMark/>
          </w:tcPr>
          <w:p w14:paraId="37CDA201" w14:textId="77777777" w:rsidR="004449AB" w:rsidRPr="004449AB" w:rsidRDefault="004449AB" w:rsidP="004449AB">
            <w:pPr>
              <w:spacing w:after="0" w:line="240" w:lineRule="auto"/>
              <w:rPr>
                <w:rFonts w:ascii="Arial" w:eastAsia="Times New Roman" w:hAnsi="Arial" w:cs="Arial"/>
                <w:color w:val="000000"/>
                <w:kern w:val="0"/>
                <w:sz w:val="15"/>
                <w:szCs w:val="15"/>
                <w:lang w:eastAsia="pt-BR"/>
                <w14:ligatures w14:val="none"/>
              </w:rPr>
            </w:pPr>
          </w:p>
        </w:tc>
        <w:tc>
          <w:tcPr>
            <w:tcW w:w="502" w:type="pct"/>
            <w:tcBorders>
              <w:top w:val="nil"/>
              <w:left w:val="nil"/>
              <w:bottom w:val="nil"/>
              <w:right w:val="nil"/>
            </w:tcBorders>
            <w:shd w:val="clear" w:color="auto" w:fill="auto"/>
            <w:noWrap/>
            <w:vAlign w:val="center"/>
            <w:hideMark/>
          </w:tcPr>
          <w:p w14:paraId="66CCCBAA"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(2.073.212)</w:t>
            </w:r>
          </w:p>
        </w:tc>
        <w:tc>
          <w:tcPr>
            <w:tcW w:w="49" w:type="pct"/>
            <w:tcBorders>
              <w:top w:val="nil"/>
              <w:left w:val="nil"/>
              <w:bottom w:val="nil"/>
              <w:right w:val="nil"/>
            </w:tcBorders>
            <w:shd w:val="clear" w:color="auto" w:fill="auto"/>
            <w:noWrap/>
            <w:vAlign w:val="center"/>
            <w:hideMark/>
          </w:tcPr>
          <w:p w14:paraId="59AE27A7"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502" w:type="pct"/>
            <w:tcBorders>
              <w:top w:val="nil"/>
              <w:left w:val="nil"/>
              <w:bottom w:val="nil"/>
              <w:right w:val="nil"/>
            </w:tcBorders>
            <w:shd w:val="clear" w:color="auto" w:fill="auto"/>
            <w:noWrap/>
            <w:vAlign w:val="center"/>
            <w:hideMark/>
          </w:tcPr>
          <w:p w14:paraId="093404EB"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(1.945.855)</w:t>
            </w:r>
          </w:p>
        </w:tc>
        <w:tc>
          <w:tcPr>
            <w:tcW w:w="49" w:type="pct"/>
            <w:tcBorders>
              <w:top w:val="nil"/>
              <w:left w:val="nil"/>
              <w:bottom w:val="nil"/>
              <w:right w:val="nil"/>
            </w:tcBorders>
            <w:shd w:val="clear" w:color="auto" w:fill="auto"/>
            <w:noWrap/>
            <w:vAlign w:val="center"/>
            <w:hideMark/>
          </w:tcPr>
          <w:p w14:paraId="2BAD5748"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r>
      <w:tr w:rsidR="004449AB" w:rsidRPr="004449AB" w14:paraId="6D0ED113" w14:textId="77777777" w:rsidTr="00075425">
        <w:trPr>
          <w:trHeight w:val="200"/>
        </w:trPr>
        <w:tc>
          <w:tcPr>
            <w:tcW w:w="1081" w:type="pct"/>
            <w:tcBorders>
              <w:top w:val="nil"/>
              <w:left w:val="nil"/>
              <w:bottom w:val="nil"/>
              <w:right w:val="nil"/>
            </w:tcBorders>
            <w:shd w:val="clear" w:color="auto" w:fill="auto"/>
            <w:noWrap/>
            <w:vAlign w:val="bottom"/>
            <w:hideMark/>
          </w:tcPr>
          <w:p w14:paraId="1F19734C" w14:textId="77777777" w:rsidR="004449AB" w:rsidRPr="004449AB" w:rsidRDefault="004449AB" w:rsidP="004449AB">
            <w:pPr>
              <w:spacing w:after="0" w:line="240" w:lineRule="auto"/>
              <w:jc w:val="right"/>
              <w:rPr>
                <w:rFonts w:ascii="Times New Roman" w:eastAsia="Times New Roman" w:hAnsi="Times New Roman" w:cs="Times New Roman"/>
                <w:kern w:val="0"/>
                <w:sz w:val="15"/>
                <w:szCs w:val="15"/>
                <w:lang w:eastAsia="pt-BR"/>
                <w14:ligatures w14:val="none"/>
              </w:rPr>
            </w:pPr>
          </w:p>
        </w:tc>
        <w:tc>
          <w:tcPr>
            <w:tcW w:w="160" w:type="pct"/>
            <w:tcBorders>
              <w:top w:val="nil"/>
              <w:left w:val="nil"/>
              <w:bottom w:val="nil"/>
              <w:right w:val="nil"/>
            </w:tcBorders>
            <w:shd w:val="clear" w:color="auto" w:fill="auto"/>
            <w:noWrap/>
            <w:vAlign w:val="bottom"/>
            <w:hideMark/>
          </w:tcPr>
          <w:p w14:paraId="2E68F95C"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55" w:type="pct"/>
            <w:tcBorders>
              <w:top w:val="nil"/>
              <w:left w:val="nil"/>
              <w:bottom w:val="nil"/>
              <w:right w:val="nil"/>
            </w:tcBorders>
            <w:shd w:val="clear" w:color="auto" w:fill="auto"/>
            <w:noWrap/>
            <w:vAlign w:val="bottom"/>
            <w:hideMark/>
          </w:tcPr>
          <w:p w14:paraId="0C331498"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9" w:type="pct"/>
            <w:tcBorders>
              <w:top w:val="nil"/>
              <w:left w:val="nil"/>
              <w:bottom w:val="nil"/>
              <w:right w:val="nil"/>
            </w:tcBorders>
            <w:shd w:val="clear" w:color="auto" w:fill="auto"/>
            <w:noWrap/>
            <w:vAlign w:val="bottom"/>
            <w:hideMark/>
          </w:tcPr>
          <w:p w14:paraId="1EA9BA5A"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55" w:type="pct"/>
            <w:tcBorders>
              <w:top w:val="nil"/>
              <w:left w:val="nil"/>
              <w:bottom w:val="nil"/>
              <w:right w:val="nil"/>
            </w:tcBorders>
            <w:shd w:val="clear" w:color="auto" w:fill="auto"/>
            <w:noWrap/>
            <w:vAlign w:val="bottom"/>
            <w:hideMark/>
          </w:tcPr>
          <w:p w14:paraId="705ECBD6"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9" w:type="pct"/>
            <w:tcBorders>
              <w:top w:val="nil"/>
              <w:left w:val="nil"/>
              <w:bottom w:val="nil"/>
              <w:right w:val="nil"/>
            </w:tcBorders>
            <w:shd w:val="clear" w:color="auto" w:fill="auto"/>
            <w:noWrap/>
            <w:vAlign w:val="center"/>
            <w:hideMark/>
          </w:tcPr>
          <w:p w14:paraId="7FBEB2F8"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1488" w:type="pct"/>
            <w:tcBorders>
              <w:top w:val="nil"/>
              <w:left w:val="nil"/>
              <w:bottom w:val="nil"/>
              <w:right w:val="nil"/>
            </w:tcBorders>
            <w:shd w:val="clear" w:color="auto" w:fill="auto"/>
            <w:noWrap/>
            <w:vAlign w:val="center"/>
            <w:hideMark/>
          </w:tcPr>
          <w:p w14:paraId="51E4D964" w14:textId="77777777" w:rsidR="004449AB" w:rsidRPr="004449AB" w:rsidRDefault="004449AB" w:rsidP="004449AB">
            <w:pPr>
              <w:spacing w:after="0" w:line="240" w:lineRule="auto"/>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Ajuste de Avaliação Patrimonial</w:t>
            </w:r>
          </w:p>
        </w:tc>
        <w:tc>
          <w:tcPr>
            <w:tcW w:w="160" w:type="pct"/>
            <w:tcBorders>
              <w:top w:val="nil"/>
              <w:left w:val="nil"/>
              <w:bottom w:val="nil"/>
              <w:right w:val="nil"/>
            </w:tcBorders>
            <w:shd w:val="clear" w:color="auto" w:fill="auto"/>
            <w:noWrap/>
            <w:vAlign w:val="center"/>
            <w:hideMark/>
          </w:tcPr>
          <w:p w14:paraId="5374B090" w14:textId="77777777" w:rsidR="004449AB" w:rsidRPr="004449AB" w:rsidRDefault="004449AB" w:rsidP="004449AB">
            <w:pPr>
              <w:spacing w:after="0" w:line="240" w:lineRule="auto"/>
              <w:rPr>
                <w:rFonts w:ascii="Arial" w:eastAsia="Times New Roman" w:hAnsi="Arial" w:cs="Arial"/>
                <w:color w:val="000000"/>
                <w:kern w:val="0"/>
                <w:sz w:val="15"/>
                <w:szCs w:val="15"/>
                <w:lang w:eastAsia="pt-BR"/>
                <w14:ligatures w14:val="none"/>
              </w:rPr>
            </w:pPr>
          </w:p>
        </w:tc>
        <w:tc>
          <w:tcPr>
            <w:tcW w:w="502" w:type="pct"/>
            <w:tcBorders>
              <w:top w:val="nil"/>
              <w:left w:val="nil"/>
              <w:bottom w:val="nil"/>
              <w:right w:val="nil"/>
            </w:tcBorders>
            <w:shd w:val="clear" w:color="auto" w:fill="auto"/>
            <w:noWrap/>
            <w:vAlign w:val="center"/>
            <w:hideMark/>
          </w:tcPr>
          <w:p w14:paraId="3EA658FB"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24.476 </w:t>
            </w:r>
          </w:p>
        </w:tc>
        <w:tc>
          <w:tcPr>
            <w:tcW w:w="49" w:type="pct"/>
            <w:tcBorders>
              <w:top w:val="nil"/>
              <w:left w:val="nil"/>
              <w:bottom w:val="nil"/>
              <w:right w:val="nil"/>
            </w:tcBorders>
            <w:shd w:val="clear" w:color="auto" w:fill="auto"/>
            <w:noWrap/>
            <w:vAlign w:val="center"/>
            <w:hideMark/>
          </w:tcPr>
          <w:p w14:paraId="0EB078C4"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502" w:type="pct"/>
            <w:tcBorders>
              <w:top w:val="nil"/>
              <w:left w:val="nil"/>
              <w:bottom w:val="nil"/>
              <w:right w:val="nil"/>
            </w:tcBorders>
            <w:shd w:val="clear" w:color="auto" w:fill="auto"/>
            <w:noWrap/>
            <w:vAlign w:val="center"/>
            <w:hideMark/>
          </w:tcPr>
          <w:p w14:paraId="2315BA0B"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26.571 </w:t>
            </w:r>
          </w:p>
        </w:tc>
        <w:tc>
          <w:tcPr>
            <w:tcW w:w="49" w:type="pct"/>
            <w:tcBorders>
              <w:top w:val="nil"/>
              <w:left w:val="nil"/>
              <w:bottom w:val="nil"/>
              <w:right w:val="nil"/>
            </w:tcBorders>
            <w:shd w:val="clear" w:color="auto" w:fill="auto"/>
            <w:noWrap/>
            <w:vAlign w:val="center"/>
            <w:hideMark/>
          </w:tcPr>
          <w:p w14:paraId="138EEC60"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r>
      <w:tr w:rsidR="004449AB" w:rsidRPr="004449AB" w14:paraId="71F1C164" w14:textId="77777777" w:rsidTr="00075425">
        <w:trPr>
          <w:trHeight w:val="200"/>
        </w:trPr>
        <w:tc>
          <w:tcPr>
            <w:tcW w:w="1081" w:type="pct"/>
            <w:tcBorders>
              <w:top w:val="nil"/>
              <w:left w:val="nil"/>
              <w:bottom w:val="nil"/>
              <w:right w:val="nil"/>
            </w:tcBorders>
            <w:shd w:val="clear" w:color="auto" w:fill="auto"/>
            <w:noWrap/>
            <w:vAlign w:val="bottom"/>
            <w:hideMark/>
          </w:tcPr>
          <w:p w14:paraId="6C77BA90" w14:textId="77777777" w:rsidR="004449AB" w:rsidRPr="004449AB" w:rsidRDefault="004449AB" w:rsidP="004449AB">
            <w:pPr>
              <w:spacing w:after="0" w:line="240" w:lineRule="auto"/>
              <w:jc w:val="right"/>
              <w:rPr>
                <w:rFonts w:ascii="Times New Roman" w:eastAsia="Times New Roman" w:hAnsi="Times New Roman" w:cs="Times New Roman"/>
                <w:kern w:val="0"/>
                <w:sz w:val="15"/>
                <w:szCs w:val="15"/>
                <w:lang w:eastAsia="pt-BR"/>
                <w14:ligatures w14:val="none"/>
              </w:rPr>
            </w:pPr>
          </w:p>
        </w:tc>
        <w:tc>
          <w:tcPr>
            <w:tcW w:w="160" w:type="pct"/>
            <w:tcBorders>
              <w:top w:val="nil"/>
              <w:left w:val="nil"/>
              <w:bottom w:val="nil"/>
              <w:right w:val="nil"/>
            </w:tcBorders>
            <w:shd w:val="clear" w:color="auto" w:fill="auto"/>
            <w:noWrap/>
            <w:vAlign w:val="bottom"/>
            <w:hideMark/>
          </w:tcPr>
          <w:p w14:paraId="483D1F79"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55" w:type="pct"/>
            <w:tcBorders>
              <w:top w:val="nil"/>
              <w:left w:val="nil"/>
              <w:bottom w:val="nil"/>
              <w:right w:val="nil"/>
            </w:tcBorders>
            <w:shd w:val="clear" w:color="auto" w:fill="auto"/>
            <w:noWrap/>
            <w:vAlign w:val="bottom"/>
            <w:hideMark/>
          </w:tcPr>
          <w:p w14:paraId="6BED33DB"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9" w:type="pct"/>
            <w:tcBorders>
              <w:top w:val="nil"/>
              <w:left w:val="nil"/>
              <w:bottom w:val="nil"/>
              <w:right w:val="nil"/>
            </w:tcBorders>
            <w:shd w:val="clear" w:color="auto" w:fill="auto"/>
            <w:noWrap/>
            <w:vAlign w:val="bottom"/>
            <w:hideMark/>
          </w:tcPr>
          <w:p w14:paraId="05EB3CAB"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55" w:type="pct"/>
            <w:tcBorders>
              <w:top w:val="nil"/>
              <w:left w:val="nil"/>
              <w:bottom w:val="nil"/>
              <w:right w:val="nil"/>
            </w:tcBorders>
            <w:shd w:val="clear" w:color="auto" w:fill="auto"/>
            <w:noWrap/>
            <w:vAlign w:val="bottom"/>
            <w:hideMark/>
          </w:tcPr>
          <w:p w14:paraId="2C831303"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9" w:type="pct"/>
            <w:tcBorders>
              <w:top w:val="nil"/>
              <w:left w:val="nil"/>
              <w:bottom w:val="nil"/>
              <w:right w:val="nil"/>
            </w:tcBorders>
            <w:shd w:val="clear" w:color="auto" w:fill="auto"/>
            <w:noWrap/>
            <w:vAlign w:val="bottom"/>
            <w:hideMark/>
          </w:tcPr>
          <w:p w14:paraId="3B7D17FB"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1488" w:type="pct"/>
            <w:tcBorders>
              <w:top w:val="nil"/>
              <w:left w:val="nil"/>
              <w:bottom w:val="nil"/>
              <w:right w:val="nil"/>
            </w:tcBorders>
            <w:shd w:val="clear" w:color="auto" w:fill="auto"/>
            <w:noWrap/>
            <w:vAlign w:val="center"/>
            <w:hideMark/>
          </w:tcPr>
          <w:p w14:paraId="490DD35F" w14:textId="77777777" w:rsidR="004449AB" w:rsidRPr="004449AB" w:rsidRDefault="004449AB" w:rsidP="004449AB">
            <w:pPr>
              <w:spacing w:after="0" w:line="240" w:lineRule="auto"/>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Ações em Tesouraria</w:t>
            </w:r>
          </w:p>
        </w:tc>
        <w:tc>
          <w:tcPr>
            <w:tcW w:w="160" w:type="pct"/>
            <w:tcBorders>
              <w:top w:val="nil"/>
              <w:left w:val="nil"/>
              <w:bottom w:val="nil"/>
              <w:right w:val="nil"/>
            </w:tcBorders>
            <w:shd w:val="clear" w:color="auto" w:fill="auto"/>
            <w:noWrap/>
            <w:vAlign w:val="center"/>
            <w:hideMark/>
          </w:tcPr>
          <w:p w14:paraId="3272BF86" w14:textId="77777777" w:rsidR="004449AB" w:rsidRPr="004449AB" w:rsidRDefault="004449AB" w:rsidP="004449AB">
            <w:pPr>
              <w:spacing w:after="0" w:line="240" w:lineRule="auto"/>
              <w:rPr>
                <w:rFonts w:ascii="Arial" w:eastAsia="Times New Roman" w:hAnsi="Arial" w:cs="Arial"/>
                <w:color w:val="000000"/>
                <w:kern w:val="0"/>
                <w:sz w:val="15"/>
                <w:szCs w:val="15"/>
                <w:lang w:eastAsia="pt-BR"/>
                <w14:ligatures w14:val="none"/>
              </w:rPr>
            </w:pPr>
          </w:p>
        </w:tc>
        <w:tc>
          <w:tcPr>
            <w:tcW w:w="502" w:type="pct"/>
            <w:tcBorders>
              <w:top w:val="nil"/>
              <w:left w:val="nil"/>
              <w:bottom w:val="nil"/>
              <w:right w:val="nil"/>
            </w:tcBorders>
            <w:shd w:val="clear" w:color="auto" w:fill="auto"/>
            <w:noWrap/>
            <w:vAlign w:val="center"/>
            <w:hideMark/>
          </w:tcPr>
          <w:p w14:paraId="772A539D"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(111)</w:t>
            </w:r>
          </w:p>
        </w:tc>
        <w:tc>
          <w:tcPr>
            <w:tcW w:w="49" w:type="pct"/>
            <w:tcBorders>
              <w:top w:val="nil"/>
              <w:left w:val="nil"/>
              <w:bottom w:val="nil"/>
              <w:right w:val="nil"/>
            </w:tcBorders>
            <w:shd w:val="clear" w:color="auto" w:fill="auto"/>
            <w:noWrap/>
            <w:vAlign w:val="center"/>
            <w:hideMark/>
          </w:tcPr>
          <w:p w14:paraId="2DD6A95E"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c>
          <w:tcPr>
            <w:tcW w:w="502" w:type="pct"/>
            <w:tcBorders>
              <w:top w:val="nil"/>
              <w:left w:val="nil"/>
              <w:bottom w:val="nil"/>
              <w:right w:val="nil"/>
            </w:tcBorders>
            <w:shd w:val="clear" w:color="auto" w:fill="auto"/>
            <w:noWrap/>
            <w:vAlign w:val="center"/>
            <w:hideMark/>
          </w:tcPr>
          <w:p w14:paraId="1F2C5464"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r w:rsidRPr="004449AB">
              <w:rPr>
                <w:rFonts w:ascii="Arial" w:eastAsia="Times New Roman" w:hAnsi="Arial" w:cs="Arial"/>
                <w:color w:val="000000"/>
                <w:kern w:val="0"/>
                <w:sz w:val="15"/>
                <w:szCs w:val="15"/>
                <w:lang w:eastAsia="pt-BR"/>
                <w14:ligatures w14:val="none"/>
              </w:rPr>
              <w:t xml:space="preserve">                       (111)</w:t>
            </w:r>
          </w:p>
        </w:tc>
        <w:tc>
          <w:tcPr>
            <w:tcW w:w="49" w:type="pct"/>
            <w:tcBorders>
              <w:top w:val="nil"/>
              <w:left w:val="nil"/>
              <w:bottom w:val="nil"/>
              <w:right w:val="nil"/>
            </w:tcBorders>
            <w:shd w:val="clear" w:color="auto" w:fill="auto"/>
            <w:noWrap/>
            <w:vAlign w:val="center"/>
            <w:hideMark/>
          </w:tcPr>
          <w:p w14:paraId="02AE409F" w14:textId="77777777" w:rsidR="004449AB" w:rsidRPr="004449AB" w:rsidRDefault="004449AB" w:rsidP="004449AB">
            <w:pPr>
              <w:spacing w:after="0" w:line="240" w:lineRule="auto"/>
              <w:jc w:val="right"/>
              <w:rPr>
                <w:rFonts w:ascii="Arial" w:eastAsia="Times New Roman" w:hAnsi="Arial" w:cs="Arial"/>
                <w:color w:val="000000"/>
                <w:kern w:val="0"/>
                <w:sz w:val="15"/>
                <w:szCs w:val="15"/>
                <w:lang w:eastAsia="pt-BR"/>
                <w14:ligatures w14:val="none"/>
              </w:rPr>
            </w:pPr>
          </w:p>
        </w:tc>
      </w:tr>
      <w:tr w:rsidR="004449AB" w:rsidRPr="004449AB" w14:paraId="1534C0E4" w14:textId="77777777" w:rsidTr="00075425">
        <w:trPr>
          <w:trHeight w:val="200"/>
        </w:trPr>
        <w:tc>
          <w:tcPr>
            <w:tcW w:w="1081" w:type="pct"/>
            <w:tcBorders>
              <w:top w:val="nil"/>
              <w:left w:val="nil"/>
              <w:bottom w:val="nil"/>
              <w:right w:val="nil"/>
            </w:tcBorders>
            <w:shd w:val="clear" w:color="auto" w:fill="auto"/>
            <w:noWrap/>
            <w:vAlign w:val="bottom"/>
            <w:hideMark/>
          </w:tcPr>
          <w:p w14:paraId="62950AEC" w14:textId="77777777" w:rsidR="004449AB" w:rsidRPr="004449AB" w:rsidRDefault="004449AB" w:rsidP="004449AB">
            <w:pPr>
              <w:spacing w:after="0" w:line="240" w:lineRule="auto"/>
              <w:jc w:val="right"/>
              <w:rPr>
                <w:rFonts w:ascii="Times New Roman" w:eastAsia="Times New Roman" w:hAnsi="Times New Roman" w:cs="Times New Roman"/>
                <w:kern w:val="0"/>
                <w:sz w:val="15"/>
                <w:szCs w:val="15"/>
                <w:lang w:eastAsia="pt-BR"/>
                <w14:ligatures w14:val="none"/>
              </w:rPr>
            </w:pPr>
          </w:p>
        </w:tc>
        <w:tc>
          <w:tcPr>
            <w:tcW w:w="160" w:type="pct"/>
            <w:tcBorders>
              <w:top w:val="nil"/>
              <w:left w:val="nil"/>
              <w:bottom w:val="nil"/>
              <w:right w:val="nil"/>
            </w:tcBorders>
            <w:shd w:val="clear" w:color="auto" w:fill="auto"/>
            <w:noWrap/>
            <w:vAlign w:val="bottom"/>
            <w:hideMark/>
          </w:tcPr>
          <w:p w14:paraId="0AD0D861"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55" w:type="pct"/>
            <w:tcBorders>
              <w:top w:val="nil"/>
              <w:left w:val="nil"/>
              <w:bottom w:val="nil"/>
              <w:right w:val="nil"/>
            </w:tcBorders>
            <w:shd w:val="clear" w:color="auto" w:fill="auto"/>
            <w:noWrap/>
            <w:vAlign w:val="bottom"/>
            <w:hideMark/>
          </w:tcPr>
          <w:p w14:paraId="0909B026"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9" w:type="pct"/>
            <w:tcBorders>
              <w:top w:val="nil"/>
              <w:left w:val="nil"/>
              <w:bottom w:val="nil"/>
              <w:right w:val="nil"/>
            </w:tcBorders>
            <w:shd w:val="clear" w:color="auto" w:fill="auto"/>
            <w:noWrap/>
            <w:vAlign w:val="bottom"/>
            <w:hideMark/>
          </w:tcPr>
          <w:p w14:paraId="53B74A0A"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55" w:type="pct"/>
            <w:tcBorders>
              <w:top w:val="nil"/>
              <w:left w:val="nil"/>
              <w:bottom w:val="nil"/>
              <w:right w:val="nil"/>
            </w:tcBorders>
            <w:shd w:val="clear" w:color="auto" w:fill="auto"/>
            <w:noWrap/>
            <w:vAlign w:val="bottom"/>
            <w:hideMark/>
          </w:tcPr>
          <w:p w14:paraId="39A0503A"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9" w:type="pct"/>
            <w:tcBorders>
              <w:top w:val="nil"/>
              <w:left w:val="nil"/>
              <w:bottom w:val="nil"/>
              <w:right w:val="nil"/>
            </w:tcBorders>
            <w:shd w:val="clear" w:color="auto" w:fill="auto"/>
            <w:noWrap/>
            <w:vAlign w:val="center"/>
            <w:hideMark/>
          </w:tcPr>
          <w:p w14:paraId="56329ECE"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1488" w:type="pct"/>
            <w:tcBorders>
              <w:top w:val="nil"/>
              <w:left w:val="nil"/>
              <w:bottom w:val="nil"/>
              <w:right w:val="nil"/>
            </w:tcBorders>
            <w:shd w:val="clear" w:color="auto" w:fill="auto"/>
            <w:noWrap/>
            <w:vAlign w:val="center"/>
            <w:hideMark/>
          </w:tcPr>
          <w:p w14:paraId="6F032797" w14:textId="77777777" w:rsidR="004449AB" w:rsidRPr="004449AB" w:rsidRDefault="004449AB" w:rsidP="004449AB">
            <w:pPr>
              <w:spacing w:after="0" w:line="240" w:lineRule="auto"/>
              <w:rPr>
                <w:rFonts w:ascii="Arial" w:eastAsia="Times New Roman" w:hAnsi="Arial" w:cs="Arial"/>
                <w:b/>
                <w:bCs/>
                <w:color w:val="000000"/>
                <w:kern w:val="0"/>
                <w:sz w:val="15"/>
                <w:szCs w:val="15"/>
                <w:lang w:eastAsia="pt-BR"/>
                <w14:ligatures w14:val="none"/>
              </w:rPr>
            </w:pPr>
            <w:r w:rsidRPr="004449AB">
              <w:rPr>
                <w:rFonts w:ascii="Arial" w:eastAsia="Times New Roman" w:hAnsi="Arial" w:cs="Arial"/>
                <w:b/>
                <w:bCs/>
                <w:color w:val="000000"/>
                <w:kern w:val="0"/>
                <w:sz w:val="15"/>
                <w:szCs w:val="15"/>
                <w:lang w:eastAsia="pt-BR"/>
                <w14:ligatures w14:val="none"/>
              </w:rPr>
              <w:t>Total do Patrimônio Líquido</w:t>
            </w:r>
          </w:p>
        </w:tc>
        <w:tc>
          <w:tcPr>
            <w:tcW w:w="160" w:type="pct"/>
            <w:tcBorders>
              <w:top w:val="nil"/>
              <w:left w:val="nil"/>
              <w:bottom w:val="nil"/>
              <w:right w:val="nil"/>
            </w:tcBorders>
            <w:shd w:val="clear" w:color="auto" w:fill="auto"/>
            <w:noWrap/>
            <w:vAlign w:val="center"/>
            <w:hideMark/>
          </w:tcPr>
          <w:p w14:paraId="6712B521" w14:textId="77777777" w:rsidR="004449AB" w:rsidRPr="004449AB" w:rsidRDefault="004449AB" w:rsidP="004449AB">
            <w:pPr>
              <w:spacing w:after="0" w:line="240" w:lineRule="auto"/>
              <w:rPr>
                <w:rFonts w:ascii="Arial" w:eastAsia="Times New Roman" w:hAnsi="Arial" w:cs="Arial"/>
                <w:b/>
                <w:bCs/>
                <w:color w:val="000000"/>
                <w:kern w:val="0"/>
                <w:sz w:val="15"/>
                <w:szCs w:val="15"/>
                <w:lang w:eastAsia="pt-BR"/>
                <w14:ligatures w14:val="none"/>
              </w:rPr>
            </w:pPr>
          </w:p>
        </w:tc>
        <w:tc>
          <w:tcPr>
            <w:tcW w:w="502" w:type="pct"/>
            <w:tcBorders>
              <w:top w:val="single" w:sz="4" w:space="0" w:color="auto"/>
              <w:left w:val="nil"/>
              <w:bottom w:val="single" w:sz="4" w:space="0" w:color="auto"/>
              <w:right w:val="nil"/>
            </w:tcBorders>
            <w:shd w:val="clear" w:color="auto" w:fill="auto"/>
            <w:noWrap/>
            <w:vAlign w:val="center"/>
            <w:hideMark/>
          </w:tcPr>
          <w:p w14:paraId="53BB94C5" w14:textId="77777777" w:rsidR="004449AB" w:rsidRPr="004449AB" w:rsidRDefault="004449AB" w:rsidP="004449AB">
            <w:pPr>
              <w:spacing w:after="0" w:line="240" w:lineRule="auto"/>
              <w:jc w:val="right"/>
              <w:rPr>
                <w:rFonts w:ascii="Arial" w:eastAsia="Times New Roman" w:hAnsi="Arial" w:cs="Arial"/>
                <w:b/>
                <w:bCs/>
                <w:color w:val="000000"/>
                <w:kern w:val="0"/>
                <w:sz w:val="15"/>
                <w:szCs w:val="15"/>
                <w:lang w:eastAsia="pt-BR"/>
                <w14:ligatures w14:val="none"/>
              </w:rPr>
            </w:pPr>
            <w:r w:rsidRPr="004449AB">
              <w:rPr>
                <w:rFonts w:ascii="Arial" w:eastAsia="Times New Roman" w:hAnsi="Arial" w:cs="Arial"/>
                <w:b/>
                <w:bCs/>
                <w:color w:val="000000"/>
                <w:kern w:val="0"/>
                <w:sz w:val="15"/>
                <w:szCs w:val="15"/>
                <w:lang w:eastAsia="pt-BR"/>
                <w14:ligatures w14:val="none"/>
              </w:rPr>
              <w:t xml:space="preserve">               1.425.651 </w:t>
            </w:r>
          </w:p>
        </w:tc>
        <w:tc>
          <w:tcPr>
            <w:tcW w:w="49" w:type="pct"/>
            <w:tcBorders>
              <w:top w:val="nil"/>
              <w:left w:val="nil"/>
              <w:bottom w:val="nil"/>
              <w:right w:val="nil"/>
            </w:tcBorders>
            <w:shd w:val="clear" w:color="auto" w:fill="auto"/>
            <w:noWrap/>
            <w:vAlign w:val="center"/>
            <w:hideMark/>
          </w:tcPr>
          <w:p w14:paraId="5E4724FA" w14:textId="77777777" w:rsidR="004449AB" w:rsidRPr="004449AB" w:rsidRDefault="004449AB" w:rsidP="004449AB">
            <w:pPr>
              <w:spacing w:after="0" w:line="240" w:lineRule="auto"/>
              <w:jc w:val="right"/>
              <w:rPr>
                <w:rFonts w:ascii="Arial" w:eastAsia="Times New Roman" w:hAnsi="Arial" w:cs="Arial"/>
                <w:b/>
                <w:bCs/>
                <w:color w:val="000000"/>
                <w:kern w:val="0"/>
                <w:sz w:val="15"/>
                <w:szCs w:val="15"/>
                <w:lang w:eastAsia="pt-BR"/>
                <w14:ligatures w14:val="none"/>
              </w:rPr>
            </w:pPr>
          </w:p>
        </w:tc>
        <w:tc>
          <w:tcPr>
            <w:tcW w:w="502" w:type="pct"/>
            <w:tcBorders>
              <w:top w:val="single" w:sz="4" w:space="0" w:color="auto"/>
              <w:left w:val="nil"/>
              <w:bottom w:val="single" w:sz="4" w:space="0" w:color="auto"/>
              <w:right w:val="nil"/>
            </w:tcBorders>
            <w:shd w:val="clear" w:color="auto" w:fill="auto"/>
            <w:noWrap/>
            <w:vAlign w:val="center"/>
            <w:hideMark/>
          </w:tcPr>
          <w:p w14:paraId="6A627BBC" w14:textId="77777777" w:rsidR="004449AB" w:rsidRPr="004449AB" w:rsidRDefault="004449AB" w:rsidP="004449AB">
            <w:pPr>
              <w:spacing w:after="0" w:line="240" w:lineRule="auto"/>
              <w:jc w:val="right"/>
              <w:rPr>
                <w:rFonts w:ascii="Arial" w:eastAsia="Times New Roman" w:hAnsi="Arial" w:cs="Arial"/>
                <w:b/>
                <w:bCs/>
                <w:color w:val="000000"/>
                <w:kern w:val="0"/>
                <w:sz w:val="15"/>
                <w:szCs w:val="15"/>
                <w:lang w:eastAsia="pt-BR"/>
                <w14:ligatures w14:val="none"/>
              </w:rPr>
            </w:pPr>
            <w:r w:rsidRPr="004449AB">
              <w:rPr>
                <w:rFonts w:ascii="Arial" w:eastAsia="Times New Roman" w:hAnsi="Arial" w:cs="Arial"/>
                <w:b/>
                <w:bCs/>
                <w:color w:val="000000"/>
                <w:kern w:val="0"/>
                <w:sz w:val="15"/>
                <w:szCs w:val="15"/>
                <w:lang w:eastAsia="pt-BR"/>
                <w14:ligatures w14:val="none"/>
              </w:rPr>
              <w:t xml:space="preserve">               1.555.103 </w:t>
            </w:r>
          </w:p>
        </w:tc>
        <w:tc>
          <w:tcPr>
            <w:tcW w:w="49" w:type="pct"/>
            <w:tcBorders>
              <w:top w:val="nil"/>
              <w:left w:val="nil"/>
              <w:bottom w:val="nil"/>
              <w:right w:val="nil"/>
            </w:tcBorders>
            <w:shd w:val="clear" w:color="auto" w:fill="auto"/>
            <w:noWrap/>
            <w:vAlign w:val="center"/>
            <w:hideMark/>
          </w:tcPr>
          <w:p w14:paraId="5F31D13C" w14:textId="77777777" w:rsidR="004449AB" w:rsidRPr="004449AB" w:rsidRDefault="004449AB" w:rsidP="004449AB">
            <w:pPr>
              <w:spacing w:after="0" w:line="240" w:lineRule="auto"/>
              <w:jc w:val="right"/>
              <w:rPr>
                <w:rFonts w:ascii="Arial" w:eastAsia="Times New Roman" w:hAnsi="Arial" w:cs="Arial"/>
                <w:b/>
                <w:bCs/>
                <w:color w:val="000000"/>
                <w:kern w:val="0"/>
                <w:sz w:val="15"/>
                <w:szCs w:val="15"/>
                <w:lang w:eastAsia="pt-BR"/>
                <w14:ligatures w14:val="none"/>
              </w:rPr>
            </w:pPr>
          </w:p>
        </w:tc>
      </w:tr>
      <w:tr w:rsidR="004449AB" w:rsidRPr="004449AB" w14:paraId="438B0B87" w14:textId="77777777" w:rsidTr="00075425">
        <w:trPr>
          <w:trHeight w:val="200"/>
        </w:trPr>
        <w:tc>
          <w:tcPr>
            <w:tcW w:w="1081" w:type="pct"/>
            <w:tcBorders>
              <w:top w:val="nil"/>
              <w:left w:val="nil"/>
              <w:bottom w:val="nil"/>
              <w:right w:val="nil"/>
            </w:tcBorders>
            <w:shd w:val="clear" w:color="auto" w:fill="auto"/>
            <w:noWrap/>
            <w:vAlign w:val="bottom"/>
            <w:hideMark/>
          </w:tcPr>
          <w:p w14:paraId="23D8B95B" w14:textId="77777777" w:rsidR="004449AB" w:rsidRPr="004449AB" w:rsidRDefault="004449AB" w:rsidP="004449AB">
            <w:pPr>
              <w:spacing w:after="0" w:line="240" w:lineRule="auto"/>
              <w:jc w:val="right"/>
              <w:rPr>
                <w:rFonts w:ascii="Times New Roman" w:eastAsia="Times New Roman" w:hAnsi="Times New Roman" w:cs="Times New Roman"/>
                <w:kern w:val="0"/>
                <w:sz w:val="15"/>
                <w:szCs w:val="15"/>
                <w:lang w:eastAsia="pt-BR"/>
                <w14:ligatures w14:val="none"/>
              </w:rPr>
            </w:pPr>
          </w:p>
        </w:tc>
        <w:tc>
          <w:tcPr>
            <w:tcW w:w="160" w:type="pct"/>
            <w:tcBorders>
              <w:top w:val="nil"/>
              <w:left w:val="nil"/>
              <w:bottom w:val="nil"/>
              <w:right w:val="nil"/>
            </w:tcBorders>
            <w:shd w:val="clear" w:color="auto" w:fill="auto"/>
            <w:noWrap/>
            <w:vAlign w:val="bottom"/>
            <w:hideMark/>
          </w:tcPr>
          <w:p w14:paraId="4C4B9952"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55" w:type="pct"/>
            <w:tcBorders>
              <w:top w:val="nil"/>
              <w:left w:val="nil"/>
              <w:bottom w:val="nil"/>
              <w:right w:val="nil"/>
            </w:tcBorders>
            <w:shd w:val="clear" w:color="auto" w:fill="auto"/>
            <w:noWrap/>
            <w:vAlign w:val="bottom"/>
            <w:hideMark/>
          </w:tcPr>
          <w:p w14:paraId="0B45C0A6"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9" w:type="pct"/>
            <w:tcBorders>
              <w:top w:val="nil"/>
              <w:left w:val="nil"/>
              <w:bottom w:val="nil"/>
              <w:right w:val="nil"/>
            </w:tcBorders>
            <w:shd w:val="clear" w:color="auto" w:fill="auto"/>
            <w:noWrap/>
            <w:vAlign w:val="bottom"/>
            <w:hideMark/>
          </w:tcPr>
          <w:p w14:paraId="0DFC5C53"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55" w:type="pct"/>
            <w:tcBorders>
              <w:top w:val="nil"/>
              <w:left w:val="nil"/>
              <w:bottom w:val="nil"/>
              <w:right w:val="nil"/>
            </w:tcBorders>
            <w:shd w:val="clear" w:color="auto" w:fill="auto"/>
            <w:noWrap/>
            <w:vAlign w:val="bottom"/>
            <w:hideMark/>
          </w:tcPr>
          <w:p w14:paraId="256EA296"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9" w:type="pct"/>
            <w:tcBorders>
              <w:top w:val="nil"/>
              <w:left w:val="nil"/>
              <w:bottom w:val="nil"/>
              <w:right w:val="nil"/>
            </w:tcBorders>
            <w:shd w:val="clear" w:color="auto" w:fill="auto"/>
            <w:noWrap/>
            <w:vAlign w:val="center"/>
            <w:hideMark/>
          </w:tcPr>
          <w:p w14:paraId="20602471"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1488" w:type="pct"/>
            <w:tcBorders>
              <w:top w:val="nil"/>
              <w:left w:val="nil"/>
              <w:bottom w:val="nil"/>
              <w:right w:val="nil"/>
            </w:tcBorders>
            <w:shd w:val="clear" w:color="auto" w:fill="auto"/>
            <w:noWrap/>
            <w:vAlign w:val="bottom"/>
            <w:hideMark/>
          </w:tcPr>
          <w:p w14:paraId="2362D5A0"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160" w:type="pct"/>
            <w:tcBorders>
              <w:top w:val="nil"/>
              <w:left w:val="nil"/>
              <w:bottom w:val="nil"/>
              <w:right w:val="nil"/>
            </w:tcBorders>
            <w:shd w:val="clear" w:color="auto" w:fill="auto"/>
            <w:noWrap/>
            <w:vAlign w:val="bottom"/>
            <w:hideMark/>
          </w:tcPr>
          <w:p w14:paraId="21AA150C"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502" w:type="pct"/>
            <w:tcBorders>
              <w:top w:val="nil"/>
              <w:left w:val="nil"/>
              <w:bottom w:val="nil"/>
              <w:right w:val="nil"/>
            </w:tcBorders>
            <w:shd w:val="clear" w:color="auto" w:fill="auto"/>
            <w:noWrap/>
            <w:vAlign w:val="bottom"/>
            <w:hideMark/>
          </w:tcPr>
          <w:p w14:paraId="14F63080"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9" w:type="pct"/>
            <w:tcBorders>
              <w:top w:val="nil"/>
              <w:left w:val="nil"/>
              <w:bottom w:val="nil"/>
              <w:right w:val="nil"/>
            </w:tcBorders>
            <w:shd w:val="clear" w:color="auto" w:fill="auto"/>
            <w:noWrap/>
            <w:vAlign w:val="bottom"/>
            <w:hideMark/>
          </w:tcPr>
          <w:p w14:paraId="43AF4863"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502" w:type="pct"/>
            <w:tcBorders>
              <w:top w:val="nil"/>
              <w:left w:val="nil"/>
              <w:bottom w:val="nil"/>
              <w:right w:val="nil"/>
            </w:tcBorders>
            <w:shd w:val="clear" w:color="auto" w:fill="auto"/>
            <w:noWrap/>
            <w:vAlign w:val="bottom"/>
            <w:hideMark/>
          </w:tcPr>
          <w:p w14:paraId="3678C60C"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9" w:type="pct"/>
            <w:tcBorders>
              <w:top w:val="nil"/>
              <w:left w:val="nil"/>
              <w:bottom w:val="nil"/>
              <w:right w:val="nil"/>
            </w:tcBorders>
            <w:shd w:val="clear" w:color="auto" w:fill="auto"/>
            <w:noWrap/>
            <w:vAlign w:val="bottom"/>
            <w:hideMark/>
          </w:tcPr>
          <w:p w14:paraId="52528A28"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r>
      <w:tr w:rsidR="004449AB" w:rsidRPr="004449AB" w14:paraId="67235449" w14:textId="77777777" w:rsidTr="00075425">
        <w:trPr>
          <w:trHeight w:val="200"/>
        </w:trPr>
        <w:tc>
          <w:tcPr>
            <w:tcW w:w="1081" w:type="pct"/>
            <w:tcBorders>
              <w:top w:val="nil"/>
              <w:left w:val="nil"/>
              <w:bottom w:val="nil"/>
              <w:right w:val="nil"/>
            </w:tcBorders>
            <w:shd w:val="clear" w:color="auto" w:fill="auto"/>
            <w:noWrap/>
            <w:vAlign w:val="center"/>
            <w:hideMark/>
          </w:tcPr>
          <w:p w14:paraId="48462291" w14:textId="77777777" w:rsidR="004449AB" w:rsidRPr="004449AB" w:rsidRDefault="004449AB" w:rsidP="004449AB">
            <w:pPr>
              <w:spacing w:after="0" w:line="240" w:lineRule="auto"/>
              <w:rPr>
                <w:rFonts w:ascii="Arial" w:eastAsia="Times New Roman" w:hAnsi="Arial" w:cs="Arial"/>
                <w:b/>
                <w:bCs/>
                <w:color w:val="000000"/>
                <w:kern w:val="0"/>
                <w:sz w:val="15"/>
                <w:szCs w:val="15"/>
                <w:lang w:eastAsia="pt-BR"/>
                <w14:ligatures w14:val="none"/>
              </w:rPr>
            </w:pPr>
            <w:r w:rsidRPr="004449AB">
              <w:rPr>
                <w:rFonts w:ascii="Arial" w:eastAsia="Times New Roman" w:hAnsi="Arial" w:cs="Arial"/>
                <w:b/>
                <w:bCs/>
                <w:color w:val="000000"/>
                <w:kern w:val="0"/>
                <w:sz w:val="15"/>
                <w:szCs w:val="15"/>
                <w:lang w:eastAsia="pt-BR"/>
                <w14:ligatures w14:val="none"/>
              </w:rPr>
              <w:t>Total do Ativo</w:t>
            </w:r>
          </w:p>
        </w:tc>
        <w:tc>
          <w:tcPr>
            <w:tcW w:w="160" w:type="pct"/>
            <w:tcBorders>
              <w:top w:val="nil"/>
              <w:left w:val="nil"/>
              <w:bottom w:val="nil"/>
              <w:right w:val="nil"/>
            </w:tcBorders>
            <w:shd w:val="clear" w:color="auto" w:fill="auto"/>
            <w:noWrap/>
            <w:vAlign w:val="center"/>
            <w:hideMark/>
          </w:tcPr>
          <w:p w14:paraId="45A8FD6D" w14:textId="77777777" w:rsidR="004449AB" w:rsidRPr="004449AB" w:rsidRDefault="004449AB" w:rsidP="004449AB">
            <w:pPr>
              <w:spacing w:after="0" w:line="240" w:lineRule="auto"/>
              <w:rPr>
                <w:rFonts w:ascii="Arial" w:eastAsia="Times New Roman" w:hAnsi="Arial" w:cs="Arial"/>
                <w:b/>
                <w:bCs/>
                <w:color w:val="000000"/>
                <w:kern w:val="0"/>
                <w:sz w:val="15"/>
                <w:szCs w:val="15"/>
                <w:lang w:eastAsia="pt-BR"/>
                <w14:ligatures w14:val="none"/>
              </w:rPr>
            </w:pPr>
          </w:p>
        </w:tc>
        <w:tc>
          <w:tcPr>
            <w:tcW w:w="455" w:type="pct"/>
            <w:tcBorders>
              <w:top w:val="single" w:sz="4" w:space="0" w:color="auto"/>
              <w:left w:val="nil"/>
              <w:bottom w:val="double" w:sz="6" w:space="0" w:color="auto"/>
              <w:right w:val="nil"/>
            </w:tcBorders>
            <w:shd w:val="clear" w:color="auto" w:fill="auto"/>
            <w:noWrap/>
            <w:vAlign w:val="center"/>
            <w:hideMark/>
          </w:tcPr>
          <w:p w14:paraId="7F0F15E3" w14:textId="77777777" w:rsidR="004449AB" w:rsidRPr="004449AB" w:rsidRDefault="004449AB" w:rsidP="004449AB">
            <w:pPr>
              <w:spacing w:after="0" w:line="240" w:lineRule="auto"/>
              <w:jc w:val="right"/>
              <w:rPr>
                <w:rFonts w:ascii="Arial" w:eastAsia="Times New Roman" w:hAnsi="Arial" w:cs="Arial"/>
                <w:b/>
                <w:bCs/>
                <w:color w:val="000000"/>
                <w:kern w:val="0"/>
                <w:sz w:val="15"/>
                <w:szCs w:val="15"/>
                <w:lang w:eastAsia="pt-BR"/>
                <w14:ligatures w14:val="none"/>
              </w:rPr>
            </w:pPr>
            <w:r w:rsidRPr="004449AB">
              <w:rPr>
                <w:rFonts w:ascii="Arial" w:eastAsia="Times New Roman" w:hAnsi="Arial" w:cs="Arial"/>
                <w:b/>
                <w:bCs/>
                <w:color w:val="000000"/>
                <w:kern w:val="0"/>
                <w:sz w:val="15"/>
                <w:szCs w:val="15"/>
                <w:lang w:eastAsia="pt-BR"/>
                <w14:ligatures w14:val="none"/>
              </w:rPr>
              <w:t xml:space="preserve">             4.003.587 </w:t>
            </w:r>
          </w:p>
        </w:tc>
        <w:tc>
          <w:tcPr>
            <w:tcW w:w="49" w:type="pct"/>
            <w:tcBorders>
              <w:top w:val="nil"/>
              <w:left w:val="nil"/>
              <w:bottom w:val="nil"/>
              <w:right w:val="nil"/>
            </w:tcBorders>
            <w:shd w:val="clear" w:color="auto" w:fill="auto"/>
            <w:noWrap/>
            <w:vAlign w:val="center"/>
            <w:hideMark/>
          </w:tcPr>
          <w:p w14:paraId="00C796C3" w14:textId="77777777" w:rsidR="004449AB" w:rsidRPr="004449AB" w:rsidRDefault="004449AB" w:rsidP="004449AB">
            <w:pPr>
              <w:spacing w:after="0" w:line="240" w:lineRule="auto"/>
              <w:jc w:val="right"/>
              <w:rPr>
                <w:rFonts w:ascii="Arial" w:eastAsia="Times New Roman" w:hAnsi="Arial" w:cs="Arial"/>
                <w:b/>
                <w:bCs/>
                <w:color w:val="000000"/>
                <w:kern w:val="0"/>
                <w:sz w:val="15"/>
                <w:szCs w:val="15"/>
                <w:lang w:eastAsia="pt-BR"/>
                <w14:ligatures w14:val="none"/>
              </w:rPr>
            </w:pPr>
          </w:p>
        </w:tc>
        <w:tc>
          <w:tcPr>
            <w:tcW w:w="455" w:type="pct"/>
            <w:tcBorders>
              <w:top w:val="single" w:sz="4" w:space="0" w:color="auto"/>
              <w:left w:val="nil"/>
              <w:bottom w:val="double" w:sz="6" w:space="0" w:color="auto"/>
              <w:right w:val="nil"/>
            </w:tcBorders>
            <w:shd w:val="clear" w:color="auto" w:fill="auto"/>
            <w:noWrap/>
            <w:vAlign w:val="center"/>
            <w:hideMark/>
          </w:tcPr>
          <w:p w14:paraId="03EF5C88" w14:textId="77777777" w:rsidR="004449AB" w:rsidRPr="004449AB" w:rsidRDefault="004449AB" w:rsidP="004449AB">
            <w:pPr>
              <w:spacing w:after="0" w:line="240" w:lineRule="auto"/>
              <w:jc w:val="right"/>
              <w:rPr>
                <w:rFonts w:ascii="Arial" w:eastAsia="Times New Roman" w:hAnsi="Arial" w:cs="Arial"/>
                <w:b/>
                <w:bCs/>
                <w:color w:val="000000"/>
                <w:kern w:val="0"/>
                <w:sz w:val="15"/>
                <w:szCs w:val="15"/>
                <w:lang w:eastAsia="pt-BR"/>
                <w14:ligatures w14:val="none"/>
              </w:rPr>
            </w:pPr>
            <w:r w:rsidRPr="004449AB">
              <w:rPr>
                <w:rFonts w:ascii="Arial" w:eastAsia="Times New Roman" w:hAnsi="Arial" w:cs="Arial"/>
                <w:b/>
                <w:bCs/>
                <w:color w:val="000000"/>
                <w:kern w:val="0"/>
                <w:sz w:val="15"/>
                <w:szCs w:val="15"/>
                <w:lang w:eastAsia="pt-BR"/>
                <w14:ligatures w14:val="none"/>
              </w:rPr>
              <w:t xml:space="preserve">             4.035.411 </w:t>
            </w:r>
          </w:p>
        </w:tc>
        <w:tc>
          <w:tcPr>
            <w:tcW w:w="49" w:type="pct"/>
            <w:tcBorders>
              <w:top w:val="nil"/>
              <w:left w:val="nil"/>
              <w:bottom w:val="nil"/>
              <w:right w:val="nil"/>
            </w:tcBorders>
            <w:shd w:val="clear" w:color="auto" w:fill="auto"/>
            <w:noWrap/>
            <w:vAlign w:val="bottom"/>
            <w:hideMark/>
          </w:tcPr>
          <w:p w14:paraId="10BD8EE6" w14:textId="77777777" w:rsidR="004449AB" w:rsidRPr="004449AB" w:rsidRDefault="004449AB" w:rsidP="004449AB">
            <w:pPr>
              <w:spacing w:after="0" w:line="240" w:lineRule="auto"/>
              <w:jc w:val="right"/>
              <w:rPr>
                <w:rFonts w:ascii="Arial" w:eastAsia="Times New Roman" w:hAnsi="Arial" w:cs="Arial"/>
                <w:b/>
                <w:bCs/>
                <w:color w:val="000000"/>
                <w:kern w:val="0"/>
                <w:sz w:val="15"/>
                <w:szCs w:val="15"/>
                <w:lang w:eastAsia="pt-BR"/>
                <w14:ligatures w14:val="none"/>
              </w:rPr>
            </w:pPr>
          </w:p>
        </w:tc>
        <w:tc>
          <w:tcPr>
            <w:tcW w:w="1488" w:type="pct"/>
            <w:tcBorders>
              <w:top w:val="nil"/>
              <w:left w:val="nil"/>
              <w:bottom w:val="nil"/>
              <w:right w:val="nil"/>
            </w:tcBorders>
            <w:shd w:val="clear" w:color="auto" w:fill="auto"/>
            <w:noWrap/>
            <w:vAlign w:val="center"/>
            <w:hideMark/>
          </w:tcPr>
          <w:p w14:paraId="531FC316" w14:textId="77777777" w:rsidR="004449AB" w:rsidRPr="004449AB" w:rsidRDefault="004449AB" w:rsidP="004449AB">
            <w:pPr>
              <w:spacing w:after="0" w:line="240" w:lineRule="auto"/>
              <w:rPr>
                <w:rFonts w:ascii="Arial" w:eastAsia="Times New Roman" w:hAnsi="Arial" w:cs="Arial"/>
                <w:b/>
                <w:bCs/>
                <w:color w:val="000000"/>
                <w:kern w:val="0"/>
                <w:sz w:val="15"/>
                <w:szCs w:val="15"/>
                <w:lang w:eastAsia="pt-BR"/>
                <w14:ligatures w14:val="none"/>
              </w:rPr>
            </w:pPr>
            <w:r w:rsidRPr="004449AB">
              <w:rPr>
                <w:rFonts w:ascii="Arial" w:eastAsia="Times New Roman" w:hAnsi="Arial" w:cs="Arial"/>
                <w:b/>
                <w:bCs/>
                <w:color w:val="000000"/>
                <w:kern w:val="0"/>
                <w:sz w:val="15"/>
                <w:szCs w:val="15"/>
                <w:lang w:eastAsia="pt-BR"/>
                <w14:ligatures w14:val="none"/>
              </w:rPr>
              <w:t>Total do Passivo</w:t>
            </w:r>
          </w:p>
        </w:tc>
        <w:tc>
          <w:tcPr>
            <w:tcW w:w="160" w:type="pct"/>
            <w:tcBorders>
              <w:top w:val="nil"/>
              <w:left w:val="nil"/>
              <w:bottom w:val="nil"/>
              <w:right w:val="nil"/>
            </w:tcBorders>
            <w:shd w:val="clear" w:color="auto" w:fill="auto"/>
            <w:noWrap/>
            <w:vAlign w:val="center"/>
            <w:hideMark/>
          </w:tcPr>
          <w:p w14:paraId="048C000A" w14:textId="77777777" w:rsidR="004449AB" w:rsidRPr="004449AB" w:rsidRDefault="004449AB" w:rsidP="004449AB">
            <w:pPr>
              <w:spacing w:after="0" w:line="240" w:lineRule="auto"/>
              <w:rPr>
                <w:rFonts w:ascii="Arial" w:eastAsia="Times New Roman" w:hAnsi="Arial" w:cs="Arial"/>
                <w:b/>
                <w:bCs/>
                <w:color w:val="000000"/>
                <w:kern w:val="0"/>
                <w:sz w:val="15"/>
                <w:szCs w:val="15"/>
                <w:lang w:eastAsia="pt-BR"/>
                <w14:ligatures w14:val="none"/>
              </w:rPr>
            </w:pPr>
          </w:p>
        </w:tc>
        <w:tc>
          <w:tcPr>
            <w:tcW w:w="502" w:type="pct"/>
            <w:tcBorders>
              <w:top w:val="single" w:sz="4" w:space="0" w:color="auto"/>
              <w:left w:val="nil"/>
              <w:bottom w:val="double" w:sz="6" w:space="0" w:color="auto"/>
              <w:right w:val="nil"/>
            </w:tcBorders>
            <w:shd w:val="clear" w:color="auto" w:fill="auto"/>
            <w:noWrap/>
            <w:vAlign w:val="center"/>
            <w:hideMark/>
          </w:tcPr>
          <w:p w14:paraId="09EA2B8B" w14:textId="77777777" w:rsidR="004449AB" w:rsidRPr="004449AB" w:rsidRDefault="004449AB" w:rsidP="004449AB">
            <w:pPr>
              <w:spacing w:after="0" w:line="240" w:lineRule="auto"/>
              <w:jc w:val="right"/>
              <w:rPr>
                <w:rFonts w:ascii="Arial" w:eastAsia="Times New Roman" w:hAnsi="Arial" w:cs="Arial"/>
                <w:b/>
                <w:bCs/>
                <w:color w:val="000000"/>
                <w:kern w:val="0"/>
                <w:sz w:val="15"/>
                <w:szCs w:val="15"/>
                <w:lang w:eastAsia="pt-BR"/>
                <w14:ligatures w14:val="none"/>
              </w:rPr>
            </w:pPr>
            <w:r w:rsidRPr="004449AB">
              <w:rPr>
                <w:rFonts w:ascii="Arial" w:eastAsia="Times New Roman" w:hAnsi="Arial" w:cs="Arial"/>
                <w:b/>
                <w:bCs/>
                <w:color w:val="000000"/>
                <w:kern w:val="0"/>
                <w:sz w:val="15"/>
                <w:szCs w:val="15"/>
                <w:lang w:eastAsia="pt-BR"/>
                <w14:ligatures w14:val="none"/>
              </w:rPr>
              <w:t xml:space="preserve">               4.003.587 </w:t>
            </w:r>
          </w:p>
        </w:tc>
        <w:tc>
          <w:tcPr>
            <w:tcW w:w="49" w:type="pct"/>
            <w:tcBorders>
              <w:top w:val="nil"/>
              <w:left w:val="nil"/>
              <w:bottom w:val="nil"/>
              <w:right w:val="nil"/>
            </w:tcBorders>
            <w:shd w:val="clear" w:color="auto" w:fill="auto"/>
            <w:noWrap/>
            <w:vAlign w:val="center"/>
            <w:hideMark/>
          </w:tcPr>
          <w:p w14:paraId="779537E7" w14:textId="77777777" w:rsidR="004449AB" w:rsidRPr="004449AB" w:rsidRDefault="004449AB" w:rsidP="004449AB">
            <w:pPr>
              <w:spacing w:after="0" w:line="240" w:lineRule="auto"/>
              <w:jc w:val="right"/>
              <w:rPr>
                <w:rFonts w:ascii="Arial" w:eastAsia="Times New Roman" w:hAnsi="Arial" w:cs="Arial"/>
                <w:b/>
                <w:bCs/>
                <w:color w:val="000000"/>
                <w:kern w:val="0"/>
                <w:sz w:val="15"/>
                <w:szCs w:val="15"/>
                <w:lang w:eastAsia="pt-BR"/>
                <w14:ligatures w14:val="none"/>
              </w:rPr>
            </w:pPr>
          </w:p>
        </w:tc>
        <w:tc>
          <w:tcPr>
            <w:tcW w:w="502" w:type="pct"/>
            <w:tcBorders>
              <w:top w:val="single" w:sz="4" w:space="0" w:color="auto"/>
              <w:left w:val="nil"/>
              <w:bottom w:val="double" w:sz="6" w:space="0" w:color="auto"/>
              <w:right w:val="nil"/>
            </w:tcBorders>
            <w:shd w:val="clear" w:color="auto" w:fill="auto"/>
            <w:noWrap/>
            <w:vAlign w:val="center"/>
            <w:hideMark/>
          </w:tcPr>
          <w:p w14:paraId="328E92E7" w14:textId="77777777" w:rsidR="004449AB" w:rsidRPr="004449AB" w:rsidRDefault="004449AB" w:rsidP="004449AB">
            <w:pPr>
              <w:spacing w:after="0" w:line="240" w:lineRule="auto"/>
              <w:jc w:val="right"/>
              <w:rPr>
                <w:rFonts w:ascii="Arial" w:eastAsia="Times New Roman" w:hAnsi="Arial" w:cs="Arial"/>
                <w:b/>
                <w:bCs/>
                <w:color w:val="000000"/>
                <w:kern w:val="0"/>
                <w:sz w:val="15"/>
                <w:szCs w:val="15"/>
                <w:lang w:eastAsia="pt-BR"/>
                <w14:ligatures w14:val="none"/>
              </w:rPr>
            </w:pPr>
            <w:r w:rsidRPr="004449AB">
              <w:rPr>
                <w:rFonts w:ascii="Arial" w:eastAsia="Times New Roman" w:hAnsi="Arial" w:cs="Arial"/>
                <w:b/>
                <w:bCs/>
                <w:color w:val="000000"/>
                <w:kern w:val="0"/>
                <w:sz w:val="15"/>
                <w:szCs w:val="15"/>
                <w:lang w:eastAsia="pt-BR"/>
                <w14:ligatures w14:val="none"/>
              </w:rPr>
              <w:t xml:space="preserve">               4.035.411 </w:t>
            </w:r>
          </w:p>
        </w:tc>
        <w:tc>
          <w:tcPr>
            <w:tcW w:w="49" w:type="pct"/>
            <w:tcBorders>
              <w:top w:val="nil"/>
              <w:left w:val="nil"/>
              <w:bottom w:val="nil"/>
              <w:right w:val="nil"/>
            </w:tcBorders>
            <w:shd w:val="clear" w:color="auto" w:fill="auto"/>
            <w:noWrap/>
            <w:vAlign w:val="center"/>
            <w:hideMark/>
          </w:tcPr>
          <w:p w14:paraId="22A676AB" w14:textId="77777777" w:rsidR="004449AB" w:rsidRPr="004449AB" w:rsidRDefault="004449AB" w:rsidP="004449AB">
            <w:pPr>
              <w:spacing w:after="0" w:line="240" w:lineRule="auto"/>
              <w:jc w:val="right"/>
              <w:rPr>
                <w:rFonts w:ascii="Arial" w:eastAsia="Times New Roman" w:hAnsi="Arial" w:cs="Arial"/>
                <w:b/>
                <w:bCs/>
                <w:color w:val="000000"/>
                <w:kern w:val="0"/>
                <w:sz w:val="15"/>
                <w:szCs w:val="15"/>
                <w:lang w:eastAsia="pt-BR"/>
                <w14:ligatures w14:val="none"/>
              </w:rPr>
            </w:pPr>
          </w:p>
        </w:tc>
      </w:tr>
      <w:tr w:rsidR="004449AB" w:rsidRPr="004449AB" w14:paraId="27AB68BB" w14:textId="77777777" w:rsidTr="00075425">
        <w:trPr>
          <w:trHeight w:val="200"/>
        </w:trPr>
        <w:tc>
          <w:tcPr>
            <w:tcW w:w="1081" w:type="pct"/>
            <w:tcBorders>
              <w:top w:val="nil"/>
              <w:left w:val="nil"/>
              <w:bottom w:val="nil"/>
              <w:right w:val="nil"/>
            </w:tcBorders>
            <w:shd w:val="clear" w:color="auto" w:fill="auto"/>
            <w:noWrap/>
            <w:vAlign w:val="bottom"/>
            <w:hideMark/>
          </w:tcPr>
          <w:p w14:paraId="51657060" w14:textId="77777777" w:rsidR="004449AB" w:rsidRPr="004449AB" w:rsidRDefault="004449AB" w:rsidP="004449AB">
            <w:pPr>
              <w:spacing w:after="0" w:line="240" w:lineRule="auto"/>
              <w:jc w:val="right"/>
              <w:rPr>
                <w:rFonts w:ascii="Times New Roman" w:eastAsia="Times New Roman" w:hAnsi="Times New Roman" w:cs="Times New Roman"/>
                <w:kern w:val="0"/>
                <w:sz w:val="15"/>
                <w:szCs w:val="15"/>
                <w:lang w:eastAsia="pt-BR"/>
                <w14:ligatures w14:val="none"/>
              </w:rPr>
            </w:pPr>
          </w:p>
        </w:tc>
        <w:tc>
          <w:tcPr>
            <w:tcW w:w="160" w:type="pct"/>
            <w:tcBorders>
              <w:top w:val="nil"/>
              <w:left w:val="nil"/>
              <w:bottom w:val="nil"/>
              <w:right w:val="nil"/>
            </w:tcBorders>
            <w:shd w:val="clear" w:color="auto" w:fill="auto"/>
            <w:noWrap/>
            <w:vAlign w:val="bottom"/>
            <w:hideMark/>
          </w:tcPr>
          <w:p w14:paraId="3B94F661"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55" w:type="pct"/>
            <w:tcBorders>
              <w:top w:val="nil"/>
              <w:left w:val="nil"/>
              <w:bottom w:val="nil"/>
              <w:right w:val="nil"/>
            </w:tcBorders>
            <w:shd w:val="clear" w:color="auto" w:fill="auto"/>
            <w:noWrap/>
            <w:vAlign w:val="bottom"/>
            <w:hideMark/>
          </w:tcPr>
          <w:p w14:paraId="5CBCC978"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9" w:type="pct"/>
            <w:tcBorders>
              <w:top w:val="nil"/>
              <w:left w:val="nil"/>
              <w:bottom w:val="nil"/>
              <w:right w:val="nil"/>
            </w:tcBorders>
            <w:shd w:val="clear" w:color="auto" w:fill="auto"/>
            <w:noWrap/>
            <w:vAlign w:val="bottom"/>
            <w:hideMark/>
          </w:tcPr>
          <w:p w14:paraId="5189DF74"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55" w:type="pct"/>
            <w:tcBorders>
              <w:top w:val="nil"/>
              <w:left w:val="nil"/>
              <w:bottom w:val="nil"/>
              <w:right w:val="nil"/>
            </w:tcBorders>
            <w:shd w:val="clear" w:color="auto" w:fill="auto"/>
            <w:noWrap/>
            <w:vAlign w:val="bottom"/>
            <w:hideMark/>
          </w:tcPr>
          <w:p w14:paraId="314E3D55"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9" w:type="pct"/>
            <w:tcBorders>
              <w:top w:val="nil"/>
              <w:left w:val="nil"/>
              <w:bottom w:val="nil"/>
              <w:right w:val="nil"/>
            </w:tcBorders>
            <w:shd w:val="clear" w:color="auto" w:fill="auto"/>
            <w:noWrap/>
            <w:vAlign w:val="bottom"/>
            <w:hideMark/>
          </w:tcPr>
          <w:p w14:paraId="2193B7B4"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1488" w:type="pct"/>
            <w:tcBorders>
              <w:top w:val="nil"/>
              <w:left w:val="nil"/>
              <w:bottom w:val="nil"/>
              <w:right w:val="nil"/>
            </w:tcBorders>
            <w:shd w:val="clear" w:color="auto" w:fill="auto"/>
            <w:noWrap/>
            <w:vAlign w:val="bottom"/>
            <w:hideMark/>
          </w:tcPr>
          <w:p w14:paraId="3AFB355B"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160" w:type="pct"/>
            <w:tcBorders>
              <w:top w:val="nil"/>
              <w:left w:val="nil"/>
              <w:bottom w:val="nil"/>
              <w:right w:val="nil"/>
            </w:tcBorders>
            <w:shd w:val="clear" w:color="auto" w:fill="auto"/>
            <w:noWrap/>
            <w:vAlign w:val="bottom"/>
            <w:hideMark/>
          </w:tcPr>
          <w:p w14:paraId="523AAA0A"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502" w:type="pct"/>
            <w:tcBorders>
              <w:top w:val="nil"/>
              <w:left w:val="nil"/>
              <w:bottom w:val="nil"/>
              <w:right w:val="nil"/>
            </w:tcBorders>
            <w:shd w:val="clear" w:color="auto" w:fill="auto"/>
            <w:noWrap/>
            <w:vAlign w:val="bottom"/>
            <w:hideMark/>
          </w:tcPr>
          <w:p w14:paraId="2F9A3480"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9" w:type="pct"/>
            <w:tcBorders>
              <w:top w:val="nil"/>
              <w:left w:val="nil"/>
              <w:bottom w:val="nil"/>
              <w:right w:val="nil"/>
            </w:tcBorders>
            <w:shd w:val="clear" w:color="auto" w:fill="auto"/>
            <w:noWrap/>
            <w:vAlign w:val="bottom"/>
            <w:hideMark/>
          </w:tcPr>
          <w:p w14:paraId="49DCD76F"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502" w:type="pct"/>
            <w:tcBorders>
              <w:top w:val="nil"/>
              <w:left w:val="nil"/>
              <w:bottom w:val="nil"/>
              <w:right w:val="nil"/>
            </w:tcBorders>
            <w:shd w:val="clear" w:color="auto" w:fill="auto"/>
            <w:noWrap/>
            <w:vAlign w:val="bottom"/>
            <w:hideMark/>
          </w:tcPr>
          <w:p w14:paraId="38419B5C"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9" w:type="pct"/>
            <w:tcBorders>
              <w:top w:val="nil"/>
              <w:left w:val="nil"/>
              <w:bottom w:val="nil"/>
              <w:right w:val="nil"/>
            </w:tcBorders>
            <w:shd w:val="clear" w:color="auto" w:fill="auto"/>
            <w:noWrap/>
            <w:vAlign w:val="bottom"/>
            <w:hideMark/>
          </w:tcPr>
          <w:p w14:paraId="47F1F0B0"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r>
      <w:tr w:rsidR="004449AB" w:rsidRPr="004449AB" w14:paraId="087BB459" w14:textId="77777777" w:rsidTr="00075425">
        <w:trPr>
          <w:trHeight w:val="200"/>
        </w:trPr>
        <w:tc>
          <w:tcPr>
            <w:tcW w:w="2200" w:type="pct"/>
            <w:gridSpan w:val="5"/>
            <w:tcBorders>
              <w:top w:val="nil"/>
              <w:left w:val="nil"/>
              <w:bottom w:val="nil"/>
              <w:right w:val="nil"/>
            </w:tcBorders>
            <w:shd w:val="clear" w:color="auto" w:fill="auto"/>
            <w:noWrap/>
            <w:vAlign w:val="bottom"/>
            <w:hideMark/>
          </w:tcPr>
          <w:p w14:paraId="75DD8AC6" w14:textId="77777777" w:rsidR="004449AB" w:rsidRPr="004449AB" w:rsidRDefault="004449AB" w:rsidP="004449AB">
            <w:pPr>
              <w:spacing w:after="0" w:line="240" w:lineRule="auto"/>
              <w:rPr>
                <w:rFonts w:ascii="Arial" w:eastAsia="Times New Roman" w:hAnsi="Arial" w:cs="Arial"/>
                <w:b/>
                <w:bCs/>
                <w:kern w:val="0"/>
                <w:sz w:val="15"/>
                <w:szCs w:val="15"/>
                <w:lang w:eastAsia="pt-BR"/>
                <w14:ligatures w14:val="none"/>
              </w:rPr>
            </w:pPr>
            <w:r w:rsidRPr="004449AB">
              <w:rPr>
                <w:rFonts w:ascii="Arial" w:eastAsia="Times New Roman" w:hAnsi="Arial" w:cs="Arial"/>
                <w:b/>
                <w:bCs/>
                <w:kern w:val="0"/>
                <w:sz w:val="15"/>
                <w:szCs w:val="15"/>
                <w:lang w:eastAsia="pt-BR"/>
                <w14:ligatures w14:val="none"/>
              </w:rPr>
              <w:lastRenderedPageBreak/>
              <w:t>As notas explicativas são parte integrante das demonstrações contábeis</w:t>
            </w:r>
          </w:p>
        </w:tc>
        <w:tc>
          <w:tcPr>
            <w:tcW w:w="49" w:type="pct"/>
            <w:tcBorders>
              <w:top w:val="nil"/>
              <w:left w:val="nil"/>
              <w:bottom w:val="nil"/>
              <w:right w:val="nil"/>
            </w:tcBorders>
            <w:shd w:val="clear" w:color="auto" w:fill="auto"/>
            <w:noWrap/>
            <w:vAlign w:val="bottom"/>
            <w:hideMark/>
          </w:tcPr>
          <w:p w14:paraId="4F21BAA6" w14:textId="77777777" w:rsidR="004449AB" w:rsidRPr="004449AB" w:rsidRDefault="004449AB" w:rsidP="004449AB">
            <w:pPr>
              <w:spacing w:after="0" w:line="240" w:lineRule="auto"/>
              <w:rPr>
                <w:rFonts w:ascii="Arial" w:eastAsia="Times New Roman" w:hAnsi="Arial" w:cs="Arial"/>
                <w:b/>
                <w:bCs/>
                <w:kern w:val="0"/>
                <w:sz w:val="15"/>
                <w:szCs w:val="15"/>
                <w:lang w:eastAsia="pt-BR"/>
                <w14:ligatures w14:val="none"/>
              </w:rPr>
            </w:pPr>
          </w:p>
        </w:tc>
        <w:tc>
          <w:tcPr>
            <w:tcW w:w="1488" w:type="pct"/>
            <w:tcBorders>
              <w:top w:val="nil"/>
              <w:left w:val="nil"/>
              <w:bottom w:val="nil"/>
              <w:right w:val="nil"/>
            </w:tcBorders>
            <w:shd w:val="clear" w:color="auto" w:fill="auto"/>
            <w:noWrap/>
            <w:vAlign w:val="bottom"/>
            <w:hideMark/>
          </w:tcPr>
          <w:p w14:paraId="5C0261B9"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160" w:type="pct"/>
            <w:tcBorders>
              <w:top w:val="nil"/>
              <w:left w:val="nil"/>
              <w:bottom w:val="nil"/>
              <w:right w:val="nil"/>
            </w:tcBorders>
            <w:shd w:val="clear" w:color="auto" w:fill="auto"/>
            <w:noWrap/>
            <w:vAlign w:val="bottom"/>
            <w:hideMark/>
          </w:tcPr>
          <w:p w14:paraId="626BD3DE"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502" w:type="pct"/>
            <w:tcBorders>
              <w:top w:val="nil"/>
              <w:left w:val="nil"/>
              <w:bottom w:val="nil"/>
              <w:right w:val="nil"/>
            </w:tcBorders>
            <w:shd w:val="clear" w:color="auto" w:fill="auto"/>
            <w:noWrap/>
            <w:vAlign w:val="bottom"/>
            <w:hideMark/>
          </w:tcPr>
          <w:p w14:paraId="5DABC76F"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9" w:type="pct"/>
            <w:tcBorders>
              <w:top w:val="nil"/>
              <w:left w:val="nil"/>
              <w:bottom w:val="nil"/>
              <w:right w:val="nil"/>
            </w:tcBorders>
            <w:shd w:val="clear" w:color="auto" w:fill="auto"/>
            <w:noWrap/>
            <w:vAlign w:val="bottom"/>
            <w:hideMark/>
          </w:tcPr>
          <w:p w14:paraId="220EDAB9"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502" w:type="pct"/>
            <w:tcBorders>
              <w:top w:val="nil"/>
              <w:left w:val="nil"/>
              <w:bottom w:val="nil"/>
              <w:right w:val="nil"/>
            </w:tcBorders>
            <w:shd w:val="clear" w:color="auto" w:fill="auto"/>
            <w:noWrap/>
            <w:vAlign w:val="bottom"/>
            <w:hideMark/>
          </w:tcPr>
          <w:p w14:paraId="2EE9A62D"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c>
          <w:tcPr>
            <w:tcW w:w="49" w:type="pct"/>
            <w:tcBorders>
              <w:top w:val="nil"/>
              <w:left w:val="nil"/>
              <w:bottom w:val="nil"/>
              <w:right w:val="nil"/>
            </w:tcBorders>
            <w:shd w:val="clear" w:color="auto" w:fill="auto"/>
            <w:noWrap/>
            <w:vAlign w:val="bottom"/>
            <w:hideMark/>
          </w:tcPr>
          <w:p w14:paraId="5498E450" w14:textId="77777777" w:rsidR="004449AB" w:rsidRPr="004449AB" w:rsidRDefault="004449AB" w:rsidP="004449AB">
            <w:pPr>
              <w:spacing w:after="0" w:line="240" w:lineRule="auto"/>
              <w:rPr>
                <w:rFonts w:ascii="Times New Roman" w:eastAsia="Times New Roman" w:hAnsi="Times New Roman" w:cs="Times New Roman"/>
                <w:kern w:val="0"/>
                <w:sz w:val="15"/>
                <w:szCs w:val="15"/>
                <w:lang w:eastAsia="pt-BR"/>
                <w14:ligatures w14:val="none"/>
              </w:rPr>
            </w:pPr>
          </w:p>
        </w:tc>
      </w:tr>
      <w:bookmarkEnd w:id="374"/>
    </w:tbl>
    <w:p w14:paraId="3FC499B7" w14:textId="77777777" w:rsidR="004449AB" w:rsidRDefault="004449AB" w:rsidP="001D10E5">
      <w:pPr>
        <w:spacing w:after="0"/>
        <w:jc w:val="both"/>
        <w:rPr>
          <w:noProof/>
        </w:rPr>
      </w:pPr>
    </w:p>
    <w:p w14:paraId="4A0695AC" w14:textId="77777777" w:rsidR="004449AB" w:rsidRDefault="004449AB" w:rsidP="001D10E5">
      <w:pPr>
        <w:spacing w:after="0"/>
        <w:jc w:val="both"/>
        <w:rPr>
          <w:noProof/>
        </w:rPr>
      </w:pPr>
    </w:p>
    <w:p w14:paraId="6CF343E7" w14:textId="77777777" w:rsidR="004449AB" w:rsidRDefault="004449AB" w:rsidP="001D10E5">
      <w:pPr>
        <w:spacing w:after="0"/>
        <w:jc w:val="both"/>
        <w:rPr>
          <w:noProof/>
        </w:rPr>
      </w:pPr>
    </w:p>
    <w:p w14:paraId="2B5D0521" w14:textId="77777777" w:rsidR="004449AB" w:rsidRDefault="004449AB" w:rsidP="001D10E5">
      <w:pPr>
        <w:spacing w:after="0"/>
        <w:jc w:val="both"/>
        <w:rPr>
          <w:noProof/>
        </w:rPr>
      </w:pPr>
    </w:p>
    <w:p w14:paraId="047D10DC" w14:textId="77777777" w:rsidR="004449AB" w:rsidRDefault="004449AB" w:rsidP="001D10E5">
      <w:pPr>
        <w:spacing w:after="0"/>
        <w:jc w:val="both"/>
        <w:rPr>
          <w:noProof/>
        </w:rPr>
      </w:pPr>
    </w:p>
    <w:p w14:paraId="0F08135B" w14:textId="77777777" w:rsidR="004449AB" w:rsidRDefault="004449AB" w:rsidP="001D10E5">
      <w:pPr>
        <w:spacing w:after="0"/>
        <w:jc w:val="both"/>
        <w:rPr>
          <w:noProof/>
        </w:rPr>
      </w:pPr>
    </w:p>
    <w:p w14:paraId="4F2787AC" w14:textId="77777777" w:rsidR="004449AB" w:rsidRDefault="004449AB" w:rsidP="001D10E5">
      <w:pPr>
        <w:spacing w:after="0"/>
        <w:jc w:val="both"/>
        <w:rPr>
          <w:noProof/>
        </w:rPr>
      </w:pPr>
    </w:p>
    <w:p w14:paraId="40285140" w14:textId="77777777" w:rsidR="004449AB" w:rsidRDefault="004449AB" w:rsidP="001D10E5">
      <w:pPr>
        <w:spacing w:after="0"/>
        <w:jc w:val="both"/>
        <w:rPr>
          <w:noProof/>
        </w:rPr>
      </w:pPr>
    </w:p>
    <w:p w14:paraId="5752A278" w14:textId="77777777" w:rsidR="004449AB" w:rsidRDefault="004449AB" w:rsidP="001D10E5">
      <w:pPr>
        <w:spacing w:after="0"/>
        <w:jc w:val="both"/>
        <w:rPr>
          <w:noProof/>
        </w:rPr>
      </w:pPr>
    </w:p>
    <w:p w14:paraId="7A1653B9" w14:textId="77777777" w:rsidR="004449AB" w:rsidRDefault="004449AB" w:rsidP="001D10E5">
      <w:pPr>
        <w:spacing w:after="0"/>
        <w:jc w:val="both"/>
        <w:rPr>
          <w:noProof/>
        </w:rPr>
      </w:pPr>
    </w:p>
    <w:p w14:paraId="48120F21" w14:textId="77777777" w:rsidR="004449AB" w:rsidRDefault="004449AB" w:rsidP="001D10E5">
      <w:pPr>
        <w:spacing w:after="0"/>
        <w:jc w:val="both"/>
        <w:rPr>
          <w:noProof/>
        </w:rPr>
      </w:pPr>
    </w:p>
    <w:p w14:paraId="32DAA79C" w14:textId="77777777" w:rsidR="004449AB" w:rsidRDefault="004449AB" w:rsidP="001D10E5">
      <w:pPr>
        <w:spacing w:after="0"/>
        <w:jc w:val="both"/>
        <w:rPr>
          <w:noProof/>
        </w:rPr>
      </w:pPr>
    </w:p>
    <w:p w14:paraId="48E106AA" w14:textId="77777777" w:rsidR="004449AB" w:rsidRDefault="004449AB" w:rsidP="001D10E5">
      <w:pPr>
        <w:spacing w:after="0"/>
        <w:jc w:val="both"/>
        <w:rPr>
          <w:noProof/>
        </w:rPr>
      </w:pPr>
    </w:p>
    <w:p w14:paraId="79F9B938" w14:textId="77777777" w:rsidR="004449AB" w:rsidRDefault="004449AB" w:rsidP="001D10E5">
      <w:pPr>
        <w:spacing w:after="0"/>
        <w:jc w:val="both"/>
        <w:rPr>
          <w:noProof/>
        </w:rPr>
      </w:pPr>
    </w:p>
    <w:p w14:paraId="48B6DDFC" w14:textId="77777777" w:rsidR="004449AB" w:rsidRDefault="004449AB" w:rsidP="001D10E5">
      <w:pPr>
        <w:spacing w:after="0"/>
        <w:jc w:val="both"/>
        <w:rPr>
          <w:noProof/>
        </w:rPr>
      </w:pPr>
    </w:p>
    <w:p w14:paraId="7C7AAAC5" w14:textId="77777777" w:rsidR="004449AB" w:rsidRDefault="004449AB" w:rsidP="001D10E5">
      <w:pPr>
        <w:spacing w:after="0"/>
        <w:jc w:val="both"/>
        <w:rPr>
          <w:noProof/>
        </w:rPr>
      </w:pPr>
    </w:p>
    <w:p w14:paraId="6AF864A4" w14:textId="77777777" w:rsidR="004449AB" w:rsidRDefault="004449AB" w:rsidP="001D10E5">
      <w:pPr>
        <w:spacing w:after="0"/>
        <w:jc w:val="both"/>
        <w:rPr>
          <w:noProof/>
        </w:rPr>
      </w:pPr>
    </w:p>
    <w:p w14:paraId="015650B1" w14:textId="77777777" w:rsidR="004449AB" w:rsidRDefault="004449AB" w:rsidP="001D10E5">
      <w:pPr>
        <w:spacing w:after="0"/>
        <w:jc w:val="both"/>
        <w:rPr>
          <w:noProof/>
        </w:rPr>
      </w:pPr>
    </w:p>
    <w:p w14:paraId="42673570" w14:textId="77777777" w:rsidR="004449AB" w:rsidRDefault="004449AB" w:rsidP="001D10E5">
      <w:pPr>
        <w:spacing w:after="0"/>
        <w:jc w:val="both"/>
        <w:rPr>
          <w:noProof/>
        </w:rPr>
      </w:pPr>
    </w:p>
    <w:p w14:paraId="3B7C3F51" w14:textId="77777777" w:rsidR="004449AB" w:rsidRDefault="004449AB" w:rsidP="001D10E5">
      <w:pPr>
        <w:spacing w:after="0"/>
        <w:jc w:val="both"/>
        <w:rPr>
          <w:noProof/>
        </w:rPr>
      </w:pPr>
    </w:p>
    <w:p w14:paraId="1AB7CC22" w14:textId="77777777" w:rsidR="004449AB" w:rsidRDefault="004449AB" w:rsidP="001D10E5">
      <w:pPr>
        <w:spacing w:after="0"/>
        <w:jc w:val="both"/>
        <w:rPr>
          <w:noProof/>
        </w:rPr>
      </w:pPr>
    </w:p>
    <w:p w14:paraId="77A19FCD" w14:textId="77777777" w:rsidR="004449AB" w:rsidRDefault="004449AB" w:rsidP="001D10E5">
      <w:pPr>
        <w:spacing w:after="0"/>
        <w:jc w:val="both"/>
        <w:rPr>
          <w:noProof/>
        </w:rPr>
      </w:pPr>
    </w:p>
    <w:p w14:paraId="57BB77F0" w14:textId="77777777" w:rsidR="004449AB" w:rsidRDefault="004449AB" w:rsidP="001D10E5">
      <w:pPr>
        <w:spacing w:after="0"/>
        <w:jc w:val="both"/>
        <w:rPr>
          <w:noProof/>
        </w:rPr>
      </w:pPr>
    </w:p>
    <w:p w14:paraId="513F27A6" w14:textId="77777777" w:rsidR="004449AB" w:rsidRDefault="004449AB" w:rsidP="001D10E5">
      <w:pPr>
        <w:spacing w:after="0"/>
        <w:jc w:val="both"/>
        <w:rPr>
          <w:noProof/>
        </w:rPr>
      </w:pPr>
    </w:p>
    <w:p w14:paraId="14AF6F06" w14:textId="77777777" w:rsidR="004449AB" w:rsidRDefault="004449AB" w:rsidP="001D10E5">
      <w:pPr>
        <w:spacing w:after="0"/>
        <w:jc w:val="both"/>
        <w:rPr>
          <w:noProof/>
        </w:rPr>
      </w:pPr>
    </w:p>
    <w:p w14:paraId="06024BC7" w14:textId="77777777" w:rsidR="004449AB" w:rsidRDefault="004449AB" w:rsidP="001D10E5">
      <w:pPr>
        <w:spacing w:after="0"/>
        <w:jc w:val="both"/>
        <w:rPr>
          <w:noProof/>
        </w:rPr>
      </w:pPr>
    </w:p>
    <w:p w14:paraId="287DC01E" w14:textId="77777777" w:rsidR="004449AB" w:rsidRDefault="004449AB" w:rsidP="001D10E5">
      <w:pPr>
        <w:spacing w:after="0"/>
        <w:jc w:val="both"/>
        <w:rPr>
          <w:noProof/>
        </w:rPr>
      </w:pPr>
    </w:p>
    <w:p w14:paraId="6391ECE2" w14:textId="77777777" w:rsidR="004449AB" w:rsidRDefault="004449AB" w:rsidP="001D10E5">
      <w:pPr>
        <w:spacing w:after="0"/>
        <w:jc w:val="both"/>
        <w:rPr>
          <w:noProof/>
        </w:rPr>
      </w:pPr>
    </w:p>
    <w:p w14:paraId="6B660514" w14:textId="77777777" w:rsidR="004449AB" w:rsidRDefault="004449AB" w:rsidP="001D10E5">
      <w:pPr>
        <w:spacing w:after="0"/>
        <w:jc w:val="both"/>
        <w:rPr>
          <w:noProof/>
        </w:rPr>
      </w:pPr>
    </w:p>
    <w:p w14:paraId="2AD0942D" w14:textId="77777777" w:rsidR="004449AB" w:rsidRDefault="004449AB" w:rsidP="001D10E5">
      <w:pPr>
        <w:spacing w:after="0"/>
        <w:jc w:val="both"/>
        <w:rPr>
          <w:noProof/>
        </w:rPr>
      </w:pPr>
    </w:p>
    <w:p w14:paraId="5F29A1DC" w14:textId="77777777" w:rsidR="004449AB" w:rsidRDefault="004449AB" w:rsidP="001D10E5">
      <w:pPr>
        <w:spacing w:after="0"/>
        <w:jc w:val="both"/>
        <w:rPr>
          <w:noProof/>
        </w:rPr>
      </w:pPr>
    </w:p>
    <w:p w14:paraId="5DA01B23" w14:textId="77777777" w:rsidR="004449AB" w:rsidRDefault="004449AB" w:rsidP="001D10E5">
      <w:pPr>
        <w:spacing w:after="0"/>
        <w:jc w:val="both"/>
        <w:rPr>
          <w:noProof/>
        </w:rPr>
      </w:pPr>
    </w:p>
    <w:p w14:paraId="7B95A801" w14:textId="77777777" w:rsidR="004449AB" w:rsidRDefault="004449AB" w:rsidP="001D10E5">
      <w:pPr>
        <w:spacing w:after="0"/>
        <w:jc w:val="both"/>
        <w:rPr>
          <w:noProof/>
        </w:rPr>
      </w:pPr>
    </w:p>
    <w:p w14:paraId="40AE9B7E" w14:textId="77777777" w:rsidR="004449AB" w:rsidRDefault="004449AB" w:rsidP="001D10E5">
      <w:pPr>
        <w:spacing w:after="0"/>
        <w:jc w:val="both"/>
        <w:rPr>
          <w:noProof/>
        </w:rPr>
      </w:pPr>
    </w:p>
    <w:p w14:paraId="03A6072F" w14:textId="77777777" w:rsidR="004449AB" w:rsidRDefault="004449AB" w:rsidP="001D10E5">
      <w:pPr>
        <w:spacing w:after="0"/>
        <w:jc w:val="both"/>
        <w:rPr>
          <w:noProof/>
        </w:rPr>
      </w:pPr>
    </w:p>
    <w:p w14:paraId="07B2674A" w14:textId="77777777" w:rsidR="004449AB" w:rsidRDefault="004449AB" w:rsidP="001D10E5">
      <w:pPr>
        <w:spacing w:after="0"/>
        <w:jc w:val="both"/>
        <w:rPr>
          <w:noProof/>
        </w:rPr>
      </w:pPr>
    </w:p>
    <w:p w14:paraId="13888B3A" w14:textId="77777777" w:rsidR="004449AB" w:rsidRDefault="004449AB" w:rsidP="001D10E5">
      <w:pPr>
        <w:spacing w:after="0"/>
        <w:jc w:val="both"/>
        <w:rPr>
          <w:noProof/>
        </w:rPr>
      </w:pPr>
    </w:p>
    <w:p w14:paraId="7BC67EAC" w14:textId="77777777" w:rsidR="004449AB" w:rsidRDefault="004449AB" w:rsidP="001D10E5">
      <w:pPr>
        <w:spacing w:after="0"/>
        <w:jc w:val="both"/>
        <w:rPr>
          <w:noProof/>
        </w:rPr>
      </w:pPr>
    </w:p>
    <w:p w14:paraId="71E83711" w14:textId="77777777" w:rsidR="004449AB" w:rsidRDefault="004449AB" w:rsidP="001D10E5">
      <w:pPr>
        <w:spacing w:after="0"/>
        <w:jc w:val="both"/>
        <w:rPr>
          <w:noProof/>
        </w:rPr>
      </w:pPr>
    </w:p>
    <w:p w14:paraId="24D9A432" w14:textId="77777777" w:rsidR="004449AB" w:rsidRDefault="004449AB" w:rsidP="001D10E5">
      <w:pPr>
        <w:spacing w:after="0"/>
        <w:jc w:val="both"/>
        <w:rPr>
          <w:noProof/>
        </w:rPr>
      </w:pPr>
    </w:p>
    <w:p w14:paraId="6BEA5CE6" w14:textId="77777777" w:rsidR="004449AB" w:rsidRDefault="004449AB" w:rsidP="001D10E5">
      <w:pPr>
        <w:spacing w:after="0"/>
        <w:jc w:val="both"/>
        <w:rPr>
          <w:noProof/>
        </w:rPr>
      </w:pPr>
    </w:p>
    <w:p w14:paraId="6B9E9F9E" w14:textId="77777777" w:rsidR="004449AB" w:rsidRDefault="004449AB" w:rsidP="001D10E5">
      <w:pPr>
        <w:spacing w:after="0"/>
        <w:jc w:val="both"/>
        <w:rPr>
          <w:noProof/>
        </w:rPr>
      </w:pPr>
    </w:p>
    <w:p w14:paraId="240D0163" w14:textId="77777777" w:rsidR="004449AB" w:rsidRDefault="004449AB" w:rsidP="001D10E5">
      <w:pPr>
        <w:spacing w:after="0"/>
        <w:jc w:val="both"/>
        <w:rPr>
          <w:noProof/>
        </w:rPr>
      </w:pPr>
    </w:p>
    <w:p w14:paraId="35CB3C28" w14:textId="77777777" w:rsidR="004449AB" w:rsidRDefault="004449AB" w:rsidP="001D10E5">
      <w:pPr>
        <w:spacing w:after="0"/>
        <w:jc w:val="both"/>
        <w:rPr>
          <w:noProof/>
        </w:rPr>
      </w:pPr>
    </w:p>
    <w:tbl>
      <w:tblPr>
        <w:tblW w:w="5115" w:type="pct"/>
        <w:tblCellMar>
          <w:left w:w="70" w:type="dxa"/>
          <w:right w:w="70" w:type="dxa"/>
        </w:tblCellMar>
        <w:tblLook w:val="04A0" w:firstRow="1" w:lastRow="0" w:firstColumn="1" w:lastColumn="0" w:noHBand="0" w:noVBand="1"/>
      </w:tblPr>
      <w:tblGrid>
        <w:gridCol w:w="4913"/>
        <w:gridCol w:w="540"/>
        <w:gridCol w:w="219"/>
        <w:gridCol w:w="1749"/>
        <w:gridCol w:w="191"/>
        <w:gridCol w:w="1669"/>
      </w:tblGrid>
      <w:tr w:rsidR="004449AB" w:rsidRPr="004449AB" w14:paraId="5AE23F3E" w14:textId="77777777" w:rsidTr="00075425">
        <w:trPr>
          <w:trHeight w:val="256"/>
        </w:trPr>
        <w:tc>
          <w:tcPr>
            <w:tcW w:w="5000" w:type="pct"/>
            <w:gridSpan w:val="6"/>
            <w:tcBorders>
              <w:top w:val="nil"/>
              <w:left w:val="nil"/>
              <w:bottom w:val="nil"/>
              <w:right w:val="nil"/>
            </w:tcBorders>
            <w:shd w:val="clear" w:color="auto" w:fill="auto"/>
            <w:noWrap/>
            <w:vAlign w:val="bottom"/>
            <w:hideMark/>
          </w:tcPr>
          <w:p w14:paraId="72C06B53" w14:textId="77777777" w:rsidR="004449AB" w:rsidRPr="004449AB" w:rsidRDefault="004449AB" w:rsidP="004449AB">
            <w:pPr>
              <w:spacing w:after="0" w:line="240" w:lineRule="auto"/>
              <w:jc w:val="center"/>
              <w:rPr>
                <w:rFonts w:ascii="Arial" w:eastAsia="Times New Roman" w:hAnsi="Arial" w:cs="Arial"/>
                <w:b/>
                <w:bCs/>
                <w:kern w:val="0"/>
                <w:sz w:val="18"/>
                <w:szCs w:val="18"/>
                <w:lang w:eastAsia="pt-BR"/>
                <w14:ligatures w14:val="none"/>
              </w:rPr>
            </w:pPr>
            <w:bookmarkStart w:id="375" w:name="_Hlk162280055"/>
            <w:r w:rsidRPr="004449AB">
              <w:rPr>
                <w:rFonts w:ascii="Arial" w:eastAsia="Times New Roman" w:hAnsi="Arial" w:cs="Arial"/>
                <w:b/>
                <w:bCs/>
                <w:kern w:val="0"/>
                <w:sz w:val="18"/>
                <w:szCs w:val="18"/>
                <w:lang w:eastAsia="pt-BR"/>
                <w14:ligatures w14:val="none"/>
              </w:rPr>
              <w:lastRenderedPageBreak/>
              <w:t>TELECOMUNICAÇÕES BRASILEIRAS S.A - "TELEBRAS"</w:t>
            </w:r>
          </w:p>
        </w:tc>
      </w:tr>
      <w:tr w:rsidR="004449AB" w:rsidRPr="004449AB" w14:paraId="24DD1BD5" w14:textId="77777777" w:rsidTr="00075425">
        <w:trPr>
          <w:trHeight w:val="256"/>
        </w:trPr>
        <w:tc>
          <w:tcPr>
            <w:tcW w:w="5000" w:type="pct"/>
            <w:gridSpan w:val="6"/>
            <w:tcBorders>
              <w:top w:val="nil"/>
              <w:left w:val="nil"/>
              <w:bottom w:val="nil"/>
              <w:right w:val="nil"/>
            </w:tcBorders>
            <w:shd w:val="clear" w:color="auto" w:fill="auto"/>
            <w:noWrap/>
            <w:vAlign w:val="bottom"/>
            <w:hideMark/>
          </w:tcPr>
          <w:p w14:paraId="34A12389" w14:textId="77777777" w:rsidR="004449AB" w:rsidRPr="004449AB" w:rsidRDefault="004449AB" w:rsidP="004449AB">
            <w:pPr>
              <w:spacing w:after="0" w:line="240" w:lineRule="auto"/>
              <w:jc w:val="center"/>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CNPJ 00.336.701/0001-04</w:t>
            </w:r>
          </w:p>
        </w:tc>
      </w:tr>
      <w:tr w:rsidR="004449AB" w:rsidRPr="004449AB" w14:paraId="70CFD4A7" w14:textId="77777777" w:rsidTr="00075425">
        <w:trPr>
          <w:trHeight w:val="256"/>
        </w:trPr>
        <w:tc>
          <w:tcPr>
            <w:tcW w:w="5000" w:type="pct"/>
            <w:gridSpan w:val="6"/>
            <w:tcBorders>
              <w:top w:val="nil"/>
              <w:left w:val="nil"/>
              <w:bottom w:val="nil"/>
              <w:right w:val="nil"/>
            </w:tcBorders>
            <w:shd w:val="clear" w:color="auto" w:fill="auto"/>
            <w:noWrap/>
            <w:vAlign w:val="bottom"/>
            <w:hideMark/>
          </w:tcPr>
          <w:p w14:paraId="518184C8" w14:textId="77777777" w:rsidR="004449AB" w:rsidRPr="004449AB" w:rsidRDefault="004449AB" w:rsidP="004449AB">
            <w:pPr>
              <w:spacing w:after="0" w:line="240" w:lineRule="auto"/>
              <w:jc w:val="center"/>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Demonstrações do Resultado </w:t>
            </w:r>
          </w:p>
        </w:tc>
      </w:tr>
      <w:tr w:rsidR="004449AB" w:rsidRPr="004449AB" w14:paraId="4C405700" w14:textId="77777777" w:rsidTr="00075425">
        <w:trPr>
          <w:trHeight w:val="256"/>
        </w:trPr>
        <w:tc>
          <w:tcPr>
            <w:tcW w:w="5000" w:type="pct"/>
            <w:gridSpan w:val="6"/>
            <w:tcBorders>
              <w:top w:val="nil"/>
              <w:left w:val="nil"/>
              <w:bottom w:val="nil"/>
              <w:right w:val="nil"/>
            </w:tcBorders>
            <w:shd w:val="clear" w:color="auto" w:fill="auto"/>
            <w:noWrap/>
            <w:vAlign w:val="bottom"/>
            <w:hideMark/>
          </w:tcPr>
          <w:p w14:paraId="701E0F5D" w14:textId="77777777" w:rsidR="004449AB" w:rsidRPr="004449AB" w:rsidRDefault="004449AB" w:rsidP="004449AB">
            <w:pPr>
              <w:spacing w:after="0" w:line="240" w:lineRule="auto"/>
              <w:jc w:val="center"/>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Exercícios findos em 31 de dezembro de 2023 e 2022</w:t>
            </w:r>
          </w:p>
        </w:tc>
      </w:tr>
      <w:tr w:rsidR="004449AB" w:rsidRPr="004449AB" w14:paraId="1D3ABFE3" w14:textId="77777777" w:rsidTr="00075425">
        <w:trPr>
          <w:trHeight w:val="256"/>
        </w:trPr>
        <w:tc>
          <w:tcPr>
            <w:tcW w:w="5000" w:type="pct"/>
            <w:gridSpan w:val="6"/>
            <w:tcBorders>
              <w:top w:val="nil"/>
              <w:left w:val="nil"/>
              <w:bottom w:val="nil"/>
              <w:right w:val="nil"/>
            </w:tcBorders>
            <w:shd w:val="clear" w:color="auto" w:fill="auto"/>
            <w:noWrap/>
            <w:vAlign w:val="bottom"/>
            <w:hideMark/>
          </w:tcPr>
          <w:p w14:paraId="5B566A59" w14:textId="77777777" w:rsidR="004449AB" w:rsidRPr="004449AB" w:rsidRDefault="004449AB" w:rsidP="004449AB">
            <w:pPr>
              <w:spacing w:after="0" w:line="240" w:lineRule="auto"/>
              <w:jc w:val="center"/>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Em milhares de reais, exceto quando indicado de outra forma</w:t>
            </w:r>
          </w:p>
        </w:tc>
      </w:tr>
      <w:tr w:rsidR="004449AB" w:rsidRPr="004449AB" w14:paraId="26F0FBF2" w14:textId="77777777" w:rsidTr="00075425">
        <w:trPr>
          <w:trHeight w:val="256"/>
        </w:trPr>
        <w:tc>
          <w:tcPr>
            <w:tcW w:w="2652" w:type="pct"/>
            <w:tcBorders>
              <w:top w:val="nil"/>
              <w:left w:val="nil"/>
              <w:bottom w:val="nil"/>
              <w:right w:val="nil"/>
            </w:tcBorders>
            <w:shd w:val="clear" w:color="auto" w:fill="auto"/>
            <w:noWrap/>
            <w:vAlign w:val="bottom"/>
            <w:hideMark/>
          </w:tcPr>
          <w:p w14:paraId="71E01BFD" w14:textId="77777777" w:rsidR="004449AB" w:rsidRPr="004449AB" w:rsidRDefault="004449AB" w:rsidP="004449AB">
            <w:pPr>
              <w:spacing w:after="0" w:line="240" w:lineRule="auto"/>
              <w:jc w:val="center"/>
              <w:rPr>
                <w:rFonts w:ascii="Arial" w:eastAsia="Times New Roman" w:hAnsi="Arial" w:cs="Arial"/>
                <w:b/>
                <w:bCs/>
                <w:kern w:val="0"/>
                <w:sz w:val="18"/>
                <w:szCs w:val="18"/>
                <w:lang w:eastAsia="pt-BR"/>
                <w14:ligatures w14:val="none"/>
              </w:rPr>
            </w:pPr>
          </w:p>
        </w:tc>
        <w:tc>
          <w:tcPr>
            <w:tcW w:w="276" w:type="pct"/>
            <w:tcBorders>
              <w:top w:val="nil"/>
              <w:left w:val="nil"/>
              <w:bottom w:val="nil"/>
              <w:right w:val="nil"/>
            </w:tcBorders>
            <w:shd w:val="clear" w:color="auto" w:fill="auto"/>
            <w:noWrap/>
            <w:vAlign w:val="bottom"/>
            <w:hideMark/>
          </w:tcPr>
          <w:p w14:paraId="3D9E9F6A"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123" w:type="pct"/>
            <w:tcBorders>
              <w:top w:val="nil"/>
              <w:left w:val="nil"/>
              <w:bottom w:val="nil"/>
              <w:right w:val="nil"/>
            </w:tcBorders>
            <w:shd w:val="clear" w:color="auto" w:fill="auto"/>
            <w:noWrap/>
            <w:vAlign w:val="bottom"/>
            <w:hideMark/>
          </w:tcPr>
          <w:p w14:paraId="09566B92"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946" w:type="pct"/>
            <w:tcBorders>
              <w:top w:val="nil"/>
              <w:left w:val="nil"/>
              <w:bottom w:val="nil"/>
              <w:right w:val="nil"/>
            </w:tcBorders>
            <w:shd w:val="clear" w:color="auto" w:fill="auto"/>
            <w:noWrap/>
            <w:vAlign w:val="bottom"/>
            <w:hideMark/>
          </w:tcPr>
          <w:p w14:paraId="53696D25"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98" w:type="pct"/>
            <w:tcBorders>
              <w:top w:val="nil"/>
              <w:left w:val="nil"/>
              <w:bottom w:val="nil"/>
              <w:right w:val="nil"/>
            </w:tcBorders>
            <w:shd w:val="clear" w:color="auto" w:fill="auto"/>
            <w:noWrap/>
            <w:vAlign w:val="bottom"/>
            <w:hideMark/>
          </w:tcPr>
          <w:p w14:paraId="0E8D0B9F"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904" w:type="pct"/>
            <w:tcBorders>
              <w:top w:val="nil"/>
              <w:left w:val="nil"/>
              <w:bottom w:val="nil"/>
              <w:right w:val="nil"/>
            </w:tcBorders>
            <w:shd w:val="clear" w:color="auto" w:fill="auto"/>
            <w:noWrap/>
            <w:vAlign w:val="bottom"/>
            <w:hideMark/>
          </w:tcPr>
          <w:p w14:paraId="54038ACF"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r>
      <w:tr w:rsidR="004449AB" w:rsidRPr="004449AB" w14:paraId="3607F8C5" w14:textId="77777777" w:rsidTr="00075425">
        <w:trPr>
          <w:trHeight w:val="334"/>
        </w:trPr>
        <w:tc>
          <w:tcPr>
            <w:tcW w:w="2652" w:type="pct"/>
            <w:tcBorders>
              <w:top w:val="nil"/>
              <w:left w:val="nil"/>
              <w:bottom w:val="nil"/>
              <w:right w:val="nil"/>
            </w:tcBorders>
            <w:shd w:val="clear" w:color="auto" w:fill="auto"/>
            <w:noWrap/>
            <w:vAlign w:val="bottom"/>
            <w:hideMark/>
          </w:tcPr>
          <w:p w14:paraId="05FE371A"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276" w:type="pct"/>
            <w:tcBorders>
              <w:top w:val="nil"/>
              <w:left w:val="nil"/>
              <w:bottom w:val="nil"/>
              <w:right w:val="nil"/>
            </w:tcBorders>
            <w:shd w:val="clear" w:color="auto" w:fill="auto"/>
            <w:noWrap/>
            <w:vAlign w:val="bottom"/>
            <w:hideMark/>
          </w:tcPr>
          <w:p w14:paraId="04949F2A"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2071" w:type="pct"/>
            <w:gridSpan w:val="4"/>
            <w:tcBorders>
              <w:top w:val="nil"/>
              <w:left w:val="nil"/>
              <w:bottom w:val="single" w:sz="4" w:space="0" w:color="000000"/>
              <w:right w:val="nil"/>
            </w:tcBorders>
            <w:shd w:val="clear" w:color="auto" w:fill="auto"/>
            <w:noWrap/>
            <w:vAlign w:val="bottom"/>
            <w:hideMark/>
          </w:tcPr>
          <w:p w14:paraId="54AAC302"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r>
      <w:tr w:rsidR="004449AB" w:rsidRPr="004449AB" w14:paraId="040D5598" w14:textId="77777777" w:rsidTr="00075425">
        <w:trPr>
          <w:trHeight w:val="513"/>
        </w:trPr>
        <w:tc>
          <w:tcPr>
            <w:tcW w:w="2652" w:type="pct"/>
            <w:tcBorders>
              <w:top w:val="nil"/>
              <w:left w:val="nil"/>
              <w:bottom w:val="nil"/>
              <w:right w:val="nil"/>
            </w:tcBorders>
            <w:shd w:val="clear" w:color="auto" w:fill="auto"/>
            <w:noWrap/>
            <w:vAlign w:val="bottom"/>
            <w:hideMark/>
          </w:tcPr>
          <w:p w14:paraId="6ADF7D9F" w14:textId="77777777" w:rsidR="004449AB" w:rsidRPr="004449AB" w:rsidRDefault="004449AB" w:rsidP="004449AB">
            <w:pPr>
              <w:spacing w:after="0" w:line="240" w:lineRule="auto"/>
              <w:jc w:val="center"/>
              <w:rPr>
                <w:rFonts w:ascii="Times New Roman" w:eastAsia="Times New Roman" w:hAnsi="Times New Roman" w:cs="Times New Roman"/>
                <w:kern w:val="0"/>
                <w:sz w:val="18"/>
                <w:szCs w:val="18"/>
                <w:lang w:eastAsia="pt-BR"/>
                <w14:ligatures w14:val="none"/>
              </w:rPr>
            </w:pPr>
          </w:p>
        </w:tc>
        <w:tc>
          <w:tcPr>
            <w:tcW w:w="276" w:type="pct"/>
            <w:tcBorders>
              <w:top w:val="nil"/>
              <w:left w:val="nil"/>
              <w:bottom w:val="nil"/>
              <w:right w:val="nil"/>
            </w:tcBorders>
            <w:shd w:val="clear" w:color="auto" w:fill="auto"/>
            <w:noWrap/>
            <w:vAlign w:val="bottom"/>
            <w:hideMark/>
          </w:tcPr>
          <w:p w14:paraId="1AE337B9" w14:textId="77777777" w:rsidR="004449AB" w:rsidRPr="004449AB" w:rsidRDefault="004449AB" w:rsidP="004449AB">
            <w:pPr>
              <w:spacing w:after="0" w:line="240" w:lineRule="auto"/>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Nota</w:t>
            </w:r>
          </w:p>
        </w:tc>
        <w:tc>
          <w:tcPr>
            <w:tcW w:w="123" w:type="pct"/>
            <w:tcBorders>
              <w:top w:val="nil"/>
              <w:left w:val="nil"/>
              <w:bottom w:val="nil"/>
              <w:right w:val="nil"/>
            </w:tcBorders>
            <w:shd w:val="clear" w:color="auto" w:fill="auto"/>
            <w:noWrap/>
            <w:vAlign w:val="bottom"/>
            <w:hideMark/>
          </w:tcPr>
          <w:p w14:paraId="19DD6A88" w14:textId="77777777" w:rsidR="004449AB" w:rsidRPr="004449AB" w:rsidRDefault="004449AB" w:rsidP="004449AB">
            <w:pPr>
              <w:spacing w:after="0" w:line="240" w:lineRule="auto"/>
              <w:rPr>
                <w:rFonts w:ascii="Arial" w:eastAsia="Times New Roman" w:hAnsi="Arial" w:cs="Arial"/>
                <w:b/>
                <w:bCs/>
                <w:kern w:val="0"/>
                <w:sz w:val="18"/>
                <w:szCs w:val="18"/>
                <w:lang w:eastAsia="pt-BR"/>
                <w14:ligatures w14:val="none"/>
              </w:rPr>
            </w:pPr>
          </w:p>
        </w:tc>
        <w:tc>
          <w:tcPr>
            <w:tcW w:w="946" w:type="pct"/>
            <w:tcBorders>
              <w:top w:val="nil"/>
              <w:left w:val="nil"/>
              <w:bottom w:val="single" w:sz="4" w:space="0" w:color="auto"/>
              <w:right w:val="nil"/>
            </w:tcBorders>
            <w:shd w:val="clear" w:color="auto" w:fill="auto"/>
            <w:noWrap/>
            <w:vAlign w:val="center"/>
            <w:hideMark/>
          </w:tcPr>
          <w:p w14:paraId="5E4CB155" w14:textId="77777777" w:rsidR="004449AB" w:rsidRPr="004449AB" w:rsidRDefault="004449AB" w:rsidP="004449AB">
            <w:pPr>
              <w:spacing w:after="0" w:line="240" w:lineRule="auto"/>
              <w:jc w:val="center"/>
              <w:rPr>
                <w:rFonts w:ascii="Arial" w:eastAsia="Times New Roman" w:hAnsi="Arial" w:cs="Arial"/>
                <w:b/>
                <w:bCs/>
                <w:color w:val="000000"/>
                <w:kern w:val="0"/>
                <w:sz w:val="18"/>
                <w:szCs w:val="18"/>
                <w:lang w:eastAsia="pt-BR"/>
                <w14:ligatures w14:val="none"/>
              </w:rPr>
            </w:pPr>
            <w:r w:rsidRPr="004449AB">
              <w:rPr>
                <w:rFonts w:ascii="Arial" w:eastAsia="Times New Roman" w:hAnsi="Arial" w:cs="Arial"/>
                <w:b/>
                <w:bCs/>
                <w:color w:val="000000"/>
                <w:kern w:val="0"/>
                <w:sz w:val="18"/>
                <w:szCs w:val="18"/>
                <w:lang w:eastAsia="pt-BR"/>
                <w14:ligatures w14:val="none"/>
              </w:rPr>
              <w:t>2023</w:t>
            </w:r>
          </w:p>
        </w:tc>
        <w:tc>
          <w:tcPr>
            <w:tcW w:w="98" w:type="pct"/>
            <w:tcBorders>
              <w:top w:val="nil"/>
              <w:left w:val="nil"/>
              <w:bottom w:val="nil"/>
              <w:right w:val="nil"/>
            </w:tcBorders>
            <w:shd w:val="clear" w:color="auto" w:fill="auto"/>
            <w:noWrap/>
            <w:vAlign w:val="bottom"/>
            <w:hideMark/>
          </w:tcPr>
          <w:p w14:paraId="3F3BE01F" w14:textId="77777777" w:rsidR="004449AB" w:rsidRPr="004449AB" w:rsidRDefault="004449AB" w:rsidP="004449AB">
            <w:pPr>
              <w:spacing w:after="0" w:line="240" w:lineRule="auto"/>
              <w:jc w:val="center"/>
              <w:rPr>
                <w:rFonts w:ascii="Arial" w:eastAsia="Times New Roman" w:hAnsi="Arial" w:cs="Arial"/>
                <w:b/>
                <w:bCs/>
                <w:color w:val="000000"/>
                <w:kern w:val="0"/>
                <w:sz w:val="18"/>
                <w:szCs w:val="18"/>
                <w:lang w:eastAsia="pt-BR"/>
                <w14:ligatures w14:val="none"/>
              </w:rPr>
            </w:pPr>
          </w:p>
        </w:tc>
        <w:tc>
          <w:tcPr>
            <w:tcW w:w="904" w:type="pct"/>
            <w:tcBorders>
              <w:top w:val="nil"/>
              <w:left w:val="nil"/>
              <w:bottom w:val="single" w:sz="4" w:space="0" w:color="auto"/>
              <w:right w:val="nil"/>
            </w:tcBorders>
            <w:shd w:val="clear" w:color="auto" w:fill="auto"/>
            <w:vAlign w:val="center"/>
            <w:hideMark/>
          </w:tcPr>
          <w:p w14:paraId="7711E1B8" w14:textId="77777777" w:rsidR="004449AB" w:rsidRPr="004449AB" w:rsidRDefault="004449AB" w:rsidP="004449AB">
            <w:pPr>
              <w:spacing w:after="0" w:line="240" w:lineRule="auto"/>
              <w:jc w:val="center"/>
              <w:rPr>
                <w:rFonts w:ascii="Arial" w:eastAsia="Times New Roman" w:hAnsi="Arial" w:cs="Arial"/>
                <w:b/>
                <w:bCs/>
                <w:color w:val="000000"/>
                <w:kern w:val="0"/>
                <w:sz w:val="18"/>
                <w:szCs w:val="18"/>
                <w:lang w:eastAsia="pt-BR"/>
                <w14:ligatures w14:val="none"/>
              </w:rPr>
            </w:pPr>
            <w:proofErr w:type="gramStart"/>
            <w:r w:rsidRPr="004449AB">
              <w:rPr>
                <w:rFonts w:ascii="Arial" w:eastAsia="Times New Roman" w:hAnsi="Arial" w:cs="Arial"/>
                <w:b/>
                <w:bCs/>
                <w:color w:val="000000"/>
                <w:kern w:val="0"/>
                <w:sz w:val="18"/>
                <w:szCs w:val="18"/>
                <w:lang w:eastAsia="pt-BR"/>
                <w14:ligatures w14:val="none"/>
              </w:rPr>
              <w:t>2022  Reapresentado</w:t>
            </w:r>
            <w:proofErr w:type="gramEnd"/>
          </w:p>
        </w:tc>
      </w:tr>
      <w:tr w:rsidR="004449AB" w:rsidRPr="004449AB" w14:paraId="6A582EDA" w14:textId="77777777" w:rsidTr="00075425">
        <w:trPr>
          <w:trHeight w:val="256"/>
        </w:trPr>
        <w:tc>
          <w:tcPr>
            <w:tcW w:w="2652" w:type="pct"/>
            <w:tcBorders>
              <w:top w:val="nil"/>
              <w:left w:val="nil"/>
              <w:bottom w:val="nil"/>
              <w:right w:val="nil"/>
            </w:tcBorders>
            <w:shd w:val="clear" w:color="auto" w:fill="auto"/>
            <w:noWrap/>
            <w:vAlign w:val="bottom"/>
            <w:hideMark/>
          </w:tcPr>
          <w:p w14:paraId="0E99648A" w14:textId="77777777" w:rsidR="004449AB" w:rsidRPr="004449AB" w:rsidRDefault="004449AB" w:rsidP="004449AB">
            <w:pPr>
              <w:spacing w:after="0" w:line="240" w:lineRule="auto"/>
              <w:jc w:val="center"/>
              <w:rPr>
                <w:rFonts w:ascii="Arial" w:eastAsia="Times New Roman" w:hAnsi="Arial" w:cs="Arial"/>
                <w:b/>
                <w:bCs/>
                <w:color w:val="000000"/>
                <w:kern w:val="0"/>
                <w:sz w:val="18"/>
                <w:szCs w:val="18"/>
                <w:lang w:eastAsia="pt-BR"/>
                <w14:ligatures w14:val="none"/>
              </w:rPr>
            </w:pPr>
          </w:p>
        </w:tc>
        <w:tc>
          <w:tcPr>
            <w:tcW w:w="276" w:type="pct"/>
            <w:tcBorders>
              <w:top w:val="nil"/>
              <w:left w:val="nil"/>
              <w:bottom w:val="nil"/>
              <w:right w:val="nil"/>
            </w:tcBorders>
            <w:shd w:val="clear" w:color="auto" w:fill="auto"/>
            <w:noWrap/>
            <w:vAlign w:val="bottom"/>
            <w:hideMark/>
          </w:tcPr>
          <w:p w14:paraId="2DB2BE14"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123" w:type="pct"/>
            <w:tcBorders>
              <w:top w:val="nil"/>
              <w:left w:val="nil"/>
              <w:bottom w:val="nil"/>
              <w:right w:val="nil"/>
            </w:tcBorders>
            <w:shd w:val="clear" w:color="auto" w:fill="auto"/>
            <w:noWrap/>
            <w:vAlign w:val="bottom"/>
            <w:hideMark/>
          </w:tcPr>
          <w:p w14:paraId="3D32C4BB" w14:textId="77777777" w:rsidR="004449AB" w:rsidRPr="004449AB" w:rsidRDefault="004449AB" w:rsidP="004449AB">
            <w:pPr>
              <w:spacing w:after="0" w:line="240" w:lineRule="auto"/>
              <w:jc w:val="center"/>
              <w:rPr>
                <w:rFonts w:ascii="Times New Roman" w:eastAsia="Times New Roman" w:hAnsi="Times New Roman" w:cs="Times New Roman"/>
                <w:kern w:val="0"/>
                <w:sz w:val="18"/>
                <w:szCs w:val="18"/>
                <w:lang w:eastAsia="pt-BR"/>
                <w14:ligatures w14:val="none"/>
              </w:rPr>
            </w:pPr>
          </w:p>
        </w:tc>
        <w:tc>
          <w:tcPr>
            <w:tcW w:w="946" w:type="pct"/>
            <w:tcBorders>
              <w:top w:val="nil"/>
              <w:left w:val="nil"/>
              <w:bottom w:val="nil"/>
              <w:right w:val="nil"/>
            </w:tcBorders>
            <w:shd w:val="clear" w:color="auto" w:fill="auto"/>
            <w:noWrap/>
            <w:vAlign w:val="bottom"/>
            <w:hideMark/>
          </w:tcPr>
          <w:p w14:paraId="5FB20E00"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98" w:type="pct"/>
            <w:tcBorders>
              <w:top w:val="nil"/>
              <w:left w:val="nil"/>
              <w:bottom w:val="nil"/>
              <w:right w:val="nil"/>
            </w:tcBorders>
            <w:shd w:val="clear" w:color="auto" w:fill="auto"/>
            <w:noWrap/>
            <w:vAlign w:val="bottom"/>
            <w:hideMark/>
          </w:tcPr>
          <w:p w14:paraId="4CD00E8F"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904" w:type="pct"/>
            <w:tcBorders>
              <w:top w:val="nil"/>
              <w:left w:val="nil"/>
              <w:bottom w:val="nil"/>
              <w:right w:val="nil"/>
            </w:tcBorders>
            <w:shd w:val="clear" w:color="auto" w:fill="auto"/>
            <w:noWrap/>
            <w:vAlign w:val="center"/>
            <w:hideMark/>
          </w:tcPr>
          <w:p w14:paraId="64CB67C0"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r>
      <w:tr w:rsidR="004449AB" w:rsidRPr="004449AB" w14:paraId="22909394" w14:textId="77777777" w:rsidTr="00075425">
        <w:trPr>
          <w:trHeight w:val="256"/>
        </w:trPr>
        <w:tc>
          <w:tcPr>
            <w:tcW w:w="2652" w:type="pct"/>
            <w:tcBorders>
              <w:top w:val="nil"/>
              <w:left w:val="nil"/>
              <w:bottom w:val="nil"/>
              <w:right w:val="nil"/>
            </w:tcBorders>
            <w:shd w:val="clear" w:color="auto" w:fill="auto"/>
            <w:noWrap/>
            <w:vAlign w:val="bottom"/>
            <w:hideMark/>
          </w:tcPr>
          <w:p w14:paraId="540A55EF" w14:textId="77777777" w:rsidR="004449AB" w:rsidRPr="004449AB" w:rsidRDefault="004449AB" w:rsidP="004449AB">
            <w:pPr>
              <w:spacing w:after="0" w:line="240" w:lineRule="auto"/>
              <w:jc w:val="center"/>
              <w:rPr>
                <w:rFonts w:ascii="Times New Roman" w:eastAsia="Times New Roman" w:hAnsi="Times New Roman" w:cs="Times New Roman"/>
                <w:kern w:val="0"/>
                <w:sz w:val="18"/>
                <w:szCs w:val="18"/>
                <w:lang w:eastAsia="pt-BR"/>
                <w14:ligatures w14:val="none"/>
              </w:rPr>
            </w:pPr>
          </w:p>
        </w:tc>
        <w:tc>
          <w:tcPr>
            <w:tcW w:w="276" w:type="pct"/>
            <w:tcBorders>
              <w:top w:val="nil"/>
              <w:left w:val="nil"/>
              <w:bottom w:val="nil"/>
              <w:right w:val="nil"/>
            </w:tcBorders>
            <w:shd w:val="clear" w:color="auto" w:fill="auto"/>
            <w:noWrap/>
            <w:vAlign w:val="bottom"/>
            <w:hideMark/>
          </w:tcPr>
          <w:p w14:paraId="2B8F8B84"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123" w:type="pct"/>
            <w:tcBorders>
              <w:top w:val="nil"/>
              <w:left w:val="nil"/>
              <w:bottom w:val="nil"/>
              <w:right w:val="nil"/>
            </w:tcBorders>
            <w:shd w:val="clear" w:color="auto" w:fill="auto"/>
            <w:noWrap/>
            <w:vAlign w:val="bottom"/>
            <w:hideMark/>
          </w:tcPr>
          <w:p w14:paraId="3CE80AB0" w14:textId="77777777" w:rsidR="004449AB" w:rsidRPr="004449AB" w:rsidRDefault="004449AB" w:rsidP="004449AB">
            <w:pPr>
              <w:spacing w:after="0" w:line="240" w:lineRule="auto"/>
              <w:jc w:val="center"/>
              <w:rPr>
                <w:rFonts w:ascii="Times New Roman" w:eastAsia="Times New Roman" w:hAnsi="Times New Roman" w:cs="Times New Roman"/>
                <w:kern w:val="0"/>
                <w:sz w:val="18"/>
                <w:szCs w:val="18"/>
                <w:lang w:eastAsia="pt-BR"/>
                <w14:ligatures w14:val="none"/>
              </w:rPr>
            </w:pPr>
          </w:p>
        </w:tc>
        <w:tc>
          <w:tcPr>
            <w:tcW w:w="946" w:type="pct"/>
            <w:tcBorders>
              <w:top w:val="nil"/>
              <w:left w:val="nil"/>
              <w:bottom w:val="nil"/>
              <w:right w:val="nil"/>
            </w:tcBorders>
            <w:shd w:val="clear" w:color="auto" w:fill="auto"/>
            <w:noWrap/>
            <w:vAlign w:val="bottom"/>
            <w:hideMark/>
          </w:tcPr>
          <w:p w14:paraId="2CEEE392"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98" w:type="pct"/>
            <w:tcBorders>
              <w:top w:val="nil"/>
              <w:left w:val="nil"/>
              <w:bottom w:val="nil"/>
              <w:right w:val="nil"/>
            </w:tcBorders>
            <w:shd w:val="clear" w:color="auto" w:fill="auto"/>
            <w:noWrap/>
            <w:vAlign w:val="bottom"/>
            <w:hideMark/>
          </w:tcPr>
          <w:p w14:paraId="639D2583"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904" w:type="pct"/>
            <w:tcBorders>
              <w:top w:val="nil"/>
              <w:left w:val="nil"/>
              <w:bottom w:val="nil"/>
              <w:right w:val="nil"/>
            </w:tcBorders>
            <w:shd w:val="clear" w:color="auto" w:fill="auto"/>
            <w:noWrap/>
            <w:vAlign w:val="bottom"/>
            <w:hideMark/>
          </w:tcPr>
          <w:p w14:paraId="1EB50BC0"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r>
      <w:tr w:rsidR="004449AB" w:rsidRPr="004449AB" w14:paraId="313D8B7C" w14:textId="77777777" w:rsidTr="00075425">
        <w:trPr>
          <w:trHeight w:val="256"/>
        </w:trPr>
        <w:tc>
          <w:tcPr>
            <w:tcW w:w="2652" w:type="pct"/>
            <w:tcBorders>
              <w:top w:val="nil"/>
              <w:left w:val="nil"/>
              <w:bottom w:val="nil"/>
              <w:right w:val="nil"/>
            </w:tcBorders>
            <w:shd w:val="clear" w:color="auto" w:fill="auto"/>
            <w:noWrap/>
            <w:vAlign w:val="bottom"/>
            <w:hideMark/>
          </w:tcPr>
          <w:p w14:paraId="1F7A4B8A" w14:textId="77777777" w:rsidR="004449AB" w:rsidRPr="004449AB" w:rsidRDefault="004449AB" w:rsidP="004449AB">
            <w:pPr>
              <w:spacing w:after="0" w:line="240" w:lineRule="auto"/>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RECEITA OPERACIONAL LÍQUIDA</w:t>
            </w:r>
          </w:p>
        </w:tc>
        <w:tc>
          <w:tcPr>
            <w:tcW w:w="276" w:type="pct"/>
            <w:tcBorders>
              <w:top w:val="nil"/>
              <w:left w:val="nil"/>
              <w:bottom w:val="nil"/>
              <w:right w:val="nil"/>
            </w:tcBorders>
            <w:shd w:val="clear" w:color="auto" w:fill="auto"/>
            <w:noWrap/>
            <w:vAlign w:val="bottom"/>
            <w:hideMark/>
          </w:tcPr>
          <w:p w14:paraId="31B0BE82" w14:textId="77777777" w:rsidR="004449AB" w:rsidRPr="004449AB" w:rsidRDefault="004449AB" w:rsidP="004449AB">
            <w:pPr>
              <w:spacing w:after="0" w:line="240" w:lineRule="auto"/>
              <w:jc w:val="center"/>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28</w:t>
            </w:r>
          </w:p>
        </w:tc>
        <w:tc>
          <w:tcPr>
            <w:tcW w:w="123" w:type="pct"/>
            <w:tcBorders>
              <w:top w:val="nil"/>
              <w:left w:val="nil"/>
              <w:bottom w:val="nil"/>
              <w:right w:val="nil"/>
            </w:tcBorders>
            <w:shd w:val="clear" w:color="auto" w:fill="auto"/>
            <w:noWrap/>
            <w:vAlign w:val="bottom"/>
            <w:hideMark/>
          </w:tcPr>
          <w:p w14:paraId="64893EBE" w14:textId="77777777" w:rsidR="004449AB" w:rsidRPr="004449AB" w:rsidRDefault="004449AB" w:rsidP="004449AB">
            <w:pPr>
              <w:spacing w:after="0" w:line="240" w:lineRule="auto"/>
              <w:jc w:val="center"/>
              <w:rPr>
                <w:rFonts w:ascii="Arial" w:eastAsia="Times New Roman" w:hAnsi="Arial" w:cs="Arial"/>
                <w:kern w:val="0"/>
                <w:sz w:val="18"/>
                <w:szCs w:val="18"/>
                <w:lang w:eastAsia="pt-BR"/>
                <w14:ligatures w14:val="none"/>
              </w:rPr>
            </w:pPr>
          </w:p>
        </w:tc>
        <w:tc>
          <w:tcPr>
            <w:tcW w:w="946" w:type="pct"/>
            <w:tcBorders>
              <w:top w:val="nil"/>
              <w:left w:val="nil"/>
              <w:bottom w:val="nil"/>
              <w:right w:val="nil"/>
            </w:tcBorders>
            <w:shd w:val="clear" w:color="auto" w:fill="auto"/>
            <w:noWrap/>
            <w:vAlign w:val="bottom"/>
            <w:hideMark/>
          </w:tcPr>
          <w:p w14:paraId="0038DDBD" w14:textId="77777777" w:rsidR="004449AB" w:rsidRPr="004449AB" w:rsidRDefault="004449AB" w:rsidP="004449AB">
            <w:pPr>
              <w:spacing w:after="0" w:line="240" w:lineRule="auto"/>
              <w:jc w:val="right"/>
              <w:rPr>
                <w:rFonts w:ascii="Arial" w:eastAsia="Times New Roman" w:hAnsi="Arial" w:cs="Arial"/>
                <w:b/>
                <w:bCs/>
                <w:color w:val="000000"/>
                <w:kern w:val="0"/>
                <w:sz w:val="18"/>
                <w:szCs w:val="18"/>
                <w:lang w:eastAsia="pt-BR"/>
                <w14:ligatures w14:val="none"/>
              </w:rPr>
            </w:pPr>
            <w:r w:rsidRPr="004449AB">
              <w:rPr>
                <w:rFonts w:ascii="Arial" w:eastAsia="Times New Roman" w:hAnsi="Arial" w:cs="Arial"/>
                <w:b/>
                <w:bCs/>
                <w:color w:val="000000"/>
                <w:kern w:val="0"/>
                <w:sz w:val="18"/>
                <w:szCs w:val="18"/>
                <w:lang w:eastAsia="pt-BR"/>
                <w14:ligatures w14:val="none"/>
              </w:rPr>
              <w:t xml:space="preserve">                  416.840 </w:t>
            </w:r>
          </w:p>
        </w:tc>
        <w:tc>
          <w:tcPr>
            <w:tcW w:w="98" w:type="pct"/>
            <w:tcBorders>
              <w:top w:val="nil"/>
              <w:left w:val="nil"/>
              <w:bottom w:val="nil"/>
              <w:right w:val="nil"/>
            </w:tcBorders>
            <w:shd w:val="clear" w:color="auto" w:fill="auto"/>
            <w:noWrap/>
            <w:vAlign w:val="bottom"/>
            <w:hideMark/>
          </w:tcPr>
          <w:p w14:paraId="209F3F8E" w14:textId="77777777" w:rsidR="004449AB" w:rsidRPr="004449AB" w:rsidRDefault="004449AB" w:rsidP="004449AB">
            <w:pPr>
              <w:spacing w:after="0" w:line="240" w:lineRule="auto"/>
              <w:jc w:val="right"/>
              <w:rPr>
                <w:rFonts w:ascii="Arial" w:eastAsia="Times New Roman" w:hAnsi="Arial" w:cs="Arial"/>
                <w:b/>
                <w:bCs/>
                <w:color w:val="000000"/>
                <w:kern w:val="0"/>
                <w:sz w:val="18"/>
                <w:szCs w:val="18"/>
                <w:lang w:eastAsia="pt-BR"/>
                <w14:ligatures w14:val="none"/>
              </w:rPr>
            </w:pPr>
          </w:p>
        </w:tc>
        <w:tc>
          <w:tcPr>
            <w:tcW w:w="904" w:type="pct"/>
            <w:tcBorders>
              <w:top w:val="nil"/>
              <w:left w:val="nil"/>
              <w:bottom w:val="nil"/>
              <w:right w:val="nil"/>
            </w:tcBorders>
            <w:shd w:val="clear" w:color="auto" w:fill="auto"/>
            <w:noWrap/>
            <w:vAlign w:val="bottom"/>
            <w:hideMark/>
          </w:tcPr>
          <w:p w14:paraId="1855DE4A" w14:textId="77777777" w:rsidR="004449AB" w:rsidRPr="004449AB" w:rsidRDefault="004449AB" w:rsidP="004449AB">
            <w:pPr>
              <w:spacing w:after="0" w:line="240" w:lineRule="auto"/>
              <w:jc w:val="right"/>
              <w:rPr>
                <w:rFonts w:ascii="Arial" w:eastAsia="Times New Roman" w:hAnsi="Arial" w:cs="Arial"/>
                <w:b/>
                <w:bCs/>
                <w:color w:val="000000"/>
                <w:kern w:val="0"/>
                <w:sz w:val="18"/>
                <w:szCs w:val="18"/>
                <w:lang w:eastAsia="pt-BR"/>
                <w14:ligatures w14:val="none"/>
              </w:rPr>
            </w:pPr>
            <w:r w:rsidRPr="004449AB">
              <w:rPr>
                <w:rFonts w:ascii="Arial" w:eastAsia="Times New Roman" w:hAnsi="Arial" w:cs="Arial"/>
                <w:b/>
                <w:bCs/>
                <w:color w:val="000000"/>
                <w:kern w:val="0"/>
                <w:sz w:val="18"/>
                <w:szCs w:val="18"/>
                <w:lang w:eastAsia="pt-BR"/>
                <w14:ligatures w14:val="none"/>
              </w:rPr>
              <w:t xml:space="preserve">               347.840 </w:t>
            </w:r>
          </w:p>
        </w:tc>
      </w:tr>
      <w:tr w:rsidR="004449AB" w:rsidRPr="004449AB" w14:paraId="6E69EF85" w14:textId="77777777" w:rsidTr="00075425">
        <w:trPr>
          <w:trHeight w:val="256"/>
        </w:trPr>
        <w:tc>
          <w:tcPr>
            <w:tcW w:w="2652" w:type="pct"/>
            <w:tcBorders>
              <w:top w:val="nil"/>
              <w:left w:val="nil"/>
              <w:bottom w:val="nil"/>
              <w:right w:val="nil"/>
            </w:tcBorders>
            <w:shd w:val="clear" w:color="auto" w:fill="auto"/>
            <w:noWrap/>
            <w:vAlign w:val="bottom"/>
            <w:hideMark/>
          </w:tcPr>
          <w:p w14:paraId="211CDC48" w14:textId="77777777" w:rsidR="004449AB" w:rsidRPr="004449AB" w:rsidRDefault="004449AB" w:rsidP="004449AB">
            <w:pPr>
              <w:spacing w:after="0" w:line="240" w:lineRule="auto"/>
              <w:rPr>
                <w:rFonts w:ascii="Arial" w:eastAsia="Times New Roman" w:hAnsi="Arial" w:cs="Arial"/>
                <w:b/>
                <w:bCs/>
                <w:color w:val="000000"/>
                <w:kern w:val="0"/>
                <w:sz w:val="18"/>
                <w:szCs w:val="18"/>
                <w:lang w:eastAsia="pt-BR"/>
                <w14:ligatures w14:val="none"/>
              </w:rPr>
            </w:pPr>
          </w:p>
        </w:tc>
        <w:tc>
          <w:tcPr>
            <w:tcW w:w="276" w:type="pct"/>
            <w:tcBorders>
              <w:top w:val="nil"/>
              <w:left w:val="nil"/>
              <w:bottom w:val="nil"/>
              <w:right w:val="nil"/>
            </w:tcBorders>
            <w:shd w:val="clear" w:color="auto" w:fill="auto"/>
            <w:noWrap/>
            <w:vAlign w:val="bottom"/>
            <w:hideMark/>
          </w:tcPr>
          <w:p w14:paraId="6B3B6D87"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123" w:type="pct"/>
            <w:tcBorders>
              <w:top w:val="nil"/>
              <w:left w:val="nil"/>
              <w:bottom w:val="nil"/>
              <w:right w:val="nil"/>
            </w:tcBorders>
            <w:shd w:val="clear" w:color="auto" w:fill="auto"/>
            <w:noWrap/>
            <w:vAlign w:val="bottom"/>
            <w:hideMark/>
          </w:tcPr>
          <w:p w14:paraId="61E5B6CC" w14:textId="77777777" w:rsidR="004449AB" w:rsidRPr="004449AB" w:rsidRDefault="004449AB" w:rsidP="004449AB">
            <w:pPr>
              <w:spacing w:after="0" w:line="240" w:lineRule="auto"/>
              <w:jc w:val="center"/>
              <w:rPr>
                <w:rFonts w:ascii="Times New Roman" w:eastAsia="Times New Roman" w:hAnsi="Times New Roman" w:cs="Times New Roman"/>
                <w:kern w:val="0"/>
                <w:sz w:val="18"/>
                <w:szCs w:val="18"/>
                <w:lang w:eastAsia="pt-BR"/>
                <w14:ligatures w14:val="none"/>
              </w:rPr>
            </w:pPr>
          </w:p>
        </w:tc>
        <w:tc>
          <w:tcPr>
            <w:tcW w:w="946" w:type="pct"/>
            <w:tcBorders>
              <w:top w:val="nil"/>
              <w:left w:val="nil"/>
              <w:bottom w:val="nil"/>
              <w:right w:val="nil"/>
            </w:tcBorders>
            <w:shd w:val="clear" w:color="auto" w:fill="auto"/>
            <w:noWrap/>
            <w:vAlign w:val="bottom"/>
            <w:hideMark/>
          </w:tcPr>
          <w:p w14:paraId="44A29989"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98" w:type="pct"/>
            <w:tcBorders>
              <w:top w:val="nil"/>
              <w:left w:val="nil"/>
              <w:bottom w:val="nil"/>
              <w:right w:val="nil"/>
            </w:tcBorders>
            <w:shd w:val="clear" w:color="auto" w:fill="auto"/>
            <w:noWrap/>
            <w:vAlign w:val="bottom"/>
            <w:hideMark/>
          </w:tcPr>
          <w:p w14:paraId="2CE8E60D"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904" w:type="pct"/>
            <w:tcBorders>
              <w:top w:val="nil"/>
              <w:left w:val="nil"/>
              <w:bottom w:val="nil"/>
              <w:right w:val="nil"/>
            </w:tcBorders>
            <w:shd w:val="clear" w:color="auto" w:fill="auto"/>
            <w:noWrap/>
            <w:vAlign w:val="bottom"/>
            <w:hideMark/>
          </w:tcPr>
          <w:p w14:paraId="7DCE4CEC"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r>
      <w:tr w:rsidR="004449AB" w:rsidRPr="004449AB" w14:paraId="1249D3EE" w14:textId="77777777" w:rsidTr="00075425">
        <w:trPr>
          <w:trHeight w:val="256"/>
        </w:trPr>
        <w:tc>
          <w:tcPr>
            <w:tcW w:w="2652" w:type="pct"/>
            <w:tcBorders>
              <w:top w:val="nil"/>
              <w:left w:val="nil"/>
              <w:bottom w:val="nil"/>
              <w:right w:val="nil"/>
            </w:tcBorders>
            <w:shd w:val="clear" w:color="auto" w:fill="auto"/>
            <w:noWrap/>
            <w:vAlign w:val="bottom"/>
            <w:hideMark/>
          </w:tcPr>
          <w:p w14:paraId="7116AFD5" w14:textId="77777777" w:rsidR="004449AB" w:rsidRPr="004449AB" w:rsidRDefault="004449AB" w:rsidP="004449AB">
            <w:pPr>
              <w:spacing w:after="0" w:line="240" w:lineRule="auto"/>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 xml:space="preserve">Custos dos Serviços Prestados </w:t>
            </w:r>
          </w:p>
        </w:tc>
        <w:tc>
          <w:tcPr>
            <w:tcW w:w="276" w:type="pct"/>
            <w:tcBorders>
              <w:top w:val="nil"/>
              <w:left w:val="nil"/>
              <w:bottom w:val="nil"/>
              <w:right w:val="nil"/>
            </w:tcBorders>
            <w:shd w:val="clear" w:color="auto" w:fill="auto"/>
            <w:noWrap/>
            <w:vAlign w:val="bottom"/>
            <w:hideMark/>
          </w:tcPr>
          <w:p w14:paraId="0E647B96" w14:textId="77777777" w:rsidR="004449AB" w:rsidRPr="004449AB" w:rsidRDefault="004449AB" w:rsidP="004449AB">
            <w:pPr>
              <w:spacing w:after="0" w:line="240" w:lineRule="auto"/>
              <w:jc w:val="center"/>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29</w:t>
            </w:r>
          </w:p>
        </w:tc>
        <w:tc>
          <w:tcPr>
            <w:tcW w:w="123" w:type="pct"/>
            <w:tcBorders>
              <w:top w:val="nil"/>
              <w:left w:val="nil"/>
              <w:bottom w:val="nil"/>
              <w:right w:val="nil"/>
            </w:tcBorders>
            <w:shd w:val="clear" w:color="auto" w:fill="auto"/>
            <w:noWrap/>
            <w:vAlign w:val="bottom"/>
            <w:hideMark/>
          </w:tcPr>
          <w:p w14:paraId="3FE5F10D" w14:textId="77777777" w:rsidR="004449AB" w:rsidRPr="004449AB" w:rsidRDefault="004449AB" w:rsidP="004449AB">
            <w:pPr>
              <w:spacing w:after="0" w:line="240" w:lineRule="auto"/>
              <w:jc w:val="center"/>
              <w:rPr>
                <w:rFonts w:ascii="Arial" w:eastAsia="Times New Roman" w:hAnsi="Arial" w:cs="Arial"/>
                <w:kern w:val="0"/>
                <w:sz w:val="18"/>
                <w:szCs w:val="18"/>
                <w:lang w:eastAsia="pt-BR"/>
                <w14:ligatures w14:val="none"/>
              </w:rPr>
            </w:pPr>
          </w:p>
        </w:tc>
        <w:tc>
          <w:tcPr>
            <w:tcW w:w="946" w:type="pct"/>
            <w:tcBorders>
              <w:top w:val="nil"/>
              <w:left w:val="nil"/>
              <w:bottom w:val="nil"/>
              <w:right w:val="nil"/>
            </w:tcBorders>
            <w:shd w:val="clear" w:color="auto" w:fill="auto"/>
            <w:noWrap/>
            <w:vAlign w:val="bottom"/>
            <w:hideMark/>
          </w:tcPr>
          <w:p w14:paraId="735D451A" w14:textId="77777777" w:rsidR="004449AB" w:rsidRPr="004449AB" w:rsidRDefault="004449AB" w:rsidP="004449AB">
            <w:pPr>
              <w:spacing w:after="0" w:line="240" w:lineRule="auto"/>
              <w:jc w:val="right"/>
              <w:rPr>
                <w:rFonts w:ascii="Arial" w:eastAsia="Times New Roman" w:hAnsi="Arial" w:cs="Arial"/>
                <w:color w:val="000000"/>
                <w:kern w:val="0"/>
                <w:sz w:val="18"/>
                <w:szCs w:val="18"/>
                <w:lang w:eastAsia="pt-BR"/>
                <w14:ligatures w14:val="none"/>
              </w:rPr>
            </w:pPr>
            <w:r w:rsidRPr="004449AB">
              <w:rPr>
                <w:rFonts w:ascii="Arial" w:eastAsia="Times New Roman" w:hAnsi="Arial" w:cs="Arial"/>
                <w:color w:val="000000"/>
                <w:kern w:val="0"/>
                <w:sz w:val="18"/>
                <w:szCs w:val="18"/>
                <w:lang w:eastAsia="pt-BR"/>
                <w14:ligatures w14:val="none"/>
              </w:rPr>
              <w:t xml:space="preserve">                (611.350)</w:t>
            </w:r>
          </w:p>
        </w:tc>
        <w:tc>
          <w:tcPr>
            <w:tcW w:w="98" w:type="pct"/>
            <w:tcBorders>
              <w:top w:val="nil"/>
              <w:left w:val="nil"/>
              <w:bottom w:val="nil"/>
              <w:right w:val="nil"/>
            </w:tcBorders>
            <w:shd w:val="clear" w:color="auto" w:fill="auto"/>
            <w:noWrap/>
            <w:vAlign w:val="bottom"/>
            <w:hideMark/>
          </w:tcPr>
          <w:p w14:paraId="5C30FE4A" w14:textId="77777777" w:rsidR="004449AB" w:rsidRPr="004449AB" w:rsidRDefault="004449AB" w:rsidP="004449AB">
            <w:pPr>
              <w:spacing w:after="0" w:line="240" w:lineRule="auto"/>
              <w:jc w:val="right"/>
              <w:rPr>
                <w:rFonts w:ascii="Arial" w:eastAsia="Times New Roman" w:hAnsi="Arial" w:cs="Arial"/>
                <w:color w:val="000000"/>
                <w:kern w:val="0"/>
                <w:sz w:val="18"/>
                <w:szCs w:val="18"/>
                <w:lang w:eastAsia="pt-BR"/>
                <w14:ligatures w14:val="none"/>
              </w:rPr>
            </w:pPr>
          </w:p>
        </w:tc>
        <w:tc>
          <w:tcPr>
            <w:tcW w:w="904" w:type="pct"/>
            <w:tcBorders>
              <w:top w:val="nil"/>
              <w:left w:val="nil"/>
              <w:bottom w:val="nil"/>
              <w:right w:val="nil"/>
            </w:tcBorders>
            <w:shd w:val="clear" w:color="auto" w:fill="auto"/>
            <w:noWrap/>
            <w:vAlign w:val="bottom"/>
            <w:hideMark/>
          </w:tcPr>
          <w:p w14:paraId="5E9842DC" w14:textId="77777777" w:rsidR="004449AB" w:rsidRPr="004449AB" w:rsidRDefault="004449AB" w:rsidP="004449AB">
            <w:pPr>
              <w:spacing w:after="0" w:line="240" w:lineRule="auto"/>
              <w:jc w:val="right"/>
              <w:rPr>
                <w:rFonts w:ascii="Arial" w:eastAsia="Times New Roman" w:hAnsi="Arial" w:cs="Arial"/>
                <w:color w:val="000000"/>
                <w:kern w:val="0"/>
                <w:sz w:val="18"/>
                <w:szCs w:val="18"/>
                <w:lang w:eastAsia="pt-BR"/>
                <w14:ligatures w14:val="none"/>
              </w:rPr>
            </w:pPr>
            <w:r w:rsidRPr="004449AB">
              <w:rPr>
                <w:rFonts w:ascii="Arial" w:eastAsia="Times New Roman" w:hAnsi="Arial" w:cs="Arial"/>
                <w:color w:val="000000"/>
                <w:kern w:val="0"/>
                <w:sz w:val="18"/>
                <w:szCs w:val="18"/>
                <w:lang w:eastAsia="pt-BR"/>
                <w14:ligatures w14:val="none"/>
              </w:rPr>
              <w:t xml:space="preserve">              (535.312)</w:t>
            </w:r>
          </w:p>
        </w:tc>
      </w:tr>
      <w:tr w:rsidR="004449AB" w:rsidRPr="004449AB" w14:paraId="35580239" w14:textId="77777777" w:rsidTr="00075425">
        <w:trPr>
          <w:trHeight w:val="256"/>
        </w:trPr>
        <w:tc>
          <w:tcPr>
            <w:tcW w:w="2652" w:type="pct"/>
            <w:tcBorders>
              <w:top w:val="nil"/>
              <w:left w:val="nil"/>
              <w:bottom w:val="nil"/>
              <w:right w:val="nil"/>
            </w:tcBorders>
            <w:shd w:val="clear" w:color="auto" w:fill="auto"/>
            <w:noWrap/>
            <w:vAlign w:val="bottom"/>
            <w:hideMark/>
          </w:tcPr>
          <w:p w14:paraId="35541B6B" w14:textId="77777777" w:rsidR="004449AB" w:rsidRPr="004449AB" w:rsidRDefault="004449AB" w:rsidP="004449AB">
            <w:pPr>
              <w:spacing w:after="0" w:line="240" w:lineRule="auto"/>
              <w:rPr>
                <w:rFonts w:ascii="Arial" w:eastAsia="Times New Roman" w:hAnsi="Arial" w:cs="Arial"/>
                <w:color w:val="000000"/>
                <w:kern w:val="0"/>
                <w:sz w:val="18"/>
                <w:szCs w:val="18"/>
                <w:lang w:eastAsia="pt-BR"/>
                <w14:ligatures w14:val="none"/>
              </w:rPr>
            </w:pPr>
          </w:p>
        </w:tc>
        <w:tc>
          <w:tcPr>
            <w:tcW w:w="276" w:type="pct"/>
            <w:tcBorders>
              <w:top w:val="nil"/>
              <w:left w:val="nil"/>
              <w:bottom w:val="nil"/>
              <w:right w:val="nil"/>
            </w:tcBorders>
            <w:shd w:val="clear" w:color="auto" w:fill="auto"/>
            <w:noWrap/>
            <w:vAlign w:val="bottom"/>
            <w:hideMark/>
          </w:tcPr>
          <w:p w14:paraId="76AC960F"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123" w:type="pct"/>
            <w:tcBorders>
              <w:top w:val="nil"/>
              <w:left w:val="nil"/>
              <w:bottom w:val="nil"/>
              <w:right w:val="nil"/>
            </w:tcBorders>
            <w:shd w:val="clear" w:color="auto" w:fill="auto"/>
            <w:noWrap/>
            <w:vAlign w:val="bottom"/>
            <w:hideMark/>
          </w:tcPr>
          <w:p w14:paraId="5605B482" w14:textId="77777777" w:rsidR="004449AB" w:rsidRPr="004449AB" w:rsidRDefault="004449AB" w:rsidP="004449AB">
            <w:pPr>
              <w:spacing w:after="0" w:line="240" w:lineRule="auto"/>
              <w:jc w:val="center"/>
              <w:rPr>
                <w:rFonts w:ascii="Times New Roman" w:eastAsia="Times New Roman" w:hAnsi="Times New Roman" w:cs="Times New Roman"/>
                <w:kern w:val="0"/>
                <w:sz w:val="18"/>
                <w:szCs w:val="18"/>
                <w:lang w:eastAsia="pt-BR"/>
                <w14:ligatures w14:val="none"/>
              </w:rPr>
            </w:pPr>
          </w:p>
        </w:tc>
        <w:tc>
          <w:tcPr>
            <w:tcW w:w="946" w:type="pct"/>
            <w:tcBorders>
              <w:top w:val="nil"/>
              <w:left w:val="nil"/>
              <w:bottom w:val="nil"/>
              <w:right w:val="nil"/>
            </w:tcBorders>
            <w:shd w:val="clear" w:color="auto" w:fill="auto"/>
            <w:noWrap/>
            <w:vAlign w:val="bottom"/>
            <w:hideMark/>
          </w:tcPr>
          <w:p w14:paraId="33EAD132"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98" w:type="pct"/>
            <w:tcBorders>
              <w:top w:val="nil"/>
              <w:left w:val="nil"/>
              <w:bottom w:val="nil"/>
              <w:right w:val="nil"/>
            </w:tcBorders>
            <w:shd w:val="clear" w:color="auto" w:fill="auto"/>
            <w:noWrap/>
            <w:vAlign w:val="bottom"/>
            <w:hideMark/>
          </w:tcPr>
          <w:p w14:paraId="52682934"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904" w:type="pct"/>
            <w:tcBorders>
              <w:top w:val="nil"/>
              <w:left w:val="nil"/>
              <w:bottom w:val="nil"/>
              <w:right w:val="nil"/>
            </w:tcBorders>
            <w:shd w:val="clear" w:color="auto" w:fill="auto"/>
            <w:noWrap/>
            <w:vAlign w:val="bottom"/>
            <w:hideMark/>
          </w:tcPr>
          <w:p w14:paraId="01019905"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r>
      <w:tr w:rsidR="004449AB" w:rsidRPr="004449AB" w14:paraId="69CC4A1E" w14:textId="77777777" w:rsidTr="00075425">
        <w:trPr>
          <w:trHeight w:val="256"/>
        </w:trPr>
        <w:tc>
          <w:tcPr>
            <w:tcW w:w="2652" w:type="pct"/>
            <w:tcBorders>
              <w:top w:val="nil"/>
              <w:left w:val="nil"/>
              <w:bottom w:val="nil"/>
              <w:right w:val="nil"/>
            </w:tcBorders>
            <w:shd w:val="clear" w:color="auto" w:fill="auto"/>
            <w:noWrap/>
            <w:vAlign w:val="bottom"/>
            <w:hideMark/>
          </w:tcPr>
          <w:p w14:paraId="0C5A2166" w14:textId="77777777" w:rsidR="004449AB" w:rsidRPr="004449AB" w:rsidRDefault="004449AB" w:rsidP="004449AB">
            <w:pPr>
              <w:spacing w:after="0" w:line="240" w:lineRule="auto"/>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Lucro Bruto</w:t>
            </w:r>
          </w:p>
        </w:tc>
        <w:tc>
          <w:tcPr>
            <w:tcW w:w="276" w:type="pct"/>
            <w:tcBorders>
              <w:top w:val="nil"/>
              <w:left w:val="nil"/>
              <w:bottom w:val="nil"/>
              <w:right w:val="nil"/>
            </w:tcBorders>
            <w:shd w:val="clear" w:color="auto" w:fill="auto"/>
            <w:noWrap/>
            <w:vAlign w:val="bottom"/>
            <w:hideMark/>
          </w:tcPr>
          <w:p w14:paraId="78BFF91D" w14:textId="77777777" w:rsidR="004449AB" w:rsidRPr="004449AB" w:rsidRDefault="004449AB" w:rsidP="004449AB">
            <w:pPr>
              <w:spacing w:after="0" w:line="240" w:lineRule="auto"/>
              <w:rPr>
                <w:rFonts w:ascii="Arial" w:eastAsia="Times New Roman" w:hAnsi="Arial" w:cs="Arial"/>
                <w:b/>
                <w:bCs/>
                <w:kern w:val="0"/>
                <w:sz w:val="18"/>
                <w:szCs w:val="18"/>
                <w:lang w:eastAsia="pt-BR"/>
                <w14:ligatures w14:val="none"/>
              </w:rPr>
            </w:pPr>
          </w:p>
        </w:tc>
        <w:tc>
          <w:tcPr>
            <w:tcW w:w="123" w:type="pct"/>
            <w:tcBorders>
              <w:top w:val="nil"/>
              <w:left w:val="nil"/>
              <w:bottom w:val="nil"/>
              <w:right w:val="nil"/>
            </w:tcBorders>
            <w:shd w:val="clear" w:color="auto" w:fill="auto"/>
            <w:noWrap/>
            <w:vAlign w:val="bottom"/>
            <w:hideMark/>
          </w:tcPr>
          <w:p w14:paraId="77C4D8C9" w14:textId="77777777" w:rsidR="004449AB" w:rsidRPr="004449AB" w:rsidRDefault="004449AB" w:rsidP="004449AB">
            <w:pPr>
              <w:spacing w:after="0" w:line="240" w:lineRule="auto"/>
              <w:jc w:val="center"/>
              <w:rPr>
                <w:rFonts w:ascii="Arial" w:eastAsia="Times New Roman" w:hAnsi="Arial" w:cs="Arial"/>
                <w:b/>
                <w:bCs/>
                <w:color w:val="000000"/>
                <w:kern w:val="0"/>
                <w:sz w:val="18"/>
                <w:szCs w:val="18"/>
                <w:lang w:eastAsia="pt-BR"/>
                <w14:ligatures w14:val="none"/>
              </w:rPr>
            </w:pPr>
          </w:p>
        </w:tc>
        <w:tc>
          <w:tcPr>
            <w:tcW w:w="946" w:type="pct"/>
            <w:tcBorders>
              <w:top w:val="single" w:sz="4" w:space="0" w:color="auto"/>
              <w:left w:val="nil"/>
              <w:bottom w:val="single" w:sz="4" w:space="0" w:color="auto"/>
              <w:right w:val="nil"/>
            </w:tcBorders>
            <w:shd w:val="clear" w:color="auto" w:fill="auto"/>
            <w:noWrap/>
            <w:vAlign w:val="bottom"/>
            <w:hideMark/>
          </w:tcPr>
          <w:p w14:paraId="55BD9A5E" w14:textId="77777777" w:rsidR="004449AB" w:rsidRPr="004449AB" w:rsidRDefault="004449AB" w:rsidP="004449AB">
            <w:pPr>
              <w:spacing w:after="0" w:line="240" w:lineRule="auto"/>
              <w:jc w:val="right"/>
              <w:rPr>
                <w:rFonts w:ascii="Arial" w:eastAsia="Times New Roman" w:hAnsi="Arial" w:cs="Arial"/>
                <w:b/>
                <w:bCs/>
                <w:color w:val="000000"/>
                <w:kern w:val="0"/>
                <w:sz w:val="18"/>
                <w:szCs w:val="18"/>
                <w:lang w:eastAsia="pt-BR"/>
                <w14:ligatures w14:val="none"/>
              </w:rPr>
            </w:pPr>
            <w:r w:rsidRPr="004449AB">
              <w:rPr>
                <w:rFonts w:ascii="Arial" w:eastAsia="Times New Roman" w:hAnsi="Arial" w:cs="Arial"/>
                <w:b/>
                <w:bCs/>
                <w:color w:val="000000"/>
                <w:kern w:val="0"/>
                <w:sz w:val="18"/>
                <w:szCs w:val="18"/>
                <w:lang w:eastAsia="pt-BR"/>
                <w14:ligatures w14:val="none"/>
              </w:rPr>
              <w:t xml:space="preserve">                (194.510)</w:t>
            </w:r>
          </w:p>
        </w:tc>
        <w:tc>
          <w:tcPr>
            <w:tcW w:w="98" w:type="pct"/>
            <w:tcBorders>
              <w:top w:val="nil"/>
              <w:left w:val="nil"/>
              <w:bottom w:val="single" w:sz="4" w:space="0" w:color="auto"/>
              <w:right w:val="nil"/>
            </w:tcBorders>
            <w:shd w:val="clear" w:color="auto" w:fill="auto"/>
            <w:noWrap/>
            <w:vAlign w:val="bottom"/>
            <w:hideMark/>
          </w:tcPr>
          <w:p w14:paraId="65D7F205" w14:textId="77777777" w:rsidR="004449AB" w:rsidRPr="004449AB" w:rsidRDefault="004449AB" w:rsidP="004449AB">
            <w:pPr>
              <w:spacing w:after="0" w:line="240" w:lineRule="auto"/>
              <w:jc w:val="right"/>
              <w:rPr>
                <w:rFonts w:ascii="Arial" w:eastAsia="Times New Roman" w:hAnsi="Arial" w:cs="Arial"/>
                <w:b/>
                <w:bCs/>
                <w:color w:val="000000"/>
                <w:kern w:val="0"/>
                <w:sz w:val="18"/>
                <w:szCs w:val="18"/>
                <w:lang w:eastAsia="pt-BR"/>
                <w14:ligatures w14:val="none"/>
              </w:rPr>
            </w:pPr>
            <w:r w:rsidRPr="004449AB">
              <w:rPr>
                <w:rFonts w:ascii="Arial" w:eastAsia="Times New Roman" w:hAnsi="Arial" w:cs="Arial"/>
                <w:b/>
                <w:bCs/>
                <w:color w:val="000000"/>
                <w:kern w:val="0"/>
                <w:sz w:val="18"/>
                <w:szCs w:val="18"/>
                <w:lang w:eastAsia="pt-BR"/>
                <w14:ligatures w14:val="none"/>
              </w:rPr>
              <w:t> </w:t>
            </w:r>
          </w:p>
        </w:tc>
        <w:tc>
          <w:tcPr>
            <w:tcW w:w="904" w:type="pct"/>
            <w:tcBorders>
              <w:top w:val="single" w:sz="4" w:space="0" w:color="auto"/>
              <w:left w:val="nil"/>
              <w:bottom w:val="single" w:sz="4" w:space="0" w:color="auto"/>
              <w:right w:val="nil"/>
            </w:tcBorders>
            <w:shd w:val="clear" w:color="auto" w:fill="auto"/>
            <w:noWrap/>
            <w:vAlign w:val="bottom"/>
            <w:hideMark/>
          </w:tcPr>
          <w:p w14:paraId="286C9CE8" w14:textId="77777777" w:rsidR="004449AB" w:rsidRPr="004449AB" w:rsidRDefault="004449AB" w:rsidP="004449AB">
            <w:pPr>
              <w:spacing w:after="0" w:line="240" w:lineRule="auto"/>
              <w:jc w:val="right"/>
              <w:rPr>
                <w:rFonts w:ascii="Arial" w:eastAsia="Times New Roman" w:hAnsi="Arial" w:cs="Arial"/>
                <w:b/>
                <w:bCs/>
                <w:color w:val="000000"/>
                <w:kern w:val="0"/>
                <w:sz w:val="18"/>
                <w:szCs w:val="18"/>
                <w:lang w:eastAsia="pt-BR"/>
                <w14:ligatures w14:val="none"/>
              </w:rPr>
            </w:pPr>
            <w:r w:rsidRPr="004449AB">
              <w:rPr>
                <w:rFonts w:ascii="Arial" w:eastAsia="Times New Roman" w:hAnsi="Arial" w:cs="Arial"/>
                <w:b/>
                <w:bCs/>
                <w:color w:val="000000"/>
                <w:kern w:val="0"/>
                <w:sz w:val="18"/>
                <w:szCs w:val="18"/>
                <w:lang w:eastAsia="pt-BR"/>
                <w14:ligatures w14:val="none"/>
              </w:rPr>
              <w:t xml:space="preserve">              (187.472)</w:t>
            </w:r>
          </w:p>
        </w:tc>
      </w:tr>
      <w:tr w:rsidR="004449AB" w:rsidRPr="004449AB" w14:paraId="191792B1" w14:textId="77777777" w:rsidTr="00075425">
        <w:trPr>
          <w:trHeight w:val="256"/>
        </w:trPr>
        <w:tc>
          <w:tcPr>
            <w:tcW w:w="2652" w:type="pct"/>
            <w:tcBorders>
              <w:top w:val="nil"/>
              <w:left w:val="nil"/>
              <w:bottom w:val="nil"/>
              <w:right w:val="nil"/>
            </w:tcBorders>
            <w:shd w:val="clear" w:color="auto" w:fill="auto"/>
            <w:noWrap/>
            <w:vAlign w:val="bottom"/>
            <w:hideMark/>
          </w:tcPr>
          <w:p w14:paraId="5D4458EF" w14:textId="77777777" w:rsidR="004449AB" w:rsidRPr="004449AB" w:rsidRDefault="004449AB" w:rsidP="004449AB">
            <w:pPr>
              <w:spacing w:after="0" w:line="240" w:lineRule="auto"/>
              <w:rPr>
                <w:rFonts w:ascii="Arial" w:eastAsia="Times New Roman" w:hAnsi="Arial" w:cs="Arial"/>
                <w:b/>
                <w:bCs/>
                <w:color w:val="000000"/>
                <w:kern w:val="0"/>
                <w:sz w:val="18"/>
                <w:szCs w:val="18"/>
                <w:lang w:eastAsia="pt-BR"/>
                <w14:ligatures w14:val="none"/>
              </w:rPr>
            </w:pPr>
          </w:p>
        </w:tc>
        <w:tc>
          <w:tcPr>
            <w:tcW w:w="276" w:type="pct"/>
            <w:tcBorders>
              <w:top w:val="nil"/>
              <w:left w:val="nil"/>
              <w:bottom w:val="nil"/>
              <w:right w:val="nil"/>
            </w:tcBorders>
            <w:shd w:val="clear" w:color="auto" w:fill="auto"/>
            <w:noWrap/>
            <w:vAlign w:val="bottom"/>
            <w:hideMark/>
          </w:tcPr>
          <w:p w14:paraId="2214A237"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123" w:type="pct"/>
            <w:tcBorders>
              <w:top w:val="nil"/>
              <w:left w:val="nil"/>
              <w:bottom w:val="nil"/>
              <w:right w:val="nil"/>
            </w:tcBorders>
            <w:shd w:val="clear" w:color="auto" w:fill="auto"/>
            <w:noWrap/>
            <w:vAlign w:val="bottom"/>
            <w:hideMark/>
          </w:tcPr>
          <w:p w14:paraId="0C9FE636" w14:textId="77777777" w:rsidR="004449AB" w:rsidRPr="004449AB" w:rsidRDefault="004449AB" w:rsidP="004449AB">
            <w:pPr>
              <w:spacing w:after="0" w:line="240" w:lineRule="auto"/>
              <w:jc w:val="center"/>
              <w:rPr>
                <w:rFonts w:ascii="Times New Roman" w:eastAsia="Times New Roman" w:hAnsi="Times New Roman" w:cs="Times New Roman"/>
                <w:kern w:val="0"/>
                <w:sz w:val="18"/>
                <w:szCs w:val="18"/>
                <w:lang w:eastAsia="pt-BR"/>
                <w14:ligatures w14:val="none"/>
              </w:rPr>
            </w:pPr>
          </w:p>
        </w:tc>
        <w:tc>
          <w:tcPr>
            <w:tcW w:w="946" w:type="pct"/>
            <w:tcBorders>
              <w:top w:val="nil"/>
              <w:left w:val="nil"/>
              <w:bottom w:val="nil"/>
              <w:right w:val="nil"/>
            </w:tcBorders>
            <w:shd w:val="clear" w:color="auto" w:fill="auto"/>
            <w:noWrap/>
            <w:vAlign w:val="bottom"/>
            <w:hideMark/>
          </w:tcPr>
          <w:p w14:paraId="6D4F4B01"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98" w:type="pct"/>
            <w:tcBorders>
              <w:top w:val="nil"/>
              <w:left w:val="nil"/>
              <w:bottom w:val="nil"/>
              <w:right w:val="nil"/>
            </w:tcBorders>
            <w:shd w:val="clear" w:color="auto" w:fill="auto"/>
            <w:noWrap/>
            <w:vAlign w:val="bottom"/>
            <w:hideMark/>
          </w:tcPr>
          <w:p w14:paraId="15FD57B5"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904" w:type="pct"/>
            <w:tcBorders>
              <w:top w:val="nil"/>
              <w:left w:val="nil"/>
              <w:bottom w:val="nil"/>
              <w:right w:val="nil"/>
            </w:tcBorders>
            <w:shd w:val="clear" w:color="auto" w:fill="auto"/>
            <w:noWrap/>
            <w:vAlign w:val="bottom"/>
            <w:hideMark/>
          </w:tcPr>
          <w:p w14:paraId="331A756D"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r>
      <w:tr w:rsidR="004449AB" w:rsidRPr="004449AB" w14:paraId="79050C1E" w14:textId="77777777" w:rsidTr="00075425">
        <w:trPr>
          <w:trHeight w:val="256"/>
        </w:trPr>
        <w:tc>
          <w:tcPr>
            <w:tcW w:w="2652" w:type="pct"/>
            <w:tcBorders>
              <w:top w:val="nil"/>
              <w:left w:val="nil"/>
              <w:bottom w:val="nil"/>
              <w:right w:val="nil"/>
            </w:tcBorders>
            <w:shd w:val="clear" w:color="auto" w:fill="auto"/>
            <w:noWrap/>
            <w:vAlign w:val="bottom"/>
            <w:hideMark/>
          </w:tcPr>
          <w:p w14:paraId="38635DB4" w14:textId="77777777" w:rsidR="004449AB" w:rsidRPr="004449AB" w:rsidRDefault="004449AB" w:rsidP="004449AB">
            <w:pPr>
              <w:spacing w:after="0" w:line="240" w:lineRule="auto"/>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Receitas / (Despesas) Operacionais</w:t>
            </w:r>
          </w:p>
        </w:tc>
        <w:tc>
          <w:tcPr>
            <w:tcW w:w="276" w:type="pct"/>
            <w:tcBorders>
              <w:top w:val="nil"/>
              <w:left w:val="nil"/>
              <w:bottom w:val="nil"/>
              <w:right w:val="nil"/>
            </w:tcBorders>
            <w:shd w:val="clear" w:color="auto" w:fill="auto"/>
            <w:noWrap/>
            <w:vAlign w:val="bottom"/>
            <w:hideMark/>
          </w:tcPr>
          <w:p w14:paraId="570E8E38" w14:textId="77777777" w:rsidR="004449AB" w:rsidRPr="004449AB" w:rsidRDefault="004449AB" w:rsidP="004449AB">
            <w:pPr>
              <w:spacing w:after="0" w:line="240" w:lineRule="auto"/>
              <w:rPr>
                <w:rFonts w:ascii="Arial" w:eastAsia="Times New Roman" w:hAnsi="Arial" w:cs="Arial"/>
                <w:b/>
                <w:bCs/>
                <w:kern w:val="0"/>
                <w:sz w:val="18"/>
                <w:szCs w:val="18"/>
                <w:lang w:eastAsia="pt-BR"/>
                <w14:ligatures w14:val="none"/>
              </w:rPr>
            </w:pPr>
          </w:p>
        </w:tc>
        <w:tc>
          <w:tcPr>
            <w:tcW w:w="123" w:type="pct"/>
            <w:tcBorders>
              <w:top w:val="nil"/>
              <w:left w:val="nil"/>
              <w:bottom w:val="nil"/>
              <w:right w:val="nil"/>
            </w:tcBorders>
            <w:shd w:val="clear" w:color="auto" w:fill="auto"/>
            <w:noWrap/>
            <w:vAlign w:val="bottom"/>
            <w:hideMark/>
          </w:tcPr>
          <w:p w14:paraId="6472CD4A" w14:textId="77777777" w:rsidR="004449AB" w:rsidRPr="004449AB" w:rsidRDefault="004449AB" w:rsidP="004449AB">
            <w:pPr>
              <w:spacing w:after="0" w:line="240" w:lineRule="auto"/>
              <w:jc w:val="center"/>
              <w:rPr>
                <w:rFonts w:ascii="Arial" w:eastAsia="Times New Roman" w:hAnsi="Arial" w:cs="Arial"/>
                <w:b/>
                <w:bCs/>
                <w:color w:val="000000"/>
                <w:kern w:val="0"/>
                <w:sz w:val="18"/>
                <w:szCs w:val="18"/>
                <w:lang w:eastAsia="pt-BR"/>
                <w14:ligatures w14:val="none"/>
              </w:rPr>
            </w:pPr>
          </w:p>
        </w:tc>
        <w:tc>
          <w:tcPr>
            <w:tcW w:w="946" w:type="pct"/>
            <w:tcBorders>
              <w:top w:val="single" w:sz="4" w:space="0" w:color="auto"/>
              <w:left w:val="nil"/>
              <w:bottom w:val="single" w:sz="4" w:space="0" w:color="auto"/>
              <w:right w:val="nil"/>
            </w:tcBorders>
            <w:shd w:val="clear" w:color="auto" w:fill="auto"/>
            <w:noWrap/>
            <w:vAlign w:val="bottom"/>
            <w:hideMark/>
          </w:tcPr>
          <w:p w14:paraId="233A6CA5" w14:textId="77777777" w:rsidR="004449AB" w:rsidRPr="004449AB" w:rsidRDefault="004449AB" w:rsidP="004449AB">
            <w:pPr>
              <w:spacing w:after="0" w:line="240" w:lineRule="auto"/>
              <w:jc w:val="right"/>
              <w:rPr>
                <w:rFonts w:ascii="Arial" w:eastAsia="Times New Roman" w:hAnsi="Arial" w:cs="Arial"/>
                <w:b/>
                <w:bCs/>
                <w:color w:val="000000"/>
                <w:kern w:val="0"/>
                <w:sz w:val="18"/>
                <w:szCs w:val="18"/>
                <w:lang w:eastAsia="pt-BR"/>
                <w14:ligatures w14:val="none"/>
              </w:rPr>
            </w:pPr>
            <w:r w:rsidRPr="004449AB">
              <w:rPr>
                <w:rFonts w:ascii="Arial" w:eastAsia="Times New Roman" w:hAnsi="Arial" w:cs="Arial"/>
                <w:b/>
                <w:bCs/>
                <w:color w:val="000000"/>
                <w:kern w:val="0"/>
                <w:sz w:val="18"/>
                <w:szCs w:val="18"/>
                <w:lang w:eastAsia="pt-BR"/>
                <w14:ligatures w14:val="none"/>
              </w:rPr>
              <w:t xml:space="preserve">                  127.103 </w:t>
            </w:r>
          </w:p>
        </w:tc>
        <w:tc>
          <w:tcPr>
            <w:tcW w:w="98" w:type="pct"/>
            <w:tcBorders>
              <w:top w:val="nil"/>
              <w:left w:val="nil"/>
              <w:bottom w:val="nil"/>
              <w:right w:val="nil"/>
            </w:tcBorders>
            <w:shd w:val="clear" w:color="auto" w:fill="auto"/>
            <w:noWrap/>
            <w:vAlign w:val="bottom"/>
            <w:hideMark/>
          </w:tcPr>
          <w:p w14:paraId="1366CAD7" w14:textId="77777777" w:rsidR="004449AB" w:rsidRPr="004449AB" w:rsidRDefault="004449AB" w:rsidP="004449AB">
            <w:pPr>
              <w:spacing w:after="0" w:line="240" w:lineRule="auto"/>
              <w:jc w:val="right"/>
              <w:rPr>
                <w:rFonts w:ascii="Arial" w:eastAsia="Times New Roman" w:hAnsi="Arial" w:cs="Arial"/>
                <w:b/>
                <w:bCs/>
                <w:color w:val="000000"/>
                <w:kern w:val="0"/>
                <w:sz w:val="18"/>
                <w:szCs w:val="18"/>
                <w:lang w:eastAsia="pt-BR"/>
                <w14:ligatures w14:val="none"/>
              </w:rPr>
            </w:pPr>
          </w:p>
        </w:tc>
        <w:tc>
          <w:tcPr>
            <w:tcW w:w="904" w:type="pct"/>
            <w:tcBorders>
              <w:top w:val="single" w:sz="4" w:space="0" w:color="auto"/>
              <w:left w:val="nil"/>
              <w:bottom w:val="single" w:sz="4" w:space="0" w:color="auto"/>
              <w:right w:val="nil"/>
            </w:tcBorders>
            <w:shd w:val="clear" w:color="auto" w:fill="auto"/>
            <w:noWrap/>
            <w:vAlign w:val="bottom"/>
            <w:hideMark/>
          </w:tcPr>
          <w:p w14:paraId="698045DD" w14:textId="77777777" w:rsidR="004449AB" w:rsidRPr="004449AB" w:rsidRDefault="004449AB" w:rsidP="004449AB">
            <w:pPr>
              <w:spacing w:after="0" w:line="240" w:lineRule="auto"/>
              <w:jc w:val="right"/>
              <w:rPr>
                <w:rFonts w:ascii="Arial" w:eastAsia="Times New Roman" w:hAnsi="Arial" w:cs="Arial"/>
                <w:b/>
                <w:bCs/>
                <w:color w:val="000000"/>
                <w:kern w:val="0"/>
                <w:sz w:val="18"/>
                <w:szCs w:val="18"/>
                <w:lang w:eastAsia="pt-BR"/>
                <w14:ligatures w14:val="none"/>
              </w:rPr>
            </w:pPr>
            <w:r w:rsidRPr="004449AB">
              <w:rPr>
                <w:rFonts w:ascii="Arial" w:eastAsia="Times New Roman" w:hAnsi="Arial" w:cs="Arial"/>
                <w:b/>
                <w:bCs/>
                <w:color w:val="000000"/>
                <w:kern w:val="0"/>
                <w:sz w:val="18"/>
                <w:szCs w:val="18"/>
                <w:lang w:eastAsia="pt-BR"/>
                <w14:ligatures w14:val="none"/>
              </w:rPr>
              <w:t xml:space="preserve">               119.161 </w:t>
            </w:r>
          </w:p>
        </w:tc>
      </w:tr>
      <w:tr w:rsidR="004449AB" w:rsidRPr="004449AB" w14:paraId="506A57C4" w14:textId="77777777" w:rsidTr="00075425">
        <w:trPr>
          <w:trHeight w:val="256"/>
        </w:trPr>
        <w:tc>
          <w:tcPr>
            <w:tcW w:w="2652" w:type="pct"/>
            <w:tcBorders>
              <w:top w:val="nil"/>
              <w:left w:val="nil"/>
              <w:bottom w:val="nil"/>
              <w:right w:val="nil"/>
            </w:tcBorders>
            <w:shd w:val="clear" w:color="auto" w:fill="auto"/>
            <w:noWrap/>
            <w:vAlign w:val="bottom"/>
            <w:hideMark/>
          </w:tcPr>
          <w:p w14:paraId="51AEDD20" w14:textId="77777777" w:rsidR="004449AB" w:rsidRPr="004449AB" w:rsidRDefault="004449AB" w:rsidP="004449AB">
            <w:pPr>
              <w:spacing w:after="0" w:line="240" w:lineRule="auto"/>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Comercialização dos Serviços</w:t>
            </w:r>
          </w:p>
        </w:tc>
        <w:tc>
          <w:tcPr>
            <w:tcW w:w="276" w:type="pct"/>
            <w:tcBorders>
              <w:top w:val="nil"/>
              <w:left w:val="nil"/>
              <w:bottom w:val="nil"/>
              <w:right w:val="nil"/>
            </w:tcBorders>
            <w:shd w:val="clear" w:color="auto" w:fill="auto"/>
            <w:noWrap/>
            <w:vAlign w:val="bottom"/>
            <w:hideMark/>
          </w:tcPr>
          <w:p w14:paraId="3C65E2C7" w14:textId="77777777" w:rsidR="004449AB" w:rsidRPr="004449AB" w:rsidRDefault="004449AB" w:rsidP="004449AB">
            <w:pPr>
              <w:spacing w:after="0" w:line="240" w:lineRule="auto"/>
              <w:jc w:val="center"/>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29</w:t>
            </w:r>
          </w:p>
        </w:tc>
        <w:tc>
          <w:tcPr>
            <w:tcW w:w="123" w:type="pct"/>
            <w:tcBorders>
              <w:top w:val="nil"/>
              <w:left w:val="nil"/>
              <w:bottom w:val="nil"/>
              <w:right w:val="nil"/>
            </w:tcBorders>
            <w:shd w:val="clear" w:color="auto" w:fill="auto"/>
            <w:noWrap/>
            <w:vAlign w:val="bottom"/>
            <w:hideMark/>
          </w:tcPr>
          <w:p w14:paraId="2BB9B114" w14:textId="77777777" w:rsidR="004449AB" w:rsidRPr="004449AB" w:rsidRDefault="004449AB" w:rsidP="004449AB">
            <w:pPr>
              <w:spacing w:after="0" w:line="240" w:lineRule="auto"/>
              <w:jc w:val="center"/>
              <w:rPr>
                <w:rFonts w:ascii="Arial" w:eastAsia="Times New Roman" w:hAnsi="Arial" w:cs="Arial"/>
                <w:kern w:val="0"/>
                <w:sz w:val="18"/>
                <w:szCs w:val="18"/>
                <w:lang w:eastAsia="pt-BR"/>
                <w14:ligatures w14:val="none"/>
              </w:rPr>
            </w:pPr>
          </w:p>
        </w:tc>
        <w:tc>
          <w:tcPr>
            <w:tcW w:w="946" w:type="pct"/>
            <w:tcBorders>
              <w:top w:val="nil"/>
              <w:left w:val="nil"/>
              <w:bottom w:val="nil"/>
              <w:right w:val="nil"/>
            </w:tcBorders>
            <w:shd w:val="clear" w:color="auto" w:fill="auto"/>
            <w:noWrap/>
            <w:vAlign w:val="bottom"/>
            <w:hideMark/>
          </w:tcPr>
          <w:p w14:paraId="0DCB1C5E" w14:textId="77777777" w:rsidR="004449AB" w:rsidRPr="004449AB" w:rsidRDefault="004449AB" w:rsidP="004449AB">
            <w:pPr>
              <w:spacing w:after="0" w:line="240" w:lineRule="auto"/>
              <w:jc w:val="right"/>
              <w:rPr>
                <w:rFonts w:ascii="Arial" w:eastAsia="Times New Roman" w:hAnsi="Arial" w:cs="Arial"/>
                <w:color w:val="000000"/>
                <w:kern w:val="0"/>
                <w:sz w:val="18"/>
                <w:szCs w:val="18"/>
                <w:lang w:eastAsia="pt-BR"/>
                <w14:ligatures w14:val="none"/>
              </w:rPr>
            </w:pPr>
            <w:r w:rsidRPr="004449AB">
              <w:rPr>
                <w:rFonts w:ascii="Arial" w:eastAsia="Times New Roman" w:hAnsi="Arial" w:cs="Arial"/>
                <w:color w:val="000000"/>
                <w:kern w:val="0"/>
                <w:sz w:val="18"/>
                <w:szCs w:val="18"/>
                <w:lang w:eastAsia="pt-BR"/>
                <w14:ligatures w14:val="none"/>
              </w:rPr>
              <w:t xml:space="preserve">                  (25.528)</w:t>
            </w:r>
          </w:p>
        </w:tc>
        <w:tc>
          <w:tcPr>
            <w:tcW w:w="98" w:type="pct"/>
            <w:tcBorders>
              <w:top w:val="nil"/>
              <w:left w:val="nil"/>
              <w:bottom w:val="nil"/>
              <w:right w:val="nil"/>
            </w:tcBorders>
            <w:shd w:val="clear" w:color="auto" w:fill="auto"/>
            <w:noWrap/>
            <w:vAlign w:val="bottom"/>
            <w:hideMark/>
          </w:tcPr>
          <w:p w14:paraId="440BFC4B" w14:textId="77777777" w:rsidR="004449AB" w:rsidRPr="004449AB" w:rsidRDefault="004449AB" w:rsidP="004449AB">
            <w:pPr>
              <w:spacing w:after="0" w:line="240" w:lineRule="auto"/>
              <w:jc w:val="right"/>
              <w:rPr>
                <w:rFonts w:ascii="Arial" w:eastAsia="Times New Roman" w:hAnsi="Arial" w:cs="Arial"/>
                <w:color w:val="000000"/>
                <w:kern w:val="0"/>
                <w:sz w:val="18"/>
                <w:szCs w:val="18"/>
                <w:lang w:eastAsia="pt-BR"/>
                <w14:ligatures w14:val="none"/>
              </w:rPr>
            </w:pPr>
          </w:p>
        </w:tc>
        <w:tc>
          <w:tcPr>
            <w:tcW w:w="904" w:type="pct"/>
            <w:tcBorders>
              <w:top w:val="nil"/>
              <w:left w:val="nil"/>
              <w:bottom w:val="nil"/>
              <w:right w:val="nil"/>
            </w:tcBorders>
            <w:shd w:val="clear" w:color="auto" w:fill="auto"/>
            <w:noWrap/>
            <w:vAlign w:val="bottom"/>
            <w:hideMark/>
          </w:tcPr>
          <w:p w14:paraId="1ADAA14A" w14:textId="77777777" w:rsidR="004449AB" w:rsidRPr="004449AB" w:rsidRDefault="004449AB" w:rsidP="004449AB">
            <w:pPr>
              <w:spacing w:after="0" w:line="240" w:lineRule="auto"/>
              <w:jc w:val="right"/>
              <w:rPr>
                <w:rFonts w:ascii="Arial" w:eastAsia="Times New Roman" w:hAnsi="Arial" w:cs="Arial"/>
                <w:color w:val="000000"/>
                <w:kern w:val="0"/>
                <w:sz w:val="18"/>
                <w:szCs w:val="18"/>
                <w:lang w:eastAsia="pt-BR"/>
                <w14:ligatures w14:val="none"/>
              </w:rPr>
            </w:pPr>
            <w:r w:rsidRPr="004449AB">
              <w:rPr>
                <w:rFonts w:ascii="Arial" w:eastAsia="Times New Roman" w:hAnsi="Arial" w:cs="Arial"/>
                <w:color w:val="000000"/>
                <w:kern w:val="0"/>
                <w:sz w:val="18"/>
                <w:szCs w:val="18"/>
                <w:lang w:eastAsia="pt-BR"/>
                <w14:ligatures w14:val="none"/>
              </w:rPr>
              <w:t xml:space="preserve">                (21.216)</w:t>
            </w:r>
          </w:p>
        </w:tc>
      </w:tr>
      <w:tr w:rsidR="004449AB" w:rsidRPr="004449AB" w14:paraId="5F1939FB" w14:textId="77777777" w:rsidTr="00075425">
        <w:trPr>
          <w:trHeight w:val="256"/>
        </w:trPr>
        <w:tc>
          <w:tcPr>
            <w:tcW w:w="2652" w:type="pct"/>
            <w:tcBorders>
              <w:top w:val="nil"/>
              <w:left w:val="nil"/>
              <w:bottom w:val="nil"/>
              <w:right w:val="nil"/>
            </w:tcBorders>
            <w:shd w:val="clear" w:color="auto" w:fill="auto"/>
            <w:noWrap/>
            <w:vAlign w:val="bottom"/>
            <w:hideMark/>
          </w:tcPr>
          <w:p w14:paraId="1AB5E9C6" w14:textId="77777777" w:rsidR="004449AB" w:rsidRPr="004449AB" w:rsidRDefault="004449AB" w:rsidP="004449AB">
            <w:pPr>
              <w:spacing w:after="0" w:line="240" w:lineRule="auto"/>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Despesas Gerais e Administrativas</w:t>
            </w:r>
          </w:p>
        </w:tc>
        <w:tc>
          <w:tcPr>
            <w:tcW w:w="276" w:type="pct"/>
            <w:tcBorders>
              <w:top w:val="nil"/>
              <w:left w:val="nil"/>
              <w:bottom w:val="nil"/>
              <w:right w:val="nil"/>
            </w:tcBorders>
            <w:shd w:val="clear" w:color="auto" w:fill="auto"/>
            <w:noWrap/>
            <w:vAlign w:val="bottom"/>
            <w:hideMark/>
          </w:tcPr>
          <w:p w14:paraId="4FD6162A" w14:textId="77777777" w:rsidR="004449AB" w:rsidRPr="004449AB" w:rsidRDefault="004449AB" w:rsidP="004449AB">
            <w:pPr>
              <w:spacing w:after="0" w:line="240" w:lineRule="auto"/>
              <w:jc w:val="center"/>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29</w:t>
            </w:r>
          </w:p>
        </w:tc>
        <w:tc>
          <w:tcPr>
            <w:tcW w:w="123" w:type="pct"/>
            <w:tcBorders>
              <w:top w:val="nil"/>
              <w:left w:val="nil"/>
              <w:bottom w:val="nil"/>
              <w:right w:val="nil"/>
            </w:tcBorders>
            <w:shd w:val="clear" w:color="auto" w:fill="auto"/>
            <w:noWrap/>
            <w:vAlign w:val="bottom"/>
            <w:hideMark/>
          </w:tcPr>
          <w:p w14:paraId="631D1CCD" w14:textId="77777777" w:rsidR="004449AB" w:rsidRPr="004449AB" w:rsidRDefault="004449AB" w:rsidP="004449AB">
            <w:pPr>
              <w:spacing w:after="0" w:line="240" w:lineRule="auto"/>
              <w:jc w:val="center"/>
              <w:rPr>
                <w:rFonts w:ascii="Arial" w:eastAsia="Times New Roman" w:hAnsi="Arial" w:cs="Arial"/>
                <w:kern w:val="0"/>
                <w:sz w:val="18"/>
                <w:szCs w:val="18"/>
                <w:lang w:eastAsia="pt-BR"/>
                <w14:ligatures w14:val="none"/>
              </w:rPr>
            </w:pPr>
          </w:p>
        </w:tc>
        <w:tc>
          <w:tcPr>
            <w:tcW w:w="946" w:type="pct"/>
            <w:tcBorders>
              <w:top w:val="nil"/>
              <w:left w:val="nil"/>
              <w:bottom w:val="nil"/>
              <w:right w:val="nil"/>
            </w:tcBorders>
            <w:shd w:val="clear" w:color="auto" w:fill="auto"/>
            <w:noWrap/>
            <w:vAlign w:val="bottom"/>
            <w:hideMark/>
          </w:tcPr>
          <w:p w14:paraId="6EE6D29D" w14:textId="77777777" w:rsidR="004449AB" w:rsidRPr="004449AB" w:rsidRDefault="004449AB" w:rsidP="004449AB">
            <w:pPr>
              <w:spacing w:after="0" w:line="240" w:lineRule="auto"/>
              <w:jc w:val="right"/>
              <w:rPr>
                <w:rFonts w:ascii="Arial" w:eastAsia="Times New Roman" w:hAnsi="Arial" w:cs="Arial"/>
                <w:color w:val="000000"/>
                <w:kern w:val="0"/>
                <w:sz w:val="18"/>
                <w:szCs w:val="18"/>
                <w:lang w:eastAsia="pt-BR"/>
                <w14:ligatures w14:val="none"/>
              </w:rPr>
            </w:pPr>
            <w:r w:rsidRPr="004449AB">
              <w:rPr>
                <w:rFonts w:ascii="Arial" w:eastAsia="Times New Roman" w:hAnsi="Arial" w:cs="Arial"/>
                <w:color w:val="000000"/>
                <w:kern w:val="0"/>
                <w:sz w:val="18"/>
                <w:szCs w:val="18"/>
                <w:lang w:eastAsia="pt-BR"/>
                <w14:ligatures w14:val="none"/>
              </w:rPr>
              <w:t xml:space="preserve">                  (86.328)</w:t>
            </w:r>
          </w:p>
        </w:tc>
        <w:tc>
          <w:tcPr>
            <w:tcW w:w="98" w:type="pct"/>
            <w:tcBorders>
              <w:top w:val="nil"/>
              <w:left w:val="nil"/>
              <w:bottom w:val="nil"/>
              <w:right w:val="nil"/>
            </w:tcBorders>
            <w:shd w:val="clear" w:color="auto" w:fill="auto"/>
            <w:noWrap/>
            <w:vAlign w:val="bottom"/>
            <w:hideMark/>
          </w:tcPr>
          <w:p w14:paraId="282AD1B0" w14:textId="77777777" w:rsidR="004449AB" w:rsidRPr="004449AB" w:rsidRDefault="004449AB" w:rsidP="004449AB">
            <w:pPr>
              <w:spacing w:after="0" w:line="240" w:lineRule="auto"/>
              <w:jc w:val="right"/>
              <w:rPr>
                <w:rFonts w:ascii="Arial" w:eastAsia="Times New Roman" w:hAnsi="Arial" w:cs="Arial"/>
                <w:color w:val="000000"/>
                <w:kern w:val="0"/>
                <w:sz w:val="18"/>
                <w:szCs w:val="18"/>
                <w:lang w:eastAsia="pt-BR"/>
                <w14:ligatures w14:val="none"/>
              </w:rPr>
            </w:pPr>
          </w:p>
        </w:tc>
        <w:tc>
          <w:tcPr>
            <w:tcW w:w="904" w:type="pct"/>
            <w:tcBorders>
              <w:top w:val="nil"/>
              <w:left w:val="nil"/>
              <w:bottom w:val="nil"/>
              <w:right w:val="nil"/>
            </w:tcBorders>
            <w:shd w:val="clear" w:color="auto" w:fill="auto"/>
            <w:noWrap/>
            <w:vAlign w:val="bottom"/>
            <w:hideMark/>
          </w:tcPr>
          <w:p w14:paraId="0DBB2222" w14:textId="77777777" w:rsidR="004449AB" w:rsidRPr="004449AB" w:rsidRDefault="004449AB" w:rsidP="004449AB">
            <w:pPr>
              <w:spacing w:after="0" w:line="240" w:lineRule="auto"/>
              <w:jc w:val="right"/>
              <w:rPr>
                <w:rFonts w:ascii="Arial" w:eastAsia="Times New Roman" w:hAnsi="Arial" w:cs="Arial"/>
                <w:color w:val="000000"/>
                <w:kern w:val="0"/>
                <w:sz w:val="18"/>
                <w:szCs w:val="18"/>
                <w:lang w:eastAsia="pt-BR"/>
                <w14:ligatures w14:val="none"/>
              </w:rPr>
            </w:pPr>
            <w:r w:rsidRPr="004449AB">
              <w:rPr>
                <w:rFonts w:ascii="Arial" w:eastAsia="Times New Roman" w:hAnsi="Arial" w:cs="Arial"/>
                <w:color w:val="000000"/>
                <w:kern w:val="0"/>
                <w:sz w:val="18"/>
                <w:szCs w:val="18"/>
                <w:lang w:eastAsia="pt-BR"/>
                <w14:ligatures w14:val="none"/>
              </w:rPr>
              <w:t xml:space="preserve">                (79.516)</w:t>
            </w:r>
          </w:p>
        </w:tc>
      </w:tr>
      <w:tr w:rsidR="004449AB" w:rsidRPr="004449AB" w14:paraId="27256843" w14:textId="77777777" w:rsidTr="00075425">
        <w:trPr>
          <w:trHeight w:val="256"/>
        </w:trPr>
        <w:tc>
          <w:tcPr>
            <w:tcW w:w="2652" w:type="pct"/>
            <w:tcBorders>
              <w:top w:val="nil"/>
              <w:left w:val="nil"/>
              <w:bottom w:val="nil"/>
              <w:right w:val="nil"/>
            </w:tcBorders>
            <w:shd w:val="clear" w:color="auto" w:fill="auto"/>
            <w:noWrap/>
            <w:vAlign w:val="bottom"/>
            <w:hideMark/>
          </w:tcPr>
          <w:p w14:paraId="65D244E6" w14:textId="77777777" w:rsidR="004449AB" w:rsidRPr="004449AB" w:rsidRDefault="004449AB" w:rsidP="004449AB">
            <w:pPr>
              <w:spacing w:after="0" w:line="240" w:lineRule="auto"/>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Resultado de Equivalência Patrimonial</w:t>
            </w:r>
          </w:p>
        </w:tc>
        <w:tc>
          <w:tcPr>
            <w:tcW w:w="276" w:type="pct"/>
            <w:tcBorders>
              <w:top w:val="nil"/>
              <w:left w:val="nil"/>
              <w:bottom w:val="nil"/>
              <w:right w:val="nil"/>
            </w:tcBorders>
            <w:shd w:val="clear" w:color="auto" w:fill="auto"/>
            <w:noWrap/>
            <w:vAlign w:val="bottom"/>
            <w:hideMark/>
          </w:tcPr>
          <w:p w14:paraId="4EAA08EA" w14:textId="77777777" w:rsidR="004449AB" w:rsidRPr="004449AB" w:rsidRDefault="004449AB" w:rsidP="004449AB">
            <w:pPr>
              <w:spacing w:after="0" w:line="240" w:lineRule="auto"/>
              <w:jc w:val="center"/>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13</w:t>
            </w:r>
          </w:p>
        </w:tc>
        <w:tc>
          <w:tcPr>
            <w:tcW w:w="123" w:type="pct"/>
            <w:tcBorders>
              <w:top w:val="nil"/>
              <w:left w:val="nil"/>
              <w:bottom w:val="nil"/>
              <w:right w:val="nil"/>
            </w:tcBorders>
            <w:shd w:val="clear" w:color="auto" w:fill="auto"/>
            <w:noWrap/>
            <w:vAlign w:val="bottom"/>
            <w:hideMark/>
          </w:tcPr>
          <w:p w14:paraId="6C24DF48" w14:textId="77777777" w:rsidR="004449AB" w:rsidRPr="004449AB" w:rsidRDefault="004449AB" w:rsidP="004449AB">
            <w:pPr>
              <w:spacing w:after="0" w:line="240" w:lineRule="auto"/>
              <w:jc w:val="center"/>
              <w:rPr>
                <w:rFonts w:ascii="Arial" w:eastAsia="Times New Roman" w:hAnsi="Arial" w:cs="Arial"/>
                <w:kern w:val="0"/>
                <w:sz w:val="18"/>
                <w:szCs w:val="18"/>
                <w:lang w:eastAsia="pt-BR"/>
                <w14:ligatures w14:val="none"/>
              </w:rPr>
            </w:pPr>
          </w:p>
        </w:tc>
        <w:tc>
          <w:tcPr>
            <w:tcW w:w="946" w:type="pct"/>
            <w:tcBorders>
              <w:top w:val="nil"/>
              <w:left w:val="nil"/>
              <w:bottom w:val="nil"/>
              <w:right w:val="nil"/>
            </w:tcBorders>
            <w:shd w:val="clear" w:color="auto" w:fill="auto"/>
            <w:noWrap/>
            <w:vAlign w:val="bottom"/>
            <w:hideMark/>
          </w:tcPr>
          <w:p w14:paraId="5D96CB09" w14:textId="77777777" w:rsidR="004449AB" w:rsidRPr="004449AB" w:rsidRDefault="004449AB" w:rsidP="004449AB">
            <w:pPr>
              <w:spacing w:after="0" w:line="240" w:lineRule="auto"/>
              <w:jc w:val="right"/>
              <w:rPr>
                <w:rFonts w:ascii="Arial" w:eastAsia="Times New Roman" w:hAnsi="Arial" w:cs="Arial"/>
                <w:color w:val="000000"/>
                <w:kern w:val="0"/>
                <w:sz w:val="18"/>
                <w:szCs w:val="18"/>
                <w:lang w:eastAsia="pt-BR"/>
                <w14:ligatures w14:val="none"/>
              </w:rPr>
            </w:pPr>
            <w:r w:rsidRPr="004449AB">
              <w:rPr>
                <w:rFonts w:ascii="Arial" w:eastAsia="Times New Roman" w:hAnsi="Arial" w:cs="Arial"/>
                <w:color w:val="000000"/>
                <w:kern w:val="0"/>
                <w:sz w:val="18"/>
                <w:szCs w:val="18"/>
                <w:lang w:eastAsia="pt-BR"/>
                <w14:ligatures w14:val="none"/>
              </w:rPr>
              <w:t xml:space="preserve">                    (2.254)</w:t>
            </w:r>
          </w:p>
        </w:tc>
        <w:tc>
          <w:tcPr>
            <w:tcW w:w="98" w:type="pct"/>
            <w:tcBorders>
              <w:top w:val="nil"/>
              <w:left w:val="nil"/>
              <w:bottom w:val="nil"/>
              <w:right w:val="nil"/>
            </w:tcBorders>
            <w:shd w:val="clear" w:color="auto" w:fill="auto"/>
            <w:noWrap/>
            <w:vAlign w:val="bottom"/>
            <w:hideMark/>
          </w:tcPr>
          <w:p w14:paraId="7CF7F819" w14:textId="77777777" w:rsidR="004449AB" w:rsidRPr="004449AB" w:rsidRDefault="004449AB" w:rsidP="004449AB">
            <w:pPr>
              <w:spacing w:after="0" w:line="240" w:lineRule="auto"/>
              <w:jc w:val="right"/>
              <w:rPr>
                <w:rFonts w:ascii="Arial" w:eastAsia="Times New Roman" w:hAnsi="Arial" w:cs="Arial"/>
                <w:color w:val="000000"/>
                <w:kern w:val="0"/>
                <w:sz w:val="18"/>
                <w:szCs w:val="18"/>
                <w:lang w:eastAsia="pt-BR"/>
                <w14:ligatures w14:val="none"/>
              </w:rPr>
            </w:pPr>
          </w:p>
        </w:tc>
        <w:tc>
          <w:tcPr>
            <w:tcW w:w="904" w:type="pct"/>
            <w:tcBorders>
              <w:top w:val="nil"/>
              <w:left w:val="nil"/>
              <w:bottom w:val="nil"/>
              <w:right w:val="nil"/>
            </w:tcBorders>
            <w:shd w:val="clear" w:color="auto" w:fill="auto"/>
            <w:noWrap/>
            <w:vAlign w:val="bottom"/>
            <w:hideMark/>
          </w:tcPr>
          <w:p w14:paraId="4FF5E37F" w14:textId="77777777" w:rsidR="004449AB" w:rsidRPr="004449AB" w:rsidRDefault="004449AB" w:rsidP="004449AB">
            <w:pPr>
              <w:spacing w:after="0" w:line="240" w:lineRule="auto"/>
              <w:jc w:val="right"/>
              <w:rPr>
                <w:rFonts w:ascii="Arial" w:eastAsia="Times New Roman" w:hAnsi="Arial" w:cs="Arial"/>
                <w:color w:val="000000"/>
                <w:kern w:val="0"/>
                <w:sz w:val="18"/>
                <w:szCs w:val="18"/>
                <w:lang w:eastAsia="pt-BR"/>
                <w14:ligatures w14:val="none"/>
              </w:rPr>
            </w:pPr>
            <w:r w:rsidRPr="004449AB">
              <w:rPr>
                <w:rFonts w:ascii="Arial" w:eastAsia="Times New Roman" w:hAnsi="Arial" w:cs="Arial"/>
                <w:color w:val="000000"/>
                <w:kern w:val="0"/>
                <w:sz w:val="18"/>
                <w:szCs w:val="18"/>
                <w:lang w:eastAsia="pt-BR"/>
                <w14:ligatures w14:val="none"/>
              </w:rPr>
              <w:t xml:space="preserve">                  (6.500)</w:t>
            </w:r>
          </w:p>
        </w:tc>
      </w:tr>
      <w:tr w:rsidR="004449AB" w:rsidRPr="004449AB" w14:paraId="5C3CB5FD" w14:textId="77777777" w:rsidTr="00075425">
        <w:trPr>
          <w:trHeight w:val="256"/>
        </w:trPr>
        <w:tc>
          <w:tcPr>
            <w:tcW w:w="2652" w:type="pct"/>
            <w:tcBorders>
              <w:top w:val="nil"/>
              <w:left w:val="nil"/>
              <w:bottom w:val="nil"/>
              <w:right w:val="nil"/>
            </w:tcBorders>
            <w:shd w:val="clear" w:color="auto" w:fill="auto"/>
            <w:noWrap/>
            <w:vAlign w:val="bottom"/>
            <w:hideMark/>
          </w:tcPr>
          <w:p w14:paraId="611DA61C" w14:textId="77777777" w:rsidR="004449AB" w:rsidRPr="004449AB" w:rsidRDefault="004449AB" w:rsidP="004449AB">
            <w:pPr>
              <w:spacing w:after="0" w:line="240" w:lineRule="auto"/>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Outras Receitas / (Despesas) Operacionais</w:t>
            </w:r>
          </w:p>
        </w:tc>
        <w:tc>
          <w:tcPr>
            <w:tcW w:w="276" w:type="pct"/>
            <w:tcBorders>
              <w:top w:val="nil"/>
              <w:left w:val="nil"/>
              <w:bottom w:val="nil"/>
              <w:right w:val="nil"/>
            </w:tcBorders>
            <w:shd w:val="clear" w:color="auto" w:fill="auto"/>
            <w:noWrap/>
            <w:vAlign w:val="bottom"/>
            <w:hideMark/>
          </w:tcPr>
          <w:p w14:paraId="497A5CDC" w14:textId="77777777" w:rsidR="004449AB" w:rsidRPr="004449AB" w:rsidRDefault="004449AB" w:rsidP="004449AB">
            <w:pPr>
              <w:spacing w:after="0" w:line="240" w:lineRule="auto"/>
              <w:jc w:val="center"/>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30</w:t>
            </w:r>
          </w:p>
        </w:tc>
        <w:tc>
          <w:tcPr>
            <w:tcW w:w="123" w:type="pct"/>
            <w:tcBorders>
              <w:top w:val="nil"/>
              <w:left w:val="nil"/>
              <w:bottom w:val="nil"/>
              <w:right w:val="nil"/>
            </w:tcBorders>
            <w:shd w:val="clear" w:color="auto" w:fill="auto"/>
            <w:noWrap/>
            <w:vAlign w:val="bottom"/>
            <w:hideMark/>
          </w:tcPr>
          <w:p w14:paraId="764931D8" w14:textId="77777777" w:rsidR="004449AB" w:rsidRPr="004449AB" w:rsidRDefault="004449AB" w:rsidP="004449AB">
            <w:pPr>
              <w:spacing w:after="0" w:line="240" w:lineRule="auto"/>
              <w:jc w:val="center"/>
              <w:rPr>
                <w:rFonts w:ascii="Arial" w:eastAsia="Times New Roman" w:hAnsi="Arial" w:cs="Arial"/>
                <w:color w:val="000000"/>
                <w:kern w:val="0"/>
                <w:sz w:val="18"/>
                <w:szCs w:val="18"/>
                <w:lang w:eastAsia="pt-BR"/>
                <w14:ligatures w14:val="none"/>
              </w:rPr>
            </w:pPr>
          </w:p>
        </w:tc>
        <w:tc>
          <w:tcPr>
            <w:tcW w:w="946" w:type="pct"/>
            <w:tcBorders>
              <w:top w:val="nil"/>
              <w:left w:val="nil"/>
              <w:bottom w:val="nil"/>
              <w:right w:val="nil"/>
            </w:tcBorders>
            <w:shd w:val="clear" w:color="auto" w:fill="auto"/>
            <w:noWrap/>
            <w:vAlign w:val="bottom"/>
            <w:hideMark/>
          </w:tcPr>
          <w:p w14:paraId="710A2812" w14:textId="77777777" w:rsidR="004449AB" w:rsidRPr="004449AB" w:rsidRDefault="004449AB" w:rsidP="004449AB">
            <w:pPr>
              <w:spacing w:after="0" w:line="240" w:lineRule="auto"/>
              <w:jc w:val="right"/>
              <w:rPr>
                <w:rFonts w:ascii="Arial" w:eastAsia="Times New Roman" w:hAnsi="Arial" w:cs="Arial"/>
                <w:color w:val="000000"/>
                <w:kern w:val="0"/>
                <w:sz w:val="18"/>
                <w:szCs w:val="18"/>
                <w:lang w:eastAsia="pt-BR"/>
                <w14:ligatures w14:val="none"/>
              </w:rPr>
            </w:pPr>
            <w:r w:rsidRPr="004449AB">
              <w:rPr>
                <w:rFonts w:ascii="Arial" w:eastAsia="Times New Roman" w:hAnsi="Arial" w:cs="Arial"/>
                <w:color w:val="000000"/>
                <w:kern w:val="0"/>
                <w:sz w:val="18"/>
                <w:szCs w:val="18"/>
                <w:lang w:eastAsia="pt-BR"/>
                <w14:ligatures w14:val="none"/>
              </w:rPr>
              <w:t xml:space="preserve">                  241.213 </w:t>
            </w:r>
          </w:p>
        </w:tc>
        <w:tc>
          <w:tcPr>
            <w:tcW w:w="98" w:type="pct"/>
            <w:tcBorders>
              <w:top w:val="nil"/>
              <w:left w:val="nil"/>
              <w:bottom w:val="nil"/>
              <w:right w:val="nil"/>
            </w:tcBorders>
            <w:shd w:val="clear" w:color="auto" w:fill="auto"/>
            <w:noWrap/>
            <w:vAlign w:val="bottom"/>
            <w:hideMark/>
          </w:tcPr>
          <w:p w14:paraId="2DB03D71" w14:textId="77777777" w:rsidR="004449AB" w:rsidRPr="004449AB" w:rsidRDefault="004449AB" w:rsidP="004449AB">
            <w:pPr>
              <w:spacing w:after="0" w:line="240" w:lineRule="auto"/>
              <w:jc w:val="right"/>
              <w:rPr>
                <w:rFonts w:ascii="Arial" w:eastAsia="Times New Roman" w:hAnsi="Arial" w:cs="Arial"/>
                <w:color w:val="000000"/>
                <w:kern w:val="0"/>
                <w:sz w:val="18"/>
                <w:szCs w:val="18"/>
                <w:lang w:eastAsia="pt-BR"/>
                <w14:ligatures w14:val="none"/>
              </w:rPr>
            </w:pPr>
          </w:p>
        </w:tc>
        <w:tc>
          <w:tcPr>
            <w:tcW w:w="904" w:type="pct"/>
            <w:tcBorders>
              <w:top w:val="nil"/>
              <w:left w:val="nil"/>
              <w:bottom w:val="nil"/>
              <w:right w:val="nil"/>
            </w:tcBorders>
            <w:shd w:val="clear" w:color="auto" w:fill="auto"/>
            <w:noWrap/>
            <w:vAlign w:val="bottom"/>
            <w:hideMark/>
          </w:tcPr>
          <w:p w14:paraId="5D31D81D" w14:textId="77777777" w:rsidR="004449AB" w:rsidRPr="004449AB" w:rsidRDefault="004449AB" w:rsidP="004449AB">
            <w:pPr>
              <w:spacing w:after="0" w:line="240" w:lineRule="auto"/>
              <w:jc w:val="right"/>
              <w:rPr>
                <w:rFonts w:ascii="Arial" w:eastAsia="Times New Roman" w:hAnsi="Arial" w:cs="Arial"/>
                <w:color w:val="000000"/>
                <w:kern w:val="0"/>
                <w:sz w:val="18"/>
                <w:szCs w:val="18"/>
                <w:lang w:eastAsia="pt-BR"/>
                <w14:ligatures w14:val="none"/>
              </w:rPr>
            </w:pPr>
            <w:r w:rsidRPr="004449AB">
              <w:rPr>
                <w:rFonts w:ascii="Arial" w:eastAsia="Times New Roman" w:hAnsi="Arial" w:cs="Arial"/>
                <w:color w:val="000000"/>
                <w:kern w:val="0"/>
                <w:sz w:val="18"/>
                <w:szCs w:val="18"/>
                <w:lang w:eastAsia="pt-BR"/>
                <w14:ligatures w14:val="none"/>
              </w:rPr>
              <w:t xml:space="preserve">               226.393 </w:t>
            </w:r>
          </w:p>
        </w:tc>
      </w:tr>
      <w:tr w:rsidR="004449AB" w:rsidRPr="004449AB" w14:paraId="02884E26" w14:textId="77777777" w:rsidTr="00075425">
        <w:trPr>
          <w:trHeight w:val="256"/>
        </w:trPr>
        <w:tc>
          <w:tcPr>
            <w:tcW w:w="2652" w:type="pct"/>
            <w:tcBorders>
              <w:top w:val="nil"/>
              <w:left w:val="nil"/>
              <w:bottom w:val="nil"/>
              <w:right w:val="nil"/>
            </w:tcBorders>
            <w:shd w:val="clear" w:color="auto" w:fill="auto"/>
            <w:noWrap/>
            <w:vAlign w:val="bottom"/>
            <w:hideMark/>
          </w:tcPr>
          <w:p w14:paraId="201E8281" w14:textId="77777777" w:rsidR="004449AB" w:rsidRPr="004449AB" w:rsidRDefault="004449AB" w:rsidP="004449AB">
            <w:pPr>
              <w:spacing w:after="0" w:line="240" w:lineRule="auto"/>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 xml:space="preserve">    Outras Receitas Operacionais</w:t>
            </w:r>
          </w:p>
        </w:tc>
        <w:tc>
          <w:tcPr>
            <w:tcW w:w="276" w:type="pct"/>
            <w:tcBorders>
              <w:top w:val="nil"/>
              <w:left w:val="nil"/>
              <w:bottom w:val="nil"/>
              <w:right w:val="nil"/>
            </w:tcBorders>
            <w:shd w:val="clear" w:color="auto" w:fill="auto"/>
            <w:noWrap/>
            <w:vAlign w:val="bottom"/>
            <w:hideMark/>
          </w:tcPr>
          <w:p w14:paraId="4D814F4D" w14:textId="77777777" w:rsidR="004449AB" w:rsidRPr="004449AB" w:rsidRDefault="004449AB" w:rsidP="004449AB">
            <w:pPr>
              <w:spacing w:after="0" w:line="240" w:lineRule="auto"/>
              <w:rPr>
                <w:rFonts w:ascii="Arial" w:eastAsia="Times New Roman" w:hAnsi="Arial" w:cs="Arial"/>
                <w:kern w:val="0"/>
                <w:sz w:val="18"/>
                <w:szCs w:val="18"/>
                <w:lang w:eastAsia="pt-BR"/>
                <w14:ligatures w14:val="none"/>
              </w:rPr>
            </w:pPr>
          </w:p>
        </w:tc>
        <w:tc>
          <w:tcPr>
            <w:tcW w:w="123" w:type="pct"/>
            <w:tcBorders>
              <w:top w:val="nil"/>
              <w:left w:val="nil"/>
              <w:bottom w:val="nil"/>
              <w:right w:val="nil"/>
            </w:tcBorders>
            <w:shd w:val="clear" w:color="auto" w:fill="auto"/>
            <w:noWrap/>
            <w:vAlign w:val="bottom"/>
            <w:hideMark/>
          </w:tcPr>
          <w:p w14:paraId="74CC1EE7" w14:textId="77777777" w:rsidR="004449AB" w:rsidRPr="004449AB" w:rsidRDefault="004449AB" w:rsidP="004449AB">
            <w:pPr>
              <w:spacing w:after="0" w:line="240" w:lineRule="auto"/>
              <w:jc w:val="center"/>
              <w:rPr>
                <w:rFonts w:ascii="Times New Roman" w:eastAsia="Times New Roman" w:hAnsi="Times New Roman" w:cs="Times New Roman"/>
                <w:kern w:val="0"/>
                <w:sz w:val="18"/>
                <w:szCs w:val="18"/>
                <w:lang w:eastAsia="pt-BR"/>
                <w14:ligatures w14:val="none"/>
              </w:rPr>
            </w:pPr>
          </w:p>
        </w:tc>
        <w:tc>
          <w:tcPr>
            <w:tcW w:w="946" w:type="pct"/>
            <w:tcBorders>
              <w:top w:val="nil"/>
              <w:left w:val="nil"/>
              <w:bottom w:val="nil"/>
              <w:right w:val="nil"/>
            </w:tcBorders>
            <w:shd w:val="clear" w:color="auto" w:fill="auto"/>
            <w:noWrap/>
            <w:vAlign w:val="bottom"/>
            <w:hideMark/>
          </w:tcPr>
          <w:p w14:paraId="55CA6D44" w14:textId="77777777" w:rsidR="004449AB" w:rsidRPr="004449AB" w:rsidRDefault="004449AB" w:rsidP="004449AB">
            <w:pPr>
              <w:spacing w:after="0" w:line="240" w:lineRule="auto"/>
              <w:jc w:val="right"/>
              <w:rPr>
                <w:rFonts w:ascii="Arial" w:eastAsia="Times New Roman" w:hAnsi="Arial" w:cs="Arial"/>
                <w:color w:val="000000"/>
                <w:kern w:val="0"/>
                <w:sz w:val="18"/>
                <w:szCs w:val="18"/>
                <w:lang w:eastAsia="pt-BR"/>
                <w14:ligatures w14:val="none"/>
              </w:rPr>
            </w:pPr>
            <w:r w:rsidRPr="004449AB">
              <w:rPr>
                <w:rFonts w:ascii="Arial" w:eastAsia="Times New Roman" w:hAnsi="Arial" w:cs="Arial"/>
                <w:color w:val="000000"/>
                <w:kern w:val="0"/>
                <w:sz w:val="18"/>
                <w:szCs w:val="18"/>
                <w:lang w:eastAsia="pt-BR"/>
                <w14:ligatures w14:val="none"/>
              </w:rPr>
              <w:t xml:space="preserve">                  296.872 </w:t>
            </w:r>
          </w:p>
        </w:tc>
        <w:tc>
          <w:tcPr>
            <w:tcW w:w="98" w:type="pct"/>
            <w:tcBorders>
              <w:top w:val="nil"/>
              <w:left w:val="nil"/>
              <w:bottom w:val="nil"/>
              <w:right w:val="nil"/>
            </w:tcBorders>
            <w:shd w:val="clear" w:color="auto" w:fill="auto"/>
            <w:noWrap/>
            <w:vAlign w:val="bottom"/>
            <w:hideMark/>
          </w:tcPr>
          <w:p w14:paraId="51CEB287" w14:textId="77777777" w:rsidR="004449AB" w:rsidRPr="004449AB" w:rsidRDefault="004449AB" w:rsidP="004449AB">
            <w:pPr>
              <w:spacing w:after="0" w:line="240" w:lineRule="auto"/>
              <w:jc w:val="right"/>
              <w:rPr>
                <w:rFonts w:ascii="Arial" w:eastAsia="Times New Roman" w:hAnsi="Arial" w:cs="Arial"/>
                <w:color w:val="000000"/>
                <w:kern w:val="0"/>
                <w:sz w:val="18"/>
                <w:szCs w:val="18"/>
                <w:lang w:eastAsia="pt-BR"/>
                <w14:ligatures w14:val="none"/>
              </w:rPr>
            </w:pPr>
          </w:p>
        </w:tc>
        <w:tc>
          <w:tcPr>
            <w:tcW w:w="904" w:type="pct"/>
            <w:tcBorders>
              <w:top w:val="nil"/>
              <w:left w:val="nil"/>
              <w:bottom w:val="nil"/>
              <w:right w:val="nil"/>
            </w:tcBorders>
            <w:shd w:val="clear" w:color="auto" w:fill="auto"/>
            <w:noWrap/>
            <w:vAlign w:val="bottom"/>
            <w:hideMark/>
          </w:tcPr>
          <w:p w14:paraId="01A3C34F" w14:textId="77777777" w:rsidR="004449AB" w:rsidRPr="004449AB" w:rsidRDefault="004449AB" w:rsidP="004449AB">
            <w:pPr>
              <w:spacing w:after="0" w:line="240" w:lineRule="auto"/>
              <w:jc w:val="right"/>
              <w:rPr>
                <w:rFonts w:ascii="Arial" w:eastAsia="Times New Roman" w:hAnsi="Arial" w:cs="Arial"/>
                <w:color w:val="000000"/>
                <w:kern w:val="0"/>
                <w:sz w:val="18"/>
                <w:szCs w:val="18"/>
                <w:lang w:eastAsia="pt-BR"/>
                <w14:ligatures w14:val="none"/>
              </w:rPr>
            </w:pPr>
            <w:r w:rsidRPr="004449AB">
              <w:rPr>
                <w:rFonts w:ascii="Arial" w:eastAsia="Times New Roman" w:hAnsi="Arial" w:cs="Arial"/>
                <w:color w:val="000000"/>
                <w:kern w:val="0"/>
                <w:sz w:val="18"/>
                <w:szCs w:val="18"/>
                <w:lang w:eastAsia="pt-BR"/>
                <w14:ligatures w14:val="none"/>
              </w:rPr>
              <w:t xml:space="preserve">               255.455 </w:t>
            </w:r>
          </w:p>
        </w:tc>
      </w:tr>
      <w:tr w:rsidR="004449AB" w:rsidRPr="004449AB" w14:paraId="741B0A5F" w14:textId="77777777" w:rsidTr="00075425">
        <w:trPr>
          <w:trHeight w:val="256"/>
        </w:trPr>
        <w:tc>
          <w:tcPr>
            <w:tcW w:w="2652" w:type="pct"/>
            <w:tcBorders>
              <w:top w:val="nil"/>
              <w:left w:val="nil"/>
              <w:bottom w:val="nil"/>
              <w:right w:val="nil"/>
            </w:tcBorders>
            <w:shd w:val="clear" w:color="auto" w:fill="auto"/>
            <w:noWrap/>
            <w:vAlign w:val="bottom"/>
            <w:hideMark/>
          </w:tcPr>
          <w:p w14:paraId="422AADDF" w14:textId="77777777" w:rsidR="004449AB" w:rsidRPr="004449AB" w:rsidRDefault="004449AB" w:rsidP="004449AB">
            <w:pPr>
              <w:spacing w:after="0" w:line="240" w:lineRule="auto"/>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 xml:space="preserve">    Outras Despesas Operacionais</w:t>
            </w:r>
          </w:p>
        </w:tc>
        <w:tc>
          <w:tcPr>
            <w:tcW w:w="276" w:type="pct"/>
            <w:tcBorders>
              <w:top w:val="nil"/>
              <w:left w:val="nil"/>
              <w:bottom w:val="nil"/>
              <w:right w:val="nil"/>
            </w:tcBorders>
            <w:shd w:val="clear" w:color="auto" w:fill="auto"/>
            <w:noWrap/>
            <w:vAlign w:val="bottom"/>
            <w:hideMark/>
          </w:tcPr>
          <w:p w14:paraId="7A5D0D79" w14:textId="77777777" w:rsidR="004449AB" w:rsidRPr="004449AB" w:rsidRDefault="004449AB" w:rsidP="004449AB">
            <w:pPr>
              <w:spacing w:after="0" w:line="240" w:lineRule="auto"/>
              <w:rPr>
                <w:rFonts w:ascii="Arial" w:eastAsia="Times New Roman" w:hAnsi="Arial" w:cs="Arial"/>
                <w:kern w:val="0"/>
                <w:sz w:val="18"/>
                <w:szCs w:val="18"/>
                <w:lang w:eastAsia="pt-BR"/>
                <w14:ligatures w14:val="none"/>
              </w:rPr>
            </w:pPr>
          </w:p>
        </w:tc>
        <w:tc>
          <w:tcPr>
            <w:tcW w:w="123" w:type="pct"/>
            <w:tcBorders>
              <w:top w:val="nil"/>
              <w:left w:val="nil"/>
              <w:bottom w:val="nil"/>
              <w:right w:val="nil"/>
            </w:tcBorders>
            <w:shd w:val="clear" w:color="auto" w:fill="auto"/>
            <w:noWrap/>
            <w:vAlign w:val="bottom"/>
            <w:hideMark/>
          </w:tcPr>
          <w:p w14:paraId="5EDADB28" w14:textId="77777777" w:rsidR="004449AB" w:rsidRPr="004449AB" w:rsidRDefault="004449AB" w:rsidP="004449AB">
            <w:pPr>
              <w:spacing w:after="0" w:line="240" w:lineRule="auto"/>
              <w:jc w:val="center"/>
              <w:rPr>
                <w:rFonts w:ascii="Times New Roman" w:eastAsia="Times New Roman" w:hAnsi="Times New Roman" w:cs="Times New Roman"/>
                <w:kern w:val="0"/>
                <w:sz w:val="18"/>
                <w:szCs w:val="18"/>
                <w:lang w:eastAsia="pt-BR"/>
                <w14:ligatures w14:val="none"/>
              </w:rPr>
            </w:pPr>
          </w:p>
        </w:tc>
        <w:tc>
          <w:tcPr>
            <w:tcW w:w="946" w:type="pct"/>
            <w:tcBorders>
              <w:top w:val="nil"/>
              <w:left w:val="nil"/>
              <w:bottom w:val="nil"/>
              <w:right w:val="nil"/>
            </w:tcBorders>
            <w:shd w:val="clear" w:color="auto" w:fill="auto"/>
            <w:noWrap/>
            <w:vAlign w:val="bottom"/>
            <w:hideMark/>
          </w:tcPr>
          <w:p w14:paraId="0D1685A5" w14:textId="77777777" w:rsidR="004449AB" w:rsidRPr="004449AB" w:rsidRDefault="004449AB" w:rsidP="004449AB">
            <w:pPr>
              <w:spacing w:after="0" w:line="240" w:lineRule="auto"/>
              <w:jc w:val="right"/>
              <w:rPr>
                <w:rFonts w:ascii="Arial" w:eastAsia="Times New Roman" w:hAnsi="Arial" w:cs="Arial"/>
                <w:color w:val="000000"/>
                <w:kern w:val="0"/>
                <w:sz w:val="18"/>
                <w:szCs w:val="18"/>
                <w:lang w:eastAsia="pt-BR"/>
                <w14:ligatures w14:val="none"/>
              </w:rPr>
            </w:pPr>
            <w:r w:rsidRPr="004449AB">
              <w:rPr>
                <w:rFonts w:ascii="Arial" w:eastAsia="Times New Roman" w:hAnsi="Arial" w:cs="Arial"/>
                <w:color w:val="000000"/>
                <w:kern w:val="0"/>
                <w:sz w:val="18"/>
                <w:szCs w:val="18"/>
                <w:lang w:eastAsia="pt-BR"/>
                <w14:ligatures w14:val="none"/>
              </w:rPr>
              <w:t xml:space="preserve">                  (55.659)</w:t>
            </w:r>
          </w:p>
        </w:tc>
        <w:tc>
          <w:tcPr>
            <w:tcW w:w="98" w:type="pct"/>
            <w:tcBorders>
              <w:top w:val="nil"/>
              <w:left w:val="nil"/>
              <w:bottom w:val="nil"/>
              <w:right w:val="nil"/>
            </w:tcBorders>
            <w:shd w:val="clear" w:color="auto" w:fill="auto"/>
            <w:noWrap/>
            <w:vAlign w:val="bottom"/>
            <w:hideMark/>
          </w:tcPr>
          <w:p w14:paraId="3411C4F0" w14:textId="77777777" w:rsidR="004449AB" w:rsidRPr="004449AB" w:rsidRDefault="004449AB" w:rsidP="004449AB">
            <w:pPr>
              <w:spacing w:after="0" w:line="240" w:lineRule="auto"/>
              <w:jc w:val="right"/>
              <w:rPr>
                <w:rFonts w:ascii="Arial" w:eastAsia="Times New Roman" w:hAnsi="Arial" w:cs="Arial"/>
                <w:color w:val="000000"/>
                <w:kern w:val="0"/>
                <w:sz w:val="18"/>
                <w:szCs w:val="18"/>
                <w:lang w:eastAsia="pt-BR"/>
                <w14:ligatures w14:val="none"/>
              </w:rPr>
            </w:pPr>
          </w:p>
        </w:tc>
        <w:tc>
          <w:tcPr>
            <w:tcW w:w="904" w:type="pct"/>
            <w:tcBorders>
              <w:top w:val="nil"/>
              <w:left w:val="nil"/>
              <w:bottom w:val="nil"/>
              <w:right w:val="nil"/>
            </w:tcBorders>
            <w:shd w:val="clear" w:color="auto" w:fill="auto"/>
            <w:noWrap/>
            <w:vAlign w:val="bottom"/>
            <w:hideMark/>
          </w:tcPr>
          <w:p w14:paraId="28BCF54B" w14:textId="77777777" w:rsidR="004449AB" w:rsidRPr="004449AB" w:rsidRDefault="004449AB" w:rsidP="004449AB">
            <w:pPr>
              <w:spacing w:after="0" w:line="240" w:lineRule="auto"/>
              <w:jc w:val="right"/>
              <w:rPr>
                <w:rFonts w:ascii="Arial" w:eastAsia="Times New Roman" w:hAnsi="Arial" w:cs="Arial"/>
                <w:color w:val="000000"/>
                <w:kern w:val="0"/>
                <w:sz w:val="18"/>
                <w:szCs w:val="18"/>
                <w:lang w:eastAsia="pt-BR"/>
                <w14:ligatures w14:val="none"/>
              </w:rPr>
            </w:pPr>
            <w:r w:rsidRPr="004449AB">
              <w:rPr>
                <w:rFonts w:ascii="Arial" w:eastAsia="Times New Roman" w:hAnsi="Arial" w:cs="Arial"/>
                <w:color w:val="000000"/>
                <w:kern w:val="0"/>
                <w:sz w:val="18"/>
                <w:szCs w:val="18"/>
                <w:lang w:eastAsia="pt-BR"/>
                <w14:ligatures w14:val="none"/>
              </w:rPr>
              <w:t xml:space="preserve">                (29.062)</w:t>
            </w:r>
          </w:p>
        </w:tc>
      </w:tr>
      <w:tr w:rsidR="004449AB" w:rsidRPr="004449AB" w14:paraId="6DC99743" w14:textId="77777777" w:rsidTr="00075425">
        <w:trPr>
          <w:trHeight w:val="256"/>
        </w:trPr>
        <w:tc>
          <w:tcPr>
            <w:tcW w:w="2652" w:type="pct"/>
            <w:tcBorders>
              <w:top w:val="nil"/>
              <w:left w:val="nil"/>
              <w:bottom w:val="nil"/>
              <w:right w:val="nil"/>
            </w:tcBorders>
            <w:shd w:val="clear" w:color="auto" w:fill="auto"/>
            <w:noWrap/>
            <w:vAlign w:val="bottom"/>
            <w:hideMark/>
          </w:tcPr>
          <w:p w14:paraId="4C69CD55" w14:textId="77777777" w:rsidR="004449AB" w:rsidRPr="004449AB" w:rsidRDefault="004449AB" w:rsidP="004449AB">
            <w:pPr>
              <w:spacing w:after="0" w:line="240" w:lineRule="auto"/>
              <w:rPr>
                <w:rFonts w:ascii="Arial" w:eastAsia="Times New Roman" w:hAnsi="Arial" w:cs="Arial"/>
                <w:color w:val="000000"/>
                <w:kern w:val="0"/>
                <w:sz w:val="18"/>
                <w:szCs w:val="18"/>
                <w:lang w:eastAsia="pt-BR"/>
                <w14:ligatures w14:val="none"/>
              </w:rPr>
            </w:pPr>
          </w:p>
        </w:tc>
        <w:tc>
          <w:tcPr>
            <w:tcW w:w="276" w:type="pct"/>
            <w:tcBorders>
              <w:top w:val="nil"/>
              <w:left w:val="nil"/>
              <w:bottom w:val="nil"/>
              <w:right w:val="nil"/>
            </w:tcBorders>
            <w:shd w:val="clear" w:color="auto" w:fill="auto"/>
            <w:noWrap/>
            <w:vAlign w:val="bottom"/>
            <w:hideMark/>
          </w:tcPr>
          <w:p w14:paraId="11F7023C"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123" w:type="pct"/>
            <w:tcBorders>
              <w:top w:val="nil"/>
              <w:left w:val="nil"/>
              <w:bottom w:val="nil"/>
              <w:right w:val="nil"/>
            </w:tcBorders>
            <w:shd w:val="clear" w:color="auto" w:fill="auto"/>
            <w:noWrap/>
            <w:vAlign w:val="bottom"/>
            <w:hideMark/>
          </w:tcPr>
          <w:p w14:paraId="4C1D6ECB" w14:textId="77777777" w:rsidR="004449AB" w:rsidRPr="004449AB" w:rsidRDefault="004449AB" w:rsidP="004449AB">
            <w:pPr>
              <w:spacing w:after="0" w:line="240" w:lineRule="auto"/>
              <w:jc w:val="center"/>
              <w:rPr>
                <w:rFonts w:ascii="Times New Roman" w:eastAsia="Times New Roman" w:hAnsi="Times New Roman" w:cs="Times New Roman"/>
                <w:kern w:val="0"/>
                <w:sz w:val="18"/>
                <w:szCs w:val="18"/>
                <w:lang w:eastAsia="pt-BR"/>
                <w14:ligatures w14:val="none"/>
              </w:rPr>
            </w:pPr>
          </w:p>
        </w:tc>
        <w:tc>
          <w:tcPr>
            <w:tcW w:w="946" w:type="pct"/>
            <w:tcBorders>
              <w:top w:val="nil"/>
              <w:left w:val="nil"/>
              <w:bottom w:val="nil"/>
              <w:right w:val="nil"/>
            </w:tcBorders>
            <w:shd w:val="clear" w:color="auto" w:fill="auto"/>
            <w:noWrap/>
            <w:vAlign w:val="bottom"/>
            <w:hideMark/>
          </w:tcPr>
          <w:p w14:paraId="20304807"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98" w:type="pct"/>
            <w:tcBorders>
              <w:top w:val="nil"/>
              <w:left w:val="nil"/>
              <w:bottom w:val="nil"/>
              <w:right w:val="nil"/>
            </w:tcBorders>
            <w:shd w:val="clear" w:color="auto" w:fill="auto"/>
            <w:noWrap/>
            <w:vAlign w:val="bottom"/>
            <w:hideMark/>
          </w:tcPr>
          <w:p w14:paraId="7747E5B1"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904" w:type="pct"/>
            <w:tcBorders>
              <w:top w:val="nil"/>
              <w:left w:val="nil"/>
              <w:bottom w:val="nil"/>
              <w:right w:val="nil"/>
            </w:tcBorders>
            <w:shd w:val="clear" w:color="auto" w:fill="auto"/>
            <w:noWrap/>
            <w:vAlign w:val="bottom"/>
            <w:hideMark/>
          </w:tcPr>
          <w:p w14:paraId="1C43BD80"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r>
      <w:tr w:rsidR="004449AB" w:rsidRPr="004449AB" w14:paraId="3B33071E" w14:textId="77777777" w:rsidTr="00075425">
        <w:trPr>
          <w:trHeight w:val="256"/>
        </w:trPr>
        <w:tc>
          <w:tcPr>
            <w:tcW w:w="2652" w:type="pct"/>
            <w:tcBorders>
              <w:top w:val="nil"/>
              <w:left w:val="nil"/>
              <w:bottom w:val="nil"/>
              <w:right w:val="nil"/>
            </w:tcBorders>
            <w:shd w:val="clear" w:color="auto" w:fill="auto"/>
            <w:noWrap/>
            <w:vAlign w:val="bottom"/>
            <w:hideMark/>
          </w:tcPr>
          <w:p w14:paraId="69BCD548" w14:textId="77777777" w:rsidR="004449AB" w:rsidRPr="004449AB" w:rsidRDefault="004449AB" w:rsidP="004449AB">
            <w:pPr>
              <w:spacing w:after="0" w:line="240" w:lineRule="auto"/>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Prejuízo Operacional antes do Resultado Financeiro</w:t>
            </w:r>
          </w:p>
        </w:tc>
        <w:tc>
          <w:tcPr>
            <w:tcW w:w="276" w:type="pct"/>
            <w:tcBorders>
              <w:top w:val="nil"/>
              <w:left w:val="nil"/>
              <w:bottom w:val="nil"/>
              <w:right w:val="nil"/>
            </w:tcBorders>
            <w:shd w:val="clear" w:color="auto" w:fill="auto"/>
            <w:noWrap/>
            <w:vAlign w:val="bottom"/>
            <w:hideMark/>
          </w:tcPr>
          <w:p w14:paraId="0C4F1363" w14:textId="77777777" w:rsidR="004449AB" w:rsidRPr="004449AB" w:rsidRDefault="004449AB" w:rsidP="004449AB">
            <w:pPr>
              <w:spacing w:after="0" w:line="240" w:lineRule="auto"/>
              <w:rPr>
                <w:rFonts w:ascii="Arial" w:eastAsia="Times New Roman" w:hAnsi="Arial" w:cs="Arial"/>
                <w:b/>
                <w:bCs/>
                <w:kern w:val="0"/>
                <w:sz w:val="18"/>
                <w:szCs w:val="18"/>
                <w:lang w:eastAsia="pt-BR"/>
                <w14:ligatures w14:val="none"/>
              </w:rPr>
            </w:pPr>
          </w:p>
        </w:tc>
        <w:tc>
          <w:tcPr>
            <w:tcW w:w="123" w:type="pct"/>
            <w:tcBorders>
              <w:top w:val="nil"/>
              <w:left w:val="nil"/>
              <w:bottom w:val="nil"/>
              <w:right w:val="nil"/>
            </w:tcBorders>
            <w:shd w:val="clear" w:color="auto" w:fill="auto"/>
            <w:noWrap/>
            <w:vAlign w:val="bottom"/>
            <w:hideMark/>
          </w:tcPr>
          <w:p w14:paraId="50A7637A" w14:textId="77777777" w:rsidR="004449AB" w:rsidRPr="004449AB" w:rsidRDefault="004449AB" w:rsidP="004449AB">
            <w:pPr>
              <w:spacing w:after="0" w:line="240" w:lineRule="auto"/>
              <w:jc w:val="center"/>
              <w:rPr>
                <w:rFonts w:ascii="Arial" w:eastAsia="Times New Roman" w:hAnsi="Arial" w:cs="Arial"/>
                <w:b/>
                <w:bCs/>
                <w:color w:val="000000"/>
                <w:kern w:val="0"/>
                <w:sz w:val="18"/>
                <w:szCs w:val="18"/>
                <w:lang w:eastAsia="pt-BR"/>
                <w14:ligatures w14:val="none"/>
              </w:rPr>
            </w:pPr>
          </w:p>
        </w:tc>
        <w:tc>
          <w:tcPr>
            <w:tcW w:w="946" w:type="pct"/>
            <w:tcBorders>
              <w:top w:val="single" w:sz="4" w:space="0" w:color="auto"/>
              <w:left w:val="nil"/>
              <w:bottom w:val="single" w:sz="4" w:space="0" w:color="auto"/>
              <w:right w:val="nil"/>
            </w:tcBorders>
            <w:shd w:val="clear" w:color="auto" w:fill="auto"/>
            <w:noWrap/>
            <w:vAlign w:val="bottom"/>
            <w:hideMark/>
          </w:tcPr>
          <w:p w14:paraId="40A02719" w14:textId="77777777" w:rsidR="004449AB" w:rsidRPr="004449AB" w:rsidRDefault="004449AB" w:rsidP="004449AB">
            <w:pPr>
              <w:spacing w:after="0" w:line="240" w:lineRule="auto"/>
              <w:jc w:val="right"/>
              <w:rPr>
                <w:rFonts w:ascii="Arial" w:eastAsia="Times New Roman" w:hAnsi="Arial" w:cs="Arial"/>
                <w:b/>
                <w:bCs/>
                <w:color w:val="000000"/>
                <w:kern w:val="0"/>
                <w:sz w:val="18"/>
                <w:szCs w:val="18"/>
                <w:lang w:eastAsia="pt-BR"/>
                <w14:ligatures w14:val="none"/>
              </w:rPr>
            </w:pPr>
            <w:r w:rsidRPr="004449AB">
              <w:rPr>
                <w:rFonts w:ascii="Arial" w:eastAsia="Times New Roman" w:hAnsi="Arial" w:cs="Arial"/>
                <w:b/>
                <w:bCs/>
                <w:color w:val="000000"/>
                <w:kern w:val="0"/>
                <w:sz w:val="18"/>
                <w:szCs w:val="18"/>
                <w:lang w:eastAsia="pt-BR"/>
                <w14:ligatures w14:val="none"/>
              </w:rPr>
              <w:t xml:space="preserve">                  (67.407)</w:t>
            </w:r>
          </w:p>
        </w:tc>
        <w:tc>
          <w:tcPr>
            <w:tcW w:w="98" w:type="pct"/>
            <w:tcBorders>
              <w:top w:val="nil"/>
              <w:left w:val="nil"/>
              <w:bottom w:val="nil"/>
              <w:right w:val="nil"/>
            </w:tcBorders>
            <w:shd w:val="clear" w:color="auto" w:fill="auto"/>
            <w:noWrap/>
            <w:vAlign w:val="bottom"/>
            <w:hideMark/>
          </w:tcPr>
          <w:p w14:paraId="5B08B383" w14:textId="77777777" w:rsidR="004449AB" w:rsidRPr="004449AB" w:rsidRDefault="004449AB" w:rsidP="004449AB">
            <w:pPr>
              <w:spacing w:after="0" w:line="240" w:lineRule="auto"/>
              <w:jc w:val="right"/>
              <w:rPr>
                <w:rFonts w:ascii="Arial" w:eastAsia="Times New Roman" w:hAnsi="Arial" w:cs="Arial"/>
                <w:b/>
                <w:bCs/>
                <w:color w:val="000000"/>
                <w:kern w:val="0"/>
                <w:sz w:val="18"/>
                <w:szCs w:val="18"/>
                <w:lang w:eastAsia="pt-BR"/>
                <w14:ligatures w14:val="none"/>
              </w:rPr>
            </w:pPr>
          </w:p>
        </w:tc>
        <w:tc>
          <w:tcPr>
            <w:tcW w:w="904" w:type="pct"/>
            <w:tcBorders>
              <w:top w:val="single" w:sz="4" w:space="0" w:color="auto"/>
              <w:left w:val="nil"/>
              <w:bottom w:val="single" w:sz="4" w:space="0" w:color="auto"/>
              <w:right w:val="nil"/>
            </w:tcBorders>
            <w:shd w:val="clear" w:color="auto" w:fill="auto"/>
            <w:noWrap/>
            <w:vAlign w:val="bottom"/>
            <w:hideMark/>
          </w:tcPr>
          <w:p w14:paraId="77DB82BA" w14:textId="77777777" w:rsidR="004449AB" w:rsidRPr="004449AB" w:rsidRDefault="004449AB" w:rsidP="004449AB">
            <w:pPr>
              <w:spacing w:after="0" w:line="240" w:lineRule="auto"/>
              <w:jc w:val="right"/>
              <w:rPr>
                <w:rFonts w:ascii="Arial" w:eastAsia="Times New Roman" w:hAnsi="Arial" w:cs="Arial"/>
                <w:b/>
                <w:bCs/>
                <w:color w:val="000000"/>
                <w:kern w:val="0"/>
                <w:sz w:val="18"/>
                <w:szCs w:val="18"/>
                <w:lang w:eastAsia="pt-BR"/>
                <w14:ligatures w14:val="none"/>
              </w:rPr>
            </w:pPr>
            <w:r w:rsidRPr="004449AB">
              <w:rPr>
                <w:rFonts w:ascii="Arial" w:eastAsia="Times New Roman" w:hAnsi="Arial" w:cs="Arial"/>
                <w:b/>
                <w:bCs/>
                <w:color w:val="000000"/>
                <w:kern w:val="0"/>
                <w:sz w:val="18"/>
                <w:szCs w:val="18"/>
                <w:lang w:eastAsia="pt-BR"/>
                <w14:ligatures w14:val="none"/>
              </w:rPr>
              <w:t xml:space="preserve">                (68.311)</w:t>
            </w:r>
          </w:p>
        </w:tc>
      </w:tr>
      <w:tr w:rsidR="004449AB" w:rsidRPr="004449AB" w14:paraId="06FFB31C" w14:textId="77777777" w:rsidTr="00075425">
        <w:trPr>
          <w:trHeight w:val="256"/>
        </w:trPr>
        <w:tc>
          <w:tcPr>
            <w:tcW w:w="2652" w:type="pct"/>
            <w:tcBorders>
              <w:top w:val="nil"/>
              <w:left w:val="nil"/>
              <w:bottom w:val="nil"/>
              <w:right w:val="nil"/>
            </w:tcBorders>
            <w:shd w:val="clear" w:color="auto" w:fill="auto"/>
            <w:noWrap/>
            <w:vAlign w:val="bottom"/>
            <w:hideMark/>
          </w:tcPr>
          <w:p w14:paraId="2FA4D2F4" w14:textId="77777777" w:rsidR="004449AB" w:rsidRPr="004449AB" w:rsidRDefault="004449AB" w:rsidP="004449AB">
            <w:pPr>
              <w:spacing w:after="0" w:line="240" w:lineRule="auto"/>
              <w:rPr>
                <w:rFonts w:ascii="Arial" w:eastAsia="Times New Roman" w:hAnsi="Arial" w:cs="Arial"/>
                <w:b/>
                <w:bCs/>
                <w:color w:val="000000"/>
                <w:kern w:val="0"/>
                <w:sz w:val="18"/>
                <w:szCs w:val="18"/>
                <w:lang w:eastAsia="pt-BR"/>
                <w14:ligatures w14:val="none"/>
              </w:rPr>
            </w:pPr>
          </w:p>
        </w:tc>
        <w:tc>
          <w:tcPr>
            <w:tcW w:w="276" w:type="pct"/>
            <w:tcBorders>
              <w:top w:val="nil"/>
              <w:left w:val="nil"/>
              <w:bottom w:val="nil"/>
              <w:right w:val="nil"/>
            </w:tcBorders>
            <w:shd w:val="clear" w:color="auto" w:fill="auto"/>
            <w:noWrap/>
            <w:vAlign w:val="bottom"/>
            <w:hideMark/>
          </w:tcPr>
          <w:p w14:paraId="613DB84D"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123" w:type="pct"/>
            <w:tcBorders>
              <w:top w:val="nil"/>
              <w:left w:val="nil"/>
              <w:bottom w:val="nil"/>
              <w:right w:val="nil"/>
            </w:tcBorders>
            <w:shd w:val="clear" w:color="auto" w:fill="auto"/>
            <w:noWrap/>
            <w:vAlign w:val="bottom"/>
            <w:hideMark/>
          </w:tcPr>
          <w:p w14:paraId="17D43DC3" w14:textId="77777777" w:rsidR="004449AB" w:rsidRPr="004449AB" w:rsidRDefault="004449AB" w:rsidP="004449AB">
            <w:pPr>
              <w:spacing w:after="0" w:line="240" w:lineRule="auto"/>
              <w:jc w:val="center"/>
              <w:rPr>
                <w:rFonts w:ascii="Times New Roman" w:eastAsia="Times New Roman" w:hAnsi="Times New Roman" w:cs="Times New Roman"/>
                <w:kern w:val="0"/>
                <w:sz w:val="18"/>
                <w:szCs w:val="18"/>
                <w:lang w:eastAsia="pt-BR"/>
                <w14:ligatures w14:val="none"/>
              </w:rPr>
            </w:pPr>
          </w:p>
        </w:tc>
        <w:tc>
          <w:tcPr>
            <w:tcW w:w="946" w:type="pct"/>
            <w:tcBorders>
              <w:top w:val="nil"/>
              <w:left w:val="nil"/>
              <w:bottom w:val="nil"/>
              <w:right w:val="nil"/>
            </w:tcBorders>
            <w:shd w:val="clear" w:color="auto" w:fill="auto"/>
            <w:noWrap/>
            <w:vAlign w:val="bottom"/>
            <w:hideMark/>
          </w:tcPr>
          <w:p w14:paraId="445228DF"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98" w:type="pct"/>
            <w:tcBorders>
              <w:top w:val="nil"/>
              <w:left w:val="nil"/>
              <w:bottom w:val="nil"/>
              <w:right w:val="nil"/>
            </w:tcBorders>
            <w:shd w:val="clear" w:color="auto" w:fill="auto"/>
            <w:noWrap/>
            <w:vAlign w:val="bottom"/>
            <w:hideMark/>
          </w:tcPr>
          <w:p w14:paraId="1EF6D459"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904" w:type="pct"/>
            <w:tcBorders>
              <w:top w:val="nil"/>
              <w:left w:val="nil"/>
              <w:bottom w:val="nil"/>
              <w:right w:val="nil"/>
            </w:tcBorders>
            <w:shd w:val="clear" w:color="auto" w:fill="auto"/>
            <w:noWrap/>
            <w:vAlign w:val="bottom"/>
            <w:hideMark/>
          </w:tcPr>
          <w:p w14:paraId="7E3D0BEE"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r>
      <w:tr w:rsidR="004449AB" w:rsidRPr="004449AB" w14:paraId="4E134AB0" w14:textId="77777777" w:rsidTr="00075425">
        <w:trPr>
          <w:trHeight w:val="256"/>
        </w:trPr>
        <w:tc>
          <w:tcPr>
            <w:tcW w:w="2652" w:type="pct"/>
            <w:tcBorders>
              <w:top w:val="nil"/>
              <w:left w:val="nil"/>
              <w:bottom w:val="nil"/>
              <w:right w:val="nil"/>
            </w:tcBorders>
            <w:shd w:val="clear" w:color="auto" w:fill="auto"/>
            <w:noWrap/>
            <w:vAlign w:val="bottom"/>
            <w:hideMark/>
          </w:tcPr>
          <w:p w14:paraId="1A86E036" w14:textId="77777777" w:rsidR="004449AB" w:rsidRPr="004449AB" w:rsidRDefault="004449AB" w:rsidP="004449AB">
            <w:pPr>
              <w:spacing w:after="0" w:line="240" w:lineRule="auto"/>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Resultado Financeiro</w:t>
            </w:r>
          </w:p>
        </w:tc>
        <w:tc>
          <w:tcPr>
            <w:tcW w:w="276" w:type="pct"/>
            <w:tcBorders>
              <w:top w:val="nil"/>
              <w:left w:val="nil"/>
              <w:bottom w:val="nil"/>
              <w:right w:val="nil"/>
            </w:tcBorders>
            <w:shd w:val="clear" w:color="auto" w:fill="auto"/>
            <w:noWrap/>
            <w:vAlign w:val="bottom"/>
            <w:hideMark/>
          </w:tcPr>
          <w:p w14:paraId="43544372" w14:textId="77777777" w:rsidR="004449AB" w:rsidRPr="004449AB" w:rsidRDefault="004449AB" w:rsidP="004449AB">
            <w:pPr>
              <w:spacing w:after="0" w:line="240" w:lineRule="auto"/>
              <w:jc w:val="center"/>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31</w:t>
            </w:r>
          </w:p>
        </w:tc>
        <w:tc>
          <w:tcPr>
            <w:tcW w:w="123" w:type="pct"/>
            <w:tcBorders>
              <w:top w:val="nil"/>
              <w:left w:val="nil"/>
              <w:bottom w:val="nil"/>
              <w:right w:val="nil"/>
            </w:tcBorders>
            <w:shd w:val="clear" w:color="auto" w:fill="auto"/>
            <w:noWrap/>
            <w:vAlign w:val="bottom"/>
            <w:hideMark/>
          </w:tcPr>
          <w:p w14:paraId="12AC3F5D" w14:textId="77777777" w:rsidR="004449AB" w:rsidRPr="004449AB" w:rsidRDefault="004449AB" w:rsidP="004449AB">
            <w:pPr>
              <w:spacing w:after="0" w:line="240" w:lineRule="auto"/>
              <w:jc w:val="center"/>
              <w:rPr>
                <w:rFonts w:ascii="Arial" w:eastAsia="Times New Roman" w:hAnsi="Arial" w:cs="Arial"/>
                <w:b/>
                <w:bCs/>
                <w:color w:val="000000"/>
                <w:kern w:val="0"/>
                <w:sz w:val="18"/>
                <w:szCs w:val="18"/>
                <w:lang w:eastAsia="pt-BR"/>
                <w14:ligatures w14:val="none"/>
              </w:rPr>
            </w:pPr>
          </w:p>
        </w:tc>
        <w:tc>
          <w:tcPr>
            <w:tcW w:w="946" w:type="pct"/>
            <w:tcBorders>
              <w:top w:val="single" w:sz="4" w:space="0" w:color="auto"/>
              <w:left w:val="nil"/>
              <w:bottom w:val="single" w:sz="4" w:space="0" w:color="auto"/>
              <w:right w:val="nil"/>
            </w:tcBorders>
            <w:shd w:val="clear" w:color="auto" w:fill="auto"/>
            <w:noWrap/>
            <w:vAlign w:val="bottom"/>
            <w:hideMark/>
          </w:tcPr>
          <w:p w14:paraId="7507892E" w14:textId="77777777" w:rsidR="004449AB" w:rsidRPr="004449AB" w:rsidRDefault="004449AB" w:rsidP="004449AB">
            <w:pPr>
              <w:spacing w:after="0" w:line="240" w:lineRule="auto"/>
              <w:jc w:val="right"/>
              <w:rPr>
                <w:rFonts w:ascii="Arial" w:eastAsia="Times New Roman" w:hAnsi="Arial" w:cs="Arial"/>
                <w:b/>
                <w:bCs/>
                <w:color w:val="000000"/>
                <w:kern w:val="0"/>
                <w:sz w:val="18"/>
                <w:szCs w:val="18"/>
                <w:lang w:eastAsia="pt-BR"/>
                <w14:ligatures w14:val="none"/>
              </w:rPr>
            </w:pPr>
            <w:r w:rsidRPr="004449AB">
              <w:rPr>
                <w:rFonts w:ascii="Arial" w:eastAsia="Times New Roman" w:hAnsi="Arial" w:cs="Arial"/>
                <w:b/>
                <w:bCs/>
                <w:color w:val="000000"/>
                <w:kern w:val="0"/>
                <w:sz w:val="18"/>
                <w:szCs w:val="18"/>
                <w:lang w:eastAsia="pt-BR"/>
                <w14:ligatures w14:val="none"/>
              </w:rPr>
              <w:t xml:space="preserve">                  (59.950)</w:t>
            </w:r>
          </w:p>
        </w:tc>
        <w:tc>
          <w:tcPr>
            <w:tcW w:w="98" w:type="pct"/>
            <w:tcBorders>
              <w:top w:val="nil"/>
              <w:left w:val="nil"/>
              <w:bottom w:val="nil"/>
              <w:right w:val="nil"/>
            </w:tcBorders>
            <w:shd w:val="clear" w:color="auto" w:fill="auto"/>
            <w:noWrap/>
            <w:vAlign w:val="bottom"/>
            <w:hideMark/>
          </w:tcPr>
          <w:p w14:paraId="3D26A4F8" w14:textId="77777777" w:rsidR="004449AB" w:rsidRPr="004449AB" w:rsidRDefault="004449AB" w:rsidP="004449AB">
            <w:pPr>
              <w:spacing w:after="0" w:line="240" w:lineRule="auto"/>
              <w:jc w:val="right"/>
              <w:rPr>
                <w:rFonts w:ascii="Arial" w:eastAsia="Times New Roman" w:hAnsi="Arial" w:cs="Arial"/>
                <w:b/>
                <w:bCs/>
                <w:color w:val="000000"/>
                <w:kern w:val="0"/>
                <w:sz w:val="18"/>
                <w:szCs w:val="18"/>
                <w:lang w:eastAsia="pt-BR"/>
                <w14:ligatures w14:val="none"/>
              </w:rPr>
            </w:pPr>
          </w:p>
        </w:tc>
        <w:tc>
          <w:tcPr>
            <w:tcW w:w="904" w:type="pct"/>
            <w:tcBorders>
              <w:top w:val="single" w:sz="4" w:space="0" w:color="auto"/>
              <w:left w:val="nil"/>
              <w:bottom w:val="single" w:sz="4" w:space="0" w:color="auto"/>
              <w:right w:val="nil"/>
            </w:tcBorders>
            <w:shd w:val="clear" w:color="auto" w:fill="auto"/>
            <w:noWrap/>
            <w:vAlign w:val="bottom"/>
            <w:hideMark/>
          </w:tcPr>
          <w:p w14:paraId="0E93904B" w14:textId="77777777" w:rsidR="004449AB" w:rsidRPr="004449AB" w:rsidRDefault="004449AB" w:rsidP="004449AB">
            <w:pPr>
              <w:spacing w:after="0" w:line="240" w:lineRule="auto"/>
              <w:jc w:val="right"/>
              <w:rPr>
                <w:rFonts w:ascii="Arial" w:eastAsia="Times New Roman" w:hAnsi="Arial" w:cs="Arial"/>
                <w:b/>
                <w:bCs/>
                <w:color w:val="000000"/>
                <w:kern w:val="0"/>
                <w:sz w:val="18"/>
                <w:szCs w:val="18"/>
                <w:lang w:eastAsia="pt-BR"/>
                <w14:ligatures w14:val="none"/>
              </w:rPr>
            </w:pPr>
            <w:r w:rsidRPr="004449AB">
              <w:rPr>
                <w:rFonts w:ascii="Arial" w:eastAsia="Times New Roman" w:hAnsi="Arial" w:cs="Arial"/>
                <w:b/>
                <w:bCs/>
                <w:color w:val="000000"/>
                <w:kern w:val="0"/>
                <w:sz w:val="18"/>
                <w:szCs w:val="18"/>
                <w:lang w:eastAsia="pt-BR"/>
                <w14:ligatures w14:val="none"/>
              </w:rPr>
              <w:t xml:space="preserve">              (100.148)</w:t>
            </w:r>
          </w:p>
        </w:tc>
      </w:tr>
      <w:tr w:rsidR="004449AB" w:rsidRPr="004449AB" w14:paraId="2F226A5B" w14:textId="77777777" w:rsidTr="00075425">
        <w:trPr>
          <w:trHeight w:val="256"/>
        </w:trPr>
        <w:tc>
          <w:tcPr>
            <w:tcW w:w="2652" w:type="pct"/>
            <w:tcBorders>
              <w:top w:val="nil"/>
              <w:left w:val="nil"/>
              <w:bottom w:val="nil"/>
              <w:right w:val="nil"/>
            </w:tcBorders>
            <w:shd w:val="clear" w:color="auto" w:fill="auto"/>
            <w:noWrap/>
            <w:vAlign w:val="bottom"/>
            <w:hideMark/>
          </w:tcPr>
          <w:p w14:paraId="552519AD" w14:textId="77777777" w:rsidR="004449AB" w:rsidRPr="004449AB" w:rsidRDefault="004449AB" w:rsidP="004449AB">
            <w:pPr>
              <w:spacing w:after="0" w:line="240" w:lineRule="auto"/>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Receitas Financeiras</w:t>
            </w:r>
          </w:p>
        </w:tc>
        <w:tc>
          <w:tcPr>
            <w:tcW w:w="276" w:type="pct"/>
            <w:tcBorders>
              <w:top w:val="nil"/>
              <w:left w:val="nil"/>
              <w:bottom w:val="nil"/>
              <w:right w:val="nil"/>
            </w:tcBorders>
            <w:shd w:val="clear" w:color="auto" w:fill="auto"/>
            <w:noWrap/>
            <w:vAlign w:val="bottom"/>
            <w:hideMark/>
          </w:tcPr>
          <w:p w14:paraId="0B56F697" w14:textId="77777777" w:rsidR="004449AB" w:rsidRPr="004449AB" w:rsidRDefault="004449AB" w:rsidP="004449AB">
            <w:pPr>
              <w:spacing w:after="0" w:line="240" w:lineRule="auto"/>
              <w:rPr>
                <w:rFonts w:ascii="Arial" w:eastAsia="Times New Roman" w:hAnsi="Arial" w:cs="Arial"/>
                <w:kern w:val="0"/>
                <w:sz w:val="18"/>
                <w:szCs w:val="18"/>
                <w:lang w:eastAsia="pt-BR"/>
                <w14:ligatures w14:val="none"/>
              </w:rPr>
            </w:pPr>
          </w:p>
        </w:tc>
        <w:tc>
          <w:tcPr>
            <w:tcW w:w="123" w:type="pct"/>
            <w:tcBorders>
              <w:top w:val="nil"/>
              <w:left w:val="nil"/>
              <w:bottom w:val="nil"/>
              <w:right w:val="nil"/>
            </w:tcBorders>
            <w:shd w:val="clear" w:color="auto" w:fill="auto"/>
            <w:noWrap/>
            <w:vAlign w:val="bottom"/>
            <w:hideMark/>
          </w:tcPr>
          <w:p w14:paraId="223EB22F"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946" w:type="pct"/>
            <w:tcBorders>
              <w:top w:val="nil"/>
              <w:left w:val="nil"/>
              <w:bottom w:val="nil"/>
              <w:right w:val="nil"/>
            </w:tcBorders>
            <w:shd w:val="clear" w:color="auto" w:fill="auto"/>
            <w:noWrap/>
            <w:vAlign w:val="bottom"/>
            <w:hideMark/>
          </w:tcPr>
          <w:p w14:paraId="5A4678CF" w14:textId="77777777" w:rsidR="004449AB" w:rsidRPr="004449AB" w:rsidRDefault="004449AB" w:rsidP="004449AB">
            <w:pPr>
              <w:spacing w:after="0" w:line="240" w:lineRule="auto"/>
              <w:jc w:val="right"/>
              <w:rPr>
                <w:rFonts w:ascii="Arial" w:eastAsia="Times New Roman" w:hAnsi="Arial" w:cs="Arial"/>
                <w:color w:val="000000"/>
                <w:kern w:val="0"/>
                <w:sz w:val="18"/>
                <w:szCs w:val="18"/>
                <w:lang w:eastAsia="pt-BR"/>
                <w14:ligatures w14:val="none"/>
              </w:rPr>
            </w:pPr>
            <w:r w:rsidRPr="004449AB">
              <w:rPr>
                <w:rFonts w:ascii="Arial" w:eastAsia="Times New Roman" w:hAnsi="Arial" w:cs="Arial"/>
                <w:color w:val="000000"/>
                <w:kern w:val="0"/>
                <w:sz w:val="18"/>
                <w:szCs w:val="18"/>
                <w:lang w:eastAsia="pt-BR"/>
                <w14:ligatures w14:val="none"/>
              </w:rPr>
              <w:t xml:space="preserve">                  165.638 </w:t>
            </w:r>
          </w:p>
        </w:tc>
        <w:tc>
          <w:tcPr>
            <w:tcW w:w="98" w:type="pct"/>
            <w:tcBorders>
              <w:top w:val="nil"/>
              <w:left w:val="nil"/>
              <w:bottom w:val="nil"/>
              <w:right w:val="nil"/>
            </w:tcBorders>
            <w:shd w:val="clear" w:color="auto" w:fill="auto"/>
            <w:noWrap/>
            <w:vAlign w:val="bottom"/>
            <w:hideMark/>
          </w:tcPr>
          <w:p w14:paraId="5C957ED4" w14:textId="77777777" w:rsidR="004449AB" w:rsidRPr="004449AB" w:rsidRDefault="004449AB" w:rsidP="004449AB">
            <w:pPr>
              <w:spacing w:after="0" w:line="240" w:lineRule="auto"/>
              <w:jc w:val="right"/>
              <w:rPr>
                <w:rFonts w:ascii="Arial" w:eastAsia="Times New Roman" w:hAnsi="Arial" w:cs="Arial"/>
                <w:color w:val="000000"/>
                <w:kern w:val="0"/>
                <w:sz w:val="18"/>
                <w:szCs w:val="18"/>
                <w:lang w:eastAsia="pt-BR"/>
                <w14:ligatures w14:val="none"/>
              </w:rPr>
            </w:pPr>
          </w:p>
        </w:tc>
        <w:tc>
          <w:tcPr>
            <w:tcW w:w="904" w:type="pct"/>
            <w:tcBorders>
              <w:top w:val="nil"/>
              <w:left w:val="nil"/>
              <w:bottom w:val="nil"/>
              <w:right w:val="nil"/>
            </w:tcBorders>
            <w:shd w:val="clear" w:color="auto" w:fill="auto"/>
            <w:noWrap/>
            <w:vAlign w:val="bottom"/>
            <w:hideMark/>
          </w:tcPr>
          <w:p w14:paraId="6E2F7EDA" w14:textId="77777777" w:rsidR="004449AB" w:rsidRPr="004449AB" w:rsidRDefault="004449AB" w:rsidP="004449AB">
            <w:pPr>
              <w:spacing w:after="0" w:line="240" w:lineRule="auto"/>
              <w:jc w:val="right"/>
              <w:rPr>
                <w:rFonts w:ascii="Arial" w:eastAsia="Times New Roman" w:hAnsi="Arial" w:cs="Arial"/>
                <w:color w:val="000000"/>
                <w:kern w:val="0"/>
                <w:sz w:val="18"/>
                <w:szCs w:val="18"/>
                <w:lang w:eastAsia="pt-BR"/>
                <w14:ligatures w14:val="none"/>
              </w:rPr>
            </w:pPr>
            <w:r w:rsidRPr="004449AB">
              <w:rPr>
                <w:rFonts w:ascii="Arial" w:eastAsia="Times New Roman" w:hAnsi="Arial" w:cs="Arial"/>
                <w:color w:val="000000"/>
                <w:kern w:val="0"/>
                <w:sz w:val="18"/>
                <w:szCs w:val="18"/>
                <w:lang w:eastAsia="pt-BR"/>
                <w14:ligatures w14:val="none"/>
              </w:rPr>
              <w:t xml:space="preserve">               119.372 </w:t>
            </w:r>
          </w:p>
        </w:tc>
      </w:tr>
      <w:tr w:rsidR="004449AB" w:rsidRPr="004449AB" w14:paraId="4D181607" w14:textId="77777777" w:rsidTr="00075425">
        <w:trPr>
          <w:trHeight w:val="256"/>
        </w:trPr>
        <w:tc>
          <w:tcPr>
            <w:tcW w:w="2652" w:type="pct"/>
            <w:tcBorders>
              <w:top w:val="nil"/>
              <w:left w:val="nil"/>
              <w:bottom w:val="nil"/>
              <w:right w:val="nil"/>
            </w:tcBorders>
            <w:shd w:val="clear" w:color="auto" w:fill="auto"/>
            <w:noWrap/>
            <w:vAlign w:val="bottom"/>
            <w:hideMark/>
          </w:tcPr>
          <w:p w14:paraId="5656F3F5" w14:textId="77777777" w:rsidR="004449AB" w:rsidRPr="004449AB" w:rsidRDefault="004449AB" w:rsidP="004449AB">
            <w:pPr>
              <w:spacing w:after="0" w:line="240" w:lineRule="auto"/>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Despesas Financeiras</w:t>
            </w:r>
          </w:p>
        </w:tc>
        <w:tc>
          <w:tcPr>
            <w:tcW w:w="276" w:type="pct"/>
            <w:tcBorders>
              <w:top w:val="nil"/>
              <w:left w:val="nil"/>
              <w:bottom w:val="nil"/>
              <w:right w:val="nil"/>
            </w:tcBorders>
            <w:shd w:val="clear" w:color="auto" w:fill="auto"/>
            <w:noWrap/>
            <w:vAlign w:val="bottom"/>
            <w:hideMark/>
          </w:tcPr>
          <w:p w14:paraId="60D9E21B" w14:textId="77777777" w:rsidR="004449AB" w:rsidRPr="004449AB" w:rsidRDefault="004449AB" w:rsidP="004449AB">
            <w:pPr>
              <w:spacing w:after="0" w:line="240" w:lineRule="auto"/>
              <w:rPr>
                <w:rFonts w:ascii="Arial" w:eastAsia="Times New Roman" w:hAnsi="Arial" w:cs="Arial"/>
                <w:kern w:val="0"/>
                <w:sz w:val="18"/>
                <w:szCs w:val="18"/>
                <w:lang w:eastAsia="pt-BR"/>
                <w14:ligatures w14:val="none"/>
              </w:rPr>
            </w:pPr>
          </w:p>
        </w:tc>
        <w:tc>
          <w:tcPr>
            <w:tcW w:w="123" w:type="pct"/>
            <w:tcBorders>
              <w:top w:val="nil"/>
              <w:left w:val="nil"/>
              <w:bottom w:val="nil"/>
              <w:right w:val="nil"/>
            </w:tcBorders>
            <w:shd w:val="clear" w:color="auto" w:fill="auto"/>
            <w:noWrap/>
            <w:vAlign w:val="bottom"/>
            <w:hideMark/>
          </w:tcPr>
          <w:p w14:paraId="21C4196D" w14:textId="77777777" w:rsidR="004449AB" w:rsidRPr="004449AB" w:rsidRDefault="004449AB" w:rsidP="004449AB">
            <w:pPr>
              <w:spacing w:after="0" w:line="240" w:lineRule="auto"/>
              <w:jc w:val="center"/>
              <w:rPr>
                <w:rFonts w:ascii="Times New Roman" w:eastAsia="Times New Roman" w:hAnsi="Times New Roman" w:cs="Times New Roman"/>
                <w:kern w:val="0"/>
                <w:sz w:val="18"/>
                <w:szCs w:val="18"/>
                <w:lang w:eastAsia="pt-BR"/>
                <w14:ligatures w14:val="none"/>
              </w:rPr>
            </w:pPr>
          </w:p>
        </w:tc>
        <w:tc>
          <w:tcPr>
            <w:tcW w:w="946" w:type="pct"/>
            <w:tcBorders>
              <w:top w:val="nil"/>
              <w:left w:val="nil"/>
              <w:bottom w:val="nil"/>
              <w:right w:val="nil"/>
            </w:tcBorders>
            <w:shd w:val="clear" w:color="auto" w:fill="auto"/>
            <w:noWrap/>
            <w:vAlign w:val="bottom"/>
            <w:hideMark/>
          </w:tcPr>
          <w:p w14:paraId="7B10287C" w14:textId="77777777" w:rsidR="004449AB" w:rsidRPr="004449AB" w:rsidRDefault="004449AB" w:rsidP="004449AB">
            <w:pPr>
              <w:spacing w:after="0" w:line="240" w:lineRule="auto"/>
              <w:jc w:val="right"/>
              <w:rPr>
                <w:rFonts w:ascii="Arial" w:eastAsia="Times New Roman" w:hAnsi="Arial" w:cs="Arial"/>
                <w:color w:val="000000"/>
                <w:kern w:val="0"/>
                <w:sz w:val="18"/>
                <w:szCs w:val="18"/>
                <w:lang w:eastAsia="pt-BR"/>
                <w14:ligatures w14:val="none"/>
              </w:rPr>
            </w:pPr>
            <w:r w:rsidRPr="004449AB">
              <w:rPr>
                <w:rFonts w:ascii="Arial" w:eastAsia="Times New Roman" w:hAnsi="Arial" w:cs="Arial"/>
                <w:color w:val="000000"/>
                <w:kern w:val="0"/>
                <w:sz w:val="18"/>
                <w:szCs w:val="18"/>
                <w:lang w:eastAsia="pt-BR"/>
                <w14:ligatures w14:val="none"/>
              </w:rPr>
              <w:t xml:space="preserve">                (225.588)</w:t>
            </w:r>
          </w:p>
        </w:tc>
        <w:tc>
          <w:tcPr>
            <w:tcW w:w="98" w:type="pct"/>
            <w:tcBorders>
              <w:top w:val="nil"/>
              <w:left w:val="nil"/>
              <w:bottom w:val="nil"/>
              <w:right w:val="nil"/>
            </w:tcBorders>
            <w:shd w:val="clear" w:color="auto" w:fill="auto"/>
            <w:noWrap/>
            <w:vAlign w:val="bottom"/>
            <w:hideMark/>
          </w:tcPr>
          <w:p w14:paraId="35EE1E99" w14:textId="77777777" w:rsidR="004449AB" w:rsidRPr="004449AB" w:rsidRDefault="004449AB" w:rsidP="004449AB">
            <w:pPr>
              <w:spacing w:after="0" w:line="240" w:lineRule="auto"/>
              <w:jc w:val="right"/>
              <w:rPr>
                <w:rFonts w:ascii="Arial" w:eastAsia="Times New Roman" w:hAnsi="Arial" w:cs="Arial"/>
                <w:color w:val="000000"/>
                <w:kern w:val="0"/>
                <w:sz w:val="18"/>
                <w:szCs w:val="18"/>
                <w:lang w:eastAsia="pt-BR"/>
                <w14:ligatures w14:val="none"/>
              </w:rPr>
            </w:pPr>
          </w:p>
        </w:tc>
        <w:tc>
          <w:tcPr>
            <w:tcW w:w="904" w:type="pct"/>
            <w:tcBorders>
              <w:top w:val="nil"/>
              <w:left w:val="nil"/>
              <w:bottom w:val="nil"/>
              <w:right w:val="nil"/>
            </w:tcBorders>
            <w:shd w:val="clear" w:color="auto" w:fill="auto"/>
            <w:noWrap/>
            <w:vAlign w:val="bottom"/>
            <w:hideMark/>
          </w:tcPr>
          <w:p w14:paraId="0B18AFAC" w14:textId="77777777" w:rsidR="004449AB" w:rsidRPr="004449AB" w:rsidRDefault="004449AB" w:rsidP="004449AB">
            <w:pPr>
              <w:spacing w:after="0" w:line="240" w:lineRule="auto"/>
              <w:jc w:val="right"/>
              <w:rPr>
                <w:rFonts w:ascii="Arial" w:eastAsia="Times New Roman" w:hAnsi="Arial" w:cs="Arial"/>
                <w:color w:val="000000"/>
                <w:kern w:val="0"/>
                <w:sz w:val="18"/>
                <w:szCs w:val="18"/>
                <w:lang w:eastAsia="pt-BR"/>
                <w14:ligatures w14:val="none"/>
              </w:rPr>
            </w:pPr>
            <w:r w:rsidRPr="004449AB">
              <w:rPr>
                <w:rFonts w:ascii="Arial" w:eastAsia="Times New Roman" w:hAnsi="Arial" w:cs="Arial"/>
                <w:color w:val="000000"/>
                <w:kern w:val="0"/>
                <w:sz w:val="18"/>
                <w:szCs w:val="18"/>
                <w:lang w:eastAsia="pt-BR"/>
                <w14:ligatures w14:val="none"/>
              </w:rPr>
              <w:t xml:space="preserve">              (219.520)</w:t>
            </w:r>
          </w:p>
        </w:tc>
      </w:tr>
      <w:tr w:rsidR="004449AB" w:rsidRPr="004449AB" w14:paraId="7451E347" w14:textId="77777777" w:rsidTr="00075425">
        <w:trPr>
          <w:trHeight w:val="256"/>
        </w:trPr>
        <w:tc>
          <w:tcPr>
            <w:tcW w:w="2652" w:type="pct"/>
            <w:tcBorders>
              <w:top w:val="nil"/>
              <w:left w:val="nil"/>
              <w:bottom w:val="nil"/>
              <w:right w:val="nil"/>
            </w:tcBorders>
            <w:shd w:val="clear" w:color="auto" w:fill="auto"/>
            <w:noWrap/>
            <w:vAlign w:val="bottom"/>
            <w:hideMark/>
          </w:tcPr>
          <w:p w14:paraId="3011DB64" w14:textId="77777777" w:rsidR="004449AB" w:rsidRPr="004449AB" w:rsidRDefault="004449AB" w:rsidP="004449AB">
            <w:pPr>
              <w:spacing w:after="0" w:line="240" w:lineRule="auto"/>
              <w:rPr>
                <w:rFonts w:ascii="Arial" w:eastAsia="Times New Roman" w:hAnsi="Arial" w:cs="Arial"/>
                <w:color w:val="000000"/>
                <w:kern w:val="0"/>
                <w:sz w:val="18"/>
                <w:szCs w:val="18"/>
                <w:lang w:eastAsia="pt-BR"/>
                <w14:ligatures w14:val="none"/>
              </w:rPr>
            </w:pPr>
          </w:p>
        </w:tc>
        <w:tc>
          <w:tcPr>
            <w:tcW w:w="276" w:type="pct"/>
            <w:tcBorders>
              <w:top w:val="nil"/>
              <w:left w:val="nil"/>
              <w:bottom w:val="nil"/>
              <w:right w:val="nil"/>
            </w:tcBorders>
            <w:shd w:val="clear" w:color="auto" w:fill="auto"/>
            <w:noWrap/>
            <w:vAlign w:val="bottom"/>
            <w:hideMark/>
          </w:tcPr>
          <w:p w14:paraId="381A64CB"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123" w:type="pct"/>
            <w:tcBorders>
              <w:top w:val="nil"/>
              <w:left w:val="nil"/>
              <w:bottom w:val="nil"/>
              <w:right w:val="nil"/>
            </w:tcBorders>
            <w:shd w:val="clear" w:color="auto" w:fill="auto"/>
            <w:noWrap/>
            <w:vAlign w:val="bottom"/>
            <w:hideMark/>
          </w:tcPr>
          <w:p w14:paraId="679994F0" w14:textId="77777777" w:rsidR="004449AB" w:rsidRPr="004449AB" w:rsidRDefault="004449AB" w:rsidP="004449AB">
            <w:pPr>
              <w:spacing w:after="0" w:line="240" w:lineRule="auto"/>
              <w:jc w:val="center"/>
              <w:rPr>
                <w:rFonts w:ascii="Times New Roman" w:eastAsia="Times New Roman" w:hAnsi="Times New Roman" w:cs="Times New Roman"/>
                <w:kern w:val="0"/>
                <w:sz w:val="18"/>
                <w:szCs w:val="18"/>
                <w:lang w:eastAsia="pt-BR"/>
                <w14:ligatures w14:val="none"/>
              </w:rPr>
            </w:pPr>
          </w:p>
        </w:tc>
        <w:tc>
          <w:tcPr>
            <w:tcW w:w="946" w:type="pct"/>
            <w:tcBorders>
              <w:top w:val="nil"/>
              <w:left w:val="nil"/>
              <w:bottom w:val="nil"/>
              <w:right w:val="nil"/>
            </w:tcBorders>
            <w:shd w:val="clear" w:color="auto" w:fill="auto"/>
            <w:noWrap/>
            <w:vAlign w:val="bottom"/>
            <w:hideMark/>
          </w:tcPr>
          <w:p w14:paraId="09F3A930"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98" w:type="pct"/>
            <w:tcBorders>
              <w:top w:val="nil"/>
              <w:left w:val="nil"/>
              <w:bottom w:val="nil"/>
              <w:right w:val="nil"/>
            </w:tcBorders>
            <w:shd w:val="clear" w:color="auto" w:fill="auto"/>
            <w:noWrap/>
            <w:vAlign w:val="bottom"/>
            <w:hideMark/>
          </w:tcPr>
          <w:p w14:paraId="63AE3C6D"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904" w:type="pct"/>
            <w:tcBorders>
              <w:top w:val="nil"/>
              <w:left w:val="nil"/>
              <w:bottom w:val="nil"/>
              <w:right w:val="nil"/>
            </w:tcBorders>
            <w:shd w:val="clear" w:color="auto" w:fill="auto"/>
            <w:noWrap/>
            <w:vAlign w:val="bottom"/>
            <w:hideMark/>
          </w:tcPr>
          <w:p w14:paraId="2E50FEF6"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r>
      <w:tr w:rsidR="004449AB" w:rsidRPr="004449AB" w14:paraId="561D966F" w14:textId="77777777" w:rsidTr="00075425">
        <w:trPr>
          <w:trHeight w:val="267"/>
        </w:trPr>
        <w:tc>
          <w:tcPr>
            <w:tcW w:w="2652" w:type="pct"/>
            <w:tcBorders>
              <w:top w:val="nil"/>
              <w:left w:val="nil"/>
              <w:bottom w:val="nil"/>
              <w:right w:val="nil"/>
            </w:tcBorders>
            <w:shd w:val="clear" w:color="auto" w:fill="auto"/>
            <w:noWrap/>
            <w:vAlign w:val="bottom"/>
            <w:hideMark/>
          </w:tcPr>
          <w:p w14:paraId="048918AD" w14:textId="77777777" w:rsidR="004449AB" w:rsidRPr="004449AB" w:rsidRDefault="004449AB" w:rsidP="004449AB">
            <w:pPr>
              <w:spacing w:after="0" w:line="240" w:lineRule="auto"/>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Prejuízo do Exercício</w:t>
            </w:r>
          </w:p>
        </w:tc>
        <w:tc>
          <w:tcPr>
            <w:tcW w:w="276" w:type="pct"/>
            <w:tcBorders>
              <w:top w:val="nil"/>
              <w:left w:val="nil"/>
              <w:bottom w:val="nil"/>
              <w:right w:val="nil"/>
            </w:tcBorders>
            <w:shd w:val="clear" w:color="auto" w:fill="auto"/>
            <w:noWrap/>
            <w:vAlign w:val="bottom"/>
            <w:hideMark/>
          </w:tcPr>
          <w:p w14:paraId="1A845E52" w14:textId="77777777" w:rsidR="004449AB" w:rsidRPr="004449AB" w:rsidRDefault="004449AB" w:rsidP="004449AB">
            <w:pPr>
              <w:spacing w:after="0" w:line="240" w:lineRule="auto"/>
              <w:rPr>
                <w:rFonts w:ascii="Arial" w:eastAsia="Times New Roman" w:hAnsi="Arial" w:cs="Arial"/>
                <w:b/>
                <w:bCs/>
                <w:kern w:val="0"/>
                <w:sz w:val="18"/>
                <w:szCs w:val="18"/>
                <w:lang w:eastAsia="pt-BR"/>
                <w14:ligatures w14:val="none"/>
              </w:rPr>
            </w:pPr>
          </w:p>
        </w:tc>
        <w:tc>
          <w:tcPr>
            <w:tcW w:w="123" w:type="pct"/>
            <w:tcBorders>
              <w:top w:val="nil"/>
              <w:left w:val="nil"/>
              <w:bottom w:val="nil"/>
              <w:right w:val="nil"/>
            </w:tcBorders>
            <w:shd w:val="clear" w:color="auto" w:fill="auto"/>
            <w:noWrap/>
            <w:vAlign w:val="bottom"/>
            <w:hideMark/>
          </w:tcPr>
          <w:p w14:paraId="63232F7A" w14:textId="77777777" w:rsidR="004449AB" w:rsidRPr="004449AB" w:rsidRDefault="004449AB" w:rsidP="004449AB">
            <w:pPr>
              <w:spacing w:after="0" w:line="240" w:lineRule="auto"/>
              <w:jc w:val="center"/>
              <w:rPr>
                <w:rFonts w:ascii="Times New Roman" w:eastAsia="Times New Roman" w:hAnsi="Times New Roman" w:cs="Times New Roman"/>
                <w:kern w:val="0"/>
                <w:sz w:val="18"/>
                <w:szCs w:val="18"/>
                <w:lang w:eastAsia="pt-BR"/>
                <w14:ligatures w14:val="none"/>
              </w:rPr>
            </w:pPr>
          </w:p>
        </w:tc>
        <w:tc>
          <w:tcPr>
            <w:tcW w:w="946" w:type="pct"/>
            <w:tcBorders>
              <w:top w:val="single" w:sz="4" w:space="0" w:color="auto"/>
              <w:left w:val="nil"/>
              <w:bottom w:val="double" w:sz="6" w:space="0" w:color="auto"/>
              <w:right w:val="nil"/>
            </w:tcBorders>
            <w:shd w:val="clear" w:color="auto" w:fill="auto"/>
            <w:noWrap/>
            <w:vAlign w:val="bottom"/>
            <w:hideMark/>
          </w:tcPr>
          <w:p w14:paraId="57E1444B" w14:textId="77777777" w:rsidR="004449AB" w:rsidRPr="004449AB" w:rsidRDefault="004449AB" w:rsidP="004449AB">
            <w:pPr>
              <w:spacing w:after="0" w:line="240" w:lineRule="auto"/>
              <w:jc w:val="right"/>
              <w:rPr>
                <w:rFonts w:ascii="Arial" w:eastAsia="Times New Roman" w:hAnsi="Arial" w:cs="Arial"/>
                <w:b/>
                <w:bCs/>
                <w:color w:val="000000"/>
                <w:kern w:val="0"/>
                <w:sz w:val="18"/>
                <w:szCs w:val="18"/>
                <w:lang w:eastAsia="pt-BR"/>
                <w14:ligatures w14:val="none"/>
              </w:rPr>
            </w:pPr>
            <w:r w:rsidRPr="004449AB">
              <w:rPr>
                <w:rFonts w:ascii="Arial" w:eastAsia="Times New Roman" w:hAnsi="Arial" w:cs="Arial"/>
                <w:b/>
                <w:bCs/>
                <w:color w:val="000000"/>
                <w:kern w:val="0"/>
                <w:sz w:val="18"/>
                <w:szCs w:val="18"/>
                <w:lang w:eastAsia="pt-BR"/>
                <w14:ligatures w14:val="none"/>
              </w:rPr>
              <w:t xml:space="preserve">                (127.357)</w:t>
            </w:r>
          </w:p>
        </w:tc>
        <w:tc>
          <w:tcPr>
            <w:tcW w:w="98" w:type="pct"/>
            <w:tcBorders>
              <w:top w:val="nil"/>
              <w:left w:val="nil"/>
              <w:bottom w:val="nil"/>
              <w:right w:val="nil"/>
            </w:tcBorders>
            <w:shd w:val="clear" w:color="auto" w:fill="auto"/>
            <w:noWrap/>
            <w:vAlign w:val="bottom"/>
            <w:hideMark/>
          </w:tcPr>
          <w:p w14:paraId="7805DD70" w14:textId="77777777" w:rsidR="004449AB" w:rsidRPr="004449AB" w:rsidRDefault="004449AB" w:rsidP="004449AB">
            <w:pPr>
              <w:spacing w:after="0" w:line="240" w:lineRule="auto"/>
              <w:jc w:val="right"/>
              <w:rPr>
                <w:rFonts w:ascii="Arial" w:eastAsia="Times New Roman" w:hAnsi="Arial" w:cs="Arial"/>
                <w:b/>
                <w:bCs/>
                <w:color w:val="000000"/>
                <w:kern w:val="0"/>
                <w:sz w:val="18"/>
                <w:szCs w:val="18"/>
                <w:lang w:eastAsia="pt-BR"/>
                <w14:ligatures w14:val="none"/>
              </w:rPr>
            </w:pPr>
          </w:p>
        </w:tc>
        <w:tc>
          <w:tcPr>
            <w:tcW w:w="904" w:type="pct"/>
            <w:tcBorders>
              <w:top w:val="single" w:sz="4" w:space="0" w:color="auto"/>
              <w:left w:val="nil"/>
              <w:bottom w:val="double" w:sz="6" w:space="0" w:color="auto"/>
              <w:right w:val="nil"/>
            </w:tcBorders>
            <w:shd w:val="clear" w:color="auto" w:fill="auto"/>
            <w:noWrap/>
            <w:vAlign w:val="bottom"/>
            <w:hideMark/>
          </w:tcPr>
          <w:p w14:paraId="140D1CFB" w14:textId="77777777" w:rsidR="004449AB" w:rsidRPr="004449AB" w:rsidRDefault="004449AB" w:rsidP="004449AB">
            <w:pPr>
              <w:spacing w:after="0" w:line="240" w:lineRule="auto"/>
              <w:jc w:val="right"/>
              <w:rPr>
                <w:rFonts w:ascii="Arial" w:eastAsia="Times New Roman" w:hAnsi="Arial" w:cs="Arial"/>
                <w:b/>
                <w:bCs/>
                <w:color w:val="000000"/>
                <w:kern w:val="0"/>
                <w:sz w:val="18"/>
                <w:szCs w:val="18"/>
                <w:lang w:eastAsia="pt-BR"/>
                <w14:ligatures w14:val="none"/>
              </w:rPr>
            </w:pPr>
            <w:r w:rsidRPr="004449AB">
              <w:rPr>
                <w:rFonts w:ascii="Arial" w:eastAsia="Times New Roman" w:hAnsi="Arial" w:cs="Arial"/>
                <w:b/>
                <w:bCs/>
                <w:color w:val="000000"/>
                <w:kern w:val="0"/>
                <w:sz w:val="18"/>
                <w:szCs w:val="18"/>
                <w:lang w:eastAsia="pt-BR"/>
                <w14:ligatures w14:val="none"/>
              </w:rPr>
              <w:t xml:space="preserve">              (168.459)</w:t>
            </w:r>
          </w:p>
        </w:tc>
      </w:tr>
      <w:tr w:rsidR="004449AB" w:rsidRPr="004449AB" w14:paraId="4669AB8F" w14:textId="77777777" w:rsidTr="00075425">
        <w:trPr>
          <w:trHeight w:val="267"/>
        </w:trPr>
        <w:tc>
          <w:tcPr>
            <w:tcW w:w="2652" w:type="pct"/>
            <w:tcBorders>
              <w:top w:val="nil"/>
              <w:left w:val="nil"/>
              <w:bottom w:val="nil"/>
              <w:right w:val="nil"/>
            </w:tcBorders>
            <w:shd w:val="clear" w:color="auto" w:fill="auto"/>
            <w:noWrap/>
            <w:vAlign w:val="bottom"/>
            <w:hideMark/>
          </w:tcPr>
          <w:p w14:paraId="48210494" w14:textId="77777777" w:rsidR="004449AB" w:rsidRPr="004449AB" w:rsidRDefault="004449AB" w:rsidP="004449AB">
            <w:pPr>
              <w:spacing w:after="0" w:line="240" w:lineRule="auto"/>
              <w:rPr>
                <w:rFonts w:ascii="Arial" w:eastAsia="Times New Roman" w:hAnsi="Arial" w:cs="Arial"/>
                <w:b/>
                <w:bCs/>
                <w:color w:val="000000"/>
                <w:kern w:val="0"/>
                <w:sz w:val="18"/>
                <w:szCs w:val="18"/>
                <w:lang w:eastAsia="pt-BR"/>
                <w14:ligatures w14:val="none"/>
              </w:rPr>
            </w:pPr>
          </w:p>
        </w:tc>
        <w:tc>
          <w:tcPr>
            <w:tcW w:w="276" w:type="pct"/>
            <w:tcBorders>
              <w:top w:val="nil"/>
              <w:left w:val="nil"/>
              <w:bottom w:val="nil"/>
              <w:right w:val="nil"/>
            </w:tcBorders>
            <w:shd w:val="clear" w:color="auto" w:fill="auto"/>
            <w:noWrap/>
            <w:vAlign w:val="bottom"/>
            <w:hideMark/>
          </w:tcPr>
          <w:p w14:paraId="35B97CF4"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123" w:type="pct"/>
            <w:tcBorders>
              <w:top w:val="nil"/>
              <w:left w:val="nil"/>
              <w:bottom w:val="nil"/>
              <w:right w:val="nil"/>
            </w:tcBorders>
            <w:shd w:val="clear" w:color="auto" w:fill="auto"/>
            <w:noWrap/>
            <w:vAlign w:val="bottom"/>
            <w:hideMark/>
          </w:tcPr>
          <w:p w14:paraId="27FB78A8"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946" w:type="pct"/>
            <w:tcBorders>
              <w:top w:val="nil"/>
              <w:left w:val="nil"/>
              <w:bottom w:val="nil"/>
              <w:right w:val="nil"/>
            </w:tcBorders>
            <w:shd w:val="clear" w:color="auto" w:fill="auto"/>
            <w:noWrap/>
            <w:vAlign w:val="bottom"/>
            <w:hideMark/>
          </w:tcPr>
          <w:p w14:paraId="75507A9A"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98" w:type="pct"/>
            <w:tcBorders>
              <w:top w:val="nil"/>
              <w:left w:val="nil"/>
              <w:bottom w:val="nil"/>
              <w:right w:val="nil"/>
            </w:tcBorders>
            <w:shd w:val="clear" w:color="auto" w:fill="auto"/>
            <w:noWrap/>
            <w:vAlign w:val="bottom"/>
            <w:hideMark/>
          </w:tcPr>
          <w:p w14:paraId="2B7C6147"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904" w:type="pct"/>
            <w:tcBorders>
              <w:top w:val="nil"/>
              <w:left w:val="nil"/>
              <w:bottom w:val="nil"/>
              <w:right w:val="nil"/>
            </w:tcBorders>
            <w:shd w:val="clear" w:color="auto" w:fill="auto"/>
            <w:noWrap/>
            <w:vAlign w:val="bottom"/>
            <w:hideMark/>
          </w:tcPr>
          <w:p w14:paraId="5DACBA08"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r>
      <w:tr w:rsidR="004449AB" w:rsidRPr="004449AB" w14:paraId="55DBF620" w14:textId="77777777" w:rsidTr="00075425">
        <w:trPr>
          <w:trHeight w:val="256"/>
        </w:trPr>
        <w:tc>
          <w:tcPr>
            <w:tcW w:w="2652" w:type="pct"/>
            <w:tcBorders>
              <w:top w:val="nil"/>
              <w:left w:val="nil"/>
              <w:bottom w:val="nil"/>
              <w:right w:val="nil"/>
            </w:tcBorders>
            <w:shd w:val="clear" w:color="auto" w:fill="auto"/>
            <w:noWrap/>
            <w:vAlign w:val="bottom"/>
            <w:hideMark/>
          </w:tcPr>
          <w:p w14:paraId="5EE760F1" w14:textId="77777777" w:rsidR="004449AB" w:rsidRPr="004449AB" w:rsidRDefault="004449AB" w:rsidP="004449AB">
            <w:pPr>
              <w:spacing w:after="0" w:line="240" w:lineRule="auto"/>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Prejuízo Básico e Diluído por Ação em Reais:</w:t>
            </w:r>
          </w:p>
        </w:tc>
        <w:tc>
          <w:tcPr>
            <w:tcW w:w="276" w:type="pct"/>
            <w:tcBorders>
              <w:top w:val="nil"/>
              <w:left w:val="nil"/>
              <w:bottom w:val="nil"/>
              <w:right w:val="nil"/>
            </w:tcBorders>
            <w:shd w:val="clear" w:color="auto" w:fill="auto"/>
            <w:noWrap/>
            <w:vAlign w:val="bottom"/>
            <w:hideMark/>
          </w:tcPr>
          <w:p w14:paraId="6D7EEF24" w14:textId="77777777" w:rsidR="004449AB" w:rsidRPr="004449AB" w:rsidRDefault="004449AB" w:rsidP="004449AB">
            <w:pPr>
              <w:spacing w:after="0" w:line="240" w:lineRule="auto"/>
              <w:jc w:val="center"/>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27.5</w:t>
            </w:r>
          </w:p>
        </w:tc>
        <w:tc>
          <w:tcPr>
            <w:tcW w:w="123" w:type="pct"/>
            <w:tcBorders>
              <w:top w:val="nil"/>
              <w:left w:val="nil"/>
              <w:bottom w:val="nil"/>
              <w:right w:val="nil"/>
            </w:tcBorders>
            <w:shd w:val="clear" w:color="auto" w:fill="auto"/>
            <w:noWrap/>
            <w:vAlign w:val="bottom"/>
            <w:hideMark/>
          </w:tcPr>
          <w:p w14:paraId="39A92001" w14:textId="77777777" w:rsidR="004449AB" w:rsidRPr="004449AB" w:rsidRDefault="004449AB" w:rsidP="004449AB">
            <w:pPr>
              <w:spacing w:after="0" w:line="240" w:lineRule="auto"/>
              <w:jc w:val="center"/>
              <w:rPr>
                <w:rFonts w:ascii="Arial" w:eastAsia="Times New Roman" w:hAnsi="Arial" w:cs="Arial"/>
                <w:kern w:val="0"/>
                <w:sz w:val="18"/>
                <w:szCs w:val="18"/>
                <w:lang w:eastAsia="pt-BR"/>
                <w14:ligatures w14:val="none"/>
              </w:rPr>
            </w:pPr>
          </w:p>
        </w:tc>
        <w:tc>
          <w:tcPr>
            <w:tcW w:w="946" w:type="pct"/>
            <w:tcBorders>
              <w:top w:val="nil"/>
              <w:left w:val="nil"/>
              <w:bottom w:val="nil"/>
              <w:right w:val="nil"/>
            </w:tcBorders>
            <w:shd w:val="clear" w:color="auto" w:fill="auto"/>
            <w:noWrap/>
            <w:vAlign w:val="bottom"/>
            <w:hideMark/>
          </w:tcPr>
          <w:p w14:paraId="283D9DCE"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98" w:type="pct"/>
            <w:tcBorders>
              <w:top w:val="nil"/>
              <w:left w:val="nil"/>
              <w:bottom w:val="nil"/>
              <w:right w:val="nil"/>
            </w:tcBorders>
            <w:shd w:val="clear" w:color="auto" w:fill="auto"/>
            <w:noWrap/>
            <w:vAlign w:val="bottom"/>
            <w:hideMark/>
          </w:tcPr>
          <w:p w14:paraId="5EDBC0B3"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904" w:type="pct"/>
            <w:tcBorders>
              <w:top w:val="nil"/>
              <w:left w:val="nil"/>
              <w:bottom w:val="nil"/>
              <w:right w:val="nil"/>
            </w:tcBorders>
            <w:shd w:val="clear" w:color="auto" w:fill="auto"/>
            <w:noWrap/>
            <w:vAlign w:val="bottom"/>
            <w:hideMark/>
          </w:tcPr>
          <w:p w14:paraId="2F7C7D34"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r>
      <w:tr w:rsidR="004449AB" w:rsidRPr="004449AB" w14:paraId="2B3EBE7D" w14:textId="77777777" w:rsidTr="00075425">
        <w:trPr>
          <w:trHeight w:val="256"/>
        </w:trPr>
        <w:tc>
          <w:tcPr>
            <w:tcW w:w="2652" w:type="pct"/>
            <w:tcBorders>
              <w:top w:val="nil"/>
              <w:left w:val="nil"/>
              <w:bottom w:val="nil"/>
              <w:right w:val="nil"/>
            </w:tcBorders>
            <w:shd w:val="clear" w:color="auto" w:fill="auto"/>
            <w:noWrap/>
            <w:vAlign w:val="bottom"/>
            <w:hideMark/>
          </w:tcPr>
          <w:p w14:paraId="727E1957" w14:textId="77777777" w:rsidR="004449AB" w:rsidRPr="004449AB" w:rsidRDefault="004449AB" w:rsidP="004449AB">
            <w:pPr>
              <w:spacing w:after="0" w:line="240" w:lineRule="auto"/>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 xml:space="preserve">   Ações Ordinárias – Básicas e diluídas</w:t>
            </w:r>
          </w:p>
        </w:tc>
        <w:tc>
          <w:tcPr>
            <w:tcW w:w="276" w:type="pct"/>
            <w:tcBorders>
              <w:top w:val="nil"/>
              <w:left w:val="nil"/>
              <w:bottom w:val="nil"/>
              <w:right w:val="nil"/>
            </w:tcBorders>
            <w:shd w:val="clear" w:color="auto" w:fill="auto"/>
            <w:noWrap/>
            <w:vAlign w:val="bottom"/>
            <w:hideMark/>
          </w:tcPr>
          <w:p w14:paraId="6A9F1823" w14:textId="77777777" w:rsidR="004449AB" w:rsidRPr="004449AB" w:rsidRDefault="004449AB" w:rsidP="004449AB">
            <w:pPr>
              <w:spacing w:after="0" w:line="240" w:lineRule="auto"/>
              <w:rPr>
                <w:rFonts w:ascii="Arial" w:eastAsia="Times New Roman" w:hAnsi="Arial" w:cs="Arial"/>
                <w:kern w:val="0"/>
                <w:sz w:val="18"/>
                <w:szCs w:val="18"/>
                <w:lang w:eastAsia="pt-BR"/>
                <w14:ligatures w14:val="none"/>
              </w:rPr>
            </w:pPr>
          </w:p>
        </w:tc>
        <w:tc>
          <w:tcPr>
            <w:tcW w:w="123" w:type="pct"/>
            <w:tcBorders>
              <w:top w:val="nil"/>
              <w:left w:val="nil"/>
              <w:bottom w:val="nil"/>
              <w:right w:val="nil"/>
            </w:tcBorders>
            <w:shd w:val="clear" w:color="auto" w:fill="auto"/>
            <w:noWrap/>
            <w:vAlign w:val="bottom"/>
            <w:hideMark/>
          </w:tcPr>
          <w:p w14:paraId="746DE887"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946" w:type="pct"/>
            <w:tcBorders>
              <w:top w:val="nil"/>
              <w:left w:val="nil"/>
              <w:bottom w:val="nil"/>
              <w:right w:val="nil"/>
            </w:tcBorders>
            <w:shd w:val="clear" w:color="auto" w:fill="auto"/>
            <w:noWrap/>
            <w:vAlign w:val="center"/>
            <w:hideMark/>
          </w:tcPr>
          <w:p w14:paraId="377E7FE0" w14:textId="77777777" w:rsidR="004449AB" w:rsidRPr="004449AB" w:rsidRDefault="004449AB" w:rsidP="004449AB">
            <w:pPr>
              <w:spacing w:after="0" w:line="240" w:lineRule="auto"/>
              <w:jc w:val="right"/>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 xml:space="preserve">                  (1,4743)</w:t>
            </w:r>
          </w:p>
        </w:tc>
        <w:tc>
          <w:tcPr>
            <w:tcW w:w="98" w:type="pct"/>
            <w:tcBorders>
              <w:top w:val="nil"/>
              <w:left w:val="nil"/>
              <w:bottom w:val="nil"/>
              <w:right w:val="nil"/>
            </w:tcBorders>
            <w:shd w:val="clear" w:color="auto" w:fill="auto"/>
            <w:noWrap/>
            <w:vAlign w:val="center"/>
            <w:hideMark/>
          </w:tcPr>
          <w:p w14:paraId="0AFC7F88" w14:textId="77777777" w:rsidR="004449AB" w:rsidRPr="004449AB" w:rsidRDefault="004449AB" w:rsidP="004449AB">
            <w:pPr>
              <w:spacing w:after="0" w:line="240" w:lineRule="auto"/>
              <w:jc w:val="right"/>
              <w:rPr>
                <w:rFonts w:ascii="Arial" w:eastAsia="Times New Roman" w:hAnsi="Arial" w:cs="Arial"/>
                <w:kern w:val="0"/>
                <w:sz w:val="18"/>
                <w:szCs w:val="18"/>
                <w:lang w:eastAsia="pt-BR"/>
                <w14:ligatures w14:val="none"/>
              </w:rPr>
            </w:pPr>
          </w:p>
        </w:tc>
        <w:tc>
          <w:tcPr>
            <w:tcW w:w="904" w:type="pct"/>
            <w:tcBorders>
              <w:top w:val="nil"/>
              <w:left w:val="nil"/>
              <w:bottom w:val="nil"/>
              <w:right w:val="nil"/>
            </w:tcBorders>
            <w:shd w:val="clear" w:color="auto" w:fill="auto"/>
            <w:noWrap/>
            <w:vAlign w:val="bottom"/>
            <w:hideMark/>
          </w:tcPr>
          <w:p w14:paraId="13B53F01" w14:textId="77777777" w:rsidR="004449AB" w:rsidRPr="004449AB" w:rsidRDefault="004449AB" w:rsidP="004449AB">
            <w:pPr>
              <w:spacing w:after="0" w:line="240" w:lineRule="auto"/>
              <w:jc w:val="right"/>
              <w:rPr>
                <w:rFonts w:ascii="Arial" w:eastAsia="Times New Roman" w:hAnsi="Arial" w:cs="Arial"/>
                <w:color w:val="000000"/>
                <w:kern w:val="0"/>
                <w:sz w:val="18"/>
                <w:szCs w:val="18"/>
                <w:lang w:eastAsia="pt-BR"/>
                <w14:ligatures w14:val="none"/>
              </w:rPr>
            </w:pPr>
            <w:r w:rsidRPr="004449AB">
              <w:rPr>
                <w:rFonts w:ascii="Arial" w:eastAsia="Times New Roman" w:hAnsi="Arial" w:cs="Arial"/>
                <w:color w:val="000000"/>
                <w:kern w:val="0"/>
                <w:sz w:val="18"/>
                <w:szCs w:val="18"/>
                <w:lang w:eastAsia="pt-BR"/>
                <w14:ligatures w14:val="none"/>
              </w:rPr>
              <w:t xml:space="preserve">                (1,9501)</w:t>
            </w:r>
          </w:p>
        </w:tc>
      </w:tr>
      <w:tr w:rsidR="004449AB" w:rsidRPr="004449AB" w14:paraId="1034E05B" w14:textId="77777777" w:rsidTr="00075425">
        <w:trPr>
          <w:trHeight w:val="256"/>
        </w:trPr>
        <w:tc>
          <w:tcPr>
            <w:tcW w:w="2652" w:type="pct"/>
            <w:tcBorders>
              <w:top w:val="nil"/>
              <w:left w:val="nil"/>
              <w:bottom w:val="nil"/>
              <w:right w:val="nil"/>
            </w:tcBorders>
            <w:shd w:val="clear" w:color="auto" w:fill="auto"/>
            <w:noWrap/>
            <w:vAlign w:val="bottom"/>
            <w:hideMark/>
          </w:tcPr>
          <w:p w14:paraId="211E92EF" w14:textId="77777777" w:rsidR="004449AB" w:rsidRPr="004449AB" w:rsidRDefault="004449AB" w:rsidP="004449AB">
            <w:pPr>
              <w:spacing w:after="0" w:line="240" w:lineRule="auto"/>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 xml:space="preserve">   Ações Preferenciais – Básicas e diluídas</w:t>
            </w:r>
          </w:p>
        </w:tc>
        <w:tc>
          <w:tcPr>
            <w:tcW w:w="276" w:type="pct"/>
            <w:tcBorders>
              <w:top w:val="nil"/>
              <w:left w:val="nil"/>
              <w:bottom w:val="nil"/>
              <w:right w:val="nil"/>
            </w:tcBorders>
            <w:shd w:val="clear" w:color="auto" w:fill="auto"/>
            <w:noWrap/>
            <w:vAlign w:val="bottom"/>
            <w:hideMark/>
          </w:tcPr>
          <w:p w14:paraId="2CF7A647" w14:textId="77777777" w:rsidR="004449AB" w:rsidRPr="004449AB" w:rsidRDefault="004449AB" w:rsidP="004449AB">
            <w:pPr>
              <w:spacing w:after="0" w:line="240" w:lineRule="auto"/>
              <w:rPr>
                <w:rFonts w:ascii="Arial" w:eastAsia="Times New Roman" w:hAnsi="Arial" w:cs="Arial"/>
                <w:kern w:val="0"/>
                <w:sz w:val="18"/>
                <w:szCs w:val="18"/>
                <w:lang w:eastAsia="pt-BR"/>
                <w14:ligatures w14:val="none"/>
              </w:rPr>
            </w:pPr>
          </w:p>
        </w:tc>
        <w:tc>
          <w:tcPr>
            <w:tcW w:w="123" w:type="pct"/>
            <w:tcBorders>
              <w:top w:val="nil"/>
              <w:left w:val="nil"/>
              <w:bottom w:val="nil"/>
              <w:right w:val="nil"/>
            </w:tcBorders>
            <w:shd w:val="clear" w:color="auto" w:fill="auto"/>
            <w:noWrap/>
            <w:vAlign w:val="bottom"/>
            <w:hideMark/>
          </w:tcPr>
          <w:p w14:paraId="33B2C843"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946" w:type="pct"/>
            <w:tcBorders>
              <w:top w:val="nil"/>
              <w:left w:val="nil"/>
              <w:bottom w:val="nil"/>
              <w:right w:val="nil"/>
            </w:tcBorders>
            <w:shd w:val="clear" w:color="auto" w:fill="auto"/>
            <w:noWrap/>
            <w:vAlign w:val="bottom"/>
            <w:hideMark/>
          </w:tcPr>
          <w:p w14:paraId="6CB97D57" w14:textId="77777777" w:rsidR="004449AB" w:rsidRPr="004449AB" w:rsidRDefault="004449AB" w:rsidP="004449AB">
            <w:pPr>
              <w:spacing w:after="0" w:line="240" w:lineRule="auto"/>
              <w:jc w:val="right"/>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 xml:space="preserve">                  (1,4743)</w:t>
            </w:r>
          </w:p>
        </w:tc>
        <w:tc>
          <w:tcPr>
            <w:tcW w:w="98" w:type="pct"/>
            <w:tcBorders>
              <w:top w:val="nil"/>
              <w:left w:val="nil"/>
              <w:bottom w:val="nil"/>
              <w:right w:val="nil"/>
            </w:tcBorders>
            <w:shd w:val="clear" w:color="auto" w:fill="auto"/>
            <w:noWrap/>
            <w:vAlign w:val="bottom"/>
            <w:hideMark/>
          </w:tcPr>
          <w:p w14:paraId="230A6BFE" w14:textId="77777777" w:rsidR="004449AB" w:rsidRPr="004449AB" w:rsidRDefault="004449AB" w:rsidP="004449AB">
            <w:pPr>
              <w:spacing w:after="0" w:line="240" w:lineRule="auto"/>
              <w:jc w:val="right"/>
              <w:rPr>
                <w:rFonts w:ascii="Arial" w:eastAsia="Times New Roman" w:hAnsi="Arial" w:cs="Arial"/>
                <w:kern w:val="0"/>
                <w:sz w:val="18"/>
                <w:szCs w:val="18"/>
                <w:lang w:eastAsia="pt-BR"/>
                <w14:ligatures w14:val="none"/>
              </w:rPr>
            </w:pPr>
          </w:p>
        </w:tc>
        <w:tc>
          <w:tcPr>
            <w:tcW w:w="904" w:type="pct"/>
            <w:tcBorders>
              <w:top w:val="nil"/>
              <w:left w:val="nil"/>
              <w:bottom w:val="nil"/>
              <w:right w:val="nil"/>
            </w:tcBorders>
            <w:shd w:val="clear" w:color="auto" w:fill="auto"/>
            <w:noWrap/>
            <w:vAlign w:val="bottom"/>
            <w:hideMark/>
          </w:tcPr>
          <w:p w14:paraId="61DDACA3" w14:textId="77777777" w:rsidR="004449AB" w:rsidRPr="004449AB" w:rsidRDefault="004449AB" w:rsidP="004449AB">
            <w:pPr>
              <w:spacing w:after="0" w:line="240" w:lineRule="auto"/>
              <w:jc w:val="right"/>
              <w:rPr>
                <w:rFonts w:ascii="Arial" w:eastAsia="Times New Roman" w:hAnsi="Arial" w:cs="Arial"/>
                <w:color w:val="000000"/>
                <w:kern w:val="0"/>
                <w:sz w:val="18"/>
                <w:szCs w:val="18"/>
                <w:lang w:eastAsia="pt-BR"/>
                <w14:ligatures w14:val="none"/>
              </w:rPr>
            </w:pPr>
            <w:r w:rsidRPr="004449AB">
              <w:rPr>
                <w:rFonts w:ascii="Arial" w:eastAsia="Times New Roman" w:hAnsi="Arial" w:cs="Arial"/>
                <w:color w:val="000000"/>
                <w:kern w:val="0"/>
                <w:sz w:val="18"/>
                <w:szCs w:val="18"/>
                <w:lang w:eastAsia="pt-BR"/>
                <w14:ligatures w14:val="none"/>
              </w:rPr>
              <w:t xml:space="preserve">                (1,9501)</w:t>
            </w:r>
          </w:p>
        </w:tc>
      </w:tr>
      <w:tr w:rsidR="004449AB" w:rsidRPr="004449AB" w14:paraId="60697C5B" w14:textId="77777777" w:rsidTr="00075425">
        <w:trPr>
          <w:trHeight w:val="256"/>
        </w:trPr>
        <w:tc>
          <w:tcPr>
            <w:tcW w:w="2652" w:type="pct"/>
            <w:tcBorders>
              <w:top w:val="nil"/>
              <w:left w:val="nil"/>
              <w:bottom w:val="nil"/>
              <w:right w:val="nil"/>
            </w:tcBorders>
            <w:shd w:val="clear" w:color="auto" w:fill="auto"/>
            <w:noWrap/>
            <w:vAlign w:val="bottom"/>
            <w:hideMark/>
          </w:tcPr>
          <w:p w14:paraId="578FAF31" w14:textId="77777777" w:rsidR="004449AB" w:rsidRPr="004449AB" w:rsidRDefault="004449AB" w:rsidP="004449AB">
            <w:pPr>
              <w:spacing w:after="0" w:line="240" w:lineRule="auto"/>
              <w:rPr>
                <w:rFonts w:ascii="Arial" w:eastAsia="Times New Roman" w:hAnsi="Arial" w:cs="Arial"/>
                <w:color w:val="000000"/>
                <w:kern w:val="0"/>
                <w:sz w:val="18"/>
                <w:szCs w:val="18"/>
                <w:lang w:eastAsia="pt-BR"/>
                <w14:ligatures w14:val="none"/>
              </w:rPr>
            </w:pPr>
          </w:p>
        </w:tc>
        <w:tc>
          <w:tcPr>
            <w:tcW w:w="276" w:type="pct"/>
            <w:tcBorders>
              <w:top w:val="nil"/>
              <w:left w:val="nil"/>
              <w:bottom w:val="nil"/>
              <w:right w:val="nil"/>
            </w:tcBorders>
            <w:shd w:val="clear" w:color="auto" w:fill="auto"/>
            <w:noWrap/>
            <w:vAlign w:val="bottom"/>
            <w:hideMark/>
          </w:tcPr>
          <w:p w14:paraId="3E40C41E"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123" w:type="pct"/>
            <w:tcBorders>
              <w:top w:val="nil"/>
              <w:left w:val="nil"/>
              <w:bottom w:val="nil"/>
              <w:right w:val="nil"/>
            </w:tcBorders>
            <w:shd w:val="clear" w:color="auto" w:fill="auto"/>
            <w:noWrap/>
            <w:vAlign w:val="bottom"/>
            <w:hideMark/>
          </w:tcPr>
          <w:p w14:paraId="55B07A27"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946" w:type="pct"/>
            <w:tcBorders>
              <w:top w:val="nil"/>
              <w:left w:val="nil"/>
              <w:bottom w:val="nil"/>
              <w:right w:val="nil"/>
            </w:tcBorders>
            <w:shd w:val="clear" w:color="auto" w:fill="auto"/>
            <w:noWrap/>
            <w:vAlign w:val="bottom"/>
            <w:hideMark/>
          </w:tcPr>
          <w:p w14:paraId="6E4B2067"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98" w:type="pct"/>
            <w:tcBorders>
              <w:top w:val="nil"/>
              <w:left w:val="nil"/>
              <w:bottom w:val="nil"/>
              <w:right w:val="nil"/>
            </w:tcBorders>
            <w:shd w:val="clear" w:color="auto" w:fill="auto"/>
            <w:noWrap/>
            <w:vAlign w:val="bottom"/>
            <w:hideMark/>
          </w:tcPr>
          <w:p w14:paraId="53270162"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904" w:type="pct"/>
            <w:tcBorders>
              <w:top w:val="nil"/>
              <w:left w:val="nil"/>
              <w:bottom w:val="nil"/>
              <w:right w:val="nil"/>
            </w:tcBorders>
            <w:shd w:val="clear" w:color="auto" w:fill="auto"/>
            <w:noWrap/>
            <w:vAlign w:val="bottom"/>
            <w:hideMark/>
          </w:tcPr>
          <w:p w14:paraId="1A6CF115"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r>
      <w:tr w:rsidR="004449AB" w:rsidRPr="004449AB" w14:paraId="4213D0FC" w14:textId="77777777" w:rsidTr="00075425">
        <w:trPr>
          <w:trHeight w:val="256"/>
        </w:trPr>
        <w:tc>
          <w:tcPr>
            <w:tcW w:w="2652" w:type="pct"/>
            <w:tcBorders>
              <w:top w:val="nil"/>
              <w:left w:val="nil"/>
              <w:bottom w:val="nil"/>
              <w:right w:val="nil"/>
            </w:tcBorders>
            <w:shd w:val="clear" w:color="auto" w:fill="auto"/>
            <w:noWrap/>
            <w:vAlign w:val="bottom"/>
            <w:hideMark/>
          </w:tcPr>
          <w:p w14:paraId="49D4A512"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276" w:type="pct"/>
            <w:tcBorders>
              <w:top w:val="nil"/>
              <w:left w:val="nil"/>
              <w:bottom w:val="nil"/>
              <w:right w:val="nil"/>
            </w:tcBorders>
            <w:shd w:val="clear" w:color="auto" w:fill="auto"/>
            <w:noWrap/>
            <w:vAlign w:val="bottom"/>
            <w:hideMark/>
          </w:tcPr>
          <w:p w14:paraId="7DCD8099"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123" w:type="pct"/>
            <w:tcBorders>
              <w:top w:val="nil"/>
              <w:left w:val="nil"/>
              <w:bottom w:val="nil"/>
              <w:right w:val="nil"/>
            </w:tcBorders>
            <w:shd w:val="clear" w:color="auto" w:fill="auto"/>
            <w:noWrap/>
            <w:vAlign w:val="bottom"/>
            <w:hideMark/>
          </w:tcPr>
          <w:p w14:paraId="4FCB5E59"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946" w:type="pct"/>
            <w:tcBorders>
              <w:top w:val="nil"/>
              <w:left w:val="nil"/>
              <w:bottom w:val="nil"/>
              <w:right w:val="nil"/>
            </w:tcBorders>
            <w:shd w:val="clear" w:color="auto" w:fill="auto"/>
            <w:noWrap/>
            <w:vAlign w:val="bottom"/>
            <w:hideMark/>
          </w:tcPr>
          <w:p w14:paraId="47EF6468"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98" w:type="pct"/>
            <w:tcBorders>
              <w:top w:val="nil"/>
              <w:left w:val="nil"/>
              <w:bottom w:val="nil"/>
              <w:right w:val="nil"/>
            </w:tcBorders>
            <w:shd w:val="clear" w:color="auto" w:fill="auto"/>
            <w:noWrap/>
            <w:vAlign w:val="bottom"/>
            <w:hideMark/>
          </w:tcPr>
          <w:p w14:paraId="45EBCF16"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904" w:type="pct"/>
            <w:tcBorders>
              <w:top w:val="nil"/>
              <w:left w:val="nil"/>
              <w:bottom w:val="nil"/>
              <w:right w:val="nil"/>
            </w:tcBorders>
            <w:shd w:val="clear" w:color="auto" w:fill="auto"/>
            <w:noWrap/>
            <w:vAlign w:val="bottom"/>
            <w:hideMark/>
          </w:tcPr>
          <w:p w14:paraId="027448A7"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r>
      <w:tr w:rsidR="004449AB" w:rsidRPr="004449AB" w14:paraId="323D26D7" w14:textId="77777777" w:rsidTr="00075425">
        <w:trPr>
          <w:trHeight w:val="256"/>
        </w:trPr>
        <w:tc>
          <w:tcPr>
            <w:tcW w:w="3998" w:type="pct"/>
            <w:gridSpan w:val="4"/>
            <w:tcBorders>
              <w:top w:val="nil"/>
              <w:left w:val="nil"/>
              <w:bottom w:val="nil"/>
              <w:right w:val="nil"/>
            </w:tcBorders>
            <w:shd w:val="clear" w:color="auto" w:fill="auto"/>
            <w:noWrap/>
            <w:vAlign w:val="bottom"/>
            <w:hideMark/>
          </w:tcPr>
          <w:p w14:paraId="0D4534BC" w14:textId="77777777" w:rsidR="004449AB" w:rsidRPr="004449AB" w:rsidRDefault="004449AB" w:rsidP="004449AB">
            <w:pPr>
              <w:spacing w:after="0" w:line="240" w:lineRule="auto"/>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As notas explicativas são parte integrante das demonstrações contábeis</w:t>
            </w:r>
          </w:p>
        </w:tc>
        <w:tc>
          <w:tcPr>
            <w:tcW w:w="98" w:type="pct"/>
            <w:tcBorders>
              <w:top w:val="nil"/>
              <w:left w:val="nil"/>
              <w:bottom w:val="nil"/>
              <w:right w:val="nil"/>
            </w:tcBorders>
            <w:shd w:val="clear" w:color="auto" w:fill="auto"/>
            <w:noWrap/>
            <w:vAlign w:val="bottom"/>
            <w:hideMark/>
          </w:tcPr>
          <w:p w14:paraId="3304CAF8" w14:textId="77777777" w:rsidR="004449AB" w:rsidRPr="004449AB" w:rsidRDefault="004449AB" w:rsidP="004449AB">
            <w:pPr>
              <w:spacing w:after="0" w:line="240" w:lineRule="auto"/>
              <w:rPr>
                <w:rFonts w:ascii="Arial" w:eastAsia="Times New Roman" w:hAnsi="Arial" w:cs="Arial"/>
                <w:b/>
                <w:bCs/>
                <w:kern w:val="0"/>
                <w:sz w:val="18"/>
                <w:szCs w:val="18"/>
                <w:lang w:eastAsia="pt-BR"/>
                <w14:ligatures w14:val="none"/>
              </w:rPr>
            </w:pPr>
          </w:p>
        </w:tc>
        <w:tc>
          <w:tcPr>
            <w:tcW w:w="904" w:type="pct"/>
            <w:tcBorders>
              <w:top w:val="nil"/>
              <w:left w:val="nil"/>
              <w:bottom w:val="nil"/>
              <w:right w:val="nil"/>
            </w:tcBorders>
            <w:shd w:val="clear" w:color="auto" w:fill="auto"/>
            <w:noWrap/>
            <w:vAlign w:val="bottom"/>
            <w:hideMark/>
          </w:tcPr>
          <w:p w14:paraId="59EB482F"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r>
      <w:bookmarkEnd w:id="375"/>
    </w:tbl>
    <w:p w14:paraId="48CD8317" w14:textId="77777777" w:rsidR="004449AB" w:rsidRDefault="004449AB" w:rsidP="001D10E5">
      <w:pPr>
        <w:spacing w:after="0"/>
        <w:jc w:val="both"/>
        <w:rPr>
          <w:noProof/>
        </w:rPr>
      </w:pPr>
    </w:p>
    <w:p w14:paraId="26F51913" w14:textId="77777777" w:rsidR="004449AB" w:rsidRDefault="004449AB" w:rsidP="001D10E5">
      <w:pPr>
        <w:spacing w:after="0"/>
        <w:jc w:val="both"/>
        <w:rPr>
          <w:noProof/>
        </w:rPr>
      </w:pPr>
    </w:p>
    <w:p w14:paraId="2AF20E31" w14:textId="77777777" w:rsidR="004449AB" w:rsidRDefault="004449AB" w:rsidP="001D10E5">
      <w:pPr>
        <w:spacing w:after="0"/>
        <w:jc w:val="both"/>
        <w:rPr>
          <w:noProof/>
        </w:rPr>
      </w:pPr>
    </w:p>
    <w:p w14:paraId="49E2ECC6" w14:textId="77777777" w:rsidR="004449AB" w:rsidRDefault="004449AB" w:rsidP="001D10E5">
      <w:pPr>
        <w:spacing w:after="0"/>
        <w:jc w:val="both"/>
        <w:rPr>
          <w:noProof/>
        </w:rPr>
      </w:pPr>
    </w:p>
    <w:p w14:paraId="6A4322E8" w14:textId="77777777" w:rsidR="004449AB" w:rsidRDefault="004449AB" w:rsidP="001D10E5">
      <w:pPr>
        <w:spacing w:after="0"/>
        <w:jc w:val="both"/>
        <w:rPr>
          <w:noProof/>
        </w:rPr>
      </w:pPr>
    </w:p>
    <w:p w14:paraId="6D0B679E" w14:textId="77777777" w:rsidR="004449AB" w:rsidRDefault="004449AB" w:rsidP="001D10E5">
      <w:pPr>
        <w:spacing w:after="0"/>
        <w:jc w:val="both"/>
        <w:rPr>
          <w:noProof/>
        </w:rPr>
      </w:pPr>
    </w:p>
    <w:p w14:paraId="474C89EC" w14:textId="77777777" w:rsidR="004449AB" w:rsidRDefault="004449AB" w:rsidP="001D10E5">
      <w:pPr>
        <w:spacing w:after="0"/>
        <w:jc w:val="both"/>
        <w:rPr>
          <w:noProof/>
        </w:rPr>
      </w:pPr>
    </w:p>
    <w:p w14:paraId="56864B27" w14:textId="77777777" w:rsidR="004449AB" w:rsidRDefault="004449AB" w:rsidP="001D10E5">
      <w:pPr>
        <w:spacing w:after="0"/>
        <w:jc w:val="both"/>
        <w:rPr>
          <w:noProof/>
        </w:rPr>
      </w:pPr>
    </w:p>
    <w:p w14:paraId="414A48F1" w14:textId="77777777" w:rsidR="004449AB" w:rsidRDefault="004449AB" w:rsidP="001D10E5">
      <w:pPr>
        <w:spacing w:after="0"/>
        <w:jc w:val="both"/>
        <w:rPr>
          <w:noProof/>
        </w:rPr>
      </w:pPr>
    </w:p>
    <w:p w14:paraId="51B4A904" w14:textId="77777777" w:rsidR="004449AB" w:rsidRDefault="004449AB" w:rsidP="001D10E5">
      <w:pPr>
        <w:spacing w:after="0"/>
        <w:jc w:val="both"/>
        <w:rPr>
          <w:noProof/>
        </w:rPr>
      </w:pPr>
    </w:p>
    <w:tbl>
      <w:tblPr>
        <w:tblW w:w="5146" w:type="pct"/>
        <w:tblCellMar>
          <w:left w:w="70" w:type="dxa"/>
          <w:right w:w="70" w:type="dxa"/>
        </w:tblCellMar>
        <w:tblLook w:val="04A0" w:firstRow="1" w:lastRow="0" w:firstColumn="1" w:lastColumn="0" w:noHBand="0" w:noVBand="1"/>
      </w:tblPr>
      <w:tblGrid>
        <w:gridCol w:w="5532"/>
        <w:gridCol w:w="146"/>
        <w:gridCol w:w="1661"/>
        <w:gridCol w:w="191"/>
        <w:gridCol w:w="1661"/>
        <w:gridCol w:w="146"/>
      </w:tblGrid>
      <w:tr w:rsidR="004449AB" w:rsidRPr="004449AB" w14:paraId="1BB51E4B" w14:textId="77777777" w:rsidTr="00075425">
        <w:trPr>
          <w:trHeight w:val="246"/>
        </w:trPr>
        <w:tc>
          <w:tcPr>
            <w:tcW w:w="5000" w:type="pct"/>
            <w:gridSpan w:val="6"/>
            <w:tcBorders>
              <w:top w:val="nil"/>
              <w:left w:val="nil"/>
              <w:bottom w:val="nil"/>
              <w:right w:val="nil"/>
            </w:tcBorders>
            <w:shd w:val="clear" w:color="auto" w:fill="auto"/>
            <w:noWrap/>
            <w:vAlign w:val="bottom"/>
            <w:hideMark/>
          </w:tcPr>
          <w:p w14:paraId="139379D2" w14:textId="77777777" w:rsidR="004449AB" w:rsidRPr="004449AB" w:rsidRDefault="004449AB" w:rsidP="004449AB">
            <w:pPr>
              <w:spacing w:after="0" w:line="240" w:lineRule="auto"/>
              <w:jc w:val="center"/>
              <w:rPr>
                <w:rFonts w:ascii="Arial" w:eastAsia="Times New Roman" w:hAnsi="Arial" w:cs="Arial"/>
                <w:b/>
                <w:bCs/>
                <w:kern w:val="0"/>
                <w:sz w:val="18"/>
                <w:szCs w:val="18"/>
                <w:lang w:eastAsia="pt-BR"/>
                <w14:ligatures w14:val="none"/>
              </w:rPr>
            </w:pPr>
            <w:bookmarkStart w:id="376" w:name="_Hlk162280091"/>
            <w:r w:rsidRPr="004449AB">
              <w:rPr>
                <w:rFonts w:ascii="Arial" w:eastAsia="Times New Roman" w:hAnsi="Arial" w:cs="Arial"/>
                <w:b/>
                <w:bCs/>
                <w:kern w:val="0"/>
                <w:sz w:val="18"/>
                <w:szCs w:val="18"/>
                <w:lang w:eastAsia="pt-BR"/>
                <w14:ligatures w14:val="none"/>
              </w:rPr>
              <w:lastRenderedPageBreak/>
              <w:t>TELECOMUNICAÇÕES BRASILEIRAS S.A - "TELEBRAS"</w:t>
            </w:r>
          </w:p>
        </w:tc>
      </w:tr>
      <w:tr w:rsidR="004449AB" w:rsidRPr="004449AB" w14:paraId="5F64545F" w14:textId="77777777" w:rsidTr="00075425">
        <w:trPr>
          <w:trHeight w:val="246"/>
        </w:trPr>
        <w:tc>
          <w:tcPr>
            <w:tcW w:w="5000" w:type="pct"/>
            <w:gridSpan w:val="6"/>
            <w:tcBorders>
              <w:top w:val="nil"/>
              <w:left w:val="nil"/>
              <w:bottom w:val="nil"/>
              <w:right w:val="nil"/>
            </w:tcBorders>
            <w:shd w:val="clear" w:color="auto" w:fill="auto"/>
            <w:noWrap/>
            <w:vAlign w:val="bottom"/>
            <w:hideMark/>
          </w:tcPr>
          <w:p w14:paraId="0E57F525" w14:textId="77777777" w:rsidR="004449AB" w:rsidRPr="004449AB" w:rsidRDefault="004449AB" w:rsidP="004449AB">
            <w:pPr>
              <w:spacing w:after="0" w:line="240" w:lineRule="auto"/>
              <w:jc w:val="center"/>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CNPJ 00.336.701/0001-04</w:t>
            </w:r>
          </w:p>
        </w:tc>
      </w:tr>
      <w:tr w:rsidR="004449AB" w:rsidRPr="004449AB" w14:paraId="1F27278A" w14:textId="77777777" w:rsidTr="00075425">
        <w:trPr>
          <w:trHeight w:val="246"/>
        </w:trPr>
        <w:tc>
          <w:tcPr>
            <w:tcW w:w="5000" w:type="pct"/>
            <w:gridSpan w:val="6"/>
            <w:tcBorders>
              <w:top w:val="nil"/>
              <w:left w:val="nil"/>
              <w:bottom w:val="nil"/>
              <w:right w:val="nil"/>
            </w:tcBorders>
            <w:shd w:val="clear" w:color="auto" w:fill="auto"/>
            <w:noWrap/>
            <w:vAlign w:val="bottom"/>
            <w:hideMark/>
          </w:tcPr>
          <w:p w14:paraId="2705A8BD" w14:textId="77777777" w:rsidR="004449AB" w:rsidRPr="004449AB" w:rsidRDefault="004449AB" w:rsidP="004449AB">
            <w:pPr>
              <w:spacing w:after="0" w:line="240" w:lineRule="auto"/>
              <w:jc w:val="center"/>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Demonstrações dos Resultados Abrangentes</w:t>
            </w:r>
          </w:p>
        </w:tc>
      </w:tr>
      <w:tr w:rsidR="004449AB" w:rsidRPr="004449AB" w14:paraId="6349B64A" w14:textId="77777777" w:rsidTr="00075425">
        <w:trPr>
          <w:trHeight w:val="246"/>
        </w:trPr>
        <w:tc>
          <w:tcPr>
            <w:tcW w:w="5000" w:type="pct"/>
            <w:gridSpan w:val="6"/>
            <w:tcBorders>
              <w:top w:val="nil"/>
              <w:left w:val="nil"/>
              <w:bottom w:val="nil"/>
              <w:right w:val="nil"/>
            </w:tcBorders>
            <w:shd w:val="clear" w:color="auto" w:fill="auto"/>
            <w:noWrap/>
            <w:vAlign w:val="bottom"/>
            <w:hideMark/>
          </w:tcPr>
          <w:p w14:paraId="3C249A8C" w14:textId="77777777" w:rsidR="004449AB" w:rsidRPr="004449AB" w:rsidRDefault="004449AB" w:rsidP="004449AB">
            <w:pPr>
              <w:spacing w:after="0" w:line="240" w:lineRule="auto"/>
              <w:jc w:val="center"/>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Exercícios findos em 31 de dezembro de 2023 e 2022</w:t>
            </w:r>
          </w:p>
        </w:tc>
      </w:tr>
      <w:tr w:rsidR="004449AB" w:rsidRPr="004449AB" w14:paraId="2AC4205D" w14:textId="77777777" w:rsidTr="00075425">
        <w:trPr>
          <w:trHeight w:val="246"/>
        </w:trPr>
        <w:tc>
          <w:tcPr>
            <w:tcW w:w="5000" w:type="pct"/>
            <w:gridSpan w:val="6"/>
            <w:tcBorders>
              <w:top w:val="nil"/>
              <w:left w:val="nil"/>
              <w:bottom w:val="nil"/>
              <w:right w:val="nil"/>
            </w:tcBorders>
            <w:shd w:val="clear" w:color="auto" w:fill="auto"/>
            <w:noWrap/>
            <w:vAlign w:val="bottom"/>
            <w:hideMark/>
          </w:tcPr>
          <w:p w14:paraId="1DE30F06" w14:textId="77777777" w:rsidR="004449AB" w:rsidRPr="004449AB" w:rsidRDefault="004449AB" w:rsidP="004449AB">
            <w:pPr>
              <w:spacing w:after="0" w:line="240" w:lineRule="auto"/>
              <w:jc w:val="center"/>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Em milhares de reais, exceto quando indicado de outra forma</w:t>
            </w:r>
          </w:p>
        </w:tc>
      </w:tr>
      <w:tr w:rsidR="004449AB" w:rsidRPr="004449AB" w14:paraId="3507B5F7" w14:textId="77777777" w:rsidTr="00075425">
        <w:trPr>
          <w:trHeight w:val="246"/>
        </w:trPr>
        <w:tc>
          <w:tcPr>
            <w:tcW w:w="3054" w:type="pct"/>
            <w:tcBorders>
              <w:top w:val="nil"/>
              <w:left w:val="nil"/>
              <w:bottom w:val="nil"/>
              <w:right w:val="nil"/>
            </w:tcBorders>
            <w:shd w:val="clear" w:color="auto" w:fill="auto"/>
            <w:noWrap/>
            <w:vAlign w:val="bottom"/>
            <w:hideMark/>
          </w:tcPr>
          <w:p w14:paraId="411A58B1" w14:textId="77777777" w:rsidR="004449AB" w:rsidRPr="004449AB" w:rsidRDefault="004449AB" w:rsidP="004449AB">
            <w:pPr>
              <w:spacing w:after="0" w:line="240" w:lineRule="auto"/>
              <w:jc w:val="center"/>
              <w:rPr>
                <w:rFonts w:ascii="Arial" w:eastAsia="Times New Roman" w:hAnsi="Arial" w:cs="Arial"/>
                <w:b/>
                <w:bCs/>
                <w:kern w:val="0"/>
                <w:sz w:val="18"/>
                <w:szCs w:val="18"/>
                <w:lang w:eastAsia="pt-BR"/>
                <w14:ligatures w14:val="none"/>
              </w:rPr>
            </w:pPr>
          </w:p>
        </w:tc>
        <w:tc>
          <w:tcPr>
            <w:tcW w:w="75" w:type="pct"/>
            <w:tcBorders>
              <w:top w:val="nil"/>
              <w:left w:val="nil"/>
              <w:bottom w:val="nil"/>
              <w:right w:val="nil"/>
            </w:tcBorders>
            <w:shd w:val="clear" w:color="auto" w:fill="auto"/>
            <w:noWrap/>
            <w:vAlign w:val="bottom"/>
            <w:hideMark/>
          </w:tcPr>
          <w:p w14:paraId="2AC94E07"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849" w:type="pct"/>
            <w:tcBorders>
              <w:top w:val="nil"/>
              <w:left w:val="nil"/>
              <w:bottom w:val="nil"/>
              <w:right w:val="nil"/>
            </w:tcBorders>
            <w:shd w:val="clear" w:color="auto" w:fill="auto"/>
            <w:noWrap/>
            <w:vAlign w:val="bottom"/>
            <w:hideMark/>
          </w:tcPr>
          <w:p w14:paraId="07C32036"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97" w:type="pct"/>
            <w:tcBorders>
              <w:top w:val="nil"/>
              <w:left w:val="nil"/>
              <w:bottom w:val="nil"/>
              <w:right w:val="nil"/>
            </w:tcBorders>
            <w:shd w:val="clear" w:color="auto" w:fill="auto"/>
            <w:noWrap/>
            <w:vAlign w:val="bottom"/>
            <w:hideMark/>
          </w:tcPr>
          <w:p w14:paraId="63B77DE6"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849" w:type="pct"/>
            <w:tcBorders>
              <w:top w:val="nil"/>
              <w:left w:val="nil"/>
              <w:bottom w:val="nil"/>
              <w:right w:val="nil"/>
            </w:tcBorders>
            <w:shd w:val="clear" w:color="auto" w:fill="auto"/>
            <w:noWrap/>
            <w:vAlign w:val="bottom"/>
            <w:hideMark/>
          </w:tcPr>
          <w:p w14:paraId="1165C8EF"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75" w:type="pct"/>
            <w:tcBorders>
              <w:top w:val="nil"/>
              <w:left w:val="nil"/>
              <w:bottom w:val="nil"/>
              <w:right w:val="nil"/>
            </w:tcBorders>
            <w:shd w:val="clear" w:color="auto" w:fill="auto"/>
            <w:noWrap/>
            <w:vAlign w:val="bottom"/>
            <w:hideMark/>
          </w:tcPr>
          <w:p w14:paraId="08DA2D47"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r>
      <w:tr w:rsidR="004449AB" w:rsidRPr="004449AB" w14:paraId="0B1E444D" w14:textId="77777777" w:rsidTr="00075425">
        <w:trPr>
          <w:trHeight w:val="246"/>
        </w:trPr>
        <w:tc>
          <w:tcPr>
            <w:tcW w:w="3054" w:type="pct"/>
            <w:tcBorders>
              <w:top w:val="nil"/>
              <w:left w:val="nil"/>
              <w:bottom w:val="nil"/>
              <w:right w:val="nil"/>
            </w:tcBorders>
            <w:shd w:val="clear" w:color="auto" w:fill="auto"/>
            <w:noWrap/>
            <w:vAlign w:val="bottom"/>
            <w:hideMark/>
          </w:tcPr>
          <w:p w14:paraId="03DC8EEA"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75" w:type="pct"/>
            <w:tcBorders>
              <w:top w:val="nil"/>
              <w:left w:val="nil"/>
              <w:bottom w:val="nil"/>
              <w:right w:val="nil"/>
            </w:tcBorders>
            <w:shd w:val="clear" w:color="auto" w:fill="auto"/>
            <w:noWrap/>
            <w:vAlign w:val="bottom"/>
            <w:hideMark/>
          </w:tcPr>
          <w:p w14:paraId="3F6353BE"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849" w:type="pct"/>
            <w:tcBorders>
              <w:top w:val="nil"/>
              <w:left w:val="nil"/>
              <w:bottom w:val="nil"/>
              <w:right w:val="nil"/>
            </w:tcBorders>
            <w:shd w:val="clear" w:color="auto" w:fill="auto"/>
            <w:noWrap/>
            <w:vAlign w:val="bottom"/>
            <w:hideMark/>
          </w:tcPr>
          <w:p w14:paraId="6090645B"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97" w:type="pct"/>
            <w:tcBorders>
              <w:top w:val="nil"/>
              <w:left w:val="nil"/>
              <w:bottom w:val="nil"/>
              <w:right w:val="nil"/>
            </w:tcBorders>
            <w:shd w:val="clear" w:color="auto" w:fill="auto"/>
            <w:noWrap/>
            <w:vAlign w:val="bottom"/>
            <w:hideMark/>
          </w:tcPr>
          <w:p w14:paraId="1E66EA13"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849" w:type="pct"/>
            <w:tcBorders>
              <w:top w:val="nil"/>
              <w:left w:val="nil"/>
              <w:bottom w:val="nil"/>
              <w:right w:val="nil"/>
            </w:tcBorders>
            <w:shd w:val="clear" w:color="auto" w:fill="auto"/>
            <w:noWrap/>
            <w:vAlign w:val="bottom"/>
            <w:hideMark/>
          </w:tcPr>
          <w:p w14:paraId="6D2EADC5"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75" w:type="pct"/>
            <w:tcBorders>
              <w:top w:val="nil"/>
              <w:left w:val="nil"/>
              <w:bottom w:val="nil"/>
              <w:right w:val="nil"/>
            </w:tcBorders>
            <w:shd w:val="clear" w:color="auto" w:fill="auto"/>
            <w:noWrap/>
            <w:vAlign w:val="bottom"/>
            <w:hideMark/>
          </w:tcPr>
          <w:p w14:paraId="32CD5AB9"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r>
      <w:tr w:rsidR="004449AB" w:rsidRPr="004449AB" w14:paraId="670A17CD" w14:textId="77777777" w:rsidTr="00075425">
        <w:trPr>
          <w:trHeight w:val="246"/>
        </w:trPr>
        <w:tc>
          <w:tcPr>
            <w:tcW w:w="3054" w:type="pct"/>
            <w:tcBorders>
              <w:top w:val="nil"/>
              <w:left w:val="nil"/>
              <w:bottom w:val="nil"/>
              <w:right w:val="nil"/>
            </w:tcBorders>
            <w:shd w:val="clear" w:color="auto" w:fill="auto"/>
            <w:noWrap/>
            <w:vAlign w:val="bottom"/>
            <w:hideMark/>
          </w:tcPr>
          <w:p w14:paraId="232EF054"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1871" w:type="pct"/>
            <w:gridSpan w:val="4"/>
            <w:tcBorders>
              <w:top w:val="nil"/>
              <w:left w:val="nil"/>
              <w:bottom w:val="nil"/>
              <w:right w:val="nil"/>
            </w:tcBorders>
            <w:shd w:val="clear" w:color="auto" w:fill="auto"/>
            <w:noWrap/>
            <w:vAlign w:val="bottom"/>
            <w:hideMark/>
          </w:tcPr>
          <w:p w14:paraId="5AC67C63"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75" w:type="pct"/>
            <w:tcBorders>
              <w:top w:val="nil"/>
              <w:left w:val="nil"/>
              <w:bottom w:val="nil"/>
              <w:right w:val="nil"/>
            </w:tcBorders>
            <w:shd w:val="clear" w:color="auto" w:fill="auto"/>
            <w:noWrap/>
            <w:vAlign w:val="bottom"/>
            <w:hideMark/>
          </w:tcPr>
          <w:p w14:paraId="0B9ED2CF" w14:textId="77777777" w:rsidR="004449AB" w:rsidRPr="004449AB" w:rsidRDefault="004449AB" w:rsidP="004449AB">
            <w:pPr>
              <w:spacing w:after="0" w:line="240" w:lineRule="auto"/>
              <w:jc w:val="center"/>
              <w:rPr>
                <w:rFonts w:ascii="Times New Roman" w:eastAsia="Times New Roman" w:hAnsi="Times New Roman" w:cs="Times New Roman"/>
                <w:kern w:val="0"/>
                <w:sz w:val="18"/>
                <w:szCs w:val="18"/>
                <w:lang w:eastAsia="pt-BR"/>
                <w14:ligatures w14:val="none"/>
              </w:rPr>
            </w:pPr>
          </w:p>
        </w:tc>
      </w:tr>
      <w:tr w:rsidR="004449AB" w:rsidRPr="004449AB" w14:paraId="1AD8EE86" w14:textId="77777777" w:rsidTr="00075425">
        <w:trPr>
          <w:trHeight w:val="246"/>
        </w:trPr>
        <w:tc>
          <w:tcPr>
            <w:tcW w:w="3054" w:type="pct"/>
            <w:tcBorders>
              <w:top w:val="nil"/>
              <w:left w:val="nil"/>
              <w:bottom w:val="nil"/>
              <w:right w:val="nil"/>
            </w:tcBorders>
            <w:shd w:val="clear" w:color="auto" w:fill="auto"/>
            <w:noWrap/>
            <w:vAlign w:val="bottom"/>
            <w:hideMark/>
          </w:tcPr>
          <w:p w14:paraId="0940140E"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75" w:type="pct"/>
            <w:tcBorders>
              <w:top w:val="nil"/>
              <w:left w:val="nil"/>
              <w:bottom w:val="nil"/>
              <w:right w:val="nil"/>
            </w:tcBorders>
            <w:shd w:val="clear" w:color="auto" w:fill="auto"/>
            <w:noWrap/>
            <w:vAlign w:val="bottom"/>
            <w:hideMark/>
          </w:tcPr>
          <w:p w14:paraId="7A4E04DF"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1796" w:type="pct"/>
            <w:gridSpan w:val="3"/>
            <w:tcBorders>
              <w:top w:val="nil"/>
              <w:left w:val="nil"/>
              <w:bottom w:val="single" w:sz="4" w:space="0" w:color="auto"/>
              <w:right w:val="nil"/>
            </w:tcBorders>
            <w:shd w:val="clear" w:color="auto" w:fill="auto"/>
            <w:noWrap/>
            <w:vAlign w:val="bottom"/>
            <w:hideMark/>
          </w:tcPr>
          <w:p w14:paraId="1E1DCA29" w14:textId="77777777" w:rsidR="004449AB" w:rsidRPr="004449AB" w:rsidRDefault="004449AB" w:rsidP="004449AB">
            <w:pPr>
              <w:spacing w:after="0" w:line="240" w:lineRule="auto"/>
              <w:jc w:val="center"/>
              <w:rPr>
                <w:rFonts w:ascii="Arial" w:eastAsia="Times New Roman" w:hAnsi="Arial" w:cs="Arial"/>
                <w:b/>
                <w:bCs/>
                <w:color w:val="000000"/>
                <w:kern w:val="0"/>
                <w:sz w:val="18"/>
                <w:szCs w:val="18"/>
                <w:lang w:eastAsia="pt-BR"/>
                <w14:ligatures w14:val="none"/>
              </w:rPr>
            </w:pPr>
            <w:r w:rsidRPr="004449AB">
              <w:rPr>
                <w:rFonts w:ascii="Arial" w:eastAsia="Times New Roman" w:hAnsi="Arial" w:cs="Arial"/>
                <w:b/>
                <w:bCs/>
                <w:color w:val="000000"/>
                <w:kern w:val="0"/>
                <w:sz w:val="18"/>
                <w:szCs w:val="18"/>
                <w:lang w:eastAsia="pt-BR"/>
                <w14:ligatures w14:val="none"/>
              </w:rPr>
              <w:t> </w:t>
            </w:r>
          </w:p>
        </w:tc>
        <w:tc>
          <w:tcPr>
            <w:tcW w:w="75" w:type="pct"/>
            <w:tcBorders>
              <w:top w:val="nil"/>
              <w:left w:val="nil"/>
              <w:bottom w:val="nil"/>
              <w:right w:val="nil"/>
            </w:tcBorders>
            <w:shd w:val="clear" w:color="auto" w:fill="auto"/>
            <w:noWrap/>
            <w:vAlign w:val="bottom"/>
            <w:hideMark/>
          </w:tcPr>
          <w:p w14:paraId="77E15724" w14:textId="77777777" w:rsidR="004449AB" w:rsidRPr="004449AB" w:rsidRDefault="004449AB" w:rsidP="004449AB">
            <w:pPr>
              <w:spacing w:after="0" w:line="240" w:lineRule="auto"/>
              <w:jc w:val="center"/>
              <w:rPr>
                <w:rFonts w:ascii="Arial" w:eastAsia="Times New Roman" w:hAnsi="Arial" w:cs="Arial"/>
                <w:b/>
                <w:bCs/>
                <w:color w:val="000000"/>
                <w:kern w:val="0"/>
                <w:sz w:val="18"/>
                <w:szCs w:val="18"/>
                <w:lang w:eastAsia="pt-BR"/>
                <w14:ligatures w14:val="none"/>
              </w:rPr>
            </w:pPr>
          </w:p>
        </w:tc>
      </w:tr>
      <w:tr w:rsidR="004449AB" w:rsidRPr="004449AB" w14:paraId="2979D4D9" w14:textId="77777777" w:rsidTr="00075425">
        <w:trPr>
          <w:trHeight w:val="611"/>
        </w:trPr>
        <w:tc>
          <w:tcPr>
            <w:tcW w:w="3054" w:type="pct"/>
            <w:tcBorders>
              <w:top w:val="nil"/>
              <w:left w:val="nil"/>
              <w:bottom w:val="nil"/>
              <w:right w:val="nil"/>
            </w:tcBorders>
            <w:shd w:val="clear" w:color="auto" w:fill="auto"/>
            <w:noWrap/>
            <w:vAlign w:val="bottom"/>
            <w:hideMark/>
          </w:tcPr>
          <w:p w14:paraId="0F435AA2"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75" w:type="pct"/>
            <w:tcBorders>
              <w:top w:val="nil"/>
              <w:left w:val="nil"/>
              <w:bottom w:val="nil"/>
              <w:right w:val="nil"/>
            </w:tcBorders>
            <w:shd w:val="clear" w:color="auto" w:fill="auto"/>
            <w:noWrap/>
            <w:vAlign w:val="bottom"/>
            <w:hideMark/>
          </w:tcPr>
          <w:p w14:paraId="25F8A510"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849" w:type="pct"/>
            <w:tcBorders>
              <w:top w:val="nil"/>
              <w:left w:val="nil"/>
              <w:bottom w:val="single" w:sz="4" w:space="0" w:color="auto"/>
              <w:right w:val="nil"/>
            </w:tcBorders>
            <w:shd w:val="clear" w:color="auto" w:fill="auto"/>
            <w:noWrap/>
            <w:vAlign w:val="bottom"/>
            <w:hideMark/>
          </w:tcPr>
          <w:p w14:paraId="4EE110BB" w14:textId="77777777" w:rsidR="004449AB" w:rsidRPr="004449AB" w:rsidRDefault="004449AB" w:rsidP="004449AB">
            <w:pPr>
              <w:spacing w:after="0" w:line="240" w:lineRule="auto"/>
              <w:jc w:val="center"/>
              <w:rPr>
                <w:rFonts w:ascii="Arial" w:eastAsia="Times New Roman" w:hAnsi="Arial" w:cs="Arial"/>
                <w:b/>
                <w:bCs/>
                <w:color w:val="000000"/>
                <w:kern w:val="0"/>
                <w:sz w:val="18"/>
                <w:szCs w:val="18"/>
                <w:lang w:eastAsia="pt-BR"/>
                <w14:ligatures w14:val="none"/>
              </w:rPr>
            </w:pPr>
            <w:r w:rsidRPr="004449AB">
              <w:rPr>
                <w:rFonts w:ascii="Arial" w:eastAsia="Times New Roman" w:hAnsi="Arial" w:cs="Arial"/>
                <w:b/>
                <w:bCs/>
                <w:color w:val="000000"/>
                <w:kern w:val="0"/>
                <w:sz w:val="18"/>
                <w:szCs w:val="18"/>
                <w:lang w:eastAsia="pt-BR"/>
                <w14:ligatures w14:val="none"/>
              </w:rPr>
              <w:t>2023</w:t>
            </w:r>
          </w:p>
        </w:tc>
        <w:tc>
          <w:tcPr>
            <w:tcW w:w="97" w:type="pct"/>
            <w:tcBorders>
              <w:top w:val="single" w:sz="4" w:space="0" w:color="auto"/>
              <w:left w:val="nil"/>
              <w:bottom w:val="nil"/>
              <w:right w:val="nil"/>
            </w:tcBorders>
            <w:shd w:val="clear" w:color="auto" w:fill="auto"/>
            <w:noWrap/>
            <w:vAlign w:val="bottom"/>
            <w:hideMark/>
          </w:tcPr>
          <w:p w14:paraId="2B4BBF6F" w14:textId="77777777" w:rsidR="004449AB" w:rsidRPr="004449AB" w:rsidRDefault="004449AB" w:rsidP="004449AB">
            <w:pPr>
              <w:spacing w:after="0" w:line="240" w:lineRule="auto"/>
              <w:jc w:val="center"/>
              <w:rPr>
                <w:rFonts w:ascii="Arial" w:eastAsia="Times New Roman" w:hAnsi="Arial" w:cs="Arial"/>
                <w:b/>
                <w:bCs/>
                <w:color w:val="000000"/>
                <w:kern w:val="0"/>
                <w:sz w:val="18"/>
                <w:szCs w:val="18"/>
                <w:lang w:eastAsia="pt-BR"/>
                <w14:ligatures w14:val="none"/>
              </w:rPr>
            </w:pPr>
            <w:r w:rsidRPr="004449AB">
              <w:rPr>
                <w:rFonts w:ascii="Arial" w:eastAsia="Times New Roman" w:hAnsi="Arial" w:cs="Arial"/>
                <w:b/>
                <w:bCs/>
                <w:color w:val="000000"/>
                <w:kern w:val="0"/>
                <w:sz w:val="18"/>
                <w:szCs w:val="18"/>
                <w:lang w:eastAsia="pt-BR"/>
                <w14:ligatures w14:val="none"/>
              </w:rPr>
              <w:t> </w:t>
            </w:r>
          </w:p>
        </w:tc>
        <w:tc>
          <w:tcPr>
            <w:tcW w:w="849" w:type="pct"/>
            <w:tcBorders>
              <w:top w:val="nil"/>
              <w:left w:val="nil"/>
              <w:bottom w:val="single" w:sz="4" w:space="0" w:color="auto"/>
              <w:right w:val="nil"/>
            </w:tcBorders>
            <w:shd w:val="clear" w:color="auto" w:fill="auto"/>
            <w:vAlign w:val="center"/>
            <w:hideMark/>
          </w:tcPr>
          <w:p w14:paraId="13FBD593" w14:textId="77777777" w:rsidR="004449AB" w:rsidRPr="004449AB" w:rsidRDefault="004449AB" w:rsidP="004449AB">
            <w:pPr>
              <w:spacing w:after="0" w:line="240" w:lineRule="auto"/>
              <w:jc w:val="center"/>
              <w:rPr>
                <w:rFonts w:ascii="Arial" w:eastAsia="Times New Roman" w:hAnsi="Arial" w:cs="Arial"/>
                <w:b/>
                <w:bCs/>
                <w:color w:val="000000"/>
                <w:kern w:val="0"/>
                <w:sz w:val="18"/>
                <w:szCs w:val="18"/>
                <w:lang w:eastAsia="pt-BR"/>
                <w14:ligatures w14:val="none"/>
              </w:rPr>
            </w:pPr>
            <w:proofErr w:type="gramStart"/>
            <w:r w:rsidRPr="004449AB">
              <w:rPr>
                <w:rFonts w:ascii="Arial" w:eastAsia="Times New Roman" w:hAnsi="Arial" w:cs="Arial"/>
                <w:b/>
                <w:bCs/>
                <w:color w:val="000000"/>
                <w:kern w:val="0"/>
                <w:sz w:val="18"/>
                <w:szCs w:val="18"/>
                <w:lang w:eastAsia="pt-BR"/>
                <w14:ligatures w14:val="none"/>
              </w:rPr>
              <w:t>2022  Reapresentado</w:t>
            </w:r>
            <w:proofErr w:type="gramEnd"/>
          </w:p>
        </w:tc>
        <w:tc>
          <w:tcPr>
            <w:tcW w:w="75" w:type="pct"/>
            <w:tcBorders>
              <w:top w:val="nil"/>
              <w:left w:val="nil"/>
              <w:bottom w:val="nil"/>
              <w:right w:val="nil"/>
            </w:tcBorders>
            <w:shd w:val="clear" w:color="auto" w:fill="auto"/>
            <w:noWrap/>
            <w:vAlign w:val="bottom"/>
            <w:hideMark/>
          </w:tcPr>
          <w:p w14:paraId="3F3D307C" w14:textId="77777777" w:rsidR="004449AB" w:rsidRPr="004449AB" w:rsidRDefault="004449AB" w:rsidP="004449AB">
            <w:pPr>
              <w:spacing w:after="0" w:line="240" w:lineRule="auto"/>
              <w:jc w:val="center"/>
              <w:rPr>
                <w:rFonts w:ascii="Arial" w:eastAsia="Times New Roman" w:hAnsi="Arial" w:cs="Arial"/>
                <w:b/>
                <w:bCs/>
                <w:color w:val="000000"/>
                <w:kern w:val="0"/>
                <w:sz w:val="18"/>
                <w:szCs w:val="18"/>
                <w:lang w:eastAsia="pt-BR"/>
                <w14:ligatures w14:val="none"/>
              </w:rPr>
            </w:pPr>
          </w:p>
        </w:tc>
      </w:tr>
      <w:tr w:rsidR="004449AB" w:rsidRPr="004449AB" w14:paraId="4D496939" w14:textId="77777777" w:rsidTr="00075425">
        <w:trPr>
          <w:trHeight w:val="246"/>
        </w:trPr>
        <w:tc>
          <w:tcPr>
            <w:tcW w:w="3054" w:type="pct"/>
            <w:tcBorders>
              <w:top w:val="nil"/>
              <w:left w:val="nil"/>
              <w:bottom w:val="nil"/>
              <w:right w:val="nil"/>
            </w:tcBorders>
            <w:shd w:val="clear" w:color="auto" w:fill="auto"/>
            <w:noWrap/>
            <w:vAlign w:val="bottom"/>
            <w:hideMark/>
          </w:tcPr>
          <w:p w14:paraId="41E74D77" w14:textId="77777777" w:rsidR="004449AB" w:rsidRPr="004449AB" w:rsidRDefault="004449AB" w:rsidP="004449AB">
            <w:pPr>
              <w:spacing w:after="0" w:line="240" w:lineRule="auto"/>
              <w:jc w:val="center"/>
              <w:rPr>
                <w:rFonts w:ascii="Times New Roman" w:eastAsia="Times New Roman" w:hAnsi="Times New Roman" w:cs="Times New Roman"/>
                <w:kern w:val="0"/>
                <w:sz w:val="18"/>
                <w:szCs w:val="18"/>
                <w:lang w:eastAsia="pt-BR"/>
                <w14:ligatures w14:val="none"/>
              </w:rPr>
            </w:pPr>
          </w:p>
        </w:tc>
        <w:tc>
          <w:tcPr>
            <w:tcW w:w="75" w:type="pct"/>
            <w:tcBorders>
              <w:top w:val="nil"/>
              <w:left w:val="nil"/>
              <w:bottom w:val="nil"/>
              <w:right w:val="nil"/>
            </w:tcBorders>
            <w:shd w:val="clear" w:color="auto" w:fill="auto"/>
            <w:noWrap/>
            <w:vAlign w:val="bottom"/>
            <w:hideMark/>
          </w:tcPr>
          <w:p w14:paraId="6193B6C1"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849" w:type="pct"/>
            <w:tcBorders>
              <w:top w:val="nil"/>
              <w:left w:val="nil"/>
              <w:bottom w:val="nil"/>
              <w:right w:val="nil"/>
            </w:tcBorders>
            <w:shd w:val="clear" w:color="auto" w:fill="auto"/>
            <w:noWrap/>
            <w:vAlign w:val="bottom"/>
            <w:hideMark/>
          </w:tcPr>
          <w:p w14:paraId="7AD6F2DC"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97" w:type="pct"/>
            <w:tcBorders>
              <w:top w:val="nil"/>
              <w:left w:val="nil"/>
              <w:bottom w:val="nil"/>
              <w:right w:val="nil"/>
            </w:tcBorders>
            <w:shd w:val="clear" w:color="auto" w:fill="auto"/>
            <w:noWrap/>
            <w:vAlign w:val="bottom"/>
            <w:hideMark/>
          </w:tcPr>
          <w:p w14:paraId="232FDF94"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849" w:type="pct"/>
            <w:tcBorders>
              <w:top w:val="nil"/>
              <w:left w:val="nil"/>
              <w:bottom w:val="nil"/>
              <w:right w:val="nil"/>
            </w:tcBorders>
            <w:shd w:val="clear" w:color="auto" w:fill="auto"/>
            <w:noWrap/>
            <w:vAlign w:val="center"/>
            <w:hideMark/>
          </w:tcPr>
          <w:p w14:paraId="7EA0FBC4"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75" w:type="pct"/>
            <w:tcBorders>
              <w:top w:val="nil"/>
              <w:left w:val="nil"/>
              <w:bottom w:val="nil"/>
              <w:right w:val="nil"/>
            </w:tcBorders>
            <w:shd w:val="clear" w:color="auto" w:fill="auto"/>
            <w:noWrap/>
            <w:vAlign w:val="bottom"/>
            <w:hideMark/>
          </w:tcPr>
          <w:p w14:paraId="00E78797" w14:textId="77777777" w:rsidR="004449AB" w:rsidRPr="004449AB" w:rsidRDefault="004449AB" w:rsidP="004449AB">
            <w:pPr>
              <w:spacing w:after="0" w:line="240" w:lineRule="auto"/>
              <w:jc w:val="center"/>
              <w:rPr>
                <w:rFonts w:ascii="Times New Roman" w:eastAsia="Times New Roman" w:hAnsi="Times New Roman" w:cs="Times New Roman"/>
                <w:kern w:val="0"/>
                <w:sz w:val="18"/>
                <w:szCs w:val="18"/>
                <w:lang w:eastAsia="pt-BR"/>
                <w14:ligatures w14:val="none"/>
              </w:rPr>
            </w:pPr>
          </w:p>
        </w:tc>
      </w:tr>
      <w:tr w:rsidR="004449AB" w:rsidRPr="004449AB" w14:paraId="16136111" w14:textId="77777777" w:rsidTr="00075425">
        <w:trPr>
          <w:trHeight w:val="246"/>
        </w:trPr>
        <w:tc>
          <w:tcPr>
            <w:tcW w:w="3054" w:type="pct"/>
            <w:tcBorders>
              <w:top w:val="nil"/>
              <w:left w:val="nil"/>
              <w:bottom w:val="nil"/>
              <w:right w:val="nil"/>
            </w:tcBorders>
            <w:shd w:val="clear" w:color="auto" w:fill="auto"/>
            <w:noWrap/>
            <w:vAlign w:val="bottom"/>
            <w:hideMark/>
          </w:tcPr>
          <w:p w14:paraId="1456807C"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75" w:type="pct"/>
            <w:tcBorders>
              <w:top w:val="nil"/>
              <w:left w:val="nil"/>
              <w:bottom w:val="nil"/>
              <w:right w:val="nil"/>
            </w:tcBorders>
            <w:shd w:val="clear" w:color="auto" w:fill="auto"/>
            <w:noWrap/>
            <w:vAlign w:val="bottom"/>
            <w:hideMark/>
          </w:tcPr>
          <w:p w14:paraId="558BCCA5"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849" w:type="pct"/>
            <w:tcBorders>
              <w:top w:val="nil"/>
              <w:left w:val="nil"/>
              <w:bottom w:val="nil"/>
              <w:right w:val="nil"/>
            </w:tcBorders>
            <w:shd w:val="clear" w:color="auto" w:fill="auto"/>
            <w:noWrap/>
            <w:vAlign w:val="bottom"/>
            <w:hideMark/>
          </w:tcPr>
          <w:p w14:paraId="6F36A73C"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97" w:type="pct"/>
            <w:tcBorders>
              <w:top w:val="nil"/>
              <w:left w:val="nil"/>
              <w:bottom w:val="nil"/>
              <w:right w:val="nil"/>
            </w:tcBorders>
            <w:shd w:val="clear" w:color="auto" w:fill="auto"/>
            <w:noWrap/>
            <w:vAlign w:val="bottom"/>
            <w:hideMark/>
          </w:tcPr>
          <w:p w14:paraId="1EBAAC13"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849" w:type="pct"/>
            <w:tcBorders>
              <w:top w:val="nil"/>
              <w:left w:val="nil"/>
              <w:bottom w:val="nil"/>
              <w:right w:val="nil"/>
            </w:tcBorders>
            <w:shd w:val="clear" w:color="auto" w:fill="auto"/>
            <w:noWrap/>
            <w:vAlign w:val="bottom"/>
            <w:hideMark/>
          </w:tcPr>
          <w:p w14:paraId="7A68115E"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75" w:type="pct"/>
            <w:tcBorders>
              <w:top w:val="nil"/>
              <w:left w:val="nil"/>
              <w:bottom w:val="nil"/>
              <w:right w:val="nil"/>
            </w:tcBorders>
            <w:shd w:val="clear" w:color="auto" w:fill="auto"/>
            <w:noWrap/>
            <w:vAlign w:val="bottom"/>
            <w:hideMark/>
          </w:tcPr>
          <w:p w14:paraId="056F3365"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r>
      <w:tr w:rsidR="004449AB" w:rsidRPr="004449AB" w14:paraId="5392261B" w14:textId="77777777" w:rsidTr="00075425">
        <w:trPr>
          <w:trHeight w:val="246"/>
        </w:trPr>
        <w:tc>
          <w:tcPr>
            <w:tcW w:w="3054" w:type="pct"/>
            <w:tcBorders>
              <w:top w:val="nil"/>
              <w:left w:val="nil"/>
              <w:bottom w:val="nil"/>
              <w:right w:val="nil"/>
            </w:tcBorders>
            <w:shd w:val="clear" w:color="auto" w:fill="auto"/>
            <w:noWrap/>
            <w:vAlign w:val="bottom"/>
            <w:hideMark/>
          </w:tcPr>
          <w:p w14:paraId="007F8592" w14:textId="77777777" w:rsidR="004449AB" w:rsidRPr="004449AB" w:rsidRDefault="004449AB" w:rsidP="004449AB">
            <w:pPr>
              <w:spacing w:after="0" w:line="240" w:lineRule="auto"/>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Prejuízo do Exercício</w:t>
            </w:r>
          </w:p>
        </w:tc>
        <w:tc>
          <w:tcPr>
            <w:tcW w:w="75" w:type="pct"/>
            <w:tcBorders>
              <w:top w:val="nil"/>
              <w:left w:val="nil"/>
              <w:bottom w:val="nil"/>
              <w:right w:val="nil"/>
            </w:tcBorders>
            <w:shd w:val="clear" w:color="auto" w:fill="auto"/>
            <w:noWrap/>
            <w:vAlign w:val="bottom"/>
            <w:hideMark/>
          </w:tcPr>
          <w:p w14:paraId="3733F4F3" w14:textId="77777777" w:rsidR="004449AB" w:rsidRPr="004449AB" w:rsidRDefault="004449AB" w:rsidP="004449AB">
            <w:pPr>
              <w:spacing w:after="0" w:line="240" w:lineRule="auto"/>
              <w:rPr>
                <w:rFonts w:ascii="Arial" w:eastAsia="Times New Roman" w:hAnsi="Arial" w:cs="Arial"/>
                <w:b/>
                <w:bCs/>
                <w:kern w:val="0"/>
                <w:sz w:val="18"/>
                <w:szCs w:val="18"/>
                <w:lang w:eastAsia="pt-BR"/>
                <w14:ligatures w14:val="none"/>
              </w:rPr>
            </w:pPr>
          </w:p>
        </w:tc>
        <w:tc>
          <w:tcPr>
            <w:tcW w:w="849" w:type="pct"/>
            <w:tcBorders>
              <w:top w:val="nil"/>
              <w:left w:val="nil"/>
              <w:bottom w:val="nil"/>
              <w:right w:val="nil"/>
            </w:tcBorders>
            <w:shd w:val="clear" w:color="auto" w:fill="auto"/>
            <w:noWrap/>
            <w:vAlign w:val="bottom"/>
            <w:hideMark/>
          </w:tcPr>
          <w:p w14:paraId="5F48EFFC"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(127.357)</w:t>
            </w:r>
          </w:p>
        </w:tc>
        <w:tc>
          <w:tcPr>
            <w:tcW w:w="97" w:type="pct"/>
            <w:tcBorders>
              <w:top w:val="nil"/>
              <w:left w:val="nil"/>
              <w:bottom w:val="nil"/>
              <w:right w:val="nil"/>
            </w:tcBorders>
            <w:shd w:val="clear" w:color="auto" w:fill="auto"/>
            <w:noWrap/>
            <w:vAlign w:val="bottom"/>
            <w:hideMark/>
          </w:tcPr>
          <w:p w14:paraId="0C2B7675"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849" w:type="pct"/>
            <w:tcBorders>
              <w:top w:val="nil"/>
              <w:left w:val="nil"/>
              <w:bottom w:val="nil"/>
              <w:right w:val="nil"/>
            </w:tcBorders>
            <w:shd w:val="clear" w:color="auto" w:fill="auto"/>
            <w:noWrap/>
            <w:vAlign w:val="bottom"/>
            <w:hideMark/>
          </w:tcPr>
          <w:p w14:paraId="7A6C2D28"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(168.459)</w:t>
            </w:r>
          </w:p>
        </w:tc>
        <w:tc>
          <w:tcPr>
            <w:tcW w:w="75" w:type="pct"/>
            <w:tcBorders>
              <w:top w:val="nil"/>
              <w:left w:val="nil"/>
              <w:bottom w:val="nil"/>
              <w:right w:val="nil"/>
            </w:tcBorders>
            <w:shd w:val="clear" w:color="auto" w:fill="auto"/>
            <w:noWrap/>
            <w:vAlign w:val="bottom"/>
            <w:hideMark/>
          </w:tcPr>
          <w:p w14:paraId="230D62C0" w14:textId="77777777" w:rsidR="004449AB" w:rsidRPr="004449AB" w:rsidRDefault="004449AB" w:rsidP="004449AB">
            <w:pPr>
              <w:spacing w:after="0" w:line="240" w:lineRule="auto"/>
              <w:rPr>
                <w:rFonts w:ascii="Arial" w:eastAsia="Times New Roman" w:hAnsi="Arial" w:cs="Arial"/>
                <w:b/>
                <w:bCs/>
                <w:kern w:val="0"/>
                <w:sz w:val="18"/>
                <w:szCs w:val="18"/>
                <w:lang w:eastAsia="pt-BR"/>
                <w14:ligatures w14:val="none"/>
              </w:rPr>
            </w:pPr>
          </w:p>
        </w:tc>
      </w:tr>
      <w:tr w:rsidR="004449AB" w:rsidRPr="004449AB" w14:paraId="1348DFCA" w14:textId="77777777" w:rsidTr="00075425">
        <w:trPr>
          <w:trHeight w:val="246"/>
        </w:trPr>
        <w:tc>
          <w:tcPr>
            <w:tcW w:w="3054" w:type="pct"/>
            <w:tcBorders>
              <w:top w:val="nil"/>
              <w:left w:val="nil"/>
              <w:bottom w:val="nil"/>
              <w:right w:val="nil"/>
            </w:tcBorders>
            <w:shd w:val="clear" w:color="auto" w:fill="auto"/>
            <w:noWrap/>
            <w:vAlign w:val="bottom"/>
            <w:hideMark/>
          </w:tcPr>
          <w:p w14:paraId="28CCC927"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75" w:type="pct"/>
            <w:tcBorders>
              <w:top w:val="nil"/>
              <w:left w:val="nil"/>
              <w:bottom w:val="nil"/>
              <w:right w:val="nil"/>
            </w:tcBorders>
            <w:shd w:val="clear" w:color="auto" w:fill="auto"/>
            <w:noWrap/>
            <w:vAlign w:val="bottom"/>
            <w:hideMark/>
          </w:tcPr>
          <w:p w14:paraId="534DB3DC"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849" w:type="pct"/>
            <w:tcBorders>
              <w:top w:val="nil"/>
              <w:left w:val="nil"/>
              <w:bottom w:val="nil"/>
              <w:right w:val="nil"/>
            </w:tcBorders>
            <w:shd w:val="clear" w:color="auto" w:fill="auto"/>
            <w:noWrap/>
            <w:vAlign w:val="bottom"/>
            <w:hideMark/>
          </w:tcPr>
          <w:p w14:paraId="66F9DED4"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97" w:type="pct"/>
            <w:tcBorders>
              <w:top w:val="nil"/>
              <w:left w:val="nil"/>
              <w:bottom w:val="nil"/>
              <w:right w:val="nil"/>
            </w:tcBorders>
            <w:shd w:val="clear" w:color="auto" w:fill="auto"/>
            <w:noWrap/>
            <w:vAlign w:val="bottom"/>
            <w:hideMark/>
          </w:tcPr>
          <w:p w14:paraId="1AE6580A"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849" w:type="pct"/>
            <w:tcBorders>
              <w:top w:val="nil"/>
              <w:left w:val="nil"/>
              <w:bottom w:val="nil"/>
              <w:right w:val="nil"/>
            </w:tcBorders>
            <w:shd w:val="clear" w:color="auto" w:fill="auto"/>
            <w:noWrap/>
            <w:vAlign w:val="bottom"/>
            <w:hideMark/>
          </w:tcPr>
          <w:p w14:paraId="11CC3620"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75" w:type="pct"/>
            <w:tcBorders>
              <w:top w:val="nil"/>
              <w:left w:val="nil"/>
              <w:bottom w:val="nil"/>
              <w:right w:val="nil"/>
            </w:tcBorders>
            <w:shd w:val="clear" w:color="auto" w:fill="auto"/>
            <w:noWrap/>
            <w:vAlign w:val="bottom"/>
            <w:hideMark/>
          </w:tcPr>
          <w:p w14:paraId="62452FD5"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r>
      <w:tr w:rsidR="004449AB" w:rsidRPr="004449AB" w14:paraId="281419F9" w14:textId="77777777" w:rsidTr="00075425">
        <w:trPr>
          <w:trHeight w:val="246"/>
        </w:trPr>
        <w:tc>
          <w:tcPr>
            <w:tcW w:w="3054" w:type="pct"/>
            <w:tcBorders>
              <w:top w:val="nil"/>
              <w:left w:val="nil"/>
              <w:bottom w:val="nil"/>
              <w:right w:val="nil"/>
            </w:tcBorders>
            <w:shd w:val="clear" w:color="auto" w:fill="auto"/>
            <w:noWrap/>
            <w:vAlign w:val="bottom"/>
            <w:hideMark/>
          </w:tcPr>
          <w:p w14:paraId="6DBE00F4" w14:textId="77777777" w:rsidR="004449AB" w:rsidRPr="004449AB" w:rsidRDefault="004449AB" w:rsidP="004449AB">
            <w:pPr>
              <w:spacing w:after="0" w:line="240" w:lineRule="auto"/>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Outros Resultados Abrangentes</w:t>
            </w:r>
          </w:p>
        </w:tc>
        <w:tc>
          <w:tcPr>
            <w:tcW w:w="75" w:type="pct"/>
            <w:tcBorders>
              <w:top w:val="nil"/>
              <w:left w:val="nil"/>
              <w:bottom w:val="nil"/>
              <w:right w:val="nil"/>
            </w:tcBorders>
            <w:shd w:val="clear" w:color="auto" w:fill="auto"/>
            <w:noWrap/>
            <w:vAlign w:val="bottom"/>
            <w:hideMark/>
          </w:tcPr>
          <w:p w14:paraId="2D376FCD" w14:textId="77777777" w:rsidR="004449AB" w:rsidRPr="004449AB" w:rsidRDefault="004449AB" w:rsidP="004449AB">
            <w:pPr>
              <w:spacing w:after="0" w:line="240" w:lineRule="auto"/>
              <w:rPr>
                <w:rFonts w:ascii="Arial" w:eastAsia="Times New Roman" w:hAnsi="Arial" w:cs="Arial"/>
                <w:b/>
                <w:bCs/>
                <w:kern w:val="0"/>
                <w:sz w:val="18"/>
                <w:szCs w:val="18"/>
                <w:lang w:eastAsia="pt-BR"/>
                <w14:ligatures w14:val="none"/>
              </w:rPr>
            </w:pPr>
          </w:p>
        </w:tc>
        <w:tc>
          <w:tcPr>
            <w:tcW w:w="849" w:type="pct"/>
            <w:tcBorders>
              <w:top w:val="nil"/>
              <w:left w:val="nil"/>
              <w:bottom w:val="nil"/>
              <w:right w:val="nil"/>
            </w:tcBorders>
            <w:shd w:val="clear" w:color="auto" w:fill="auto"/>
            <w:noWrap/>
            <w:vAlign w:val="bottom"/>
            <w:hideMark/>
          </w:tcPr>
          <w:p w14:paraId="42C8D953"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(2.095)</w:t>
            </w:r>
          </w:p>
        </w:tc>
        <w:tc>
          <w:tcPr>
            <w:tcW w:w="97" w:type="pct"/>
            <w:tcBorders>
              <w:top w:val="nil"/>
              <w:left w:val="nil"/>
              <w:bottom w:val="nil"/>
              <w:right w:val="nil"/>
            </w:tcBorders>
            <w:shd w:val="clear" w:color="auto" w:fill="auto"/>
            <w:noWrap/>
            <w:vAlign w:val="bottom"/>
            <w:hideMark/>
          </w:tcPr>
          <w:p w14:paraId="2E46146E"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849" w:type="pct"/>
            <w:tcBorders>
              <w:top w:val="nil"/>
              <w:left w:val="nil"/>
              <w:bottom w:val="nil"/>
              <w:right w:val="nil"/>
            </w:tcBorders>
            <w:shd w:val="clear" w:color="auto" w:fill="auto"/>
            <w:noWrap/>
            <w:vAlign w:val="bottom"/>
            <w:hideMark/>
          </w:tcPr>
          <w:p w14:paraId="518A7A2E"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(6.807)</w:t>
            </w:r>
          </w:p>
        </w:tc>
        <w:tc>
          <w:tcPr>
            <w:tcW w:w="75" w:type="pct"/>
            <w:tcBorders>
              <w:top w:val="nil"/>
              <w:left w:val="nil"/>
              <w:bottom w:val="nil"/>
              <w:right w:val="nil"/>
            </w:tcBorders>
            <w:shd w:val="clear" w:color="auto" w:fill="auto"/>
            <w:noWrap/>
            <w:vAlign w:val="bottom"/>
            <w:hideMark/>
          </w:tcPr>
          <w:p w14:paraId="487E15B8" w14:textId="77777777" w:rsidR="004449AB" w:rsidRPr="004449AB" w:rsidRDefault="004449AB" w:rsidP="004449AB">
            <w:pPr>
              <w:spacing w:after="0" w:line="240" w:lineRule="auto"/>
              <w:rPr>
                <w:rFonts w:ascii="Arial" w:eastAsia="Times New Roman" w:hAnsi="Arial" w:cs="Arial"/>
                <w:b/>
                <w:bCs/>
                <w:kern w:val="0"/>
                <w:sz w:val="18"/>
                <w:szCs w:val="18"/>
                <w:lang w:eastAsia="pt-BR"/>
                <w14:ligatures w14:val="none"/>
              </w:rPr>
            </w:pPr>
          </w:p>
        </w:tc>
      </w:tr>
      <w:tr w:rsidR="004449AB" w:rsidRPr="004449AB" w14:paraId="48591526" w14:textId="77777777" w:rsidTr="00075425">
        <w:trPr>
          <w:trHeight w:val="246"/>
        </w:trPr>
        <w:tc>
          <w:tcPr>
            <w:tcW w:w="3054" w:type="pct"/>
            <w:tcBorders>
              <w:top w:val="nil"/>
              <w:left w:val="nil"/>
              <w:bottom w:val="nil"/>
              <w:right w:val="nil"/>
            </w:tcBorders>
            <w:shd w:val="clear" w:color="auto" w:fill="auto"/>
            <w:noWrap/>
            <w:vAlign w:val="bottom"/>
            <w:hideMark/>
          </w:tcPr>
          <w:p w14:paraId="26352F0A"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75" w:type="pct"/>
            <w:tcBorders>
              <w:top w:val="nil"/>
              <w:left w:val="nil"/>
              <w:bottom w:val="nil"/>
              <w:right w:val="nil"/>
            </w:tcBorders>
            <w:shd w:val="clear" w:color="auto" w:fill="auto"/>
            <w:noWrap/>
            <w:vAlign w:val="bottom"/>
            <w:hideMark/>
          </w:tcPr>
          <w:p w14:paraId="615A5458"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849" w:type="pct"/>
            <w:tcBorders>
              <w:top w:val="nil"/>
              <w:left w:val="nil"/>
              <w:bottom w:val="nil"/>
              <w:right w:val="nil"/>
            </w:tcBorders>
            <w:shd w:val="clear" w:color="auto" w:fill="auto"/>
            <w:noWrap/>
            <w:vAlign w:val="bottom"/>
            <w:hideMark/>
          </w:tcPr>
          <w:p w14:paraId="61629945"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97" w:type="pct"/>
            <w:tcBorders>
              <w:top w:val="nil"/>
              <w:left w:val="nil"/>
              <w:bottom w:val="nil"/>
              <w:right w:val="nil"/>
            </w:tcBorders>
            <w:shd w:val="clear" w:color="auto" w:fill="auto"/>
            <w:noWrap/>
            <w:vAlign w:val="bottom"/>
            <w:hideMark/>
          </w:tcPr>
          <w:p w14:paraId="1E9EDC16"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849" w:type="pct"/>
            <w:tcBorders>
              <w:top w:val="nil"/>
              <w:left w:val="nil"/>
              <w:bottom w:val="nil"/>
              <w:right w:val="nil"/>
            </w:tcBorders>
            <w:shd w:val="clear" w:color="auto" w:fill="auto"/>
            <w:noWrap/>
            <w:vAlign w:val="bottom"/>
            <w:hideMark/>
          </w:tcPr>
          <w:p w14:paraId="4F6E00AC"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75" w:type="pct"/>
            <w:tcBorders>
              <w:top w:val="nil"/>
              <w:left w:val="nil"/>
              <w:bottom w:val="nil"/>
              <w:right w:val="nil"/>
            </w:tcBorders>
            <w:shd w:val="clear" w:color="auto" w:fill="auto"/>
            <w:noWrap/>
            <w:vAlign w:val="bottom"/>
            <w:hideMark/>
          </w:tcPr>
          <w:p w14:paraId="4A1CA7AB"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r>
      <w:tr w:rsidR="004449AB" w:rsidRPr="004449AB" w14:paraId="5208E903" w14:textId="77777777" w:rsidTr="00075425">
        <w:trPr>
          <w:trHeight w:val="246"/>
        </w:trPr>
        <w:tc>
          <w:tcPr>
            <w:tcW w:w="3054" w:type="pct"/>
            <w:tcBorders>
              <w:top w:val="nil"/>
              <w:left w:val="nil"/>
              <w:bottom w:val="nil"/>
              <w:right w:val="nil"/>
            </w:tcBorders>
            <w:shd w:val="clear" w:color="auto" w:fill="auto"/>
            <w:noWrap/>
            <w:vAlign w:val="bottom"/>
            <w:hideMark/>
          </w:tcPr>
          <w:p w14:paraId="1C8D3E54" w14:textId="77777777" w:rsidR="004449AB" w:rsidRPr="004449AB" w:rsidRDefault="004449AB" w:rsidP="004449AB">
            <w:pPr>
              <w:spacing w:after="0" w:line="240" w:lineRule="auto"/>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Itens que poderão ser </w:t>
            </w:r>
            <w:proofErr w:type="gramStart"/>
            <w:r w:rsidRPr="004449AB">
              <w:rPr>
                <w:rFonts w:ascii="Arial" w:eastAsia="Times New Roman" w:hAnsi="Arial" w:cs="Arial"/>
                <w:b/>
                <w:bCs/>
                <w:kern w:val="0"/>
                <w:sz w:val="18"/>
                <w:szCs w:val="18"/>
                <w:lang w:eastAsia="pt-BR"/>
                <w14:ligatures w14:val="none"/>
              </w:rPr>
              <w:t>Reclassificados  para</w:t>
            </w:r>
            <w:proofErr w:type="gramEnd"/>
            <w:r w:rsidRPr="004449AB">
              <w:rPr>
                <w:rFonts w:ascii="Arial" w:eastAsia="Times New Roman" w:hAnsi="Arial" w:cs="Arial"/>
                <w:b/>
                <w:bCs/>
                <w:kern w:val="0"/>
                <w:sz w:val="18"/>
                <w:szCs w:val="18"/>
                <w:lang w:eastAsia="pt-BR"/>
                <w14:ligatures w14:val="none"/>
              </w:rPr>
              <w:t xml:space="preserve"> o Resultado:</w:t>
            </w:r>
          </w:p>
        </w:tc>
        <w:tc>
          <w:tcPr>
            <w:tcW w:w="75" w:type="pct"/>
            <w:tcBorders>
              <w:top w:val="nil"/>
              <w:left w:val="nil"/>
              <w:bottom w:val="nil"/>
              <w:right w:val="nil"/>
            </w:tcBorders>
            <w:shd w:val="clear" w:color="auto" w:fill="auto"/>
            <w:noWrap/>
            <w:vAlign w:val="bottom"/>
            <w:hideMark/>
          </w:tcPr>
          <w:p w14:paraId="719CE917" w14:textId="77777777" w:rsidR="004449AB" w:rsidRPr="004449AB" w:rsidRDefault="004449AB" w:rsidP="004449AB">
            <w:pPr>
              <w:spacing w:after="0" w:line="240" w:lineRule="auto"/>
              <w:rPr>
                <w:rFonts w:ascii="Arial" w:eastAsia="Times New Roman" w:hAnsi="Arial" w:cs="Arial"/>
                <w:b/>
                <w:bCs/>
                <w:kern w:val="0"/>
                <w:sz w:val="18"/>
                <w:szCs w:val="18"/>
                <w:lang w:eastAsia="pt-BR"/>
                <w14:ligatures w14:val="none"/>
              </w:rPr>
            </w:pPr>
          </w:p>
        </w:tc>
        <w:tc>
          <w:tcPr>
            <w:tcW w:w="849" w:type="pct"/>
            <w:tcBorders>
              <w:top w:val="nil"/>
              <w:left w:val="nil"/>
              <w:bottom w:val="nil"/>
              <w:right w:val="nil"/>
            </w:tcBorders>
            <w:shd w:val="clear" w:color="auto" w:fill="auto"/>
            <w:noWrap/>
            <w:vAlign w:val="bottom"/>
            <w:hideMark/>
          </w:tcPr>
          <w:p w14:paraId="2BA7099F"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(2.857)</w:t>
            </w:r>
          </w:p>
        </w:tc>
        <w:tc>
          <w:tcPr>
            <w:tcW w:w="97" w:type="pct"/>
            <w:tcBorders>
              <w:top w:val="nil"/>
              <w:left w:val="nil"/>
              <w:bottom w:val="nil"/>
              <w:right w:val="nil"/>
            </w:tcBorders>
            <w:shd w:val="clear" w:color="auto" w:fill="auto"/>
            <w:noWrap/>
            <w:vAlign w:val="bottom"/>
            <w:hideMark/>
          </w:tcPr>
          <w:p w14:paraId="4228F2C0"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849" w:type="pct"/>
            <w:tcBorders>
              <w:top w:val="nil"/>
              <w:left w:val="nil"/>
              <w:bottom w:val="nil"/>
              <w:right w:val="nil"/>
            </w:tcBorders>
            <w:shd w:val="clear" w:color="auto" w:fill="auto"/>
            <w:noWrap/>
            <w:vAlign w:val="bottom"/>
            <w:hideMark/>
          </w:tcPr>
          <w:p w14:paraId="37F58F5C"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(6.457)</w:t>
            </w:r>
          </w:p>
        </w:tc>
        <w:tc>
          <w:tcPr>
            <w:tcW w:w="75" w:type="pct"/>
            <w:tcBorders>
              <w:top w:val="nil"/>
              <w:left w:val="nil"/>
              <w:bottom w:val="nil"/>
              <w:right w:val="nil"/>
            </w:tcBorders>
            <w:shd w:val="clear" w:color="auto" w:fill="auto"/>
            <w:noWrap/>
            <w:vAlign w:val="bottom"/>
            <w:hideMark/>
          </w:tcPr>
          <w:p w14:paraId="62898D91" w14:textId="77777777" w:rsidR="004449AB" w:rsidRPr="004449AB" w:rsidRDefault="004449AB" w:rsidP="004449AB">
            <w:pPr>
              <w:spacing w:after="0" w:line="240" w:lineRule="auto"/>
              <w:rPr>
                <w:rFonts w:ascii="Arial" w:eastAsia="Times New Roman" w:hAnsi="Arial" w:cs="Arial"/>
                <w:b/>
                <w:bCs/>
                <w:kern w:val="0"/>
                <w:sz w:val="18"/>
                <w:szCs w:val="18"/>
                <w:lang w:eastAsia="pt-BR"/>
                <w14:ligatures w14:val="none"/>
              </w:rPr>
            </w:pPr>
          </w:p>
        </w:tc>
      </w:tr>
      <w:tr w:rsidR="004449AB" w:rsidRPr="004449AB" w14:paraId="4D908BE2" w14:textId="77777777" w:rsidTr="00075425">
        <w:trPr>
          <w:trHeight w:val="246"/>
        </w:trPr>
        <w:tc>
          <w:tcPr>
            <w:tcW w:w="3054" w:type="pct"/>
            <w:tcBorders>
              <w:top w:val="nil"/>
              <w:left w:val="nil"/>
              <w:bottom w:val="nil"/>
              <w:right w:val="nil"/>
            </w:tcBorders>
            <w:shd w:val="clear" w:color="auto" w:fill="auto"/>
            <w:vAlign w:val="center"/>
            <w:hideMark/>
          </w:tcPr>
          <w:p w14:paraId="3AE0032A" w14:textId="77777777" w:rsidR="004449AB" w:rsidRPr="004449AB" w:rsidRDefault="004449AB" w:rsidP="004449AB">
            <w:pPr>
              <w:spacing w:after="0" w:line="240" w:lineRule="auto"/>
              <w:ind w:firstLineChars="100" w:firstLine="180"/>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Equivalência patrimonial sobre Outros Resultados Abrangentes em Coligadas</w:t>
            </w:r>
          </w:p>
        </w:tc>
        <w:tc>
          <w:tcPr>
            <w:tcW w:w="75" w:type="pct"/>
            <w:tcBorders>
              <w:top w:val="nil"/>
              <w:left w:val="nil"/>
              <w:bottom w:val="nil"/>
              <w:right w:val="nil"/>
            </w:tcBorders>
            <w:shd w:val="clear" w:color="auto" w:fill="auto"/>
            <w:noWrap/>
            <w:vAlign w:val="bottom"/>
            <w:hideMark/>
          </w:tcPr>
          <w:p w14:paraId="3EE62B63" w14:textId="77777777" w:rsidR="004449AB" w:rsidRPr="004449AB" w:rsidRDefault="004449AB" w:rsidP="004449AB">
            <w:pPr>
              <w:spacing w:after="0" w:line="240" w:lineRule="auto"/>
              <w:ind w:firstLineChars="100" w:firstLine="180"/>
              <w:rPr>
                <w:rFonts w:ascii="Arial" w:eastAsia="Times New Roman" w:hAnsi="Arial" w:cs="Arial"/>
                <w:kern w:val="0"/>
                <w:sz w:val="18"/>
                <w:szCs w:val="18"/>
                <w:lang w:eastAsia="pt-BR"/>
                <w14:ligatures w14:val="none"/>
              </w:rPr>
            </w:pPr>
          </w:p>
        </w:tc>
        <w:tc>
          <w:tcPr>
            <w:tcW w:w="849" w:type="pct"/>
            <w:tcBorders>
              <w:top w:val="nil"/>
              <w:left w:val="nil"/>
              <w:bottom w:val="nil"/>
              <w:right w:val="nil"/>
            </w:tcBorders>
            <w:shd w:val="clear" w:color="auto" w:fill="auto"/>
            <w:noWrap/>
            <w:vAlign w:val="bottom"/>
            <w:hideMark/>
          </w:tcPr>
          <w:p w14:paraId="1F1B5999" w14:textId="77777777" w:rsidR="004449AB" w:rsidRPr="004449AB" w:rsidRDefault="004449AB" w:rsidP="004449AB">
            <w:pPr>
              <w:spacing w:after="0" w:line="240" w:lineRule="auto"/>
              <w:jc w:val="right"/>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 xml:space="preserve">                   (2.857)</w:t>
            </w:r>
          </w:p>
        </w:tc>
        <w:tc>
          <w:tcPr>
            <w:tcW w:w="97" w:type="pct"/>
            <w:tcBorders>
              <w:top w:val="nil"/>
              <w:left w:val="nil"/>
              <w:bottom w:val="nil"/>
              <w:right w:val="nil"/>
            </w:tcBorders>
            <w:shd w:val="clear" w:color="auto" w:fill="auto"/>
            <w:noWrap/>
            <w:vAlign w:val="bottom"/>
            <w:hideMark/>
          </w:tcPr>
          <w:p w14:paraId="7748F3E2" w14:textId="77777777" w:rsidR="004449AB" w:rsidRPr="004449AB" w:rsidRDefault="004449AB" w:rsidP="004449AB">
            <w:pPr>
              <w:spacing w:after="0" w:line="240" w:lineRule="auto"/>
              <w:jc w:val="right"/>
              <w:rPr>
                <w:rFonts w:ascii="Arial" w:eastAsia="Times New Roman" w:hAnsi="Arial" w:cs="Arial"/>
                <w:kern w:val="0"/>
                <w:sz w:val="18"/>
                <w:szCs w:val="18"/>
                <w:lang w:eastAsia="pt-BR"/>
                <w14:ligatures w14:val="none"/>
              </w:rPr>
            </w:pPr>
          </w:p>
        </w:tc>
        <w:tc>
          <w:tcPr>
            <w:tcW w:w="849" w:type="pct"/>
            <w:tcBorders>
              <w:top w:val="nil"/>
              <w:left w:val="nil"/>
              <w:bottom w:val="nil"/>
              <w:right w:val="nil"/>
            </w:tcBorders>
            <w:shd w:val="clear" w:color="auto" w:fill="auto"/>
            <w:noWrap/>
            <w:vAlign w:val="bottom"/>
            <w:hideMark/>
          </w:tcPr>
          <w:p w14:paraId="44C112DF" w14:textId="77777777" w:rsidR="004449AB" w:rsidRPr="004449AB" w:rsidRDefault="004449AB" w:rsidP="004449AB">
            <w:pPr>
              <w:spacing w:after="0" w:line="240" w:lineRule="auto"/>
              <w:jc w:val="right"/>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 xml:space="preserve">                   (6.457)</w:t>
            </w:r>
          </w:p>
        </w:tc>
        <w:tc>
          <w:tcPr>
            <w:tcW w:w="75" w:type="pct"/>
            <w:tcBorders>
              <w:top w:val="nil"/>
              <w:left w:val="nil"/>
              <w:bottom w:val="nil"/>
              <w:right w:val="nil"/>
            </w:tcBorders>
            <w:shd w:val="clear" w:color="auto" w:fill="auto"/>
            <w:noWrap/>
            <w:vAlign w:val="bottom"/>
            <w:hideMark/>
          </w:tcPr>
          <w:p w14:paraId="3DFDD2E6" w14:textId="77777777" w:rsidR="004449AB" w:rsidRPr="004449AB" w:rsidRDefault="004449AB" w:rsidP="004449AB">
            <w:pPr>
              <w:spacing w:after="0" w:line="240" w:lineRule="auto"/>
              <w:rPr>
                <w:rFonts w:ascii="Arial" w:eastAsia="Times New Roman" w:hAnsi="Arial" w:cs="Arial"/>
                <w:kern w:val="0"/>
                <w:sz w:val="18"/>
                <w:szCs w:val="18"/>
                <w:lang w:eastAsia="pt-BR"/>
                <w14:ligatures w14:val="none"/>
              </w:rPr>
            </w:pPr>
          </w:p>
        </w:tc>
      </w:tr>
      <w:tr w:rsidR="004449AB" w:rsidRPr="004449AB" w14:paraId="0494449D" w14:textId="77777777" w:rsidTr="00075425">
        <w:trPr>
          <w:trHeight w:val="246"/>
        </w:trPr>
        <w:tc>
          <w:tcPr>
            <w:tcW w:w="3054" w:type="pct"/>
            <w:tcBorders>
              <w:top w:val="nil"/>
              <w:left w:val="nil"/>
              <w:bottom w:val="nil"/>
              <w:right w:val="nil"/>
            </w:tcBorders>
            <w:shd w:val="clear" w:color="auto" w:fill="auto"/>
            <w:vAlign w:val="center"/>
            <w:hideMark/>
          </w:tcPr>
          <w:p w14:paraId="3D533E22"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75" w:type="pct"/>
            <w:tcBorders>
              <w:top w:val="nil"/>
              <w:left w:val="nil"/>
              <w:bottom w:val="nil"/>
              <w:right w:val="nil"/>
            </w:tcBorders>
            <w:shd w:val="clear" w:color="auto" w:fill="auto"/>
            <w:noWrap/>
            <w:vAlign w:val="bottom"/>
            <w:hideMark/>
          </w:tcPr>
          <w:p w14:paraId="3D8380CF"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849" w:type="pct"/>
            <w:tcBorders>
              <w:top w:val="nil"/>
              <w:left w:val="nil"/>
              <w:bottom w:val="nil"/>
              <w:right w:val="nil"/>
            </w:tcBorders>
            <w:shd w:val="clear" w:color="auto" w:fill="auto"/>
            <w:noWrap/>
            <w:vAlign w:val="bottom"/>
            <w:hideMark/>
          </w:tcPr>
          <w:p w14:paraId="78F15299"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97" w:type="pct"/>
            <w:tcBorders>
              <w:top w:val="nil"/>
              <w:left w:val="nil"/>
              <w:bottom w:val="nil"/>
              <w:right w:val="nil"/>
            </w:tcBorders>
            <w:shd w:val="clear" w:color="auto" w:fill="auto"/>
            <w:noWrap/>
            <w:vAlign w:val="bottom"/>
            <w:hideMark/>
          </w:tcPr>
          <w:p w14:paraId="5CFAA9C5"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849" w:type="pct"/>
            <w:tcBorders>
              <w:top w:val="nil"/>
              <w:left w:val="nil"/>
              <w:bottom w:val="nil"/>
              <w:right w:val="nil"/>
            </w:tcBorders>
            <w:shd w:val="clear" w:color="auto" w:fill="auto"/>
            <w:noWrap/>
            <w:vAlign w:val="bottom"/>
            <w:hideMark/>
          </w:tcPr>
          <w:p w14:paraId="174FE3E1"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75" w:type="pct"/>
            <w:tcBorders>
              <w:top w:val="nil"/>
              <w:left w:val="nil"/>
              <w:bottom w:val="nil"/>
              <w:right w:val="nil"/>
            </w:tcBorders>
            <w:shd w:val="clear" w:color="auto" w:fill="auto"/>
            <w:noWrap/>
            <w:vAlign w:val="bottom"/>
            <w:hideMark/>
          </w:tcPr>
          <w:p w14:paraId="6EE5E522"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r>
      <w:tr w:rsidR="004449AB" w:rsidRPr="004449AB" w14:paraId="22D73349" w14:textId="77777777" w:rsidTr="00075425">
        <w:trPr>
          <w:trHeight w:val="246"/>
        </w:trPr>
        <w:tc>
          <w:tcPr>
            <w:tcW w:w="3054" w:type="pct"/>
            <w:tcBorders>
              <w:top w:val="nil"/>
              <w:left w:val="nil"/>
              <w:bottom w:val="nil"/>
              <w:right w:val="nil"/>
            </w:tcBorders>
            <w:shd w:val="clear" w:color="auto" w:fill="auto"/>
            <w:noWrap/>
            <w:vAlign w:val="bottom"/>
            <w:hideMark/>
          </w:tcPr>
          <w:p w14:paraId="4718E6DE" w14:textId="77777777" w:rsidR="004449AB" w:rsidRPr="004449AB" w:rsidRDefault="004449AB" w:rsidP="004449AB">
            <w:pPr>
              <w:spacing w:after="0" w:line="240" w:lineRule="auto"/>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Itens que não serão </w:t>
            </w:r>
            <w:proofErr w:type="gramStart"/>
            <w:r w:rsidRPr="004449AB">
              <w:rPr>
                <w:rFonts w:ascii="Arial" w:eastAsia="Times New Roman" w:hAnsi="Arial" w:cs="Arial"/>
                <w:b/>
                <w:bCs/>
                <w:kern w:val="0"/>
                <w:sz w:val="18"/>
                <w:szCs w:val="18"/>
                <w:lang w:eastAsia="pt-BR"/>
                <w14:ligatures w14:val="none"/>
              </w:rPr>
              <w:t>Reclassificados  para</w:t>
            </w:r>
            <w:proofErr w:type="gramEnd"/>
            <w:r w:rsidRPr="004449AB">
              <w:rPr>
                <w:rFonts w:ascii="Arial" w:eastAsia="Times New Roman" w:hAnsi="Arial" w:cs="Arial"/>
                <w:b/>
                <w:bCs/>
                <w:kern w:val="0"/>
                <w:sz w:val="18"/>
                <w:szCs w:val="18"/>
                <w:lang w:eastAsia="pt-BR"/>
                <w14:ligatures w14:val="none"/>
              </w:rPr>
              <w:t xml:space="preserve"> o Resultado:</w:t>
            </w:r>
          </w:p>
        </w:tc>
        <w:tc>
          <w:tcPr>
            <w:tcW w:w="75" w:type="pct"/>
            <w:tcBorders>
              <w:top w:val="nil"/>
              <w:left w:val="nil"/>
              <w:bottom w:val="nil"/>
              <w:right w:val="nil"/>
            </w:tcBorders>
            <w:shd w:val="clear" w:color="auto" w:fill="auto"/>
            <w:noWrap/>
            <w:vAlign w:val="bottom"/>
            <w:hideMark/>
          </w:tcPr>
          <w:p w14:paraId="215DB675" w14:textId="77777777" w:rsidR="004449AB" w:rsidRPr="004449AB" w:rsidRDefault="004449AB" w:rsidP="004449AB">
            <w:pPr>
              <w:spacing w:after="0" w:line="240" w:lineRule="auto"/>
              <w:rPr>
                <w:rFonts w:ascii="Arial" w:eastAsia="Times New Roman" w:hAnsi="Arial" w:cs="Arial"/>
                <w:b/>
                <w:bCs/>
                <w:kern w:val="0"/>
                <w:sz w:val="18"/>
                <w:szCs w:val="18"/>
                <w:lang w:eastAsia="pt-BR"/>
                <w14:ligatures w14:val="none"/>
              </w:rPr>
            </w:pPr>
          </w:p>
        </w:tc>
        <w:tc>
          <w:tcPr>
            <w:tcW w:w="849" w:type="pct"/>
            <w:tcBorders>
              <w:top w:val="nil"/>
              <w:left w:val="nil"/>
              <w:bottom w:val="nil"/>
              <w:right w:val="nil"/>
            </w:tcBorders>
            <w:shd w:val="clear" w:color="auto" w:fill="auto"/>
            <w:noWrap/>
            <w:vAlign w:val="bottom"/>
            <w:hideMark/>
          </w:tcPr>
          <w:p w14:paraId="232D57E2"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762 </w:t>
            </w:r>
          </w:p>
        </w:tc>
        <w:tc>
          <w:tcPr>
            <w:tcW w:w="97" w:type="pct"/>
            <w:tcBorders>
              <w:top w:val="nil"/>
              <w:left w:val="nil"/>
              <w:bottom w:val="nil"/>
              <w:right w:val="nil"/>
            </w:tcBorders>
            <w:shd w:val="clear" w:color="auto" w:fill="auto"/>
            <w:noWrap/>
            <w:vAlign w:val="bottom"/>
            <w:hideMark/>
          </w:tcPr>
          <w:p w14:paraId="1D91477B"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849" w:type="pct"/>
            <w:tcBorders>
              <w:top w:val="nil"/>
              <w:left w:val="nil"/>
              <w:bottom w:val="nil"/>
              <w:right w:val="nil"/>
            </w:tcBorders>
            <w:shd w:val="clear" w:color="auto" w:fill="auto"/>
            <w:noWrap/>
            <w:vAlign w:val="bottom"/>
            <w:hideMark/>
          </w:tcPr>
          <w:p w14:paraId="696FED02"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(350)</w:t>
            </w:r>
          </w:p>
        </w:tc>
        <w:tc>
          <w:tcPr>
            <w:tcW w:w="75" w:type="pct"/>
            <w:tcBorders>
              <w:top w:val="nil"/>
              <w:left w:val="nil"/>
              <w:bottom w:val="nil"/>
              <w:right w:val="nil"/>
            </w:tcBorders>
            <w:shd w:val="clear" w:color="auto" w:fill="auto"/>
            <w:noWrap/>
            <w:vAlign w:val="bottom"/>
            <w:hideMark/>
          </w:tcPr>
          <w:p w14:paraId="05E44FD4" w14:textId="77777777" w:rsidR="004449AB" w:rsidRPr="004449AB" w:rsidRDefault="004449AB" w:rsidP="004449AB">
            <w:pPr>
              <w:spacing w:after="0" w:line="240" w:lineRule="auto"/>
              <w:rPr>
                <w:rFonts w:ascii="Arial" w:eastAsia="Times New Roman" w:hAnsi="Arial" w:cs="Arial"/>
                <w:b/>
                <w:bCs/>
                <w:kern w:val="0"/>
                <w:sz w:val="18"/>
                <w:szCs w:val="18"/>
                <w:lang w:eastAsia="pt-BR"/>
                <w14:ligatures w14:val="none"/>
              </w:rPr>
            </w:pPr>
          </w:p>
        </w:tc>
      </w:tr>
      <w:tr w:rsidR="004449AB" w:rsidRPr="004449AB" w14:paraId="0760E0C0" w14:textId="77777777" w:rsidTr="00075425">
        <w:trPr>
          <w:trHeight w:val="246"/>
        </w:trPr>
        <w:tc>
          <w:tcPr>
            <w:tcW w:w="3054" w:type="pct"/>
            <w:tcBorders>
              <w:top w:val="nil"/>
              <w:left w:val="nil"/>
              <w:bottom w:val="nil"/>
              <w:right w:val="nil"/>
            </w:tcBorders>
            <w:shd w:val="clear" w:color="auto" w:fill="auto"/>
            <w:vAlign w:val="center"/>
            <w:hideMark/>
          </w:tcPr>
          <w:p w14:paraId="34D744FF" w14:textId="77777777" w:rsidR="004449AB" w:rsidRPr="004449AB" w:rsidRDefault="004449AB" w:rsidP="004449AB">
            <w:pPr>
              <w:spacing w:after="0" w:line="240" w:lineRule="auto"/>
              <w:ind w:firstLineChars="100" w:firstLine="180"/>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Ganho/(Perda) com Instrumentos Financeiros - VJORA</w:t>
            </w:r>
          </w:p>
        </w:tc>
        <w:tc>
          <w:tcPr>
            <w:tcW w:w="75" w:type="pct"/>
            <w:tcBorders>
              <w:top w:val="nil"/>
              <w:left w:val="nil"/>
              <w:bottom w:val="nil"/>
              <w:right w:val="nil"/>
            </w:tcBorders>
            <w:shd w:val="clear" w:color="auto" w:fill="auto"/>
            <w:noWrap/>
            <w:vAlign w:val="bottom"/>
            <w:hideMark/>
          </w:tcPr>
          <w:p w14:paraId="417EBD6F" w14:textId="77777777" w:rsidR="004449AB" w:rsidRPr="004449AB" w:rsidRDefault="004449AB" w:rsidP="004449AB">
            <w:pPr>
              <w:spacing w:after="0" w:line="240" w:lineRule="auto"/>
              <w:ind w:firstLineChars="100" w:firstLine="180"/>
              <w:rPr>
                <w:rFonts w:ascii="Arial" w:eastAsia="Times New Roman" w:hAnsi="Arial" w:cs="Arial"/>
                <w:kern w:val="0"/>
                <w:sz w:val="18"/>
                <w:szCs w:val="18"/>
                <w:lang w:eastAsia="pt-BR"/>
                <w14:ligatures w14:val="none"/>
              </w:rPr>
            </w:pPr>
          </w:p>
        </w:tc>
        <w:tc>
          <w:tcPr>
            <w:tcW w:w="849" w:type="pct"/>
            <w:tcBorders>
              <w:top w:val="nil"/>
              <w:left w:val="nil"/>
              <w:bottom w:val="nil"/>
              <w:right w:val="nil"/>
            </w:tcBorders>
            <w:shd w:val="clear" w:color="auto" w:fill="auto"/>
            <w:noWrap/>
            <w:vAlign w:val="bottom"/>
            <w:hideMark/>
          </w:tcPr>
          <w:p w14:paraId="36361A26" w14:textId="77777777" w:rsidR="004449AB" w:rsidRPr="004449AB" w:rsidRDefault="004449AB" w:rsidP="004449AB">
            <w:pPr>
              <w:spacing w:after="0" w:line="240" w:lineRule="auto"/>
              <w:jc w:val="right"/>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 xml:space="preserve">                       762 </w:t>
            </w:r>
          </w:p>
        </w:tc>
        <w:tc>
          <w:tcPr>
            <w:tcW w:w="97" w:type="pct"/>
            <w:tcBorders>
              <w:top w:val="nil"/>
              <w:left w:val="nil"/>
              <w:bottom w:val="nil"/>
              <w:right w:val="nil"/>
            </w:tcBorders>
            <w:shd w:val="clear" w:color="auto" w:fill="auto"/>
            <w:noWrap/>
            <w:vAlign w:val="bottom"/>
            <w:hideMark/>
          </w:tcPr>
          <w:p w14:paraId="549600F1" w14:textId="77777777" w:rsidR="004449AB" w:rsidRPr="004449AB" w:rsidRDefault="004449AB" w:rsidP="004449AB">
            <w:pPr>
              <w:spacing w:after="0" w:line="240" w:lineRule="auto"/>
              <w:jc w:val="right"/>
              <w:rPr>
                <w:rFonts w:ascii="Arial" w:eastAsia="Times New Roman" w:hAnsi="Arial" w:cs="Arial"/>
                <w:kern w:val="0"/>
                <w:sz w:val="18"/>
                <w:szCs w:val="18"/>
                <w:lang w:eastAsia="pt-BR"/>
                <w14:ligatures w14:val="none"/>
              </w:rPr>
            </w:pPr>
          </w:p>
        </w:tc>
        <w:tc>
          <w:tcPr>
            <w:tcW w:w="849" w:type="pct"/>
            <w:tcBorders>
              <w:top w:val="nil"/>
              <w:left w:val="nil"/>
              <w:bottom w:val="nil"/>
              <w:right w:val="nil"/>
            </w:tcBorders>
            <w:shd w:val="clear" w:color="auto" w:fill="auto"/>
            <w:noWrap/>
            <w:vAlign w:val="bottom"/>
            <w:hideMark/>
          </w:tcPr>
          <w:p w14:paraId="19AEEEED" w14:textId="77777777" w:rsidR="004449AB" w:rsidRPr="004449AB" w:rsidRDefault="004449AB" w:rsidP="004449AB">
            <w:pPr>
              <w:spacing w:after="0" w:line="240" w:lineRule="auto"/>
              <w:jc w:val="right"/>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 xml:space="preserve">                      (350)</w:t>
            </w:r>
          </w:p>
        </w:tc>
        <w:tc>
          <w:tcPr>
            <w:tcW w:w="75" w:type="pct"/>
            <w:tcBorders>
              <w:top w:val="nil"/>
              <w:left w:val="nil"/>
              <w:bottom w:val="nil"/>
              <w:right w:val="nil"/>
            </w:tcBorders>
            <w:shd w:val="clear" w:color="auto" w:fill="auto"/>
            <w:noWrap/>
            <w:vAlign w:val="bottom"/>
            <w:hideMark/>
          </w:tcPr>
          <w:p w14:paraId="6710B79D" w14:textId="77777777" w:rsidR="004449AB" w:rsidRPr="004449AB" w:rsidRDefault="004449AB" w:rsidP="004449AB">
            <w:pPr>
              <w:spacing w:after="0" w:line="240" w:lineRule="auto"/>
              <w:rPr>
                <w:rFonts w:ascii="Arial" w:eastAsia="Times New Roman" w:hAnsi="Arial" w:cs="Arial"/>
                <w:kern w:val="0"/>
                <w:sz w:val="18"/>
                <w:szCs w:val="18"/>
                <w:lang w:eastAsia="pt-BR"/>
                <w14:ligatures w14:val="none"/>
              </w:rPr>
            </w:pPr>
          </w:p>
        </w:tc>
      </w:tr>
      <w:tr w:rsidR="004449AB" w:rsidRPr="004449AB" w14:paraId="37B73EC9" w14:textId="77777777" w:rsidTr="00075425">
        <w:trPr>
          <w:trHeight w:val="246"/>
        </w:trPr>
        <w:tc>
          <w:tcPr>
            <w:tcW w:w="3054" w:type="pct"/>
            <w:tcBorders>
              <w:top w:val="nil"/>
              <w:left w:val="nil"/>
              <w:bottom w:val="nil"/>
              <w:right w:val="nil"/>
            </w:tcBorders>
            <w:shd w:val="clear" w:color="auto" w:fill="auto"/>
            <w:vAlign w:val="center"/>
            <w:hideMark/>
          </w:tcPr>
          <w:p w14:paraId="2A9AC9A4"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75" w:type="pct"/>
            <w:tcBorders>
              <w:top w:val="nil"/>
              <w:left w:val="nil"/>
              <w:bottom w:val="nil"/>
              <w:right w:val="nil"/>
            </w:tcBorders>
            <w:shd w:val="clear" w:color="auto" w:fill="auto"/>
            <w:noWrap/>
            <w:vAlign w:val="bottom"/>
            <w:hideMark/>
          </w:tcPr>
          <w:p w14:paraId="0F3672A5"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849" w:type="pct"/>
            <w:tcBorders>
              <w:top w:val="nil"/>
              <w:left w:val="nil"/>
              <w:bottom w:val="nil"/>
              <w:right w:val="nil"/>
            </w:tcBorders>
            <w:shd w:val="clear" w:color="auto" w:fill="auto"/>
            <w:noWrap/>
            <w:vAlign w:val="bottom"/>
            <w:hideMark/>
          </w:tcPr>
          <w:p w14:paraId="36D8E428"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97" w:type="pct"/>
            <w:tcBorders>
              <w:top w:val="nil"/>
              <w:left w:val="nil"/>
              <w:bottom w:val="nil"/>
              <w:right w:val="nil"/>
            </w:tcBorders>
            <w:shd w:val="clear" w:color="auto" w:fill="auto"/>
            <w:noWrap/>
            <w:vAlign w:val="bottom"/>
            <w:hideMark/>
          </w:tcPr>
          <w:p w14:paraId="39B59F8F"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849" w:type="pct"/>
            <w:tcBorders>
              <w:top w:val="nil"/>
              <w:left w:val="nil"/>
              <w:bottom w:val="nil"/>
              <w:right w:val="nil"/>
            </w:tcBorders>
            <w:shd w:val="clear" w:color="auto" w:fill="auto"/>
            <w:noWrap/>
            <w:vAlign w:val="bottom"/>
            <w:hideMark/>
          </w:tcPr>
          <w:p w14:paraId="07B7004D"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75" w:type="pct"/>
            <w:tcBorders>
              <w:top w:val="nil"/>
              <w:left w:val="nil"/>
              <w:bottom w:val="nil"/>
              <w:right w:val="nil"/>
            </w:tcBorders>
            <w:shd w:val="clear" w:color="auto" w:fill="auto"/>
            <w:noWrap/>
            <w:vAlign w:val="bottom"/>
            <w:hideMark/>
          </w:tcPr>
          <w:p w14:paraId="12934B2A"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r>
      <w:tr w:rsidR="004449AB" w:rsidRPr="004449AB" w14:paraId="7B2720A3" w14:textId="77777777" w:rsidTr="00075425">
        <w:trPr>
          <w:trHeight w:val="257"/>
        </w:trPr>
        <w:tc>
          <w:tcPr>
            <w:tcW w:w="3054" w:type="pct"/>
            <w:tcBorders>
              <w:top w:val="nil"/>
              <w:left w:val="nil"/>
              <w:bottom w:val="nil"/>
              <w:right w:val="nil"/>
            </w:tcBorders>
            <w:shd w:val="clear" w:color="auto" w:fill="auto"/>
            <w:noWrap/>
            <w:vAlign w:val="bottom"/>
            <w:hideMark/>
          </w:tcPr>
          <w:p w14:paraId="0BF06529" w14:textId="77777777" w:rsidR="004449AB" w:rsidRPr="004449AB" w:rsidRDefault="004449AB" w:rsidP="004449AB">
            <w:pPr>
              <w:spacing w:after="0" w:line="240" w:lineRule="auto"/>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Resultado Abrangente Total</w:t>
            </w:r>
          </w:p>
        </w:tc>
        <w:tc>
          <w:tcPr>
            <w:tcW w:w="75" w:type="pct"/>
            <w:tcBorders>
              <w:top w:val="nil"/>
              <w:left w:val="nil"/>
              <w:bottom w:val="nil"/>
              <w:right w:val="nil"/>
            </w:tcBorders>
            <w:shd w:val="clear" w:color="auto" w:fill="auto"/>
            <w:noWrap/>
            <w:vAlign w:val="bottom"/>
            <w:hideMark/>
          </w:tcPr>
          <w:p w14:paraId="20659BF4" w14:textId="77777777" w:rsidR="004449AB" w:rsidRPr="004449AB" w:rsidRDefault="004449AB" w:rsidP="004449AB">
            <w:pPr>
              <w:spacing w:after="0" w:line="240" w:lineRule="auto"/>
              <w:rPr>
                <w:rFonts w:ascii="Arial" w:eastAsia="Times New Roman" w:hAnsi="Arial" w:cs="Arial"/>
                <w:b/>
                <w:bCs/>
                <w:kern w:val="0"/>
                <w:sz w:val="18"/>
                <w:szCs w:val="18"/>
                <w:lang w:eastAsia="pt-BR"/>
                <w14:ligatures w14:val="none"/>
              </w:rPr>
            </w:pPr>
          </w:p>
        </w:tc>
        <w:tc>
          <w:tcPr>
            <w:tcW w:w="849" w:type="pct"/>
            <w:tcBorders>
              <w:top w:val="single" w:sz="4" w:space="0" w:color="auto"/>
              <w:left w:val="nil"/>
              <w:bottom w:val="double" w:sz="6" w:space="0" w:color="auto"/>
              <w:right w:val="nil"/>
            </w:tcBorders>
            <w:shd w:val="clear" w:color="auto" w:fill="auto"/>
            <w:noWrap/>
            <w:vAlign w:val="bottom"/>
            <w:hideMark/>
          </w:tcPr>
          <w:p w14:paraId="751CB31C"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(129.452)</w:t>
            </w:r>
          </w:p>
        </w:tc>
        <w:tc>
          <w:tcPr>
            <w:tcW w:w="97" w:type="pct"/>
            <w:tcBorders>
              <w:top w:val="nil"/>
              <w:left w:val="nil"/>
              <w:bottom w:val="nil"/>
              <w:right w:val="nil"/>
            </w:tcBorders>
            <w:shd w:val="clear" w:color="auto" w:fill="auto"/>
            <w:noWrap/>
            <w:vAlign w:val="bottom"/>
            <w:hideMark/>
          </w:tcPr>
          <w:p w14:paraId="69102059"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849" w:type="pct"/>
            <w:tcBorders>
              <w:top w:val="single" w:sz="4" w:space="0" w:color="auto"/>
              <w:left w:val="nil"/>
              <w:bottom w:val="double" w:sz="6" w:space="0" w:color="auto"/>
              <w:right w:val="nil"/>
            </w:tcBorders>
            <w:shd w:val="clear" w:color="auto" w:fill="auto"/>
            <w:noWrap/>
            <w:vAlign w:val="bottom"/>
            <w:hideMark/>
          </w:tcPr>
          <w:p w14:paraId="2AB5D4D1"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(175.266)</w:t>
            </w:r>
          </w:p>
        </w:tc>
        <w:tc>
          <w:tcPr>
            <w:tcW w:w="75" w:type="pct"/>
            <w:tcBorders>
              <w:top w:val="nil"/>
              <w:left w:val="nil"/>
              <w:bottom w:val="nil"/>
              <w:right w:val="nil"/>
            </w:tcBorders>
            <w:shd w:val="clear" w:color="auto" w:fill="auto"/>
            <w:noWrap/>
            <w:vAlign w:val="bottom"/>
            <w:hideMark/>
          </w:tcPr>
          <w:p w14:paraId="1CB231A4" w14:textId="77777777" w:rsidR="004449AB" w:rsidRPr="004449AB" w:rsidRDefault="004449AB" w:rsidP="004449AB">
            <w:pPr>
              <w:spacing w:after="0" w:line="240" w:lineRule="auto"/>
              <w:rPr>
                <w:rFonts w:ascii="Arial" w:eastAsia="Times New Roman" w:hAnsi="Arial" w:cs="Arial"/>
                <w:b/>
                <w:bCs/>
                <w:kern w:val="0"/>
                <w:sz w:val="18"/>
                <w:szCs w:val="18"/>
                <w:lang w:eastAsia="pt-BR"/>
                <w14:ligatures w14:val="none"/>
              </w:rPr>
            </w:pPr>
          </w:p>
        </w:tc>
      </w:tr>
      <w:tr w:rsidR="004449AB" w:rsidRPr="004449AB" w14:paraId="22098599" w14:textId="77777777" w:rsidTr="00075425">
        <w:trPr>
          <w:trHeight w:val="257"/>
        </w:trPr>
        <w:tc>
          <w:tcPr>
            <w:tcW w:w="3054" w:type="pct"/>
            <w:tcBorders>
              <w:top w:val="nil"/>
              <w:left w:val="nil"/>
              <w:bottom w:val="nil"/>
              <w:right w:val="nil"/>
            </w:tcBorders>
            <w:shd w:val="clear" w:color="auto" w:fill="auto"/>
            <w:noWrap/>
            <w:vAlign w:val="bottom"/>
            <w:hideMark/>
          </w:tcPr>
          <w:p w14:paraId="271C1908"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75" w:type="pct"/>
            <w:tcBorders>
              <w:top w:val="nil"/>
              <w:left w:val="nil"/>
              <w:bottom w:val="nil"/>
              <w:right w:val="nil"/>
            </w:tcBorders>
            <w:shd w:val="clear" w:color="auto" w:fill="auto"/>
            <w:noWrap/>
            <w:vAlign w:val="bottom"/>
            <w:hideMark/>
          </w:tcPr>
          <w:p w14:paraId="7BF91FA5"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849" w:type="pct"/>
            <w:tcBorders>
              <w:top w:val="nil"/>
              <w:left w:val="nil"/>
              <w:bottom w:val="nil"/>
              <w:right w:val="nil"/>
            </w:tcBorders>
            <w:shd w:val="clear" w:color="auto" w:fill="auto"/>
            <w:noWrap/>
            <w:vAlign w:val="bottom"/>
            <w:hideMark/>
          </w:tcPr>
          <w:p w14:paraId="1F3FF1AF"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97" w:type="pct"/>
            <w:tcBorders>
              <w:top w:val="nil"/>
              <w:left w:val="nil"/>
              <w:bottom w:val="nil"/>
              <w:right w:val="nil"/>
            </w:tcBorders>
            <w:shd w:val="clear" w:color="auto" w:fill="auto"/>
            <w:noWrap/>
            <w:vAlign w:val="bottom"/>
            <w:hideMark/>
          </w:tcPr>
          <w:p w14:paraId="73277A0C"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849" w:type="pct"/>
            <w:tcBorders>
              <w:top w:val="nil"/>
              <w:left w:val="nil"/>
              <w:bottom w:val="nil"/>
              <w:right w:val="nil"/>
            </w:tcBorders>
            <w:shd w:val="clear" w:color="auto" w:fill="auto"/>
            <w:noWrap/>
            <w:vAlign w:val="bottom"/>
            <w:hideMark/>
          </w:tcPr>
          <w:p w14:paraId="4C821665"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75" w:type="pct"/>
            <w:tcBorders>
              <w:top w:val="nil"/>
              <w:left w:val="nil"/>
              <w:bottom w:val="nil"/>
              <w:right w:val="nil"/>
            </w:tcBorders>
            <w:shd w:val="clear" w:color="auto" w:fill="auto"/>
            <w:noWrap/>
            <w:vAlign w:val="bottom"/>
            <w:hideMark/>
          </w:tcPr>
          <w:p w14:paraId="35A1FA3B"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r>
      <w:tr w:rsidR="004449AB" w:rsidRPr="004449AB" w14:paraId="04207CC5" w14:textId="77777777" w:rsidTr="00075425">
        <w:trPr>
          <w:trHeight w:val="246"/>
        </w:trPr>
        <w:tc>
          <w:tcPr>
            <w:tcW w:w="3054" w:type="pct"/>
            <w:tcBorders>
              <w:top w:val="nil"/>
              <w:left w:val="nil"/>
              <w:bottom w:val="nil"/>
              <w:right w:val="nil"/>
            </w:tcBorders>
            <w:shd w:val="clear" w:color="auto" w:fill="auto"/>
            <w:noWrap/>
            <w:vAlign w:val="bottom"/>
            <w:hideMark/>
          </w:tcPr>
          <w:p w14:paraId="62570217"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75" w:type="pct"/>
            <w:tcBorders>
              <w:top w:val="nil"/>
              <w:left w:val="nil"/>
              <w:bottom w:val="nil"/>
              <w:right w:val="nil"/>
            </w:tcBorders>
            <w:shd w:val="clear" w:color="auto" w:fill="auto"/>
            <w:noWrap/>
            <w:vAlign w:val="bottom"/>
            <w:hideMark/>
          </w:tcPr>
          <w:p w14:paraId="3EF81F72"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849" w:type="pct"/>
            <w:tcBorders>
              <w:top w:val="nil"/>
              <w:left w:val="nil"/>
              <w:bottom w:val="nil"/>
              <w:right w:val="nil"/>
            </w:tcBorders>
            <w:shd w:val="clear" w:color="auto" w:fill="auto"/>
            <w:noWrap/>
            <w:vAlign w:val="bottom"/>
            <w:hideMark/>
          </w:tcPr>
          <w:p w14:paraId="4FDB3241"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97" w:type="pct"/>
            <w:tcBorders>
              <w:top w:val="nil"/>
              <w:left w:val="nil"/>
              <w:bottom w:val="nil"/>
              <w:right w:val="nil"/>
            </w:tcBorders>
            <w:shd w:val="clear" w:color="auto" w:fill="auto"/>
            <w:noWrap/>
            <w:vAlign w:val="bottom"/>
            <w:hideMark/>
          </w:tcPr>
          <w:p w14:paraId="2723B949"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849" w:type="pct"/>
            <w:tcBorders>
              <w:top w:val="nil"/>
              <w:left w:val="nil"/>
              <w:bottom w:val="nil"/>
              <w:right w:val="nil"/>
            </w:tcBorders>
            <w:shd w:val="clear" w:color="auto" w:fill="auto"/>
            <w:noWrap/>
            <w:vAlign w:val="bottom"/>
            <w:hideMark/>
          </w:tcPr>
          <w:p w14:paraId="2087FEE9"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75" w:type="pct"/>
            <w:tcBorders>
              <w:top w:val="nil"/>
              <w:left w:val="nil"/>
              <w:bottom w:val="nil"/>
              <w:right w:val="nil"/>
            </w:tcBorders>
            <w:shd w:val="clear" w:color="auto" w:fill="auto"/>
            <w:noWrap/>
            <w:vAlign w:val="bottom"/>
            <w:hideMark/>
          </w:tcPr>
          <w:p w14:paraId="1C4AFEDF"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r>
      <w:tr w:rsidR="004449AB" w:rsidRPr="004449AB" w14:paraId="7CDF0150" w14:textId="77777777" w:rsidTr="00075425">
        <w:trPr>
          <w:trHeight w:val="246"/>
        </w:trPr>
        <w:tc>
          <w:tcPr>
            <w:tcW w:w="3054" w:type="pct"/>
            <w:tcBorders>
              <w:top w:val="nil"/>
              <w:left w:val="nil"/>
              <w:bottom w:val="nil"/>
              <w:right w:val="nil"/>
            </w:tcBorders>
            <w:shd w:val="clear" w:color="auto" w:fill="auto"/>
            <w:noWrap/>
            <w:vAlign w:val="bottom"/>
            <w:hideMark/>
          </w:tcPr>
          <w:p w14:paraId="6D5F372E"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75" w:type="pct"/>
            <w:tcBorders>
              <w:top w:val="nil"/>
              <w:left w:val="nil"/>
              <w:bottom w:val="nil"/>
              <w:right w:val="nil"/>
            </w:tcBorders>
            <w:shd w:val="clear" w:color="auto" w:fill="auto"/>
            <w:noWrap/>
            <w:vAlign w:val="bottom"/>
            <w:hideMark/>
          </w:tcPr>
          <w:p w14:paraId="78D4C097"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849" w:type="pct"/>
            <w:tcBorders>
              <w:top w:val="nil"/>
              <w:left w:val="nil"/>
              <w:bottom w:val="nil"/>
              <w:right w:val="nil"/>
            </w:tcBorders>
            <w:shd w:val="clear" w:color="auto" w:fill="auto"/>
            <w:noWrap/>
            <w:vAlign w:val="bottom"/>
            <w:hideMark/>
          </w:tcPr>
          <w:p w14:paraId="14ED5BD1"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97" w:type="pct"/>
            <w:tcBorders>
              <w:top w:val="nil"/>
              <w:left w:val="nil"/>
              <w:bottom w:val="nil"/>
              <w:right w:val="nil"/>
            </w:tcBorders>
            <w:shd w:val="clear" w:color="auto" w:fill="auto"/>
            <w:noWrap/>
            <w:vAlign w:val="bottom"/>
            <w:hideMark/>
          </w:tcPr>
          <w:p w14:paraId="70E8173F"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849" w:type="pct"/>
            <w:tcBorders>
              <w:top w:val="nil"/>
              <w:left w:val="nil"/>
              <w:bottom w:val="nil"/>
              <w:right w:val="nil"/>
            </w:tcBorders>
            <w:shd w:val="clear" w:color="auto" w:fill="auto"/>
            <w:noWrap/>
            <w:vAlign w:val="bottom"/>
            <w:hideMark/>
          </w:tcPr>
          <w:p w14:paraId="12D0C02E"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75" w:type="pct"/>
            <w:tcBorders>
              <w:top w:val="nil"/>
              <w:left w:val="nil"/>
              <w:bottom w:val="nil"/>
              <w:right w:val="nil"/>
            </w:tcBorders>
            <w:shd w:val="clear" w:color="auto" w:fill="auto"/>
            <w:noWrap/>
            <w:vAlign w:val="bottom"/>
            <w:hideMark/>
          </w:tcPr>
          <w:p w14:paraId="6D695496"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r>
      <w:tr w:rsidR="004449AB" w:rsidRPr="004449AB" w14:paraId="17682AA0" w14:textId="77777777" w:rsidTr="00075425">
        <w:trPr>
          <w:trHeight w:val="246"/>
        </w:trPr>
        <w:tc>
          <w:tcPr>
            <w:tcW w:w="5000" w:type="pct"/>
            <w:gridSpan w:val="6"/>
            <w:tcBorders>
              <w:top w:val="nil"/>
              <w:left w:val="nil"/>
              <w:bottom w:val="nil"/>
              <w:right w:val="nil"/>
            </w:tcBorders>
            <w:shd w:val="clear" w:color="auto" w:fill="auto"/>
            <w:noWrap/>
            <w:vAlign w:val="bottom"/>
            <w:hideMark/>
          </w:tcPr>
          <w:p w14:paraId="12425FF6" w14:textId="77777777" w:rsidR="004449AB" w:rsidRPr="004449AB" w:rsidRDefault="004449AB" w:rsidP="004449AB">
            <w:pPr>
              <w:spacing w:after="0" w:line="240" w:lineRule="auto"/>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As notas explicativas são parte integrante das demonstrações contábeis</w:t>
            </w:r>
          </w:p>
        </w:tc>
      </w:tr>
      <w:tr w:rsidR="004449AB" w:rsidRPr="004449AB" w14:paraId="0C5EB5EC" w14:textId="77777777" w:rsidTr="00075425">
        <w:trPr>
          <w:trHeight w:val="246"/>
        </w:trPr>
        <w:tc>
          <w:tcPr>
            <w:tcW w:w="3054" w:type="pct"/>
            <w:tcBorders>
              <w:top w:val="nil"/>
              <w:left w:val="nil"/>
              <w:bottom w:val="nil"/>
              <w:right w:val="nil"/>
            </w:tcBorders>
            <w:shd w:val="clear" w:color="auto" w:fill="auto"/>
            <w:noWrap/>
            <w:vAlign w:val="bottom"/>
            <w:hideMark/>
          </w:tcPr>
          <w:p w14:paraId="1237EFD4" w14:textId="77777777" w:rsidR="004449AB" w:rsidRPr="004449AB" w:rsidRDefault="004449AB" w:rsidP="004449AB">
            <w:pPr>
              <w:spacing w:after="0" w:line="240" w:lineRule="auto"/>
              <w:rPr>
                <w:rFonts w:ascii="Arial" w:eastAsia="Times New Roman" w:hAnsi="Arial" w:cs="Arial"/>
                <w:b/>
                <w:bCs/>
                <w:kern w:val="0"/>
                <w:sz w:val="18"/>
                <w:szCs w:val="18"/>
                <w:lang w:eastAsia="pt-BR"/>
                <w14:ligatures w14:val="none"/>
              </w:rPr>
            </w:pPr>
          </w:p>
        </w:tc>
        <w:tc>
          <w:tcPr>
            <w:tcW w:w="75" w:type="pct"/>
            <w:tcBorders>
              <w:top w:val="nil"/>
              <w:left w:val="nil"/>
              <w:bottom w:val="nil"/>
              <w:right w:val="nil"/>
            </w:tcBorders>
            <w:shd w:val="clear" w:color="auto" w:fill="auto"/>
            <w:noWrap/>
            <w:vAlign w:val="bottom"/>
            <w:hideMark/>
          </w:tcPr>
          <w:p w14:paraId="06F8583C"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849" w:type="pct"/>
            <w:tcBorders>
              <w:top w:val="nil"/>
              <w:left w:val="nil"/>
              <w:bottom w:val="nil"/>
              <w:right w:val="nil"/>
            </w:tcBorders>
            <w:shd w:val="clear" w:color="auto" w:fill="auto"/>
            <w:noWrap/>
            <w:vAlign w:val="bottom"/>
            <w:hideMark/>
          </w:tcPr>
          <w:p w14:paraId="005D9C77"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97" w:type="pct"/>
            <w:tcBorders>
              <w:top w:val="nil"/>
              <w:left w:val="nil"/>
              <w:bottom w:val="nil"/>
              <w:right w:val="nil"/>
            </w:tcBorders>
            <w:shd w:val="clear" w:color="auto" w:fill="auto"/>
            <w:noWrap/>
            <w:vAlign w:val="bottom"/>
            <w:hideMark/>
          </w:tcPr>
          <w:p w14:paraId="22482A38"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849" w:type="pct"/>
            <w:tcBorders>
              <w:top w:val="nil"/>
              <w:left w:val="nil"/>
              <w:bottom w:val="nil"/>
              <w:right w:val="nil"/>
            </w:tcBorders>
            <w:shd w:val="clear" w:color="auto" w:fill="auto"/>
            <w:noWrap/>
            <w:vAlign w:val="bottom"/>
            <w:hideMark/>
          </w:tcPr>
          <w:p w14:paraId="45886788"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75" w:type="pct"/>
            <w:tcBorders>
              <w:top w:val="nil"/>
              <w:left w:val="nil"/>
              <w:bottom w:val="nil"/>
              <w:right w:val="nil"/>
            </w:tcBorders>
            <w:shd w:val="clear" w:color="auto" w:fill="auto"/>
            <w:noWrap/>
            <w:vAlign w:val="bottom"/>
            <w:hideMark/>
          </w:tcPr>
          <w:p w14:paraId="1CF8B5AF"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r>
      <w:bookmarkEnd w:id="376"/>
    </w:tbl>
    <w:p w14:paraId="0C2C0C9D" w14:textId="77777777" w:rsidR="004449AB" w:rsidRDefault="004449AB" w:rsidP="001D10E5">
      <w:pPr>
        <w:spacing w:after="0"/>
        <w:jc w:val="both"/>
        <w:rPr>
          <w:noProof/>
        </w:rPr>
      </w:pPr>
    </w:p>
    <w:p w14:paraId="089CB50D" w14:textId="77777777" w:rsidR="004449AB" w:rsidRDefault="004449AB" w:rsidP="001D10E5">
      <w:pPr>
        <w:spacing w:after="0"/>
        <w:jc w:val="both"/>
        <w:rPr>
          <w:noProof/>
        </w:rPr>
      </w:pPr>
    </w:p>
    <w:p w14:paraId="1743E4DF" w14:textId="77777777" w:rsidR="004449AB" w:rsidRDefault="004449AB" w:rsidP="001D10E5">
      <w:pPr>
        <w:spacing w:after="0"/>
        <w:jc w:val="both"/>
        <w:rPr>
          <w:noProof/>
        </w:rPr>
      </w:pPr>
    </w:p>
    <w:p w14:paraId="529D5B17" w14:textId="77777777" w:rsidR="004449AB" w:rsidRDefault="004449AB" w:rsidP="001D10E5">
      <w:pPr>
        <w:spacing w:after="0"/>
        <w:jc w:val="both"/>
        <w:rPr>
          <w:noProof/>
        </w:rPr>
      </w:pPr>
    </w:p>
    <w:p w14:paraId="4BD7E9C1" w14:textId="77777777" w:rsidR="004449AB" w:rsidRDefault="004449AB" w:rsidP="001D10E5">
      <w:pPr>
        <w:spacing w:after="0"/>
        <w:jc w:val="both"/>
        <w:rPr>
          <w:noProof/>
        </w:rPr>
      </w:pPr>
    </w:p>
    <w:p w14:paraId="79EA047F" w14:textId="77777777" w:rsidR="004449AB" w:rsidRDefault="004449AB" w:rsidP="001D10E5">
      <w:pPr>
        <w:spacing w:after="0"/>
        <w:jc w:val="both"/>
        <w:rPr>
          <w:noProof/>
        </w:rPr>
      </w:pPr>
    </w:p>
    <w:p w14:paraId="2E1A0453" w14:textId="77777777" w:rsidR="004449AB" w:rsidRDefault="004449AB" w:rsidP="001D10E5">
      <w:pPr>
        <w:spacing w:after="0"/>
        <w:jc w:val="both"/>
        <w:rPr>
          <w:noProof/>
        </w:rPr>
      </w:pPr>
    </w:p>
    <w:p w14:paraId="132FDDC6" w14:textId="77777777" w:rsidR="004449AB" w:rsidRDefault="004449AB" w:rsidP="001D10E5">
      <w:pPr>
        <w:spacing w:after="0"/>
        <w:jc w:val="both"/>
        <w:rPr>
          <w:noProof/>
        </w:rPr>
      </w:pPr>
    </w:p>
    <w:p w14:paraId="0E8641E1" w14:textId="77777777" w:rsidR="004449AB" w:rsidRDefault="004449AB" w:rsidP="001D10E5">
      <w:pPr>
        <w:spacing w:after="0"/>
        <w:jc w:val="both"/>
        <w:rPr>
          <w:noProof/>
        </w:rPr>
      </w:pPr>
    </w:p>
    <w:p w14:paraId="618DAAEC" w14:textId="77777777" w:rsidR="004449AB" w:rsidRDefault="004449AB" w:rsidP="001D10E5">
      <w:pPr>
        <w:spacing w:after="0"/>
        <w:jc w:val="both"/>
        <w:rPr>
          <w:noProof/>
        </w:rPr>
      </w:pPr>
    </w:p>
    <w:p w14:paraId="2884AE77" w14:textId="77777777" w:rsidR="004449AB" w:rsidRDefault="004449AB" w:rsidP="001D10E5">
      <w:pPr>
        <w:spacing w:after="0"/>
        <w:jc w:val="both"/>
        <w:rPr>
          <w:noProof/>
        </w:rPr>
      </w:pPr>
    </w:p>
    <w:p w14:paraId="15DB02DE" w14:textId="77777777" w:rsidR="004449AB" w:rsidRDefault="004449AB" w:rsidP="001D10E5">
      <w:pPr>
        <w:spacing w:after="0"/>
        <w:jc w:val="both"/>
        <w:rPr>
          <w:noProof/>
        </w:rPr>
      </w:pPr>
    </w:p>
    <w:p w14:paraId="247C2D61" w14:textId="77777777" w:rsidR="004449AB" w:rsidRDefault="004449AB" w:rsidP="001D10E5">
      <w:pPr>
        <w:spacing w:after="0"/>
        <w:jc w:val="both"/>
        <w:rPr>
          <w:noProof/>
        </w:rPr>
      </w:pPr>
    </w:p>
    <w:p w14:paraId="64E3FCB1" w14:textId="77777777" w:rsidR="004449AB" w:rsidRDefault="004449AB" w:rsidP="001D10E5">
      <w:pPr>
        <w:spacing w:after="0"/>
        <w:jc w:val="both"/>
        <w:rPr>
          <w:noProof/>
        </w:rPr>
      </w:pPr>
    </w:p>
    <w:p w14:paraId="621F1406" w14:textId="77777777" w:rsidR="004449AB" w:rsidRDefault="004449AB" w:rsidP="001D10E5">
      <w:pPr>
        <w:spacing w:after="0"/>
        <w:jc w:val="both"/>
        <w:rPr>
          <w:noProof/>
        </w:rPr>
      </w:pPr>
    </w:p>
    <w:p w14:paraId="66D2EAA5" w14:textId="77777777" w:rsidR="004449AB" w:rsidRDefault="004449AB" w:rsidP="001D10E5">
      <w:pPr>
        <w:spacing w:after="0"/>
        <w:jc w:val="both"/>
        <w:rPr>
          <w:noProof/>
        </w:rPr>
      </w:pPr>
    </w:p>
    <w:p w14:paraId="14A2C3F6" w14:textId="77777777" w:rsidR="004449AB" w:rsidRDefault="004449AB" w:rsidP="001D10E5">
      <w:pPr>
        <w:spacing w:after="0"/>
        <w:jc w:val="both"/>
        <w:rPr>
          <w:noProof/>
        </w:rPr>
      </w:pPr>
    </w:p>
    <w:p w14:paraId="318A4411" w14:textId="77777777" w:rsidR="004449AB" w:rsidRDefault="004449AB" w:rsidP="001D10E5">
      <w:pPr>
        <w:spacing w:after="0"/>
        <w:jc w:val="both"/>
        <w:rPr>
          <w:noProof/>
        </w:rPr>
      </w:pPr>
    </w:p>
    <w:p w14:paraId="7AC52B47" w14:textId="77777777" w:rsidR="004449AB" w:rsidRDefault="004449AB" w:rsidP="001D10E5">
      <w:pPr>
        <w:spacing w:after="0"/>
        <w:jc w:val="both"/>
        <w:rPr>
          <w:noProof/>
        </w:rPr>
      </w:pPr>
    </w:p>
    <w:tbl>
      <w:tblPr>
        <w:tblW w:w="5000" w:type="pct"/>
        <w:tblCellMar>
          <w:left w:w="70" w:type="dxa"/>
          <w:right w:w="70" w:type="dxa"/>
        </w:tblCellMar>
        <w:tblLook w:val="04A0" w:firstRow="1" w:lastRow="0" w:firstColumn="1" w:lastColumn="0" w:noHBand="0" w:noVBand="1"/>
      </w:tblPr>
      <w:tblGrid>
        <w:gridCol w:w="4177"/>
        <w:gridCol w:w="753"/>
        <w:gridCol w:w="171"/>
        <w:gridCol w:w="918"/>
        <w:gridCol w:w="171"/>
        <w:gridCol w:w="918"/>
        <w:gridCol w:w="171"/>
        <w:gridCol w:w="796"/>
        <w:gridCol w:w="171"/>
        <w:gridCol w:w="826"/>
      </w:tblGrid>
      <w:tr w:rsidR="004449AB" w:rsidRPr="004449AB" w14:paraId="4AA1219D" w14:textId="77777777" w:rsidTr="00075425">
        <w:trPr>
          <w:trHeight w:val="215"/>
        </w:trPr>
        <w:tc>
          <w:tcPr>
            <w:tcW w:w="5000" w:type="pct"/>
            <w:gridSpan w:val="10"/>
            <w:tcBorders>
              <w:top w:val="nil"/>
              <w:left w:val="nil"/>
              <w:bottom w:val="nil"/>
              <w:right w:val="nil"/>
            </w:tcBorders>
            <w:shd w:val="clear" w:color="auto" w:fill="auto"/>
            <w:noWrap/>
            <w:vAlign w:val="bottom"/>
            <w:hideMark/>
          </w:tcPr>
          <w:p w14:paraId="05989BE4" w14:textId="77777777" w:rsidR="004449AB" w:rsidRPr="004449AB" w:rsidRDefault="004449AB" w:rsidP="004449AB">
            <w:pPr>
              <w:spacing w:after="0" w:line="240" w:lineRule="auto"/>
              <w:jc w:val="center"/>
              <w:rPr>
                <w:rFonts w:ascii="Arial" w:eastAsia="Times New Roman" w:hAnsi="Arial" w:cs="Arial"/>
                <w:b/>
                <w:bCs/>
                <w:kern w:val="0"/>
                <w:sz w:val="18"/>
                <w:szCs w:val="18"/>
                <w:lang w:eastAsia="pt-BR"/>
                <w14:ligatures w14:val="none"/>
              </w:rPr>
            </w:pPr>
            <w:bookmarkStart w:id="377" w:name="_Hlk162280154"/>
            <w:r w:rsidRPr="004449AB">
              <w:rPr>
                <w:rFonts w:ascii="Arial" w:eastAsia="Times New Roman" w:hAnsi="Arial" w:cs="Arial"/>
                <w:b/>
                <w:bCs/>
                <w:kern w:val="0"/>
                <w:sz w:val="18"/>
                <w:szCs w:val="18"/>
                <w:lang w:eastAsia="pt-BR"/>
                <w14:ligatures w14:val="none"/>
              </w:rPr>
              <w:lastRenderedPageBreak/>
              <w:t>TELECOMUNICAÇÕES BRASILEIRAS S.A - "TELEBRAS"</w:t>
            </w:r>
          </w:p>
        </w:tc>
      </w:tr>
      <w:tr w:rsidR="004449AB" w:rsidRPr="004449AB" w14:paraId="0D1D2E2D" w14:textId="77777777" w:rsidTr="00075425">
        <w:trPr>
          <w:trHeight w:val="215"/>
        </w:trPr>
        <w:tc>
          <w:tcPr>
            <w:tcW w:w="5000" w:type="pct"/>
            <w:gridSpan w:val="10"/>
            <w:tcBorders>
              <w:top w:val="nil"/>
              <w:left w:val="nil"/>
              <w:bottom w:val="nil"/>
              <w:right w:val="nil"/>
            </w:tcBorders>
            <w:shd w:val="clear" w:color="auto" w:fill="auto"/>
            <w:noWrap/>
            <w:vAlign w:val="bottom"/>
            <w:hideMark/>
          </w:tcPr>
          <w:p w14:paraId="22936F2F" w14:textId="77777777" w:rsidR="004449AB" w:rsidRPr="004449AB" w:rsidRDefault="004449AB" w:rsidP="004449AB">
            <w:pPr>
              <w:spacing w:after="0" w:line="240" w:lineRule="auto"/>
              <w:jc w:val="center"/>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CNPJ 00.336.701/0001-04</w:t>
            </w:r>
          </w:p>
        </w:tc>
      </w:tr>
      <w:tr w:rsidR="004449AB" w:rsidRPr="004449AB" w14:paraId="7DE16FD0" w14:textId="77777777" w:rsidTr="00075425">
        <w:trPr>
          <w:trHeight w:val="215"/>
        </w:trPr>
        <w:tc>
          <w:tcPr>
            <w:tcW w:w="5000" w:type="pct"/>
            <w:gridSpan w:val="10"/>
            <w:tcBorders>
              <w:top w:val="nil"/>
              <w:left w:val="nil"/>
              <w:bottom w:val="nil"/>
              <w:right w:val="nil"/>
            </w:tcBorders>
            <w:shd w:val="clear" w:color="auto" w:fill="auto"/>
            <w:vAlign w:val="bottom"/>
            <w:hideMark/>
          </w:tcPr>
          <w:p w14:paraId="33812E7E" w14:textId="77777777" w:rsidR="004449AB" w:rsidRPr="004449AB" w:rsidRDefault="004449AB" w:rsidP="004449AB">
            <w:pPr>
              <w:spacing w:after="0" w:line="240" w:lineRule="auto"/>
              <w:jc w:val="center"/>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Demonstração das Mutações do Patrimônio Líquido</w:t>
            </w:r>
          </w:p>
        </w:tc>
      </w:tr>
      <w:tr w:rsidR="004449AB" w:rsidRPr="004449AB" w14:paraId="1B40BCEB" w14:textId="77777777" w:rsidTr="00075425">
        <w:trPr>
          <w:trHeight w:val="215"/>
        </w:trPr>
        <w:tc>
          <w:tcPr>
            <w:tcW w:w="5000" w:type="pct"/>
            <w:gridSpan w:val="10"/>
            <w:tcBorders>
              <w:top w:val="nil"/>
              <w:left w:val="nil"/>
              <w:bottom w:val="nil"/>
              <w:right w:val="nil"/>
            </w:tcBorders>
            <w:shd w:val="clear" w:color="auto" w:fill="auto"/>
            <w:noWrap/>
            <w:vAlign w:val="bottom"/>
            <w:hideMark/>
          </w:tcPr>
          <w:p w14:paraId="4C8B68CF" w14:textId="77777777" w:rsidR="004449AB" w:rsidRPr="004449AB" w:rsidRDefault="004449AB" w:rsidP="004449AB">
            <w:pPr>
              <w:spacing w:after="0" w:line="240" w:lineRule="auto"/>
              <w:jc w:val="center"/>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Exercícios findos em 31 de dezembro de 2023 e 2022</w:t>
            </w:r>
          </w:p>
        </w:tc>
      </w:tr>
      <w:tr w:rsidR="004449AB" w:rsidRPr="004449AB" w14:paraId="11B0DDCD" w14:textId="77777777" w:rsidTr="00075425">
        <w:trPr>
          <w:trHeight w:val="215"/>
        </w:trPr>
        <w:tc>
          <w:tcPr>
            <w:tcW w:w="5000" w:type="pct"/>
            <w:gridSpan w:val="10"/>
            <w:tcBorders>
              <w:top w:val="nil"/>
              <w:left w:val="nil"/>
              <w:bottom w:val="nil"/>
              <w:right w:val="nil"/>
            </w:tcBorders>
            <w:shd w:val="clear" w:color="auto" w:fill="auto"/>
            <w:vAlign w:val="bottom"/>
            <w:hideMark/>
          </w:tcPr>
          <w:p w14:paraId="1D9C568B" w14:textId="77777777" w:rsidR="004449AB" w:rsidRPr="004449AB" w:rsidRDefault="004449AB" w:rsidP="004449AB">
            <w:pPr>
              <w:spacing w:after="0" w:line="240" w:lineRule="auto"/>
              <w:jc w:val="center"/>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Em milhares de reais, exceto quando indicado de outra forma</w:t>
            </w:r>
          </w:p>
        </w:tc>
      </w:tr>
      <w:tr w:rsidR="004449AB" w:rsidRPr="004449AB" w14:paraId="2B664957" w14:textId="77777777" w:rsidTr="00075425">
        <w:trPr>
          <w:trHeight w:val="215"/>
        </w:trPr>
        <w:tc>
          <w:tcPr>
            <w:tcW w:w="2640" w:type="pct"/>
            <w:tcBorders>
              <w:top w:val="nil"/>
              <w:left w:val="nil"/>
              <w:bottom w:val="nil"/>
              <w:right w:val="nil"/>
            </w:tcBorders>
            <w:shd w:val="clear" w:color="auto" w:fill="auto"/>
            <w:noWrap/>
            <w:vAlign w:val="bottom"/>
            <w:hideMark/>
          </w:tcPr>
          <w:p w14:paraId="4939CA01" w14:textId="77777777" w:rsidR="004449AB" w:rsidRPr="004449AB" w:rsidRDefault="004449AB" w:rsidP="004449AB">
            <w:pPr>
              <w:spacing w:after="0" w:line="240" w:lineRule="auto"/>
              <w:jc w:val="center"/>
              <w:rPr>
                <w:rFonts w:ascii="Arial" w:eastAsia="Times New Roman" w:hAnsi="Arial" w:cs="Arial"/>
                <w:b/>
                <w:bCs/>
                <w:kern w:val="0"/>
                <w:sz w:val="18"/>
                <w:szCs w:val="18"/>
                <w:lang w:eastAsia="pt-BR"/>
                <w14:ligatures w14:val="none"/>
              </w:rPr>
            </w:pPr>
          </w:p>
        </w:tc>
        <w:tc>
          <w:tcPr>
            <w:tcW w:w="383" w:type="pct"/>
            <w:tcBorders>
              <w:top w:val="nil"/>
              <w:left w:val="nil"/>
              <w:bottom w:val="nil"/>
              <w:right w:val="nil"/>
            </w:tcBorders>
            <w:shd w:val="clear" w:color="auto" w:fill="auto"/>
            <w:noWrap/>
            <w:vAlign w:val="bottom"/>
            <w:hideMark/>
          </w:tcPr>
          <w:p w14:paraId="49075B9C"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64" w:type="pct"/>
            <w:tcBorders>
              <w:top w:val="nil"/>
              <w:left w:val="nil"/>
              <w:bottom w:val="nil"/>
              <w:right w:val="nil"/>
            </w:tcBorders>
            <w:shd w:val="clear" w:color="auto" w:fill="auto"/>
            <w:noWrap/>
            <w:vAlign w:val="bottom"/>
            <w:hideMark/>
          </w:tcPr>
          <w:p w14:paraId="3A5241F2" w14:textId="77777777" w:rsidR="004449AB" w:rsidRPr="004449AB" w:rsidRDefault="004449AB" w:rsidP="004449AB">
            <w:pPr>
              <w:spacing w:after="0" w:line="240" w:lineRule="auto"/>
              <w:jc w:val="center"/>
              <w:rPr>
                <w:rFonts w:ascii="Times New Roman" w:eastAsia="Times New Roman" w:hAnsi="Times New Roman" w:cs="Times New Roman"/>
                <w:kern w:val="0"/>
                <w:sz w:val="18"/>
                <w:szCs w:val="18"/>
                <w:lang w:eastAsia="pt-BR"/>
                <w14:ligatures w14:val="none"/>
              </w:rPr>
            </w:pPr>
          </w:p>
        </w:tc>
        <w:tc>
          <w:tcPr>
            <w:tcW w:w="450" w:type="pct"/>
            <w:tcBorders>
              <w:top w:val="nil"/>
              <w:left w:val="nil"/>
              <w:bottom w:val="nil"/>
              <w:right w:val="nil"/>
            </w:tcBorders>
            <w:shd w:val="clear" w:color="auto" w:fill="auto"/>
            <w:noWrap/>
            <w:vAlign w:val="bottom"/>
            <w:hideMark/>
          </w:tcPr>
          <w:p w14:paraId="00B8A554" w14:textId="77777777" w:rsidR="004449AB" w:rsidRPr="004449AB" w:rsidRDefault="004449AB" w:rsidP="004449AB">
            <w:pPr>
              <w:spacing w:after="0" w:line="240" w:lineRule="auto"/>
              <w:jc w:val="center"/>
              <w:rPr>
                <w:rFonts w:ascii="Times New Roman" w:eastAsia="Times New Roman" w:hAnsi="Times New Roman" w:cs="Times New Roman"/>
                <w:kern w:val="0"/>
                <w:sz w:val="18"/>
                <w:szCs w:val="18"/>
                <w:lang w:eastAsia="pt-BR"/>
                <w14:ligatures w14:val="none"/>
              </w:rPr>
            </w:pPr>
          </w:p>
        </w:tc>
        <w:tc>
          <w:tcPr>
            <w:tcW w:w="64" w:type="pct"/>
            <w:tcBorders>
              <w:top w:val="nil"/>
              <w:left w:val="nil"/>
              <w:bottom w:val="nil"/>
              <w:right w:val="nil"/>
            </w:tcBorders>
            <w:shd w:val="clear" w:color="auto" w:fill="auto"/>
            <w:noWrap/>
            <w:vAlign w:val="bottom"/>
            <w:hideMark/>
          </w:tcPr>
          <w:p w14:paraId="46AB34C6" w14:textId="77777777" w:rsidR="004449AB" w:rsidRPr="004449AB" w:rsidRDefault="004449AB" w:rsidP="004449AB">
            <w:pPr>
              <w:spacing w:after="0" w:line="240" w:lineRule="auto"/>
              <w:jc w:val="center"/>
              <w:rPr>
                <w:rFonts w:ascii="Times New Roman" w:eastAsia="Times New Roman" w:hAnsi="Times New Roman" w:cs="Times New Roman"/>
                <w:kern w:val="0"/>
                <w:sz w:val="18"/>
                <w:szCs w:val="18"/>
                <w:lang w:eastAsia="pt-BR"/>
                <w14:ligatures w14:val="none"/>
              </w:rPr>
            </w:pPr>
          </w:p>
        </w:tc>
        <w:tc>
          <w:tcPr>
            <w:tcW w:w="464" w:type="pct"/>
            <w:tcBorders>
              <w:top w:val="nil"/>
              <w:left w:val="nil"/>
              <w:bottom w:val="nil"/>
              <w:right w:val="nil"/>
            </w:tcBorders>
            <w:shd w:val="clear" w:color="auto" w:fill="auto"/>
            <w:noWrap/>
            <w:vAlign w:val="bottom"/>
            <w:hideMark/>
          </w:tcPr>
          <w:p w14:paraId="31145EAF" w14:textId="77777777" w:rsidR="004449AB" w:rsidRPr="004449AB" w:rsidRDefault="004449AB" w:rsidP="004449AB">
            <w:pPr>
              <w:spacing w:after="0" w:line="240" w:lineRule="auto"/>
              <w:jc w:val="center"/>
              <w:rPr>
                <w:rFonts w:ascii="Times New Roman" w:eastAsia="Times New Roman" w:hAnsi="Times New Roman" w:cs="Times New Roman"/>
                <w:kern w:val="0"/>
                <w:sz w:val="18"/>
                <w:szCs w:val="18"/>
                <w:lang w:eastAsia="pt-BR"/>
                <w14:ligatures w14:val="none"/>
              </w:rPr>
            </w:pPr>
          </w:p>
        </w:tc>
        <w:tc>
          <w:tcPr>
            <w:tcW w:w="64" w:type="pct"/>
            <w:tcBorders>
              <w:top w:val="nil"/>
              <w:left w:val="nil"/>
              <w:bottom w:val="nil"/>
              <w:right w:val="nil"/>
            </w:tcBorders>
            <w:shd w:val="clear" w:color="auto" w:fill="auto"/>
            <w:noWrap/>
            <w:vAlign w:val="bottom"/>
            <w:hideMark/>
          </w:tcPr>
          <w:p w14:paraId="75811AD7" w14:textId="77777777" w:rsidR="004449AB" w:rsidRPr="004449AB" w:rsidRDefault="004449AB" w:rsidP="004449AB">
            <w:pPr>
              <w:spacing w:after="0" w:line="240" w:lineRule="auto"/>
              <w:jc w:val="center"/>
              <w:rPr>
                <w:rFonts w:ascii="Times New Roman" w:eastAsia="Times New Roman" w:hAnsi="Times New Roman" w:cs="Times New Roman"/>
                <w:kern w:val="0"/>
                <w:sz w:val="18"/>
                <w:szCs w:val="18"/>
                <w:lang w:eastAsia="pt-BR"/>
                <w14:ligatures w14:val="none"/>
              </w:rPr>
            </w:pPr>
          </w:p>
        </w:tc>
        <w:tc>
          <w:tcPr>
            <w:tcW w:w="396" w:type="pct"/>
            <w:tcBorders>
              <w:top w:val="nil"/>
              <w:left w:val="nil"/>
              <w:bottom w:val="nil"/>
              <w:right w:val="nil"/>
            </w:tcBorders>
            <w:shd w:val="clear" w:color="auto" w:fill="auto"/>
            <w:noWrap/>
            <w:vAlign w:val="bottom"/>
            <w:hideMark/>
          </w:tcPr>
          <w:p w14:paraId="74EF9DF1" w14:textId="77777777" w:rsidR="004449AB" w:rsidRPr="004449AB" w:rsidRDefault="004449AB" w:rsidP="004449AB">
            <w:pPr>
              <w:spacing w:after="0" w:line="240" w:lineRule="auto"/>
              <w:jc w:val="center"/>
              <w:rPr>
                <w:rFonts w:ascii="Times New Roman" w:eastAsia="Times New Roman" w:hAnsi="Times New Roman" w:cs="Times New Roman"/>
                <w:kern w:val="0"/>
                <w:sz w:val="18"/>
                <w:szCs w:val="18"/>
                <w:lang w:eastAsia="pt-BR"/>
                <w14:ligatures w14:val="none"/>
              </w:rPr>
            </w:pPr>
          </w:p>
        </w:tc>
        <w:tc>
          <w:tcPr>
            <w:tcW w:w="64" w:type="pct"/>
            <w:tcBorders>
              <w:top w:val="nil"/>
              <w:left w:val="nil"/>
              <w:bottom w:val="nil"/>
              <w:right w:val="nil"/>
            </w:tcBorders>
            <w:shd w:val="clear" w:color="auto" w:fill="auto"/>
            <w:noWrap/>
            <w:vAlign w:val="bottom"/>
            <w:hideMark/>
          </w:tcPr>
          <w:p w14:paraId="278B1FDD" w14:textId="77777777" w:rsidR="004449AB" w:rsidRPr="004449AB" w:rsidRDefault="004449AB" w:rsidP="004449AB">
            <w:pPr>
              <w:spacing w:after="0" w:line="240" w:lineRule="auto"/>
              <w:jc w:val="center"/>
              <w:rPr>
                <w:rFonts w:ascii="Times New Roman" w:eastAsia="Times New Roman" w:hAnsi="Times New Roman" w:cs="Times New Roman"/>
                <w:kern w:val="0"/>
                <w:sz w:val="18"/>
                <w:szCs w:val="18"/>
                <w:lang w:eastAsia="pt-BR"/>
                <w14:ligatures w14:val="none"/>
              </w:rPr>
            </w:pPr>
          </w:p>
        </w:tc>
        <w:tc>
          <w:tcPr>
            <w:tcW w:w="410" w:type="pct"/>
            <w:tcBorders>
              <w:top w:val="nil"/>
              <w:left w:val="nil"/>
              <w:bottom w:val="nil"/>
              <w:right w:val="nil"/>
            </w:tcBorders>
            <w:shd w:val="clear" w:color="auto" w:fill="auto"/>
            <w:noWrap/>
            <w:vAlign w:val="bottom"/>
            <w:hideMark/>
          </w:tcPr>
          <w:p w14:paraId="1F5217C3" w14:textId="77777777" w:rsidR="004449AB" w:rsidRPr="004449AB" w:rsidRDefault="004449AB" w:rsidP="004449AB">
            <w:pPr>
              <w:spacing w:after="0" w:line="240" w:lineRule="auto"/>
              <w:jc w:val="center"/>
              <w:rPr>
                <w:rFonts w:ascii="Times New Roman" w:eastAsia="Times New Roman" w:hAnsi="Times New Roman" w:cs="Times New Roman"/>
                <w:kern w:val="0"/>
                <w:sz w:val="18"/>
                <w:szCs w:val="18"/>
                <w:lang w:eastAsia="pt-BR"/>
                <w14:ligatures w14:val="none"/>
              </w:rPr>
            </w:pPr>
          </w:p>
        </w:tc>
      </w:tr>
      <w:tr w:rsidR="004449AB" w:rsidRPr="004449AB" w14:paraId="1FC968A0" w14:textId="77777777" w:rsidTr="00075425">
        <w:trPr>
          <w:trHeight w:val="215"/>
        </w:trPr>
        <w:tc>
          <w:tcPr>
            <w:tcW w:w="2640" w:type="pct"/>
            <w:tcBorders>
              <w:top w:val="nil"/>
              <w:left w:val="nil"/>
              <w:bottom w:val="nil"/>
              <w:right w:val="nil"/>
            </w:tcBorders>
            <w:shd w:val="clear" w:color="auto" w:fill="auto"/>
            <w:vAlign w:val="center"/>
            <w:hideMark/>
          </w:tcPr>
          <w:p w14:paraId="0E185C9C" w14:textId="77777777" w:rsidR="004449AB" w:rsidRPr="004449AB" w:rsidRDefault="004449AB" w:rsidP="004449AB">
            <w:pPr>
              <w:spacing w:after="0" w:line="240" w:lineRule="auto"/>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Eventos</w:t>
            </w:r>
          </w:p>
        </w:tc>
        <w:tc>
          <w:tcPr>
            <w:tcW w:w="383" w:type="pct"/>
            <w:tcBorders>
              <w:top w:val="single" w:sz="4" w:space="0" w:color="auto"/>
              <w:left w:val="nil"/>
              <w:bottom w:val="single" w:sz="4" w:space="0" w:color="auto"/>
              <w:right w:val="nil"/>
            </w:tcBorders>
            <w:shd w:val="clear" w:color="auto" w:fill="auto"/>
            <w:vAlign w:val="center"/>
            <w:hideMark/>
          </w:tcPr>
          <w:p w14:paraId="57A58385" w14:textId="77777777" w:rsidR="004449AB" w:rsidRPr="004449AB" w:rsidRDefault="004449AB" w:rsidP="004449AB">
            <w:pPr>
              <w:spacing w:after="0" w:line="240" w:lineRule="auto"/>
              <w:jc w:val="center"/>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Capital</w:t>
            </w:r>
            <w:r w:rsidRPr="004449AB">
              <w:rPr>
                <w:rFonts w:ascii="Arial" w:eastAsia="Times New Roman" w:hAnsi="Arial" w:cs="Arial"/>
                <w:b/>
                <w:bCs/>
                <w:kern w:val="0"/>
                <w:sz w:val="18"/>
                <w:szCs w:val="18"/>
                <w:lang w:eastAsia="pt-BR"/>
                <w14:ligatures w14:val="none"/>
              </w:rPr>
              <w:br/>
              <w:t xml:space="preserve">Social </w:t>
            </w:r>
          </w:p>
        </w:tc>
        <w:tc>
          <w:tcPr>
            <w:tcW w:w="64" w:type="pct"/>
            <w:tcBorders>
              <w:top w:val="single" w:sz="4" w:space="0" w:color="auto"/>
              <w:left w:val="nil"/>
              <w:bottom w:val="single" w:sz="4" w:space="0" w:color="auto"/>
              <w:right w:val="nil"/>
            </w:tcBorders>
            <w:shd w:val="clear" w:color="auto" w:fill="auto"/>
            <w:vAlign w:val="center"/>
            <w:hideMark/>
          </w:tcPr>
          <w:p w14:paraId="03B35DA9" w14:textId="77777777" w:rsidR="004449AB" w:rsidRPr="004449AB" w:rsidRDefault="004449AB" w:rsidP="004449AB">
            <w:pPr>
              <w:spacing w:after="0" w:line="240" w:lineRule="auto"/>
              <w:jc w:val="center"/>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w:t>
            </w:r>
          </w:p>
        </w:tc>
        <w:tc>
          <w:tcPr>
            <w:tcW w:w="450" w:type="pct"/>
            <w:tcBorders>
              <w:top w:val="single" w:sz="4" w:space="0" w:color="auto"/>
              <w:left w:val="nil"/>
              <w:bottom w:val="single" w:sz="4" w:space="0" w:color="auto"/>
              <w:right w:val="nil"/>
            </w:tcBorders>
            <w:shd w:val="clear" w:color="auto" w:fill="auto"/>
            <w:vAlign w:val="center"/>
            <w:hideMark/>
          </w:tcPr>
          <w:p w14:paraId="131CD5CB" w14:textId="77777777" w:rsidR="004449AB" w:rsidRPr="004449AB" w:rsidRDefault="004449AB" w:rsidP="004449AB">
            <w:pPr>
              <w:spacing w:after="0" w:line="240" w:lineRule="auto"/>
              <w:jc w:val="center"/>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Prejuízos</w:t>
            </w:r>
            <w:r w:rsidRPr="004449AB">
              <w:rPr>
                <w:rFonts w:ascii="Arial" w:eastAsia="Times New Roman" w:hAnsi="Arial" w:cs="Arial"/>
                <w:b/>
                <w:bCs/>
                <w:kern w:val="0"/>
                <w:sz w:val="18"/>
                <w:szCs w:val="18"/>
                <w:lang w:eastAsia="pt-BR"/>
                <w14:ligatures w14:val="none"/>
              </w:rPr>
              <w:br/>
              <w:t>Acumulados</w:t>
            </w:r>
          </w:p>
        </w:tc>
        <w:tc>
          <w:tcPr>
            <w:tcW w:w="64" w:type="pct"/>
            <w:tcBorders>
              <w:top w:val="single" w:sz="4" w:space="0" w:color="auto"/>
              <w:left w:val="nil"/>
              <w:bottom w:val="single" w:sz="4" w:space="0" w:color="auto"/>
              <w:right w:val="nil"/>
            </w:tcBorders>
            <w:shd w:val="clear" w:color="auto" w:fill="auto"/>
            <w:vAlign w:val="center"/>
            <w:hideMark/>
          </w:tcPr>
          <w:p w14:paraId="54428577" w14:textId="77777777" w:rsidR="004449AB" w:rsidRPr="004449AB" w:rsidRDefault="004449AB" w:rsidP="004449AB">
            <w:pPr>
              <w:spacing w:after="0" w:line="240" w:lineRule="auto"/>
              <w:jc w:val="center"/>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w:t>
            </w:r>
          </w:p>
        </w:tc>
        <w:tc>
          <w:tcPr>
            <w:tcW w:w="464" w:type="pct"/>
            <w:tcBorders>
              <w:top w:val="single" w:sz="4" w:space="0" w:color="auto"/>
              <w:left w:val="nil"/>
              <w:bottom w:val="single" w:sz="4" w:space="0" w:color="auto"/>
              <w:right w:val="nil"/>
            </w:tcBorders>
            <w:shd w:val="clear" w:color="auto" w:fill="auto"/>
            <w:vAlign w:val="center"/>
            <w:hideMark/>
          </w:tcPr>
          <w:p w14:paraId="17071354" w14:textId="77777777" w:rsidR="004449AB" w:rsidRPr="004449AB" w:rsidRDefault="004449AB" w:rsidP="004449AB">
            <w:pPr>
              <w:spacing w:after="0" w:line="240" w:lineRule="auto"/>
              <w:jc w:val="center"/>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Outros Resultados Abrangentes</w:t>
            </w:r>
          </w:p>
        </w:tc>
        <w:tc>
          <w:tcPr>
            <w:tcW w:w="64" w:type="pct"/>
            <w:tcBorders>
              <w:top w:val="single" w:sz="4" w:space="0" w:color="auto"/>
              <w:left w:val="nil"/>
              <w:bottom w:val="single" w:sz="4" w:space="0" w:color="auto"/>
              <w:right w:val="nil"/>
            </w:tcBorders>
            <w:shd w:val="clear" w:color="auto" w:fill="auto"/>
            <w:vAlign w:val="center"/>
            <w:hideMark/>
          </w:tcPr>
          <w:p w14:paraId="057D42FA" w14:textId="77777777" w:rsidR="004449AB" w:rsidRPr="004449AB" w:rsidRDefault="004449AB" w:rsidP="004449AB">
            <w:pPr>
              <w:spacing w:after="0" w:line="240" w:lineRule="auto"/>
              <w:jc w:val="center"/>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w:t>
            </w:r>
          </w:p>
        </w:tc>
        <w:tc>
          <w:tcPr>
            <w:tcW w:w="396" w:type="pct"/>
            <w:tcBorders>
              <w:top w:val="single" w:sz="4" w:space="0" w:color="auto"/>
              <w:left w:val="nil"/>
              <w:bottom w:val="single" w:sz="4" w:space="0" w:color="auto"/>
              <w:right w:val="nil"/>
            </w:tcBorders>
            <w:shd w:val="clear" w:color="auto" w:fill="auto"/>
            <w:vAlign w:val="center"/>
            <w:hideMark/>
          </w:tcPr>
          <w:p w14:paraId="317F32E9" w14:textId="77777777" w:rsidR="004449AB" w:rsidRPr="004449AB" w:rsidRDefault="004449AB" w:rsidP="004449AB">
            <w:pPr>
              <w:spacing w:after="0" w:line="240" w:lineRule="auto"/>
              <w:jc w:val="center"/>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Ações em Tesouraria</w:t>
            </w:r>
          </w:p>
        </w:tc>
        <w:tc>
          <w:tcPr>
            <w:tcW w:w="64" w:type="pct"/>
            <w:tcBorders>
              <w:top w:val="single" w:sz="4" w:space="0" w:color="auto"/>
              <w:left w:val="nil"/>
              <w:bottom w:val="single" w:sz="4" w:space="0" w:color="auto"/>
              <w:right w:val="nil"/>
            </w:tcBorders>
            <w:shd w:val="clear" w:color="auto" w:fill="auto"/>
            <w:vAlign w:val="center"/>
            <w:hideMark/>
          </w:tcPr>
          <w:p w14:paraId="77D0D00F" w14:textId="77777777" w:rsidR="004449AB" w:rsidRPr="004449AB" w:rsidRDefault="004449AB" w:rsidP="004449AB">
            <w:pPr>
              <w:spacing w:after="0" w:line="240" w:lineRule="auto"/>
              <w:jc w:val="center"/>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w:t>
            </w:r>
          </w:p>
        </w:tc>
        <w:tc>
          <w:tcPr>
            <w:tcW w:w="410" w:type="pct"/>
            <w:tcBorders>
              <w:top w:val="single" w:sz="4" w:space="0" w:color="auto"/>
              <w:left w:val="nil"/>
              <w:bottom w:val="single" w:sz="4" w:space="0" w:color="auto"/>
              <w:right w:val="nil"/>
            </w:tcBorders>
            <w:shd w:val="clear" w:color="auto" w:fill="auto"/>
            <w:vAlign w:val="center"/>
            <w:hideMark/>
          </w:tcPr>
          <w:p w14:paraId="20CAD13A" w14:textId="77777777" w:rsidR="004449AB" w:rsidRPr="004449AB" w:rsidRDefault="004449AB" w:rsidP="004449AB">
            <w:pPr>
              <w:spacing w:after="0" w:line="240" w:lineRule="auto"/>
              <w:jc w:val="center"/>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Total do Patrimônio Líquido</w:t>
            </w:r>
          </w:p>
        </w:tc>
      </w:tr>
      <w:tr w:rsidR="004449AB" w:rsidRPr="004449AB" w14:paraId="2487D676" w14:textId="77777777" w:rsidTr="00075425">
        <w:trPr>
          <w:trHeight w:val="215"/>
        </w:trPr>
        <w:tc>
          <w:tcPr>
            <w:tcW w:w="2640" w:type="pct"/>
            <w:tcBorders>
              <w:top w:val="nil"/>
              <w:left w:val="nil"/>
              <w:bottom w:val="nil"/>
              <w:right w:val="nil"/>
            </w:tcBorders>
            <w:shd w:val="clear" w:color="auto" w:fill="auto"/>
            <w:vAlign w:val="center"/>
            <w:hideMark/>
          </w:tcPr>
          <w:p w14:paraId="0CBF91B4" w14:textId="77777777" w:rsidR="004449AB" w:rsidRPr="004449AB" w:rsidRDefault="004449AB" w:rsidP="004449AB">
            <w:pPr>
              <w:spacing w:after="0" w:line="240" w:lineRule="auto"/>
              <w:jc w:val="center"/>
              <w:rPr>
                <w:rFonts w:ascii="Arial" w:eastAsia="Times New Roman" w:hAnsi="Arial" w:cs="Arial"/>
                <w:b/>
                <w:bCs/>
                <w:kern w:val="0"/>
                <w:sz w:val="18"/>
                <w:szCs w:val="18"/>
                <w:lang w:eastAsia="pt-BR"/>
                <w14:ligatures w14:val="none"/>
              </w:rPr>
            </w:pPr>
          </w:p>
        </w:tc>
        <w:tc>
          <w:tcPr>
            <w:tcW w:w="383" w:type="pct"/>
            <w:tcBorders>
              <w:top w:val="nil"/>
              <w:left w:val="nil"/>
              <w:bottom w:val="nil"/>
              <w:right w:val="nil"/>
            </w:tcBorders>
            <w:shd w:val="clear" w:color="auto" w:fill="auto"/>
            <w:vAlign w:val="center"/>
            <w:hideMark/>
          </w:tcPr>
          <w:p w14:paraId="2C45561F" w14:textId="77777777" w:rsidR="004449AB" w:rsidRPr="004449AB" w:rsidRDefault="004449AB" w:rsidP="004449AB">
            <w:pPr>
              <w:spacing w:after="0" w:line="240" w:lineRule="auto"/>
              <w:rPr>
                <w:rFonts w:ascii="Times New Roman" w:eastAsia="Times New Roman" w:hAnsi="Times New Roman" w:cs="Times New Roman"/>
                <w:kern w:val="0"/>
                <w:sz w:val="18"/>
                <w:szCs w:val="18"/>
                <w:lang w:eastAsia="pt-BR"/>
                <w14:ligatures w14:val="none"/>
              </w:rPr>
            </w:pPr>
          </w:p>
        </w:tc>
        <w:tc>
          <w:tcPr>
            <w:tcW w:w="64" w:type="pct"/>
            <w:tcBorders>
              <w:top w:val="nil"/>
              <w:left w:val="nil"/>
              <w:bottom w:val="nil"/>
              <w:right w:val="nil"/>
            </w:tcBorders>
            <w:shd w:val="clear" w:color="auto" w:fill="auto"/>
            <w:vAlign w:val="center"/>
            <w:hideMark/>
          </w:tcPr>
          <w:p w14:paraId="7B05B1C9" w14:textId="77777777" w:rsidR="004449AB" w:rsidRPr="004449AB" w:rsidRDefault="004449AB" w:rsidP="004449AB">
            <w:pPr>
              <w:spacing w:after="0" w:line="240" w:lineRule="auto"/>
              <w:jc w:val="center"/>
              <w:rPr>
                <w:rFonts w:ascii="Times New Roman" w:eastAsia="Times New Roman" w:hAnsi="Times New Roman" w:cs="Times New Roman"/>
                <w:kern w:val="0"/>
                <w:sz w:val="18"/>
                <w:szCs w:val="18"/>
                <w:lang w:eastAsia="pt-BR"/>
                <w14:ligatures w14:val="none"/>
              </w:rPr>
            </w:pPr>
          </w:p>
        </w:tc>
        <w:tc>
          <w:tcPr>
            <w:tcW w:w="450" w:type="pct"/>
            <w:tcBorders>
              <w:top w:val="nil"/>
              <w:left w:val="nil"/>
              <w:bottom w:val="nil"/>
              <w:right w:val="nil"/>
            </w:tcBorders>
            <w:shd w:val="clear" w:color="auto" w:fill="auto"/>
            <w:vAlign w:val="center"/>
            <w:hideMark/>
          </w:tcPr>
          <w:p w14:paraId="248253A6" w14:textId="77777777" w:rsidR="004449AB" w:rsidRPr="004449AB" w:rsidRDefault="004449AB" w:rsidP="004449AB">
            <w:pPr>
              <w:spacing w:after="0" w:line="240" w:lineRule="auto"/>
              <w:jc w:val="center"/>
              <w:rPr>
                <w:rFonts w:ascii="Times New Roman" w:eastAsia="Times New Roman" w:hAnsi="Times New Roman" w:cs="Times New Roman"/>
                <w:kern w:val="0"/>
                <w:sz w:val="18"/>
                <w:szCs w:val="18"/>
                <w:lang w:eastAsia="pt-BR"/>
                <w14:ligatures w14:val="none"/>
              </w:rPr>
            </w:pPr>
          </w:p>
        </w:tc>
        <w:tc>
          <w:tcPr>
            <w:tcW w:w="64" w:type="pct"/>
            <w:tcBorders>
              <w:top w:val="nil"/>
              <w:left w:val="nil"/>
              <w:bottom w:val="nil"/>
              <w:right w:val="nil"/>
            </w:tcBorders>
            <w:shd w:val="clear" w:color="auto" w:fill="auto"/>
            <w:vAlign w:val="center"/>
            <w:hideMark/>
          </w:tcPr>
          <w:p w14:paraId="36CFC2E0" w14:textId="77777777" w:rsidR="004449AB" w:rsidRPr="004449AB" w:rsidRDefault="004449AB" w:rsidP="004449AB">
            <w:pPr>
              <w:spacing w:after="0" w:line="240" w:lineRule="auto"/>
              <w:jc w:val="center"/>
              <w:rPr>
                <w:rFonts w:ascii="Times New Roman" w:eastAsia="Times New Roman" w:hAnsi="Times New Roman" w:cs="Times New Roman"/>
                <w:kern w:val="0"/>
                <w:sz w:val="18"/>
                <w:szCs w:val="18"/>
                <w:lang w:eastAsia="pt-BR"/>
                <w14:ligatures w14:val="none"/>
              </w:rPr>
            </w:pPr>
          </w:p>
        </w:tc>
        <w:tc>
          <w:tcPr>
            <w:tcW w:w="464" w:type="pct"/>
            <w:tcBorders>
              <w:top w:val="nil"/>
              <w:left w:val="nil"/>
              <w:bottom w:val="nil"/>
              <w:right w:val="nil"/>
            </w:tcBorders>
            <w:shd w:val="clear" w:color="auto" w:fill="auto"/>
            <w:vAlign w:val="center"/>
            <w:hideMark/>
          </w:tcPr>
          <w:p w14:paraId="5B73CE5C" w14:textId="77777777" w:rsidR="004449AB" w:rsidRPr="004449AB" w:rsidRDefault="004449AB" w:rsidP="004449AB">
            <w:pPr>
              <w:spacing w:after="0" w:line="240" w:lineRule="auto"/>
              <w:jc w:val="center"/>
              <w:rPr>
                <w:rFonts w:ascii="Times New Roman" w:eastAsia="Times New Roman" w:hAnsi="Times New Roman" w:cs="Times New Roman"/>
                <w:kern w:val="0"/>
                <w:sz w:val="18"/>
                <w:szCs w:val="18"/>
                <w:lang w:eastAsia="pt-BR"/>
                <w14:ligatures w14:val="none"/>
              </w:rPr>
            </w:pPr>
          </w:p>
        </w:tc>
        <w:tc>
          <w:tcPr>
            <w:tcW w:w="64" w:type="pct"/>
            <w:tcBorders>
              <w:top w:val="nil"/>
              <w:left w:val="nil"/>
              <w:bottom w:val="nil"/>
              <w:right w:val="nil"/>
            </w:tcBorders>
            <w:shd w:val="clear" w:color="auto" w:fill="auto"/>
            <w:vAlign w:val="center"/>
            <w:hideMark/>
          </w:tcPr>
          <w:p w14:paraId="04C0881A" w14:textId="77777777" w:rsidR="004449AB" w:rsidRPr="004449AB" w:rsidRDefault="004449AB" w:rsidP="004449AB">
            <w:pPr>
              <w:spacing w:after="0" w:line="240" w:lineRule="auto"/>
              <w:jc w:val="center"/>
              <w:rPr>
                <w:rFonts w:ascii="Times New Roman" w:eastAsia="Times New Roman" w:hAnsi="Times New Roman" w:cs="Times New Roman"/>
                <w:kern w:val="0"/>
                <w:sz w:val="18"/>
                <w:szCs w:val="18"/>
                <w:lang w:eastAsia="pt-BR"/>
                <w14:ligatures w14:val="none"/>
              </w:rPr>
            </w:pPr>
          </w:p>
        </w:tc>
        <w:tc>
          <w:tcPr>
            <w:tcW w:w="396" w:type="pct"/>
            <w:tcBorders>
              <w:top w:val="nil"/>
              <w:left w:val="nil"/>
              <w:bottom w:val="nil"/>
              <w:right w:val="nil"/>
            </w:tcBorders>
            <w:shd w:val="clear" w:color="auto" w:fill="auto"/>
            <w:vAlign w:val="center"/>
            <w:hideMark/>
          </w:tcPr>
          <w:p w14:paraId="6931F767" w14:textId="77777777" w:rsidR="004449AB" w:rsidRPr="004449AB" w:rsidRDefault="004449AB" w:rsidP="004449AB">
            <w:pPr>
              <w:spacing w:after="0" w:line="240" w:lineRule="auto"/>
              <w:jc w:val="center"/>
              <w:rPr>
                <w:rFonts w:ascii="Times New Roman" w:eastAsia="Times New Roman" w:hAnsi="Times New Roman" w:cs="Times New Roman"/>
                <w:kern w:val="0"/>
                <w:sz w:val="18"/>
                <w:szCs w:val="18"/>
                <w:lang w:eastAsia="pt-BR"/>
                <w14:ligatures w14:val="none"/>
              </w:rPr>
            </w:pPr>
          </w:p>
        </w:tc>
        <w:tc>
          <w:tcPr>
            <w:tcW w:w="64" w:type="pct"/>
            <w:tcBorders>
              <w:top w:val="nil"/>
              <w:left w:val="nil"/>
              <w:bottom w:val="nil"/>
              <w:right w:val="nil"/>
            </w:tcBorders>
            <w:shd w:val="clear" w:color="auto" w:fill="auto"/>
            <w:vAlign w:val="center"/>
            <w:hideMark/>
          </w:tcPr>
          <w:p w14:paraId="3CED1FD5" w14:textId="77777777" w:rsidR="004449AB" w:rsidRPr="004449AB" w:rsidRDefault="004449AB" w:rsidP="004449AB">
            <w:pPr>
              <w:spacing w:after="0" w:line="240" w:lineRule="auto"/>
              <w:jc w:val="center"/>
              <w:rPr>
                <w:rFonts w:ascii="Times New Roman" w:eastAsia="Times New Roman" w:hAnsi="Times New Roman" w:cs="Times New Roman"/>
                <w:kern w:val="0"/>
                <w:sz w:val="18"/>
                <w:szCs w:val="18"/>
                <w:lang w:eastAsia="pt-BR"/>
                <w14:ligatures w14:val="none"/>
              </w:rPr>
            </w:pPr>
          </w:p>
        </w:tc>
        <w:tc>
          <w:tcPr>
            <w:tcW w:w="410" w:type="pct"/>
            <w:tcBorders>
              <w:top w:val="nil"/>
              <w:left w:val="nil"/>
              <w:bottom w:val="nil"/>
              <w:right w:val="nil"/>
            </w:tcBorders>
            <w:shd w:val="clear" w:color="auto" w:fill="auto"/>
            <w:vAlign w:val="center"/>
            <w:hideMark/>
          </w:tcPr>
          <w:p w14:paraId="6FEAFA0E" w14:textId="77777777" w:rsidR="004449AB" w:rsidRPr="004449AB" w:rsidRDefault="004449AB" w:rsidP="004449AB">
            <w:pPr>
              <w:spacing w:after="0" w:line="240" w:lineRule="auto"/>
              <w:jc w:val="center"/>
              <w:rPr>
                <w:rFonts w:ascii="Times New Roman" w:eastAsia="Times New Roman" w:hAnsi="Times New Roman" w:cs="Times New Roman"/>
                <w:kern w:val="0"/>
                <w:sz w:val="18"/>
                <w:szCs w:val="18"/>
                <w:lang w:eastAsia="pt-BR"/>
                <w14:ligatures w14:val="none"/>
              </w:rPr>
            </w:pPr>
          </w:p>
        </w:tc>
      </w:tr>
      <w:tr w:rsidR="004449AB" w:rsidRPr="004449AB" w14:paraId="20B57F66" w14:textId="77777777" w:rsidTr="00075425">
        <w:trPr>
          <w:trHeight w:val="215"/>
        </w:trPr>
        <w:tc>
          <w:tcPr>
            <w:tcW w:w="2640" w:type="pct"/>
            <w:tcBorders>
              <w:top w:val="nil"/>
              <w:left w:val="nil"/>
              <w:bottom w:val="nil"/>
              <w:right w:val="nil"/>
            </w:tcBorders>
            <w:shd w:val="clear" w:color="auto" w:fill="auto"/>
            <w:noWrap/>
            <w:vAlign w:val="bottom"/>
            <w:hideMark/>
          </w:tcPr>
          <w:p w14:paraId="0A3B2B96" w14:textId="77777777" w:rsidR="004449AB" w:rsidRPr="004449AB" w:rsidRDefault="004449AB" w:rsidP="004449AB">
            <w:pPr>
              <w:spacing w:after="0" w:line="240" w:lineRule="auto"/>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Saldo em 31 de dezembro de 2021 - Divulgado</w:t>
            </w:r>
          </w:p>
        </w:tc>
        <w:tc>
          <w:tcPr>
            <w:tcW w:w="383" w:type="pct"/>
            <w:tcBorders>
              <w:top w:val="nil"/>
              <w:left w:val="nil"/>
              <w:bottom w:val="single" w:sz="4" w:space="0" w:color="auto"/>
              <w:right w:val="nil"/>
            </w:tcBorders>
            <w:shd w:val="clear" w:color="auto" w:fill="auto"/>
            <w:noWrap/>
            <w:vAlign w:val="bottom"/>
            <w:hideMark/>
          </w:tcPr>
          <w:p w14:paraId="1B03CE3F"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3.107.339 </w:t>
            </w:r>
          </w:p>
        </w:tc>
        <w:tc>
          <w:tcPr>
            <w:tcW w:w="64" w:type="pct"/>
            <w:tcBorders>
              <w:top w:val="nil"/>
              <w:left w:val="nil"/>
              <w:bottom w:val="nil"/>
              <w:right w:val="nil"/>
            </w:tcBorders>
            <w:shd w:val="clear" w:color="auto" w:fill="auto"/>
            <w:noWrap/>
            <w:vAlign w:val="bottom"/>
            <w:hideMark/>
          </w:tcPr>
          <w:p w14:paraId="7C0BF590"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450" w:type="pct"/>
            <w:tcBorders>
              <w:top w:val="nil"/>
              <w:left w:val="nil"/>
              <w:bottom w:val="single" w:sz="4" w:space="0" w:color="auto"/>
              <w:right w:val="nil"/>
            </w:tcBorders>
            <w:shd w:val="clear" w:color="auto" w:fill="auto"/>
            <w:noWrap/>
            <w:vAlign w:val="bottom"/>
            <w:hideMark/>
          </w:tcPr>
          <w:p w14:paraId="71D89BBB"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(1.709.848)</w:t>
            </w:r>
          </w:p>
        </w:tc>
        <w:tc>
          <w:tcPr>
            <w:tcW w:w="64" w:type="pct"/>
            <w:tcBorders>
              <w:top w:val="nil"/>
              <w:left w:val="nil"/>
              <w:bottom w:val="nil"/>
              <w:right w:val="nil"/>
            </w:tcBorders>
            <w:shd w:val="clear" w:color="auto" w:fill="auto"/>
            <w:noWrap/>
            <w:vAlign w:val="bottom"/>
            <w:hideMark/>
          </w:tcPr>
          <w:p w14:paraId="1DDB500B"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464" w:type="pct"/>
            <w:tcBorders>
              <w:top w:val="nil"/>
              <w:left w:val="nil"/>
              <w:bottom w:val="single" w:sz="4" w:space="0" w:color="auto"/>
              <w:right w:val="nil"/>
            </w:tcBorders>
            <w:shd w:val="clear" w:color="auto" w:fill="auto"/>
            <w:noWrap/>
            <w:vAlign w:val="bottom"/>
            <w:hideMark/>
          </w:tcPr>
          <w:p w14:paraId="019A7A43"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33.378 </w:t>
            </w:r>
          </w:p>
        </w:tc>
        <w:tc>
          <w:tcPr>
            <w:tcW w:w="64" w:type="pct"/>
            <w:tcBorders>
              <w:top w:val="nil"/>
              <w:left w:val="nil"/>
              <w:bottom w:val="nil"/>
              <w:right w:val="nil"/>
            </w:tcBorders>
            <w:shd w:val="clear" w:color="auto" w:fill="auto"/>
            <w:noWrap/>
            <w:vAlign w:val="bottom"/>
            <w:hideMark/>
          </w:tcPr>
          <w:p w14:paraId="1E50FBAA"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396" w:type="pct"/>
            <w:tcBorders>
              <w:top w:val="nil"/>
              <w:left w:val="nil"/>
              <w:bottom w:val="single" w:sz="4" w:space="0" w:color="auto"/>
              <w:right w:val="nil"/>
            </w:tcBorders>
            <w:shd w:val="clear" w:color="auto" w:fill="auto"/>
            <w:noWrap/>
            <w:vAlign w:val="bottom"/>
            <w:hideMark/>
          </w:tcPr>
          <w:p w14:paraId="23D35964"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(111)</w:t>
            </w:r>
          </w:p>
        </w:tc>
        <w:tc>
          <w:tcPr>
            <w:tcW w:w="64" w:type="pct"/>
            <w:tcBorders>
              <w:top w:val="nil"/>
              <w:left w:val="nil"/>
              <w:bottom w:val="nil"/>
              <w:right w:val="nil"/>
            </w:tcBorders>
            <w:shd w:val="clear" w:color="auto" w:fill="auto"/>
            <w:noWrap/>
            <w:vAlign w:val="bottom"/>
            <w:hideMark/>
          </w:tcPr>
          <w:p w14:paraId="7E190BE2"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410" w:type="pct"/>
            <w:tcBorders>
              <w:top w:val="nil"/>
              <w:left w:val="nil"/>
              <w:bottom w:val="single" w:sz="4" w:space="0" w:color="auto"/>
              <w:right w:val="nil"/>
            </w:tcBorders>
            <w:shd w:val="clear" w:color="auto" w:fill="auto"/>
            <w:noWrap/>
            <w:vAlign w:val="bottom"/>
            <w:hideMark/>
          </w:tcPr>
          <w:p w14:paraId="21E9C84A"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1.430.758 </w:t>
            </w:r>
          </w:p>
        </w:tc>
      </w:tr>
      <w:tr w:rsidR="004449AB" w:rsidRPr="004449AB" w14:paraId="73A5C698" w14:textId="77777777" w:rsidTr="00075425">
        <w:trPr>
          <w:trHeight w:val="215"/>
        </w:trPr>
        <w:tc>
          <w:tcPr>
            <w:tcW w:w="2640" w:type="pct"/>
            <w:tcBorders>
              <w:top w:val="nil"/>
              <w:left w:val="nil"/>
              <w:bottom w:val="nil"/>
              <w:right w:val="nil"/>
            </w:tcBorders>
            <w:shd w:val="clear" w:color="auto" w:fill="auto"/>
            <w:noWrap/>
            <w:vAlign w:val="bottom"/>
            <w:hideMark/>
          </w:tcPr>
          <w:p w14:paraId="6DE52E97" w14:textId="77777777" w:rsidR="004449AB" w:rsidRPr="004449AB" w:rsidRDefault="004449AB" w:rsidP="004449AB">
            <w:pPr>
              <w:spacing w:after="0" w:line="240" w:lineRule="auto"/>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Ajuste de Exercícios Anteriores </w:t>
            </w:r>
          </w:p>
        </w:tc>
        <w:tc>
          <w:tcPr>
            <w:tcW w:w="383" w:type="pct"/>
            <w:tcBorders>
              <w:top w:val="single" w:sz="4" w:space="0" w:color="auto"/>
              <w:left w:val="nil"/>
              <w:bottom w:val="single" w:sz="4" w:space="0" w:color="auto"/>
              <w:right w:val="nil"/>
            </w:tcBorders>
            <w:shd w:val="clear" w:color="auto" w:fill="auto"/>
            <w:noWrap/>
            <w:vAlign w:val="bottom"/>
            <w:hideMark/>
          </w:tcPr>
          <w:p w14:paraId="0C393C16"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   </w:t>
            </w:r>
          </w:p>
        </w:tc>
        <w:tc>
          <w:tcPr>
            <w:tcW w:w="64" w:type="pct"/>
            <w:tcBorders>
              <w:top w:val="nil"/>
              <w:left w:val="nil"/>
              <w:bottom w:val="nil"/>
              <w:right w:val="nil"/>
            </w:tcBorders>
            <w:shd w:val="clear" w:color="auto" w:fill="auto"/>
            <w:noWrap/>
            <w:vAlign w:val="bottom"/>
            <w:hideMark/>
          </w:tcPr>
          <w:p w14:paraId="0AC2DAC2"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450" w:type="pct"/>
            <w:tcBorders>
              <w:top w:val="single" w:sz="4" w:space="0" w:color="auto"/>
              <w:left w:val="nil"/>
              <w:bottom w:val="single" w:sz="4" w:space="0" w:color="auto"/>
              <w:right w:val="nil"/>
            </w:tcBorders>
            <w:shd w:val="clear" w:color="auto" w:fill="auto"/>
            <w:noWrap/>
            <w:vAlign w:val="bottom"/>
            <w:hideMark/>
          </w:tcPr>
          <w:p w14:paraId="704EF1E1"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(67.548)</w:t>
            </w:r>
          </w:p>
        </w:tc>
        <w:tc>
          <w:tcPr>
            <w:tcW w:w="64" w:type="pct"/>
            <w:tcBorders>
              <w:top w:val="nil"/>
              <w:left w:val="nil"/>
              <w:bottom w:val="nil"/>
              <w:right w:val="nil"/>
            </w:tcBorders>
            <w:shd w:val="clear" w:color="auto" w:fill="auto"/>
            <w:noWrap/>
            <w:vAlign w:val="bottom"/>
            <w:hideMark/>
          </w:tcPr>
          <w:p w14:paraId="1FA247CA"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464" w:type="pct"/>
            <w:tcBorders>
              <w:top w:val="single" w:sz="4" w:space="0" w:color="auto"/>
              <w:left w:val="nil"/>
              <w:bottom w:val="single" w:sz="4" w:space="0" w:color="auto"/>
              <w:right w:val="nil"/>
            </w:tcBorders>
            <w:shd w:val="clear" w:color="auto" w:fill="auto"/>
            <w:noWrap/>
            <w:vAlign w:val="bottom"/>
            <w:hideMark/>
          </w:tcPr>
          <w:p w14:paraId="2FA8DE62"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   </w:t>
            </w:r>
          </w:p>
        </w:tc>
        <w:tc>
          <w:tcPr>
            <w:tcW w:w="64" w:type="pct"/>
            <w:tcBorders>
              <w:top w:val="nil"/>
              <w:left w:val="nil"/>
              <w:bottom w:val="nil"/>
              <w:right w:val="nil"/>
            </w:tcBorders>
            <w:shd w:val="clear" w:color="auto" w:fill="auto"/>
            <w:noWrap/>
            <w:vAlign w:val="bottom"/>
            <w:hideMark/>
          </w:tcPr>
          <w:p w14:paraId="7C6832CF"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396" w:type="pct"/>
            <w:tcBorders>
              <w:top w:val="single" w:sz="4" w:space="0" w:color="auto"/>
              <w:left w:val="nil"/>
              <w:bottom w:val="single" w:sz="4" w:space="0" w:color="auto"/>
              <w:right w:val="nil"/>
            </w:tcBorders>
            <w:shd w:val="clear" w:color="auto" w:fill="auto"/>
            <w:noWrap/>
            <w:vAlign w:val="bottom"/>
            <w:hideMark/>
          </w:tcPr>
          <w:p w14:paraId="44722DE7"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   </w:t>
            </w:r>
          </w:p>
        </w:tc>
        <w:tc>
          <w:tcPr>
            <w:tcW w:w="64" w:type="pct"/>
            <w:tcBorders>
              <w:top w:val="nil"/>
              <w:left w:val="nil"/>
              <w:bottom w:val="nil"/>
              <w:right w:val="nil"/>
            </w:tcBorders>
            <w:shd w:val="clear" w:color="auto" w:fill="auto"/>
            <w:noWrap/>
            <w:vAlign w:val="bottom"/>
            <w:hideMark/>
          </w:tcPr>
          <w:p w14:paraId="6B57D6C0"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410" w:type="pct"/>
            <w:tcBorders>
              <w:top w:val="single" w:sz="4" w:space="0" w:color="auto"/>
              <w:left w:val="nil"/>
              <w:bottom w:val="single" w:sz="4" w:space="0" w:color="auto"/>
              <w:right w:val="nil"/>
            </w:tcBorders>
            <w:shd w:val="clear" w:color="auto" w:fill="auto"/>
            <w:noWrap/>
            <w:vAlign w:val="bottom"/>
            <w:hideMark/>
          </w:tcPr>
          <w:p w14:paraId="23D669CE"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(67.548)</w:t>
            </w:r>
          </w:p>
        </w:tc>
      </w:tr>
      <w:tr w:rsidR="004449AB" w:rsidRPr="004449AB" w14:paraId="457BA796" w14:textId="77777777" w:rsidTr="00075425">
        <w:trPr>
          <w:trHeight w:val="215"/>
        </w:trPr>
        <w:tc>
          <w:tcPr>
            <w:tcW w:w="2640" w:type="pct"/>
            <w:tcBorders>
              <w:top w:val="nil"/>
              <w:left w:val="nil"/>
              <w:bottom w:val="nil"/>
              <w:right w:val="nil"/>
            </w:tcBorders>
            <w:shd w:val="clear" w:color="auto" w:fill="auto"/>
            <w:noWrap/>
            <w:vAlign w:val="bottom"/>
            <w:hideMark/>
          </w:tcPr>
          <w:p w14:paraId="39C0AF5A" w14:textId="77777777" w:rsidR="004449AB" w:rsidRPr="004449AB" w:rsidRDefault="004449AB" w:rsidP="004449AB">
            <w:pPr>
              <w:spacing w:after="0" w:line="240" w:lineRule="auto"/>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Saldo em 31 de dezembro de 2021 - Reapresentado</w:t>
            </w:r>
          </w:p>
        </w:tc>
        <w:tc>
          <w:tcPr>
            <w:tcW w:w="383" w:type="pct"/>
            <w:tcBorders>
              <w:top w:val="single" w:sz="4" w:space="0" w:color="auto"/>
              <w:left w:val="nil"/>
              <w:bottom w:val="double" w:sz="6" w:space="0" w:color="auto"/>
              <w:right w:val="nil"/>
            </w:tcBorders>
            <w:shd w:val="clear" w:color="auto" w:fill="auto"/>
            <w:noWrap/>
            <w:vAlign w:val="bottom"/>
            <w:hideMark/>
          </w:tcPr>
          <w:p w14:paraId="3013EC88"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3.107.339 </w:t>
            </w:r>
          </w:p>
        </w:tc>
        <w:tc>
          <w:tcPr>
            <w:tcW w:w="64" w:type="pct"/>
            <w:tcBorders>
              <w:top w:val="nil"/>
              <w:left w:val="nil"/>
              <w:bottom w:val="nil"/>
              <w:right w:val="nil"/>
            </w:tcBorders>
            <w:shd w:val="clear" w:color="auto" w:fill="auto"/>
            <w:noWrap/>
            <w:vAlign w:val="bottom"/>
            <w:hideMark/>
          </w:tcPr>
          <w:p w14:paraId="0765F946"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450" w:type="pct"/>
            <w:tcBorders>
              <w:top w:val="single" w:sz="4" w:space="0" w:color="auto"/>
              <w:left w:val="nil"/>
              <w:bottom w:val="double" w:sz="6" w:space="0" w:color="auto"/>
              <w:right w:val="nil"/>
            </w:tcBorders>
            <w:shd w:val="clear" w:color="auto" w:fill="auto"/>
            <w:noWrap/>
            <w:vAlign w:val="bottom"/>
            <w:hideMark/>
          </w:tcPr>
          <w:p w14:paraId="6E189A10"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(1.777.396)</w:t>
            </w:r>
          </w:p>
        </w:tc>
        <w:tc>
          <w:tcPr>
            <w:tcW w:w="64" w:type="pct"/>
            <w:tcBorders>
              <w:top w:val="nil"/>
              <w:left w:val="nil"/>
              <w:bottom w:val="nil"/>
              <w:right w:val="nil"/>
            </w:tcBorders>
            <w:shd w:val="clear" w:color="auto" w:fill="auto"/>
            <w:noWrap/>
            <w:vAlign w:val="bottom"/>
            <w:hideMark/>
          </w:tcPr>
          <w:p w14:paraId="40DB5B63"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464" w:type="pct"/>
            <w:tcBorders>
              <w:top w:val="single" w:sz="4" w:space="0" w:color="auto"/>
              <w:left w:val="nil"/>
              <w:bottom w:val="double" w:sz="6" w:space="0" w:color="auto"/>
              <w:right w:val="nil"/>
            </w:tcBorders>
            <w:shd w:val="clear" w:color="auto" w:fill="auto"/>
            <w:noWrap/>
            <w:vAlign w:val="bottom"/>
            <w:hideMark/>
          </w:tcPr>
          <w:p w14:paraId="3A4DBD4E"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33.378 </w:t>
            </w:r>
          </w:p>
        </w:tc>
        <w:tc>
          <w:tcPr>
            <w:tcW w:w="64" w:type="pct"/>
            <w:tcBorders>
              <w:top w:val="nil"/>
              <w:left w:val="nil"/>
              <w:bottom w:val="nil"/>
              <w:right w:val="nil"/>
            </w:tcBorders>
            <w:shd w:val="clear" w:color="auto" w:fill="auto"/>
            <w:noWrap/>
            <w:vAlign w:val="bottom"/>
            <w:hideMark/>
          </w:tcPr>
          <w:p w14:paraId="53643918"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396" w:type="pct"/>
            <w:tcBorders>
              <w:top w:val="single" w:sz="4" w:space="0" w:color="auto"/>
              <w:left w:val="nil"/>
              <w:bottom w:val="double" w:sz="6" w:space="0" w:color="auto"/>
              <w:right w:val="nil"/>
            </w:tcBorders>
            <w:shd w:val="clear" w:color="auto" w:fill="auto"/>
            <w:noWrap/>
            <w:vAlign w:val="bottom"/>
            <w:hideMark/>
          </w:tcPr>
          <w:p w14:paraId="46EF2CCD"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(111)</w:t>
            </w:r>
          </w:p>
        </w:tc>
        <w:tc>
          <w:tcPr>
            <w:tcW w:w="64" w:type="pct"/>
            <w:tcBorders>
              <w:top w:val="nil"/>
              <w:left w:val="nil"/>
              <w:bottom w:val="nil"/>
              <w:right w:val="nil"/>
            </w:tcBorders>
            <w:shd w:val="clear" w:color="auto" w:fill="auto"/>
            <w:noWrap/>
            <w:vAlign w:val="bottom"/>
            <w:hideMark/>
          </w:tcPr>
          <w:p w14:paraId="6096A191"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410" w:type="pct"/>
            <w:tcBorders>
              <w:top w:val="single" w:sz="4" w:space="0" w:color="auto"/>
              <w:left w:val="nil"/>
              <w:bottom w:val="double" w:sz="6" w:space="0" w:color="auto"/>
              <w:right w:val="nil"/>
            </w:tcBorders>
            <w:shd w:val="clear" w:color="auto" w:fill="auto"/>
            <w:noWrap/>
            <w:vAlign w:val="bottom"/>
            <w:hideMark/>
          </w:tcPr>
          <w:p w14:paraId="0DC12380"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1.363.210 </w:t>
            </w:r>
          </w:p>
        </w:tc>
      </w:tr>
      <w:tr w:rsidR="004449AB" w:rsidRPr="004449AB" w14:paraId="33BF6E39" w14:textId="77777777" w:rsidTr="00075425">
        <w:trPr>
          <w:trHeight w:val="215"/>
        </w:trPr>
        <w:tc>
          <w:tcPr>
            <w:tcW w:w="2640" w:type="pct"/>
            <w:tcBorders>
              <w:top w:val="nil"/>
              <w:left w:val="nil"/>
              <w:bottom w:val="nil"/>
              <w:right w:val="nil"/>
            </w:tcBorders>
            <w:shd w:val="clear" w:color="auto" w:fill="auto"/>
            <w:noWrap/>
            <w:vAlign w:val="bottom"/>
            <w:hideMark/>
          </w:tcPr>
          <w:p w14:paraId="33D90746"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383" w:type="pct"/>
            <w:tcBorders>
              <w:top w:val="nil"/>
              <w:left w:val="nil"/>
              <w:bottom w:val="nil"/>
              <w:right w:val="nil"/>
            </w:tcBorders>
            <w:shd w:val="clear" w:color="auto" w:fill="auto"/>
            <w:noWrap/>
            <w:vAlign w:val="bottom"/>
            <w:hideMark/>
          </w:tcPr>
          <w:p w14:paraId="27F8E3D8"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64" w:type="pct"/>
            <w:tcBorders>
              <w:top w:val="nil"/>
              <w:left w:val="nil"/>
              <w:bottom w:val="nil"/>
              <w:right w:val="nil"/>
            </w:tcBorders>
            <w:shd w:val="clear" w:color="auto" w:fill="auto"/>
            <w:noWrap/>
            <w:vAlign w:val="bottom"/>
            <w:hideMark/>
          </w:tcPr>
          <w:p w14:paraId="1249A007"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450" w:type="pct"/>
            <w:tcBorders>
              <w:top w:val="nil"/>
              <w:left w:val="nil"/>
              <w:bottom w:val="nil"/>
              <w:right w:val="nil"/>
            </w:tcBorders>
            <w:shd w:val="clear" w:color="auto" w:fill="auto"/>
            <w:noWrap/>
            <w:vAlign w:val="bottom"/>
            <w:hideMark/>
          </w:tcPr>
          <w:p w14:paraId="2D8CD5C1"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64" w:type="pct"/>
            <w:tcBorders>
              <w:top w:val="nil"/>
              <w:left w:val="nil"/>
              <w:bottom w:val="nil"/>
              <w:right w:val="nil"/>
            </w:tcBorders>
            <w:shd w:val="clear" w:color="auto" w:fill="auto"/>
            <w:noWrap/>
            <w:vAlign w:val="bottom"/>
            <w:hideMark/>
          </w:tcPr>
          <w:p w14:paraId="0EF12336"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464" w:type="pct"/>
            <w:tcBorders>
              <w:top w:val="nil"/>
              <w:left w:val="nil"/>
              <w:bottom w:val="nil"/>
              <w:right w:val="nil"/>
            </w:tcBorders>
            <w:shd w:val="clear" w:color="auto" w:fill="auto"/>
            <w:noWrap/>
            <w:vAlign w:val="bottom"/>
            <w:hideMark/>
          </w:tcPr>
          <w:p w14:paraId="53E076C7"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64" w:type="pct"/>
            <w:tcBorders>
              <w:top w:val="nil"/>
              <w:left w:val="nil"/>
              <w:bottom w:val="nil"/>
              <w:right w:val="nil"/>
            </w:tcBorders>
            <w:shd w:val="clear" w:color="auto" w:fill="auto"/>
            <w:noWrap/>
            <w:vAlign w:val="bottom"/>
            <w:hideMark/>
          </w:tcPr>
          <w:p w14:paraId="653997EB"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396" w:type="pct"/>
            <w:tcBorders>
              <w:top w:val="nil"/>
              <w:left w:val="nil"/>
              <w:bottom w:val="nil"/>
              <w:right w:val="nil"/>
            </w:tcBorders>
            <w:shd w:val="clear" w:color="auto" w:fill="auto"/>
            <w:noWrap/>
            <w:vAlign w:val="bottom"/>
            <w:hideMark/>
          </w:tcPr>
          <w:p w14:paraId="6D85F43A"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64" w:type="pct"/>
            <w:tcBorders>
              <w:top w:val="nil"/>
              <w:left w:val="nil"/>
              <w:bottom w:val="nil"/>
              <w:right w:val="nil"/>
            </w:tcBorders>
            <w:shd w:val="clear" w:color="auto" w:fill="auto"/>
            <w:noWrap/>
            <w:vAlign w:val="bottom"/>
            <w:hideMark/>
          </w:tcPr>
          <w:p w14:paraId="46F73773"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410" w:type="pct"/>
            <w:tcBorders>
              <w:top w:val="nil"/>
              <w:left w:val="nil"/>
              <w:bottom w:val="nil"/>
              <w:right w:val="nil"/>
            </w:tcBorders>
            <w:shd w:val="clear" w:color="auto" w:fill="auto"/>
            <w:noWrap/>
            <w:vAlign w:val="bottom"/>
            <w:hideMark/>
          </w:tcPr>
          <w:p w14:paraId="151723A7"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r>
      <w:tr w:rsidR="004449AB" w:rsidRPr="004449AB" w14:paraId="7C727952" w14:textId="77777777" w:rsidTr="00075425">
        <w:trPr>
          <w:trHeight w:val="215"/>
        </w:trPr>
        <w:tc>
          <w:tcPr>
            <w:tcW w:w="2640" w:type="pct"/>
            <w:tcBorders>
              <w:top w:val="nil"/>
              <w:left w:val="nil"/>
              <w:bottom w:val="nil"/>
              <w:right w:val="nil"/>
            </w:tcBorders>
            <w:shd w:val="clear" w:color="auto" w:fill="auto"/>
            <w:noWrap/>
            <w:vAlign w:val="bottom"/>
            <w:hideMark/>
          </w:tcPr>
          <w:p w14:paraId="51F44F28" w14:textId="77777777" w:rsidR="004449AB" w:rsidRPr="004449AB" w:rsidRDefault="004449AB" w:rsidP="004449AB">
            <w:pPr>
              <w:spacing w:after="0" w:line="240" w:lineRule="auto"/>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Transações de Capital com Acionistas:</w:t>
            </w:r>
          </w:p>
        </w:tc>
        <w:tc>
          <w:tcPr>
            <w:tcW w:w="383" w:type="pct"/>
            <w:tcBorders>
              <w:top w:val="nil"/>
              <w:left w:val="nil"/>
              <w:bottom w:val="nil"/>
              <w:right w:val="nil"/>
            </w:tcBorders>
            <w:shd w:val="clear" w:color="auto" w:fill="auto"/>
            <w:noWrap/>
            <w:vAlign w:val="bottom"/>
            <w:hideMark/>
          </w:tcPr>
          <w:p w14:paraId="248D9231"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367.159 </w:t>
            </w:r>
          </w:p>
        </w:tc>
        <w:tc>
          <w:tcPr>
            <w:tcW w:w="64" w:type="pct"/>
            <w:tcBorders>
              <w:top w:val="nil"/>
              <w:left w:val="nil"/>
              <w:bottom w:val="nil"/>
              <w:right w:val="nil"/>
            </w:tcBorders>
            <w:shd w:val="clear" w:color="auto" w:fill="auto"/>
            <w:noWrap/>
            <w:vAlign w:val="bottom"/>
            <w:hideMark/>
          </w:tcPr>
          <w:p w14:paraId="662E216A"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450" w:type="pct"/>
            <w:tcBorders>
              <w:top w:val="nil"/>
              <w:left w:val="nil"/>
              <w:bottom w:val="nil"/>
              <w:right w:val="nil"/>
            </w:tcBorders>
            <w:shd w:val="clear" w:color="auto" w:fill="auto"/>
            <w:noWrap/>
            <w:vAlign w:val="bottom"/>
            <w:hideMark/>
          </w:tcPr>
          <w:p w14:paraId="12C4C184"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64" w:type="pct"/>
            <w:tcBorders>
              <w:top w:val="nil"/>
              <w:left w:val="nil"/>
              <w:bottom w:val="nil"/>
              <w:right w:val="nil"/>
            </w:tcBorders>
            <w:shd w:val="clear" w:color="auto" w:fill="auto"/>
            <w:noWrap/>
            <w:vAlign w:val="bottom"/>
            <w:hideMark/>
          </w:tcPr>
          <w:p w14:paraId="2140AEE9"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464" w:type="pct"/>
            <w:tcBorders>
              <w:top w:val="nil"/>
              <w:left w:val="nil"/>
              <w:bottom w:val="nil"/>
              <w:right w:val="nil"/>
            </w:tcBorders>
            <w:shd w:val="clear" w:color="auto" w:fill="auto"/>
            <w:noWrap/>
            <w:vAlign w:val="bottom"/>
            <w:hideMark/>
          </w:tcPr>
          <w:p w14:paraId="4982DED6"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64" w:type="pct"/>
            <w:tcBorders>
              <w:top w:val="nil"/>
              <w:left w:val="nil"/>
              <w:bottom w:val="nil"/>
              <w:right w:val="nil"/>
            </w:tcBorders>
            <w:shd w:val="clear" w:color="auto" w:fill="auto"/>
            <w:noWrap/>
            <w:vAlign w:val="bottom"/>
            <w:hideMark/>
          </w:tcPr>
          <w:p w14:paraId="3CAB8871"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396" w:type="pct"/>
            <w:tcBorders>
              <w:top w:val="nil"/>
              <w:left w:val="nil"/>
              <w:bottom w:val="nil"/>
              <w:right w:val="nil"/>
            </w:tcBorders>
            <w:shd w:val="clear" w:color="auto" w:fill="auto"/>
            <w:noWrap/>
            <w:vAlign w:val="bottom"/>
            <w:hideMark/>
          </w:tcPr>
          <w:p w14:paraId="1B9E2295"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64" w:type="pct"/>
            <w:tcBorders>
              <w:top w:val="nil"/>
              <w:left w:val="nil"/>
              <w:bottom w:val="nil"/>
              <w:right w:val="nil"/>
            </w:tcBorders>
            <w:shd w:val="clear" w:color="auto" w:fill="auto"/>
            <w:noWrap/>
            <w:vAlign w:val="bottom"/>
            <w:hideMark/>
          </w:tcPr>
          <w:p w14:paraId="1CA16534"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410" w:type="pct"/>
            <w:tcBorders>
              <w:top w:val="nil"/>
              <w:left w:val="nil"/>
              <w:bottom w:val="nil"/>
              <w:right w:val="nil"/>
            </w:tcBorders>
            <w:shd w:val="clear" w:color="auto" w:fill="auto"/>
            <w:noWrap/>
            <w:vAlign w:val="bottom"/>
            <w:hideMark/>
          </w:tcPr>
          <w:p w14:paraId="76B442C5"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367.159 </w:t>
            </w:r>
          </w:p>
        </w:tc>
      </w:tr>
      <w:tr w:rsidR="004449AB" w:rsidRPr="004449AB" w14:paraId="4120EE18" w14:textId="77777777" w:rsidTr="00075425">
        <w:trPr>
          <w:trHeight w:val="215"/>
        </w:trPr>
        <w:tc>
          <w:tcPr>
            <w:tcW w:w="2640" w:type="pct"/>
            <w:tcBorders>
              <w:top w:val="nil"/>
              <w:left w:val="nil"/>
              <w:bottom w:val="nil"/>
              <w:right w:val="nil"/>
            </w:tcBorders>
            <w:shd w:val="clear" w:color="auto" w:fill="auto"/>
            <w:noWrap/>
            <w:vAlign w:val="bottom"/>
            <w:hideMark/>
          </w:tcPr>
          <w:p w14:paraId="4EA5456F" w14:textId="77777777" w:rsidR="004449AB" w:rsidRPr="004449AB" w:rsidRDefault="004449AB" w:rsidP="004449AB">
            <w:pPr>
              <w:spacing w:after="0" w:line="240" w:lineRule="auto"/>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Adiantamentos para Futuro Aumento de Capital - AFAC</w:t>
            </w:r>
          </w:p>
        </w:tc>
        <w:tc>
          <w:tcPr>
            <w:tcW w:w="383" w:type="pct"/>
            <w:tcBorders>
              <w:top w:val="nil"/>
              <w:left w:val="nil"/>
              <w:bottom w:val="nil"/>
              <w:right w:val="nil"/>
            </w:tcBorders>
            <w:shd w:val="clear" w:color="auto" w:fill="auto"/>
            <w:noWrap/>
            <w:vAlign w:val="bottom"/>
            <w:hideMark/>
          </w:tcPr>
          <w:p w14:paraId="35659CE6" w14:textId="77777777" w:rsidR="004449AB" w:rsidRPr="004449AB" w:rsidRDefault="004449AB" w:rsidP="004449AB">
            <w:pPr>
              <w:spacing w:after="0" w:line="240" w:lineRule="auto"/>
              <w:jc w:val="right"/>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 xml:space="preserve">       367.159 </w:t>
            </w:r>
          </w:p>
        </w:tc>
        <w:tc>
          <w:tcPr>
            <w:tcW w:w="64" w:type="pct"/>
            <w:tcBorders>
              <w:top w:val="nil"/>
              <w:left w:val="nil"/>
              <w:bottom w:val="nil"/>
              <w:right w:val="nil"/>
            </w:tcBorders>
            <w:shd w:val="clear" w:color="auto" w:fill="auto"/>
            <w:noWrap/>
            <w:vAlign w:val="bottom"/>
            <w:hideMark/>
          </w:tcPr>
          <w:p w14:paraId="1640FAC6" w14:textId="77777777" w:rsidR="004449AB" w:rsidRPr="004449AB" w:rsidRDefault="004449AB" w:rsidP="004449AB">
            <w:pPr>
              <w:spacing w:after="0" w:line="240" w:lineRule="auto"/>
              <w:jc w:val="right"/>
              <w:rPr>
                <w:rFonts w:ascii="Arial" w:eastAsia="Times New Roman" w:hAnsi="Arial" w:cs="Arial"/>
                <w:kern w:val="0"/>
                <w:sz w:val="18"/>
                <w:szCs w:val="18"/>
                <w:lang w:eastAsia="pt-BR"/>
                <w14:ligatures w14:val="none"/>
              </w:rPr>
            </w:pPr>
          </w:p>
        </w:tc>
        <w:tc>
          <w:tcPr>
            <w:tcW w:w="450" w:type="pct"/>
            <w:tcBorders>
              <w:top w:val="nil"/>
              <w:left w:val="nil"/>
              <w:bottom w:val="nil"/>
              <w:right w:val="nil"/>
            </w:tcBorders>
            <w:shd w:val="clear" w:color="auto" w:fill="auto"/>
            <w:noWrap/>
            <w:vAlign w:val="bottom"/>
            <w:hideMark/>
          </w:tcPr>
          <w:p w14:paraId="55E141E3"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64" w:type="pct"/>
            <w:tcBorders>
              <w:top w:val="nil"/>
              <w:left w:val="nil"/>
              <w:bottom w:val="nil"/>
              <w:right w:val="nil"/>
            </w:tcBorders>
            <w:shd w:val="clear" w:color="auto" w:fill="auto"/>
            <w:noWrap/>
            <w:vAlign w:val="bottom"/>
            <w:hideMark/>
          </w:tcPr>
          <w:p w14:paraId="3DA99800"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464" w:type="pct"/>
            <w:tcBorders>
              <w:top w:val="nil"/>
              <w:left w:val="nil"/>
              <w:bottom w:val="nil"/>
              <w:right w:val="nil"/>
            </w:tcBorders>
            <w:shd w:val="clear" w:color="auto" w:fill="auto"/>
            <w:noWrap/>
            <w:vAlign w:val="bottom"/>
            <w:hideMark/>
          </w:tcPr>
          <w:p w14:paraId="2E391F7A"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64" w:type="pct"/>
            <w:tcBorders>
              <w:top w:val="nil"/>
              <w:left w:val="nil"/>
              <w:bottom w:val="nil"/>
              <w:right w:val="nil"/>
            </w:tcBorders>
            <w:shd w:val="clear" w:color="auto" w:fill="auto"/>
            <w:noWrap/>
            <w:vAlign w:val="bottom"/>
            <w:hideMark/>
          </w:tcPr>
          <w:p w14:paraId="60795F3D"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396" w:type="pct"/>
            <w:tcBorders>
              <w:top w:val="nil"/>
              <w:left w:val="nil"/>
              <w:bottom w:val="nil"/>
              <w:right w:val="nil"/>
            </w:tcBorders>
            <w:shd w:val="clear" w:color="auto" w:fill="auto"/>
            <w:noWrap/>
            <w:vAlign w:val="bottom"/>
            <w:hideMark/>
          </w:tcPr>
          <w:p w14:paraId="2B4791C9"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64" w:type="pct"/>
            <w:tcBorders>
              <w:top w:val="nil"/>
              <w:left w:val="nil"/>
              <w:bottom w:val="nil"/>
              <w:right w:val="nil"/>
            </w:tcBorders>
            <w:shd w:val="clear" w:color="auto" w:fill="auto"/>
            <w:noWrap/>
            <w:vAlign w:val="bottom"/>
            <w:hideMark/>
          </w:tcPr>
          <w:p w14:paraId="73B091B3"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410" w:type="pct"/>
            <w:tcBorders>
              <w:top w:val="nil"/>
              <w:left w:val="nil"/>
              <w:bottom w:val="nil"/>
              <w:right w:val="nil"/>
            </w:tcBorders>
            <w:shd w:val="clear" w:color="auto" w:fill="auto"/>
            <w:noWrap/>
            <w:vAlign w:val="bottom"/>
            <w:hideMark/>
          </w:tcPr>
          <w:p w14:paraId="57D27D62" w14:textId="77777777" w:rsidR="004449AB" w:rsidRPr="004449AB" w:rsidRDefault="004449AB" w:rsidP="004449AB">
            <w:pPr>
              <w:spacing w:after="0" w:line="240" w:lineRule="auto"/>
              <w:jc w:val="right"/>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 xml:space="preserve">        367.159 </w:t>
            </w:r>
          </w:p>
        </w:tc>
      </w:tr>
      <w:tr w:rsidR="004449AB" w:rsidRPr="004449AB" w14:paraId="64616BDA" w14:textId="77777777" w:rsidTr="00075425">
        <w:trPr>
          <w:trHeight w:val="215"/>
        </w:trPr>
        <w:tc>
          <w:tcPr>
            <w:tcW w:w="2640" w:type="pct"/>
            <w:tcBorders>
              <w:top w:val="nil"/>
              <w:left w:val="nil"/>
              <w:bottom w:val="nil"/>
              <w:right w:val="nil"/>
            </w:tcBorders>
            <w:shd w:val="clear" w:color="auto" w:fill="auto"/>
            <w:noWrap/>
            <w:vAlign w:val="bottom"/>
            <w:hideMark/>
          </w:tcPr>
          <w:p w14:paraId="275AF23A" w14:textId="77777777" w:rsidR="004449AB" w:rsidRPr="004449AB" w:rsidRDefault="004449AB" w:rsidP="004449AB">
            <w:pPr>
              <w:spacing w:after="0" w:line="240" w:lineRule="auto"/>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Resultados Abrangentes Total:</w:t>
            </w:r>
          </w:p>
        </w:tc>
        <w:tc>
          <w:tcPr>
            <w:tcW w:w="383" w:type="pct"/>
            <w:tcBorders>
              <w:top w:val="nil"/>
              <w:left w:val="nil"/>
              <w:bottom w:val="nil"/>
              <w:right w:val="nil"/>
            </w:tcBorders>
            <w:shd w:val="clear" w:color="auto" w:fill="auto"/>
            <w:noWrap/>
            <w:vAlign w:val="bottom"/>
            <w:hideMark/>
          </w:tcPr>
          <w:p w14:paraId="670B56F0"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   </w:t>
            </w:r>
          </w:p>
        </w:tc>
        <w:tc>
          <w:tcPr>
            <w:tcW w:w="64" w:type="pct"/>
            <w:tcBorders>
              <w:top w:val="nil"/>
              <w:left w:val="nil"/>
              <w:bottom w:val="nil"/>
              <w:right w:val="nil"/>
            </w:tcBorders>
            <w:shd w:val="clear" w:color="auto" w:fill="auto"/>
            <w:noWrap/>
            <w:vAlign w:val="bottom"/>
            <w:hideMark/>
          </w:tcPr>
          <w:p w14:paraId="3913140C"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450" w:type="pct"/>
            <w:tcBorders>
              <w:top w:val="nil"/>
              <w:left w:val="nil"/>
              <w:bottom w:val="nil"/>
              <w:right w:val="nil"/>
            </w:tcBorders>
            <w:shd w:val="clear" w:color="auto" w:fill="auto"/>
            <w:noWrap/>
            <w:vAlign w:val="bottom"/>
            <w:hideMark/>
          </w:tcPr>
          <w:p w14:paraId="2BF4E88D"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(168.459)</w:t>
            </w:r>
          </w:p>
        </w:tc>
        <w:tc>
          <w:tcPr>
            <w:tcW w:w="64" w:type="pct"/>
            <w:tcBorders>
              <w:top w:val="nil"/>
              <w:left w:val="nil"/>
              <w:bottom w:val="nil"/>
              <w:right w:val="nil"/>
            </w:tcBorders>
            <w:shd w:val="clear" w:color="auto" w:fill="auto"/>
            <w:noWrap/>
            <w:vAlign w:val="bottom"/>
            <w:hideMark/>
          </w:tcPr>
          <w:p w14:paraId="6D8A3B0B"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464" w:type="pct"/>
            <w:tcBorders>
              <w:top w:val="nil"/>
              <w:left w:val="nil"/>
              <w:bottom w:val="nil"/>
              <w:right w:val="nil"/>
            </w:tcBorders>
            <w:shd w:val="clear" w:color="auto" w:fill="auto"/>
            <w:noWrap/>
            <w:vAlign w:val="bottom"/>
            <w:hideMark/>
          </w:tcPr>
          <w:p w14:paraId="6B07FC52"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(6.807)</w:t>
            </w:r>
          </w:p>
        </w:tc>
        <w:tc>
          <w:tcPr>
            <w:tcW w:w="64" w:type="pct"/>
            <w:tcBorders>
              <w:top w:val="nil"/>
              <w:left w:val="nil"/>
              <w:bottom w:val="nil"/>
              <w:right w:val="nil"/>
            </w:tcBorders>
            <w:shd w:val="clear" w:color="auto" w:fill="auto"/>
            <w:noWrap/>
            <w:vAlign w:val="bottom"/>
            <w:hideMark/>
          </w:tcPr>
          <w:p w14:paraId="2C67C236"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396" w:type="pct"/>
            <w:tcBorders>
              <w:top w:val="nil"/>
              <w:left w:val="nil"/>
              <w:bottom w:val="nil"/>
              <w:right w:val="nil"/>
            </w:tcBorders>
            <w:shd w:val="clear" w:color="auto" w:fill="auto"/>
            <w:noWrap/>
            <w:vAlign w:val="bottom"/>
            <w:hideMark/>
          </w:tcPr>
          <w:p w14:paraId="2392652A"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   </w:t>
            </w:r>
          </w:p>
        </w:tc>
        <w:tc>
          <w:tcPr>
            <w:tcW w:w="64" w:type="pct"/>
            <w:tcBorders>
              <w:top w:val="nil"/>
              <w:left w:val="nil"/>
              <w:bottom w:val="nil"/>
              <w:right w:val="nil"/>
            </w:tcBorders>
            <w:shd w:val="clear" w:color="auto" w:fill="auto"/>
            <w:noWrap/>
            <w:vAlign w:val="bottom"/>
            <w:hideMark/>
          </w:tcPr>
          <w:p w14:paraId="423FC40A"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410" w:type="pct"/>
            <w:tcBorders>
              <w:top w:val="nil"/>
              <w:left w:val="nil"/>
              <w:bottom w:val="nil"/>
              <w:right w:val="nil"/>
            </w:tcBorders>
            <w:shd w:val="clear" w:color="auto" w:fill="auto"/>
            <w:noWrap/>
            <w:vAlign w:val="bottom"/>
            <w:hideMark/>
          </w:tcPr>
          <w:p w14:paraId="23508DEC"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(175.266)</w:t>
            </w:r>
          </w:p>
        </w:tc>
      </w:tr>
      <w:tr w:rsidR="004449AB" w:rsidRPr="004449AB" w14:paraId="2A4FD71C" w14:textId="77777777" w:rsidTr="00075425">
        <w:trPr>
          <w:trHeight w:val="215"/>
        </w:trPr>
        <w:tc>
          <w:tcPr>
            <w:tcW w:w="2640" w:type="pct"/>
            <w:tcBorders>
              <w:top w:val="nil"/>
              <w:left w:val="nil"/>
              <w:bottom w:val="nil"/>
              <w:right w:val="nil"/>
            </w:tcBorders>
            <w:shd w:val="clear" w:color="auto" w:fill="auto"/>
            <w:noWrap/>
            <w:vAlign w:val="bottom"/>
            <w:hideMark/>
          </w:tcPr>
          <w:p w14:paraId="0873713A" w14:textId="77777777" w:rsidR="004449AB" w:rsidRPr="004449AB" w:rsidRDefault="004449AB" w:rsidP="004449AB">
            <w:pPr>
              <w:spacing w:after="0" w:line="240" w:lineRule="auto"/>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Prejuízo do Exercício</w:t>
            </w:r>
          </w:p>
        </w:tc>
        <w:tc>
          <w:tcPr>
            <w:tcW w:w="383" w:type="pct"/>
            <w:tcBorders>
              <w:top w:val="nil"/>
              <w:left w:val="nil"/>
              <w:bottom w:val="nil"/>
              <w:right w:val="nil"/>
            </w:tcBorders>
            <w:shd w:val="clear" w:color="auto" w:fill="auto"/>
            <w:noWrap/>
            <w:vAlign w:val="bottom"/>
            <w:hideMark/>
          </w:tcPr>
          <w:p w14:paraId="4FCB682E"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   </w:t>
            </w:r>
          </w:p>
        </w:tc>
        <w:tc>
          <w:tcPr>
            <w:tcW w:w="64" w:type="pct"/>
            <w:tcBorders>
              <w:top w:val="nil"/>
              <w:left w:val="nil"/>
              <w:bottom w:val="nil"/>
              <w:right w:val="nil"/>
            </w:tcBorders>
            <w:shd w:val="clear" w:color="auto" w:fill="auto"/>
            <w:noWrap/>
            <w:vAlign w:val="bottom"/>
            <w:hideMark/>
          </w:tcPr>
          <w:p w14:paraId="496889B2"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450" w:type="pct"/>
            <w:tcBorders>
              <w:top w:val="nil"/>
              <w:left w:val="nil"/>
              <w:bottom w:val="nil"/>
              <w:right w:val="nil"/>
            </w:tcBorders>
            <w:shd w:val="clear" w:color="auto" w:fill="auto"/>
            <w:noWrap/>
            <w:vAlign w:val="bottom"/>
            <w:hideMark/>
          </w:tcPr>
          <w:p w14:paraId="4A775B76" w14:textId="77777777" w:rsidR="004449AB" w:rsidRPr="004449AB" w:rsidRDefault="004449AB" w:rsidP="004449AB">
            <w:pPr>
              <w:spacing w:after="0" w:line="240" w:lineRule="auto"/>
              <w:jc w:val="right"/>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 xml:space="preserve">          (168.459)</w:t>
            </w:r>
          </w:p>
        </w:tc>
        <w:tc>
          <w:tcPr>
            <w:tcW w:w="64" w:type="pct"/>
            <w:tcBorders>
              <w:top w:val="nil"/>
              <w:left w:val="nil"/>
              <w:bottom w:val="nil"/>
              <w:right w:val="nil"/>
            </w:tcBorders>
            <w:shd w:val="clear" w:color="auto" w:fill="auto"/>
            <w:noWrap/>
            <w:vAlign w:val="bottom"/>
            <w:hideMark/>
          </w:tcPr>
          <w:p w14:paraId="5FFCA9FD" w14:textId="77777777" w:rsidR="004449AB" w:rsidRPr="004449AB" w:rsidRDefault="004449AB" w:rsidP="004449AB">
            <w:pPr>
              <w:spacing w:after="0" w:line="240" w:lineRule="auto"/>
              <w:jc w:val="right"/>
              <w:rPr>
                <w:rFonts w:ascii="Arial" w:eastAsia="Times New Roman" w:hAnsi="Arial" w:cs="Arial"/>
                <w:kern w:val="0"/>
                <w:sz w:val="18"/>
                <w:szCs w:val="18"/>
                <w:lang w:eastAsia="pt-BR"/>
                <w14:ligatures w14:val="none"/>
              </w:rPr>
            </w:pPr>
          </w:p>
        </w:tc>
        <w:tc>
          <w:tcPr>
            <w:tcW w:w="464" w:type="pct"/>
            <w:tcBorders>
              <w:top w:val="nil"/>
              <w:left w:val="nil"/>
              <w:bottom w:val="nil"/>
              <w:right w:val="nil"/>
            </w:tcBorders>
            <w:shd w:val="clear" w:color="auto" w:fill="auto"/>
            <w:noWrap/>
            <w:vAlign w:val="bottom"/>
            <w:hideMark/>
          </w:tcPr>
          <w:p w14:paraId="7B122CDE"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   </w:t>
            </w:r>
          </w:p>
        </w:tc>
        <w:tc>
          <w:tcPr>
            <w:tcW w:w="64" w:type="pct"/>
            <w:tcBorders>
              <w:top w:val="nil"/>
              <w:left w:val="nil"/>
              <w:bottom w:val="nil"/>
              <w:right w:val="nil"/>
            </w:tcBorders>
            <w:shd w:val="clear" w:color="auto" w:fill="auto"/>
            <w:noWrap/>
            <w:vAlign w:val="bottom"/>
            <w:hideMark/>
          </w:tcPr>
          <w:p w14:paraId="03503850"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396" w:type="pct"/>
            <w:tcBorders>
              <w:top w:val="nil"/>
              <w:left w:val="nil"/>
              <w:bottom w:val="nil"/>
              <w:right w:val="nil"/>
            </w:tcBorders>
            <w:shd w:val="clear" w:color="auto" w:fill="auto"/>
            <w:noWrap/>
            <w:vAlign w:val="bottom"/>
            <w:hideMark/>
          </w:tcPr>
          <w:p w14:paraId="378D0BB0" w14:textId="77777777" w:rsidR="004449AB" w:rsidRPr="004449AB" w:rsidRDefault="004449AB" w:rsidP="004449AB">
            <w:pPr>
              <w:spacing w:after="0" w:line="240" w:lineRule="auto"/>
              <w:jc w:val="right"/>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 xml:space="preserve">                  -   </w:t>
            </w:r>
          </w:p>
        </w:tc>
        <w:tc>
          <w:tcPr>
            <w:tcW w:w="64" w:type="pct"/>
            <w:tcBorders>
              <w:top w:val="nil"/>
              <w:left w:val="nil"/>
              <w:bottom w:val="nil"/>
              <w:right w:val="nil"/>
            </w:tcBorders>
            <w:shd w:val="clear" w:color="auto" w:fill="auto"/>
            <w:noWrap/>
            <w:vAlign w:val="bottom"/>
            <w:hideMark/>
          </w:tcPr>
          <w:p w14:paraId="39062260" w14:textId="77777777" w:rsidR="004449AB" w:rsidRPr="004449AB" w:rsidRDefault="004449AB" w:rsidP="004449AB">
            <w:pPr>
              <w:spacing w:after="0" w:line="240" w:lineRule="auto"/>
              <w:jc w:val="right"/>
              <w:rPr>
                <w:rFonts w:ascii="Arial" w:eastAsia="Times New Roman" w:hAnsi="Arial" w:cs="Arial"/>
                <w:kern w:val="0"/>
                <w:sz w:val="18"/>
                <w:szCs w:val="18"/>
                <w:lang w:eastAsia="pt-BR"/>
                <w14:ligatures w14:val="none"/>
              </w:rPr>
            </w:pPr>
          </w:p>
        </w:tc>
        <w:tc>
          <w:tcPr>
            <w:tcW w:w="410" w:type="pct"/>
            <w:tcBorders>
              <w:top w:val="nil"/>
              <w:left w:val="nil"/>
              <w:bottom w:val="nil"/>
              <w:right w:val="nil"/>
            </w:tcBorders>
            <w:shd w:val="clear" w:color="auto" w:fill="auto"/>
            <w:noWrap/>
            <w:vAlign w:val="bottom"/>
            <w:hideMark/>
          </w:tcPr>
          <w:p w14:paraId="3B6199A3"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(168.459)</w:t>
            </w:r>
          </w:p>
        </w:tc>
      </w:tr>
      <w:tr w:rsidR="004449AB" w:rsidRPr="004449AB" w14:paraId="37CEF4D7" w14:textId="77777777" w:rsidTr="00075425">
        <w:trPr>
          <w:trHeight w:val="215"/>
        </w:trPr>
        <w:tc>
          <w:tcPr>
            <w:tcW w:w="2640" w:type="pct"/>
            <w:tcBorders>
              <w:top w:val="nil"/>
              <w:left w:val="nil"/>
              <w:bottom w:val="nil"/>
              <w:right w:val="nil"/>
            </w:tcBorders>
            <w:shd w:val="clear" w:color="auto" w:fill="auto"/>
            <w:noWrap/>
            <w:vAlign w:val="bottom"/>
            <w:hideMark/>
          </w:tcPr>
          <w:p w14:paraId="53FC1F4B" w14:textId="77777777" w:rsidR="004449AB" w:rsidRPr="004449AB" w:rsidRDefault="004449AB" w:rsidP="004449AB">
            <w:pPr>
              <w:spacing w:after="0" w:line="240" w:lineRule="auto"/>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Outros Resultados Abrangentes:</w:t>
            </w:r>
          </w:p>
        </w:tc>
        <w:tc>
          <w:tcPr>
            <w:tcW w:w="383" w:type="pct"/>
            <w:tcBorders>
              <w:top w:val="nil"/>
              <w:left w:val="nil"/>
              <w:bottom w:val="nil"/>
              <w:right w:val="nil"/>
            </w:tcBorders>
            <w:shd w:val="clear" w:color="auto" w:fill="auto"/>
            <w:noWrap/>
            <w:vAlign w:val="bottom"/>
            <w:hideMark/>
          </w:tcPr>
          <w:p w14:paraId="0A495D16"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   </w:t>
            </w:r>
          </w:p>
        </w:tc>
        <w:tc>
          <w:tcPr>
            <w:tcW w:w="64" w:type="pct"/>
            <w:tcBorders>
              <w:top w:val="nil"/>
              <w:left w:val="nil"/>
              <w:bottom w:val="nil"/>
              <w:right w:val="nil"/>
            </w:tcBorders>
            <w:shd w:val="clear" w:color="auto" w:fill="auto"/>
            <w:noWrap/>
            <w:vAlign w:val="bottom"/>
            <w:hideMark/>
          </w:tcPr>
          <w:p w14:paraId="3B84CA7E"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450" w:type="pct"/>
            <w:tcBorders>
              <w:top w:val="nil"/>
              <w:left w:val="nil"/>
              <w:bottom w:val="nil"/>
              <w:right w:val="nil"/>
            </w:tcBorders>
            <w:shd w:val="clear" w:color="auto" w:fill="auto"/>
            <w:noWrap/>
            <w:vAlign w:val="bottom"/>
            <w:hideMark/>
          </w:tcPr>
          <w:p w14:paraId="705911C5"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   </w:t>
            </w:r>
          </w:p>
        </w:tc>
        <w:tc>
          <w:tcPr>
            <w:tcW w:w="64" w:type="pct"/>
            <w:tcBorders>
              <w:top w:val="nil"/>
              <w:left w:val="nil"/>
              <w:bottom w:val="nil"/>
              <w:right w:val="nil"/>
            </w:tcBorders>
            <w:shd w:val="clear" w:color="auto" w:fill="auto"/>
            <w:noWrap/>
            <w:vAlign w:val="bottom"/>
            <w:hideMark/>
          </w:tcPr>
          <w:p w14:paraId="240BB624"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464" w:type="pct"/>
            <w:tcBorders>
              <w:top w:val="nil"/>
              <w:left w:val="nil"/>
              <w:bottom w:val="nil"/>
              <w:right w:val="nil"/>
            </w:tcBorders>
            <w:shd w:val="clear" w:color="auto" w:fill="auto"/>
            <w:noWrap/>
            <w:vAlign w:val="bottom"/>
            <w:hideMark/>
          </w:tcPr>
          <w:p w14:paraId="70575B6A"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(6.807)</w:t>
            </w:r>
          </w:p>
        </w:tc>
        <w:tc>
          <w:tcPr>
            <w:tcW w:w="64" w:type="pct"/>
            <w:tcBorders>
              <w:top w:val="nil"/>
              <w:left w:val="nil"/>
              <w:bottom w:val="nil"/>
              <w:right w:val="nil"/>
            </w:tcBorders>
            <w:shd w:val="clear" w:color="auto" w:fill="auto"/>
            <w:noWrap/>
            <w:vAlign w:val="bottom"/>
            <w:hideMark/>
          </w:tcPr>
          <w:p w14:paraId="625AF7A1"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396" w:type="pct"/>
            <w:tcBorders>
              <w:top w:val="nil"/>
              <w:left w:val="nil"/>
              <w:bottom w:val="nil"/>
              <w:right w:val="nil"/>
            </w:tcBorders>
            <w:shd w:val="clear" w:color="auto" w:fill="auto"/>
            <w:noWrap/>
            <w:vAlign w:val="bottom"/>
            <w:hideMark/>
          </w:tcPr>
          <w:p w14:paraId="56DABAB9"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   </w:t>
            </w:r>
          </w:p>
        </w:tc>
        <w:tc>
          <w:tcPr>
            <w:tcW w:w="64" w:type="pct"/>
            <w:tcBorders>
              <w:top w:val="nil"/>
              <w:left w:val="nil"/>
              <w:bottom w:val="nil"/>
              <w:right w:val="nil"/>
            </w:tcBorders>
            <w:shd w:val="clear" w:color="auto" w:fill="auto"/>
            <w:noWrap/>
            <w:vAlign w:val="bottom"/>
            <w:hideMark/>
          </w:tcPr>
          <w:p w14:paraId="203A1FE1"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410" w:type="pct"/>
            <w:tcBorders>
              <w:top w:val="nil"/>
              <w:left w:val="nil"/>
              <w:bottom w:val="nil"/>
              <w:right w:val="nil"/>
            </w:tcBorders>
            <w:shd w:val="clear" w:color="auto" w:fill="auto"/>
            <w:noWrap/>
            <w:vAlign w:val="bottom"/>
            <w:hideMark/>
          </w:tcPr>
          <w:p w14:paraId="70E5B7F4"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(6.807)</w:t>
            </w:r>
          </w:p>
        </w:tc>
      </w:tr>
      <w:tr w:rsidR="004449AB" w:rsidRPr="004449AB" w14:paraId="6C05CD2A" w14:textId="77777777" w:rsidTr="00075425">
        <w:trPr>
          <w:trHeight w:val="215"/>
        </w:trPr>
        <w:tc>
          <w:tcPr>
            <w:tcW w:w="2640" w:type="pct"/>
            <w:tcBorders>
              <w:top w:val="nil"/>
              <w:left w:val="nil"/>
              <w:bottom w:val="nil"/>
              <w:right w:val="nil"/>
            </w:tcBorders>
            <w:shd w:val="clear" w:color="auto" w:fill="auto"/>
            <w:noWrap/>
            <w:vAlign w:val="bottom"/>
            <w:hideMark/>
          </w:tcPr>
          <w:p w14:paraId="1993B6D9" w14:textId="77777777" w:rsidR="004449AB" w:rsidRPr="004449AB" w:rsidRDefault="004449AB" w:rsidP="004449AB">
            <w:pPr>
              <w:spacing w:after="0" w:line="240" w:lineRule="auto"/>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 xml:space="preserve">Equivalência </w:t>
            </w:r>
            <w:proofErr w:type="gramStart"/>
            <w:r w:rsidRPr="004449AB">
              <w:rPr>
                <w:rFonts w:ascii="Arial" w:eastAsia="Times New Roman" w:hAnsi="Arial" w:cs="Arial"/>
                <w:kern w:val="0"/>
                <w:sz w:val="18"/>
                <w:szCs w:val="18"/>
                <w:lang w:eastAsia="pt-BR"/>
                <w14:ligatures w14:val="none"/>
              </w:rPr>
              <w:t>Patrimonial  sobre</w:t>
            </w:r>
            <w:proofErr w:type="gramEnd"/>
            <w:r w:rsidRPr="004449AB">
              <w:rPr>
                <w:rFonts w:ascii="Arial" w:eastAsia="Times New Roman" w:hAnsi="Arial" w:cs="Arial"/>
                <w:kern w:val="0"/>
                <w:sz w:val="18"/>
                <w:szCs w:val="18"/>
                <w:lang w:eastAsia="pt-BR"/>
                <w14:ligatures w14:val="none"/>
              </w:rPr>
              <w:t xml:space="preserve"> Outros Resultados Abrangentes - Coligadas</w:t>
            </w:r>
          </w:p>
        </w:tc>
        <w:tc>
          <w:tcPr>
            <w:tcW w:w="383" w:type="pct"/>
            <w:tcBorders>
              <w:top w:val="nil"/>
              <w:left w:val="nil"/>
              <w:bottom w:val="nil"/>
              <w:right w:val="nil"/>
            </w:tcBorders>
            <w:shd w:val="clear" w:color="auto" w:fill="auto"/>
            <w:noWrap/>
            <w:vAlign w:val="bottom"/>
            <w:hideMark/>
          </w:tcPr>
          <w:p w14:paraId="52DA5508"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   </w:t>
            </w:r>
          </w:p>
        </w:tc>
        <w:tc>
          <w:tcPr>
            <w:tcW w:w="64" w:type="pct"/>
            <w:tcBorders>
              <w:top w:val="nil"/>
              <w:left w:val="nil"/>
              <w:bottom w:val="nil"/>
              <w:right w:val="nil"/>
            </w:tcBorders>
            <w:shd w:val="clear" w:color="auto" w:fill="auto"/>
            <w:noWrap/>
            <w:vAlign w:val="bottom"/>
            <w:hideMark/>
          </w:tcPr>
          <w:p w14:paraId="1CFD0892"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450" w:type="pct"/>
            <w:tcBorders>
              <w:top w:val="nil"/>
              <w:left w:val="nil"/>
              <w:bottom w:val="nil"/>
              <w:right w:val="nil"/>
            </w:tcBorders>
            <w:shd w:val="clear" w:color="auto" w:fill="auto"/>
            <w:noWrap/>
            <w:vAlign w:val="bottom"/>
            <w:hideMark/>
          </w:tcPr>
          <w:p w14:paraId="323E9BC3"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   </w:t>
            </w:r>
          </w:p>
        </w:tc>
        <w:tc>
          <w:tcPr>
            <w:tcW w:w="64" w:type="pct"/>
            <w:tcBorders>
              <w:top w:val="nil"/>
              <w:left w:val="nil"/>
              <w:bottom w:val="nil"/>
              <w:right w:val="nil"/>
            </w:tcBorders>
            <w:shd w:val="clear" w:color="auto" w:fill="auto"/>
            <w:noWrap/>
            <w:vAlign w:val="bottom"/>
            <w:hideMark/>
          </w:tcPr>
          <w:p w14:paraId="26EA4FB3"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464" w:type="pct"/>
            <w:tcBorders>
              <w:top w:val="nil"/>
              <w:left w:val="nil"/>
              <w:bottom w:val="nil"/>
              <w:right w:val="nil"/>
            </w:tcBorders>
            <w:shd w:val="clear" w:color="auto" w:fill="auto"/>
            <w:noWrap/>
            <w:vAlign w:val="bottom"/>
            <w:hideMark/>
          </w:tcPr>
          <w:p w14:paraId="060040ED" w14:textId="77777777" w:rsidR="004449AB" w:rsidRPr="004449AB" w:rsidRDefault="004449AB" w:rsidP="004449AB">
            <w:pPr>
              <w:spacing w:after="0" w:line="240" w:lineRule="auto"/>
              <w:jc w:val="right"/>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 xml:space="preserve">              (6.457)</w:t>
            </w:r>
          </w:p>
        </w:tc>
        <w:tc>
          <w:tcPr>
            <w:tcW w:w="64" w:type="pct"/>
            <w:tcBorders>
              <w:top w:val="nil"/>
              <w:left w:val="nil"/>
              <w:bottom w:val="nil"/>
              <w:right w:val="nil"/>
            </w:tcBorders>
            <w:shd w:val="clear" w:color="auto" w:fill="auto"/>
            <w:noWrap/>
            <w:vAlign w:val="bottom"/>
            <w:hideMark/>
          </w:tcPr>
          <w:p w14:paraId="52C76EBB" w14:textId="77777777" w:rsidR="004449AB" w:rsidRPr="004449AB" w:rsidRDefault="004449AB" w:rsidP="004449AB">
            <w:pPr>
              <w:spacing w:after="0" w:line="240" w:lineRule="auto"/>
              <w:jc w:val="right"/>
              <w:rPr>
                <w:rFonts w:ascii="Arial" w:eastAsia="Times New Roman" w:hAnsi="Arial" w:cs="Arial"/>
                <w:kern w:val="0"/>
                <w:sz w:val="18"/>
                <w:szCs w:val="18"/>
                <w:lang w:eastAsia="pt-BR"/>
                <w14:ligatures w14:val="none"/>
              </w:rPr>
            </w:pPr>
          </w:p>
        </w:tc>
        <w:tc>
          <w:tcPr>
            <w:tcW w:w="396" w:type="pct"/>
            <w:tcBorders>
              <w:top w:val="nil"/>
              <w:left w:val="nil"/>
              <w:bottom w:val="nil"/>
              <w:right w:val="nil"/>
            </w:tcBorders>
            <w:shd w:val="clear" w:color="auto" w:fill="auto"/>
            <w:noWrap/>
            <w:vAlign w:val="bottom"/>
            <w:hideMark/>
          </w:tcPr>
          <w:p w14:paraId="47EFE356" w14:textId="77777777" w:rsidR="004449AB" w:rsidRPr="004449AB" w:rsidRDefault="004449AB" w:rsidP="004449AB">
            <w:pPr>
              <w:spacing w:after="0" w:line="240" w:lineRule="auto"/>
              <w:jc w:val="right"/>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 xml:space="preserve">                  -   </w:t>
            </w:r>
          </w:p>
        </w:tc>
        <w:tc>
          <w:tcPr>
            <w:tcW w:w="64" w:type="pct"/>
            <w:tcBorders>
              <w:top w:val="nil"/>
              <w:left w:val="nil"/>
              <w:bottom w:val="nil"/>
              <w:right w:val="nil"/>
            </w:tcBorders>
            <w:shd w:val="clear" w:color="auto" w:fill="auto"/>
            <w:noWrap/>
            <w:vAlign w:val="bottom"/>
            <w:hideMark/>
          </w:tcPr>
          <w:p w14:paraId="58F12731" w14:textId="77777777" w:rsidR="004449AB" w:rsidRPr="004449AB" w:rsidRDefault="004449AB" w:rsidP="004449AB">
            <w:pPr>
              <w:spacing w:after="0" w:line="240" w:lineRule="auto"/>
              <w:jc w:val="right"/>
              <w:rPr>
                <w:rFonts w:ascii="Arial" w:eastAsia="Times New Roman" w:hAnsi="Arial" w:cs="Arial"/>
                <w:kern w:val="0"/>
                <w:sz w:val="18"/>
                <w:szCs w:val="18"/>
                <w:lang w:eastAsia="pt-BR"/>
                <w14:ligatures w14:val="none"/>
              </w:rPr>
            </w:pPr>
          </w:p>
        </w:tc>
        <w:tc>
          <w:tcPr>
            <w:tcW w:w="410" w:type="pct"/>
            <w:tcBorders>
              <w:top w:val="nil"/>
              <w:left w:val="nil"/>
              <w:bottom w:val="nil"/>
              <w:right w:val="nil"/>
            </w:tcBorders>
            <w:shd w:val="clear" w:color="auto" w:fill="auto"/>
            <w:noWrap/>
            <w:vAlign w:val="bottom"/>
            <w:hideMark/>
          </w:tcPr>
          <w:p w14:paraId="3679718C" w14:textId="77777777" w:rsidR="004449AB" w:rsidRPr="004449AB" w:rsidRDefault="004449AB" w:rsidP="004449AB">
            <w:pPr>
              <w:spacing w:after="0" w:line="240" w:lineRule="auto"/>
              <w:jc w:val="right"/>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 xml:space="preserve">           (6.457)</w:t>
            </w:r>
          </w:p>
        </w:tc>
      </w:tr>
      <w:tr w:rsidR="004449AB" w:rsidRPr="004449AB" w14:paraId="4CC5055A" w14:textId="77777777" w:rsidTr="00075425">
        <w:trPr>
          <w:trHeight w:val="215"/>
        </w:trPr>
        <w:tc>
          <w:tcPr>
            <w:tcW w:w="2640" w:type="pct"/>
            <w:tcBorders>
              <w:top w:val="nil"/>
              <w:left w:val="nil"/>
              <w:bottom w:val="nil"/>
              <w:right w:val="nil"/>
            </w:tcBorders>
            <w:shd w:val="clear" w:color="auto" w:fill="auto"/>
            <w:noWrap/>
            <w:vAlign w:val="bottom"/>
            <w:hideMark/>
          </w:tcPr>
          <w:p w14:paraId="359CC523" w14:textId="77777777" w:rsidR="004449AB" w:rsidRPr="004449AB" w:rsidRDefault="004449AB" w:rsidP="004449AB">
            <w:pPr>
              <w:spacing w:after="0" w:line="240" w:lineRule="auto"/>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Ganho com Instrumentos Financeiros - Ativos Financeiros Disponíveis para Venda</w:t>
            </w:r>
          </w:p>
        </w:tc>
        <w:tc>
          <w:tcPr>
            <w:tcW w:w="383" w:type="pct"/>
            <w:tcBorders>
              <w:top w:val="nil"/>
              <w:left w:val="nil"/>
              <w:bottom w:val="nil"/>
              <w:right w:val="nil"/>
            </w:tcBorders>
            <w:shd w:val="clear" w:color="auto" w:fill="auto"/>
            <w:noWrap/>
            <w:vAlign w:val="bottom"/>
            <w:hideMark/>
          </w:tcPr>
          <w:p w14:paraId="5A439360"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   </w:t>
            </w:r>
          </w:p>
        </w:tc>
        <w:tc>
          <w:tcPr>
            <w:tcW w:w="64" w:type="pct"/>
            <w:tcBorders>
              <w:top w:val="nil"/>
              <w:left w:val="nil"/>
              <w:bottom w:val="nil"/>
              <w:right w:val="nil"/>
            </w:tcBorders>
            <w:shd w:val="clear" w:color="auto" w:fill="auto"/>
            <w:noWrap/>
            <w:vAlign w:val="bottom"/>
            <w:hideMark/>
          </w:tcPr>
          <w:p w14:paraId="6D79A489"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450" w:type="pct"/>
            <w:tcBorders>
              <w:top w:val="nil"/>
              <w:left w:val="nil"/>
              <w:bottom w:val="nil"/>
              <w:right w:val="nil"/>
            </w:tcBorders>
            <w:shd w:val="clear" w:color="auto" w:fill="auto"/>
            <w:noWrap/>
            <w:vAlign w:val="bottom"/>
            <w:hideMark/>
          </w:tcPr>
          <w:p w14:paraId="6EAA13BA"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   </w:t>
            </w:r>
          </w:p>
        </w:tc>
        <w:tc>
          <w:tcPr>
            <w:tcW w:w="64" w:type="pct"/>
            <w:tcBorders>
              <w:top w:val="nil"/>
              <w:left w:val="nil"/>
              <w:bottom w:val="nil"/>
              <w:right w:val="nil"/>
            </w:tcBorders>
            <w:shd w:val="clear" w:color="auto" w:fill="auto"/>
            <w:noWrap/>
            <w:vAlign w:val="bottom"/>
            <w:hideMark/>
          </w:tcPr>
          <w:p w14:paraId="0DC3BF6F"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464" w:type="pct"/>
            <w:tcBorders>
              <w:top w:val="nil"/>
              <w:left w:val="nil"/>
              <w:bottom w:val="nil"/>
              <w:right w:val="nil"/>
            </w:tcBorders>
            <w:shd w:val="clear" w:color="auto" w:fill="auto"/>
            <w:noWrap/>
            <w:vAlign w:val="bottom"/>
            <w:hideMark/>
          </w:tcPr>
          <w:p w14:paraId="2993B85A" w14:textId="77777777" w:rsidR="004449AB" w:rsidRPr="004449AB" w:rsidRDefault="004449AB" w:rsidP="004449AB">
            <w:pPr>
              <w:spacing w:after="0" w:line="240" w:lineRule="auto"/>
              <w:jc w:val="right"/>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 xml:space="preserve">                 (350)</w:t>
            </w:r>
          </w:p>
        </w:tc>
        <w:tc>
          <w:tcPr>
            <w:tcW w:w="64" w:type="pct"/>
            <w:tcBorders>
              <w:top w:val="nil"/>
              <w:left w:val="nil"/>
              <w:bottom w:val="nil"/>
              <w:right w:val="nil"/>
            </w:tcBorders>
            <w:shd w:val="clear" w:color="auto" w:fill="auto"/>
            <w:noWrap/>
            <w:vAlign w:val="bottom"/>
            <w:hideMark/>
          </w:tcPr>
          <w:p w14:paraId="231422EC" w14:textId="77777777" w:rsidR="004449AB" w:rsidRPr="004449AB" w:rsidRDefault="004449AB" w:rsidP="004449AB">
            <w:pPr>
              <w:spacing w:after="0" w:line="240" w:lineRule="auto"/>
              <w:jc w:val="right"/>
              <w:rPr>
                <w:rFonts w:ascii="Arial" w:eastAsia="Times New Roman" w:hAnsi="Arial" w:cs="Arial"/>
                <w:kern w:val="0"/>
                <w:sz w:val="18"/>
                <w:szCs w:val="18"/>
                <w:lang w:eastAsia="pt-BR"/>
                <w14:ligatures w14:val="none"/>
              </w:rPr>
            </w:pPr>
          </w:p>
        </w:tc>
        <w:tc>
          <w:tcPr>
            <w:tcW w:w="396" w:type="pct"/>
            <w:tcBorders>
              <w:top w:val="nil"/>
              <w:left w:val="nil"/>
              <w:bottom w:val="nil"/>
              <w:right w:val="nil"/>
            </w:tcBorders>
            <w:shd w:val="clear" w:color="auto" w:fill="auto"/>
            <w:noWrap/>
            <w:vAlign w:val="bottom"/>
            <w:hideMark/>
          </w:tcPr>
          <w:p w14:paraId="568C837C" w14:textId="77777777" w:rsidR="004449AB" w:rsidRPr="004449AB" w:rsidRDefault="004449AB" w:rsidP="004449AB">
            <w:pPr>
              <w:spacing w:after="0" w:line="240" w:lineRule="auto"/>
              <w:jc w:val="right"/>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 xml:space="preserve">                  -   </w:t>
            </w:r>
          </w:p>
        </w:tc>
        <w:tc>
          <w:tcPr>
            <w:tcW w:w="64" w:type="pct"/>
            <w:tcBorders>
              <w:top w:val="nil"/>
              <w:left w:val="nil"/>
              <w:bottom w:val="nil"/>
              <w:right w:val="nil"/>
            </w:tcBorders>
            <w:shd w:val="clear" w:color="auto" w:fill="auto"/>
            <w:noWrap/>
            <w:vAlign w:val="bottom"/>
            <w:hideMark/>
          </w:tcPr>
          <w:p w14:paraId="679D1E63" w14:textId="77777777" w:rsidR="004449AB" w:rsidRPr="004449AB" w:rsidRDefault="004449AB" w:rsidP="004449AB">
            <w:pPr>
              <w:spacing w:after="0" w:line="240" w:lineRule="auto"/>
              <w:jc w:val="right"/>
              <w:rPr>
                <w:rFonts w:ascii="Arial" w:eastAsia="Times New Roman" w:hAnsi="Arial" w:cs="Arial"/>
                <w:kern w:val="0"/>
                <w:sz w:val="18"/>
                <w:szCs w:val="18"/>
                <w:lang w:eastAsia="pt-BR"/>
                <w14:ligatures w14:val="none"/>
              </w:rPr>
            </w:pPr>
          </w:p>
        </w:tc>
        <w:tc>
          <w:tcPr>
            <w:tcW w:w="410" w:type="pct"/>
            <w:tcBorders>
              <w:top w:val="nil"/>
              <w:left w:val="nil"/>
              <w:bottom w:val="nil"/>
              <w:right w:val="nil"/>
            </w:tcBorders>
            <w:shd w:val="clear" w:color="auto" w:fill="auto"/>
            <w:noWrap/>
            <w:vAlign w:val="bottom"/>
            <w:hideMark/>
          </w:tcPr>
          <w:p w14:paraId="11A39CDA" w14:textId="77777777" w:rsidR="004449AB" w:rsidRPr="004449AB" w:rsidRDefault="004449AB" w:rsidP="004449AB">
            <w:pPr>
              <w:spacing w:after="0" w:line="240" w:lineRule="auto"/>
              <w:jc w:val="right"/>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 xml:space="preserve">              (350)</w:t>
            </w:r>
          </w:p>
        </w:tc>
      </w:tr>
      <w:tr w:rsidR="004449AB" w:rsidRPr="004449AB" w14:paraId="267BC36D" w14:textId="77777777" w:rsidTr="00075425">
        <w:trPr>
          <w:trHeight w:val="215"/>
        </w:trPr>
        <w:tc>
          <w:tcPr>
            <w:tcW w:w="2640" w:type="pct"/>
            <w:tcBorders>
              <w:top w:val="nil"/>
              <w:left w:val="nil"/>
              <w:bottom w:val="nil"/>
              <w:right w:val="nil"/>
            </w:tcBorders>
            <w:shd w:val="clear" w:color="auto" w:fill="auto"/>
            <w:noWrap/>
            <w:vAlign w:val="bottom"/>
            <w:hideMark/>
          </w:tcPr>
          <w:p w14:paraId="3D6B2357" w14:textId="77777777" w:rsidR="004449AB" w:rsidRPr="004449AB" w:rsidRDefault="004449AB" w:rsidP="004449AB">
            <w:pPr>
              <w:spacing w:after="0" w:line="240" w:lineRule="auto"/>
              <w:rPr>
                <w:rFonts w:ascii="Arial" w:eastAsia="Times New Roman" w:hAnsi="Arial" w:cs="Arial"/>
                <w:kern w:val="0"/>
                <w:sz w:val="18"/>
                <w:szCs w:val="18"/>
                <w:lang w:eastAsia="pt-BR"/>
                <w14:ligatures w14:val="none"/>
              </w:rPr>
            </w:pPr>
          </w:p>
        </w:tc>
        <w:tc>
          <w:tcPr>
            <w:tcW w:w="383" w:type="pct"/>
            <w:tcBorders>
              <w:top w:val="nil"/>
              <w:left w:val="nil"/>
              <w:bottom w:val="nil"/>
              <w:right w:val="nil"/>
            </w:tcBorders>
            <w:shd w:val="clear" w:color="auto" w:fill="auto"/>
            <w:noWrap/>
            <w:vAlign w:val="bottom"/>
            <w:hideMark/>
          </w:tcPr>
          <w:p w14:paraId="52378BAF"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64" w:type="pct"/>
            <w:tcBorders>
              <w:top w:val="nil"/>
              <w:left w:val="nil"/>
              <w:bottom w:val="nil"/>
              <w:right w:val="nil"/>
            </w:tcBorders>
            <w:shd w:val="clear" w:color="auto" w:fill="auto"/>
            <w:noWrap/>
            <w:vAlign w:val="bottom"/>
            <w:hideMark/>
          </w:tcPr>
          <w:p w14:paraId="37F69290"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450" w:type="pct"/>
            <w:tcBorders>
              <w:top w:val="nil"/>
              <w:left w:val="nil"/>
              <w:bottom w:val="nil"/>
              <w:right w:val="nil"/>
            </w:tcBorders>
            <w:shd w:val="clear" w:color="auto" w:fill="auto"/>
            <w:noWrap/>
            <w:vAlign w:val="bottom"/>
            <w:hideMark/>
          </w:tcPr>
          <w:p w14:paraId="09617DED"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64" w:type="pct"/>
            <w:tcBorders>
              <w:top w:val="nil"/>
              <w:left w:val="nil"/>
              <w:bottom w:val="nil"/>
              <w:right w:val="nil"/>
            </w:tcBorders>
            <w:shd w:val="clear" w:color="auto" w:fill="auto"/>
            <w:noWrap/>
            <w:vAlign w:val="bottom"/>
            <w:hideMark/>
          </w:tcPr>
          <w:p w14:paraId="7C2897E1"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464" w:type="pct"/>
            <w:tcBorders>
              <w:top w:val="nil"/>
              <w:left w:val="nil"/>
              <w:bottom w:val="nil"/>
              <w:right w:val="nil"/>
            </w:tcBorders>
            <w:shd w:val="clear" w:color="auto" w:fill="auto"/>
            <w:noWrap/>
            <w:vAlign w:val="bottom"/>
            <w:hideMark/>
          </w:tcPr>
          <w:p w14:paraId="3C578814"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64" w:type="pct"/>
            <w:tcBorders>
              <w:top w:val="nil"/>
              <w:left w:val="nil"/>
              <w:bottom w:val="nil"/>
              <w:right w:val="nil"/>
            </w:tcBorders>
            <w:shd w:val="clear" w:color="auto" w:fill="auto"/>
            <w:noWrap/>
            <w:vAlign w:val="bottom"/>
            <w:hideMark/>
          </w:tcPr>
          <w:p w14:paraId="050C2C21"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396" w:type="pct"/>
            <w:tcBorders>
              <w:top w:val="nil"/>
              <w:left w:val="nil"/>
              <w:bottom w:val="nil"/>
              <w:right w:val="nil"/>
            </w:tcBorders>
            <w:shd w:val="clear" w:color="auto" w:fill="auto"/>
            <w:noWrap/>
            <w:vAlign w:val="bottom"/>
            <w:hideMark/>
          </w:tcPr>
          <w:p w14:paraId="3F059EB1"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64" w:type="pct"/>
            <w:tcBorders>
              <w:top w:val="nil"/>
              <w:left w:val="nil"/>
              <w:bottom w:val="nil"/>
              <w:right w:val="nil"/>
            </w:tcBorders>
            <w:shd w:val="clear" w:color="auto" w:fill="auto"/>
            <w:noWrap/>
            <w:vAlign w:val="bottom"/>
            <w:hideMark/>
          </w:tcPr>
          <w:p w14:paraId="55A5C8B0"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410" w:type="pct"/>
            <w:tcBorders>
              <w:top w:val="nil"/>
              <w:left w:val="nil"/>
              <w:bottom w:val="nil"/>
              <w:right w:val="nil"/>
            </w:tcBorders>
            <w:shd w:val="clear" w:color="auto" w:fill="auto"/>
            <w:noWrap/>
            <w:vAlign w:val="bottom"/>
            <w:hideMark/>
          </w:tcPr>
          <w:p w14:paraId="5410E05A"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r>
      <w:tr w:rsidR="004449AB" w:rsidRPr="004449AB" w14:paraId="00FC5886" w14:textId="77777777" w:rsidTr="00075425">
        <w:trPr>
          <w:trHeight w:val="215"/>
        </w:trPr>
        <w:tc>
          <w:tcPr>
            <w:tcW w:w="2640" w:type="pct"/>
            <w:tcBorders>
              <w:top w:val="nil"/>
              <w:left w:val="nil"/>
              <w:bottom w:val="nil"/>
              <w:right w:val="nil"/>
            </w:tcBorders>
            <w:shd w:val="clear" w:color="auto" w:fill="auto"/>
            <w:noWrap/>
            <w:vAlign w:val="bottom"/>
            <w:hideMark/>
          </w:tcPr>
          <w:p w14:paraId="7504E132" w14:textId="77777777" w:rsidR="004449AB" w:rsidRPr="004449AB" w:rsidRDefault="004449AB" w:rsidP="004449AB">
            <w:pPr>
              <w:spacing w:after="0" w:line="240" w:lineRule="auto"/>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Saldo em 31 de dezembro de 2022 - Reapresentado</w:t>
            </w:r>
          </w:p>
        </w:tc>
        <w:tc>
          <w:tcPr>
            <w:tcW w:w="383" w:type="pct"/>
            <w:tcBorders>
              <w:top w:val="single" w:sz="4" w:space="0" w:color="auto"/>
              <w:left w:val="nil"/>
              <w:bottom w:val="double" w:sz="6" w:space="0" w:color="auto"/>
              <w:right w:val="nil"/>
            </w:tcBorders>
            <w:shd w:val="clear" w:color="auto" w:fill="auto"/>
            <w:noWrap/>
            <w:vAlign w:val="bottom"/>
            <w:hideMark/>
          </w:tcPr>
          <w:p w14:paraId="574028A2"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3.474.498 </w:t>
            </w:r>
          </w:p>
        </w:tc>
        <w:tc>
          <w:tcPr>
            <w:tcW w:w="64" w:type="pct"/>
            <w:tcBorders>
              <w:top w:val="nil"/>
              <w:left w:val="nil"/>
              <w:bottom w:val="nil"/>
              <w:right w:val="nil"/>
            </w:tcBorders>
            <w:shd w:val="clear" w:color="auto" w:fill="auto"/>
            <w:noWrap/>
            <w:vAlign w:val="bottom"/>
            <w:hideMark/>
          </w:tcPr>
          <w:p w14:paraId="5363B73A"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450" w:type="pct"/>
            <w:tcBorders>
              <w:top w:val="single" w:sz="4" w:space="0" w:color="auto"/>
              <w:left w:val="nil"/>
              <w:bottom w:val="double" w:sz="6" w:space="0" w:color="auto"/>
              <w:right w:val="nil"/>
            </w:tcBorders>
            <w:shd w:val="clear" w:color="auto" w:fill="auto"/>
            <w:noWrap/>
            <w:vAlign w:val="bottom"/>
            <w:hideMark/>
          </w:tcPr>
          <w:p w14:paraId="337906E2"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(1.945.855)</w:t>
            </w:r>
          </w:p>
        </w:tc>
        <w:tc>
          <w:tcPr>
            <w:tcW w:w="64" w:type="pct"/>
            <w:tcBorders>
              <w:top w:val="nil"/>
              <w:left w:val="nil"/>
              <w:bottom w:val="nil"/>
              <w:right w:val="nil"/>
            </w:tcBorders>
            <w:shd w:val="clear" w:color="auto" w:fill="auto"/>
            <w:noWrap/>
            <w:vAlign w:val="bottom"/>
            <w:hideMark/>
          </w:tcPr>
          <w:p w14:paraId="4509EBA3"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464" w:type="pct"/>
            <w:tcBorders>
              <w:top w:val="single" w:sz="4" w:space="0" w:color="auto"/>
              <w:left w:val="nil"/>
              <w:bottom w:val="double" w:sz="6" w:space="0" w:color="auto"/>
              <w:right w:val="nil"/>
            </w:tcBorders>
            <w:shd w:val="clear" w:color="auto" w:fill="auto"/>
            <w:noWrap/>
            <w:vAlign w:val="bottom"/>
            <w:hideMark/>
          </w:tcPr>
          <w:p w14:paraId="28A19665"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26.571 </w:t>
            </w:r>
          </w:p>
        </w:tc>
        <w:tc>
          <w:tcPr>
            <w:tcW w:w="64" w:type="pct"/>
            <w:tcBorders>
              <w:top w:val="nil"/>
              <w:left w:val="nil"/>
              <w:bottom w:val="nil"/>
              <w:right w:val="nil"/>
            </w:tcBorders>
            <w:shd w:val="clear" w:color="auto" w:fill="auto"/>
            <w:noWrap/>
            <w:vAlign w:val="bottom"/>
            <w:hideMark/>
          </w:tcPr>
          <w:p w14:paraId="5A1373C9"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396" w:type="pct"/>
            <w:tcBorders>
              <w:top w:val="single" w:sz="4" w:space="0" w:color="auto"/>
              <w:left w:val="nil"/>
              <w:bottom w:val="double" w:sz="6" w:space="0" w:color="auto"/>
              <w:right w:val="nil"/>
            </w:tcBorders>
            <w:shd w:val="clear" w:color="auto" w:fill="auto"/>
            <w:noWrap/>
            <w:vAlign w:val="bottom"/>
            <w:hideMark/>
          </w:tcPr>
          <w:p w14:paraId="374DD0B8"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(111)</w:t>
            </w:r>
          </w:p>
        </w:tc>
        <w:tc>
          <w:tcPr>
            <w:tcW w:w="64" w:type="pct"/>
            <w:tcBorders>
              <w:top w:val="nil"/>
              <w:left w:val="nil"/>
              <w:bottom w:val="nil"/>
              <w:right w:val="nil"/>
            </w:tcBorders>
            <w:shd w:val="clear" w:color="auto" w:fill="auto"/>
            <w:noWrap/>
            <w:vAlign w:val="bottom"/>
            <w:hideMark/>
          </w:tcPr>
          <w:p w14:paraId="3F4CEF7F"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410" w:type="pct"/>
            <w:tcBorders>
              <w:top w:val="single" w:sz="4" w:space="0" w:color="auto"/>
              <w:left w:val="nil"/>
              <w:bottom w:val="double" w:sz="6" w:space="0" w:color="auto"/>
              <w:right w:val="nil"/>
            </w:tcBorders>
            <w:shd w:val="clear" w:color="auto" w:fill="auto"/>
            <w:noWrap/>
            <w:vAlign w:val="bottom"/>
            <w:hideMark/>
          </w:tcPr>
          <w:p w14:paraId="058CAE03"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1.555.103 </w:t>
            </w:r>
          </w:p>
        </w:tc>
      </w:tr>
      <w:tr w:rsidR="004449AB" w:rsidRPr="004449AB" w14:paraId="56F11CEE" w14:textId="77777777" w:rsidTr="00075425">
        <w:trPr>
          <w:trHeight w:val="215"/>
        </w:trPr>
        <w:tc>
          <w:tcPr>
            <w:tcW w:w="2640" w:type="pct"/>
            <w:tcBorders>
              <w:top w:val="nil"/>
              <w:left w:val="nil"/>
              <w:bottom w:val="nil"/>
              <w:right w:val="nil"/>
            </w:tcBorders>
            <w:shd w:val="clear" w:color="auto" w:fill="auto"/>
            <w:noWrap/>
            <w:vAlign w:val="bottom"/>
            <w:hideMark/>
          </w:tcPr>
          <w:p w14:paraId="6BDCBF54"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383" w:type="pct"/>
            <w:tcBorders>
              <w:top w:val="nil"/>
              <w:left w:val="nil"/>
              <w:bottom w:val="nil"/>
              <w:right w:val="nil"/>
            </w:tcBorders>
            <w:shd w:val="clear" w:color="auto" w:fill="auto"/>
            <w:noWrap/>
            <w:vAlign w:val="bottom"/>
            <w:hideMark/>
          </w:tcPr>
          <w:p w14:paraId="0EA4F1A1"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64" w:type="pct"/>
            <w:tcBorders>
              <w:top w:val="nil"/>
              <w:left w:val="nil"/>
              <w:bottom w:val="nil"/>
              <w:right w:val="nil"/>
            </w:tcBorders>
            <w:shd w:val="clear" w:color="auto" w:fill="auto"/>
            <w:noWrap/>
            <w:vAlign w:val="bottom"/>
            <w:hideMark/>
          </w:tcPr>
          <w:p w14:paraId="68D67318"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450" w:type="pct"/>
            <w:tcBorders>
              <w:top w:val="nil"/>
              <w:left w:val="nil"/>
              <w:bottom w:val="nil"/>
              <w:right w:val="nil"/>
            </w:tcBorders>
            <w:shd w:val="clear" w:color="auto" w:fill="auto"/>
            <w:noWrap/>
            <w:vAlign w:val="bottom"/>
            <w:hideMark/>
          </w:tcPr>
          <w:p w14:paraId="060A561C"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64" w:type="pct"/>
            <w:tcBorders>
              <w:top w:val="nil"/>
              <w:left w:val="nil"/>
              <w:bottom w:val="nil"/>
              <w:right w:val="nil"/>
            </w:tcBorders>
            <w:shd w:val="clear" w:color="auto" w:fill="auto"/>
            <w:noWrap/>
            <w:vAlign w:val="bottom"/>
            <w:hideMark/>
          </w:tcPr>
          <w:p w14:paraId="55962359"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464" w:type="pct"/>
            <w:tcBorders>
              <w:top w:val="nil"/>
              <w:left w:val="nil"/>
              <w:bottom w:val="nil"/>
              <w:right w:val="nil"/>
            </w:tcBorders>
            <w:shd w:val="clear" w:color="auto" w:fill="auto"/>
            <w:noWrap/>
            <w:vAlign w:val="bottom"/>
            <w:hideMark/>
          </w:tcPr>
          <w:p w14:paraId="7BD6E97E"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64" w:type="pct"/>
            <w:tcBorders>
              <w:top w:val="nil"/>
              <w:left w:val="nil"/>
              <w:bottom w:val="nil"/>
              <w:right w:val="nil"/>
            </w:tcBorders>
            <w:shd w:val="clear" w:color="auto" w:fill="auto"/>
            <w:noWrap/>
            <w:vAlign w:val="bottom"/>
            <w:hideMark/>
          </w:tcPr>
          <w:p w14:paraId="7EC870A5"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396" w:type="pct"/>
            <w:tcBorders>
              <w:top w:val="nil"/>
              <w:left w:val="nil"/>
              <w:bottom w:val="nil"/>
              <w:right w:val="nil"/>
            </w:tcBorders>
            <w:shd w:val="clear" w:color="auto" w:fill="auto"/>
            <w:noWrap/>
            <w:vAlign w:val="bottom"/>
            <w:hideMark/>
          </w:tcPr>
          <w:p w14:paraId="6A965D1B"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64" w:type="pct"/>
            <w:tcBorders>
              <w:top w:val="nil"/>
              <w:left w:val="nil"/>
              <w:bottom w:val="nil"/>
              <w:right w:val="nil"/>
            </w:tcBorders>
            <w:shd w:val="clear" w:color="auto" w:fill="auto"/>
            <w:noWrap/>
            <w:vAlign w:val="bottom"/>
            <w:hideMark/>
          </w:tcPr>
          <w:p w14:paraId="257EB5B1"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410" w:type="pct"/>
            <w:tcBorders>
              <w:top w:val="nil"/>
              <w:left w:val="nil"/>
              <w:bottom w:val="nil"/>
              <w:right w:val="nil"/>
            </w:tcBorders>
            <w:shd w:val="clear" w:color="auto" w:fill="auto"/>
            <w:noWrap/>
            <w:vAlign w:val="bottom"/>
            <w:hideMark/>
          </w:tcPr>
          <w:p w14:paraId="090D1BD3"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r>
      <w:tr w:rsidR="004449AB" w:rsidRPr="004449AB" w14:paraId="2999164D" w14:textId="77777777" w:rsidTr="00075425">
        <w:trPr>
          <w:trHeight w:val="215"/>
        </w:trPr>
        <w:tc>
          <w:tcPr>
            <w:tcW w:w="2640" w:type="pct"/>
            <w:tcBorders>
              <w:top w:val="nil"/>
              <w:left w:val="nil"/>
              <w:bottom w:val="nil"/>
              <w:right w:val="nil"/>
            </w:tcBorders>
            <w:shd w:val="clear" w:color="auto" w:fill="auto"/>
            <w:noWrap/>
            <w:vAlign w:val="bottom"/>
            <w:hideMark/>
          </w:tcPr>
          <w:p w14:paraId="7AEFC7E6"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383" w:type="pct"/>
            <w:tcBorders>
              <w:top w:val="nil"/>
              <w:left w:val="nil"/>
              <w:bottom w:val="nil"/>
              <w:right w:val="nil"/>
            </w:tcBorders>
            <w:shd w:val="clear" w:color="auto" w:fill="auto"/>
            <w:noWrap/>
            <w:vAlign w:val="bottom"/>
            <w:hideMark/>
          </w:tcPr>
          <w:p w14:paraId="5BD4C2E8"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64" w:type="pct"/>
            <w:tcBorders>
              <w:top w:val="nil"/>
              <w:left w:val="nil"/>
              <w:bottom w:val="nil"/>
              <w:right w:val="nil"/>
            </w:tcBorders>
            <w:shd w:val="clear" w:color="auto" w:fill="auto"/>
            <w:noWrap/>
            <w:vAlign w:val="bottom"/>
            <w:hideMark/>
          </w:tcPr>
          <w:p w14:paraId="0C461DF8"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450" w:type="pct"/>
            <w:tcBorders>
              <w:top w:val="nil"/>
              <w:left w:val="nil"/>
              <w:bottom w:val="nil"/>
              <w:right w:val="nil"/>
            </w:tcBorders>
            <w:shd w:val="clear" w:color="auto" w:fill="auto"/>
            <w:noWrap/>
            <w:vAlign w:val="bottom"/>
            <w:hideMark/>
          </w:tcPr>
          <w:p w14:paraId="78F864D8"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64" w:type="pct"/>
            <w:tcBorders>
              <w:top w:val="nil"/>
              <w:left w:val="nil"/>
              <w:bottom w:val="nil"/>
              <w:right w:val="nil"/>
            </w:tcBorders>
            <w:shd w:val="clear" w:color="auto" w:fill="auto"/>
            <w:noWrap/>
            <w:vAlign w:val="bottom"/>
            <w:hideMark/>
          </w:tcPr>
          <w:p w14:paraId="6C41A3AF"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464" w:type="pct"/>
            <w:tcBorders>
              <w:top w:val="nil"/>
              <w:left w:val="nil"/>
              <w:bottom w:val="nil"/>
              <w:right w:val="nil"/>
            </w:tcBorders>
            <w:shd w:val="clear" w:color="auto" w:fill="auto"/>
            <w:noWrap/>
            <w:vAlign w:val="bottom"/>
            <w:hideMark/>
          </w:tcPr>
          <w:p w14:paraId="2D315C19"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64" w:type="pct"/>
            <w:tcBorders>
              <w:top w:val="nil"/>
              <w:left w:val="nil"/>
              <w:bottom w:val="nil"/>
              <w:right w:val="nil"/>
            </w:tcBorders>
            <w:shd w:val="clear" w:color="auto" w:fill="auto"/>
            <w:noWrap/>
            <w:vAlign w:val="bottom"/>
            <w:hideMark/>
          </w:tcPr>
          <w:p w14:paraId="59A6F7BC"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396" w:type="pct"/>
            <w:tcBorders>
              <w:top w:val="nil"/>
              <w:left w:val="nil"/>
              <w:bottom w:val="nil"/>
              <w:right w:val="nil"/>
            </w:tcBorders>
            <w:shd w:val="clear" w:color="auto" w:fill="auto"/>
            <w:noWrap/>
            <w:vAlign w:val="bottom"/>
            <w:hideMark/>
          </w:tcPr>
          <w:p w14:paraId="757ABA2A"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64" w:type="pct"/>
            <w:tcBorders>
              <w:top w:val="nil"/>
              <w:left w:val="nil"/>
              <w:bottom w:val="nil"/>
              <w:right w:val="nil"/>
            </w:tcBorders>
            <w:shd w:val="clear" w:color="auto" w:fill="auto"/>
            <w:noWrap/>
            <w:vAlign w:val="bottom"/>
            <w:hideMark/>
          </w:tcPr>
          <w:p w14:paraId="0044D96B"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410" w:type="pct"/>
            <w:tcBorders>
              <w:top w:val="nil"/>
              <w:left w:val="nil"/>
              <w:bottom w:val="nil"/>
              <w:right w:val="nil"/>
            </w:tcBorders>
            <w:shd w:val="clear" w:color="auto" w:fill="auto"/>
            <w:noWrap/>
            <w:vAlign w:val="bottom"/>
            <w:hideMark/>
          </w:tcPr>
          <w:p w14:paraId="6C559098"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r>
      <w:tr w:rsidR="004449AB" w:rsidRPr="004449AB" w14:paraId="36CD3D12" w14:textId="77777777" w:rsidTr="00075425">
        <w:trPr>
          <w:trHeight w:val="215"/>
        </w:trPr>
        <w:tc>
          <w:tcPr>
            <w:tcW w:w="2640" w:type="pct"/>
            <w:tcBorders>
              <w:top w:val="nil"/>
              <w:left w:val="nil"/>
              <w:bottom w:val="nil"/>
              <w:right w:val="nil"/>
            </w:tcBorders>
            <w:shd w:val="clear" w:color="auto" w:fill="auto"/>
            <w:noWrap/>
            <w:vAlign w:val="bottom"/>
            <w:hideMark/>
          </w:tcPr>
          <w:p w14:paraId="70F94C3B" w14:textId="77777777" w:rsidR="004449AB" w:rsidRPr="004449AB" w:rsidRDefault="004449AB" w:rsidP="004449AB">
            <w:pPr>
              <w:spacing w:after="0" w:line="240" w:lineRule="auto"/>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Saldo em 31 de dezembro de 2022 - Reapresentado</w:t>
            </w:r>
          </w:p>
        </w:tc>
        <w:tc>
          <w:tcPr>
            <w:tcW w:w="383" w:type="pct"/>
            <w:tcBorders>
              <w:top w:val="nil"/>
              <w:left w:val="nil"/>
              <w:bottom w:val="single" w:sz="4" w:space="0" w:color="auto"/>
              <w:right w:val="nil"/>
            </w:tcBorders>
            <w:shd w:val="clear" w:color="auto" w:fill="auto"/>
            <w:noWrap/>
            <w:vAlign w:val="bottom"/>
            <w:hideMark/>
          </w:tcPr>
          <w:p w14:paraId="26EE5F7B"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3.474.498 </w:t>
            </w:r>
          </w:p>
        </w:tc>
        <w:tc>
          <w:tcPr>
            <w:tcW w:w="64" w:type="pct"/>
            <w:tcBorders>
              <w:top w:val="nil"/>
              <w:left w:val="nil"/>
              <w:bottom w:val="nil"/>
              <w:right w:val="nil"/>
            </w:tcBorders>
            <w:shd w:val="clear" w:color="auto" w:fill="auto"/>
            <w:noWrap/>
            <w:vAlign w:val="bottom"/>
            <w:hideMark/>
          </w:tcPr>
          <w:p w14:paraId="21D1C8D4"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450" w:type="pct"/>
            <w:tcBorders>
              <w:top w:val="nil"/>
              <w:left w:val="nil"/>
              <w:bottom w:val="single" w:sz="4" w:space="0" w:color="auto"/>
              <w:right w:val="nil"/>
            </w:tcBorders>
            <w:shd w:val="clear" w:color="auto" w:fill="auto"/>
            <w:noWrap/>
            <w:vAlign w:val="bottom"/>
            <w:hideMark/>
          </w:tcPr>
          <w:p w14:paraId="08122A03"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(1.945.855)</w:t>
            </w:r>
          </w:p>
        </w:tc>
        <w:tc>
          <w:tcPr>
            <w:tcW w:w="64" w:type="pct"/>
            <w:tcBorders>
              <w:top w:val="nil"/>
              <w:left w:val="nil"/>
              <w:bottom w:val="nil"/>
              <w:right w:val="nil"/>
            </w:tcBorders>
            <w:shd w:val="clear" w:color="auto" w:fill="auto"/>
            <w:noWrap/>
            <w:vAlign w:val="bottom"/>
            <w:hideMark/>
          </w:tcPr>
          <w:p w14:paraId="3BE26305"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464" w:type="pct"/>
            <w:tcBorders>
              <w:top w:val="nil"/>
              <w:left w:val="nil"/>
              <w:bottom w:val="single" w:sz="4" w:space="0" w:color="auto"/>
              <w:right w:val="nil"/>
            </w:tcBorders>
            <w:shd w:val="clear" w:color="auto" w:fill="auto"/>
            <w:noWrap/>
            <w:vAlign w:val="bottom"/>
            <w:hideMark/>
          </w:tcPr>
          <w:p w14:paraId="76FD9DEA"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26.571 </w:t>
            </w:r>
          </w:p>
        </w:tc>
        <w:tc>
          <w:tcPr>
            <w:tcW w:w="64" w:type="pct"/>
            <w:tcBorders>
              <w:top w:val="nil"/>
              <w:left w:val="nil"/>
              <w:bottom w:val="nil"/>
              <w:right w:val="nil"/>
            </w:tcBorders>
            <w:shd w:val="clear" w:color="auto" w:fill="auto"/>
            <w:noWrap/>
            <w:vAlign w:val="bottom"/>
            <w:hideMark/>
          </w:tcPr>
          <w:p w14:paraId="7AA017CF"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396" w:type="pct"/>
            <w:tcBorders>
              <w:top w:val="nil"/>
              <w:left w:val="nil"/>
              <w:bottom w:val="single" w:sz="4" w:space="0" w:color="auto"/>
              <w:right w:val="nil"/>
            </w:tcBorders>
            <w:shd w:val="clear" w:color="auto" w:fill="auto"/>
            <w:noWrap/>
            <w:vAlign w:val="bottom"/>
            <w:hideMark/>
          </w:tcPr>
          <w:p w14:paraId="6ABE5F80"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(111)</w:t>
            </w:r>
          </w:p>
        </w:tc>
        <w:tc>
          <w:tcPr>
            <w:tcW w:w="64" w:type="pct"/>
            <w:tcBorders>
              <w:top w:val="nil"/>
              <w:left w:val="nil"/>
              <w:bottom w:val="nil"/>
              <w:right w:val="nil"/>
            </w:tcBorders>
            <w:shd w:val="clear" w:color="auto" w:fill="auto"/>
            <w:noWrap/>
            <w:vAlign w:val="bottom"/>
            <w:hideMark/>
          </w:tcPr>
          <w:p w14:paraId="2462A2B8"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410" w:type="pct"/>
            <w:tcBorders>
              <w:top w:val="nil"/>
              <w:left w:val="nil"/>
              <w:bottom w:val="single" w:sz="4" w:space="0" w:color="auto"/>
              <w:right w:val="nil"/>
            </w:tcBorders>
            <w:shd w:val="clear" w:color="auto" w:fill="auto"/>
            <w:noWrap/>
            <w:vAlign w:val="bottom"/>
            <w:hideMark/>
          </w:tcPr>
          <w:p w14:paraId="770931ED"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1.555.103 </w:t>
            </w:r>
          </w:p>
        </w:tc>
      </w:tr>
      <w:tr w:rsidR="004449AB" w:rsidRPr="004449AB" w14:paraId="3FE15C09" w14:textId="77777777" w:rsidTr="00075425">
        <w:trPr>
          <w:trHeight w:val="215"/>
        </w:trPr>
        <w:tc>
          <w:tcPr>
            <w:tcW w:w="2640" w:type="pct"/>
            <w:tcBorders>
              <w:top w:val="nil"/>
              <w:left w:val="nil"/>
              <w:bottom w:val="nil"/>
              <w:right w:val="nil"/>
            </w:tcBorders>
            <w:shd w:val="clear" w:color="auto" w:fill="auto"/>
            <w:noWrap/>
            <w:vAlign w:val="bottom"/>
            <w:hideMark/>
          </w:tcPr>
          <w:p w14:paraId="7AACABA2"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383" w:type="pct"/>
            <w:tcBorders>
              <w:top w:val="nil"/>
              <w:left w:val="nil"/>
              <w:bottom w:val="nil"/>
              <w:right w:val="nil"/>
            </w:tcBorders>
            <w:shd w:val="clear" w:color="auto" w:fill="auto"/>
            <w:noWrap/>
            <w:vAlign w:val="bottom"/>
            <w:hideMark/>
          </w:tcPr>
          <w:p w14:paraId="4D416CB9"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64" w:type="pct"/>
            <w:tcBorders>
              <w:top w:val="nil"/>
              <w:left w:val="nil"/>
              <w:bottom w:val="nil"/>
              <w:right w:val="nil"/>
            </w:tcBorders>
            <w:shd w:val="clear" w:color="auto" w:fill="auto"/>
            <w:noWrap/>
            <w:vAlign w:val="bottom"/>
            <w:hideMark/>
          </w:tcPr>
          <w:p w14:paraId="61F4CD3F"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450" w:type="pct"/>
            <w:tcBorders>
              <w:top w:val="nil"/>
              <w:left w:val="nil"/>
              <w:bottom w:val="nil"/>
              <w:right w:val="nil"/>
            </w:tcBorders>
            <w:shd w:val="clear" w:color="auto" w:fill="auto"/>
            <w:noWrap/>
            <w:vAlign w:val="bottom"/>
            <w:hideMark/>
          </w:tcPr>
          <w:p w14:paraId="0772D424"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64" w:type="pct"/>
            <w:tcBorders>
              <w:top w:val="nil"/>
              <w:left w:val="nil"/>
              <w:bottom w:val="nil"/>
              <w:right w:val="nil"/>
            </w:tcBorders>
            <w:shd w:val="clear" w:color="auto" w:fill="auto"/>
            <w:noWrap/>
            <w:vAlign w:val="bottom"/>
            <w:hideMark/>
          </w:tcPr>
          <w:p w14:paraId="5B410BEB"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464" w:type="pct"/>
            <w:tcBorders>
              <w:top w:val="nil"/>
              <w:left w:val="nil"/>
              <w:bottom w:val="nil"/>
              <w:right w:val="nil"/>
            </w:tcBorders>
            <w:shd w:val="clear" w:color="auto" w:fill="auto"/>
            <w:noWrap/>
            <w:vAlign w:val="bottom"/>
            <w:hideMark/>
          </w:tcPr>
          <w:p w14:paraId="697321F7"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64" w:type="pct"/>
            <w:tcBorders>
              <w:top w:val="nil"/>
              <w:left w:val="nil"/>
              <w:bottom w:val="nil"/>
              <w:right w:val="nil"/>
            </w:tcBorders>
            <w:shd w:val="clear" w:color="auto" w:fill="auto"/>
            <w:noWrap/>
            <w:vAlign w:val="bottom"/>
            <w:hideMark/>
          </w:tcPr>
          <w:p w14:paraId="00EAFAA5"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396" w:type="pct"/>
            <w:tcBorders>
              <w:top w:val="nil"/>
              <w:left w:val="nil"/>
              <w:bottom w:val="nil"/>
              <w:right w:val="nil"/>
            </w:tcBorders>
            <w:shd w:val="clear" w:color="auto" w:fill="auto"/>
            <w:noWrap/>
            <w:vAlign w:val="bottom"/>
            <w:hideMark/>
          </w:tcPr>
          <w:p w14:paraId="519E2D5C"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64" w:type="pct"/>
            <w:tcBorders>
              <w:top w:val="nil"/>
              <w:left w:val="nil"/>
              <w:bottom w:val="nil"/>
              <w:right w:val="nil"/>
            </w:tcBorders>
            <w:shd w:val="clear" w:color="auto" w:fill="auto"/>
            <w:noWrap/>
            <w:vAlign w:val="bottom"/>
            <w:hideMark/>
          </w:tcPr>
          <w:p w14:paraId="3C3EFCB6"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410" w:type="pct"/>
            <w:tcBorders>
              <w:top w:val="nil"/>
              <w:left w:val="nil"/>
              <w:bottom w:val="nil"/>
              <w:right w:val="nil"/>
            </w:tcBorders>
            <w:shd w:val="clear" w:color="auto" w:fill="auto"/>
            <w:noWrap/>
            <w:vAlign w:val="bottom"/>
            <w:hideMark/>
          </w:tcPr>
          <w:p w14:paraId="5771B2B3"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r>
      <w:tr w:rsidR="004449AB" w:rsidRPr="004449AB" w14:paraId="41252654" w14:textId="77777777" w:rsidTr="00075425">
        <w:trPr>
          <w:trHeight w:val="215"/>
        </w:trPr>
        <w:tc>
          <w:tcPr>
            <w:tcW w:w="2640" w:type="pct"/>
            <w:tcBorders>
              <w:top w:val="nil"/>
              <w:left w:val="nil"/>
              <w:bottom w:val="nil"/>
              <w:right w:val="nil"/>
            </w:tcBorders>
            <w:shd w:val="clear" w:color="auto" w:fill="auto"/>
            <w:noWrap/>
            <w:vAlign w:val="bottom"/>
            <w:hideMark/>
          </w:tcPr>
          <w:p w14:paraId="4394AB66" w14:textId="77777777" w:rsidR="004449AB" w:rsidRPr="004449AB" w:rsidRDefault="004449AB" w:rsidP="004449AB">
            <w:pPr>
              <w:spacing w:after="0" w:line="240" w:lineRule="auto"/>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Resultados Abrangentes Total:</w:t>
            </w:r>
          </w:p>
        </w:tc>
        <w:tc>
          <w:tcPr>
            <w:tcW w:w="383" w:type="pct"/>
            <w:tcBorders>
              <w:top w:val="nil"/>
              <w:left w:val="nil"/>
              <w:bottom w:val="nil"/>
              <w:right w:val="nil"/>
            </w:tcBorders>
            <w:shd w:val="clear" w:color="auto" w:fill="auto"/>
            <w:noWrap/>
            <w:vAlign w:val="bottom"/>
            <w:hideMark/>
          </w:tcPr>
          <w:p w14:paraId="398031A3"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   </w:t>
            </w:r>
          </w:p>
        </w:tc>
        <w:tc>
          <w:tcPr>
            <w:tcW w:w="64" w:type="pct"/>
            <w:tcBorders>
              <w:top w:val="nil"/>
              <w:left w:val="nil"/>
              <w:bottom w:val="nil"/>
              <w:right w:val="nil"/>
            </w:tcBorders>
            <w:shd w:val="clear" w:color="auto" w:fill="auto"/>
            <w:noWrap/>
            <w:vAlign w:val="bottom"/>
            <w:hideMark/>
          </w:tcPr>
          <w:p w14:paraId="05FCFBEE"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450" w:type="pct"/>
            <w:tcBorders>
              <w:top w:val="nil"/>
              <w:left w:val="nil"/>
              <w:bottom w:val="nil"/>
              <w:right w:val="nil"/>
            </w:tcBorders>
            <w:shd w:val="clear" w:color="auto" w:fill="auto"/>
            <w:noWrap/>
            <w:vAlign w:val="bottom"/>
            <w:hideMark/>
          </w:tcPr>
          <w:p w14:paraId="55599866"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(127.357)</w:t>
            </w:r>
          </w:p>
        </w:tc>
        <w:tc>
          <w:tcPr>
            <w:tcW w:w="64" w:type="pct"/>
            <w:tcBorders>
              <w:top w:val="nil"/>
              <w:left w:val="nil"/>
              <w:bottom w:val="nil"/>
              <w:right w:val="nil"/>
            </w:tcBorders>
            <w:shd w:val="clear" w:color="auto" w:fill="auto"/>
            <w:noWrap/>
            <w:vAlign w:val="bottom"/>
            <w:hideMark/>
          </w:tcPr>
          <w:p w14:paraId="69387112"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464" w:type="pct"/>
            <w:tcBorders>
              <w:top w:val="nil"/>
              <w:left w:val="nil"/>
              <w:bottom w:val="nil"/>
              <w:right w:val="nil"/>
            </w:tcBorders>
            <w:shd w:val="clear" w:color="auto" w:fill="auto"/>
            <w:noWrap/>
            <w:vAlign w:val="bottom"/>
            <w:hideMark/>
          </w:tcPr>
          <w:p w14:paraId="3556AE95"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(2.095)</w:t>
            </w:r>
          </w:p>
        </w:tc>
        <w:tc>
          <w:tcPr>
            <w:tcW w:w="64" w:type="pct"/>
            <w:tcBorders>
              <w:top w:val="nil"/>
              <w:left w:val="nil"/>
              <w:bottom w:val="nil"/>
              <w:right w:val="nil"/>
            </w:tcBorders>
            <w:shd w:val="clear" w:color="auto" w:fill="auto"/>
            <w:noWrap/>
            <w:vAlign w:val="bottom"/>
            <w:hideMark/>
          </w:tcPr>
          <w:p w14:paraId="59746B4F"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396" w:type="pct"/>
            <w:tcBorders>
              <w:top w:val="nil"/>
              <w:left w:val="nil"/>
              <w:bottom w:val="nil"/>
              <w:right w:val="nil"/>
            </w:tcBorders>
            <w:shd w:val="clear" w:color="auto" w:fill="auto"/>
            <w:noWrap/>
            <w:vAlign w:val="bottom"/>
            <w:hideMark/>
          </w:tcPr>
          <w:p w14:paraId="6245A617"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   </w:t>
            </w:r>
          </w:p>
        </w:tc>
        <w:tc>
          <w:tcPr>
            <w:tcW w:w="64" w:type="pct"/>
            <w:tcBorders>
              <w:top w:val="nil"/>
              <w:left w:val="nil"/>
              <w:bottom w:val="nil"/>
              <w:right w:val="nil"/>
            </w:tcBorders>
            <w:shd w:val="clear" w:color="auto" w:fill="auto"/>
            <w:noWrap/>
            <w:vAlign w:val="bottom"/>
            <w:hideMark/>
          </w:tcPr>
          <w:p w14:paraId="2501ABE1"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410" w:type="pct"/>
            <w:tcBorders>
              <w:top w:val="nil"/>
              <w:left w:val="nil"/>
              <w:bottom w:val="nil"/>
              <w:right w:val="nil"/>
            </w:tcBorders>
            <w:shd w:val="clear" w:color="auto" w:fill="auto"/>
            <w:noWrap/>
            <w:vAlign w:val="bottom"/>
            <w:hideMark/>
          </w:tcPr>
          <w:p w14:paraId="4C2BA351"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(129.452)</w:t>
            </w:r>
          </w:p>
        </w:tc>
      </w:tr>
      <w:tr w:rsidR="004449AB" w:rsidRPr="004449AB" w14:paraId="4935C9A8" w14:textId="77777777" w:rsidTr="00075425">
        <w:trPr>
          <w:trHeight w:val="215"/>
        </w:trPr>
        <w:tc>
          <w:tcPr>
            <w:tcW w:w="2640" w:type="pct"/>
            <w:tcBorders>
              <w:top w:val="nil"/>
              <w:left w:val="nil"/>
              <w:bottom w:val="nil"/>
              <w:right w:val="nil"/>
            </w:tcBorders>
            <w:shd w:val="clear" w:color="auto" w:fill="auto"/>
            <w:noWrap/>
            <w:vAlign w:val="bottom"/>
            <w:hideMark/>
          </w:tcPr>
          <w:p w14:paraId="493C3E6E" w14:textId="77777777" w:rsidR="004449AB" w:rsidRPr="004449AB" w:rsidRDefault="004449AB" w:rsidP="004449AB">
            <w:pPr>
              <w:spacing w:after="0" w:line="240" w:lineRule="auto"/>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Prejuízo do Exercício</w:t>
            </w:r>
          </w:p>
        </w:tc>
        <w:tc>
          <w:tcPr>
            <w:tcW w:w="383" w:type="pct"/>
            <w:tcBorders>
              <w:top w:val="nil"/>
              <w:left w:val="nil"/>
              <w:bottom w:val="nil"/>
              <w:right w:val="nil"/>
            </w:tcBorders>
            <w:shd w:val="clear" w:color="auto" w:fill="auto"/>
            <w:noWrap/>
            <w:vAlign w:val="bottom"/>
            <w:hideMark/>
          </w:tcPr>
          <w:p w14:paraId="2733DA9A"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   </w:t>
            </w:r>
          </w:p>
        </w:tc>
        <w:tc>
          <w:tcPr>
            <w:tcW w:w="64" w:type="pct"/>
            <w:tcBorders>
              <w:top w:val="nil"/>
              <w:left w:val="nil"/>
              <w:bottom w:val="nil"/>
              <w:right w:val="nil"/>
            </w:tcBorders>
            <w:shd w:val="clear" w:color="auto" w:fill="auto"/>
            <w:noWrap/>
            <w:vAlign w:val="bottom"/>
            <w:hideMark/>
          </w:tcPr>
          <w:p w14:paraId="0B561B38"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450" w:type="pct"/>
            <w:tcBorders>
              <w:top w:val="nil"/>
              <w:left w:val="nil"/>
              <w:bottom w:val="nil"/>
              <w:right w:val="nil"/>
            </w:tcBorders>
            <w:shd w:val="clear" w:color="auto" w:fill="auto"/>
            <w:noWrap/>
            <w:vAlign w:val="bottom"/>
            <w:hideMark/>
          </w:tcPr>
          <w:p w14:paraId="015EDB96" w14:textId="77777777" w:rsidR="004449AB" w:rsidRPr="004449AB" w:rsidRDefault="004449AB" w:rsidP="004449AB">
            <w:pPr>
              <w:spacing w:after="0" w:line="240" w:lineRule="auto"/>
              <w:jc w:val="right"/>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 xml:space="preserve">          (127.357)</w:t>
            </w:r>
          </w:p>
        </w:tc>
        <w:tc>
          <w:tcPr>
            <w:tcW w:w="64" w:type="pct"/>
            <w:tcBorders>
              <w:top w:val="nil"/>
              <w:left w:val="nil"/>
              <w:bottom w:val="nil"/>
              <w:right w:val="nil"/>
            </w:tcBorders>
            <w:shd w:val="clear" w:color="auto" w:fill="auto"/>
            <w:noWrap/>
            <w:vAlign w:val="bottom"/>
            <w:hideMark/>
          </w:tcPr>
          <w:p w14:paraId="2F1AAB5C" w14:textId="77777777" w:rsidR="004449AB" w:rsidRPr="004449AB" w:rsidRDefault="004449AB" w:rsidP="004449AB">
            <w:pPr>
              <w:spacing w:after="0" w:line="240" w:lineRule="auto"/>
              <w:jc w:val="right"/>
              <w:rPr>
                <w:rFonts w:ascii="Arial" w:eastAsia="Times New Roman" w:hAnsi="Arial" w:cs="Arial"/>
                <w:kern w:val="0"/>
                <w:sz w:val="18"/>
                <w:szCs w:val="18"/>
                <w:lang w:eastAsia="pt-BR"/>
                <w14:ligatures w14:val="none"/>
              </w:rPr>
            </w:pPr>
          </w:p>
        </w:tc>
        <w:tc>
          <w:tcPr>
            <w:tcW w:w="464" w:type="pct"/>
            <w:tcBorders>
              <w:top w:val="nil"/>
              <w:left w:val="nil"/>
              <w:bottom w:val="nil"/>
              <w:right w:val="nil"/>
            </w:tcBorders>
            <w:shd w:val="clear" w:color="auto" w:fill="auto"/>
            <w:noWrap/>
            <w:vAlign w:val="bottom"/>
            <w:hideMark/>
          </w:tcPr>
          <w:p w14:paraId="2D2CC629"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   </w:t>
            </w:r>
          </w:p>
        </w:tc>
        <w:tc>
          <w:tcPr>
            <w:tcW w:w="64" w:type="pct"/>
            <w:tcBorders>
              <w:top w:val="nil"/>
              <w:left w:val="nil"/>
              <w:bottom w:val="nil"/>
              <w:right w:val="nil"/>
            </w:tcBorders>
            <w:shd w:val="clear" w:color="auto" w:fill="auto"/>
            <w:noWrap/>
            <w:vAlign w:val="bottom"/>
            <w:hideMark/>
          </w:tcPr>
          <w:p w14:paraId="29BADACA"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396" w:type="pct"/>
            <w:tcBorders>
              <w:top w:val="nil"/>
              <w:left w:val="nil"/>
              <w:bottom w:val="nil"/>
              <w:right w:val="nil"/>
            </w:tcBorders>
            <w:shd w:val="clear" w:color="auto" w:fill="auto"/>
            <w:noWrap/>
            <w:vAlign w:val="bottom"/>
            <w:hideMark/>
          </w:tcPr>
          <w:p w14:paraId="006848F2" w14:textId="77777777" w:rsidR="004449AB" w:rsidRPr="004449AB" w:rsidRDefault="004449AB" w:rsidP="004449AB">
            <w:pPr>
              <w:spacing w:after="0" w:line="240" w:lineRule="auto"/>
              <w:jc w:val="right"/>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 xml:space="preserve">                  -   </w:t>
            </w:r>
          </w:p>
        </w:tc>
        <w:tc>
          <w:tcPr>
            <w:tcW w:w="64" w:type="pct"/>
            <w:tcBorders>
              <w:top w:val="nil"/>
              <w:left w:val="nil"/>
              <w:bottom w:val="nil"/>
              <w:right w:val="nil"/>
            </w:tcBorders>
            <w:shd w:val="clear" w:color="auto" w:fill="auto"/>
            <w:noWrap/>
            <w:vAlign w:val="bottom"/>
            <w:hideMark/>
          </w:tcPr>
          <w:p w14:paraId="3BC327AC" w14:textId="77777777" w:rsidR="004449AB" w:rsidRPr="004449AB" w:rsidRDefault="004449AB" w:rsidP="004449AB">
            <w:pPr>
              <w:spacing w:after="0" w:line="240" w:lineRule="auto"/>
              <w:jc w:val="right"/>
              <w:rPr>
                <w:rFonts w:ascii="Arial" w:eastAsia="Times New Roman" w:hAnsi="Arial" w:cs="Arial"/>
                <w:kern w:val="0"/>
                <w:sz w:val="18"/>
                <w:szCs w:val="18"/>
                <w:lang w:eastAsia="pt-BR"/>
                <w14:ligatures w14:val="none"/>
              </w:rPr>
            </w:pPr>
          </w:p>
        </w:tc>
        <w:tc>
          <w:tcPr>
            <w:tcW w:w="410" w:type="pct"/>
            <w:tcBorders>
              <w:top w:val="nil"/>
              <w:left w:val="nil"/>
              <w:bottom w:val="nil"/>
              <w:right w:val="nil"/>
            </w:tcBorders>
            <w:shd w:val="clear" w:color="auto" w:fill="auto"/>
            <w:noWrap/>
            <w:vAlign w:val="bottom"/>
            <w:hideMark/>
          </w:tcPr>
          <w:p w14:paraId="48D5B2B6"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(127.357)</w:t>
            </w:r>
          </w:p>
        </w:tc>
      </w:tr>
      <w:tr w:rsidR="004449AB" w:rsidRPr="004449AB" w14:paraId="53237503" w14:textId="77777777" w:rsidTr="00075425">
        <w:trPr>
          <w:trHeight w:val="215"/>
        </w:trPr>
        <w:tc>
          <w:tcPr>
            <w:tcW w:w="2640" w:type="pct"/>
            <w:tcBorders>
              <w:top w:val="nil"/>
              <w:left w:val="nil"/>
              <w:bottom w:val="nil"/>
              <w:right w:val="nil"/>
            </w:tcBorders>
            <w:shd w:val="clear" w:color="auto" w:fill="auto"/>
            <w:noWrap/>
            <w:vAlign w:val="bottom"/>
            <w:hideMark/>
          </w:tcPr>
          <w:p w14:paraId="2F860E32" w14:textId="77777777" w:rsidR="004449AB" w:rsidRPr="004449AB" w:rsidRDefault="004449AB" w:rsidP="004449AB">
            <w:pPr>
              <w:spacing w:after="0" w:line="240" w:lineRule="auto"/>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Outros Resultados Abrangentes:</w:t>
            </w:r>
          </w:p>
        </w:tc>
        <w:tc>
          <w:tcPr>
            <w:tcW w:w="383" w:type="pct"/>
            <w:tcBorders>
              <w:top w:val="nil"/>
              <w:left w:val="nil"/>
              <w:bottom w:val="nil"/>
              <w:right w:val="nil"/>
            </w:tcBorders>
            <w:shd w:val="clear" w:color="auto" w:fill="auto"/>
            <w:noWrap/>
            <w:vAlign w:val="bottom"/>
            <w:hideMark/>
          </w:tcPr>
          <w:p w14:paraId="44DB57AD"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   </w:t>
            </w:r>
          </w:p>
        </w:tc>
        <w:tc>
          <w:tcPr>
            <w:tcW w:w="64" w:type="pct"/>
            <w:tcBorders>
              <w:top w:val="nil"/>
              <w:left w:val="nil"/>
              <w:bottom w:val="nil"/>
              <w:right w:val="nil"/>
            </w:tcBorders>
            <w:shd w:val="clear" w:color="auto" w:fill="auto"/>
            <w:noWrap/>
            <w:vAlign w:val="bottom"/>
            <w:hideMark/>
          </w:tcPr>
          <w:p w14:paraId="2DBF5493"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450" w:type="pct"/>
            <w:tcBorders>
              <w:top w:val="nil"/>
              <w:left w:val="nil"/>
              <w:bottom w:val="nil"/>
              <w:right w:val="nil"/>
            </w:tcBorders>
            <w:shd w:val="clear" w:color="auto" w:fill="auto"/>
            <w:noWrap/>
            <w:vAlign w:val="bottom"/>
            <w:hideMark/>
          </w:tcPr>
          <w:p w14:paraId="201C653E"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   </w:t>
            </w:r>
          </w:p>
        </w:tc>
        <w:tc>
          <w:tcPr>
            <w:tcW w:w="64" w:type="pct"/>
            <w:tcBorders>
              <w:top w:val="nil"/>
              <w:left w:val="nil"/>
              <w:bottom w:val="nil"/>
              <w:right w:val="nil"/>
            </w:tcBorders>
            <w:shd w:val="clear" w:color="auto" w:fill="auto"/>
            <w:noWrap/>
            <w:vAlign w:val="bottom"/>
            <w:hideMark/>
          </w:tcPr>
          <w:p w14:paraId="7C64CD31"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464" w:type="pct"/>
            <w:tcBorders>
              <w:top w:val="nil"/>
              <w:left w:val="nil"/>
              <w:bottom w:val="nil"/>
              <w:right w:val="nil"/>
            </w:tcBorders>
            <w:shd w:val="clear" w:color="auto" w:fill="auto"/>
            <w:noWrap/>
            <w:vAlign w:val="bottom"/>
            <w:hideMark/>
          </w:tcPr>
          <w:p w14:paraId="4220D08E"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(2.095)</w:t>
            </w:r>
          </w:p>
        </w:tc>
        <w:tc>
          <w:tcPr>
            <w:tcW w:w="64" w:type="pct"/>
            <w:tcBorders>
              <w:top w:val="nil"/>
              <w:left w:val="nil"/>
              <w:bottom w:val="nil"/>
              <w:right w:val="nil"/>
            </w:tcBorders>
            <w:shd w:val="clear" w:color="auto" w:fill="auto"/>
            <w:noWrap/>
            <w:vAlign w:val="bottom"/>
            <w:hideMark/>
          </w:tcPr>
          <w:p w14:paraId="7FEDA5E2"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396" w:type="pct"/>
            <w:tcBorders>
              <w:top w:val="nil"/>
              <w:left w:val="nil"/>
              <w:bottom w:val="nil"/>
              <w:right w:val="nil"/>
            </w:tcBorders>
            <w:shd w:val="clear" w:color="auto" w:fill="auto"/>
            <w:noWrap/>
            <w:vAlign w:val="bottom"/>
            <w:hideMark/>
          </w:tcPr>
          <w:p w14:paraId="5B01C82F"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   </w:t>
            </w:r>
          </w:p>
        </w:tc>
        <w:tc>
          <w:tcPr>
            <w:tcW w:w="64" w:type="pct"/>
            <w:tcBorders>
              <w:top w:val="nil"/>
              <w:left w:val="nil"/>
              <w:bottom w:val="nil"/>
              <w:right w:val="nil"/>
            </w:tcBorders>
            <w:shd w:val="clear" w:color="auto" w:fill="auto"/>
            <w:noWrap/>
            <w:vAlign w:val="bottom"/>
            <w:hideMark/>
          </w:tcPr>
          <w:p w14:paraId="6E69A14B"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410" w:type="pct"/>
            <w:tcBorders>
              <w:top w:val="nil"/>
              <w:left w:val="nil"/>
              <w:bottom w:val="nil"/>
              <w:right w:val="nil"/>
            </w:tcBorders>
            <w:shd w:val="clear" w:color="auto" w:fill="auto"/>
            <w:noWrap/>
            <w:vAlign w:val="bottom"/>
            <w:hideMark/>
          </w:tcPr>
          <w:p w14:paraId="655D9B80"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(2.095)</w:t>
            </w:r>
          </w:p>
        </w:tc>
      </w:tr>
      <w:tr w:rsidR="004449AB" w:rsidRPr="004449AB" w14:paraId="78D7418F" w14:textId="77777777" w:rsidTr="00075425">
        <w:trPr>
          <w:trHeight w:val="215"/>
        </w:trPr>
        <w:tc>
          <w:tcPr>
            <w:tcW w:w="2640" w:type="pct"/>
            <w:tcBorders>
              <w:top w:val="nil"/>
              <w:left w:val="nil"/>
              <w:bottom w:val="nil"/>
              <w:right w:val="nil"/>
            </w:tcBorders>
            <w:shd w:val="clear" w:color="auto" w:fill="auto"/>
            <w:noWrap/>
            <w:vAlign w:val="bottom"/>
            <w:hideMark/>
          </w:tcPr>
          <w:p w14:paraId="124CC311" w14:textId="77777777" w:rsidR="004449AB" w:rsidRPr="004449AB" w:rsidRDefault="004449AB" w:rsidP="004449AB">
            <w:pPr>
              <w:spacing w:after="0" w:line="240" w:lineRule="auto"/>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 xml:space="preserve">Equivalência </w:t>
            </w:r>
            <w:proofErr w:type="gramStart"/>
            <w:r w:rsidRPr="004449AB">
              <w:rPr>
                <w:rFonts w:ascii="Arial" w:eastAsia="Times New Roman" w:hAnsi="Arial" w:cs="Arial"/>
                <w:kern w:val="0"/>
                <w:sz w:val="18"/>
                <w:szCs w:val="18"/>
                <w:lang w:eastAsia="pt-BR"/>
                <w14:ligatures w14:val="none"/>
              </w:rPr>
              <w:t>Patrimonial  sobre</w:t>
            </w:r>
            <w:proofErr w:type="gramEnd"/>
            <w:r w:rsidRPr="004449AB">
              <w:rPr>
                <w:rFonts w:ascii="Arial" w:eastAsia="Times New Roman" w:hAnsi="Arial" w:cs="Arial"/>
                <w:kern w:val="0"/>
                <w:sz w:val="18"/>
                <w:szCs w:val="18"/>
                <w:lang w:eastAsia="pt-BR"/>
                <w14:ligatures w14:val="none"/>
              </w:rPr>
              <w:t xml:space="preserve"> Outros Resultados Abrangentes - Coligadas</w:t>
            </w:r>
          </w:p>
        </w:tc>
        <w:tc>
          <w:tcPr>
            <w:tcW w:w="383" w:type="pct"/>
            <w:tcBorders>
              <w:top w:val="nil"/>
              <w:left w:val="nil"/>
              <w:bottom w:val="nil"/>
              <w:right w:val="nil"/>
            </w:tcBorders>
            <w:shd w:val="clear" w:color="auto" w:fill="auto"/>
            <w:noWrap/>
            <w:vAlign w:val="bottom"/>
            <w:hideMark/>
          </w:tcPr>
          <w:p w14:paraId="25E427E3"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   </w:t>
            </w:r>
          </w:p>
        </w:tc>
        <w:tc>
          <w:tcPr>
            <w:tcW w:w="64" w:type="pct"/>
            <w:tcBorders>
              <w:top w:val="nil"/>
              <w:left w:val="nil"/>
              <w:bottom w:val="nil"/>
              <w:right w:val="nil"/>
            </w:tcBorders>
            <w:shd w:val="clear" w:color="auto" w:fill="auto"/>
            <w:noWrap/>
            <w:vAlign w:val="bottom"/>
            <w:hideMark/>
          </w:tcPr>
          <w:p w14:paraId="3CDAF898"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450" w:type="pct"/>
            <w:tcBorders>
              <w:top w:val="nil"/>
              <w:left w:val="nil"/>
              <w:bottom w:val="nil"/>
              <w:right w:val="nil"/>
            </w:tcBorders>
            <w:shd w:val="clear" w:color="auto" w:fill="auto"/>
            <w:noWrap/>
            <w:vAlign w:val="bottom"/>
            <w:hideMark/>
          </w:tcPr>
          <w:p w14:paraId="377FC3D9"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   </w:t>
            </w:r>
          </w:p>
        </w:tc>
        <w:tc>
          <w:tcPr>
            <w:tcW w:w="64" w:type="pct"/>
            <w:tcBorders>
              <w:top w:val="nil"/>
              <w:left w:val="nil"/>
              <w:bottom w:val="nil"/>
              <w:right w:val="nil"/>
            </w:tcBorders>
            <w:shd w:val="clear" w:color="auto" w:fill="auto"/>
            <w:noWrap/>
            <w:vAlign w:val="bottom"/>
            <w:hideMark/>
          </w:tcPr>
          <w:p w14:paraId="3B893380"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464" w:type="pct"/>
            <w:tcBorders>
              <w:top w:val="nil"/>
              <w:left w:val="nil"/>
              <w:bottom w:val="nil"/>
              <w:right w:val="nil"/>
            </w:tcBorders>
            <w:shd w:val="clear" w:color="auto" w:fill="auto"/>
            <w:noWrap/>
            <w:vAlign w:val="bottom"/>
            <w:hideMark/>
          </w:tcPr>
          <w:p w14:paraId="19897CE9" w14:textId="77777777" w:rsidR="004449AB" w:rsidRPr="004449AB" w:rsidRDefault="004449AB" w:rsidP="004449AB">
            <w:pPr>
              <w:spacing w:after="0" w:line="240" w:lineRule="auto"/>
              <w:jc w:val="right"/>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 xml:space="preserve">              (2.857)</w:t>
            </w:r>
          </w:p>
        </w:tc>
        <w:tc>
          <w:tcPr>
            <w:tcW w:w="64" w:type="pct"/>
            <w:tcBorders>
              <w:top w:val="nil"/>
              <w:left w:val="nil"/>
              <w:bottom w:val="nil"/>
              <w:right w:val="nil"/>
            </w:tcBorders>
            <w:shd w:val="clear" w:color="auto" w:fill="auto"/>
            <w:noWrap/>
            <w:vAlign w:val="bottom"/>
            <w:hideMark/>
          </w:tcPr>
          <w:p w14:paraId="4A89AE17" w14:textId="77777777" w:rsidR="004449AB" w:rsidRPr="004449AB" w:rsidRDefault="004449AB" w:rsidP="004449AB">
            <w:pPr>
              <w:spacing w:after="0" w:line="240" w:lineRule="auto"/>
              <w:jc w:val="right"/>
              <w:rPr>
                <w:rFonts w:ascii="Arial" w:eastAsia="Times New Roman" w:hAnsi="Arial" w:cs="Arial"/>
                <w:kern w:val="0"/>
                <w:sz w:val="18"/>
                <w:szCs w:val="18"/>
                <w:lang w:eastAsia="pt-BR"/>
                <w14:ligatures w14:val="none"/>
              </w:rPr>
            </w:pPr>
          </w:p>
        </w:tc>
        <w:tc>
          <w:tcPr>
            <w:tcW w:w="396" w:type="pct"/>
            <w:tcBorders>
              <w:top w:val="nil"/>
              <w:left w:val="nil"/>
              <w:bottom w:val="nil"/>
              <w:right w:val="nil"/>
            </w:tcBorders>
            <w:shd w:val="clear" w:color="auto" w:fill="auto"/>
            <w:noWrap/>
            <w:vAlign w:val="bottom"/>
            <w:hideMark/>
          </w:tcPr>
          <w:p w14:paraId="1EE89215" w14:textId="77777777" w:rsidR="004449AB" w:rsidRPr="004449AB" w:rsidRDefault="004449AB" w:rsidP="004449AB">
            <w:pPr>
              <w:spacing w:after="0" w:line="240" w:lineRule="auto"/>
              <w:jc w:val="right"/>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 xml:space="preserve">                  -   </w:t>
            </w:r>
          </w:p>
        </w:tc>
        <w:tc>
          <w:tcPr>
            <w:tcW w:w="64" w:type="pct"/>
            <w:tcBorders>
              <w:top w:val="nil"/>
              <w:left w:val="nil"/>
              <w:bottom w:val="nil"/>
              <w:right w:val="nil"/>
            </w:tcBorders>
            <w:shd w:val="clear" w:color="auto" w:fill="auto"/>
            <w:noWrap/>
            <w:vAlign w:val="bottom"/>
            <w:hideMark/>
          </w:tcPr>
          <w:p w14:paraId="5B38EE6B" w14:textId="77777777" w:rsidR="004449AB" w:rsidRPr="004449AB" w:rsidRDefault="004449AB" w:rsidP="004449AB">
            <w:pPr>
              <w:spacing w:after="0" w:line="240" w:lineRule="auto"/>
              <w:jc w:val="right"/>
              <w:rPr>
                <w:rFonts w:ascii="Arial" w:eastAsia="Times New Roman" w:hAnsi="Arial" w:cs="Arial"/>
                <w:kern w:val="0"/>
                <w:sz w:val="18"/>
                <w:szCs w:val="18"/>
                <w:lang w:eastAsia="pt-BR"/>
                <w14:ligatures w14:val="none"/>
              </w:rPr>
            </w:pPr>
          </w:p>
        </w:tc>
        <w:tc>
          <w:tcPr>
            <w:tcW w:w="410" w:type="pct"/>
            <w:tcBorders>
              <w:top w:val="nil"/>
              <w:left w:val="nil"/>
              <w:bottom w:val="nil"/>
              <w:right w:val="nil"/>
            </w:tcBorders>
            <w:shd w:val="clear" w:color="auto" w:fill="auto"/>
            <w:noWrap/>
            <w:vAlign w:val="bottom"/>
            <w:hideMark/>
          </w:tcPr>
          <w:p w14:paraId="321F60F4" w14:textId="77777777" w:rsidR="004449AB" w:rsidRPr="004449AB" w:rsidRDefault="004449AB" w:rsidP="004449AB">
            <w:pPr>
              <w:spacing w:after="0" w:line="240" w:lineRule="auto"/>
              <w:jc w:val="right"/>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 xml:space="preserve">           (2.857)</w:t>
            </w:r>
          </w:p>
        </w:tc>
      </w:tr>
      <w:tr w:rsidR="004449AB" w:rsidRPr="004449AB" w14:paraId="5C847DD9" w14:textId="77777777" w:rsidTr="00075425">
        <w:trPr>
          <w:trHeight w:val="215"/>
        </w:trPr>
        <w:tc>
          <w:tcPr>
            <w:tcW w:w="2640" w:type="pct"/>
            <w:tcBorders>
              <w:top w:val="nil"/>
              <w:left w:val="nil"/>
              <w:bottom w:val="nil"/>
              <w:right w:val="nil"/>
            </w:tcBorders>
            <w:shd w:val="clear" w:color="auto" w:fill="auto"/>
            <w:noWrap/>
            <w:vAlign w:val="bottom"/>
            <w:hideMark/>
          </w:tcPr>
          <w:p w14:paraId="74FB11BE" w14:textId="77777777" w:rsidR="004449AB" w:rsidRPr="004449AB" w:rsidRDefault="004449AB" w:rsidP="004449AB">
            <w:pPr>
              <w:spacing w:after="0" w:line="240" w:lineRule="auto"/>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Ganho com Instrumentos Financeiros - Ativos Financeiros Disponíveis para Venda</w:t>
            </w:r>
          </w:p>
        </w:tc>
        <w:tc>
          <w:tcPr>
            <w:tcW w:w="383" w:type="pct"/>
            <w:tcBorders>
              <w:top w:val="nil"/>
              <w:left w:val="nil"/>
              <w:bottom w:val="nil"/>
              <w:right w:val="nil"/>
            </w:tcBorders>
            <w:shd w:val="clear" w:color="auto" w:fill="auto"/>
            <w:noWrap/>
            <w:vAlign w:val="bottom"/>
            <w:hideMark/>
          </w:tcPr>
          <w:p w14:paraId="5EE49D88"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   </w:t>
            </w:r>
          </w:p>
        </w:tc>
        <w:tc>
          <w:tcPr>
            <w:tcW w:w="64" w:type="pct"/>
            <w:tcBorders>
              <w:top w:val="nil"/>
              <w:left w:val="nil"/>
              <w:bottom w:val="nil"/>
              <w:right w:val="nil"/>
            </w:tcBorders>
            <w:shd w:val="clear" w:color="auto" w:fill="auto"/>
            <w:noWrap/>
            <w:vAlign w:val="bottom"/>
            <w:hideMark/>
          </w:tcPr>
          <w:p w14:paraId="037C5FD3"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450" w:type="pct"/>
            <w:tcBorders>
              <w:top w:val="nil"/>
              <w:left w:val="nil"/>
              <w:bottom w:val="nil"/>
              <w:right w:val="nil"/>
            </w:tcBorders>
            <w:shd w:val="clear" w:color="auto" w:fill="auto"/>
            <w:noWrap/>
            <w:vAlign w:val="bottom"/>
            <w:hideMark/>
          </w:tcPr>
          <w:p w14:paraId="5574C6F7"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   </w:t>
            </w:r>
          </w:p>
        </w:tc>
        <w:tc>
          <w:tcPr>
            <w:tcW w:w="64" w:type="pct"/>
            <w:tcBorders>
              <w:top w:val="nil"/>
              <w:left w:val="nil"/>
              <w:bottom w:val="nil"/>
              <w:right w:val="nil"/>
            </w:tcBorders>
            <w:shd w:val="clear" w:color="auto" w:fill="auto"/>
            <w:noWrap/>
            <w:vAlign w:val="bottom"/>
            <w:hideMark/>
          </w:tcPr>
          <w:p w14:paraId="7C01DD19"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464" w:type="pct"/>
            <w:tcBorders>
              <w:top w:val="nil"/>
              <w:left w:val="nil"/>
              <w:bottom w:val="nil"/>
              <w:right w:val="nil"/>
            </w:tcBorders>
            <w:shd w:val="clear" w:color="auto" w:fill="auto"/>
            <w:noWrap/>
            <w:vAlign w:val="bottom"/>
            <w:hideMark/>
          </w:tcPr>
          <w:p w14:paraId="6E8C1372" w14:textId="77777777" w:rsidR="004449AB" w:rsidRPr="004449AB" w:rsidRDefault="004449AB" w:rsidP="004449AB">
            <w:pPr>
              <w:spacing w:after="0" w:line="240" w:lineRule="auto"/>
              <w:jc w:val="right"/>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 xml:space="preserve">                   762 </w:t>
            </w:r>
          </w:p>
        </w:tc>
        <w:tc>
          <w:tcPr>
            <w:tcW w:w="64" w:type="pct"/>
            <w:tcBorders>
              <w:top w:val="nil"/>
              <w:left w:val="nil"/>
              <w:bottom w:val="nil"/>
              <w:right w:val="nil"/>
            </w:tcBorders>
            <w:shd w:val="clear" w:color="auto" w:fill="auto"/>
            <w:noWrap/>
            <w:vAlign w:val="bottom"/>
            <w:hideMark/>
          </w:tcPr>
          <w:p w14:paraId="0ED2F6ED" w14:textId="77777777" w:rsidR="004449AB" w:rsidRPr="004449AB" w:rsidRDefault="004449AB" w:rsidP="004449AB">
            <w:pPr>
              <w:spacing w:after="0" w:line="240" w:lineRule="auto"/>
              <w:jc w:val="right"/>
              <w:rPr>
                <w:rFonts w:ascii="Arial" w:eastAsia="Times New Roman" w:hAnsi="Arial" w:cs="Arial"/>
                <w:kern w:val="0"/>
                <w:sz w:val="18"/>
                <w:szCs w:val="18"/>
                <w:lang w:eastAsia="pt-BR"/>
                <w14:ligatures w14:val="none"/>
              </w:rPr>
            </w:pPr>
          </w:p>
        </w:tc>
        <w:tc>
          <w:tcPr>
            <w:tcW w:w="396" w:type="pct"/>
            <w:tcBorders>
              <w:top w:val="nil"/>
              <w:left w:val="nil"/>
              <w:bottom w:val="nil"/>
              <w:right w:val="nil"/>
            </w:tcBorders>
            <w:shd w:val="clear" w:color="auto" w:fill="auto"/>
            <w:noWrap/>
            <w:vAlign w:val="bottom"/>
            <w:hideMark/>
          </w:tcPr>
          <w:p w14:paraId="4E5794F9" w14:textId="77777777" w:rsidR="004449AB" w:rsidRPr="004449AB" w:rsidRDefault="004449AB" w:rsidP="004449AB">
            <w:pPr>
              <w:spacing w:after="0" w:line="240" w:lineRule="auto"/>
              <w:jc w:val="right"/>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 xml:space="preserve">                  -   </w:t>
            </w:r>
          </w:p>
        </w:tc>
        <w:tc>
          <w:tcPr>
            <w:tcW w:w="64" w:type="pct"/>
            <w:tcBorders>
              <w:top w:val="nil"/>
              <w:left w:val="nil"/>
              <w:bottom w:val="nil"/>
              <w:right w:val="nil"/>
            </w:tcBorders>
            <w:shd w:val="clear" w:color="auto" w:fill="auto"/>
            <w:noWrap/>
            <w:vAlign w:val="bottom"/>
            <w:hideMark/>
          </w:tcPr>
          <w:p w14:paraId="10FAFB1D" w14:textId="77777777" w:rsidR="004449AB" w:rsidRPr="004449AB" w:rsidRDefault="004449AB" w:rsidP="004449AB">
            <w:pPr>
              <w:spacing w:after="0" w:line="240" w:lineRule="auto"/>
              <w:jc w:val="right"/>
              <w:rPr>
                <w:rFonts w:ascii="Arial" w:eastAsia="Times New Roman" w:hAnsi="Arial" w:cs="Arial"/>
                <w:kern w:val="0"/>
                <w:sz w:val="18"/>
                <w:szCs w:val="18"/>
                <w:lang w:eastAsia="pt-BR"/>
                <w14:ligatures w14:val="none"/>
              </w:rPr>
            </w:pPr>
          </w:p>
        </w:tc>
        <w:tc>
          <w:tcPr>
            <w:tcW w:w="410" w:type="pct"/>
            <w:tcBorders>
              <w:top w:val="nil"/>
              <w:left w:val="nil"/>
              <w:bottom w:val="nil"/>
              <w:right w:val="nil"/>
            </w:tcBorders>
            <w:shd w:val="clear" w:color="auto" w:fill="auto"/>
            <w:noWrap/>
            <w:vAlign w:val="bottom"/>
            <w:hideMark/>
          </w:tcPr>
          <w:p w14:paraId="0780352C" w14:textId="77777777" w:rsidR="004449AB" w:rsidRPr="004449AB" w:rsidRDefault="004449AB" w:rsidP="004449AB">
            <w:pPr>
              <w:spacing w:after="0" w:line="240" w:lineRule="auto"/>
              <w:jc w:val="right"/>
              <w:rPr>
                <w:rFonts w:ascii="Arial" w:eastAsia="Times New Roman" w:hAnsi="Arial" w:cs="Arial"/>
                <w:kern w:val="0"/>
                <w:sz w:val="18"/>
                <w:szCs w:val="18"/>
                <w:lang w:eastAsia="pt-BR"/>
                <w14:ligatures w14:val="none"/>
              </w:rPr>
            </w:pPr>
            <w:r w:rsidRPr="004449AB">
              <w:rPr>
                <w:rFonts w:ascii="Arial" w:eastAsia="Times New Roman" w:hAnsi="Arial" w:cs="Arial"/>
                <w:kern w:val="0"/>
                <w:sz w:val="18"/>
                <w:szCs w:val="18"/>
                <w:lang w:eastAsia="pt-BR"/>
                <w14:ligatures w14:val="none"/>
              </w:rPr>
              <w:t xml:space="preserve">               762 </w:t>
            </w:r>
          </w:p>
        </w:tc>
      </w:tr>
      <w:tr w:rsidR="004449AB" w:rsidRPr="004449AB" w14:paraId="23B33E9E" w14:textId="77777777" w:rsidTr="00075425">
        <w:trPr>
          <w:trHeight w:val="215"/>
        </w:trPr>
        <w:tc>
          <w:tcPr>
            <w:tcW w:w="2640" w:type="pct"/>
            <w:tcBorders>
              <w:top w:val="nil"/>
              <w:left w:val="nil"/>
              <w:bottom w:val="nil"/>
              <w:right w:val="nil"/>
            </w:tcBorders>
            <w:shd w:val="clear" w:color="auto" w:fill="auto"/>
            <w:noWrap/>
            <w:vAlign w:val="bottom"/>
            <w:hideMark/>
          </w:tcPr>
          <w:p w14:paraId="61DCD5C1" w14:textId="77777777" w:rsidR="004449AB" w:rsidRPr="004449AB" w:rsidRDefault="004449AB" w:rsidP="004449AB">
            <w:pPr>
              <w:spacing w:after="0" w:line="240" w:lineRule="auto"/>
              <w:jc w:val="right"/>
              <w:rPr>
                <w:rFonts w:ascii="Arial" w:eastAsia="Times New Roman" w:hAnsi="Arial" w:cs="Arial"/>
                <w:kern w:val="0"/>
                <w:sz w:val="18"/>
                <w:szCs w:val="18"/>
                <w:lang w:eastAsia="pt-BR"/>
                <w14:ligatures w14:val="none"/>
              </w:rPr>
            </w:pPr>
          </w:p>
        </w:tc>
        <w:tc>
          <w:tcPr>
            <w:tcW w:w="383" w:type="pct"/>
            <w:tcBorders>
              <w:top w:val="nil"/>
              <w:left w:val="nil"/>
              <w:bottom w:val="nil"/>
              <w:right w:val="nil"/>
            </w:tcBorders>
            <w:shd w:val="clear" w:color="auto" w:fill="auto"/>
            <w:noWrap/>
            <w:vAlign w:val="bottom"/>
            <w:hideMark/>
          </w:tcPr>
          <w:p w14:paraId="70014AD7"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64" w:type="pct"/>
            <w:tcBorders>
              <w:top w:val="nil"/>
              <w:left w:val="nil"/>
              <w:bottom w:val="nil"/>
              <w:right w:val="nil"/>
            </w:tcBorders>
            <w:shd w:val="clear" w:color="auto" w:fill="auto"/>
            <w:noWrap/>
            <w:vAlign w:val="bottom"/>
            <w:hideMark/>
          </w:tcPr>
          <w:p w14:paraId="7CA1125D"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450" w:type="pct"/>
            <w:tcBorders>
              <w:top w:val="nil"/>
              <w:left w:val="nil"/>
              <w:bottom w:val="nil"/>
              <w:right w:val="nil"/>
            </w:tcBorders>
            <w:shd w:val="clear" w:color="auto" w:fill="auto"/>
            <w:noWrap/>
            <w:vAlign w:val="bottom"/>
            <w:hideMark/>
          </w:tcPr>
          <w:p w14:paraId="4A4A6827"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64" w:type="pct"/>
            <w:tcBorders>
              <w:top w:val="nil"/>
              <w:left w:val="nil"/>
              <w:bottom w:val="nil"/>
              <w:right w:val="nil"/>
            </w:tcBorders>
            <w:shd w:val="clear" w:color="auto" w:fill="auto"/>
            <w:noWrap/>
            <w:vAlign w:val="bottom"/>
            <w:hideMark/>
          </w:tcPr>
          <w:p w14:paraId="238A8F70"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464" w:type="pct"/>
            <w:tcBorders>
              <w:top w:val="nil"/>
              <w:left w:val="nil"/>
              <w:bottom w:val="nil"/>
              <w:right w:val="nil"/>
            </w:tcBorders>
            <w:shd w:val="clear" w:color="auto" w:fill="auto"/>
            <w:noWrap/>
            <w:vAlign w:val="bottom"/>
            <w:hideMark/>
          </w:tcPr>
          <w:p w14:paraId="15AD8B6A"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64" w:type="pct"/>
            <w:tcBorders>
              <w:top w:val="nil"/>
              <w:left w:val="nil"/>
              <w:bottom w:val="nil"/>
              <w:right w:val="nil"/>
            </w:tcBorders>
            <w:shd w:val="clear" w:color="auto" w:fill="auto"/>
            <w:noWrap/>
            <w:vAlign w:val="bottom"/>
            <w:hideMark/>
          </w:tcPr>
          <w:p w14:paraId="3DCA1F2D"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396" w:type="pct"/>
            <w:tcBorders>
              <w:top w:val="nil"/>
              <w:left w:val="nil"/>
              <w:bottom w:val="nil"/>
              <w:right w:val="nil"/>
            </w:tcBorders>
            <w:shd w:val="clear" w:color="auto" w:fill="auto"/>
            <w:noWrap/>
            <w:vAlign w:val="bottom"/>
            <w:hideMark/>
          </w:tcPr>
          <w:p w14:paraId="0E1AC7A2"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64" w:type="pct"/>
            <w:tcBorders>
              <w:top w:val="nil"/>
              <w:left w:val="nil"/>
              <w:bottom w:val="nil"/>
              <w:right w:val="nil"/>
            </w:tcBorders>
            <w:shd w:val="clear" w:color="auto" w:fill="auto"/>
            <w:noWrap/>
            <w:vAlign w:val="bottom"/>
            <w:hideMark/>
          </w:tcPr>
          <w:p w14:paraId="346953DD"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410" w:type="pct"/>
            <w:tcBorders>
              <w:top w:val="nil"/>
              <w:left w:val="nil"/>
              <w:bottom w:val="nil"/>
              <w:right w:val="nil"/>
            </w:tcBorders>
            <w:shd w:val="clear" w:color="auto" w:fill="auto"/>
            <w:noWrap/>
            <w:vAlign w:val="bottom"/>
            <w:hideMark/>
          </w:tcPr>
          <w:p w14:paraId="47C32019"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r>
      <w:tr w:rsidR="004449AB" w:rsidRPr="004449AB" w14:paraId="3BFBAC82" w14:textId="77777777" w:rsidTr="00075425">
        <w:trPr>
          <w:trHeight w:val="215"/>
        </w:trPr>
        <w:tc>
          <w:tcPr>
            <w:tcW w:w="2640" w:type="pct"/>
            <w:tcBorders>
              <w:top w:val="nil"/>
              <w:left w:val="nil"/>
              <w:bottom w:val="nil"/>
              <w:right w:val="nil"/>
            </w:tcBorders>
            <w:shd w:val="clear" w:color="auto" w:fill="auto"/>
            <w:noWrap/>
            <w:vAlign w:val="bottom"/>
            <w:hideMark/>
          </w:tcPr>
          <w:p w14:paraId="2E75FD94" w14:textId="77777777" w:rsidR="004449AB" w:rsidRPr="004449AB" w:rsidRDefault="004449AB" w:rsidP="004449AB">
            <w:pPr>
              <w:spacing w:after="0" w:line="240" w:lineRule="auto"/>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lastRenderedPageBreak/>
              <w:t>Saldo em 31 de dezembro de 2023</w:t>
            </w:r>
          </w:p>
        </w:tc>
        <w:tc>
          <w:tcPr>
            <w:tcW w:w="383" w:type="pct"/>
            <w:tcBorders>
              <w:top w:val="single" w:sz="4" w:space="0" w:color="auto"/>
              <w:left w:val="nil"/>
              <w:bottom w:val="double" w:sz="6" w:space="0" w:color="auto"/>
              <w:right w:val="nil"/>
            </w:tcBorders>
            <w:shd w:val="clear" w:color="auto" w:fill="auto"/>
            <w:noWrap/>
            <w:vAlign w:val="bottom"/>
            <w:hideMark/>
          </w:tcPr>
          <w:p w14:paraId="7F8DE9DC"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3.474.498 </w:t>
            </w:r>
          </w:p>
        </w:tc>
        <w:tc>
          <w:tcPr>
            <w:tcW w:w="64" w:type="pct"/>
            <w:tcBorders>
              <w:top w:val="nil"/>
              <w:left w:val="nil"/>
              <w:bottom w:val="nil"/>
              <w:right w:val="nil"/>
            </w:tcBorders>
            <w:shd w:val="clear" w:color="auto" w:fill="auto"/>
            <w:noWrap/>
            <w:vAlign w:val="bottom"/>
            <w:hideMark/>
          </w:tcPr>
          <w:p w14:paraId="025187A0"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450" w:type="pct"/>
            <w:tcBorders>
              <w:top w:val="single" w:sz="4" w:space="0" w:color="auto"/>
              <w:left w:val="nil"/>
              <w:bottom w:val="double" w:sz="6" w:space="0" w:color="auto"/>
              <w:right w:val="nil"/>
            </w:tcBorders>
            <w:shd w:val="clear" w:color="auto" w:fill="auto"/>
            <w:noWrap/>
            <w:vAlign w:val="bottom"/>
            <w:hideMark/>
          </w:tcPr>
          <w:p w14:paraId="0CCCAB6B"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(2.073.212)</w:t>
            </w:r>
          </w:p>
        </w:tc>
        <w:tc>
          <w:tcPr>
            <w:tcW w:w="64" w:type="pct"/>
            <w:tcBorders>
              <w:top w:val="nil"/>
              <w:left w:val="nil"/>
              <w:bottom w:val="nil"/>
              <w:right w:val="nil"/>
            </w:tcBorders>
            <w:shd w:val="clear" w:color="auto" w:fill="auto"/>
            <w:noWrap/>
            <w:vAlign w:val="bottom"/>
            <w:hideMark/>
          </w:tcPr>
          <w:p w14:paraId="22D8D462"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464" w:type="pct"/>
            <w:tcBorders>
              <w:top w:val="single" w:sz="4" w:space="0" w:color="auto"/>
              <w:left w:val="nil"/>
              <w:bottom w:val="double" w:sz="6" w:space="0" w:color="auto"/>
              <w:right w:val="nil"/>
            </w:tcBorders>
            <w:shd w:val="clear" w:color="auto" w:fill="auto"/>
            <w:noWrap/>
            <w:vAlign w:val="bottom"/>
            <w:hideMark/>
          </w:tcPr>
          <w:p w14:paraId="73587A06"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24.476 </w:t>
            </w:r>
          </w:p>
        </w:tc>
        <w:tc>
          <w:tcPr>
            <w:tcW w:w="64" w:type="pct"/>
            <w:tcBorders>
              <w:top w:val="nil"/>
              <w:left w:val="nil"/>
              <w:bottom w:val="nil"/>
              <w:right w:val="nil"/>
            </w:tcBorders>
            <w:shd w:val="clear" w:color="auto" w:fill="auto"/>
            <w:noWrap/>
            <w:vAlign w:val="bottom"/>
            <w:hideMark/>
          </w:tcPr>
          <w:p w14:paraId="244E1F3F"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396" w:type="pct"/>
            <w:tcBorders>
              <w:top w:val="single" w:sz="4" w:space="0" w:color="auto"/>
              <w:left w:val="nil"/>
              <w:bottom w:val="double" w:sz="6" w:space="0" w:color="auto"/>
              <w:right w:val="nil"/>
            </w:tcBorders>
            <w:shd w:val="clear" w:color="auto" w:fill="auto"/>
            <w:noWrap/>
            <w:vAlign w:val="bottom"/>
            <w:hideMark/>
          </w:tcPr>
          <w:p w14:paraId="641174B3"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(111)</w:t>
            </w:r>
          </w:p>
        </w:tc>
        <w:tc>
          <w:tcPr>
            <w:tcW w:w="64" w:type="pct"/>
            <w:tcBorders>
              <w:top w:val="nil"/>
              <w:left w:val="nil"/>
              <w:bottom w:val="nil"/>
              <w:right w:val="nil"/>
            </w:tcBorders>
            <w:shd w:val="clear" w:color="auto" w:fill="auto"/>
            <w:noWrap/>
            <w:vAlign w:val="bottom"/>
            <w:hideMark/>
          </w:tcPr>
          <w:p w14:paraId="0CB6D571"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410" w:type="pct"/>
            <w:tcBorders>
              <w:top w:val="single" w:sz="4" w:space="0" w:color="auto"/>
              <w:left w:val="nil"/>
              <w:bottom w:val="double" w:sz="6" w:space="0" w:color="auto"/>
              <w:right w:val="nil"/>
            </w:tcBorders>
            <w:shd w:val="clear" w:color="auto" w:fill="auto"/>
            <w:noWrap/>
            <w:vAlign w:val="bottom"/>
            <w:hideMark/>
          </w:tcPr>
          <w:p w14:paraId="5D26FE6E"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 xml:space="preserve">     1.425.651 </w:t>
            </w:r>
          </w:p>
        </w:tc>
      </w:tr>
      <w:tr w:rsidR="004449AB" w:rsidRPr="004449AB" w14:paraId="4B5BC1CF" w14:textId="77777777" w:rsidTr="00075425">
        <w:trPr>
          <w:trHeight w:val="215"/>
        </w:trPr>
        <w:tc>
          <w:tcPr>
            <w:tcW w:w="2640" w:type="pct"/>
            <w:tcBorders>
              <w:top w:val="nil"/>
              <w:left w:val="nil"/>
              <w:bottom w:val="nil"/>
              <w:right w:val="nil"/>
            </w:tcBorders>
            <w:shd w:val="clear" w:color="auto" w:fill="auto"/>
            <w:noWrap/>
            <w:vAlign w:val="bottom"/>
            <w:hideMark/>
          </w:tcPr>
          <w:p w14:paraId="4115DC4E" w14:textId="77777777" w:rsidR="004449AB" w:rsidRPr="004449AB" w:rsidRDefault="004449AB" w:rsidP="004449AB">
            <w:pPr>
              <w:spacing w:after="0" w:line="240" w:lineRule="auto"/>
              <w:jc w:val="right"/>
              <w:rPr>
                <w:rFonts w:ascii="Arial" w:eastAsia="Times New Roman" w:hAnsi="Arial" w:cs="Arial"/>
                <w:b/>
                <w:bCs/>
                <w:kern w:val="0"/>
                <w:sz w:val="18"/>
                <w:szCs w:val="18"/>
                <w:lang w:eastAsia="pt-BR"/>
                <w14:ligatures w14:val="none"/>
              </w:rPr>
            </w:pPr>
          </w:p>
        </w:tc>
        <w:tc>
          <w:tcPr>
            <w:tcW w:w="383" w:type="pct"/>
            <w:tcBorders>
              <w:top w:val="nil"/>
              <w:left w:val="nil"/>
              <w:bottom w:val="nil"/>
              <w:right w:val="nil"/>
            </w:tcBorders>
            <w:shd w:val="clear" w:color="auto" w:fill="auto"/>
            <w:noWrap/>
            <w:vAlign w:val="bottom"/>
            <w:hideMark/>
          </w:tcPr>
          <w:p w14:paraId="7EB17772"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64" w:type="pct"/>
            <w:tcBorders>
              <w:top w:val="nil"/>
              <w:left w:val="nil"/>
              <w:bottom w:val="nil"/>
              <w:right w:val="nil"/>
            </w:tcBorders>
            <w:shd w:val="clear" w:color="auto" w:fill="auto"/>
            <w:noWrap/>
            <w:vAlign w:val="bottom"/>
            <w:hideMark/>
          </w:tcPr>
          <w:p w14:paraId="79404BD1"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450" w:type="pct"/>
            <w:tcBorders>
              <w:top w:val="nil"/>
              <w:left w:val="nil"/>
              <w:bottom w:val="nil"/>
              <w:right w:val="nil"/>
            </w:tcBorders>
            <w:shd w:val="clear" w:color="auto" w:fill="auto"/>
            <w:noWrap/>
            <w:vAlign w:val="bottom"/>
            <w:hideMark/>
          </w:tcPr>
          <w:p w14:paraId="32A9976C"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64" w:type="pct"/>
            <w:tcBorders>
              <w:top w:val="nil"/>
              <w:left w:val="nil"/>
              <w:bottom w:val="nil"/>
              <w:right w:val="nil"/>
            </w:tcBorders>
            <w:shd w:val="clear" w:color="auto" w:fill="auto"/>
            <w:noWrap/>
            <w:vAlign w:val="bottom"/>
            <w:hideMark/>
          </w:tcPr>
          <w:p w14:paraId="2F22E5DF"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464" w:type="pct"/>
            <w:tcBorders>
              <w:top w:val="nil"/>
              <w:left w:val="nil"/>
              <w:bottom w:val="nil"/>
              <w:right w:val="nil"/>
            </w:tcBorders>
            <w:shd w:val="clear" w:color="auto" w:fill="auto"/>
            <w:noWrap/>
            <w:vAlign w:val="bottom"/>
            <w:hideMark/>
          </w:tcPr>
          <w:p w14:paraId="68D97B78"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64" w:type="pct"/>
            <w:tcBorders>
              <w:top w:val="nil"/>
              <w:left w:val="nil"/>
              <w:bottom w:val="nil"/>
              <w:right w:val="nil"/>
            </w:tcBorders>
            <w:shd w:val="clear" w:color="auto" w:fill="auto"/>
            <w:noWrap/>
            <w:vAlign w:val="bottom"/>
            <w:hideMark/>
          </w:tcPr>
          <w:p w14:paraId="7A62942A"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396" w:type="pct"/>
            <w:tcBorders>
              <w:top w:val="nil"/>
              <w:left w:val="nil"/>
              <w:bottom w:val="nil"/>
              <w:right w:val="nil"/>
            </w:tcBorders>
            <w:shd w:val="clear" w:color="auto" w:fill="auto"/>
            <w:noWrap/>
            <w:vAlign w:val="bottom"/>
            <w:hideMark/>
          </w:tcPr>
          <w:p w14:paraId="32DB0CD7"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64" w:type="pct"/>
            <w:tcBorders>
              <w:top w:val="nil"/>
              <w:left w:val="nil"/>
              <w:bottom w:val="nil"/>
              <w:right w:val="nil"/>
            </w:tcBorders>
            <w:shd w:val="clear" w:color="auto" w:fill="auto"/>
            <w:noWrap/>
            <w:vAlign w:val="bottom"/>
            <w:hideMark/>
          </w:tcPr>
          <w:p w14:paraId="18885811"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410" w:type="pct"/>
            <w:tcBorders>
              <w:top w:val="nil"/>
              <w:left w:val="nil"/>
              <w:bottom w:val="nil"/>
              <w:right w:val="nil"/>
            </w:tcBorders>
            <w:shd w:val="clear" w:color="auto" w:fill="auto"/>
            <w:noWrap/>
            <w:vAlign w:val="bottom"/>
            <w:hideMark/>
          </w:tcPr>
          <w:p w14:paraId="41A75459"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r>
      <w:tr w:rsidR="004449AB" w:rsidRPr="004449AB" w14:paraId="4AF5B174" w14:textId="77777777" w:rsidTr="00075425">
        <w:trPr>
          <w:trHeight w:val="215"/>
        </w:trPr>
        <w:tc>
          <w:tcPr>
            <w:tcW w:w="2640" w:type="pct"/>
            <w:tcBorders>
              <w:top w:val="nil"/>
              <w:left w:val="nil"/>
              <w:bottom w:val="nil"/>
              <w:right w:val="nil"/>
            </w:tcBorders>
            <w:shd w:val="clear" w:color="auto" w:fill="auto"/>
            <w:noWrap/>
            <w:vAlign w:val="bottom"/>
            <w:hideMark/>
          </w:tcPr>
          <w:p w14:paraId="1A26F61F" w14:textId="77777777" w:rsidR="004449AB" w:rsidRPr="004449AB" w:rsidRDefault="004449AB" w:rsidP="004449AB">
            <w:pPr>
              <w:spacing w:after="0" w:line="240" w:lineRule="auto"/>
              <w:rPr>
                <w:rFonts w:ascii="Arial" w:eastAsia="Times New Roman" w:hAnsi="Arial" w:cs="Arial"/>
                <w:b/>
                <w:bCs/>
                <w:kern w:val="0"/>
                <w:sz w:val="18"/>
                <w:szCs w:val="18"/>
                <w:lang w:eastAsia="pt-BR"/>
                <w14:ligatures w14:val="none"/>
              </w:rPr>
            </w:pPr>
            <w:r w:rsidRPr="004449AB">
              <w:rPr>
                <w:rFonts w:ascii="Arial" w:eastAsia="Times New Roman" w:hAnsi="Arial" w:cs="Arial"/>
                <w:b/>
                <w:bCs/>
                <w:kern w:val="0"/>
                <w:sz w:val="18"/>
                <w:szCs w:val="18"/>
                <w:lang w:eastAsia="pt-BR"/>
                <w14:ligatures w14:val="none"/>
              </w:rPr>
              <w:t>As notas explicativas são parte integrante das demonstrações contábeis</w:t>
            </w:r>
          </w:p>
        </w:tc>
        <w:tc>
          <w:tcPr>
            <w:tcW w:w="383" w:type="pct"/>
            <w:tcBorders>
              <w:top w:val="nil"/>
              <w:left w:val="nil"/>
              <w:bottom w:val="nil"/>
              <w:right w:val="nil"/>
            </w:tcBorders>
            <w:shd w:val="clear" w:color="auto" w:fill="auto"/>
            <w:noWrap/>
            <w:vAlign w:val="bottom"/>
            <w:hideMark/>
          </w:tcPr>
          <w:p w14:paraId="63BCC785" w14:textId="77777777" w:rsidR="004449AB" w:rsidRPr="004449AB" w:rsidRDefault="004449AB" w:rsidP="004449AB">
            <w:pPr>
              <w:spacing w:after="0" w:line="240" w:lineRule="auto"/>
              <w:rPr>
                <w:rFonts w:ascii="Arial" w:eastAsia="Times New Roman" w:hAnsi="Arial" w:cs="Arial"/>
                <w:b/>
                <w:bCs/>
                <w:kern w:val="0"/>
                <w:sz w:val="18"/>
                <w:szCs w:val="18"/>
                <w:lang w:eastAsia="pt-BR"/>
                <w14:ligatures w14:val="none"/>
              </w:rPr>
            </w:pPr>
          </w:p>
        </w:tc>
        <w:tc>
          <w:tcPr>
            <w:tcW w:w="64" w:type="pct"/>
            <w:tcBorders>
              <w:top w:val="nil"/>
              <w:left w:val="nil"/>
              <w:bottom w:val="nil"/>
              <w:right w:val="nil"/>
            </w:tcBorders>
            <w:shd w:val="clear" w:color="auto" w:fill="auto"/>
            <w:noWrap/>
            <w:vAlign w:val="bottom"/>
            <w:hideMark/>
          </w:tcPr>
          <w:p w14:paraId="5C3F255D"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450" w:type="pct"/>
            <w:tcBorders>
              <w:top w:val="nil"/>
              <w:left w:val="nil"/>
              <w:bottom w:val="nil"/>
              <w:right w:val="nil"/>
            </w:tcBorders>
            <w:shd w:val="clear" w:color="auto" w:fill="auto"/>
            <w:noWrap/>
            <w:vAlign w:val="bottom"/>
            <w:hideMark/>
          </w:tcPr>
          <w:p w14:paraId="7D8937C6"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64" w:type="pct"/>
            <w:tcBorders>
              <w:top w:val="nil"/>
              <w:left w:val="nil"/>
              <w:bottom w:val="nil"/>
              <w:right w:val="nil"/>
            </w:tcBorders>
            <w:shd w:val="clear" w:color="auto" w:fill="auto"/>
            <w:noWrap/>
            <w:vAlign w:val="bottom"/>
            <w:hideMark/>
          </w:tcPr>
          <w:p w14:paraId="142DA2B7"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464" w:type="pct"/>
            <w:tcBorders>
              <w:top w:val="nil"/>
              <w:left w:val="nil"/>
              <w:bottom w:val="nil"/>
              <w:right w:val="nil"/>
            </w:tcBorders>
            <w:shd w:val="clear" w:color="auto" w:fill="auto"/>
            <w:noWrap/>
            <w:vAlign w:val="bottom"/>
            <w:hideMark/>
          </w:tcPr>
          <w:p w14:paraId="35C7FCA8"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64" w:type="pct"/>
            <w:tcBorders>
              <w:top w:val="nil"/>
              <w:left w:val="nil"/>
              <w:bottom w:val="nil"/>
              <w:right w:val="nil"/>
            </w:tcBorders>
            <w:shd w:val="clear" w:color="auto" w:fill="auto"/>
            <w:noWrap/>
            <w:vAlign w:val="bottom"/>
            <w:hideMark/>
          </w:tcPr>
          <w:p w14:paraId="54347905"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396" w:type="pct"/>
            <w:tcBorders>
              <w:top w:val="nil"/>
              <w:left w:val="nil"/>
              <w:bottom w:val="nil"/>
              <w:right w:val="nil"/>
            </w:tcBorders>
            <w:shd w:val="clear" w:color="auto" w:fill="auto"/>
            <w:noWrap/>
            <w:vAlign w:val="bottom"/>
            <w:hideMark/>
          </w:tcPr>
          <w:p w14:paraId="7C13934C"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64" w:type="pct"/>
            <w:tcBorders>
              <w:top w:val="nil"/>
              <w:left w:val="nil"/>
              <w:bottom w:val="nil"/>
              <w:right w:val="nil"/>
            </w:tcBorders>
            <w:shd w:val="clear" w:color="auto" w:fill="auto"/>
            <w:noWrap/>
            <w:vAlign w:val="bottom"/>
            <w:hideMark/>
          </w:tcPr>
          <w:p w14:paraId="1606CCB0"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c>
          <w:tcPr>
            <w:tcW w:w="410" w:type="pct"/>
            <w:tcBorders>
              <w:top w:val="nil"/>
              <w:left w:val="nil"/>
              <w:bottom w:val="nil"/>
              <w:right w:val="nil"/>
            </w:tcBorders>
            <w:shd w:val="clear" w:color="auto" w:fill="auto"/>
            <w:noWrap/>
            <w:vAlign w:val="bottom"/>
            <w:hideMark/>
          </w:tcPr>
          <w:p w14:paraId="1DE73C01" w14:textId="77777777" w:rsidR="004449AB" w:rsidRPr="004449AB" w:rsidRDefault="004449AB" w:rsidP="004449AB">
            <w:pPr>
              <w:spacing w:after="0" w:line="240" w:lineRule="auto"/>
              <w:jc w:val="right"/>
              <w:rPr>
                <w:rFonts w:ascii="Times New Roman" w:eastAsia="Times New Roman" w:hAnsi="Times New Roman" w:cs="Times New Roman"/>
                <w:kern w:val="0"/>
                <w:sz w:val="18"/>
                <w:szCs w:val="18"/>
                <w:lang w:eastAsia="pt-BR"/>
                <w14:ligatures w14:val="none"/>
              </w:rPr>
            </w:pPr>
          </w:p>
        </w:tc>
      </w:tr>
      <w:bookmarkEnd w:id="377"/>
    </w:tbl>
    <w:p w14:paraId="65DD0F3A" w14:textId="77777777" w:rsidR="007712BC" w:rsidRDefault="007712BC" w:rsidP="001D10E5">
      <w:pPr>
        <w:spacing w:after="0"/>
        <w:jc w:val="both"/>
        <w:rPr>
          <w:noProof/>
        </w:rPr>
      </w:pPr>
    </w:p>
    <w:p w14:paraId="4F86BDA7" w14:textId="77777777" w:rsidR="004449AB" w:rsidRDefault="004449AB" w:rsidP="001D10E5">
      <w:pPr>
        <w:spacing w:after="0"/>
        <w:jc w:val="both"/>
        <w:rPr>
          <w:noProof/>
        </w:rPr>
      </w:pPr>
    </w:p>
    <w:p w14:paraId="488D8AC8" w14:textId="77777777" w:rsidR="004449AB" w:rsidRDefault="004449AB" w:rsidP="001D10E5">
      <w:pPr>
        <w:spacing w:after="0"/>
        <w:jc w:val="both"/>
        <w:rPr>
          <w:noProof/>
        </w:rPr>
      </w:pPr>
    </w:p>
    <w:p w14:paraId="3F620EE1" w14:textId="77777777" w:rsidR="004449AB" w:rsidRDefault="004449AB" w:rsidP="001D10E5">
      <w:pPr>
        <w:spacing w:after="0"/>
        <w:jc w:val="both"/>
        <w:rPr>
          <w:noProof/>
        </w:rPr>
      </w:pPr>
    </w:p>
    <w:p w14:paraId="7FE39F0E" w14:textId="77777777" w:rsidR="004449AB" w:rsidRDefault="004449AB" w:rsidP="001D10E5">
      <w:pPr>
        <w:spacing w:after="0"/>
        <w:jc w:val="both"/>
        <w:rPr>
          <w:noProof/>
        </w:rPr>
      </w:pPr>
    </w:p>
    <w:p w14:paraId="41B8B369" w14:textId="77777777" w:rsidR="004449AB" w:rsidRDefault="004449AB" w:rsidP="001D10E5">
      <w:pPr>
        <w:spacing w:after="0"/>
        <w:jc w:val="both"/>
        <w:rPr>
          <w:noProof/>
        </w:rPr>
      </w:pPr>
    </w:p>
    <w:p w14:paraId="345A32AE" w14:textId="77777777" w:rsidR="004449AB" w:rsidRDefault="004449AB" w:rsidP="001D10E5">
      <w:pPr>
        <w:spacing w:after="0"/>
        <w:jc w:val="both"/>
        <w:rPr>
          <w:noProof/>
        </w:rPr>
      </w:pPr>
    </w:p>
    <w:p w14:paraId="3C2DE126" w14:textId="77777777" w:rsidR="004449AB" w:rsidRDefault="004449AB" w:rsidP="001D10E5">
      <w:pPr>
        <w:spacing w:after="0"/>
        <w:jc w:val="both"/>
        <w:rPr>
          <w:noProof/>
        </w:rPr>
      </w:pPr>
    </w:p>
    <w:p w14:paraId="2FCC11EF" w14:textId="77777777" w:rsidR="004449AB" w:rsidRDefault="004449AB" w:rsidP="001D10E5">
      <w:pPr>
        <w:spacing w:after="0"/>
        <w:jc w:val="both"/>
        <w:rPr>
          <w:noProof/>
        </w:rPr>
      </w:pPr>
    </w:p>
    <w:p w14:paraId="117DA176" w14:textId="77777777" w:rsidR="004449AB" w:rsidRDefault="004449AB" w:rsidP="001D10E5">
      <w:pPr>
        <w:spacing w:after="0"/>
        <w:jc w:val="both"/>
        <w:rPr>
          <w:noProof/>
        </w:rPr>
      </w:pPr>
    </w:p>
    <w:p w14:paraId="14B6C78C" w14:textId="77777777" w:rsidR="004449AB" w:rsidRDefault="004449AB" w:rsidP="001D10E5">
      <w:pPr>
        <w:spacing w:after="0"/>
        <w:jc w:val="both"/>
        <w:rPr>
          <w:noProof/>
        </w:rPr>
      </w:pPr>
    </w:p>
    <w:p w14:paraId="228BD5F2" w14:textId="77777777" w:rsidR="004449AB" w:rsidRDefault="004449AB" w:rsidP="001D10E5">
      <w:pPr>
        <w:spacing w:after="0"/>
        <w:jc w:val="both"/>
        <w:rPr>
          <w:noProof/>
        </w:rPr>
      </w:pPr>
    </w:p>
    <w:p w14:paraId="077B276D" w14:textId="77777777" w:rsidR="004449AB" w:rsidRDefault="004449AB" w:rsidP="001D10E5">
      <w:pPr>
        <w:spacing w:after="0"/>
        <w:jc w:val="both"/>
        <w:rPr>
          <w:noProof/>
        </w:rPr>
      </w:pPr>
    </w:p>
    <w:p w14:paraId="2968A353" w14:textId="77777777" w:rsidR="004449AB" w:rsidRDefault="004449AB" w:rsidP="001D10E5">
      <w:pPr>
        <w:spacing w:after="0"/>
        <w:jc w:val="both"/>
        <w:rPr>
          <w:noProof/>
        </w:rPr>
      </w:pPr>
    </w:p>
    <w:p w14:paraId="12A9599D" w14:textId="77777777" w:rsidR="004449AB" w:rsidRDefault="004449AB" w:rsidP="001D10E5">
      <w:pPr>
        <w:spacing w:after="0"/>
        <w:jc w:val="both"/>
        <w:rPr>
          <w:noProof/>
        </w:rPr>
      </w:pPr>
    </w:p>
    <w:p w14:paraId="7048DB74" w14:textId="77777777" w:rsidR="004449AB" w:rsidRDefault="004449AB" w:rsidP="001D10E5">
      <w:pPr>
        <w:spacing w:after="0"/>
        <w:jc w:val="both"/>
        <w:rPr>
          <w:noProof/>
        </w:rPr>
      </w:pPr>
    </w:p>
    <w:p w14:paraId="4C4E1446" w14:textId="77777777" w:rsidR="004449AB" w:rsidRDefault="004449AB" w:rsidP="001D10E5">
      <w:pPr>
        <w:spacing w:after="0"/>
        <w:jc w:val="both"/>
        <w:rPr>
          <w:noProof/>
        </w:rPr>
      </w:pPr>
    </w:p>
    <w:p w14:paraId="64FA8750" w14:textId="77777777" w:rsidR="004449AB" w:rsidRDefault="004449AB" w:rsidP="001D10E5">
      <w:pPr>
        <w:spacing w:after="0"/>
        <w:jc w:val="both"/>
        <w:rPr>
          <w:noProof/>
        </w:rPr>
      </w:pPr>
    </w:p>
    <w:p w14:paraId="1C54F5B4" w14:textId="77777777" w:rsidR="004449AB" w:rsidRDefault="004449AB" w:rsidP="001D10E5">
      <w:pPr>
        <w:spacing w:after="0"/>
        <w:jc w:val="both"/>
        <w:rPr>
          <w:noProof/>
        </w:rPr>
      </w:pPr>
    </w:p>
    <w:p w14:paraId="1E9270E0" w14:textId="77777777" w:rsidR="004449AB" w:rsidRDefault="004449AB" w:rsidP="001D10E5">
      <w:pPr>
        <w:spacing w:after="0"/>
        <w:jc w:val="both"/>
        <w:rPr>
          <w:noProof/>
        </w:rPr>
      </w:pPr>
    </w:p>
    <w:p w14:paraId="08566582" w14:textId="77777777" w:rsidR="004449AB" w:rsidRDefault="004449AB" w:rsidP="001D10E5">
      <w:pPr>
        <w:spacing w:after="0"/>
        <w:jc w:val="both"/>
        <w:rPr>
          <w:noProof/>
        </w:rPr>
      </w:pPr>
    </w:p>
    <w:p w14:paraId="6EF2ACF4" w14:textId="77777777" w:rsidR="004449AB" w:rsidRDefault="004449AB" w:rsidP="001D10E5">
      <w:pPr>
        <w:spacing w:after="0"/>
        <w:jc w:val="both"/>
        <w:rPr>
          <w:noProof/>
        </w:rPr>
      </w:pPr>
    </w:p>
    <w:p w14:paraId="6E282DD6" w14:textId="77777777" w:rsidR="004449AB" w:rsidRDefault="004449AB" w:rsidP="001D10E5">
      <w:pPr>
        <w:spacing w:after="0"/>
        <w:jc w:val="both"/>
        <w:rPr>
          <w:noProof/>
        </w:rPr>
      </w:pPr>
    </w:p>
    <w:p w14:paraId="657010EF" w14:textId="77777777" w:rsidR="004449AB" w:rsidRDefault="004449AB" w:rsidP="001D10E5">
      <w:pPr>
        <w:spacing w:after="0"/>
        <w:jc w:val="both"/>
        <w:rPr>
          <w:noProof/>
        </w:rPr>
      </w:pPr>
    </w:p>
    <w:p w14:paraId="093816C4" w14:textId="77777777" w:rsidR="004449AB" w:rsidRDefault="004449AB" w:rsidP="001D10E5">
      <w:pPr>
        <w:spacing w:after="0"/>
        <w:jc w:val="both"/>
        <w:rPr>
          <w:noProof/>
        </w:rPr>
      </w:pPr>
    </w:p>
    <w:p w14:paraId="46A21D8C" w14:textId="77777777" w:rsidR="004449AB" w:rsidRDefault="004449AB" w:rsidP="001D10E5">
      <w:pPr>
        <w:spacing w:after="0"/>
        <w:jc w:val="both"/>
        <w:rPr>
          <w:noProof/>
        </w:rPr>
      </w:pPr>
    </w:p>
    <w:p w14:paraId="44AC816A" w14:textId="77777777" w:rsidR="004449AB" w:rsidRDefault="004449AB" w:rsidP="001D10E5">
      <w:pPr>
        <w:spacing w:after="0"/>
        <w:jc w:val="both"/>
        <w:rPr>
          <w:noProof/>
        </w:rPr>
      </w:pPr>
    </w:p>
    <w:p w14:paraId="3CE1AB5C" w14:textId="77777777" w:rsidR="004449AB" w:rsidRDefault="004449AB" w:rsidP="001D10E5">
      <w:pPr>
        <w:spacing w:after="0"/>
        <w:jc w:val="both"/>
        <w:rPr>
          <w:noProof/>
        </w:rPr>
      </w:pPr>
    </w:p>
    <w:p w14:paraId="64E2FBD4" w14:textId="77777777" w:rsidR="004449AB" w:rsidRDefault="004449AB" w:rsidP="001D10E5">
      <w:pPr>
        <w:spacing w:after="0"/>
        <w:jc w:val="both"/>
        <w:rPr>
          <w:noProof/>
        </w:rPr>
      </w:pPr>
    </w:p>
    <w:p w14:paraId="2D1745C9" w14:textId="77777777" w:rsidR="004449AB" w:rsidRDefault="004449AB" w:rsidP="001D10E5">
      <w:pPr>
        <w:spacing w:after="0"/>
        <w:jc w:val="both"/>
        <w:rPr>
          <w:noProof/>
        </w:rPr>
      </w:pPr>
    </w:p>
    <w:p w14:paraId="69771E1C" w14:textId="77777777" w:rsidR="004449AB" w:rsidRDefault="004449AB" w:rsidP="001D10E5">
      <w:pPr>
        <w:spacing w:after="0"/>
        <w:jc w:val="both"/>
        <w:rPr>
          <w:noProof/>
        </w:rPr>
      </w:pPr>
    </w:p>
    <w:p w14:paraId="1EC6744F" w14:textId="77777777" w:rsidR="004449AB" w:rsidRDefault="004449AB" w:rsidP="001D10E5">
      <w:pPr>
        <w:spacing w:after="0"/>
        <w:jc w:val="both"/>
        <w:rPr>
          <w:noProof/>
        </w:rPr>
      </w:pPr>
    </w:p>
    <w:p w14:paraId="536CE94F" w14:textId="77777777" w:rsidR="004449AB" w:rsidRDefault="004449AB" w:rsidP="001D10E5">
      <w:pPr>
        <w:spacing w:after="0"/>
        <w:jc w:val="both"/>
        <w:rPr>
          <w:noProof/>
        </w:rPr>
      </w:pPr>
    </w:p>
    <w:p w14:paraId="5D90577E" w14:textId="77777777" w:rsidR="004449AB" w:rsidRDefault="004449AB" w:rsidP="001D10E5">
      <w:pPr>
        <w:spacing w:after="0"/>
        <w:jc w:val="both"/>
        <w:rPr>
          <w:noProof/>
        </w:rPr>
      </w:pPr>
    </w:p>
    <w:p w14:paraId="1C7245E6" w14:textId="77777777" w:rsidR="004449AB" w:rsidRDefault="004449AB" w:rsidP="001D10E5">
      <w:pPr>
        <w:spacing w:after="0"/>
        <w:jc w:val="both"/>
        <w:rPr>
          <w:noProof/>
        </w:rPr>
      </w:pPr>
    </w:p>
    <w:p w14:paraId="295E4F07" w14:textId="77777777" w:rsidR="004449AB" w:rsidRDefault="004449AB" w:rsidP="001D10E5">
      <w:pPr>
        <w:spacing w:after="0"/>
        <w:jc w:val="both"/>
        <w:rPr>
          <w:noProof/>
        </w:rPr>
      </w:pPr>
    </w:p>
    <w:p w14:paraId="09F06A31" w14:textId="77777777" w:rsidR="004449AB" w:rsidRDefault="004449AB" w:rsidP="001D10E5">
      <w:pPr>
        <w:spacing w:after="0"/>
        <w:jc w:val="both"/>
        <w:rPr>
          <w:noProof/>
        </w:rPr>
      </w:pPr>
    </w:p>
    <w:p w14:paraId="3EE7AD24" w14:textId="77777777" w:rsidR="004449AB" w:rsidRDefault="004449AB" w:rsidP="001D10E5">
      <w:pPr>
        <w:spacing w:after="0"/>
        <w:jc w:val="both"/>
        <w:rPr>
          <w:noProof/>
        </w:rPr>
      </w:pPr>
    </w:p>
    <w:tbl>
      <w:tblPr>
        <w:tblW w:w="5000" w:type="pct"/>
        <w:tblCellMar>
          <w:left w:w="70" w:type="dxa"/>
          <w:right w:w="70" w:type="dxa"/>
        </w:tblCellMar>
        <w:tblLook w:val="04A0" w:firstRow="1" w:lastRow="0" w:firstColumn="1" w:lastColumn="0" w:noHBand="0" w:noVBand="1"/>
      </w:tblPr>
      <w:tblGrid>
        <w:gridCol w:w="5789"/>
        <w:gridCol w:w="145"/>
        <w:gridCol w:w="1423"/>
        <w:gridCol w:w="146"/>
        <w:gridCol w:w="1423"/>
        <w:gridCol w:w="146"/>
      </w:tblGrid>
      <w:tr w:rsidR="004449AB" w:rsidRPr="004449AB" w14:paraId="7F208784" w14:textId="77777777" w:rsidTr="00075425">
        <w:trPr>
          <w:trHeight w:val="198"/>
        </w:trPr>
        <w:tc>
          <w:tcPr>
            <w:tcW w:w="5000" w:type="pct"/>
            <w:gridSpan w:val="6"/>
            <w:tcBorders>
              <w:top w:val="nil"/>
              <w:left w:val="nil"/>
              <w:bottom w:val="nil"/>
              <w:right w:val="nil"/>
            </w:tcBorders>
            <w:shd w:val="clear" w:color="auto" w:fill="auto"/>
            <w:noWrap/>
            <w:vAlign w:val="bottom"/>
            <w:hideMark/>
          </w:tcPr>
          <w:p w14:paraId="646B3015" w14:textId="77777777" w:rsidR="004449AB" w:rsidRPr="004449AB" w:rsidRDefault="004449AB" w:rsidP="004449AB">
            <w:pPr>
              <w:spacing w:after="0" w:line="240" w:lineRule="auto"/>
              <w:jc w:val="center"/>
              <w:rPr>
                <w:rFonts w:ascii="Arial" w:eastAsia="Times New Roman" w:hAnsi="Arial" w:cs="Arial"/>
                <w:b/>
                <w:bCs/>
                <w:kern w:val="0"/>
                <w:sz w:val="16"/>
                <w:szCs w:val="16"/>
                <w:lang w:eastAsia="pt-BR"/>
                <w14:ligatures w14:val="none"/>
              </w:rPr>
            </w:pPr>
            <w:bookmarkStart w:id="378" w:name="_Hlk162280181"/>
            <w:r w:rsidRPr="004449AB">
              <w:rPr>
                <w:rFonts w:ascii="Arial" w:eastAsia="Times New Roman" w:hAnsi="Arial" w:cs="Arial"/>
                <w:b/>
                <w:bCs/>
                <w:kern w:val="0"/>
                <w:sz w:val="16"/>
                <w:szCs w:val="16"/>
                <w:lang w:eastAsia="pt-BR"/>
                <w14:ligatures w14:val="none"/>
              </w:rPr>
              <w:t>TELECOMUNICAÇÕES BRASILEIRAS S.A - "TELEBRAS"</w:t>
            </w:r>
          </w:p>
        </w:tc>
      </w:tr>
      <w:tr w:rsidR="004449AB" w:rsidRPr="004449AB" w14:paraId="616A7112" w14:textId="77777777" w:rsidTr="00075425">
        <w:trPr>
          <w:trHeight w:val="198"/>
        </w:trPr>
        <w:tc>
          <w:tcPr>
            <w:tcW w:w="5000" w:type="pct"/>
            <w:gridSpan w:val="6"/>
            <w:tcBorders>
              <w:top w:val="nil"/>
              <w:left w:val="nil"/>
              <w:bottom w:val="nil"/>
              <w:right w:val="nil"/>
            </w:tcBorders>
            <w:shd w:val="clear" w:color="auto" w:fill="auto"/>
            <w:noWrap/>
            <w:vAlign w:val="bottom"/>
            <w:hideMark/>
          </w:tcPr>
          <w:p w14:paraId="1DFBD6C1" w14:textId="77777777" w:rsidR="004449AB" w:rsidRPr="004449AB" w:rsidRDefault="004449AB" w:rsidP="004449AB">
            <w:pPr>
              <w:spacing w:after="0" w:line="240" w:lineRule="auto"/>
              <w:jc w:val="center"/>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CNPJ 00.336.701/0001-04</w:t>
            </w:r>
          </w:p>
        </w:tc>
      </w:tr>
      <w:tr w:rsidR="004449AB" w:rsidRPr="004449AB" w14:paraId="1F9D0F02" w14:textId="77777777" w:rsidTr="00075425">
        <w:trPr>
          <w:trHeight w:val="198"/>
        </w:trPr>
        <w:tc>
          <w:tcPr>
            <w:tcW w:w="5000" w:type="pct"/>
            <w:gridSpan w:val="6"/>
            <w:tcBorders>
              <w:top w:val="nil"/>
              <w:left w:val="nil"/>
              <w:bottom w:val="nil"/>
              <w:right w:val="nil"/>
            </w:tcBorders>
            <w:shd w:val="clear" w:color="auto" w:fill="auto"/>
            <w:noWrap/>
            <w:vAlign w:val="bottom"/>
            <w:hideMark/>
          </w:tcPr>
          <w:p w14:paraId="4B8099E7" w14:textId="77777777" w:rsidR="004449AB" w:rsidRPr="004449AB" w:rsidRDefault="004449AB" w:rsidP="004449AB">
            <w:pPr>
              <w:spacing w:after="0" w:line="240" w:lineRule="auto"/>
              <w:jc w:val="center"/>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Demonstrações dos Fluxos de Caixa - Método Indireto</w:t>
            </w:r>
          </w:p>
        </w:tc>
      </w:tr>
      <w:tr w:rsidR="004449AB" w:rsidRPr="004449AB" w14:paraId="558D33EA" w14:textId="77777777" w:rsidTr="00075425">
        <w:trPr>
          <w:trHeight w:val="198"/>
        </w:trPr>
        <w:tc>
          <w:tcPr>
            <w:tcW w:w="5000" w:type="pct"/>
            <w:gridSpan w:val="6"/>
            <w:tcBorders>
              <w:top w:val="nil"/>
              <w:left w:val="nil"/>
              <w:bottom w:val="nil"/>
              <w:right w:val="nil"/>
            </w:tcBorders>
            <w:shd w:val="clear" w:color="auto" w:fill="auto"/>
            <w:noWrap/>
            <w:vAlign w:val="bottom"/>
            <w:hideMark/>
          </w:tcPr>
          <w:p w14:paraId="67557C44" w14:textId="77777777" w:rsidR="004449AB" w:rsidRPr="004449AB" w:rsidRDefault="004449AB" w:rsidP="004449AB">
            <w:pPr>
              <w:spacing w:after="0" w:line="240" w:lineRule="auto"/>
              <w:jc w:val="center"/>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Exercícios findos em 31 de dezembro de 2023 e 2022</w:t>
            </w:r>
          </w:p>
        </w:tc>
      </w:tr>
      <w:tr w:rsidR="004449AB" w:rsidRPr="004449AB" w14:paraId="0FC70427" w14:textId="77777777" w:rsidTr="00075425">
        <w:trPr>
          <w:trHeight w:val="198"/>
        </w:trPr>
        <w:tc>
          <w:tcPr>
            <w:tcW w:w="5000" w:type="pct"/>
            <w:gridSpan w:val="6"/>
            <w:tcBorders>
              <w:top w:val="nil"/>
              <w:left w:val="nil"/>
              <w:bottom w:val="nil"/>
              <w:right w:val="nil"/>
            </w:tcBorders>
            <w:shd w:val="clear" w:color="auto" w:fill="auto"/>
            <w:noWrap/>
            <w:vAlign w:val="bottom"/>
            <w:hideMark/>
          </w:tcPr>
          <w:p w14:paraId="250D7179" w14:textId="77777777" w:rsidR="004449AB" w:rsidRPr="004449AB" w:rsidRDefault="004449AB" w:rsidP="004449AB">
            <w:pPr>
              <w:spacing w:after="0" w:line="240" w:lineRule="auto"/>
              <w:jc w:val="center"/>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lastRenderedPageBreak/>
              <w:t>Em milhares de reais, exceto quando indicado de outra forma</w:t>
            </w:r>
          </w:p>
        </w:tc>
      </w:tr>
      <w:tr w:rsidR="004449AB" w:rsidRPr="004449AB" w14:paraId="60F8CCAA" w14:textId="77777777" w:rsidTr="00075425">
        <w:trPr>
          <w:trHeight w:val="198"/>
        </w:trPr>
        <w:tc>
          <w:tcPr>
            <w:tcW w:w="3350" w:type="pct"/>
            <w:tcBorders>
              <w:top w:val="nil"/>
              <w:left w:val="nil"/>
              <w:bottom w:val="nil"/>
              <w:right w:val="nil"/>
            </w:tcBorders>
            <w:shd w:val="clear" w:color="auto" w:fill="auto"/>
            <w:noWrap/>
            <w:vAlign w:val="bottom"/>
            <w:hideMark/>
          </w:tcPr>
          <w:p w14:paraId="60F713CC" w14:textId="77777777" w:rsidR="004449AB" w:rsidRPr="004449AB" w:rsidRDefault="004449AB" w:rsidP="004449AB">
            <w:pPr>
              <w:spacing w:after="0" w:line="240" w:lineRule="auto"/>
              <w:jc w:val="center"/>
              <w:rPr>
                <w:rFonts w:ascii="Arial" w:eastAsia="Times New Roman" w:hAnsi="Arial" w:cs="Arial"/>
                <w:b/>
                <w:bCs/>
                <w:kern w:val="0"/>
                <w:sz w:val="16"/>
                <w:szCs w:val="16"/>
                <w:lang w:eastAsia="pt-BR"/>
                <w14:ligatures w14:val="none"/>
              </w:rPr>
            </w:pPr>
          </w:p>
        </w:tc>
        <w:tc>
          <w:tcPr>
            <w:tcW w:w="60" w:type="pct"/>
            <w:tcBorders>
              <w:top w:val="nil"/>
              <w:left w:val="nil"/>
              <w:bottom w:val="nil"/>
              <w:right w:val="nil"/>
            </w:tcBorders>
            <w:shd w:val="clear" w:color="auto" w:fill="auto"/>
            <w:noWrap/>
            <w:vAlign w:val="bottom"/>
            <w:hideMark/>
          </w:tcPr>
          <w:p w14:paraId="01BF6BD4"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c>
          <w:tcPr>
            <w:tcW w:w="1530" w:type="pct"/>
            <w:gridSpan w:val="3"/>
            <w:tcBorders>
              <w:top w:val="nil"/>
              <w:left w:val="nil"/>
              <w:bottom w:val="single" w:sz="4" w:space="0" w:color="auto"/>
              <w:right w:val="nil"/>
            </w:tcBorders>
            <w:shd w:val="clear" w:color="auto" w:fill="auto"/>
            <w:noWrap/>
            <w:vAlign w:val="bottom"/>
            <w:hideMark/>
          </w:tcPr>
          <w:p w14:paraId="27985B04" w14:textId="77777777" w:rsidR="004449AB" w:rsidRPr="004449AB" w:rsidRDefault="004449AB" w:rsidP="004449AB">
            <w:pPr>
              <w:spacing w:after="0" w:line="240" w:lineRule="auto"/>
              <w:jc w:val="center"/>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 </w:t>
            </w:r>
          </w:p>
        </w:tc>
        <w:tc>
          <w:tcPr>
            <w:tcW w:w="60" w:type="pct"/>
            <w:tcBorders>
              <w:top w:val="nil"/>
              <w:left w:val="nil"/>
              <w:bottom w:val="nil"/>
              <w:right w:val="nil"/>
            </w:tcBorders>
            <w:shd w:val="clear" w:color="auto" w:fill="auto"/>
            <w:noWrap/>
            <w:vAlign w:val="bottom"/>
            <w:hideMark/>
          </w:tcPr>
          <w:p w14:paraId="1AE8685F" w14:textId="77777777" w:rsidR="004449AB" w:rsidRPr="004449AB" w:rsidRDefault="004449AB" w:rsidP="004449AB">
            <w:pPr>
              <w:spacing w:after="0" w:line="240" w:lineRule="auto"/>
              <w:jc w:val="center"/>
              <w:rPr>
                <w:rFonts w:ascii="Arial" w:eastAsia="Times New Roman" w:hAnsi="Arial" w:cs="Arial"/>
                <w:b/>
                <w:bCs/>
                <w:kern w:val="0"/>
                <w:sz w:val="16"/>
                <w:szCs w:val="16"/>
                <w:lang w:eastAsia="pt-BR"/>
                <w14:ligatures w14:val="none"/>
              </w:rPr>
            </w:pPr>
          </w:p>
        </w:tc>
      </w:tr>
      <w:tr w:rsidR="004449AB" w:rsidRPr="004449AB" w14:paraId="7F84C6EF" w14:textId="77777777" w:rsidTr="00075425">
        <w:trPr>
          <w:trHeight w:val="198"/>
        </w:trPr>
        <w:tc>
          <w:tcPr>
            <w:tcW w:w="3350" w:type="pct"/>
            <w:tcBorders>
              <w:top w:val="nil"/>
              <w:left w:val="nil"/>
              <w:bottom w:val="nil"/>
              <w:right w:val="nil"/>
            </w:tcBorders>
            <w:shd w:val="clear" w:color="auto" w:fill="auto"/>
            <w:noWrap/>
            <w:vAlign w:val="bottom"/>
            <w:hideMark/>
          </w:tcPr>
          <w:p w14:paraId="43D092E3" w14:textId="77777777" w:rsidR="004449AB" w:rsidRPr="004449AB" w:rsidRDefault="004449AB" w:rsidP="004449AB">
            <w:pPr>
              <w:spacing w:after="0" w:line="240" w:lineRule="auto"/>
              <w:jc w:val="center"/>
              <w:rPr>
                <w:rFonts w:ascii="Times New Roman" w:eastAsia="Times New Roman" w:hAnsi="Times New Roman" w:cs="Times New Roman"/>
                <w:kern w:val="0"/>
                <w:sz w:val="16"/>
                <w:szCs w:val="16"/>
                <w:lang w:eastAsia="pt-BR"/>
                <w14:ligatures w14:val="none"/>
              </w:rPr>
            </w:pPr>
          </w:p>
        </w:tc>
        <w:tc>
          <w:tcPr>
            <w:tcW w:w="60" w:type="pct"/>
            <w:tcBorders>
              <w:top w:val="nil"/>
              <w:left w:val="nil"/>
              <w:bottom w:val="nil"/>
              <w:right w:val="nil"/>
            </w:tcBorders>
            <w:shd w:val="clear" w:color="auto" w:fill="auto"/>
            <w:noWrap/>
            <w:vAlign w:val="bottom"/>
            <w:hideMark/>
          </w:tcPr>
          <w:p w14:paraId="339FF558"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c>
          <w:tcPr>
            <w:tcW w:w="726" w:type="pct"/>
            <w:tcBorders>
              <w:top w:val="nil"/>
              <w:left w:val="nil"/>
              <w:bottom w:val="single" w:sz="4" w:space="0" w:color="auto"/>
              <w:right w:val="nil"/>
            </w:tcBorders>
            <w:shd w:val="clear" w:color="auto" w:fill="auto"/>
            <w:noWrap/>
            <w:vAlign w:val="bottom"/>
            <w:hideMark/>
          </w:tcPr>
          <w:p w14:paraId="1A93F382" w14:textId="77777777" w:rsidR="004449AB" w:rsidRPr="004449AB" w:rsidRDefault="004449AB" w:rsidP="004449AB">
            <w:pPr>
              <w:spacing w:after="0" w:line="240" w:lineRule="auto"/>
              <w:jc w:val="center"/>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2023</w:t>
            </w:r>
          </w:p>
        </w:tc>
        <w:tc>
          <w:tcPr>
            <w:tcW w:w="60" w:type="pct"/>
            <w:tcBorders>
              <w:top w:val="nil"/>
              <w:left w:val="nil"/>
              <w:bottom w:val="nil"/>
              <w:right w:val="nil"/>
            </w:tcBorders>
            <w:shd w:val="clear" w:color="auto" w:fill="auto"/>
            <w:noWrap/>
            <w:vAlign w:val="bottom"/>
            <w:hideMark/>
          </w:tcPr>
          <w:p w14:paraId="38F18118" w14:textId="77777777" w:rsidR="004449AB" w:rsidRPr="004449AB" w:rsidRDefault="004449AB" w:rsidP="004449AB">
            <w:pPr>
              <w:spacing w:after="0" w:line="240" w:lineRule="auto"/>
              <w:jc w:val="center"/>
              <w:rPr>
                <w:rFonts w:ascii="Arial" w:eastAsia="Times New Roman" w:hAnsi="Arial" w:cs="Arial"/>
                <w:b/>
                <w:bCs/>
                <w:kern w:val="0"/>
                <w:sz w:val="16"/>
                <w:szCs w:val="16"/>
                <w:lang w:eastAsia="pt-BR"/>
                <w14:ligatures w14:val="none"/>
              </w:rPr>
            </w:pPr>
          </w:p>
        </w:tc>
        <w:tc>
          <w:tcPr>
            <w:tcW w:w="744" w:type="pct"/>
            <w:tcBorders>
              <w:top w:val="nil"/>
              <w:left w:val="nil"/>
              <w:bottom w:val="single" w:sz="4" w:space="0" w:color="auto"/>
              <w:right w:val="nil"/>
            </w:tcBorders>
            <w:shd w:val="clear" w:color="auto" w:fill="auto"/>
            <w:vAlign w:val="center"/>
            <w:hideMark/>
          </w:tcPr>
          <w:p w14:paraId="23F23868" w14:textId="77777777" w:rsidR="004449AB" w:rsidRPr="004449AB" w:rsidRDefault="004449AB" w:rsidP="004449AB">
            <w:pPr>
              <w:spacing w:after="0" w:line="240" w:lineRule="auto"/>
              <w:jc w:val="center"/>
              <w:rPr>
                <w:rFonts w:ascii="Arial" w:eastAsia="Times New Roman" w:hAnsi="Arial" w:cs="Arial"/>
                <w:b/>
                <w:bCs/>
                <w:color w:val="000000"/>
                <w:kern w:val="0"/>
                <w:sz w:val="16"/>
                <w:szCs w:val="16"/>
                <w:lang w:eastAsia="pt-BR"/>
                <w14:ligatures w14:val="none"/>
              </w:rPr>
            </w:pPr>
            <w:proofErr w:type="gramStart"/>
            <w:r w:rsidRPr="004449AB">
              <w:rPr>
                <w:rFonts w:ascii="Arial" w:eastAsia="Times New Roman" w:hAnsi="Arial" w:cs="Arial"/>
                <w:b/>
                <w:bCs/>
                <w:color w:val="000000"/>
                <w:kern w:val="0"/>
                <w:sz w:val="16"/>
                <w:szCs w:val="16"/>
                <w:lang w:eastAsia="pt-BR"/>
                <w14:ligatures w14:val="none"/>
              </w:rPr>
              <w:t>2022  Reapresentado</w:t>
            </w:r>
            <w:proofErr w:type="gramEnd"/>
          </w:p>
        </w:tc>
        <w:tc>
          <w:tcPr>
            <w:tcW w:w="60" w:type="pct"/>
            <w:tcBorders>
              <w:top w:val="nil"/>
              <w:left w:val="nil"/>
              <w:bottom w:val="nil"/>
              <w:right w:val="nil"/>
            </w:tcBorders>
            <w:shd w:val="clear" w:color="auto" w:fill="auto"/>
            <w:noWrap/>
            <w:vAlign w:val="bottom"/>
            <w:hideMark/>
          </w:tcPr>
          <w:p w14:paraId="1E6ABA96" w14:textId="77777777" w:rsidR="004449AB" w:rsidRPr="004449AB" w:rsidRDefault="004449AB" w:rsidP="004449AB">
            <w:pPr>
              <w:spacing w:after="0" w:line="240" w:lineRule="auto"/>
              <w:jc w:val="center"/>
              <w:rPr>
                <w:rFonts w:ascii="Arial" w:eastAsia="Times New Roman" w:hAnsi="Arial" w:cs="Arial"/>
                <w:b/>
                <w:bCs/>
                <w:color w:val="000000"/>
                <w:kern w:val="0"/>
                <w:sz w:val="16"/>
                <w:szCs w:val="16"/>
                <w:lang w:eastAsia="pt-BR"/>
                <w14:ligatures w14:val="none"/>
              </w:rPr>
            </w:pPr>
          </w:p>
        </w:tc>
      </w:tr>
      <w:tr w:rsidR="004449AB" w:rsidRPr="004449AB" w14:paraId="08298982" w14:textId="77777777" w:rsidTr="00075425">
        <w:trPr>
          <w:trHeight w:val="198"/>
        </w:trPr>
        <w:tc>
          <w:tcPr>
            <w:tcW w:w="3350" w:type="pct"/>
            <w:tcBorders>
              <w:top w:val="nil"/>
              <w:left w:val="nil"/>
              <w:bottom w:val="nil"/>
              <w:right w:val="nil"/>
            </w:tcBorders>
            <w:shd w:val="clear" w:color="auto" w:fill="auto"/>
            <w:noWrap/>
            <w:vAlign w:val="bottom"/>
            <w:hideMark/>
          </w:tcPr>
          <w:p w14:paraId="23D0B2BE" w14:textId="77777777" w:rsidR="004449AB" w:rsidRPr="004449AB" w:rsidRDefault="004449AB" w:rsidP="004449AB">
            <w:pPr>
              <w:spacing w:after="0" w:line="240" w:lineRule="auto"/>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Fluxos de Caixa das Atividades Operacionais</w:t>
            </w:r>
          </w:p>
        </w:tc>
        <w:tc>
          <w:tcPr>
            <w:tcW w:w="60" w:type="pct"/>
            <w:tcBorders>
              <w:top w:val="nil"/>
              <w:left w:val="nil"/>
              <w:bottom w:val="nil"/>
              <w:right w:val="nil"/>
            </w:tcBorders>
            <w:shd w:val="clear" w:color="auto" w:fill="auto"/>
            <w:noWrap/>
            <w:vAlign w:val="bottom"/>
            <w:hideMark/>
          </w:tcPr>
          <w:p w14:paraId="1865D680" w14:textId="77777777" w:rsidR="004449AB" w:rsidRPr="004449AB" w:rsidRDefault="004449AB" w:rsidP="004449AB">
            <w:pPr>
              <w:spacing w:after="0" w:line="240" w:lineRule="auto"/>
              <w:rPr>
                <w:rFonts w:ascii="Arial" w:eastAsia="Times New Roman" w:hAnsi="Arial" w:cs="Arial"/>
                <w:b/>
                <w:bCs/>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15E2BE2D"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c>
          <w:tcPr>
            <w:tcW w:w="60" w:type="pct"/>
            <w:tcBorders>
              <w:top w:val="nil"/>
              <w:left w:val="nil"/>
              <w:bottom w:val="nil"/>
              <w:right w:val="nil"/>
            </w:tcBorders>
            <w:shd w:val="clear" w:color="auto" w:fill="auto"/>
            <w:noWrap/>
            <w:vAlign w:val="bottom"/>
            <w:hideMark/>
          </w:tcPr>
          <w:p w14:paraId="36A67760"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2B3E6C1A"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c>
          <w:tcPr>
            <w:tcW w:w="60" w:type="pct"/>
            <w:tcBorders>
              <w:top w:val="nil"/>
              <w:left w:val="nil"/>
              <w:bottom w:val="nil"/>
              <w:right w:val="nil"/>
            </w:tcBorders>
            <w:shd w:val="clear" w:color="auto" w:fill="auto"/>
            <w:noWrap/>
            <w:vAlign w:val="bottom"/>
            <w:hideMark/>
          </w:tcPr>
          <w:p w14:paraId="14C5ED33"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r>
      <w:tr w:rsidR="004449AB" w:rsidRPr="004449AB" w14:paraId="59BBA357" w14:textId="77777777" w:rsidTr="00075425">
        <w:trPr>
          <w:trHeight w:val="198"/>
        </w:trPr>
        <w:tc>
          <w:tcPr>
            <w:tcW w:w="3350" w:type="pct"/>
            <w:tcBorders>
              <w:top w:val="nil"/>
              <w:left w:val="nil"/>
              <w:bottom w:val="nil"/>
              <w:right w:val="nil"/>
            </w:tcBorders>
            <w:shd w:val="clear" w:color="auto" w:fill="auto"/>
            <w:noWrap/>
            <w:vAlign w:val="bottom"/>
            <w:hideMark/>
          </w:tcPr>
          <w:p w14:paraId="3C8CFABF" w14:textId="77777777" w:rsidR="004449AB" w:rsidRPr="004449AB" w:rsidRDefault="004449AB" w:rsidP="004449AB">
            <w:pPr>
              <w:spacing w:after="0" w:line="240" w:lineRule="auto"/>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Prejuízo antes do Imposto de Renda e Contribuição Social</w:t>
            </w:r>
          </w:p>
        </w:tc>
        <w:tc>
          <w:tcPr>
            <w:tcW w:w="60" w:type="pct"/>
            <w:tcBorders>
              <w:top w:val="nil"/>
              <w:left w:val="nil"/>
              <w:bottom w:val="nil"/>
              <w:right w:val="nil"/>
            </w:tcBorders>
            <w:shd w:val="clear" w:color="auto" w:fill="auto"/>
            <w:noWrap/>
            <w:vAlign w:val="bottom"/>
            <w:hideMark/>
          </w:tcPr>
          <w:p w14:paraId="077C45E9" w14:textId="77777777" w:rsidR="004449AB" w:rsidRPr="004449AB" w:rsidRDefault="004449AB" w:rsidP="004449AB">
            <w:pPr>
              <w:spacing w:after="0" w:line="240" w:lineRule="auto"/>
              <w:rPr>
                <w:rFonts w:ascii="Arial" w:eastAsia="Times New Roman" w:hAnsi="Arial" w:cs="Arial"/>
                <w:b/>
                <w:bCs/>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4592AAED"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 xml:space="preserve">                (127.357)</w:t>
            </w:r>
          </w:p>
        </w:tc>
        <w:tc>
          <w:tcPr>
            <w:tcW w:w="60" w:type="pct"/>
            <w:tcBorders>
              <w:top w:val="nil"/>
              <w:left w:val="nil"/>
              <w:bottom w:val="nil"/>
              <w:right w:val="nil"/>
            </w:tcBorders>
            <w:shd w:val="clear" w:color="auto" w:fill="auto"/>
            <w:noWrap/>
            <w:vAlign w:val="bottom"/>
            <w:hideMark/>
          </w:tcPr>
          <w:p w14:paraId="26B4112D"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6503C556"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 xml:space="preserve">                (168.459)</w:t>
            </w:r>
          </w:p>
        </w:tc>
        <w:tc>
          <w:tcPr>
            <w:tcW w:w="60" w:type="pct"/>
            <w:tcBorders>
              <w:top w:val="nil"/>
              <w:left w:val="nil"/>
              <w:bottom w:val="nil"/>
              <w:right w:val="nil"/>
            </w:tcBorders>
            <w:shd w:val="clear" w:color="auto" w:fill="auto"/>
            <w:noWrap/>
            <w:vAlign w:val="bottom"/>
            <w:hideMark/>
          </w:tcPr>
          <w:p w14:paraId="5CB653D9" w14:textId="77777777" w:rsidR="004449AB" w:rsidRPr="004449AB" w:rsidRDefault="004449AB" w:rsidP="004449AB">
            <w:pPr>
              <w:spacing w:after="0" w:line="240" w:lineRule="auto"/>
              <w:rPr>
                <w:rFonts w:ascii="Arial" w:eastAsia="Times New Roman" w:hAnsi="Arial" w:cs="Arial"/>
                <w:b/>
                <w:bCs/>
                <w:kern w:val="0"/>
                <w:sz w:val="16"/>
                <w:szCs w:val="16"/>
                <w:lang w:eastAsia="pt-BR"/>
                <w14:ligatures w14:val="none"/>
              </w:rPr>
            </w:pPr>
          </w:p>
        </w:tc>
      </w:tr>
      <w:tr w:rsidR="004449AB" w:rsidRPr="004449AB" w14:paraId="01181FF5" w14:textId="77777777" w:rsidTr="00075425">
        <w:trPr>
          <w:trHeight w:val="198"/>
        </w:trPr>
        <w:tc>
          <w:tcPr>
            <w:tcW w:w="3350" w:type="pct"/>
            <w:tcBorders>
              <w:top w:val="nil"/>
              <w:left w:val="nil"/>
              <w:bottom w:val="nil"/>
              <w:right w:val="nil"/>
            </w:tcBorders>
            <w:shd w:val="clear" w:color="auto" w:fill="auto"/>
            <w:noWrap/>
            <w:hideMark/>
          </w:tcPr>
          <w:p w14:paraId="0E7635F2" w14:textId="77777777" w:rsidR="004449AB" w:rsidRPr="004449AB" w:rsidRDefault="004449AB" w:rsidP="004449AB">
            <w:pPr>
              <w:spacing w:after="0" w:line="240" w:lineRule="auto"/>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 xml:space="preserve"> Ajustes por: </w:t>
            </w:r>
          </w:p>
        </w:tc>
        <w:tc>
          <w:tcPr>
            <w:tcW w:w="60" w:type="pct"/>
            <w:tcBorders>
              <w:top w:val="nil"/>
              <w:left w:val="nil"/>
              <w:bottom w:val="nil"/>
              <w:right w:val="nil"/>
            </w:tcBorders>
            <w:shd w:val="clear" w:color="auto" w:fill="auto"/>
            <w:noWrap/>
            <w:vAlign w:val="bottom"/>
            <w:hideMark/>
          </w:tcPr>
          <w:p w14:paraId="6800499F" w14:textId="77777777" w:rsidR="004449AB" w:rsidRPr="004449AB" w:rsidRDefault="004449AB" w:rsidP="004449AB">
            <w:pPr>
              <w:spacing w:after="0" w:line="240" w:lineRule="auto"/>
              <w:rPr>
                <w:rFonts w:ascii="Arial" w:eastAsia="Times New Roman" w:hAnsi="Arial" w:cs="Arial"/>
                <w:b/>
                <w:bCs/>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6E154841"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60" w:type="pct"/>
            <w:tcBorders>
              <w:top w:val="nil"/>
              <w:left w:val="nil"/>
              <w:bottom w:val="nil"/>
              <w:right w:val="nil"/>
            </w:tcBorders>
            <w:shd w:val="clear" w:color="auto" w:fill="auto"/>
            <w:noWrap/>
            <w:vAlign w:val="bottom"/>
            <w:hideMark/>
          </w:tcPr>
          <w:p w14:paraId="4181CA3E"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2B388444"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60" w:type="pct"/>
            <w:tcBorders>
              <w:top w:val="nil"/>
              <w:left w:val="nil"/>
              <w:bottom w:val="nil"/>
              <w:right w:val="nil"/>
            </w:tcBorders>
            <w:shd w:val="clear" w:color="auto" w:fill="auto"/>
            <w:noWrap/>
            <w:vAlign w:val="bottom"/>
            <w:hideMark/>
          </w:tcPr>
          <w:p w14:paraId="3236F314"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r>
      <w:tr w:rsidR="004449AB" w:rsidRPr="004449AB" w14:paraId="5DC822DC" w14:textId="77777777" w:rsidTr="00075425">
        <w:trPr>
          <w:trHeight w:val="198"/>
        </w:trPr>
        <w:tc>
          <w:tcPr>
            <w:tcW w:w="3350" w:type="pct"/>
            <w:tcBorders>
              <w:top w:val="nil"/>
              <w:left w:val="nil"/>
              <w:bottom w:val="nil"/>
              <w:right w:val="nil"/>
            </w:tcBorders>
            <w:shd w:val="clear" w:color="auto" w:fill="auto"/>
            <w:noWrap/>
            <w:hideMark/>
          </w:tcPr>
          <w:p w14:paraId="158EBDBE"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Depreciação e Amortização </w:t>
            </w:r>
          </w:p>
        </w:tc>
        <w:tc>
          <w:tcPr>
            <w:tcW w:w="60" w:type="pct"/>
            <w:tcBorders>
              <w:top w:val="nil"/>
              <w:left w:val="nil"/>
              <w:bottom w:val="nil"/>
              <w:right w:val="nil"/>
            </w:tcBorders>
            <w:shd w:val="clear" w:color="auto" w:fill="auto"/>
            <w:noWrap/>
            <w:vAlign w:val="bottom"/>
            <w:hideMark/>
          </w:tcPr>
          <w:p w14:paraId="2011DD4C"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68635F39"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253.541 </w:t>
            </w:r>
          </w:p>
        </w:tc>
        <w:tc>
          <w:tcPr>
            <w:tcW w:w="60" w:type="pct"/>
            <w:tcBorders>
              <w:top w:val="nil"/>
              <w:left w:val="nil"/>
              <w:bottom w:val="nil"/>
              <w:right w:val="nil"/>
            </w:tcBorders>
            <w:shd w:val="clear" w:color="auto" w:fill="auto"/>
            <w:noWrap/>
            <w:vAlign w:val="bottom"/>
            <w:hideMark/>
          </w:tcPr>
          <w:p w14:paraId="4748EF27"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540B7A71"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242.087 </w:t>
            </w:r>
          </w:p>
        </w:tc>
        <w:tc>
          <w:tcPr>
            <w:tcW w:w="60" w:type="pct"/>
            <w:tcBorders>
              <w:top w:val="nil"/>
              <w:left w:val="nil"/>
              <w:bottom w:val="nil"/>
              <w:right w:val="nil"/>
            </w:tcBorders>
            <w:shd w:val="clear" w:color="auto" w:fill="auto"/>
            <w:noWrap/>
            <w:vAlign w:val="bottom"/>
            <w:hideMark/>
          </w:tcPr>
          <w:p w14:paraId="576521A2" w14:textId="77777777" w:rsidR="004449AB" w:rsidRPr="004449AB" w:rsidRDefault="004449AB" w:rsidP="004449AB">
            <w:pPr>
              <w:spacing w:after="0" w:line="240" w:lineRule="auto"/>
              <w:rPr>
                <w:rFonts w:ascii="Arial" w:eastAsia="Times New Roman" w:hAnsi="Arial" w:cs="Arial"/>
                <w:kern w:val="0"/>
                <w:sz w:val="16"/>
                <w:szCs w:val="16"/>
                <w:lang w:eastAsia="pt-BR"/>
                <w14:ligatures w14:val="none"/>
              </w:rPr>
            </w:pPr>
          </w:p>
        </w:tc>
      </w:tr>
      <w:tr w:rsidR="004449AB" w:rsidRPr="004449AB" w14:paraId="393DD79F" w14:textId="77777777" w:rsidTr="00075425">
        <w:trPr>
          <w:trHeight w:val="198"/>
        </w:trPr>
        <w:tc>
          <w:tcPr>
            <w:tcW w:w="3350" w:type="pct"/>
            <w:tcBorders>
              <w:top w:val="nil"/>
              <w:left w:val="nil"/>
              <w:bottom w:val="nil"/>
              <w:right w:val="nil"/>
            </w:tcBorders>
            <w:shd w:val="clear" w:color="auto" w:fill="auto"/>
            <w:noWrap/>
            <w:hideMark/>
          </w:tcPr>
          <w:p w14:paraId="61EE380C"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Provisão/Rever. para Riscos Prováveis Trabalhistas, Cíveis e Fiscais </w:t>
            </w:r>
          </w:p>
        </w:tc>
        <w:tc>
          <w:tcPr>
            <w:tcW w:w="60" w:type="pct"/>
            <w:tcBorders>
              <w:top w:val="nil"/>
              <w:left w:val="nil"/>
              <w:bottom w:val="nil"/>
              <w:right w:val="nil"/>
            </w:tcBorders>
            <w:shd w:val="clear" w:color="auto" w:fill="auto"/>
            <w:noWrap/>
            <w:vAlign w:val="bottom"/>
            <w:hideMark/>
          </w:tcPr>
          <w:p w14:paraId="0AE9144E"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2ABCB60D"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(8.251)</w:t>
            </w:r>
          </w:p>
        </w:tc>
        <w:tc>
          <w:tcPr>
            <w:tcW w:w="60" w:type="pct"/>
            <w:tcBorders>
              <w:top w:val="nil"/>
              <w:left w:val="nil"/>
              <w:bottom w:val="nil"/>
              <w:right w:val="nil"/>
            </w:tcBorders>
            <w:shd w:val="clear" w:color="auto" w:fill="auto"/>
            <w:noWrap/>
            <w:vAlign w:val="bottom"/>
            <w:hideMark/>
          </w:tcPr>
          <w:p w14:paraId="24A0CFAA"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484B766A"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(3.361)</w:t>
            </w:r>
          </w:p>
        </w:tc>
        <w:tc>
          <w:tcPr>
            <w:tcW w:w="60" w:type="pct"/>
            <w:tcBorders>
              <w:top w:val="nil"/>
              <w:left w:val="nil"/>
              <w:bottom w:val="nil"/>
              <w:right w:val="nil"/>
            </w:tcBorders>
            <w:shd w:val="clear" w:color="auto" w:fill="auto"/>
            <w:noWrap/>
            <w:vAlign w:val="bottom"/>
            <w:hideMark/>
          </w:tcPr>
          <w:p w14:paraId="120A8931" w14:textId="77777777" w:rsidR="004449AB" w:rsidRPr="004449AB" w:rsidRDefault="004449AB" w:rsidP="004449AB">
            <w:pPr>
              <w:spacing w:after="0" w:line="240" w:lineRule="auto"/>
              <w:rPr>
                <w:rFonts w:ascii="Arial" w:eastAsia="Times New Roman" w:hAnsi="Arial" w:cs="Arial"/>
                <w:kern w:val="0"/>
                <w:sz w:val="16"/>
                <w:szCs w:val="16"/>
                <w:lang w:eastAsia="pt-BR"/>
                <w14:ligatures w14:val="none"/>
              </w:rPr>
            </w:pPr>
          </w:p>
        </w:tc>
      </w:tr>
      <w:tr w:rsidR="004449AB" w:rsidRPr="004449AB" w14:paraId="5F819AD7" w14:textId="77777777" w:rsidTr="00075425">
        <w:trPr>
          <w:trHeight w:val="198"/>
        </w:trPr>
        <w:tc>
          <w:tcPr>
            <w:tcW w:w="3350" w:type="pct"/>
            <w:tcBorders>
              <w:top w:val="nil"/>
              <w:left w:val="nil"/>
              <w:bottom w:val="nil"/>
              <w:right w:val="nil"/>
            </w:tcBorders>
            <w:shd w:val="clear" w:color="auto" w:fill="auto"/>
            <w:noWrap/>
            <w:hideMark/>
          </w:tcPr>
          <w:p w14:paraId="1485B8CB"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Variação Monetária de Prov. para Riscos Prováveis Trabalhistas, Cíveis e Fiscais </w:t>
            </w:r>
          </w:p>
        </w:tc>
        <w:tc>
          <w:tcPr>
            <w:tcW w:w="60" w:type="pct"/>
            <w:tcBorders>
              <w:top w:val="nil"/>
              <w:left w:val="nil"/>
              <w:bottom w:val="nil"/>
              <w:right w:val="nil"/>
            </w:tcBorders>
            <w:shd w:val="clear" w:color="auto" w:fill="auto"/>
            <w:noWrap/>
            <w:vAlign w:val="bottom"/>
            <w:hideMark/>
          </w:tcPr>
          <w:p w14:paraId="690F08E7"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00D578DD"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6.775 </w:t>
            </w:r>
          </w:p>
        </w:tc>
        <w:tc>
          <w:tcPr>
            <w:tcW w:w="60" w:type="pct"/>
            <w:tcBorders>
              <w:top w:val="nil"/>
              <w:left w:val="nil"/>
              <w:bottom w:val="nil"/>
              <w:right w:val="nil"/>
            </w:tcBorders>
            <w:shd w:val="clear" w:color="auto" w:fill="auto"/>
            <w:noWrap/>
            <w:vAlign w:val="bottom"/>
            <w:hideMark/>
          </w:tcPr>
          <w:p w14:paraId="188A5BD4"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0EF18792"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7.542 </w:t>
            </w:r>
          </w:p>
        </w:tc>
        <w:tc>
          <w:tcPr>
            <w:tcW w:w="60" w:type="pct"/>
            <w:tcBorders>
              <w:top w:val="nil"/>
              <w:left w:val="nil"/>
              <w:bottom w:val="nil"/>
              <w:right w:val="nil"/>
            </w:tcBorders>
            <w:shd w:val="clear" w:color="auto" w:fill="auto"/>
            <w:noWrap/>
            <w:vAlign w:val="bottom"/>
            <w:hideMark/>
          </w:tcPr>
          <w:p w14:paraId="62EAA9D1" w14:textId="77777777" w:rsidR="004449AB" w:rsidRPr="004449AB" w:rsidRDefault="004449AB" w:rsidP="004449AB">
            <w:pPr>
              <w:spacing w:after="0" w:line="240" w:lineRule="auto"/>
              <w:rPr>
                <w:rFonts w:ascii="Arial" w:eastAsia="Times New Roman" w:hAnsi="Arial" w:cs="Arial"/>
                <w:kern w:val="0"/>
                <w:sz w:val="16"/>
                <w:szCs w:val="16"/>
                <w:lang w:eastAsia="pt-BR"/>
                <w14:ligatures w14:val="none"/>
              </w:rPr>
            </w:pPr>
          </w:p>
        </w:tc>
      </w:tr>
      <w:tr w:rsidR="004449AB" w:rsidRPr="004449AB" w14:paraId="636F8390" w14:textId="77777777" w:rsidTr="00075425">
        <w:trPr>
          <w:trHeight w:val="198"/>
        </w:trPr>
        <w:tc>
          <w:tcPr>
            <w:tcW w:w="3350" w:type="pct"/>
            <w:tcBorders>
              <w:top w:val="nil"/>
              <w:left w:val="nil"/>
              <w:bottom w:val="nil"/>
              <w:right w:val="nil"/>
            </w:tcBorders>
            <w:shd w:val="clear" w:color="auto" w:fill="auto"/>
            <w:noWrap/>
            <w:hideMark/>
          </w:tcPr>
          <w:p w14:paraId="0A1E1F72"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Receita Diferida </w:t>
            </w:r>
          </w:p>
        </w:tc>
        <w:tc>
          <w:tcPr>
            <w:tcW w:w="60" w:type="pct"/>
            <w:tcBorders>
              <w:top w:val="nil"/>
              <w:left w:val="nil"/>
              <w:bottom w:val="nil"/>
              <w:right w:val="nil"/>
            </w:tcBorders>
            <w:shd w:val="clear" w:color="auto" w:fill="auto"/>
            <w:noWrap/>
            <w:vAlign w:val="bottom"/>
            <w:hideMark/>
          </w:tcPr>
          <w:p w14:paraId="40A91D20"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32CF1DC2"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(83.726)</w:t>
            </w:r>
          </w:p>
        </w:tc>
        <w:tc>
          <w:tcPr>
            <w:tcW w:w="60" w:type="pct"/>
            <w:tcBorders>
              <w:top w:val="nil"/>
              <w:left w:val="nil"/>
              <w:bottom w:val="nil"/>
              <w:right w:val="nil"/>
            </w:tcBorders>
            <w:shd w:val="clear" w:color="auto" w:fill="auto"/>
            <w:noWrap/>
            <w:vAlign w:val="bottom"/>
            <w:hideMark/>
          </w:tcPr>
          <w:p w14:paraId="4EB559BE"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1E40A5B1"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(106.458)</w:t>
            </w:r>
          </w:p>
        </w:tc>
        <w:tc>
          <w:tcPr>
            <w:tcW w:w="60" w:type="pct"/>
            <w:tcBorders>
              <w:top w:val="nil"/>
              <w:left w:val="nil"/>
              <w:bottom w:val="nil"/>
              <w:right w:val="nil"/>
            </w:tcBorders>
            <w:shd w:val="clear" w:color="auto" w:fill="auto"/>
            <w:noWrap/>
            <w:vAlign w:val="bottom"/>
            <w:hideMark/>
          </w:tcPr>
          <w:p w14:paraId="31213EB5" w14:textId="77777777" w:rsidR="004449AB" w:rsidRPr="004449AB" w:rsidRDefault="004449AB" w:rsidP="004449AB">
            <w:pPr>
              <w:spacing w:after="0" w:line="240" w:lineRule="auto"/>
              <w:rPr>
                <w:rFonts w:ascii="Arial" w:eastAsia="Times New Roman" w:hAnsi="Arial" w:cs="Arial"/>
                <w:kern w:val="0"/>
                <w:sz w:val="16"/>
                <w:szCs w:val="16"/>
                <w:lang w:eastAsia="pt-BR"/>
                <w14:ligatures w14:val="none"/>
              </w:rPr>
            </w:pPr>
          </w:p>
        </w:tc>
      </w:tr>
      <w:tr w:rsidR="004449AB" w:rsidRPr="004449AB" w14:paraId="18B459CD" w14:textId="77777777" w:rsidTr="00075425">
        <w:trPr>
          <w:trHeight w:val="198"/>
        </w:trPr>
        <w:tc>
          <w:tcPr>
            <w:tcW w:w="3350" w:type="pct"/>
            <w:tcBorders>
              <w:top w:val="nil"/>
              <w:left w:val="nil"/>
              <w:bottom w:val="nil"/>
              <w:right w:val="nil"/>
            </w:tcBorders>
            <w:shd w:val="clear" w:color="auto" w:fill="auto"/>
            <w:noWrap/>
            <w:hideMark/>
          </w:tcPr>
          <w:p w14:paraId="48171509"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Equivalência Patrimonial </w:t>
            </w:r>
          </w:p>
        </w:tc>
        <w:tc>
          <w:tcPr>
            <w:tcW w:w="60" w:type="pct"/>
            <w:tcBorders>
              <w:top w:val="nil"/>
              <w:left w:val="nil"/>
              <w:bottom w:val="nil"/>
              <w:right w:val="nil"/>
            </w:tcBorders>
            <w:shd w:val="clear" w:color="auto" w:fill="auto"/>
            <w:noWrap/>
            <w:vAlign w:val="bottom"/>
            <w:hideMark/>
          </w:tcPr>
          <w:p w14:paraId="388EDF6C"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5C1E1450"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2.254 </w:t>
            </w:r>
          </w:p>
        </w:tc>
        <w:tc>
          <w:tcPr>
            <w:tcW w:w="60" w:type="pct"/>
            <w:tcBorders>
              <w:top w:val="nil"/>
              <w:left w:val="nil"/>
              <w:bottom w:val="nil"/>
              <w:right w:val="nil"/>
            </w:tcBorders>
            <w:shd w:val="clear" w:color="auto" w:fill="auto"/>
            <w:noWrap/>
            <w:vAlign w:val="bottom"/>
            <w:hideMark/>
          </w:tcPr>
          <w:p w14:paraId="08FE385A"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1BC48EC4"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6.500 </w:t>
            </w:r>
          </w:p>
        </w:tc>
        <w:tc>
          <w:tcPr>
            <w:tcW w:w="60" w:type="pct"/>
            <w:tcBorders>
              <w:top w:val="nil"/>
              <w:left w:val="nil"/>
              <w:bottom w:val="nil"/>
              <w:right w:val="nil"/>
            </w:tcBorders>
            <w:shd w:val="clear" w:color="auto" w:fill="auto"/>
            <w:noWrap/>
            <w:vAlign w:val="bottom"/>
            <w:hideMark/>
          </w:tcPr>
          <w:p w14:paraId="5EA5C646" w14:textId="77777777" w:rsidR="004449AB" w:rsidRPr="004449AB" w:rsidRDefault="004449AB" w:rsidP="004449AB">
            <w:pPr>
              <w:spacing w:after="0" w:line="240" w:lineRule="auto"/>
              <w:rPr>
                <w:rFonts w:ascii="Arial" w:eastAsia="Times New Roman" w:hAnsi="Arial" w:cs="Arial"/>
                <w:kern w:val="0"/>
                <w:sz w:val="16"/>
                <w:szCs w:val="16"/>
                <w:lang w:eastAsia="pt-BR"/>
                <w14:ligatures w14:val="none"/>
              </w:rPr>
            </w:pPr>
          </w:p>
        </w:tc>
      </w:tr>
      <w:tr w:rsidR="004449AB" w:rsidRPr="004449AB" w14:paraId="08613C00" w14:textId="77777777" w:rsidTr="00075425">
        <w:trPr>
          <w:trHeight w:val="198"/>
        </w:trPr>
        <w:tc>
          <w:tcPr>
            <w:tcW w:w="3350" w:type="pct"/>
            <w:tcBorders>
              <w:top w:val="nil"/>
              <w:left w:val="nil"/>
              <w:bottom w:val="nil"/>
              <w:right w:val="nil"/>
            </w:tcBorders>
            <w:shd w:val="clear" w:color="auto" w:fill="auto"/>
            <w:noWrap/>
            <w:hideMark/>
          </w:tcPr>
          <w:p w14:paraId="59E5D64D"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Encargos Financeiros sobre Adiantamento para Aumento de Capital </w:t>
            </w:r>
          </w:p>
        </w:tc>
        <w:tc>
          <w:tcPr>
            <w:tcW w:w="60" w:type="pct"/>
            <w:tcBorders>
              <w:top w:val="nil"/>
              <w:left w:val="nil"/>
              <w:bottom w:val="nil"/>
              <w:right w:val="nil"/>
            </w:tcBorders>
            <w:shd w:val="clear" w:color="auto" w:fill="auto"/>
            <w:noWrap/>
            <w:vAlign w:val="bottom"/>
            <w:hideMark/>
          </w:tcPr>
          <w:p w14:paraId="615B3717"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035D5583"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198.416 </w:t>
            </w:r>
          </w:p>
        </w:tc>
        <w:tc>
          <w:tcPr>
            <w:tcW w:w="60" w:type="pct"/>
            <w:tcBorders>
              <w:top w:val="nil"/>
              <w:left w:val="nil"/>
              <w:bottom w:val="nil"/>
              <w:right w:val="nil"/>
            </w:tcBorders>
            <w:shd w:val="clear" w:color="auto" w:fill="auto"/>
            <w:noWrap/>
            <w:vAlign w:val="bottom"/>
            <w:hideMark/>
          </w:tcPr>
          <w:p w14:paraId="2EA62223"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36785E40"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185.767 </w:t>
            </w:r>
          </w:p>
        </w:tc>
        <w:tc>
          <w:tcPr>
            <w:tcW w:w="60" w:type="pct"/>
            <w:tcBorders>
              <w:top w:val="nil"/>
              <w:left w:val="nil"/>
              <w:bottom w:val="nil"/>
              <w:right w:val="nil"/>
            </w:tcBorders>
            <w:shd w:val="clear" w:color="auto" w:fill="auto"/>
            <w:noWrap/>
            <w:vAlign w:val="bottom"/>
            <w:hideMark/>
          </w:tcPr>
          <w:p w14:paraId="42C4864E" w14:textId="77777777" w:rsidR="004449AB" w:rsidRPr="004449AB" w:rsidRDefault="004449AB" w:rsidP="004449AB">
            <w:pPr>
              <w:spacing w:after="0" w:line="240" w:lineRule="auto"/>
              <w:rPr>
                <w:rFonts w:ascii="Arial" w:eastAsia="Times New Roman" w:hAnsi="Arial" w:cs="Arial"/>
                <w:kern w:val="0"/>
                <w:sz w:val="16"/>
                <w:szCs w:val="16"/>
                <w:lang w:eastAsia="pt-BR"/>
                <w14:ligatures w14:val="none"/>
              </w:rPr>
            </w:pPr>
          </w:p>
        </w:tc>
      </w:tr>
      <w:tr w:rsidR="004449AB" w:rsidRPr="004449AB" w14:paraId="4D2B6F61" w14:textId="77777777" w:rsidTr="00075425">
        <w:trPr>
          <w:trHeight w:val="198"/>
        </w:trPr>
        <w:tc>
          <w:tcPr>
            <w:tcW w:w="3350" w:type="pct"/>
            <w:tcBorders>
              <w:top w:val="nil"/>
              <w:left w:val="nil"/>
              <w:bottom w:val="nil"/>
              <w:right w:val="nil"/>
            </w:tcBorders>
            <w:shd w:val="clear" w:color="auto" w:fill="auto"/>
            <w:noWrap/>
            <w:hideMark/>
          </w:tcPr>
          <w:p w14:paraId="1547816D"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Provisão para Programa de Indenização por Serviços Prestados </w:t>
            </w:r>
          </w:p>
        </w:tc>
        <w:tc>
          <w:tcPr>
            <w:tcW w:w="60" w:type="pct"/>
            <w:tcBorders>
              <w:top w:val="nil"/>
              <w:left w:val="nil"/>
              <w:bottom w:val="nil"/>
              <w:right w:val="nil"/>
            </w:tcBorders>
            <w:shd w:val="clear" w:color="auto" w:fill="auto"/>
            <w:noWrap/>
            <w:vAlign w:val="bottom"/>
            <w:hideMark/>
          </w:tcPr>
          <w:p w14:paraId="733CF9A0"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054176D3"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1.494 </w:t>
            </w:r>
          </w:p>
        </w:tc>
        <w:tc>
          <w:tcPr>
            <w:tcW w:w="60" w:type="pct"/>
            <w:tcBorders>
              <w:top w:val="nil"/>
              <w:left w:val="nil"/>
              <w:bottom w:val="nil"/>
              <w:right w:val="nil"/>
            </w:tcBorders>
            <w:shd w:val="clear" w:color="auto" w:fill="auto"/>
            <w:noWrap/>
            <w:vAlign w:val="bottom"/>
            <w:hideMark/>
          </w:tcPr>
          <w:p w14:paraId="3B782E55"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0C9636C4"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2.332 </w:t>
            </w:r>
          </w:p>
        </w:tc>
        <w:tc>
          <w:tcPr>
            <w:tcW w:w="60" w:type="pct"/>
            <w:tcBorders>
              <w:top w:val="nil"/>
              <w:left w:val="nil"/>
              <w:bottom w:val="nil"/>
              <w:right w:val="nil"/>
            </w:tcBorders>
            <w:shd w:val="clear" w:color="auto" w:fill="auto"/>
            <w:noWrap/>
            <w:vAlign w:val="bottom"/>
            <w:hideMark/>
          </w:tcPr>
          <w:p w14:paraId="79BFC668" w14:textId="77777777" w:rsidR="004449AB" w:rsidRPr="004449AB" w:rsidRDefault="004449AB" w:rsidP="004449AB">
            <w:pPr>
              <w:spacing w:after="0" w:line="240" w:lineRule="auto"/>
              <w:rPr>
                <w:rFonts w:ascii="Arial" w:eastAsia="Times New Roman" w:hAnsi="Arial" w:cs="Arial"/>
                <w:kern w:val="0"/>
                <w:sz w:val="16"/>
                <w:szCs w:val="16"/>
                <w:lang w:eastAsia="pt-BR"/>
                <w14:ligatures w14:val="none"/>
              </w:rPr>
            </w:pPr>
          </w:p>
        </w:tc>
      </w:tr>
      <w:tr w:rsidR="004449AB" w:rsidRPr="004449AB" w14:paraId="57B2536D" w14:textId="77777777" w:rsidTr="00075425">
        <w:trPr>
          <w:trHeight w:val="198"/>
        </w:trPr>
        <w:tc>
          <w:tcPr>
            <w:tcW w:w="3350" w:type="pct"/>
            <w:tcBorders>
              <w:top w:val="nil"/>
              <w:left w:val="nil"/>
              <w:bottom w:val="nil"/>
              <w:right w:val="nil"/>
            </w:tcBorders>
            <w:shd w:val="clear" w:color="auto" w:fill="auto"/>
            <w:noWrap/>
            <w:hideMark/>
          </w:tcPr>
          <w:p w14:paraId="165CAFC9"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Variação Monetária/Juros de Credores por Perdas Judiciais </w:t>
            </w:r>
          </w:p>
        </w:tc>
        <w:tc>
          <w:tcPr>
            <w:tcW w:w="60" w:type="pct"/>
            <w:tcBorders>
              <w:top w:val="nil"/>
              <w:left w:val="nil"/>
              <w:bottom w:val="nil"/>
              <w:right w:val="nil"/>
            </w:tcBorders>
            <w:shd w:val="clear" w:color="auto" w:fill="auto"/>
            <w:noWrap/>
            <w:vAlign w:val="bottom"/>
            <w:hideMark/>
          </w:tcPr>
          <w:p w14:paraId="7CD079CC"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64DD87C2"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13.678 </w:t>
            </w:r>
          </w:p>
        </w:tc>
        <w:tc>
          <w:tcPr>
            <w:tcW w:w="60" w:type="pct"/>
            <w:tcBorders>
              <w:top w:val="nil"/>
              <w:left w:val="nil"/>
              <w:bottom w:val="nil"/>
              <w:right w:val="nil"/>
            </w:tcBorders>
            <w:shd w:val="clear" w:color="auto" w:fill="auto"/>
            <w:noWrap/>
            <w:vAlign w:val="bottom"/>
            <w:hideMark/>
          </w:tcPr>
          <w:p w14:paraId="21AE1909"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2F0335E7"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18.483 </w:t>
            </w:r>
          </w:p>
        </w:tc>
        <w:tc>
          <w:tcPr>
            <w:tcW w:w="60" w:type="pct"/>
            <w:tcBorders>
              <w:top w:val="nil"/>
              <w:left w:val="nil"/>
              <w:bottom w:val="nil"/>
              <w:right w:val="nil"/>
            </w:tcBorders>
            <w:shd w:val="clear" w:color="auto" w:fill="auto"/>
            <w:noWrap/>
            <w:vAlign w:val="bottom"/>
            <w:hideMark/>
          </w:tcPr>
          <w:p w14:paraId="2937AB46" w14:textId="77777777" w:rsidR="004449AB" w:rsidRPr="004449AB" w:rsidRDefault="004449AB" w:rsidP="004449AB">
            <w:pPr>
              <w:spacing w:after="0" w:line="240" w:lineRule="auto"/>
              <w:rPr>
                <w:rFonts w:ascii="Arial" w:eastAsia="Times New Roman" w:hAnsi="Arial" w:cs="Arial"/>
                <w:kern w:val="0"/>
                <w:sz w:val="16"/>
                <w:szCs w:val="16"/>
                <w:lang w:eastAsia="pt-BR"/>
                <w14:ligatures w14:val="none"/>
              </w:rPr>
            </w:pPr>
          </w:p>
        </w:tc>
      </w:tr>
      <w:tr w:rsidR="004449AB" w:rsidRPr="004449AB" w14:paraId="761A12D3" w14:textId="77777777" w:rsidTr="00075425">
        <w:trPr>
          <w:trHeight w:val="198"/>
        </w:trPr>
        <w:tc>
          <w:tcPr>
            <w:tcW w:w="3350" w:type="pct"/>
            <w:tcBorders>
              <w:top w:val="nil"/>
              <w:left w:val="nil"/>
              <w:bottom w:val="nil"/>
              <w:right w:val="nil"/>
            </w:tcBorders>
            <w:shd w:val="clear" w:color="auto" w:fill="auto"/>
            <w:noWrap/>
            <w:hideMark/>
          </w:tcPr>
          <w:p w14:paraId="6F3762DF"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Variação Monetária de Depósitos Judiciais </w:t>
            </w:r>
          </w:p>
        </w:tc>
        <w:tc>
          <w:tcPr>
            <w:tcW w:w="60" w:type="pct"/>
            <w:tcBorders>
              <w:top w:val="nil"/>
              <w:left w:val="nil"/>
              <w:bottom w:val="nil"/>
              <w:right w:val="nil"/>
            </w:tcBorders>
            <w:shd w:val="clear" w:color="auto" w:fill="auto"/>
            <w:noWrap/>
            <w:vAlign w:val="bottom"/>
            <w:hideMark/>
          </w:tcPr>
          <w:p w14:paraId="3AD902E4"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3250C4AA"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(4.142)</w:t>
            </w:r>
          </w:p>
        </w:tc>
        <w:tc>
          <w:tcPr>
            <w:tcW w:w="60" w:type="pct"/>
            <w:tcBorders>
              <w:top w:val="nil"/>
              <w:left w:val="nil"/>
              <w:bottom w:val="nil"/>
              <w:right w:val="nil"/>
            </w:tcBorders>
            <w:shd w:val="clear" w:color="auto" w:fill="auto"/>
            <w:noWrap/>
            <w:vAlign w:val="bottom"/>
            <w:hideMark/>
          </w:tcPr>
          <w:p w14:paraId="5F956D72"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02949765"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(3.467)</w:t>
            </w:r>
          </w:p>
        </w:tc>
        <w:tc>
          <w:tcPr>
            <w:tcW w:w="60" w:type="pct"/>
            <w:tcBorders>
              <w:top w:val="nil"/>
              <w:left w:val="nil"/>
              <w:bottom w:val="nil"/>
              <w:right w:val="nil"/>
            </w:tcBorders>
            <w:shd w:val="clear" w:color="auto" w:fill="auto"/>
            <w:noWrap/>
            <w:vAlign w:val="bottom"/>
            <w:hideMark/>
          </w:tcPr>
          <w:p w14:paraId="19809D2A" w14:textId="77777777" w:rsidR="004449AB" w:rsidRPr="004449AB" w:rsidRDefault="004449AB" w:rsidP="004449AB">
            <w:pPr>
              <w:spacing w:after="0" w:line="240" w:lineRule="auto"/>
              <w:rPr>
                <w:rFonts w:ascii="Arial" w:eastAsia="Times New Roman" w:hAnsi="Arial" w:cs="Arial"/>
                <w:kern w:val="0"/>
                <w:sz w:val="16"/>
                <w:szCs w:val="16"/>
                <w:lang w:eastAsia="pt-BR"/>
                <w14:ligatures w14:val="none"/>
              </w:rPr>
            </w:pPr>
          </w:p>
        </w:tc>
      </w:tr>
      <w:tr w:rsidR="004449AB" w:rsidRPr="004449AB" w14:paraId="53CE7EC5" w14:textId="77777777" w:rsidTr="00075425">
        <w:trPr>
          <w:trHeight w:val="198"/>
        </w:trPr>
        <w:tc>
          <w:tcPr>
            <w:tcW w:w="3350" w:type="pct"/>
            <w:tcBorders>
              <w:top w:val="nil"/>
              <w:left w:val="nil"/>
              <w:bottom w:val="nil"/>
              <w:right w:val="nil"/>
            </w:tcBorders>
            <w:shd w:val="clear" w:color="auto" w:fill="auto"/>
            <w:noWrap/>
            <w:hideMark/>
          </w:tcPr>
          <w:p w14:paraId="61510CD4"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Despesas Financeiras - Juros a Apropriar CPC (R</w:t>
            </w:r>
            <w:proofErr w:type="gramStart"/>
            <w:r w:rsidRPr="004449AB">
              <w:rPr>
                <w:rFonts w:ascii="Arial" w:eastAsia="Times New Roman" w:hAnsi="Arial" w:cs="Arial"/>
                <w:kern w:val="0"/>
                <w:sz w:val="16"/>
                <w:szCs w:val="16"/>
                <w:lang w:eastAsia="pt-BR"/>
                <w14:ligatures w14:val="none"/>
              </w:rPr>
              <w:t>2)/</w:t>
            </w:r>
            <w:proofErr w:type="gramEnd"/>
            <w:r w:rsidRPr="004449AB">
              <w:rPr>
                <w:rFonts w:ascii="Arial" w:eastAsia="Times New Roman" w:hAnsi="Arial" w:cs="Arial"/>
                <w:kern w:val="0"/>
                <w:sz w:val="16"/>
                <w:szCs w:val="16"/>
                <w:lang w:eastAsia="pt-BR"/>
                <w14:ligatures w14:val="none"/>
              </w:rPr>
              <w:t xml:space="preserve">IFRS 16 </w:t>
            </w:r>
          </w:p>
        </w:tc>
        <w:tc>
          <w:tcPr>
            <w:tcW w:w="60" w:type="pct"/>
            <w:tcBorders>
              <w:top w:val="nil"/>
              <w:left w:val="nil"/>
              <w:bottom w:val="nil"/>
              <w:right w:val="nil"/>
            </w:tcBorders>
            <w:shd w:val="clear" w:color="auto" w:fill="auto"/>
            <w:noWrap/>
            <w:vAlign w:val="bottom"/>
            <w:hideMark/>
          </w:tcPr>
          <w:p w14:paraId="7D661BAB"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51407C96"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1.034 </w:t>
            </w:r>
          </w:p>
        </w:tc>
        <w:tc>
          <w:tcPr>
            <w:tcW w:w="60" w:type="pct"/>
            <w:tcBorders>
              <w:top w:val="nil"/>
              <w:left w:val="nil"/>
              <w:bottom w:val="nil"/>
              <w:right w:val="nil"/>
            </w:tcBorders>
            <w:shd w:val="clear" w:color="auto" w:fill="auto"/>
            <w:noWrap/>
            <w:vAlign w:val="bottom"/>
            <w:hideMark/>
          </w:tcPr>
          <w:p w14:paraId="31F85DEF"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203872B1"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939 </w:t>
            </w:r>
          </w:p>
        </w:tc>
        <w:tc>
          <w:tcPr>
            <w:tcW w:w="60" w:type="pct"/>
            <w:tcBorders>
              <w:top w:val="nil"/>
              <w:left w:val="nil"/>
              <w:bottom w:val="nil"/>
              <w:right w:val="nil"/>
            </w:tcBorders>
            <w:shd w:val="clear" w:color="auto" w:fill="auto"/>
            <w:noWrap/>
            <w:vAlign w:val="bottom"/>
            <w:hideMark/>
          </w:tcPr>
          <w:p w14:paraId="3094B41D" w14:textId="77777777" w:rsidR="004449AB" w:rsidRPr="004449AB" w:rsidRDefault="004449AB" w:rsidP="004449AB">
            <w:pPr>
              <w:spacing w:after="0" w:line="240" w:lineRule="auto"/>
              <w:rPr>
                <w:rFonts w:ascii="Arial" w:eastAsia="Times New Roman" w:hAnsi="Arial" w:cs="Arial"/>
                <w:kern w:val="0"/>
                <w:sz w:val="16"/>
                <w:szCs w:val="16"/>
                <w:lang w:eastAsia="pt-BR"/>
                <w14:ligatures w14:val="none"/>
              </w:rPr>
            </w:pPr>
          </w:p>
        </w:tc>
      </w:tr>
      <w:tr w:rsidR="004449AB" w:rsidRPr="004449AB" w14:paraId="2E033C60" w14:textId="77777777" w:rsidTr="00075425">
        <w:trPr>
          <w:trHeight w:val="198"/>
        </w:trPr>
        <w:tc>
          <w:tcPr>
            <w:tcW w:w="3350" w:type="pct"/>
            <w:tcBorders>
              <w:top w:val="nil"/>
              <w:left w:val="nil"/>
              <w:bottom w:val="nil"/>
              <w:right w:val="nil"/>
            </w:tcBorders>
            <w:shd w:val="clear" w:color="auto" w:fill="auto"/>
            <w:noWrap/>
            <w:hideMark/>
          </w:tcPr>
          <w:p w14:paraId="33E23B49"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Apropriação de Juros - Empréstimos e Financiamentos </w:t>
            </w:r>
          </w:p>
        </w:tc>
        <w:tc>
          <w:tcPr>
            <w:tcW w:w="60" w:type="pct"/>
            <w:tcBorders>
              <w:top w:val="nil"/>
              <w:left w:val="nil"/>
              <w:bottom w:val="nil"/>
              <w:right w:val="nil"/>
            </w:tcBorders>
            <w:shd w:val="clear" w:color="auto" w:fill="auto"/>
            <w:noWrap/>
            <w:vAlign w:val="bottom"/>
            <w:hideMark/>
          </w:tcPr>
          <w:p w14:paraId="090932B2"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40EA7B9B"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5.474 </w:t>
            </w:r>
          </w:p>
        </w:tc>
        <w:tc>
          <w:tcPr>
            <w:tcW w:w="60" w:type="pct"/>
            <w:tcBorders>
              <w:top w:val="nil"/>
              <w:left w:val="nil"/>
              <w:bottom w:val="nil"/>
              <w:right w:val="nil"/>
            </w:tcBorders>
            <w:shd w:val="clear" w:color="auto" w:fill="auto"/>
            <w:noWrap/>
            <w:vAlign w:val="bottom"/>
            <w:hideMark/>
          </w:tcPr>
          <w:p w14:paraId="7E94B1D6"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2977585A"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6.708 </w:t>
            </w:r>
          </w:p>
        </w:tc>
        <w:tc>
          <w:tcPr>
            <w:tcW w:w="60" w:type="pct"/>
            <w:tcBorders>
              <w:top w:val="nil"/>
              <w:left w:val="nil"/>
              <w:bottom w:val="nil"/>
              <w:right w:val="nil"/>
            </w:tcBorders>
            <w:shd w:val="clear" w:color="auto" w:fill="auto"/>
            <w:noWrap/>
            <w:vAlign w:val="bottom"/>
            <w:hideMark/>
          </w:tcPr>
          <w:p w14:paraId="6285470A" w14:textId="77777777" w:rsidR="004449AB" w:rsidRPr="004449AB" w:rsidRDefault="004449AB" w:rsidP="004449AB">
            <w:pPr>
              <w:spacing w:after="0" w:line="240" w:lineRule="auto"/>
              <w:rPr>
                <w:rFonts w:ascii="Arial" w:eastAsia="Times New Roman" w:hAnsi="Arial" w:cs="Arial"/>
                <w:kern w:val="0"/>
                <w:sz w:val="16"/>
                <w:szCs w:val="16"/>
                <w:lang w:eastAsia="pt-BR"/>
                <w14:ligatures w14:val="none"/>
              </w:rPr>
            </w:pPr>
          </w:p>
        </w:tc>
      </w:tr>
      <w:tr w:rsidR="004449AB" w:rsidRPr="004449AB" w14:paraId="3E7BFCCD" w14:textId="77777777" w:rsidTr="00075425">
        <w:trPr>
          <w:trHeight w:val="198"/>
        </w:trPr>
        <w:tc>
          <w:tcPr>
            <w:tcW w:w="3350" w:type="pct"/>
            <w:tcBorders>
              <w:top w:val="nil"/>
              <w:left w:val="nil"/>
              <w:bottom w:val="nil"/>
              <w:right w:val="nil"/>
            </w:tcBorders>
            <w:shd w:val="clear" w:color="auto" w:fill="auto"/>
            <w:noWrap/>
            <w:hideMark/>
          </w:tcPr>
          <w:p w14:paraId="4D2FFE60"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Perdas Estimadas com Créditos de Liquidação Duvidosa </w:t>
            </w:r>
          </w:p>
        </w:tc>
        <w:tc>
          <w:tcPr>
            <w:tcW w:w="60" w:type="pct"/>
            <w:tcBorders>
              <w:top w:val="nil"/>
              <w:left w:val="nil"/>
              <w:bottom w:val="nil"/>
              <w:right w:val="nil"/>
            </w:tcBorders>
            <w:shd w:val="clear" w:color="auto" w:fill="auto"/>
            <w:noWrap/>
            <w:vAlign w:val="bottom"/>
            <w:hideMark/>
          </w:tcPr>
          <w:p w14:paraId="453E7800"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088E6AA6"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1.314 </w:t>
            </w:r>
          </w:p>
        </w:tc>
        <w:tc>
          <w:tcPr>
            <w:tcW w:w="60" w:type="pct"/>
            <w:tcBorders>
              <w:top w:val="nil"/>
              <w:left w:val="nil"/>
              <w:bottom w:val="nil"/>
              <w:right w:val="nil"/>
            </w:tcBorders>
            <w:shd w:val="clear" w:color="auto" w:fill="auto"/>
            <w:noWrap/>
            <w:vAlign w:val="bottom"/>
            <w:hideMark/>
          </w:tcPr>
          <w:p w14:paraId="5A9E2331"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7FB8F42D"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(1.042)</w:t>
            </w:r>
          </w:p>
        </w:tc>
        <w:tc>
          <w:tcPr>
            <w:tcW w:w="60" w:type="pct"/>
            <w:tcBorders>
              <w:top w:val="nil"/>
              <w:left w:val="nil"/>
              <w:bottom w:val="nil"/>
              <w:right w:val="nil"/>
            </w:tcBorders>
            <w:shd w:val="clear" w:color="auto" w:fill="auto"/>
            <w:noWrap/>
            <w:vAlign w:val="bottom"/>
            <w:hideMark/>
          </w:tcPr>
          <w:p w14:paraId="757C5955" w14:textId="77777777" w:rsidR="004449AB" w:rsidRPr="004449AB" w:rsidRDefault="004449AB" w:rsidP="004449AB">
            <w:pPr>
              <w:spacing w:after="0" w:line="240" w:lineRule="auto"/>
              <w:rPr>
                <w:rFonts w:ascii="Arial" w:eastAsia="Times New Roman" w:hAnsi="Arial" w:cs="Arial"/>
                <w:kern w:val="0"/>
                <w:sz w:val="16"/>
                <w:szCs w:val="16"/>
                <w:lang w:eastAsia="pt-BR"/>
                <w14:ligatures w14:val="none"/>
              </w:rPr>
            </w:pPr>
          </w:p>
        </w:tc>
      </w:tr>
      <w:tr w:rsidR="004449AB" w:rsidRPr="004449AB" w14:paraId="60E5EDFE" w14:textId="77777777" w:rsidTr="00075425">
        <w:trPr>
          <w:trHeight w:val="198"/>
        </w:trPr>
        <w:tc>
          <w:tcPr>
            <w:tcW w:w="3350" w:type="pct"/>
            <w:tcBorders>
              <w:top w:val="nil"/>
              <w:left w:val="nil"/>
              <w:bottom w:val="nil"/>
              <w:right w:val="nil"/>
            </w:tcBorders>
            <w:shd w:val="clear" w:color="auto" w:fill="auto"/>
            <w:noWrap/>
            <w:hideMark/>
          </w:tcPr>
          <w:p w14:paraId="359E261B"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Superávit de Previdência Privada </w:t>
            </w:r>
          </w:p>
        </w:tc>
        <w:tc>
          <w:tcPr>
            <w:tcW w:w="60" w:type="pct"/>
            <w:tcBorders>
              <w:top w:val="nil"/>
              <w:left w:val="nil"/>
              <w:bottom w:val="nil"/>
              <w:right w:val="nil"/>
            </w:tcBorders>
            <w:shd w:val="clear" w:color="auto" w:fill="auto"/>
            <w:noWrap/>
            <w:vAlign w:val="bottom"/>
            <w:hideMark/>
          </w:tcPr>
          <w:p w14:paraId="0F28A74A"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25A66E51"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(33.912)</w:t>
            </w:r>
          </w:p>
        </w:tc>
        <w:tc>
          <w:tcPr>
            <w:tcW w:w="60" w:type="pct"/>
            <w:tcBorders>
              <w:top w:val="nil"/>
              <w:left w:val="nil"/>
              <w:bottom w:val="nil"/>
              <w:right w:val="nil"/>
            </w:tcBorders>
            <w:shd w:val="clear" w:color="auto" w:fill="auto"/>
            <w:noWrap/>
            <w:vAlign w:val="bottom"/>
            <w:hideMark/>
          </w:tcPr>
          <w:p w14:paraId="7CE2E83F"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27F4BC63"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  </w:t>
            </w:r>
          </w:p>
        </w:tc>
        <w:tc>
          <w:tcPr>
            <w:tcW w:w="60" w:type="pct"/>
            <w:tcBorders>
              <w:top w:val="nil"/>
              <w:left w:val="nil"/>
              <w:bottom w:val="nil"/>
              <w:right w:val="nil"/>
            </w:tcBorders>
            <w:shd w:val="clear" w:color="auto" w:fill="auto"/>
            <w:noWrap/>
            <w:vAlign w:val="bottom"/>
            <w:hideMark/>
          </w:tcPr>
          <w:p w14:paraId="72EBF369" w14:textId="77777777" w:rsidR="004449AB" w:rsidRPr="004449AB" w:rsidRDefault="004449AB" w:rsidP="004449AB">
            <w:pPr>
              <w:spacing w:after="0" w:line="240" w:lineRule="auto"/>
              <w:rPr>
                <w:rFonts w:ascii="Arial" w:eastAsia="Times New Roman" w:hAnsi="Arial" w:cs="Arial"/>
                <w:kern w:val="0"/>
                <w:sz w:val="16"/>
                <w:szCs w:val="16"/>
                <w:lang w:eastAsia="pt-BR"/>
                <w14:ligatures w14:val="none"/>
              </w:rPr>
            </w:pPr>
          </w:p>
        </w:tc>
      </w:tr>
      <w:tr w:rsidR="004449AB" w:rsidRPr="004449AB" w14:paraId="284E96AC" w14:textId="77777777" w:rsidTr="00075425">
        <w:trPr>
          <w:trHeight w:val="198"/>
        </w:trPr>
        <w:tc>
          <w:tcPr>
            <w:tcW w:w="3350" w:type="pct"/>
            <w:tcBorders>
              <w:top w:val="nil"/>
              <w:left w:val="nil"/>
              <w:bottom w:val="nil"/>
              <w:right w:val="nil"/>
            </w:tcBorders>
            <w:shd w:val="clear" w:color="auto" w:fill="auto"/>
            <w:noWrap/>
            <w:hideMark/>
          </w:tcPr>
          <w:p w14:paraId="6FE80402"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Ganho na Baixa de Passivos </w:t>
            </w:r>
          </w:p>
        </w:tc>
        <w:tc>
          <w:tcPr>
            <w:tcW w:w="60" w:type="pct"/>
            <w:tcBorders>
              <w:top w:val="nil"/>
              <w:left w:val="nil"/>
              <w:bottom w:val="nil"/>
              <w:right w:val="nil"/>
            </w:tcBorders>
            <w:shd w:val="clear" w:color="auto" w:fill="auto"/>
            <w:noWrap/>
            <w:vAlign w:val="bottom"/>
            <w:hideMark/>
          </w:tcPr>
          <w:p w14:paraId="32EEBFA8"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0C3B5E7C"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(417)</w:t>
            </w:r>
          </w:p>
        </w:tc>
        <w:tc>
          <w:tcPr>
            <w:tcW w:w="60" w:type="pct"/>
            <w:tcBorders>
              <w:top w:val="nil"/>
              <w:left w:val="nil"/>
              <w:bottom w:val="nil"/>
              <w:right w:val="nil"/>
            </w:tcBorders>
            <w:shd w:val="clear" w:color="auto" w:fill="auto"/>
            <w:noWrap/>
            <w:vAlign w:val="bottom"/>
            <w:hideMark/>
          </w:tcPr>
          <w:p w14:paraId="5CA47557"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2C367096"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  </w:t>
            </w:r>
          </w:p>
        </w:tc>
        <w:tc>
          <w:tcPr>
            <w:tcW w:w="60" w:type="pct"/>
            <w:tcBorders>
              <w:top w:val="nil"/>
              <w:left w:val="nil"/>
              <w:bottom w:val="nil"/>
              <w:right w:val="nil"/>
            </w:tcBorders>
            <w:shd w:val="clear" w:color="auto" w:fill="auto"/>
            <w:noWrap/>
            <w:vAlign w:val="bottom"/>
            <w:hideMark/>
          </w:tcPr>
          <w:p w14:paraId="3F89E623" w14:textId="77777777" w:rsidR="004449AB" w:rsidRPr="004449AB" w:rsidRDefault="004449AB" w:rsidP="004449AB">
            <w:pPr>
              <w:spacing w:after="0" w:line="240" w:lineRule="auto"/>
              <w:rPr>
                <w:rFonts w:ascii="Arial" w:eastAsia="Times New Roman" w:hAnsi="Arial" w:cs="Arial"/>
                <w:kern w:val="0"/>
                <w:sz w:val="16"/>
                <w:szCs w:val="16"/>
                <w:lang w:eastAsia="pt-BR"/>
                <w14:ligatures w14:val="none"/>
              </w:rPr>
            </w:pPr>
          </w:p>
        </w:tc>
      </w:tr>
      <w:tr w:rsidR="004449AB" w:rsidRPr="004449AB" w14:paraId="49CE755B" w14:textId="77777777" w:rsidTr="00075425">
        <w:trPr>
          <w:trHeight w:val="198"/>
        </w:trPr>
        <w:tc>
          <w:tcPr>
            <w:tcW w:w="3350" w:type="pct"/>
            <w:tcBorders>
              <w:top w:val="nil"/>
              <w:left w:val="nil"/>
              <w:bottom w:val="nil"/>
              <w:right w:val="nil"/>
            </w:tcBorders>
            <w:shd w:val="clear" w:color="auto" w:fill="auto"/>
            <w:noWrap/>
            <w:hideMark/>
          </w:tcPr>
          <w:p w14:paraId="69F702AC"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Baixa de Créditos Tributários </w:t>
            </w:r>
          </w:p>
        </w:tc>
        <w:tc>
          <w:tcPr>
            <w:tcW w:w="60" w:type="pct"/>
            <w:tcBorders>
              <w:top w:val="nil"/>
              <w:left w:val="nil"/>
              <w:bottom w:val="nil"/>
              <w:right w:val="nil"/>
            </w:tcBorders>
            <w:shd w:val="clear" w:color="auto" w:fill="auto"/>
            <w:noWrap/>
            <w:vAlign w:val="bottom"/>
            <w:hideMark/>
          </w:tcPr>
          <w:p w14:paraId="442E778C"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45AD0163"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7.183 </w:t>
            </w:r>
          </w:p>
        </w:tc>
        <w:tc>
          <w:tcPr>
            <w:tcW w:w="60" w:type="pct"/>
            <w:tcBorders>
              <w:top w:val="nil"/>
              <w:left w:val="nil"/>
              <w:bottom w:val="nil"/>
              <w:right w:val="nil"/>
            </w:tcBorders>
            <w:shd w:val="clear" w:color="auto" w:fill="auto"/>
            <w:noWrap/>
            <w:vAlign w:val="bottom"/>
            <w:hideMark/>
          </w:tcPr>
          <w:p w14:paraId="191B1067"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3E51064D"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  </w:t>
            </w:r>
          </w:p>
        </w:tc>
        <w:tc>
          <w:tcPr>
            <w:tcW w:w="60" w:type="pct"/>
            <w:tcBorders>
              <w:top w:val="nil"/>
              <w:left w:val="nil"/>
              <w:bottom w:val="nil"/>
              <w:right w:val="nil"/>
            </w:tcBorders>
            <w:shd w:val="clear" w:color="auto" w:fill="auto"/>
            <w:noWrap/>
            <w:vAlign w:val="bottom"/>
            <w:hideMark/>
          </w:tcPr>
          <w:p w14:paraId="456B8B5E" w14:textId="77777777" w:rsidR="004449AB" w:rsidRPr="004449AB" w:rsidRDefault="004449AB" w:rsidP="004449AB">
            <w:pPr>
              <w:spacing w:after="0" w:line="240" w:lineRule="auto"/>
              <w:rPr>
                <w:rFonts w:ascii="Arial" w:eastAsia="Times New Roman" w:hAnsi="Arial" w:cs="Arial"/>
                <w:kern w:val="0"/>
                <w:sz w:val="16"/>
                <w:szCs w:val="16"/>
                <w:lang w:eastAsia="pt-BR"/>
                <w14:ligatures w14:val="none"/>
              </w:rPr>
            </w:pPr>
          </w:p>
        </w:tc>
      </w:tr>
      <w:tr w:rsidR="004449AB" w:rsidRPr="004449AB" w14:paraId="0BD3C5A1" w14:textId="77777777" w:rsidTr="00075425">
        <w:trPr>
          <w:trHeight w:val="198"/>
        </w:trPr>
        <w:tc>
          <w:tcPr>
            <w:tcW w:w="3350" w:type="pct"/>
            <w:tcBorders>
              <w:top w:val="nil"/>
              <w:left w:val="nil"/>
              <w:bottom w:val="nil"/>
              <w:right w:val="nil"/>
            </w:tcBorders>
            <w:shd w:val="clear" w:color="auto" w:fill="auto"/>
            <w:noWrap/>
            <w:hideMark/>
          </w:tcPr>
          <w:p w14:paraId="10790698"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Dividendos/Juros sobre Capital Próprio </w:t>
            </w:r>
          </w:p>
        </w:tc>
        <w:tc>
          <w:tcPr>
            <w:tcW w:w="60" w:type="pct"/>
            <w:tcBorders>
              <w:top w:val="nil"/>
              <w:left w:val="nil"/>
              <w:bottom w:val="nil"/>
              <w:right w:val="nil"/>
            </w:tcBorders>
            <w:shd w:val="clear" w:color="auto" w:fill="auto"/>
            <w:noWrap/>
            <w:vAlign w:val="bottom"/>
            <w:hideMark/>
          </w:tcPr>
          <w:p w14:paraId="0DFEA33A"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7CC8AFC6"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 </w:t>
            </w:r>
          </w:p>
        </w:tc>
        <w:tc>
          <w:tcPr>
            <w:tcW w:w="60" w:type="pct"/>
            <w:tcBorders>
              <w:top w:val="nil"/>
              <w:left w:val="nil"/>
              <w:bottom w:val="nil"/>
              <w:right w:val="nil"/>
            </w:tcBorders>
            <w:shd w:val="clear" w:color="auto" w:fill="auto"/>
            <w:noWrap/>
            <w:vAlign w:val="bottom"/>
            <w:hideMark/>
          </w:tcPr>
          <w:p w14:paraId="3A0C389D"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01E4B847"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(63)</w:t>
            </w:r>
          </w:p>
        </w:tc>
        <w:tc>
          <w:tcPr>
            <w:tcW w:w="60" w:type="pct"/>
            <w:tcBorders>
              <w:top w:val="nil"/>
              <w:left w:val="nil"/>
              <w:bottom w:val="nil"/>
              <w:right w:val="nil"/>
            </w:tcBorders>
            <w:shd w:val="clear" w:color="auto" w:fill="auto"/>
            <w:noWrap/>
            <w:vAlign w:val="bottom"/>
            <w:hideMark/>
          </w:tcPr>
          <w:p w14:paraId="3E7E3C15"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r>
      <w:tr w:rsidR="004449AB" w:rsidRPr="004449AB" w14:paraId="5D35A5AA" w14:textId="77777777" w:rsidTr="00075425">
        <w:trPr>
          <w:trHeight w:val="198"/>
        </w:trPr>
        <w:tc>
          <w:tcPr>
            <w:tcW w:w="3350" w:type="pct"/>
            <w:tcBorders>
              <w:top w:val="nil"/>
              <w:left w:val="nil"/>
              <w:bottom w:val="nil"/>
              <w:right w:val="nil"/>
            </w:tcBorders>
            <w:shd w:val="clear" w:color="auto" w:fill="auto"/>
            <w:noWrap/>
            <w:vAlign w:val="bottom"/>
            <w:hideMark/>
          </w:tcPr>
          <w:p w14:paraId="56516D5B"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Baixa de Ativo Imobilizado</w:t>
            </w:r>
          </w:p>
        </w:tc>
        <w:tc>
          <w:tcPr>
            <w:tcW w:w="60" w:type="pct"/>
            <w:tcBorders>
              <w:top w:val="nil"/>
              <w:left w:val="nil"/>
              <w:bottom w:val="nil"/>
              <w:right w:val="nil"/>
            </w:tcBorders>
            <w:shd w:val="clear" w:color="auto" w:fill="auto"/>
            <w:noWrap/>
            <w:vAlign w:val="bottom"/>
            <w:hideMark/>
          </w:tcPr>
          <w:p w14:paraId="0CDD1AEC"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195E8190"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383 </w:t>
            </w:r>
          </w:p>
        </w:tc>
        <w:tc>
          <w:tcPr>
            <w:tcW w:w="60" w:type="pct"/>
            <w:tcBorders>
              <w:top w:val="nil"/>
              <w:left w:val="nil"/>
              <w:bottom w:val="nil"/>
              <w:right w:val="nil"/>
            </w:tcBorders>
            <w:shd w:val="clear" w:color="auto" w:fill="auto"/>
            <w:noWrap/>
            <w:vAlign w:val="bottom"/>
            <w:hideMark/>
          </w:tcPr>
          <w:p w14:paraId="599D4322"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012556AF"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16.643 </w:t>
            </w:r>
          </w:p>
        </w:tc>
        <w:tc>
          <w:tcPr>
            <w:tcW w:w="60" w:type="pct"/>
            <w:tcBorders>
              <w:top w:val="nil"/>
              <w:left w:val="nil"/>
              <w:bottom w:val="nil"/>
              <w:right w:val="nil"/>
            </w:tcBorders>
            <w:shd w:val="clear" w:color="auto" w:fill="auto"/>
            <w:noWrap/>
            <w:vAlign w:val="bottom"/>
            <w:hideMark/>
          </w:tcPr>
          <w:p w14:paraId="107B1732"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r>
      <w:tr w:rsidR="004449AB" w:rsidRPr="004449AB" w14:paraId="402EB42B" w14:textId="77777777" w:rsidTr="00075425">
        <w:trPr>
          <w:trHeight w:val="198"/>
        </w:trPr>
        <w:tc>
          <w:tcPr>
            <w:tcW w:w="3350" w:type="pct"/>
            <w:tcBorders>
              <w:top w:val="nil"/>
              <w:left w:val="nil"/>
              <w:bottom w:val="nil"/>
              <w:right w:val="nil"/>
            </w:tcBorders>
            <w:shd w:val="clear" w:color="auto" w:fill="auto"/>
            <w:noWrap/>
            <w:vAlign w:val="bottom"/>
            <w:hideMark/>
          </w:tcPr>
          <w:p w14:paraId="6E21618E"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c>
          <w:tcPr>
            <w:tcW w:w="60" w:type="pct"/>
            <w:tcBorders>
              <w:top w:val="nil"/>
              <w:left w:val="nil"/>
              <w:bottom w:val="nil"/>
              <w:right w:val="nil"/>
            </w:tcBorders>
            <w:shd w:val="clear" w:color="auto" w:fill="auto"/>
            <w:noWrap/>
            <w:vAlign w:val="bottom"/>
            <w:hideMark/>
          </w:tcPr>
          <w:p w14:paraId="11A8713C"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c>
          <w:tcPr>
            <w:tcW w:w="726" w:type="pct"/>
            <w:tcBorders>
              <w:top w:val="single" w:sz="4" w:space="0" w:color="auto"/>
              <w:left w:val="nil"/>
              <w:bottom w:val="single" w:sz="4" w:space="0" w:color="auto"/>
              <w:right w:val="nil"/>
            </w:tcBorders>
            <w:shd w:val="clear" w:color="auto" w:fill="auto"/>
            <w:noWrap/>
            <w:vAlign w:val="bottom"/>
            <w:hideMark/>
          </w:tcPr>
          <w:p w14:paraId="060CCCF6"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 xml:space="preserve">                  361.098 </w:t>
            </w:r>
          </w:p>
        </w:tc>
        <w:tc>
          <w:tcPr>
            <w:tcW w:w="60" w:type="pct"/>
            <w:tcBorders>
              <w:top w:val="nil"/>
              <w:left w:val="nil"/>
              <w:bottom w:val="nil"/>
              <w:right w:val="nil"/>
            </w:tcBorders>
            <w:shd w:val="clear" w:color="auto" w:fill="auto"/>
            <w:noWrap/>
            <w:vAlign w:val="bottom"/>
            <w:hideMark/>
          </w:tcPr>
          <w:p w14:paraId="341FBBC1"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p>
        </w:tc>
        <w:tc>
          <w:tcPr>
            <w:tcW w:w="744" w:type="pct"/>
            <w:tcBorders>
              <w:top w:val="single" w:sz="4" w:space="0" w:color="auto"/>
              <w:left w:val="nil"/>
              <w:bottom w:val="single" w:sz="4" w:space="0" w:color="auto"/>
              <w:right w:val="nil"/>
            </w:tcBorders>
            <w:shd w:val="clear" w:color="auto" w:fill="auto"/>
            <w:noWrap/>
            <w:vAlign w:val="bottom"/>
            <w:hideMark/>
          </w:tcPr>
          <w:p w14:paraId="4072B268"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 xml:space="preserve">                  372.610 </w:t>
            </w:r>
          </w:p>
        </w:tc>
        <w:tc>
          <w:tcPr>
            <w:tcW w:w="60" w:type="pct"/>
            <w:tcBorders>
              <w:top w:val="nil"/>
              <w:left w:val="nil"/>
              <w:bottom w:val="nil"/>
              <w:right w:val="nil"/>
            </w:tcBorders>
            <w:shd w:val="clear" w:color="auto" w:fill="auto"/>
            <w:noWrap/>
            <w:vAlign w:val="bottom"/>
            <w:hideMark/>
          </w:tcPr>
          <w:p w14:paraId="0B330AB7" w14:textId="77777777" w:rsidR="004449AB" w:rsidRPr="004449AB" w:rsidRDefault="004449AB" w:rsidP="004449AB">
            <w:pPr>
              <w:spacing w:after="0" w:line="240" w:lineRule="auto"/>
              <w:rPr>
                <w:rFonts w:ascii="Arial" w:eastAsia="Times New Roman" w:hAnsi="Arial" w:cs="Arial"/>
                <w:b/>
                <w:bCs/>
                <w:kern w:val="0"/>
                <w:sz w:val="16"/>
                <w:szCs w:val="16"/>
                <w:lang w:eastAsia="pt-BR"/>
                <w14:ligatures w14:val="none"/>
              </w:rPr>
            </w:pPr>
          </w:p>
        </w:tc>
      </w:tr>
      <w:tr w:rsidR="004449AB" w:rsidRPr="004449AB" w14:paraId="4FDC67A7" w14:textId="77777777" w:rsidTr="00075425">
        <w:trPr>
          <w:trHeight w:val="198"/>
        </w:trPr>
        <w:tc>
          <w:tcPr>
            <w:tcW w:w="3350" w:type="pct"/>
            <w:tcBorders>
              <w:top w:val="nil"/>
              <w:left w:val="nil"/>
              <w:bottom w:val="nil"/>
              <w:right w:val="nil"/>
            </w:tcBorders>
            <w:shd w:val="clear" w:color="auto" w:fill="auto"/>
            <w:noWrap/>
            <w:vAlign w:val="bottom"/>
            <w:hideMark/>
          </w:tcPr>
          <w:p w14:paraId="5AC2BD78" w14:textId="77777777" w:rsidR="004449AB" w:rsidRPr="004449AB" w:rsidRDefault="004449AB" w:rsidP="004449AB">
            <w:pPr>
              <w:spacing w:after="0" w:line="240" w:lineRule="auto"/>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Mutações Patrimoniais:</w:t>
            </w:r>
          </w:p>
        </w:tc>
        <w:tc>
          <w:tcPr>
            <w:tcW w:w="60" w:type="pct"/>
            <w:tcBorders>
              <w:top w:val="nil"/>
              <w:left w:val="nil"/>
              <w:bottom w:val="nil"/>
              <w:right w:val="nil"/>
            </w:tcBorders>
            <w:shd w:val="clear" w:color="auto" w:fill="auto"/>
            <w:noWrap/>
            <w:vAlign w:val="bottom"/>
            <w:hideMark/>
          </w:tcPr>
          <w:p w14:paraId="7BEB9B5A" w14:textId="77777777" w:rsidR="004449AB" w:rsidRPr="004449AB" w:rsidRDefault="004449AB" w:rsidP="004449AB">
            <w:pPr>
              <w:spacing w:after="0" w:line="240" w:lineRule="auto"/>
              <w:rPr>
                <w:rFonts w:ascii="Arial" w:eastAsia="Times New Roman" w:hAnsi="Arial" w:cs="Arial"/>
                <w:b/>
                <w:bCs/>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18B3C814"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60" w:type="pct"/>
            <w:tcBorders>
              <w:top w:val="nil"/>
              <w:left w:val="nil"/>
              <w:bottom w:val="nil"/>
              <w:right w:val="nil"/>
            </w:tcBorders>
            <w:shd w:val="clear" w:color="auto" w:fill="auto"/>
            <w:noWrap/>
            <w:vAlign w:val="bottom"/>
            <w:hideMark/>
          </w:tcPr>
          <w:p w14:paraId="440F6ED2"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1F1B5A0A"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60" w:type="pct"/>
            <w:tcBorders>
              <w:top w:val="nil"/>
              <w:left w:val="nil"/>
              <w:bottom w:val="nil"/>
              <w:right w:val="nil"/>
            </w:tcBorders>
            <w:shd w:val="clear" w:color="auto" w:fill="auto"/>
            <w:noWrap/>
            <w:vAlign w:val="bottom"/>
            <w:hideMark/>
          </w:tcPr>
          <w:p w14:paraId="7759ECC0"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r>
      <w:tr w:rsidR="004449AB" w:rsidRPr="004449AB" w14:paraId="16A30A6A" w14:textId="77777777" w:rsidTr="00075425">
        <w:trPr>
          <w:trHeight w:val="198"/>
        </w:trPr>
        <w:tc>
          <w:tcPr>
            <w:tcW w:w="3350" w:type="pct"/>
            <w:tcBorders>
              <w:top w:val="nil"/>
              <w:left w:val="nil"/>
              <w:bottom w:val="nil"/>
              <w:right w:val="nil"/>
            </w:tcBorders>
            <w:shd w:val="clear" w:color="auto" w:fill="auto"/>
            <w:noWrap/>
            <w:hideMark/>
          </w:tcPr>
          <w:p w14:paraId="55814CB4"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Contas a Receber de Clientes </w:t>
            </w:r>
          </w:p>
        </w:tc>
        <w:tc>
          <w:tcPr>
            <w:tcW w:w="60" w:type="pct"/>
            <w:tcBorders>
              <w:top w:val="nil"/>
              <w:left w:val="nil"/>
              <w:bottom w:val="nil"/>
              <w:right w:val="nil"/>
            </w:tcBorders>
            <w:shd w:val="clear" w:color="auto" w:fill="auto"/>
            <w:noWrap/>
            <w:vAlign w:val="bottom"/>
            <w:hideMark/>
          </w:tcPr>
          <w:p w14:paraId="5C6889D4"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317C6E32"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(72.330)</w:t>
            </w:r>
          </w:p>
        </w:tc>
        <w:tc>
          <w:tcPr>
            <w:tcW w:w="60" w:type="pct"/>
            <w:tcBorders>
              <w:top w:val="nil"/>
              <w:left w:val="nil"/>
              <w:bottom w:val="nil"/>
              <w:right w:val="nil"/>
            </w:tcBorders>
            <w:shd w:val="clear" w:color="auto" w:fill="auto"/>
            <w:noWrap/>
            <w:vAlign w:val="bottom"/>
            <w:hideMark/>
          </w:tcPr>
          <w:p w14:paraId="0D9C4863"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3F91B7BC"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(18.390)</w:t>
            </w:r>
          </w:p>
        </w:tc>
        <w:tc>
          <w:tcPr>
            <w:tcW w:w="60" w:type="pct"/>
            <w:tcBorders>
              <w:top w:val="nil"/>
              <w:left w:val="nil"/>
              <w:bottom w:val="nil"/>
              <w:right w:val="nil"/>
            </w:tcBorders>
            <w:shd w:val="clear" w:color="auto" w:fill="auto"/>
            <w:noWrap/>
            <w:vAlign w:val="bottom"/>
            <w:hideMark/>
          </w:tcPr>
          <w:p w14:paraId="544282DC" w14:textId="77777777" w:rsidR="004449AB" w:rsidRPr="004449AB" w:rsidRDefault="004449AB" w:rsidP="004449AB">
            <w:pPr>
              <w:spacing w:after="0" w:line="240" w:lineRule="auto"/>
              <w:rPr>
                <w:rFonts w:ascii="Arial" w:eastAsia="Times New Roman" w:hAnsi="Arial" w:cs="Arial"/>
                <w:kern w:val="0"/>
                <w:sz w:val="16"/>
                <w:szCs w:val="16"/>
                <w:lang w:eastAsia="pt-BR"/>
                <w14:ligatures w14:val="none"/>
              </w:rPr>
            </w:pPr>
          </w:p>
        </w:tc>
      </w:tr>
      <w:tr w:rsidR="004449AB" w:rsidRPr="004449AB" w14:paraId="5B5728DC" w14:textId="77777777" w:rsidTr="00075425">
        <w:trPr>
          <w:trHeight w:val="198"/>
        </w:trPr>
        <w:tc>
          <w:tcPr>
            <w:tcW w:w="3350" w:type="pct"/>
            <w:tcBorders>
              <w:top w:val="nil"/>
              <w:left w:val="nil"/>
              <w:bottom w:val="nil"/>
              <w:right w:val="nil"/>
            </w:tcBorders>
            <w:shd w:val="clear" w:color="auto" w:fill="auto"/>
            <w:noWrap/>
            <w:hideMark/>
          </w:tcPr>
          <w:p w14:paraId="07D34BD8"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Tributos a Recuperar </w:t>
            </w:r>
          </w:p>
        </w:tc>
        <w:tc>
          <w:tcPr>
            <w:tcW w:w="60" w:type="pct"/>
            <w:tcBorders>
              <w:top w:val="nil"/>
              <w:left w:val="nil"/>
              <w:bottom w:val="nil"/>
              <w:right w:val="nil"/>
            </w:tcBorders>
            <w:shd w:val="clear" w:color="auto" w:fill="auto"/>
            <w:noWrap/>
            <w:vAlign w:val="bottom"/>
            <w:hideMark/>
          </w:tcPr>
          <w:p w14:paraId="50114DF2"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42E82AC2"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(12.087)</w:t>
            </w:r>
          </w:p>
        </w:tc>
        <w:tc>
          <w:tcPr>
            <w:tcW w:w="60" w:type="pct"/>
            <w:tcBorders>
              <w:top w:val="nil"/>
              <w:left w:val="nil"/>
              <w:bottom w:val="nil"/>
              <w:right w:val="nil"/>
            </w:tcBorders>
            <w:shd w:val="clear" w:color="auto" w:fill="auto"/>
            <w:noWrap/>
            <w:vAlign w:val="bottom"/>
            <w:hideMark/>
          </w:tcPr>
          <w:p w14:paraId="5FBD3941"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794A5836"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(28.276)</w:t>
            </w:r>
          </w:p>
        </w:tc>
        <w:tc>
          <w:tcPr>
            <w:tcW w:w="60" w:type="pct"/>
            <w:tcBorders>
              <w:top w:val="nil"/>
              <w:left w:val="nil"/>
              <w:bottom w:val="nil"/>
              <w:right w:val="nil"/>
            </w:tcBorders>
            <w:shd w:val="clear" w:color="auto" w:fill="auto"/>
            <w:noWrap/>
            <w:vAlign w:val="bottom"/>
            <w:hideMark/>
          </w:tcPr>
          <w:p w14:paraId="34271B82" w14:textId="77777777" w:rsidR="004449AB" w:rsidRPr="004449AB" w:rsidRDefault="004449AB" w:rsidP="004449AB">
            <w:pPr>
              <w:spacing w:after="0" w:line="240" w:lineRule="auto"/>
              <w:rPr>
                <w:rFonts w:ascii="Arial" w:eastAsia="Times New Roman" w:hAnsi="Arial" w:cs="Arial"/>
                <w:kern w:val="0"/>
                <w:sz w:val="16"/>
                <w:szCs w:val="16"/>
                <w:lang w:eastAsia="pt-BR"/>
                <w14:ligatures w14:val="none"/>
              </w:rPr>
            </w:pPr>
          </w:p>
        </w:tc>
      </w:tr>
      <w:tr w:rsidR="004449AB" w:rsidRPr="004449AB" w14:paraId="41A29CE1" w14:textId="77777777" w:rsidTr="00075425">
        <w:trPr>
          <w:trHeight w:val="198"/>
        </w:trPr>
        <w:tc>
          <w:tcPr>
            <w:tcW w:w="3350" w:type="pct"/>
            <w:tcBorders>
              <w:top w:val="nil"/>
              <w:left w:val="nil"/>
              <w:bottom w:val="nil"/>
              <w:right w:val="nil"/>
            </w:tcBorders>
            <w:shd w:val="clear" w:color="auto" w:fill="auto"/>
            <w:noWrap/>
            <w:hideMark/>
          </w:tcPr>
          <w:p w14:paraId="39C76992"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Depósitos Judiciais </w:t>
            </w:r>
          </w:p>
        </w:tc>
        <w:tc>
          <w:tcPr>
            <w:tcW w:w="60" w:type="pct"/>
            <w:tcBorders>
              <w:top w:val="nil"/>
              <w:left w:val="nil"/>
              <w:bottom w:val="nil"/>
              <w:right w:val="nil"/>
            </w:tcBorders>
            <w:shd w:val="clear" w:color="auto" w:fill="auto"/>
            <w:noWrap/>
            <w:vAlign w:val="bottom"/>
            <w:hideMark/>
          </w:tcPr>
          <w:p w14:paraId="3229E43A"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0C2544EA"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122 </w:t>
            </w:r>
          </w:p>
        </w:tc>
        <w:tc>
          <w:tcPr>
            <w:tcW w:w="60" w:type="pct"/>
            <w:tcBorders>
              <w:top w:val="nil"/>
              <w:left w:val="nil"/>
              <w:bottom w:val="nil"/>
              <w:right w:val="nil"/>
            </w:tcBorders>
            <w:shd w:val="clear" w:color="auto" w:fill="auto"/>
            <w:noWrap/>
            <w:vAlign w:val="bottom"/>
            <w:hideMark/>
          </w:tcPr>
          <w:p w14:paraId="0CD16F32"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59A38EC1"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1.091 </w:t>
            </w:r>
          </w:p>
        </w:tc>
        <w:tc>
          <w:tcPr>
            <w:tcW w:w="60" w:type="pct"/>
            <w:tcBorders>
              <w:top w:val="nil"/>
              <w:left w:val="nil"/>
              <w:bottom w:val="nil"/>
              <w:right w:val="nil"/>
            </w:tcBorders>
            <w:shd w:val="clear" w:color="auto" w:fill="auto"/>
            <w:noWrap/>
            <w:vAlign w:val="bottom"/>
            <w:hideMark/>
          </w:tcPr>
          <w:p w14:paraId="72A867CA" w14:textId="77777777" w:rsidR="004449AB" w:rsidRPr="004449AB" w:rsidRDefault="004449AB" w:rsidP="004449AB">
            <w:pPr>
              <w:spacing w:after="0" w:line="240" w:lineRule="auto"/>
              <w:rPr>
                <w:rFonts w:ascii="Arial" w:eastAsia="Times New Roman" w:hAnsi="Arial" w:cs="Arial"/>
                <w:kern w:val="0"/>
                <w:sz w:val="16"/>
                <w:szCs w:val="16"/>
                <w:lang w:eastAsia="pt-BR"/>
                <w14:ligatures w14:val="none"/>
              </w:rPr>
            </w:pPr>
          </w:p>
        </w:tc>
      </w:tr>
      <w:tr w:rsidR="004449AB" w:rsidRPr="004449AB" w14:paraId="24AC4CF0" w14:textId="77777777" w:rsidTr="00075425">
        <w:trPr>
          <w:trHeight w:val="198"/>
        </w:trPr>
        <w:tc>
          <w:tcPr>
            <w:tcW w:w="3350" w:type="pct"/>
            <w:tcBorders>
              <w:top w:val="nil"/>
              <w:left w:val="nil"/>
              <w:bottom w:val="nil"/>
              <w:right w:val="nil"/>
            </w:tcBorders>
            <w:shd w:val="clear" w:color="auto" w:fill="auto"/>
            <w:noWrap/>
            <w:hideMark/>
          </w:tcPr>
          <w:p w14:paraId="16693E2E"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Pessoal, Encargos e Benefícios Sociais </w:t>
            </w:r>
          </w:p>
        </w:tc>
        <w:tc>
          <w:tcPr>
            <w:tcW w:w="60" w:type="pct"/>
            <w:tcBorders>
              <w:top w:val="nil"/>
              <w:left w:val="nil"/>
              <w:bottom w:val="nil"/>
              <w:right w:val="nil"/>
            </w:tcBorders>
            <w:shd w:val="clear" w:color="auto" w:fill="auto"/>
            <w:noWrap/>
            <w:vAlign w:val="bottom"/>
            <w:hideMark/>
          </w:tcPr>
          <w:p w14:paraId="5E832767"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688B7933"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696 </w:t>
            </w:r>
          </w:p>
        </w:tc>
        <w:tc>
          <w:tcPr>
            <w:tcW w:w="60" w:type="pct"/>
            <w:tcBorders>
              <w:top w:val="nil"/>
              <w:left w:val="nil"/>
              <w:bottom w:val="nil"/>
              <w:right w:val="nil"/>
            </w:tcBorders>
            <w:shd w:val="clear" w:color="auto" w:fill="auto"/>
            <w:noWrap/>
            <w:vAlign w:val="bottom"/>
            <w:hideMark/>
          </w:tcPr>
          <w:p w14:paraId="49B5911D"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558CDB7A"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1.100 </w:t>
            </w:r>
          </w:p>
        </w:tc>
        <w:tc>
          <w:tcPr>
            <w:tcW w:w="60" w:type="pct"/>
            <w:tcBorders>
              <w:top w:val="nil"/>
              <w:left w:val="nil"/>
              <w:bottom w:val="nil"/>
              <w:right w:val="nil"/>
            </w:tcBorders>
            <w:shd w:val="clear" w:color="auto" w:fill="auto"/>
            <w:noWrap/>
            <w:vAlign w:val="bottom"/>
            <w:hideMark/>
          </w:tcPr>
          <w:p w14:paraId="17CCBE46" w14:textId="77777777" w:rsidR="004449AB" w:rsidRPr="004449AB" w:rsidRDefault="004449AB" w:rsidP="004449AB">
            <w:pPr>
              <w:spacing w:after="0" w:line="240" w:lineRule="auto"/>
              <w:rPr>
                <w:rFonts w:ascii="Arial" w:eastAsia="Times New Roman" w:hAnsi="Arial" w:cs="Arial"/>
                <w:kern w:val="0"/>
                <w:sz w:val="16"/>
                <w:szCs w:val="16"/>
                <w:lang w:eastAsia="pt-BR"/>
                <w14:ligatures w14:val="none"/>
              </w:rPr>
            </w:pPr>
          </w:p>
        </w:tc>
      </w:tr>
      <w:tr w:rsidR="004449AB" w:rsidRPr="004449AB" w14:paraId="4D10E92D" w14:textId="77777777" w:rsidTr="00075425">
        <w:trPr>
          <w:trHeight w:val="198"/>
        </w:trPr>
        <w:tc>
          <w:tcPr>
            <w:tcW w:w="3350" w:type="pct"/>
            <w:tcBorders>
              <w:top w:val="nil"/>
              <w:left w:val="nil"/>
              <w:bottom w:val="nil"/>
              <w:right w:val="nil"/>
            </w:tcBorders>
            <w:shd w:val="clear" w:color="auto" w:fill="auto"/>
            <w:noWrap/>
            <w:hideMark/>
          </w:tcPr>
          <w:p w14:paraId="01104DEF"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Fornecedores </w:t>
            </w:r>
          </w:p>
        </w:tc>
        <w:tc>
          <w:tcPr>
            <w:tcW w:w="60" w:type="pct"/>
            <w:tcBorders>
              <w:top w:val="nil"/>
              <w:left w:val="nil"/>
              <w:bottom w:val="nil"/>
              <w:right w:val="nil"/>
            </w:tcBorders>
            <w:shd w:val="clear" w:color="auto" w:fill="auto"/>
            <w:noWrap/>
            <w:vAlign w:val="bottom"/>
            <w:hideMark/>
          </w:tcPr>
          <w:p w14:paraId="698A8CE2"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034BA9C0"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2.765 </w:t>
            </w:r>
          </w:p>
        </w:tc>
        <w:tc>
          <w:tcPr>
            <w:tcW w:w="60" w:type="pct"/>
            <w:tcBorders>
              <w:top w:val="nil"/>
              <w:left w:val="nil"/>
              <w:bottom w:val="nil"/>
              <w:right w:val="nil"/>
            </w:tcBorders>
            <w:shd w:val="clear" w:color="auto" w:fill="auto"/>
            <w:noWrap/>
            <w:vAlign w:val="bottom"/>
            <w:hideMark/>
          </w:tcPr>
          <w:p w14:paraId="08BBDC0E"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29F5CC7F"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(38.491)</w:t>
            </w:r>
          </w:p>
        </w:tc>
        <w:tc>
          <w:tcPr>
            <w:tcW w:w="60" w:type="pct"/>
            <w:tcBorders>
              <w:top w:val="nil"/>
              <w:left w:val="nil"/>
              <w:bottom w:val="nil"/>
              <w:right w:val="nil"/>
            </w:tcBorders>
            <w:shd w:val="clear" w:color="auto" w:fill="auto"/>
            <w:noWrap/>
            <w:vAlign w:val="bottom"/>
            <w:hideMark/>
          </w:tcPr>
          <w:p w14:paraId="55B2F294" w14:textId="77777777" w:rsidR="004449AB" w:rsidRPr="004449AB" w:rsidRDefault="004449AB" w:rsidP="004449AB">
            <w:pPr>
              <w:spacing w:after="0" w:line="240" w:lineRule="auto"/>
              <w:rPr>
                <w:rFonts w:ascii="Arial" w:eastAsia="Times New Roman" w:hAnsi="Arial" w:cs="Arial"/>
                <w:kern w:val="0"/>
                <w:sz w:val="16"/>
                <w:szCs w:val="16"/>
                <w:lang w:eastAsia="pt-BR"/>
                <w14:ligatures w14:val="none"/>
              </w:rPr>
            </w:pPr>
          </w:p>
        </w:tc>
      </w:tr>
      <w:tr w:rsidR="004449AB" w:rsidRPr="004449AB" w14:paraId="76D0203D" w14:textId="77777777" w:rsidTr="00075425">
        <w:trPr>
          <w:trHeight w:val="198"/>
        </w:trPr>
        <w:tc>
          <w:tcPr>
            <w:tcW w:w="3350" w:type="pct"/>
            <w:tcBorders>
              <w:top w:val="nil"/>
              <w:left w:val="nil"/>
              <w:bottom w:val="nil"/>
              <w:right w:val="nil"/>
            </w:tcBorders>
            <w:shd w:val="clear" w:color="auto" w:fill="auto"/>
            <w:noWrap/>
            <w:hideMark/>
          </w:tcPr>
          <w:p w14:paraId="1CCE3792"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Outras Contas Ativas e Passivas </w:t>
            </w:r>
          </w:p>
        </w:tc>
        <w:tc>
          <w:tcPr>
            <w:tcW w:w="60" w:type="pct"/>
            <w:tcBorders>
              <w:top w:val="nil"/>
              <w:left w:val="nil"/>
              <w:bottom w:val="nil"/>
              <w:right w:val="nil"/>
            </w:tcBorders>
            <w:shd w:val="clear" w:color="auto" w:fill="auto"/>
            <w:noWrap/>
            <w:vAlign w:val="bottom"/>
            <w:hideMark/>
          </w:tcPr>
          <w:p w14:paraId="2E3695CF"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7F1E01C2"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42.978 </w:t>
            </w:r>
          </w:p>
        </w:tc>
        <w:tc>
          <w:tcPr>
            <w:tcW w:w="60" w:type="pct"/>
            <w:tcBorders>
              <w:top w:val="nil"/>
              <w:left w:val="nil"/>
              <w:bottom w:val="nil"/>
              <w:right w:val="nil"/>
            </w:tcBorders>
            <w:shd w:val="clear" w:color="auto" w:fill="auto"/>
            <w:noWrap/>
            <w:vAlign w:val="bottom"/>
            <w:hideMark/>
          </w:tcPr>
          <w:p w14:paraId="3D366E55"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6C337A48"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(24.499)</w:t>
            </w:r>
          </w:p>
        </w:tc>
        <w:tc>
          <w:tcPr>
            <w:tcW w:w="60" w:type="pct"/>
            <w:tcBorders>
              <w:top w:val="nil"/>
              <w:left w:val="nil"/>
              <w:bottom w:val="nil"/>
              <w:right w:val="nil"/>
            </w:tcBorders>
            <w:shd w:val="clear" w:color="auto" w:fill="auto"/>
            <w:noWrap/>
            <w:vAlign w:val="bottom"/>
            <w:hideMark/>
          </w:tcPr>
          <w:p w14:paraId="0DE72055" w14:textId="77777777" w:rsidR="004449AB" w:rsidRPr="004449AB" w:rsidRDefault="004449AB" w:rsidP="004449AB">
            <w:pPr>
              <w:spacing w:after="0" w:line="240" w:lineRule="auto"/>
              <w:rPr>
                <w:rFonts w:ascii="Arial" w:eastAsia="Times New Roman" w:hAnsi="Arial" w:cs="Arial"/>
                <w:kern w:val="0"/>
                <w:sz w:val="16"/>
                <w:szCs w:val="16"/>
                <w:lang w:eastAsia="pt-BR"/>
                <w14:ligatures w14:val="none"/>
              </w:rPr>
            </w:pPr>
          </w:p>
        </w:tc>
      </w:tr>
      <w:tr w:rsidR="004449AB" w:rsidRPr="004449AB" w14:paraId="48555362" w14:textId="77777777" w:rsidTr="00075425">
        <w:trPr>
          <w:trHeight w:val="198"/>
        </w:trPr>
        <w:tc>
          <w:tcPr>
            <w:tcW w:w="3350" w:type="pct"/>
            <w:tcBorders>
              <w:top w:val="nil"/>
              <w:left w:val="nil"/>
              <w:bottom w:val="nil"/>
              <w:right w:val="nil"/>
            </w:tcBorders>
            <w:shd w:val="clear" w:color="auto" w:fill="auto"/>
            <w:noWrap/>
            <w:hideMark/>
          </w:tcPr>
          <w:p w14:paraId="2971A951"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c>
          <w:tcPr>
            <w:tcW w:w="60" w:type="pct"/>
            <w:tcBorders>
              <w:top w:val="nil"/>
              <w:left w:val="nil"/>
              <w:bottom w:val="nil"/>
              <w:right w:val="nil"/>
            </w:tcBorders>
            <w:shd w:val="clear" w:color="auto" w:fill="auto"/>
            <w:noWrap/>
            <w:vAlign w:val="bottom"/>
            <w:hideMark/>
          </w:tcPr>
          <w:p w14:paraId="0879444C" w14:textId="77777777" w:rsidR="004449AB" w:rsidRPr="004449AB" w:rsidRDefault="004449AB" w:rsidP="004449AB">
            <w:pPr>
              <w:spacing w:after="0" w:line="240" w:lineRule="auto"/>
              <w:ind w:firstLineChars="200" w:firstLine="320"/>
              <w:rPr>
                <w:rFonts w:ascii="Times New Roman" w:eastAsia="Times New Roman" w:hAnsi="Times New Roman" w:cs="Times New Roman"/>
                <w:kern w:val="0"/>
                <w:sz w:val="16"/>
                <w:szCs w:val="16"/>
                <w:lang w:eastAsia="pt-BR"/>
                <w14:ligatures w14:val="none"/>
              </w:rPr>
            </w:pPr>
          </w:p>
        </w:tc>
        <w:tc>
          <w:tcPr>
            <w:tcW w:w="726" w:type="pct"/>
            <w:tcBorders>
              <w:top w:val="single" w:sz="4" w:space="0" w:color="auto"/>
              <w:left w:val="nil"/>
              <w:bottom w:val="single" w:sz="4" w:space="0" w:color="auto"/>
              <w:right w:val="nil"/>
            </w:tcBorders>
            <w:shd w:val="clear" w:color="auto" w:fill="auto"/>
            <w:noWrap/>
            <w:vAlign w:val="bottom"/>
            <w:hideMark/>
          </w:tcPr>
          <w:p w14:paraId="2F3DD01B"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 xml:space="preserve">                  (37.856)</w:t>
            </w:r>
          </w:p>
        </w:tc>
        <w:tc>
          <w:tcPr>
            <w:tcW w:w="60" w:type="pct"/>
            <w:tcBorders>
              <w:top w:val="nil"/>
              <w:left w:val="nil"/>
              <w:bottom w:val="nil"/>
              <w:right w:val="nil"/>
            </w:tcBorders>
            <w:shd w:val="clear" w:color="auto" w:fill="auto"/>
            <w:noWrap/>
            <w:vAlign w:val="bottom"/>
            <w:hideMark/>
          </w:tcPr>
          <w:p w14:paraId="716573FF"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p>
        </w:tc>
        <w:tc>
          <w:tcPr>
            <w:tcW w:w="744" w:type="pct"/>
            <w:tcBorders>
              <w:top w:val="single" w:sz="4" w:space="0" w:color="auto"/>
              <w:left w:val="nil"/>
              <w:bottom w:val="single" w:sz="4" w:space="0" w:color="auto"/>
              <w:right w:val="nil"/>
            </w:tcBorders>
            <w:shd w:val="clear" w:color="auto" w:fill="auto"/>
            <w:noWrap/>
            <w:vAlign w:val="bottom"/>
            <w:hideMark/>
          </w:tcPr>
          <w:p w14:paraId="5C1FF5D2"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 xml:space="preserve">                (107.465)</w:t>
            </w:r>
          </w:p>
        </w:tc>
        <w:tc>
          <w:tcPr>
            <w:tcW w:w="60" w:type="pct"/>
            <w:tcBorders>
              <w:top w:val="nil"/>
              <w:left w:val="nil"/>
              <w:bottom w:val="nil"/>
              <w:right w:val="nil"/>
            </w:tcBorders>
            <w:shd w:val="clear" w:color="auto" w:fill="auto"/>
            <w:noWrap/>
            <w:vAlign w:val="bottom"/>
            <w:hideMark/>
          </w:tcPr>
          <w:p w14:paraId="5126609D" w14:textId="77777777" w:rsidR="004449AB" w:rsidRPr="004449AB" w:rsidRDefault="004449AB" w:rsidP="004449AB">
            <w:pPr>
              <w:spacing w:after="0" w:line="240" w:lineRule="auto"/>
              <w:rPr>
                <w:rFonts w:ascii="Arial" w:eastAsia="Times New Roman" w:hAnsi="Arial" w:cs="Arial"/>
                <w:b/>
                <w:bCs/>
                <w:kern w:val="0"/>
                <w:sz w:val="16"/>
                <w:szCs w:val="16"/>
                <w:lang w:eastAsia="pt-BR"/>
                <w14:ligatures w14:val="none"/>
              </w:rPr>
            </w:pPr>
          </w:p>
        </w:tc>
      </w:tr>
      <w:tr w:rsidR="004449AB" w:rsidRPr="004449AB" w14:paraId="5785F015" w14:textId="77777777" w:rsidTr="00075425">
        <w:trPr>
          <w:trHeight w:val="198"/>
        </w:trPr>
        <w:tc>
          <w:tcPr>
            <w:tcW w:w="3350" w:type="pct"/>
            <w:tcBorders>
              <w:top w:val="nil"/>
              <w:left w:val="nil"/>
              <w:bottom w:val="nil"/>
              <w:right w:val="nil"/>
            </w:tcBorders>
            <w:shd w:val="clear" w:color="auto" w:fill="auto"/>
            <w:noWrap/>
            <w:vAlign w:val="bottom"/>
            <w:hideMark/>
          </w:tcPr>
          <w:p w14:paraId="0C6CA31B" w14:textId="77777777" w:rsidR="004449AB" w:rsidRPr="004449AB" w:rsidRDefault="004449AB" w:rsidP="004449AB">
            <w:pPr>
              <w:spacing w:after="0" w:line="240" w:lineRule="auto"/>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Caixa Proveniente das Atividades Operacionais</w:t>
            </w:r>
          </w:p>
        </w:tc>
        <w:tc>
          <w:tcPr>
            <w:tcW w:w="60" w:type="pct"/>
            <w:tcBorders>
              <w:top w:val="nil"/>
              <w:left w:val="nil"/>
              <w:bottom w:val="nil"/>
              <w:right w:val="nil"/>
            </w:tcBorders>
            <w:shd w:val="clear" w:color="auto" w:fill="auto"/>
            <w:noWrap/>
            <w:vAlign w:val="bottom"/>
            <w:hideMark/>
          </w:tcPr>
          <w:p w14:paraId="3EBA07BE" w14:textId="77777777" w:rsidR="004449AB" w:rsidRPr="004449AB" w:rsidRDefault="004449AB" w:rsidP="004449AB">
            <w:pPr>
              <w:spacing w:after="0" w:line="240" w:lineRule="auto"/>
              <w:rPr>
                <w:rFonts w:ascii="Arial" w:eastAsia="Times New Roman" w:hAnsi="Arial" w:cs="Arial"/>
                <w:b/>
                <w:bCs/>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01C7E210"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60" w:type="pct"/>
            <w:tcBorders>
              <w:top w:val="nil"/>
              <w:left w:val="nil"/>
              <w:bottom w:val="nil"/>
              <w:right w:val="nil"/>
            </w:tcBorders>
            <w:shd w:val="clear" w:color="auto" w:fill="auto"/>
            <w:noWrap/>
            <w:vAlign w:val="bottom"/>
            <w:hideMark/>
          </w:tcPr>
          <w:p w14:paraId="6C3831B6"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42D81246"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60" w:type="pct"/>
            <w:tcBorders>
              <w:top w:val="nil"/>
              <w:left w:val="nil"/>
              <w:bottom w:val="nil"/>
              <w:right w:val="nil"/>
            </w:tcBorders>
            <w:shd w:val="clear" w:color="auto" w:fill="auto"/>
            <w:noWrap/>
            <w:vAlign w:val="bottom"/>
            <w:hideMark/>
          </w:tcPr>
          <w:p w14:paraId="7641DB45"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r>
      <w:tr w:rsidR="004449AB" w:rsidRPr="004449AB" w14:paraId="6BF6A980" w14:textId="77777777" w:rsidTr="00075425">
        <w:trPr>
          <w:trHeight w:val="198"/>
        </w:trPr>
        <w:tc>
          <w:tcPr>
            <w:tcW w:w="3350" w:type="pct"/>
            <w:tcBorders>
              <w:top w:val="nil"/>
              <w:left w:val="nil"/>
              <w:bottom w:val="nil"/>
              <w:right w:val="nil"/>
            </w:tcBorders>
            <w:shd w:val="clear" w:color="auto" w:fill="auto"/>
            <w:noWrap/>
            <w:hideMark/>
          </w:tcPr>
          <w:p w14:paraId="485845F2"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Dividendos / Juros sobre Capital Próprio Recebidos </w:t>
            </w:r>
          </w:p>
        </w:tc>
        <w:tc>
          <w:tcPr>
            <w:tcW w:w="60" w:type="pct"/>
            <w:tcBorders>
              <w:top w:val="nil"/>
              <w:left w:val="nil"/>
              <w:bottom w:val="nil"/>
              <w:right w:val="nil"/>
            </w:tcBorders>
            <w:shd w:val="clear" w:color="auto" w:fill="auto"/>
            <w:noWrap/>
            <w:vAlign w:val="bottom"/>
            <w:hideMark/>
          </w:tcPr>
          <w:p w14:paraId="7D803977"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3B29814B"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  </w:t>
            </w:r>
          </w:p>
        </w:tc>
        <w:tc>
          <w:tcPr>
            <w:tcW w:w="60" w:type="pct"/>
            <w:tcBorders>
              <w:top w:val="nil"/>
              <w:left w:val="nil"/>
              <w:bottom w:val="nil"/>
              <w:right w:val="nil"/>
            </w:tcBorders>
            <w:shd w:val="clear" w:color="auto" w:fill="auto"/>
            <w:noWrap/>
            <w:vAlign w:val="bottom"/>
            <w:hideMark/>
          </w:tcPr>
          <w:p w14:paraId="4251E5D9"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5AEB9A3C"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63 </w:t>
            </w:r>
          </w:p>
        </w:tc>
        <w:tc>
          <w:tcPr>
            <w:tcW w:w="60" w:type="pct"/>
            <w:tcBorders>
              <w:top w:val="nil"/>
              <w:left w:val="nil"/>
              <w:bottom w:val="nil"/>
              <w:right w:val="nil"/>
            </w:tcBorders>
            <w:shd w:val="clear" w:color="auto" w:fill="auto"/>
            <w:noWrap/>
            <w:vAlign w:val="bottom"/>
            <w:hideMark/>
          </w:tcPr>
          <w:p w14:paraId="1B88D8EC" w14:textId="77777777" w:rsidR="004449AB" w:rsidRPr="004449AB" w:rsidRDefault="004449AB" w:rsidP="004449AB">
            <w:pPr>
              <w:spacing w:after="0" w:line="240" w:lineRule="auto"/>
              <w:rPr>
                <w:rFonts w:ascii="Arial" w:eastAsia="Times New Roman" w:hAnsi="Arial" w:cs="Arial"/>
                <w:kern w:val="0"/>
                <w:sz w:val="16"/>
                <w:szCs w:val="16"/>
                <w:lang w:eastAsia="pt-BR"/>
                <w14:ligatures w14:val="none"/>
              </w:rPr>
            </w:pPr>
          </w:p>
        </w:tc>
      </w:tr>
      <w:tr w:rsidR="004449AB" w:rsidRPr="004449AB" w14:paraId="38EC54F8" w14:textId="77777777" w:rsidTr="00075425">
        <w:trPr>
          <w:trHeight w:val="198"/>
        </w:trPr>
        <w:tc>
          <w:tcPr>
            <w:tcW w:w="3350" w:type="pct"/>
            <w:tcBorders>
              <w:top w:val="nil"/>
              <w:left w:val="nil"/>
              <w:bottom w:val="nil"/>
              <w:right w:val="nil"/>
            </w:tcBorders>
            <w:shd w:val="clear" w:color="auto" w:fill="auto"/>
            <w:noWrap/>
            <w:hideMark/>
          </w:tcPr>
          <w:p w14:paraId="70D1968C"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Recebimento de Receitas Diferidas </w:t>
            </w:r>
          </w:p>
        </w:tc>
        <w:tc>
          <w:tcPr>
            <w:tcW w:w="60" w:type="pct"/>
            <w:tcBorders>
              <w:top w:val="nil"/>
              <w:left w:val="nil"/>
              <w:bottom w:val="nil"/>
              <w:right w:val="nil"/>
            </w:tcBorders>
            <w:shd w:val="clear" w:color="auto" w:fill="auto"/>
            <w:noWrap/>
            <w:vAlign w:val="bottom"/>
            <w:hideMark/>
          </w:tcPr>
          <w:p w14:paraId="33896D39"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3A3000FE"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  </w:t>
            </w:r>
          </w:p>
        </w:tc>
        <w:tc>
          <w:tcPr>
            <w:tcW w:w="60" w:type="pct"/>
            <w:tcBorders>
              <w:top w:val="nil"/>
              <w:left w:val="nil"/>
              <w:bottom w:val="nil"/>
              <w:right w:val="nil"/>
            </w:tcBorders>
            <w:shd w:val="clear" w:color="auto" w:fill="auto"/>
            <w:noWrap/>
            <w:vAlign w:val="bottom"/>
            <w:hideMark/>
          </w:tcPr>
          <w:p w14:paraId="5EA2EF95"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2BCE02C5"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27.168 </w:t>
            </w:r>
          </w:p>
        </w:tc>
        <w:tc>
          <w:tcPr>
            <w:tcW w:w="60" w:type="pct"/>
            <w:tcBorders>
              <w:top w:val="nil"/>
              <w:left w:val="nil"/>
              <w:bottom w:val="nil"/>
              <w:right w:val="nil"/>
            </w:tcBorders>
            <w:shd w:val="clear" w:color="auto" w:fill="auto"/>
            <w:noWrap/>
            <w:vAlign w:val="bottom"/>
            <w:hideMark/>
          </w:tcPr>
          <w:p w14:paraId="194CF8AA" w14:textId="77777777" w:rsidR="004449AB" w:rsidRPr="004449AB" w:rsidRDefault="004449AB" w:rsidP="004449AB">
            <w:pPr>
              <w:spacing w:after="0" w:line="240" w:lineRule="auto"/>
              <w:rPr>
                <w:rFonts w:ascii="Arial" w:eastAsia="Times New Roman" w:hAnsi="Arial" w:cs="Arial"/>
                <w:kern w:val="0"/>
                <w:sz w:val="16"/>
                <w:szCs w:val="16"/>
                <w:lang w:eastAsia="pt-BR"/>
                <w14:ligatures w14:val="none"/>
              </w:rPr>
            </w:pPr>
          </w:p>
        </w:tc>
      </w:tr>
      <w:tr w:rsidR="004449AB" w:rsidRPr="004449AB" w14:paraId="3B8B392E" w14:textId="77777777" w:rsidTr="00075425">
        <w:trPr>
          <w:trHeight w:val="198"/>
        </w:trPr>
        <w:tc>
          <w:tcPr>
            <w:tcW w:w="3350" w:type="pct"/>
            <w:tcBorders>
              <w:top w:val="nil"/>
              <w:left w:val="nil"/>
              <w:bottom w:val="nil"/>
              <w:right w:val="nil"/>
            </w:tcBorders>
            <w:shd w:val="clear" w:color="auto" w:fill="auto"/>
            <w:noWrap/>
            <w:hideMark/>
          </w:tcPr>
          <w:p w14:paraId="5D84854F"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Pagamento por Adesão ao </w:t>
            </w:r>
            <w:proofErr w:type="spellStart"/>
            <w:r w:rsidRPr="004449AB">
              <w:rPr>
                <w:rFonts w:ascii="Arial" w:eastAsia="Times New Roman" w:hAnsi="Arial" w:cs="Arial"/>
                <w:kern w:val="0"/>
                <w:sz w:val="16"/>
                <w:szCs w:val="16"/>
                <w:lang w:eastAsia="pt-BR"/>
                <w14:ligatures w14:val="none"/>
              </w:rPr>
              <w:t>Prog</w:t>
            </w:r>
            <w:proofErr w:type="spellEnd"/>
            <w:r w:rsidRPr="004449AB">
              <w:rPr>
                <w:rFonts w:ascii="Arial" w:eastAsia="Times New Roman" w:hAnsi="Arial" w:cs="Arial"/>
                <w:kern w:val="0"/>
                <w:sz w:val="16"/>
                <w:szCs w:val="16"/>
                <w:lang w:eastAsia="pt-BR"/>
                <w14:ligatures w14:val="none"/>
              </w:rPr>
              <w:t xml:space="preserve">. de Indenização por Serviços Prestados - PISP </w:t>
            </w:r>
          </w:p>
        </w:tc>
        <w:tc>
          <w:tcPr>
            <w:tcW w:w="60" w:type="pct"/>
            <w:tcBorders>
              <w:top w:val="nil"/>
              <w:left w:val="nil"/>
              <w:bottom w:val="nil"/>
              <w:right w:val="nil"/>
            </w:tcBorders>
            <w:shd w:val="clear" w:color="auto" w:fill="auto"/>
            <w:noWrap/>
            <w:vAlign w:val="bottom"/>
            <w:hideMark/>
          </w:tcPr>
          <w:p w14:paraId="3FFB1206"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1DEF405B"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(3.475)</w:t>
            </w:r>
          </w:p>
        </w:tc>
        <w:tc>
          <w:tcPr>
            <w:tcW w:w="60" w:type="pct"/>
            <w:tcBorders>
              <w:top w:val="nil"/>
              <w:left w:val="nil"/>
              <w:bottom w:val="nil"/>
              <w:right w:val="nil"/>
            </w:tcBorders>
            <w:shd w:val="clear" w:color="auto" w:fill="auto"/>
            <w:noWrap/>
            <w:vAlign w:val="bottom"/>
            <w:hideMark/>
          </w:tcPr>
          <w:p w14:paraId="7E84A42B"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419AFFE7"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(1.531)</w:t>
            </w:r>
          </w:p>
        </w:tc>
        <w:tc>
          <w:tcPr>
            <w:tcW w:w="60" w:type="pct"/>
            <w:tcBorders>
              <w:top w:val="nil"/>
              <w:left w:val="nil"/>
              <w:bottom w:val="nil"/>
              <w:right w:val="nil"/>
            </w:tcBorders>
            <w:shd w:val="clear" w:color="auto" w:fill="auto"/>
            <w:noWrap/>
            <w:vAlign w:val="bottom"/>
            <w:hideMark/>
          </w:tcPr>
          <w:p w14:paraId="72582B8A" w14:textId="77777777" w:rsidR="004449AB" w:rsidRPr="004449AB" w:rsidRDefault="004449AB" w:rsidP="004449AB">
            <w:pPr>
              <w:spacing w:after="0" w:line="240" w:lineRule="auto"/>
              <w:rPr>
                <w:rFonts w:ascii="Arial" w:eastAsia="Times New Roman" w:hAnsi="Arial" w:cs="Arial"/>
                <w:kern w:val="0"/>
                <w:sz w:val="16"/>
                <w:szCs w:val="16"/>
                <w:lang w:eastAsia="pt-BR"/>
                <w14:ligatures w14:val="none"/>
              </w:rPr>
            </w:pPr>
          </w:p>
        </w:tc>
      </w:tr>
      <w:tr w:rsidR="004449AB" w:rsidRPr="004449AB" w14:paraId="327E958D" w14:textId="77777777" w:rsidTr="00075425">
        <w:trPr>
          <w:trHeight w:val="198"/>
        </w:trPr>
        <w:tc>
          <w:tcPr>
            <w:tcW w:w="3350" w:type="pct"/>
            <w:tcBorders>
              <w:top w:val="nil"/>
              <w:left w:val="nil"/>
              <w:bottom w:val="nil"/>
              <w:right w:val="nil"/>
            </w:tcBorders>
            <w:shd w:val="clear" w:color="auto" w:fill="auto"/>
            <w:noWrap/>
            <w:hideMark/>
          </w:tcPr>
          <w:p w14:paraId="671D70DA"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Pagamento de Juros de Arrendamento Mercantil Financeiro </w:t>
            </w:r>
          </w:p>
        </w:tc>
        <w:tc>
          <w:tcPr>
            <w:tcW w:w="60" w:type="pct"/>
            <w:tcBorders>
              <w:top w:val="nil"/>
              <w:left w:val="nil"/>
              <w:bottom w:val="nil"/>
              <w:right w:val="nil"/>
            </w:tcBorders>
            <w:shd w:val="clear" w:color="auto" w:fill="auto"/>
            <w:noWrap/>
            <w:vAlign w:val="bottom"/>
            <w:hideMark/>
          </w:tcPr>
          <w:p w14:paraId="6F7F3E8C"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7F8F7B83"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(1.034)</w:t>
            </w:r>
          </w:p>
        </w:tc>
        <w:tc>
          <w:tcPr>
            <w:tcW w:w="60" w:type="pct"/>
            <w:tcBorders>
              <w:top w:val="nil"/>
              <w:left w:val="nil"/>
              <w:bottom w:val="nil"/>
              <w:right w:val="nil"/>
            </w:tcBorders>
            <w:shd w:val="clear" w:color="auto" w:fill="auto"/>
            <w:noWrap/>
            <w:vAlign w:val="bottom"/>
            <w:hideMark/>
          </w:tcPr>
          <w:p w14:paraId="3E825E21"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2A61F679"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(939)</w:t>
            </w:r>
          </w:p>
        </w:tc>
        <w:tc>
          <w:tcPr>
            <w:tcW w:w="60" w:type="pct"/>
            <w:tcBorders>
              <w:top w:val="nil"/>
              <w:left w:val="nil"/>
              <w:bottom w:val="nil"/>
              <w:right w:val="nil"/>
            </w:tcBorders>
            <w:shd w:val="clear" w:color="auto" w:fill="auto"/>
            <w:noWrap/>
            <w:vAlign w:val="bottom"/>
            <w:hideMark/>
          </w:tcPr>
          <w:p w14:paraId="0B395BAC" w14:textId="77777777" w:rsidR="004449AB" w:rsidRPr="004449AB" w:rsidRDefault="004449AB" w:rsidP="004449AB">
            <w:pPr>
              <w:spacing w:after="0" w:line="240" w:lineRule="auto"/>
              <w:rPr>
                <w:rFonts w:ascii="Arial" w:eastAsia="Times New Roman" w:hAnsi="Arial" w:cs="Arial"/>
                <w:kern w:val="0"/>
                <w:sz w:val="16"/>
                <w:szCs w:val="16"/>
                <w:lang w:eastAsia="pt-BR"/>
                <w14:ligatures w14:val="none"/>
              </w:rPr>
            </w:pPr>
          </w:p>
        </w:tc>
      </w:tr>
      <w:tr w:rsidR="004449AB" w:rsidRPr="004449AB" w14:paraId="2DDECEAB" w14:textId="77777777" w:rsidTr="00075425">
        <w:trPr>
          <w:trHeight w:val="198"/>
        </w:trPr>
        <w:tc>
          <w:tcPr>
            <w:tcW w:w="3350" w:type="pct"/>
            <w:tcBorders>
              <w:top w:val="nil"/>
              <w:left w:val="nil"/>
              <w:bottom w:val="nil"/>
              <w:right w:val="nil"/>
            </w:tcBorders>
            <w:shd w:val="clear" w:color="auto" w:fill="auto"/>
            <w:noWrap/>
            <w:hideMark/>
          </w:tcPr>
          <w:p w14:paraId="3D3C0150"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Pagamento de Juros de Empréstimos e Financiamentos </w:t>
            </w:r>
          </w:p>
        </w:tc>
        <w:tc>
          <w:tcPr>
            <w:tcW w:w="60" w:type="pct"/>
            <w:tcBorders>
              <w:top w:val="nil"/>
              <w:left w:val="nil"/>
              <w:bottom w:val="nil"/>
              <w:right w:val="nil"/>
            </w:tcBorders>
            <w:shd w:val="clear" w:color="auto" w:fill="auto"/>
            <w:noWrap/>
            <w:vAlign w:val="bottom"/>
            <w:hideMark/>
          </w:tcPr>
          <w:p w14:paraId="420B31A7"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427CBA78"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(3.452)</w:t>
            </w:r>
          </w:p>
        </w:tc>
        <w:tc>
          <w:tcPr>
            <w:tcW w:w="60" w:type="pct"/>
            <w:tcBorders>
              <w:top w:val="nil"/>
              <w:left w:val="nil"/>
              <w:bottom w:val="nil"/>
              <w:right w:val="nil"/>
            </w:tcBorders>
            <w:shd w:val="clear" w:color="auto" w:fill="auto"/>
            <w:noWrap/>
            <w:vAlign w:val="bottom"/>
            <w:hideMark/>
          </w:tcPr>
          <w:p w14:paraId="460A6F86"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19655108"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(4.878)</w:t>
            </w:r>
          </w:p>
        </w:tc>
        <w:tc>
          <w:tcPr>
            <w:tcW w:w="60" w:type="pct"/>
            <w:tcBorders>
              <w:top w:val="nil"/>
              <w:left w:val="nil"/>
              <w:bottom w:val="nil"/>
              <w:right w:val="nil"/>
            </w:tcBorders>
            <w:shd w:val="clear" w:color="auto" w:fill="auto"/>
            <w:noWrap/>
            <w:vAlign w:val="bottom"/>
            <w:hideMark/>
          </w:tcPr>
          <w:p w14:paraId="5EE26237" w14:textId="77777777" w:rsidR="004449AB" w:rsidRPr="004449AB" w:rsidRDefault="004449AB" w:rsidP="004449AB">
            <w:pPr>
              <w:spacing w:after="0" w:line="240" w:lineRule="auto"/>
              <w:rPr>
                <w:rFonts w:ascii="Arial" w:eastAsia="Times New Roman" w:hAnsi="Arial" w:cs="Arial"/>
                <w:kern w:val="0"/>
                <w:sz w:val="16"/>
                <w:szCs w:val="16"/>
                <w:lang w:eastAsia="pt-BR"/>
                <w14:ligatures w14:val="none"/>
              </w:rPr>
            </w:pPr>
          </w:p>
        </w:tc>
      </w:tr>
      <w:tr w:rsidR="004449AB" w:rsidRPr="004449AB" w14:paraId="43AA80F9" w14:textId="77777777" w:rsidTr="00075425">
        <w:trPr>
          <w:trHeight w:val="198"/>
        </w:trPr>
        <w:tc>
          <w:tcPr>
            <w:tcW w:w="3350" w:type="pct"/>
            <w:tcBorders>
              <w:top w:val="nil"/>
              <w:left w:val="nil"/>
              <w:bottom w:val="nil"/>
              <w:right w:val="nil"/>
            </w:tcBorders>
            <w:shd w:val="clear" w:color="auto" w:fill="auto"/>
            <w:noWrap/>
            <w:hideMark/>
          </w:tcPr>
          <w:p w14:paraId="57AB452B"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lastRenderedPageBreak/>
              <w:t xml:space="preserve"> Pagamento de Compensação Financeira - Financiamento FINEP </w:t>
            </w:r>
          </w:p>
        </w:tc>
        <w:tc>
          <w:tcPr>
            <w:tcW w:w="60" w:type="pct"/>
            <w:tcBorders>
              <w:top w:val="nil"/>
              <w:left w:val="nil"/>
              <w:bottom w:val="nil"/>
              <w:right w:val="nil"/>
            </w:tcBorders>
            <w:shd w:val="clear" w:color="auto" w:fill="auto"/>
            <w:noWrap/>
            <w:vAlign w:val="bottom"/>
            <w:hideMark/>
          </w:tcPr>
          <w:p w14:paraId="608974A9"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144D62C5"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(2.222)</w:t>
            </w:r>
          </w:p>
        </w:tc>
        <w:tc>
          <w:tcPr>
            <w:tcW w:w="60" w:type="pct"/>
            <w:tcBorders>
              <w:top w:val="nil"/>
              <w:left w:val="nil"/>
              <w:bottom w:val="nil"/>
              <w:right w:val="nil"/>
            </w:tcBorders>
            <w:shd w:val="clear" w:color="auto" w:fill="auto"/>
            <w:noWrap/>
            <w:vAlign w:val="bottom"/>
            <w:hideMark/>
          </w:tcPr>
          <w:p w14:paraId="77D2DE34"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6FA36B65"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(8.322)</w:t>
            </w:r>
          </w:p>
        </w:tc>
        <w:tc>
          <w:tcPr>
            <w:tcW w:w="60" w:type="pct"/>
            <w:tcBorders>
              <w:top w:val="nil"/>
              <w:left w:val="nil"/>
              <w:bottom w:val="nil"/>
              <w:right w:val="nil"/>
            </w:tcBorders>
            <w:shd w:val="clear" w:color="auto" w:fill="auto"/>
            <w:noWrap/>
            <w:vAlign w:val="bottom"/>
            <w:hideMark/>
          </w:tcPr>
          <w:p w14:paraId="6B5C014B" w14:textId="77777777" w:rsidR="004449AB" w:rsidRPr="004449AB" w:rsidRDefault="004449AB" w:rsidP="004449AB">
            <w:pPr>
              <w:spacing w:after="0" w:line="240" w:lineRule="auto"/>
              <w:rPr>
                <w:rFonts w:ascii="Arial" w:eastAsia="Times New Roman" w:hAnsi="Arial" w:cs="Arial"/>
                <w:kern w:val="0"/>
                <w:sz w:val="16"/>
                <w:szCs w:val="16"/>
                <w:lang w:eastAsia="pt-BR"/>
                <w14:ligatures w14:val="none"/>
              </w:rPr>
            </w:pPr>
          </w:p>
        </w:tc>
      </w:tr>
      <w:tr w:rsidR="004449AB" w:rsidRPr="004449AB" w14:paraId="0BE96B15" w14:textId="77777777" w:rsidTr="00075425">
        <w:trPr>
          <w:trHeight w:val="198"/>
        </w:trPr>
        <w:tc>
          <w:tcPr>
            <w:tcW w:w="3350" w:type="pct"/>
            <w:tcBorders>
              <w:top w:val="nil"/>
              <w:left w:val="nil"/>
              <w:bottom w:val="nil"/>
              <w:right w:val="nil"/>
            </w:tcBorders>
            <w:shd w:val="clear" w:color="auto" w:fill="auto"/>
            <w:noWrap/>
            <w:hideMark/>
          </w:tcPr>
          <w:p w14:paraId="7F22AB7E"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Pagamento de Causas Judiciais - Trabalhistas, Cíveis e Fiscais </w:t>
            </w:r>
          </w:p>
        </w:tc>
        <w:tc>
          <w:tcPr>
            <w:tcW w:w="60" w:type="pct"/>
            <w:tcBorders>
              <w:top w:val="nil"/>
              <w:left w:val="nil"/>
              <w:bottom w:val="nil"/>
              <w:right w:val="nil"/>
            </w:tcBorders>
            <w:shd w:val="clear" w:color="auto" w:fill="auto"/>
            <w:noWrap/>
            <w:vAlign w:val="bottom"/>
            <w:hideMark/>
          </w:tcPr>
          <w:p w14:paraId="7019F536"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2EE0FCF3"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(3.489)</w:t>
            </w:r>
          </w:p>
        </w:tc>
        <w:tc>
          <w:tcPr>
            <w:tcW w:w="60" w:type="pct"/>
            <w:tcBorders>
              <w:top w:val="nil"/>
              <w:left w:val="nil"/>
              <w:bottom w:val="nil"/>
              <w:right w:val="nil"/>
            </w:tcBorders>
            <w:shd w:val="clear" w:color="auto" w:fill="auto"/>
            <w:noWrap/>
            <w:vAlign w:val="bottom"/>
            <w:hideMark/>
          </w:tcPr>
          <w:p w14:paraId="0854B226"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3443144D"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(2.063)</w:t>
            </w:r>
          </w:p>
        </w:tc>
        <w:tc>
          <w:tcPr>
            <w:tcW w:w="60" w:type="pct"/>
            <w:tcBorders>
              <w:top w:val="nil"/>
              <w:left w:val="nil"/>
              <w:bottom w:val="nil"/>
              <w:right w:val="nil"/>
            </w:tcBorders>
            <w:shd w:val="clear" w:color="auto" w:fill="auto"/>
            <w:noWrap/>
            <w:vAlign w:val="bottom"/>
            <w:hideMark/>
          </w:tcPr>
          <w:p w14:paraId="0C6EA62B" w14:textId="77777777" w:rsidR="004449AB" w:rsidRPr="004449AB" w:rsidRDefault="004449AB" w:rsidP="004449AB">
            <w:pPr>
              <w:spacing w:after="0" w:line="240" w:lineRule="auto"/>
              <w:rPr>
                <w:rFonts w:ascii="Arial" w:eastAsia="Times New Roman" w:hAnsi="Arial" w:cs="Arial"/>
                <w:kern w:val="0"/>
                <w:sz w:val="16"/>
                <w:szCs w:val="16"/>
                <w:lang w:eastAsia="pt-BR"/>
                <w14:ligatures w14:val="none"/>
              </w:rPr>
            </w:pPr>
          </w:p>
        </w:tc>
      </w:tr>
      <w:tr w:rsidR="004449AB" w:rsidRPr="004449AB" w14:paraId="0C8E0EB0" w14:textId="77777777" w:rsidTr="00075425">
        <w:trPr>
          <w:trHeight w:val="198"/>
        </w:trPr>
        <w:tc>
          <w:tcPr>
            <w:tcW w:w="3350" w:type="pct"/>
            <w:tcBorders>
              <w:top w:val="nil"/>
              <w:left w:val="nil"/>
              <w:bottom w:val="nil"/>
              <w:right w:val="nil"/>
            </w:tcBorders>
            <w:shd w:val="clear" w:color="auto" w:fill="auto"/>
            <w:noWrap/>
            <w:hideMark/>
          </w:tcPr>
          <w:p w14:paraId="14BDC598"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Pagamento de Acordos Judiciais - Encargos </w:t>
            </w:r>
          </w:p>
        </w:tc>
        <w:tc>
          <w:tcPr>
            <w:tcW w:w="60" w:type="pct"/>
            <w:tcBorders>
              <w:top w:val="nil"/>
              <w:left w:val="nil"/>
              <w:bottom w:val="nil"/>
              <w:right w:val="nil"/>
            </w:tcBorders>
            <w:shd w:val="clear" w:color="auto" w:fill="auto"/>
            <w:noWrap/>
            <w:vAlign w:val="bottom"/>
            <w:hideMark/>
          </w:tcPr>
          <w:p w14:paraId="4F521E33"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1C5D7D65"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(13.833)</w:t>
            </w:r>
          </w:p>
        </w:tc>
        <w:tc>
          <w:tcPr>
            <w:tcW w:w="60" w:type="pct"/>
            <w:tcBorders>
              <w:top w:val="nil"/>
              <w:left w:val="nil"/>
              <w:bottom w:val="nil"/>
              <w:right w:val="nil"/>
            </w:tcBorders>
            <w:shd w:val="clear" w:color="auto" w:fill="auto"/>
            <w:noWrap/>
            <w:vAlign w:val="bottom"/>
            <w:hideMark/>
          </w:tcPr>
          <w:p w14:paraId="49A050A0"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2641E829"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(19.670)</w:t>
            </w:r>
          </w:p>
        </w:tc>
        <w:tc>
          <w:tcPr>
            <w:tcW w:w="60" w:type="pct"/>
            <w:tcBorders>
              <w:top w:val="nil"/>
              <w:left w:val="nil"/>
              <w:bottom w:val="nil"/>
              <w:right w:val="nil"/>
            </w:tcBorders>
            <w:shd w:val="clear" w:color="auto" w:fill="auto"/>
            <w:noWrap/>
            <w:vAlign w:val="bottom"/>
            <w:hideMark/>
          </w:tcPr>
          <w:p w14:paraId="49744529" w14:textId="77777777" w:rsidR="004449AB" w:rsidRPr="004449AB" w:rsidRDefault="004449AB" w:rsidP="004449AB">
            <w:pPr>
              <w:spacing w:after="0" w:line="240" w:lineRule="auto"/>
              <w:rPr>
                <w:rFonts w:ascii="Arial" w:eastAsia="Times New Roman" w:hAnsi="Arial" w:cs="Arial"/>
                <w:kern w:val="0"/>
                <w:sz w:val="16"/>
                <w:szCs w:val="16"/>
                <w:lang w:eastAsia="pt-BR"/>
                <w14:ligatures w14:val="none"/>
              </w:rPr>
            </w:pPr>
          </w:p>
        </w:tc>
      </w:tr>
      <w:tr w:rsidR="004449AB" w:rsidRPr="004449AB" w14:paraId="1E2FA750" w14:textId="77777777" w:rsidTr="00075425">
        <w:trPr>
          <w:trHeight w:val="198"/>
        </w:trPr>
        <w:tc>
          <w:tcPr>
            <w:tcW w:w="3350" w:type="pct"/>
            <w:tcBorders>
              <w:top w:val="nil"/>
              <w:left w:val="nil"/>
              <w:bottom w:val="nil"/>
              <w:right w:val="nil"/>
            </w:tcBorders>
            <w:shd w:val="clear" w:color="auto" w:fill="auto"/>
            <w:noWrap/>
            <w:hideMark/>
          </w:tcPr>
          <w:p w14:paraId="40D632C8"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Pagamento de IRPJ/CSLL </w:t>
            </w:r>
          </w:p>
        </w:tc>
        <w:tc>
          <w:tcPr>
            <w:tcW w:w="60" w:type="pct"/>
            <w:tcBorders>
              <w:top w:val="nil"/>
              <w:left w:val="nil"/>
              <w:bottom w:val="nil"/>
              <w:right w:val="nil"/>
            </w:tcBorders>
            <w:shd w:val="clear" w:color="auto" w:fill="auto"/>
            <w:noWrap/>
            <w:vAlign w:val="bottom"/>
            <w:hideMark/>
          </w:tcPr>
          <w:p w14:paraId="7466E903"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2B06076F"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(6.017)</w:t>
            </w:r>
          </w:p>
        </w:tc>
        <w:tc>
          <w:tcPr>
            <w:tcW w:w="60" w:type="pct"/>
            <w:tcBorders>
              <w:top w:val="nil"/>
              <w:left w:val="nil"/>
              <w:bottom w:val="nil"/>
              <w:right w:val="nil"/>
            </w:tcBorders>
            <w:shd w:val="clear" w:color="auto" w:fill="auto"/>
            <w:noWrap/>
            <w:vAlign w:val="bottom"/>
            <w:hideMark/>
          </w:tcPr>
          <w:p w14:paraId="2158042B"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48A4AD1A"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60" w:type="pct"/>
            <w:tcBorders>
              <w:top w:val="nil"/>
              <w:left w:val="nil"/>
              <w:bottom w:val="nil"/>
              <w:right w:val="nil"/>
            </w:tcBorders>
            <w:shd w:val="clear" w:color="auto" w:fill="auto"/>
            <w:noWrap/>
            <w:vAlign w:val="bottom"/>
            <w:hideMark/>
          </w:tcPr>
          <w:p w14:paraId="7091A339"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r>
      <w:tr w:rsidR="004449AB" w:rsidRPr="004449AB" w14:paraId="3F7530F8" w14:textId="77777777" w:rsidTr="00075425">
        <w:trPr>
          <w:trHeight w:val="198"/>
        </w:trPr>
        <w:tc>
          <w:tcPr>
            <w:tcW w:w="3350" w:type="pct"/>
            <w:tcBorders>
              <w:top w:val="nil"/>
              <w:left w:val="nil"/>
              <w:bottom w:val="nil"/>
              <w:right w:val="nil"/>
            </w:tcBorders>
            <w:shd w:val="clear" w:color="auto" w:fill="auto"/>
            <w:noWrap/>
            <w:vAlign w:val="bottom"/>
            <w:hideMark/>
          </w:tcPr>
          <w:p w14:paraId="2532673B"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c>
          <w:tcPr>
            <w:tcW w:w="60" w:type="pct"/>
            <w:tcBorders>
              <w:top w:val="nil"/>
              <w:left w:val="nil"/>
              <w:bottom w:val="nil"/>
              <w:right w:val="nil"/>
            </w:tcBorders>
            <w:shd w:val="clear" w:color="auto" w:fill="auto"/>
            <w:noWrap/>
            <w:vAlign w:val="bottom"/>
            <w:hideMark/>
          </w:tcPr>
          <w:p w14:paraId="19AEFAA2"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c>
          <w:tcPr>
            <w:tcW w:w="726" w:type="pct"/>
            <w:tcBorders>
              <w:top w:val="single" w:sz="4" w:space="0" w:color="auto"/>
              <w:left w:val="nil"/>
              <w:bottom w:val="single" w:sz="4" w:space="0" w:color="auto"/>
              <w:right w:val="nil"/>
            </w:tcBorders>
            <w:shd w:val="clear" w:color="auto" w:fill="auto"/>
            <w:noWrap/>
            <w:vAlign w:val="bottom"/>
            <w:hideMark/>
          </w:tcPr>
          <w:p w14:paraId="68D1D52B"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 xml:space="preserve">                  (33.522)</w:t>
            </w:r>
          </w:p>
        </w:tc>
        <w:tc>
          <w:tcPr>
            <w:tcW w:w="60" w:type="pct"/>
            <w:tcBorders>
              <w:top w:val="nil"/>
              <w:left w:val="nil"/>
              <w:bottom w:val="nil"/>
              <w:right w:val="nil"/>
            </w:tcBorders>
            <w:shd w:val="clear" w:color="auto" w:fill="auto"/>
            <w:noWrap/>
            <w:vAlign w:val="bottom"/>
            <w:hideMark/>
          </w:tcPr>
          <w:p w14:paraId="54EBB4ED"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p>
        </w:tc>
        <w:tc>
          <w:tcPr>
            <w:tcW w:w="744" w:type="pct"/>
            <w:tcBorders>
              <w:top w:val="single" w:sz="4" w:space="0" w:color="auto"/>
              <w:left w:val="nil"/>
              <w:bottom w:val="single" w:sz="4" w:space="0" w:color="auto"/>
              <w:right w:val="nil"/>
            </w:tcBorders>
            <w:shd w:val="clear" w:color="auto" w:fill="auto"/>
            <w:noWrap/>
            <w:vAlign w:val="bottom"/>
            <w:hideMark/>
          </w:tcPr>
          <w:p w14:paraId="7188CDEC"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 xml:space="preserve">                  (10.172)</w:t>
            </w:r>
          </w:p>
        </w:tc>
        <w:tc>
          <w:tcPr>
            <w:tcW w:w="60" w:type="pct"/>
            <w:tcBorders>
              <w:top w:val="nil"/>
              <w:left w:val="nil"/>
              <w:bottom w:val="nil"/>
              <w:right w:val="nil"/>
            </w:tcBorders>
            <w:shd w:val="clear" w:color="auto" w:fill="auto"/>
            <w:noWrap/>
            <w:vAlign w:val="bottom"/>
            <w:hideMark/>
          </w:tcPr>
          <w:p w14:paraId="2850D12B" w14:textId="77777777" w:rsidR="004449AB" w:rsidRPr="004449AB" w:rsidRDefault="004449AB" w:rsidP="004449AB">
            <w:pPr>
              <w:spacing w:after="0" w:line="240" w:lineRule="auto"/>
              <w:rPr>
                <w:rFonts w:ascii="Arial" w:eastAsia="Times New Roman" w:hAnsi="Arial" w:cs="Arial"/>
                <w:b/>
                <w:bCs/>
                <w:kern w:val="0"/>
                <w:sz w:val="16"/>
                <w:szCs w:val="16"/>
                <w:lang w:eastAsia="pt-BR"/>
                <w14:ligatures w14:val="none"/>
              </w:rPr>
            </w:pPr>
          </w:p>
        </w:tc>
      </w:tr>
      <w:tr w:rsidR="004449AB" w:rsidRPr="004449AB" w14:paraId="782116AA" w14:textId="77777777" w:rsidTr="00075425">
        <w:trPr>
          <w:trHeight w:val="198"/>
        </w:trPr>
        <w:tc>
          <w:tcPr>
            <w:tcW w:w="3350" w:type="pct"/>
            <w:tcBorders>
              <w:top w:val="nil"/>
              <w:left w:val="nil"/>
              <w:bottom w:val="nil"/>
              <w:right w:val="nil"/>
            </w:tcBorders>
            <w:shd w:val="clear" w:color="auto" w:fill="auto"/>
            <w:noWrap/>
            <w:vAlign w:val="bottom"/>
            <w:hideMark/>
          </w:tcPr>
          <w:p w14:paraId="0DE4657A"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c>
          <w:tcPr>
            <w:tcW w:w="60" w:type="pct"/>
            <w:tcBorders>
              <w:top w:val="nil"/>
              <w:left w:val="nil"/>
              <w:bottom w:val="nil"/>
              <w:right w:val="nil"/>
            </w:tcBorders>
            <w:shd w:val="clear" w:color="auto" w:fill="auto"/>
            <w:noWrap/>
            <w:vAlign w:val="bottom"/>
            <w:hideMark/>
          </w:tcPr>
          <w:p w14:paraId="0E15A276"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6F0631A0"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60" w:type="pct"/>
            <w:tcBorders>
              <w:top w:val="nil"/>
              <w:left w:val="nil"/>
              <w:bottom w:val="nil"/>
              <w:right w:val="nil"/>
            </w:tcBorders>
            <w:shd w:val="clear" w:color="auto" w:fill="auto"/>
            <w:noWrap/>
            <w:vAlign w:val="bottom"/>
            <w:hideMark/>
          </w:tcPr>
          <w:p w14:paraId="5BAAC022"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4099BFAE"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60" w:type="pct"/>
            <w:tcBorders>
              <w:top w:val="nil"/>
              <w:left w:val="nil"/>
              <w:bottom w:val="nil"/>
              <w:right w:val="nil"/>
            </w:tcBorders>
            <w:shd w:val="clear" w:color="auto" w:fill="auto"/>
            <w:noWrap/>
            <w:vAlign w:val="bottom"/>
            <w:hideMark/>
          </w:tcPr>
          <w:p w14:paraId="655B3C31"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r>
      <w:tr w:rsidR="004449AB" w:rsidRPr="004449AB" w14:paraId="6917425A" w14:textId="77777777" w:rsidTr="00075425">
        <w:trPr>
          <w:trHeight w:val="198"/>
        </w:trPr>
        <w:tc>
          <w:tcPr>
            <w:tcW w:w="3350" w:type="pct"/>
            <w:tcBorders>
              <w:top w:val="nil"/>
              <w:left w:val="nil"/>
              <w:bottom w:val="nil"/>
              <w:right w:val="nil"/>
            </w:tcBorders>
            <w:shd w:val="clear" w:color="auto" w:fill="auto"/>
            <w:noWrap/>
            <w:vAlign w:val="bottom"/>
            <w:hideMark/>
          </w:tcPr>
          <w:p w14:paraId="286F630F" w14:textId="77777777" w:rsidR="004449AB" w:rsidRPr="004449AB" w:rsidRDefault="004449AB" w:rsidP="004449AB">
            <w:pPr>
              <w:spacing w:after="0" w:line="240" w:lineRule="auto"/>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 xml:space="preserve">Caixa Líquido Gerado/(Consumido) pelas Atividades Operacionais </w:t>
            </w:r>
          </w:p>
        </w:tc>
        <w:tc>
          <w:tcPr>
            <w:tcW w:w="60" w:type="pct"/>
            <w:tcBorders>
              <w:top w:val="nil"/>
              <w:left w:val="nil"/>
              <w:bottom w:val="nil"/>
              <w:right w:val="nil"/>
            </w:tcBorders>
            <w:shd w:val="clear" w:color="auto" w:fill="auto"/>
            <w:noWrap/>
            <w:vAlign w:val="bottom"/>
            <w:hideMark/>
          </w:tcPr>
          <w:p w14:paraId="5437EE1F" w14:textId="77777777" w:rsidR="004449AB" w:rsidRPr="004449AB" w:rsidRDefault="004449AB" w:rsidP="004449AB">
            <w:pPr>
              <w:spacing w:after="0" w:line="240" w:lineRule="auto"/>
              <w:rPr>
                <w:rFonts w:ascii="Arial" w:eastAsia="Times New Roman" w:hAnsi="Arial" w:cs="Arial"/>
                <w:b/>
                <w:bCs/>
                <w:kern w:val="0"/>
                <w:sz w:val="16"/>
                <w:szCs w:val="16"/>
                <w:lang w:eastAsia="pt-BR"/>
                <w14:ligatures w14:val="none"/>
              </w:rPr>
            </w:pPr>
          </w:p>
        </w:tc>
        <w:tc>
          <w:tcPr>
            <w:tcW w:w="726" w:type="pct"/>
            <w:tcBorders>
              <w:top w:val="single" w:sz="4" w:space="0" w:color="auto"/>
              <w:left w:val="nil"/>
              <w:bottom w:val="double" w:sz="6" w:space="0" w:color="auto"/>
              <w:right w:val="nil"/>
            </w:tcBorders>
            <w:shd w:val="clear" w:color="auto" w:fill="auto"/>
            <w:noWrap/>
            <w:vAlign w:val="bottom"/>
            <w:hideMark/>
          </w:tcPr>
          <w:p w14:paraId="00B6F388"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 xml:space="preserve">                  162.363 </w:t>
            </w:r>
          </w:p>
        </w:tc>
        <w:tc>
          <w:tcPr>
            <w:tcW w:w="60" w:type="pct"/>
            <w:tcBorders>
              <w:top w:val="nil"/>
              <w:left w:val="nil"/>
              <w:bottom w:val="nil"/>
              <w:right w:val="nil"/>
            </w:tcBorders>
            <w:shd w:val="clear" w:color="auto" w:fill="auto"/>
            <w:noWrap/>
            <w:vAlign w:val="bottom"/>
            <w:hideMark/>
          </w:tcPr>
          <w:p w14:paraId="05A95AD6"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p>
        </w:tc>
        <w:tc>
          <w:tcPr>
            <w:tcW w:w="744" w:type="pct"/>
            <w:tcBorders>
              <w:top w:val="single" w:sz="4" w:space="0" w:color="auto"/>
              <w:left w:val="nil"/>
              <w:bottom w:val="double" w:sz="6" w:space="0" w:color="auto"/>
              <w:right w:val="nil"/>
            </w:tcBorders>
            <w:shd w:val="clear" w:color="auto" w:fill="auto"/>
            <w:noWrap/>
            <w:vAlign w:val="bottom"/>
            <w:hideMark/>
          </w:tcPr>
          <w:p w14:paraId="4D0E8096"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 xml:space="preserve">                    86.514 </w:t>
            </w:r>
          </w:p>
        </w:tc>
        <w:tc>
          <w:tcPr>
            <w:tcW w:w="60" w:type="pct"/>
            <w:tcBorders>
              <w:top w:val="nil"/>
              <w:left w:val="nil"/>
              <w:bottom w:val="nil"/>
              <w:right w:val="nil"/>
            </w:tcBorders>
            <w:shd w:val="clear" w:color="auto" w:fill="auto"/>
            <w:noWrap/>
            <w:vAlign w:val="bottom"/>
            <w:hideMark/>
          </w:tcPr>
          <w:p w14:paraId="4067CC59" w14:textId="77777777" w:rsidR="004449AB" w:rsidRPr="004449AB" w:rsidRDefault="004449AB" w:rsidP="004449AB">
            <w:pPr>
              <w:spacing w:after="0" w:line="240" w:lineRule="auto"/>
              <w:rPr>
                <w:rFonts w:ascii="Arial" w:eastAsia="Times New Roman" w:hAnsi="Arial" w:cs="Arial"/>
                <w:b/>
                <w:bCs/>
                <w:kern w:val="0"/>
                <w:sz w:val="16"/>
                <w:szCs w:val="16"/>
                <w:lang w:eastAsia="pt-BR"/>
                <w14:ligatures w14:val="none"/>
              </w:rPr>
            </w:pPr>
          </w:p>
        </w:tc>
      </w:tr>
      <w:tr w:rsidR="004449AB" w:rsidRPr="004449AB" w14:paraId="62558416" w14:textId="77777777" w:rsidTr="00075425">
        <w:trPr>
          <w:trHeight w:val="198"/>
        </w:trPr>
        <w:tc>
          <w:tcPr>
            <w:tcW w:w="3350" w:type="pct"/>
            <w:tcBorders>
              <w:top w:val="nil"/>
              <w:left w:val="nil"/>
              <w:bottom w:val="nil"/>
              <w:right w:val="nil"/>
            </w:tcBorders>
            <w:shd w:val="clear" w:color="auto" w:fill="auto"/>
            <w:noWrap/>
            <w:vAlign w:val="bottom"/>
            <w:hideMark/>
          </w:tcPr>
          <w:p w14:paraId="3C597699"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c>
          <w:tcPr>
            <w:tcW w:w="60" w:type="pct"/>
            <w:tcBorders>
              <w:top w:val="nil"/>
              <w:left w:val="nil"/>
              <w:bottom w:val="nil"/>
              <w:right w:val="nil"/>
            </w:tcBorders>
            <w:shd w:val="clear" w:color="auto" w:fill="auto"/>
            <w:noWrap/>
            <w:vAlign w:val="bottom"/>
            <w:hideMark/>
          </w:tcPr>
          <w:p w14:paraId="4F27A7BE"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3F5B0DE6"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60" w:type="pct"/>
            <w:tcBorders>
              <w:top w:val="nil"/>
              <w:left w:val="nil"/>
              <w:bottom w:val="nil"/>
              <w:right w:val="nil"/>
            </w:tcBorders>
            <w:shd w:val="clear" w:color="auto" w:fill="auto"/>
            <w:noWrap/>
            <w:vAlign w:val="bottom"/>
            <w:hideMark/>
          </w:tcPr>
          <w:p w14:paraId="2330FD49"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29718CFF"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60" w:type="pct"/>
            <w:tcBorders>
              <w:top w:val="nil"/>
              <w:left w:val="nil"/>
              <w:bottom w:val="nil"/>
              <w:right w:val="nil"/>
            </w:tcBorders>
            <w:shd w:val="clear" w:color="auto" w:fill="auto"/>
            <w:noWrap/>
            <w:vAlign w:val="bottom"/>
            <w:hideMark/>
          </w:tcPr>
          <w:p w14:paraId="043AE450"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r>
      <w:tr w:rsidR="004449AB" w:rsidRPr="004449AB" w14:paraId="6B7C952F" w14:textId="77777777" w:rsidTr="00075425">
        <w:trPr>
          <w:trHeight w:val="198"/>
        </w:trPr>
        <w:tc>
          <w:tcPr>
            <w:tcW w:w="3350" w:type="pct"/>
            <w:tcBorders>
              <w:top w:val="nil"/>
              <w:left w:val="nil"/>
              <w:bottom w:val="nil"/>
              <w:right w:val="nil"/>
            </w:tcBorders>
            <w:shd w:val="clear" w:color="auto" w:fill="auto"/>
            <w:noWrap/>
            <w:vAlign w:val="bottom"/>
            <w:hideMark/>
          </w:tcPr>
          <w:p w14:paraId="05B93496" w14:textId="77777777" w:rsidR="004449AB" w:rsidRPr="004449AB" w:rsidRDefault="004449AB" w:rsidP="004449AB">
            <w:pPr>
              <w:spacing w:after="0" w:line="240" w:lineRule="auto"/>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Fluxos de Caixa das Atividades de Investimento</w:t>
            </w:r>
          </w:p>
        </w:tc>
        <w:tc>
          <w:tcPr>
            <w:tcW w:w="60" w:type="pct"/>
            <w:tcBorders>
              <w:top w:val="nil"/>
              <w:left w:val="nil"/>
              <w:bottom w:val="nil"/>
              <w:right w:val="nil"/>
            </w:tcBorders>
            <w:shd w:val="clear" w:color="auto" w:fill="auto"/>
            <w:noWrap/>
            <w:vAlign w:val="bottom"/>
            <w:hideMark/>
          </w:tcPr>
          <w:p w14:paraId="2D2303E2" w14:textId="77777777" w:rsidR="004449AB" w:rsidRPr="004449AB" w:rsidRDefault="004449AB" w:rsidP="004449AB">
            <w:pPr>
              <w:spacing w:after="0" w:line="240" w:lineRule="auto"/>
              <w:rPr>
                <w:rFonts w:ascii="Arial" w:eastAsia="Times New Roman" w:hAnsi="Arial" w:cs="Arial"/>
                <w:b/>
                <w:bCs/>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3358C114"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60" w:type="pct"/>
            <w:tcBorders>
              <w:top w:val="nil"/>
              <w:left w:val="nil"/>
              <w:bottom w:val="nil"/>
              <w:right w:val="nil"/>
            </w:tcBorders>
            <w:shd w:val="clear" w:color="auto" w:fill="auto"/>
            <w:noWrap/>
            <w:vAlign w:val="bottom"/>
            <w:hideMark/>
          </w:tcPr>
          <w:p w14:paraId="6EF3FD25"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21436F53"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60" w:type="pct"/>
            <w:tcBorders>
              <w:top w:val="nil"/>
              <w:left w:val="nil"/>
              <w:bottom w:val="nil"/>
              <w:right w:val="nil"/>
            </w:tcBorders>
            <w:shd w:val="clear" w:color="auto" w:fill="auto"/>
            <w:noWrap/>
            <w:vAlign w:val="bottom"/>
            <w:hideMark/>
          </w:tcPr>
          <w:p w14:paraId="331298CC"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r>
      <w:tr w:rsidR="004449AB" w:rsidRPr="004449AB" w14:paraId="0B97CE66" w14:textId="77777777" w:rsidTr="00075425">
        <w:trPr>
          <w:trHeight w:val="198"/>
        </w:trPr>
        <w:tc>
          <w:tcPr>
            <w:tcW w:w="3350" w:type="pct"/>
            <w:tcBorders>
              <w:top w:val="nil"/>
              <w:left w:val="nil"/>
              <w:bottom w:val="nil"/>
              <w:right w:val="nil"/>
            </w:tcBorders>
            <w:shd w:val="clear" w:color="auto" w:fill="auto"/>
            <w:noWrap/>
            <w:hideMark/>
          </w:tcPr>
          <w:p w14:paraId="25742C6E"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Aquisição de Imobilizado / Intangível </w:t>
            </w:r>
          </w:p>
        </w:tc>
        <w:tc>
          <w:tcPr>
            <w:tcW w:w="60" w:type="pct"/>
            <w:tcBorders>
              <w:top w:val="nil"/>
              <w:left w:val="nil"/>
              <w:bottom w:val="nil"/>
              <w:right w:val="nil"/>
            </w:tcBorders>
            <w:shd w:val="clear" w:color="auto" w:fill="auto"/>
            <w:noWrap/>
            <w:vAlign w:val="bottom"/>
            <w:hideMark/>
          </w:tcPr>
          <w:p w14:paraId="74D93147"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4B446F46"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(112.976)</w:t>
            </w:r>
          </w:p>
        </w:tc>
        <w:tc>
          <w:tcPr>
            <w:tcW w:w="60" w:type="pct"/>
            <w:tcBorders>
              <w:top w:val="nil"/>
              <w:left w:val="nil"/>
              <w:bottom w:val="nil"/>
              <w:right w:val="nil"/>
            </w:tcBorders>
            <w:shd w:val="clear" w:color="auto" w:fill="auto"/>
            <w:noWrap/>
            <w:vAlign w:val="bottom"/>
            <w:hideMark/>
          </w:tcPr>
          <w:p w14:paraId="1B6D9B49"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56EB049A"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(53.270)</w:t>
            </w:r>
          </w:p>
        </w:tc>
        <w:tc>
          <w:tcPr>
            <w:tcW w:w="60" w:type="pct"/>
            <w:tcBorders>
              <w:top w:val="nil"/>
              <w:left w:val="nil"/>
              <w:bottom w:val="nil"/>
              <w:right w:val="nil"/>
            </w:tcBorders>
            <w:shd w:val="clear" w:color="auto" w:fill="auto"/>
            <w:noWrap/>
            <w:vAlign w:val="bottom"/>
            <w:hideMark/>
          </w:tcPr>
          <w:p w14:paraId="111C73EC" w14:textId="77777777" w:rsidR="004449AB" w:rsidRPr="004449AB" w:rsidRDefault="004449AB" w:rsidP="004449AB">
            <w:pPr>
              <w:spacing w:after="0" w:line="240" w:lineRule="auto"/>
              <w:rPr>
                <w:rFonts w:ascii="Arial" w:eastAsia="Times New Roman" w:hAnsi="Arial" w:cs="Arial"/>
                <w:kern w:val="0"/>
                <w:sz w:val="16"/>
                <w:szCs w:val="16"/>
                <w:lang w:eastAsia="pt-BR"/>
                <w14:ligatures w14:val="none"/>
              </w:rPr>
            </w:pPr>
          </w:p>
        </w:tc>
      </w:tr>
      <w:tr w:rsidR="004449AB" w:rsidRPr="004449AB" w14:paraId="0464671E" w14:textId="77777777" w:rsidTr="00075425">
        <w:trPr>
          <w:trHeight w:val="198"/>
        </w:trPr>
        <w:tc>
          <w:tcPr>
            <w:tcW w:w="3350" w:type="pct"/>
            <w:tcBorders>
              <w:top w:val="nil"/>
              <w:left w:val="nil"/>
              <w:bottom w:val="nil"/>
              <w:right w:val="nil"/>
            </w:tcBorders>
            <w:shd w:val="clear" w:color="auto" w:fill="auto"/>
            <w:noWrap/>
            <w:vAlign w:val="bottom"/>
            <w:hideMark/>
          </w:tcPr>
          <w:p w14:paraId="59D5D23B" w14:textId="77777777" w:rsidR="004449AB" w:rsidRPr="004449AB" w:rsidRDefault="004449AB" w:rsidP="004449AB">
            <w:pPr>
              <w:spacing w:after="0" w:line="240" w:lineRule="auto"/>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 xml:space="preserve">Caixa Líquido Consumido pelas Atividades de Investimento </w:t>
            </w:r>
          </w:p>
        </w:tc>
        <w:tc>
          <w:tcPr>
            <w:tcW w:w="60" w:type="pct"/>
            <w:tcBorders>
              <w:top w:val="nil"/>
              <w:left w:val="nil"/>
              <w:bottom w:val="nil"/>
              <w:right w:val="nil"/>
            </w:tcBorders>
            <w:shd w:val="clear" w:color="auto" w:fill="auto"/>
            <w:noWrap/>
            <w:vAlign w:val="bottom"/>
            <w:hideMark/>
          </w:tcPr>
          <w:p w14:paraId="7AEEFD98" w14:textId="77777777" w:rsidR="004449AB" w:rsidRPr="004449AB" w:rsidRDefault="004449AB" w:rsidP="004449AB">
            <w:pPr>
              <w:spacing w:after="0" w:line="240" w:lineRule="auto"/>
              <w:rPr>
                <w:rFonts w:ascii="Arial" w:eastAsia="Times New Roman" w:hAnsi="Arial" w:cs="Arial"/>
                <w:b/>
                <w:bCs/>
                <w:kern w:val="0"/>
                <w:sz w:val="16"/>
                <w:szCs w:val="16"/>
                <w:lang w:eastAsia="pt-BR"/>
                <w14:ligatures w14:val="none"/>
              </w:rPr>
            </w:pPr>
          </w:p>
        </w:tc>
        <w:tc>
          <w:tcPr>
            <w:tcW w:w="726" w:type="pct"/>
            <w:tcBorders>
              <w:top w:val="single" w:sz="4" w:space="0" w:color="auto"/>
              <w:left w:val="nil"/>
              <w:bottom w:val="double" w:sz="6" w:space="0" w:color="auto"/>
              <w:right w:val="nil"/>
            </w:tcBorders>
            <w:shd w:val="clear" w:color="auto" w:fill="auto"/>
            <w:noWrap/>
            <w:vAlign w:val="bottom"/>
            <w:hideMark/>
          </w:tcPr>
          <w:p w14:paraId="3D839A18"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 xml:space="preserve">                (112.976)</w:t>
            </w:r>
          </w:p>
        </w:tc>
        <w:tc>
          <w:tcPr>
            <w:tcW w:w="60" w:type="pct"/>
            <w:tcBorders>
              <w:top w:val="nil"/>
              <w:left w:val="nil"/>
              <w:bottom w:val="nil"/>
              <w:right w:val="nil"/>
            </w:tcBorders>
            <w:shd w:val="clear" w:color="auto" w:fill="auto"/>
            <w:noWrap/>
            <w:vAlign w:val="bottom"/>
            <w:hideMark/>
          </w:tcPr>
          <w:p w14:paraId="7CBB5784"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p>
        </w:tc>
        <w:tc>
          <w:tcPr>
            <w:tcW w:w="744" w:type="pct"/>
            <w:tcBorders>
              <w:top w:val="single" w:sz="4" w:space="0" w:color="auto"/>
              <w:left w:val="nil"/>
              <w:bottom w:val="double" w:sz="6" w:space="0" w:color="auto"/>
              <w:right w:val="nil"/>
            </w:tcBorders>
            <w:shd w:val="clear" w:color="auto" w:fill="auto"/>
            <w:noWrap/>
            <w:vAlign w:val="bottom"/>
            <w:hideMark/>
          </w:tcPr>
          <w:p w14:paraId="3A196A20"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 xml:space="preserve">                  (53.270)</w:t>
            </w:r>
          </w:p>
        </w:tc>
        <w:tc>
          <w:tcPr>
            <w:tcW w:w="60" w:type="pct"/>
            <w:tcBorders>
              <w:top w:val="nil"/>
              <w:left w:val="nil"/>
              <w:bottom w:val="nil"/>
              <w:right w:val="nil"/>
            </w:tcBorders>
            <w:shd w:val="clear" w:color="auto" w:fill="auto"/>
            <w:noWrap/>
            <w:vAlign w:val="bottom"/>
            <w:hideMark/>
          </w:tcPr>
          <w:p w14:paraId="7C091B2C" w14:textId="77777777" w:rsidR="004449AB" w:rsidRPr="004449AB" w:rsidRDefault="004449AB" w:rsidP="004449AB">
            <w:pPr>
              <w:spacing w:after="0" w:line="240" w:lineRule="auto"/>
              <w:rPr>
                <w:rFonts w:ascii="Arial" w:eastAsia="Times New Roman" w:hAnsi="Arial" w:cs="Arial"/>
                <w:b/>
                <w:bCs/>
                <w:kern w:val="0"/>
                <w:sz w:val="16"/>
                <w:szCs w:val="16"/>
                <w:lang w:eastAsia="pt-BR"/>
                <w14:ligatures w14:val="none"/>
              </w:rPr>
            </w:pPr>
          </w:p>
        </w:tc>
      </w:tr>
      <w:tr w:rsidR="004449AB" w:rsidRPr="004449AB" w14:paraId="2890C007" w14:textId="77777777" w:rsidTr="00075425">
        <w:trPr>
          <w:trHeight w:val="198"/>
        </w:trPr>
        <w:tc>
          <w:tcPr>
            <w:tcW w:w="3350" w:type="pct"/>
            <w:tcBorders>
              <w:top w:val="nil"/>
              <w:left w:val="nil"/>
              <w:bottom w:val="nil"/>
              <w:right w:val="nil"/>
            </w:tcBorders>
            <w:shd w:val="clear" w:color="auto" w:fill="auto"/>
            <w:noWrap/>
            <w:vAlign w:val="bottom"/>
            <w:hideMark/>
          </w:tcPr>
          <w:p w14:paraId="1AD48E64"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c>
          <w:tcPr>
            <w:tcW w:w="60" w:type="pct"/>
            <w:tcBorders>
              <w:top w:val="nil"/>
              <w:left w:val="nil"/>
              <w:bottom w:val="nil"/>
              <w:right w:val="nil"/>
            </w:tcBorders>
            <w:shd w:val="clear" w:color="auto" w:fill="auto"/>
            <w:noWrap/>
            <w:vAlign w:val="bottom"/>
            <w:hideMark/>
          </w:tcPr>
          <w:p w14:paraId="67675769"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0291431F"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60" w:type="pct"/>
            <w:tcBorders>
              <w:top w:val="nil"/>
              <w:left w:val="nil"/>
              <w:bottom w:val="nil"/>
              <w:right w:val="nil"/>
            </w:tcBorders>
            <w:shd w:val="clear" w:color="auto" w:fill="auto"/>
            <w:noWrap/>
            <w:vAlign w:val="bottom"/>
            <w:hideMark/>
          </w:tcPr>
          <w:p w14:paraId="19C8A5ED"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41922847"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60" w:type="pct"/>
            <w:tcBorders>
              <w:top w:val="nil"/>
              <w:left w:val="nil"/>
              <w:bottom w:val="nil"/>
              <w:right w:val="nil"/>
            </w:tcBorders>
            <w:shd w:val="clear" w:color="auto" w:fill="auto"/>
            <w:noWrap/>
            <w:vAlign w:val="bottom"/>
            <w:hideMark/>
          </w:tcPr>
          <w:p w14:paraId="1F1FF899"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r>
      <w:tr w:rsidR="004449AB" w:rsidRPr="004449AB" w14:paraId="0D691EB1" w14:textId="77777777" w:rsidTr="00075425">
        <w:trPr>
          <w:trHeight w:val="198"/>
        </w:trPr>
        <w:tc>
          <w:tcPr>
            <w:tcW w:w="3350" w:type="pct"/>
            <w:tcBorders>
              <w:top w:val="nil"/>
              <w:left w:val="nil"/>
              <w:bottom w:val="nil"/>
              <w:right w:val="nil"/>
            </w:tcBorders>
            <w:shd w:val="clear" w:color="auto" w:fill="auto"/>
            <w:noWrap/>
            <w:vAlign w:val="bottom"/>
            <w:hideMark/>
          </w:tcPr>
          <w:p w14:paraId="54239A18" w14:textId="77777777" w:rsidR="004449AB" w:rsidRPr="004449AB" w:rsidRDefault="004449AB" w:rsidP="004449AB">
            <w:pPr>
              <w:spacing w:after="0" w:line="240" w:lineRule="auto"/>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Fluxos de Caixa das Atividades de Financiamento</w:t>
            </w:r>
          </w:p>
        </w:tc>
        <w:tc>
          <w:tcPr>
            <w:tcW w:w="60" w:type="pct"/>
            <w:tcBorders>
              <w:top w:val="nil"/>
              <w:left w:val="nil"/>
              <w:bottom w:val="nil"/>
              <w:right w:val="nil"/>
            </w:tcBorders>
            <w:shd w:val="clear" w:color="auto" w:fill="auto"/>
            <w:noWrap/>
            <w:vAlign w:val="bottom"/>
            <w:hideMark/>
          </w:tcPr>
          <w:p w14:paraId="74DB647B" w14:textId="77777777" w:rsidR="004449AB" w:rsidRPr="004449AB" w:rsidRDefault="004449AB" w:rsidP="004449AB">
            <w:pPr>
              <w:spacing w:after="0" w:line="240" w:lineRule="auto"/>
              <w:rPr>
                <w:rFonts w:ascii="Arial" w:eastAsia="Times New Roman" w:hAnsi="Arial" w:cs="Arial"/>
                <w:b/>
                <w:bCs/>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1FAAB3C1"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60" w:type="pct"/>
            <w:tcBorders>
              <w:top w:val="nil"/>
              <w:left w:val="nil"/>
              <w:bottom w:val="nil"/>
              <w:right w:val="nil"/>
            </w:tcBorders>
            <w:shd w:val="clear" w:color="auto" w:fill="auto"/>
            <w:noWrap/>
            <w:vAlign w:val="bottom"/>
            <w:hideMark/>
          </w:tcPr>
          <w:p w14:paraId="72BEAA55"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17997A10"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60" w:type="pct"/>
            <w:tcBorders>
              <w:top w:val="nil"/>
              <w:left w:val="nil"/>
              <w:bottom w:val="nil"/>
              <w:right w:val="nil"/>
            </w:tcBorders>
            <w:shd w:val="clear" w:color="auto" w:fill="auto"/>
            <w:noWrap/>
            <w:vAlign w:val="bottom"/>
            <w:hideMark/>
          </w:tcPr>
          <w:p w14:paraId="75EC82F6"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r>
      <w:tr w:rsidR="004449AB" w:rsidRPr="004449AB" w14:paraId="5DCFD689" w14:textId="77777777" w:rsidTr="00075425">
        <w:trPr>
          <w:trHeight w:val="198"/>
        </w:trPr>
        <w:tc>
          <w:tcPr>
            <w:tcW w:w="3350" w:type="pct"/>
            <w:tcBorders>
              <w:top w:val="nil"/>
              <w:left w:val="nil"/>
              <w:bottom w:val="nil"/>
              <w:right w:val="nil"/>
            </w:tcBorders>
            <w:shd w:val="clear" w:color="auto" w:fill="auto"/>
            <w:noWrap/>
            <w:hideMark/>
          </w:tcPr>
          <w:p w14:paraId="14CB2194"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Pagamento de Principal - Arrendamento Mercantil Financeiro </w:t>
            </w:r>
          </w:p>
        </w:tc>
        <w:tc>
          <w:tcPr>
            <w:tcW w:w="60" w:type="pct"/>
            <w:tcBorders>
              <w:top w:val="nil"/>
              <w:left w:val="nil"/>
              <w:bottom w:val="nil"/>
              <w:right w:val="nil"/>
            </w:tcBorders>
            <w:shd w:val="clear" w:color="auto" w:fill="auto"/>
            <w:noWrap/>
            <w:vAlign w:val="bottom"/>
            <w:hideMark/>
          </w:tcPr>
          <w:p w14:paraId="4FD3E3DC"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0ED95880"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(5.210)</w:t>
            </w:r>
          </w:p>
        </w:tc>
        <w:tc>
          <w:tcPr>
            <w:tcW w:w="60" w:type="pct"/>
            <w:tcBorders>
              <w:top w:val="nil"/>
              <w:left w:val="nil"/>
              <w:bottom w:val="nil"/>
              <w:right w:val="nil"/>
            </w:tcBorders>
            <w:shd w:val="clear" w:color="auto" w:fill="auto"/>
            <w:noWrap/>
            <w:vAlign w:val="bottom"/>
            <w:hideMark/>
          </w:tcPr>
          <w:p w14:paraId="4324D75A"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77668204"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(4.832)</w:t>
            </w:r>
          </w:p>
        </w:tc>
        <w:tc>
          <w:tcPr>
            <w:tcW w:w="60" w:type="pct"/>
            <w:tcBorders>
              <w:top w:val="nil"/>
              <w:left w:val="nil"/>
              <w:bottom w:val="nil"/>
              <w:right w:val="nil"/>
            </w:tcBorders>
            <w:shd w:val="clear" w:color="auto" w:fill="auto"/>
            <w:noWrap/>
            <w:vAlign w:val="bottom"/>
            <w:hideMark/>
          </w:tcPr>
          <w:p w14:paraId="3296C9FE" w14:textId="77777777" w:rsidR="004449AB" w:rsidRPr="004449AB" w:rsidRDefault="004449AB" w:rsidP="004449AB">
            <w:pPr>
              <w:spacing w:after="0" w:line="240" w:lineRule="auto"/>
              <w:rPr>
                <w:rFonts w:ascii="Arial" w:eastAsia="Times New Roman" w:hAnsi="Arial" w:cs="Arial"/>
                <w:kern w:val="0"/>
                <w:sz w:val="16"/>
                <w:szCs w:val="16"/>
                <w:lang w:eastAsia="pt-BR"/>
                <w14:ligatures w14:val="none"/>
              </w:rPr>
            </w:pPr>
          </w:p>
        </w:tc>
      </w:tr>
      <w:tr w:rsidR="004449AB" w:rsidRPr="004449AB" w14:paraId="3E332F02" w14:textId="77777777" w:rsidTr="00075425">
        <w:trPr>
          <w:trHeight w:val="198"/>
        </w:trPr>
        <w:tc>
          <w:tcPr>
            <w:tcW w:w="3350" w:type="pct"/>
            <w:tcBorders>
              <w:top w:val="nil"/>
              <w:left w:val="nil"/>
              <w:bottom w:val="nil"/>
              <w:right w:val="nil"/>
            </w:tcBorders>
            <w:shd w:val="clear" w:color="auto" w:fill="auto"/>
            <w:noWrap/>
            <w:hideMark/>
          </w:tcPr>
          <w:p w14:paraId="096627A1"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Pagamento de Principal de Acordos Judiciais </w:t>
            </w:r>
          </w:p>
        </w:tc>
        <w:tc>
          <w:tcPr>
            <w:tcW w:w="60" w:type="pct"/>
            <w:tcBorders>
              <w:top w:val="nil"/>
              <w:left w:val="nil"/>
              <w:bottom w:val="nil"/>
              <w:right w:val="nil"/>
            </w:tcBorders>
            <w:shd w:val="clear" w:color="auto" w:fill="auto"/>
            <w:noWrap/>
            <w:vAlign w:val="bottom"/>
            <w:hideMark/>
          </w:tcPr>
          <w:p w14:paraId="2F0B0782"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552BCCA8"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(21.828)</w:t>
            </w:r>
          </w:p>
        </w:tc>
        <w:tc>
          <w:tcPr>
            <w:tcW w:w="60" w:type="pct"/>
            <w:tcBorders>
              <w:top w:val="nil"/>
              <w:left w:val="nil"/>
              <w:bottom w:val="nil"/>
              <w:right w:val="nil"/>
            </w:tcBorders>
            <w:shd w:val="clear" w:color="auto" w:fill="auto"/>
            <w:noWrap/>
            <w:vAlign w:val="bottom"/>
            <w:hideMark/>
          </w:tcPr>
          <w:p w14:paraId="0C573F59"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0A25E58B"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(16.199)</w:t>
            </w:r>
          </w:p>
        </w:tc>
        <w:tc>
          <w:tcPr>
            <w:tcW w:w="60" w:type="pct"/>
            <w:tcBorders>
              <w:top w:val="nil"/>
              <w:left w:val="nil"/>
              <w:bottom w:val="nil"/>
              <w:right w:val="nil"/>
            </w:tcBorders>
            <w:shd w:val="clear" w:color="auto" w:fill="auto"/>
            <w:noWrap/>
            <w:vAlign w:val="bottom"/>
            <w:hideMark/>
          </w:tcPr>
          <w:p w14:paraId="6AE3BF6A" w14:textId="77777777" w:rsidR="004449AB" w:rsidRPr="004449AB" w:rsidRDefault="004449AB" w:rsidP="004449AB">
            <w:pPr>
              <w:spacing w:after="0" w:line="240" w:lineRule="auto"/>
              <w:rPr>
                <w:rFonts w:ascii="Arial" w:eastAsia="Times New Roman" w:hAnsi="Arial" w:cs="Arial"/>
                <w:kern w:val="0"/>
                <w:sz w:val="16"/>
                <w:szCs w:val="16"/>
                <w:lang w:eastAsia="pt-BR"/>
                <w14:ligatures w14:val="none"/>
              </w:rPr>
            </w:pPr>
          </w:p>
        </w:tc>
      </w:tr>
      <w:tr w:rsidR="004449AB" w:rsidRPr="004449AB" w14:paraId="701A63A2" w14:textId="77777777" w:rsidTr="00075425">
        <w:trPr>
          <w:trHeight w:val="198"/>
        </w:trPr>
        <w:tc>
          <w:tcPr>
            <w:tcW w:w="3350" w:type="pct"/>
            <w:tcBorders>
              <w:top w:val="nil"/>
              <w:left w:val="nil"/>
              <w:bottom w:val="nil"/>
              <w:right w:val="nil"/>
            </w:tcBorders>
            <w:shd w:val="clear" w:color="auto" w:fill="auto"/>
            <w:noWrap/>
            <w:hideMark/>
          </w:tcPr>
          <w:p w14:paraId="4C9F2FF9"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Pagamentos - Financiamento - Finep - Principal </w:t>
            </w:r>
          </w:p>
        </w:tc>
        <w:tc>
          <w:tcPr>
            <w:tcW w:w="60" w:type="pct"/>
            <w:tcBorders>
              <w:top w:val="nil"/>
              <w:left w:val="nil"/>
              <w:bottom w:val="nil"/>
              <w:right w:val="nil"/>
            </w:tcBorders>
            <w:shd w:val="clear" w:color="auto" w:fill="auto"/>
            <w:noWrap/>
            <w:vAlign w:val="bottom"/>
            <w:hideMark/>
          </w:tcPr>
          <w:p w14:paraId="120051E8"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3152DAB8"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(46.008)</w:t>
            </w:r>
          </w:p>
        </w:tc>
        <w:tc>
          <w:tcPr>
            <w:tcW w:w="60" w:type="pct"/>
            <w:tcBorders>
              <w:top w:val="nil"/>
              <w:left w:val="nil"/>
              <w:bottom w:val="nil"/>
              <w:right w:val="nil"/>
            </w:tcBorders>
            <w:shd w:val="clear" w:color="auto" w:fill="auto"/>
            <w:noWrap/>
            <w:vAlign w:val="bottom"/>
            <w:hideMark/>
          </w:tcPr>
          <w:p w14:paraId="529D897A"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00AFF5D9"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(50.400)</w:t>
            </w:r>
          </w:p>
        </w:tc>
        <w:tc>
          <w:tcPr>
            <w:tcW w:w="60" w:type="pct"/>
            <w:tcBorders>
              <w:top w:val="nil"/>
              <w:left w:val="nil"/>
              <w:bottom w:val="nil"/>
              <w:right w:val="nil"/>
            </w:tcBorders>
            <w:shd w:val="clear" w:color="auto" w:fill="auto"/>
            <w:noWrap/>
            <w:vAlign w:val="bottom"/>
            <w:hideMark/>
          </w:tcPr>
          <w:p w14:paraId="79774837" w14:textId="77777777" w:rsidR="004449AB" w:rsidRPr="004449AB" w:rsidRDefault="004449AB" w:rsidP="004449AB">
            <w:pPr>
              <w:spacing w:after="0" w:line="240" w:lineRule="auto"/>
              <w:rPr>
                <w:rFonts w:ascii="Arial" w:eastAsia="Times New Roman" w:hAnsi="Arial" w:cs="Arial"/>
                <w:kern w:val="0"/>
                <w:sz w:val="16"/>
                <w:szCs w:val="16"/>
                <w:lang w:eastAsia="pt-BR"/>
                <w14:ligatures w14:val="none"/>
              </w:rPr>
            </w:pPr>
          </w:p>
        </w:tc>
      </w:tr>
      <w:tr w:rsidR="004449AB" w:rsidRPr="004449AB" w14:paraId="2604B3BA" w14:textId="77777777" w:rsidTr="00075425">
        <w:trPr>
          <w:trHeight w:val="198"/>
        </w:trPr>
        <w:tc>
          <w:tcPr>
            <w:tcW w:w="3350" w:type="pct"/>
            <w:tcBorders>
              <w:top w:val="nil"/>
              <w:left w:val="nil"/>
              <w:bottom w:val="nil"/>
              <w:right w:val="nil"/>
            </w:tcBorders>
            <w:shd w:val="clear" w:color="auto" w:fill="auto"/>
            <w:noWrap/>
            <w:hideMark/>
          </w:tcPr>
          <w:p w14:paraId="3F6D3AC2"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Recebimento Parcela - Superávit Previdência Privada </w:t>
            </w:r>
          </w:p>
        </w:tc>
        <w:tc>
          <w:tcPr>
            <w:tcW w:w="60" w:type="pct"/>
            <w:tcBorders>
              <w:top w:val="nil"/>
              <w:left w:val="nil"/>
              <w:bottom w:val="nil"/>
              <w:right w:val="nil"/>
            </w:tcBorders>
            <w:shd w:val="clear" w:color="auto" w:fill="auto"/>
            <w:noWrap/>
            <w:vAlign w:val="bottom"/>
            <w:hideMark/>
          </w:tcPr>
          <w:p w14:paraId="5C73F686"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67C5488C"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7.354 </w:t>
            </w:r>
          </w:p>
        </w:tc>
        <w:tc>
          <w:tcPr>
            <w:tcW w:w="60" w:type="pct"/>
            <w:tcBorders>
              <w:top w:val="nil"/>
              <w:left w:val="nil"/>
              <w:bottom w:val="nil"/>
              <w:right w:val="nil"/>
            </w:tcBorders>
            <w:shd w:val="clear" w:color="auto" w:fill="auto"/>
            <w:noWrap/>
            <w:vAlign w:val="bottom"/>
            <w:hideMark/>
          </w:tcPr>
          <w:p w14:paraId="167D02D8"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54E2E618"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87.098 </w:t>
            </w:r>
          </w:p>
        </w:tc>
        <w:tc>
          <w:tcPr>
            <w:tcW w:w="60" w:type="pct"/>
            <w:tcBorders>
              <w:top w:val="nil"/>
              <w:left w:val="nil"/>
              <w:bottom w:val="nil"/>
              <w:right w:val="nil"/>
            </w:tcBorders>
            <w:shd w:val="clear" w:color="auto" w:fill="auto"/>
            <w:noWrap/>
            <w:vAlign w:val="bottom"/>
            <w:hideMark/>
          </w:tcPr>
          <w:p w14:paraId="1FA20774" w14:textId="77777777" w:rsidR="004449AB" w:rsidRPr="004449AB" w:rsidRDefault="004449AB" w:rsidP="004449AB">
            <w:pPr>
              <w:spacing w:after="0" w:line="240" w:lineRule="auto"/>
              <w:rPr>
                <w:rFonts w:ascii="Arial" w:eastAsia="Times New Roman" w:hAnsi="Arial" w:cs="Arial"/>
                <w:kern w:val="0"/>
                <w:sz w:val="16"/>
                <w:szCs w:val="16"/>
                <w:lang w:eastAsia="pt-BR"/>
                <w14:ligatures w14:val="none"/>
              </w:rPr>
            </w:pPr>
          </w:p>
        </w:tc>
      </w:tr>
      <w:tr w:rsidR="004449AB" w:rsidRPr="004449AB" w14:paraId="477F5BC2" w14:textId="77777777" w:rsidTr="00075425">
        <w:trPr>
          <w:trHeight w:val="198"/>
        </w:trPr>
        <w:tc>
          <w:tcPr>
            <w:tcW w:w="3350" w:type="pct"/>
            <w:tcBorders>
              <w:top w:val="nil"/>
              <w:left w:val="nil"/>
              <w:bottom w:val="nil"/>
              <w:right w:val="nil"/>
            </w:tcBorders>
            <w:shd w:val="clear" w:color="auto" w:fill="auto"/>
            <w:noWrap/>
            <w:hideMark/>
          </w:tcPr>
          <w:p w14:paraId="1D6F9E18"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Recebimento de Adiantamento p/ Futuro Aumento de Capital </w:t>
            </w:r>
          </w:p>
        </w:tc>
        <w:tc>
          <w:tcPr>
            <w:tcW w:w="60" w:type="pct"/>
            <w:tcBorders>
              <w:top w:val="nil"/>
              <w:left w:val="nil"/>
              <w:bottom w:val="nil"/>
              <w:right w:val="nil"/>
            </w:tcBorders>
            <w:shd w:val="clear" w:color="auto" w:fill="auto"/>
            <w:noWrap/>
            <w:vAlign w:val="bottom"/>
            <w:hideMark/>
          </w:tcPr>
          <w:p w14:paraId="5E10C90C"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44FDB264"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44.406</w:t>
            </w:r>
          </w:p>
        </w:tc>
        <w:tc>
          <w:tcPr>
            <w:tcW w:w="60" w:type="pct"/>
            <w:tcBorders>
              <w:top w:val="nil"/>
              <w:left w:val="nil"/>
              <w:bottom w:val="nil"/>
              <w:right w:val="nil"/>
            </w:tcBorders>
            <w:shd w:val="clear" w:color="auto" w:fill="auto"/>
            <w:noWrap/>
            <w:vAlign w:val="bottom"/>
            <w:hideMark/>
          </w:tcPr>
          <w:p w14:paraId="53B188C8"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5CD9546B"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30.861 </w:t>
            </w:r>
          </w:p>
        </w:tc>
        <w:tc>
          <w:tcPr>
            <w:tcW w:w="60" w:type="pct"/>
            <w:tcBorders>
              <w:top w:val="nil"/>
              <w:left w:val="nil"/>
              <w:bottom w:val="nil"/>
              <w:right w:val="nil"/>
            </w:tcBorders>
            <w:shd w:val="clear" w:color="auto" w:fill="auto"/>
            <w:noWrap/>
            <w:vAlign w:val="bottom"/>
            <w:hideMark/>
          </w:tcPr>
          <w:p w14:paraId="18887F11" w14:textId="77777777" w:rsidR="004449AB" w:rsidRPr="004449AB" w:rsidRDefault="004449AB" w:rsidP="004449AB">
            <w:pPr>
              <w:spacing w:after="0" w:line="240" w:lineRule="auto"/>
              <w:rPr>
                <w:rFonts w:ascii="Arial" w:eastAsia="Times New Roman" w:hAnsi="Arial" w:cs="Arial"/>
                <w:kern w:val="0"/>
                <w:sz w:val="16"/>
                <w:szCs w:val="16"/>
                <w:lang w:eastAsia="pt-BR"/>
                <w14:ligatures w14:val="none"/>
              </w:rPr>
            </w:pPr>
          </w:p>
        </w:tc>
      </w:tr>
      <w:tr w:rsidR="004449AB" w:rsidRPr="004449AB" w14:paraId="265380B3" w14:textId="77777777" w:rsidTr="00075425">
        <w:trPr>
          <w:trHeight w:val="198"/>
        </w:trPr>
        <w:tc>
          <w:tcPr>
            <w:tcW w:w="3350" w:type="pct"/>
            <w:tcBorders>
              <w:top w:val="nil"/>
              <w:left w:val="nil"/>
              <w:bottom w:val="nil"/>
              <w:right w:val="nil"/>
            </w:tcBorders>
            <w:shd w:val="clear" w:color="auto" w:fill="auto"/>
            <w:noWrap/>
            <w:vAlign w:val="bottom"/>
            <w:hideMark/>
          </w:tcPr>
          <w:p w14:paraId="7BEFFE3C" w14:textId="77777777" w:rsidR="004449AB" w:rsidRPr="004449AB" w:rsidRDefault="004449AB" w:rsidP="004449AB">
            <w:pPr>
              <w:spacing w:after="0" w:line="240" w:lineRule="auto"/>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Caixa Líquido Gerado pelas Atividades de Financiamento</w:t>
            </w:r>
          </w:p>
        </w:tc>
        <w:tc>
          <w:tcPr>
            <w:tcW w:w="60" w:type="pct"/>
            <w:tcBorders>
              <w:top w:val="nil"/>
              <w:left w:val="nil"/>
              <w:bottom w:val="nil"/>
              <w:right w:val="nil"/>
            </w:tcBorders>
            <w:shd w:val="clear" w:color="auto" w:fill="auto"/>
            <w:noWrap/>
            <w:vAlign w:val="bottom"/>
            <w:hideMark/>
          </w:tcPr>
          <w:p w14:paraId="40F93F0E" w14:textId="77777777" w:rsidR="004449AB" w:rsidRPr="004449AB" w:rsidRDefault="004449AB" w:rsidP="004449AB">
            <w:pPr>
              <w:spacing w:after="0" w:line="240" w:lineRule="auto"/>
              <w:rPr>
                <w:rFonts w:ascii="Arial" w:eastAsia="Times New Roman" w:hAnsi="Arial" w:cs="Arial"/>
                <w:b/>
                <w:bCs/>
                <w:kern w:val="0"/>
                <w:sz w:val="16"/>
                <w:szCs w:val="16"/>
                <w:lang w:eastAsia="pt-BR"/>
                <w14:ligatures w14:val="none"/>
              </w:rPr>
            </w:pPr>
          </w:p>
        </w:tc>
        <w:tc>
          <w:tcPr>
            <w:tcW w:w="726" w:type="pct"/>
            <w:tcBorders>
              <w:top w:val="single" w:sz="4" w:space="0" w:color="auto"/>
              <w:left w:val="nil"/>
              <w:bottom w:val="double" w:sz="6" w:space="0" w:color="auto"/>
              <w:right w:val="nil"/>
            </w:tcBorders>
            <w:shd w:val="clear" w:color="auto" w:fill="auto"/>
            <w:noWrap/>
            <w:vAlign w:val="bottom"/>
            <w:hideMark/>
          </w:tcPr>
          <w:p w14:paraId="34F4CE49"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 xml:space="preserve">                  (21.286)</w:t>
            </w:r>
          </w:p>
        </w:tc>
        <w:tc>
          <w:tcPr>
            <w:tcW w:w="60" w:type="pct"/>
            <w:tcBorders>
              <w:top w:val="nil"/>
              <w:left w:val="nil"/>
              <w:bottom w:val="nil"/>
              <w:right w:val="nil"/>
            </w:tcBorders>
            <w:shd w:val="clear" w:color="auto" w:fill="auto"/>
            <w:noWrap/>
            <w:vAlign w:val="bottom"/>
            <w:hideMark/>
          </w:tcPr>
          <w:p w14:paraId="2E9A83F6"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p>
        </w:tc>
        <w:tc>
          <w:tcPr>
            <w:tcW w:w="744" w:type="pct"/>
            <w:tcBorders>
              <w:top w:val="single" w:sz="4" w:space="0" w:color="auto"/>
              <w:left w:val="nil"/>
              <w:bottom w:val="double" w:sz="6" w:space="0" w:color="auto"/>
              <w:right w:val="nil"/>
            </w:tcBorders>
            <w:shd w:val="clear" w:color="auto" w:fill="auto"/>
            <w:noWrap/>
            <w:vAlign w:val="bottom"/>
            <w:hideMark/>
          </w:tcPr>
          <w:p w14:paraId="78C54C1B"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 xml:space="preserve">                    46.528 </w:t>
            </w:r>
          </w:p>
        </w:tc>
        <w:tc>
          <w:tcPr>
            <w:tcW w:w="60" w:type="pct"/>
            <w:tcBorders>
              <w:top w:val="nil"/>
              <w:left w:val="nil"/>
              <w:bottom w:val="nil"/>
              <w:right w:val="nil"/>
            </w:tcBorders>
            <w:shd w:val="clear" w:color="auto" w:fill="auto"/>
            <w:noWrap/>
            <w:vAlign w:val="bottom"/>
            <w:hideMark/>
          </w:tcPr>
          <w:p w14:paraId="44059C8C" w14:textId="77777777" w:rsidR="004449AB" w:rsidRPr="004449AB" w:rsidRDefault="004449AB" w:rsidP="004449AB">
            <w:pPr>
              <w:spacing w:after="0" w:line="240" w:lineRule="auto"/>
              <w:rPr>
                <w:rFonts w:ascii="Arial" w:eastAsia="Times New Roman" w:hAnsi="Arial" w:cs="Arial"/>
                <w:b/>
                <w:bCs/>
                <w:kern w:val="0"/>
                <w:sz w:val="16"/>
                <w:szCs w:val="16"/>
                <w:lang w:eastAsia="pt-BR"/>
                <w14:ligatures w14:val="none"/>
              </w:rPr>
            </w:pPr>
          </w:p>
        </w:tc>
      </w:tr>
      <w:tr w:rsidR="004449AB" w:rsidRPr="004449AB" w14:paraId="4EA1D075" w14:textId="77777777" w:rsidTr="00075425">
        <w:trPr>
          <w:trHeight w:val="198"/>
        </w:trPr>
        <w:tc>
          <w:tcPr>
            <w:tcW w:w="3350" w:type="pct"/>
            <w:tcBorders>
              <w:top w:val="nil"/>
              <w:left w:val="nil"/>
              <w:bottom w:val="nil"/>
              <w:right w:val="nil"/>
            </w:tcBorders>
            <w:shd w:val="clear" w:color="auto" w:fill="auto"/>
            <w:noWrap/>
            <w:vAlign w:val="bottom"/>
            <w:hideMark/>
          </w:tcPr>
          <w:p w14:paraId="6C7D24B2"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60" w:type="pct"/>
            <w:tcBorders>
              <w:top w:val="nil"/>
              <w:left w:val="nil"/>
              <w:bottom w:val="nil"/>
              <w:right w:val="nil"/>
            </w:tcBorders>
            <w:shd w:val="clear" w:color="auto" w:fill="auto"/>
            <w:noWrap/>
            <w:vAlign w:val="bottom"/>
            <w:hideMark/>
          </w:tcPr>
          <w:p w14:paraId="17F5C06B"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49E3972C"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60" w:type="pct"/>
            <w:tcBorders>
              <w:top w:val="nil"/>
              <w:left w:val="nil"/>
              <w:bottom w:val="nil"/>
              <w:right w:val="nil"/>
            </w:tcBorders>
            <w:shd w:val="clear" w:color="auto" w:fill="auto"/>
            <w:noWrap/>
            <w:vAlign w:val="bottom"/>
            <w:hideMark/>
          </w:tcPr>
          <w:p w14:paraId="3B2B45B5"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061DF89D"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60" w:type="pct"/>
            <w:tcBorders>
              <w:top w:val="nil"/>
              <w:left w:val="nil"/>
              <w:bottom w:val="nil"/>
              <w:right w:val="nil"/>
            </w:tcBorders>
            <w:shd w:val="clear" w:color="auto" w:fill="auto"/>
            <w:noWrap/>
            <w:vAlign w:val="bottom"/>
            <w:hideMark/>
          </w:tcPr>
          <w:p w14:paraId="46D759EE"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r>
      <w:tr w:rsidR="004449AB" w:rsidRPr="004449AB" w14:paraId="250166F7" w14:textId="77777777" w:rsidTr="00075425">
        <w:trPr>
          <w:trHeight w:val="198"/>
        </w:trPr>
        <w:tc>
          <w:tcPr>
            <w:tcW w:w="3350" w:type="pct"/>
            <w:tcBorders>
              <w:top w:val="nil"/>
              <w:left w:val="nil"/>
              <w:bottom w:val="nil"/>
              <w:right w:val="nil"/>
            </w:tcBorders>
            <w:shd w:val="clear" w:color="auto" w:fill="auto"/>
            <w:noWrap/>
            <w:vAlign w:val="bottom"/>
            <w:hideMark/>
          </w:tcPr>
          <w:p w14:paraId="30C6FFE8" w14:textId="77777777" w:rsidR="004449AB" w:rsidRPr="004449AB" w:rsidRDefault="004449AB" w:rsidP="004449AB">
            <w:pPr>
              <w:spacing w:after="0" w:line="240" w:lineRule="auto"/>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Variação Líquida de Caixa e Equivalentes de Caixa</w:t>
            </w:r>
          </w:p>
        </w:tc>
        <w:tc>
          <w:tcPr>
            <w:tcW w:w="60" w:type="pct"/>
            <w:tcBorders>
              <w:top w:val="nil"/>
              <w:left w:val="nil"/>
              <w:bottom w:val="nil"/>
              <w:right w:val="nil"/>
            </w:tcBorders>
            <w:shd w:val="clear" w:color="auto" w:fill="auto"/>
            <w:noWrap/>
            <w:vAlign w:val="bottom"/>
            <w:hideMark/>
          </w:tcPr>
          <w:p w14:paraId="5D54343B" w14:textId="77777777" w:rsidR="004449AB" w:rsidRPr="004449AB" w:rsidRDefault="004449AB" w:rsidP="004449AB">
            <w:pPr>
              <w:spacing w:after="0" w:line="240" w:lineRule="auto"/>
              <w:rPr>
                <w:rFonts w:ascii="Arial" w:eastAsia="Times New Roman" w:hAnsi="Arial" w:cs="Arial"/>
                <w:b/>
                <w:bCs/>
                <w:kern w:val="0"/>
                <w:sz w:val="16"/>
                <w:szCs w:val="16"/>
                <w:lang w:eastAsia="pt-BR"/>
                <w14:ligatures w14:val="none"/>
              </w:rPr>
            </w:pPr>
          </w:p>
        </w:tc>
        <w:tc>
          <w:tcPr>
            <w:tcW w:w="726" w:type="pct"/>
            <w:tcBorders>
              <w:top w:val="single" w:sz="4" w:space="0" w:color="auto"/>
              <w:left w:val="nil"/>
              <w:bottom w:val="double" w:sz="6" w:space="0" w:color="auto"/>
              <w:right w:val="nil"/>
            </w:tcBorders>
            <w:shd w:val="clear" w:color="auto" w:fill="auto"/>
            <w:noWrap/>
            <w:vAlign w:val="bottom"/>
            <w:hideMark/>
          </w:tcPr>
          <w:p w14:paraId="0264AA2F"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 xml:space="preserve">                    28.101 </w:t>
            </w:r>
          </w:p>
        </w:tc>
        <w:tc>
          <w:tcPr>
            <w:tcW w:w="60" w:type="pct"/>
            <w:tcBorders>
              <w:top w:val="nil"/>
              <w:left w:val="nil"/>
              <w:bottom w:val="nil"/>
              <w:right w:val="nil"/>
            </w:tcBorders>
            <w:shd w:val="clear" w:color="auto" w:fill="auto"/>
            <w:noWrap/>
            <w:vAlign w:val="bottom"/>
            <w:hideMark/>
          </w:tcPr>
          <w:p w14:paraId="6AE16C04"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p>
        </w:tc>
        <w:tc>
          <w:tcPr>
            <w:tcW w:w="744" w:type="pct"/>
            <w:tcBorders>
              <w:top w:val="single" w:sz="4" w:space="0" w:color="auto"/>
              <w:left w:val="nil"/>
              <w:bottom w:val="double" w:sz="6" w:space="0" w:color="auto"/>
              <w:right w:val="nil"/>
            </w:tcBorders>
            <w:shd w:val="clear" w:color="auto" w:fill="auto"/>
            <w:noWrap/>
            <w:vAlign w:val="bottom"/>
            <w:hideMark/>
          </w:tcPr>
          <w:p w14:paraId="64F9D655"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 xml:space="preserve">                    79.772 </w:t>
            </w:r>
          </w:p>
        </w:tc>
        <w:tc>
          <w:tcPr>
            <w:tcW w:w="60" w:type="pct"/>
            <w:tcBorders>
              <w:top w:val="nil"/>
              <w:left w:val="nil"/>
              <w:bottom w:val="nil"/>
              <w:right w:val="nil"/>
            </w:tcBorders>
            <w:shd w:val="clear" w:color="auto" w:fill="auto"/>
            <w:noWrap/>
            <w:vAlign w:val="bottom"/>
            <w:hideMark/>
          </w:tcPr>
          <w:p w14:paraId="5FA0559E"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p>
        </w:tc>
      </w:tr>
      <w:tr w:rsidR="004449AB" w:rsidRPr="004449AB" w14:paraId="39AE11B8" w14:textId="77777777" w:rsidTr="00075425">
        <w:trPr>
          <w:trHeight w:val="198"/>
        </w:trPr>
        <w:tc>
          <w:tcPr>
            <w:tcW w:w="3350" w:type="pct"/>
            <w:tcBorders>
              <w:top w:val="nil"/>
              <w:left w:val="nil"/>
              <w:bottom w:val="nil"/>
              <w:right w:val="nil"/>
            </w:tcBorders>
            <w:shd w:val="clear" w:color="auto" w:fill="auto"/>
            <w:noWrap/>
            <w:vAlign w:val="bottom"/>
            <w:hideMark/>
          </w:tcPr>
          <w:p w14:paraId="41D7E008"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60" w:type="pct"/>
            <w:tcBorders>
              <w:top w:val="nil"/>
              <w:left w:val="nil"/>
              <w:bottom w:val="nil"/>
              <w:right w:val="nil"/>
            </w:tcBorders>
            <w:shd w:val="clear" w:color="auto" w:fill="auto"/>
            <w:noWrap/>
            <w:vAlign w:val="bottom"/>
            <w:hideMark/>
          </w:tcPr>
          <w:p w14:paraId="11BA65A1"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36D99958"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60" w:type="pct"/>
            <w:tcBorders>
              <w:top w:val="nil"/>
              <w:left w:val="nil"/>
              <w:bottom w:val="nil"/>
              <w:right w:val="nil"/>
            </w:tcBorders>
            <w:shd w:val="clear" w:color="auto" w:fill="auto"/>
            <w:noWrap/>
            <w:vAlign w:val="bottom"/>
            <w:hideMark/>
          </w:tcPr>
          <w:p w14:paraId="54DCA63A"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2FE1D012"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60" w:type="pct"/>
            <w:tcBorders>
              <w:top w:val="nil"/>
              <w:left w:val="nil"/>
              <w:bottom w:val="nil"/>
              <w:right w:val="nil"/>
            </w:tcBorders>
            <w:shd w:val="clear" w:color="auto" w:fill="auto"/>
            <w:noWrap/>
            <w:vAlign w:val="bottom"/>
            <w:hideMark/>
          </w:tcPr>
          <w:p w14:paraId="04F80395"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r>
      <w:tr w:rsidR="004449AB" w:rsidRPr="004449AB" w14:paraId="02A81618" w14:textId="77777777" w:rsidTr="00075425">
        <w:trPr>
          <w:trHeight w:val="198"/>
        </w:trPr>
        <w:tc>
          <w:tcPr>
            <w:tcW w:w="3350" w:type="pct"/>
            <w:tcBorders>
              <w:top w:val="nil"/>
              <w:left w:val="nil"/>
              <w:bottom w:val="nil"/>
              <w:right w:val="nil"/>
            </w:tcBorders>
            <w:shd w:val="clear" w:color="auto" w:fill="auto"/>
            <w:noWrap/>
            <w:vAlign w:val="bottom"/>
            <w:hideMark/>
          </w:tcPr>
          <w:p w14:paraId="65EA8839" w14:textId="77777777" w:rsidR="004449AB" w:rsidRPr="004449AB" w:rsidRDefault="004449AB" w:rsidP="004449AB">
            <w:pPr>
              <w:spacing w:after="0" w:line="240" w:lineRule="auto"/>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Demonstração da Variação de Caixa e Equivalentes de Caixa</w:t>
            </w:r>
          </w:p>
        </w:tc>
        <w:tc>
          <w:tcPr>
            <w:tcW w:w="60" w:type="pct"/>
            <w:tcBorders>
              <w:top w:val="nil"/>
              <w:left w:val="nil"/>
              <w:bottom w:val="nil"/>
              <w:right w:val="nil"/>
            </w:tcBorders>
            <w:shd w:val="clear" w:color="auto" w:fill="auto"/>
            <w:noWrap/>
            <w:vAlign w:val="bottom"/>
            <w:hideMark/>
          </w:tcPr>
          <w:p w14:paraId="7178DE60" w14:textId="77777777" w:rsidR="004449AB" w:rsidRPr="004449AB" w:rsidRDefault="004449AB" w:rsidP="004449AB">
            <w:pPr>
              <w:spacing w:after="0" w:line="240" w:lineRule="auto"/>
              <w:rPr>
                <w:rFonts w:ascii="Arial" w:eastAsia="Times New Roman" w:hAnsi="Arial" w:cs="Arial"/>
                <w:b/>
                <w:bCs/>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44F809C0"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60" w:type="pct"/>
            <w:tcBorders>
              <w:top w:val="nil"/>
              <w:left w:val="nil"/>
              <w:bottom w:val="nil"/>
              <w:right w:val="nil"/>
            </w:tcBorders>
            <w:shd w:val="clear" w:color="auto" w:fill="auto"/>
            <w:noWrap/>
            <w:vAlign w:val="bottom"/>
            <w:hideMark/>
          </w:tcPr>
          <w:p w14:paraId="7A9AF4C5"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25AD2A98"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60" w:type="pct"/>
            <w:tcBorders>
              <w:top w:val="nil"/>
              <w:left w:val="nil"/>
              <w:bottom w:val="nil"/>
              <w:right w:val="nil"/>
            </w:tcBorders>
            <w:shd w:val="clear" w:color="auto" w:fill="auto"/>
            <w:noWrap/>
            <w:vAlign w:val="bottom"/>
            <w:hideMark/>
          </w:tcPr>
          <w:p w14:paraId="7F47DAF6"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r>
      <w:tr w:rsidR="004449AB" w:rsidRPr="004449AB" w14:paraId="396EF4B1" w14:textId="77777777" w:rsidTr="00075425">
        <w:trPr>
          <w:trHeight w:val="198"/>
        </w:trPr>
        <w:tc>
          <w:tcPr>
            <w:tcW w:w="3350" w:type="pct"/>
            <w:tcBorders>
              <w:top w:val="nil"/>
              <w:left w:val="nil"/>
              <w:bottom w:val="nil"/>
              <w:right w:val="nil"/>
            </w:tcBorders>
            <w:shd w:val="clear" w:color="auto" w:fill="auto"/>
            <w:noWrap/>
            <w:hideMark/>
          </w:tcPr>
          <w:p w14:paraId="05643A9D"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Caixa e Equivalentes de Caixa no Final do Exercício </w:t>
            </w:r>
          </w:p>
        </w:tc>
        <w:tc>
          <w:tcPr>
            <w:tcW w:w="60" w:type="pct"/>
            <w:tcBorders>
              <w:top w:val="nil"/>
              <w:left w:val="nil"/>
              <w:bottom w:val="nil"/>
              <w:right w:val="nil"/>
            </w:tcBorders>
            <w:shd w:val="clear" w:color="auto" w:fill="auto"/>
            <w:noWrap/>
            <w:vAlign w:val="bottom"/>
            <w:hideMark/>
          </w:tcPr>
          <w:p w14:paraId="71294CBC"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5871C5DE"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380.712 </w:t>
            </w:r>
          </w:p>
        </w:tc>
        <w:tc>
          <w:tcPr>
            <w:tcW w:w="60" w:type="pct"/>
            <w:tcBorders>
              <w:top w:val="nil"/>
              <w:left w:val="nil"/>
              <w:bottom w:val="nil"/>
              <w:right w:val="nil"/>
            </w:tcBorders>
            <w:shd w:val="clear" w:color="auto" w:fill="auto"/>
            <w:noWrap/>
            <w:vAlign w:val="bottom"/>
            <w:hideMark/>
          </w:tcPr>
          <w:p w14:paraId="1FC0B0D7"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3E4CDDC1"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352.611 </w:t>
            </w:r>
          </w:p>
        </w:tc>
        <w:tc>
          <w:tcPr>
            <w:tcW w:w="60" w:type="pct"/>
            <w:tcBorders>
              <w:top w:val="nil"/>
              <w:left w:val="nil"/>
              <w:bottom w:val="nil"/>
              <w:right w:val="nil"/>
            </w:tcBorders>
            <w:shd w:val="clear" w:color="auto" w:fill="auto"/>
            <w:noWrap/>
            <w:vAlign w:val="bottom"/>
            <w:hideMark/>
          </w:tcPr>
          <w:p w14:paraId="25E4110D"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r>
      <w:tr w:rsidR="004449AB" w:rsidRPr="004449AB" w14:paraId="18160E17" w14:textId="77777777" w:rsidTr="00075425">
        <w:trPr>
          <w:trHeight w:val="198"/>
        </w:trPr>
        <w:tc>
          <w:tcPr>
            <w:tcW w:w="3350" w:type="pct"/>
            <w:tcBorders>
              <w:top w:val="nil"/>
              <w:left w:val="nil"/>
              <w:bottom w:val="nil"/>
              <w:right w:val="nil"/>
            </w:tcBorders>
            <w:shd w:val="clear" w:color="auto" w:fill="auto"/>
            <w:noWrap/>
            <w:hideMark/>
          </w:tcPr>
          <w:p w14:paraId="70AE0363"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Caixa e Equivalentes de Caixa no Início do Exercício </w:t>
            </w:r>
          </w:p>
        </w:tc>
        <w:tc>
          <w:tcPr>
            <w:tcW w:w="60" w:type="pct"/>
            <w:tcBorders>
              <w:top w:val="nil"/>
              <w:left w:val="nil"/>
              <w:bottom w:val="nil"/>
              <w:right w:val="nil"/>
            </w:tcBorders>
            <w:shd w:val="clear" w:color="auto" w:fill="auto"/>
            <w:noWrap/>
            <w:vAlign w:val="bottom"/>
            <w:hideMark/>
          </w:tcPr>
          <w:p w14:paraId="5EC4EC0B" w14:textId="77777777" w:rsidR="004449AB" w:rsidRPr="004449AB" w:rsidRDefault="004449AB" w:rsidP="004449AB">
            <w:pPr>
              <w:spacing w:after="0" w:line="240" w:lineRule="auto"/>
              <w:ind w:firstLineChars="200" w:firstLine="320"/>
              <w:rPr>
                <w:rFonts w:ascii="Arial" w:eastAsia="Times New Roman" w:hAnsi="Arial" w:cs="Arial"/>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43A03E3C"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352.611 </w:t>
            </w:r>
          </w:p>
        </w:tc>
        <w:tc>
          <w:tcPr>
            <w:tcW w:w="60" w:type="pct"/>
            <w:tcBorders>
              <w:top w:val="nil"/>
              <w:left w:val="nil"/>
              <w:bottom w:val="nil"/>
              <w:right w:val="nil"/>
            </w:tcBorders>
            <w:shd w:val="clear" w:color="auto" w:fill="auto"/>
            <w:noWrap/>
            <w:vAlign w:val="bottom"/>
            <w:hideMark/>
          </w:tcPr>
          <w:p w14:paraId="75804E46"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5647C266"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272.839 </w:t>
            </w:r>
          </w:p>
        </w:tc>
        <w:tc>
          <w:tcPr>
            <w:tcW w:w="60" w:type="pct"/>
            <w:tcBorders>
              <w:top w:val="nil"/>
              <w:left w:val="nil"/>
              <w:bottom w:val="nil"/>
              <w:right w:val="nil"/>
            </w:tcBorders>
            <w:shd w:val="clear" w:color="auto" w:fill="auto"/>
            <w:noWrap/>
            <w:vAlign w:val="bottom"/>
            <w:hideMark/>
          </w:tcPr>
          <w:p w14:paraId="19F99D59"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r>
      <w:tr w:rsidR="004449AB" w:rsidRPr="004449AB" w14:paraId="2AC4C553" w14:textId="77777777" w:rsidTr="00075425">
        <w:trPr>
          <w:trHeight w:val="198"/>
        </w:trPr>
        <w:tc>
          <w:tcPr>
            <w:tcW w:w="3350" w:type="pct"/>
            <w:tcBorders>
              <w:top w:val="nil"/>
              <w:left w:val="nil"/>
              <w:bottom w:val="nil"/>
              <w:right w:val="nil"/>
            </w:tcBorders>
            <w:shd w:val="clear" w:color="auto" w:fill="auto"/>
            <w:noWrap/>
            <w:vAlign w:val="bottom"/>
            <w:hideMark/>
          </w:tcPr>
          <w:p w14:paraId="21274905" w14:textId="77777777" w:rsidR="004449AB" w:rsidRPr="004449AB" w:rsidRDefault="004449AB" w:rsidP="004449AB">
            <w:pPr>
              <w:spacing w:after="0" w:line="240" w:lineRule="auto"/>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Variação de Caixa e Equivalentes de Caixa</w:t>
            </w:r>
          </w:p>
        </w:tc>
        <w:tc>
          <w:tcPr>
            <w:tcW w:w="60" w:type="pct"/>
            <w:tcBorders>
              <w:top w:val="nil"/>
              <w:left w:val="nil"/>
              <w:bottom w:val="nil"/>
              <w:right w:val="nil"/>
            </w:tcBorders>
            <w:shd w:val="clear" w:color="auto" w:fill="auto"/>
            <w:noWrap/>
            <w:vAlign w:val="bottom"/>
            <w:hideMark/>
          </w:tcPr>
          <w:p w14:paraId="7B291549" w14:textId="77777777" w:rsidR="004449AB" w:rsidRPr="004449AB" w:rsidRDefault="004449AB" w:rsidP="004449AB">
            <w:pPr>
              <w:spacing w:after="0" w:line="240" w:lineRule="auto"/>
              <w:rPr>
                <w:rFonts w:ascii="Arial" w:eastAsia="Times New Roman" w:hAnsi="Arial" w:cs="Arial"/>
                <w:b/>
                <w:bCs/>
                <w:kern w:val="0"/>
                <w:sz w:val="16"/>
                <w:szCs w:val="16"/>
                <w:lang w:eastAsia="pt-BR"/>
                <w14:ligatures w14:val="none"/>
              </w:rPr>
            </w:pPr>
          </w:p>
        </w:tc>
        <w:tc>
          <w:tcPr>
            <w:tcW w:w="726" w:type="pct"/>
            <w:tcBorders>
              <w:top w:val="single" w:sz="4" w:space="0" w:color="auto"/>
              <w:left w:val="nil"/>
              <w:bottom w:val="double" w:sz="6" w:space="0" w:color="auto"/>
              <w:right w:val="nil"/>
            </w:tcBorders>
            <w:shd w:val="clear" w:color="auto" w:fill="auto"/>
            <w:noWrap/>
            <w:vAlign w:val="bottom"/>
            <w:hideMark/>
          </w:tcPr>
          <w:p w14:paraId="722294DE"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 xml:space="preserve">                    28.101 </w:t>
            </w:r>
          </w:p>
        </w:tc>
        <w:tc>
          <w:tcPr>
            <w:tcW w:w="60" w:type="pct"/>
            <w:tcBorders>
              <w:top w:val="nil"/>
              <w:left w:val="nil"/>
              <w:bottom w:val="nil"/>
              <w:right w:val="nil"/>
            </w:tcBorders>
            <w:shd w:val="clear" w:color="auto" w:fill="auto"/>
            <w:noWrap/>
            <w:vAlign w:val="bottom"/>
            <w:hideMark/>
          </w:tcPr>
          <w:p w14:paraId="33B5F286"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p>
        </w:tc>
        <w:tc>
          <w:tcPr>
            <w:tcW w:w="744" w:type="pct"/>
            <w:tcBorders>
              <w:top w:val="single" w:sz="4" w:space="0" w:color="auto"/>
              <w:left w:val="nil"/>
              <w:bottom w:val="double" w:sz="6" w:space="0" w:color="auto"/>
              <w:right w:val="nil"/>
            </w:tcBorders>
            <w:shd w:val="clear" w:color="auto" w:fill="auto"/>
            <w:noWrap/>
            <w:vAlign w:val="bottom"/>
            <w:hideMark/>
          </w:tcPr>
          <w:p w14:paraId="6625CB7B"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 xml:space="preserve">                    79.772 </w:t>
            </w:r>
          </w:p>
        </w:tc>
        <w:tc>
          <w:tcPr>
            <w:tcW w:w="60" w:type="pct"/>
            <w:tcBorders>
              <w:top w:val="nil"/>
              <w:left w:val="nil"/>
              <w:bottom w:val="nil"/>
              <w:right w:val="nil"/>
            </w:tcBorders>
            <w:shd w:val="clear" w:color="auto" w:fill="auto"/>
            <w:noWrap/>
            <w:vAlign w:val="bottom"/>
            <w:hideMark/>
          </w:tcPr>
          <w:p w14:paraId="52FC0E7D" w14:textId="77777777" w:rsidR="004449AB" w:rsidRPr="004449AB" w:rsidRDefault="004449AB" w:rsidP="004449AB">
            <w:pPr>
              <w:spacing w:after="0" w:line="240" w:lineRule="auto"/>
              <w:rPr>
                <w:rFonts w:ascii="Arial" w:eastAsia="Times New Roman" w:hAnsi="Arial" w:cs="Arial"/>
                <w:b/>
                <w:bCs/>
                <w:kern w:val="0"/>
                <w:sz w:val="16"/>
                <w:szCs w:val="16"/>
                <w:lang w:eastAsia="pt-BR"/>
                <w14:ligatures w14:val="none"/>
              </w:rPr>
            </w:pPr>
          </w:p>
        </w:tc>
      </w:tr>
      <w:tr w:rsidR="004449AB" w:rsidRPr="004449AB" w14:paraId="648074EF" w14:textId="77777777" w:rsidTr="00075425">
        <w:trPr>
          <w:trHeight w:val="198"/>
        </w:trPr>
        <w:tc>
          <w:tcPr>
            <w:tcW w:w="3350" w:type="pct"/>
            <w:tcBorders>
              <w:top w:val="nil"/>
              <w:left w:val="nil"/>
              <w:bottom w:val="nil"/>
              <w:right w:val="nil"/>
            </w:tcBorders>
            <w:shd w:val="clear" w:color="auto" w:fill="auto"/>
            <w:noWrap/>
            <w:vAlign w:val="bottom"/>
            <w:hideMark/>
          </w:tcPr>
          <w:p w14:paraId="59D2DAEA"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c>
          <w:tcPr>
            <w:tcW w:w="60" w:type="pct"/>
            <w:tcBorders>
              <w:top w:val="nil"/>
              <w:left w:val="nil"/>
              <w:bottom w:val="nil"/>
              <w:right w:val="nil"/>
            </w:tcBorders>
            <w:shd w:val="clear" w:color="auto" w:fill="auto"/>
            <w:noWrap/>
            <w:vAlign w:val="bottom"/>
            <w:hideMark/>
          </w:tcPr>
          <w:p w14:paraId="09253414"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734B9A69"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c>
          <w:tcPr>
            <w:tcW w:w="60" w:type="pct"/>
            <w:tcBorders>
              <w:top w:val="nil"/>
              <w:left w:val="nil"/>
              <w:bottom w:val="nil"/>
              <w:right w:val="nil"/>
            </w:tcBorders>
            <w:shd w:val="clear" w:color="auto" w:fill="auto"/>
            <w:noWrap/>
            <w:vAlign w:val="bottom"/>
            <w:hideMark/>
          </w:tcPr>
          <w:p w14:paraId="366FA25C"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73B472C5"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c>
          <w:tcPr>
            <w:tcW w:w="60" w:type="pct"/>
            <w:tcBorders>
              <w:top w:val="nil"/>
              <w:left w:val="nil"/>
              <w:bottom w:val="nil"/>
              <w:right w:val="nil"/>
            </w:tcBorders>
            <w:shd w:val="clear" w:color="auto" w:fill="auto"/>
            <w:noWrap/>
            <w:vAlign w:val="bottom"/>
            <w:hideMark/>
          </w:tcPr>
          <w:p w14:paraId="6CA3D71D"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r>
      <w:tr w:rsidR="004449AB" w:rsidRPr="004449AB" w14:paraId="0BC08DFD" w14:textId="77777777" w:rsidTr="00075425">
        <w:trPr>
          <w:trHeight w:val="198"/>
        </w:trPr>
        <w:tc>
          <w:tcPr>
            <w:tcW w:w="3350" w:type="pct"/>
            <w:tcBorders>
              <w:top w:val="nil"/>
              <w:left w:val="nil"/>
              <w:bottom w:val="nil"/>
              <w:right w:val="nil"/>
            </w:tcBorders>
            <w:shd w:val="clear" w:color="auto" w:fill="auto"/>
            <w:noWrap/>
            <w:vAlign w:val="bottom"/>
            <w:hideMark/>
          </w:tcPr>
          <w:p w14:paraId="2F12E957" w14:textId="77777777" w:rsidR="004449AB" w:rsidRPr="004449AB" w:rsidRDefault="004449AB" w:rsidP="004449AB">
            <w:pPr>
              <w:spacing w:after="0" w:line="240" w:lineRule="auto"/>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As notas explicativas são parte integrante das demonstrações contábeis</w:t>
            </w:r>
          </w:p>
        </w:tc>
        <w:tc>
          <w:tcPr>
            <w:tcW w:w="60" w:type="pct"/>
            <w:tcBorders>
              <w:top w:val="nil"/>
              <w:left w:val="nil"/>
              <w:bottom w:val="nil"/>
              <w:right w:val="nil"/>
            </w:tcBorders>
            <w:shd w:val="clear" w:color="auto" w:fill="auto"/>
            <w:noWrap/>
            <w:vAlign w:val="bottom"/>
            <w:hideMark/>
          </w:tcPr>
          <w:p w14:paraId="038E7365" w14:textId="77777777" w:rsidR="004449AB" w:rsidRPr="004449AB" w:rsidRDefault="004449AB" w:rsidP="004449AB">
            <w:pPr>
              <w:spacing w:after="0" w:line="240" w:lineRule="auto"/>
              <w:rPr>
                <w:rFonts w:ascii="Arial" w:eastAsia="Times New Roman" w:hAnsi="Arial" w:cs="Arial"/>
                <w:b/>
                <w:bCs/>
                <w:kern w:val="0"/>
                <w:sz w:val="16"/>
                <w:szCs w:val="16"/>
                <w:lang w:eastAsia="pt-BR"/>
                <w14:ligatures w14:val="none"/>
              </w:rPr>
            </w:pPr>
          </w:p>
        </w:tc>
        <w:tc>
          <w:tcPr>
            <w:tcW w:w="726" w:type="pct"/>
            <w:tcBorders>
              <w:top w:val="nil"/>
              <w:left w:val="nil"/>
              <w:bottom w:val="nil"/>
              <w:right w:val="nil"/>
            </w:tcBorders>
            <w:shd w:val="clear" w:color="auto" w:fill="auto"/>
            <w:noWrap/>
            <w:vAlign w:val="bottom"/>
            <w:hideMark/>
          </w:tcPr>
          <w:p w14:paraId="0AED936E"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c>
          <w:tcPr>
            <w:tcW w:w="60" w:type="pct"/>
            <w:tcBorders>
              <w:top w:val="nil"/>
              <w:left w:val="nil"/>
              <w:bottom w:val="nil"/>
              <w:right w:val="nil"/>
            </w:tcBorders>
            <w:shd w:val="clear" w:color="auto" w:fill="auto"/>
            <w:noWrap/>
            <w:vAlign w:val="bottom"/>
            <w:hideMark/>
          </w:tcPr>
          <w:p w14:paraId="573D9D1B"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c>
          <w:tcPr>
            <w:tcW w:w="744" w:type="pct"/>
            <w:tcBorders>
              <w:top w:val="nil"/>
              <w:left w:val="nil"/>
              <w:bottom w:val="nil"/>
              <w:right w:val="nil"/>
            </w:tcBorders>
            <w:shd w:val="clear" w:color="auto" w:fill="auto"/>
            <w:noWrap/>
            <w:vAlign w:val="bottom"/>
            <w:hideMark/>
          </w:tcPr>
          <w:p w14:paraId="71C0ECD9" w14:textId="77777777" w:rsidR="004449AB" w:rsidRPr="004449AB" w:rsidRDefault="004449AB" w:rsidP="004449AB">
            <w:pPr>
              <w:spacing w:after="0" w:line="240" w:lineRule="auto"/>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w:t>
            </w:r>
          </w:p>
        </w:tc>
        <w:tc>
          <w:tcPr>
            <w:tcW w:w="60" w:type="pct"/>
            <w:tcBorders>
              <w:top w:val="nil"/>
              <w:left w:val="nil"/>
              <w:bottom w:val="nil"/>
              <w:right w:val="nil"/>
            </w:tcBorders>
            <w:shd w:val="clear" w:color="auto" w:fill="auto"/>
            <w:noWrap/>
            <w:vAlign w:val="bottom"/>
            <w:hideMark/>
          </w:tcPr>
          <w:p w14:paraId="114B2B15" w14:textId="77777777" w:rsidR="004449AB" w:rsidRPr="004449AB" w:rsidRDefault="004449AB" w:rsidP="004449AB">
            <w:pPr>
              <w:spacing w:after="0" w:line="240" w:lineRule="auto"/>
              <w:rPr>
                <w:rFonts w:ascii="Arial" w:eastAsia="Times New Roman" w:hAnsi="Arial" w:cs="Arial"/>
                <w:kern w:val="0"/>
                <w:sz w:val="16"/>
                <w:szCs w:val="16"/>
                <w:lang w:eastAsia="pt-BR"/>
                <w14:ligatures w14:val="none"/>
              </w:rPr>
            </w:pPr>
          </w:p>
        </w:tc>
      </w:tr>
      <w:bookmarkEnd w:id="378"/>
    </w:tbl>
    <w:p w14:paraId="25B5FA4A" w14:textId="77777777" w:rsidR="004449AB" w:rsidRDefault="004449AB" w:rsidP="001D10E5">
      <w:pPr>
        <w:spacing w:after="0"/>
        <w:jc w:val="both"/>
        <w:rPr>
          <w:noProof/>
        </w:rPr>
      </w:pPr>
    </w:p>
    <w:p w14:paraId="18F1CF10" w14:textId="77777777" w:rsidR="004449AB" w:rsidRDefault="004449AB" w:rsidP="001D10E5">
      <w:pPr>
        <w:spacing w:after="0"/>
        <w:jc w:val="both"/>
        <w:rPr>
          <w:noProof/>
        </w:rPr>
      </w:pPr>
    </w:p>
    <w:p w14:paraId="3AC3729D" w14:textId="77777777" w:rsidR="004449AB" w:rsidRDefault="004449AB" w:rsidP="001D10E5">
      <w:pPr>
        <w:spacing w:after="0"/>
        <w:jc w:val="both"/>
        <w:rPr>
          <w:noProof/>
        </w:rPr>
      </w:pPr>
    </w:p>
    <w:p w14:paraId="59387113" w14:textId="77777777" w:rsidR="004449AB" w:rsidRDefault="004449AB" w:rsidP="001D10E5">
      <w:pPr>
        <w:spacing w:after="0"/>
        <w:jc w:val="both"/>
        <w:rPr>
          <w:noProof/>
        </w:rPr>
      </w:pPr>
    </w:p>
    <w:p w14:paraId="4BE9EEFD" w14:textId="77777777" w:rsidR="004449AB" w:rsidRDefault="004449AB" w:rsidP="001D10E5">
      <w:pPr>
        <w:spacing w:after="0"/>
        <w:jc w:val="both"/>
        <w:rPr>
          <w:noProof/>
        </w:rPr>
      </w:pPr>
    </w:p>
    <w:p w14:paraId="674A4848" w14:textId="77777777" w:rsidR="004449AB" w:rsidRDefault="004449AB" w:rsidP="001D10E5">
      <w:pPr>
        <w:spacing w:after="0"/>
        <w:jc w:val="both"/>
        <w:rPr>
          <w:noProof/>
        </w:rPr>
      </w:pPr>
    </w:p>
    <w:p w14:paraId="20A062D7" w14:textId="77777777" w:rsidR="004449AB" w:rsidRDefault="004449AB" w:rsidP="001D10E5">
      <w:pPr>
        <w:spacing w:after="0"/>
        <w:jc w:val="both"/>
        <w:rPr>
          <w:noProof/>
        </w:rPr>
      </w:pPr>
    </w:p>
    <w:p w14:paraId="4D9CC8C3" w14:textId="77777777" w:rsidR="004449AB" w:rsidRDefault="004449AB" w:rsidP="001D10E5">
      <w:pPr>
        <w:spacing w:after="0"/>
        <w:jc w:val="both"/>
        <w:rPr>
          <w:noProof/>
        </w:rPr>
      </w:pPr>
    </w:p>
    <w:p w14:paraId="1E66C7B3" w14:textId="77777777" w:rsidR="004449AB" w:rsidRDefault="004449AB" w:rsidP="001D10E5">
      <w:pPr>
        <w:spacing w:after="0"/>
        <w:jc w:val="both"/>
        <w:rPr>
          <w:noProof/>
        </w:rPr>
      </w:pPr>
    </w:p>
    <w:p w14:paraId="0EB816A4" w14:textId="77777777" w:rsidR="004449AB" w:rsidRDefault="004449AB" w:rsidP="001D10E5">
      <w:pPr>
        <w:spacing w:after="0"/>
        <w:jc w:val="both"/>
        <w:rPr>
          <w:noProof/>
        </w:rPr>
      </w:pPr>
    </w:p>
    <w:p w14:paraId="642C9640" w14:textId="77777777" w:rsidR="004449AB" w:rsidRDefault="004449AB" w:rsidP="001D10E5">
      <w:pPr>
        <w:spacing w:after="0"/>
        <w:jc w:val="both"/>
        <w:rPr>
          <w:noProof/>
        </w:rPr>
      </w:pPr>
    </w:p>
    <w:p w14:paraId="1C040D42" w14:textId="77777777" w:rsidR="004449AB" w:rsidRDefault="004449AB" w:rsidP="001D10E5">
      <w:pPr>
        <w:spacing w:after="0"/>
        <w:jc w:val="both"/>
        <w:rPr>
          <w:noProof/>
        </w:rPr>
      </w:pPr>
    </w:p>
    <w:tbl>
      <w:tblPr>
        <w:tblW w:w="5000" w:type="pct"/>
        <w:tblCellMar>
          <w:left w:w="70" w:type="dxa"/>
          <w:right w:w="70" w:type="dxa"/>
        </w:tblCellMar>
        <w:tblLook w:val="04A0" w:firstRow="1" w:lastRow="0" w:firstColumn="1" w:lastColumn="0" w:noHBand="0" w:noVBand="1"/>
      </w:tblPr>
      <w:tblGrid>
        <w:gridCol w:w="5796"/>
        <w:gridCol w:w="1492"/>
        <w:gridCol w:w="146"/>
        <w:gridCol w:w="1492"/>
        <w:gridCol w:w="146"/>
      </w:tblGrid>
      <w:tr w:rsidR="004449AB" w:rsidRPr="004449AB" w14:paraId="06CF297A" w14:textId="77777777" w:rsidTr="00075425">
        <w:trPr>
          <w:trHeight w:val="198"/>
        </w:trPr>
        <w:tc>
          <w:tcPr>
            <w:tcW w:w="5000" w:type="pct"/>
            <w:gridSpan w:val="5"/>
            <w:tcBorders>
              <w:top w:val="nil"/>
              <w:left w:val="nil"/>
              <w:bottom w:val="nil"/>
              <w:right w:val="nil"/>
            </w:tcBorders>
            <w:shd w:val="clear" w:color="auto" w:fill="auto"/>
            <w:noWrap/>
            <w:vAlign w:val="bottom"/>
            <w:hideMark/>
          </w:tcPr>
          <w:p w14:paraId="199867B4" w14:textId="77777777" w:rsidR="004449AB" w:rsidRPr="004449AB" w:rsidRDefault="004449AB" w:rsidP="004449AB">
            <w:pPr>
              <w:spacing w:after="0" w:line="240" w:lineRule="auto"/>
              <w:jc w:val="center"/>
              <w:rPr>
                <w:rFonts w:ascii="Arial" w:eastAsia="Times New Roman" w:hAnsi="Arial" w:cs="Arial"/>
                <w:b/>
                <w:bCs/>
                <w:kern w:val="0"/>
                <w:sz w:val="16"/>
                <w:szCs w:val="16"/>
                <w:lang w:eastAsia="pt-BR"/>
                <w14:ligatures w14:val="none"/>
              </w:rPr>
            </w:pPr>
            <w:bookmarkStart w:id="379" w:name="_Hlk162280207"/>
            <w:r w:rsidRPr="004449AB">
              <w:rPr>
                <w:rFonts w:ascii="Arial" w:eastAsia="Times New Roman" w:hAnsi="Arial" w:cs="Arial"/>
                <w:b/>
                <w:bCs/>
                <w:kern w:val="0"/>
                <w:sz w:val="16"/>
                <w:szCs w:val="16"/>
                <w:lang w:eastAsia="pt-BR"/>
                <w14:ligatures w14:val="none"/>
              </w:rPr>
              <w:t>TELECOMUNICAÇÕES BRASILEIRAS S.A - "TELEBRAS"</w:t>
            </w:r>
          </w:p>
        </w:tc>
      </w:tr>
      <w:tr w:rsidR="004449AB" w:rsidRPr="004449AB" w14:paraId="7252647B" w14:textId="77777777" w:rsidTr="00075425">
        <w:trPr>
          <w:trHeight w:val="198"/>
        </w:trPr>
        <w:tc>
          <w:tcPr>
            <w:tcW w:w="5000" w:type="pct"/>
            <w:gridSpan w:val="5"/>
            <w:tcBorders>
              <w:top w:val="nil"/>
              <w:left w:val="nil"/>
              <w:bottom w:val="nil"/>
              <w:right w:val="nil"/>
            </w:tcBorders>
            <w:shd w:val="clear" w:color="auto" w:fill="auto"/>
            <w:noWrap/>
            <w:vAlign w:val="bottom"/>
            <w:hideMark/>
          </w:tcPr>
          <w:p w14:paraId="5476F2EE" w14:textId="77777777" w:rsidR="004449AB" w:rsidRPr="004449AB" w:rsidRDefault="004449AB" w:rsidP="004449AB">
            <w:pPr>
              <w:spacing w:after="0" w:line="240" w:lineRule="auto"/>
              <w:jc w:val="center"/>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CNPJ 00.336.701/0001-04</w:t>
            </w:r>
          </w:p>
        </w:tc>
      </w:tr>
      <w:tr w:rsidR="004449AB" w:rsidRPr="004449AB" w14:paraId="5266D0BA" w14:textId="77777777" w:rsidTr="00075425">
        <w:trPr>
          <w:trHeight w:val="198"/>
        </w:trPr>
        <w:tc>
          <w:tcPr>
            <w:tcW w:w="5000" w:type="pct"/>
            <w:gridSpan w:val="5"/>
            <w:tcBorders>
              <w:top w:val="nil"/>
              <w:left w:val="nil"/>
              <w:bottom w:val="nil"/>
              <w:right w:val="nil"/>
            </w:tcBorders>
            <w:shd w:val="clear" w:color="auto" w:fill="auto"/>
            <w:noWrap/>
            <w:vAlign w:val="bottom"/>
            <w:hideMark/>
          </w:tcPr>
          <w:p w14:paraId="5DE5C296" w14:textId="77777777" w:rsidR="004449AB" w:rsidRPr="004449AB" w:rsidRDefault="004449AB" w:rsidP="004449AB">
            <w:pPr>
              <w:spacing w:after="0" w:line="240" w:lineRule="auto"/>
              <w:jc w:val="center"/>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Demonstrações do Valor Adicionado</w:t>
            </w:r>
          </w:p>
        </w:tc>
      </w:tr>
      <w:tr w:rsidR="004449AB" w:rsidRPr="004449AB" w14:paraId="52198B1D" w14:textId="77777777" w:rsidTr="00075425">
        <w:trPr>
          <w:trHeight w:val="198"/>
        </w:trPr>
        <w:tc>
          <w:tcPr>
            <w:tcW w:w="5000" w:type="pct"/>
            <w:gridSpan w:val="5"/>
            <w:tcBorders>
              <w:top w:val="nil"/>
              <w:left w:val="nil"/>
              <w:bottom w:val="nil"/>
              <w:right w:val="nil"/>
            </w:tcBorders>
            <w:shd w:val="clear" w:color="auto" w:fill="auto"/>
            <w:noWrap/>
            <w:vAlign w:val="bottom"/>
            <w:hideMark/>
          </w:tcPr>
          <w:p w14:paraId="4D626069" w14:textId="77777777" w:rsidR="004449AB" w:rsidRPr="004449AB" w:rsidRDefault="004449AB" w:rsidP="004449AB">
            <w:pPr>
              <w:spacing w:after="0" w:line="240" w:lineRule="auto"/>
              <w:jc w:val="center"/>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lastRenderedPageBreak/>
              <w:t>Exercícios findos em 31 de dezembro de 2023 e 2022</w:t>
            </w:r>
          </w:p>
        </w:tc>
      </w:tr>
      <w:tr w:rsidR="004449AB" w:rsidRPr="004449AB" w14:paraId="0481E0E7" w14:textId="77777777" w:rsidTr="00075425">
        <w:trPr>
          <w:trHeight w:val="198"/>
        </w:trPr>
        <w:tc>
          <w:tcPr>
            <w:tcW w:w="5000" w:type="pct"/>
            <w:gridSpan w:val="5"/>
            <w:tcBorders>
              <w:top w:val="nil"/>
              <w:left w:val="nil"/>
              <w:bottom w:val="nil"/>
              <w:right w:val="nil"/>
            </w:tcBorders>
            <w:shd w:val="clear" w:color="auto" w:fill="auto"/>
            <w:noWrap/>
            <w:vAlign w:val="bottom"/>
            <w:hideMark/>
          </w:tcPr>
          <w:p w14:paraId="38FAB1C0" w14:textId="77777777" w:rsidR="004449AB" w:rsidRPr="004449AB" w:rsidRDefault="004449AB" w:rsidP="004449AB">
            <w:pPr>
              <w:spacing w:after="0" w:line="240" w:lineRule="auto"/>
              <w:jc w:val="center"/>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Em milhares de reais, exceto quando indicado de outra forma</w:t>
            </w:r>
          </w:p>
        </w:tc>
      </w:tr>
      <w:tr w:rsidR="004449AB" w:rsidRPr="004449AB" w14:paraId="10F3F96A" w14:textId="77777777" w:rsidTr="00075425">
        <w:trPr>
          <w:trHeight w:val="198"/>
        </w:trPr>
        <w:tc>
          <w:tcPr>
            <w:tcW w:w="3235" w:type="pct"/>
            <w:tcBorders>
              <w:top w:val="nil"/>
              <w:left w:val="nil"/>
              <w:bottom w:val="nil"/>
              <w:right w:val="nil"/>
            </w:tcBorders>
            <w:shd w:val="clear" w:color="auto" w:fill="auto"/>
            <w:noWrap/>
            <w:vAlign w:val="bottom"/>
            <w:hideMark/>
          </w:tcPr>
          <w:p w14:paraId="059DC2B5" w14:textId="77777777" w:rsidR="004449AB" w:rsidRPr="004449AB" w:rsidRDefault="004449AB" w:rsidP="004449AB">
            <w:pPr>
              <w:spacing w:after="0" w:line="240" w:lineRule="auto"/>
              <w:jc w:val="center"/>
              <w:rPr>
                <w:rFonts w:ascii="Arial" w:eastAsia="Times New Roman" w:hAnsi="Arial" w:cs="Arial"/>
                <w:b/>
                <w:bCs/>
                <w:kern w:val="0"/>
                <w:sz w:val="16"/>
                <w:szCs w:val="16"/>
                <w:lang w:eastAsia="pt-BR"/>
                <w14:ligatures w14:val="none"/>
              </w:rPr>
            </w:pPr>
          </w:p>
        </w:tc>
        <w:tc>
          <w:tcPr>
            <w:tcW w:w="1692" w:type="pct"/>
            <w:gridSpan w:val="3"/>
            <w:tcBorders>
              <w:top w:val="nil"/>
              <w:left w:val="nil"/>
              <w:bottom w:val="single" w:sz="4" w:space="0" w:color="auto"/>
              <w:right w:val="nil"/>
            </w:tcBorders>
            <w:shd w:val="clear" w:color="auto" w:fill="auto"/>
            <w:noWrap/>
            <w:vAlign w:val="bottom"/>
            <w:hideMark/>
          </w:tcPr>
          <w:p w14:paraId="1043437E" w14:textId="77777777" w:rsidR="004449AB" w:rsidRPr="004449AB" w:rsidRDefault="004449AB" w:rsidP="004449AB">
            <w:pPr>
              <w:spacing w:after="0" w:line="240" w:lineRule="auto"/>
              <w:jc w:val="center"/>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 </w:t>
            </w:r>
          </w:p>
        </w:tc>
        <w:tc>
          <w:tcPr>
            <w:tcW w:w="74" w:type="pct"/>
            <w:tcBorders>
              <w:top w:val="nil"/>
              <w:left w:val="nil"/>
              <w:bottom w:val="nil"/>
              <w:right w:val="nil"/>
            </w:tcBorders>
            <w:shd w:val="clear" w:color="auto" w:fill="auto"/>
            <w:noWrap/>
            <w:vAlign w:val="bottom"/>
            <w:hideMark/>
          </w:tcPr>
          <w:p w14:paraId="7F80F2EA" w14:textId="77777777" w:rsidR="004449AB" w:rsidRPr="004449AB" w:rsidRDefault="004449AB" w:rsidP="004449AB">
            <w:pPr>
              <w:spacing w:after="0" w:line="240" w:lineRule="auto"/>
              <w:jc w:val="center"/>
              <w:rPr>
                <w:rFonts w:ascii="Arial" w:eastAsia="Times New Roman" w:hAnsi="Arial" w:cs="Arial"/>
                <w:b/>
                <w:bCs/>
                <w:kern w:val="0"/>
                <w:sz w:val="16"/>
                <w:szCs w:val="16"/>
                <w:lang w:eastAsia="pt-BR"/>
                <w14:ligatures w14:val="none"/>
              </w:rPr>
            </w:pPr>
          </w:p>
        </w:tc>
      </w:tr>
      <w:tr w:rsidR="004449AB" w:rsidRPr="004449AB" w14:paraId="5FE30FDD" w14:textId="77777777" w:rsidTr="00075425">
        <w:trPr>
          <w:trHeight w:val="198"/>
        </w:trPr>
        <w:tc>
          <w:tcPr>
            <w:tcW w:w="3235" w:type="pct"/>
            <w:tcBorders>
              <w:top w:val="nil"/>
              <w:left w:val="nil"/>
              <w:bottom w:val="nil"/>
              <w:right w:val="nil"/>
            </w:tcBorders>
            <w:shd w:val="clear" w:color="auto" w:fill="auto"/>
            <w:noWrap/>
            <w:vAlign w:val="bottom"/>
            <w:hideMark/>
          </w:tcPr>
          <w:p w14:paraId="7AB41B77"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c>
          <w:tcPr>
            <w:tcW w:w="797" w:type="pct"/>
            <w:tcBorders>
              <w:top w:val="single" w:sz="4" w:space="0" w:color="auto"/>
              <w:left w:val="nil"/>
              <w:bottom w:val="single" w:sz="4" w:space="0" w:color="auto"/>
              <w:right w:val="nil"/>
            </w:tcBorders>
            <w:shd w:val="clear" w:color="auto" w:fill="auto"/>
            <w:noWrap/>
            <w:vAlign w:val="bottom"/>
            <w:hideMark/>
          </w:tcPr>
          <w:p w14:paraId="6A8E9AC4" w14:textId="77777777" w:rsidR="004449AB" w:rsidRPr="004449AB" w:rsidRDefault="004449AB" w:rsidP="004449AB">
            <w:pPr>
              <w:spacing w:after="0" w:line="240" w:lineRule="auto"/>
              <w:jc w:val="center"/>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2023</w:t>
            </w:r>
          </w:p>
        </w:tc>
        <w:tc>
          <w:tcPr>
            <w:tcW w:w="74" w:type="pct"/>
            <w:tcBorders>
              <w:top w:val="nil"/>
              <w:left w:val="nil"/>
              <w:bottom w:val="nil"/>
              <w:right w:val="nil"/>
            </w:tcBorders>
            <w:shd w:val="clear" w:color="auto" w:fill="auto"/>
            <w:noWrap/>
            <w:vAlign w:val="bottom"/>
            <w:hideMark/>
          </w:tcPr>
          <w:p w14:paraId="7BD438D3" w14:textId="77777777" w:rsidR="004449AB" w:rsidRPr="004449AB" w:rsidRDefault="004449AB" w:rsidP="004449AB">
            <w:pPr>
              <w:spacing w:after="0" w:line="240" w:lineRule="auto"/>
              <w:jc w:val="center"/>
              <w:rPr>
                <w:rFonts w:ascii="Arial" w:eastAsia="Times New Roman" w:hAnsi="Arial" w:cs="Arial"/>
                <w:b/>
                <w:bCs/>
                <w:kern w:val="0"/>
                <w:sz w:val="16"/>
                <w:szCs w:val="16"/>
                <w:lang w:eastAsia="pt-BR"/>
                <w14:ligatures w14:val="none"/>
              </w:rPr>
            </w:pPr>
          </w:p>
        </w:tc>
        <w:tc>
          <w:tcPr>
            <w:tcW w:w="821" w:type="pct"/>
            <w:tcBorders>
              <w:top w:val="nil"/>
              <w:left w:val="nil"/>
              <w:bottom w:val="single" w:sz="4" w:space="0" w:color="auto"/>
              <w:right w:val="nil"/>
            </w:tcBorders>
            <w:shd w:val="clear" w:color="auto" w:fill="auto"/>
            <w:vAlign w:val="center"/>
            <w:hideMark/>
          </w:tcPr>
          <w:p w14:paraId="1794FEE0" w14:textId="77777777" w:rsidR="004449AB" w:rsidRPr="004449AB" w:rsidRDefault="004449AB" w:rsidP="004449AB">
            <w:pPr>
              <w:spacing w:after="0" w:line="240" w:lineRule="auto"/>
              <w:jc w:val="center"/>
              <w:rPr>
                <w:rFonts w:ascii="Arial" w:eastAsia="Times New Roman" w:hAnsi="Arial" w:cs="Arial"/>
                <w:b/>
                <w:bCs/>
                <w:color w:val="000000"/>
                <w:kern w:val="0"/>
                <w:sz w:val="16"/>
                <w:szCs w:val="16"/>
                <w:lang w:eastAsia="pt-BR"/>
                <w14:ligatures w14:val="none"/>
              </w:rPr>
            </w:pPr>
            <w:proofErr w:type="gramStart"/>
            <w:r w:rsidRPr="004449AB">
              <w:rPr>
                <w:rFonts w:ascii="Arial" w:eastAsia="Times New Roman" w:hAnsi="Arial" w:cs="Arial"/>
                <w:b/>
                <w:bCs/>
                <w:color w:val="000000"/>
                <w:kern w:val="0"/>
                <w:sz w:val="16"/>
                <w:szCs w:val="16"/>
                <w:lang w:eastAsia="pt-BR"/>
                <w14:ligatures w14:val="none"/>
              </w:rPr>
              <w:t>2022  Reapresentado</w:t>
            </w:r>
            <w:proofErr w:type="gramEnd"/>
          </w:p>
        </w:tc>
        <w:tc>
          <w:tcPr>
            <w:tcW w:w="74" w:type="pct"/>
            <w:tcBorders>
              <w:top w:val="nil"/>
              <w:left w:val="nil"/>
              <w:bottom w:val="nil"/>
              <w:right w:val="nil"/>
            </w:tcBorders>
            <w:shd w:val="clear" w:color="auto" w:fill="auto"/>
            <w:noWrap/>
            <w:vAlign w:val="bottom"/>
            <w:hideMark/>
          </w:tcPr>
          <w:p w14:paraId="4A02938B" w14:textId="77777777" w:rsidR="004449AB" w:rsidRPr="004449AB" w:rsidRDefault="004449AB" w:rsidP="004449AB">
            <w:pPr>
              <w:spacing w:after="0" w:line="240" w:lineRule="auto"/>
              <w:jc w:val="center"/>
              <w:rPr>
                <w:rFonts w:ascii="Arial" w:eastAsia="Times New Roman" w:hAnsi="Arial" w:cs="Arial"/>
                <w:b/>
                <w:bCs/>
                <w:color w:val="000000"/>
                <w:kern w:val="0"/>
                <w:sz w:val="16"/>
                <w:szCs w:val="16"/>
                <w:lang w:eastAsia="pt-BR"/>
                <w14:ligatures w14:val="none"/>
              </w:rPr>
            </w:pPr>
          </w:p>
        </w:tc>
      </w:tr>
      <w:tr w:rsidR="004449AB" w:rsidRPr="004449AB" w14:paraId="7D5F9C42" w14:textId="77777777" w:rsidTr="00075425">
        <w:trPr>
          <w:trHeight w:val="198"/>
        </w:trPr>
        <w:tc>
          <w:tcPr>
            <w:tcW w:w="3235" w:type="pct"/>
            <w:tcBorders>
              <w:top w:val="nil"/>
              <w:left w:val="nil"/>
              <w:bottom w:val="nil"/>
              <w:right w:val="nil"/>
            </w:tcBorders>
            <w:shd w:val="clear" w:color="auto" w:fill="auto"/>
            <w:noWrap/>
            <w:vAlign w:val="bottom"/>
            <w:hideMark/>
          </w:tcPr>
          <w:p w14:paraId="24E47F5B"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c>
          <w:tcPr>
            <w:tcW w:w="797" w:type="pct"/>
            <w:tcBorders>
              <w:top w:val="nil"/>
              <w:left w:val="nil"/>
              <w:bottom w:val="nil"/>
              <w:right w:val="nil"/>
            </w:tcBorders>
            <w:shd w:val="clear" w:color="auto" w:fill="auto"/>
            <w:noWrap/>
            <w:vAlign w:val="bottom"/>
            <w:hideMark/>
          </w:tcPr>
          <w:p w14:paraId="6CF69960"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c>
          <w:tcPr>
            <w:tcW w:w="74" w:type="pct"/>
            <w:tcBorders>
              <w:top w:val="nil"/>
              <w:left w:val="nil"/>
              <w:bottom w:val="nil"/>
              <w:right w:val="nil"/>
            </w:tcBorders>
            <w:shd w:val="clear" w:color="auto" w:fill="auto"/>
            <w:noWrap/>
            <w:vAlign w:val="bottom"/>
            <w:hideMark/>
          </w:tcPr>
          <w:p w14:paraId="4B66F77A" w14:textId="77777777" w:rsidR="004449AB" w:rsidRPr="004449AB" w:rsidRDefault="004449AB" w:rsidP="004449AB">
            <w:pPr>
              <w:spacing w:after="0" w:line="240" w:lineRule="auto"/>
              <w:jc w:val="center"/>
              <w:rPr>
                <w:rFonts w:ascii="Times New Roman" w:eastAsia="Times New Roman" w:hAnsi="Times New Roman" w:cs="Times New Roman"/>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4830EA0C" w14:textId="77777777" w:rsidR="004449AB" w:rsidRPr="004449AB" w:rsidRDefault="004449AB" w:rsidP="004449AB">
            <w:pPr>
              <w:spacing w:after="0" w:line="240" w:lineRule="auto"/>
              <w:jc w:val="center"/>
              <w:rPr>
                <w:rFonts w:ascii="Times New Roman" w:eastAsia="Times New Roman" w:hAnsi="Times New Roman" w:cs="Times New Roman"/>
                <w:kern w:val="0"/>
                <w:sz w:val="16"/>
                <w:szCs w:val="16"/>
                <w:lang w:eastAsia="pt-BR"/>
                <w14:ligatures w14:val="none"/>
              </w:rPr>
            </w:pPr>
          </w:p>
        </w:tc>
        <w:tc>
          <w:tcPr>
            <w:tcW w:w="74" w:type="pct"/>
            <w:tcBorders>
              <w:top w:val="nil"/>
              <w:left w:val="nil"/>
              <w:bottom w:val="nil"/>
              <w:right w:val="nil"/>
            </w:tcBorders>
            <w:shd w:val="clear" w:color="auto" w:fill="auto"/>
            <w:noWrap/>
            <w:vAlign w:val="bottom"/>
            <w:hideMark/>
          </w:tcPr>
          <w:p w14:paraId="178FA953" w14:textId="77777777" w:rsidR="004449AB" w:rsidRPr="004449AB" w:rsidRDefault="004449AB" w:rsidP="004449AB">
            <w:pPr>
              <w:spacing w:after="0" w:line="240" w:lineRule="auto"/>
              <w:jc w:val="center"/>
              <w:rPr>
                <w:rFonts w:ascii="Times New Roman" w:eastAsia="Times New Roman" w:hAnsi="Times New Roman" w:cs="Times New Roman"/>
                <w:kern w:val="0"/>
                <w:sz w:val="16"/>
                <w:szCs w:val="16"/>
                <w:lang w:eastAsia="pt-BR"/>
                <w14:ligatures w14:val="none"/>
              </w:rPr>
            </w:pPr>
          </w:p>
        </w:tc>
      </w:tr>
      <w:tr w:rsidR="004449AB" w:rsidRPr="004449AB" w14:paraId="480EB84E" w14:textId="77777777" w:rsidTr="00075425">
        <w:trPr>
          <w:trHeight w:val="198"/>
        </w:trPr>
        <w:tc>
          <w:tcPr>
            <w:tcW w:w="3235" w:type="pct"/>
            <w:tcBorders>
              <w:top w:val="nil"/>
              <w:left w:val="nil"/>
              <w:bottom w:val="nil"/>
              <w:right w:val="nil"/>
            </w:tcBorders>
            <w:shd w:val="clear" w:color="auto" w:fill="auto"/>
            <w:noWrap/>
            <w:vAlign w:val="center"/>
            <w:hideMark/>
          </w:tcPr>
          <w:p w14:paraId="57FA7847" w14:textId="77777777" w:rsidR="004449AB" w:rsidRPr="004449AB" w:rsidRDefault="004449AB" w:rsidP="004449AB">
            <w:pPr>
              <w:spacing w:after="0" w:line="240" w:lineRule="auto"/>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Receitas</w:t>
            </w:r>
          </w:p>
        </w:tc>
        <w:tc>
          <w:tcPr>
            <w:tcW w:w="797" w:type="pct"/>
            <w:tcBorders>
              <w:top w:val="nil"/>
              <w:left w:val="nil"/>
              <w:bottom w:val="nil"/>
              <w:right w:val="nil"/>
            </w:tcBorders>
            <w:shd w:val="clear" w:color="auto" w:fill="auto"/>
            <w:noWrap/>
            <w:vAlign w:val="bottom"/>
            <w:hideMark/>
          </w:tcPr>
          <w:p w14:paraId="3EE50FA3"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 xml:space="preserve">                 694.706 </w:t>
            </w:r>
          </w:p>
        </w:tc>
        <w:tc>
          <w:tcPr>
            <w:tcW w:w="74" w:type="pct"/>
            <w:tcBorders>
              <w:top w:val="nil"/>
              <w:left w:val="nil"/>
              <w:bottom w:val="nil"/>
              <w:right w:val="nil"/>
            </w:tcBorders>
            <w:shd w:val="clear" w:color="auto" w:fill="auto"/>
            <w:noWrap/>
            <w:vAlign w:val="bottom"/>
            <w:hideMark/>
          </w:tcPr>
          <w:p w14:paraId="7495C3DE"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30880BD1"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 xml:space="preserve">                 600.723 </w:t>
            </w:r>
          </w:p>
        </w:tc>
        <w:tc>
          <w:tcPr>
            <w:tcW w:w="74" w:type="pct"/>
            <w:tcBorders>
              <w:top w:val="nil"/>
              <w:left w:val="nil"/>
              <w:bottom w:val="nil"/>
              <w:right w:val="nil"/>
            </w:tcBorders>
            <w:shd w:val="clear" w:color="auto" w:fill="auto"/>
            <w:noWrap/>
            <w:vAlign w:val="bottom"/>
            <w:hideMark/>
          </w:tcPr>
          <w:p w14:paraId="6E3A279E"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p>
        </w:tc>
      </w:tr>
      <w:tr w:rsidR="004449AB" w:rsidRPr="004449AB" w14:paraId="53EE6D1E" w14:textId="77777777" w:rsidTr="00075425">
        <w:trPr>
          <w:trHeight w:val="198"/>
        </w:trPr>
        <w:tc>
          <w:tcPr>
            <w:tcW w:w="3235" w:type="pct"/>
            <w:tcBorders>
              <w:top w:val="nil"/>
              <w:left w:val="nil"/>
              <w:bottom w:val="nil"/>
              <w:right w:val="nil"/>
            </w:tcBorders>
            <w:shd w:val="clear" w:color="auto" w:fill="auto"/>
            <w:noWrap/>
            <w:vAlign w:val="bottom"/>
            <w:hideMark/>
          </w:tcPr>
          <w:p w14:paraId="77C1755B" w14:textId="77777777" w:rsidR="004449AB" w:rsidRPr="004449AB" w:rsidRDefault="004449AB" w:rsidP="004449AB">
            <w:pPr>
              <w:spacing w:after="0" w:line="240" w:lineRule="auto"/>
              <w:ind w:firstLineChars="300" w:firstLine="48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Prestação de Serviços</w:t>
            </w:r>
          </w:p>
        </w:tc>
        <w:tc>
          <w:tcPr>
            <w:tcW w:w="797" w:type="pct"/>
            <w:tcBorders>
              <w:top w:val="nil"/>
              <w:left w:val="nil"/>
              <w:bottom w:val="nil"/>
              <w:right w:val="nil"/>
            </w:tcBorders>
            <w:shd w:val="clear" w:color="auto" w:fill="auto"/>
            <w:noWrap/>
            <w:vAlign w:val="bottom"/>
            <w:hideMark/>
          </w:tcPr>
          <w:p w14:paraId="53C008E9"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387.325 </w:t>
            </w:r>
          </w:p>
        </w:tc>
        <w:tc>
          <w:tcPr>
            <w:tcW w:w="74" w:type="pct"/>
            <w:tcBorders>
              <w:top w:val="nil"/>
              <w:left w:val="nil"/>
              <w:bottom w:val="nil"/>
              <w:right w:val="nil"/>
            </w:tcBorders>
            <w:shd w:val="clear" w:color="auto" w:fill="auto"/>
            <w:noWrap/>
            <w:vAlign w:val="bottom"/>
            <w:hideMark/>
          </w:tcPr>
          <w:p w14:paraId="0922BF5F"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15144222"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329.120 </w:t>
            </w:r>
          </w:p>
        </w:tc>
        <w:tc>
          <w:tcPr>
            <w:tcW w:w="74" w:type="pct"/>
            <w:tcBorders>
              <w:top w:val="nil"/>
              <w:left w:val="nil"/>
              <w:bottom w:val="nil"/>
              <w:right w:val="nil"/>
            </w:tcBorders>
            <w:shd w:val="clear" w:color="auto" w:fill="auto"/>
            <w:noWrap/>
            <w:vAlign w:val="bottom"/>
            <w:hideMark/>
          </w:tcPr>
          <w:p w14:paraId="4539C2AE"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r>
      <w:tr w:rsidR="004449AB" w:rsidRPr="004449AB" w14:paraId="6FC0156E" w14:textId="77777777" w:rsidTr="00075425">
        <w:trPr>
          <w:trHeight w:val="198"/>
        </w:trPr>
        <w:tc>
          <w:tcPr>
            <w:tcW w:w="3235" w:type="pct"/>
            <w:tcBorders>
              <w:top w:val="nil"/>
              <w:left w:val="nil"/>
              <w:bottom w:val="nil"/>
              <w:right w:val="nil"/>
            </w:tcBorders>
            <w:shd w:val="clear" w:color="auto" w:fill="auto"/>
            <w:noWrap/>
            <w:vAlign w:val="bottom"/>
            <w:hideMark/>
          </w:tcPr>
          <w:p w14:paraId="7CDD04EA" w14:textId="77777777" w:rsidR="004449AB" w:rsidRPr="004449AB" w:rsidRDefault="004449AB" w:rsidP="004449AB">
            <w:pPr>
              <w:spacing w:after="0" w:line="240" w:lineRule="auto"/>
              <w:ind w:firstLineChars="300" w:firstLine="48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Subvenções Orçamentárias Recebidas</w:t>
            </w:r>
          </w:p>
        </w:tc>
        <w:tc>
          <w:tcPr>
            <w:tcW w:w="797" w:type="pct"/>
            <w:tcBorders>
              <w:top w:val="nil"/>
              <w:left w:val="nil"/>
              <w:bottom w:val="nil"/>
              <w:right w:val="nil"/>
            </w:tcBorders>
            <w:shd w:val="clear" w:color="auto" w:fill="auto"/>
            <w:noWrap/>
            <w:vAlign w:val="bottom"/>
            <w:hideMark/>
          </w:tcPr>
          <w:p w14:paraId="46129039"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240.187 </w:t>
            </w:r>
          </w:p>
        </w:tc>
        <w:tc>
          <w:tcPr>
            <w:tcW w:w="74" w:type="pct"/>
            <w:tcBorders>
              <w:top w:val="nil"/>
              <w:left w:val="nil"/>
              <w:bottom w:val="nil"/>
              <w:right w:val="nil"/>
            </w:tcBorders>
            <w:shd w:val="clear" w:color="auto" w:fill="auto"/>
            <w:noWrap/>
            <w:vAlign w:val="bottom"/>
            <w:hideMark/>
          </w:tcPr>
          <w:p w14:paraId="5133C76D"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4A768FF1"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241.525 </w:t>
            </w:r>
          </w:p>
        </w:tc>
        <w:tc>
          <w:tcPr>
            <w:tcW w:w="74" w:type="pct"/>
            <w:tcBorders>
              <w:top w:val="nil"/>
              <w:left w:val="nil"/>
              <w:bottom w:val="nil"/>
              <w:right w:val="nil"/>
            </w:tcBorders>
            <w:shd w:val="clear" w:color="auto" w:fill="auto"/>
            <w:noWrap/>
            <w:vAlign w:val="bottom"/>
            <w:hideMark/>
          </w:tcPr>
          <w:p w14:paraId="417CE73E"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r>
      <w:tr w:rsidR="004449AB" w:rsidRPr="004449AB" w14:paraId="3192BC35" w14:textId="77777777" w:rsidTr="00075425">
        <w:trPr>
          <w:trHeight w:val="198"/>
        </w:trPr>
        <w:tc>
          <w:tcPr>
            <w:tcW w:w="3235" w:type="pct"/>
            <w:tcBorders>
              <w:top w:val="nil"/>
              <w:left w:val="nil"/>
              <w:bottom w:val="nil"/>
              <w:right w:val="nil"/>
            </w:tcBorders>
            <w:shd w:val="clear" w:color="auto" w:fill="auto"/>
            <w:noWrap/>
            <w:vAlign w:val="bottom"/>
            <w:hideMark/>
          </w:tcPr>
          <w:p w14:paraId="370309FC" w14:textId="77777777" w:rsidR="004449AB" w:rsidRPr="004449AB" w:rsidRDefault="004449AB" w:rsidP="004449AB">
            <w:pPr>
              <w:spacing w:after="0" w:line="240" w:lineRule="auto"/>
              <w:ind w:firstLineChars="300" w:firstLine="48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Outras Receitas</w:t>
            </w:r>
          </w:p>
        </w:tc>
        <w:tc>
          <w:tcPr>
            <w:tcW w:w="797" w:type="pct"/>
            <w:tcBorders>
              <w:top w:val="nil"/>
              <w:left w:val="nil"/>
              <w:bottom w:val="nil"/>
              <w:right w:val="nil"/>
            </w:tcBorders>
            <w:shd w:val="clear" w:color="auto" w:fill="auto"/>
            <w:noWrap/>
            <w:vAlign w:val="bottom"/>
            <w:hideMark/>
          </w:tcPr>
          <w:p w14:paraId="0AA2C71E"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48.179 </w:t>
            </w:r>
          </w:p>
        </w:tc>
        <w:tc>
          <w:tcPr>
            <w:tcW w:w="74" w:type="pct"/>
            <w:tcBorders>
              <w:top w:val="nil"/>
              <w:left w:val="nil"/>
              <w:bottom w:val="nil"/>
              <w:right w:val="nil"/>
            </w:tcBorders>
            <w:shd w:val="clear" w:color="auto" w:fill="auto"/>
            <w:noWrap/>
            <w:vAlign w:val="bottom"/>
            <w:hideMark/>
          </w:tcPr>
          <w:p w14:paraId="21BD70B7"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7B99D366"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10.829 </w:t>
            </w:r>
          </w:p>
        </w:tc>
        <w:tc>
          <w:tcPr>
            <w:tcW w:w="74" w:type="pct"/>
            <w:tcBorders>
              <w:top w:val="nil"/>
              <w:left w:val="nil"/>
              <w:bottom w:val="nil"/>
              <w:right w:val="nil"/>
            </w:tcBorders>
            <w:shd w:val="clear" w:color="auto" w:fill="auto"/>
            <w:noWrap/>
            <w:vAlign w:val="bottom"/>
            <w:hideMark/>
          </w:tcPr>
          <w:p w14:paraId="574FF5BA"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r>
      <w:tr w:rsidR="004449AB" w:rsidRPr="004449AB" w14:paraId="491B9035" w14:textId="77777777" w:rsidTr="00075425">
        <w:trPr>
          <w:trHeight w:val="198"/>
        </w:trPr>
        <w:tc>
          <w:tcPr>
            <w:tcW w:w="3235" w:type="pct"/>
            <w:tcBorders>
              <w:top w:val="nil"/>
              <w:left w:val="nil"/>
              <w:bottom w:val="nil"/>
              <w:right w:val="nil"/>
            </w:tcBorders>
            <w:shd w:val="clear" w:color="auto" w:fill="auto"/>
            <w:noWrap/>
            <w:vAlign w:val="bottom"/>
            <w:hideMark/>
          </w:tcPr>
          <w:p w14:paraId="654B1CB6" w14:textId="77777777" w:rsidR="004449AB" w:rsidRPr="004449AB" w:rsidRDefault="004449AB" w:rsidP="004449AB">
            <w:pPr>
              <w:spacing w:after="0" w:line="240" w:lineRule="auto"/>
              <w:ind w:firstLineChars="300" w:firstLine="48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Construção de Ativo Próprio</w:t>
            </w:r>
          </w:p>
        </w:tc>
        <w:tc>
          <w:tcPr>
            <w:tcW w:w="797" w:type="pct"/>
            <w:tcBorders>
              <w:top w:val="nil"/>
              <w:left w:val="nil"/>
              <w:bottom w:val="nil"/>
              <w:right w:val="nil"/>
            </w:tcBorders>
            <w:shd w:val="clear" w:color="auto" w:fill="auto"/>
            <w:noWrap/>
            <w:vAlign w:val="bottom"/>
            <w:hideMark/>
          </w:tcPr>
          <w:p w14:paraId="0D995BB2"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20.329 </w:t>
            </w:r>
          </w:p>
        </w:tc>
        <w:tc>
          <w:tcPr>
            <w:tcW w:w="74" w:type="pct"/>
            <w:tcBorders>
              <w:top w:val="nil"/>
              <w:left w:val="nil"/>
              <w:bottom w:val="nil"/>
              <w:right w:val="nil"/>
            </w:tcBorders>
            <w:shd w:val="clear" w:color="auto" w:fill="auto"/>
            <w:noWrap/>
            <w:vAlign w:val="bottom"/>
            <w:hideMark/>
          </w:tcPr>
          <w:p w14:paraId="4F5F6C84"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1AD2EE47"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18.207 </w:t>
            </w:r>
          </w:p>
        </w:tc>
        <w:tc>
          <w:tcPr>
            <w:tcW w:w="74" w:type="pct"/>
            <w:tcBorders>
              <w:top w:val="nil"/>
              <w:left w:val="nil"/>
              <w:bottom w:val="nil"/>
              <w:right w:val="nil"/>
            </w:tcBorders>
            <w:shd w:val="clear" w:color="auto" w:fill="auto"/>
            <w:noWrap/>
            <w:vAlign w:val="bottom"/>
            <w:hideMark/>
          </w:tcPr>
          <w:p w14:paraId="290BE9F8"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r>
      <w:tr w:rsidR="004449AB" w:rsidRPr="004449AB" w14:paraId="5834049D" w14:textId="77777777" w:rsidTr="00075425">
        <w:trPr>
          <w:trHeight w:val="198"/>
        </w:trPr>
        <w:tc>
          <w:tcPr>
            <w:tcW w:w="3235" w:type="pct"/>
            <w:tcBorders>
              <w:top w:val="nil"/>
              <w:left w:val="nil"/>
              <w:bottom w:val="nil"/>
              <w:right w:val="nil"/>
            </w:tcBorders>
            <w:shd w:val="clear" w:color="auto" w:fill="auto"/>
            <w:noWrap/>
            <w:vAlign w:val="bottom"/>
            <w:hideMark/>
          </w:tcPr>
          <w:p w14:paraId="4178152D" w14:textId="77777777" w:rsidR="004449AB" w:rsidRPr="004449AB" w:rsidRDefault="004449AB" w:rsidP="004449AB">
            <w:pPr>
              <w:spacing w:after="0" w:line="240" w:lineRule="auto"/>
              <w:ind w:firstLineChars="300" w:firstLine="48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Perdas Estimadas com Créditos de Liquidação Duvidosa</w:t>
            </w:r>
          </w:p>
        </w:tc>
        <w:tc>
          <w:tcPr>
            <w:tcW w:w="797" w:type="pct"/>
            <w:tcBorders>
              <w:top w:val="nil"/>
              <w:left w:val="nil"/>
              <w:bottom w:val="nil"/>
              <w:right w:val="nil"/>
            </w:tcBorders>
            <w:shd w:val="clear" w:color="auto" w:fill="auto"/>
            <w:noWrap/>
            <w:vAlign w:val="bottom"/>
            <w:hideMark/>
          </w:tcPr>
          <w:p w14:paraId="36D1239C"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(1.314)</w:t>
            </w:r>
          </w:p>
        </w:tc>
        <w:tc>
          <w:tcPr>
            <w:tcW w:w="74" w:type="pct"/>
            <w:tcBorders>
              <w:top w:val="nil"/>
              <w:left w:val="nil"/>
              <w:bottom w:val="nil"/>
              <w:right w:val="nil"/>
            </w:tcBorders>
            <w:shd w:val="clear" w:color="auto" w:fill="auto"/>
            <w:noWrap/>
            <w:vAlign w:val="bottom"/>
            <w:hideMark/>
          </w:tcPr>
          <w:p w14:paraId="104FDD5C"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62EBC30C"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1.042 </w:t>
            </w:r>
          </w:p>
        </w:tc>
        <w:tc>
          <w:tcPr>
            <w:tcW w:w="74" w:type="pct"/>
            <w:tcBorders>
              <w:top w:val="nil"/>
              <w:left w:val="nil"/>
              <w:bottom w:val="nil"/>
              <w:right w:val="nil"/>
            </w:tcBorders>
            <w:shd w:val="clear" w:color="auto" w:fill="auto"/>
            <w:noWrap/>
            <w:vAlign w:val="bottom"/>
            <w:hideMark/>
          </w:tcPr>
          <w:p w14:paraId="09A69F25"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r>
      <w:tr w:rsidR="004449AB" w:rsidRPr="004449AB" w14:paraId="1FEAA60E" w14:textId="77777777" w:rsidTr="00075425">
        <w:trPr>
          <w:trHeight w:val="198"/>
        </w:trPr>
        <w:tc>
          <w:tcPr>
            <w:tcW w:w="3235" w:type="pct"/>
            <w:tcBorders>
              <w:top w:val="nil"/>
              <w:left w:val="nil"/>
              <w:bottom w:val="nil"/>
              <w:right w:val="nil"/>
            </w:tcBorders>
            <w:shd w:val="clear" w:color="auto" w:fill="auto"/>
            <w:noWrap/>
            <w:vAlign w:val="bottom"/>
            <w:hideMark/>
          </w:tcPr>
          <w:p w14:paraId="5EA1E163"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c>
          <w:tcPr>
            <w:tcW w:w="797" w:type="pct"/>
            <w:tcBorders>
              <w:top w:val="nil"/>
              <w:left w:val="nil"/>
              <w:bottom w:val="nil"/>
              <w:right w:val="nil"/>
            </w:tcBorders>
            <w:shd w:val="clear" w:color="auto" w:fill="auto"/>
            <w:noWrap/>
            <w:vAlign w:val="bottom"/>
            <w:hideMark/>
          </w:tcPr>
          <w:p w14:paraId="03507174"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74" w:type="pct"/>
            <w:tcBorders>
              <w:top w:val="nil"/>
              <w:left w:val="nil"/>
              <w:bottom w:val="nil"/>
              <w:right w:val="nil"/>
            </w:tcBorders>
            <w:shd w:val="clear" w:color="auto" w:fill="auto"/>
            <w:noWrap/>
            <w:vAlign w:val="bottom"/>
            <w:hideMark/>
          </w:tcPr>
          <w:p w14:paraId="401D247D"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390DB5D7"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74" w:type="pct"/>
            <w:tcBorders>
              <w:top w:val="nil"/>
              <w:left w:val="nil"/>
              <w:bottom w:val="nil"/>
              <w:right w:val="nil"/>
            </w:tcBorders>
            <w:shd w:val="clear" w:color="auto" w:fill="auto"/>
            <w:noWrap/>
            <w:vAlign w:val="bottom"/>
            <w:hideMark/>
          </w:tcPr>
          <w:p w14:paraId="5E05CF32"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r>
      <w:tr w:rsidR="004449AB" w:rsidRPr="004449AB" w14:paraId="6E73631A" w14:textId="77777777" w:rsidTr="00075425">
        <w:trPr>
          <w:trHeight w:val="198"/>
        </w:trPr>
        <w:tc>
          <w:tcPr>
            <w:tcW w:w="3235" w:type="pct"/>
            <w:tcBorders>
              <w:top w:val="nil"/>
              <w:left w:val="nil"/>
              <w:bottom w:val="nil"/>
              <w:right w:val="nil"/>
            </w:tcBorders>
            <w:shd w:val="clear" w:color="auto" w:fill="auto"/>
            <w:noWrap/>
            <w:vAlign w:val="bottom"/>
            <w:hideMark/>
          </w:tcPr>
          <w:p w14:paraId="07F1285A" w14:textId="77777777" w:rsidR="004449AB" w:rsidRPr="004449AB" w:rsidRDefault="004449AB" w:rsidP="004449AB">
            <w:pPr>
              <w:spacing w:after="0" w:line="240" w:lineRule="auto"/>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Insumos Adquiridos de Terceiros</w:t>
            </w:r>
          </w:p>
        </w:tc>
        <w:tc>
          <w:tcPr>
            <w:tcW w:w="797" w:type="pct"/>
            <w:tcBorders>
              <w:top w:val="nil"/>
              <w:left w:val="nil"/>
              <w:bottom w:val="nil"/>
              <w:right w:val="nil"/>
            </w:tcBorders>
            <w:shd w:val="clear" w:color="auto" w:fill="auto"/>
            <w:noWrap/>
            <w:vAlign w:val="bottom"/>
            <w:hideMark/>
          </w:tcPr>
          <w:p w14:paraId="49A5C030"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 xml:space="preserve">               (342.873)</w:t>
            </w:r>
          </w:p>
        </w:tc>
        <w:tc>
          <w:tcPr>
            <w:tcW w:w="74" w:type="pct"/>
            <w:tcBorders>
              <w:top w:val="nil"/>
              <w:left w:val="nil"/>
              <w:bottom w:val="nil"/>
              <w:right w:val="nil"/>
            </w:tcBorders>
            <w:shd w:val="clear" w:color="auto" w:fill="auto"/>
            <w:noWrap/>
            <w:vAlign w:val="bottom"/>
            <w:hideMark/>
          </w:tcPr>
          <w:p w14:paraId="76CAD3D1"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5E2CE5B8"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 xml:space="preserve">               (261.238)</w:t>
            </w:r>
          </w:p>
        </w:tc>
        <w:tc>
          <w:tcPr>
            <w:tcW w:w="74" w:type="pct"/>
            <w:tcBorders>
              <w:top w:val="nil"/>
              <w:left w:val="nil"/>
              <w:bottom w:val="nil"/>
              <w:right w:val="nil"/>
            </w:tcBorders>
            <w:shd w:val="clear" w:color="auto" w:fill="auto"/>
            <w:noWrap/>
            <w:vAlign w:val="bottom"/>
            <w:hideMark/>
          </w:tcPr>
          <w:p w14:paraId="7B75BA27" w14:textId="77777777" w:rsidR="004449AB" w:rsidRPr="004449AB" w:rsidRDefault="004449AB" w:rsidP="004449AB">
            <w:pPr>
              <w:spacing w:after="0" w:line="240" w:lineRule="auto"/>
              <w:rPr>
                <w:rFonts w:ascii="Arial" w:eastAsia="Times New Roman" w:hAnsi="Arial" w:cs="Arial"/>
                <w:b/>
                <w:bCs/>
                <w:kern w:val="0"/>
                <w:sz w:val="16"/>
                <w:szCs w:val="16"/>
                <w:lang w:eastAsia="pt-BR"/>
                <w14:ligatures w14:val="none"/>
              </w:rPr>
            </w:pPr>
          </w:p>
        </w:tc>
      </w:tr>
      <w:tr w:rsidR="004449AB" w:rsidRPr="004449AB" w14:paraId="277129B9" w14:textId="77777777" w:rsidTr="00075425">
        <w:trPr>
          <w:trHeight w:val="198"/>
        </w:trPr>
        <w:tc>
          <w:tcPr>
            <w:tcW w:w="3235" w:type="pct"/>
            <w:tcBorders>
              <w:top w:val="nil"/>
              <w:left w:val="nil"/>
              <w:bottom w:val="nil"/>
              <w:right w:val="nil"/>
            </w:tcBorders>
            <w:shd w:val="clear" w:color="auto" w:fill="auto"/>
            <w:noWrap/>
            <w:vAlign w:val="bottom"/>
            <w:hideMark/>
          </w:tcPr>
          <w:p w14:paraId="5BADBCE0" w14:textId="77777777" w:rsidR="004449AB" w:rsidRPr="004449AB" w:rsidRDefault="004449AB" w:rsidP="004449AB">
            <w:pPr>
              <w:spacing w:after="0" w:line="240" w:lineRule="auto"/>
              <w:ind w:firstLineChars="300" w:firstLine="48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Custos dos Serviços Vendidos</w:t>
            </w:r>
          </w:p>
        </w:tc>
        <w:tc>
          <w:tcPr>
            <w:tcW w:w="797" w:type="pct"/>
            <w:tcBorders>
              <w:top w:val="nil"/>
              <w:left w:val="nil"/>
              <w:bottom w:val="nil"/>
              <w:right w:val="nil"/>
            </w:tcBorders>
            <w:shd w:val="clear" w:color="auto" w:fill="auto"/>
            <w:noWrap/>
            <w:vAlign w:val="bottom"/>
            <w:hideMark/>
          </w:tcPr>
          <w:p w14:paraId="3333D4E3"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(282.004)</w:t>
            </w:r>
          </w:p>
        </w:tc>
        <w:tc>
          <w:tcPr>
            <w:tcW w:w="74" w:type="pct"/>
            <w:tcBorders>
              <w:top w:val="nil"/>
              <w:left w:val="nil"/>
              <w:bottom w:val="nil"/>
              <w:right w:val="nil"/>
            </w:tcBorders>
            <w:shd w:val="clear" w:color="auto" w:fill="auto"/>
            <w:noWrap/>
            <w:vAlign w:val="bottom"/>
            <w:hideMark/>
          </w:tcPr>
          <w:p w14:paraId="667AD770"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11A7CEC3"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(224.055)</w:t>
            </w:r>
          </w:p>
        </w:tc>
        <w:tc>
          <w:tcPr>
            <w:tcW w:w="74" w:type="pct"/>
            <w:tcBorders>
              <w:top w:val="nil"/>
              <w:left w:val="nil"/>
              <w:bottom w:val="nil"/>
              <w:right w:val="nil"/>
            </w:tcBorders>
            <w:shd w:val="clear" w:color="auto" w:fill="auto"/>
            <w:noWrap/>
            <w:vAlign w:val="bottom"/>
            <w:hideMark/>
          </w:tcPr>
          <w:p w14:paraId="6DB3D7F8"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r>
      <w:tr w:rsidR="004449AB" w:rsidRPr="004449AB" w14:paraId="793E96BB" w14:textId="77777777" w:rsidTr="00075425">
        <w:trPr>
          <w:trHeight w:val="198"/>
        </w:trPr>
        <w:tc>
          <w:tcPr>
            <w:tcW w:w="3235" w:type="pct"/>
            <w:tcBorders>
              <w:top w:val="nil"/>
              <w:left w:val="nil"/>
              <w:bottom w:val="nil"/>
              <w:right w:val="nil"/>
            </w:tcBorders>
            <w:shd w:val="clear" w:color="auto" w:fill="auto"/>
            <w:noWrap/>
            <w:vAlign w:val="bottom"/>
            <w:hideMark/>
          </w:tcPr>
          <w:p w14:paraId="3B5A75F3" w14:textId="77777777" w:rsidR="004449AB" w:rsidRPr="004449AB" w:rsidRDefault="004449AB" w:rsidP="004449AB">
            <w:pPr>
              <w:spacing w:after="0" w:line="240" w:lineRule="auto"/>
              <w:ind w:firstLineChars="300" w:firstLine="48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Materiais</w:t>
            </w:r>
          </w:p>
        </w:tc>
        <w:tc>
          <w:tcPr>
            <w:tcW w:w="797" w:type="pct"/>
            <w:tcBorders>
              <w:top w:val="nil"/>
              <w:left w:val="nil"/>
              <w:bottom w:val="nil"/>
              <w:right w:val="nil"/>
            </w:tcBorders>
            <w:shd w:val="clear" w:color="auto" w:fill="auto"/>
            <w:noWrap/>
            <w:vAlign w:val="bottom"/>
            <w:hideMark/>
          </w:tcPr>
          <w:p w14:paraId="186BB9A8"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(193)</w:t>
            </w:r>
          </w:p>
        </w:tc>
        <w:tc>
          <w:tcPr>
            <w:tcW w:w="74" w:type="pct"/>
            <w:tcBorders>
              <w:top w:val="nil"/>
              <w:left w:val="nil"/>
              <w:bottom w:val="nil"/>
              <w:right w:val="nil"/>
            </w:tcBorders>
            <w:shd w:val="clear" w:color="auto" w:fill="auto"/>
            <w:noWrap/>
            <w:vAlign w:val="bottom"/>
            <w:hideMark/>
          </w:tcPr>
          <w:p w14:paraId="77BE155B"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52462E28"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(124)</w:t>
            </w:r>
          </w:p>
        </w:tc>
        <w:tc>
          <w:tcPr>
            <w:tcW w:w="74" w:type="pct"/>
            <w:tcBorders>
              <w:top w:val="nil"/>
              <w:left w:val="nil"/>
              <w:bottom w:val="nil"/>
              <w:right w:val="nil"/>
            </w:tcBorders>
            <w:shd w:val="clear" w:color="auto" w:fill="auto"/>
            <w:noWrap/>
            <w:vAlign w:val="bottom"/>
            <w:hideMark/>
          </w:tcPr>
          <w:p w14:paraId="69659629"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r>
      <w:tr w:rsidR="004449AB" w:rsidRPr="004449AB" w14:paraId="44FF93C6" w14:textId="77777777" w:rsidTr="00075425">
        <w:trPr>
          <w:trHeight w:val="198"/>
        </w:trPr>
        <w:tc>
          <w:tcPr>
            <w:tcW w:w="3235" w:type="pct"/>
            <w:tcBorders>
              <w:top w:val="nil"/>
              <w:left w:val="nil"/>
              <w:bottom w:val="nil"/>
              <w:right w:val="nil"/>
            </w:tcBorders>
            <w:shd w:val="clear" w:color="auto" w:fill="auto"/>
            <w:noWrap/>
            <w:vAlign w:val="bottom"/>
            <w:hideMark/>
          </w:tcPr>
          <w:p w14:paraId="71297D17" w14:textId="77777777" w:rsidR="004449AB" w:rsidRPr="004449AB" w:rsidRDefault="004449AB" w:rsidP="004449AB">
            <w:pPr>
              <w:spacing w:after="0" w:line="240" w:lineRule="auto"/>
              <w:ind w:firstLineChars="300" w:firstLine="48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Serviços de Terceiros</w:t>
            </w:r>
          </w:p>
        </w:tc>
        <w:tc>
          <w:tcPr>
            <w:tcW w:w="797" w:type="pct"/>
            <w:tcBorders>
              <w:top w:val="nil"/>
              <w:left w:val="nil"/>
              <w:bottom w:val="nil"/>
              <w:right w:val="nil"/>
            </w:tcBorders>
            <w:shd w:val="clear" w:color="auto" w:fill="auto"/>
            <w:noWrap/>
            <w:vAlign w:val="bottom"/>
            <w:hideMark/>
          </w:tcPr>
          <w:p w14:paraId="5FB0D09E"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(7.556)</w:t>
            </w:r>
          </w:p>
        </w:tc>
        <w:tc>
          <w:tcPr>
            <w:tcW w:w="74" w:type="pct"/>
            <w:tcBorders>
              <w:top w:val="nil"/>
              <w:left w:val="nil"/>
              <w:bottom w:val="nil"/>
              <w:right w:val="nil"/>
            </w:tcBorders>
            <w:shd w:val="clear" w:color="auto" w:fill="auto"/>
            <w:noWrap/>
            <w:vAlign w:val="bottom"/>
            <w:hideMark/>
          </w:tcPr>
          <w:p w14:paraId="1D402194"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4054FEFC"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(7.143)</w:t>
            </w:r>
          </w:p>
        </w:tc>
        <w:tc>
          <w:tcPr>
            <w:tcW w:w="74" w:type="pct"/>
            <w:tcBorders>
              <w:top w:val="nil"/>
              <w:left w:val="nil"/>
              <w:bottom w:val="nil"/>
              <w:right w:val="nil"/>
            </w:tcBorders>
            <w:shd w:val="clear" w:color="auto" w:fill="auto"/>
            <w:noWrap/>
            <w:vAlign w:val="bottom"/>
            <w:hideMark/>
          </w:tcPr>
          <w:p w14:paraId="17C6E9AF"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r>
      <w:tr w:rsidR="004449AB" w:rsidRPr="004449AB" w14:paraId="5B111F11" w14:textId="77777777" w:rsidTr="00075425">
        <w:trPr>
          <w:trHeight w:val="198"/>
        </w:trPr>
        <w:tc>
          <w:tcPr>
            <w:tcW w:w="3235" w:type="pct"/>
            <w:tcBorders>
              <w:top w:val="nil"/>
              <w:left w:val="nil"/>
              <w:bottom w:val="nil"/>
              <w:right w:val="nil"/>
            </w:tcBorders>
            <w:shd w:val="clear" w:color="auto" w:fill="auto"/>
            <w:noWrap/>
            <w:vAlign w:val="bottom"/>
            <w:hideMark/>
          </w:tcPr>
          <w:p w14:paraId="1BD4EB6C" w14:textId="77777777" w:rsidR="004449AB" w:rsidRPr="004449AB" w:rsidRDefault="004449AB" w:rsidP="004449AB">
            <w:pPr>
              <w:spacing w:after="0" w:line="240" w:lineRule="auto"/>
              <w:ind w:firstLineChars="300" w:firstLine="48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Serviços Técnicos Administrativos</w:t>
            </w:r>
          </w:p>
        </w:tc>
        <w:tc>
          <w:tcPr>
            <w:tcW w:w="797" w:type="pct"/>
            <w:tcBorders>
              <w:top w:val="nil"/>
              <w:left w:val="nil"/>
              <w:bottom w:val="nil"/>
              <w:right w:val="nil"/>
            </w:tcBorders>
            <w:shd w:val="clear" w:color="auto" w:fill="auto"/>
            <w:noWrap/>
            <w:vAlign w:val="bottom"/>
            <w:hideMark/>
          </w:tcPr>
          <w:p w14:paraId="52585591"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(8.960)</w:t>
            </w:r>
          </w:p>
        </w:tc>
        <w:tc>
          <w:tcPr>
            <w:tcW w:w="74" w:type="pct"/>
            <w:tcBorders>
              <w:top w:val="nil"/>
              <w:left w:val="nil"/>
              <w:bottom w:val="nil"/>
              <w:right w:val="nil"/>
            </w:tcBorders>
            <w:shd w:val="clear" w:color="auto" w:fill="auto"/>
            <w:noWrap/>
            <w:vAlign w:val="bottom"/>
            <w:hideMark/>
          </w:tcPr>
          <w:p w14:paraId="21D77285"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61511FCC"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(7.661)</w:t>
            </w:r>
          </w:p>
        </w:tc>
        <w:tc>
          <w:tcPr>
            <w:tcW w:w="74" w:type="pct"/>
            <w:tcBorders>
              <w:top w:val="nil"/>
              <w:left w:val="nil"/>
              <w:bottom w:val="nil"/>
              <w:right w:val="nil"/>
            </w:tcBorders>
            <w:shd w:val="clear" w:color="auto" w:fill="auto"/>
            <w:noWrap/>
            <w:vAlign w:val="bottom"/>
            <w:hideMark/>
          </w:tcPr>
          <w:p w14:paraId="003DB9E4"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r>
      <w:tr w:rsidR="004449AB" w:rsidRPr="004449AB" w14:paraId="025513DB" w14:textId="77777777" w:rsidTr="00075425">
        <w:trPr>
          <w:trHeight w:val="198"/>
        </w:trPr>
        <w:tc>
          <w:tcPr>
            <w:tcW w:w="3235" w:type="pct"/>
            <w:tcBorders>
              <w:top w:val="nil"/>
              <w:left w:val="nil"/>
              <w:bottom w:val="nil"/>
              <w:right w:val="nil"/>
            </w:tcBorders>
            <w:shd w:val="clear" w:color="auto" w:fill="auto"/>
            <w:noWrap/>
            <w:vAlign w:val="bottom"/>
            <w:hideMark/>
          </w:tcPr>
          <w:p w14:paraId="3AE1B4B5" w14:textId="77777777" w:rsidR="004449AB" w:rsidRPr="004449AB" w:rsidRDefault="004449AB" w:rsidP="004449AB">
            <w:pPr>
              <w:spacing w:after="0" w:line="240" w:lineRule="auto"/>
              <w:ind w:firstLineChars="300" w:firstLine="48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Perdas</w:t>
            </w:r>
          </w:p>
        </w:tc>
        <w:tc>
          <w:tcPr>
            <w:tcW w:w="797" w:type="pct"/>
            <w:tcBorders>
              <w:top w:val="nil"/>
              <w:left w:val="nil"/>
              <w:bottom w:val="nil"/>
              <w:right w:val="nil"/>
            </w:tcBorders>
            <w:shd w:val="clear" w:color="auto" w:fill="auto"/>
            <w:noWrap/>
            <w:vAlign w:val="bottom"/>
            <w:hideMark/>
          </w:tcPr>
          <w:p w14:paraId="7FDE4A55"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(1.421)</w:t>
            </w:r>
          </w:p>
        </w:tc>
        <w:tc>
          <w:tcPr>
            <w:tcW w:w="74" w:type="pct"/>
            <w:tcBorders>
              <w:top w:val="nil"/>
              <w:left w:val="nil"/>
              <w:bottom w:val="nil"/>
              <w:right w:val="nil"/>
            </w:tcBorders>
            <w:shd w:val="clear" w:color="auto" w:fill="auto"/>
            <w:noWrap/>
            <w:vAlign w:val="bottom"/>
            <w:hideMark/>
          </w:tcPr>
          <w:p w14:paraId="0DD6A321"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7E3CF363"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(9)</w:t>
            </w:r>
          </w:p>
        </w:tc>
        <w:tc>
          <w:tcPr>
            <w:tcW w:w="74" w:type="pct"/>
            <w:tcBorders>
              <w:top w:val="nil"/>
              <w:left w:val="nil"/>
              <w:bottom w:val="nil"/>
              <w:right w:val="nil"/>
            </w:tcBorders>
            <w:shd w:val="clear" w:color="auto" w:fill="auto"/>
            <w:noWrap/>
            <w:vAlign w:val="bottom"/>
            <w:hideMark/>
          </w:tcPr>
          <w:p w14:paraId="03522B55"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r>
      <w:tr w:rsidR="004449AB" w:rsidRPr="004449AB" w14:paraId="046C7F38" w14:textId="77777777" w:rsidTr="00075425">
        <w:trPr>
          <w:trHeight w:val="198"/>
        </w:trPr>
        <w:tc>
          <w:tcPr>
            <w:tcW w:w="3235" w:type="pct"/>
            <w:tcBorders>
              <w:top w:val="nil"/>
              <w:left w:val="nil"/>
              <w:bottom w:val="nil"/>
              <w:right w:val="nil"/>
            </w:tcBorders>
            <w:shd w:val="clear" w:color="auto" w:fill="auto"/>
            <w:noWrap/>
            <w:vAlign w:val="bottom"/>
            <w:hideMark/>
          </w:tcPr>
          <w:p w14:paraId="14E75FFA" w14:textId="77777777" w:rsidR="004449AB" w:rsidRPr="004449AB" w:rsidRDefault="004449AB" w:rsidP="004449AB">
            <w:pPr>
              <w:spacing w:after="0" w:line="240" w:lineRule="auto"/>
              <w:ind w:firstLineChars="300" w:firstLine="48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Outras Despesas</w:t>
            </w:r>
          </w:p>
        </w:tc>
        <w:tc>
          <w:tcPr>
            <w:tcW w:w="797" w:type="pct"/>
            <w:tcBorders>
              <w:top w:val="nil"/>
              <w:left w:val="nil"/>
              <w:bottom w:val="nil"/>
              <w:right w:val="nil"/>
            </w:tcBorders>
            <w:shd w:val="clear" w:color="auto" w:fill="auto"/>
            <w:noWrap/>
            <w:vAlign w:val="bottom"/>
            <w:hideMark/>
          </w:tcPr>
          <w:p w14:paraId="0B59B2C4"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(42.739)</w:t>
            </w:r>
          </w:p>
        </w:tc>
        <w:tc>
          <w:tcPr>
            <w:tcW w:w="74" w:type="pct"/>
            <w:tcBorders>
              <w:top w:val="nil"/>
              <w:left w:val="nil"/>
              <w:bottom w:val="nil"/>
              <w:right w:val="nil"/>
            </w:tcBorders>
            <w:shd w:val="clear" w:color="auto" w:fill="auto"/>
            <w:noWrap/>
            <w:vAlign w:val="bottom"/>
            <w:hideMark/>
          </w:tcPr>
          <w:p w14:paraId="0B2BB6DB"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2712B2F1"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(22.246)</w:t>
            </w:r>
          </w:p>
        </w:tc>
        <w:tc>
          <w:tcPr>
            <w:tcW w:w="74" w:type="pct"/>
            <w:tcBorders>
              <w:top w:val="nil"/>
              <w:left w:val="nil"/>
              <w:bottom w:val="nil"/>
              <w:right w:val="nil"/>
            </w:tcBorders>
            <w:shd w:val="clear" w:color="auto" w:fill="auto"/>
            <w:noWrap/>
            <w:vAlign w:val="bottom"/>
            <w:hideMark/>
          </w:tcPr>
          <w:p w14:paraId="13677E7F"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r>
      <w:tr w:rsidR="004449AB" w:rsidRPr="004449AB" w14:paraId="53B71B81" w14:textId="77777777" w:rsidTr="00075425">
        <w:trPr>
          <w:trHeight w:val="198"/>
        </w:trPr>
        <w:tc>
          <w:tcPr>
            <w:tcW w:w="3235" w:type="pct"/>
            <w:tcBorders>
              <w:top w:val="nil"/>
              <w:left w:val="nil"/>
              <w:bottom w:val="nil"/>
              <w:right w:val="nil"/>
            </w:tcBorders>
            <w:shd w:val="clear" w:color="auto" w:fill="auto"/>
            <w:noWrap/>
            <w:vAlign w:val="bottom"/>
            <w:hideMark/>
          </w:tcPr>
          <w:p w14:paraId="515939D8"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c>
          <w:tcPr>
            <w:tcW w:w="797" w:type="pct"/>
            <w:tcBorders>
              <w:top w:val="nil"/>
              <w:left w:val="nil"/>
              <w:bottom w:val="nil"/>
              <w:right w:val="nil"/>
            </w:tcBorders>
            <w:shd w:val="clear" w:color="auto" w:fill="auto"/>
            <w:noWrap/>
            <w:vAlign w:val="bottom"/>
            <w:hideMark/>
          </w:tcPr>
          <w:p w14:paraId="670CFDA4" w14:textId="77777777" w:rsidR="004449AB" w:rsidRPr="004449AB" w:rsidRDefault="004449AB" w:rsidP="004449AB">
            <w:pPr>
              <w:spacing w:after="0" w:line="240" w:lineRule="auto"/>
              <w:ind w:firstLineChars="300" w:firstLine="480"/>
              <w:jc w:val="right"/>
              <w:rPr>
                <w:rFonts w:ascii="Times New Roman" w:eastAsia="Times New Roman" w:hAnsi="Times New Roman" w:cs="Times New Roman"/>
                <w:kern w:val="0"/>
                <w:sz w:val="16"/>
                <w:szCs w:val="16"/>
                <w:lang w:eastAsia="pt-BR"/>
                <w14:ligatures w14:val="none"/>
              </w:rPr>
            </w:pPr>
          </w:p>
        </w:tc>
        <w:tc>
          <w:tcPr>
            <w:tcW w:w="74" w:type="pct"/>
            <w:tcBorders>
              <w:top w:val="nil"/>
              <w:left w:val="nil"/>
              <w:bottom w:val="nil"/>
              <w:right w:val="nil"/>
            </w:tcBorders>
            <w:shd w:val="clear" w:color="auto" w:fill="auto"/>
            <w:noWrap/>
            <w:vAlign w:val="bottom"/>
            <w:hideMark/>
          </w:tcPr>
          <w:p w14:paraId="786B652D"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4B155F11"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74" w:type="pct"/>
            <w:tcBorders>
              <w:top w:val="nil"/>
              <w:left w:val="nil"/>
              <w:bottom w:val="nil"/>
              <w:right w:val="nil"/>
            </w:tcBorders>
            <w:shd w:val="clear" w:color="auto" w:fill="auto"/>
            <w:noWrap/>
            <w:vAlign w:val="bottom"/>
            <w:hideMark/>
          </w:tcPr>
          <w:p w14:paraId="0DECE26D"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r>
      <w:tr w:rsidR="004449AB" w:rsidRPr="004449AB" w14:paraId="72E41580" w14:textId="77777777" w:rsidTr="00075425">
        <w:trPr>
          <w:trHeight w:val="198"/>
        </w:trPr>
        <w:tc>
          <w:tcPr>
            <w:tcW w:w="3235" w:type="pct"/>
            <w:tcBorders>
              <w:top w:val="nil"/>
              <w:left w:val="nil"/>
              <w:bottom w:val="nil"/>
              <w:right w:val="nil"/>
            </w:tcBorders>
            <w:shd w:val="clear" w:color="auto" w:fill="auto"/>
            <w:noWrap/>
            <w:vAlign w:val="bottom"/>
            <w:hideMark/>
          </w:tcPr>
          <w:p w14:paraId="32A70EA3" w14:textId="77777777" w:rsidR="004449AB" w:rsidRPr="004449AB" w:rsidRDefault="004449AB" w:rsidP="004449AB">
            <w:pPr>
              <w:spacing w:after="0" w:line="240" w:lineRule="auto"/>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Valor Adicionado Bruto</w:t>
            </w:r>
          </w:p>
        </w:tc>
        <w:tc>
          <w:tcPr>
            <w:tcW w:w="797" w:type="pct"/>
            <w:tcBorders>
              <w:top w:val="nil"/>
              <w:left w:val="nil"/>
              <w:bottom w:val="nil"/>
              <w:right w:val="nil"/>
            </w:tcBorders>
            <w:shd w:val="clear" w:color="auto" w:fill="auto"/>
            <w:noWrap/>
            <w:vAlign w:val="bottom"/>
            <w:hideMark/>
          </w:tcPr>
          <w:p w14:paraId="4DE956D6"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 xml:space="preserve">                 351.833 </w:t>
            </w:r>
          </w:p>
        </w:tc>
        <w:tc>
          <w:tcPr>
            <w:tcW w:w="74" w:type="pct"/>
            <w:tcBorders>
              <w:top w:val="nil"/>
              <w:left w:val="nil"/>
              <w:bottom w:val="nil"/>
              <w:right w:val="nil"/>
            </w:tcBorders>
            <w:shd w:val="clear" w:color="auto" w:fill="auto"/>
            <w:noWrap/>
            <w:vAlign w:val="bottom"/>
            <w:hideMark/>
          </w:tcPr>
          <w:p w14:paraId="0BB51E7F"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3E5F9DF1"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 xml:space="preserve">                 339.485 </w:t>
            </w:r>
          </w:p>
        </w:tc>
        <w:tc>
          <w:tcPr>
            <w:tcW w:w="74" w:type="pct"/>
            <w:tcBorders>
              <w:top w:val="nil"/>
              <w:left w:val="nil"/>
              <w:bottom w:val="nil"/>
              <w:right w:val="nil"/>
            </w:tcBorders>
            <w:shd w:val="clear" w:color="auto" w:fill="auto"/>
            <w:noWrap/>
            <w:vAlign w:val="bottom"/>
            <w:hideMark/>
          </w:tcPr>
          <w:p w14:paraId="753AFC0B"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p>
        </w:tc>
      </w:tr>
      <w:tr w:rsidR="004449AB" w:rsidRPr="004449AB" w14:paraId="44868F38" w14:textId="77777777" w:rsidTr="00075425">
        <w:trPr>
          <w:trHeight w:val="198"/>
        </w:trPr>
        <w:tc>
          <w:tcPr>
            <w:tcW w:w="3235" w:type="pct"/>
            <w:tcBorders>
              <w:top w:val="nil"/>
              <w:left w:val="nil"/>
              <w:bottom w:val="nil"/>
              <w:right w:val="nil"/>
            </w:tcBorders>
            <w:shd w:val="clear" w:color="auto" w:fill="auto"/>
            <w:noWrap/>
            <w:vAlign w:val="bottom"/>
            <w:hideMark/>
          </w:tcPr>
          <w:p w14:paraId="3319B1BB"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c>
          <w:tcPr>
            <w:tcW w:w="797" w:type="pct"/>
            <w:tcBorders>
              <w:top w:val="nil"/>
              <w:left w:val="nil"/>
              <w:bottom w:val="nil"/>
              <w:right w:val="nil"/>
            </w:tcBorders>
            <w:shd w:val="clear" w:color="auto" w:fill="auto"/>
            <w:noWrap/>
            <w:vAlign w:val="bottom"/>
            <w:hideMark/>
          </w:tcPr>
          <w:p w14:paraId="7BC431DD" w14:textId="77777777" w:rsidR="004449AB" w:rsidRPr="004449AB" w:rsidRDefault="004449AB" w:rsidP="004449AB">
            <w:pPr>
              <w:spacing w:after="0" w:line="240" w:lineRule="auto"/>
              <w:ind w:firstLineChars="300" w:firstLine="480"/>
              <w:jc w:val="right"/>
              <w:rPr>
                <w:rFonts w:ascii="Times New Roman" w:eastAsia="Times New Roman" w:hAnsi="Times New Roman" w:cs="Times New Roman"/>
                <w:kern w:val="0"/>
                <w:sz w:val="16"/>
                <w:szCs w:val="16"/>
                <w:lang w:eastAsia="pt-BR"/>
                <w14:ligatures w14:val="none"/>
              </w:rPr>
            </w:pPr>
          </w:p>
        </w:tc>
        <w:tc>
          <w:tcPr>
            <w:tcW w:w="74" w:type="pct"/>
            <w:tcBorders>
              <w:top w:val="nil"/>
              <w:left w:val="nil"/>
              <w:bottom w:val="nil"/>
              <w:right w:val="nil"/>
            </w:tcBorders>
            <w:shd w:val="clear" w:color="auto" w:fill="auto"/>
            <w:noWrap/>
            <w:vAlign w:val="bottom"/>
            <w:hideMark/>
          </w:tcPr>
          <w:p w14:paraId="30B9F0CF"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6858030C"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74" w:type="pct"/>
            <w:tcBorders>
              <w:top w:val="nil"/>
              <w:left w:val="nil"/>
              <w:bottom w:val="nil"/>
              <w:right w:val="nil"/>
            </w:tcBorders>
            <w:shd w:val="clear" w:color="auto" w:fill="auto"/>
            <w:noWrap/>
            <w:vAlign w:val="bottom"/>
            <w:hideMark/>
          </w:tcPr>
          <w:p w14:paraId="1379D900"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r>
      <w:tr w:rsidR="004449AB" w:rsidRPr="004449AB" w14:paraId="0219C429" w14:textId="77777777" w:rsidTr="00075425">
        <w:trPr>
          <w:trHeight w:val="198"/>
        </w:trPr>
        <w:tc>
          <w:tcPr>
            <w:tcW w:w="3235" w:type="pct"/>
            <w:tcBorders>
              <w:top w:val="nil"/>
              <w:left w:val="nil"/>
              <w:bottom w:val="nil"/>
              <w:right w:val="nil"/>
            </w:tcBorders>
            <w:shd w:val="clear" w:color="auto" w:fill="auto"/>
            <w:noWrap/>
            <w:vAlign w:val="bottom"/>
            <w:hideMark/>
          </w:tcPr>
          <w:p w14:paraId="7931365A" w14:textId="77777777" w:rsidR="004449AB" w:rsidRPr="004449AB" w:rsidRDefault="004449AB" w:rsidP="004449AB">
            <w:pPr>
              <w:spacing w:after="0" w:line="240" w:lineRule="auto"/>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Retenções</w:t>
            </w:r>
          </w:p>
        </w:tc>
        <w:tc>
          <w:tcPr>
            <w:tcW w:w="797" w:type="pct"/>
            <w:tcBorders>
              <w:top w:val="nil"/>
              <w:left w:val="nil"/>
              <w:bottom w:val="nil"/>
              <w:right w:val="nil"/>
            </w:tcBorders>
            <w:shd w:val="clear" w:color="auto" w:fill="auto"/>
            <w:noWrap/>
            <w:vAlign w:val="bottom"/>
            <w:hideMark/>
          </w:tcPr>
          <w:p w14:paraId="6FFF00D2"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 xml:space="preserve">               (253.541)</w:t>
            </w:r>
          </w:p>
        </w:tc>
        <w:tc>
          <w:tcPr>
            <w:tcW w:w="74" w:type="pct"/>
            <w:tcBorders>
              <w:top w:val="nil"/>
              <w:left w:val="nil"/>
              <w:bottom w:val="nil"/>
              <w:right w:val="nil"/>
            </w:tcBorders>
            <w:shd w:val="clear" w:color="auto" w:fill="auto"/>
            <w:noWrap/>
            <w:vAlign w:val="bottom"/>
            <w:hideMark/>
          </w:tcPr>
          <w:p w14:paraId="24CF684F"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43E16774"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 xml:space="preserve">               (242.087)</w:t>
            </w:r>
          </w:p>
        </w:tc>
        <w:tc>
          <w:tcPr>
            <w:tcW w:w="74" w:type="pct"/>
            <w:tcBorders>
              <w:top w:val="nil"/>
              <w:left w:val="nil"/>
              <w:bottom w:val="nil"/>
              <w:right w:val="nil"/>
            </w:tcBorders>
            <w:shd w:val="clear" w:color="auto" w:fill="auto"/>
            <w:noWrap/>
            <w:vAlign w:val="bottom"/>
            <w:hideMark/>
          </w:tcPr>
          <w:p w14:paraId="394AB54B"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p>
        </w:tc>
      </w:tr>
      <w:tr w:rsidR="004449AB" w:rsidRPr="004449AB" w14:paraId="3C4D87A2" w14:textId="77777777" w:rsidTr="00075425">
        <w:trPr>
          <w:trHeight w:val="198"/>
        </w:trPr>
        <w:tc>
          <w:tcPr>
            <w:tcW w:w="3235" w:type="pct"/>
            <w:tcBorders>
              <w:top w:val="nil"/>
              <w:left w:val="nil"/>
              <w:bottom w:val="nil"/>
              <w:right w:val="nil"/>
            </w:tcBorders>
            <w:shd w:val="clear" w:color="auto" w:fill="auto"/>
            <w:noWrap/>
            <w:vAlign w:val="bottom"/>
            <w:hideMark/>
          </w:tcPr>
          <w:p w14:paraId="3186F811" w14:textId="77777777" w:rsidR="004449AB" w:rsidRPr="004449AB" w:rsidRDefault="004449AB" w:rsidP="004449AB">
            <w:pPr>
              <w:spacing w:after="0" w:line="240" w:lineRule="auto"/>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Depreciação e Amortização</w:t>
            </w:r>
          </w:p>
        </w:tc>
        <w:tc>
          <w:tcPr>
            <w:tcW w:w="797" w:type="pct"/>
            <w:tcBorders>
              <w:top w:val="nil"/>
              <w:left w:val="nil"/>
              <w:bottom w:val="nil"/>
              <w:right w:val="nil"/>
            </w:tcBorders>
            <w:shd w:val="clear" w:color="auto" w:fill="auto"/>
            <w:noWrap/>
            <w:vAlign w:val="bottom"/>
            <w:hideMark/>
          </w:tcPr>
          <w:p w14:paraId="21E76D3C"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(253.541)</w:t>
            </w:r>
          </w:p>
        </w:tc>
        <w:tc>
          <w:tcPr>
            <w:tcW w:w="74" w:type="pct"/>
            <w:tcBorders>
              <w:top w:val="nil"/>
              <w:left w:val="nil"/>
              <w:bottom w:val="nil"/>
              <w:right w:val="nil"/>
            </w:tcBorders>
            <w:shd w:val="clear" w:color="auto" w:fill="auto"/>
            <w:noWrap/>
            <w:vAlign w:val="bottom"/>
            <w:hideMark/>
          </w:tcPr>
          <w:p w14:paraId="46566519"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7B7142CD"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(242.087)</w:t>
            </w:r>
          </w:p>
        </w:tc>
        <w:tc>
          <w:tcPr>
            <w:tcW w:w="74" w:type="pct"/>
            <w:tcBorders>
              <w:top w:val="nil"/>
              <w:left w:val="nil"/>
              <w:bottom w:val="nil"/>
              <w:right w:val="nil"/>
            </w:tcBorders>
            <w:shd w:val="clear" w:color="auto" w:fill="auto"/>
            <w:noWrap/>
            <w:vAlign w:val="bottom"/>
            <w:hideMark/>
          </w:tcPr>
          <w:p w14:paraId="431CA0B1"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r>
      <w:tr w:rsidR="004449AB" w:rsidRPr="004449AB" w14:paraId="5E50DB35" w14:textId="77777777" w:rsidTr="00075425">
        <w:trPr>
          <w:trHeight w:val="198"/>
        </w:trPr>
        <w:tc>
          <w:tcPr>
            <w:tcW w:w="3235" w:type="pct"/>
            <w:tcBorders>
              <w:top w:val="nil"/>
              <w:left w:val="nil"/>
              <w:bottom w:val="nil"/>
              <w:right w:val="nil"/>
            </w:tcBorders>
            <w:shd w:val="clear" w:color="auto" w:fill="auto"/>
            <w:noWrap/>
            <w:vAlign w:val="bottom"/>
            <w:hideMark/>
          </w:tcPr>
          <w:p w14:paraId="055929D2"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c>
          <w:tcPr>
            <w:tcW w:w="797" w:type="pct"/>
            <w:tcBorders>
              <w:top w:val="nil"/>
              <w:left w:val="nil"/>
              <w:bottom w:val="nil"/>
              <w:right w:val="nil"/>
            </w:tcBorders>
            <w:shd w:val="clear" w:color="auto" w:fill="auto"/>
            <w:noWrap/>
            <w:vAlign w:val="bottom"/>
            <w:hideMark/>
          </w:tcPr>
          <w:p w14:paraId="48A61A35" w14:textId="77777777" w:rsidR="004449AB" w:rsidRPr="004449AB" w:rsidRDefault="004449AB" w:rsidP="004449AB">
            <w:pPr>
              <w:spacing w:after="0" w:line="240" w:lineRule="auto"/>
              <w:ind w:firstLineChars="300" w:firstLine="480"/>
              <w:jc w:val="right"/>
              <w:rPr>
                <w:rFonts w:ascii="Times New Roman" w:eastAsia="Times New Roman" w:hAnsi="Times New Roman" w:cs="Times New Roman"/>
                <w:kern w:val="0"/>
                <w:sz w:val="16"/>
                <w:szCs w:val="16"/>
                <w:lang w:eastAsia="pt-BR"/>
                <w14:ligatures w14:val="none"/>
              </w:rPr>
            </w:pPr>
          </w:p>
        </w:tc>
        <w:tc>
          <w:tcPr>
            <w:tcW w:w="74" w:type="pct"/>
            <w:tcBorders>
              <w:top w:val="nil"/>
              <w:left w:val="nil"/>
              <w:bottom w:val="nil"/>
              <w:right w:val="nil"/>
            </w:tcBorders>
            <w:shd w:val="clear" w:color="auto" w:fill="auto"/>
            <w:noWrap/>
            <w:vAlign w:val="bottom"/>
            <w:hideMark/>
          </w:tcPr>
          <w:p w14:paraId="27483095"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177C88FE"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74" w:type="pct"/>
            <w:tcBorders>
              <w:top w:val="nil"/>
              <w:left w:val="nil"/>
              <w:bottom w:val="nil"/>
              <w:right w:val="nil"/>
            </w:tcBorders>
            <w:shd w:val="clear" w:color="auto" w:fill="auto"/>
            <w:noWrap/>
            <w:vAlign w:val="bottom"/>
            <w:hideMark/>
          </w:tcPr>
          <w:p w14:paraId="1FA028FB"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r>
      <w:tr w:rsidR="004449AB" w:rsidRPr="004449AB" w14:paraId="26500601" w14:textId="77777777" w:rsidTr="00075425">
        <w:trPr>
          <w:trHeight w:val="198"/>
        </w:trPr>
        <w:tc>
          <w:tcPr>
            <w:tcW w:w="3235" w:type="pct"/>
            <w:tcBorders>
              <w:top w:val="nil"/>
              <w:left w:val="nil"/>
              <w:bottom w:val="nil"/>
              <w:right w:val="nil"/>
            </w:tcBorders>
            <w:shd w:val="clear" w:color="auto" w:fill="auto"/>
            <w:noWrap/>
            <w:vAlign w:val="bottom"/>
            <w:hideMark/>
          </w:tcPr>
          <w:p w14:paraId="5EF658AB" w14:textId="77777777" w:rsidR="004449AB" w:rsidRPr="004449AB" w:rsidRDefault="004449AB" w:rsidP="004449AB">
            <w:pPr>
              <w:spacing w:after="0" w:line="240" w:lineRule="auto"/>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 xml:space="preserve"> Valor Adicionado Líquido Produzido</w:t>
            </w:r>
          </w:p>
        </w:tc>
        <w:tc>
          <w:tcPr>
            <w:tcW w:w="797" w:type="pct"/>
            <w:tcBorders>
              <w:top w:val="nil"/>
              <w:left w:val="nil"/>
              <w:bottom w:val="nil"/>
              <w:right w:val="nil"/>
            </w:tcBorders>
            <w:shd w:val="clear" w:color="auto" w:fill="auto"/>
            <w:noWrap/>
            <w:vAlign w:val="bottom"/>
            <w:hideMark/>
          </w:tcPr>
          <w:p w14:paraId="2BB47ED9"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 xml:space="preserve">                   98.292 </w:t>
            </w:r>
          </w:p>
        </w:tc>
        <w:tc>
          <w:tcPr>
            <w:tcW w:w="74" w:type="pct"/>
            <w:tcBorders>
              <w:top w:val="nil"/>
              <w:left w:val="nil"/>
              <w:bottom w:val="nil"/>
              <w:right w:val="nil"/>
            </w:tcBorders>
            <w:shd w:val="clear" w:color="auto" w:fill="auto"/>
            <w:noWrap/>
            <w:vAlign w:val="bottom"/>
            <w:hideMark/>
          </w:tcPr>
          <w:p w14:paraId="467325CB"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4A7DCA37"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 xml:space="preserve">                   97.398 </w:t>
            </w:r>
          </w:p>
        </w:tc>
        <w:tc>
          <w:tcPr>
            <w:tcW w:w="74" w:type="pct"/>
            <w:tcBorders>
              <w:top w:val="nil"/>
              <w:left w:val="nil"/>
              <w:bottom w:val="nil"/>
              <w:right w:val="nil"/>
            </w:tcBorders>
            <w:shd w:val="clear" w:color="auto" w:fill="auto"/>
            <w:noWrap/>
            <w:vAlign w:val="bottom"/>
            <w:hideMark/>
          </w:tcPr>
          <w:p w14:paraId="56C38848"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p>
        </w:tc>
      </w:tr>
      <w:tr w:rsidR="004449AB" w:rsidRPr="004449AB" w14:paraId="6C6537BC" w14:textId="77777777" w:rsidTr="00075425">
        <w:trPr>
          <w:trHeight w:val="198"/>
        </w:trPr>
        <w:tc>
          <w:tcPr>
            <w:tcW w:w="3235" w:type="pct"/>
            <w:tcBorders>
              <w:top w:val="nil"/>
              <w:left w:val="nil"/>
              <w:bottom w:val="nil"/>
              <w:right w:val="nil"/>
            </w:tcBorders>
            <w:shd w:val="clear" w:color="auto" w:fill="auto"/>
            <w:noWrap/>
            <w:vAlign w:val="bottom"/>
            <w:hideMark/>
          </w:tcPr>
          <w:p w14:paraId="670311A7"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c>
          <w:tcPr>
            <w:tcW w:w="797" w:type="pct"/>
            <w:tcBorders>
              <w:top w:val="nil"/>
              <w:left w:val="nil"/>
              <w:bottom w:val="nil"/>
              <w:right w:val="nil"/>
            </w:tcBorders>
            <w:shd w:val="clear" w:color="auto" w:fill="auto"/>
            <w:noWrap/>
            <w:vAlign w:val="bottom"/>
            <w:hideMark/>
          </w:tcPr>
          <w:p w14:paraId="7BC923D5"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74" w:type="pct"/>
            <w:tcBorders>
              <w:top w:val="nil"/>
              <w:left w:val="nil"/>
              <w:bottom w:val="nil"/>
              <w:right w:val="nil"/>
            </w:tcBorders>
            <w:shd w:val="clear" w:color="auto" w:fill="auto"/>
            <w:noWrap/>
            <w:vAlign w:val="bottom"/>
            <w:hideMark/>
          </w:tcPr>
          <w:p w14:paraId="6E709F5B"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719E655C"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74" w:type="pct"/>
            <w:tcBorders>
              <w:top w:val="nil"/>
              <w:left w:val="nil"/>
              <w:bottom w:val="nil"/>
              <w:right w:val="nil"/>
            </w:tcBorders>
            <w:shd w:val="clear" w:color="auto" w:fill="auto"/>
            <w:noWrap/>
            <w:vAlign w:val="bottom"/>
            <w:hideMark/>
          </w:tcPr>
          <w:p w14:paraId="64A36BA3"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r>
      <w:tr w:rsidR="004449AB" w:rsidRPr="004449AB" w14:paraId="0EFF5921" w14:textId="77777777" w:rsidTr="00075425">
        <w:trPr>
          <w:trHeight w:val="198"/>
        </w:trPr>
        <w:tc>
          <w:tcPr>
            <w:tcW w:w="3235" w:type="pct"/>
            <w:tcBorders>
              <w:top w:val="nil"/>
              <w:left w:val="nil"/>
              <w:bottom w:val="nil"/>
              <w:right w:val="nil"/>
            </w:tcBorders>
            <w:shd w:val="clear" w:color="auto" w:fill="auto"/>
            <w:noWrap/>
            <w:vAlign w:val="bottom"/>
            <w:hideMark/>
          </w:tcPr>
          <w:p w14:paraId="02181A3E" w14:textId="77777777" w:rsidR="004449AB" w:rsidRPr="004449AB" w:rsidRDefault="004449AB" w:rsidP="004449AB">
            <w:pPr>
              <w:spacing w:after="0" w:line="240" w:lineRule="auto"/>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 xml:space="preserve"> Valor Adicionado Recebido em Transferência</w:t>
            </w:r>
          </w:p>
        </w:tc>
        <w:tc>
          <w:tcPr>
            <w:tcW w:w="797" w:type="pct"/>
            <w:tcBorders>
              <w:top w:val="nil"/>
              <w:left w:val="nil"/>
              <w:bottom w:val="nil"/>
              <w:right w:val="nil"/>
            </w:tcBorders>
            <w:shd w:val="clear" w:color="auto" w:fill="auto"/>
            <w:noWrap/>
            <w:vAlign w:val="bottom"/>
            <w:hideMark/>
          </w:tcPr>
          <w:p w14:paraId="71B36236"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 xml:space="preserve">                 239.975 </w:t>
            </w:r>
          </w:p>
        </w:tc>
        <w:tc>
          <w:tcPr>
            <w:tcW w:w="74" w:type="pct"/>
            <w:tcBorders>
              <w:top w:val="nil"/>
              <w:left w:val="nil"/>
              <w:bottom w:val="nil"/>
              <w:right w:val="nil"/>
            </w:tcBorders>
            <w:shd w:val="clear" w:color="auto" w:fill="auto"/>
            <w:noWrap/>
            <w:vAlign w:val="bottom"/>
            <w:hideMark/>
          </w:tcPr>
          <w:p w14:paraId="09CB9979"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62CB7811"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 xml:space="preserve">                 183.859 </w:t>
            </w:r>
          </w:p>
        </w:tc>
        <w:tc>
          <w:tcPr>
            <w:tcW w:w="74" w:type="pct"/>
            <w:tcBorders>
              <w:top w:val="nil"/>
              <w:left w:val="nil"/>
              <w:bottom w:val="nil"/>
              <w:right w:val="nil"/>
            </w:tcBorders>
            <w:shd w:val="clear" w:color="auto" w:fill="auto"/>
            <w:noWrap/>
            <w:vAlign w:val="bottom"/>
            <w:hideMark/>
          </w:tcPr>
          <w:p w14:paraId="32CA1E76"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p>
        </w:tc>
      </w:tr>
      <w:tr w:rsidR="004449AB" w:rsidRPr="004449AB" w14:paraId="78B50BA3" w14:textId="77777777" w:rsidTr="00075425">
        <w:trPr>
          <w:trHeight w:val="198"/>
        </w:trPr>
        <w:tc>
          <w:tcPr>
            <w:tcW w:w="3235" w:type="pct"/>
            <w:tcBorders>
              <w:top w:val="nil"/>
              <w:left w:val="nil"/>
              <w:bottom w:val="nil"/>
              <w:right w:val="nil"/>
            </w:tcBorders>
            <w:shd w:val="clear" w:color="auto" w:fill="auto"/>
            <w:noWrap/>
            <w:vAlign w:val="bottom"/>
            <w:hideMark/>
          </w:tcPr>
          <w:p w14:paraId="750B0CAB" w14:textId="77777777" w:rsidR="004449AB" w:rsidRPr="004449AB" w:rsidRDefault="004449AB" w:rsidP="004449AB">
            <w:pPr>
              <w:spacing w:after="0" w:line="240" w:lineRule="auto"/>
              <w:ind w:firstLineChars="300" w:firstLine="48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Resultado de Equivalência Patrimonial sobre Resultado</w:t>
            </w:r>
          </w:p>
        </w:tc>
        <w:tc>
          <w:tcPr>
            <w:tcW w:w="797" w:type="pct"/>
            <w:tcBorders>
              <w:top w:val="nil"/>
              <w:left w:val="nil"/>
              <w:bottom w:val="nil"/>
              <w:right w:val="nil"/>
            </w:tcBorders>
            <w:shd w:val="clear" w:color="auto" w:fill="auto"/>
            <w:noWrap/>
            <w:vAlign w:val="bottom"/>
            <w:hideMark/>
          </w:tcPr>
          <w:p w14:paraId="43F1F97A"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(2.254)</w:t>
            </w:r>
          </w:p>
        </w:tc>
        <w:tc>
          <w:tcPr>
            <w:tcW w:w="74" w:type="pct"/>
            <w:tcBorders>
              <w:top w:val="nil"/>
              <w:left w:val="nil"/>
              <w:bottom w:val="nil"/>
              <w:right w:val="nil"/>
            </w:tcBorders>
            <w:shd w:val="clear" w:color="auto" w:fill="auto"/>
            <w:noWrap/>
            <w:vAlign w:val="bottom"/>
            <w:hideMark/>
          </w:tcPr>
          <w:p w14:paraId="34FC92D1"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58991911"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(6.500)</w:t>
            </w:r>
          </w:p>
        </w:tc>
        <w:tc>
          <w:tcPr>
            <w:tcW w:w="74" w:type="pct"/>
            <w:tcBorders>
              <w:top w:val="nil"/>
              <w:left w:val="nil"/>
              <w:bottom w:val="nil"/>
              <w:right w:val="nil"/>
            </w:tcBorders>
            <w:shd w:val="clear" w:color="auto" w:fill="auto"/>
            <w:noWrap/>
            <w:vAlign w:val="bottom"/>
            <w:hideMark/>
          </w:tcPr>
          <w:p w14:paraId="04638369"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r>
      <w:tr w:rsidR="004449AB" w:rsidRPr="004449AB" w14:paraId="6C8BFF7D" w14:textId="77777777" w:rsidTr="00075425">
        <w:trPr>
          <w:trHeight w:val="198"/>
        </w:trPr>
        <w:tc>
          <w:tcPr>
            <w:tcW w:w="3235" w:type="pct"/>
            <w:tcBorders>
              <w:top w:val="nil"/>
              <w:left w:val="nil"/>
              <w:bottom w:val="nil"/>
              <w:right w:val="nil"/>
            </w:tcBorders>
            <w:shd w:val="clear" w:color="auto" w:fill="auto"/>
            <w:noWrap/>
            <w:vAlign w:val="bottom"/>
            <w:hideMark/>
          </w:tcPr>
          <w:p w14:paraId="548C6AC5" w14:textId="77777777" w:rsidR="004449AB" w:rsidRPr="004449AB" w:rsidRDefault="004449AB" w:rsidP="004449AB">
            <w:pPr>
              <w:spacing w:after="0" w:line="240" w:lineRule="auto"/>
              <w:ind w:firstLineChars="300" w:firstLine="48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Receitas Financeiras</w:t>
            </w:r>
          </w:p>
        </w:tc>
        <w:tc>
          <w:tcPr>
            <w:tcW w:w="797" w:type="pct"/>
            <w:tcBorders>
              <w:top w:val="nil"/>
              <w:left w:val="nil"/>
              <w:bottom w:val="nil"/>
              <w:right w:val="nil"/>
            </w:tcBorders>
            <w:shd w:val="clear" w:color="auto" w:fill="auto"/>
            <w:noWrap/>
            <w:vAlign w:val="bottom"/>
            <w:hideMark/>
          </w:tcPr>
          <w:p w14:paraId="29E8D977"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161.257 </w:t>
            </w:r>
          </w:p>
        </w:tc>
        <w:tc>
          <w:tcPr>
            <w:tcW w:w="74" w:type="pct"/>
            <w:tcBorders>
              <w:top w:val="nil"/>
              <w:left w:val="nil"/>
              <w:bottom w:val="nil"/>
              <w:right w:val="nil"/>
            </w:tcBorders>
            <w:shd w:val="clear" w:color="auto" w:fill="auto"/>
            <w:noWrap/>
            <w:vAlign w:val="bottom"/>
            <w:hideMark/>
          </w:tcPr>
          <w:p w14:paraId="64EB7229"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3787771F"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116.297 </w:t>
            </w:r>
          </w:p>
        </w:tc>
        <w:tc>
          <w:tcPr>
            <w:tcW w:w="74" w:type="pct"/>
            <w:tcBorders>
              <w:top w:val="nil"/>
              <w:left w:val="nil"/>
              <w:bottom w:val="nil"/>
              <w:right w:val="nil"/>
            </w:tcBorders>
            <w:shd w:val="clear" w:color="auto" w:fill="auto"/>
            <w:noWrap/>
            <w:vAlign w:val="bottom"/>
            <w:hideMark/>
          </w:tcPr>
          <w:p w14:paraId="62F1AD23"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r>
      <w:tr w:rsidR="004449AB" w:rsidRPr="004449AB" w14:paraId="6A2A4F7E" w14:textId="77777777" w:rsidTr="00075425">
        <w:trPr>
          <w:trHeight w:val="198"/>
        </w:trPr>
        <w:tc>
          <w:tcPr>
            <w:tcW w:w="3235" w:type="pct"/>
            <w:tcBorders>
              <w:top w:val="nil"/>
              <w:left w:val="nil"/>
              <w:bottom w:val="nil"/>
              <w:right w:val="nil"/>
            </w:tcBorders>
            <w:shd w:val="clear" w:color="auto" w:fill="auto"/>
            <w:noWrap/>
            <w:vAlign w:val="bottom"/>
            <w:hideMark/>
          </w:tcPr>
          <w:p w14:paraId="51D54E34" w14:textId="77777777" w:rsidR="004449AB" w:rsidRPr="004449AB" w:rsidRDefault="004449AB" w:rsidP="004449AB">
            <w:pPr>
              <w:spacing w:after="0" w:line="240" w:lineRule="auto"/>
              <w:ind w:firstLineChars="300" w:firstLine="48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Aluguéis</w:t>
            </w:r>
          </w:p>
        </w:tc>
        <w:tc>
          <w:tcPr>
            <w:tcW w:w="797" w:type="pct"/>
            <w:tcBorders>
              <w:top w:val="nil"/>
              <w:left w:val="nil"/>
              <w:bottom w:val="nil"/>
              <w:right w:val="nil"/>
            </w:tcBorders>
            <w:shd w:val="clear" w:color="auto" w:fill="auto"/>
            <w:noWrap/>
            <w:vAlign w:val="bottom"/>
            <w:hideMark/>
          </w:tcPr>
          <w:p w14:paraId="7F25FB07"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80.972 </w:t>
            </w:r>
          </w:p>
        </w:tc>
        <w:tc>
          <w:tcPr>
            <w:tcW w:w="74" w:type="pct"/>
            <w:tcBorders>
              <w:top w:val="nil"/>
              <w:left w:val="nil"/>
              <w:bottom w:val="nil"/>
              <w:right w:val="nil"/>
            </w:tcBorders>
            <w:shd w:val="clear" w:color="auto" w:fill="auto"/>
            <w:noWrap/>
            <w:vAlign w:val="bottom"/>
            <w:hideMark/>
          </w:tcPr>
          <w:p w14:paraId="6F1C2916"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2661206A"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73.999 </w:t>
            </w:r>
          </w:p>
        </w:tc>
        <w:tc>
          <w:tcPr>
            <w:tcW w:w="74" w:type="pct"/>
            <w:tcBorders>
              <w:top w:val="nil"/>
              <w:left w:val="nil"/>
              <w:bottom w:val="nil"/>
              <w:right w:val="nil"/>
            </w:tcBorders>
            <w:shd w:val="clear" w:color="auto" w:fill="auto"/>
            <w:noWrap/>
            <w:vAlign w:val="bottom"/>
            <w:hideMark/>
          </w:tcPr>
          <w:p w14:paraId="772539E0"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r>
      <w:tr w:rsidR="004449AB" w:rsidRPr="004449AB" w14:paraId="4C40650A" w14:textId="77777777" w:rsidTr="00075425">
        <w:trPr>
          <w:trHeight w:val="198"/>
        </w:trPr>
        <w:tc>
          <w:tcPr>
            <w:tcW w:w="3235" w:type="pct"/>
            <w:tcBorders>
              <w:top w:val="nil"/>
              <w:left w:val="nil"/>
              <w:bottom w:val="nil"/>
              <w:right w:val="nil"/>
            </w:tcBorders>
            <w:shd w:val="clear" w:color="auto" w:fill="auto"/>
            <w:noWrap/>
            <w:vAlign w:val="bottom"/>
            <w:hideMark/>
          </w:tcPr>
          <w:p w14:paraId="74387E32" w14:textId="77777777" w:rsidR="004449AB" w:rsidRPr="004449AB" w:rsidRDefault="004449AB" w:rsidP="004449AB">
            <w:pPr>
              <w:spacing w:after="0" w:line="240" w:lineRule="auto"/>
              <w:ind w:firstLineChars="300" w:firstLine="48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Dividendos</w:t>
            </w:r>
          </w:p>
        </w:tc>
        <w:tc>
          <w:tcPr>
            <w:tcW w:w="797" w:type="pct"/>
            <w:tcBorders>
              <w:top w:val="nil"/>
              <w:left w:val="nil"/>
              <w:bottom w:val="nil"/>
              <w:right w:val="nil"/>
            </w:tcBorders>
            <w:shd w:val="clear" w:color="auto" w:fill="auto"/>
            <w:noWrap/>
            <w:vAlign w:val="bottom"/>
            <w:hideMark/>
          </w:tcPr>
          <w:p w14:paraId="364E33CF"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 </w:t>
            </w:r>
          </w:p>
        </w:tc>
        <w:tc>
          <w:tcPr>
            <w:tcW w:w="74" w:type="pct"/>
            <w:tcBorders>
              <w:top w:val="nil"/>
              <w:left w:val="nil"/>
              <w:bottom w:val="nil"/>
              <w:right w:val="nil"/>
            </w:tcBorders>
            <w:shd w:val="clear" w:color="auto" w:fill="auto"/>
            <w:noWrap/>
            <w:vAlign w:val="bottom"/>
            <w:hideMark/>
          </w:tcPr>
          <w:p w14:paraId="7126588C"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671FF695"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63 </w:t>
            </w:r>
          </w:p>
        </w:tc>
        <w:tc>
          <w:tcPr>
            <w:tcW w:w="74" w:type="pct"/>
            <w:tcBorders>
              <w:top w:val="nil"/>
              <w:left w:val="nil"/>
              <w:bottom w:val="nil"/>
              <w:right w:val="nil"/>
            </w:tcBorders>
            <w:shd w:val="clear" w:color="auto" w:fill="auto"/>
            <w:noWrap/>
            <w:vAlign w:val="bottom"/>
            <w:hideMark/>
          </w:tcPr>
          <w:p w14:paraId="5043988E"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r>
      <w:tr w:rsidR="004449AB" w:rsidRPr="004449AB" w14:paraId="3DF5ABD5" w14:textId="77777777" w:rsidTr="00075425">
        <w:trPr>
          <w:trHeight w:val="198"/>
        </w:trPr>
        <w:tc>
          <w:tcPr>
            <w:tcW w:w="3235" w:type="pct"/>
            <w:tcBorders>
              <w:top w:val="nil"/>
              <w:left w:val="nil"/>
              <w:bottom w:val="nil"/>
              <w:right w:val="nil"/>
            </w:tcBorders>
            <w:shd w:val="clear" w:color="auto" w:fill="auto"/>
            <w:noWrap/>
            <w:vAlign w:val="bottom"/>
            <w:hideMark/>
          </w:tcPr>
          <w:p w14:paraId="5D710839"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c>
          <w:tcPr>
            <w:tcW w:w="797" w:type="pct"/>
            <w:tcBorders>
              <w:top w:val="nil"/>
              <w:left w:val="nil"/>
              <w:bottom w:val="nil"/>
              <w:right w:val="nil"/>
            </w:tcBorders>
            <w:shd w:val="clear" w:color="auto" w:fill="auto"/>
            <w:noWrap/>
            <w:vAlign w:val="bottom"/>
            <w:hideMark/>
          </w:tcPr>
          <w:p w14:paraId="54555982" w14:textId="77777777" w:rsidR="004449AB" w:rsidRPr="004449AB" w:rsidRDefault="004449AB" w:rsidP="004449AB">
            <w:pPr>
              <w:spacing w:after="0" w:line="240" w:lineRule="auto"/>
              <w:ind w:firstLineChars="300" w:firstLine="480"/>
              <w:jc w:val="right"/>
              <w:rPr>
                <w:rFonts w:ascii="Times New Roman" w:eastAsia="Times New Roman" w:hAnsi="Times New Roman" w:cs="Times New Roman"/>
                <w:kern w:val="0"/>
                <w:sz w:val="16"/>
                <w:szCs w:val="16"/>
                <w:lang w:eastAsia="pt-BR"/>
                <w14:ligatures w14:val="none"/>
              </w:rPr>
            </w:pPr>
          </w:p>
        </w:tc>
        <w:tc>
          <w:tcPr>
            <w:tcW w:w="74" w:type="pct"/>
            <w:tcBorders>
              <w:top w:val="nil"/>
              <w:left w:val="nil"/>
              <w:bottom w:val="nil"/>
              <w:right w:val="nil"/>
            </w:tcBorders>
            <w:shd w:val="clear" w:color="auto" w:fill="auto"/>
            <w:noWrap/>
            <w:vAlign w:val="bottom"/>
            <w:hideMark/>
          </w:tcPr>
          <w:p w14:paraId="6957B228"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645A91E1"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74" w:type="pct"/>
            <w:tcBorders>
              <w:top w:val="nil"/>
              <w:left w:val="nil"/>
              <w:bottom w:val="nil"/>
              <w:right w:val="nil"/>
            </w:tcBorders>
            <w:shd w:val="clear" w:color="auto" w:fill="auto"/>
            <w:noWrap/>
            <w:vAlign w:val="bottom"/>
            <w:hideMark/>
          </w:tcPr>
          <w:p w14:paraId="019B4D6B"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r>
      <w:tr w:rsidR="004449AB" w:rsidRPr="004449AB" w14:paraId="663C71C6" w14:textId="77777777" w:rsidTr="00075425">
        <w:trPr>
          <w:trHeight w:val="198"/>
        </w:trPr>
        <w:tc>
          <w:tcPr>
            <w:tcW w:w="3235" w:type="pct"/>
            <w:tcBorders>
              <w:top w:val="nil"/>
              <w:left w:val="nil"/>
              <w:bottom w:val="nil"/>
              <w:right w:val="nil"/>
            </w:tcBorders>
            <w:shd w:val="clear" w:color="auto" w:fill="auto"/>
            <w:noWrap/>
            <w:vAlign w:val="bottom"/>
            <w:hideMark/>
          </w:tcPr>
          <w:p w14:paraId="14CDD96F" w14:textId="77777777" w:rsidR="004449AB" w:rsidRPr="004449AB" w:rsidRDefault="004449AB" w:rsidP="004449AB">
            <w:pPr>
              <w:spacing w:after="0" w:line="240" w:lineRule="auto"/>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 xml:space="preserve"> Valor Adicionado Total a Distribuir</w:t>
            </w:r>
          </w:p>
        </w:tc>
        <w:tc>
          <w:tcPr>
            <w:tcW w:w="797" w:type="pct"/>
            <w:tcBorders>
              <w:top w:val="nil"/>
              <w:left w:val="nil"/>
              <w:bottom w:val="nil"/>
              <w:right w:val="nil"/>
            </w:tcBorders>
            <w:shd w:val="clear" w:color="auto" w:fill="auto"/>
            <w:noWrap/>
            <w:vAlign w:val="bottom"/>
            <w:hideMark/>
          </w:tcPr>
          <w:p w14:paraId="381B281A"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 xml:space="preserve">                 338.267 </w:t>
            </w:r>
          </w:p>
        </w:tc>
        <w:tc>
          <w:tcPr>
            <w:tcW w:w="74" w:type="pct"/>
            <w:tcBorders>
              <w:top w:val="nil"/>
              <w:left w:val="nil"/>
              <w:bottom w:val="nil"/>
              <w:right w:val="nil"/>
            </w:tcBorders>
            <w:shd w:val="clear" w:color="auto" w:fill="auto"/>
            <w:noWrap/>
            <w:vAlign w:val="bottom"/>
            <w:hideMark/>
          </w:tcPr>
          <w:p w14:paraId="04DE50CE"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5FCE9CC4"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 xml:space="preserve">                 281.257 </w:t>
            </w:r>
          </w:p>
        </w:tc>
        <w:tc>
          <w:tcPr>
            <w:tcW w:w="74" w:type="pct"/>
            <w:tcBorders>
              <w:top w:val="nil"/>
              <w:left w:val="nil"/>
              <w:bottom w:val="nil"/>
              <w:right w:val="nil"/>
            </w:tcBorders>
            <w:shd w:val="clear" w:color="auto" w:fill="auto"/>
            <w:noWrap/>
            <w:vAlign w:val="bottom"/>
            <w:hideMark/>
          </w:tcPr>
          <w:p w14:paraId="1460F24F"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p>
        </w:tc>
      </w:tr>
      <w:tr w:rsidR="004449AB" w:rsidRPr="004449AB" w14:paraId="1E5A07FC" w14:textId="77777777" w:rsidTr="00075425">
        <w:trPr>
          <w:trHeight w:val="198"/>
        </w:trPr>
        <w:tc>
          <w:tcPr>
            <w:tcW w:w="3235" w:type="pct"/>
            <w:tcBorders>
              <w:top w:val="nil"/>
              <w:left w:val="nil"/>
              <w:bottom w:val="nil"/>
              <w:right w:val="nil"/>
            </w:tcBorders>
            <w:shd w:val="clear" w:color="auto" w:fill="auto"/>
            <w:noWrap/>
            <w:vAlign w:val="bottom"/>
            <w:hideMark/>
          </w:tcPr>
          <w:p w14:paraId="37E5B829"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c>
          <w:tcPr>
            <w:tcW w:w="797" w:type="pct"/>
            <w:tcBorders>
              <w:top w:val="nil"/>
              <w:left w:val="nil"/>
              <w:bottom w:val="nil"/>
              <w:right w:val="nil"/>
            </w:tcBorders>
            <w:shd w:val="clear" w:color="auto" w:fill="auto"/>
            <w:noWrap/>
            <w:vAlign w:val="bottom"/>
            <w:hideMark/>
          </w:tcPr>
          <w:p w14:paraId="02D6C0B5"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74" w:type="pct"/>
            <w:tcBorders>
              <w:top w:val="nil"/>
              <w:left w:val="nil"/>
              <w:bottom w:val="nil"/>
              <w:right w:val="nil"/>
            </w:tcBorders>
            <w:shd w:val="clear" w:color="auto" w:fill="auto"/>
            <w:noWrap/>
            <w:vAlign w:val="bottom"/>
            <w:hideMark/>
          </w:tcPr>
          <w:p w14:paraId="03ABA1FF"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6A7256A1"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74" w:type="pct"/>
            <w:tcBorders>
              <w:top w:val="nil"/>
              <w:left w:val="nil"/>
              <w:bottom w:val="nil"/>
              <w:right w:val="nil"/>
            </w:tcBorders>
            <w:shd w:val="clear" w:color="auto" w:fill="auto"/>
            <w:noWrap/>
            <w:vAlign w:val="bottom"/>
            <w:hideMark/>
          </w:tcPr>
          <w:p w14:paraId="3F7248A7"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r>
      <w:tr w:rsidR="004449AB" w:rsidRPr="004449AB" w14:paraId="798B548F" w14:textId="77777777" w:rsidTr="00075425">
        <w:trPr>
          <w:trHeight w:val="198"/>
        </w:trPr>
        <w:tc>
          <w:tcPr>
            <w:tcW w:w="3235" w:type="pct"/>
            <w:tcBorders>
              <w:top w:val="nil"/>
              <w:left w:val="nil"/>
              <w:bottom w:val="nil"/>
              <w:right w:val="nil"/>
            </w:tcBorders>
            <w:shd w:val="clear" w:color="auto" w:fill="auto"/>
            <w:noWrap/>
            <w:vAlign w:val="bottom"/>
            <w:hideMark/>
          </w:tcPr>
          <w:p w14:paraId="7EF115CD" w14:textId="77777777" w:rsidR="004449AB" w:rsidRPr="004449AB" w:rsidRDefault="004449AB" w:rsidP="004449AB">
            <w:pPr>
              <w:spacing w:after="0" w:line="240" w:lineRule="auto"/>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Distribuição do Valor Adicionado</w:t>
            </w:r>
          </w:p>
        </w:tc>
        <w:tc>
          <w:tcPr>
            <w:tcW w:w="797" w:type="pct"/>
            <w:tcBorders>
              <w:top w:val="nil"/>
              <w:left w:val="nil"/>
              <w:bottom w:val="nil"/>
              <w:right w:val="nil"/>
            </w:tcBorders>
            <w:shd w:val="clear" w:color="auto" w:fill="auto"/>
            <w:noWrap/>
            <w:vAlign w:val="bottom"/>
            <w:hideMark/>
          </w:tcPr>
          <w:p w14:paraId="01DE4FB7"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 xml:space="preserve">                 338.267 </w:t>
            </w:r>
          </w:p>
        </w:tc>
        <w:tc>
          <w:tcPr>
            <w:tcW w:w="74" w:type="pct"/>
            <w:tcBorders>
              <w:top w:val="nil"/>
              <w:left w:val="nil"/>
              <w:bottom w:val="nil"/>
              <w:right w:val="nil"/>
            </w:tcBorders>
            <w:shd w:val="clear" w:color="auto" w:fill="auto"/>
            <w:noWrap/>
            <w:vAlign w:val="bottom"/>
            <w:hideMark/>
          </w:tcPr>
          <w:p w14:paraId="48A4C4DF"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74216AFD"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 xml:space="preserve">                 281.257 </w:t>
            </w:r>
          </w:p>
        </w:tc>
        <w:tc>
          <w:tcPr>
            <w:tcW w:w="74" w:type="pct"/>
            <w:tcBorders>
              <w:top w:val="nil"/>
              <w:left w:val="nil"/>
              <w:bottom w:val="nil"/>
              <w:right w:val="nil"/>
            </w:tcBorders>
            <w:shd w:val="clear" w:color="auto" w:fill="auto"/>
            <w:noWrap/>
            <w:vAlign w:val="bottom"/>
            <w:hideMark/>
          </w:tcPr>
          <w:p w14:paraId="411263CC"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p>
        </w:tc>
      </w:tr>
      <w:tr w:rsidR="004449AB" w:rsidRPr="004449AB" w14:paraId="18120357" w14:textId="77777777" w:rsidTr="00075425">
        <w:trPr>
          <w:trHeight w:val="198"/>
        </w:trPr>
        <w:tc>
          <w:tcPr>
            <w:tcW w:w="3235" w:type="pct"/>
            <w:tcBorders>
              <w:top w:val="nil"/>
              <w:left w:val="nil"/>
              <w:bottom w:val="nil"/>
              <w:right w:val="nil"/>
            </w:tcBorders>
            <w:shd w:val="clear" w:color="auto" w:fill="auto"/>
            <w:noWrap/>
            <w:vAlign w:val="bottom"/>
            <w:hideMark/>
          </w:tcPr>
          <w:p w14:paraId="7137EEC7"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c>
          <w:tcPr>
            <w:tcW w:w="797" w:type="pct"/>
            <w:tcBorders>
              <w:top w:val="nil"/>
              <w:left w:val="nil"/>
              <w:bottom w:val="nil"/>
              <w:right w:val="nil"/>
            </w:tcBorders>
            <w:shd w:val="clear" w:color="auto" w:fill="auto"/>
            <w:noWrap/>
            <w:vAlign w:val="bottom"/>
            <w:hideMark/>
          </w:tcPr>
          <w:p w14:paraId="09D039D0"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74" w:type="pct"/>
            <w:tcBorders>
              <w:top w:val="nil"/>
              <w:left w:val="nil"/>
              <w:bottom w:val="nil"/>
              <w:right w:val="nil"/>
            </w:tcBorders>
            <w:shd w:val="clear" w:color="auto" w:fill="auto"/>
            <w:noWrap/>
            <w:vAlign w:val="bottom"/>
            <w:hideMark/>
          </w:tcPr>
          <w:p w14:paraId="14469B3C"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73BE08E3"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74" w:type="pct"/>
            <w:tcBorders>
              <w:top w:val="nil"/>
              <w:left w:val="nil"/>
              <w:bottom w:val="nil"/>
              <w:right w:val="nil"/>
            </w:tcBorders>
            <w:shd w:val="clear" w:color="auto" w:fill="auto"/>
            <w:noWrap/>
            <w:vAlign w:val="bottom"/>
            <w:hideMark/>
          </w:tcPr>
          <w:p w14:paraId="5C67E03A"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r>
      <w:tr w:rsidR="004449AB" w:rsidRPr="004449AB" w14:paraId="07E9FB5B" w14:textId="77777777" w:rsidTr="00075425">
        <w:trPr>
          <w:trHeight w:val="198"/>
        </w:trPr>
        <w:tc>
          <w:tcPr>
            <w:tcW w:w="3235" w:type="pct"/>
            <w:tcBorders>
              <w:top w:val="nil"/>
              <w:left w:val="nil"/>
              <w:bottom w:val="nil"/>
              <w:right w:val="nil"/>
            </w:tcBorders>
            <w:shd w:val="clear" w:color="auto" w:fill="auto"/>
            <w:noWrap/>
            <w:vAlign w:val="bottom"/>
            <w:hideMark/>
          </w:tcPr>
          <w:p w14:paraId="0616D429" w14:textId="77777777" w:rsidR="004449AB" w:rsidRPr="004449AB" w:rsidRDefault="004449AB" w:rsidP="004449AB">
            <w:pPr>
              <w:spacing w:after="0" w:line="240" w:lineRule="auto"/>
              <w:ind w:firstLineChars="200" w:firstLine="321"/>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Empregados</w:t>
            </w:r>
          </w:p>
        </w:tc>
        <w:tc>
          <w:tcPr>
            <w:tcW w:w="797" w:type="pct"/>
            <w:tcBorders>
              <w:top w:val="nil"/>
              <w:left w:val="nil"/>
              <w:bottom w:val="nil"/>
              <w:right w:val="nil"/>
            </w:tcBorders>
            <w:shd w:val="clear" w:color="auto" w:fill="auto"/>
            <w:noWrap/>
            <w:vAlign w:val="bottom"/>
            <w:hideMark/>
          </w:tcPr>
          <w:p w14:paraId="34D5DB2C"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 xml:space="preserve">                 112.769 </w:t>
            </w:r>
          </w:p>
        </w:tc>
        <w:tc>
          <w:tcPr>
            <w:tcW w:w="74" w:type="pct"/>
            <w:tcBorders>
              <w:top w:val="nil"/>
              <w:left w:val="nil"/>
              <w:bottom w:val="nil"/>
              <w:right w:val="nil"/>
            </w:tcBorders>
            <w:shd w:val="clear" w:color="auto" w:fill="auto"/>
            <w:noWrap/>
            <w:vAlign w:val="bottom"/>
            <w:hideMark/>
          </w:tcPr>
          <w:p w14:paraId="0B45FC42"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16EB1837"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 xml:space="preserve">                 103.019 </w:t>
            </w:r>
          </w:p>
        </w:tc>
        <w:tc>
          <w:tcPr>
            <w:tcW w:w="74" w:type="pct"/>
            <w:tcBorders>
              <w:top w:val="nil"/>
              <w:left w:val="nil"/>
              <w:bottom w:val="nil"/>
              <w:right w:val="nil"/>
            </w:tcBorders>
            <w:shd w:val="clear" w:color="auto" w:fill="auto"/>
            <w:noWrap/>
            <w:vAlign w:val="bottom"/>
            <w:hideMark/>
          </w:tcPr>
          <w:p w14:paraId="540CBE36"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p>
        </w:tc>
      </w:tr>
      <w:tr w:rsidR="004449AB" w:rsidRPr="004449AB" w14:paraId="56BB4AB4" w14:textId="77777777" w:rsidTr="00075425">
        <w:trPr>
          <w:trHeight w:val="198"/>
        </w:trPr>
        <w:tc>
          <w:tcPr>
            <w:tcW w:w="3235" w:type="pct"/>
            <w:tcBorders>
              <w:top w:val="nil"/>
              <w:left w:val="nil"/>
              <w:bottom w:val="nil"/>
              <w:right w:val="nil"/>
            </w:tcBorders>
            <w:shd w:val="clear" w:color="auto" w:fill="auto"/>
            <w:noWrap/>
            <w:vAlign w:val="bottom"/>
            <w:hideMark/>
          </w:tcPr>
          <w:p w14:paraId="365C8E74" w14:textId="77777777" w:rsidR="004449AB" w:rsidRPr="004449AB" w:rsidRDefault="004449AB" w:rsidP="004449AB">
            <w:pPr>
              <w:spacing w:after="0" w:line="240" w:lineRule="auto"/>
              <w:ind w:firstLineChars="300" w:firstLine="48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Remuneração Direta</w:t>
            </w:r>
          </w:p>
        </w:tc>
        <w:tc>
          <w:tcPr>
            <w:tcW w:w="797" w:type="pct"/>
            <w:tcBorders>
              <w:top w:val="nil"/>
              <w:left w:val="nil"/>
              <w:bottom w:val="nil"/>
              <w:right w:val="nil"/>
            </w:tcBorders>
            <w:shd w:val="clear" w:color="auto" w:fill="auto"/>
            <w:noWrap/>
            <w:vAlign w:val="bottom"/>
            <w:hideMark/>
          </w:tcPr>
          <w:p w14:paraId="17D1BB0E"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68.730 </w:t>
            </w:r>
          </w:p>
        </w:tc>
        <w:tc>
          <w:tcPr>
            <w:tcW w:w="74" w:type="pct"/>
            <w:tcBorders>
              <w:top w:val="nil"/>
              <w:left w:val="nil"/>
              <w:bottom w:val="nil"/>
              <w:right w:val="nil"/>
            </w:tcBorders>
            <w:shd w:val="clear" w:color="auto" w:fill="auto"/>
            <w:noWrap/>
            <w:vAlign w:val="bottom"/>
            <w:hideMark/>
          </w:tcPr>
          <w:p w14:paraId="6401C36D"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32B32768"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61.055 </w:t>
            </w:r>
          </w:p>
        </w:tc>
        <w:tc>
          <w:tcPr>
            <w:tcW w:w="74" w:type="pct"/>
            <w:tcBorders>
              <w:top w:val="nil"/>
              <w:left w:val="nil"/>
              <w:bottom w:val="nil"/>
              <w:right w:val="nil"/>
            </w:tcBorders>
            <w:shd w:val="clear" w:color="auto" w:fill="auto"/>
            <w:noWrap/>
            <w:vAlign w:val="bottom"/>
            <w:hideMark/>
          </w:tcPr>
          <w:p w14:paraId="1DFB8F75"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r>
      <w:tr w:rsidR="004449AB" w:rsidRPr="004449AB" w14:paraId="67381BB0" w14:textId="77777777" w:rsidTr="00075425">
        <w:trPr>
          <w:trHeight w:val="198"/>
        </w:trPr>
        <w:tc>
          <w:tcPr>
            <w:tcW w:w="3235" w:type="pct"/>
            <w:tcBorders>
              <w:top w:val="nil"/>
              <w:left w:val="nil"/>
              <w:bottom w:val="nil"/>
              <w:right w:val="nil"/>
            </w:tcBorders>
            <w:shd w:val="clear" w:color="auto" w:fill="auto"/>
            <w:noWrap/>
            <w:vAlign w:val="bottom"/>
            <w:hideMark/>
          </w:tcPr>
          <w:p w14:paraId="6A2DB501" w14:textId="77777777" w:rsidR="004449AB" w:rsidRPr="004449AB" w:rsidRDefault="004449AB" w:rsidP="004449AB">
            <w:pPr>
              <w:spacing w:after="0" w:line="240" w:lineRule="auto"/>
              <w:ind w:firstLineChars="300" w:firstLine="48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FGTS</w:t>
            </w:r>
          </w:p>
        </w:tc>
        <w:tc>
          <w:tcPr>
            <w:tcW w:w="797" w:type="pct"/>
            <w:tcBorders>
              <w:top w:val="nil"/>
              <w:left w:val="nil"/>
              <w:bottom w:val="nil"/>
              <w:right w:val="nil"/>
            </w:tcBorders>
            <w:shd w:val="clear" w:color="auto" w:fill="auto"/>
            <w:noWrap/>
            <w:vAlign w:val="bottom"/>
            <w:hideMark/>
          </w:tcPr>
          <w:p w14:paraId="7685CA7E"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6.745 </w:t>
            </w:r>
          </w:p>
        </w:tc>
        <w:tc>
          <w:tcPr>
            <w:tcW w:w="74" w:type="pct"/>
            <w:tcBorders>
              <w:top w:val="nil"/>
              <w:left w:val="nil"/>
              <w:bottom w:val="nil"/>
              <w:right w:val="nil"/>
            </w:tcBorders>
            <w:shd w:val="clear" w:color="auto" w:fill="auto"/>
            <w:noWrap/>
            <w:vAlign w:val="bottom"/>
            <w:hideMark/>
          </w:tcPr>
          <w:p w14:paraId="05B62988"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3863ED4B"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6.481 </w:t>
            </w:r>
          </w:p>
        </w:tc>
        <w:tc>
          <w:tcPr>
            <w:tcW w:w="74" w:type="pct"/>
            <w:tcBorders>
              <w:top w:val="nil"/>
              <w:left w:val="nil"/>
              <w:bottom w:val="nil"/>
              <w:right w:val="nil"/>
            </w:tcBorders>
            <w:shd w:val="clear" w:color="auto" w:fill="auto"/>
            <w:noWrap/>
            <w:vAlign w:val="bottom"/>
            <w:hideMark/>
          </w:tcPr>
          <w:p w14:paraId="6C933A7F"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r>
      <w:tr w:rsidR="004449AB" w:rsidRPr="004449AB" w14:paraId="48C3106E" w14:textId="77777777" w:rsidTr="00075425">
        <w:trPr>
          <w:trHeight w:val="198"/>
        </w:trPr>
        <w:tc>
          <w:tcPr>
            <w:tcW w:w="3235" w:type="pct"/>
            <w:tcBorders>
              <w:top w:val="nil"/>
              <w:left w:val="nil"/>
              <w:bottom w:val="nil"/>
              <w:right w:val="nil"/>
            </w:tcBorders>
            <w:shd w:val="clear" w:color="auto" w:fill="auto"/>
            <w:noWrap/>
            <w:vAlign w:val="bottom"/>
            <w:hideMark/>
          </w:tcPr>
          <w:p w14:paraId="6E8B0B06" w14:textId="77777777" w:rsidR="004449AB" w:rsidRPr="004449AB" w:rsidRDefault="004449AB" w:rsidP="004449AB">
            <w:pPr>
              <w:spacing w:after="0" w:line="240" w:lineRule="auto"/>
              <w:ind w:firstLineChars="300" w:firstLine="48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Benefícios Sociais</w:t>
            </w:r>
          </w:p>
        </w:tc>
        <w:tc>
          <w:tcPr>
            <w:tcW w:w="797" w:type="pct"/>
            <w:tcBorders>
              <w:top w:val="nil"/>
              <w:left w:val="nil"/>
              <w:bottom w:val="nil"/>
              <w:right w:val="nil"/>
            </w:tcBorders>
            <w:shd w:val="clear" w:color="auto" w:fill="auto"/>
            <w:noWrap/>
            <w:vAlign w:val="bottom"/>
            <w:hideMark/>
          </w:tcPr>
          <w:p w14:paraId="6732C815"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14.106 </w:t>
            </w:r>
          </w:p>
        </w:tc>
        <w:tc>
          <w:tcPr>
            <w:tcW w:w="74" w:type="pct"/>
            <w:tcBorders>
              <w:top w:val="nil"/>
              <w:left w:val="nil"/>
              <w:bottom w:val="nil"/>
              <w:right w:val="nil"/>
            </w:tcBorders>
            <w:shd w:val="clear" w:color="auto" w:fill="auto"/>
            <w:noWrap/>
            <w:vAlign w:val="bottom"/>
            <w:hideMark/>
          </w:tcPr>
          <w:p w14:paraId="2232C4D8"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10B64593"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12.705 </w:t>
            </w:r>
          </w:p>
        </w:tc>
        <w:tc>
          <w:tcPr>
            <w:tcW w:w="74" w:type="pct"/>
            <w:tcBorders>
              <w:top w:val="nil"/>
              <w:left w:val="nil"/>
              <w:bottom w:val="nil"/>
              <w:right w:val="nil"/>
            </w:tcBorders>
            <w:shd w:val="clear" w:color="auto" w:fill="auto"/>
            <w:noWrap/>
            <w:vAlign w:val="bottom"/>
            <w:hideMark/>
          </w:tcPr>
          <w:p w14:paraId="3B97C73C"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r>
      <w:tr w:rsidR="004449AB" w:rsidRPr="004449AB" w14:paraId="679B1509" w14:textId="77777777" w:rsidTr="00075425">
        <w:trPr>
          <w:trHeight w:val="198"/>
        </w:trPr>
        <w:tc>
          <w:tcPr>
            <w:tcW w:w="3235" w:type="pct"/>
            <w:tcBorders>
              <w:top w:val="nil"/>
              <w:left w:val="nil"/>
              <w:bottom w:val="nil"/>
              <w:right w:val="nil"/>
            </w:tcBorders>
            <w:shd w:val="clear" w:color="auto" w:fill="auto"/>
            <w:noWrap/>
            <w:vAlign w:val="bottom"/>
            <w:hideMark/>
          </w:tcPr>
          <w:p w14:paraId="7E5A184F" w14:textId="77777777" w:rsidR="004449AB" w:rsidRPr="004449AB" w:rsidRDefault="004449AB" w:rsidP="004449AB">
            <w:pPr>
              <w:spacing w:after="0" w:line="240" w:lineRule="auto"/>
              <w:ind w:firstLineChars="300" w:firstLine="48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Outros Encargos Sociais</w:t>
            </w:r>
          </w:p>
        </w:tc>
        <w:tc>
          <w:tcPr>
            <w:tcW w:w="797" w:type="pct"/>
            <w:tcBorders>
              <w:top w:val="nil"/>
              <w:left w:val="nil"/>
              <w:bottom w:val="nil"/>
              <w:right w:val="nil"/>
            </w:tcBorders>
            <w:shd w:val="clear" w:color="auto" w:fill="auto"/>
            <w:noWrap/>
            <w:vAlign w:val="bottom"/>
            <w:hideMark/>
          </w:tcPr>
          <w:p w14:paraId="6163926C"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20.419 </w:t>
            </w:r>
          </w:p>
        </w:tc>
        <w:tc>
          <w:tcPr>
            <w:tcW w:w="74" w:type="pct"/>
            <w:tcBorders>
              <w:top w:val="nil"/>
              <w:left w:val="nil"/>
              <w:bottom w:val="nil"/>
              <w:right w:val="nil"/>
            </w:tcBorders>
            <w:shd w:val="clear" w:color="auto" w:fill="auto"/>
            <w:noWrap/>
            <w:vAlign w:val="bottom"/>
            <w:hideMark/>
          </w:tcPr>
          <w:p w14:paraId="43F51FA9"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2DCC7BD9"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19.443 </w:t>
            </w:r>
          </w:p>
        </w:tc>
        <w:tc>
          <w:tcPr>
            <w:tcW w:w="74" w:type="pct"/>
            <w:tcBorders>
              <w:top w:val="nil"/>
              <w:left w:val="nil"/>
              <w:bottom w:val="nil"/>
              <w:right w:val="nil"/>
            </w:tcBorders>
            <w:shd w:val="clear" w:color="auto" w:fill="auto"/>
            <w:noWrap/>
            <w:vAlign w:val="bottom"/>
            <w:hideMark/>
          </w:tcPr>
          <w:p w14:paraId="18B80B6D"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r>
      <w:tr w:rsidR="004449AB" w:rsidRPr="004449AB" w14:paraId="436B1CD2" w14:textId="77777777" w:rsidTr="00075425">
        <w:trPr>
          <w:trHeight w:val="198"/>
        </w:trPr>
        <w:tc>
          <w:tcPr>
            <w:tcW w:w="3235" w:type="pct"/>
            <w:tcBorders>
              <w:top w:val="nil"/>
              <w:left w:val="nil"/>
              <w:bottom w:val="nil"/>
              <w:right w:val="nil"/>
            </w:tcBorders>
            <w:shd w:val="clear" w:color="auto" w:fill="auto"/>
            <w:noWrap/>
            <w:vAlign w:val="bottom"/>
            <w:hideMark/>
          </w:tcPr>
          <w:p w14:paraId="4382DC33" w14:textId="77777777" w:rsidR="004449AB" w:rsidRPr="004449AB" w:rsidRDefault="004449AB" w:rsidP="004449AB">
            <w:pPr>
              <w:spacing w:after="0" w:line="240" w:lineRule="auto"/>
              <w:ind w:firstLineChars="300" w:firstLine="48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Programa de Indenização por Serviços Prestados</w:t>
            </w:r>
          </w:p>
        </w:tc>
        <w:tc>
          <w:tcPr>
            <w:tcW w:w="797" w:type="pct"/>
            <w:tcBorders>
              <w:top w:val="nil"/>
              <w:left w:val="nil"/>
              <w:bottom w:val="nil"/>
              <w:right w:val="nil"/>
            </w:tcBorders>
            <w:shd w:val="clear" w:color="auto" w:fill="auto"/>
            <w:noWrap/>
            <w:vAlign w:val="bottom"/>
            <w:hideMark/>
          </w:tcPr>
          <w:p w14:paraId="0E4679E1"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1.495 </w:t>
            </w:r>
          </w:p>
        </w:tc>
        <w:tc>
          <w:tcPr>
            <w:tcW w:w="74" w:type="pct"/>
            <w:tcBorders>
              <w:top w:val="nil"/>
              <w:left w:val="nil"/>
              <w:bottom w:val="nil"/>
              <w:right w:val="nil"/>
            </w:tcBorders>
            <w:shd w:val="clear" w:color="auto" w:fill="auto"/>
            <w:noWrap/>
            <w:vAlign w:val="bottom"/>
            <w:hideMark/>
          </w:tcPr>
          <w:p w14:paraId="40BE6F0D"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64B7160B"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2.332 </w:t>
            </w:r>
          </w:p>
        </w:tc>
        <w:tc>
          <w:tcPr>
            <w:tcW w:w="74" w:type="pct"/>
            <w:tcBorders>
              <w:top w:val="nil"/>
              <w:left w:val="nil"/>
              <w:bottom w:val="nil"/>
              <w:right w:val="nil"/>
            </w:tcBorders>
            <w:shd w:val="clear" w:color="auto" w:fill="auto"/>
            <w:noWrap/>
            <w:vAlign w:val="bottom"/>
            <w:hideMark/>
          </w:tcPr>
          <w:p w14:paraId="5ED59968"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r>
      <w:tr w:rsidR="004449AB" w:rsidRPr="004449AB" w14:paraId="0917878F" w14:textId="77777777" w:rsidTr="00075425">
        <w:trPr>
          <w:trHeight w:val="198"/>
        </w:trPr>
        <w:tc>
          <w:tcPr>
            <w:tcW w:w="3235" w:type="pct"/>
            <w:tcBorders>
              <w:top w:val="nil"/>
              <w:left w:val="nil"/>
              <w:bottom w:val="nil"/>
              <w:right w:val="nil"/>
            </w:tcBorders>
            <w:shd w:val="clear" w:color="auto" w:fill="auto"/>
            <w:noWrap/>
            <w:vAlign w:val="bottom"/>
            <w:hideMark/>
          </w:tcPr>
          <w:p w14:paraId="7F3D8FA8" w14:textId="77777777" w:rsidR="004449AB" w:rsidRPr="004449AB" w:rsidRDefault="004449AB" w:rsidP="004449AB">
            <w:pPr>
              <w:spacing w:after="0" w:line="240" w:lineRule="auto"/>
              <w:ind w:firstLineChars="300" w:firstLine="48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Mão-de-Obra Temporária - Serviços Prestados - PF</w:t>
            </w:r>
          </w:p>
        </w:tc>
        <w:tc>
          <w:tcPr>
            <w:tcW w:w="797" w:type="pct"/>
            <w:tcBorders>
              <w:top w:val="nil"/>
              <w:left w:val="nil"/>
              <w:bottom w:val="nil"/>
              <w:right w:val="nil"/>
            </w:tcBorders>
            <w:shd w:val="clear" w:color="auto" w:fill="auto"/>
            <w:noWrap/>
            <w:vAlign w:val="bottom"/>
            <w:hideMark/>
          </w:tcPr>
          <w:p w14:paraId="77BD2B65"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1.274 </w:t>
            </w:r>
          </w:p>
        </w:tc>
        <w:tc>
          <w:tcPr>
            <w:tcW w:w="74" w:type="pct"/>
            <w:tcBorders>
              <w:top w:val="nil"/>
              <w:left w:val="nil"/>
              <w:bottom w:val="nil"/>
              <w:right w:val="nil"/>
            </w:tcBorders>
            <w:shd w:val="clear" w:color="auto" w:fill="auto"/>
            <w:noWrap/>
            <w:vAlign w:val="bottom"/>
            <w:hideMark/>
          </w:tcPr>
          <w:p w14:paraId="2F36BC33"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61DEC9C4"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1.003 </w:t>
            </w:r>
          </w:p>
        </w:tc>
        <w:tc>
          <w:tcPr>
            <w:tcW w:w="74" w:type="pct"/>
            <w:tcBorders>
              <w:top w:val="nil"/>
              <w:left w:val="nil"/>
              <w:bottom w:val="nil"/>
              <w:right w:val="nil"/>
            </w:tcBorders>
            <w:shd w:val="clear" w:color="auto" w:fill="auto"/>
            <w:noWrap/>
            <w:vAlign w:val="bottom"/>
            <w:hideMark/>
          </w:tcPr>
          <w:p w14:paraId="3AEF4ADB"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r>
      <w:tr w:rsidR="004449AB" w:rsidRPr="004449AB" w14:paraId="6FAE2B28" w14:textId="77777777" w:rsidTr="00075425">
        <w:trPr>
          <w:trHeight w:val="198"/>
        </w:trPr>
        <w:tc>
          <w:tcPr>
            <w:tcW w:w="3235" w:type="pct"/>
            <w:tcBorders>
              <w:top w:val="nil"/>
              <w:left w:val="nil"/>
              <w:bottom w:val="nil"/>
              <w:right w:val="nil"/>
            </w:tcBorders>
            <w:shd w:val="clear" w:color="auto" w:fill="auto"/>
            <w:noWrap/>
            <w:vAlign w:val="bottom"/>
            <w:hideMark/>
          </w:tcPr>
          <w:p w14:paraId="66B81DD0" w14:textId="77777777" w:rsidR="004449AB" w:rsidRPr="004449AB" w:rsidRDefault="004449AB" w:rsidP="004449AB">
            <w:pPr>
              <w:spacing w:after="0" w:line="240" w:lineRule="auto"/>
              <w:jc w:val="center"/>
              <w:rPr>
                <w:rFonts w:ascii="Times New Roman" w:eastAsia="Times New Roman" w:hAnsi="Times New Roman" w:cs="Times New Roman"/>
                <w:kern w:val="0"/>
                <w:sz w:val="16"/>
                <w:szCs w:val="16"/>
                <w:lang w:eastAsia="pt-BR"/>
                <w14:ligatures w14:val="none"/>
              </w:rPr>
            </w:pPr>
          </w:p>
        </w:tc>
        <w:tc>
          <w:tcPr>
            <w:tcW w:w="797" w:type="pct"/>
            <w:tcBorders>
              <w:top w:val="nil"/>
              <w:left w:val="nil"/>
              <w:bottom w:val="nil"/>
              <w:right w:val="nil"/>
            </w:tcBorders>
            <w:shd w:val="clear" w:color="auto" w:fill="auto"/>
            <w:noWrap/>
            <w:vAlign w:val="bottom"/>
            <w:hideMark/>
          </w:tcPr>
          <w:p w14:paraId="405C9C7D" w14:textId="77777777" w:rsidR="004449AB" w:rsidRPr="004449AB" w:rsidRDefault="004449AB" w:rsidP="004449AB">
            <w:pPr>
              <w:spacing w:after="0" w:line="240" w:lineRule="auto"/>
              <w:ind w:firstLineChars="300" w:firstLine="480"/>
              <w:jc w:val="right"/>
              <w:rPr>
                <w:rFonts w:ascii="Times New Roman" w:eastAsia="Times New Roman" w:hAnsi="Times New Roman" w:cs="Times New Roman"/>
                <w:kern w:val="0"/>
                <w:sz w:val="16"/>
                <w:szCs w:val="16"/>
                <w:lang w:eastAsia="pt-BR"/>
                <w14:ligatures w14:val="none"/>
              </w:rPr>
            </w:pPr>
          </w:p>
        </w:tc>
        <w:tc>
          <w:tcPr>
            <w:tcW w:w="74" w:type="pct"/>
            <w:tcBorders>
              <w:top w:val="nil"/>
              <w:left w:val="nil"/>
              <w:bottom w:val="nil"/>
              <w:right w:val="nil"/>
            </w:tcBorders>
            <w:shd w:val="clear" w:color="auto" w:fill="auto"/>
            <w:noWrap/>
            <w:vAlign w:val="bottom"/>
            <w:hideMark/>
          </w:tcPr>
          <w:p w14:paraId="3BEC3EC7"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71312A30"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74" w:type="pct"/>
            <w:tcBorders>
              <w:top w:val="nil"/>
              <w:left w:val="nil"/>
              <w:bottom w:val="nil"/>
              <w:right w:val="nil"/>
            </w:tcBorders>
            <w:shd w:val="clear" w:color="auto" w:fill="auto"/>
            <w:noWrap/>
            <w:vAlign w:val="bottom"/>
            <w:hideMark/>
          </w:tcPr>
          <w:p w14:paraId="062C61BC"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r>
      <w:tr w:rsidR="004449AB" w:rsidRPr="004449AB" w14:paraId="22E483FA" w14:textId="77777777" w:rsidTr="00075425">
        <w:trPr>
          <w:trHeight w:val="198"/>
        </w:trPr>
        <w:tc>
          <w:tcPr>
            <w:tcW w:w="3235" w:type="pct"/>
            <w:tcBorders>
              <w:top w:val="nil"/>
              <w:left w:val="nil"/>
              <w:bottom w:val="nil"/>
              <w:right w:val="nil"/>
            </w:tcBorders>
            <w:shd w:val="clear" w:color="auto" w:fill="auto"/>
            <w:noWrap/>
            <w:vAlign w:val="bottom"/>
            <w:hideMark/>
          </w:tcPr>
          <w:p w14:paraId="07BA90C6" w14:textId="77777777" w:rsidR="004449AB" w:rsidRPr="004449AB" w:rsidRDefault="004449AB" w:rsidP="004449AB">
            <w:pPr>
              <w:spacing w:after="0" w:line="240" w:lineRule="auto"/>
              <w:ind w:firstLineChars="200" w:firstLine="321"/>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Impostos, Taxas e Contribuições</w:t>
            </w:r>
          </w:p>
        </w:tc>
        <w:tc>
          <w:tcPr>
            <w:tcW w:w="797" w:type="pct"/>
            <w:tcBorders>
              <w:top w:val="nil"/>
              <w:left w:val="nil"/>
              <w:bottom w:val="nil"/>
              <w:right w:val="nil"/>
            </w:tcBorders>
            <w:shd w:val="clear" w:color="auto" w:fill="auto"/>
            <w:noWrap/>
            <w:vAlign w:val="bottom"/>
            <w:hideMark/>
          </w:tcPr>
          <w:p w14:paraId="1B50BD7F"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 xml:space="preserve">                   71.015 </w:t>
            </w:r>
          </w:p>
        </w:tc>
        <w:tc>
          <w:tcPr>
            <w:tcW w:w="74" w:type="pct"/>
            <w:tcBorders>
              <w:top w:val="nil"/>
              <w:left w:val="nil"/>
              <w:bottom w:val="nil"/>
              <w:right w:val="nil"/>
            </w:tcBorders>
            <w:shd w:val="clear" w:color="auto" w:fill="auto"/>
            <w:noWrap/>
            <w:vAlign w:val="bottom"/>
            <w:hideMark/>
          </w:tcPr>
          <w:p w14:paraId="03826225"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3BFBD0FA"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 xml:space="preserve">                   74.445 </w:t>
            </w:r>
          </w:p>
        </w:tc>
        <w:tc>
          <w:tcPr>
            <w:tcW w:w="74" w:type="pct"/>
            <w:tcBorders>
              <w:top w:val="nil"/>
              <w:left w:val="nil"/>
              <w:bottom w:val="nil"/>
              <w:right w:val="nil"/>
            </w:tcBorders>
            <w:shd w:val="clear" w:color="auto" w:fill="auto"/>
            <w:noWrap/>
            <w:vAlign w:val="bottom"/>
            <w:hideMark/>
          </w:tcPr>
          <w:p w14:paraId="468CCEC0"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p>
        </w:tc>
      </w:tr>
      <w:tr w:rsidR="004449AB" w:rsidRPr="004449AB" w14:paraId="6EB33184" w14:textId="77777777" w:rsidTr="00075425">
        <w:trPr>
          <w:trHeight w:val="198"/>
        </w:trPr>
        <w:tc>
          <w:tcPr>
            <w:tcW w:w="3235" w:type="pct"/>
            <w:tcBorders>
              <w:top w:val="nil"/>
              <w:left w:val="nil"/>
              <w:bottom w:val="nil"/>
              <w:right w:val="nil"/>
            </w:tcBorders>
            <w:shd w:val="clear" w:color="auto" w:fill="auto"/>
            <w:noWrap/>
            <w:vAlign w:val="bottom"/>
            <w:hideMark/>
          </w:tcPr>
          <w:p w14:paraId="33A7DAB3" w14:textId="77777777" w:rsidR="004449AB" w:rsidRPr="004449AB" w:rsidRDefault="004449AB" w:rsidP="004449AB">
            <w:pPr>
              <w:spacing w:after="0" w:line="240" w:lineRule="auto"/>
              <w:ind w:firstLineChars="300" w:firstLine="48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Federais</w:t>
            </w:r>
          </w:p>
        </w:tc>
        <w:tc>
          <w:tcPr>
            <w:tcW w:w="797" w:type="pct"/>
            <w:tcBorders>
              <w:top w:val="nil"/>
              <w:left w:val="nil"/>
              <w:bottom w:val="nil"/>
              <w:right w:val="nil"/>
            </w:tcBorders>
            <w:shd w:val="clear" w:color="auto" w:fill="auto"/>
            <w:noWrap/>
            <w:vAlign w:val="bottom"/>
            <w:hideMark/>
          </w:tcPr>
          <w:p w14:paraId="497DC671"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31.485 </w:t>
            </w:r>
          </w:p>
        </w:tc>
        <w:tc>
          <w:tcPr>
            <w:tcW w:w="74" w:type="pct"/>
            <w:tcBorders>
              <w:top w:val="nil"/>
              <w:left w:val="nil"/>
              <w:bottom w:val="nil"/>
              <w:right w:val="nil"/>
            </w:tcBorders>
            <w:shd w:val="clear" w:color="auto" w:fill="auto"/>
            <w:noWrap/>
            <w:vAlign w:val="bottom"/>
            <w:hideMark/>
          </w:tcPr>
          <w:p w14:paraId="7932A67A"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272996D3"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32.387 </w:t>
            </w:r>
          </w:p>
        </w:tc>
        <w:tc>
          <w:tcPr>
            <w:tcW w:w="74" w:type="pct"/>
            <w:tcBorders>
              <w:top w:val="nil"/>
              <w:left w:val="nil"/>
              <w:bottom w:val="nil"/>
              <w:right w:val="nil"/>
            </w:tcBorders>
            <w:shd w:val="clear" w:color="auto" w:fill="auto"/>
            <w:noWrap/>
            <w:vAlign w:val="bottom"/>
            <w:hideMark/>
          </w:tcPr>
          <w:p w14:paraId="018BE3EA"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r>
      <w:tr w:rsidR="004449AB" w:rsidRPr="004449AB" w14:paraId="67FB7935" w14:textId="77777777" w:rsidTr="00075425">
        <w:trPr>
          <w:trHeight w:val="198"/>
        </w:trPr>
        <w:tc>
          <w:tcPr>
            <w:tcW w:w="3235" w:type="pct"/>
            <w:tcBorders>
              <w:top w:val="nil"/>
              <w:left w:val="nil"/>
              <w:bottom w:val="nil"/>
              <w:right w:val="nil"/>
            </w:tcBorders>
            <w:shd w:val="clear" w:color="auto" w:fill="auto"/>
            <w:noWrap/>
            <w:vAlign w:val="bottom"/>
            <w:hideMark/>
          </w:tcPr>
          <w:p w14:paraId="6B7F86EB" w14:textId="77777777" w:rsidR="004449AB" w:rsidRPr="004449AB" w:rsidRDefault="004449AB" w:rsidP="004449AB">
            <w:pPr>
              <w:spacing w:after="0" w:line="240" w:lineRule="auto"/>
              <w:ind w:firstLineChars="300" w:firstLine="48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Estaduais</w:t>
            </w:r>
          </w:p>
        </w:tc>
        <w:tc>
          <w:tcPr>
            <w:tcW w:w="797" w:type="pct"/>
            <w:tcBorders>
              <w:top w:val="nil"/>
              <w:left w:val="nil"/>
              <w:bottom w:val="nil"/>
              <w:right w:val="nil"/>
            </w:tcBorders>
            <w:shd w:val="clear" w:color="auto" w:fill="auto"/>
            <w:noWrap/>
            <w:vAlign w:val="bottom"/>
            <w:hideMark/>
          </w:tcPr>
          <w:p w14:paraId="1667D564"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38.887 </w:t>
            </w:r>
          </w:p>
        </w:tc>
        <w:tc>
          <w:tcPr>
            <w:tcW w:w="74" w:type="pct"/>
            <w:tcBorders>
              <w:top w:val="nil"/>
              <w:left w:val="nil"/>
              <w:bottom w:val="nil"/>
              <w:right w:val="nil"/>
            </w:tcBorders>
            <w:shd w:val="clear" w:color="auto" w:fill="auto"/>
            <w:noWrap/>
            <w:vAlign w:val="bottom"/>
            <w:hideMark/>
          </w:tcPr>
          <w:p w14:paraId="28722616"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3E2BDBC8"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41.476 </w:t>
            </w:r>
          </w:p>
        </w:tc>
        <w:tc>
          <w:tcPr>
            <w:tcW w:w="74" w:type="pct"/>
            <w:tcBorders>
              <w:top w:val="nil"/>
              <w:left w:val="nil"/>
              <w:bottom w:val="nil"/>
              <w:right w:val="nil"/>
            </w:tcBorders>
            <w:shd w:val="clear" w:color="auto" w:fill="auto"/>
            <w:noWrap/>
            <w:vAlign w:val="bottom"/>
            <w:hideMark/>
          </w:tcPr>
          <w:p w14:paraId="339B4D91"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r>
      <w:tr w:rsidR="004449AB" w:rsidRPr="004449AB" w14:paraId="20FBB048" w14:textId="77777777" w:rsidTr="00075425">
        <w:trPr>
          <w:trHeight w:val="198"/>
        </w:trPr>
        <w:tc>
          <w:tcPr>
            <w:tcW w:w="3235" w:type="pct"/>
            <w:tcBorders>
              <w:top w:val="nil"/>
              <w:left w:val="nil"/>
              <w:bottom w:val="nil"/>
              <w:right w:val="nil"/>
            </w:tcBorders>
            <w:shd w:val="clear" w:color="auto" w:fill="auto"/>
            <w:noWrap/>
            <w:vAlign w:val="bottom"/>
            <w:hideMark/>
          </w:tcPr>
          <w:p w14:paraId="3565D5AC" w14:textId="77777777" w:rsidR="004449AB" w:rsidRPr="004449AB" w:rsidRDefault="004449AB" w:rsidP="004449AB">
            <w:pPr>
              <w:spacing w:after="0" w:line="240" w:lineRule="auto"/>
              <w:ind w:firstLineChars="300" w:firstLine="48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Municipais</w:t>
            </w:r>
          </w:p>
        </w:tc>
        <w:tc>
          <w:tcPr>
            <w:tcW w:w="797" w:type="pct"/>
            <w:tcBorders>
              <w:top w:val="nil"/>
              <w:left w:val="nil"/>
              <w:bottom w:val="nil"/>
              <w:right w:val="nil"/>
            </w:tcBorders>
            <w:shd w:val="clear" w:color="auto" w:fill="auto"/>
            <w:noWrap/>
            <w:vAlign w:val="bottom"/>
            <w:hideMark/>
          </w:tcPr>
          <w:p w14:paraId="1EC30526"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643 </w:t>
            </w:r>
          </w:p>
        </w:tc>
        <w:tc>
          <w:tcPr>
            <w:tcW w:w="74" w:type="pct"/>
            <w:tcBorders>
              <w:top w:val="nil"/>
              <w:left w:val="nil"/>
              <w:bottom w:val="nil"/>
              <w:right w:val="nil"/>
            </w:tcBorders>
            <w:shd w:val="clear" w:color="auto" w:fill="auto"/>
            <w:noWrap/>
            <w:vAlign w:val="bottom"/>
            <w:hideMark/>
          </w:tcPr>
          <w:p w14:paraId="3AA9383B"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08DEF678"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582 </w:t>
            </w:r>
          </w:p>
        </w:tc>
        <w:tc>
          <w:tcPr>
            <w:tcW w:w="74" w:type="pct"/>
            <w:tcBorders>
              <w:top w:val="nil"/>
              <w:left w:val="nil"/>
              <w:bottom w:val="nil"/>
              <w:right w:val="nil"/>
            </w:tcBorders>
            <w:shd w:val="clear" w:color="auto" w:fill="auto"/>
            <w:noWrap/>
            <w:vAlign w:val="bottom"/>
            <w:hideMark/>
          </w:tcPr>
          <w:p w14:paraId="6CA2148F"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r>
      <w:tr w:rsidR="004449AB" w:rsidRPr="004449AB" w14:paraId="080EEA4E" w14:textId="77777777" w:rsidTr="00075425">
        <w:trPr>
          <w:trHeight w:val="198"/>
        </w:trPr>
        <w:tc>
          <w:tcPr>
            <w:tcW w:w="3235" w:type="pct"/>
            <w:tcBorders>
              <w:top w:val="nil"/>
              <w:left w:val="nil"/>
              <w:bottom w:val="nil"/>
              <w:right w:val="nil"/>
            </w:tcBorders>
            <w:shd w:val="clear" w:color="auto" w:fill="auto"/>
            <w:noWrap/>
            <w:vAlign w:val="bottom"/>
            <w:hideMark/>
          </w:tcPr>
          <w:p w14:paraId="72A67738"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c>
          <w:tcPr>
            <w:tcW w:w="797" w:type="pct"/>
            <w:tcBorders>
              <w:top w:val="nil"/>
              <w:left w:val="nil"/>
              <w:bottom w:val="nil"/>
              <w:right w:val="nil"/>
            </w:tcBorders>
            <w:shd w:val="clear" w:color="auto" w:fill="auto"/>
            <w:noWrap/>
            <w:vAlign w:val="bottom"/>
            <w:hideMark/>
          </w:tcPr>
          <w:p w14:paraId="7738A0F7" w14:textId="77777777" w:rsidR="004449AB" w:rsidRPr="004449AB" w:rsidRDefault="004449AB" w:rsidP="004449AB">
            <w:pPr>
              <w:spacing w:after="0" w:line="240" w:lineRule="auto"/>
              <w:ind w:firstLineChars="300" w:firstLine="480"/>
              <w:jc w:val="right"/>
              <w:rPr>
                <w:rFonts w:ascii="Times New Roman" w:eastAsia="Times New Roman" w:hAnsi="Times New Roman" w:cs="Times New Roman"/>
                <w:kern w:val="0"/>
                <w:sz w:val="16"/>
                <w:szCs w:val="16"/>
                <w:lang w:eastAsia="pt-BR"/>
                <w14:ligatures w14:val="none"/>
              </w:rPr>
            </w:pPr>
          </w:p>
        </w:tc>
        <w:tc>
          <w:tcPr>
            <w:tcW w:w="74" w:type="pct"/>
            <w:tcBorders>
              <w:top w:val="nil"/>
              <w:left w:val="nil"/>
              <w:bottom w:val="nil"/>
              <w:right w:val="nil"/>
            </w:tcBorders>
            <w:shd w:val="clear" w:color="auto" w:fill="auto"/>
            <w:noWrap/>
            <w:vAlign w:val="bottom"/>
            <w:hideMark/>
          </w:tcPr>
          <w:p w14:paraId="52842D39"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33C7C989"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74" w:type="pct"/>
            <w:tcBorders>
              <w:top w:val="nil"/>
              <w:left w:val="nil"/>
              <w:bottom w:val="nil"/>
              <w:right w:val="nil"/>
            </w:tcBorders>
            <w:shd w:val="clear" w:color="auto" w:fill="auto"/>
            <w:noWrap/>
            <w:vAlign w:val="bottom"/>
            <w:hideMark/>
          </w:tcPr>
          <w:p w14:paraId="128B60D8"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r>
      <w:tr w:rsidR="004449AB" w:rsidRPr="004449AB" w14:paraId="76DF8D0D" w14:textId="77777777" w:rsidTr="00075425">
        <w:trPr>
          <w:trHeight w:val="198"/>
        </w:trPr>
        <w:tc>
          <w:tcPr>
            <w:tcW w:w="3235" w:type="pct"/>
            <w:tcBorders>
              <w:top w:val="nil"/>
              <w:left w:val="nil"/>
              <w:bottom w:val="nil"/>
              <w:right w:val="nil"/>
            </w:tcBorders>
            <w:shd w:val="clear" w:color="auto" w:fill="auto"/>
            <w:noWrap/>
            <w:vAlign w:val="bottom"/>
            <w:hideMark/>
          </w:tcPr>
          <w:p w14:paraId="3F3F6FC7" w14:textId="77777777" w:rsidR="004449AB" w:rsidRPr="004449AB" w:rsidRDefault="004449AB" w:rsidP="004449AB">
            <w:pPr>
              <w:spacing w:after="0" w:line="240" w:lineRule="auto"/>
              <w:ind w:firstLineChars="200" w:firstLine="321"/>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Remuneração de Capitais de Terceiros</w:t>
            </w:r>
          </w:p>
        </w:tc>
        <w:tc>
          <w:tcPr>
            <w:tcW w:w="797" w:type="pct"/>
            <w:tcBorders>
              <w:top w:val="nil"/>
              <w:left w:val="nil"/>
              <w:bottom w:val="nil"/>
              <w:right w:val="nil"/>
            </w:tcBorders>
            <w:shd w:val="clear" w:color="auto" w:fill="auto"/>
            <w:noWrap/>
            <w:vAlign w:val="bottom"/>
            <w:hideMark/>
          </w:tcPr>
          <w:p w14:paraId="7FAFFD08"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 xml:space="preserve">                 281.840 </w:t>
            </w:r>
          </w:p>
        </w:tc>
        <w:tc>
          <w:tcPr>
            <w:tcW w:w="74" w:type="pct"/>
            <w:tcBorders>
              <w:top w:val="nil"/>
              <w:left w:val="nil"/>
              <w:bottom w:val="nil"/>
              <w:right w:val="nil"/>
            </w:tcBorders>
            <w:shd w:val="clear" w:color="auto" w:fill="auto"/>
            <w:noWrap/>
            <w:vAlign w:val="bottom"/>
            <w:hideMark/>
          </w:tcPr>
          <w:p w14:paraId="1D8B10A6"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7B0A63C7"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 xml:space="preserve">                 272.252 </w:t>
            </w:r>
          </w:p>
        </w:tc>
        <w:tc>
          <w:tcPr>
            <w:tcW w:w="74" w:type="pct"/>
            <w:tcBorders>
              <w:top w:val="nil"/>
              <w:left w:val="nil"/>
              <w:bottom w:val="nil"/>
              <w:right w:val="nil"/>
            </w:tcBorders>
            <w:shd w:val="clear" w:color="auto" w:fill="auto"/>
            <w:noWrap/>
            <w:vAlign w:val="bottom"/>
            <w:hideMark/>
          </w:tcPr>
          <w:p w14:paraId="58A2C154"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p>
        </w:tc>
      </w:tr>
      <w:tr w:rsidR="004449AB" w:rsidRPr="004449AB" w14:paraId="0303C476" w14:textId="77777777" w:rsidTr="00075425">
        <w:trPr>
          <w:trHeight w:val="198"/>
        </w:trPr>
        <w:tc>
          <w:tcPr>
            <w:tcW w:w="3235" w:type="pct"/>
            <w:tcBorders>
              <w:top w:val="nil"/>
              <w:left w:val="nil"/>
              <w:bottom w:val="nil"/>
              <w:right w:val="nil"/>
            </w:tcBorders>
            <w:shd w:val="clear" w:color="auto" w:fill="auto"/>
            <w:noWrap/>
            <w:vAlign w:val="bottom"/>
            <w:hideMark/>
          </w:tcPr>
          <w:p w14:paraId="79332E3F" w14:textId="77777777" w:rsidR="004449AB" w:rsidRPr="004449AB" w:rsidRDefault="004449AB" w:rsidP="004449AB">
            <w:pPr>
              <w:spacing w:after="0" w:line="240" w:lineRule="auto"/>
              <w:ind w:firstLineChars="300" w:firstLine="48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Remuneração do Capital de Terceiros</w:t>
            </w:r>
          </w:p>
        </w:tc>
        <w:tc>
          <w:tcPr>
            <w:tcW w:w="797" w:type="pct"/>
            <w:tcBorders>
              <w:top w:val="nil"/>
              <w:left w:val="nil"/>
              <w:bottom w:val="nil"/>
              <w:right w:val="nil"/>
            </w:tcBorders>
            <w:shd w:val="clear" w:color="auto" w:fill="auto"/>
            <w:noWrap/>
            <w:vAlign w:val="bottom"/>
            <w:hideMark/>
          </w:tcPr>
          <w:p w14:paraId="3B8210E9"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225.516 </w:t>
            </w:r>
          </w:p>
        </w:tc>
        <w:tc>
          <w:tcPr>
            <w:tcW w:w="74" w:type="pct"/>
            <w:tcBorders>
              <w:top w:val="nil"/>
              <w:left w:val="nil"/>
              <w:bottom w:val="nil"/>
              <w:right w:val="nil"/>
            </w:tcBorders>
            <w:shd w:val="clear" w:color="auto" w:fill="auto"/>
            <w:noWrap/>
            <w:vAlign w:val="bottom"/>
            <w:hideMark/>
          </w:tcPr>
          <w:p w14:paraId="07CF9563"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41A2A92B"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219.441 </w:t>
            </w:r>
          </w:p>
        </w:tc>
        <w:tc>
          <w:tcPr>
            <w:tcW w:w="74" w:type="pct"/>
            <w:tcBorders>
              <w:top w:val="nil"/>
              <w:left w:val="nil"/>
              <w:bottom w:val="nil"/>
              <w:right w:val="nil"/>
            </w:tcBorders>
            <w:shd w:val="clear" w:color="auto" w:fill="auto"/>
            <w:noWrap/>
            <w:vAlign w:val="bottom"/>
            <w:hideMark/>
          </w:tcPr>
          <w:p w14:paraId="1840A4ED"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r>
      <w:tr w:rsidR="004449AB" w:rsidRPr="004449AB" w14:paraId="3BC9392D" w14:textId="77777777" w:rsidTr="00075425">
        <w:trPr>
          <w:trHeight w:val="198"/>
        </w:trPr>
        <w:tc>
          <w:tcPr>
            <w:tcW w:w="3235" w:type="pct"/>
            <w:tcBorders>
              <w:top w:val="nil"/>
              <w:left w:val="nil"/>
              <w:bottom w:val="nil"/>
              <w:right w:val="nil"/>
            </w:tcBorders>
            <w:shd w:val="clear" w:color="auto" w:fill="auto"/>
            <w:noWrap/>
            <w:vAlign w:val="bottom"/>
            <w:hideMark/>
          </w:tcPr>
          <w:p w14:paraId="4294845C" w14:textId="77777777" w:rsidR="004449AB" w:rsidRPr="004449AB" w:rsidRDefault="004449AB" w:rsidP="004449AB">
            <w:pPr>
              <w:spacing w:after="0" w:line="240" w:lineRule="auto"/>
              <w:ind w:firstLineChars="300" w:firstLine="48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Aluguéis, Locações e Licença de Uso</w:t>
            </w:r>
          </w:p>
        </w:tc>
        <w:tc>
          <w:tcPr>
            <w:tcW w:w="797" w:type="pct"/>
            <w:tcBorders>
              <w:top w:val="nil"/>
              <w:left w:val="nil"/>
              <w:bottom w:val="nil"/>
              <w:right w:val="nil"/>
            </w:tcBorders>
            <w:shd w:val="clear" w:color="auto" w:fill="auto"/>
            <w:noWrap/>
            <w:vAlign w:val="bottom"/>
            <w:hideMark/>
          </w:tcPr>
          <w:p w14:paraId="56A69EAE"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35.716 </w:t>
            </w:r>
          </w:p>
        </w:tc>
        <w:tc>
          <w:tcPr>
            <w:tcW w:w="74" w:type="pct"/>
            <w:tcBorders>
              <w:top w:val="nil"/>
              <w:left w:val="nil"/>
              <w:bottom w:val="nil"/>
              <w:right w:val="nil"/>
            </w:tcBorders>
            <w:shd w:val="clear" w:color="auto" w:fill="auto"/>
            <w:noWrap/>
            <w:vAlign w:val="bottom"/>
            <w:hideMark/>
          </w:tcPr>
          <w:p w14:paraId="51226136"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2EF832F4"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27.530 </w:t>
            </w:r>
          </w:p>
        </w:tc>
        <w:tc>
          <w:tcPr>
            <w:tcW w:w="74" w:type="pct"/>
            <w:tcBorders>
              <w:top w:val="nil"/>
              <w:left w:val="nil"/>
              <w:bottom w:val="nil"/>
              <w:right w:val="nil"/>
            </w:tcBorders>
            <w:shd w:val="clear" w:color="auto" w:fill="auto"/>
            <w:noWrap/>
            <w:vAlign w:val="bottom"/>
            <w:hideMark/>
          </w:tcPr>
          <w:p w14:paraId="02C7886C"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r>
      <w:tr w:rsidR="004449AB" w:rsidRPr="004449AB" w14:paraId="59A7D628" w14:textId="77777777" w:rsidTr="00075425">
        <w:trPr>
          <w:trHeight w:val="198"/>
        </w:trPr>
        <w:tc>
          <w:tcPr>
            <w:tcW w:w="3235" w:type="pct"/>
            <w:tcBorders>
              <w:top w:val="nil"/>
              <w:left w:val="nil"/>
              <w:bottom w:val="nil"/>
              <w:right w:val="nil"/>
            </w:tcBorders>
            <w:shd w:val="clear" w:color="auto" w:fill="auto"/>
            <w:noWrap/>
            <w:vAlign w:val="bottom"/>
            <w:hideMark/>
          </w:tcPr>
          <w:p w14:paraId="31A3580E" w14:textId="77777777" w:rsidR="004449AB" w:rsidRPr="004449AB" w:rsidRDefault="004449AB" w:rsidP="004449AB">
            <w:pPr>
              <w:spacing w:after="0" w:line="240" w:lineRule="auto"/>
              <w:ind w:firstLineChars="300" w:firstLine="48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Seguros</w:t>
            </w:r>
          </w:p>
        </w:tc>
        <w:tc>
          <w:tcPr>
            <w:tcW w:w="797" w:type="pct"/>
            <w:tcBorders>
              <w:top w:val="nil"/>
              <w:left w:val="nil"/>
              <w:bottom w:val="nil"/>
              <w:right w:val="nil"/>
            </w:tcBorders>
            <w:shd w:val="clear" w:color="auto" w:fill="auto"/>
            <w:noWrap/>
            <w:vAlign w:val="bottom"/>
            <w:hideMark/>
          </w:tcPr>
          <w:p w14:paraId="6275E05C"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20.608 </w:t>
            </w:r>
          </w:p>
        </w:tc>
        <w:tc>
          <w:tcPr>
            <w:tcW w:w="74" w:type="pct"/>
            <w:tcBorders>
              <w:top w:val="nil"/>
              <w:left w:val="nil"/>
              <w:bottom w:val="nil"/>
              <w:right w:val="nil"/>
            </w:tcBorders>
            <w:shd w:val="clear" w:color="auto" w:fill="auto"/>
            <w:noWrap/>
            <w:vAlign w:val="bottom"/>
            <w:hideMark/>
          </w:tcPr>
          <w:p w14:paraId="5F2D0A01"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5DE5A75F"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25.281 </w:t>
            </w:r>
          </w:p>
        </w:tc>
        <w:tc>
          <w:tcPr>
            <w:tcW w:w="74" w:type="pct"/>
            <w:tcBorders>
              <w:top w:val="nil"/>
              <w:left w:val="nil"/>
              <w:bottom w:val="nil"/>
              <w:right w:val="nil"/>
            </w:tcBorders>
            <w:shd w:val="clear" w:color="auto" w:fill="auto"/>
            <w:noWrap/>
            <w:vAlign w:val="bottom"/>
            <w:hideMark/>
          </w:tcPr>
          <w:p w14:paraId="4E52CDA3"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r>
      <w:tr w:rsidR="004449AB" w:rsidRPr="004449AB" w14:paraId="7D6F972D" w14:textId="77777777" w:rsidTr="00075425">
        <w:trPr>
          <w:trHeight w:val="198"/>
        </w:trPr>
        <w:tc>
          <w:tcPr>
            <w:tcW w:w="3235" w:type="pct"/>
            <w:tcBorders>
              <w:top w:val="nil"/>
              <w:left w:val="nil"/>
              <w:bottom w:val="nil"/>
              <w:right w:val="nil"/>
            </w:tcBorders>
            <w:shd w:val="clear" w:color="auto" w:fill="auto"/>
            <w:noWrap/>
            <w:vAlign w:val="bottom"/>
            <w:hideMark/>
          </w:tcPr>
          <w:p w14:paraId="16CFA49C" w14:textId="77777777" w:rsidR="004449AB" w:rsidRPr="004449AB" w:rsidRDefault="004449AB" w:rsidP="004449AB">
            <w:pPr>
              <w:spacing w:after="0" w:line="240" w:lineRule="auto"/>
              <w:jc w:val="center"/>
              <w:rPr>
                <w:rFonts w:ascii="Times New Roman" w:eastAsia="Times New Roman" w:hAnsi="Times New Roman" w:cs="Times New Roman"/>
                <w:kern w:val="0"/>
                <w:sz w:val="16"/>
                <w:szCs w:val="16"/>
                <w:lang w:eastAsia="pt-BR"/>
                <w14:ligatures w14:val="none"/>
              </w:rPr>
            </w:pPr>
          </w:p>
        </w:tc>
        <w:tc>
          <w:tcPr>
            <w:tcW w:w="797" w:type="pct"/>
            <w:tcBorders>
              <w:top w:val="nil"/>
              <w:left w:val="nil"/>
              <w:bottom w:val="nil"/>
              <w:right w:val="nil"/>
            </w:tcBorders>
            <w:shd w:val="clear" w:color="auto" w:fill="auto"/>
            <w:noWrap/>
            <w:vAlign w:val="bottom"/>
            <w:hideMark/>
          </w:tcPr>
          <w:p w14:paraId="36EAB39D" w14:textId="77777777" w:rsidR="004449AB" w:rsidRPr="004449AB" w:rsidRDefault="004449AB" w:rsidP="004449AB">
            <w:pPr>
              <w:spacing w:after="0" w:line="240" w:lineRule="auto"/>
              <w:ind w:firstLineChars="300" w:firstLine="480"/>
              <w:jc w:val="right"/>
              <w:rPr>
                <w:rFonts w:ascii="Times New Roman" w:eastAsia="Times New Roman" w:hAnsi="Times New Roman" w:cs="Times New Roman"/>
                <w:kern w:val="0"/>
                <w:sz w:val="16"/>
                <w:szCs w:val="16"/>
                <w:lang w:eastAsia="pt-BR"/>
                <w14:ligatures w14:val="none"/>
              </w:rPr>
            </w:pPr>
          </w:p>
        </w:tc>
        <w:tc>
          <w:tcPr>
            <w:tcW w:w="74" w:type="pct"/>
            <w:tcBorders>
              <w:top w:val="nil"/>
              <w:left w:val="nil"/>
              <w:bottom w:val="nil"/>
              <w:right w:val="nil"/>
            </w:tcBorders>
            <w:shd w:val="clear" w:color="auto" w:fill="auto"/>
            <w:noWrap/>
            <w:vAlign w:val="bottom"/>
            <w:hideMark/>
          </w:tcPr>
          <w:p w14:paraId="64F957B0"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4CA5E9FB"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74" w:type="pct"/>
            <w:tcBorders>
              <w:top w:val="nil"/>
              <w:left w:val="nil"/>
              <w:bottom w:val="nil"/>
              <w:right w:val="nil"/>
            </w:tcBorders>
            <w:shd w:val="clear" w:color="auto" w:fill="auto"/>
            <w:noWrap/>
            <w:vAlign w:val="bottom"/>
            <w:hideMark/>
          </w:tcPr>
          <w:p w14:paraId="140E235E"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r>
      <w:tr w:rsidR="004449AB" w:rsidRPr="004449AB" w14:paraId="155F5DBD" w14:textId="77777777" w:rsidTr="00075425">
        <w:trPr>
          <w:trHeight w:val="198"/>
        </w:trPr>
        <w:tc>
          <w:tcPr>
            <w:tcW w:w="3235" w:type="pct"/>
            <w:tcBorders>
              <w:top w:val="nil"/>
              <w:left w:val="nil"/>
              <w:bottom w:val="nil"/>
              <w:right w:val="nil"/>
            </w:tcBorders>
            <w:shd w:val="clear" w:color="auto" w:fill="auto"/>
            <w:noWrap/>
            <w:vAlign w:val="bottom"/>
            <w:hideMark/>
          </w:tcPr>
          <w:p w14:paraId="3D0784DF" w14:textId="77777777" w:rsidR="004449AB" w:rsidRPr="004449AB" w:rsidRDefault="004449AB" w:rsidP="004449AB">
            <w:pPr>
              <w:spacing w:after="0" w:line="240" w:lineRule="auto"/>
              <w:ind w:firstLineChars="200" w:firstLine="321"/>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Remuneração de Capitais Próprios</w:t>
            </w:r>
          </w:p>
        </w:tc>
        <w:tc>
          <w:tcPr>
            <w:tcW w:w="797" w:type="pct"/>
            <w:tcBorders>
              <w:top w:val="nil"/>
              <w:left w:val="nil"/>
              <w:bottom w:val="nil"/>
              <w:right w:val="nil"/>
            </w:tcBorders>
            <w:shd w:val="clear" w:color="auto" w:fill="auto"/>
            <w:noWrap/>
            <w:vAlign w:val="bottom"/>
            <w:hideMark/>
          </w:tcPr>
          <w:p w14:paraId="64812BA9"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 xml:space="preserve">               (127.357)</w:t>
            </w:r>
          </w:p>
        </w:tc>
        <w:tc>
          <w:tcPr>
            <w:tcW w:w="74" w:type="pct"/>
            <w:tcBorders>
              <w:top w:val="nil"/>
              <w:left w:val="nil"/>
              <w:bottom w:val="nil"/>
              <w:right w:val="nil"/>
            </w:tcBorders>
            <w:shd w:val="clear" w:color="auto" w:fill="auto"/>
            <w:noWrap/>
            <w:vAlign w:val="bottom"/>
            <w:hideMark/>
          </w:tcPr>
          <w:p w14:paraId="4A74EBA1"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02805549"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 xml:space="preserve">               (168.459)</w:t>
            </w:r>
          </w:p>
        </w:tc>
        <w:tc>
          <w:tcPr>
            <w:tcW w:w="74" w:type="pct"/>
            <w:tcBorders>
              <w:top w:val="nil"/>
              <w:left w:val="nil"/>
              <w:bottom w:val="nil"/>
              <w:right w:val="nil"/>
            </w:tcBorders>
            <w:shd w:val="clear" w:color="auto" w:fill="auto"/>
            <w:noWrap/>
            <w:vAlign w:val="bottom"/>
            <w:hideMark/>
          </w:tcPr>
          <w:p w14:paraId="1054842D" w14:textId="77777777" w:rsidR="004449AB" w:rsidRPr="004449AB" w:rsidRDefault="004449AB" w:rsidP="004449AB">
            <w:pPr>
              <w:spacing w:after="0" w:line="240" w:lineRule="auto"/>
              <w:jc w:val="right"/>
              <w:rPr>
                <w:rFonts w:ascii="Arial" w:eastAsia="Times New Roman" w:hAnsi="Arial" w:cs="Arial"/>
                <w:b/>
                <w:bCs/>
                <w:kern w:val="0"/>
                <w:sz w:val="16"/>
                <w:szCs w:val="16"/>
                <w:lang w:eastAsia="pt-BR"/>
                <w14:ligatures w14:val="none"/>
              </w:rPr>
            </w:pPr>
          </w:p>
        </w:tc>
      </w:tr>
      <w:tr w:rsidR="004449AB" w:rsidRPr="004449AB" w14:paraId="35655530" w14:textId="77777777" w:rsidTr="00075425">
        <w:trPr>
          <w:trHeight w:val="198"/>
        </w:trPr>
        <w:tc>
          <w:tcPr>
            <w:tcW w:w="3235" w:type="pct"/>
            <w:tcBorders>
              <w:top w:val="nil"/>
              <w:left w:val="nil"/>
              <w:bottom w:val="nil"/>
              <w:right w:val="nil"/>
            </w:tcBorders>
            <w:shd w:val="clear" w:color="auto" w:fill="auto"/>
            <w:noWrap/>
            <w:vAlign w:val="bottom"/>
            <w:hideMark/>
          </w:tcPr>
          <w:p w14:paraId="069BC64C" w14:textId="77777777" w:rsidR="004449AB" w:rsidRPr="004449AB" w:rsidRDefault="004449AB" w:rsidP="004449AB">
            <w:pPr>
              <w:spacing w:after="0" w:line="240" w:lineRule="auto"/>
              <w:ind w:firstLineChars="300" w:firstLine="480"/>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Prejuízos do Exercício</w:t>
            </w:r>
          </w:p>
        </w:tc>
        <w:tc>
          <w:tcPr>
            <w:tcW w:w="797" w:type="pct"/>
            <w:tcBorders>
              <w:top w:val="nil"/>
              <w:left w:val="nil"/>
              <w:bottom w:val="nil"/>
              <w:right w:val="nil"/>
            </w:tcBorders>
            <w:shd w:val="clear" w:color="auto" w:fill="auto"/>
            <w:noWrap/>
            <w:vAlign w:val="bottom"/>
            <w:hideMark/>
          </w:tcPr>
          <w:p w14:paraId="211312A6"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(127.357)</w:t>
            </w:r>
          </w:p>
        </w:tc>
        <w:tc>
          <w:tcPr>
            <w:tcW w:w="74" w:type="pct"/>
            <w:tcBorders>
              <w:top w:val="nil"/>
              <w:left w:val="nil"/>
              <w:bottom w:val="nil"/>
              <w:right w:val="nil"/>
            </w:tcBorders>
            <w:shd w:val="clear" w:color="auto" w:fill="auto"/>
            <w:noWrap/>
            <w:vAlign w:val="bottom"/>
            <w:hideMark/>
          </w:tcPr>
          <w:p w14:paraId="73BF3741"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09B7A75C" w14:textId="77777777" w:rsidR="004449AB" w:rsidRPr="004449AB" w:rsidRDefault="004449AB" w:rsidP="004449AB">
            <w:pPr>
              <w:spacing w:after="0" w:line="240" w:lineRule="auto"/>
              <w:jc w:val="right"/>
              <w:rPr>
                <w:rFonts w:ascii="Arial" w:eastAsia="Times New Roman" w:hAnsi="Arial" w:cs="Arial"/>
                <w:kern w:val="0"/>
                <w:sz w:val="16"/>
                <w:szCs w:val="16"/>
                <w:lang w:eastAsia="pt-BR"/>
                <w14:ligatures w14:val="none"/>
              </w:rPr>
            </w:pPr>
            <w:r w:rsidRPr="004449AB">
              <w:rPr>
                <w:rFonts w:ascii="Arial" w:eastAsia="Times New Roman" w:hAnsi="Arial" w:cs="Arial"/>
                <w:kern w:val="0"/>
                <w:sz w:val="16"/>
                <w:szCs w:val="16"/>
                <w:lang w:eastAsia="pt-BR"/>
                <w14:ligatures w14:val="none"/>
              </w:rPr>
              <w:t xml:space="preserve">               (168.459)</w:t>
            </w:r>
          </w:p>
        </w:tc>
        <w:tc>
          <w:tcPr>
            <w:tcW w:w="74" w:type="pct"/>
            <w:tcBorders>
              <w:top w:val="nil"/>
              <w:left w:val="nil"/>
              <w:bottom w:val="nil"/>
              <w:right w:val="nil"/>
            </w:tcBorders>
            <w:shd w:val="clear" w:color="auto" w:fill="auto"/>
            <w:noWrap/>
            <w:vAlign w:val="bottom"/>
            <w:hideMark/>
          </w:tcPr>
          <w:p w14:paraId="659C39E1" w14:textId="77777777" w:rsidR="004449AB" w:rsidRPr="004449AB" w:rsidRDefault="004449AB" w:rsidP="004449AB">
            <w:pPr>
              <w:spacing w:after="0" w:line="240" w:lineRule="auto"/>
              <w:rPr>
                <w:rFonts w:ascii="Arial" w:eastAsia="Times New Roman" w:hAnsi="Arial" w:cs="Arial"/>
                <w:kern w:val="0"/>
                <w:sz w:val="16"/>
                <w:szCs w:val="16"/>
                <w:lang w:eastAsia="pt-BR"/>
                <w14:ligatures w14:val="none"/>
              </w:rPr>
            </w:pPr>
          </w:p>
        </w:tc>
      </w:tr>
      <w:tr w:rsidR="004449AB" w:rsidRPr="004449AB" w14:paraId="07C18AD3" w14:textId="77777777" w:rsidTr="00075425">
        <w:trPr>
          <w:trHeight w:val="198"/>
        </w:trPr>
        <w:tc>
          <w:tcPr>
            <w:tcW w:w="3235" w:type="pct"/>
            <w:tcBorders>
              <w:top w:val="nil"/>
              <w:left w:val="nil"/>
              <w:bottom w:val="nil"/>
              <w:right w:val="nil"/>
            </w:tcBorders>
            <w:shd w:val="clear" w:color="auto" w:fill="auto"/>
            <w:noWrap/>
            <w:vAlign w:val="bottom"/>
            <w:hideMark/>
          </w:tcPr>
          <w:p w14:paraId="0B81F439"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c>
          <w:tcPr>
            <w:tcW w:w="797" w:type="pct"/>
            <w:tcBorders>
              <w:top w:val="nil"/>
              <w:left w:val="nil"/>
              <w:bottom w:val="nil"/>
              <w:right w:val="nil"/>
            </w:tcBorders>
            <w:shd w:val="clear" w:color="auto" w:fill="auto"/>
            <w:noWrap/>
            <w:vAlign w:val="bottom"/>
            <w:hideMark/>
          </w:tcPr>
          <w:p w14:paraId="1382E3C2"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74" w:type="pct"/>
            <w:tcBorders>
              <w:top w:val="nil"/>
              <w:left w:val="nil"/>
              <w:bottom w:val="nil"/>
              <w:right w:val="nil"/>
            </w:tcBorders>
            <w:shd w:val="clear" w:color="auto" w:fill="auto"/>
            <w:noWrap/>
            <w:vAlign w:val="bottom"/>
            <w:hideMark/>
          </w:tcPr>
          <w:p w14:paraId="1F685408"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006C867C" w14:textId="77777777" w:rsidR="004449AB" w:rsidRPr="004449AB" w:rsidRDefault="004449AB" w:rsidP="004449AB">
            <w:pPr>
              <w:spacing w:after="0" w:line="240" w:lineRule="auto"/>
              <w:jc w:val="right"/>
              <w:rPr>
                <w:rFonts w:ascii="Times New Roman" w:eastAsia="Times New Roman" w:hAnsi="Times New Roman" w:cs="Times New Roman"/>
                <w:kern w:val="0"/>
                <w:sz w:val="16"/>
                <w:szCs w:val="16"/>
                <w:lang w:eastAsia="pt-BR"/>
                <w14:ligatures w14:val="none"/>
              </w:rPr>
            </w:pPr>
          </w:p>
        </w:tc>
        <w:tc>
          <w:tcPr>
            <w:tcW w:w="74" w:type="pct"/>
            <w:tcBorders>
              <w:top w:val="nil"/>
              <w:left w:val="nil"/>
              <w:bottom w:val="nil"/>
              <w:right w:val="nil"/>
            </w:tcBorders>
            <w:shd w:val="clear" w:color="auto" w:fill="auto"/>
            <w:noWrap/>
            <w:vAlign w:val="bottom"/>
            <w:hideMark/>
          </w:tcPr>
          <w:p w14:paraId="5E6FF2C6"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r>
      <w:tr w:rsidR="004449AB" w:rsidRPr="004449AB" w14:paraId="57CDCADC" w14:textId="77777777" w:rsidTr="00075425">
        <w:trPr>
          <w:trHeight w:val="198"/>
        </w:trPr>
        <w:tc>
          <w:tcPr>
            <w:tcW w:w="3235" w:type="pct"/>
            <w:tcBorders>
              <w:top w:val="nil"/>
              <w:left w:val="nil"/>
              <w:bottom w:val="nil"/>
              <w:right w:val="nil"/>
            </w:tcBorders>
            <w:shd w:val="clear" w:color="auto" w:fill="auto"/>
            <w:noWrap/>
            <w:vAlign w:val="bottom"/>
            <w:hideMark/>
          </w:tcPr>
          <w:p w14:paraId="26F76704" w14:textId="77777777" w:rsidR="004449AB" w:rsidRPr="004449AB" w:rsidRDefault="004449AB" w:rsidP="004449AB">
            <w:pPr>
              <w:spacing w:after="0" w:line="240" w:lineRule="auto"/>
              <w:rPr>
                <w:rFonts w:ascii="Arial" w:eastAsia="Times New Roman" w:hAnsi="Arial" w:cs="Arial"/>
                <w:b/>
                <w:bCs/>
                <w:kern w:val="0"/>
                <w:sz w:val="16"/>
                <w:szCs w:val="16"/>
                <w:lang w:eastAsia="pt-BR"/>
                <w14:ligatures w14:val="none"/>
              </w:rPr>
            </w:pPr>
            <w:r w:rsidRPr="004449AB">
              <w:rPr>
                <w:rFonts w:ascii="Arial" w:eastAsia="Times New Roman" w:hAnsi="Arial" w:cs="Arial"/>
                <w:b/>
                <w:bCs/>
                <w:kern w:val="0"/>
                <w:sz w:val="16"/>
                <w:szCs w:val="16"/>
                <w:lang w:eastAsia="pt-BR"/>
                <w14:ligatures w14:val="none"/>
              </w:rPr>
              <w:t>As notas explicativas são parte integrante das demonstrações contábeis</w:t>
            </w:r>
          </w:p>
        </w:tc>
        <w:tc>
          <w:tcPr>
            <w:tcW w:w="797" w:type="pct"/>
            <w:tcBorders>
              <w:top w:val="nil"/>
              <w:left w:val="nil"/>
              <w:bottom w:val="nil"/>
              <w:right w:val="nil"/>
            </w:tcBorders>
            <w:shd w:val="clear" w:color="auto" w:fill="auto"/>
            <w:noWrap/>
            <w:vAlign w:val="bottom"/>
            <w:hideMark/>
          </w:tcPr>
          <w:p w14:paraId="7C37DE4A" w14:textId="77777777" w:rsidR="004449AB" w:rsidRPr="004449AB" w:rsidRDefault="004449AB" w:rsidP="004449AB">
            <w:pPr>
              <w:spacing w:after="0" w:line="240" w:lineRule="auto"/>
              <w:rPr>
                <w:rFonts w:ascii="Arial" w:eastAsia="Times New Roman" w:hAnsi="Arial" w:cs="Arial"/>
                <w:b/>
                <w:bCs/>
                <w:kern w:val="0"/>
                <w:sz w:val="16"/>
                <w:szCs w:val="16"/>
                <w:lang w:eastAsia="pt-BR"/>
                <w14:ligatures w14:val="none"/>
              </w:rPr>
            </w:pPr>
          </w:p>
        </w:tc>
        <w:tc>
          <w:tcPr>
            <w:tcW w:w="74" w:type="pct"/>
            <w:tcBorders>
              <w:top w:val="nil"/>
              <w:left w:val="nil"/>
              <w:bottom w:val="nil"/>
              <w:right w:val="nil"/>
            </w:tcBorders>
            <w:shd w:val="clear" w:color="auto" w:fill="auto"/>
            <w:noWrap/>
            <w:vAlign w:val="bottom"/>
            <w:hideMark/>
          </w:tcPr>
          <w:p w14:paraId="0657B4EC"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c>
          <w:tcPr>
            <w:tcW w:w="821" w:type="pct"/>
            <w:tcBorders>
              <w:top w:val="nil"/>
              <w:left w:val="nil"/>
              <w:bottom w:val="nil"/>
              <w:right w:val="nil"/>
            </w:tcBorders>
            <w:shd w:val="clear" w:color="auto" w:fill="auto"/>
            <w:noWrap/>
            <w:vAlign w:val="bottom"/>
            <w:hideMark/>
          </w:tcPr>
          <w:p w14:paraId="6DC474E8"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c>
          <w:tcPr>
            <w:tcW w:w="74" w:type="pct"/>
            <w:tcBorders>
              <w:top w:val="nil"/>
              <w:left w:val="nil"/>
              <w:bottom w:val="nil"/>
              <w:right w:val="nil"/>
            </w:tcBorders>
            <w:shd w:val="clear" w:color="auto" w:fill="auto"/>
            <w:noWrap/>
            <w:vAlign w:val="bottom"/>
            <w:hideMark/>
          </w:tcPr>
          <w:p w14:paraId="24C5EACF" w14:textId="77777777" w:rsidR="004449AB" w:rsidRPr="004449AB" w:rsidRDefault="004449AB" w:rsidP="004449AB">
            <w:pPr>
              <w:spacing w:after="0" w:line="240" w:lineRule="auto"/>
              <w:rPr>
                <w:rFonts w:ascii="Times New Roman" w:eastAsia="Times New Roman" w:hAnsi="Times New Roman" w:cs="Times New Roman"/>
                <w:kern w:val="0"/>
                <w:sz w:val="16"/>
                <w:szCs w:val="16"/>
                <w:lang w:eastAsia="pt-BR"/>
                <w14:ligatures w14:val="none"/>
              </w:rPr>
            </w:pPr>
          </w:p>
        </w:tc>
      </w:tr>
      <w:bookmarkEnd w:id="379"/>
    </w:tbl>
    <w:p w14:paraId="65712ABB" w14:textId="3704C437" w:rsidR="00BC54EC" w:rsidRPr="001D10E5" w:rsidRDefault="00BC54EC" w:rsidP="001D10E5">
      <w:pPr>
        <w:spacing w:after="0"/>
        <w:jc w:val="both"/>
        <w:rPr>
          <w:rFonts w:ascii="Calibri" w:eastAsia="Times New Roman" w:hAnsi="Calibri" w:cs="Calibri"/>
        </w:rPr>
        <w:sectPr w:rsidR="00BC54EC" w:rsidRPr="001D10E5" w:rsidSect="001D10E5">
          <w:footerReference w:type="default" r:id="rId43"/>
          <w:footnotePr>
            <w:pos w:val="sectEnd"/>
          </w:footnotePr>
          <w:endnotePr>
            <w:numFmt w:val="decimal"/>
            <w:numStart w:val="0"/>
          </w:endnotePr>
          <w:type w:val="continuous"/>
          <w:pgSz w:w="11907" w:h="16840" w:code="9"/>
          <w:pgMar w:top="2127" w:right="1134" w:bottom="1588" w:left="1701" w:header="1020" w:footer="0" w:gutter="0"/>
          <w:cols w:space="720"/>
          <w:docGrid w:linePitch="326"/>
        </w:sectPr>
      </w:pPr>
    </w:p>
    <w:p w14:paraId="0B80E3DD" w14:textId="77777777" w:rsidR="00BC54EC" w:rsidRDefault="00BC54EC" w:rsidP="00162150">
      <w:pPr>
        <w:spacing w:after="0" w:line="276" w:lineRule="auto"/>
        <w:jc w:val="both"/>
        <w:rPr>
          <w:rFonts w:ascii="Calibri" w:eastAsia="Times New Roman" w:hAnsi="Calibri" w:cs="Calibri"/>
          <w:color w:val="000000"/>
          <w:kern w:val="0"/>
          <w:shd w:val="clear" w:color="auto" w:fill="FFFFFF"/>
          <w:lang w:eastAsia="pt-BR"/>
          <w14:ligatures w14:val="none"/>
        </w:rPr>
      </w:pPr>
    </w:p>
    <w:p w14:paraId="55EE8361" w14:textId="77777777" w:rsidR="00BC54EC" w:rsidRDefault="00BC54EC" w:rsidP="00162150">
      <w:pPr>
        <w:spacing w:after="0" w:line="276" w:lineRule="auto"/>
        <w:jc w:val="both"/>
        <w:rPr>
          <w:rFonts w:ascii="Calibri" w:eastAsia="Times New Roman" w:hAnsi="Calibri" w:cs="Calibri"/>
          <w:color w:val="000000"/>
          <w:kern w:val="0"/>
          <w:shd w:val="clear" w:color="auto" w:fill="FFFFFF"/>
          <w:lang w:eastAsia="pt-BR"/>
          <w14:ligatures w14:val="none"/>
        </w:rPr>
      </w:pPr>
    </w:p>
    <w:tbl>
      <w:tblPr>
        <w:tblStyle w:val="Tabelacomgrade"/>
        <w:tblW w:w="0" w:type="auto"/>
        <w:tblLook w:val="04A0" w:firstRow="1" w:lastRow="0" w:firstColumn="1" w:lastColumn="0" w:noHBand="0" w:noVBand="1"/>
      </w:tblPr>
      <w:tblGrid>
        <w:gridCol w:w="9769"/>
      </w:tblGrid>
      <w:tr w:rsidR="00BC54EC" w14:paraId="240C6449" w14:textId="77777777" w:rsidTr="00BC54EC">
        <w:tc>
          <w:tcPr>
            <w:tcW w:w="9769" w:type="dxa"/>
            <w:shd w:val="clear" w:color="auto" w:fill="215E99" w:themeFill="text2" w:themeFillTint="BF"/>
          </w:tcPr>
          <w:p w14:paraId="44BED0B2" w14:textId="72119C73" w:rsidR="00BC54EC" w:rsidRPr="00BC54EC" w:rsidRDefault="00BC54EC" w:rsidP="00BC54EC">
            <w:pPr>
              <w:spacing w:line="276" w:lineRule="auto"/>
              <w:jc w:val="center"/>
              <w:rPr>
                <w:rFonts w:ascii="Calibri" w:hAnsi="Calibri" w:cs="Calibri"/>
                <w:b/>
                <w:bCs/>
                <w:color w:val="FFFFFF" w:themeColor="background1"/>
                <w:sz w:val="24"/>
                <w:szCs w:val="24"/>
              </w:rPr>
            </w:pPr>
            <w:r w:rsidRPr="00BC54EC">
              <w:rPr>
                <w:rFonts w:ascii="Calibri" w:hAnsi="Calibri" w:cs="Calibri"/>
                <w:b/>
                <w:bCs/>
                <w:color w:val="FFFFFF" w:themeColor="background1"/>
                <w:sz w:val="24"/>
                <w:szCs w:val="24"/>
              </w:rPr>
              <w:t>TELECOMUNICAÇÕES BRASILEIRAS S.A. – Telebras</w:t>
            </w:r>
          </w:p>
          <w:p w14:paraId="419451C4" w14:textId="28ABD639" w:rsidR="00BC54EC" w:rsidRPr="00BC54EC" w:rsidRDefault="00BC54EC" w:rsidP="00BC54EC">
            <w:pPr>
              <w:spacing w:line="276" w:lineRule="auto"/>
              <w:jc w:val="center"/>
              <w:rPr>
                <w:rFonts w:ascii="Calibri" w:hAnsi="Calibri" w:cs="Calibri"/>
                <w:b/>
                <w:bCs/>
                <w:color w:val="FFFFFF" w:themeColor="background1"/>
                <w:sz w:val="24"/>
                <w:szCs w:val="24"/>
              </w:rPr>
            </w:pPr>
            <w:r w:rsidRPr="00BC54EC">
              <w:rPr>
                <w:rFonts w:ascii="Calibri" w:hAnsi="Calibri" w:cs="Calibri"/>
                <w:b/>
                <w:bCs/>
                <w:color w:val="FFFFFF" w:themeColor="background1"/>
                <w:sz w:val="24"/>
                <w:szCs w:val="24"/>
              </w:rPr>
              <w:t>Notas Explicativas às Demonstrações Contábeis - em 31 de dezembro de 2023 e 2022</w:t>
            </w:r>
          </w:p>
          <w:p w14:paraId="32C754C9" w14:textId="634618A7" w:rsidR="00BC54EC" w:rsidRPr="00BC54EC" w:rsidRDefault="00BC54EC" w:rsidP="00BC54EC">
            <w:pPr>
              <w:spacing w:line="276" w:lineRule="auto"/>
              <w:jc w:val="center"/>
              <w:rPr>
                <w:rFonts w:ascii="Calibri" w:eastAsia="Times New Roman" w:hAnsi="Calibri" w:cs="Calibri"/>
                <w:color w:val="000000"/>
                <w:kern w:val="0"/>
                <w:shd w:val="clear" w:color="auto" w:fill="FFFFFF"/>
                <w:lang w:eastAsia="pt-BR"/>
                <w14:ligatures w14:val="none"/>
              </w:rPr>
            </w:pPr>
            <w:r w:rsidRPr="00BC54EC">
              <w:rPr>
                <w:rFonts w:ascii="Calibri" w:hAnsi="Calibri" w:cs="Calibri"/>
                <w:color w:val="FFFFFF" w:themeColor="background1"/>
              </w:rPr>
              <w:t>Em milhares de reais, exceto quando indicado de outra forma.</w:t>
            </w:r>
          </w:p>
        </w:tc>
      </w:tr>
    </w:tbl>
    <w:p w14:paraId="62E4485C" w14:textId="17350D11" w:rsidR="0057278F" w:rsidRPr="0057278F" w:rsidRDefault="0057278F" w:rsidP="0057278F">
      <w:pPr>
        <w:spacing w:after="0"/>
        <w:jc w:val="both"/>
        <w:rPr>
          <w:rFonts w:ascii="Calibri" w:eastAsia="Times New Roman" w:hAnsi="Calibri" w:cs="Calibri"/>
          <w:b/>
          <w:bCs/>
          <w:color w:val="002060"/>
          <w:kern w:val="0"/>
          <w14:ligatures w14:val="none"/>
        </w:rPr>
      </w:pPr>
      <w:bookmarkStart w:id="380" w:name="_Toc491337673"/>
      <w:r w:rsidRPr="0057278F">
        <w:rPr>
          <w:rFonts w:ascii="Calibri" w:eastAsia="Times New Roman" w:hAnsi="Calibri" w:cs="Calibri"/>
          <w:b/>
          <w:bCs/>
          <w:color w:val="002060"/>
          <w:kern w:val="0"/>
          <w14:ligatures w14:val="none"/>
        </w:rPr>
        <w:t>1. CONTEXTO OPERACIONAL E INFORMAÇÕES GERAIS</w:t>
      </w:r>
      <w:bookmarkEnd w:id="380"/>
    </w:p>
    <w:p w14:paraId="4FD04A33" w14:textId="5D2739AD" w:rsidR="0057278F" w:rsidRPr="0057278F" w:rsidRDefault="0057278F" w:rsidP="0057278F">
      <w:pPr>
        <w:spacing w:after="0"/>
        <w:jc w:val="both"/>
        <w:rPr>
          <w:rFonts w:ascii="Calibri" w:eastAsia="Times New Roman" w:hAnsi="Calibri" w:cs="Calibri"/>
          <w:b/>
          <w:bCs/>
          <w:color w:val="002060"/>
          <w:kern w:val="0"/>
          <w14:ligatures w14:val="none"/>
        </w:rPr>
      </w:pPr>
      <w:bookmarkStart w:id="381" w:name="_Toc491337674"/>
      <w:r w:rsidRPr="0057278F">
        <w:rPr>
          <w:rFonts w:ascii="Calibri" w:eastAsia="Times New Roman" w:hAnsi="Calibri" w:cs="Calibri"/>
          <w:b/>
          <w:bCs/>
          <w:color w:val="002060"/>
          <w:kern w:val="0"/>
          <w14:ligatures w14:val="none"/>
        </w:rPr>
        <w:t>1.1. A Companhia e suas Operações</w:t>
      </w:r>
      <w:bookmarkEnd w:id="381"/>
    </w:p>
    <w:p w14:paraId="238F4645" w14:textId="77777777" w:rsidR="0057278F" w:rsidRDefault="0057278F" w:rsidP="0057278F">
      <w:pPr>
        <w:spacing w:after="0"/>
        <w:jc w:val="both"/>
        <w:rPr>
          <w:rFonts w:ascii="Calibri" w:eastAsia="Times New Roman" w:hAnsi="Calibri" w:cs="Calibri"/>
          <w:color w:val="002060"/>
          <w:kern w:val="0"/>
          <w14:ligatures w14:val="none"/>
        </w:rPr>
      </w:pPr>
      <w:bookmarkStart w:id="382" w:name="_Hlk162280382"/>
      <w:r w:rsidRPr="0057278F">
        <w:rPr>
          <w:rFonts w:ascii="Calibri" w:eastAsia="Times New Roman" w:hAnsi="Calibri" w:cs="Calibri"/>
          <w:color w:val="002060"/>
          <w:kern w:val="0"/>
          <w14:ligatures w14:val="none"/>
        </w:rPr>
        <w:t xml:space="preserve">A Telecomunicações Brasileiras S.A. (“Companhia ou Telebras”), sediada no SIG </w:t>
      </w:r>
      <w:proofErr w:type="spellStart"/>
      <w:r w:rsidRPr="0057278F">
        <w:rPr>
          <w:rFonts w:ascii="Calibri" w:eastAsia="Times New Roman" w:hAnsi="Calibri" w:cs="Calibri"/>
          <w:color w:val="002060"/>
          <w:kern w:val="0"/>
          <w14:ligatures w14:val="none"/>
        </w:rPr>
        <w:t>Qd</w:t>
      </w:r>
      <w:proofErr w:type="spellEnd"/>
      <w:r w:rsidRPr="0057278F">
        <w:rPr>
          <w:rFonts w:ascii="Calibri" w:eastAsia="Times New Roman" w:hAnsi="Calibri" w:cs="Calibri"/>
          <w:color w:val="002060"/>
          <w:kern w:val="0"/>
          <w14:ligatures w14:val="none"/>
        </w:rPr>
        <w:t xml:space="preserve">. 4, </w:t>
      </w:r>
      <w:proofErr w:type="spellStart"/>
      <w:r w:rsidRPr="0057278F">
        <w:rPr>
          <w:rFonts w:ascii="Calibri" w:eastAsia="Times New Roman" w:hAnsi="Calibri" w:cs="Calibri"/>
          <w:color w:val="002060"/>
          <w:kern w:val="0"/>
          <w14:ligatures w14:val="none"/>
        </w:rPr>
        <w:t>Bl</w:t>
      </w:r>
      <w:proofErr w:type="spellEnd"/>
      <w:r w:rsidRPr="0057278F">
        <w:rPr>
          <w:rFonts w:ascii="Calibri" w:eastAsia="Times New Roman" w:hAnsi="Calibri" w:cs="Calibri"/>
          <w:color w:val="002060"/>
          <w:kern w:val="0"/>
          <w14:ligatures w14:val="none"/>
        </w:rPr>
        <w:t xml:space="preserve">. A, 3º andar – Edifício  Capital Financial Center – Brasília-DF, endereço eletrônico: </w:t>
      </w:r>
      <w:hyperlink r:id="rId44" w:history="1">
        <w:r w:rsidRPr="0057278F">
          <w:rPr>
            <w:rFonts w:ascii="Calibri" w:hAnsi="Calibri" w:cs="Calibri"/>
            <w:color w:val="002060"/>
          </w:rPr>
          <w:t>www.telebras.com.br</w:t>
        </w:r>
      </w:hyperlink>
      <w:r w:rsidRPr="0057278F">
        <w:rPr>
          <w:rFonts w:ascii="Calibri" w:eastAsia="Times New Roman" w:hAnsi="Calibri" w:cs="Calibri"/>
          <w:color w:val="002060"/>
          <w:kern w:val="0"/>
          <w14:ligatures w14:val="none"/>
        </w:rPr>
        <w:t>, CNPJ 00.336.701/0001-04, é uma sociedade empresária de economia mista e de capital aberto, vinculada ao Ministério das Comunicações, constituída em 9 de novembro de 1972, de acordo com a Lei nº 5.792, de 01 de julho de 1972, devidamente autorizada pela ANATEL para a prestação do Serviço de Comunicação Multimídia (Termo PVST/SPV nº 118/2011, publicado no DOU em 07 de abril de 2011), portanto rege-se pela Lei nº 6.404/76, por disposições especiais de leis federais e da  Comissão de Valores Mobiliários - CVM, pela legislação de telecomunicações, pelas leis e usos do comércio e demais disposições legais aplicáveis à Companhia.</w:t>
      </w:r>
    </w:p>
    <w:p w14:paraId="3D0F26D7" w14:textId="431C6B58" w:rsidR="0057278F" w:rsidRPr="0057278F" w:rsidRDefault="0057278F" w:rsidP="0057278F">
      <w:pPr>
        <w:spacing w:after="0"/>
        <w:jc w:val="both"/>
        <w:rPr>
          <w:rFonts w:ascii="Calibri" w:eastAsia="Times New Roman" w:hAnsi="Calibri" w:cs="Calibri"/>
          <w:b/>
          <w:bCs/>
          <w:iCs/>
          <w:color w:val="002060"/>
          <w:kern w:val="0"/>
          <w14:ligatures w14:val="none"/>
        </w:rPr>
      </w:pPr>
      <w:bookmarkStart w:id="383" w:name="_Hlk162280417"/>
      <w:r>
        <w:rPr>
          <w:rFonts w:ascii="Calibri" w:eastAsia="Times New Roman" w:hAnsi="Calibri" w:cs="Calibri"/>
          <w:b/>
          <w:bCs/>
          <w:iCs/>
          <w:color w:val="002060"/>
          <w:kern w:val="0"/>
          <w14:ligatures w14:val="none"/>
        </w:rPr>
        <w:t xml:space="preserve">1.2 </w:t>
      </w:r>
      <w:r w:rsidRPr="0057278F">
        <w:rPr>
          <w:rFonts w:ascii="Calibri" w:eastAsia="Times New Roman" w:hAnsi="Calibri" w:cs="Calibri"/>
          <w:b/>
          <w:bCs/>
          <w:iCs/>
          <w:color w:val="002060"/>
          <w:kern w:val="0"/>
          <w14:ligatures w14:val="none"/>
        </w:rPr>
        <w:t>Inclusão da Telebras nos Orçamentos Fiscais e da Seguridade Social da União e classificação da Companhia como uma estatal dependente a partir do exercício de 2020.</w:t>
      </w:r>
    </w:p>
    <w:bookmarkEnd w:id="383"/>
    <w:p w14:paraId="233D2D48" w14:textId="0BB273A1" w:rsidR="0057278F" w:rsidRPr="0057278F" w:rsidRDefault="0057278F" w:rsidP="0057278F">
      <w:pPr>
        <w:spacing w:after="0"/>
        <w:jc w:val="both"/>
        <w:rPr>
          <w:rFonts w:ascii="Calibri" w:eastAsia="Times New Roman" w:hAnsi="Calibri" w:cs="Calibri"/>
          <w:color w:val="002060"/>
          <w:kern w:val="0"/>
          <w14:ligatures w14:val="none"/>
        </w:rPr>
      </w:pPr>
      <w:r w:rsidRPr="0057278F">
        <w:rPr>
          <w:rFonts w:ascii="Calibri" w:eastAsia="Times New Roman" w:hAnsi="Calibri" w:cs="Calibri"/>
          <w:color w:val="002060"/>
          <w:kern w:val="0"/>
          <w14:ligatures w14:val="none"/>
        </w:rPr>
        <w:t xml:space="preserve"> </w:t>
      </w:r>
      <w:bookmarkStart w:id="384" w:name="_Hlk162280453"/>
      <w:r w:rsidRPr="0057278F">
        <w:rPr>
          <w:rFonts w:ascii="Calibri" w:eastAsia="Times New Roman" w:hAnsi="Calibri" w:cs="Calibri"/>
          <w:color w:val="002060"/>
          <w:kern w:val="0"/>
          <w14:ligatures w14:val="none"/>
        </w:rPr>
        <w:t xml:space="preserve">Em 8 de agosto de 2019, a Telebras recebeu ofício da Secretaria de Coordenação e Governança das Empresas Estatais (SEST), do Ministério da Economia (ME), informando que seria incluída nos Orçamentos Fiscal e da Seguridade Social (OFSS) da União a partir do exercício de 2020.  </w:t>
      </w:r>
    </w:p>
    <w:p w14:paraId="587F8AE2" w14:textId="77777777" w:rsidR="0057278F" w:rsidRPr="0057278F" w:rsidRDefault="0057278F" w:rsidP="0057278F">
      <w:pPr>
        <w:spacing w:after="0"/>
        <w:jc w:val="both"/>
        <w:rPr>
          <w:rFonts w:ascii="Calibri" w:eastAsia="Times New Roman" w:hAnsi="Calibri" w:cs="Calibri"/>
          <w:color w:val="002060"/>
          <w:kern w:val="0"/>
          <w14:ligatures w14:val="none"/>
        </w:rPr>
      </w:pPr>
      <w:r w:rsidRPr="0057278F">
        <w:rPr>
          <w:rFonts w:ascii="Calibri" w:eastAsia="Times New Roman" w:hAnsi="Calibri" w:cs="Calibri"/>
          <w:color w:val="002060"/>
          <w:kern w:val="0"/>
          <w14:ligatures w14:val="none"/>
        </w:rPr>
        <w:t>Em 15 de agosto de 2019, o Ministério da Ciência, Tecnologia, Inovações (MCTI) informou que a Telebras havia sido incluída, pelo ME, nos Orçamentos Fiscal e da Seguridade Social (OFSS) da União. A justificativa para a inclusão no Projeto de Lei Orçamentária Anual (PLOA) se deveu à classificação da Telebras como uma empresa estatal dependente do OFSS para o exercício de 2020 e que esta inclusão já constava no Sistema Integrado de Planejamento e Orçamento (“SIOP”), referente ao PLOA de 2020.</w:t>
      </w:r>
    </w:p>
    <w:p w14:paraId="07302F04" w14:textId="77777777" w:rsidR="0057278F" w:rsidRPr="0057278F" w:rsidRDefault="0057278F" w:rsidP="0057278F">
      <w:pPr>
        <w:spacing w:after="0"/>
        <w:jc w:val="both"/>
        <w:rPr>
          <w:rFonts w:ascii="Calibri" w:eastAsia="Times New Roman" w:hAnsi="Calibri" w:cs="Calibri"/>
          <w:color w:val="002060"/>
          <w:kern w:val="0"/>
          <w14:ligatures w14:val="none"/>
        </w:rPr>
      </w:pPr>
      <w:r w:rsidRPr="0057278F">
        <w:rPr>
          <w:rFonts w:ascii="Calibri" w:eastAsia="Times New Roman" w:hAnsi="Calibri" w:cs="Calibri"/>
          <w:color w:val="002060"/>
          <w:kern w:val="0"/>
          <w14:ligatures w14:val="none"/>
        </w:rPr>
        <w:t>Ainda, como consequência desse fato, foi solicitado pela SEST que a Companhia realizasse a avaliação da conveniência e oportunidade de realizar o fechamento do capital junto à Comissão de Valores Mobiliários (CVM).</w:t>
      </w:r>
    </w:p>
    <w:p w14:paraId="32F72690" w14:textId="77777777" w:rsidR="0057278F" w:rsidRPr="0057278F" w:rsidRDefault="0057278F" w:rsidP="0057278F">
      <w:pPr>
        <w:spacing w:after="0"/>
        <w:jc w:val="both"/>
        <w:rPr>
          <w:rFonts w:ascii="Calibri" w:eastAsia="Times New Roman" w:hAnsi="Calibri" w:cs="Calibri"/>
          <w:color w:val="002060"/>
          <w:kern w:val="0"/>
          <w14:ligatures w14:val="none"/>
        </w:rPr>
        <w:sectPr w:rsidR="0057278F" w:rsidRPr="0057278F" w:rsidSect="0057278F">
          <w:headerReference w:type="default" r:id="rId45"/>
          <w:footerReference w:type="default" r:id="rId46"/>
          <w:pgSz w:w="11906" w:h="16838" w:code="9"/>
          <w:pgMar w:top="848" w:right="849" w:bottom="993" w:left="1276" w:header="850" w:footer="850" w:gutter="0"/>
          <w:cols w:space="708"/>
          <w:docGrid w:linePitch="360"/>
        </w:sectPr>
      </w:pPr>
    </w:p>
    <w:p w14:paraId="4E8F2BF7" w14:textId="77777777" w:rsidR="0057278F" w:rsidRPr="0057278F" w:rsidRDefault="0057278F" w:rsidP="0057278F">
      <w:pPr>
        <w:spacing w:after="0"/>
        <w:jc w:val="both"/>
        <w:rPr>
          <w:rFonts w:ascii="Calibri" w:eastAsia="Times New Roman" w:hAnsi="Calibri" w:cs="Calibri"/>
          <w:color w:val="002060"/>
          <w:kern w:val="0"/>
          <w14:ligatures w14:val="none"/>
        </w:rPr>
      </w:pPr>
      <w:bookmarkStart w:id="385" w:name="_Hlk27058086"/>
      <w:r w:rsidRPr="0057278F">
        <w:rPr>
          <w:rFonts w:ascii="Calibri" w:eastAsia="Times New Roman" w:hAnsi="Calibri" w:cs="Calibri"/>
          <w:color w:val="002060"/>
          <w:kern w:val="0"/>
          <w14:ligatures w14:val="none"/>
        </w:rPr>
        <w:t xml:space="preserve">A Telebras em 15 de agosto de 2019 apresentou nos autos do processo TC 007.142/2018-8 uma peça ao Tribunal de Contas da União (TCU), na qual requereu, além de seu ingresso no processo, que fosse esclarecido à Secretaria de Orçamento Federal (SOF) e à SEST que, na tomada de decisão quanto à dependência da Telebras, avaliasse os impactos com tempo razoável antes de qualquer enquadramento, de forma a tomar uma decisão bem-informada. </w:t>
      </w:r>
    </w:p>
    <w:p w14:paraId="5C633A1C" w14:textId="77777777" w:rsidR="0057278F" w:rsidRPr="0057278F" w:rsidRDefault="0057278F" w:rsidP="0057278F">
      <w:pPr>
        <w:spacing w:after="0"/>
        <w:jc w:val="both"/>
        <w:rPr>
          <w:rFonts w:ascii="Calibri" w:eastAsia="Times New Roman" w:hAnsi="Calibri" w:cs="Calibri"/>
          <w:color w:val="002060"/>
          <w:kern w:val="0"/>
          <w14:ligatures w14:val="none"/>
        </w:rPr>
      </w:pPr>
      <w:r w:rsidRPr="0057278F">
        <w:rPr>
          <w:rFonts w:ascii="Calibri" w:eastAsia="Times New Roman" w:hAnsi="Calibri" w:cs="Calibri"/>
          <w:color w:val="002060"/>
          <w:kern w:val="0"/>
          <w14:ligatures w14:val="none"/>
        </w:rPr>
        <w:t>Também, em 23 de agosto de 2019, a Telebras encaminhou uma carta ao Secretário Executivo da SEST, chamando a atenção para a ausência de ato administrativo declaratório e requerendo nova consideração dos impactos decorrentes da transformação da Telebras em estatal dependente já para o exercício de 2020.</w:t>
      </w:r>
    </w:p>
    <w:bookmarkEnd w:id="385"/>
    <w:p w14:paraId="7B5CD551" w14:textId="26E8E226" w:rsidR="0057278F" w:rsidRPr="0057278F" w:rsidRDefault="0057278F" w:rsidP="0057278F">
      <w:pPr>
        <w:spacing w:after="0"/>
        <w:jc w:val="both"/>
        <w:rPr>
          <w:rFonts w:ascii="Calibri" w:eastAsia="Times New Roman" w:hAnsi="Calibri" w:cs="Calibri"/>
          <w:color w:val="002060"/>
          <w:kern w:val="0"/>
          <w14:ligatures w14:val="none"/>
        </w:rPr>
        <w:sectPr w:rsidR="0057278F" w:rsidRPr="0057278F" w:rsidSect="0057278F">
          <w:footerReference w:type="default" r:id="rId47"/>
          <w:type w:val="continuous"/>
          <w:pgSz w:w="11906" w:h="16838" w:code="9"/>
          <w:pgMar w:top="848" w:right="849" w:bottom="993" w:left="1276" w:header="850" w:footer="850" w:gutter="0"/>
          <w:cols w:space="708"/>
          <w:docGrid w:linePitch="360"/>
        </w:sectPr>
      </w:pPr>
      <w:r w:rsidRPr="0057278F">
        <w:rPr>
          <w:rFonts w:ascii="Calibri" w:eastAsia="Times New Roman" w:hAnsi="Calibri" w:cs="Calibri"/>
          <w:color w:val="002060"/>
          <w:kern w:val="0"/>
          <w14:ligatures w14:val="none"/>
        </w:rPr>
        <w:t>Diante da impossibilidade de fechamento do capital da Telebras, previamente ao status de dependência, a Telebras encaminhou ao MCTI um comunicado, datado de 25 de outubro de 2019, que tratava de avaliar a configuração da Companhia como estatal dependente, bem como o fechamento de seu capital, a partir do exercício de 2020, mediante um cronograma para a implantação de fases e procedimentos que tornassem a Empresa Estatal Dependente.</w:t>
      </w:r>
    </w:p>
    <w:p w14:paraId="7C863E49" w14:textId="77777777" w:rsidR="0057278F" w:rsidRPr="0057278F" w:rsidRDefault="0057278F" w:rsidP="0057278F">
      <w:pPr>
        <w:spacing w:after="0"/>
        <w:jc w:val="both"/>
        <w:rPr>
          <w:rFonts w:ascii="Calibri" w:eastAsia="Times New Roman" w:hAnsi="Calibri" w:cs="Calibri"/>
          <w:color w:val="002060"/>
          <w:kern w:val="0"/>
          <w14:ligatures w14:val="none"/>
        </w:rPr>
      </w:pPr>
      <w:r w:rsidRPr="0057278F">
        <w:rPr>
          <w:rFonts w:ascii="Calibri" w:eastAsia="Times New Roman" w:hAnsi="Calibri" w:cs="Calibri"/>
          <w:color w:val="002060"/>
          <w:kern w:val="0"/>
          <w14:ligatures w14:val="none"/>
        </w:rPr>
        <w:lastRenderedPageBreak/>
        <w:t xml:space="preserve">No âmbito desse processo, encaminhado pelo MCTI ao ME, a Telebras enviou consulta ao controlador, a União, acerca de eventual intenção de fechar o capital da Companhia, pois, em uma análise preliminar, foi verificado que eventual fechamento deve ser precedido por uma oferta pública para adquirir a totalidade das ações em circulação no mercado, por preço justo, nos termos do § 4º do artigo 4º da Lei nº 6.404/76. </w:t>
      </w:r>
    </w:p>
    <w:p w14:paraId="2484BEEC" w14:textId="77777777" w:rsidR="0057278F" w:rsidRPr="0057278F" w:rsidRDefault="0057278F" w:rsidP="0057278F">
      <w:pPr>
        <w:spacing w:after="0"/>
        <w:jc w:val="both"/>
        <w:rPr>
          <w:rFonts w:ascii="Calibri" w:eastAsia="Times New Roman" w:hAnsi="Calibri" w:cs="Calibri"/>
          <w:color w:val="002060"/>
          <w:kern w:val="0"/>
          <w14:ligatures w14:val="none"/>
        </w:rPr>
      </w:pPr>
      <w:r w:rsidRPr="0057278F">
        <w:rPr>
          <w:rFonts w:ascii="Calibri" w:eastAsia="Times New Roman" w:hAnsi="Calibri" w:cs="Calibri"/>
          <w:color w:val="002060"/>
          <w:kern w:val="0"/>
          <w14:ligatures w14:val="none"/>
        </w:rPr>
        <w:t xml:space="preserve">A referida oferta pode ser feita pela própria Companhia ou por seu controlador, sendo que, no caso de a formulação da oferta pública de aquisição ser feita pela Companhia, esta deve possuir saldo de lucros ou reservas suficientes para a operação (alínea ‘b’ do § 1° do artigo 30 da Lei nº 6.404/76). </w:t>
      </w:r>
    </w:p>
    <w:p w14:paraId="10AF34D4" w14:textId="77777777" w:rsidR="0057278F" w:rsidRPr="0057278F" w:rsidRDefault="0057278F" w:rsidP="0057278F">
      <w:pPr>
        <w:spacing w:after="0"/>
        <w:jc w:val="both"/>
        <w:rPr>
          <w:rFonts w:ascii="Calibri" w:eastAsia="Times New Roman" w:hAnsi="Calibri" w:cs="Calibri"/>
          <w:color w:val="002060"/>
          <w:kern w:val="0"/>
          <w14:ligatures w14:val="none"/>
        </w:rPr>
      </w:pPr>
      <w:r w:rsidRPr="0057278F">
        <w:rPr>
          <w:rFonts w:ascii="Calibri" w:eastAsia="Times New Roman" w:hAnsi="Calibri" w:cs="Calibri"/>
          <w:color w:val="002060"/>
          <w:kern w:val="0"/>
          <w14:ligatures w14:val="none"/>
        </w:rPr>
        <w:t>Em virtude de a Telebras, até a presente data, não possuir os referidos recursos, a decisão por eventual fechamento de capital somente poderá ser efetivada mediante deliberação do acionista controlador a quem caberá formular a oferta pública para adquirir a totalidade das ações em circulação no mercado.</w:t>
      </w:r>
    </w:p>
    <w:p w14:paraId="5649DA12" w14:textId="77777777" w:rsidR="0057278F" w:rsidRPr="0057278F" w:rsidRDefault="0057278F" w:rsidP="0057278F">
      <w:pPr>
        <w:spacing w:after="0"/>
        <w:jc w:val="both"/>
        <w:rPr>
          <w:rFonts w:ascii="Calibri" w:eastAsia="Times New Roman" w:hAnsi="Calibri" w:cs="Calibri"/>
          <w:color w:val="002060"/>
          <w:kern w:val="0"/>
          <w14:ligatures w14:val="none"/>
        </w:rPr>
      </w:pPr>
      <w:r w:rsidRPr="0057278F">
        <w:rPr>
          <w:rFonts w:ascii="Calibri" w:eastAsia="Times New Roman" w:hAnsi="Calibri" w:cs="Calibri"/>
          <w:color w:val="002060"/>
          <w:kern w:val="0"/>
          <w14:ligatures w14:val="none"/>
        </w:rPr>
        <w:t>Em 17 de janeiro de 2023 foi sancionada a Lei nº 14.535/2023 (Lei Orçamentária Anual para o Exercício Financeiro de 2023), a qual manteve a Telebras no Orçamento Fiscal e da Seguridade Social.</w:t>
      </w:r>
    </w:p>
    <w:p w14:paraId="2A2404AA" w14:textId="77777777" w:rsidR="0057278F" w:rsidRPr="0057278F" w:rsidRDefault="0057278F" w:rsidP="0057278F">
      <w:pPr>
        <w:spacing w:after="0"/>
        <w:jc w:val="both"/>
        <w:rPr>
          <w:rFonts w:ascii="Calibri" w:eastAsia="Times New Roman" w:hAnsi="Calibri" w:cs="Calibri"/>
          <w:color w:val="002060"/>
          <w:kern w:val="0"/>
          <w14:ligatures w14:val="none"/>
        </w:rPr>
      </w:pPr>
      <w:r w:rsidRPr="0057278F">
        <w:rPr>
          <w:rFonts w:ascii="Calibri" w:eastAsia="Times New Roman" w:hAnsi="Calibri" w:cs="Calibri"/>
          <w:color w:val="002060"/>
          <w:kern w:val="0"/>
          <w14:ligatures w14:val="none"/>
        </w:rPr>
        <w:t>Segundo a Lei Complementar nº 101/2000 - Lei de Responsabilidade Fiscal (LRF), a definição de empresa estatal dependente é uma empresa controlada que recebe do ente controlador recursos financeiros para pagamento de despesas com pessoal ou de custeio em geral ou de capital, excluídos, no último caso, aqueles provenientes de aumento de participação acionária.</w:t>
      </w:r>
    </w:p>
    <w:bookmarkEnd w:id="384"/>
    <w:p w14:paraId="34BC4B16" w14:textId="48EDF4F5" w:rsidR="0057278F" w:rsidRPr="0057278F" w:rsidRDefault="0057278F" w:rsidP="0057278F">
      <w:pPr>
        <w:spacing w:after="0"/>
        <w:jc w:val="both"/>
        <w:rPr>
          <w:rFonts w:ascii="Calibri" w:eastAsia="Times New Roman" w:hAnsi="Calibri" w:cs="Calibri"/>
          <w:b/>
          <w:bCs/>
          <w:color w:val="002060"/>
          <w:kern w:val="0"/>
          <w14:ligatures w14:val="none"/>
        </w:rPr>
      </w:pPr>
      <w:r w:rsidRPr="0057278F">
        <w:rPr>
          <w:rFonts w:ascii="Calibri" w:eastAsia="Times New Roman" w:hAnsi="Calibri" w:cs="Calibri"/>
          <w:b/>
          <w:bCs/>
          <w:color w:val="002060"/>
          <w:kern w:val="0"/>
          <w14:ligatures w14:val="none"/>
        </w:rPr>
        <w:t>1.3. Renovação do Contrato do Governo Eletrônico - Serviço de Atendimento ao Cidadão - GESAC</w:t>
      </w:r>
    </w:p>
    <w:p w14:paraId="3A019631" w14:textId="56727284" w:rsidR="0057278F" w:rsidRPr="0057278F" w:rsidRDefault="0057278F" w:rsidP="0057278F">
      <w:pPr>
        <w:spacing w:after="0"/>
        <w:jc w:val="both"/>
        <w:rPr>
          <w:rFonts w:ascii="Calibri" w:eastAsia="Times New Roman" w:hAnsi="Calibri" w:cs="Calibri"/>
          <w:color w:val="002060"/>
          <w:kern w:val="0"/>
          <w14:ligatures w14:val="none"/>
        </w:rPr>
      </w:pPr>
      <w:r w:rsidRPr="0057278F">
        <w:rPr>
          <w:rFonts w:ascii="Calibri" w:eastAsia="Times New Roman" w:hAnsi="Calibri" w:cs="Calibri"/>
          <w:color w:val="002060"/>
          <w:kern w:val="0"/>
          <w14:ligatures w14:val="none"/>
        </w:rPr>
        <w:t xml:space="preserve"> O Ministério das Comunicações (</w:t>
      </w:r>
      <w:proofErr w:type="spellStart"/>
      <w:r w:rsidRPr="0057278F">
        <w:rPr>
          <w:rFonts w:ascii="Calibri" w:eastAsia="Times New Roman" w:hAnsi="Calibri" w:cs="Calibri"/>
          <w:color w:val="002060"/>
          <w:kern w:val="0"/>
          <w14:ligatures w14:val="none"/>
        </w:rPr>
        <w:t>MCom</w:t>
      </w:r>
      <w:proofErr w:type="spellEnd"/>
      <w:r w:rsidRPr="0057278F">
        <w:rPr>
          <w:rFonts w:ascii="Calibri" w:eastAsia="Times New Roman" w:hAnsi="Calibri" w:cs="Calibri"/>
          <w:color w:val="002060"/>
          <w:kern w:val="0"/>
          <w14:ligatures w14:val="none"/>
        </w:rPr>
        <w:t>) renovou o contrato com a Telebras para a execução do Governo Eletrônico - Serviço de Atendimento ao Cidadão (GESAC). Ao todo, o contrato prevê 28 mil pontos e serão investidos mais de R$ 3 bilhões de reais ao longo dos próximos 5 anos. O programa leva acesso à internet via satélite para áreas remotas e em vulnerabilidade social, com o objetivo de inclusão digital e prestação de serviços estratégicos a escolas, unidades de saúde, comunidades indígenas rurais e quilombolas, segurança pública, postos de fronteira, programas de monitoramento da Amazônia, Centros de Referência de Assistência Social (CRAS), dentre outros locais.</w:t>
      </w:r>
      <w:r w:rsidRPr="0057278F">
        <w:rPr>
          <w:rFonts w:ascii="Calibri" w:eastAsia="Times New Roman" w:hAnsi="Calibri" w:cs="Calibri"/>
          <w:color w:val="002060"/>
          <w:kern w:val="0"/>
          <w14:ligatures w14:val="none"/>
        </w:rPr>
        <w:br/>
        <w:t xml:space="preserve">A renovação do contrato, publicada no dia 21 dezembro de 2023, no Diário Oficial da União (DOU), foi realizada por meio da dispensa de licitação, com base na Lei 14.744/2023, que estabelece a preferência na contratação direta dos Correios e da Telebras, entidades vinculadas ao </w:t>
      </w:r>
      <w:proofErr w:type="spellStart"/>
      <w:r w:rsidRPr="0057278F">
        <w:rPr>
          <w:rFonts w:ascii="Calibri" w:eastAsia="Times New Roman" w:hAnsi="Calibri" w:cs="Calibri"/>
          <w:color w:val="002060"/>
          <w:kern w:val="0"/>
          <w14:ligatures w14:val="none"/>
        </w:rPr>
        <w:t>MCom</w:t>
      </w:r>
      <w:proofErr w:type="spellEnd"/>
      <w:r w:rsidRPr="0057278F">
        <w:rPr>
          <w:rFonts w:ascii="Calibri" w:eastAsia="Times New Roman" w:hAnsi="Calibri" w:cs="Calibri"/>
          <w:color w:val="002060"/>
          <w:kern w:val="0"/>
          <w14:ligatures w14:val="none"/>
        </w:rPr>
        <w:t>, por órgãos públicos da Administração Pública Federal direta e indireta.</w:t>
      </w:r>
    </w:p>
    <w:p w14:paraId="12872F33" w14:textId="77777777" w:rsidR="0057278F" w:rsidRPr="0057278F" w:rsidRDefault="0057278F" w:rsidP="0057278F">
      <w:pPr>
        <w:spacing w:after="0"/>
        <w:jc w:val="both"/>
        <w:rPr>
          <w:rFonts w:ascii="Calibri" w:eastAsia="Times New Roman" w:hAnsi="Calibri" w:cs="Calibri"/>
          <w:color w:val="002060"/>
          <w:kern w:val="0"/>
          <w14:ligatures w14:val="none"/>
        </w:rPr>
      </w:pPr>
      <w:r w:rsidRPr="0057278F">
        <w:rPr>
          <w:rFonts w:ascii="Calibri" w:eastAsia="Times New Roman" w:hAnsi="Calibri" w:cs="Calibri"/>
          <w:color w:val="002060"/>
          <w:kern w:val="0"/>
          <w14:ligatures w14:val="none"/>
        </w:rPr>
        <w:t>No primeiro lote do Novo GESAC, está prevista a entrega de:</w:t>
      </w:r>
    </w:p>
    <w:p w14:paraId="6409B7FF" w14:textId="77777777" w:rsidR="0057278F" w:rsidRPr="0057278F" w:rsidRDefault="0057278F" w:rsidP="0057278F">
      <w:pPr>
        <w:spacing w:after="0"/>
        <w:jc w:val="both"/>
        <w:rPr>
          <w:rFonts w:ascii="Calibri" w:eastAsia="Times New Roman" w:hAnsi="Calibri" w:cs="Calibri"/>
          <w:color w:val="002060"/>
          <w:kern w:val="0"/>
          <w14:ligatures w14:val="none"/>
        </w:rPr>
      </w:pPr>
      <w:r w:rsidRPr="0057278F">
        <w:rPr>
          <w:rFonts w:ascii="Calibri" w:eastAsia="Times New Roman" w:hAnsi="Calibri" w:cs="Calibri"/>
          <w:color w:val="002060"/>
          <w:kern w:val="0"/>
          <w14:ligatures w14:val="none"/>
        </w:rPr>
        <w:t>i) 15 mil pontos de acesso à internet de 20 Mbps;</w:t>
      </w:r>
    </w:p>
    <w:p w14:paraId="52F84B48" w14:textId="77777777" w:rsidR="0057278F" w:rsidRPr="0057278F" w:rsidRDefault="0057278F" w:rsidP="0057278F">
      <w:pPr>
        <w:spacing w:after="0"/>
        <w:jc w:val="both"/>
        <w:rPr>
          <w:rFonts w:ascii="Calibri" w:eastAsia="Times New Roman" w:hAnsi="Calibri" w:cs="Calibri"/>
          <w:color w:val="002060"/>
          <w:kern w:val="0"/>
          <w14:ligatures w14:val="none"/>
        </w:rPr>
      </w:pPr>
      <w:proofErr w:type="spellStart"/>
      <w:r w:rsidRPr="0057278F">
        <w:rPr>
          <w:rFonts w:ascii="Calibri" w:eastAsia="Times New Roman" w:hAnsi="Calibri" w:cs="Calibri"/>
          <w:color w:val="002060"/>
          <w:kern w:val="0"/>
          <w14:ligatures w14:val="none"/>
        </w:rPr>
        <w:t>ii</w:t>
      </w:r>
      <w:proofErr w:type="spellEnd"/>
      <w:r w:rsidRPr="0057278F">
        <w:rPr>
          <w:rFonts w:ascii="Calibri" w:eastAsia="Times New Roman" w:hAnsi="Calibri" w:cs="Calibri"/>
          <w:color w:val="002060"/>
          <w:kern w:val="0"/>
          <w14:ligatures w14:val="none"/>
        </w:rPr>
        <w:t>)  3 mil pontos de acesso à internet de 30 Mbps;</w:t>
      </w:r>
    </w:p>
    <w:p w14:paraId="1A6CFA13" w14:textId="77777777" w:rsidR="0057278F" w:rsidRPr="0057278F" w:rsidRDefault="0057278F" w:rsidP="0057278F">
      <w:pPr>
        <w:spacing w:after="0"/>
        <w:jc w:val="both"/>
        <w:rPr>
          <w:rFonts w:ascii="Calibri" w:eastAsia="Times New Roman" w:hAnsi="Calibri" w:cs="Calibri"/>
          <w:color w:val="002060"/>
          <w:kern w:val="0"/>
          <w14:ligatures w14:val="none"/>
        </w:rPr>
      </w:pPr>
      <w:proofErr w:type="spellStart"/>
      <w:r w:rsidRPr="0057278F">
        <w:rPr>
          <w:rFonts w:ascii="Calibri" w:eastAsia="Times New Roman" w:hAnsi="Calibri" w:cs="Calibri"/>
          <w:color w:val="002060"/>
          <w:kern w:val="0"/>
          <w14:ligatures w14:val="none"/>
        </w:rPr>
        <w:t>iii</w:t>
      </w:r>
      <w:proofErr w:type="spellEnd"/>
      <w:r w:rsidRPr="0057278F">
        <w:rPr>
          <w:rFonts w:ascii="Calibri" w:eastAsia="Times New Roman" w:hAnsi="Calibri" w:cs="Calibri"/>
          <w:color w:val="002060"/>
          <w:kern w:val="0"/>
          <w14:ligatures w14:val="none"/>
        </w:rPr>
        <w:t>) 3 mil pontos de acesso à internet de 40 Mbps;</w:t>
      </w:r>
    </w:p>
    <w:p w14:paraId="7CE17069" w14:textId="77777777" w:rsidR="0057278F" w:rsidRPr="0057278F" w:rsidRDefault="0057278F" w:rsidP="0057278F">
      <w:pPr>
        <w:spacing w:after="0"/>
        <w:jc w:val="both"/>
        <w:rPr>
          <w:rFonts w:ascii="Calibri" w:eastAsia="Times New Roman" w:hAnsi="Calibri" w:cs="Calibri"/>
          <w:color w:val="002060"/>
          <w:kern w:val="0"/>
          <w14:ligatures w14:val="none"/>
        </w:rPr>
      </w:pPr>
      <w:proofErr w:type="spellStart"/>
      <w:r w:rsidRPr="0057278F">
        <w:rPr>
          <w:rFonts w:ascii="Calibri" w:eastAsia="Times New Roman" w:hAnsi="Calibri" w:cs="Calibri"/>
          <w:color w:val="002060"/>
          <w:kern w:val="0"/>
          <w14:ligatures w14:val="none"/>
        </w:rPr>
        <w:t>iv</w:t>
      </w:r>
      <w:proofErr w:type="spellEnd"/>
      <w:r w:rsidRPr="0057278F">
        <w:rPr>
          <w:rFonts w:ascii="Calibri" w:eastAsia="Times New Roman" w:hAnsi="Calibri" w:cs="Calibri"/>
          <w:color w:val="002060"/>
          <w:kern w:val="0"/>
          <w14:ligatures w14:val="none"/>
        </w:rPr>
        <w:t>) 2 mil pontos de acesso à Internet de 40 Mbps com acesso Wi-Fi externo ao longo de 60 meses.</w:t>
      </w:r>
    </w:p>
    <w:p w14:paraId="43715788" w14:textId="77777777" w:rsidR="0057278F" w:rsidRPr="0057278F" w:rsidRDefault="0057278F" w:rsidP="0057278F">
      <w:pPr>
        <w:spacing w:after="0"/>
        <w:jc w:val="both"/>
        <w:rPr>
          <w:rFonts w:ascii="Calibri" w:eastAsia="Times New Roman" w:hAnsi="Calibri" w:cs="Calibri"/>
          <w:color w:val="002060"/>
          <w:kern w:val="0"/>
          <w14:ligatures w14:val="none"/>
        </w:rPr>
      </w:pPr>
      <w:r w:rsidRPr="0057278F">
        <w:rPr>
          <w:rFonts w:ascii="Calibri" w:eastAsia="Times New Roman" w:hAnsi="Calibri" w:cs="Calibri"/>
          <w:color w:val="002060"/>
          <w:kern w:val="0"/>
          <w14:ligatures w14:val="none"/>
        </w:rPr>
        <w:t>No segundo lote, está prevista a implantação de 5 mil pontos de acesso à internet de 60 Mbps com acesso Wi-Fi externo, também em 60 meses. </w:t>
      </w:r>
    </w:p>
    <w:p w14:paraId="70597297" w14:textId="77777777" w:rsidR="0057278F" w:rsidRPr="0057278F" w:rsidRDefault="0057278F" w:rsidP="0057278F">
      <w:pPr>
        <w:spacing w:after="0"/>
        <w:jc w:val="both"/>
        <w:rPr>
          <w:rFonts w:ascii="Calibri" w:eastAsia="Times New Roman" w:hAnsi="Calibri" w:cs="Calibri"/>
          <w:color w:val="002060"/>
          <w:kern w:val="0"/>
          <w14:ligatures w14:val="none"/>
        </w:rPr>
      </w:pPr>
      <w:r w:rsidRPr="0057278F">
        <w:rPr>
          <w:rFonts w:ascii="Calibri" w:eastAsia="Times New Roman" w:hAnsi="Calibri" w:cs="Calibri"/>
          <w:color w:val="002060"/>
          <w:kern w:val="0"/>
          <w14:ligatures w14:val="none"/>
        </w:rPr>
        <w:t>O Novo GESAC é a ampliação do programa, criado em 2002 pela Portaria MC nº 256, que oferece o acesso a serviços de conexão à internet, com o objetivo de promover a inclusão digital e social, com prioridade para regiões remotas e de fronteira; e ampliação do acesso à internet em consonância com o acesso aos serviços do governo eletrônico para a população.</w:t>
      </w:r>
    </w:p>
    <w:p w14:paraId="0364D4CD" w14:textId="77777777" w:rsidR="0057278F" w:rsidRPr="0057278F" w:rsidRDefault="0057278F" w:rsidP="0057278F">
      <w:pPr>
        <w:spacing w:after="0"/>
        <w:jc w:val="both"/>
        <w:rPr>
          <w:rFonts w:ascii="Calibri" w:eastAsia="Times New Roman" w:hAnsi="Calibri" w:cs="Calibri"/>
          <w:color w:val="002060"/>
          <w:kern w:val="0"/>
          <w14:ligatures w14:val="none"/>
        </w:rPr>
      </w:pPr>
      <w:r w:rsidRPr="0057278F">
        <w:rPr>
          <w:rFonts w:ascii="Calibri" w:eastAsia="Times New Roman" w:hAnsi="Calibri" w:cs="Calibri"/>
          <w:color w:val="002060"/>
          <w:kern w:val="0"/>
          <w14:ligatures w14:val="none"/>
        </w:rPr>
        <w:t xml:space="preserve">A Telebras possui a maior operação satelital em Banda Ka do Brasil, envolvendo, em parceria com a </w:t>
      </w:r>
      <w:proofErr w:type="spellStart"/>
      <w:r w:rsidRPr="0057278F">
        <w:rPr>
          <w:rFonts w:ascii="Calibri" w:eastAsia="Times New Roman" w:hAnsi="Calibri" w:cs="Calibri"/>
          <w:color w:val="002060"/>
          <w:kern w:val="0"/>
          <w14:ligatures w14:val="none"/>
        </w:rPr>
        <w:t>Viasat</w:t>
      </w:r>
      <w:proofErr w:type="spellEnd"/>
      <w:r w:rsidRPr="0057278F">
        <w:rPr>
          <w:rFonts w:ascii="Calibri" w:eastAsia="Times New Roman" w:hAnsi="Calibri" w:cs="Calibri"/>
          <w:color w:val="002060"/>
          <w:kern w:val="0"/>
          <w14:ligatures w14:val="none"/>
        </w:rPr>
        <w:t>, mais de mil técnicos de instalação e manutenção dos pontos GESAC, que ao todo percorreram mais de 5 milhões de quilômetros para a instalação dos mais de 26 mil pontos demandados no contrato do programa que se encerra dia 28 de dezembro. Além disso, é a única empresa no país que possui o histórico de todos os dados trafegados no programa GESAC, estratificados em quantidades consumidas e nas aplicações utilizadas pelos pontos instalados.</w:t>
      </w:r>
      <w:r w:rsidRPr="0057278F">
        <w:rPr>
          <w:rFonts w:ascii="Calibri" w:eastAsia="Times New Roman" w:hAnsi="Calibri" w:cs="Calibri"/>
          <w:color w:val="002060"/>
          <w:kern w:val="0"/>
          <w14:ligatures w14:val="none"/>
        </w:rPr>
        <w:br/>
        <w:t xml:space="preserve">Nos últimos 5 anos, o programa alcançou a marca de 55 </w:t>
      </w:r>
      <w:proofErr w:type="spellStart"/>
      <w:r w:rsidRPr="0057278F">
        <w:rPr>
          <w:rFonts w:ascii="Calibri" w:eastAsia="Times New Roman" w:hAnsi="Calibri" w:cs="Calibri"/>
          <w:color w:val="002060"/>
          <w:kern w:val="0"/>
          <w14:ligatures w14:val="none"/>
        </w:rPr>
        <w:t>Petabytes</w:t>
      </w:r>
      <w:proofErr w:type="spellEnd"/>
      <w:r w:rsidRPr="0057278F">
        <w:rPr>
          <w:rFonts w:ascii="Calibri" w:eastAsia="Times New Roman" w:hAnsi="Calibri" w:cs="Calibri"/>
          <w:color w:val="002060"/>
          <w:kern w:val="0"/>
          <w14:ligatures w14:val="none"/>
        </w:rPr>
        <w:t xml:space="preserve"> (PB) de dados trafegados na internet desde sua primeira instalação, em 2018, em Pacaraima (RR). Conectados através do Satélite</w:t>
      </w:r>
    </w:p>
    <w:p w14:paraId="5B5E97FB" w14:textId="3F74EAE9" w:rsidR="0057278F" w:rsidRPr="0057278F" w:rsidRDefault="0057278F" w:rsidP="0057278F">
      <w:pPr>
        <w:spacing w:after="0"/>
        <w:jc w:val="both"/>
        <w:rPr>
          <w:rFonts w:ascii="Calibri" w:eastAsia="Times New Roman" w:hAnsi="Calibri" w:cs="Calibri"/>
          <w:color w:val="002060"/>
          <w:kern w:val="0"/>
          <w14:ligatures w14:val="none"/>
        </w:rPr>
      </w:pPr>
      <w:r w:rsidRPr="0057278F">
        <w:rPr>
          <w:rFonts w:ascii="Calibri" w:eastAsia="Times New Roman" w:hAnsi="Calibri" w:cs="Calibri"/>
          <w:color w:val="002060"/>
          <w:kern w:val="0"/>
          <w14:ligatures w14:val="none"/>
        </w:rPr>
        <w:lastRenderedPageBreak/>
        <w:t>Geoestacionário de Defesa e Comunicação Estratégica (SGDC), os mais de 26 mil pontos distribuídos pelo Brasil mudaram a vida de diversas comunidades distantes dos grandes centros, com conexão à internet de alta qualidade, e garantiram a milhares de famílias o acesso a direitos fundamentais.</w:t>
      </w:r>
    </w:p>
    <w:bookmarkEnd w:id="382"/>
    <w:p w14:paraId="1A4AEEFF" w14:textId="505536A5" w:rsidR="0057278F" w:rsidRPr="0057278F" w:rsidRDefault="0057278F" w:rsidP="0057278F">
      <w:pPr>
        <w:spacing w:after="0"/>
        <w:jc w:val="both"/>
        <w:rPr>
          <w:rFonts w:ascii="Calibri" w:eastAsia="Times New Roman" w:hAnsi="Calibri" w:cs="Calibri"/>
          <w:b/>
          <w:bCs/>
          <w:color w:val="002060"/>
          <w:kern w:val="0"/>
          <w14:ligatures w14:val="none"/>
        </w:rPr>
      </w:pPr>
      <w:r>
        <w:rPr>
          <w:rFonts w:ascii="Calibri" w:eastAsia="Times New Roman" w:hAnsi="Calibri" w:cs="Calibri"/>
          <w:b/>
          <w:bCs/>
          <w:color w:val="002060"/>
          <w:kern w:val="0"/>
          <w14:ligatures w14:val="none"/>
        </w:rPr>
        <w:t xml:space="preserve">1.4. </w:t>
      </w:r>
      <w:r w:rsidRPr="0057278F">
        <w:rPr>
          <w:rFonts w:ascii="Calibri" w:eastAsia="Times New Roman" w:hAnsi="Calibri" w:cs="Calibri"/>
          <w:b/>
          <w:bCs/>
          <w:color w:val="002060"/>
          <w:kern w:val="0"/>
          <w14:ligatures w14:val="none"/>
        </w:rPr>
        <w:t>Adequação da Telebras à Lei Geral de Proteção de Dados (LGPD)</w:t>
      </w:r>
    </w:p>
    <w:p w14:paraId="178E7F67" w14:textId="77777777" w:rsidR="0057278F" w:rsidRPr="0057278F" w:rsidRDefault="0057278F" w:rsidP="0057278F">
      <w:pPr>
        <w:spacing w:after="0"/>
        <w:jc w:val="both"/>
        <w:rPr>
          <w:rFonts w:ascii="Calibri" w:eastAsia="Times New Roman" w:hAnsi="Calibri" w:cs="Calibri"/>
          <w:color w:val="002060"/>
          <w:kern w:val="0"/>
          <w14:ligatures w14:val="none"/>
        </w:rPr>
      </w:pPr>
      <w:r w:rsidRPr="0057278F">
        <w:rPr>
          <w:rFonts w:ascii="Calibri" w:eastAsia="Times New Roman" w:hAnsi="Calibri" w:cs="Calibri"/>
          <w:color w:val="002060"/>
          <w:kern w:val="0"/>
          <w14:ligatures w14:val="none"/>
        </w:rPr>
        <w:t>A implantação, acompanhamento e aperfeiçoamento de assuntos relacionados à LGPD é coordenado pelo Comitê de Governança de Dados Pessoais da Telebras, com representantes de todas diretorias e com as seguintes objetivos gerais:  I - atuar estrategicamente a fim de promover proteção de dados pessoais no âmbito da Telebras; II - atuar em conformidade com as determinações e os dispositivos relativos à coordenação, ao planejamento e à supervisão das atividades de proteção de dados pessoais na Telebras, conforme determinações da Lei Geral de Proteção de Dados Pessoais (LGPD) e a sua regulamentação; III - propor mecanismos para a proteção dos direitos fundamentais de liberdade e de privacidade e o livre desenvolvimento da personalidade da pessoa natural; IV - elaborar, manter atualizados mecanismos e normativos destinados à proteção de dados pessoais tendo como fundamentos: o respeito à privacidade, a autodeterminação informativa, a liberdade de expressão, de informação, de comunicação e de opinião, a inviolabilidade da intimidade, da honra e da imagem e os direitos humanos, a dignidade e o exercício da cidadania pelas pessoas naturais.</w:t>
      </w:r>
    </w:p>
    <w:p w14:paraId="6BE88D01" w14:textId="77777777" w:rsidR="00FD0218" w:rsidRPr="0057278F" w:rsidRDefault="0057278F" w:rsidP="00FD0218">
      <w:pPr>
        <w:spacing w:after="0"/>
        <w:jc w:val="both"/>
        <w:rPr>
          <w:rFonts w:ascii="Calibri" w:eastAsia="Times New Roman" w:hAnsi="Calibri" w:cs="Calibri"/>
          <w:color w:val="002060"/>
          <w:kern w:val="0"/>
          <w14:ligatures w14:val="none"/>
        </w:rPr>
      </w:pPr>
      <w:r w:rsidRPr="0057278F">
        <w:rPr>
          <w:rFonts w:ascii="Calibri" w:eastAsia="Times New Roman" w:hAnsi="Calibri" w:cs="Calibri"/>
          <w:color w:val="002060"/>
          <w:kern w:val="0"/>
          <w14:ligatures w14:val="none"/>
        </w:rPr>
        <w:t>Também é acompanhamento pelo Comitê de Auditoria (COAUD) através de reuniões trimestrais a qual o Encarregado de Proteção de Dados apresenta as ações relacionadas à LGPD</w:t>
      </w:r>
      <w:r>
        <w:rPr>
          <w:rFonts w:ascii="Calibri" w:eastAsia="Times New Roman" w:hAnsi="Calibri" w:cs="Calibri"/>
          <w:color w:val="002060"/>
          <w:kern w:val="0"/>
          <w14:ligatures w14:val="none"/>
        </w:rPr>
        <w:t xml:space="preserve">. </w:t>
      </w:r>
      <w:r w:rsidR="00FD0218">
        <w:rPr>
          <w:rFonts w:ascii="Calibri" w:eastAsia="Times New Roman" w:hAnsi="Calibri" w:cs="Calibri"/>
          <w:color w:val="002060"/>
          <w:kern w:val="0"/>
          <w14:ligatures w14:val="none"/>
        </w:rPr>
        <w:t xml:space="preserve"> </w:t>
      </w:r>
      <w:r w:rsidR="00FD0218" w:rsidRPr="0057278F">
        <w:rPr>
          <w:rFonts w:ascii="Calibri" w:eastAsia="Times New Roman" w:hAnsi="Calibri" w:cs="Calibri"/>
          <w:color w:val="002060"/>
          <w:kern w:val="0"/>
          <w14:ligatures w14:val="none"/>
        </w:rPr>
        <w:t xml:space="preserve">As principais atividades realizadas pela Companhia, visando adequá-la à referida lei, foram as seguintes: </w:t>
      </w:r>
    </w:p>
    <w:p w14:paraId="7C90EE33" w14:textId="77777777" w:rsidR="00FD0218" w:rsidRPr="0057278F" w:rsidRDefault="00FD0218" w:rsidP="00FD0218">
      <w:pPr>
        <w:spacing w:after="0"/>
        <w:jc w:val="both"/>
        <w:rPr>
          <w:rFonts w:ascii="Calibri" w:eastAsia="Times New Roman" w:hAnsi="Calibri" w:cs="Calibri"/>
          <w:color w:val="002060"/>
          <w:kern w:val="0"/>
          <w14:ligatures w14:val="none"/>
        </w:rPr>
      </w:pPr>
      <w:r w:rsidRPr="0057278F">
        <w:rPr>
          <w:rFonts w:ascii="Calibri" w:eastAsia="Times New Roman" w:hAnsi="Calibri" w:cs="Calibri"/>
          <w:color w:val="002060"/>
          <w:kern w:val="0"/>
          <w14:ligatures w14:val="none"/>
        </w:rPr>
        <w:t xml:space="preserve">i) aprovação, pelos Diretores da Companhia e pelo Conselho de Administração, da Política de Segurança da Informação e Comunicações (POSIC); </w:t>
      </w:r>
    </w:p>
    <w:p w14:paraId="5F0F109D" w14:textId="77777777" w:rsidR="00FD0218" w:rsidRPr="0057278F" w:rsidRDefault="00FD0218" w:rsidP="00FD0218">
      <w:pPr>
        <w:spacing w:after="0"/>
        <w:jc w:val="both"/>
        <w:rPr>
          <w:rFonts w:ascii="Calibri" w:eastAsia="Times New Roman" w:hAnsi="Calibri" w:cs="Calibri"/>
          <w:color w:val="002060"/>
          <w:kern w:val="0"/>
          <w14:ligatures w14:val="none"/>
        </w:rPr>
      </w:pPr>
      <w:proofErr w:type="spellStart"/>
      <w:r w:rsidRPr="0057278F">
        <w:rPr>
          <w:rFonts w:ascii="Calibri" w:eastAsia="Times New Roman" w:hAnsi="Calibri" w:cs="Calibri"/>
          <w:color w:val="002060"/>
          <w:kern w:val="0"/>
          <w14:ligatures w14:val="none"/>
        </w:rPr>
        <w:t>ii</w:t>
      </w:r>
      <w:proofErr w:type="spellEnd"/>
      <w:r w:rsidRPr="0057278F">
        <w:rPr>
          <w:rFonts w:ascii="Calibri" w:eastAsia="Times New Roman" w:hAnsi="Calibri" w:cs="Calibri"/>
          <w:color w:val="002060"/>
          <w:kern w:val="0"/>
          <w14:ligatures w14:val="none"/>
        </w:rPr>
        <w:t xml:space="preserve">) atualização da avaliação de riscos relacionados à LGPD; </w:t>
      </w:r>
    </w:p>
    <w:p w14:paraId="5FFD3B10" w14:textId="77777777" w:rsidR="00FD0218" w:rsidRPr="0057278F" w:rsidRDefault="00FD0218" w:rsidP="00FD0218">
      <w:pPr>
        <w:spacing w:after="0"/>
        <w:jc w:val="both"/>
        <w:rPr>
          <w:rFonts w:ascii="Calibri" w:eastAsia="Times New Roman" w:hAnsi="Calibri" w:cs="Calibri"/>
          <w:color w:val="002060"/>
          <w:kern w:val="0"/>
          <w14:ligatures w14:val="none"/>
        </w:rPr>
      </w:pPr>
      <w:proofErr w:type="spellStart"/>
      <w:r w:rsidRPr="0057278F">
        <w:rPr>
          <w:rFonts w:ascii="Calibri" w:eastAsia="Times New Roman" w:hAnsi="Calibri" w:cs="Calibri"/>
          <w:color w:val="002060"/>
          <w:kern w:val="0"/>
          <w14:ligatures w14:val="none"/>
        </w:rPr>
        <w:t>iii</w:t>
      </w:r>
      <w:proofErr w:type="spellEnd"/>
      <w:r w:rsidRPr="0057278F">
        <w:rPr>
          <w:rFonts w:ascii="Calibri" w:eastAsia="Times New Roman" w:hAnsi="Calibri" w:cs="Calibri"/>
          <w:color w:val="002060"/>
          <w:kern w:val="0"/>
          <w14:ligatures w14:val="none"/>
        </w:rPr>
        <w:t xml:space="preserve">) realização do mapeamento do fluxo geral de tratamento de dados pessoais da Telebras, contemplando os ciclos de tratamento, de governança e gestão de incidentes; </w:t>
      </w:r>
    </w:p>
    <w:p w14:paraId="10CFC176" w14:textId="77777777" w:rsidR="00FD0218" w:rsidRPr="0057278F" w:rsidRDefault="00FD0218" w:rsidP="00FD0218">
      <w:pPr>
        <w:spacing w:after="0"/>
        <w:jc w:val="both"/>
        <w:rPr>
          <w:rFonts w:ascii="Calibri" w:eastAsia="Times New Roman" w:hAnsi="Calibri" w:cs="Calibri"/>
          <w:color w:val="002060"/>
          <w:kern w:val="0"/>
          <w14:ligatures w14:val="none"/>
        </w:rPr>
      </w:pPr>
      <w:proofErr w:type="spellStart"/>
      <w:r w:rsidRPr="0057278F">
        <w:rPr>
          <w:rFonts w:ascii="Calibri" w:eastAsia="Times New Roman" w:hAnsi="Calibri" w:cs="Calibri"/>
          <w:color w:val="002060"/>
          <w:kern w:val="0"/>
          <w14:ligatures w14:val="none"/>
        </w:rPr>
        <w:t>iv</w:t>
      </w:r>
      <w:proofErr w:type="spellEnd"/>
      <w:r w:rsidRPr="0057278F">
        <w:rPr>
          <w:rFonts w:ascii="Calibri" w:eastAsia="Times New Roman" w:hAnsi="Calibri" w:cs="Calibri"/>
          <w:color w:val="002060"/>
          <w:kern w:val="0"/>
          <w14:ligatures w14:val="none"/>
        </w:rPr>
        <w:t xml:space="preserve">) realização de capacitação para todos os colaboradores com o curso de Introdução à LGPD, ministrado pela ENAP, e para os colaboradores diretamente envolvidos no tratamento de dados pessoais com o curso de Proteção de Dados Pessoais no Setor Público, também realizado pela ENAP; </w:t>
      </w:r>
    </w:p>
    <w:p w14:paraId="0D3D8DE2" w14:textId="77777777" w:rsidR="00FD0218" w:rsidRPr="0057278F" w:rsidRDefault="00FD0218" w:rsidP="00FD0218">
      <w:pPr>
        <w:spacing w:after="0"/>
        <w:jc w:val="both"/>
        <w:rPr>
          <w:rFonts w:ascii="Calibri" w:eastAsia="Times New Roman" w:hAnsi="Calibri" w:cs="Calibri"/>
          <w:color w:val="002060"/>
          <w:kern w:val="0"/>
          <w14:ligatures w14:val="none"/>
        </w:rPr>
      </w:pPr>
      <w:r w:rsidRPr="0057278F">
        <w:rPr>
          <w:rFonts w:ascii="Calibri" w:eastAsia="Times New Roman" w:hAnsi="Calibri" w:cs="Calibri"/>
          <w:color w:val="002060"/>
          <w:kern w:val="0"/>
          <w14:ligatures w14:val="none"/>
        </w:rPr>
        <w:t xml:space="preserve">v) está em processo de elaboração de um curso/treinamento sobre LGPD com ênfase nas necessidades da Telebras; </w:t>
      </w:r>
    </w:p>
    <w:p w14:paraId="0D78CB8E" w14:textId="77777777" w:rsidR="00FD0218" w:rsidRPr="0057278F" w:rsidRDefault="00FD0218" w:rsidP="00FD0218">
      <w:pPr>
        <w:spacing w:after="0"/>
        <w:jc w:val="both"/>
        <w:rPr>
          <w:rFonts w:ascii="Calibri" w:eastAsia="Times New Roman" w:hAnsi="Calibri" w:cs="Calibri"/>
          <w:color w:val="002060"/>
          <w:kern w:val="0"/>
          <w14:ligatures w14:val="none"/>
        </w:rPr>
      </w:pPr>
      <w:r w:rsidRPr="0057278F">
        <w:rPr>
          <w:rFonts w:ascii="Calibri" w:eastAsia="Times New Roman" w:hAnsi="Calibri" w:cs="Calibri"/>
          <w:color w:val="002060"/>
          <w:kern w:val="0"/>
          <w14:ligatures w14:val="none"/>
        </w:rPr>
        <w:t>vi) realização do projeto de contratação de uma solução de gerenciamento de privacidade de dados, a qual permitirá apoiar os processos e projetos de adequação aos requisitos regulatórios de privacidade e proteção de dados;</w:t>
      </w:r>
    </w:p>
    <w:p w14:paraId="6E25BFC1" w14:textId="77777777" w:rsidR="00FD0218" w:rsidRPr="0057278F" w:rsidRDefault="00FD0218" w:rsidP="00FD0218">
      <w:pPr>
        <w:spacing w:after="0"/>
        <w:jc w:val="both"/>
        <w:rPr>
          <w:rFonts w:ascii="Calibri" w:eastAsia="Times New Roman" w:hAnsi="Calibri" w:cs="Calibri"/>
          <w:color w:val="002060"/>
          <w:kern w:val="0"/>
          <w14:ligatures w14:val="none"/>
        </w:rPr>
      </w:pPr>
      <w:proofErr w:type="spellStart"/>
      <w:r w:rsidRPr="0057278F">
        <w:rPr>
          <w:rFonts w:ascii="Calibri" w:eastAsia="Times New Roman" w:hAnsi="Calibri" w:cs="Calibri"/>
          <w:color w:val="002060"/>
          <w:kern w:val="0"/>
          <w14:ligatures w14:val="none"/>
        </w:rPr>
        <w:t>vii</w:t>
      </w:r>
      <w:proofErr w:type="spellEnd"/>
      <w:r w:rsidRPr="0057278F">
        <w:rPr>
          <w:rFonts w:ascii="Calibri" w:eastAsia="Times New Roman" w:hAnsi="Calibri" w:cs="Calibri"/>
          <w:color w:val="002060"/>
          <w:kern w:val="0"/>
          <w14:ligatures w14:val="none"/>
        </w:rPr>
        <w:t xml:space="preserve">) elaboração dos Termos de Uso e Aviso de Privacidade, referentes ao sítio institucional da Telebras; e; </w:t>
      </w:r>
    </w:p>
    <w:p w14:paraId="393A3FA8" w14:textId="77777777" w:rsidR="00FD0218" w:rsidRPr="0057278F" w:rsidRDefault="00FD0218" w:rsidP="00FD0218">
      <w:pPr>
        <w:spacing w:after="0"/>
        <w:jc w:val="both"/>
        <w:rPr>
          <w:rFonts w:ascii="Calibri" w:eastAsia="Times New Roman" w:hAnsi="Calibri" w:cs="Calibri"/>
          <w:color w:val="002060"/>
          <w:kern w:val="0"/>
          <w14:ligatures w14:val="none"/>
        </w:rPr>
      </w:pPr>
      <w:proofErr w:type="spellStart"/>
      <w:r w:rsidRPr="0057278F">
        <w:rPr>
          <w:rFonts w:ascii="Calibri" w:eastAsia="Times New Roman" w:hAnsi="Calibri" w:cs="Calibri"/>
          <w:color w:val="002060"/>
          <w:kern w:val="0"/>
          <w14:ligatures w14:val="none"/>
        </w:rPr>
        <w:t>viii</w:t>
      </w:r>
      <w:proofErr w:type="spellEnd"/>
      <w:r w:rsidRPr="0057278F">
        <w:rPr>
          <w:rFonts w:ascii="Calibri" w:eastAsia="Times New Roman" w:hAnsi="Calibri" w:cs="Calibri"/>
          <w:color w:val="002060"/>
          <w:kern w:val="0"/>
          <w14:ligatures w14:val="none"/>
        </w:rPr>
        <w:t xml:space="preserve">) publicação do Plano de Resposta a Incidentes de Segurança de Dados Pessoais e do Relatório de Impacto à Proteção de Dados Pessoais. </w:t>
      </w:r>
    </w:p>
    <w:p w14:paraId="0AA8E348" w14:textId="77777777" w:rsidR="00FD0218" w:rsidRDefault="00FD0218" w:rsidP="00FD0218">
      <w:pPr>
        <w:spacing w:after="0"/>
        <w:jc w:val="both"/>
        <w:rPr>
          <w:rFonts w:ascii="Calibri" w:eastAsia="Times New Roman" w:hAnsi="Calibri" w:cs="Calibri"/>
          <w:color w:val="002060"/>
          <w:kern w:val="0"/>
          <w14:ligatures w14:val="none"/>
        </w:rPr>
      </w:pPr>
      <w:r w:rsidRPr="0057278F">
        <w:rPr>
          <w:rFonts w:ascii="Calibri" w:eastAsia="Times New Roman" w:hAnsi="Calibri" w:cs="Calibri"/>
          <w:color w:val="002060"/>
          <w:kern w:val="0"/>
          <w14:ligatures w14:val="none"/>
        </w:rPr>
        <w:t xml:space="preserve">Em 2022 o Tribunal de Contas da União (TCU) apresentou os resultados relativos à auditoria realizada entre novembro de 2020 e maio de 2021 para avaliar as ações governamentais e os riscos à proteção de dados pessoais por meio da elaboração de diagnóstico acerca dos controles implementados pelas organizações públicas federais para adequação à Lei 13.709/2018, denominada Lei Geral de Proteção de Dados (LGPD) (TC 039.606/2020-1; Acórdão 1.384/2022TCU-Plenário de relatoria do Ministro Augusto Nardes). A Telebras obteve o valor 0,66 para o indicador de adequação, o que corresponde ao nível </w:t>
      </w:r>
      <w:r w:rsidRPr="0057278F">
        <w:rPr>
          <w:rFonts w:ascii="Calibri" w:eastAsia="Times New Roman" w:hAnsi="Calibri" w:cs="Calibri"/>
          <w:bCs/>
          <w:color w:val="002060"/>
          <w:kern w:val="0"/>
          <w14:ligatures w14:val="none"/>
        </w:rPr>
        <w:t>“Intermediário”</w:t>
      </w:r>
      <w:r w:rsidRPr="0057278F">
        <w:rPr>
          <w:rFonts w:ascii="Calibri" w:eastAsia="Times New Roman" w:hAnsi="Calibri" w:cs="Calibri"/>
          <w:color w:val="002060"/>
          <w:kern w:val="0"/>
          <w14:ligatures w14:val="none"/>
        </w:rPr>
        <w:t xml:space="preserve"> em uma escala que possui os níveis inexpressivo, inicial, intermediário e aprimorado.</w:t>
      </w:r>
    </w:p>
    <w:p w14:paraId="7DB02983" w14:textId="17506CA3" w:rsidR="00FD0218" w:rsidRPr="00FD0218" w:rsidRDefault="00FD0218" w:rsidP="00FD0218">
      <w:pPr>
        <w:spacing w:after="0"/>
        <w:jc w:val="both"/>
        <w:rPr>
          <w:rFonts w:ascii="Calibri" w:eastAsia="Times New Roman" w:hAnsi="Calibri" w:cs="Calibri"/>
          <w:b/>
          <w:bCs/>
          <w:color w:val="002060"/>
          <w:kern w:val="0"/>
          <w14:ligatures w14:val="none"/>
        </w:rPr>
      </w:pPr>
      <w:r>
        <w:rPr>
          <w:rFonts w:ascii="Calibri" w:eastAsia="Times New Roman" w:hAnsi="Calibri" w:cs="Calibri"/>
          <w:b/>
          <w:bCs/>
          <w:color w:val="002060"/>
          <w:kern w:val="0"/>
          <w14:ligatures w14:val="none"/>
        </w:rPr>
        <w:t xml:space="preserve">1.5. </w:t>
      </w:r>
      <w:r w:rsidRPr="00FD0218">
        <w:rPr>
          <w:rFonts w:ascii="Calibri" w:eastAsia="Times New Roman" w:hAnsi="Calibri" w:cs="Calibri"/>
          <w:b/>
          <w:bCs/>
          <w:color w:val="002060"/>
          <w:kern w:val="0"/>
          <w14:ligatures w14:val="none"/>
        </w:rPr>
        <w:t>Gestão da Rede Privativa de Comunicação da Administração Pública Federal</w:t>
      </w:r>
    </w:p>
    <w:p w14:paraId="2444371E" w14:textId="77777777" w:rsidR="00FD0218" w:rsidRPr="00FD0218" w:rsidRDefault="00FD0218" w:rsidP="00FD0218">
      <w:pPr>
        <w:spacing w:after="0"/>
        <w:jc w:val="both"/>
        <w:rPr>
          <w:rFonts w:ascii="Calibri" w:eastAsia="Times New Roman" w:hAnsi="Calibri" w:cs="Calibri"/>
          <w:color w:val="002060"/>
          <w:kern w:val="0"/>
          <w14:ligatures w14:val="none"/>
        </w:rPr>
      </w:pPr>
      <w:r w:rsidRPr="00FD0218">
        <w:rPr>
          <w:rFonts w:ascii="Calibri" w:eastAsia="Times New Roman" w:hAnsi="Calibri" w:cs="Calibri"/>
          <w:color w:val="002060"/>
          <w:kern w:val="0"/>
          <w14:ligatures w14:val="none"/>
        </w:rPr>
        <w:t>O Decreto nº 11.299/2022, publicado no Diário Oficial da União (DOU) no dia 22 de dezembro de 2022, altera o Decreto nº 9.612/ 2018, que dispõe sobre as Políticas Públicas de Telecomunicações, e destina à Telebras gestão exclusiva da Rede Privativa de Comunicação da Administração Pública Federal (RPCAPF), que será construída pela Entidade Administradora da Frequência (EAF), denominada Siga Antenado, </w:t>
      </w:r>
      <w:hyperlink r:id="rId48" w:tgtFrame="_blank" w:history="1">
        <w:r w:rsidRPr="00FD0218">
          <w:rPr>
            <w:rStyle w:val="Hyperlink"/>
            <w:rFonts w:ascii="Calibri" w:eastAsia="Times New Roman" w:hAnsi="Calibri" w:cs="Calibri"/>
            <w:kern w:val="0"/>
            <w14:ligatures w14:val="none"/>
          </w:rPr>
          <w:t>constituída de acordo com a Portaria 1.924/2021 do Ministério das Com</w:t>
        </w:r>
      </w:hyperlink>
      <w:r w:rsidRPr="00FD0218">
        <w:rPr>
          <w:rFonts w:ascii="Calibri" w:eastAsia="Times New Roman" w:hAnsi="Calibri" w:cs="Calibri"/>
          <w:color w:val="002060"/>
          <w:kern w:val="0"/>
          <w14:ligatures w14:val="none"/>
        </w:rPr>
        <w:t>unicações (</w:t>
      </w:r>
      <w:proofErr w:type="spellStart"/>
      <w:r w:rsidRPr="00FD0218">
        <w:rPr>
          <w:rFonts w:ascii="Calibri" w:eastAsia="Times New Roman" w:hAnsi="Calibri" w:cs="Calibri"/>
          <w:color w:val="002060"/>
          <w:kern w:val="0"/>
          <w14:ligatures w14:val="none"/>
        </w:rPr>
        <w:t>MCom</w:t>
      </w:r>
      <w:proofErr w:type="spellEnd"/>
      <w:r w:rsidRPr="00FD0218">
        <w:rPr>
          <w:rFonts w:ascii="Calibri" w:eastAsia="Times New Roman" w:hAnsi="Calibri" w:cs="Calibri"/>
          <w:color w:val="002060"/>
          <w:kern w:val="0"/>
          <w14:ligatures w14:val="none"/>
        </w:rPr>
        <w:t>), e incorporada no edital do 5G.</w:t>
      </w:r>
    </w:p>
    <w:p w14:paraId="68033218" w14:textId="77777777" w:rsidR="00FD0218" w:rsidRPr="00FD0218" w:rsidRDefault="00FD0218" w:rsidP="00FD0218">
      <w:pPr>
        <w:spacing w:after="0"/>
        <w:jc w:val="both"/>
        <w:rPr>
          <w:rFonts w:ascii="Calibri" w:eastAsia="Times New Roman" w:hAnsi="Calibri" w:cs="Calibri"/>
          <w:color w:val="002060"/>
          <w:kern w:val="0"/>
          <w14:ligatures w14:val="none"/>
        </w:rPr>
      </w:pPr>
    </w:p>
    <w:p w14:paraId="4E295BB2" w14:textId="77777777" w:rsidR="00FD0218" w:rsidRDefault="00FD0218" w:rsidP="00FD0218">
      <w:pPr>
        <w:spacing w:after="0"/>
        <w:jc w:val="both"/>
        <w:rPr>
          <w:rFonts w:ascii="Calibri" w:eastAsia="Times New Roman" w:hAnsi="Calibri" w:cs="Calibri"/>
          <w:color w:val="002060"/>
          <w:kern w:val="0"/>
          <w14:ligatures w14:val="none"/>
        </w:rPr>
      </w:pPr>
      <w:r w:rsidRPr="00FD0218">
        <w:rPr>
          <w:rFonts w:ascii="Calibri" w:eastAsia="Times New Roman" w:hAnsi="Calibri" w:cs="Calibri"/>
          <w:color w:val="002060"/>
          <w:kern w:val="0"/>
          <w14:ligatures w14:val="none"/>
        </w:rPr>
        <w:lastRenderedPageBreak/>
        <w:t>O novo Decreto também definiu que a Telebras faça uso, em caráter primário, de faixas de radiofrequências que serão designadas pela Anatel para realização das atividades de Segurança Pública, Defesa, serviços de socorro e emergência, resposta a desastres e outras atribuições críticas de Estado, sendo facultado à Telebras “compartilhar infraestruturas passivas e ativas, incluídos os recursos espectrais, com outras redes, observado o incentivo à competição”</w:t>
      </w:r>
    </w:p>
    <w:p w14:paraId="6473A647" w14:textId="77777777" w:rsidR="00FD0218" w:rsidRPr="00FD0218" w:rsidRDefault="00FD0218" w:rsidP="00FD0218">
      <w:pPr>
        <w:spacing w:after="0"/>
        <w:jc w:val="both"/>
        <w:rPr>
          <w:rFonts w:ascii="Calibri" w:eastAsia="Times New Roman" w:hAnsi="Calibri" w:cs="Calibri"/>
          <w:color w:val="002060"/>
          <w:kern w:val="0"/>
          <w14:ligatures w14:val="none"/>
        </w:rPr>
      </w:pPr>
      <w:r w:rsidRPr="00FD0218">
        <w:rPr>
          <w:rFonts w:ascii="Calibri" w:eastAsia="Times New Roman" w:hAnsi="Calibri" w:cs="Calibri"/>
          <w:color w:val="002060"/>
          <w:kern w:val="0"/>
          <w14:ligatures w14:val="none"/>
        </w:rPr>
        <w:t>A Telebras objetiva garantir a continuidade dos projetos de investimento que vêm sendo conduzidos pela Companhia, ressaltando o papel fundamental da Companhia no desenvolvimento das políticas públicas de telecomunicações em todo o Brasil, especialmente no mercado de atacado e nas áreas carentes de infraestrutura de acesso, bem como na implementação da Rede Privativa de Comunicações da Administração Pública Federal.</w:t>
      </w:r>
    </w:p>
    <w:p w14:paraId="3A29EB20" w14:textId="107B974C" w:rsidR="00FD0218" w:rsidRPr="00FD0218" w:rsidRDefault="00FD0218" w:rsidP="00FD0218">
      <w:pPr>
        <w:spacing w:after="0"/>
        <w:jc w:val="both"/>
        <w:rPr>
          <w:rFonts w:ascii="Calibri" w:eastAsia="Times New Roman" w:hAnsi="Calibri" w:cs="Calibri"/>
          <w:b/>
          <w:bCs/>
          <w:color w:val="002060"/>
          <w:kern w:val="0"/>
          <w14:ligatures w14:val="none"/>
        </w:rPr>
      </w:pPr>
      <w:r>
        <w:rPr>
          <w:rFonts w:ascii="Calibri" w:eastAsia="Times New Roman" w:hAnsi="Calibri" w:cs="Calibri"/>
          <w:b/>
          <w:bCs/>
          <w:color w:val="002060"/>
          <w:kern w:val="0"/>
          <w14:ligatures w14:val="none"/>
        </w:rPr>
        <w:t xml:space="preserve">1.5.1. </w:t>
      </w:r>
      <w:r w:rsidRPr="00FD0218">
        <w:rPr>
          <w:rFonts w:ascii="Calibri" w:eastAsia="Times New Roman" w:hAnsi="Calibri" w:cs="Calibri"/>
          <w:b/>
          <w:bCs/>
          <w:color w:val="002060"/>
          <w:kern w:val="0"/>
          <w14:ligatures w14:val="none"/>
        </w:rPr>
        <w:t>Composição da Rede Privativa</w:t>
      </w:r>
    </w:p>
    <w:p w14:paraId="01F254F5" w14:textId="77777777" w:rsidR="00FD0218" w:rsidRPr="00FD0218" w:rsidRDefault="00FD0218" w:rsidP="00FD0218">
      <w:pPr>
        <w:spacing w:after="0"/>
        <w:jc w:val="both"/>
        <w:rPr>
          <w:rFonts w:ascii="Calibri" w:eastAsia="Times New Roman" w:hAnsi="Calibri" w:cs="Calibri"/>
          <w:color w:val="002060"/>
          <w:kern w:val="0"/>
          <w14:ligatures w14:val="none"/>
        </w:rPr>
      </w:pPr>
      <w:r w:rsidRPr="00FD0218">
        <w:rPr>
          <w:rFonts w:ascii="Calibri" w:eastAsia="Times New Roman" w:hAnsi="Calibri" w:cs="Calibri"/>
          <w:color w:val="002060"/>
          <w:kern w:val="0"/>
          <w14:ligatures w14:val="none"/>
        </w:rPr>
        <w:t xml:space="preserve">A Rede Privativa de Comunicação da Administração Pública Federal, conforme o art. 2ª, Inciso VIII e § 10 da Portaria nº 1.924/2021 do </w:t>
      </w:r>
      <w:proofErr w:type="spellStart"/>
      <w:r w:rsidRPr="00FD0218">
        <w:rPr>
          <w:rFonts w:ascii="Calibri" w:eastAsia="Times New Roman" w:hAnsi="Calibri" w:cs="Calibri"/>
          <w:color w:val="002060"/>
          <w:kern w:val="0"/>
          <w14:ligatures w14:val="none"/>
        </w:rPr>
        <w:t>MCom</w:t>
      </w:r>
      <w:proofErr w:type="spellEnd"/>
      <w:r w:rsidRPr="00FD0218">
        <w:rPr>
          <w:rFonts w:ascii="Calibri" w:eastAsia="Times New Roman" w:hAnsi="Calibri" w:cs="Calibri"/>
          <w:color w:val="002060"/>
          <w:kern w:val="0"/>
          <w14:ligatures w14:val="none"/>
        </w:rPr>
        <w:t xml:space="preserve"> e o edital do 5G, é composta por:</w:t>
      </w:r>
    </w:p>
    <w:p w14:paraId="6D5BB340" w14:textId="77777777" w:rsidR="00FD0218" w:rsidRPr="00FD0218" w:rsidRDefault="00FD0218" w:rsidP="00FD0218">
      <w:pPr>
        <w:spacing w:after="0"/>
        <w:jc w:val="both"/>
        <w:rPr>
          <w:rFonts w:ascii="Calibri" w:eastAsia="Times New Roman" w:hAnsi="Calibri" w:cs="Calibri"/>
          <w:color w:val="002060"/>
          <w:kern w:val="0"/>
          <w14:ligatures w14:val="none"/>
        </w:rPr>
      </w:pPr>
      <w:r w:rsidRPr="00FD0218">
        <w:rPr>
          <w:rFonts w:ascii="Calibri" w:eastAsia="Times New Roman" w:hAnsi="Calibri" w:cs="Calibri"/>
          <w:b/>
          <w:bCs/>
          <w:color w:val="002060"/>
          <w:kern w:val="0"/>
          <w14:ligatures w14:val="none"/>
        </w:rPr>
        <w:t>Rede móvel</w:t>
      </w:r>
      <w:r w:rsidRPr="00FD0218">
        <w:rPr>
          <w:rFonts w:ascii="Calibri" w:eastAsia="Times New Roman" w:hAnsi="Calibri" w:cs="Calibri"/>
          <w:color w:val="002060"/>
          <w:kern w:val="0"/>
          <w14:ligatures w14:val="none"/>
        </w:rPr>
        <w:t> - consiste na construção de uma rede de comunicações críticas, com padrão tecnológico igual ou superior ao 4G LTE Release 10 do 3GPP (organização que visa a colaboração entre os vários órgãos de padronização de telecomunicações), utilizando a faixa de radiofrequências que será consignada pela Anatel, para atendimento a atividades de Segurança Pública, Defesa, serviços de socorro e emergência, resposta a desastres e outras atribuições críticas de Estado, incluindo as realizadas pelos entes federados, bem como disponibilizar 150 mil terminais de usuários para os órgãos públicos federais.</w:t>
      </w:r>
    </w:p>
    <w:p w14:paraId="69F1F92A" w14:textId="77777777" w:rsidR="00FD0218" w:rsidRPr="00FD0218" w:rsidRDefault="00FD0218" w:rsidP="00FD0218">
      <w:pPr>
        <w:spacing w:after="0"/>
        <w:jc w:val="both"/>
        <w:rPr>
          <w:rFonts w:ascii="Calibri" w:eastAsia="Times New Roman" w:hAnsi="Calibri" w:cs="Calibri"/>
          <w:color w:val="002060"/>
          <w:kern w:val="0"/>
          <w14:ligatures w14:val="none"/>
        </w:rPr>
      </w:pPr>
      <w:r w:rsidRPr="00FD0218">
        <w:rPr>
          <w:rFonts w:ascii="Calibri" w:eastAsia="Times New Roman" w:hAnsi="Calibri" w:cs="Calibri"/>
          <w:color w:val="002060"/>
          <w:kern w:val="0"/>
          <w14:ligatures w14:val="none"/>
        </w:rPr>
        <w:t xml:space="preserve">Dentre os requisitos estabelecidos, essa rede deve ter cobertura na área urbana do Distrito Federal, nas principais rodovias e aeroporto e permitir a integração com os sistemas legados de Segurança Pública, Forças Armadas e de infraestrutura, quando houver viabilidade técnica e econômica, conforme critérios a serem definidos pelo </w:t>
      </w:r>
      <w:proofErr w:type="spellStart"/>
      <w:r w:rsidRPr="00FD0218">
        <w:rPr>
          <w:rFonts w:ascii="Calibri" w:eastAsia="Times New Roman" w:hAnsi="Calibri" w:cs="Calibri"/>
          <w:color w:val="002060"/>
          <w:kern w:val="0"/>
          <w14:ligatures w14:val="none"/>
        </w:rPr>
        <w:t>Gaispi</w:t>
      </w:r>
      <w:proofErr w:type="spellEnd"/>
      <w:r w:rsidRPr="00FD0218">
        <w:rPr>
          <w:rFonts w:ascii="Calibri" w:eastAsia="Times New Roman" w:hAnsi="Calibri" w:cs="Calibri"/>
          <w:color w:val="002060"/>
          <w:kern w:val="0"/>
          <w14:ligatures w14:val="none"/>
        </w:rPr>
        <w:t xml:space="preserve"> (grupo que faz a coordenação das atividades de limpeza da faixa de 3,5 GHz, entre outras obrigações do edital de 5G). </w:t>
      </w:r>
    </w:p>
    <w:p w14:paraId="65EF64C0" w14:textId="77777777" w:rsidR="00FD0218" w:rsidRPr="00FD0218" w:rsidRDefault="00FD0218" w:rsidP="00FD0218">
      <w:pPr>
        <w:spacing w:after="0"/>
        <w:jc w:val="both"/>
        <w:rPr>
          <w:rFonts w:ascii="Calibri" w:eastAsia="Times New Roman" w:hAnsi="Calibri" w:cs="Calibri"/>
          <w:color w:val="002060"/>
          <w:kern w:val="0"/>
          <w14:ligatures w14:val="none"/>
        </w:rPr>
      </w:pPr>
      <w:r w:rsidRPr="00FD0218">
        <w:rPr>
          <w:rFonts w:ascii="Calibri" w:eastAsia="Times New Roman" w:hAnsi="Calibri" w:cs="Calibri"/>
          <w:b/>
          <w:bCs/>
          <w:color w:val="002060"/>
          <w:kern w:val="0"/>
          <w14:ligatures w14:val="none"/>
        </w:rPr>
        <w:t>Rede fixa</w:t>
      </w:r>
      <w:r w:rsidRPr="00FD0218">
        <w:rPr>
          <w:rFonts w:ascii="Calibri" w:eastAsia="Times New Roman" w:hAnsi="Calibri" w:cs="Calibri"/>
          <w:color w:val="002060"/>
          <w:kern w:val="0"/>
          <w14:ligatures w14:val="none"/>
        </w:rPr>
        <w:t xml:space="preserve"> - consiste na implantação de redes terrestres ópticas, complementares à rede de governo já existente (ou seja, à rede terrestre já existente da Telebras), e deve observar, dentre os requisitos estabelecidos, ser composta por </w:t>
      </w:r>
      <w:proofErr w:type="spellStart"/>
      <w:r w:rsidRPr="00FD0218">
        <w:rPr>
          <w:rFonts w:ascii="Calibri" w:eastAsia="Times New Roman" w:hAnsi="Calibri" w:cs="Calibri"/>
          <w:color w:val="002060"/>
          <w:kern w:val="0"/>
          <w14:ligatures w14:val="none"/>
        </w:rPr>
        <w:t>backhauls</w:t>
      </w:r>
      <w:proofErr w:type="spellEnd"/>
      <w:r w:rsidRPr="00FD0218">
        <w:rPr>
          <w:rFonts w:ascii="Calibri" w:eastAsia="Times New Roman" w:hAnsi="Calibri" w:cs="Calibri"/>
          <w:color w:val="002060"/>
          <w:kern w:val="0"/>
          <w14:ligatures w14:val="none"/>
        </w:rPr>
        <w:t>, redes metropolitanas, redes de acesso, pontos de presença de rede e atender pelo menos 6.500 pontos de governo, dos quais ao menos 80% por meio de redes de acesso óptica a serem implantadas. </w:t>
      </w:r>
    </w:p>
    <w:p w14:paraId="3BA03C68" w14:textId="77777777" w:rsidR="00FD0218" w:rsidRDefault="00FD0218" w:rsidP="00FD0218">
      <w:pPr>
        <w:spacing w:after="0"/>
        <w:jc w:val="both"/>
        <w:rPr>
          <w:rFonts w:ascii="Calibri" w:eastAsia="Times New Roman" w:hAnsi="Calibri" w:cs="Calibri"/>
          <w:color w:val="002060"/>
          <w:kern w:val="0"/>
          <w14:ligatures w14:val="none"/>
        </w:rPr>
      </w:pPr>
      <w:r w:rsidRPr="00FD0218">
        <w:rPr>
          <w:rFonts w:ascii="Calibri" w:eastAsia="Times New Roman" w:hAnsi="Calibri" w:cs="Calibri"/>
          <w:b/>
          <w:bCs/>
          <w:color w:val="002060"/>
          <w:kern w:val="0"/>
          <w14:ligatures w14:val="none"/>
        </w:rPr>
        <w:t>Funcionalidade de Criptografia</w:t>
      </w:r>
      <w:r w:rsidRPr="00FD0218">
        <w:rPr>
          <w:rFonts w:ascii="Calibri" w:eastAsia="Times New Roman" w:hAnsi="Calibri" w:cs="Calibri"/>
          <w:color w:val="002060"/>
          <w:kern w:val="0"/>
          <w14:ligatures w14:val="none"/>
        </w:rPr>
        <w:t> – a Rede Privativa de Comunicação da Administração Pública Federal deve ser dimensionada para o atendimento a 80 mil dispositivos de criptografia de dados para usuários da Rede Fixa e para sites da Rede Móvel com plataforma de controle e gerência de criptografia, e permitir a realização de auditoria de segurança de seus elementos de hardware, software e firmware integralmente no Brasil, em laboratórios especializados credenciados. </w:t>
      </w:r>
    </w:p>
    <w:p w14:paraId="0658236F" w14:textId="5372A143" w:rsidR="00FD0218" w:rsidRPr="00FD0218" w:rsidRDefault="00FD0218" w:rsidP="00FD0218">
      <w:pPr>
        <w:spacing w:after="0"/>
        <w:jc w:val="both"/>
        <w:rPr>
          <w:rFonts w:ascii="Calibri" w:eastAsia="Times New Roman" w:hAnsi="Calibri" w:cs="Calibri"/>
          <w:b/>
          <w:bCs/>
          <w:color w:val="002060"/>
          <w:kern w:val="0"/>
          <w14:ligatures w14:val="none"/>
        </w:rPr>
      </w:pPr>
      <w:r>
        <w:rPr>
          <w:rFonts w:ascii="Calibri" w:eastAsia="Times New Roman" w:hAnsi="Calibri" w:cs="Calibri"/>
          <w:b/>
          <w:bCs/>
          <w:color w:val="002060"/>
          <w:kern w:val="0"/>
          <w14:ligatures w14:val="none"/>
        </w:rPr>
        <w:t xml:space="preserve">1.6. </w:t>
      </w:r>
      <w:r w:rsidRPr="00FD0218">
        <w:rPr>
          <w:rFonts w:ascii="Calibri" w:eastAsia="Times New Roman" w:hAnsi="Calibri" w:cs="Calibri"/>
          <w:b/>
          <w:bCs/>
          <w:color w:val="002060"/>
          <w:kern w:val="0"/>
          <w14:ligatures w14:val="none"/>
        </w:rPr>
        <w:t>Revogação da Qualificação da Telebras junto ao Programa de Parcerias de Investimento - PPI</w:t>
      </w:r>
    </w:p>
    <w:p w14:paraId="7BCC0B80" w14:textId="77777777" w:rsidR="00FD0218" w:rsidRDefault="00FD0218" w:rsidP="00FD0218">
      <w:pPr>
        <w:spacing w:after="0"/>
        <w:jc w:val="both"/>
        <w:rPr>
          <w:rFonts w:ascii="Calibri" w:eastAsia="Times New Roman" w:hAnsi="Calibri" w:cs="Calibri"/>
          <w:color w:val="002060"/>
          <w:kern w:val="0"/>
          <w14:ligatures w14:val="none"/>
        </w:rPr>
      </w:pPr>
      <w:r w:rsidRPr="00FD0218">
        <w:rPr>
          <w:rFonts w:ascii="Calibri" w:eastAsia="Times New Roman" w:hAnsi="Calibri" w:cs="Calibri"/>
          <w:color w:val="002060"/>
          <w:kern w:val="0"/>
          <w14:ligatures w14:val="none"/>
        </w:rPr>
        <w:t>Em 06 de abril de 2023, foi publicado no Diário Oficial da União o Decreto nº 11.478 de 06 de abril de 2023, que revoga a qualificação da Telecomunicações Brasileiras S/A., junto ao Programa de Parcerias de Investimentos – PPI.</w:t>
      </w:r>
    </w:p>
    <w:p w14:paraId="49E62A8E" w14:textId="0819F5B2" w:rsidR="00FD0218" w:rsidRPr="00FD0218" w:rsidRDefault="00FD0218" w:rsidP="00FD0218">
      <w:pPr>
        <w:spacing w:after="0"/>
        <w:jc w:val="both"/>
        <w:rPr>
          <w:rFonts w:ascii="Calibri" w:eastAsia="Times New Roman" w:hAnsi="Calibri" w:cs="Calibri"/>
          <w:b/>
          <w:bCs/>
          <w:color w:val="002060"/>
          <w:kern w:val="0"/>
          <w14:ligatures w14:val="none"/>
        </w:rPr>
      </w:pPr>
      <w:r>
        <w:rPr>
          <w:rFonts w:ascii="Calibri" w:eastAsia="Times New Roman" w:hAnsi="Calibri" w:cs="Calibri"/>
          <w:b/>
          <w:bCs/>
          <w:color w:val="002060"/>
          <w:kern w:val="0"/>
          <w14:ligatures w14:val="none"/>
        </w:rPr>
        <w:t xml:space="preserve">1.7. </w:t>
      </w:r>
      <w:r w:rsidRPr="00FD0218">
        <w:rPr>
          <w:rFonts w:ascii="Calibri" w:eastAsia="Times New Roman" w:hAnsi="Calibri" w:cs="Calibri"/>
          <w:b/>
          <w:bCs/>
          <w:color w:val="002060"/>
          <w:kern w:val="0"/>
          <w14:ligatures w14:val="none"/>
        </w:rPr>
        <w:t>Assinatura de Contrato de Subvenção Econômica entre a Visiona e a Financiadora de Estudos e Projetos (FINEP)</w:t>
      </w:r>
    </w:p>
    <w:p w14:paraId="5197CD75" w14:textId="77777777" w:rsidR="00FD0218" w:rsidRPr="00FD0218" w:rsidRDefault="00FD0218" w:rsidP="00FD0218">
      <w:pPr>
        <w:spacing w:after="0"/>
        <w:jc w:val="both"/>
        <w:rPr>
          <w:rFonts w:ascii="Calibri" w:eastAsia="Times New Roman" w:hAnsi="Calibri" w:cs="Calibri"/>
          <w:color w:val="002060"/>
          <w:kern w:val="0"/>
          <w14:ligatures w14:val="none"/>
        </w:rPr>
      </w:pPr>
      <w:r w:rsidRPr="00FD0218">
        <w:rPr>
          <w:rFonts w:ascii="Calibri" w:eastAsia="Times New Roman" w:hAnsi="Calibri" w:cs="Calibri"/>
          <w:color w:val="002060"/>
          <w:kern w:val="0"/>
          <w14:ligatures w14:val="none"/>
        </w:rPr>
        <w:t>A Visiona Tecnologia Espacial S.A (Visiona) e Financiadora de Estudos e Projetos (Finep) assinaram em 5 de maio, um contrato para subvenção econômica, visando o desenvolvimento de satélite de pequeno porte de observação terrestre em alta resolução. O referido contrato prevê o repasse de R$ 219 milhões.</w:t>
      </w:r>
    </w:p>
    <w:p w14:paraId="18914054" w14:textId="77777777" w:rsidR="00FD0218" w:rsidRDefault="00FD0218" w:rsidP="00FD0218">
      <w:pPr>
        <w:spacing w:after="0"/>
        <w:jc w:val="both"/>
        <w:rPr>
          <w:rFonts w:ascii="Calibri" w:eastAsia="Times New Roman" w:hAnsi="Calibri" w:cs="Calibri"/>
          <w:color w:val="002060"/>
          <w:kern w:val="0"/>
          <w14:ligatures w14:val="none"/>
        </w:rPr>
      </w:pPr>
      <w:r w:rsidRPr="00FD0218">
        <w:rPr>
          <w:rFonts w:ascii="Calibri" w:eastAsia="Times New Roman" w:hAnsi="Calibri" w:cs="Calibri"/>
          <w:color w:val="002060"/>
          <w:kern w:val="0"/>
          <w14:ligatures w14:val="none"/>
        </w:rPr>
        <w:t>A Visiona, uma joint-venture entre Embraer Defesa &amp; Segurança e a Telebras, é uma empresa voltada para a integração de sistemas espaciais. A Visiona tem um papel de liderança no setor, coordenando as ações empresariais da indústria de forma a prover soluções para as necessidades civis e militares brasileiras de satélites. A Telebras é detentora de 49% do capital social da Visiona.</w:t>
      </w:r>
    </w:p>
    <w:p w14:paraId="726F69F2" w14:textId="46C76EE2" w:rsidR="00FD0218" w:rsidRPr="00FD0218" w:rsidRDefault="00FD0218" w:rsidP="00FD0218">
      <w:pPr>
        <w:spacing w:after="0"/>
        <w:jc w:val="both"/>
        <w:rPr>
          <w:rFonts w:ascii="Calibri" w:eastAsia="Times New Roman" w:hAnsi="Calibri" w:cs="Calibri"/>
          <w:color w:val="002060"/>
          <w:kern w:val="0"/>
          <w14:ligatures w14:val="none"/>
        </w:rPr>
      </w:pPr>
      <w:r>
        <w:rPr>
          <w:rFonts w:ascii="Calibri" w:eastAsia="Times New Roman" w:hAnsi="Calibri" w:cs="Calibri"/>
          <w:b/>
          <w:bCs/>
          <w:color w:val="002060"/>
          <w:kern w:val="0"/>
          <w14:ligatures w14:val="none"/>
        </w:rPr>
        <w:t xml:space="preserve">1.8. </w:t>
      </w:r>
      <w:r w:rsidRPr="00FD0218">
        <w:rPr>
          <w:rFonts w:ascii="Calibri" w:eastAsia="Times New Roman" w:hAnsi="Calibri" w:cs="Calibri"/>
          <w:b/>
          <w:bCs/>
          <w:color w:val="002060"/>
          <w:kern w:val="0"/>
          <w14:ligatures w14:val="none"/>
        </w:rPr>
        <w:t>Certificação da Telebras como Empresa de Defesa (ED)</w:t>
      </w:r>
    </w:p>
    <w:p w14:paraId="37406825" w14:textId="77777777" w:rsidR="00FD0218" w:rsidRPr="00FD0218" w:rsidRDefault="00FD0218" w:rsidP="00FD0218">
      <w:pPr>
        <w:spacing w:after="0"/>
        <w:jc w:val="both"/>
        <w:rPr>
          <w:rFonts w:ascii="Calibri" w:eastAsia="Times New Roman" w:hAnsi="Calibri" w:cs="Calibri"/>
          <w:color w:val="002060"/>
          <w:kern w:val="0"/>
          <w14:ligatures w14:val="none"/>
        </w:rPr>
      </w:pPr>
    </w:p>
    <w:p w14:paraId="3CE81767" w14:textId="77777777" w:rsidR="00FD0218" w:rsidRPr="00FD0218" w:rsidRDefault="00FD0218" w:rsidP="00FD0218">
      <w:pPr>
        <w:spacing w:after="0"/>
        <w:jc w:val="both"/>
        <w:rPr>
          <w:rFonts w:ascii="Calibri" w:eastAsia="Times New Roman" w:hAnsi="Calibri" w:cs="Calibri"/>
          <w:color w:val="002060"/>
          <w:kern w:val="0"/>
          <w14:ligatures w14:val="none"/>
        </w:rPr>
      </w:pPr>
      <w:r w:rsidRPr="00FD0218">
        <w:rPr>
          <w:rFonts w:ascii="Calibri" w:eastAsia="Times New Roman" w:hAnsi="Calibri" w:cs="Calibri"/>
          <w:color w:val="002060"/>
          <w:kern w:val="0"/>
          <w14:ligatures w14:val="none"/>
        </w:rPr>
        <w:lastRenderedPageBreak/>
        <w:t>A Telebras recebeu o selo de Empresa de Defesa (ED) e passou a ser a primeira operadora de telecomunicações no Brasil com essa certificação, concedida pelo Ministério da Defesa.</w:t>
      </w:r>
    </w:p>
    <w:p w14:paraId="79F57A54" w14:textId="4BCB4076" w:rsidR="00FD0218" w:rsidRDefault="00FD0218" w:rsidP="00FD0218">
      <w:pPr>
        <w:spacing w:after="0"/>
        <w:jc w:val="both"/>
        <w:rPr>
          <w:rFonts w:ascii="Calibri" w:eastAsia="Times New Roman" w:hAnsi="Calibri" w:cs="Calibri"/>
          <w:color w:val="002060"/>
          <w:kern w:val="0"/>
          <w14:ligatures w14:val="none"/>
        </w:rPr>
      </w:pPr>
      <w:r w:rsidRPr="00FD0218">
        <w:rPr>
          <w:rFonts w:ascii="Calibri" w:eastAsia="Times New Roman" w:hAnsi="Calibri" w:cs="Calibri"/>
          <w:color w:val="002060"/>
          <w:kern w:val="0"/>
          <w14:ligatures w14:val="none"/>
        </w:rPr>
        <w:t>A Portaria (GM-MD nº 4.785/2023) que oficializa a certificação de ED foi publicada no Diário Oficial da União (DOU) no dia 4 de outubro de 2023, e inclui como Produtos Estratégicos de Defesa (PED) o Serviço de Comunicação de Dados Via Satélite (T3SAT), o Serviço de Comunicação Segura de Estado (SCSE), o Serviço de Infraestrutura Satelital Banda X (SISBX) e o Serviço de Comunicação de Voz e Dados por Satélite, ON-THE-MOVE -</w:t>
      </w:r>
      <w:r>
        <w:rPr>
          <w:rFonts w:ascii="Calibri" w:eastAsia="Times New Roman" w:hAnsi="Calibri" w:cs="Calibri"/>
          <w:color w:val="002060"/>
          <w:kern w:val="0"/>
          <w14:ligatures w14:val="none"/>
        </w:rPr>
        <w:t xml:space="preserve"> </w:t>
      </w:r>
      <w:r w:rsidRPr="00FD0218">
        <w:rPr>
          <w:rFonts w:ascii="Calibri" w:eastAsia="Times New Roman" w:hAnsi="Calibri" w:cs="Calibri"/>
          <w:color w:val="002060"/>
          <w:kern w:val="0"/>
          <w14:ligatures w14:val="none"/>
        </w:rPr>
        <w:t xml:space="preserve">E-LYNSAT, que serão utilizados pelas Forças </w:t>
      </w:r>
      <w:r w:rsidRPr="00FD0218">
        <w:rPr>
          <w:rFonts w:ascii="Calibri" w:eastAsia="Times New Roman" w:hAnsi="Calibri" w:cs="Calibri"/>
          <w:color w:val="002060"/>
          <w:kern w:val="0"/>
          <w14:ligatures w14:val="none"/>
        </w:rPr>
        <w:br/>
        <w:t>Armadas brasileiras nas suas atividades finalísticas de defesa.</w:t>
      </w:r>
    </w:p>
    <w:p w14:paraId="68CDAC6F" w14:textId="7E22E1BF" w:rsidR="00FD0218" w:rsidRPr="00FD0218" w:rsidRDefault="00FD0218" w:rsidP="00FD0218">
      <w:pPr>
        <w:spacing w:after="0"/>
        <w:jc w:val="both"/>
        <w:rPr>
          <w:rFonts w:ascii="Calibri" w:eastAsia="Times New Roman" w:hAnsi="Calibri" w:cs="Calibri"/>
          <w:b/>
          <w:bCs/>
          <w:color w:val="002060"/>
          <w:kern w:val="0"/>
          <w14:ligatures w14:val="none"/>
        </w:rPr>
      </w:pPr>
      <w:r>
        <w:rPr>
          <w:rFonts w:ascii="Calibri" w:eastAsia="Times New Roman" w:hAnsi="Calibri" w:cs="Calibri"/>
          <w:b/>
          <w:bCs/>
          <w:color w:val="002060"/>
          <w:kern w:val="0"/>
          <w14:ligatures w14:val="none"/>
        </w:rPr>
        <w:t xml:space="preserve">1.9. </w:t>
      </w:r>
      <w:r w:rsidRPr="00FD0218">
        <w:rPr>
          <w:rFonts w:ascii="Calibri" w:eastAsia="Times New Roman" w:hAnsi="Calibri" w:cs="Calibri"/>
          <w:b/>
          <w:bCs/>
          <w:color w:val="002060"/>
          <w:kern w:val="0"/>
          <w14:ligatures w14:val="none"/>
        </w:rPr>
        <w:t>Reforma Tributária no Brasil</w:t>
      </w:r>
    </w:p>
    <w:p w14:paraId="50ADEF9C" w14:textId="77777777" w:rsidR="00FD0218" w:rsidRPr="00FD0218" w:rsidRDefault="00FD0218" w:rsidP="00FD0218">
      <w:pPr>
        <w:spacing w:after="0"/>
        <w:jc w:val="both"/>
        <w:rPr>
          <w:rFonts w:ascii="Calibri" w:eastAsia="Times New Roman" w:hAnsi="Calibri" w:cs="Calibri"/>
          <w:color w:val="002060"/>
          <w:kern w:val="0"/>
          <w14:ligatures w14:val="none"/>
        </w:rPr>
      </w:pPr>
      <w:r w:rsidRPr="00FD0218">
        <w:rPr>
          <w:rFonts w:ascii="Calibri" w:eastAsia="Times New Roman" w:hAnsi="Calibri" w:cs="Calibri"/>
          <w:color w:val="002060"/>
          <w:kern w:val="0"/>
          <w14:ligatures w14:val="none"/>
        </w:rPr>
        <w:t>A Reforma Tributária Brasileira foi recentemente aprovada e promulgada, em dezembro de 2023, no Congresso Nacional com um objetivo de simplificar os tributos sobre o consumo, acabar com a cumulatividade e unificar a legislação dos novos tributos, sendo um dos pilares da reforma a simplificação e harmonização dos tributos existentes.</w:t>
      </w:r>
    </w:p>
    <w:p w14:paraId="3BCE1D3F" w14:textId="77777777" w:rsidR="00FD0218" w:rsidRPr="00FD0218" w:rsidRDefault="00FD0218" w:rsidP="00FD0218">
      <w:pPr>
        <w:spacing w:after="0"/>
        <w:jc w:val="both"/>
        <w:rPr>
          <w:rFonts w:ascii="Calibri" w:eastAsia="Times New Roman" w:hAnsi="Calibri" w:cs="Calibri"/>
          <w:color w:val="002060"/>
          <w:kern w:val="0"/>
          <w14:ligatures w14:val="none"/>
        </w:rPr>
      </w:pPr>
      <w:r w:rsidRPr="00FD0218">
        <w:rPr>
          <w:rFonts w:ascii="Calibri" w:eastAsia="Times New Roman" w:hAnsi="Calibri" w:cs="Calibri"/>
          <w:color w:val="002060"/>
          <w:kern w:val="0"/>
          <w14:ligatures w14:val="none"/>
        </w:rPr>
        <w:t xml:space="preserve">A unificação de impostos federais, estaduais e municipais busca reduzir a burocracia, eliminar redundâncias e facilitar o cumprimento das obrigações fiscais. A mudança substitui 5 (cinco) tributos vigentes por um Imposto sobre Valor Agregado (IVA dual) composto por: i) Imposto sobre Bens e Serviços, o IBS, de gestão compartilhada entre estados e municípios; </w:t>
      </w:r>
      <w:proofErr w:type="spellStart"/>
      <w:r w:rsidRPr="00FD0218">
        <w:rPr>
          <w:rFonts w:ascii="Calibri" w:eastAsia="Times New Roman" w:hAnsi="Calibri" w:cs="Calibri"/>
          <w:color w:val="002060"/>
          <w:kern w:val="0"/>
          <w14:ligatures w14:val="none"/>
        </w:rPr>
        <w:t>ii</w:t>
      </w:r>
      <w:proofErr w:type="spellEnd"/>
      <w:r w:rsidRPr="00FD0218">
        <w:rPr>
          <w:rFonts w:ascii="Calibri" w:eastAsia="Times New Roman" w:hAnsi="Calibri" w:cs="Calibri"/>
          <w:color w:val="002060"/>
          <w:kern w:val="0"/>
          <w14:ligatures w14:val="none"/>
        </w:rPr>
        <w:t>) Contribuição sobre Bens e Serviços, a CBS é de competência da União. Além disso, cria-se o Imposto Seletivo, IS, que não tem função arrecadatória, pretende desestimular o consumo de produtos e serviços que façam mal à saúde e ao meio ambiente.</w:t>
      </w:r>
    </w:p>
    <w:p w14:paraId="6D44D11A" w14:textId="77777777" w:rsidR="00FD0218" w:rsidRDefault="00FD0218" w:rsidP="00FD0218">
      <w:pPr>
        <w:spacing w:after="0"/>
        <w:jc w:val="both"/>
        <w:rPr>
          <w:rFonts w:ascii="Calibri" w:eastAsia="Times New Roman" w:hAnsi="Calibri" w:cs="Calibri"/>
          <w:color w:val="002060"/>
          <w:kern w:val="0"/>
          <w14:ligatures w14:val="none"/>
        </w:rPr>
      </w:pPr>
      <w:r w:rsidRPr="00FD0218">
        <w:rPr>
          <w:rFonts w:ascii="Calibri" w:eastAsia="Times New Roman" w:hAnsi="Calibri" w:cs="Calibri"/>
          <w:color w:val="002060"/>
          <w:kern w:val="0"/>
          <w14:ligatures w14:val="none"/>
        </w:rPr>
        <w:t>Embora as alíquotas ainda não estejam completamente definidas, isso será feito por Lei Complementar. No entanto, de acordo com um estudo do Ministério da Fazenda, a alíquota padrão está estimada em 27%. O IBS e CBS devem ser regulamentados por Lei Complementar ainda em discussão no Congresso Nacional. Sendo assim, para o ano de 2024, a Companhia não terá alterações efetivas na forma de apuração e cálculo dos tributos e ainda não é possível estimar os possíveis impactos nos resultados futuros da Companhia com a Reforma Tributária.</w:t>
      </w:r>
    </w:p>
    <w:p w14:paraId="6F874DF6" w14:textId="085D14ED" w:rsidR="00FD0218" w:rsidRPr="00FD0218" w:rsidRDefault="00FD0218" w:rsidP="00FD0218">
      <w:pPr>
        <w:spacing w:after="0"/>
        <w:jc w:val="both"/>
        <w:rPr>
          <w:rFonts w:ascii="Calibri" w:eastAsia="Times New Roman" w:hAnsi="Calibri" w:cs="Calibri"/>
          <w:b/>
          <w:iCs/>
          <w:color w:val="002060"/>
          <w:kern w:val="0"/>
          <w14:ligatures w14:val="none"/>
        </w:rPr>
      </w:pPr>
      <w:r>
        <w:rPr>
          <w:rFonts w:ascii="Calibri" w:eastAsia="Times New Roman" w:hAnsi="Calibri" w:cs="Calibri"/>
          <w:b/>
          <w:iCs/>
          <w:color w:val="002060"/>
          <w:kern w:val="0"/>
          <w14:ligatures w14:val="none"/>
        </w:rPr>
        <w:t xml:space="preserve">2. </w:t>
      </w:r>
      <w:r w:rsidRPr="00FD0218">
        <w:rPr>
          <w:rFonts w:ascii="Calibri" w:eastAsia="Times New Roman" w:hAnsi="Calibri" w:cs="Calibri"/>
          <w:b/>
          <w:iCs/>
          <w:color w:val="002060"/>
          <w:kern w:val="0"/>
          <w14:ligatures w14:val="none"/>
        </w:rPr>
        <w:t>BASE DE PREPARAÇÃO DAS DEMONSTRAÇÕES CONTÁBEIS E RESUMO DAS PRINCIPAIS POLÍTICAS CONTÁBEIS</w:t>
      </w:r>
    </w:p>
    <w:p w14:paraId="4A959733" w14:textId="77777777" w:rsidR="00FD0218" w:rsidRPr="00FD0218" w:rsidRDefault="00FD0218" w:rsidP="00FD0218">
      <w:pPr>
        <w:spacing w:after="0"/>
        <w:jc w:val="both"/>
        <w:rPr>
          <w:rFonts w:ascii="Calibri" w:eastAsia="Times New Roman" w:hAnsi="Calibri" w:cs="Calibri"/>
          <w:color w:val="002060"/>
          <w:kern w:val="0"/>
          <w14:ligatures w14:val="none"/>
        </w:rPr>
      </w:pPr>
      <w:r w:rsidRPr="00FD0218">
        <w:rPr>
          <w:rFonts w:ascii="Calibri" w:eastAsia="Times New Roman" w:hAnsi="Calibri" w:cs="Calibri"/>
          <w:color w:val="002060"/>
          <w:kern w:val="0"/>
          <w14:ligatures w14:val="none"/>
        </w:rPr>
        <w:t>As políticas contábeis descritas em detalhes abaixo têm sido aplicadas de maneira consistente pela Companhia a todos os exercícios apresentados nessas Demonstrações Contábeis Individuais.</w:t>
      </w:r>
    </w:p>
    <w:p w14:paraId="22F8F64D" w14:textId="7D16D8FD" w:rsidR="00FD0218" w:rsidRPr="00FD0218" w:rsidRDefault="00FD0218" w:rsidP="00FD0218">
      <w:pPr>
        <w:spacing w:after="0"/>
        <w:jc w:val="both"/>
        <w:rPr>
          <w:rFonts w:ascii="Calibri" w:eastAsia="Times New Roman" w:hAnsi="Calibri" w:cs="Calibri"/>
          <w:b/>
          <w:bCs/>
          <w:color w:val="002060"/>
          <w:kern w:val="0"/>
          <w14:ligatures w14:val="none"/>
        </w:rPr>
      </w:pPr>
      <w:r w:rsidRPr="00FD0218">
        <w:rPr>
          <w:rFonts w:ascii="Calibri" w:eastAsia="Times New Roman" w:hAnsi="Calibri" w:cs="Calibri"/>
          <w:b/>
          <w:bCs/>
          <w:color w:val="002060"/>
          <w:kern w:val="0"/>
          <w14:ligatures w14:val="none"/>
        </w:rPr>
        <w:t xml:space="preserve">2.1. </w:t>
      </w:r>
      <w:r>
        <w:rPr>
          <w:rFonts w:ascii="Calibri" w:eastAsia="Times New Roman" w:hAnsi="Calibri" w:cs="Calibri"/>
          <w:b/>
          <w:iCs/>
          <w:color w:val="002060"/>
          <w:kern w:val="0"/>
          <w14:ligatures w14:val="none"/>
        </w:rPr>
        <w:t>Ba</w:t>
      </w:r>
      <w:r w:rsidRPr="00FD0218">
        <w:rPr>
          <w:rFonts w:ascii="Calibri" w:eastAsia="Times New Roman" w:hAnsi="Calibri" w:cs="Calibri"/>
          <w:b/>
          <w:iCs/>
          <w:color w:val="002060"/>
          <w:kern w:val="0"/>
          <w14:ligatures w14:val="none"/>
        </w:rPr>
        <w:t>se de preparação</w:t>
      </w:r>
    </w:p>
    <w:p w14:paraId="59EEB27D" w14:textId="77777777" w:rsidR="00FD0218" w:rsidRPr="00FD0218" w:rsidRDefault="00FD0218" w:rsidP="00FD0218">
      <w:pPr>
        <w:spacing w:after="0"/>
        <w:jc w:val="both"/>
        <w:rPr>
          <w:rFonts w:ascii="Calibri" w:eastAsia="Times New Roman" w:hAnsi="Calibri" w:cs="Calibri"/>
          <w:color w:val="002060"/>
          <w:kern w:val="0"/>
          <w14:ligatures w14:val="none"/>
        </w:rPr>
      </w:pPr>
      <w:r w:rsidRPr="00FD0218">
        <w:rPr>
          <w:rFonts w:ascii="Calibri" w:eastAsia="Times New Roman" w:hAnsi="Calibri" w:cs="Calibri"/>
          <w:color w:val="002060"/>
          <w:kern w:val="0"/>
          <w14:ligatures w14:val="none"/>
        </w:rPr>
        <w:t xml:space="preserve">As Demonstrações Contábeis foram elaboradas com base no custo histórico, exceto por determinados instrumentos financeiros mensurados pelos seus valores justos, conforme descrito nas políticas contábeis no item (2.2) a seguir. </w:t>
      </w:r>
    </w:p>
    <w:p w14:paraId="4DA03C75" w14:textId="77777777" w:rsidR="00FD0218" w:rsidRPr="00FD0218" w:rsidRDefault="00FD0218" w:rsidP="00FD0218">
      <w:pPr>
        <w:spacing w:after="0"/>
        <w:jc w:val="both"/>
        <w:rPr>
          <w:rFonts w:ascii="Calibri" w:eastAsia="Times New Roman" w:hAnsi="Calibri" w:cs="Calibri"/>
          <w:color w:val="002060"/>
          <w:kern w:val="0"/>
          <w14:ligatures w14:val="none"/>
        </w:rPr>
      </w:pPr>
      <w:r w:rsidRPr="00FD0218">
        <w:rPr>
          <w:rFonts w:ascii="Calibri" w:eastAsia="Times New Roman" w:hAnsi="Calibri" w:cs="Calibri"/>
          <w:color w:val="002060"/>
          <w:kern w:val="0"/>
          <w14:ligatures w14:val="none"/>
        </w:rPr>
        <w:t xml:space="preserve">A preparação das Demonstrações Contábeis requer o uso de certas estimativas contábeis e o exercício de julgamento por parte da Administração da Companhia no processo de aplicação das políticas contábeis. Aquelas áreas que requerem maior nível de julgamento e possuem maior complexidade. As premissas e estimativas mais significativas estão divulgadas no item (2.3). </w:t>
      </w:r>
    </w:p>
    <w:p w14:paraId="7E097243" w14:textId="77777777" w:rsidR="00FD0218" w:rsidRDefault="00FD0218" w:rsidP="00FD0218">
      <w:pPr>
        <w:spacing w:after="0"/>
        <w:jc w:val="both"/>
        <w:rPr>
          <w:rFonts w:ascii="Calibri" w:eastAsia="Times New Roman" w:hAnsi="Calibri" w:cs="Calibri"/>
          <w:color w:val="002060"/>
          <w:kern w:val="0"/>
          <w14:ligatures w14:val="none"/>
        </w:rPr>
      </w:pPr>
      <w:r w:rsidRPr="00FD0218">
        <w:rPr>
          <w:rFonts w:ascii="Calibri" w:eastAsia="Times New Roman" w:hAnsi="Calibri" w:cs="Calibri"/>
          <w:color w:val="002060"/>
          <w:kern w:val="0"/>
          <w14:ligatures w14:val="none"/>
        </w:rPr>
        <w:t xml:space="preserve">Não houve mudanças relevantes nas práticas contábeis adotadas no exercício findo em 31 de dezembro de 2023 em relação às aplicáveis em 31 de dezembro de 2022, com exceção da apresentada no item 2.2.23, que passou a reconhecer os recursos recebidos do Orçamento Fiscal e da Seguridade Social para investimento em bens do Ativo Imobilizado como Adiantamento para Futuro Aumento de Capital (Passivo Exigível) ao invés do reconhecimento como Subvenções para Investimento de acordo com o CPC 07 -  Subvenções e Assistências Governamentais (Resultado do Exercício). </w:t>
      </w:r>
    </w:p>
    <w:p w14:paraId="328C3F84" w14:textId="77777777" w:rsidR="00FD0218" w:rsidRPr="00FD0218" w:rsidRDefault="00FD0218" w:rsidP="00FD0218">
      <w:pPr>
        <w:spacing w:after="0"/>
        <w:jc w:val="both"/>
        <w:rPr>
          <w:rFonts w:ascii="Calibri" w:eastAsia="Times New Roman" w:hAnsi="Calibri" w:cs="Calibri"/>
          <w:b/>
          <w:color w:val="002060"/>
          <w:kern w:val="0"/>
          <w14:ligatures w14:val="none"/>
        </w:rPr>
      </w:pPr>
      <w:r w:rsidRPr="00FD0218">
        <w:rPr>
          <w:rFonts w:ascii="Calibri" w:eastAsia="Times New Roman" w:hAnsi="Calibri" w:cs="Calibri"/>
          <w:b/>
          <w:bCs/>
          <w:iCs/>
          <w:color w:val="002060"/>
          <w:kern w:val="0"/>
          <w14:ligatures w14:val="none"/>
        </w:rPr>
        <w:t>Demonstrações Contábeis Individuais</w:t>
      </w:r>
    </w:p>
    <w:p w14:paraId="0A4CC8C2" w14:textId="77777777" w:rsidR="00FD0218" w:rsidRPr="00FD0218" w:rsidRDefault="00FD0218" w:rsidP="00FD0218">
      <w:pPr>
        <w:spacing w:after="0"/>
        <w:jc w:val="both"/>
        <w:rPr>
          <w:rFonts w:ascii="Calibri" w:eastAsia="Times New Roman" w:hAnsi="Calibri" w:cs="Calibri"/>
          <w:color w:val="002060"/>
          <w:kern w:val="0"/>
          <w14:ligatures w14:val="none"/>
        </w:rPr>
      </w:pPr>
      <w:r w:rsidRPr="00FD0218">
        <w:rPr>
          <w:rFonts w:ascii="Calibri" w:eastAsia="Times New Roman" w:hAnsi="Calibri" w:cs="Calibri"/>
          <w:color w:val="002060"/>
          <w:kern w:val="0"/>
          <w14:ligatures w14:val="none"/>
        </w:rPr>
        <w:t xml:space="preserve">As Demonstrações Contábeis Individuais da controladora foram elaboradas e estão apresentadas de acordo com as práticas contábeis adotadas no Brasil com base nas disposições contidas na Lei das Sociedades por Ações, pronunciamentos, orientações e interpretações emitidos pelo CPC e aprovados pela CVM. </w:t>
      </w:r>
    </w:p>
    <w:p w14:paraId="29596927" w14:textId="79208F2C" w:rsidR="00FD0218" w:rsidRPr="00FD0218" w:rsidRDefault="00FD0218" w:rsidP="00FD0218">
      <w:pPr>
        <w:spacing w:after="0"/>
        <w:jc w:val="both"/>
        <w:rPr>
          <w:rFonts w:ascii="Calibri" w:eastAsia="Times New Roman" w:hAnsi="Calibri" w:cs="Calibri"/>
          <w:color w:val="002060"/>
          <w:kern w:val="0"/>
          <w14:ligatures w14:val="none"/>
        </w:rPr>
      </w:pPr>
      <w:r w:rsidRPr="00FD0218">
        <w:rPr>
          <w:rFonts w:ascii="Calibri" w:eastAsia="Times New Roman" w:hAnsi="Calibri" w:cs="Calibri"/>
          <w:color w:val="002060"/>
          <w:kern w:val="0"/>
          <w14:ligatures w14:val="none"/>
        </w:rPr>
        <w:t>A administração da Companhia confirma que todas as informações relevantes próprias das Demonstrações Contábeis, e somente elas, estão sendo evidenciadas, e correspondem às utilizadas por ela na sua gestão.</w:t>
      </w:r>
    </w:p>
    <w:p w14:paraId="6623C326" w14:textId="77777777" w:rsidR="00FD0218" w:rsidRPr="00FD0218" w:rsidRDefault="00FD0218" w:rsidP="00FD0218">
      <w:pPr>
        <w:spacing w:after="0"/>
        <w:jc w:val="both"/>
        <w:rPr>
          <w:rFonts w:ascii="Calibri" w:eastAsia="Times New Roman" w:hAnsi="Calibri" w:cs="Calibri"/>
          <w:color w:val="002060"/>
          <w:kern w:val="0"/>
          <w14:ligatures w14:val="none"/>
        </w:rPr>
      </w:pPr>
      <w:r w:rsidRPr="00FD0218">
        <w:rPr>
          <w:rFonts w:ascii="Calibri" w:eastAsia="Times New Roman" w:hAnsi="Calibri" w:cs="Calibri"/>
          <w:color w:val="002060"/>
          <w:kern w:val="0"/>
          <w14:ligatures w14:val="none"/>
        </w:rPr>
        <w:lastRenderedPageBreak/>
        <w:t>A autorização para a emissão dessas Demonstrações Contábeis ocorreu na Reunião da Diretoria realizada em 05 de março de 2024.</w:t>
      </w:r>
    </w:p>
    <w:p w14:paraId="758F8359" w14:textId="40D35ED9" w:rsidR="00FD0218" w:rsidRPr="00FD0218" w:rsidRDefault="00FD0218" w:rsidP="00FD0218">
      <w:pPr>
        <w:spacing w:after="0"/>
        <w:jc w:val="both"/>
        <w:rPr>
          <w:rFonts w:ascii="Calibri" w:eastAsia="Times New Roman" w:hAnsi="Calibri" w:cs="Calibri"/>
          <w:b/>
          <w:iCs/>
          <w:color w:val="002060"/>
          <w:kern w:val="0"/>
          <w14:ligatures w14:val="none"/>
        </w:rPr>
      </w:pPr>
      <w:r>
        <w:rPr>
          <w:rFonts w:ascii="Calibri" w:eastAsia="Times New Roman" w:hAnsi="Calibri" w:cs="Calibri"/>
          <w:b/>
          <w:iCs/>
          <w:color w:val="002060"/>
          <w:kern w:val="0"/>
          <w14:ligatures w14:val="none"/>
        </w:rPr>
        <w:t xml:space="preserve">2.2. </w:t>
      </w:r>
      <w:r w:rsidRPr="00FD0218">
        <w:rPr>
          <w:rFonts w:ascii="Calibri" w:eastAsia="Times New Roman" w:hAnsi="Calibri" w:cs="Calibri"/>
          <w:b/>
          <w:iCs/>
          <w:color w:val="002060"/>
          <w:kern w:val="0"/>
          <w14:ligatures w14:val="none"/>
        </w:rPr>
        <w:t>Resumo das principais políticas contábeis</w:t>
      </w:r>
    </w:p>
    <w:p w14:paraId="596B8312" w14:textId="3A03C85F" w:rsidR="00FD0218" w:rsidRPr="00FD0218" w:rsidRDefault="00FD0218" w:rsidP="00FD0218">
      <w:pPr>
        <w:spacing w:after="0"/>
        <w:jc w:val="both"/>
        <w:rPr>
          <w:rFonts w:ascii="Calibri" w:eastAsia="Times New Roman" w:hAnsi="Calibri" w:cs="Calibri"/>
          <w:b/>
          <w:bCs/>
          <w:color w:val="002060"/>
          <w:kern w:val="0"/>
          <w14:ligatures w14:val="none"/>
        </w:rPr>
      </w:pPr>
      <w:r>
        <w:rPr>
          <w:rFonts w:ascii="Calibri" w:eastAsia="Times New Roman" w:hAnsi="Calibri" w:cs="Calibri"/>
          <w:b/>
          <w:iCs/>
          <w:color w:val="002060"/>
          <w:kern w:val="0"/>
          <w14:ligatures w14:val="none"/>
        </w:rPr>
        <w:t xml:space="preserve">2.2.1. </w:t>
      </w:r>
      <w:r w:rsidRPr="00FD0218">
        <w:rPr>
          <w:rFonts w:ascii="Calibri" w:eastAsia="Times New Roman" w:hAnsi="Calibri" w:cs="Calibri"/>
          <w:b/>
          <w:iCs/>
          <w:color w:val="002060"/>
          <w:kern w:val="0"/>
          <w14:ligatures w14:val="none"/>
        </w:rPr>
        <w:t>Moeda funcional e de apresentação</w:t>
      </w:r>
    </w:p>
    <w:p w14:paraId="10343737" w14:textId="77777777" w:rsidR="00FD0218" w:rsidRPr="00FD0218" w:rsidRDefault="00FD0218" w:rsidP="00FD0218">
      <w:pPr>
        <w:spacing w:after="0"/>
        <w:jc w:val="both"/>
        <w:rPr>
          <w:rFonts w:ascii="Calibri" w:eastAsia="Times New Roman" w:hAnsi="Calibri" w:cs="Calibri"/>
          <w:color w:val="002060"/>
          <w:kern w:val="0"/>
          <w14:ligatures w14:val="none"/>
        </w:rPr>
      </w:pPr>
      <w:r w:rsidRPr="00FD0218">
        <w:rPr>
          <w:rFonts w:ascii="Calibri" w:eastAsia="Times New Roman" w:hAnsi="Calibri" w:cs="Calibri"/>
          <w:color w:val="002060"/>
          <w:kern w:val="0"/>
          <w14:ligatures w14:val="none"/>
        </w:rPr>
        <w:t>A moeda de apresentação das Demonstrações Contábeis é o Real (R$), que também é a moeda funcional da Companhia.</w:t>
      </w:r>
    </w:p>
    <w:p w14:paraId="5E5BDC2E" w14:textId="3E2AC8C4" w:rsidR="00FD0218" w:rsidRDefault="00FD0218" w:rsidP="00FD0218">
      <w:pPr>
        <w:spacing w:after="0"/>
        <w:jc w:val="both"/>
        <w:rPr>
          <w:rFonts w:ascii="Calibri" w:eastAsia="Times New Roman" w:hAnsi="Calibri" w:cs="Calibri"/>
          <w:color w:val="002060"/>
          <w:kern w:val="0"/>
          <w14:ligatures w14:val="none"/>
        </w:rPr>
      </w:pPr>
      <w:r w:rsidRPr="00FD0218">
        <w:rPr>
          <w:rFonts w:ascii="Calibri" w:eastAsia="Times New Roman" w:hAnsi="Calibri" w:cs="Calibri"/>
          <w:color w:val="002060"/>
          <w:kern w:val="0"/>
          <w14:ligatures w14:val="none"/>
        </w:rPr>
        <w:t xml:space="preserve"> Transações em moeda estrangeira são reconhecidas pela taxa de câmbio na data da transação. Exceto para ativos e passivos registrados pelo valor justo, itens monetários em moeda estrangeira são convertidos para reais pela taxa de câmbio na data do balanço, informada pelo Banco Central do Brasil. Os ganhos e as perdas cambiais atrelados a estes itens são registrados na demonstração do resultado.</w:t>
      </w:r>
    </w:p>
    <w:p w14:paraId="42BA1E75" w14:textId="10860942" w:rsidR="00425DB8" w:rsidRPr="00425DB8" w:rsidRDefault="00425DB8" w:rsidP="00425DB8">
      <w:pPr>
        <w:spacing w:after="0"/>
        <w:jc w:val="both"/>
        <w:rPr>
          <w:rFonts w:ascii="Calibri" w:eastAsia="Times New Roman" w:hAnsi="Calibri" w:cs="Calibri"/>
          <w:b/>
          <w:iCs/>
          <w:color w:val="002060"/>
          <w:kern w:val="0"/>
          <w14:ligatures w14:val="none"/>
        </w:rPr>
      </w:pPr>
      <w:r>
        <w:rPr>
          <w:rFonts w:ascii="Calibri" w:eastAsia="Times New Roman" w:hAnsi="Calibri" w:cs="Calibri"/>
          <w:b/>
          <w:iCs/>
          <w:color w:val="002060"/>
          <w:kern w:val="0"/>
          <w14:ligatures w14:val="none"/>
        </w:rPr>
        <w:t xml:space="preserve">2.2.2. </w:t>
      </w:r>
      <w:r w:rsidRPr="00425DB8">
        <w:rPr>
          <w:rFonts w:ascii="Calibri" w:eastAsia="Times New Roman" w:hAnsi="Calibri" w:cs="Calibri"/>
          <w:b/>
          <w:iCs/>
          <w:color w:val="002060"/>
          <w:kern w:val="0"/>
          <w14:ligatures w14:val="none"/>
        </w:rPr>
        <w:t>Caixa e equivalentes de caixa</w:t>
      </w:r>
    </w:p>
    <w:p w14:paraId="25AF4CE0" w14:textId="77777777" w:rsidR="00425DB8" w:rsidRPr="00425DB8" w:rsidRDefault="00425DB8" w:rsidP="00425DB8">
      <w:pPr>
        <w:spacing w:after="0"/>
        <w:jc w:val="both"/>
        <w:rPr>
          <w:rFonts w:ascii="Calibri" w:eastAsia="Times New Roman" w:hAnsi="Calibri" w:cs="Calibri"/>
          <w:color w:val="002060"/>
          <w:kern w:val="0"/>
          <w14:ligatures w14:val="none"/>
        </w:rPr>
      </w:pPr>
      <w:r w:rsidRPr="00425DB8">
        <w:rPr>
          <w:rFonts w:ascii="Calibri" w:eastAsia="Times New Roman" w:hAnsi="Calibri" w:cs="Calibri"/>
          <w:color w:val="002060"/>
          <w:kern w:val="0"/>
          <w14:ligatures w14:val="none"/>
        </w:rPr>
        <w:t>Esta rubrica é representada pelos saldos de numerários em espécie no caixa e em fundo fixo, contas bancárias e aplicações financeiras de curtíssimo prazo, de alta liquidez (normalmente com vencimento inferior a três meses), prontamente conversíveis em um montante conhecido de caixa e sujeitos a um insignificante risco de mudança de valor, sendo demonstrados pelo valor justo nas datas de encerramento dos exercícios apresentados e não superam o valor de mercado</w:t>
      </w:r>
      <w:r w:rsidRPr="00425DB8">
        <w:rPr>
          <w:rFonts w:ascii="Calibri" w:eastAsia="Times New Roman" w:hAnsi="Calibri" w:cs="Calibri"/>
          <w:b/>
          <w:bCs/>
          <w:color w:val="002060"/>
          <w:kern w:val="0"/>
          <w14:ligatures w14:val="none"/>
        </w:rPr>
        <w:t xml:space="preserve">, </w:t>
      </w:r>
      <w:r w:rsidRPr="00425DB8">
        <w:rPr>
          <w:rFonts w:ascii="Calibri" w:eastAsia="Times New Roman" w:hAnsi="Calibri" w:cs="Calibri"/>
          <w:color w:val="002060"/>
          <w:kern w:val="0"/>
          <w14:ligatures w14:val="none"/>
        </w:rPr>
        <w:t>cuja classificação é determinada conforme abaixo.</w:t>
      </w:r>
    </w:p>
    <w:p w14:paraId="12B57020" w14:textId="71F83BCD" w:rsidR="00425DB8" w:rsidRDefault="00425DB8" w:rsidP="00425DB8">
      <w:pPr>
        <w:spacing w:after="0"/>
        <w:jc w:val="both"/>
        <w:rPr>
          <w:rFonts w:ascii="Calibri" w:eastAsia="Times New Roman" w:hAnsi="Calibri" w:cs="Calibri"/>
          <w:color w:val="002060"/>
          <w:kern w:val="0"/>
          <w14:ligatures w14:val="none"/>
        </w:rPr>
      </w:pPr>
      <w:r w:rsidRPr="00425DB8">
        <w:rPr>
          <w:rFonts w:ascii="Calibri" w:eastAsia="Times New Roman" w:hAnsi="Calibri" w:cs="Calibri"/>
          <w:color w:val="002060"/>
          <w:kern w:val="0"/>
          <w14:ligatures w14:val="none"/>
        </w:rPr>
        <w:t>As aplicações financeiras são realizadas no Banco do Brasil S.A e na Caixa Econômica Federal, conforme legislação específica para as Sociedades de Economia Mista da Administração Federal. (Nota Explicativa 5)</w:t>
      </w:r>
      <w:r>
        <w:rPr>
          <w:rFonts w:ascii="Calibri" w:eastAsia="Times New Roman" w:hAnsi="Calibri" w:cs="Calibri"/>
          <w:color w:val="002060"/>
          <w:kern w:val="0"/>
          <w14:ligatures w14:val="none"/>
        </w:rPr>
        <w:t xml:space="preserve">. </w:t>
      </w:r>
    </w:p>
    <w:p w14:paraId="55DA876B" w14:textId="6B70D963" w:rsidR="00425DB8" w:rsidRPr="00425DB8" w:rsidRDefault="00425DB8" w:rsidP="00425DB8">
      <w:pPr>
        <w:spacing w:after="0"/>
        <w:jc w:val="both"/>
        <w:rPr>
          <w:rFonts w:ascii="Calibri" w:eastAsia="Times New Roman" w:hAnsi="Calibri" w:cs="Calibri"/>
          <w:b/>
          <w:iCs/>
          <w:color w:val="002060"/>
          <w:kern w:val="0"/>
          <w14:ligatures w14:val="none"/>
        </w:rPr>
      </w:pPr>
      <w:r>
        <w:rPr>
          <w:rFonts w:ascii="Calibri" w:eastAsia="Times New Roman" w:hAnsi="Calibri" w:cs="Calibri"/>
          <w:b/>
          <w:iCs/>
          <w:color w:val="002060"/>
          <w:kern w:val="0"/>
          <w14:ligatures w14:val="none"/>
        </w:rPr>
        <w:t xml:space="preserve">2.2.3. </w:t>
      </w:r>
      <w:r w:rsidRPr="00425DB8">
        <w:rPr>
          <w:rFonts w:ascii="Calibri" w:eastAsia="Times New Roman" w:hAnsi="Calibri" w:cs="Calibri"/>
          <w:b/>
          <w:iCs/>
          <w:color w:val="002060"/>
          <w:kern w:val="0"/>
          <w14:ligatures w14:val="none"/>
        </w:rPr>
        <w:t>Aplicações financeiras</w:t>
      </w:r>
    </w:p>
    <w:p w14:paraId="34AAD9B7" w14:textId="77777777" w:rsidR="00425DB8" w:rsidRPr="00425DB8" w:rsidRDefault="00425DB8" w:rsidP="00425DB8">
      <w:pPr>
        <w:spacing w:after="0"/>
        <w:jc w:val="both"/>
        <w:rPr>
          <w:rFonts w:ascii="Calibri" w:eastAsia="Times New Roman" w:hAnsi="Calibri" w:cs="Calibri"/>
          <w:color w:val="002060"/>
          <w:kern w:val="0"/>
          <w14:ligatures w14:val="none"/>
        </w:rPr>
      </w:pPr>
      <w:r w:rsidRPr="00425DB8">
        <w:rPr>
          <w:rFonts w:ascii="Calibri" w:eastAsia="Times New Roman" w:hAnsi="Calibri" w:cs="Calibri"/>
          <w:color w:val="002060"/>
          <w:kern w:val="0"/>
          <w14:ligatures w14:val="none"/>
        </w:rPr>
        <w:t xml:space="preserve">As aplicações financeiras são classificadas nas seguintes categorias: i) valor justo por meio do resultado; </w:t>
      </w:r>
      <w:proofErr w:type="spellStart"/>
      <w:r w:rsidRPr="00425DB8">
        <w:rPr>
          <w:rFonts w:ascii="Calibri" w:eastAsia="Times New Roman" w:hAnsi="Calibri" w:cs="Calibri"/>
          <w:color w:val="002060"/>
          <w:kern w:val="0"/>
          <w14:ligatures w14:val="none"/>
        </w:rPr>
        <w:t>ii</w:t>
      </w:r>
      <w:proofErr w:type="spellEnd"/>
      <w:r w:rsidRPr="00425DB8">
        <w:rPr>
          <w:rFonts w:ascii="Calibri" w:eastAsia="Times New Roman" w:hAnsi="Calibri" w:cs="Calibri"/>
          <w:color w:val="002060"/>
          <w:kern w:val="0"/>
          <w14:ligatures w14:val="none"/>
        </w:rPr>
        <w:t xml:space="preserve">) custo amortizado; e </w:t>
      </w:r>
      <w:proofErr w:type="spellStart"/>
      <w:r w:rsidRPr="00425DB8">
        <w:rPr>
          <w:rFonts w:ascii="Calibri" w:eastAsia="Times New Roman" w:hAnsi="Calibri" w:cs="Calibri"/>
          <w:color w:val="002060"/>
          <w:kern w:val="0"/>
          <w14:ligatures w14:val="none"/>
        </w:rPr>
        <w:t>iii</w:t>
      </w:r>
      <w:proofErr w:type="spellEnd"/>
      <w:r w:rsidRPr="00425DB8">
        <w:rPr>
          <w:rFonts w:ascii="Calibri" w:eastAsia="Times New Roman" w:hAnsi="Calibri" w:cs="Calibri"/>
          <w:color w:val="002060"/>
          <w:kern w:val="0"/>
          <w14:ligatures w14:val="none"/>
        </w:rPr>
        <w:t>) valor justo por meio de outros resultados abrangentes.</w:t>
      </w:r>
    </w:p>
    <w:p w14:paraId="5305722A" w14:textId="77777777" w:rsidR="00425DB8" w:rsidRPr="00425DB8" w:rsidRDefault="00425DB8" w:rsidP="00425DB8">
      <w:pPr>
        <w:spacing w:after="0"/>
        <w:jc w:val="both"/>
        <w:rPr>
          <w:rFonts w:ascii="Calibri" w:eastAsia="Times New Roman" w:hAnsi="Calibri" w:cs="Calibri"/>
          <w:color w:val="002060"/>
          <w:kern w:val="0"/>
          <w14:ligatures w14:val="none"/>
        </w:rPr>
      </w:pPr>
      <w:r w:rsidRPr="00425DB8">
        <w:rPr>
          <w:rFonts w:ascii="Calibri" w:eastAsia="Times New Roman" w:hAnsi="Calibri" w:cs="Calibri"/>
          <w:color w:val="002060"/>
          <w:kern w:val="0"/>
          <w14:ligatures w14:val="none"/>
        </w:rPr>
        <w:t>As aplicações mantidas para negociação são avaliadas pelo valor justo por meio do resultado, com seus efeitos reconhecidos em resultado. As aplicações classificadas pelo custo amortizado são mensuradas pelo custo de aquisição acrescido dos rendimentos auferidos, reduzida de provisão para ajuste ao valor provável de realização, quando aplicável, com seus efeitos reconhecidos no resultado. As aplicações da categoria valor justo por meio de outros resultados abrangentes são avaliadas ao valor justo, com seus ganhos e perdas não realizados reconhecidos em outros resultados abrangentes, quando aplicável. (Notas Explicativas 5 e 12)</w:t>
      </w:r>
    </w:p>
    <w:p w14:paraId="0AC2A5F5" w14:textId="5810B66C" w:rsidR="00425DB8" w:rsidRPr="00425DB8" w:rsidRDefault="00425DB8" w:rsidP="00425DB8">
      <w:pPr>
        <w:spacing w:after="0"/>
        <w:jc w:val="both"/>
        <w:rPr>
          <w:rFonts w:ascii="Calibri" w:eastAsia="Times New Roman" w:hAnsi="Calibri" w:cs="Calibri"/>
          <w:b/>
          <w:iCs/>
          <w:color w:val="002060"/>
          <w:kern w:val="0"/>
          <w14:ligatures w14:val="none"/>
        </w:rPr>
      </w:pPr>
      <w:r>
        <w:rPr>
          <w:rFonts w:ascii="Calibri" w:eastAsia="Times New Roman" w:hAnsi="Calibri" w:cs="Calibri"/>
          <w:b/>
          <w:iCs/>
          <w:color w:val="002060"/>
          <w:kern w:val="0"/>
          <w14:ligatures w14:val="none"/>
        </w:rPr>
        <w:t xml:space="preserve">2.2.4. </w:t>
      </w:r>
      <w:r w:rsidRPr="00425DB8">
        <w:rPr>
          <w:rFonts w:ascii="Calibri" w:eastAsia="Times New Roman" w:hAnsi="Calibri" w:cs="Calibri"/>
          <w:b/>
          <w:iCs/>
          <w:color w:val="002060"/>
          <w:kern w:val="0"/>
          <w14:ligatures w14:val="none"/>
        </w:rPr>
        <w:t>Contas a receber</w:t>
      </w:r>
    </w:p>
    <w:p w14:paraId="6865545C" w14:textId="77777777" w:rsidR="00425DB8" w:rsidRPr="00425DB8" w:rsidRDefault="00425DB8" w:rsidP="00425DB8">
      <w:pPr>
        <w:spacing w:after="0"/>
        <w:jc w:val="both"/>
        <w:rPr>
          <w:rFonts w:ascii="Calibri" w:eastAsia="Times New Roman" w:hAnsi="Calibri" w:cs="Calibri"/>
          <w:color w:val="002060"/>
          <w:kern w:val="0"/>
          <w14:ligatures w14:val="none"/>
        </w:rPr>
        <w:sectPr w:rsidR="00425DB8" w:rsidRPr="00425DB8" w:rsidSect="00425DB8">
          <w:footerReference w:type="default" r:id="rId49"/>
          <w:pgSz w:w="11906" w:h="16838" w:code="9"/>
          <w:pgMar w:top="848" w:right="849" w:bottom="993" w:left="1276" w:header="850" w:footer="1134" w:gutter="0"/>
          <w:cols w:space="708"/>
          <w:docGrid w:linePitch="360"/>
        </w:sectPr>
      </w:pPr>
    </w:p>
    <w:p w14:paraId="5D96E3D5" w14:textId="52A6828C" w:rsidR="00425DB8" w:rsidRDefault="00425DB8" w:rsidP="00425DB8">
      <w:pPr>
        <w:spacing w:after="0"/>
        <w:jc w:val="both"/>
        <w:rPr>
          <w:rFonts w:ascii="Calibri" w:eastAsia="Times New Roman" w:hAnsi="Calibri" w:cs="Calibri"/>
          <w:color w:val="002060"/>
          <w:kern w:val="0"/>
          <w14:ligatures w14:val="none"/>
        </w:rPr>
      </w:pPr>
      <w:r w:rsidRPr="00425DB8">
        <w:rPr>
          <w:rFonts w:ascii="Calibri" w:eastAsia="Times New Roman" w:hAnsi="Calibri" w:cs="Calibri"/>
          <w:color w:val="002060"/>
          <w:kern w:val="0"/>
          <w14:ligatures w14:val="none"/>
        </w:rPr>
        <w:t>As contas a receber decorrentes de serviços prestados de comunicação multimídia estão avaliadas pelo valor do serviço na data da prestação do serviço e não diferem de seus valores justos. Essas contas a receber também incluem os serviços prestados a clientes não faturados até a data de encerramento dos exercícios, bem como as contas a receber relacionadas às locações e aluguéis de equipamentos e meios de conexão. (Nota Explicativa 6)</w:t>
      </w:r>
      <w:r>
        <w:rPr>
          <w:rFonts w:ascii="Calibri" w:eastAsia="Times New Roman" w:hAnsi="Calibri" w:cs="Calibri"/>
          <w:color w:val="002060"/>
          <w:kern w:val="0"/>
          <w14:ligatures w14:val="none"/>
        </w:rPr>
        <w:t xml:space="preserve">. </w:t>
      </w:r>
    </w:p>
    <w:p w14:paraId="618C8FD4" w14:textId="72BC12EB" w:rsidR="00425DB8" w:rsidRPr="00425DB8" w:rsidRDefault="00425DB8" w:rsidP="00425DB8">
      <w:pPr>
        <w:spacing w:after="0"/>
        <w:jc w:val="both"/>
        <w:rPr>
          <w:rFonts w:ascii="Calibri" w:eastAsia="Times New Roman" w:hAnsi="Calibri" w:cs="Calibri"/>
          <w:b/>
          <w:iCs/>
          <w:color w:val="002060"/>
          <w:kern w:val="0"/>
          <w14:ligatures w14:val="none"/>
        </w:rPr>
      </w:pPr>
      <w:r>
        <w:rPr>
          <w:rFonts w:ascii="Calibri" w:eastAsia="Times New Roman" w:hAnsi="Calibri" w:cs="Calibri"/>
          <w:b/>
          <w:iCs/>
          <w:color w:val="002060"/>
          <w:kern w:val="0"/>
          <w14:ligatures w14:val="none"/>
        </w:rPr>
        <w:t xml:space="preserve">2.2.5. </w:t>
      </w:r>
      <w:r w:rsidRPr="00425DB8">
        <w:rPr>
          <w:rFonts w:ascii="Calibri" w:eastAsia="Times New Roman" w:hAnsi="Calibri" w:cs="Calibri"/>
          <w:b/>
          <w:iCs/>
          <w:color w:val="002060"/>
          <w:kern w:val="0"/>
          <w14:ligatures w14:val="none"/>
        </w:rPr>
        <w:t>Perdas estimadas com créditos de liquidação duvidosa</w:t>
      </w:r>
    </w:p>
    <w:p w14:paraId="29D45891" w14:textId="77777777" w:rsidR="00425DB8" w:rsidRPr="00425DB8" w:rsidRDefault="00425DB8" w:rsidP="00425DB8">
      <w:pPr>
        <w:spacing w:after="0"/>
        <w:jc w:val="both"/>
        <w:rPr>
          <w:rFonts w:ascii="Calibri" w:eastAsia="Times New Roman" w:hAnsi="Calibri" w:cs="Calibri"/>
          <w:color w:val="002060"/>
          <w:kern w:val="0"/>
          <w14:ligatures w14:val="none"/>
        </w:rPr>
      </w:pPr>
      <w:r w:rsidRPr="00425DB8">
        <w:rPr>
          <w:rFonts w:ascii="Calibri" w:eastAsia="Times New Roman" w:hAnsi="Calibri" w:cs="Calibri"/>
          <w:color w:val="002060"/>
          <w:kern w:val="0"/>
          <w14:ligatures w14:val="none"/>
        </w:rPr>
        <w:t xml:space="preserve">A estimativa das perdas estimadas para créditos de liquidação duvidosa é constituída em montante considerado suficiente para cobrir eventuais perdas na realização desses créditos. </w:t>
      </w:r>
      <w:r w:rsidRPr="00425DB8">
        <w:rPr>
          <w:rFonts w:ascii="Calibri" w:eastAsia="Times New Roman" w:hAnsi="Calibri" w:cs="Calibri"/>
          <w:bCs/>
          <w:color w:val="002060"/>
          <w:kern w:val="0"/>
          <w14:ligatures w14:val="none"/>
        </w:rPr>
        <w:t xml:space="preserve">Na avaliação do valor a ser constituído de perdas estimadas para créditos de liquidação duvidosa, a Companhia reconhece o valor da estimativa de perdas com base no modelo de perdas esperadas. No cálculo, são utilizadas bases históricas de inadimplência, prazos de recebimento e volumes de perdas incorridas, ajustadas conforme o julgamento da Administração, quando as condições atuais de economia indiquem que perdas reais sejam superiores ou inferiores àquelas sugeridas pela base histórica. As proporções de inadimplência e de perdas, bem como os prazos estimados para recuperações futuras são regularmente analisados com os resultados reais, a fim de confirmar a sua aderência. As perdas estimadas são reconhecidas no resultado. </w:t>
      </w:r>
      <w:r w:rsidRPr="00425DB8">
        <w:rPr>
          <w:rFonts w:ascii="Calibri" w:eastAsia="Times New Roman" w:hAnsi="Calibri" w:cs="Calibri"/>
          <w:color w:val="002060"/>
          <w:kern w:val="0"/>
          <w14:ligatures w14:val="none"/>
        </w:rPr>
        <w:t>(Nota Explicativa 6)</w:t>
      </w:r>
    </w:p>
    <w:p w14:paraId="597F81FC" w14:textId="30C58EF6" w:rsidR="00425DB8" w:rsidRPr="00425DB8" w:rsidRDefault="00425DB8" w:rsidP="00425DB8">
      <w:pPr>
        <w:spacing w:after="0"/>
        <w:jc w:val="both"/>
        <w:rPr>
          <w:rFonts w:ascii="Calibri" w:eastAsia="Times New Roman" w:hAnsi="Calibri" w:cs="Calibri"/>
          <w:b/>
          <w:iCs/>
          <w:color w:val="002060"/>
          <w:kern w:val="0"/>
          <w14:ligatures w14:val="none"/>
        </w:rPr>
      </w:pPr>
      <w:r>
        <w:rPr>
          <w:rFonts w:ascii="Calibri" w:eastAsia="Times New Roman" w:hAnsi="Calibri" w:cs="Calibri"/>
          <w:b/>
          <w:iCs/>
          <w:color w:val="002060"/>
          <w:kern w:val="0"/>
          <w14:ligatures w14:val="none"/>
        </w:rPr>
        <w:t xml:space="preserve">2.2.6. </w:t>
      </w:r>
      <w:r w:rsidRPr="00425DB8">
        <w:rPr>
          <w:rFonts w:ascii="Calibri" w:eastAsia="Times New Roman" w:hAnsi="Calibri" w:cs="Calibri"/>
          <w:b/>
          <w:iCs/>
          <w:color w:val="002060"/>
          <w:kern w:val="0"/>
          <w14:ligatures w14:val="none"/>
        </w:rPr>
        <w:t>Investimentos</w:t>
      </w:r>
    </w:p>
    <w:p w14:paraId="2531A4A2" w14:textId="77777777" w:rsidR="00425DB8" w:rsidRPr="00425DB8" w:rsidRDefault="00425DB8" w:rsidP="00425DB8">
      <w:pPr>
        <w:spacing w:after="0"/>
        <w:jc w:val="both"/>
        <w:rPr>
          <w:rFonts w:ascii="Calibri" w:eastAsia="Times New Roman" w:hAnsi="Calibri" w:cs="Calibri"/>
          <w:color w:val="002060"/>
          <w:kern w:val="0"/>
          <w14:ligatures w14:val="none"/>
        </w:rPr>
      </w:pPr>
      <w:r w:rsidRPr="00425DB8">
        <w:rPr>
          <w:rFonts w:ascii="Calibri" w:eastAsia="Times New Roman" w:hAnsi="Calibri" w:cs="Calibri"/>
          <w:color w:val="002060"/>
          <w:kern w:val="0"/>
          <w14:ligatures w14:val="none"/>
        </w:rPr>
        <w:t xml:space="preserve">Nas Demonstrações Contábeis Individuais, as informações financeiras de controladas e controladas em conjunto (quando aplicáveis), assim como as coligadas, são reconhecidas através do método de equivalência patrimonial. Os demais investimentos são registrados pelo custo de aquisição e deduzidos de provisão para ajuste ao valor de realização, quando aplicável. </w:t>
      </w:r>
    </w:p>
    <w:p w14:paraId="7C8592E5" w14:textId="77777777" w:rsidR="00425DB8" w:rsidRPr="00425DB8" w:rsidRDefault="00425DB8" w:rsidP="00425DB8">
      <w:pPr>
        <w:spacing w:after="0"/>
        <w:jc w:val="both"/>
        <w:rPr>
          <w:rFonts w:ascii="Calibri" w:eastAsia="Times New Roman" w:hAnsi="Calibri" w:cs="Calibri"/>
          <w:color w:val="002060"/>
          <w:kern w:val="0"/>
          <w14:ligatures w14:val="none"/>
        </w:rPr>
      </w:pPr>
    </w:p>
    <w:p w14:paraId="2B61564D" w14:textId="724F724C" w:rsidR="00425DB8" w:rsidRDefault="00425DB8" w:rsidP="00425DB8">
      <w:pPr>
        <w:spacing w:after="0"/>
        <w:jc w:val="both"/>
        <w:rPr>
          <w:rFonts w:ascii="Calibri" w:eastAsia="Times New Roman" w:hAnsi="Calibri" w:cs="Calibri"/>
          <w:color w:val="002060"/>
          <w:kern w:val="0"/>
          <w14:ligatures w14:val="none"/>
        </w:rPr>
      </w:pPr>
      <w:r w:rsidRPr="00425DB8">
        <w:rPr>
          <w:rFonts w:ascii="Calibri" w:eastAsia="Times New Roman" w:hAnsi="Calibri" w:cs="Calibri"/>
          <w:color w:val="002060"/>
          <w:kern w:val="0"/>
          <w14:ligatures w14:val="none"/>
        </w:rPr>
        <w:lastRenderedPageBreak/>
        <w:t>As Demonstrações Contábeis de controladas (quando aplicável) são consolidadas integralmente nas Demonstrações Contábeis Consolidadas a partir da data em que o controle se inicia até a data em que o controle deixa de existir. Os investimentos em controladas em conjunto (quando aplicável) são reconhecidos nas Demonstrações Contábeis Consolidadas pelo método de equivalência patrimonial. (Nota Explicativa 13)</w:t>
      </w:r>
      <w:r>
        <w:rPr>
          <w:rFonts w:ascii="Calibri" w:eastAsia="Times New Roman" w:hAnsi="Calibri" w:cs="Calibri"/>
          <w:color w:val="002060"/>
          <w:kern w:val="0"/>
          <w14:ligatures w14:val="none"/>
        </w:rPr>
        <w:t xml:space="preserve">. </w:t>
      </w:r>
    </w:p>
    <w:p w14:paraId="14530784" w14:textId="6F2C56F0" w:rsidR="00425DB8" w:rsidRPr="00425DB8" w:rsidRDefault="00425DB8" w:rsidP="00425DB8">
      <w:pPr>
        <w:spacing w:after="0"/>
        <w:jc w:val="both"/>
        <w:rPr>
          <w:rFonts w:ascii="Calibri" w:eastAsia="Times New Roman" w:hAnsi="Calibri" w:cs="Calibri"/>
          <w:b/>
          <w:iCs/>
          <w:color w:val="002060"/>
          <w:kern w:val="0"/>
          <w14:ligatures w14:val="none"/>
        </w:rPr>
      </w:pPr>
      <w:r>
        <w:rPr>
          <w:rFonts w:ascii="Calibri" w:eastAsia="Times New Roman" w:hAnsi="Calibri" w:cs="Calibri"/>
          <w:b/>
          <w:iCs/>
          <w:color w:val="002060"/>
          <w:kern w:val="0"/>
          <w14:ligatures w14:val="none"/>
        </w:rPr>
        <w:t xml:space="preserve">2.2.7. </w:t>
      </w:r>
      <w:r w:rsidRPr="00425DB8">
        <w:rPr>
          <w:rFonts w:ascii="Calibri" w:eastAsia="Times New Roman" w:hAnsi="Calibri" w:cs="Calibri"/>
          <w:b/>
          <w:iCs/>
          <w:color w:val="002060"/>
          <w:kern w:val="0"/>
          <w14:ligatures w14:val="none"/>
        </w:rPr>
        <w:t>Imobilizado</w:t>
      </w:r>
    </w:p>
    <w:p w14:paraId="425F3D72" w14:textId="77777777" w:rsidR="00425DB8" w:rsidRPr="00425DB8" w:rsidRDefault="00425DB8" w:rsidP="00425DB8">
      <w:pPr>
        <w:spacing w:after="0"/>
        <w:jc w:val="both"/>
        <w:rPr>
          <w:rFonts w:ascii="Calibri" w:eastAsia="Times New Roman" w:hAnsi="Calibri" w:cs="Calibri"/>
          <w:color w:val="002060"/>
          <w:kern w:val="0"/>
          <w14:ligatures w14:val="none"/>
        </w:rPr>
      </w:pPr>
      <w:r w:rsidRPr="00425DB8">
        <w:rPr>
          <w:rFonts w:ascii="Calibri" w:eastAsia="Times New Roman" w:hAnsi="Calibri" w:cs="Calibri"/>
          <w:color w:val="002060"/>
          <w:kern w:val="0"/>
          <w14:ligatures w14:val="none"/>
        </w:rPr>
        <w:t xml:space="preserve">O imobilizado está demonstrado pelo custo de aquisição ou construção, deduzido da depreciação acumulada. Os custos históricos incluem gastos que são diretamente atribuíveis à aquisição dos ativos. Incluem ainda determinados gastos com instalações, quando é provável que futuros benefícios econômicos associados a esses gastos fluirão para a Companhia. Os custos de empréstimos e financiamentos, quando diretamente atribuíveis à aquisição, construção ou produção de um ativo qualificável, são capitalizados no custo inicial desses ativos. Para os demais empréstimos e financiamentos que não estão vinculados diretamente a obras específicas é estabelecida uma taxa média ponderada para a capitalização dos custos desses empréstimos. Os ativos qualificáveis são aqueles que necessariamente demandam um tempo substancial para ficarem prontos para uso. </w:t>
      </w:r>
    </w:p>
    <w:p w14:paraId="5AC504C5" w14:textId="77777777" w:rsidR="00425DB8" w:rsidRPr="00425DB8" w:rsidRDefault="00425DB8" w:rsidP="00425DB8">
      <w:pPr>
        <w:spacing w:after="0"/>
        <w:jc w:val="both"/>
        <w:rPr>
          <w:rFonts w:ascii="Calibri" w:eastAsia="Times New Roman" w:hAnsi="Calibri" w:cs="Calibri"/>
          <w:color w:val="002060"/>
          <w:kern w:val="0"/>
          <w14:ligatures w14:val="none"/>
        </w:rPr>
        <w:sectPr w:rsidR="00425DB8" w:rsidRPr="00425DB8" w:rsidSect="00425DB8">
          <w:footerReference w:type="default" r:id="rId50"/>
          <w:type w:val="continuous"/>
          <w:pgSz w:w="11906" w:h="16838" w:code="9"/>
          <w:pgMar w:top="848" w:right="849" w:bottom="993" w:left="1276" w:header="850" w:footer="1134" w:gutter="0"/>
          <w:cols w:space="708"/>
          <w:docGrid w:linePitch="360"/>
        </w:sectPr>
      </w:pPr>
    </w:p>
    <w:p w14:paraId="7B780955" w14:textId="77777777" w:rsidR="00425DB8" w:rsidRPr="00425DB8" w:rsidRDefault="00425DB8" w:rsidP="00425DB8">
      <w:pPr>
        <w:spacing w:after="0"/>
        <w:jc w:val="both"/>
        <w:rPr>
          <w:rFonts w:ascii="Calibri" w:eastAsia="Times New Roman" w:hAnsi="Calibri" w:cs="Calibri"/>
          <w:color w:val="002060"/>
          <w:kern w:val="0"/>
          <w14:ligatures w14:val="none"/>
        </w:rPr>
      </w:pPr>
      <w:r w:rsidRPr="00425DB8">
        <w:rPr>
          <w:rFonts w:ascii="Calibri" w:eastAsia="Times New Roman" w:hAnsi="Calibri" w:cs="Calibri"/>
          <w:color w:val="002060"/>
          <w:kern w:val="0"/>
          <w14:ligatures w14:val="none"/>
        </w:rPr>
        <w:t xml:space="preserve">Os custos subsequentes são incluídos no valor contábil conforme apropriado, somente quando esses ativos geram benefícios econômicos futuros e possam ser medidos de forma confiável. O saldo residual do ativo substituído é baixado. Os gastos com manutenção e reparo são registrados ao resultado durante o período em que ocorrem, entretanto, são capitalizados somente quando representam claramente aumento da capacidade instalada ou da vida útil econômica. </w:t>
      </w:r>
    </w:p>
    <w:p w14:paraId="0D4486D4" w14:textId="77777777" w:rsidR="00425DB8" w:rsidRPr="00425DB8" w:rsidRDefault="00425DB8" w:rsidP="00425DB8">
      <w:pPr>
        <w:spacing w:after="0"/>
        <w:jc w:val="both"/>
        <w:rPr>
          <w:rFonts w:ascii="Calibri" w:eastAsia="Times New Roman" w:hAnsi="Calibri" w:cs="Calibri"/>
          <w:color w:val="002060"/>
          <w:kern w:val="0"/>
          <w14:ligatures w14:val="none"/>
        </w:rPr>
        <w:sectPr w:rsidR="00425DB8" w:rsidRPr="00425DB8" w:rsidSect="00425DB8">
          <w:type w:val="continuous"/>
          <w:pgSz w:w="11906" w:h="16838" w:code="9"/>
          <w:pgMar w:top="848" w:right="849" w:bottom="993" w:left="1276" w:header="850" w:footer="1134" w:gutter="0"/>
          <w:cols w:space="708"/>
          <w:docGrid w:linePitch="360"/>
        </w:sectPr>
      </w:pPr>
    </w:p>
    <w:p w14:paraId="18F53182" w14:textId="77777777" w:rsidR="00425DB8" w:rsidRPr="00425DB8" w:rsidRDefault="00425DB8" w:rsidP="00425DB8">
      <w:pPr>
        <w:spacing w:after="0"/>
        <w:jc w:val="both"/>
        <w:rPr>
          <w:rFonts w:ascii="Calibri" w:eastAsia="Times New Roman" w:hAnsi="Calibri" w:cs="Calibri"/>
          <w:color w:val="002060"/>
          <w:kern w:val="0"/>
          <w14:ligatures w14:val="none"/>
        </w:rPr>
      </w:pPr>
      <w:r w:rsidRPr="00425DB8">
        <w:rPr>
          <w:rFonts w:ascii="Calibri" w:eastAsia="Times New Roman" w:hAnsi="Calibri" w:cs="Calibri"/>
          <w:color w:val="002060"/>
          <w:kern w:val="0"/>
          <w14:ligatures w14:val="none"/>
        </w:rPr>
        <w:t xml:space="preserve">Os bens atrelados a contratos de arrendamento mercantil financeiro são registrados no imobilizado pelo valor justo ou, se inferior, pelo valor presente dos pagamentos mínimos do arrendamento mercantil, na data inicial do contrato. </w:t>
      </w:r>
    </w:p>
    <w:p w14:paraId="6C2B99BB" w14:textId="6B98C037" w:rsidR="00425DB8" w:rsidRDefault="00425DB8" w:rsidP="00425DB8">
      <w:pPr>
        <w:spacing w:after="0"/>
        <w:jc w:val="both"/>
        <w:rPr>
          <w:rFonts w:ascii="Calibri" w:eastAsia="Times New Roman" w:hAnsi="Calibri" w:cs="Calibri"/>
          <w:color w:val="002060"/>
          <w:kern w:val="0"/>
          <w14:ligatures w14:val="none"/>
        </w:rPr>
      </w:pPr>
      <w:r w:rsidRPr="00425DB8">
        <w:rPr>
          <w:rFonts w:ascii="Calibri" w:eastAsia="Times New Roman" w:hAnsi="Calibri" w:cs="Calibri"/>
          <w:color w:val="002060"/>
          <w:kern w:val="0"/>
          <w14:ligatures w14:val="none"/>
        </w:rPr>
        <w:t>A depreciação é calculada pelo método linear, de acordo com a expectativa de vida útil econômica dos bens, a qual é revisada anualmente pela Companhia. (Nota Explicativa 14)</w:t>
      </w:r>
      <w:r>
        <w:rPr>
          <w:rFonts w:ascii="Calibri" w:eastAsia="Times New Roman" w:hAnsi="Calibri" w:cs="Calibri"/>
          <w:color w:val="002060"/>
          <w:kern w:val="0"/>
          <w14:ligatures w14:val="none"/>
        </w:rPr>
        <w:t xml:space="preserve">. </w:t>
      </w:r>
    </w:p>
    <w:p w14:paraId="5D10525C" w14:textId="77763C40" w:rsidR="00425DB8" w:rsidRPr="00425DB8" w:rsidRDefault="00425DB8" w:rsidP="00425DB8">
      <w:pPr>
        <w:spacing w:after="0"/>
        <w:jc w:val="both"/>
        <w:rPr>
          <w:rFonts w:ascii="Calibri" w:eastAsia="Times New Roman" w:hAnsi="Calibri" w:cs="Calibri"/>
          <w:b/>
          <w:iCs/>
          <w:color w:val="002060"/>
          <w:kern w:val="0"/>
          <w14:ligatures w14:val="none"/>
        </w:rPr>
      </w:pPr>
      <w:r>
        <w:rPr>
          <w:rFonts w:ascii="Calibri" w:eastAsia="Times New Roman" w:hAnsi="Calibri" w:cs="Calibri"/>
          <w:b/>
          <w:iCs/>
          <w:color w:val="002060"/>
          <w:kern w:val="0"/>
          <w14:ligatures w14:val="none"/>
        </w:rPr>
        <w:t xml:space="preserve">2.2.8. </w:t>
      </w:r>
      <w:r w:rsidRPr="00425DB8">
        <w:rPr>
          <w:rFonts w:ascii="Calibri" w:eastAsia="Times New Roman" w:hAnsi="Calibri" w:cs="Calibri"/>
          <w:b/>
          <w:iCs/>
          <w:color w:val="002060"/>
          <w:kern w:val="0"/>
          <w14:ligatures w14:val="none"/>
        </w:rPr>
        <w:t>Ativo de direito de uso</w:t>
      </w:r>
    </w:p>
    <w:p w14:paraId="346773FA" w14:textId="77777777" w:rsidR="00425DB8" w:rsidRPr="00425DB8" w:rsidRDefault="00425DB8" w:rsidP="00425DB8">
      <w:pPr>
        <w:spacing w:after="0"/>
        <w:jc w:val="both"/>
        <w:rPr>
          <w:rFonts w:ascii="Calibri" w:eastAsia="Times New Roman" w:hAnsi="Calibri" w:cs="Calibri"/>
          <w:color w:val="002060"/>
          <w:kern w:val="0"/>
          <w14:ligatures w14:val="none"/>
        </w:rPr>
      </w:pPr>
      <w:r w:rsidRPr="00425DB8">
        <w:rPr>
          <w:rFonts w:ascii="Calibri" w:eastAsia="Times New Roman" w:hAnsi="Calibri" w:cs="Calibri"/>
          <w:color w:val="002060"/>
          <w:kern w:val="0"/>
          <w14:ligatures w14:val="none"/>
        </w:rPr>
        <w:t>Representam os imóveis que são locados de terceiros para a condução dos negócios da Companhia em diversas localidades do país e locação de equipamentos de informática. Esses ativos são mensurados pelo fluxo de caixa do passivo de arrendamento (Nota Explicativa 24.2), descontado a valor presente. Também são adicionados (quando existir) custos incrementais que são necessários na obtenção de um novo contrato de arrendamento que de outra forma não teriam sido incorridos.</w:t>
      </w:r>
    </w:p>
    <w:p w14:paraId="472B3788" w14:textId="5E1F9FAC" w:rsidR="00425DB8" w:rsidRPr="00425DB8" w:rsidRDefault="00425DB8" w:rsidP="00425DB8">
      <w:pPr>
        <w:spacing w:after="0"/>
        <w:jc w:val="both"/>
        <w:rPr>
          <w:rFonts w:ascii="Calibri" w:eastAsia="Times New Roman" w:hAnsi="Calibri" w:cs="Calibri"/>
          <w:b/>
          <w:iCs/>
          <w:color w:val="002060"/>
          <w:kern w:val="0"/>
          <w14:ligatures w14:val="none"/>
        </w:rPr>
      </w:pPr>
      <w:r>
        <w:rPr>
          <w:rFonts w:ascii="Calibri" w:eastAsia="Times New Roman" w:hAnsi="Calibri" w:cs="Calibri"/>
          <w:b/>
          <w:iCs/>
          <w:color w:val="002060"/>
          <w:kern w:val="0"/>
          <w14:ligatures w14:val="none"/>
        </w:rPr>
        <w:t xml:space="preserve">2.2.9. </w:t>
      </w:r>
      <w:r w:rsidRPr="00425DB8">
        <w:rPr>
          <w:rFonts w:ascii="Calibri" w:eastAsia="Times New Roman" w:hAnsi="Calibri" w:cs="Calibri"/>
          <w:b/>
          <w:iCs/>
          <w:color w:val="002060"/>
          <w:kern w:val="0"/>
          <w14:ligatures w14:val="none"/>
        </w:rPr>
        <w:t>Intangível</w:t>
      </w:r>
    </w:p>
    <w:p w14:paraId="35DE6749" w14:textId="77777777" w:rsidR="00425DB8" w:rsidRPr="00425DB8" w:rsidRDefault="00425DB8" w:rsidP="00425DB8">
      <w:pPr>
        <w:spacing w:after="0"/>
        <w:jc w:val="both"/>
        <w:rPr>
          <w:rFonts w:ascii="Calibri" w:eastAsia="Times New Roman" w:hAnsi="Calibri" w:cs="Calibri"/>
          <w:color w:val="002060"/>
          <w:kern w:val="0"/>
          <w14:ligatures w14:val="none"/>
        </w:rPr>
      </w:pPr>
      <w:r w:rsidRPr="00425DB8">
        <w:rPr>
          <w:rFonts w:ascii="Calibri" w:eastAsia="Times New Roman" w:hAnsi="Calibri" w:cs="Calibri"/>
          <w:color w:val="002060"/>
          <w:kern w:val="0"/>
          <w14:ligatures w14:val="none"/>
        </w:rPr>
        <w:t xml:space="preserve">Ativos intangíveis com vida útil definida adquiridos são registrados ao custo, deduzido da amortização e das perdas por redução ao valor recuperável acumuladas. A amortização é reconhecida linearmente com base na vida útil estimada dos ativos. A vida útil estimada e o método de amortização são revisados no fim de cada exercício e o efeito de quaisquer mudanças nas estimativas é contabilizado prospectivamente. Ativos intangíveis com vida útil indefinida adquiridos são registrados ao custo, deduzido das perdas por redução ao valor recuperável acumuladas. </w:t>
      </w:r>
    </w:p>
    <w:p w14:paraId="4EF23849" w14:textId="77777777" w:rsidR="00425DB8" w:rsidRPr="00425DB8" w:rsidRDefault="00425DB8" w:rsidP="00425DB8">
      <w:pPr>
        <w:spacing w:after="0"/>
        <w:jc w:val="both"/>
        <w:rPr>
          <w:rFonts w:ascii="Calibri" w:eastAsia="Times New Roman" w:hAnsi="Calibri" w:cs="Calibri"/>
          <w:color w:val="002060"/>
          <w:kern w:val="0"/>
          <w14:ligatures w14:val="none"/>
        </w:rPr>
      </w:pPr>
      <w:r w:rsidRPr="00425DB8">
        <w:rPr>
          <w:rFonts w:ascii="Calibri" w:eastAsia="Times New Roman" w:hAnsi="Calibri" w:cs="Calibri"/>
          <w:color w:val="002060"/>
          <w:kern w:val="0"/>
          <w14:ligatures w14:val="none"/>
        </w:rPr>
        <w:t xml:space="preserve">As licenças de </w:t>
      </w:r>
      <w:r w:rsidRPr="00425DB8">
        <w:rPr>
          <w:rFonts w:ascii="Calibri" w:eastAsia="Times New Roman" w:hAnsi="Calibri" w:cs="Calibri"/>
          <w:i/>
          <w:iCs/>
          <w:color w:val="002060"/>
          <w:kern w:val="0"/>
          <w14:ligatures w14:val="none"/>
        </w:rPr>
        <w:t>software</w:t>
      </w:r>
      <w:r w:rsidRPr="00425DB8">
        <w:rPr>
          <w:rFonts w:ascii="Calibri" w:eastAsia="Times New Roman" w:hAnsi="Calibri" w:cs="Calibri"/>
          <w:color w:val="002060"/>
          <w:kern w:val="0"/>
          <w14:ligatures w14:val="none"/>
        </w:rPr>
        <w:t xml:space="preserve"> adquiridas são capitalizadas com base nos custos incorridos para adquirir os </w:t>
      </w:r>
      <w:r w:rsidRPr="00425DB8">
        <w:rPr>
          <w:rFonts w:ascii="Calibri" w:eastAsia="Times New Roman" w:hAnsi="Calibri" w:cs="Calibri"/>
          <w:i/>
          <w:iCs/>
          <w:color w:val="002060"/>
          <w:kern w:val="0"/>
          <w14:ligatures w14:val="none"/>
        </w:rPr>
        <w:t>softwares</w:t>
      </w:r>
      <w:r w:rsidRPr="00425DB8">
        <w:rPr>
          <w:rFonts w:ascii="Calibri" w:eastAsia="Times New Roman" w:hAnsi="Calibri" w:cs="Calibri"/>
          <w:color w:val="002060"/>
          <w:kern w:val="0"/>
          <w14:ligatures w14:val="none"/>
        </w:rPr>
        <w:t xml:space="preserve"> e fazer com que eles estejam prontos para serem utilizados. </w:t>
      </w:r>
    </w:p>
    <w:p w14:paraId="1496DA32" w14:textId="77777777" w:rsidR="00425DB8" w:rsidRPr="00425DB8" w:rsidRDefault="00425DB8" w:rsidP="00425DB8">
      <w:pPr>
        <w:spacing w:after="0"/>
        <w:jc w:val="both"/>
        <w:rPr>
          <w:rFonts w:ascii="Calibri" w:eastAsia="Times New Roman" w:hAnsi="Calibri" w:cs="Calibri"/>
          <w:color w:val="002060"/>
          <w:kern w:val="0"/>
          <w14:ligatures w14:val="none"/>
        </w:rPr>
      </w:pPr>
      <w:r w:rsidRPr="00425DB8">
        <w:rPr>
          <w:rFonts w:ascii="Calibri" w:eastAsia="Times New Roman" w:hAnsi="Calibri" w:cs="Calibri"/>
          <w:color w:val="002060"/>
          <w:kern w:val="0"/>
          <w14:ligatures w14:val="none"/>
        </w:rPr>
        <w:t xml:space="preserve">Os custos associados à manutenção de </w:t>
      </w:r>
      <w:r w:rsidRPr="00425DB8">
        <w:rPr>
          <w:rFonts w:ascii="Calibri" w:eastAsia="Times New Roman" w:hAnsi="Calibri" w:cs="Calibri"/>
          <w:i/>
          <w:iCs/>
          <w:color w:val="002060"/>
          <w:kern w:val="0"/>
          <w14:ligatures w14:val="none"/>
        </w:rPr>
        <w:t>softwares</w:t>
      </w:r>
      <w:r w:rsidRPr="00425DB8">
        <w:rPr>
          <w:rFonts w:ascii="Calibri" w:eastAsia="Times New Roman" w:hAnsi="Calibri" w:cs="Calibri"/>
          <w:color w:val="002060"/>
          <w:kern w:val="0"/>
          <w14:ligatures w14:val="none"/>
        </w:rPr>
        <w:t xml:space="preserve"> são reconhecidos como despesa, conforme incorridos. Os custos de desenvolvimento que são diretamente atribuíveis ao projeto e aos testes de produtos de </w:t>
      </w:r>
      <w:r w:rsidRPr="00425DB8">
        <w:rPr>
          <w:rFonts w:ascii="Calibri" w:eastAsia="Times New Roman" w:hAnsi="Calibri" w:cs="Calibri"/>
          <w:i/>
          <w:iCs/>
          <w:color w:val="002060"/>
          <w:kern w:val="0"/>
          <w14:ligatures w14:val="none"/>
        </w:rPr>
        <w:t>software</w:t>
      </w:r>
      <w:r w:rsidRPr="00425DB8">
        <w:rPr>
          <w:rFonts w:ascii="Calibri" w:eastAsia="Times New Roman" w:hAnsi="Calibri" w:cs="Calibri"/>
          <w:color w:val="002060"/>
          <w:kern w:val="0"/>
          <w14:ligatures w14:val="none"/>
        </w:rPr>
        <w:t xml:space="preserve"> identificáveis e exclusivos, controlados pela Companhia, são reconhecidos como ativos intangíveis quando os seguintes critérios são atendidos: </w:t>
      </w:r>
    </w:p>
    <w:p w14:paraId="7A3D7C5D" w14:textId="77777777" w:rsidR="00425DB8" w:rsidRPr="00425DB8" w:rsidRDefault="00425DB8" w:rsidP="00425DB8">
      <w:pPr>
        <w:spacing w:after="0"/>
        <w:jc w:val="both"/>
        <w:rPr>
          <w:rFonts w:ascii="Calibri" w:eastAsia="Times New Roman" w:hAnsi="Calibri" w:cs="Calibri"/>
          <w:color w:val="002060"/>
          <w:kern w:val="0"/>
          <w14:ligatures w14:val="none"/>
        </w:rPr>
      </w:pPr>
      <w:r w:rsidRPr="00425DB8">
        <w:rPr>
          <w:rFonts w:ascii="Calibri" w:eastAsia="Times New Roman" w:hAnsi="Calibri" w:cs="Calibri"/>
          <w:color w:val="002060"/>
          <w:kern w:val="0"/>
          <w14:ligatures w14:val="none"/>
        </w:rPr>
        <w:t xml:space="preserve">(i) é tecnicamente viável concluir o </w:t>
      </w:r>
      <w:r w:rsidRPr="00425DB8">
        <w:rPr>
          <w:rFonts w:ascii="Calibri" w:eastAsia="Times New Roman" w:hAnsi="Calibri" w:cs="Calibri"/>
          <w:i/>
          <w:iCs/>
          <w:color w:val="002060"/>
          <w:kern w:val="0"/>
          <w14:ligatures w14:val="none"/>
        </w:rPr>
        <w:t>software</w:t>
      </w:r>
      <w:r w:rsidRPr="00425DB8">
        <w:rPr>
          <w:rFonts w:ascii="Calibri" w:eastAsia="Times New Roman" w:hAnsi="Calibri" w:cs="Calibri"/>
          <w:color w:val="002060"/>
          <w:kern w:val="0"/>
          <w14:ligatures w14:val="none"/>
        </w:rPr>
        <w:t xml:space="preserve"> para que ele esteja disponível para uso;</w:t>
      </w:r>
    </w:p>
    <w:p w14:paraId="23D8F193" w14:textId="77777777" w:rsidR="00425DB8" w:rsidRPr="00425DB8" w:rsidRDefault="00425DB8" w:rsidP="00425DB8">
      <w:pPr>
        <w:spacing w:after="0"/>
        <w:jc w:val="both"/>
        <w:rPr>
          <w:rFonts w:ascii="Calibri" w:eastAsia="Times New Roman" w:hAnsi="Calibri" w:cs="Calibri"/>
          <w:color w:val="002060"/>
          <w:kern w:val="0"/>
          <w14:ligatures w14:val="none"/>
        </w:rPr>
      </w:pPr>
      <w:r w:rsidRPr="00425DB8">
        <w:rPr>
          <w:rFonts w:ascii="Calibri" w:eastAsia="Times New Roman" w:hAnsi="Calibri" w:cs="Calibri"/>
          <w:color w:val="002060"/>
          <w:kern w:val="0"/>
          <w14:ligatures w14:val="none"/>
        </w:rPr>
        <w:t>(</w:t>
      </w:r>
      <w:proofErr w:type="spellStart"/>
      <w:r w:rsidRPr="00425DB8">
        <w:rPr>
          <w:rFonts w:ascii="Calibri" w:eastAsia="Times New Roman" w:hAnsi="Calibri" w:cs="Calibri"/>
          <w:color w:val="002060"/>
          <w:kern w:val="0"/>
          <w14:ligatures w14:val="none"/>
        </w:rPr>
        <w:t>ii</w:t>
      </w:r>
      <w:proofErr w:type="spellEnd"/>
      <w:r w:rsidRPr="00425DB8">
        <w:rPr>
          <w:rFonts w:ascii="Calibri" w:eastAsia="Times New Roman" w:hAnsi="Calibri" w:cs="Calibri"/>
          <w:color w:val="002060"/>
          <w:kern w:val="0"/>
          <w14:ligatures w14:val="none"/>
        </w:rPr>
        <w:t xml:space="preserve">) a Administração pretende concluir o </w:t>
      </w:r>
      <w:r w:rsidRPr="00425DB8">
        <w:rPr>
          <w:rFonts w:ascii="Calibri" w:eastAsia="Times New Roman" w:hAnsi="Calibri" w:cs="Calibri"/>
          <w:i/>
          <w:iCs/>
          <w:color w:val="002060"/>
          <w:kern w:val="0"/>
          <w14:ligatures w14:val="none"/>
        </w:rPr>
        <w:t>software</w:t>
      </w:r>
      <w:r w:rsidRPr="00425DB8">
        <w:rPr>
          <w:rFonts w:ascii="Calibri" w:eastAsia="Times New Roman" w:hAnsi="Calibri" w:cs="Calibri"/>
          <w:color w:val="002060"/>
          <w:kern w:val="0"/>
          <w14:ligatures w14:val="none"/>
        </w:rPr>
        <w:t xml:space="preserve"> e usá-lo ou vendê-lo;</w:t>
      </w:r>
    </w:p>
    <w:p w14:paraId="54B85C8F" w14:textId="77777777" w:rsidR="00425DB8" w:rsidRPr="00425DB8" w:rsidRDefault="00425DB8" w:rsidP="00425DB8">
      <w:pPr>
        <w:spacing w:after="0"/>
        <w:jc w:val="both"/>
        <w:rPr>
          <w:rFonts w:ascii="Calibri" w:eastAsia="Times New Roman" w:hAnsi="Calibri" w:cs="Calibri"/>
          <w:color w:val="002060"/>
          <w:kern w:val="0"/>
          <w14:ligatures w14:val="none"/>
        </w:rPr>
      </w:pPr>
      <w:r w:rsidRPr="00425DB8">
        <w:rPr>
          <w:rFonts w:ascii="Calibri" w:eastAsia="Times New Roman" w:hAnsi="Calibri" w:cs="Calibri"/>
          <w:color w:val="002060"/>
          <w:kern w:val="0"/>
          <w14:ligatures w14:val="none"/>
        </w:rPr>
        <w:t>(</w:t>
      </w:r>
      <w:proofErr w:type="spellStart"/>
      <w:r w:rsidRPr="00425DB8">
        <w:rPr>
          <w:rFonts w:ascii="Calibri" w:eastAsia="Times New Roman" w:hAnsi="Calibri" w:cs="Calibri"/>
          <w:color w:val="002060"/>
          <w:kern w:val="0"/>
          <w14:ligatures w14:val="none"/>
        </w:rPr>
        <w:t>iii</w:t>
      </w:r>
      <w:proofErr w:type="spellEnd"/>
      <w:r w:rsidRPr="00425DB8">
        <w:rPr>
          <w:rFonts w:ascii="Calibri" w:eastAsia="Times New Roman" w:hAnsi="Calibri" w:cs="Calibri"/>
          <w:color w:val="002060"/>
          <w:kern w:val="0"/>
          <w14:ligatures w14:val="none"/>
        </w:rPr>
        <w:t xml:space="preserve">) pode-se demonstrar que é provável que o </w:t>
      </w:r>
      <w:r w:rsidRPr="00425DB8">
        <w:rPr>
          <w:rFonts w:ascii="Calibri" w:eastAsia="Times New Roman" w:hAnsi="Calibri" w:cs="Calibri"/>
          <w:i/>
          <w:iCs/>
          <w:color w:val="002060"/>
          <w:kern w:val="0"/>
          <w14:ligatures w14:val="none"/>
        </w:rPr>
        <w:t>software</w:t>
      </w:r>
      <w:r w:rsidRPr="00425DB8">
        <w:rPr>
          <w:rFonts w:ascii="Calibri" w:eastAsia="Times New Roman" w:hAnsi="Calibri" w:cs="Calibri"/>
          <w:color w:val="002060"/>
          <w:kern w:val="0"/>
          <w14:ligatures w14:val="none"/>
        </w:rPr>
        <w:t xml:space="preserve"> gere benefícios econômicos futuros;</w:t>
      </w:r>
    </w:p>
    <w:p w14:paraId="3FC3B0B7" w14:textId="77777777" w:rsidR="00425DB8" w:rsidRPr="00425DB8" w:rsidRDefault="00425DB8" w:rsidP="00425DB8">
      <w:pPr>
        <w:spacing w:after="0"/>
        <w:jc w:val="both"/>
        <w:rPr>
          <w:rFonts w:ascii="Calibri" w:eastAsia="Times New Roman" w:hAnsi="Calibri" w:cs="Calibri"/>
          <w:color w:val="002060"/>
          <w:kern w:val="0"/>
          <w14:ligatures w14:val="none"/>
        </w:rPr>
      </w:pPr>
      <w:r w:rsidRPr="00425DB8">
        <w:rPr>
          <w:rFonts w:ascii="Calibri" w:eastAsia="Times New Roman" w:hAnsi="Calibri" w:cs="Calibri"/>
          <w:color w:val="002060"/>
          <w:kern w:val="0"/>
          <w14:ligatures w14:val="none"/>
        </w:rPr>
        <w:t>(</w:t>
      </w:r>
      <w:proofErr w:type="spellStart"/>
      <w:r w:rsidRPr="00425DB8">
        <w:rPr>
          <w:rFonts w:ascii="Calibri" w:eastAsia="Times New Roman" w:hAnsi="Calibri" w:cs="Calibri"/>
          <w:color w:val="002060"/>
          <w:kern w:val="0"/>
          <w14:ligatures w14:val="none"/>
        </w:rPr>
        <w:t>iv</w:t>
      </w:r>
      <w:proofErr w:type="spellEnd"/>
      <w:r w:rsidRPr="00425DB8">
        <w:rPr>
          <w:rFonts w:ascii="Calibri" w:eastAsia="Times New Roman" w:hAnsi="Calibri" w:cs="Calibri"/>
          <w:color w:val="002060"/>
          <w:kern w:val="0"/>
          <w14:ligatures w14:val="none"/>
        </w:rPr>
        <w:t xml:space="preserve">) estão disponíveis adequados recursos técnicos, financeiros e outros recursos para concluir o desenvolvimento e para usar ou vender o </w:t>
      </w:r>
      <w:r w:rsidRPr="00425DB8">
        <w:rPr>
          <w:rFonts w:ascii="Calibri" w:eastAsia="Times New Roman" w:hAnsi="Calibri" w:cs="Calibri"/>
          <w:i/>
          <w:iCs/>
          <w:color w:val="002060"/>
          <w:kern w:val="0"/>
          <w14:ligatures w14:val="none"/>
        </w:rPr>
        <w:t>software</w:t>
      </w:r>
      <w:r w:rsidRPr="00425DB8">
        <w:rPr>
          <w:rFonts w:ascii="Calibri" w:eastAsia="Times New Roman" w:hAnsi="Calibri" w:cs="Calibri"/>
          <w:color w:val="002060"/>
          <w:kern w:val="0"/>
          <w14:ligatures w14:val="none"/>
        </w:rPr>
        <w:t>;</w:t>
      </w:r>
    </w:p>
    <w:p w14:paraId="515F435B" w14:textId="77777777" w:rsidR="00425DB8" w:rsidRPr="00425DB8" w:rsidRDefault="00425DB8" w:rsidP="00425DB8">
      <w:pPr>
        <w:spacing w:after="0"/>
        <w:jc w:val="both"/>
        <w:rPr>
          <w:rFonts w:ascii="Calibri" w:eastAsia="Times New Roman" w:hAnsi="Calibri" w:cs="Calibri"/>
          <w:color w:val="002060"/>
          <w:kern w:val="0"/>
          <w14:ligatures w14:val="none"/>
        </w:rPr>
      </w:pPr>
      <w:r w:rsidRPr="00425DB8">
        <w:rPr>
          <w:rFonts w:ascii="Calibri" w:eastAsia="Times New Roman" w:hAnsi="Calibri" w:cs="Calibri"/>
          <w:color w:val="002060"/>
          <w:kern w:val="0"/>
          <w14:ligatures w14:val="none"/>
        </w:rPr>
        <w:lastRenderedPageBreak/>
        <w:t xml:space="preserve">(v) o gasto atribuível ao </w:t>
      </w:r>
      <w:r w:rsidRPr="00425DB8">
        <w:rPr>
          <w:rFonts w:ascii="Calibri" w:eastAsia="Times New Roman" w:hAnsi="Calibri" w:cs="Calibri"/>
          <w:i/>
          <w:iCs/>
          <w:color w:val="002060"/>
          <w:kern w:val="0"/>
          <w14:ligatures w14:val="none"/>
        </w:rPr>
        <w:t>software</w:t>
      </w:r>
      <w:r w:rsidRPr="00425DB8">
        <w:rPr>
          <w:rFonts w:ascii="Calibri" w:eastAsia="Times New Roman" w:hAnsi="Calibri" w:cs="Calibri"/>
          <w:color w:val="002060"/>
          <w:kern w:val="0"/>
          <w14:ligatures w14:val="none"/>
        </w:rPr>
        <w:t xml:space="preserve"> durante seu desenvolvimento pode ser mensurado com segurança. </w:t>
      </w:r>
    </w:p>
    <w:p w14:paraId="19BAB63C" w14:textId="77777777" w:rsidR="00425DB8" w:rsidRPr="00425DB8" w:rsidRDefault="00425DB8" w:rsidP="00425DB8">
      <w:pPr>
        <w:spacing w:after="0"/>
        <w:jc w:val="both"/>
        <w:rPr>
          <w:rFonts w:ascii="Calibri" w:eastAsia="Times New Roman" w:hAnsi="Calibri" w:cs="Calibri"/>
          <w:color w:val="002060"/>
          <w:kern w:val="0"/>
          <w14:ligatures w14:val="none"/>
        </w:rPr>
      </w:pPr>
      <w:r w:rsidRPr="00425DB8">
        <w:rPr>
          <w:rFonts w:ascii="Calibri" w:eastAsia="Times New Roman" w:hAnsi="Calibri" w:cs="Calibri"/>
          <w:color w:val="002060"/>
          <w:kern w:val="0"/>
          <w14:ligatures w14:val="none"/>
        </w:rPr>
        <w:t xml:space="preserve">Os custos diretamente atribuíveis, que são capitalizados como parte do produto de </w:t>
      </w:r>
      <w:r w:rsidRPr="00425DB8">
        <w:rPr>
          <w:rFonts w:ascii="Calibri" w:eastAsia="Times New Roman" w:hAnsi="Calibri" w:cs="Calibri"/>
          <w:i/>
          <w:iCs/>
          <w:color w:val="002060"/>
          <w:kern w:val="0"/>
          <w14:ligatures w14:val="none"/>
        </w:rPr>
        <w:t>software</w:t>
      </w:r>
      <w:r w:rsidRPr="00425DB8">
        <w:rPr>
          <w:rFonts w:ascii="Calibri" w:eastAsia="Times New Roman" w:hAnsi="Calibri" w:cs="Calibri"/>
          <w:color w:val="002060"/>
          <w:kern w:val="0"/>
          <w14:ligatures w14:val="none"/>
        </w:rPr>
        <w:t xml:space="preserve">, incluem os custos com empregados alocados no desenvolvimento do produto e uma parcela adequada das despesas diretas aplicáveis. Os custos também incluem os custos de financiamento incorridos durante o período de desenvolvimento do </w:t>
      </w:r>
      <w:r w:rsidRPr="00425DB8">
        <w:rPr>
          <w:rFonts w:ascii="Calibri" w:eastAsia="Times New Roman" w:hAnsi="Calibri" w:cs="Calibri"/>
          <w:i/>
          <w:iCs/>
          <w:color w:val="002060"/>
          <w:kern w:val="0"/>
          <w14:ligatures w14:val="none"/>
        </w:rPr>
        <w:t>software</w:t>
      </w:r>
      <w:r w:rsidRPr="00425DB8">
        <w:rPr>
          <w:rFonts w:ascii="Calibri" w:eastAsia="Times New Roman" w:hAnsi="Calibri" w:cs="Calibri"/>
          <w:color w:val="002060"/>
          <w:kern w:val="0"/>
          <w14:ligatures w14:val="none"/>
        </w:rPr>
        <w:t xml:space="preserve">. </w:t>
      </w:r>
    </w:p>
    <w:p w14:paraId="2AEDDE7C" w14:textId="77777777" w:rsidR="00425DB8" w:rsidRPr="00425DB8" w:rsidRDefault="00425DB8" w:rsidP="00425DB8">
      <w:pPr>
        <w:spacing w:after="0"/>
        <w:jc w:val="both"/>
        <w:rPr>
          <w:rFonts w:ascii="Calibri" w:eastAsia="Times New Roman" w:hAnsi="Calibri" w:cs="Calibri"/>
          <w:color w:val="002060"/>
          <w:kern w:val="0"/>
          <w14:ligatures w14:val="none"/>
        </w:rPr>
        <w:sectPr w:rsidR="00425DB8" w:rsidRPr="00425DB8" w:rsidSect="00425DB8">
          <w:footerReference w:type="default" r:id="rId51"/>
          <w:type w:val="continuous"/>
          <w:pgSz w:w="11906" w:h="16838" w:code="9"/>
          <w:pgMar w:top="848" w:right="849" w:bottom="993" w:left="1276" w:header="850" w:footer="1134" w:gutter="0"/>
          <w:cols w:space="708"/>
          <w:docGrid w:linePitch="360"/>
        </w:sectPr>
      </w:pPr>
    </w:p>
    <w:p w14:paraId="11A2F0A4" w14:textId="77777777" w:rsidR="00425DB8" w:rsidRPr="00425DB8" w:rsidRDefault="00425DB8" w:rsidP="00425DB8">
      <w:pPr>
        <w:spacing w:after="0"/>
        <w:jc w:val="both"/>
        <w:rPr>
          <w:rFonts w:ascii="Calibri" w:eastAsia="Times New Roman" w:hAnsi="Calibri" w:cs="Calibri"/>
          <w:color w:val="002060"/>
          <w:kern w:val="0"/>
          <w14:ligatures w14:val="none"/>
        </w:rPr>
      </w:pPr>
      <w:r w:rsidRPr="00425DB8">
        <w:rPr>
          <w:rFonts w:ascii="Calibri" w:eastAsia="Times New Roman" w:hAnsi="Calibri" w:cs="Calibri"/>
          <w:color w:val="002060"/>
          <w:kern w:val="0"/>
          <w14:ligatures w14:val="none"/>
        </w:rPr>
        <w:t xml:space="preserve">Outros gastos de desenvolvimento que não atendam a esses critérios são reconhecidos como despesa, conforme incorridos. Os custos de desenvolvimento previamente reconhecidos como despesa não são reconhecidos como ativo em período subsequente. </w:t>
      </w:r>
    </w:p>
    <w:p w14:paraId="382A8FC2" w14:textId="77777777" w:rsidR="00425DB8" w:rsidRDefault="00425DB8" w:rsidP="00425DB8">
      <w:pPr>
        <w:spacing w:after="0"/>
        <w:jc w:val="both"/>
        <w:rPr>
          <w:rFonts w:ascii="Calibri" w:eastAsia="Times New Roman" w:hAnsi="Calibri" w:cs="Calibri"/>
          <w:color w:val="002060"/>
          <w:kern w:val="0"/>
          <w14:ligatures w14:val="none"/>
        </w:rPr>
      </w:pPr>
      <w:r w:rsidRPr="00425DB8">
        <w:rPr>
          <w:rFonts w:ascii="Calibri" w:eastAsia="Times New Roman" w:hAnsi="Calibri" w:cs="Calibri"/>
          <w:color w:val="002060"/>
          <w:kern w:val="0"/>
          <w14:ligatures w14:val="none"/>
        </w:rPr>
        <w:t>A Companhia possui Direitos sobre Autorizações pagos à ANATEL pelo direito de exploração de satélite brasileiro para transporte de sinais de telecomunicações (Projeto SGDC), cuja amortização teve início em julho de 2018 com a entrada em operação do satélite. (Nota Explicativa 15).</w:t>
      </w:r>
    </w:p>
    <w:p w14:paraId="3E274ED0" w14:textId="6F98C616" w:rsidR="00425DB8" w:rsidRPr="00425DB8" w:rsidRDefault="00425DB8" w:rsidP="00425DB8">
      <w:pPr>
        <w:spacing w:after="0"/>
        <w:jc w:val="both"/>
        <w:rPr>
          <w:rFonts w:ascii="Calibri" w:eastAsia="Times New Roman" w:hAnsi="Calibri" w:cs="Calibri"/>
          <w:iCs/>
          <w:color w:val="002060"/>
          <w:kern w:val="0"/>
          <w14:ligatures w14:val="none"/>
        </w:rPr>
      </w:pPr>
      <w:r>
        <w:rPr>
          <w:rFonts w:ascii="Calibri" w:eastAsia="Times New Roman" w:hAnsi="Calibri" w:cs="Calibri"/>
          <w:b/>
          <w:iCs/>
          <w:color w:val="002060"/>
          <w:kern w:val="0"/>
          <w14:ligatures w14:val="none"/>
        </w:rPr>
        <w:t xml:space="preserve">2.2.10. </w:t>
      </w:r>
      <w:r w:rsidRPr="00425DB8">
        <w:rPr>
          <w:rFonts w:ascii="Calibri" w:eastAsia="Times New Roman" w:hAnsi="Calibri" w:cs="Calibri"/>
          <w:b/>
          <w:iCs/>
          <w:color w:val="002060"/>
          <w:kern w:val="0"/>
          <w14:ligatures w14:val="none"/>
        </w:rPr>
        <w:t xml:space="preserve">Redução ao valor recuperável de ativos de longa duração </w:t>
      </w:r>
      <w:r w:rsidRPr="00425DB8">
        <w:rPr>
          <w:rFonts w:ascii="Calibri" w:eastAsia="Times New Roman" w:hAnsi="Calibri" w:cs="Calibri"/>
          <w:iCs/>
          <w:color w:val="002060"/>
          <w:kern w:val="0"/>
          <w14:ligatures w14:val="none"/>
        </w:rPr>
        <w:t>(</w:t>
      </w:r>
      <w:proofErr w:type="spellStart"/>
      <w:r w:rsidRPr="00425DB8">
        <w:rPr>
          <w:rFonts w:ascii="Calibri" w:eastAsia="Times New Roman" w:hAnsi="Calibri" w:cs="Calibri"/>
          <w:i/>
          <w:iCs/>
          <w:color w:val="002060"/>
          <w:kern w:val="0"/>
          <w14:ligatures w14:val="none"/>
        </w:rPr>
        <w:t>Impairment</w:t>
      </w:r>
      <w:proofErr w:type="spellEnd"/>
      <w:r w:rsidRPr="00425DB8">
        <w:rPr>
          <w:rFonts w:ascii="Calibri" w:eastAsia="Times New Roman" w:hAnsi="Calibri" w:cs="Calibri"/>
          <w:i/>
          <w:iCs/>
          <w:color w:val="002060"/>
          <w:kern w:val="0"/>
          <w14:ligatures w14:val="none"/>
        </w:rPr>
        <w:t xml:space="preserve"> </w:t>
      </w:r>
      <w:proofErr w:type="spellStart"/>
      <w:r w:rsidRPr="00425DB8">
        <w:rPr>
          <w:rFonts w:ascii="Calibri" w:eastAsia="Times New Roman" w:hAnsi="Calibri" w:cs="Calibri"/>
          <w:i/>
          <w:iCs/>
          <w:color w:val="002060"/>
          <w:kern w:val="0"/>
          <w14:ligatures w14:val="none"/>
        </w:rPr>
        <w:t>test</w:t>
      </w:r>
      <w:proofErr w:type="spellEnd"/>
      <w:r w:rsidRPr="00425DB8">
        <w:rPr>
          <w:rFonts w:ascii="Calibri" w:eastAsia="Times New Roman" w:hAnsi="Calibri" w:cs="Calibri"/>
          <w:iCs/>
          <w:color w:val="002060"/>
          <w:kern w:val="0"/>
          <w14:ligatures w14:val="none"/>
        </w:rPr>
        <w:t>)</w:t>
      </w:r>
    </w:p>
    <w:p w14:paraId="078961BD" w14:textId="77777777" w:rsidR="00425DB8" w:rsidRPr="00425DB8" w:rsidRDefault="00425DB8" w:rsidP="00425DB8">
      <w:pPr>
        <w:spacing w:after="0"/>
        <w:jc w:val="both"/>
        <w:rPr>
          <w:rFonts w:ascii="Calibri" w:eastAsia="Times New Roman" w:hAnsi="Calibri" w:cs="Calibri"/>
          <w:color w:val="002060"/>
          <w:kern w:val="0"/>
          <w14:ligatures w14:val="none"/>
        </w:rPr>
      </w:pPr>
      <w:r w:rsidRPr="00425DB8">
        <w:rPr>
          <w:rFonts w:ascii="Calibri" w:eastAsia="Times New Roman" w:hAnsi="Calibri" w:cs="Calibri"/>
          <w:color w:val="002060"/>
          <w:kern w:val="0"/>
          <w14:ligatures w14:val="none"/>
        </w:rPr>
        <w:t>Anualmente o valor contábil líquido dos ativos da Telebras deverá ser revisado com o objetivo de avaliar eventos ou mudanças nas circunstâncias econômicas, operacionais ou tecnológicas que possam indicar deterioração ou perda de seu valor recuperável. Sendo tais evidências identificadas e tendo o valor contábil líquido excedido o valor recuperável, deverá ser constituída provisão para desvalorização, ajustando o valor contábil líquido ao valor recuperável.</w:t>
      </w:r>
    </w:p>
    <w:p w14:paraId="46B6431E" w14:textId="52F43087" w:rsidR="00425DB8" w:rsidRPr="00425DB8" w:rsidRDefault="00425DB8" w:rsidP="00425DB8">
      <w:pPr>
        <w:spacing w:after="0"/>
        <w:jc w:val="both"/>
        <w:rPr>
          <w:rFonts w:ascii="Calibri" w:eastAsia="Times New Roman" w:hAnsi="Calibri" w:cs="Calibri"/>
          <w:color w:val="002060"/>
          <w:kern w:val="0"/>
          <w14:ligatures w14:val="none"/>
        </w:rPr>
      </w:pPr>
      <w:r w:rsidRPr="00425DB8">
        <w:rPr>
          <w:rFonts w:ascii="Calibri" w:eastAsia="Times New Roman" w:hAnsi="Calibri" w:cs="Calibri"/>
          <w:color w:val="002060"/>
          <w:kern w:val="0"/>
          <w14:ligatures w14:val="none"/>
        </w:rPr>
        <w:t xml:space="preserve"> O valor recuperável de um ativo ou de determinada unidade geradora de caixa (“UGC”) é definido como sendo o maior entre o valor em uso e o valor líquido de venda. Na estimativa do valor em uso do ativo ou UGC, os fluxos de caixa futuros estimados são descontados ao seu valor presente, utilizando uma taxa de desconto com base na taxa do custo de capital “</w:t>
      </w:r>
      <w:r w:rsidRPr="00425DB8">
        <w:rPr>
          <w:rFonts w:ascii="Calibri" w:eastAsia="Times New Roman" w:hAnsi="Calibri" w:cs="Calibri"/>
          <w:i/>
          <w:iCs/>
          <w:color w:val="002060"/>
          <w:kern w:val="0"/>
          <w14:ligatures w14:val="none"/>
        </w:rPr>
        <w:t xml:space="preserve">The Capital </w:t>
      </w:r>
      <w:proofErr w:type="spellStart"/>
      <w:r w:rsidRPr="00425DB8">
        <w:rPr>
          <w:rFonts w:ascii="Calibri" w:eastAsia="Times New Roman" w:hAnsi="Calibri" w:cs="Calibri"/>
          <w:i/>
          <w:iCs/>
          <w:color w:val="002060"/>
          <w:kern w:val="0"/>
          <w14:ligatures w14:val="none"/>
        </w:rPr>
        <w:t>Asset</w:t>
      </w:r>
      <w:proofErr w:type="spellEnd"/>
      <w:r w:rsidRPr="00425DB8">
        <w:rPr>
          <w:rFonts w:ascii="Calibri" w:eastAsia="Times New Roman" w:hAnsi="Calibri" w:cs="Calibri"/>
          <w:i/>
          <w:iCs/>
          <w:color w:val="002060"/>
          <w:kern w:val="0"/>
          <w14:ligatures w14:val="none"/>
        </w:rPr>
        <w:t xml:space="preserve"> </w:t>
      </w:r>
      <w:proofErr w:type="spellStart"/>
      <w:r w:rsidRPr="00425DB8">
        <w:rPr>
          <w:rFonts w:ascii="Calibri" w:eastAsia="Times New Roman" w:hAnsi="Calibri" w:cs="Calibri"/>
          <w:i/>
          <w:iCs/>
          <w:color w:val="002060"/>
          <w:kern w:val="0"/>
          <w14:ligatures w14:val="none"/>
        </w:rPr>
        <w:t>Pricing</w:t>
      </w:r>
      <w:proofErr w:type="spellEnd"/>
      <w:r w:rsidRPr="00425DB8">
        <w:rPr>
          <w:rFonts w:ascii="Calibri" w:eastAsia="Times New Roman" w:hAnsi="Calibri" w:cs="Calibri"/>
          <w:i/>
          <w:iCs/>
          <w:color w:val="002060"/>
          <w:kern w:val="0"/>
          <w14:ligatures w14:val="none"/>
        </w:rPr>
        <w:t xml:space="preserve"> Model</w:t>
      </w:r>
      <w:r w:rsidRPr="00425DB8">
        <w:rPr>
          <w:rFonts w:ascii="Calibri" w:eastAsia="Times New Roman" w:hAnsi="Calibri" w:cs="Calibri"/>
          <w:color w:val="002060"/>
          <w:kern w:val="0"/>
          <w14:ligatures w14:val="none"/>
        </w:rPr>
        <w:t xml:space="preserve">” (“CAPM”) (Modelo de Precificação de Ativos) antes dos impostos, que reflete o custo médio ponderado de capital e os riscos específicos do ativo ou UGC. </w:t>
      </w:r>
    </w:p>
    <w:p w14:paraId="17A439FA" w14:textId="77777777" w:rsidR="00425DB8" w:rsidRPr="00425DB8" w:rsidRDefault="00425DB8" w:rsidP="00425DB8">
      <w:pPr>
        <w:spacing w:after="0"/>
        <w:jc w:val="both"/>
        <w:rPr>
          <w:rFonts w:ascii="Calibri" w:eastAsia="Times New Roman" w:hAnsi="Calibri" w:cs="Calibri"/>
          <w:color w:val="002060"/>
          <w:kern w:val="0"/>
          <w14:ligatures w14:val="none"/>
        </w:rPr>
      </w:pPr>
      <w:r w:rsidRPr="00425DB8">
        <w:rPr>
          <w:rFonts w:ascii="Calibri" w:eastAsia="Times New Roman" w:hAnsi="Calibri" w:cs="Calibri"/>
          <w:color w:val="002060"/>
          <w:kern w:val="0"/>
          <w14:ligatures w14:val="none"/>
        </w:rPr>
        <w:t xml:space="preserve">O valor líquido de venda é determinado, sempre que possível, com base em contrato de venda firme em uma transação em bases comutativas, entre partes conhecedoras e interessadas, ajustado por despesas atribuíveis à venda do ativo, ou quando não há contrato de venda firme, com base no preço de mercado de um mercado ativo, ou no preço da transação mais recente com ativos semelhantes. </w:t>
      </w:r>
    </w:p>
    <w:p w14:paraId="470B7052" w14:textId="77777777" w:rsidR="00425DB8" w:rsidRPr="00425DB8" w:rsidRDefault="00425DB8" w:rsidP="00425DB8">
      <w:pPr>
        <w:spacing w:after="0"/>
        <w:jc w:val="both"/>
        <w:rPr>
          <w:rFonts w:ascii="Calibri" w:eastAsia="Times New Roman" w:hAnsi="Calibri" w:cs="Calibri"/>
          <w:color w:val="002060"/>
          <w:kern w:val="0"/>
          <w14:ligatures w14:val="none"/>
        </w:rPr>
      </w:pPr>
      <w:r w:rsidRPr="00425DB8">
        <w:rPr>
          <w:rFonts w:ascii="Calibri" w:eastAsia="Times New Roman" w:hAnsi="Calibri" w:cs="Calibri"/>
          <w:color w:val="002060"/>
          <w:kern w:val="0"/>
          <w14:ligatures w14:val="none"/>
        </w:rPr>
        <w:t>As perdas em operações continuadas, incluindo a desvalorização de estoques, são reconhecidas na demonstração dos resultados em contas de despesas compatíveis com a função dos ativos.</w:t>
      </w:r>
    </w:p>
    <w:p w14:paraId="76F5C6BC" w14:textId="7CF692AA" w:rsidR="00425DB8" w:rsidRPr="00425DB8" w:rsidRDefault="00425DB8" w:rsidP="00425DB8">
      <w:pPr>
        <w:spacing w:after="0"/>
        <w:jc w:val="both"/>
        <w:rPr>
          <w:rFonts w:ascii="Calibri" w:eastAsia="Times New Roman" w:hAnsi="Calibri" w:cs="Calibri"/>
          <w:color w:val="002060"/>
          <w:kern w:val="0"/>
          <w14:ligatures w14:val="none"/>
        </w:rPr>
      </w:pPr>
      <w:r w:rsidRPr="00425DB8">
        <w:rPr>
          <w:rFonts w:ascii="Calibri" w:eastAsia="Times New Roman" w:hAnsi="Calibri" w:cs="Calibri"/>
          <w:color w:val="002060"/>
          <w:kern w:val="0"/>
          <w14:ligatures w14:val="none"/>
        </w:rPr>
        <w:t xml:space="preserve"> Para os ativos, excluindo o ágio, é efetuada uma avaliação em cada data de encerramento de exercício para identificar se há alguma indicação de que as perdas do valor recuperável anteriormente reconhecidas podem já não existir ou possam ter diminuído. Uma perda do valor recuperável anteriormente reconhecida é revertida apenas se tiver ocorrido uma mudança nos pressupostos utilizados para determinar o valor recuperável do ativo ou </w:t>
      </w:r>
      <w:proofErr w:type="spellStart"/>
      <w:r w:rsidRPr="00425DB8">
        <w:rPr>
          <w:rFonts w:ascii="Calibri" w:eastAsia="Times New Roman" w:hAnsi="Calibri" w:cs="Calibri"/>
          <w:color w:val="002060"/>
          <w:kern w:val="0"/>
          <w14:ligatures w14:val="none"/>
        </w:rPr>
        <w:t>UGCs</w:t>
      </w:r>
      <w:proofErr w:type="spellEnd"/>
      <w:r w:rsidRPr="00425DB8">
        <w:rPr>
          <w:rFonts w:ascii="Calibri" w:eastAsia="Times New Roman" w:hAnsi="Calibri" w:cs="Calibri"/>
          <w:color w:val="002060"/>
          <w:kern w:val="0"/>
          <w14:ligatures w14:val="none"/>
        </w:rPr>
        <w:t>, desde quando a última perda do valor recuperável foi reconhecida. A reversão é limitada para que o valor contábil do ativo não exceda o seu valor recuperável, nem o valor contábil que teria sido determinado, líquido de depreciação, se nenhuma perda do valor recuperável tivesse sido reconhecida no ativo em exercícios anteriores. Essa reversão é reconhecida na demonstração dos resultados, caso aplicável.</w:t>
      </w:r>
    </w:p>
    <w:p w14:paraId="2B4D4075" w14:textId="77777777" w:rsidR="00425DB8" w:rsidRPr="00425DB8" w:rsidRDefault="00425DB8" w:rsidP="00425DB8">
      <w:pPr>
        <w:spacing w:after="0"/>
        <w:jc w:val="both"/>
        <w:rPr>
          <w:rFonts w:ascii="Calibri" w:eastAsia="Times New Roman" w:hAnsi="Calibri" w:cs="Calibri"/>
          <w:color w:val="002060"/>
          <w:kern w:val="0"/>
          <w14:ligatures w14:val="none"/>
        </w:rPr>
      </w:pPr>
      <w:r w:rsidRPr="00425DB8">
        <w:rPr>
          <w:rFonts w:ascii="Calibri" w:eastAsia="Times New Roman" w:hAnsi="Calibri" w:cs="Calibri"/>
          <w:color w:val="002060"/>
          <w:kern w:val="0"/>
          <w14:ligatures w14:val="none"/>
        </w:rPr>
        <w:t xml:space="preserve">Os seguintes critérios são aplicados na avaliação do valor recuperável dos seguintes ativos: </w:t>
      </w:r>
    </w:p>
    <w:p w14:paraId="3B66ABE1" w14:textId="77777777" w:rsidR="00425DB8" w:rsidRPr="00425DB8" w:rsidRDefault="00425DB8" w:rsidP="00425DB8">
      <w:pPr>
        <w:spacing w:after="0"/>
        <w:jc w:val="both"/>
        <w:rPr>
          <w:rFonts w:ascii="Calibri" w:eastAsia="Times New Roman" w:hAnsi="Calibri" w:cs="Calibri"/>
          <w:color w:val="002060"/>
          <w:kern w:val="0"/>
          <w14:ligatures w14:val="none"/>
        </w:rPr>
      </w:pPr>
      <w:r w:rsidRPr="00425DB8">
        <w:rPr>
          <w:rFonts w:ascii="Calibri" w:eastAsia="Times New Roman" w:hAnsi="Calibri" w:cs="Calibri"/>
          <w:color w:val="002060"/>
          <w:kern w:val="0"/>
          <w14:ligatures w14:val="none"/>
        </w:rPr>
        <w:t>(i) Ágio: o teste de perda por redução ao valor recuperável de ágio (quando aplicável) é efetuado anualmente na data do encerramento do exercício ou antes disso quando as circunstâncias indicarem perda por desvalorização do valor contábil. Quando o valor recuperável é menor do que seu valor contábil, uma perda de valor recuperável é reconhecida. As perdas de valor recuperável relativas ao ágio não podem ser revertidas em exercícios futuros.</w:t>
      </w:r>
    </w:p>
    <w:p w14:paraId="69C24BAF" w14:textId="77777777" w:rsidR="00425DB8" w:rsidRPr="00425DB8" w:rsidRDefault="00425DB8" w:rsidP="00425DB8">
      <w:pPr>
        <w:spacing w:after="0"/>
        <w:jc w:val="both"/>
        <w:rPr>
          <w:rFonts w:ascii="Calibri" w:eastAsia="Times New Roman" w:hAnsi="Calibri" w:cs="Calibri"/>
          <w:color w:val="002060"/>
          <w:kern w:val="0"/>
          <w14:ligatures w14:val="none"/>
        </w:rPr>
      </w:pPr>
      <w:r w:rsidRPr="00425DB8">
        <w:rPr>
          <w:rFonts w:ascii="Calibri" w:eastAsia="Times New Roman" w:hAnsi="Calibri" w:cs="Calibri"/>
          <w:color w:val="002060"/>
          <w:kern w:val="0"/>
          <w14:ligatures w14:val="none"/>
        </w:rPr>
        <w:t>(</w:t>
      </w:r>
      <w:proofErr w:type="spellStart"/>
      <w:r w:rsidRPr="00425DB8">
        <w:rPr>
          <w:rFonts w:ascii="Calibri" w:eastAsia="Times New Roman" w:hAnsi="Calibri" w:cs="Calibri"/>
          <w:color w:val="002060"/>
          <w:kern w:val="0"/>
          <w14:ligatures w14:val="none"/>
        </w:rPr>
        <w:t>ii</w:t>
      </w:r>
      <w:proofErr w:type="spellEnd"/>
      <w:r w:rsidRPr="00425DB8">
        <w:rPr>
          <w:rFonts w:ascii="Calibri" w:eastAsia="Times New Roman" w:hAnsi="Calibri" w:cs="Calibri"/>
          <w:color w:val="002060"/>
          <w:kern w:val="0"/>
          <w14:ligatures w14:val="none"/>
        </w:rPr>
        <w:t>) Ativos intangíveis: os ativos intangíveis com vida útil indefinida são testados em relação à perda por redução ao valor recuperável anualmente na data do encerramento do exercício, individualmente ou em nível da unidade geradora de caixa, conforme o caso, ou quando as circunstâncias indicarem perda por desvalorização do valor contábil.</w:t>
      </w:r>
    </w:p>
    <w:p w14:paraId="5BF3C910" w14:textId="77777777" w:rsidR="00425DB8" w:rsidRDefault="00425DB8" w:rsidP="00425DB8">
      <w:pPr>
        <w:spacing w:after="0"/>
        <w:jc w:val="both"/>
        <w:rPr>
          <w:rFonts w:ascii="Calibri" w:eastAsia="Times New Roman" w:hAnsi="Calibri" w:cs="Calibri"/>
          <w:color w:val="002060"/>
          <w:kern w:val="0"/>
          <w14:ligatures w14:val="none"/>
        </w:rPr>
      </w:pPr>
      <w:r w:rsidRPr="00425DB8">
        <w:rPr>
          <w:rFonts w:ascii="Calibri" w:eastAsia="Times New Roman" w:hAnsi="Calibri" w:cs="Calibri"/>
          <w:color w:val="002060"/>
          <w:kern w:val="0"/>
          <w14:ligatures w14:val="none"/>
        </w:rPr>
        <w:t>(</w:t>
      </w:r>
      <w:proofErr w:type="spellStart"/>
      <w:r w:rsidRPr="00425DB8">
        <w:rPr>
          <w:rFonts w:ascii="Calibri" w:eastAsia="Times New Roman" w:hAnsi="Calibri" w:cs="Calibri"/>
          <w:color w:val="002060"/>
          <w:kern w:val="0"/>
          <w14:ligatures w14:val="none"/>
        </w:rPr>
        <w:t>iii</w:t>
      </w:r>
      <w:proofErr w:type="spellEnd"/>
      <w:r w:rsidRPr="00425DB8">
        <w:rPr>
          <w:rFonts w:ascii="Calibri" w:eastAsia="Times New Roman" w:hAnsi="Calibri" w:cs="Calibri"/>
          <w:color w:val="002060"/>
          <w:kern w:val="0"/>
          <w14:ligatures w14:val="none"/>
        </w:rPr>
        <w:t>) Avaliação do valor em uso: as principais premissas usadas na estimativa do valor em uso são:</w:t>
      </w:r>
    </w:p>
    <w:p w14:paraId="06D20283" w14:textId="44B7D85A" w:rsidR="00425DB8" w:rsidRPr="00425DB8" w:rsidRDefault="00425DB8" w:rsidP="00425DB8">
      <w:pPr>
        <w:spacing w:after="0"/>
        <w:jc w:val="both"/>
        <w:rPr>
          <w:rFonts w:ascii="Calibri" w:eastAsia="Times New Roman" w:hAnsi="Calibri" w:cs="Calibri"/>
          <w:color w:val="002060"/>
          <w:kern w:val="0"/>
          <w14:ligatures w14:val="none"/>
        </w:rPr>
      </w:pPr>
      <w:r w:rsidRPr="00425DB8">
        <w:rPr>
          <w:rFonts w:ascii="Calibri" w:eastAsia="Times New Roman" w:hAnsi="Calibri" w:cs="Calibri"/>
          <w:color w:val="002060"/>
          <w:kern w:val="0"/>
          <w14:ligatures w14:val="none"/>
        </w:rPr>
        <w:lastRenderedPageBreak/>
        <w:t>Receitas: as receitas são projetadas considerando o crescimento da base de clientes, a evolução das receitas do mercado frente ao PIB e a participação da Companhia neste mercado.</w:t>
      </w:r>
    </w:p>
    <w:p w14:paraId="29B52F39" w14:textId="77777777" w:rsidR="00425DB8" w:rsidRPr="00425DB8" w:rsidRDefault="00425DB8" w:rsidP="00425DB8">
      <w:pPr>
        <w:spacing w:after="0"/>
        <w:jc w:val="both"/>
        <w:rPr>
          <w:rFonts w:ascii="Calibri" w:eastAsia="Times New Roman" w:hAnsi="Calibri" w:cs="Calibri"/>
          <w:color w:val="002060"/>
          <w:kern w:val="0"/>
          <w14:ligatures w14:val="none"/>
        </w:rPr>
      </w:pPr>
      <w:r w:rsidRPr="00425DB8">
        <w:rPr>
          <w:rFonts w:ascii="Calibri" w:eastAsia="Times New Roman" w:hAnsi="Calibri" w:cs="Calibri"/>
          <w:color w:val="002060"/>
          <w:kern w:val="0"/>
          <w14:ligatures w14:val="none"/>
        </w:rPr>
        <w:t>Custos e despesas operacionais: os custos e despesas variáveis são projetados de acordo com a dinâmica da base de clientes, e os custos fixos são projetados em linha com o desempenho histórico da Companhia, bem como com o crescimento histórico das receitas.</w:t>
      </w:r>
    </w:p>
    <w:p w14:paraId="330A43A7" w14:textId="77777777" w:rsidR="00425DB8" w:rsidRPr="00425DB8" w:rsidRDefault="00425DB8" w:rsidP="00425DB8">
      <w:pPr>
        <w:spacing w:after="0"/>
        <w:jc w:val="both"/>
        <w:rPr>
          <w:rFonts w:ascii="Calibri" w:eastAsia="Times New Roman" w:hAnsi="Calibri" w:cs="Calibri"/>
          <w:color w:val="002060"/>
          <w:kern w:val="0"/>
          <w14:ligatures w14:val="none"/>
        </w:rPr>
      </w:pPr>
      <w:r w:rsidRPr="00425DB8">
        <w:rPr>
          <w:rFonts w:ascii="Calibri" w:eastAsia="Times New Roman" w:hAnsi="Calibri" w:cs="Calibri"/>
          <w:color w:val="002060"/>
          <w:kern w:val="0"/>
          <w14:ligatures w14:val="none"/>
        </w:rPr>
        <w:t>Investimentos de capital: os investimentos em bens de capital são estimados considerando a infraestrutura tecnológica necessária para viabilizar a oferta dos serviços.</w:t>
      </w:r>
    </w:p>
    <w:p w14:paraId="64C13703" w14:textId="1E4497C0" w:rsidR="00425DB8" w:rsidRPr="00425DB8" w:rsidRDefault="00425DB8" w:rsidP="00425DB8">
      <w:pPr>
        <w:spacing w:after="0"/>
        <w:jc w:val="both"/>
        <w:rPr>
          <w:rFonts w:ascii="Calibri" w:eastAsia="Times New Roman" w:hAnsi="Calibri" w:cs="Calibri"/>
          <w:iCs/>
          <w:color w:val="002060"/>
          <w:kern w:val="0"/>
          <w14:ligatures w14:val="none"/>
        </w:rPr>
      </w:pPr>
      <w:r>
        <w:rPr>
          <w:rFonts w:ascii="Calibri" w:eastAsia="Times New Roman" w:hAnsi="Calibri" w:cs="Calibri"/>
          <w:b/>
          <w:iCs/>
          <w:color w:val="002060"/>
          <w:kern w:val="0"/>
          <w14:ligatures w14:val="none"/>
        </w:rPr>
        <w:t xml:space="preserve">2.2.11. </w:t>
      </w:r>
      <w:r w:rsidRPr="00425DB8">
        <w:rPr>
          <w:rFonts w:ascii="Calibri" w:eastAsia="Times New Roman" w:hAnsi="Calibri" w:cs="Calibri"/>
          <w:b/>
          <w:iCs/>
          <w:color w:val="002060"/>
          <w:kern w:val="0"/>
          <w14:ligatures w14:val="none"/>
        </w:rPr>
        <w:t>Ajuste a valor presente</w:t>
      </w:r>
    </w:p>
    <w:p w14:paraId="37C68BA5" w14:textId="77777777" w:rsidR="00425DB8" w:rsidRPr="00425DB8" w:rsidRDefault="00425DB8" w:rsidP="00425DB8">
      <w:pPr>
        <w:spacing w:after="0"/>
        <w:jc w:val="both"/>
        <w:rPr>
          <w:rFonts w:ascii="Calibri" w:eastAsia="Times New Roman" w:hAnsi="Calibri" w:cs="Calibri"/>
          <w:color w:val="002060"/>
          <w:kern w:val="0"/>
          <w14:ligatures w14:val="none"/>
        </w:rPr>
      </w:pPr>
      <w:r w:rsidRPr="00425DB8">
        <w:rPr>
          <w:rFonts w:ascii="Calibri" w:eastAsia="Times New Roman" w:hAnsi="Calibri" w:cs="Calibri"/>
          <w:color w:val="002060"/>
          <w:kern w:val="0"/>
          <w14:ligatures w14:val="none"/>
        </w:rPr>
        <w:t xml:space="preserve">A Companhia efetua avaliação dos seus ativos e passivos financeiros para identificar a ocorrência da aplicabilidade do ajuste ao valor presente. Os ativos adquiridos através de contratos de arrendamento mercantil (quando aplicável) são ajustados a valor presente. </w:t>
      </w:r>
    </w:p>
    <w:p w14:paraId="1DB2B086" w14:textId="77777777" w:rsidR="00425DB8" w:rsidRPr="00425DB8" w:rsidRDefault="00425DB8" w:rsidP="00425DB8">
      <w:pPr>
        <w:spacing w:after="0"/>
        <w:jc w:val="both"/>
        <w:rPr>
          <w:rFonts w:ascii="Calibri" w:eastAsia="Times New Roman" w:hAnsi="Calibri" w:cs="Calibri"/>
          <w:color w:val="002060"/>
          <w:kern w:val="0"/>
          <w14:ligatures w14:val="none"/>
        </w:rPr>
      </w:pPr>
      <w:r w:rsidRPr="00425DB8">
        <w:rPr>
          <w:rFonts w:ascii="Calibri" w:eastAsia="Times New Roman" w:hAnsi="Calibri" w:cs="Calibri"/>
          <w:color w:val="002060"/>
          <w:kern w:val="0"/>
          <w14:ligatures w14:val="none"/>
        </w:rPr>
        <w:t xml:space="preserve">Em aspectos gerais, quando aplicável, a taxa utilizada é a média de retorno de investimentos ou de captação global da Companhia, dependendo se o instrumento financeiro é ativo ou passivo, respectivamente. A contrapartida contábil é o ativo ou passivo que tenha dado origem ao instrumento financeiro, quando aplicável, e os encargos financeiros presumidos são apropriados ao resultado da Companhia pelo prazo da operação. </w:t>
      </w:r>
    </w:p>
    <w:p w14:paraId="633D8D4D" w14:textId="77777777" w:rsidR="00425DB8" w:rsidRDefault="00425DB8" w:rsidP="00425DB8">
      <w:pPr>
        <w:spacing w:after="0"/>
        <w:jc w:val="both"/>
        <w:rPr>
          <w:rFonts w:ascii="Calibri" w:eastAsia="Times New Roman" w:hAnsi="Calibri" w:cs="Calibri"/>
          <w:color w:val="002060"/>
          <w:kern w:val="0"/>
          <w14:ligatures w14:val="none"/>
        </w:rPr>
      </w:pPr>
      <w:r w:rsidRPr="00425DB8">
        <w:rPr>
          <w:rFonts w:ascii="Calibri" w:eastAsia="Times New Roman" w:hAnsi="Calibri" w:cs="Calibri"/>
          <w:color w:val="002060"/>
          <w:kern w:val="0"/>
          <w14:ligatures w14:val="none"/>
        </w:rPr>
        <w:t>Na Companhia, o ajuste a valor presente é aplicado nas operações de arrendamento mercantil (Direito de Uso de Ativos), conforme CPC 06 (R2) – Operações de Arrendamento Mercantil. Não há na avaliação da Companhia nenhum outro ativo e passivo registrado em 31 de dezembro de 2023 e 2022 sujeito ao ajuste a valor presente, tendo em vista os seguintes fatores: (i) sua natureza; (</w:t>
      </w:r>
      <w:proofErr w:type="spellStart"/>
      <w:r w:rsidRPr="00425DB8">
        <w:rPr>
          <w:rFonts w:ascii="Calibri" w:eastAsia="Times New Roman" w:hAnsi="Calibri" w:cs="Calibri"/>
          <w:color w:val="002060"/>
          <w:kern w:val="0"/>
          <w14:ligatures w14:val="none"/>
        </w:rPr>
        <w:t>ii</w:t>
      </w:r>
      <w:proofErr w:type="spellEnd"/>
      <w:r w:rsidRPr="00425DB8">
        <w:rPr>
          <w:rFonts w:ascii="Calibri" w:eastAsia="Times New Roman" w:hAnsi="Calibri" w:cs="Calibri"/>
          <w:color w:val="002060"/>
          <w:kern w:val="0"/>
          <w14:ligatures w14:val="none"/>
        </w:rPr>
        <w:t>) realização a curto prazo de determinados saldos e transações; e (</w:t>
      </w:r>
      <w:proofErr w:type="spellStart"/>
      <w:r w:rsidRPr="00425DB8">
        <w:rPr>
          <w:rFonts w:ascii="Calibri" w:eastAsia="Times New Roman" w:hAnsi="Calibri" w:cs="Calibri"/>
          <w:color w:val="002060"/>
          <w:kern w:val="0"/>
          <w14:ligatures w14:val="none"/>
        </w:rPr>
        <w:t>iii</w:t>
      </w:r>
      <w:proofErr w:type="spellEnd"/>
      <w:r w:rsidRPr="00425DB8">
        <w:rPr>
          <w:rFonts w:ascii="Calibri" w:eastAsia="Times New Roman" w:hAnsi="Calibri" w:cs="Calibri"/>
          <w:color w:val="002060"/>
          <w:kern w:val="0"/>
          <w14:ligatures w14:val="none"/>
        </w:rPr>
        <w:t>) inexistência de ativos e passivos monetários com juros implícitos ou explícitos embutidos. Nos casos em que os instrumentos financeiros estão mensurados pelo custo amortizado, estes se encontram atualizados monetariamente pelos índices contratuais.</w:t>
      </w:r>
    </w:p>
    <w:p w14:paraId="48AF4862" w14:textId="135CCC82" w:rsidR="00425DB8" w:rsidRPr="00425DB8" w:rsidRDefault="00425DB8" w:rsidP="00425DB8">
      <w:pPr>
        <w:spacing w:after="0"/>
        <w:jc w:val="both"/>
        <w:rPr>
          <w:rFonts w:ascii="Calibri" w:eastAsia="Times New Roman" w:hAnsi="Calibri" w:cs="Calibri"/>
          <w:iCs/>
          <w:color w:val="002060"/>
          <w:kern w:val="0"/>
          <w14:ligatures w14:val="none"/>
        </w:rPr>
      </w:pPr>
      <w:r>
        <w:rPr>
          <w:rFonts w:ascii="Calibri" w:eastAsia="Times New Roman" w:hAnsi="Calibri" w:cs="Calibri"/>
          <w:b/>
          <w:iCs/>
          <w:color w:val="002060"/>
          <w:kern w:val="0"/>
          <w14:ligatures w14:val="none"/>
        </w:rPr>
        <w:t xml:space="preserve">2.2.12. </w:t>
      </w:r>
      <w:r w:rsidRPr="00425DB8">
        <w:rPr>
          <w:rFonts w:ascii="Calibri" w:eastAsia="Times New Roman" w:hAnsi="Calibri" w:cs="Calibri"/>
          <w:b/>
          <w:iCs/>
          <w:color w:val="002060"/>
          <w:kern w:val="0"/>
          <w14:ligatures w14:val="none"/>
        </w:rPr>
        <w:t>Instrumentos financeiros</w:t>
      </w:r>
    </w:p>
    <w:p w14:paraId="0778B797" w14:textId="77777777" w:rsidR="00425DB8" w:rsidRDefault="00425DB8" w:rsidP="00425DB8">
      <w:pPr>
        <w:spacing w:after="0"/>
        <w:jc w:val="both"/>
        <w:rPr>
          <w:rFonts w:ascii="Calibri" w:eastAsia="Times New Roman" w:hAnsi="Calibri" w:cs="Calibri"/>
          <w:color w:val="002060"/>
          <w:kern w:val="0"/>
          <w14:ligatures w14:val="none"/>
        </w:rPr>
      </w:pPr>
      <w:r w:rsidRPr="00425DB8">
        <w:rPr>
          <w:rFonts w:ascii="Calibri" w:eastAsia="Times New Roman" w:hAnsi="Calibri" w:cs="Calibri"/>
          <w:color w:val="002060"/>
          <w:kern w:val="0"/>
          <w14:ligatures w14:val="none"/>
        </w:rPr>
        <w:t>Os Instrumentos Financeiros da Companhia estão restritos a Caixa e equivalentes de caixa (Nota Explicativa 5), Contas a receber de clientes (Nota Explicativa 6),  Aplicações financeiras (Nota Explicativa 12),  Superávit – Previdência Privada (Nota Explicativa 9), Dividendos a receber (Nota Explicativa 11),  Fornecedores (Nota Explicativa 19), Empréstimos e financiamentos (Nota Explicativa 24.1), Operações de Arrendamento Mercantil (Nota Explicativa 24.2) e Credores por Perdas Judiciais (Nota Explicativa 22),  sendo os ganhos e perdas, obtidos nas operações, integralmente registrados no resultado do exercício ou no Patrimônio Líquido, de acordo com o Regime de Competência.</w:t>
      </w:r>
    </w:p>
    <w:p w14:paraId="4758A260" w14:textId="6CDBF783" w:rsidR="00425DB8" w:rsidRPr="00425DB8" w:rsidRDefault="00425DB8" w:rsidP="00425DB8">
      <w:pPr>
        <w:spacing w:after="0"/>
        <w:jc w:val="both"/>
        <w:rPr>
          <w:rFonts w:ascii="Calibri" w:eastAsia="Times New Roman" w:hAnsi="Calibri" w:cs="Calibri"/>
          <w:b/>
          <w:iCs/>
          <w:color w:val="002060"/>
          <w:kern w:val="0"/>
          <w14:ligatures w14:val="none"/>
        </w:rPr>
      </w:pPr>
      <w:r>
        <w:rPr>
          <w:rFonts w:ascii="Calibri" w:eastAsia="Times New Roman" w:hAnsi="Calibri" w:cs="Calibri"/>
          <w:b/>
          <w:iCs/>
          <w:color w:val="002060"/>
          <w:kern w:val="0"/>
          <w14:ligatures w14:val="none"/>
        </w:rPr>
        <w:t xml:space="preserve">2.2.12.1. </w:t>
      </w:r>
      <w:r w:rsidRPr="00425DB8">
        <w:rPr>
          <w:rFonts w:ascii="Calibri" w:eastAsia="Times New Roman" w:hAnsi="Calibri" w:cs="Calibri"/>
          <w:b/>
          <w:iCs/>
          <w:color w:val="002060"/>
          <w:kern w:val="0"/>
          <w14:ligatures w14:val="none"/>
        </w:rPr>
        <w:t xml:space="preserve">Ativos financeiros </w:t>
      </w:r>
    </w:p>
    <w:p w14:paraId="5387A0BC" w14:textId="54B2FD97" w:rsidR="00425DB8" w:rsidRPr="00425DB8" w:rsidRDefault="00425DB8" w:rsidP="00425DB8">
      <w:pPr>
        <w:spacing w:after="0"/>
        <w:jc w:val="both"/>
        <w:rPr>
          <w:rFonts w:ascii="Calibri" w:eastAsia="Times New Roman" w:hAnsi="Calibri" w:cs="Calibri"/>
          <w:iCs/>
          <w:color w:val="002060"/>
          <w:kern w:val="0"/>
          <w14:ligatures w14:val="none"/>
        </w:rPr>
      </w:pPr>
      <w:r>
        <w:rPr>
          <w:rFonts w:ascii="Calibri" w:eastAsia="Times New Roman" w:hAnsi="Calibri" w:cs="Calibri"/>
          <w:b/>
          <w:iCs/>
          <w:color w:val="002060"/>
          <w:kern w:val="0"/>
          <w14:ligatures w14:val="none"/>
        </w:rPr>
        <w:t xml:space="preserve">2.2.12.1.1. </w:t>
      </w:r>
      <w:r w:rsidRPr="00425DB8">
        <w:rPr>
          <w:rFonts w:ascii="Calibri" w:eastAsia="Times New Roman" w:hAnsi="Calibri" w:cs="Calibri"/>
          <w:b/>
          <w:iCs/>
          <w:color w:val="002060"/>
          <w:kern w:val="0"/>
          <w14:ligatures w14:val="none"/>
        </w:rPr>
        <w:t>Classificação, reconhecimento, mensuração e baixas</w:t>
      </w:r>
    </w:p>
    <w:p w14:paraId="27B6102A" w14:textId="77777777" w:rsidR="00425DB8" w:rsidRPr="00425DB8" w:rsidRDefault="00425DB8" w:rsidP="00425DB8">
      <w:pPr>
        <w:spacing w:after="0"/>
        <w:jc w:val="both"/>
        <w:rPr>
          <w:rFonts w:ascii="Calibri" w:eastAsia="Times New Roman" w:hAnsi="Calibri" w:cs="Calibri"/>
          <w:color w:val="002060"/>
          <w:kern w:val="0"/>
          <w14:ligatures w14:val="none"/>
        </w:rPr>
      </w:pPr>
      <w:r w:rsidRPr="00425DB8">
        <w:rPr>
          <w:rFonts w:ascii="Calibri" w:eastAsia="Times New Roman" w:hAnsi="Calibri" w:cs="Calibri"/>
          <w:color w:val="002060"/>
          <w:kern w:val="0"/>
          <w14:ligatures w14:val="none"/>
        </w:rPr>
        <w:t>A Companhia classifica os ativos financeiros nas seguintes categorias: (a) ao custo amortizado, (b) mensurados ao valor justo por meio do resultado abrangente e (c) mensurados ao valor justo por meio do resultado. A classificação depende da finalidade para a qual os ativos financeiros foram adquiridos. As compras e as vendas regulares de ativos financeiros são reconhecidas na data de negociação - data na qual a Telebras se compromete a comprar ou vender o ativo. Os ativos financeiros são baixados quando os direitos de receber fluxos de caixa dos investimentos tenham vencido ou tenham sido transferidos; neste, desde que a Companhia tenha transferido, significativamente, todos os riscos e os benefícios da propriedade.</w:t>
      </w:r>
    </w:p>
    <w:p w14:paraId="282A414C" w14:textId="77777777" w:rsidR="00425DB8" w:rsidRPr="00425DB8" w:rsidRDefault="00425DB8" w:rsidP="00425DB8">
      <w:pPr>
        <w:spacing w:after="0"/>
        <w:jc w:val="both"/>
        <w:rPr>
          <w:rFonts w:ascii="Calibri" w:eastAsia="Times New Roman" w:hAnsi="Calibri" w:cs="Calibri"/>
          <w:color w:val="002060"/>
          <w:kern w:val="0"/>
          <w14:ligatures w14:val="none"/>
        </w:rPr>
      </w:pPr>
    </w:p>
    <w:p w14:paraId="33DC0AF0" w14:textId="4D6CBD49" w:rsidR="00425DB8" w:rsidRDefault="00F22600" w:rsidP="00425DB8">
      <w:pPr>
        <w:spacing w:after="0"/>
        <w:jc w:val="both"/>
        <w:rPr>
          <w:rFonts w:ascii="Calibri" w:eastAsia="Times New Roman" w:hAnsi="Calibri" w:cs="Calibri"/>
          <w:b/>
          <w:iCs/>
          <w:color w:val="002060"/>
          <w:kern w:val="0"/>
          <w14:ligatures w14:val="none"/>
        </w:rPr>
      </w:pPr>
      <w:r>
        <w:rPr>
          <w:rFonts w:ascii="Calibri" w:eastAsia="Times New Roman" w:hAnsi="Calibri" w:cs="Calibri"/>
          <w:b/>
          <w:iCs/>
          <w:color w:val="002060"/>
          <w:kern w:val="0"/>
          <w14:ligatures w14:val="none"/>
        </w:rPr>
        <w:t xml:space="preserve">2.2.12.1.2. CATEGORIAS </w:t>
      </w:r>
    </w:p>
    <w:p w14:paraId="74020E7E" w14:textId="77777777" w:rsidR="00F22600" w:rsidRDefault="00F22600" w:rsidP="00F22600">
      <w:pPr>
        <w:spacing w:after="0"/>
        <w:rPr>
          <w:rFonts w:ascii="Calibri" w:eastAsia="Times New Roman" w:hAnsi="Calibri" w:cs="Calibri"/>
          <w:b/>
          <w:iCs/>
          <w:color w:val="002060"/>
          <w:kern w:val="0"/>
          <w14:ligatures w14:val="none"/>
        </w:rPr>
      </w:pPr>
      <w:r>
        <w:rPr>
          <w:rFonts w:ascii="Calibri" w:eastAsia="Times New Roman" w:hAnsi="Calibri" w:cs="Calibri"/>
          <w:b/>
          <w:iCs/>
          <w:color w:val="002060"/>
          <w:kern w:val="0"/>
          <w14:ligatures w14:val="none"/>
        </w:rPr>
        <w:t xml:space="preserve">2.2.12.1.2.1. </w:t>
      </w:r>
      <w:r w:rsidRPr="00F22600">
        <w:rPr>
          <w:rFonts w:ascii="Calibri" w:eastAsia="Times New Roman" w:hAnsi="Calibri" w:cs="Calibri"/>
          <w:b/>
          <w:iCs/>
          <w:color w:val="002060"/>
          <w:kern w:val="0"/>
          <w14:ligatures w14:val="none"/>
        </w:rPr>
        <w:t>Custo amortizado</w:t>
      </w:r>
    </w:p>
    <w:p w14:paraId="2544ED73" w14:textId="195F31B1" w:rsidR="00F22600" w:rsidRPr="00F22600" w:rsidRDefault="00F22600" w:rsidP="00F22600">
      <w:pPr>
        <w:spacing w:after="0"/>
        <w:rPr>
          <w:rFonts w:ascii="Calibri" w:eastAsia="Times New Roman" w:hAnsi="Calibri" w:cs="Calibri"/>
          <w:b/>
          <w:iCs/>
          <w:color w:val="002060"/>
          <w:kern w:val="0"/>
          <w14:ligatures w14:val="none"/>
        </w:rPr>
      </w:pPr>
      <w:r w:rsidRPr="00F22600">
        <w:rPr>
          <w:rFonts w:ascii="Calibri" w:eastAsia="Times New Roman" w:hAnsi="Calibri" w:cs="Calibri"/>
          <w:bCs/>
          <w:iCs/>
          <w:color w:val="002060"/>
          <w:kern w:val="0"/>
          <w14:ligatures w14:val="none"/>
        </w:rPr>
        <w:t>São ativos financeiros mantidos pela Companhia (i) com o objetivo de recebimento de seu fluxo de caixa contratual e não para venda com realização de lucros ou prejuízos e (</w:t>
      </w:r>
      <w:proofErr w:type="spellStart"/>
      <w:r w:rsidRPr="00F22600">
        <w:rPr>
          <w:rFonts w:ascii="Calibri" w:eastAsia="Times New Roman" w:hAnsi="Calibri" w:cs="Calibri"/>
          <w:bCs/>
          <w:iCs/>
          <w:color w:val="002060"/>
          <w:kern w:val="0"/>
          <w14:ligatures w14:val="none"/>
        </w:rPr>
        <w:t>ii</w:t>
      </w:r>
      <w:proofErr w:type="spellEnd"/>
      <w:r w:rsidRPr="00F22600">
        <w:rPr>
          <w:rFonts w:ascii="Calibri" w:eastAsia="Times New Roman" w:hAnsi="Calibri" w:cs="Calibri"/>
          <w:bCs/>
          <w:iCs/>
          <w:color w:val="002060"/>
          <w:kern w:val="0"/>
          <w14:ligatures w14:val="none"/>
        </w:rPr>
        <w:t xml:space="preserve">) cujos termos contratuais dão origem, em datas especificadas, a fluxos de caixa que constituam, exclusivamente, pagamentos de principal e juros sobre o valor do principal em aberto. </w:t>
      </w:r>
    </w:p>
    <w:p w14:paraId="605622B3" w14:textId="77777777" w:rsidR="00F22600" w:rsidRDefault="00F22600" w:rsidP="00F22600">
      <w:pPr>
        <w:spacing w:after="0"/>
        <w:jc w:val="both"/>
        <w:rPr>
          <w:rFonts w:ascii="Calibri" w:eastAsia="Times New Roman" w:hAnsi="Calibri" w:cs="Calibri"/>
          <w:bCs/>
          <w:iCs/>
          <w:color w:val="002060"/>
          <w:kern w:val="0"/>
          <w14:ligatures w14:val="none"/>
        </w:rPr>
      </w:pPr>
      <w:r w:rsidRPr="00F22600">
        <w:rPr>
          <w:rFonts w:ascii="Calibri" w:eastAsia="Times New Roman" w:hAnsi="Calibri" w:cs="Calibri"/>
          <w:bCs/>
          <w:iCs/>
          <w:color w:val="002060"/>
          <w:kern w:val="0"/>
          <w14:ligatures w14:val="none"/>
        </w:rPr>
        <w:lastRenderedPageBreak/>
        <w:t>Os ativos financeiros classificados pelo custo amortizado compreendem o saldo de Contas a Receber de Clientes (Nota Explicativa 6), Superávit – Previdência Privada (Nota Explicativa 9), Dividendos a Receber (Nota Explicativa 11) e Aplicações Financeiras - Garantia e Renda Fixa (Nota Explicativa 12). As variações são reconhecidas no resultado do período, na rubrica "Receitas Financeiras" ou "Despesas Financeiras", dependendo do resultado obtido.</w:t>
      </w:r>
    </w:p>
    <w:p w14:paraId="3F41AE34" w14:textId="0800E6AD" w:rsidR="00F22600" w:rsidRPr="00F22600" w:rsidRDefault="00F22600" w:rsidP="00F22600">
      <w:pPr>
        <w:spacing w:after="0"/>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2.2.12.1.2.2. </w:t>
      </w:r>
      <w:r w:rsidRPr="00F22600">
        <w:rPr>
          <w:rFonts w:ascii="Calibri" w:eastAsia="Times New Roman" w:hAnsi="Calibri" w:cs="Calibri"/>
          <w:b/>
          <w:bCs/>
          <w:iCs/>
          <w:color w:val="002060"/>
          <w:kern w:val="0"/>
          <w14:ligatures w14:val="none"/>
        </w:rPr>
        <w:t>Ativos financeiros mensurados ao valor justo por meio de outros resultados abrangentes</w:t>
      </w:r>
    </w:p>
    <w:p w14:paraId="55C4D209" w14:textId="77777777" w:rsidR="00F22600" w:rsidRPr="00F22600" w:rsidRDefault="00F22600" w:rsidP="00F22600">
      <w:pPr>
        <w:spacing w:after="0"/>
        <w:jc w:val="both"/>
        <w:rPr>
          <w:rFonts w:ascii="Calibri" w:eastAsia="Times New Roman" w:hAnsi="Calibri" w:cs="Calibri"/>
          <w:bCs/>
          <w:iCs/>
          <w:color w:val="002060"/>
          <w:kern w:val="0"/>
          <w14:ligatures w14:val="none"/>
        </w:rPr>
      </w:pPr>
      <w:r w:rsidRPr="00F22600">
        <w:rPr>
          <w:rFonts w:ascii="Calibri" w:eastAsia="Times New Roman" w:hAnsi="Calibri" w:cs="Calibri"/>
          <w:bCs/>
          <w:iCs/>
          <w:color w:val="002060"/>
          <w:kern w:val="0"/>
          <w14:ligatures w14:val="none"/>
        </w:rPr>
        <w:t xml:space="preserve">São ativos financeiros mantidos pela Companhia tanto para o recebimento de seu fluxo de caixa contratual quanto para a venda com realização de lucros ou prejuízos e cujos termos contratuais dão origem, em datas especificadas, a fluxos de caixa que constituam, exclusivamente, pagamentos de principal e juros sobre o valor do principal em aberto. Além disso, os investimentos em instrumentos patrimoniais, em que, no reconhecimento inicial, a Companhia optou por apresentar as alterações subsequentes do seu valor justo em outros resultados abrangentes, são classificados nesta categoria. </w:t>
      </w:r>
    </w:p>
    <w:p w14:paraId="7ABA989B" w14:textId="77777777" w:rsidR="00F22600" w:rsidRPr="00F22600" w:rsidRDefault="00F22600" w:rsidP="00F22600">
      <w:pPr>
        <w:spacing w:after="0"/>
        <w:jc w:val="both"/>
        <w:rPr>
          <w:rFonts w:ascii="Calibri" w:eastAsia="Times New Roman" w:hAnsi="Calibri" w:cs="Calibri"/>
          <w:bCs/>
          <w:iCs/>
          <w:color w:val="002060"/>
          <w:kern w:val="0"/>
          <w14:ligatures w14:val="none"/>
        </w:rPr>
        <w:sectPr w:rsidR="00F22600" w:rsidRPr="00F22600" w:rsidSect="00F22600">
          <w:footerReference w:type="default" r:id="rId52"/>
          <w:type w:val="continuous"/>
          <w:pgSz w:w="11906" w:h="16838" w:code="9"/>
          <w:pgMar w:top="848" w:right="849" w:bottom="993" w:left="1276" w:header="850" w:footer="1134" w:gutter="0"/>
          <w:cols w:space="708"/>
          <w:docGrid w:linePitch="360"/>
        </w:sectPr>
      </w:pPr>
    </w:p>
    <w:p w14:paraId="637D5D61" w14:textId="77777777" w:rsidR="00F22600" w:rsidRPr="00F22600" w:rsidRDefault="00F22600" w:rsidP="00F22600">
      <w:pPr>
        <w:spacing w:after="0"/>
        <w:jc w:val="both"/>
        <w:rPr>
          <w:rFonts w:ascii="Calibri" w:eastAsia="Times New Roman" w:hAnsi="Calibri" w:cs="Calibri"/>
          <w:bCs/>
          <w:iCs/>
          <w:color w:val="002060"/>
          <w:kern w:val="0"/>
          <w14:ligatures w14:val="none"/>
        </w:rPr>
      </w:pPr>
      <w:r w:rsidRPr="00F22600">
        <w:rPr>
          <w:rFonts w:ascii="Calibri" w:eastAsia="Times New Roman" w:hAnsi="Calibri" w:cs="Calibri"/>
          <w:bCs/>
          <w:iCs/>
          <w:color w:val="002060"/>
          <w:kern w:val="0"/>
          <w14:ligatures w14:val="none"/>
        </w:rPr>
        <w:t>Esta categoria é composta pelo saldo de Aplicações Financeiras representadas por Títulos mobiliários (Ações) de empresa de telecomunicações e no Fundo de Investimento da Amazônia, que são títulos negociados em mercado ativo (Nota Explicativa 12). Suas variações são reconhecidas no resultado do período, na rubrica "Receitas Financeiras" ou "Despesas Financeiras", dependendo do resultado obtido, exceto pelo valor justo dos investimentos em instrumentos patrimoniais, que são reconhecidos em outros resultados abrangentes.</w:t>
      </w:r>
    </w:p>
    <w:p w14:paraId="5B7441CE" w14:textId="507908C8" w:rsidR="00F22600" w:rsidRPr="00F22600" w:rsidRDefault="00F22600" w:rsidP="00F22600">
      <w:pPr>
        <w:spacing w:after="0"/>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2.2.12.1.2.3. </w:t>
      </w:r>
      <w:r w:rsidRPr="00F22600">
        <w:rPr>
          <w:rFonts w:ascii="Calibri" w:eastAsia="Times New Roman" w:hAnsi="Calibri" w:cs="Calibri"/>
          <w:b/>
          <w:bCs/>
          <w:iCs/>
          <w:color w:val="002060"/>
          <w:kern w:val="0"/>
          <w14:ligatures w14:val="none"/>
        </w:rPr>
        <w:t>Ativos financeiros mensurados ao valor justo por meio do resultado</w:t>
      </w:r>
    </w:p>
    <w:p w14:paraId="1B45E0DF" w14:textId="77777777" w:rsidR="00F22600" w:rsidRPr="00F22600" w:rsidRDefault="00F22600" w:rsidP="00F22600">
      <w:pPr>
        <w:spacing w:after="0"/>
        <w:jc w:val="both"/>
        <w:rPr>
          <w:rFonts w:ascii="Calibri" w:eastAsia="Times New Roman" w:hAnsi="Calibri" w:cs="Calibri"/>
          <w:bCs/>
          <w:iCs/>
          <w:color w:val="002060"/>
          <w:kern w:val="0"/>
          <w14:ligatures w14:val="none"/>
        </w:rPr>
      </w:pPr>
      <w:r w:rsidRPr="00F22600">
        <w:rPr>
          <w:rFonts w:ascii="Calibri" w:eastAsia="Times New Roman" w:hAnsi="Calibri" w:cs="Calibri"/>
          <w:bCs/>
          <w:iCs/>
          <w:color w:val="002060"/>
          <w:kern w:val="0"/>
          <w14:ligatures w14:val="none"/>
        </w:rPr>
        <w:t>Ativos financeiros mensurados ao valor justo por meio do resultado são classificados nesta categoria, como também os ativos financeiros que não sejam mensurados ao custo amortizado ou ao valor justo por meio de outros resultados abrangentes. Esta categoria compreende o saldo de caixa, bancos e equivalentes de caixa (Nota Explicativa 5). As variações são reconhecidas no resultado do período, na rubrica "Receitas financeiras" ou "Despesas financeiras", dependendo do resultado obtido.</w:t>
      </w:r>
    </w:p>
    <w:p w14:paraId="769C5008" w14:textId="2A6D51E2" w:rsidR="00F22600" w:rsidRPr="00F22600" w:rsidRDefault="00F22600" w:rsidP="00F22600">
      <w:pPr>
        <w:spacing w:after="0"/>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2.2.12.2. </w:t>
      </w:r>
      <w:r w:rsidRPr="00F22600">
        <w:rPr>
          <w:rFonts w:ascii="Calibri" w:eastAsia="Times New Roman" w:hAnsi="Calibri" w:cs="Calibri"/>
          <w:b/>
          <w:bCs/>
          <w:iCs/>
          <w:color w:val="002060"/>
          <w:kern w:val="0"/>
          <w14:ligatures w14:val="none"/>
        </w:rPr>
        <w:t>Deterioração de ativos financeiros</w:t>
      </w:r>
    </w:p>
    <w:p w14:paraId="41E142FE" w14:textId="77777777" w:rsidR="00F22600" w:rsidRPr="00F22600" w:rsidRDefault="00F22600" w:rsidP="00F22600">
      <w:pPr>
        <w:spacing w:after="0"/>
        <w:jc w:val="both"/>
        <w:rPr>
          <w:rFonts w:ascii="Calibri" w:eastAsia="Times New Roman" w:hAnsi="Calibri" w:cs="Calibri"/>
          <w:bCs/>
          <w:iCs/>
          <w:color w:val="002060"/>
          <w:kern w:val="0"/>
          <w14:ligatures w14:val="none"/>
        </w:rPr>
      </w:pPr>
      <w:r w:rsidRPr="00F22600">
        <w:rPr>
          <w:rFonts w:ascii="Calibri" w:eastAsia="Times New Roman" w:hAnsi="Calibri" w:cs="Calibri"/>
          <w:bCs/>
          <w:iCs/>
          <w:color w:val="002060"/>
          <w:kern w:val="0"/>
          <w14:ligatures w14:val="none"/>
        </w:rPr>
        <w:t>A Companhia avalia, na data do encerramento do exercício, se há evidência objetiva de que o ativo financeiro ou um grupo de ativos financeiros está deteriorado. Um ativo financeiro ou um grupo de ativos financeiros é considerado deteriorado quando existirem evidências objetivas da redução do valor recuperável, sendo estas evidências o resultado de um ou mais eventos que ocorreram após o reconhecimento inicial do ativo e quando houver impacto nos fluxos de caixa futuros estimados.</w:t>
      </w:r>
    </w:p>
    <w:p w14:paraId="4F7BAE5F" w14:textId="77777777" w:rsidR="00F22600" w:rsidRDefault="00F22600" w:rsidP="00F22600">
      <w:pPr>
        <w:spacing w:after="0"/>
        <w:jc w:val="both"/>
        <w:rPr>
          <w:rFonts w:ascii="Calibri" w:eastAsia="Times New Roman" w:hAnsi="Calibri" w:cs="Calibri"/>
          <w:bCs/>
          <w:iCs/>
          <w:color w:val="002060"/>
          <w:kern w:val="0"/>
          <w14:ligatures w14:val="none"/>
        </w:rPr>
      </w:pPr>
      <w:r w:rsidRPr="00F22600">
        <w:rPr>
          <w:rFonts w:ascii="Calibri" w:eastAsia="Times New Roman" w:hAnsi="Calibri" w:cs="Calibri"/>
          <w:bCs/>
          <w:iCs/>
          <w:color w:val="002060"/>
          <w:kern w:val="0"/>
          <w14:ligatures w14:val="none"/>
        </w:rPr>
        <w:t>No caso de investimentos patrimoniais, um declínio significativo ou prolongado em seu valor justo abaixo do custo é considerado evidência objetiva de redução ao valor recuperável.</w:t>
      </w:r>
    </w:p>
    <w:p w14:paraId="28DBFF77" w14:textId="4B9E477A" w:rsidR="00F22600" w:rsidRPr="00F22600" w:rsidRDefault="00F22600" w:rsidP="00F22600">
      <w:pPr>
        <w:spacing w:after="0"/>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2.2.12.3. </w:t>
      </w:r>
      <w:r w:rsidRPr="00F22600">
        <w:rPr>
          <w:rFonts w:ascii="Calibri" w:eastAsia="Times New Roman" w:hAnsi="Calibri" w:cs="Calibri"/>
          <w:b/>
          <w:bCs/>
          <w:iCs/>
          <w:color w:val="002060"/>
          <w:kern w:val="0"/>
          <w14:ligatures w14:val="none"/>
        </w:rPr>
        <w:t xml:space="preserve">Passivos financeiros </w:t>
      </w:r>
    </w:p>
    <w:p w14:paraId="41532F0F" w14:textId="77777777" w:rsidR="00F22600" w:rsidRPr="00F22600" w:rsidRDefault="00F22600" w:rsidP="00F22600">
      <w:pPr>
        <w:spacing w:after="0"/>
        <w:jc w:val="both"/>
        <w:rPr>
          <w:rFonts w:ascii="Calibri" w:eastAsia="Times New Roman" w:hAnsi="Calibri" w:cs="Calibri"/>
          <w:bCs/>
          <w:iCs/>
          <w:color w:val="002060"/>
          <w:kern w:val="0"/>
          <w14:ligatures w14:val="none"/>
        </w:rPr>
      </w:pPr>
      <w:r w:rsidRPr="00F22600">
        <w:rPr>
          <w:rFonts w:ascii="Calibri" w:eastAsia="Times New Roman" w:hAnsi="Calibri" w:cs="Calibri"/>
          <w:bCs/>
          <w:iCs/>
          <w:color w:val="002060"/>
          <w:kern w:val="0"/>
          <w14:ligatures w14:val="none"/>
        </w:rPr>
        <w:t>A nova norma (CPC 48/IFRS 9) não trouxe mudanças significativas em relação aos critérios atuais, exceto pelo reconhecimento de mudanças no risco de crédito próprio em Outros Resultados Abrangentes para aqueles passivos designados ao valor justo por meio do resultado.</w:t>
      </w:r>
    </w:p>
    <w:p w14:paraId="73DF5272" w14:textId="77777777" w:rsidR="00F22600" w:rsidRPr="00F22600" w:rsidRDefault="00F22600" w:rsidP="00F22600">
      <w:pPr>
        <w:spacing w:after="0"/>
        <w:jc w:val="both"/>
        <w:rPr>
          <w:rFonts w:ascii="Calibri" w:eastAsia="Times New Roman" w:hAnsi="Calibri" w:cs="Calibri"/>
          <w:bCs/>
          <w:iCs/>
          <w:color w:val="002060"/>
          <w:kern w:val="0"/>
          <w14:ligatures w14:val="none"/>
        </w:rPr>
      </w:pPr>
      <w:r w:rsidRPr="00F22600">
        <w:rPr>
          <w:rFonts w:ascii="Calibri" w:eastAsia="Times New Roman" w:hAnsi="Calibri" w:cs="Calibri"/>
          <w:bCs/>
          <w:iCs/>
          <w:color w:val="002060"/>
          <w:kern w:val="0"/>
          <w14:ligatures w14:val="none"/>
        </w:rPr>
        <w:t>A Companhia reconhece títulos de dívida e passivos subordinados inicialmente na data em que são originados. Todos os outros passivos financeiros (incluindo passivos designados pelo valor justo registrado no resultado) são reconhecidos inicialmente na data de negociação, na qual a Companhia se torna uma parte das disposições contratuais do instrumento. A Companhia baixa um passivo financeiro quando tem suas obrigações contratuais retiradas, canceladas ou vencidas.</w:t>
      </w:r>
    </w:p>
    <w:p w14:paraId="73C6C581" w14:textId="77777777" w:rsidR="00F22600" w:rsidRPr="00F22600" w:rsidRDefault="00F22600" w:rsidP="00F22600">
      <w:pPr>
        <w:spacing w:after="0"/>
        <w:jc w:val="both"/>
        <w:rPr>
          <w:rFonts w:ascii="Calibri" w:eastAsia="Times New Roman" w:hAnsi="Calibri" w:cs="Calibri"/>
          <w:bCs/>
          <w:iCs/>
          <w:color w:val="002060"/>
          <w:kern w:val="0"/>
          <w14:ligatures w14:val="none"/>
        </w:rPr>
      </w:pPr>
      <w:r w:rsidRPr="00F22600">
        <w:rPr>
          <w:rFonts w:ascii="Calibri" w:eastAsia="Times New Roman" w:hAnsi="Calibri" w:cs="Calibri"/>
          <w:bCs/>
          <w:iCs/>
          <w:color w:val="002060"/>
          <w:kern w:val="0"/>
          <w14:ligatures w14:val="none"/>
        </w:rPr>
        <w:t xml:space="preserve">A Companhia classifica os passivos financeiros não derivativos na categoria de outros passivos financeiros, os quais são reconhecidos inicialmente pelo valor justo acrescido de quaisquer custos de transações atribuíveis. Após o reconhecimento inicial, esses passivos financeiros são mensurados pelo custo amortizado através do método de juros efetivos. </w:t>
      </w:r>
    </w:p>
    <w:p w14:paraId="63B74E4E" w14:textId="77777777" w:rsidR="00F22600" w:rsidRDefault="00F22600" w:rsidP="00F22600">
      <w:pPr>
        <w:spacing w:after="0"/>
        <w:jc w:val="both"/>
        <w:rPr>
          <w:rFonts w:ascii="Calibri" w:eastAsia="Times New Roman" w:hAnsi="Calibri" w:cs="Calibri"/>
          <w:bCs/>
          <w:iCs/>
          <w:color w:val="002060"/>
          <w:kern w:val="0"/>
          <w14:ligatures w14:val="none"/>
        </w:rPr>
      </w:pPr>
      <w:r w:rsidRPr="00F22600">
        <w:rPr>
          <w:rFonts w:ascii="Calibri" w:eastAsia="Times New Roman" w:hAnsi="Calibri" w:cs="Calibri"/>
          <w:bCs/>
          <w:iCs/>
          <w:color w:val="002060"/>
          <w:kern w:val="0"/>
          <w14:ligatures w14:val="none"/>
        </w:rPr>
        <w:t xml:space="preserve">A Companhia possui os seguintes passivos financeiros não derivativos: Empréstimos e financiamentos (Nota Explicativa 24.1), Operações de arrendamento mercantil (Nota Explicativa 24.2), Fornecedores (Nota Explicativa 19) </w:t>
      </w:r>
      <w:proofErr w:type="gramStart"/>
      <w:r w:rsidRPr="00F22600">
        <w:rPr>
          <w:rFonts w:ascii="Calibri" w:eastAsia="Times New Roman" w:hAnsi="Calibri" w:cs="Calibri"/>
          <w:bCs/>
          <w:iCs/>
          <w:color w:val="002060"/>
          <w:kern w:val="0"/>
          <w14:ligatures w14:val="none"/>
        </w:rPr>
        <w:t>e Outras</w:t>
      </w:r>
      <w:proofErr w:type="gramEnd"/>
      <w:r w:rsidRPr="00F22600">
        <w:rPr>
          <w:rFonts w:ascii="Calibri" w:eastAsia="Times New Roman" w:hAnsi="Calibri" w:cs="Calibri"/>
          <w:bCs/>
          <w:iCs/>
          <w:color w:val="002060"/>
          <w:kern w:val="0"/>
          <w14:ligatures w14:val="none"/>
        </w:rPr>
        <w:t xml:space="preserve"> contas a pagar.</w:t>
      </w:r>
    </w:p>
    <w:p w14:paraId="347378F7" w14:textId="77777777" w:rsidR="00F22600" w:rsidRDefault="00F22600" w:rsidP="00F22600">
      <w:pPr>
        <w:spacing w:after="0"/>
        <w:rPr>
          <w:rFonts w:ascii="Calibri" w:eastAsia="Times New Roman" w:hAnsi="Calibri" w:cs="Calibri"/>
          <w:b/>
          <w:iCs/>
          <w:color w:val="002060"/>
          <w:kern w:val="0"/>
          <w14:ligatures w14:val="none"/>
        </w:rPr>
      </w:pPr>
      <w:r w:rsidRPr="00F22600">
        <w:rPr>
          <w:rFonts w:ascii="Calibri" w:eastAsia="Times New Roman" w:hAnsi="Calibri" w:cs="Calibri"/>
          <w:b/>
          <w:iCs/>
          <w:color w:val="002060"/>
          <w:kern w:val="0"/>
          <w14:ligatures w14:val="none"/>
        </w:rPr>
        <w:t>2.2.13. Instrumentos financeiros derivativos</w:t>
      </w:r>
    </w:p>
    <w:p w14:paraId="2AED5D2F" w14:textId="77777777" w:rsidR="00F22600" w:rsidRDefault="00F22600" w:rsidP="00F22600">
      <w:pPr>
        <w:spacing w:after="0"/>
        <w:rPr>
          <w:rFonts w:ascii="Calibri" w:eastAsia="Times New Roman" w:hAnsi="Calibri" w:cs="Calibri"/>
          <w:b/>
          <w:iCs/>
          <w:color w:val="002060"/>
          <w:kern w:val="0"/>
          <w14:ligatures w14:val="none"/>
        </w:rPr>
      </w:pPr>
      <w:r w:rsidRPr="00F22600">
        <w:rPr>
          <w:rFonts w:ascii="Calibri" w:eastAsia="Times New Roman" w:hAnsi="Calibri" w:cs="Calibri"/>
          <w:bCs/>
          <w:iCs/>
          <w:color w:val="002060"/>
          <w:kern w:val="0"/>
          <w14:ligatures w14:val="none"/>
        </w:rPr>
        <w:lastRenderedPageBreak/>
        <w:t>A Telebras não opera com instrumentos financeiros derivativos.</w:t>
      </w:r>
    </w:p>
    <w:p w14:paraId="1003880E" w14:textId="76211E21" w:rsidR="00F22600" w:rsidRDefault="00F22600" w:rsidP="00F22600">
      <w:pPr>
        <w:spacing w:after="0"/>
        <w:rPr>
          <w:rFonts w:ascii="Calibri" w:eastAsia="Times New Roman" w:hAnsi="Calibri" w:cs="Calibri"/>
          <w:b/>
          <w:iCs/>
          <w:color w:val="002060"/>
          <w:kern w:val="0"/>
          <w14:ligatures w14:val="none"/>
        </w:rPr>
      </w:pPr>
      <w:r>
        <w:rPr>
          <w:rFonts w:ascii="Calibri" w:eastAsia="Times New Roman" w:hAnsi="Calibri" w:cs="Calibri"/>
          <w:b/>
          <w:iCs/>
          <w:color w:val="002060"/>
          <w:kern w:val="0"/>
          <w14:ligatures w14:val="none"/>
        </w:rPr>
        <w:t xml:space="preserve">2.2.14. </w:t>
      </w:r>
      <w:r w:rsidRPr="00F22600">
        <w:rPr>
          <w:rFonts w:ascii="Calibri" w:eastAsia="Times New Roman" w:hAnsi="Calibri" w:cs="Calibri"/>
          <w:b/>
          <w:iCs/>
          <w:color w:val="002060"/>
          <w:kern w:val="0"/>
          <w14:ligatures w14:val="none"/>
        </w:rPr>
        <w:t>Fornecedores</w:t>
      </w:r>
    </w:p>
    <w:p w14:paraId="0FC76AEB" w14:textId="77777777" w:rsidR="00F22600" w:rsidRDefault="00F22600" w:rsidP="00F22600">
      <w:pPr>
        <w:spacing w:after="0"/>
        <w:rPr>
          <w:rFonts w:ascii="Calibri" w:eastAsia="Times New Roman" w:hAnsi="Calibri" w:cs="Calibri"/>
          <w:bCs/>
          <w:iCs/>
          <w:color w:val="002060"/>
          <w:kern w:val="0"/>
          <w14:ligatures w14:val="none"/>
        </w:rPr>
      </w:pPr>
      <w:r w:rsidRPr="00F22600">
        <w:rPr>
          <w:rFonts w:ascii="Calibri" w:eastAsia="Times New Roman" w:hAnsi="Calibri" w:cs="Calibri"/>
          <w:bCs/>
          <w:iCs/>
          <w:color w:val="002060"/>
          <w:kern w:val="0"/>
          <w14:ligatures w14:val="none"/>
        </w:rPr>
        <w:t>As contas a pagar a fornecedores são obrigações a pagar por bens ou serviços que foram adquiridos no curso normal dos negócios, sendo classificadas como passivos circulantes se o pagamento for devido no período de até 12 (doze) meses após a data do balanço. Caso contrário, são apresentados como passivo não circulante. (Nota Explicativa 19).</w:t>
      </w:r>
    </w:p>
    <w:p w14:paraId="59605A24" w14:textId="7C3D7DA9" w:rsidR="00F22600" w:rsidRPr="00F22600" w:rsidRDefault="00F22600" w:rsidP="00F22600">
      <w:pPr>
        <w:spacing w:after="0"/>
        <w:rPr>
          <w:rFonts w:ascii="Calibri" w:eastAsia="Times New Roman" w:hAnsi="Calibri" w:cs="Calibri"/>
          <w:b/>
          <w:iCs/>
          <w:color w:val="002060"/>
          <w:kern w:val="0"/>
          <w14:ligatures w14:val="none"/>
        </w:rPr>
      </w:pPr>
      <w:r w:rsidRPr="00F22600">
        <w:rPr>
          <w:rFonts w:ascii="Calibri" w:eastAsia="Times New Roman" w:hAnsi="Calibri" w:cs="Calibri"/>
          <w:b/>
          <w:iCs/>
          <w:color w:val="002060"/>
          <w:kern w:val="0"/>
          <w14:ligatures w14:val="none"/>
        </w:rPr>
        <w:t>2.2.15. Empréstimos e financiamentos</w:t>
      </w:r>
    </w:p>
    <w:p w14:paraId="1B007A57" w14:textId="77777777" w:rsidR="00F22600" w:rsidRPr="00F22600" w:rsidRDefault="00F22600" w:rsidP="00F22600">
      <w:pPr>
        <w:spacing w:after="0"/>
        <w:jc w:val="both"/>
        <w:rPr>
          <w:rFonts w:ascii="Calibri" w:eastAsia="Times New Roman" w:hAnsi="Calibri" w:cs="Calibri"/>
          <w:bCs/>
          <w:iCs/>
          <w:color w:val="002060"/>
          <w:kern w:val="0"/>
          <w14:ligatures w14:val="none"/>
        </w:rPr>
      </w:pPr>
      <w:r w:rsidRPr="00F22600">
        <w:rPr>
          <w:rFonts w:ascii="Calibri" w:eastAsia="Times New Roman" w:hAnsi="Calibri" w:cs="Calibri"/>
          <w:bCs/>
          <w:iCs/>
          <w:color w:val="002060"/>
          <w:kern w:val="0"/>
          <w14:ligatures w14:val="none"/>
        </w:rPr>
        <w:t>Os empréstimos e os financiamentos estão apresentados pelo custo amortizado atualizados pelas variações monetárias ou cambiais (quando aplicável) e acrescidos de juros incorridos até a data do encerramento do exercício.</w:t>
      </w:r>
    </w:p>
    <w:p w14:paraId="59456629" w14:textId="77777777" w:rsidR="00F22600" w:rsidRPr="00F22600" w:rsidRDefault="00F22600" w:rsidP="00F22600">
      <w:pPr>
        <w:spacing w:after="0"/>
        <w:jc w:val="both"/>
        <w:rPr>
          <w:rFonts w:ascii="Calibri" w:eastAsia="Times New Roman" w:hAnsi="Calibri" w:cs="Calibri"/>
          <w:bCs/>
          <w:iCs/>
          <w:color w:val="002060"/>
          <w:kern w:val="0"/>
          <w14:ligatures w14:val="none"/>
        </w:rPr>
      </w:pPr>
      <w:r w:rsidRPr="00F22600">
        <w:rPr>
          <w:rFonts w:ascii="Calibri" w:eastAsia="Times New Roman" w:hAnsi="Calibri" w:cs="Calibri"/>
          <w:bCs/>
          <w:iCs/>
          <w:color w:val="002060"/>
          <w:kern w:val="0"/>
          <w14:ligatures w14:val="none"/>
        </w:rPr>
        <w:t>Os custos de transação incorridos são mensurados ao custo amortizado e reconhecidos no passivo, reduzindo o saldo de empréstimos e financiamentos, sendo apropriados ao resultado no decorrer do período de vigência dos contratos. (Nota Explicativa 24.1)</w:t>
      </w:r>
    </w:p>
    <w:p w14:paraId="33BEB53E" w14:textId="4BADF37B" w:rsidR="00F22600" w:rsidRPr="00F22600" w:rsidRDefault="00F22600" w:rsidP="00F22600">
      <w:pPr>
        <w:spacing w:after="0"/>
        <w:jc w:val="both"/>
        <w:rPr>
          <w:rFonts w:ascii="Calibri" w:eastAsia="Times New Roman" w:hAnsi="Calibri" w:cs="Calibri"/>
          <w:b/>
          <w:iCs/>
          <w:color w:val="002060"/>
          <w:kern w:val="0"/>
          <w14:ligatures w14:val="none"/>
        </w:rPr>
      </w:pPr>
      <w:r>
        <w:rPr>
          <w:rFonts w:ascii="Calibri" w:eastAsia="Times New Roman" w:hAnsi="Calibri" w:cs="Calibri"/>
          <w:b/>
          <w:iCs/>
          <w:color w:val="002060"/>
          <w:kern w:val="0"/>
          <w14:ligatures w14:val="none"/>
        </w:rPr>
        <w:t xml:space="preserve">2.2.16. </w:t>
      </w:r>
      <w:r w:rsidRPr="00F22600">
        <w:rPr>
          <w:rFonts w:ascii="Calibri" w:eastAsia="Times New Roman" w:hAnsi="Calibri" w:cs="Calibri"/>
          <w:b/>
          <w:iCs/>
          <w:color w:val="002060"/>
          <w:kern w:val="0"/>
          <w14:ligatures w14:val="none"/>
        </w:rPr>
        <w:t>Operação de arrendamento mercantil</w:t>
      </w:r>
    </w:p>
    <w:p w14:paraId="2FDE54DC" w14:textId="63D26DC1" w:rsidR="00F22600" w:rsidRDefault="00F22600" w:rsidP="00F22600">
      <w:pPr>
        <w:spacing w:after="0"/>
        <w:jc w:val="both"/>
        <w:rPr>
          <w:rFonts w:ascii="Calibri" w:eastAsia="Times New Roman" w:hAnsi="Calibri" w:cs="Calibri"/>
          <w:bCs/>
          <w:iCs/>
          <w:color w:val="002060"/>
          <w:kern w:val="0"/>
          <w14:ligatures w14:val="none"/>
        </w:rPr>
      </w:pPr>
      <w:r w:rsidRPr="00F22600">
        <w:rPr>
          <w:rFonts w:ascii="Calibri" w:eastAsia="Times New Roman" w:hAnsi="Calibri" w:cs="Calibri"/>
          <w:bCs/>
          <w:iCs/>
          <w:color w:val="002060"/>
          <w:kern w:val="0"/>
          <w14:ligatures w14:val="none"/>
        </w:rPr>
        <w:t>Os passivos de arrendamento são reconhecidos em contrapartida com os ativos de direito de uso, mensurado pelo valor presente dos pagamentos de arrendamentos esperados até o fim do contrato, descontado por uma taxa incremental de financiamento, considerando possíveis renovações ou cancelamentos. (Nota Explicativa 24.2)</w:t>
      </w:r>
      <w:r>
        <w:rPr>
          <w:rFonts w:ascii="Calibri" w:eastAsia="Times New Roman" w:hAnsi="Calibri" w:cs="Calibri"/>
          <w:bCs/>
          <w:iCs/>
          <w:color w:val="002060"/>
          <w:kern w:val="0"/>
          <w14:ligatures w14:val="none"/>
        </w:rPr>
        <w:t xml:space="preserve">. </w:t>
      </w:r>
    </w:p>
    <w:p w14:paraId="70F69470" w14:textId="7CCAB79E" w:rsidR="00F22600" w:rsidRPr="00F22600" w:rsidRDefault="00F22600" w:rsidP="00F22600">
      <w:pPr>
        <w:spacing w:after="0"/>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2.2.17. </w:t>
      </w:r>
      <w:r w:rsidRPr="00F22600">
        <w:rPr>
          <w:rFonts w:ascii="Calibri" w:eastAsia="Times New Roman" w:hAnsi="Calibri" w:cs="Calibri"/>
          <w:b/>
          <w:bCs/>
          <w:iCs/>
          <w:color w:val="002060"/>
          <w:kern w:val="0"/>
          <w14:ligatures w14:val="none"/>
        </w:rPr>
        <w:t>Provisões</w:t>
      </w:r>
    </w:p>
    <w:p w14:paraId="06CE9857" w14:textId="2CEDBC4A" w:rsidR="00F22600" w:rsidRPr="00F22600" w:rsidRDefault="00F22600" w:rsidP="00F22600">
      <w:pPr>
        <w:spacing w:after="0"/>
        <w:jc w:val="both"/>
        <w:rPr>
          <w:rFonts w:ascii="Calibri" w:eastAsia="Times New Roman" w:hAnsi="Calibri" w:cs="Calibri"/>
          <w:b/>
          <w:bCs/>
          <w:iCs/>
          <w:color w:val="002060"/>
          <w:kern w:val="0"/>
          <w14:ligatures w14:val="none"/>
        </w:rPr>
      </w:pPr>
      <w:r w:rsidRPr="00F22600">
        <w:rPr>
          <w:rFonts w:ascii="Calibri" w:eastAsia="Times New Roman" w:hAnsi="Calibri" w:cs="Calibri"/>
          <w:b/>
          <w:iCs/>
          <w:color w:val="002060"/>
          <w:kern w:val="0"/>
          <w14:ligatures w14:val="none"/>
        </w:rPr>
        <w:t>2.2.17.1.</w:t>
      </w:r>
      <w:r>
        <w:rPr>
          <w:rFonts w:ascii="Calibri" w:eastAsia="Times New Roman" w:hAnsi="Calibri" w:cs="Calibri"/>
          <w:bCs/>
          <w:iCs/>
          <w:color w:val="002060"/>
          <w:kern w:val="0"/>
          <w14:ligatures w14:val="none"/>
        </w:rPr>
        <w:t xml:space="preserve"> </w:t>
      </w:r>
      <w:r w:rsidRPr="00F22600">
        <w:rPr>
          <w:rFonts w:ascii="Calibri" w:eastAsia="Times New Roman" w:hAnsi="Calibri" w:cs="Calibri"/>
          <w:b/>
          <w:bCs/>
          <w:iCs/>
          <w:color w:val="002060"/>
          <w:kern w:val="0"/>
          <w14:ligatures w14:val="none"/>
        </w:rPr>
        <w:t xml:space="preserve">Provisões para riscos trabalhistas, cíveis e fiscais </w:t>
      </w:r>
    </w:p>
    <w:p w14:paraId="09FF2E29" w14:textId="77777777" w:rsidR="00F22600" w:rsidRPr="00F22600" w:rsidRDefault="00F22600" w:rsidP="00F22600">
      <w:pPr>
        <w:spacing w:after="0"/>
        <w:jc w:val="both"/>
        <w:rPr>
          <w:rFonts w:ascii="Calibri" w:eastAsia="Times New Roman" w:hAnsi="Calibri" w:cs="Calibri"/>
          <w:bCs/>
          <w:iCs/>
          <w:color w:val="002060"/>
          <w:kern w:val="0"/>
          <w14:ligatures w14:val="none"/>
        </w:rPr>
      </w:pPr>
      <w:r w:rsidRPr="00F22600">
        <w:rPr>
          <w:rFonts w:ascii="Calibri" w:eastAsia="Times New Roman" w:hAnsi="Calibri" w:cs="Calibri"/>
          <w:bCs/>
          <w:iCs/>
          <w:color w:val="002060"/>
          <w:kern w:val="0"/>
          <w14:ligatures w14:val="none"/>
        </w:rPr>
        <w:t>O valor reconhecido como provisão é a melhor estimativa de desembolso exigido para liquidar a obrigação presente na data do balanço, com base na opinião dos administradores e consultores jurídicos internos e externos (quando cabível), sendo os valores registrados com base nas estimativas dos custos dos desfechos dos processos. (Nota Explicativa 21)</w:t>
      </w:r>
    </w:p>
    <w:p w14:paraId="4E267ABE" w14:textId="36F097EC" w:rsidR="00F22600" w:rsidRDefault="00F22600" w:rsidP="00F22600">
      <w:pPr>
        <w:spacing w:after="0"/>
        <w:jc w:val="both"/>
        <w:rPr>
          <w:rFonts w:ascii="Calibri" w:eastAsia="Times New Roman" w:hAnsi="Calibri" w:cs="Calibri"/>
          <w:bCs/>
          <w:iCs/>
          <w:color w:val="002060"/>
          <w:kern w:val="0"/>
          <w14:ligatures w14:val="none"/>
        </w:rPr>
      </w:pPr>
      <w:r w:rsidRPr="00F22600">
        <w:rPr>
          <w:rFonts w:ascii="Calibri" w:eastAsia="Times New Roman" w:hAnsi="Calibri" w:cs="Calibri"/>
          <w:bCs/>
          <w:iCs/>
          <w:color w:val="002060"/>
          <w:kern w:val="0"/>
          <w14:ligatures w14:val="none"/>
        </w:rPr>
        <w:t>O aumento da obrigação em decorrência da passagem do tempo é reconhecido como despesa financeira. (Nota Explicativa 31)</w:t>
      </w:r>
      <w:r>
        <w:rPr>
          <w:rFonts w:ascii="Calibri" w:eastAsia="Times New Roman" w:hAnsi="Calibri" w:cs="Calibri"/>
          <w:bCs/>
          <w:iCs/>
          <w:color w:val="002060"/>
          <w:kern w:val="0"/>
          <w14:ligatures w14:val="none"/>
        </w:rPr>
        <w:t xml:space="preserve">. </w:t>
      </w:r>
    </w:p>
    <w:p w14:paraId="3B1264B4" w14:textId="01D43556" w:rsidR="00F22600" w:rsidRPr="00F22600" w:rsidRDefault="00F22600" w:rsidP="00F22600">
      <w:pPr>
        <w:spacing w:after="0"/>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2.2.17.2. </w:t>
      </w:r>
      <w:r w:rsidRPr="00F22600">
        <w:rPr>
          <w:rFonts w:ascii="Calibri" w:eastAsia="Times New Roman" w:hAnsi="Calibri" w:cs="Calibri"/>
          <w:b/>
          <w:bCs/>
          <w:iCs/>
          <w:color w:val="002060"/>
          <w:kern w:val="0"/>
          <w14:ligatures w14:val="none"/>
        </w:rPr>
        <w:t>Benefícios a empregados</w:t>
      </w:r>
    </w:p>
    <w:p w14:paraId="738B4F72" w14:textId="503A74E0" w:rsidR="00F22600" w:rsidRPr="00F22600" w:rsidRDefault="00F22600" w:rsidP="00F22600">
      <w:pPr>
        <w:spacing w:after="0"/>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2.2.17.2.1. </w:t>
      </w:r>
      <w:r w:rsidRPr="00F22600">
        <w:rPr>
          <w:rFonts w:ascii="Calibri" w:eastAsia="Times New Roman" w:hAnsi="Calibri" w:cs="Calibri"/>
          <w:b/>
          <w:bCs/>
          <w:iCs/>
          <w:color w:val="002060"/>
          <w:kern w:val="0"/>
          <w14:ligatures w14:val="none"/>
        </w:rPr>
        <w:t>Benefícios de curto prazo</w:t>
      </w:r>
    </w:p>
    <w:p w14:paraId="6F965F20" w14:textId="77777777" w:rsidR="00F22600" w:rsidRPr="00F22600" w:rsidRDefault="00F22600" w:rsidP="00F22600">
      <w:pPr>
        <w:spacing w:after="0"/>
        <w:jc w:val="both"/>
        <w:rPr>
          <w:rFonts w:ascii="Calibri" w:eastAsia="Times New Roman" w:hAnsi="Calibri" w:cs="Calibri"/>
          <w:bCs/>
          <w:iCs/>
          <w:color w:val="002060"/>
          <w:kern w:val="0"/>
          <w14:ligatures w14:val="none"/>
        </w:rPr>
      </w:pPr>
      <w:r w:rsidRPr="00F22600">
        <w:rPr>
          <w:rFonts w:ascii="Calibri" w:eastAsia="Times New Roman" w:hAnsi="Calibri" w:cs="Calibri"/>
          <w:bCs/>
          <w:iCs/>
          <w:color w:val="002060"/>
          <w:kern w:val="0"/>
          <w14:ligatures w14:val="none"/>
        </w:rPr>
        <w:t>Obrigações de benefícios de curto prazo a empregados são mensuradas em uma base não descontada e são incorridas como despesas, conforme o serviço relacionado seja prestado.</w:t>
      </w:r>
    </w:p>
    <w:p w14:paraId="14276D27" w14:textId="77777777" w:rsidR="00F22600" w:rsidRDefault="00F22600" w:rsidP="00F22600">
      <w:pPr>
        <w:spacing w:after="0"/>
        <w:jc w:val="both"/>
        <w:rPr>
          <w:rFonts w:ascii="Calibri" w:eastAsia="Times New Roman" w:hAnsi="Calibri" w:cs="Calibri"/>
          <w:bCs/>
          <w:iCs/>
          <w:color w:val="002060"/>
          <w:kern w:val="0"/>
          <w14:ligatures w14:val="none"/>
        </w:rPr>
      </w:pPr>
      <w:r w:rsidRPr="00F22600">
        <w:rPr>
          <w:rFonts w:ascii="Calibri" w:eastAsia="Times New Roman" w:hAnsi="Calibri" w:cs="Calibri"/>
          <w:bCs/>
          <w:iCs/>
          <w:color w:val="002060"/>
          <w:kern w:val="0"/>
          <w14:ligatures w14:val="none"/>
        </w:rPr>
        <w:t>O passivo é reconhecido pelo valor esperado a ser pago aos planos de bonificação, em espécie ou em participação nos lucros de curto prazo, se a Companhia tem uma obrigação, em função de serviço prestado pelo empregado, que possa ser estimada de maneira confiável.</w:t>
      </w:r>
    </w:p>
    <w:p w14:paraId="13280A4C" w14:textId="4C22525F" w:rsidR="00F22600" w:rsidRPr="00F22600" w:rsidRDefault="00F22600" w:rsidP="00F22600">
      <w:pPr>
        <w:spacing w:after="0"/>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2.2.17.2.2. </w:t>
      </w:r>
      <w:r w:rsidRPr="00F22600">
        <w:rPr>
          <w:rFonts w:ascii="Calibri" w:eastAsia="Times New Roman" w:hAnsi="Calibri" w:cs="Calibri"/>
          <w:b/>
          <w:bCs/>
          <w:iCs/>
          <w:color w:val="002060"/>
          <w:kern w:val="0"/>
          <w14:ligatures w14:val="none"/>
        </w:rPr>
        <w:t>Benefícios pós-emprego</w:t>
      </w:r>
    </w:p>
    <w:p w14:paraId="16BE8AA6" w14:textId="77777777" w:rsidR="00F22600" w:rsidRPr="00F22600" w:rsidRDefault="00F22600" w:rsidP="00F22600">
      <w:pPr>
        <w:spacing w:after="0"/>
        <w:jc w:val="both"/>
        <w:rPr>
          <w:rFonts w:ascii="Calibri" w:eastAsia="Times New Roman" w:hAnsi="Calibri" w:cs="Calibri"/>
          <w:bCs/>
          <w:iCs/>
          <w:color w:val="002060"/>
          <w:kern w:val="0"/>
          <w14:ligatures w14:val="none"/>
        </w:rPr>
      </w:pPr>
      <w:r w:rsidRPr="00F22600">
        <w:rPr>
          <w:rFonts w:ascii="Calibri" w:eastAsia="Times New Roman" w:hAnsi="Calibri" w:cs="Calibri"/>
          <w:bCs/>
          <w:iCs/>
          <w:color w:val="002060"/>
          <w:kern w:val="0"/>
          <w14:ligatures w14:val="none"/>
        </w:rPr>
        <w:t xml:space="preserve">Os planos de previdência privada e outros benefícios de aposentadoria patrocinados pela Companhia em benefício de seus empregados são administrados pela Fundação Sistel de Seguridade Social. As contribuições são determinadas com base em cálculos atuariais e, quando aplicável, contabilizadas contra o resultado de acordo com o regime de competência. </w:t>
      </w:r>
    </w:p>
    <w:p w14:paraId="0B028C9C" w14:textId="77777777" w:rsidR="00F22600" w:rsidRPr="00F22600" w:rsidRDefault="00F22600" w:rsidP="00F22600">
      <w:pPr>
        <w:spacing w:after="0"/>
        <w:jc w:val="both"/>
        <w:rPr>
          <w:rFonts w:ascii="Calibri" w:eastAsia="Times New Roman" w:hAnsi="Calibri" w:cs="Calibri"/>
          <w:bCs/>
          <w:iCs/>
          <w:color w:val="002060"/>
          <w:kern w:val="0"/>
          <w14:ligatures w14:val="none"/>
        </w:rPr>
      </w:pPr>
      <w:r w:rsidRPr="00F22600">
        <w:rPr>
          <w:rFonts w:ascii="Calibri" w:eastAsia="Times New Roman" w:hAnsi="Calibri" w:cs="Calibri"/>
          <w:bCs/>
          <w:iCs/>
          <w:color w:val="002060"/>
          <w:kern w:val="0"/>
          <w14:ligatures w14:val="none"/>
        </w:rPr>
        <w:t>A Companhia conta com planos de benefícios definidos e contribuições variáveis, além do Plano de Assistência Médica ao Aposentado.</w:t>
      </w:r>
    </w:p>
    <w:p w14:paraId="4ACFA701" w14:textId="77777777" w:rsidR="00F22600" w:rsidRPr="00F22600" w:rsidRDefault="00F22600" w:rsidP="00F22600">
      <w:pPr>
        <w:spacing w:after="0"/>
        <w:jc w:val="both"/>
        <w:rPr>
          <w:rFonts w:ascii="Calibri" w:eastAsia="Times New Roman" w:hAnsi="Calibri" w:cs="Calibri"/>
          <w:bCs/>
          <w:iCs/>
          <w:color w:val="002060"/>
          <w:kern w:val="0"/>
          <w14:ligatures w14:val="none"/>
        </w:rPr>
      </w:pPr>
      <w:r w:rsidRPr="00F22600">
        <w:rPr>
          <w:rFonts w:ascii="Calibri" w:eastAsia="Times New Roman" w:hAnsi="Calibri" w:cs="Calibri"/>
          <w:bCs/>
          <w:iCs/>
          <w:color w:val="002060"/>
          <w:kern w:val="0"/>
          <w14:ligatures w14:val="none"/>
        </w:rPr>
        <w:t>No plano de Contribuição Variável: modalidade de plano em que o valor do Benefício Programado é calculado atuarialmente com base no montante acumulado na conta individual do Participante durante o período contributivo, apurado pelas contribuições vertidas pelo Participante e pela Patrocinadora, conforme disposto no regulamento do Plano, além da rentabilidade no período de capitalização.</w:t>
      </w:r>
    </w:p>
    <w:p w14:paraId="74D27A68" w14:textId="77777777" w:rsidR="00F22600" w:rsidRDefault="00F22600" w:rsidP="00F22600">
      <w:pPr>
        <w:spacing w:after="0"/>
        <w:jc w:val="both"/>
        <w:rPr>
          <w:rFonts w:ascii="Calibri" w:eastAsia="Times New Roman" w:hAnsi="Calibri" w:cs="Calibri"/>
          <w:bCs/>
          <w:iCs/>
          <w:color w:val="002060"/>
          <w:kern w:val="0"/>
          <w14:ligatures w14:val="none"/>
        </w:rPr>
      </w:pPr>
      <w:r w:rsidRPr="00F22600">
        <w:rPr>
          <w:rFonts w:ascii="Calibri" w:eastAsia="Times New Roman" w:hAnsi="Calibri" w:cs="Calibri"/>
          <w:bCs/>
          <w:iCs/>
          <w:color w:val="002060"/>
          <w:kern w:val="0"/>
          <w14:ligatures w14:val="none"/>
        </w:rPr>
        <w:t xml:space="preserve">O benefício definido é calculado anualmente por atuários independentes, que utilizam o método de crédito de unidade projetada. O valor presente do benefício definido é determinado descontando-se as saídas de caixa futuras estimadas, utilizando a projeção da taxa de inflação acrescida de juros de longo prazo. A obrigação </w:t>
      </w:r>
      <w:r w:rsidRPr="00F22600">
        <w:rPr>
          <w:rFonts w:ascii="Calibri" w:eastAsia="Times New Roman" w:hAnsi="Calibri" w:cs="Calibri"/>
          <w:bCs/>
          <w:iCs/>
          <w:color w:val="002060"/>
          <w:kern w:val="0"/>
          <w14:ligatures w14:val="none"/>
        </w:rPr>
        <w:lastRenderedPageBreak/>
        <w:t xml:space="preserve">reconhecida no balanço, no que tange aos planos de pensão de benefícios definidos que são deficitários, corresponde ao valor presente dos benefícios definidos, menos o valor justo dos ativos do plano. </w:t>
      </w:r>
    </w:p>
    <w:p w14:paraId="045D0985" w14:textId="4818A72E" w:rsidR="00F22600" w:rsidRPr="00F22600" w:rsidRDefault="00F22600" w:rsidP="00F22600">
      <w:pPr>
        <w:spacing w:after="0"/>
        <w:jc w:val="both"/>
        <w:rPr>
          <w:rFonts w:ascii="Calibri" w:eastAsia="Times New Roman" w:hAnsi="Calibri" w:cs="Calibri"/>
          <w:bCs/>
          <w:iCs/>
          <w:color w:val="002060"/>
          <w:kern w:val="0"/>
          <w14:ligatures w14:val="none"/>
        </w:rPr>
      </w:pPr>
      <w:r w:rsidRPr="00F22600">
        <w:rPr>
          <w:rFonts w:ascii="Calibri" w:eastAsia="Times New Roman" w:hAnsi="Calibri" w:cs="Calibri"/>
          <w:bCs/>
          <w:iCs/>
          <w:color w:val="002060"/>
          <w:kern w:val="0"/>
          <w14:ligatures w14:val="none"/>
        </w:rPr>
        <w:t xml:space="preserve">Os ganhos e as perdas resultantes das alterações nas avaliações atuariais dos planos de aposentadoria, cujas obrigações atuariais ou ativos atuariais são registrados pela Companhia, são reconhecidos integralmente em outros resultados abrangentes no patrimônio líquido, quando aplicável. </w:t>
      </w:r>
    </w:p>
    <w:p w14:paraId="23715657" w14:textId="77777777" w:rsidR="00F22600" w:rsidRDefault="00F22600" w:rsidP="00F22600">
      <w:pPr>
        <w:spacing w:after="0"/>
        <w:jc w:val="both"/>
        <w:rPr>
          <w:rFonts w:ascii="Calibri" w:eastAsia="Times New Roman" w:hAnsi="Calibri" w:cs="Calibri"/>
          <w:bCs/>
          <w:iCs/>
          <w:color w:val="002060"/>
          <w:kern w:val="0"/>
          <w14:ligatures w14:val="none"/>
        </w:rPr>
      </w:pPr>
      <w:r w:rsidRPr="00F22600">
        <w:rPr>
          <w:rFonts w:ascii="Calibri" w:eastAsia="Times New Roman" w:hAnsi="Calibri" w:cs="Calibri"/>
          <w:bCs/>
          <w:iCs/>
          <w:color w:val="002060"/>
          <w:kern w:val="0"/>
          <w14:ligatures w14:val="none"/>
        </w:rPr>
        <w:t xml:space="preserve">O ativo, quando reconhecido no balanço, corresponde ao valor presente dos benefícios econômicos disponíveis, na forma de restituições ou de reduções em contribuições futuras para o plano. </w:t>
      </w:r>
    </w:p>
    <w:p w14:paraId="34391F2E" w14:textId="0734D973" w:rsidR="00170050" w:rsidRPr="00170050" w:rsidRDefault="00170050" w:rsidP="00170050">
      <w:pPr>
        <w:spacing w:after="0"/>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2.2.17.2.3. </w:t>
      </w:r>
      <w:r w:rsidRPr="00170050">
        <w:rPr>
          <w:rFonts w:ascii="Calibri" w:eastAsia="Times New Roman" w:hAnsi="Calibri" w:cs="Calibri"/>
          <w:b/>
          <w:bCs/>
          <w:iCs/>
          <w:color w:val="002060"/>
          <w:kern w:val="0"/>
          <w14:ligatures w14:val="none"/>
        </w:rPr>
        <w:t>Programa de indenização por serviços prestados (PISP)</w:t>
      </w:r>
    </w:p>
    <w:p w14:paraId="29CBD799" w14:textId="77777777" w:rsidR="00170050" w:rsidRPr="00170050" w:rsidRDefault="00170050" w:rsidP="00170050">
      <w:pPr>
        <w:spacing w:after="0"/>
        <w:jc w:val="both"/>
        <w:rPr>
          <w:rFonts w:ascii="Calibri" w:eastAsia="Times New Roman" w:hAnsi="Calibri" w:cs="Calibri"/>
          <w:bCs/>
          <w:iCs/>
          <w:color w:val="002060"/>
          <w:kern w:val="0"/>
          <w14:ligatures w14:val="none"/>
        </w:rPr>
      </w:pPr>
      <w:r w:rsidRPr="00170050">
        <w:rPr>
          <w:rFonts w:ascii="Calibri" w:eastAsia="Times New Roman" w:hAnsi="Calibri" w:cs="Calibri"/>
          <w:bCs/>
          <w:iCs/>
          <w:color w:val="002060"/>
          <w:kern w:val="0"/>
          <w14:ligatures w14:val="none"/>
        </w:rPr>
        <w:t>O programa de indenização por serviços prestados (PISP) foi constituído pela Telebrás em 1998, no contexto da privatização e reestruturação do setor de telecomunicações brasileiro, com o objetivo de proporcionar suporte financeiro para os colaboradores que, em face da iminente dissolução da empresa, deveriam buscar recolocação no mercado de trabalho (Nota Explicativa 17).</w:t>
      </w:r>
    </w:p>
    <w:p w14:paraId="7E3C3D1A" w14:textId="77777777" w:rsidR="00170050" w:rsidRPr="00170050" w:rsidRDefault="00170050" w:rsidP="008B5CCF">
      <w:pPr>
        <w:spacing w:after="0"/>
        <w:jc w:val="both"/>
        <w:rPr>
          <w:rFonts w:ascii="Calibri" w:eastAsia="Times New Roman" w:hAnsi="Calibri" w:cs="Calibri"/>
          <w:bCs/>
          <w:iCs/>
          <w:color w:val="002060"/>
          <w:kern w:val="0"/>
          <w14:ligatures w14:val="none"/>
        </w:rPr>
      </w:pPr>
      <w:r w:rsidRPr="00170050">
        <w:rPr>
          <w:rFonts w:ascii="Calibri" w:eastAsia="Times New Roman" w:hAnsi="Calibri" w:cs="Calibri"/>
          <w:bCs/>
          <w:iCs/>
          <w:color w:val="002060"/>
          <w:kern w:val="0"/>
          <w14:ligatures w14:val="none"/>
        </w:rPr>
        <w:t>O programa, ainda em vigor, contempla benefícios aos colaboradores a serem concedidos, quando se desligarem da Companhia. O programa é constituído das seguintes vantagens, acrescidas às verbas rescisórias de praxe:</w:t>
      </w:r>
    </w:p>
    <w:p w14:paraId="0A8AB444" w14:textId="77777777" w:rsidR="00170050" w:rsidRPr="00170050" w:rsidRDefault="00170050" w:rsidP="008B5CCF">
      <w:pPr>
        <w:spacing w:after="0"/>
        <w:jc w:val="both"/>
        <w:rPr>
          <w:rFonts w:ascii="Calibri" w:eastAsia="Times New Roman" w:hAnsi="Calibri" w:cs="Calibri"/>
          <w:bCs/>
          <w:iCs/>
          <w:color w:val="002060"/>
          <w:kern w:val="0"/>
          <w14:ligatures w14:val="none"/>
        </w:rPr>
      </w:pPr>
      <w:r w:rsidRPr="00170050">
        <w:rPr>
          <w:rFonts w:ascii="Calibri" w:eastAsia="Times New Roman" w:hAnsi="Calibri" w:cs="Calibri"/>
          <w:bCs/>
          <w:iCs/>
          <w:color w:val="002060"/>
          <w:kern w:val="0"/>
          <w14:ligatures w14:val="none"/>
        </w:rPr>
        <w:t xml:space="preserve">i) indenização pecuniária: 12 (doze) vezes o salário e anuênio percebidos pelo colaborador no mês de seu desligamento, acrescido de 1% (um por cento) por ano de serviço prestado ao Sistema Telebrás; </w:t>
      </w:r>
    </w:p>
    <w:p w14:paraId="53247194" w14:textId="77777777" w:rsidR="00170050" w:rsidRPr="00170050" w:rsidRDefault="00170050" w:rsidP="008B5CCF">
      <w:pPr>
        <w:spacing w:after="0"/>
        <w:jc w:val="both"/>
        <w:rPr>
          <w:rFonts w:ascii="Calibri" w:eastAsia="Times New Roman" w:hAnsi="Calibri" w:cs="Calibri"/>
          <w:bCs/>
          <w:iCs/>
          <w:color w:val="002060"/>
          <w:kern w:val="0"/>
          <w14:ligatures w14:val="none"/>
        </w:rPr>
      </w:pPr>
      <w:proofErr w:type="spellStart"/>
      <w:r w:rsidRPr="00170050">
        <w:rPr>
          <w:rFonts w:ascii="Calibri" w:eastAsia="Times New Roman" w:hAnsi="Calibri" w:cs="Calibri"/>
          <w:bCs/>
          <w:iCs/>
          <w:color w:val="002060"/>
          <w:kern w:val="0"/>
          <w14:ligatures w14:val="none"/>
        </w:rPr>
        <w:t>ii</w:t>
      </w:r>
      <w:proofErr w:type="spellEnd"/>
      <w:r w:rsidRPr="00170050">
        <w:rPr>
          <w:rFonts w:ascii="Calibri" w:eastAsia="Times New Roman" w:hAnsi="Calibri" w:cs="Calibri"/>
          <w:bCs/>
          <w:iCs/>
          <w:color w:val="002060"/>
          <w:kern w:val="0"/>
          <w14:ligatures w14:val="none"/>
        </w:rPr>
        <w:t>) indenização à alimentação: 12 (doze) vezes o valor mensal do auxílio alimentação;</w:t>
      </w:r>
    </w:p>
    <w:p w14:paraId="29F99893" w14:textId="77777777" w:rsidR="00170050" w:rsidRPr="00170050" w:rsidRDefault="00170050" w:rsidP="008B5CCF">
      <w:pPr>
        <w:spacing w:after="0"/>
        <w:jc w:val="both"/>
        <w:rPr>
          <w:rFonts w:ascii="Calibri" w:eastAsia="Times New Roman" w:hAnsi="Calibri" w:cs="Calibri"/>
          <w:bCs/>
          <w:iCs/>
          <w:color w:val="002060"/>
          <w:kern w:val="0"/>
          <w14:ligatures w14:val="none"/>
        </w:rPr>
      </w:pPr>
      <w:proofErr w:type="spellStart"/>
      <w:r w:rsidRPr="00170050">
        <w:rPr>
          <w:rFonts w:ascii="Calibri" w:eastAsia="Times New Roman" w:hAnsi="Calibri" w:cs="Calibri"/>
          <w:bCs/>
          <w:iCs/>
          <w:color w:val="002060"/>
          <w:kern w:val="0"/>
          <w14:ligatures w14:val="none"/>
        </w:rPr>
        <w:t>iii</w:t>
      </w:r>
      <w:proofErr w:type="spellEnd"/>
      <w:r w:rsidRPr="00170050">
        <w:rPr>
          <w:rFonts w:ascii="Calibri" w:eastAsia="Times New Roman" w:hAnsi="Calibri" w:cs="Calibri"/>
          <w:bCs/>
          <w:iCs/>
          <w:color w:val="002060"/>
          <w:kern w:val="0"/>
          <w14:ligatures w14:val="none"/>
        </w:rPr>
        <w:t>) indenização de assistência médica: 12 (doze) vezes o valor mensal de um plano de saúde; e</w:t>
      </w:r>
    </w:p>
    <w:p w14:paraId="43BA6F54" w14:textId="77777777" w:rsidR="00170050" w:rsidRPr="00170050" w:rsidRDefault="00170050" w:rsidP="008B5CCF">
      <w:pPr>
        <w:spacing w:after="0"/>
        <w:jc w:val="both"/>
        <w:rPr>
          <w:rFonts w:ascii="Calibri" w:eastAsia="Times New Roman" w:hAnsi="Calibri" w:cs="Calibri"/>
          <w:bCs/>
          <w:iCs/>
          <w:color w:val="002060"/>
          <w:kern w:val="0"/>
          <w14:ligatures w14:val="none"/>
        </w:rPr>
      </w:pPr>
      <w:proofErr w:type="spellStart"/>
      <w:r w:rsidRPr="00170050">
        <w:rPr>
          <w:rFonts w:ascii="Calibri" w:eastAsia="Times New Roman" w:hAnsi="Calibri" w:cs="Calibri"/>
          <w:bCs/>
          <w:iCs/>
          <w:color w:val="002060"/>
          <w:kern w:val="0"/>
          <w14:ligatures w14:val="none"/>
        </w:rPr>
        <w:t>iv</w:t>
      </w:r>
      <w:proofErr w:type="spellEnd"/>
      <w:r w:rsidRPr="00170050">
        <w:rPr>
          <w:rFonts w:ascii="Calibri" w:eastAsia="Times New Roman" w:hAnsi="Calibri" w:cs="Calibri"/>
          <w:bCs/>
          <w:iCs/>
          <w:color w:val="002060"/>
          <w:kern w:val="0"/>
          <w14:ligatures w14:val="none"/>
        </w:rPr>
        <w:t>) indenização Fundação de Seguridade Social: mensalidades do plano de seguridade social por um período de 12 (doze) meses.</w:t>
      </w:r>
    </w:p>
    <w:p w14:paraId="771BAB02" w14:textId="5B41B8AB" w:rsidR="00FF04A2" w:rsidRPr="00FF04A2" w:rsidRDefault="00FF04A2" w:rsidP="008B5CCF">
      <w:pPr>
        <w:spacing w:after="0"/>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2.2.18. </w:t>
      </w:r>
      <w:r w:rsidRPr="00FF04A2">
        <w:rPr>
          <w:rFonts w:ascii="Calibri" w:eastAsia="Times New Roman" w:hAnsi="Calibri" w:cs="Calibri"/>
          <w:b/>
          <w:bCs/>
          <w:iCs/>
          <w:color w:val="002060"/>
          <w:kern w:val="0"/>
          <w14:ligatures w14:val="none"/>
        </w:rPr>
        <w:t>Demais ativos e passivos</w:t>
      </w:r>
    </w:p>
    <w:p w14:paraId="6C4E7D59" w14:textId="77777777" w:rsidR="00FF04A2" w:rsidRPr="00FF04A2" w:rsidRDefault="00FF04A2" w:rsidP="008B5CCF">
      <w:pPr>
        <w:spacing w:after="0"/>
        <w:jc w:val="both"/>
        <w:rPr>
          <w:rFonts w:ascii="Calibri" w:eastAsia="Times New Roman" w:hAnsi="Calibri" w:cs="Calibri"/>
          <w:bCs/>
          <w:iCs/>
          <w:color w:val="002060"/>
          <w:kern w:val="0"/>
          <w14:ligatures w14:val="none"/>
        </w:rPr>
      </w:pPr>
      <w:r w:rsidRPr="00FF04A2">
        <w:rPr>
          <w:rFonts w:ascii="Calibri" w:eastAsia="Times New Roman" w:hAnsi="Calibri" w:cs="Calibri"/>
          <w:bCs/>
          <w:iCs/>
          <w:color w:val="002060"/>
          <w:kern w:val="0"/>
          <w14:ligatures w14:val="none"/>
        </w:rPr>
        <w:t>Os outros ativos estão apresentados ao valor de realização, incluindo, quando aplicável, os rendimentos e as variações monetárias auferidas até a data do balanço, deduzidos por provisão para perdas e/ou ajuste a valor presente, quando aplicável. As outras obrigações são demonstradas pelos valores conhecidos ou calculáveis acrescidos, quando aplicável, dos correspondentes encargos e das variações monetárias e/ou cambiais incorridas até a data do balanço.</w:t>
      </w:r>
    </w:p>
    <w:p w14:paraId="18ADDB8F" w14:textId="3EEDDEA8" w:rsidR="00FF04A2" w:rsidRPr="00FF04A2" w:rsidRDefault="00FF04A2" w:rsidP="008B5CCF">
      <w:pPr>
        <w:spacing w:after="0"/>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2.2.19. </w:t>
      </w:r>
      <w:r w:rsidRPr="00FF04A2">
        <w:rPr>
          <w:rFonts w:ascii="Calibri" w:eastAsia="Times New Roman" w:hAnsi="Calibri" w:cs="Calibri"/>
          <w:b/>
          <w:bCs/>
          <w:iCs/>
          <w:color w:val="002060"/>
          <w:kern w:val="0"/>
          <w14:ligatures w14:val="none"/>
        </w:rPr>
        <w:t>Capital social</w:t>
      </w:r>
    </w:p>
    <w:p w14:paraId="27513A81" w14:textId="77777777" w:rsidR="00FF04A2" w:rsidRPr="00FF04A2" w:rsidRDefault="00FF04A2" w:rsidP="008B5CCF">
      <w:pPr>
        <w:spacing w:after="0"/>
        <w:jc w:val="both"/>
        <w:rPr>
          <w:rFonts w:ascii="Calibri" w:eastAsia="Times New Roman" w:hAnsi="Calibri" w:cs="Calibri"/>
          <w:bCs/>
          <w:iCs/>
          <w:color w:val="002060"/>
          <w:kern w:val="0"/>
          <w14:ligatures w14:val="none"/>
        </w:rPr>
      </w:pPr>
      <w:r w:rsidRPr="00FF04A2">
        <w:rPr>
          <w:rFonts w:ascii="Calibri" w:eastAsia="Times New Roman" w:hAnsi="Calibri" w:cs="Calibri"/>
          <w:bCs/>
          <w:iCs/>
          <w:color w:val="002060"/>
          <w:kern w:val="0"/>
          <w14:ligatures w14:val="none"/>
        </w:rPr>
        <w:t>As ações ordinárias e as preferenciais são classificadas no patrimônio líquido.</w:t>
      </w:r>
    </w:p>
    <w:p w14:paraId="723E3430" w14:textId="77777777" w:rsidR="00FF04A2" w:rsidRPr="00FF04A2" w:rsidRDefault="00FF04A2" w:rsidP="008B5CCF">
      <w:pPr>
        <w:spacing w:after="0"/>
        <w:jc w:val="both"/>
        <w:rPr>
          <w:rFonts w:ascii="Calibri" w:eastAsia="Times New Roman" w:hAnsi="Calibri" w:cs="Calibri"/>
          <w:bCs/>
          <w:iCs/>
          <w:color w:val="002060"/>
          <w:kern w:val="0"/>
          <w14:ligatures w14:val="none"/>
        </w:rPr>
      </w:pPr>
    </w:p>
    <w:p w14:paraId="576500A9" w14:textId="2710EF79" w:rsidR="00FF04A2" w:rsidRPr="00FF04A2" w:rsidRDefault="00FF04A2" w:rsidP="008B5CCF">
      <w:pPr>
        <w:spacing w:after="0"/>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2.2.19.1. </w:t>
      </w:r>
      <w:r w:rsidRPr="00FF04A2">
        <w:rPr>
          <w:rFonts w:ascii="Calibri" w:eastAsia="Times New Roman" w:hAnsi="Calibri" w:cs="Calibri"/>
          <w:b/>
          <w:bCs/>
          <w:iCs/>
          <w:color w:val="002060"/>
          <w:kern w:val="0"/>
          <w14:ligatures w14:val="none"/>
        </w:rPr>
        <w:t>Ações ordinárias</w:t>
      </w:r>
    </w:p>
    <w:p w14:paraId="5187AD20" w14:textId="77777777" w:rsidR="00FF04A2" w:rsidRPr="00FF04A2" w:rsidRDefault="00FF04A2" w:rsidP="008B5CCF">
      <w:pPr>
        <w:spacing w:after="0"/>
        <w:jc w:val="both"/>
        <w:rPr>
          <w:rFonts w:ascii="Calibri" w:eastAsia="Times New Roman" w:hAnsi="Calibri" w:cs="Calibri"/>
          <w:bCs/>
          <w:iCs/>
          <w:color w:val="002060"/>
          <w:kern w:val="0"/>
          <w14:ligatures w14:val="none"/>
        </w:rPr>
      </w:pPr>
      <w:r w:rsidRPr="00FF04A2">
        <w:rPr>
          <w:rFonts w:ascii="Calibri" w:eastAsia="Times New Roman" w:hAnsi="Calibri" w:cs="Calibri"/>
          <w:bCs/>
          <w:iCs/>
          <w:color w:val="002060"/>
          <w:kern w:val="0"/>
          <w14:ligatures w14:val="none"/>
        </w:rPr>
        <w:t>Ações ordinárias são classificadas como patrimônio líquido. Custos adicionais diretamente atribuíveis à emissão de ações e opção de ações são reconhecidos como dedução do patrimônio líquido, livre de quaisquer efeitos tributários.</w:t>
      </w:r>
    </w:p>
    <w:p w14:paraId="4F70B679" w14:textId="49C46C38" w:rsidR="00FF04A2" w:rsidRPr="00FF04A2" w:rsidRDefault="00FF04A2" w:rsidP="008B5CCF">
      <w:pPr>
        <w:spacing w:after="0"/>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2.2.19.2. </w:t>
      </w:r>
      <w:r w:rsidRPr="00FF04A2">
        <w:rPr>
          <w:rFonts w:ascii="Calibri" w:eastAsia="Times New Roman" w:hAnsi="Calibri" w:cs="Calibri"/>
          <w:b/>
          <w:bCs/>
          <w:iCs/>
          <w:color w:val="002060"/>
          <w:kern w:val="0"/>
          <w14:ligatures w14:val="none"/>
        </w:rPr>
        <w:t>Ações preferenciais</w:t>
      </w:r>
    </w:p>
    <w:p w14:paraId="6E2F7CEB" w14:textId="77777777" w:rsidR="00FF04A2" w:rsidRDefault="00FF04A2" w:rsidP="008B5CCF">
      <w:pPr>
        <w:spacing w:after="0"/>
        <w:jc w:val="both"/>
        <w:rPr>
          <w:rFonts w:ascii="Calibri" w:eastAsia="Times New Roman" w:hAnsi="Calibri" w:cs="Calibri"/>
          <w:bCs/>
          <w:iCs/>
          <w:color w:val="002060"/>
          <w:kern w:val="0"/>
          <w14:ligatures w14:val="none"/>
        </w:rPr>
      </w:pPr>
      <w:r w:rsidRPr="00FF04A2">
        <w:rPr>
          <w:rFonts w:ascii="Calibri" w:eastAsia="Times New Roman" w:hAnsi="Calibri" w:cs="Calibri"/>
          <w:bCs/>
          <w:iCs/>
          <w:color w:val="002060"/>
          <w:kern w:val="0"/>
          <w14:ligatures w14:val="none"/>
        </w:rPr>
        <w:t>Ações preferenciais são classificadas no patrimônio líquido caso não sejam resgatáveis ou resgatáveis somente à escolha da Companhia. As ações preferenciais não têm direito a voto, sendo a elas assegurada prioridade no reembolso de capital e no pagamento de dividendos mínimos, não cumulativos, de 6% (seis por cento) ao ano sobre o valor resultante da divisão do capital subscrito pelo número total de ações da Telebrás.</w:t>
      </w:r>
    </w:p>
    <w:p w14:paraId="69C33C3C" w14:textId="77777777" w:rsidR="00FF04A2" w:rsidRDefault="00FF04A2" w:rsidP="008B5CCF">
      <w:pPr>
        <w:spacing w:after="0"/>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2.2.19.3.</w:t>
      </w:r>
      <w:r w:rsidRPr="00FF04A2">
        <w:rPr>
          <w:rFonts w:ascii="Arial" w:eastAsia="Arial Unicode MS" w:hAnsi="Arial" w:cs="Arial"/>
          <w:b/>
          <w:iCs/>
          <w:kern w:val="0"/>
          <w:lang w:eastAsia="pt-BR"/>
          <w14:ligatures w14:val="none"/>
        </w:rPr>
        <w:t xml:space="preserve"> </w:t>
      </w:r>
      <w:r w:rsidRPr="00FF04A2">
        <w:rPr>
          <w:rFonts w:ascii="Calibri" w:eastAsia="Times New Roman" w:hAnsi="Calibri" w:cs="Calibri"/>
          <w:b/>
          <w:bCs/>
          <w:iCs/>
          <w:color w:val="002060"/>
          <w:kern w:val="0"/>
          <w14:ligatures w14:val="none"/>
        </w:rPr>
        <w:t>Distribuição de dividendos</w:t>
      </w:r>
    </w:p>
    <w:p w14:paraId="39B03A68" w14:textId="3EE81D92" w:rsidR="00FF04A2" w:rsidRDefault="00FF04A2" w:rsidP="008B5CCF">
      <w:pPr>
        <w:spacing w:after="0"/>
        <w:jc w:val="both"/>
        <w:rPr>
          <w:rFonts w:ascii="Calibri" w:eastAsia="Times New Roman" w:hAnsi="Calibri" w:cs="Calibri"/>
          <w:iCs/>
          <w:color w:val="002060"/>
          <w:kern w:val="0"/>
          <w14:ligatures w14:val="none"/>
        </w:rPr>
      </w:pPr>
      <w:r w:rsidRPr="00FF04A2">
        <w:rPr>
          <w:rFonts w:ascii="Calibri" w:eastAsia="Times New Roman" w:hAnsi="Calibri" w:cs="Calibri"/>
          <w:iCs/>
          <w:color w:val="002060"/>
          <w:kern w:val="0"/>
          <w14:ligatures w14:val="none"/>
        </w:rPr>
        <w:t>A distribuição de dividendos para os acionistas da Companhia é reconhecida como um passivo, apurado com base no estatuto social e na política de dividendos. Qualquer valor acima do mínimo obrigatório é destacado na Demonstração das Mutações do Patrimônio Líquido como “Dividendos adicionais propostos”, até aprovação pelos acionistas, em assembleia geral.</w:t>
      </w:r>
    </w:p>
    <w:p w14:paraId="5E65151F" w14:textId="5D8B35AF" w:rsidR="00FF04A2" w:rsidRPr="00FF04A2" w:rsidRDefault="00FF04A2" w:rsidP="008B5CCF">
      <w:pPr>
        <w:spacing w:after="0"/>
        <w:jc w:val="both"/>
        <w:rPr>
          <w:rFonts w:ascii="Calibri" w:eastAsia="Times New Roman" w:hAnsi="Calibri" w:cs="Calibri"/>
          <w:b/>
          <w:iCs/>
          <w:color w:val="002060"/>
          <w:kern w:val="0"/>
          <w14:ligatures w14:val="none"/>
        </w:rPr>
      </w:pPr>
      <w:r>
        <w:rPr>
          <w:rFonts w:ascii="Calibri" w:eastAsia="Times New Roman" w:hAnsi="Calibri" w:cs="Calibri"/>
          <w:b/>
          <w:iCs/>
          <w:color w:val="002060"/>
          <w:kern w:val="0"/>
          <w14:ligatures w14:val="none"/>
        </w:rPr>
        <w:t xml:space="preserve">2.2.20. </w:t>
      </w:r>
      <w:r w:rsidRPr="00FF04A2">
        <w:rPr>
          <w:rFonts w:ascii="Calibri" w:eastAsia="Times New Roman" w:hAnsi="Calibri" w:cs="Calibri"/>
          <w:b/>
          <w:iCs/>
          <w:color w:val="002060"/>
          <w:kern w:val="0"/>
          <w14:ligatures w14:val="none"/>
        </w:rPr>
        <w:t>Reconhecimento de receitas</w:t>
      </w:r>
    </w:p>
    <w:p w14:paraId="72E20E94" w14:textId="77777777" w:rsidR="00FF04A2" w:rsidRPr="00FF04A2" w:rsidRDefault="00FF04A2" w:rsidP="008B5CCF">
      <w:pPr>
        <w:spacing w:after="0"/>
        <w:jc w:val="both"/>
        <w:rPr>
          <w:rFonts w:ascii="Calibri" w:eastAsia="Times New Roman" w:hAnsi="Calibri" w:cs="Calibri"/>
          <w:iCs/>
          <w:color w:val="002060"/>
          <w:kern w:val="0"/>
          <w14:ligatures w14:val="none"/>
        </w:rPr>
      </w:pPr>
      <w:r w:rsidRPr="00FF04A2">
        <w:rPr>
          <w:rFonts w:ascii="Calibri" w:eastAsia="Times New Roman" w:hAnsi="Calibri" w:cs="Calibri"/>
          <w:iCs/>
          <w:color w:val="002060"/>
          <w:kern w:val="0"/>
          <w14:ligatures w14:val="none"/>
        </w:rPr>
        <w:t xml:space="preserve">As receitas correspondem, substancialmente, ao valor das contraprestações recebidas ou recebíveis pela venda de serviços no curso regular das atividades da Companhia. </w:t>
      </w:r>
    </w:p>
    <w:p w14:paraId="38E4D991" w14:textId="77777777" w:rsidR="00FF04A2" w:rsidRPr="00FF04A2" w:rsidRDefault="00FF04A2" w:rsidP="008B5CCF">
      <w:pPr>
        <w:spacing w:after="0"/>
        <w:jc w:val="both"/>
        <w:rPr>
          <w:rFonts w:ascii="Calibri" w:eastAsia="Times New Roman" w:hAnsi="Calibri" w:cs="Calibri"/>
          <w:iCs/>
          <w:color w:val="002060"/>
          <w:kern w:val="0"/>
          <w14:ligatures w14:val="none"/>
        </w:rPr>
      </w:pPr>
      <w:r w:rsidRPr="00FF04A2">
        <w:rPr>
          <w:rFonts w:ascii="Calibri" w:eastAsia="Times New Roman" w:hAnsi="Calibri" w:cs="Calibri"/>
          <w:iCs/>
          <w:color w:val="002060"/>
          <w:kern w:val="0"/>
          <w14:ligatures w14:val="none"/>
        </w:rPr>
        <w:lastRenderedPageBreak/>
        <w:t xml:space="preserve">A receita é reconhecida quando o valor puder ser mensurado de maneira confiável, desse modo é provável que benefícios econômicos futuros serão transferidos para a Companhia, os custos incorridos na transação serão mensurados, os riscos e benefícios serão substancialmente transferidos ao comprador e quando critérios específicos forem satisfeitos para cada uma das atividades da Companhia. </w:t>
      </w:r>
    </w:p>
    <w:p w14:paraId="1E246ECB" w14:textId="77777777" w:rsidR="00FF04A2" w:rsidRPr="00FF04A2" w:rsidRDefault="00FF04A2" w:rsidP="008B5CCF">
      <w:pPr>
        <w:spacing w:after="0"/>
        <w:jc w:val="both"/>
        <w:rPr>
          <w:rFonts w:ascii="Calibri" w:eastAsia="Times New Roman" w:hAnsi="Calibri" w:cs="Calibri"/>
          <w:iCs/>
          <w:color w:val="002060"/>
          <w:kern w:val="0"/>
          <w14:ligatures w14:val="none"/>
        </w:rPr>
      </w:pPr>
      <w:r w:rsidRPr="00FF04A2">
        <w:rPr>
          <w:rFonts w:ascii="Calibri" w:eastAsia="Times New Roman" w:hAnsi="Calibri" w:cs="Calibri"/>
          <w:iCs/>
          <w:color w:val="002060"/>
          <w:kern w:val="0"/>
          <w14:ligatures w14:val="none"/>
        </w:rPr>
        <w:t>As receitas de serviços são reconhecidas quando estas são prestadas. As receitas de aluguéis e as locações são cobradas e registradas de acordo com as bases contratuais. Descontos e abatimentos relacionados às receitas de serviços prestados, como também aluguéis, locações de equipamentos e meios de conexão são considerados no reconhecimento das receitas a que se vinculam. Uma receita não é reconhecida se há uma incerteza significativa na sua realização.</w:t>
      </w:r>
    </w:p>
    <w:p w14:paraId="048E41D6" w14:textId="59BFC5A4" w:rsidR="00FF04A2" w:rsidRPr="00FF04A2" w:rsidRDefault="00FF04A2" w:rsidP="008B5CCF">
      <w:pPr>
        <w:spacing w:after="0"/>
        <w:jc w:val="both"/>
        <w:rPr>
          <w:rFonts w:ascii="Calibri" w:eastAsia="Times New Roman" w:hAnsi="Calibri" w:cs="Calibri"/>
          <w:b/>
          <w:iCs/>
          <w:color w:val="002060"/>
          <w:kern w:val="0"/>
          <w14:ligatures w14:val="none"/>
        </w:rPr>
      </w:pPr>
      <w:r w:rsidRPr="00FF04A2">
        <w:rPr>
          <w:rFonts w:ascii="Calibri" w:eastAsia="Times New Roman" w:hAnsi="Calibri" w:cs="Calibri"/>
          <w:b/>
          <w:bCs/>
          <w:iCs/>
          <w:color w:val="002060"/>
          <w:kern w:val="0"/>
          <w14:ligatures w14:val="none"/>
        </w:rPr>
        <w:t xml:space="preserve">2.2.21. </w:t>
      </w:r>
      <w:r w:rsidRPr="00FF04A2">
        <w:rPr>
          <w:rFonts w:ascii="Calibri" w:eastAsia="Times New Roman" w:hAnsi="Calibri" w:cs="Calibri"/>
          <w:b/>
          <w:iCs/>
          <w:color w:val="002060"/>
          <w:kern w:val="0"/>
          <w14:ligatures w14:val="none"/>
        </w:rPr>
        <w:t>Reconhecimento de despesas</w:t>
      </w:r>
    </w:p>
    <w:p w14:paraId="38E5C8C6" w14:textId="77777777" w:rsidR="00FF04A2" w:rsidRPr="00FF04A2" w:rsidRDefault="00FF04A2" w:rsidP="008B5CCF">
      <w:pPr>
        <w:spacing w:after="0"/>
        <w:jc w:val="both"/>
        <w:rPr>
          <w:rFonts w:ascii="Calibri" w:eastAsia="Times New Roman" w:hAnsi="Calibri" w:cs="Calibri"/>
          <w:iCs/>
          <w:color w:val="002060"/>
          <w:kern w:val="0"/>
          <w14:ligatures w14:val="none"/>
        </w:rPr>
      </w:pPr>
      <w:r w:rsidRPr="00FF04A2">
        <w:rPr>
          <w:rFonts w:ascii="Calibri" w:eastAsia="Times New Roman" w:hAnsi="Calibri" w:cs="Calibri"/>
          <w:iCs/>
          <w:color w:val="002060"/>
          <w:kern w:val="0"/>
          <w14:ligatures w14:val="none"/>
        </w:rPr>
        <w:t>As despesas são contabilizadas pelo regime de competência, obedecendo à sua vinculação com a realização das receitas. As despesas pagas antecipadamente e que competem a exercícios futuros são diferidas de acordo com seus respectivos prazos de duração.</w:t>
      </w:r>
    </w:p>
    <w:p w14:paraId="5244720C" w14:textId="28882DE1" w:rsidR="00FF04A2" w:rsidRPr="00FF04A2" w:rsidRDefault="00FF04A2" w:rsidP="008B5CCF">
      <w:pPr>
        <w:spacing w:after="0"/>
        <w:jc w:val="both"/>
        <w:rPr>
          <w:rFonts w:ascii="Calibri" w:eastAsia="Times New Roman" w:hAnsi="Calibri" w:cs="Calibri"/>
          <w:b/>
          <w:iCs/>
          <w:color w:val="002060"/>
          <w:kern w:val="0"/>
          <w14:ligatures w14:val="none"/>
        </w:rPr>
      </w:pPr>
      <w:r w:rsidRPr="00FF04A2">
        <w:rPr>
          <w:rFonts w:ascii="Calibri" w:eastAsia="Times New Roman" w:hAnsi="Calibri" w:cs="Calibri"/>
          <w:b/>
          <w:bCs/>
          <w:iCs/>
          <w:color w:val="002060"/>
          <w:kern w:val="0"/>
          <w14:ligatures w14:val="none"/>
        </w:rPr>
        <w:t>2.2.2</w:t>
      </w:r>
      <w:r>
        <w:rPr>
          <w:rFonts w:ascii="Calibri" w:eastAsia="Times New Roman" w:hAnsi="Calibri" w:cs="Calibri"/>
          <w:b/>
          <w:bCs/>
          <w:iCs/>
          <w:color w:val="002060"/>
          <w:kern w:val="0"/>
          <w14:ligatures w14:val="none"/>
        </w:rPr>
        <w:t>2</w:t>
      </w:r>
      <w:r w:rsidRPr="00FF04A2">
        <w:rPr>
          <w:rFonts w:ascii="Calibri" w:eastAsia="Times New Roman" w:hAnsi="Calibri" w:cs="Calibri"/>
          <w:b/>
          <w:bCs/>
          <w:iCs/>
          <w:color w:val="002060"/>
          <w:kern w:val="0"/>
          <w14:ligatures w14:val="none"/>
        </w:rPr>
        <w:t xml:space="preserve">. </w:t>
      </w:r>
      <w:r w:rsidRPr="00FF04A2">
        <w:rPr>
          <w:rFonts w:ascii="Calibri" w:eastAsia="Times New Roman" w:hAnsi="Calibri" w:cs="Calibri"/>
          <w:b/>
          <w:iCs/>
          <w:color w:val="002060"/>
          <w:kern w:val="0"/>
          <w14:ligatures w14:val="none"/>
        </w:rPr>
        <w:t>Receitas e Despesas financeiras</w:t>
      </w:r>
    </w:p>
    <w:p w14:paraId="4CC6A59C" w14:textId="6DA52D96" w:rsidR="00FF04A2" w:rsidRDefault="00FF04A2" w:rsidP="008B5CCF">
      <w:pPr>
        <w:spacing w:after="0"/>
        <w:jc w:val="both"/>
        <w:rPr>
          <w:rFonts w:ascii="Calibri" w:eastAsia="Times New Roman" w:hAnsi="Calibri" w:cs="Calibri"/>
          <w:iCs/>
          <w:color w:val="002060"/>
          <w:kern w:val="0"/>
          <w14:ligatures w14:val="none"/>
        </w:rPr>
      </w:pPr>
      <w:r w:rsidRPr="00FF04A2">
        <w:rPr>
          <w:rFonts w:ascii="Calibri" w:eastAsia="Times New Roman" w:hAnsi="Calibri" w:cs="Calibri"/>
          <w:iCs/>
          <w:color w:val="002060"/>
          <w:kern w:val="0"/>
          <w14:ligatures w14:val="none"/>
        </w:rPr>
        <w:t>As receitas financeiras são contabilizadas pelo regime de competência e representam os juros efetivos auferidos sobre contas a receber liquidadas após o vencimento, os ganhos com aplicações financeiras, variação monetária sobre depósitos judiciais e outros ganhos financeiros. As despesas financeiras representam os juros efetivos incorridos e os demais encargos com empréstimos, financiamentos, juros sobre adiantamento para futuro aumento de capital, juros sobre provisão para riscos prováveis, credores por perdas judiciais e outras transações financeiras. (Nota Explicativa 31)</w:t>
      </w:r>
      <w:r>
        <w:rPr>
          <w:rFonts w:ascii="Calibri" w:eastAsia="Times New Roman" w:hAnsi="Calibri" w:cs="Calibri"/>
          <w:iCs/>
          <w:color w:val="002060"/>
          <w:kern w:val="0"/>
          <w14:ligatures w14:val="none"/>
        </w:rPr>
        <w:t xml:space="preserve">. </w:t>
      </w:r>
    </w:p>
    <w:p w14:paraId="1449CE1C" w14:textId="6895660F" w:rsidR="00FF04A2" w:rsidRPr="00FF04A2" w:rsidRDefault="00FF04A2" w:rsidP="008B5CCF">
      <w:pPr>
        <w:spacing w:after="0"/>
        <w:jc w:val="both"/>
        <w:rPr>
          <w:rFonts w:ascii="Calibri" w:eastAsia="Times New Roman" w:hAnsi="Calibri" w:cs="Calibri"/>
          <w:b/>
          <w:iCs/>
          <w:color w:val="002060"/>
          <w:kern w:val="0"/>
          <w14:ligatures w14:val="none"/>
        </w:rPr>
      </w:pPr>
      <w:r>
        <w:rPr>
          <w:rFonts w:ascii="Calibri" w:eastAsia="Times New Roman" w:hAnsi="Calibri" w:cs="Calibri"/>
          <w:b/>
          <w:iCs/>
          <w:color w:val="002060"/>
          <w:kern w:val="0"/>
          <w14:ligatures w14:val="none"/>
        </w:rPr>
        <w:t xml:space="preserve">2.2.23. </w:t>
      </w:r>
      <w:r w:rsidRPr="00FF04A2">
        <w:rPr>
          <w:rFonts w:ascii="Calibri" w:eastAsia="Times New Roman" w:hAnsi="Calibri" w:cs="Calibri"/>
          <w:b/>
          <w:iCs/>
          <w:color w:val="002060"/>
          <w:kern w:val="0"/>
          <w14:ligatures w14:val="none"/>
        </w:rPr>
        <w:t>Subvenções e Assistências governamentais</w:t>
      </w:r>
    </w:p>
    <w:p w14:paraId="12941B59" w14:textId="77777777" w:rsidR="00FF04A2" w:rsidRPr="00FF04A2" w:rsidRDefault="00FF04A2" w:rsidP="008B5CCF">
      <w:pPr>
        <w:spacing w:after="0"/>
        <w:jc w:val="both"/>
        <w:rPr>
          <w:rFonts w:ascii="Calibri" w:eastAsia="Times New Roman" w:hAnsi="Calibri" w:cs="Calibri"/>
          <w:iCs/>
          <w:color w:val="002060"/>
          <w:kern w:val="0"/>
          <w14:ligatures w14:val="none"/>
        </w:rPr>
      </w:pPr>
      <w:r w:rsidRPr="00FF04A2">
        <w:rPr>
          <w:rFonts w:ascii="Calibri" w:eastAsia="Times New Roman" w:hAnsi="Calibri" w:cs="Calibri"/>
          <w:iCs/>
          <w:color w:val="002060"/>
          <w:kern w:val="0"/>
          <w14:ligatures w14:val="none"/>
        </w:rPr>
        <w:t>As subvenções e assistências governamentais são reconhecidas a valor justo quando há razoável segurança de que as condições estabelecidas foram cumpridas e o benefício será recebido. São registradas como receita no resultado de fruição do benefício. (Nota Explicativa 30)</w:t>
      </w:r>
    </w:p>
    <w:p w14:paraId="62A2A0B7" w14:textId="77777777" w:rsidR="00FF04A2" w:rsidRPr="00FF04A2" w:rsidRDefault="00FF04A2" w:rsidP="008B5CCF">
      <w:pPr>
        <w:spacing w:after="0"/>
        <w:jc w:val="both"/>
        <w:rPr>
          <w:rFonts w:ascii="Calibri" w:eastAsia="Times New Roman" w:hAnsi="Calibri" w:cs="Calibri"/>
          <w:iCs/>
          <w:color w:val="002060"/>
          <w:kern w:val="0"/>
          <w14:ligatures w14:val="none"/>
        </w:rPr>
      </w:pPr>
      <w:r w:rsidRPr="00FF04A2">
        <w:rPr>
          <w:rFonts w:ascii="Calibri" w:eastAsia="Times New Roman" w:hAnsi="Calibri" w:cs="Calibri"/>
          <w:iCs/>
          <w:color w:val="002060"/>
          <w:kern w:val="0"/>
          <w14:ligatures w14:val="none"/>
        </w:rPr>
        <w:t xml:space="preserve">A Companhia na condição de Empresa Estatal Dependente, recebe recursos financeiros da Lei Orçamentária Anual (LOA), através de repasses do Tesouro Nacional para pagamento dos gastos com pessoal, custeios em geral e investimentos.  </w:t>
      </w:r>
    </w:p>
    <w:p w14:paraId="5999F3A9" w14:textId="77777777" w:rsidR="00FF04A2" w:rsidRPr="00FF04A2" w:rsidRDefault="00FF04A2" w:rsidP="008B5CCF">
      <w:pPr>
        <w:spacing w:after="0"/>
        <w:jc w:val="both"/>
        <w:rPr>
          <w:rFonts w:ascii="Calibri" w:eastAsia="Times New Roman" w:hAnsi="Calibri" w:cs="Calibri"/>
          <w:iCs/>
          <w:color w:val="002060"/>
          <w:kern w:val="0"/>
          <w14:ligatures w14:val="none"/>
        </w:rPr>
      </w:pPr>
      <w:r w:rsidRPr="00FF04A2">
        <w:rPr>
          <w:rFonts w:ascii="Calibri" w:eastAsia="Times New Roman" w:hAnsi="Calibri" w:cs="Calibri"/>
          <w:iCs/>
          <w:color w:val="002060"/>
          <w:kern w:val="0"/>
          <w14:ligatures w14:val="none"/>
        </w:rPr>
        <w:t xml:space="preserve">Até o terceiro trimestre de 2023, a Telebras reconhecia os recursos orçamentários para aplicação no Ativo Imobilizado (Subvenções para Investimento), de acordo com o CPC 07 – Subvenções e Assistências governamentais, ou seja, os valores recebidos eram registrados no resultado do exercício na rubrica de “Outras Receitas Operacionais”. </w:t>
      </w:r>
    </w:p>
    <w:p w14:paraId="73A39F8D" w14:textId="77777777" w:rsidR="00FF04A2" w:rsidRPr="00FF04A2" w:rsidRDefault="00FF04A2" w:rsidP="008B5CCF">
      <w:pPr>
        <w:spacing w:after="0"/>
        <w:jc w:val="both"/>
        <w:rPr>
          <w:rFonts w:ascii="Calibri" w:eastAsia="Times New Roman" w:hAnsi="Calibri" w:cs="Calibri"/>
          <w:iCs/>
          <w:color w:val="002060"/>
          <w:kern w:val="0"/>
          <w14:ligatures w14:val="none"/>
        </w:rPr>
      </w:pPr>
      <w:r w:rsidRPr="00FF04A2">
        <w:rPr>
          <w:rFonts w:ascii="Calibri" w:eastAsia="Times New Roman" w:hAnsi="Calibri" w:cs="Calibri"/>
          <w:iCs/>
          <w:color w:val="002060"/>
          <w:kern w:val="0"/>
          <w14:ligatures w14:val="none"/>
        </w:rPr>
        <w:t>A partir do quarto trimestre de 2023, a Administração da Companhia, atendendo à recomendação do acionista controlador, a “União”, passou a reconhecer esses recursos como “Adiantamento para Futuro Aumento de Capital”, no seu Passivo Exigível.</w:t>
      </w:r>
    </w:p>
    <w:p w14:paraId="3D13B700" w14:textId="77777777" w:rsidR="00FF04A2" w:rsidRPr="00FF04A2" w:rsidRDefault="00FF04A2" w:rsidP="008B5CCF">
      <w:pPr>
        <w:spacing w:after="0"/>
        <w:jc w:val="both"/>
        <w:rPr>
          <w:rFonts w:ascii="Calibri" w:eastAsia="Times New Roman" w:hAnsi="Calibri" w:cs="Calibri"/>
          <w:iCs/>
          <w:color w:val="002060"/>
          <w:kern w:val="0"/>
          <w14:ligatures w14:val="none"/>
        </w:rPr>
      </w:pPr>
      <w:r w:rsidRPr="00FF04A2">
        <w:rPr>
          <w:rFonts w:ascii="Calibri" w:eastAsia="Times New Roman" w:hAnsi="Calibri" w:cs="Calibri"/>
          <w:iCs/>
          <w:color w:val="002060"/>
          <w:kern w:val="0"/>
          <w14:ligatures w14:val="none"/>
        </w:rPr>
        <w:t>A Administração entende que a alteração dessa política contábil resultará em uma informação mais confiável e mais relevante nas demonstrações contábeis, uma vez que apresenta de forma mais adequada a essência da operação para a Companhia.</w:t>
      </w:r>
    </w:p>
    <w:p w14:paraId="6421DC93" w14:textId="77777777" w:rsidR="00FF04A2" w:rsidRPr="00FF04A2" w:rsidRDefault="00FF04A2" w:rsidP="008B5CCF">
      <w:pPr>
        <w:spacing w:after="0"/>
        <w:jc w:val="both"/>
        <w:rPr>
          <w:rFonts w:ascii="Calibri" w:eastAsia="Times New Roman" w:hAnsi="Calibri" w:cs="Calibri"/>
          <w:iCs/>
          <w:color w:val="002060"/>
          <w:kern w:val="0"/>
          <w14:ligatures w14:val="none"/>
        </w:rPr>
      </w:pPr>
      <w:r w:rsidRPr="00FF04A2">
        <w:rPr>
          <w:rFonts w:ascii="Calibri" w:eastAsia="Times New Roman" w:hAnsi="Calibri" w:cs="Calibri"/>
          <w:iCs/>
          <w:color w:val="002060"/>
          <w:kern w:val="0"/>
          <w14:ligatures w14:val="none"/>
        </w:rPr>
        <w:t xml:space="preserve">Os demais recursos recebidos para o pagamento de pessoal e outros custeios continuam sendo reconhecidos conforme o CPC 07. </w:t>
      </w:r>
    </w:p>
    <w:p w14:paraId="6A3186C4" w14:textId="77777777" w:rsidR="00FF04A2" w:rsidRPr="00FF04A2" w:rsidRDefault="00FF04A2" w:rsidP="008B5CCF">
      <w:pPr>
        <w:spacing w:after="0"/>
        <w:jc w:val="both"/>
        <w:rPr>
          <w:rFonts w:ascii="Calibri" w:eastAsia="Times New Roman" w:hAnsi="Calibri" w:cs="Calibri"/>
          <w:iCs/>
          <w:color w:val="002060"/>
          <w:kern w:val="0"/>
          <w14:ligatures w14:val="none"/>
        </w:rPr>
      </w:pPr>
      <w:r w:rsidRPr="00FF04A2">
        <w:rPr>
          <w:rFonts w:ascii="Calibri" w:eastAsia="Times New Roman" w:hAnsi="Calibri" w:cs="Calibri"/>
          <w:iCs/>
          <w:color w:val="002060"/>
          <w:kern w:val="0"/>
          <w14:ligatures w14:val="none"/>
        </w:rPr>
        <w:t>Em consequência dessa alteração de política contábil a Companhia está reapresentando as demonstrações contábeis dos exercícios de 2020, 2021 e 2022. (Nota Explicativa 3)</w:t>
      </w:r>
    </w:p>
    <w:p w14:paraId="2B1B3D9C" w14:textId="6DC6BC9E" w:rsidR="00FF04A2" w:rsidRPr="00FF04A2" w:rsidRDefault="00FF04A2" w:rsidP="008B5CCF">
      <w:pPr>
        <w:spacing w:after="0"/>
        <w:jc w:val="both"/>
        <w:rPr>
          <w:rFonts w:ascii="Calibri" w:eastAsia="Times New Roman" w:hAnsi="Calibri" w:cs="Calibri"/>
          <w:b/>
          <w:iCs/>
          <w:color w:val="002060"/>
          <w:kern w:val="0"/>
          <w14:ligatures w14:val="none"/>
        </w:rPr>
      </w:pPr>
      <w:r>
        <w:rPr>
          <w:rFonts w:ascii="Calibri" w:eastAsia="Times New Roman" w:hAnsi="Calibri" w:cs="Calibri"/>
          <w:b/>
          <w:iCs/>
          <w:color w:val="002060"/>
          <w:kern w:val="0"/>
          <w14:ligatures w14:val="none"/>
        </w:rPr>
        <w:t xml:space="preserve">2.2.24. </w:t>
      </w:r>
      <w:r w:rsidRPr="00FF04A2">
        <w:rPr>
          <w:rFonts w:ascii="Calibri" w:eastAsia="Times New Roman" w:hAnsi="Calibri" w:cs="Calibri"/>
          <w:b/>
          <w:iCs/>
          <w:color w:val="002060"/>
          <w:kern w:val="0"/>
          <w14:ligatures w14:val="none"/>
        </w:rPr>
        <w:t>Imposto de Renda e Contribuição Social Sobre o Lucro Corrente e Diferidos</w:t>
      </w:r>
    </w:p>
    <w:p w14:paraId="4C1B4F40" w14:textId="77777777" w:rsidR="00FF04A2" w:rsidRPr="00FF04A2" w:rsidRDefault="00FF04A2" w:rsidP="008B5CCF">
      <w:pPr>
        <w:spacing w:after="0"/>
        <w:jc w:val="both"/>
        <w:rPr>
          <w:rFonts w:ascii="Calibri" w:eastAsia="Times New Roman" w:hAnsi="Calibri" w:cs="Calibri"/>
          <w:iCs/>
          <w:color w:val="002060"/>
          <w:kern w:val="0"/>
          <w14:ligatures w14:val="none"/>
        </w:rPr>
      </w:pPr>
      <w:r w:rsidRPr="00FF04A2">
        <w:rPr>
          <w:rFonts w:ascii="Calibri" w:eastAsia="Times New Roman" w:hAnsi="Calibri" w:cs="Calibri"/>
          <w:iCs/>
          <w:color w:val="002060"/>
          <w:kern w:val="0"/>
          <w14:ligatures w14:val="none"/>
        </w:rPr>
        <w:t>O Imposto de Renda e a Contribuição Social do exercício corrente e diferido são calculados com base nas alíquotas de 15%, acrescidas do adicional de 10% sobre o lucro tributável excedente de R$ 240 para Imposto de Renda e 9% sobre o lucro tributável para Contribuição Social Sobre o Lucro Líquido. É considerada, ainda, a compensação de prejuízos fiscais e base negativa de Contribuição Social, limitada a 30% do lucro real.</w:t>
      </w:r>
    </w:p>
    <w:p w14:paraId="4EBC1900" w14:textId="77777777" w:rsidR="00FF04A2" w:rsidRPr="00FF04A2" w:rsidRDefault="00FF04A2" w:rsidP="008B5CCF">
      <w:pPr>
        <w:spacing w:after="0"/>
        <w:jc w:val="both"/>
        <w:rPr>
          <w:rFonts w:ascii="Calibri" w:eastAsia="Times New Roman" w:hAnsi="Calibri" w:cs="Calibri"/>
          <w:iCs/>
          <w:color w:val="002060"/>
          <w:kern w:val="0"/>
          <w14:ligatures w14:val="none"/>
        </w:rPr>
        <w:sectPr w:rsidR="00FF04A2" w:rsidRPr="00FF04A2" w:rsidSect="00FF04A2">
          <w:footerReference w:type="default" r:id="rId53"/>
          <w:type w:val="continuous"/>
          <w:pgSz w:w="11906" w:h="16838" w:code="9"/>
          <w:pgMar w:top="848" w:right="849" w:bottom="993" w:left="1276" w:header="850" w:footer="1134" w:gutter="0"/>
          <w:cols w:space="708"/>
          <w:docGrid w:linePitch="360"/>
        </w:sectPr>
      </w:pPr>
    </w:p>
    <w:p w14:paraId="2DA5A61E" w14:textId="77777777" w:rsidR="00FF04A2" w:rsidRPr="00FF04A2" w:rsidRDefault="00FF04A2" w:rsidP="008B5CCF">
      <w:pPr>
        <w:spacing w:after="0"/>
        <w:jc w:val="both"/>
        <w:rPr>
          <w:rFonts w:ascii="Calibri" w:eastAsia="Times New Roman" w:hAnsi="Calibri" w:cs="Calibri"/>
          <w:iCs/>
          <w:color w:val="002060"/>
          <w:kern w:val="0"/>
          <w14:ligatures w14:val="none"/>
        </w:rPr>
      </w:pPr>
      <w:r w:rsidRPr="00FF04A2">
        <w:rPr>
          <w:rFonts w:ascii="Calibri" w:eastAsia="Times New Roman" w:hAnsi="Calibri" w:cs="Calibri"/>
          <w:iCs/>
          <w:color w:val="002060"/>
          <w:kern w:val="0"/>
          <w14:ligatures w14:val="none"/>
        </w:rPr>
        <w:t xml:space="preserve">A despesa com Imposto de Renda e Contribuição Social compreende os impostos de renda correntes e diferidos. O Imposto Corrente e o Imposto Diferido são reconhecidos no resultado, a menos que estejam </w:t>
      </w:r>
      <w:r w:rsidRPr="00FF04A2">
        <w:rPr>
          <w:rFonts w:ascii="Calibri" w:eastAsia="Times New Roman" w:hAnsi="Calibri" w:cs="Calibri"/>
          <w:iCs/>
          <w:color w:val="002060"/>
          <w:kern w:val="0"/>
          <w14:ligatures w14:val="none"/>
        </w:rPr>
        <w:lastRenderedPageBreak/>
        <w:t>relacionados à combinação de negócios, ou itens diretamente reconhecidos no patrimônio líquido, ou em outros resultados abrangentes.</w:t>
      </w:r>
    </w:p>
    <w:p w14:paraId="7BD683DC" w14:textId="77777777" w:rsidR="00FF04A2" w:rsidRPr="00FF04A2" w:rsidRDefault="00FF04A2" w:rsidP="008B5CCF">
      <w:pPr>
        <w:spacing w:after="0"/>
        <w:jc w:val="both"/>
        <w:rPr>
          <w:rFonts w:ascii="Calibri" w:eastAsia="Times New Roman" w:hAnsi="Calibri" w:cs="Calibri"/>
          <w:iCs/>
          <w:color w:val="002060"/>
          <w:kern w:val="0"/>
          <w14:ligatures w14:val="none"/>
        </w:rPr>
      </w:pPr>
      <w:r w:rsidRPr="00FF04A2">
        <w:rPr>
          <w:rFonts w:ascii="Calibri" w:eastAsia="Times New Roman" w:hAnsi="Calibri" w:cs="Calibri"/>
          <w:iCs/>
          <w:color w:val="002060"/>
          <w:kern w:val="0"/>
          <w14:ligatures w14:val="none"/>
        </w:rPr>
        <w:t>O Imposto Corrente é o imposto a pagar ou a receber esperado sobre o lucro tributável do exercício, a taxas de impostos vigentes ou substantivamente vigentes na data de apresentação das demonstrações contábeis e qualquer ajuste aos impostos a pagar com relação aos exercícios anteriores.</w:t>
      </w:r>
    </w:p>
    <w:p w14:paraId="257927C9" w14:textId="77777777" w:rsidR="00FF04A2" w:rsidRPr="00FF04A2" w:rsidRDefault="00FF04A2" w:rsidP="008B5CCF">
      <w:pPr>
        <w:spacing w:after="0"/>
        <w:jc w:val="both"/>
        <w:rPr>
          <w:rFonts w:ascii="Calibri" w:eastAsia="Times New Roman" w:hAnsi="Calibri" w:cs="Calibri"/>
          <w:iCs/>
          <w:color w:val="002060"/>
          <w:kern w:val="0"/>
          <w14:ligatures w14:val="none"/>
        </w:rPr>
      </w:pPr>
      <w:r w:rsidRPr="00FF04A2">
        <w:rPr>
          <w:rFonts w:ascii="Calibri" w:eastAsia="Times New Roman" w:hAnsi="Calibri" w:cs="Calibri"/>
          <w:iCs/>
          <w:color w:val="002060"/>
          <w:kern w:val="0"/>
          <w14:ligatures w14:val="none"/>
        </w:rPr>
        <w:t xml:space="preserve">O Imposto Diferido é reconhecido com relação às diferenças temporárias entre os valores contábeis de ativos, passivos e os correspondentes valores usados para fins de tributação. O Imposto Diferido é mensurado pelas alíquotas que se espera serem aplicadas às diferenças temporárias quando elas revertem, baseando-se nas leis que foram decretadas ou substantivamente decretadas até a data de apresentação das demonstrações contábeis. </w:t>
      </w:r>
    </w:p>
    <w:p w14:paraId="4CAAB876" w14:textId="77777777" w:rsidR="00FF04A2" w:rsidRPr="00FF04A2" w:rsidRDefault="00FF04A2" w:rsidP="008B5CCF">
      <w:pPr>
        <w:spacing w:after="0"/>
        <w:jc w:val="both"/>
        <w:rPr>
          <w:rFonts w:ascii="Calibri" w:eastAsia="Times New Roman" w:hAnsi="Calibri" w:cs="Calibri"/>
          <w:iCs/>
          <w:color w:val="002060"/>
          <w:kern w:val="0"/>
          <w14:ligatures w14:val="none"/>
        </w:rPr>
      </w:pPr>
      <w:r w:rsidRPr="00FF04A2">
        <w:rPr>
          <w:rFonts w:ascii="Calibri" w:eastAsia="Times New Roman" w:hAnsi="Calibri" w:cs="Calibri"/>
          <w:iCs/>
          <w:color w:val="002060"/>
          <w:kern w:val="0"/>
          <w14:ligatures w14:val="none"/>
        </w:rPr>
        <w:t xml:space="preserve">Os ativos e os passivos fiscais diferidos são compensados caso haja um direito legal de compensar passivos e ativos fiscais correntes, pois se relacionam a impostos de renda lançados pela mesma autoridade tributária sobre a mesma entidade sujeita à tributação. </w:t>
      </w:r>
    </w:p>
    <w:p w14:paraId="0396774E" w14:textId="77777777" w:rsidR="00FF04A2" w:rsidRPr="00FF04A2" w:rsidRDefault="00FF04A2" w:rsidP="008B5CCF">
      <w:pPr>
        <w:spacing w:after="0"/>
        <w:jc w:val="both"/>
        <w:rPr>
          <w:rFonts w:ascii="Calibri" w:eastAsia="Times New Roman" w:hAnsi="Calibri" w:cs="Calibri"/>
          <w:iCs/>
          <w:color w:val="002060"/>
          <w:kern w:val="0"/>
          <w14:ligatures w14:val="none"/>
        </w:rPr>
      </w:pPr>
      <w:r w:rsidRPr="00FF04A2">
        <w:rPr>
          <w:rFonts w:ascii="Calibri" w:eastAsia="Times New Roman" w:hAnsi="Calibri" w:cs="Calibri"/>
          <w:iCs/>
          <w:color w:val="002060"/>
          <w:kern w:val="0"/>
          <w14:ligatures w14:val="none"/>
        </w:rPr>
        <w:t>A Administração da Companhia decidiu pela não constituição de ativo fiscal diferido até que a Telebras passe a apresentar lucro tributário futuro de forma consistente. (Nota Explicativa 7)</w:t>
      </w:r>
    </w:p>
    <w:p w14:paraId="46AC0FBE" w14:textId="3C630478" w:rsidR="008B5CCF" w:rsidRPr="008B5CCF" w:rsidRDefault="008B5CCF" w:rsidP="008B5CCF">
      <w:pPr>
        <w:spacing w:after="0"/>
        <w:jc w:val="both"/>
        <w:rPr>
          <w:rFonts w:ascii="Calibri" w:eastAsia="Times New Roman" w:hAnsi="Calibri" w:cs="Calibri"/>
          <w:b/>
          <w:iCs/>
          <w:color w:val="002060"/>
          <w:kern w:val="0"/>
          <w14:ligatures w14:val="none"/>
        </w:rPr>
      </w:pPr>
      <w:r w:rsidRPr="008B5CCF">
        <w:rPr>
          <w:rFonts w:ascii="Calibri" w:eastAsia="Times New Roman" w:hAnsi="Calibri" w:cs="Calibri"/>
          <w:b/>
          <w:bCs/>
          <w:iCs/>
          <w:color w:val="002060"/>
          <w:kern w:val="0"/>
          <w14:ligatures w14:val="none"/>
        </w:rPr>
        <w:t xml:space="preserve">2.2.25. </w:t>
      </w:r>
      <w:r w:rsidRPr="008B5CCF">
        <w:rPr>
          <w:rFonts w:ascii="Calibri" w:eastAsia="Times New Roman" w:hAnsi="Calibri" w:cs="Calibri"/>
          <w:b/>
          <w:iCs/>
          <w:color w:val="002060"/>
          <w:kern w:val="0"/>
          <w14:ligatures w14:val="none"/>
        </w:rPr>
        <w:t>Resultado por ação</w:t>
      </w:r>
    </w:p>
    <w:p w14:paraId="537E5ED0" w14:textId="77777777" w:rsidR="008B5CCF" w:rsidRPr="008B5CCF" w:rsidRDefault="008B5CCF" w:rsidP="008B5CCF">
      <w:pPr>
        <w:spacing w:after="0"/>
        <w:jc w:val="both"/>
        <w:rPr>
          <w:rFonts w:ascii="Calibri" w:eastAsia="Times New Roman" w:hAnsi="Calibri" w:cs="Calibri"/>
          <w:iCs/>
          <w:color w:val="002060"/>
          <w:kern w:val="0"/>
          <w14:ligatures w14:val="none"/>
        </w:rPr>
      </w:pPr>
      <w:r w:rsidRPr="008B5CCF">
        <w:rPr>
          <w:rFonts w:ascii="Calibri" w:eastAsia="Times New Roman" w:hAnsi="Calibri" w:cs="Calibri"/>
          <w:iCs/>
          <w:color w:val="002060"/>
          <w:kern w:val="0"/>
          <w14:ligatures w14:val="none"/>
        </w:rPr>
        <w:t>O resultado por ação básico é calculado por meio do resultado do exercício atribuível aos acionistas da Companhia, dividido pela média ponderada das ações ordinárias e preferenciais em circulação durante o exercício. O resultado por ação diluído é calculado por meio da referida média das ações em circulação, ajustada pelos instrumentos potencialmente conversíveis em ações, com efeito diluidor, nos exercícios apresentados, nos termos do CPC 41 e IAS 33. (Nota Explicativa 27.5)</w:t>
      </w:r>
    </w:p>
    <w:p w14:paraId="02137673" w14:textId="5B42EF04" w:rsidR="008B5CCF" w:rsidRPr="008B5CCF" w:rsidRDefault="008B5CCF" w:rsidP="008B5CCF">
      <w:pPr>
        <w:spacing w:after="0"/>
        <w:jc w:val="both"/>
        <w:rPr>
          <w:rFonts w:ascii="Calibri" w:eastAsia="Times New Roman" w:hAnsi="Calibri" w:cs="Calibri"/>
          <w:b/>
          <w:iCs/>
          <w:color w:val="002060"/>
          <w:kern w:val="0"/>
          <w14:ligatures w14:val="none"/>
        </w:rPr>
      </w:pPr>
      <w:r w:rsidRPr="008B5CCF">
        <w:rPr>
          <w:rFonts w:ascii="Calibri" w:eastAsia="Times New Roman" w:hAnsi="Calibri" w:cs="Calibri"/>
          <w:b/>
          <w:bCs/>
          <w:iCs/>
          <w:color w:val="002060"/>
          <w:kern w:val="0"/>
          <w14:ligatures w14:val="none"/>
        </w:rPr>
        <w:t>2.2.2</w:t>
      </w:r>
      <w:r>
        <w:rPr>
          <w:rFonts w:ascii="Calibri" w:eastAsia="Times New Roman" w:hAnsi="Calibri" w:cs="Calibri"/>
          <w:b/>
          <w:bCs/>
          <w:iCs/>
          <w:color w:val="002060"/>
          <w:kern w:val="0"/>
          <w14:ligatures w14:val="none"/>
        </w:rPr>
        <w:t>6.</w:t>
      </w:r>
      <w:r w:rsidRPr="008B5CCF">
        <w:rPr>
          <w:rFonts w:ascii="Calibri" w:eastAsia="Times New Roman" w:hAnsi="Calibri" w:cs="Calibri"/>
          <w:b/>
          <w:iCs/>
          <w:color w:val="002060"/>
          <w:kern w:val="0"/>
          <w14:ligatures w14:val="none"/>
        </w:rPr>
        <w:t xml:space="preserve"> Demonstrações do Valor Adicionado</w:t>
      </w:r>
    </w:p>
    <w:p w14:paraId="72206DE7" w14:textId="77777777" w:rsidR="008B5CCF" w:rsidRPr="008B5CCF" w:rsidRDefault="008B5CCF" w:rsidP="008B5CCF">
      <w:pPr>
        <w:spacing w:after="0"/>
        <w:jc w:val="both"/>
        <w:rPr>
          <w:rFonts w:ascii="Calibri" w:eastAsia="Times New Roman" w:hAnsi="Calibri" w:cs="Calibri"/>
          <w:iCs/>
          <w:color w:val="002060"/>
          <w:kern w:val="0"/>
          <w14:ligatures w14:val="none"/>
        </w:rPr>
      </w:pPr>
      <w:r w:rsidRPr="008B5CCF">
        <w:rPr>
          <w:rFonts w:ascii="Calibri" w:eastAsia="Times New Roman" w:hAnsi="Calibri" w:cs="Calibri"/>
          <w:iCs/>
          <w:color w:val="002060"/>
          <w:kern w:val="0"/>
          <w14:ligatures w14:val="none"/>
        </w:rPr>
        <w:t xml:space="preserve">A Companhia elaborou as Demonstrações do Valor Adicionado (DVA) individuais nos termos do pronunciamento técnico CPC 09 – Demonstração do Valor Adicionado, as quais são apresentadas como parte integrante das Demonstrações Contábeis, conforme as práticas contábeis adotadas no Brasil aplicáveis às companhias abertas, enquanto para o IFRS representa informação financeira adicional. </w:t>
      </w:r>
    </w:p>
    <w:p w14:paraId="69E06787" w14:textId="16BAC248" w:rsidR="008B5CCF" w:rsidRPr="008B5CCF" w:rsidRDefault="008B5CCF" w:rsidP="008B5CCF">
      <w:pPr>
        <w:spacing w:after="0"/>
        <w:jc w:val="both"/>
        <w:rPr>
          <w:rFonts w:ascii="Calibri" w:eastAsia="Times New Roman" w:hAnsi="Calibri" w:cs="Calibri"/>
          <w:b/>
          <w:iCs/>
          <w:color w:val="002060"/>
          <w:kern w:val="0"/>
          <w14:ligatures w14:val="none"/>
        </w:rPr>
      </w:pPr>
      <w:r w:rsidRPr="008B5CCF">
        <w:rPr>
          <w:rFonts w:ascii="Calibri" w:eastAsia="Times New Roman" w:hAnsi="Calibri" w:cs="Calibri"/>
          <w:b/>
          <w:bCs/>
          <w:iCs/>
          <w:color w:val="002060"/>
          <w:kern w:val="0"/>
          <w14:ligatures w14:val="none"/>
        </w:rPr>
        <w:t>2.2.2</w:t>
      </w:r>
      <w:r>
        <w:rPr>
          <w:rFonts w:ascii="Calibri" w:eastAsia="Times New Roman" w:hAnsi="Calibri" w:cs="Calibri"/>
          <w:b/>
          <w:bCs/>
          <w:iCs/>
          <w:color w:val="002060"/>
          <w:kern w:val="0"/>
          <w14:ligatures w14:val="none"/>
        </w:rPr>
        <w:t xml:space="preserve">7. </w:t>
      </w:r>
      <w:r w:rsidRPr="008B5CCF">
        <w:rPr>
          <w:rFonts w:ascii="Calibri" w:eastAsia="Times New Roman" w:hAnsi="Calibri" w:cs="Calibri"/>
          <w:b/>
          <w:iCs/>
          <w:color w:val="002060"/>
          <w:kern w:val="0"/>
          <w14:ligatures w14:val="none"/>
        </w:rPr>
        <w:t>Demonstração dos Fluxos de Caixa</w:t>
      </w:r>
    </w:p>
    <w:p w14:paraId="0ABC3559" w14:textId="77777777" w:rsidR="008B5CCF" w:rsidRPr="008B5CCF" w:rsidRDefault="008B5CCF" w:rsidP="008B5CCF">
      <w:pPr>
        <w:spacing w:after="0"/>
        <w:jc w:val="both"/>
        <w:rPr>
          <w:rFonts w:ascii="Calibri" w:eastAsia="Times New Roman" w:hAnsi="Calibri" w:cs="Calibri"/>
          <w:iCs/>
          <w:color w:val="002060"/>
          <w:kern w:val="0"/>
          <w14:ligatures w14:val="none"/>
        </w:rPr>
      </w:pPr>
      <w:r w:rsidRPr="008B5CCF">
        <w:rPr>
          <w:rFonts w:ascii="Calibri" w:eastAsia="Times New Roman" w:hAnsi="Calibri" w:cs="Calibri"/>
          <w:iCs/>
          <w:color w:val="002060"/>
          <w:kern w:val="0"/>
          <w14:ligatures w14:val="none"/>
        </w:rPr>
        <w:t xml:space="preserve">A Demonstração dos Fluxos de Caixa é preparada de acordo com o CPC03 (R2) / IAS 7 por meio do método indireto. A Companhia classifica na rubrica de caixa e equivalentes de caixa os saldos de numerários conversíveis imediatamente em caixa e os investimentos de alta liquidez (normalmente com vencimento inferior a três meses) sujeitos a um insignificante risco de mudança de valor. </w:t>
      </w:r>
    </w:p>
    <w:p w14:paraId="3CA71B54" w14:textId="77777777" w:rsidR="008B5CCF" w:rsidRDefault="008B5CCF" w:rsidP="008B5CCF">
      <w:pPr>
        <w:spacing w:after="0"/>
        <w:jc w:val="both"/>
        <w:rPr>
          <w:rFonts w:ascii="Calibri" w:eastAsia="Times New Roman" w:hAnsi="Calibri" w:cs="Calibri"/>
          <w:iCs/>
          <w:color w:val="002060"/>
          <w:kern w:val="0"/>
          <w14:ligatures w14:val="none"/>
        </w:rPr>
      </w:pPr>
      <w:r w:rsidRPr="008B5CCF">
        <w:rPr>
          <w:rFonts w:ascii="Calibri" w:eastAsia="Times New Roman" w:hAnsi="Calibri" w:cs="Calibri"/>
          <w:iCs/>
          <w:color w:val="002060"/>
          <w:kern w:val="0"/>
          <w14:ligatures w14:val="none"/>
        </w:rPr>
        <w:t>Os fluxos de caixa são classificados, dependendo da sua natureza, em (i) atividades operacionais, (</w:t>
      </w:r>
      <w:proofErr w:type="spellStart"/>
      <w:r w:rsidRPr="008B5CCF">
        <w:rPr>
          <w:rFonts w:ascii="Calibri" w:eastAsia="Times New Roman" w:hAnsi="Calibri" w:cs="Calibri"/>
          <w:iCs/>
          <w:color w:val="002060"/>
          <w:kern w:val="0"/>
          <w14:ligatures w14:val="none"/>
        </w:rPr>
        <w:t>ii</w:t>
      </w:r>
      <w:proofErr w:type="spellEnd"/>
      <w:r w:rsidRPr="008B5CCF">
        <w:rPr>
          <w:rFonts w:ascii="Calibri" w:eastAsia="Times New Roman" w:hAnsi="Calibri" w:cs="Calibri"/>
          <w:iCs/>
          <w:color w:val="002060"/>
          <w:kern w:val="0"/>
          <w14:ligatures w14:val="none"/>
        </w:rPr>
        <w:t>) atividades de investimento e (</w:t>
      </w:r>
      <w:proofErr w:type="spellStart"/>
      <w:r w:rsidRPr="008B5CCF">
        <w:rPr>
          <w:rFonts w:ascii="Calibri" w:eastAsia="Times New Roman" w:hAnsi="Calibri" w:cs="Calibri"/>
          <w:iCs/>
          <w:color w:val="002060"/>
          <w:kern w:val="0"/>
          <w14:ligatures w14:val="none"/>
        </w:rPr>
        <w:t>iii</w:t>
      </w:r>
      <w:proofErr w:type="spellEnd"/>
      <w:r w:rsidRPr="008B5CCF">
        <w:rPr>
          <w:rFonts w:ascii="Calibri" w:eastAsia="Times New Roman" w:hAnsi="Calibri" w:cs="Calibri"/>
          <w:iCs/>
          <w:color w:val="002060"/>
          <w:kern w:val="0"/>
          <w14:ligatures w14:val="none"/>
        </w:rPr>
        <w:t>) atividades de financiamento. As atividades operacionais englobam essencialmente os recebimentos de clientes e os pagamentos aos fornecedores, pessoal, tributos, encargos financeiros e perdas em processos judiciais. Os fluxos de caixa abrangidos nas atividades de investimento incluem, principalmente, aquisições e alienações de investimentos, como também pagamentos e recebimentos decorrentes da compra e venda de ativos fixos. Os fluxos de caixa abrangidos nas atividades de financiamento incluem, principalmente, os pagamentos e recebimentos referentes a empréstimos e financiamentos obtidos, instrumentos financeiros derivativos e pagamentos de dividendos e de juros sobre o capital próprio.</w:t>
      </w:r>
    </w:p>
    <w:p w14:paraId="202B9E3A" w14:textId="7029AB3C" w:rsidR="008B5CCF" w:rsidRPr="008B5CCF" w:rsidRDefault="008B5CCF" w:rsidP="008B5CCF">
      <w:pPr>
        <w:spacing w:after="0"/>
        <w:jc w:val="both"/>
        <w:rPr>
          <w:rFonts w:ascii="Calibri" w:eastAsia="Times New Roman" w:hAnsi="Calibri" w:cs="Calibri"/>
          <w:b/>
          <w:bCs/>
          <w:iCs/>
          <w:color w:val="002060"/>
          <w:kern w:val="0"/>
          <w14:ligatures w14:val="none"/>
        </w:rPr>
      </w:pPr>
      <w:r>
        <w:rPr>
          <w:rFonts w:ascii="Calibri" w:eastAsia="Times New Roman" w:hAnsi="Calibri" w:cs="Calibri"/>
          <w:b/>
          <w:iCs/>
          <w:color w:val="002060"/>
          <w:kern w:val="0"/>
          <w14:ligatures w14:val="none"/>
        </w:rPr>
        <w:t xml:space="preserve">2.3. </w:t>
      </w:r>
      <w:r w:rsidRPr="008B5CCF">
        <w:rPr>
          <w:rFonts w:ascii="Calibri" w:eastAsia="Times New Roman" w:hAnsi="Calibri" w:cs="Calibri"/>
          <w:b/>
          <w:iCs/>
          <w:color w:val="002060"/>
          <w:kern w:val="0"/>
          <w14:ligatures w14:val="none"/>
        </w:rPr>
        <w:t>Estimativas e julgamentos contábeis críticos</w:t>
      </w:r>
    </w:p>
    <w:p w14:paraId="714308CB" w14:textId="77777777" w:rsidR="008B5CCF" w:rsidRDefault="008B5CCF" w:rsidP="008B5CCF">
      <w:pPr>
        <w:spacing w:after="0"/>
        <w:jc w:val="both"/>
        <w:rPr>
          <w:rFonts w:ascii="Calibri" w:eastAsia="Times New Roman" w:hAnsi="Calibri" w:cs="Calibri"/>
          <w:iCs/>
          <w:color w:val="002060"/>
          <w:kern w:val="0"/>
          <w14:ligatures w14:val="none"/>
        </w:rPr>
      </w:pPr>
      <w:r w:rsidRPr="008B5CCF">
        <w:rPr>
          <w:rFonts w:ascii="Calibri" w:eastAsia="Times New Roman" w:hAnsi="Calibri" w:cs="Calibri"/>
          <w:iCs/>
          <w:color w:val="002060"/>
          <w:kern w:val="0"/>
          <w14:ligatures w14:val="none"/>
        </w:rPr>
        <w:t>Ao preparar as Demonstrações Contábeis, a Administração da Companhia se baseia em estimativas e premissas derivadas da experiência histórica e outros fatores, incluindo expectativas de eventos futuros, as quais se consideram razoáveis e relevantes. A aplicação das estimativas e premissas frequentemente requer julgamentos relacionados a assuntos que são incertos, com relação aos resultados das operações e ao valor dos ativos e passivos. Os resultados operacionais e a posição financeira podem diferir se as experiências e premissas utilizadas na mensuração das estimativas forem diferentes dos resultados reais. As estimativas que possuem risco significativo de causar ajustes materiais sobre os saldos contábeis dos ativos e passivos estão relacionadas a seguir.</w:t>
      </w:r>
    </w:p>
    <w:p w14:paraId="5C1B4855" w14:textId="5B9718C1" w:rsidR="008B5CCF" w:rsidRPr="008B5CCF" w:rsidRDefault="008B5CCF" w:rsidP="008B5CCF">
      <w:pPr>
        <w:spacing w:after="0"/>
        <w:jc w:val="both"/>
        <w:rPr>
          <w:rFonts w:ascii="Calibri" w:eastAsia="Times New Roman" w:hAnsi="Calibri" w:cs="Calibri"/>
          <w:iCs/>
          <w:color w:val="002060"/>
          <w:kern w:val="0"/>
          <w14:ligatures w14:val="none"/>
        </w:rPr>
      </w:pPr>
      <w:r>
        <w:rPr>
          <w:rFonts w:ascii="Calibri" w:eastAsia="Times New Roman" w:hAnsi="Calibri" w:cs="Calibri"/>
          <w:b/>
          <w:iCs/>
          <w:color w:val="002060"/>
          <w:kern w:val="0"/>
          <w14:ligatures w14:val="none"/>
        </w:rPr>
        <w:lastRenderedPageBreak/>
        <w:t xml:space="preserve">2.3.1. </w:t>
      </w:r>
      <w:r w:rsidRPr="008B5CCF">
        <w:rPr>
          <w:rFonts w:ascii="Calibri" w:eastAsia="Times New Roman" w:hAnsi="Calibri" w:cs="Calibri"/>
          <w:b/>
          <w:iCs/>
          <w:color w:val="002060"/>
          <w:kern w:val="0"/>
          <w14:ligatures w14:val="none"/>
        </w:rPr>
        <w:t>Perdas estimadas com créditos de liquidação duvidosa</w:t>
      </w:r>
    </w:p>
    <w:p w14:paraId="6E3FBF85" w14:textId="77777777" w:rsidR="008B5CCF" w:rsidRPr="008B5CCF" w:rsidRDefault="008B5CCF" w:rsidP="008B5CCF">
      <w:pPr>
        <w:spacing w:after="0"/>
        <w:jc w:val="both"/>
        <w:rPr>
          <w:rFonts w:ascii="Calibri" w:eastAsia="Times New Roman" w:hAnsi="Calibri" w:cs="Calibri"/>
          <w:iCs/>
          <w:color w:val="002060"/>
          <w:kern w:val="0"/>
          <w14:ligatures w14:val="none"/>
        </w:rPr>
      </w:pPr>
      <w:r w:rsidRPr="008B5CCF">
        <w:rPr>
          <w:rFonts w:ascii="Calibri" w:eastAsia="Times New Roman" w:hAnsi="Calibri" w:cs="Calibri"/>
          <w:iCs/>
          <w:color w:val="002060"/>
          <w:kern w:val="0"/>
          <w14:ligatures w14:val="none"/>
        </w:rPr>
        <w:t>A provisão para perdas estimadas com créditos de liquidação duvidosa é estabelecida para reconhecer as perdas prováveis de contas a receber, considerando as medidas implementadas para restringir a prestação de serviços a clientes com contas em atraso e para cobrar clientes inadimplentes.</w:t>
      </w:r>
    </w:p>
    <w:p w14:paraId="79A95693" w14:textId="4E9D8512" w:rsidR="008B5CCF" w:rsidRPr="008B5CCF" w:rsidRDefault="008B5CCF" w:rsidP="008B5CCF">
      <w:pPr>
        <w:spacing w:after="0"/>
        <w:jc w:val="both"/>
        <w:rPr>
          <w:rFonts w:ascii="Calibri" w:eastAsia="Times New Roman" w:hAnsi="Calibri" w:cs="Calibri"/>
          <w:iCs/>
          <w:color w:val="002060"/>
          <w:kern w:val="0"/>
          <w14:ligatures w14:val="none"/>
        </w:rPr>
      </w:pPr>
      <w:r w:rsidRPr="008B5CCF">
        <w:rPr>
          <w:rFonts w:ascii="Calibri" w:eastAsia="Times New Roman" w:hAnsi="Calibri" w:cs="Calibri"/>
          <w:iCs/>
          <w:color w:val="002060"/>
          <w:kern w:val="0"/>
          <w14:ligatures w14:val="none"/>
        </w:rPr>
        <w:t xml:space="preserve"> Há situações de acordos com certos clientes para cobrar contas em atraso, inclusive acordos que permitem aos clientes </w:t>
      </w:r>
      <w:proofErr w:type="gramStart"/>
      <w:r w:rsidRPr="008B5CCF">
        <w:rPr>
          <w:rFonts w:ascii="Calibri" w:eastAsia="Times New Roman" w:hAnsi="Calibri" w:cs="Calibri"/>
          <w:iCs/>
          <w:color w:val="002060"/>
          <w:kern w:val="0"/>
          <w14:ligatures w14:val="none"/>
        </w:rPr>
        <w:t>quitar</w:t>
      </w:r>
      <w:proofErr w:type="gramEnd"/>
      <w:r w:rsidRPr="008B5CCF">
        <w:rPr>
          <w:rFonts w:ascii="Calibri" w:eastAsia="Times New Roman" w:hAnsi="Calibri" w:cs="Calibri"/>
          <w:iCs/>
          <w:color w:val="002060"/>
          <w:kern w:val="0"/>
          <w14:ligatures w14:val="none"/>
        </w:rPr>
        <w:t xml:space="preserve"> suas contas inadimplentes em parcelas. Os montantes que efetivamente deixamos de receber para essas contas podem ser diferentes do valor da provisão estabelecida e provisões adicionais podem ser necessárias. (Nota Explicativa 6)</w:t>
      </w:r>
    </w:p>
    <w:p w14:paraId="5F76B053" w14:textId="22639DB9" w:rsidR="008B5CCF" w:rsidRPr="008B5CCF" w:rsidRDefault="008B5CCF" w:rsidP="008B5CCF">
      <w:pPr>
        <w:spacing w:after="0"/>
        <w:jc w:val="both"/>
        <w:rPr>
          <w:rFonts w:ascii="Calibri" w:eastAsia="Times New Roman" w:hAnsi="Calibri" w:cs="Calibri"/>
          <w:b/>
          <w:iCs/>
          <w:color w:val="002060"/>
          <w:kern w:val="0"/>
          <w14:ligatures w14:val="none"/>
        </w:rPr>
      </w:pPr>
      <w:r>
        <w:rPr>
          <w:rFonts w:ascii="Calibri" w:eastAsia="Times New Roman" w:hAnsi="Calibri" w:cs="Calibri"/>
          <w:b/>
          <w:iCs/>
          <w:color w:val="002060"/>
          <w:kern w:val="0"/>
          <w14:ligatures w14:val="none"/>
        </w:rPr>
        <w:t xml:space="preserve">2.3.2. </w:t>
      </w:r>
      <w:r w:rsidRPr="008B5CCF">
        <w:rPr>
          <w:rFonts w:ascii="Calibri" w:eastAsia="Times New Roman" w:hAnsi="Calibri" w:cs="Calibri"/>
          <w:b/>
          <w:iCs/>
          <w:color w:val="002060"/>
          <w:kern w:val="0"/>
          <w14:ligatures w14:val="none"/>
        </w:rPr>
        <w:t>Depreciação e amortização de ativos com vida útil definida</w:t>
      </w:r>
    </w:p>
    <w:p w14:paraId="1C7A675B" w14:textId="77777777" w:rsidR="008B5CCF" w:rsidRPr="008B5CCF" w:rsidRDefault="008B5CCF" w:rsidP="008B5CCF">
      <w:pPr>
        <w:spacing w:after="0"/>
        <w:jc w:val="both"/>
        <w:rPr>
          <w:rFonts w:ascii="Calibri" w:eastAsia="Times New Roman" w:hAnsi="Calibri" w:cs="Calibri"/>
          <w:iCs/>
          <w:color w:val="002060"/>
          <w:kern w:val="0"/>
          <w14:ligatures w14:val="none"/>
        </w:rPr>
      </w:pPr>
      <w:r w:rsidRPr="008B5CCF">
        <w:rPr>
          <w:rFonts w:ascii="Calibri" w:eastAsia="Times New Roman" w:hAnsi="Calibri" w:cs="Calibri"/>
          <w:iCs/>
          <w:color w:val="002060"/>
          <w:kern w:val="0"/>
          <w14:ligatures w14:val="none"/>
        </w:rPr>
        <w:t xml:space="preserve">Os ativos de vida útil definida do imobilizado e do intangível são depreciados e amortizados, respectivamente, usando o método linear no decorrer da vida útil dos respectivos ativos. As taxas de depreciação e de amortização dos ativos estão demonstradas nas Notas Explicativas 14 e 15, respectivamente. </w:t>
      </w:r>
    </w:p>
    <w:p w14:paraId="723D182D" w14:textId="77777777" w:rsidR="008B5CCF" w:rsidRPr="008B5CCF" w:rsidRDefault="008B5CCF" w:rsidP="008B5CCF">
      <w:pPr>
        <w:spacing w:after="0"/>
        <w:jc w:val="both"/>
        <w:rPr>
          <w:rFonts w:ascii="Calibri" w:eastAsia="Times New Roman" w:hAnsi="Calibri" w:cs="Calibri"/>
          <w:iCs/>
          <w:color w:val="002060"/>
          <w:kern w:val="0"/>
          <w14:ligatures w14:val="none"/>
        </w:rPr>
      </w:pPr>
      <w:r w:rsidRPr="008B5CCF">
        <w:rPr>
          <w:rFonts w:ascii="Calibri" w:eastAsia="Times New Roman" w:hAnsi="Calibri" w:cs="Calibri"/>
          <w:iCs/>
          <w:color w:val="002060"/>
          <w:kern w:val="0"/>
          <w14:ligatures w14:val="none"/>
        </w:rPr>
        <w:t xml:space="preserve">As vidas úteis de certos ativos podem variar dependendo da região onde se encontram instalados. </w:t>
      </w:r>
    </w:p>
    <w:p w14:paraId="13575ACD" w14:textId="77777777" w:rsidR="008B5CCF" w:rsidRDefault="008B5CCF" w:rsidP="008B5CCF">
      <w:pPr>
        <w:spacing w:after="0"/>
        <w:jc w:val="both"/>
        <w:rPr>
          <w:rFonts w:ascii="Calibri" w:eastAsia="Times New Roman" w:hAnsi="Calibri" w:cs="Calibri"/>
          <w:iCs/>
          <w:color w:val="002060"/>
          <w:kern w:val="0"/>
          <w14:ligatures w14:val="none"/>
        </w:rPr>
      </w:pPr>
      <w:r w:rsidRPr="008B5CCF">
        <w:rPr>
          <w:rFonts w:ascii="Calibri" w:eastAsia="Times New Roman" w:hAnsi="Calibri" w:cs="Calibri"/>
          <w:iCs/>
          <w:color w:val="002060"/>
          <w:kern w:val="0"/>
          <w14:ligatures w14:val="none"/>
        </w:rPr>
        <w:t>A Companhia revisa anualmente as vidas úteis desses ativos.</w:t>
      </w:r>
    </w:p>
    <w:p w14:paraId="17C95CEE" w14:textId="7F562AD5" w:rsidR="008B5CCF" w:rsidRPr="008B5CCF" w:rsidRDefault="008B5CCF" w:rsidP="008B5CCF">
      <w:pPr>
        <w:spacing w:after="0"/>
        <w:jc w:val="both"/>
        <w:rPr>
          <w:rFonts w:ascii="Calibri" w:eastAsia="Times New Roman" w:hAnsi="Calibri" w:cs="Calibri"/>
          <w:b/>
          <w:iCs/>
          <w:color w:val="002060"/>
          <w:kern w:val="0"/>
          <w14:ligatures w14:val="none"/>
        </w:rPr>
      </w:pPr>
      <w:r>
        <w:rPr>
          <w:rFonts w:ascii="Calibri" w:eastAsia="Times New Roman" w:hAnsi="Calibri" w:cs="Calibri"/>
          <w:b/>
          <w:iCs/>
          <w:color w:val="002060"/>
          <w:kern w:val="0"/>
          <w14:ligatures w14:val="none"/>
        </w:rPr>
        <w:t xml:space="preserve">2.3.3. </w:t>
      </w:r>
      <w:r w:rsidRPr="008B5CCF">
        <w:rPr>
          <w:rFonts w:ascii="Calibri" w:eastAsia="Times New Roman" w:hAnsi="Calibri" w:cs="Calibri"/>
          <w:b/>
          <w:iCs/>
          <w:color w:val="002060"/>
          <w:kern w:val="0"/>
          <w14:ligatures w14:val="none"/>
        </w:rPr>
        <w:t>Redução ao valor recuperável de ativos de longa duração</w:t>
      </w:r>
    </w:p>
    <w:p w14:paraId="2464C48D" w14:textId="77777777" w:rsidR="008B5CCF" w:rsidRPr="008B5CCF" w:rsidRDefault="008B5CCF" w:rsidP="008B5CCF">
      <w:pPr>
        <w:spacing w:after="0"/>
        <w:jc w:val="both"/>
        <w:rPr>
          <w:rFonts w:ascii="Calibri" w:eastAsia="Times New Roman" w:hAnsi="Calibri" w:cs="Calibri"/>
          <w:iCs/>
          <w:color w:val="002060"/>
          <w:kern w:val="0"/>
          <w14:ligatures w14:val="none"/>
        </w:rPr>
      </w:pPr>
      <w:r w:rsidRPr="008B5CCF">
        <w:rPr>
          <w:rFonts w:ascii="Calibri" w:eastAsia="Times New Roman" w:hAnsi="Calibri" w:cs="Calibri"/>
          <w:iCs/>
          <w:color w:val="002060"/>
          <w:kern w:val="0"/>
          <w14:ligatures w14:val="none"/>
        </w:rPr>
        <w:t xml:space="preserve">A Companhia revisa e analisa a possibilidade de recuperação dos valores registrados no ativo imobilizado e intangível para avaliar a ocorrência de redução do valor recuperável dos ativos da Companhia, seja como o resultado de decisões de descontinuar atividades relacionadas a tais ativos ou em caso de haver evidências de que as receitas operacionais futuras não serão suficientes para garantir sua realização. </w:t>
      </w:r>
    </w:p>
    <w:p w14:paraId="31313BE3" w14:textId="77777777" w:rsidR="008B5CCF" w:rsidRPr="008B5CCF" w:rsidRDefault="008B5CCF" w:rsidP="008B5CCF">
      <w:pPr>
        <w:spacing w:after="0"/>
        <w:jc w:val="both"/>
        <w:rPr>
          <w:rFonts w:ascii="Calibri" w:eastAsia="Times New Roman" w:hAnsi="Calibri" w:cs="Calibri"/>
          <w:iCs/>
          <w:color w:val="002060"/>
          <w:kern w:val="0"/>
          <w14:ligatures w14:val="none"/>
        </w:rPr>
      </w:pPr>
      <w:r w:rsidRPr="008B5CCF">
        <w:rPr>
          <w:rFonts w:ascii="Calibri" w:eastAsia="Times New Roman" w:hAnsi="Calibri" w:cs="Calibri"/>
          <w:iCs/>
          <w:color w:val="002060"/>
          <w:kern w:val="0"/>
          <w14:ligatures w14:val="none"/>
        </w:rPr>
        <w:t>Os testes de recuperabilidade (</w:t>
      </w:r>
      <w:proofErr w:type="spellStart"/>
      <w:r w:rsidRPr="008B5CCF">
        <w:rPr>
          <w:rFonts w:ascii="Calibri" w:eastAsia="Times New Roman" w:hAnsi="Calibri" w:cs="Calibri"/>
          <w:i/>
          <w:iCs/>
          <w:color w:val="002060"/>
          <w:kern w:val="0"/>
          <w14:ligatures w14:val="none"/>
        </w:rPr>
        <w:t>impairment</w:t>
      </w:r>
      <w:proofErr w:type="spellEnd"/>
      <w:r w:rsidRPr="008B5CCF">
        <w:rPr>
          <w:rFonts w:ascii="Calibri" w:eastAsia="Times New Roman" w:hAnsi="Calibri" w:cs="Calibri"/>
          <w:iCs/>
          <w:color w:val="002060"/>
          <w:kern w:val="0"/>
          <w14:ligatures w14:val="none"/>
        </w:rPr>
        <w:t xml:space="preserve">) dos ativos de vida útil definida são aplicados sempre que eventos ou mudanças em circunstâncias indicam que o valor contábil pode não ser recuperado. </w:t>
      </w:r>
    </w:p>
    <w:p w14:paraId="6D6BF974" w14:textId="77777777" w:rsidR="008B5CCF" w:rsidRDefault="008B5CCF" w:rsidP="008B5CCF">
      <w:pPr>
        <w:spacing w:after="0"/>
        <w:jc w:val="both"/>
        <w:rPr>
          <w:rFonts w:ascii="Calibri" w:eastAsia="Times New Roman" w:hAnsi="Calibri" w:cs="Calibri"/>
          <w:iCs/>
          <w:color w:val="002060"/>
          <w:kern w:val="0"/>
          <w14:ligatures w14:val="none"/>
        </w:rPr>
      </w:pPr>
      <w:r w:rsidRPr="008B5CCF">
        <w:rPr>
          <w:rFonts w:ascii="Calibri" w:eastAsia="Times New Roman" w:hAnsi="Calibri" w:cs="Calibri"/>
          <w:iCs/>
          <w:color w:val="002060"/>
          <w:kern w:val="0"/>
          <w14:ligatures w14:val="none"/>
        </w:rPr>
        <w:t>Os valores recuperáveis dos ativos são determinados com base na comparação entre os cálculos do valor em uso e do valor de venda. Esses cálculos exigem o uso de julgamentos e premissas. A determinação do valor justo e dos fluxos de caixa operacionais futuros descontados exige que a Companhia estabeleça determinadas suposições e estimativas referentes aos fluxos de entrada e de saída de caixa projetados relacionados às receitas, aos gastos e às despesas futuras. Essas suposições e estimativas podem ser influenciadas por diferentes fatores externos e internos, tais como tendências econômicas, tendências da indústria e taxas de juros, mudanças nas estratégias de negócios e mudanças no tipo de serviços e produtos que a Companhia fornece ao mercado. O uso de diferentes premissas pode alterar de maneira significativa nossas Demonstrações Contábeis.</w:t>
      </w:r>
    </w:p>
    <w:p w14:paraId="0B19D23E" w14:textId="606FF59A" w:rsidR="008B5CCF" w:rsidRPr="008B5CCF" w:rsidRDefault="008B5CCF" w:rsidP="008B5CCF">
      <w:pPr>
        <w:spacing w:after="0"/>
        <w:jc w:val="both"/>
        <w:rPr>
          <w:rFonts w:ascii="Calibri" w:eastAsia="Times New Roman" w:hAnsi="Calibri" w:cs="Calibri"/>
          <w:b/>
          <w:iCs/>
          <w:color w:val="002060"/>
          <w:kern w:val="0"/>
          <w14:ligatures w14:val="none"/>
        </w:rPr>
      </w:pPr>
      <w:r>
        <w:rPr>
          <w:rFonts w:ascii="Calibri" w:eastAsia="Times New Roman" w:hAnsi="Calibri" w:cs="Calibri"/>
          <w:b/>
          <w:iCs/>
          <w:color w:val="002060"/>
          <w:kern w:val="0"/>
          <w14:ligatures w14:val="none"/>
        </w:rPr>
        <w:t xml:space="preserve">2.3.4. </w:t>
      </w:r>
      <w:r w:rsidRPr="008B5CCF">
        <w:rPr>
          <w:rFonts w:ascii="Calibri" w:eastAsia="Times New Roman" w:hAnsi="Calibri" w:cs="Calibri"/>
          <w:b/>
          <w:iCs/>
          <w:color w:val="002060"/>
          <w:kern w:val="0"/>
          <w14:ligatures w14:val="none"/>
        </w:rPr>
        <w:t>Provisão para riscos trabalhistas, cíveis, fiscais e outros</w:t>
      </w:r>
    </w:p>
    <w:p w14:paraId="2C1F0D63" w14:textId="77777777" w:rsidR="008B5CCF" w:rsidRPr="008B5CCF" w:rsidRDefault="008B5CCF" w:rsidP="008B5CCF">
      <w:pPr>
        <w:spacing w:after="0"/>
        <w:jc w:val="both"/>
        <w:rPr>
          <w:rFonts w:ascii="Calibri" w:eastAsia="Times New Roman" w:hAnsi="Calibri" w:cs="Calibri"/>
          <w:iCs/>
          <w:color w:val="002060"/>
          <w:kern w:val="0"/>
          <w14:ligatures w14:val="none"/>
        </w:rPr>
      </w:pPr>
      <w:r w:rsidRPr="008B5CCF">
        <w:rPr>
          <w:rFonts w:ascii="Calibri" w:eastAsia="Times New Roman" w:hAnsi="Calibri" w:cs="Calibri"/>
          <w:iCs/>
          <w:color w:val="002060"/>
          <w:kern w:val="0"/>
          <w14:ligatures w14:val="none"/>
        </w:rPr>
        <w:t xml:space="preserve">A Companhia reconhece provisões para perdas em processos judiciais que correm nas esferas trabalhistas, cíveis, fiscais, bem como processos administrativos, conforme apresentado na Nota Explicativa 21. </w:t>
      </w:r>
    </w:p>
    <w:p w14:paraId="52F246BC" w14:textId="77777777" w:rsidR="008B5CCF" w:rsidRPr="008B5CCF" w:rsidRDefault="008B5CCF" w:rsidP="008B5CCF">
      <w:pPr>
        <w:spacing w:after="0"/>
        <w:jc w:val="both"/>
        <w:rPr>
          <w:rFonts w:ascii="Calibri" w:eastAsia="Times New Roman" w:hAnsi="Calibri" w:cs="Calibri"/>
          <w:iCs/>
          <w:color w:val="002060"/>
          <w:kern w:val="0"/>
          <w14:ligatures w14:val="none"/>
        </w:rPr>
      </w:pPr>
      <w:r w:rsidRPr="008B5CCF">
        <w:rPr>
          <w:rFonts w:ascii="Calibri" w:eastAsia="Times New Roman" w:hAnsi="Calibri" w:cs="Calibri"/>
          <w:iCs/>
          <w:color w:val="002060"/>
          <w:kern w:val="0"/>
          <w14:ligatures w14:val="none"/>
        </w:rPr>
        <w:t>O reconhecimento da provisão para perdas em processos judiciais se baseia na avaliação de risco de perda em cada processo, que inclui a avaliação das evidências disponíveis, decisões recentes e premissas estatísticas, assim como refletem provisões razoavelmente estimadas, conforme avaliado pela Administração, sua assessoria jurídica e pelos advogados externos (quando cabível). É possível que as premissas utilizadas para estimar a provisão para perdas em processos judiciais alterem, podendo resultar em mudanças nas futuras provisões para perdas nos processos judiciais.</w:t>
      </w:r>
    </w:p>
    <w:p w14:paraId="1C8B1086" w14:textId="7EF4DF55" w:rsidR="008B5CCF" w:rsidRPr="008B5CCF" w:rsidRDefault="008B5CCF" w:rsidP="008B5CCF">
      <w:pPr>
        <w:spacing w:after="0"/>
        <w:jc w:val="both"/>
        <w:rPr>
          <w:rFonts w:ascii="Calibri" w:eastAsia="Times New Roman" w:hAnsi="Calibri" w:cs="Calibri"/>
          <w:b/>
          <w:iCs/>
          <w:color w:val="002060"/>
          <w:kern w:val="0"/>
          <w14:ligatures w14:val="none"/>
        </w:rPr>
      </w:pPr>
      <w:r>
        <w:rPr>
          <w:rFonts w:ascii="Calibri" w:eastAsia="Times New Roman" w:hAnsi="Calibri" w:cs="Calibri"/>
          <w:b/>
          <w:iCs/>
          <w:color w:val="002060"/>
          <w:kern w:val="0"/>
          <w14:ligatures w14:val="none"/>
        </w:rPr>
        <w:t xml:space="preserve">2.3.5. </w:t>
      </w:r>
      <w:r w:rsidRPr="008B5CCF">
        <w:rPr>
          <w:rFonts w:ascii="Calibri" w:eastAsia="Times New Roman" w:hAnsi="Calibri" w:cs="Calibri"/>
          <w:b/>
          <w:iCs/>
          <w:color w:val="002060"/>
          <w:kern w:val="0"/>
          <w14:ligatures w14:val="none"/>
        </w:rPr>
        <w:t>Instrumentos financeiros</w:t>
      </w:r>
    </w:p>
    <w:p w14:paraId="5809E3EF" w14:textId="77777777" w:rsidR="008B5CCF" w:rsidRPr="008B5CCF" w:rsidRDefault="008B5CCF" w:rsidP="008B5CCF">
      <w:pPr>
        <w:spacing w:after="0"/>
        <w:jc w:val="both"/>
        <w:rPr>
          <w:rFonts w:ascii="Calibri" w:eastAsia="Times New Roman" w:hAnsi="Calibri" w:cs="Calibri"/>
          <w:iCs/>
          <w:color w:val="002060"/>
          <w:kern w:val="0"/>
          <w14:ligatures w14:val="none"/>
        </w:rPr>
      </w:pPr>
      <w:r w:rsidRPr="008B5CCF">
        <w:rPr>
          <w:rFonts w:ascii="Calibri" w:eastAsia="Times New Roman" w:hAnsi="Calibri" w:cs="Calibri"/>
          <w:iCs/>
          <w:color w:val="002060"/>
          <w:kern w:val="0"/>
          <w14:ligatures w14:val="none"/>
        </w:rPr>
        <w:t>Os instrumentos financeiros apresentados no balanço patrimonial pelo valor justo são mensurados através de técnicas de avaliação que consideram dados observáveis ou derivados de dados observáveis no mercado. (Nota Explicativa 4)</w:t>
      </w:r>
    </w:p>
    <w:p w14:paraId="00231F06" w14:textId="77777777" w:rsidR="008B5CCF" w:rsidRDefault="008B5CCF" w:rsidP="008B5CCF">
      <w:pPr>
        <w:spacing w:after="0"/>
        <w:jc w:val="both"/>
        <w:rPr>
          <w:rFonts w:ascii="Calibri" w:eastAsia="Times New Roman" w:hAnsi="Calibri" w:cs="Calibri"/>
          <w:b/>
          <w:iCs/>
          <w:color w:val="002060"/>
          <w:kern w:val="0"/>
          <w14:ligatures w14:val="none"/>
        </w:rPr>
      </w:pPr>
      <w:r w:rsidRPr="008B5CCF">
        <w:rPr>
          <w:rFonts w:ascii="Calibri" w:eastAsia="Times New Roman" w:hAnsi="Calibri" w:cs="Calibri"/>
          <w:b/>
          <w:bCs/>
          <w:iCs/>
          <w:color w:val="002060"/>
          <w:kern w:val="0"/>
          <w14:ligatures w14:val="none"/>
        </w:rPr>
        <w:t xml:space="preserve">2.3.6. </w:t>
      </w:r>
      <w:r w:rsidRPr="008B5CCF">
        <w:rPr>
          <w:rFonts w:ascii="Calibri" w:eastAsia="Times New Roman" w:hAnsi="Calibri" w:cs="Calibri"/>
          <w:b/>
          <w:iCs/>
          <w:color w:val="002060"/>
          <w:kern w:val="0"/>
          <w14:ligatures w14:val="none"/>
        </w:rPr>
        <w:t>Benefícios pós-emprego</w:t>
      </w:r>
    </w:p>
    <w:p w14:paraId="2CA5D1F3" w14:textId="14CC63F3" w:rsidR="008B5CCF" w:rsidRPr="008B5CCF" w:rsidRDefault="008B5CCF" w:rsidP="008B5CCF">
      <w:pPr>
        <w:spacing w:after="0"/>
        <w:jc w:val="both"/>
        <w:rPr>
          <w:rFonts w:ascii="Calibri" w:eastAsia="Times New Roman" w:hAnsi="Calibri" w:cs="Calibri"/>
          <w:b/>
          <w:iCs/>
          <w:color w:val="002060"/>
          <w:kern w:val="0"/>
          <w14:ligatures w14:val="none"/>
        </w:rPr>
      </w:pPr>
      <w:r w:rsidRPr="008B5CCF">
        <w:rPr>
          <w:rFonts w:ascii="Calibri" w:eastAsia="Times New Roman" w:hAnsi="Calibri" w:cs="Calibri"/>
          <w:iCs/>
          <w:color w:val="002060"/>
          <w:kern w:val="0"/>
          <w14:ligatures w14:val="none"/>
        </w:rPr>
        <w:t xml:space="preserve">A avaliação atuarial é baseada em premissas e estimativas com relação a taxas de juros, retorno de investimentos, níveis de inflação para períodos futuros, índices de mortalidade e projeção de níveis de emprego relacionada aos passivos com benefícios de aposentadoria. A precisão dessas premissas e estimativas </w:t>
      </w:r>
      <w:r w:rsidRPr="008B5CCF">
        <w:rPr>
          <w:rFonts w:ascii="Calibri" w:eastAsia="Times New Roman" w:hAnsi="Calibri" w:cs="Calibri"/>
          <w:iCs/>
          <w:color w:val="002060"/>
          <w:kern w:val="0"/>
          <w14:ligatures w14:val="none"/>
        </w:rPr>
        <w:lastRenderedPageBreak/>
        <w:t xml:space="preserve">determinará a criação de reservas suficientes para custos com pensões acumuladas e planos de saúde, como também o valor a ser fornecido a cada ano, como custos com benefícios de aposentadoria. </w:t>
      </w:r>
    </w:p>
    <w:p w14:paraId="707434BF" w14:textId="77777777" w:rsidR="008B5CCF" w:rsidRPr="008B5CCF" w:rsidRDefault="008B5CCF" w:rsidP="008B5CCF">
      <w:pPr>
        <w:spacing w:after="0"/>
        <w:jc w:val="both"/>
        <w:rPr>
          <w:rFonts w:ascii="Calibri" w:eastAsia="Times New Roman" w:hAnsi="Calibri" w:cs="Calibri"/>
          <w:iCs/>
          <w:color w:val="002060"/>
          <w:kern w:val="0"/>
          <w14:ligatures w14:val="none"/>
        </w:rPr>
        <w:sectPr w:rsidR="008B5CCF" w:rsidRPr="008B5CCF" w:rsidSect="008B5CCF">
          <w:footerReference w:type="default" r:id="rId54"/>
          <w:type w:val="continuous"/>
          <w:pgSz w:w="11906" w:h="16838" w:code="9"/>
          <w:pgMar w:top="848" w:right="849" w:bottom="993" w:left="1276" w:header="850" w:footer="1134" w:gutter="0"/>
          <w:cols w:space="708"/>
          <w:docGrid w:linePitch="360"/>
        </w:sectPr>
      </w:pPr>
    </w:p>
    <w:p w14:paraId="090B533E" w14:textId="77777777" w:rsidR="008B5CCF" w:rsidRPr="008B5CCF" w:rsidRDefault="008B5CCF" w:rsidP="008B5CCF">
      <w:pPr>
        <w:spacing w:after="0"/>
        <w:jc w:val="both"/>
        <w:rPr>
          <w:rFonts w:ascii="Calibri" w:eastAsia="Times New Roman" w:hAnsi="Calibri" w:cs="Calibri"/>
          <w:iCs/>
          <w:color w:val="002060"/>
          <w:kern w:val="0"/>
          <w14:ligatures w14:val="none"/>
        </w:rPr>
      </w:pPr>
      <w:r w:rsidRPr="008B5CCF">
        <w:rPr>
          <w:rFonts w:ascii="Calibri" w:eastAsia="Times New Roman" w:hAnsi="Calibri" w:cs="Calibri"/>
          <w:iCs/>
          <w:color w:val="002060"/>
          <w:kern w:val="0"/>
          <w14:ligatures w14:val="none"/>
        </w:rPr>
        <w:t xml:space="preserve">Tais premissas e estimativas estão sujeitas a flutuações significativas devido a diferentes fatores internos e externos, como tendências econômicas, indicadores sociais, nossa capacidade para empregos e de reter nossos empregados. Todas as premissas são revisadas a cada data base. </w:t>
      </w:r>
    </w:p>
    <w:p w14:paraId="1895E66D" w14:textId="5E69D011" w:rsidR="008B5CCF" w:rsidRPr="008B5CCF" w:rsidRDefault="008B5CCF" w:rsidP="008B5CCF">
      <w:pPr>
        <w:spacing w:after="0"/>
        <w:jc w:val="both"/>
        <w:rPr>
          <w:rFonts w:ascii="Calibri" w:eastAsia="Times New Roman" w:hAnsi="Calibri" w:cs="Calibri"/>
          <w:iCs/>
          <w:color w:val="002060"/>
          <w:kern w:val="0"/>
          <w14:ligatures w14:val="none"/>
        </w:rPr>
      </w:pPr>
      <w:r w:rsidRPr="008B5CCF">
        <w:rPr>
          <w:rFonts w:ascii="Calibri" w:eastAsia="Times New Roman" w:hAnsi="Calibri" w:cs="Calibri"/>
          <w:iCs/>
          <w:color w:val="002060"/>
          <w:kern w:val="0"/>
          <w14:ligatures w14:val="none"/>
        </w:rPr>
        <w:t xml:space="preserve"> Se essas premissas e estimativas não forem precisas, pode haver a necessidade de revisão das provisões para benefícios de aposentadoria, que poderiam afetar de maneira significativa os resultados da Companhia. (Nota Explicativa 32).</w:t>
      </w:r>
    </w:p>
    <w:p w14:paraId="3AFA278C" w14:textId="5499D3F6" w:rsidR="000E23DE" w:rsidRPr="000E23DE" w:rsidRDefault="000E23DE" w:rsidP="000E23DE">
      <w:pPr>
        <w:spacing w:after="0"/>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2.4. </w:t>
      </w:r>
      <w:r w:rsidRPr="000E23DE">
        <w:rPr>
          <w:rFonts w:ascii="Calibri" w:eastAsia="Times New Roman" w:hAnsi="Calibri" w:cs="Calibri"/>
          <w:b/>
          <w:bCs/>
          <w:iCs/>
          <w:color w:val="002060"/>
          <w:kern w:val="0"/>
          <w14:ligatures w14:val="none"/>
        </w:rPr>
        <w:t xml:space="preserve">Normas e interpretação novas e revisadas </w:t>
      </w:r>
    </w:p>
    <w:p w14:paraId="4804271D" w14:textId="77777777" w:rsidR="000E23DE" w:rsidRDefault="000E23DE" w:rsidP="000E23DE">
      <w:pPr>
        <w:spacing w:after="0"/>
        <w:jc w:val="both"/>
        <w:rPr>
          <w:rFonts w:ascii="Calibri" w:eastAsia="Times New Roman" w:hAnsi="Calibri" w:cs="Calibri"/>
          <w:iCs/>
          <w:color w:val="002060"/>
          <w:kern w:val="0"/>
          <w14:ligatures w14:val="none"/>
        </w:rPr>
      </w:pPr>
      <w:r w:rsidRPr="000E23DE">
        <w:rPr>
          <w:rFonts w:ascii="Calibri" w:eastAsia="Times New Roman" w:hAnsi="Calibri" w:cs="Calibri"/>
          <w:iCs/>
          <w:color w:val="002060"/>
          <w:kern w:val="0"/>
          <w14:ligatures w14:val="none"/>
        </w:rPr>
        <w:t xml:space="preserve">As seguintes novas normas/alterações foram emitidas pelo Comitê de Pronunciamentos Contábeis (CPC) e pelo </w:t>
      </w:r>
      <w:proofErr w:type="spellStart"/>
      <w:r w:rsidRPr="000E23DE">
        <w:rPr>
          <w:rFonts w:ascii="Calibri" w:eastAsia="Times New Roman" w:hAnsi="Calibri" w:cs="Calibri"/>
          <w:iCs/>
          <w:color w:val="002060"/>
          <w:kern w:val="0"/>
          <w14:ligatures w14:val="none"/>
        </w:rPr>
        <w:t>International</w:t>
      </w:r>
      <w:proofErr w:type="spellEnd"/>
      <w:r w:rsidRPr="000E23DE">
        <w:rPr>
          <w:rFonts w:ascii="Calibri" w:eastAsia="Times New Roman" w:hAnsi="Calibri" w:cs="Calibri"/>
          <w:iCs/>
          <w:color w:val="002060"/>
          <w:kern w:val="0"/>
          <w14:ligatures w14:val="none"/>
        </w:rPr>
        <w:t xml:space="preserve"> </w:t>
      </w:r>
      <w:proofErr w:type="spellStart"/>
      <w:r w:rsidRPr="000E23DE">
        <w:rPr>
          <w:rFonts w:ascii="Calibri" w:eastAsia="Times New Roman" w:hAnsi="Calibri" w:cs="Calibri"/>
          <w:iCs/>
          <w:color w:val="002060"/>
          <w:kern w:val="0"/>
          <w14:ligatures w14:val="none"/>
        </w:rPr>
        <w:t>Accounting</w:t>
      </w:r>
      <w:proofErr w:type="spellEnd"/>
      <w:r w:rsidRPr="000E23DE">
        <w:rPr>
          <w:rFonts w:ascii="Calibri" w:eastAsia="Times New Roman" w:hAnsi="Calibri" w:cs="Calibri"/>
          <w:iCs/>
          <w:color w:val="002060"/>
          <w:kern w:val="0"/>
          <w14:ligatures w14:val="none"/>
        </w:rPr>
        <w:t xml:space="preserve"> Standards Board (IASB), e estão em vigor para o exercício findo em 31 de dezembro de 2023, e podem de alguma forma afetar a Companhia.</w:t>
      </w:r>
    </w:p>
    <w:p w14:paraId="206F4486" w14:textId="2F4BEC8B" w:rsidR="000E23DE" w:rsidRPr="000E23DE" w:rsidRDefault="000E23DE" w:rsidP="000E23DE">
      <w:pPr>
        <w:spacing w:after="0"/>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2.4.1. </w:t>
      </w:r>
      <w:r w:rsidRPr="000E23DE">
        <w:rPr>
          <w:rFonts w:ascii="Calibri" w:eastAsia="Times New Roman" w:hAnsi="Calibri" w:cs="Calibri"/>
          <w:b/>
          <w:bCs/>
          <w:iCs/>
          <w:color w:val="002060"/>
          <w:kern w:val="0"/>
          <w14:ligatures w14:val="none"/>
        </w:rPr>
        <w:t>IFRS 17 – Contrato de Seguro</w:t>
      </w:r>
    </w:p>
    <w:p w14:paraId="30F325E3" w14:textId="77777777" w:rsidR="000E23DE" w:rsidRPr="000E23DE" w:rsidRDefault="000E23DE" w:rsidP="000E23DE">
      <w:pPr>
        <w:spacing w:after="0"/>
        <w:jc w:val="both"/>
        <w:rPr>
          <w:rFonts w:ascii="Calibri" w:eastAsia="Times New Roman" w:hAnsi="Calibri" w:cs="Calibri"/>
          <w:iCs/>
          <w:color w:val="002060"/>
          <w:kern w:val="0"/>
          <w14:ligatures w14:val="none"/>
        </w:rPr>
      </w:pPr>
      <w:r w:rsidRPr="000E23DE">
        <w:rPr>
          <w:rFonts w:ascii="Calibri" w:eastAsia="Times New Roman" w:hAnsi="Calibri" w:cs="Calibri"/>
          <w:iCs/>
          <w:color w:val="002060"/>
          <w:kern w:val="0"/>
          <w14:ligatures w14:val="none"/>
        </w:rPr>
        <w:t>O IFRS 17 (equivalente ao CPC 50 Contratos de Seguro) é uma nova norma de contabilidade com alcance para contratos de seguro, abrangendo o reconhecimento e mensuração, apresentação e divulgação. O IFRS 17 (CPC 50) substitui o IFRS 4 - Contratos de Seguro (equivalente ao CPC 11). O IFRS 17 (CPC 50) se aplica a todos os tipos de contratos de seguro (como de vida, ramos elementares, seguro direto e resseguro), independentemente do tipo de entidades que os emitem, bem como a certas garantias e instrumentos financeiros com características de participação discricionária; algumas exceções de escopo se aplicarão. O objetivo geral do IFRS 17 (CPC 50) é fornecer um modelo de contabilidade abrangente para contratos de seguro que seja mais útil e consistente para seguradoras, cobrindo todos os aspectos contábeis relevantes. O IFRS 17 (CPC 50) é baseado em um modelo geral, complementado por:</w:t>
      </w:r>
    </w:p>
    <w:p w14:paraId="7B8E7D8A" w14:textId="77777777" w:rsidR="000E23DE" w:rsidRPr="000E23DE" w:rsidRDefault="000E23DE" w:rsidP="000E23DE">
      <w:pPr>
        <w:spacing w:after="0"/>
        <w:jc w:val="both"/>
        <w:rPr>
          <w:rFonts w:ascii="Calibri" w:eastAsia="Times New Roman" w:hAnsi="Calibri" w:cs="Calibri"/>
          <w:iCs/>
          <w:color w:val="002060"/>
          <w:kern w:val="0"/>
          <w14:ligatures w14:val="none"/>
        </w:rPr>
      </w:pPr>
      <w:r w:rsidRPr="000E23DE">
        <w:rPr>
          <w:rFonts w:ascii="Calibri" w:eastAsia="Times New Roman" w:hAnsi="Calibri" w:cs="Calibri"/>
          <w:iCs/>
          <w:color w:val="002060"/>
          <w:kern w:val="0"/>
          <w14:ligatures w14:val="none"/>
        </w:rPr>
        <w:t>i) uma adaptação específica para contratos com características de participação direta (a abordagem de taxa variável); e</w:t>
      </w:r>
    </w:p>
    <w:p w14:paraId="6EC60AD0" w14:textId="77777777" w:rsidR="000E23DE" w:rsidRPr="000E23DE" w:rsidRDefault="000E23DE" w:rsidP="000E23DE">
      <w:pPr>
        <w:spacing w:after="0"/>
        <w:jc w:val="both"/>
        <w:rPr>
          <w:rFonts w:ascii="Calibri" w:eastAsia="Times New Roman" w:hAnsi="Calibri" w:cs="Calibri"/>
          <w:iCs/>
          <w:color w:val="002060"/>
          <w:kern w:val="0"/>
          <w14:ligatures w14:val="none"/>
        </w:rPr>
      </w:pPr>
      <w:proofErr w:type="spellStart"/>
      <w:r w:rsidRPr="000E23DE">
        <w:rPr>
          <w:rFonts w:ascii="Calibri" w:eastAsia="Times New Roman" w:hAnsi="Calibri" w:cs="Calibri"/>
          <w:iCs/>
          <w:color w:val="002060"/>
          <w:kern w:val="0"/>
          <w14:ligatures w14:val="none"/>
        </w:rPr>
        <w:t>ii</w:t>
      </w:r>
      <w:proofErr w:type="spellEnd"/>
      <w:r w:rsidRPr="000E23DE">
        <w:rPr>
          <w:rFonts w:ascii="Calibri" w:eastAsia="Times New Roman" w:hAnsi="Calibri" w:cs="Calibri"/>
          <w:iCs/>
          <w:color w:val="002060"/>
          <w:kern w:val="0"/>
          <w14:ligatures w14:val="none"/>
        </w:rPr>
        <w:t>) uma abordagem simplificada (a abordagem de alocação de prêmios) principalmente para contratos de curta duração.</w:t>
      </w:r>
    </w:p>
    <w:p w14:paraId="2CBCD26F" w14:textId="77777777" w:rsidR="000E23DE" w:rsidRPr="000E23DE" w:rsidRDefault="000E23DE" w:rsidP="000E23DE">
      <w:pPr>
        <w:spacing w:after="0"/>
        <w:jc w:val="both"/>
        <w:rPr>
          <w:rFonts w:ascii="Calibri" w:eastAsia="Times New Roman" w:hAnsi="Calibri" w:cs="Calibri"/>
          <w:iCs/>
          <w:color w:val="002060"/>
          <w:kern w:val="0"/>
          <w14:ligatures w14:val="none"/>
        </w:rPr>
      </w:pPr>
      <w:r w:rsidRPr="000E23DE">
        <w:rPr>
          <w:rFonts w:ascii="Calibri" w:eastAsia="Times New Roman" w:hAnsi="Calibri" w:cs="Calibri"/>
          <w:iCs/>
          <w:color w:val="002060"/>
          <w:kern w:val="0"/>
          <w14:ligatures w14:val="none"/>
        </w:rPr>
        <w:t xml:space="preserve">A nova norma não teve impacto nas demonstrações contábeis da Companhia.    </w:t>
      </w:r>
    </w:p>
    <w:p w14:paraId="77E7441B" w14:textId="246647BE" w:rsidR="000E23DE" w:rsidRPr="000E23DE" w:rsidRDefault="000E23DE" w:rsidP="000E23DE">
      <w:pPr>
        <w:spacing w:after="0"/>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2.4.2. </w:t>
      </w:r>
      <w:r w:rsidRPr="000E23DE">
        <w:rPr>
          <w:rFonts w:ascii="Calibri" w:eastAsia="Times New Roman" w:hAnsi="Calibri" w:cs="Calibri"/>
          <w:b/>
          <w:bCs/>
          <w:iCs/>
          <w:color w:val="002060"/>
          <w:kern w:val="0"/>
          <w14:ligatures w14:val="none"/>
        </w:rPr>
        <w:t xml:space="preserve">Definição de Estimativas Contábeis - Alterações ao IAS 8 </w:t>
      </w:r>
    </w:p>
    <w:p w14:paraId="1392FE80" w14:textId="77777777" w:rsidR="000E23DE" w:rsidRPr="000E23DE" w:rsidRDefault="000E23DE" w:rsidP="000E23DE">
      <w:pPr>
        <w:spacing w:after="0"/>
        <w:jc w:val="both"/>
        <w:rPr>
          <w:rFonts w:ascii="Calibri" w:eastAsia="Times New Roman" w:hAnsi="Calibri" w:cs="Calibri"/>
          <w:iCs/>
          <w:color w:val="002060"/>
          <w:kern w:val="0"/>
          <w14:ligatures w14:val="none"/>
        </w:rPr>
      </w:pPr>
      <w:r w:rsidRPr="000E23DE">
        <w:rPr>
          <w:rFonts w:ascii="Calibri" w:eastAsia="Times New Roman" w:hAnsi="Calibri" w:cs="Calibri"/>
          <w:iCs/>
          <w:color w:val="002060"/>
          <w:kern w:val="0"/>
          <w14:ligatures w14:val="none"/>
        </w:rPr>
        <w:t>As alterações ao IAS 8 (equivalente ao CPC 23 - políticas contábeis, mudança de estimativa e retificação de erro) esclarecem a distinção entre mudanças em estimativas contábeis, mudanças em políticas contábeis e correção de erros. Elas também esclarecem como as entidades utilizam técnicas de mensuração e inputs para desenvolver estimativas contábeis.</w:t>
      </w:r>
    </w:p>
    <w:p w14:paraId="1938DB2E" w14:textId="02DB03F1" w:rsidR="000E23DE" w:rsidRPr="000E23DE" w:rsidRDefault="000E23DE" w:rsidP="000E23DE">
      <w:pPr>
        <w:spacing w:after="0"/>
        <w:jc w:val="both"/>
        <w:rPr>
          <w:rFonts w:ascii="Calibri" w:eastAsia="Times New Roman" w:hAnsi="Calibri" w:cs="Calibri"/>
          <w:iCs/>
          <w:color w:val="002060"/>
          <w:kern w:val="0"/>
          <w14:ligatures w14:val="none"/>
        </w:rPr>
      </w:pPr>
      <w:r w:rsidRPr="000E23DE">
        <w:rPr>
          <w:rFonts w:ascii="Calibri" w:eastAsia="Times New Roman" w:hAnsi="Calibri" w:cs="Calibri"/>
          <w:iCs/>
          <w:color w:val="002060"/>
          <w:kern w:val="0"/>
          <w14:ligatures w14:val="none"/>
        </w:rPr>
        <w:t xml:space="preserve"> A Companhia avaliou que as alterações na norma não tiveram impacto relevante nas demonstrações contábeis da Companhia.   </w:t>
      </w:r>
    </w:p>
    <w:p w14:paraId="35C5FBA3" w14:textId="239AF99A" w:rsidR="000E23DE" w:rsidRPr="000E23DE" w:rsidRDefault="000E23DE" w:rsidP="000E23DE">
      <w:pPr>
        <w:spacing w:after="0"/>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2.4.3. </w:t>
      </w:r>
      <w:r w:rsidRPr="000E23DE">
        <w:rPr>
          <w:rFonts w:ascii="Calibri" w:eastAsia="Times New Roman" w:hAnsi="Calibri" w:cs="Calibri"/>
          <w:b/>
          <w:bCs/>
          <w:iCs/>
          <w:color w:val="002060"/>
          <w:kern w:val="0"/>
          <w14:ligatures w14:val="none"/>
        </w:rPr>
        <w:t xml:space="preserve">Divulgação de Políticas Contábeis - Alterações ao IAS 1 e IFRS </w:t>
      </w:r>
      <w:proofErr w:type="spellStart"/>
      <w:r w:rsidRPr="000E23DE">
        <w:rPr>
          <w:rFonts w:ascii="Calibri" w:eastAsia="Times New Roman" w:hAnsi="Calibri" w:cs="Calibri"/>
          <w:b/>
          <w:bCs/>
          <w:iCs/>
          <w:color w:val="002060"/>
          <w:kern w:val="0"/>
          <w14:ligatures w14:val="none"/>
        </w:rPr>
        <w:t>Practice</w:t>
      </w:r>
      <w:proofErr w:type="spellEnd"/>
      <w:r w:rsidRPr="000E23DE">
        <w:rPr>
          <w:rFonts w:ascii="Calibri" w:eastAsia="Times New Roman" w:hAnsi="Calibri" w:cs="Calibri"/>
          <w:b/>
          <w:bCs/>
          <w:iCs/>
          <w:color w:val="002060"/>
          <w:kern w:val="0"/>
          <w14:ligatures w14:val="none"/>
        </w:rPr>
        <w:t xml:space="preserve"> </w:t>
      </w:r>
      <w:proofErr w:type="spellStart"/>
      <w:r w:rsidRPr="000E23DE">
        <w:rPr>
          <w:rFonts w:ascii="Calibri" w:eastAsia="Times New Roman" w:hAnsi="Calibri" w:cs="Calibri"/>
          <w:b/>
          <w:bCs/>
          <w:iCs/>
          <w:color w:val="002060"/>
          <w:kern w:val="0"/>
          <w14:ligatures w14:val="none"/>
        </w:rPr>
        <w:t>Statement</w:t>
      </w:r>
      <w:proofErr w:type="spellEnd"/>
      <w:r w:rsidRPr="000E23DE">
        <w:rPr>
          <w:rFonts w:ascii="Calibri" w:eastAsia="Times New Roman" w:hAnsi="Calibri" w:cs="Calibri"/>
          <w:b/>
          <w:bCs/>
          <w:iCs/>
          <w:color w:val="002060"/>
          <w:kern w:val="0"/>
          <w14:ligatures w14:val="none"/>
        </w:rPr>
        <w:t xml:space="preserve"> 2  </w:t>
      </w:r>
    </w:p>
    <w:p w14:paraId="24F3AAA5" w14:textId="77777777" w:rsidR="000E23DE" w:rsidRPr="000E23DE" w:rsidRDefault="000E23DE" w:rsidP="000E23DE">
      <w:pPr>
        <w:spacing w:after="0"/>
        <w:jc w:val="both"/>
        <w:rPr>
          <w:rFonts w:ascii="Calibri" w:eastAsia="Times New Roman" w:hAnsi="Calibri" w:cs="Calibri"/>
          <w:iCs/>
          <w:color w:val="002060"/>
          <w:kern w:val="0"/>
          <w14:ligatures w14:val="none"/>
        </w:rPr>
      </w:pPr>
      <w:r w:rsidRPr="000E23DE">
        <w:rPr>
          <w:rFonts w:ascii="Calibri" w:eastAsia="Times New Roman" w:hAnsi="Calibri" w:cs="Calibri"/>
          <w:iCs/>
          <w:color w:val="002060"/>
          <w:kern w:val="0"/>
          <w14:ligatures w14:val="none"/>
        </w:rPr>
        <w:t xml:space="preserve">As alterações ao IAS 1 (equivalente ao CPC 26 (R1) – Apresentação das demonstrações contábeis) e o IFRS </w:t>
      </w:r>
      <w:proofErr w:type="spellStart"/>
      <w:r w:rsidRPr="000E23DE">
        <w:rPr>
          <w:rFonts w:ascii="Calibri" w:eastAsia="Times New Roman" w:hAnsi="Calibri" w:cs="Calibri"/>
          <w:iCs/>
          <w:color w:val="002060"/>
          <w:kern w:val="0"/>
          <w14:ligatures w14:val="none"/>
        </w:rPr>
        <w:t>Practice</w:t>
      </w:r>
      <w:proofErr w:type="spellEnd"/>
      <w:r w:rsidRPr="000E23DE">
        <w:rPr>
          <w:rFonts w:ascii="Calibri" w:eastAsia="Times New Roman" w:hAnsi="Calibri" w:cs="Calibri"/>
          <w:iCs/>
          <w:color w:val="002060"/>
          <w:kern w:val="0"/>
          <w14:ligatures w14:val="none"/>
        </w:rPr>
        <w:t xml:space="preserve"> </w:t>
      </w:r>
      <w:proofErr w:type="spellStart"/>
      <w:r w:rsidRPr="000E23DE">
        <w:rPr>
          <w:rFonts w:ascii="Calibri" w:eastAsia="Times New Roman" w:hAnsi="Calibri" w:cs="Calibri"/>
          <w:iCs/>
          <w:color w:val="002060"/>
          <w:kern w:val="0"/>
          <w14:ligatures w14:val="none"/>
        </w:rPr>
        <w:t>Statement</w:t>
      </w:r>
      <w:proofErr w:type="spellEnd"/>
      <w:r w:rsidRPr="000E23DE">
        <w:rPr>
          <w:rFonts w:ascii="Calibri" w:eastAsia="Times New Roman" w:hAnsi="Calibri" w:cs="Calibri"/>
          <w:iCs/>
          <w:color w:val="002060"/>
          <w:kern w:val="0"/>
          <w14:ligatures w14:val="none"/>
        </w:rPr>
        <w:t xml:space="preserve"> 2 fornecem orientação e exemplos para ajudar as entidades a </w:t>
      </w:r>
      <w:proofErr w:type="gramStart"/>
      <w:r w:rsidRPr="000E23DE">
        <w:rPr>
          <w:rFonts w:ascii="Calibri" w:eastAsia="Times New Roman" w:hAnsi="Calibri" w:cs="Calibri"/>
          <w:iCs/>
          <w:color w:val="002060"/>
          <w:kern w:val="0"/>
          <w14:ligatures w14:val="none"/>
        </w:rPr>
        <w:t>aplicar</w:t>
      </w:r>
      <w:proofErr w:type="gramEnd"/>
      <w:r w:rsidRPr="000E23DE">
        <w:rPr>
          <w:rFonts w:ascii="Calibri" w:eastAsia="Times New Roman" w:hAnsi="Calibri" w:cs="Calibri"/>
          <w:iCs/>
          <w:color w:val="002060"/>
          <w:kern w:val="0"/>
          <w14:ligatures w14:val="none"/>
        </w:rPr>
        <w:t xml:space="preserve"> julgamentos de materialidade às divulgações de políticas contábeis. As alterações visam ajudar as entidades a </w:t>
      </w:r>
      <w:proofErr w:type="gramStart"/>
      <w:r w:rsidRPr="000E23DE">
        <w:rPr>
          <w:rFonts w:ascii="Calibri" w:eastAsia="Times New Roman" w:hAnsi="Calibri" w:cs="Calibri"/>
          <w:iCs/>
          <w:color w:val="002060"/>
          <w:kern w:val="0"/>
          <w14:ligatures w14:val="none"/>
        </w:rPr>
        <w:t>fornecer</w:t>
      </w:r>
      <w:proofErr w:type="gramEnd"/>
      <w:r w:rsidRPr="000E23DE">
        <w:rPr>
          <w:rFonts w:ascii="Calibri" w:eastAsia="Times New Roman" w:hAnsi="Calibri" w:cs="Calibri"/>
          <w:iCs/>
          <w:color w:val="002060"/>
          <w:kern w:val="0"/>
          <w14:ligatures w14:val="none"/>
        </w:rPr>
        <w:t xml:space="preserve"> divulgações de políticas contábeis mais úteis, substituindo o requisito para as entidades divulgarem suas políticas contábeis “significativas” por um requisito para divulgar suas políticas contábeis “materiais” e adicionando orientação sobre como as entidades aplicam o conceito de materialidade ao tomar decisões sobre divulgações de políticas contábeis.  </w:t>
      </w:r>
    </w:p>
    <w:p w14:paraId="447964C0" w14:textId="77777777" w:rsidR="000E23DE" w:rsidRDefault="000E23DE" w:rsidP="000E23DE">
      <w:pPr>
        <w:spacing w:after="0"/>
        <w:jc w:val="both"/>
        <w:rPr>
          <w:rFonts w:ascii="Calibri" w:eastAsia="Times New Roman" w:hAnsi="Calibri" w:cs="Calibri"/>
          <w:iCs/>
          <w:color w:val="002060"/>
          <w:kern w:val="0"/>
          <w14:ligatures w14:val="none"/>
        </w:rPr>
      </w:pPr>
      <w:r w:rsidRPr="000E23DE">
        <w:rPr>
          <w:rFonts w:ascii="Calibri" w:eastAsia="Times New Roman" w:hAnsi="Calibri" w:cs="Calibri"/>
          <w:iCs/>
          <w:color w:val="002060"/>
          <w:kern w:val="0"/>
          <w14:ligatures w14:val="none"/>
        </w:rPr>
        <w:t xml:space="preserve">As alterações não tiveram impacto nas divulgações de políticas contábeis da Companhia. </w:t>
      </w:r>
    </w:p>
    <w:p w14:paraId="454DE926" w14:textId="616BCEC3" w:rsidR="00CB7310" w:rsidRPr="00CB7310" w:rsidRDefault="00CB7310" w:rsidP="00CB7310">
      <w:pPr>
        <w:spacing w:after="0"/>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2.4.4. </w:t>
      </w:r>
      <w:r w:rsidRPr="00CB7310">
        <w:rPr>
          <w:rFonts w:ascii="Calibri" w:eastAsia="Times New Roman" w:hAnsi="Calibri" w:cs="Calibri"/>
          <w:b/>
          <w:bCs/>
          <w:iCs/>
          <w:color w:val="002060"/>
          <w:kern w:val="0"/>
          <w14:ligatures w14:val="none"/>
        </w:rPr>
        <w:t xml:space="preserve">Imposto Diferido relacionado a Ativos e Passivos originados de uma Simples Transação - Alterações ao IAS 12  </w:t>
      </w:r>
    </w:p>
    <w:p w14:paraId="2E350178" w14:textId="77777777" w:rsidR="00CB7310" w:rsidRDefault="00CB7310" w:rsidP="00CB7310">
      <w:pPr>
        <w:spacing w:after="0"/>
        <w:jc w:val="both"/>
        <w:rPr>
          <w:rFonts w:ascii="Calibri" w:eastAsia="Times New Roman" w:hAnsi="Calibri" w:cs="Calibri"/>
          <w:iCs/>
          <w:color w:val="002060"/>
          <w:kern w:val="0"/>
          <w14:ligatures w14:val="none"/>
        </w:rPr>
      </w:pPr>
      <w:r w:rsidRPr="00CB7310">
        <w:rPr>
          <w:rFonts w:ascii="Calibri" w:eastAsia="Times New Roman" w:hAnsi="Calibri" w:cs="Calibri"/>
          <w:iCs/>
          <w:color w:val="002060"/>
          <w:kern w:val="0"/>
          <w14:ligatures w14:val="none"/>
        </w:rPr>
        <w:t xml:space="preserve">As alterações ao IAS 12 Income </w:t>
      </w:r>
      <w:proofErr w:type="spellStart"/>
      <w:r w:rsidRPr="00CB7310">
        <w:rPr>
          <w:rFonts w:ascii="Calibri" w:eastAsia="Times New Roman" w:hAnsi="Calibri" w:cs="Calibri"/>
          <w:iCs/>
          <w:color w:val="002060"/>
          <w:kern w:val="0"/>
          <w14:ligatures w14:val="none"/>
        </w:rPr>
        <w:t>Tax</w:t>
      </w:r>
      <w:proofErr w:type="spellEnd"/>
      <w:r w:rsidRPr="00CB7310">
        <w:rPr>
          <w:rFonts w:ascii="Calibri" w:eastAsia="Times New Roman" w:hAnsi="Calibri" w:cs="Calibri"/>
          <w:iCs/>
          <w:color w:val="002060"/>
          <w:kern w:val="0"/>
          <w14:ligatures w14:val="none"/>
        </w:rPr>
        <w:t xml:space="preserve"> (equivalente ao CPC 32 – Tributos sobre o lucro) estreitam o escopo da exceção de reconhecimento inicial, de modo que ela não se aplique mais a transações que gerem diferenças temporárias tributáveis e dedutíveis iguais, como arrendamentos e passivos de desativação.</w:t>
      </w:r>
    </w:p>
    <w:p w14:paraId="7DB1EB22" w14:textId="01B8EBA6" w:rsidR="00CB7310" w:rsidRDefault="00CB7310" w:rsidP="00CB7310">
      <w:pPr>
        <w:spacing w:after="0"/>
        <w:jc w:val="both"/>
        <w:rPr>
          <w:rFonts w:ascii="Calibri" w:eastAsia="Times New Roman" w:hAnsi="Calibri" w:cs="Calibri"/>
          <w:iCs/>
          <w:color w:val="002060"/>
          <w:kern w:val="0"/>
          <w14:ligatures w14:val="none"/>
        </w:rPr>
      </w:pPr>
      <w:r w:rsidRPr="00CB7310">
        <w:rPr>
          <w:rFonts w:ascii="Calibri" w:eastAsia="Times New Roman" w:hAnsi="Calibri" w:cs="Calibri"/>
          <w:iCs/>
          <w:color w:val="002060"/>
          <w:kern w:val="0"/>
          <w14:ligatures w14:val="none"/>
        </w:rPr>
        <w:lastRenderedPageBreak/>
        <w:t>As alterações não tiveram impacto nas demonstrações contábeis da Companhia.</w:t>
      </w:r>
    </w:p>
    <w:p w14:paraId="79C9C9B1" w14:textId="377B8130" w:rsidR="00CB7310" w:rsidRPr="00CB7310" w:rsidRDefault="00CB7310" w:rsidP="00CB7310">
      <w:pPr>
        <w:spacing w:after="0"/>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2.4.5. </w:t>
      </w:r>
      <w:r w:rsidRPr="00CB7310">
        <w:rPr>
          <w:rFonts w:ascii="Calibri" w:eastAsia="Times New Roman" w:hAnsi="Calibri" w:cs="Calibri"/>
          <w:b/>
          <w:bCs/>
          <w:iCs/>
          <w:color w:val="002060"/>
          <w:kern w:val="0"/>
          <w14:ligatures w14:val="none"/>
        </w:rPr>
        <w:t xml:space="preserve">Reforma Tributária Internacional - Regras do Modelo do Pilar Dois - Alterações ao IAS 12 </w:t>
      </w:r>
    </w:p>
    <w:p w14:paraId="642E3CE3" w14:textId="77777777" w:rsidR="00CB7310" w:rsidRPr="00CB7310" w:rsidRDefault="00CB7310" w:rsidP="00CB7310">
      <w:pPr>
        <w:spacing w:after="0"/>
        <w:jc w:val="both"/>
        <w:rPr>
          <w:rFonts w:ascii="Calibri" w:eastAsia="Times New Roman" w:hAnsi="Calibri" w:cs="Calibri"/>
          <w:iCs/>
          <w:color w:val="002060"/>
          <w:kern w:val="0"/>
          <w14:ligatures w14:val="none"/>
        </w:rPr>
      </w:pPr>
      <w:r w:rsidRPr="00CB7310">
        <w:rPr>
          <w:rFonts w:ascii="Calibri" w:eastAsia="Times New Roman" w:hAnsi="Calibri" w:cs="Calibri"/>
          <w:iCs/>
          <w:color w:val="002060"/>
          <w:kern w:val="0"/>
          <w14:ligatures w14:val="none"/>
        </w:rPr>
        <w:t xml:space="preserve">As alterações ao IAS 12 (equivalente ao CPC 32 – Tributos sobre o lucro) foram introduzidas em resposta às regras do Pilar Dois da OCDE sobre BEPS e incluem: </w:t>
      </w:r>
    </w:p>
    <w:p w14:paraId="0194C284" w14:textId="77777777" w:rsidR="00CB7310" w:rsidRPr="00CB7310" w:rsidRDefault="00CB7310" w:rsidP="00CB7310">
      <w:pPr>
        <w:spacing w:after="0"/>
        <w:jc w:val="both"/>
        <w:rPr>
          <w:rFonts w:ascii="Calibri" w:eastAsia="Times New Roman" w:hAnsi="Calibri" w:cs="Calibri"/>
          <w:iCs/>
          <w:color w:val="002060"/>
          <w:kern w:val="0"/>
          <w14:ligatures w14:val="none"/>
        </w:rPr>
      </w:pPr>
      <w:r w:rsidRPr="00CB7310">
        <w:rPr>
          <w:rFonts w:ascii="Calibri" w:eastAsia="Times New Roman" w:hAnsi="Calibri" w:cs="Calibri"/>
          <w:iCs/>
          <w:color w:val="002060"/>
          <w:kern w:val="0"/>
          <w14:ligatures w14:val="none"/>
        </w:rPr>
        <w:t xml:space="preserve">i) uma exceção temporária obrigatória ao reconhecimento e divulgação de impostos diferidos decorrentes da implementação jurisdicional das regras do modelo do Pilar Dois; e </w:t>
      </w:r>
    </w:p>
    <w:p w14:paraId="1826A3A5" w14:textId="77777777" w:rsidR="00CB7310" w:rsidRPr="00CB7310" w:rsidRDefault="00CB7310" w:rsidP="00CB7310">
      <w:pPr>
        <w:spacing w:after="0"/>
        <w:jc w:val="both"/>
        <w:rPr>
          <w:rFonts w:ascii="Calibri" w:eastAsia="Times New Roman" w:hAnsi="Calibri" w:cs="Calibri"/>
          <w:iCs/>
          <w:color w:val="002060"/>
          <w:kern w:val="0"/>
          <w14:ligatures w14:val="none"/>
        </w:rPr>
      </w:pPr>
      <w:proofErr w:type="spellStart"/>
      <w:r w:rsidRPr="00CB7310">
        <w:rPr>
          <w:rFonts w:ascii="Calibri" w:eastAsia="Times New Roman" w:hAnsi="Calibri" w:cs="Calibri"/>
          <w:iCs/>
          <w:color w:val="002060"/>
          <w:kern w:val="0"/>
          <w14:ligatures w14:val="none"/>
        </w:rPr>
        <w:t>ii</w:t>
      </w:r>
      <w:proofErr w:type="spellEnd"/>
      <w:r w:rsidRPr="00CB7310">
        <w:rPr>
          <w:rFonts w:ascii="Calibri" w:eastAsia="Times New Roman" w:hAnsi="Calibri" w:cs="Calibri"/>
          <w:iCs/>
          <w:color w:val="002060"/>
          <w:kern w:val="0"/>
          <w14:ligatures w14:val="none"/>
        </w:rPr>
        <w:t xml:space="preserve">) requisitos de divulgação para entidades afetadas, a fim de ajudar os usuários das demonstrações contábeis a </w:t>
      </w:r>
      <w:proofErr w:type="gramStart"/>
      <w:r w:rsidRPr="00CB7310">
        <w:rPr>
          <w:rFonts w:ascii="Calibri" w:eastAsia="Times New Roman" w:hAnsi="Calibri" w:cs="Calibri"/>
          <w:iCs/>
          <w:color w:val="002060"/>
          <w:kern w:val="0"/>
          <w14:ligatures w14:val="none"/>
        </w:rPr>
        <w:t>compreender</w:t>
      </w:r>
      <w:proofErr w:type="gramEnd"/>
      <w:r w:rsidRPr="00CB7310">
        <w:rPr>
          <w:rFonts w:ascii="Calibri" w:eastAsia="Times New Roman" w:hAnsi="Calibri" w:cs="Calibri"/>
          <w:iCs/>
          <w:color w:val="002060"/>
          <w:kern w:val="0"/>
          <w14:ligatures w14:val="none"/>
        </w:rPr>
        <w:t xml:space="preserve"> melhor a exposição de uma entidade aos impostos sobre a renda do Pilar Dois decorrentes dessa legislação, especialmente antes da data efetiva. </w:t>
      </w:r>
    </w:p>
    <w:p w14:paraId="20766433" w14:textId="1817D014" w:rsidR="00CB7310" w:rsidRPr="00CB7310" w:rsidRDefault="00CB7310" w:rsidP="00CB7310">
      <w:pPr>
        <w:spacing w:after="0"/>
        <w:jc w:val="both"/>
        <w:rPr>
          <w:rFonts w:ascii="Calibri" w:eastAsia="Times New Roman" w:hAnsi="Calibri" w:cs="Calibri"/>
          <w:iCs/>
          <w:color w:val="002060"/>
          <w:kern w:val="0"/>
          <w14:ligatures w14:val="none"/>
        </w:rPr>
      </w:pPr>
      <w:r w:rsidRPr="00CB7310">
        <w:rPr>
          <w:rFonts w:ascii="Calibri" w:eastAsia="Times New Roman" w:hAnsi="Calibri" w:cs="Calibri"/>
          <w:iCs/>
          <w:color w:val="002060"/>
          <w:kern w:val="0"/>
          <w14:ligatures w14:val="none"/>
        </w:rPr>
        <w:t xml:space="preserve"> A exceção temporária obrigatória - cujo uso deve ser divulgado - entra em vigor imediatamente. Os demais requisitos de divulgação se aplicam aos períodos de relatório anuais que se iniciam em ou após 1º de janeiro de 2023, mas não para nenhum período intermediário que termine em ou antes de 31 de dezembro de 2023.  </w:t>
      </w:r>
    </w:p>
    <w:p w14:paraId="798E19E8" w14:textId="77777777" w:rsidR="00CB7310" w:rsidRDefault="00CB7310" w:rsidP="00CB7310">
      <w:pPr>
        <w:spacing w:after="0"/>
        <w:jc w:val="both"/>
        <w:rPr>
          <w:rFonts w:ascii="Calibri" w:eastAsia="Times New Roman" w:hAnsi="Calibri" w:cs="Calibri"/>
          <w:iCs/>
          <w:color w:val="002060"/>
          <w:kern w:val="0"/>
          <w14:ligatures w14:val="none"/>
        </w:rPr>
      </w:pPr>
      <w:r w:rsidRPr="00CB7310">
        <w:rPr>
          <w:rFonts w:ascii="Calibri" w:eastAsia="Times New Roman" w:hAnsi="Calibri" w:cs="Calibri"/>
          <w:iCs/>
          <w:color w:val="002060"/>
          <w:kern w:val="0"/>
          <w14:ligatures w14:val="none"/>
        </w:rPr>
        <w:t>As alterações não tiveram impacto nas demonstrações contábeis da Companha.</w:t>
      </w:r>
    </w:p>
    <w:p w14:paraId="56DD5F2E" w14:textId="5D950279" w:rsidR="00CB7310" w:rsidRPr="00CB7310" w:rsidRDefault="00CB7310" w:rsidP="00CB7310">
      <w:pPr>
        <w:spacing w:after="0"/>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2.5. </w:t>
      </w:r>
      <w:r w:rsidRPr="00CB7310">
        <w:rPr>
          <w:rFonts w:ascii="Calibri" w:eastAsia="Times New Roman" w:hAnsi="Calibri" w:cs="Calibri"/>
          <w:b/>
          <w:bCs/>
          <w:iCs/>
          <w:color w:val="002060"/>
          <w:kern w:val="0"/>
          <w14:ligatures w14:val="none"/>
        </w:rPr>
        <w:t xml:space="preserve">As seguintes novas normas foram emitidas pelo Comitê de Pronunciamentos Contábeis (CPC) e pelo </w:t>
      </w:r>
      <w:proofErr w:type="spellStart"/>
      <w:r w:rsidRPr="00CB7310">
        <w:rPr>
          <w:rFonts w:ascii="Calibri" w:eastAsia="Times New Roman" w:hAnsi="Calibri" w:cs="Calibri"/>
          <w:b/>
          <w:bCs/>
          <w:iCs/>
          <w:color w:val="002060"/>
          <w:kern w:val="0"/>
          <w14:ligatures w14:val="none"/>
        </w:rPr>
        <w:t>International</w:t>
      </w:r>
      <w:proofErr w:type="spellEnd"/>
      <w:r w:rsidRPr="00CB7310">
        <w:rPr>
          <w:rFonts w:ascii="Calibri" w:eastAsia="Times New Roman" w:hAnsi="Calibri" w:cs="Calibri"/>
          <w:b/>
          <w:bCs/>
          <w:iCs/>
          <w:color w:val="002060"/>
          <w:kern w:val="0"/>
          <w14:ligatures w14:val="none"/>
        </w:rPr>
        <w:t xml:space="preserve"> </w:t>
      </w:r>
      <w:proofErr w:type="spellStart"/>
      <w:r w:rsidRPr="00CB7310">
        <w:rPr>
          <w:rFonts w:ascii="Calibri" w:eastAsia="Times New Roman" w:hAnsi="Calibri" w:cs="Calibri"/>
          <w:b/>
          <w:bCs/>
          <w:iCs/>
          <w:color w:val="002060"/>
          <w:kern w:val="0"/>
          <w14:ligatures w14:val="none"/>
        </w:rPr>
        <w:t>Accounting</w:t>
      </w:r>
      <w:proofErr w:type="spellEnd"/>
      <w:r w:rsidRPr="00CB7310">
        <w:rPr>
          <w:rFonts w:ascii="Calibri" w:eastAsia="Times New Roman" w:hAnsi="Calibri" w:cs="Calibri"/>
          <w:b/>
          <w:bCs/>
          <w:iCs/>
          <w:color w:val="002060"/>
          <w:kern w:val="0"/>
          <w14:ligatures w14:val="none"/>
        </w:rPr>
        <w:t xml:space="preserve"> Standards Board (IASB), mas não estão em vigor para o exercício findo em 31 de dezembro de 2023.   </w:t>
      </w:r>
    </w:p>
    <w:p w14:paraId="6429A7BF" w14:textId="29357B33" w:rsidR="00CB7310" w:rsidRDefault="00CB7310" w:rsidP="00CB7310">
      <w:pPr>
        <w:spacing w:after="0"/>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2.5.1. </w:t>
      </w:r>
      <w:r w:rsidRPr="00CB7310">
        <w:rPr>
          <w:rFonts w:ascii="Calibri" w:eastAsia="Times New Roman" w:hAnsi="Calibri" w:cs="Calibri"/>
          <w:b/>
          <w:bCs/>
          <w:iCs/>
          <w:color w:val="002060"/>
          <w:kern w:val="0"/>
          <w14:ligatures w14:val="none"/>
        </w:rPr>
        <w:t xml:space="preserve">Alterações ao IFRS 16: Passivo de Locação em um </w:t>
      </w:r>
      <w:proofErr w:type="spellStart"/>
      <w:r w:rsidRPr="00CB7310">
        <w:rPr>
          <w:rFonts w:ascii="Calibri" w:eastAsia="Times New Roman" w:hAnsi="Calibri" w:cs="Calibri"/>
          <w:b/>
          <w:bCs/>
          <w:iCs/>
          <w:color w:val="002060"/>
          <w:kern w:val="0"/>
          <w14:ligatures w14:val="none"/>
        </w:rPr>
        <w:t>Sale</w:t>
      </w:r>
      <w:proofErr w:type="spellEnd"/>
      <w:r w:rsidRPr="00CB7310">
        <w:rPr>
          <w:rFonts w:ascii="Calibri" w:eastAsia="Times New Roman" w:hAnsi="Calibri" w:cs="Calibri"/>
          <w:b/>
          <w:bCs/>
          <w:iCs/>
          <w:color w:val="002060"/>
          <w:kern w:val="0"/>
          <w14:ligatures w14:val="none"/>
        </w:rPr>
        <w:t xml:space="preserve"> </w:t>
      </w:r>
      <w:proofErr w:type="spellStart"/>
      <w:r w:rsidRPr="00CB7310">
        <w:rPr>
          <w:rFonts w:ascii="Calibri" w:eastAsia="Times New Roman" w:hAnsi="Calibri" w:cs="Calibri"/>
          <w:b/>
          <w:bCs/>
          <w:iCs/>
          <w:color w:val="002060"/>
          <w:kern w:val="0"/>
          <w14:ligatures w14:val="none"/>
        </w:rPr>
        <w:t>and</w:t>
      </w:r>
      <w:proofErr w:type="spellEnd"/>
      <w:r w:rsidRPr="00CB7310">
        <w:rPr>
          <w:rFonts w:ascii="Calibri" w:eastAsia="Times New Roman" w:hAnsi="Calibri" w:cs="Calibri"/>
          <w:b/>
          <w:bCs/>
          <w:iCs/>
          <w:color w:val="002060"/>
          <w:kern w:val="0"/>
          <w14:ligatures w14:val="none"/>
        </w:rPr>
        <w:t xml:space="preserve"> </w:t>
      </w:r>
      <w:proofErr w:type="spellStart"/>
      <w:r w:rsidRPr="00CB7310">
        <w:rPr>
          <w:rFonts w:ascii="Calibri" w:eastAsia="Times New Roman" w:hAnsi="Calibri" w:cs="Calibri"/>
          <w:b/>
          <w:bCs/>
          <w:iCs/>
          <w:color w:val="002060"/>
          <w:kern w:val="0"/>
          <w14:ligatures w14:val="none"/>
        </w:rPr>
        <w:t>Leaseback</w:t>
      </w:r>
      <w:proofErr w:type="spellEnd"/>
      <w:r w:rsidRPr="00CB7310">
        <w:rPr>
          <w:rFonts w:ascii="Calibri" w:eastAsia="Times New Roman" w:hAnsi="Calibri" w:cs="Calibri"/>
          <w:b/>
          <w:bCs/>
          <w:iCs/>
          <w:color w:val="002060"/>
          <w:kern w:val="0"/>
          <w14:ligatures w14:val="none"/>
        </w:rPr>
        <w:t xml:space="preserve"> (Transação de venda e </w:t>
      </w:r>
      <w:proofErr w:type="spellStart"/>
      <w:r w:rsidRPr="00CB7310">
        <w:rPr>
          <w:rFonts w:ascii="Calibri" w:eastAsia="Times New Roman" w:hAnsi="Calibri" w:cs="Calibri"/>
          <w:b/>
          <w:bCs/>
          <w:iCs/>
          <w:color w:val="002060"/>
          <w:kern w:val="0"/>
          <w14:ligatures w14:val="none"/>
        </w:rPr>
        <w:t>retroarrendamento</w:t>
      </w:r>
      <w:proofErr w:type="spellEnd"/>
      <w:r w:rsidRPr="00CB7310">
        <w:rPr>
          <w:rFonts w:ascii="Calibri" w:eastAsia="Times New Roman" w:hAnsi="Calibri" w:cs="Calibri"/>
          <w:b/>
          <w:bCs/>
          <w:iCs/>
          <w:color w:val="002060"/>
          <w:kern w:val="0"/>
          <w14:ligatures w14:val="none"/>
        </w:rPr>
        <w:t xml:space="preserve">)  </w:t>
      </w:r>
    </w:p>
    <w:p w14:paraId="18511781" w14:textId="77777777" w:rsidR="00CB7310" w:rsidRPr="00CB7310" w:rsidRDefault="00CB7310" w:rsidP="00CB7310">
      <w:pPr>
        <w:spacing w:after="0"/>
        <w:jc w:val="both"/>
        <w:rPr>
          <w:rFonts w:ascii="Calibri" w:eastAsia="Times New Roman" w:hAnsi="Calibri" w:cs="Calibri"/>
          <w:iCs/>
          <w:color w:val="002060"/>
          <w:kern w:val="0"/>
          <w14:ligatures w14:val="none"/>
        </w:rPr>
      </w:pPr>
      <w:r w:rsidRPr="00CB7310">
        <w:rPr>
          <w:rFonts w:ascii="Calibri" w:eastAsia="Times New Roman" w:hAnsi="Calibri" w:cs="Calibri"/>
          <w:iCs/>
          <w:color w:val="002060"/>
          <w:kern w:val="0"/>
          <w14:ligatures w14:val="none"/>
        </w:rPr>
        <w:t xml:space="preserve">Em setembro de 2022, o IASB emitiu alterações ao IFRS 16 (equivalente ao CPC 06 – Arrendamentos) para especificar os requisitos que um vendedor-arrendatário utiliza na mensuração da responsabilidade de locação decorrente de uma transação de venda e arrendamento de volta, a fim de garantir que o vendedor-arrendatário não reconheça qualquer quantia do ganho ou perda que se relaciona com o direito de uso que ele mantém.  </w:t>
      </w:r>
    </w:p>
    <w:p w14:paraId="586A1D0F" w14:textId="77777777" w:rsidR="00CB7310" w:rsidRPr="00CB7310" w:rsidRDefault="00CB7310" w:rsidP="00CB7310">
      <w:pPr>
        <w:spacing w:after="0"/>
        <w:jc w:val="both"/>
        <w:rPr>
          <w:rFonts w:ascii="Calibri" w:eastAsia="Times New Roman" w:hAnsi="Calibri" w:cs="Calibri"/>
          <w:iCs/>
          <w:color w:val="002060"/>
          <w:kern w:val="0"/>
          <w14:ligatures w14:val="none"/>
        </w:rPr>
      </w:pPr>
      <w:r w:rsidRPr="00CB7310">
        <w:rPr>
          <w:rFonts w:ascii="Calibri" w:eastAsia="Times New Roman" w:hAnsi="Calibri" w:cs="Calibri"/>
          <w:iCs/>
          <w:color w:val="002060"/>
          <w:kern w:val="0"/>
          <w14:ligatures w14:val="none"/>
        </w:rPr>
        <w:t xml:space="preserve">As alterações vigoram para períodos de demonstrações contábeis anuais que se iniciam em ou após 1 de janeiro de 2024 e devem ser aplicadas retrospectivamente a transações </w:t>
      </w:r>
      <w:proofErr w:type="spellStart"/>
      <w:r w:rsidRPr="00CB7310">
        <w:rPr>
          <w:rFonts w:ascii="Calibri" w:eastAsia="Times New Roman" w:hAnsi="Calibri" w:cs="Calibri"/>
          <w:iCs/>
          <w:color w:val="002060"/>
          <w:kern w:val="0"/>
          <w14:ligatures w14:val="none"/>
        </w:rPr>
        <w:t>sale</w:t>
      </w:r>
      <w:proofErr w:type="spellEnd"/>
      <w:r w:rsidRPr="00CB7310">
        <w:rPr>
          <w:rFonts w:ascii="Calibri" w:eastAsia="Times New Roman" w:hAnsi="Calibri" w:cs="Calibri"/>
          <w:iCs/>
          <w:color w:val="002060"/>
          <w:kern w:val="0"/>
          <w14:ligatures w14:val="none"/>
        </w:rPr>
        <w:t xml:space="preserve"> </w:t>
      </w:r>
      <w:proofErr w:type="spellStart"/>
      <w:r w:rsidRPr="00CB7310">
        <w:rPr>
          <w:rFonts w:ascii="Calibri" w:eastAsia="Times New Roman" w:hAnsi="Calibri" w:cs="Calibri"/>
          <w:iCs/>
          <w:color w:val="002060"/>
          <w:kern w:val="0"/>
          <w14:ligatures w14:val="none"/>
        </w:rPr>
        <w:t>and</w:t>
      </w:r>
      <w:proofErr w:type="spellEnd"/>
      <w:r w:rsidRPr="00CB7310">
        <w:rPr>
          <w:rFonts w:ascii="Calibri" w:eastAsia="Times New Roman" w:hAnsi="Calibri" w:cs="Calibri"/>
          <w:iCs/>
          <w:color w:val="002060"/>
          <w:kern w:val="0"/>
          <w14:ligatures w14:val="none"/>
        </w:rPr>
        <w:t xml:space="preserve"> </w:t>
      </w:r>
      <w:proofErr w:type="spellStart"/>
      <w:r w:rsidRPr="00CB7310">
        <w:rPr>
          <w:rFonts w:ascii="Calibri" w:eastAsia="Times New Roman" w:hAnsi="Calibri" w:cs="Calibri"/>
          <w:iCs/>
          <w:color w:val="002060"/>
          <w:kern w:val="0"/>
          <w14:ligatures w14:val="none"/>
        </w:rPr>
        <w:t>leaseback</w:t>
      </w:r>
      <w:proofErr w:type="spellEnd"/>
      <w:r w:rsidRPr="00CB7310">
        <w:rPr>
          <w:rFonts w:ascii="Calibri" w:eastAsia="Times New Roman" w:hAnsi="Calibri" w:cs="Calibri"/>
          <w:iCs/>
          <w:color w:val="002060"/>
          <w:kern w:val="0"/>
          <w14:ligatures w14:val="none"/>
        </w:rPr>
        <w:t xml:space="preserve"> celebradas após a data de aplicação inicial do IFRS 16 (CPC 06). A aplicação antecipada é permitida e esse fato deve ser divulgado.  </w:t>
      </w:r>
    </w:p>
    <w:p w14:paraId="142335A0" w14:textId="77777777" w:rsidR="00CB7310" w:rsidRPr="00CB7310" w:rsidRDefault="00CB7310" w:rsidP="00CB7310">
      <w:pPr>
        <w:spacing w:after="0"/>
        <w:jc w:val="both"/>
        <w:rPr>
          <w:rFonts w:ascii="Calibri" w:eastAsia="Times New Roman" w:hAnsi="Calibri" w:cs="Calibri"/>
          <w:iCs/>
          <w:color w:val="002060"/>
          <w:kern w:val="0"/>
          <w14:ligatures w14:val="none"/>
        </w:rPr>
      </w:pPr>
      <w:r w:rsidRPr="00CB7310">
        <w:rPr>
          <w:rFonts w:ascii="Calibri" w:eastAsia="Times New Roman" w:hAnsi="Calibri" w:cs="Calibri"/>
          <w:iCs/>
          <w:color w:val="002060"/>
          <w:kern w:val="0"/>
          <w14:ligatures w14:val="none"/>
        </w:rPr>
        <w:t xml:space="preserve">A Companhia não espera que tenha um impacto significativo nas suas demonstrações contábeis.  </w:t>
      </w:r>
    </w:p>
    <w:p w14:paraId="3A0DBF90" w14:textId="161F93F2" w:rsidR="00CB7310" w:rsidRPr="00CB7310" w:rsidRDefault="00CB7310" w:rsidP="00CB7310">
      <w:pPr>
        <w:spacing w:after="0"/>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2.5.2. </w:t>
      </w:r>
      <w:r w:rsidRPr="00CB7310">
        <w:rPr>
          <w:rFonts w:ascii="Calibri" w:eastAsia="Times New Roman" w:hAnsi="Calibri" w:cs="Calibri"/>
          <w:b/>
          <w:bCs/>
          <w:iCs/>
          <w:color w:val="002060"/>
          <w:kern w:val="0"/>
          <w14:ligatures w14:val="none"/>
        </w:rPr>
        <w:t xml:space="preserve">Alterações ao IAS 1: Classificação de Passivos como Circulante ou Não-Circulante  </w:t>
      </w:r>
    </w:p>
    <w:p w14:paraId="4EDBF528" w14:textId="77777777" w:rsidR="00CB7310" w:rsidRPr="00CB7310" w:rsidRDefault="00CB7310" w:rsidP="00CB7310">
      <w:pPr>
        <w:spacing w:after="0"/>
        <w:jc w:val="both"/>
        <w:rPr>
          <w:rFonts w:ascii="Calibri" w:eastAsia="Times New Roman" w:hAnsi="Calibri" w:cs="Calibri"/>
          <w:iCs/>
          <w:color w:val="002060"/>
          <w:kern w:val="0"/>
          <w14:ligatures w14:val="none"/>
        </w:rPr>
      </w:pPr>
      <w:r w:rsidRPr="00CB7310">
        <w:rPr>
          <w:rFonts w:ascii="Calibri" w:eastAsia="Times New Roman" w:hAnsi="Calibri" w:cs="Calibri"/>
          <w:iCs/>
          <w:color w:val="002060"/>
          <w:kern w:val="0"/>
          <w14:ligatures w14:val="none"/>
        </w:rPr>
        <w:t>Em janeiro de 2020 e outubro de 2022, o IASB emitiu alterações aos parágrafos 69 a 76 do IAS 1 (equivalente ao CPC 26 (R1) – Apresentação das demonstrações contábeis) para especificar os requisitos de classificação de passivos como circulante ou não circulante. As alterações esclarecem:</w:t>
      </w:r>
    </w:p>
    <w:p w14:paraId="59FEDBFF" w14:textId="547B644F" w:rsidR="00CB7310" w:rsidRPr="00CB7310" w:rsidRDefault="00CB7310" w:rsidP="00CB7310">
      <w:pPr>
        <w:spacing w:after="0"/>
        <w:jc w:val="both"/>
        <w:rPr>
          <w:rFonts w:ascii="Calibri" w:eastAsia="Times New Roman" w:hAnsi="Calibri" w:cs="Calibri"/>
          <w:iCs/>
          <w:color w:val="002060"/>
          <w:kern w:val="0"/>
          <w14:ligatures w14:val="none"/>
        </w:rPr>
      </w:pPr>
      <w:r w:rsidRPr="00CB7310">
        <w:rPr>
          <w:rFonts w:ascii="Calibri" w:eastAsia="Times New Roman" w:hAnsi="Calibri" w:cs="Calibri"/>
          <w:iCs/>
          <w:color w:val="002060"/>
          <w:kern w:val="0"/>
          <w14:ligatures w14:val="none"/>
        </w:rPr>
        <w:t xml:space="preserve"> i) o que se entende por direito de adiar a liquidação;</w:t>
      </w:r>
    </w:p>
    <w:p w14:paraId="495B9FE5" w14:textId="1CC409C9" w:rsidR="00CB7310" w:rsidRPr="00CB7310" w:rsidRDefault="00CB7310" w:rsidP="00CB7310">
      <w:pPr>
        <w:spacing w:after="0"/>
        <w:jc w:val="both"/>
        <w:rPr>
          <w:rFonts w:ascii="Calibri" w:eastAsia="Times New Roman" w:hAnsi="Calibri" w:cs="Calibri"/>
          <w:iCs/>
          <w:color w:val="002060"/>
          <w:kern w:val="0"/>
          <w14:ligatures w14:val="none"/>
        </w:rPr>
      </w:pPr>
      <w:r w:rsidRPr="00CB7310">
        <w:rPr>
          <w:rFonts w:ascii="Calibri" w:eastAsia="Times New Roman" w:hAnsi="Calibri" w:cs="Calibri"/>
          <w:iCs/>
          <w:color w:val="002060"/>
          <w:kern w:val="0"/>
          <w14:ligatures w14:val="none"/>
        </w:rPr>
        <w:t xml:space="preserve"> </w:t>
      </w:r>
      <w:proofErr w:type="spellStart"/>
      <w:r w:rsidRPr="00CB7310">
        <w:rPr>
          <w:rFonts w:ascii="Calibri" w:eastAsia="Times New Roman" w:hAnsi="Calibri" w:cs="Calibri"/>
          <w:iCs/>
          <w:color w:val="002060"/>
          <w:kern w:val="0"/>
          <w14:ligatures w14:val="none"/>
        </w:rPr>
        <w:t>ii</w:t>
      </w:r>
      <w:proofErr w:type="spellEnd"/>
      <w:r w:rsidRPr="00CB7310">
        <w:rPr>
          <w:rFonts w:ascii="Calibri" w:eastAsia="Times New Roman" w:hAnsi="Calibri" w:cs="Calibri"/>
          <w:iCs/>
          <w:color w:val="002060"/>
          <w:kern w:val="0"/>
          <w14:ligatures w14:val="none"/>
        </w:rPr>
        <w:t>) que o direito de adiar deve existir no final do período das informações financeiras;</w:t>
      </w:r>
    </w:p>
    <w:p w14:paraId="58DA269B" w14:textId="27B82AC1" w:rsidR="00CB7310" w:rsidRPr="00CB7310" w:rsidRDefault="00CB7310" w:rsidP="00CB7310">
      <w:pPr>
        <w:spacing w:after="0"/>
        <w:jc w:val="both"/>
        <w:rPr>
          <w:rFonts w:ascii="Calibri" w:eastAsia="Times New Roman" w:hAnsi="Calibri" w:cs="Calibri"/>
          <w:iCs/>
          <w:color w:val="002060"/>
          <w:kern w:val="0"/>
          <w14:ligatures w14:val="none"/>
        </w:rPr>
      </w:pPr>
      <w:r w:rsidRPr="00CB7310">
        <w:rPr>
          <w:rFonts w:ascii="Calibri" w:eastAsia="Times New Roman" w:hAnsi="Calibri" w:cs="Calibri"/>
          <w:iCs/>
          <w:color w:val="002060"/>
          <w:kern w:val="0"/>
          <w14:ligatures w14:val="none"/>
        </w:rPr>
        <w:t xml:space="preserve"> </w:t>
      </w:r>
      <w:proofErr w:type="spellStart"/>
      <w:r w:rsidRPr="00CB7310">
        <w:rPr>
          <w:rFonts w:ascii="Calibri" w:eastAsia="Times New Roman" w:hAnsi="Calibri" w:cs="Calibri"/>
          <w:iCs/>
          <w:color w:val="002060"/>
          <w:kern w:val="0"/>
          <w14:ligatures w14:val="none"/>
        </w:rPr>
        <w:t>iii</w:t>
      </w:r>
      <w:proofErr w:type="spellEnd"/>
      <w:r w:rsidRPr="00CB7310">
        <w:rPr>
          <w:rFonts w:ascii="Calibri" w:eastAsia="Times New Roman" w:hAnsi="Calibri" w:cs="Calibri"/>
          <w:iCs/>
          <w:color w:val="002060"/>
          <w:kern w:val="0"/>
          <w14:ligatures w14:val="none"/>
        </w:rPr>
        <w:t>) que a classificação não é afetada pela probabilidade de a entidade exercer seu direito de adiar;</w:t>
      </w:r>
    </w:p>
    <w:p w14:paraId="7D5BFEE5" w14:textId="77777777" w:rsidR="00CB7310" w:rsidRPr="00CB7310" w:rsidRDefault="00CB7310" w:rsidP="00CB7310">
      <w:pPr>
        <w:spacing w:after="0"/>
        <w:jc w:val="both"/>
        <w:rPr>
          <w:rFonts w:ascii="Calibri" w:eastAsia="Times New Roman" w:hAnsi="Calibri" w:cs="Calibri"/>
          <w:iCs/>
          <w:color w:val="002060"/>
          <w:kern w:val="0"/>
          <w14:ligatures w14:val="none"/>
        </w:rPr>
      </w:pPr>
      <w:proofErr w:type="spellStart"/>
      <w:r w:rsidRPr="00CB7310">
        <w:rPr>
          <w:rFonts w:ascii="Calibri" w:eastAsia="Times New Roman" w:hAnsi="Calibri" w:cs="Calibri"/>
          <w:iCs/>
          <w:color w:val="002060"/>
          <w:kern w:val="0"/>
          <w14:ligatures w14:val="none"/>
        </w:rPr>
        <w:t>iv</w:t>
      </w:r>
      <w:proofErr w:type="spellEnd"/>
      <w:r w:rsidRPr="00CB7310">
        <w:rPr>
          <w:rFonts w:ascii="Calibri" w:eastAsia="Times New Roman" w:hAnsi="Calibri" w:cs="Calibri"/>
          <w:iCs/>
          <w:color w:val="002060"/>
          <w:kern w:val="0"/>
          <w14:ligatures w14:val="none"/>
        </w:rPr>
        <w:t>) que somente se um derivativo embutido em um passivo conversível for ele próprio um instrumento de patrimônio, os termos de um passivo não afetarão sua classificação;</w:t>
      </w:r>
    </w:p>
    <w:p w14:paraId="5C0CE443" w14:textId="77777777" w:rsidR="00CB7310" w:rsidRPr="00CB7310" w:rsidRDefault="00CB7310" w:rsidP="00CB7310">
      <w:pPr>
        <w:spacing w:after="0"/>
        <w:jc w:val="both"/>
        <w:rPr>
          <w:rFonts w:ascii="Calibri" w:eastAsia="Times New Roman" w:hAnsi="Calibri" w:cs="Calibri"/>
          <w:iCs/>
          <w:color w:val="002060"/>
          <w:kern w:val="0"/>
          <w14:ligatures w14:val="none"/>
        </w:rPr>
      </w:pPr>
      <w:r w:rsidRPr="00CB7310">
        <w:rPr>
          <w:rFonts w:ascii="Calibri" w:eastAsia="Times New Roman" w:hAnsi="Calibri" w:cs="Calibri"/>
          <w:iCs/>
          <w:color w:val="002060"/>
          <w:kern w:val="0"/>
          <w14:ligatures w14:val="none"/>
        </w:rPr>
        <w:t xml:space="preserve">Além disso, foi introduzida uma exigência de divulgação quando um passivo decorrente de um contrato de empréstimo é classificado como não circulante e direito da entidade de adiar a liquidação depende do cumprimento de </w:t>
      </w:r>
      <w:proofErr w:type="spellStart"/>
      <w:r w:rsidRPr="00CB7310">
        <w:rPr>
          <w:rFonts w:ascii="Calibri" w:eastAsia="Times New Roman" w:hAnsi="Calibri" w:cs="Calibri"/>
          <w:iCs/>
          <w:color w:val="002060"/>
          <w:kern w:val="0"/>
          <w14:ligatures w14:val="none"/>
        </w:rPr>
        <w:t>covenants</w:t>
      </w:r>
      <w:proofErr w:type="spellEnd"/>
      <w:r w:rsidRPr="00CB7310">
        <w:rPr>
          <w:rFonts w:ascii="Calibri" w:eastAsia="Times New Roman" w:hAnsi="Calibri" w:cs="Calibri"/>
          <w:iCs/>
          <w:color w:val="002060"/>
          <w:kern w:val="0"/>
          <w14:ligatures w14:val="none"/>
        </w:rPr>
        <w:t xml:space="preserve"> futuros dentro de doze meses. </w:t>
      </w:r>
    </w:p>
    <w:p w14:paraId="3EB82DFF" w14:textId="77777777" w:rsidR="00CB7310" w:rsidRPr="00CB7310" w:rsidRDefault="00CB7310" w:rsidP="00CB7310">
      <w:pPr>
        <w:spacing w:after="0"/>
        <w:jc w:val="both"/>
        <w:rPr>
          <w:rFonts w:ascii="Calibri" w:eastAsia="Times New Roman" w:hAnsi="Calibri" w:cs="Calibri"/>
          <w:iCs/>
          <w:color w:val="002060"/>
          <w:kern w:val="0"/>
          <w14:ligatures w14:val="none"/>
        </w:rPr>
      </w:pPr>
      <w:r w:rsidRPr="00CB7310">
        <w:rPr>
          <w:rFonts w:ascii="Calibri" w:eastAsia="Times New Roman" w:hAnsi="Calibri" w:cs="Calibri"/>
          <w:iCs/>
          <w:color w:val="002060"/>
          <w:kern w:val="0"/>
          <w14:ligatures w14:val="none"/>
        </w:rPr>
        <w:t xml:space="preserve">As alterações vigoram para períodos de demonstrações contábeis anuais que se iniciam em ou após 1 de janeiro de 2024 e devem ser aplicadas retrospectivamente. </w:t>
      </w:r>
    </w:p>
    <w:p w14:paraId="59F794FA" w14:textId="5F4CF392" w:rsidR="00CB7310" w:rsidRPr="00CB7310" w:rsidRDefault="00CB7310" w:rsidP="00CB7310">
      <w:pPr>
        <w:spacing w:after="0"/>
        <w:jc w:val="both"/>
        <w:rPr>
          <w:rFonts w:ascii="Calibri" w:eastAsia="Times New Roman" w:hAnsi="Calibri" w:cs="Calibri"/>
          <w:iCs/>
          <w:color w:val="002060"/>
          <w:kern w:val="0"/>
          <w14:ligatures w14:val="none"/>
        </w:rPr>
      </w:pPr>
      <w:r w:rsidRPr="00CB7310">
        <w:rPr>
          <w:rFonts w:ascii="Calibri" w:eastAsia="Times New Roman" w:hAnsi="Calibri" w:cs="Calibri"/>
          <w:iCs/>
          <w:color w:val="002060"/>
          <w:kern w:val="0"/>
          <w14:ligatures w14:val="none"/>
        </w:rPr>
        <w:t xml:space="preserve"> A administração não identificou alterações que tenham um impacto significativo nas demonstrações contábeis da Companhia.   </w:t>
      </w:r>
    </w:p>
    <w:p w14:paraId="49527BDE" w14:textId="4BE4A64E" w:rsidR="00CB7310" w:rsidRPr="00CB7310" w:rsidRDefault="00CB7310" w:rsidP="00CB7310">
      <w:pPr>
        <w:spacing w:after="0"/>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2.5.3. </w:t>
      </w:r>
      <w:r w:rsidRPr="00CB7310">
        <w:rPr>
          <w:rFonts w:ascii="Calibri" w:eastAsia="Times New Roman" w:hAnsi="Calibri" w:cs="Calibri"/>
          <w:b/>
          <w:bCs/>
          <w:iCs/>
          <w:color w:val="002060"/>
          <w:kern w:val="0"/>
          <w14:ligatures w14:val="none"/>
        </w:rPr>
        <w:t xml:space="preserve">Acordos de financiamento de fornecedores - Alterações ao IAS 7 e IFRS 7  </w:t>
      </w:r>
    </w:p>
    <w:p w14:paraId="1019983F" w14:textId="55ED0F43" w:rsidR="00CB7310" w:rsidRPr="00CB7310" w:rsidRDefault="00CB7310" w:rsidP="00CB7310">
      <w:pPr>
        <w:spacing w:after="0"/>
        <w:jc w:val="both"/>
        <w:rPr>
          <w:rFonts w:ascii="Calibri" w:eastAsia="Times New Roman" w:hAnsi="Calibri" w:cs="Calibri"/>
          <w:iCs/>
          <w:color w:val="002060"/>
          <w:kern w:val="0"/>
          <w14:ligatures w14:val="none"/>
        </w:rPr>
      </w:pPr>
      <w:r w:rsidRPr="00CB7310">
        <w:rPr>
          <w:rFonts w:ascii="Calibri" w:eastAsia="Times New Roman" w:hAnsi="Calibri" w:cs="Calibri"/>
          <w:iCs/>
          <w:color w:val="002060"/>
          <w:kern w:val="0"/>
          <w14:ligatures w14:val="none"/>
        </w:rPr>
        <w:t>Em maio de 2023, o IASB emitiu alterações ao IAS 7 (equivalente ao CPC 03 (R2) – Demonstrações do fluxo de caixa) e ao IFRS 7 (equivalente ao CPC 40 (R1) - Instrumentos financeiros: evidenciação) para esclarecer as características de acordos de financiamento de fornecedores e exigir divulgações adicionais desses acordos. Os requisitos de divulgação nas alterações têm como objetivo auxiliar os usuários das demonstrações</w:t>
      </w:r>
      <w:r>
        <w:rPr>
          <w:rFonts w:ascii="Calibri" w:eastAsia="Times New Roman" w:hAnsi="Calibri" w:cs="Calibri"/>
          <w:iCs/>
          <w:color w:val="002060"/>
          <w:kern w:val="0"/>
          <w14:ligatures w14:val="none"/>
        </w:rPr>
        <w:t xml:space="preserve"> </w:t>
      </w:r>
      <w:r w:rsidRPr="00CB7310">
        <w:rPr>
          <w:rFonts w:ascii="Calibri" w:eastAsia="Times New Roman" w:hAnsi="Calibri" w:cs="Calibri"/>
          <w:iCs/>
          <w:color w:val="002060"/>
          <w:kern w:val="0"/>
          <w14:ligatures w14:val="none"/>
        </w:rPr>
        <w:lastRenderedPageBreak/>
        <w:t xml:space="preserve">contábeis a </w:t>
      </w:r>
      <w:proofErr w:type="gramStart"/>
      <w:r w:rsidRPr="00CB7310">
        <w:rPr>
          <w:rFonts w:ascii="Calibri" w:eastAsia="Times New Roman" w:hAnsi="Calibri" w:cs="Calibri"/>
          <w:iCs/>
          <w:color w:val="002060"/>
          <w:kern w:val="0"/>
          <w14:ligatures w14:val="none"/>
        </w:rPr>
        <w:t>compreender</w:t>
      </w:r>
      <w:proofErr w:type="gramEnd"/>
      <w:r w:rsidRPr="00CB7310">
        <w:rPr>
          <w:rFonts w:ascii="Calibri" w:eastAsia="Times New Roman" w:hAnsi="Calibri" w:cs="Calibri"/>
          <w:iCs/>
          <w:color w:val="002060"/>
          <w:kern w:val="0"/>
          <w14:ligatures w14:val="none"/>
        </w:rPr>
        <w:t xml:space="preserve"> os efeitos dos acordos de financiamento com fornecedores nas obrigações, fluxos de caixa e exposição ao risco de liquidez de uma entidade.   </w:t>
      </w:r>
    </w:p>
    <w:p w14:paraId="2FA84C9C" w14:textId="77777777" w:rsidR="00CB7310" w:rsidRPr="00CB7310" w:rsidRDefault="00CB7310" w:rsidP="00CB7310">
      <w:pPr>
        <w:spacing w:after="0"/>
        <w:jc w:val="both"/>
        <w:rPr>
          <w:rFonts w:ascii="Calibri" w:eastAsia="Times New Roman" w:hAnsi="Calibri" w:cs="Calibri"/>
          <w:iCs/>
          <w:color w:val="002060"/>
          <w:kern w:val="0"/>
          <w14:ligatures w14:val="none"/>
        </w:rPr>
      </w:pPr>
      <w:r w:rsidRPr="00CB7310">
        <w:rPr>
          <w:rFonts w:ascii="Calibri" w:eastAsia="Times New Roman" w:hAnsi="Calibri" w:cs="Calibri"/>
          <w:iCs/>
          <w:color w:val="002060"/>
          <w:kern w:val="0"/>
          <w14:ligatures w14:val="none"/>
        </w:rPr>
        <w:t>As alterações vigoram para períodos de demonstrações contábeis anuais que se iniciam em ou após 1 de janeiro de 2024. A adoção antecipada é permitida, mas deve ser divulgada.</w:t>
      </w:r>
    </w:p>
    <w:p w14:paraId="357044EC" w14:textId="67F896E5" w:rsidR="00CB7310" w:rsidRDefault="00CB7310" w:rsidP="00CB7310">
      <w:pPr>
        <w:spacing w:after="0"/>
        <w:jc w:val="both"/>
        <w:rPr>
          <w:rFonts w:ascii="Calibri" w:eastAsia="Times New Roman" w:hAnsi="Calibri" w:cs="Calibri"/>
          <w:iCs/>
          <w:color w:val="002060"/>
          <w:kern w:val="0"/>
          <w14:ligatures w14:val="none"/>
        </w:rPr>
      </w:pPr>
      <w:r w:rsidRPr="00CB7310">
        <w:rPr>
          <w:rFonts w:ascii="Calibri" w:eastAsia="Times New Roman" w:hAnsi="Calibri" w:cs="Calibri"/>
          <w:iCs/>
          <w:color w:val="002060"/>
          <w:kern w:val="0"/>
          <w14:ligatures w14:val="none"/>
        </w:rPr>
        <w:t>A Companhia está avaliando os impactos para garantir que todas as informações estejam em conformidade com a norma a partir da vigência.</w:t>
      </w:r>
    </w:p>
    <w:p w14:paraId="4476364E" w14:textId="26B34727" w:rsidR="00844149" w:rsidRPr="00844149" w:rsidRDefault="00844149" w:rsidP="00844149">
      <w:pPr>
        <w:spacing w:after="0"/>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3. </w:t>
      </w:r>
      <w:r w:rsidRPr="00844149">
        <w:rPr>
          <w:rFonts w:ascii="Calibri" w:eastAsia="Times New Roman" w:hAnsi="Calibri" w:cs="Calibri"/>
          <w:b/>
          <w:bCs/>
          <w:iCs/>
          <w:color w:val="002060"/>
          <w:kern w:val="0"/>
          <w14:ligatures w14:val="none"/>
        </w:rPr>
        <w:t>RECLASSIFICAÇÃO DOS RECURSOS ORÇAMENTÁRIOS RECEBIDOS PARA INVESTIMENTO (APLICAÇÃO NO ATIVO IMOBILIZADO) E REAPRESENTAÇÃO DAS DEMONSTRAÇÕES CONTÁBEIS DOS EXERCÍCIOS DE 2020, 2021 e 2022.</w:t>
      </w:r>
    </w:p>
    <w:p w14:paraId="73C6687D" w14:textId="77777777" w:rsidR="00844149" w:rsidRPr="00844149" w:rsidRDefault="00844149" w:rsidP="00844149">
      <w:pPr>
        <w:spacing w:after="0"/>
        <w:jc w:val="both"/>
        <w:rPr>
          <w:rFonts w:ascii="Calibri" w:eastAsia="Times New Roman" w:hAnsi="Calibri" w:cs="Calibri"/>
          <w:iCs/>
          <w:color w:val="002060"/>
          <w:kern w:val="0"/>
          <w14:ligatures w14:val="none"/>
        </w:rPr>
      </w:pPr>
      <w:r w:rsidRPr="00844149">
        <w:rPr>
          <w:rFonts w:ascii="Calibri" w:eastAsia="Times New Roman" w:hAnsi="Calibri" w:cs="Calibri"/>
          <w:iCs/>
          <w:color w:val="002060"/>
          <w:kern w:val="0"/>
          <w14:ligatures w14:val="none"/>
        </w:rPr>
        <w:t xml:space="preserve">Em fato relevante divulgado em 18 de dezembro de 2019 (Aprovação do Projeto de Lei do Orçamento anual 2020 pelo Congresso Nacional), a Telecomunicações Brasileiras S.A. (“Telebras” ou “Companhia”) (B3: TELB3 &amp; TELB4) informou ao mercado que passaria à condição de empresa estatal dependente do Orçamento Fiscal e da Seguridade Social (OFSS). </w:t>
      </w:r>
    </w:p>
    <w:p w14:paraId="25F9E467" w14:textId="2F4C96EF" w:rsidR="00844149" w:rsidRPr="00844149" w:rsidRDefault="00844149" w:rsidP="00844149">
      <w:pPr>
        <w:spacing w:after="0"/>
        <w:jc w:val="both"/>
        <w:rPr>
          <w:rFonts w:ascii="Calibri" w:eastAsia="Times New Roman" w:hAnsi="Calibri" w:cs="Calibri"/>
          <w:iCs/>
          <w:color w:val="002060"/>
          <w:kern w:val="0"/>
          <w14:ligatures w14:val="none"/>
        </w:rPr>
      </w:pPr>
      <w:r w:rsidRPr="00844149">
        <w:rPr>
          <w:rFonts w:ascii="Calibri" w:eastAsia="Times New Roman" w:hAnsi="Calibri" w:cs="Calibri"/>
          <w:iCs/>
          <w:color w:val="002060"/>
          <w:kern w:val="0"/>
          <w14:ligatures w14:val="none"/>
        </w:rPr>
        <w:t xml:space="preserve"> Em 2020, em observância à Lei Orçamentária Anual, às Leis números 4.320/64, 6.404/76, 13.303/16, a Companhia informou ao Acionista Controlador, sem que houvesse contraposição, que, na condição de empresa estatal dependente, contabilizaria os recursos orçamentários recebidos como Outras Receitas Operacionais, nos termos da Norma nº 07 do Comitê de pronunciamentos Contábeis (CPC 07).  </w:t>
      </w:r>
    </w:p>
    <w:p w14:paraId="101A7167" w14:textId="77777777" w:rsidR="00844149" w:rsidRPr="00844149" w:rsidRDefault="00844149" w:rsidP="00844149">
      <w:pPr>
        <w:spacing w:after="0"/>
        <w:jc w:val="both"/>
        <w:rPr>
          <w:rFonts w:ascii="Calibri" w:eastAsia="Times New Roman" w:hAnsi="Calibri" w:cs="Calibri"/>
          <w:iCs/>
          <w:color w:val="002060"/>
          <w:kern w:val="0"/>
          <w14:ligatures w14:val="none"/>
        </w:rPr>
      </w:pPr>
      <w:r w:rsidRPr="00844149">
        <w:rPr>
          <w:rFonts w:ascii="Calibri" w:eastAsia="Times New Roman" w:hAnsi="Calibri" w:cs="Calibri"/>
          <w:iCs/>
          <w:color w:val="002060"/>
          <w:kern w:val="0"/>
          <w14:ligatures w14:val="none"/>
        </w:rPr>
        <w:t xml:space="preserve">Assim, em novo Fato Relevante publicado em 25 de maio de 2020, a Telebras comunicou ao mercado que os recursos recebidos na forma de subvenções orçamentárias seriam reconhecidos de acordo com a norma contábil CPC 07, ou sejam, no resultado da Companhia, como Outras Receitas Operacionais. </w:t>
      </w:r>
    </w:p>
    <w:p w14:paraId="1DE4D05C" w14:textId="77777777" w:rsidR="00844149" w:rsidRPr="00844149" w:rsidRDefault="00844149" w:rsidP="00844149">
      <w:pPr>
        <w:spacing w:after="0"/>
        <w:jc w:val="both"/>
        <w:rPr>
          <w:rFonts w:ascii="Calibri" w:eastAsia="Times New Roman" w:hAnsi="Calibri" w:cs="Calibri"/>
          <w:iCs/>
          <w:color w:val="002060"/>
          <w:kern w:val="0"/>
          <w14:ligatures w14:val="none"/>
        </w:rPr>
      </w:pPr>
      <w:r w:rsidRPr="00844149">
        <w:rPr>
          <w:rFonts w:ascii="Calibri" w:eastAsia="Times New Roman" w:hAnsi="Calibri" w:cs="Calibri"/>
          <w:iCs/>
          <w:color w:val="002060"/>
          <w:kern w:val="0"/>
          <w14:ligatures w14:val="none"/>
        </w:rPr>
        <w:t>Todavia, no ano de 2023, a União, na qualidade de Acionista Controlador, por meio do parecer da Secretaria de Tesouro Nacional que aprovou as Demonstrações Contábeis referente ao exercício social de 2022, recomendou, para fins de adequação da contabilidade societária e garantir maior precisão na caracterização dos repasses, que a Companhia passasse a reconhecer os recursos orçamentários transferidos para fins de investimentos (transferências de capital – ativo imobilizado) como Adiantamentos para Futuro Aumento de Capital – AFAC.  A alteração resultará em uma informação mais confiável e mais relevante nas demonstrações contábeis, uma vez que apresenta de forma mais adequada a essência da operação para a Companhia.</w:t>
      </w:r>
    </w:p>
    <w:p w14:paraId="7D3BEDDF" w14:textId="77777777" w:rsidR="00844149" w:rsidRPr="00844149" w:rsidRDefault="00844149" w:rsidP="00844149">
      <w:pPr>
        <w:spacing w:after="0"/>
        <w:jc w:val="both"/>
        <w:rPr>
          <w:rFonts w:ascii="Calibri" w:eastAsia="Times New Roman" w:hAnsi="Calibri" w:cs="Calibri"/>
          <w:iCs/>
          <w:color w:val="002060"/>
          <w:kern w:val="0"/>
          <w14:ligatures w14:val="none"/>
        </w:rPr>
      </w:pPr>
      <w:r w:rsidRPr="00844149">
        <w:rPr>
          <w:rFonts w:ascii="Calibri" w:eastAsia="Times New Roman" w:hAnsi="Calibri" w:cs="Calibri"/>
          <w:iCs/>
          <w:color w:val="002060"/>
          <w:kern w:val="0"/>
          <w14:ligatures w14:val="none"/>
        </w:rPr>
        <w:t xml:space="preserve">Em decorrência dos eventos acima relatados e após análise da Administração, esta decidiu por alterar a política contábil relativa aos recebimentos dos recursos orçamentários destinados à aplicação no pagamento de bens do ativo imobilizado (Subvenções para Investimento), que até o terceiro trimestre de 2023 vinham sendo reconhecidos no resultado da Telebras. Tais recebimentos passaram então a ser reconhecidos como Adiantamento para Futuro Aumento de Capital no “Passivo Exigível”. As demais transferências correntes para o pagamento de pessoal e outros custeios, continuarão sendo classificadas como “Outras Receitas Operacionais”. </w:t>
      </w:r>
    </w:p>
    <w:p w14:paraId="43F102B1" w14:textId="77777777" w:rsidR="00844149" w:rsidRDefault="00844149" w:rsidP="00844149">
      <w:pPr>
        <w:spacing w:after="0"/>
        <w:jc w:val="both"/>
        <w:rPr>
          <w:rFonts w:ascii="Calibri" w:eastAsia="Times New Roman" w:hAnsi="Calibri" w:cs="Calibri"/>
          <w:iCs/>
          <w:color w:val="002060"/>
          <w:kern w:val="0"/>
          <w14:ligatures w14:val="none"/>
        </w:rPr>
      </w:pPr>
      <w:r w:rsidRPr="00844149">
        <w:rPr>
          <w:rFonts w:ascii="Calibri" w:eastAsia="Times New Roman" w:hAnsi="Calibri" w:cs="Calibri"/>
          <w:iCs/>
          <w:color w:val="002060"/>
          <w:kern w:val="0"/>
          <w14:ligatures w14:val="none"/>
        </w:rPr>
        <w:t xml:space="preserve">Considerando o exposto e a recomendação de modificação da política contábil anteriormente adotada, a Companhia informa que elaborou a reapresentação retrospectiva das demonstrações contábeis dos exercícios de 2020, 2021 e 2022 no encerramento de 2023, conforme determina o CPC 23, que trata de Políticas Contábeis, Mudança de Estimativa e Retificação de Erro, de forma a atender as Características qualitativas da informação contábil financeira útil e o melhor entendimento das operações da Companhia. </w:t>
      </w:r>
    </w:p>
    <w:p w14:paraId="6EB34FBE" w14:textId="28B1E048" w:rsidR="00844149" w:rsidRPr="00844149" w:rsidRDefault="00844149" w:rsidP="00844149">
      <w:pPr>
        <w:spacing w:after="0"/>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3.1. </w:t>
      </w:r>
      <w:r w:rsidRPr="00844149">
        <w:rPr>
          <w:rFonts w:ascii="Calibri" w:eastAsia="Times New Roman" w:hAnsi="Calibri" w:cs="Calibri"/>
          <w:b/>
          <w:bCs/>
          <w:iCs/>
          <w:color w:val="002060"/>
          <w:kern w:val="0"/>
          <w14:ligatures w14:val="none"/>
        </w:rPr>
        <w:t>Reapresentação das Demonstrações Contábeis do Exercício de 2022</w:t>
      </w:r>
    </w:p>
    <w:p w14:paraId="5A336D1D" w14:textId="4AB4BA00" w:rsidR="00844149" w:rsidRDefault="00844149" w:rsidP="00844149">
      <w:pPr>
        <w:spacing w:after="0"/>
        <w:jc w:val="both"/>
        <w:rPr>
          <w:rFonts w:ascii="Calibri" w:eastAsia="Times New Roman" w:hAnsi="Calibri" w:cs="Calibri"/>
          <w:b/>
          <w:bCs/>
          <w:iCs/>
          <w:color w:val="002060"/>
          <w:kern w:val="0"/>
          <w14:ligatures w14:val="none"/>
        </w:rPr>
      </w:pPr>
      <w:r w:rsidRPr="00844149">
        <w:rPr>
          <w:rFonts w:ascii="Calibri" w:eastAsia="Times New Roman" w:hAnsi="Calibri" w:cs="Calibri"/>
          <w:b/>
          <w:bCs/>
          <w:iCs/>
          <w:color w:val="002060"/>
          <w:kern w:val="0"/>
          <w14:ligatures w14:val="none"/>
        </w:rPr>
        <w:t>3.1.1</w:t>
      </w:r>
      <w:r>
        <w:rPr>
          <w:rFonts w:ascii="Calibri" w:eastAsia="Times New Roman" w:hAnsi="Calibri" w:cs="Calibri"/>
          <w:b/>
          <w:bCs/>
          <w:iCs/>
          <w:color w:val="002060"/>
          <w:kern w:val="0"/>
          <w14:ligatures w14:val="none"/>
        </w:rPr>
        <w:t>.</w:t>
      </w:r>
      <w:r w:rsidRPr="00844149">
        <w:rPr>
          <w:rFonts w:ascii="Calibri" w:eastAsia="Times New Roman" w:hAnsi="Calibri" w:cs="Calibri"/>
          <w:b/>
          <w:bCs/>
          <w:iCs/>
          <w:color w:val="002060"/>
          <w:kern w:val="0"/>
          <w14:ligatures w14:val="none"/>
        </w:rPr>
        <w:t xml:space="preserve"> Balanço Patrimonial</w:t>
      </w:r>
    </w:p>
    <w:tbl>
      <w:tblPr>
        <w:tblW w:w="5000" w:type="pct"/>
        <w:tblLayout w:type="fixed"/>
        <w:tblCellMar>
          <w:left w:w="70" w:type="dxa"/>
          <w:right w:w="70" w:type="dxa"/>
        </w:tblCellMar>
        <w:tblLook w:val="04A0" w:firstRow="1" w:lastRow="0" w:firstColumn="1" w:lastColumn="0" w:noHBand="0" w:noVBand="1"/>
      </w:tblPr>
      <w:tblGrid>
        <w:gridCol w:w="4109"/>
        <w:gridCol w:w="1133"/>
        <w:gridCol w:w="1135"/>
        <w:gridCol w:w="891"/>
        <w:gridCol w:w="1092"/>
        <w:gridCol w:w="1411"/>
      </w:tblGrid>
      <w:tr w:rsidR="00844149" w:rsidRPr="00844149" w14:paraId="218F7CED" w14:textId="77777777" w:rsidTr="00844149">
        <w:trPr>
          <w:trHeight w:val="215"/>
          <w:tblHeader/>
        </w:trPr>
        <w:tc>
          <w:tcPr>
            <w:tcW w:w="2102" w:type="pct"/>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0BB6269" w14:textId="77777777" w:rsidR="00844149" w:rsidRPr="00844149" w:rsidRDefault="00844149" w:rsidP="00844149">
            <w:pPr>
              <w:spacing w:after="0" w:line="240" w:lineRule="auto"/>
              <w:jc w:val="center"/>
              <w:rPr>
                <w:rFonts w:ascii="Arial" w:eastAsia="Times New Roman" w:hAnsi="Arial" w:cs="Arial"/>
                <w:b/>
                <w:bCs/>
                <w:kern w:val="0"/>
                <w:sz w:val="14"/>
                <w:szCs w:val="14"/>
                <w:lang w:eastAsia="pt-BR"/>
                <w14:ligatures w14:val="none"/>
              </w:rPr>
            </w:pPr>
          </w:p>
        </w:tc>
        <w:tc>
          <w:tcPr>
            <w:tcW w:w="5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BB2A97" w14:textId="77777777" w:rsidR="00844149" w:rsidRPr="00844149" w:rsidRDefault="00844149" w:rsidP="00844149">
            <w:pPr>
              <w:spacing w:after="0" w:line="240" w:lineRule="auto"/>
              <w:jc w:val="center"/>
              <w:rPr>
                <w:rFonts w:ascii="Arial" w:eastAsia="Times New Roman" w:hAnsi="Arial" w:cs="Arial"/>
                <w:b/>
                <w:bCs/>
                <w:kern w:val="0"/>
                <w:sz w:val="14"/>
                <w:szCs w:val="14"/>
                <w:lang w:eastAsia="pt-BR"/>
                <w14:ligatures w14:val="none"/>
              </w:rPr>
            </w:pPr>
            <w:r w:rsidRPr="00844149">
              <w:rPr>
                <w:rFonts w:ascii="Arial" w:eastAsia="Times New Roman" w:hAnsi="Arial" w:cs="Arial"/>
                <w:b/>
                <w:bCs/>
                <w:kern w:val="0"/>
                <w:sz w:val="14"/>
                <w:szCs w:val="14"/>
                <w:lang w:eastAsia="pt-BR"/>
                <w14:ligatures w14:val="none"/>
              </w:rPr>
              <w:t xml:space="preserve">Saldos Divulgados em 31/12/2022 </w:t>
            </w:r>
          </w:p>
        </w:tc>
        <w:tc>
          <w:tcPr>
            <w:tcW w:w="1596"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6A5DB187" w14:textId="77777777" w:rsidR="00844149" w:rsidRPr="00844149" w:rsidRDefault="00844149" w:rsidP="00844149">
            <w:pPr>
              <w:spacing w:after="0" w:line="240" w:lineRule="auto"/>
              <w:jc w:val="center"/>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Ajustes</w:t>
            </w:r>
          </w:p>
        </w:tc>
        <w:tc>
          <w:tcPr>
            <w:tcW w:w="7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707D9B" w14:textId="77777777" w:rsidR="00844149" w:rsidRPr="00844149" w:rsidRDefault="00844149" w:rsidP="00844149">
            <w:pPr>
              <w:spacing w:after="0" w:line="240" w:lineRule="auto"/>
              <w:jc w:val="center"/>
              <w:rPr>
                <w:rFonts w:ascii="Arial" w:eastAsia="Times New Roman" w:hAnsi="Arial" w:cs="Arial"/>
                <w:b/>
                <w:bCs/>
                <w:kern w:val="0"/>
                <w:sz w:val="14"/>
                <w:szCs w:val="14"/>
                <w:lang w:eastAsia="pt-BR"/>
                <w14:ligatures w14:val="none"/>
              </w:rPr>
            </w:pPr>
            <w:r w:rsidRPr="00844149">
              <w:rPr>
                <w:rFonts w:ascii="Arial" w:eastAsia="Times New Roman" w:hAnsi="Arial" w:cs="Arial"/>
                <w:b/>
                <w:bCs/>
                <w:kern w:val="0"/>
                <w:sz w:val="14"/>
                <w:szCs w:val="14"/>
                <w:lang w:eastAsia="pt-BR"/>
                <w14:ligatures w14:val="none"/>
              </w:rPr>
              <w:t>Saldos Reapresentados 31/12/2022</w:t>
            </w:r>
          </w:p>
        </w:tc>
      </w:tr>
      <w:tr w:rsidR="00844149" w:rsidRPr="00844149" w14:paraId="1BBABEB8" w14:textId="77777777" w:rsidTr="00844149">
        <w:trPr>
          <w:trHeight w:val="215"/>
          <w:tblHeader/>
        </w:trPr>
        <w:tc>
          <w:tcPr>
            <w:tcW w:w="2102" w:type="pct"/>
            <w:vMerge/>
            <w:tcBorders>
              <w:top w:val="single" w:sz="4" w:space="0" w:color="auto"/>
              <w:left w:val="single" w:sz="4" w:space="0" w:color="auto"/>
              <w:bottom w:val="single" w:sz="4" w:space="0" w:color="auto"/>
              <w:right w:val="single" w:sz="4" w:space="0" w:color="auto"/>
            </w:tcBorders>
            <w:vAlign w:val="center"/>
            <w:hideMark/>
          </w:tcPr>
          <w:p w14:paraId="18B84CDE" w14:textId="77777777" w:rsidR="00844149" w:rsidRPr="00844149" w:rsidRDefault="00844149" w:rsidP="00844149">
            <w:pPr>
              <w:spacing w:after="0" w:line="240" w:lineRule="auto"/>
              <w:rPr>
                <w:rFonts w:ascii="Arial" w:eastAsia="Times New Roman" w:hAnsi="Arial" w:cs="Arial"/>
                <w:b/>
                <w:bCs/>
                <w:kern w:val="0"/>
                <w:sz w:val="14"/>
                <w:szCs w:val="14"/>
                <w:lang w:eastAsia="pt-BR"/>
                <w14:ligatures w14:val="none"/>
              </w:rPr>
            </w:pPr>
          </w:p>
        </w:tc>
        <w:tc>
          <w:tcPr>
            <w:tcW w:w="580" w:type="pct"/>
            <w:vMerge/>
            <w:tcBorders>
              <w:top w:val="single" w:sz="4" w:space="0" w:color="auto"/>
              <w:left w:val="single" w:sz="4" w:space="0" w:color="auto"/>
              <w:bottom w:val="single" w:sz="4" w:space="0" w:color="auto"/>
              <w:right w:val="single" w:sz="4" w:space="0" w:color="auto"/>
            </w:tcBorders>
            <w:vAlign w:val="center"/>
            <w:hideMark/>
          </w:tcPr>
          <w:p w14:paraId="7169A009" w14:textId="77777777" w:rsidR="00844149" w:rsidRPr="00844149" w:rsidRDefault="00844149" w:rsidP="00844149">
            <w:pPr>
              <w:spacing w:after="0" w:line="240" w:lineRule="auto"/>
              <w:rPr>
                <w:rFonts w:ascii="Arial" w:eastAsia="Times New Roman" w:hAnsi="Arial" w:cs="Arial"/>
                <w:b/>
                <w:bCs/>
                <w:kern w:val="0"/>
                <w:sz w:val="14"/>
                <w:szCs w:val="14"/>
                <w:lang w:eastAsia="pt-BR"/>
                <w14:ligatures w14:val="none"/>
              </w:rPr>
            </w:pPr>
          </w:p>
        </w:tc>
        <w:tc>
          <w:tcPr>
            <w:tcW w:w="581" w:type="pct"/>
            <w:tcBorders>
              <w:top w:val="nil"/>
              <w:left w:val="nil"/>
              <w:bottom w:val="single" w:sz="4" w:space="0" w:color="auto"/>
              <w:right w:val="single" w:sz="4" w:space="0" w:color="auto"/>
            </w:tcBorders>
            <w:shd w:val="clear" w:color="auto" w:fill="auto"/>
            <w:vAlign w:val="center"/>
            <w:hideMark/>
          </w:tcPr>
          <w:p w14:paraId="7C2D6CBB" w14:textId="77777777" w:rsidR="00844149" w:rsidRPr="00844149" w:rsidRDefault="00844149" w:rsidP="00844149">
            <w:pPr>
              <w:spacing w:after="0" w:line="240" w:lineRule="auto"/>
              <w:jc w:val="center"/>
              <w:rPr>
                <w:rFonts w:ascii="Arial" w:eastAsia="Times New Roman" w:hAnsi="Arial" w:cs="Arial"/>
                <w:b/>
                <w:bCs/>
                <w:kern w:val="0"/>
                <w:sz w:val="14"/>
                <w:szCs w:val="14"/>
                <w:lang w:eastAsia="pt-BR"/>
                <w14:ligatures w14:val="none"/>
              </w:rPr>
            </w:pPr>
            <w:r w:rsidRPr="00844149">
              <w:rPr>
                <w:rFonts w:ascii="Arial" w:eastAsia="Times New Roman" w:hAnsi="Arial" w:cs="Arial"/>
                <w:b/>
                <w:bCs/>
                <w:kern w:val="0"/>
                <w:sz w:val="14"/>
                <w:szCs w:val="14"/>
                <w:lang w:eastAsia="pt-BR"/>
                <w14:ligatures w14:val="none"/>
              </w:rPr>
              <w:t xml:space="preserve">Subvenções para Investimento (i) </w:t>
            </w:r>
          </w:p>
        </w:tc>
        <w:tc>
          <w:tcPr>
            <w:tcW w:w="456" w:type="pct"/>
            <w:tcBorders>
              <w:top w:val="nil"/>
              <w:left w:val="nil"/>
              <w:bottom w:val="single" w:sz="4" w:space="0" w:color="auto"/>
              <w:right w:val="single" w:sz="4" w:space="0" w:color="auto"/>
            </w:tcBorders>
            <w:shd w:val="clear" w:color="auto" w:fill="auto"/>
            <w:vAlign w:val="center"/>
            <w:hideMark/>
          </w:tcPr>
          <w:p w14:paraId="75B13EB0" w14:textId="77777777" w:rsidR="00844149" w:rsidRPr="00844149" w:rsidRDefault="00844149" w:rsidP="00844149">
            <w:pPr>
              <w:spacing w:after="0" w:line="240" w:lineRule="auto"/>
              <w:jc w:val="center"/>
              <w:rPr>
                <w:rFonts w:ascii="Arial" w:eastAsia="Times New Roman" w:hAnsi="Arial" w:cs="Arial"/>
                <w:b/>
                <w:bCs/>
                <w:kern w:val="0"/>
                <w:sz w:val="14"/>
                <w:szCs w:val="14"/>
                <w:lang w:eastAsia="pt-BR"/>
                <w14:ligatures w14:val="none"/>
              </w:rPr>
            </w:pPr>
            <w:r w:rsidRPr="00844149">
              <w:rPr>
                <w:rFonts w:ascii="Arial" w:eastAsia="Times New Roman" w:hAnsi="Arial" w:cs="Arial"/>
                <w:b/>
                <w:bCs/>
                <w:kern w:val="0"/>
                <w:sz w:val="14"/>
                <w:szCs w:val="14"/>
                <w:lang w:eastAsia="pt-BR"/>
                <w14:ligatures w14:val="none"/>
              </w:rPr>
              <w:t>Juros de AFAC (</w:t>
            </w:r>
            <w:proofErr w:type="spellStart"/>
            <w:r w:rsidRPr="00844149">
              <w:rPr>
                <w:rFonts w:ascii="Arial" w:eastAsia="Times New Roman" w:hAnsi="Arial" w:cs="Arial"/>
                <w:b/>
                <w:bCs/>
                <w:kern w:val="0"/>
                <w:sz w:val="14"/>
                <w:szCs w:val="14"/>
                <w:lang w:eastAsia="pt-BR"/>
                <w14:ligatures w14:val="none"/>
              </w:rPr>
              <w:t>ii</w:t>
            </w:r>
            <w:proofErr w:type="spellEnd"/>
            <w:r w:rsidRPr="00844149">
              <w:rPr>
                <w:rFonts w:ascii="Arial" w:eastAsia="Times New Roman" w:hAnsi="Arial" w:cs="Arial"/>
                <w:b/>
                <w:bCs/>
                <w:kern w:val="0"/>
                <w:sz w:val="14"/>
                <w:szCs w:val="14"/>
                <w:lang w:eastAsia="pt-BR"/>
                <w14:ligatures w14:val="none"/>
              </w:rPr>
              <w:t>)</w:t>
            </w:r>
          </w:p>
        </w:tc>
        <w:tc>
          <w:tcPr>
            <w:tcW w:w="559" w:type="pct"/>
            <w:tcBorders>
              <w:top w:val="nil"/>
              <w:left w:val="nil"/>
              <w:bottom w:val="single" w:sz="4" w:space="0" w:color="auto"/>
              <w:right w:val="single" w:sz="4" w:space="0" w:color="auto"/>
            </w:tcBorders>
            <w:shd w:val="clear" w:color="auto" w:fill="auto"/>
            <w:vAlign w:val="center"/>
            <w:hideMark/>
          </w:tcPr>
          <w:p w14:paraId="2BBED06A" w14:textId="77777777" w:rsidR="00844149" w:rsidRPr="00844149" w:rsidRDefault="00844149" w:rsidP="00844149">
            <w:pPr>
              <w:spacing w:after="0" w:line="240" w:lineRule="auto"/>
              <w:jc w:val="center"/>
              <w:rPr>
                <w:rFonts w:ascii="Arial" w:eastAsia="Times New Roman" w:hAnsi="Arial" w:cs="Arial"/>
                <w:b/>
                <w:bCs/>
                <w:kern w:val="0"/>
                <w:sz w:val="14"/>
                <w:szCs w:val="14"/>
                <w:lang w:eastAsia="pt-BR"/>
                <w14:ligatures w14:val="none"/>
              </w:rPr>
            </w:pPr>
            <w:r w:rsidRPr="00844149">
              <w:rPr>
                <w:rFonts w:ascii="Arial" w:eastAsia="Times New Roman" w:hAnsi="Arial" w:cs="Arial"/>
                <w:b/>
                <w:bCs/>
                <w:kern w:val="0"/>
                <w:sz w:val="14"/>
                <w:szCs w:val="14"/>
                <w:lang w:eastAsia="pt-BR"/>
                <w14:ligatures w14:val="none"/>
              </w:rPr>
              <w:t>Efeito no Patrimônio Líquido (</w:t>
            </w:r>
            <w:proofErr w:type="spellStart"/>
            <w:r w:rsidRPr="00844149">
              <w:rPr>
                <w:rFonts w:ascii="Arial" w:eastAsia="Times New Roman" w:hAnsi="Arial" w:cs="Arial"/>
                <w:b/>
                <w:bCs/>
                <w:kern w:val="0"/>
                <w:sz w:val="14"/>
                <w:szCs w:val="14"/>
                <w:lang w:eastAsia="pt-BR"/>
                <w14:ligatures w14:val="none"/>
              </w:rPr>
              <w:t>iii</w:t>
            </w:r>
            <w:proofErr w:type="spellEnd"/>
            <w:r w:rsidRPr="00844149">
              <w:rPr>
                <w:rFonts w:ascii="Arial" w:eastAsia="Times New Roman" w:hAnsi="Arial" w:cs="Arial"/>
                <w:b/>
                <w:bCs/>
                <w:kern w:val="0"/>
                <w:sz w:val="14"/>
                <w:szCs w:val="14"/>
                <w:lang w:eastAsia="pt-BR"/>
                <w14:ligatures w14:val="none"/>
              </w:rPr>
              <w:t>)</w:t>
            </w:r>
          </w:p>
        </w:tc>
        <w:tc>
          <w:tcPr>
            <w:tcW w:w="723" w:type="pct"/>
            <w:vMerge/>
            <w:tcBorders>
              <w:top w:val="single" w:sz="4" w:space="0" w:color="auto"/>
              <w:left w:val="single" w:sz="4" w:space="0" w:color="auto"/>
              <w:bottom w:val="single" w:sz="4" w:space="0" w:color="auto"/>
              <w:right w:val="single" w:sz="4" w:space="0" w:color="auto"/>
            </w:tcBorders>
            <w:vAlign w:val="center"/>
            <w:hideMark/>
          </w:tcPr>
          <w:p w14:paraId="524E2A54" w14:textId="77777777" w:rsidR="00844149" w:rsidRPr="00844149" w:rsidRDefault="00844149" w:rsidP="00844149">
            <w:pPr>
              <w:spacing w:after="0" w:line="240" w:lineRule="auto"/>
              <w:rPr>
                <w:rFonts w:ascii="Arial" w:eastAsia="Times New Roman" w:hAnsi="Arial" w:cs="Arial"/>
                <w:b/>
                <w:bCs/>
                <w:kern w:val="0"/>
                <w:sz w:val="14"/>
                <w:szCs w:val="14"/>
                <w:lang w:eastAsia="pt-BR"/>
                <w14:ligatures w14:val="none"/>
              </w:rPr>
            </w:pPr>
          </w:p>
        </w:tc>
      </w:tr>
      <w:tr w:rsidR="00844149" w:rsidRPr="00844149" w14:paraId="5EE5582E"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noWrap/>
            <w:vAlign w:val="bottom"/>
            <w:hideMark/>
          </w:tcPr>
          <w:p w14:paraId="66336964" w14:textId="77777777" w:rsidR="00844149" w:rsidRPr="00844149" w:rsidRDefault="00844149" w:rsidP="00844149">
            <w:pPr>
              <w:spacing w:after="0" w:line="240" w:lineRule="auto"/>
              <w:rPr>
                <w:rFonts w:ascii="Arial" w:eastAsia="Times New Roman" w:hAnsi="Arial" w:cs="Arial"/>
                <w:b/>
                <w:bCs/>
                <w:kern w:val="0"/>
                <w:sz w:val="14"/>
                <w:szCs w:val="14"/>
                <w:lang w:eastAsia="pt-BR"/>
                <w14:ligatures w14:val="none"/>
              </w:rPr>
            </w:pPr>
            <w:r w:rsidRPr="00844149">
              <w:rPr>
                <w:rFonts w:ascii="Arial" w:eastAsia="Times New Roman" w:hAnsi="Arial" w:cs="Arial"/>
                <w:b/>
                <w:bCs/>
                <w:kern w:val="0"/>
                <w:sz w:val="14"/>
                <w:szCs w:val="14"/>
                <w:lang w:eastAsia="pt-BR"/>
                <w14:ligatures w14:val="none"/>
              </w:rPr>
              <w:t>Ativo</w:t>
            </w:r>
          </w:p>
        </w:tc>
        <w:tc>
          <w:tcPr>
            <w:tcW w:w="580" w:type="pct"/>
            <w:tcBorders>
              <w:top w:val="nil"/>
              <w:left w:val="nil"/>
              <w:bottom w:val="single" w:sz="4" w:space="0" w:color="auto"/>
              <w:right w:val="single" w:sz="4" w:space="0" w:color="auto"/>
            </w:tcBorders>
            <w:shd w:val="clear" w:color="auto" w:fill="auto"/>
            <w:vAlign w:val="center"/>
            <w:hideMark/>
          </w:tcPr>
          <w:p w14:paraId="5D5F0548" w14:textId="77777777" w:rsidR="00844149" w:rsidRPr="00844149" w:rsidRDefault="00844149" w:rsidP="00844149">
            <w:pPr>
              <w:spacing w:after="0" w:line="240" w:lineRule="auto"/>
              <w:jc w:val="center"/>
              <w:rPr>
                <w:rFonts w:ascii="Arial" w:eastAsia="Times New Roman" w:hAnsi="Arial" w:cs="Arial"/>
                <w:b/>
                <w:bCs/>
                <w:kern w:val="0"/>
                <w:sz w:val="14"/>
                <w:szCs w:val="14"/>
                <w:lang w:eastAsia="pt-BR"/>
                <w14:ligatures w14:val="none"/>
              </w:rPr>
            </w:pPr>
            <w:r w:rsidRPr="00844149">
              <w:rPr>
                <w:rFonts w:ascii="Arial" w:eastAsia="Times New Roman" w:hAnsi="Arial" w:cs="Arial"/>
                <w:b/>
                <w:bCs/>
                <w:kern w:val="0"/>
                <w:sz w:val="14"/>
                <w:szCs w:val="14"/>
                <w:lang w:eastAsia="pt-BR"/>
                <w14:ligatures w14:val="none"/>
              </w:rPr>
              <w:t> </w:t>
            </w:r>
          </w:p>
        </w:tc>
        <w:tc>
          <w:tcPr>
            <w:tcW w:w="581" w:type="pct"/>
            <w:tcBorders>
              <w:top w:val="nil"/>
              <w:left w:val="nil"/>
              <w:bottom w:val="single" w:sz="4" w:space="0" w:color="auto"/>
              <w:right w:val="single" w:sz="4" w:space="0" w:color="auto"/>
            </w:tcBorders>
            <w:shd w:val="clear" w:color="auto" w:fill="auto"/>
            <w:vAlign w:val="center"/>
            <w:hideMark/>
          </w:tcPr>
          <w:p w14:paraId="215A80D6" w14:textId="77777777" w:rsidR="00844149" w:rsidRPr="00844149" w:rsidRDefault="00844149" w:rsidP="00844149">
            <w:pPr>
              <w:spacing w:after="0" w:line="240" w:lineRule="auto"/>
              <w:jc w:val="center"/>
              <w:rPr>
                <w:rFonts w:ascii="Arial" w:eastAsia="Times New Roman" w:hAnsi="Arial" w:cs="Arial"/>
                <w:b/>
                <w:bCs/>
                <w:kern w:val="0"/>
                <w:sz w:val="14"/>
                <w:szCs w:val="14"/>
                <w:lang w:eastAsia="pt-BR"/>
                <w14:ligatures w14:val="none"/>
              </w:rPr>
            </w:pPr>
            <w:r w:rsidRPr="00844149">
              <w:rPr>
                <w:rFonts w:ascii="Arial" w:eastAsia="Times New Roman" w:hAnsi="Arial" w:cs="Arial"/>
                <w:b/>
                <w:bCs/>
                <w:kern w:val="0"/>
                <w:sz w:val="14"/>
                <w:szCs w:val="14"/>
                <w:lang w:eastAsia="pt-BR"/>
                <w14:ligatures w14:val="none"/>
              </w:rPr>
              <w:t> </w:t>
            </w:r>
          </w:p>
        </w:tc>
        <w:tc>
          <w:tcPr>
            <w:tcW w:w="456" w:type="pct"/>
            <w:tcBorders>
              <w:top w:val="nil"/>
              <w:left w:val="nil"/>
              <w:bottom w:val="single" w:sz="4" w:space="0" w:color="auto"/>
              <w:right w:val="single" w:sz="4" w:space="0" w:color="auto"/>
            </w:tcBorders>
            <w:shd w:val="clear" w:color="auto" w:fill="auto"/>
            <w:vAlign w:val="center"/>
            <w:hideMark/>
          </w:tcPr>
          <w:p w14:paraId="280D57E0" w14:textId="77777777" w:rsidR="00844149" w:rsidRPr="00844149" w:rsidRDefault="00844149" w:rsidP="00844149">
            <w:pPr>
              <w:spacing w:after="0" w:line="240" w:lineRule="auto"/>
              <w:jc w:val="center"/>
              <w:rPr>
                <w:rFonts w:ascii="Arial" w:eastAsia="Times New Roman" w:hAnsi="Arial" w:cs="Arial"/>
                <w:b/>
                <w:bCs/>
                <w:kern w:val="0"/>
                <w:sz w:val="14"/>
                <w:szCs w:val="14"/>
                <w:lang w:eastAsia="pt-BR"/>
                <w14:ligatures w14:val="none"/>
              </w:rPr>
            </w:pPr>
            <w:r w:rsidRPr="00844149">
              <w:rPr>
                <w:rFonts w:ascii="Arial" w:eastAsia="Times New Roman" w:hAnsi="Arial" w:cs="Arial"/>
                <w:b/>
                <w:bCs/>
                <w:kern w:val="0"/>
                <w:sz w:val="14"/>
                <w:szCs w:val="14"/>
                <w:lang w:eastAsia="pt-BR"/>
                <w14:ligatures w14:val="none"/>
              </w:rPr>
              <w:t> </w:t>
            </w:r>
          </w:p>
        </w:tc>
        <w:tc>
          <w:tcPr>
            <w:tcW w:w="559" w:type="pct"/>
            <w:tcBorders>
              <w:top w:val="nil"/>
              <w:left w:val="nil"/>
              <w:bottom w:val="single" w:sz="4" w:space="0" w:color="auto"/>
              <w:right w:val="single" w:sz="4" w:space="0" w:color="auto"/>
            </w:tcBorders>
            <w:shd w:val="clear" w:color="auto" w:fill="auto"/>
            <w:vAlign w:val="center"/>
            <w:hideMark/>
          </w:tcPr>
          <w:p w14:paraId="22F106D1" w14:textId="77777777" w:rsidR="00844149" w:rsidRPr="00844149" w:rsidRDefault="00844149" w:rsidP="00844149">
            <w:pPr>
              <w:spacing w:after="0" w:line="240" w:lineRule="auto"/>
              <w:jc w:val="center"/>
              <w:rPr>
                <w:rFonts w:ascii="Arial" w:eastAsia="Times New Roman" w:hAnsi="Arial" w:cs="Arial"/>
                <w:b/>
                <w:bCs/>
                <w:kern w:val="0"/>
                <w:sz w:val="14"/>
                <w:szCs w:val="14"/>
                <w:lang w:eastAsia="pt-BR"/>
                <w14:ligatures w14:val="none"/>
              </w:rPr>
            </w:pPr>
            <w:r w:rsidRPr="00844149">
              <w:rPr>
                <w:rFonts w:ascii="Arial" w:eastAsia="Times New Roman" w:hAnsi="Arial" w:cs="Arial"/>
                <w:b/>
                <w:bCs/>
                <w:kern w:val="0"/>
                <w:sz w:val="14"/>
                <w:szCs w:val="14"/>
                <w:lang w:eastAsia="pt-BR"/>
                <w14:ligatures w14:val="none"/>
              </w:rPr>
              <w:t> </w:t>
            </w:r>
          </w:p>
        </w:tc>
        <w:tc>
          <w:tcPr>
            <w:tcW w:w="723" w:type="pct"/>
            <w:tcBorders>
              <w:top w:val="nil"/>
              <w:left w:val="nil"/>
              <w:bottom w:val="single" w:sz="4" w:space="0" w:color="auto"/>
              <w:right w:val="single" w:sz="4" w:space="0" w:color="auto"/>
            </w:tcBorders>
            <w:shd w:val="clear" w:color="auto" w:fill="auto"/>
            <w:vAlign w:val="center"/>
            <w:hideMark/>
          </w:tcPr>
          <w:p w14:paraId="139F3C9F" w14:textId="77777777" w:rsidR="00844149" w:rsidRPr="00844149" w:rsidRDefault="00844149" w:rsidP="00844149">
            <w:pPr>
              <w:spacing w:after="0" w:line="240" w:lineRule="auto"/>
              <w:jc w:val="center"/>
              <w:rPr>
                <w:rFonts w:ascii="Arial" w:eastAsia="Times New Roman" w:hAnsi="Arial" w:cs="Arial"/>
                <w:b/>
                <w:bCs/>
                <w:kern w:val="0"/>
                <w:sz w:val="14"/>
                <w:szCs w:val="14"/>
                <w:lang w:eastAsia="pt-BR"/>
                <w14:ligatures w14:val="none"/>
              </w:rPr>
            </w:pPr>
            <w:r w:rsidRPr="00844149">
              <w:rPr>
                <w:rFonts w:ascii="Arial" w:eastAsia="Times New Roman" w:hAnsi="Arial" w:cs="Arial"/>
                <w:b/>
                <w:bCs/>
                <w:kern w:val="0"/>
                <w:sz w:val="14"/>
                <w:szCs w:val="14"/>
                <w:lang w:eastAsia="pt-BR"/>
                <w14:ligatures w14:val="none"/>
              </w:rPr>
              <w:t> </w:t>
            </w:r>
          </w:p>
        </w:tc>
      </w:tr>
      <w:tr w:rsidR="00844149" w:rsidRPr="00844149" w14:paraId="24FA6956"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noWrap/>
            <w:vAlign w:val="bottom"/>
            <w:hideMark/>
          </w:tcPr>
          <w:p w14:paraId="1F74D44C" w14:textId="77777777" w:rsidR="00844149" w:rsidRPr="00844149" w:rsidRDefault="00844149" w:rsidP="00844149">
            <w:pPr>
              <w:spacing w:after="0" w:line="240" w:lineRule="auto"/>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Circulante</w:t>
            </w:r>
          </w:p>
        </w:tc>
        <w:tc>
          <w:tcPr>
            <w:tcW w:w="580" w:type="pct"/>
            <w:tcBorders>
              <w:top w:val="nil"/>
              <w:left w:val="nil"/>
              <w:bottom w:val="single" w:sz="4" w:space="0" w:color="auto"/>
              <w:right w:val="single" w:sz="4" w:space="0" w:color="auto"/>
            </w:tcBorders>
            <w:shd w:val="clear" w:color="auto" w:fill="auto"/>
            <w:noWrap/>
            <w:vAlign w:val="center"/>
            <w:hideMark/>
          </w:tcPr>
          <w:p w14:paraId="60013D8D"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581" w:type="pct"/>
            <w:tcBorders>
              <w:top w:val="nil"/>
              <w:left w:val="nil"/>
              <w:bottom w:val="single" w:sz="4" w:space="0" w:color="auto"/>
              <w:right w:val="single" w:sz="4" w:space="0" w:color="auto"/>
            </w:tcBorders>
            <w:shd w:val="clear" w:color="auto" w:fill="auto"/>
            <w:noWrap/>
            <w:vAlign w:val="center"/>
            <w:hideMark/>
          </w:tcPr>
          <w:p w14:paraId="2AA3312D"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456" w:type="pct"/>
            <w:tcBorders>
              <w:top w:val="nil"/>
              <w:left w:val="nil"/>
              <w:bottom w:val="single" w:sz="4" w:space="0" w:color="auto"/>
              <w:right w:val="single" w:sz="4" w:space="0" w:color="auto"/>
            </w:tcBorders>
            <w:shd w:val="clear" w:color="auto" w:fill="auto"/>
            <w:noWrap/>
            <w:vAlign w:val="center"/>
            <w:hideMark/>
          </w:tcPr>
          <w:p w14:paraId="51A254DA"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559" w:type="pct"/>
            <w:tcBorders>
              <w:top w:val="nil"/>
              <w:left w:val="nil"/>
              <w:bottom w:val="single" w:sz="4" w:space="0" w:color="auto"/>
              <w:right w:val="single" w:sz="4" w:space="0" w:color="auto"/>
            </w:tcBorders>
            <w:shd w:val="clear" w:color="auto" w:fill="auto"/>
            <w:noWrap/>
            <w:vAlign w:val="center"/>
            <w:hideMark/>
          </w:tcPr>
          <w:p w14:paraId="5B9E104D"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723" w:type="pct"/>
            <w:tcBorders>
              <w:top w:val="nil"/>
              <w:left w:val="nil"/>
              <w:bottom w:val="single" w:sz="4" w:space="0" w:color="auto"/>
              <w:right w:val="single" w:sz="4" w:space="0" w:color="auto"/>
            </w:tcBorders>
            <w:shd w:val="clear" w:color="auto" w:fill="auto"/>
            <w:noWrap/>
            <w:vAlign w:val="center"/>
            <w:hideMark/>
          </w:tcPr>
          <w:p w14:paraId="59E44365"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r>
      <w:tr w:rsidR="00844149" w:rsidRPr="00844149" w14:paraId="3F828C9E"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noWrap/>
            <w:vAlign w:val="bottom"/>
            <w:hideMark/>
          </w:tcPr>
          <w:p w14:paraId="35A7D472"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Caixa e Equivalentes de Caixa</w:t>
            </w:r>
          </w:p>
        </w:tc>
        <w:tc>
          <w:tcPr>
            <w:tcW w:w="580" w:type="pct"/>
            <w:tcBorders>
              <w:top w:val="nil"/>
              <w:left w:val="nil"/>
              <w:bottom w:val="single" w:sz="4" w:space="0" w:color="auto"/>
              <w:right w:val="single" w:sz="4" w:space="0" w:color="auto"/>
            </w:tcBorders>
            <w:shd w:val="clear" w:color="auto" w:fill="auto"/>
            <w:noWrap/>
            <w:vAlign w:val="bottom"/>
            <w:hideMark/>
          </w:tcPr>
          <w:p w14:paraId="028DE8D8"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352.611 </w:t>
            </w:r>
          </w:p>
        </w:tc>
        <w:tc>
          <w:tcPr>
            <w:tcW w:w="581" w:type="pct"/>
            <w:tcBorders>
              <w:top w:val="nil"/>
              <w:left w:val="nil"/>
              <w:bottom w:val="single" w:sz="4" w:space="0" w:color="auto"/>
              <w:right w:val="single" w:sz="4" w:space="0" w:color="auto"/>
            </w:tcBorders>
            <w:shd w:val="clear" w:color="auto" w:fill="auto"/>
            <w:noWrap/>
            <w:vAlign w:val="bottom"/>
            <w:hideMark/>
          </w:tcPr>
          <w:p w14:paraId="192A4844"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456" w:type="pct"/>
            <w:tcBorders>
              <w:top w:val="nil"/>
              <w:left w:val="nil"/>
              <w:bottom w:val="single" w:sz="4" w:space="0" w:color="auto"/>
              <w:right w:val="single" w:sz="4" w:space="0" w:color="auto"/>
            </w:tcBorders>
            <w:shd w:val="clear" w:color="auto" w:fill="auto"/>
            <w:noWrap/>
            <w:vAlign w:val="bottom"/>
            <w:hideMark/>
          </w:tcPr>
          <w:p w14:paraId="0623091D"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559" w:type="pct"/>
            <w:tcBorders>
              <w:top w:val="nil"/>
              <w:left w:val="nil"/>
              <w:bottom w:val="single" w:sz="4" w:space="0" w:color="auto"/>
              <w:right w:val="single" w:sz="4" w:space="0" w:color="auto"/>
            </w:tcBorders>
            <w:shd w:val="clear" w:color="auto" w:fill="auto"/>
            <w:noWrap/>
            <w:vAlign w:val="bottom"/>
            <w:hideMark/>
          </w:tcPr>
          <w:p w14:paraId="09214EB1"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723" w:type="pct"/>
            <w:tcBorders>
              <w:top w:val="nil"/>
              <w:left w:val="nil"/>
              <w:bottom w:val="single" w:sz="4" w:space="0" w:color="auto"/>
              <w:right w:val="single" w:sz="4" w:space="0" w:color="auto"/>
            </w:tcBorders>
            <w:shd w:val="clear" w:color="auto" w:fill="auto"/>
            <w:noWrap/>
            <w:vAlign w:val="bottom"/>
            <w:hideMark/>
          </w:tcPr>
          <w:p w14:paraId="5DD495C5"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352.611 </w:t>
            </w:r>
          </w:p>
        </w:tc>
      </w:tr>
      <w:tr w:rsidR="00844149" w:rsidRPr="00844149" w14:paraId="7C3FE866"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noWrap/>
            <w:vAlign w:val="bottom"/>
            <w:hideMark/>
          </w:tcPr>
          <w:p w14:paraId="0E597260"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Contas a Receber de Clientes</w:t>
            </w:r>
          </w:p>
        </w:tc>
        <w:tc>
          <w:tcPr>
            <w:tcW w:w="580" w:type="pct"/>
            <w:tcBorders>
              <w:top w:val="nil"/>
              <w:left w:val="nil"/>
              <w:bottom w:val="single" w:sz="4" w:space="0" w:color="auto"/>
              <w:right w:val="single" w:sz="4" w:space="0" w:color="auto"/>
            </w:tcBorders>
            <w:shd w:val="clear" w:color="auto" w:fill="auto"/>
            <w:noWrap/>
            <w:vAlign w:val="bottom"/>
            <w:hideMark/>
          </w:tcPr>
          <w:p w14:paraId="188592B6"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105.869 </w:t>
            </w:r>
          </w:p>
        </w:tc>
        <w:tc>
          <w:tcPr>
            <w:tcW w:w="581" w:type="pct"/>
            <w:tcBorders>
              <w:top w:val="nil"/>
              <w:left w:val="nil"/>
              <w:bottom w:val="single" w:sz="4" w:space="0" w:color="auto"/>
              <w:right w:val="single" w:sz="4" w:space="0" w:color="auto"/>
            </w:tcBorders>
            <w:shd w:val="clear" w:color="auto" w:fill="auto"/>
            <w:noWrap/>
            <w:vAlign w:val="bottom"/>
            <w:hideMark/>
          </w:tcPr>
          <w:p w14:paraId="575A0EAE"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456" w:type="pct"/>
            <w:tcBorders>
              <w:top w:val="nil"/>
              <w:left w:val="nil"/>
              <w:bottom w:val="single" w:sz="4" w:space="0" w:color="auto"/>
              <w:right w:val="single" w:sz="4" w:space="0" w:color="auto"/>
            </w:tcBorders>
            <w:shd w:val="clear" w:color="auto" w:fill="auto"/>
            <w:noWrap/>
            <w:vAlign w:val="bottom"/>
            <w:hideMark/>
          </w:tcPr>
          <w:p w14:paraId="34F21CC0"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559" w:type="pct"/>
            <w:tcBorders>
              <w:top w:val="nil"/>
              <w:left w:val="nil"/>
              <w:bottom w:val="single" w:sz="4" w:space="0" w:color="auto"/>
              <w:right w:val="single" w:sz="4" w:space="0" w:color="auto"/>
            </w:tcBorders>
            <w:shd w:val="clear" w:color="auto" w:fill="auto"/>
            <w:noWrap/>
            <w:vAlign w:val="bottom"/>
            <w:hideMark/>
          </w:tcPr>
          <w:p w14:paraId="4745CF09"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723" w:type="pct"/>
            <w:tcBorders>
              <w:top w:val="nil"/>
              <w:left w:val="nil"/>
              <w:bottom w:val="single" w:sz="4" w:space="0" w:color="auto"/>
              <w:right w:val="single" w:sz="4" w:space="0" w:color="auto"/>
            </w:tcBorders>
            <w:shd w:val="clear" w:color="auto" w:fill="auto"/>
            <w:noWrap/>
            <w:vAlign w:val="bottom"/>
            <w:hideMark/>
          </w:tcPr>
          <w:p w14:paraId="5C246B94"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105.869 </w:t>
            </w:r>
          </w:p>
        </w:tc>
      </w:tr>
      <w:tr w:rsidR="00844149" w:rsidRPr="00844149" w14:paraId="04BB093D"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noWrap/>
            <w:vAlign w:val="bottom"/>
            <w:hideMark/>
          </w:tcPr>
          <w:p w14:paraId="3AC396E1"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Tributos a Compensar/Recuperar</w:t>
            </w:r>
          </w:p>
        </w:tc>
        <w:tc>
          <w:tcPr>
            <w:tcW w:w="580" w:type="pct"/>
            <w:tcBorders>
              <w:top w:val="nil"/>
              <w:left w:val="nil"/>
              <w:bottom w:val="single" w:sz="4" w:space="0" w:color="auto"/>
              <w:right w:val="single" w:sz="4" w:space="0" w:color="auto"/>
            </w:tcBorders>
            <w:shd w:val="clear" w:color="auto" w:fill="auto"/>
            <w:noWrap/>
            <w:vAlign w:val="bottom"/>
            <w:hideMark/>
          </w:tcPr>
          <w:p w14:paraId="7C7FF918"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169.089 </w:t>
            </w:r>
          </w:p>
        </w:tc>
        <w:tc>
          <w:tcPr>
            <w:tcW w:w="581" w:type="pct"/>
            <w:tcBorders>
              <w:top w:val="nil"/>
              <w:left w:val="nil"/>
              <w:bottom w:val="single" w:sz="4" w:space="0" w:color="auto"/>
              <w:right w:val="single" w:sz="4" w:space="0" w:color="auto"/>
            </w:tcBorders>
            <w:shd w:val="clear" w:color="auto" w:fill="auto"/>
            <w:noWrap/>
            <w:vAlign w:val="bottom"/>
            <w:hideMark/>
          </w:tcPr>
          <w:p w14:paraId="5484193C"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456" w:type="pct"/>
            <w:tcBorders>
              <w:top w:val="nil"/>
              <w:left w:val="nil"/>
              <w:bottom w:val="single" w:sz="4" w:space="0" w:color="auto"/>
              <w:right w:val="single" w:sz="4" w:space="0" w:color="auto"/>
            </w:tcBorders>
            <w:shd w:val="clear" w:color="auto" w:fill="auto"/>
            <w:noWrap/>
            <w:vAlign w:val="bottom"/>
            <w:hideMark/>
          </w:tcPr>
          <w:p w14:paraId="6AC8F507"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559" w:type="pct"/>
            <w:tcBorders>
              <w:top w:val="nil"/>
              <w:left w:val="nil"/>
              <w:bottom w:val="single" w:sz="4" w:space="0" w:color="auto"/>
              <w:right w:val="single" w:sz="4" w:space="0" w:color="auto"/>
            </w:tcBorders>
            <w:shd w:val="clear" w:color="auto" w:fill="auto"/>
            <w:noWrap/>
            <w:vAlign w:val="bottom"/>
            <w:hideMark/>
          </w:tcPr>
          <w:p w14:paraId="3A6CEC67"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723" w:type="pct"/>
            <w:tcBorders>
              <w:top w:val="nil"/>
              <w:left w:val="nil"/>
              <w:bottom w:val="single" w:sz="4" w:space="0" w:color="auto"/>
              <w:right w:val="single" w:sz="4" w:space="0" w:color="auto"/>
            </w:tcBorders>
            <w:shd w:val="clear" w:color="auto" w:fill="auto"/>
            <w:noWrap/>
            <w:vAlign w:val="bottom"/>
            <w:hideMark/>
          </w:tcPr>
          <w:p w14:paraId="7FB603C1"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169.089 </w:t>
            </w:r>
          </w:p>
        </w:tc>
      </w:tr>
      <w:tr w:rsidR="00844149" w:rsidRPr="00844149" w14:paraId="34D02F28"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noWrap/>
            <w:vAlign w:val="bottom"/>
            <w:hideMark/>
          </w:tcPr>
          <w:p w14:paraId="165E2209"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Depósitos Judiciais</w:t>
            </w:r>
          </w:p>
        </w:tc>
        <w:tc>
          <w:tcPr>
            <w:tcW w:w="580" w:type="pct"/>
            <w:tcBorders>
              <w:top w:val="nil"/>
              <w:left w:val="nil"/>
              <w:bottom w:val="single" w:sz="4" w:space="0" w:color="auto"/>
              <w:right w:val="single" w:sz="4" w:space="0" w:color="auto"/>
            </w:tcBorders>
            <w:shd w:val="clear" w:color="auto" w:fill="auto"/>
            <w:noWrap/>
            <w:vAlign w:val="bottom"/>
            <w:hideMark/>
          </w:tcPr>
          <w:p w14:paraId="344C6194"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7.114 </w:t>
            </w:r>
          </w:p>
        </w:tc>
        <w:tc>
          <w:tcPr>
            <w:tcW w:w="581" w:type="pct"/>
            <w:tcBorders>
              <w:top w:val="nil"/>
              <w:left w:val="nil"/>
              <w:bottom w:val="single" w:sz="4" w:space="0" w:color="auto"/>
              <w:right w:val="single" w:sz="4" w:space="0" w:color="auto"/>
            </w:tcBorders>
            <w:shd w:val="clear" w:color="auto" w:fill="auto"/>
            <w:noWrap/>
            <w:vAlign w:val="bottom"/>
            <w:hideMark/>
          </w:tcPr>
          <w:p w14:paraId="714827FB"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456" w:type="pct"/>
            <w:tcBorders>
              <w:top w:val="nil"/>
              <w:left w:val="nil"/>
              <w:bottom w:val="single" w:sz="4" w:space="0" w:color="auto"/>
              <w:right w:val="single" w:sz="4" w:space="0" w:color="auto"/>
            </w:tcBorders>
            <w:shd w:val="clear" w:color="auto" w:fill="auto"/>
            <w:noWrap/>
            <w:vAlign w:val="bottom"/>
            <w:hideMark/>
          </w:tcPr>
          <w:p w14:paraId="7832B161"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559" w:type="pct"/>
            <w:tcBorders>
              <w:top w:val="nil"/>
              <w:left w:val="nil"/>
              <w:bottom w:val="single" w:sz="4" w:space="0" w:color="auto"/>
              <w:right w:val="single" w:sz="4" w:space="0" w:color="auto"/>
            </w:tcBorders>
            <w:shd w:val="clear" w:color="auto" w:fill="auto"/>
            <w:noWrap/>
            <w:vAlign w:val="bottom"/>
            <w:hideMark/>
          </w:tcPr>
          <w:p w14:paraId="4BCBD757"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723" w:type="pct"/>
            <w:tcBorders>
              <w:top w:val="nil"/>
              <w:left w:val="nil"/>
              <w:bottom w:val="single" w:sz="4" w:space="0" w:color="auto"/>
              <w:right w:val="single" w:sz="4" w:space="0" w:color="auto"/>
            </w:tcBorders>
            <w:shd w:val="clear" w:color="auto" w:fill="auto"/>
            <w:noWrap/>
            <w:vAlign w:val="bottom"/>
            <w:hideMark/>
          </w:tcPr>
          <w:p w14:paraId="6610FD3E"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7.114 </w:t>
            </w:r>
          </w:p>
        </w:tc>
      </w:tr>
      <w:tr w:rsidR="00844149" w:rsidRPr="00844149" w14:paraId="368AED8F"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noWrap/>
            <w:vAlign w:val="bottom"/>
            <w:hideMark/>
          </w:tcPr>
          <w:p w14:paraId="31ADE022"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lastRenderedPageBreak/>
              <w:t>Aplicações Financeiras</w:t>
            </w:r>
          </w:p>
        </w:tc>
        <w:tc>
          <w:tcPr>
            <w:tcW w:w="580" w:type="pct"/>
            <w:tcBorders>
              <w:top w:val="nil"/>
              <w:left w:val="nil"/>
              <w:bottom w:val="single" w:sz="4" w:space="0" w:color="auto"/>
              <w:right w:val="single" w:sz="4" w:space="0" w:color="auto"/>
            </w:tcBorders>
            <w:shd w:val="clear" w:color="auto" w:fill="auto"/>
            <w:noWrap/>
            <w:vAlign w:val="bottom"/>
            <w:hideMark/>
          </w:tcPr>
          <w:p w14:paraId="767C4094"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822.352 </w:t>
            </w:r>
          </w:p>
        </w:tc>
        <w:tc>
          <w:tcPr>
            <w:tcW w:w="581" w:type="pct"/>
            <w:tcBorders>
              <w:top w:val="nil"/>
              <w:left w:val="nil"/>
              <w:bottom w:val="single" w:sz="4" w:space="0" w:color="auto"/>
              <w:right w:val="single" w:sz="4" w:space="0" w:color="auto"/>
            </w:tcBorders>
            <w:shd w:val="clear" w:color="auto" w:fill="auto"/>
            <w:noWrap/>
            <w:vAlign w:val="bottom"/>
            <w:hideMark/>
          </w:tcPr>
          <w:p w14:paraId="17C671DE"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456" w:type="pct"/>
            <w:tcBorders>
              <w:top w:val="nil"/>
              <w:left w:val="nil"/>
              <w:bottom w:val="single" w:sz="4" w:space="0" w:color="auto"/>
              <w:right w:val="single" w:sz="4" w:space="0" w:color="auto"/>
            </w:tcBorders>
            <w:shd w:val="clear" w:color="auto" w:fill="auto"/>
            <w:noWrap/>
            <w:vAlign w:val="bottom"/>
            <w:hideMark/>
          </w:tcPr>
          <w:p w14:paraId="330B0E1E"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559" w:type="pct"/>
            <w:tcBorders>
              <w:top w:val="nil"/>
              <w:left w:val="nil"/>
              <w:bottom w:val="single" w:sz="4" w:space="0" w:color="auto"/>
              <w:right w:val="single" w:sz="4" w:space="0" w:color="auto"/>
            </w:tcBorders>
            <w:shd w:val="clear" w:color="auto" w:fill="auto"/>
            <w:noWrap/>
            <w:vAlign w:val="bottom"/>
            <w:hideMark/>
          </w:tcPr>
          <w:p w14:paraId="4A295EC7"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723" w:type="pct"/>
            <w:tcBorders>
              <w:top w:val="nil"/>
              <w:left w:val="nil"/>
              <w:bottom w:val="single" w:sz="4" w:space="0" w:color="auto"/>
              <w:right w:val="single" w:sz="4" w:space="0" w:color="auto"/>
            </w:tcBorders>
            <w:shd w:val="clear" w:color="auto" w:fill="auto"/>
            <w:noWrap/>
            <w:vAlign w:val="bottom"/>
            <w:hideMark/>
          </w:tcPr>
          <w:p w14:paraId="3025D5E1"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822.352 </w:t>
            </w:r>
          </w:p>
        </w:tc>
      </w:tr>
      <w:tr w:rsidR="00844149" w:rsidRPr="00844149" w14:paraId="0D177DB4"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noWrap/>
            <w:vAlign w:val="bottom"/>
            <w:hideMark/>
          </w:tcPr>
          <w:p w14:paraId="0AC8521B"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Superávit - Previdência Privada</w:t>
            </w:r>
          </w:p>
        </w:tc>
        <w:tc>
          <w:tcPr>
            <w:tcW w:w="580" w:type="pct"/>
            <w:tcBorders>
              <w:top w:val="nil"/>
              <w:left w:val="nil"/>
              <w:bottom w:val="single" w:sz="4" w:space="0" w:color="auto"/>
              <w:right w:val="single" w:sz="4" w:space="0" w:color="auto"/>
            </w:tcBorders>
            <w:shd w:val="clear" w:color="auto" w:fill="auto"/>
            <w:noWrap/>
            <w:vAlign w:val="bottom"/>
            <w:hideMark/>
          </w:tcPr>
          <w:p w14:paraId="42029067"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   </w:t>
            </w:r>
          </w:p>
        </w:tc>
        <w:tc>
          <w:tcPr>
            <w:tcW w:w="581" w:type="pct"/>
            <w:tcBorders>
              <w:top w:val="nil"/>
              <w:left w:val="nil"/>
              <w:bottom w:val="single" w:sz="4" w:space="0" w:color="auto"/>
              <w:right w:val="single" w:sz="4" w:space="0" w:color="auto"/>
            </w:tcBorders>
            <w:shd w:val="clear" w:color="auto" w:fill="auto"/>
            <w:noWrap/>
            <w:vAlign w:val="bottom"/>
            <w:hideMark/>
          </w:tcPr>
          <w:p w14:paraId="776A9AE7"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456" w:type="pct"/>
            <w:tcBorders>
              <w:top w:val="nil"/>
              <w:left w:val="nil"/>
              <w:bottom w:val="single" w:sz="4" w:space="0" w:color="auto"/>
              <w:right w:val="single" w:sz="4" w:space="0" w:color="auto"/>
            </w:tcBorders>
            <w:shd w:val="clear" w:color="auto" w:fill="auto"/>
            <w:noWrap/>
            <w:vAlign w:val="bottom"/>
            <w:hideMark/>
          </w:tcPr>
          <w:p w14:paraId="4FC587CD"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559" w:type="pct"/>
            <w:tcBorders>
              <w:top w:val="nil"/>
              <w:left w:val="nil"/>
              <w:bottom w:val="single" w:sz="4" w:space="0" w:color="auto"/>
              <w:right w:val="single" w:sz="4" w:space="0" w:color="auto"/>
            </w:tcBorders>
            <w:shd w:val="clear" w:color="auto" w:fill="auto"/>
            <w:noWrap/>
            <w:vAlign w:val="bottom"/>
            <w:hideMark/>
          </w:tcPr>
          <w:p w14:paraId="67F7B549"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723" w:type="pct"/>
            <w:tcBorders>
              <w:top w:val="nil"/>
              <w:left w:val="nil"/>
              <w:bottom w:val="single" w:sz="4" w:space="0" w:color="auto"/>
              <w:right w:val="single" w:sz="4" w:space="0" w:color="auto"/>
            </w:tcBorders>
            <w:shd w:val="clear" w:color="auto" w:fill="auto"/>
            <w:noWrap/>
            <w:vAlign w:val="bottom"/>
            <w:hideMark/>
          </w:tcPr>
          <w:p w14:paraId="24F2AE5A"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   </w:t>
            </w:r>
          </w:p>
        </w:tc>
      </w:tr>
      <w:tr w:rsidR="00844149" w:rsidRPr="00844149" w14:paraId="589D3CDE"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noWrap/>
            <w:vAlign w:val="bottom"/>
            <w:hideMark/>
          </w:tcPr>
          <w:p w14:paraId="593E0F0C"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Valores a Receber de Colaboradores Cedidos</w:t>
            </w:r>
          </w:p>
        </w:tc>
        <w:tc>
          <w:tcPr>
            <w:tcW w:w="580" w:type="pct"/>
            <w:tcBorders>
              <w:top w:val="nil"/>
              <w:left w:val="nil"/>
              <w:bottom w:val="single" w:sz="4" w:space="0" w:color="auto"/>
              <w:right w:val="single" w:sz="4" w:space="0" w:color="auto"/>
            </w:tcBorders>
            <w:shd w:val="clear" w:color="auto" w:fill="auto"/>
            <w:noWrap/>
            <w:vAlign w:val="bottom"/>
            <w:hideMark/>
          </w:tcPr>
          <w:p w14:paraId="3CD42317"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1.945 </w:t>
            </w:r>
          </w:p>
        </w:tc>
        <w:tc>
          <w:tcPr>
            <w:tcW w:w="581" w:type="pct"/>
            <w:tcBorders>
              <w:top w:val="nil"/>
              <w:left w:val="nil"/>
              <w:bottom w:val="single" w:sz="4" w:space="0" w:color="auto"/>
              <w:right w:val="single" w:sz="4" w:space="0" w:color="auto"/>
            </w:tcBorders>
            <w:shd w:val="clear" w:color="auto" w:fill="auto"/>
            <w:noWrap/>
            <w:vAlign w:val="bottom"/>
            <w:hideMark/>
          </w:tcPr>
          <w:p w14:paraId="3152FA21"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456" w:type="pct"/>
            <w:tcBorders>
              <w:top w:val="nil"/>
              <w:left w:val="nil"/>
              <w:bottom w:val="single" w:sz="4" w:space="0" w:color="auto"/>
              <w:right w:val="single" w:sz="4" w:space="0" w:color="auto"/>
            </w:tcBorders>
            <w:shd w:val="clear" w:color="auto" w:fill="auto"/>
            <w:noWrap/>
            <w:vAlign w:val="bottom"/>
            <w:hideMark/>
          </w:tcPr>
          <w:p w14:paraId="5752967C"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559" w:type="pct"/>
            <w:tcBorders>
              <w:top w:val="nil"/>
              <w:left w:val="nil"/>
              <w:bottom w:val="single" w:sz="4" w:space="0" w:color="auto"/>
              <w:right w:val="single" w:sz="4" w:space="0" w:color="auto"/>
            </w:tcBorders>
            <w:shd w:val="clear" w:color="auto" w:fill="auto"/>
            <w:noWrap/>
            <w:vAlign w:val="bottom"/>
            <w:hideMark/>
          </w:tcPr>
          <w:p w14:paraId="1663EC5D"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723" w:type="pct"/>
            <w:tcBorders>
              <w:top w:val="nil"/>
              <w:left w:val="nil"/>
              <w:bottom w:val="single" w:sz="4" w:space="0" w:color="auto"/>
              <w:right w:val="single" w:sz="4" w:space="0" w:color="auto"/>
            </w:tcBorders>
            <w:shd w:val="clear" w:color="auto" w:fill="auto"/>
            <w:noWrap/>
            <w:vAlign w:val="bottom"/>
            <w:hideMark/>
          </w:tcPr>
          <w:p w14:paraId="126F730C"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1.945 </w:t>
            </w:r>
          </w:p>
        </w:tc>
      </w:tr>
      <w:tr w:rsidR="00844149" w:rsidRPr="00844149" w14:paraId="598E3030"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noWrap/>
            <w:vAlign w:val="bottom"/>
            <w:hideMark/>
          </w:tcPr>
          <w:p w14:paraId="2335029E"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Outros Ativos Realizáveis</w:t>
            </w:r>
          </w:p>
        </w:tc>
        <w:tc>
          <w:tcPr>
            <w:tcW w:w="580" w:type="pct"/>
            <w:tcBorders>
              <w:top w:val="nil"/>
              <w:left w:val="nil"/>
              <w:bottom w:val="single" w:sz="4" w:space="0" w:color="auto"/>
              <w:right w:val="single" w:sz="4" w:space="0" w:color="auto"/>
            </w:tcBorders>
            <w:shd w:val="clear" w:color="auto" w:fill="auto"/>
            <w:noWrap/>
            <w:vAlign w:val="bottom"/>
            <w:hideMark/>
          </w:tcPr>
          <w:p w14:paraId="43B22570"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69.730 </w:t>
            </w:r>
          </w:p>
        </w:tc>
        <w:tc>
          <w:tcPr>
            <w:tcW w:w="581" w:type="pct"/>
            <w:tcBorders>
              <w:top w:val="nil"/>
              <w:left w:val="nil"/>
              <w:bottom w:val="single" w:sz="4" w:space="0" w:color="auto"/>
              <w:right w:val="single" w:sz="4" w:space="0" w:color="auto"/>
            </w:tcBorders>
            <w:shd w:val="clear" w:color="auto" w:fill="auto"/>
            <w:noWrap/>
            <w:vAlign w:val="bottom"/>
            <w:hideMark/>
          </w:tcPr>
          <w:p w14:paraId="245322D0"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456" w:type="pct"/>
            <w:tcBorders>
              <w:top w:val="nil"/>
              <w:left w:val="nil"/>
              <w:bottom w:val="single" w:sz="4" w:space="0" w:color="auto"/>
              <w:right w:val="single" w:sz="4" w:space="0" w:color="auto"/>
            </w:tcBorders>
            <w:shd w:val="clear" w:color="auto" w:fill="auto"/>
            <w:noWrap/>
            <w:vAlign w:val="bottom"/>
            <w:hideMark/>
          </w:tcPr>
          <w:p w14:paraId="246B5956"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559" w:type="pct"/>
            <w:tcBorders>
              <w:top w:val="nil"/>
              <w:left w:val="nil"/>
              <w:bottom w:val="single" w:sz="4" w:space="0" w:color="auto"/>
              <w:right w:val="single" w:sz="4" w:space="0" w:color="auto"/>
            </w:tcBorders>
            <w:shd w:val="clear" w:color="auto" w:fill="auto"/>
            <w:noWrap/>
            <w:vAlign w:val="bottom"/>
            <w:hideMark/>
          </w:tcPr>
          <w:p w14:paraId="454EEE91"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723" w:type="pct"/>
            <w:tcBorders>
              <w:top w:val="nil"/>
              <w:left w:val="nil"/>
              <w:bottom w:val="single" w:sz="4" w:space="0" w:color="auto"/>
              <w:right w:val="single" w:sz="4" w:space="0" w:color="auto"/>
            </w:tcBorders>
            <w:shd w:val="clear" w:color="auto" w:fill="auto"/>
            <w:noWrap/>
            <w:vAlign w:val="bottom"/>
            <w:hideMark/>
          </w:tcPr>
          <w:p w14:paraId="0022FE9B"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69.730 </w:t>
            </w:r>
          </w:p>
        </w:tc>
      </w:tr>
      <w:tr w:rsidR="00844149" w:rsidRPr="00844149" w14:paraId="63D7359F"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noWrap/>
            <w:vAlign w:val="bottom"/>
            <w:hideMark/>
          </w:tcPr>
          <w:p w14:paraId="3EDB7DE7" w14:textId="77777777" w:rsidR="00844149" w:rsidRPr="00844149" w:rsidRDefault="00844149" w:rsidP="00844149">
            <w:pPr>
              <w:spacing w:after="0" w:line="240" w:lineRule="auto"/>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Total do Circulante</w:t>
            </w:r>
          </w:p>
        </w:tc>
        <w:tc>
          <w:tcPr>
            <w:tcW w:w="580" w:type="pct"/>
            <w:tcBorders>
              <w:top w:val="nil"/>
              <w:left w:val="nil"/>
              <w:bottom w:val="single" w:sz="4" w:space="0" w:color="auto"/>
              <w:right w:val="single" w:sz="4" w:space="0" w:color="auto"/>
            </w:tcBorders>
            <w:shd w:val="clear" w:color="auto" w:fill="auto"/>
            <w:noWrap/>
            <w:vAlign w:val="bottom"/>
            <w:hideMark/>
          </w:tcPr>
          <w:p w14:paraId="0579CE54" w14:textId="77777777" w:rsidR="00844149" w:rsidRPr="00844149" w:rsidRDefault="00844149" w:rsidP="00844149">
            <w:pPr>
              <w:spacing w:after="0" w:line="240" w:lineRule="auto"/>
              <w:jc w:val="right"/>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 xml:space="preserve">         1.528.710 </w:t>
            </w:r>
          </w:p>
        </w:tc>
        <w:tc>
          <w:tcPr>
            <w:tcW w:w="581" w:type="pct"/>
            <w:tcBorders>
              <w:top w:val="nil"/>
              <w:left w:val="nil"/>
              <w:bottom w:val="single" w:sz="4" w:space="0" w:color="auto"/>
              <w:right w:val="single" w:sz="4" w:space="0" w:color="auto"/>
            </w:tcBorders>
            <w:shd w:val="clear" w:color="auto" w:fill="auto"/>
            <w:noWrap/>
            <w:vAlign w:val="bottom"/>
            <w:hideMark/>
          </w:tcPr>
          <w:p w14:paraId="2CED23F7" w14:textId="77777777" w:rsidR="00844149" w:rsidRPr="00844149" w:rsidRDefault="00844149" w:rsidP="00844149">
            <w:pPr>
              <w:spacing w:after="0" w:line="240" w:lineRule="auto"/>
              <w:jc w:val="right"/>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 xml:space="preserve">                  -   </w:t>
            </w:r>
          </w:p>
        </w:tc>
        <w:tc>
          <w:tcPr>
            <w:tcW w:w="456" w:type="pct"/>
            <w:tcBorders>
              <w:top w:val="nil"/>
              <w:left w:val="nil"/>
              <w:bottom w:val="single" w:sz="4" w:space="0" w:color="auto"/>
              <w:right w:val="single" w:sz="4" w:space="0" w:color="auto"/>
            </w:tcBorders>
            <w:shd w:val="clear" w:color="auto" w:fill="auto"/>
            <w:noWrap/>
            <w:vAlign w:val="bottom"/>
            <w:hideMark/>
          </w:tcPr>
          <w:p w14:paraId="20897E18" w14:textId="77777777" w:rsidR="00844149" w:rsidRPr="00844149" w:rsidRDefault="00844149" w:rsidP="00844149">
            <w:pPr>
              <w:spacing w:after="0" w:line="240" w:lineRule="auto"/>
              <w:jc w:val="right"/>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 xml:space="preserve">                  -   </w:t>
            </w:r>
          </w:p>
        </w:tc>
        <w:tc>
          <w:tcPr>
            <w:tcW w:w="559" w:type="pct"/>
            <w:tcBorders>
              <w:top w:val="nil"/>
              <w:left w:val="nil"/>
              <w:bottom w:val="single" w:sz="4" w:space="0" w:color="auto"/>
              <w:right w:val="single" w:sz="4" w:space="0" w:color="auto"/>
            </w:tcBorders>
            <w:shd w:val="clear" w:color="auto" w:fill="auto"/>
            <w:noWrap/>
            <w:vAlign w:val="bottom"/>
            <w:hideMark/>
          </w:tcPr>
          <w:p w14:paraId="55B71D82" w14:textId="77777777" w:rsidR="00844149" w:rsidRPr="00844149" w:rsidRDefault="00844149" w:rsidP="00844149">
            <w:pPr>
              <w:spacing w:after="0" w:line="240" w:lineRule="auto"/>
              <w:jc w:val="right"/>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 xml:space="preserve">                       -   </w:t>
            </w:r>
          </w:p>
        </w:tc>
        <w:tc>
          <w:tcPr>
            <w:tcW w:w="723" w:type="pct"/>
            <w:tcBorders>
              <w:top w:val="nil"/>
              <w:left w:val="nil"/>
              <w:bottom w:val="single" w:sz="4" w:space="0" w:color="auto"/>
              <w:right w:val="single" w:sz="4" w:space="0" w:color="auto"/>
            </w:tcBorders>
            <w:shd w:val="clear" w:color="auto" w:fill="auto"/>
            <w:noWrap/>
            <w:vAlign w:val="bottom"/>
            <w:hideMark/>
          </w:tcPr>
          <w:p w14:paraId="6CF3E64E" w14:textId="77777777" w:rsidR="00844149" w:rsidRPr="00844149" w:rsidRDefault="00844149" w:rsidP="00844149">
            <w:pPr>
              <w:spacing w:after="0" w:line="240" w:lineRule="auto"/>
              <w:jc w:val="right"/>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 xml:space="preserve">              1.528.710 </w:t>
            </w:r>
          </w:p>
        </w:tc>
      </w:tr>
      <w:tr w:rsidR="00844149" w:rsidRPr="00844149" w14:paraId="719B82E0"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noWrap/>
            <w:vAlign w:val="bottom"/>
            <w:hideMark/>
          </w:tcPr>
          <w:p w14:paraId="5230F532" w14:textId="77777777" w:rsidR="00844149" w:rsidRPr="00844149" w:rsidRDefault="00844149" w:rsidP="00844149">
            <w:pPr>
              <w:spacing w:after="0" w:line="240" w:lineRule="auto"/>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Não Circulante</w:t>
            </w:r>
          </w:p>
        </w:tc>
        <w:tc>
          <w:tcPr>
            <w:tcW w:w="580" w:type="pct"/>
            <w:tcBorders>
              <w:top w:val="nil"/>
              <w:left w:val="nil"/>
              <w:bottom w:val="single" w:sz="4" w:space="0" w:color="auto"/>
              <w:right w:val="single" w:sz="4" w:space="0" w:color="auto"/>
            </w:tcBorders>
            <w:shd w:val="clear" w:color="auto" w:fill="auto"/>
            <w:noWrap/>
            <w:vAlign w:val="bottom"/>
            <w:hideMark/>
          </w:tcPr>
          <w:p w14:paraId="3B3B503D"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581" w:type="pct"/>
            <w:tcBorders>
              <w:top w:val="nil"/>
              <w:left w:val="nil"/>
              <w:bottom w:val="single" w:sz="4" w:space="0" w:color="auto"/>
              <w:right w:val="single" w:sz="4" w:space="0" w:color="auto"/>
            </w:tcBorders>
            <w:shd w:val="clear" w:color="auto" w:fill="auto"/>
            <w:noWrap/>
            <w:vAlign w:val="bottom"/>
            <w:hideMark/>
          </w:tcPr>
          <w:p w14:paraId="6D81FC2A"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456" w:type="pct"/>
            <w:tcBorders>
              <w:top w:val="nil"/>
              <w:left w:val="nil"/>
              <w:bottom w:val="single" w:sz="4" w:space="0" w:color="auto"/>
              <w:right w:val="single" w:sz="4" w:space="0" w:color="auto"/>
            </w:tcBorders>
            <w:shd w:val="clear" w:color="auto" w:fill="auto"/>
            <w:noWrap/>
            <w:vAlign w:val="bottom"/>
            <w:hideMark/>
          </w:tcPr>
          <w:p w14:paraId="2EB3C674"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559" w:type="pct"/>
            <w:tcBorders>
              <w:top w:val="nil"/>
              <w:left w:val="nil"/>
              <w:bottom w:val="single" w:sz="4" w:space="0" w:color="auto"/>
              <w:right w:val="single" w:sz="4" w:space="0" w:color="auto"/>
            </w:tcBorders>
            <w:shd w:val="clear" w:color="auto" w:fill="auto"/>
            <w:noWrap/>
            <w:vAlign w:val="bottom"/>
            <w:hideMark/>
          </w:tcPr>
          <w:p w14:paraId="41D118E5"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723" w:type="pct"/>
            <w:tcBorders>
              <w:top w:val="nil"/>
              <w:left w:val="nil"/>
              <w:bottom w:val="single" w:sz="4" w:space="0" w:color="auto"/>
              <w:right w:val="single" w:sz="4" w:space="0" w:color="auto"/>
            </w:tcBorders>
            <w:shd w:val="clear" w:color="auto" w:fill="auto"/>
            <w:noWrap/>
            <w:vAlign w:val="bottom"/>
            <w:hideMark/>
          </w:tcPr>
          <w:p w14:paraId="0DB4F158"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r>
      <w:tr w:rsidR="00844149" w:rsidRPr="00844149" w14:paraId="46149736"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noWrap/>
            <w:vAlign w:val="bottom"/>
            <w:hideMark/>
          </w:tcPr>
          <w:p w14:paraId="75F8B745"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Aplicações Financeiras</w:t>
            </w:r>
          </w:p>
        </w:tc>
        <w:tc>
          <w:tcPr>
            <w:tcW w:w="580" w:type="pct"/>
            <w:tcBorders>
              <w:top w:val="nil"/>
              <w:left w:val="nil"/>
              <w:bottom w:val="single" w:sz="4" w:space="0" w:color="auto"/>
              <w:right w:val="single" w:sz="4" w:space="0" w:color="auto"/>
            </w:tcBorders>
            <w:shd w:val="clear" w:color="auto" w:fill="auto"/>
            <w:noWrap/>
            <w:vAlign w:val="bottom"/>
            <w:hideMark/>
          </w:tcPr>
          <w:p w14:paraId="619BC17C"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72.479 </w:t>
            </w:r>
          </w:p>
        </w:tc>
        <w:tc>
          <w:tcPr>
            <w:tcW w:w="581" w:type="pct"/>
            <w:tcBorders>
              <w:top w:val="nil"/>
              <w:left w:val="nil"/>
              <w:bottom w:val="single" w:sz="4" w:space="0" w:color="auto"/>
              <w:right w:val="single" w:sz="4" w:space="0" w:color="auto"/>
            </w:tcBorders>
            <w:shd w:val="clear" w:color="auto" w:fill="auto"/>
            <w:noWrap/>
            <w:vAlign w:val="bottom"/>
            <w:hideMark/>
          </w:tcPr>
          <w:p w14:paraId="2F5A8FC9"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456" w:type="pct"/>
            <w:tcBorders>
              <w:top w:val="nil"/>
              <w:left w:val="nil"/>
              <w:bottom w:val="single" w:sz="4" w:space="0" w:color="auto"/>
              <w:right w:val="single" w:sz="4" w:space="0" w:color="auto"/>
            </w:tcBorders>
            <w:shd w:val="clear" w:color="auto" w:fill="auto"/>
            <w:noWrap/>
            <w:vAlign w:val="bottom"/>
            <w:hideMark/>
          </w:tcPr>
          <w:p w14:paraId="404ACE69"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559" w:type="pct"/>
            <w:tcBorders>
              <w:top w:val="nil"/>
              <w:left w:val="nil"/>
              <w:bottom w:val="single" w:sz="4" w:space="0" w:color="auto"/>
              <w:right w:val="single" w:sz="4" w:space="0" w:color="auto"/>
            </w:tcBorders>
            <w:shd w:val="clear" w:color="auto" w:fill="auto"/>
            <w:noWrap/>
            <w:vAlign w:val="bottom"/>
            <w:hideMark/>
          </w:tcPr>
          <w:p w14:paraId="10DD7B6C"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723" w:type="pct"/>
            <w:tcBorders>
              <w:top w:val="nil"/>
              <w:left w:val="nil"/>
              <w:bottom w:val="single" w:sz="4" w:space="0" w:color="auto"/>
              <w:right w:val="single" w:sz="4" w:space="0" w:color="auto"/>
            </w:tcBorders>
            <w:shd w:val="clear" w:color="auto" w:fill="auto"/>
            <w:noWrap/>
            <w:vAlign w:val="bottom"/>
            <w:hideMark/>
          </w:tcPr>
          <w:p w14:paraId="1BD49995"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72.479 </w:t>
            </w:r>
          </w:p>
        </w:tc>
      </w:tr>
      <w:tr w:rsidR="00844149" w:rsidRPr="00844149" w14:paraId="7A0C38A7"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noWrap/>
            <w:vAlign w:val="bottom"/>
            <w:hideMark/>
          </w:tcPr>
          <w:p w14:paraId="1EF9C14B"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Tributos a Compensar/Recuperar</w:t>
            </w:r>
          </w:p>
        </w:tc>
        <w:tc>
          <w:tcPr>
            <w:tcW w:w="580" w:type="pct"/>
            <w:tcBorders>
              <w:top w:val="nil"/>
              <w:left w:val="nil"/>
              <w:bottom w:val="single" w:sz="4" w:space="0" w:color="auto"/>
              <w:right w:val="single" w:sz="4" w:space="0" w:color="auto"/>
            </w:tcBorders>
            <w:shd w:val="clear" w:color="auto" w:fill="auto"/>
            <w:noWrap/>
            <w:vAlign w:val="bottom"/>
            <w:hideMark/>
          </w:tcPr>
          <w:p w14:paraId="6E792971"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9.225 </w:t>
            </w:r>
          </w:p>
        </w:tc>
        <w:tc>
          <w:tcPr>
            <w:tcW w:w="581" w:type="pct"/>
            <w:tcBorders>
              <w:top w:val="nil"/>
              <w:left w:val="nil"/>
              <w:bottom w:val="single" w:sz="4" w:space="0" w:color="auto"/>
              <w:right w:val="single" w:sz="4" w:space="0" w:color="auto"/>
            </w:tcBorders>
            <w:shd w:val="clear" w:color="auto" w:fill="auto"/>
            <w:noWrap/>
            <w:vAlign w:val="bottom"/>
            <w:hideMark/>
          </w:tcPr>
          <w:p w14:paraId="3937D407"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456" w:type="pct"/>
            <w:tcBorders>
              <w:top w:val="nil"/>
              <w:left w:val="nil"/>
              <w:bottom w:val="single" w:sz="4" w:space="0" w:color="auto"/>
              <w:right w:val="single" w:sz="4" w:space="0" w:color="auto"/>
            </w:tcBorders>
            <w:shd w:val="clear" w:color="auto" w:fill="auto"/>
            <w:noWrap/>
            <w:vAlign w:val="bottom"/>
            <w:hideMark/>
          </w:tcPr>
          <w:p w14:paraId="2DCDF3AD"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559" w:type="pct"/>
            <w:tcBorders>
              <w:top w:val="nil"/>
              <w:left w:val="nil"/>
              <w:bottom w:val="single" w:sz="4" w:space="0" w:color="auto"/>
              <w:right w:val="single" w:sz="4" w:space="0" w:color="auto"/>
            </w:tcBorders>
            <w:shd w:val="clear" w:color="auto" w:fill="auto"/>
            <w:noWrap/>
            <w:vAlign w:val="bottom"/>
            <w:hideMark/>
          </w:tcPr>
          <w:p w14:paraId="5109F33C"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723" w:type="pct"/>
            <w:tcBorders>
              <w:top w:val="nil"/>
              <w:left w:val="nil"/>
              <w:bottom w:val="single" w:sz="4" w:space="0" w:color="auto"/>
              <w:right w:val="single" w:sz="4" w:space="0" w:color="auto"/>
            </w:tcBorders>
            <w:shd w:val="clear" w:color="auto" w:fill="auto"/>
            <w:noWrap/>
            <w:vAlign w:val="bottom"/>
            <w:hideMark/>
          </w:tcPr>
          <w:p w14:paraId="05C53844"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9.225 </w:t>
            </w:r>
          </w:p>
        </w:tc>
      </w:tr>
      <w:tr w:rsidR="00844149" w:rsidRPr="00844149" w14:paraId="074F3C98"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noWrap/>
            <w:vAlign w:val="bottom"/>
            <w:hideMark/>
          </w:tcPr>
          <w:p w14:paraId="41E66876"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Depósitos Judiciais</w:t>
            </w:r>
          </w:p>
        </w:tc>
        <w:tc>
          <w:tcPr>
            <w:tcW w:w="580" w:type="pct"/>
            <w:tcBorders>
              <w:top w:val="nil"/>
              <w:left w:val="nil"/>
              <w:bottom w:val="single" w:sz="4" w:space="0" w:color="auto"/>
              <w:right w:val="single" w:sz="4" w:space="0" w:color="auto"/>
            </w:tcBorders>
            <w:shd w:val="clear" w:color="auto" w:fill="auto"/>
            <w:noWrap/>
            <w:vAlign w:val="bottom"/>
            <w:hideMark/>
          </w:tcPr>
          <w:p w14:paraId="3F425235"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41.311 </w:t>
            </w:r>
          </w:p>
        </w:tc>
        <w:tc>
          <w:tcPr>
            <w:tcW w:w="581" w:type="pct"/>
            <w:tcBorders>
              <w:top w:val="nil"/>
              <w:left w:val="nil"/>
              <w:bottom w:val="single" w:sz="4" w:space="0" w:color="auto"/>
              <w:right w:val="single" w:sz="4" w:space="0" w:color="auto"/>
            </w:tcBorders>
            <w:shd w:val="clear" w:color="auto" w:fill="auto"/>
            <w:noWrap/>
            <w:vAlign w:val="bottom"/>
            <w:hideMark/>
          </w:tcPr>
          <w:p w14:paraId="6E587ED6"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456" w:type="pct"/>
            <w:tcBorders>
              <w:top w:val="nil"/>
              <w:left w:val="nil"/>
              <w:bottom w:val="single" w:sz="4" w:space="0" w:color="auto"/>
              <w:right w:val="single" w:sz="4" w:space="0" w:color="auto"/>
            </w:tcBorders>
            <w:shd w:val="clear" w:color="auto" w:fill="auto"/>
            <w:noWrap/>
            <w:vAlign w:val="bottom"/>
            <w:hideMark/>
          </w:tcPr>
          <w:p w14:paraId="5406D1CD"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559" w:type="pct"/>
            <w:tcBorders>
              <w:top w:val="nil"/>
              <w:left w:val="nil"/>
              <w:bottom w:val="single" w:sz="4" w:space="0" w:color="auto"/>
              <w:right w:val="single" w:sz="4" w:space="0" w:color="auto"/>
            </w:tcBorders>
            <w:shd w:val="clear" w:color="auto" w:fill="auto"/>
            <w:noWrap/>
            <w:vAlign w:val="bottom"/>
            <w:hideMark/>
          </w:tcPr>
          <w:p w14:paraId="24AB7B44"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723" w:type="pct"/>
            <w:tcBorders>
              <w:top w:val="nil"/>
              <w:left w:val="nil"/>
              <w:bottom w:val="single" w:sz="4" w:space="0" w:color="auto"/>
              <w:right w:val="single" w:sz="4" w:space="0" w:color="auto"/>
            </w:tcBorders>
            <w:shd w:val="clear" w:color="auto" w:fill="auto"/>
            <w:noWrap/>
            <w:vAlign w:val="bottom"/>
            <w:hideMark/>
          </w:tcPr>
          <w:p w14:paraId="61A4B8B7"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41.311 </w:t>
            </w:r>
          </w:p>
        </w:tc>
      </w:tr>
      <w:tr w:rsidR="00844149" w:rsidRPr="00844149" w14:paraId="1D85DD25"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noWrap/>
            <w:vAlign w:val="bottom"/>
            <w:hideMark/>
          </w:tcPr>
          <w:p w14:paraId="05D44D38"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Dividendos a Receber</w:t>
            </w:r>
          </w:p>
        </w:tc>
        <w:tc>
          <w:tcPr>
            <w:tcW w:w="580" w:type="pct"/>
            <w:tcBorders>
              <w:top w:val="nil"/>
              <w:left w:val="nil"/>
              <w:bottom w:val="single" w:sz="4" w:space="0" w:color="auto"/>
              <w:right w:val="single" w:sz="4" w:space="0" w:color="auto"/>
            </w:tcBorders>
            <w:shd w:val="clear" w:color="auto" w:fill="auto"/>
            <w:noWrap/>
            <w:vAlign w:val="bottom"/>
            <w:hideMark/>
          </w:tcPr>
          <w:p w14:paraId="3CA30116"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5.456 </w:t>
            </w:r>
          </w:p>
        </w:tc>
        <w:tc>
          <w:tcPr>
            <w:tcW w:w="581" w:type="pct"/>
            <w:tcBorders>
              <w:top w:val="nil"/>
              <w:left w:val="nil"/>
              <w:bottom w:val="single" w:sz="4" w:space="0" w:color="auto"/>
              <w:right w:val="single" w:sz="4" w:space="0" w:color="auto"/>
            </w:tcBorders>
            <w:shd w:val="clear" w:color="auto" w:fill="auto"/>
            <w:noWrap/>
            <w:vAlign w:val="bottom"/>
            <w:hideMark/>
          </w:tcPr>
          <w:p w14:paraId="546D751E"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456" w:type="pct"/>
            <w:tcBorders>
              <w:top w:val="nil"/>
              <w:left w:val="nil"/>
              <w:bottom w:val="single" w:sz="4" w:space="0" w:color="auto"/>
              <w:right w:val="single" w:sz="4" w:space="0" w:color="auto"/>
            </w:tcBorders>
            <w:shd w:val="clear" w:color="auto" w:fill="auto"/>
            <w:noWrap/>
            <w:vAlign w:val="bottom"/>
            <w:hideMark/>
          </w:tcPr>
          <w:p w14:paraId="0632EEB9"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559" w:type="pct"/>
            <w:tcBorders>
              <w:top w:val="nil"/>
              <w:left w:val="nil"/>
              <w:bottom w:val="single" w:sz="4" w:space="0" w:color="auto"/>
              <w:right w:val="single" w:sz="4" w:space="0" w:color="auto"/>
            </w:tcBorders>
            <w:shd w:val="clear" w:color="auto" w:fill="auto"/>
            <w:noWrap/>
            <w:vAlign w:val="bottom"/>
            <w:hideMark/>
          </w:tcPr>
          <w:p w14:paraId="6AFCD51E"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723" w:type="pct"/>
            <w:tcBorders>
              <w:top w:val="nil"/>
              <w:left w:val="nil"/>
              <w:bottom w:val="single" w:sz="4" w:space="0" w:color="auto"/>
              <w:right w:val="single" w:sz="4" w:space="0" w:color="auto"/>
            </w:tcBorders>
            <w:shd w:val="clear" w:color="auto" w:fill="auto"/>
            <w:noWrap/>
            <w:vAlign w:val="bottom"/>
            <w:hideMark/>
          </w:tcPr>
          <w:p w14:paraId="0088DCA9"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5.456 </w:t>
            </w:r>
          </w:p>
        </w:tc>
      </w:tr>
      <w:tr w:rsidR="00844149" w:rsidRPr="00844149" w14:paraId="495BA3EB"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noWrap/>
            <w:vAlign w:val="bottom"/>
            <w:hideMark/>
          </w:tcPr>
          <w:p w14:paraId="33818C31"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Outros Ativos Realizáveis</w:t>
            </w:r>
          </w:p>
        </w:tc>
        <w:tc>
          <w:tcPr>
            <w:tcW w:w="580" w:type="pct"/>
            <w:tcBorders>
              <w:top w:val="nil"/>
              <w:left w:val="nil"/>
              <w:bottom w:val="single" w:sz="4" w:space="0" w:color="auto"/>
              <w:right w:val="single" w:sz="4" w:space="0" w:color="auto"/>
            </w:tcBorders>
            <w:shd w:val="clear" w:color="auto" w:fill="auto"/>
            <w:noWrap/>
            <w:vAlign w:val="bottom"/>
            <w:hideMark/>
          </w:tcPr>
          <w:p w14:paraId="0BEBF82D"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23.942 </w:t>
            </w:r>
          </w:p>
        </w:tc>
        <w:tc>
          <w:tcPr>
            <w:tcW w:w="581" w:type="pct"/>
            <w:tcBorders>
              <w:top w:val="nil"/>
              <w:left w:val="nil"/>
              <w:bottom w:val="single" w:sz="4" w:space="0" w:color="auto"/>
              <w:right w:val="single" w:sz="4" w:space="0" w:color="auto"/>
            </w:tcBorders>
            <w:shd w:val="clear" w:color="auto" w:fill="auto"/>
            <w:noWrap/>
            <w:vAlign w:val="bottom"/>
            <w:hideMark/>
          </w:tcPr>
          <w:p w14:paraId="769C934C"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456" w:type="pct"/>
            <w:tcBorders>
              <w:top w:val="nil"/>
              <w:left w:val="nil"/>
              <w:bottom w:val="single" w:sz="4" w:space="0" w:color="auto"/>
              <w:right w:val="single" w:sz="4" w:space="0" w:color="auto"/>
            </w:tcBorders>
            <w:shd w:val="clear" w:color="auto" w:fill="auto"/>
            <w:noWrap/>
            <w:vAlign w:val="bottom"/>
            <w:hideMark/>
          </w:tcPr>
          <w:p w14:paraId="6FCBD4F6"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559" w:type="pct"/>
            <w:tcBorders>
              <w:top w:val="nil"/>
              <w:left w:val="nil"/>
              <w:bottom w:val="single" w:sz="4" w:space="0" w:color="auto"/>
              <w:right w:val="single" w:sz="4" w:space="0" w:color="auto"/>
            </w:tcBorders>
            <w:shd w:val="clear" w:color="auto" w:fill="auto"/>
            <w:noWrap/>
            <w:vAlign w:val="bottom"/>
            <w:hideMark/>
          </w:tcPr>
          <w:p w14:paraId="79B5DDD2"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723" w:type="pct"/>
            <w:tcBorders>
              <w:top w:val="nil"/>
              <w:left w:val="nil"/>
              <w:bottom w:val="single" w:sz="4" w:space="0" w:color="auto"/>
              <w:right w:val="single" w:sz="4" w:space="0" w:color="auto"/>
            </w:tcBorders>
            <w:shd w:val="clear" w:color="auto" w:fill="auto"/>
            <w:noWrap/>
            <w:vAlign w:val="bottom"/>
            <w:hideMark/>
          </w:tcPr>
          <w:p w14:paraId="510BB640"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23.942 </w:t>
            </w:r>
          </w:p>
        </w:tc>
      </w:tr>
      <w:tr w:rsidR="00844149" w:rsidRPr="00844149" w14:paraId="63B96C52"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noWrap/>
            <w:vAlign w:val="bottom"/>
            <w:hideMark/>
          </w:tcPr>
          <w:p w14:paraId="5BAC5313" w14:textId="77777777" w:rsidR="00844149" w:rsidRPr="00844149" w:rsidRDefault="00844149" w:rsidP="00844149">
            <w:pPr>
              <w:spacing w:after="0" w:line="240" w:lineRule="auto"/>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Realizável a Longo Prazo</w:t>
            </w:r>
          </w:p>
        </w:tc>
        <w:tc>
          <w:tcPr>
            <w:tcW w:w="580" w:type="pct"/>
            <w:tcBorders>
              <w:top w:val="nil"/>
              <w:left w:val="nil"/>
              <w:bottom w:val="single" w:sz="4" w:space="0" w:color="auto"/>
              <w:right w:val="single" w:sz="4" w:space="0" w:color="auto"/>
            </w:tcBorders>
            <w:shd w:val="clear" w:color="auto" w:fill="auto"/>
            <w:noWrap/>
            <w:vAlign w:val="bottom"/>
            <w:hideMark/>
          </w:tcPr>
          <w:p w14:paraId="7CFBDE89" w14:textId="77777777" w:rsidR="00844149" w:rsidRPr="00844149" w:rsidRDefault="00844149" w:rsidP="00844149">
            <w:pPr>
              <w:spacing w:after="0" w:line="240" w:lineRule="auto"/>
              <w:jc w:val="right"/>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 xml:space="preserve">            152.413 </w:t>
            </w:r>
          </w:p>
        </w:tc>
        <w:tc>
          <w:tcPr>
            <w:tcW w:w="581" w:type="pct"/>
            <w:tcBorders>
              <w:top w:val="nil"/>
              <w:left w:val="nil"/>
              <w:bottom w:val="single" w:sz="4" w:space="0" w:color="auto"/>
              <w:right w:val="single" w:sz="4" w:space="0" w:color="auto"/>
            </w:tcBorders>
            <w:shd w:val="clear" w:color="auto" w:fill="auto"/>
            <w:noWrap/>
            <w:vAlign w:val="bottom"/>
            <w:hideMark/>
          </w:tcPr>
          <w:p w14:paraId="6595176B" w14:textId="77777777" w:rsidR="00844149" w:rsidRPr="00844149" w:rsidRDefault="00844149" w:rsidP="00844149">
            <w:pPr>
              <w:spacing w:after="0" w:line="240" w:lineRule="auto"/>
              <w:jc w:val="right"/>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 </w:t>
            </w:r>
          </w:p>
        </w:tc>
        <w:tc>
          <w:tcPr>
            <w:tcW w:w="456" w:type="pct"/>
            <w:tcBorders>
              <w:top w:val="nil"/>
              <w:left w:val="nil"/>
              <w:bottom w:val="single" w:sz="4" w:space="0" w:color="auto"/>
              <w:right w:val="single" w:sz="4" w:space="0" w:color="auto"/>
            </w:tcBorders>
            <w:shd w:val="clear" w:color="auto" w:fill="auto"/>
            <w:noWrap/>
            <w:vAlign w:val="bottom"/>
            <w:hideMark/>
          </w:tcPr>
          <w:p w14:paraId="23B04235" w14:textId="77777777" w:rsidR="00844149" w:rsidRPr="00844149" w:rsidRDefault="00844149" w:rsidP="00844149">
            <w:pPr>
              <w:spacing w:after="0" w:line="240" w:lineRule="auto"/>
              <w:jc w:val="right"/>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 </w:t>
            </w:r>
          </w:p>
        </w:tc>
        <w:tc>
          <w:tcPr>
            <w:tcW w:w="559" w:type="pct"/>
            <w:tcBorders>
              <w:top w:val="nil"/>
              <w:left w:val="nil"/>
              <w:bottom w:val="single" w:sz="4" w:space="0" w:color="auto"/>
              <w:right w:val="single" w:sz="4" w:space="0" w:color="auto"/>
            </w:tcBorders>
            <w:shd w:val="clear" w:color="auto" w:fill="auto"/>
            <w:noWrap/>
            <w:vAlign w:val="bottom"/>
            <w:hideMark/>
          </w:tcPr>
          <w:p w14:paraId="3BE8B908" w14:textId="77777777" w:rsidR="00844149" w:rsidRPr="00844149" w:rsidRDefault="00844149" w:rsidP="00844149">
            <w:pPr>
              <w:spacing w:after="0" w:line="240" w:lineRule="auto"/>
              <w:jc w:val="right"/>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 </w:t>
            </w:r>
          </w:p>
        </w:tc>
        <w:tc>
          <w:tcPr>
            <w:tcW w:w="723" w:type="pct"/>
            <w:tcBorders>
              <w:top w:val="nil"/>
              <w:left w:val="nil"/>
              <w:bottom w:val="single" w:sz="4" w:space="0" w:color="auto"/>
              <w:right w:val="single" w:sz="4" w:space="0" w:color="auto"/>
            </w:tcBorders>
            <w:shd w:val="clear" w:color="auto" w:fill="auto"/>
            <w:noWrap/>
            <w:vAlign w:val="bottom"/>
            <w:hideMark/>
          </w:tcPr>
          <w:p w14:paraId="6A0F3036" w14:textId="77777777" w:rsidR="00844149" w:rsidRPr="00844149" w:rsidRDefault="00844149" w:rsidP="00844149">
            <w:pPr>
              <w:spacing w:after="0" w:line="240" w:lineRule="auto"/>
              <w:jc w:val="right"/>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 xml:space="preserve">                 152.413 </w:t>
            </w:r>
          </w:p>
        </w:tc>
      </w:tr>
      <w:tr w:rsidR="00844149" w:rsidRPr="00844149" w14:paraId="3BE5890F"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noWrap/>
            <w:vAlign w:val="bottom"/>
            <w:hideMark/>
          </w:tcPr>
          <w:p w14:paraId="5B7D646C"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Investimentos</w:t>
            </w:r>
          </w:p>
        </w:tc>
        <w:tc>
          <w:tcPr>
            <w:tcW w:w="580" w:type="pct"/>
            <w:tcBorders>
              <w:top w:val="nil"/>
              <w:left w:val="nil"/>
              <w:bottom w:val="single" w:sz="4" w:space="0" w:color="auto"/>
              <w:right w:val="single" w:sz="4" w:space="0" w:color="auto"/>
            </w:tcBorders>
            <w:shd w:val="clear" w:color="auto" w:fill="auto"/>
            <w:noWrap/>
            <w:vAlign w:val="bottom"/>
            <w:hideMark/>
          </w:tcPr>
          <w:p w14:paraId="74826CE1"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75.195 </w:t>
            </w:r>
          </w:p>
        </w:tc>
        <w:tc>
          <w:tcPr>
            <w:tcW w:w="581" w:type="pct"/>
            <w:tcBorders>
              <w:top w:val="nil"/>
              <w:left w:val="nil"/>
              <w:bottom w:val="single" w:sz="4" w:space="0" w:color="auto"/>
              <w:right w:val="single" w:sz="4" w:space="0" w:color="auto"/>
            </w:tcBorders>
            <w:shd w:val="clear" w:color="auto" w:fill="auto"/>
            <w:noWrap/>
            <w:vAlign w:val="bottom"/>
            <w:hideMark/>
          </w:tcPr>
          <w:p w14:paraId="4A97F849"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456" w:type="pct"/>
            <w:tcBorders>
              <w:top w:val="nil"/>
              <w:left w:val="nil"/>
              <w:bottom w:val="single" w:sz="4" w:space="0" w:color="auto"/>
              <w:right w:val="single" w:sz="4" w:space="0" w:color="auto"/>
            </w:tcBorders>
            <w:shd w:val="clear" w:color="auto" w:fill="auto"/>
            <w:noWrap/>
            <w:vAlign w:val="bottom"/>
            <w:hideMark/>
          </w:tcPr>
          <w:p w14:paraId="431CEECC"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559" w:type="pct"/>
            <w:tcBorders>
              <w:top w:val="nil"/>
              <w:left w:val="nil"/>
              <w:bottom w:val="single" w:sz="4" w:space="0" w:color="auto"/>
              <w:right w:val="single" w:sz="4" w:space="0" w:color="auto"/>
            </w:tcBorders>
            <w:shd w:val="clear" w:color="auto" w:fill="auto"/>
            <w:noWrap/>
            <w:vAlign w:val="bottom"/>
            <w:hideMark/>
          </w:tcPr>
          <w:p w14:paraId="4801DFA0"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723" w:type="pct"/>
            <w:tcBorders>
              <w:top w:val="nil"/>
              <w:left w:val="nil"/>
              <w:bottom w:val="single" w:sz="4" w:space="0" w:color="auto"/>
              <w:right w:val="single" w:sz="4" w:space="0" w:color="auto"/>
            </w:tcBorders>
            <w:shd w:val="clear" w:color="auto" w:fill="auto"/>
            <w:noWrap/>
            <w:vAlign w:val="bottom"/>
            <w:hideMark/>
          </w:tcPr>
          <w:p w14:paraId="0AECDCF6"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75.195 </w:t>
            </w:r>
          </w:p>
        </w:tc>
      </w:tr>
      <w:tr w:rsidR="00844149" w:rsidRPr="00844149" w14:paraId="40D2015F"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noWrap/>
            <w:vAlign w:val="bottom"/>
            <w:hideMark/>
          </w:tcPr>
          <w:p w14:paraId="6FC7C70F"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Imobilizado</w:t>
            </w:r>
          </w:p>
        </w:tc>
        <w:tc>
          <w:tcPr>
            <w:tcW w:w="580" w:type="pct"/>
            <w:tcBorders>
              <w:top w:val="nil"/>
              <w:left w:val="nil"/>
              <w:bottom w:val="single" w:sz="4" w:space="0" w:color="auto"/>
              <w:right w:val="single" w:sz="4" w:space="0" w:color="auto"/>
            </w:tcBorders>
            <w:shd w:val="clear" w:color="auto" w:fill="auto"/>
            <w:noWrap/>
            <w:vAlign w:val="bottom"/>
            <w:hideMark/>
          </w:tcPr>
          <w:p w14:paraId="5E2C76A5"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2.253.712 </w:t>
            </w:r>
          </w:p>
        </w:tc>
        <w:tc>
          <w:tcPr>
            <w:tcW w:w="581" w:type="pct"/>
            <w:tcBorders>
              <w:top w:val="nil"/>
              <w:left w:val="nil"/>
              <w:bottom w:val="single" w:sz="4" w:space="0" w:color="auto"/>
              <w:right w:val="single" w:sz="4" w:space="0" w:color="auto"/>
            </w:tcBorders>
            <w:shd w:val="clear" w:color="auto" w:fill="auto"/>
            <w:noWrap/>
            <w:vAlign w:val="bottom"/>
            <w:hideMark/>
          </w:tcPr>
          <w:p w14:paraId="6AD07CDE"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456" w:type="pct"/>
            <w:tcBorders>
              <w:top w:val="nil"/>
              <w:left w:val="nil"/>
              <w:bottom w:val="single" w:sz="4" w:space="0" w:color="auto"/>
              <w:right w:val="single" w:sz="4" w:space="0" w:color="auto"/>
            </w:tcBorders>
            <w:shd w:val="clear" w:color="auto" w:fill="auto"/>
            <w:noWrap/>
            <w:vAlign w:val="bottom"/>
            <w:hideMark/>
          </w:tcPr>
          <w:p w14:paraId="5B534430"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559" w:type="pct"/>
            <w:tcBorders>
              <w:top w:val="nil"/>
              <w:left w:val="nil"/>
              <w:bottom w:val="single" w:sz="4" w:space="0" w:color="auto"/>
              <w:right w:val="single" w:sz="4" w:space="0" w:color="auto"/>
            </w:tcBorders>
            <w:shd w:val="clear" w:color="auto" w:fill="auto"/>
            <w:noWrap/>
            <w:vAlign w:val="bottom"/>
            <w:hideMark/>
          </w:tcPr>
          <w:p w14:paraId="246BC2E0"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723" w:type="pct"/>
            <w:tcBorders>
              <w:top w:val="nil"/>
              <w:left w:val="nil"/>
              <w:bottom w:val="single" w:sz="4" w:space="0" w:color="auto"/>
              <w:right w:val="single" w:sz="4" w:space="0" w:color="auto"/>
            </w:tcBorders>
            <w:shd w:val="clear" w:color="auto" w:fill="auto"/>
            <w:noWrap/>
            <w:vAlign w:val="bottom"/>
            <w:hideMark/>
          </w:tcPr>
          <w:p w14:paraId="551FD242"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2.253.712 </w:t>
            </w:r>
          </w:p>
        </w:tc>
      </w:tr>
      <w:tr w:rsidR="00844149" w:rsidRPr="00844149" w14:paraId="25D0392A"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noWrap/>
            <w:vAlign w:val="bottom"/>
            <w:hideMark/>
          </w:tcPr>
          <w:p w14:paraId="538B79B8"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Intangível</w:t>
            </w:r>
          </w:p>
        </w:tc>
        <w:tc>
          <w:tcPr>
            <w:tcW w:w="580" w:type="pct"/>
            <w:tcBorders>
              <w:top w:val="nil"/>
              <w:left w:val="nil"/>
              <w:bottom w:val="single" w:sz="4" w:space="0" w:color="auto"/>
              <w:right w:val="single" w:sz="4" w:space="0" w:color="auto"/>
            </w:tcBorders>
            <w:shd w:val="clear" w:color="auto" w:fill="auto"/>
            <w:noWrap/>
            <w:vAlign w:val="bottom"/>
            <w:hideMark/>
          </w:tcPr>
          <w:p w14:paraId="28C96A60"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25.381 </w:t>
            </w:r>
          </w:p>
        </w:tc>
        <w:tc>
          <w:tcPr>
            <w:tcW w:w="581" w:type="pct"/>
            <w:tcBorders>
              <w:top w:val="nil"/>
              <w:left w:val="nil"/>
              <w:bottom w:val="single" w:sz="4" w:space="0" w:color="auto"/>
              <w:right w:val="single" w:sz="4" w:space="0" w:color="auto"/>
            </w:tcBorders>
            <w:shd w:val="clear" w:color="auto" w:fill="auto"/>
            <w:noWrap/>
            <w:vAlign w:val="bottom"/>
            <w:hideMark/>
          </w:tcPr>
          <w:p w14:paraId="5202B93E"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456" w:type="pct"/>
            <w:tcBorders>
              <w:top w:val="nil"/>
              <w:left w:val="nil"/>
              <w:bottom w:val="single" w:sz="4" w:space="0" w:color="auto"/>
              <w:right w:val="single" w:sz="4" w:space="0" w:color="auto"/>
            </w:tcBorders>
            <w:shd w:val="clear" w:color="auto" w:fill="auto"/>
            <w:noWrap/>
            <w:vAlign w:val="bottom"/>
            <w:hideMark/>
          </w:tcPr>
          <w:p w14:paraId="4D896D98"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559" w:type="pct"/>
            <w:tcBorders>
              <w:top w:val="nil"/>
              <w:left w:val="nil"/>
              <w:bottom w:val="single" w:sz="4" w:space="0" w:color="auto"/>
              <w:right w:val="single" w:sz="4" w:space="0" w:color="auto"/>
            </w:tcBorders>
            <w:shd w:val="clear" w:color="auto" w:fill="auto"/>
            <w:noWrap/>
            <w:vAlign w:val="bottom"/>
            <w:hideMark/>
          </w:tcPr>
          <w:p w14:paraId="2C3E338A"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723" w:type="pct"/>
            <w:tcBorders>
              <w:top w:val="nil"/>
              <w:left w:val="nil"/>
              <w:bottom w:val="single" w:sz="4" w:space="0" w:color="auto"/>
              <w:right w:val="single" w:sz="4" w:space="0" w:color="auto"/>
            </w:tcBorders>
            <w:shd w:val="clear" w:color="auto" w:fill="auto"/>
            <w:noWrap/>
            <w:vAlign w:val="bottom"/>
            <w:hideMark/>
          </w:tcPr>
          <w:p w14:paraId="694C0E5F"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25.381 </w:t>
            </w:r>
          </w:p>
        </w:tc>
      </w:tr>
      <w:tr w:rsidR="00844149" w:rsidRPr="00844149" w14:paraId="6C2C18A3"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noWrap/>
            <w:vAlign w:val="bottom"/>
            <w:hideMark/>
          </w:tcPr>
          <w:p w14:paraId="402DD441" w14:textId="77777777" w:rsidR="00844149" w:rsidRPr="00844149" w:rsidRDefault="00844149" w:rsidP="00844149">
            <w:pPr>
              <w:spacing w:after="0" w:line="240" w:lineRule="auto"/>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Total do Não Circulante</w:t>
            </w:r>
          </w:p>
        </w:tc>
        <w:tc>
          <w:tcPr>
            <w:tcW w:w="580" w:type="pct"/>
            <w:tcBorders>
              <w:top w:val="nil"/>
              <w:left w:val="nil"/>
              <w:bottom w:val="single" w:sz="4" w:space="0" w:color="auto"/>
              <w:right w:val="single" w:sz="4" w:space="0" w:color="auto"/>
            </w:tcBorders>
            <w:shd w:val="clear" w:color="auto" w:fill="auto"/>
            <w:noWrap/>
            <w:vAlign w:val="bottom"/>
            <w:hideMark/>
          </w:tcPr>
          <w:p w14:paraId="39348CD8" w14:textId="77777777" w:rsidR="00844149" w:rsidRPr="00844149" w:rsidRDefault="00844149" w:rsidP="00844149">
            <w:pPr>
              <w:spacing w:after="0" w:line="240" w:lineRule="auto"/>
              <w:jc w:val="right"/>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 xml:space="preserve">         2.506.701 </w:t>
            </w:r>
          </w:p>
        </w:tc>
        <w:tc>
          <w:tcPr>
            <w:tcW w:w="581" w:type="pct"/>
            <w:tcBorders>
              <w:top w:val="nil"/>
              <w:left w:val="nil"/>
              <w:bottom w:val="single" w:sz="4" w:space="0" w:color="auto"/>
              <w:right w:val="single" w:sz="4" w:space="0" w:color="auto"/>
            </w:tcBorders>
            <w:shd w:val="clear" w:color="auto" w:fill="auto"/>
            <w:noWrap/>
            <w:vAlign w:val="bottom"/>
            <w:hideMark/>
          </w:tcPr>
          <w:p w14:paraId="300BFC08" w14:textId="77777777" w:rsidR="00844149" w:rsidRPr="00844149" w:rsidRDefault="00844149" w:rsidP="00844149">
            <w:pPr>
              <w:spacing w:after="0" w:line="240" w:lineRule="auto"/>
              <w:jc w:val="right"/>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 xml:space="preserve">                  -   </w:t>
            </w:r>
          </w:p>
        </w:tc>
        <w:tc>
          <w:tcPr>
            <w:tcW w:w="456" w:type="pct"/>
            <w:tcBorders>
              <w:top w:val="nil"/>
              <w:left w:val="nil"/>
              <w:bottom w:val="single" w:sz="4" w:space="0" w:color="auto"/>
              <w:right w:val="single" w:sz="4" w:space="0" w:color="auto"/>
            </w:tcBorders>
            <w:shd w:val="clear" w:color="auto" w:fill="auto"/>
            <w:noWrap/>
            <w:vAlign w:val="bottom"/>
            <w:hideMark/>
          </w:tcPr>
          <w:p w14:paraId="56D09646" w14:textId="77777777" w:rsidR="00844149" w:rsidRPr="00844149" w:rsidRDefault="00844149" w:rsidP="00844149">
            <w:pPr>
              <w:spacing w:after="0" w:line="240" w:lineRule="auto"/>
              <w:jc w:val="right"/>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 xml:space="preserve">                  -   </w:t>
            </w:r>
          </w:p>
        </w:tc>
        <w:tc>
          <w:tcPr>
            <w:tcW w:w="559" w:type="pct"/>
            <w:tcBorders>
              <w:top w:val="nil"/>
              <w:left w:val="nil"/>
              <w:bottom w:val="single" w:sz="4" w:space="0" w:color="auto"/>
              <w:right w:val="single" w:sz="4" w:space="0" w:color="auto"/>
            </w:tcBorders>
            <w:shd w:val="clear" w:color="auto" w:fill="auto"/>
            <w:noWrap/>
            <w:vAlign w:val="bottom"/>
            <w:hideMark/>
          </w:tcPr>
          <w:p w14:paraId="1B21CD54" w14:textId="77777777" w:rsidR="00844149" w:rsidRPr="00844149" w:rsidRDefault="00844149" w:rsidP="00844149">
            <w:pPr>
              <w:spacing w:after="0" w:line="240" w:lineRule="auto"/>
              <w:jc w:val="right"/>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 xml:space="preserve">                       -   </w:t>
            </w:r>
          </w:p>
        </w:tc>
        <w:tc>
          <w:tcPr>
            <w:tcW w:w="723" w:type="pct"/>
            <w:tcBorders>
              <w:top w:val="nil"/>
              <w:left w:val="nil"/>
              <w:bottom w:val="single" w:sz="4" w:space="0" w:color="auto"/>
              <w:right w:val="single" w:sz="4" w:space="0" w:color="auto"/>
            </w:tcBorders>
            <w:shd w:val="clear" w:color="auto" w:fill="auto"/>
            <w:noWrap/>
            <w:vAlign w:val="bottom"/>
            <w:hideMark/>
          </w:tcPr>
          <w:p w14:paraId="7ACED772" w14:textId="77777777" w:rsidR="00844149" w:rsidRPr="00844149" w:rsidRDefault="00844149" w:rsidP="00844149">
            <w:pPr>
              <w:spacing w:after="0" w:line="240" w:lineRule="auto"/>
              <w:jc w:val="right"/>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 xml:space="preserve">              2.506.701 </w:t>
            </w:r>
          </w:p>
        </w:tc>
      </w:tr>
      <w:tr w:rsidR="00844149" w:rsidRPr="00844149" w14:paraId="70149F67"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noWrap/>
            <w:vAlign w:val="bottom"/>
            <w:hideMark/>
          </w:tcPr>
          <w:p w14:paraId="72BA1887" w14:textId="77777777" w:rsidR="00844149" w:rsidRPr="00844149" w:rsidRDefault="00844149" w:rsidP="00844149">
            <w:pPr>
              <w:spacing w:after="0" w:line="240" w:lineRule="auto"/>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Total do Ativo</w:t>
            </w:r>
          </w:p>
        </w:tc>
        <w:tc>
          <w:tcPr>
            <w:tcW w:w="580" w:type="pct"/>
            <w:tcBorders>
              <w:top w:val="nil"/>
              <w:left w:val="nil"/>
              <w:bottom w:val="single" w:sz="4" w:space="0" w:color="auto"/>
              <w:right w:val="single" w:sz="4" w:space="0" w:color="auto"/>
            </w:tcBorders>
            <w:shd w:val="clear" w:color="auto" w:fill="auto"/>
            <w:noWrap/>
            <w:vAlign w:val="bottom"/>
            <w:hideMark/>
          </w:tcPr>
          <w:p w14:paraId="684BE1DC" w14:textId="77777777" w:rsidR="00844149" w:rsidRPr="00844149" w:rsidRDefault="00844149" w:rsidP="00844149">
            <w:pPr>
              <w:spacing w:after="0" w:line="240" w:lineRule="auto"/>
              <w:jc w:val="right"/>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 xml:space="preserve">         4.035.411 </w:t>
            </w:r>
          </w:p>
        </w:tc>
        <w:tc>
          <w:tcPr>
            <w:tcW w:w="581" w:type="pct"/>
            <w:tcBorders>
              <w:top w:val="nil"/>
              <w:left w:val="nil"/>
              <w:bottom w:val="single" w:sz="4" w:space="0" w:color="auto"/>
              <w:right w:val="single" w:sz="4" w:space="0" w:color="auto"/>
            </w:tcBorders>
            <w:shd w:val="clear" w:color="auto" w:fill="auto"/>
            <w:noWrap/>
            <w:vAlign w:val="bottom"/>
            <w:hideMark/>
          </w:tcPr>
          <w:p w14:paraId="4224A7A3" w14:textId="77777777" w:rsidR="00844149" w:rsidRPr="00844149" w:rsidRDefault="00844149" w:rsidP="00844149">
            <w:pPr>
              <w:spacing w:after="0" w:line="240" w:lineRule="auto"/>
              <w:jc w:val="right"/>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 xml:space="preserve">                  -   </w:t>
            </w:r>
          </w:p>
        </w:tc>
        <w:tc>
          <w:tcPr>
            <w:tcW w:w="456" w:type="pct"/>
            <w:tcBorders>
              <w:top w:val="nil"/>
              <w:left w:val="nil"/>
              <w:bottom w:val="single" w:sz="4" w:space="0" w:color="auto"/>
              <w:right w:val="single" w:sz="4" w:space="0" w:color="auto"/>
            </w:tcBorders>
            <w:shd w:val="clear" w:color="auto" w:fill="auto"/>
            <w:noWrap/>
            <w:vAlign w:val="bottom"/>
            <w:hideMark/>
          </w:tcPr>
          <w:p w14:paraId="133FF594" w14:textId="77777777" w:rsidR="00844149" w:rsidRPr="00844149" w:rsidRDefault="00844149" w:rsidP="00844149">
            <w:pPr>
              <w:spacing w:after="0" w:line="240" w:lineRule="auto"/>
              <w:jc w:val="right"/>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 xml:space="preserve">                  -   </w:t>
            </w:r>
          </w:p>
        </w:tc>
        <w:tc>
          <w:tcPr>
            <w:tcW w:w="559" w:type="pct"/>
            <w:tcBorders>
              <w:top w:val="nil"/>
              <w:left w:val="nil"/>
              <w:bottom w:val="single" w:sz="4" w:space="0" w:color="auto"/>
              <w:right w:val="single" w:sz="4" w:space="0" w:color="auto"/>
            </w:tcBorders>
            <w:shd w:val="clear" w:color="auto" w:fill="auto"/>
            <w:noWrap/>
            <w:vAlign w:val="bottom"/>
            <w:hideMark/>
          </w:tcPr>
          <w:p w14:paraId="17BCEEAF" w14:textId="77777777" w:rsidR="00844149" w:rsidRPr="00844149" w:rsidRDefault="00844149" w:rsidP="00844149">
            <w:pPr>
              <w:spacing w:after="0" w:line="240" w:lineRule="auto"/>
              <w:jc w:val="right"/>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 xml:space="preserve">                       -   </w:t>
            </w:r>
          </w:p>
        </w:tc>
        <w:tc>
          <w:tcPr>
            <w:tcW w:w="723" w:type="pct"/>
            <w:tcBorders>
              <w:top w:val="nil"/>
              <w:left w:val="nil"/>
              <w:bottom w:val="single" w:sz="4" w:space="0" w:color="auto"/>
              <w:right w:val="single" w:sz="4" w:space="0" w:color="auto"/>
            </w:tcBorders>
            <w:shd w:val="clear" w:color="auto" w:fill="auto"/>
            <w:noWrap/>
            <w:vAlign w:val="bottom"/>
            <w:hideMark/>
          </w:tcPr>
          <w:p w14:paraId="461D60BA" w14:textId="77777777" w:rsidR="00844149" w:rsidRPr="00844149" w:rsidRDefault="00844149" w:rsidP="00844149">
            <w:pPr>
              <w:spacing w:after="0" w:line="240" w:lineRule="auto"/>
              <w:jc w:val="right"/>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 xml:space="preserve">              4.035.411 </w:t>
            </w:r>
          </w:p>
        </w:tc>
      </w:tr>
      <w:tr w:rsidR="00844149" w:rsidRPr="00844149" w14:paraId="722AB9AD"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noWrap/>
            <w:vAlign w:val="bottom"/>
            <w:hideMark/>
          </w:tcPr>
          <w:p w14:paraId="62341878" w14:textId="77777777" w:rsidR="00844149" w:rsidRPr="00844149" w:rsidRDefault="00844149" w:rsidP="00844149">
            <w:pPr>
              <w:spacing w:after="0" w:line="240" w:lineRule="auto"/>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Passivo</w:t>
            </w:r>
          </w:p>
        </w:tc>
        <w:tc>
          <w:tcPr>
            <w:tcW w:w="580" w:type="pct"/>
            <w:tcBorders>
              <w:top w:val="nil"/>
              <w:left w:val="nil"/>
              <w:bottom w:val="single" w:sz="4" w:space="0" w:color="auto"/>
              <w:right w:val="single" w:sz="4" w:space="0" w:color="auto"/>
            </w:tcBorders>
            <w:shd w:val="clear" w:color="auto" w:fill="auto"/>
            <w:vAlign w:val="bottom"/>
            <w:hideMark/>
          </w:tcPr>
          <w:p w14:paraId="039B9CB9" w14:textId="77777777" w:rsidR="00844149" w:rsidRPr="00844149" w:rsidRDefault="00844149" w:rsidP="00844149">
            <w:pPr>
              <w:spacing w:after="0" w:line="240" w:lineRule="auto"/>
              <w:jc w:val="right"/>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 </w:t>
            </w:r>
          </w:p>
        </w:tc>
        <w:tc>
          <w:tcPr>
            <w:tcW w:w="581" w:type="pct"/>
            <w:tcBorders>
              <w:top w:val="nil"/>
              <w:left w:val="nil"/>
              <w:bottom w:val="single" w:sz="4" w:space="0" w:color="auto"/>
              <w:right w:val="single" w:sz="4" w:space="0" w:color="auto"/>
            </w:tcBorders>
            <w:shd w:val="clear" w:color="auto" w:fill="auto"/>
            <w:noWrap/>
            <w:vAlign w:val="bottom"/>
            <w:hideMark/>
          </w:tcPr>
          <w:p w14:paraId="03D8129E" w14:textId="77777777" w:rsidR="00844149" w:rsidRPr="00844149" w:rsidRDefault="00844149" w:rsidP="00844149">
            <w:pPr>
              <w:spacing w:after="0" w:line="240" w:lineRule="auto"/>
              <w:jc w:val="right"/>
              <w:rPr>
                <w:rFonts w:ascii="Calibri" w:eastAsia="Times New Roman" w:hAnsi="Calibri" w:cs="Calibri"/>
                <w:color w:val="000000"/>
                <w:kern w:val="0"/>
                <w:sz w:val="14"/>
                <w:szCs w:val="14"/>
                <w:lang w:eastAsia="pt-BR"/>
                <w14:ligatures w14:val="none"/>
              </w:rPr>
            </w:pPr>
            <w:r w:rsidRPr="00844149">
              <w:rPr>
                <w:rFonts w:ascii="Calibri" w:eastAsia="Times New Roman" w:hAnsi="Calibri" w:cs="Calibri"/>
                <w:color w:val="000000"/>
                <w:kern w:val="0"/>
                <w:sz w:val="14"/>
                <w:szCs w:val="14"/>
                <w:lang w:eastAsia="pt-BR"/>
                <w14:ligatures w14:val="none"/>
              </w:rPr>
              <w:t> </w:t>
            </w:r>
          </w:p>
        </w:tc>
        <w:tc>
          <w:tcPr>
            <w:tcW w:w="456" w:type="pct"/>
            <w:tcBorders>
              <w:top w:val="nil"/>
              <w:left w:val="nil"/>
              <w:bottom w:val="single" w:sz="4" w:space="0" w:color="auto"/>
              <w:right w:val="single" w:sz="4" w:space="0" w:color="auto"/>
            </w:tcBorders>
            <w:shd w:val="clear" w:color="auto" w:fill="auto"/>
            <w:noWrap/>
            <w:vAlign w:val="bottom"/>
            <w:hideMark/>
          </w:tcPr>
          <w:p w14:paraId="134EEDB9"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559" w:type="pct"/>
            <w:tcBorders>
              <w:top w:val="nil"/>
              <w:left w:val="nil"/>
              <w:bottom w:val="single" w:sz="4" w:space="0" w:color="auto"/>
              <w:right w:val="single" w:sz="4" w:space="0" w:color="auto"/>
            </w:tcBorders>
            <w:shd w:val="clear" w:color="auto" w:fill="auto"/>
            <w:noWrap/>
            <w:vAlign w:val="bottom"/>
            <w:hideMark/>
          </w:tcPr>
          <w:p w14:paraId="5602A022"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723" w:type="pct"/>
            <w:tcBorders>
              <w:top w:val="nil"/>
              <w:left w:val="nil"/>
              <w:bottom w:val="single" w:sz="4" w:space="0" w:color="auto"/>
              <w:right w:val="single" w:sz="4" w:space="0" w:color="auto"/>
            </w:tcBorders>
            <w:shd w:val="clear" w:color="auto" w:fill="auto"/>
            <w:vAlign w:val="bottom"/>
            <w:hideMark/>
          </w:tcPr>
          <w:p w14:paraId="3DC60E98" w14:textId="77777777" w:rsidR="00844149" w:rsidRPr="00844149" w:rsidRDefault="00844149" w:rsidP="00844149">
            <w:pPr>
              <w:spacing w:after="0" w:line="240" w:lineRule="auto"/>
              <w:jc w:val="right"/>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 </w:t>
            </w:r>
          </w:p>
        </w:tc>
      </w:tr>
      <w:tr w:rsidR="00844149" w:rsidRPr="00844149" w14:paraId="582D4B50"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noWrap/>
            <w:vAlign w:val="bottom"/>
            <w:hideMark/>
          </w:tcPr>
          <w:p w14:paraId="6C222798" w14:textId="77777777" w:rsidR="00844149" w:rsidRPr="00844149" w:rsidRDefault="00844149" w:rsidP="00844149">
            <w:pPr>
              <w:spacing w:after="0" w:line="240" w:lineRule="auto"/>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Circulante</w:t>
            </w:r>
          </w:p>
        </w:tc>
        <w:tc>
          <w:tcPr>
            <w:tcW w:w="580" w:type="pct"/>
            <w:tcBorders>
              <w:top w:val="nil"/>
              <w:left w:val="nil"/>
              <w:bottom w:val="single" w:sz="4" w:space="0" w:color="auto"/>
              <w:right w:val="single" w:sz="4" w:space="0" w:color="auto"/>
            </w:tcBorders>
            <w:shd w:val="clear" w:color="auto" w:fill="auto"/>
            <w:noWrap/>
            <w:vAlign w:val="bottom"/>
            <w:hideMark/>
          </w:tcPr>
          <w:p w14:paraId="7555D4E5"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581" w:type="pct"/>
            <w:tcBorders>
              <w:top w:val="nil"/>
              <w:left w:val="nil"/>
              <w:bottom w:val="single" w:sz="4" w:space="0" w:color="auto"/>
              <w:right w:val="single" w:sz="4" w:space="0" w:color="auto"/>
            </w:tcBorders>
            <w:shd w:val="clear" w:color="auto" w:fill="auto"/>
            <w:noWrap/>
            <w:vAlign w:val="bottom"/>
            <w:hideMark/>
          </w:tcPr>
          <w:p w14:paraId="78D55DEF" w14:textId="77777777" w:rsidR="00844149" w:rsidRPr="00844149" w:rsidRDefault="00844149" w:rsidP="00844149">
            <w:pPr>
              <w:spacing w:after="0" w:line="240" w:lineRule="auto"/>
              <w:jc w:val="right"/>
              <w:rPr>
                <w:rFonts w:ascii="Calibri" w:eastAsia="Times New Roman" w:hAnsi="Calibri" w:cs="Calibri"/>
                <w:color w:val="000000"/>
                <w:kern w:val="0"/>
                <w:sz w:val="14"/>
                <w:szCs w:val="14"/>
                <w:lang w:eastAsia="pt-BR"/>
                <w14:ligatures w14:val="none"/>
              </w:rPr>
            </w:pPr>
            <w:r w:rsidRPr="00844149">
              <w:rPr>
                <w:rFonts w:ascii="Calibri" w:eastAsia="Times New Roman" w:hAnsi="Calibri" w:cs="Calibri"/>
                <w:color w:val="000000"/>
                <w:kern w:val="0"/>
                <w:sz w:val="14"/>
                <w:szCs w:val="14"/>
                <w:lang w:eastAsia="pt-BR"/>
                <w14:ligatures w14:val="none"/>
              </w:rPr>
              <w:t> </w:t>
            </w:r>
          </w:p>
        </w:tc>
        <w:tc>
          <w:tcPr>
            <w:tcW w:w="456" w:type="pct"/>
            <w:tcBorders>
              <w:top w:val="nil"/>
              <w:left w:val="nil"/>
              <w:bottom w:val="single" w:sz="4" w:space="0" w:color="auto"/>
              <w:right w:val="single" w:sz="4" w:space="0" w:color="auto"/>
            </w:tcBorders>
            <w:shd w:val="clear" w:color="auto" w:fill="auto"/>
            <w:noWrap/>
            <w:vAlign w:val="bottom"/>
            <w:hideMark/>
          </w:tcPr>
          <w:p w14:paraId="2C8186B2"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559" w:type="pct"/>
            <w:tcBorders>
              <w:top w:val="nil"/>
              <w:left w:val="nil"/>
              <w:bottom w:val="single" w:sz="4" w:space="0" w:color="auto"/>
              <w:right w:val="single" w:sz="4" w:space="0" w:color="auto"/>
            </w:tcBorders>
            <w:shd w:val="clear" w:color="auto" w:fill="auto"/>
            <w:noWrap/>
            <w:vAlign w:val="bottom"/>
            <w:hideMark/>
          </w:tcPr>
          <w:p w14:paraId="001931A9"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723" w:type="pct"/>
            <w:tcBorders>
              <w:top w:val="nil"/>
              <w:left w:val="nil"/>
              <w:bottom w:val="single" w:sz="4" w:space="0" w:color="auto"/>
              <w:right w:val="single" w:sz="4" w:space="0" w:color="auto"/>
            </w:tcBorders>
            <w:shd w:val="clear" w:color="auto" w:fill="auto"/>
            <w:noWrap/>
            <w:vAlign w:val="bottom"/>
            <w:hideMark/>
          </w:tcPr>
          <w:p w14:paraId="6192CF73"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r>
      <w:tr w:rsidR="00844149" w:rsidRPr="00844149" w14:paraId="3B04D1B6"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noWrap/>
            <w:vAlign w:val="bottom"/>
            <w:hideMark/>
          </w:tcPr>
          <w:p w14:paraId="5CAF300D"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Pessoal, Encargos e Benefícios Sociais</w:t>
            </w:r>
          </w:p>
        </w:tc>
        <w:tc>
          <w:tcPr>
            <w:tcW w:w="580" w:type="pct"/>
            <w:tcBorders>
              <w:top w:val="nil"/>
              <w:left w:val="nil"/>
              <w:bottom w:val="single" w:sz="4" w:space="0" w:color="auto"/>
              <w:right w:val="single" w:sz="4" w:space="0" w:color="auto"/>
            </w:tcBorders>
            <w:shd w:val="clear" w:color="auto" w:fill="auto"/>
            <w:noWrap/>
            <w:vAlign w:val="bottom"/>
            <w:hideMark/>
          </w:tcPr>
          <w:p w14:paraId="47D34374"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12.418 </w:t>
            </w:r>
          </w:p>
        </w:tc>
        <w:tc>
          <w:tcPr>
            <w:tcW w:w="581" w:type="pct"/>
            <w:tcBorders>
              <w:top w:val="nil"/>
              <w:left w:val="nil"/>
              <w:bottom w:val="single" w:sz="4" w:space="0" w:color="auto"/>
              <w:right w:val="single" w:sz="4" w:space="0" w:color="auto"/>
            </w:tcBorders>
            <w:shd w:val="clear" w:color="auto" w:fill="auto"/>
            <w:noWrap/>
            <w:vAlign w:val="bottom"/>
            <w:hideMark/>
          </w:tcPr>
          <w:p w14:paraId="0ECFA617" w14:textId="77777777" w:rsidR="00844149" w:rsidRPr="00844149" w:rsidRDefault="00844149" w:rsidP="00844149">
            <w:pPr>
              <w:spacing w:after="0" w:line="240" w:lineRule="auto"/>
              <w:jc w:val="right"/>
              <w:rPr>
                <w:rFonts w:ascii="Calibri" w:eastAsia="Times New Roman" w:hAnsi="Calibri" w:cs="Calibri"/>
                <w:color w:val="000000"/>
                <w:kern w:val="0"/>
                <w:sz w:val="14"/>
                <w:szCs w:val="14"/>
                <w:lang w:eastAsia="pt-BR"/>
                <w14:ligatures w14:val="none"/>
              </w:rPr>
            </w:pPr>
            <w:r w:rsidRPr="00844149">
              <w:rPr>
                <w:rFonts w:ascii="Calibri" w:eastAsia="Times New Roman" w:hAnsi="Calibri" w:cs="Calibri"/>
                <w:color w:val="000000"/>
                <w:kern w:val="0"/>
                <w:sz w:val="14"/>
                <w:szCs w:val="14"/>
                <w:lang w:eastAsia="pt-BR"/>
                <w14:ligatures w14:val="none"/>
              </w:rPr>
              <w:t> </w:t>
            </w:r>
          </w:p>
        </w:tc>
        <w:tc>
          <w:tcPr>
            <w:tcW w:w="456" w:type="pct"/>
            <w:tcBorders>
              <w:top w:val="nil"/>
              <w:left w:val="nil"/>
              <w:bottom w:val="single" w:sz="4" w:space="0" w:color="auto"/>
              <w:right w:val="single" w:sz="4" w:space="0" w:color="auto"/>
            </w:tcBorders>
            <w:shd w:val="clear" w:color="auto" w:fill="auto"/>
            <w:noWrap/>
            <w:vAlign w:val="bottom"/>
            <w:hideMark/>
          </w:tcPr>
          <w:p w14:paraId="4F2377E0"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559" w:type="pct"/>
            <w:tcBorders>
              <w:top w:val="nil"/>
              <w:left w:val="nil"/>
              <w:bottom w:val="single" w:sz="4" w:space="0" w:color="auto"/>
              <w:right w:val="single" w:sz="4" w:space="0" w:color="auto"/>
            </w:tcBorders>
            <w:shd w:val="clear" w:color="auto" w:fill="auto"/>
            <w:noWrap/>
            <w:vAlign w:val="bottom"/>
            <w:hideMark/>
          </w:tcPr>
          <w:p w14:paraId="1EBABD12"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723" w:type="pct"/>
            <w:tcBorders>
              <w:top w:val="nil"/>
              <w:left w:val="nil"/>
              <w:bottom w:val="single" w:sz="4" w:space="0" w:color="auto"/>
              <w:right w:val="single" w:sz="4" w:space="0" w:color="auto"/>
            </w:tcBorders>
            <w:shd w:val="clear" w:color="auto" w:fill="auto"/>
            <w:noWrap/>
            <w:vAlign w:val="bottom"/>
            <w:hideMark/>
          </w:tcPr>
          <w:p w14:paraId="7CF41634"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12.418 </w:t>
            </w:r>
          </w:p>
        </w:tc>
      </w:tr>
      <w:tr w:rsidR="00844149" w:rsidRPr="00844149" w14:paraId="3D9742D7"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noWrap/>
            <w:vAlign w:val="bottom"/>
            <w:hideMark/>
          </w:tcPr>
          <w:p w14:paraId="42EE00AB"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Fornecedores</w:t>
            </w:r>
          </w:p>
        </w:tc>
        <w:tc>
          <w:tcPr>
            <w:tcW w:w="580" w:type="pct"/>
            <w:tcBorders>
              <w:top w:val="nil"/>
              <w:left w:val="nil"/>
              <w:bottom w:val="single" w:sz="4" w:space="0" w:color="auto"/>
              <w:right w:val="single" w:sz="4" w:space="0" w:color="auto"/>
            </w:tcBorders>
            <w:shd w:val="clear" w:color="auto" w:fill="auto"/>
            <w:noWrap/>
            <w:vAlign w:val="bottom"/>
            <w:hideMark/>
          </w:tcPr>
          <w:p w14:paraId="3F9C79E3"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106.843 </w:t>
            </w:r>
          </w:p>
        </w:tc>
        <w:tc>
          <w:tcPr>
            <w:tcW w:w="581" w:type="pct"/>
            <w:tcBorders>
              <w:top w:val="nil"/>
              <w:left w:val="nil"/>
              <w:bottom w:val="single" w:sz="4" w:space="0" w:color="auto"/>
              <w:right w:val="single" w:sz="4" w:space="0" w:color="auto"/>
            </w:tcBorders>
            <w:shd w:val="clear" w:color="auto" w:fill="auto"/>
            <w:noWrap/>
            <w:vAlign w:val="bottom"/>
            <w:hideMark/>
          </w:tcPr>
          <w:p w14:paraId="70FCC42A" w14:textId="77777777" w:rsidR="00844149" w:rsidRPr="00844149" w:rsidRDefault="00844149" w:rsidP="00844149">
            <w:pPr>
              <w:spacing w:after="0" w:line="240" w:lineRule="auto"/>
              <w:jc w:val="right"/>
              <w:rPr>
                <w:rFonts w:ascii="Calibri" w:eastAsia="Times New Roman" w:hAnsi="Calibri" w:cs="Calibri"/>
                <w:color w:val="000000"/>
                <w:kern w:val="0"/>
                <w:sz w:val="14"/>
                <w:szCs w:val="14"/>
                <w:lang w:eastAsia="pt-BR"/>
                <w14:ligatures w14:val="none"/>
              </w:rPr>
            </w:pPr>
            <w:r w:rsidRPr="00844149">
              <w:rPr>
                <w:rFonts w:ascii="Calibri" w:eastAsia="Times New Roman" w:hAnsi="Calibri" w:cs="Calibri"/>
                <w:color w:val="000000"/>
                <w:kern w:val="0"/>
                <w:sz w:val="14"/>
                <w:szCs w:val="14"/>
                <w:lang w:eastAsia="pt-BR"/>
                <w14:ligatures w14:val="none"/>
              </w:rPr>
              <w:t> </w:t>
            </w:r>
          </w:p>
        </w:tc>
        <w:tc>
          <w:tcPr>
            <w:tcW w:w="456" w:type="pct"/>
            <w:tcBorders>
              <w:top w:val="nil"/>
              <w:left w:val="nil"/>
              <w:bottom w:val="single" w:sz="4" w:space="0" w:color="auto"/>
              <w:right w:val="single" w:sz="4" w:space="0" w:color="auto"/>
            </w:tcBorders>
            <w:shd w:val="clear" w:color="auto" w:fill="auto"/>
            <w:noWrap/>
            <w:vAlign w:val="bottom"/>
            <w:hideMark/>
          </w:tcPr>
          <w:p w14:paraId="2BFE8322"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559" w:type="pct"/>
            <w:tcBorders>
              <w:top w:val="nil"/>
              <w:left w:val="nil"/>
              <w:bottom w:val="single" w:sz="4" w:space="0" w:color="auto"/>
              <w:right w:val="single" w:sz="4" w:space="0" w:color="auto"/>
            </w:tcBorders>
            <w:shd w:val="clear" w:color="auto" w:fill="auto"/>
            <w:noWrap/>
            <w:vAlign w:val="bottom"/>
            <w:hideMark/>
          </w:tcPr>
          <w:p w14:paraId="5DF97D33"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723" w:type="pct"/>
            <w:tcBorders>
              <w:top w:val="nil"/>
              <w:left w:val="nil"/>
              <w:bottom w:val="single" w:sz="4" w:space="0" w:color="auto"/>
              <w:right w:val="single" w:sz="4" w:space="0" w:color="auto"/>
            </w:tcBorders>
            <w:shd w:val="clear" w:color="auto" w:fill="auto"/>
            <w:noWrap/>
            <w:vAlign w:val="bottom"/>
            <w:hideMark/>
          </w:tcPr>
          <w:p w14:paraId="4745032A"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106.843 </w:t>
            </w:r>
          </w:p>
        </w:tc>
      </w:tr>
      <w:tr w:rsidR="00844149" w:rsidRPr="00844149" w14:paraId="0DD984DA"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noWrap/>
            <w:vAlign w:val="bottom"/>
            <w:hideMark/>
          </w:tcPr>
          <w:p w14:paraId="6EEC111D"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Receitas Diferidas</w:t>
            </w:r>
          </w:p>
        </w:tc>
        <w:tc>
          <w:tcPr>
            <w:tcW w:w="580" w:type="pct"/>
            <w:tcBorders>
              <w:top w:val="nil"/>
              <w:left w:val="nil"/>
              <w:bottom w:val="single" w:sz="4" w:space="0" w:color="auto"/>
              <w:right w:val="single" w:sz="4" w:space="0" w:color="auto"/>
            </w:tcBorders>
            <w:shd w:val="clear" w:color="auto" w:fill="auto"/>
            <w:noWrap/>
            <w:vAlign w:val="bottom"/>
            <w:hideMark/>
          </w:tcPr>
          <w:p w14:paraId="71596BA9"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110.057 </w:t>
            </w:r>
          </w:p>
        </w:tc>
        <w:tc>
          <w:tcPr>
            <w:tcW w:w="581" w:type="pct"/>
            <w:tcBorders>
              <w:top w:val="nil"/>
              <w:left w:val="nil"/>
              <w:bottom w:val="single" w:sz="4" w:space="0" w:color="auto"/>
              <w:right w:val="single" w:sz="4" w:space="0" w:color="auto"/>
            </w:tcBorders>
            <w:shd w:val="clear" w:color="auto" w:fill="auto"/>
            <w:noWrap/>
            <w:vAlign w:val="bottom"/>
            <w:hideMark/>
          </w:tcPr>
          <w:p w14:paraId="0E84226A" w14:textId="77777777" w:rsidR="00844149" w:rsidRPr="00844149" w:rsidRDefault="00844149" w:rsidP="00844149">
            <w:pPr>
              <w:spacing w:after="0" w:line="240" w:lineRule="auto"/>
              <w:jc w:val="right"/>
              <w:rPr>
                <w:rFonts w:ascii="Calibri" w:eastAsia="Times New Roman" w:hAnsi="Calibri" w:cs="Calibri"/>
                <w:color w:val="000000"/>
                <w:kern w:val="0"/>
                <w:sz w:val="14"/>
                <w:szCs w:val="14"/>
                <w:lang w:eastAsia="pt-BR"/>
                <w14:ligatures w14:val="none"/>
              </w:rPr>
            </w:pPr>
            <w:r w:rsidRPr="00844149">
              <w:rPr>
                <w:rFonts w:ascii="Calibri" w:eastAsia="Times New Roman" w:hAnsi="Calibri" w:cs="Calibri"/>
                <w:color w:val="000000"/>
                <w:kern w:val="0"/>
                <w:sz w:val="14"/>
                <w:szCs w:val="14"/>
                <w:lang w:eastAsia="pt-BR"/>
                <w14:ligatures w14:val="none"/>
              </w:rPr>
              <w:t> </w:t>
            </w:r>
          </w:p>
        </w:tc>
        <w:tc>
          <w:tcPr>
            <w:tcW w:w="456" w:type="pct"/>
            <w:tcBorders>
              <w:top w:val="nil"/>
              <w:left w:val="nil"/>
              <w:bottom w:val="single" w:sz="4" w:space="0" w:color="auto"/>
              <w:right w:val="single" w:sz="4" w:space="0" w:color="auto"/>
            </w:tcBorders>
            <w:shd w:val="clear" w:color="auto" w:fill="auto"/>
            <w:noWrap/>
            <w:vAlign w:val="bottom"/>
            <w:hideMark/>
          </w:tcPr>
          <w:p w14:paraId="7E290542"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559" w:type="pct"/>
            <w:tcBorders>
              <w:top w:val="nil"/>
              <w:left w:val="nil"/>
              <w:bottom w:val="single" w:sz="4" w:space="0" w:color="auto"/>
              <w:right w:val="single" w:sz="4" w:space="0" w:color="auto"/>
            </w:tcBorders>
            <w:shd w:val="clear" w:color="auto" w:fill="auto"/>
            <w:noWrap/>
            <w:vAlign w:val="bottom"/>
            <w:hideMark/>
          </w:tcPr>
          <w:p w14:paraId="06BBC37E"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723" w:type="pct"/>
            <w:tcBorders>
              <w:top w:val="nil"/>
              <w:left w:val="nil"/>
              <w:bottom w:val="single" w:sz="4" w:space="0" w:color="auto"/>
              <w:right w:val="single" w:sz="4" w:space="0" w:color="auto"/>
            </w:tcBorders>
            <w:shd w:val="clear" w:color="auto" w:fill="auto"/>
            <w:noWrap/>
            <w:vAlign w:val="bottom"/>
            <w:hideMark/>
          </w:tcPr>
          <w:p w14:paraId="6C477ED4"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110.057 </w:t>
            </w:r>
          </w:p>
        </w:tc>
      </w:tr>
      <w:tr w:rsidR="00844149" w:rsidRPr="00844149" w14:paraId="49F5A595"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noWrap/>
            <w:vAlign w:val="bottom"/>
            <w:hideMark/>
          </w:tcPr>
          <w:p w14:paraId="6CCA6028"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Tributos Indiretos</w:t>
            </w:r>
          </w:p>
        </w:tc>
        <w:tc>
          <w:tcPr>
            <w:tcW w:w="580" w:type="pct"/>
            <w:tcBorders>
              <w:top w:val="nil"/>
              <w:left w:val="nil"/>
              <w:bottom w:val="single" w:sz="4" w:space="0" w:color="auto"/>
              <w:right w:val="single" w:sz="4" w:space="0" w:color="auto"/>
            </w:tcBorders>
            <w:shd w:val="clear" w:color="auto" w:fill="auto"/>
            <w:noWrap/>
            <w:vAlign w:val="bottom"/>
            <w:hideMark/>
          </w:tcPr>
          <w:p w14:paraId="2AD7CAE1"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5.698 </w:t>
            </w:r>
          </w:p>
        </w:tc>
        <w:tc>
          <w:tcPr>
            <w:tcW w:w="581" w:type="pct"/>
            <w:tcBorders>
              <w:top w:val="nil"/>
              <w:left w:val="nil"/>
              <w:bottom w:val="single" w:sz="4" w:space="0" w:color="auto"/>
              <w:right w:val="single" w:sz="4" w:space="0" w:color="auto"/>
            </w:tcBorders>
            <w:shd w:val="clear" w:color="auto" w:fill="auto"/>
            <w:noWrap/>
            <w:vAlign w:val="bottom"/>
            <w:hideMark/>
          </w:tcPr>
          <w:p w14:paraId="338EE664" w14:textId="77777777" w:rsidR="00844149" w:rsidRPr="00844149" w:rsidRDefault="00844149" w:rsidP="00844149">
            <w:pPr>
              <w:spacing w:after="0" w:line="240" w:lineRule="auto"/>
              <w:jc w:val="right"/>
              <w:rPr>
                <w:rFonts w:ascii="Calibri" w:eastAsia="Times New Roman" w:hAnsi="Calibri" w:cs="Calibri"/>
                <w:color w:val="000000"/>
                <w:kern w:val="0"/>
                <w:sz w:val="14"/>
                <w:szCs w:val="14"/>
                <w:lang w:eastAsia="pt-BR"/>
                <w14:ligatures w14:val="none"/>
              </w:rPr>
            </w:pPr>
            <w:r w:rsidRPr="00844149">
              <w:rPr>
                <w:rFonts w:ascii="Calibri" w:eastAsia="Times New Roman" w:hAnsi="Calibri" w:cs="Calibri"/>
                <w:color w:val="000000"/>
                <w:kern w:val="0"/>
                <w:sz w:val="14"/>
                <w:szCs w:val="14"/>
                <w:lang w:eastAsia="pt-BR"/>
                <w14:ligatures w14:val="none"/>
              </w:rPr>
              <w:t> </w:t>
            </w:r>
          </w:p>
        </w:tc>
        <w:tc>
          <w:tcPr>
            <w:tcW w:w="456" w:type="pct"/>
            <w:tcBorders>
              <w:top w:val="nil"/>
              <w:left w:val="nil"/>
              <w:bottom w:val="single" w:sz="4" w:space="0" w:color="auto"/>
              <w:right w:val="single" w:sz="4" w:space="0" w:color="auto"/>
            </w:tcBorders>
            <w:shd w:val="clear" w:color="auto" w:fill="auto"/>
            <w:noWrap/>
            <w:vAlign w:val="bottom"/>
            <w:hideMark/>
          </w:tcPr>
          <w:p w14:paraId="0C295D34"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559" w:type="pct"/>
            <w:tcBorders>
              <w:top w:val="nil"/>
              <w:left w:val="nil"/>
              <w:bottom w:val="single" w:sz="4" w:space="0" w:color="auto"/>
              <w:right w:val="single" w:sz="4" w:space="0" w:color="auto"/>
            </w:tcBorders>
            <w:shd w:val="clear" w:color="auto" w:fill="auto"/>
            <w:noWrap/>
            <w:vAlign w:val="bottom"/>
            <w:hideMark/>
          </w:tcPr>
          <w:p w14:paraId="29E94352"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723" w:type="pct"/>
            <w:tcBorders>
              <w:top w:val="nil"/>
              <w:left w:val="nil"/>
              <w:bottom w:val="single" w:sz="4" w:space="0" w:color="auto"/>
              <w:right w:val="single" w:sz="4" w:space="0" w:color="auto"/>
            </w:tcBorders>
            <w:shd w:val="clear" w:color="auto" w:fill="auto"/>
            <w:noWrap/>
            <w:vAlign w:val="bottom"/>
            <w:hideMark/>
          </w:tcPr>
          <w:p w14:paraId="74C879CD"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5.698 </w:t>
            </w:r>
          </w:p>
        </w:tc>
      </w:tr>
      <w:tr w:rsidR="00844149" w:rsidRPr="00844149" w14:paraId="285BC318"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noWrap/>
            <w:vAlign w:val="bottom"/>
            <w:hideMark/>
          </w:tcPr>
          <w:p w14:paraId="6FDE258F"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Empréstimos e Financiamentos</w:t>
            </w:r>
          </w:p>
        </w:tc>
        <w:tc>
          <w:tcPr>
            <w:tcW w:w="580" w:type="pct"/>
            <w:tcBorders>
              <w:top w:val="nil"/>
              <w:left w:val="nil"/>
              <w:bottom w:val="single" w:sz="4" w:space="0" w:color="auto"/>
              <w:right w:val="single" w:sz="4" w:space="0" w:color="auto"/>
            </w:tcBorders>
            <w:shd w:val="clear" w:color="auto" w:fill="auto"/>
            <w:noWrap/>
            <w:vAlign w:val="bottom"/>
            <w:hideMark/>
          </w:tcPr>
          <w:p w14:paraId="3853D663"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47.175 </w:t>
            </w:r>
          </w:p>
        </w:tc>
        <w:tc>
          <w:tcPr>
            <w:tcW w:w="581" w:type="pct"/>
            <w:tcBorders>
              <w:top w:val="nil"/>
              <w:left w:val="nil"/>
              <w:bottom w:val="single" w:sz="4" w:space="0" w:color="auto"/>
              <w:right w:val="single" w:sz="4" w:space="0" w:color="auto"/>
            </w:tcBorders>
            <w:shd w:val="clear" w:color="auto" w:fill="auto"/>
            <w:noWrap/>
            <w:vAlign w:val="bottom"/>
            <w:hideMark/>
          </w:tcPr>
          <w:p w14:paraId="03545C20" w14:textId="77777777" w:rsidR="00844149" w:rsidRPr="00844149" w:rsidRDefault="00844149" w:rsidP="00844149">
            <w:pPr>
              <w:spacing w:after="0" w:line="240" w:lineRule="auto"/>
              <w:jc w:val="right"/>
              <w:rPr>
                <w:rFonts w:ascii="Calibri" w:eastAsia="Times New Roman" w:hAnsi="Calibri" w:cs="Calibri"/>
                <w:color w:val="000000"/>
                <w:kern w:val="0"/>
                <w:sz w:val="14"/>
                <w:szCs w:val="14"/>
                <w:lang w:eastAsia="pt-BR"/>
                <w14:ligatures w14:val="none"/>
              </w:rPr>
            </w:pPr>
            <w:r w:rsidRPr="00844149">
              <w:rPr>
                <w:rFonts w:ascii="Calibri" w:eastAsia="Times New Roman" w:hAnsi="Calibri" w:cs="Calibri"/>
                <w:color w:val="000000"/>
                <w:kern w:val="0"/>
                <w:sz w:val="14"/>
                <w:szCs w:val="14"/>
                <w:lang w:eastAsia="pt-BR"/>
                <w14:ligatures w14:val="none"/>
              </w:rPr>
              <w:t> </w:t>
            </w:r>
          </w:p>
        </w:tc>
        <w:tc>
          <w:tcPr>
            <w:tcW w:w="456" w:type="pct"/>
            <w:tcBorders>
              <w:top w:val="nil"/>
              <w:left w:val="nil"/>
              <w:bottom w:val="single" w:sz="4" w:space="0" w:color="auto"/>
              <w:right w:val="single" w:sz="4" w:space="0" w:color="auto"/>
            </w:tcBorders>
            <w:shd w:val="clear" w:color="auto" w:fill="auto"/>
            <w:noWrap/>
            <w:vAlign w:val="bottom"/>
            <w:hideMark/>
          </w:tcPr>
          <w:p w14:paraId="565EE807"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559" w:type="pct"/>
            <w:tcBorders>
              <w:top w:val="nil"/>
              <w:left w:val="nil"/>
              <w:bottom w:val="single" w:sz="4" w:space="0" w:color="auto"/>
              <w:right w:val="single" w:sz="4" w:space="0" w:color="auto"/>
            </w:tcBorders>
            <w:shd w:val="clear" w:color="auto" w:fill="auto"/>
            <w:noWrap/>
            <w:vAlign w:val="bottom"/>
            <w:hideMark/>
          </w:tcPr>
          <w:p w14:paraId="11F83B6D"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723" w:type="pct"/>
            <w:tcBorders>
              <w:top w:val="nil"/>
              <w:left w:val="nil"/>
              <w:bottom w:val="single" w:sz="4" w:space="0" w:color="auto"/>
              <w:right w:val="single" w:sz="4" w:space="0" w:color="auto"/>
            </w:tcBorders>
            <w:shd w:val="clear" w:color="auto" w:fill="auto"/>
            <w:noWrap/>
            <w:vAlign w:val="bottom"/>
            <w:hideMark/>
          </w:tcPr>
          <w:p w14:paraId="7B0C77C5"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47.175 </w:t>
            </w:r>
          </w:p>
        </w:tc>
      </w:tr>
      <w:tr w:rsidR="00844149" w:rsidRPr="00844149" w14:paraId="768339A3"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noWrap/>
            <w:vAlign w:val="bottom"/>
            <w:hideMark/>
          </w:tcPr>
          <w:p w14:paraId="63583361"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Operações de Arrendamento Mercantil Financeiro</w:t>
            </w:r>
          </w:p>
        </w:tc>
        <w:tc>
          <w:tcPr>
            <w:tcW w:w="580" w:type="pct"/>
            <w:tcBorders>
              <w:top w:val="nil"/>
              <w:left w:val="nil"/>
              <w:bottom w:val="single" w:sz="4" w:space="0" w:color="auto"/>
              <w:right w:val="single" w:sz="4" w:space="0" w:color="auto"/>
            </w:tcBorders>
            <w:shd w:val="clear" w:color="auto" w:fill="auto"/>
            <w:noWrap/>
            <w:vAlign w:val="bottom"/>
            <w:hideMark/>
          </w:tcPr>
          <w:p w14:paraId="49B7EAE7"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4.788 </w:t>
            </w:r>
          </w:p>
        </w:tc>
        <w:tc>
          <w:tcPr>
            <w:tcW w:w="581" w:type="pct"/>
            <w:tcBorders>
              <w:top w:val="nil"/>
              <w:left w:val="nil"/>
              <w:bottom w:val="single" w:sz="4" w:space="0" w:color="auto"/>
              <w:right w:val="single" w:sz="4" w:space="0" w:color="auto"/>
            </w:tcBorders>
            <w:shd w:val="clear" w:color="auto" w:fill="auto"/>
            <w:noWrap/>
            <w:vAlign w:val="bottom"/>
            <w:hideMark/>
          </w:tcPr>
          <w:p w14:paraId="2FBB7184" w14:textId="77777777" w:rsidR="00844149" w:rsidRPr="00844149" w:rsidRDefault="00844149" w:rsidP="00844149">
            <w:pPr>
              <w:spacing w:after="0" w:line="240" w:lineRule="auto"/>
              <w:jc w:val="right"/>
              <w:rPr>
                <w:rFonts w:ascii="Calibri" w:eastAsia="Times New Roman" w:hAnsi="Calibri" w:cs="Calibri"/>
                <w:color w:val="000000"/>
                <w:kern w:val="0"/>
                <w:sz w:val="14"/>
                <w:szCs w:val="14"/>
                <w:lang w:eastAsia="pt-BR"/>
                <w14:ligatures w14:val="none"/>
              </w:rPr>
            </w:pPr>
            <w:r w:rsidRPr="00844149">
              <w:rPr>
                <w:rFonts w:ascii="Calibri" w:eastAsia="Times New Roman" w:hAnsi="Calibri" w:cs="Calibri"/>
                <w:color w:val="000000"/>
                <w:kern w:val="0"/>
                <w:sz w:val="14"/>
                <w:szCs w:val="14"/>
                <w:lang w:eastAsia="pt-BR"/>
                <w14:ligatures w14:val="none"/>
              </w:rPr>
              <w:t> </w:t>
            </w:r>
          </w:p>
        </w:tc>
        <w:tc>
          <w:tcPr>
            <w:tcW w:w="456" w:type="pct"/>
            <w:tcBorders>
              <w:top w:val="nil"/>
              <w:left w:val="nil"/>
              <w:bottom w:val="single" w:sz="4" w:space="0" w:color="auto"/>
              <w:right w:val="single" w:sz="4" w:space="0" w:color="auto"/>
            </w:tcBorders>
            <w:shd w:val="clear" w:color="auto" w:fill="auto"/>
            <w:noWrap/>
            <w:vAlign w:val="bottom"/>
            <w:hideMark/>
          </w:tcPr>
          <w:p w14:paraId="44FEA760"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559" w:type="pct"/>
            <w:tcBorders>
              <w:top w:val="nil"/>
              <w:left w:val="nil"/>
              <w:bottom w:val="single" w:sz="4" w:space="0" w:color="auto"/>
              <w:right w:val="single" w:sz="4" w:space="0" w:color="auto"/>
            </w:tcBorders>
            <w:shd w:val="clear" w:color="auto" w:fill="auto"/>
            <w:noWrap/>
            <w:vAlign w:val="bottom"/>
            <w:hideMark/>
          </w:tcPr>
          <w:p w14:paraId="7867E038"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723" w:type="pct"/>
            <w:tcBorders>
              <w:top w:val="nil"/>
              <w:left w:val="nil"/>
              <w:bottom w:val="single" w:sz="4" w:space="0" w:color="auto"/>
              <w:right w:val="single" w:sz="4" w:space="0" w:color="auto"/>
            </w:tcBorders>
            <w:shd w:val="clear" w:color="auto" w:fill="auto"/>
            <w:noWrap/>
            <w:vAlign w:val="bottom"/>
            <w:hideMark/>
          </w:tcPr>
          <w:p w14:paraId="4411B616"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4.788 </w:t>
            </w:r>
          </w:p>
        </w:tc>
      </w:tr>
      <w:tr w:rsidR="00844149" w:rsidRPr="00844149" w14:paraId="5334C18E"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noWrap/>
            <w:vAlign w:val="bottom"/>
            <w:hideMark/>
          </w:tcPr>
          <w:p w14:paraId="234725A4"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Provisão para Riscos Trabalhistas, Cíveis e Fiscais</w:t>
            </w:r>
          </w:p>
        </w:tc>
        <w:tc>
          <w:tcPr>
            <w:tcW w:w="580" w:type="pct"/>
            <w:tcBorders>
              <w:top w:val="nil"/>
              <w:left w:val="nil"/>
              <w:bottom w:val="single" w:sz="4" w:space="0" w:color="auto"/>
              <w:right w:val="single" w:sz="4" w:space="0" w:color="auto"/>
            </w:tcBorders>
            <w:shd w:val="clear" w:color="auto" w:fill="auto"/>
            <w:noWrap/>
            <w:vAlign w:val="bottom"/>
            <w:hideMark/>
          </w:tcPr>
          <w:p w14:paraId="7B7BCF21"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12.565 </w:t>
            </w:r>
          </w:p>
        </w:tc>
        <w:tc>
          <w:tcPr>
            <w:tcW w:w="581" w:type="pct"/>
            <w:tcBorders>
              <w:top w:val="nil"/>
              <w:left w:val="nil"/>
              <w:bottom w:val="single" w:sz="4" w:space="0" w:color="auto"/>
              <w:right w:val="single" w:sz="4" w:space="0" w:color="auto"/>
            </w:tcBorders>
            <w:shd w:val="clear" w:color="auto" w:fill="auto"/>
            <w:noWrap/>
            <w:vAlign w:val="bottom"/>
            <w:hideMark/>
          </w:tcPr>
          <w:p w14:paraId="57C61AED" w14:textId="77777777" w:rsidR="00844149" w:rsidRPr="00844149" w:rsidRDefault="00844149" w:rsidP="00844149">
            <w:pPr>
              <w:spacing w:after="0" w:line="240" w:lineRule="auto"/>
              <w:jc w:val="right"/>
              <w:rPr>
                <w:rFonts w:ascii="Calibri" w:eastAsia="Times New Roman" w:hAnsi="Calibri" w:cs="Calibri"/>
                <w:color w:val="000000"/>
                <w:kern w:val="0"/>
                <w:sz w:val="14"/>
                <w:szCs w:val="14"/>
                <w:lang w:eastAsia="pt-BR"/>
                <w14:ligatures w14:val="none"/>
              </w:rPr>
            </w:pPr>
            <w:r w:rsidRPr="00844149">
              <w:rPr>
                <w:rFonts w:ascii="Calibri" w:eastAsia="Times New Roman" w:hAnsi="Calibri" w:cs="Calibri"/>
                <w:color w:val="000000"/>
                <w:kern w:val="0"/>
                <w:sz w:val="14"/>
                <w:szCs w:val="14"/>
                <w:lang w:eastAsia="pt-BR"/>
                <w14:ligatures w14:val="none"/>
              </w:rPr>
              <w:t> </w:t>
            </w:r>
          </w:p>
        </w:tc>
        <w:tc>
          <w:tcPr>
            <w:tcW w:w="456" w:type="pct"/>
            <w:tcBorders>
              <w:top w:val="nil"/>
              <w:left w:val="nil"/>
              <w:bottom w:val="single" w:sz="4" w:space="0" w:color="auto"/>
              <w:right w:val="single" w:sz="4" w:space="0" w:color="auto"/>
            </w:tcBorders>
            <w:shd w:val="clear" w:color="auto" w:fill="auto"/>
            <w:noWrap/>
            <w:vAlign w:val="bottom"/>
            <w:hideMark/>
          </w:tcPr>
          <w:p w14:paraId="6603CC57"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559" w:type="pct"/>
            <w:tcBorders>
              <w:top w:val="nil"/>
              <w:left w:val="nil"/>
              <w:bottom w:val="single" w:sz="4" w:space="0" w:color="auto"/>
              <w:right w:val="single" w:sz="4" w:space="0" w:color="auto"/>
            </w:tcBorders>
            <w:shd w:val="clear" w:color="auto" w:fill="auto"/>
            <w:noWrap/>
            <w:vAlign w:val="bottom"/>
            <w:hideMark/>
          </w:tcPr>
          <w:p w14:paraId="3AC30211"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723" w:type="pct"/>
            <w:tcBorders>
              <w:top w:val="nil"/>
              <w:left w:val="nil"/>
              <w:bottom w:val="single" w:sz="4" w:space="0" w:color="auto"/>
              <w:right w:val="single" w:sz="4" w:space="0" w:color="auto"/>
            </w:tcBorders>
            <w:shd w:val="clear" w:color="auto" w:fill="auto"/>
            <w:noWrap/>
            <w:vAlign w:val="bottom"/>
            <w:hideMark/>
          </w:tcPr>
          <w:p w14:paraId="6633258F"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12.565 </w:t>
            </w:r>
          </w:p>
        </w:tc>
      </w:tr>
      <w:tr w:rsidR="00844149" w:rsidRPr="00844149" w14:paraId="7F73B3FA"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noWrap/>
            <w:vAlign w:val="bottom"/>
            <w:hideMark/>
          </w:tcPr>
          <w:p w14:paraId="29F23FED"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Credores por Perdas Judiciais</w:t>
            </w:r>
          </w:p>
        </w:tc>
        <w:tc>
          <w:tcPr>
            <w:tcW w:w="580" w:type="pct"/>
            <w:tcBorders>
              <w:top w:val="nil"/>
              <w:left w:val="nil"/>
              <w:bottom w:val="single" w:sz="4" w:space="0" w:color="auto"/>
              <w:right w:val="single" w:sz="4" w:space="0" w:color="auto"/>
            </w:tcBorders>
            <w:shd w:val="clear" w:color="auto" w:fill="auto"/>
            <w:noWrap/>
            <w:vAlign w:val="bottom"/>
            <w:hideMark/>
          </w:tcPr>
          <w:p w14:paraId="4D8B2AAF"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17.170 </w:t>
            </w:r>
          </w:p>
        </w:tc>
        <w:tc>
          <w:tcPr>
            <w:tcW w:w="581" w:type="pct"/>
            <w:tcBorders>
              <w:top w:val="nil"/>
              <w:left w:val="nil"/>
              <w:bottom w:val="single" w:sz="4" w:space="0" w:color="auto"/>
              <w:right w:val="single" w:sz="4" w:space="0" w:color="auto"/>
            </w:tcBorders>
            <w:shd w:val="clear" w:color="auto" w:fill="auto"/>
            <w:noWrap/>
            <w:vAlign w:val="bottom"/>
            <w:hideMark/>
          </w:tcPr>
          <w:p w14:paraId="6EF14F44" w14:textId="77777777" w:rsidR="00844149" w:rsidRPr="00844149" w:rsidRDefault="00844149" w:rsidP="00844149">
            <w:pPr>
              <w:spacing w:after="0" w:line="240" w:lineRule="auto"/>
              <w:jc w:val="right"/>
              <w:rPr>
                <w:rFonts w:ascii="Calibri" w:eastAsia="Times New Roman" w:hAnsi="Calibri" w:cs="Calibri"/>
                <w:color w:val="000000"/>
                <w:kern w:val="0"/>
                <w:sz w:val="14"/>
                <w:szCs w:val="14"/>
                <w:lang w:eastAsia="pt-BR"/>
                <w14:ligatures w14:val="none"/>
              </w:rPr>
            </w:pPr>
            <w:r w:rsidRPr="00844149">
              <w:rPr>
                <w:rFonts w:ascii="Calibri" w:eastAsia="Times New Roman" w:hAnsi="Calibri" w:cs="Calibri"/>
                <w:color w:val="000000"/>
                <w:kern w:val="0"/>
                <w:sz w:val="14"/>
                <w:szCs w:val="14"/>
                <w:lang w:eastAsia="pt-BR"/>
                <w14:ligatures w14:val="none"/>
              </w:rPr>
              <w:t> </w:t>
            </w:r>
          </w:p>
        </w:tc>
        <w:tc>
          <w:tcPr>
            <w:tcW w:w="456" w:type="pct"/>
            <w:tcBorders>
              <w:top w:val="nil"/>
              <w:left w:val="nil"/>
              <w:bottom w:val="single" w:sz="4" w:space="0" w:color="auto"/>
              <w:right w:val="single" w:sz="4" w:space="0" w:color="auto"/>
            </w:tcBorders>
            <w:shd w:val="clear" w:color="auto" w:fill="auto"/>
            <w:noWrap/>
            <w:vAlign w:val="bottom"/>
            <w:hideMark/>
          </w:tcPr>
          <w:p w14:paraId="3A7ADFC9"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559" w:type="pct"/>
            <w:tcBorders>
              <w:top w:val="nil"/>
              <w:left w:val="nil"/>
              <w:bottom w:val="single" w:sz="4" w:space="0" w:color="auto"/>
              <w:right w:val="single" w:sz="4" w:space="0" w:color="auto"/>
            </w:tcBorders>
            <w:shd w:val="clear" w:color="auto" w:fill="auto"/>
            <w:noWrap/>
            <w:vAlign w:val="bottom"/>
            <w:hideMark/>
          </w:tcPr>
          <w:p w14:paraId="16E7F412"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723" w:type="pct"/>
            <w:tcBorders>
              <w:top w:val="nil"/>
              <w:left w:val="nil"/>
              <w:bottom w:val="single" w:sz="4" w:space="0" w:color="auto"/>
              <w:right w:val="single" w:sz="4" w:space="0" w:color="auto"/>
            </w:tcBorders>
            <w:shd w:val="clear" w:color="auto" w:fill="auto"/>
            <w:noWrap/>
            <w:vAlign w:val="bottom"/>
            <w:hideMark/>
          </w:tcPr>
          <w:p w14:paraId="5B8B060B"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17.170 </w:t>
            </w:r>
          </w:p>
        </w:tc>
      </w:tr>
      <w:tr w:rsidR="00844149" w:rsidRPr="00844149" w14:paraId="7B88DA3C"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noWrap/>
            <w:vAlign w:val="bottom"/>
            <w:hideMark/>
          </w:tcPr>
          <w:p w14:paraId="14CC71D0"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Provisão para Programa de Indenização por Serviços Prestados</w:t>
            </w:r>
          </w:p>
        </w:tc>
        <w:tc>
          <w:tcPr>
            <w:tcW w:w="580" w:type="pct"/>
            <w:tcBorders>
              <w:top w:val="nil"/>
              <w:left w:val="nil"/>
              <w:bottom w:val="single" w:sz="4" w:space="0" w:color="auto"/>
              <w:right w:val="single" w:sz="4" w:space="0" w:color="auto"/>
            </w:tcBorders>
            <w:shd w:val="clear" w:color="auto" w:fill="auto"/>
            <w:noWrap/>
            <w:vAlign w:val="bottom"/>
            <w:hideMark/>
          </w:tcPr>
          <w:p w14:paraId="0236F2F0"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1.747 </w:t>
            </w:r>
          </w:p>
        </w:tc>
        <w:tc>
          <w:tcPr>
            <w:tcW w:w="581" w:type="pct"/>
            <w:tcBorders>
              <w:top w:val="nil"/>
              <w:left w:val="nil"/>
              <w:bottom w:val="single" w:sz="4" w:space="0" w:color="auto"/>
              <w:right w:val="single" w:sz="4" w:space="0" w:color="auto"/>
            </w:tcBorders>
            <w:shd w:val="clear" w:color="auto" w:fill="auto"/>
            <w:noWrap/>
            <w:vAlign w:val="bottom"/>
            <w:hideMark/>
          </w:tcPr>
          <w:p w14:paraId="11128169" w14:textId="77777777" w:rsidR="00844149" w:rsidRPr="00844149" w:rsidRDefault="00844149" w:rsidP="00844149">
            <w:pPr>
              <w:spacing w:after="0" w:line="240" w:lineRule="auto"/>
              <w:jc w:val="right"/>
              <w:rPr>
                <w:rFonts w:ascii="Calibri" w:eastAsia="Times New Roman" w:hAnsi="Calibri" w:cs="Calibri"/>
                <w:color w:val="000000"/>
                <w:kern w:val="0"/>
                <w:sz w:val="14"/>
                <w:szCs w:val="14"/>
                <w:lang w:eastAsia="pt-BR"/>
                <w14:ligatures w14:val="none"/>
              </w:rPr>
            </w:pPr>
            <w:r w:rsidRPr="00844149">
              <w:rPr>
                <w:rFonts w:ascii="Calibri" w:eastAsia="Times New Roman" w:hAnsi="Calibri" w:cs="Calibri"/>
                <w:color w:val="000000"/>
                <w:kern w:val="0"/>
                <w:sz w:val="14"/>
                <w:szCs w:val="14"/>
                <w:lang w:eastAsia="pt-BR"/>
                <w14:ligatures w14:val="none"/>
              </w:rPr>
              <w:t> </w:t>
            </w:r>
          </w:p>
        </w:tc>
        <w:tc>
          <w:tcPr>
            <w:tcW w:w="456" w:type="pct"/>
            <w:tcBorders>
              <w:top w:val="nil"/>
              <w:left w:val="nil"/>
              <w:bottom w:val="single" w:sz="4" w:space="0" w:color="auto"/>
              <w:right w:val="single" w:sz="4" w:space="0" w:color="auto"/>
            </w:tcBorders>
            <w:shd w:val="clear" w:color="auto" w:fill="auto"/>
            <w:noWrap/>
            <w:vAlign w:val="bottom"/>
            <w:hideMark/>
          </w:tcPr>
          <w:p w14:paraId="0DFB50AC"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559" w:type="pct"/>
            <w:tcBorders>
              <w:top w:val="nil"/>
              <w:left w:val="nil"/>
              <w:bottom w:val="single" w:sz="4" w:space="0" w:color="auto"/>
              <w:right w:val="single" w:sz="4" w:space="0" w:color="auto"/>
            </w:tcBorders>
            <w:shd w:val="clear" w:color="auto" w:fill="auto"/>
            <w:noWrap/>
            <w:vAlign w:val="bottom"/>
            <w:hideMark/>
          </w:tcPr>
          <w:p w14:paraId="7D529173"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723" w:type="pct"/>
            <w:tcBorders>
              <w:top w:val="nil"/>
              <w:left w:val="nil"/>
              <w:bottom w:val="single" w:sz="4" w:space="0" w:color="auto"/>
              <w:right w:val="single" w:sz="4" w:space="0" w:color="auto"/>
            </w:tcBorders>
            <w:shd w:val="clear" w:color="auto" w:fill="auto"/>
            <w:noWrap/>
            <w:vAlign w:val="bottom"/>
            <w:hideMark/>
          </w:tcPr>
          <w:p w14:paraId="63A2E71B"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1.747 </w:t>
            </w:r>
          </w:p>
        </w:tc>
      </w:tr>
      <w:tr w:rsidR="00844149" w:rsidRPr="00844149" w14:paraId="362F80FE"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vAlign w:val="bottom"/>
            <w:hideMark/>
          </w:tcPr>
          <w:p w14:paraId="4C29316C"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Outras Obrigações</w:t>
            </w:r>
          </w:p>
        </w:tc>
        <w:tc>
          <w:tcPr>
            <w:tcW w:w="580" w:type="pct"/>
            <w:tcBorders>
              <w:top w:val="nil"/>
              <w:left w:val="nil"/>
              <w:bottom w:val="single" w:sz="4" w:space="0" w:color="auto"/>
              <w:right w:val="single" w:sz="4" w:space="0" w:color="auto"/>
            </w:tcBorders>
            <w:shd w:val="clear" w:color="auto" w:fill="auto"/>
            <w:noWrap/>
            <w:vAlign w:val="bottom"/>
            <w:hideMark/>
          </w:tcPr>
          <w:p w14:paraId="6359DF5D"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3.154 </w:t>
            </w:r>
          </w:p>
        </w:tc>
        <w:tc>
          <w:tcPr>
            <w:tcW w:w="581" w:type="pct"/>
            <w:tcBorders>
              <w:top w:val="nil"/>
              <w:left w:val="nil"/>
              <w:bottom w:val="single" w:sz="4" w:space="0" w:color="auto"/>
              <w:right w:val="single" w:sz="4" w:space="0" w:color="auto"/>
            </w:tcBorders>
            <w:shd w:val="clear" w:color="auto" w:fill="auto"/>
            <w:noWrap/>
            <w:vAlign w:val="bottom"/>
            <w:hideMark/>
          </w:tcPr>
          <w:p w14:paraId="09DAD88B" w14:textId="77777777" w:rsidR="00844149" w:rsidRPr="00844149" w:rsidRDefault="00844149" w:rsidP="00844149">
            <w:pPr>
              <w:spacing w:after="0" w:line="240" w:lineRule="auto"/>
              <w:jc w:val="right"/>
              <w:rPr>
                <w:rFonts w:ascii="Calibri" w:eastAsia="Times New Roman" w:hAnsi="Calibri" w:cs="Calibri"/>
                <w:color w:val="000000"/>
                <w:kern w:val="0"/>
                <w:sz w:val="14"/>
                <w:szCs w:val="14"/>
                <w:lang w:eastAsia="pt-BR"/>
                <w14:ligatures w14:val="none"/>
              </w:rPr>
            </w:pPr>
            <w:r w:rsidRPr="00844149">
              <w:rPr>
                <w:rFonts w:ascii="Calibri" w:eastAsia="Times New Roman" w:hAnsi="Calibri" w:cs="Calibri"/>
                <w:color w:val="000000"/>
                <w:kern w:val="0"/>
                <w:sz w:val="14"/>
                <w:szCs w:val="14"/>
                <w:lang w:eastAsia="pt-BR"/>
                <w14:ligatures w14:val="none"/>
              </w:rPr>
              <w:t> </w:t>
            </w:r>
          </w:p>
        </w:tc>
        <w:tc>
          <w:tcPr>
            <w:tcW w:w="456" w:type="pct"/>
            <w:tcBorders>
              <w:top w:val="nil"/>
              <w:left w:val="nil"/>
              <w:bottom w:val="single" w:sz="4" w:space="0" w:color="auto"/>
              <w:right w:val="single" w:sz="4" w:space="0" w:color="auto"/>
            </w:tcBorders>
            <w:shd w:val="clear" w:color="auto" w:fill="auto"/>
            <w:noWrap/>
            <w:vAlign w:val="bottom"/>
            <w:hideMark/>
          </w:tcPr>
          <w:p w14:paraId="2BB1F33C"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559" w:type="pct"/>
            <w:tcBorders>
              <w:top w:val="nil"/>
              <w:left w:val="nil"/>
              <w:bottom w:val="single" w:sz="4" w:space="0" w:color="auto"/>
              <w:right w:val="single" w:sz="4" w:space="0" w:color="auto"/>
            </w:tcBorders>
            <w:shd w:val="clear" w:color="auto" w:fill="auto"/>
            <w:noWrap/>
            <w:vAlign w:val="bottom"/>
            <w:hideMark/>
          </w:tcPr>
          <w:p w14:paraId="64CD1B1D"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723" w:type="pct"/>
            <w:tcBorders>
              <w:top w:val="nil"/>
              <w:left w:val="nil"/>
              <w:bottom w:val="single" w:sz="4" w:space="0" w:color="auto"/>
              <w:right w:val="single" w:sz="4" w:space="0" w:color="auto"/>
            </w:tcBorders>
            <w:shd w:val="clear" w:color="auto" w:fill="auto"/>
            <w:noWrap/>
            <w:vAlign w:val="bottom"/>
            <w:hideMark/>
          </w:tcPr>
          <w:p w14:paraId="2B960AF7"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3.154 </w:t>
            </w:r>
          </w:p>
        </w:tc>
      </w:tr>
      <w:tr w:rsidR="00844149" w:rsidRPr="00844149" w14:paraId="315D87EC"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noWrap/>
            <w:vAlign w:val="bottom"/>
            <w:hideMark/>
          </w:tcPr>
          <w:p w14:paraId="57747341" w14:textId="77777777" w:rsidR="00844149" w:rsidRPr="00844149" w:rsidRDefault="00844149" w:rsidP="00844149">
            <w:pPr>
              <w:spacing w:after="0" w:line="240" w:lineRule="auto"/>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Total do Circulante</w:t>
            </w:r>
          </w:p>
        </w:tc>
        <w:tc>
          <w:tcPr>
            <w:tcW w:w="580" w:type="pct"/>
            <w:tcBorders>
              <w:top w:val="nil"/>
              <w:left w:val="nil"/>
              <w:bottom w:val="single" w:sz="4" w:space="0" w:color="auto"/>
              <w:right w:val="single" w:sz="4" w:space="0" w:color="auto"/>
            </w:tcBorders>
            <w:shd w:val="clear" w:color="auto" w:fill="auto"/>
            <w:noWrap/>
            <w:vAlign w:val="bottom"/>
            <w:hideMark/>
          </w:tcPr>
          <w:p w14:paraId="29765C6E" w14:textId="77777777" w:rsidR="00844149" w:rsidRPr="00844149" w:rsidRDefault="00844149" w:rsidP="00844149">
            <w:pPr>
              <w:spacing w:after="0" w:line="240" w:lineRule="auto"/>
              <w:jc w:val="right"/>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 xml:space="preserve">            321.615 </w:t>
            </w:r>
          </w:p>
        </w:tc>
        <w:tc>
          <w:tcPr>
            <w:tcW w:w="581" w:type="pct"/>
            <w:tcBorders>
              <w:top w:val="nil"/>
              <w:left w:val="nil"/>
              <w:bottom w:val="single" w:sz="4" w:space="0" w:color="auto"/>
              <w:right w:val="single" w:sz="4" w:space="0" w:color="auto"/>
            </w:tcBorders>
            <w:shd w:val="clear" w:color="auto" w:fill="auto"/>
            <w:noWrap/>
            <w:vAlign w:val="bottom"/>
            <w:hideMark/>
          </w:tcPr>
          <w:p w14:paraId="3CC4BD4E" w14:textId="77777777" w:rsidR="00844149" w:rsidRPr="00844149" w:rsidRDefault="00844149" w:rsidP="00844149">
            <w:pPr>
              <w:spacing w:after="0" w:line="240" w:lineRule="auto"/>
              <w:jc w:val="right"/>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 xml:space="preserve">                  -   </w:t>
            </w:r>
          </w:p>
        </w:tc>
        <w:tc>
          <w:tcPr>
            <w:tcW w:w="456" w:type="pct"/>
            <w:tcBorders>
              <w:top w:val="nil"/>
              <w:left w:val="nil"/>
              <w:bottom w:val="single" w:sz="4" w:space="0" w:color="auto"/>
              <w:right w:val="single" w:sz="4" w:space="0" w:color="auto"/>
            </w:tcBorders>
            <w:shd w:val="clear" w:color="auto" w:fill="auto"/>
            <w:noWrap/>
            <w:vAlign w:val="bottom"/>
            <w:hideMark/>
          </w:tcPr>
          <w:p w14:paraId="629F2EE7" w14:textId="77777777" w:rsidR="00844149" w:rsidRPr="00844149" w:rsidRDefault="00844149" w:rsidP="00844149">
            <w:pPr>
              <w:spacing w:after="0" w:line="240" w:lineRule="auto"/>
              <w:jc w:val="right"/>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 xml:space="preserve">                  -   </w:t>
            </w:r>
          </w:p>
        </w:tc>
        <w:tc>
          <w:tcPr>
            <w:tcW w:w="559" w:type="pct"/>
            <w:tcBorders>
              <w:top w:val="nil"/>
              <w:left w:val="nil"/>
              <w:bottom w:val="single" w:sz="4" w:space="0" w:color="auto"/>
              <w:right w:val="single" w:sz="4" w:space="0" w:color="auto"/>
            </w:tcBorders>
            <w:shd w:val="clear" w:color="auto" w:fill="auto"/>
            <w:noWrap/>
            <w:vAlign w:val="bottom"/>
            <w:hideMark/>
          </w:tcPr>
          <w:p w14:paraId="0FD73E65" w14:textId="77777777" w:rsidR="00844149" w:rsidRPr="00844149" w:rsidRDefault="00844149" w:rsidP="00844149">
            <w:pPr>
              <w:spacing w:after="0" w:line="240" w:lineRule="auto"/>
              <w:jc w:val="right"/>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 xml:space="preserve">                       -   </w:t>
            </w:r>
          </w:p>
        </w:tc>
        <w:tc>
          <w:tcPr>
            <w:tcW w:w="723" w:type="pct"/>
            <w:tcBorders>
              <w:top w:val="nil"/>
              <w:left w:val="nil"/>
              <w:bottom w:val="single" w:sz="4" w:space="0" w:color="auto"/>
              <w:right w:val="single" w:sz="4" w:space="0" w:color="auto"/>
            </w:tcBorders>
            <w:shd w:val="clear" w:color="auto" w:fill="auto"/>
            <w:noWrap/>
            <w:vAlign w:val="bottom"/>
            <w:hideMark/>
          </w:tcPr>
          <w:p w14:paraId="4F816070" w14:textId="77777777" w:rsidR="00844149" w:rsidRPr="00844149" w:rsidRDefault="00844149" w:rsidP="00844149">
            <w:pPr>
              <w:spacing w:after="0" w:line="240" w:lineRule="auto"/>
              <w:jc w:val="right"/>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 xml:space="preserve">                 321.615 </w:t>
            </w:r>
          </w:p>
        </w:tc>
      </w:tr>
      <w:tr w:rsidR="00844149" w:rsidRPr="00844149" w14:paraId="476D0550"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noWrap/>
            <w:vAlign w:val="bottom"/>
            <w:hideMark/>
          </w:tcPr>
          <w:p w14:paraId="6C343D67" w14:textId="77777777" w:rsidR="00844149" w:rsidRPr="00844149" w:rsidRDefault="00844149" w:rsidP="00844149">
            <w:pPr>
              <w:spacing w:after="0" w:line="240" w:lineRule="auto"/>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Não Circulante</w:t>
            </w:r>
          </w:p>
        </w:tc>
        <w:tc>
          <w:tcPr>
            <w:tcW w:w="580" w:type="pct"/>
            <w:tcBorders>
              <w:top w:val="nil"/>
              <w:left w:val="nil"/>
              <w:bottom w:val="single" w:sz="4" w:space="0" w:color="auto"/>
              <w:right w:val="single" w:sz="4" w:space="0" w:color="auto"/>
            </w:tcBorders>
            <w:shd w:val="clear" w:color="auto" w:fill="auto"/>
            <w:noWrap/>
            <w:vAlign w:val="bottom"/>
            <w:hideMark/>
          </w:tcPr>
          <w:p w14:paraId="2B247C00"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581" w:type="pct"/>
            <w:tcBorders>
              <w:top w:val="nil"/>
              <w:left w:val="nil"/>
              <w:bottom w:val="single" w:sz="4" w:space="0" w:color="auto"/>
              <w:right w:val="single" w:sz="4" w:space="0" w:color="auto"/>
            </w:tcBorders>
            <w:shd w:val="clear" w:color="auto" w:fill="auto"/>
            <w:noWrap/>
            <w:vAlign w:val="bottom"/>
            <w:hideMark/>
          </w:tcPr>
          <w:p w14:paraId="31B5CEEA" w14:textId="77777777" w:rsidR="00844149" w:rsidRPr="00844149" w:rsidRDefault="00844149" w:rsidP="00844149">
            <w:pPr>
              <w:spacing w:after="0" w:line="240" w:lineRule="auto"/>
              <w:jc w:val="right"/>
              <w:rPr>
                <w:rFonts w:ascii="Calibri" w:eastAsia="Times New Roman" w:hAnsi="Calibri" w:cs="Calibri"/>
                <w:color w:val="000000"/>
                <w:kern w:val="0"/>
                <w:sz w:val="14"/>
                <w:szCs w:val="14"/>
                <w:lang w:eastAsia="pt-BR"/>
                <w14:ligatures w14:val="none"/>
              </w:rPr>
            </w:pPr>
            <w:r w:rsidRPr="00844149">
              <w:rPr>
                <w:rFonts w:ascii="Calibri" w:eastAsia="Times New Roman" w:hAnsi="Calibri" w:cs="Calibri"/>
                <w:color w:val="000000"/>
                <w:kern w:val="0"/>
                <w:sz w:val="14"/>
                <w:szCs w:val="14"/>
                <w:lang w:eastAsia="pt-BR"/>
                <w14:ligatures w14:val="none"/>
              </w:rPr>
              <w:t> </w:t>
            </w:r>
          </w:p>
        </w:tc>
        <w:tc>
          <w:tcPr>
            <w:tcW w:w="456" w:type="pct"/>
            <w:tcBorders>
              <w:top w:val="nil"/>
              <w:left w:val="nil"/>
              <w:bottom w:val="single" w:sz="4" w:space="0" w:color="auto"/>
              <w:right w:val="single" w:sz="4" w:space="0" w:color="auto"/>
            </w:tcBorders>
            <w:shd w:val="clear" w:color="auto" w:fill="auto"/>
            <w:noWrap/>
            <w:vAlign w:val="bottom"/>
            <w:hideMark/>
          </w:tcPr>
          <w:p w14:paraId="26CFA25A"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559" w:type="pct"/>
            <w:tcBorders>
              <w:top w:val="nil"/>
              <w:left w:val="nil"/>
              <w:bottom w:val="single" w:sz="4" w:space="0" w:color="auto"/>
              <w:right w:val="single" w:sz="4" w:space="0" w:color="auto"/>
            </w:tcBorders>
            <w:shd w:val="clear" w:color="auto" w:fill="auto"/>
            <w:noWrap/>
            <w:vAlign w:val="bottom"/>
            <w:hideMark/>
          </w:tcPr>
          <w:p w14:paraId="06942B25"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723" w:type="pct"/>
            <w:tcBorders>
              <w:top w:val="nil"/>
              <w:left w:val="nil"/>
              <w:bottom w:val="single" w:sz="4" w:space="0" w:color="auto"/>
              <w:right w:val="single" w:sz="4" w:space="0" w:color="auto"/>
            </w:tcBorders>
            <w:shd w:val="clear" w:color="auto" w:fill="auto"/>
            <w:noWrap/>
            <w:vAlign w:val="bottom"/>
            <w:hideMark/>
          </w:tcPr>
          <w:p w14:paraId="7D47D2C0"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r>
      <w:tr w:rsidR="00844149" w:rsidRPr="00844149" w14:paraId="477DFC16"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noWrap/>
            <w:vAlign w:val="bottom"/>
            <w:hideMark/>
          </w:tcPr>
          <w:p w14:paraId="3C71A7C1"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Empréstimos e Financiamentos</w:t>
            </w:r>
          </w:p>
        </w:tc>
        <w:tc>
          <w:tcPr>
            <w:tcW w:w="580" w:type="pct"/>
            <w:tcBorders>
              <w:top w:val="nil"/>
              <w:left w:val="nil"/>
              <w:bottom w:val="single" w:sz="4" w:space="0" w:color="auto"/>
              <w:right w:val="single" w:sz="4" w:space="0" w:color="auto"/>
            </w:tcBorders>
            <w:shd w:val="clear" w:color="auto" w:fill="auto"/>
            <w:noWrap/>
            <w:vAlign w:val="bottom"/>
            <w:hideMark/>
          </w:tcPr>
          <w:p w14:paraId="6F3D5AD9"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89.635 </w:t>
            </w:r>
          </w:p>
        </w:tc>
        <w:tc>
          <w:tcPr>
            <w:tcW w:w="581" w:type="pct"/>
            <w:tcBorders>
              <w:top w:val="nil"/>
              <w:left w:val="nil"/>
              <w:bottom w:val="single" w:sz="4" w:space="0" w:color="auto"/>
              <w:right w:val="single" w:sz="4" w:space="0" w:color="auto"/>
            </w:tcBorders>
            <w:shd w:val="clear" w:color="auto" w:fill="auto"/>
            <w:noWrap/>
            <w:vAlign w:val="bottom"/>
            <w:hideMark/>
          </w:tcPr>
          <w:p w14:paraId="1FD31877" w14:textId="77777777" w:rsidR="00844149" w:rsidRPr="00844149" w:rsidRDefault="00844149" w:rsidP="00844149">
            <w:pPr>
              <w:spacing w:after="0" w:line="240" w:lineRule="auto"/>
              <w:jc w:val="right"/>
              <w:rPr>
                <w:rFonts w:ascii="Calibri" w:eastAsia="Times New Roman" w:hAnsi="Calibri" w:cs="Calibri"/>
                <w:color w:val="000000"/>
                <w:kern w:val="0"/>
                <w:sz w:val="14"/>
                <w:szCs w:val="14"/>
                <w:lang w:eastAsia="pt-BR"/>
                <w14:ligatures w14:val="none"/>
              </w:rPr>
            </w:pPr>
            <w:r w:rsidRPr="00844149">
              <w:rPr>
                <w:rFonts w:ascii="Calibri" w:eastAsia="Times New Roman" w:hAnsi="Calibri" w:cs="Calibri"/>
                <w:color w:val="000000"/>
                <w:kern w:val="0"/>
                <w:sz w:val="14"/>
                <w:szCs w:val="14"/>
                <w:lang w:eastAsia="pt-BR"/>
                <w14:ligatures w14:val="none"/>
              </w:rPr>
              <w:t> </w:t>
            </w:r>
          </w:p>
        </w:tc>
        <w:tc>
          <w:tcPr>
            <w:tcW w:w="456" w:type="pct"/>
            <w:tcBorders>
              <w:top w:val="nil"/>
              <w:left w:val="nil"/>
              <w:bottom w:val="single" w:sz="4" w:space="0" w:color="auto"/>
              <w:right w:val="single" w:sz="4" w:space="0" w:color="auto"/>
            </w:tcBorders>
            <w:shd w:val="clear" w:color="auto" w:fill="auto"/>
            <w:noWrap/>
            <w:vAlign w:val="bottom"/>
            <w:hideMark/>
          </w:tcPr>
          <w:p w14:paraId="005E5AC9"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559" w:type="pct"/>
            <w:tcBorders>
              <w:top w:val="nil"/>
              <w:left w:val="nil"/>
              <w:bottom w:val="single" w:sz="4" w:space="0" w:color="auto"/>
              <w:right w:val="single" w:sz="4" w:space="0" w:color="auto"/>
            </w:tcBorders>
            <w:shd w:val="clear" w:color="auto" w:fill="auto"/>
            <w:noWrap/>
            <w:vAlign w:val="bottom"/>
            <w:hideMark/>
          </w:tcPr>
          <w:p w14:paraId="3ECD846C"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723" w:type="pct"/>
            <w:tcBorders>
              <w:top w:val="nil"/>
              <w:left w:val="nil"/>
              <w:bottom w:val="single" w:sz="4" w:space="0" w:color="auto"/>
              <w:right w:val="single" w:sz="4" w:space="0" w:color="auto"/>
            </w:tcBorders>
            <w:shd w:val="clear" w:color="auto" w:fill="auto"/>
            <w:noWrap/>
            <w:vAlign w:val="bottom"/>
            <w:hideMark/>
          </w:tcPr>
          <w:p w14:paraId="6D5DEDF0"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89.635 </w:t>
            </w:r>
          </w:p>
        </w:tc>
      </w:tr>
      <w:tr w:rsidR="00844149" w:rsidRPr="00844149" w14:paraId="50510D8A"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noWrap/>
            <w:vAlign w:val="bottom"/>
            <w:hideMark/>
          </w:tcPr>
          <w:p w14:paraId="473CA10C"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Operações de Arrendamento Mercantil Financeiro</w:t>
            </w:r>
          </w:p>
        </w:tc>
        <w:tc>
          <w:tcPr>
            <w:tcW w:w="580" w:type="pct"/>
            <w:tcBorders>
              <w:top w:val="nil"/>
              <w:left w:val="nil"/>
              <w:bottom w:val="single" w:sz="4" w:space="0" w:color="auto"/>
              <w:right w:val="single" w:sz="4" w:space="0" w:color="auto"/>
            </w:tcBorders>
            <w:shd w:val="clear" w:color="auto" w:fill="auto"/>
            <w:noWrap/>
            <w:vAlign w:val="bottom"/>
            <w:hideMark/>
          </w:tcPr>
          <w:p w14:paraId="7BFB2704"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11.869 </w:t>
            </w:r>
          </w:p>
        </w:tc>
        <w:tc>
          <w:tcPr>
            <w:tcW w:w="581" w:type="pct"/>
            <w:tcBorders>
              <w:top w:val="nil"/>
              <w:left w:val="nil"/>
              <w:bottom w:val="single" w:sz="4" w:space="0" w:color="auto"/>
              <w:right w:val="single" w:sz="4" w:space="0" w:color="auto"/>
            </w:tcBorders>
            <w:shd w:val="clear" w:color="auto" w:fill="auto"/>
            <w:noWrap/>
            <w:vAlign w:val="bottom"/>
            <w:hideMark/>
          </w:tcPr>
          <w:p w14:paraId="6D14C69A" w14:textId="77777777" w:rsidR="00844149" w:rsidRPr="00844149" w:rsidRDefault="00844149" w:rsidP="00844149">
            <w:pPr>
              <w:spacing w:after="0" w:line="240" w:lineRule="auto"/>
              <w:jc w:val="right"/>
              <w:rPr>
                <w:rFonts w:ascii="Calibri" w:eastAsia="Times New Roman" w:hAnsi="Calibri" w:cs="Calibri"/>
                <w:color w:val="000000"/>
                <w:kern w:val="0"/>
                <w:sz w:val="14"/>
                <w:szCs w:val="14"/>
                <w:lang w:eastAsia="pt-BR"/>
                <w14:ligatures w14:val="none"/>
              </w:rPr>
            </w:pPr>
            <w:r w:rsidRPr="00844149">
              <w:rPr>
                <w:rFonts w:ascii="Calibri" w:eastAsia="Times New Roman" w:hAnsi="Calibri" w:cs="Calibri"/>
                <w:color w:val="000000"/>
                <w:kern w:val="0"/>
                <w:sz w:val="14"/>
                <w:szCs w:val="14"/>
                <w:lang w:eastAsia="pt-BR"/>
                <w14:ligatures w14:val="none"/>
              </w:rPr>
              <w:t> </w:t>
            </w:r>
          </w:p>
        </w:tc>
        <w:tc>
          <w:tcPr>
            <w:tcW w:w="456" w:type="pct"/>
            <w:tcBorders>
              <w:top w:val="nil"/>
              <w:left w:val="nil"/>
              <w:bottom w:val="single" w:sz="4" w:space="0" w:color="auto"/>
              <w:right w:val="single" w:sz="4" w:space="0" w:color="auto"/>
            </w:tcBorders>
            <w:shd w:val="clear" w:color="auto" w:fill="auto"/>
            <w:noWrap/>
            <w:vAlign w:val="bottom"/>
            <w:hideMark/>
          </w:tcPr>
          <w:p w14:paraId="5113EF6A"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559" w:type="pct"/>
            <w:tcBorders>
              <w:top w:val="nil"/>
              <w:left w:val="nil"/>
              <w:bottom w:val="single" w:sz="4" w:space="0" w:color="auto"/>
              <w:right w:val="single" w:sz="4" w:space="0" w:color="auto"/>
            </w:tcBorders>
            <w:shd w:val="clear" w:color="auto" w:fill="auto"/>
            <w:noWrap/>
            <w:vAlign w:val="bottom"/>
            <w:hideMark/>
          </w:tcPr>
          <w:p w14:paraId="04D49DE3"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723" w:type="pct"/>
            <w:tcBorders>
              <w:top w:val="nil"/>
              <w:left w:val="nil"/>
              <w:bottom w:val="single" w:sz="4" w:space="0" w:color="auto"/>
              <w:right w:val="single" w:sz="4" w:space="0" w:color="auto"/>
            </w:tcBorders>
            <w:shd w:val="clear" w:color="auto" w:fill="auto"/>
            <w:noWrap/>
            <w:vAlign w:val="bottom"/>
            <w:hideMark/>
          </w:tcPr>
          <w:p w14:paraId="6BB9C1EA"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11.869 </w:t>
            </w:r>
          </w:p>
        </w:tc>
      </w:tr>
      <w:tr w:rsidR="00844149" w:rsidRPr="00844149" w14:paraId="633DDF84"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noWrap/>
            <w:vAlign w:val="bottom"/>
            <w:hideMark/>
          </w:tcPr>
          <w:p w14:paraId="508157C0"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Provisão para Riscos Trabalhistas, Cíveis e Fiscais</w:t>
            </w:r>
          </w:p>
        </w:tc>
        <w:tc>
          <w:tcPr>
            <w:tcW w:w="580" w:type="pct"/>
            <w:tcBorders>
              <w:top w:val="nil"/>
              <w:left w:val="nil"/>
              <w:bottom w:val="single" w:sz="4" w:space="0" w:color="auto"/>
              <w:right w:val="single" w:sz="4" w:space="0" w:color="auto"/>
            </w:tcBorders>
            <w:shd w:val="clear" w:color="auto" w:fill="auto"/>
            <w:noWrap/>
            <w:vAlign w:val="bottom"/>
            <w:hideMark/>
          </w:tcPr>
          <w:p w14:paraId="0D103AD1"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51.285 </w:t>
            </w:r>
          </w:p>
        </w:tc>
        <w:tc>
          <w:tcPr>
            <w:tcW w:w="581" w:type="pct"/>
            <w:tcBorders>
              <w:top w:val="nil"/>
              <w:left w:val="nil"/>
              <w:bottom w:val="single" w:sz="4" w:space="0" w:color="auto"/>
              <w:right w:val="single" w:sz="4" w:space="0" w:color="auto"/>
            </w:tcBorders>
            <w:shd w:val="clear" w:color="auto" w:fill="auto"/>
            <w:noWrap/>
            <w:vAlign w:val="bottom"/>
            <w:hideMark/>
          </w:tcPr>
          <w:p w14:paraId="42AD2424" w14:textId="77777777" w:rsidR="00844149" w:rsidRPr="00844149" w:rsidRDefault="00844149" w:rsidP="00844149">
            <w:pPr>
              <w:spacing w:after="0" w:line="240" w:lineRule="auto"/>
              <w:jc w:val="right"/>
              <w:rPr>
                <w:rFonts w:ascii="Calibri" w:eastAsia="Times New Roman" w:hAnsi="Calibri" w:cs="Calibri"/>
                <w:color w:val="000000"/>
                <w:kern w:val="0"/>
                <w:sz w:val="14"/>
                <w:szCs w:val="14"/>
                <w:lang w:eastAsia="pt-BR"/>
                <w14:ligatures w14:val="none"/>
              </w:rPr>
            </w:pPr>
            <w:r w:rsidRPr="00844149">
              <w:rPr>
                <w:rFonts w:ascii="Calibri" w:eastAsia="Times New Roman" w:hAnsi="Calibri" w:cs="Calibri"/>
                <w:color w:val="000000"/>
                <w:kern w:val="0"/>
                <w:sz w:val="14"/>
                <w:szCs w:val="14"/>
                <w:lang w:eastAsia="pt-BR"/>
                <w14:ligatures w14:val="none"/>
              </w:rPr>
              <w:t> </w:t>
            </w:r>
          </w:p>
        </w:tc>
        <w:tc>
          <w:tcPr>
            <w:tcW w:w="456" w:type="pct"/>
            <w:tcBorders>
              <w:top w:val="nil"/>
              <w:left w:val="nil"/>
              <w:bottom w:val="single" w:sz="4" w:space="0" w:color="auto"/>
              <w:right w:val="single" w:sz="4" w:space="0" w:color="auto"/>
            </w:tcBorders>
            <w:shd w:val="clear" w:color="auto" w:fill="auto"/>
            <w:noWrap/>
            <w:vAlign w:val="bottom"/>
            <w:hideMark/>
          </w:tcPr>
          <w:p w14:paraId="0750461C"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559" w:type="pct"/>
            <w:tcBorders>
              <w:top w:val="nil"/>
              <w:left w:val="nil"/>
              <w:bottom w:val="single" w:sz="4" w:space="0" w:color="auto"/>
              <w:right w:val="single" w:sz="4" w:space="0" w:color="auto"/>
            </w:tcBorders>
            <w:shd w:val="clear" w:color="auto" w:fill="auto"/>
            <w:noWrap/>
            <w:vAlign w:val="bottom"/>
            <w:hideMark/>
          </w:tcPr>
          <w:p w14:paraId="2D9E4929"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723" w:type="pct"/>
            <w:tcBorders>
              <w:top w:val="nil"/>
              <w:left w:val="nil"/>
              <w:bottom w:val="single" w:sz="4" w:space="0" w:color="auto"/>
              <w:right w:val="single" w:sz="4" w:space="0" w:color="auto"/>
            </w:tcBorders>
            <w:shd w:val="clear" w:color="auto" w:fill="auto"/>
            <w:noWrap/>
            <w:vAlign w:val="bottom"/>
            <w:hideMark/>
          </w:tcPr>
          <w:p w14:paraId="2C696B15"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51.285 </w:t>
            </w:r>
          </w:p>
        </w:tc>
      </w:tr>
      <w:tr w:rsidR="00844149" w:rsidRPr="00844149" w14:paraId="2485EA2D"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noWrap/>
            <w:vAlign w:val="bottom"/>
            <w:hideMark/>
          </w:tcPr>
          <w:p w14:paraId="57B4B174"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Credores por Perdas Judiciais</w:t>
            </w:r>
          </w:p>
        </w:tc>
        <w:tc>
          <w:tcPr>
            <w:tcW w:w="580" w:type="pct"/>
            <w:tcBorders>
              <w:top w:val="nil"/>
              <w:left w:val="nil"/>
              <w:bottom w:val="single" w:sz="4" w:space="0" w:color="auto"/>
              <w:right w:val="single" w:sz="4" w:space="0" w:color="auto"/>
            </w:tcBorders>
            <w:shd w:val="clear" w:color="auto" w:fill="auto"/>
            <w:noWrap/>
            <w:vAlign w:val="bottom"/>
            <w:hideMark/>
          </w:tcPr>
          <w:p w14:paraId="4A089B90"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137.253 </w:t>
            </w:r>
          </w:p>
        </w:tc>
        <w:tc>
          <w:tcPr>
            <w:tcW w:w="581" w:type="pct"/>
            <w:tcBorders>
              <w:top w:val="nil"/>
              <w:left w:val="nil"/>
              <w:bottom w:val="single" w:sz="4" w:space="0" w:color="auto"/>
              <w:right w:val="single" w:sz="4" w:space="0" w:color="auto"/>
            </w:tcBorders>
            <w:shd w:val="clear" w:color="auto" w:fill="auto"/>
            <w:noWrap/>
            <w:vAlign w:val="bottom"/>
            <w:hideMark/>
          </w:tcPr>
          <w:p w14:paraId="4744B6C8" w14:textId="77777777" w:rsidR="00844149" w:rsidRPr="00844149" w:rsidRDefault="00844149" w:rsidP="00844149">
            <w:pPr>
              <w:spacing w:after="0" w:line="240" w:lineRule="auto"/>
              <w:jc w:val="right"/>
              <w:rPr>
                <w:rFonts w:ascii="Calibri" w:eastAsia="Times New Roman" w:hAnsi="Calibri" w:cs="Calibri"/>
                <w:color w:val="000000"/>
                <w:kern w:val="0"/>
                <w:sz w:val="14"/>
                <w:szCs w:val="14"/>
                <w:lang w:eastAsia="pt-BR"/>
                <w14:ligatures w14:val="none"/>
              </w:rPr>
            </w:pPr>
            <w:r w:rsidRPr="00844149">
              <w:rPr>
                <w:rFonts w:ascii="Calibri" w:eastAsia="Times New Roman" w:hAnsi="Calibri" w:cs="Calibri"/>
                <w:color w:val="000000"/>
                <w:kern w:val="0"/>
                <w:sz w:val="14"/>
                <w:szCs w:val="14"/>
                <w:lang w:eastAsia="pt-BR"/>
                <w14:ligatures w14:val="none"/>
              </w:rPr>
              <w:t> </w:t>
            </w:r>
          </w:p>
        </w:tc>
        <w:tc>
          <w:tcPr>
            <w:tcW w:w="456" w:type="pct"/>
            <w:tcBorders>
              <w:top w:val="nil"/>
              <w:left w:val="nil"/>
              <w:bottom w:val="single" w:sz="4" w:space="0" w:color="auto"/>
              <w:right w:val="single" w:sz="4" w:space="0" w:color="auto"/>
            </w:tcBorders>
            <w:shd w:val="clear" w:color="auto" w:fill="auto"/>
            <w:noWrap/>
            <w:vAlign w:val="bottom"/>
            <w:hideMark/>
          </w:tcPr>
          <w:p w14:paraId="3224FDD5"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559" w:type="pct"/>
            <w:tcBorders>
              <w:top w:val="nil"/>
              <w:left w:val="nil"/>
              <w:bottom w:val="single" w:sz="4" w:space="0" w:color="auto"/>
              <w:right w:val="single" w:sz="4" w:space="0" w:color="auto"/>
            </w:tcBorders>
            <w:shd w:val="clear" w:color="auto" w:fill="auto"/>
            <w:noWrap/>
            <w:vAlign w:val="bottom"/>
            <w:hideMark/>
          </w:tcPr>
          <w:p w14:paraId="502AB2CA"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723" w:type="pct"/>
            <w:tcBorders>
              <w:top w:val="nil"/>
              <w:left w:val="nil"/>
              <w:bottom w:val="single" w:sz="4" w:space="0" w:color="auto"/>
              <w:right w:val="single" w:sz="4" w:space="0" w:color="auto"/>
            </w:tcBorders>
            <w:shd w:val="clear" w:color="auto" w:fill="auto"/>
            <w:noWrap/>
            <w:vAlign w:val="bottom"/>
            <w:hideMark/>
          </w:tcPr>
          <w:p w14:paraId="1119C421"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137.253 </w:t>
            </w:r>
          </w:p>
        </w:tc>
      </w:tr>
      <w:tr w:rsidR="00844149" w:rsidRPr="00844149" w14:paraId="577AAF39"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noWrap/>
            <w:vAlign w:val="bottom"/>
            <w:hideMark/>
          </w:tcPr>
          <w:p w14:paraId="40757F10"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Provisão para Programa de Indenização por Serviços Prestados</w:t>
            </w:r>
          </w:p>
        </w:tc>
        <w:tc>
          <w:tcPr>
            <w:tcW w:w="580" w:type="pct"/>
            <w:tcBorders>
              <w:top w:val="nil"/>
              <w:left w:val="nil"/>
              <w:bottom w:val="single" w:sz="4" w:space="0" w:color="auto"/>
              <w:right w:val="single" w:sz="4" w:space="0" w:color="auto"/>
            </w:tcBorders>
            <w:shd w:val="clear" w:color="auto" w:fill="auto"/>
            <w:noWrap/>
            <w:vAlign w:val="bottom"/>
            <w:hideMark/>
          </w:tcPr>
          <w:p w14:paraId="769863EC"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23.909 </w:t>
            </w:r>
          </w:p>
        </w:tc>
        <w:tc>
          <w:tcPr>
            <w:tcW w:w="581" w:type="pct"/>
            <w:tcBorders>
              <w:top w:val="nil"/>
              <w:left w:val="nil"/>
              <w:bottom w:val="single" w:sz="4" w:space="0" w:color="auto"/>
              <w:right w:val="single" w:sz="4" w:space="0" w:color="auto"/>
            </w:tcBorders>
            <w:shd w:val="clear" w:color="auto" w:fill="auto"/>
            <w:noWrap/>
            <w:vAlign w:val="bottom"/>
            <w:hideMark/>
          </w:tcPr>
          <w:p w14:paraId="4F3E5024" w14:textId="77777777" w:rsidR="00844149" w:rsidRPr="00844149" w:rsidRDefault="00844149" w:rsidP="00844149">
            <w:pPr>
              <w:spacing w:after="0" w:line="240" w:lineRule="auto"/>
              <w:jc w:val="right"/>
              <w:rPr>
                <w:rFonts w:ascii="Calibri" w:eastAsia="Times New Roman" w:hAnsi="Calibri" w:cs="Calibri"/>
                <w:color w:val="000000"/>
                <w:kern w:val="0"/>
                <w:sz w:val="14"/>
                <w:szCs w:val="14"/>
                <w:lang w:eastAsia="pt-BR"/>
                <w14:ligatures w14:val="none"/>
              </w:rPr>
            </w:pPr>
            <w:r w:rsidRPr="00844149">
              <w:rPr>
                <w:rFonts w:ascii="Calibri" w:eastAsia="Times New Roman" w:hAnsi="Calibri" w:cs="Calibri"/>
                <w:color w:val="000000"/>
                <w:kern w:val="0"/>
                <w:sz w:val="14"/>
                <w:szCs w:val="14"/>
                <w:lang w:eastAsia="pt-BR"/>
                <w14:ligatures w14:val="none"/>
              </w:rPr>
              <w:t> </w:t>
            </w:r>
          </w:p>
        </w:tc>
        <w:tc>
          <w:tcPr>
            <w:tcW w:w="456" w:type="pct"/>
            <w:tcBorders>
              <w:top w:val="nil"/>
              <w:left w:val="nil"/>
              <w:bottom w:val="single" w:sz="4" w:space="0" w:color="auto"/>
              <w:right w:val="single" w:sz="4" w:space="0" w:color="auto"/>
            </w:tcBorders>
            <w:shd w:val="clear" w:color="auto" w:fill="auto"/>
            <w:noWrap/>
            <w:vAlign w:val="bottom"/>
            <w:hideMark/>
          </w:tcPr>
          <w:p w14:paraId="24955537"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559" w:type="pct"/>
            <w:tcBorders>
              <w:top w:val="nil"/>
              <w:left w:val="nil"/>
              <w:bottom w:val="single" w:sz="4" w:space="0" w:color="auto"/>
              <w:right w:val="single" w:sz="4" w:space="0" w:color="auto"/>
            </w:tcBorders>
            <w:shd w:val="clear" w:color="auto" w:fill="auto"/>
            <w:noWrap/>
            <w:vAlign w:val="bottom"/>
            <w:hideMark/>
          </w:tcPr>
          <w:p w14:paraId="0FF2D42F"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723" w:type="pct"/>
            <w:tcBorders>
              <w:top w:val="nil"/>
              <w:left w:val="nil"/>
              <w:bottom w:val="single" w:sz="4" w:space="0" w:color="auto"/>
              <w:right w:val="single" w:sz="4" w:space="0" w:color="auto"/>
            </w:tcBorders>
            <w:shd w:val="clear" w:color="auto" w:fill="auto"/>
            <w:noWrap/>
            <w:vAlign w:val="bottom"/>
            <w:hideMark/>
          </w:tcPr>
          <w:p w14:paraId="71C2C133"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23.909 </w:t>
            </w:r>
          </w:p>
        </w:tc>
      </w:tr>
      <w:tr w:rsidR="00844149" w:rsidRPr="00844149" w14:paraId="50773EF1"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noWrap/>
            <w:vAlign w:val="bottom"/>
            <w:hideMark/>
          </w:tcPr>
          <w:p w14:paraId="18A0F48D"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Grupamento de Ações</w:t>
            </w:r>
          </w:p>
        </w:tc>
        <w:tc>
          <w:tcPr>
            <w:tcW w:w="580" w:type="pct"/>
            <w:tcBorders>
              <w:top w:val="nil"/>
              <w:left w:val="nil"/>
              <w:bottom w:val="single" w:sz="4" w:space="0" w:color="auto"/>
              <w:right w:val="single" w:sz="4" w:space="0" w:color="auto"/>
            </w:tcBorders>
            <w:shd w:val="clear" w:color="auto" w:fill="auto"/>
            <w:noWrap/>
            <w:vAlign w:val="bottom"/>
            <w:hideMark/>
          </w:tcPr>
          <w:p w14:paraId="71D28CB4"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680 </w:t>
            </w:r>
          </w:p>
        </w:tc>
        <w:tc>
          <w:tcPr>
            <w:tcW w:w="581" w:type="pct"/>
            <w:tcBorders>
              <w:top w:val="nil"/>
              <w:left w:val="nil"/>
              <w:bottom w:val="single" w:sz="4" w:space="0" w:color="auto"/>
              <w:right w:val="single" w:sz="4" w:space="0" w:color="auto"/>
            </w:tcBorders>
            <w:shd w:val="clear" w:color="auto" w:fill="auto"/>
            <w:noWrap/>
            <w:vAlign w:val="bottom"/>
            <w:hideMark/>
          </w:tcPr>
          <w:p w14:paraId="356CBA2C" w14:textId="77777777" w:rsidR="00844149" w:rsidRPr="00844149" w:rsidRDefault="00844149" w:rsidP="00844149">
            <w:pPr>
              <w:spacing w:after="0" w:line="240" w:lineRule="auto"/>
              <w:jc w:val="right"/>
              <w:rPr>
                <w:rFonts w:ascii="Calibri" w:eastAsia="Times New Roman" w:hAnsi="Calibri" w:cs="Calibri"/>
                <w:color w:val="000000"/>
                <w:kern w:val="0"/>
                <w:sz w:val="14"/>
                <w:szCs w:val="14"/>
                <w:lang w:eastAsia="pt-BR"/>
                <w14:ligatures w14:val="none"/>
              </w:rPr>
            </w:pPr>
            <w:r w:rsidRPr="00844149">
              <w:rPr>
                <w:rFonts w:ascii="Calibri" w:eastAsia="Times New Roman" w:hAnsi="Calibri" w:cs="Calibri"/>
                <w:color w:val="000000"/>
                <w:kern w:val="0"/>
                <w:sz w:val="14"/>
                <w:szCs w:val="14"/>
                <w:lang w:eastAsia="pt-BR"/>
                <w14:ligatures w14:val="none"/>
              </w:rPr>
              <w:t> </w:t>
            </w:r>
          </w:p>
        </w:tc>
        <w:tc>
          <w:tcPr>
            <w:tcW w:w="456" w:type="pct"/>
            <w:tcBorders>
              <w:top w:val="nil"/>
              <w:left w:val="nil"/>
              <w:bottom w:val="single" w:sz="4" w:space="0" w:color="auto"/>
              <w:right w:val="single" w:sz="4" w:space="0" w:color="auto"/>
            </w:tcBorders>
            <w:shd w:val="clear" w:color="auto" w:fill="auto"/>
            <w:noWrap/>
            <w:vAlign w:val="bottom"/>
            <w:hideMark/>
          </w:tcPr>
          <w:p w14:paraId="272EE94D"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559" w:type="pct"/>
            <w:tcBorders>
              <w:top w:val="nil"/>
              <w:left w:val="nil"/>
              <w:bottom w:val="single" w:sz="4" w:space="0" w:color="auto"/>
              <w:right w:val="single" w:sz="4" w:space="0" w:color="auto"/>
            </w:tcBorders>
            <w:shd w:val="clear" w:color="auto" w:fill="auto"/>
            <w:noWrap/>
            <w:vAlign w:val="bottom"/>
            <w:hideMark/>
          </w:tcPr>
          <w:p w14:paraId="4DB8F51B"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723" w:type="pct"/>
            <w:tcBorders>
              <w:top w:val="nil"/>
              <w:left w:val="nil"/>
              <w:bottom w:val="single" w:sz="4" w:space="0" w:color="auto"/>
              <w:right w:val="single" w:sz="4" w:space="0" w:color="auto"/>
            </w:tcBorders>
            <w:shd w:val="clear" w:color="auto" w:fill="auto"/>
            <w:noWrap/>
            <w:vAlign w:val="bottom"/>
            <w:hideMark/>
          </w:tcPr>
          <w:p w14:paraId="4B9FE73F"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680 </w:t>
            </w:r>
          </w:p>
        </w:tc>
      </w:tr>
      <w:tr w:rsidR="00844149" w:rsidRPr="00844149" w14:paraId="74D6F126"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noWrap/>
            <w:vAlign w:val="bottom"/>
            <w:hideMark/>
          </w:tcPr>
          <w:p w14:paraId="09B68257"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Receitas Diferidas</w:t>
            </w:r>
          </w:p>
        </w:tc>
        <w:tc>
          <w:tcPr>
            <w:tcW w:w="580" w:type="pct"/>
            <w:tcBorders>
              <w:top w:val="nil"/>
              <w:left w:val="nil"/>
              <w:bottom w:val="single" w:sz="4" w:space="0" w:color="auto"/>
              <w:right w:val="single" w:sz="4" w:space="0" w:color="auto"/>
            </w:tcBorders>
            <w:shd w:val="clear" w:color="auto" w:fill="auto"/>
            <w:noWrap/>
            <w:vAlign w:val="bottom"/>
            <w:hideMark/>
          </w:tcPr>
          <w:p w14:paraId="39B2EE77"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346.566 </w:t>
            </w:r>
          </w:p>
        </w:tc>
        <w:tc>
          <w:tcPr>
            <w:tcW w:w="581" w:type="pct"/>
            <w:tcBorders>
              <w:top w:val="nil"/>
              <w:left w:val="nil"/>
              <w:bottom w:val="single" w:sz="4" w:space="0" w:color="auto"/>
              <w:right w:val="single" w:sz="4" w:space="0" w:color="auto"/>
            </w:tcBorders>
            <w:shd w:val="clear" w:color="auto" w:fill="auto"/>
            <w:noWrap/>
            <w:vAlign w:val="bottom"/>
            <w:hideMark/>
          </w:tcPr>
          <w:p w14:paraId="2073212D" w14:textId="77777777" w:rsidR="00844149" w:rsidRPr="00844149" w:rsidRDefault="00844149" w:rsidP="00844149">
            <w:pPr>
              <w:spacing w:after="0" w:line="240" w:lineRule="auto"/>
              <w:jc w:val="right"/>
              <w:rPr>
                <w:rFonts w:ascii="Calibri" w:eastAsia="Times New Roman" w:hAnsi="Calibri" w:cs="Calibri"/>
                <w:color w:val="000000"/>
                <w:kern w:val="0"/>
                <w:sz w:val="14"/>
                <w:szCs w:val="14"/>
                <w:lang w:eastAsia="pt-BR"/>
                <w14:ligatures w14:val="none"/>
              </w:rPr>
            </w:pPr>
            <w:r w:rsidRPr="00844149">
              <w:rPr>
                <w:rFonts w:ascii="Calibri" w:eastAsia="Times New Roman" w:hAnsi="Calibri" w:cs="Calibri"/>
                <w:color w:val="000000"/>
                <w:kern w:val="0"/>
                <w:sz w:val="14"/>
                <w:szCs w:val="14"/>
                <w:lang w:eastAsia="pt-BR"/>
                <w14:ligatures w14:val="none"/>
              </w:rPr>
              <w:t> </w:t>
            </w:r>
          </w:p>
        </w:tc>
        <w:tc>
          <w:tcPr>
            <w:tcW w:w="456" w:type="pct"/>
            <w:tcBorders>
              <w:top w:val="nil"/>
              <w:left w:val="nil"/>
              <w:bottom w:val="single" w:sz="4" w:space="0" w:color="auto"/>
              <w:right w:val="single" w:sz="4" w:space="0" w:color="auto"/>
            </w:tcBorders>
            <w:shd w:val="clear" w:color="auto" w:fill="auto"/>
            <w:noWrap/>
            <w:vAlign w:val="bottom"/>
            <w:hideMark/>
          </w:tcPr>
          <w:p w14:paraId="7BCC7BEF"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559" w:type="pct"/>
            <w:tcBorders>
              <w:top w:val="nil"/>
              <w:left w:val="nil"/>
              <w:bottom w:val="single" w:sz="4" w:space="0" w:color="auto"/>
              <w:right w:val="single" w:sz="4" w:space="0" w:color="auto"/>
            </w:tcBorders>
            <w:shd w:val="clear" w:color="auto" w:fill="auto"/>
            <w:noWrap/>
            <w:vAlign w:val="bottom"/>
            <w:hideMark/>
          </w:tcPr>
          <w:p w14:paraId="6EBB6FB1"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723" w:type="pct"/>
            <w:tcBorders>
              <w:top w:val="nil"/>
              <w:left w:val="nil"/>
              <w:bottom w:val="single" w:sz="4" w:space="0" w:color="auto"/>
              <w:right w:val="single" w:sz="4" w:space="0" w:color="auto"/>
            </w:tcBorders>
            <w:shd w:val="clear" w:color="auto" w:fill="auto"/>
            <w:noWrap/>
            <w:vAlign w:val="bottom"/>
            <w:hideMark/>
          </w:tcPr>
          <w:p w14:paraId="27B8BA7C"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346.566 </w:t>
            </w:r>
          </w:p>
        </w:tc>
      </w:tr>
      <w:tr w:rsidR="00844149" w:rsidRPr="00844149" w14:paraId="0C705A7E"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noWrap/>
            <w:vAlign w:val="bottom"/>
            <w:hideMark/>
          </w:tcPr>
          <w:p w14:paraId="74EE314B"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Recursos Capitalizáveis</w:t>
            </w:r>
          </w:p>
        </w:tc>
        <w:tc>
          <w:tcPr>
            <w:tcW w:w="580" w:type="pct"/>
            <w:tcBorders>
              <w:top w:val="nil"/>
              <w:left w:val="nil"/>
              <w:bottom w:val="single" w:sz="4" w:space="0" w:color="auto"/>
              <w:right w:val="single" w:sz="4" w:space="0" w:color="auto"/>
            </w:tcBorders>
            <w:shd w:val="clear" w:color="auto" w:fill="auto"/>
            <w:noWrap/>
            <w:vAlign w:val="bottom"/>
            <w:hideMark/>
          </w:tcPr>
          <w:p w14:paraId="70E5F910"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1.389.201 </w:t>
            </w:r>
          </w:p>
        </w:tc>
        <w:tc>
          <w:tcPr>
            <w:tcW w:w="581" w:type="pct"/>
            <w:tcBorders>
              <w:top w:val="nil"/>
              <w:left w:val="nil"/>
              <w:bottom w:val="single" w:sz="4" w:space="0" w:color="auto"/>
              <w:right w:val="single" w:sz="4" w:space="0" w:color="auto"/>
            </w:tcBorders>
            <w:shd w:val="clear" w:color="auto" w:fill="auto"/>
            <w:noWrap/>
            <w:vAlign w:val="bottom"/>
            <w:hideMark/>
          </w:tcPr>
          <w:p w14:paraId="4190CD87"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95.550 </w:t>
            </w:r>
          </w:p>
        </w:tc>
        <w:tc>
          <w:tcPr>
            <w:tcW w:w="456" w:type="pct"/>
            <w:tcBorders>
              <w:top w:val="nil"/>
              <w:left w:val="nil"/>
              <w:bottom w:val="single" w:sz="4" w:space="0" w:color="auto"/>
              <w:right w:val="single" w:sz="4" w:space="0" w:color="auto"/>
            </w:tcBorders>
            <w:shd w:val="clear" w:color="auto" w:fill="auto"/>
            <w:noWrap/>
            <w:vAlign w:val="bottom"/>
            <w:hideMark/>
          </w:tcPr>
          <w:p w14:paraId="6B29917A"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12.745 </w:t>
            </w:r>
          </w:p>
        </w:tc>
        <w:tc>
          <w:tcPr>
            <w:tcW w:w="559" w:type="pct"/>
            <w:tcBorders>
              <w:top w:val="nil"/>
              <w:left w:val="nil"/>
              <w:bottom w:val="single" w:sz="4" w:space="0" w:color="auto"/>
              <w:right w:val="single" w:sz="4" w:space="0" w:color="auto"/>
            </w:tcBorders>
            <w:shd w:val="clear" w:color="auto" w:fill="auto"/>
            <w:noWrap/>
            <w:vAlign w:val="bottom"/>
            <w:hideMark/>
          </w:tcPr>
          <w:p w14:paraId="34BEE291"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723" w:type="pct"/>
            <w:tcBorders>
              <w:top w:val="nil"/>
              <w:left w:val="nil"/>
              <w:bottom w:val="single" w:sz="4" w:space="0" w:color="auto"/>
              <w:right w:val="single" w:sz="4" w:space="0" w:color="auto"/>
            </w:tcBorders>
            <w:shd w:val="clear" w:color="auto" w:fill="auto"/>
            <w:noWrap/>
            <w:vAlign w:val="bottom"/>
            <w:hideMark/>
          </w:tcPr>
          <w:p w14:paraId="1A06A839"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1.497.496 </w:t>
            </w:r>
          </w:p>
        </w:tc>
      </w:tr>
      <w:tr w:rsidR="00844149" w:rsidRPr="00844149" w14:paraId="57577ADB"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noWrap/>
            <w:vAlign w:val="bottom"/>
            <w:hideMark/>
          </w:tcPr>
          <w:p w14:paraId="4D4C47B3" w14:textId="77777777" w:rsidR="00844149" w:rsidRPr="00844149" w:rsidRDefault="00844149" w:rsidP="00844149">
            <w:pPr>
              <w:spacing w:after="0" w:line="240" w:lineRule="auto"/>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Total do Não Circulante</w:t>
            </w:r>
          </w:p>
        </w:tc>
        <w:tc>
          <w:tcPr>
            <w:tcW w:w="580" w:type="pct"/>
            <w:tcBorders>
              <w:top w:val="nil"/>
              <w:left w:val="nil"/>
              <w:bottom w:val="single" w:sz="4" w:space="0" w:color="auto"/>
              <w:right w:val="single" w:sz="4" w:space="0" w:color="auto"/>
            </w:tcBorders>
            <w:shd w:val="clear" w:color="auto" w:fill="auto"/>
            <w:noWrap/>
            <w:vAlign w:val="bottom"/>
            <w:hideMark/>
          </w:tcPr>
          <w:p w14:paraId="02677326" w14:textId="77777777" w:rsidR="00844149" w:rsidRPr="00844149" w:rsidRDefault="00844149" w:rsidP="00844149">
            <w:pPr>
              <w:spacing w:after="0" w:line="240" w:lineRule="auto"/>
              <w:jc w:val="right"/>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 xml:space="preserve">         2.050.398 </w:t>
            </w:r>
          </w:p>
        </w:tc>
        <w:tc>
          <w:tcPr>
            <w:tcW w:w="581" w:type="pct"/>
            <w:tcBorders>
              <w:top w:val="nil"/>
              <w:left w:val="nil"/>
              <w:bottom w:val="single" w:sz="4" w:space="0" w:color="auto"/>
              <w:right w:val="single" w:sz="4" w:space="0" w:color="auto"/>
            </w:tcBorders>
            <w:shd w:val="clear" w:color="auto" w:fill="auto"/>
            <w:noWrap/>
            <w:vAlign w:val="bottom"/>
            <w:hideMark/>
          </w:tcPr>
          <w:p w14:paraId="55B93978" w14:textId="77777777" w:rsidR="00844149" w:rsidRPr="00844149" w:rsidRDefault="00844149" w:rsidP="00844149">
            <w:pPr>
              <w:spacing w:after="0" w:line="240" w:lineRule="auto"/>
              <w:jc w:val="right"/>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 xml:space="preserve">           95.550 </w:t>
            </w:r>
          </w:p>
        </w:tc>
        <w:tc>
          <w:tcPr>
            <w:tcW w:w="456" w:type="pct"/>
            <w:tcBorders>
              <w:top w:val="nil"/>
              <w:left w:val="nil"/>
              <w:bottom w:val="single" w:sz="4" w:space="0" w:color="auto"/>
              <w:right w:val="single" w:sz="4" w:space="0" w:color="auto"/>
            </w:tcBorders>
            <w:shd w:val="clear" w:color="auto" w:fill="auto"/>
            <w:noWrap/>
            <w:vAlign w:val="bottom"/>
            <w:hideMark/>
          </w:tcPr>
          <w:p w14:paraId="3DDE8112" w14:textId="77777777" w:rsidR="00844149" w:rsidRPr="00844149" w:rsidRDefault="00844149" w:rsidP="00844149">
            <w:pPr>
              <w:spacing w:after="0" w:line="240" w:lineRule="auto"/>
              <w:jc w:val="right"/>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 xml:space="preserve">        12.745 </w:t>
            </w:r>
          </w:p>
        </w:tc>
        <w:tc>
          <w:tcPr>
            <w:tcW w:w="559" w:type="pct"/>
            <w:tcBorders>
              <w:top w:val="nil"/>
              <w:left w:val="nil"/>
              <w:bottom w:val="single" w:sz="4" w:space="0" w:color="auto"/>
              <w:right w:val="single" w:sz="4" w:space="0" w:color="auto"/>
            </w:tcBorders>
            <w:shd w:val="clear" w:color="auto" w:fill="auto"/>
            <w:noWrap/>
            <w:vAlign w:val="bottom"/>
            <w:hideMark/>
          </w:tcPr>
          <w:p w14:paraId="1C0A5D2B" w14:textId="77777777" w:rsidR="00844149" w:rsidRPr="00844149" w:rsidRDefault="00844149" w:rsidP="00844149">
            <w:pPr>
              <w:spacing w:after="0" w:line="240" w:lineRule="auto"/>
              <w:jc w:val="right"/>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 xml:space="preserve">                       -   </w:t>
            </w:r>
          </w:p>
        </w:tc>
        <w:tc>
          <w:tcPr>
            <w:tcW w:w="723" w:type="pct"/>
            <w:tcBorders>
              <w:top w:val="nil"/>
              <w:left w:val="nil"/>
              <w:bottom w:val="single" w:sz="4" w:space="0" w:color="auto"/>
              <w:right w:val="single" w:sz="4" w:space="0" w:color="auto"/>
            </w:tcBorders>
            <w:shd w:val="clear" w:color="auto" w:fill="auto"/>
            <w:noWrap/>
            <w:vAlign w:val="bottom"/>
            <w:hideMark/>
          </w:tcPr>
          <w:p w14:paraId="54A4F4FD" w14:textId="77777777" w:rsidR="00844149" w:rsidRPr="00844149" w:rsidRDefault="00844149" w:rsidP="00844149">
            <w:pPr>
              <w:spacing w:after="0" w:line="240" w:lineRule="auto"/>
              <w:jc w:val="right"/>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 xml:space="preserve">              2.158.693 </w:t>
            </w:r>
          </w:p>
        </w:tc>
      </w:tr>
      <w:tr w:rsidR="00844149" w:rsidRPr="00844149" w14:paraId="65097FBF"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vAlign w:val="bottom"/>
            <w:hideMark/>
          </w:tcPr>
          <w:p w14:paraId="52110171" w14:textId="77777777" w:rsidR="00844149" w:rsidRPr="00844149" w:rsidRDefault="00844149" w:rsidP="00844149">
            <w:pPr>
              <w:spacing w:after="0" w:line="240" w:lineRule="auto"/>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Patrimônio Líquido</w:t>
            </w:r>
          </w:p>
        </w:tc>
        <w:tc>
          <w:tcPr>
            <w:tcW w:w="580" w:type="pct"/>
            <w:tcBorders>
              <w:top w:val="nil"/>
              <w:left w:val="nil"/>
              <w:bottom w:val="single" w:sz="4" w:space="0" w:color="auto"/>
              <w:right w:val="single" w:sz="4" w:space="0" w:color="auto"/>
            </w:tcBorders>
            <w:shd w:val="clear" w:color="auto" w:fill="auto"/>
            <w:noWrap/>
            <w:vAlign w:val="bottom"/>
            <w:hideMark/>
          </w:tcPr>
          <w:p w14:paraId="71713CBE"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581" w:type="pct"/>
            <w:tcBorders>
              <w:top w:val="nil"/>
              <w:left w:val="nil"/>
              <w:bottom w:val="single" w:sz="4" w:space="0" w:color="auto"/>
              <w:right w:val="single" w:sz="4" w:space="0" w:color="auto"/>
            </w:tcBorders>
            <w:shd w:val="clear" w:color="auto" w:fill="auto"/>
            <w:noWrap/>
            <w:vAlign w:val="bottom"/>
            <w:hideMark/>
          </w:tcPr>
          <w:p w14:paraId="2034260F" w14:textId="77777777" w:rsidR="00844149" w:rsidRPr="00844149" w:rsidRDefault="00844149" w:rsidP="00844149">
            <w:pPr>
              <w:spacing w:after="0" w:line="240" w:lineRule="auto"/>
              <w:jc w:val="right"/>
              <w:rPr>
                <w:rFonts w:ascii="Calibri" w:eastAsia="Times New Roman" w:hAnsi="Calibri" w:cs="Calibri"/>
                <w:color w:val="000000"/>
                <w:kern w:val="0"/>
                <w:sz w:val="14"/>
                <w:szCs w:val="14"/>
                <w:lang w:eastAsia="pt-BR"/>
                <w14:ligatures w14:val="none"/>
              </w:rPr>
            </w:pPr>
            <w:r w:rsidRPr="00844149">
              <w:rPr>
                <w:rFonts w:ascii="Calibri" w:eastAsia="Times New Roman" w:hAnsi="Calibri" w:cs="Calibri"/>
                <w:color w:val="000000"/>
                <w:kern w:val="0"/>
                <w:sz w:val="14"/>
                <w:szCs w:val="14"/>
                <w:lang w:eastAsia="pt-BR"/>
                <w14:ligatures w14:val="none"/>
              </w:rPr>
              <w:t> </w:t>
            </w:r>
          </w:p>
        </w:tc>
        <w:tc>
          <w:tcPr>
            <w:tcW w:w="456" w:type="pct"/>
            <w:tcBorders>
              <w:top w:val="nil"/>
              <w:left w:val="nil"/>
              <w:bottom w:val="single" w:sz="4" w:space="0" w:color="auto"/>
              <w:right w:val="single" w:sz="4" w:space="0" w:color="auto"/>
            </w:tcBorders>
            <w:shd w:val="clear" w:color="auto" w:fill="auto"/>
            <w:noWrap/>
            <w:vAlign w:val="bottom"/>
            <w:hideMark/>
          </w:tcPr>
          <w:p w14:paraId="0BA4C99F"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559" w:type="pct"/>
            <w:tcBorders>
              <w:top w:val="nil"/>
              <w:left w:val="nil"/>
              <w:bottom w:val="single" w:sz="4" w:space="0" w:color="auto"/>
              <w:right w:val="single" w:sz="4" w:space="0" w:color="auto"/>
            </w:tcBorders>
            <w:shd w:val="clear" w:color="auto" w:fill="auto"/>
            <w:noWrap/>
            <w:vAlign w:val="bottom"/>
            <w:hideMark/>
          </w:tcPr>
          <w:p w14:paraId="4BD786C4"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723" w:type="pct"/>
            <w:tcBorders>
              <w:top w:val="nil"/>
              <w:left w:val="nil"/>
              <w:bottom w:val="single" w:sz="4" w:space="0" w:color="auto"/>
              <w:right w:val="single" w:sz="4" w:space="0" w:color="auto"/>
            </w:tcBorders>
            <w:shd w:val="clear" w:color="auto" w:fill="auto"/>
            <w:noWrap/>
            <w:vAlign w:val="bottom"/>
            <w:hideMark/>
          </w:tcPr>
          <w:p w14:paraId="2659FB46"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r>
      <w:tr w:rsidR="00844149" w:rsidRPr="00844149" w14:paraId="4153B7C2"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noWrap/>
            <w:vAlign w:val="bottom"/>
            <w:hideMark/>
          </w:tcPr>
          <w:p w14:paraId="3876C1FE"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Capital Social</w:t>
            </w:r>
          </w:p>
        </w:tc>
        <w:tc>
          <w:tcPr>
            <w:tcW w:w="580" w:type="pct"/>
            <w:tcBorders>
              <w:top w:val="nil"/>
              <w:left w:val="nil"/>
              <w:bottom w:val="single" w:sz="4" w:space="0" w:color="auto"/>
              <w:right w:val="single" w:sz="4" w:space="0" w:color="auto"/>
            </w:tcBorders>
            <w:shd w:val="clear" w:color="auto" w:fill="auto"/>
            <w:noWrap/>
            <w:vAlign w:val="bottom"/>
            <w:hideMark/>
          </w:tcPr>
          <w:p w14:paraId="3EFCED90"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3.474.498 </w:t>
            </w:r>
          </w:p>
        </w:tc>
        <w:tc>
          <w:tcPr>
            <w:tcW w:w="581" w:type="pct"/>
            <w:tcBorders>
              <w:top w:val="nil"/>
              <w:left w:val="nil"/>
              <w:bottom w:val="single" w:sz="4" w:space="0" w:color="auto"/>
              <w:right w:val="single" w:sz="4" w:space="0" w:color="auto"/>
            </w:tcBorders>
            <w:shd w:val="clear" w:color="auto" w:fill="auto"/>
            <w:noWrap/>
            <w:vAlign w:val="bottom"/>
            <w:hideMark/>
          </w:tcPr>
          <w:p w14:paraId="08328150" w14:textId="77777777" w:rsidR="00844149" w:rsidRPr="00844149" w:rsidRDefault="00844149" w:rsidP="00844149">
            <w:pPr>
              <w:spacing w:after="0" w:line="240" w:lineRule="auto"/>
              <w:jc w:val="right"/>
              <w:rPr>
                <w:rFonts w:ascii="Calibri" w:eastAsia="Times New Roman" w:hAnsi="Calibri" w:cs="Calibri"/>
                <w:color w:val="000000"/>
                <w:kern w:val="0"/>
                <w:sz w:val="14"/>
                <w:szCs w:val="14"/>
                <w:lang w:eastAsia="pt-BR"/>
                <w14:ligatures w14:val="none"/>
              </w:rPr>
            </w:pPr>
            <w:r w:rsidRPr="00844149">
              <w:rPr>
                <w:rFonts w:ascii="Calibri" w:eastAsia="Times New Roman" w:hAnsi="Calibri" w:cs="Calibri"/>
                <w:color w:val="000000"/>
                <w:kern w:val="0"/>
                <w:sz w:val="14"/>
                <w:szCs w:val="14"/>
                <w:lang w:eastAsia="pt-BR"/>
                <w14:ligatures w14:val="none"/>
              </w:rPr>
              <w:t> </w:t>
            </w:r>
          </w:p>
        </w:tc>
        <w:tc>
          <w:tcPr>
            <w:tcW w:w="456" w:type="pct"/>
            <w:tcBorders>
              <w:top w:val="nil"/>
              <w:left w:val="nil"/>
              <w:bottom w:val="single" w:sz="4" w:space="0" w:color="auto"/>
              <w:right w:val="single" w:sz="4" w:space="0" w:color="auto"/>
            </w:tcBorders>
            <w:shd w:val="clear" w:color="auto" w:fill="auto"/>
            <w:noWrap/>
            <w:vAlign w:val="bottom"/>
            <w:hideMark/>
          </w:tcPr>
          <w:p w14:paraId="14977EEE"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559" w:type="pct"/>
            <w:tcBorders>
              <w:top w:val="nil"/>
              <w:left w:val="nil"/>
              <w:bottom w:val="single" w:sz="4" w:space="0" w:color="auto"/>
              <w:right w:val="single" w:sz="4" w:space="0" w:color="auto"/>
            </w:tcBorders>
            <w:shd w:val="clear" w:color="auto" w:fill="auto"/>
            <w:noWrap/>
            <w:vAlign w:val="bottom"/>
            <w:hideMark/>
          </w:tcPr>
          <w:p w14:paraId="12ED3207"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723" w:type="pct"/>
            <w:tcBorders>
              <w:top w:val="nil"/>
              <w:left w:val="nil"/>
              <w:bottom w:val="single" w:sz="4" w:space="0" w:color="auto"/>
              <w:right w:val="single" w:sz="4" w:space="0" w:color="auto"/>
            </w:tcBorders>
            <w:shd w:val="clear" w:color="auto" w:fill="auto"/>
            <w:noWrap/>
            <w:vAlign w:val="bottom"/>
            <w:hideMark/>
          </w:tcPr>
          <w:p w14:paraId="30A4E78C"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3.474.498 </w:t>
            </w:r>
          </w:p>
        </w:tc>
      </w:tr>
      <w:tr w:rsidR="00844149" w:rsidRPr="00844149" w14:paraId="7DF995BD"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noWrap/>
            <w:vAlign w:val="bottom"/>
            <w:hideMark/>
          </w:tcPr>
          <w:p w14:paraId="43BD5568"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Prejuízos Acumulados</w:t>
            </w:r>
          </w:p>
        </w:tc>
        <w:tc>
          <w:tcPr>
            <w:tcW w:w="580" w:type="pct"/>
            <w:tcBorders>
              <w:top w:val="nil"/>
              <w:left w:val="nil"/>
              <w:bottom w:val="single" w:sz="4" w:space="0" w:color="auto"/>
              <w:right w:val="single" w:sz="4" w:space="0" w:color="auto"/>
            </w:tcBorders>
            <w:shd w:val="clear" w:color="auto" w:fill="auto"/>
            <w:noWrap/>
            <w:vAlign w:val="bottom"/>
            <w:hideMark/>
          </w:tcPr>
          <w:p w14:paraId="51825F01"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(1.837.560)</w:t>
            </w:r>
          </w:p>
        </w:tc>
        <w:tc>
          <w:tcPr>
            <w:tcW w:w="581" w:type="pct"/>
            <w:tcBorders>
              <w:top w:val="nil"/>
              <w:left w:val="nil"/>
              <w:bottom w:val="single" w:sz="4" w:space="0" w:color="auto"/>
              <w:right w:val="single" w:sz="4" w:space="0" w:color="auto"/>
            </w:tcBorders>
            <w:shd w:val="clear" w:color="auto" w:fill="auto"/>
            <w:noWrap/>
            <w:vAlign w:val="bottom"/>
            <w:hideMark/>
          </w:tcPr>
          <w:p w14:paraId="11839C9B" w14:textId="77777777" w:rsidR="00844149" w:rsidRPr="00844149" w:rsidRDefault="00844149" w:rsidP="00844149">
            <w:pPr>
              <w:spacing w:after="0" w:line="240" w:lineRule="auto"/>
              <w:jc w:val="right"/>
              <w:rPr>
                <w:rFonts w:ascii="Calibri" w:eastAsia="Times New Roman" w:hAnsi="Calibri" w:cs="Calibri"/>
                <w:color w:val="000000"/>
                <w:kern w:val="0"/>
                <w:sz w:val="14"/>
                <w:szCs w:val="14"/>
                <w:lang w:eastAsia="pt-BR"/>
                <w14:ligatures w14:val="none"/>
              </w:rPr>
            </w:pPr>
            <w:r w:rsidRPr="00844149">
              <w:rPr>
                <w:rFonts w:ascii="Calibri" w:eastAsia="Times New Roman" w:hAnsi="Calibri" w:cs="Calibri"/>
                <w:color w:val="000000"/>
                <w:kern w:val="0"/>
                <w:sz w:val="14"/>
                <w:szCs w:val="14"/>
                <w:lang w:eastAsia="pt-BR"/>
                <w14:ligatures w14:val="none"/>
              </w:rPr>
              <w:t> </w:t>
            </w:r>
          </w:p>
        </w:tc>
        <w:tc>
          <w:tcPr>
            <w:tcW w:w="456" w:type="pct"/>
            <w:tcBorders>
              <w:top w:val="nil"/>
              <w:left w:val="nil"/>
              <w:bottom w:val="nil"/>
              <w:right w:val="nil"/>
            </w:tcBorders>
            <w:shd w:val="clear" w:color="auto" w:fill="auto"/>
            <w:noWrap/>
            <w:vAlign w:val="bottom"/>
            <w:hideMark/>
          </w:tcPr>
          <w:p w14:paraId="011BA7BA" w14:textId="77777777" w:rsidR="00844149" w:rsidRPr="00844149" w:rsidRDefault="00844149" w:rsidP="00844149">
            <w:pPr>
              <w:spacing w:after="0" w:line="240" w:lineRule="auto"/>
              <w:jc w:val="right"/>
              <w:rPr>
                <w:rFonts w:ascii="Calibri" w:eastAsia="Times New Roman" w:hAnsi="Calibri" w:cs="Calibri"/>
                <w:color w:val="000000"/>
                <w:kern w:val="0"/>
                <w:sz w:val="14"/>
                <w:szCs w:val="14"/>
                <w:lang w:eastAsia="pt-BR"/>
                <w14:ligatures w14:val="none"/>
              </w:rPr>
            </w:pPr>
          </w:p>
        </w:tc>
        <w:tc>
          <w:tcPr>
            <w:tcW w:w="559" w:type="pct"/>
            <w:tcBorders>
              <w:top w:val="nil"/>
              <w:left w:val="single" w:sz="4" w:space="0" w:color="auto"/>
              <w:bottom w:val="single" w:sz="4" w:space="0" w:color="auto"/>
              <w:right w:val="single" w:sz="4" w:space="0" w:color="auto"/>
            </w:tcBorders>
            <w:shd w:val="clear" w:color="auto" w:fill="auto"/>
            <w:noWrap/>
            <w:vAlign w:val="bottom"/>
            <w:hideMark/>
          </w:tcPr>
          <w:p w14:paraId="1CFE2DA4"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(108.295)</w:t>
            </w:r>
          </w:p>
        </w:tc>
        <w:tc>
          <w:tcPr>
            <w:tcW w:w="723" w:type="pct"/>
            <w:tcBorders>
              <w:top w:val="nil"/>
              <w:left w:val="nil"/>
              <w:bottom w:val="single" w:sz="4" w:space="0" w:color="auto"/>
              <w:right w:val="single" w:sz="4" w:space="0" w:color="auto"/>
            </w:tcBorders>
            <w:shd w:val="clear" w:color="auto" w:fill="auto"/>
            <w:noWrap/>
            <w:vAlign w:val="bottom"/>
            <w:hideMark/>
          </w:tcPr>
          <w:p w14:paraId="5E29A05A"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(1.945.855)</w:t>
            </w:r>
          </w:p>
        </w:tc>
      </w:tr>
      <w:tr w:rsidR="00844149" w:rsidRPr="00844149" w14:paraId="0BDECB9D"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noWrap/>
            <w:vAlign w:val="bottom"/>
            <w:hideMark/>
          </w:tcPr>
          <w:p w14:paraId="6AF2718A"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Ajuste de Avaliação Patrimonial</w:t>
            </w:r>
          </w:p>
        </w:tc>
        <w:tc>
          <w:tcPr>
            <w:tcW w:w="580" w:type="pct"/>
            <w:tcBorders>
              <w:top w:val="nil"/>
              <w:left w:val="nil"/>
              <w:bottom w:val="single" w:sz="4" w:space="0" w:color="auto"/>
              <w:right w:val="single" w:sz="4" w:space="0" w:color="auto"/>
            </w:tcBorders>
            <w:shd w:val="clear" w:color="auto" w:fill="auto"/>
            <w:noWrap/>
            <w:vAlign w:val="bottom"/>
            <w:hideMark/>
          </w:tcPr>
          <w:p w14:paraId="71FA9AF7"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26.571 </w:t>
            </w:r>
          </w:p>
        </w:tc>
        <w:tc>
          <w:tcPr>
            <w:tcW w:w="581" w:type="pct"/>
            <w:tcBorders>
              <w:top w:val="nil"/>
              <w:left w:val="nil"/>
              <w:bottom w:val="single" w:sz="4" w:space="0" w:color="auto"/>
              <w:right w:val="single" w:sz="4" w:space="0" w:color="auto"/>
            </w:tcBorders>
            <w:shd w:val="clear" w:color="auto" w:fill="auto"/>
            <w:noWrap/>
            <w:vAlign w:val="bottom"/>
            <w:hideMark/>
          </w:tcPr>
          <w:p w14:paraId="3617DBDC" w14:textId="77777777" w:rsidR="00844149" w:rsidRPr="00844149" w:rsidRDefault="00844149" w:rsidP="00844149">
            <w:pPr>
              <w:spacing w:after="0" w:line="240" w:lineRule="auto"/>
              <w:jc w:val="right"/>
              <w:rPr>
                <w:rFonts w:ascii="Calibri" w:eastAsia="Times New Roman" w:hAnsi="Calibri" w:cs="Calibri"/>
                <w:color w:val="000000"/>
                <w:kern w:val="0"/>
                <w:sz w:val="14"/>
                <w:szCs w:val="14"/>
                <w:lang w:eastAsia="pt-BR"/>
                <w14:ligatures w14:val="none"/>
              </w:rPr>
            </w:pPr>
            <w:r w:rsidRPr="00844149">
              <w:rPr>
                <w:rFonts w:ascii="Calibri" w:eastAsia="Times New Roman" w:hAnsi="Calibri" w:cs="Calibri"/>
                <w:color w:val="000000"/>
                <w:kern w:val="0"/>
                <w:sz w:val="14"/>
                <w:szCs w:val="14"/>
                <w:lang w:eastAsia="pt-BR"/>
                <w14:ligatures w14:val="none"/>
              </w:rPr>
              <w:t> </w:t>
            </w:r>
          </w:p>
        </w:tc>
        <w:tc>
          <w:tcPr>
            <w:tcW w:w="456" w:type="pct"/>
            <w:tcBorders>
              <w:top w:val="single" w:sz="4" w:space="0" w:color="auto"/>
              <w:left w:val="nil"/>
              <w:bottom w:val="single" w:sz="4" w:space="0" w:color="auto"/>
              <w:right w:val="single" w:sz="4" w:space="0" w:color="auto"/>
            </w:tcBorders>
            <w:shd w:val="clear" w:color="auto" w:fill="auto"/>
            <w:noWrap/>
            <w:vAlign w:val="bottom"/>
            <w:hideMark/>
          </w:tcPr>
          <w:p w14:paraId="4C5A5093"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559" w:type="pct"/>
            <w:tcBorders>
              <w:top w:val="nil"/>
              <w:left w:val="nil"/>
              <w:bottom w:val="single" w:sz="4" w:space="0" w:color="auto"/>
              <w:right w:val="single" w:sz="4" w:space="0" w:color="auto"/>
            </w:tcBorders>
            <w:shd w:val="clear" w:color="auto" w:fill="auto"/>
            <w:noWrap/>
            <w:vAlign w:val="bottom"/>
            <w:hideMark/>
          </w:tcPr>
          <w:p w14:paraId="3FD20672"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723" w:type="pct"/>
            <w:tcBorders>
              <w:top w:val="nil"/>
              <w:left w:val="nil"/>
              <w:bottom w:val="single" w:sz="4" w:space="0" w:color="auto"/>
              <w:right w:val="single" w:sz="4" w:space="0" w:color="auto"/>
            </w:tcBorders>
            <w:shd w:val="clear" w:color="auto" w:fill="auto"/>
            <w:noWrap/>
            <w:vAlign w:val="bottom"/>
            <w:hideMark/>
          </w:tcPr>
          <w:p w14:paraId="774E2498"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26.571 </w:t>
            </w:r>
          </w:p>
        </w:tc>
      </w:tr>
      <w:tr w:rsidR="00844149" w:rsidRPr="00844149" w14:paraId="4A44A93A"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noWrap/>
            <w:vAlign w:val="bottom"/>
            <w:hideMark/>
          </w:tcPr>
          <w:p w14:paraId="7D360B31"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Ações em Tesouraria</w:t>
            </w:r>
          </w:p>
        </w:tc>
        <w:tc>
          <w:tcPr>
            <w:tcW w:w="580" w:type="pct"/>
            <w:tcBorders>
              <w:top w:val="nil"/>
              <w:left w:val="nil"/>
              <w:bottom w:val="single" w:sz="4" w:space="0" w:color="auto"/>
              <w:right w:val="single" w:sz="4" w:space="0" w:color="auto"/>
            </w:tcBorders>
            <w:shd w:val="clear" w:color="auto" w:fill="auto"/>
            <w:noWrap/>
            <w:vAlign w:val="bottom"/>
            <w:hideMark/>
          </w:tcPr>
          <w:p w14:paraId="1D5849BE"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(111)</w:t>
            </w:r>
          </w:p>
        </w:tc>
        <w:tc>
          <w:tcPr>
            <w:tcW w:w="581" w:type="pct"/>
            <w:tcBorders>
              <w:top w:val="nil"/>
              <w:left w:val="nil"/>
              <w:bottom w:val="single" w:sz="4" w:space="0" w:color="auto"/>
              <w:right w:val="single" w:sz="4" w:space="0" w:color="auto"/>
            </w:tcBorders>
            <w:shd w:val="clear" w:color="auto" w:fill="auto"/>
            <w:noWrap/>
            <w:vAlign w:val="bottom"/>
            <w:hideMark/>
          </w:tcPr>
          <w:p w14:paraId="5F11CA13" w14:textId="77777777" w:rsidR="00844149" w:rsidRPr="00844149" w:rsidRDefault="00844149" w:rsidP="00844149">
            <w:pPr>
              <w:spacing w:after="0" w:line="240" w:lineRule="auto"/>
              <w:jc w:val="right"/>
              <w:rPr>
                <w:rFonts w:ascii="Calibri" w:eastAsia="Times New Roman" w:hAnsi="Calibri" w:cs="Calibri"/>
                <w:color w:val="000000"/>
                <w:kern w:val="0"/>
                <w:sz w:val="14"/>
                <w:szCs w:val="14"/>
                <w:lang w:eastAsia="pt-BR"/>
                <w14:ligatures w14:val="none"/>
              </w:rPr>
            </w:pPr>
            <w:r w:rsidRPr="00844149">
              <w:rPr>
                <w:rFonts w:ascii="Calibri" w:eastAsia="Times New Roman" w:hAnsi="Calibri" w:cs="Calibri"/>
                <w:color w:val="000000"/>
                <w:kern w:val="0"/>
                <w:sz w:val="14"/>
                <w:szCs w:val="14"/>
                <w:lang w:eastAsia="pt-BR"/>
                <w14:ligatures w14:val="none"/>
              </w:rPr>
              <w:t> </w:t>
            </w:r>
          </w:p>
        </w:tc>
        <w:tc>
          <w:tcPr>
            <w:tcW w:w="456" w:type="pct"/>
            <w:tcBorders>
              <w:top w:val="nil"/>
              <w:left w:val="nil"/>
              <w:bottom w:val="single" w:sz="4" w:space="0" w:color="auto"/>
              <w:right w:val="single" w:sz="4" w:space="0" w:color="auto"/>
            </w:tcBorders>
            <w:shd w:val="clear" w:color="auto" w:fill="auto"/>
            <w:noWrap/>
            <w:vAlign w:val="bottom"/>
            <w:hideMark/>
          </w:tcPr>
          <w:p w14:paraId="488222C1"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559" w:type="pct"/>
            <w:tcBorders>
              <w:top w:val="nil"/>
              <w:left w:val="nil"/>
              <w:bottom w:val="single" w:sz="4" w:space="0" w:color="auto"/>
              <w:right w:val="single" w:sz="4" w:space="0" w:color="auto"/>
            </w:tcBorders>
            <w:shd w:val="clear" w:color="auto" w:fill="auto"/>
            <w:noWrap/>
            <w:vAlign w:val="bottom"/>
            <w:hideMark/>
          </w:tcPr>
          <w:p w14:paraId="437C1683"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723" w:type="pct"/>
            <w:tcBorders>
              <w:top w:val="nil"/>
              <w:left w:val="nil"/>
              <w:bottom w:val="single" w:sz="4" w:space="0" w:color="auto"/>
              <w:right w:val="single" w:sz="4" w:space="0" w:color="auto"/>
            </w:tcBorders>
            <w:shd w:val="clear" w:color="auto" w:fill="auto"/>
            <w:noWrap/>
            <w:vAlign w:val="bottom"/>
            <w:hideMark/>
          </w:tcPr>
          <w:p w14:paraId="0A78759C" w14:textId="77777777" w:rsidR="00844149" w:rsidRPr="00844149" w:rsidRDefault="00844149" w:rsidP="00844149">
            <w:pPr>
              <w:spacing w:after="0" w:line="240" w:lineRule="auto"/>
              <w:jc w:val="right"/>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(111)</w:t>
            </w:r>
          </w:p>
        </w:tc>
      </w:tr>
      <w:tr w:rsidR="00844149" w:rsidRPr="00844149" w14:paraId="59002AEA"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noWrap/>
            <w:vAlign w:val="bottom"/>
            <w:hideMark/>
          </w:tcPr>
          <w:p w14:paraId="471D01D1" w14:textId="77777777" w:rsidR="00844149" w:rsidRPr="00844149" w:rsidRDefault="00844149" w:rsidP="00844149">
            <w:pPr>
              <w:spacing w:after="0" w:line="240" w:lineRule="auto"/>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Total do Patrimônio Líquido</w:t>
            </w:r>
          </w:p>
        </w:tc>
        <w:tc>
          <w:tcPr>
            <w:tcW w:w="580" w:type="pct"/>
            <w:tcBorders>
              <w:top w:val="nil"/>
              <w:left w:val="nil"/>
              <w:bottom w:val="single" w:sz="4" w:space="0" w:color="auto"/>
              <w:right w:val="single" w:sz="4" w:space="0" w:color="auto"/>
            </w:tcBorders>
            <w:shd w:val="clear" w:color="auto" w:fill="auto"/>
            <w:noWrap/>
            <w:vAlign w:val="bottom"/>
            <w:hideMark/>
          </w:tcPr>
          <w:p w14:paraId="3EDB9068" w14:textId="77777777" w:rsidR="00844149" w:rsidRPr="00844149" w:rsidRDefault="00844149" w:rsidP="00844149">
            <w:pPr>
              <w:spacing w:after="0" w:line="240" w:lineRule="auto"/>
              <w:jc w:val="right"/>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 xml:space="preserve">         1.663.398 </w:t>
            </w:r>
          </w:p>
        </w:tc>
        <w:tc>
          <w:tcPr>
            <w:tcW w:w="581" w:type="pct"/>
            <w:tcBorders>
              <w:top w:val="nil"/>
              <w:left w:val="nil"/>
              <w:bottom w:val="single" w:sz="4" w:space="0" w:color="auto"/>
              <w:right w:val="single" w:sz="4" w:space="0" w:color="auto"/>
            </w:tcBorders>
            <w:shd w:val="clear" w:color="auto" w:fill="auto"/>
            <w:noWrap/>
            <w:vAlign w:val="bottom"/>
            <w:hideMark/>
          </w:tcPr>
          <w:p w14:paraId="083FCBB0" w14:textId="77777777" w:rsidR="00844149" w:rsidRPr="00844149" w:rsidRDefault="00844149" w:rsidP="00844149">
            <w:pPr>
              <w:spacing w:after="0" w:line="240" w:lineRule="auto"/>
              <w:jc w:val="right"/>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 xml:space="preserve">                  -   </w:t>
            </w:r>
          </w:p>
        </w:tc>
        <w:tc>
          <w:tcPr>
            <w:tcW w:w="456" w:type="pct"/>
            <w:tcBorders>
              <w:top w:val="nil"/>
              <w:left w:val="nil"/>
              <w:bottom w:val="single" w:sz="4" w:space="0" w:color="auto"/>
              <w:right w:val="single" w:sz="4" w:space="0" w:color="auto"/>
            </w:tcBorders>
            <w:shd w:val="clear" w:color="auto" w:fill="auto"/>
            <w:noWrap/>
            <w:vAlign w:val="bottom"/>
            <w:hideMark/>
          </w:tcPr>
          <w:p w14:paraId="1275D39D" w14:textId="77777777" w:rsidR="00844149" w:rsidRPr="00844149" w:rsidRDefault="00844149" w:rsidP="00844149">
            <w:pPr>
              <w:spacing w:after="0" w:line="240" w:lineRule="auto"/>
              <w:jc w:val="right"/>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 xml:space="preserve">                  -   </w:t>
            </w:r>
          </w:p>
        </w:tc>
        <w:tc>
          <w:tcPr>
            <w:tcW w:w="559" w:type="pct"/>
            <w:tcBorders>
              <w:top w:val="nil"/>
              <w:left w:val="nil"/>
              <w:bottom w:val="single" w:sz="4" w:space="0" w:color="auto"/>
              <w:right w:val="single" w:sz="4" w:space="0" w:color="auto"/>
            </w:tcBorders>
            <w:shd w:val="clear" w:color="auto" w:fill="auto"/>
            <w:noWrap/>
            <w:vAlign w:val="bottom"/>
            <w:hideMark/>
          </w:tcPr>
          <w:p w14:paraId="4D43FC1C" w14:textId="77777777" w:rsidR="00844149" w:rsidRPr="00844149" w:rsidRDefault="00844149" w:rsidP="00844149">
            <w:pPr>
              <w:spacing w:after="0" w:line="240" w:lineRule="auto"/>
              <w:jc w:val="right"/>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 xml:space="preserve">         (108.295)</w:t>
            </w:r>
          </w:p>
        </w:tc>
        <w:tc>
          <w:tcPr>
            <w:tcW w:w="723" w:type="pct"/>
            <w:tcBorders>
              <w:top w:val="nil"/>
              <w:left w:val="nil"/>
              <w:bottom w:val="single" w:sz="4" w:space="0" w:color="auto"/>
              <w:right w:val="single" w:sz="4" w:space="0" w:color="auto"/>
            </w:tcBorders>
            <w:shd w:val="clear" w:color="auto" w:fill="auto"/>
            <w:noWrap/>
            <w:vAlign w:val="bottom"/>
            <w:hideMark/>
          </w:tcPr>
          <w:p w14:paraId="442BA25A" w14:textId="77777777" w:rsidR="00844149" w:rsidRPr="00844149" w:rsidRDefault="00844149" w:rsidP="00844149">
            <w:pPr>
              <w:spacing w:after="0" w:line="240" w:lineRule="auto"/>
              <w:jc w:val="right"/>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 xml:space="preserve">              1.555.103 </w:t>
            </w:r>
          </w:p>
        </w:tc>
      </w:tr>
      <w:tr w:rsidR="00844149" w:rsidRPr="00844149" w14:paraId="7E64C559" w14:textId="77777777" w:rsidTr="00844149">
        <w:trPr>
          <w:trHeight w:val="215"/>
        </w:trPr>
        <w:tc>
          <w:tcPr>
            <w:tcW w:w="2102" w:type="pct"/>
            <w:tcBorders>
              <w:top w:val="nil"/>
              <w:left w:val="single" w:sz="4" w:space="0" w:color="auto"/>
              <w:bottom w:val="single" w:sz="4" w:space="0" w:color="auto"/>
              <w:right w:val="single" w:sz="4" w:space="0" w:color="auto"/>
            </w:tcBorders>
            <w:shd w:val="clear" w:color="auto" w:fill="auto"/>
            <w:noWrap/>
            <w:vAlign w:val="bottom"/>
            <w:hideMark/>
          </w:tcPr>
          <w:p w14:paraId="767B3323" w14:textId="77777777" w:rsidR="00844149" w:rsidRPr="00844149" w:rsidRDefault="00844149" w:rsidP="00844149">
            <w:pPr>
              <w:spacing w:after="0" w:line="240" w:lineRule="auto"/>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Total do Passivo</w:t>
            </w:r>
          </w:p>
        </w:tc>
        <w:tc>
          <w:tcPr>
            <w:tcW w:w="580" w:type="pct"/>
            <w:tcBorders>
              <w:top w:val="nil"/>
              <w:left w:val="nil"/>
              <w:bottom w:val="single" w:sz="4" w:space="0" w:color="auto"/>
              <w:right w:val="single" w:sz="4" w:space="0" w:color="auto"/>
            </w:tcBorders>
            <w:shd w:val="clear" w:color="auto" w:fill="auto"/>
            <w:noWrap/>
            <w:vAlign w:val="bottom"/>
            <w:hideMark/>
          </w:tcPr>
          <w:p w14:paraId="6F65C7A3" w14:textId="77777777" w:rsidR="00844149" w:rsidRPr="00844149" w:rsidRDefault="00844149" w:rsidP="00844149">
            <w:pPr>
              <w:spacing w:after="0" w:line="240" w:lineRule="auto"/>
              <w:jc w:val="right"/>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 xml:space="preserve">         4.035.411 </w:t>
            </w:r>
          </w:p>
        </w:tc>
        <w:tc>
          <w:tcPr>
            <w:tcW w:w="581" w:type="pct"/>
            <w:tcBorders>
              <w:top w:val="nil"/>
              <w:left w:val="nil"/>
              <w:bottom w:val="single" w:sz="4" w:space="0" w:color="auto"/>
              <w:right w:val="single" w:sz="4" w:space="0" w:color="auto"/>
            </w:tcBorders>
            <w:shd w:val="clear" w:color="auto" w:fill="auto"/>
            <w:noWrap/>
            <w:vAlign w:val="bottom"/>
            <w:hideMark/>
          </w:tcPr>
          <w:p w14:paraId="2EA8B738" w14:textId="77777777" w:rsidR="00844149" w:rsidRPr="00844149" w:rsidRDefault="00844149" w:rsidP="00844149">
            <w:pPr>
              <w:spacing w:after="0" w:line="240" w:lineRule="auto"/>
              <w:jc w:val="right"/>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 xml:space="preserve">           95.550 </w:t>
            </w:r>
          </w:p>
        </w:tc>
        <w:tc>
          <w:tcPr>
            <w:tcW w:w="456" w:type="pct"/>
            <w:tcBorders>
              <w:top w:val="nil"/>
              <w:left w:val="nil"/>
              <w:bottom w:val="single" w:sz="4" w:space="0" w:color="auto"/>
              <w:right w:val="single" w:sz="4" w:space="0" w:color="auto"/>
            </w:tcBorders>
            <w:shd w:val="clear" w:color="auto" w:fill="auto"/>
            <w:noWrap/>
            <w:vAlign w:val="bottom"/>
            <w:hideMark/>
          </w:tcPr>
          <w:p w14:paraId="1989B4B1" w14:textId="77777777" w:rsidR="00844149" w:rsidRPr="00844149" w:rsidRDefault="00844149" w:rsidP="00844149">
            <w:pPr>
              <w:spacing w:after="0" w:line="240" w:lineRule="auto"/>
              <w:jc w:val="right"/>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 xml:space="preserve">        12.745 </w:t>
            </w:r>
          </w:p>
        </w:tc>
        <w:tc>
          <w:tcPr>
            <w:tcW w:w="559" w:type="pct"/>
            <w:tcBorders>
              <w:top w:val="nil"/>
              <w:left w:val="nil"/>
              <w:bottom w:val="single" w:sz="4" w:space="0" w:color="auto"/>
              <w:right w:val="single" w:sz="4" w:space="0" w:color="auto"/>
            </w:tcBorders>
            <w:shd w:val="clear" w:color="auto" w:fill="auto"/>
            <w:noWrap/>
            <w:vAlign w:val="bottom"/>
            <w:hideMark/>
          </w:tcPr>
          <w:p w14:paraId="52E59981" w14:textId="77777777" w:rsidR="00844149" w:rsidRPr="00844149" w:rsidRDefault="00844149" w:rsidP="00844149">
            <w:pPr>
              <w:spacing w:after="0" w:line="240" w:lineRule="auto"/>
              <w:jc w:val="right"/>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 xml:space="preserve">         (108.295)</w:t>
            </w:r>
          </w:p>
        </w:tc>
        <w:tc>
          <w:tcPr>
            <w:tcW w:w="723" w:type="pct"/>
            <w:tcBorders>
              <w:top w:val="nil"/>
              <w:left w:val="nil"/>
              <w:bottom w:val="single" w:sz="4" w:space="0" w:color="auto"/>
              <w:right w:val="single" w:sz="4" w:space="0" w:color="auto"/>
            </w:tcBorders>
            <w:shd w:val="clear" w:color="auto" w:fill="auto"/>
            <w:noWrap/>
            <w:vAlign w:val="bottom"/>
            <w:hideMark/>
          </w:tcPr>
          <w:p w14:paraId="4D3ED456" w14:textId="77777777" w:rsidR="00844149" w:rsidRPr="00844149" w:rsidRDefault="00844149" w:rsidP="00844149">
            <w:pPr>
              <w:spacing w:after="0" w:line="240" w:lineRule="auto"/>
              <w:jc w:val="right"/>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 xml:space="preserve">              4.035.411 </w:t>
            </w:r>
          </w:p>
        </w:tc>
      </w:tr>
    </w:tbl>
    <w:p w14:paraId="6C3CC1DF" w14:textId="77777777" w:rsidR="00844149" w:rsidRPr="00844149" w:rsidRDefault="00844149" w:rsidP="00844149">
      <w:pPr>
        <w:spacing w:after="0"/>
        <w:jc w:val="both"/>
        <w:rPr>
          <w:rFonts w:ascii="Calibri" w:eastAsia="Times New Roman" w:hAnsi="Calibri" w:cs="Calibri"/>
          <w:iCs/>
          <w:color w:val="002060"/>
          <w:kern w:val="0"/>
          <w14:ligatures w14:val="none"/>
        </w:rPr>
      </w:pPr>
      <w:r w:rsidRPr="00844149">
        <w:rPr>
          <w:rFonts w:ascii="Calibri" w:eastAsia="Times New Roman" w:hAnsi="Calibri" w:cs="Calibri"/>
          <w:iCs/>
          <w:color w:val="002060"/>
          <w:kern w:val="0"/>
          <w14:ligatures w14:val="none"/>
        </w:rPr>
        <w:t>i) Refere-se aos valores recebidos relativos às Subvenções para Investimentos (aplicações no Ativo Imobilizado) no exercício de 2020, 2021 e 2022, que haviam sido reconhecidos em “Outras Receitas Operacionais” naquele ano.</w:t>
      </w:r>
    </w:p>
    <w:p w14:paraId="334C8001" w14:textId="77777777" w:rsidR="00844149" w:rsidRPr="00844149" w:rsidRDefault="00844149" w:rsidP="00844149">
      <w:pPr>
        <w:spacing w:after="0"/>
        <w:jc w:val="both"/>
        <w:rPr>
          <w:rFonts w:ascii="Calibri" w:eastAsia="Times New Roman" w:hAnsi="Calibri" w:cs="Calibri"/>
          <w:iCs/>
          <w:color w:val="002060"/>
          <w:kern w:val="0"/>
          <w14:ligatures w14:val="none"/>
        </w:rPr>
      </w:pPr>
      <w:proofErr w:type="spellStart"/>
      <w:r w:rsidRPr="00844149">
        <w:rPr>
          <w:rFonts w:ascii="Calibri" w:eastAsia="Times New Roman" w:hAnsi="Calibri" w:cs="Calibri"/>
          <w:iCs/>
          <w:color w:val="002060"/>
          <w:kern w:val="0"/>
          <w14:ligatures w14:val="none"/>
        </w:rPr>
        <w:t>ii</w:t>
      </w:r>
      <w:proofErr w:type="spellEnd"/>
      <w:r w:rsidRPr="00844149">
        <w:rPr>
          <w:rFonts w:ascii="Calibri" w:eastAsia="Times New Roman" w:hAnsi="Calibri" w:cs="Calibri"/>
          <w:iCs/>
          <w:color w:val="002060"/>
          <w:kern w:val="0"/>
          <w14:ligatures w14:val="none"/>
        </w:rPr>
        <w:t xml:space="preserve">) Representa os Juros reconhecidos quando da adoção da nova política contábil, a qual, alterou a forma de registro das Subvenções para Investimentos do resultado do exercício para o Passivo Exigível, a Telebras passou a reconhecer juros sobre aos valores de AFAC. </w:t>
      </w:r>
    </w:p>
    <w:p w14:paraId="1EA31976" w14:textId="77777777" w:rsidR="00844149" w:rsidRDefault="00844149" w:rsidP="00844149">
      <w:pPr>
        <w:spacing w:after="0"/>
        <w:jc w:val="both"/>
        <w:rPr>
          <w:rFonts w:ascii="Calibri" w:eastAsia="Times New Roman" w:hAnsi="Calibri" w:cs="Calibri"/>
          <w:iCs/>
          <w:color w:val="002060"/>
          <w:kern w:val="0"/>
          <w14:ligatures w14:val="none"/>
        </w:rPr>
      </w:pPr>
      <w:proofErr w:type="spellStart"/>
      <w:r w:rsidRPr="00844149">
        <w:rPr>
          <w:rFonts w:ascii="Calibri" w:eastAsia="Times New Roman" w:hAnsi="Calibri" w:cs="Calibri"/>
          <w:iCs/>
          <w:color w:val="002060"/>
          <w:kern w:val="0"/>
          <w14:ligatures w14:val="none"/>
        </w:rPr>
        <w:t>iii</w:t>
      </w:r>
      <w:proofErr w:type="spellEnd"/>
      <w:r w:rsidRPr="00844149">
        <w:rPr>
          <w:rFonts w:ascii="Calibri" w:eastAsia="Times New Roman" w:hAnsi="Calibri" w:cs="Calibri"/>
          <w:iCs/>
          <w:color w:val="002060"/>
          <w:kern w:val="0"/>
          <w14:ligatures w14:val="none"/>
        </w:rPr>
        <w:t xml:space="preserve">) Trata-se do efeito dos recursos recebidos de Subvenções para Investimentos (Aplicação do Ativo Imobilizado) e que foram reclassificados para o Passivo Exigível (AFAC). </w:t>
      </w:r>
    </w:p>
    <w:p w14:paraId="5B44F880" w14:textId="39C2C2E7" w:rsidR="00844149" w:rsidRPr="00844149" w:rsidRDefault="00844149" w:rsidP="00844149">
      <w:pPr>
        <w:spacing w:after="0"/>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3.1.2. </w:t>
      </w:r>
      <w:r w:rsidRPr="00844149">
        <w:rPr>
          <w:rFonts w:ascii="Calibri" w:eastAsia="Times New Roman" w:hAnsi="Calibri" w:cs="Calibri"/>
          <w:b/>
          <w:bCs/>
          <w:iCs/>
          <w:color w:val="002060"/>
          <w:kern w:val="0"/>
          <w14:ligatures w14:val="none"/>
        </w:rPr>
        <w:t>Conciliação do Patrimônio Líquido</w:t>
      </w:r>
    </w:p>
    <w:tbl>
      <w:tblPr>
        <w:tblW w:w="5000" w:type="pct"/>
        <w:tblCellMar>
          <w:left w:w="70" w:type="dxa"/>
          <w:right w:w="70" w:type="dxa"/>
        </w:tblCellMar>
        <w:tblLook w:val="04A0" w:firstRow="1" w:lastRow="0" w:firstColumn="1" w:lastColumn="0" w:noHBand="0" w:noVBand="1"/>
      </w:tblPr>
      <w:tblGrid>
        <w:gridCol w:w="4245"/>
        <w:gridCol w:w="1395"/>
        <w:gridCol w:w="1216"/>
        <w:gridCol w:w="1436"/>
        <w:gridCol w:w="1479"/>
      </w:tblGrid>
      <w:tr w:rsidR="00844149" w:rsidRPr="00844149" w14:paraId="27395C11" w14:textId="77777777" w:rsidTr="00844149">
        <w:trPr>
          <w:trHeight w:val="198"/>
        </w:trPr>
        <w:tc>
          <w:tcPr>
            <w:tcW w:w="2172" w:type="pct"/>
            <w:tcBorders>
              <w:top w:val="single" w:sz="4" w:space="0" w:color="auto"/>
              <w:left w:val="single" w:sz="4" w:space="0" w:color="auto"/>
              <w:bottom w:val="single" w:sz="4" w:space="0" w:color="auto"/>
              <w:right w:val="nil"/>
            </w:tcBorders>
            <w:shd w:val="clear" w:color="auto" w:fill="auto"/>
            <w:noWrap/>
            <w:vAlign w:val="bottom"/>
            <w:hideMark/>
          </w:tcPr>
          <w:p w14:paraId="607A2222" w14:textId="77777777" w:rsidR="00844149" w:rsidRPr="00844149" w:rsidRDefault="00844149" w:rsidP="00844149">
            <w:pPr>
              <w:spacing w:after="0" w:line="240" w:lineRule="auto"/>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lastRenderedPageBreak/>
              <w:t>Patrimônio Líquido Divulgado em 31/12/2022</w:t>
            </w:r>
          </w:p>
        </w:tc>
        <w:tc>
          <w:tcPr>
            <w:tcW w:w="714" w:type="pct"/>
            <w:tcBorders>
              <w:top w:val="single" w:sz="4" w:space="0" w:color="auto"/>
              <w:left w:val="nil"/>
              <w:bottom w:val="single" w:sz="4" w:space="0" w:color="auto"/>
              <w:right w:val="nil"/>
            </w:tcBorders>
            <w:shd w:val="clear" w:color="auto" w:fill="auto"/>
            <w:noWrap/>
            <w:vAlign w:val="bottom"/>
            <w:hideMark/>
          </w:tcPr>
          <w:p w14:paraId="487C530C" w14:textId="77777777" w:rsidR="00844149" w:rsidRPr="00844149" w:rsidRDefault="00844149" w:rsidP="00844149">
            <w:pPr>
              <w:spacing w:after="0" w:line="240" w:lineRule="auto"/>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 </w:t>
            </w:r>
          </w:p>
        </w:tc>
        <w:tc>
          <w:tcPr>
            <w:tcW w:w="622" w:type="pct"/>
            <w:tcBorders>
              <w:top w:val="single" w:sz="4" w:space="0" w:color="auto"/>
              <w:left w:val="nil"/>
              <w:bottom w:val="single" w:sz="4" w:space="0" w:color="auto"/>
              <w:right w:val="nil"/>
            </w:tcBorders>
            <w:shd w:val="clear" w:color="auto" w:fill="auto"/>
            <w:noWrap/>
            <w:vAlign w:val="bottom"/>
            <w:hideMark/>
          </w:tcPr>
          <w:p w14:paraId="648AC9AD" w14:textId="77777777" w:rsidR="00844149" w:rsidRPr="00844149" w:rsidRDefault="00844149" w:rsidP="00844149">
            <w:pPr>
              <w:spacing w:after="0" w:line="240" w:lineRule="auto"/>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 </w:t>
            </w:r>
          </w:p>
        </w:tc>
        <w:tc>
          <w:tcPr>
            <w:tcW w:w="735" w:type="pct"/>
            <w:tcBorders>
              <w:top w:val="single" w:sz="4" w:space="0" w:color="auto"/>
              <w:left w:val="nil"/>
              <w:bottom w:val="single" w:sz="4" w:space="0" w:color="auto"/>
              <w:right w:val="nil"/>
            </w:tcBorders>
            <w:shd w:val="clear" w:color="auto" w:fill="auto"/>
            <w:noWrap/>
            <w:vAlign w:val="bottom"/>
            <w:hideMark/>
          </w:tcPr>
          <w:p w14:paraId="3B67D547" w14:textId="77777777" w:rsidR="00844149" w:rsidRPr="00844149" w:rsidRDefault="00844149" w:rsidP="00844149">
            <w:pPr>
              <w:spacing w:after="0" w:line="240" w:lineRule="auto"/>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 </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6DE00F" w14:textId="77777777" w:rsidR="00844149" w:rsidRPr="00844149" w:rsidRDefault="00844149" w:rsidP="00844149">
            <w:pPr>
              <w:spacing w:after="0" w:line="240" w:lineRule="auto"/>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 xml:space="preserve">                 1.663.398 </w:t>
            </w:r>
          </w:p>
        </w:tc>
      </w:tr>
      <w:tr w:rsidR="00844149" w:rsidRPr="00844149" w14:paraId="2E8ED044" w14:textId="77777777" w:rsidTr="00844149">
        <w:trPr>
          <w:trHeight w:val="198"/>
        </w:trPr>
        <w:tc>
          <w:tcPr>
            <w:tcW w:w="2172" w:type="pct"/>
            <w:tcBorders>
              <w:top w:val="nil"/>
              <w:left w:val="single" w:sz="4" w:space="0" w:color="auto"/>
              <w:bottom w:val="single" w:sz="4" w:space="0" w:color="auto"/>
              <w:right w:val="nil"/>
            </w:tcBorders>
            <w:shd w:val="clear" w:color="auto" w:fill="auto"/>
            <w:noWrap/>
            <w:vAlign w:val="bottom"/>
            <w:hideMark/>
          </w:tcPr>
          <w:p w14:paraId="5E8DCFFD" w14:textId="77777777" w:rsidR="00844149" w:rsidRPr="00844149" w:rsidRDefault="00844149" w:rsidP="00844149">
            <w:pPr>
              <w:spacing w:after="0" w:line="240" w:lineRule="auto"/>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Ajustes:</w:t>
            </w:r>
          </w:p>
        </w:tc>
        <w:tc>
          <w:tcPr>
            <w:tcW w:w="714" w:type="pct"/>
            <w:tcBorders>
              <w:top w:val="nil"/>
              <w:left w:val="nil"/>
              <w:bottom w:val="single" w:sz="4" w:space="0" w:color="auto"/>
              <w:right w:val="nil"/>
            </w:tcBorders>
            <w:shd w:val="clear" w:color="auto" w:fill="auto"/>
            <w:noWrap/>
            <w:vAlign w:val="bottom"/>
            <w:hideMark/>
          </w:tcPr>
          <w:p w14:paraId="0171189F"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622" w:type="pct"/>
            <w:tcBorders>
              <w:top w:val="nil"/>
              <w:left w:val="nil"/>
              <w:bottom w:val="single" w:sz="4" w:space="0" w:color="auto"/>
              <w:right w:val="nil"/>
            </w:tcBorders>
            <w:shd w:val="clear" w:color="auto" w:fill="auto"/>
            <w:noWrap/>
            <w:vAlign w:val="bottom"/>
            <w:hideMark/>
          </w:tcPr>
          <w:p w14:paraId="6ACA3AF7"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735" w:type="pct"/>
            <w:tcBorders>
              <w:top w:val="single" w:sz="4" w:space="0" w:color="auto"/>
              <w:left w:val="nil"/>
              <w:bottom w:val="single" w:sz="4" w:space="0" w:color="auto"/>
              <w:right w:val="single" w:sz="4" w:space="0" w:color="auto"/>
            </w:tcBorders>
            <w:shd w:val="clear" w:color="auto" w:fill="auto"/>
            <w:noWrap/>
            <w:vAlign w:val="bottom"/>
            <w:hideMark/>
          </w:tcPr>
          <w:p w14:paraId="6B450034"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757" w:type="pct"/>
            <w:tcBorders>
              <w:top w:val="nil"/>
              <w:left w:val="nil"/>
              <w:bottom w:val="single" w:sz="4" w:space="0" w:color="auto"/>
              <w:right w:val="single" w:sz="4" w:space="0" w:color="auto"/>
            </w:tcBorders>
            <w:shd w:val="clear" w:color="auto" w:fill="auto"/>
            <w:noWrap/>
            <w:vAlign w:val="bottom"/>
            <w:hideMark/>
          </w:tcPr>
          <w:p w14:paraId="5125B49D"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r>
      <w:tr w:rsidR="00844149" w:rsidRPr="00844149" w14:paraId="0F9909AA" w14:textId="77777777" w:rsidTr="00844149">
        <w:trPr>
          <w:trHeight w:val="198"/>
        </w:trPr>
        <w:tc>
          <w:tcPr>
            <w:tcW w:w="3508" w:type="pct"/>
            <w:gridSpan w:val="3"/>
            <w:tcBorders>
              <w:top w:val="single" w:sz="4" w:space="0" w:color="auto"/>
              <w:left w:val="single" w:sz="4" w:space="0" w:color="auto"/>
              <w:bottom w:val="single" w:sz="4" w:space="0" w:color="auto"/>
              <w:right w:val="nil"/>
            </w:tcBorders>
            <w:shd w:val="clear" w:color="auto" w:fill="auto"/>
            <w:noWrap/>
            <w:vAlign w:val="bottom"/>
            <w:hideMark/>
          </w:tcPr>
          <w:p w14:paraId="37D88364"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Subvenções para Investimentos recebidas em </w:t>
            </w:r>
            <w:proofErr w:type="gramStart"/>
            <w:r w:rsidRPr="00844149">
              <w:rPr>
                <w:rFonts w:ascii="Arial" w:eastAsia="Times New Roman" w:hAnsi="Arial" w:cs="Arial"/>
                <w:color w:val="000000"/>
                <w:kern w:val="0"/>
                <w:sz w:val="14"/>
                <w:szCs w:val="14"/>
                <w:lang w:eastAsia="pt-BR"/>
                <w14:ligatures w14:val="none"/>
              </w:rPr>
              <w:t>2020  e</w:t>
            </w:r>
            <w:proofErr w:type="gramEnd"/>
            <w:r w:rsidRPr="00844149">
              <w:rPr>
                <w:rFonts w:ascii="Arial" w:eastAsia="Times New Roman" w:hAnsi="Arial" w:cs="Arial"/>
                <w:color w:val="000000"/>
                <w:kern w:val="0"/>
                <w:sz w:val="14"/>
                <w:szCs w:val="14"/>
                <w:lang w:eastAsia="pt-BR"/>
                <w14:ligatures w14:val="none"/>
              </w:rPr>
              <w:t xml:space="preserve"> Reclassificadas para o Passivo Exigível</w:t>
            </w:r>
          </w:p>
        </w:tc>
        <w:tc>
          <w:tcPr>
            <w:tcW w:w="735" w:type="pct"/>
            <w:tcBorders>
              <w:top w:val="nil"/>
              <w:left w:val="nil"/>
              <w:bottom w:val="single" w:sz="4" w:space="0" w:color="auto"/>
              <w:right w:val="single" w:sz="4" w:space="0" w:color="auto"/>
            </w:tcBorders>
            <w:shd w:val="clear" w:color="auto" w:fill="auto"/>
            <w:noWrap/>
            <w:vAlign w:val="bottom"/>
            <w:hideMark/>
          </w:tcPr>
          <w:p w14:paraId="08356022"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757" w:type="pct"/>
            <w:tcBorders>
              <w:top w:val="nil"/>
              <w:left w:val="nil"/>
              <w:bottom w:val="single" w:sz="4" w:space="0" w:color="auto"/>
              <w:right w:val="single" w:sz="4" w:space="0" w:color="auto"/>
            </w:tcBorders>
            <w:shd w:val="clear" w:color="auto" w:fill="auto"/>
            <w:noWrap/>
            <w:vAlign w:val="bottom"/>
            <w:hideMark/>
          </w:tcPr>
          <w:p w14:paraId="02B5B2CD"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(31.157)</w:t>
            </w:r>
          </w:p>
        </w:tc>
      </w:tr>
      <w:tr w:rsidR="00844149" w:rsidRPr="00844149" w14:paraId="736B0300" w14:textId="77777777" w:rsidTr="00844149">
        <w:trPr>
          <w:trHeight w:val="198"/>
        </w:trPr>
        <w:tc>
          <w:tcPr>
            <w:tcW w:w="3508" w:type="pct"/>
            <w:gridSpan w:val="3"/>
            <w:tcBorders>
              <w:top w:val="single" w:sz="4" w:space="0" w:color="auto"/>
              <w:left w:val="single" w:sz="4" w:space="0" w:color="auto"/>
              <w:bottom w:val="single" w:sz="4" w:space="0" w:color="auto"/>
              <w:right w:val="nil"/>
            </w:tcBorders>
            <w:shd w:val="clear" w:color="auto" w:fill="auto"/>
            <w:noWrap/>
            <w:vAlign w:val="bottom"/>
            <w:hideMark/>
          </w:tcPr>
          <w:p w14:paraId="7D147228"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Subvenções para Investimentos recebidas em 2021 </w:t>
            </w:r>
            <w:proofErr w:type="gramStart"/>
            <w:r w:rsidRPr="00844149">
              <w:rPr>
                <w:rFonts w:ascii="Arial" w:eastAsia="Times New Roman" w:hAnsi="Arial" w:cs="Arial"/>
                <w:color w:val="000000"/>
                <w:kern w:val="0"/>
                <w:sz w:val="14"/>
                <w:szCs w:val="14"/>
                <w:lang w:eastAsia="pt-BR"/>
                <w14:ligatures w14:val="none"/>
              </w:rPr>
              <w:t>e Reclassificadas</w:t>
            </w:r>
            <w:proofErr w:type="gramEnd"/>
            <w:r w:rsidRPr="00844149">
              <w:rPr>
                <w:rFonts w:ascii="Arial" w:eastAsia="Times New Roman" w:hAnsi="Arial" w:cs="Arial"/>
                <w:color w:val="000000"/>
                <w:kern w:val="0"/>
                <w:sz w:val="14"/>
                <w:szCs w:val="14"/>
                <w:lang w:eastAsia="pt-BR"/>
                <w14:ligatures w14:val="none"/>
              </w:rPr>
              <w:t xml:space="preserve"> para o Passivo Exigível</w:t>
            </w:r>
          </w:p>
        </w:tc>
        <w:tc>
          <w:tcPr>
            <w:tcW w:w="735" w:type="pct"/>
            <w:tcBorders>
              <w:top w:val="nil"/>
              <w:left w:val="nil"/>
              <w:bottom w:val="single" w:sz="4" w:space="0" w:color="auto"/>
              <w:right w:val="single" w:sz="4" w:space="0" w:color="auto"/>
            </w:tcBorders>
            <w:shd w:val="clear" w:color="auto" w:fill="auto"/>
            <w:noWrap/>
            <w:vAlign w:val="bottom"/>
            <w:hideMark/>
          </w:tcPr>
          <w:p w14:paraId="146C709B"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757" w:type="pct"/>
            <w:tcBorders>
              <w:top w:val="nil"/>
              <w:left w:val="nil"/>
              <w:bottom w:val="single" w:sz="4" w:space="0" w:color="auto"/>
              <w:right w:val="single" w:sz="4" w:space="0" w:color="auto"/>
            </w:tcBorders>
            <w:shd w:val="clear" w:color="auto" w:fill="auto"/>
            <w:noWrap/>
            <w:vAlign w:val="bottom"/>
            <w:hideMark/>
          </w:tcPr>
          <w:p w14:paraId="1F289864"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(33.803)</w:t>
            </w:r>
          </w:p>
        </w:tc>
      </w:tr>
      <w:tr w:rsidR="00844149" w:rsidRPr="00844149" w14:paraId="62FA1C95" w14:textId="77777777" w:rsidTr="00844149">
        <w:trPr>
          <w:trHeight w:val="198"/>
        </w:trPr>
        <w:tc>
          <w:tcPr>
            <w:tcW w:w="3508" w:type="pct"/>
            <w:gridSpan w:val="3"/>
            <w:tcBorders>
              <w:top w:val="single" w:sz="4" w:space="0" w:color="auto"/>
              <w:left w:val="single" w:sz="4" w:space="0" w:color="auto"/>
              <w:bottom w:val="single" w:sz="4" w:space="0" w:color="auto"/>
              <w:right w:val="nil"/>
            </w:tcBorders>
            <w:shd w:val="clear" w:color="auto" w:fill="auto"/>
            <w:noWrap/>
            <w:vAlign w:val="bottom"/>
            <w:hideMark/>
          </w:tcPr>
          <w:p w14:paraId="6B5F0C8F"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Subvenções para Investimentos recebidas em 2022 </w:t>
            </w:r>
            <w:proofErr w:type="gramStart"/>
            <w:r w:rsidRPr="00844149">
              <w:rPr>
                <w:rFonts w:ascii="Arial" w:eastAsia="Times New Roman" w:hAnsi="Arial" w:cs="Arial"/>
                <w:color w:val="000000"/>
                <w:kern w:val="0"/>
                <w:sz w:val="14"/>
                <w:szCs w:val="14"/>
                <w:lang w:eastAsia="pt-BR"/>
                <w14:ligatures w14:val="none"/>
              </w:rPr>
              <w:t>e Reclassificadas</w:t>
            </w:r>
            <w:proofErr w:type="gramEnd"/>
            <w:r w:rsidRPr="00844149">
              <w:rPr>
                <w:rFonts w:ascii="Arial" w:eastAsia="Times New Roman" w:hAnsi="Arial" w:cs="Arial"/>
                <w:color w:val="000000"/>
                <w:kern w:val="0"/>
                <w:sz w:val="14"/>
                <w:szCs w:val="14"/>
                <w:lang w:eastAsia="pt-BR"/>
                <w14:ligatures w14:val="none"/>
              </w:rPr>
              <w:t xml:space="preserve"> para o Passivo Exigível</w:t>
            </w:r>
          </w:p>
        </w:tc>
        <w:tc>
          <w:tcPr>
            <w:tcW w:w="735" w:type="pct"/>
            <w:tcBorders>
              <w:top w:val="nil"/>
              <w:left w:val="nil"/>
              <w:bottom w:val="single" w:sz="4" w:space="0" w:color="auto"/>
              <w:right w:val="single" w:sz="4" w:space="0" w:color="auto"/>
            </w:tcBorders>
            <w:shd w:val="clear" w:color="auto" w:fill="auto"/>
            <w:noWrap/>
            <w:vAlign w:val="bottom"/>
            <w:hideMark/>
          </w:tcPr>
          <w:p w14:paraId="3871CA01"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w:t>
            </w:r>
          </w:p>
        </w:tc>
        <w:tc>
          <w:tcPr>
            <w:tcW w:w="757" w:type="pct"/>
            <w:tcBorders>
              <w:top w:val="nil"/>
              <w:left w:val="nil"/>
              <w:bottom w:val="single" w:sz="4" w:space="0" w:color="auto"/>
              <w:right w:val="single" w:sz="4" w:space="0" w:color="auto"/>
            </w:tcBorders>
            <w:shd w:val="clear" w:color="auto" w:fill="auto"/>
            <w:noWrap/>
            <w:vAlign w:val="bottom"/>
            <w:hideMark/>
          </w:tcPr>
          <w:p w14:paraId="005F4C2D"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(30.590)</w:t>
            </w:r>
          </w:p>
        </w:tc>
      </w:tr>
      <w:tr w:rsidR="00844149" w:rsidRPr="00844149" w14:paraId="74A6F7D5" w14:textId="77777777" w:rsidTr="00844149">
        <w:trPr>
          <w:trHeight w:val="198"/>
        </w:trPr>
        <w:tc>
          <w:tcPr>
            <w:tcW w:w="4243"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0276FDA"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Juros sobre Adiantamento para Futuro Aumento de </w:t>
            </w:r>
            <w:proofErr w:type="gramStart"/>
            <w:r w:rsidRPr="00844149">
              <w:rPr>
                <w:rFonts w:ascii="Arial" w:eastAsia="Times New Roman" w:hAnsi="Arial" w:cs="Arial"/>
                <w:color w:val="000000"/>
                <w:kern w:val="0"/>
                <w:sz w:val="14"/>
                <w:szCs w:val="14"/>
                <w:lang w:eastAsia="pt-BR"/>
                <w14:ligatures w14:val="none"/>
              </w:rPr>
              <w:t>Capital  no</w:t>
            </w:r>
            <w:proofErr w:type="gramEnd"/>
            <w:r w:rsidRPr="00844149">
              <w:rPr>
                <w:rFonts w:ascii="Arial" w:eastAsia="Times New Roman" w:hAnsi="Arial" w:cs="Arial"/>
                <w:color w:val="000000"/>
                <w:kern w:val="0"/>
                <w:sz w:val="14"/>
                <w:szCs w:val="14"/>
                <w:lang w:eastAsia="pt-BR"/>
                <w14:ligatures w14:val="none"/>
              </w:rPr>
              <w:t xml:space="preserve"> Exercício 2020</w:t>
            </w:r>
          </w:p>
        </w:tc>
        <w:tc>
          <w:tcPr>
            <w:tcW w:w="757" w:type="pct"/>
            <w:tcBorders>
              <w:top w:val="nil"/>
              <w:left w:val="nil"/>
              <w:bottom w:val="single" w:sz="4" w:space="0" w:color="auto"/>
              <w:right w:val="single" w:sz="4" w:space="0" w:color="auto"/>
            </w:tcBorders>
            <w:shd w:val="clear" w:color="auto" w:fill="auto"/>
            <w:noWrap/>
            <w:vAlign w:val="bottom"/>
            <w:hideMark/>
          </w:tcPr>
          <w:p w14:paraId="73FAB963"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(197)</w:t>
            </w:r>
          </w:p>
        </w:tc>
      </w:tr>
      <w:tr w:rsidR="00844149" w:rsidRPr="00844149" w14:paraId="71FB80E3" w14:textId="77777777" w:rsidTr="00844149">
        <w:trPr>
          <w:trHeight w:val="198"/>
        </w:trPr>
        <w:tc>
          <w:tcPr>
            <w:tcW w:w="4243"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47EA3BC"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Juros sobre Adiantamento para Futuro Aumento de Capital no Exercício 2021</w:t>
            </w:r>
          </w:p>
        </w:tc>
        <w:tc>
          <w:tcPr>
            <w:tcW w:w="757" w:type="pct"/>
            <w:tcBorders>
              <w:top w:val="nil"/>
              <w:left w:val="nil"/>
              <w:bottom w:val="single" w:sz="4" w:space="0" w:color="auto"/>
              <w:right w:val="single" w:sz="4" w:space="0" w:color="auto"/>
            </w:tcBorders>
            <w:shd w:val="clear" w:color="auto" w:fill="auto"/>
            <w:noWrap/>
            <w:vAlign w:val="bottom"/>
            <w:hideMark/>
          </w:tcPr>
          <w:p w14:paraId="495C38CA"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(2.391)</w:t>
            </w:r>
          </w:p>
        </w:tc>
      </w:tr>
      <w:tr w:rsidR="00844149" w:rsidRPr="00844149" w14:paraId="1EAD61BE" w14:textId="77777777" w:rsidTr="00844149">
        <w:trPr>
          <w:trHeight w:val="198"/>
        </w:trPr>
        <w:tc>
          <w:tcPr>
            <w:tcW w:w="4243"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88C66B2"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Juros sobre Adiantamento para Futuro Aumento de </w:t>
            </w:r>
            <w:proofErr w:type="gramStart"/>
            <w:r w:rsidRPr="00844149">
              <w:rPr>
                <w:rFonts w:ascii="Arial" w:eastAsia="Times New Roman" w:hAnsi="Arial" w:cs="Arial"/>
                <w:color w:val="000000"/>
                <w:kern w:val="0"/>
                <w:sz w:val="14"/>
                <w:szCs w:val="14"/>
                <w:lang w:eastAsia="pt-BR"/>
                <w14:ligatures w14:val="none"/>
              </w:rPr>
              <w:t>Capital  no</w:t>
            </w:r>
            <w:proofErr w:type="gramEnd"/>
            <w:r w:rsidRPr="00844149">
              <w:rPr>
                <w:rFonts w:ascii="Arial" w:eastAsia="Times New Roman" w:hAnsi="Arial" w:cs="Arial"/>
                <w:color w:val="000000"/>
                <w:kern w:val="0"/>
                <w:sz w:val="14"/>
                <w:szCs w:val="14"/>
                <w:lang w:eastAsia="pt-BR"/>
                <w14:ligatures w14:val="none"/>
              </w:rPr>
              <w:t xml:space="preserve"> Exercício 2022</w:t>
            </w:r>
          </w:p>
        </w:tc>
        <w:tc>
          <w:tcPr>
            <w:tcW w:w="757" w:type="pct"/>
            <w:tcBorders>
              <w:top w:val="nil"/>
              <w:left w:val="nil"/>
              <w:bottom w:val="single" w:sz="4" w:space="0" w:color="auto"/>
              <w:right w:val="single" w:sz="4" w:space="0" w:color="auto"/>
            </w:tcBorders>
            <w:shd w:val="clear" w:color="auto" w:fill="auto"/>
            <w:noWrap/>
            <w:vAlign w:val="bottom"/>
            <w:hideMark/>
          </w:tcPr>
          <w:p w14:paraId="1D4C999A" w14:textId="77777777" w:rsidR="00844149" w:rsidRPr="00844149" w:rsidRDefault="00844149" w:rsidP="00844149">
            <w:pPr>
              <w:spacing w:after="0" w:line="240" w:lineRule="auto"/>
              <w:rPr>
                <w:rFonts w:ascii="Arial" w:eastAsia="Times New Roman" w:hAnsi="Arial" w:cs="Arial"/>
                <w:color w:val="000000"/>
                <w:kern w:val="0"/>
                <w:sz w:val="14"/>
                <w:szCs w:val="14"/>
                <w:lang w:eastAsia="pt-BR"/>
                <w14:ligatures w14:val="none"/>
              </w:rPr>
            </w:pPr>
            <w:r w:rsidRPr="00844149">
              <w:rPr>
                <w:rFonts w:ascii="Arial" w:eastAsia="Times New Roman" w:hAnsi="Arial" w:cs="Arial"/>
                <w:color w:val="000000"/>
                <w:kern w:val="0"/>
                <w:sz w:val="14"/>
                <w:szCs w:val="14"/>
                <w:lang w:eastAsia="pt-BR"/>
                <w14:ligatures w14:val="none"/>
              </w:rPr>
              <w:t xml:space="preserve">                     (10.157)</w:t>
            </w:r>
          </w:p>
        </w:tc>
      </w:tr>
      <w:tr w:rsidR="00844149" w:rsidRPr="00844149" w14:paraId="3CB619C2" w14:textId="77777777" w:rsidTr="00844149">
        <w:trPr>
          <w:trHeight w:val="198"/>
        </w:trPr>
        <w:tc>
          <w:tcPr>
            <w:tcW w:w="2172" w:type="pct"/>
            <w:tcBorders>
              <w:top w:val="nil"/>
              <w:left w:val="single" w:sz="4" w:space="0" w:color="auto"/>
              <w:bottom w:val="single" w:sz="4" w:space="0" w:color="auto"/>
              <w:right w:val="nil"/>
            </w:tcBorders>
            <w:shd w:val="clear" w:color="auto" w:fill="auto"/>
            <w:noWrap/>
            <w:vAlign w:val="bottom"/>
            <w:hideMark/>
          </w:tcPr>
          <w:p w14:paraId="7C8B83B9" w14:textId="77777777" w:rsidR="00844149" w:rsidRPr="00844149" w:rsidRDefault="00844149" w:rsidP="00844149">
            <w:pPr>
              <w:spacing w:after="0" w:line="240" w:lineRule="auto"/>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Patrimônio Líquido Reapresentado em 31/12/2022</w:t>
            </w:r>
          </w:p>
        </w:tc>
        <w:tc>
          <w:tcPr>
            <w:tcW w:w="714" w:type="pct"/>
            <w:tcBorders>
              <w:top w:val="single" w:sz="4" w:space="0" w:color="auto"/>
              <w:left w:val="nil"/>
              <w:bottom w:val="single" w:sz="4" w:space="0" w:color="auto"/>
              <w:right w:val="nil"/>
            </w:tcBorders>
            <w:shd w:val="clear" w:color="auto" w:fill="auto"/>
            <w:noWrap/>
            <w:vAlign w:val="bottom"/>
            <w:hideMark/>
          </w:tcPr>
          <w:p w14:paraId="0F4937E9" w14:textId="77777777" w:rsidR="00844149" w:rsidRPr="00844149" w:rsidRDefault="00844149" w:rsidP="00844149">
            <w:pPr>
              <w:spacing w:after="0" w:line="240" w:lineRule="auto"/>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 </w:t>
            </w:r>
          </w:p>
        </w:tc>
        <w:tc>
          <w:tcPr>
            <w:tcW w:w="622" w:type="pct"/>
            <w:tcBorders>
              <w:top w:val="single" w:sz="4" w:space="0" w:color="auto"/>
              <w:left w:val="nil"/>
              <w:bottom w:val="single" w:sz="4" w:space="0" w:color="auto"/>
              <w:right w:val="nil"/>
            </w:tcBorders>
            <w:shd w:val="clear" w:color="auto" w:fill="auto"/>
            <w:noWrap/>
            <w:vAlign w:val="bottom"/>
            <w:hideMark/>
          </w:tcPr>
          <w:p w14:paraId="06F2A81C" w14:textId="77777777" w:rsidR="00844149" w:rsidRPr="00844149" w:rsidRDefault="00844149" w:rsidP="00844149">
            <w:pPr>
              <w:spacing w:after="0" w:line="240" w:lineRule="auto"/>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 </w:t>
            </w:r>
          </w:p>
        </w:tc>
        <w:tc>
          <w:tcPr>
            <w:tcW w:w="735" w:type="pct"/>
            <w:tcBorders>
              <w:top w:val="single" w:sz="4" w:space="0" w:color="auto"/>
              <w:left w:val="nil"/>
              <w:bottom w:val="single" w:sz="4" w:space="0" w:color="auto"/>
              <w:right w:val="nil"/>
            </w:tcBorders>
            <w:shd w:val="clear" w:color="auto" w:fill="auto"/>
            <w:noWrap/>
            <w:vAlign w:val="bottom"/>
            <w:hideMark/>
          </w:tcPr>
          <w:p w14:paraId="2627F212" w14:textId="77777777" w:rsidR="00844149" w:rsidRPr="00844149" w:rsidRDefault="00844149" w:rsidP="00844149">
            <w:pPr>
              <w:spacing w:after="0" w:line="240" w:lineRule="auto"/>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 </w:t>
            </w:r>
          </w:p>
        </w:tc>
        <w:tc>
          <w:tcPr>
            <w:tcW w:w="757" w:type="pct"/>
            <w:tcBorders>
              <w:top w:val="nil"/>
              <w:left w:val="single" w:sz="4" w:space="0" w:color="auto"/>
              <w:bottom w:val="single" w:sz="4" w:space="0" w:color="auto"/>
              <w:right w:val="single" w:sz="4" w:space="0" w:color="auto"/>
            </w:tcBorders>
            <w:shd w:val="clear" w:color="auto" w:fill="auto"/>
            <w:noWrap/>
            <w:vAlign w:val="bottom"/>
            <w:hideMark/>
          </w:tcPr>
          <w:p w14:paraId="657E6358" w14:textId="77777777" w:rsidR="00844149" w:rsidRPr="00844149" w:rsidRDefault="00844149" w:rsidP="00844149">
            <w:pPr>
              <w:spacing w:after="0" w:line="240" w:lineRule="auto"/>
              <w:rPr>
                <w:rFonts w:ascii="Arial" w:eastAsia="Times New Roman" w:hAnsi="Arial" w:cs="Arial"/>
                <w:b/>
                <w:bCs/>
                <w:color w:val="000000"/>
                <w:kern w:val="0"/>
                <w:sz w:val="14"/>
                <w:szCs w:val="14"/>
                <w:lang w:eastAsia="pt-BR"/>
                <w14:ligatures w14:val="none"/>
              </w:rPr>
            </w:pPr>
            <w:r w:rsidRPr="00844149">
              <w:rPr>
                <w:rFonts w:ascii="Arial" w:eastAsia="Times New Roman" w:hAnsi="Arial" w:cs="Arial"/>
                <w:b/>
                <w:bCs/>
                <w:color w:val="000000"/>
                <w:kern w:val="0"/>
                <w:sz w:val="14"/>
                <w:szCs w:val="14"/>
                <w:lang w:eastAsia="pt-BR"/>
                <w14:ligatures w14:val="none"/>
              </w:rPr>
              <w:t xml:space="preserve">                 1.555.103 </w:t>
            </w:r>
          </w:p>
        </w:tc>
      </w:tr>
    </w:tbl>
    <w:p w14:paraId="759D8630" w14:textId="5AE1C2BC" w:rsidR="00844149" w:rsidRDefault="00844149" w:rsidP="00844149">
      <w:pPr>
        <w:spacing w:after="0"/>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3.1.3. </w:t>
      </w:r>
      <w:r w:rsidRPr="00844149">
        <w:rPr>
          <w:rFonts w:ascii="Calibri" w:eastAsia="Times New Roman" w:hAnsi="Calibri" w:cs="Calibri"/>
          <w:b/>
          <w:bCs/>
          <w:iCs/>
          <w:color w:val="002060"/>
          <w:kern w:val="0"/>
          <w14:ligatures w14:val="none"/>
        </w:rPr>
        <w:t>Demonstração do Resultado do Exercício</w:t>
      </w:r>
    </w:p>
    <w:tbl>
      <w:tblPr>
        <w:tblW w:w="5000" w:type="pct"/>
        <w:tblCellMar>
          <w:left w:w="70" w:type="dxa"/>
          <w:right w:w="70" w:type="dxa"/>
        </w:tblCellMar>
        <w:tblLook w:val="04A0" w:firstRow="1" w:lastRow="0" w:firstColumn="1" w:lastColumn="0" w:noHBand="0" w:noVBand="1"/>
      </w:tblPr>
      <w:tblGrid>
        <w:gridCol w:w="4617"/>
        <w:gridCol w:w="1405"/>
        <w:gridCol w:w="1171"/>
        <w:gridCol w:w="1173"/>
        <w:gridCol w:w="1405"/>
      </w:tblGrid>
      <w:tr w:rsidR="00F41043" w:rsidRPr="00F41043" w14:paraId="106454CE" w14:textId="77777777" w:rsidTr="00446A14">
        <w:trPr>
          <w:trHeight w:val="300"/>
          <w:tblHeader/>
        </w:trPr>
        <w:tc>
          <w:tcPr>
            <w:tcW w:w="2363" w:type="pct"/>
            <w:vMerge w:val="restart"/>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764BF8BA" w14:textId="77777777" w:rsidR="00F41043" w:rsidRPr="00F41043" w:rsidRDefault="00F41043" w:rsidP="00F41043">
            <w:pPr>
              <w:spacing w:after="0" w:line="240" w:lineRule="auto"/>
              <w:jc w:val="center"/>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7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91E33E" w14:textId="77777777" w:rsidR="00F41043" w:rsidRPr="00F41043" w:rsidRDefault="00F41043" w:rsidP="00F41043">
            <w:pPr>
              <w:spacing w:after="0" w:line="240" w:lineRule="auto"/>
              <w:jc w:val="center"/>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Saldos Divulgados em 2022</w:t>
            </w:r>
          </w:p>
        </w:tc>
        <w:tc>
          <w:tcPr>
            <w:tcW w:w="1199" w:type="pct"/>
            <w:gridSpan w:val="2"/>
            <w:tcBorders>
              <w:top w:val="single" w:sz="4" w:space="0" w:color="auto"/>
              <w:left w:val="nil"/>
              <w:bottom w:val="single" w:sz="4" w:space="0" w:color="auto"/>
              <w:right w:val="single" w:sz="4" w:space="0" w:color="auto"/>
            </w:tcBorders>
            <w:shd w:val="clear" w:color="auto" w:fill="auto"/>
            <w:noWrap/>
            <w:vAlign w:val="bottom"/>
            <w:hideMark/>
          </w:tcPr>
          <w:p w14:paraId="06C79C1E" w14:textId="77777777" w:rsidR="00F41043" w:rsidRPr="00F41043" w:rsidRDefault="00F41043" w:rsidP="00F41043">
            <w:pPr>
              <w:spacing w:after="0" w:line="240" w:lineRule="auto"/>
              <w:jc w:val="center"/>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Ajustes</w:t>
            </w:r>
          </w:p>
        </w:tc>
        <w:tc>
          <w:tcPr>
            <w:tcW w:w="7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BCCF2A" w14:textId="77777777" w:rsidR="00F41043" w:rsidRPr="00F41043" w:rsidRDefault="00F41043" w:rsidP="00F41043">
            <w:pPr>
              <w:spacing w:after="0" w:line="240" w:lineRule="auto"/>
              <w:jc w:val="center"/>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Saldos Reapresentados em 2022</w:t>
            </w:r>
          </w:p>
        </w:tc>
      </w:tr>
      <w:tr w:rsidR="00F41043" w:rsidRPr="00F41043" w14:paraId="59EC3C18" w14:textId="77777777" w:rsidTr="00446A14">
        <w:trPr>
          <w:trHeight w:val="690"/>
          <w:tblHeader/>
        </w:trPr>
        <w:tc>
          <w:tcPr>
            <w:tcW w:w="2363" w:type="pct"/>
            <w:vMerge/>
            <w:tcBorders>
              <w:top w:val="single" w:sz="4" w:space="0" w:color="auto"/>
              <w:left w:val="single" w:sz="4" w:space="0" w:color="auto"/>
              <w:bottom w:val="single" w:sz="4" w:space="0" w:color="auto"/>
              <w:right w:val="single" w:sz="4" w:space="0" w:color="auto"/>
            </w:tcBorders>
            <w:vAlign w:val="center"/>
            <w:hideMark/>
          </w:tcPr>
          <w:p w14:paraId="74160E71"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p>
        </w:tc>
        <w:tc>
          <w:tcPr>
            <w:tcW w:w="719" w:type="pct"/>
            <w:vMerge/>
            <w:tcBorders>
              <w:top w:val="single" w:sz="4" w:space="0" w:color="auto"/>
              <w:left w:val="single" w:sz="4" w:space="0" w:color="auto"/>
              <w:bottom w:val="single" w:sz="4" w:space="0" w:color="auto"/>
              <w:right w:val="single" w:sz="4" w:space="0" w:color="auto"/>
            </w:tcBorders>
            <w:vAlign w:val="center"/>
            <w:hideMark/>
          </w:tcPr>
          <w:p w14:paraId="0D34FA51"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p>
        </w:tc>
        <w:tc>
          <w:tcPr>
            <w:tcW w:w="599" w:type="pct"/>
            <w:tcBorders>
              <w:top w:val="nil"/>
              <w:left w:val="nil"/>
              <w:bottom w:val="single" w:sz="4" w:space="0" w:color="auto"/>
              <w:right w:val="single" w:sz="4" w:space="0" w:color="auto"/>
            </w:tcBorders>
            <w:shd w:val="clear" w:color="auto" w:fill="auto"/>
            <w:vAlign w:val="center"/>
            <w:hideMark/>
          </w:tcPr>
          <w:p w14:paraId="4473B33E" w14:textId="77777777" w:rsidR="00F41043" w:rsidRPr="00F41043" w:rsidRDefault="00F41043" w:rsidP="00F41043">
            <w:pPr>
              <w:spacing w:after="0" w:line="240" w:lineRule="auto"/>
              <w:jc w:val="center"/>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Subvenções para Investimentos (i)</w:t>
            </w:r>
          </w:p>
        </w:tc>
        <w:tc>
          <w:tcPr>
            <w:tcW w:w="599" w:type="pct"/>
            <w:tcBorders>
              <w:top w:val="nil"/>
              <w:left w:val="nil"/>
              <w:bottom w:val="single" w:sz="4" w:space="0" w:color="auto"/>
              <w:right w:val="single" w:sz="4" w:space="0" w:color="auto"/>
            </w:tcBorders>
            <w:shd w:val="clear" w:color="auto" w:fill="auto"/>
            <w:vAlign w:val="center"/>
            <w:hideMark/>
          </w:tcPr>
          <w:p w14:paraId="25B025BF" w14:textId="77777777" w:rsidR="00F41043" w:rsidRPr="00F41043" w:rsidRDefault="00F41043" w:rsidP="00F41043">
            <w:pPr>
              <w:spacing w:after="0" w:line="240" w:lineRule="auto"/>
              <w:jc w:val="center"/>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Juros sobre </w:t>
            </w:r>
            <w:proofErr w:type="spellStart"/>
            <w:r w:rsidRPr="00F41043">
              <w:rPr>
                <w:rFonts w:ascii="Arial" w:eastAsia="Times New Roman" w:hAnsi="Arial" w:cs="Arial"/>
                <w:b/>
                <w:bCs/>
                <w:color w:val="000000"/>
                <w:kern w:val="0"/>
                <w:sz w:val="14"/>
                <w:szCs w:val="14"/>
                <w:lang w:eastAsia="pt-BR"/>
                <w14:ligatures w14:val="none"/>
              </w:rPr>
              <w:t>Afac</w:t>
            </w:r>
            <w:proofErr w:type="spellEnd"/>
            <w:r w:rsidRPr="00F41043">
              <w:rPr>
                <w:rFonts w:ascii="Arial" w:eastAsia="Times New Roman" w:hAnsi="Arial" w:cs="Arial"/>
                <w:b/>
                <w:bCs/>
                <w:color w:val="000000"/>
                <w:kern w:val="0"/>
                <w:sz w:val="14"/>
                <w:szCs w:val="14"/>
                <w:lang w:eastAsia="pt-BR"/>
                <w14:ligatures w14:val="none"/>
              </w:rPr>
              <w:t xml:space="preserve"> (</w:t>
            </w:r>
            <w:proofErr w:type="spellStart"/>
            <w:r w:rsidRPr="00F41043">
              <w:rPr>
                <w:rFonts w:ascii="Arial" w:eastAsia="Times New Roman" w:hAnsi="Arial" w:cs="Arial"/>
                <w:b/>
                <w:bCs/>
                <w:color w:val="000000"/>
                <w:kern w:val="0"/>
                <w:sz w:val="14"/>
                <w:szCs w:val="14"/>
                <w:lang w:eastAsia="pt-BR"/>
                <w14:ligatures w14:val="none"/>
              </w:rPr>
              <w:t>ii</w:t>
            </w:r>
            <w:proofErr w:type="spellEnd"/>
            <w:r w:rsidRPr="00F41043">
              <w:rPr>
                <w:rFonts w:ascii="Arial" w:eastAsia="Times New Roman" w:hAnsi="Arial" w:cs="Arial"/>
                <w:b/>
                <w:bCs/>
                <w:color w:val="000000"/>
                <w:kern w:val="0"/>
                <w:sz w:val="14"/>
                <w:szCs w:val="14"/>
                <w:lang w:eastAsia="pt-BR"/>
                <w14:ligatures w14:val="none"/>
              </w:rPr>
              <w:t>)</w:t>
            </w:r>
          </w:p>
        </w:tc>
        <w:tc>
          <w:tcPr>
            <w:tcW w:w="719" w:type="pct"/>
            <w:vMerge/>
            <w:tcBorders>
              <w:top w:val="single" w:sz="4" w:space="0" w:color="auto"/>
              <w:left w:val="single" w:sz="4" w:space="0" w:color="auto"/>
              <w:bottom w:val="single" w:sz="4" w:space="0" w:color="auto"/>
              <w:right w:val="single" w:sz="4" w:space="0" w:color="auto"/>
            </w:tcBorders>
            <w:vAlign w:val="center"/>
            <w:hideMark/>
          </w:tcPr>
          <w:p w14:paraId="71A4CA27"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p>
        </w:tc>
      </w:tr>
      <w:tr w:rsidR="00F41043" w:rsidRPr="00F41043" w14:paraId="0A56B4E4" w14:textId="77777777" w:rsidTr="00446A14">
        <w:trPr>
          <w:trHeight w:val="230"/>
        </w:trPr>
        <w:tc>
          <w:tcPr>
            <w:tcW w:w="2363" w:type="pct"/>
            <w:tcBorders>
              <w:top w:val="nil"/>
              <w:left w:val="single" w:sz="4" w:space="0" w:color="auto"/>
              <w:bottom w:val="single" w:sz="4" w:space="0" w:color="auto"/>
              <w:right w:val="single" w:sz="4" w:space="0" w:color="auto"/>
            </w:tcBorders>
            <w:shd w:val="clear" w:color="auto" w:fill="auto"/>
            <w:noWrap/>
            <w:vAlign w:val="bottom"/>
            <w:hideMark/>
          </w:tcPr>
          <w:p w14:paraId="56CA3D5C"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RECEITA OPERACIONAL LÍQUIDA</w:t>
            </w:r>
          </w:p>
        </w:tc>
        <w:tc>
          <w:tcPr>
            <w:tcW w:w="719" w:type="pct"/>
            <w:tcBorders>
              <w:top w:val="nil"/>
              <w:left w:val="nil"/>
              <w:bottom w:val="single" w:sz="4" w:space="0" w:color="auto"/>
              <w:right w:val="single" w:sz="4" w:space="0" w:color="auto"/>
            </w:tcBorders>
            <w:shd w:val="clear" w:color="auto" w:fill="auto"/>
            <w:noWrap/>
            <w:vAlign w:val="bottom"/>
            <w:hideMark/>
          </w:tcPr>
          <w:p w14:paraId="27A0C7B1"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347.840 </w:t>
            </w:r>
          </w:p>
        </w:tc>
        <w:tc>
          <w:tcPr>
            <w:tcW w:w="599" w:type="pct"/>
            <w:tcBorders>
              <w:top w:val="nil"/>
              <w:left w:val="nil"/>
              <w:bottom w:val="single" w:sz="4" w:space="0" w:color="auto"/>
              <w:right w:val="single" w:sz="4" w:space="0" w:color="auto"/>
            </w:tcBorders>
            <w:shd w:val="clear" w:color="auto" w:fill="auto"/>
            <w:noWrap/>
            <w:vAlign w:val="bottom"/>
            <w:hideMark/>
          </w:tcPr>
          <w:p w14:paraId="5E199FE6"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w:t>
            </w:r>
          </w:p>
        </w:tc>
        <w:tc>
          <w:tcPr>
            <w:tcW w:w="599" w:type="pct"/>
            <w:tcBorders>
              <w:top w:val="nil"/>
              <w:left w:val="nil"/>
              <w:bottom w:val="single" w:sz="4" w:space="0" w:color="auto"/>
              <w:right w:val="single" w:sz="4" w:space="0" w:color="auto"/>
            </w:tcBorders>
            <w:shd w:val="clear" w:color="auto" w:fill="auto"/>
            <w:noWrap/>
            <w:vAlign w:val="bottom"/>
            <w:hideMark/>
          </w:tcPr>
          <w:p w14:paraId="18182927"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w:t>
            </w:r>
          </w:p>
        </w:tc>
        <w:tc>
          <w:tcPr>
            <w:tcW w:w="719" w:type="pct"/>
            <w:tcBorders>
              <w:top w:val="nil"/>
              <w:left w:val="nil"/>
              <w:bottom w:val="single" w:sz="4" w:space="0" w:color="auto"/>
              <w:right w:val="single" w:sz="4" w:space="0" w:color="auto"/>
            </w:tcBorders>
            <w:shd w:val="clear" w:color="auto" w:fill="auto"/>
            <w:noWrap/>
            <w:vAlign w:val="bottom"/>
            <w:hideMark/>
          </w:tcPr>
          <w:p w14:paraId="71EF748A"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347.840 </w:t>
            </w:r>
          </w:p>
        </w:tc>
      </w:tr>
      <w:tr w:rsidR="00F41043" w:rsidRPr="00F41043" w14:paraId="25D2FBC2" w14:textId="77777777" w:rsidTr="00446A14">
        <w:trPr>
          <w:trHeight w:val="230"/>
        </w:trPr>
        <w:tc>
          <w:tcPr>
            <w:tcW w:w="2363" w:type="pct"/>
            <w:tcBorders>
              <w:top w:val="nil"/>
              <w:left w:val="single" w:sz="4" w:space="0" w:color="auto"/>
              <w:bottom w:val="single" w:sz="4" w:space="0" w:color="auto"/>
              <w:right w:val="single" w:sz="4" w:space="0" w:color="auto"/>
            </w:tcBorders>
            <w:shd w:val="clear" w:color="auto" w:fill="auto"/>
            <w:noWrap/>
            <w:vAlign w:val="bottom"/>
            <w:hideMark/>
          </w:tcPr>
          <w:p w14:paraId="3B6651E4"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Custos dos Serviços Prestados </w:t>
            </w:r>
          </w:p>
        </w:tc>
        <w:tc>
          <w:tcPr>
            <w:tcW w:w="719" w:type="pct"/>
            <w:tcBorders>
              <w:top w:val="nil"/>
              <w:left w:val="nil"/>
              <w:bottom w:val="single" w:sz="4" w:space="0" w:color="auto"/>
              <w:right w:val="single" w:sz="4" w:space="0" w:color="auto"/>
            </w:tcBorders>
            <w:shd w:val="clear" w:color="auto" w:fill="auto"/>
            <w:noWrap/>
            <w:vAlign w:val="bottom"/>
            <w:hideMark/>
          </w:tcPr>
          <w:p w14:paraId="5F60611B"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(535.312)</w:t>
            </w:r>
          </w:p>
        </w:tc>
        <w:tc>
          <w:tcPr>
            <w:tcW w:w="599" w:type="pct"/>
            <w:tcBorders>
              <w:top w:val="nil"/>
              <w:left w:val="nil"/>
              <w:bottom w:val="single" w:sz="4" w:space="0" w:color="auto"/>
              <w:right w:val="single" w:sz="4" w:space="0" w:color="auto"/>
            </w:tcBorders>
            <w:shd w:val="clear" w:color="auto" w:fill="auto"/>
            <w:noWrap/>
            <w:vAlign w:val="bottom"/>
            <w:hideMark/>
          </w:tcPr>
          <w:p w14:paraId="0F7A3B61"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99" w:type="pct"/>
            <w:tcBorders>
              <w:top w:val="nil"/>
              <w:left w:val="nil"/>
              <w:bottom w:val="single" w:sz="4" w:space="0" w:color="auto"/>
              <w:right w:val="single" w:sz="4" w:space="0" w:color="auto"/>
            </w:tcBorders>
            <w:shd w:val="clear" w:color="auto" w:fill="auto"/>
            <w:noWrap/>
            <w:vAlign w:val="bottom"/>
            <w:hideMark/>
          </w:tcPr>
          <w:p w14:paraId="5F44A14C"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719" w:type="pct"/>
            <w:tcBorders>
              <w:top w:val="nil"/>
              <w:left w:val="nil"/>
              <w:bottom w:val="single" w:sz="4" w:space="0" w:color="auto"/>
              <w:right w:val="single" w:sz="4" w:space="0" w:color="auto"/>
            </w:tcBorders>
            <w:shd w:val="clear" w:color="auto" w:fill="auto"/>
            <w:noWrap/>
            <w:vAlign w:val="bottom"/>
            <w:hideMark/>
          </w:tcPr>
          <w:p w14:paraId="66ECCF20"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(535.312)</w:t>
            </w:r>
          </w:p>
        </w:tc>
      </w:tr>
      <w:tr w:rsidR="00F41043" w:rsidRPr="00F41043" w14:paraId="6A4B64B0" w14:textId="77777777" w:rsidTr="00446A14">
        <w:trPr>
          <w:trHeight w:val="230"/>
        </w:trPr>
        <w:tc>
          <w:tcPr>
            <w:tcW w:w="2363" w:type="pct"/>
            <w:tcBorders>
              <w:top w:val="nil"/>
              <w:left w:val="single" w:sz="4" w:space="0" w:color="auto"/>
              <w:bottom w:val="single" w:sz="4" w:space="0" w:color="auto"/>
              <w:right w:val="single" w:sz="4" w:space="0" w:color="auto"/>
            </w:tcBorders>
            <w:shd w:val="clear" w:color="auto" w:fill="auto"/>
            <w:noWrap/>
            <w:vAlign w:val="bottom"/>
            <w:hideMark/>
          </w:tcPr>
          <w:p w14:paraId="2A1101FE"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Lucro Bruto</w:t>
            </w:r>
          </w:p>
        </w:tc>
        <w:tc>
          <w:tcPr>
            <w:tcW w:w="719" w:type="pct"/>
            <w:tcBorders>
              <w:top w:val="nil"/>
              <w:left w:val="nil"/>
              <w:bottom w:val="single" w:sz="4" w:space="0" w:color="auto"/>
              <w:right w:val="single" w:sz="4" w:space="0" w:color="auto"/>
            </w:tcBorders>
            <w:shd w:val="clear" w:color="auto" w:fill="auto"/>
            <w:noWrap/>
            <w:vAlign w:val="bottom"/>
            <w:hideMark/>
          </w:tcPr>
          <w:p w14:paraId="69862FCF"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(187.472)</w:t>
            </w:r>
          </w:p>
        </w:tc>
        <w:tc>
          <w:tcPr>
            <w:tcW w:w="599" w:type="pct"/>
            <w:tcBorders>
              <w:top w:val="nil"/>
              <w:left w:val="nil"/>
              <w:bottom w:val="single" w:sz="4" w:space="0" w:color="auto"/>
              <w:right w:val="single" w:sz="4" w:space="0" w:color="auto"/>
            </w:tcBorders>
            <w:shd w:val="clear" w:color="auto" w:fill="auto"/>
            <w:noWrap/>
            <w:vAlign w:val="bottom"/>
            <w:hideMark/>
          </w:tcPr>
          <w:p w14:paraId="5BE4FD6D"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  </w:t>
            </w:r>
          </w:p>
        </w:tc>
        <w:tc>
          <w:tcPr>
            <w:tcW w:w="599" w:type="pct"/>
            <w:tcBorders>
              <w:top w:val="nil"/>
              <w:left w:val="nil"/>
              <w:bottom w:val="single" w:sz="4" w:space="0" w:color="auto"/>
              <w:right w:val="single" w:sz="4" w:space="0" w:color="auto"/>
            </w:tcBorders>
            <w:shd w:val="clear" w:color="auto" w:fill="auto"/>
            <w:noWrap/>
            <w:vAlign w:val="bottom"/>
            <w:hideMark/>
          </w:tcPr>
          <w:p w14:paraId="7ADB27A5"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  </w:t>
            </w:r>
          </w:p>
        </w:tc>
        <w:tc>
          <w:tcPr>
            <w:tcW w:w="719" w:type="pct"/>
            <w:tcBorders>
              <w:top w:val="nil"/>
              <w:left w:val="nil"/>
              <w:bottom w:val="single" w:sz="4" w:space="0" w:color="auto"/>
              <w:right w:val="single" w:sz="4" w:space="0" w:color="auto"/>
            </w:tcBorders>
            <w:shd w:val="clear" w:color="auto" w:fill="auto"/>
            <w:noWrap/>
            <w:vAlign w:val="bottom"/>
            <w:hideMark/>
          </w:tcPr>
          <w:p w14:paraId="448CD81B"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(187.472)</w:t>
            </w:r>
          </w:p>
        </w:tc>
      </w:tr>
      <w:tr w:rsidR="00F41043" w:rsidRPr="00F41043" w14:paraId="6A257BD8" w14:textId="77777777" w:rsidTr="00446A14">
        <w:trPr>
          <w:trHeight w:val="230"/>
        </w:trPr>
        <w:tc>
          <w:tcPr>
            <w:tcW w:w="2363" w:type="pct"/>
            <w:tcBorders>
              <w:top w:val="nil"/>
              <w:left w:val="single" w:sz="4" w:space="0" w:color="auto"/>
              <w:bottom w:val="single" w:sz="4" w:space="0" w:color="auto"/>
              <w:right w:val="single" w:sz="4" w:space="0" w:color="auto"/>
            </w:tcBorders>
            <w:shd w:val="clear" w:color="auto" w:fill="auto"/>
            <w:noWrap/>
            <w:vAlign w:val="bottom"/>
            <w:hideMark/>
          </w:tcPr>
          <w:p w14:paraId="6962AED1"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Receitas / (Despesas) Operacionais</w:t>
            </w:r>
          </w:p>
        </w:tc>
        <w:tc>
          <w:tcPr>
            <w:tcW w:w="719" w:type="pct"/>
            <w:tcBorders>
              <w:top w:val="nil"/>
              <w:left w:val="nil"/>
              <w:bottom w:val="single" w:sz="4" w:space="0" w:color="auto"/>
              <w:right w:val="single" w:sz="4" w:space="0" w:color="auto"/>
            </w:tcBorders>
            <w:shd w:val="clear" w:color="auto" w:fill="auto"/>
            <w:noWrap/>
            <w:vAlign w:val="bottom"/>
            <w:hideMark/>
          </w:tcPr>
          <w:p w14:paraId="09D983F0"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149.751 </w:t>
            </w:r>
          </w:p>
        </w:tc>
        <w:tc>
          <w:tcPr>
            <w:tcW w:w="599" w:type="pct"/>
            <w:tcBorders>
              <w:top w:val="nil"/>
              <w:left w:val="nil"/>
              <w:bottom w:val="single" w:sz="4" w:space="0" w:color="auto"/>
              <w:right w:val="single" w:sz="4" w:space="0" w:color="auto"/>
            </w:tcBorders>
            <w:shd w:val="clear" w:color="auto" w:fill="auto"/>
            <w:noWrap/>
            <w:vAlign w:val="bottom"/>
            <w:hideMark/>
          </w:tcPr>
          <w:p w14:paraId="78A732E6"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(30.590)</w:t>
            </w:r>
          </w:p>
        </w:tc>
        <w:tc>
          <w:tcPr>
            <w:tcW w:w="599" w:type="pct"/>
            <w:tcBorders>
              <w:top w:val="nil"/>
              <w:left w:val="nil"/>
              <w:bottom w:val="single" w:sz="4" w:space="0" w:color="auto"/>
              <w:right w:val="single" w:sz="4" w:space="0" w:color="auto"/>
            </w:tcBorders>
            <w:shd w:val="clear" w:color="auto" w:fill="auto"/>
            <w:noWrap/>
            <w:vAlign w:val="bottom"/>
            <w:hideMark/>
          </w:tcPr>
          <w:p w14:paraId="4158A1E8"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  </w:t>
            </w:r>
          </w:p>
        </w:tc>
        <w:tc>
          <w:tcPr>
            <w:tcW w:w="719" w:type="pct"/>
            <w:tcBorders>
              <w:top w:val="nil"/>
              <w:left w:val="nil"/>
              <w:bottom w:val="single" w:sz="4" w:space="0" w:color="auto"/>
              <w:right w:val="single" w:sz="4" w:space="0" w:color="auto"/>
            </w:tcBorders>
            <w:shd w:val="clear" w:color="auto" w:fill="auto"/>
            <w:noWrap/>
            <w:vAlign w:val="bottom"/>
            <w:hideMark/>
          </w:tcPr>
          <w:p w14:paraId="004820F8"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119.161 </w:t>
            </w:r>
          </w:p>
        </w:tc>
      </w:tr>
      <w:tr w:rsidR="00F41043" w:rsidRPr="00F41043" w14:paraId="6C6798B0" w14:textId="77777777" w:rsidTr="00446A14">
        <w:trPr>
          <w:trHeight w:val="230"/>
        </w:trPr>
        <w:tc>
          <w:tcPr>
            <w:tcW w:w="2363" w:type="pct"/>
            <w:tcBorders>
              <w:top w:val="nil"/>
              <w:left w:val="single" w:sz="4" w:space="0" w:color="auto"/>
              <w:bottom w:val="single" w:sz="4" w:space="0" w:color="auto"/>
              <w:right w:val="single" w:sz="4" w:space="0" w:color="auto"/>
            </w:tcBorders>
            <w:shd w:val="clear" w:color="auto" w:fill="auto"/>
            <w:noWrap/>
            <w:vAlign w:val="bottom"/>
            <w:hideMark/>
          </w:tcPr>
          <w:p w14:paraId="3B0CFEB0"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Comercialização dos Serviços</w:t>
            </w:r>
          </w:p>
        </w:tc>
        <w:tc>
          <w:tcPr>
            <w:tcW w:w="719" w:type="pct"/>
            <w:tcBorders>
              <w:top w:val="nil"/>
              <w:left w:val="nil"/>
              <w:bottom w:val="single" w:sz="4" w:space="0" w:color="auto"/>
              <w:right w:val="single" w:sz="4" w:space="0" w:color="auto"/>
            </w:tcBorders>
            <w:shd w:val="clear" w:color="auto" w:fill="auto"/>
            <w:noWrap/>
            <w:vAlign w:val="bottom"/>
            <w:hideMark/>
          </w:tcPr>
          <w:p w14:paraId="7C937967"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(21.216)</w:t>
            </w:r>
          </w:p>
        </w:tc>
        <w:tc>
          <w:tcPr>
            <w:tcW w:w="599" w:type="pct"/>
            <w:tcBorders>
              <w:top w:val="nil"/>
              <w:left w:val="nil"/>
              <w:bottom w:val="single" w:sz="4" w:space="0" w:color="auto"/>
              <w:right w:val="single" w:sz="4" w:space="0" w:color="auto"/>
            </w:tcBorders>
            <w:shd w:val="clear" w:color="auto" w:fill="auto"/>
            <w:noWrap/>
            <w:vAlign w:val="bottom"/>
            <w:hideMark/>
          </w:tcPr>
          <w:p w14:paraId="40A571F5"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99" w:type="pct"/>
            <w:tcBorders>
              <w:top w:val="nil"/>
              <w:left w:val="nil"/>
              <w:bottom w:val="single" w:sz="4" w:space="0" w:color="auto"/>
              <w:right w:val="single" w:sz="4" w:space="0" w:color="auto"/>
            </w:tcBorders>
            <w:shd w:val="clear" w:color="auto" w:fill="auto"/>
            <w:noWrap/>
            <w:vAlign w:val="bottom"/>
            <w:hideMark/>
          </w:tcPr>
          <w:p w14:paraId="2611A27E"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719" w:type="pct"/>
            <w:tcBorders>
              <w:top w:val="nil"/>
              <w:left w:val="nil"/>
              <w:bottom w:val="single" w:sz="4" w:space="0" w:color="auto"/>
              <w:right w:val="single" w:sz="4" w:space="0" w:color="auto"/>
            </w:tcBorders>
            <w:shd w:val="clear" w:color="auto" w:fill="auto"/>
            <w:noWrap/>
            <w:vAlign w:val="bottom"/>
            <w:hideMark/>
          </w:tcPr>
          <w:p w14:paraId="0D937120"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(21.216)</w:t>
            </w:r>
          </w:p>
        </w:tc>
      </w:tr>
      <w:tr w:rsidR="00F41043" w:rsidRPr="00F41043" w14:paraId="38269F79" w14:textId="77777777" w:rsidTr="00446A14">
        <w:trPr>
          <w:trHeight w:val="230"/>
        </w:trPr>
        <w:tc>
          <w:tcPr>
            <w:tcW w:w="2363" w:type="pct"/>
            <w:tcBorders>
              <w:top w:val="nil"/>
              <w:left w:val="single" w:sz="4" w:space="0" w:color="auto"/>
              <w:bottom w:val="single" w:sz="4" w:space="0" w:color="auto"/>
              <w:right w:val="single" w:sz="4" w:space="0" w:color="auto"/>
            </w:tcBorders>
            <w:shd w:val="clear" w:color="auto" w:fill="auto"/>
            <w:noWrap/>
            <w:vAlign w:val="bottom"/>
            <w:hideMark/>
          </w:tcPr>
          <w:p w14:paraId="5D597D64"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Despesas Gerais e Administrativas</w:t>
            </w:r>
          </w:p>
        </w:tc>
        <w:tc>
          <w:tcPr>
            <w:tcW w:w="719" w:type="pct"/>
            <w:tcBorders>
              <w:top w:val="nil"/>
              <w:left w:val="nil"/>
              <w:bottom w:val="single" w:sz="4" w:space="0" w:color="auto"/>
              <w:right w:val="single" w:sz="4" w:space="0" w:color="auto"/>
            </w:tcBorders>
            <w:shd w:val="clear" w:color="auto" w:fill="auto"/>
            <w:noWrap/>
            <w:vAlign w:val="bottom"/>
            <w:hideMark/>
          </w:tcPr>
          <w:p w14:paraId="4D2C3D12"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(79.516)</w:t>
            </w:r>
          </w:p>
        </w:tc>
        <w:tc>
          <w:tcPr>
            <w:tcW w:w="599" w:type="pct"/>
            <w:tcBorders>
              <w:top w:val="nil"/>
              <w:left w:val="nil"/>
              <w:bottom w:val="single" w:sz="4" w:space="0" w:color="auto"/>
              <w:right w:val="single" w:sz="4" w:space="0" w:color="auto"/>
            </w:tcBorders>
            <w:shd w:val="clear" w:color="auto" w:fill="auto"/>
            <w:noWrap/>
            <w:vAlign w:val="bottom"/>
            <w:hideMark/>
          </w:tcPr>
          <w:p w14:paraId="352FA9EA"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99" w:type="pct"/>
            <w:tcBorders>
              <w:top w:val="nil"/>
              <w:left w:val="nil"/>
              <w:bottom w:val="single" w:sz="4" w:space="0" w:color="auto"/>
              <w:right w:val="single" w:sz="4" w:space="0" w:color="auto"/>
            </w:tcBorders>
            <w:shd w:val="clear" w:color="auto" w:fill="auto"/>
            <w:noWrap/>
            <w:vAlign w:val="bottom"/>
            <w:hideMark/>
          </w:tcPr>
          <w:p w14:paraId="00964FB4"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719" w:type="pct"/>
            <w:tcBorders>
              <w:top w:val="nil"/>
              <w:left w:val="nil"/>
              <w:bottom w:val="single" w:sz="4" w:space="0" w:color="auto"/>
              <w:right w:val="single" w:sz="4" w:space="0" w:color="auto"/>
            </w:tcBorders>
            <w:shd w:val="clear" w:color="auto" w:fill="auto"/>
            <w:noWrap/>
            <w:vAlign w:val="bottom"/>
            <w:hideMark/>
          </w:tcPr>
          <w:p w14:paraId="217C49C4"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(79.516)</w:t>
            </w:r>
          </w:p>
        </w:tc>
      </w:tr>
      <w:tr w:rsidR="00F41043" w:rsidRPr="00F41043" w14:paraId="5EA9FAC1" w14:textId="77777777" w:rsidTr="00446A14">
        <w:trPr>
          <w:trHeight w:val="230"/>
        </w:trPr>
        <w:tc>
          <w:tcPr>
            <w:tcW w:w="2363" w:type="pct"/>
            <w:tcBorders>
              <w:top w:val="nil"/>
              <w:left w:val="single" w:sz="4" w:space="0" w:color="auto"/>
              <w:bottom w:val="single" w:sz="4" w:space="0" w:color="auto"/>
              <w:right w:val="single" w:sz="4" w:space="0" w:color="auto"/>
            </w:tcBorders>
            <w:shd w:val="clear" w:color="auto" w:fill="auto"/>
            <w:noWrap/>
            <w:vAlign w:val="bottom"/>
            <w:hideMark/>
          </w:tcPr>
          <w:p w14:paraId="3CC0BDEF"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Resultado de Equivalência Patrimonial</w:t>
            </w:r>
          </w:p>
        </w:tc>
        <w:tc>
          <w:tcPr>
            <w:tcW w:w="719" w:type="pct"/>
            <w:tcBorders>
              <w:top w:val="nil"/>
              <w:left w:val="nil"/>
              <w:bottom w:val="single" w:sz="4" w:space="0" w:color="auto"/>
              <w:right w:val="single" w:sz="4" w:space="0" w:color="auto"/>
            </w:tcBorders>
            <w:shd w:val="clear" w:color="auto" w:fill="auto"/>
            <w:noWrap/>
            <w:vAlign w:val="bottom"/>
            <w:hideMark/>
          </w:tcPr>
          <w:p w14:paraId="49435B3B"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(6.500)</w:t>
            </w:r>
          </w:p>
        </w:tc>
        <w:tc>
          <w:tcPr>
            <w:tcW w:w="599" w:type="pct"/>
            <w:tcBorders>
              <w:top w:val="nil"/>
              <w:left w:val="nil"/>
              <w:bottom w:val="single" w:sz="4" w:space="0" w:color="auto"/>
              <w:right w:val="single" w:sz="4" w:space="0" w:color="auto"/>
            </w:tcBorders>
            <w:shd w:val="clear" w:color="auto" w:fill="auto"/>
            <w:noWrap/>
            <w:vAlign w:val="bottom"/>
            <w:hideMark/>
          </w:tcPr>
          <w:p w14:paraId="380FC55E"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99" w:type="pct"/>
            <w:tcBorders>
              <w:top w:val="nil"/>
              <w:left w:val="nil"/>
              <w:bottom w:val="single" w:sz="4" w:space="0" w:color="auto"/>
              <w:right w:val="single" w:sz="4" w:space="0" w:color="auto"/>
            </w:tcBorders>
            <w:shd w:val="clear" w:color="auto" w:fill="auto"/>
            <w:noWrap/>
            <w:vAlign w:val="bottom"/>
            <w:hideMark/>
          </w:tcPr>
          <w:p w14:paraId="5013864F"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719" w:type="pct"/>
            <w:tcBorders>
              <w:top w:val="nil"/>
              <w:left w:val="nil"/>
              <w:bottom w:val="single" w:sz="4" w:space="0" w:color="auto"/>
              <w:right w:val="single" w:sz="4" w:space="0" w:color="auto"/>
            </w:tcBorders>
            <w:shd w:val="clear" w:color="auto" w:fill="auto"/>
            <w:noWrap/>
            <w:vAlign w:val="bottom"/>
            <w:hideMark/>
          </w:tcPr>
          <w:p w14:paraId="18145267"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(6.500)</w:t>
            </w:r>
          </w:p>
        </w:tc>
      </w:tr>
      <w:tr w:rsidR="00F41043" w:rsidRPr="00F41043" w14:paraId="7BDD172E" w14:textId="77777777" w:rsidTr="00446A14">
        <w:trPr>
          <w:trHeight w:val="230"/>
        </w:trPr>
        <w:tc>
          <w:tcPr>
            <w:tcW w:w="2363" w:type="pct"/>
            <w:tcBorders>
              <w:top w:val="nil"/>
              <w:left w:val="single" w:sz="4" w:space="0" w:color="auto"/>
              <w:bottom w:val="single" w:sz="4" w:space="0" w:color="auto"/>
              <w:right w:val="single" w:sz="4" w:space="0" w:color="auto"/>
            </w:tcBorders>
            <w:shd w:val="clear" w:color="auto" w:fill="auto"/>
            <w:noWrap/>
            <w:vAlign w:val="bottom"/>
            <w:hideMark/>
          </w:tcPr>
          <w:p w14:paraId="3A05A6F0"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Outras Receitas / (Despesas) Operacionais</w:t>
            </w:r>
          </w:p>
        </w:tc>
        <w:tc>
          <w:tcPr>
            <w:tcW w:w="719" w:type="pct"/>
            <w:tcBorders>
              <w:top w:val="nil"/>
              <w:left w:val="nil"/>
              <w:bottom w:val="single" w:sz="4" w:space="0" w:color="auto"/>
              <w:right w:val="single" w:sz="4" w:space="0" w:color="auto"/>
            </w:tcBorders>
            <w:shd w:val="clear" w:color="auto" w:fill="auto"/>
            <w:noWrap/>
            <w:vAlign w:val="bottom"/>
            <w:hideMark/>
          </w:tcPr>
          <w:p w14:paraId="05E22373"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256.983 </w:t>
            </w:r>
          </w:p>
        </w:tc>
        <w:tc>
          <w:tcPr>
            <w:tcW w:w="599" w:type="pct"/>
            <w:tcBorders>
              <w:top w:val="nil"/>
              <w:left w:val="nil"/>
              <w:bottom w:val="single" w:sz="4" w:space="0" w:color="auto"/>
              <w:right w:val="single" w:sz="4" w:space="0" w:color="auto"/>
            </w:tcBorders>
            <w:shd w:val="clear" w:color="auto" w:fill="auto"/>
            <w:noWrap/>
            <w:vAlign w:val="bottom"/>
            <w:hideMark/>
          </w:tcPr>
          <w:p w14:paraId="4F76B995"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(30.590)</w:t>
            </w:r>
          </w:p>
        </w:tc>
        <w:tc>
          <w:tcPr>
            <w:tcW w:w="599" w:type="pct"/>
            <w:tcBorders>
              <w:top w:val="nil"/>
              <w:left w:val="nil"/>
              <w:bottom w:val="single" w:sz="4" w:space="0" w:color="auto"/>
              <w:right w:val="single" w:sz="4" w:space="0" w:color="auto"/>
            </w:tcBorders>
            <w:shd w:val="clear" w:color="auto" w:fill="auto"/>
            <w:noWrap/>
            <w:vAlign w:val="bottom"/>
            <w:hideMark/>
          </w:tcPr>
          <w:p w14:paraId="18BA7BEC"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  </w:t>
            </w:r>
          </w:p>
        </w:tc>
        <w:tc>
          <w:tcPr>
            <w:tcW w:w="719" w:type="pct"/>
            <w:tcBorders>
              <w:top w:val="nil"/>
              <w:left w:val="nil"/>
              <w:bottom w:val="single" w:sz="4" w:space="0" w:color="auto"/>
              <w:right w:val="single" w:sz="4" w:space="0" w:color="auto"/>
            </w:tcBorders>
            <w:shd w:val="clear" w:color="auto" w:fill="auto"/>
            <w:noWrap/>
            <w:vAlign w:val="bottom"/>
            <w:hideMark/>
          </w:tcPr>
          <w:p w14:paraId="4530CAB3"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226.393 </w:t>
            </w:r>
          </w:p>
        </w:tc>
      </w:tr>
      <w:tr w:rsidR="00F41043" w:rsidRPr="00F41043" w14:paraId="69C054A4" w14:textId="77777777" w:rsidTr="00446A14">
        <w:trPr>
          <w:trHeight w:val="230"/>
        </w:trPr>
        <w:tc>
          <w:tcPr>
            <w:tcW w:w="2363" w:type="pct"/>
            <w:tcBorders>
              <w:top w:val="nil"/>
              <w:left w:val="single" w:sz="4" w:space="0" w:color="auto"/>
              <w:bottom w:val="single" w:sz="4" w:space="0" w:color="auto"/>
              <w:right w:val="single" w:sz="4" w:space="0" w:color="auto"/>
            </w:tcBorders>
            <w:shd w:val="clear" w:color="auto" w:fill="auto"/>
            <w:noWrap/>
            <w:vAlign w:val="bottom"/>
            <w:hideMark/>
          </w:tcPr>
          <w:p w14:paraId="6BCF3DF6"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Outras Receitas Operacionais</w:t>
            </w:r>
          </w:p>
        </w:tc>
        <w:tc>
          <w:tcPr>
            <w:tcW w:w="719" w:type="pct"/>
            <w:tcBorders>
              <w:top w:val="nil"/>
              <w:left w:val="nil"/>
              <w:bottom w:val="single" w:sz="4" w:space="0" w:color="auto"/>
              <w:right w:val="single" w:sz="4" w:space="0" w:color="auto"/>
            </w:tcBorders>
            <w:shd w:val="clear" w:color="auto" w:fill="auto"/>
            <w:noWrap/>
            <w:vAlign w:val="bottom"/>
            <w:hideMark/>
          </w:tcPr>
          <w:p w14:paraId="0889091F"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286.045 </w:t>
            </w:r>
          </w:p>
        </w:tc>
        <w:tc>
          <w:tcPr>
            <w:tcW w:w="599" w:type="pct"/>
            <w:tcBorders>
              <w:top w:val="nil"/>
              <w:left w:val="nil"/>
              <w:bottom w:val="single" w:sz="4" w:space="0" w:color="auto"/>
              <w:right w:val="single" w:sz="4" w:space="0" w:color="auto"/>
            </w:tcBorders>
            <w:shd w:val="clear" w:color="auto" w:fill="auto"/>
            <w:noWrap/>
            <w:vAlign w:val="bottom"/>
            <w:hideMark/>
          </w:tcPr>
          <w:p w14:paraId="0C2F9C64"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(30.590)</w:t>
            </w:r>
          </w:p>
        </w:tc>
        <w:tc>
          <w:tcPr>
            <w:tcW w:w="599" w:type="pct"/>
            <w:tcBorders>
              <w:top w:val="nil"/>
              <w:left w:val="nil"/>
              <w:bottom w:val="single" w:sz="4" w:space="0" w:color="auto"/>
              <w:right w:val="single" w:sz="4" w:space="0" w:color="auto"/>
            </w:tcBorders>
            <w:shd w:val="clear" w:color="auto" w:fill="auto"/>
            <w:noWrap/>
            <w:vAlign w:val="bottom"/>
            <w:hideMark/>
          </w:tcPr>
          <w:p w14:paraId="198F6FAA"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719" w:type="pct"/>
            <w:tcBorders>
              <w:top w:val="nil"/>
              <w:left w:val="nil"/>
              <w:bottom w:val="single" w:sz="4" w:space="0" w:color="auto"/>
              <w:right w:val="single" w:sz="4" w:space="0" w:color="auto"/>
            </w:tcBorders>
            <w:shd w:val="clear" w:color="auto" w:fill="auto"/>
            <w:noWrap/>
            <w:vAlign w:val="bottom"/>
            <w:hideMark/>
          </w:tcPr>
          <w:p w14:paraId="2EBB7D3D"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255.455 </w:t>
            </w:r>
          </w:p>
        </w:tc>
      </w:tr>
      <w:tr w:rsidR="00F41043" w:rsidRPr="00F41043" w14:paraId="0B76F126" w14:textId="77777777" w:rsidTr="00446A14">
        <w:trPr>
          <w:trHeight w:val="230"/>
        </w:trPr>
        <w:tc>
          <w:tcPr>
            <w:tcW w:w="2363" w:type="pct"/>
            <w:tcBorders>
              <w:top w:val="nil"/>
              <w:left w:val="single" w:sz="4" w:space="0" w:color="auto"/>
              <w:bottom w:val="single" w:sz="4" w:space="0" w:color="auto"/>
              <w:right w:val="single" w:sz="4" w:space="0" w:color="auto"/>
            </w:tcBorders>
            <w:shd w:val="clear" w:color="auto" w:fill="auto"/>
            <w:noWrap/>
            <w:vAlign w:val="bottom"/>
            <w:hideMark/>
          </w:tcPr>
          <w:p w14:paraId="127BFC5C"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Outras Despesas Operacionais</w:t>
            </w:r>
          </w:p>
        </w:tc>
        <w:tc>
          <w:tcPr>
            <w:tcW w:w="719" w:type="pct"/>
            <w:tcBorders>
              <w:top w:val="nil"/>
              <w:left w:val="nil"/>
              <w:bottom w:val="single" w:sz="4" w:space="0" w:color="auto"/>
              <w:right w:val="single" w:sz="4" w:space="0" w:color="auto"/>
            </w:tcBorders>
            <w:shd w:val="clear" w:color="auto" w:fill="auto"/>
            <w:noWrap/>
            <w:vAlign w:val="bottom"/>
            <w:hideMark/>
          </w:tcPr>
          <w:p w14:paraId="398D14A9"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(29.062)</w:t>
            </w:r>
          </w:p>
        </w:tc>
        <w:tc>
          <w:tcPr>
            <w:tcW w:w="599" w:type="pct"/>
            <w:tcBorders>
              <w:top w:val="nil"/>
              <w:left w:val="nil"/>
              <w:bottom w:val="single" w:sz="4" w:space="0" w:color="auto"/>
              <w:right w:val="single" w:sz="4" w:space="0" w:color="auto"/>
            </w:tcBorders>
            <w:shd w:val="clear" w:color="auto" w:fill="auto"/>
            <w:noWrap/>
            <w:vAlign w:val="bottom"/>
            <w:hideMark/>
          </w:tcPr>
          <w:p w14:paraId="745E7CEB"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99" w:type="pct"/>
            <w:tcBorders>
              <w:top w:val="nil"/>
              <w:left w:val="nil"/>
              <w:bottom w:val="single" w:sz="4" w:space="0" w:color="auto"/>
              <w:right w:val="single" w:sz="4" w:space="0" w:color="auto"/>
            </w:tcBorders>
            <w:shd w:val="clear" w:color="auto" w:fill="auto"/>
            <w:noWrap/>
            <w:vAlign w:val="bottom"/>
            <w:hideMark/>
          </w:tcPr>
          <w:p w14:paraId="67EB484B"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719" w:type="pct"/>
            <w:tcBorders>
              <w:top w:val="nil"/>
              <w:left w:val="nil"/>
              <w:bottom w:val="single" w:sz="4" w:space="0" w:color="auto"/>
              <w:right w:val="single" w:sz="4" w:space="0" w:color="auto"/>
            </w:tcBorders>
            <w:shd w:val="clear" w:color="auto" w:fill="auto"/>
            <w:noWrap/>
            <w:vAlign w:val="bottom"/>
            <w:hideMark/>
          </w:tcPr>
          <w:p w14:paraId="48414814"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(29.062)</w:t>
            </w:r>
          </w:p>
        </w:tc>
      </w:tr>
      <w:tr w:rsidR="00F41043" w:rsidRPr="00F41043" w14:paraId="2A20F2BA" w14:textId="77777777" w:rsidTr="00446A14">
        <w:trPr>
          <w:trHeight w:val="230"/>
        </w:trPr>
        <w:tc>
          <w:tcPr>
            <w:tcW w:w="2363" w:type="pct"/>
            <w:tcBorders>
              <w:top w:val="nil"/>
              <w:left w:val="single" w:sz="4" w:space="0" w:color="auto"/>
              <w:bottom w:val="single" w:sz="4" w:space="0" w:color="auto"/>
              <w:right w:val="single" w:sz="4" w:space="0" w:color="auto"/>
            </w:tcBorders>
            <w:shd w:val="clear" w:color="auto" w:fill="auto"/>
            <w:noWrap/>
            <w:vAlign w:val="bottom"/>
            <w:hideMark/>
          </w:tcPr>
          <w:p w14:paraId="6D0DF606"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Prejuízo Operacional antes do Resultado Financeiro</w:t>
            </w:r>
          </w:p>
        </w:tc>
        <w:tc>
          <w:tcPr>
            <w:tcW w:w="719" w:type="pct"/>
            <w:tcBorders>
              <w:top w:val="nil"/>
              <w:left w:val="nil"/>
              <w:bottom w:val="single" w:sz="4" w:space="0" w:color="auto"/>
              <w:right w:val="single" w:sz="4" w:space="0" w:color="auto"/>
            </w:tcBorders>
            <w:shd w:val="clear" w:color="auto" w:fill="auto"/>
            <w:noWrap/>
            <w:vAlign w:val="bottom"/>
            <w:hideMark/>
          </w:tcPr>
          <w:p w14:paraId="4BA43F5D"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(37.721)</w:t>
            </w:r>
          </w:p>
        </w:tc>
        <w:tc>
          <w:tcPr>
            <w:tcW w:w="599" w:type="pct"/>
            <w:tcBorders>
              <w:top w:val="nil"/>
              <w:left w:val="nil"/>
              <w:bottom w:val="single" w:sz="4" w:space="0" w:color="auto"/>
              <w:right w:val="single" w:sz="4" w:space="0" w:color="auto"/>
            </w:tcBorders>
            <w:shd w:val="clear" w:color="auto" w:fill="auto"/>
            <w:noWrap/>
            <w:vAlign w:val="bottom"/>
            <w:hideMark/>
          </w:tcPr>
          <w:p w14:paraId="771F9DEF"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(30.590)</w:t>
            </w:r>
          </w:p>
        </w:tc>
        <w:tc>
          <w:tcPr>
            <w:tcW w:w="599" w:type="pct"/>
            <w:tcBorders>
              <w:top w:val="nil"/>
              <w:left w:val="nil"/>
              <w:bottom w:val="single" w:sz="4" w:space="0" w:color="auto"/>
              <w:right w:val="single" w:sz="4" w:space="0" w:color="auto"/>
            </w:tcBorders>
            <w:shd w:val="clear" w:color="auto" w:fill="auto"/>
            <w:noWrap/>
            <w:vAlign w:val="bottom"/>
            <w:hideMark/>
          </w:tcPr>
          <w:p w14:paraId="12FAE126"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  </w:t>
            </w:r>
          </w:p>
        </w:tc>
        <w:tc>
          <w:tcPr>
            <w:tcW w:w="719" w:type="pct"/>
            <w:tcBorders>
              <w:top w:val="nil"/>
              <w:left w:val="nil"/>
              <w:bottom w:val="single" w:sz="4" w:space="0" w:color="auto"/>
              <w:right w:val="single" w:sz="4" w:space="0" w:color="auto"/>
            </w:tcBorders>
            <w:shd w:val="clear" w:color="auto" w:fill="auto"/>
            <w:noWrap/>
            <w:vAlign w:val="bottom"/>
            <w:hideMark/>
          </w:tcPr>
          <w:p w14:paraId="3D9C2414"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(68.311)</w:t>
            </w:r>
          </w:p>
        </w:tc>
      </w:tr>
      <w:tr w:rsidR="00F41043" w:rsidRPr="00F41043" w14:paraId="3A11D582" w14:textId="77777777" w:rsidTr="00446A14">
        <w:trPr>
          <w:trHeight w:val="230"/>
        </w:trPr>
        <w:tc>
          <w:tcPr>
            <w:tcW w:w="2363" w:type="pct"/>
            <w:tcBorders>
              <w:top w:val="nil"/>
              <w:left w:val="single" w:sz="4" w:space="0" w:color="auto"/>
              <w:bottom w:val="single" w:sz="4" w:space="0" w:color="auto"/>
              <w:right w:val="single" w:sz="4" w:space="0" w:color="auto"/>
            </w:tcBorders>
            <w:shd w:val="clear" w:color="auto" w:fill="auto"/>
            <w:noWrap/>
            <w:vAlign w:val="bottom"/>
            <w:hideMark/>
          </w:tcPr>
          <w:p w14:paraId="4D0C8CC8"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Resultado Financeiro</w:t>
            </w:r>
          </w:p>
        </w:tc>
        <w:tc>
          <w:tcPr>
            <w:tcW w:w="719" w:type="pct"/>
            <w:tcBorders>
              <w:top w:val="nil"/>
              <w:left w:val="nil"/>
              <w:bottom w:val="single" w:sz="4" w:space="0" w:color="auto"/>
              <w:right w:val="single" w:sz="4" w:space="0" w:color="auto"/>
            </w:tcBorders>
            <w:shd w:val="clear" w:color="auto" w:fill="auto"/>
            <w:noWrap/>
            <w:vAlign w:val="bottom"/>
            <w:hideMark/>
          </w:tcPr>
          <w:p w14:paraId="7581ABDF"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(89.991)</w:t>
            </w:r>
          </w:p>
        </w:tc>
        <w:tc>
          <w:tcPr>
            <w:tcW w:w="599" w:type="pct"/>
            <w:tcBorders>
              <w:top w:val="nil"/>
              <w:left w:val="nil"/>
              <w:bottom w:val="single" w:sz="4" w:space="0" w:color="auto"/>
              <w:right w:val="single" w:sz="4" w:space="0" w:color="auto"/>
            </w:tcBorders>
            <w:shd w:val="clear" w:color="auto" w:fill="auto"/>
            <w:noWrap/>
            <w:vAlign w:val="bottom"/>
            <w:hideMark/>
          </w:tcPr>
          <w:p w14:paraId="0AAB7457"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  </w:t>
            </w:r>
          </w:p>
        </w:tc>
        <w:tc>
          <w:tcPr>
            <w:tcW w:w="599" w:type="pct"/>
            <w:tcBorders>
              <w:top w:val="nil"/>
              <w:left w:val="nil"/>
              <w:bottom w:val="single" w:sz="4" w:space="0" w:color="auto"/>
              <w:right w:val="single" w:sz="4" w:space="0" w:color="auto"/>
            </w:tcBorders>
            <w:shd w:val="clear" w:color="auto" w:fill="auto"/>
            <w:noWrap/>
            <w:vAlign w:val="bottom"/>
            <w:hideMark/>
          </w:tcPr>
          <w:p w14:paraId="6E9AD77D"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(10.157)</w:t>
            </w:r>
          </w:p>
        </w:tc>
        <w:tc>
          <w:tcPr>
            <w:tcW w:w="719" w:type="pct"/>
            <w:tcBorders>
              <w:top w:val="nil"/>
              <w:left w:val="nil"/>
              <w:bottom w:val="single" w:sz="4" w:space="0" w:color="auto"/>
              <w:right w:val="single" w:sz="4" w:space="0" w:color="auto"/>
            </w:tcBorders>
            <w:shd w:val="clear" w:color="auto" w:fill="auto"/>
            <w:noWrap/>
            <w:vAlign w:val="bottom"/>
            <w:hideMark/>
          </w:tcPr>
          <w:p w14:paraId="4549C4DB"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(100.148)</w:t>
            </w:r>
          </w:p>
        </w:tc>
      </w:tr>
      <w:tr w:rsidR="00F41043" w:rsidRPr="00F41043" w14:paraId="3E5FA4F8" w14:textId="77777777" w:rsidTr="00446A14">
        <w:trPr>
          <w:trHeight w:val="230"/>
        </w:trPr>
        <w:tc>
          <w:tcPr>
            <w:tcW w:w="2363" w:type="pct"/>
            <w:tcBorders>
              <w:top w:val="nil"/>
              <w:left w:val="single" w:sz="4" w:space="0" w:color="auto"/>
              <w:bottom w:val="single" w:sz="4" w:space="0" w:color="auto"/>
              <w:right w:val="single" w:sz="4" w:space="0" w:color="auto"/>
            </w:tcBorders>
            <w:shd w:val="clear" w:color="auto" w:fill="auto"/>
            <w:noWrap/>
            <w:vAlign w:val="bottom"/>
            <w:hideMark/>
          </w:tcPr>
          <w:p w14:paraId="5938AECC"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Receitas Financeiras</w:t>
            </w:r>
          </w:p>
        </w:tc>
        <w:tc>
          <w:tcPr>
            <w:tcW w:w="719" w:type="pct"/>
            <w:tcBorders>
              <w:top w:val="nil"/>
              <w:left w:val="nil"/>
              <w:bottom w:val="single" w:sz="4" w:space="0" w:color="auto"/>
              <w:right w:val="single" w:sz="4" w:space="0" w:color="auto"/>
            </w:tcBorders>
            <w:shd w:val="clear" w:color="auto" w:fill="auto"/>
            <w:noWrap/>
            <w:vAlign w:val="bottom"/>
            <w:hideMark/>
          </w:tcPr>
          <w:p w14:paraId="6E96A864"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119.372 </w:t>
            </w:r>
          </w:p>
        </w:tc>
        <w:tc>
          <w:tcPr>
            <w:tcW w:w="599" w:type="pct"/>
            <w:tcBorders>
              <w:top w:val="nil"/>
              <w:left w:val="nil"/>
              <w:bottom w:val="single" w:sz="4" w:space="0" w:color="auto"/>
              <w:right w:val="single" w:sz="4" w:space="0" w:color="auto"/>
            </w:tcBorders>
            <w:shd w:val="clear" w:color="auto" w:fill="auto"/>
            <w:noWrap/>
            <w:vAlign w:val="bottom"/>
            <w:hideMark/>
          </w:tcPr>
          <w:p w14:paraId="24C6EDD4"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99" w:type="pct"/>
            <w:tcBorders>
              <w:top w:val="nil"/>
              <w:left w:val="nil"/>
              <w:bottom w:val="single" w:sz="4" w:space="0" w:color="auto"/>
              <w:right w:val="single" w:sz="4" w:space="0" w:color="auto"/>
            </w:tcBorders>
            <w:shd w:val="clear" w:color="auto" w:fill="auto"/>
            <w:noWrap/>
            <w:vAlign w:val="bottom"/>
            <w:hideMark/>
          </w:tcPr>
          <w:p w14:paraId="7E9EAE43"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  </w:t>
            </w:r>
          </w:p>
        </w:tc>
        <w:tc>
          <w:tcPr>
            <w:tcW w:w="719" w:type="pct"/>
            <w:tcBorders>
              <w:top w:val="nil"/>
              <w:left w:val="nil"/>
              <w:bottom w:val="single" w:sz="4" w:space="0" w:color="auto"/>
              <w:right w:val="single" w:sz="4" w:space="0" w:color="auto"/>
            </w:tcBorders>
            <w:shd w:val="clear" w:color="auto" w:fill="auto"/>
            <w:noWrap/>
            <w:vAlign w:val="bottom"/>
            <w:hideMark/>
          </w:tcPr>
          <w:p w14:paraId="28902EC9"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119.372 </w:t>
            </w:r>
          </w:p>
        </w:tc>
      </w:tr>
      <w:tr w:rsidR="00F41043" w:rsidRPr="00F41043" w14:paraId="3623178C" w14:textId="77777777" w:rsidTr="00446A14">
        <w:trPr>
          <w:trHeight w:val="230"/>
        </w:trPr>
        <w:tc>
          <w:tcPr>
            <w:tcW w:w="2363" w:type="pct"/>
            <w:tcBorders>
              <w:top w:val="nil"/>
              <w:left w:val="single" w:sz="4" w:space="0" w:color="auto"/>
              <w:bottom w:val="single" w:sz="4" w:space="0" w:color="auto"/>
              <w:right w:val="single" w:sz="4" w:space="0" w:color="auto"/>
            </w:tcBorders>
            <w:shd w:val="clear" w:color="auto" w:fill="auto"/>
            <w:noWrap/>
            <w:vAlign w:val="bottom"/>
            <w:hideMark/>
          </w:tcPr>
          <w:p w14:paraId="764890A9"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Despesas Financeiras</w:t>
            </w:r>
          </w:p>
        </w:tc>
        <w:tc>
          <w:tcPr>
            <w:tcW w:w="719" w:type="pct"/>
            <w:tcBorders>
              <w:top w:val="nil"/>
              <w:left w:val="nil"/>
              <w:bottom w:val="single" w:sz="4" w:space="0" w:color="auto"/>
              <w:right w:val="single" w:sz="4" w:space="0" w:color="auto"/>
            </w:tcBorders>
            <w:shd w:val="clear" w:color="auto" w:fill="auto"/>
            <w:noWrap/>
            <w:vAlign w:val="bottom"/>
            <w:hideMark/>
          </w:tcPr>
          <w:p w14:paraId="58E2AA0A"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(209.363)</w:t>
            </w:r>
          </w:p>
        </w:tc>
        <w:tc>
          <w:tcPr>
            <w:tcW w:w="599" w:type="pct"/>
            <w:tcBorders>
              <w:top w:val="nil"/>
              <w:left w:val="nil"/>
              <w:bottom w:val="single" w:sz="4" w:space="0" w:color="auto"/>
              <w:right w:val="single" w:sz="4" w:space="0" w:color="auto"/>
            </w:tcBorders>
            <w:shd w:val="clear" w:color="auto" w:fill="auto"/>
            <w:noWrap/>
            <w:vAlign w:val="bottom"/>
            <w:hideMark/>
          </w:tcPr>
          <w:p w14:paraId="0AA22B36"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99" w:type="pct"/>
            <w:tcBorders>
              <w:top w:val="nil"/>
              <w:left w:val="nil"/>
              <w:bottom w:val="single" w:sz="4" w:space="0" w:color="auto"/>
              <w:right w:val="single" w:sz="4" w:space="0" w:color="auto"/>
            </w:tcBorders>
            <w:shd w:val="clear" w:color="auto" w:fill="auto"/>
            <w:noWrap/>
            <w:vAlign w:val="bottom"/>
            <w:hideMark/>
          </w:tcPr>
          <w:p w14:paraId="0A606779"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(10.157)</w:t>
            </w:r>
          </w:p>
        </w:tc>
        <w:tc>
          <w:tcPr>
            <w:tcW w:w="719" w:type="pct"/>
            <w:tcBorders>
              <w:top w:val="nil"/>
              <w:left w:val="nil"/>
              <w:bottom w:val="single" w:sz="4" w:space="0" w:color="auto"/>
              <w:right w:val="single" w:sz="4" w:space="0" w:color="auto"/>
            </w:tcBorders>
            <w:shd w:val="clear" w:color="auto" w:fill="auto"/>
            <w:noWrap/>
            <w:vAlign w:val="bottom"/>
            <w:hideMark/>
          </w:tcPr>
          <w:p w14:paraId="2F6E50EB"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(219.520)</w:t>
            </w:r>
          </w:p>
        </w:tc>
      </w:tr>
      <w:tr w:rsidR="00F41043" w:rsidRPr="00F41043" w14:paraId="43D652AB" w14:textId="77777777" w:rsidTr="00446A14">
        <w:trPr>
          <w:trHeight w:val="230"/>
        </w:trPr>
        <w:tc>
          <w:tcPr>
            <w:tcW w:w="2363" w:type="pct"/>
            <w:tcBorders>
              <w:top w:val="nil"/>
              <w:left w:val="single" w:sz="4" w:space="0" w:color="auto"/>
              <w:bottom w:val="single" w:sz="4" w:space="0" w:color="auto"/>
              <w:right w:val="single" w:sz="4" w:space="0" w:color="auto"/>
            </w:tcBorders>
            <w:shd w:val="clear" w:color="auto" w:fill="auto"/>
            <w:noWrap/>
            <w:vAlign w:val="bottom"/>
            <w:hideMark/>
          </w:tcPr>
          <w:p w14:paraId="7B4B16F8"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Prejuízo do Exercício</w:t>
            </w:r>
          </w:p>
        </w:tc>
        <w:tc>
          <w:tcPr>
            <w:tcW w:w="719" w:type="pct"/>
            <w:tcBorders>
              <w:top w:val="nil"/>
              <w:left w:val="nil"/>
              <w:bottom w:val="single" w:sz="4" w:space="0" w:color="auto"/>
              <w:right w:val="single" w:sz="4" w:space="0" w:color="auto"/>
            </w:tcBorders>
            <w:shd w:val="clear" w:color="auto" w:fill="auto"/>
            <w:noWrap/>
            <w:vAlign w:val="bottom"/>
            <w:hideMark/>
          </w:tcPr>
          <w:p w14:paraId="0ABD2261"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(127.712)</w:t>
            </w:r>
          </w:p>
        </w:tc>
        <w:tc>
          <w:tcPr>
            <w:tcW w:w="599" w:type="pct"/>
            <w:tcBorders>
              <w:top w:val="nil"/>
              <w:left w:val="nil"/>
              <w:bottom w:val="single" w:sz="4" w:space="0" w:color="auto"/>
              <w:right w:val="single" w:sz="4" w:space="0" w:color="auto"/>
            </w:tcBorders>
            <w:shd w:val="clear" w:color="auto" w:fill="auto"/>
            <w:noWrap/>
            <w:vAlign w:val="bottom"/>
            <w:hideMark/>
          </w:tcPr>
          <w:p w14:paraId="14DCA780"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(30.590)</w:t>
            </w:r>
          </w:p>
        </w:tc>
        <w:tc>
          <w:tcPr>
            <w:tcW w:w="599" w:type="pct"/>
            <w:tcBorders>
              <w:top w:val="nil"/>
              <w:left w:val="nil"/>
              <w:bottom w:val="single" w:sz="4" w:space="0" w:color="auto"/>
              <w:right w:val="single" w:sz="4" w:space="0" w:color="auto"/>
            </w:tcBorders>
            <w:shd w:val="clear" w:color="auto" w:fill="auto"/>
            <w:noWrap/>
            <w:vAlign w:val="bottom"/>
            <w:hideMark/>
          </w:tcPr>
          <w:p w14:paraId="70129F2E"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(10.157)</w:t>
            </w:r>
          </w:p>
        </w:tc>
        <w:tc>
          <w:tcPr>
            <w:tcW w:w="719" w:type="pct"/>
            <w:tcBorders>
              <w:top w:val="nil"/>
              <w:left w:val="nil"/>
              <w:bottom w:val="single" w:sz="4" w:space="0" w:color="auto"/>
              <w:right w:val="single" w:sz="4" w:space="0" w:color="auto"/>
            </w:tcBorders>
            <w:shd w:val="clear" w:color="auto" w:fill="auto"/>
            <w:noWrap/>
            <w:vAlign w:val="bottom"/>
            <w:hideMark/>
          </w:tcPr>
          <w:p w14:paraId="1571A512"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(168.459)</w:t>
            </w:r>
          </w:p>
        </w:tc>
      </w:tr>
      <w:tr w:rsidR="00F41043" w:rsidRPr="00F41043" w14:paraId="74D53EAD" w14:textId="77777777" w:rsidTr="00446A14">
        <w:trPr>
          <w:trHeight w:val="230"/>
        </w:trPr>
        <w:tc>
          <w:tcPr>
            <w:tcW w:w="2363" w:type="pct"/>
            <w:tcBorders>
              <w:top w:val="nil"/>
              <w:left w:val="nil"/>
              <w:bottom w:val="nil"/>
              <w:right w:val="nil"/>
            </w:tcBorders>
            <w:shd w:val="clear" w:color="auto" w:fill="auto"/>
            <w:noWrap/>
            <w:vAlign w:val="bottom"/>
            <w:hideMark/>
          </w:tcPr>
          <w:p w14:paraId="102E4DA1"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p>
        </w:tc>
        <w:tc>
          <w:tcPr>
            <w:tcW w:w="719" w:type="pct"/>
            <w:tcBorders>
              <w:top w:val="nil"/>
              <w:left w:val="nil"/>
              <w:bottom w:val="nil"/>
              <w:right w:val="nil"/>
            </w:tcBorders>
            <w:shd w:val="clear" w:color="auto" w:fill="auto"/>
            <w:noWrap/>
            <w:vAlign w:val="bottom"/>
            <w:hideMark/>
          </w:tcPr>
          <w:p w14:paraId="5B64D55B" w14:textId="77777777" w:rsidR="00F41043" w:rsidRPr="00F41043" w:rsidRDefault="00F41043" w:rsidP="00F41043">
            <w:pPr>
              <w:spacing w:after="0" w:line="240" w:lineRule="auto"/>
              <w:jc w:val="right"/>
              <w:rPr>
                <w:rFonts w:ascii="Times New Roman" w:eastAsia="Times New Roman" w:hAnsi="Times New Roman" w:cs="Times New Roman"/>
                <w:kern w:val="0"/>
                <w:sz w:val="14"/>
                <w:szCs w:val="14"/>
                <w:lang w:eastAsia="pt-BR"/>
                <w14:ligatures w14:val="none"/>
              </w:rPr>
            </w:pPr>
          </w:p>
        </w:tc>
        <w:tc>
          <w:tcPr>
            <w:tcW w:w="599" w:type="pct"/>
            <w:tcBorders>
              <w:top w:val="nil"/>
              <w:left w:val="nil"/>
              <w:bottom w:val="nil"/>
              <w:right w:val="nil"/>
            </w:tcBorders>
            <w:shd w:val="clear" w:color="auto" w:fill="auto"/>
            <w:noWrap/>
            <w:vAlign w:val="bottom"/>
            <w:hideMark/>
          </w:tcPr>
          <w:p w14:paraId="4659E2EB" w14:textId="77777777" w:rsidR="00F41043" w:rsidRPr="00F41043" w:rsidRDefault="00F41043" w:rsidP="00F41043">
            <w:pPr>
              <w:spacing w:after="0" w:line="240" w:lineRule="auto"/>
              <w:jc w:val="right"/>
              <w:rPr>
                <w:rFonts w:ascii="Times New Roman" w:eastAsia="Times New Roman" w:hAnsi="Times New Roman" w:cs="Times New Roman"/>
                <w:kern w:val="0"/>
                <w:sz w:val="14"/>
                <w:szCs w:val="14"/>
                <w:lang w:eastAsia="pt-BR"/>
                <w14:ligatures w14:val="none"/>
              </w:rPr>
            </w:pPr>
          </w:p>
        </w:tc>
        <w:tc>
          <w:tcPr>
            <w:tcW w:w="599" w:type="pct"/>
            <w:tcBorders>
              <w:top w:val="nil"/>
              <w:left w:val="nil"/>
              <w:bottom w:val="nil"/>
              <w:right w:val="nil"/>
            </w:tcBorders>
            <w:shd w:val="clear" w:color="auto" w:fill="auto"/>
            <w:noWrap/>
            <w:vAlign w:val="bottom"/>
            <w:hideMark/>
          </w:tcPr>
          <w:p w14:paraId="01632991" w14:textId="77777777" w:rsidR="00F41043" w:rsidRPr="00F41043" w:rsidRDefault="00F41043" w:rsidP="00F41043">
            <w:pPr>
              <w:spacing w:after="0" w:line="240" w:lineRule="auto"/>
              <w:jc w:val="right"/>
              <w:rPr>
                <w:rFonts w:ascii="Times New Roman" w:eastAsia="Times New Roman" w:hAnsi="Times New Roman" w:cs="Times New Roman"/>
                <w:kern w:val="0"/>
                <w:sz w:val="14"/>
                <w:szCs w:val="14"/>
                <w:lang w:eastAsia="pt-BR"/>
                <w14:ligatures w14:val="none"/>
              </w:rPr>
            </w:pPr>
          </w:p>
        </w:tc>
        <w:tc>
          <w:tcPr>
            <w:tcW w:w="719" w:type="pct"/>
            <w:tcBorders>
              <w:top w:val="nil"/>
              <w:left w:val="nil"/>
              <w:bottom w:val="nil"/>
              <w:right w:val="nil"/>
            </w:tcBorders>
            <w:shd w:val="clear" w:color="auto" w:fill="auto"/>
            <w:noWrap/>
            <w:vAlign w:val="bottom"/>
            <w:hideMark/>
          </w:tcPr>
          <w:p w14:paraId="543E4B22" w14:textId="77777777" w:rsidR="00F41043" w:rsidRPr="00F41043" w:rsidRDefault="00F41043" w:rsidP="00F41043">
            <w:pPr>
              <w:spacing w:after="0" w:line="240" w:lineRule="auto"/>
              <w:jc w:val="right"/>
              <w:rPr>
                <w:rFonts w:ascii="Times New Roman" w:eastAsia="Times New Roman" w:hAnsi="Times New Roman" w:cs="Times New Roman"/>
                <w:kern w:val="0"/>
                <w:sz w:val="14"/>
                <w:szCs w:val="14"/>
                <w:lang w:eastAsia="pt-BR"/>
                <w14:ligatures w14:val="none"/>
              </w:rPr>
            </w:pPr>
          </w:p>
        </w:tc>
      </w:tr>
      <w:tr w:rsidR="00F41043" w:rsidRPr="00F41043" w14:paraId="3D6795E3" w14:textId="77777777" w:rsidTr="00446A14">
        <w:trPr>
          <w:trHeight w:val="230"/>
        </w:trPr>
        <w:tc>
          <w:tcPr>
            <w:tcW w:w="23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26AA9"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Prejuízo Básico e Diluído por Ação em Reais:</w:t>
            </w:r>
          </w:p>
        </w:tc>
        <w:tc>
          <w:tcPr>
            <w:tcW w:w="719" w:type="pct"/>
            <w:tcBorders>
              <w:top w:val="single" w:sz="4" w:space="0" w:color="auto"/>
              <w:left w:val="nil"/>
              <w:bottom w:val="single" w:sz="4" w:space="0" w:color="auto"/>
              <w:right w:val="single" w:sz="4" w:space="0" w:color="auto"/>
            </w:tcBorders>
            <w:shd w:val="clear" w:color="auto" w:fill="auto"/>
            <w:noWrap/>
            <w:vAlign w:val="bottom"/>
            <w:hideMark/>
          </w:tcPr>
          <w:p w14:paraId="2A5299F5"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99" w:type="pct"/>
            <w:tcBorders>
              <w:top w:val="single" w:sz="4" w:space="0" w:color="auto"/>
              <w:left w:val="nil"/>
              <w:bottom w:val="single" w:sz="4" w:space="0" w:color="auto"/>
              <w:right w:val="single" w:sz="4" w:space="0" w:color="auto"/>
            </w:tcBorders>
            <w:shd w:val="clear" w:color="auto" w:fill="auto"/>
            <w:noWrap/>
            <w:vAlign w:val="bottom"/>
            <w:hideMark/>
          </w:tcPr>
          <w:p w14:paraId="3DE90733"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99" w:type="pct"/>
            <w:tcBorders>
              <w:top w:val="single" w:sz="4" w:space="0" w:color="auto"/>
              <w:left w:val="nil"/>
              <w:bottom w:val="single" w:sz="4" w:space="0" w:color="auto"/>
              <w:right w:val="single" w:sz="4" w:space="0" w:color="auto"/>
            </w:tcBorders>
            <w:shd w:val="clear" w:color="auto" w:fill="auto"/>
            <w:noWrap/>
            <w:vAlign w:val="bottom"/>
            <w:hideMark/>
          </w:tcPr>
          <w:p w14:paraId="2FC5F609"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719" w:type="pct"/>
            <w:tcBorders>
              <w:top w:val="single" w:sz="4" w:space="0" w:color="auto"/>
              <w:left w:val="nil"/>
              <w:bottom w:val="single" w:sz="4" w:space="0" w:color="auto"/>
              <w:right w:val="single" w:sz="4" w:space="0" w:color="auto"/>
            </w:tcBorders>
            <w:shd w:val="clear" w:color="auto" w:fill="auto"/>
            <w:noWrap/>
            <w:vAlign w:val="bottom"/>
            <w:hideMark/>
          </w:tcPr>
          <w:p w14:paraId="587C8E2F"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r>
      <w:tr w:rsidR="00F41043" w:rsidRPr="00F41043" w14:paraId="278C60DA" w14:textId="77777777" w:rsidTr="00446A14">
        <w:trPr>
          <w:trHeight w:val="230"/>
        </w:trPr>
        <w:tc>
          <w:tcPr>
            <w:tcW w:w="2363" w:type="pct"/>
            <w:tcBorders>
              <w:top w:val="nil"/>
              <w:left w:val="single" w:sz="4" w:space="0" w:color="auto"/>
              <w:bottom w:val="single" w:sz="4" w:space="0" w:color="auto"/>
              <w:right w:val="single" w:sz="4" w:space="0" w:color="auto"/>
            </w:tcBorders>
            <w:shd w:val="clear" w:color="auto" w:fill="auto"/>
            <w:noWrap/>
            <w:vAlign w:val="bottom"/>
            <w:hideMark/>
          </w:tcPr>
          <w:p w14:paraId="49EE061F"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Ações Ordinárias – Básicas e diluídas</w:t>
            </w:r>
          </w:p>
        </w:tc>
        <w:tc>
          <w:tcPr>
            <w:tcW w:w="719" w:type="pct"/>
            <w:tcBorders>
              <w:top w:val="nil"/>
              <w:left w:val="nil"/>
              <w:bottom w:val="single" w:sz="4" w:space="0" w:color="auto"/>
              <w:right w:val="single" w:sz="4" w:space="0" w:color="auto"/>
            </w:tcBorders>
            <w:shd w:val="clear" w:color="auto" w:fill="auto"/>
            <w:noWrap/>
            <w:vAlign w:val="center"/>
            <w:hideMark/>
          </w:tcPr>
          <w:p w14:paraId="4B6DB93D"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(1,7195)</w:t>
            </w:r>
          </w:p>
        </w:tc>
        <w:tc>
          <w:tcPr>
            <w:tcW w:w="599" w:type="pct"/>
            <w:tcBorders>
              <w:top w:val="nil"/>
              <w:left w:val="nil"/>
              <w:bottom w:val="single" w:sz="4" w:space="0" w:color="auto"/>
              <w:right w:val="single" w:sz="4" w:space="0" w:color="auto"/>
            </w:tcBorders>
            <w:shd w:val="clear" w:color="auto" w:fill="auto"/>
            <w:noWrap/>
            <w:vAlign w:val="bottom"/>
            <w:hideMark/>
          </w:tcPr>
          <w:p w14:paraId="4B683B2A"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99" w:type="pct"/>
            <w:tcBorders>
              <w:top w:val="nil"/>
              <w:left w:val="nil"/>
              <w:bottom w:val="single" w:sz="4" w:space="0" w:color="auto"/>
              <w:right w:val="single" w:sz="4" w:space="0" w:color="auto"/>
            </w:tcBorders>
            <w:shd w:val="clear" w:color="auto" w:fill="auto"/>
            <w:noWrap/>
            <w:vAlign w:val="bottom"/>
            <w:hideMark/>
          </w:tcPr>
          <w:p w14:paraId="78B2AA92"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719" w:type="pct"/>
            <w:tcBorders>
              <w:top w:val="nil"/>
              <w:left w:val="nil"/>
              <w:bottom w:val="single" w:sz="4" w:space="0" w:color="auto"/>
              <w:right w:val="single" w:sz="4" w:space="0" w:color="auto"/>
            </w:tcBorders>
            <w:shd w:val="clear" w:color="auto" w:fill="auto"/>
            <w:noWrap/>
            <w:vAlign w:val="bottom"/>
            <w:hideMark/>
          </w:tcPr>
          <w:p w14:paraId="7946ADF4"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(1,9501)</w:t>
            </w:r>
          </w:p>
        </w:tc>
      </w:tr>
      <w:tr w:rsidR="00F41043" w:rsidRPr="00F41043" w14:paraId="526D0EB6" w14:textId="77777777" w:rsidTr="00446A14">
        <w:trPr>
          <w:trHeight w:val="230"/>
        </w:trPr>
        <w:tc>
          <w:tcPr>
            <w:tcW w:w="2363" w:type="pct"/>
            <w:tcBorders>
              <w:top w:val="nil"/>
              <w:left w:val="single" w:sz="4" w:space="0" w:color="auto"/>
              <w:bottom w:val="single" w:sz="4" w:space="0" w:color="auto"/>
              <w:right w:val="single" w:sz="4" w:space="0" w:color="auto"/>
            </w:tcBorders>
            <w:shd w:val="clear" w:color="auto" w:fill="auto"/>
            <w:noWrap/>
            <w:vAlign w:val="bottom"/>
            <w:hideMark/>
          </w:tcPr>
          <w:p w14:paraId="4F6C64BC"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Ações Preferenciais – Básicas e diluídas</w:t>
            </w:r>
          </w:p>
        </w:tc>
        <w:tc>
          <w:tcPr>
            <w:tcW w:w="719" w:type="pct"/>
            <w:tcBorders>
              <w:top w:val="nil"/>
              <w:left w:val="nil"/>
              <w:bottom w:val="single" w:sz="4" w:space="0" w:color="auto"/>
              <w:right w:val="single" w:sz="4" w:space="0" w:color="auto"/>
            </w:tcBorders>
            <w:shd w:val="clear" w:color="auto" w:fill="auto"/>
            <w:noWrap/>
            <w:vAlign w:val="bottom"/>
            <w:hideMark/>
          </w:tcPr>
          <w:p w14:paraId="0C615C76"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(1,7195)</w:t>
            </w:r>
          </w:p>
        </w:tc>
        <w:tc>
          <w:tcPr>
            <w:tcW w:w="599" w:type="pct"/>
            <w:tcBorders>
              <w:top w:val="nil"/>
              <w:left w:val="nil"/>
              <w:bottom w:val="single" w:sz="4" w:space="0" w:color="auto"/>
              <w:right w:val="single" w:sz="4" w:space="0" w:color="auto"/>
            </w:tcBorders>
            <w:shd w:val="clear" w:color="auto" w:fill="auto"/>
            <w:noWrap/>
            <w:vAlign w:val="bottom"/>
            <w:hideMark/>
          </w:tcPr>
          <w:p w14:paraId="0E24DE62"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99" w:type="pct"/>
            <w:tcBorders>
              <w:top w:val="nil"/>
              <w:left w:val="nil"/>
              <w:bottom w:val="single" w:sz="4" w:space="0" w:color="auto"/>
              <w:right w:val="single" w:sz="4" w:space="0" w:color="auto"/>
            </w:tcBorders>
            <w:shd w:val="clear" w:color="auto" w:fill="auto"/>
            <w:noWrap/>
            <w:vAlign w:val="bottom"/>
            <w:hideMark/>
          </w:tcPr>
          <w:p w14:paraId="3773FBF7"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719" w:type="pct"/>
            <w:tcBorders>
              <w:top w:val="nil"/>
              <w:left w:val="nil"/>
              <w:bottom w:val="single" w:sz="4" w:space="0" w:color="auto"/>
              <w:right w:val="single" w:sz="4" w:space="0" w:color="auto"/>
            </w:tcBorders>
            <w:shd w:val="clear" w:color="auto" w:fill="auto"/>
            <w:noWrap/>
            <w:vAlign w:val="bottom"/>
            <w:hideMark/>
          </w:tcPr>
          <w:p w14:paraId="77960C91"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(1,9501)</w:t>
            </w:r>
          </w:p>
        </w:tc>
      </w:tr>
    </w:tbl>
    <w:p w14:paraId="151A763E" w14:textId="77777777" w:rsidR="00F41043" w:rsidRPr="00F41043" w:rsidRDefault="00F41043" w:rsidP="00F41043">
      <w:pPr>
        <w:spacing w:after="0"/>
        <w:jc w:val="both"/>
        <w:rPr>
          <w:rFonts w:ascii="Calibri" w:eastAsia="Times New Roman" w:hAnsi="Calibri" w:cs="Calibri"/>
          <w:iCs/>
          <w:color w:val="002060"/>
          <w:kern w:val="0"/>
          <w14:ligatures w14:val="none"/>
        </w:rPr>
      </w:pPr>
      <w:r w:rsidRPr="00F41043">
        <w:rPr>
          <w:rFonts w:ascii="Calibri" w:eastAsia="Times New Roman" w:hAnsi="Calibri" w:cs="Calibri"/>
          <w:iCs/>
          <w:color w:val="002060"/>
          <w:kern w:val="0"/>
          <w14:ligatures w14:val="none"/>
        </w:rPr>
        <w:t>i) Refere-se aos valores recebidos relativos às Subvenções para Investimentos (aplicações no Ativo Imobilizado) no exercício de 2022, que haviam sido reconhecidos em “Outras Receitas Operacionais” naquele ano.</w:t>
      </w:r>
    </w:p>
    <w:p w14:paraId="599769B3" w14:textId="77777777" w:rsidR="00F41043" w:rsidRDefault="00F41043" w:rsidP="00F41043">
      <w:pPr>
        <w:spacing w:after="0"/>
        <w:jc w:val="both"/>
        <w:rPr>
          <w:rFonts w:ascii="Calibri" w:eastAsia="Times New Roman" w:hAnsi="Calibri" w:cs="Calibri"/>
          <w:iCs/>
          <w:color w:val="002060"/>
          <w:kern w:val="0"/>
          <w14:ligatures w14:val="none"/>
        </w:rPr>
      </w:pPr>
      <w:proofErr w:type="spellStart"/>
      <w:r w:rsidRPr="00F41043">
        <w:rPr>
          <w:rFonts w:ascii="Calibri" w:eastAsia="Times New Roman" w:hAnsi="Calibri" w:cs="Calibri"/>
          <w:iCs/>
          <w:color w:val="002060"/>
          <w:kern w:val="0"/>
          <w14:ligatures w14:val="none"/>
        </w:rPr>
        <w:t>ii</w:t>
      </w:r>
      <w:proofErr w:type="spellEnd"/>
      <w:r w:rsidRPr="00F41043">
        <w:rPr>
          <w:rFonts w:ascii="Calibri" w:eastAsia="Times New Roman" w:hAnsi="Calibri" w:cs="Calibri"/>
          <w:iCs/>
          <w:color w:val="002060"/>
          <w:kern w:val="0"/>
          <w14:ligatures w14:val="none"/>
        </w:rPr>
        <w:t xml:space="preserve">) Representa os Juros reconhecidos quando da adoção da nova política contábil, a qual, alterou a forma de registro das Subvenções para Investimentos do resultado do exercício para o Passivo Exigível, a Telebras passou a reconhecer juros sobre aos valores de AFAC. </w:t>
      </w:r>
    </w:p>
    <w:p w14:paraId="3F4C79DC" w14:textId="073792EB" w:rsidR="00F41043" w:rsidRPr="00F41043" w:rsidRDefault="00F41043" w:rsidP="00F41043">
      <w:pPr>
        <w:spacing w:after="0"/>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3.1.4. </w:t>
      </w:r>
      <w:r w:rsidRPr="00F41043">
        <w:rPr>
          <w:rFonts w:ascii="Calibri" w:eastAsia="Times New Roman" w:hAnsi="Calibri" w:cs="Calibri"/>
          <w:b/>
          <w:bCs/>
          <w:iCs/>
          <w:color w:val="002060"/>
          <w:kern w:val="0"/>
          <w14:ligatures w14:val="none"/>
        </w:rPr>
        <w:t>Demonstração do Resultado Abrangente</w:t>
      </w:r>
    </w:p>
    <w:tbl>
      <w:tblPr>
        <w:tblW w:w="5000" w:type="pct"/>
        <w:tblCellMar>
          <w:left w:w="70" w:type="dxa"/>
          <w:right w:w="70" w:type="dxa"/>
        </w:tblCellMar>
        <w:tblLook w:val="04A0" w:firstRow="1" w:lastRow="0" w:firstColumn="1" w:lastColumn="0" w:noHBand="0" w:noVBand="1"/>
      </w:tblPr>
      <w:tblGrid>
        <w:gridCol w:w="5062"/>
        <w:gridCol w:w="1051"/>
        <w:gridCol w:w="1090"/>
        <w:gridCol w:w="1284"/>
        <w:gridCol w:w="1284"/>
      </w:tblGrid>
      <w:tr w:rsidR="00F41043" w:rsidRPr="00F41043" w14:paraId="20F655DE" w14:textId="77777777" w:rsidTr="00F41043">
        <w:trPr>
          <w:trHeight w:val="198"/>
        </w:trPr>
        <w:tc>
          <w:tcPr>
            <w:tcW w:w="2590" w:type="pct"/>
            <w:vMerge w:val="restart"/>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93D3077" w14:textId="77777777" w:rsidR="00F41043" w:rsidRPr="00F41043" w:rsidRDefault="00F41043" w:rsidP="00F41043">
            <w:pPr>
              <w:spacing w:after="0" w:line="240" w:lineRule="auto"/>
              <w:jc w:val="center"/>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790705" w14:textId="77777777" w:rsidR="00F41043" w:rsidRPr="00F41043" w:rsidRDefault="00F41043" w:rsidP="00F41043">
            <w:pPr>
              <w:spacing w:after="0" w:line="240" w:lineRule="auto"/>
              <w:jc w:val="center"/>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Saldos Divulgados em 2022</w:t>
            </w:r>
          </w:p>
        </w:tc>
        <w:tc>
          <w:tcPr>
            <w:tcW w:w="1215" w:type="pct"/>
            <w:gridSpan w:val="2"/>
            <w:tcBorders>
              <w:top w:val="single" w:sz="4" w:space="0" w:color="auto"/>
              <w:left w:val="nil"/>
              <w:bottom w:val="single" w:sz="4" w:space="0" w:color="auto"/>
              <w:right w:val="single" w:sz="4" w:space="0" w:color="auto"/>
            </w:tcBorders>
            <w:shd w:val="clear" w:color="auto" w:fill="auto"/>
            <w:noWrap/>
            <w:vAlign w:val="bottom"/>
            <w:hideMark/>
          </w:tcPr>
          <w:p w14:paraId="5D0F10B9" w14:textId="77777777" w:rsidR="00F41043" w:rsidRPr="00F41043" w:rsidRDefault="00F41043" w:rsidP="00F41043">
            <w:pPr>
              <w:spacing w:after="0" w:line="240" w:lineRule="auto"/>
              <w:jc w:val="center"/>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Ajustes</w:t>
            </w:r>
          </w:p>
        </w:tc>
        <w:tc>
          <w:tcPr>
            <w:tcW w:w="6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01751B" w14:textId="77777777" w:rsidR="00F41043" w:rsidRPr="00F41043" w:rsidRDefault="00F41043" w:rsidP="00F41043">
            <w:pPr>
              <w:spacing w:after="0" w:line="240" w:lineRule="auto"/>
              <w:jc w:val="center"/>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Saldos Reapresentados em 2022</w:t>
            </w:r>
          </w:p>
        </w:tc>
      </w:tr>
      <w:tr w:rsidR="00F41043" w:rsidRPr="00F41043" w14:paraId="0162ABBC" w14:textId="77777777" w:rsidTr="00F41043">
        <w:trPr>
          <w:trHeight w:val="198"/>
        </w:trPr>
        <w:tc>
          <w:tcPr>
            <w:tcW w:w="2590" w:type="pct"/>
            <w:vMerge/>
            <w:tcBorders>
              <w:top w:val="single" w:sz="4" w:space="0" w:color="auto"/>
              <w:left w:val="single" w:sz="4" w:space="0" w:color="auto"/>
              <w:bottom w:val="single" w:sz="4" w:space="0" w:color="auto"/>
              <w:right w:val="single" w:sz="4" w:space="0" w:color="auto"/>
            </w:tcBorders>
            <w:vAlign w:val="center"/>
            <w:hideMark/>
          </w:tcPr>
          <w:p w14:paraId="2548DCF3"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p>
        </w:tc>
        <w:tc>
          <w:tcPr>
            <w:tcW w:w="538" w:type="pct"/>
            <w:vMerge/>
            <w:tcBorders>
              <w:top w:val="single" w:sz="4" w:space="0" w:color="auto"/>
              <w:left w:val="single" w:sz="4" w:space="0" w:color="auto"/>
              <w:bottom w:val="single" w:sz="4" w:space="0" w:color="auto"/>
              <w:right w:val="single" w:sz="4" w:space="0" w:color="auto"/>
            </w:tcBorders>
            <w:vAlign w:val="center"/>
            <w:hideMark/>
          </w:tcPr>
          <w:p w14:paraId="77510BB3"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p>
        </w:tc>
        <w:tc>
          <w:tcPr>
            <w:tcW w:w="558" w:type="pct"/>
            <w:tcBorders>
              <w:top w:val="nil"/>
              <w:left w:val="nil"/>
              <w:bottom w:val="single" w:sz="4" w:space="0" w:color="auto"/>
              <w:right w:val="single" w:sz="4" w:space="0" w:color="auto"/>
            </w:tcBorders>
            <w:shd w:val="clear" w:color="auto" w:fill="auto"/>
            <w:vAlign w:val="center"/>
            <w:hideMark/>
          </w:tcPr>
          <w:p w14:paraId="7B3ABF6B" w14:textId="77777777" w:rsidR="00F41043" w:rsidRPr="00F41043" w:rsidRDefault="00F41043" w:rsidP="00F41043">
            <w:pPr>
              <w:spacing w:after="0" w:line="240" w:lineRule="auto"/>
              <w:jc w:val="center"/>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Subvenções para Investimentos</w:t>
            </w:r>
          </w:p>
        </w:tc>
        <w:tc>
          <w:tcPr>
            <w:tcW w:w="657" w:type="pct"/>
            <w:tcBorders>
              <w:top w:val="nil"/>
              <w:left w:val="nil"/>
              <w:bottom w:val="single" w:sz="4" w:space="0" w:color="auto"/>
              <w:right w:val="single" w:sz="4" w:space="0" w:color="auto"/>
            </w:tcBorders>
            <w:shd w:val="clear" w:color="auto" w:fill="auto"/>
            <w:vAlign w:val="center"/>
            <w:hideMark/>
          </w:tcPr>
          <w:p w14:paraId="17CE7392" w14:textId="77777777" w:rsidR="00F41043" w:rsidRPr="00F41043" w:rsidRDefault="00F41043" w:rsidP="00F41043">
            <w:pPr>
              <w:spacing w:after="0" w:line="240" w:lineRule="auto"/>
              <w:jc w:val="center"/>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Juros sobre </w:t>
            </w:r>
            <w:proofErr w:type="spellStart"/>
            <w:r w:rsidRPr="00F41043">
              <w:rPr>
                <w:rFonts w:ascii="Arial" w:eastAsia="Times New Roman" w:hAnsi="Arial" w:cs="Arial"/>
                <w:b/>
                <w:bCs/>
                <w:color w:val="000000"/>
                <w:kern w:val="0"/>
                <w:sz w:val="14"/>
                <w:szCs w:val="14"/>
                <w:lang w:eastAsia="pt-BR"/>
                <w14:ligatures w14:val="none"/>
              </w:rPr>
              <w:t>Afac</w:t>
            </w:r>
            <w:proofErr w:type="spellEnd"/>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663459B7"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p>
        </w:tc>
      </w:tr>
      <w:tr w:rsidR="00F41043" w:rsidRPr="00F41043" w14:paraId="399D241A" w14:textId="77777777" w:rsidTr="00F41043">
        <w:trPr>
          <w:trHeight w:val="198"/>
        </w:trPr>
        <w:tc>
          <w:tcPr>
            <w:tcW w:w="2590" w:type="pct"/>
            <w:tcBorders>
              <w:top w:val="nil"/>
              <w:left w:val="single" w:sz="4" w:space="0" w:color="auto"/>
              <w:bottom w:val="single" w:sz="4" w:space="0" w:color="auto"/>
              <w:right w:val="single" w:sz="4" w:space="0" w:color="auto"/>
            </w:tcBorders>
            <w:shd w:val="clear" w:color="auto" w:fill="auto"/>
            <w:noWrap/>
            <w:vAlign w:val="bottom"/>
            <w:hideMark/>
          </w:tcPr>
          <w:p w14:paraId="4162EE24"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Prejuízo do Exercício</w:t>
            </w:r>
          </w:p>
        </w:tc>
        <w:tc>
          <w:tcPr>
            <w:tcW w:w="538" w:type="pct"/>
            <w:tcBorders>
              <w:top w:val="nil"/>
              <w:left w:val="nil"/>
              <w:bottom w:val="single" w:sz="4" w:space="0" w:color="auto"/>
              <w:right w:val="single" w:sz="4" w:space="0" w:color="auto"/>
            </w:tcBorders>
            <w:shd w:val="clear" w:color="auto" w:fill="auto"/>
            <w:noWrap/>
            <w:vAlign w:val="bottom"/>
            <w:hideMark/>
          </w:tcPr>
          <w:p w14:paraId="0B56A051"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(127.712)</w:t>
            </w:r>
          </w:p>
        </w:tc>
        <w:tc>
          <w:tcPr>
            <w:tcW w:w="558" w:type="pct"/>
            <w:tcBorders>
              <w:top w:val="nil"/>
              <w:left w:val="nil"/>
              <w:bottom w:val="single" w:sz="4" w:space="0" w:color="auto"/>
              <w:right w:val="single" w:sz="4" w:space="0" w:color="auto"/>
            </w:tcBorders>
            <w:shd w:val="clear" w:color="auto" w:fill="auto"/>
            <w:noWrap/>
            <w:vAlign w:val="bottom"/>
            <w:hideMark/>
          </w:tcPr>
          <w:p w14:paraId="1550FC13"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(30.590)</w:t>
            </w:r>
          </w:p>
        </w:tc>
        <w:tc>
          <w:tcPr>
            <w:tcW w:w="657" w:type="pct"/>
            <w:tcBorders>
              <w:top w:val="nil"/>
              <w:left w:val="nil"/>
              <w:bottom w:val="single" w:sz="4" w:space="0" w:color="auto"/>
              <w:right w:val="single" w:sz="4" w:space="0" w:color="auto"/>
            </w:tcBorders>
            <w:shd w:val="clear" w:color="auto" w:fill="auto"/>
            <w:noWrap/>
            <w:vAlign w:val="bottom"/>
            <w:hideMark/>
          </w:tcPr>
          <w:p w14:paraId="5EE324AA"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(10.157)</w:t>
            </w:r>
          </w:p>
        </w:tc>
        <w:tc>
          <w:tcPr>
            <w:tcW w:w="657" w:type="pct"/>
            <w:tcBorders>
              <w:top w:val="nil"/>
              <w:left w:val="nil"/>
              <w:bottom w:val="single" w:sz="4" w:space="0" w:color="auto"/>
              <w:right w:val="single" w:sz="4" w:space="0" w:color="auto"/>
            </w:tcBorders>
            <w:shd w:val="clear" w:color="auto" w:fill="auto"/>
            <w:noWrap/>
            <w:vAlign w:val="bottom"/>
            <w:hideMark/>
          </w:tcPr>
          <w:p w14:paraId="4B027DB3"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(168.459)</w:t>
            </w:r>
          </w:p>
        </w:tc>
      </w:tr>
      <w:tr w:rsidR="00F41043" w:rsidRPr="00F41043" w14:paraId="0BAB2847" w14:textId="77777777" w:rsidTr="00F41043">
        <w:trPr>
          <w:trHeight w:val="198"/>
        </w:trPr>
        <w:tc>
          <w:tcPr>
            <w:tcW w:w="2590" w:type="pct"/>
            <w:tcBorders>
              <w:top w:val="nil"/>
              <w:left w:val="single" w:sz="4" w:space="0" w:color="auto"/>
              <w:bottom w:val="single" w:sz="4" w:space="0" w:color="auto"/>
              <w:right w:val="single" w:sz="4" w:space="0" w:color="auto"/>
            </w:tcBorders>
            <w:shd w:val="clear" w:color="auto" w:fill="auto"/>
            <w:noWrap/>
            <w:vAlign w:val="bottom"/>
            <w:hideMark/>
          </w:tcPr>
          <w:p w14:paraId="5C7EDEBF"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Outros Resultados Abrangentes</w:t>
            </w:r>
          </w:p>
        </w:tc>
        <w:tc>
          <w:tcPr>
            <w:tcW w:w="538" w:type="pct"/>
            <w:tcBorders>
              <w:top w:val="nil"/>
              <w:left w:val="nil"/>
              <w:bottom w:val="single" w:sz="4" w:space="0" w:color="auto"/>
              <w:right w:val="single" w:sz="4" w:space="0" w:color="auto"/>
            </w:tcBorders>
            <w:shd w:val="clear" w:color="auto" w:fill="auto"/>
            <w:noWrap/>
            <w:vAlign w:val="bottom"/>
            <w:hideMark/>
          </w:tcPr>
          <w:p w14:paraId="0A343568"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(6.807)</w:t>
            </w:r>
          </w:p>
        </w:tc>
        <w:tc>
          <w:tcPr>
            <w:tcW w:w="558" w:type="pct"/>
            <w:tcBorders>
              <w:top w:val="nil"/>
              <w:left w:val="nil"/>
              <w:bottom w:val="single" w:sz="4" w:space="0" w:color="auto"/>
              <w:right w:val="single" w:sz="4" w:space="0" w:color="auto"/>
            </w:tcBorders>
            <w:shd w:val="clear" w:color="auto" w:fill="auto"/>
            <w:noWrap/>
            <w:vAlign w:val="bottom"/>
            <w:hideMark/>
          </w:tcPr>
          <w:p w14:paraId="0FF19F77"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w:t>
            </w:r>
          </w:p>
        </w:tc>
        <w:tc>
          <w:tcPr>
            <w:tcW w:w="657" w:type="pct"/>
            <w:tcBorders>
              <w:top w:val="nil"/>
              <w:left w:val="nil"/>
              <w:bottom w:val="single" w:sz="4" w:space="0" w:color="auto"/>
              <w:right w:val="single" w:sz="4" w:space="0" w:color="auto"/>
            </w:tcBorders>
            <w:shd w:val="clear" w:color="auto" w:fill="auto"/>
            <w:noWrap/>
            <w:vAlign w:val="bottom"/>
            <w:hideMark/>
          </w:tcPr>
          <w:p w14:paraId="437F530D"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w:t>
            </w:r>
          </w:p>
        </w:tc>
        <w:tc>
          <w:tcPr>
            <w:tcW w:w="657" w:type="pct"/>
            <w:tcBorders>
              <w:top w:val="nil"/>
              <w:left w:val="nil"/>
              <w:bottom w:val="single" w:sz="4" w:space="0" w:color="auto"/>
              <w:right w:val="single" w:sz="4" w:space="0" w:color="auto"/>
            </w:tcBorders>
            <w:shd w:val="clear" w:color="auto" w:fill="auto"/>
            <w:noWrap/>
            <w:vAlign w:val="bottom"/>
            <w:hideMark/>
          </w:tcPr>
          <w:p w14:paraId="06A1E3C1"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(6.807)</w:t>
            </w:r>
          </w:p>
        </w:tc>
      </w:tr>
      <w:tr w:rsidR="00F41043" w:rsidRPr="00F41043" w14:paraId="5979F150" w14:textId="77777777" w:rsidTr="00F41043">
        <w:trPr>
          <w:trHeight w:val="198"/>
        </w:trPr>
        <w:tc>
          <w:tcPr>
            <w:tcW w:w="2590" w:type="pct"/>
            <w:tcBorders>
              <w:top w:val="nil"/>
              <w:left w:val="single" w:sz="4" w:space="0" w:color="auto"/>
              <w:bottom w:val="single" w:sz="4" w:space="0" w:color="auto"/>
              <w:right w:val="single" w:sz="4" w:space="0" w:color="auto"/>
            </w:tcBorders>
            <w:shd w:val="clear" w:color="auto" w:fill="auto"/>
            <w:noWrap/>
            <w:vAlign w:val="bottom"/>
            <w:hideMark/>
          </w:tcPr>
          <w:p w14:paraId="4034D202"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Itens que poderão ser </w:t>
            </w:r>
            <w:proofErr w:type="gramStart"/>
            <w:r w:rsidRPr="00F41043">
              <w:rPr>
                <w:rFonts w:ascii="Arial" w:eastAsia="Times New Roman" w:hAnsi="Arial" w:cs="Arial"/>
                <w:b/>
                <w:bCs/>
                <w:kern w:val="0"/>
                <w:sz w:val="14"/>
                <w:szCs w:val="14"/>
                <w:lang w:eastAsia="pt-BR"/>
                <w14:ligatures w14:val="none"/>
              </w:rPr>
              <w:t>Reclassificados  para</w:t>
            </w:r>
            <w:proofErr w:type="gramEnd"/>
            <w:r w:rsidRPr="00F41043">
              <w:rPr>
                <w:rFonts w:ascii="Arial" w:eastAsia="Times New Roman" w:hAnsi="Arial" w:cs="Arial"/>
                <w:b/>
                <w:bCs/>
                <w:kern w:val="0"/>
                <w:sz w:val="14"/>
                <w:szCs w:val="14"/>
                <w:lang w:eastAsia="pt-BR"/>
                <w14:ligatures w14:val="none"/>
              </w:rPr>
              <w:t xml:space="preserve"> o Resultado:</w:t>
            </w:r>
          </w:p>
        </w:tc>
        <w:tc>
          <w:tcPr>
            <w:tcW w:w="538" w:type="pct"/>
            <w:tcBorders>
              <w:top w:val="nil"/>
              <w:left w:val="nil"/>
              <w:bottom w:val="single" w:sz="4" w:space="0" w:color="auto"/>
              <w:right w:val="single" w:sz="4" w:space="0" w:color="auto"/>
            </w:tcBorders>
            <w:shd w:val="clear" w:color="auto" w:fill="auto"/>
            <w:noWrap/>
            <w:vAlign w:val="bottom"/>
            <w:hideMark/>
          </w:tcPr>
          <w:p w14:paraId="456962A1"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(6.457)</w:t>
            </w:r>
          </w:p>
        </w:tc>
        <w:tc>
          <w:tcPr>
            <w:tcW w:w="558" w:type="pct"/>
            <w:tcBorders>
              <w:top w:val="nil"/>
              <w:left w:val="nil"/>
              <w:bottom w:val="single" w:sz="4" w:space="0" w:color="auto"/>
              <w:right w:val="single" w:sz="4" w:space="0" w:color="auto"/>
            </w:tcBorders>
            <w:shd w:val="clear" w:color="auto" w:fill="auto"/>
            <w:noWrap/>
            <w:vAlign w:val="bottom"/>
            <w:hideMark/>
          </w:tcPr>
          <w:p w14:paraId="76F99466"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w:t>
            </w:r>
          </w:p>
        </w:tc>
        <w:tc>
          <w:tcPr>
            <w:tcW w:w="657" w:type="pct"/>
            <w:tcBorders>
              <w:top w:val="nil"/>
              <w:left w:val="nil"/>
              <w:bottom w:val="single" w:sz="4" w:space="0" w:color="auto"/>
              <w:right w:val="single" w:sz="4" w:space="0" w:color="auto"/>
            </w:tcBorders>
            <w:shd w:val="clear" w:color="auto" w:fill="auto"/>
            <w:noWrap/>
            <w:vAlign w:val="bottom"/>
            <w:hideMark/>
          </w:tcPr>
          <w:p w14:paraId="5FBF0C0E"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w:t>
            </w:r>
          </w:p>
        </w:tc>
        <w:tc>
          <w:tcPr>
            <w:tcW w:w="657" w:type="pct"/>
            <w:tcBorders>
              <w:top w:val="nil"/>
              <w:left w:val="nil"/>
              <w:bottom w:val="single" w:sz="4" w:space="0" w:color="auto"/>
              <w:right w:val="single" w:sz="4" w:space="0" w:color="auto"/>
            </w:tcBorders>
            <w:shd w:val="clear" w:color="auto" w:fill="auto"/>
            <w:noWrap/>
            <w:vAlign w:val="bottom"/>
            <w:hideMark/>
          </w:tcPr>
          <w:p w14:paraId="3F3E70CB"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(6.457)</w:t>
            </w:r>
          </w:p>
        </w:tc>
      </w:tr>
      <w:tr w:rsidR="00F41043" w:rsidRPr="00F41043" w14:paraId="37951B17" w14:textId="77777777" w:rsidTr="00F41043">
        <w:trPr>
          <w:trHeight w:val="198"/>
        </w:trPr>
        <w:tc>
          <w:tcPr>
            <w:tcW w:w="2590" w:type="pct"/>
            <w:tcBorders>
              <w:top w:val="nil"/>
              <w:left w:val="single" w:sz="4" w:space="0" w:color="auto"/>
              <w:bottom w:val="single" w:sz="4" w:space="0" w:color="auto"/>
              <w:right w:val="single" w:sz="4" w:space="0" w:color="auto"/>
            </w:tcBorders>
            <w:shd w:val="clear" w:color="auto" w:fill="auto"/>
            <w:vAlign w:val="center"/>
            <w:hideMark/>
          </w:tcPr>
          <w:p w14:paraId="362B7489" w14:textId="77777777" w:rsidR="00F41043" w:rsidRPr="00F41043" w:rsidRDefault="00F41043" w:rsidP="00F41043">
            <w:pPr>
              <w:spacing w:after="0" w:line="240" w:lineRule="auto"/>
              <w:ind w:firstLineChars="100" w:firstLine="14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Equivalência patrimonial sobre Outros Resultados Abrangentes em Coligadas</w:t>
            </w:r>
          </w:p>
        </w:tc>
        <w:tc>
          <w:tcPr>
            <w:tcW w:w="538" w:type="pct"/>
            <w:tcBorders>
              <w:top w:val="nil"/>
              <w:left w:val="nil"/>
              <w:bottom w:val="single" w:sz="4" w:space="0" w:color="auto"/>
              <w:right w:val="single" w:sz="4" w:space="0" w:color="auto"/>
            </w:tcBorders>
            <w:shd w:val="clear" w:color="auto" w:fill="auto"/>
            <w:noWrap/>
            <w:vAlign w:val="bottom"/>
            <w:hideMark/>
          </w:tcPr>
          <w:p w14:paraId="3C2289E1"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(6.457)</w:t>
            </w:r>
          </w:p>
        </w:tc>
        <w:tc>
          <w:tcPr>
            <w:tcW w:w="558" w:type="pct"/>
            <w:tcBorders>
              <w:top w:val="nil"/>
              <w:left w:val="nil"/>
              <w:bottom w:val="single" w:sz="4" w:space="0" w:color="auto"/>
              <w:right w:val="single" w:sz="4" w:space="0" w:color="auto"/>
            </w:tcBorders>
            <w:shd w:val="clear" w:color="auto" w:fill="auto"/>
            <w:noWrap/>
            <w:vAlign w:val="bottom"/>
            <w:hideMark/>
          </w:tcPr>
          <w:p w14:paraId="14105BFA"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7" w:type="pct"/>
            <w:tcBorders>
              <w:top w:val="nil"/>
              <w:left w:val="nil"/>
              <w:bottom w:val="single" w:sz="4" w:space="0" w:color="auto"/>
              <w:right w:val="single" w:sz="4" w:space="0" w:color="auto"/>
            </w:tcBorders>
            <w:shd w:val="clear" w:color="auto" w:fill="auto"/>
            <w:noWrap/>
            <w:vAlign w:val="bottom"/>
            <w:hideMark/>
          </w:tcPr>
          <w:p w14:paraId="52A53420"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7" w:type="pct"/>
            <w:tcBorders>
              <w:top w:val="nil"/>
              <w:left w:val="nil"/>
              <w:bottom w:val="single" w:sz="4" w:space="0" w:color="auto"/>
              <w:right w:val="single" w:sz="4" w:space="0" w:color="auto"/>
            </w:tcBorders>
            <w:shd w:val="clear" w:color="auto" w:fill="auto"/>
            <w:noWrap/>
            <w:vAlign w:val="bottom"/>
            <w:hideMark/>
          </w:tcPr>
          <w:p w14:paraId="26CD9335"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(6.457)</w:t>
            </w:r>
          </w:p>
        </w:tc>
      </w:tr>
      <w:tr w:rsidR="00F41043" w:rsidRPr="00F41043" w14:paraId="654C5D51" w14:textId="77777777" w:rsidTr="00F41043">
        <w:trPr>
          <w:trHeight w:val="198"/>
        </w:trPr>
        <w:tc>
          <w:tcPr>
            <w:tcW w:w="2590" w:type="pct"/>
            <w:tcBorders>
              <w:top w:val="nil"/>
              <w:left w:val="single" w:sz="4" w:space="0" w:color="auto"/>
              <w:bottom w:val="single" w:sz="4" w:space="0" w:color="auto"/>
              <w:right w:val="single" w:sz="4" w:space="0" w:color="auto"/>
            </w:tcBorders>
            <w:shd w:val="clear" w:color="auto" w:fill="auto"/>
            <w:noWrap/>
            <w:vAlign w:val="bottom"/>
            <w:hideMark/>
          </w:tcPr>
          <w:p w14:paraId="6E3D1C17"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Itens que não serão </w:t>
            </w:r>
            <w:proofErr w:type="gramStart"/>
            <w:r w:rsidRPr="00F41043">
              <w:rPr>
                <w:rFonts w:ascii="Arial" w:eastAsia="Times New Roman" w:hAnsi="Arial" w:cs="Arial"/>
                <w:b/>
                <w:bCs/>
                <w:kern w:val="0"/>
                <w:sz w:val="14"/>
                <w:szCs w:val="14"/>
                <w:lang w:eastAsia="pt-BR"/>
                <w14:ligatures w14:val="none"/>
              </w:rPr>
              <w:t>Reclassificados  para</w:t>
            </w:r>
            <w:proofErr w:type="gramEnd"/>
            <w:r w:rsidRPr="00F41043">
              <w:rPr>
                <w:rFonts w:ascii="Arial" w:eastAsia="Times New Roman" w:hAnsi="Arial" w:cs="Arial"/>
                <w:b/>
                <w:bCs/>
                <w:kern w:val="0"/>
                <w:sz w:val="14"/>
                <w:szCs w:val="14"/>
                <w:lang w:eastAsia="pt-BR"/>
                <w14:ligatures w14:val="none"/>
              </w:rPr>
              <w:t xml:space="preserve"> o Resultado:</w:t>
            </w:r>
          </w:p>
        </w:tc>
        <w:tc>
          <w:tcPr>
            <w:tcW w:w="538" w:type="pct"/>
            <w:tcBorders>
              <w:top w:val="nil"/>
              <w:left w:val="nil"/>
              <w:bottom w:val="single" w:sz="4" w:space="0" w:color="auto"/>
              <w:right w:val="single" w:sz="4" w:space="0" w:color="auto"/>
            </w:tcBorders>
            <w:shd w:val="clear" w:color="auto" w:fill="auto"/>
            <w:noWrap/>
            <w:vAlign w:val="bottom"/>
            <w:hideMark/>
          </w:tcPr>
          <w:p w14:paraId="396B9D49"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(350)</w:t>
            </w:r>
          </w:p>
        </w:tc>
        <w:tc>
          <w:tcPr>
            <w:tcW w:w="558" w:type="pct"/>
            <w:tcBorders>
              <w:top w:val="nil"/>
              <w:left w:val="nil"/>
              <w:bottom w:val="single" w:sz="4" w:space="0" w:color="auto"/>
              <w:right w:val="single" w:sz="4" w:space="0" w:color="auto"/>
            </w:tcBorders>
            <w:shd w:val="clear" w:color="auto" w:fill="auto"/>
            <w:noWrap/>
            <w:vAlign w:val="bottom"/>
            <w:hideMark/>
          </w:tcPr>
          <w:p w14:paraId="707DC7F8"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w:t>
            </w:r>
          </w:p>
        </w:tc>
        <w:tc>
          <w:tcPr>
            <w:tcW w:w="657" w:type="pct"/>
            <w:tcBorders>
              <w:top w:val="nil"/>
              <w:left w:val="nil"/>
              <w:bottom w:val="single" w:sz="4" w:space="0" w:color="auto"/>
              <w:right w:val="single" w:sz="4" w:space="0" w:color="auto"/>
            </w:tcBorders>
            <w:shd w:val="clear" w:color="auto" w:fill="auto"/>
            <w:noWrap/>
            <w:vAlign w:val="bottom"/>
            <w:hideMark/>
          </w:tcPr>
          <w:p w14:paraId="246D55C1"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w:t>
            </w:r>
          </w:p>
        </w:tc>
        <w:tc>
          <w:tcPr>
            <w:tcW w:w="657" w:type="pct"/>
            <w:tcBorders>
              <w:top w:val="nil"/>
              <w:left w:val="nil"/>
              <w:bottom w:val="single" w:sz="4" w:space="0" w:color="auto"/>
              <w:right w:val="single" w:sz="4" w:space="0" w:color="auto"/>
            </w:tcBorders>
            <w:shd w:val="clear" w:color="auto" w:fill="auto"/>
            <w:noWrap/>
            <w:vAlign w:val="bottom"/>
            <w:hideMark/>
          </w:tcPr>
          <w:p w14:paraId="117F8CE1"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(350)</w:t>
            </w:r>
          </w:p>
        </w:tc>
      </w:tr>
      <w:tr w:rsidR="00F41043" w:rsidRPr="00F41043" w14:paraId="20E863F2" w14:textId="77777777" w:rsidTr="00F41043">
        <w:trPr>
          <w:trHeight w:val="198"/>
        </w:trPr>
        <w:tc>
          <w:tcPr>
            <w:tcW w:w="2590" w:type="pct"/>
            <w:tcBorders>
              <w:top w:val="nil"/>
              <w:left w:val="single" w:sz="4" w:space="0" w:color="auto"/>
              <w:bottom w:val="single" w:sz="4" w:space="0" w:color="auto"/>
              <w:right w:val="single" w:sz="4" w:space="0" w:color="auto"/>
            </w:tcBorders>
            <w:shd w:val="clear" w:color="auto" w:fill="auto"/>
            <w:vAlign w:val="center"/>
            <w:hideMark/>
          </w:tcPr>
          <w:p w14:paraId="3DA4D480" w14:textId="77777777" w:rsidR="00F41043" w:rsidRPr="00F41043" w:rsidRDefault="00F41043" w:rsidP="00F41043">
            <w:pPr>
              <w:spacing w:after="0" w:line="240" w:lineRule="auto"/>
              <w:ind w:firstLineChars="100" w:firstLine="140"/>
              <w:rPr>
                <w:rFonts w:ascii="Arial" w:eastAsia="Times New Roman" w:hAnsi="Arial" w:cs="Arial"/>
                <w:kern w:val="0"/>
                <w:sz w:val="14"/>
                <w:szCs w:val="14"/>
                <w:lang w:eastAsia="pt-BR"/>
                <w14:ligatures w14:val="none"/>
              </w:rPr>
            </w:pPr>
            <w:proofErr w:type="gramStart"/>
            <w:r w:rsidRPr="00F41043">
              <w:rPr>
                <w:rFonts w:ascii="Arial" w:eastAsia="Times New Roman" w:hAnsi="Arial" w:cs="Arial"/>
                <w:kern w:val="0"/>
                <w:sz w:val="14"/>
                <w:szCs w:val="14"/>
                <w:lang w:eastAsia="pt-BR"/>
                <w14:ligatures w14:val="none"/>
              </w:rPr>
              <w:t>Perdas  c</w:t>
            </w:r>
            <w:proofErr w:type="gramEnd"/>
            <w:r w:rsidRPr="00F41043">
              <w:rPr>
                <w:rFonts w:ascii="Arial" w:eastAsia="Times New Roman" w:hAnsi="Arial" w:cs="Arial"/>
                <w:kern w:val="0"/>
                <w:sz w:val="14"/>
                <w:szCs w:val="14"/>
                <w:lang w:eastAsia="pt-BR"/>
                <w14:ligatures w14:val="none"/>
              </w:rPr>
              <w:t>/ Instrumentos Financeiros - VJORA</w:t>
            </w:r>
          </w:p>
        </w:tc>
        <w:tc>
          <w:tcPr>
            <w:tcW w:w="538" w:type="pct"/>
            <w:tcBorders>
              <w:top w:val="nil"/>
              <w:left w:val="nil"/>
              <w:bottom w:val="single" w:sz="4" w:space="0" w:color="auto"/>
              <w:right w:val="single" w:sz="4" w:space="0" w:color="auto"/>
            </w:tcBorders>
            <w:shd w:val="clear" w:color="auto" w:fill="auto"/>
            <w:noWrap/>
            <w:vAlign w:val="bottom"/>
            <w:hideMark/>
          </w:tcPr>
          <w:p w14:paraId="777917CD"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(350)</w:t>
            </w:r>
          </w:p>
        </w:tc>
        <w:tc>
          <w:tcPr>
            <w:tcW w:w="558" w:type="pct"/>
            <w:tcBorders>
              <w:top w:val="nil"/>
              <w:left w:val="nil"/>
              <w:bottom w:val="single" w:sz="4" w:space="0" w:color="auto"/>
              <w:right w:val="single" w:sz="4" w:space="0" w:color="auto"/>
            </w:tcBorders>
            <w:shd w:val="clear" w:color="auto" w:fill="auto"/>
            <w:noWrap/>
            <w:vAlign w:val="bottom"/>
            <w:hideMark/>
          </w:tcPr>
          <w:p w14:paraId="7B93037D"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7" w:type="pct"/>
            <w:tcBorders>
              <w:top w:val="nil"/>
              <w:left w:val="nil"/>
              <w:bottom w:val="single" w:sz="4" w:space="0" w:color="auto"/>
              <w:right w:val="single" w:sz="4" w:space="0" w:color="auto"/>
            </w:tcBorders>
            <w:shd w:val="clear" w:color="auto" w:fill="auto"/>
            <w:noWrap/>
            <w:vAlign w:val="bottom"/>
            <w:hideMark/>
          </w:tcPr>
          <w:p w14:paraId="51F9C187"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7" w:type="pct"/>
            <w:tcBorders>
              <w:top w:val="nil"/>
              <w:left w:val="nil"/>
              <w:bottom w:val="single" w:sz="4" w:space="0" w:color="auto"/>
              <w:right w:val="single" w:sz="4" w:space="0" w:color="auto"/>
            </w:tcBorders>
            <w:shd w:val="clear" w:color="auto" w:fill="auto"/>
            <w:noWrap/>
            <w:vAlign w:val="bottom"/>
            <w:hideMark/>
          </w:tcPr>
          <w:p w14:paraId="75824044"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(350)</w:t>
            </w:r>
          </w:p>
        </w:tc>
      </w:tr>
      <w:tr w:rsidR="00F41043" w:rsidRPr="00F41043" w14:paraId="2A9139FF" w14:textId="77777777" w:rsidTr="00F41043">
        <w:trPr>
          <w:trHeight w:val="198"/>
        </w:trPr>
        <w:tc>
          <w:tcPr>
            <w:tcW w:w="2590" w:type="pct"/>
            <w:tcBorders>
              <w:top w:val="nil"/>
              <w:left w:val="single" w:sz="4" w:space="0" w:color="auto"/>
              <w:bottom w:val="single" w:sz="4" w:space="0" w:color="auto"/>
              <w:right w:val="single" w:sz="4" w:space="0" w:color="auto"/>
            </w:tcBorders>
            <w:shd w:val="clear" w:color="auto" w:fill="auto"/>
            <w:noWrap/>
            <w:vAlign w:val="bottom"/>
            <w:hideMark/>
          </w:tcPr>
          <w:p w14:paraId="0E4EFC7B"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Resultado Abrangente Total</w:t>
            </w:r>
          </w:p>
        </w:tc>
        <w:tc>
          <w:tcPr>
            <w:tcW w:w="538" w:type="pct"/>
            <w:tcBorders>
              <w:top w:val="nil"/>
              <w:left w:val="nil"/>
              <w:bottom w:val="single" w:sz="4" w:space="0" w:color="auto"/>
              <w:right w:val="single" w:sz="4" w:space="0" w:color="auto"/>
            </w:tcBorders>
            <w:shd w:val="clear" w:color="auto" w:fill="auto"/>
            <w:noWrap/>
            <w:vAlign w:val="bottom"/>
            <w:hideMark/>
          </w:tcPr>
          <w:p w14:paraId="0738ABB1"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(134.519)</w:t>
            </w:r>
          </w:p>
        </w:tc>
        <w:tc>
          <w:tcPr>
            <w:tcW w:w="558" w:type="pct"/>
            <w:tcBorders>
              <w:top w:val="nil"/>
              <w:left w:val="nil"/>
              <w:bottom w:val="single" w:sz="4" w:space="0" w:color="auto"/>
              <w:right w:val="single" w:sz="4" w:space="0" w:color="auto"/>
            </w:tcBorders>
            <w:shd w:val="clear" w:color="auto" w:fill="auto"/>
            <w:noWrap/>
            <w:vAlign w:val="bottom"/>
            <w:hideMark/>
          </w:tcPr>
          <w:p w14:paraId="241F50D6"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w:t>
            </w:r>
          </w:p>
        </w:tc>
        <w:tc>
          <w:tcPr>
            <w:tcW w:w="657" w:type="pct"/>
            <w:tcBorders>
              <w:top w:val="nil"/>
              <w:left w:val="nil"/>
              <w:bottom w:val="single" w:sz="4" w:space="0" w:color="auto"/>
              <w:right w:val="single" w:sz="4" w:space="0" w:color="auto"/>
            </w:tcBorders>
            <w:shd w:val="clear" w:color="auto" w:fill="auto"/>
            <w:noWrap/>
            <w:vAlign w:val="bottom"/>
            <w:hideMark/>
          </w:tcPr>
          <w:p w14:paraId="606CE9AC"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w:t>
            </w:r>
          </w:p>
        </w:tc>
        <w:tc>
          <w:tcPr>
            <w:tcW w:w="657" w:type="pct"/>
            <w:tcBorders>
              <w:top w:val="nil"/>
              <w:left w:val="nil"/>
              <w:bottom w:val="single" w:sz="4" w:space="0" w:color="auto"/>
              <w:right w:val="single" w:sz="4" w:space="0" w:color="auto"/>
            </w:tcBorders>
            <w:shd w:val="clear" w:color="auto" w:fill="auto"/>
            <w:noWrap/>
            <w:vAlign w:val="bottom"/>
            <w:hideMark/>
          </w:tcPr>
          <w:p w14:paraId="4D4D53B6"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(175.266)</w:t>
            </w:r>
          </w:p>
        </w:tc>
      </w:tr>
    </w:tbl>
    <w:p w14:paraId="7A8B9A62" w14:textId="6F58BED7" w:rsidR="00F41043" w:rsidRDefault="00F41043" w:rsidP="00F41043">
      <w:pPr>
        <w:spacing w:after="0"/>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3.1.5. </w:t>
      </w:r>
      <w:r w:rsidRPr="00F41043">
        <w:rPr>
          <w:rFonts w:ascii="Calibri" w:eastAsia="Times New Roman" w:hAnsi="Calibri" w:cs="Calibri"/>
          <w:b/>
          <w:bCs/>
          <w:iCs/>
          <w:color w:val="002060"/>
          <w:kern w:val="0"/>
          <w14:ligatures w14:val="none"/>
        </w:rPr>
        <w:t>Demonstração dos Fluxos de Caixa</w:t>
      </w:r>
    </w:p>
    <w:tbl>
      <w:tblPr>
        <w:tblW w:w="5000" w:type="pct"/>
        <w:tblCellMar>
          <w:left w:w="70" w:type="dxa"/>
          <w:right w:w="70" w:type="dxa"/>
        </w:tblCellMar>
        <w:tblLook w:val="04A0" w:firstRow="1" w:lastRow="0" w:firstColumn="1" w:lastColumn="0" w:noHBand="0" w:noVBand="1"/>
      </w:tblPr>
      <w:tblGrid>
        <w:gridCol w:w="4946"/>
        <w:gridCol w:w="1203"/>
        <w:gridCol w:w="1231"/>
        <w:gridCol w:w="1116"/>
        <w:gridCol w:w="1275"/>
      </w:tblGrid>
      <w:tr w:rsidR="00F41043" w:rsidRPr="00F41043" w14:paraId="6DD4C6C9" w14:textId="77777777" w:rsidTr="00446A14">
        <w:trPr>
          <w:trHeight w:val="198"/>
          <w:tblHeader/>
        </w:trPr>
        <w:tc>
          <w:tcPr>
            <w:tcW w:w="2573"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bottom"/>
            <w:hideMark/>
          </w:tcPr>
          <w:p w14:paraId="23DF2D0D" w14:textId="77777777" w:rsidR="00F41043" w:rsidRPr="00F41043" w:rsidRDefault="00F41043" w:rsidP="00F41043">
            <w:pPr>
              <w:spacing w:after="0" w:line="240" w:lineRule="auto"/>
              <w:jc w:val="center"/>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4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D01F6B" w14:textId="77777777" w:rsidR="00F41043" w:rsidRPr="00F41043" w:rsidRDefault="00F41043" w:rsidP="00F41043">
            <w:pPr>
              <w:spacing w:after="0" w:line="240" w:lineRule="auto"/>
              <w:jc w:val="center"/>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Saldos Divulgados em 2022</w:t>
            </w:r>
          </w:p>
        </w:tc>
        <w:tc>
          <w:tcPr>
            <w:tcW w:w="1400" w:type="pct"/>
            <w:gridSpan w:val="2"/>
            <w:tcBorders>
              <w:top w:val="single" w:sz="4" w:space="0" w:color="auto"/>
              <w:left w:val="nil"/>
              <w:bottom w:val="single" w:sz="4" w:space="0" w:color="auto"/>
              <w:right w:val="single" w:sz="4" w:space="0" w:color="auto"/>
            </w:tcBorders>
            <w:shd w:val="clear" w:color="auto" w:fill="auto"/>
            <w:noWrap/>
            <w:vAlign w:val="bottom"/>
            <w:hideMark/>
          </w:tcPr>
          <w:p w14:paraId="22522197" w14:textId="77777777" w:rsidR="00F41043" w:rsidRPr="00F41043" w:rsidRDefault="00F41043" w:rsidP="00F41043">
            <w:pPr>
              <w:spacing w:after="0" w:line="240" w:lineRule="auto"/>
              <w:jc w:val="center"/>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Ajustes</w:t>
            </w:r>
          </w:p>
        </w:tc>
        <w:tc>
          <w:tcPr>
            <w:tcW w:w="5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DF6FE7" w14:textId="77777777" w:rsidR="00F41043" w:rsidRPr="00F41043" w:rsidRDefault="00F41043" w:rsidP="00F41043">
            <w:pPr>
              <w:spacing w:after="0" w:line="240" w:lineRule="auto"/>
              <w:jc w:val="center"/>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Saldos Reapresentados em 2022</w:t>
            </w:r>
          </w:p>
        </w:tc>
      </w:tr>
      <w:tr w:rsidR="00F41043" w:rsidRPr="00F41043" w14:paraId="44778460" w14:textId="77777777" w:rsidTr="00446A14">
        <w:trPr>
          <w:trHeight w:val="198"/>
          <w:tblHeader/>
        </w:trPr>
        <w:tc>
          <w:tcPr>
            <w:tcW w:w="2573" w:type="pct"/>
            <w:vMerge/>
            <w:tcBorders>
              <w:top w:val="single" w:sz="4" w:space="0" w:color="auto"/>
              <w:left w:val="single" w:sz="4" w:space="0" w:color="auto"/>
              <w:bottom w:val="single" w:sz="4" w:space="0" w:color="000000"/>
              <w:right w:val="single" w:sz="4" w:space="0" w:color="auto"/>
            </w:tcBorders>
            <w:vAlign w:val="center"/>
            <w:hideMark/>
          </w:tcPr>
          <w:p w14:paraId="16DAED01" w14:textId="77777777" w:rsidR="00F41043" w:rsidRPr="00F41043" w:rsidRDefault="00F41043" w:rsidP="00F41043">
            <w:pPr>
              <w:spacing w:after="0" w:line="240" w:lineRule="auto"/>
              <w:rPr>
                <w:rFonts w:ascii="Arial" w:eastAsia="Times New Roman" w:hAnsi="Arial" w:cs="Arial"/>
                <w:kern w:val="0"/>
                <w:sz w:val="13"/>
                <w:szCs w:val="13"/>
                <w:lang w:eastAsia="pt-BR"/>
                <w14:ligatures w14:val="none"/>
              </w:rPr>
            </w:pPr>
          </w:p>
        </w:tc>
        <w:tc>
          <w:tcPr>
            <w:tcW w:w="498" w:type="pct"/>
            <w:vMerge/>
            <w:tcBorders>
              <w:top w:val="single" w:sz="4" w:space="0" w:color="auto"/>
              <w:left w:val="single" w:sz="4" w:space="0" w:color="auto"/>
              <w:bottom w:val="single" w:sz="4" w:space="0" w:color="auto"/>
              <w:right w:val="single" w:sz="4" w:space="0" w:color="auto"/>
            </w:tcBorders>
            <w:vAlign w:val="center"/>
            <w:hideMark/>
          </w:tcPr>
          <w:p w14:paraId="67C30D10" w14:textId="77777777" w:rsidR="00F41043" w:rsidRPr="00F41043" w:rsidRDefault="00F41043" w:rsidP="00F41043">
            <w:pPr>
              <w:spacing w:after="0" w:line="240" w:lineRule="auto"/>
              <w:rPr>
                <w:rFonts w:ascii="Arial" w:eastAsia="Times New Roman" w:hAnsi="Arial" w:cs="Arial"/>
                <w:b/>
                <w:bCs/>
                <w:kern w:val="0"/>
                <w:sz w:val="13"/>
                <w:szCs w:val="13"/>
                <w:lang w:eastAsia="pt-BR"/>
                <w14:ligatures w14:val="none"/>
              </w:rPr>
            </w:pPr>
          </w:p>
        </w:tc>
        <w:tc>
          <w:tcPr>
            <w:tcW w:w="933" w:type="pct"/>
            <w:tcBorders>
              <w:top w:val="nil"/>
              <w:left w:val="nil"/>
              <w:bottom w:val="single" w:sz="4" w:space="0" w:color="auto"/>
              <w:right w:val="single" w:sz="4" w:space="0" w:color="auto"/>
            </w:tcBorders>
            <w:shd w:val="clear" w:color="auto" w:fill="auto"/>
            <w:vAlign w:val="center"/>
            <w:hideMark/>
          </w:tcPr>
          <w:p w14:paraId="40D90683" w14:textId="77777777" w:rsidR="00F41043" w:rsidRPr="00F41043" w:rsidRDefault="00F41043" w:rsidP="00F41043">
            <w:pPr>
              <w:spacing w:after="0" w:line="240" w:lineRule="auto"/>
              <w:jc w:val="center"/>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Subvenções para Investimentos</w:t>
            </w:r>
          </w:p>
        </w:tc>
        <w:tc>
          <w:tcPr>
            <w:tcW w:w="467" w:type="pct"/>
            <w:tcBorders>
              <w:top w:val="nil"/>
              <w:left w:val="nil"/>
              <w:bottom w:val="single" w:sz="4" w:space="0" w:color="auto"/>
              <w:right w:val="single" w:sz="4" w:space="0" w:color="auto"/>
            </w:tcBorders>
            <w:shd w:val="clear" w:color="auto" w:fill="auto"/>
            <w:vAlign w:val="center"/>
            <w:hideMark/>
          </w:tcPr>
          <w:p w14:paraId="60DBB86A" w14:textId="77777777" w:rsidR="00F41043" w:rsidRPr="00F41043" w:rsidRDefault="00F41043" w:rsidP="00F41043">
            <w:pPr>
              <w:spacing w:after="0" w:line="240" w:lineRule="auto"/>
              <w:jc w:val="center"/>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xml:space="preserve">Juros sobre </w:t>
            </w:r>
            <w:proofErr w:type="spellStart"/>
            <w:r w:rsidRPr="00F41043">
              <w:rPr>
                <w:rFonts w:ascii="Arial" w:eastAsia="Times New Roman" w:hAnsi="Arial" w:cs="Arial"/>
                <w:b/>
                <w:bCs/>
                <w:kern w:val="0"/>
                <w:sz w:val="13"/>
                <w:szCs w:val="13"/>
                <w:lang w:eastAsia="pt-BR"/>
                <w14:ligatures w14:val="none"/>
              </w:rPr>
              <w:t>Afac</w:t>
            </w:r>
            <w:proofErr w:type="spellEnd"/>
          </w:p>
        </w:tc>
        <w:tc>
          <w:tcPr>
            <w:tcW w:w="530" w:type="pct"/>
            <w:vMerge/>
            <w:tcBorders>
              <w:top w:val="single" w:sz="4" w:space="0" w:color="auto"/>
              <w:left w:val="single" w:sz="4" w:space="0" w:color="auto"/>
              <w:bottom w:val="single" w:sz="4" w:space="0" w:color="auto"/>
              <w:right w:val="single" w:sz="4" w:space="0" w:color="auto"/>
            </w:tcBorders>
            <w:vAlign w:val="center"/>
            <w:hideMark/>
          </w:tcPr>
          <w:p w14:paraId="683E98C4" w14:textId="77777777" w:rsidR="00F41043" w:rsidRPr="00F41043" w:rsidRDefault="00F41043" w:rsidP="00F41043">
            <w:pPr>
              <w:spacing w:after="0" w:line="240" w:lineRule="auto"/>
              <w:rPr>
                <w:rFonts w:ascii="Arial" w:eastAsia="Times New Roman" w:hAnsi="Arial" w:cs="Arial"/>
                <w:b/>
                <w:bCs/>
                <w:kern w:val="0"/>
                <w:sz w:val="13"/>
                <w:szCs w:val="13"/>
                <w:lang w:eastAsia="pt-BR"/>
                <w14:ligatures w14:val="none"/>
              </w:rPr>
            </w:pPr>
          </w:p>
        </w:tc>
      </w:tr>
      <w:tr w:rsidR="00F41043" w:rsidRPr="00F41043" w14:paraId="4D865DE5"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vAlign w:val="bottom"/>
            <w:hideMark/>
          </w:tcPr>
          <w:p w14:paraId="381E234D" w14:textId="77777777" w:rsidR="00F41043" w:rsidRPr="00F41043" w:rsidRDefault="00F41043" w:rsidP="00F41043">
            <w:pPr>
              <w:spacing w:after="0" w:line="240" w:lineRule="auto"/>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Fluxos de Caixa das Atividades Operacionais:</w:t>
            </w:r>
          </w:p>
        </w:tc>
        <w:tc>
          <w:tcPr>
            <w:tcW w:w="498" w:type="pct"/>
            <w:tcBorders>
              <w:top w:val="nil"/>
              <w:left w:val="nil"/>
              <w:bottom w:val="single" w:sz="4" w:space="0" w:color="auto"/>
              <w:right w:val="single" w:sz="4" w:space="0" w:color="auto"/>
            </w:tcBorders>
            <w:shd w:val="clear" w:color="auto" w:fill="auto"/>
            <w:noWrap/>
            <w:vAlign w:val="bottom"/>
            <w:hideMark/>
          </w:tcPr>
          <w:p w14:paraId="773D254C" w14:textId="77777777" w:rsidR="00F41043" w:rsidRPr="00F41043" w:rsidRDefault="00F41043" w:rsidP="00F41043">
            <w:pPr>
              <w:spacing w:after="0" w:line="240" w:lineRule="auto"/>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933" w:type="pct"/>
            <w:tcBorders>
              <w:top w:val="nil"/>
              <w:left w:val="nil"/>
              <w:bottom w:val="single" w:sz="4" w:space="0" w:color="auto"/>
              <w:right w:val="single" w:sz="4" w:space="0" w:color="auto"/>
            </w:tcBorders>
            <w:shd w:val="clear" w:color="auto" w:fill="auto"/>
            <w:noWrap/>
            <w:vAlign w:val="bottom"/>
            <w:hideMark/>
          </w:tcPr>
          <w:p w14:paraId="7FCCDD20" w14:textId="77777777" w:rsidR="00F41043" w:rsidRPr="00F41043" w:rsidRDefault="00F41043" w:rsidP="00F41043">
            <w:pPr>
              <w:spacing w:after="0" w:line="240" w:lineRule="auto"/>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467" w:type="pct"/>
            <w:tcBorders>
              <w:top w:val="nil"/>
              <w:left w:val="nil"/>
              <w:bottom w:val="single" w:sz="4" w:space="0" w:color="auto"/>
              <w:right w:val="single" w:sz="4" w:space="0" w:color="auto"/>
            </w:tcBorders>
            <w:shd w:val="clear" w:color="auto" w:fill="auto"/>
            <w:noWrap/>
            <w:vAlign w:val="bottom"/>
            <w:hideMark/>
          </w:tcPr>
          <w:p w14:paraId="714C1307" w14:textId="77777777" w:rsidR="00F41043" w:rsidRPr="00F41043" w:rsidRDefault="00F41043" w:rsidP="00F41043">
            <w:pPr>
              <w:spacing w:after="0" w:line="240" w:lineRule="auto"/>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530" w:type="pct"/>
            <w:tcBorders>
              <w:top w:val="nil"/>
              <w:left w:val="nil"/>
              <w:bottom w:val="single" w:sz="4" w:space="0" w:color="auto"/>
              <w:right w:val="single" w:sz="4" w:space="0" w:color="auto"/>
            </w:tcBorders>
            <w:shd w:val="clear" w:color="auto" w:fill="auto"/>
            <w:noWrap/>
            <w:vAlign w:val="bottom"/>
            <w:hideMark/>
          </w:tcPr>
          <w:p w14:paraId="0E82DDDF" w14:textId="77777777" w:rsidR="00F41043" w:rsidRPr="00F41043" w:rsidRDefault="00F41043" w:rsidP="00F41043">
            <w:pPr>
              <w:spacing w:after="0" w:line="240" w:lineRule="auto"/>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r>
      <w:tr w:rsidR="00F41043" w:rsidRPr="00F41043" w14:paraId="47999FAF"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vAlign w:val="bottom"/>
            <w:hideMark/>
          </w:tcPr>
          <w:p w14:paraId="36CD08A3" w14:textId="77777777" w:rsidR="00F41043" w:rsidRPr="00F41043" w:rsidRDefault="00F41043" w:rsidP="00F41043">
            <w:pPr>
              <w:spacing w:after="0" w:line="240" w:lineRule="auto"/>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Prejuízo antes do Imposto de Renda e Contribuição Social</w:t>
            </w:r>
          </w:p>
        </w:tc>
        <w:tc>
          <w:tcPr>
            <w:tcW w:w="498" w:type="pct"/>
            <w:tcBorders>
              <w:top w:val="nil"/>
              <w:left w:val="nil"/>
              <w:bottom w:val="single" w:sz="4" w:space="0" w:color="auto"/>
              <w:right w:val="single" w:sz="4" w:space="0" w:color="auto"/>
            </w:tcBorders>
            <w:shd w:val="clear" w:color="auto" w:fill="auto"/>
            <w:noWrap/>
            <w:vAlign w:val="bottom"/>
            <w:hideMark/>
          </w:tcPr>
          <w:p w14:paraId="72D12503" w14:textId="77777777" w:rsidR="00F41043" w:rsidRPr="00F41043" w:rsidRDefault="00F41043" w:rsidP="00F41043">
            <w:pPr>
              <w:spacing w:after="0" w:line="240" w:lineRule="auto"/>
              <w:jc w:val="right"/>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xml:space="preserve">           (127.712)</w:t>
            </w:r>
          </w:p>
        </w:tc>
        <w:tc>
          <w:tcPr>
            <w:tcW w:w="933" w:type="pct"/>
            <w:tcBorders>
              <w:top w:val="nil"/>
              <w:left w:val="nil"/>
              <w:bottom w:val="single" w:sz="4" w:space="0" w:color="auto"/>
              <w:right w:val="single" w:sz="4" w:space="0" w:color="auto"/>
            </w:tcBorders>
            <w:shd w:val="clear" w:color="auto" w:fill="auto"/>
            <w:noWrap/>
            <w:vAlign w:val="bottom"/>
            <w:hideMark/>
          </w:tcPr>
          <w:p w14:paraId="5C85CF16" w14:textId="77777777" w:rsidR="00F41043" w:rsidRPr="00F41043" w:rsidRDefault="00F41043" w:rsidP="00F41043">
            <w:pPr>
              <w:spacing w:after="0" w:line="240" w:lineRule="auto"/>
              <w:jc w:val="right"/>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w:t>
            </w:r>
          </w:p>
        </w:tc>
        <w:tc>
          <w:tcPr>
            <w:tcW w:w="467" w:type="pct"/>
            <w:tcBorders>
              <w:top w:val="nil"/>
              <w:left w:val="nil"/>
              <w:bottom w:val="single" w:sz="4" w:space="0" w:color="auto"/>
              <w:right w:val="single" w:sz="4" w:space="0" w:color="auto"/>
            </w:tcBorders>
            <w:shd w:val="clear" w:color="auto" w:fill="auto"/>
            <w:noWrap/>
            <w:vAlign w:val="bottom"/>
            <w:hideMark/>
          </w:tcPr>
          <w:p w14:paraId="14666785" w14:textId="77777777" w:rsidR="00F41043" w:rsidRPr="00F41043" w:rsidRDefault="00F41043" w:rsidP="00F41043">
            <w:pPr>
              <w:spacing w:after="0" w:line="240" w:lineRule="auto"/>
              <w:jc w:val="right"/>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w:t>
            </w:r>
          </w:p>
        </w:tc>
        <w:tc>
          <w:tcPr>
            <w:tcW w:w="530" w:type="pct"/>
            <w:tcBorders>
              <w:top w:val="nil"/>
              <w:left w:val="nil"/>
              <w:bottom w:val="single" w:sz="4" w:space="0" w:color="auto"/>
              <w:right w:val="single" w:sz="4" w:space="0" w:color="auto"/>
            </w:tcBorders>
            <w:shd w:val="clear" w:color="auto" w:fill="auto"/>
            <w:noWrap/>
            <w:vAlign w:val="bottom"/>
            <w:hideMark/>
          </w:tcPr>
          <w:p w14:paraId="379E1BB4" w14:textId="77777777" w:rsidR="00F41043" w:rsidRPr="00F41043" w:rsidRDefault="00F41043" w:rsidP="00F41043">
            <w:pPr>
              <w:spacing w:after="0" w:line="240" w:lineRule="auto"/>
              <w:jc w:val="right"/>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xml:space="preserve">            (168.459)</w:t>
            </w:r>
          </w:p>
        </w:tc>
      </w:tr>
      <w:tr w:rsidR="00F41043" w:rsidRPr="00F41043" w14:paraId="74D59B08"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hideMark/>
          </w:tcPr>
          <w:p w14:paraId="6B8FC780" w14:textId="77777777" w:rsidR="00F41043" w:rsidRPr="00F41043" w:rsidRDefault="00F41043" w:rsidP="00F41043">
            <w:pPr>
              <w:spacing w:after="0" w:line="240" w:lineRule="auto"/>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xml:space="preserve"> Ajustes por: </w:t>
            </w:r>
          </w:p>
        </w:tc>
        <w:tc>
          <w:tcPr>
            <w:tcW w:w="498" w:type="pct"/>
            <w:tcBorders>
              <w:top w:val="nil"/>
              <w:left w:val="nil"/>
              <w:bottom w:val="single" w:sz="4" w:space="0" w:color="auto"/>
              <w:right w:val="single" w:sz="4" w:space="0" w:color="auto"/>
            </w:tcBorders>
            <w:shd w:val="clear" w:color="auto" w:fill="auto"/>
            <w:noWrap/>
            <w:vAlign w:val="bottom"/>
            <w:hideMark/>
          </w:tcPr>
          <w:p w14:paraId="05E56BEB" w14:textId="77777777" w:rsidR="00F41043" w:rsidRPr="00F41043" w:rsidRDefault="00F41043" w:rsidP="00F41043">
            <w:pPr>
              <w:spacing w:after="0" w:line="240" w:lineRule="auto"/>
              <w:jc w:val="right"/>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w:t>
            </w:r>
          </w:p>
        </w:tc>
        <w:tc>
          <w:tcPr>
            <w:tcW w:w="933" w:type="pct"/>
            <w:tcBorders>
              <w:top w:val="nil"/>
              <w:left w:val="nil"/>
              <w:bottom w:val="single" w:sz="4" w:space="0" w:color="auto"/>
              <w:right w:val="single" w:sz="4" w:space="0" w:color="auto"/>
            </w:tcBorders>
            <w:shd w:val="clear" w:color="auto" w:fill="auto"/>
            <w:noWrap/>
            <w:vAlign w:val="bottom"/>
            <w:hideMark/>
          </w:tcPr>
          <w:p w14:paraId="4D69D7EF" w14:textId="77777777" w:rsidR="00F41043" w:rsidRPr="00F41043" w:rsidRDefault="00F41043" w:rsidP="00F41043">
            <w:pPr>
              <w:spacing w:after="0" w:line="240" w:lineRule="auto"/>
              <w:jc w:val="right"/>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w:t>
            </w:r>
          </w:p>
        </w:tc>
        <w:tc>
          <w:tcPr>
            <w:tcW w:w="467" w:type="pct"/>
            <w:tcBorders>
              <w:top w:val="nil"/>
              <w:left w:val="nil"/>
              <w:bottom w:val="single" w:sz="4" w:space="0" w:color="auto"/>
              <w:right w:val="single" w:sz="4" w:space="0" w:color="auto"/>
            </w:tcBorders>
            <w:shd w:val="clear" w:color="auto" w:fill="auto"/>
            <w:noWrap/>
            <w:vAlign w:val="bottom"/>
            <w:hideMark/>
          </w:tcPr>
          <w:p w14:paraId="708DC330" w14:textId="77777777" w:rsidR="00F41043" w:rsidRPr="00F41043" w:rsidRDefault="00F41043" w:rsidP="00F41043">
            <w:pPr>
              <w:spacing w:after="0" w:line="240" w:lineRule="auto"/>
              <w:jc w:val="right"/>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w:t>
            </w:r>
          </w:p>
        </w:tc>
        <w:tc>
          <w:tcPr>
            <w:tcW w:w="530" w:type="pct"/>
            <w:tcBorders>
              <w:top w:val="nil"/>
              <w:left w:val="nil"/>
              <w:bottom w:val="single" w:sz="4" w:space="0" w:color="auto"/>
              <w:right w:val="single" w:sz="4" w:space="0" w:color="auto"/>
            </w:tcBorders>
            <w:shd w:val="clear" w:color="auto" w:fill="auto"/>
            <w:noWrap/>
            <w:vAlign w:val="bottom"/>
            <w:hideMark/>
          </w:tcPr>
          <w:p w14:paraId="098600B3" w14:textId="77777777" w:rsidR="00F41043" w:rsidRPr="00F41043" w:rsidRDefault="00F41043" w:rsidP="00F41043">
            <w:pPr>
              <w:spacing w:after="0" w:line="240" w:lineRule="auto"/>
              <w:jc w:val="right"/>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w:t>
            </w:r>
          </w:p>
        </w:tc>
      </w:tr>
      <w:tr w:rsidR="00F41043" w:rsidRPr="00F41043" w14:paraId="7B30A529"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hideMark/>
          </w:tcPr>
          <w:p w14:paraId="41A9711A" w14:textId="77777777" w:rsidR="00F41043" w:rsidRPr="00F41043" w:rsidRDefault="00F41043" w:rsidP="00F41043">
            <w:pPr>
              <w:spacing w:after="0" w:line="240" w:lineRule="auto"/>
              <w:ind w:firstLineChars="200" w:firstLine="260"/>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Depreciação e Amortização </w:t>
            </w:r>
          </w:p>
        </w:tc>
        <w:tc>
          <w:tcPr>
            <w:tcW w:w="498" w:type="pct"/>
            <w:tcBorders>
              <w:top w:val="nil"/>
              <w:left w:val="nil"/>
              <w:bottom w:val="single" w:sz="4" w:space="0" w:color="auto"/>
              <w:right w:val="single" w:sz="4" w:space="0" w:color="auto"/>
            </w:tcBorders>
            <w:shd w:val="clear" w:color="auto" w:fill="auto"/>
            <w:noWrap/>
            <w:vAlign w:val="bottom"/>
            <w:hideMark/>
          </w:tcPr>
          <w:p w14:paraId="1C64BB34"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242.087 </w:t>
            </w:r>
          </w:p>
        </w:tc>
        <w:tc>
          <w:tcPr>
            <w:tcW w:w="933" w:type="pct"/>
            <w:tcBorders>
              <w:top w:val="nil"/>
              <w:left w:val="nil"/>
              <w:bottom w:val="single" w:sz="4" w:space="0" w:color="auto"/>
              <w:right w:val="single" w:sz="4" w:space="0" w:color="auto"/>
            </w:tcBorders>
            <w:shd w:val="clear" w:color="auto" w:fill="auto"/>
            <w:noWrap/>
            <w:vAlign w:val="bottom"/>
            <w:hideMark/>
          </w:tcPr>
          <w:p w14:paraId="5F6E7BAD"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467" w:type="pct"/>
            <w:tcBorders>
              <w:top w:val="nil"/>
              <w:left w:val="nil"/>
              <w:bottom w:val="single" w:sz="4" w:space="0" w:color="auto"/>
              <w:right w:val="single" w:sz="4" w:space="0" w:color="auto"/>
            </w:tcBorders>
            <w:shd w:val="clear" w:color="auto" w:fill="auto"/>
            <w:noWrap/>
            <w:vAlign w:val="bottom"/>
            <w:hideMark/>
          </w:tcPr>
          <w:p w14:paraId="2C8B881F"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530" w:type="pct"/>
            <w:tcBorders>
              <w:top w:val="nil"/>
              <w:left w:val="nil"/>
              <w:bottom w:val="single" w:sz="4" w:space="0" w:color="auto"/>
              <w:right w:val="single" w:sz="4" w:space="0" w:color="auto"/>
            </w:tcBorders>
            <w:shd w:val="clear" w:color="auto" w:fill="auto"/>
            <w:noWrap/>
            <w:vAlign w:val="bottom"/>
            <w:hideMark/>
          </w:tcPr>
          <w:p w14:paraId="7FF1D2CB"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242.087 </w:t>
            </w:r>
          </w:p>
        </w:tc>
      </w:tr>
      <w:tr w:rsidR="00F41043" w:rsidRPr="00F41043" w14:paraId="0F8834A8"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hideMark/>
          </w:tcPr>
          <w:p w14:paraId="143D19FF" w14:textId="77777777" w:rsidR="00F41043" w:rsidRPr="00F41043" w:rsidRDefault="00F41043" w:rsidP="00F41043">
            <w:pPr>
              <w:spacing w:after="0" w:line="240" w:lineRule="auto"/>
              <w:ind w:firstLineChars="200" w:firstLine="260"/>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Provisão/Rever. para Riscos Prováveis Trabalhistas, Cíveis e Fiscais </w:t>
            </w:r>
          </w:p>
        </w:tc>
        <w:tc>
          <w:tcPr>
            <w:tcW w:w="498" w:type="pct"/>
            <w:tcBorders>
              <w:top w:val="nil"/>
              <w:left w:val="nil"/>
              <w:bottom w:val="single" w:sz="4" w:space="0" w:color="auto"/>
              <w:right w:val="single" w:sz="4" w:space="0" w:color="auto"/>
            </w:tcBorders>
            <w:shd w:val="clear" w:color="auto" w:fill="auto"/>
            <w:noWrap/>
            <w:vAlign w:val="bottom"/>
            <w:hideMark/>
          </w:tcPr>
          <w:p w14:paraId="071B081C"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(3.361)</w:t>
            </w:r>
          </w:p>
        </w:tc>
        <w:tc>
          <w:tcPr>
            <w:tcW w:w="933" w:type="pct"/>
            <w:tcBorders>
              <w:top w:val="nil"/>
              <w:left w:val="nil"/>
              <w:bottom w:val="single" w:sz="4" w:space="0" w:color="auto"/>
              <w:right w:val="single" w:sz="4" w:space="0" w:color="auto"/>
            </w:tcBorders>
            <w:shd w:val="clear" w:color="auto" w:fill="auto"/>
            <w:noWrap/>
            <w:vAlign w:val="bottom"/>
            <w:hideMark/>
          </w:tcPr>
          <w:p w14:paraId="3312BDB0"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467" w:type="pct"/>
            <w:tcBorders>
              <w:top w:val="nil"/>
              <w:left w:val="nil"/>
              <w:bottom w:val="single" w:sz="4" w:space="0" w:color="auto"/>
              <w:right w:val="single" w:sz="4" w:space="0" w:color="auto"/>
            </w:tcBorders>
            <w:shd w:val="clear" w:color="auto" w:fill="auto"/>
            <w:noWrap/>
            <w:vAlign w:val="bottom"/>
            <w:hideMark/>
          </w:tcPr>
          <w:p w14:paraId="7103E685"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530" w:type="pct"/>
            <w:tcBorders>
              <w:top w:val="nil"/>
              <w:left w:val="nil"/>
              <w:bottom w:val="single" w:sz="4" w:space="0" w:color="auto"/>
              <w:right w:val="single" w:sz="4" w:space="0" w:color="auto"/>
            </w:tcBorders>
            <w:shd w:val="clear" w:color="auto" w:fill="auto"/>
            <w:noWrap/>
            <w:vAlign w:val="bottom"/>
            <w:hideMark/>
          </w:tcPr>
          <w:p w14:paraId="3DAF7780"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(3.361)</w:t>
            </w:r>
          </w:p>
        </w:tc>
      </w:tr>
      <w:tr w:rsidR="00F41043" w:rsidRPr="00F41043" w14:paraId="7E747DAB"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hideMark/>
          </w:tcPr>
          <w:p w14:paraId="7758CB9F" w14:textId="77777777" w:rsidR="00F41043" w:rsidRPr="00F41043" w:rsidRDefault="00F41043" w:rsidP="00F41043">
            <w:pPr>
              <w:spacing w:after="0" w:line="240" w:lineRule="auto"/>
              <w:ind w:firstLineChars="200" w:firstLine="260"/>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V. Monetária de Prov. para Riscos Prováveis Trabalhistas, Cíveis e Fiscais </w:t>
            </w:r>
          </w:p>
        </w:tc>
        <w:tc>
          <w:tcPr>
            <w:tcW w:w="498" w:type="pct"/>
            <w:tcBorders>
              <w:top w:val="nil"/>
              <w:left w:val="nil"/>
              <w:bottom w:val="single" w:sz="4" w:space="0" w:color="auto"/>
              <w:right w:val="single" w:sz="4" w:space="0" w:color="auto"/>
            </w:tcBorders>
            <w:shd w:val="clear" w:color="auto" w:fill="auto"/>
            <w:noWrap/>
            <w:vAlign w:val="bottom"/>
            <w:hideMark/>
          </w:tcPr>
          <w:p w14:paraId="2488949D"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7.542 </w:t>
            </w:r>
          </w:p>
        </w:tc>
        <w:tc>
          <w:tcPr>
            <w:tcW w:w="933" w:type="pct"/>
            <w:tcBorders>
              <w:top w:val="nil"/>
              <w:left w:val="nil"/>
              <w:bottom w:val="single" w:sz="4" w:space="0" w:color="auto"/>
              <w:right w:val="single" w:sz="4" w:space="0" w:color="auto"/>
            </w:tcBorders>
            <w:shd w:val="clear" w:color="auto" w:fill="auto"/>
            <w:noWrap/>
            <w:vAlign w:val="bottom"/>
            <w:hideMark/>
          </w:tcPr>
          <w:p w14:paraId="26BA1CA2"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467" w:type="pct"/>
            <w:tcBorders>
              <w:top w:val="nil"/>
              <w:left w:val="nil"/>
              <w:bottom w:val="single" w:sz="4" w:space="0" w:color="auto"/>
              <w:right w:val="single" w:sz="4" w:space="0" w:color="auto"/>
            </w:tcBorders>
            <w:shd w:val="clear" w:color="auto" w:fill="auto"/>
            <w:noWrap/>
            <w:vAlign w:val="bottom"/>
            <w:hideMark/>
          </w:tcPr>
          <w:p w14:paraId="4CE94546"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530" w:type="pct"/>
            <w:tcBorders>
              <w:top w:val="nil"/>
              <w:left w:val="nil"/>
              <w:bottom w:val="single" w:sz="4" w:space="0" w:color="auto"/>
              <w:right w:val="single" w:sz="4" w:space="0" w:color="auto"/>
            </w:tcBorders>
            <w:shd w:val="clear" w:color="auto" w:fill="auto"/>
            <w:noWrap/>
            <w:vAlign w:val="bottom"/>
            <w:hideMark/>
          </w:tcPr>
          <w:p w14:paraId="2C1360C7"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7.542 </w:t>
            </w:r>
          </w:p>
        </w:tc>
      </w:tr>
      <w:tr w:rsidR="00F41043" w:rsidRPr="00F41043" w14:paraId="58B93112"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hideMark/>
          </w:tcPr>
          <w:p w14:paraId="5605FEFB" w14:textId="77777777" w:rsidR="00F41043" w:rsidRPr="00F41043" w:rsidRDefault="00F41043" w:rsidP="00F41043">
            <w:pPr>
              <w:spacing w:after="0" w:line="240" w:lineRule="auto"/>
              <w:ind w:firstLineChars="200" w:firstLine="260"/>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Receita Diferida </w:t>
            </w:r>
          </w:p>
        </w:tc>
        <w:tc>
          <w:tcPr>
            <w:tcW w:w="498" w:type="pct"/>
            <w:tcBorders>
              <w:top w:val="nil"/>
              <w:left w:val="nil"/>
              <w:bottom w:val="single" w:sz="4" w:space="0" w:color="auto"/>
              <w:right w:val="single" w:sz="4" w:space="0" w:color="auto"/>
            </w:tcBorders>
            <w:shd w:val="clear" w:color="auto" w:fill="auto"/>
            <w:noWrap/>
            <w:vAlign w:val="bottom"/>
            <w:hideMark/>
          </w:tcPr>
          <w:p w14:paraId="3F13D8BF"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(106.458)</w:t>
            </w:r>
          </w:p>
        </w:tc>
        <w:tc>
          <w:tcPr>
            <w:tcW w:w="933" w:type="pct"/>
            <w:tcBorders>
              <w:top w:val="nil"/>
              <w:left w:val="nil"/>
              <w:bottom w:val="single" w:sz="4" w:space="0" w:color="auto"/>
              <w:right w:val="single" w:sz="4" w:space="0" w:color="auto"/>
            </w:tcBorders>
            <w:shd w:val="clear" w:color="auto" w:fill="auto"/>
            <w:noWrap/>
            <w:vAlign w:val="bottom"/>
            <w:hideMark/>
          </w:tcPr>
          <w:p w14:paraId="776EF0FF"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467" w:type="pct"/>
            <w:tcBorders>
              <w:top w:val="nil"/>
              <w:left w:val="nil"/>
              <w:bottom w:val="single" w:sz="4" w:space="0" w:color="auto"/>
              <w:right w:val="single" w:sz="4" w:space="0" w:color="auto"/>
            </w:tcBorders>
            <w:shd w:val="clear" w:color="auto" w:fill="auto"/>
            <w:noWrap/>
            <w:vAlign w:val="bottom"/>
            <w:hideMark/>
          </w:tcPr>
          <w:p w14:paraId="76207021"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530" w:type="pct"/>
            <w:tcBorders>
              <w:top w:val="nil"/>
              <w:left w:val="nil"/>
              <w:bottom w:val="single" w:sz="4" w:space="0" w:color="auto"/>
              <w:right w:val="single" w:sz="4" w:space="0" w:color="auto"/>
            </w:tcBorders>
            <w:shd w:val="clear" w:color="auto" w:fill="auto"/>
            <w:noWrap/>
            <w:vAlign w:val="bottom"/>
            <w:hideMark/>
          </w:tcPr>
          <w:p w14:paraId="557A87D1"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(106.458)</w:t>
            </w:r>
          </w:p>
        </w:tc>
      </w:tr>
      <w:tr w:rsidR="00F41043" w:rsidRPr="00F41043" w14:paraId="6C1395A5"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hideMark/>
          </w:tcPr>
          <w:p w14:paraId="539C58B4" w14:textId="77777777" w:rsidR="00F41043" w:rsidRPr="00F41043" w:rsidRDefault="00F41043" w:rsidP="00F41043">
            <w:pPr>
              <w:spacing w:after="0" w:line="240" w:lineRule="auto"/>
              <w:ind w:firstLineChars="200" w:firstLine="260"/>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Equivalência Patrimonial </w:t>
            </w:r>
          </w:p>
        </w:tc>
        <w:tc>
          <w:tcPr>
            <w:tcW w:w="498" w:type="pct"/>
            <w:tcBorders>
              <w:top w:val="nil"/>
              <w:left w:val="nil"/>
              <w:bottom w:val="single" w:sz="4" w:space="0" w:color="auto"/>
              <w:right w:val="single" w:sz="4" w:space="0" w:color="auto"/>
            </w:tcBorders>
            <w:shd w:val="clear" w:color="auto" w:fill="auto"/>
            <w:noWrap/>
            <w:vAlign w:val="bottom"/>
            <w:hideMark/>
          </w:tcPr>
          <w:p w14:paraId="3003D113"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6.500 </w:t>
            </w:r>
          </w:p>
        </w:tc>
        <w:tc>
          <w:tcPr>
            <w:tcW w:w="933" w:type="pct"/>
            <w:tcBorders>
              <w:top w:val="nil"/>
              <w:left w:val="nil"/>
              <w:bottom w:val="single" w:sz="4" w:space="0" w:color="auto"/>
              <w:right w:val="single" w:sz="4" w:space="0" w:color="auto"/>
            </w:tcBorders>
            <w:shd w:val="clear" w:color="auto" w:fill="auto"/>
            <w:noWrap/>
            <w:vAlign w:val="bottom"/>
            <w:hideMark/>
          </w:tcPr>
          <w:p w14:paraId="1D789E05"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467" w:type="pct"/>
            <w:tcBorders>
              <w:top w:val="nil"/>
              <w:left w:val="nil"/>
              <w:bottom w:val="single" w:sz="4" w:space="0" w:color="auto"/>
              <w:right w:val="single" w:sz="4" w:space="0" w:color="auto"/>
            </w:tcBorders>
            <w:shd w:val="clear" w:color="auto" w:fill="auto"/>
            <w:noWrap/>
            <w:vAlign w:val="bottom"/>
            <w:hideMark/>
          </w:tcPr>
          <w:p w14:paraId="3752F0AC"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530" w:type="pct"/>
            <w:tcBorders>
              <w:top w:val="nil"/>
              <w:left w:val="nil"/>
              <w:bottom w:val="single" w:sz="4" w:space="0" w:color="auto"/>
              <w:right w:val="single" w:sz="4" w:space="0" w:color="auto"/>
            </w:tcBorders>
            <w:shd w:val="clear" w:color="auto" w:fill="auto"/>
            <w:noWrap/>
            <w:vAlign w:val="bottom"/>
            <w:hideMark/>
          </w:tcPr>
          <w:p w14:paraId="03E7BB92"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6.500 </w:t>
            </w:r>
          </w:p>
        </w:tc>
      </w:tr>
      <w:tr w:rsidR="00F41043" w:rsidRPr="00F41043" w14:paraId="71C7C583"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hideMark/>
          </w:tcPr>
          <w:p w14:paraId="4660D154" w14:textId="77777777" w:rsidR="00F41043" w:rsidRPr="00F41043" w:rsidRDefault="00F41043" w:rsidP="00F41043">
            <w:pPr>
              <w:spacing w:after="0" w:line="240" w:lineRule="auto"/>
              <w:ind w:firstLineChars="200" w:firstLine="260"/>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lastRenderedPageBreak/>
              <w:t xml:space="preserve"> Encargos Financeiros sobre Adiantamento para Aumento de Capital </w:t>
            </w:r>
          </w:p>
        </w:tc>
        <w:tc>
          <w:tcPr>
            <w:tcW w:w="498" w:type="pct"/>
            <w:tcBorders>
              <w:top w:val="nil"/>
              <w:left w:val="nil"/>
              <w:bottom w:val="single" w:sz="4" w:space="0" w:color="auto"/>
              <w:right w:val="single" w:sz="4" w:space="0" w:color="auto"/>
            </w:tcBorders>
            <w:shd w:val="clear" w:color="auto" w:fill="auto"/>
            <w:noWrap/>
            <w:vAlign w:val="bottom"/>
            <w:hideMark/>
          </w:tcPr>
          <w:p w14:paraId="0B4B5D0F"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175.610 </w:t>
            </w:r>
          </w:p>
        </w:tc>
        <w:tc>
          <w:tcPr>
            <w:tcW w:w="933" w:type="pct"/>
            <w:tcBorders>
              <w:top w:val="nil"/>
              <w:left w:val="nil"/>
              <w:bottom w:val="single" w:sz="4" w:space="0" w:color="auto"/>
              <w:right w:val="single" w:sz="4" w:space="0" w:color="auto"/>
            </w:tcBorders>
            <w:shd w:val="clear" w:color="auto" w:fill="auto"/>
            <w:noWrap/>
            <w:vAlign w:val="bottom"/>
            <w:hideMark/>
          </w:tcPr>
          <w:p w14:paraId="653DBE3F"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467" w:type="pct"/>
            <w:tcBorders>
              <w:top w:val="nil"/>
              <w:left w:val="nil"/>
              <w:bottom w:val="single" w:sz="4" w:space="0" w:color="auto"/>
              <w:right w:val="single" w:sz="4" w:space="0" w:color="auto"/>
            </w:tcBorders>
            <w:shd w:val="clear" w:color="auto" w:fill="auto"/>
            <w:noWrap/>
            <w:vAlign w:val="bottom"/>
            <w:hideMark/>
          </w:tcPr>
          <w:p w14:paraId="0CB860C4"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10.157 </w:t>
            </w:r>
          </w:p>
        </w:tc>
        <w:tc>
          <w:tcPr>
            <w:tcW w:w="530" w:type="pct"/>
            <w:tcBorders>
              <w:top w:val="nil"/>
              <w:left w:val="nil"/>
              <w:bottom w:val="single" w:sz="4" w:space="0" w:color="auto"/>
              <w:right w:val="single" w:sz="4" w:space="0" w:color="auto"/>
            </w:tcBorders>
            <w:shd w:val="clear" w:color="auto" w:fill="auto"/>
            <w:noWrap/>
            <w:vAlign w:val="bottom"/>
            <w:hideMark/>
          </w:tcPr>
          <w:p w14:paraId="1864E592"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185.767 </w:t>
            </w:r>
          </w:p>
        </w:tc>
      </w:tr>
      <w:tr w:rsidR="00F41043" w:rsidRPr="00F41043" w14:paraId="73A640DF"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hideMark/>
          </w:tcPr>
          <w:p w14:paraId="17F12AA1" w14:textId="77777777" w:rsidR="00F41043" w:rsidRPr="00F41043" w:rsidRDefault="00F41043" w:rsidP="00F41043">
            <w:pPr>
              <w:spacing w:after="0" w:line="240" w:lineRule="auto"/>
              <w:ind w:firstLineChars="200" w:firstLine="260"/>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Provisão para Programa de Indenização por Serviços Prestados </w:t>
            </w:r>
          </w:p>
        </w:tc>
        <w:tc>
          <w:tcPr>
            <w:tcW w:w="498" w:type="pct"/>
            <w:tcBorders>
              <w:top w:val="nil"/>
              <w:left w:val="nil"/>
              <w:bottom w:val="single" w:sz="4" w:space="0" w:color="auto"/>
              <w:right w:val="single" w:sz="4" w:space="0" w:color="auto"/>
            </w:tcBorders>
            <w:shd w:val="clear" w:color="auto" w:fill="auto"/>
            <w:noWrap/>
            <w:vAlign w:val="bottom"/>
            <w:hideMark/>
          </w:tcPr>
          <w:p w14:paraId="19FD15AB"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2.332 </w:t>
            </w:r>
          </w:p>
        </w:tc>
        <w:tc>
          <w:tcPr>
            <w:tcW w:w="933" w:type="pct"/>
            <w:tcBorders>
              <w:top w:val="nil"/>
              <w:left w:val="nil"/>
              <w:bottom w:val="single" w:sz="4" w:space="0" w:color="auto"/>
              <w:right w:val="single" w:sz="4" w:space="0" w:color="auto"/>
            </w:tcBorders>
            <w:shd w:val="clear" w:color="auto" w:fill="auto"/>
            <w:noWrap/>
            <w:vAlign w:val="bottom"/>
            <w:hideMark/>
          </w:tcPr>
          <w:p w14:paraId="1D34F6EC"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467" w:type="pct"/>
            <w:tcBorders>
              <w:top w:val="nil"/>
              <w:left w:val="nil"/>
              <w:bottom w:val="single" w:sz="4" w:space="0" w:color="auto"/>
              <w:right w:val="single" w:sz="4" w:space="0" w:color="auto"/>
            </w:tcBorders>
            <w:shd w:val="clear" w:color="auto" w:fill="auto"/>
            <w:noWrap/>
            <w:vAlign w:val="bottom"/>
            <w:hideMark/>
          </w:tcPr>
          <w:p w14:paraId="13F17F3F"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530" w:type="pct"/>
            <w:tcBorders>
              <w:top w:val="nil"/>
              <w:left w:val="nil"/>
              <w:bottom w:val="single" w:sz="4" w:space="0" w:color="auto"/>
              <w:right w:val="single" w:sz="4" w:space="0" w:color="auto"/>
            </w:tcBorders>
            <w:shd w:val="clear" w:color="auto" w:fill="auto"/>
            <w:noWrap/>
            <w:vAlign w:val="bottom"/>
            <w:hideMark/>
          </w:tcPr>
          <w:p w14:paraId="32AB609D"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2.332 </w:t>
            </w:r>
          </w:p>
        </w:tc>
      </w:tr>
      <w:tr w:rsidR="00F41043" w:rsidRPr="00F41043" w14:paraId="4D69ECBB"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hideMark/>
          </w:tcPr>
          <w:p w14:paraId="4C13A30C" w14:textId="77777777" w:rsidR="00F41043" w:rsidRPr="00F41043" w:rsidRDefault="00F41043" w:rsidP="00F41043">
            <w:pPr>
              <w:spacing w:after="0" w:line="240" w:lineRule="auto"/>
              <w:ind w:firstLineChars="200" w:firstLine="260"/>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Variação Monetária/Juros de Credores por Perdas Judiciais </w:t>
            </w:r>
          </w:p>
        </w:tc>
        <w:tc>
          <w:tcPr>
            <w:tcW w:w="498" w:type="pct"/>
            <w:tcBorders>
              <w:top w:val="nil"/>
              <w:left w:val="nil"/>
              <w:bottom w:val="single" w:sz="4" w:space="0" w:color="auto"/>
              <w:right w:val="single" w:sz="4" w:space="0" w:color="auto"/>
            </w:tcBorders>
            <w:shd w:val="clear" w:color="auto" w:fill="auto"/>
            <w:noWrap/>
            <w:vAlign w:val="bottom"/>
            <w:hideMark/>
          </w:tcPr>
          <w:p w14:paraId="2862DCE7"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18.483 </w:t>
            </w:r>
          </w:p>
        </w:tc>
        <w:tc>
          <w:tcPr>
            <w:tcW w:w="933" w:type="pct"/>
            <w:tcBorders>
              <w:top w:val="nil"/>
              <w:left w:val="nil"/>
              <w:bottom w:val="single" w:sz="4" w:space="0" w:color="auto"/>
              <w:right w:val="single" w:sz="4" w:space="0" w:color="auto"/>
            </w:tcBorders>
            <w:shd w:val="clear" w:color="auto" w:fill="auto"/>
            <w:noWrap/>
            <w:vAlign w:val="bottom"/>
            <w:hideMark/>
          </w:tcPr>
          <w:p w14:paraId="73C13FB7"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467" w:type="pct"/>
            <w:tcBorders>
              <w:top w:val="nil"/>
              <w:left w:val="nil"/>
              <w:bottom w:val="single" w:sz="4" w:space="0" w:color="auto"/>
              <w:right w:val="single" w:sz="4" w:space="0" w:color="auto"/>
            </w:tcBorders>
            <w:shd w:val="clear" w:color="auto" w:fill="auto"/>
            <w:noWrap/>
            <w:vAlign w:val="bottom"/>
            <w:hideMark/>
          </w:tcPr>
          <w:p w14:paraId="57B6395A"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530" w:type="pct"/>
            <w:tcBorders>
              <w:top w:val="nil"/>
              <w:left w:val="nil"/>
              <w:bottom w:val="single" w:sz="4" w:space="0" w:color="auto"/>
              <w:right w:val="single" w:sz="4" w:space="0" w:color="auto"/>
            </w:tcBorders>
            <w:shd w:val="clear" w:color="auto" w:fill="auto"/>
            <w:noWrap/>
            <w:vAlign w:val="bottom"/>
            <w:hideMark/>
          </w:tcPr>
          <w:p w14:paraId="04C324DD"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18.483 </w:t>
            </w:r>
          </w:p>
        </w:tc>
      </w:tr>
      <w:tr w:rsidR="00F41043" w:rsidRPr="00F41043" w14:paraId="454A570F"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hideMark/>
          </w:tcPr>
          <w:p w14:paraId="73AB8F7B" w14:textId="77777777" w:rsidR="00F41043" w:rsidRPr="00F41043" w:rsidRDefault="00F41043" w:rsidP="00F41043">
            <w:pPr>
              <w:spacing w:after="0" w:line="240" w:lineRule="auto"/>
              <w:ind w:firstLineChars="200" w:firstLine="260"/>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Variação Monetária de Depósitos Judiciais </w:t>
            </w:r>
          </w:p>
        </w:tc>
        <w:tc>
          <w:tcPr>
            <w:tcW w:w="498" w:type="pct"/>
            <w:tcBorders>
              <w:top w:val="nil"/>
              <w:left w:val="nil"/>
              <w:bottom w:val="single" w:sz="4" w:space="0" w:color="auto"/>
              <w:right w:val="single" w:sz="4" w:space="0" w:color="auto"/>
            </w:tcBorders>
            <w:shd w:val="clear" w:color="auto" w:fill="auto"/>
            <w:noWrap/>
            <w:vAlign w:val="bottom"/>
            <w:hideMark/>
          </w:tcPr>
          <w:p w14:paraId="17AC61D0"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(3.467)</w:t>
            </w:r>
          </w:p>
        </w:tc>
        <w:tc>
          <w:tcPr>
            <w:tcW w:w="933" w:type="pct"/>
            <w:tcBorders>
              <w:top w:val="nil"/>
              <w:left w:val="nil"/>
              <w:bottom w:val="single" w:sz="4" w:space="0" w:color="auto"/>
              <w:right w:val="single" w:sz="4" w:space="0" w:color="auto"/>
            </w:tcBorders>
            <w:shd w:val="clear" w:color="auto" w:fill="auto"/>
            <w:noWrap/>
            <w:vAlign w:val="bottom"/>
            <w:hideMark/>
          </w:tcPr>
          <w:p w14:paraId="4B31336A"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467" w:type="pct"/>
            <w:tcBorders>
              <w:top w:val="nil"/>
              <w:left w:val="nil"/>
              <w:bottom w:val="single" w:sz="4" w:space="0" w:color="auto"/>
              <w:right w:val="single" w:sz="4" w:space="0" w:color="auto"/>
            </w:tcBorders>
            <w:shd w:val="clear" w:color="auto" w:fill="auto"/>
            <w:noWrap/>
            <w:vAlign w:val="bottom"/>
            <w:hideMark/>
          </w:tcPr>
          <w:p w14:paraId="398E54F5"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530" w:type="pct"/>
            <w:tcBorders>
              <w:top w:val="nil"/>
              <w:left w:val="nil"/>
              <w:bottom w:val="single" w:sz="4" w:space="0" w:color="auto"/>
              <w:right w:val="single" w:sz="4" w:space="0" w:color="auto"/>
            </w:tcBorders>
            <w:shd w:val="clear" w:color="auto" w:fill="auto"/>
            <w:noWrap/>
            <w:vAlign w:val="bottom"/>
            <w:hideMark/>
          </w:tcPr>
          <w:p w14:paraId="245E009D"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(3.467)</w:t>
            </w:r>
          </w:p>
        </w:tc>
      </w:tr>
      <w:tr w:rsidR="00F41043" w:rsidRPr="00F41043" w14:paraId="378E29E3"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hideMark/>
          </w:tcPr>
          <w:p w14:paraId="4FFAB3FD" w14:textId="77777777" w:rsidR="00F41043" w:rsidRPr="00F41043" w:rsidRDefault="00F41043" w:rsidP="00F41043">
            <w:pPr>
              <w:spacing w:after="0" w:line="240" w:lineRule="auto"/>
              <w:ind w:firstLineChars="200" w:firstLine="260"/>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Despesas Financeiras - Juros a Apropriar CPC (R</w:t>
            </w:r>
            <w:proofErr w:type="gramStart"/>
            <w:r w:rsidRPr="00F41043">
              <w:rPr>
                <w:rFonts w:ascii="Arial" w:eastAsia="Times New Roman" w:hAnsi="Arial" w:cs="Arial"/>
                <w:kern w:val="0"/>
                <w:sz w:val="13"/>
                <w:szCs w:val="13"/>
                <w:lang w:eastAsia="pt-BR"/>
                <w14:ligatures w14:val="none"/>
              </w:rPr>
              <w:t>2)/</w:t>
            </w:r>
            <w:proofErr w:type="gramEnd"/>
            <w:r w:rsidRPr="00F41043">
              <w:rPr>
                <w:rFonts w:ascii="Arial" w:eastAsia="Times New Roman" w:hAnsi="Arial" w:cs="Arial"/>
                <w:kern w:val="0"/>
                <w:sz w:val="13"/>
                <w:szCs w:val="13"/>
                <w:lang w:eastAsia="pt-BR"/>
                <w14:ligatures w14:val="none"/>
              </w:rPr>
              <w:t xml:space="preserve">IFRS 16 </w:t>
            </w:r>
          </w:p>
        </w:tc>
        <w:tc>
          <w:tcPr>
            <w:tcW w:w="498" w:type="pct"/>
            <w:tcBorders>
              <w:top w:val="nil"/>
              <w:left w:val="nil"/>
              <w:bottom w:val="single" w:sz="4" w:space="0" w:color="auto"/>
              <w:right w:val="single" w:sz="4" w:space="0" w:color="auto"/>
            </w:tcBorders>
            <w:shd w:val="clear" w:color="auto" w:fill="auto"/>
            <w:noWrap/>
            <w:vAlign w:val="bottom"/>
            <w:hideMark/>
          </w:tcPr>
          <w:p w14:paraId="5FD7CD12"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939 </w:t>
            </w:r>
          </w:p>
        </w:tc>
        <w:tc>
          <w:tcPr>
            <w:tcW w:w="933" w:type="pct"/>
            <w:tcBorders>
              <w:top w:val="nil"/>
              <w:left w:val="nil"/>
              <w:bottom w:val="single" w:sz="4" w:space="0" w:color="auto"/>
              <w:right w:val="single" w:sz="4" w:space="0" w:color="auto"/>
            </w:tcBorders>
            <w:shd w:val="clear" w:color="auto" w:fill="auto"/>
            <w:noWrap/>
            <w:vAlign w:val="bottom"/>
            <w:hideMark/>
          </w:tcPr>
          <w:p w14:paraId="74E31569"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467" w:type="pct"/>
            <w:tcBorders>
              <w:top w:val="nil"/>
              <w:left w:val="nil"/>
              <w:bottom w:val="single" w:sz="4" w:space="0" w:color="auto"/>
              <w:right w:val="single" w:sz="4" w:space="0" w:color="auto"/>
            </w:tcBorders>
            <w:shd w:val="clear" w:color="auto" w:fill="auto"/>
            <w:noWrap/>
            <w:vAlign w:val="bottom"/>
            <w:hideMark/>
          </w:tcPr>
          <w:p w14:paraId="46B9503C"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530" w:type="pct"/>
            <w:tcBorders>
              <w:top w:val="nil"/>
              <w:left w:val="nil"/>
              <w:bottom w:val="single" w:sz="4" w:space="0" w:color="auto"/>
              <w:right w:val="single" w:sz="4" w:space="0" w:color="auto"/>
            </w:tcBorders>
            <w:shd w:val="clear" w:color="auto" w:fill="auto"/>
            <w:noWrap/>
            <w:vAlign w:val="bottom"/>
            <w:hideMark/>
          </w:tcPr>
          <w:p w14:paraId="4E47E7A3"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939 </w:t>
            </w:r>
          </w:p>
        </w:tc>
      </w:tr>
      <w:tr w:rsidR="00F41043" w:rsidRPr="00F41043" w14:paraId="62D17ADA"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hideMark/>
          </w:tcPr>
          <w:p w14:paraId="63E9C2DA" w14:textId="77777777" w:rsidR="00F41043" w:rsidRPr="00F41043" w:rsidRDefault="00F41043" w:rsidP="00F41043">
            <w:pPr>
              <w:spacing w:after="0" w:line="240" w:lineRule="auto"/>
              <w:ind w:firstLineChars="200" w:firstLine="260"/>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Apropriação de Juros - Empréstimos e Financiamentos </w:t>
            </w:r>
          </w:p>
        </w:tc>
        <w:tc>
          <w:tcPr>
            <w:tcW w:w="498" w:type="pct"/>
            <w:tcBorders>
              <w:top w:val="nil"/>
              <w:left w:val="nil"/>
              <w:bottom w:val="single" w:sz="4" w:space="0" w:color="auto"/>
              <w:right w:val="single" w:sz="4" w:space="0" w:color="auto"/>
            </w:tcBorders>
            <w:shd w:val="clear" w:color="auto" w:fill="auto"/>
            <w:noWrap/>
            <w:vAlign w:val="bottom"/>
            <w:hideMark/>
          </w:tcPr>
          <w:p w14:paraId="19E519C9"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6.708 </w:t>
            </w:r>
          </w:p>
        </w:tc>
        <w:tc>
          <w:tcPr>
            <w:tcW w:w="933" w:type="pct"/>
            <w:tcBorders>
              <w:top w:val="nil"/>
              <w:left w:val="nil"/>
              <w:bottom w:val="single" w:sz="4" w:space="0" w:color="auto"/>
              <w:right w:val="single" w:sz="4" w:space="0" w:color="auto"/>
            </w:tcBorders>
            <w:shd w:val="clear" w:color="auto" w:fill="auto"/>
            <w:noWrap/>
            <w:vAlign w:val="bottom"/>
            <w:hideMark/>
          </w:tcPr>
          <w:p w14:paraId="051AFFC7"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467" w:type="pct"/>
            <w:tcBorders>
              <w:top w:val="nil"/>
              <w:left w:val="nil"/>
              <w:bottom w:val="single" w:sz="4" w:space="0" w:color="auto"/>
              <w:right w:val="single" w:sz="4" w:space="0" w:color="auto"/>
            </w:tcBorders>
            <w:shd w:val="clear" w:color="auto" w:fill="auto"/>
            <w:noWrap/>
            <w:vAlign w:val="bottom"/>
            <w:hideMark/>
          </w:tcPr>
          <w:p w14:paraId="77D31AE7"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530" w:type="pct"/>
            <w:tcBorders>
              <w:top w:val="nil"/>
              <w:left w:val="nil"/>
              <w:bottom w:val="single" w:sz="4" w:space="0" w:color="auto"/>
              <w:right w:val="single" w:sz="4" w:space="0" w:color="auto"/>
            </w:tcBorders>
            <w:shd w:val="clear" w:color="auto" w:fill="auto"/>
            <w:noWrap/>
            <w:vAlign w:val="bottom"/>
            <w:hideMark/>
          </w:tcPr>
          <w:p w14:paraId="78BC1729"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6.708 </w:t>
            </w:r>
          </w:p>
        </w:tc>
      </w:tr>
      <w:tr w:rsidR="00F41043" w:rsidRPr="00F41043" w14:paraId="263B79F4"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hideMark/>
          </w:tcPr>
          <w:p w14:paraId="1962D9E2" w14:textId="77777777" w:rsidR="00F41043" w:rsidRPr="00F41043" w:rsidRDefault="00F41043" w:rsidP="00F41043">
            <w:pPr>
              <w:spacing w:after="0" w:line="240" w:lineRule="auto"/>
              <w:ind w:firstLineChars="200" w:firstLine="260"/>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Perdas Estimadas com Créditos de Liquidação Duvidosa </w:t>
            </w:r>
          </w:p>
        </w:tc>
        <w:tc>
          <w:tcPr>
            <w:tcW w:w="498" w:type="pct"/>
            <w:tcBorders>
              <w:top w:val="nil"/>
              <w:left w:val="nil"/>
              <w:bottom w:val="single" w:sz="4" w:space="0" w:color="auto"/>
              <w:right w:val="single" w:sz="4" w:space="0" w:color="auto"/>
            </w:tcBorders>
            <w:shd w:val="clear" w:color="auto" w:fill="auto"/>
            <w:noWrap/>
            <w:vAlign w:val="bottom"/>
            <w:hideMark/>
          </w:tcPr>
          <w:p w14:paraId="004D8108"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(1.042)</w:t>
            </w:r>
          </w:p>
        </w:tc>
        <w:tc>
          <w:tcPr>
            <w:tcW w:w="933" w:type="pct"/>
            <w:tcBorders>
              <w:top w:val="nil"/>
              <w:left w:val="nil"/>
              <w:bottom w:val="single" w:sz="4" w:space="0" w:color="auto"/>
              <w:right w:val="single" w:sz="4" w:space="0" w:color="auto"/>
            </w:tcBorders>
            <w:shd w:val="clear" w:color="auto" w:fill="auto"/>
            <w:noWrap/>
            <w:vAlign w:val="bottom"/>
            <w:hideMark/>
          </w:tcPr>
          <w:p w14:paraId="385BBFC9"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467" w:type="pct"/>
            <w:tcBorders>
              <w:top w:val="nil"/>
              <w:left w:val="nil"/>
              <w:bottom w:val="single" w:sz="4" w:space="0" w:color="auto"/>
              <w:right w:val="single" w:sz="4" w:space="0" w:color="auto"/>
            </w:tcBorders>
            <w:shd w:val="clear" w:color="auto" w:fill="auto"/>
            <w:noWrap/>
            <w:vAlign w:val="bottom"/>
            <w:hideMark/>
          </w:tcPr>
          <w:p w14:paraId="32D95E7C"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530" w:type="pct"/>
            <w:tcBorders>
              <w:top w:val="nil"/>
              <w:left w:val="nil"/>
              <w:bottom w:val="single" w:sz="4" w:space="0" w:color="auto"/>
              <w:right w:val="single" w:sz="4" w:space="0" w:color="auto"/>
            </w:tcBorders>
            <w:shd w:val="clear" w:color="auto" w:fill="auto"/>
            <w:noWrap/>
            <w:vAlign w:val="bottom"/>
            <w:hideMark/>
          </w:tcPr>
          <w:p w14:paraId="580A8274"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(1.042)</w:t>
            </w:r>
          </w:p>
        </w:tc>
      </w:tr>
      <w:tr w:rsidR="00F41043" w:rsidRPr="00F41043" w14:paraId="05A2BE3F"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hideMark/>
          </w:tcPr>
          <w:p w14:paraId="52C24900" w14:textId="77777777" w:rsidR="00F41043" w:rsidRPr="00F41043" w:rsidRDefault="00F41043" w:rsidP="00F41043">
            <w:pPr>
              <w:spacing w:after="0" w:line="240" w:lineRule="auto"/>
              <w:ind w:firstLineChars="200" w:firstLine="260"/>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Dividendos/Juros sobre Capital Próprio </w:t>
            </w:r>
          </w:p>
        </w:tc>
        <w:tc>
          <w:tcPr>
            <w:tcW w:w="498" w:type="pct"/>
            <w:tcBorders>
              <w:top w:val="nil"/>
              <w:left w:val="nil"/>
              <w:bottom w:val="single" w:sz="4" w:space="0" w:color="auto"/>
              <w:right w:val="single" w:sz="4" w:space="0" w:color="auto"/>
            </w:tcBorders>
            <w:shd w:val="clear" w:color="auto" w:fill="auto"/>
            <w:noWrap/>
            <w:vAlign w:val="bottom"/>
            <w:hideMark/>
          </w:tcPr>
          <w:p w14:paraId="02776A28"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(63)</w:t>
            </w:r>
          </w:p>
        </w:tc>
        <w:tc>
          <w:tcPr>
            <w:tcW w:w="933" w:type="pct"/>
            <w:tcBorders>
              <w:top w:val="nil"/>
              <w:left w:val="nil"/>
              <w:bottom w:val="single" w:sz="4" w:space="0" w:color="auto"/>
              <w:right w:val="single" w:sz="4" w:space="0" w:color="auto"/>
            </w:tcBorders>
            <w:shd w:val="clear" w:color="auto" w:fill="auto"/>
            <w:noWrap/>
            <w:vAlign w:val="bottom"/>
            <w:hideMark/>
          </w:tcPr>
          <w:p w14:paraId="3A303C40"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467" w:type="pct"/>
            <w:tcBorders>
              <w:top w:val="nil"/>
              <w:left w:val="nil"/>
              <w:bottom w:val="single" w:sz="4" w:space="0" w:color="auto"/>
              <w:right w:val="single" w:sz="4" w:space="0" w:color="auto"/>
            </w:tcBorders>
            <w:shd w:val="clear" w:color="auto" w:fill="auto"/>
            <w:noWrap/>
            <w:vAlign w:val="bottom"/>
            <w:hideMark/>
          </w:tcPr>
          <w:p w14:paraId="6784342C"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530" w:type="pct"/>
            <w:tcBorders>
              <w:top w:val="nil"/>
              <w:left w:val="nil"/>
              <w:bottom w:val="single" w:sz="4" w:space="0" w:color="auto"/>
              <w:right w:val="single" w:sz="4" w:space="0" w:color="auto"/>
            </w:tcBorders>
            <w:shd w:val="clear" w:color="auto" w:fill="auto"/>
            <w:noWrap/>
            <w:vAlign w:val="bottom"/>
            <w:hideMark/>
          </w:tcPr>
          <w:p w14:paraId="55D2736B"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(63)</w:t>
            </w:r>
          </w:p>
        </w:tc>
      </w:tr>
      <w:tr w:rsidR="00F41043" w:rsidRPr="00F41043" w14:paraId="52600536"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vAlign w:val="bottom"/>
            <w:hideMark/>
          </w:tcPr>
          <w:p w14:paraId="4F69195A" w14:textId="77777777" w:rsidR="00F41043" w:rsidRPr="00F41043" w:rsidRDefault="00F41043" w:rsidP="00F41043">
            <w:pPr>
              <w:spacing w:after="0" w:line="240" w:lineRule="auto"/>
              <w:ind w:firstLineChars="200" w:firstLine="260"/>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Baixa de Ativo Imobilizado</w:t>
            </w:r>
          </w:p>
        </w:tc>
        <w:tc>
          <w:tcPr>
            <w:tcW w:w="498" w:type="pct"/>
            <w:tcBorders>
              <w:top w:val="nil"/>
              <w:left w:val="nil"/>
              <w:bottom w:val="single" w:sz="4" w:space="0" w:color="auto"/>
              <w:right w:val="single" w:sz="4" w:space="0" w:color="auto"/>
            </w:tcBorders>
            <w:shd w:val="clear" w:color="auto" w:fill="auto"/>
            <w:noWrap/>
            <w:vAlign w:val="bottom"/>
            <w:hideMark/>
          </w:tcPr>
          <w:p w14:paraId="0DFE80D1"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16.643 </w:t>
            </w:r>
          </w:p>
        </w:tc>
        <w:tc>
          <w:tcPr>
            <w:tcW w:w="933" w:type="pct"/>
            <w:tcBorders>
              <w:top w:val="nil"/>
              <w:left w:val="nil"/>
              <w:bottom w:val="single" w:sz="4" w:space="0" w:color="auto"/>
              <w:right w:val="single" w:sz="4" w:space="0" w:color="auto"/>
            </w:tcBorders>
            <w:shd w:val="clear" w:color="auto" w:fill="auto"/>
            <w:noWrap/>
            <w:vAlign w:val="bottom"/>
            <w:hideMark/>
          </w:tcPr>
          <w:p w14:paraId="77A093B6"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467" w:type="pct"/>
            <w:tcBorders>
              <w:top w:val="nil"/>
              <w:left w:val="nil"/>
              <w:bottom w:val="single" w:sz="4" w:space="0" w:color="auto"/>
              <w:right w:val="single" w:sz="4" w:space="0" w:color="auto"/>
            </w:tcBorders>
            <w:shd w:val="clear" w:color="auto" w:fill="auto"/>
            <w:noWrap/>
            <w:vAlign w:val="bottom"/>
            <w:hideMark/>
          </w:tcPr>
          <w:p w14:paraId="664F9963"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530" w:type="pct"/>
            <w:tcBorders>
              <w:top w:val="nil"/>
              <w:left w:val="nil"/>
              <w:bottom w:val="single" w:sz="4" w:space="0" w:color="auto"/>
              <w:right w:val="single" w:sz="4" w:space="0" w:color="auto"/>
            </w:tcBorders>
            <w:shd w:val="clear" w:color="auto" w:fill="auto"/>
            <w:noWrap/>
            <w:vAlign w:val="bottom"/>
            <w:hideMark/>
          </w:tcPr>
          <w:p w14:paraId="16BC56F0"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16.643 </w:t>
            </w:r>
          </w:p>
        </w:tc>
      </w:tr>
      <w:tr w:rsidR="00F41043" w:rsidRPr="00F41043" w14:paraId="2A6EDBB2"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vAlign w:val="bottom"/>
            <w:hideMark/>
          </w:tcPr>
          <w:p w14:paraId="48B4C228" w14:textId="77777777" w:rsidR="00F41043" w:rsidRPr="00F41043" w:rsidRDefault="00F41043" w:rsidP="00F41043">
            <w:pPr>
              <w:spacing w:after="0" w:line="240" w:lineRule="auto"/>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xml:space="preserve">          Total</w:t>
            </w:r>
          </w:p>
        </w:tc>
        <w:tc>
          <w:tcPr>
            <w:tcW w:w="498" w:type="pct"/>
            <w:tcBorders>
              <w:top w:val="nil"/>
              <w:left w:val="nil"/>
              <w:bottom w:val="single" w:sz="4" w:space="0" w:color="auto"/>
              <w:right w:val="single" w:sz="4" w:space="0" w:color="auto"/>
            </w:tcBorders>
            <w:shd w:val="clear" w:color="auto" w:fill="auto"/>
            <w:noWrap/>
            <w:vAlign w:val="bottom"/>
            <w:hideMark/>
          </w:tcPr>
          <w:p w14:paraId="598954B1" w14:textId="77777777" w:rsidR="00F41043" w:rsidRPr="00F41043" w:rsidRDefault="00F41043" w:rsidP="00F41043">
            <w:pPr>
              <w:spacing w:after="0" w:line="240" w:lineRule="auto"/>
              <w:jc w:val="right"/>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xml:space="preserve">                362.453 </w:t>
            </w:r>
          </w:p>
        </w:tc>
        <w:tc>
          <w:tcPr>
            <w:tcW w:w="933" w:type="pct"/>
            <w:tcBorders>
              <w:top w:val="nil"/>
              <w:left w:val="nil"/>
              <w:bottom w:val="single" w:sz="4" w:space="0" w:color="auto"/>
              <w:right w:val="single" w:sz="4" w:space="0" w:color="auto"/>
            </w:tcBorders>
            <w:shd w:val="clear" w:color="auto" w:fill="auto"/>
            <w:noWrap/>
            <w:vAlign w:val="bottom"/>
            <w:hideMark/>
          </w:tcPr>
          <w:p w14:paraId="0482F42E" w14:textId="77777777" w:rsidR="00F41043" w:rsidRPr="00F41043" w:rsidRDefault="00F41043" w:rsidP="00F41043">
            <w:pPr>
              <w:spacing w:after="0" w:line="240" w:lineRule="auto"/>
              <w:jc w:val="right"/>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xml:space="preserve">                        -  </w:t>
            </w:r>
          </w:p>
        </w:tc>
        <w:tc>
          <w:tcPr>
            <w:tcW w:w="467" w:type="pct"/>
            <w:tcBorders>
              <w:top w:val="nil"/>
              <w:left w:val="nil"/>
              <w:bottom w:val="single" w:sz="4" w:space="0" w:color="auto"/>
              <w:right w:val="single" w:sz="4" w:space="0" w:color="auto"/>
            </w:tcBorders>
            <w:shd w:val="clear" w:color="auto" w:fill="auto"/>
            <w:noWrap/>
            <w:vAlign w:val="bottom"/>
            <w:hideMark/>
          </w:tcPr>
          <w:p w14:paraId="2EDE2F13" w14:textId="77777777" w:rsidR="00F41043" w:rsidRPr="00F41043" w:rsidRDefault="00F41043" w:rsidP="00F41043">
            <w:pPr>
              <w:spacing w:after="0" w:line="240" w:lineRule="auto"/>
              <w:jc w:val="right"/>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xml:space="preserve">                10.157 </w:t>
            </w:r>
          </w:p>
        </w:tc>
        <w:tc>
          <w:tcPr>
            <w:tcW w:w="530" w:type="pct"/>
            <w:tcBorders>
              <w:top w:val="nil"/>
              <w:left w:val="nil"/>
              <w:bottom w:val="single" w:sz="4" w:space="0" w:color="auto"/>
              <w:right w:val="single" w:sz="4" w:space="0" w:color="auto"/>
            </w:tcBorders>
            <w:shd w:val="clear" w:color="auto" w:fill="auto"/>
            <w:noWrap/>
            <w:vAlign w:val="bottom"/>
            <w:hideMark/>
          </w:tcPr>
          <w:p w14:paraId="1CC0C5BE" w14:textId="77777777" w:rsidR="00F41043" w:rsidRPr="00F41043" w:rsidRDefault="00F41043" w:rsidP="00F41043">
            <w:pPr>
              <w:spacing w:after="0" w:line="240" w:lineRule="auto"/>
              <w:jc w:val="right"/>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xml:space="preserve">                  372.610 </w:t>
            </w:r>
          </w:p>
        </w:tc>
      </w:tr>
      <w:tr w:rsidR="00F41043" w:rsidRPr="00F41043" w14:paraId="7FC607FD"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vAlign w:val="bottom"/>
            <w:hideMark/>
          </w:tcPr>
          <w:p w14:paraId="79EF150D" w14:textId="77777777" w:rsidR="00F41043" w:rsidRPr="00F41043" w:rsidRDefault="00F41043" w:rsidP="00F41043">
            <w:pPr>
              <w:spacing w:after="0" w:line="240" w:lineRule="auto"/>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Mutações Patrimoniais:</w:t>
            </w:r>
          </w:p>
        </w:tc>
        <w:tc>
          <w:tcPr>
            <w:tcW w:w="498" w:type="pct"/>
            <w:tcBorders>
              <w:top w:val="nil"/>
              <w:left w:val="nil"/>
              <w:bottom w:val="single" w:sz="4" w:space="0" w:color="auto"/>
              <w:right w:val="single" w:sz="4" w:space="0" w:color="auto"/>
            </w:tcBorders>
            <w:shd w:val="clear" w:color="auto" w:fill="auto"/>
            <w:noWrap/>
            <w:vAlign w:val="bottom"/>
            <w:hideMark/>
          </w:tcPr>
          <w:p w14:paraId="6407884F"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933" w:type="pct"/>
            <w:tcBorders>
              <w:top w:val="nil"/>
              <w:left w:val="nil"/>
              <w:bottom w:val="single" w:sz="4" w:space="0" w:color="auto"/>
              <w:right w:val="single" w:sz="4" w:space="0" w:color="auto"/>
            </w:tcBorders>
            <w:shd w:val="clear" w:color="auto" w:fill="auto"/>
            <w:noWrap/>
            <w:vAlign w:val="bottom"/>
            <w:hideMark/>
          </w:tcPr>
          <w:p w14:paraId="100530D1"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467" w:type="pct"/>
            <w:tcBorders>
              <w:top w:val="nil"/>
              <w:left w:val="nil"/>
              <w:bottom w:val="single" w:sz="4" w:space="0" w:color="auto"/>
              <w:right w:val="single" w:sz="4" w:space="0" w:color="auto"/>
            </w:tcBorders>
            <w:shd w:val="clear" w:color="auto" w:fill="auto"/>
            <w:noWrap/>
            <w:vAlign w:val="bottom"/>
            <w:hideMark/>
          </w:tcPr>
          <w:p w14:paraId="322E8DE7"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530" w:type="pct"/>
            <w:tcBorders>
              <w:top w:val="nil"/>
              <w:left w:val="nil"/>
              <w:bottom w:val="single" w:sz="4" w:space="0" w:color="auto"/>
              <w:right w:val="single" w:sz="4" w:space="0" w:color="auto"/>
            </w:tcBorders>
            <w:shd w:val="clear" w:color="auto" w:fill="auto"/>
            <w:noWrap/>
            <w:vAlign w:val="bottom"/>
            <w:hideMark/>
          </w:tcPr>
          <w:p w14:paraId="3F06B7CD"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r>
      <w:tr w:rsidR="00F41043" w:rsidRPr="00F41043" w14:paraId="22B731AA"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hideMark/>
          </w:tcPr>
          <w:p w14:paraId="6B2D70EA" w14:textId="77777777" w:rsidR="00F41043" w:rsidRPr="00F41043" w:rsidRDefault="00F41043" w:rsidP="00F41043">
            <w:pPr>
              <w:spacing w:after="0" w:line="240" w:lineRule="auto"/>
              <w:ind w:firstLineChars="200" w:firstLine="260"/>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Contas a Receber de Clientes </w:t>
            </w:r>
          </w:p>
        </w:tc>
        <w:tc>
          <w:tcPr>
            <w:tcW w:w="498" w:type="pct"/>
            <w:tcBorders>
              <w:top w:val="nil"/>
              <w:left w:val="nil"/>
              <w:bottom w:val="single" w:sz="4" w:space="0" w:color="auto"/>
              <w:right w:val="single" w:sz="4" w:space="0" w:color="auto"/>
            </w:tcBorders>
            <w:shd w:val="clear" w:color="auto" w:fill="auto"/>
            <w:noWrap/>
            <w:vAlign w:val="bottom"/>
            <w:hideMark/>
          </w:tcPr>
          <w:p w14:paraId="4951B286"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(18.390)</w:t>
            </w:r>
          </w:p>
        </w:tc>
        <w:tc>
          <w:tcPr>
            <w:tcW w:w="933" w:type="pct"/>
            <w:tcBorders>
              <w:top w:val="nil"/>
              <w:left w:val="nil"/>
              <w:bottom w:val="single" w:sz="4" w:space="0" w:color="auto"/>
              <w:right w:val="single" w:sz="4" w:space="0" w:color="auto"/>
            </w:tcBorders>
            <w:shd w:val="clear" w:color="auto" w:fill="auto"/>
            <w:noWrap/>
            <w:vAlign w:val="bottom"/>
            <w:hideMark/>
          </w:tcPr>
          <w:p w14:paraId="5E3A9FB6"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467" w:type="pct"/>
            <w:tcBorders>
              <w:top w:val="nil"/>
              <w:left w:val="nil"/>
              <w:bottom w:val="single" w:sz="4" w:space="0" w:color="auto"/>
              <w:right w:val="single" w:sz="4" w:space="0" w:color="auto"/>
            </w:tcBorders>
            <w:shd w:val="clear" w:color="auto" w:fill="auto"/>
            <w:noWrap/>
            <w:vAlign w:val="bottom"/>
            <w:hideMark/>
          </w:tcPr>
          <w:p w14:paraId="0A0DEB94"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530" w:type="pct"/>
            <w:tcBorders>
              <w:top w:val="nil"/>
              <w:left w:val="nil"/>
              <w:bottom w:val="single" w:sz="4" w:space="0" w:color="auto"/>
              <w:right w:val="single" w:sz="4" w:space="0" w:color="auto"/>
            </w:tcBorders>
            <w:shd w:val="clear" w:color="auto" w:fill="auto"/>
            <w:noWrap/>
            <w:vAlign w:val="bottom"/>
            <w:hideMark/>
          </w:tcPr>
          <w:p w14:paraId="531333CD"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(18.390)</w:t>
            </w:r>
          </w:p>
        </w:tc>
      </w:tr>
      <w:tr w:rsidR="00F41043" w:rsidRPr="00F41043" w14:paraId="7C2D7341"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hideMark/>
          </w:tcPr>
          <w:p w14:paraId="68F919B4" w14:textId="77777777" w:rsidR="00F41043" w:rsidRPr="00F41043" w:rsidRDefault="00F41043" w:rsidP="00F41043">
            <w:pPr>
              <w:spacing w:after="0" w:line="240" w:lineRule="auto"/>
              <w:ind w:firstLineChars="200" w:firstLine="260"/>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Tributos a Recuperar </w:t>
            </w:r>
          </w:p>
        </w:tc>
        <w:tc>
          <w:tcPr>
            <w:tcW w:w="498" w:type="pct"/>
            <w:tcBorders>
              <w:top w:val="nil"/>
              <w:left w:val="nil"/>
              <w:bottom w:val="single" w:sz="4" w:space="0" w:color="auto"/>
              <w:right w:val="single" w:sz="4" w:space="0" w:color="auto"/>
            </w:tcBorders>
            <w:shd w:val="clear" w:color="auto" w:fill="auto"/>
            <w:noWrap/>
            <w:vAlign w:val="bottom"/>
            <w:hideMark/>
          </w:tcPr>
          <w:p w14:paraId="375BEB27"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(28.276)</w:t>
            </w:r>
          </w:p>
        </w:tc>
        <w:tc>
          <w:tcPr>
            <w:tcW w:w="933" w:type="pct"/>
            <w:tcBorders>
              <w:top w:val="nil"/>
              <w:left w:val="nil"/>
              <w:bottom w:val="single" w:sz="4" w:space="0" w:color="auto"/>
              <w:right w:val="single" w:sz="4" w:space="0" w:color="auto"/>
            </w:tcBorders>
            <w:shd w:val="clear" w:color="auto" w:fill="auto"/>
            <w:noWrap/>
            <w:vAlign w:val="bottom"/>
            <w:hideMark/>
          </w:tcPr>
          <w:p w14:paraId="5C590C0F"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467" w:type="pct"/>
            <w:tcBorders>
              <w:top w:val="nil"/>
              <w:left w:val="nil"/>
              <w:bottom w:val="single" w:sz="4" w:space="0" w:color="auto"/>
              <w:right w:val="single" w:sz="4" w:space="0" w:color="auto"/>
            </w:tcBorders>
            <w:shd w:val="clear" w:color="auto" w:fill="auto"/>
            <w:noWrap/>
            <w:vAlign w:val="bottom"/>
            <w:hideMark/>
          </w:tcPr>
          <w:p w14:paraId="5F3093EF"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530" w:type="pct"/>
            <w:tcBorders>
              <w:top w:val="nil"/>
              <w:left w:val="nil"/>
              <w:bottom w:val="single" w:sz="4" w:space="0" w:color="auto"/>
              <w:right w:val="single" w:sz="4" w:space="0" w:color="auto"/>
            </w:tcBorders>
            <w:shd w:val="clear" w:color="auto" w:fill="auto"/>
            <w:noWrap/>
            <w:vAlign w:val="bottom"/>
            <w:hideMark/>
          </w:tcPr>
          <w:p w14:paraId="65A814A9"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(28.276)</w:t>
            </w:r>
          </w:p>
        </w:tc>
      </w:tr>
      <w:tr w:rsidR="00F41043" w:rsidRPr="00F41043" w14:paraId="618D42D8"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hideMark/>
          </w:tcPr>
          <w:p w14:paraId="76AB78F9" w14:textId="77777777" w:rsidR="00F41043" w:rsidRPr="00F41043" w:rsidRDefault="00F41043" w:rsidP="00F41043">
            <w:pPr>
              <w:spacing w:after="0" w:line="240" w:lineRule="auto"/>
              <w:ind w:firstLineChars="200" w:firstLine="260"/>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Depósitos Judiciais </w:t>
            </w:r>
          </w:p>
        </w:tc>
        <w:tc>
          <w:tcPr>
            <w:tcW w:w="498" w:type="pct"/>
            <w:tcBorders>
              <w:top w:val="nil"/>
              <w:left w:val="nil"/>
              <w:bottom w:val="single" w:sz="4" w:space="0" w:color="auto"/>
              <w:right w:val="single" w:sz="4" w:space="0" w:color="auto"/>
            </w:tcBorders>
            <w:shd w:val="clear" w:color="auto" w:fill="auto"/>
            <w:noWrap/>
            <w:vAlign w:val="bottom"/>
            <w:hideMark/>
          </w:tcPr>
          <w:p w14:paraId="2B4CEC1C"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1.091 </w:t>
            </w:r>
          </w:p>
        </w:tc>
        <w:tc>
          <w:tcPr>
            <w:tcW w:w="933" w:type="pct"/>
            <w:tcBorders>
              <w:top w:val="nil"/>
              <w:left w:val="nil"/>
              <w:bottom w:val="single" w:sz="4" w:space="0" w:color="auto"/>
              <w:right w:val="single" w:sz="4" w:space="0" w:color="auto"/>
            </w:tcBorders>
            <w:shd w:val="clear" w:color="auto" w:fill="auto"/>
            <w:noWrap/>
            <w:vAlign w:val="bottom"/>
            <w:hideMark/>
          </w:tcPr>
          <w:p w14:paraId="410AA731"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467" w:type="pct"/>
            <w:tcBorders>
              <w:top w:val="nil"/>
              <w:left w:val="nil"/>
              <w:bottom w:val="single" w:sz="4" w:space="0" w:color="auto"/>
              <w:right w:val="single" w:sz="4" w:space="0" w:color="auto"/>
            </w:tcBorders>
            <w:shd w:val="clear" w:color="auto" w:fill="auto"/>
            <w:noWrap/>
            <w:vAlign w:val="bottom"/>
            <w:hideMark/>
          </w:tcPr>
          <w:p w14:paraId="50BCE568"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530" w:type="pct"/>
            <w:tcBorders>
              <w:top w:val="nil"/>
              <w:left w:val="nil"/>
              <w:bottom w:val="single" w:sz="4" w:space="0" w:color="auto"/>
              <w:right w:val="single" w:sz="4" w:space="0" w:color="auto"/>
            </w:tcBorders>
            <w:shd w:val="clear" w:color="auto" w:fill="auto"/>
            <w:noWrap/>
            <w:vAlign w:val="bottom"/>
            <w:hideMark/>
          </w:tcPr>
          <w:p w14:paraId="79B9A21E"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1.091 </w:t>
            </w:r>
          </w:p>
        </w:tc>
      </w:tr>
      <w:tr w:rsidR="00F41043" w:rsidRPr="00F41043" w14:paraId="11B27029"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hideMark/>
          </w:tcPr>
          <w:p w14:paraId="034A52AE" w14:textId="77777777" w:rsidR="00F41043" w:rsidRPr="00F41043" w:rsidRDefault="00F41043" w:rsidP="00F41043">
            <w:pPr>
              <w:spacing w:after="0" w:line="240" w:lineRule="auto"/>
              <w:ind w:firstLineChars="200" w:firstLine="260"/>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Pessoal, Encargos e Benefícios Sociais </w:t>
            </w:r>
          </w:p>
        </w:tc>
        <w:tc>
          <w:tcPr>
            <w:tcW w:w="498" w:type="pct"/>
            <w:tcBorders>
              <w:top w:val="nil"/>
              <w:left w:val="nil"/>
              <w:bottom w:val="single" w:sz="4" w:space="0" w:color="auto"/>
              <w:right w:val="single" w:sz="4" w:space="0" w:color="auto"/>
            </w:tcBorders>
            <w:shd w:val="clear" w:color="auto" w:fill="auto"/>
            <w:noWrap/>
            <w:vAlign w:val="bottom"/>
            <w:hideMark/>
          </w:tcPr>
          <w:p w14:paraId="55529A80"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1.100 </w:t>
            </w:r>
          </w:p>
        </w:tc>
        <w:tc>
          <w:tcPr>
            <w:tcW w:w="933" w:type="pct"/>
            <w:tcBorders>
              <w:top w:val="nil"/>
              <w:left w:val="nil"/>
              <w:bottom w:val="single" w:sz="4" w:space="0" w:color="auto"/>
              <w:right w:val="single" w:sz="4" w:space="0" w:color="auto"/>
            </w:tcBorders>
            <w:shd w:val="clear" w:color="auto" w:fill="auto"/>
            <w:noWrap/>
            <w:vAlign w:val="bottom"/>
            <w:hideMark/>
          </w:tcPr>
          <w:p w14:paraId="5CFE10AB"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467" w:type="pct"/>
            <w:tcBorders>
              <w:top w:val="nil"/>
              <w:left w:val="nil"/>
              <w:bottom w:val="single" w:sz="4" w:space="0" w:color="auto"/>
              <w:right w:val="single" w:sz="4" w:space="0" w:color="auto"/>
            </w:tcBorders>
            <w:shd w:val="clear" w:color="auto" w:fill="auto"/>
            <w:noWrap/>
            <w:vAlign w:val="bottom"/>
            <w:hideMark/>
          </w:tcPr>
          <w:p w14:paraId="19D25DBE"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530" w:type="pct"/>
            <w:tcBorders>
              <w:top w:val="nil"/>
              <w:left w:val="nil"/>
              <w:bottom w:val="single" w:sz="4" w:space="0" w:color="auto"/>
              <w:right w:val="single" w:sz="4" w:space="0" w:color="auto"/>
            </w:tcBorders>
            <w:shd w:val="clear" w:color="auto" w:fill="auto"/>
            <w:noWrap/>
            <w:vAlign w:val="bottom"/>
            <w:hideMark/>
          </w:tcPr>
          <w:p w14:paraId="366311E6"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1.100 </w:t>
            </w:r>
          </w:p>
        </w:tc>
      </w:tr>
      <w:tr w:rsidR="00F41043" w:rsidRPr="00F41043" w14:paraId="1692A6B2"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hideMark/>
          </w:tcPr>
          <w:p w14:paraId="058592F0" w14:textId="77777777" w:rsidR="00F41043" w:rsidRPr="00F41043" w:rsidRDefault="00F41043" w:rsidP="00F41043">
            <w:pPr>
              <w:spacing w:after="0" w:line="240" w:lineRule="auto"/>
              <w:ind w:firstLineChars="200" w:firstLine="260"/>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Fornecedores </w:t>
            </w:r>
          </w:p>
        </w:tc>
        <w:tc>
          <w:tcPr>
            <w:tcW w:w="498" w:type="pct"/>
            <w:tcBorders>
              <w:top w:val="nil"/>
              <w:left w:val="nil"/>
              <w:bottom w:val="single" w:sz="4" w:space="0" w:color="auto"/>
              <w:right w:val="single" w:sz="4" w:space="0" w:color="auto"/>
            </w:tcBorders>
            <w:shd w:val="clear" w:color="auto" w:fill="auto"/>
            <w:noWrap/>
            <w:vAlign w:val="bottom"/>
            <w:hideMark/>
          </w:tcPr>
          <w:p w14:paraId="7062C3F2"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(38.491)</w:t>
            </w:r>
          </w:p>
        </w:tc>
        <w:tc>
          <w:tcPr>
            <w:tcW w:w="933" w:type="pct"/>
            <w:tcBorders>
              <w:top w:val="nil"/>
              <w:left w:val="nil"/>
              <w:bottom w:val="single" w:sz="4" w:space="0" w:color="auto"/>
              <w:right w:val="single" w:sz="4" w:space="0" w:color="auto"/>
            </w:tcBorders>
            <w:shd w:val="clear" w:color="auto" w:fill="auto"/>
            <w:noWrap/>
            <w:vAlign w:val="bottom"/>
            <w:hideMark/>
          </w:tcPr>
          <w:p w14:paraId="1804150D"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467" w:type="pct"/>
            <w:tcBorders>
              <w:top w:val="nil"/>
              <w:left w:val="nil"/>
              <w:bottom w:val="single" w:sz="4" w:space="0" w:color="auto"/>
              <w:right w:val="single" w:sz="4" w:space="0" w:color="auto"/>
            </w:tcBorders>
            <w:shd w:val="clear" w:color="auto" w:fill="auto"/>
            <w:noWrap/>
            <w:vAlign w:val="bottom"/>
            <w:hideMark/>
          </w:tcPr>
          <w:p w14:paraId="6FA84A31"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530" w:type="pct"/>
            <w:tcBorders>
              <w:top w:val="nil"/>
              <w:left w:val="nil"/>
              <w:bottom w:val="single" w:sz="4" w:space="0" w:color="auto"/>
              <w:right w:val="single" w:sz="4" w:space="0" w:color="auto"/>
            </w:tcBorders>
            <w:shd w:val="clear" w:color="auto" w:fill="auto"/>
            <w:noWrap/>
            <w:vAlign w:val="bottom"/>
            <w:hideMark/>
          </w:tcPr>
          <w:p w14:paraId="26333C07"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(38.491)</w:t>
            </w:r>
          </w:p>
        </w:tc>
      </w:tr>
      <w:tr w:rsidR="00F41043" w:rsidRPr="00F41043" w14:paraId="555DDB97"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hideMark/>
          </w:tcPr>
          <w:p w14:paraId="1311BF74" w14:textId="77777777" w:rsidR="00F41043" w:rsidRPr="00F41043" w:rsidRDefault="00F41043" w:rsidP="00F41043">
            <w:pPr>
              <w:spacing w:after="0" w:line="240" w:lineRule="auto"/>
              <w:ind w:firstLineChars="200" w:firstLine="260"/>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Outras Contas Ativas e Passivas </w:t>
            </w:r>
          </w:p>
        </w:tc>
        <w:tc>
          <w:tcPr>
            <w:tcW w:w="498" w:type="pct"/>
            <w:tcBorders>
              <w:top w:val="nil"/>
              <w:left w:val="nil"/>
              <w:bottom w:val="single" w:sz="4" w:space="0" w:color="auto"/>
              <w:right w:val="single" w:sz="4" w:space="0" w:color="auto"/>
            </w:tcBorders>
            <w:shd w:val="clear" w:color="auto" w:fill="auto"/>
            <w:noWrap/>
            <w:vAlign w:val="bottom"/>
            <w:hideMark/>
          </w:tcPr>
          <w:p w14:paraId="2AEA6EE1"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(24.499)</w:t>
            </w:r>
          </w:p>
        </w:tc>
        <w:tc>
          <w:tcPr>
            <w:tcW w:w="933" w:type="pct"/>
            <w:tcBorders>
              <w:top w:val="nil"/>
              <w:left w:val="nil"/>
              <w:bottom w:val="single" w:sz="4" w:space="0" w:color="auto"/>
              <w:right w:val="single" w:sz="4" w:space="0" w:color="auto"/>
            </w:tcBorders>
            <w:shd w:val="clear" w:color="auto" w:fill="auto"/>
            <w:noWrap/>
            <w:vAlign w:val="bottom"/>
            <w:hideMark/>
          </w:tcPr>
          <w:p w14:paraId="7EAC67E1"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467" w:type="pct"/>
            <w:tcBorders>
              <w:top w:val="nil"/>
              <w:left w:val="nil"/>
              <w:bottom w:val="single" w:sz="4" w:space="0" w:color="auto"/>
              <w:right w:val="single" w:sz="4" w:space="0" w:color="auto"/>
            </w:tcBorders>
            <w:shd w:val="clear" w:color="auto" w:fill="auto"/>
            <w:noWrap/>
            <w:vAlign w:val="bottom"/>
            <w:hideMark/>
          </w:tcPr>
          <w:p w14:paraId="371A2125"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530" w:type="pct"/>
            <w:tcBorders>
              <w:top w:val="nil"/>
              <w:left w:val="nil"/>
              <w:bottom w:val="single" w:sz="4" w:space="0" w:color="auto"/>
              <w:right w:val="single" w:sz="4" w:space="0" w:color="auto"/>
            </w:tcBorders>
            <w:shd w:val="clear" w:color="auto" w:fill="auto"/>
            <w:noWrap/>
            <w:vAlign w:val="bottom"/>
            <w:hideMark/>
          </w:tcPr>
          <w:p w14:paraId="00764C68"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(24.499)</w:t>
            </w:r>
          </w:p>
        </w:tc>
      </w:tr>
      <w:tr w:rsidR="00F41043" w:rsidRPr="00F41043" w14:paraId="7039EF38"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hideMark/>
          </w:tcPr>
          <w:p w14:paraId="0CBE1756" w14:textId="77777777" w:rsidR="00F41043" w:rsidRPr="00F41043" w:rsidRDefault="00F41043" w:rsidP="00F41043">
            <w:pPr>
              <w:spacing w:after="0" w:line="240" w:lineRule="auto"/>
              <w:ind w:firstLineChars="200" w:firstLine="261"/>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xml:space="preserve">    Total </w:t>
            </w:r>
          </w:p>
        </w:tc>
        <w:tc>
          <w:tcPr>
            <w:tcW w:w="498" w:type="pct"/>
            <w:tcBorders>
              <w:top w:val="nil"/>
              <w:left w:val="nil"/>
              <w:bottom w:val="single" w:sz="4" w:space="0" w:color="auto"/>
              <w:right w:val="single" w:sz="4" w:space="0" w:color="auto"/>
            </w:tcBorders>
            <w:shd w:val="clear" w:color="auto" w:fill="auto"/>
            <w:noWrap/>
            <w:vAlign w:val="bottom"/>
            <w:hideMark/>
          </w:tcPr>
          <w:p w14:paraId="7391F743" w14:textId="77777777" w:rsidR="00F41043" w:rsidRPr="00F41043" w:rsidRDefault="00F41043" w:rsidP="00F41043">
            <w:pPr>
              <w:spacing w:after="0" w:line="240" w:lineRule="auto"/>
              <w:jc w:val="right"/>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xml:space="preserve">              (107.465)</w:t>
            </w:r>
          </w:p>
        </w:tc>
        <w:tc>
          <w:tcPr>
            <w:tcW w:w="933" w:type="pct"/>
            <w:tcBorders>
              <w:top w:val="nil"/>
              <w:left w:val="nil"/>
              <w:bottom w:val="single" w:sz="4" w:space="0" w:color="auto"/>
              <w:right w:val="single" w:sz="4" w:space="0" w:color="auto"/>
            </w:tcBorders>
            <w:shd w:val="clear" w:color="auto" w:fill="auto"/>
            <w:noWrap/>
            <w:vAlign w:val="bottom"/>
            <w:hideMark/>
          </w:tcPr>
          <w:p w14:paraId="41C7A7F2" w14:textId="77777777" w:rsidR="00F41043" w:rsidRPr="00F41043" w:rsidRDefault="00F41043" w:rsidP="00F41043">
            <w:pPr>
              <w:spacing w:after="0" w:line="240" w:lineRule="auto"/>
              <w:jc w:val="right"/>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xml:space="preserve">                        -  </w:t>
            </w:r>
          </w:p>
        </w:tc>
        <w:tc>
          <w:tcPr>
            <w:tcW w:w="467" w:type="pct"/>
            <w:tcBorders>
              <w:top w:val="nil"/>
              <w:left w:val="nil"/>
              <w:bottom w:val="single" w:sz="4" w:space="0" w:color="auto"/>
              <w:right w:val="single" w:sz="4" w:space="0" w:color="auto"/>
            </w:tcBorders>
            <w:shd w:val="clear" w:color="auto" w:fill="auto"/>
            <w:noWrap/>
            <w:vAlign w:val="bottom"/>
            <w:hideMark/>
          </w:tcPr>
          <w:p w14:paraId="2382CA41" w14:textId="77777777" w:rsidR="00F41043" w:rsidRPr="00F41043" w:rsidRDefault="00F41043" w:rsidP="00F41043">
            <w:pPr>
              <w:spacing w:after="0" w:line="240" w:lineRule="auto"/>
              <w:jc w:val="right"/>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xml:space="preserve">                        -  </w:t>
            </w:r>
          </w:p>
        </w:tc>
        <w:tc>
          <w:tcPr>
            <w:tcW w:w="530" w:type="pct"/>
            <w:tcBorders>
              <w:top w:val="nil"/>
              <w:left w:val="nil"/>
              <w:bottom w:val="single" w:sz="4" w:space="0" w:color="auto"/>
              <w:right w:val="single" w:sz="4" w:space="0" w:color="auto"/>
            </w:tcBorders>
            <w:shd w:val="clear" w:color="auto" w:fill="auto"/>
            <w:noWrap/>
            <w:vAlign w:val="bottom"/>
            <w:hideMark/>
          </w:tcPr>
          <w:p w14:paraId="6B95E332" w14:textId="77777777" w:rsidR="00F41043" w:rsidRPr="00F41043" w:rsidRDefault="00F41043" w:rsidP="00F41043">
            <w:pPr>
              <w:spacing w:after="0" w:line="240" w:lineRule="auto"/>
              <w:jc w:val="right"/>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xml:space="preserve">                (107.465)</w:t>
            </w:r>
          </w:p>
        </w:tc>
      </w:tr>
      <w:tr w:rsidR="00F41043" w:rsidRPr="00F41043" w14:paraId="005C3C3E"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vAlign w:val="bottom"/>
            <w:hideMark/>
          </w:tcPr>
          <w:p w14:paraId="799B337F" w14:textId="77777777" w:rsidR="00F41043" w:rsidRPr="00F41043" w:rsidRDefault="00F41043" w:rsidP="00F41043">
            <w:pPr>
              <w:spacing w:after="0" w:line="240" w:lineRule="auto"/>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Caixa Proveniente das Atividades Operacionais</w:t>
            </w:r>
          </w:p>
        </w:tc>
        <w:tc>
          <w:tcPr>
            <w:tcW w:w="498" w:type="pct"/>
            <w:tcBorders>
              <w:top w:val="nil"/>
              <w:left w:val="nil"/>
              <w:bottom w:val="single" w:sz="4" w:space="0" w:color="auto"/>
              <w:right w:val="single" w:sz="4" w:space="0" w:color="auto"/>
            </w:tcBorders>
            <w:shd w:val="clear" w:color="auto" w:fill="auto"/>
            <w:noWrap/>
            <w:vAlign w:val="bottom"/>
            <w:hideMark/>
          </w:tcPr>
          <w:p w14:paraId="52138E97" w14:textId="77777777" w:rsidR="00F41043" w:rsidRPr="00F41043" w:rsidRDefault="00F41043" w:rsidP="00F41043">
            <w:pPr>
              <w:spacing w:after="0" w:line="240" w:lineRule="auto"/>
              <w:jc w:val="right"/>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w:t>
            </w:r>
          </w:p>
        </w:tc>
        <w:tc>
          <w:tcPr>
            <w:tcW w:w="933" w:type="pct"/>
            <w:tcBorders>
              <w:top w:val="nil"/>
              <w:left w:val="nil"/>
              <w:bottom w:val="single" w:sz="4" w:space="0" w:color="auto"/>
              <w:right w:val="single" w:sz="4" w:space="0" w:color="auto"/>
            </w:tcBorders>
            <w:shd w:val="clear" w:color="auto" w:fill="auto"/>
            <w:noWrap/>
            <w:vAlign w:val="bottom"/>
            <w:hideMark/>
          </w:tcPr>
          <w:p w14:paraId="53520FA5" w14:textId="77777777" w:rsidR="00F41043" w:rsidRPr="00F41043" w:rsidRDefault="00F41043" w:rsidP="00F41043">
            <w:pPr>
              <w:spacing w:after="0" w:line="240" w:lineRule="auto"/>
              <w:jc w:val="right"/>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w:t>
            </w:r>
          </w:p>
        </w:tc>
        <w:tc>
          <w:tcPr>
            <w:tcW w:w="467" w:type="pct"/>
            <w:tcBorders>
              <w:top w:val="nil"/>
              <w:left w:val="nil"/>
              <w:bottom w:val="single" w:sz="4" w:space="0" w:color="auto"/>
              <w:right w:val="single" w:sz="4" w:space="0" w:color="auto"/>
            </w:tcBorders>
            <w:shd w:val="clear" w:color="auto" w:fill="auto"/>
            <w:noWrap/>
            <w:vAlign w:val="bottom"/>
            <w:hideMark/>
          </w:tcPr>
          <w:p w14:paraId="0E2F1026" w14:textId="77777777" w:rsidR="00F41043" w:rsidRPr="00F41043" w:rsidRDefault="00F41043" w:rsidP="00F41043">
            <w:pPr>
              <w:spacing w:after="0" w:line="240" w:lineRule="auto"/>
              <w:jc w:val="right"/>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w:t>
            </w:r>
          </w:p>
        </w:tc>
        <w:tc>
          <w:tcPr>
            <w:tcW w:w="530" w:type="pct"/>
            <w:tcBorders>
              <w:top w:val="nil"/>
              <w:left w:val="nil"/>
              <w:bottom w:val="single" w:sz="4" w:space="0" w:color="auto"/>
              <w:right w:val="single" w:sz="4" w:space="0" w:color="auto"/>
            </w:tcBorders>
            <w:shd w:val="clear" w:color="auto" w:fill="auto"/>
            <w:noWrap/>
            <w:vAlign w:val="bottom"/>
            <w:hideMark/>
          </w:tcPr>
          <w:p w14:paraId="3E8B482A" w14:textId="77777777" w:rsidR="00F41043" w:rsidRPr="00F41043" w:rsidRDefault="00F41043" w:rsidP="00F41043">
            <w:pPr>
              <w:spacing w:after="0" w:line="240" w:lineRule="auto"/>
              <w:jc w:val="right"/>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w:t>
            </w:r>
          </w:p>
        </w:tc>
      </w:tr>
      <w:tr w:rsidR="00F41043" w:rsidRPr="00F41043" w14:paraId="797723DD"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vAlign w:val="bottom"/>
            <w:hideMark/>
          </w:tcPr>
          <w:p w14:paraId="6D7FC6DA" w14:textId="77777777" w:rsidR="00F41043" w:rsidRPr="00F41043" w:rsidRDefault="00F41043" w:rsidP="00F41043">
            <w:pPr>
              <w:spacing w:after="0" w:line="240" w:lineRule="auto"/>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Dividendos / Juros sobre Capital Próprio Recebidos</w:t>
            </w:r>
          </w:p>
        </w:tc>
        <w:tc>
          <w:tcPr>
            <w:tcW w:w="498" w:type="pct"/>
            <w:tcBorders>
              <w:top w:val="nil"/>
              <w:left w:val="nil"/>
              <w:bottom w:val="single" w:sz="4" w:space="0" w:color="auto"/>
              <w:right w:val="single" w:sz="4" w:space="0" w:color="auto"/>
            </w:tcBorders>
            <w:shd w:val="clear" w:color="auto" w:fill="auto"/>
            <w:noWrap/>
            <w:vAlign w:val="bottom"/>
            <w:hideMark/>
          </w:tcPr>
          <w:p w14:paraId="59FC791B"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63 </w:t>
            </w:r>
          </w:p>
        </w:tc>
        <w:tc>
          <w:tcPr>
            <w:tcW w:w="933" w:type="pct"/>
            <w:tcBorders>
              <w:top w:val="nil"/>
              <w:left w:val="nil"/>
              <w:bottom w:val="single" w:sz="4" w:space="0" w:color="auto"/>
              <w:right w:val="single" w:sz="4" w:space="0" w:color="auto"/>
            </w:tcBorders>
            <w:shd w:val="clear" w:color="auto" w:fill="auto"/>
            <w:noWrap/>
            <w:vAlign w:val="bottom"/>
            <w:hideMark/>
          </w:tcPr>
          <w:p w14:paraId="45BED5DA"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467" w:type="pct"/>
            <w:tcBorders>
              <w:top w:val="nil"/>
              <w:left w:val="nil"/>
              <w:bottom w:val="single" w:sz="4" w:space="0" w:color="auto"/>
              <w:right w:val="single" w:sz="4" w:space="0" w:color="auto"/>
            </w:tcBorders>
            <w:shd w:val="clear" w:color="auto" w:fill="auto"/>
            <w:noWrap/>
            <w:vAlign w:val="bottom"/>
            <w:hideMark/>
          </w:tcPr>
          <w:p w14:paraId="451EEC41"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530" w:type="pct"/>
            <w:tcBorders>
              <w:top w:val="nil"/>
              <w:left w:val="nil"/>
              <w:bottom w:val="single" w:sz="4" w:space="0" w:color="auto"/>
              <w:right w:val="single" w:sz="4" w:space="0" w:color="auto"/>
            </w:tcBorders>
            <w:shd w:val="clear" w:color="auto" w:fill="auto"/>
            <w:noWrap/>
            <w:vAlign w:val="bottom"/>
            <w:hideMark/>
          </w:tcPr>
          <w:p w14:paraId="4E5A4E35"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63 </w:t>
            </w:r>
          </w:p>
        </w:tc>
      </w:tr>
      <w:tr w:rsidR="00F41043" w:rsidRPr="00F41043" w14:paraId="757160AC"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vAlign w:val="bottom"/>
            <w:hideMark/>
          </w:tcPr>
          <w:p w14:paraId="6AA7C29A" w14:textId="77777777" w:rsidR="00F41043" w:rsidRPr="00F41043" w:rsidRDefault="00F41043" w:rsidP="00F41043">
            <w:pPr>
              <w:spacing w:after="0" w:line="240" w:lineRule="auto"/>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Recebimento de Receitas Diferidas</w:t>
            </w:r>
          </w:p>
        </w:tc>
        <w:tc>
          <w:tcPr>
            <w:tcW w:w="498" w:type="pct"/>
            <w:tcBorders>
              <w:top w:val="nil"/>
              <w:left w:val="nil"/>
              <w:bottom w:val="single" w:sz="4" w:space="0" w:color="auto"/>
              <w:right w:val="single" w:sz="4" w:space="0" w:color="auto"/>
            </w:tcBorders>
            <w:shd w:val="clear" w:color="auto" w:fill="auto"/>
            <w:noWrap/>
            <w:vAlign w:val="bottom"/>
            <w:hideMark/>
          </w:tcPr>
          <w:p w14:paraId="40E18EBF"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27.168 </w:t>
            </w:r>
          </w:p>
        </w:tc>
        <w:tc>
          <w:tcPr>
            <w:tcW w:w="933" w:type="pct"/>
            <w:tcBorders>
              <w:top w:val="nil"/>
              <w:left w:val="nil"/>
              <w:bottom w:val="single" w:sz="4" w:space="0" w:color="auto"/>
              <w:right w:val="single" w:sz="4" w:space="0" w:color="auto"/>
            </w:tcBorders>
            <w:shd w:val="clear" w:color="auto" w:fill="auto"/>
            <w:noWrap/>
            <w:vAlign w:val="bottom"/>
            <w:hideMark/>
          </w:tcPr>
          <w:p w14:paraId="282E1872"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467" w:type="pct"/>
            <w:tcBorders>
              <w:top w:val="nil"/>
              <w:left w:val="nil"/>
              <w:bottom w:val="single" w:sz="4" w:space="0" w:color="auto"/>
              <w:right w:val="single" w:sz="4" w:space="0" w:color="auto"/>
            </w:tcBorders>
            <w:shd w:val="clear" w:color="auto" w:fill="auto"/>
            <w:noWrap/>
            <w:vAlign w:val="bottom"/>
            <w:hideMark/>
          </w:tcPr>
          <w:p w14:paraId="0B6C85D7"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530" w:type="pct"/>
            <w:tcBorders>
              <w:top w:val="nil"/>
              <w:left w:val="nil"/>
              <w:bottom w:val="single" w:sz="4" w:space="0" w:color="auto"/>
              <w:right w:val="single" w:sz="4" w:space="0" w:color="auto"/>
            </w:tcBorders>
            <w:shd w:val="clear" w:color="auto" w:fill="auto"/>
            <w:noWrap/>
            <w:vAlign w:val="bottom"/>
            <w:hideMark/>
          </w:tcPr>
          <w:p w14:paraId="5D5733F7"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27.168 </w:t>
            </w:r>
          </w:p>
        </w:tc>
      </w:tr>
      <w:tr w:rsidR="00F41043" w:rsidRPr="00F41043" w14:paraId="6A812135"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vAlign w:val="bottom"/>
            <w:hideMark/>
          </w:tcPr>
          <w:p w14:paraId="19968D70" w14:textId="77777777" w:rsidR="00F41043" w:rsidRPr="00F41043" w:rsidRDefault="00F41043" w:rsidP="00F41043">
            <w:pPr>
              <w:spacing w:after="0" w:line="240" w:lineRule="auto"/>
              <w:ind w:firstLineChars="100" w:firstLine="130"/>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Pagamento por Adesão ao </w:t>
            </w:r>
            <w:proofErr w:type="spellStart"/>
            <w:r w:rsidRPr="00F41043">
              <w:rPr>
                <w:rFonts w:ascii="Arial" w:eastAsia="Times New Roman" w:hAnsi="Arial" w:cs="Arial"/>
                <w:kern w:val="0"/>
                <w:sz w:val="13"/>
                <w:szCs w:val="13"/>
                <w:lang w:eastAsia="pt-BR"/>
                <w14:ligatures w14:val="none"/>
              </w:rPr>
              <w:t>Prog</w:t>
            </w:r>
            <w:proofErr w:type="spellEnd"/>
            <w:r w:rsidRPr="00F41043">
              <w:rPr>
                <w:rFonts w:ascii="Arial" w:eastAsia="Times New Roman" w:hAnsi="Arial" w:cs="Arial"/>
                <w:kern w:val="0"/>
                <w:sz w:val="13"/>
                <w:szCs w:val="13"/>
                <w:lang w:eastAsia="pt-BR"/>
                <w14:ligatures w14:val="none"/>
              </w:rPr>
              <w:t>. de Indenização por Serviços Prestados - PISP</w:t>
            </w:r>
          </w:p>
        </w:tc>
        <w:tc>
          <w:tcPr>
            <w:tcW w:w="498" w:type="pct"/>
            <w:tcBorders>
              <w:top w:val="nil"/>
              <w:left w:val="nil"/>
              <w:bottom w:val="single" w:sz="4" w:space="0" w:color="auto"/>
              <w:right w:val="single" w:sz="4" w:space="0" w:color="auto"/>
            </w:tcBorders>
            <w:shd w:val="clear" w:color="auto" w:fill="auto"/>
            <w:noWrap/>
            <w:vAlign w:val="bottom"/>
            <w:hideMark/>
          </w:tcPr>
          <w:p w14:paraId="3FBCCB58"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(1.531)</w:t>
            </w:r>
          </w:p>
        </w:tc>
        <w:tc>
          <w:tcPr>
            <w:tcW w:w="933" w:type="pct"/>
            <w:tcBorders>
              <w:top w:val="nil"/>
              <w:left w:val="nil"/>
              <w:bottom w:val="single" w:sz="4" w:space="0" w:color="auto"/>
              <w:right w:val="single" w:sz="4" w:space="0" w:color="auto"/>
            </w:tcBorders>
            <w:shd w:val="clear" w:color="auto" w:fill="auto"/>
            <w:noWrap/>
            <w:vAlign w:val="bottom"/>
            <w:hideMark/>
          </w:tcPr>
          <w:p w14:paraId="48D1B7A6"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467" w:type="pct"/>
            <w:tcBorders>
              <w:top w:val="nil"/>
              <w:left w:val="nil"/>
              <w:bottom w:val="single" w:sz="4" w:space="0" w:color="auto"/>
              <w:right w:val="single" w:sz="4" w:space="0" w:color="auto"/>
            </w:tcBorders>
            <w:shd w:val="clear" w:color="auto" w:fill="auto"/>
            <w:noWrap/>
            <w:vAlign w:val="bottom"/>
            <w:hideMark/>
          </w:tcPr>
          <w:p w14:paraId="307F3C7D"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530" w:type="pct"/>
            <w:tcBorders>
              <w:top w:val="nil"/>
              <w:left w:val="nil"/>
              <w:bottom w:val="single" w:sz="4" w:space="0" w:color="auto"/>
              <w:right w:val="single" w:sz="4" w:space="0" w:color="auto"/>
            </w:tcBorders>
            <w:shd w:val="clear" w:color="auto" w:fill="auto"/>
            <w:noWrap/>
            <w:vAlign w:val="bottom"/>
            <w:hideMark/>
          </w:tcPr>
          <w:p w14:paraId="1C405171"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(1.531)</w:t>
            </w:r>
          </w:p>
        </w:tc>
      </w:tr>
      <w:tr w:rsidR="00F41043" w:rsidRPr="00F41043" w14:paraId="0E9BB129"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vAlign w:val="bottom"/>
            <w:hideMark/>
          </w:tcPr>
          <w:p w14:paraId="76E3E131" w14:textId="77777777" w:rsidR="00F41043" w:rsidRPr="00F41043" w:rsidRDefault="00F41043" w:rsidP="00F41043">
            <w:pPr>
              <w:spacing w:after="0" w:line="240" w:lineRule="auto"/>
              <w:ind w:firstLineChars="100" w:firstLine="130"/>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Pagamento de Juros de Arrendamento Mercantil Financeiro</w:t>
            </w:r>
          </w:p>
        </w:tc>
        <w:tc>
          <w:tcPr>
            <w:tcW w:w="498" w:type="pct"/>
            <w:tcBorders>
              <w:top w:val="nil"/>
              <w:left w:val="nil"/>
              <w:bottom w:val="single" w:sz="4" w:space="0" w:color="auto"/>
              <w:right w:val="single" w:sz="4" w:space="0" w:color="auto"/>
            </w:tcBorders>
            <w:shd w:val="clear" w:color="auto" w:fill="auto"/>
            <w:noWrap/>
            <w:vAlign w:val="bottom"/>
            <w:hideMark/>
          </w:tcPr>
          <w:p w14:paraId="1F430712"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(939)</w:t>
            </w:r>
          </w:p>
        </w:tc>
        <w:tc>
          <w:tcPr>
            <w:tcW w:w="933" w:type="pct"/>
            <w:tcBorders>
              <w:top w:val="nil"/>
              <w:left w:val="nil"/>
              <w:bottom w:val="single" w:sz="4" w:space="0" w:color="auto"/>
              <w:right w:val="single" w:sz="4" w:space="0" w:color="auto"/>
            </w:tcBorders>
            <w:shd w:val="clear" w:color="auto" w:fill="auto"/>
            <w:noWrap/>
            <w:vAlign w:val="bottom"/>
            <w:hideMark/>
          </w:tcPr>
          <w:p w14:paraId="6972F12A"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467" w:type="pct"/>
            <w:tcBorders>
              <w:top w:val="nil"/>
              <w:left w:val="nil"/>
              <w:bottom w:val="single" w:sz="4" w:space="0" w:color="auto"/>
              <w:right w:val="single" w:sz="4" w:space="0" w:color="auto"/>
            </w:tcBorders>
            <w:shd w:val="clear" w:color="auto" w:fill="auto"/>
            <w:noWrap/>
            <w:vAlign w:val="bottom"/>
            <w:hideMark/>
          </w:tcPr>
          <w:p w14:paraId="799AB7DD"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530" w:type="pct"/>
            <w:tcBorders>
              <w:top w:val="nil"/>
              <w:left w:val="nil"/>
              <w:bottom w:val="single" w:sz="4" w:space="0" w:color="auto"/>
              <w:right w:val="single" w:sz="4" w:space="0" w:color="auto"/>
            </w:tcBorders>
            <w:shd w:val="clear" w:color="auto" w:fill="auto"/>
            <w:noWrap/>
            <w:vAlign w:val="bottom"/>
            <w:hideMark/>
          </w:tcPr>
          <w:p w14:paraId="3F8C90CC"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(939)</w:t>
            </w:r>
          </w:p>
        </w:tc>
      </w:tr>
      <w:tr w:rsidR="00F41043" w:rsidRPr="00F41043" w14:paraId="2F50BCBC"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vAlign w:val="bottom"/>
            <w:hideMark/>
          </w:tcPr>
          <w:p w14:paraId="05E83D93" w14:textId="77777777" w:rsidR="00F41043" w:rsidRPr="00F41043" w:rsidRDefault="00F41043" w:rsidP="00F41043">
            <w:pPr>
              <w:spacing w:after="0" w:line="240" w:lineRule="auto"/>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Pagamento de Juros de Empréstimos e Financiamentos</w:t>
            </w:r>
          </w:p>
        </w:tc>
        <w:tc>
          <w:tcPr>
            <w:tcW w:w="498" w:type="pct"/>
            <w:tcBorders>
              <w:top w:val="nil"/>
              <w:left w:val="nil"/>
              <w:bottom w:val="single" w:sz="4" w:space="0" w:color="auto"/>
              <w:right w:val="single" w:sz="4" w:space="0" w:color="auto"/>
            </w:tcBorders>
            <w:shd w:val="clear" w:color="auto" w:fill="auto"/>
            <w:noWrap/>
            <w:vAlign w:val="bottom"/>
            <w:hideMark/>
          </w:tcPr>
          <w:p w14:paraId="398EF569"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(4.878)</w:t>
            </w:r>
          </w:p>
        </w:tc>
        <w:tc>
          <w:tcPr>
            <w:tcW w:w="933" w:type="pct"/>
            <w:tcBorders>
              <w:top w:val="nil"/>
              <w:left w:val="nil"/>
              <w:bottom w:val="single" w:sz="4" w:space="0" w:color="auto"/>
              <w:right w:val="single" w:sz="4" w:space="0" w:color="auto"/>
            </w:tcBorders>
            <w:shd w:val="clear" w:color="auto" w:fill="auto"/>
            <w:noWrap/>
            <w:vAlign w:val="bottom"/>
            <w:hideMark/>
          </w:tcPr>
          <w:p w14:paraId="3C69A226"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467" w:type="pct"/>
            <w:tcBorders>
              <w:top w:val="nil"/>
              <w:left w:val="nil"/>
              <w:bottom w:val="single" w:sz="4" w:space="0" w:color="auto"/>
              <w:right w:val="single" w:sz="4" w:space="0" w:color="auto"/>
            </w:tcBorders>
            <w:shd w:val="clear" w:color="auto" w:fill="auto"/>
            <w:noWrap/>
            <w:vAlign w:val="bottom"/>
            <w:hideMark/>
          </w:tcPr>
          <w:p w14:paraId="3B7E5FF3"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530" w:type="pct"/>
            <w:tcBorders>
              <w:top w:val="nil"/>
              <w:left w:val="nil"/>
              <w:bottom w:val="single" w:sz="4" w:space="0" w:color="auto"/>
              <w:right w:val="single" w:sz="4" w:space="0" w:color="auto"/>
            </w:tcBorders>
            <w:shd w:val="clear" w:color="auto" w:fill="auto"/>
            <w:noWrap/>
            <w:vAlign w:val="bottom"/>
            <w:hideMark/>
          </w:tcPr>
          <w:p w14:paraId="7A33C670"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(4.878)</w:t>
            </w:r>
          </w:p>
        </w:tc>
      </w:tr>
      <w:tr w:rsidR="00F41043" w:rsidRPr="00F41043" w14:paraId="5C7AF38A"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vAlign w:val="bottom"/>
            <w:hideMark/>
          </w:tcPr>
          <w:p w14:paraId="4765507D" w14:textId="77777777" w:rsidR="00F41043" w:rsidRPr="00F41043" w:rsidRDefault="00F41043" w:rsidP="00F41043">
            <w:pPr>
              <w:spacing w:after="0" w:line="240" w:lineRule="auto"/>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Pagamento de Compensação Financeira - Financiamento FINEP</w:t>
            </w:r>
          </w:p>
        </w:tc>
        <w:tc>
          <w:tcPr>
            <w:tcW w:w="498" w:type="pct"/>
            <w:tcBorders>
              <w:top w:val="nil"/>
              <w:left w:val="nil"/>
              <w:bottom w:val="single" w:sz="4" w:space="0" w:color="auto"/>
              <w:right w:val="single" w:sz="4" w:space="0" w:color="auto"/>
            </w:tcBorders>
            <w:shd w:val="clear" w:color="auto" w:fill="auto"/>
            <w:noWrap/>
            <w:vAlign w:val="bottom"/>
            <w:hideMark/>
          </w:tcPr>
          <w:p w14:paraId="14CD9D3C"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(8.322)</w:t>
            </w:r>
          </w:p>
        </w:tc>
        <w:tc>
          <w:tcPr>
            <w:tcW w:w="933" w:type="pct"/>
            <w:tcBorders>
              <w:top w:val="nil"/>
              <w:left w:val="nil"/>
              <w:bottom w:val="single" w:sz="4" w:space="0" w:color="auto"/>
              <w:right w:val="single" w:sz="4" w:space="0" w:color="auto"/>
            </w:tcBorders>
            <w:shd w:val="clear" w:color="auto" w:fill="auto"/>
            <w:noWrap/>
            <w:vAlign w:val="bottom"/>
            <w:hideMark/>
          </w:tcPr>
          <w:p w14:paraId="2F15C7C3"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467" w:type="pct"/>
            <w:tcBorders>
              <w:top w:val="nil"/>
              <w:left w:val="nil"/>
              <w:bottom w:val="single" w:sz="4" w:space="0" w:color="auto"/>
              <w:right w:val="single" w:sz="4" w:space="0" w:color="auto"/>
            </w:tcBorders>
            <w:shd w:val="clear" w:color="auto" w:fill="auto"/>
            <w:noWrap/>
            <w:vAlign w:val="bottom"/>
            <w:hideMark/>
          </w:tcPr>
          <w:p w14:paraId="719D49D2"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530" w:type="pct"/>
            <w:tcBorders>
              <w:top w:val="nil"/>
              <w:left w:val="nil"/>
              <w:bottom w:val="single" w:sz="4" w:space="0" w:color="auto"/>
              <w:right w:val="single" w:sz="4" w:space="0" w:color="auto"/>
            </w:tcBorders>
            <w:shd w:val="clear" w:color="auto" w:fill="auto"/>
            <w:noWrap/>
            <w:vAlign w:val="bottom"/>
            <w:hideMark/>
          </w:tcPr>
          <w:p w14:paraId="3A25F028"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(8.322)</w:t>
            </w:r>
          </w:p>
        </w:tc>
      </w:tr>
      <w:tr w:rsidR="00F41043" w:rsidRPr="00F41043" w14:paraId="12C2AECA"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vAlign w:val="bottom"/>
            <w:hideMark/>
          </w:tcPr>
          <w:p w14:paraId="73DDDA22" w14:textId="77777777" w:rsidR="00F41043" w:rsidRPr="00F41043" w:rsidRDefault="00F41043" w:rsidP="00F41043">
            <w:pPr>
              <w:spacing w:after="0" w:line="240" w:lineRule="auto"/>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Pagamento de Causas Judiciais - Trabalhistas, Cíveis e Fiscais</w:t>
            </w:r>
          </w:p>
        </w:tc>
        <w:tc>
          <w:tcPr>
            <w:tcW w:w="498" w:type="pct"/>
            <w:tcBorders>
              <w:top w:val="nil"/>
              <w:left w:val="nil"/>
              <w:bottom w:val="single" w:sz="4" w:space="0" w:color="auto"/>
              <w:right w:val="single" w:sz="4" w:space="0" w:color="auto"/>
            </w:tcBorders>
            <w:shd w:val="clear" w:color="auto" w:fill="auto"/>
            <w:noWrap/>
            <w:vAlign w:val="bottom"/>
            <w:hideMark/>
          </w:tcPr>
          <w:p w14:paraId="210644DD"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(2.063)</w:t>
            </w:r>
          </w:p>
        </w:tc>
        <w:tc>
          <w:tcPr>
            <w:tcW w:w="933" w:type="pct"/>
            <w:tcBorders>
              <w:top w:val="nil"/>
              <w:left w:val="nil"/>
              <w:bottom w:val="single" w:sz="4" w:space="0" w:color="auto"/>
              <w:right w:val="single" w:sz="4" w:space="0" w:color="auto"/>
            </w:tcBorders>
            <w:shd w:val="clear" w:color="auto" w:fill="auto"/>
            <w:noWrap/>
            <w:vAlign w:val="bottom"/>
            <w:hideMark/>
          </w:tcPr>
          <w:p w14:paraId="088C852A"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467" w:type="pct"/>
            <w:tcBorders>
              <w:top w:val="nil"/>
              <w:left w:val="nil"/>
              <w:bottom w:val="single" w:sz="4" w:space="0" w:color="auto"/>
              <w:right w:val="single" w:sz="4" w:space="0" w:color="auto"/>
            </w:tcBorders>
            <w:shd w:val="clear" w:color="auto" w:fill="auto"/>
            <w:noWrap/>
            <w:vAlign w:val="bottom"/>
            <w:hideMark/>
          </w:tcPr>
          <w:p w14:paraId="11DD5C8D"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530" w:type="pct"/>
            <w:tcBorders>
              <w:top w:val="nil"/>
              <w:left w:val="nil"/>
              <w:bottom w:val="single" w:sz="4" w:space="0" w:color="auto"/>
              <w:right w:val="single" w:sz="4" w:space="0" w:color="auto"/>
            </w:tcBorders>
            <w:shd w:val="clear" w:color="auto" w:fill="auto"/>
            <w:noWrap/>
            <w:vAlign w:val="bottom"/>
            <w:hideMark/>
          </w:tcPr>
          <w:p w14:paraId="74343ADA"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(2.063)</w:t>
            </w:r>
          </w:p>
        </w:tc>
      </w:tr>
      <w:tr w:rsidR="00F41043" w:rsidRPr="00F41043" w14:paraId="27EA0917"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vAlign w:val="bottom"/>
            <w:hideMark/>
          </w:tcPr>
          <w:p w14:paraId="51B83CF2" w14:textId="77777777" w:rsidR="00F41043" w:rsidRPr="00F41043" w:rsidRDefault="00F41043" w:rsidP="00F41043">
            <w:pPr>
              <w:spacing w:after="0" w:line="240" w:lineRule="auto"/>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Pagamento de Acordos Judiciais - Encargos</w:t>
            </w:r>
          </w:p>
        </w:tc>
        <w:tc>
          <w:tcPr>
            <w:tcW w:w="498" w:type="pct"/>
            <w:tcBorders>
              <w:top w:val="nil"/>
              <w:left w:val="nil"/>
              <w:bottom w:val="single" w:sz="4" w:space="0" w:color="auto"/>
              <w:right w:val="single" w:sz="4" w:space="0" w:color="auto"/>
            </w:tcBorders>
            <w:shd w:val="clear" w:color="auto" w:fill="auto"/>
            <w:noWrap/>
            <w:vAlign w:val="bottom"/>
            <w:hideMark/>
          </w:tcPr>
          <w:p w14:paraId="2406E748"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(19.670)</w:t>
            </w:r>
          </w:p>
        </w:tc>
        <w:tc>
          <w:tcPr>
            <w:tcW w:w="933" w:type="pct"/>
            <w:tcBorders>
              <w:top w:val="nil"/>
              <w:left w:val="nil"/>
              <w:bottom w:val="single" w:sz="4" w:space="0" w:color="auto"/>
              <w:right w:val="single" w:sz="4" w:space="0" w:color="auto"/>
            </w:tcBorders>
            <w:shd w:val="clear" w:color="auto" w:fill="auto"/>
            <w:noWrap/>
            <w:vAlign w:val="bottom"/>
            <w:hideMark/>
          </w:tcPr>
          <w:p w14:paraId="37E3870E"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467" w:type="pct"/>
            <w:tcBorders>
              <w:top w:val="nil"/>
              <w:left w:val="nil"/>
              <w:bottom w:val="single" w:sz="4" w:space="0" w:color="auto"/>
              <w:right w:val="single" w:sz="4" w:space="0" w:color="auto"/>
            </w:tcBorders>
            <w:shd w:val="clear" w:color="auto" w:fill="auto"/>
            <w:noWrap/>
            <w:vAlign w:val="bottom"/>
            <w:hideMark/>
          </w:tcPr>
          <w:p w14:paraId="2EC0EC05"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530" w:type="pct"/>
            <w:tcBorders>
              <w:top w:val="nil"/>
              <w:left w:val="nil"/>
              <w:bottom w:val="single" w:sz="4" w:space="0" w:color="auto"/>
              <w:right w:val="single" w:sz="4" w:space="0" w:color="auto"/>
            </w:tcBorders>
            <w:shd w:val="clear" w:color="auto" w:fill="auto"/>
            <w:noWrap/>
            <w:vAlign w:val="bottom"/>
            <w:hideMark/>
          </w:tcPr>
          <w:p w14:paraId="3A2B3DAE"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(19.670)</w:t>
            </w:r>
          </w:p>
        </w:tc>
      </w:tr>
      <w:tr w:rsidR="00F41043" w:rsidRPr="00F41043" w14:paraId="6754E4CB"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vAlign w:val="bottom"/>
            <w:hideMark/>
          </w:tcPr>
          <w:p w14:paraId="586B78C4" w14:textId="77777777" w:rsidR="00F41043" w:rsidRPr="00F41043" w:rsidRDefault="00F41043" w:rsidP="00F41043">
            <w:pPr>
              <w:spacing w:after="0" w:line="240" w:lineRule="auto"/>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xml:space="preserve">          Total</w:t>
            </w:r>
          </w:p>
        </w:tc>
        <w:tc>
          <w:tcPr>
            <w:tcW w:w="498" w:type="pct"/>
            <w:tcBorders>
              <w:top w:val="nil"/>
              <w:left w:val="nil"/>
              <w:bottom w:val="single" w:sz="4" w:space="0" w:color="auto"/>
              <w:right w:val="single" w:sz="4" w:space="0" w:color="auto"/>
            </w:tcBorders>
            <w:shd w:val="clear" w:color="auto" w:fill="auto"/>
            <w:noWrap/>
            <w:vAlign w:val="bottom"/>
            <w:hideMark/>
          </w:tcPr>
          <w:p w14:paraId="2E04E6FF" w14:textId="77777777" w:rsidR="00F41043" w:rsidRPr="00F41043" w:rsidRDefault="00F41043" w:rsidP="00F41043">
            <w:pPr>
              <w:spacing w:after="0" w:line="240" w:lineRule="auto"/>
              <w:jc w:val="right"/>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xml:space="preserve">                (10.172)</w:t>
            </w:r>
          </w:p>
        </w:tc>
        <w:tc>
          <w:tcPr>
            <w:tcW w:w="933" w:type="pct"/>
            <w:tcBorders>
              <w:top w:val="nil"/>
              <w:left w:val="nil"/>
              <w:bottom w:val="single" w:sz="4" w:space="0" w:color="auto"/>
              <w:right w:val="single" w:sz="4" w:space="0" w:color="auto"/>
            </w:tcBorders>
            <w:shd w:val="clear" w:color="auto" w:fill="auto"/>
            <w:noWrap/>
            <w:vAlign w:val="bottom"/>
            <w:hideMark/>
          </w:tcPr>
          <w:p w14:paraId="0D1E9EC7" w14:textId="77777777" w:rsidR="00F41043" w:rsidRPr="00F41043" w:rsidRDefault="00F41043" w:rsidP="00F41043">
            <w:pPr>
              <w:spacing w:after="0" w:line="240" w:lineRule="auto"/>
              <w:jc w:val="right"/>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xml:space="preserve">                        -  </w:t>
            </w:r>
          </w:p>
        </w:tc>
        <w:tc>
          <w:tcPr>
            <w:tcW w:w="467" w:type="pct"/>
            <w:tcBorders>
              <w:top w:val="nil"/>
              <w:left w:val="nil"/>
              <w:bottom w:val="single" w:sz="4" w:space="0" w:color="auto"/>
              <w:right w:val="single" w:sz="4" w:space="0" w:color="auto"/>
            </w:tcBorders>
            <w:shd w:val="clear" w:color="auto" w:fill="auto"/>
            <w:noWrap/>
            <w:vAlign w:val="bottom"/>
            <w:hideMark/>
          </w:tcPr>
          <w:p w14:paraId="6ABDFF79" w14:textId="77777777" w:rsidR="00F41043" w:rsidRPr="00F41043" w:rsidRDefault="00F41043" w:rsidP="00F41043">
            <w:pPr>
              <w:spacing w:after="0" w:line="240" w:lineRule="auto"/>
              <w:jc w:val="right"/>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xml:space="preserve">                        -  </w:t>
            </w:r>
          </w:p>
        </w:tc>
        <w:tc>
          <w:tcPr>
            <w:tcW w:w="530" w:type="pct"/>
            <w:tcBorders>
              <w:top w:val="nil"/>
              <w:left w:val="nil"/>
              <w:bottom w:val="single" w:sz="4" w:space="0" w:color="auto"/>
              <w:right w:val="single" w:sz="4" w:space="0" w:color="auto"/>
            </w:tcBorders>
            <w:shd w:val="clear" w:color="auto" w:fill="auto"/>
            <w:noWrap/>
            <w:vAlign w:val="bottom"/>
            <w:hideMark/>
          </w:tcPr>
          <w:p w14:paraId="15FEB43A" w14:textId="77777777" w:rsidR="00F41043" w:rsidRPr="00F41043" w:rsidRDefault="00F41043" w:rsidP="00F41043">
            <w:pPr>
              <w:spacing w:after="0" w:line="240" w:lineRule="auto"/>
              <w:jc w:val="right"/>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xml:space="preserve">                  (10.172)</w:t>
            </w:r>
          </w:p>
        </w:tc>
      </w:tr>
      <w:tr w:rsidR="00F41043" w:rsidRPr="00F41043" w14:paraId="28575826"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vAlign w:val="bottom"/>
            <w:hideMark/>
          </w:tcPr>
          <w:p w14:paraId="3EDA23C7" w14:textId="77777777" w:rsidR="00F41043" w:rsidRPr="00F41043" w:rsidRDefault="00F41043" w:rsidP="00F41043">
            <w:pPr>
              <w:spacing w:after="0" w:line="240" w:lineRule="auto"/>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xml:space="preserve">Caixa Líquido Gerado/(Consumido) pelas Atividades Operacionais </w:t>
            </w:r>
          </w:p>
        </w:tc>
        <w:tc>
          <w:tcPr>
            <w:tcW w:w="498" w:type="pct"/>
            <w:tcBorders>
              <w:top w:val="nil"/>
              <w:left w:val="nil"/>
              <w:bottom w:val="single" w:sz="4" w:space="0" w:color="auto"/>
              <w:right w:val="single" w:sz="4" w:space="0" w:color="auto"/>
            </w:tcBorders>
            <w:shd w:val="clear" w:color="auto" w:fill="auto"/>
            <w:noWrap/>
            <w:vAlign w:val="bottom"/>
            <w:hideMark/>
          </w:tcPr>
          <w:p w14:paraId="519B4F93" w14:textId="77777777" w:rsidR="00F41043" w:rsidRPr="00F41043" w:rsidRDefault="00F41043" w:rsidP="00F41043">
            <w:pPr>
              <w:spacing w:after="0" w:line="240" w:lineRule="auto"/>
              <w:jc w:val="right"/>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xml:space="preserve">                117.104 </w:t>
            </w:r>
          </w:p>
        </w:tc>
        <w:tc>
          <w:tcPr>
            <w:tcW w:w="933" w:type="pct"/>
            <w:tcBorders>
              <w:top w:val="nil"/>
              <w:left w:val="nil"/>
              <w:bottom w:val="single" w:sz="4" w:space="0" w:color="auto"/>
              <w:right w:val="single" w:sz="4" w:space="0" w:color="auto"/>
            </w:tcBorders>
            <w:shd w:val="clear" w:color="auto" w:fill="auto"/>
            <w:noWrap/>
            <w:vAlign w:val="bottom"/>
            <w:hideMark/>
          </w:tcPr>
          <w:p w14:paraId="4E48A2C7" w14:textId="77777777" w:rsidR="00F41043" w:rsidRPr="00F41043" w:rsidRDefault="00F41043" w:rsidP="00F41043">
            <w:pPr>
              <w:spacing w:after="0" w:line="240" w:lineRule="auto"/>
              <w:jc w:val="right"/>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xml:space="preserve">                        -  </w:t>
            </w:r>
          </w:p>
        </w:tc>
        <w:tc>
          <w:tcPr>
            <w:tcW w:w="467" w:type="pct"/>
            <w:tcBorders>
              <w:top w:val="nil"/>
              <w:left w:val="nil"/>
              <w:bottom w:val="single" w:sz="4" w:space="0" w:color="auto"/>
              <w:right w:val="single" w:sz="4" w:space="0" w:color="auto"/>
            </w:tcBorders>
            <w:shd w:val="clear" w:color="auto" w:fill="auto"/>
            <w:noWrap/>
            <w:vAlign w:val="bottom"/>
            <w:hideMark/>
          </w:tcPr>
          <w:p w14:paraId="5399871B" w14:textId="77777777" w:rsidR="00F41043" w:rsidRPr="00F41043" w:rsidRDefault="00F41043" w:rsidP="00F41043">
            <w:pPr>
              <w:spacing w:after="0" w:line="240" w:lineRule="auto"/>
              <w:jc w:val="right"/>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xml:space="preserve">                10.157 </w:t>
            </w:r>
          </w:p>
        </w:tc>
        <w:tc>
          <w:tcPr>
            <w:tcW w:w="530" w:type="pct"/>
            <w:tcBorders>
              <w:top w:val="nil"/>
              <w:left w:val="nil"/>
              <w:bottom w:val="single" w:sz="4" w:space="0" w:color="auto"/>
              <w:right w:val="single" w:sz="4" w:space="0" w:color="auto"/>
            </w:tcBorders>
            <w:shd w:val="clear" w:color="auto" w:fill="auto"/>
            <w:noWrap/>
            <w:vAlign w:val="bottom"/>
            <w:hideMark/>
          </w:tcPr>
          <w:p w14:paraId="43E0F658" w14:textId="77777777" w:rsidR="00F41043" w:rsidRPr="00F41043" w:rsidRDefault="00F41043" w:rsidP="00F41043">
            <w:pPr>
              <w:spacing w:after="0" w:line="240" w:lineRule="auto"/>
              <w:jc w:val="right"/>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xml:space="preserve">                    86.514 </w:t>
            </w:r>
          </w:p>
        </w:tc>
      </w:tr>
      <w:tr w:rsidR="00F41043" w:rsidRPr="00F41043" w14:paraId="09092744"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vAlign w:val="bottom"/>
            <w:hideMark/>
          </w:tcPr>
          <w:p w14:paraId="39DD7CE7" w14:textId="77777777" w:rsidR="00F41043" w:rsidRPr="00F41043" w:rsidRDefault="00F41043" w:rsidP="00F41043">
            <w:pPr>
              <w:spacing w:after="0" w:line="240" w:lineRule="auto"/>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Fluxos de Caixa das Atividades de Investimento:</w:t>
            </w:r>
          </w:p>
        </w:tc>
        <w:tc>
          <w:tcPr>
            <w:tcW w:w="498" w:type="pct"/>
            <w:tcBorders>
              <w:top w:val="nil"/>
              <w:left w:val="nil"/>
              <w:bottom w:val="single" w:sz="4" w:space="0" w:color="auto"/>
              <w:right w:val="single" w:sz="4" w:space="0" w:color="auto"/>
            </w:tcBorders>
            <w:shd w:val="clear" w:color="auto" w:fill="auto"/>
            <w:noWrap/>
            <w:vAlign w:val="bottom"/>
            <w:hideMark/>
          </w:tcPr>
          <w:p w14:paraId="010D6E42"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933" w:type="pct"/>
            <w:tcBorders>
              <w:top w:val="nil"/>
              <w:left w:val="nil"/>
              <w:bottom w:val="single" w:sz="4" w:space="0" w:color="auto"/>
              <w:right w:val="single" w:sz="4" w:space="0" w:color="auto"/>
            </w:tcBorders>
            <w:shd w:val="clear" w:color="auto" w:fill="auto"/>
            <w:noWrap/>
            <w:vAlign w:val="bottom"/>
            <w:hideMark/>
          </w:tcPr>
          <w:p w14:paraId="7B4B8043"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467" w:type="pct"/>
            <w:tcBorders>
              <w:top w:val="nil"/>
              <w:left w:val="nil"/>
              <w:bottom w:val="single" w:sz="4" w:space="0" w:color="auto"/>
              <w:right w:val="single" w:sz="4" w:space="0" w:color="auto"/>
            </w:tcBorders>
            <w:shd w:val="clear" w:color="auto" w:fill="auto"/>
            <w:noWrap/>
            <w:vAlign w:val="bottom"/>
            <w:hideMark/>
          </w:tcPr>
          <w:p w14:paraId="1A848394"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530" w:type="pct"/>
            <w:tcBorders>
              <w:top w:val="nil"/>
              <w:left w:val="nil"/>
              <w:bottom w:val="single" w:sz="4" w:space="0" w:color="auto"/>
              <w:right w:val="single" w:sz="4" w:space="0" w:color="auto"/>
            </w:tcBorders>
            <w:shd w:val="clear" w:color="auto" w:fill="auto"/>
            <w:noWrap/>
            <w:vAlign w:val="bottom"/>
            <w:hideMark/>
          </w:tcPr>
          <w:p w14:paraId="68B87FBB"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r>
      <w:tr w:rsidR="00F41043" w:rsidRPr="00F41043" w14:paraId="3D4CB8CD"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hideMark/>
          </w:tcPr>
          <w:p w14:paraId="3F34189F" w14:textId="77777777" w:rsidR="00F41043" w:rsidRPr="00F41043" w:rsidRDefault="00F41043" w:rsidP="00F41043">
            <w:pPr>
              <w:spacing w:after="0" w:line="240" w:lineRule="auto"/>
              <w:ind w:firstLineChars="200" w:firstLine="260"/>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Aquisição de Imobilizado / Intangível </w:t>
            </w:r>
          </w:p>
        </w:tc>
        <w:tc>
          <w:tcPr>
            <w:tcW w:w="498" w:type="pct"/>
            <w:tcBorders>
              <w:top w:val="nil"/>
              <w:left w:val="nil"/>
              <w:bottom w:val="single" w:sz="4" w:space="0" w:color="auto"/>
              <w:right w:val="single" w:sz="4" w:space="0" w:color="auto"/>
            </w:tcBorders>
            <w:shd w:val="clear" w:color="auto" w:fill="auto"/>
            <w:noWrap/>
            <w:vAlign w:val="bottom"/>
            <w:hideMark/>
          </w:tcPr>
          <w:p w14:paraId="4CA15916"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(53.270)</w:t>
            </w:r>
          </w:p>
        </w:tc>
        <w:tc>
          <w:tcPr>
            <w:tcW w:w="933" w:type="pct"/>
            <w:tcBorders>
              <w:top w:val="nil"/>
              <w:left w:val="nil"/>
              <w:bottom w:val="single" w:sz="4" w:space="0" w:color="auto"/>
              <w:right w:val="single" w:sz="4" w:space="0" w:color="auto"/>
            </w:tcBorders>
            <w:shd w:val="clear" w:color="auto" w:fill="auto"/>
            <w:noWrap/>
            <w:vAlign w:val="bottom"/>
            <w:hideMark/>
          </w:tcPr>
          <w:p w14:paraId="64E38C36"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467" w:type="pct"/>
            <w:tcBorders>
              <w:top w:val="nil"/>
              <w:left w:val="nil"/>
              <w:bottom w:val="single" w:sz="4" w:space="0" w:color="auto"/>
              <w:right w:val="single" w:sz="4" w:space="0" w:color="auto"/>
            </w:tcBorders>
            <w:shd w:val="clear" w:color="auto" w:fill="auto"/>
            <w:noWrap/>
            <w:vAlign w:val="bottom"/>
            <w:hideMark/>
          </w:tcPr>
          <w:p w14:paraId="0886F10D"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530" w:type="pct"/>
            <w:tcBorders>
              <w:top w:val="nil"/>
              <w:left w:val="nil"/>
              <w:bottom w:val="single" w:sz="4" w:space="0" w:color="auto"/>
              <w:right w:val="single" w:sz="4" w:space="0" w:color="auto"/>
            </w:tcBorders>
            <w:shd w:val="clear" w:color="auto" w:fill="auto"/>
            <w:noWrap/>
            <w:vAlign w:val="bottom"/>
            <w:hideMark/>
          </w:tcPr>
          <w:p w14:paraId="3BDA35BF"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(53.270)</w:t>
            </w:r>
          </w:p>
        </w:tc>
      </w:tr>
      <w:tr w:rsidR="00F41043" w:rsidRPr="00F41043" w14:paraId="56F2C10F"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vAlign w:val="bottom"/>
            <w:hideMark/>
          </w:tcPr>
          <w:p w14:paraId="435A7733" w14:textId="77777777" w:rsidR="00F41043" w:rsidRPr="00F41043" w:rsidRDefault="00F41043" w:rsidP="00F41043">
            <w:pPr>
              <w:spacing w:after="0" w:line="240" w:lineRule="auto"/>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xml:space="preserve">Caixa Líquido Consumido pelas Atividades de Investimento </w:t>
            </w:r>
          </w:p>
        </w:tc>
        <w:tc>
          <w:tcPr>
            <w:tcW w:w="498" w:type="pct"/>
            <w:tcBorders>
              <w:top w:val="nil"/>
              <w:left w:val="nil"/>
              <w:bottom w:val="single" w:sz="4" w:space="0" w:color="auto"/>
              <w:right w:val="single" w:sz="4" w:space="0" w:color="auto"/>
            </w:tcBorders>
            <w:shd w:val="clear" w:color="auto" w:fill="auto"/>
            <w:noWrap/>
            <w:vAlign w:val="bottom"/>
            <w:hideMark/>
          </w:tcPr>
          <w:p w14:paraId="009BBA7F" w14:textId="77777777" w:rsidR="00F41043" w:rsidRPr="00F41043" w:rsidRDefault="00F41043" w:rsidP="00F41043">
            <w:pPr>
              <w:spacing w:after="0" w:line="240" w:lineRule="auto"/>
              <w:jc w:val="right"/>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xml:space="preserve">                (53.270)</w:t>
            </w:r>
          </w:p>
        </w:tc>
        <w:tc>
          <w:tcPr>
            <w:tcW w:w="933" w:type="pct"/>
            <w:tcBorders>
              <w:top w:val="nil"/>
              <w:left w:val="nil"/>
              <w:bottom w:val="single" w:sz="4" w:space="0" w:color="auto"/>
              <w:right w:val="single" w:sz="4" w:space="0" w:color="auto"/>
            </w:tcBorders>
            <w:shd w:val="clear" w:color="auto" w:fill="auto"/>
            <w:noWrap/>
            <w:vAlign w:val="bottom"/>
            <w:hideMark/>
          </w:tcPr>
          <w:p w14:paraId="714E3AE1" w14:textId="77777777" w:rsidR="00F41043" w:rsidRPr="00F41043" w:rsidRDefault="00F41043" w:rsidP="00F41043">
            <w:pPr>
              <w:spacing w:after="0" w:line="240" w:lineRule="auto"/>
              <w:jc w:val="right"/>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xml:space="preserve">                        -  </w:t>
            </w:r>
          </w:p>
        </w:tc>
        <w:tc>
          <w:tcPr>
            <w:tcW w:w="467" w:type="pct"/>
            <w:tcBorders>
              <w:top w:val="nil"/>
              <w:left w:val="nil"/>
              <w:bottom w:val="single" w:sz="4" w:space="0" w:color="auto"/>
              <w:right w:val="single" w:sz="4" w:space="0" w:color="auto"/>
            </w:tcBorders>
            <w:shd w:val="clear" w:color="auto" w:fill="auto"/>
            <w:noWrap/>
            <w:vAlign w:val="bottom"/>
            <w:hideMark/>
          </w:tcPr>
          <w:p w14:paraId="6135B20A" w14:textId="77777777" w:rsidR="00F41043" w:rsidRPr="00F41043" w:rsidRDefault="00F41043" w:rsidP="00F41043">
            <w:pPr>
              <w:spacing w:after="0" w:line="240" w:lineRule="auto"/>
              <w:jc w:val="right"/>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xml:space="preserve">                        -  </w:t>
            </w:r>
          </w:p>
        </w:tc>
        <w:tc>
          <w:tcPr>
            <w:tcW w:w="530" w:type="pct"/>
            <w:tcBorders>
              <w:top w:val="nil"/>
              <w:left w:val="nil"/>
              <w:bottom w:val="single" w:sz="4" w:space="0" w:color="auto"/>
              <w:right w:val="single" w:sz="4" w:space="0" w:color="auto"/>
            </w:tcBorders>
            <w:shd w:val="clear" w:color="auto" w:fill="auto"/>
            <w:noWrap/>
            <w:vAlign w:val="bottom"/>
            <w:hideMark/>
          </w:tcPr>
          <w:p w14:paraId="63FC0904" w14:textId="77777777" w:rsidR="00F41043" w:rsidRPr="00F41043" w:rsidRDefault="00F41043" w:rsidP="00F41043">
            <w:pPr>
              <w:spacing w:after="0" w:line="240" w:lineRule="auto"/>
              <w:jc w:val="right"/>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xml:space="preserve">                  (53.270)</w:t>
            </w:r>
          </w:p>
        </w:tc>
      </w:tr>
      <w:tr w:rsidR="00F41043" w:rsidRPr="00F41043" w14:paraId="22B6C9A5"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vAlign w:val="bottom"/>
            <w:hideMark/>
          </w:tcPr>
          <w:p w14:paraId="39E537CA" w14:textId="77777777" w:rsidR="00F41043" w:rsidRPr="00F41043" w:rsidRDefault="00F41043" w:rsidP="00F41043">
            <w:pPr>
              <w:spacing w:after="0" w:line="240" w:lineRule="auto"/>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Fluxos de Caixa das Atividades de Financiamento:</w:t>
            </w:r>
          </w:p>
        </w:tc>
        <w:tc>
          <w:tcPr>
            <w:tcW w:w="498" w:type="pct"/>
            <w:tcBorders>
              <w:top w:val="nil"/>
              <w:left w:val="nil"/>
              <w:bottom w:val="single" w:sz="4" w:space="0" w:color="auto"/>
              <w:right w:val="single" w:sz="4" w:space="0" w:color="auto"/>
            </w:tcBorders>
            <w:shd w:val="clear" w:color="auto" w:fill="auto"/>
            <w:noWrap/>
            <w:vAlign w:val="bottom"/>
            <w:hideMark/>
          </w:tcPr>
          <w:p w14:paraId="299A03F8"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933" w:type="pct"/>
            <w:tcBorders>
              <w:top w:val="nil"/>
              <w:left w:val="nil"/>
              <w:bottom w:val="single" w:sz="4" w:space="0" w:color="auto"/>
              <w:right w:val="single" w:sz="4" w:space="0" w:color="auto"/>
            </w:tcBorders>
            <w:shd w:val="clear" w:color="auto" w:fill="auto"/>
            <w:noWrap/>
            <w:vAlign w:val="bottom"/>
            <w:hideMark/>
          </w:tcPr>
          <w:p w14:paraId="149714CB"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467" w:type="pct"/>
            <w:tcBorders>
              <w:top w:val="nil"/>
              <w:left w:val="nil"/>
              <w:bottom w:val="single" w:sz="4" w:space="0" w:color="auto"/>
              <w:right w:val="single" w:sz="4" w:space="0" w:color="auto"/>
            </w:tcBorders>
            <w:shd w:val="clear" w:color="auto" w:fill="auto"/>
            <w:noWrap/>
            <w:vAlign w:val="bottom"/>
            <w:hideMark/>
          </w:tcPr>
          <w:p w14:paraId="03055F1B"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530" w:type="pct"/>
            <w:tcBorders>
              <w:top w:val="nil"/>
              <w:left w:val="nil"/>
              <w:bottom w:val="single" w:sz="4" w:space="0" w:color="auto"/>
              <w:right w:val="single" w:sz="4" w:space="0" w:color="auto"/>
            </w:tcBorders>
            <w:shd w:val="clear" w:color="auto" w:fill="auto"/>
            <w:noWrap/>
            <w:vAlign w:val="bottom"/>
            <w:hideMark/>
          </w:tcPr>
          <w:p w14:paraId="001E3A7F"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r>
      <w:tr w:rsidR="00F41043" w:rsidRPr="00F41043" w14:paraId="7C9ED4AB"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hideMark/>
          </w:tcPr>
          <w:p w14:paraId="59628F8F" w14:textId="77777777" w:rsidR="00F41043" w:rsidRPr="00F41043" w:rsidRDefault="00F41043" w:rsidP="00F41043">
            <w:pPr>
              <w:spacing w:after="0" w:line="240" w:lineRule="auto"/>
              <w:ind w:firstLineChars="100" w:firstLine="130"/>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Pagamento de Principal - Arrendamento Mercantil Financeiro </w:t>
            </w:r>
          </w:p>
        </w:tc>
        <w:tc>
          <w:tcPr>
            <w:tcW w:w="498" w:type="pct"/>
            <w:tcBorders>
              <w:top w:val="nil"/>
              <w:left w:val="nil"/>
              <w:bottom w:val="single" w:sz="4" w:space="0" w:color="auto"/>
              <w:right w:val="single" w:sz="4" w:space="0" w:color="auto"/>
            </w:tcBorders>
            <w:shd w:val="clear" w:color="auto" w:fill="auto"/>
            <w:noWrap/>
            <w:vAlign w:val="bottom"/>
            <w:hideMark/>
          </w:tcPr>
          <w:p w14:paraId="352A3B9D"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(4.832)</w:t>
            </w:r>
          </w:p>
        </w:tc>
        <w:tc>
          <w:tcPr>
            <w:tcW w:w="933" w:type="pct"/>
            <w:tcBorders>
              <w:top w:val="nil"/>
              <w:left w:val="nil"/>
              <w:bottom w:val="single" w:sz="4" w:space="0" w:color="auto"/>
              <w:right w:val="single" w:sz="4" w:space="0" w:color="auto"/>
            </w:tcBorders>
            <w:shd w:val="clear" w:color="auto" w:fill="auto"/>
            <w:noWrap/>
            <w:vAlign w:val="bottom"/>
            <w:hideMark/>
          </w:tcPr>
          <w:p w14:paraId="303DC7A2"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467" w:type="pct"/>
            <w:tcBorders>
              <w:top w:val="nil"/>
              <w:left w:val="nil"/>
              <w:bottom w:val="single" w:sz="4" w:space="0" w:color="auto"/>
              <w:right w:val="single" w:sz="4" w:space="0" w:color="auto"/>
            </w:tcBorders>
            <w:shd w:val="clear" w:color="auto" w:fill="auto"/>
            <w:noWrap/>
            <w:vAlign w:val="bottom"/>
            <w:hideMark/>
          </w:tcPr>
          <w:p w14:paraId="4D206446"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530" w:type="pct"/>
            <w:tcBorders>
              <w:top w:val="nil"/>
              <w:left w:val="nil"/>
              <w:bottom w:val="single" w:sz="4" w:space="0" w:color="auto"/>
              <w:right w:val="single" w:sz="4" w:space="0" w:color="auto"/>
            </w:tcBorders>
            <w:shd w:val="clear" w:color="auto" w:fill="auto"/>
            <w:noWrap/>
            <w:vAlign w:val="bottom"/>
            <w:hideMark/>
          </w:tcPr>
          <w:p w14:paraId="6EB3A3C6"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(4.832)</w:t>
            </w:r>
          </w:p>
        </w:tc>
      </w:tr>
      <w:tr w:rsidR="00F41043" w:rsidRPr="00F41043" w14:paraId="46E81008"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vAlign w:val="bottom"/>
            <w:hideMark/>
          </w:tcPr>
          <w:p w14:paraId="74519A21" w14:textId="77777777" w:rsidR="00F41043" w:rsidRPr="00F41043" w:rsidRDefault="00F41043" w:rsidP="00F41043">
            <w:pPr>
              <w:spacing w:after="0" w:line="240" w:lineRule="auto"/>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Pagamento de Principal de Acordos Judiciais</w:t>
            </w:r>
          </w:p>
        </w:tc>
        <w:tc>
          <w:tcPr>
            <w:tcW w:w="498" w:type="pct"/>
            <w:tcBorders>
              <w:top w:val="nil"/>
              <w:left w:val="nil"/>
              <w:bottom w:val="single" w:sz="4" w:space="0" w:color="auto"/>
              <w:right w:val="single" w:sz="4" w:space="0" w:color="auto"/>
            </w:tcBorders>
            <w:shd w:val="clear" w:color="auto" w:fill="auto"/>
            <w:noWrap/>
            <w:vAlign w:val="bottom"/>
            <w:hideMark/>
          </w:tcPr>
          <w:p w14:paraId="7992E77C"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(16.199)</w:t>
            </w:r>
          </w:p>
        </w:tc>
        <w:tc>
          <w:tcPr>
            <w:tcW w:w="933" w:type="pct"/>
            <w:tcBorders>
              <w:top w:val="nil"/>
              <w:left w:val="nil"/>
              <w:bottom w:val="single" w:sz="4" w:space="0" w:color="auto"/>
              <w:right w:val="single" w:sz="4" w:space="0" w:color="auto"/>
            </w:tcBorders>
            <w:shd w:val="clear" w:color="auto" w:fill="auto"/>
            <w:noWrap/>
            <w:vAlign w:val="bottom"/>
            <w:hideMark/>
          </w:tcPr>
          <w:p w14:paraId="13C777DC"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467" w:type="pct"/>
            <w:tcBorders>
              <w:top w:val="nil"/>
              <w:left w:val="nil"/>
              <w:bottom w:val="single" w:sz="4" w:space="0" w:color="auto"/>
              <w:right w:val="single" w:sz="4" w:space="0" w:color="auto"/>
            </w:tcBorders>
            <w:shd w:val="clear" w:color="auto" w:fill="auto"/>
            <w:noWrap/>
            <w:vAlign w:val="bottom"/>
            <w:hideMark/>
          </w:tcPr>
          <w:p w14:paraId="664DF77B"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530" w:type="pct"/>
            <w:tcBorders>
              <w:top w:val="nil"/>
              <w:left w:val="nil"/>
              <w:bottom w:val="single" w:sz="4" w:space="0" w:color="auto"/>
              <w:right w:val="single" w:sz="4" w:space="0" w:color="auto"/>
            </w:tcBorders>
            <w:shd w:val="clear" w:color="auto" w:fill="auto"/>
            <w:noWrap/>
            <w:vAlign w:val="bottom"/>
            <w:hideMark/>
          </w:tcPr>
          <w:p w14:paraId="581C0B3D"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(16.199)</w:t>
            </w:r>
          </w:p>
        </w:tc>
      </w:tr>
      <w:tr w:rsidR="00F41043" w:rsidRPr="00F41043" w14:paraId="022E3843"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vAlign w:val="bottom"/>
            <w:hideMark/>
          </w:tcPr>
          <w:p w14:paraId="4FBBD9D3" w14:textId="77777777" w:rsidR="00F41043" w:rsidRPr="00F41043" w:rsidRDefault="00F41043" w:rsidP="00F41043">
            <w:pPr>
              <w:spacing w:after="0" w:line="240" w:lineRule="auto"/>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Pagamentos - Financiamento - Finep - Principal</w:t>
            </w:r>
          </w:p>
        </w:tc>
        <w:tc>
          <w:tcPr>
            <w:tcW w:w="498" w:type="pct"/>
            <w:tcBorders>
              <w:top w:val="nil"/>
              <w:left w:val="nil"/>
              <w:bottom w:val="single" w:sz="4" w:space="0" w:color="auto"/>
              <w:right w:val="single" w:sz="4" w:space="0" w:color="auto"/>
            </w:tcBorders>
            <w:shd w:val="clear" w:color="auto" w:fill="auto"/>
            <w:noWrap/>
            <w:vAlign w:val="bottom"/>
            <w:hideMark/>
          </w:tcPr>
          <w:p w14:paraId="74A04219"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(50.400)</w:t>
            </w:r>
          </w:p>
        </w:tc>
        <w:tc>
          <w:tcPr>
            <w:tcW w:w="933" w:type="pct"/>
            <w:tcBorders>
              <w:top w:val="nil"/>
              <w:left w:val="nil"/>
              <w:bottom w:val="single" w:sz="4" w:space="0" w:color="auto"/>
              <w:right w:val="single" w:sz="4" w:space="0" w:color="auto"/>
            </w:tcBorders>
            <w:shd w:val="clear" w:color="auto" w:fill="auto"/>
            <w:noWrap/>
            <w:vAlign w:val="bottom"/>
            <w:hideMark/>
          </w:tcPr>
          <w:p w14:paraId="4314C01A"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467" w:type="pct"/>
            <w:tcBorders>
              <w:top w:val="nil"/>
              <w:left w:val="nil"/>
              <w:bottom w:val="single" w:sz="4" w:space="0" w:color="auto"/>
              <w:right w:val="single" w:sz="4" w:space="0" w:color="auto"/>
            </w:tcBorders>
            <w:shd w:val="clear" w:color="auto" w:fill="auto"/>
            <w:noWrap/>
            <w:vAlign w:val="bottom"/>
            <w:hideMark/>
          </w:tcPr>
          <w:p w14:paraId="0E1A8B93"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530" w:type="pct"/>
            <w:tcBorders>
              <w:top w:val="nil"/>
              <w:left w:val="nil"/>
              <w:bottom w:val="single" w:sz="4" w:space="0" w:color="auto"/>
              <w:right w:val="single" w:sz="4" w:space="0" w:color="auto"/>
            </w:tcBorders>
            <w:shd w:val="clear" w:color="auto" w:fill="auto"/>
            <w:noWrap/>
            <w:vAlign w:val="bottom"/>
            <w:hideMark/>
          </w:tcPr>
          <w:p w14:paraId="2B694FFC"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(50.400)</w:t>
            </w:r>
          </w:p>
        </w:tc>
      </w:tr>
      <w:tr w:rsidR="00F41043" w:rsidRPr="00F41043" w14:paraId="3DC93852"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vAlign w:val="bottom"/>
            <w:hideMark/>
          </w:tcPr>
          <w:p w14:paraId="42312148" w14:textId="77777777" w:rsidR="00F41043" w:rsidRPr="00F41043" w:rsidRDefault="00F41043" w:rsidP="00F41043">
            <w:pPr>
              <w:spacing w:after="0" w:line="240" w:lineRule="auto"/>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Recebimento Parcela - Superávit Previdência Privada</w:t>
            </w:r>
          </w:p>
        </w:tc>
        <w:tc>
          <w:tcPr>
            <w:tcW w:w="498" w:type="pct"/>
            <w:tcBorders>
              <w:top w:val="nil"/>
              <w:left w:val="nil"/>
              <w:bottom w:val="single" w:sz="4" w:space="0" w:color="auto"/>
              <w:right w:val="single" w:sz="4" w:space="0" w:color="auto"/>
            </w:tcBorders>
            <w:shd w:val="clear" w:color="auto" w:fill="auto"/>
            <w:noWrap/>
            <w:vAlign w:val="bottom"/>
            <w:hideMark/>
          </w:tcPr>
          <w:p w14:paraId="71D690CF"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87.098 </w:t>
            </w:r>
          </w:p>
        </w:tc>
        <w:tc>
          <w:tcPr>
            <w:tcW w:w="933" w:type="pct"/>
            <w:tcBorders>
              <w:top w:val="nil"/>
              <w:left w:val="nil"/>
              <w:bottom w:val="single" w:sz="4" w:space="0" w:color="auto"/>
              <w:right w:val="single" w:sz="4" w:space="0" w:color="auto"/>
            </w:tcBorders>
            <w:shd w:val="clear" w:color="auto" w:fill="auto"/>
            <w:noWrap/>
            <w:vAlign w:val="bottom"/>
            <w:hideMark/>
          </w:tcPr>
          <w:p w14:paraId="4F7E5B3F"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467" w:type="pct"/>
            <w:tcBorders>
              <w:top w:val="nil"/>
              <w:left w:val="nil"/>
              <w:bottom w:val="single" w:sz="4" w:space="0" w:color="auto"/>
              <w:right w:val="single" w:sz="4" w:space="0" w:color="auto"/>
            </w:tcBorders>
            <w:shd w:val="clear" w:color="auto" w:fill="auto"/>
            <w:noWrap/>
            <w:vAlign w:val="bottom"/>
            <w:hideMark/>
          </w:tcPr>
          <w:p w14:paraId="3D7F5814"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530" w:type="pct"/>
            <w:tcBorders>
              <w:top w:val="nil"/>
              <w:left w:val="nil"/>
              <w:bottom w:val="single" w:sz="4" w:space="0" w:color="auto"/>
              <w:right w:val="single" w:sz="4" w:space="0" w:color="auto"/>
            </w:tcBorders>
            <w:shd w:val="clear" w:color="auto" w:fill="auto"/>
            <w:noWrap/>
            <w:vAlign w:val="bottom"/>
            <w:hideMark/>
          </w:tcPr>
          <w:p w14:paraId="5962C916"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87.098 </w:t>
            </w:r>
          </w:p>
        </w:tc>
      </w:tr>
      <w:tr w:rsidR="00F41043" w:rsidRPr="00F41043" w14:paraId="31D1B30D"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vAlign w:val="bottom"/>
            <w:hideMark/>
          </w:tcPr>
          <w:p w14:paraId="6B8267C5" w14:textId="77777777" w:rsidR="00F41043" w:rsidRPr="00F41043" w:rsidRDefault="00F41043" w:rsidP="00F41043">
            <w:pPr>
              <w:spacing w:after="0" w:line="240" w:lineRule="auto"/>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Recebimento de Adiantamento p/ Futuro Aumento de Capital</w:t>
            </w:r>
          </w:p>
        </w:tc>
        <w:tc>
          <w:tcPr>
            <w:tcW w:w="498" w:type="pct"/>
            <w:tcBorders>
              <w:top w:val="nil"/>
              <w:left w:val="nil"/>
              <w:bottom w:val="single" w:sz="4" w:space="0" w:color="auto"/>
              <w:right w:val="single" w:sz="4" w:space="0" w:color="auto"/>
            </w:tcBorders>
            <w:shd w:val="clear" w:color="auto" w:fill="auto"/>
            <w:noWrap/>
            <w:vAlign w:val="bottom"/>
            <w:hideMark/>
          </w:tcPr>
          <w:p w14:paraId="04D3E36F"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271</w:t>
            </w:r>
          </w:p>
        </w:tc>
        <w:tc>
          <w:tcPr>
            <w:tcW w:w="933" w:type="pct"/>
            <w:tcBorders>
              <w:top w:val="nil"/>
              <w:left w:val="nil"/>
              <w:bottom w:val="single" w:sz="4" w:space="0" w:color="auto"/>
              <w:right w:val="single" w:sz="4" w:space="0" w:color="auto"/>
            </w:tcBorders>
            <w:shd w:val="clear" w:color="auto" w:fill="auto"/>
            <w:noWrap/>
            <w:vAlign w:val="bottom"/>
            <w:hideMark/>
          </w:tcPr>
          <w:p w14:paraId="4FC8DE55"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30.590 </w:t>
            </w:r>
          </w:p>
        </w:tc>
        <w:tc>
          <w:tcPr>
            <w:tcW w:w="467" w:type="pct"/>
            <w:tcBorders>
              <w:top w:val="nil"/>
              <w:left w:val="nil"/>
              <w:bottom w:val="single" w:sz="4" w:space="0" w:color="auto"/>
              <w:right w:val="single" w:sz="4" w:space="0" w:color="auto"/>
            </w:tcBorders>
            <w:shd w:val="clear" w:color="auto" w:fill="auto"/>
            <w:noWrap/>
            <w:vAlign w:val="bottom"/>
            <w:hideMark/>
          </w:tcPr>
          <w:p w14:paraId="680647E1"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530" w:type="pct"/>
            <w:tcBorders>
              <w:top w:val="nil"/>
              <w:left w:val="nil"/>
              <w:bottom w:val="single" w:sz="4" w:space="0" w:color="auto"/>
              <w:right w:val="single" w:sz="4" w:space="0" w:color="auto"/>
            </w:tcBorders>
            <w:shd w:val="clear" w:color="auto" w:fill="auto"/>
            <w:noWrap/>
            <w:vAlign w:val="bottom"/>
            <w:hideMark/>
          </w:tcPr>
          <w:p w14:paraId="54007D3F"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30.861 </w:t>
            </w:r>
          </w:p>
        </w:tc>
      </w:tr>
      <w:tr w:rsidR="00F41043" w:rsidRPr="00F41043" w14:paraId="2F3BF405"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vAlign w:val="bottom"/>
            <w:hideMark/>
          </w:tcPr>
          <w:p w14:paraId="54CED968" w14:textId="77777777" w:rsidR="00F41043" w:rsidRPr="00F41043" w:rsidRDefault="00F41043" w:rsidP="00F41043">
            <w:pPr>
              <w:spacing w:after="0" w:line="240" w:lineRule="auto"/>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Caixa Líquido Gerado pelas Atividades de Financiamento</w:t>
            </w:r>
          </w:p>
        </w:tc>
        <w:tc>
          <w:tcPr>
            <w:tcW w:w="498" w:type="pct"/>
            <w:tcBorders>
              <w:top w:val="nil"/>
              <w:left w:val="nil"/>
              <w:bottom w:val="single" w:sz="4" w:space="0" w:color="auto"/>
              <w:right w:val="single" w:sz="4" w:space="0" w:color="auto"/>
            </w:tcBorders>
            <w:shd w:val="clear" w:color="auto" w:fill="auto"/>
            <w:noWrap/>
            <w:vAlign w:val="bottom"/>
            <w:hideMark/>
          </w:tcPr>
          <w:p w14:paraId="1E7742E6" w14:textId="77777777" w:rsidR="00F41043" w:rsidRPr="00F41043" w:rsidRDefault="00F41043" w:rsidP="00F41043">
            <w:pPr>
              <w:spacing w:after="0" w:line="240" w:lineRule="auto"/>
              <w:jc w:val="right"/>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xml:space="preserve">                  15.938 </w:t>
            </w:r>
          </w:p>
        </w:tc>
        <w:tc>
          <w:tcPr>
            <w:tcW w:w="933" w:type="pct"/>
            <w:tcBorders>
              <w:top w:val="nil"/>
              <w:left w:val="nil"/>
              <w:bottom w:val="single" w:sz="4" w:space="0" w:color="auto"/>
              <w:right w:val="single" w:sz="4" w:space="0" w:color="auto"/>
            </w:tcBorders>
            <w:shd w:val="clear" w:color="auto" w:fill="auto"/>
            <w:noWrap/>
            <w:vAlign w:val="bottom"/>
            <w:hideMark/>
          </w:tcPr>
          <w:p w14:paraId="604E3C68" w14:textId="77777777" w:rsidR="00F41043" w:rsidRPr="00F41043" w:rsidRDefault="00F41043" w:rsidP="00F41043">
            <w:pPr>
              <w:spacing w:after="0" w:line="240" w:lineRule="auto"/>
              <w:jc w:val="right"/>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xml:space="preserve">                30.590 </w:t>
            </w:r>
          </w:p>
        </w:tc>
        <w:tc>
          <w:tcPr>
            <w:tcW w:w="467" w:type="pct"/>
            <w:tcBorders>
              <w:top w:val="nil"/>
              <w:left w:val="nil"/>
              <w:bottom w:val="single" w:sz="4" w:space="0" w:color="auto"/>
              <w:right w:val="single" w:sz="4" w:space="0" w:color="auto"/>
            </w:tcBorders>
            <w:shd w:val="clear" w:color="auto" w:fill="auto"/>
            <w:noWrap/>
            <w:vAlign w:val="bottom"/>
            <w:hideMark/>
          </w:tcPr>
          <w:p w14:paraId="34704D3B" w14:textId="77777777" w:rsidR="00F41043" w:rsidRPr="00F41043" w:rsidRDefault="00F41043" w:rsidP="00F41043">
            <w:pPr>
              <w:spacing w:after="0" w:line="240" w:lineRule="auto"/>
              <w:jc w:val="right"/>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xml:space="preserve">                        -  </w:t>
            </w:r>
          </w:p>
        </w:tc>
        <w:tc>
          <w:tcPr>
            <w:tcW w:w="530" w:type="pct"/>
            <w:tcBorders>
              <w:top w:val="nil"/>
              <w:left w:val="nil"/>
              <w:bottom w:val="single" w:sz="4" w:space="0" w:color="auto"/>
              <w:right w:val="single" w:sz="4" w:space="0" w:color="auto"/>
            </w:tcBorders>
            <w:shd w:val="clear" w:color="auto" w:fill="auto"/>
            <w:noWrap/>
            <w:vAlign w:val="bottom"/>
            <w:hideMark/>
          </w:tcPr>
          <w:p w14:paraId="534F960B" w14:textId="77777777" w:rsidR="00F41043" w:rsidRPr="00F41043" w:rsidRDefault="00F41043" w:rsidP="00F41043">
            <w:pPr>
              <w:spacing w:after="0" w:line="240" w:lineRule="auto"/>
              <w:jc w:val="right"/>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xml:space="preserve">                    46.528 </w:t>
            </w:r>
          </w:p>
        </w:tc>
      </w:tr>
      <w:tr w:rsidR="00F41043" w:rsidRPr="00F41043" w14:paraId="737C5DE8"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vAlign w:val="bottom"/>
            <w:hideMark/>
          </w:tcPr>
          <w:p w14:paraId="2A0D3D5B" w14:textId="77777777" w:rsidR="00F41043" w:rsidRPr="00F41043" w:rsidRDefault="00F41043" w:rsidP="00F41043">
            <w:pPr>
              <w:spacing w:after="0" w:line="240" w:lineRule="auto"/>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Variação Líquida de Caixa e Equivalentes de Caixa</w:t>
            </w:r>
          </w:p>
        </w:tc>
        <w:tc>
          <w:tcPr>
            <w:tcW w:w="498" w:type="pct"/>
            <w:tcBorders>
              <w:top w:val="nil"/>
              <w:left w:val="nil"/>
              <w:bottom w:val="single" w:sz="4" w:space="0" w:color="auto"/>
              <w:right w:val="single" w:sz="4" w:space="0" w:color="auto"/>
            </w:tcBorders>
            <w:shd w:val="clear" w:color="auto" w:fill="auto"/>
            <w:noWrap/>
            <w:vAlign w:val="bottom"/>
            <w:hideMark/>
          </w:tcPr>
          <w:p w14:paraId="58F7A838" w14:textId="77777777" w:rsidR="00F41043" w:rsidRPr="00F41043" w:rsidRDefault="00F41043" w:rsidP="00F41043">
            <w:pPr>
              <w:spacing w:after="0" w:line="240" w:lineRule="auto"/>
              <w:jc w:val="right"/>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xml:space="preserve">                  79.772 </w:t>
            </w:r>
          </w:p>
        </w:tc>
        <w:tc>
          <w:tcPr>
            <w:tcW w:w="933" w:type="pct"/>
            <w:tcBorders>
              <w:top w:val="nil"/>
              <w:left w:val="nil"/>
              <w:bottom w:val="single" w:sz="4" w:space="0" w:color="auto"/>
              <w:right w:val="single" w:sz="4" w:space="0" w:color="auto"/>
            </w:tcBorders>
            <w:shd w:val="clear" w:color="auto" w:fill="auto"/>
            <w:noWrap/>
            <w:vAlign w:val="bottom"/>
            <w:hideMark/>
          </w:tcPr>
          <w:p w14:paraId="2FFD5638" w14:textId="77777777" w:rsidR="00F41043" w:rsidRPr="00F41043" w:rsidRDefault="00F41043" w:rsidP="00F41043">
            <w:pPr>
              <w:spacing w:after="0" w:line="240" w:lineRule="auto"/>
              <w:jc w:val="right"/>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xml:space="preserve">                30.590 </w:t>
            </w:r>
          </w:p>
        </w:tc>
        <w:tc>
          <w:tcPr>
            <w:tcW w:w="467" w:type="pct"/>
            <w:tcBorders>
              <w:top w:val="nil"/>
              <w:left w:val="nil"/>
              <w:bottom w:val="single" w:sz="4" w:space="0" w:color="auto"/>
              <w:right w:val="single" w:sz="4" w:space="0" w:color="auto"/>
            </w:tcBorders>
            <w:shd w:val="clear" w:color="auto" w:fill="auto"/>
            <w:noWrap/>
            <w:vAlign w:val="bottom"/>
            <w:hideMark/>
          </w:tcPr>
          <w:p w14:paraId="24E16F13" w14:textId="77777777" w:rsidR="00F41043" w:rsidRPr="00F41043" w:rsidRDefault="00F41043" w:rsidP="00F41043">
            <w:pPr>
              <w:spacing w:after="0" w:line="240" w:lineRule="auto"/>
              <w:jc w:val="right"/>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xml:space="preserve">                10.157 </w:t>
            </w:r>
          </w:p>
        </w:tc>
        <w:tc>
          <w:tcPr>
            <w:tcW w:w="530" w:type="pct"/>
            <w:tcBorders>
              <w:top w:val="nil"/>
              <w:left w:val="nil"/>
              <w:bottom w:val="single" w:sz="4" w:space="0" w:color="auto"/>
              <w:right w:val="single" w:sz="4" w:space="0" w:color="auto"/>
            </w:tcBorders>
            <w:shd w:val="clear" w:color="auto" w:fill="auto"/>
            <w:noWrap/>
            <w:vAlign w:val="bottom"/>
            <w:hideMark/>
          </w:tcPr>
          <w:p w14:paraId="776EDF60" w14:textId="77777777" w:rsidR="00F41043" w:rsidRPr="00F41043" w:rsidRDefault="00F41043" w:rsidP="00F41043">
            <w:pPr>
              <w:spacing w:after="0" w:line="240" w:lineRule="auto"/>
              <w:jc w:val="right"/>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xml:space="preserve">                    79.772 </w:t>
            </w:r>
          </w:p>
        </w:tc>
      </w:tr>
      <w:tr w:rsidR="00F41043" w:rsidRPr="00F41043" w14:paraId="0A71A054"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vAlign w:val="bottom"/>
            <w:hideMark/>
          </w:tcPr>
          <w:p w14:paraId="052B8D30" w14:textId="77777777" w:rsidR="00F41043" w:rsidRPr="00F41043" w:rsidRDefault="00F41043" w:rsidP="00F41043">
            <w:pPr>
              <w:spacing w:after="0" w:line="240" w:lineRule="auto"/>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Demonstração da Variação de Caixa e Equivalentes de Caixa</w:t>
            </w:r>
          </w:p>
        </w:tc>
        <w:tc>
          <w:tcPr>
            <w:tcW w:w="498" w:type="pct"/>
            <w:tcBorders>
              <w:top w:val="nil"/>
              <w:left w:val="nil"/>
              <w:bottom w:val="single" w:sz="4" w:space="0" w:color="auto"/>
              <w:right w:val="single" w:sz="4" w:space="0" w:color="auto"/>
            </w:tcBorders>
            <w:shd w:val="clear" w:color="auto" w:fill="auto"/>
            <w:noWrap/>
            <w:vAlign w:val="bottom"/>
            <w:hideMark/>
          </w:tcPr>
          <w:p w14:paraId="72D4204F" w14:textId="77777777" w:rsidR="00F41043" w:rsidRPr="00F41043" w:rsidRDefault="00F41043" w:rsidP="00F41043">
            <w:pPr>
              <w:spacing w:after="0" w:line="240" w:lineRule="auto"/>
              <w:jc w:val="right"/>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w:t>
            </w:r>
          </w:p>
        </w:tc>
        <w:tc>
          <w:tcPr>
            <w:tcW w:w="933" w:type="pct"/>
            <w:tcBorders>
              <w:top w:val="nil"/>
              <w:left w:val="nil"/>
              <w:bottom w:val="single" w:sz="4" w:space="0" w:color="auto"/>
              <w:right w:val="single" w:sz="4" w:space="0" w:color="auto"/>
            </w:tcBorders>
            <w:shd w:val="clear" w:color="auto" w:fill="auto"/>
            <w:noWrap/>
            <w:vAlign w:val="bottom"/>
            <w:hideMark/>
          </w:tcPr>
          <w:p w14:paraId="4EE8678A" w14:textId="77777777" w:rsidR="00F41043" w:rsidRPr="00F41043" w:rsidRDefault="00F41043" w:rsidP="00F41043">
            <w:pPr>
              <w:spacing w:after="0" w:line="240" w:lineRule="auto"/>
              <w:jc w:val="right"/>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w:t>
            </w:r>
          </w:p>
        </w:tc>
        <w:tc>
          <w:tcPr>
            <w:tcW w:w="467" w:type="pct"/>
            <w:tcBorders>
              <w:top w:val="nil"/>
              <w:left w:val="nil"/>
              <w:bottom w:val="single" w:sz="4" w:space="0" w:color="auto"/>
              <w:right w:val="single" w:sz="4" w:space="0" w:color="auto"/>
            </w:tcBorders>
            <w:shd w:val="clear" w:color="auto" w:fill="auto"/>
            <w:noWrap/>
            <w:vAlign w:val="bottom"/>
            <w:hideMark/>
          </w:tcPr>
          <w:p w14:paraId="44D90840" w14:textId="77777777" w:rsidR="00F41043" w:rsidRPr="00F41043" w:rsidRDefault="00F41043" w:rsidP="00F41043">
            <w:pPr>
              <w:spacing w:after="0" w:line="240" w:lineRule="auto"/>
              <w:jc w:val="right"/>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w:t>
            </w:r>
          </w:p>
        </w:tc>
        <w:tc>
          <w:tcPr>
            <w:tcW w:w="530" w:type="pct"/>
            <w:tcBorders>
              <w:top w:val="nil"/>
              <w:left w:val="nil"/>
              <w:bottom w:val="single" w:sz="4" w:space="0" w:color="auto"/>
              <w:right w:val="single" w:sz="4" w:space="0" w:color="auto"/>
            </w:tcBorders>
            <w:shd w:val="clear" w:color="auto" w:fill="auto"/>
            <w:noWrap/>
            <w:vAlign w:val="bottom"/>
            <w:hideMark/>
          </w:tcPr>
          <w:p w14:paraId="551E6766" w14:textId="77777777" w:rsidR="00F41043" w:rsidRPr="00F41043" w:rsidRDefault="00F41043" w:rsidP="00F41043">
            <w:pPr>
              <w:spacing w:after="0" w:line="240" w:lineRule="auto"/>
              <w:jc w:val="right"/>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w:t>
            </w:r>
          </w:p>
        </w:tc>
      </w:tr>
      <w:tr w:rsidR="00F41043" w:rsidRPr="00F41043" w14:paraId="6E1D999A"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vAlign w:val="bottom"/>
            <w:hideMark/>
          </w:tcPr>
          <w:p w14:paraId="44207C0D" w14:textId="77777777" w:rsidR="00F41043" w:rsidRPr="00F41043" w:rsidRDefault="00F41043" w:rsidP="00F41043">
            <w:pPr>
              <w:spacing w:after="0" w:line="240" w:lineRule="auto"/>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Caixa e Equivalentes de Caixa no Final do Exercício</w:t>
            </w:r>
          </w:p>
        </w:tc>
        <w:tc>
          <w:tcPr>
            <w:tcW w:w="498" w:type="pct"/>
            <w:tcBorders>
              <w:top w:val="nil"/>
              <w:left w:val="nil"/>
              <w:bottom w:val="single" w:sz="4" w:space="0" w:color="auto"/>
              <w:right w:val="single" w:sz="4" w:space="0" w:color="auto"/>
            </w:tcBorders>
            <w:shd w:val="clear" w:color="auto" w:fill="auto"/>
            <w:noWrap/>
            <w:vAlign w:val="bottom"/>
            <w:hideMark/>
          </w:tcPr>
          <w:p w14:paraId="2D43C7C7"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352.611 </w:t>
            </w:r>
          </w:p>
        </w:tc>
        <w:tc>
          <w:tcPr>
            <w:tcW w:w="933" w:type="pct"/>
            <w:tcBorders>
              <w:top w:val="nil"/>
              <w:left w:val="nil"/>
              <w:bottom w:val="single" w:sz="4" w:space="0" w:color="auto"/>
              <w:right w:val="single" w:sz="4" w:space="0" w:color="auto"/>
            </w:tcBorders>
            <w:shd w:val="clear" w:color="auto" w:fill="auto"/>
            <w:noWrap/>
            <w:vAlign w:val="bottom"/>
            <w:hideMark/>
          </w:tcPr>
          <w:p w14:paraId="1C53FAF5"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467" w:type="pct"/>
            <w:tcBorders>
              <w:top w:val="nil"/>
              <w:left w:val="nil"/>
              <w:bottom w:val="single" w:sz="4" w:space="0" w:color="auto"/>
              <w:right w:val="single" w:sz="4" w:space="0" w:color="auto"/>
            </w:tcBorders>
            <w:shd w:val="clear" w:color="auto" w:fill="auto"/>
            <w:noWrap/>
            <w:vAlign w:val="bottom"/>
            <w:hideMark/>
          </w:tcPr>
          <w:p w14:paraId="5CCF3E6D"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530" w:type="pct"/>
            <w:tcBorders>
              <w:top w:val="nil"/>
              <w:left w:val="nil"/>
              <w:bottom w:val="single" w:sz="4" w:space="0" w:color="auto"/>
              <w:right w:val="single" w:sz="4" w:space="0" w:color="auto"/>
            </w:tcBorders>
            <w:shd w:val="clear" w:color="auto" w:fill="auto"/>
            <w:noWrap/>
            <w:vAlign w:val="bottom"/>
            <w:hideMark/>
          </w:tcPr>
          <w:p w14:paraId="159AC8FF"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352.611 </w:t>
            </w:r>
          </w:p>
        </w:tc>
      </w:tr>
      <w:tr w:rsidR="00F41043" w:rsidRPr="00F41043" w14:paraId="01F0E489"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vAlign w:val="bottom"/>
            <w:hideMark/>
          </w:tcPr>
          <w:p w14:paraId="009AA747" w14:textId="77777777" w:rsidR="00F41043" w:rsidRPr="00F41043" w:rsidRDefault="00F41043" w:rsidP="00F41043">
            <w:pPr>
              <w:spacing w:after="0" w:line="240" w:lineRule="auto"/>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Caixa e Equivalentes de Caixa no Início do Exercício</w:t>
            </w:r>
          </w:p>
        </w:tc>
        <w:tc>
          <w:tcPr>
            <w:tcW w:w="498" w:type="pct"/>
            <w:tcBorders>
              <w:top w:val="nil"/>
              <w:left w:val="nil"/>
              <w:bottom w:val="single" w:sz="4" w:space="0" w:color="auto"/>
              <w:right w:val="single" w:sz="4" w:space="0" w:color="auto"/>
            </w:tcBorders>
            <w:shd w:val="clear" w:color="auto" w:fill="auto"/>
            <w:noWrap/>
            <w:vAlign w:val="bottom"/>
            <w:hideMark/>
          </w:tcPr>
          <w:p w14:paraId="48100BDC"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272.839 </w:t>
            </w:r>
          </w:p>
        </w:tc>
        <w:tc>
          <w:tcPr>
            <w:tcW w:w="933" w:type="pct"/>
            <w:tcBorders>
              <w:top w:val="nil"/>
              <w:left w:val="nil"/>
              <w:bottom w:val="single" w:sz="4" w:space="0" w:color="auto"/>
              <w:right w:val="single" w:sz="4" w:space="0" w:color="auto"/>
            </w:tcBorders>
            <w:shd w:val="clear" w:color="auto" w:fill="auto"/>
            <w:noWrap/>
            <w:vAlign w:val="bottom"/>
            <w:hideMark/>
          </w:tcPr>
          <w:p w14:paraId="2AA3D230"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467" w:type="pct"/>
            <w:tcBorders>
              <w:top w:val="nil"/>
              <w:left w:val="nil"/>
              <w:bottom w:val="single" w:sz="4" w:space="0" w:color="auto"/>
              <w:right w:val="single" w:sz="4" w:space="0" w:color="auto"/>
            </w:tcBorders>
            <w:shd w:val="clear" w:color="auto" w:fill="auto"/>
            <w:noWrap/>
            <w:vAlign w:val="bottom"/>
            <w:hideMark/>
          </w:tcPr>
          <w:p w14:paraId="69C34384"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w:t>
            </w:r>
          </w:p>
        </w:tc>
        <w:tc>
          <w:tcPr>
            <w:tcW w:w="530" w:type="pct"/>
            <w:tcBorders>
              <w:top w:val="nil"/>
              <w:left w:val="nil"/>
              <w:bottom w:val="single" w:sz="4" w:space="0" w:color="auto"/>
              <w:right w:val="single" w:sz="4" w:space="0" w:color="auto"/>
            </w:tcBorders>
            <w:shd w:val="clear" w:color="auto" w:fill="auto"/>
            <w:noWrap/>
            <w:vAlign w:val="bottom"/>
            <w:hideMark/>
          </w:tcPr>
          <w:p w14:paraId="0302151E" w14:textId="77777777" w:rsidR="00F41043" w:rsidRPr="00F41043" w:rsidRDefault="00F41043" w:rsidP="00F41043">
            <w:pPr>
              <w:spacing w:after="0" w:line="240" w:lineRule="auto"/>
              <w:jc w:val="right"/>
              <w:rPr>
                <w:rFonts w:ascii="Arial" w:eastAsia="Times New Roman" w:hAnsi="Arial" w:cs="Arial"/>
                <w:kern w:val="0"/>
                <w:sz w:val="13"/>
                <w:szCs w:val="13"/>
                <w:lang w:eastAsia="pt-BR"/>
                <w14:ligatures w14:val="none"/>
              </w:rPr>
            </w:pPr>
            <w:r w:rsidRPr="00F41043">
              <w:rPr>
                <w:rFonts w:ascii="Arial" w:eastAsia="Times New Roman" w:hAnsi="Arial" w:cs="Arial"/>
                <w:kern w:val="0"/>
                <w:sz w:val="13"/>
                <w:szCs w:val="13"/>
                <w:lang w:eastAsia="pt-BR"/>
                <w14:ligatures w14:val="none"/>
              </w:rPr>
              <w:t xml:space="preserve">                  272.839 </w:t>
            </w:r>
          </w:p>
        </w:tc>
      </w:tr>
      <w:tr w:rsidR="00F41043" w:rsidRPr="00F41043" w14:paraId="01A0F35B" w14:textId="77777777" w:rsidTr="00446A14">
        <w:trPr>
          <w:trHeight w:val="198"/>
        </w:trPr>
        <w:tc>
          <w:tcPr>
            <w:tcW w:w="2573" w:type="pct"/>
            <w:tcBorders>
              <w:top w:val="nil"/>
              <w:left w:val="single" w:sz="4" w:space="0" w:color="auto"/>
              <w:bottom w:val="single" w:sz="4" w:space="0" w:color="auto"/>
              <w:right w:val="single" w:sz="4" w:space="0" w:color="auto"/>
            </w:tcBorders>
            <w:shd w:val="clear" w:color="auto" w:fill="auto"/>
            <w:noWrap/>
            <w:vAlign w:val="bottom"/>
            <w:hideMark/>
          </w:tcPr>
          <w:p w14:paraId="117C1DF0" w14:textId="77777777" w:rsidR="00F41043" w:rsidRPr="00F41043" w:rsidRDefault="00F41043" w:rsidP="00F41043">
            <w:pPr>
              <w:spacing w:after="0" w:line="240" w:lineRule="auto"/>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Variação de Caixa e Equivalentes de Caixa</w:t>
            </w:r>
          </w:p>
        </w:tc>
        <w:tc>
          <w:tcPr>
            <w:tcW w:w="498" w:type="pct"/>
            <w:tcBorders>
              <w:top w:val="nil"/>
              <w:left w:val="nil"/>
              <w:bottom w:val="single" w:sz="4" w:space="0" w:color="auto"/>
              <w:right w:val="single" w:sz="4" w:space="0" w:color="auto"/>
            </w:tcBorders>
            <w:shd w:val="clear" w:color="auto" w:fill="auto"/>
            <w:noWrap/>
            <w:vAlign w:val="bottom"/>
            <w:hideMark/>
          </w:tcPr>
          <w:p w14:paraId="61953335" w14:textId="77777777" w:rsidR="00F41043" w:rsidRPr="00F41043" w:rsidRDefault="00F41043" w:rsidP="00F41043">
            <w:pPr>
              <w:spacing w:after="0" w:line="240" w:lineRule="auto"/>
              <w:jc w:val="right"/>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xml:space="preserve">                  79.772 </w:t>
            </w:r>
          </w:p>
        </w:tc>
        <w:tc>
          <w:tcPr>
            <w:tcW w:w="933" w:type="pct"/>
            <w:tcBorders>
              <w:top w:val="nil"/>
              <w:left w:val="nil"/>
              <w:bottom w:val="single" w:sz="4" w:space="0" w:color="auto"/>
              <w:right w:val="single" w:sz="4" w:space="0" w:color="auto"/>
            </w:tcBorders>
            <w:shd w:val="clear" w:color="auto" w:fill="auto"/>
            <w:noWrap/>
            <w:vAlign w:val="bottom"/>
            <w:hideMark/>
          </w:tcPr>
          <w:p w14:paraId="33DA6538" w14:textId="77777777" w:rsidR="00F41043" w:rsidRPr="00F41043" w:rsidRDefault="00F41043" w:rsidP="00F41043">
            <w:pPr>
              <w:spacing w:after="0" w:line="240" w:lineRule="auto"/>
              <w:jc w:val="right"/>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w:t>
            </w:r>
          </w:p>
        </w:tc>
        <w:tc>
          <w:tcPr>
            <w:tcW w:w="467" w:type="pct"/>
            <w:tcBorders>
              <w:top w:val="nil"/>
              <w:left w:val="nil"/>
              <w:bottom w:val="single" w:sz="4" w:space="0" w:color="auto"/>
              <w:right w:val="single" w:sz="4" w:space="0" w:color="auto"/>
            </w:tcBorders>
            <w:shd w:val="clear" w:color="auto" w:fill="auto"/>
            <w:noWrap/>
            <w:vAlign w:val="bottom"/>
            <w:hideMark/>
          </w:tcPr>
          <w:p w14:paraId="5C69EB5C" w14:textId="77777777" w:rsidR="00F41043" w:rsidRPr="00F41043" w:rsidRDefault="00F41043" w:rsidP="00F41043">
            <w:pPr>
              <w:spacing w:after="0" w:line="240" w:lineRule="auto"/>
              <w:jc w:val="right"/>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w:t>
            </w:r>
          </w:p>
        </w:tc>
        <w:tc>
          <w:tcPr>
            <w:tcW w:w="530" w:type="pct"/>
            <w:tcBorders>
              <w:top w:val="nil"/>
              <w:left w:val="nil"/>
              <w:bottom w:val="single" w:sz="4" w:space="0" w:color="auto"/>
              <w:right w:val="single" w:sz="4" w:space="0" w:color="auto"/>
            </w:tcBorders>
            <w:shd w:val="clear" w:color="auto" w:fill="auto"/>
            <w:noWrap/>
            <w:vAlign w:val="bottom"/>
            <w:hideMark/>
          </w:tcPr>
          <w:p w14:paraId="66771657" w14:textId="77777777" w:rsidR="00F41043" w:rsidRPr="00F41043" w:rsidRDefault="00F41043" w:rsidP="00F41043">
            <w:pPr>
              <w:spacing w:after="0" w:line="240" w:lineRule="auto"/>
              <w:jc w:val="right"/>
              <w:rPr>
                <w:rFonts w:ascii="Arial" w:eastAsia="Times New Roman" w:hAnsi="Arial" w:cs="Arial"/>
                <w:b/>
                <w:bCs/>
                <w:kern w:val="0"/>
                <w:sz w:val="13"/>
                <w:szCs w:val="13"/>
                <w:lang w:eastAsia="pt-BR"/>
                <w14:ligatures w14:val="none"/>
              </w:rPr>
            </w:pPr>
            <w:r w:rsidRPr="00F41043">
              <w:rPr>
                <w:rFonts w:ascii="Arial" w:eastAsia="Times New Roman" w:hAnsi="Arial" w:cs="Arial"/>
                <w:b/>
                <w:bCs/>
                <w:kern w:val="0"/>
                <w:sz w:val="13"/>
                <w:szCs w:val="13"/>
                <w:lang w:eastAsia="pt-BR"/>
                <w14:ligatures w14:val="none"/>
              </w:rPr>
              <w:t xml:space="preserve">                    79.772 </w:t>
            </w:r>
          </w:p>
        </w:tc>
      </w:tr>
    </w:tbl>
    <w:p w14:paraId="6B31614B" w14:textId="2B47530D" w:rsidR="00F41043" w:rsidRPr="00F41043" w:rsidRDefault="00F41043" w:rsidP="00F41043">
      <w:pPr>
        <w:spacing w:after="0"/>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3.1.6. </w:t>
      </w:r>
      <w:r w:rsidRPr="00F41043">
        <w:rPr>
          <w:rFonts w:ascii="Calibri" w:eastAsia="Times New Roman" w:hAnsi="Calibri" w:cs="Calibri"/>
          <w:b/>
          <w:bCs/>
          <w:iCs/>
          <w:color w:val="002060"/>
          <w:kern w:val="0"/>
          <w14:ligatures w14:val="none"/>
        </w:rPr>
        <w:t>Demonstração do Valor Adicionado</w:t>
      </w:r>
    </w:p>
    <w:tbl>
      <w:tblPr>
        <w:tblW w:w="5000" w:type="pct"/>
        <w:tblCellMar>
          <w:left w:w="70" w:type="dxa"/>
          <w:right w:w="70" w:type="dxa"/>
        </w:tblCellMar>
        <w:tblLook w:val="04A0" w:firstRow="1" w:lastRow="0" w:firstColumn="1" w:lastColumn="0" w:noHBand="0" w:noVBand="1"/>
      </w:tblPr>
      <w:tblGrid>
        <w:gridCol w:w="5504"/>
        <w:gridCol w:w="934"/>
        <w:gridCol w:w="1169"/>
        <w:gridCol w:w="934"/>
        <w:gridCol w:w="1230"/>
      </w:tblGrid>
      <w:tr w:rsidR="00F41043" w:rsidRPr="00F41043" w14:paraId="51E30F01" w14:textId="77777777" w:rsidTr="00F41043">
        <w:trPr>
          <w:trHeight w:val="198"/>
          <w:tblHeader/>
        </w:trPr>
        <w:tc>
          <w:tcPr>
            <w:tcW w:w="2817" w:type="pct"/>
            <w:vMerge w:val="restar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39C361C" w14:textId="77777777" w:rsidR="00F41043" w:rsidRPr="00F41043" w:rsidRDefault="00F41043" w:rsidP="00F41043">
            <w:pPr>
              <w:spacing w:after="0" w:line="240" w:lineRule="auto"/>
              <w:jc w:val="center"/>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4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D4B360" w14:textId="77777777" w:rsidR="00F41043" w:rsidRPr="00F41043" w:rsidRDefault="00F41043" w:rsidP="00F41043">
            <w:pPr>
              <w:spacing w:after="0" w:line="240" w:lineRule="auto"/>
              <w:jc w:val="center"/>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Saldos Divulgados em 2022</w:t>
            </w:r>
          </w:p>
        </w:tc>
        <w:tc>
          <w:tcPr>
            <w:tcW w:w="1076" w:type="pct"/>
            <w:gridSpan w:val="2"/>
            <w:tcBorders>
              <w:top w:val="single" w:sz="4" w:space="0" w:color="auto"/>
              <w:left w:val="nil"/>
              <w:bottom w:val="single" w:sz="4" w:space="0" w:color="auto"/>
              <w:right w:val="single" w:sz="4" w:space="0" w:color="auto"/>
            </w:tcBorders>
            <w:shd w:val="clear" w:color="auto" w:fill="auto"/>
            <w:noWrap/>
            <w:vAlign w:val="bottom"/>
            <w:hideMark/>
          </w:tcPr>
          <w:p w14:paraId="5CF25698" w14:textId="77777777" w:rsidR="00F41043" w:rsidRPr="00F41043" w:rsidRDefault="00F41043" w:rsidP="00F41043">
            <w:pPr>
              <w:spacing w:after="0" w:line="240" w:lineRule="auto"/>
              <w:jc w:val="center"/>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Ajustes</w:t>
            </w:r>
          </w:p>
        </w:tc>
        <w:tc>
          <w:tcPr>
            <w:tcW w:w="6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F0F490" w14:textId="77777777" w:rsidR="00F41043" w:rsidRPr="00F41043" w:rsidRDefault="00F41043" w:rsidP="00F41043">
            <w:pPr>
              <w:spacing w:after="0" w:line="240" w:lineRule="auto"/>
              <w:jc w:val="center"/>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Saldos Reapresentados em 2022</w:t>
            </w:r>
          </w:p>
        </w:tc>
      </w:tr>
      <w:tr w:rsidR="00F41043" w:rsidRPr="00F41043" w14:paraId="5727CB59" w14:textId="77777777" w:rsidTr="00F41043">
        <w:trPr>
          <w:trHeight w:val="198"/>
          <w:tblHeader/>
        </w:trPr>
        <w:tc>
          <w:tcPr>
            <w:tcW w:w="2817" w:type="pct"/>
            <w:vMerge/>
            <w:tcBorders>
              <w:top w:val="single" w:sz="4" w:space="0" w:color="auto"/>
              <w:left w:val="single" w:sz="4" w:space="0" w:color="auto"/>
              <w:bottom w:val="single" w:sz="4" w:space="0" w:color="auto"/>
              <w:right w:val="single" w:sz="4" w:space="0" w:color="auto"/>
            </w:tcBorders>
            <w:vAlign w:val="center"/>
            <w:hideMark/>
          </w:tcPr>
          <w:p w14:paraId="0EC37946"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p>
        </w:tc>
        <w:tc>
          <w:tcPr>
            <w:tcW w:w="478" w:type="pct"/>
            <w:vMerge/>
            <w:tcBorders>
              <w:top w:val="single" w:sz="4" w:space="0" w:color="auto"/>
              <w:left w:val="single" w:sz="4" w:space="0" w:color="auto"/>
              <w:bottom w:val="single" w:sz="4" w:space="0" w:color="auto"/>
              <w:right w:val="single" w:sz="4" w:space="0" w:color="auto"/>
            </w:tcBorders>
            <w:vAlign w:val="center"/>
            <w:hideMark/>
          </w:tcPr>
          <w:p w14:paraId="7C103915"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p>
        </w:tc>
        <w:tc>
          <w:tcPr>
            <w:tcW w:w="598" w:type="pct"/>
            <w:tcBorders>
              <w:top w:val="nil"/>
              <w:left w:val="nil"/>
              <w:bottom w:val="single" w:sz="4" w:space="0" w:color="auto"/>
              <w:right w:val="single" w:sz="4" w:space="0" w:color="auto"/>
            </w:tcBorders>
            <w:shd w:val="clear" w:color="auto" w:fill="auto"/>
            <w:vAlign w:val="center"/>
            <w:hideMark/>
          </w:tcPr>
          <w:p w14:paraId="156AE5D9" w14:textId="77777777" w:rsidR="00F41043" w:rsidRPr="00F41043" w:rsidRDefault="00F41043" w:rsidP="00F41043">
            <w:pPr>
              <w:spacing w:after="0" w:line="240" w:lineRule="auto"/>
              <w:jc w:val="center"/>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Subvenções para Investimentos</w:t>
            </w:r>
          </w:p>
        </w:tc>
        <w:tc>
          <w:tcPr>
            <w:tcW w:w="478" w:type="pct"/>
            <w:tcBorders>
              <w:top w:val="nil"/>
              <w:left w:val="nil"/>
              <w:bottom w:val="single" w:sz="4" w:space="0" w:color="auto"/>
              <w:right w:val="single" w:sz="4" w:space="0" w:color="auto"/>
            </w:tcBorders>
            <w:shd w:val="clear" w:color="auto" w:fill="auto"/>
            <w:vAlign w:val="center"/>
            <w:hideMark/>
          </w:tcPr>
          <w:p w14:paraId="41007C31" w14:textId="77777777" w:rsidR="00F41043" w:rsidRPr="00F41043" w:rsidRDefault="00F41043" w:rsidP="00F41043">
            <w:pPr>
              <w:spacing w:after="0" w:line="240" w:lineRule="auto"/>
              <w:jc w:val="center"/>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Juros sobre </w:t>
            </w:r>
            <w:proofErr w:type="spellStart"/>
            <w:r w:rsidRPr="00F41043">
              <w:rPr>
                <w:rFonts w:ascii="Arial" w:eastAsia="Times New Roman" w:hAnsi="Arial" w:cs="Arial"/>
                <w:b/>
                <w:bCs/>
                <w:color w:val="000000"/>
                <w:kern w:val="0"/>
                <w:sz w:val="14"/>
                <w:szCs w:val="14"/>
                <w:lang w:eastAsia="pt-BR"/>
                <w14:ligatures w14:val="none"/>
              </w:rPr>
              <w:t>Afac</w:t>
            </w:r>
            <w:proofErr w:type="spellEnd"/>
          </w:p>
        </w:tc>
        <w:tc>
          <w:tcPr>
            <w:tcW w:w="629" w:type="pct"/>
            <w:vMerge/>
            <w:tcBorders>
              <w:top w:val="single" w:sz="4" w:space="0" w:color="auto"/>
              <w:left w:val="single" w:sz="4" w:space="0" w:color="auto"/>
              <w:bottom w:val="single" w:sz="4" w:space="0" w:color="auto"/>
              <w:right w:val="single" w:sz="4" w:space="0" w:color="auto"/>
            </w:tcBorders>
            <w:vAlign w:val="center"/>
            <w:hideMark/>
          </w:tcPr>
          <w:p w14:paraId="4AA92CC8"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p>
        </w:tc>
      </w:tr>
      <w:tr w:rsidR="00F41043" w:rsidRPr="00F41043" w14:paraId="5110DC29" w14:textId="77777777" w:rsidTr="00F41043">
        <w:trPr>
          <w:trHeight w:val="198"/>
        </w:trPr>
        <w:tc>
          <w:tcPr>
            <w:tcW w:w="2817" w:type="pct"/>
            <w:tcBorders>
              <w:top w:val="nil"/>
              <w:left w:val="single" w:sz="4" w:space="0" w:color="auto"/>
              <w:bottom w:val="single" w:sz="4" w:space="0" w:color="auto"/>
              <w:right w:val="single" w:sz="4" w:space="0" w:color="auto"/>
            </w:tcBorders>
            <w:shd w:val="clear" w:color="auto" w:fill="auto"/>
            <w:noWrap/>
            <w:vAlign w:val="center"/>
            <w:hideMark/>
          </w:tcPr>
          <w:p w14:paraId="2CB0F53E"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Receitas</w:t>
            </w:r>
          </w:p>
        </w:tc>
        <w:tc>
          <w:tcPr>
            <w:tcW w:w="478" w:type="pct"/>
            <w:tcBorders>
              <w:top w:val="nil"/>
              <w:left w:val="nil"/>
              <w:bottom w:val="single" w:sz="4" w:space="0" w:color="auto"/>
              <w:right w:val="single" w:sz="4" w:space="0" w:color="auto"/>
            </w:tcBorders>
            <w:shd w:val="clear" w:color="auto" w:fill="auto"/>
            <w:noWrap/>
            <w:vAlign w:val="bottom"/>
            <w:hideMark/>
          </w:tcPr>
          <w:p w14:paraId="1BBD122F"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631.313 </w:t>
            </w:r>
          </w:p>
        </w:tc>
        <w:tc>
          <w:tcPr>
            <w:tcW w:w="598" w:type="pct"/>
            <w:tcBorders>
              <w:top w:val="nil"/>
              <w:left w:val="nil"/>
              <w:bottom w:val="single" w:sz="4" w:space="0" w:color="auto"/>
              <w:right w:val="single" w:sz="4" w:space="0" w:color="auto"/>
            </w:tcBorders>
            <w:shd w:val="clear" w:color="auto" w:fill="auto"/>
            <w:noWrap/>
            <w:vAlign w:val="bottom"/>
            <w:hideMark/>
          </w:tcPr>
          <w:p w14:paraId="3F6F5391"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(30.590)</w:t>
            </w:r>
          </w:p>
        </w:tc>
        <w:tc>
          <w:tcPr>
            <w:tcW w:w="478" w:type="pct"/>
            <w:tcBorders>
              <w:top w:val="nil"/>
              <w:left w:val="nil"/>
              <w:bottom w:val="single" w:sz="4" w:space="0" w:color="auto"/>
              <w:right w:val="single" w:sz="4" w:space="0" w:color="auto"/>
            </w:tcBorders>
            <w:shd w:val="clear" w:color="auto" w:fill="auto"/>
            <w:noWrap/>
            <w:vAlign w:val="bottom"/>
            <w:hideMark/>
          </w:tcPr>
          <w:p w14:paraId="2CE5A7E3"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 </w:t>
            </w:r>
          </w:p>
        </w:tc>
        <w:tc>
          <w:tcPr>
            <w:tcW w:w="629" w:type="pct"/>
            <w:tcBorders>
              <w:top w:val="nil"/>
              <w:left w:val="nil"/>
              <w:bottom w:val="single" w:sz="4" w:space="0" w:color="auto"/>
              <w:right w:val="single" w:sz="4" w:space="0" w:color="auto"/>
            </w:tcBorders>
            <w:shd w:val="clear" w:color="auto" w:fill="auto"/>
            <w:noWrap/>
            <w:vAlign w:val="bottom"/>
            <w:hideMark/>
          </w:tcPr>
          <w:p w14:paraId="01666A83"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600.723 </w:t>
            </w:r>
          </w:p>
        </w:tc>
      </w:tr>
      <w:tr w:rsidR="00F41043" w:rsidRPr="00F41043" w14:paraId="36D5F818" w14:textId="77777777" w:rsidTr="00F41043">
        <w:trPr>
          <w:trHeight w:val="198"/>
        </w:trPr>
        <w:tc>
          <w:tcPr>
            <w:tcW w:w="2817" w:type="pct"/>
            <w:tcBorders>
              <w:top w:val="nil"/>
              <w:left w:val="single" w:sz="4" w:space="0" w:color="auto"/>
              <w:bottom w:val="single" w:sz="4" w:space="0" w:color="auto"/>
              <w:right w:val="single" w:sz="4" w:space="0" w:color="auto"/>
            </w:tcBorders>
            <w:shd w:val="clear" w:color="auto" w:fill="auto"/>
            <w:noWrap/>
            <w:vAlign w:val="bottom"/>
            <w:hideMark/>
          </w:tcPr>
          <w:p w14:paraId="0EDAF00F"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Prestação de Serviços</w:t>
            </w:r>
          </w:p>
        </w:tc>
        <w:tc>
          <w:tcPr>
            <w:tcW w:w="478" w:type="pct"/>
            <w:tcBorders>
              <w:top w:val="nil"/>
              <w:left w:val="nil"/>
              <w:bottom w:val="single" w:sz="4" w:space="0" w:color="auto"/>
              <w:right w:val="single" w:sz="4" w:space="0" w:color="auto"/>
            </w:tcBorders>
            <w:shd w:val="clear" w:color="auto" w:fill="auto"/>
            <w:noWrap/>
            <w:vAlign w:val="bottom"/>
            <w:hideMark/>
          </w:tcPr>
          <w:p w14:paraId="00382241"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329.120 </w:t>
            </w:r>
          </w:p>
        </w:tc>
        <w:tc>
          <w:tcPr>
            <w:tcW w:w="598" w:type="pct"/>
            <w:tcBorders>
              <w:top w:val="nil"/>
              <w:left w:val="nil"/>
              <w:bottom w:val="single" w:sz="4" w:space="0" w:color="auto"/>
              <w:right w:val="single" w:sz="4" w:space="0" w:color="auto"/>
            </w:tcBorders>
            <w:shd w:val="clear" w:color="auto" w:fill="auto"/>
            <w:noWrap/>
            <w:vAlign w:val="bottom"/>
            <w:hideMark/>
          </w:tcPr>
          <w:p w14:paraId="0486D0F0"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478" w:type="pct"/>
            <w:tcBorders>
              <w:top w:val="nil"/>
              <w:left w:val="nil"/>
              <w:bottom w:val="single" w:sz="4" w:space="0" w:color="auto"/>
              <w:right w:val="single" w:sz="4" w:space="0" w:color="auto"/>
            </w:tcBorders>
            <w:shd w:val="clear" w:color="auto" w:fill="auto"/>
            <w:noWrap/>
            <w:vAlign w:val="bottom"/>
            <w:hideMark/>
          </w:tcPr>
          <w:p w14:paraId="430A38F1"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29" w:type="pct"/>
            <w:tcBorders>
              <w:top w:val="nil"/>
              <w:left w:val="nil"/>
              <w:bottom w:val="single" w:sz="4" w:space="0" w:color="auto"/>
              <w:right w:val="single" w:sz="4" w:space="0" w:color="auto"/>
            </w:tcBorders>
            <w:shd w:val="clear" w:color="auto" w:fill="auto"/>
            <w:noWrap/>
            <w:vAlign w:val="bottom"/>
            <w:hideMark/>
          </w:tcPr>
          <w:p w14:paraId="7A374EC6"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329.120 </w:t>
            </w:r>
          </w:p>
        </w:tc>
      </w:tr>
      <w:tr w:rsidR="00F41043" w:rsidRPr="00F41043" w14:paraId="65EEF5AA" w14:textId="77777777" w:rsidTr="00F41043">
        <w:trPr>
          <w:trHeight w:val="198"/>
        </w:trPr>
        <w:tc>
          <w:tcPr>
            <w:tcW w:w="2817" w:type="pct"/>
            <w:tcBorders>
              <w:top w:val="nil"/>
              <w:left w:val="single" w:sz="4" w:space="0" w:color="auto"/>
              <w:bottom w:val="single" w:sz="4" w:space="0" w:color="auto"/>
              <w:right w:val="single" w:sz="4" w:space="0" w:color="auto"/>
            </w:tcBorders>
            <w:shd w:val="clear" w:color="auto" w:fill="auto"/>
            <w:noWrap/>
            <w:vAlign w:val="bottom"/>
            <w:hideMark/>
          </w:tcPr>
          <w:p w14:paraId="499B756E"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Subvenções Orçamentárias Recebidas</w:t>
            </w:r>
          </w:p>
        </w:tc>
        <w:tc>
          <w:tcPr>
            <w:tcW w:w="478" w:type="pct"/>
            <w:tcBorders>
              <w:top w:val="nil"/>
              <w:left w:val="nil"/>
              <w:bottom w:val="single" w:sz="4" w:space="0" w:color="auto"/>
              <w:right w:val="single" w:sz="4" w:space="0" w:color="auto"/>
            </w:tcBorders>
            <w:shd w:val="clear" w:color="auto" w:fill="auto"/>
            <w:noWrap/>
            <w:vAlign w:val="bottom"/>
            <w:hideMark/>
          </w:tcPr>
          <w:p w14:paraId="6BF4C617"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272.115 </w:t>
            </w:r>
          </w:p>
        </w:tc>
        <w:tc>
          <w:tcPr>
            <w:tcW w:w="598" w:type="pct"/>
            <w:tcBorders>
              <w:top w:val="nil"/>
              <w:left w:val="nil"/>
              <w:bottom w:val="single" w:sz="4" w:space="0" w:color="auto"/>
              <w:right w:val="single" w:sz="4" w:space="0" w:color="auto"/>
            </w:tcBorders>
            <w:shd w:val="clear" w:color="auto" w:fill="auto"/>
            <w:noWrap/>
            <w:vAlign w:val="bottom"/>
            <w:hideMark/>
          </w:tcPr>
          <w:p w14:paraId="286044FC"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(30.590)</w:t>
            </w:r>
          </w:p>
        </w:tc>
        <w:tc>
          <w:tcPr>
            <w:tcW w:w="478" w:type="pct"/>
            <w:tcBorders>
              <w:top w:val="nil"/>
              <w:left w:val="nil"/>
              <w:bottom w:val="single" w:sz="4" w:space="0" w:color="auto"/>
              <w:right w:val="single" w:sz="4" w:space="0" w:color="auto"/>
            </w:tcBorders>
            <w:shd w:val="clear" w:color="auto" w:fill="auto"/>
            <w:noWrap/>
            <w:vAlign w:val="bottom"/>
            <w:hideMark/>
          </w:tcPr>
          <w:p w14:paraId="10434F4B"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29" w:type="pct"/>
            <w:tcBorders>
              <w:top w:val="nil"/>
              <w:left w:val="nil"/>
              <w:bottom w:val="single" w:sz="4" w:space="0" w:color="auto"/>
              <w:right w:val="single" w:sz="4" w:space="0" w:color="auto"/>
            </w:tcBorders>
            <w:shd w:val="clear" w:color="auto" w:fill="auto"/>
            <w:noWrap/>
            <w:vAlign w:val="bottom"/>
            <w:hideMark/>
          </w:tcPr>
          <w:p w14:paraId="01459843"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241.525 </w:t>
            </w:r>
          </w:p>
        </w:tc>
      </w:tr>
      <w:tr w:rsidR="00F41043" w:rsidRPr="00F41043" w14:paraId="096F10CF" w14:textId="77777777" w:rsidTr="00F41043">
        <w:trPr>
          <w:trHeight w:val="198"/>
        </w:trPr>
        <w:tc>
          <w:tcPr>
            <w:tcW w:w="2817" w:type="pct"/>
            <w:tcBorders>
              <w:top w:val="nil"/>
              <w:left w:val="single" w:sz="4" w:space="0" w:color="auto"/>
              <w:bottom w:val="single" w:sz="4" w:space="0" w:color="auto"/>
              <w:right w:val="single" w:sz="4" w:space="0" w:color="auto"/>
            </w:tcBorders>
            <w:shd w:val="clear" w:color="auto" w:fill="auto"/>
            <w:noWrap/>
            <w:vAlign w:val="bottom"/>
            <w:hideMark/>
          </w:tcPr>
          <w:p w14:paraId="1B5364DC"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Outras Receitas</w:t>
            </w:r>
          </w:p>
        </w:tc>
        <w:tc>
          <w:tcPr>
            <w:tcW w:w="478" w:type="pct"/>
            <w:tcBorders>
              <w:top w:val="nil"/>
              <w:left w:val="nil"/>
              <w:bottom w:val="single" w:sz="4" w:space="0" w:color="auto"/>
              <w:right w:val="single" w:sz="4" w:space="0" w:color="auto"/>
            </w:tcBorders>
            <w:shd w:val="clear" w:color="auto" w:fill="auto"/>
            <w:noWrap/>
            <w:vAlign w:val="bottom"/>
            <w:hideMark/>
          </w:tcPr>
          <w:p w14:paraId="695112A7"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10.829 </w:t>
            </w:r>
          </w:p>
        </w:tc>
        <w:tc>
          <w:tcPr>
            <w:tcW w:w="598" w:type="pct"/>
            <w:tcBorders>
              <w:top w:val="nil"/>
              <w:left w:val="nil"/>
              <w:bottom w:val="single" w:sz="4" w:space="0" w:color="auto"/>
              <w:right w:val="single" w:sz="4" w:space="0" w:color="auto"/>
            </w:tcBorders>
            <w:shd w:val="clear" w:color="auto" w:fill="auto"/>
            <w:noWrap/>
            <w:vAlign w:val="bottom"/>
            <w:hideMark/>
          </w:tcPr>
          <w:p w14:paraId="66457C7D"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478" w:type="pct"/>
            <w:tcBorders>
              <w:top w:val="nil"/>
              <w:left w:val="nil"/>
              <w:bottom w:val="single" w:sz="4" w:space="0" w:color="auto"/>
              <w:right w:val="single" w:sz="4" w:space="0" w:color="auto"/>
            </w:tcBorders>
            <w:shd w:val="clear" w:color="auto" w:fill="auto"/>
            <w:noWrap/>
            <w:vAlign w:val="bottom"/>
            <w:hideMark/>
          </w:tcPr>
          <w:p w14:paraId="12C5AFDD"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29" w:type="pct"/>
            <w:tcBorders>
              <w:top w:val="nil"/>
              <w:left w:val="nil"/>
              <w:bottom w:val="single" w:sz="4" w:space="0" w:color="auto"/>
              <w:right w:val="single" w:sz="4" w:space="0" w:color="auto"/>
            </w:tcBorders>
            <w:shd w:val="clear" w:color="auto" w:fill="auto"/>
            <w:noWrap/>
            <w:vAlign w:val="bottom"/>
            <w:hideMark/>
          </w:tcPr>
          <w:p w14:paraId="44F86CB4"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10.829 </w:t>
            </w:r>
          </w:p>
        </w:tc>
      </w:tr>
      <w:tr w:rsidR="00F41043" w:rsidRPr="00F41043" w14:paraId="5A663840" w14:textId="77777777" w:rsidTr="00F41043">
        <w:trPr>
          <w:trHeight w:val="198"/>
        </w:trPr>
        <w:tc>
          <w:tcPr>
            <w:tcW w:w="2817" w:type="pct"/>
            <w:tcBorders>
              <w:top w:val="nil"/>
              <w:left w:val="single" w:sz="4" w:space="0" w:color="auto"/>
              <w:bottom w:val="single" w:sz="4" w:space="0" w:color="auto"/>
              <w:right w:val="single" w:sz="4" w:space="0" w:color="auto"/>
            </w:tcBorders>
            <w:shd w:val="clear" w:color="auto" w:fill="auto"/>
            <w:noWrap/>
            <w:vAlign w:val="bottom"/>
            <w:hideMark/>
          </w:tcPr>
          <w:p w14:paraId="04E47965"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Construção de Ativo Próprio</w:t>
            </w:r>
          </w:p>
        </w:tc>
        <w:tc>
          <w:tcPr>
            <w:tcW w:w="478" w:type="pct"/>
            <w:tcBorders>
              <w:top w:val="nil"/>
              <w:left w:val="nil"/>
              <w:bottom w:val="single" w:sz="4" w:space="0" w:color="auto"/>
              <w:right w:val="single" w:sz="4" w:space="0" w:color="auto"/>
            </w:tcBorders>
            <w:shd w:val="clear" w:color="auto" w:fill="auto"/>
            <w:noWrap/>
            <w:vAlign w:val="bottom"/>
            <w:hideMark/>
          </w:tcPr>
          <w:p w14:paraId="4C11C0E7"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18.207 </w:t>
            </w:r>
          </w:p>
        </w:tc>
        <w:tc>
          <w:tcPr>
            <w:tcW w:w="598" w:type="pct"/>
            <w:tcBorders>
              <w:top w:val="nil"/>
              <w:left w:val="nil"/>
              <w:bottom w:val="single" w:sz="4" w:space="0" w:color="auto"/>
              <w:right w:val="single" w:sz="4" w:space="0" w:color="auto"/>
            </w:tcBorders>
            <w:shd w:val="clear" w:color="auto" w:fill="auto"/>
            <w:noWrap/>
            <w:vAlign w:val="bottom"/>
            <w:hideMark/>
          </w:tcPr>
          <w:p w14:paraId="60223402"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478" w:type="pct"/>
            <w:tcBorders>
              <w:top w:val="nil"/>
              <w:left w:val="nil"/>
              <w:bottom w:val="single" w:sz="4" w:space="0" w:color="auto"/>
              <w:right w:val="single" w:sz="4" w:space="0" w:color="auto"/>
            </w:tcBorders>
            <w:shd w:val="clear" w:color="auto" w:fill="auto"/>
            <w:noWrap/>
            <w:vAlign w:val="bottom"/>
            <w:hideMark/>
          </w:tcPr>
          <w:p w14:paraId="1B32259E"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29" w:type="pct"/>
            <w:tcBorders>
              <w:top w:val="nil"/>
              <w:left w:val="nil"/>
              <w:bottom w:val="single" w:sz="4" w:space="0" w:color="auto"/>
              <w:right w:val="single" w:sz="4" w:space="0" w:color="auto"/>
            </w:tcBorders>
            <w:shd w:val="clear" w:color="auto" w:fill="auto"/>
            <w:noWrap/>
            <w:vAlign w:val="bottom"/>
            <w:hideMark/>
          </w:tcPr>
          <w:p w14:paraId="6DD9DFA9"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18.207 </w:t>
            </w:r>
          </w:p>
        </w:tc>
      </w:tr>
      <w:tr w:rsidR="00F41043" w:rsidRPr="00F41043" w14:paraId="6C15CCBD" w14:textId="77777777" w:rsidTr="00F41043">
        <w:trPr>
          <w:trHeight w:val="198"/>
        </w:trPr>
        <w:tc>
          <w:tcPr>
            <w:tcW w:w="2817" w:type="pct"/>
            <w:tcBorders>
              <w:top w:val="nil"/>
              <w:left w:val="single" w:sz="4" w:space="0" w:color="auto"/>
              <w:bottom w:val="single" w:sz="4" w:space="0" w:color="auto"/>
              <w:right w:val="single" w:sz="4" w:space="0" w:color="auto"/>
            </w:tcBorders>
            <w:shd w:val="clear" w:color="auto" w:fill="auto"/>
            <w:noWrap/>
            <w:vAlign w:val="bottom"/>
            <w:hideMark/>
          </w:tcPr>
          <w:p w14:paraId="1E88D1C8"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Perdas Estimadas com Créditos de Liquidação Duvidosa</w:t>
            </w:r>
          </w:p>
        </w:tc>
        <w:tc>
          <w:tcPr>
            <w:tcW w:w="478" w:type="pct"/>
            <w:tcBorders>
              <w:top w:val="nil"/>
              <w:left w:val="nil"/>
              <w:bottom w:val="single" w:sz="4" w:space="0" w:color="auto"/>
              <w:right w:val="single" w:sz="4" w:space="0" w:color="auto"/>
            </w:tcBorders>
            <w:shd w:val="clear" w:color="auto" w:fill="auto"/>
            <w:noWrap/>
            <w:vAlign w:val="bottom"/>
            <w:hideMark/>
          </w:tcPr>
          <w:p w14:paraId="01E4BA08"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1.042 </w:t>
            </w:r>
          </w:p>
        </w:tc>
        <w:tc>
          <w:tcPr>
            <w:tcW w:w="598" w:type="pct"/>
            <w:tcBorders>
              <w:top w:val="nil"/>
              <w:left w:val="nil"/>
              <w:bottom w:val="single" w:sz="4" w:space="0" w:color="auto"/>
              <w:right w:val="single" w:sz="4" w:space="0" w:color="auto"/>
            </w:tcBorders>
            <w:shd w:val="clear" w:color="auto" w:fill="auto"/>
            <w:noWrap/>
            <w:vAlign w:val="bottom"/>
            <w:hideMark/>
          </w:tcPr>
          <w:p w14:paraId="3EC16640"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478" w:type="pct"/>
            <w:tcBorders>
              <w:top w:val="nil"/>
              <w:left w:val="nil"/>
              <w:bottom w:val="single" w:sz="4" w:space="0" w:color="auto"/>
              <w:right w:val="single" w:sz="4" w:space="0" w:color="auto"/>
            </w:tcBorders>
            <w:shd w:val="clear" w:color="auto" w:fill="auto"/>
            <w:noWrap/>
            <w:vAlign w:val="bottom"/>
            <w:hideMark/>
          </w:tcPr>
          <w:p w14:paraId="1C7C7893"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29" w:type="pct"/>
            <w:tcBorders>
              <w:top w:val="nil"/>
              <w:left w:val="nil"/>
              <w:bottom w:val="single" w:sz="4" w:space="0" w:color="auto"/>
              <w:right w:val="single" w:sz="4" w:space="0" w:color="auto"/>
            </w:tcBorders>
            <w:shd w:val="clear" w:color="auto" w:fill="auto"/>
            <w:noWrap/>
            <w:vAlign w:val="bottom"/>
            <w:hideMark/>
          </w:tcPr>
          <w:p w14:paraId="6E2A6947"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1.042 </w:t>
            </w:r>
          </w:p>
        </w:tc>
      </w:tr>
      <w:tr w:rsidR="00F41043" w:rsidRPr="00F41043" w14:paraId="66D27B25" w14:textId="77777777" w:rsidTr="00F41043">
        <w:trPr>
          <w:trHeight w:val="198"/>
        </w:trPr>
        <w:tc>
          <w:tcPr>
            <w:tcW w:w="2817" w:type="pct"/>
            <w:tcBorders>
              <w:top w:val="nil"/>
              <w:left w:val="single" w:sz="4" w:space="0" w:color="auto"/>
              <w:bottom w:val="single" w:sz="4" w:space="0" w:color="auto"/>
              <w:right w:val="single" w:sz="4" w:space="0" w:color="auto"/>
            </w:tcBorders>
            <w:shd w:val="clear" w:color="auto" w:fill="auto"/>
            <w:noWrap/>
            <w:vAlign w:val="bottom"/>
            <w:hideMark/>
          </w:tcPr>
          <w:p w14:paraId="1B5C69EB"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Insumos Adquiridos de Terceiros</w:t>
            </w:r>
          </w:p>
        </w:tc>
        <w:tc>
          <w:tcPr>
            <w:tcW w:w="478" w:type="pct"/>
            <w:tcBorders>
              <w:top w:val="nil"/>
              <w:left w:val="nil"/>
              <w:bottom w:val="single" w:sz="4" w:space="0" w:color="auto"/>
              <w:right w:val="single" w:sz="4" w:space="0" w:color="auto"/>
            </w:tcBorders>
            <w:shd w:val="clear" w:color="auto" w:fill="auto"/>
            <w:noWrap/>
            <w:vAlign w:val="bottom"/>
            <w:hideMark/>
          </w:tcPr>
          <w:p w14:paraId="43582E91"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(261.238)</w:t>
            </w:r>
          </w:p>
        </w:tc>
        <w:tc>
          <w:tcPr>
            <w:tcW w:w="598" w:type="pct"/>
            <w:tcBorders>
              <w:top w:val="nil"/>
              <w:left w:val="nil"/>
              <w:bottom w:val="single" w:sz="4" w:space="0" w:color="auto"/>
              <w:right w:val="single" w:sz="4" w:space="0" w:color="auto"/>
            </w:tcBorders>
            <w:shd w:val="clear" w:color="auto" w:fill="auto"/>
            <w:noWrap/>
            <w:vAlign w:val="bottom"/>
            <w:hideMark/>
          </w:tcPr>
          <w:p w14:paraId="28FF547B"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 </w:t>
            </w:r>
          </w:p>
        </w:tc>
        <w:tc>
          <w:tcPr>
            <w:tcW w:w="478" w:type="pct"/>
            <w:tcBorders>
              <w:top w:val="nil"/>
              <w:left w:val="nil"/>
              <w:bottom w:val="single" w:sz="4" w:space="0" w:color="auto"/>
              <w:right w:val="single" w:sz="4" w:space="0" w:color="auto"/>
            </w:tcBorders>
            <w:shd w:val="clear" w:color="auto" w:fill="auto"/>
            <w:noWrap/>
            <w:vAlign w:val="bottom"/>
            <w:hideMark/>
          </w:tcPr>
          <w:p w14:paraId="6658CA6C"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 </w:t>
            </w:r>
          </w:p>
        </w:tc>
        <w:tc>
          <w:tcPr>
            <w:tcW w:w="629" w:type="pct"/>
            <w:tcBorders>
              <w:top w:val="nil"/>
              <w:left w:val="nil"/>
              <w:bottom w:val="single" w:sz="4" w:space="0" w:color="auto"/>
              <w:right w:val="single" w:sz="4" w:space="0" w:color="auto"/>
            </w:tcBorders>
            <w:shd w:val="clear" w:color="auto" w:fill="auto"/>
            <w:noWrap/>
            <w:vAlign w:val="bottom"/>
            <w:hideMark/>
          </w:tcPr>
          <w:p w14:paraId="775A85F8"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(261.238)</w:t>
            </w:r>
          </w:p>
        </w:tc>
      </w:tr>
      <w:tr w:rsidR="00F41043" w:rsidRPr="00F41043" w14:paraId="2B479544" w14:textId="77777777" w:rsidTr="00F41043">
        <w:trPr>
          <w:trHeight w:val="198"/>
        </w:trPr>
        <w:tc>
          <w:tcPr>
            <w:tcW w:w="2817" w:type="pct"/>
            <w:tcBorders>
              <w:top w:val="nil"/>
              <w:left w:val="single" w:sz="4" w:space="0" w:color="auto"/>
              <w:bottom w:val="single" w:sz="4" w:space="0" w:color="auto"/>
              <w:right w:val="single" w:sz="4" w:space="0" w:color="auto"/>
            </w:tcBorders>
            <w:shd w:val="clear" w:color="auto" w:fill="auto"/>
            <w:noWrap/>
            <w:vAlign w:val="bottom"/>
            <w:hideMark/>
          </w:tcPr>
          <w:p w14:paraId="33CB249E"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Custos dos Serviços Vendidos</w:t>
            </w:r>
          </w:p>
        </w:tc>
        <w:tc>
          <w:tcPr>
            <w:tcW w:w="478" w:type="pct"/>
            <w:tcBorders>
              <w:top w:val="nil"/>
              <w:left w:val="nil"/>
              <w:bottom w:val="single" w:sz="4" w:space="0" w:color="auto"/>
              <w:right w:val="single" w:sz="4" w:space="0" w:color="auto"/>
            </w:tcBorders>
            <w:shd w:val="clear" w:color="auto" w:fill="auto"/>
            <w:noWrap/>
            <w:vAlign w:val="bottom"/>
            <w:hideMark/>
          </w:tcPr>
          <w:p w14:paraId="134883A3"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(224.055)</w:t>
            </w:r>
          </w:p>
        </w:tc>
        <w:tc>
          <w:tcPr>
            <w:tcW w:w="598" w:type="pct"/>
            <w:tcBorders>
              <w:top w:val="nil"/>
              <w:left w:val="nil"/>
              <w:bottom w:val="single" w:sz="4" w:space="0" w:color="auto"/>
              <w:right w:val="single" w:sz="4" w:space="0" w:color="auto"/>
            </w:tcBorders>
            <w:shd w:val="clear" w:color="auto" w:fill="auto"/>
            <w:noWrap/>
            <w:vAlign w:val="bottom"/>
            <w:hideMark/>
          </w:tcPr>
          <w:p w14:paraId="5FEECD91"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478" w:type="pct"/>
            <w:tcBorders>
              <w:top w:val="nil"/>
              <w:left w:val="nil"/>
              <w:bottom w:val="single" w:sz="4" w:space="0" w:color="auto"/>
              <w:right w:val="single" w:sz="4" w:space="0" w:color="auto"/>
            </w:tcBorders>
            <w:shd w:val="clear" w:color="auto" w:fill="auto"/>
            <w:noWrap/>
            <w:vAlign w:val="bottom"/>
            <w:hideMark/>
          </w:tcPr>
          <w:p w14:paraId="67512D35"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29" w:type="pct"/>
            <w:tcBorders>
              <w:top w:val="nil"/>
              <w:left w:val="nil"/>
              <w:bottom w:val="single" w:sz="4" w:space="0" w:color="auto"/>
              <w:right w:val="single" w:sz="4" w:space="0" w:color="auto"/>
            </w:tcBorders>
            <w:shd w:val="clear" w:color="auto" w:fill="auto"/>
            <w:noWrap/>
            <w:vAlign w:val="bottom"/>
            <w:hideMark/>
          </w:tcPr>
          <w:p w14:paraId="30403BEC"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(224.055)</w:t>
            </w:r>
          </w:p>
        </w:tc>
      </w:tr>
      <w:tr w:rsidR="00F41043" w:rsidRPr="00F41043" w14:paraId="4267F954" w14:textId="77777777" w:rsidTr="00F41043">
        <w:trPr>
          <w:trHeight w:val="198"/>
        </w:trPr>
        <w:tc>
          <w:tcPr>
            <w:tcW w:w="2817" w:type="pct"/>
            <w:tcBorders>
              <w:top w:val="nil"/>
              <w:left w:val="single" w:sz="4" w:space="0" w:color="auto"/>
              <w:bottom w:val="single" w:sz="4" w:space="0" w:color="auto"/>
              <w:right w:val="single" w:sz="4" w:space="0" w:color="auto"/>
            </w:tcBorders>
            <w:shd w:val="clear" w:color="auto" w:fill="auto"/>
            <w:noWrap/>
            <w:vAlign w:val="bottom"/>
            <w:hideMark/>
          </w:tcPr>
          <w:p w14:paraId="743624F2"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Materiais</w:t>
            </w:r>
          </w:p>
        </w:tc>
        <w:tc>
          <w:tcPr>
            <w:tcW w:w="478" w:type="pct"/>
            <w:tcBorders>
              <w:top w:val="nil"/>
              <w:left w:val="nil"/>
              <w:bottom w:val="single" w:sz="4" w:space="0" w:color="auto"/>
              <w:right w:val="single" w:sz="4" w:space="0" w:color="auto"/>
            </w:tcBorders>
            <w:shd w:val="clear" w:color="auto" w:fill="auto"/>
            <w:noWrap/>
            <w:vAlign w:val="bottom"/>
            <w:hideMark/>
          </w:tcPr>
          <w:p w14:paraId="5C34508C"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(124)</w:t>
            </w:r>
          </w:p>
        </w:tc>
        <w:tc>
          <w:tcPr>
            <w:tcW w:w="598" w:type="pct"/>
            <w:tcBorders>
              <w:top w:val="nil"/>
              <w:left w:val="nil"/>
              <w:bottom w:val="single" w:sz="4" w:space="0" w:color="auto"/>
              <w:right w:val="single" w:sz="4" w:space="0" w:color="auto"/>
            </w:tcBorders>
            <w:shd w:val="clear" w:color="auto" w:fill="auto"/>
            <w:noWrap/>
            <w:vAlign w:val="bottom"/>
            <w:hideMark/>
          </w:tcPr>
          <w:p w14:paraId="5E02F5C8"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478" w:type="pct"/>
            <w:tcBorders>
              <w:top w:val="nil"/>
              <w:left w:val="nil"/>
              <w:bottom w:val="single" w:sz="4" w:space="0" w:color="auto"/>
              <w:right w:val="single" w:sz="4" w:space="0" w:color="auto"/>
            </w:tcBorders>
            <w:shd w:val="clear" w:color="auto" w:fill="auto"/>
            <w:noWrap/>
            <w:vAlign w:val="bottom"/>
            <w:hideMark/>
          </w:tcPr>
          <w:p w14:paraId="329BDB37"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29" w:type="pct"/>
            <w:tcBorders>
              <w:top w:val="nil"/>
              <w:left w:val="nil"/>
              <w:bottom w:val="single" w:sz="4" w:space="0" w:color="auto"/>
              <w:right w:val="single" w:sz="4" w:space="0" w:color="auto"/>
            </w:tcBorders>
            <w:shd w:val="clear" w:color="auto" w:fill="auto"/>
            <w:noWrap/>
            <w:vAlign w:val="bottom"/>
            <w:hideMark/>
          </w:tcPr>
          <w:p w14:paraId="2035937E"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(124)</w:t>
            </w:r>
          </w:p>
        </w:tc>
      </w:tr>
      <w:tr w:rsidR="00F41043" w:rsidRPr="00F41043" w14:paraId="72056478" w14:textId="77777777" w:rsidTr="00F41043">
        <w:trPr>
          <w:trHeight w:val="198"/>
        </w:trPr>
        <w:tc>
          <w:tcPr>
            <w:tcW w:w="2817" w:type="pct"/>
            <w:tcBorders>
              <w:top w:val="nil"/>
              <w:left w:val="single" w:sz="4" w:space="0" w:color="auto"/>
              <w:bottom w:val="single" w:sz="4" w:space="0" w:color="auto"/>
              <w:right w:val="single" w:sz="4" w:space="0" w:color="auto"/>
            </w:tcBorders>
            <w:shd w:val="clear" w:color="auto" w:fill="auto"/>
            <w:noWrap/>
            <w:vAlign w:val="bottom"/>
            <w:hideMark/>
          </w:tcPr>
          <w:p w14:paraId="29D4D9F8"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Serviços de Terceiros</w:t>
            </w:r>
          </w:p>
        </w:tc>
        <w:tc>
          <w:tcPr>
            <w:tcW w:w="478" w:type="pct"/>
            <w:tcBorders>
              <w:top w:val="nil"/>
              <w:left w:val="nil"/>
              <w:bottom w:val="single" w:sz="4" w:space="0" w:color="auto"/>
              <w:right w:val="single" w:sz="4" w:space="0" w:color="auto"/>
            </w:tcBorders>
            <w:shd w:val="clear" w:color="auto" w:fill="auto"/>
            <w:noWrap/>
            <w:vAlign w:val="bottom"/>
            <w:hideMark/>
          </w:tcPr>
          <w:p w14:paraId="65BAB963"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(7.143)</w:t>
            </w:r>
          </w:p>
        </w:tc>
        <w:tc>
          <w:tcPr>
            <w:tcW w:w="598" w:type="pct"/>
            <w:tcBorders>
              <w:top w:val="nil"/>
              <w:left w:val="nil"/>
              <w:bottom w:val="single" w:sz="4" w:space="0" w:color="auto"/>
              <w:right w:val="single" w:sz="4" w:space="0" w:color="auto"/>
            </w:tcBorders>
            <w:shd w:val="clear" w:color="auto" w:fill="auto"/>
            <w:noWrap/>
            <w:vAlign w:val="bottom"/>
            <w:hideMark/>
          </w:tcPr>
          <w:p w14:paraId="4766F0F1"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478" w:type="pct"/>
            <w:tcBorders>
              <w:top w:val="nil"/>
              <w:left w:val="nil"/>
              <w:bottom w:val="single" w:sz="4" w:space="0" w:color="auto"/>
              <w:right w:val="single" w:sz="4" w:space="0" w:color="auto"/>
            </w:tcBorders>
            <w:shd w:val="clear" w:color="auto" w:fill="auto"/>
            <w:noWrap/>
            <w:vAlign w:val="bottom"/>
            <w:hideMark/>
          </w:tcPr>
          <w:p w14:paraId="53362F8E"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29" w:type="pct"/>
            <w:tcBorders>
              <w:top w:val="nil"/>
              <w:left w:val="nil"/>
              <w:bottom w:val="single" w:sz="4" w:space="0" w:color="auto"/>
              <w:right w:val="single" w:sz="4" w:space="0" w:color="auto"/>
            </w:tcBorders>
            <w:shd w:val="clear" w:color="auto" w:fill="auto"/>
            <w:noWrap/>
            <w:vAlign w:val="bottom"/>
            <w:hideMark/>
          </w:tcPr>
          <w:p w14:paraId="60CB4AE7"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(7.143)</w:t>
            </w:r>
          </w:p>
        </w:tc>
      </w:tr>
      <w:tr w:rsidR="00F41043" w:rsidRPr="00F41043" w14:paraId="284899A6" w14:textId="77777777" w:rsidTr="00F41043">
        <w:trPr>
          <w:trHeight w:val="198"/>
        </w:trPr>
        <w:tc>
          <w:tcPr>
            <w:tcW w:w="2817" w:type="pct"/>
            <w:tcBorders>
              <w:top w:val="nil"/>
              <w:left w:val="single" w:sz="4" w:space="0" w:color="auto"/>
              <w:bottom w:val="single" w:sz="4" w:space="0" w:color="auto"/>
              <w:right w:val="single" w:sz="4" w:space="0" w:color="auto"/>
            </w:tcBorders>
            <w:shd w:val="clear" w:color="auto" w:fill="auto"/>
            <w:noWrap/>
            <w:vAlign w:val="bottom"/>
            <w:hideMark/>
          </w:tcPr>
          <w:p w14:paraId="53EC46A7"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Serviços Técnicos Administrativos</w:t>
            </w:r>
          </w:p>
        </w:tc>
        <w:tc>
          <w:tcPr>
            <w:tcW w:w="478" w:type="pct"/>
            <w:tcBorders>
              <w:top w:val="nil"/>
              <w:left w:val="nil"/>
              <w:bottom w:val="single" w:sz="4" w:space="0" w:color="auto"/>
              <w:right w:val="single" w:sz="4" w:space="0" w:color="auto"/>
            </w:tcBorders>
            <w:shd w:val="clear" w:color="auto" w:fill="auto"/>
            <w:noWrap/>
            <w:vAlign w:val="bottom"/>
            <w:hideMark/>
          </w:tcPr>
          <w:p w14:paraId="2A5F66A3"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(7.661)</w:t>
            </w:r>
          </w:p>
        </w:tc>
        <w:tc>
          <w:tcPr>
            <w:tcW w:w="598" w:type="pct"/>
            <w:tcBorders>
              <w:top w:val="nil"/>
              <w:left w:val="nil"/>
              <w:bottom w:val="single" w:sz="4" w:space="0" w:color="auto"/>
              <w:right w:val="single" w:sz="4" w:space="0" w:color="auto"/>
            </w:tcBorders>
            <w:shd w:val="clear" w:color="auto" w:fill="auto"/>
            <w:noWrap/>
            <w:vAlign w:val="bottom"/>
            <w:hideMark/>
          </w:tcPr>
          <w:p w14:paraId="28F13942"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478" w:type="pct"/>
            <w:tcBorders>
              <w:top w:val="nil"/>
              <w:left w:val="nil"/>
              <w:bottom w:val="single" w:sz="4" w:space="0" w:color="auto"/>
              <w:right w:val="single" w:sz="4" w:space="0" w:color="auto"/>
            </w:tcBorders>
            <w:shd w:val="clear" w:color="auto" w:fill="auto"/>
            <w:noWrap/>
            <w:vAlign w:val="bottom"/>
            <w:hideMark/>
          </w:tcPr>
          <w:p w14:paraId="492E5BBD"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29" w:type="pct"/>
            <w:tcBorders>
              <w:top w:val="nil"/>
              <w:left w:val="nil"/>
              <w:bottom w:val="single" w:sz="4" w:space="0" w:color="auto"/>
              <w:right w:val="single" w:sz="4" w:space="0" w:color="auto"/>
            </w:tcBorders>
            <w:shd w:val="clear" w:color="auto" w:fill="auto"/>
            <w:noWrap/>
            <w:vAlign w:val="bottom"/>
            <w:hideMark/>
          </w:tcPr>
          <w:p w14:paraId="1282356F"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(7.661)</w:t>
            </w:r>
          </w:p>
        </w:tc>
      </w:tr>
      <w:tr w:rsidR="00F41043" w:rsidRPr="00F41043" w14:paraId="6B92ABEA" w14:textId="77777777" w:rsidTr="00F41043">
        <w:trPr>
          <w:trHeight w:val="198"/>
        </w:trPr>
        <w:tc>
          <w:tcPr>
            <w:tcW w:w="2817" w:type="pct"/>
            <w:tcBorders>
              <w:top w:val="nil"/>
              <w:left w:val="single" w:sz="4" w:space="0" w:color="auto"/>
              <w:bottom w:val="single" w:sz="4" w:space="0" w:color="auto"/>
              <w:right w:val="single" w:sz="4" w:space="0" w:color="auto"/>
            </w:tcBorders>
            <w:shd w:val="clear" w:color="auto" w:fill="auto"/>
            <w:noWrap/>
            <w:vAlign w:val="bottom"/>
            <w:hideMark/>
          </w:tcPr>
          <w:p w14:paraId="043B433C"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Perdas</w:t>
            </w:r>
          </w:p>
        </w:tc>
        <w:tc>
          <w:tcPr>
            <w:tcW w:w="478" w:type="pct"/>
            <w:tcBorders>
              <w:top w:val="nil"/>
              <w:left w:val="nil"/>
              <w:bottom w:val="single" w:sz="4" w:space="0" w:color="auto"/>
              <w:right w:val="single" w:sz="4" w:space="0" w:color="auto"/>
            </w:tcBorders>
            <w:shd w:val="clear" w:color="auto" w:fill="auto"/>
            <w:noWrap/>
            <w:vAlign w:val="bottom"/>
            <w:hideMark/>
          </w:tcPr>
          <w:p w14:paraId="708F04AC"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(9)</w:t>
            </w:r>
          </w:p>
        </w:tc>
        <w:tc>
          <w:tcPr>
            <w:tcW w:w="598" w:type="pct"/>
            <w:tcBorders>
              <w:top w:val="nil"/>
              <w:left w:val="nil"/>
              <w:bottom w:val="single" w:sz="4" w:space="0" w:color="auto"/>
              <w:right w:val="single" w:sz="4" w:space="0" w:color="auto"/>
            </w:tcBorders>
            <w:shd w:val="clear" w:color="auto" w:fill="auto"/>
            <w:noWrap/>
            <w:vAlign w:val="bottom"/>
            <w:hideMark/>
          </w:tcPr>
          <w:p w14:paraId="39B33D4F"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478" w:type="pct"/>
            <w:tcBorders>
              <w:top w:val="nil"/>
              <w:left w:val="nil"/>
              <w:bottom w:val="single" w:sz="4" w:space="0" w:color="auto"/>
              <w:right w:val="single" w:sz="4" w:space="0" w:color="auto"/>
            </w:tcBorders>
            <w:shd w:val="clear" w:color="auto" w:fill="auto"/>
            <w:noWrap/>
            <w:vAlign w:val="bottom"/>
            <w:hideMark/>
          </w:tcPr>
          <w:p w14:paraId="2C43DF3C"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29" w:type="pct"/>
            <w:tcBorders>
              <w:top w:val="nil"/>
              <w:left w:val="nil"/>
              <w:bottom w:val="single" w:sz="4" w:space="0" w:color="auto"/>
              <w:right w:val="single" w:sz="4" w:space="0" w:color="auto"/>
            </w:tcBorders>
            <w:shd w:val="clear" w:color="auto" w:fill="auto"/>
            <w:noWrap/>
            <w:vAlign w:val="bottom"/>
            <w:hideMark/>
          </w:tcPr>
          <w:p w14:paraId="42D7CAFA"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(9)</w:t>
            </w:r>
          </w:p>
        </w:tc>
      </w:tr>
      <w:tr w:rsidR="00F41043" w:rsidRPr="00F41043" w14:paraId="0863F6F2" w14:textId="77777777" w:rsidTr="00F41043">
        <w:trPr>
          <w:trHeight w:val="198"/>
        </w:trPr>
        <w:tc>
          <w:tcPr>
            <w:tcW w:w="2817" w:type="pct"/>
            <w:tcBorders>
              <w:top w:val="nil"/>
              <w:left w:val="single" w:sz="4" w:space="0" w:color="auto"/>
              <w:bottom w:val="single" w:sz="4" w:space="0" w:color="auto"/>
              <w:right w:val="single" w:sz="4" w:space="0" w:color="auto"/>
            </w:tcBorders>
            <w:shd w:val="clear" w:color="auto" w:fill="auto"/>
            <w:noWrap/>
            <w:vAlign w:val="bottom"/>
            <w:hideMark/>
          </w:tcPr>
          <w:p w14:paraId="74DA1AB4"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Outras Despesas</w:t>
            </w:r>
          </w:p>
        </w:tc>
        <w:tc>
          <w:tcPr>
            <w:tcW w:w="478" w:type="pct"/>
            <w:tcBorders>
              <w:top w:val="nil"/>
              <w:left w:val="nil"/>
              <w:bottom w:val="single" w:sz="4" w:space="0" w:color="auto"/>
              <w:right w:val="single" w:sz="4" w:space="0" w:color="auto"/>
            </w:tcBorders>
            <w:shd w:val="clear" w:color="auto" w:fill="auto"/>
            <w:noWrap/>
            <w:vAlign w:val="bottom"/>
            <w:hideMark/>
          </w:tcPr>
          <w:p w14:paraId="6E3F5E67"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(22.246)</w:t>
            </w:r>
          </w:p>
        </w:tc>
        <w:tc>
          <w:tcPr>
            <w:tcW w:w="598" w:type="pct"/>
            <w:tcBorders>
              <w:top w:val="nil"/>
              <w:left w:val="nil"/>
              <w:bottom w:val="single" w:sz="4" w:space="0" w:color="auto"/>
              <w:right w:val="single" w:sz="4" w:space="0" w:color="auto"/>
            </w:tcBorders>
            <w:shd w:val="clear" w:color="auto" w:fill="auto"/>
            <w:noWrap/>
            <w:vAlign w:val="bottom"/>
            <w:hideMark/>
          </w:tcPr>
          <w:p w14:paraId="10158EBB"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478" w:type="pct"/>
            <w:tcBorders>
              <w:top w:val="nil"/>
              <w:left w:val="nil"/>
              <w:bottom w:val="single" w:sz="4" w:space="0" w:color="auto"/>
              <w:right w:val="single" w:sz="4" w:space="0" w:color="auto"/>
            </w:tcBorders>
            <w:shd w:val="clear" w:color="auto" w:fill="auto"/>
            <w:noWrap/>
            <w:vAlign w:val="bottom"/>
            <w:hideMark/>
          </w:tcPr>
          <w:p w14:paraId="26115269"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29" w:type="pct"/>
            <w:tcBorders>
              <w:top w:val="nil"/>
              <w:left w:val="nil"/>
              <w:bottom w:val="single" w:sz="4" w:space="0" w:color="auto"/>
              <w:right w:val="single" w:sz="4" w:space="0" w:color="auto"/>
            </w:tcBorders>
            <w:shd w:val="clear" w:color="auto" w:fill="auto"/>
            <w:noWrap/>
            <w:vAlign w:val="bottom"/>
            <w:hideMark/>
          </w:tcPr>
          <w:p w14:paraId="01933BA6"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(22.246)</w:t>
            </w:r>
          </w:p>
        </w:tc>
      </w:tr>
      <w:tr w:rsidR="00F41043" w:rsidRPr="00F41043" w14:paraId="5956D0D1" w14:textId="77777777" w:rsidTr="00F41043">
        <w:trPr>
          <w:trHeight w:val="198"/>
        </w:trPr>
        <w:tc>
          <w:tcPr>
            <w:tcW w:w="2817" w:type="pct"/>
            <w:tcBorders>
              <w:top w:val="nil"/>
              <w:left w:val="single" w:sz="4" w:space="0" w:color="auto"/>
              <w:bottom w:val="single" w:sz="4" w:space="0" w:color="auto"/>
              <w:right w:val="single" w:sz="4" w:space="0" w:color="auto"/>
            </w:tcBorders>
            <w:shd w:val="clear" w:color="auto" w:fill="auto"/>
            <w:noWrap/>
            <w:vAlign w:val="bottom"/>
            <w:hideMark/>
          </w:tcPr>
          <w:p w14:paraId="7E0558C2"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Valor Adicionado Bruto</w:t>
            </w:r>
          </w:p>
        </w:tc>
        <w:tc>
          <w:tcPr>
            <w:tcW w:w="478" w:type="pct"/>
            <w:tcBorders>
              <w:top w:val="nil"/>
              <w:left w:val="nil"/>
              <w:bottom w:val="single" w:sz="4" w:space="0" w:color="auto"/>
              <w:right w:val="single" w:sz="4" w:space="0" w:color="auto"/>
            </w:tcBorders>
            <w:shd w:val="clear" w:color="auto" w:fill="auto"/>
            <w:noWrap/>
            <w:vAlign w:val="bottom"/>
            <w:hideMark/>
          </w:tcPr>
          <w:p w14:paraId="2E2B14AF"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370.075 </w:t>
            </w:r>
          </w:p>
        </w:tc>
        <w:tc>
          <w:tcPr>
            <w:tcW w:w="598" w:type="pct"/>
            <w:tcBorders>
              <w:top w:val="nil"/>
              <w:left w:val="nil"/>
              <w:bottom w:val="single" w:sz="4" w:space="0" w:color="auto"/>
              <w:right w:val="single" w:sz="4" w:space="0" w:color="auto"/>
            </w:tcBorders>
            <w:shd w:val="clear" w:color="auto" w:fill="auto"/>
            <w:noWrap/>
            <w:vAlign w:val="bottom"/>
            <w:hideMark/>
          </w:tcPr>
          <w:p w14:paraId="45C545BB"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(30.590)</w:t>
            </w:r>
          </w:p>
        </w:tc>
        <w:tc>
          <w:tcPr>
            <w:tcW w:w="478" w:type="pct"/>
            <w:tcBorders>
              <w:top w:val="nil"/>
              <w:left w:val="nil"/>
              <w:bottom w:val="single" w:sz="4" w:space="0" w:color="auto"/>
              <w:right w:val="single" w:sz="4" w:space="0" w:color="auto"/>
            </w:tcBorders>
            <w:shd w:val="clear" w:color="auto" w:fill="auto"/>
            <w:noWrap/>
            <w:vAlign w:val="bottom"/>
            <w:hideMark/>
          </w:tcPr>
          <w:p w14:paraId="3C10EDB3"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 </w:t>
            </w:r>
          </w:p>
        </w:tc>
        <w:tc>
          <w:tcPr>
            <w:tcW w:w="629" w:type="pct"/>
            <w:tcBorders>
              <w:top w:val="nil"/>
              <w:left w:val="nil"/>
              <w:bottom w:val="single" w:sz="4" w:space="0" w:color="auto"/>
              <w:right w:val="single" w:sz="4" w:space="0" w:color="auto"/>
            </w:tcBorders>
            <w:shd w:val="clear" w:color="auto" w:fill="auto"/>
            <w:noWrap/>
            <w:vAlign w:val="bottom"/>
            <w:hideMark/>
          </w:tcPr>
          <w:p w14:paraId="707BD2E7"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339.485 </w:t>
            </w:r>
          </w:p>
        </w:tc>
      </w:tr>
      <w:tr w:rsidR="00F41043" w:rsidRPr="00F41043" w14:paraId="3CAD7DAF" w14:textId="77777777" w:rsidTr="00F41043">
        <w:trPr>
          <w:trHeight w:val="198"/>
        </w:trPr>
        <w:tc>
          <w:tcPr>
            <w:tcW w:w="2817" w:type="pct"/>
            <w:tcBorders>
              <w:top w:val="nil"/>
              <w:left w:val="single" w:sz="4" w:space="0" w:color="auto"/>
              <w:bottom w:val="single" w:sz="4" w:space="0" w:color="auto"/>
              <w:right w:val="single" w:sz="4" w:space="0" w:color="auto"/>
            </w:tcBorders>
            <w:shd w:val="clear" w:color="auto" w:fill="auto"/>
            <w:noWrap/>
            <w:vAlign w:val="bottom"/>
            <w:hideMark/>
          </w:tcPr>
          <w:p w14:paraId="7295C727"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Retenções</w:t>
            </w:r>
          </w:p>
        </w:tc>
        <w:tc>
          <w:tcPr>
            <w:tcW w:w="478" w:type="pct"/>
            <w:tcBorders>
              <w:top w:val="nil"/>
              <w:left w:val="nil"/>
              <w:bottom w:val="single" w:sz="4" w:space="0" w:color="auto"/>
              <w:right w:val="single" w:sz="4" w:space="0" w:color="auto"/>
            </w:tcBorders>
            <w:shd w:val="clear" w:color="auto" w:fill="auto"/>
            <w:noWrap/>
            <w:vAlign w:val="bottom"/>
            <w:hideMark/>
          </w:tcPr>
          <w:p w14:paraId="77060C37"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(242.087)</w:t>
            </w:r>
          </w:p>
        </w:tc>
        <w:tc>
          <w:tcPr>
            <w:tcW w:w="598" w:type="pct"/>
            <w:tcBorders>
              <w:top w:val="nil"/>
              <w:left w:val="nil"/>
              <w:bottom w:val="single" w:sz="4" w:space="0" w:color="auto"/>
              <w:right w:val="single" w:sz="4" w:space="0" w:color="auto"/>
            </w:tcBorders>
            <w:shd w:val="clear" w:color="auto" w:fill="auto"/>
            <w:noWrap/>
            <w:vAlign w:val="bottom"/>
            <w:hideMark/>
          </w:tcPr>
          <w:p w14:paraId="3E0F8D4C"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 </w:t>
            </w:r>
          </w:p>
        </w:tc>
        <w:tc>
          <w:tcPr>
            <w:tcW w:w="478" w:type="pct"/>
            <w:tcBorders>
              <w:top w:val="nil"/>
              <w:left w:val="nil"/>
              <w:bottom w:val="single" w:sz="4" w:space="0" w:color="auto"/>
              <w:right w:val="single" w:sz="4" w:space="0" w:color="auto"/>
            </w:tcBorders>
            <w:shd w:val="clear" w:color="auto" w:fill="auto"/>
            <w:noWrap/>
            <w:vAlign w:val="bottom"/>
            <w:hideMark/>
          </w:tcPr>
          <w:p w14:paraId="75AC6510"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 </w:t>
            </w:r>
          </w:p>
        </w:tc>
        <w:tc>
          <w:tcPr>
            <w:tcW w:w="629" w:type="pct"/>
            <w:tcBorders>
              <w:top w:val="nil"/>
              <w:left w:val="nil"/>
              <w:bottom w:val="single" w:sz="4" w:space="0" w:color="auto"/>
              <w:right w:val="single" w:sz="4" w:space="0" w:color="auto"/>
            </w:tcBorders>
            <w:shd w:val="clear" w:color="auto" w:fill="auto"/>
            <w:noWrap/>
            <w:vAlign w:val="bottom"/>
            <w:hideMark/>
          </w:tcPr>
          <w:p w14:paraId="71AE0973"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(242.087)</w:t>
            </w:r>
          </w:p>
        </w:tc>
      </w:tr>
      <w:tr w:rsidR="00F41043" w:rsidRPr="00F41043" w14:paraId="38CCE3DF" w14:textId="77777777" w:rsidTr="00F41043">
        <w:trPr>
          <w:trHeight w:val="198"/>
        </w:trPr>
        <w:tc>
          <w:tcPr>
            <w:tcW w:w="2817" w:type="pct"/>
            <w:tcBorders>
              <w:top w:val="nil"/>
              <w:left w:val="single" w:sz="4" w:space="0" w:color="auto"/>
              <w:bottom w:val="single" w:sz="4" w:space="0" w:color="auto"/>
              <w:right w:val="single" w:sz="4" w:space="0" w:color="auto"/>
            </w:tcBorders>
            <w:shd w:val="clear" w:color="auto" w:fill="auto"/>
            <w:noWrap/>
            <w:vAlign w:val="bottom"/>
            <w:hideMark/>
          </w:tcPr>
          <w:p w14:paraId="66BB749E"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Depreciação</w:t>
            </w:r>
          </w:p>
        </w:tc>
        <w:tc>
          <w:tcPr>
            <w:tcW w:w="478" w:type="pct"/>
            <w:tcBorders>
              <w:top w:val="nil"/>
              <w:left w:val="nil"/>
              <w:bottom w:val="single" w:sz="4" w:space="0" w:color="auto"/>
              <w:right w:val="single" w:sz="4" w:space="0" w:color="auto"/>
            </w:tcBorders>
            <w:shd w:val="clear" w:color="auto" w:fill="auto"/>
            <w:noWrap/>
            <w:vAlign w:val="bottom"/>
            <w:hideMark/>
          </w:tcPr>
          <w:p w14:paraId="4075CDA1"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(235.755)</w:t>
            </w:r>
          </w:p>
        </w:tc>
        <w:tc>
          <w:tcPr>
            <w:tcW w:w="598" w:type="pct"/>
            <w:tcBorders>
              <w:top w:val="nil"/>
              <w:left w:val="nil"/>
              <w:bottom w:val="single" w:sz="4" w:space="0" w:color="auto"/>
              <w:right w:val="single" w:sz="4" w:space="0" w:color="auto"/>
            </w:tcBorders>
            <w:shd w:val="clear" w:color="auto" w:fill="auto"/>
            <w:noWrap/>
            <w:vAlign w:val="bottom"/>
            <w:hideMark/>
          </w:tcPr>
          <w:p w14:paraId="025E797A"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478" w:type="pct"/>
            <w:tcBorders>
              <w:top w:val="nil"/>
              <w:left w:val="nil"/>
              <w:bottom w:val="single" w:sz="4" w:space="0" w:color="auto"/>
              <w:right w:val="single" w:sz="4" w:space="0" w:color="auto"/>
            </w:tcBorders>
            <w:shd w:val="clear" w:color="auto" w:fill="auto"/>
            <w:noWrap/>
            <w:vAlign w:val="bottom"/>
            <w:hideMark/>
          </w:tcPr>
          <w:p w14:paraId="7D66E494"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29" w:type="pct"/>
            <w:tcBorders>
              <w:top w:val="nil"/>
              <w:left w:val="nil"/>
              <w:bottom w:val="single" w:sz="4" w:space="0" w:color="auto"/>
              <w:right w:val="single" w:sz="4" w:space="0" w:color="auto"/>
            </w:tcBorders>
            <w:shd w:val="clear" w:color="auto" w:fill="auto"/>
            <w:noWrap/>
            <w:vAlign w:val="bottom"/>
            <w:hideMark/>
          </w:tcPr>
          <w:p w14:paraId="6F5C08DC"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(235.755)</w:t>
            </w:r>
          </w:p>
        </w:tc>
      </w:tr>
      <w:tr w:rsidR="00F41043" w:rsidRPr="00F41043" w14:paraId="7102B5FF" w14:textId="77777777" w:rsidTr="00F41043">
        <w:trPr>
          <w:trHeight w:val="198"/>
        </w:trPr>
        <w:tc>
          <w:tcPr>
            <w:tcW w:w="2817" w:type="pct"/>
            <w:tcBorders>
              <w:top w:val="nil"/>
              <w:left w:val="single" w:sz="4" w:space="0" w:color="auto"/>
              <w:bottom w:val="single" w:sz="4" w:space="0" w:color="auto"/>
              <w:right w:val="single" w:sz="4" w:space="0" w:color="auto"/>
            </w:tcBorders>
            <w:shd w:val="clear" w:color="auto" w:fill="auto"/>
            <w:noWrap/>
            <w:vAlign w:val="bottom"/>
            <w:hideMark/>
          </w:tcPr>
          <w:p w14:paraId="274EB6E8"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Amortização</w:t>
            </w:r>
          </w:p>
        </w:tc>
        <w:tc>
          <w:tcPr>
            <w:tcW w:w="478" w:type="pct"/>
            <w:tcBorders>
              <w:top w:val="nil"/>
              <w:left w:val="nil"/>
              <w:bottom w:val="single" w:sz="4" w:space="0" w:color="auto"/>
              <w:right w:val="single" w:sz="4" w:space="0" w:color="auto"/>
            </w:tcBorders>
            <w:shd w:val="clear" w:color="auto" w:fill="auto"/>
            <w:noWrap/>
            <w:vAlign w:val="bottom"/>
            <w:hideMark/>
          </w:tcPr>
          <w:p w14:paraId="11CBB468"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(6.332)</w:t>
            </w:r>
          </w:p>
        </w:tc>
        <w:tc>
          <w:tcPr>
            <w:tcW w:w="598" w:type="pct"/>
            <w:tcBorders>
              <w:top w:val="nil"/>
              <w:left w:val="nil"/>
              <w:bottom w:val="single" w:sz="4" w:space="0" w:color="auto"/>
              <w:right w:val="single" w:sz="4" w:space="0" w:color="auto"/>
            </w:tcBorders>
            <w:shd w:val="clear" w:color="auto" w:fill="auto"/>
            <w:noWrap/>
            <w:vAlign w:val="bottom"/>
            <w:hideMark/>
          </w:tcPr>
          <w:p w14:paraId="4ED4B041"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478" w:type="pct"/>
            <w:tcBorders>
              <w:top w:val="nil"/>
              <w:left w:val="nil"/>
              <w:bottom w:val="single" w:sz="4" w:space="0" w:color="auto"/>
              <w:right w:val="single" w:sz="4" w:space="0" w:color="auto"/>
            </w:tcBorders>
            <w:shd w:val="clear" w:color="auto" w:fill="auto"/>
            <w:noWrap/>
            <w:vAlign w:val="bottom"/>
            <w:hideMark/>
          </w:tcPr>
          <w:p w14:paraId="507A897A"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29" w:type="pct"/>
            <w:tcBorders>
              <w:top w:val="nil"/>
              <w:left w:val="nil"/>
              <w:bottom w:val="single" w:sz="4" w:space="0" w:color="auto"/>
              <w:right w:val="single" w:sz="4" w:space="0" w:color="auto"/>
            </w:tcBorders>
            <w:shd w:val="clear" w:color="auto" w:fill="auto"/>
            <w:noWrap/>
            <w:vAlign w:val="bottom"/>
            <w:hideMark/>
          </w:tcPr>
          <w:p w14:paraId="07F8DB53"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(6.332)</w:t>
            </w:r>
          </w:p>
        </w:tc>
      </w:tr>
      <w:tr w:rsidR="00F41043" w:rsidRPr="00F41043" w14:paraId="2924FF4B" w14:textId="77777777" w:rsidTr="00F41043">
        <w:trPr>
          <w:trHeight w:val="198"/>
        </w:trPr>
        <w:tc>
          <w:tcPr>
            <w:tcW w:w="2817" w:type="pct"/>
            <w:tcBorders>
              <w:top w:val="nil"/>
              <w:left w:val="single" w:sz="4" w:space="0" w:color="auto"/>
              <w:bottom w:val="single" w:sz="4" w:space="0" w:color="auto"/>
              <w:right w:val="single" w:sz="4" w:space="0" w:color="auto"/>
            </w:tcBorders>
            <w:shd w:val="clear" w:color="auto" w:fill="auto"/>
            <w:noWrap/>
            <w:vAlign w:val="bottom"/>
            <w:hideMark/>
          </w:tcPr>
          <w:p w14:paraId="100CF658"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lastRenderedPageBreak/>
              <w:t xml:space="preserve"> Valor Adicionado Líquido Produzido</w:t>
            </w:r>
          </w:p>
        </w:tc>
        <w:tc>
          <w:tcPr>
            <w:tcW w:w="478" w:type="pct"/>
            <w:tcBorders>
              <w:top w:val="nil"/>
              <w:left w:val="nil"/>
              <w:bottom w:val="single" w:sz="4" w:space="0" w:color="auto"/>
              <w:right w:val="single" w:sz="4" w:space="0" w:color="auto"/>
            </w:tcBorders>
            <w:shd w:val="clear" w:color="auto" w:fill="auto"/>
            <w:noWrap/>
            <w:vAlign w:val="bottom"/>
            <w:hideMark/>
          </w:tcPr>
          <w:p w14:paraId="5C534770"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127.988 </w:t>
            </w:r>
          </w:p>
        </w:tc>
        <w:tc>
          <w:tcPr>
            <w:tcW w:w="598" w:type="pct"/>
            <w:tcBorders>
              <w:top w:val="nil"/>
              <w:left w:val="nil"/>
              <w:bottom w:val="single" w:sz="4" w:space="0" w:color="auto"/>
              <w:right w:val="single" w:sz="4" w:space="0" w:color="auto"/>
            </w:tcBorders>
            <w:shd w:val="clear" w:color="auto" w:fill="auto"/>
            <w:noWrap/>
            <w:vAlign w:val="bottom"/>
            <w:hideMark/>
          </w:tcPr>
          <w:p w14:paraId="01E879BE"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(30.590)</w:t>
            </w:r>
          </w:p>
        </w:tc>
        <w:tc>
          <w:tcPr>
            <w:tcW w:w="478" w:type="pct"/>
            <w:tcBorders>
              <w:top w:val="nil"/>
              <w:left w:val="nil"/>
              <w:bottom w:val="single" w:sz="4" w:space="0" w:color="auto"/>
              <w:right w:val="single" w:sz="4" w:space="0" w:color="auto"/>
            </w:tcBorders>
            <w:shd w:val="clear" w:color="auto" w:fill="auto"/>
            <w:noWrap/>
            <w:vAlign w:val="bottom"/>
            <w:hideMark/>
          </w:tcPr>
          <w:p w14:paraId="4E9330A2"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 </w:t>
            </w:r>
          </w:p>
        </w:tc>
        <w:tc>
          <w:tcPr>
            <w:tcW w:w="629" w:type="pct"/>
            <w:tcBorders>
              <w:top w:val="nil"/>
              <w:left w:val="nil"/>
              <w:bottom w:val="single" w:sz="4" w:space="0" w:color="auto"/>
              <w:right w:val="single" w:sz="4" w:space="0" w:color="auto"/>
            </w:tcBorders>
            <w:shd w:val="clear" w:color="auto" w:fill="auto"/>
            <w:noWrap/>
            <w:vAlign w:val="bottom"/>
            <w:hideMark/>
          </w:tcPr>
          <w:p w14:paraId="7FBDA30C"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97.398 </w:t>
            </w:r>
          </w:p>
        </w:tc>
      </w:tr>
      <w:tr w:rsidR="00F41043" w:rsidRPr="00F41043" w14:paraId="06531E52" w14:textId="77777777" w:rsidTr="00F41043">
        <w:trPr>
          <w:trHeight w:val="198"/>
        </w:trPr>
        <w:tc>
          <w:tcPr>
            <w:tcW w:w="2817" w:type="pct"/>
            <w:tcBorders>
              <w:top w:val="nil"/>
              <w:left w:val="single" w:sz="4" w:space="0" w:color="auto"/>
              <w:bottom w:val="single" w:sz="4" w:space="0" w:color="auto"/>
              <w:right w:val="single" w:sz="4" w:space="0" w:color="auto"/>
            </w:tcBorders>
            <w:shd w:val="clear" w:color="auto" w:fill="auto"/>
            <w:noWrap/>
            <w:vAlign w:val="bottom"/>
            <w:hideMark/>
          </w:tcPr>
          <w:p w14:paraId="0B62A482"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Valor Adicionado Recebido em Transferência</w:t>
            </w:r>
          </w:p>
        </w:tc>
        <w:tc>
          <w:tcPr>
            <w:tcW w:w="478" w:type="pct"/>
            <w:tcBorders>
              <w:top w:val="nil"/>
              <w:left w:val="nil"/>
              <w:bottom w:val="single" w:sz="4" w:space="0" w:color="auto"/>
              <w:right w:val="single" w:sz="4" w:space="0" w:color="auto"/>
            </w:tcBorders>
            <w:shd w:val="clear" w:color="auto" w:fill="auto"/>
            <w:noWrap/>
            <w:vAlign w:val="bottom"/>
            <w:hideMark/>
          </w:tcPr>
          <w:p w14:paraId="624DD4E8"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183.859 </w:t>
            </w:r>
          </w:p>
        </w:tc>
        <w:tc>
          <w:tcPr>
            <w:tcW w:w="598" w:type="pct"/>
            <w:tcBorders>
              <w:top w:val="nil"/>
              <w:left w:val="nil"/>
              <w:bottom w:val="single" w:sz="4" w:space="0" w:color="auto"/>
              <w:right w:val="single" w:sz="4" w:space="0" w:color="auto"/>
            </w:tcBorders>
            <w:shd w:val="clear" w:color="auto" w:fill="auto"/>
            <w:noWrap/>
            <w:vAlign w:val="bottom"/>
            <w:hideMark/>
          </w:tcPr>
          <w:p w14:paraId="5EEDC5A2"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 </w:t>
            </w:r>
          </w:p>
        </w:tc>
        <w:tc>
          <w:tcPr>
            <w:tcW w:w="478" w:type="pct"/>
            <w:tcBorders>
              <w:top w:val="nil"/>
              <w:left w:val="nil"/>
              <w:bottom w:val="single" w:sz="4" w:space="0" w:color="auto"/>
              <w:right w:val="single" w:sz="4" w:space="0" w:color="auto"/>
            </w:tcBorders>
            <w:shd w:val="clear" w:color="auto" w:fill="auto"/>
            <w:noWrap/>
            <w:vAlign w:val="bottom"/>
            <w:hideMark/>
          </w:tcPr>
          <w:p w14:paraId="62C3D3A2"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 </w:t>
            </w:r>
          </w:p>
        </w:tc>
        <w:tc>
          <w:tcPr>
            <w:tcW w:w="629" w:type="pct"/>
            <w:tcBorders>
              <w:top w:val="nil"/>
              <w:left w:val="nil"/>
              <w:bottom w:val="single" w:sz="4" w:space="0" w:color="auto"/>
              <w:right w:val="single" w:sz="4" w:space="0" w:color="auto"/>
            </w:tcBorders>
            <w:shd w:val="clear" w:color="auto" w:fill="auto"/>
            <w:noWrap/>
            <w:vAlign w:val="bottom"/>
            <w:hideMark/>
          </w:tcPr>
          <w:p w14:paraId="0D9ACA64"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183.859 </w:t>
            </w:r>
          </w:p>
        </w:tc>
      </w:tr>
      <w:tr w:rsidR="00F41043" w:rsidRPr="00F41043" w14:paraId="7AF67F3B" w14:textId="77777777" w:rsidTr="00F41043">
        <w:trPr>
          <w:trHeight w:val="198"/>
        </w:trPr>
        <w:tc>
          <w:tcPr>
            <w:tcW w:w="2817" w:type="pct"/>
            <w:tcBorders>
              <w:top w:val="nil"/>
              <w:left w:val="single" w:sz="4" w:space="0" w:color="auto"/>
              <w:bottom w:val="single" w:sz="4" w:space="0" w:color="auto"/>
              <w:right w:val="single" w:sz="4" w:space="0" w:color="auto"/>
            </w:tcBorders>
            <w:shd w:val="clear" w:color="auto" w:fill="auto"/>
            <w:noWrap/>
            <w:vAlign w:val="bottom"/>
            <w:hideMark/>
          </w:tcPr>
          <w:p w14:paraId="3DBEE7E9"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Resultado de Equivalência Patrimonial sobre Resultado</w:t>
            </w:r>
          </w:p>
        </w:tc>
        <w:tc>
          <w:tcPr>
            <w:tcW w:w="478" w:type="pct"/>
            <w:tcBorders>
              <w:top w:val="nil"/>
              <w:left w:val="nil"/>
              <w:bottom w:val="single" w:sz="4" w:space="0" w:color="auto"/>
              <w:right w:val="single" w:sz="4" w:space="0" w:color="auto"/>
            </w:tcBorders>
            <w:shd w:val="clear" w:color="auto" w:fill="auto"/>
            <w:noWrap/>
            <w:vAlign w:val="bottom"/>
            <w:hideMark/>
          </w:tcPr>
          <w:p w14:paraId="5FD3B15B"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(6.500)</w:t>
            </w:r>
          </w:p>
        </w:tc>
        <w:tc>
          <w:tcPr>
            <w:tcW w:w="598" w:type="pct"/>
            <w:tcBorders>
              <w:top w:val="nil"/>
              <w:left w:val="nil"/>
              <w:bottom w:val="single" w:sz="4" w:space="0" w:color="auto"/>
              <w:right w:val="single" w:sz="4" w:space="0" w:color="auto"/>
            </w:tcBorders>
            <w:shd w:val="clear" w:color="auto" w:fill="auto"/>
            <w:noWrap/>
            <w:vAlign w:val="bottom"/>
            <w:hideMark/>
          </w:tcPr>
          <w:p w14:paraId="5747D67C"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478" w:type="pct"/>
            <w:tcBorders>
              <w:top w:val="nil"/>
              <w:left w:val="nil"/>
              <w:bottom w:val="single" w:sz="4" w:space="0" w:color="auto"/>
              <w:right w:val="single" w:sz="4" w:space="0" w:color="auto"/>
            </w:tcBorders>
            <w:shd w:val="clear" w:color="auto" w:fill="auto"/>
            <w:noWrap/>
            <w:vAlign w:val="bottom"/>
            <w:hideMark/>
          </w:tcPr>
          <w:p w14:paraId="79FC387F"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29" w:type="pct"/>
            <w:tcBorders>
              <w:top w:val="nil"/>
              <w:left w:val="nil"/>
              <w:bottom w:val="single" w:sz="4" w:space="0" w:color="auto"/>
              <w:right w:val="single" w:sz="4" w:space="0" w:color="auto"/>
            </w:tcBorders>
            <w:shd w:val="clear" w:color="auto" w:fill="auto"/>
            <w:noWrap/>
            <w:vAlign w:val="bottom"/>
            <w:hideMark/>
          </w:tcPr>
          <w:p w14:paraId="5C105E17"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(6.500)</w:t>
            </w:r>
          </w:p>
        </w:tc>
      </w:tr>
      <w:tr w:rsidR="00F41043" w:rsidRPr="00F41043" w14:paraId="1B511DA9" w14:textId="77777777" w:rsidTr="00F41043">
        <w:trPr>
          <w:trHeight w:val="198"/>
        </w:trPr>
        <w:tc>
          <w:tcPr>
            <w:tcW w:w="2817" w:type="pct"/>
            <w:tcBorders>
              <w:top w:val="nil"/>
              <w:left w:val="single" w:sz="4" w:space="0" w:color="auto"/>
              <w:bottom w:val="single" w:sz="4" w:space="0" w:color="auto"/>
              <w:right w:val="single" w:sz="4" w:space="0" w:color="auto"/>
            </w:tcBorders>
            <w:shd w:val="clear" w:color="auto" w:fill="auto"/>
            <w:noWrap/>
            <w:vAlign w:val="bottom"/>
            <w:hideMark/>
          </w:tcPr>
          <w:p w14:paraId="5D7BE355"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Receitas Financeiras</w:t>
            </w:r>
          </w:p>
        </w:tc>
        <w:tc>
          <w:tcPr>
            <w:tcW w:w="478" w:type="pct"/>
            <w:tcBorders>
              <w:top w:val="nil"/>
              <w:left w:val="nil"/>
              <w:bottom w:val="single" w:sz="4" w:space="0" w:color="auto"/>
              <w:right w:val="single" w:sz="4" w:space="0" w:color="auto"/>
            </w:tcBorders>
            <w:shd w:val="clear" w:color="auto" w:fill="auto"/>
            <w:noWrap/>
            <w:vAlign w:val="bottom"/>
            <w:hideMark/>
          </w:tcPr>
          <w:p w14:paraId="74CD191B"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116.297 </w:t>
            </w:r>
          </w:p>
        </w:tc>
        <w:tc>
          <w:tcPr>
            <w:tcW w:w="598" w:type="pct"/>
            <w:tcBorders>
              <w:top w:val="nil"/>
              <w:left w:val="nil"/>
              <w:bottom w:val="single" w:sz="4" w:space="0" w:color="auto"/>
              <w:right w:val="single" w:sz="4" w:space="0" w:color="auto"/>
            </w:tcBorders>
            <w:shd w:val="clear" w:color="auto" w:fill="auto"/>
            <w:noWrap/>
            <w:vAlign w:val="bottom"/>
            <w:hideMark/>
          </w:tcPr>
          <w:p w14:paraId="7B4909DB"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478" w:type="pct"/>
            <w:tcBorders>
              <w:top w:val="nil"/>
              <w:left w:val="nil"/>
              <w:bottom w:val="single" w:sz="4" w:space="0" w:color="auto"/>
              <w:right w:val="single" w:sz="4" w:space="0" w:color="auto"/>
            </w:tcBorders>
            <w:shd w:val="clear" w:color="auto" w:fill="auto"/>
            <w:noWrap/>
            <w:vAlign w:val="bottom"/>
            <w:hideMark/>
          </w:tcPr>
          <w:p w14:paraId="3C0C09E0"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29" w:type="pct"/>
            <w:tcBorders>
              <w:top w:val="nil"/>
              <w:left w:val="nil"/>
              <w:bottom w:val="single" w:sz="4" w:space="0" w:color="auto"/>
              <w:right w:val="single" w:sz="4" w:space="0" w:color="auto"/>
            </w:tcBorders>
            <w:shd w:val="clear" w:color="auto" w:fill="auto"/>
            <w:noWrap/>
            <w:vAlign w:val="bottom"/>
            <w:hideMark/>
          </w:tcPr>
          <w:p w14:paraId="34E39ED5"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116.297 </w:t>
            </w:r>
          </w:p>
        </w:tc>
      </w:tr>
      <w:tr w:rsidR="00F41043" w:rsidRPr="00F41043" w14:paraId="5849E4C2" w14:textId="77777777" w:rsidTr="00F41043">
        <w:trPr>
          <w:trHeight w:val="198"/>
        </w:trPr>
        <w:tc>
          <w:tcPr>
            <w:tcW w:w="2817" w:type="pct"/>
            <w:tcBorders>
              <w:top w:val="nil"/>
              <w:left w:val="single" w:sz="4" w:space="0" w:color="auto"/>
              <w:bottom w:val="single" w:sz="4" w:space="0" w:color="auto"/>
              <w:right w:val="single" w:sz="4" w:space="0" w:color="auto"/>
            </w:tcBorders>
            <w:shd w:val="clear" w:color="auto" w:fill="auto"/>
            <w:noWrap/>
            <w:vAlign w:val="bottom"/>
            <w:hideMark/>
          </w:tcPr>
          <w:p w14:paraId="11EB8C6D"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Aluguéis</w:t>
            </w:r>
          </w:p>
        </w:tc>
        <w:tc>
          <w:tcPr>
            <w:tcW w:w="478" w:type="pct"/>
            <w:tcBorders>
              <w:top w:val="nil"/>
              <w:left w:val="nil"/>
              <w:bottom w:val="single" w:sz="4" w:space="0" w:color="auto"/>
              <w:right w:val="single" w:sz="4" w:space="0" w:color="auto"/>
            </w:tcBorders>
            <w:shd w:val="clear" w:color="auto" w:fill="auto"/>
            <w:noWrap/>
            <w:vAlign w:val="bottom"/>
            <w:hideMark/>
          </w:tcPr>
          <w:p w14:paraId="1476F5A3"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73.999 </w:t>
            </w:r>
          </w:p>
        </w:tc>
        <w:tc>
          <w:tcPr>
            <w:tcW w:w="598" w:type="pct"/>
            <w:tcBorders>
              <w:top w:val="nil"/>
              <w:left w:val="nil"/>
              <w:bottom w:val="single" w:sz="4" w:space="0" w:color="auto"/>
              <w:right w:val="single" w:sz="4" w:space="0" w:color="auto"/>
            </w:tcBorders>
            <w:shd w:val="clear" w:color="auto" w:fill="auto"/>
            <w:noWrap/>
            <w:vAlign w:val="bottom"/>
            <w:hideMark/>
          </w:tcPr>
          <w:p w14:paraId="32BA1EFF"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478" w:type="pct"/>
            <w:tcBorders>
              <w:top w:val="nil"/>
              <w:left w:val="nil"/>
              <w:bottom w:val="single" w:sz="4" w:space="0" w:color="auto"/>
              <w:right w:val="single" w:sz="4" w:space="0" w:color="auto"/>
            </w:tcBorders>
            <w:shd w:val="clear" w:color="auto" w:fill="auto"/>
            <w:noWrap/>
            <w:vAlign w:val="bottom"/>
            <w:hideMark/>
          </w:tcPr>
          <w:p w14:paraId="2943D9A1"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29" w:type="pct"/>
            <w:tcBorders>
              <w:top w:val="nil"/>
              <w:left w:val="nil"/>
              <w:bottom w:val="single" w:sz="4" w:space="0" w:color="auto"/>
              <w:right w:val="single" w:sz="4" w:space="0" w:color="auto"/>
            </w:tcBorders>
            <w:shd w:val="clear" w:color="auto" w:fill="auto"/>
            <w:noWrap/>
            <w:vAlign w:val="bottom"/>
            <w:hideMark/>
          </w:tcPr>
          <w:p w14:paraId="2B00C9C9"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73.999 </w:t>
            </w:r>
          </w:p>
        </w:tc>
      </w:tr>
      <w:tr w:rsidR="00F41043" w:rsidRPr="00F41043" w14:paraId="0C741EFE" w14:textId="77777777" w:rsidTr="00F41043">
        <w:trPr>
          <w:trHeight w:val="198"/>
        </w:trPr>
        <w:tc>
          <w:tcPr>
            <w:tcW w:w="2817" w:type="pct"/>
            <w:tcBorders>
              <w:top w:val="nil"/>
              <w:left w:val="single" w:sz="4" w:space="0" w:color="auto"/>
              <w:bottom w:val="single" w:sz="4" w:space="0" w:color="auto"/>
              <w:right w:val="single" w:sz="4" w:space="0" w:color="auto"/>
            </w:tcBorders>
            <w:shd w:val="clear" w:color="auto" w:fill="auto"/>
            <w:noWrap/>
            <w:vAlign w:val="bottom"/>
            <w:hideMark/>
          </w:tcPr>
          <w:p w14:paraId="25D9BDEB"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Dividendos</w:t>
            </w:r>
          </w:p>
        </w:tc>
        <w:tc>
          <w:tcPr>
            <w:tcW w:w="478" w:type="pct"/>
            <w:tcBorders>
              <w:top w:val="nil"/>
              <w:left w:val="nil"/>
              <w:bottom w:val="single" w:sz="4" w:space="0" w:color="auto"/>
              <w:right w:val="single" w:sz="4" w:space="0" w:color="auto"/>
            </w:tcBorders>
            <w:shd w:val="clear" w:color="auto" w:fill="auto"/>
            <w:noWrap/>
            <w:vAlign w:val="bottom"/>
            <w:hideMark/>
          </w:tcPr>
          <w:p w14:paraId="2D57B93D"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63 </w:t>
            </w:r>
          </w:p>
        </w:tc>
        <w:tc>
          <w:tcPr>
            <w:tcW w:w="598" w:type="pct"/>
            <w:tcBorders>
              <w:top w:val="nil"/>
              <w:left w:val="nil"/>
              <w:bottom w:val="single" w:sz="4" w:space="0" w:color="auto"/>
              <w:right w:val="single" w:sz="4" w:space="0" w:color="auto"/>
            </w:tcBorders>
            <w:shd w:val="clear" w:color="auto" w:fill="auto"/>
            <w:noWrap/>
            <w:vAlign w:val="bottom"/>
            <w:hideMark/>
          </w:tcPr>
          <w:p w14:paraId="196A1CF9"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478" w:type="pct"/>
            <w:tcBorders>
              <w:top w:val="nil"/>
              <w:left w:val="nil"/>
              <w:bottom w:val="single" w:sz="4" w:space="0" w:color="auto"/>
              <w:right w:val="single" w:sz="4" w:space="0" w:color="auto"/>
            </w:tcBorders>
            <w:shd w:val="clear" w:color="auto" w:fill="auto"/>
            <w:noWrap/>
            <w:vAlign w:val="bottom"/>
            <w:hideMark/>
          </w:tcPr>
          <w:p w14:paraId="16E63EB2"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29" w:type="pct"/>
            <w:tcBorders>
              <w:top w:val="nil"/>
              <w:left w:val="nil"/>
              <w:bottom w:val="single" w:sz="4" w:space="0" w:color="auto"/>
              <w:right w:val="single" w:sz="4" w:space="0" w:color="auto"/>
            </w:tcBorders>
            <w:shd w:val="clear" w:color="auto" w:fill="auto"/>
            <w:noWrap/>
            <w:vAlign w:val="bottom"/>
            <w:hideMark/>
          </w:tcPr>
          <w:p w14:paraId="19FFFC06"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63 </w:t>
            </w:r>
          </w:p>
        </w:tc>
      </w:tr>
      <w:tr w:rsidR="00F41043" w:rsidRPr="00F41043" w14:paraId="67D467E7" w14:textId="77777777" w:rsidTr="00F41043">
        <w:trPr>
          <w:trHeight w:val="198"/>
        </w:trPr>
        <w:tc>
          <w:tcPr>
            <w:tcW w:w="2817" w:type="pct"/>
            <w:tcBorders>
              <w:top w:val="nil"/>
              <w:left w:val="single" w:sz="4" w:space="0" w:color="auto"/>
              <w:bottom w:val="single" w:sz="4" w:space="0" w:color="auto"/>
              <w:right w:val="single" w:sz="4" w:space="0" w:color="auto"/>
            </w:tcBorders>
            <w:shd w:val="clear" w:color="auto" w:fill="auto"/>
            <w:noWrap/>
            <w:vAlign w:val="bottom"/>
            <w:hideMark/>
          </w:tcPr>
          <w:p w14:paraId="5DD59B36"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Valor Adicionado Total a Distribuir</w:t>
            </w:r>
          </w:p>
        </w:tc>
        <w:tc>
          <w:tcPr>
            <w:tcW w:w="478" w:type="pct"/>
            <w:tcBorders>
              <w:top w:val="nil"/>
              <w:left w:val="nil"/>
              <w:bottom w:val="single" w:sz="4" w:space="0" w:color="auto"/>
              <w:right w:val="single" w:sz="4" w:space="0" w:color="auto"/>
            </w:tcBorders>
            <w:shd w:val="clear" w:color="auto" w:fill="auto"/>
            <w:noWrap/>
            <w:vAlign w:val="bottom"/>
            <w:hideMark/>
          </w:tcPr>
          <w:p w14:paraId="66B05582"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311.847 </w:t>
            </w:r>
          </w:p>
        </w:tc>
        <w:tc>
          <w:tcPr>
            <w:tcW w:w="598" w:type="pct"/>
            <w:tcBorders>
              <w:top w:val="nil"/>
              <w:left w:val="nil"/>
              <w:bottom w:val="single" w:sz="4" w:space="0" w:color="auto"/>
              <w:right w:val="single" w:sz="4" w:space="0" w:color="auto"/>
            </w:tcBorders>
            <w:shd w:val="clear" w:color="auto" w:fill="auto"/>
            <w:noWrap/>
            <w:vAlign w:val="bottom"/>
            <w:hideMark/>
          </w:tcPr>
          <w:p w14:paraId="15CD55D7"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(30.590)</w:t>
            </w:r>
          </w:p>
        </w:tc>
        <w:tc>
          <w:tcPr>
            <w:tcW w:w="478" w:type="pct"/>
            <w:tcBorders>
              <w:top w:val="nil"/>
              <w:left w:val="nil"/>
              <w:bottom w:val="single" w:sz="4" w:space="0" w:color="auto"/>
              <w:right w:val="single" w:sz="4" w:space="0" w:color="auto"/>
            </w:tcBorders>
            <w:shd w:val="clear" w:color="auto" w:fill="auto"/>
            <w:noWrap/>
            <w:vAlign w:val="bottom"/>
            <w:hideMark/>
          </w:tcPr>
          <w:p w14:paraId="0162C505"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 </w:t>
            </w:r>
          </w:p>
        </w:tc>
        <w:tc>
          <w:tcPr>
            <w:tcW w:w="629" w:type="pct"/>
            <w:tcBorders>
              <w:top w:val="nil"/>
              <w:left w:val="nil"/>
              <w:bottom w:val="single" w:sz="4" w:space="0" w:color="auto"/>
              <w:right w:val="single" w:sz="4" w:space="0" w:color="auto"/>
            </w:tcBorders>
            <w:shd w:val="clear" w:color="auto" w:fill="auto"/>
            <w:noWrap/>
            <w:vAlign w:val="bottom"/>
            <w:hideMark/>
          </w:tcPr>
          <w:p w14:paraId="452CEEDD"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281.257 </w:t>
            </w:r>
          </w:p>
        </w:tc>
      </w:tr>
      <w:tr w:rsidR="00F41043" w:rsidRPr="00F41043" w14:paraId="7D12591A" w14:textId="77777777" w:rsidTr="00F41043">
        <w:trPr>
          <w:trHeight w:val="198"/>
        </w:trPr>
        <w:tc>
          <w:tcPr>
            <w:tcW w:w="2817" w:type="pct"/>
            <w:tcBorders>
              <w:top w:val="nil"/>
              <w:left w:val="single" w:sz="4" w:space="0" w:color="auto"/>
              <w:bottom w:val="single" w:sz="4" w:space="0" w:color="auto"/>
              <w:right w:val="single" w:sz="4" w:space="0" w:color="auto"/>
            </w:tcBorders>
            <w:shd w:val="clear" w:color="auto" w:fill="auto"/>
            <w:noWrap/>
            <w:vAlign w:val="bottom"/>
            <w:hideMark/>
          </w:tcPr>
          <w:p w14:paraId="5AA3097E"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Distribuição do Valor Adicionado</w:t>
            </w:r>
          </w:p>
        </w:tc>
        <w:tc>
          <w:tcPr>
            <w:tcW w:w="478" w:type="pct"/>
            <w:tcBorders>
              <w:top w:val="nil"/>
              <w:left w:val="nil"/>
              <w:bottom w:val="single" w:sz="4" w:space="0" w:color="auto"/>
              <w:right w:val="single" w:sz="4" w:space="0" w:color="auto"/>
            </w:tcBorders>
            <w:shd w:val="clear" w:color="auto" w:fill="auto"/>
            <w:noWrap/>
            <w:vAlign w:val="bottom"/>
            <w:hideMark/>
          </w:tcPr>
          <w:p w14:paraId="3BB01B4A"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311.847 </w:t>
            </w:r>
          </w:p>
        </w:tc>
        <w:tc>
          <w:tcPr>
            <w:tcW w:w="598" w:type="pct"/>
            <w:tcBorders>
              <w:top w:val="nil"/>
              <w:left w:val="nil"/>
              <w:bottom w:val="single" w:sz="4" w:space="0" w:color="auto"/>
              <w:right w:val="single" w:sz="4" w:space="0" w:color="auto"/>
            </w:tcBorders>
            <w:shd w:val="clear" w:color="auto" w:fill="auto"/>
            <w:noWrap/>
            <w:vAlign w:val="bottom"/>
            <w:hideMark/>
          </w:tcPr>
          <w:p w14:paraId="6E13AAAA"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(30.590)</w:t>
            </w:r>
          </w:p>
        </w:tc>
        <w:tc>
          <w:tcPr>
            <w:tcW w:w="478" w:type="pct"/>
            <w:tcBorders>
              <w:top w:val="nil"/>
              <w:left w:val="nil"/>
              <w:bottom w:val="single" w:sz="4" w:space="0" w:color="auto"/>
              <w:right w:val="single" w:sz="4" w:space="0" w:color="auto"/>
            </w:tcBorders>
            <w:shd w:val="clear" w:color="auto" w:fill="auto"/>
            <w:noWrap/>
            <w:vAlign w:val="bottom"/>
            <w:hideMark/>
          </w:tcPr>
          <w:p w14:paraId="03873239"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   </w:t>
            </w:r>
          </w:p>
        </w:tc>
        <w:tc>
          <w:tcPr>
            <w:tcW w:w="629" w:type="pct"/>
            <w:tcBorders>
              <w:top w:val="nil"/>
              <w:left w:val="nil"/>
              <w:bottom w:val="single" w:sz="4" w:space="0" w:color="auto"/>
              <w:right w:val="single" w:sz="4" w:space="0" w:color="auto"/>
            </w:tcBorders>
            <w:shd w:val="clear" w:color="auto" w:fill="auto"/>
            <w:noWrap/>
            <w:vAlign w:val="bottom"/>
            <w:hideMark/>
          </w:tcPr>
          <w:p w14:paraId="749E6EEC"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281.257 </w:t>
            </w:r>
          </w:p>
        </w:tc>
      </w:tr>
      <w:tr w:rsidR="00F41043" w:rsidRPr="00F41043" w14:paraId="55BBBC94" w14:textId="77777777" w:rsidTr="00F41043">
        <w:trPr>
          <w:trHeight w:val="198"/>
        </w:trPr>
        <w:tc>
          <w:tcPr>
            <w:tcW w:w="2817" w:type="pct"/>
            <w:tcBorders>
              <w:top w:val="nil"/>
              <w:left w:val="single" w:sz="4" w:space="0" w:color="auto"/>
              <w:bottom w:val="single" w:sz="4" w:space="0" w:color="auto"/>
              <w:right w:val="single" w:sz="4" w:space="0" w:color="auto"/>
            </w:tcBorders>
            <w:shd w:val="clear" w:color="auto" w:fill="auto"/>
            <w:noWrap/>
            <w:vAlign w:val="bottom"/>
            <w:hideMark/>
          </w:tcPr>
          <w:p w14:paraId="43F146F0" w14:textId="77777777" w:rsidR="00F41043" w:rsidRPr="00F41043" w:rsidRDefault="00F41043" w:rsidP="00F41043">
            <w:pPr>
              <w:spacing w:after="0" w:line="240" w:lineRule="auto"/>
              <w:ind w:firstLineChars="200" w:firstLine="281"/>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Empregados</w:t>
            </w:r>
          </w:p>
        </w:tc>
        <w:tc>
          <w:tcPr>
            <w:tcW w:w="478" w:type="pct"/>
            <w:tcBorders>
              <w:top w:val="nil"/>
              <w:left w:val="nil"/>
              <w:bottom w:val="single" w:sz="4" w:space="0" w:color="auto"/>
              <w:right w:val="single" w:sz="4" w:space="0" w:color="auto"/>
            </w:tcBorders>
            <w:shd w:val="clear" w:color="auto" w:fill="auto"/>
            <w:noWrap/>
            <w:vAlign w:val="bottom"/>
            <w:hideMark/>
          </w:tcPr>
          <w:p w14:paraId="1A3B2ED8"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103.019 </w:t>
            </w:r>
          </w:p>
        </w:tc>
        <w:tc>
          <w:tcPr>
            <w:tcW w:w="598" w:type="pct"/>
            <w:tcBorders>
              <w:top w:val="nil"/>
              <w:left w:val="nil"/>
              <w:bottom w:val="single" w:sz="4" w:space="0" w:color="auto"/>
              <w:right w:val="single" w:sz="4" w:space="0" w:color="auto"/>
            </w:tcBorders>
            <w:shd w:val="clear" w:color="auto" w:fill="auto"/>
            <w:noWrap/>
            <w:vAlign w:val="bottom"/>
            <w:hideMark/>
          </w:tcPr>
          <w:p w14:paraId="6B80DD26"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   </w:t>
            </w:r>
          </w:p>
        </w:tc>
        <w:tc>
          <w:tcPr>
            <w:tcW w:w="478" w:type="pct"/>
            <w:tcBorders>
              <w:top w:val="nil"/>
              <w:left w:val="nil"/>
              <w:bottom w:val="single" w:sz="4" w:space="0" w:color="auto"/>
              <w:right w:val="single" w:sz="4" w:space="0" w:color="auto"/>
            </w:tcBorders>
            <w:shd w:val="clear" w:color="auto" w:fill="auto"/>
            <w:noWrap/>
            <w:vAlign w:val="bottom"/>
            <w:hideMark/>
          </w:tcPr>
          <w:p w14:paraId="49B0DBFD"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   </w:t>
            </w:r>
          </w:p>
        </w:tc>
        <w:tc>
          <w:tcPr>
            <w:tcW w:w="629" w:type="pct"/>
            <w:tcBorders>
              <w:top w:val="nil"/>
              <w:left w:val="nil"/>
              <w:bottom w:val="single" w:sz="4" w:space="0" w:color="auto"/>
              <w:right w:val="single" w:sz="4" w:space="0" w:color="auto"/>
            </w:tcBorders>
            <w:shd w:val="clear" w:color="auto" w:fill="auto"/>
            <w:noWrap/>
            <w:vAlign w:val="bottom"/>
            <w:hideMark/>
          </w:tcPr>
          <w:p w14:paraId="20F44304"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103.019 </w:t>
            </w:r>
          </w:p>
        </w:tc>
      </w:tr>
      <w:tr w:rsidR="00F41043" w:rsidRPr="00F41043" w14:paraId="00A85D4F" w14:textId="77777777" w:rsidTr="00F41043">
        <w:trPr>
          <w:trHeight w:val="198"/>
        </w:trPr>
        <w:tc>
          <w:tcPr>
            <w:tcW w:w="2817" w:type="pct"/>
            <w:tcBorders>
              <w:top w:val="nil"/>
              <w:left w:val="single" w:sz="4" w:space="0" w:color="auto"/>
              <w:bottom w:val="single" w:sz="4" w:space="0" w:color="auto"/>
              <w:right w:val="single" w:sz="4" w:space="0" w:color="auto"/>
            </w:tcBorders>
            <w:shd w:val="clear" w:color="auto" w:fill="auto"/>
            <w:noWrap/>
            <w:vAlign w:val="bottom"/>
            <w:hideMark/>
          </w:tcPr>
          <w:p w14:paraId="1E3E6896"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Remuneração Direta</w:t>
            </w:r>
          </w:p>
        </w:tc>
        <w:tc>
          <w:tcPr>
            <w:tcW w:w="478" w:type="pct"/>
            <w:tcBorders>
              <w:top w:val="nil"/>
              <w:left w:val="nil"/>
              <w:bottom w:val="single" w:sz="4" w:space="0" w:color="auto"/>
              <w:right w:val="single" w:sz="4" w:space="0" w:color="auto"/>
            </w:tcBorders>
            <w:shd w:val="clear" w:color="auto" w:fill="auto"/>
            <w:noWrap/>
            <w:vAlign w:val="bottom"/>
            <w:hideMark/>
          </w:tcPr>
          <w:p w14:paraId="5B3F0EC5"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61.055 </w:t>
            </w:r>
          </w:p>
        </w:tc>
        <w:tc>
          <w:tcPr>
            <w:tcW w:w="598" w:type="pct"/>
            <w:tcBorders>
              <w:top w:val="nil"/>
              <w:left w:val="nil"/>
              <w:bottom w:val="single" w:sz="4" w:space="0" w:color="auto"/>
              <w:right w:val="single" w:sz="4" w:space="0" w:color="auto"/>
            </w:tcBorders>
            <w:shd w:val="clear" w:color="auto" w:fill="auto"/>
            <w:noWrap/>
            <w:vAlign w:val="bottom"/>
            <w:hideMark/>
          </w:tcPr>
          <w:p w14:paraId="1D2671F6"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478" w:type="pct"/>
            <w:tcBorders>
              <w:top w:val="nil"/>
              <w:left w:val="nil"/>
              <w:bottom w:val="single" w:sz="4" w:space="0" w:color="auto"/>
              <w:right w:val="single" w:sz="4" w:space="0" w:color="auto"/>
            </w:tcBorders>
            <w:shd w:val="clear" w:color="auto" w:fill="auto"/>
            <w:noWrap/>
            <w:vAlign w:val="bottom"/>
            <w:hideMark/>
          </w:tcPr>
          <w:p w14:paraId="66EEAE66"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29" w:type="pct"/>
            <w:tcBorders>
              <w:top w:val="nil"/>
              <w:left w:val="nil"/>
              <w:bottom w:val="single" w:sz="4" w:space="0" w:color="auto"/>
              <w:right w:val="single" w:sz="4" w:space="0" w:color="auto"/>
            </w:tcBorders>
            <w:shd w:val="clear" w:color="auto" w:fill="auto"/>
            <w:noWrap/>
            <w:vAlign w:val="bottom"/>
            <w:hideMark/>
          </w:tcPr>
          <w:p w14:paraId="6DA57C8F"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61.055 </w:t>
            </w:r>
          </w:p>
        </w:tc>
      </w:tr>
      <w:tr w:rsidR="00F41043" w:rsidRPr="00F41043" w14:paraId="18FD1F6D" w14:textId="77777777" w:rsidTr="00F41043">
        <w:trPr>
          <w:trHeight w:val="198"/>
        </w:trPr>
        <w:tc>
          <w:tcPr>
            <w:tcW w:w="2817" w:type="pct"/>
            <w:tcBorders>
              <w:top w:val="nil"/>
              <w:left w:val="single" w:sz="4" w:space="0" w:color="auto"/>
              <w:bottom w:val="single" w:sz="4" w:space="0" w:color="auto"/>
              <w:right w:val="single" w:sz="4" w:space="0" w:color="auto"/>
            </w:tcBorders>
            <w:shd w:val="clear" w:color="auto" w:fill="auto"/>
            <w:noWrap/>
            <w:vAlign w:val="bottom"/>
            <w:hideMark/>
          </w:tcPr>
          <w:p w14:paraId="56104DC7"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FGTS</w:t>
            </w:r>
          </w:p>
        </w:tc>
        <w:tc>
          <w:tcPr>
            <w:tcW w:w="478" w:type="pct"/>
            <w:tcBorders>
              <w:top w:val="nil"/>
              <w:left w:val="nil"/>
              <w:bottom w:val="single" w:sz="4" w:space="0" w:color="auto"/>
              <w:right w:val="single" w:sz="4" w:space="0" w:color="auto"/>
            </w:tcBorders>
            <w:shd w:val="clear" w:color="auto" w:fill="auto"/>
            <w:noWrap/>
            <w:vAlign w:val="bottom"/>
            <w:hideMark/>
          </w:tcPr>
          <w:p w14:paraId="4A84C055"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6.481 </w:t>
            </w:r>
          </w:p>
        </w:tc>
        <w:tc>
          <w:tcPr>
            <w:tcW w:w="598" w:type="pct"/>
            <w:tcBorders>
              <w:top w:val="nil"/>
              <w:left w:val="nil"/>
              <w:bottom w:val="single" w:sz="4" w:space="0" w:color="auto"/>
              <w:right w:val="single" w:sz="4" w:space="0" w:color="auto"/>
            </w:tcBorders>
            <w:shd w:val="clear" w:color="auto" w:fill="auto"/>
            <w:noWrap/>
            <w:vAlign w:val="bottom"/>
            <w:hideMark/>
          </w:tcPr>
          <w:p w14:paraId="61D3578A"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478" w:type="pct"/>
            <w:tcBorders>
              <w:top w:val="nil"/>
              <w:left w:val="nil"/>
              <w:bottom w:val="single" w:sz="4" w:space="0" w:color="auto"/>
              <w:right w:val="single" w:sz="4" w:space="0" w:color="auto"/>
            </w:tcBorders>
            <w:shd w:val="clear" w:color="auto" w:fill="auto"/>
            <w:noWrap/>
            <w:vAlign w:val="bottom"/>
            <w:hideMark/>
          </w:tcPr>
          <w:p w14:paraId="03D24119"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29" w:type="pct"/>
            <w:tcBorders>
              <w:top w:val="nil"/>
              <w:left w:val="nil"/>
              <w:bottom w:val="single" w:sz="4" w:space="0" w:color="auto"/>
              <w:right w:val="single" w:sz="4" w:space="0" w:color="auto"/>
            </w:tcBorders>
            <w:shd w:val="clear" w:color="auto" w:fill="auto"/>
            <w:noWrap/>
            <w:vAlign w:val="bottom"/>
            <w:hideMark/>
          </w:tcPr>
          <w:p w14:paraId="34180824"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6.481 </w:t>
            </w:r>
          </w:p>
        </w:tc>
      </w:tr>
      <w:tr w:rsidR="00F41043" w:rsidRPr="00F41043" w14:paraId="3426B5C0" w14:textId="77777777" w:rsidTr="00F41043">
        <w:trPr>
          <w:trHeight w:val="198"/>
        </w:trPr>
        <w:tc>
          <w:tcPr>
            <w:tcW w:w="2817" w:type="pct"/>
            <w:tcBorders>
              <w:top w:val="nil"/>
              <w:left w:val="single" w:sz="4" w:space="0" w:color="auto"/>
              <w:bottom w:val="single" w:sz="4" w:space="0" w:color="auto"/>
              <w:right w:val="single" w:sz="4" w:space="0" w:color="auto"/>
            </w:tcBorders>
            <w:shd w:val="clear" w:color="auto" w:fill="auto"/>
            <w:noWrap/>
            <w:vAlign w:val="bottom"/>
            <w:hideMark/>
          </w:tcPr>
          <w:p w14:paraId="41AB63FA"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Benefícios Sociais</w:t>
            </w:r>
          </w:p>
        </w:tc>
        <w:tc>
          <w:tcPr>
            <w:tcW w:w="478" w:type="pct"/>
            <w:tcBorders>
              <w:top w:val="nil"/>
              <w:left w:val="nil"/>
              <w:bottom w:val="single" w:sz="4" w:space="0" w:color="auto"/>
              <w:right w:val="single" w:sz="4" w:space="0" w:color="auto"/>
            </w:tcBorders>
            <w:shd w:val="clear" w:color="auto" w:fill="auto"/>
            <w:noWrap/>
            <w:vAlign w:val="bottom"/>
            <w:hideMark/>
          </w:tcPr>
          <w:p w14:paraId="67273D51"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12.705 </w:t>
            </w:r>
          </w:p>
        </w:tc>
        <w:tc>
          <w:tcPr>
            <w:tcW w:w="598" w:type="pct"/>
            <w:tcBorders>
              <w:top w:val="nil"/>
              <w:left w:val="nil"/>
              <w:bottom w:val="single" w:sz="4" w:space="0" w:color="auto"/>
              <w:right w:val="single" w:sz="4" w:space="0" w:color="auto"/>
            </w:tcBorders>
            <w:shd w:val="clear" w:color="auto" w:fill="auto"/>
            <w:noWrap/>
            <w:vAlign w:val="bottom"/>
            <w:hideMark/>
          </w:tcPr>
          <w:p w14:paraId="676841E9"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478" w:type="pct"/>
            <w:tcBorders>
              <w:top w:val="nil"/>
              <w:left w:val="nil"/>
              <w:bottom w:val="single" w:sz="4" w:space="0" w:color="auto"/>
              <w:right w:val="single" w:sz="4" w:space="0" w:color="auto"/>
            </w:tcBorders>
            <w:shd w:val="clear" w:color="auto" w:fill="auto"/>
            <w:noWrap/>
            <w:vAlign w:val="bottom"/>
            <w:hideMark/>
          </w:tcPr>
          <w:p w14:paraId="25B580A8"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29" w:type="pct"/>
            <w:tcBorders>
              <w:top w:val="nil"/>
              <w:left w:val="nil"/>
              <w:bottom w:val="single" w:sz="4" w:space="0" w:color="auto"/>
              <w:right w:val="single" w:sz="4" w:space="0" w:color="auto"/>
            </w:tcBorders>
            <w:shd w:val="clear" w:color="auto" w:fill="auto"/>
            <w:noWrap/>
            <w:vAlign w:val="bottom"/>
            <w:hideMark/>
          </w:tcPr>
          <w:p w14:paraId="3F156DEB"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12.705 </w:t>
            </w:r>
          </w:p>
        </w:tc>
      </w:tr>
      <w:tr w:rsidR="00F41043" w:rsidRPr="00F41043" w14:paraId="2E6F1F4F" w14:textId="77777777" w:rsidTr="00F41043">
        <w:trPr>
          <w:trHeight w:val="198"/>
        </w:trPr>
        <w:tc>
          <w:tcPr>
            <w:tcW w:w="2817" w:type="pct"/>
            <w:tcBorders>
              <w:top w:val="nil"/>
              <w:left w:val="single" w:sz="4" w:space="0" w:color="auto"/>
              <w:bottom w:val="single" w:sz="4" w:space="0" w:color="auto"/>
              <w:right w:val="single" w:sz="4" w:space="0" w:color="auto"/>
            </w:tcBorders>
            <w:shd w:val="clear" w:color="auto" w:fill="auto"/>
            <w:noWrap/>
            <w:vAlign w:val="bottom"/>
            <w:hideMark/>
          </w:tcPr>
          <w:p w14:paraId="4C17575F"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Outros Encargos Sociais</w:t>
            </w:r>
          </w:p>
        </w:tc>
        <w:tc>
          <w:tcPr>
            <w:tcW w:w="478" w:type="pct"/>
            <w:tcBorders>
              <w:top w:val="nil"/>
              <w:left w:val="nil"/>
              <w:bottom w:val="single" w:sz="4" w:space="0" w:color="auto"/>
              <w:right w:val="single" w:sz="4" w:space="0" w:color="auto"/>
            </w:tcBorders>
            <w:shd w:val="clear" w:color="auto" w:fill="auto"/>
            <w:noWrap/>
            <w:vAlign w:val="bottom"/>
            <w:hideMark/>
          </w:tcPr>
          <w:p w14:paraId="367FC26F"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19.443 </w:t>
            </w:r>
          </w:p>
        </w:tc>
        <w:tc>
          <w:tcPr>
            <w:tcW w:w="598" w:type="pct"/>
            <w:tcBorders>
              <w:top w:val="nil"/>
              <w:left w:val="nil"/>
              <w:bottom w:val="single" w:sz="4" w:space="0" w:color="auto"/>
              <w:right w:val="single" w:sz="4" w:space="0" w:color="auto"/>
            </w:tcBorders>
            <w:shd w:val="clear" w:color="auto" w:fill="auto"/>
            <w:noWrap/>
            <w:vAlign w:val="bottom"/>
            <w:hideMark/>
          </w:tcPr>
          <w:p w14:paraId="5E52FDE1"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478" w:type="pct"/>
            <w:tcBorders>
              <w:top w:val="nil"/>
              <w:left w:val="nil"/>
              <w:bottom w:val="single" w:sz="4" w:space="0" w:color="auto"/>
              <w:right w:val="single" w:sz="4" w:space="0" w:color="auto"/>
            </w:tcBorders>
            <w:shd w:val="clear" w:color="auto" w:fill="auto"/>
            <w:noWrap/>
            <w:vAlign w:val="bottom"/>
            <w:hideMark/>
          </w:tcPr>
          <w:p w14:paraId="30E28D9C"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29" w:type="pct"/>
            <w:tcBorders>
              <w:top w:val="nil"/>
              <w:left w:val="nil"/>
              <w:bottom w:val="single" w:sz="4" w:space="0" w:color="auto"/>
              <w:right w:val="single" w:sz="4" w:space="0" w:color="auto"/>
            </w:tcBorders>
            <w:shd w:val="clear" w:color="auto" w:fill="auto"/>
            <w:noWrap/>
            <w:vAlign w:val="bottom"/>
            <w:hideMark/>
          </w:tcPr>
          <w:p w14:paraId="7E5F7096"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19.443 </w:t>
            </w:r>
          </w:p>
        </w:tc>
      </w:tr>
      <w:tr w:rsidR="00F41043" w:rsidRPr="00F41043" w14:paraId="48859F76" w14:textId="77777777" w:rsidTr="00F41043">
        <w:trPr>
          <w:trHeight w:val="198"/>
        </w:trPr>
        <w:tc>
          <w:tcPr>
            <w:tcW w:w="2817" w:type="pct"/>
            <w:tcBorders>
              <w:top w:val="nil"/>
              <w:left w:val="single" w:sz="4" w:space="0" w:color="auto"/>
              <w:bottom w:val="single" w:sz="4" w:space="0" w:color="auto"/>
              <w:right w:val="single" w:sz="4" w:space="0" w:color="auto"/>
            </w:tcBorders>
            <w:shd w:val="clear" w:color="auto" w:fill="auto"/>
            <w:noWrap/>
            <w:vAlign w:val="bottom"/>
            <w:hideMark/>
          </w:tcPr>
          <w:p w14:paraId="7810D411"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Programa de Indenização por Serviços Prestados</w:t>
            </w:r>
          </w:p>
        </w:tc>
        <w:tc>
          <w:tcPr>
            <w:tcW w:w="478" w:type="pct"/>
            <w:tcBorders>
              <w:top w:val="nil"/>
              <w:left w:val="nil"/>
              <w:bottom w:val="single" w:sz="4" w:space="0" w:color="auto"/>
              <w:right w:val="single" w:sz="4" w:space="0" w:color="auto"/>
            </w:tcBorders>
            <w:shd w:val="clear" w:color="auto" w:fill="auto"/>
            <w:noWrap/>
            <w:vAlign w:val="bottom"/>
            <w:hideMark/>
          </w:tcPr>
          <w:p w14:paraId="38A47D1F"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2.332 </w:t>
            </w:r>
          </w:p>
        </w:tc>
        <w:tc>
          <w:tcPr>
            <w:tcW w:w="598" w:type="pct"/>
            <w:tcBorders>
              <w:top w:val="nil"/>
              <w:left w:val="nil"/>
              <w:bottom w:val="single" w:sz="4" w:space="0" w:color="auto"/>
              <w:right w:val="single" w:sz="4" w:space="0" w:color="auto"/>
            </w:tcBorders>
            <w:shd w:val="clear" w:color="auto" w:fill="auto"/>
            <w:noWrap/>
            <w:vAlign w:val="bottom"/>
            <w:hideMark/>
          </w:tcPr>
          <w:p w14:paraId="1960EC4D"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478" w:type="pct"/>
            <w:tcBorders>
              <w:top w:val="nil"/>
              <w:left w:val="nil"/>
              <w:bottom w:val="single" w:sz="4" w:space="0" w:color="auto"/>
              <w:right w:val="single" w:sz="4" w:space="0" w:color="auto"/>
            </w:tcBorders>
            <w:shd w:val="clear" w:color="auto" w:fill="auto"/>
            <w:noWrap/>
            <w:vAlign w:val="bottom"/>
            <w:hideMark/>
          </w:tcPr>
          <w:p w14:paraId="3655F7E0"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29" w:type="pct"/>
            <w:tcBorders>
              <w:top w:val="nil"/>
              <w:left w:val="nil"/>
              <w:bottom w:val="single" w:sz="4" w:space="0" w:color="auto"/>
              <w:right w:val="single" w:sz="4" w:space="0" w:color="auto"/>
            </w:tcBorders>
            <w:shd w:val="clear" w:color="auto" w:fill="auto"/>
            <w:noWrap/>
            <w:vAlign w:val="bottom"/>
            <w:hideMark/>
          </w:tcPr>
          <w:p w14:paraId="1B13252B"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2.332 </w:t>
            </w:r>
          </w:p>
        </w:tc>
      </w:tr>
      <w:tr w:rsidR="00F41043" w:rsidRPr="00F41043" w14:paraId="4AF1D412" w14:textId="77777777" w:rsidTr="00F41043">
        <w:trPr>
          <w:trHeight w:val="198"/>
        </w:trPr>
        <w:tc>
          <w:tcPr>
            <w:tcW w:w="2817" w:type="pct"/>
            <w:tcBorders>
              <w:top w:val="nil"/>
              <w:left w:val="single" w:sz="4" w:space="0" w:color="auto"/>
              <w:bottom w:val="single" w:sz="4" w:space="0" w:color="auto"/>
              <w:right w:val="single" w:sz="4" w:space="0" w:color="auto"/>
            </w:tcBorders>
            <w:shd w:val="clear" w:color="auto" w:fill="auto"/>
            <w:noWrap/>
            <w:vAlign w:val="bottom"/>
            <w:hideMark/>
          </w:tcPr>
          <w:p w14:paraId="49435E97"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Mão-de-Obra Temporária - Serviços Prestados - PF</w:t>
            </w:r>
          </w:p>
        </w:tc>
        <w:tc>
          <w:tcPr>
            <w:tcW w:w="478" w:type="pct"/>
            <w:tcBorders>
              <w:top w:val="nil"/>
              <w:left w:val="nil"/>
              <w:bottom w:val="single" w:sz="4" w:space="0" w:color="auto"/>
              <w:right w:val="single" w:sz="4" w:space="0" w:color="auto"/>
            </w:tcBorders>
            <w:shd w:val="clear" w:color="auto" w:fill="auto"/>
            <w:noWrap/>
            <w:vAlign w:val="bottom"/>
            <w:hideMark/>
          </w:tcPr>
          <w:p w14:paraId="38908FD6"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1.003 </w:t>
            </w:r>
          </w:p>
        </w:tc>
        <w:tc>
          <w:tcPr>
            <w:tcW w:w="598" w:type="pct"/>
            <w:tcBorders>
              <w:top w:val="nil"/>
              <w:left w:val="nil"/>
              <w:bottom w:val="single" w:sz="4" w:space="0" w:color="auto"/>
              <w:right w:val="single" w:sz="4" w:space="0" w:color="auto"/>
            </w:tcBorders>
            <w:shd w:val="clear" w:color="auto" w:fill="auto"/>
            <w:noWrap/>
            <w:vAlign w:val="bottom"/>
            <w:hideMark/>
          </w:tcPr>
          <w:p w14:paraId="1CEADB70"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478" w:type="pct"/>
            <w:tcBorders>
              <w:top w:val="nil"/>
              <w:left w:val="nil"/>
              <w:bottom w:val="single" w:sz="4" w:space="0" w:color="auto"/>
              <w:right w:val="single" w:sz="4" w:space="0" w:color="auto"/>
            </w:tcBorders>
            <w:shd w:val="clear" w:color="auto" w:fill="auto"/>
            <w:noWrap/>
            <w:vAlign w:val="bottom"/>
            <w:hideMark/>
          </w:tcPr>
          <w:p w14:paraId="78F1113B"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29" w:type="pct"/>
            <w:tcBorders>
              <w:top w:val="nil"/>
              <w:left w:val="nil"/>
              <w:bottom w:val="single" w:sz="4" w:space="0" w:color="auto"/>
              <w:right w:val="single" w:sz="4" w:space="0" w:color="auto"/>
            </w:tcBorders>
            <w:shd w:val="clear" w:color="auto" w:fill="auto"/>
            <w:noWrap/>
            <w:vAlign w:val="bottom"/>
            <w:hideMark/>
          </w:tcPr>
          <w:p w14:paraId="532EF174"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1.003 </w:t>
            </w:r>
          </w:p>
        </w:tc>
      </w:tr>
      <w:tr w:rsidR="00F41043" w:rsidRPr="00F41043" w14:paraId="0721AF9F" w14:textId="77777777" w:rsidTr="00F41043">
        <w:trPr>
          <w:trHeight w:val="198"/>
        </w:trPr>
        <w:tc>
          <w:tcPr>
            <w:tcW w:w="2817" w:type="pct"/>
            <w:tcBorders>
              <w:top w:val="nil"/>
              <w:left w:val="single" w:sz="4" w:space="0" w:color="auto"/>
              <w:bottom w:val="single" w:sz="4" w:space="0" w:color="auto"/>
              <w:right w:val="single" w:sz="4" w:space="0" w:color="auto"/>
            </w:tcBorders>
            <w:shd w:val="clear" w:color="auto" w:fill="auto"/>
            <w:noWrap/>
            <w:vAlign w:val="bottom"/>
            <w:hideMark/>
          </w:tcPr>
          <w:p w14:paraId="3A6183B7" w14:textId="77777777" w:rsidR="00F41043" w:rsidRPr="00F41043" w:rsidRDefault="00F41043" w:rsidP="00F41043">
            <w:pPr>
              <w:spacing w:after="0" w:line="240" w:lineRule="auto"/>
              <w:ind w:firstLineChars="200" w:firstLine="281"/>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Impostos, Taxas e Contribuições</w:t>
            </w:r>
          </w:p>
        </w:tc>
        <w:tc>
          <w:tcPr>
            <w:tcW w:w="478" w:type="pct"/>
            <w:tcBorders>
              <w:top w:val="nil"/>
              <w:left w:val="nil"/>
              <w:bottom w:val="single" w:sz="4" w:space="0" w:color="auto"/>
              <w:right w:val="single" w:sz="4" w:space="0" w:color="auto"/>
            </w:tcBorders>
            <w:shd w:val="clear" w:color="auto" w:fill="auto"/>
            <w:noWrap/>
            <w:vAlign w:val="bottom"/>
            <w:hideMark/>
          </w:tcPr>
          <w:p w14:paraId="4A06E0C4"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74.445 </w:t>
            </w:r>
          </w:p>
        </w:tc>
        <w:tc>
          <w:tcPr>
            <w:tcW w:w="598" w:type="pct"/>
            <w:tcBorders>
              <w:top w:val="nil"/>
              <w:left w:val="nil"/>
              <w:bottom w:val="single" w:sz="4" w:space="0" w:color="auto"/>
              <w:right w:val="single" w:sz="4" w:space="0" w:color="auto"/>
            </w:tcBorders>
            <w:shd w:val="clear" w:color="auto" w:fill="auto"/>
            <w:noWrap/>
            <w:vAlign w:val="bottom"/>
            <w:hideMark/>
          </w:tcPr>
          <w:p w14:paraId="04E99E84"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   </w:t>
            </w:r>
          </w:p>
        </w:tc>
        <w:tc>
          <w:tcPr>
            <w:tcW w:w="478" w:type="pct"/>
            <w:tcBorders>
              <w:top w:val="nil"/>
              <w:left w:val="nil"/>
              <w:bottom w:val="single" w:sz="4" w:space="0" w:color="auto"/>
              <w:right w:val="single" w:sz="4" w:space="0" w:color="auto"/>
            </w:tcBorders>
            <w:shd w:val="clear" w:color="auto" w:fill="auto"/>
            <w:noWrap/>
            <w:vAlign w:val="bottom"/>
            <w:hideMark/>
          </w:tcPr>
          <w:p w14:paraId="1172E33B"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   </w:t>
            </w:r>
          </w:p>
        </w:tc>
        <w:tc>
          <w:tcPr>
            <w:tcW w:w="629" w:type="pct"/>
            <w:tcBorders>
              <w:top w:val="nil"/>
              <w:left w:val="nil"/>
              <w:bottom w:val="single" w:sz="4" w:space="0" w:color="auto"/>
              <w:right w:val="single" w:sz="4" w:space="0" w:color="auto"/>
            </w:tcBorders>
            <w:shd w:val="clear" w:color="auto" w:fill="auto"/>
            <w:noWrap/>
            <w:vAlign w:val="bottom"/>
            <w:hideMark/>
          </w:tcPr>
          <w:p w14:paraId="7F840787"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74.445 </w:t>
            </w:r>
          </w:p>
        </w:tc>
      </w:tr>
      <w:tr w:rsidR="00F41043" w:rsidRPr="00F41043" w14:paraId="061F928E" w14:textId="77777777" w:rsidTr="00F41043">
        <w:trPr>
          <w:trHeight w:val="198"/>
        </w:trPr>
        <w:tc>
          <w:tcPr>
            <w:tcW w:w="2817" w:type="pct"/>
            <w:tcBorders>
              <w:top w:val="nil"/>
              <w:left w:val="single" w:sz="4" w:space="0" w:color="auto"/>
              <w:bottom w:val="single" w:sz="4" w:space="0" w:color="auto"/>
              <w:right w:val="single" w:sz="4" w:space="0" w:color="auto"/>
            </w:tcBorders>
            <w:shd w:val="clear" w:color="auto" w:fill="auto"/>
            <w:noWrap/>
            <w:vAlign w:val="bottom"/>
            <w:hideMark/>
          </w:tcPr>
          <w:p w14:paraId="325B17B1"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Federais</w:t>
            </w:r>
          </w:p>
        </w:tc>
        <w:tc>
          <w:tcPr>
            <w:tcW w:w="478" w:type="pct"/>
            <w:tcBorders>
              <w:top w:val="nil"/>
              <w:left w:val="nil"/>
              <w:bottom w:val="single" w:sz="4" w:space="0" w:color="auto"/>
              <w:right w:val="single" w:sz="4" w:space="0" w:color="auto"/>
            </w:tcBorders>
            <w:shd w:val="clear" w:color="auto" w:fill="auto"/>
            <w:noWrap/>
            <w:vAlign w:val="bottom"/>
            <w:hideMark/>
          </w:tcPr>
          <w:p w14:paraId="6BA8AC3A"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32.387 </w:t>
            </w:r>
          </w:p>
        </w:tc>
        <w:tc>
          <w:tcPr>
            <w:tcW w:w="598" w:type="pct"/>
            <w:tcBorders>
              <w:top w:val="nil"/>
              <w:left w:val="nil"/>
              <w:bottom w:val="single" w:sz="4" w:space="0" w:color="auto"/>
              <w:right w:val="single" w:sz="4" w:space="0" w:color="auto"/>
            </w:tcBorders>
            <w:shd w:val="clear" w:color="auto" w:fill="auto"/>
            <w:noWrap/>
            <w:vAlign w:val="bottom"/>
            <w:hideMark/>
          </w:tcPr>
          <w:p w14:paraId="40E41F7C"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478" w:type="pct"/>
            <w:tcBorders>
              <w:top w:val="nil"/>
              <w:left w:val="nil"/>
              <w:bottom w:val="single" w:sz="4" w:space="0" w:color="auto"/>
              <w:right w:val="single" w:sz="4" w:space="0" w:color="auto"/>
            </w:tcBorders>
            <w:shd w:val="clear" w:color="auto" w:fill="auto"/>
            <w:noWrap/>
            <w:vAlign w:val="bottom"/>
            <w:hideMark/>
          </w:tcPr>
          <w:p w14:paraId="0A98BFFA"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29" w:type="pct"/>
            <w:tcBorders>
              <w:top w:val="nil"/>
              <w:left w:val="nil"/>
              <w:bottom w:val="single" w:sz="4" w:space="0" w:color="auto"/>
              <w:right w:val="single" w:sz="4" w:space="0" w:color="auto"/>
            </w:tcBorders>
            <w:shd w:val="clear" w:color="auto" w:fill="auto"/>
            <w:noWrap/>
            <w:vAlign w:val="bottom"/>
            <w:hideMark/>
          </w:tcPr>
          <w:p w14:paraId="21098AD3"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32.387 </w:t>
            </w:r>
          </w:p>
        </w:tc>
      </w:tr>
      <w:tr w:rsidR="00F41043" w:rsidRPr="00F41043" w14:paraId="274DEE2E" w14:textId="77777777" w:rsidTr="00F41043">
        <w:trPr>
          <w:trHeight w:val="198"/>
        </w:trPr>
        <w:tc>
          <w:tcPr>
            <w:tcW w:w="2817" w:type="pct"/>
            <w:tcBorders>
              <w:top w:val="nil"/>
              <w:left w:val="single" w:sz="4" w:space="0" w:color="auto"/>
              <w:bottom w:val="single" w:sz="4" w:space="0" w:color="auto"/>
              <w:right w:val="single" w:sz="4" w:space="0" w:color="auto"/>
            </w:tcBorders>
            <w:shd w:val="clear" w:color="auto" w:fill="auto"/>
            <w:noWrap/>
            <w:vAlign w:val="bottom"/>
            <w:hideMark/>
          </w:tcPr>
          <w:p w14:paraId="0445F328"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Estaduais</w:t>
            </w:r>
          </w:p>
        </w:tc>
        <w:tc>
          <w:tcPr>
            <w:tcW w:w="478" w:type="pct"/>
            <w:tcBorders>
              <w:top w:val="nil"/>
              <w:left w:val="nil"/>
              <w:bottom w:val="single" w:sz="4" w:space="0" w:color="auto"/>
              <w:right w:val="single" w:sz="4" w:space="0" w:color="auto"/>
            </w:tcBorders>
            <w:shd w:val="clear" w:color="auto" w:fill="auto"/>
            <w:noWrap/>
            <w:vAlign w:val="bottom"/>
            <w:hideMark/>
          </w:tcPr>
          <w:p w14:paraId="0A8E0766"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41.476 </w:t>
            </w:r>
          </w:p>
        </w:tc>
        <w:tc>
          <w:tcPr>
            <w:tcW w:w="598" w:type="pct"/>
            <w:tcBorders>
              <w:top w:val="nil"/>
              <w:left w:val="nil"/>
              <w:bottom w:val="single" w:sz="4" w:space="0" w:color="auto"/>
              <w:right w:val="single" w:sz="4" w:space="0" w:color="auto"/>
            </w:tcBorders>
            <w:shd w:val="clear" w:color="auto" w:fill="auto"/>
            <w:noWrap/>
            <w:vAlign w:val="bottom"/>
            <w:hideMark/>
          </w:tcPr>
          <w:p w14:paraId="05BE7A92"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478" w:type="pct"/>
            <w:tcBorders>
              <w:top w:val="nil"/>
              <w:left w:val="nil"/>
              <w:bottom w:val="single" w:sz="4" w:space="0" w:color="auto"/>
              <w:right w:val="single" w:sz="4" w:space="0" w:color="auto"/>
            </w:tcBorders>
            <w:shd w:val="clear" w:color="auto" w:fill="auto"/>
            <w:noWrap/>
            <w:vAlign w:val="bottom"/>
            <w:hideMark/>
          </w:tcPr>
          <w:p w14:paraId="7770F473"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29" w:type="pct"/>
            <w:tcBorders>
              <w:top w:val="nil"/>
              <w:left w:val="nil"/>
              <w:bottom w:val="single" w:sz="4" w:space="0" w:color="auto"/>
              <w:right w:val="single" w:sz="4" w:space="0" w:color="auto"/>
            </w:tcBorders>
            <w:shd w:val="clear" w:color="auto" w:fill="auto"/>
            <w:noWrap/>
            <w:vAlign w:val="bottom"/>
            <w:hideMark/>
          </w:tcPr>
          <w:p w14:paraId="435ECF92"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41.476 </w:t>
            </w:r>
          </w:p>
        </w:tc>
      </w:tr>
      <w:tr w:rsidR="00F41043" w:rsidRPr="00F41043" w14:paraId="253A641E" w14:textId="77777777" w:rsidTr="00F41043">
        <w:trPr>
          <w:trHeight w:val="198"/>
        </w:trPr>
        <w:tc>
          <w:tcPr>
            <w:tcW w:w="2817" w:type="pct"/>
            <w:tcBorders>
              <w:top w:val="nil"/>
              <w:left w:val="single" w:sz="4" w:space="0" w:color="auto"/>
              <w:bottom w:val="single" w:sz="4" w:space="0" w:color="auto"/>
              <w:right w:val="single" w:sz="4" w:space="0" w:color="auto"/>
            </w:tcBorders>
            <w:shd w:val="clear" w:color="auto" w:fill="auto"/>
            <w:noWrap/>
            <w:vAlign w:val="bottom"/>
            <w:hideMark/>
          </w:tcPr>
          <w:p w14:paraId="73B721E4"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Municipais</w:t>
            </w:r>
          </w:p>
        </w:tc>
        <w:tc>
          <w:tcPr>
            <w:tcW w:w="478" w:type="pct"/>
            <w:tcBorders>
              <w:top w:val="nil"/>
              <w:left w:val="nil"/>
              <w:bottom w:val="single" w:sz="4" w:space="0" w:color="auto"/>
              <w:right w:val="single" w:sz="4" w:space="0" w:color="auto"/>
            </w:tcBorders>
            <w:shd w:val="clear" w:color="auto" w:fill="auto"/>
            <w:noWrap/>
            <w:vAlign w:val="bottom"/>
            <w:hideMark/>
          </w:tcPr>
          <w:p w14:paraId="539C1719"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582 </w:t>
            </w:r>
          </w:p>
        </w:tc>
        <w:tc>
          <w:tcPr>
            <w:tcW w:w="598" w:type="pct"/>
            <w:tcBorders>
              <w:top w:val="nil"/>
              <w:left w:val="nil"/>
              <w:bottom w:val="single" w:sz="4" w:space="0" w:color="auto"/>
              <w:right w:val="single" w:sz="4" w:space="0" w:color="auto"/>
            </w:tcBorders>
            <w:shd w:val="clear" w:color="auto" w:fill="auto"/>
            <w:noWrap/>
            <w:vAlign w:val="bottom"/>
            <w:hideMark/>
          </w:tcPr>
          <w:p w14:paraId="262EE9E2"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478" w:type="pct"/>
            <w:tcBorders>
              <w:top w:val="nil"/>
              <w:left w:val="nil"/>
              <w:bottom w:val="single" w:sz="4" w:space="0" w:color="auto"/>
              <w:right w:val="single" w:sz="4" w:space="0" w:color="auto"/>
            </w:tcBorders>
            <w:shd w:val="clear" w:color="auto" w:fill="auto"/>
            <w:noWrap/>
            <w:vAlign w:val="bottom"/>
            <w:hideMark/>
          </w:tcPr>
          <w:p w14:paraId="70CF47BC"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29" w:type="pct"/>
            <w:tcBorders>
              <w:top w:val="nil"/>
              <w:left w:val="nil"/>
              <w:bottom w:val="single" w:sz="4" w:space="0" w:color="auto"/>
              <w:right w:val="single" w:sz="4" w:space="0" w:color="auto"/>
            </w:tcBorders>
            <w:shd w:val="clear" w:color="auto" w:fill="auto"/>
            <w:noWrap/>
            <w:vAlign w:val="bottom"/>
            <w:hideMark/>
          </w:tcPr>
          <w:p w14:paraId="5AFFDFD2"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582 </w:t>
            </w:r>
          </w:p>
        </w:tc>
      </w:tr>
      <w:tr w:rsidR="00F41043" w:rsidRPr="00F41043" w14:paraId="620E274E" w14:textId="77777777" w:rsidTr="00F41043">
        <w:trPr>
          <w:trHeight w:val="198"/>
        </w:trPr>
        <w:tc>
          <w:tcPr>
            <w:tcW w:w="2817" w:type="pct"/>
            <w:tcBorders>
              <w:top w:val="nil"/>
              <w:left w:val="single" w:sz="4" w:space="0" w:color="auto"/>
              <w:bottom w:val="single" w:sz="4" w:space="0" w:color="auto"/>
              <w:right w:val="single" w:sz="4" w:space="0" w:color="auto"/>
            </w:tcBorders>
            <w:shd w:val="clear" w:color="auto" w:fill="auto"/>
            <w:noWrap/>
            <w:vAlign w:val="bottom"/>
            <w:hideMark/>
          </w:tcPr>
          <w:p w14:paraId="4C1F8ACB" w14:textId="77777777" w:rsidR="00F41043" w:rsidRPr="00F41043" w:rsidRDefault="00F41043" w:rsidP="00F41043">
            <w:pPr>
              <w:spacing w:after="0" w:line="240" w:lineRule="auto"/>
              <w:ind w:firstLineChars="200" w:firstLine="281"/>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Remuneração de Capitais de Terceiros</w:t>
            </w:r>
          </w:p>
        </w:tc>
        <w:tc>
          <w:tcPr>
            <w:tcW w:w="478" w:type="pct"/>
            <w:tcBorders>
              <w:top w:val="nil"/>
              <w:left w:val="nil"/>
              <w:bottom w:val="single" w:sz="4" w:space="0" w:color="auto"/>
              <w:right w:val="single" w:sz="4" w:space="0" w:color="auto"/>
            </w:tcBorders>
            <w:shd w:val="clear" w:color="auto" w:fill="auto"/>
            <w:noWrap/>
            <w:vAlign w:val="bottom"/>
            <w:hideMark/>
          </w:tcPr>
          <w:p w14:paraId="711C7AEA"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262.095 </w:t>
            </w:r>
          </w:p>
        </w:tc>
        <w:tc>
          <w:tcPr>
            <w:tcW w:w="598" w:type="pct"/>
            <w:tcBorders>
              <w:top w:val="nil"/>
              <w:left w:val="nil"/>
              <w:bottom w:val="single" w:sz="4" w:space="0" w:color="auto"/>
              <w:right w:val="single" w:sz="4" w:space="0" w:color="auto"/>
            </w:tcBorders>
            <w:shd w:val="clear" w:color="auto" w:fill="auto"/>
            <w:noWrap/>
            <w:vAlign w:val="bottom"/>
            <w:hideMark/>
          </w:tcPr>
          <w:p w14:paraId="6CA455CC"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   </w:t>
            </w:r>
          </w:p>
        </w:tc>
        <w:tc>
          <w:tcPr>
            <w:tcW w:w="478" w:type="pct"/>
            <w:tcBorders>
              <w:top w:val="nil"/>
              <w:left w:val="nil"/>
              <w:bottom w:val="single" w:sz="4" w:space="0" w:color="auto"/>
              <w:right w:val="single" w:sz="4" w:space="0" w:color="auto"/>
            </w:tcBorders>
            <w:shd w:val="clear" w:color="auto" w:fill="auto"/>
            <w:noWrap/>
            <w:vAlign w:val="bottom"/>
            <w:hideMark/>
          </w:tcPr>
          <w:p w14:paraId="777C576F"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10.157 </w:t>
            </w:r>
          </w:p>
        </w:tc>
        <w:tc>
          <w:tcPr>
            <w:tcW w:w="629" w:type="pct"/>
            <w:tcBorders>
              <w:top w:val="nil"/>
              <w:left w:val="nil"/>
              <w:bottom w:val="single" w:sz="4" w:space="0" w:color="auto"/>
              <w:right w:val="single" w:sz="4" w:space="0" w:color="auto"/>
            </w:tcBorders>
            <w:shd w:val="clear" w:color="auto" w:fill="auto"/>
            <w:noWrap/>
            <w:vAlign w:val="bottom"/>
            <w:hideMark/>
          </w:tcPr>
          <w:p w14:paraId="783345EA"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272.252 </w:t>
            </w:r>
          </w:p>
        </w:tc>
      </w:tr>
      <w:tr w:rsidR="00F41043" w:rsidRPr="00F41043" w14:paraId="02F78CEF" w14:textId="77777777" w:rsidTr="00F41043">
        <w:trPr>
          <w:trHeight w:val="198"/>
        </w:trPr>
        <w:tc>
          <w:tcPr>
            <w:tcW w:w="2817" w:type="pct"/>
            <w:tcBorders>
              <w:top w:val="nil"/>
              <w:left w:val="single" w:sz="4" w:space="0" w:color="auto"/>
              <w:bottom w:val="single" w:sz="4" w:space="0" w:color="auto"/>
              <w:right w:val="single" w:sz="4" w:space="0" w:color="auto"/>
            </w:tcBorders>
            <w:shd w:val="clear" w:color="auto" w:fill="auto"/>
            <w:noWrap/>
            <w:vAlign w:val="bottom"/>
            <w:hideMark/>
          </w:tcPr>
          <w:p w14:paraId="5406BA92"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Remuneração do Capital de Terceiros</w:t>
            </w:r>
          </w:p>
        </w:tc>
        <w:tc>
          <w:tcPr>
            <w:tcW w:w="478" w:type="pct"/>
            <w:tcBorders>
              <w:top w:val="nil"/>
              <w:left w:val="nil"/>
              <w:bottom w:val="single" w:sz="4" w:space="0" w:color="auto"/>
              <w:right w:val="single" w:sz="4" w:space="0" w:color="auto"/>
            </w:tcBorders>
            <w:shd w:val="clear" w:color="auto" w:fill="auto"/>
            <w:noWrap/>
            <w:vAlign w:val="bottom"/>
            <w:hideMark/>
          </w:tcPr>
          <w:p w14:paraId="213047B6"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209.284 </w:t>
            </w:r>
          </w:p>
        </w:tc>
        <w:tc>
          <w:tcPr>
            <w:tcW w:w="598" w:type="pct"/>
            <w:tcBorders>
              <w:top w:val="nil"/>
              <w:left w:val="nil"/>
              <w:bottom w:val="single" w:sz="4" w:space="0" w:color="auto"/>
              <w:right w:val="single" w:sz="4" w:space="0" w:color="auto"/>
            </w:tcBorders>
            <w:shd w:val="clear" w:color="auto" w:fill="auto"/>
            <w:noWrap/>
            <w:vAlign w:val="bottom"/>
            <w:hideMark/>
          </w:tcPr>
          <w:p w14:paraId="543BCE55"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478" w:type="pct"/>
            <w:tcBorders>
              <w:top w:val="nil"/>
              <w:left w:val="nil"/>
              <w:bottom w:val="single" w:sz="4" w:space="0" w:color="auto"/>
              <w:right w:val="single" w:sz="4" w:space="0" w:color="auto"/>
            </w:tcBorders>
            <w:shd w:val="clear" w:color="auto" w:fill="auto"/>
            <w:noWrap/>
            <w:vAlign w:val="bottom"/>
            <w:hideMark/>
          </w:tcPr>
          <w:p w14:paraId="15677C15"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10.157 </w:t>
            </w:r>
          </w:p>
        </w:tc>
        <w:tc>
          <w:tcPr>
            <w:tcW w:w="629" w:type="pct"/>
            <w:tcBorders>
              <w:top w:val="nil"/>
              <w:left w:val="nil"/>
              <w:bottom w:val="single" w:sz="4" w:space="0" w:color="auto"/>
              <w:right w:val="single" w:sz="4" w:space="0" w:color="auto"/>
            </w:tcBorders>
            <w:shd w:val="clear" w:color="auto" w:fill="auto"/>
            <w:noWrap/>
            <w:vAlign w:val="bottom"/>
            <w:hideMark/>
          </w:tcPr>
          <w:p w14:paraId="3E0FE601"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219.441 </w:t>
            </w:r>
          </w:p>
        </w:tc>
      </w:tr>
      <w:tr w:rsidR="00F41043" w:rsidRPr="00F41043" w14:paraId="35FDE73A" w14:textId="77777777" w:rsidTr="00F41043">
        <w:trPr>
          <w:trHeight w:val="198"/>
        </w:trPr>
        <w:tc>
          <w:tcPr>
            <w:tcW w:w="2817" w:type="pct"/>
            <w:tcBorders>
              <w:top w:val="nil"/>
              <w:left w:val="single" w:sz="4" w:space="0" w:color="auto"/>
              <w:bottom w:val="single" w:sz="4" w:space="0" w:color="auto"/>
              <w:right w:val="single" w:sz="4" w:space="0" w:color="auto"/>
            </w:tcBorders>
            <w:shd w:val="clear" w:color="auto" w:fill="auto"/>
            <w:noWrap/>
            <w:vAlign w:val="bottom"/>
            <w:hideMark/>
          </w:tcPr>
          <w:p w14:paraId="6DE654C2"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Aluguéis, Locações e Licença de Uso</w:t>
            </w:r>
          </w:p>
        </w:tc>
        <w:tc>
          <w:tcPr>
            <w:tcW w:w="478" w:type="pct"/>
            <w:tcBorders>
              <w:top w:val="nil"/>
              <w:left w:val="nil"/>
              <w:bottom w:val="single" w:sz="4" w:space="0" w:color="auto"/>
              <w:right w:val="single" w:sz="4" w:space="0" w:color="auto"/>
            </w:tcBorders>
            <w:shd w:val="clear" w:color="auto" w:fill="auto"/>
            <w:noWrap/>
            <w:vAlign w:val="bottom"/>
            <w:hideMark/>
          </w:tcPr>
          <w:p w14:paraId="384E8F90"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27.530 </w:t>
            </w:r>
          </w:p>
        </w:tc>
        <w:tc>
          <w:tcPr>
            <w:tcW w:w="598" w:type="pct"/>
            <w:tcBorders>
              <w:top w:val="nil"/>
              <w:left w:val="nil"/>
              <w:bottom w:val="single" w:sz="4" w:space="0" w:color="auto"/>
              <w:right w:val="single" w:sz="4" w:space="0" w:color="auto"/>
            </w:tcBorders>
            <w:shd w:val="clear" w:color="auto" w:fill="auto"/>
            <w:noWrap/>
            <w:vAlign w:val="bottom"/>
            <w:hideMark/>
          </w:tcPr>
          <w:p w14:paraId="38E6663F"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478" w:type="pct"/>
            <w:tcBorders>
              <w:top w:val="nil"/>
              <w:left w:val="nil"/>
              <w:bottom w:val="single" w:sz="4" w:space="0" w:color="auto"/>
              <w:right w:val="single" w:sz="4" w:space="0" w:color="auto"/>
            </w:tcBorders>
            <w:shd w:val="clear" w:color="auto" w:fill="auto"/>
            <w:noWrap/>
            <w:vAlign w:val="bottom"/>
            <w:hideMark/>
          </w:tcPr>
          <w:p w14:paraId="79ED5E0B"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29" w:type="pct"/>
            <w:tcBorders>
              <w:top w:val="nil"/>
              <w:left w:val="nil"/>
              <w:bottom w:val="single" w:sz="4" w:space="0" w:color="auto"/>
              <w:right w:val="single" w:sz="4" w:space="0" w:color="auto"/>
            </w:tcBorders>
            <w:shd w:val="clear" w:color="auto" w:fill="auto"/>
            <w:noWrap/>
            <w:vAlign w:val="bottom"/>
            <w:hideMark/>
          </w:tcPr>
          <w:p w14:paraId="223DC010"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27.530 </w:t>
            </w:r>
          </w:p>
        </w:tc>
      </w:tr>
      <w:tr w:rsidR="00F41043" w:rsidRPr="00F41043" w14:paraId="7AAEFD33" w14:textId="77777777" w:rsidTr="00F41043">
        <w:trPr>
          <w:trHeight w:val="198"/>
        </w:trPr>
        <w:tc>
          <w:tcPr>
            <w:tcW w:w="2817" w:type="pct"/>
            <w:tcBorders>
              <w:top w:val="nil"/>
              <w:left w:val="single" w:sz="4" w:space="0" w:color="auto"/>
              <w:bottom w:val="single" w:sz="4" w:space="0" w:color="auto"/>
              <w:right w:val="single" w:sz="4" w:space="0" w:color="auto"/>
            </w:tcBorders>
            <w:shd w:val="clear" w:color="auto" w:fill="auto"/>
            <w:noWrap/>
            <w:vAlign w:val="bottom"/>
            <w:hideMark/>
          </w:tcPr>
          <w:p w14:paraId="689C657F"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Seguros</w:t>
            </w:r>
          </w:p>
        </w:tc>
        <w:tc>
          <w:tcPr>
            <w:tcW w:w="478" w:type="pct"/>
            <w:tcBorders>
              <w:top w:val="nil"/>
              <w:left w:val="nil"/>
              <w:bottom w:val="single" w:sz="4" w:space="0" w:color="auto"/>
              <w:right w:val="single" w:sz="4" w:space="0" w:color="auto"/>
            </w:tcBorders>
            <w:shd w:val="clear" w:color="auto" w:fill="auto"/>
            <w:noWrap/>
            <w:vAlign w:val="bottom"/>
            <w:hideMark/>
          </w:tcPr>
          <w:p w14:paraId="52EEB9A3"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25.281 </w:t>
            </w:r>
          </w:p>
        </w:tc>
        <w:tc>
          <w:tcPr>
            <w:tcW w:w="598" w:type="pct"/>
            <w:tcBorders>
              <w:top w:val="nil"/>
              <w:left w:val="nil"/>
              <w:bottom w:val="single" w:sz="4" w:space="0" w:color="auto"/>
              <w:right w:val="single" w:sz="4" w:space="0" w:color="auto"/>
            </w:tcBorders>
            <w:shd w:val="clear" w:color="auto" w:fill="auto"/>
            <w:noWrap/>
            <w:vAlign w:val="bottom"/>
            <w:hideMark/>
          </w:tcPr>
          <w:p w14:paraId="2B548FC3"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478" w:type="pct"/>
            <w:tcBorders>
              <w:top w:val="nil"/>
              <w:left w:val="nil"/>
              <w:bottom w:val="single" w:sz="4" w:space="0" w:color="auto"/>
              <w:right w:val="single" w:sz="4" w:space="0" w:color="auto"/>
            </w:tcBorders>
            <w:shd w:val="clear" w:color="auto" w:fill="auto"/>
            <w:noWrap/>
            <w:vAlign w:val="bottom"/>
            <w:hideMark/>
          </w:tcPr>
          <w:p w14:paraId="661BF4BE"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29" w:type="pct"/>
            <w:tcBorders>
              <w:top w:val="nil"/>
              <w:left w:val="nil"/>
              <w:bottom w:val="single" w:sz="4" w:space="0" w:color="auto"/>
              <w:right w:val="single" w:sz="4" w:space="0" w:color="auto"/>
            </w:tcBorders>
            <w:shd w:val="clear" w:color="auto" w:fill="auto"/>
            <w:noWrap/>
            <w:vAlign w:val="bottom"/>
            <w:hideMark/>
          </w:tcPr>
          <w:p w14:paraId="5989131C"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25.281 </w:t>
            </w:r>
          </w:p>
        </w:tc>
      </w:tr>
      <w:tr w:rsidR="00F41043" w:rsidRPr="00F41043" w14:paraId="6131F748" w14:textId="77777777" w:rsidTr="00F41043">
        <w:trPr>
          <w:trHeight w:val="198"/>
        </w:trPr>
        <w:tc>
          <w:tcPr>
            <w:tcW w:w="2817" w:type="pct"/>
            <w:tcBorders>
              <w:top w:val="nil"/>
              <w:left w:val="single" w:sz="4" w:space="0" w:color="auto"/>
              <w:bottom w:val="single" w:sz="4" w:space="0" w:color="auto"/>
              <w:right w:val="single" w:sz="4" w:space="0" w:color="auto"/>
            </w:tcBorders>
            <w:shd w:val="clear" w:color="auto" w:fill="auto"/>
            <w:noWrap/>
            <w:vAlign w:val="bottom"/>
            <w:hideMark/>
          </w:tcPr>
          <w:p w14:paraId="26347A2D" w14:textId="77777777" w:rsidR="00F41043" w:rsidRPr="00F41043" w:rsidRDefault="00F41043" w:rsidP="00F41043">
            <w:pPr>
              <w:spacing w:after="0" w:line="240" w:lineRule="auto"/>
              <w:ind w:firstLineChars="200" w:firstLine="281"/>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Remuneração de Capitais Próprios</w:t>
            </w:r>
          </w:p>
        </w:tc>
        <w:tc>
          <w:tcPr>
            <w:tcW w:w="478" w:type="pct"/>
            <w:tcBorders>
              <w:top w:val="nil"/>
              <w:left w:val="nil"/>
              <w:bottom w:val="single" w:sz="4" w:space="0" w:color="auto"/>
              <w:right w:val="single" w:sz="4" w:space="0" w:color="auto"/>
            </w:tcBorders>
            <w:shd w:val="clear" w:color="auto" w:fill="auto"/>
            <w:noWrap/>
            <w:vAlign w:val="bottom"/>
            <w:hideMark/>
          </w:tcPr>
          <w:p w14:paraId="463FD282"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(127.712)</w:t>
            </w:r>
          </w:p>
        </w:tc>
        <w:tc>
          <w:tcPr>
            <w:tcW w:w="598" w:type="pct"/>
            <w:tcBorders>
              <w:top w:val="nil"/>
              <w:left w:val="nil"/>
              <w:bottom w:val="single" w:sz="4" w:space="0" w:color="auto"/>
              <w:right w:val="single" w:sz="4" w:space="0" w:color="auto"/>
            </w:tcBorders>
            <w:shd w:val="clear" w:color="auto" w:fill="auto"/>
            <w:noWrap/>
            <w:vAlign w:val="bottom"/>
            <w:hideMark/>
          </w:tcPr>
          <w:p w14:paraId="197BADFB"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(30.590)</w:t>
            </w:r>
          </w:p>
        </w:tc>
        <w:tc>
          <w:tcPr>
            <w:tcW w:w="478" w:type="pct"/>
            <w:tcBorders>
              <w:top w:val="nil"/>
              <w:left w:val="nil"/>
              <w:bottom w:val="single" w:sz="4" w:space="0" w:color="auto"/>
              <w:right w:val="single" w:sz="4" w:space="0" w:color="auto"/>
            </w:tcBorders>
            <w:shd w:val="clear" w:color="auto" w:fill="auto"/>
            <w:noWrap/>
            <w:vAlign w:val="bottom"/>
            <w:hideMark/>
          </w:tcPr>
          <w:p w14:paraId="38CE271D"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(10.157)</w:t>
            </w:r>
          </w:p>
        </w:tc>
        <w:tc>
          <w:tcPr>
            <w:tcW w:w="629" w:type="pct"/>
            <w:tcBorders>
              <w:top w:val="nil"/>
              <w:left w:val="nil"/>
              <w:bottom w:val="single" w:sz="4" w:space="0" w:color="auto"/>
              <w:right w:val="single" w:sz="4" w:space="0" w:color="auto"/>
            </w:tcBorders>
            <w:shd w:val="clear" w:color="auto" w:fill="auto"/>
            <w:noWrap/>
            <w:vAlign w:val="bottom"/>
            <w:hideMark/>
          </w:tcPr>
          <w:p w14:paraId="57BF4E76"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(168.459)</w:t>
            </w:r>
          </w:p>
        </w:tc>
      </w:tr>
      <w:tr w:rsidR="00F41043" w:rsidRPr="00F41043" w14:paraId="5146EA74" w14:textId="77777777" w:rsidTr="00F41043">
        <w:trPr>
          <w:trHeight w:val="198"/>
        </w:trPr>
        <w:tc>
          <w:tcPr>
            <w:tcW w:w="2817" w:type="pct"/>
            <w:tcBorders>
              <w:top w:val="nil"/>
              <w:left w:val="single" w:sz="4" w:space="0" w:color="auto"/>
              <w:bottom w:val="single" w:sz="4" w:space="0" w:color="auto"/>
              <w:right w:val="single" w:sz="4" w:space="0" w:color="auto"/>
            </w:tcBorders>
            <w:shd w:val="clear" w:color="auto" w:fill="auto"/>
            <w:noWrap/>
            <w:vAlign w:val="bottom"/>
            <w:hideMark/>
          </w:tcPr>
          <w:p w14:paraId="54E86D02"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Prejuízo do Exercício</w:t>
            </w:r>
          </w:p>
        </w:tc>
        <w:tc>
          <w:tcPr>
            <w:tcW w:w="478" w:type="pct"/>
            <w:tcBorders>
              <w:top w:val="nil"/>
              <w:left w:val="nil"/>
              <w:bottom w:val="single" w:sz="4" w:space="0" w:color="auto"/>
              <w:right w:val="single" w:sz="4" w:space="0" w:color="auto"/>
            </w:tcBorders>
            <w:shd w:val="clear" w:color="auto" w:fill="auto"/>
            <w:noWrap/>
            <w:vAlign w:val="bottom"/>
            <w:hideMark/>
          </w:tcPr>
          <w:p w14:paraId="73AAB61F"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(127.712)</w:t>
            </w:r>
          </w:p>
        </w:tc>
        <w:tc>
          <w:tcPr>
            <w:tcW w:w="598" w:type="pct"/>
            <w:tcBorders>
              <w:top w:val="nil"/>
              <w:left w:val="nil"/>
              <w:bottom w:val="single" w:sz="4" w:space="0" w:color="auto"/>
              <w:right w:val="single" w:sz="4" w:space="0" w:color="auto"/>
            </w:tcBorders>
            <w:shd w:val="clear" w:color="auto" w:fill="auto"/>
            <w:noWrap/>
            <w:vAlign w:val="bottom"/>
            <w:hideMark/>
          </w:tcPr>
          <w:p w14:paraId="7719BFA4"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(30.590)</w:t>
            </w:r>
          </w:p>
        </w:tc>
        <w:tc>
          <w:tcPr>
            <w:tcW w:w="478" w:type="pct"/>
            <w:tcBorders>
              <w:top w:val="nil"/>
              <w:left w:val="nil"/>
              <w:bottom w:val="single" w:sz="4" w:space="0" w:color="auto"/>
              <w:right w:val="single" w:sz="4" w:space="0" w:color="auto"/>
            </w:tcBorders>
            <w:shd w:val="clear" w:color="auto" w:fill="auto"/>
            <w:noWrap/>
            <w:vAlign w:val="bottom"/>
            <w:hideMark/>
          </w:tcPr>
          <w:p w14:paraId="31D9E480"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(10.157)</w:t>
            </w:r>
          </w:p>
        </w:tc>
        <w:tc>
          <w:tcPr>
            <w:tcW w:w="629" w:type="pct"/>
            <w:tcBorders>
              <w:top w:val="nil"/>
              <w:left w:val="nil"/>
              <w:bottom w:val="single" w:sz="4" w:space="0" w:color="auto"/>
              <w:right w:val="single" w:sz="4" w:space="0" w:color="auto"/>
            </w:tcBorders>
            <w:shd w:val="clear" w:color="auto" w:fill="auto"/>
            <w:noWrap/>
            <w:vAlign w:val="bottom"/>
            <w:hideMark/>
          </w:tcPr>
          <w:p w14:paraId="0F1FC7F6"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(168.459)</w:t>
            </w:r>
          </w:p>
        </w:tc>
      </w:tr>
    </w:tbl>
    <w:p w14:paraId="6AED240D" w14:textId="16E0F75F" w:rsidR="00F41043" w:rsidRPr="00F41043" w:rsidRDefault="00F41043" w:rsidP="00F41043">
      <w:pPr>
        <w:spacing w:after="0"/>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3.2. </w:t>
      </w:r>
      <w:r w:rsidRPr="00F41043">
        <w:rPr>
          <w:rFonts w:ascii="Calibri" w:eastAsia="Times New Roman" w:hAnsi="Calibri" w:cs="Calibri"/>
          <w:b/>
          <w:bCs/>
          <w:iCs/>
          <w:color w:val="002060"/>
          <w:kern w:val="0"/>
          <w14:ligatures w14:val="none"/>
        </w:rPr>
        <w:t>Reapresentação das Demonstrações Contábeis do Exercício de 2021</w:t>
      </w:r>
    </w:p>
    <w:p w14:paraId="07A0AE44" w14:textId="418B44F3" w:rsidR="00F41043" w:rsidRDefault="00F41043" w:rsidP="00F41043">
      <w:pPr>
        <w:spacing w:after="0"/>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3.2.1. </w:t>
      </w:r>
      <w:r w:rsidRPr="00F41043">
        <w:rPr>
          <w:rFonts w:ascii="Calibri" w:eastAsia="Times New Roman" w:hAnsi="Calibri" w:cs="Calibri"/>
          <w:b/>
          <w:bCs/>
          <w:iCs/>
          <w:color w:val="002060"/>
          <w:kern w:val="0"/>
          <w14:ligatures w14:val="none"/>
        </w:rPr>
        <w:t>Balanço Patrimonial</w:t>
      </w:r>
    </w:p>
    <w:tbl>
      <w:tblPr>
        <w:tblW w:w="5000" w:type="pct"/>
        <w:tblCellMar>
          <w:left w:w="70" w:type="dxa"/>
          <w:right w:w="70" w:type="dxa"/>
        </w:tblCellMar>
        <w:tblLook w:val="04A0" w:firstRow="1" w:lastRow="0" w:firstColumn="1" w:lastColumn="0" w:noHBand="0" w:noVBand="1"/>
      </w:tblPr>
      <w:tblGrid>
        <w:gridCol w:w="4206"/>
        <w:gridCol w:w="1043"/>
        <w:gridCol w:w="1082"/>
        <w:gridCol w:w="1082"/>
        <w:gridCol w:w="1082"/>
        <w:gridCol w:w="1276"/>
      </w:tblGrid>
      <w:tr w:rsidR="00F41043" w:rsidRPr="00F41043" w14:paraId="267215B4" w14:textId="77777777" w:rsidTr="00446A14">
        <w:trPr>
          <w:trHeight w:val="198"/>
          <w:tblHeader/>
        </w:trPr>
        <w:tc>
          <w:tcPr>
            <w:tcW w:w="2212" w:type="pct"/>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8B65A00" w14:textId="77777777" w:rsidR="00F41043" w:rsidRPr="00F41043" w:rsidRDefault="00F41043" w:rsidP="00F41043">
            <w:pPr>
              <w:spacing w:after="0" w:line="240" w:lineRule="auto"/>
              <w:jc w:val="center"/>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w:t>
            </w:r>
          </w:p>
        </w:tc>
        <w:tc>
          <w:tcPr>
            <w:tcW w:w="5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A7A3A5" w14:textId="77777777" w:rsidR="00F41043" w:rsidRPr="00F41043" w:rsidRDefault="00F41043" w:rsidP="00F41043">
            <w:pPr>
              <w:spacing w:after="0" w:line="240" w:lineRule="auto"/>
              <w:jc w:val="center"/>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Saldos Divulgados em 31/12/2021</w:t>
            </w:r>
          </w:p>
        </w:tc>
        <w:tc>
          <w:tcPr>
            <w:tcW w:w="1601"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483DE7B4" w14:textId="77777777" w:rsidR="00F41043" w:rsidRPr="00F41043" w:rsidRDefault="00F41043" w:rsidP="00F41043">
            <w:pPr>
              <w:spacing w:after="0" w:line="240" w:lineRule="auto"/>
              <w:jc w:val="center"/>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Ajustes</w:t>
            </w:r>
          </w:p>
        </w:tc>
        <w:tc>
          <w:tcPr>
            <w:tcW w:w="65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EEBA69" w14:textId="77777777" w:rsidR="00F41043" w:rsidRPr="00F41043" w:rsidRDefault="00F41043" w:rsidP="00F41043">
            <w:pPr>
              <w:spacing w:after="0" w:line="240" w:lineRule="auto"/>
              <w:jc w:val="center"/>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Saldos Reapresentados 31/12/2021</w:t>
            </w:r>
          </w:p>
        </w:tc>
      </w:tr>
      <w:tr w:rsidR="00F41043" w:rsidRPr="00F41043" w14:paraId="0283E65F" w14:textId="77777777" w:rsidTr="00446A14">
        <w:trPr>
          <w:trHeight w:val="198"/>
          <w:tblHeader/>
        </w:trPr>
        <w:tc>
          <w:tcPr>
            <w:tcW w:w="2212" w:type="pct"/>
            <w:vMerge/>
            <w:tcBorders>
              <w:top w:val="single" w:sz="4" w:space="0" w:color="auto"/>
              <w:left w:val="single" w:sz="4" w:space="0" w:color="auto"/>
              <w:bottom w:val="single" w:sz="4" w:space="0" w:color="auto"/>
              <w:right w:val="single" w:sz="4" w:space="0" w:color="auto"/>
            </w:tcBorders>
            <w:vAlign w:val="center"/>
            <w:hideMark/>
          </w:tcPr>
          <w:p w14:paraId="01B75FC7"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p>
        </w:tc>
        <w:tc>
          <w:tcPr>
            <w:tcW w:w="534" w:type="pct"/>
            <w:vMerge/>
            <w:tcBorders>
              <w:top w:val="single" w:sz="4" w:space="0" w:color="auto"/>
              <w:left w:val="single" w:sz="4" w:space="0" w:color="auto"/>
              <w:bottom w:val="single" w:sz="4" w:space="0" w:color="auto"/>
              <w:right w:val="single" w:sz="4" w:space="0" w:color="auto"/>
            </w:tcBorders>
            <w:vAlign w:val="center"/>
            <w:hideMark/>
          </w:tcPr>
          <w:p w14:paraId="72E21069"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p>
        </w:tc>
        <w:tc>
          <w:tcPr>
            <w:tcW w:w="534" w:type="pct"/>
            <w:tcBorders>
              <w:top w:val="nil"/>
              <w:left w:val="nil"/>
              <w:bottom w:val="single" w:sz="4" w:space="0" w:color="auto"/>
              <w:right w:val="single" w:sz="4" w:space="0" w:color="auto"/>
            </w:tcBorders>
            <w:shd w:val="clear" w:color="auto" w:fill="auto"/>
            <w:vAlign w:val="center"/>
            <w:hideMark/>
          </w:tcPr>
          <w:p w14:paraId="659C720C" w14:textId="77777777" w:rsidR="00F41043" w:rsidRPr="00F41043" w:rsidRDefault="00F41043" w:rsidP="00F41043">
            <w:pPr>
              <w:spacing w:after="0" w:line="240" w:lineRule="auto"/>
              <w:jc w:val="center"/>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Subvenções para Investimento (i) </w:t>
            </w:r>
          </w:p>
        </w:tc>
        <w:tc>
          <w:tcPr>
            <w:tcW w:w="534" w:type="pct"/>
            <w:tcBorders>
              <w:top w:val="nil"/>
              <w:left w:val="nil"/>
              <w:bottom w:val="single" w:sz="4" w:space="0" w:color="auto"/>
              <w:right w:val="single" w:sz="4" w:space="0" w:color="auto"/>
            </w:tcBorders>
            <w:shd w:val="clear" w:color="auto" w:fill="auto"/>
            <w:vAlign w:val="center"/>
            <w:hideMark/>
          </w:tcPr>
          <w:p w14:paraId="3DD0287A" w14:textId="77777777" w:rsidR="00F41043" w:rsidRPr="00F41043" w:rsidRDefault="00F41043" w:rsidP="00F41043">
            <w:pPr>
              <w:spacing w:after="0" w:line="240" w:lineRule="auto"/>
              <w:jc w:val="center"/>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Juros de </w:t>
            </w:r>
            <w:proofErr w:type="spellStart"/>
            <w:r w:rsidRPr="00F41043">
              <w:rPr>
                <w:rFonts w:ascii="Arial" w:eastAsia="Times New Roman" w:hAnsi="Arial" w:cs="Arial"/>
                <w:b/>
                <w:bCs/>
                <w:kern w:val="0"/>
                <w:sz w:val="14"/>
                <w:szCs w:val="14"/>
                <w:lang w:eastAsia="pt-BR"/>
                <w14:ligatures w14:val="none"/>
              </w:rPr>
              <w:t>Afac</w:t>
            </w:r>
            <w:proofErr w:type="spellEnd"/>
            <w:r w:rsidRPr="00F41043">
              <w:rPr>
                <w:rFonts w:ascii="Arial" w:eastAsia="Times New Roman" w:hAnsi="Arial" w:cs="Arial"/>
                <w:b/>
                <w:bCs/>
                <w:kern w:val="0"/>
                <w:sz w:val="14"/>
                <w:szCs w:val="14"/>
                <w:lang w:eastAsia="pt-BR"/>
                <w14:ligatures w14:val="none"/>
              </w:rPr>
              <w:t xml:space="preserve"> (</w:t>
            </w:r>
            <w:proofErr w:type="spellStart"/>
            <w:r w:rsidRPr="00F41043">
              <w:rPr>
                <w:rFonts w:ascii="Arial" w:eastAsia="Times New Roman" w:hAnsi="Arial" w:cs="Arial"/>
                <w:b/>
                <w:bCs/>
                <w:kern w:val="0"/>
                <w:sz w:val="14"/>
                <w:szCs w:val="14"/>
                <w:lang w:eastAsia="pt-BR"/>
                <w14:ligatures w14:val="none"/>
              </w:rPr>
              <w:t>ii</w:t>
            </w:r>
            <w:proofErr w:type="spellEnd"/>
            <w:r w:rsidRPr="00F41043">
              <w:rPr>
                <w:rFonts w:ascii="Arial" w:eastAsia="Times New Roman" w:hAnsi="Arial" w:cs="Arial"/>
                <w:b/>
                <w:bCs/>
                <w:kern w:val="0"/>
                <w:sz w:val="14"/>
                <w:szCs w:val="14"/>
                <w:lang w:eastAsia="pt-BR"/>
                <w14:ligatures w14:val="none"/>
              </w:rPr>
              <w:t>)</w:t>
            </w:r>
          </w:p>
        </w:tc>
        <w:tc>
          <w:tcPr>
            <w:tcW w:w="534" w:type="pct"/>
            <w:tcBorders>
              <w:top w:val="nil"/>
              <w:left w:val="nil"/>
              <w:bottom w:val="single" w:sz="4" w:space="0" w:color="auto"/>
              <w:right w:val="single" w:sz="4" w:space="0" w:color="auto"/>
            </w:tcBorders>
            <w:shd w:val="clear" w:color="auto" w:fill="auto"/>
            <w:vAlign w:val="center"/>
            <w:hideMark/>
          </w:tcPr>
          <w:p w14:paraId="75AD9C4B" w14:textId="77777777" w:rsidR="00F41043" w:rsidRPr="00F41043" w:rsidRDefault="00F41043" w:rsidP="00F41043">
            <w:pPr>
              <w:spacing w:after="0" w:line="240" w:lineRule="auto"/>
              <w:jc w:val="center"/>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Efeito no Patrimônio Líquido (</w:t>
            </w:r>
            <w:proofErr w:type="spellStart"/>
            <w:r w:rsidRPr="00F41043">
              <w:rPr>
                <w:rFonts w:ascii="Arial" w:eastAsia="Times New Roman" w:hAnsi="Arial" w:cs="Arial"/>
                <w:b/>
                <w:bCs/>
                <w:kern w:val="0"/>
                <w:sz w:val="14"/>
                <w:szCs w:val="14"/>
                <w:lang w:eastAsia="pt-BR"/>
                <w14:ligatures w14:val="none"/>
              </w:rPr>
              <w:t>iii</w:t>
            </w:r>
            <w:proofErr w:type="spellEnd"/>
            <w:r w:rsidRPr="00F41043">
              <w:rPr>
                <w:rFonts w:ascii="Arial" w:eastAsia="Times New Roman" w:hAnsi="Arial" w:cs="Arial"/>
                <w:b/>
                <w:bCs/>
                <w:kern w:val="0"/>
                <w:sz w:val="14"/>
                <w:szCs w:val="14"/>
                <w:lang w:eastAsia="pt-BR"/>
                <w14:ligatures w14:val="none"/>
              </w:rPr>
              <w:t>)</w:t>
            </w:r>
          </w:p>
        </w:tc>
        <w:tc>
          <w:tcPr>
            <w:tcW w:w="653" w:type="pct"/>
            <w:vMerge/>
            <w:tcBorders>
              <w:top w:val="single" w:sz="4" w:space="0" w:color="auto"/>
              <w:left w:val="single" w:sz="4" w:space="0" w:color="auto"/>
              <w:bottom w:val="single" w:sz="4" w:space="0" w:color="000000"/>
              <w:right w:val="single" w:sz="4" w:space="0" w:color="auto"/>
            </w:tcBorders>
            <w:vAlign w:val="center"/>
            <w:hideMark/>
          </w:tcPr>
          <w:p w14:paraId="2051F07E"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p>
        </w:tc>
      </w:tr>
      <w:tr w:rsidR="00F41043" w:rsidRPr="00F41043" w14:paraId="2493D1D2"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center"/>
            <w:hideMark/>
          </w:tcPr>
          <w:p w14:paraId="192980C3"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Ativo</w:t>
            </w:r>
          </w:p>
        </w:tc>
        <w:tc>
          <w:tcPr>
            <w:tcW w:w="534" w:type="pct"/>
            <w:tcBorders>
              <w:top w:val="nil"/>
              <w:left w:val="nil"/>
              <w:bottom w:val="single" w:sz="4" w:space="0" w:color="auto"/>
              <w:right w:val="single" w:sz="4" w:space="0" w:color="auto"/>
            </w:tcBorders>
            <w:shd w:val="clear" w:color="auto" w:fill="auto"/>
            <w:noWrap/>
            <w:vAlign w:val="bottom"/>
            <w:hideMark/>
          </w:tcPr>
          <w:p w14:paraId="683D7FCC"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1A5CA67A"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6F6B6957"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06B51257"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3" w:type="pct"/>
            <w:tcBorders>
              <w:top w:val="nil"/>
              <w:left w:val="nil"/>
              <w:bottom w:val="single" w:sz="4" w:space="0" w:color="auto"/>
              <w:right w:val="single" w:sz="4" w:space="0" w:color="auto"/>
            </w:tcBorders>
            <w:shd w:val="clear" w:color="auto" w:fill="auto"/>
            <w:noWrap/>
            <w:vAlign w:val="bottom"/>
            <w:hideMark/>
          </w:tcPr>
          <w:p w14:paraId="6B8D3E16"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r>
      <w:tr w:rsidR="00F41043" w:rsidRPr="00F41043" w14:paraId="11CBD926"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center"/>
            <w:hideMark/>
          </w:tcPr>
          <w:p w14:paraId="55E53AA2"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Circulante</w:t>
            </w:r>
          </w:p>
        </w:tc>
        <w:tc>
          <w:tcPr>
            <w:tcW w:w="534" w:type="pct"/>
            <w:tcBorders>
              <w:top w:val="nil"/>
              <w:left w:val="nil"/>
              <w:bottom w:val="single" w:sz="4" w:space="0" w:color="auto"/>
              <w:right w:val="single" w:sz="4" w:space="0" w:color="auto"/>
            </w:tcBorders>
            <w:shd w:val="clear" w:color="auto" w:fill="auto"/>
            <w:noWrap/>
            <w:vAlign w:val="center"/>
            <w:hideMark/>
          </w:tcPr>
          <w:p w14:paraId="56072E6B"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6C8CA958"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6B497314"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7BD0A57F"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3" w:type="pct"/>
            <w:tcBorders>
              <w:top w:val="nil"/>
              <w:left w:val="nil"/>
              <w:bottom w:val="single" w:sz="4" w:space="0" w:color="auto"/>
              <w:right w:val="single" w:sz="4" w:space="0" w:color="auto"/>
            </w:tcBorders>
            <w:shd w:val="clear" w:color="auto" w:fill="auto"/>
            <w:noWrap/>
            <w:vAlign w:val="center"/>
            <w:hideMark/>
          </w:tcPr>
          <w:p w14:paraId="0E69F43F"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r>
      <w:tr w:rsidR="00F41043" w:rsidRPr="00F41043" w14:paraId="73B39ECF"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center"/>
            <w:hideMark/>
          </w:tcPr>
          <w:p w14:paraId="54564C7D"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Caixa e Equivalentes de Caixa</w:t>
            </w:r>
          </w:p>
        </w:tc>
        <w:tc>
          <w:tcPr>
            <w:tcW w:w="534" w:type="pct"/>
            <w:tcBorders>
              <w:top w:val="nil"/>
              <w:left w:val="nil"/>
              <w:bottom w:val="single" w:sz="4" w:space="0" w:color="auto"/>
              <w:right w:val="single" w:sz="4" w:space="0" w:color="auto"/>
            </w:tcBorders>
            <w:shd w:val="clear" w:color="auto" w:fill="auto"/>
            <w:noWrap/>
            <w:vAlign w:val="center"/>
            <w:hideMark/>
          </w:tcPr>
          <w:p w14:paraId="0DC12E68"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272.839 </w:t>
            </w:r>
          </w:p>
        </w:tc>
        <w:tc>
          <w:tcPr>
            <w:tcW w:w="534" w:type="pct"/>
            <w:tcBorders>
              <w:top w:val="nil"/>
              <w:left w:val="nil"/>
              <w:bottom w:val="single" w:sz="4" w:space="0" w:color="auto"/>
              <w:right w:val="single" w:sz="4" w:space="0" w:color="auto"/>
            </w:tcBorders>
            <w:shd w:val="clear" w:color="auto" w:fill="auto"/>
            <w:noWrap/>
            <w:vAlign w:val="bottom"/>
            <w:hideMark/>
          </w:tcPr>
          <w:p w14:paraId="471DFAD6"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642CC047"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23D94A26"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3" w:type="pct"/>
            <w:tcBorders>
              <w:top w:val="nil"/>
              <w:left w:val="nil"/>
              <w:bottom w:val="single" w:sz="4" w:space="0" w:color="auto"/>
              <w:right w:val="single" w:sz="4" w:space="0" w:color="auto"/>
            </w:tcBorders>
            <w:shd w:val="clear" w:color="auto" w:fill="auto"/>
            <w:noWrap/>
            <w:vAlign w:val="center"/>
            <w:hideMark/>
          </w:tcPr>
          <w:p w14:paraId="61FE4BED"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272.839 </w:t>
            </w:r>
          </w:p>
        </w:tc>
      </w:tr>
      <w:tr w:rsidR="00F41043" w:rsidRPr="00F41043" w14:paraId="4A084314"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center"/>
            <w:hideMark/>
          </w:tcPr>
          <w:p w14:paraId="4CE051A0"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Contas a Receber de Clientes</w:t>
            </w:r>
          </w:p>
        </w:tc>
        <w:tc>
          <w:tcPr>
            <w:tcW w:w="534" w:type="pct"/>
            <w:tcBorders>
              <w:top w:val="nil"/>
              <w:left w:val="nil"/>
              <w:bottom w:val="single" w:sz="4" w:space="0" w:color="auto"/>
              <w:right w:val="single" w:sz="4" w:space="0" w:color="auto"/>
            </w:tcBorders>
            <w:shd w:val="clear" w:color="auto" w:fill="auto"/>
            <w:noWrap/>
            <w:vAlign w:val="center"/>
            <w:hideMark/>
          </w:tcPr>
          <w:p w14:paraId="54A84CA7"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86.437 </w:t>
            </w:r>
          </w:p>
        </w:tc>
        <w:tc>
          <w:tcPr>
            <w:tcW w:w="534" w:type="pct"/>
            <w:tcBorders>
              <w:top w:val="nil"/>
              <w:left w:val="nil"/>
              <w:bottom w:val="single" w:sz="4" w:space="0" w:color="auto"/>
              <w:right w:val="single" w:sz="4" w:space="0" w:color="auto"/>
            </w:tcBorders>
            <w:shd w:val="clear" w:color="auto" w:fill="auto"/>
            <w:noWrap/>
            <w:vAlign w:val="bottom"/>
            <w:hideMark/>
          </w:tcPr>
          <w:p w14:paraId="5791813A"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041770C1"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124D580F"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3" w:type="pct"/>
            <w:tcBorders>
              <w:top w:val="nil"/>
              <w:left w:val="nil"/>
              <w:bottom w:val="single" w:sz="4" w:space="0" w:color="auto"/>
              <w:right w:val="single" w:sz="4" w:space="0" w:color="auto"/>
            </w:tcBorders>
            <w:shd w:val="clear" w:color="auto" w:fill="auto"/>
            <w:noWrap/>
            <w:vAlign w:val="center"/>
            <w:hideMark/>
          </w:tcPr>
          <w:p w14:paraId="3C37F6EA"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86.437 </w:t>
            </w:r>
          </w:p>
        </w:tc>
      </w:tr>
      <w:tr w:rsidR="00F41043" w:rsidRPr="00F41043" w14:paraId="0674D53A"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center"/>
            <w:hideMark/>
          </w:tcPr>
          <w:p w14:paraId="3A022876"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Tributos a Compensar/Recuperar</w:t>
            </w:r>
          </w:p>
        </w:tc>
        <w:tc>
          <w:tcPr>
            <w:tcW w:w="534" w:type="pct"/>
            <w:tcBorders>
              <w:top w:val="nil"/>
              <w:left w:val="nil"/>
              <w:bottom w:val="single" w:sz="4" w:space="0" w:color="auto"/>
              <w:right w:val="single" w:sz="4" w:space="0" w:color="auto"/>
            </w:tcBorders>
            <w:shd w:val="clear" w:color="auto" w:fill="auto"/>
            <w:noWrap/>
            <w:vAlign w:val="center"/>
            <w:hideMark/>
          </w:tcPr>
          <w:p w14:paraId="7FD71AAB"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145.659 </w:t>
            </w:r>
          </w:p>
        </w:tc>
        <w:tc>
          <w:tcPr>
            <w:tcW w:w="534" w:type="pct"/>
            <w:tcBorders>
              <w:top w:val="nil"/>
              <w:left w:val="nil"/>
              <w:bottom w:val="single" w:sz="4" w:space="0" w:color="auto"/>
              <w:right w:val="single" w:sz="4" w:space="0" w:color="auto"/>
            </w:tcBorders>
            <w:shd w:val="clear" w:color="auto" w:fill="auto"/>
            <w:noWrap/>
            <w:vAlign w:val="bottom"/>
            <w:hideMark/>
          </w:tcPr>
          <w:p w14:paraId="7A271039"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47A64F85"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5245820C"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3" w:type="pct"/>
            <w:tcBorders>
              <w:top w:val="nil"/>
              <w:left w:val="nil"/>
              <w:bottom w:val="single" w:sz="4" w:space="0" w:color="auto"/>
              <w:right w:val="single" w:sz="4" w:space="0" w:color="auto"/>
            </w:tcBorders>
            <w:shd w:val="clear" w:color="auto" w:fill="auto"/>
            <w:noWrap/>
            <w:vAlign w:val="center"/>
            <w:hideMark/>
          </w:tcPr>
          <w:p w14:paraId="4F9AF34E"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145.659 </w:t>
            </w:r>
          </w:p>
        </w:tc>
      </w:tr>
      <w:tr w:rsidR="00F41043" w:rsidRPr="00F41043" w14:paraId="7D271CD5"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center"/>
            <w:hideMark/>
          </w:tcPr>
          <w:p w14:paraId="4B24B609"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Depósitos Judiciais</w:t>
            </w:r>
          </w:p>
        </w:tc>
        <w:tc>
          <w:tcPr>
            <w:tcW w:w="534" w:type="pct"/>
            <w:tcBorders>
              <w:top w:val="nil"/>
              <w:left w:val="nil"/>
              <w:bottom w:val="single" w:sz="4" w:space="0" w:color="auto"/>
              <w:right w:val="single" w:sz="4" w:space="0" w:color="auto"/>
            </w:tcBorders>
            <w:shd w:val="clear" w:color="auto" w:fill="auto"/>
            <w:noWrap/>
            <w:vAlign w:val="center"/>
            <w:hideMark/>
          </w:tcPr>
          <w:p w14:paraId="5A68584D"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8.204 </w:t>
            </w:r>
          </w:p>
        </w:tc>
        <w:tc>
          <w:tcPr>
            <w:tcW w:w="534" w:type="pct"/>
            <w:tcBorders>
              <w:top w:val="nil"/>
              <w:left w:val="nil"/>
              <w:bottom w:val="single" w:sz="4" w:space="0" w:color="auto"/>
              <w:right w:val="single" w:sz="4" w:space="0" w:color="auto"/>
            </w:tcBorders>
            <w:shd w:val="clear" w:color="auto" w:fill="auto"/>
            <w:noWrap/>
            <w:vAlign w:val="bottom"/>
            <w:hideMark/>
          </w:tcPr>
          <w:p w14:paraId="7010646D"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3FE99D5D"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0046C4B1"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3" w:type="pct"/>
            <w:tcBorders>
              <w:top w:val="nil"/>
              <w:left w:val="nil"/>
              <w:bottom w:val="single" w:sz="4" w:space="0" w:color="auto"/>
              <w:right w:val="single" w:sz="4" w:space="0" w:color="auto"/>
            </w:tcBorders>
            <w:shd w:val="clear" w:color="auto" w:fill="auto"/>
            <w:noWrap/>
            <w:vAlign w:val="center"/>
            <w:hideMark/>
          </w:tcPr>
          <w:p w14:paraId="35F46DDA"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8.204 </w:t>
            </w:r>
          </w:p>
        </w:tc>
      </w:tr>
      <w:tr w:rsidR="00F41043" w:rsidRPr="00F41043" w14:paraId="554C3FD8"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center"/>
            <w:hideMark/>
          </w:tcPr>
          <w:p w14:paraId="608A2165"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Aplicações Financeiras</w:t>
            </w:r>
          </w:p>
        </w:tc>
        <w:tc>
          <w:tcPr>
            <w:tcW w:w="534" w:type="pct"/>
            <w:tcBorders>
              <w:top w:val="nil"/>
              <w:left w:val="nil"/>
              <w:bottom w:val="single" w:sz="4" w:space="0" w:color="auto"/>
              <w:right w:val="single" w:sz="4" w:space="0" w:color="auto"/>
            </w:tcBorders>
            <w:shd w:val="clear" w:color="auto" w:fill="auto"/>
            <w:noWrap/>
            <w:vAlign w:val="center"/>
            <w:hideMark/>
          </w:tcPr>
          <w:p w14:paraId="2E301003"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822.352 </w:t>
            </w:r>
          </w:p>
        </w:tc>
        <w:tc>
          <w:tcPr>
            <w:tcW w:w="534" w:type="pct"/>
            <w:tcBorders>
              <w:top w:val="nil"/>
              <w:left w:val="nil"/>
              <w:bottom w:val="single" w:sz="4" w:space="0" w:color="auto"/>
              <w:right w:val="single" w:sz="4" w:space="0" w:color="auto"/>
            </w:tcBorders>
            <w:shd w:val="clear" w:color="auto" w:fill="auto"/>
            <w:noWrap/>
            <w:vAlign w:val="bottom"/>
            <w:hideMark/>
          </w:tcPr>
          <w:p w14:paraId="04E30149"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13B4F7DB"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20955817"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3" w:type="pct"/>
            <w:tcBorders>
              <w:top w:val="nil"/>
              <w:left w:val="nil"/>
              <w:bottom w:val="single" w:sz="4" w:space="0" w:color="auto"/>
              <w:right w:val="single" w:sz="4" w:space="0" w:color="auto"/>
            </w:tcBorders>
            <w:shd w:val="clear" w:color="auto" w:fill="auto"/>
            <w:noWrap/>
            <w:vAlign w:val="center"/>
            <w:hideMark/>
          </w:tcPr>
          <w:p w14:paraId="1C61216E"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822.352 </w:t>
            </w:r>
          </w:p>
        </w:tc>
      </w:tr>
      <w:tr w:rsidR="00F41043" w:rsidRPr="00F41043" w14:paraId="770EA5E0"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bottom"/>
            <w:hideMark/>
          </w:tcPr>
          <w:p w14:paraId="693A14DD"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Superávit - Previdência Privada</w:t>
            </w:r>
          </w:p>
        </w:tc>
        <w:tc>
          <w:tcPr>
            <w:tcW w:w="534" w:type="pct"/>
            <w:tcBorders>
              <w:top w:val="nil"/>
              <w:left w:val="nil"/>
              <w:bottom w:val="single" w:sz="4" w:space="0" w:color="auto"/>
              <w:right w:val="single" w:sz="4" w:space="0" w:color="auto"/>
            </w:tcBorders>
            <w:shd w:val="clear" w:color="auto" w:fill="auto"/>
            <w:noWrap/>
            <w:vAlign w:val="center"/>
            <w:hideMark/>
          </w:tcPr>
          <w:p w14:paraId="743F427D"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82.966 </w:t>
            </w:r>
          </w:p>
        </w:tc>
        <w:tc>
          <w:tcPr>
            <w:tcW w:w="534" w:type="pct"/>
            <w:tcBorders>
              <w:top w:val="nil"/>
              <w:left w:val="nil"/>
              <w:bottom w:val="single" w:sz="4" w:space="0" w:color="auto"/>
              <w:right w:val="single" w:sz="4" w:space="0" w:color="auto"/>
            </w:tcBorders>
            <w:shd w:val="clear" w:color="auto" w:fill="auto"/>
            <w:noWrap/>
            <w:vAlign w:val="bottom"/>
            <w:hideMark/>
          </w:tcPr>
          <w:p w14:paraId="39E6BE4E"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641F8AC7"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291BE955"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3" w:type="pct"/>
            <w:tcBorders>
              <w:top w:val="nil"/>
              <w:left w:val="nil"/>
              <w:bottom w:val="single" w:sz="4" w:space="0" w:color="auto"/>
              <w:right w:val="single" w:sz="4" w:space="0" w:color="auto"/>
            </w:tcBorders>
            <w:shd w:val="clear" w:color="auto" w:fill="auto"/>
            <w:noWrap/>
            <w:vAlign w:val="center"/>
            <w:hideMark/>
          </w:tcPr>
          <w:p w14:paraId="2ED33114"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82.966 </w:t>
            </w:r>
          </w:p>
        </w:tc>
      </w:tr>
      <w:tr w:rsidR="00F41043" w:rsidRPr="00F41043" w14:paraId="6B1D5EC1"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bottom"/>
            <w:hideMark/>
          </w:tcPr>
          <w:p w14:paraId="07FE8BDF"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Valores a Receber de Colaboradores Cedidos</w:t>
            </w:r>
          </w:p>
        </w:tc>
        <w:tc>
          <w:tcPr>
            <w:tcW w:w="534" w:type="pct"/>
            <w:tcBorders>
              <w:top w:val="nil"/>
              <w:left w:val="nil"/>
              <w:bottom w:val="single" w:sz="4" w:space="0" w:color="auto"/>
              <w:right w:val="single" w:sz="4" w:space="0" w:color="auto"/>
            </w:tcBorders>
            <w:shd w:val="clear" w:color="auto" w:fill="auto"/>
            <w:noWrap/>
            <w:vAlign w:val="center"/>
            <w:hideMark/>
          </w:tcPr>
          <w:p w14:paraId="4B48A97A"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1.945 </w:t>
            </w:r>
          </w:p>
        </w:tc>
        <w:tc>
          <w:tcPr>
            <w:tcW w:w="534" w:type="pct"/>
            <w:tcBorders>
              <w:top w:val="nil"/>
              <w:left w:val="nil"/>
              <w:bottom w:val="single" w:sz="4" w:space="0" w:color="auto"/>
              <w:right w:val="single" w:sz="4" w:space="0" w:color="auto"/>
            </w:tcBorders>
            <w:shd w:val="clear" w:color="auto" w:fill="auto"/>
            <w:noWrap/>
            <w:vAlign w:val="bottom"/>
            <w:hideMark/>
          </w:tcPr>
          <w:p w14:paraId="3D9A8164"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6B62AB86"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435B177C"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3" w:type="pct"/>
            <w:tcBorders>
              <w:top w:val="nil"/>
              <w:left w:val="nil"/>
              <w:bottom w:val="single" w:sz="4" w:space="0" w:color="auto"/>
              <w:right w:val="single" w:sz="4" w:space="0" w:color="auto"/>
            </w:tcBorders>
            <w:shd w:val="clear" w:color="auto" w:fill="auto"/>
            <w:noWrap/>
            <w:vAlign w:val="center"/>
            <w:hideMark/>
          </w:tcPr>
          <w:p w14:paraId="18A0C7CA"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1.945 </w:t>
            </w:r>
          </w:p>
        </w:tc>
      </w:tr>
      <w:tr w:rsidR="00F41043" w:rsidRPr="00F41043" w14:paraId="60A964C0"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center"/>
            <w:hideMark/>
          </w:tcPr>
          <w:p w14:paraId="60C9122A"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Outros Ativos Realizáveis</w:t>
            </w:r>
          </w:p>
        </w:tc>
        <w:tc>
          <w:tcPr>
            <w:tcW w:w="534" w:type="pct"/>
            <w:tcBorders>
              <w:top w:val="nil"/>
              <w:left w:val="nil"/>
              <w:bottom w:val="single" w:sz="4" w:space="0" w:color="auto"/>
              <w:right w:val="single" w:sz="4" w:space="0" w:color="auto"/>
            </w:tcBorders>
            <w:shd w:val="clear" w:color="auto" w:fill="auto"/>
            <w:noWrap/>
            <w:vAlign w:val="center"/>
            <w:hideMark/>
          </w:tcPr>
          <w:p w14:paraId="1CCABF6F"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36.659 </w:t>
            </w:r>
          </w:p>
        </w:tc>
        <w:tc>
          <w:tcPr>
            <w:tcW w:w="534" w:type="pct"/>
            <w:tcBorders>
              <w:top w:val="nil"/>
              <w:left w:val="nil"/>
              <w:bottom w:val="single" w:sz="4" w:space="0" w:color="auto"/>
              <w:right w:val="single" w:sz="4" w:space="0" w:color="auto"/>
            </w:tcBorders>
            <w:shd w:val="clear" w:color="auto" w:fill="auto"/>
            <w:noWrap/>
            <w:vAlign w:val="bottom"/>
            <w:hideMark/>
          </w:tcPr>
          <w:p w14:paraId="291EC790"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1CDAA8AB"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0B857B4C"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3" w:type="pct"/>
            <w:tcBorders>
              <w:top w:val="nil"/>
              <w:left w:val="nil"/>
              <w:bottom w:val="single" w:sz="4" w:space="0" w:color="auto"/>
              <w:right w:val="single" w:sz="4" w:space="0" w:color="auto"/>
            </w:tcBorders>
            <w:shd w:val="clear" w:color="auto" w:fill="auto"/>
            <w:noWrap/>
            <w:vAlign w:val="center"/>
            <w:hideMark/>
          </w:tcPr>
          <w:p w14:paraId="1AD7B78D"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36.659 </w:t>
            </w:r>
          </w:p>
        </w:tc>
      </w:tr>
      <w:tr w:rsidR="00F41043" w:rsidRPr="00F41043" w14:paraId="7020C37B"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center"/>
            <w:hideMark/>
          </w:tcPr>
          <w:p w14:paraId="5D8B135B"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Total do Circulante</w:t>
            </w:r>
          </w:p>
        </w:tc>
        <w:tc>
          <w:tcPr>
            <w:tcW w:w="534" w:type="pct"/>
            <w:tcBorders>
              <w:top w:val="nil"/>
              <w:left w:val="nil"/>
              <w:bottom w:val="single" w:sz="4" w:space="0" w:color="auto"/>
              <w:right w:val="single" w:sz="4" w:space="0" w:color="auto"/>
            </w:tcBorders>
            <w:shd w:val="clear" w:color="auto" w:fill="auto"/>
            <w:noWrap/>
            <w:vAlign w:val="center"/>
            <w:hideMark/>
          </w:tcPr>
          <w:p w14:paraId="3B7282B2"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1.457.061 </w:t>
            </w:r>
          </w:p>
        </w:tc>
        <w:tc>
          <w:tcPr>
            <w:tcW w:w="534" w:type="pct"/>
            <w:tcBorders>
              <w:top w:val="nil"/>
              <w:left w:val="nil"/>
              <w:bottom w:val="single" w:sz="4" w:space="0" w:color="auto"/>
              <w:right w:val="single" w:sz="4" w:space="0" w:color="auto"/>
            </w:tcBorders>
            <w:shd w:val="clear" w:color="auto" w:fill="auto"/>
            <w:noWrap/>
            <w:vAlign w:val="center"/>
            <w:hideMark/>
          </w:tcPr>
          <w:p w14:paraId="330CAB13"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 </w:t>
            </w:r>
          </w:p>
        </w:tc>
        <w:tc>
          <w:tcPr>
            <w:tcW w:w="534" w:type="pct"/>
            <w:tcBorders>
              <w:top w:val="nil"/>
              <w:left w:val="nil"/>
              <w:bottom w:val="single" w:sz="4" w:space="0" w:color="auto"/>
              <w:right w:val="single" w:sz="4" w:space="0" w:color="auto"/>
            </w:tcBorders>
            <w:shd w:val="clear" w:color="auto" w:fill="auto"/>
            <w:noWrap/>
            <w:vAlign w:val="center"/>
            <w:hideMark/>
          </w:tcPr>
          <w:p w14:paraId="080BCB87"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 </w:t>
            </w:r>
          </w:p>
        </w:tc>
        <w:tc>
          <w:tcPr>
            <w:tcW w:w="534" w:type="pct"/>
            <w:tcBorders>
              <w:top w:val="nil"/>
              <w:left w:val="nil"/>
              <w:bottom w:val="single" w:sz="4" w:space="0" w:color="auto"/>
              <w:right w:val="single" w:sz="4" w:space="0" w:color="auto"/>
            </w:tcBorders>
            <w:shd w:val="clear" w:color="auto" w:fill="auto"/>
            <w:noWrap/>
            <w:vAlign w:val="center"/>
            <w:hideMark/>
          </w:tcPr>
          <w:p w14:paraId="478BA26E"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 </w:t>
            </w:r>
          </w:p>
        </w:tc>
        <w:tc>
          <w:tcPr>
            <w:tcW w:w="653" w:type="pct"/>
            <w:tcBorders>
              <w:top w:val="nil"/>
              <w:left w:val="nil"/>
              <w:bottom w:val="single" w:sz="4" w:space="0" w:color="auto"/>
              <w:right w:val="single" w:sz="4" w:space="0" w:color="auto"/>
            </w:tcBorders>
            <w:shd w:val="clear" w:color="auto" w:fill="auto"/>
            <w:noWrap/>
            <w:vAlign w:val="center"/>
            <w:hideMark/>
          </w:tcPr>
          <w:p w14:paraId="52E32C21"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1.457.061 </w:t>
            </w:r>
          </w:p>
        </w:tc>
      </w:tr>
      <w:tr w:rsidR="00F41043" w:rsidRPr="00F41043" w14:paraId="06BDD056"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center"/>
            <w:hideMark/>
          </w:tcPr>
          <w:p w14:paraId="33F82930"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Não Circulante</w:t>
            </w:r>
          </w:p>
        </w:tc>
        <w:tc>
          <w:tcPr>
            <w:tcW w:w="534" w:type="pct"/>
            <w:tcBorders>
              <w:top w:val="nil"/>
              <w:left w:val="nil"/>
              <w:bottom w:val="single" w:sz="4" w:space="0" w:color="auto"/>
              <w:right w:val="single" w:sz="4" w:space="0" w:color="auto"/>
            </w:tcBorders>
            <w:shd w:val="clear" w:color="auto" w:fill="auto"/>
            <w:noWrap/>
            <w:vAlign w:val="center"/>
            <w:hideMark/>
          </w:tcPr>
          <w:p w14:paraId="5250F8AB"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076096FC"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1F8CF360"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7D617BB1"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3" w:type="pct"/>
            <w:tcBorders>
              <w:top w:val="nil"/>
              <w:left w:val="nil"/>
              <w:bottom w:val="single" w:sz="4" w:space="0" w:color="auto"/>
              <w:right w:val="single" w:sz="4" w:space="0" w:color="auto"/>
            </w:tcBorders>
            <w:shd w:val="clear" w:color="auto" w:fill="auto"/>
            <w:noWrap/>
            <w:vAlign w:val="center"/>
            <w:hideMark/>
          </w:tcPr>
          <w:p w14:paraId="1FD342FE"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r>
      <w:tr w:rsidR="00F41043" w:rsidRPr="00F41043" w14:paraId="4C4442D4"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bottom"/>
            <w:hideMark/>
          </w:tcPr>
          <w:p w14:paraId="3AEE205A"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Aplicações Financeiras</w:t>
            </w:r>
          </w:p>
        </w:tc>
        <w:tc>
          <w:tcPr>
            <w:tcW w:w="534" w:type="pct"/>
            <w:tcBorders>
              <w:top w:val="nil"/>
              <w:left w:val="nil"/>
              <w:bottom w:val="single" w:sz="4" w:space="0" w:color="auto"/>
              <w:right w:val="single" w:sz="4" w:space="0" w:color="auto"/>
            </w:tcBorders>
            <w:shd w:val="clear" w:color="auto" w:fill="auto"/>
            <w:noWrap/>
            <w:vAlign w:val="center"/>
            <w:hideMark/>
          </w:tcPr>
          <w:p w14:paraId="5C5BDD82"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66.459 </w:t>
            </w:r>
          </w:p>
        </w:tc>
        <w:tc>
          <w:tcPr>
            <w:tcW w:w="534" w:type="pct"/>
            <w:tcBorders>
              <w:top w:val="nil"/>
              <w:left w:val="nil"/>
              <w:bottom w:val="single" w:sz="4" w:space="0" w:color="auto"/>
              <w:right w:val="single" w:sz="4" w:space="0" w:color="auto"/>
            </w:tcBorders>
            <w:shd w:val="clear" w:color="auto" w:fill="auto"/>
            <w:noWrap/>
            <w:vAlign w:val="bottom"/>
            <w:hideMark/>
          </w:tcPr>
          <w:p w14:paraId="4B4DA2A3"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7C651BF5"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4DEE708D"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3" w:type="pct"/>
            <w:tcBorders>
              <w:top w:val="nil"/>
              <w:left w:val="nil"/>
              <w:bottom w:val="single" w:sz="4" w:space="0" w:color="auto"/>
              <w:right w:val="single" w:sz="4" w:space="0" w:color="auto"/>
            </w:tcBorders>
            <w:shd w:val="clear" w:color="auto" w:fill="auto"/>
            <w:noWrap/>
            <w:vAlign w:val="center"/>
            <w:hideMark/>
          </w:tcPr>
          <w:p w14:paraId="4F60B673"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66.459 </w:t>
            </w:r>
          </w:p>
        </w:tc>
      </w:tr>
      <w:tr w:rsidR="00F41043" w:rsidRPr="00F41043" w14:paraId="49E44AC2"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center"/>
            <w:hideMark/>
          </w:tcPr>
          <w:p w14:paraId="71C48BD0"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Tributos a Compensar/Recuperar</w:t>
            </w:r>
          </w:p>
        </w:tc>
        <w:tc>
          <w:tcPr>
            <w:tcW w:w="534" w:type="pct"/>
            <w:tcBorders>
              <w:top w:val="nil"/>
              <w:left w:val="nil"/>
              <w:bottom w:val="single" w:sz="4" w:space="0" w:color="auto"/>
              <w:right w:val="single" w:sz="4" w:space="0" w:color="auto"/>
            </w:tcBorders>
            <w:shd w:val="clear" w:color="auto" w:fill="auto"/>
            <w:noWrap/>
            <w:vAlign w:val="center"/>
            <w:hideMark/>
          </w:tcPr>
          <w:p w14:paraId="1C34B1BC"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4.379 </w:t>
            </w:r>
          </w:p>
        </w:tc>
        <w:tc>
          <w:tcPr>
            <w:tcW w:w="534" w:type="pct"/>
            <w:tcBorders>
              <w:top w:val="nil"/>
              <w:left w:val="nil"/>
              <w:bottom w:val="single" w:sz="4" w:space="0" w:color="auto"/>
              <w:right w:val="single" w:sz="4" w:space="0" w:color="auto"/>
            </w:tcBorders>
            <w:shd w:val="clear" w:color="auto" w:fill="auto"/>
            <w:noWrap/>
            <w:vAlign w:val="bottom"/>
            <w:hideMark/>
          </w:tcPr>
          <w:p w14:paraId="2C9346D9"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2911CC99"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2AE2D44A"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3" w:type="pct"/>
            <w:tcBorders>
              <w:top w:val="nil"/>
              <w:left w:val="nil"/>
              <w:bottom w:val="single" w:sz="4" w:space="0" w:color="auto"/>
              <w:right w:val="single" w:sz="4" w:space="0" w:color="auto"/>
            </w:tcBorders>
            <w:shd w:val="clear" w:color="auto" w:fill="auto"/>
            <w:noWrap/>
            <w:vAlign w:val="center"/>
            <w:hideMark/>
          </w:tcPr>
          <w:p w14:paraId="5AF6D207"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4.379 </w:t>
            </w:r>
          </w:p>
        </w:tc>
      </w:tr>
      <w:tr w:rsidR="00F41043" w:rsidRPr="00F41043" w14:paraId="6D242860"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bottom"/>
            <w:hideMark/>
          </w:tcPr>
          <w:p w14:paraId="5614C3C0"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Depósitos Judiciais</w:t>
            </w:r>
          </w:p>
        </w:tc>
        <w:tc>
          <w:tcPr>
            <w:tcW w:w="534" w:type="pct"/>
            <w:tcBorders>
              <w:top w:val="nil"/>
              <w:left w:val="nil"/>
              <w:bottom w:val="single" w:sz="4" w:space="0" w:color="auto"/>
              <w:right w:val="single" w:sz="4" w:space="0" w:color="auto"/>
            </w:tcBorders>
            <w:shd w:val="clear" w:color="auto" w:fill="auto"/>
            <w:noWrap/>
            <w:vAlign w:val="center"/>
            <w:hideMark/>
          </w:tcPr>
          <w:p w14:paraId="75A67D54"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37.845 </w:t>
            </w:r>
          </w:p>
        </w:tc>
        <w:tc>
          <w:tcPr>
            <w:tcW w:w="534" w:type="pct"/>
            <w:tcBorders>
              <w:top w:val="nil"/>
              <w:left w:val="nil"/>
              <w:bottom w:val="single" w:sz="4" w:space="0" w:color="auto"/>
              <w:right w:val="single" w:sz="4" w:space="0" w:color="auto"/>
            </w:tcBorders>
            <w:shd w:val="clear" w:color="auto" w:fill="auto"/>
            <w:noWrap/>
            <w:vAlign w:val="bottom"/>
            <w:hideMark/>
          </w:tcPr>
          <w:p w14:paraId="0F2304E4"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4D7F5E97"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2A5CB6CD"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3" w:type="pct"/>
            <w:tcBorders>
              <w:top w:val="nil"/>
              <w:left w:val="nil"/>
              <w:bottom w:val="single" w:sz="4" w:space="0" w:color="auto"/>
              <w:right w:val="single" w:sz="4" w:space="0" w:color="auto"/>
            </w:tcBorders>
            <w:shd w:val="clear" w:color="auto" w:fill="auto"/>
            <w:noWrap/>
            <w:vAlign w:val="center"/>
            <w:hideMark/>
          </w:tcPr>
          <w:p w14:paraId="41DD982F"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37.845 </w:t>
            </w:r>
          </w:p>
        </w:tc>
      </w:tr>
      <w:tr w:rsidR="00F41043" w:rsidRPr="00F41043" w14:paraId="74DDC8A1"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center"/>
            <w:hideMark/>
          </w:tcPr>
          <w:p w14:paraId="1F2DDAE5"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Dividendos a Receber</w:t>
            </w:r>
          </w:p>
        </w:tc>
        <w:tc>
          <w:tcPr>
            <w:tcW w:w="534" w:type="pct"/>
            <w:tcBorders>
              <w:top w:val="nil"/>
              <w:left w:val="nil"/>
              <w:bottom w:val="single" w:sz="4" w:space="0" w:color="auto"/>
              <w:right w:val="single" w:sz="4" w:space="0" w:color="auto"/>
            </w:tcBorders>
            <w:shd w:val="clear" w:color="auto" w:fill="auto"/>
            <w:noWrap/>
            <w:vAlign w:val="center"/>
            <w:hideMark/>
          </w:tcPr>
          <w:p w14:paraId="3D334BF3"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5.456 </w:t>
            </w:r>
          </w:p>
        </w:tc>
        <w:tc>
          <w:tcPr>
            <w:tcW w:w="534" w:type="pct"/>
            <w:tcBorders>
              <w:top w:val="nil"/>
              <w:left w:val="nil"/>
              <w:bottom w:val="single" w:sz="4" w:space="0" w:color="auto"/>
              <w:right w:val="single" w:sz="4" w:space="0" w:color="auto"/>
            </w:tcBorders>
            <w:shd w:val="clear" w:color="auto" w:fill="auto"/>
            <w:noWrap/>
            <w:vAlign w:val="bottom"/>
            <w:hideMark/>
          </w:tcPr>
          <w:p w14:paraId="73F56B10"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29193116"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467CDE9A"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3" w:type="pct"/>
            <w:tcBorders>
              <w:top w:val="nil"/>
              <w:left w:val="nil"/>
              <w:bottom w:val="single" w:sz="4" w:space="0" w:color="auto"/>
              <w:right w:val="single" w:sz="4" w:space="0" w:color="auto"/>
            </w:tcBorders>
            <w:shd w:val="clear" w:color="auto" w:fill="auto"/>
            <w:noWrap/>
            <w:vAlign w:val="center"/>
            <w:hideMark/>
          </w:tcPr>
          <w:p w14:paraId="3F7489F8"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5.456 </w:t>
            </w:r>
          </w:p>
        </w:tc>
      </w:tr>
      <w:tr w:rsidR="00F41043" w:rsidRPr="00F41043" w14:paraId="0AD21382"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bottom"/>
            <w:hideMark/>
          </w:tcPr>
          <w:p w14:paraId="7B66CB03"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Superávit - Previdência Privada</w:t>
            </w:r>
          </w:p>
        </w:tc>
        <w:tc>
          <w:tcPr>
            <w:tcW w:w="534" w:type="pct"/>
            <w:tcBorders>
              <w:top w:val="nil"/>
              <w:left w:val="nil"/>
              <w:bottom w:val="single" w:sz="4" w:space="0" w:color="auto"/>
              <w:right w:val="single" w:sz="4" w:space="0" w:color="auto"/>
            </w:tcBorders>
            <w:shd w:val="clear" w:color="auto" w:fill="auto"/>
            <w:noWrap/>
            <w:vAlign w:val="center"/>
            <w:hideMark/>
          </w:tcPr>
          <w:p w14:paraId="31871C1D"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 </w:t>
            </w:r>
          </w:p>
        </w:tc>
        <w:tc>
          <w:tcPr>
            <w:tcW w:w="534" w:type="pct"/>
            <w:tcBorders>
              <w:top w:val="nil"/>
              <w:left w:val="nil"/>
              <w:bottom w:val="single" w:sz="4" w:space="0" w:color="auto"/>
              <w:right w:val="single" w:sz="4" w:space="0" w:color="auto"/>
            </w:tcBorders>
            <w:shd w:val="clear" w:color="auto" w:fill="auto"/>
            <w:noWrap/>
            <w:vAlign w:val="bottom"/>
            <w:hideMark/>
          </w:tcPr>
          <w:p w14:paraId="274E5F46"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04A9D900"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02F67CF1"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3" w:type="pct"/>
            <w:tcBorders>
              <w:top w:val="nil"/>
              <w:left w:val="nil"/>
              <w:bottom w:val="single" w:sz="4" w:space="0" w:color="auto"/>
              <w:right w:val="single" w:sz="4" w:space="0" w:color="auto"/>
            </w:tcBorders>
            <w:shd w:val="clear" w:color="auto" w:fill="auto"/>
            <w:noWrap/>
            <w:vAlign w:val="center"/>
            <w:hideMark/>
          </w:tcPr>
          <w:p w14:paraId="4523D5E9"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 </w:t>
            </w:r>
          </w:p>
        </w:tc>
      </w:tr>
      <w:tr w:rsidR="00F41043" w:rsidRPr="00F41043" w14:paraId="6F3B26A7"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center"/>
            <w:hideMark/>
          </w:tcPr>
          <w:p w14:paraId="38430DC3"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Outros Ativos Realizáveis</w:t>
            </w:r>
          </w:p>
        </w:tc>
        <w:tc>
          <w:tcPr>
            <w:tcW w:w="534" w:type="pct"/>
            <w:tcBorders>
              <w:top w:val="nil"/>
              <w:left w:val="nil"/>
              <w:bottom w:val="single" w:sz="4" w:space="0" w:color="auto"/>
              <w:right w:val="single" w:sz="4" w:space="0" w:color="auto"/>
            </w:tcBorders>
            <w:shd w:val="clear" w:color="auto" w:fill="auto"/>
            <w:noWrap/>
            <w:vAlign w:val="center"/>
            <w:hideMark/>
          </w:tcPr>
          <w:p w14:paraId="7F73B9C4"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39.633 </w:t>
            </w:r>
          </w:p>
        </w:tc>
        <w:tc>
          <w:tcPr>
            <w:tcW w:w="534" w:type="pct"/>
            <w:tcBorders>
              <w:top w:val="nil"/>
              <w:left w:val="nil"/>
              <w:bottom w:val="single" w:sz="4" w:space="0" w:color="auto"/>
              <w:right w:val="single" w:sz="4" w:space="0" w:color="auto"/>
            </w:tcBorders>
            <w:shd w:val="clear" w:color="auto" w:fill="auto"/>
            <w:noWrap/>
            <w:vAlign w:val="bottom"/>
            <w:hideMark/>
          </w:tcPr>
          <w:p w14:paraId="15AAA2CB"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4E3412B2"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3EBE2569"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3" w:type="pct"/>
            <w:tcBorders>
              <w:top w:val="nil"/>
              <w:left w:val="nil"/>
              <w:bottom w:val="single" w:sz="4" w:space="0" w:color="auto"/>
              <w:right w:val="single" w:sz="4" w:space="0" w:color="auto"/>
            </w:tcBorders>
            <w:shd w:val="clear" w:color="auto" w:fill="auto"/>
            <w:noWrap/>
            <w:vAlign w:val="center"/>
            <w:hideMark/>
          </w:tcPr>
          <w:p w14:paraId="1FADF275"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39.633 </w:t>
            </w:r>
          </w:p>
        </w:tc>
      </w:tr>
      <w:tr w:rsidR="00F41043" w:rsidRPr="00F41043" w14:paraId="5D8EB79D"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center"/>
            <w:hideMark/>
          </w:tcPr>
          <w:p w14:paraId="4B46BEB1"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Realizável a Longo Prazo</w:t>
            </w:r>
          </w:p>
        </w:tc>
        <w:tc>
          <w:tcPr>
            <w:tcW w:w="534" w:type="pct"/>
            <w:tcBorders>
              <w:top w:val="nil"/>
              <w:left w:val="nil"/>
              <w:bottom w:val="single" w:sz="4" w:space="0" w:color="auto"/>
              <w:right w:val="single" w:sz="4" w:space="0" w:color="auto"/>
            </w:tcBorders>
            <w:shd w:val="clear" w:color="auto" w:fill="auto"/>
            <w:noWrap/>
            <w:vAlign w:val="center"/>
            <w:hideMark/>
          </w:tcPr>
          <w:p w14:paraId="740E6709"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153.772 </w:t>
            </w:r>
          </w:p>
        </w:tc>
        <w:tc>
          <w:tcPr>
            <w:tcW w:w="534" w:type="pct"/>
            <w:tcBorders>
              <w:top w:val="nil"/>
              <w:left w:val="nil"/>
              <w:bottom w:val="single" w:sz="4" w:space="0" w:color="auto"/>
              <w:right w:val="single" w:sz="4" w:space="0" w:color="auto"/>
            </w:tcBorders>
            <w:shd w:val="clear" w:color="auto" w:fill="auto"/>
            <w:noWrap/>
            <w:vAlign w:val="center"/>
            <w:hideMark/>
          </w:tcPr>
          <w:p w14:paraId="6793C332"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 </w:t>
            </w:r>
          </w:p>
        </w:tc>
        <w:tc>
          <w:tcPr>
            <w:tcW w:w="534" w:type="pct"/>
            <w:tcBorders>
              <w:top w:val="nil"/>
              <w:left w:val="nil"/>
              <w:bottom w:val="single" w:sz="4" w:space="0" w:color="auto"/>
              <w:right w:val="single" w:sz="4" w:space="0" w:color="auto"/>
            </w:tcBorders>
            <w:shd w:val="clear" w:color="auto" w:fill="auto"/>
            <w:noWrap/>
            <w:vAlign w:val="center"/>
            <w:hideMark/>
          </w:tcPr>
          <w:p w14:paraId="2AB449FB"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 </w:t>
            </w:r>
          </w:p>
        </w:tc>
        <w:tc>
          <w:tcPr>
            <w:tcW w:w="534" w:type="pct"/>
            <w:tcBorders>
              <w:top w:val="nil"/>
              <w:left w:val="nil"/>
              <w:bottom w:val="single" w:sz="4" w:space="0" w:color="auto"/>
              <w:right w:val="single" w:sz="4" w:space="0" w:color="auto"/>
            </w:tcBorders>
            <w:shd w:val="clear" w:color="auto" w:fill="auto"/>
            <w:noWrap/>
            <w:vAlign w:val="center"/>
            <w:hideMark/>
          </w:tcPr>
          <w:p w14:paraId="6186DC7A"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 </w:t>
            </w:r>
          </w:p>
        </w:tc>
        <w:tc>
          <w:tcPr>
            <w:tcW w:w="653" w:type="pct"/>
            <w:tcBorders>
              <w:top w:val="nil"/>
              <w:left w:val="nil"/>
              <w:bottom w:val="single" w:sz="4" w:space="0" w:color="auto"/>
              <w:right w:val="single" w:sz="4" w:space="0" w:color="auto"/>
            </w:tcBorders>
            <w:shd w:val="clear" w:color="auto" w:fill="auto"/>
            <w:noWrap/>
            <w:vAlign w:val="center"/>
            <w:hideMark/>
          </w:tcPr>
          <w:p w14:paraId="0DC51A4D"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153.772 </w:t>
            </w:r>
          </w:p>
        </w:tc>
      </w:tr>
      <w:tr w:rsidR="00F41043" w:rsidRPr="00F41043" w14:paraId="28F5AF76"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bottom"/>
            <w:hideMark/>
          </w:tcPr>
          <w:p w14:paraId="4726F25A"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Investimentos</w:t>
            </w:r>
          </w:p>
        </w:tc>
        <w:tc>
          <w:tcPr>
            <w:tcW w:w="534" w:type="pct"/>
            <w:tcBorders>
              <w:top w:val="nil"/>
              <w:left w:val="nil"/>
              <w:bottom w:val="single" w:sz="4" w:space="0" w:color="auto"/>
              <w:right w:val="single" w:sz="4" w:space="0" w:color="auto"/>
            </w:tcBorders>
            <w:shd w:val="clear" w:color="auto" w:fill="auto"/>
            <w:noWrap/>
            <w:vAlign w:val="bottom"/>
            <w:hideMark/>
          </w:tcPr>
          <w:p w14:paraId="3C2C4B40"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88.152 </w:t>
            </w:r>
          </w:p>
        </w:tc>
        <w:tc>
          <w:tcPr>
            <w:tcW w:w="534" w:type="pct"/>
            <w:tcBorders>
              <w:top w:val="nil"/>
              <w:left w:val="nil"/>
              <w:bottom w:val="single" w:sz="4" w:space="0" w:color="auto"/>
              <w:right w:val="single" w:sz="4" w:space="0" w:color="auto"/>
            </w:tcBorders>
            <w:shd w:val="clear" w:color="auto" w:fill="auto"/>
            <w:noWrap/>
            <w:vAlign w:val="bottom"/>
            <w:hideMark/>
          </w:tcPr>
          <w:p w14:paraId="0A4FA6F4"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2CC483CE"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0A015346"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3" w:type="pct"/>
            <w:tcBorders>
              <w:top w:val="nil"/>
              <w:left w:val="nil"/>
              <w:bottom w:val="single" w:sz="4" w:space="0" w:color="auto"/>
              <w:right w:val="single" w:sz="4" w:space="0" w:color="auto"/>
            </w:tcBorders>
            <w:shd w:val="clear" w:color="auto" w:fill="auto"/>
            <w:noWrap/>
            <w:vAlign w:val="center"/>
            <w:hideMark/>
          </w:tcPr>
          <w:p w14:paraId="6FE46B4F"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88.152 </w:t>
            </w:r>
          </w:p>
        </w:tc>
      </w:tr>
      <w:tr w:rsidR="00F41043" w:rsidRPr="00F41043" w14:paraId="3F8B0B1F"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center"/>
            <w:hideMark/>
          </w:tcPr>
          <w:p w14:paraId="7458FBC9"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Imobilizado</w:t>
            </w:r>
          </w:p>
        </w:tc>
        <w:tc>
          <w:tcPr>
            <w:tcW w:w="534" w:type="pct"/>
            <w:tcBorders>
              <w:top w:val="nil"/>
              <w:left w:val="nil"/>
              <w:bottom w:val="single" w:sz="4" w:space="0" w:color="auto"/>
              <w:right w:val="single" w:sz="4" w:space="0" w:color="auto"/>
            </w:tcBorders>
            <w:shd w:val="clear" w:color="auto" w:fill="auto"/>
            <w:noWrap/>
            <w:vAlign w:val="center"/>
            <w:hideMark/>
          </w:tcPr>
          <w:p w14:paraId="14C03786"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2.368.459 </w:t>
            </w:r>
          </w:p>
        </w:tc>
        <w:tc>
          <w:tcPr>
            <w:tcW w:w="534" w:type="pct"/>
            <w:tcBorders>
              <w:top w:val="nil"/>
              <w:left w:val="nil"/>
              <w:bottom w:val="single" w:sz="4" w:space="0" w:color="auto"/>
              <w:right w:val="single" w:sz="4" w:space="0" w:color="auto"/>
            </w:tcBorders>
            <w:shd w:val="clear" w:color="auto" w:fill="auto"/>
            <w:noWrap/>
            <w:vAlign w:val="bottom"/>
            <w:hideMark/>
          </w:tcPr>
          <w:p w14:paraId="2D1EB991"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0EC1B7C3"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38B35D47"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3" w:type="pct"/>
            <w:tcBorders>
              <w:top w:val="nil"/>
              <w:left w:val="nil"/>
              <w:bottom w:val="single" w:sz="4" w:space="0" w:color="auto"/>
              <w:right w:val="single" w:sz="4" w:space="0" w:color="auto"/>
            </w:tcBorders>
            <w:shd w:val="clear" w:color="auto" w:fill="auto"/>
            <w:noWrap/>
            <w:vAlign w:val="center"/>
            <w:hideMark/>
          </w:tcPr>
          <w:p w14:paraId="540E316D"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2.368.459 </w:t>
            </w:r>
          </w:p>
        </w:tc>
      </w:tr>
      <w:tr w:rsidR="00F41043" w:rsidRPr="00F41043" w14:paraId="0284416B"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center"/>
            <w:hideMark/>
          </w:tcPr>
          <w:p w14:paraId="54368D03"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Intangível</w:t>
            </w:r>
          </w:p>
        </w:tc>
        <w:tc>
          <w:tcPr>
            <w:tcW w:w="534" w:type="pct"/>
            <w:tcBorders>
              <w:top w:val="nil"/>
              <w:left w:val="nil"/>
              <w:bottom w:val="single" w:sz="4" w:space="0" w:color="auto"/>
              <w:right w:val="single" w:sz="4" w:space="0" w:color="auto"/>
            </w:tcBorders>
            <w:shd w:val="clear" w:color="auto" w:fill="auto"/>
            <w:noWrap/>
            <w:vAlign w:val="center"/>
            <w:hideMark/>
          </w:tcPr>
          <w:p w14:paraId="4BCC8362"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31.610 </w:t>
            </w:r>
          </w:p>
        </w:tc>
        <w:tc>
          <w:tcPr>
            <w:tcW w:w="534" w:type="pct"/>
            <w:tcBorders>
              <w:top w:val="nil"/>
              <w:left w:val="nil"/>
              <w:bottom w:val="single" w:sz="4" w:space="0" w:color="auto"/>
              <w:right w:val="single" w:sz="4" w:space="0" w:color="auto"/>
            </w:tcBorders>
            <w:shd w:val="clear" w:color="auto" w:fill="auto"/>
            <w:noWrap/>
            <w:vAlign w:val="bottom"/>
            <w:hideMark/>
          </w:tcPr>
          <w:p w14:paraId="7FD91187"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45825A75"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34D5226E"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3" w:type="pct"/>
            <w:tcBorders>
              <w:top w:val="nil"/>
              <w:left w:val="nil"/>
              <w:bottom w:val="single" w:sz="4" w:space="0" w:color="auto"/>
              <w:right w:val="single" w:sz="4" w:space="0" w:color="auto"/>
            </w:tcBorders>
            <w:shd w:val="clear" w:color="auto" w:fill="auto"/>
            <w:noWrap/>
            <w:vAlign w:val="center"/>
            <w:hideMark/>
          </w:tcPr>
          <w:p w14:paraId="6F96AD53"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31.610 </w:t>
            </w:r>
          </w:p>
        </w:tc>
      </w:tr>
      <w:tr w:rsidR="00F41043" w:rsidRPr="00F41043" w14:paraId="7B66B374"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center"/>
            <w:hideMark/>
          </w:tcPr>
          <w:p w14:paraId="26CE4784"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Total do Não Circulante</w:t>
            </w:r>
          </w:p>
        </w:tc>
        <w:tc>
          <w:tcPr>
            <w:tcW w:w="534" w:type="pct"/>
            <w:tcBorders>
              <w:top w:val="nil"/>
              <w:left w:val="nil"/>
              <w:bottom w:val="single" w:sz="4" w:space="0" w:color="auto"/>
              <w:right w:val="single" w:sz="4" w:space="0" w:color="auto"/>
            </w:tcBorders>
            <w:shd w:val="clear" w:color="auto" w:fill="auto"/>
            <w:noWrap/>
            <w:vAlign w:val="center"/>
            <w:hideMark/>
          </w:tcPr>
          <w:p w14:paraId="529A5BC9"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2.641.993 </w:t>
            </w:r>
          </w:p>
        </w:tc>
        <w:tc>
          <w:tcPr>
            <w:tcW w:w="534" w:type="pct"/>
            <w:tcBorders>
              <w:top w:val="nil"/>
              <w:left w:val="nil"/>
              <w:bottom w:val="single" w:sz="4" w:space="0" w:color="auto"/>
              <w:right w:val="single" w:sz="4" w:space="0" w:color="auto"/>
            </w:tcBorders>
            <w:shd w:val="clear" w:color="auto" w:fill="auto"/>
            <w:noWrap/>
            <w:vAlign w:val="center"/>
            <w:hideMark/>
          </w:tcPr>
          <w:p w14:paraId="06C00DC8"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 </w:t>
            </w:r>
          </w:p>
        </w:tc>
        <w:tc>
          <w:tcPr>
            <w:tcW w:w="534" w:type="pct"/>
            <w:tcBorders>
              <w:top w:val="nil"/>
              <w:left w:val="nil"/>
              <w:bottom w:val="single" w:sz="4" w:space="0" w:color="auto"/>
              <w:right w:val="single" w:sz="4" w:space="0" w:color="auto"/>
            </w:tcBorders>
            <w:shd w:val="clear" w:color="auto" w:fill="auto"/>
            <w:noWrap/>
            <w:vAlign w:val="center"/>
            <w:hideMark/>
          </w:tcPr>
          <w:p w14:paraId="10DD6A61"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 </w:t>
            </w:r>
          </w:p>
        </w:tc>
        <w:tc>
          <w:tcPr>
            <w:tcW w:w="534" w:type="pct"/>
            <w:tcBorders>
              <w:top w:val="nil"/>
              <w:left w:val="nil"/>
              <w:bottom w:val="single" w:sz="4" w:space="0" w:color="auto"/>
              <w:right w:val="single" w:sz="4" w:space="0" w:color="auto"/>
            </w:tcBorders>
            <w:shd w:val="clear" w:color="auto" w:fill="auto"/>
            <w:noWrap/>
            <w:vAlign w:val="center"/>
            <w:hideMark/>
          </w:tcPr>
          <w:p w14:paraId="1946D1F9"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 </w:t>
            </w:r>
          </w:p>
        </w:tc>
        <w:tc>
          <w:tcPr>
            <w:tcW w:w="653" w:type="pct"/>
            <w:tcBorders>
              <w:top w:val="nil"/>
              <w:left w:val="nil"/>
              <w:bottom w:val="single" w:sz="4" w:space="0" w:color="auto"/>
              <w:right w:val="single" w:sz="4" w:space="0" w:color="auto"/>
            </w:tcBorders>
            <w:shd w:val="clear" w:color="auto" w:fill="auto"/>
            <w:noWrap/>
            <w:vAlign w:val="center"/>
            <w:hideMark/>
          </w:tcPr>
          <w:p w14:paraId="4CF202EA"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2.641.993 </w:t>
            </w:r>
          </w:p>
        </w:tc>
      </w:tr>
      <w:tr w:rsidR="00F41043" w:rsidRPr="00F41043" w14:paraId="37580F02"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center"/>
            <w:hideMark/>
          </w:tcPr>
          <w:p w14:paraId="2DFF7149"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Total do Ativo</w:t>
            </w:r>
          </w:p>
        </w:tc>
        <w:tc>
          <w:tcPr>
            <w:tcW w:w="534" w:type="pct"/>
            <w:tcBorders>
              <w:top w:val="nil"/>
              <w:left w:val="nil"/>
              <w:bottom w:val="single" w:sz="4" w:space="0" w:color="auto"/>
              <w:right w:val="single" w:sz="4" w:space="0" w:color="auto"/>
            </w:tcBorders>
            <w:shd w:val="clear" w:color="auto" w:fill="auto"/>
            <w:noWrap/>
            <w:vAlign w:val="center"/>
            <w:hideMark/>
          </w:tcPr>
          <w:p w14:paraId="3BA9D902"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4.099.054 </w:t>
            </w:r>
          </w:p>
        </w:tc>
        <w:tc>
          <w:tcPr>
            <w:tcW w:w="534" w:type="pct"/>
            <w:tcBorders>
              <w:top w:val="nil"/>
              <w:left w:val="nil"/>
              <w:bottom w:val="single" w:sz="4" w:space="0" w:color="auto"/>
              <w:right w:val="single" w:sz="4" w:space="0" w:color="auto"/>
            </w:tcBorders>
            <w:shd w:val="clear" w:color="auto" w:fill="auto"/>
            <w:noWrap/>
            <w:vAlign w:val="center"/>
            <w:hideMark/>
          </w:tcPr>
          <w:p w14:paraId="7DF6F33F"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 </w:t>
            </w:r>
          </w:p>
        </w:tc>
        <w:tc>
          <w:tcPr>
            <w:tcW w:w="534" w:type="pct"/>
            <w:tcBorders>
              <w:top w:val="nil"/>
              <w:left w:val="nil"/>
              <w:bottom w:val="single" w:sz="4" w:space="0" w:color="auto"/>
              <w:right w:val="single" w:sz="4" w:space="0" w:color="auto"/>
            </w:tcBorders>
            <w:shd w:val="clear" w:color="auto" w:fill="auto"/>
            <w:noWrap/>
            <w:vAlign w:val="center"/>
            <w:hideMark/>
          </w:tcPr>
          <w:p w14:paraId="05DEA9B5"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 </w:t>
            </w:r>
          </w:p>
        </w:tc>
        <w:tc>
          <w:tcPr>
            <w:tcW w:w="534" w:type="pct"/>
            <w:tcBorders>
              <w:top w:val="nil"/>
              <w:left w:val="nil"/>
              <w:bottom w:val="single" w:sz="4" w:space="0" w:color="auto"/>
              <w:right w:val="single" w:sz="4" w:space="0" w:color="auto"/>
            </w:tcBorders>
            <w:shd w:val="clear" w:color="auto" w:fill="auto"/>
            <w:noWrap/>
            <w:vAlign w:val="center"/>
            <w:hideMark/>
          </w:tcPr>
          <w:p w14:paraId="4A2134EF"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 </w:t>
            </w:r>
          </w:p>
        </w:tc>
        <w:tc>
          <w:tcPr>
            <w:tcW w:w="653" w:type="pct"/>
            <w:tcBorders>
              <w:top w:val="nil"/>
              <w:left w:val="nil"/>
              <w:bottom w:val="single" w:sz="4" w:space="0" w:color="auto"/>
              <w:right w:val="single" w:sz="4" w:space="0" w:color="auto"/>
            </w:tcBorders>
            <w:shd w:val="clear" w:color="auto" w:fill="auto"/>
            <w:noWrap/>
            <w:vAlign w:val="center"/>
            <w:hideMark/>
          </w:tcPr>
          <w:p w14:paraId="76F886CB"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4.099.054 </w:t>
            </w:r>
          </w:p>
        </w:tc>
      </w:tr>
      <w:tr w:rsidR="00F41043" w:rsidRPr="00F41043" w14:paraId="24D34C98"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center"/>
            <w:hideMark/>
          </w:tcPr>
          <w:p w14:paraId="4844A3E8"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Passivo</w:t>
            </w:r>
          </w:p>
        </w:tc>
        <w:tc>
          <w:tcPr>
            <w:tcW w:w="534" w:type="pct"/>
            <w:tcBorders>
              <w:top w:val="nil"/>
              <w:left w:val="nil"/>
              <w:bottom w:val="single" w:sz="4" w:space="0" w:color="auto"/>
              <w:right w:val="single" w:sz="4" w:space="0" w:color="auto"/>
            </w:tcBorders>
            <w:shd w:val="clear" w:color="auto" w:fill="auto"/>
            <w:noWrap/>
            <w:vAlign w:val="bottom"/>
            <w:hideMark/>
          </w:tcPr>
          <w:p w14:paraId="0C50CF81"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133541A3"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7D23BF69"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5F731DFF"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3" w:type="pct"/>
            <w:tcBorders>
              <w:top w:val="nil"/>
              <w:left w:val="nil"/>
              <w:bottom w:val="single" w:sz="4" w:space="0" w:color="auto"/>
              <w:right w:val="single" w:sz="4" w:space="0" w:color="auto"/>
            </w:tcBorders>
            <w:shd w:val="clear" w:color="auto" w:fill="auto"/>
            <w:noWrap/>
            <w:vAlign w:val="bottom"/>
            <w:hideMark/>
          </w:tcPr>
          <w:p w14:paraId="5E52AD68"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r>
      <w:tr w:rsidR="00F41043" w:rsidRPr="00F41043" w14:paraId="636D005F"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center"/>
            <w:hideMark/>
          </w:tcPr>
          <w:p w14:paraId="592E2694"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Circulante</w:t>
            </w:r>
          </w:p>
        </w:tc>
        <w:tc>
          <w:tcPr>
            <w:tcW w:w="534" w:type="pct"/>
            <w:tcBorders>
              <w:top w:val="nil"/>
              <w:left w:val="nil"/>
              <w:bottom w:val="single" w:sz="4" w:space="0" w:color="auto"/>
              <w:right w:val="single" w:sz="4" w:space="0" w:color="auto"/>
            </w:tcBorders>
            <w:shd w:val="clear" w:color="auto" w:fill="auto"/>
            <w:noWrap/>
            <w:vAlign w:val="center"/>
            <w:hideMark/>
          </w:tcPr>
          <w:p w14:paraId="5A8AE0EB"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1CE37974"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5DB72810"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5688CE3F"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3" w:type="pct"/>
            <w:tcBorders>
              <w:top w:val="nil"/>
              <w:left w:val="nil"/>
              <w:bottom w:val="single" w:sz="4" w:space="0" w:color="auto"/>
              <w:right w:val="single" w:sz="4" w:space="0" w:color="auto"/>
            </w:tcBorders>
            <w:shd w:val="clear" w:color="auto" w:fill="auto"/>
            <w:noWrap/>
            <w:vAlign w:val="center"/>
            <w:hideMark/>
          </w:tcPr>
          <w:p w14:paraId="595D17F5"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r>
      <w:tr w:rsidR="00F41043" w:rsidRPr="00F41043" w14:paraId="796E430D"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center"/>
            <w:hideMark/>
          </w:tcPr>
          <w:p w14:paraId="67B42BB4"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Pessoal, Encargos e Benefícios Sociais</w:t>
            </w:r>
          </w:p>
        </w:tc>
        <w:tc>
          <w:tcPr>
            <w:tcW w:w="534" w:type="pct"/>
            <w:tcBorders>
              <w:top w:val="nil"/>
              <w:left w:val="nil"/>
              <w:bottom w:val="single" w:sz="4" w:space="0" w:color="auto"/>
              <w:right w:val="single" w:sz="4" w:space="0" w:color="auto"/>
            </w:tcBorders>
            <w:shd w:val="clear" w:color="auto" w:fill="auto"/>
            <w:noWrap/>
            <w:vAlign w:val="center"/>
            <w:hideMark/>
          </w:tcPr>
          <w:p w14:paraId="05FD8783"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11.318 </w:t>
            </w:r>
          </w:p>
        </w:tc>
        <w:tc>
          <w:tcPr>
            <w:tcW w:w="534" w:type="pct"/>
            <w:tcBorders>
              <w:top w:val="nil"/>
              <w:left w:val="nil"/>
              <w:bottom w:val="single" w:sz="4" w:space="0" w:color="auto"/>
              <w:right w:val="single" w:sz="4" w:space="0" w:color="auto"/>
            </w:tcBorders>
            <w:shd w:val="clear" w:color="auto" w:fill="auto"/>
            <w:noWrap/>
            <w:vAlign w:val="bottom"/>
            <w:hideMark/>
          </w:tcPr>
          <w:p w14:paraId="6A446E60"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5E4B4525"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08A88858"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3" w:type="pct"/>
            <w:tcBorders>
              <w:top w:val="nil"/>
              <w:left w:val="nil"/>
              <w:bottom w:val="single" w:sz="4" w:space="0" w:color="auto"/>
              <w:right w:val="single" w:sz="4" w:space="0" w:color="auto"/>
            </w:tcBorders>
            <w:shd w:val="clear" w:color="auto" w:fill="auto"/>
            <w:noWrap/>
            <w:vAlign w:val="center"/>
            <w:hideMark/>
          </w:tcPr>
          <w:p w14:paraId="44833AA9"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11.318 </w:t>
            </w:r>
          </w:p>
        </w:tc>
      </w:tr>
      <w:tr w:rsidR="00F41043" w:rsidRPr="00F41043" w14:paraId="3A4B0134"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center"/>
            <w:hideMark/>
          </w:tcPr>
          <w:p w14:paraId="160F4BE0"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Fornecedores</w:t>
            </w:r>
          </w:p>
        </w:tc>
        <w:tc>
          <w:tcPr>
            <w:tcW w:w="534" w:type="pct"/>
            <w:tcBorders>
              <w:top w:val="nil"/>
              <w:left w:val="nil"/>
              <w:bottom w:val="single" w:sz="4" w:space="0" w:color="auto"/>
              <w:right w:val="single" w:sz="4" w:space="0" w:color="auto"/>
            </w:tcBorders>
            <w:shd w:val="clear" w:color="auto" w:fill="auto"/>
            <w:noWrap/>
            <w:vAlign w:val="center"/>
            <w:hideMark/>
          </w:tcPr>
          <w:p w14:paraId="63DE977B"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58.790 </w:t>
            </w:r>
          </w:p>
        </w:tc>
        <w:tc>
          <w:tcPr>
            <w:tcW w:w="534" w:type="pct"/>
            <w:tcBorders>
              <w:top w:val="nil"/>
              <w:left w:val="nil"/>
              <w:bottom w:val="single" w:sz="4" w:space="0" w:color="auto"/>
              <w:right w:val="single" w:sz="4" w:space="0" w:color="auto"/>
            </w:tcBorders>
            <w:shd w:val="clear" w:color="auto" w:fill="auto"/>
            <w:noWrap/>
            <w:vAlign w:val="bottom"/>
            <w:hideMark/>
          </w:tcPr>
          <w:p w14:paraId="6D6631FB"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04986465"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6550340E"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3" w:type="pct"/>
            <w:tcBorders>
              <w:top w:val="nil"/>
              <w:left w:val="nil"/>
              <w:bottom w:val="single" w:sz="4" w:space="0" w:color="auto"/>
              <w:right w:val="single" w:sz="4" w:space="0" w:color="auto"/>
            </w:tcBorders>
            <w:shd w:val="clear" w:color="auto" w:fill="auto"/>
            <w:noWrap/>
            <w:vAlign w:val="center"/>
            <w:hideMark/>
          </w:tcPr>
          <w:p w14:paraId="50E9F439"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58.790 </w:t>
            </w:r>
          </w:p>
        </w:tc>
      </w:tr>
      <w:tr w:rsidR="00F41043" w:rsidRPr="00F41043" w14:paraId="2E014C51"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bottom"/>
            <w:hideMark/>
          </w:tcPr>
          <w:p w14:paraId="6A7A0134"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Receitas Diferidas</w:t>
            </w:r>
          </w:p>
        </w:tc>
        <w:tc>
          <w:tcPr>
            <w:tcW w:w="534" w:type="pct"/>
            <w:tcBorders>
              <w:top w:val="nil"/>
              <w:left w:val="nil"/>
              <w:bottom w:val="single" w:sz="4" w:space="0" w:color="auto"/>
              <w:right w:val="single" w:sz="4" w:space="0" w:color="auto"/>
            </w:tcBorders>
            <w:shd w:val="clear" w:color="auto" w:fill="auto"/>
            <w:noWrap/>
            <w:vAlign w:val="center"/>
            <w:hideMark/>
          </w:tcPr>
          <w:p w14:paraId="658D1582"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152.867 </w:t>
            </w:r>
          </w:p>
        </w:tc>
        <w:tc>
          <w:tcPr>
            <w:tcW w:w="534" w:type="pct"/>
            <w:tcBorders>
              <w:top w:val="nil"/>
              <w:left w:val="nil"/>
              <w:bottom w:val="single" w:sz="4" w:space="0" w:color="auto"/>
              <w:right w:val="single" w:sz="4" w:space="0" w:color="auto"/>
            </w:tcBorders>
            <w:shd w:val="clear" w:color="auto" w:fill="auto"/>
            <w:noWrap/>
            <w:vAlign w:val="bottom"/>
            <w:hideMark/>
          </w:tcPr>
          <w:p w14:paraId="707F1276"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55F42AD5"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131C11DC"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3" w:type="pct"/>
            <w:tcBorders>
              <w:top w:val="nil"/>
              <w:left w:val="nil"/>
              <w:bottom w:val="single" w:sz="4" w:space="0" w:color="auto"/>
              <w:right w:val="single" w:sz="4" w:space="0" w:color="auto"/>
            </w:tcBorders>
            <w:shd w:val="clear" w:color="auto" w:fill="auto"/>
            <w:noWrap/>
            <w:vAlign w:val="center"/>
            <w:hideMark/>
          </w:tcPr>
          <w:p w14:paraId="36E5EEA7"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152.867 </w:t>
            </w:r>
          </w:p>
        </w:tc>
      </w:tr>
      <w:tr w:rsidR="00F41043" w:rsidRPr="00F41043" w14:paraId="22844EBE"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center"/>
            <w:hideMark/>
          </w:tcPr>
          <w:p w14:paraId="02D99C7E"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Tributos Indiretos</w:t>
            </w:r>
          </w:p>
        </w:tc>
        <w:tc>
          <w:tcPr>
            <w:tcW w:w="534" w:type="pct"/>
            <w:tcBorders>
              <w:top w:val="nil"/>
              <w:left w:val="nil"/>
              <w:bottom w:val="single" w:sz="4" w:space="0" w:color="auto"/>
              <w:right w:val="single" w:sz="4" w:space="0" w:color="auto"/>
            </w:tcBorders>
            <w:shd w:val="clear" w:color="auto" w:fill="auto"/>
            <w:noWrap/>
            <w:vAlign w:val="center"/>
            <w:hideMark/>
          </w:tcPr>
          <w:p w14:paraId="715531D0"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10.671 </w:t>
            </w:r>
          </w:p>
        </w:tc>
        <w:tc>
          <w:tcPr>
            <w:tcW w:w="534" w:type="pct"/>
            <w:tcBorders>
              <w:top w:val="nil"/>
              <w:left w:val="nil"/>
              <w:bottom w:val="single" w:sz="4" w:space="0" w:color="auto"/>
              <w:right w:val="single" w:sz="4" w:space="0" w:color="auto"/>
            </w:tcBorders>
            <w:shd w:val="clear" w:color="auto" w:fill="auto"/>
            <w:noWrap/>
            <w:vAlign w:val="bottom"/>
            <w:hideMark/>
          </w:tcPr>
          <w:p w14:paraId="6C64E090"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7507E9B9"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4B9E5053"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3" w:type="pct"/>
            <w:tcBorders>
              <w:top w:val="nil"/>
              <w:left w:val="nil"/>
              <w:bottom w:val="single" w:sz="4" w:space="0" w:color="auto"/>
              <w:right w:val="single" w:sz="4" w:space="0" w:color="auto"/>
            </w:tcBorders>
            <w:shd w:val="clear" w:color="auto" w:fill="auto"/>
            <w:noWrap/>
            <w:vAlign w:val="center"/>
            <w:hideMark/>
          </w:tcPr>
          <w:p w14:paraId="137C4C35"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10.671 </w:t>
            </w:r>
          </w:p>
        </w:tc>
      </w:tr>
      <w:tr w:rsidR="00F41043" w:rsidRPr="00F41043" w14:paraId="23B6825E"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center"/>
            <w:hideMark/>
          </w:tcPr>
          <w:p w14:paraId="48CD9F6C"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Empréstimos e Financiamentos</w:t>
            </w:r>
          </w:p>
        </w:tc>
        <w:tc>
          <w:tcPr>
            <w:tcW w:w="534" w:type="pct"/>
            <w:tcBorders>
              <w:top w:val="nil"/>
              <w:left w:val="nil"/>
              <w:bottom w:val="single" w:sz="4" w:space="0" w:color="auto"/>
              <w:right w:val="single" w:sz="4" w:space="0" w:color="auto"/>
            </w:tcBorders>
            <w:shd w:val="clear" w:color="auto" w:fill="auto"/>
            <w:noWrap/>
            <w:vAlign w:val="center"/>
            <w:hideMark/>
          </w:tcPr>
          <w:p w14:paraId="1369C841"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48.933 </w:t>
            </w:r>
          </w:p>
        </w:tc>
        <w:tc>
          <w:tcPr>
            <w:tcW w:w="534" w:type="pct"/>
            <w:tcBorders>
              <w:top w:val="nil"/>
              <w:left w:val="nil"/>
              <w:bottom w:val="single" w:sz="4" w:space="0" w:color="auto"/>
              <w:right w:val="single" w:sz="4" w:space="0" w:color="auto"/>
            </w:tcBorders>
            <w:shd w:val="clear" w:color="auto" w:fill="auto"/>
            <w:noWrap/>
            <w:vAlign w:val="bottom"/>
            <w:hideMark/>
          </w:tcPr>
          <w:p w14:paraId="5C342D2B"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58B5B65E"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4E2215A1"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3" w:type="pct"/>
            <w:tcBorders>
              <w:top w:val="nil"/>
              <w:left w:val="nil"/>
              <w:bottom w:val="single" w:sz="4" w:space="0" w:color="auto"/>
              <w:right w:val="single" w:sz="4" w:space="0" w:color="auto"/>
            </w:tcBorders>
            <w:shd w:val="clear" w:color="auto" w:fill="auto"/>
            <w:noWrap/>
            <w:vAlign w:val="center"/>
            <w:hideMark/>
          </w:tcPr>
          <w:p w14:paraId="0CA4A765"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48.933 </w:t>
            </w:r>
          </w:p>
        </w:tc>
      </w:tr>
      <w:tr w:rsidR="00F41043" w:rsidRPr="00F41043" w14:paraId="433FD9B4"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bottom"/>
            <w:hideMark/>
          </w:tcPr>
          <w:p w14:paraId="2BB41E3A"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Operações de Arrendamento Mercantil Financeiro</w:t>
            </w:r>
          </w:p>
        </w:tc>
        <w:tc>
          <w:tcPr>
            <w:tcW w:w="534" w:type="pct"/>
            <w:tcBorders>
              <w:top w:val="nil"/>
              <w:left w:val="nil"/>
              <w:bottom w:val="single" w:sz="4" w:space="0" w:color="auto"/>
              <w:right w:val="single" w:sz="4" w:space="0" w:color="auto"/>
            </w:tcBorders>
            <w:shd w:val="clear" w:color="auto" w:fill="auto"/>
            <w:noWrap/>
            <w:vAlign w:val="center"/>
            <w:hideMark/>
          </w:tcPr>
          <w:p w14:paraId="37F854E3"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4.246 </w:t>
            </w:r>
          </w:p>
        </w:tc>
        <w:tc>
          <w:tcPr>
            <w:tcW w:w="534" w:type="pct"/>
            <w:tcBorders>
              <w:top w:val="nil"/>
              <w:left w:val="nil"/>
              <w:bottom w:val="single" w:sz="4" w:space="0" w:color="auto"/>
              <w:right w:val="single" w:sz="4" w:space="0" w:color="auto"/>
            </w:tcBorders>
            <w:shd w:val="clear" w:color="auto" w:fill="auto"/>
            <w:noWrap/>
            <w:vAlign w:val="bottom"/>
            <w:hideMark/>
          </w:tcPr>
          <w:p w14:paraId="4CDD5CAF"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633985B5"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30CB4C51"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3" w:type="pct"/>
            <w:tcBorders>
              <w:top w:val="nil"/>
              <w:left w:val="nil"/>
              <w:bottom w:val="single" w:sz="4" w:space="0" w:color="auto"/>
              <w:right w:val="single" w:sz="4" w:space="0" w:color="auto"/>
            </w:tcBorders>
            <w:shd w:val="clear" w:color="auto" w:fill="auto"/>
            <w:noWrap/>
            <w:vAlign w:val="center"/>
            <w:hideMark/>
          </w:tcPr>
          <w:p w14:paraId="023B97EC"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4.246 </w:t>
            </w:r>
          </w:p>
        </w:tc>
      </w:tr>
      <w:tr w:rsidR="00F41043" w:rsidRPr="00F41043" w14:paraId="3F959C2E"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bottom"/>
            <w:hideMark/>
          </w:tcPr>
          <w:p w14:paraId="038FA53D"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Provisão para Riscos Trabalhistas, Cíveis e Fiscais</w:t>
            </w:r>
          </w:p>
        </w:tc>
        <w:tc>
          <w:tcPr>
            <w:tcW w:w="534" w:type="pct"/>
            <w:tcBorders>
              <w:top w:val="nil"/>
              <w:left w:val="nil"/>
              <w:bottom w:val="single" w:sz="4" w:space="0" w:color="auto"/>
              <w:right w:val="single" w:sz="4" w:space="0" w:color="auto"/>
            </w:tcBorders>
            <w:shd w:val="clear" w:color="auto" w:fill="auto"/>
            <w:noWrap/>
            <w:vAlign w:val="center"/>
            <w:hideMark/>
          </w:tcPr>
          <w:p w14:paraId="38C2CD48"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14.284 </w:t>
            </w:r>
          </w:p>
        </w:tc>
        <w:tc>
          <w:tcPr>
            <w:tcW w:w="534" w:type="pct"/>
            <w:tcBorders>
              <w:top w:val="nil"/>
              <w:left w:val="nil"/>
              <w:bottom w:val="single" w:sz="4" w:space="0" w:color="auto"/>
              <w:right w:val="single" w:sz="4" w:space="0" w:color="auto"/>
            </w:tcBorders>
            <w:shd w:val="clear" w:color="auto" w:fill="auto"/>
            <w:noWrap/>
            <w:vAlign w:val="bottom"/>
            <w:hideMark/>
          </w:tcPr>
          <w:p w14:paraId="244A1EDF"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4A8F1113"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6D8EEB5A"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3" w:type="pct"/>
            <w:tcBorders>
              <w:top w:val="nil"/>
              <w:left w:val="nil"/>
              <w:bottom w:val="single" w:sz="4" w:space="0" w:color="auto"/>
              <w:right w:val="single" w:sz="4" w:space="0" w:color="auto"/>
            </w:tcBorders>
            <w:shd w:val="clear" w:color="auto" w:fill="auto"/>
            <w:noWrap/>
            <w:vAlign w:val="center"/>
            <w:hideMark/>
          </w:tcPr>
          <w:p w14:paraId="1EE7D9A7"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14.284 </w:t>
            </w:r>
          </w:p>
        </w:tc>
      </w:tr>
      <w:tr w:rsidR="00F41043" w:rsidRPr="00F41043" w14:paraId="3C88DF23"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center"/>
            <w:hideMark/>
          </w:tcPr>
          <w:p w14:paraId="6995799C"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lastRenderedPageBreak/>
              <w:t>Credores por Perdas Judiciais</w:t>
            </w:r>
          </w:p>
        </w:tc>
        <w:tc>
          <w:tcPr>
            <w:tcW w:w="534" w:type="pct"/>
            <w:tcBorders>
              <w:top w:val="nil"/>
              <w:left w:val="nil"/>
              <w:bottom w:val="single" w:sz="4" w:space="0" w:color="auto"/>
              <w:right w:val="single" w:sz="4" w:space="0" w:color="auto"/>
            </w:tcBorders>
            <w:shd w:val="clear" w:color="auto" w:fill="auto"/>
            <w:noWrap/>
            <w:vAlign w:val="center"/>
            <w:hideMark/>
          </w:tcPr>
          <w:p w14:paraId="26673AE7"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17.564 </w:t>
            </w:r>
          </w:p>
        </w:tc>
        <w:tc>
          <w:tcPr>
            <w:tcW w:w="534" w:type="pct"/>
            <w:tcBorders>
              <w:top w:val="nil"/>
              <w:left w:val="nil"/>
              <w:bottom w:val="single" w:sz="4" w:space="0" w:color="auto"/>
              <w:right w:val="single" w:sz="4" w:space="0" w:color="auto"/>
            </w:tcBorders>
            <w:shd w:val="clear" w:color="auto" w:fill="auto"/>
            <w:noWrap/>
            <w:vAlign w:val="bottom"/>
            <w:hideMark/>
          </w:tcPr>
          <w:p w14:paraId="614B729A"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2678711D"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75981FFA"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3" w:type="pct"/>
            <w:tcBorders>
              <w:top w:val="nil"/>
              <w:left w:val="nil"/>
              <w:bottom w:val="single" w:sz="4" w:space="0" w:color="auto"/>
              <w:right w:val="single" w:sz="4" w:space="0" w:color="auto"/>
            </w:tcBorders>
            <w:shd w:val="clear" w:color="auto" w:fill="auto"/>
            <w:noWrap/>
            <w:vAlign w:val="center"/>
            <w:hideMark/>
          </w:tcPr>
          <w:p w14:paraId="680FADBB"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17.564 </w:t>
            </w:r>
          </w:p>
        </w:tc>
      </w:tr>
      <w:tr w:rsidR="00F41043" w:rsidRPr="00F41043" w14:paraId="3C3E14A4"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bottom"/>
            <w:hideMark/>
          </w:tcPr>
          <w:p w14:paraId="69E51362"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Provisão para Programa de Indenização por Serviços Prestados</w:t>
            </w:r>
          </w:p>
        </w:tc>
        <w:tc>
          <w:tcPr>
            <w:tcW w:w="534" w:type="pct"/>
            <w:tcBorders>
              <w:top w:val="nil"/>
              <w:left w:val="nil"/>
              <w:bottom w:val="single" w:sz="4" w:space="0" w:color="auto"/>
              <w:right w:val="single" w:sz="4" w:space="0" w:color="auto"/>
            </w:tcBorders>
            <w:shd w:val="clear" w:color="auto" w:fill="auto"/>
            <w:noWrap/>
            <w:vAlign w:val="center"/>
            <w:hideMark/>
          </w:tcPr>
          <w:p w14:paraId="1425965B"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2.043 </w:t>
            </w:r>
          </w:p>
        </w:tc>
        <w:tc>
          <w:tcPr>
            <w:tcW w:w="534" w:type="pct"/>
            <w:tcBorders>
              <w:top w:val="nil"/>
              <w:left w:val="nil"/>
              <w:bottom w:val="single" w:sz="4" w:space="0" w:color="auto"/>
              <w:right w:val="single" w:sz="4" w:space="0" w:color="auto"/>
            </w:tcBorders>
            <w:shd w:val="clear" w:color="auto" w:fill="auto"/>
            <w:noWrap/>
            <w:vAlign w:val="bottom"/>
            <w:hideMark/>
          </w:tcPr>
          <w:p w14:paraId="0105EF4A"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5BB98F45"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78BA3C68"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3" w:type="pct"/>
            <w:tcBorders>
              <w:top w:val="nil"/>
              <w:left w:val="nil"/>
              <w:bottom w:val="single" w:sz="4" w:space="0" w:color="auto"/>
              <w:right w:val="single" w:sz="4" w:space="0" w:color="auto"/>
            </w:tcBorders>
            <w:shd w:val="clear" w:color="auto" w:fill="auto"/>
            <w:noWrap/>
            <w:vAlign w:val="center"/>
            <w:hideMark/>
          </w:tcPr>
          <w:p w14:paraId="1BAC4E21"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2.043 </w:t>
            </w:r>
          </w:p>
        </w:tc>
      </w:tr>
      <w:tr w:rsidR="00F41043" w:rsidRPr="00F41043" w14:paraId="3AB27D55"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vAlign w:val="center"/>
            <w:hideMark/>
          </w:tcPr>
          <w:p w14:paraId="34AAAA73"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Outras Obrigações</w:t>
            </w:r>
          </w:p>
        </w:tc>
        <w:tc>
          <w:tcPr>
            <w:tcW w:w="534" w:type="pct"/>
            <w:tcBorders>
              <w:top w:val="nil"/>
              <w:left w:val="nil"/>
              <w:bottom w:val="single" w:sz="4" w:space="0" w:color="auto"/>
              <w:right w:val="single" w:sz="4" w:space="0" w:color="auto"/>
            </w:tcBorders>
            <w:shd w:val="clear" w:color="auto" w:fill="auto"/>
            <w:noWrap/>
            <w:vAlign w:val="center"/>
            <w:hideMark/>
          </w:tcPr>
          <w:p w14:paraId="1259D393"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2.994 </w:t>
            </w:r>
          </w:p>
        </w:tc>
        <w:tc>
          <w:tcPr>
            <w:tcW w:w="534" w:type="pct"/>
            <w:tcBorders>
              <w:top w:val="nil"/>
              <w:left w:val="nil"/>
              <w:bottom w:val="single" w:sz="4" w:space="0" w:color="auto"/>
              <w:right w:val="single" w:sz="4" w:space="0" w:color="auto"/>
            </w:tcBorders>
            <w:shd w:val="clear" w:color="auto" w:fill="auto"/>
            <w:noWrap/>
            <w:vAlign w:val="bottom"/>
            <w:hideMark/>
          </w:tcPr>
          <w:p w14:paraId="1B16610E"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449627D5"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4F82F6BC"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3" w:type="pct"/>
            <w:tcBorders>
              <w:top w:val="nil"/>
              <w:left w:val="nil"/>
              <w:bottom w:val="single" w:sz="4" w:space="0" w:color="auto"/>
              <w:right w:val="single" w:sz="4" w:space="0" w:color="auto"/>
            </w:tcBorders>
            <w:shd w:val="clear" w:color="auto" w:fill="auto"/>
            <w:noWrap/>
            <w:vAlign w:val="center"/>
            <w:hideMark/>
          </w:tcPr>
          <w:p w14:paraId="6E407AC3"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2.994 </w:t>
            </w:r>
          </w:p>
        </w:tc>
      </w:tr>
      <w:tr w:rsidR="00F41043" w:rsidRPr="00F41043" w14:paraId="710B0C1E"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center"/>
            <w:hideMark/>
          </w:tcPr>
          <w:p w14:paraId="6C7EEE55"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Total do Circulante</w:t>
            </w:r>
          </w:p>
        </w:tc>
        <w:tc>
          <w:tcPr>
            <w:tcW w:w="534" w:type="pct"/>
            <w:tcBorders>
              <w:top w:val="nil"/>
              <w:left w:val="nil"/>
              <w:bottom w:val="single" w:sz="4" w:space="0" w:color="auto"/>
              <w:right w:val="single" w:sz="4" w:space="0" w:color="auto"/>
            </w:tcBorders>
            <w:shd w:val="clear" w:color="auto" w:fill="auto"/>
            <w:noWrap/>
            <w:vAlign w:val="center"/>
            <w:hideMark/>
          </w:tcPr>
          <w:p w14:paraId="5C8A2585"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323.710 </w:t>
            </w:r>
          </w:p>
        </w:tc>
        <w:tc>
          <w:tcPr>
            <w:tcW w:w="534" w:type="pct"/>
            <w:tcBorders>
              <w:top w:val="nil"/>
              <w:left w:val="nil"/>
              <w:bottom w:val="single" w:sz="4" w:space="0" w:color="auto"/>
              <w:right w:val="single" w:sz="4" w:space="0" w:color="auto"/>
            </w:tcBorders>
            <w:shd w:val="clear" w:color="auto" w:fill="auto"/>
            <w:noWrap/>
            <w:vAlign w:val="center"/>
            <w:hideMark/>
          </w:tcPr>
          <w:p w14:paraId="3ACE35DC"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 </w:t>
            </w:r>
          </w:p>
        </w:tc>
        <w:tc>
          <w:tcPr>
            <w:tcW w:w="534" w:type="pct"/>
            <w:tcBorders>
              <w:top w:val="nil"/>
              <w:left w:val="nil"/>
              <w:bottom w:val="single" w:sz="4" w:space="0" w:color="auto"/>
              <w:right w:val="single" w:sz="4" w:space="0" w:color="auto"/>
            </w:tcBorders>
            <w:shd w:val="clear" w:color="auto" w:fill="auto"/>
            <w:noWrap/>
            <w:vAlign w:val="center"/>
            <w:hideMark/>
          </w:tcPr>
          <w:p w14:paraId="13F50AE5"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 </w:t>
            </w:r>
          </w:p>
        </w:tc>
        <w:tc>
          <w:tcPr>
            <w:tcW w:w="534" w:type="pct"/>
            <w:tcBorders>
              <w:top w:val="nil"/>
              <w:left w:val="nil"/>
              <w:bottom w:val="single" w:sz="4" w:space="0" w:color="auto"/>
              <w:right w:val="single" w:sz="4" w:space="0" w:color="auto"/>
            </w:tcBorders>
            <w:shd w:val="clear" w:color="auto" w:fill="auto"/>
            <w:noWrap/>
            <w:vAlign w:val="center"/>
            <w:hideMark/>
          </w:tcPr>
          <w:p w14:paraId="3AAFC217"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 </w:t>
            </w:r>
          </w:p>
        </w:tc>
        <w:tc>
          <w:tcPr>
            <w:tcW w:w="653" w:type="pct"/>
            <w:tcBorders>
              <w:top w:val="nil"/>
              <w:left w:val="nil"/>
              <w:bottom w:val="single" w:sz="4" w:space="0" w:color="auto"/>
              <w:right w:val="single" w:sz="4" w:space="0" w:color="auto"/>
            </w:tcBorders>
            <w:shd w:val="clear" w:color="auto" w:fill="auto"/>
            <w:noWrap/>
            <w:vAlign w:val="center"/>
            <w:hideMark/>
          </w:tcPr>
          <w:p w14:paraId="03B5D077"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323.710 </w:t>
            </w:r>
          </w:p>
        </w:tc>
      </w:tr>
      <w:tr w:rsidR="00F41043" w:rsidRPr="00F41043" w14:paraId="327C1A10"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center"/>
            <w:hideMark/>
          </w:tcPr>
          <w:p w14:paraId="4FDCBF27"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Não Circulante</w:t>
            </w:r>
          </w:p>
        </w:tc>
        <w:tc>
          <w:tcPr>
            <w:tcW w:w="534" w:type="pct"/>
            <w:tcBorders>
              <w:top w:val="nil"/>
              <w:left w:val="nil"/>
              <w:bottom w:val="single" w:sz="4" w:space="0" w:color="auto"/>
              <w:right w:val="single" w:sz="4" w:space="0" w:color="auto"/>
            </w:tcBorders>
            <w:shd w:val="clear" w:color="auto" w:fill="auto"/>
            <w:noWrap/>
            <w:vAlign w:val="center"/>
            <w:hideMark/>
          </w:tcPr>
          <w:p w14:paraId="629E1681"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65D23CCF"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4D73CB42"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6E4978B1"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3" w:type="pct"/>
            <w:tcBorders>
              <w:top w:val="nil"/>
              <w:left w:val="nil"/>
              <w:bottom w:val="single" w:sz="4" w:space="0" w:color="auto"/>
              <w:right w:val="single" w:sz="4" w:space="0" w:color="auto"/>
            </w:tcBorders>
            <w:shd w:val="clear" w:color="auto" w:fill="auto"/>
            <w:noWrap/>
            <w:vAlign w:val="center"/>
            <w:hideMark/>
          </w:tcPr>
          <w:p w14:paraId="13A816B7"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r>
      <w:tr w:rsidR="00F41043" w:rsidRPr="00F41043" w14:paraId="43AE1D81"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bottom"/>
            <w:hideMark/>
          </w:tcPr>
          <w:p w14:paraId="5E009866"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Empréstimos e Financiamentos</w:t>
            </w:r>
          </w:p>
        </w:tc>
        <w:tc>
          <w:tcPr>
            <w:tcW w:w="534" w:type="pct"/>
            <w:tcBorders>
              <w:top w:val="nil"/>
              <w:left w:val="nil"/>
              <w:bottom w:val="single" w:sz="4" w:space="0" w:color="auto"/>
              <w:right w:val="single" w:sz="4" w:space="0" w:color="auto"/>
            </w:tcBorders>
            <w:shd w:val="clear" w:color="auto" w:fill="auto"/>
            <w:noWrap/>
            <w:vAlign w:val="center"/>
            <w:hideMark/>
          </w:tcPr>
          <w:p w14:paraId="57E370EC"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144.769 </w:t>
            </w:r>
          </w:p>
        </w:tc>
        <w:tc>
          <w:tcPr>
            <w:tcW w:w="534" w:type="pct"/>
            <w:tcBorders>
              <w:top w:val="nil"/>
              <w:left w:val="nil"/>
              <w:bottom w:val="single" w:sz="4" w:space="0" w:color="auto"/>
              <w:right w:val="single" w:sz="4" w:space="0" w:color="auto"/>
            </w:tcBorders>
            <w:shd w:val="clear" w:color="auto" w:fill="auto"/>
            <w:noWrap/>
            <w:vAlign w:val="bottom"/>
            <w:hideMark/>
          </w:tcPr>
          <w:p w14:paraId="4B6FEED7"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202A9788"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1D0405B0"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3" w:type="pct"/>
            <w:tcBorders>
              <w:top w:val="nil"/>
              <w:left w:val="nil"/>
              <w:bottom w:val="single" w:sz="4" w:space="0" w:color="auto"/>
              <w:right w:val="single" w:sz="4" w:space="0" w:color="auto"/>
            </w:tcBorders>
            <w:shd w:val="clear" w:color="auto" w:fill="auto"/>
            <w:noWrap/>
            <w:vAlign w:val="center"/>
            <w:hideMark/>
          </w:tcPr>
          <w:p w14:paraId="3E5AFD24"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144.769 </w:t>
            </w:r>
          </w:p>
        </w:tc>
      </w:tr>
      <w:tr w:rsidR="00F41043" w:rsidRPr="00F41043" w14:paraId="7C88145E"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bottom"/>
            <w:hideMark/>
          </w:tcPr>
          <w:p w14:paraId="09AEA606"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Operações de Arrendamento Mercantil Financeiro</w:t>
            </w:r>
          </w:p>
        </w:tc>
        <w:tc>
          <w:tcPr>
            <w:tcW w:w="534" w:type="pct"/>
            <w:tcBorders>
              <w:top w:val="nil"/>
              <w:left w:val="nil"/>
              <w:bottom w:val="single" w:sz="4" w:space="0" w:color="auto"/>
              <w:right w:val="single" w:sz="4" w:space="0" w:color="auto"/>
            </w:tcBorders>
            <w:shd w:val="clear" w:color="auto" w:fill="auto"/>
            <w:noWrap/>
            <w:vAlign w:val="center"/>
            <w:hideMark/>
          </w:tcPr>
          <w:p w14:paraId="0C23E496"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11.106 </w:t>
            </w:r>
          </w:p>
        </w:tc>
        <w:tc>
          <w:tcPr>
            <w:tcW w:w="534" w:type="pct"/>
            <w:tcBorders>
              <w:top w:val="nil"/>
              <w:left w:val="nil"/>
              <w:bottom w:val="single" w:sz="4" w:space="0" w:color="auto"/>
              <w:right w:val="single" w:sz="4" w:space="0" w:color="auto"/>
            </w:tcBorders>
            <w:shd w:val="clear" w:color="auto" w:fill="auto"/>
            <w:noWrap/>
            <w:vAlign w:val="bottom"/>
            <w:hideMark/>
          </w:tcPr>
          <w:p w14:paraId="58050F01"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551D8243"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681B2991"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3" w:type="pct"/>
            <w:tcBorders>
              <w:top w:val="nil"/>
              <w:left w:val="nil"/>
              <w:bottom w:val="single" w:sz="4" w:space="0" w:color="auto"/>
              <w:right w:val="single" w:sz="4" w:space="0" w:color="auto"/>
            </w:tcBorders>
            <w:shd w:val="clear" w:color="auto" w:fill="auto"/>
            <w:noWrap/>
            <w:vAlign w:val="center"/>
            <w:hideMark/>
          </w:tcPr>
          <w:p w14:paraId="751688B9"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11.106 </w:t>
            </w:r>
          </w:p>
        </w:tc>
      </w:tr>
      <w:tr w:rsidR="00F41043" w:rsidRPr="00F41043" w14:paraId="57BDCC75"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bottom"/>
            <w:hideMark/>
          </w:tcPr>
          <w:p w14:paraId="0B826166"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Provisão para Riscos Trabalhistas, Cíveis e Fiscais</w:t>
            </w:r>
          </w:p>
        </w:tc>
        <w:tc>
          <w:tcPr>
            <w:tcW w:w="534" w:type="pct"/>
            <w:tcBorders>
              <w:top w:val="nil"/>
              <w:left w:val="nil"/>
              <w:bottom w:val="single" w:sz="4" w:space="0" w:color="auto"/>
              <w:right w:val="single" w:sz="4" w:space="0" w:color="auto"/>
            </w:tcBorders>
            <w:shd w:val="clear" w:color="auto" w:fill="auto"/>
            <w:noWrap/>
            <w:vAlign w:val="center"/>
            <w:hideMark/>
          </w:tcPr>
          <w:p w14:paraId="23DF344A"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47.448 </w:t>
            </w:r>
          </w:p>
        </w:tc>
        <w:tc>
          <w:tcPr>
            <w:tcW w:w="534" w:type="pct"/>
            <w:tcBorders>
              <w:top w:val="nil"/>
              <w:left w:val="nil"/>
              <w:bottom w:val="single" w:sz="4" w:space="0" w:color="auto"/>
              <w:right w:val="single" w:sz="4" w:space="0" w:color="auto"/>
            </w:tcBorders>
            <w:shd w:val="clear" w:color="auto" w:fill="auto"/>
            <w:noWrap/>
            <w:vAlign w:val="bottom"/>
            <w:hideMark/>
          </w:tcPr>
          <w:p w14:paraId="44E5B122"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3AC92C4F"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52B5AD10"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3" w:type="pct"/>
            <w:tcBorders>
              <w:top w:val="nil"/>
              <w:left w:val="nil"/>
              <w:bottom w:val="single" w:sz="4" w:space="0" w:color="auto"/>
              <w:right w:val="single" w:sz="4" w:space="0" w:color="auto"/>
            </w:tcBorders>
            <w:shd w:val="clear" w:color="auto" w:fill="auto"/>
            <w:noWrap/>
            <w:vAlign w:val="center"/>
            <w:hideMark/>
          </w:tcPr>
          <w:p w14:paraId="1EBD1AE7"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47.448 </w:t>
            </w:r>
          </w:p>
        </w:tc>
      </w:tr>
      <w:tr w:rsidR="00F41043" w:rsidRPr="00F41043" w14:paraId="75B61B62"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center"/>
            <w:hideMark/>
          </w:tcPr>
          <w:p w14:paraId="27599BB7"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Credores por Perdas Judiciais</w:t>
            </w:r>
          </w:p>
        </w:tc>
        <w:tc>
          <w:tcPr>
            <w:tcW w:w="534" w:type="pct"/>
            <w:tcBorders>
              <w:top w:val="nil"/>
              <w:left w:val="nil"/>
              <w:bottom w:val="single" w:sz="4" w:space="0" w:color="auto"/>
              <w:right w:val="single" w:sz="4" w:space="0" w:color="auto"/>
            </w:tcBorders>
            <w:shd w:val="clear" w:color="auto" w:fill="auto"/>
            <w:noWrap/>
            <w:vAlign w:val="center"/>
            <w:hideMark/>
          </w:tcPr>
          <w:p w14:paraId="33B794F2"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154.244 </w:t>
            </w:r>
          </w:p>
        </w:tc>
        <w:tc>
          <w:tcPr>
            <w:tcW w:w="534" w:type="pct"/>
            <w:tcBorders>
              <w:top w:val="nil"/>
              <w:left w:val="nil"/>
              <w:bottom w:val="single" w:sz="4" w:space="0" w:color="auto"/>
              <w:right w:val="single" w:sz="4" w:space="0" w:color="auto"/>
            </w:tcBorders>
            <w:shd w:val="clear" w:color="auto" w:fill="auto"/>
            <w:noWrap/>
            <w:vAlign w:val="bottom"/>
            <w:hideMark/>
          </w:tcPr>
          <w:p w14:paraId="24D9DD1C"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550442CD"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1F83A531"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3" w:type="pct"/>
            <w:tcBorders>
              <w:top w:val="nil"/>
              <w:left w:val="nil"/>
              <w:bottom w:val="single" w:sz="4" w:space="0" w:color="auto"/>
              <w:right w:val="single" w:sz="4" w:space="0" w:color="auto"/>
            </w:tcBorders>
            <w:shd w:val="clear" w:color="auto" w:fill="auto"/>
            <w:noWrap/>
            <w:vAlign w:val="center"/>
            <w:hideMark/>
          </w:tcPr>
          <w:p w14:paraId="1864FFCD"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154.244 </w:t>
            </w:r>
          </w:p>
        </w:tc>
      </w:tr>
      <w:tr w:rsidR="00F41043" w:rsidRPr="00F41043" w14:paraId="41268593"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bottom"/>
            <w:hideMark/>
          </w:tcPr>
          <w:p w14:paraId="66457C7B"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Provisão para Programa de Indenização por Serviços Prestados</w:t>
            </w:r>
          </w:p>
        </w:tc>
        <w:tc>
          <w:tcPr>
            <w:tcW w:w="534" w:type="pct"/>
            <w:tcBorders>
              <w:top w:val="nil"/>
              <w:left w:val="nil"/>
              <w:bottom w:val="single" w:sz="4" w:space="0" w:color="auto"/>
              <w:right w:val="single" w:sz="4" w:space="0" w:color="auto"/>
            </w:tcBorders>
            <w:shd w:val="clear" w:color="auto" w:fill="auto"/>
            <w:noWrap/>
            <w:vAlign w:val="center"/>
            <w:hideMark/>
          </w:tcPr>
          <w:p w14:paraId="12C55A85"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22.813 </w:t>
            </w:r>
          </w:p>
        </w:tc>
        <w:tc>
          <w:tcPr>
            <w:tcW w:w="534" w:type="pct"/>
            <w:tcBorders>
              <w:top w:val="nil"/>
              <w:left w:val="nil"/>
              <w:bottom w:val="single" w:sz="4" w:space="0" w:color="auto"/>
              <w:right w:val="single" w:sz="4" w:space="0" w:color="auto"/>
            </w:tcBorders>
            <w:shd w:val="clear" w:color="auto" w:fill="auto"/>
            <w:noWrap/>
            <w:vAlign w:val="bottom"/>
            <w:hideMark/>
          </w:tcPr>
          <w:p w14:paraId="382E6002"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6625EF56"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585BA270"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3" w:type="pct"/>
            <w:tcBorders>
              <w:top w:val="nil"/>
              <w:left w:val="nil"/>
              <w:bottom w:val="single" w:sz="4" w:space="0" w:color="auto"/>
              <w:right w:val="single" w:sz="4" w:space="0" w:color="auto"/>
            </w:tcBorders>
            <w:shd w:val="clear" w:color="auto" w:fill="auto"/>
            <w:noWrap/>
            <w:vAlign w:val="center"/>
            <w:hideMark/>
          </w:tcPr>
          <w:p w14:paraId="4E73879E"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22.813 </w:t>
            </w:r>
          </w:p>
        </w:tc>
      </w:tr>
      <w:tr w:rsidR="00F41043" w:rsidRPr="00F41043" w14:paraId="60F4917F"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center"/>
            <w:hideMark/>
          </w:tcPr>
          <w:p w14:paraId="7DDF35AF"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Grupamento de Ações</w:t>
            </w:r>
          </w:p>
        </w:tc>
        <w:tc>
          <w:tcPr>
            <w:tcW w:w="534" w:type="pct"/>
            <w:tcBorders>
              <w:top w:val="nil"/>
              <w:left w:val="nil"/>
              <w:bottom w:val="single" w:sz="4" w:space="0" w:color="auto"/>
              <w:right w:val="single" w:sz="4" w:space="0" w:color="auto"/>
            </w:tcBorders>
            <w:shd w:val="clear" w:color="auto" w:fill="auto"/>
            <w:noWrap/>
            <w:vAlign w:val="center"/>
            <w:hideMark/>
          </w:tcPr>
          <w:p w14:paraId="771B803E"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680 </w:t>
            </w:r>
          </w:p>
        </w:tc>
        <w:tc>
          <w:tcPr>
            <w:tcW w:w="534" w:type="pct"/>
            <w:tcBorders>
              <w:top w:val="nil"/>
              <w:left w:val="nil"/>
              <w:bottom w:val="single" w:sz="4" w:space="0" w:color="auto"/>
              <w:right w:val="single" w:sz="4" w:space="0" w:color="auto"/>
            </w:tcBorders>
            <w:shd w:val="clear" w:color="auto" w:fill="auto"/>
            <w:noWrap/>
            <w:vAlign w:val="bottom"/>
            <w:hideMark/>
          </w:tcPr>
          <w:p w14:paraId="7513CC85"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139A1037"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186CD83D"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3" w:type="pct"/>
            <w:tcBorders>
              <w:top w:val="nil"/>
              <w:left w:val="nil"/>
              <w:bottom w:val="single" w:sz="4" w:space="0" w:color="auto"/>
              <w:right w:val="single" w:sz="4" w:space="0" w:color="auto"/>
            </w:tcBorders>
            <w:shd w:val="clear" w:color="auto" w:fill="auto"/>
            <w:noWrap/>
            <w:vAlign w:val="center"/>
            <w:hideMark/>
          </w:tcPr>
          <w:p w14:paraId="22B04FDD"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680 </w:t>
            </w:r>
          </w:p>
        </w:tc>
      </w:tr>
      <w:tr w:rsidR="00F41043" w:rsidRPr="00F41043" w14:paraId="37E01355"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center"/>
            <w:hideMark/>
          </w:tcPr>
          <w:p w14:paraId="217EA887"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Receitas Diferidas</w:t>
            </w:r>
          </w:p>
        </w:tc>
        <w:tc>
          <w:tcPr>
            <w:tcW w:w="534" w:type="pct"/>
            <w:tcBorders>
              <w:top w:val="nil"/>
              <w:left w:val="nil"/>
              <w:bottom w:val="single" w:sz="4" w:space="0" w:color="auto"/>
              <w:right w:val="single" w:sz="4" w:space="0" w:color="auto"/>
            </w:tcBorders>
            <w:shd w:val="clear" w:color="auto" w:fill="auto"/>
            <w:noWrap/>
            <w:vAlign w:val="center"/>
            <w:hideMark/>
          </w:tcPr>
          <w:p w14:paraId="13141265"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383.047 </w:t>
            </w:r>
          </w:p>
        </w:tc>
        <w:tc>
          <w:tcPr>
            <w:tcW w:w="534" w:type="pct"/>
            <w:tcBorders>
              <w:top w:val="nil"/>
              <w:left w:val="nil"/>
              <w:bottom w:val="single" w:sz="4" w:space="0" w:color="auto"/>
              <w:right w:val="single" w:sz="4" w:space="0" w:color="auto"/>
            </w:tcBorders>
            <w:shd w:val="clear" w:color="auto" w:fill="auto"/>
            <w:noWrap/>
            <w:vAlign w:val="bottom"/>
            <w:hideMark/>
          </w:tcPr>
          <w:p w14:paraId="04126DE2"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520E2BA0"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bottom"/>
            <w:hideMark/>
          </w:tcPr>
          <w:p w14:paraId="04AC7FA1"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3" w:type="pct"/>
            <w:tcBorders>
              <w:top w:val="nil"/>
              <w:left w:val="nil"/>
              <w:bottom w:val="single" w:sz="4" w:space="0" w:color="auto"/>
              <w:right w:val="single" w:sz="4" w:space="0" w:color="auto"/>
            </w:tcBorders>
            <w:shd w:val="clear" w:color="auto" w:fill="auto"/>
            <w:noWrap/>
            <w:vAlign w:val="center"/>
            <w:hideMark/>
          </w:tcPr>
          <w:p w14:paraId="68A9098B"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383.047 </w:t>
            </w:r>
          </w:p>
        </w:tc>
      </w:tr>
      <w:tr w:rsidR="00F41043" w:rsidRPr="00F41043" w14:paraId="0C18EF69"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center"/>
            <w:hideMark/>
          </w:tcPr>
          <w:p w14:paraId="2A5264B2"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Recursos Capitalizáveis</w:t>
            </w:r>
          </w:p>
        </w:tc>
        <w:tc>
          <w:tcPr>
            <w:tcW w:w="534" w:type="pct"/>
            <w:tcBorders>
              <w:top w:val="nil"/>
              <w:left w:val="nil"/>
              <w:bottom w:val="single" w:sz="4" w:space="0" w:color="auto"/>
              <w:right w:val="single" w:sz="4" w:space="0" w:color="auto"/>
            </w:tcBorders>
            <w:shd w:val="clear" w:color="auto" w:fill="auto"/>
            <w:noWrap/>
            <w:vAlign w:val="center"/>
            <w:hideMark/>
          </w:tcPr>
          <w:p w14:paraId="35EDB8B6"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1.580.479 </w:t>
            </w:r>
          </w:p>
        </w:tc>
        <w:tc>
          <w:tcPr>
            <w:tcW w:w="534" w:type="pct"/>
            <w:tcBorders>
              <w:top w:val="nil"/>
              <w:left w:val="nil"/>
              <w:bottom w:val="single" w:sz="4" w:space="0" w:color="auto"/>
              <w:right w:val="single" w:sz="4" w:space="0" w:color="auto"/>
            </w:tcBorders>
            <w:shd w:val="clear" w:color="auto" w:fill="auto"/>
            <w:noWrap/>
            <w:vAlign w:val="center"/>
            <w:hideMark/>
          </w:tcPr>
          <w:p w14:paraId="7BD3F2DC"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64.960 </w:t>
            </w:r>
          </w:p>
        </w:tc>
        <w:tc>
          <w:tcPr>
            <w:tcW w:w="534" w:type="pct"/>
            <w:tcBorders>
              <w:top w:val="nil"/>
              <w:left w:val="nil"/>
              <w:bottom w:val="single" w:sz="4" w:space="0" w:color="auto"/>
              <w:right w:val="single" w:sz="4" w:space="0" w:color="auto"/>
            </w:tcBorders>
            <w:shd w:val="clear" w:color="auto" w:fill="auto"/>
            <w:noWrap/>
            <w:vAlign w:val="center"/>
            <w:hideMark/>
          </w:tcPr>
          <w:p w14:paraId="0D18CC79"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2.588 </w:t>
            </w:r>
          </w:p>
        </w:tc>
        <w:tc>
          <w:tcPr>
            <w:tcW w:w="534" w:type="pct"/>
            <w:tcBorders>
              <w:top w:val="nil"/>
              <w:left w:val="nil"/>
              <w:bottom w:val="single" w:sz="4" w:space="0" w:color="auto"/>
              <w:right w:val="single" w:sz="4" w:space="0" w:color="auto"/>
            </w:tcBorders>
            <w:shd w:val="clear" w:color="auto" w:fill="auto"/>
            <w:noWrap/>
            <w:vAlign w:val="center"/>
            <w:hideMark/>
          </w:tcPr>
          <w:p w14:paraId="0B68FCD3"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3" w:type="pct"/>
            <w:tcBorders>
              <w:top w:val="nil"/>
              <w:left w:val="nil"/>
              <w:bottom w:val="single" w:sz="4" w:space="0" w:color="auto"/>
              <w:right w:val="single" w:sz="4" w:space="0" w:color="auto"/>
            </w:tcBorders>
            <w:shd w:val="clear" w:color="auto" w:fill="auto"/>
            <w:noWrap/>
            <w:vAlign w:val="center"/>
            <w:hideMark/>
          </w:tcPr>
          <w:p w14:paraId="55B7ED56"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1.648.027 </w:t>
            </w:r>
          </w:p>
        </w:tc>
      </w:tr>
      <w:tr w:rsidR="00F41043" w:rsidRPr="00F41043" w14:paraId="043C8824"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center"/>
            <w:hideMark/>
          </w:tcPr>
          <w:p w14:paraId="33A54997"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Total do Não Circulante</w:t>
            </w:r>
          </w:p>
        </w:tc>
        <w:tc>
          <w:tcPr>
            <w:tcW w:w="534" w:type="pct"/>
            <w:tcBorders>
              <w:top w:val="nil"/>
              <w:left w:val="nil"/>
              <w:bottom w:val="single" w:sz="4" w:space="0" w:color="auto"/>
              <w:right w:val="single" w:sz="4" w:space="0" w:color="auto"/>
            </w:tcBorders>
            <w:shd w:val="clear" w:color="auto" w:fill="auto"/>
            <w:noWrap/>
            <w:vAlign w:val="center"/>
            <w:hideMark/>
          </w:tcPr>
          <w:p w14:paraId="6704F367"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2.344.586 </w:t>
            </w:r>
          </w:p>
        </w:tc>
        <w:tc>
          <w:tcPr>
            <w:tcW w:w="534" w:type="pct"/>
            <w:tcBorders>
              <w:top w:val="nil"/>
              <w:left w:val="nil"/>
              <w:bottom w:val="single" w:sz="4" w:space="0" w:color="auto"/>
              <w:right w:val="single" w:sz="4" w:space="0" w:color="auto"/>
            </w:tcBorders>
            <w:shd w:val="clear" w:color="auto" w:fill="auto"/>
            <w:noWrap/>
            <w:vAlign w:val="center"/>
            <w:hideMark/>
          </w:tcPr>
          <w:p w14:paraId="43FAB68C"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64.960 </w:t>
            </w:r>
          </w:p>
        </w:tc>
        <w:tc>
          <w:tcPr>
            <w:tcW w:w="534" w:type="pct"/>
            <w:tcBorders>
              <w:top w:val="nil"/>
              <w:left w:val="nil"/>
              <w:bottom w:val="single" w:sz="4" w:space="0" w:color="auto"/>
              <w:right w:val="single" w:sz="4" w:space="0" w:color="auto"/>
            </w:tcBorders>
            <w:shd w:val="clear" w:color="auto" w:fill="auto"/>
            <w:noWrap/>
            <w:vAlign w:val="center"/>
            <w:hideMark/>
          </w:tcPr>
          <w:p w14:paraId="0439E391"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2.588 </w:t>
            </w:r>
          </w:p>
        </w:tc>
        <w:tc>
          <w:tcPr>
            <w:tcW w:w="534" w:type="pct"/>
            <w:tcBorders>
              <w:top w:val="nil"/>
              <w:left w:val="nil"/>
              <w:bottom w:val="single" w:sz="4" w:space="0" w:color="auto"/>
              <w:right w:val="single" w:sz="4" w:space="0" w:color="auto"/>
            </w:tcBorders>
            <w:shd w:val="clear" w:color="auto" w:fill="auto"/>
            <w:noWrap/>
            <w:vAlign w:val="center"/>
            <w:hideMark/>
          </w:tcPr>
          <w:p w14:paraId="3BDBE8D3"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  </w:t>
            </w:r>
          </w:p>
        </w:tc>
        <w:tc>
          <w:tcPr>
            <w:tcW w:w="653" w:type="pct"/>
            <w:tcBorders>
              <w:top w:val="nil"/>
              <w:left w:val="nil"/>
              <w:bottom w:val="single" w:sz="4" w:space="0" w:color="auto"/>
              <w:right w:val="single" w:sz="4" w:space="0" w:color="auto"/>
            </w:tcBorders>
            <w:shd w:val="clear" w:color="auto" w:fill="auto"/>
            <w:noWrap/>
            <w:vAlign w:val="center"/>
            <w:hideMark/>
          </w:tcPr>
          <w:p w14:paraId="7E7FB480"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2.412.134 </w:t>
            </w:r>
          </w:p>
        </w:tc>
      </w:tr>
      <w:tr w:rsidR="00F41043" w:rsidRPr="00F41043" w14:paraId="30B50453"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vAlign w:val="center"/>
            <w:hideMark/>
          </w:tcPr>
          <w:p w14:paraId="213F8773"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Patrimônio Líquido</w:t>
            </w:r>
          </w:p>
        </w:tc>
        <w:tc>
          <w:tcPr>
            <w:tcW w:w="534" w:type="pct"/>
            <w:tcBorders>
              <w:top w:val="nil"/>
              <w:left w:val="nil"/>
              <w:bottom w:val="single" w:sz="4" w:space="0" w:color="auto"/>
              <w:right w:val="single" w:sz="4" w:space="0" w:color="auto"/>
            </w:tcBorders>
            <w:shd w:val="clear" w:color="auto" w:fill="auto"/>
            <w:noWrap/>
            <w:vAlign w:val="center"/>
            <w:hideMark/>
          </w:tcPr>
          <w:p w14:paraId="1D3C0D5D"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center"/>
            <w:hideMark/>
          </w:tcPr>
          <w:p w14:paraId="23D9604F"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center"/>
            <w:hideMark/>
          </w:tcPr>
          <w:p w14:paraId="65508107"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center"/>
            <w:hideMark/>
          </w:tcPr>
          <w:p w14:paraId="5C72CA93"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3" w:type="pct"/>
            <w:tcBorders>
              <w:top w:val="nil"/>
              <w:left w:val="nil"/>
              <w:bottom w:val="single" w:sz="4" w:space="0" w:color="auto"/>
              <w:right w:val="single" w:sz="4" w:space="0" w:color="auto"/>
            </w:tcBorders>
            <w:shd w:val="clear" w:color="auto" w:fill="auto"/>
            <w:noWrap/>
            <w:vAlign w:val="center"/>
            <w:hideMark/>
          </w:tcPr>
          <w:p w14:paraId="3AD24BDC"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r>
      <w:tr w:rsidR="00F41043" w:rsidRPr="00F41043" w14:paraId="294C992B"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center"/>
            <w:hideMark/>
          </w:tcPr>
          <w:p w14:paraId="2B73AFFB"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Capital Social</w:t>
            </w:r>
          </w:p>
        </w:tc>
        <w:tc>
          <w:tcPr>
            <w:tcW w:w="534" w:type="pct"/>
            <w:tcBorders>
              <w:top w:val="nil"/>
              <w:left w:val="nil"/>
              <w:bottom w:val="single" w:sz="4" w:space="0" w:color="auto"/>
              <w:right w:val="single" w:sz="4" w:space="0" w:color="auto"/>
            </w:tcBorders>
            <w:shd w:val="clear" w:color="auto" w:fill="auto"/>
            <w:noWrap/>
            <w:vAlign w:val="center"/>
            <w:hideMark/>
          </w:tcPr>
          <w:p w14:paraId="10330322"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3.107.339 </w:t>
            </w:r>
          </w:p>
        </w:tc>
        <w:tc>
          <w:tcPr>
            <w:tcW w:w="534" w:type="pct"/>
            <w:tcBorders>
              <w:top w:val="nil"/>
              <w:left w:val="nil"/>
              <w:bottom w:val="single" w:sz="4" w:space="0" w:color="auto"/>
              <w:right w:val="single" w:sz="4" w:space="0" w:color="auto"/>
            </w:tcBorders>
            <w:shd w:val="clear" w:color="auto" w:fill="auto"/>
            <w:noWrap/>
            <w:vAlign w:val="center"/>
            <w:hideMark/>
          </w:tcPr>
          <w:p w14:paraId="100BE5C1"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center"/>
            <w:hideMark/>
          </w:tcPr>
          <w:p w14:paraId="3379CBA5"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center"/>
            <w:hideMark/>
          </w:tcPr>
          <w:p w14:paraId="62864B10"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3" w:type="pct"/>
            <w:tcBorders>
              <w:top w:val="nil"/>
              <w:left w:val="nil"/>
              <w:bottom w:val="single" w:sz="4" w:space="0" w:color="auto"/>
              <w:right w:val="single" w:sz="4" w:space="0" w:color="auto"/>
            </w:tcBorders>
            <w:shd w:val="clear" w:color="auto" w:fill="auto"/>
            <w:noWrap/>
            <w:vAlign w:val="center"/>
            <w:hideMark/>
          </w:tcPr>
          <w:p w14:paraId="54FA81A6"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3.107.339 </w:t>
            </w:r>
          </w:p>
        </w:tc>
      </w:tr>
      <w:tr w:rsidR="00F41043" w:rsidRPr="00F41043" w14:paraId="4D508B91"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center"/>
            <w:hideMark/>
          </w:tcPr>
          <w:p w14:paraId="7A9CD49E"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Prejuízos Acumulados</w:t>
            </w:r>
          </w:p>
        </w:tc>
        <w:tc>
          <w:tcPr>
            <w:tcW w:w="534" w:type="pct"/>
            <w:tcBorders>
              <w:top w:val="nil"/>
              <w:left w:val="nil"/>
              <w:bottom w:val="single" w:sz="4" w:space="0" w:color="auto"/>
              <w:right w:val="single" w:sz="4" w:space="0" w:color="auto"/>
            </w:tcBorders>
            <w:shd w:val="clear" w:color="auto" w:fill="auto"/>
            <w:noWrap/>
            <w:vAlign w:val="center"/>
            <w:hideMark/>
          </w:tcPr>
          <w:p w14:paraId="6D95B4F8"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(1.709.848)</w:t>
            </w:r>
          </w:p>
        </w:tc>
        <w:tc>
          <w:tcPr>
            <w:tcW w:w="534" w:type="pct"/>
            <w:tcBorders>
              <w:top w:val="nil"/>
              <w:left w:val="nil"/>
              <w:bottom w:val="single" w:sz="4" w:space="0" w:color="auto"/>
              <w:right w:val="single" w:sz="4" w:space="0" w:color="auto"/>
            </w:tcBorders>
            <w:shd w:val="clear" w:color="auto" w:fill="auto"/>
            <w:noWrap/>
            <w:vAlign w:val="center"/>
            <w:hideMark/>
          </w:tcPr>
          <w:p w14:paraId="234C8CCD"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center"/>
            <w:hideMark/>
          </w:tcPr>
          <w:p w14:paraId="4AC24DF1"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center"/>
            <w:hideMark/>
          </w:tcPr>
          <w:p w14:paraId="1B34FC9B"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(67.548)</w:t>
            </w:r>
          </w:p>
        </w:tc>
        <w:tc>
          <w:tcPr>
            <w:tcW w:w="653" w:type="pct"/>
            <w:tcBorders>
              <w:top w:val="nil"/>
              <w:left w:val="nil"/>
              <w:bottom w:val="single" w:sz="4" w:space="0" w:color="auto"/>
              <w:right w:val="single" w:sz="4" w:space="0" w:color="auto"/>
            </w:tcBorders>
            <w:shd w:val="clear" w:color="auto" w:fill="auto"/>
            <w:noWrap/>
            <w:vAlign w:val="center"/>
            <w:hideMark/>
          </w:tcPr>
          <w:p w14:paraId="5ACB88EB"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(1.777.396)</w:t>
            </w:r>
          </w:p>
        </w:tc>
      </w:tr>
      <w:tr w:rsidR="00F41043" w:rsidRPr="00F41043" w14:paraId="213E9747"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center"/>
            <w:hideMark/>
          </w:tcPr>
          <w:p w14:paraId="26071E9B"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Ajuste de Avaliação Patrimonial</w:t>
            </w:r>
          </w:p>
        </w:tc>
        <w:tc>
          <w:tcPr>
            <w:tcW w:w="534" w:type="pct"/>
            <w:tcBorders>
              <w:top w:val="nil"/>
              <w:left w:val="nil"/>
              <w:bottom w:val="single" w:sz="4" w:space="0" w:color="auto"/>
              <w:right w:val="single" w:sz="4" w:space="0" w:color="auto"/>
            </w:tcBorders>
            <w:shd w:val="clear" w:color="auto" w:fill="auto"/>
            <w:noWrap/>
            <w:vAlign w:val="center"/>
            <w:hideMark/>
          </w:tcPr>
          <w:p w14:paraId="7A2DED7B"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33.378 </w:t>
            </w:r>
          </w:p>
        </w:tc>
        <w:tc>
          <w:tcPr>
            <w:tcW w:w="534" w:type="pct"/>
            <w:tcBorders>
              <w:top w:val="nil"/>
              <w:left w:val="nil"/>
              <w:bottom w:val="single" w:sz="4" w:space="0" w:color="auto"/>
              <w:right w:val="single" w:sz="4" w:space="0" w:color="auto"/>
            </w:tcBorders>
            <w:shd w:val="clear" w:color="auto" w:fill="auto"/>
            <w:noWrap/>
            <w:vAlign w:val="center"/>
            <w:hideMark/>
          </w:tcPr>
          <w:p w14:paraId="4EFC8B55"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center"/>
            <w:hideMark/>
          </w:tcPr>
          <w:p w14:paraId="497A1B43"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center"/>
            <w:hideMark/>
          </w:tcPr>
          <w:p w14:paraId="6C74BBF1"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3" w:type="pct"/>
            <w:tcBorders>
              <w:top w:val="nil"/>
              <w:left w:val="nil"/>
              <w:bottom w:val="single" w:sz="4" w:space="0" w:color="auto"/>
              <w:right w:val="single" w:sz="4" w:space="0" w:color="auto"/>
            </w:tcBorders>
            <w:shd w:val="clear" w:color="auto" w:fill="auto"/>
            <w:noWrap/>
            <w:vAlign w:val="center"/>
            <w:hideMark/>
          </w:tcPr>
          <w:p w14:paraId="555B0E40"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33.378 </w:t>
            </w:r>
          </w:p>
        </w:tc>
      </w:tr>
      <w:tr w:rsidR="00F41043" w:rsidRPr="00F41043" w14:paraId="761C1A0D"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center"/>
            <w:hideMark/>
          </w:tcPr>
          <w:p w14:paraId="793E3317"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Ações em Tesouraria</w:t>
            </w:r>
          </w:p>
        </w:tc>
        <w:tc>
          <w:tcPr>
            <w:tcW w:w="534" w:type="pct"/>
            <w:tcBorders>
              <w:top w:val="nil"/>
              <w:left w:val="nil"/>
              <w:bottom w:val="single" w:sz="4" w:space="0" w:color="auto"/>
              <w:right w:val="single" w:sz="4" w:space="0" w:color="auto"/>
            </w:tcBorders>
            <w:shd w:val="clear" w:color="auto" w:fill="auto"/>
            <w:noWrap/>
            <w:vAlign w:val="center"/>
            <w:hideMark/>
          </w:tcPr>
          <w:p w14:paraId="623AF150"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(111)</w:t>
            </w:r>
          </w:p>
        </w:tc>
        <w:tc>
          <w:tcPr>
            <w:tcW w:w="534" w:type="pct"/>
            <w:tcBorders>
              <w:top w:val="nil"/>
              <w:left w:val="nil"/>
              <w:bottom w:val="single" w:sz="4" w:space="0" w:color="auto"/>
              <w:right w:val="single" w:sz="4" w:space="0" w:color="auto"/>
            </w:tcBorders>
            <w:shd w:val="clear" w:color="auto" w:fill="auto"/>
            <w:noWrap/>
            <w:vAlign w:val="center"/>
            <w:hideMark/>
          </w:tcPr>
          <w:p w14:paraId="0A4882ED"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center"/>
            <w:hideMark/>
          </w:tcPr>
          <w:p w14:paraId="1AD3710D"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34" w:type="pct"/>
            <w:tcBorders>
              <w:top w:val="nil"/>
              <w:left w:val="nil"/>
              <w:bottom w:val="single" w:sz="4" w:space="0" w:color="auto"/>
              <w:right w:val="single" w:sz="4" w:space="0" w:color="auto"/>
            </w:tcBorders>
            <w:shd w:val="clear" w:color="auto" w:fill="auto"/>
            <w:noWrap/>
            <w:vAlign w:val="center"/>
            <w:hideMark/>
          </w:tcPr>
          <w:p w14:paraId="3CA4C6FB"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3" w:type="pct"/>
            <w:tcBorders>
              <w:top w:val="nil"/>
              <w:left w:val="nil"/>
              <w:bottom w:val="single" w:sz="4" w:space="0" w:color="auto"/>
              <w:right w:val="single" w:sz="4" w:space="0" w:color="auto"/>
            </w:tcBorders>
            <w:shd w:val="clear" w:color="auto" w:fill="auto"/>
            <w:noWrap/>
            <w:vAlign w:val="center"/>
            <w:hideMark/>
          </w:tcPr>
          <w:p w14:paraId="18725B0F"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(111)</w:t>
            </w:r>
          </w:p>
        </w:tc>
      </w:tr>
      <w:tr w:rsidR="00F41043" w:rsidRPr="00F41043" w14:paraId="040BFA17"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center"/>
            <w:hideMark/>
          </w:tcPr>
          <w:p w14:paraId="2F204921"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Total do Patrimônio Líquido</w:t>
            </w:r>
          </w:p>
        </w:tc>
        <w:tc>
          <w:tcPr>
            <w:tcW w:w="534" w:type="pct"/>
            <w:tcBorders>
              <w:top w:val="nil"/>
              <w:left w:val="nil"/>
              <w:bottom w:val="single" w:sz="4" w:space="0" w:color="auto"/>
              <w:right w:val="single" w:sz="4" w:space="0" w:color="auto"/>
            </w:tcBorders>
            <w:shd w:val="clear" w:color="auto" w:fill="auto"/>
            <w:noWrap/>
            <w:vAlign w:val="center"/>
            <w:hideMark/>
          </w:tcPr>
          <w:p w14:paraId="04A239C1"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1.430.758 </w:t>
            </w:r>
          </w:p>
        </w:tc>
        <w:tc>
          <w:tcPr>
            <w:tcW w:w="534" w:type="pct"/>
            <w:tcBorders>
              <w:top w:val="nil"/>
              <w:left w:val="nil"/>
              <w:bottom w:val="single" w:sz="4" w:space="0" w:color="auto"/>
              <w:right w:val="single" w:sz="4" w:space="0" w:color="auto"/>
            </w:tcBorders>
            <w:shd w:val="clear" w:color="auto" w:fill="auto"/>
            <w:noWrap/>
            <w:vAlign w:val="center"/>
            <w:hideMark/>
          </w:tcPr>
          <w:p w14:paraId="5E8E4E85"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  </w:t>
            </w:r>
          </w:p>
        </w:tc>
        <w:tc>
          <w:tcPr>
            <w:tcW w:w="534" w:type="pct"/>
            <w:tcBorders>
              <w:top w:val="nil"/>
              <w:left w:val="nil"/>
              <w:bottom w:val="single" w:sz="4" w:space="0" w:color="auto"/>
              <w:right w:val="single" w:sz="4" w:space="0" w:color="auto"/>
            </w:tcBorders>
            <w:shd w:val="clear" w:color="auto" w:fill="auto"/>
            <w:noWrap/>
            <w:vAlign w:val="center"/>
            <w:hideMark/>
          </w:tcPr>
          <w:p w14:paraId="14672101"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  </w:t>
            </w:r>
          </w:p>
        </w:tc>
        <w:tc>
          <w:tcPr>
            <w:tcW w:w="534" w:type="pct"/>
            <w:tcBorders>
              <w:top w:val="nil"/>
              <w:left w:val="nil"/>
              <w:bottom w:val="single" w:sz="4" w:space="0" w:color="auto"/>
              <w:right w:val="single" w:sz="4" w:space="0" w:color="auto"/>
            </w:tcBorders>
            <w:shd w:val="clear" w:color="auto" w:fill="auto"/>
            <w:noWrap/>
            <w:vAlign w:val="center"/>
            <w:hideMark/>
          </w:tcPr>
          <w:p w14:paraId="5369F14A"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(67.548)</w:t>
            </w:r>
          </w:p>
        </w:tc>
        <w:tc>
          <w:tcPr>
            <w:tcW w:w="653" w:type="pct"/>
            <w:tcBorders>
              <w:top w:val="nil"/>
              <w:left w:val="nil"/>
              <w:bottom w:val="single" w:sz="4" w:space="0" w:color="auto"/>
              <w:right w:val="single" w:sz="4" w:space="0" w:color="auto"/>
            </w:tcBorders>
            <w:shd w:val="clear" w:color="auto" w:fill="auto"/>
            <w:noWrap/>
            <w:vAlign w:val="center"/>
            <w:hideMark/>
          </w:tcPr>
          <w:p w14:paraId="225A7A21"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1.363.210 </w:t>
            </w:r>
          </w:p>
        </w:tc>
      </w:tr>
      <w:tr w:rsidR="00F41043" w:rsidRPr="00F41043" w14:paraId="6DF0B758" w14:textId="77777777" w:rsidTr="00446A14">
        <w:trPr>
          <w:trHeight w:val="198"/>
        </w:trPr>
        <w:tc>
          <w:tcPr>
            <w:tcW w:w="2212" w:type="pct"/>
            <w:tcBorders>
              <w:top w:val="nil"/>
              <w:left w:val="single" w:sz="4" w:space="0" w:color="auto"/>
              <w:bottom w:val="single" w:sz="4" w:space="0" w:color="auto"/>
              <w:right w:val="single" w:sz="4" w:space="0" w:color="auto"/>
            </w:tcBorders>
            <w:shd w:val="clear" w:color="auto" w:fill="auto"/>
            <w:noWrap/>
            <w:vAlign w:val="center"/>
            <w:hideMark/>
          </w:tcPr>
          <w:p w14:paraId="5A85FD60"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Total do Passivo</w:t>
            </w:r>
          </w:p>
        </w:tc>
        <w:tc>
          <w:tcPr>
            <w:tcW w:w="534" w:type="pct"/>
            <w:tcBorders>
              <w:top w:val="nil"/>
              <w:left w:val="nil"/>
              <w:bottom w:val="single" w:sz="4" w:space="0" w:color="auto"/>
              <w:right w:val="single" w:sz="4" w:space="0" w:color="auto"/>
            </w:tcBorders>
            <w:shd w:val="clear" w:color="auto" w:fill="auto"/>
            <w:noWrap/>
            <w:vAlign w:val="center"/>
            <w:hideMark/>
          </w:tcPr>
          <w:p w14:paraId="61562E7B"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4.099.054 </w:t>
            </w:r>
          </w:p>
        </w:tc>
        <w:tc>
          <w:tcPr>
            <w:tcW w:w="534" w:type="pct"/>
            <w:tcBorders>
              <w:top w:val="nil"/>
              <w:left w:val="nil"/>
              <w:bottom w:val="single" w:sz="4" w:space="0" w:color="auto"/>
              <w:right w:val="single" w:sz="4" w:space="0" w:color="auto"/>
            </w:tcBorders>
            <w:shd w:val="clear" w:color="auto" w:fill="auto"/>
            <w:noWrap/>
            <w:vAlign w:val="center"/>
            <w:hideMark/>
          </w:tcPr>
          <w:p w14:paraId="42420005"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64.960 </w:t>
            </w:r>
          </w:p>
        </w:tc>
        <w:tc>
          <w:tcPr>
            <w:tcW w:w="534" w:type="pct"/>
            <w:tcBorders>
              <w:top w:val="nil"/>
              <w:left w:val="nil"/>
              <w:bottom w:val="single" w:sz="4" w:space="0" w:color="auto"/>
              <w:right w:val="single" w:sz="4" w:space="0" w:color="auto"/>
            </w:tcBorders>
            <w:shd w:val="clear" w:color="auto" w:fill="auto"/>
            <w:noWrap/>
            <w:vAlign w:val="center"/>
            <w:hideMark/>
          </w:tcPr>
          <w:p w14:paraId="7907A9C3"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2.588 </w:t>
            </w:r>
          </w:p>
        </w:tc>
        <w:tc>
          <w:tcPr>
            <w:tcW w:w="534" w:type="pct"/>
            <w:tcBorders>
              <w:top w:val="nil"/>
              <w:left w:val="nil"/>
              <w:bottom w:val="single" w:sz="4" w:space="0" w:color="auto"/>
              <w:right w:val="single" w:sz="4" w:space="0" w:color="auto"/>
            </w:tcBorders>
            <w:shd w:val="clear" w:color="auto" w:fill="auto"/>
            <w:noWrap/>
            <w:vAlign w:val="center"/>
            <w:hideMark/>
          </w:tcPr>
          <w:p w14:paraId="360897E6"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(67.548)</w:t>
            </w:r>
          </w:p>
        </w:tc>
        <w:tc>
          <w:tcPr>
            <w:tcW w:w="653" w:type="pct"/>
            <w:tcBorders>
              <w:top w:val="nil"/>
              <w:left w:val="nil"/>
              <w:bottom w:val="single" w:sz="4" w:space="0" w:color="auto"/>
              <w:right w:val="single" w:sz="4" w:space="0" w:color="auto"/>
            </w:tcBorders>
            <w:shd w:val="clear" w:color="auto" w:fill="auto"/>
            <w:noWrap/>
            <w:vAlign w:val="center"/>
            <w:hideMark/>
          </w:tcPr>
          <w:p w14:paraId="02B8285A"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4.099.054 </w:t>
            </w:r>
          </w:p>
        </w:tc>
      </w:tr>
    </w:tbl>
    <w:p w14:paraId="1FC224F5" w14:textId="468E56A3" w:rsidR="00F41043" w:rsidRPr="00F41043" w:rsidRDefault="00F41043" w:rsidP="007A23F8">
      <w:pPr>
        <w:spacing w:after="0" w:line="240" w:lineRule="auto"/>
        <w:jc w:val="both"/>
        <w:rPr>
          <w:rFonts w:ascii="Calibri" w:eastAsia="Times New Roman" w:hAnsi="Calibri" w:cs="Calibri"/>
          <w:iCs/>
          <w:color w:val="002060"/>
          <w:kern w:val="0"/>
          <w14:ligatures w14:val="none"/>
        </w:rPr>
      </w:pPr>
      <w:r w:rsidRPr="00F41043">
        <w:rPr>
          <w:rFonts w:ascii="Calibri" w:eastAsia="Times New Roman" w:hAnsi="Calibri" w:cs="Calibri"/>
          <w:iCs/>
          <w:color w:val="002060"/>
          <w:kern w:val="0"/>
          <w14:ligatures w14:val="none"/>
        </w:rPr>
        <w:t>i) Refere-se aos valores recebidos relativos às Subvenções para Investimentos (aplicações no ativo imobilizado) no exercício de 2020 e 2021, que haviam sido reconhecidos em “Outras Receitas Operacionais” naquele ano.</w:t>
      </w:r>
    </w:p>
    <w:p w14:paraId="7696AF64" w14:textId="77777777" w:rsidR="00F41043" w:rsidRPr="00F41043" w:rsidRDefault="00F41043" w:rsidP="007A23F8">
      <w:pPr>
        <w:spacing w:after="0" w:line="240" w:lineRule="auto"/>
        <w:jc w:val="both"/>
        <w:rPr>
          <w:rFonts w:ascii="Calibri" w:eastAsia="Times New Roman" w:hAnsi="Calibri" w:cs="Calibri"/>
          <w:iCs/>
          <w:color w:val="002060"/>
          <w:kern w:val="0"/>
          <w14:ligatures w14:val="none"/>
        </w:rPr>
      </w:pPr>
      <w:proofErr w:type="spellStart"/>
      <w:r w:rsidRPr="00F41043">
        <w:rPr>
          <w:rFonts w:ascii="Calibri" w:eastAsia="Times New Roman" w:hAnsi="Calibri" w:cs="Calibri"/>
          <w:iCs/>
          <w:color w:val="002060"/>
          <w:kern w:val="0"/>
          <w14:ligatures w14:val="none"/>
        </w:rPr>
        <w:t>ii</w:t>
      </w:r>
      <w:proofErr w:type="spellEnd"/>
      <w:r w:rsidRPr="00F41043">
        <w:rPr>
          <w:rFonts w:ascii="Calibri" w:eastAsia="Times New Roman" w:hAnsi="Calibri" w:cs="Calibri"/>
          <w:iCs/>
          <w:color w:val="002060"/>
          <w:kern w:val="0"/>
          <w14:ligatures w14:val="none"/>
        </w:rPr>
        <w:t xml:space="preserve">) Representa os Juros reconhecidos quando da adoção da nova política contábil, a qual, alterou a forma de registro das Subvenções para Investimentos do resultado do exercício para o Passivo Exigível, a Telebras passou a reconhecer juros sobre aos valores de AFAC. </w:t>
      </w:r>
    </w:p>
    <w:p w14:paraId="0464D221" w14:textId="77777777" w:rsidR="00F41043" w:rsidRDefault="00F41043" w:rsidP="007A23F8">
      <w:pPr>
        <w:spacing w:after="0" w:line="240" w:lineRule="auto"/>
        <w:jc w:val="both"/>
        <w:rPr>
          <w:rFonts w:ascii="Calibri" w:eastAsia="Times New Roman" w:hAnsi="Calibri" w:cs="Calibri"/>
          <w:iCs/>
          <w:color w:val="002060"/>
          <w:kern w:val="0"/>
          <w14:ligatures w14:val="none"/>
        </w:rPr>
      </w:pPr>
      <w:proofErr w:type="spellStart"/>
      <w:r w:rsidRPr="00F41043">
        <w:rPr>
          <w:rFonts w:ascii="Calibri" w:eastAsia="Times New Roman" w:hAnsi="Calibri" w:cs="Calibri"/>
          <w:iCs/>
          <w:color w:val="002060"/>
          <w:kern w:val="0"/>
          <w14:ligatures w14:val="none"/>
        </w:rPr>
        <w:t>iii</w:t>
      </w:r>
      <w:proofErr w:type="spellEnd"/>
      <w:r w:rsidRPr="00F41043">
        <w:rPr>
          <w:rFonts w:ascii="Calibri" w:eastAsia="Times New Roman" w:hAnsi="Calibri" w:cs="Calibri"/>
          <w:iCs/>
          <w:color w:val="002060"/>
          <w:kern w:val="0"/>
          <w14:ligatures w14:val="none"/>
        </w:rPr>
        <w:t xml:space="preserve">) Trata-se do efeito dos recursos recebidos de Subvenções para Investimentos (Aplicação do Ativo Imobilizado) e que foram reclassificados para o Passivo Exigível (AFAC). </w:t>
      </w:r>
    </w:p>
    <w:p w14:paraId="7A9FCEEF" w14:textId="17E1C34C" w:rsidR="00F41043" w:rsidRPr="00F41043" w:rsidRDefault="00F41043" w:rsidP="007A23F8">
      <w:pPr>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3.2.2. </w:t>
      </w:r>
      <w:r w:rsidRPr="00F41043">
        <w:rPr>
          <w:rFonts w:ascii="Calibri" w:eastAsia="Times New Roman" w:hAnsi="Calibri" w:cs="Calibri"/>
          <w:b/>
          <w:bCs/>
          <w:iCs/>
          <w:color w:val="002060"/>
          <w:kern w:val="0"/>
          <w14:ligatures w14:val="none"/>
        </w:rPr>
        <w:t>Conciliação do Patrimônio Líquido</w:t>
      </w:r>
    </w:p>
    <w:tbl>
      <w:tblPr>
        <w:tblW w:w="5000" w:type="pct"/>
        <w:tblCellMar>
          <w:left w:w="70" w:type="dxa"/>
          <w:right w:w="70" w:type="dxa"/>
        </w:tblCellMar>
        <w:tblLook w:val="04A0" w:firstRow="1" w:lastRow="0" w:firstColumn="1" w:lastColumn="0" w:noHBand="0" w:noVBand="1"/>
      </w:tblPr>
      <w:tblGrid>
        <w:gridCol w:w="5072"/>
        <w:gridCol w:w="1175"/>
        <w:gridCol w:w="1176"/>
        <w:gridCol w:w="1174"/>
        <w:gridCol w:w="1174"/>
      </w:tblGrid>
      <w:tr w:rsidR="00F41043" w:rsidRPr="00F41043" w14:paraId="1E669666" w14:textId="77777777" w:rsidTr="00446A14">
        <w:trPr>
          <w:trHeight w:val="198"/>
        </w:trPr>
        <w:tc>
          <w:tcPr>
            <w:tcW w:w="2595" w:type="pct"/>
            <w:tcBorders>
              <w:top w:val="single" w:sz="4" w:space="0" w:color="auto"/>
              <w:left w:val="single" w:sz="4" w:space="0" w:color="auto"/>
              <w:bottom w:val="single" w:sz="4" w:space="0" w:color="auto"/>
              <w:right w:val="nil"/>
            </w:tcBorders>
            <w:shd w:val="clear" w:color="auto" w:fill="auto"/>
            <w:noWrap/>
            <w:vAlign w:val="bottom"/>
            <w:hideMark/>
          </w:tcPr>
          <w:p w14:paraId="376B0967"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Patrimônio Líquido Divulgado em 31/12/2021</w:t>
            </w:r>
          </w:p>
        </w:tc>
        <w:tc>
          <w:tcPr>
            <w:tcW w:w="601" w:type="pct"/>
            <w:tcBorders>
              <w:top w:val="single" w:sz="4" w:space="0" w:color="auto"/>
              <w:left w:val="nil"/>
              <w:bottom w:val="single" w:sz="4" w:space="0" w:color="auto"/>
              <w:right w:val="nil"/>
            </w:tcBorders>
            <w:shd w:val="clear" w:color="auto" w:fill="auto"/>
            <w:noWrap/>
            <w:vAlign w:val="bottom"/>
            <w:hideMark/>
          </w:tcPr>
          <w:p w14:paraId="20548412"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w:t>
            </w:r>
          </w:p>
        </w:tc>
        <w:tc>
          <w:tcPr>
            <w:tcW w:w="602" w:type="pct"/>
            <w:tcBorders>
              <w:top w:val="single" w:sz="4" w:space="0" w:color="auto"/>
              <w:left w:val="nil"/>
              <w:bottom w:val="single" w:sz="4" w:space="0" w:color="auto"/>
              <w:right w:val="nil"/>
            </w:tcBorders>
            <w:shd w:val="clear" w:color="auto" w:fill="auto"/>
            <w:noWrap/>
            <w:vAlign w:val="bottom"/>
            <w:hideMark/>
          </w:tcPr>
          <w:p w14:paraId="655B5D3C"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w:t>
            </w:r>
          </w:p>
        </w:tc>
        <w:tc>
          <w:tcPr>
            <w:tcW w:w="601" w:type="pct"/>
            <w:tcBorders>
              <w:top w:val="single" w:sz="4" w:space="0" w:color="auto"/>
              <w:left w:val="nil"/>
              <w:bottom w:val="single" w:sz="4" w:space="0" w:color="auto"/>
              <w:right w:val="nil"/>
            </w:tcBorders>
            <w:shd w:val="clear" w:color="auto" w:fill="auto"/>
            <w:noWrap/>
            <w:vAlign w:val="bottom"/>
            <w:hideMark/>
          </w:tcPr>
          <w:p w14:paraId="7D14B790"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w:t>
            </w:r>
          </w:p>
        </w:tc>
        <w:tc>
          <w:tcPr>
            <w:tcW w:w="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2F751"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1.430.758 </w:t>
            </w:r>
          </w:p>
        </w:tc>
      </w:tr>
      <w:tr w:rsidR="00F41043" w:rsidRPr="00F41043" w14:paraId="3445E0F1" w14:textId="77777777" w:rsidTr="00446A14">
        <w:trPr>
          <w:trHeight w:val="198"/>
        </w:trPr>
        <w:tc>
          <w:tcPr>
            <w:tcW w:w="2595" w:type="pct"/>
            <w:tcBorders>
              <w:top w:val="nil"/>
              <w:left w:val="single" w:sz="4" w:space="0" w:color="auto"/>
              <w:bottom w:val="single" w:sz="4" w:space="0" w:color="auto"/>
              <w:right w:val="nil"/>
            </w:tcBorders>
            <w:shd w:val="clear" w:color="auto" w:fill="auto"/>
            <w:noWrap/>
            <w:vAlign w:val="bottom"/>
            <w:hideMark/>
          </w:tcPr>
          <w:p w14:paraId="60A494D4"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Ajustes:</w:t>
            </w:r>
          </w:p>
        </w:tc>
        <w:tc>
          <w:tcPr>
            <w:tcW w:w="601" w:type="pct"/>
            <w:tcBorders>
              <w:top w:val="nil"/>
              <w:left w:val="nil"/>
              <w:bottom w:val="single" w:sz="4" w:space="0" w:color="auto"/>
              <w:right w:val="nil"/>
            </w:tcBorders>
            <w:shd w:val="clear" w:color="auto" w:fill="auto"/>
            <w:noWrap/>
            <w:vAlign w:val="bottom"/>
            <w:hideMark/>
          </w:tcPr>
          <w:p w14:paraId="24EE77B0"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02" w:type="pct"/>
            <w:tcBorders>
              <w:top w:val="nil"/>
              <w:left w:val="nil"/>
              <w:bottom w:val="single" w:sz="4" w:space="0" w:color="auto"/>
              <w:right w:val="nil"/>
            </w:tcBorders>
            <w:shd w:val="clear" w:color="auto" w:fill="auto"/>
            <w:noWrap/>
            <w:vAlign w:val="bottom"/>
            <w:hideMark/>
          </w:tcPr>
          <w:p w14:paraId="6B725947"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01" w:type="pct"/>
            <w:tcBorders>
              <w:top w:val="nil"/>
              <w:left w:val="nil"/>
              <w:bottom w:val="single" w:sz="4" w:space="0" w:color="auto"/>
              <w:right w:val="single" w:sz="4" w:space="0" w:color="auto"/>
            </w:tcBorders>
            <w:shd w:val="clear" w:color="auto" w:fill="auto"/>
            <w:noWrap/>
            <w:vAlign w:val="bottom"/>
            <w:hideMark/>
          </w:tcPr>
          <w:p w14:paraId="1CD7D76E"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01" w:type="pct"/>
            <w:tcBorders>
              <w:top w:val="nil"/>
              <w:left w:val="nil"/>
              <w:bottom w:val="single" w:sz="4" w:space="0" w:color="auto"/>
              <w:right w:val="single" w:sz="4" w:space="0" w:color="auto"/>
            </w:tcBorders>
            <w:shd w:val="clear" w:color="auto" w:fill="auto"/>
            <w:noWrap/>
            <w:vAlign w:val="bottom"/>
            <w:hideMark/>
          </w:tcPr>
          <w:p w14:paraId="1F705A53"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r>
      <w:tr w:rsidR="00F41043" w:rsidRPr="00F41043" w14:paraId="6BCA86DC" w14:textId="77777777" w:rsidTr="00446A14">
        <w:trPr>
          <w:trHeight w:val="198"/>
        </w:trPr>
        <w:tc>
          <w:tcPr>
            <w:tcW w:w="3798" w:type="pct"/>
            <w:gridSpan w:val="3"/>
            <w:tcBorders>
              <w:top w:val="single" w:sz="4" w:space="0" w:color="auto"/>
              <w:left w:val="single" w:sz="4" w:space="0" w:color="auto"/>
              <w:bottom w:val="single" w:sz="4" w:space="0" w:color="auto"/>
              <w:right w:val="nil"/>
            </w:tcBorders>
            <w:shd w:val="clear" w:color="auto" w:fill="auto"/>
            <w:noWrap/>
            <w:vAlign w:val="bottom"/>
            <w:hideMark/>
          </w:tcPr>
          <w:p w14:paraId="77D35FA1"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Subvenções para Investimentos recebidas em 2021 </w:t>
            </w:r>
            <w:proofErr w:type="gramStart"/>
            <w:r w:rsidRPr="00F41043">
              <w:rPr>
                <w:rFonts w:ascii="Arial" w:eastAsia="Times New Roman" w:hAnsi="Arial" w:cs="Arial"/>
                <w:color w:val="000000"/>
                <w:kern w:val="0"/>
                <w:sz w:val="14"/>
                <w:szCs w:val="14"/>
                <w:lang w:eastAsia="pt-BR"/>
                <w14:ligatures w14:val="none"/>
              </w:rPr>
              <w:t>e Reclassificadas</w:t>
            </w:r>
            <w:proofErr w:type="gramEnd"/>
            <w:r w:rsidRPr="00F41043">
              <w:rPr>
                <w:rFonts w:ascii="Arial" w:eastAsia="Times New Roman" w:hAnsi="Arial" w:cs="Arial"/>
                <w:color w:val="000000"/>
                <w:kern w:val="0"/>
                <w:sz w:val="14"/>
                <w:szCs w:val="14"/>
                <w:lang w:eastAsia="pt-BR"/>
                <w14:ligatures w14:val="none"/>
              </w:rPr>
              <w:t xml:space="preserve"> para o Passivo Exigível</w:t>
            </w:r>
          </w:p>
        </w:tc>
        <w:tc>
          <w:tcPr>
            <w:tcW w:w="601" w:type="pct"/>
            <w:tcBorders>
              <w:top w:val="nil"/>
              <w:left w:val="nil"/>
              <w:bottom w:val="single" w:sz="4" w:space="0" w:color="auto"/>
              <w:right w:val="single" w:sz="4" w:space="0" w:color="auto"/>
            </w:tcBorders>
            <w:shd w:val="clear" w:color="auto" w:fill="auto"/>
            <w:noWrap/>
            <w:vAlign w:val="bottom"/>
            <w:hideMark/>
          </w:tcPr>
          <w:p w14:paraId="03089AC7"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01" w:type="pct"/>
            <w:tcBorders>
              <w:top w:val="nil"/>
              <w:left w:val="nil"/>
              <w:bottom w:val="single" w:sz="4" w:space="0" w:color="auto"/>
              <w:right w:val="single" w:sz="4" w:space="0" w:color="auto"/>
            </w:tcBorders>
            <w:shd w:val="clear" w:color="auto" w:fill="auto"/>
            <w:noWrap/>
            <w:vAlign w:val="bottom"/>
            <w:hideMark/>
          </w:tcPr>
          <w:p w14:paraId="7C267E5C"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(33.803)</w:t>
            </w:r>
          </w:p>
        </w:tc>
      </w:tr>
      <w:tr w:rsidR="00F41043" w:rsidRPr="00F41043" w14:paraId="43116A7E" w14:textId="77777777" w:rsidTr="00446A14">
        <w:trPr>
          <w:trHeight w:val="198"/>
        </w:trPr>
        <w:tc>
          <w:tcPr>
            <w:tcW w:w="3798" w:type="pct"/>
            <w:gridSpan w:val="3"/>
            <w:tcBorders>
              <w:top w:val="single" w:sz="4" w:space="0" w:color="auto"/>
              <w:left w:val="single" w:sz="4" w:space="0" w:color="auto"/>
              <w:bottom w:val="single" w:sz="4" w:space="0" w:color="auto"/>
              <w:right w:val="nil"/>
            </w:tcBorders>
            <w:shd w:val="clear" w:color="auto" w:fill="auto"/>
            <w:noWrap/>
            <w:vAlign w:val="bottom"/>
            <w:hideMark/>
          </w:tcPr>
          <w:p w14:paraId="53A48501"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Subvenções para Investimentos recebidas em 2020 </w:t>
            </w:r>
            <w:proofErr w:type="gramStart"/>
            <w:r w:rsidRPr="00F41043">
              <w:rPr>
                <w:rFonts w:ascii="Arial" w:eastAsia="Times New Roman" w:hAnsi="Arial" w:cs="Arial"/>
                <w:color w:val="000000"/>
                <w:kern w:val="0"/>
                <w:sz w:val="14"/>
                <w:szCs w:val="14"/>
                <w:lang w:eastAsia="pt-BR"/>
                <w14:ligatures w14:val="none"/>
              </w:rPr>
              <w:t>e Reclassificadas</w:t>
            </w:r>
            <w:proofErr w:type="gramEnd"/>
            <w:r w:rsidRPr="00F41043">
              <w:rPr>
                <w:rFonts w:ascii="Arial" w:eastAsia="Times New Roman" w:hAnsi="Arial" w:cs="Arial"/>
                <w:color w:val="000000"/>
                <w:kern w:val="0"/>
                <w:sz w:val="14"/>
                <w:szCs w:val="14"/>
                <w:lang w:eastAsia="pt-BR"/>
                <w14:ligatures w14:val="none"/>
              </w:rPr>
              <w:t xml:space="preserve"> para o Passivo Exigível</w:t>
            </w:r>
          </w:p>
        </w:tc>
        <w:tc>
          <w:tcPr>
            <w:tcW w:w="601" w:type="pct"/>
            <w:tcBorders>
              <w:top w:val="nil"/>
              <w:left w:val="nil"/>
              <w:bottom w:val="single" w:sz="4" w:space="0" w:color="auto"/>
              <w:right w:val="single" w:sz="4" w:space="0" w:color="auto"/>
            </w:tcBorders>
            <w:shd w:val="clear" w:color="auto" w:fill="auto"/>
            <w:noWrap/>
            <w:vAlign w:val="bottom"/>
            <w:hideMark/>
          </w:tcPr>
          <w:p w14:paraId="698F6488"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01" w:type="pct"/>
            <w:tcBorders>
              <w:top w:val="nil"/>
              <w:left w:val="nil"/>
              <w:bottom w:val="single" w:sz="4" w:space="0" w:color="auto"/>
              <w:right w:val="single" w:sz="4" w:space="0" w:color="auto"/>
            </w:tcBorders>
            <w:shd w:val="clear" w:color="auto" w:fill="auto"/>
            <w:noWrap/>
            <w:vAlign w:val="bottom"/>
            <w:hideMark/>
          </w:tcPr>
          <w:p w14:paraId="3D10A832"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(31.157)</w:t>
            </w:r>
          </w:p>
        </w:tc>
      </w:tr>
      <w:tr w:rsidR="00F41043" w:rsidRPr="00F41043" w14:paraId="52644DF7" w14:textId="77777777" w:rsidTr="00446A14">
        <w:trPr>
          <w:trHeight w:val="198"/>
        </w:trPr>
        <w:tc>
          <w:tcPr>
            <w:tcW w:w="2595" w:type="pct"/>
            <w:tcBorders>
              <w:top w:val="nil"/>
              <w:left w:val="single" w:sz="4" w:space="0" w:color="auto"/>
              <w:bottom w:val="single" w:sz="4" w:space="0" w:color="auto"/>
              <w:right w:val="nil"/>
            </w:tcBorders>
            <w:shd w:val="clear" w:color="auto" w:fill="auto"/>
            <w:noWrap/>
            <w:vAlign w:val="bottom"/>
            <w:hideMark/>
          </w:tcPr>
          <w:p w14:paraId="0E2F45EF"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Juros sobre Adiantamento para Futuro Aumento de </w:t>
            </w:r>
            <w:proofErr w:type="gramStart"/>
            <w:r w:rsidRPr="00F41043">
              <w:rPr>
                <w:rFonts w:ascii="Arial" w:eastAsia="Times New Roman" w:hAnsi="Arial" w:cs="Arial"/>
                <w:color w:val="000000"/>
                <w:kern w:val="0"/>
                <w:sz w:val="14"/>
                <w:szCs w:val="14"/>
                <w:lang w:eastAsia="pt-BR"/>
                <w14:ligatures w14:val="none"/>
              </w:rPr>
              <w:t>Capital  no</w:t>
            </w:r>
            <w:proofErr w:type="gramEnd"/>
            <w:r w:rsidRPr="00F41043">
              <w:rPr>
                <w:rFonts w:ascii="Arial" w:eastAsia="Times New Roman" w:hAnsi="Arial" w:cs="Arial"/>
                <w:color w:val="000000"/>
                <w:kern w:val="0"/>
                <w:sz w:val="14"/>
                <w:szCs w:val="14"/>
                <w:lang w:eastAsia="pt-BR"/>
                <w14:ligatures w14:val="none"/>
              </w:rPr>
              <w:t xml:space="preserve"> Exercício 2020</w:t>
            </w:r>
          </w:p>
        </w:tc>
        <w:tc>
          <w:tcPr>
            <w:tcW w:w="601" w:type="pct"/>
            <w:tcBorders>
              <w:top w:val="nil"/>
              <w:left w:val="nil"/>
              <w:bottom w:val="single" w:sz="4" w:space="0" w:color="auto"/>
              <w:right w:val="nil"/>
            </w:tcBorders>
            <w:shd w:val="clear" w:color="auto" w:fill="auto"/>
            <w:noWrap/>
            <w:vAlign w:val="bottom"/>
            <w:hideMark/>
          </w:tcPr>
          <w:p w14:paraId="469A935A"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02" w:type="pct"/>
            <w:tcBorders>
              <w:top w:val="nil"/>
              <w:left w:val="nil"/>
              <w:bottom w:val="single" w:sz="4" w:space="0" w:color="auto"/>
              <w:right w:val="nil"/>
            </w:tcBorders>
            <w:shd w:val="clear" w:color="auto" w:fill="auto"/>
            <w:noWrap/>
            <w:vAlign w:val="bottom"/>
            <w:hideMark/>
          </w:tcPr>
          <w:p w14:paraId="3313C002"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01" w:type="pct"/>
            <w:tcBorders>
              <w:top w:val="nil"/>
              <w:left w:val="nil"/>
              <w:bottom w:val="single" w:sz="4" w:space="0" w:color="auto"/>
              <w:right w:val="single" w:sz="4" w:space="0" w:color="auto"/>
            </w:tcBorders>
            <w:shd w:val="clear" w:color="auto" w:fill="auto"/>
            <w:noWrap/>
            <w:vAlign w:val="bottom"/>
            <w:hideMark/>
          </w:tcPr>
          <w:p w14:paraId="17B9DE2D"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01" w:type="pct"/>
            <w:tcBorders>
              <w:top w:val="nil"/>
              <w:left w:val="nil"/>
              <w:bottom w:val="single" w:sz="4" w:space="0" w:color="auto"/>
              <w:right w:val="single" w:sz="4" w:space="0" w:color="auto"/>
            </w:tcBorders>
            <w:shd w:val="clear" w:color="auto" w:fill="auto"/>
            <w:noWrap/>
            <w:vAlign w:val="bottom"/>
            <w:hideMark/>
          </w:tcPr>
          <w:p w14:paraId="508D28D5"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(197)</w:t>
            </w:r>
          </w:p>
        </w:tc>
      </w:tr>
      <w:tr w:rsidR="00F41043" w:rsidRPr="00F41043" w14:paraId="468FE476" w14:textId="77777777" w:rsidTr="00446A14">
        <w:trPr>
          <w:trHeight w:val="198"/>
        </w:trPr>
        <w:tc>
          <w:tcPr>
            <w:tcW w:w="2595" w:type="pct"/>
            <w:tcBorders>
              <w:top w:val="nil"/>
              <w:left w:val="single" w:sz="4" w:space="0" w:color="auto"/>
              <w:bottom w:val="single" w:sz="4" w:space="0" w:color="auto"/>
              <w:right w:val="nil"/>
            </w:tcBorders>
            <w:shd w:val="clear" w:color="auto" w:fill="auto"/>
            <w:noWrap/>
            <w:vAlign w:val="bottom"/>
            <w:hideMark/>
          </w:tcPr>
          <w:p w14:paraId="6D0FEDB8"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Juros sobre Adiantamento para Futuro Aumento de Capital no Exercício 2021</w:t>
            </w:r>
          </w:p>
        </w:tc>
        <w:tc>
          <w:tcPr>
            <w:tcW w:w="601" w:type="pct"/>
            <w:tcBorders>
              <w:top w:val="nil"/>
              <w:left w:val="nil"/>
              <w:bottom w:val="single" w:sz="4" w:space="0" w:color="auto"/>
              <w:right w:val="nil"/>
            </w:tcBorders>
            <w:shd w:val="clear" w:color="auto" w:fill="auto"/>
            <w:noWrap/>
            <w:vAlign w:val="bottom"/>
            <w:hideMark/>
          </w:tcPr>
          <w:p w14:paraId="171FA8C1"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02" w:type="pct"/>
            <w:tcBorders>
              <w:top w:val="nil"/>
              <w:left w:val="nil"/>
              <w:bottom w:val="single" w:sz="4" w:space="0" w:color="auto"/>
              <w:right w:val="nil"/>
            </w:tcBorders>
            <w:shd w:val="clear" w:color="auto" w:fill="auto"/>
            <w:noWrap/>
            <w:vAlign w:val="bottom"/>
            <w:hideMark/>
          </w:tcPr>
          <w:p w14:paraId="34999FCC"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01" w:type="pct"/>
            <w:tcBorders>
              <w:top w:val="nil"/>
              <w:left w:val="nil"/>
              <w:bottom w:val="single" w:sz="4" w:space="0" w:color="auto"/>
              <w:right w:val="single" w:sz="4" w:space="0" w:color="auto"/>
            </w:tcBorders>
            <w:shd w:val="clear" w:color="auto" w:fill="auto"/>
            <w:noWrap/>
            <w:vAlign w:val="bottom"/>
            <w:hideMark/>
          </w:tcPr>
          <w:p w14:paraId="04942AFB"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01" w:type="pct"/>
            <w:tcBorders>
              <w:top w:val="nil"/>
              <w:left w:val="nil"/>
              <w:bottom w:val="single" w:sz="4" w:space="0" w:color="auto"/>
              <w:right w:val="single" w:sz="4" w:space="0" w:color="auto"/>
            </w:tcBorders>
            <w:shd w:val="clear" w:color="auto" w:fill="auto"/>
            <w:noWrap/>
            <w:vAlign w:val="bottom"/>
            <w:hideMark/>
          </w:tcPr>
          <w:p w14:paraId="434198CE"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(2.391)</w:t>
            </w:r>
          </w:p>
        </w:tc>
      </w:tr>
      <w:tr w:rsidR="00F41043" w:rsidRPr="00F41043" w14:paraId="0B18BFF8" w14:textId="77777777" w:rsidTr="00446A14">
        <w:trPr>
          <w:trHeight w:val="198"/>
        </w:trPr>
        <w:tc>
          <w:tcPr>
            <w:tcW w:w="2595" w:type="pct"/>
            <w:tcBorders>
              <w:top w:val="nil"/>
              <w:left w:val="single" w:sz="4" w:space="0" w:color="auto"/>
              <w:bottom w:val="single" w:sz="4" w:space="0" w:color="auto"/>
              <w:right w:val="nil"/>
            </w:tcBorders>
            <w:shd w:val="clear" w:color="auto" w:fill="auto"/>
            <w:noWrap/>
            <w:vAlign w:val="bottom"/>
            <w:hideMark/>
          </w:tcPr>
          <w:p w14:paraId="193C639A"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Patrimônio Líquido Reapresentado em 31/12/2021</w:t>
            </w:r>
          </w:p>
        </w:tc>
        <w:tc>
          <w:tcPr>
            <w:tcW w:w="601" w:type="pct"/>
            <w:tcBorders>
              <w:top w:val="nil"/>
              <w:left w:val="nil"/>
              <w:bottom w:val="single" w:sz="4" w:space="0" w:color="auto"/>
              <w:right w:val="nil"/>
            </w:tcBorders>
            <w:shd w:val="clear" w:color="auto" w:fill="auto"/>
            <w:noWrap/>
            <w:vAlign w:val="bottom"/>
            <w:hideMark/>
          </w:tcPr>
          <w:p w14:paraId="3CC5D187"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w:t>
            </w:r>
          </w:p>
        </w:tc>
        <w:tc>
          <w:tcPr>
            <w:tcW w:w="602" w:type="pct"/>
            <w:tcBorders>
              <w:top w:val="nil"/>
              <w:left w:val="nil"/>
              <w:bottom w:val="single" w:sz="4" w:space="0" w:color="auto"/>
              <w:right w:val="nil"/>
            </w:tcBorders>
            <w:shd w:val="clear" w:color="auto" w:fill="auto"/>
            <w:noWrap/>
            <w:vAlign w:val="bottom"/>
            <w:hideMark/>
          </w:tcPr>
          <w:p w14:paraId="0C0405EE"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w:t>
            </w:r>
          </w:p>
        </w:tc>
        <w:tc>
          <w:tcPr>
            <w:tcW w:w="601" w:type="pct"/>
            <w:tcBorders>
              <w:top w:val="nil"/>
              <w:left w:val="nil"/>
              <w:bottom w:val="single" w:sz="4" w:space="0" w:color="auto"/>
              <w:right w:val="nil"/>
            </w:tcBorders>
            <w:shd w:val="clear" w:color="auto" w:fill="auto"/>
            <w:noWrap/>
            <w:vAlign w:val="bottom"/>
            <w:hideMark/>
          </w:tcPr>
          <w:p w14:paraId="116445CB"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w:t>
            </w:r>
          </w:p>
        </w:tc>
        <w:tc>
          <w:tcPr>
            <w:tcW w:w="601" w:type="pct"/>
            <w:tcBorders>
              <w:top w:val="nil"/>
              <w:left w:val="single" w:sz="4" w:space="0" w:color="auto"/>
              <w:bottom w:val="single" w:sz="4" w:space="0" w:color="auto"/>
              <w:right w:val="single" w:sz="4" w:space="0" w:color="auto"/>
            </w:tcBorders>
            <w:shd w:val="clear" w:color="auto" w:fill="auto"/>
            <w:noWrap/>
            <w:vAlign w:val="bottom"/>
            <w:hideMark/>
          </w:tcPr>
          <w:p w14:paraId="4ED6376A"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1.363.210 </w:t>
            </w:r>
          </w:p>
        </w:tc>
      </w:tr>
    </w:tbl>
    <w:p w14:paraId="7E49E48A" w14:textId="0CFF4A1D" w:rsidR="00F41043" w:rsidRDefault="00F41043" w:rsidP="00F41043">
      <w:pPr>
        <w:spacing w:after="0"/>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3.2.3. </w:t>
      </w:r>
      <w:r w:rsidRPr="00F41043">
        <w:rPr>
          <w:rFonts w:ascii="Calibri" w:eastAsia="Times New Roman" w:hAnsi="Calibri" w:cs="Calibri"/>
          <w:b/>
          <w:bCs/>
          <w:iCs/>
          <w:color w:val="002060"/>
          <w:kern w:val="0"/>
          <w14:ligatures w14:val="none"/>
        </w:rPr>
        <w:t>Demonstração do Resultado do Exercício</w:t>
      </w:r>
    </w:p>
    <w:tbl>
      <w:tblPr>
        <w:tblW w:w="5000" w:type="pct"/>
        <w:tblCellMar>
          <w:left w:w="70" w:type="dxa"/>
          <w:right w:w="70" w:type="dxa"/>
        </w:tblCellMar>
        <w:tblLook w:val="04A0" w:firstRow="1" w:lastRow="0" w:firstColumn="1" w:lastColumn="0" w:noHBand="0" w:noVBand="1"/>
      </w:tblPr>
      <w:tblGrid>
        <w:gridCol w:w="4471"/>
        <w:gridCol w:w="1362"/>
        <w:gridCol w:w="1511"/>
        <w:gridCol w:w="1100"/>
        <w:gridCol w:w="1327"/>
      </w:tblGrid>
      <w:tr w:rsidR="00F41043" w:rsidRPr="00F41043" w14:paraId="1A710436" w14:textId="77777777" w:rsidTr="00446A14">
        <w:trPr>
          <w:trHeight w:val="198"/>
          <w:tblHeader/>
        </w:trPr>
        <w:tc>
          <w:tcPr>
            <w:tcW w:w="2288" w:type="pct"/>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B0FE20A" w14:textId="77777777" w:rsidR="00F41043" w:rsidRPr="00F41043" w:rsidRDefault="00F41043" w:rsidP="00F41043">
            <w:pPr>
              <w:spacing w:after="0" w:line="240" w:lineRule="auto"/>
              <w:jc w:val="center"/>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w:t>
            </w:r>
          </w:p>
        </w:tc>
        <w:tc>
          <w:tcPr>
            <w:tcW w:w="6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5F84EF" w14:textId="77777777" w:rsidR="00F41043" w:rsidRPr="00F41043" w:rsidRDefault="00F41043" w:rsidP="00F41043">
            <w:pPr>
              <w:spacing w:after="0" w:line="240" w:lineRule="auto"/>
              <w:jc w:val="center"/>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Saldos Divulgados em 31/12/2021</w:t>
            </w:r>
          </w:p>
        </w:tc>
        <w:tc>
          <w:tcPr>
            <w:tcW w:w="1336" w:type="pct"/>
            <w:gridSpan w:val="2"/>
            <w:tcBorders>
              <w:top w:val="single" w:sz="4" w:space="0" w:color="auto"/>
              <w:left w:val="nil"/>
              <w:bottom w:val="single" w:sz="4" w:space="0" w:color="auto"/>
              <w:right w:val="nil"/>
            </w:tcBorders>
            <w:shd w:val="clear" w:color="auto" w:fill="auto"/>
            <w:noWrap/>
            <w:vAlign w:val="bottom"/>
            <w:hideMark/>
          </w:tcPr>
          <w:p w14:paraId="0A7B7C80" w14:textId="77777777" w:rsidR="00F41043" w:rsidRPr="00F41043" w:rsidRDefault="00F41043" w:rsidP="00F41043">
            <w:pPr>
              <w:spacing w:after="0" w:line="240" w:lineRule="auto"/>
              <w:jc w:val="center"/>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Ajustes</w:t>
            </w:r>
          </w:p>
        </w:tc>
        <w:tc>
          <w:tcPr>
            <w:tcW w:w="67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63EC67" w14:textId="77777777" w:rsidR="00F41043" w:rsidRPr="00F41043" w:rsidRDefault="00F41043" w:rsidP="00F41043">
            <w:pPr>
              <w:spacing w:after="0" w:line="240" w:lineRule="auto"/>
              <w:jc w:val="center"/>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Saldos Reapresentados 31/12/2021</w:t>
            </w:r>
          </w:p>
        </w:tc>
      </w:tr>
      <w:tr w:rsidR="00F41043" w:rsidRPr="00F41043" w14:paraId="3095F9BC" w14:textId="77777777" w:rsidTr="00446A14">
        <w:trPr>
          <w:trHeight w:val="198"/>
          <w:tblHeader/>
        </w:trPr>
        <w:tc>
          <w:tcPr>
            <w:tcW w:w="2288" w:type="pct"/>
            <w:vMerge/>
            <w:tcBorders>
              <w:top w:val="single" w:sz="4" w:space="0" w:color="auto"/>
              <w:left w:val="single" w:sz="4" w:space="0" w:color="auto"/>
              <w:bottom w:val="single" w:sz="4" w:space="0" w:color="auto"/>
              <w:right w:val="single" w:sz="4" w:space="0" w:color="auto"/>
            </w:tcBorders>
            <w:vAlign w:val="center"/>
            <w:hideMark/>
          </w:tcPr>
          <w:p w14:paraId="7CBB4875"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p>
        </w:tc>
        <w:tc>
          <w:tcPr>
            <w:tcW w:w="697" w:type="pct"/>
            <w:vMerge/>
            <w:tcBorders>
              <w:top w:val="single" w:sz="4" w:space="0" w:color="auto"/>
              <w:left w:val="single" w:sz="4" w:space="0" w:color="auto"/>
              <w:bottom w:val="single" w:sz="4" w:space="0" w:color="auto"/>
              <w:right w:val="single" w:sz="4" w:space="0" w:color="auto"/>
            </w:tcBorders>
            <w:vAlign w:val="center"/>
            <w:hideMark/>
          </w:tcPr>
          <w:p w14:paraId="37D79D3A"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p>
        </w:tc>
        <w:tc>
          <w:tcPr>
            <w:tcW w:w="773" w:type="pct"/>
            <w:tcBorders>
              <w:top w:val="nil"/>
              <w:left w:val="nil"/>
              <w:bottom w:val="single" w:sz="4" w:space="0" w:color="auto"/>
              <w:right w:val="single" w:sz="4" w:space="0" w:color="auto"/>
            </w:tcBorders>
            <w:shd w:val="clear" w:color="auto" w:fill="auto"/>
            <w:vAlign w:val="center"/>
            <w:hideMark/>
          </w:tcPr>
          <w:p w14:paraId="65B78320" w14:textId="77777777" w:rsidR="00F41043" w:rsidRPr="00F41043" w:rsidRDefault="00F41043" w:rsidP="00F41043">
            <w:pPr>
              <w:spacing w:after="0" w:line="240" w:lineRule="auto"/>
              <w:jc w:val="center"/>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Subvenções para Investimento (i)</w:t>
            </w:r>
          </w:p>
        </w:tc>
        <w:tc>
          <w:tcPr>
            <w:tcW w:w="563" w:type="pct"/>
            <w:tcBorders>
              <w:top w:val="nil"/>
              <w:left w:val="nil"/>
              <w:bottom w:val="single" w:sz="4" w:space="0" w:color="auto"/>
              <w:right w:val="single" w:sz="4" w:space="0" w:color="auto"/>
            </w:tcBorders>
            <w:shd w:val="clear" w:color="auto" w:fill="auto"/>
            <w:vAlign w:val="center"/>
            <w:hideMark/>
          </w:tcPr>
          <w:p w14:paraId="4C2E4049" w14:textId="77777777" w:rsidR="00F41043" w:rsidRPr="00F41043" w:rsidRDefault="00F41043" w:rsidP="00F41043">
            <w:pPr>
              <w:spacing w:after="0" w:line="240" w:lineRule="auto"/>
              <w:jc w:val="center"/>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Juros de </w:t>
            </w:r>
            <w:proofErr w:type="spellStart"/>
            <w:r w:rsidRPr="00F41043">
              <w:rPr>
                <w:rFonts w:ascii="Arial" w:eastAsia="Times New Roman" w:hAnsi="Arial" w:cs="Arial"/>
                <w:b/>
                <w:bCs/>
                <w:kern w:val="0"/>
                <w:sz w:val="14"/>
                <w:szCs w:val="14"/>
                <w:lang w:eastAsia="pt-BR"/>
                <w14:ligatures w14:val="none"/>
              </w:rPr>
              <w:t>Afac</w:t>
            </w:r>
            <w:proofErr w:type="spellEnd"/>
            <w:r w:rsidRPr="00F41043">
              <w:rPr>
                <w:rFonts w:ascii="Arial" w:eastAsia="Times New Roman" w:hAnsi="Arial" w:cs="Arial"/>
                <w:b/>
                <w:bCs/>
                <w:kern w:val="0"/>
                <w:sz w:val="14"/>
                <w:szCs w:val="14"/>
                <w:lang w:eastAsia="pt-BR"/>
                <w14:ligatures w14:val="none"/>
              </w:rPr>
              <w:t xml:space="preserve"> (</w:t>
            </w:r>
            <w:proofErr w:type="spellStart"/>
            <w:r w:rsidRPr="00F41043">
              <w:rPr>
                <w:rFonts w:ascii="Arial" w:eastAsia="Times New Roman" w:hAnsi="Arial" w:cs="Arial"/>
                <w:b/>
                <w:bCs/>
                <w:kern w:val="0"/>
                <w:sz w:val="14"/>
                <w:szCs w:val="14"/>
                <w:lang w:eastAsia="pt-BR"/>
                <w14:ligatures w14:val="none"/>
              </w:rPr>
              <w:t>ii</w:t>
            </w:r>
            <w:proofErr w:type="spellEnd"/>
            <w:r w:rsidRPr="00F41043">
              <w:rPr>
                <w:rFonts w:ascii="Arial" w:eastAsia="Times New Roman" w:hAnsi="Arial" w:cs="Arial"/>
                <w:b/>
                <w:bCs/>
                <w:kern w:val="0"/>
                <w:sz w:val="14"/>
                <w:szCs w:val="14"/>
                <w:lang w:eastAsia="pt-BR"/>
                <w14:ligatures w14:val="none"/>
              </w:rPr>
              <w:t>)</w:t>
            </w:r>
          </w:p>
        </w:tc>
        <w:tc>
          <w:tcPr>
            <w:tcW w:w="679" w:type="pct"/>
            <w:vMerge/>
            <w:tcBorders>
              <w:top w:val="single" w:sz="4" w:space="0" w:color="auto"/>
              <w:left w:val="single" w:sz="4" w:space="0" w:color="auto"/>
              <w:bottom w:val="single" w:sz="4" w:space="0" w:color="000000"/>
              <w:right w:val="single" w:sz="4" w:space="0" w:color="auto"/>
            </w:tcBorders>
            <w:vAlign w:val="center"/>
            <w:hideMark/>
          </w:tcPr>
          <w:p w14:paraId="25650C4F"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p>
        </w:tc>
      </w:tr>
      <w:tr w:rsidR="00F41043" w:rsidRPr="00F41043" w14:paraId="2303FB08" w14:textId="77777777" w:rsidTr="00446A14">
        <w:trPr>
          <w:trHeight w:val="198"/>
        </w:trPr>
        <w:tc>
          <w:tcPr>
            <w:tcW w:w="2288" w:type="pct"/>
            <w:tcBorders>
              <w:top w:val="nil"/>
              <w:left w:val="single" w:sz="4" w:space="0" w:color="auto"/>
              <w:bottom w:val="single" w:sz="4" w:space="0" w:color="auto"/>
              <w:right w:val="single" w:sz="4" w:space="0" w:color="auto"/>
            </w:tcBorders>
            <w:shd w:val="clear" w:color="auto" w:fill="auto"/>
            <w:noWrap/>
            <w:vAlign w:val="bottom"/>
            <w:hideMark/>
          </w:tcPr>
          <w:p w14:paraId="049A5C45"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RECEITA OPERACIONAL LÍQUIDA</w:t>
            </w:r>
          </w:p>
        </w:tc>
        <w:tc>
          <w:tcPr>
            <w:tcW w:w="697" w:type="pct"/>
            <w:tcBorders>
              <w:top w:val="nil"/>
              <w:left w:val="nil"/>
              <w:bottom w:val="single" w:sz="4" w:space="0" w:color="auto"/>
              <w:right w:val="single" w:sz="4" w:space="0" w:color="auto"/>
            </w:tcBorders>
            <w:shd w:val="clear" w:color="auto" w:fill="auto"/>
            <w:noWrap/>
            <w:vAlign w:val="bottom"/>
            <w:hideMark/>
          </w:tcPr>
          <w:p w14:paraId="30D274AC"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285.653 </w:t>
            </w:r>
          </w:p>
        </w:tc>
        <w:tc>
          <w:tcPr>
            <w:tcW w:w="773" w:type="pct"/>
            <w:tcBorders>
              <w:top w:val="nil"/>
              <w:left w:val="nil"/>
              <w:bottom w:val="single" w:sz="4" w:space="0" w:color="auto"/>
              <w:right w:val="single" w:sz="4" w:space="0" w:color="auto"/>
            </w:tcBorders>
            <w:shd w:val="clear" w:color="auto" w:fill="auto"/>
            <w:noWrap/>
            <w:vAlign w:val="bottom"/>
            <w:hideMark/>
          </w:tcPr>
          <w:p w14:paraId="14D2A767"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w:t>
            </w:r>
          </w:p>
        </w:tc>
        <w:tc>
          <w:tcPr>
            <w:tcW w:w="563" w:type="pct"/>
            <w:tcBorders>
              <w:top w:val="nil"/>
              <w:left w:val="nil"/>
              <w:bottom w:val="single" w:sz="4" w:space="0" w:color="auto"/>
              <w:right w:val="single" w:sz="4" w:space="0" w:color="auto"/>
            </w:tcBorders>
            <w:shd w:val="clear" w:color="auto" w:fill="auto"/>
            <w:noWrap/>
            <w:vAlign w:val="bottom"/>
            <w:hideMark/>
          </w:tcPr>
          <w:p w14:paraId="706CE7BE"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w:t>
            </w:r>
          </w:p>
        </w:tc>
        <w:tc>
          <w:tcPr>
            <w:tcW w:w="679" w:type="pct"/>
            <w:tcBorders>
              <w:top w:val="nil"/>
              <w:left w:val="nil"/>
              <w:bottom w:val="single" w:sz="4" w:space="0" w:color="auto"/>
              <w:right w:val="single" w:sz="4" w:space="0" w:color="auto"/>
            </w:tcBorders>
            <w:shd w:val="clear" w:color="auto" w:fill="auto"/>
            <w:noWrap/>
            <w:vAlign w:val="bottom"/>
            <w:hideMark/>
          </w:tcPr>
          <w:p w14:paraId="1D034F40"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285.653 </w:t>
            </w:r>
          </w:p>
        </w:tc>
      </w:tr>
      <w:tr w:rsidR="00F41043" w:rsidRPr="00F41043" w14:paraId="1014E9DA" w14:textId="77777777" w:rsidTr="00446A14">
        <w:trPr>
          <w:trHeight w:val="198"/>
        </w:trPr>
        <w:tc>
          <w:tcPr>
            <w:tcW w:w="2288" w:type="pct"/>
            <w:tcBorders>
              <w:top w:val="nil"/>
              <w:left w:val="single" w:sz="4" w:space="0" w:color="auto"/>
              <w:bottom w:val="single" w:sz="4" w:space="0" w:color="auto"/>
              <w:right w:val="single" w:sz="4" w:space="0" w:color="auto"/>
            </w:tcBorders>
            <w:shd w:val="clear" w:color="auto" w:fill="auto"/>
            <w:noWrap/>
            <w:vAlign w:val="bottom"/>
            <w:hideMark/>
          </w:tcPr>
          <w:p w14:paraId="6AC21EE5"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Custos dos Serviços Prestados </w:t>
            </w:r>
          </w:p>
        </w:tc>
        <w:tc>
          <w:tcPr>
            <w:tcW w:w="697" w:type="pct"/>
            <w:tcBorders>
              <w:top w:val="nil"/>
              <w:left w:val="nil"/>
              <w:bottom w:val="single" w:sz="4" w:space="0" w:color="auto"/>
              <w:right w:val="single" w:sz="4" w:space="0" w:color="auto"/>
            </w:tcBorders>
            <w:shd w:val="clear" w:color="auto" w:fill="auto"/>
            <w:noWrap/>
            <w:vAlign w:val="bottom"/>
            <w:hideMark/>
          </w:tcPr>
          <w:p w14:paraId="342831DA"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(515.576)</w:t>
            </w:r>
          </w:p>
        </w:tc>
        <w:tc>
          <w:tcPr>
            <w:tcW w:w="773" w:type="pct"/>
            <w:tcBorders>
              <w:top w:val="nil"/>
              <w:left w:val="nil"/>
              <w:bottom w:val="single" w:sz="4" w:space="0" w:color="auto"/>
              <w:right w:val="single" w:sz="4" w:space="0" w:color="auto"/>
            </w:tcBorders>
            <w:shd w:val="clear" w:color="auto" w:fill="auto"/>
            <w:noWrap/>
            <w:vAlign w:val="bottom"/>
            <w:hideMark/>
          </w:tcPr>
          <w:p w14:paraId="050D38F0"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63" w:type="pct"/>
            <w:tcBorders>
              <w:top w:val="nil"/>
              <w:left w:val="nil"/>
              <w:bottom w:val="single" w:sz="4" w:space="0" w:color="auto"/>
              <w:right w:val="single" w:sz="4" w:space="0" w:color="auto"/>
            </w:tcBorders>
            <w:shd w:val="clear" w:color="auto" w:fill="auto"/>
            <w:noWrap/>
            <w:vAlign w:val="bottom"/>
            <w:hideMark/>
          </w:tcPr>
          <w:p w14:paraId="674E0043"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79" w:type="pct"/>
            <w:tcBorders>
              <w:top w:val="nil"/>
              <w:left w:val="nil"/>
              <w:bottom w:val="single" w:sz="4" w:space="0" w:color="auto"/>
              <w:right w:val="single" w:sz="4" w:space="0" w:color="auto"/>
            </w:tcBorders>
            <w:shd w:val="clear" w:color="auto" w:fill="auto"/>
            <w:noWrap/>
            <w:vAlign w:val="bottom"/>
            <w:hideMark/>
          </w:tcPr>
          <w:p w14:paraId="366D0992"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(515.576)</w:t>
            </w:r>
          </w:p>
        </w:tc>
      </w:tr>
      <w:tr w:rsidR="00F41043" w:rsidRPr="00F41043" w14:paraId="2FD727CF" w14:textId="77777777" w:rsidTr="00446A14">
        <w:trPr>
          <w:trHeight w:val="198"/>
        </w:trPr>
        <w:tc>
          <w:tcPr>
            <w:tcW w:w="2288" w:type="pct"/>
            <w:tcBorders>
              <w:top w:val="nil"/>
              <w:left w:val="single" w:sz="4" w:space="0" w:color="auto"/>
              <w:bottom w:val="single" w:sz="4" w:space="0" w:color="auto"/>
              <w:right w:val="single" w:sz="4" w:space="0" w:color="auto"/>
            </w:tcBorders>
            <w:shd w:val="clear" w:color="auto" w:fill="auto"/>
            <w:noWrap/>
            <w:vAlign w:val="bottom"/>
            <w:hideMark/>
          </w:tcPr>
          <w:p w14:paraId="0D5C126F"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Lucro Bruto</w:t>
            </w:r>
          </w:p>
        </w:tc>
        <w:tc>
          <w:tcPr>
            <w:tcW w:w="697" w:type="pct"/>
            <w:tcBorders>
              <w:top w:val="nil"/>
              <w:left w:val="nil"/>
              <w:bottom w:val="single" w:sz="4" w:space="0" w:color="auto"/>
              <w:right w:val="single" w:sz="4" w:space="0" w:color="auto"/>
            </w:tcBorders>
            <w:shd w:val="clear" w:color="auto" w:fill="auto"/>
            <w:noWrap/>
            <w:vAlign w:val="bottom"/>
            <w:hideMark/>
          </w:tcPr>
          <w:p w14:paraId="203BF5AE"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(229.923)</w:t>
            </w:r>
          </w:p>
        </w:tc>
        <w:tc>
          <w:tcPr>
            <w:tcW w:w="773" w:type="pct"/>
            <w:tcBorders>
              <w:top w:val="nil"/>
              <w:left w:val="nil"/>
              <w:bottom w:val="single" w:sz="4" w:space="0" w:color="auto"/>
              <w:right w:val="single" w:sz="4" w:space="0" w:color="auto"/>
            </w:tcBorders>
            <w:shd w:val="clear" w:color="auto" w:fill="auto"/>
            <w:noWrap/>
            <w:vAlign w:val="bottom"/>
            <w:hideMark/>
          </w:tcPr>
          <w:p w14:paraId="374CE762"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 </w:t>
            </w:r>
          </w:p>
        </w:tc>
        <w:tc>
          <w:tcPr>
            <w:tcW w:w="563" w:type="pct"/>
            <w:tcBorders>
              <w:top w:val="nil"/>
              <w:left w:val="nil"/>
              <w:bottom w:val="single" w:sz="4" w:space="0" w:color="auto"/>
              <w:right w:val="single" w:sz="4" w:space="0" w:color="auto"/>
            </w:tcBorders>
            <w:shd w:val="clear" w:color="auto" w:fill="auto"/>
            <w:noWrap/>
            <w:vAlign w:val="bottom"/>
            <w:hideMark/>
          </w:tcPr>
          <w:p w14:paraId="1C5565E8"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 </w:t>
            </w:r>
          </w:p>
        </w:tc>
        <w:tc>
          <w:tcPr>
            <w:tcW w:w="679" w:type="pct"/>
            <w:tcBorders>
              <w:top w:val="nil"/>
              <w:left w:val="nil"/>
              <w:bottom w:val="single" w:sz="4" w:space="0" w:color="auto"/>
              <w:right w:val="single" w:sz="4" w:space="0" w:color="auto"/>
            </w:tcBorders>
            <w:shd w:val="clear" w:color="auto" w:fill="auto"/>
            <w:noWrap/>
            <w:vAlign w:val="bottom"/>
            <w:hideMark/>
          </w:tcPr>
          <w:p w14:paraId="13333DD1"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(229.923)</w:t>
            </w:r>
          </w:p>
        </w:tc>
      </w:tr>
      <w:tr w:rsidR="00F41043" w:rsidRPr="00F41043" w14:paraId="7F7DECCD" w14:textId="77777777" w:rsidTr="00446A14">
        <w:trPr>
          <w:trHeight w:val="198"/>
        </w:trPr>
        <w:tc>
          <w:tcPr>
            <w:tcW w:w="2288" w:type="pct"/>
            <w:tcBorders>
              <w:top w:val="nil"/>
              <w:left w:val="single" w:sz="4" w:space="0" w:color="auto"/>
              <w:bottom w:val="single" w:sz="4" w:space="0" w:color="auto"/>
              <w:right w:val="single" w:sz="4" w:space="0" w:color="auto"/>
            </w:tcBorders>
            <w:shd w:val="clear" w:color="auto" w:fill="auto"/>
            <w:noWrap/>
            <w:vAlign w:val="bottom"/>
            <w:hideMark/>
          </w:tcPr>
          <w:p w14:paraId="6C1F0278"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Receitas / (Despesas) Operacionais</w:t>
            </w:r>
          </w:p>
        </w:tc>
        <w:tc>
          <w:tcPr>
            <w:tcW w:w="697" w:type="pct"/>
            <w:tcBorders>
              <w:top w:val="nil"/>
              <w:left w:val="nil"/>
              <w:bottom w:val="single" w:sz="4" w:space="0" w:color="auto"/>
              <w:right w:val="single" w:sz="4" w:space="0" w:color="auto"/>
            </w:tcBorders>
            <w:shd w:val="clear" w:color="auto" w:fill="auto"/>
            <w:noWrap/>
            <w:vAlign w:val="bottom"/>
            <w:hideMark/>
          </w:tcPr>
          <w:p w14:paraId="7CAEA05D"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162.995 </w:t>
            </w:r>
          </w:p>
        </w:tc>
        <w:tc>
          <w:tcPr>
            <w:tcW w:w="773" w:type="pct"/>
            <w:tcBorders>
              <w:top w:val="nil"/>
              <w:left w:val="nil"/>
              <w:bottom w:val="single" w:sz="4" w:space="0" w:color="auto"/>
              <w:right w:val="single" w:sz="4" w:space="0" w:color="auto"/>
            </w:tcBorders>
            <w:shd w:val="clear" w:color="auto" w:fill="auto"/>
            <w:noWrap/>
            <w:vAlign w:val="bottom"/>
            <w:hideMark/>
          </w:tcPr>
          <w:p w14:paraId="524B09D8"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(33.803)</w:t>
            </w:r>
          </w:p>
        </w:tc>
        <w:tc>
          <w:tcPr>
            <w:tcW w:w="563" w:type="pct"/>
            <w:tcBorders>
              <w:top w:val="nil"/>
              <w:left w:val="nil"/>
              <w:bottom w:val="single" w:sz="4" w:space="0" w:color="auto"/>
              <w:right w:val="single" w:sz="4" w:space="0" w:color="auto"/>
            </w:tcBorders>
            <w:shd w:val="clear" w:color="auto" w:fill="auto"/>
            <w:noWrap/>
            <w:vAlign w:val="bottom"/>
            <w:hideMark/>
          </w:tcPr>
          <w:p w14:paraId="23C57944"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 </w:t>
            </w:r>
          </w:p>
        </w:tc>
        <w:tc>
          <w:tcPr>
            <w:tcW w:w="679" w:type="pct"/>
            <w:tcBorders>
              <w:top w:val="nil"/>
              <w:left w:val="nil"/>
              <w:bottom w:val="single" w:sz="4" w:space="0" w:color="auto"/>
              <w:right w:val="single" w:sz="4" w:space="0" w:color="auto"/>
            </w:tcBorders>
            <w:shd w:val="clear" w:color="auto" w:fill="auto"/>
            <w:noWrap/>
            <w:vAlign w:val="bottom"/>
            <w:hideMark/>
          </w:tcPr>
          <w:p w14:paraId="69C9D85A"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129.192 </w:t>
            </w:r>
          </w:p>
        </w:tc>
      </w:tr>
      <w:tr w:rsidR="00F41043" w:rsidRPr="00F41043" w14:paraId="1A1C50A3" w14:textId="77777777" w:rsidTr="00446A14">
        <w:trPr>
          <w:trHeight w:val="198"/>
        </w:trPr>
        <w:tc>
          <w:tcPr>
            <w:tcW w:w="2288" w:type="pct"/>
            <w:tcBorders>
              <w:top w:val="nil"/>
              <w:left w:val="single" w:sz="4" w:space="0" w:color="auto"/>
              <w:bottom w:val="single" w:sz="4" w:space="0" w:color="auto"/>
              <w:right w:val="single" w:sz="4" w:space="0" w:color="auto"/>
            </w:tcBorders>
            <w:shd w:val="clear" w:color="auto" w:fill="auto"/>
            <w:noWrap/>
            <w:vAlign w:val="bottom"/>
            <w:hideMark/>
          </w:tcPr>
          <w:p w14:paraId="1CF27B32"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Comercialização dos Serviços</w:t>
            </w:r>
          </w:p>
        </w:tc>
        <w:tc>
          <w:tcPr>
            <w:tcW w:w="697" w:type="pct"/>
            <w:tcBorders>
              <w:top w:val="nil"/>
              <w:left w:val="nil"/>
              <w:bottom w:val="single" w:sz="4" w:space="0" w:color="auto"/>
              <w:right w:val="single" w:sz="4" w:space="0" w:color="auto"/>
            </w:tcBorders>
            <w:shd w:val="clear" w:color="auto" w:fill="auto"/>
            <w:noWrap/>
            <w:vAlign w:val="bottom"/>
            <w:hideMark/>
          </w:tcPr>
          <w:p w14:paraId="1D6CF76C"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(19.009)</w:t>
            </w:r>
          </w:p>
        </w:tc>
        <w:tc>
          <w:tcPr>
            <w:tcW w:w="773" w:type="pct"/>
            <w:tcBorders>
              <w:top w:val="nil"/>
              <w:left w:val="nil"/>
              <w:bottom w:val="single" w:sz="4" w:space="0" w:color="auto"/>
              <w:right w:val="single" w:sz="4" w:space="0" w:color="auto"/>
            </w:tcBorders>
            <w:shd w:val="clear" w:color="auto" w:fill="auto"/>
            <w:noWrap/>
            <w:vAlign w:val="bottom"/>
            <w:hideMark/>
          </w:tcPr>
          <w:p w14:paraId="785C9DEF"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63" w:type="pct"/>
            <w:tcBorders>
              <w:top w:val="nil"/>
              <w:left w:val="nil"/>
              <w:bottom w:val="single" w:sz="4" w:space="0" w:color="auto"/>
              <w:right w:val="single" w:sz="4" w:space="0" w:color="auto"/>
            </w:tcBorders>
            <w:shd w:val="clear" w:color="auto" w:fill="auto"/>
            <w:noWrap/>
            <w:vAlign w:val="bottom"/>
            <w:hideMark/>
          </w:tcPr>
          <w:p w14:paraId="1423C067"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79" w:type="pct"/>
            <w:tcBorders>
              <w:top w:val="nil"/>
              <w:left w:val="nil"/>
              <w:bottom w:val="single" w:sz="4" w:space="0" w:color="auto"/>
              <w:right w:val="single" w:sz="4" w:space="0" w:color="auto"/>
            </w:tcBorders>
            <w:shd w:val="clear" w:color="auto" w:fill="auto"/>
            <w:noWrap/>
            <w:vAlign w:val="bottom"/>
            <w:hideMark/>
          </w:tcPr>
          <w:p w14:paraId="3A98FC85"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(19.009)</w:t>
            </w:r>
          </w:p>
        </w:tc>
      </w:tr>
      <w:tr w:rsidR="00F41043" w:rsidRPr="00F41043" w14:paraId="3CF078F8" w14:textId="77777777" w:rsidTr="00446A14">
        <w:trPr>
          <w:trHeight w:val="198"/>
        </w:trPr>
        <w:tc>
          <w:tcPr>
            <w:tcW w:w="2288" w:type="pct"/>
            <w:tcBorders>
              <w:top w:val="nil"/>
              <w:left w:val="single" w:sz="4" w:space="0" w:color="auto"/>
              <w:bottom w:val="single" w:sz="4" w:space="0" w:color="auto"/>
              <w:right w:val="single" w:sz="4" w:space="0" w:color="auto"/>
            </w:tcBorders>
            <w:shd w:val="clear" w:color="auto" w:fill="auto"/>
            <w:noWrap/>
            <w:vAlign w:val="bottom"/>
            <w:hideMark/>
          </w:tcPr>
          <w:p w14:paraId="4B4E3A48"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Despesas Gerais e Administrativas</w:t>
            </w:r>
          </w:p>
        </w:tc>
        <w:tc>
          <w:tcPr>
            <w:tcW w:w="697" w:type="pct"/>
            <w:tcBorders>
              <w:top w:val="nil"/>
              <w:left w:val="nil"/>
              <w:bottom w:val="single" w:sz="4" w:space="0" w:color="auto"/>
              <w:right w:val="single" w:sz="4" w:space="0" w:color="auto"/>
            </w:tcBorders>
            <w:shd w:val="clear" w:color="auto" w:fill="auto"/>
            <w:noWrap/>
            <w:vAlign w:val="bottom"/>
            <w:hideMark/>
          </w:tcPr>
          <w:p w14:paraId="131EB76C"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(67.797)</w:t>
            </w:r>
          </w:p>
        </w:tc>
        <w:tc>
          <w:tcPr>
            <w:tcW w:w="773" w:type="pct"/>
            <w:tcBorders>
              <w:top w:val="nil"/>
              <w:left w:val="nil"/>
              <w:bottom w:val="single" w:sz="4" w:space="0" w:color="auto"/>
              <w:right w:val="single" w:sz="4" w:space="0" w:color="auto"/>
            </w:tcBorders>
            <w:shd w:val="clear" w:color="auto" w:fill="auto"/>
            <w:noWrap/>
            <w:vAlign w:val="bottom"/>
            <w:hideMark/>
          </w:tcPr>
          <w:p w14:paraId="1C6F66DB"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63" w:type="pct"/>
            <w:tcBorders>
              <w:top w:val="nil"/>
              <w:left w:val="nil"/>
              <w:bottom w:val="single" w:sz="4" w:space="0" w:color="auto"/>
              <w:right w:val="single" w:sz="4" w:space="0" w:color="auto"/>
            </w:tcBorders>
            <w:shd w:val="clear" w:color="auto" w:fill="auto"/>
            <w:noWrap/>
            <w:vAlign w:val="bottom"/>
            <w:hideMark/>
          </w:tcPr>
          <w:p w14:paraId="78C99102"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79" w:type="pct"/>
            <w:tcBorders>
              <w:top w:val="nil"/>
              <w:left w:val="nil"/>
              <w:bottom w:val="single" w:sz="4" w:space="0" w:color="auto"/>
              <w:right w:val="single" w:sz="4" w:space="0" w:color="auto"/>
            </w:tcBorders>
            <w:shd w:val="clear" w:color="auto" w:fill="auto"/>
            <w:noWrap/>
            <w:vAlign w:val="bottom"/>
            <w:hideMark/>
          </w:tcPr>
          <w:p w14:paraId="67CCF56E"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(67.797)</w:t>
            </w:r>
          </w:p>
        </w:tc>
      </w:tr>
      <w:tr w:rsidR="00F41043" w:rsidRPr="00F41043" w14:paraId="1A95A8E7" w14:textId="77777777" w:rsidTr="00446A14">
        <w:trPr>
          <w:trHeight w:val="198"/>
        </w:trPr>
        <w:tc>
          <w:tcPr>
            <w:tcW w:w="2288" w:type="pct"/>
            <w:tcBorders>
              <w:top w:val="nil"/>
              <w:left w:val="single" w:sz="4" w:space="0" w:color="auto"/>
              <w:bottom w:val="single" w:sz="4" w:space="0" w:color="auto"/>
              <w:right w:val="single" w:sz="4" w:space="0" w:color="auto"/>
            </w:tcBorders>
            <w:shd w:val="clear" w:color="auto" w:fill="auto"/>
            <w:noWrap/>
            <w:vAlign w:val="bottom"/>
            <w:hideMark/>
          </w:tcPr>
          <w:p w14:paraId="705D8D2B"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Resultado de Equivalência Patrimonial</w:t>
            </w:r>
          </w:p>
        </w:tc>
        <w:tc>
          <w:tcPr>
            <w:tcW w:w="697" w:type="pct"/>
            <w:tcBorders>
              <w:top w:val="nil"/>
              <w:left w:val="nil"/>
              <w:bottom w:val="single" w:sz="4" w:space="0" w:color="auto"/>
              <w:right w:val="single" w:sz="4" w:space="0" w:color="auto"/>
            </w:tcBorders>
            <w:shd w:val="clear" w:color="auto" w:fill="auto"/>
            <w:noWrap/>
            <w:vAlign w:val="bottom"/>
            <w:hideMark/>
          </w:tcPr>
          <w:p w14:paraId="4FFDAAF9"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(6.273)</w:t>
            </w:r>
          </w:p>
        </w:tc>
        <w:tc>
          <w:tcPr>
            <w:tcW w:w="773" w:type="pct"/>
            <w:tcBorders>
              <w:top w:val="nil"/>
              <w:left w:val="nil"/>
              <w:bottom w:val="single" w:sz="4" w:space="0" w:color="auto"/>
              <w:right w:val="single" w:sz="4" w:space="0" w:color="auto"/>
            </w:tcBorders>
            <w:shd w:val="clear" w:color="auto" w:fill="auto"/>
            <w:noWrap/>
            <w:vAlign w:val="bottom"/>
            <w:hideMark/>
          </w:tcPr>
          <w:p w14:paraId="5194F224"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63" w:type="pct"/>
            <w:tcBorders>
              <w:top w:val="nil"/>
              <w:left w:val="nil"/>
              <w:bottom w:val="single" w:sz="4" w:space="0" w:color="auto"/>
              <w:right w:val="single" w:sz="4" w:space="0" w:color="auto"/>
            </w:tcBorders>
            <w:shd w:val="clear" w:color="auto" w:fill="auto"/>
            <w:noWrap/>
            <w:vAlign w:val="bottom"/>
            <w:hideMark/>
          </w:tcPr>
          <w:p w14:paraId="5A1A2731"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79" w:type="pct"/>
            <w:tcBorders>
              <w:top w:val="nil"/>
              <w:left w:val="nil"/>
              <w:bottom w:val="single" w:sz="4" w:space="0" w:color="auto"/>
              <w:right w:val="single" w:sz="4" w:space="0" w:color="auto"/>
            </w:tcBorders>
            <w:shd w:val="clear" w:color="auto" w:fill="auto"/>
            <w:noWrap/>
            <w:vAlign w:val="bottom"/>
            <w:hideMark/>
          </w:tcPr>
          <w:p w14:paraId="385E7405"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(6.273)</w:t>
            </w:r>
          </w:p>
        </w:tc>
      </w:tr>
      <w:tr w:rsidR="00F41043" w:rsidRPr="00F41043" w14:paraId="2964E29C" w14:textId="77777777" w:rsidTr="00446A14">
        <w:trPr>
          <w:trHeight w:val="198"/>
        </w:trPr>
        <w:tc>
          <w:tcPr>
            <w:tcW w:w="2288" w:type="pct"/>
            <w:tcBorders>
              <w:top w:val="nil"/>
              <w:left w:val="single" w:sz="4" w:space="0" w:color="auto"/>
              <w:bottom w:val="single" w:sz="4" w:space="0" w:color="auto"/>
              <w:right w:val="single" w:sz="4" w:space="0" w:color="auto"/>
            </w:tcBorders>
            <w:shd w:val="clear" w:color="auto" w:fill="auto"/>
            <w:noWrap/>
            <w:vAlign w:val="bottom"/>
            <w:hideMark/>
          </w:tcPr>
          <w:p w14:paraId="7A7D6B86"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Outras Receitas / (Despesas) Operacionais</w:t>
            </w:r>
          </w:p>
        </w:tc>
        <w:tc>
          <w:tcPr>
            <w:tcW w:w="697" w:type="pct"/>
            <w:tcBorders>
              <w:top w:val="nil"/>
              <w:left w:val="nil"/>
              <w:bottom w:val="single" w:sz="4" w:space="0" w:color="auto"/>
              <w:right w:val="single" w:sz="4" w:space="0" w:color="auto"/>
            </w:tcBorders>
            <w:shd w:val="clear" w:color="auto" w:fill="auto"/>
            <w:noWrap/>
            <w:vAlign w:val="bottom"/>
            <w:hideMark/>
          </w:tcPr>
          <w:p w14:paraId="3892EA11"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256.074 </w:t>
            </w:r>
          </w:p>
        </w:tc>
        <w:tc>
          <w:tcPr>
            <w:tcW w:w="773" w:type="pct"/>
            <w:tcBorders>
              <w:top w:val="nil"/>
              <w:left w:val="nil"/>
              <w:bottom w:val="single" w:sz="4" w:space="0" w:color="auto"/>
              <w:right w:val="single" w:sz="4" w:space="0" w:color="auto"/>
            </w:tcBorders>
            <w:shd w:val="clear" w:color="auto" w:fill="auto"/>
            <w:noWrap/>
            <w:vAlign w:val="bottom"/>
            <w:hideMark/>
          </w:tcPr>
          <w:p w14:paraId="772A67B6"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(33.803)</w:t>
            </w:r>
          </w:p>
        </w:tc>
        <w:tc>
          <w:tcPr>
            <w:tcW w:w="563" w:type="pct"/>
            <w:tcBorders>
              <w:top w:val="nil"/>
              <w:left w:val="nil"/>
              <w:bottom w:val="single" w:sz="4" w:space="0" w:color="auto"/>
              <w:right w:val="single" w:sz="4" w:space="0" w:color="auto"/>
            </w:tcBorders>
            <w:shd w:val="clear" w:color="auto" w:fill="auto"/>
            <w:noWrap/>
            <w:vAlign w:val="bottom"/>
            <w:hideMark/>
          </w:tcPr>
          <w:p w14:paraId="30D9B3A5"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 </w:t>
            </w:r>
          </w:p>
        </w:tc>
        <w:tc>
          <w:tcPr>
            <w:tcW w:w="679" w:type="pct"/>
            <w:tcBorders>
              <w:top w:val="nil"/>
              <w:left w:val="nil"/>
              <w:bottom w:val="single" w:sz="4" w:space="0" w:color="auto"/>
              <w:right w:val="single" w:sz="4" w:space="0" w:color="auto"/>
            </w:tcBorders>
            <w:shd w:val="clear" w:color="auto" w:fill="auto"/>
            <w:noWrap/>
            <w:vAlign w:val="bottom"/>
            <w:hideMark/>
          </w:tcPr>
          <w:p w14:paraId="2ACD849A"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222.271 </w:t>
            </w:r>
          </w:p>
        </w:tc>
      </w:tr>
      <w:tr w:rsidR="00F41043" w:rsidRPr="00F41043" w14:paraId="5FB81076" w14:textId="77777777" w:rsidTr="00446A14">
        <w:trPr>
          <w:trHeight w:val="198"/>
        </w:trPr>
        <w:tc>
          <w:tcPr>
            <w:tcW w:w="2288" w:type="pct"/>
            <w:tcBorders>
              <w:top w:val="nil"/>
              <w:left w:val="single" w:sz="4" w:space="0" w:color="auto"/>
              <w:bottom w:val="single" w:sz="4" w:space="0" w:color="auto"/>
              <w:right w:val="single" w:sz="4" w:space="0" w:color="auto"/>
            </w:tcBorders>
            <w:shd w:val="clear" w:color="auto" w:fill="auto"/>
            <w:noWrap/>
            <w:vAlign w:val="bottom"/>
            <w:hideMark/>
          </w:tcPr>
          <w:p w14:paraId="1E564C45"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Outras Receitas Operacionais</w:t>
            </w:r>
          </w:p>
        </w:tc>
        <w:tc>
          <w:tcPr>
            <w:tcW w:w="697" w:type="pct"/>
            <w:tcBorders>
              <w:top w:val="nil"/>
              <w:left w:val="nil"/>
              <w:bottom w:val="single" w:sz="4" w:space="0" w:color="auto"/>
              <w:right w:val="single" w:sz="4" w:space="0" w:color="auto"/>
            </w:tcBorders>
            <w:shd w:val="clear" w:color="auto" w:fill="auto"/>
            <w:noWrap/>
            <w:vAlign w:val="bottom"/>
            <w:hideMark/>
          </w:tcPr>
          <w:p w14:paraId="6FB8C57C"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276.866 </w:t>
            </w:r>
          </w:p>
        </w:tc>
        <w:tc>
          <w:tcPr>
            <w:tcW w:w="773" w:type="pct"/>
            <w:tcBorders>
              <w:top w:val="nil"/>
              <w:left w:val="nil"/>
              <w:bottom w:val="single" w:sz="4" w:space="0" w:color="auto"/>
              <w:right w:val="single" w:sz="4" w:space="0" w:color="auto"/>
            </w:tcBorders>
            <w:shd w:val="clear" w:color="auto" w:fill="auto"/>
            <w:noWrap/>
            <w:vAlign w:val="bottom"/>
            <w:hideMark/>
          </w:tcPr>
          <w:p w14:paraId="1E7D1EC2"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(33.803)</w:t>
            </w:r>
          </w:p>
        </w:tc>
        <w:tc>
          <w:tcPr>
            <w:tcW w:w="563" w:type="pct"/>
            <w:tcBorders>
              <w:top w:val="nil"/>
              <w:left w:val="nil"/>
              <w:bottom w:val="single" w:sz="4" w:space="0" w:color="auto"/>
              <w:right w:val="single" w:sz="4" w:space="0" w:color="auto"/>
            </w:tcBorders>
            <w:shd w:val="clear" w:color="auto" w:fill="auto"/>
            <w:noWrap/>
            <w:vAlign w:val="bottom"/>
            <w:hideMark/>
          </w:tcPr>
          <w:p w14:paraId="4111C3EE"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79" w:type="pct"/>
            <w:tcBorders>
              <w:top w:val="nil"/>
              <w:left w:val="nil"/>
              <w:bottom w:val="single" w:sz="4" w:space="0" w:color="auto"/>
              <w:right w:val="single" w:sz="4" w:space="0" w:color="auto"/>
            </w:tcBorders>
            <w:shd w:val="clear" w:color="auto" w:fill="auto"/>
            <w:noWrap/>
            <w:vAlign w:val="bottom"/>
            <w:hideMark/>
          </w:tcPr>
          <w:p w14:paraId="619657ED"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243.063 </w:t>
            </w:r>
          </w:p>
        </w:tc>
      </w:tr>
      <w:tr w:rsidR="00F41043" w:rsidRPr="00F41043" w14:paraId="67BDDBF7" w14:textId="77777777" w:rsidTr="00446A14">
        <w:trPr>
          <w:trHeight w:val="198"/>
        </w:trPr>
        <w:tc>
          <w:tcPr>
            <w:tcW w:w="2288" w:type="pct"/>
            <w:tcBorders>
              <w:top w:val="nil"/>
              <w:left w:val="single" w:sz="4" w:space="0" w:color="auto"/>
              <w:bottom w:val="single" w:sz="4" w:space="0" w:color="auto"/>
              <w:right w:val="single" w:sz="4" w:space="0" w:color="auto"/>
            </w:tcBorders>
            <w:shd w:val="clear" w:color="auto" w:fill="auto"/>
            <w:noWrap/>
            <w:vAlign w:val="bottom"/>
            <w:hideMark/>
          </w:tcPr>
          <w:p w14:paraId="335C7841"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Outras Despesas Operacionais</w:t>
            </w:r>
          </w:p>
        </w:tc>
        <w:tc>
          <w:tcPr>
            <w:tcW w:w="697" w:type="pct"/>
            <w:tcBorders>
              <w:top w:val="nil"/>
              <w:left w:val="nil"/>
              <w:bottom w:val="single" w:sz="4" w:space="0" w:color="auto"/>
              <w:right w:val="single" w:sz="4" w:space="0" w:color="auto"/>
            </w:tcBorders>
            <w:shd w:val="clear" w:color="auto" w:fill="auto"/>
            <w:noWrap/>
            <w:vAlign w:val="bottom"/>
            <w:hideMark/>
          </w:tcPr>
          <w:p w14:paraId="7D7E12FA"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(20.792)</w:t>
            </w:r>
          </w:p>
        </w:tc>
        <w:tc>
          <w:tcPr>
            <w:tcW w:w="773" w:type="pct"/>
            <w:tcBorders>
              <w:top w:val="nil"/>
              <w:left w:val="nil"/>
              <w:bottom w:val="single" w:sz="4" w:space="0" w:color="auto"/>
              <w:right w:val="single" w:sz="4" w:space="0" w:color="auto"/>
            </w:tcBorders>
            <w:shd w:val="clear" w:color="auto" w:fill="auto"/>
            <w:noWrap/>
            <w:vAlign w:val="bottom"/>
            <w:hideMark/>
          </w:tcPr>
          <w:p w14:paraId="68AAF7F4"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63" w:type="pct"/>
            <w:tcBorders>
              <w:top w:val="nil"/>
              <w:left w:val="nil"/>
              <w:bottom w:val="single" w:sz="4" w:space="0" w:color="auto"/>
              <w:right w:val="single" w:sz="4" w:space="0" w:color="auto"/>
            </w:tcBorders>
            <w:shd w:val="clear" w:color="auto" w:fill="auto"/>
            <w:noWrap/>
            <w:vAlign w:val="bottom"/>
            <w:hideMark/>
          </w:tcPr>
          <w:p w14:paraId="01F744A7"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79" w:type="pct"/>
            <w:tcBorders>
              <w:top w:val="nil"/>
              <w:left w:val="nil"/>
              <w:bottom w:val="single" w:sz="4" w:space="0" w:color="auto"/>
              <w:right w:val="single" w:sz="4" w:space="0" w:color="auto"/>
            </w:tcBorders>
            <w:shd w:val="clear" w:color="auto" w:fill="auto"/>
            <w:noWrap/>
            <w:vAlign w:val="bottom"/>
            <w:hideMark/>
          </w:tcPr>
          <w:p w14:paraId="06117B8F"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(20.792)</w:t>
            </w:r>
          </w:p>
        </w:tc>
      </w:tr>
      <w:tr w:rsidR="00F41043" w:rsidRPr="00F41043" w14:paraId="43834E3C" w14:textId="77777777" w:rsidTr="00446A14">
        <w:trPr>
          <w:trHeight w:val="198"/>
        </w:trPr>
        <w:tc>
          <w:tcPr>
            <w:tcW w:w="2288" w:type="pct"/>
            <w:tcBorders>
              <w:top w:val="nil"/>
              <w:left w:val="single" w:sz="4" w:space="0" w:color="auto"/>
              <w:bottom w:val="single" w:sz="4" w:space="0" w:color="auto"/>
              <w:right w:val="single" w:sz="4" w:space="0" w:color="auto"/>
            </w:tcBorders>
            <w:shd w:val="clear" w:color="auto" w:fill="auto"/>
            <w:noWrap/>
            <w:vAlign w:val="bottom"/>
            <w:hideMark/>
          </w:tcPr>
          <w:p w14:paraId="79AC7A58"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Prejuízo Operacional antes do Resultado Financeiro</w:t>
            </w:r>
          </w:p>
        </w:tc>
        <w:tc>
          <w:tcPr>
            <w:tcW w:w="697" w:type="pct"/>
            <w:tcBorders>
              <w:top w:val="nil"/>
              <w:left w:val="nil"/>
              <w:bottom w:val="single" w:sz="4" w:space="0" w:color="auto"/>
              <w:right w:val="single" w:sz="4" w:space="0" w:color="auto"/>
            </w:tcBorders>
            <w:shd w:val="clear" w:color="auto" w:fill="auto"/>
            <w:noWrap/>
            <w:vAlign w:val="bottom"/>
            <w:hideMark/>
          </w:tcPr>
          <w:p w14:paraId="68DE7AE7"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(66.928)</w:t>
            </w:r>
          </w:p>
        </w:tc>
        <w:tc>
          <w:tcPr>
            <w:tcW w:w="773" w:type="pct"/>
            <w:tcBorders>
              <w:top w:val="nil"/>
              <w:left w:val="nil"/>
              <w:bottom w:val="single" w:sz="4" w:space="0" w:color="auto"/>
              <w:right w:val="single" w:sz="4" w:space="0" w:color="auto"/>
            </w:tcBorders>
            <w:shd w:val="clear" w:color="auto" w:fill="auto"/>
            <w:noWrap/>
            <w:vAlign w:val="bottom"/>
            <w:hideMark/>
          </w:tcPr>
          <w:p w14:paraId="3A1DD05A"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(33.803)</w:t>
            </w:r>
          </w:p>
        </w:tc>
        <w:tc>
          <w:tcPr>
            <w:tcW w:w="563" w:type="pct"/>
            <w:tcBorders>
              <w:top w:val="nil"/>
              <w:left w:val="nil"/>
              <w:bottom w:val="single" w:sz="4" w:space="0" w:color="auto"/>
              <w:right w:val="single" w:sz="4" w:space="0" w:color="auto"/>
            </w:tcBorders>
            <w:shd w:val="clear" w:color="auto" w:fill="auto"/>
            <w:noWrap/>
            <w:vAlign w:val="bottom"/>
            <w:hideMark/>
          </w:tcPr>
          <w:p w14:paraId="24CEDDC5"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 </w:t>
            </w:r>
          </w:p>
        </w:tc>
        <w:tc>
          <w:tcPr>
            <w:tcW w:w="679" w:type="pct"/>
            <w:tcBorders>
              <w:top w:val="nil"/>
              <w:left w:val="nil"/>
              <w:bottom w:val="single" w:sz="4" w:space="0" w:color="auto"/>
              <w:right w:val="single" w:sz="4" w:space="0" w:color="auto"/>
            </w:tcBorders>
            <w:shd w:val="clear" w:color="auto" w:fill="auto"/>
            <w:noWrap/>
            <w:vAlign w:val="bottom"/>
            <w:hideMark/>
          </w:tcPr>
          <w:p w14:paraId="2F1E9693"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(100.731)</w:t>
            </w:r>
          </w:p>
        </w:tc>
      </w:tr>
      <w:tr w:rsidR="00F41043" w:rsidRPr="00F41043" w14:paraId="40D9523D" w14:textId="77777777" w:rsidTr="00446A14">
        <w:trPr>
          <w:trHeight w:val="198"/>
        </w:trPr>
        <w:tc>
          <w:tcPr>
            <w:tcW w:w="2288" w:type="pct"/>
            <w:tcBorders>
              <w:top w:val="nil"/>
              <w:left w:val="single" w:sz="4" w:space="0" w:color="auto"/>
              <w:bottom w:val="single" w:sz="4" w:space="0" w:color="auto"/>
              <w:right w:val="single" w:sz="4" w:space="0" w:color="auto"/>
            </w:tcBorders>
            <w:shd w:val="clear" w:color="auto" w:fill="auto"/>
            <w:noWrap/>
            <w:vAlign w:val="bottom"/>
            <w:hideMark/>
          </w:tcPr>
          <w:p w14:paraId="1F5D1C8E"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Resultado Financeiro</w:t>
            </w:r>
          </w:p>
        </w:tc>
        <w:tc>
          <w:tcPr>
            <w:tcW w:w="697" w:type="pct"/>
            <w:tcBorders>
              <w:top w:val="nil"/>
              <w:left w:val="nil"/>
              <w:bottom w:val="single" w:sz="4" w:space="0" w:color="auto"/>
              <w:right w:val="single" w:sz="4" w:space="0" w:color="auto"/>
            </w:tcBorders>
            <w:shd w:val="clear" w:color="auto" w:fill="auto"/>
            <w:noWrap/>
            <w:vAlign w:val="bottom"/>
            <w:hideMark/>
          </w:tcPr>
          <w:p w14:paraId="521D355F"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(59.891)</w:t>
            </w:r>
          </w:p>
        </w:tc>
        <w:tc>
          <w:tcPr>
            <w:tcW w:w="773" w:type="pct"/>
            <w:tcBorders>
              <w:top w:val="nil"/>
              <w:left w:val="nil"/>
              <w:bottom w:val="single" w:sz="4" w:space="0" w:color="auto"/>
              <w:right w:val="single" w:sz="4" w:space="0" w:color="auto"/>
            </w:tcBorders>
            <w:shd w:val="clear" w:color="auto" w:fill="auto"/>
            <w:noWrap/>
            <w:vAlign w:val="bottom"/>
            <w:hideMark/>
          </w:tcPr>
          <w:p w14:paraId="459569C8"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 </w:t>
            </w:r>
          </w:p>
        </w:tc>
        <w:tc>
          <w:tcPr>
            <w:tcW w:w="563" w:type="pct"/>
            <w:tcBorders>
              <w:top w:val="nil"/>
              <w:left w:val="nil"/>
              <w:bottom w:val="single" w:sz="4" w:space="0" w:color="auto"/>
              <w:right w:val="single" w:sz="4" w:space="0" w:color="auto"/>
            </w:tcBorders>
            <w:shd w:val="clear" w:color="auto" w:fill="auto"/>
            <w:noWrap/>
            <w:vAlign w:val="bottom"/>
            <w:hideMark/>
          </w:tcPr>
          <w:p w14:paraId="1008098E"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(2.391)</w:t>
            </w:r>
          </w:p>
        </w:tc>
        <w:tc>
          <w:tcPr>
            <w:tcW w:w="679" w:type="pct"/>
            <w:tcBorders>
              <w:top w:val="nil"/>
              <w:left w:val="nil"/>
              <w:bottom w:val="single" w:sz="4" w:space="0" w:color="auto"/>
              <w:right w:val="single" w:sz="4" w:space="0" w:color="auto"/>
            </w:tcBorders>
            <w:shd w:val="clear" w:color="auto" w:fill="auto"/>
            <w:noWrap/>
            <w:vAlign w:val="bottom"/>
            <w:hideMark/>
          </w:tcPr>
          <w:p w14:paraId="1F6355A5"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(62.282)</w:t>
            </w:r>
          </w:p>
        </w:tc>
      </w:tr>
      <w:tr w:rsidR="00F41043" w:rsidRPr="00F41043" w14:paraId="177BE893" w14:textId="77777777" w:rsidTr="00446A14">
        <w:trPr>
          <w:trHeight w:val="198"/>
        </w:trPr>
        <w:tc>
          <w:tcPr>
            <w:tcW w:w="2288" w:type="pct"/>
            <w:tcBorders>
              <w:top w:val="nil"/>
              <w:left w:val="single" w:sz="4" w:space="0" w:color="auto"/>
              <w:bottom w:val="single" w:sz="4" w:space="0" w:color="auto"/>
              <w:right w:val="single" w:sz="4" w:space="0" w:color="auto"/>
            </w:tcBorders>
            <w:shd w:val="clear" w:color="auto" w:fill="auto"/>
            <w:noWrap/>
            <w:vAlign w:val="bottom"/>
            <w:hideMark/>
          </w:tcPr>
          <w:p w14:paraId="6C34C9F2"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Receitas Financeiras</w:t>
            </w:r>
          </w:p>
        </w:tc>
        <w:tc>
          <w:tcPr>
            <w:tcW w:w="697" w:type="pct"/>
            <w:tcBorders>
              <w:top w:val="nil"/>
              <w:left w:val="nil"/>
              <w:bottom w:val="single" w:sz="4" w:space="0" w:color="auto"/>
              <w:right w:val="single" w:sz="4" w:space="0" w:color="auto"/>
            </w:tcBorders>
            <w:shd w:val="clear" w:color="auto" w:fill="auto"/>
            <w:noWrap/>
            <w:vAlign w:val="bottom"/>
            <w:hideMark/>
          </w:tcPr>
          <w:p w14:paraId="4034364F"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49.467 </w:t>
            </w:r>
          </w:p>
        </w:tc>
        <w:tc>
          <w:tcPr>
            <w:tcW w:w="773" w:type="pct"/>
            <w:tcBorders>
              <w:top w:val="nil"/>
              <w:left w:val="nil"/>
              <w:bottom w:val="single" w:sz="4" w:space="0" w:color="auto"/>
              <w:right w:val="single" w:sz="4" w:space="0" w:color="auto"/>
            </w:tcBorders>
            <w:shd w:val="clear" w:color="auto" w:fill="auto"/>
            <w:noWrap/>
            <w:vAlign w:val="bottom"/>
            <w:hideMark/>
          </w:tcPr>
          <w:p w14:paraId="2E145608"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63" w:type="pct"/>
            <w:tcBorders>
              <w:top w:val="nil"/>
              <w:left w:val="nil"/>
              <w:bottom w:val="single" w:sz="4" w:space="0" w:color="auto"/>
              <w:right w:val="single" w:sz="4" w:space="0" w:color="auto"/>
            </w:tcBorders>
            <w:shd w:val="clear" w:color="auto" w:fill="auto"/>
            <w:noWrap/>
            <w:vAlign w:val="bottom"/>
            <w:hideMark/>
          </w:tcPr>
          <w:p w14:paraId="5D3548DF"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79" w:type="pct"/>
            <w:tcBorders>
              <w:top w:val="nil"/>
              <w:left w:val="nil"/>
              <w:bottom w:val="single" w:sz="4" w:space="0" w:color="auto"/>
              <w:right w:val="single" w:sz="4" w:space="0" w:color="auto"/>
            </w:tcBorders>
            <w:shd w:val="clear" w:color="auto" w:fill="auto"/>
            <w:noWrap/>
            <w:vAlign w:val="bottom"/>
            <w:hideMark/>
          </w:tcPr>
          <w:p w14:paraId="6039764A"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49.467 </w:t>
            </w:r>
          </w:p>
        </w:tc>
      </w:tr>
      <w:tr w:rsidR="00F41043" w:rsidRPr="00F41043" w14:paraId="3FF47D9A" w14:textId="77777777" w:rsidTr="00446A14">
        <w:trPr>
          <w:trHeight w:val="198"/>
        </w:trPr>
        <w:tc>
          <w:tcPr>
            <w:tcW w:w="2288" w:type="pct"/>
            <w:tcBorders>
              <w:top w:val="nil"/>
              <w:left w:val="single" w:sz="4" w:space="0" w:color="auto"/>
              <w:bottom w:val="single" w:sz="4" w:space="0" w:color="auto"/>
              <w:right w:val="single" w:sz="4" w:space="0" w:color="auto"/>
            </w:tcBorders>
            <w:shd w:val="clear" w:color="auto" w:fill="auto"/>
            <w:noWrap/>
            <w:vAlign w:val="bottom"/>
            <w:hideMark/>
          </w:tcPr>
          <w:p w14:paraId="07961444"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Despesas Financeiras</w:t>
            </w:r>
          </w:p>
        </w:tc>
        <w:tc>
          <w:tcPr>
            <w:tcW w:w="697" w:type="pct"/>
            <w:tcBorders>
              <w:top w:val="nil"/>
              <w:left w:val="nil"/>
              <w:bottom w:val="single" w:sz="4" w:space="0" w:color="auto"/>
              <w:right w:val="single" w:sz="4" w:space="0" w:color="auto"/>
            </w:tcBorders>
            <w:shd w:val="clear" w:color="auto" w:fill="auto"/>
            <w:noWrap/>
            <w:vAlign w:val="bottom"/>
            <w:hideMark/>
          </w:tcPr>
          <w:p w14:paraId="23942569"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(109.358)</w:t>
            </w:r>
          </w:p>
        </w:tc>
        <w:tc>
          <w:tcPr>
            <w:tcW w:w="773" w:type="pct"/>
            <w:tcBorders>
              <w:top w:val="nil"/>
              <w:left w:val="nil"/>
              <w:bottom w:val="single" w:sz="4" w:space="0" w:color="auto"/>
              <w:right w:val="single" w:sz="4" w:space="0" w:color="auto"/>
            </w:tcBorders>
            <w:shd w:val="clear" w:color="auto" w:fill="auto"/>
            <w:noWrap/>
            <w:vAlign w:val="bottom"/>
            <w:hideMark/>
          </w:tcPr>
          <w:p w14:paraId="056BE32C"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63" w:type="pct"/>
            <w:tcBorders>
              <w:top w:val="nil"/>
              <w:left w:val="nil"/>
              <w:bottom w:val="single" w:sz="4" w:space="0" w:color="auto"/>
              <w:right w:val="single" w:sz="4" w:space="0" w:color="auto"/>
            </w:tcBorders>
            <w:shd w:val="clear" w:color="auto" w:fill="auto"/>
            <w:noWrap/>
            <w:vAlign w:val="bottom"/>
            <w:hideMark/>
          </w:tcPr>
          <w:p w14:paraId="16F6C10A"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(2.391)</w:t>
            </w:r>
          </w:p>
        </w:tc>
        <w:tc>
          <w:tcPr>
            <w:tcW w:w="679" w:type="pct"/>
            <w:tcBorders>
              <w:top w:val="nil"/>
              <w:left w:val="nil"/>
              <w:bottom w:val="single" w:sz="4" w:space="0" w:color="auto"/>
              <w:right w:val="single" w:sz="4" w:space="0" w:color="auto"/>
            </w:tcBorders>
            <w:shd w:val="clear" w:color="auto" w:fill="auto"/>
            <w:noWrap/>
            <w:vAlign w:val="bottom"/>
            <w:hideMark/>
          </w:tcPr>
          <w:p w14:paraId="13585D00"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(111.749)</w:t>
            </w:r>
          </w:p>
        </w:tc>
      </w:tr>
      <w:tr w:rsidR="00F41043" w:rsidRPr="00F41043" w14:paraId="296F927A" w14:textId="77777777" w:rsidTr="00446A14">
        <w:trPr>
          <w:trHeight w:val="198"/>
        </w:trPr>
        <w:tc>
          <w:tcPr>
            <w:tcW w:w="2288" w:type="pct"/>
            <w:tcBorders>
              <w:top w:val="nil"/>
              <w:left w:val="single" w:sz="4" w:space="0" w:color="auto"/>
              <w:bottom w:val="single" w:sz="4" w:space="0" w:color="auto"/>
              <w:right w:val="single" w:sz="4" w:space="0" w:color="auto"/>
            </w:tcBorders>
            <w:shd w:val="clear" w:color="auto" w:fill="auto"/>
            <w:noWrap/>
            <w:vAlign w:val="bottom"/>
            <w:hideMark/>
          </w:tcPr>
          <w:p w14:paraId="2183440E"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Prejuízo do Exercício</w:t>
            </w:r>
          </w:p>
        </w:tc>
        <w:tc>
          <w:tcPr>
            <w:tcW w:w="697" w:type="pct"/>
            <w:tcBorders>
              <w:top w:val="nil"/>
              <w:left w:val="nil"/>
              <w:bottom w:val="single" w:sz="4" w:space="0" w:color="auto"/>
              <w:right w:val="single" w:sz="4" w:space="0" w:color="auto"/>
            </w:tcBorders>
            <w:shd w:val="clear" w:color="auto" w:fill="auto"/>
            <w:noWrap/>
            <w:vAlign w:val="bottom"/>
            <w:hideMark/>
          </w:tcPr>
          <w:p w14:paraId="43D68F06"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(126.819)</w:t>
            </w:r>
          </w:p>
        </w:tc>
        <w:tc>
          <w:tcPr>
            <w:tcW w:w="773" w:type="pct"/>
            <w:tcBorders>
              <w:top w:val="nil"/>
              <w:left w:val="nil"/>
              <w:bottom w:val="single" w:sz="4" w:space="0" w:color="auto"/>
              <w:right w:val="single" w:sz="4" w:space="0" w:color="auto"/>
            </w:tcBorders>
            <w:shd w:val="clear" w:color="auto" w:fill="auto"/>
            <w:noWrap/>
            <w:vAlign w:val="bottom"/>
            <w:hideMark/>
          </w:tcPr>
          <w:p w14:paraId="1939AD07"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(33.803)</w:t>
            </w:r>
          </w:p>
        </w:tc>
        <w:tc>
          <w:tcPr>
            <w:tcW w:w="563" w:type="pct"/>
            <w:tcBorders>
              <w:top w:val="nil"/>
              <w:left w:val="nil"/>
              <w:bottom w:val="single" w:sz="4" w:space="0" w:color="auto"/>
              <w:right w:val="single" w:sz="4" w:space="0" w:color="auto"/>
            </w:tcBorders>
            <w:shd w:val="clear" w:color="auto" w:fill="auto"/>
            <w:noWrap/>
            <w:vAlign w:val="bottom"/>
            <w:hideMark/>
          </w:tcPr>
          <w:p w14:paraId="54AFA2D5"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(2.391)</w:t>
            </w:r>
          </w:p>
        </w:tc>
        <w:tc>
          <w:tcPr>
            <w:tcW w:w="679" w:type="pct"/>
            <w:tcBorders>
              <w:top w:val="nil"/>
              <w:left w:val="nil"/>
              <w:bottom w:val="single" w:sz="4" w:space="0" w:color="auto"/>
              <w:right w:val="single" w:sz="4" w:space="0" w:color="auto"/>
            </w:tcBorders>
            <w:shd w:val="clear" w:color="auto" w:fill="auto"/>
            <w:noWrap/>
            <w:vAlign w:val="bottom"/>
            <w:hideMark/>
          </w:tcPr>
          <w:p w14:paraId="7106B58B"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(163.013)</w:t>
            </w:r>
          </w:p>
        </w:tc>
      </w:tr>
      <w:tr w:rsidR="00F41043" w:rsidRPr="00F41043" w14:paraId="1EDCD016" w14:textId="77777777" w:rsidTr="00446A14">
        <w:trPr>
          <w:trHeight w:val="198"/>
        </w:trPr>
        <w:tc>
          <w:tcPr>
            <w:tcW w:w="2288" w:type="pct"/>
            <w:tcBorders>
              <w:top w:val="nil"/>
              <w:left w:val="nil"/>
              <w:bottom w:val="nil"/>
              <w:right w:val="nil"/>
            </w:tcBorders>
            <w:shd w:val="clear" w:color="auto" w:fill="auto"/>
            <w:noWrap/>
            <w:vAlign w:val="bottom"/>
            <w:hideMark/>
          </w:tcPr>
          <w:p w14:paraId="38532B43"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p>
        </w:tc>
        <w:tc>
          <w:tcPr>
            <w:tcW w:w="697" w:type="pct"/>
            <w:tcBorders>
              <w:top w:val="nil"/>
              <w:left w:val="nil"/>
              <w:bottom w:val="nil"/>
              <w:right w:val="nil"/>
            </w:tcBorders>
            <w:shd w:val="clear" w:color="auto" w:fill="auto"/>
            <w:noWrap/>
            <w:vAlign w:val="bottom"/>
            <w:hideMark/>
          </w:tcPr>
          <w:p w14:paraId="69AF741E" w14:textId="77777777" w:rsidR="00F41043" w:rsidRPr="00F41043" w:rsidRDefault="00F41043" w:rsidP="00F41043">
            <w:pPr>
              <w:spacing w:after="0" w:line="240" w:lineRule="auto"/>
              <w:rPr>
                <w:rFonts w:ascii="Times New Roman" w:eastAsia="Times New Roman" w:hAnsi="Times New Roman" w:cs="Times New Roman"/>
                <w:kern w:val="0"/>
                <w:sz w:val="20"/>
                <w:szCs w:val="20"/>
                <w:lang w:eastAsia="pt-BR"/>
                <w14:ligatures w14:val="none"/>
              </w:rPr>
            </w:pPr>
          </w:p>
        </w:tc>
        <w:tc>
          <w:tcPr>
            <w:tcW w:w="773" w:type="pct"/>
            <w:tcBorders>
              <w:top w:val="nil"/>
              <w:left w:val="nil"/>
              <w:bottom w:val="nil"/>
              <w:right w:val="nil"/>
            </w:tcBorders>
            <w:shd w:val="clear" w:color="auto" w:fill="auto"/>
            <w:noWrap/>
            <w:vAlign w:val="bottom"/>
            <w:hideMark/>
          </w:tcPr>
          <w:p w14:paraId="0B068761" w14:textId="77777777" w:rsidR="00F41043" w:rsidRPr="00F41043" w:rsidRDefault="00F41043" w:rsidP="00F41043">
            <w:pPr>
              <w:spacing w:after="0" w:line="240" w:lineRule="auto"/>
              <w:rPr>
                <w:rFonts w:ascii="Times New Roman" w:eastAsia="Times New Roman" w:hAnsi="Times New Roman" w:cs="Times New Roman"/>
                <w:kern w:val="0"/>
                <w:sz w:val="20"/>
                <w:szCs w:val="20"/>
                <w:lang w:eastAsia="pt-BR"/>
                <w14:ligatures w14:val="none"/>
              </w:rPr>
            </w:pPr>
          </w:p>
        </w:tc>
        <w:tc>
          <w:tcPr>
            <w:tcW w:w="563" w:type="pct"/>
            <w:tcBorders>
              <w:top w:val="nil"/>
              <w:left w:val="nil"/>
              <w:bottom w:val="nil"/>
              <w:right w:val="nil"/>
            </w:tcBorders>
            <w:shd w:val="clear" w:color="auto" w:fill="auto"/>
            <w:noWrap/>
            <w:vAlign w:val="bottom"/>
            <w:hideMark/>
          </w:tcPr>
          <w:p w14:paraId="14845DF8" w14:textId="77777777" w:rsidR="00F41043" w:rsidRPr="00F41043" w:rsidRDefault="00F41043" w:rsidP="00F41043">
            <w:pPr>
              <w:spacing w:after="0" w:line="240" w:lineRule="auto"/>
              <w:rPr>
                <w:rFonts w:ascii="Times New Roman" w:eastAsia="Times New Roman" w:hAnsi="Times New Roman" w:cs="Times New Roman"/>
                <w:kern w:val="0"/>
                <w:sz w:val="20"/>
                <w:szCs w:val="20"/>
                <w:lang w:eastAsia="pt-BR"/>
                <w14:ligatures w14:val="none"/>
              </w:rPr>
            </w:pPr>
          </w:p>
        </w:tc>
        <w:tc>
          <w:tcPr>
            <w:tcW w:w="679" w:type="pct"/>
            <w:tcBorders>
              <w:top w:val="nil"/>
              <w:left w:val="nil"/>
              <w:bottom w:val="nil"/>
              <w:right w:val="nil"/>
            </w:tcBorders>
            <w:shd w:val="clear" w:color="auto" w:fill="auto"/>
            <w:noWrap/>
            <w:vAlign w:val="bottom"/>
            <w:hideMark/>
          </w:tcPr>
          <w:p w14:paraId="3515C2BE" w14:textId="77777777" w:rsidR="00F41043" w:rsidRPr="00F41043" w:rsidRDefault="00F41043" w:rsidP="00F41043">
            <w:pPr>
              <w:spacing w:after="0" w:line="240" w:lineRule="auto"/>
              <w:rPr>
                <w:rFonts w:ascii="Times New Roman" w:eastAsia="Times New Roman" w:hAnsi="Times New Roman" w:cs="Times New Roman"/>
                <w:kern w:val="0"/>
                <w:sz w:val="20"/>
                <w:szCs w:val="20"/>
                <w:lang w:eastAsia="pt-BR"/>
                <w14:ligatures w14:val="none"/>
              </w:rPr>
            </w:pPr>
          </w:p>
        </w:tc>
      </w:tr>
      <w:tr w:rsidR="00F41043" w:rsidRPr="00F41043" w14:paraId="4D23E078" w14:textId="77777777" w:rsidTr="00446A14">
        <w:trPr>
          <w:trHeight w:val="198"/>
        </w:trPr>
        <w:tc>
          <w:tcPr>
            <w:tcW w:w="22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7A666"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Prejuízo Básico e Diluído por Ação em Reais:</w:t>
            </w:r>
          </w:p>
        </w:tc>
        <w:tc>
          <w:tcPr>
            <w:tcW w:w="697" w:type="pct"/>
            <w:tcBorders>
              <w:top w:val="single" w:sz="4" w:space="0" w:color="auto"/>
              <w:left w:val="nil"/>
              <w:bottom w:val="single" w:sz="4" w:space="0" w:color="auto"/>
              <w:right w:val="single" w:sz="4" w:space="0" w:color="auto"/>
            </w:tcBorders>
            <w:shd w:val="clear" w:color="auto" w:fill="auto"/>
            <w:noWrap/>
            <w:vAlign w:val="bottom"/>
            <w:hideMark/>
          </w:tcPr>
          <w:p w14:paraId="442758B1"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773" w:type="pct"/>
            <w:tcBorders>
              <w:top w:val="single" w:sz="4" w:space="0" w:color="auto"/>
              <w:left w:val="nil"/>
              <w:bottom w:val="single" w:sz="4" w:space="0" w:color="auto"/>
              <w:right w:val="single" w:sz="4" w:space="0" w:color="auto"/>
            </w:tcBorders>
            <w:shd w:val="clear" w:color="auto" w:fill="auto"/>
            <w:noWrap/>
            <w:vAlign w:val="bottom"/>
            <w:hideMark/>
          </w:tcPr>
          <w:p w14:paraId="34825CA3"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63" w:type="pct"/>
            <w:tcBorders>
              <w:top w:val="single" w:sz="4" w:space="0" w:color="auto"/>
              <w:left w:val="nil"/>
              <w:bottom w:val="single" w:sz="4" w:space="0" w:color="auto"/>
              <w:right w:val="single" w:sz="4" w:space="0" w:color="auto"/>
            </w:tcBorders>
            <w:shd w:val="clear" w:color="auto" w:fill="auto"/>
            <w:noWrap/>
            <w:vAlign w:val="bottom"/>
            <w:hideMark/>
          </w:tcPr>
          <w:p w14:paraId="0828A6FF"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79" w:type="pct"/>
            <w:tcBorders>
              <w:top w:val="single" w:sz="4" w:space="0" w:color="auto"/>
              <w:left w:val="nil"/>
              <w:bottom w:val="single" w:sz="4" w:space="0" w:color="auto"/>
              <w:right w:val="single" w:sz="4" w:space="0" w:color="auto"/>
            </w:tcBorders>
            <w:shd w:val="clear" w:color="auto" w:fill="auto"/>
            <w:noWrap/>
            <w:vAlign w:val="bottom"/>
            <w:hideMark/>
          </w:tcPr>
          <w:p w14:paraId="1A9B2695"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r>
      <w:tr w:rsidR="00F41043" w:rsidRPr="00F41043" w14:paraId="0CC14B30" w14:textId="77777777" w:rsidTr="00446A14">
        <w:trPr>
          <w:trHeight w:val="198"/>
        </w:trPr>
        <w:tc>
          <w:tcPr>
            <w:tcW w:w="2288" w:type="pct"/>
            <w:tcBorders>
              <w:top w:val="nil"/>
              <w:left w:val="single" w:sz="4" w:space="0" w:color="auto"/>
              <w:bottom w:val="single" w:sz="4" w:space="0" w:color="auto"/>
              <w:right w:val="single" w:sz="4" w:space="0" w:color="auto"/>
            </w:tcBorders>
            <w:shd w:val="clear" w:color="auto" w:fill="auto"/>
            <w:noWrap/>
            <w:vAlign w:val="bottom"/>
            <w:hideMark/>
          </w:tcPr>
          <w:p w14:paraId="74673A3A"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Ações Ordinárias – Básicas e diluídas</w:t>
            </w:r>
          </w:p>
        </w:tc>
        <w:tc>
          <w:tcPr>
            <w:tcW w:w="697" w:type="pct"/>
            <w:tcBorders>
              <w:top w:val="nil"/>
              <w:left w:val="nil"/>
              <w:bottom w:val="single" w:sz="4" w:space="0" w:color="auto"/>
              <w:right w:val="single" w:sz="4" w:space="0" w:color="auto"/>
            </w:tcBorders>
            <w:shd w:val="clear" w:color="auto" w:fill="auto"/>
            <w:noWrap/>
            <w:vAlign w:val="center"/>
            <w:hideMark/>
          </w:tcPr>
          <w:p w14:paraId="3731ACB8"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(1,8687)</w:t>
            </w:r>
          </w:p>
        </w:tc>
        <w:tc>
          <w:tcPr>
            <w:tcW w:w="773" w:type="pct"/>
            <w:tcBorders>
              <w:top w:val="nil"/>
              <w:left w:val="nil"/>
              <w:bottom w:val="single" w:sz="4" w:space="0" w:color="auto"/>
              <w:right w:val="single" w:sz="4" w:space="0" w:color="auto"/>
            </w:tcBorders>
            <w:shd w:val="clear" w:color="auto" w:fill="auto"/>
            <w:noWrap/>
            <w:vAlign w:val="bottom"/>
            <w:hideMark/>
          </w:tcPr>
          <w:p w14:paraId="07BBED2F"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63" w:type="pct"/>
            <w:tcBorders>
              <w:top w:val="nil"/>
              <w:left w:val="nil"/>
              <w:bottom w:val="single" w:sz="4" w:space="0" w:color="auto"/>
              <w:right w:val="single" w:sz="4" w:space="0" w:color="auto"/>
            </w:tcBorders>
            <w:shd w:val="clear" w:color="auto" w:fill="auto"/>
            <w:noWrap/>
            <w:vAlign w:val="bottom"/>
            <w:hideMark/>
          </w:tcPr>
          <w:p w14:paraId="4F86CB7C"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79" w:type="pct"/>
            <w:tcBorders>
              <w:top w:val="nil"/>
              <w:left w:val="nil"/>
              <w:bottom w:val="single" w:sz="4" w:space="0" w:color="auto"/>
              <w:right w:val="single" w:sz="4" w:space="0" w:color="auto"/>
            </w:tcBorders>
            <w:shd w:val="clear" w:color="auto" w:fill="auto"/>
            <w:noWrap/>
            <w:vAlign w:val="bottom"/>
            <w:hideMark/>
          </w:tcPr>
          <w:p w14:paraId="013942B8"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(2,4020)</w:t>
            </w:r>
          </w:p>
        </w:tc>
      </w:tr>
      <w:tr w:rsidR="00F41043" w:rsidRPr="00F41043" w14:paraId="236711E5" w14:textId="77777777" w:rsidTr="00446A14">
        <w:trPr>
          <w:trHeight w:val="198"/>
        </w:trPr>
        <w:tc>
          <w:tcPr>
            <w:tcW w:w="2288" w:type="pct"/>
            <w:tcBorders>
              <w:top w:val="nil"/>
              <w:left w:val="single" w:sz="4" w:space="0" w:color="auto"/>
              <w:bottom w:val="single" w:sz="4" w:space="0" w:color="auto"/>
              <w:right w:val="single" w:sz="4" w:space="0" w:color="auto"/>
            </w:tcBorders>
            <w:shd w:val="clear" w:color="auto" w:fill="auto"/>
            <w:noWrap/>
            <w:vAlign w:val="bottom"/>
            <w:hideMark/>
          </w:tcPr>
          <w:p w14:paraId="6E6E28B5"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Ações Preferenciais – Básicas e diluídas</w:t>
            </w:r>
          </w:p>
        </w:tc>
        <w:tc>
          <w:tcPr>
            <w:tcW w:w="697" w:type="pct"/>
            <w:tcBorders>
              <w:top w:val="nil"/>
              <w:left w:val="nil"/>
              <w:bottom w:val="single" w:sz="4" w:space="0" w:color="auto"/>
              <w:right w:val="single" w:sz="4" w:space="0" w:color="auto"/>
            </w:tcBorders>
            <w:shd w:val="clear" w:color="auto" w:fill="auto"/>
            <w:noWrap/>
            <w:vAlign w:val="bottom"/>
            <w:hideMark/>
          </w:tcPr>
          <w:p w14:paraId="131C9CE8"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(1,8687)</w:t>
            </w:r>
          </w:p>
        </w:tc>
        <w:tc>
          <w:tcPr>
            <w:tcW w:w="773" w:type="pct"/>
            <w:tcBorders>
              <w:top w:val="nil"/>
              <w:left w:val="nil"/>
              <w:bottom w:val="single" w:sz="4" w:space="0" w:color="auto"/>
              <w:right w:val="single" w:sz="4" w:space="0" w:color="auto"/>
            </w:tcBorders>
            <w:shd w:val="clear" w:color="auto" w:fill="auto"/>
            <w:noWrap/>
            <w:vAlign w:val="bottom"/>
            <w:hideMark/>
          </w:tcPr>
          <w:p w14:paraId="4BBC36CA"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63" w:type="pct"/>
            <w:tcBorders>
              <w:top w:val="nil"/>
              <w:left w:val="nil"/>
              <w:bottom w:val="single" w:sz="4" w:space="0" w:color="auto"/>
              <w:right w:val="single" w:sz="4" w:space="0" w:color="auto"/>
            </w:tcBorders>
            <w:shd w:val="clear" w:color="auto" w:fill="auto"/>
            <w:noWrap/>
            <w:vAlign w:val="bottom"/>
            <w:hideMark/>
          </w:tcPr>
          <w:p w14:paraId="0E8EBA4E"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79" w:type="pct"/>
            <w:tcBorders>
              <w:top w:val="nil"/>
              <w:left w:val="nil"/>
              <w:bottom w:val="single" w:sz="4" w:space="0" w:color="auto"/>
              <w:right w:val="single" w:sz="4" w:space="0" w:color="auto"/>
            </w:tcBorders>
            <w:shd w:val="clear" w:color="auto" w:fill="auto"/>
            <w:noWrap/>
            <w:vAlign w:val="bottom"/>
            <w:hideMark/>
          </w:tcPr>
          <w:p w14:paraId="148DEA6D"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(2,4020)</w:t>
            </w:r>
          </w:p>
        </w:tc>
      </w:tr>
    </w:tbl>
    <w:p w14:paraId="508D2602" w14:textId="489B5555" w:rsidR="00F41043" w:rsidRPr="00F41043" w:rsidRDefault="00F41043" w:rsidP="007A23F8">
      <w:pPr>
        <w:spacing w:after="0" w:line="240" w:lineRule="auto"/>
        <w:jc w:val="both"/>
        <w:rPr>
          <w:rFonts w:ascii="Calibri" w:eastAsia="Times New Roman" w:hAnsi="Calibri" w:cs="Calibri"/>
          <w:iCs/>
          <w:color w:val="002060"/>
          <w:kern w:val="0"/>
          <w14:ligatures w14:val="none"/>
        </w:rPr>
      </w:pPr>
      <w:r w:rsidRPr="00F41043">
        <w:rPr>
          <w:rFonts w:ascii="Calibri" w:eastAsia="Times New Roman" w:hAnsi="Calibri" w:cs="Calibri"/>
          <w:iCs/>
          <w:color w:val="002060"/>
          <w:kern w:val="0"/>
          <w14:ligatures w14:val="none"/>
        </w:rPr>
        <w:t>i) Refere-se aos valores recebidos relativos às Subvenções para Investimentos (aplicações no Ativo Imobilizado) no exercício de 2021, que haviam sido reconhecidos em “Outras Receitas Operacionais” naquele ano.</w:t>
      </w:r>
    </w:p>
    <w:p w14:paraId="32D554AC" w14:textId="77777777" w:rsidR="00F41043" w:rsidRPr="00F41043" w:rsidRDefault="00F41043" w:rsidP="007A23F8">
      <w:pPr>
        <w:spacing w:after="0" w:line="240" w:lineRule="auto"/>
        <w:jc w:val="both"/>
        <w:rPr>
          <w:rFonts w:ascii="Calibri" w:eastAsia="Times New Roman" w:hAnsi="Calibri" w:cs="Calibri"/>
          <w:iCs/>
          <w:color w:val="002060"/>
          <w:kern w:val="0"/>
          <w14:ligatures w14:val="none"/>
        </w:rPr>
      </w:pPr>
      <w:proofErr w:type="spellStart"/>
      <w:r w:rsidRPr="00F41043">
        <w:rPr>
          <w:rFonts w:ascii="Calibri" w:eastAsia="Times New Roman" w:hAnsi="Calibri" w:cs="Calibri"/>
          <w:iCs/>
          <w:color w:val="002060"/>
          <w:kern w:val="0"/>
          <w14:ligatures w14:val="none"/>
        </w:rPr>
        <w:lastRenderedPageBreak/>
        <w:t>ii</w:t>
      </w:r>
      <w:proofErr w:type="spellEnd"/>
      <w:r w:rsidRPr="00F41043">
        <w:rPr>
          <w:rFonts w:ascii="Calibri" w:eastAsia="Times New Roman" w:hAnsi="Calibri" w:cs="Calibri"/>
          <w:iCs/>
          <w:color w:val="002060"/>
          <w:kern w:val="0"/>
          <w14:ligatures w14:val="none"/>
        </w:rPr>
        <w:t xml:space="preserve">) Representa os Juros reconhecidos quando da adoção da nova política contábil, a qual, alterou a forma de registro das Subvenções para Investimentos do resultado do exercício para o Passivo Exigível, a Telebras passou a reconhecer juros sobre aos valores de AFAC. </w:t>
      </w:r>
    </w:p>
    <w:p w14:paraId="3ECE59B5" w14:textId="2FD248EC" w:rsidR="00F41043" w:rsidRPr="00F41043" w:rsidRDefault="00F41043" w:rsidP="007A23F8">
      <w:pPr>
        <w:spacing w:after="0" w:line="240" w:lineRule="auto"/>
        <w:jc w:val="both"/>
        <w:rPr>
          <w:rFonts w:ascii="Calibri" w:eastAsia="Times New Roman" w:hAnsi="Calibri" w:cs="Calibri"/>
          <w:b/>
          <w:bCs/>
          <w:iCs/>
          <w:color w:val="002060"/>
          <w:kern w:val="0"/>
          <w14:ligatures w14:val="none"/>
        </w:rPr>
      </w:pPr>
      <w:r w:rsidRPr="00F41043">
        <w:rPr>
          <w:rFonts w:ascii="Calibri" w:eastAsia="Times New Roman" w:hAnsi="Calibri" w:cs="Calibri"/>
          <w:b/>
          <w:bCs/>
          <w:iCs/>
          <w:color w:val="002060"/>
          <w:kern w:val="0"/>
          <w14:ligatures w14:val="none"/>
        </w:rPr>
        <w:t>3.2.4. Demonstração do Resultado Abrangente</w:t>
      </w:r>
    </w:p>
    <w:tbl>
      <w:tblPr>
        <w:tblW w:w="5000" w:type="pct"/>
        <w:tblCellMar>
          <w:left w:w="70" w:type="dxa"/>
          <w:right w:w="70" w:type="dxa"/>
        </w:tblCellMar>
        <w:tblLook w:val="04A0" w:firstRow="1" w:lastRow="0" w:firstColumn="1" w:lastColumn="0" w:noHBand="0" w:noVBand="1"/>
      </w:tblPr>
      <w:tblGrid>
        <w:gridCol w:w="5007"/>
        <w:gridCol w:w="1137"/>
        <w:gridCol w:w="1393"/>
        <w:gridCol w:w="1004"/>
        <w:gridCol w:w="1230"/>
      </w:tblGrid>
      <w:tr w:rsidR="00F41043" w:rsidRPr="00F41043" w14:paraId="0BA2A49D" w14:textId="77777777" w:rsidTr="00446A14">
        <w:trPr>
          <w:trHeight w:val="198"/>
          <w:tblHeader/>
        </w:trPr>
        <w:tc>
          <w:tcPr>
            <w:tcW w:w="2562" w:type="pct"/>
            <w:vMerge w:val="restart"/>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0BB29E69" w14:textId="77777777" w:rsidR="00F41043" w:rsidRPr="00F41043" w:rsidRDefault="00F41043" w:rsidP="00F41043">
            <w:pPr>
              <w:spacing w:after="0" w:line="240" w:lineRule="auto"/>
              <w:jc w:val="center"/>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w:t>
            </w:r>
          </w:p>
        </w:tc>
        <w:tc>
          <w:tcPr>
            <w:tcW w:w="5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73E341" w14:textId="77777777" w:rsidR="00F41043" w:rsidRPr="00F41043" w:rsidRDefault="00F41043" w:rsidP="00F41043">
            <w:pPr>
              <w:spacing w:after="0" w:line="240" w:lineRule="auto"/>
              <w:jc w:val="center"/>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Saldos Divulgados em 2021</w:t>
            </w:r>
          </w:p>
        </w:tc>
        <w:tc>
          <w:tcPr>
            <w:tcW w:w="1227" w:type="pct"/>
            <w:gridSpan w:val="2"/>
            <w:tcBorders>
              <w:top w:val="single" w:sz="4" w:space="0" w:color="auto"/>
              <w:left w:val="nil"/>
              <w:bottom w:val="single" w:sz="4" w:space="0" w:color="auto"/>
              <w:right w:val="single" w:sz="4" w:space="0" w:color="auto"/>
            </w:tcBorders>
            <w:shd w:val="clear" w:color="auto" w:fill="auto"/>
            <w:noWrap/>
            <w:vAlign w:val="bottom"/>
            <w:hideMark/>
          </w:tcPr>
          <w:p w14:paraId="1EE22EE6" w14:textId="77777777" w:rsidR="00F41043" w:rsidRPr="00F41043" w:rsidRDefault="00F41043" w:rsidP="00F41043">
            <w:pPr>
              <w:spacing w:after="0" w:line="240" w:lineRule="auto"/>
              <w:jc w:val="center"/>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Ajustes</w:t>
            </w:r>
          </w:p>
        </w:tc>
        <w:tc>
          <w:tcPr>
            <w:tcW w:w="6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2DF1D0" w14:textId="77777777" w:rsidR="00F41043" w:rsidRPr="00F41043" w:rsidRDefault="00F41043" w:rsidP="00F41043">
            <w:pPr>
              <w:spacing w:after="0" w:line="240" w:lineRule="auto"/>
              <w:jc w:val="center"/>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Saldos Reapresentados em 2021</w:t>
            </w:r>
          </w:p>
        </w:tc>
      </w:tr>
      <w:tr w:rsidR="00F41043" w:rsidRPr="00F41043" w14:paraId="5DDC69E9" w14:textId="77777777" w:rsidTr="00446A14">
        <w:trPr>
          <w:trHeight w:val="198"/>
          <w:tblHeader/>
        </w:trPr>
        <w:tc>
          <w:tcPr>
            <w:tcW w:w="2562" w:type="pct"/>
            <w:vMerge/>
            <w:tcBorders>
              <w:top w:val="single" w:sz="4" w:space="0" w:color="auto"/>
              <w:left w:val="single" w:sz="4" w:space="0" w:color="auto"/>
              <w:bottom w:val="single" w:sz="4" w:space="0" w:color="auto"/>
              <w:right w:val="single" w:sz="4" w:space="0" w:color="auto"/>
            </w:tcBorders>
            <w:vAlign w:val="center"/>
            <w:hideMark/>
          </w:tcPr>
          <w:p w14:paraId="7991CBA9"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14:paraId="693F0E2D"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p>
        </w:tc>
        <w:tc>
          <w:tcPr>
            <w:tcW w:w="713" w:type="pct"/>
            <w:tcBorders>
              <w:top w:val="nil"/>
              <w:left w:val="nil"/>
              <w:bottom w:val="single" w:sz="4" w:space="0" w:color="auto"/>
              <w:right w:val="single" w:sz="4" w:space="0" w:color="auto"/>
            </w:tcBorders>
            <w:shd w:val="clear" w:color="auto" w:fill="auto"/>
            <w:vAlign w:val="center"/>
            <w:hideMark/>
          </w:tcPr>
          <w:p w14:paraId="330FB0E3" w14:textId="77777777" w:rsidR="00F41043" w:rsidRPr="00F41043" w:rsidRDefault="00F41043" w:rsidP="00F41043">
            <w:pPr>
              <w:spacing w:after="0" w:line="240" w:lineRule="auto"/>
              <w:jc w:val="center"/>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Subvenções para Investimentos</w:t>
            </w:r>
          </w:p>
        </w:tc>
        <w:tc>
          <w:tcPr>
            <w:tcW w:w="514" w:type="pct"/>
            <w:tcBorders>
              <w:top w:val="nil"/>
              <w:left w:val="nil"/>
              <w:bottom w:val="single" w:sz="4" w:space="0" w:color="auto"/>
              <w:right w:val="single" w:sz="4" w:space="0" w:color="auto"/>
            </w:tcBorders>
            <w:shd w:val="clear" w:color="auto" w:fill="auto"/>
            <w:vAlign w:val="center"/>
            <w:hideMark/>
          </w:tcPr>
          <w:p w14:paraId="7C01B473" w14:textId="77777777" w:rsidR="00F41043" w:rsidRPr="00F41043" w:rsidRDefault="00F41043" w:rsidP="00F41043">
            <w:pPr>
              <w:spacing w:after="0" w:line="240" w:lineRule="auto"/>
              <w:jc w:val="center"/>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Juros sobre </w:t>
            </w:r>
            <w:proofErr w:type="spellStart"/>
            <w:r w:rsidRPr="00F41043">
              <w:rPr>
                <w:rFonts w:ascii="Arial" w:eastAsia="Times New Roman" w:hAnsi="Arial" w:cs="Arial"/>
                <w:b/>
                <w:bCs/>
                <w:color w:val="000000"/>
                <w:kern w:val="0"/>
                <w:sz w:val="14"/>
                <w:szCs w:val="14"/>
                <w:lang w:eastAsia="pt-BR"/>
                <w14:ligatures w14:val="none"/>
              </w:rPr>
              <w:t>Afac</w:t>
            </w:r>
            <w:proofErr w:type="spellEnd"/>
          </w:p>
        </w:tc>
        <w:tc>
          <w:tcPr>
            <w:tcW w:w="629" w:type="pct"/>
            <w:vMerge/>
            <w:tcBorders>
              <w:top w:val="single" w:sz="4" w:space="0" w:color="auto"/>
              <w:left w:val="single" w:sz="4" w:space="0" w:color="auto"/>
              <w:bottom w:val="single" w:sz="4" w:space="0" w:color="auto"/>
              <w:right w:val="single" w:sz="4" w:space="0" w:color="auto"/>
            </w:tcBorders>
            <w:vAlign w:val="center"/>
            <w:hideMark/>
          </w:tcPr>
          <w:p w14:paraId="6874A4A0"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p>
        </w:tc>
      </w:tr>
      <w:tr w:rsidR="00F41043" w:rsidRPr="00F41043" w14:paraId="45927354" w14:textId="77777777" w:rsidTr="00446A14">
        <w:trPr>
          <w:trHeight w:val="198"/>
        </w:trPr>
        <w:tc>
          <w:tcPr>
            <w:tcW w:w="2562" w:type="pct"/>
            <w:tcBorders>
              <w:top w:val="nil"/>
              <w:left w:val="single" w:sz="4" w:space="0" w:color="auto"/>
              <w:bottom w:val="single" w:sz="4" w:space="0" w:color="auto"/>
              <w:right w:val="single" w:sz="4" w:space="0" w:color="auto"/>
            </w:tcBorders>
            <w:shd w:val="clear" w:color="auto" w:fill="auto"/>
            <w:noWrap/>
            <w:vAlign w:val="bottom"/>
            <w:hideMark/>
          </w:tcPr>
          <w:p w14:paraId="6BD7FD0A"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Prejuízo do Exercício</w:t>
            </w:r>
          </w:p>
        </w:tc>
        <w:tc>
          <w:tcPr>
            <w:tcW w:w="582" w:type="pct"/>
            <w:tcBorders>
              <w:top w:val="nil"/>
              <w:left w:val="nil"/>
              <w:bottom w:val="single" w:sz="4" w:space="0" w:color="auto"/>
              <w:right w:val="single" w:sz="4" w:space="0" w:color="auto"/>
            </w:tcBorders>
            <w:shd w:val="clear" w:color="auto" w:fill="auto"/>
            <w:noWrap/>
            <w:vAlign w:val="bottom"/>
            <w:hideMark/>
          </w:tcPr>
          <w:p w14:paraId="581349F7"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(126.819)</w:t>
            </w:r>
          </w:p>
        </w:tc>
        <w:tc>
          <w:tcPr>
            <w:tcW w:w="713" w:type="pct"/>
            <w:tcBorders>
              <w:top w:val="nil"/>
              <w:left w:val="nil"/>
              <w:bottom w:val="single" w:sz="4" w:space="0" w:color="auto"/>
              <w:right w:val="single" w:sz="4" w:space="0" w:color="auto"/>
            </w:tcBorders>
            <w:shd w:val="clear" w:color="auto" w:fill="auto"/>
            <w:noWrap/>
            <w:vAlign w:val="bottom"/>
            <w:hideMark/>
          </w:tcPr>
          <w:p w14:paraId="770960C5"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(33.803)</w:t>
            </w:r>
          </w:p>
        </w:tc>
        <w:tc>
          <w:tcPr>
            <w:tcW w:w="514" w:type="pct"/>
            <w:tcBorders>
              <w:top w:val="nil"/>
              <w:left w:val="nil"/>
              <w:bottom w:val="single" w:sz="4" w:space="0" w:color="auto"/>
              <w:right w:val="single" w:sz="4" w:space="0" w:color="auto"/>
            </w:tcBorders>
            <w:shd w:val="clear" w:color="auto" w:fill="auto"/>
            <w:noWrap/>
            <w:vAlign w:val="bottom"/>
            <w:hideMark/>
          </w:tcPr>
          <w:p w14:paraId="3DD24FD1"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(2.391)</w:t>
            </w:r>
          </w:p>
        </w:tc>
        <w:tc>
          <w:tcPr>
            <w:tcW w:w="629" w:type="pct"/>
            <w:tcBorders>
              <w:top w:val="nil"/>
              <w:left w:val="nil"/>
              <w:bottom w:val="single" w:sz="4" w:space="0" w:color="auto"/>
              <w:right w:val="single" w:sz="4" w:space="0" w:color="auto"/>
            </w:tcBorders>
            <w:shd w:val="clear" w:color="auto" w:fill="auto"/>
            <w:noWrap/>
            <w:vAlign w:val="bottom"/>
            <w:hideMark/>
          </w:tcPr>
          <w:p w14:paraId="484CCE48"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(163.013)</w:t>
            </w:r>
          </w:p>
        </w:tc>
      </w:tr>
      <w:tr w:rsidR="00F41043" w:rsidRPr="00F41043" w14:paraId="458A1424" w14:textId="77777777" w:rsidTr="00446A14">
        <w:trPr>
          <w:trHeight w:val="198"/>
        </w:trPr>
        <w:tc>
          <w:tcPr>
            <w:tcW w:w="2562" w:type="pct"/>
            <w:tcBorders>
              <w:top w:val="nil"/>
              <w:left w:val="single" w:sz="4" w:space="0" w:color="auto"/>
              <w:bottom w:val="single" w:sz="4" w:space="0" w:color="auto"/>
              <w:right w:val="single" w:sz="4" w:space="0" w:color="auto"/>
            </w:tcBorders>
            <w:shd w:val="clear" w:color="auto" w:fill="auto"/>
            <w:noWrap/>
            <w:vAlign w:val="bottom"/>
            <w:hideMark/>
          </w:tcPr>
          <w:p w14:paraId="1E5F28D2"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Outros Resultados Abrangentes</w:t>
            </w:r>
          </w:p>
        </w:tc>
        <w:tc>
          <w:tcPr>
            <w:tcW w:w="582" w:type="pct"/>
            <w:tcBorders>
              <w:top w:val="nil"/>
              <w:left w:val="nil"/>
              <w:bottom w:val="single" w:sz="4" w:space="0" w:color="auto"/>
              <w:right w:val="single" w:sz="4" w:space="0" w:color="auto"/>
            </w:tcBorders>
            <w:shd w:val="clear" w:color="auto" w:fill="auto"/>
            <w:noWrap/>
            <w:vAlign w:val="bottom"/>
            <w:hideMark/>
          </w:tcPr>
          <w:p w14:paraId="43ADC8D2"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4.338 </w:t>
            </w:r>
          </w:p>
        </w:tc>
        <w:tc>
          <w:tcPr>
            <w:tcW w:w="713" w:type="pct"/>
            <w:tcBorders>
              <w:top w:val="nil"/>
              <w:left w:val="nil"/>
              <w:bottom w:val="single" w:sz="4" w:space="0" w:color="auto"/>
              <w:right w:val="single" w:sz="4" w:space="0" w:color="auto"/>
            </w:tcBorders>
            <w:shd w:val="clear" w:color="auto" w:fill="auto"/>
            <w:noWrap/>
            <w:vAlign w:val="bottom"/>
            <w:hideMark/>
          </w:tcPr>
          <w:p w14:paraId="7CFDF388"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 </w:t>
            </w:r>
          </w:p>
        </w:tc>
        <w:tc>
          <w:tcPr>
            <w:tcW w:w="514" w:type="pct"/>
            <w:tcBorders>
              <w:top w:val="nil"/>
              <w:left w:val="nil"/>
              <w:bottom w:val="single" w:sz="4" w:space="0" w:color="auto"/>
              <w:right w:val="single" w:sz="4" w:space="0" w:color="auto"/>
            </w:tcBorders>
            <w:shd w:val="clear" w:color="auto" w:fill="auto"/>
            <w:noWrap/>
            <w:vAlign w:val="bottom"/>
            <w:hideMark/>
          </w:tcPr>
          <w:p w14:paraId="3574A10B"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 </w:t>
            </w:r>
          </w:p>
        </w:tc>
        <w:tc>
          <w:tcPr>
            <w:tcW w:w="629" w:type="pct"/>
            <w:tcBorders>
              <w:top w:val="nil"/>
              <w:left w:val="nil"/>
              <w:bottom w:val="single" w:sz="4" w:space="0" w:color="auto"/>
              <w:right w:val="single" w:sz="4" w:space="0" w:color="auto"/>
            </w:tcBorders>
            <w:shd w:val="clear" w:color="auto" w:fill="auto"/>
            <w:noWrap/>
            <w:vAlign w:val="bottom"/>
            <w:hideMark/>
          </w:tcPr>
          <w:p w14:paraId="5652E78E"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4.338 </w:t>
            </w:r>
          </w:p>
        </w:tc>
      </w:tr>
      <w:tr w:rsidR="00F41043" w:rsidRPr="00F41043" w14:paraId="76611ECC" w14:textId="77777777" w:rsidTr="00446A14">
        <w:trPr>
          <w:trHeight w:val="198"/>
        </w:trPr>
        <w:tc>
          <w:tcPr>
            <w:tcW w:w="2562" w:type="pct"/>
            <w:tcBorders>
              <w:top w:val="nil"/>
              <w:left w:val="single" w:sz="4" w:space="0" w:color="auto"/>
              <w:bottom w:val="single" w:sz="4" w:space="0" w:color="auto"/>
              <w:right w:val="single" w:sz="4" w:space="0" w:color="auto"/>
            </w:tcBorders>
            <w:shd w:val="clear" w:color="auto" w:fill="auto"/>
            <w:noWrap/>
            <w:vAlign w:val="bottom"/>
            <w:hideMark/>
          </w:tcPr>
          <w:p w14:paraId="5D3395F3"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Itens que poderão ser </w:t>
            </w:r>
            <w:proofErr w:type="gramStart"/>
            <w:r w:rsidRPr="00F41043">
              <w:rPr>
                <w:rFonts w:ascii="Arial" w:eastAsia="Times New Roman" w:hAnsi="Arial" w:cs="Arial"/>
                <w:b/>
                <w:bCs/>
                <w:kern w:val="0"/>
                <w:sz w:val="14"/>
                <w:szCs w:val="14"/>
                <w:lang w:eastAsia="pt-BR"/>
                <w14:ligatures w14:val="none"/>
              </w:rPr>
              <w:t>Reclassificados  para</w:t>
            </w:r>
            <w:proofErr w:type="gramEnd"/>
            <w:r w:rsidRPr="00F41043">
              <w:rPr>
                <w:rFonts w:ascii="Arial" w:eastAsia="Times New Roman" w:hAnsi="Arial" w:cs="Arial"/>
                <w:b/>
                <w:bCs/>
                <w:kern w:val="0"/>
                <w:sz w:val="14"/>
                <w:szCs w:val="14"/>
                <w:lang w:eastAsia="pt-BR"/>
                <w14:ligatures w14:val="none"/>
              </w:rPr>
              <w:t xml:space="preserve"> o Resultado:</w:t>
            </w:r>
          </w:p>
        </w:tc>
        <w:tc>
          <w:tcPr>
            <w:tcW w:w="582" w:type="pct"/>
            <w:tcBorders>
              <w:top w:val="nil"/>
              <w:left w:val="nil"/>
              <w:bottom w:val="single" w:sz="4" w:space="0" w:color="auto"/>
              <w:right w:val="single" w:sz="4" w:space="0" w:color="auto"/>
            </w:tcBorders>
            <w:shd w:val="clear" w:color="auto" w:fill="auto"/>
            <w:noWrap/>
            <w:vAlign w:val="bottom"/>
            <w:hideMark/>
          </w:tcPr>
          <w:p w14:paraId="1F0C6232"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4.340 </w:t>
            </w:r>
          </w:p>
        </w:tc>
        <w:tc>
          <w:tcPr>
            <w:tcW w:w="713" w:type="pct"/>
            <w:tcBorders>
              <w:top w:val="nil"/>
              <w:left w:val="nil"/>
              <w:bottom w:val="single" w:sz="4" w:space="0" w:color="auto"/>
              <w:right w:val="single" w:sz="4" w:space="0" w:color="auto"/>
            </w:tcBorders>
            <w:shd w:val="clear" w:color="auto" w:fill="auto"/>
            <w:noWrap/>
            <w:vAlign w:val="bottom"/>
            <w:hideMark/>
          </w:tcPr>
          <w:p w14:paraId="391FE69D"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w:t>
            </w:r>
          </w:p>
        </w:tc>
        <w:tc>
          <w:tcPr>
            <w:tcW w:w="514" w:type="pct"/>
            <w:tcBorders>
              <w:top w:val="nil"/>
              <w:left w:val="nil"/>
              <w:bottom w:val="single" w:sz="4" w:space="0" w:color="auto"/>
              <w:right w:val="single" w:sz="4" w:space="0" w:color="auto"/>
            </w:tcBorders>
            <w:shd w:val="clear" w:color="auto" w:fill="auto"/>
            <w:noWrap/>
            <w:vAlign w:val="bottom"/>
            <w:hideMark/>
          </w:tcPr>
          <w:p w14:paraId="17DEF5B2"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w:t>
            </w:r>
          </w:p>
        </w:tc>
        <w:tc>
          <w:tcPr>
            <w:tcW w:w="629" w:type="pct"/>
            <w:tcBorders>
              <w:top w:val="nil"/>
              <w:left w:val="nil"/>
              <w:bottom w:val="single" w:sz="4" w:space="0" w:color="auto"/>
              <w:right w:val="single" w:sz="4" w:space="0" w:color="auto"/>
            </w:tcBorders>
            <w:shd w:val="clear" w:color="auto" w:fill="auto"/>
            <w:noWrap/>
            <w:vAlign w:val="bottom"/>
            <w:hideMark/>
          </w:tcPr>
          <w:p w14:paraId="5F846D47"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4.340 </w:t>
            </w:r>
          </w:p>
        </w:tc>
      </w:tr>
      <w:tr w:rsidR="00F41043" w:rsidRPr="00F41043" w14:paraId="42DF5A34" w14:textId="77777777" w:rsidTr="00446A14">
        <w:trPr>
          <w:trHeight w:val="198"/>
        </w:trPr>
        <w:tc>
          <w:tcPr>
            <w:tcW w:w="2562" w:type="pct"/>
            <w:tcBorders>
              <w:top w:val="nil"/>
              <w:left w:val="single" w:sz="4" w:space="0" w:color="auto"/>
              <w:bottom w:val="single" w:sz="4" w:space="0" w:color="auto"/>
              <w:right w:val="single" w:sz="4" w:space="0" w:color="auto"/>
            </w:tcBorders>
            <w:shd w:val="clear" w:color="auto" w:fill="auto"/>
            <w:vAlign w:val="center"/>
            <w:hideMark/>
          </w:tcPr>
          <w:p w14:paraId="06E7686E" w14:textId="77777777" w:rsidR="00F41043" w:rsidRPr="00F41043" w:rsidRDefault="00F41043" w:rsidP="00F41043">
            <w:pPr>
              <w:spacing w:after="0" w:line="240" w:lineRule="auto"/>
              <w:ind w:firstLineChars="100" w:firstLine="14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Equivalência patrimonial sobre Outros Resultados Abrangentes em Coligadas</w:t>
            </w:r>
          </w:p>
        </w:tc>
        <w:tc>
          <w:tcPr>
            <w:tcW w:w="582" w:type="pct"/>
            <w:tcBorders>
              <w:top w:val="nil"/>
              <w:left w:val="nil"/>
              <w:bottom w:val="single" w:sz="4" w:space="0" w:color="auto"/>
              <w:right w:val="single" w:sz="4" w:space="0" w:color="auto"/>
            </w:tcBorders>
            <w:shd w:val="clear" w:color="auto" w:fill="auto"/>
            <w:noWrap/>
            <w:vAlign w:val="bottom"/>
            <w:hideMark/>
          </w:tcPr>
          <w:p w14:paraId="769E0239"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4.340 </w:t>
            </w:r>
          </w:p>
        </w:tc>
        <w:tc>
          <w:tcPr>
            <w:tcW w:w="713" w:type="pct"/>
            <w:tcBorders>
              <w:top w:val="nil"/>
              <w:left w:val="nil"/>
              <w:bottom w:val="single" w:sz="4" w:space="0" w:color="auto"/>
              <w:right w:val="single" w:sz="4" w:space="0" w:color="auto"/>
            </w:tcBorders>
            <w:shd w:val="clear" w:color="auto" w:fill="auto"/>
            <w:noWrap/>
            <w:vAlign w:val="bottom"/>
            <w:hideMark/>
          </w:tcPr>
          <w:p w14:paraId="26C842BD"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14" w:type="pct"/>
            <w:tcBorders>
              <w:top w:val="nil"/>
              <w:left w:val="nil"/>
              <w:bottom w:val="single" w:sz="4" w:space="0" w:color="auto"/>
              <w:right w:val="single" w:sz="4" w:space="0" w:color="auto"/>
            </w:tcBorders>
            <w:shd w:val="clear" w:color="auto" w:fill="auto"/>
            <w:noWrap/>
            <w:vAlign w:val="bottom"/>
            <w:hideMark/>
          </w:tcPr>
          <w:p w14:paraId="6BB51437"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29" w:type="pct"/>
            <w:tcBorders>
              <w:top w:val="nil"/>
              <w:left w:val="nil"/>
              <w:bottom w:val="single" w:sz="4" w:space="0" w:color="auto"/>
              <w:right w:val="single" w:sz="4" w:space="0" w:color="auto"/>
            </w:tcBorders>
            <w:shd w:val="clear" w:color="auto" w:fill="auto"/>
            <w:noWrap/>
            <w:vAlign w:val="bottom"/>
            <w:hideMark/>
          </w:tcPr>
          <w:p w14:paraId="1CD56DBB"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4.340 </w:t>
            </w:r>
          </w:p>
        </w:tc>
      </w:tr>
      <w:tr w:rsidR="00F41043" w:rsidRPr="00F41043" w14:paraId="23927491" w14:textId="77777777" w:rsidTr="00446A14">
        <w:trPr>
          <w:trHeight w:val="198"/>
        </w:trPr>
        <w:tc>
          <w:tcPr>
            <w:tcW w:w="2562" w:type="pct"/>
            <w:tcBorders>
              <w:top w:val="nil"/>
              <w:left w:val="single" w:sz="4" w:space="0" w:color="auto"/>
              <w:bottom w:val="single" w:sz="4" w:space="0" w:color="auto"/>
              <w:right w:val="single" w:sz="4" w:space="0" w:color="auto"/>
            </w:tcBorders>
            <w:shd w:val="clear" w:color="auto" w:fill="auto"/>
            <w:noWrap/>
            <w:vAlign w:val="bottom"/>
            <w:hideMark/>
          </w:tcPr>
          <w:p w14:paraId="0D944A5F"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Itens que não serão </w:t>
            </w:r>
            <w:proofErr w:type="gramStart"/>
            <w:r w:rsidRPr="00F41043">
              <w:rPr>
                <w:rFonts w:ascii="Arial" w:eastAsia="Times New Roman" w:hAnsi="Arial" w:cs="Arial"/>
                <w:b/>
                <w:bCs/>
                <w:kern w:val="0"/>
                <w:sz w:val="14"/>
                <w:szCs w:val="14"/>
                <w:lang w:eastAsia="pt-BR"/>
                <w14:ligatures w14:val="none"/>
              </w:rPr>
              <w:t>Reclassificados  para</w:t>
            </w:r>
            <w:proofErr w:type="gramEnd"/>
            <w:r w:rsidRPr="00F41043">
              <w:rPr>
                <w:rFonts w:ascii="Arial" w:eastAsia="Times New Roman" w:hAnsi="Arial" w:cs="Arial"/>
                <w:b/>
                <w:bCs/>
                <w:kern w:val="0"/>
                <w:sz w:val="14"/>
                <w:szCs w:val="14"/>
                <w:lang w:eastAsia="pt-BR"/>
                <w14:ligatures w14:val="none"/>
              </w:rPr>
              <w:t xml:space="preserve"> o Resultado:</w:t>
            </w:r>
          </w:p>
        </w:tc>
        <w:tc>
          <w:tcPr>
            <w:tcW w:w="582" w:type="pct"/>
            <w:tcBorders>
              <w:top w:val="nil"/>
              <w:left w:val="nil"/>
              <w:bottom w:val="single" w:sz="4" w:space="0" w:color="auto"/>
              <w:right w:val="single" w:sz="4" w:space="0" w:color="auto"/>
            </w:tcBorders>
            <w:shd w:val="clear" w:color="auto" w:fill="auto"/>
            <w:noWrap/>
            <w:vAlign w:val="bottom"/>
            <w:hideMark/>
          </w:tcPr>
          <w:p w14:paraId="0CF5CAF3"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(2)</w:t>
            </w:r>
          </w:p>
        </w:tc>
        <w:tc>
          <w:tcPr>
            <w:tcW w:w="713" w:type="pct"/>
            <w:tcBorders>
              <w:top w:val="nil"/>
              <w:left w:val="nil"/>
              <w:bottom w:val="single" w:sz="4" w:space="0" w:color="auto"/>
              <w:right w:val="single" w:sz="4" w:space="0" w:color="auto"/>
            </w:tcBorders>
            <w:shd w:val="clear" w:color="auto" w:fill="auto"/>
            <w:noWrap/>
            <w:vAlign w:val="bottom"/>
            <w:hideMark/>
          </w:tcPr>
          <w:p w14:paraId="4C7774BD"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 </w:t>
            </w:r>
          </w:p>
        </w:tc>
        <w:tc>
          <w:tcPr>
            <w:tcW w:w="514" w:type="pct"/>
            <w:tcBorders>
              <w:top w:val="nil"/>
              <w:left w:val="nil"/>
              <w:bottom w:val="single" w:sz="4" w:space="0" w:color="auto"/>
              <w:right w:val="single" w:sz="4" w:space="0" w:color="auto"/>
            </w:tcBorders>
            <w:shd w:val="clear" w:color="auto" w:fill="auto"/>
            <w:noWrap/>
            <w:vAlign w:val="bottom"/>
            <w:hideMark/>
          </w:tcPr>
          <w:p w14:paraId="1DC653CC"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 </w:t>
            </w:r>
          </w:p>
        </w:tc>
        <w:tc>
          <w:tcPr>
            <w:tcW w:w="629" w:type="pct"/>
            <w:tcBorders>
              <w:top w:val="nil"/>
              <w:left w:val="nil"/>
              <w:bottom w:val="single" w:sz="4" w:space="0" w:color="auto"/>
              <w:right w:val="single" w:sz="4" w:space="0" w:color="auto"/>
            </w:tcBorders>
            <w:shd w:val="clear" w:color="auto" w:fill="auto"/>
            <w:noWrap/>
            <w:vAlign w:val="bottom"/>
            <w:hideMark/>
          </w:tcPr>
          <w:p w14:paraId="5C898A7B"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(2)</w:t>
            </w:r>
          </w:p>
        </w:tc>
      </w:tr>
      <w:tr w:rsidR="00F41043" w:rsidRPr="00F41043" w14:paraId="2826E408" w14:textId="77777777" w:rsidTr="00446A14">
        <w:trPr>
          <w:trHeight w:val="198"/>
        </w:trPr>
        <w:tc>
          <w:tcPr>
            <w:tcW w:w="2562" w:type="pct"/>
            <w:tcBorders>
              <w:top w:val="nil"/>
              <w:left w:val="single" w:sz="4" w:space="0" w:color="auto"/>
              <w:bottom w:val="single" w:sz="4" w:space="0" w:color="auto"/>
              <w:right w:val="single" w:sz="4" w:space="0" w:color="auto"/>
            </w:tcBorders>
            <w:shd w:val="clear" w:color="auto" w:fill="auto"/>
            <w:vAlign w:val="center"/>
            <w:hideMark/>
          </w:tcPr>
          <w:p w14:paraId="448E9706" w14:textId="77777777" w:rsidR="00F41043" w:rsidRPr="00F41043" w:rsidRDefault="00F41043" w:rsidP="00F41043">
            <w:pPr>
              <w:spacing w:after="0" w:line="240" w:lineRule="auto"/>
              <w:ind w:firstLineChars="100" w:firstLine="140"/>
              <w:rPr>
                <w:rFonts w:ascii="Arial" w:eastAsia="Times New Roman" w:hAnsi="Arial" w:cs="Arial"/>
                <w:kern w:val="0"/>
                <w:sz w:val="14"/>
                <w:szCs w:val="14"/>
                <w:lang w:eastAsia="pt-BR"/>
                <w14:ligatures w14:val="none"/>
              </w:rPr>
            </w:pPr>
            <w:proofErr w:type="gramStart"/>
            <w:r w:rsidRPr="00F41043">
              <w:rPr>
                <w:rFonts w:ascii="Arial" w:eastAsia="Times New Roman" w:hAnsi="Arial" w:cs="Arial"/>
                <w:kern w:val="0"/>
                <w:sz w:val="14"/>
                <w:szCs w:val="14"/>
                <w:lang w:eastAsia="pt-BR"/>
                <w14:ligatures w14:val="none"/>
              </w:rPr>
              <w:t>Perdas  c</w:t>
            </w:r>
            <w:proofErr w:type="gramEnd"/>
            <w:r w:rsidRPr="00F41043">
              <w:rPr>
                <w:rFonts w:ascii="Arial" w:eastAsia="Times New Roman" w:hAnsi="Arial" w:cs="Arial"/>
                <w:kern w:val="0"/>
                <w:sz w:val="14"/>
                <w:szCs w:val="14"/>
                <w:lang w:eastAsia="pt-BR"/>
                <w14:ligatures w14:val="none"/>
              </w:rPr>
              <w:t>/ Instrumentos Financeiros - VJORA</w:t>
            </w:r>
          </w:p>
        </w:tc>
        <w:tc>
          <w:tcPr>
            <w:tcW w:w="582" w:type="pct"/>
            <w:tcBorders>
              <w:top w:val="nil"/>
              <w:left w:val="nil"/>
              <w:bottom w:val="single" w:sz="4" w:space="0" w:color="auto"/>
              <w:right w:val="single" w:sz="4" w:space="0" w:color="auto"/>
            </w:tcBorders>
            <w:shd w:val="clear" w:color="auto" w:fill="auto"/>
            <w:noWrap/>
            <w:vAlign w:val="bottom"/>
            <w:hideMark/>
          </w:tcPr>
          <w:p w14:paraId="2D448B6F"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(2)</w:t>
            </w:r>
          </w:p>
        </w:tc>
        <w:tc>
          <w:tcPr>
            <w:tcW w:w="713" w:type="pct"/>
            <w:tcBorders>
              <w:top w:val="nil"/>
              <w:left w:val="nil"/>
              <w:bottom w:val="single" w:sz="4" w:space="0" w:color="auto"/>
              <w:right w:val="single" w:sz="4" w:space="0" w:color="auto"/>
            </w:tcBorders>
            <w:shd w:val="clear" w:color="auto" w:fill="auto"/>
            <w:noWrap/>
            <w:vAlign w:val="bottom"/>
            <w:hideMark/>
          </w:tcPr>
          <w:p w14:paraId="39A5FB64"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14" w:type="pct"/>
            <w:tcBorders>
              <w:top w:val="nil"/>
              <w:left w:val="nil"/>
              <w:bottom w:val="single" w:sz="4" w:space="0" w:color="auto"/>
              <w:right w:val="single" w:sz="4" w:space="0" w:color="auto"/>
            </w:tcBorders>
            <w:shd w:val="clear" w:color="auto" w:fill="auto"/>
            <w:noWrap/>
            <w:vAlign w:val="bottom"/>
            <w:hideMark/>
          </w:tcPr>
          <w:p w14:paraId="2FA9EB8B"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29" w:type="pct"/>
            <w:tcBorders>
              <w:top w:val="nil"/>
              <w:left w:val="nil"/>
              <w:bottom w:val="single" w:sz="4" w:space="0" w:color="auto"/>
              <w:right w:val="single" w:sz="4" w:space="0" w:color="auto"/>
            </w:tcBorders>
            <w:shd w:val="clear" w:color="auto" w:fill="auto"/>
            <w:noWrap/>
            <w:vAlign w:val="bottom"/>
            <w:hideMark/>
          </w:tcPr>
          <w:p w14:paraId="24BE0086"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(2)</w:t>
            </w:r>
          </w:p>
        </w:tc>
      </w:tr>
      <w:tr w:rsidR="00F41043" w:rsidRPr="00F41043" w14:paraId="54789DE3" w14:textId="77777777" w:rsidTr="00446A14">
        <w:trPr>
          <w:trHeight w:val="198"/>
        </w:trPr>
        <w:tc>
          <w:tcPr>
            <w:tcW w:w="2562" w:type="pct"/>
            <w:tcBorders>
              <w:top w:val="nil"/>
              <w:left w:val="single" w:sz="4" w:space="0" w:color="auto"/>
              <w:bottom w:val="single" w:sz="4" w:space="0" w:color="auto"/>
              <w:right w:val="single" w:sz="4" w:space="0" w:color="auto"/>
            </w:tcBorders>
            <w:shd w:val="clear" w:color="auto" w:fill="auto"/>
            <w:noWrap/>
            <w:vAlign w:val="bottom"/>
            <w:hideMark/>
          </w:tcPr>
          <w:p w14:paraId="7706C817"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Resultado Abrangente Total</w:t>
            </w:r>
          </w:p>
        </w:tc>
        <w:tc>
          <w:tcPr>
            <w:tcW w:w="582" w:type="pct"/>
            <w:tcBorders>
              <w:top w:val="nil"/>
              <w:left w:val="nil"/>
              <w:bottom w:val="single" w:sz="4" w:space="0" w:color="auto"/>
              <w:right w:val="single" w:sz="4" w:space="0" w:color="auto"/>
            </w:tcBorders>
            <w:shd w:val="clear" w:color="auto" w:fill="auto"/>
            <w:noWrap/>
            <w:vAlign w:val="bottom"/>
            <w:hideMark/>
          </w:tcPr>
          <w:p w14:paraId="5A371B9B"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(122.481)</w:t>
            </w:r>
          </w:p>
        </w:tc>
        <w:tc>
          <w:tcPr>
            <w:tcW w:w="713" w:type="pct"/>
            <w:tcBorders>
              <w:top w:val="nil"/>
              <w:left w:val="nil"/>
              <w:bottom w:val="single" w:sz="4" w:space="0" w:color="auto"/>
              <w:right w:val="single" w:sz="4" w:space="0" w:color="auto"/>
            </w:tcBorders>
            <w:shd w:val="clear" w:color="auto" w:fill="auto"/>
            <w:noWrap/>
            <w:vAlign w:val="bottom"/>
            <w:hideMark/>
          </w:tcPr>
          <w:p w14:paraId="0F2AEFE4"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(33.803)</w:t>
            </w:r>
          </w:p>
        </w:tc>
        <w:tc>
          <w:tcPr>
            <w:tcW w:w="514" w:type="pct"/>
            <w:tcBorders>
              <w:top w:val="nil"/>
              <w:left w:val="nil"/>
              <w:bottom w:val="single" w:sz="4" w:space="0" w:color="auto"/>
              <w:right w:val="single" w:sz="4" w:space="0" w:color="auto"/>
            </w:tcBorders>
            <w:shd w:val="clear" w:color="auto" w:fill="auto"/>
            <w:noWrap/>
            <w:vAlign w:val="bottom"/>
            <w:hideMark/>
          </w:tcPr>
          <w:p w14:paraId="7D41A47D"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(2.391)</w:t>
            </w:r>
          </w:p>
        </w:tc>
        <w:tc>
          <w:tcPr>
            <w:tcW w:w="629" w:type="pct"/>
            <w:tcBorders>
              <w:top w:val="nil"/>
              <w:left w:val="nil"/>
              <w:bottom w:val="single" w:sz="4" w:space="0" w:color="auto"/>
              <w:right w:val="single" w:sz="4" w:space="0" w:color="auto"/>
            </w:tcBorders>
            <w:shd w:val="clear" w:color="auto" w:fill="auto"/>
            <w:noWrap/>
            <w:vAlign w:val="bottom"/>
            <w:hideMark/>
          </w:tcPr>
          <w:p w14:paraId="5A50451F"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(158.675)</w:t>
            </w:r>
          </w:p>
        </w:tc>
      </w:tr>
    </w:tbl>
    <w:p w14:paraId="479DBEFF" w14:textId="0D971D59" w:rsidR="00F41043" w:rsidRPr="00F41043" w:rsidRDefault="00F41043" w:rsidP="00F41043">
      <w:pPr>
        <w:spacing w:after="0"/>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3.2.5. </w:t>
      </w:r>
      <w:r w:rsidRPr="00F41043">
        <w:rPr>
          <w:rFonts w:ascii="Calibri" w:eastAsia="Times New Roman" w:hAnsi="Calibri" w:cs="Calibri"/>
          <w:b/>
          <w:bCs/>
          <w:iCs/>
          <w:color w:val="002060"/>
          <w:kern w:val="0"/>
          <w14:ligatures w14:val="none"/>
        </w:rPr>
        <w:t>Demonstração dos Fluxos de Caixa</w:t>
      </w:r>
    </w:p>
    <w:tbl>
      <w:tblPr>
        <w:tblW w:w="5000" w:type="pct"/>
        <w:tblLayout w:type="fixed"/>
        <w:tblCellMar>
          <w:left w:w="70" w:type="dxa"/>
          <w:right w:w="70" w:type="dxa"/>
        </w:tblCellMar>
        <w:tblLook w:val="04A0" w:firstRow="1" w:lastRow="0" w:firstColumn="1" w:lastColumn="0" w:noHBand="0" w:noVBand="1"/>
      </w:tblPr>
      <w:tblGrid>
        <w:gridCol w:w="5240"/>
        <w:gridCol w:w="965"/>
        <w:gridCol w:w="1239"/>
        <w:gridCol w:w="1057"/>
        <w:gridCol w:w="1270"/>
      </w:tblGrid>
      <w:tr w:rsidR="00F41043" w:rsidRPr="00F41043" w14:paraId="7D2C7600" w14:textId="77777777" w:rsidTr="00446A14">
        <w:trPr>
          <w:trHeight w:val="198"/>
          <w:tblHeader/>
        </w:trPr>
        <w:tc>
          <w:tcPr>
            <w:tcW w:w="2681" w:type="pct"/>
            <w:vMerge w:val="restart"/>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09B526AA" w14:textId="77777777" w:rsidR="00F41043" w:rsidRPr="00F41043" w:rsidRDefault="00F41043" w:rsidP="00F41043">
            <w:pPr>
              <w:spacing w:after="0" w:line="240" w:lineRule="auto"/>
              <w:jc w:val="center"/>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w:t>
            </w:r>
          </w:p>
        </w:tc>
        <w:tc>
          <w:tcPr>
            <w:tcW w:w="4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98FC10" w14:textId="77777777" w:rsidR="00F41043" w:rsidRPr="00F41043" w:rsidRDefault="00F41043" w:rsidP="00F41043">
            <w:pPr>
              <w:spacing w:after="0" w:line="240" w:lineRule="auto"/>
              <w:jc w:val="center"/>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Saldos Divulgados em 2021</w:t>
            </w:r>
          </w:p>
        </w:tc>
        <w:tc>
          <w:tcPr>
            <w:tcW w:w="1175" w:type="pct"/>
            <w:gridSpan w:val="2"/>
            <w:tcBorders>
              <w:top w:val="single" w:sz="4" w:space="0" w:color="auto"/>
              <w:left w:val="nil"/>
              <w:bottom w:val="single" w:sz="4" w:space="0" w:color="auto"/>
              <w:right w:val="single" w:sz="4" w:space="0" w:color="auto"/>
            </w:tcBorders>
            <w:shd w:val="clear" w:color="auto" w:fill="auto"/>
            <w:noWrap/>
            <w:vAlign w:val="bottom"/>
            <w:hideMark/>
          </w:tcPr>
          <w:p w14:paraId="590A9D0C" w14:textId="77777777" w:rsidR="00F41043" w:rsidRPr="00F41043" w:rsidRDefault="00F41043" w:rsidP="00F41043">
            <w:pPr>
              <w:spacing w:after="0" w:line="240" w:lineRule="auto"/>
              <w:jc w:val="center"/>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Ajustes</w:t>
            </w:r>
          </w:p>
        </w:tc>
        <w:tc>
          <w:tcPr>
            <w:tcW w:w="6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37A7C9" w14:textId="77777777" w:rsidR="00F41043" w:rsidRPr="00F41043" w:rsidRDefault="00F41043" w:rsidP="00F41043">
            <w:pPr>
              <w:spacing w:after="0" w:line="240" w:lineRule="auto"/>
              <w:jc w:val="center"/>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Saldos Reapresentados em 2021</w:t>
            </w:r>
          </w:p>
        </w:tc>
      </w:tr>
      <w:tr w:rsidR="00F41043" w:rsidRPr="00F41043" w14:paraId="47D0ECB9" w14:textId="77777777" w:rsidTr="00446A14">
        <w:trPr>
          <w:trHeight w:val="198"/>
          <w:tblHeader/>
        </w:trPr>
        <w:tc>
          <w:tcPr>
            <w:tcW w:w="2681" w:type="pct"/>
            <w:vMerge/>
            <w:tcBorders>
              <w:top w:val="single" w:sz="4" w:space="0" w:color="auto"/>
              <w:left w:val="single" w:sz="4" w:space="0" w:color="auto"/>
              <w:bottom w:val="single" w:sz="4" w:space="0" w:color="auto"/>
              <w:right w:val="single" w:sz="4" w:space="0" w:color="auto"/>
            </w:tcBorders>
            <w:vAlign w:val="center"/>
            <w:hideMark/>
          </w:tcPr>
          <w:p w14:paraId="2DB7CFBE"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14:paraId="7FA97BAB"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p>
        </w:tc>
        <w:tc>
          <w:tcPr>
            <w:tcW w:w="634" w:type="pct"/>
            <w:tcBorders>
              <w:top w:val="nil"/>
              <w:left w:val="nil"/>
              <w:bottom w:val="single" w:sz="4" w:space="0" w:color="auto"/>
              <w:right w:val="single" w:sz="4" w:space="0" w:color="auto"/>
            </w:tcBorders>
            <w:shd w:val="clear" w:color="auto" w:fill="auto"/>
            <w:vAlign w:val="center"/>
            <w:hideMark/>
          </w:tcPr>
          <w:p w14:paraId="23FA528C" w14:textId="77777777" w:rsidR="00F41043" w:rsidRPr="00F41043" w:rsidRDefault="00F41043" w:rsidP="00F41043">
            <w:pPr>
              <w:spacing w:after="0" w:line="240" w:lineRule="auto"/>
              <w:jc w:val="center"/>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Subvenções para Investimentos</w:t>
            </w:r>
          </w:p>
        </w:tc>
        <w:tc>
          <w:tcPr>
            <w:tcW w:w="541" w:type="pct"/>
            <w:tcBorders>
              <w:top w:val="nil"/>
              <w:left w:val="nil"/>
              <w:bottom w:val="single" w:sz="4" w:space="0" w:color="auto"/>
              <w:right w:val="single" w:sz="4" w:space="0" w:color="auto"/>
            </w:tcBorders>
            <w:shd w:val="clear" w:color="auto" w:fill="auto"/>
            <w:vAlign w:val="center"/>
            <w:hideMark/>
          </w:tcPr>
          <w:p w14:paraId="553D8F69" w14:textId="77777777" w:rsidR="00F41043" w:rsidRPr="00F41043" w:rsidRDefault="00F41043" w:rsidP="00F41043">
            <w:pPr>
              <w:spacing w:after="0" w:line="240" w:lineRule="auto"/>
              <w:jc w:val="center"/>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Juros sobre </w:t>
            </w:r>
            <w:proofErr w:type="spellStart"/>
            <w:r w:rsidRPr="00F41043">
              <w:rPr>
                <w:rFonts w:ascii="Arial" w:eastAsia="Times New Roman" w:hAnsi="Arial" w:cs="Arial"/>
                <w:b/>
                <w:bCs/>
                <w:color w:val="000000"/>
                <w:kern w:val="0"/>
                <w:sz w:val="14"/>
                <w:szCs w:val="14"/>
                <w:lang w:eastAsia="pt-BR"/>
                <w14:ligatures w14:val="none"/>
              </w:rPr>
              <w:t>Afac</w:t>
            </w:r>
            <w:proofErr w:type="spellEnd"/>
          </w:p>
        </w:tc>
        <w:tc>
          <w:tcPr>
            <w:tcW w:w="650" w:type="pct"/>
            <w:vMerge/>
            <w:tcBorders>
              <w:top w:val="single" w:sz="4" w:space="0" w:color="auto"/>
              <w:left w:val="single" w:sz="4" w:space="0" w:color="auto"/>
              <w:bottom w:val="single" w:sz="4" w:space="0" w:color="auto"/>
              <w:right w:val="single" w:sz="4" w:space="0" w:color="auto"/>
            </w:tcBorders>
            <w:vAlign w:val="center"/>
            <w:hideMark/>
          </w:tcPr>
          <w:p w14:paraId="35B3A515"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p>
        </w:tc>
      </w:tr>
      <w:tr w:rsidR="00F41043" w:rsidRPr="00F41043" w14:paraId="76E67C3D"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351643BC"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Prejuízo antes do Imposto de Renda e Contribuição Social</w:t>
            </w:r>
          </w:p>
        </w:tc>
        <w:tc>
          <w:tcPr>
            <w:tcW w:w="494" w:type="pct"/>
            <w:tcBorders>
              <w:top w:val="nil"/>
              <w:left w:val="nil"/>
              <w:bottom w:val="single" w:sz="4" w:space="0" w:color="auto"/>
              <w:right w:val="single" w:sz="4" w:space="0" w:color="auto"/>
            </w:tcBorders>
            <w:shd w:val="clear" w:color="auto" w:fill="auto"/>
            <w:noWrap/>
            <w:vAlign w:val="bottom"/>
            <w:hideMark/>
          </w:tcPr>
          <w:p w14:paraId="32314490"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b/>
                <w:bCs/>
                <w:kern w:val="0"/>
                <w:sz w:val="14"/>
                <w:szCs w:val="14"/>
                <w:lang w:eastAsia="pt-BR"/>
                <w14:ligatures w14:val="none"/>
              </w:rPr>
              <w:t>(126.819)</w:t>
            </w:r>
          </w:p>
        </w:tc>
        <w:tc>
          <w:tcPr>
            <w:tcW w:w="634" w:type="pct"/>
            <w:tcBorders>
              <w:top w:val="nil"/>
              <w:left w:val="nil"/>
              <w:bottom w:val="single" w:sz="4" w:space="0" w:color="auto"/>
              <w:right w:val="single" w:sz="4" w:space="0" w:color="auto"/>
            </w:tcBorders>
            <w:shd w:val="clear" w:color="auto" w:fill="auto"/>
            <w:noWrap/>
            <w:vAlign w:val="bottom"/>
            <w:hideMark/>
          </w:tcPr>
          <w:p w14:paraId="272003CF"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b/>
                <w:bCs/>
                <w:kern w:val="0"/>
                <w:sz w:val="14"/>
                <w:szCs w:val="14"/>
                <w:lang w:eastAsia="pt-BR"/>
                <w14:ligatures w14:val="none"/>
              </w:rPr>
              <w:t> </w:t>
            </w:r>
          </w:p>
        </w:tc>
        <w:tc>
          <w:tcPr>
            <w:tcW w:w="541" w:type="pct"/>
            <w:tcBorders>
              <w:top w:val="nil"/>
              <w:left w:val="nil"/>
              <w:bottom w:val="single" w:sz="4" w:space="0" w:color="auto"/>
              <w:right w:val="single" w:sz="4" w:space="0" w:color="auto"/>
            </w:tcBorders>
            <w:shd w:val="clear" w:color="auto" w:fill="auto"/>
            <w:noWrap/>
            <w:vAlign w:val="bottom"/>
            <w:hideMark/>
          </w:tcPr>
          <w:p w14:paraId="123ED838"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0FF9A2C8"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b/>
                <w:bCs/>
                <w:kern w:val="0"/>
                <w:sz w:val="14"/>
                <w:szCs w:val="14"/>
                <w:lang w:eastAsia="pt-BR"/>
                <w14:ligatures w14:val="none"/>
              </w:rPr>
              <w:t>(163.013)</w:t>
            </w:r>
          </w:p>
        </w:tc>
      </w:tr>
      <w:tr w:rsidR="00F41043" w:rsidRPr="00F41043" w14:paraId="31FB585A"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hideMark/>
          </w:tcPr>
          <w:p w14:paraId="03392919"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Ajustes por: </w:t>
            </w:r>
          </w:p>
        </w:tc>
        <w:tc>
          <w:tcPr>
            <w:tcW w:w="494" w:type="pct"/>
            <w:tcBorders>
              <w:top w:val="nil"/>
              <w:left w:val="nil"/>
              <w:bottom w:val="single" w:sz="4" w:space="0" w:color="auto"/>
              <w:right w:val="single" w:sz="4" w:space="0" w:color="auto"/>
            </w:tcBorders>
            <w:shd w:val="clear" w:color="auto" w:fill="auto"/>
            <w:noWrap/>
            <w:vAlign w:val="bottom"/>
            <w:hideMark/>
          </w:tcPr>
          <w:p w14:paraId="42EA5E27"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w:t>
            </w:r>
          </w:p>
        </w:tc>
        <w:tc>
          <w:tcPr>
            <w:tcW w:w="634" w:type="pct"/>
            <w:tcBorders>
              <w:top w:val="nil"/>
              <w:left w:val="nil"/>
              <w:bottom w:val="single" w:sz="4" w:space="0" w:color="auto"/>
              <w:right w:val="single" w:sz="4" w:space="0" w:color="auto"/>
            </w:tcBorders>
            <w:shd w:val="clear" w:color="auto" w:fill="auto"/>
            <w:noWrap/>
            <w:vAlign w:val="bottom"/>
            <w:hideMark/>
          </w:tcPr>
          <w:p w14:paraId="342ACF3E"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w:t>
            </w:r>
          </w:p>
        </w:tc>
        <w:tc>
          <w:tcPr>
            <w:tcW w:w="541" w:type="pct"/>
            <w:tcBorders>
              <w:top w:val="nil"/>
              <w:left w:val="nil"/>
              <w:bottom w:val="single" w:sz="4" w:space="0" w:color="auto"/>
              <w:right w:val="single" w:sz="4" w:space="0" w:color="auto"/>
            </w:tcBorders>
            <w:shd w:val="clear" w:color="auto" w:fill="auto"/>
            <w:noWrap/>
            <w:vAlign w:val="bottom"/>
            <w:hideMark/>
          </w:tcPr>
          <w:p w14:paraId="695D5C88"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3DB3B389"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w:t>
            </w:r>
          </w:p>
        </w:tc>
      </w:tr>
      <w:tr w:rsidR="00F41043" w:rsidRPr="00F41043" w14:paraId="26D9DDC8"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12793669"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Depreciação e Amortização</w:t>
            </w:r>
          </w:p>
        </w:tc>
        <w:tc>
          <w:tcPr>
            <w:tcW w:w="494" w:type="pct"/>
            <w:tcBorders>
              <w:top w:val="nil"/>
              <w:left w:val="nil"/>
              <w:bottom w:val="single" w:sz="4" w:space="0" w:color="auto"/>
              <w:right w:val="single" w:sz="4" w:space="0" w:color="auto"/>
            </w:tcBorders>
            <w:shd w:val="clear" w:color="auto" w:fill="auto"/>
            <w:noWrap/>
            <w:vAlign w:val="bottom"/>
            <w:hideMark/>
          </w:tcPr>
          <w:p w14:paraId="4F291915"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254.336 </w:t>
            </w:r>
          </w:p>
        </w:tc>
        <w:tc>
          <w:tcPr>
            <w:tcW w:w="634" w:type="pct"/>
            <w:tcBorders>
              <w:top w:val="nil"/>
              <w:left w:val="nil"/>
              <w:bottom w:val="single" w:sz="4" w:space="0" w:color="auto"/>
              <w:right w:val="single" w:sz="4" w:space="0" w:color="auto"/>
            </w:tcBorders>
            <w:shd w:val="clear" w:color="auto" w:fill="auto"/>
            <w:noWrap/>
            <w:vAlign w:val="bottom"/>
            <w:hideMark/>
          </w:tcPr>
          <w:p w14:paraId="76B42AA5"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1" w:type="pct"/>
            <w:tcBorders>
              <w:top w:val="nil"/>
              <w:left w:val="nil"/>
              <w:bottom w:val="single" w:sz="4" w:space="0" w:color="auto"/>
              <w:right w:val="single" w:sz="4" w:space="0" w:color="auto"/>
            </w:tcBorders>
            <w:shd w:val="clear" w:color="auto" w:fill="auto"/>
            <w:noWrap/>
            <w:vAlign w:val="bottom"/>
            <w:hideMark/>
          </w:tcPr>
          <w:p w14:paraId="78D4EAFB"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1B47A6E2"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254.336 </w:t>
            </w:r>
          </w:p>
        </w:tc>
      </w:tr>
      <w:tr w:rsidR="00F41043" w:rsidRPr="00F41043" w14:paraId="0AB41A25"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0F1E058B" w14:textId="77777777" w:rsidR="00F41043" w:rsidRPr="00F41043" w:rsidRDefault="00F41043" w:rsidP="00F41043">
            <w:pPr>
              <w:spacing w:after="0" w:line="240" w:lineRule="auto"/>
              <w:ind w:firstLineChars="200" w:firstLine="28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Provisão/Rever. para Riscos Prováveis Trabalhistas, Cíveis e Fiscais</w:t>
            </w:r>
          </w:p>
        </w:tc>
        <w:tc>
          <w:tcPr>
            <w:tcW w:w="494" w:type="pct"/>
            <w:tcBorders>
              <w:top w:val="nil"/>
              <w:left w:val="nil"/>
              <w:bottom w:val="single" w:sz="4" w:space="0" w:color="auto"/>
              <w:right w:val="single" w:sz="4" w:space="0" w:color="auto"/>
            </w:tcBorders>
            <w:shd w:val="clear" w:color="auto" w:fill="auto"/>
            <w:noWrap/>
            <w:vAlign w:val="bottom"/>
            <w:hideMark/>
          </w:tcPr>
          <w:p w14:paraId="0DC76EB4"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1.441 </w:t>
            </w:r>
          </w:p>
        </w:tc>
        <w:tc>
          <w:tcPr>
            <w:tcW w:w="634" w:type="pct"/>
            <w:tcBorders>
              <w:top w:val="nil"/>
              <w:left w:val="nil"/>
              <w:bottom w:val="single" w:sz="4" w:space="0" w:color="auto"/>
              <w:right w:val="single" w:sz="4" w:space="0" w:color="auto"/>
            </w:tcBorders>
            <w:shd w:val="clear" w:color="auto" w:fill="auto"/>
            <w:noWrap/>
            <w:vAlign w:val="bottom"/>
            <w:hideMark/>
          </w:tcPr>
          <w:p w14:paraId="36EEB4A0"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1" w:type="pct"/>
            <w:tcBorders>
              <w:top w:val="nil"/>
              <w:left w:val="nil"/>
              <w:bottom w:val="single" w:sz="4" w:space="0" w:color="auto"/>
              <w:right w:val="single" w:sz="4" w:space="0" w:color="auto"/>
            </w:tcBorders>
            <w:shd w:val="clear" w:color="auto" w:fill="auto"/>
            <w:noWrap/>
            <w:vAlign w:val="bottom"/>
            <w:hideMark/>
          </w:tcPr>
          <w:p w14:paraId="7E9431AB"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16425B45"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1.441 </w:t>
            </w:r>
          </w:p>
        </w:tc>
      </w:tr>
      <w:tr w:rsidR="00F41043" w:rsidRPr="00F41043" w14:paraId="6E0A57EC"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3A5BBA22" w14:textId="77777777" w:rsidR="00F41043" w:rsidRPr="00F41043" w:rsidRDefault="00F41043" w:rsidP="00F41043">
            <w:pPr>
              <w:spacing w:after="0" w:line="240" w:lineRule="auto"/>
              <w:ind w:firstLineChars="200" w:firstLine="28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V. Monetária de Prov. para Riscos Prováveis Trabalhistas, Cíveis e Fiscais</w:t>
            </w:r>
          </w:p>
        </w:tc>
        <w:tc>
          <w:tcPr>
            <w:tcW w:w="494" w:type="pct"/>
            <w:tcBorders>
              <w:top w:val="nil"/>
              <w:left w:val="nil"/>
              <w:bottom w:val="single" w:sz="4" w:space="0" w:color="auto"/>
              <w:right w:val="single" w:sz="4" w:space="0" w:color="auto"/>
            </w:tcBorders>
            <w:shd w:val="clear" w:color="auto" w:fill="auto"/>
            <w:noWrap/>
            <w:vAlign w:val="bottom"/>
            <w:hideMark/>
          </w:tcPr>
          <w:p w14:paraId="6C008922"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8.847 </w:t>
            </w:r>
          </w:p>
        </w:tc>
        <w:tc>
          <w:tcPr>
            <w:tcW w:w="634" w:type="pct"/>
            <w:tcBorders>
              <w:top w:val="nil"/>
              <w:left w:val="nil"/>
              <w:bottom w:val="single" w:sz="4" w:space="0" w:color="auto"/>
              <w:right w:val="single" w:sz="4" w:space="0" w:color="auto"/>
            </w:tcBorders>
            <w:shd w:val="clear" w:color="auto" w:fill="auto"/>
            <w:noWrap/>
            <w:vAlign w:val="bottom"/>
            <w:hideMark/>
          </w:tcPr>
          <w:p w14:paraId="6B99D4EF"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1" w:type="pct"/>
            <w:tcBorders>
              <w:top w:val="nil"/>
              <w:left w:val="nil"/>
              <w:bottom w:val="single" w:sz="4" w:space="0" w:color="auto"/>
              <w:right w:val="single" w:sz="4" w:space="0" w:color="auto"/>
            </w:tcBorders>
            <w:shd w:val="clear" w:color="auto" w:fill="auto"/>
            <w:noWrap/>
            <w:vAlign w:val="bottom"/>
            <w:hideMark/>
          </w:tcPr>
          <w:p w14:paraId="078AD122"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7385C603"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8.847 </w:t>
            </w:r>
          </w:p>
        </w:tc>
      </w:tr>
      <w:tr w:rsidR="00F41043" w:rsidRPr="00F41043" w14:paraId="28260272"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1DDBFC3C" w14:textId="77777777" w:rsidR="00F41043" w:rsidRPr="00F41043" w:rsidRDefault="00F41043" w:rsidP="00F41043">
            <w:pPr>
              <w:spacing w:after="0" w:line="240" w:lineRule="auto"/>
              <w:ind w:firstLineChars="200" w:firstLine="28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Receita Diferida</w:t>
            </w:r>
          </w:p>
        </w:tc>
        <w:tc>
          <w:tcPr>
            <w:tcW w:w="494" w:type="pct"/>
            <w:tcBorders>
              <w:top w:val="nil"/>
              <w:left w:val="nil"/>
              <w:bottom w:val="single" w:sz="4" w:space="0" w:color="auto"/>
              <w:right w:val="single" w:sz="4" w:space="0" w:color="auto"/>
            </w:tcBorders>
            <w:shd w:val="clear" w:color="auto" w:fill="auto"/>
            <w:noWrap/>
            <w:vAlign w:val="bottom"/>
            <w:hideMark/>
          </w:tcPr>
          <w:p w14:paraId="1B685B3F"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(82.962)</w:t>
            </w:r>
          </w:p>
        </w:tc>
        <w:tc>
          <w:tcPr>
            <w:tcW w:w="634" w:type="pct"/>
            <w:tcBorders>
              <w:top w:val="nil"/>
              <w:left w:val="nil"/>
              <w:bottom w:val="single" w:sz="4" w:space="0" w:color="auto"/>
              <w:right w:val="single" w:sz="4" w:space="0" w:color="auto"/>
            </w:tcBorders>
            <w:shd w:val="clear" w:color="auto" w:fill="auto"/>
            <w:noWrap/>
            <w:vAlign w:val="bottom"/>
            <w:hideMark/>
          </w:tcPr>
          <w:p w14:paraId="0D814460"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1" w:type="pct"/>
            <w:tcBorders>
              <w:top w:val="nil"/>
              <w:left w:val="nil"/>
              <w:bottom w:val="single" w:sz="4" w:space="0" w:color="auto"/>
              <w:right w:val="single" w:sz="4" w:space="0" w:color="auto"/>
            </w:tcBorders>
            <w:shd w:val="clear" w:color="auto" w:fill="auto"/>
            <w:noWrap/>
            <w:vAlign w:val="bottom"/>
            <w:hideMark/>
          </w:tcPr>
          <w:p w14:paraId="3328CB1A"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3F046F13"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(82.962)</w:t>
            </w:r>
          </w:p>
        </w:tc>
      </w:tr>
      <w:tr w:rsidR="00F41043" w:rsidRPr="00F41043" w14:paraId="3858F128"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5538A162" w14:textId="77777777" w:rsidR="00F41043" w:rsidRPr="00F41043" w:rsidRDefault="00F41043" w:rsidP="00F41043">
            <w:pPr>
              <w:spacing w:after="0" w:line="240" w:lineRule="auto"/>
              <w:ind w:firstLineChars="200" w:firstLine="28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Equivalência Patrimonial</w:t>
            </w:r>
          </w:p>
        </w:tc>
        <w:tc>
          <w:tcPr>
            <w:tcW w:w="494" w:type="pct"/>
            <w:tcBorders>
              <w:top w:val="nil"/>
              <w:left w:val="nil"/>
              <w:bottom w:val="single" w:sz="4" w:space="0" w:color="auto"/>
              <w:right w:val="single" w:sz="4" w:space="0" w:color="auto"/>
            </w:tcBorders>
            <w:shd w:val="clear" w:color="auto" w:fill="auto"/>
            <w:noWrap/>
            <w:vAlign w:val="bottom"/>
            <w:hideMark/>
          </w:tcPr>
          <w:p w14:paraId="789421DC"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6.273 </w:t>
            </w:r>
          </w:p>
        </w:tc>
        <w:tc>
          <w:tcPr>
            <w:tcW w:w="634" w:type="pct"/>
            <w:tcBorders>
              <w:top w:val="nil"/>
              <w:left w:val="nil"/>
              <w:bottom w:val="single" w:sz="4" w:space="0" w:color="auto"/>
              <w:right w:val="single" w:sz="4" w:space="0" w:color="auto"/>
            </w:tcBorders>
            <w:shd w:val="clear" w:color="auto" w:fill="auto"/>
            <w:noWrap/>
            <w:vAlign w:val="bottom"/>
            <w:hideMark/>
          </w:tcPr>
          <w:p w14:paraId="65E3FF63"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1" w:type="pct"/>
            <w:tcBorders>
              <w:top w:val="nil"/>
              <w:left w:val="nil"/>
              <w:bottom w:val="single" w:sz="4" w:space="0" w:color="auto"/>
              <w:right w:val="single" w:sz="4" w:space="0" w:color="auto"/>
            </w:tcBorders>
            <w:shd w:val="clear" w:color="auto" w:fill="auto"/>
            <w:noWrap/>
            <w:vAlign w:val="bottom"/>
            <w:hideMark/>
          </w:tcPr>
          <w:p w14:paraId="76C96C94"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28574E05"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6.273 </w:t>
            </w:r>
          </w:p>
        </w:tc>
      </w:tr>
      <w:tr w:rsidR="00F41043" w:rsidRPr="00F41043" w14:paraId="6F21F2E3"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47284F1E" w14:textId="77777777" w:rsidR="00F41043" w:rsidRPr="00F41043" w:rsidRDefault="00F41043" w:rsidP="00F41043">
            <w:pPr>
              <w:spacing w:after="0" w:line="240" w:lineRule="auto"/>
              <w:ind w:firstLineChars="200" w:firstLine="28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Encargos Financeiros sobre Adiantamento para Aumento de Capital</w:t>
            </w:r>
          </w:p>
        </w:tc>
        <w:tc>
          <w:tcPr>
            <w:tcW w:w="494" w:type="pct"/>
            <w:tcBorders>
              <w:top w:val="nil"/>
              <w:left w:val="nil"/>
              <w:bottom w:val="single" w:sz="4" w:space="0" w:color="auto"/>
              <w:right w:val="single" w:sz="4" w:space="0" w:color="auto"/>
            </w:tcBorders>
            <w:shd w:val="clear" w:color="auto" w:fill="auto"/>
            <w:noWrap/>
            <w:vAlign w:val="bottom"/>
            <w:hideMark/>
          </w:tcPr>
          <w:p w14:paraId="70700597"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66.953 </w:t>
            </w:r>
          </w:p>
        </w:tc>
        <w:tc>
          <w:tcPr>
            <w:tcW w:w="634" w:type="pct"/>
            <w:tcBorders>
              <w:top w:val="nil"/>
              <w:left w:val="nil"/>
              <w:bottom w:val="single" w:sz="4" w:space="0" w:color="auto"/>
              <w:right w:val="single" w:sz="4" w:space="0" w:color="auto"/>
            </w:tcBorders>
            <w:shd w:val="clear" w:color="auto" w:fill="auto"/>
            <w:noWrap/>
            <w:vAlign w:val="bottom"/>
            <w:hideMark/>
          </w:tcPr>
          <w:p w14:paraId="14936DF1"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1" w:type="pct"/>
            <w:tcBorders>
              <w:top w:val="nil"/>
              <w:left w:val="nil"/>
              <w:bottom w:val="single" w:sz="4" w:space="0" w:color="auto"/>
              <w:right w:val="single" w:sz="4" w:space="0" w:color="auto"/>
            </w:tcBorders>
            <w:shd w:val="clear" w:color="auto" w:fill="auto"/>
            <w:noWrap/>
            <w:vAlign w:val="bottom"/>
            <w:hideMark/>
          </w:tcPr>
          <w:p w14:paraId="76ED623B"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2.391 </w:t>
            </w:r>
          </w:p>
        </w:tc>
        <w:tc>
          <w:tcPr>
            <w:tcW w:w="650" w:type="pct"/>
            <w:tcBorders>
              <w:top w:val="nil"/>
              <w:left w:val="nil"/>
              <w:bottom w:val="single" w:sz="4" w:space="0" w:color="auto"/>
              <w:right w:val="single" w:sz="4" w:space="0" w:color="auto"/>
            </w:tcBorders>
            <w:shd w:val="clear" w:color="auto" w:fill="auto"/>
            <w:noWrap/>
            <w:vAlign w:val="bottom"/>
            <w:hideMark/>
          </w:tcPr>
          <w:p w14:paraId="0BDE6DAB"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69.344 </w:t>
            </w:r>
          </w:p>
        </w:tc>
      </w:tr>
      <w:tr w:rsidR="00F41043" w:rsidRPr="00F41043" w14:paraId="5DED2EE6"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046FF065" w14:textId="77777777" w:rsidR="00F41043" w:rsidRPr="00F41043" w:rsidRDefault="00F41043" w:rsidP="00F41043">
            <w:pPr>
              <w:spacing w:after="0" w:line="240" w:lineRule="auto"/>
              <w:ind w:firstLineChars="200" w:firstLine="28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Provisão para Programa de Indenização por Serviços Prestados</w:t>
            </w:r>
          </w:p>
        </w:tc>
        <w:tc>
          <w:tcPr>
            <w:tcW w:w="494" w:type="pct"/>
            <w:tcBorders>
              <w:top w:val="nil"/>
              <w:left w:val="nil"/>
              <w:bottom w:val="single" w:sz="4" w:space="0" w:color="auto"/>
              <w:right w:val="single" w:sz="4" w:space="0" w:color="auto"/>
            </w:tcBorders>
            <w:shd w:val="clear" w:color="auto" w:fill="auto"/>
            <w:noWrap/>
            <w:vAlign w:val="bottom"/>
            <w:hideMark/>
          </w:tcPr>
          <w:p w14:paraId="556604F8"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982 </w:t>
            </w:r>
          </w:p>
        </w:tc>
        <w:tc>
          <w:tcPr>
            <w:tcW w:w="634" w:type="pct"/>
            <w:tcBorders>
              <w:top w:val="nil"/>
              <w:left w:val="nil"/>
              <w:bottom w:val="single" w:sz="4" w:space="0" w:color="auto"/>
              <w:right w:val="single" w:sz="4" w:space="0" w:color="auto"/>
            </w:tcBorders>
            <w:shd w:val="clear" w:color="auto" w:fill="auto"/>
            <w:noWrap/>
            <w:vAlign w:val="bottom"/>
            <w:hideMark/>
          </w:tcPr>
          <w:p w14:paraId="45D9735D"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1" w:type="pct"/>
            <w:tcBorders>
              <w:top w:val="nil"/>
              <w:left w:val="nil"/>
              <w:bottom w:val="single" w:sz="4" w:space="0" w:color="auto"/>
              <w:right w:val="single" w:sz="4" w:space="0" w:color="auto"/>
            </w:tcBorders>
            <w:shd w:val="clear" w:color="auto" w:fill="auto"/>
            <w:noWrap/>
            <w:vAlign w:val="bottom"/>
            <w:hideMark/>
          </w:tcPr>
          <w:p w14:paraId="422B8563"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1AA8EF33"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982 </w:t>
            </w:r>
          </w:p>
        </w:tc>
      </w:tr>
      <w:tr w:rsidR="00F41043" w:rsidRPr="00F41043" w14:paraId="31F56394"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6F2D104F" w14:textId="77777777" w:rsidR="00F41043" w:rsidRPr="00F41043" w:rsidRDefault="00F41043" w:rsidP="00F41043">
            <w:pPr>
              <w:spacing w:after="0" w:line="240" w:lineRule="auto"/>
              <w:ind w:firstLineChars="200" w:firstLine="28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Variação Monetária/Juros de Credores por Perdas Judiciais</w:t>
            </w:r>
          </w:p>
        </w:tc>
        <w:tc>
          <w:tcPr>
            <w:tcW w:w="494" w:type="pct"/>
            <w:tcBorders>
              <w:top w:val="nil"/>
              <w:left w:val="nil"/>
              <w:bottom w:val="single" w:sz="4" w:space="0" w:color="auto"/>
              <w:right w:val="single" w:sz="4" w:space="0" w:color="auto"/>
            </w:tcBorders>
            <w:shd w:val="clear" w:color="auto" w:fill="auto"/>
            <w:noWrap/>
            <w:vAlign w:val="bottom"/>
            <w:hideMark/>
          </w:tcPr>
          <w:p w14:paraId="2ED78FFA"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25.904 </w:t>
            </w:r>
          </w:p>
        </w:tc>
        <w:tc>
          <w:tcPr>
            <w:tcW w:w="634" w:type="pct"/>
            <w:tcBorders>
              <w:top w:val="nil"/>
              <w:left w:val="nil"/>
              <w:bottom w:val="single" w:sz="4" w:space="0" w:color="auto"/>
              <w:right w:val="single" w:sz="4" w:space="0" w:color="auto"/>
            </w:tcBorders>
            <w:shd w:val="clear" w:color="auto" w:fill="auto"/>
            <w:noWrap/>
            <w:vAlign w:val="bottom"/>
            <w:hideMark/>
          </w:tcPr>
          <w:p w14:paraId="1EBB253E"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1" w:type="pct"/>
            <w:tcBorders>
              <w:top w:val="nil"/>
              <w:left w:val="nil"/>
              <w:bottom w:val="single" w:sz="4" w:space="0" w:color="auto"/>
              <w:right w:val="single" w:sz="4" w:space="0" w:color="auto"/>
            </w:tcBorders>
            <w:shd w:val="clear" w:color="auto" w:fill="auto"/>
            <w:noWrap/>
            <w:vAlign w:val="bottom"/>
            <w:hideMark/>
          </w:tcPr>
          <w:p w14:paraId="0C907093"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1C3B81F5"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25.904 </w:t>
            </w:r>
          </w:p>
        </w:tc>
      </w:tr>
      <w:tr w:rsidR="00F41043" w:rsidRPr="00F41043" w14:paraId="492D2CEB"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2DF9FADC" w14:textId="77777777" w:rsidR="00F41043" w:rsidRPr="00F41043" w:rsidRDefault="00F41043" w:rsidP="00F41043">
            <w:pPr>
              <w:spacing w:after="0" w:line="240" w:lineRule="auto"/>
              <w:ind w:firstLineChars="200" w:firstLine="28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Variação Monetária de Depósitos Judiciais</w:t>
            </w:r>
          </w:p>
        </w:tc>
        <w:tc>
          <w:tcPr>
            <w:tcW w:w="494" w:type="pct"/>
            <w:tcBorders>
              <w:top w:val="nil"/>
              <w:left w:val="nil"/>
              <w:bottom w:val="single" w:sz="4" w:space="0" w:color="auto"/>
              <w:right w:val="single" w:sz="4" w:space="0" w:color="auto"/>
            </w:tcBorders>
            <w:shd w:val="clear" w:color="auto" w:fill="auto"/>
            <w:noWrap/>
            <w:vAlign w:val="bottom"/>
            <w:hideMark/>
          </w:tcPr>
          <w:p w14:paraId="6A199872"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(2.616)</w:t>
            </w:r>
          </w:p>
        </w:tc>
        <w:tc>
          <w:tcPr>
            <w:tcW w:w="634" w:type="pct"/>
            <w:tcBorders>
              <w:top w:val="nil"/>
              <w:left w:val="nil"/>
              <w:bottom w:val="single" w:sz="4" w:space="0" w:color="auto"/>
              <w:right w:val="single" w:sz="4" w:space="0" w:color="auto"/>
            </w:tcBorders>
            <w:shd w:val="clear" w:color="auto" w:fill="auto"/>
            <w:noWrap/>
            <w:vAlign w:val="bottom"/>
            <w:hideMark/>
          </w:tcPr>
          <w:p w14:paraId="72FA3509"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1" w:type="pct"/>
            <w:tcBorders>
              <w:top w:val="nil"/>
              <w:left w:val="nil"/>
              <w:bottom w:val="single" w:sz="4" w:space="0" w:color="auto"/>
              <w:right w:val="single" w:sz="4" w:space="0" w:color="auto"/>
            </w:tcBorders>
            <w:shd w:val="clear" w:color="auto" w:fill="auto"/>
            <w:noWrap/>
            <w:vAlign w:val="bottom"/>
            <w:hideMark/>
          </w:tcPr>
          <w:p w14:paraId="03D1A27E"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1C5377F2"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(2.616)</w:t>
            </w:r>
          </w:p>
        </w:tc>
      </w:tr>
      <w:tr w:rsidR="00F41043" w:rsidRPr="00F41043" w14:paraId="4F3768BC"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65212170" w14:textId="77777777" w:rsidR="00F41043" w:rsidRPr="00F41043" w:rsidRDefault="00F41043" w:rsidP="00F41043">
            <w:pPr>
              <w:spacing w:after="0" w:line="240" w:lineRule="auto"/>
              <w:ind w:firstLineChars="200" w:firstLine="28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Despesas Financeiras - Juros a Apropriar CPC (R</w:t>
            </w:r>
            <w:proofErr w:type="gramStart"/>
            <w:r w:rsidRPr="00F41043">
              <w:rPr>
                <w:rFonts w:ascii="Arial" w:eastAsia="Times New Roman" w:hAnsi="Arial" w:cs="Arial"/>
                <w:kern w:val="0"/>
                <w:sz w:val="14"/>
                <w:szCs w:val="14"/>
                <w:lang w:eastAsia="pt-BR"/>
                <w14:ligatures w14:val="none"/>
              </w:rPr>
              <w:t>2)/</w:t>
            </w:r>
            <w:proofErr w:type="gramEnd"/>
            <w:r w:rsidRPr="00F41043">
              <w:rPr>
                <w:rFonts w:ascii="Arial" w:eastAsia="Times New Roman" w:hAnsi="Arial" w:cs="Arial"/>
                <w:kern w:val="0"/>
                <w:sz w:val="14"/>
                <w:szCs w:val="14"/>
                <w:lang w:eastAsia="pt-BR"/>
                <w14:ligatures w14:val="none"/>
              </w:rPr>
              <w:t>IFRS 16</w:t>
            </w:r>
          </w:p>
        </w:tc>
        <w:tc>
          <w:tcPr>
            <w:tcW w:w="494" w:type="pct"/>
            <w:tcBorders>
              <w:top w:val="nil"/>
              <w:left w:val="nil"/>
              <w:bottom w:val="single" w:sz="4" w:space="0" w:color="auto"/>
              <w:right w:val="single" w:sz="4" w:space="0" w:color="auto"/>
            </w:tcBorders>
            <w:shd w:val="clear" w:color="auto" w:fill="auto"/>
            <w:noWrap/>
            <w:vAlign w:val="bottom"/>
            <w:hideMark/>
          </w:tcPr>
          <w:p w14:paraId="430CBF5F"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755 </w:t>
            </w:r>
          </w:p>
        </w:tc>
        <w:tc>
          <w:tcPr>
            <w:tcW w:w="634" w:type="pct"/>
            <w:tcBorders>
              <w:top w:val="nil"/>
              <w:left w:val="nil"/>
              <w:bottom w:val="single" w:sz="4" w:space="0" w:color="auto"/>
              <w:right w:val="single" w:sz="4" w:space="0" w:color="auto"/>
            </w:tcBorders>
            <w:shd w:val="clear" w:color="auto" w:fill="auto"/>
            <w:noWrap/>
            <w:vAlign w:val="bottom"/>
            <w:hideMark/>
          </w:tcPr>
          <w:p w14:paraId="5B1678C0"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1" w:type="pct"/>
            <w:tcBorders>
              <w:top w:val="nil"/>
              <w:left w:val="nil"/>
              <w:bottom w:val="single" w:sz="4" w:space="0" w:color="auto"/>
              <w:right w:val="single" w:sz="4" w:space="0" w:color="auto"/>
            </w:tcBorders>
            <w:shd w:val="clear" w:color="auto" w:fill="auto"/>
            <w:noWrap/>
            <w:vAlign w:val="bottom"/>
            <w:hideMark/>
          </w:tcPr>
          <w:p w14:paraId="08234468"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4C03F76A"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755 </w:t>
            </w:r>
          </w:p>
        </w:tc>
      </w:tr>
      <w:tr w:rsidR="00F41043" w:rsidRPr="00F41043" w14:paraId="25A4A1D2"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1BB9DC3A" w14:textId="77777777" w:rsidR="00F41043" w:rsidRPr="00F41043" w:rsidRDefault="00F41043" w:rsidP="00F41043">
            <w:pPr>
              <w:spacing w:after="0" w:line="240" w:lineRule="auto"/>
              <w:ind w:firstLineChars="200" w:firstLine="28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Apropriação de Juros - Empréstimos e Financiamentos</w:t>
            </w:r>
          </w:p>
        </w:tc>
        <w:tc>
          <w:tcPr>
            <w:tcW w:w="494" w:type="pct"/>
            <w:tcBorders>
              <w:top w:val="nil"/>
              <w:left w:val="nil"/>
              <w:bottom w:val="single" w:sz="4" w:space="0" w:color="auto"/>
              <w:right w:val="single" w:sz="4" w:space="0" w:color="auto"/>
            </w:tcBorders>
            <w:shd w:val="clear" w:color="auto" w:fill="auto"/>
            <w:noWrap/>
            <w:vAlign w:val="bottom"/>
            <w:hideMark/>
          </w:tcPr>
          <w:p w14:paraId="44424E13"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6.339 </w:t>
            </w:r>
          </w:p>
        </w:tc>
        <w:tc>
          <w:tcPr>
            <w:tcW w:w="634" w:type="pct"/>
            <w:tcBorders>
              <w:top w:val="nil"/>
              <w:left w:val="nil"/>
              <w:bottom w:val="single" w:sz="4" w:space="0" w:color="auto"/>
              <w:right w:val="single" w:sz="4" w:space="0" w:color="auto"/>
            </w:tcBorders>
            <w:shd w:val="clear" w:color="auto" w:fill="auto"/>
            <w:noWrap/>
            <w:vAlign w:val="bottom"/>
            <w:hideMark/>
          </w:tcPr>
          <w:p w14:paraId="3EBA00CD"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1" w:type="pct"/>
            <w:tcBorders>
              <w:top w:val="nil"/>
              <w:left w:val="nil"/>
              <w:bottom w:val="single" w:sz="4" w:space="0" w:color="auto"/>
              <w:right w:val="single" w:sz="4" w:space="0" w:color="auto"/>
            </w:tcBorders>
            <w:shd w:val="clear" w:color="auto" w:fill="auto"/>
            <w:noWrap/>
            <w:vAlign w:val="bottom"/>
            <w:hideMark/>
          </w:tcPr>
          <w:p w14:paraId="00BD8068"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00F3D7A6"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6.339 </w:t>
            </w:r>
          </w:p>
        </w:tc>
      </w:tr>
      <w:tr w:rsidR="00F41043" w:rsidRPr="00F41043" w14:paraId="5FE1BF03"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37E0C234" w14:textId="77777777" w:rsidR="00F41043" w:rsidRPr="00F41043" w:rsidRDefault="00F41043" w:rsidP="00F41043">
            <w:pPr>
              <w:spacing w:after="0" w:line="240" w:lineRule="auto"/>
              <w:ind w:firstLineChars="200" w:firstLine="28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Perdas Estimadas com Créditos de Liquidação Duvidosa</w:t>
            </w:r>
          </w:p>
        </w:tc>
        <w:tc>
          <w:tcPr>
            <w:tcW w:w="494" w:type="pct"/>
            <w:tcBorders>
              <w:top w:val="nil"/>
              <w:left w:val="nil"/>
              <w:bottom w:val="single" w:sz="4" w:space="0" w:color="auto"/>
              <w:right w:val="single" w:sz="4" w:space="0" w:color="auto"/>
            </w:tcBorders>
            <w:shd w:val="clear" w:color="auto" w:fill="auto"/>
            <w:noWrap/>
            <w:vAlign w:val="bottom"/>
            <w:hideMark/>
          </w:tcPr>
          <w:p w14:paraId="448705F7"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(515)</w:t>
            </w:r>
          </w:p>
        </w:tc>
        <w:tc>
          <w:tcPr>
            <w:tcW w:w="634" w:type="pct"/>
            <w:tcBorders>
              <w:top w:val="nil"/>
              <w:left w:val="nil"/>
              <w:bottom w:val="single" w:sz="4" w:space="0" w:color="auto"/>
              <w:right w:val="single" w:sz="4" w:space="0" w:color="auto"/>
            </w:tcBorders>
            <w:shd w:val="clear" w:color="auto" w:fill="auto"/>
            <w:noWrap/>
            <w:vAlign w:val="bottom"/>
            <w:hideMark/>
          </w:tcPr>
          <w:p w14:paraId="0AFCB863"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1" w:type="pct"/>
            <w:tcBorders>
              <w:top w:val="nil"/>
              <w:left w:val="nil"/>
              <w:bottom w:val="single" w:sz="4" w:space="0" w:color="auto"/>
              <w:right w:val="single" w:sz="4" w:space="0" w:color="auto"/>
            </w:tcBorders>
            <w:shd w:val="clear" w:color="auto" w:fill="auto"/>
            <w:noWrap/>
            <w:vAlign w:val="bottom"/>
            <w:hideMark/>
          </w:tcPr>
          <w:p w14:paraId="1C3A77C6"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0A119730"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(515)</w:t>
            </w:r>
          </w:p>
        </w:tc>
      </w:tr>
      <w:tr w:rsidR="00F41043" w:rsidRPr="00F41043" w14:paraId="5FB23472"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7269C73B" w14:textId="77777777" w:rsidR="00F41043" w:rsidRPr="00F41043" w:rsidRDefault="00F41043" w:rsidP="00F41043">
            <w:pPr>
              <w:spacing w:after="0" w:line="240" w:lineRule="auto"/>
              <w:ind w:firstLineChars="200" w:firstLine="28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Dividendos/Juros sobre Capital Próprio</w:t>
            </w:r>
          </w:p>
        </w:tc>
        <w:tc>
          <w:tcPr>
            <w:tcW w:w="494" w:type="pct"/>
            <w:tcBorders>
              <w:top w:val="nil"/>
              <w:left w:val="nil"/>
              <w:bottom w:val="single" w:sz="4" w:space="0" w:color="auto"/>
              <w:right w:val="single" w:sz="4" w:space="0" w:color="auto"/>
            </w:tcBorders>
            <w:shd w:val="clear" w:color="auto" w:fill="auto"/>
            <w:noWrap/>
            <w:vAlign w:val="bottom"/>
            <w:hideMark/>
          </w:tcPr>
          <w:p w14:paraId="5F0D06E9"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(119)</w:t>
            </w:r>
          </w:p>
        </w:tc>
        <w:tc>
          <w:tcPr>
            <w:tcW w:w="634" w:type="pct"/>
            <w:tcBorders>
              <w:top w:val="nil"/>
              <w:left w:val="nil"/>
              <w:bottom w:val="single" w:sz="4" w:space="0" w:color="auto"/>
              <w:right w:val="single" w:sz="4" w:space="0" w:color="auto"/>
            </w:tcBorders>
            <w:shd w:val="clear" w:color="auto" w:fill="auto"/>
            <w:noWrap/>
            <w:vAlign w:val="bottom"/>
            <w:hideMark/>
          </w:tcPr>
          <w:p w14:paraId="11CF08D1"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1" w:type="pct"/>
            <w:tcBorders>
              <w:top w:val="nil"/>
              <w:left w:val="nil"/>
              <w:bottom w:val="single" w:sz="4" w:space="0" w:color="auto"/>
              <w:right w:val="single" w:sz="4" w:space="0" w:color="auto"/>
            </w:tcBorders>
            <w:shd w:val="clear" w:color="auto" w:fill="auto"/>
            <w:noWrap/>
            <w:vAlign w:val="bottom"/>
            <w:hideMark/>
          </w:tcPr>
          <w:p w14:paraId="4E91EA2E"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4ED1BFA6"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(119)</w:t>
            </w:r>
          </w:p>
        </w:tc>
      </w:tr>
      <w:tr w:rsidR="00F41043" w:rsidRPr="00F41043" w14:paraId="625460E5"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5292DDE4" w14:textId="77777777" w:rsidR="00F41043" w:rsidRPr="00F41043" w:rsidRDefault="00F41043" w:rsidP="00F41043">
            <w:pPr>
              <w:spacing w:after="0" w:line="240" w:lineRule="auto"/>
              <w:ind w:firstLineChars="200" w:firstLine="28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Reversão de Provisão de Tributos Municipais</w:t>
            </w:r>
          </w:p>
        </w:tc>
        <w:tc>
          <w:tcPr>
            <w:tcW w:w="494" w:type="pct"/>
            <w:tcBorders>
              <w:top w:val="nil"/>
              <w:left w:val="nil"/>
              <w:bottom w:val="single" w:sz="4" w:space="0" w:color="auto"/>
              <w:right w:val="single" w:sz="4" w:space="0" w:color="auto"/>
            </w:tcBorders>
            <w:shd w:val="clear" w:color="auto" w:fill="auto"/>
            <w:noWrap/>
            <w:vAlign w:val="bottom"/>
            <w:hideMark/>
          </w:tcPr>
          <w:p w14:paraId="675763EB"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(585)</w:t>
            </w:r>
          </w:p>
        </w:tc>
        <w:tc>
          <w:tcPr>
            <w:tcW w:w="634" w:type="pct"/>
            <w:tcBorders>
              <w:top w:val="nil"/>
              <w:left w:val="nil"/>
              <w:bottom w:val="single" w:sz="4" w:space="0" w:color="auto"/>
              <w:right w:val="single" w:sz="4" w:space="0" w:color="auto"/>
            </w:tcBorders>
            <w:shd w:val="clear" w:color="auto" w:fill="auto"/>
            <w:noWrap/>
            <w:vAlign w:val="bottom"/>
            <w:hideMark/>
          </w:tcPr>
          <w:p w14:paraId="1EA12463"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1" w:type="pct"/>
            <w:tcBorders>
              <w:top w:val="nil"/>
              <w:left w:val="nil"/>
              <w:bottom w:val="single" w:sz="4" w:space="0" w:color="auto"/>
              <w:right w:val="single" w:sz="4" w:space="0" w:color="auto"/>
            </w:tcBorders>
            <w:shd w:val="clear" w:color="auto" w:fill="auto"/>
            <w:noWrap/>
            <w:vAlign w:val="bottom"/>
            <w:hideMark/>
          </w:tcPr>
          <w:p w14:paraId="26FDA0AA"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6B096429"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(585)</w:t>
            </w:r>
          </w:p>
        </w:tc>
      </w:tr>
      <w:tr w:rsidR="00F41043" w:rsidRPr="00F41043" w14:paraId="7345B9CB"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5A160F86" w14:textId="77777777" w:rsidR="00F41043" w:rsidRPr="00F41043" w:rsidRDefault="00F41043" w:rsidP="00F41043">
            <w:pPr>
              <w:spacing w:after="0" w:line="240" w:lineRule="auto"/>
              <w:ind w:firstLineChars="200" w:firstLine="28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Ganho na Baixa de Passivo</w:t>
            </w:r>
          </w:p>
        </w:tc>
        <w:tc>
          <w:tcPr>
            <w:tcW w:w="494" w:type="pct"/>
            <w:tcBorders>
              <w:top w:val="nil"/>
              <w:left w:val="nil"/>
              <w:bottom w:val="single" w:sz="4" w:space="0" w:color="auto"/>
              <w:right w:val="single" w:sz="4" w:space="0" w:color="auto"/>
            </w:tcBorders>
            <w:shd w:val="clear" w:color="auto" w:fill="auto"/>
            <w:noWrap/>
            <w:vAlign w:val="bottom"/>
            <w:hideMark/>
          </w:tcPr>
          <w:p w14:paraId="1B5E7BD2"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(15.501)</w:t>
            </w:r>
          </w:p>
        </w:tc>
        <w:tc>
          <w:tcPr>
            <w:tcW w:w="634" w:type="pct"/>
            <w:tcBorders>
              <w:top w:val="nil"/>
              <w:left w:val="nil"/>
              <w:bottom w:val="single" w:sz="4" w:space="0" w:color="auto"/>
              <w:right w:val="single" w:sz="4" w:space="0" w:color="auto"/>
            </w:tcBorders>
            <w:shd w:val="clear" w:color="auto" w:fill="auto"/>
            <w:noWrap/>
            <w:vAlign w:val="bottom"/>
            <w:hideMark/>
          </w:tcPr>
          <w:p w14:paraId="12C0EF99"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1" w:type="pct"/>
            <w:tcBorders>
              <w:top w:val="nil"/>
              <w:left w:val="nil"/>
              <w:bottom w:val="single" w:sz="4" w:space="0" w:color="auto"/>
              <w:right w:val="single" w:sz="4" w:space="0" w:color="auto"/>
            </w:tcBorders>
            <w:shd w:val="clear" w:color="auto" w:fill="auto"/>
            <w:noWrap/>
            <w:vAlign w:val="bottom"/>
            <w:hideMark/>
          </w:tcPr>
          <w:p w14:paraId="0EB47EED"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3D76025F"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(15.501)</w:t>
            </w:r>
          </w:p>
        </w:tc>
      </w:tr>
      <w:tr w:rsidR="00F41043" w:rsidRPr="00F41043" w14:paraId="6CEA69E9"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54F5A54B" w14:textId="77777777" w:rsidR="00F41043" w:rsidRPr="00F41043" w:rsidRDefault="00F41043" w:rsidP="00F41043">
            <w:pPr>
              <w:spacing w:after="0" w:line="240" w:lineRule="auto"/>
              <w:ind w:firstLineChars="200" w:firstLine="28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Baixa de Créditos Tributários</w:t>
            </w:r>
          </w:p>
        </w:tc>
        <w:tc>
          <w:tcPr>
            <w:tcW w:w="494" w:type="pct"/>
            <w:tcBorders>
              <w:top w:val="nil"/>
              <w:left w:val="nil"/>
              <w:bottom w:val="single" w:sz="4" w:space="0" w:color="auto"/>
              <w:right w:val="single" w:sz="4" w:space="0" w:color="auto"/>
            </w:tcBorders>
            <w:shd w:val="clear" w:color="auto" w:fill="auto"/>
            <w:noWrap/>
            <w:vAlign w:val="bottom"/>
            <w:hideMark/>
          </w:tcPr>
          <w:p w14:paraId="6ED31485"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13.488 </w:t>
            </w:r>
          </w:p>
        </w:tc>
        <w:tc>
          <w:tcPr>
            <w:tcW w:w="634" w:type="pct"/>
            <w:tcBorders>
              <w:top w:val="nil"/>
              <w:left w:val="nil"/>
              <w:bottom w:val="single" w:sz="4" w:space="0" w:color="auto"/>
              <w:right w:val="single" w:sz="4" w:space="0" w:color="auto"/>
            </w:tcBorders>
            <w:shd w:val="clear" w:color="auto" w:fill="auto"/>
            <w:noWrap/>
            <w:vAlign w:val="bottom"/>
            <w:hideMark/>
          </w:tcPr>
          <w:p w14:paraId="32C73032"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1" w:type="pct"/>
            <w:tcBorders>
              <w:top w:val="nil"/>
              <w:left w:val="nil"/>
              <w:bottom w:val="single" w:sz="4" w:space="0" w:color="auto"/>
              <w:right w:val="single" w:sz="4" w:space="0" w:color="auto"/>
            </w:tcBorders>
            <w:shd w:val="clear" w:color="auto" w:fill="auto"/>
            <w:noWrap/>
            <w:vAlign w:val="bottom"/>
            <w:hideMark/>
          </w:tcPr>
          <w:p w14:paraId="1E90CE00"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343B95B1"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13.488 </w:t>
            </w:r>
          </w:p>
        </w:tc>
      </w:tr>
      <w:tr w:rsidR="00F41043" w:rsidRPr="00F41043" w14:paraId="05CCEF20"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77EDFBD7" w14:textId="77777777" w:rsidR="00F41043" w:rsidRPr="00F41043" w:rsidRDefault="00F41043" w:rsidP="00F41043">
            <w:pPr>
              <w:spacing w:after="0" w:line="240" w:lineRule="auto"/>
              <w:ind w:firstLineChars="200" w:firstLine="28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Recuperação de Créditos - Exclusão do ICMS BC PIS/COFINS</w:t>
            </w:r>
          </w:p>
        </w:tc>
        <w:tc>
          <w:tcPr>
            <w:tcW w:w="494" w:type="pct"/>
            <w:tcBorders>
              <w:top w:val="nil"/>
              <w:left w:val="nil"/>
              <w:bottom w:val="single" w:sz="4" w:space="0" w:color="auto"/>
              <w:right w:val="single" w:sz="4" w:space="0" w:color="auto"/>
            </w:tcBorders>
            <w:shd w:val="clear" w:color="auto" w:fill="auto"/>
            <w:noWrap/>
            <w:vAlign w:val="bottom"/>
            <w:hideMark/>
          </w:tcPr>
          <w:p w14:paraId="7FE34C08"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(6.933)</w:t>
            </w:r>
          </w:p>
        </w:tc>
        <w:tc>
          <w:tcPr>
            <w:tcW w:w="634" w:type="pct"/>
            <w:tcBorders>
              <w:top w:val="nil"/>
              <w:left w:val="nil"/>
              <w:bottom w:val="single" w:sz="4" w:space="0" w:color="auto"/>
              <w:right w:val="single" w:sz="4" w:space="0" w:color="auto"/>
            </w:tcBorders>
            <w:shd w:val="clear" w:color="auto" w:fill="auto"/>
            <w:noWrap/>
            <w:vAlign w:val="bottom"/>
            <w:hideMark/>
          </w:tcPr>
          <w:p w14:paraId="4DE8C285"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1" w:type="pct"/>
            <w:tcBorders>
              <w:top w:val="nil"/>
              <w:left w:val="nil"/>
              <w:bottom w:val="single" w:sz="4" w:space="0" w:color="auto"/>
              <w:right w:val="single" w:sz="4" w:space="0" w:color="auto"/>
            </w:tcBorders>
            <w:shd w:val="clear" w:color="auto" w:fill="auto"/>
            <w:noWrap/>
            <w:vAlign w:val="bottom"/>
            <w:hideMark/>
          </w:tcPr>
          <w:p w14:paraId="757B4CA4"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1638381A"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(6.933)</w:t>
            </w:r>
          </w:p>
        </w:tc>
      </w:tr>
      <w:tr w:rsidR="00F41043" w:rsidRPr="00F41043" w14:paraId="71404B95"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21FE6283" w14:textId="77777777" w:rsidR="00F41043" w:rsidRPr="00F41043" w:rsidRDefault="00F41043" w:rsidP="00F41043">
            <w:pPr>
              <w:spacing w:after="0" w:line="240" w:lineRule="auto"/>
              <w:ind w:firstLineChars="200" w:firstLine="281"/>
              <w:rPr>
                <w:rFonts w:ascii="Arial" w:eastAsia="Times New Roman" w:hAnsi="Arial" w:cs="Arial"/>
                <w:kern w:val="0"/>
                <w:sz w:val="14"/>
                <w:szCs w:val="14"/>
                <w:lang w:eastAsia="pt-BR"/>
                <w14:ligatures w14:val="none"/>
              </w:rPr>
            </w:pPr>
            <w:r w:rsidRPr="00F41043">
              <w:rPr>
                <w:rFonts w:ascii="Arial" w:eastAsia="Times New Roman" w:hAnsi="Arial" w:cs="Arial"/>
                <w:b/>
                <w:bCs/>
                <w:kern w:val="0"/>
                <w:sz w:val="14"/>
                <w:szCs w:val="14"/>
                <w:lang w:eastAsia="pt-BR"/>
                <w14:ligatures w14:val="none"/>
              </w:rPr>
              <w:t>Total</w:t>
            </w:r>
          </w:p>
        </w:tc>
        <w:tc>
          <w:tcPr>
            <w:tcW w:w="494" w:type="pct"/>
            <w:tcBorders>
              <w:top w:val="nil"/>
              <w:left w:val="nil"/>
              <w:bottom w:val="single" w:sz="4" w:space="0" w:color="auto"/>
              <w:right w:val="single" w:sz="4" w:space="0" w:color="auto"/>
            </w:tcBorders>
            <w:shd w:val="clear" w:color="auto" w:fill="auto"/>
            <w:noWrap/>
            <w:vAlign w:val="bottom"/>
            <w:hideMark/>
          </w:tcPr>
          <w:p w14:paraId="371604CC"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276.087 </w:t>
            </w:r>
          </w:p>
        </w:tc>
        <w:tc>
          <w:tcPr>
            <w:tcW w:w="634" w:type="pct"/>
            <w:tcBorders>
              <w:top w:val="nil"/>
              <w:left w:val="nil"/>
              <w:bottom w:val="single" w:sz="4" w:space="0" w:color="auto"/>
              <w:right w:val="single" w:sz="4" w:space="0" w:color="auto"/>
            </w:tcBorders>
            <w:shd w:val="clear" w:color="auto" w:fill="auto"/>
            <w:noWrap/>
            <w:vAlign w:val="bottom"/>
            <w:hideMark/>
          </w:tcPr>
          <w:p w14:paraId="62C2CB57"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 </w:t>
            </w:r>
          </w:p>
        </w:tc>
        <w:tc>
          <w:tcPr>
            <w:tcW w:w="541" w:type="pct"/>
            <w:tcBorders>
              <w:top w:val="nil"/>
              <w:left w:val="nil"/>
              <w:bottom w:val="single" w:sz="4" w:space="0" w:color="auto"/>
              <w:right w:val="single" w:sz="4" w:space="0" w:color="auto"/>
            </w:tcBorders>
            <w:shd w:val="clear" w:color="auto" w:fill="auto"/>
            <w:noWrap/>
            <w:vAlign w:val="bottom"/>
            <w:hideMark/>
          </w:tcPr>
          <w:p w14:paraId="65FFC283"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2.391 </w:t>
            </w:r>
          </w:p>
        </w:tc>
        <w:tc>
          <w:tcPr>
            <w:tcW w:w="650" w:type="pct"/>
            <w:tcBorders>
              <w:top w:val="nil"/>
              <w:left w:val="nil"/>
              <w:bottom w:val="single" w:sz="4" w:space="0" w:color="auto"/>
              <w:right w:val="single" w:sz="4" w:space="0" w:color="auto"/>
            </w:tcBorders>
            <w:shd w:val="clear" w:color="auto" w:fill="auto"/>
            <w:noWrap/>
            <w:vAlign w:val="bottom"/>
            <w:hideMark/>
          </w:tcPr>
          <w:p w14:paraId="1FD609BD"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278.478 </w:t>
            </w:r>
          </w:p>
        </w:tc>
      </w:tr>
      <w:tr w:rsidR="00F41043" w:rsidRPr="00F41043" w14:paraId="47D52F76"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4AA08E9C" w14:textId="77777777" w:rsidR="00F41043" w:rsidRPr="00F41043" w:rsidRDefault="00F41043" w:rsidP="00F41043">
            <w:pPr>
              <w:spacing w:after="0" w:line="240" w:lineRule="auto"/>
              <w:ind w:firstLineChars="200" w:firstLine="281"/>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Mutações Patrimoniais:</w:t>
            </w:r>
          </w:p>
        </w:tc>
        <w:tc>
          <w:tcPr>
            <w:tcW w:w="494" w:type="pct"/>
            <w:tcBorders>
              <w:top w:val="nil"/>
              <w:left w:val="nil"/>
              <w:bottom w:val="single" w:sz="4" w:space="0" w:color="auto"/>
              <w:right w:val="single" w:sz="4" w:space="0" w:color="auto"/>
            </w:tcBorders>
            <w:shd w:val="clear" w:color="auto" w:fill="auto"/>
            <w:noWrap/>
            <w:vAlign w:val="bottom"/>
            <w:hideMark/>
          </w:tcPr>
          <w:p w14:paraId="0C8BDDB4"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34" w:type="pct"/>
            <w:tcBorders>
              <w:top w:val="nil"/>
              <w:left w:val="nil"/>
              <w:bottom w:val="single" w:sz="4" w:space="0" w:color="auto"/>
              <w:right w:val="single" w:sz="4" w:space="0" w:color="auto"/>
            </w:tcBorders>
            <w:shd w:val="clear" w:color="auto" w:fill="auto"/>
            <w:noWrap/>
            <w:vAlign w:val="bottom"/>
            <w:hideMark/>
          </w:tcPr>
          <w:p w14:paraId="6CC4EC7F"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1" w:type="pct"/>
            <w:tcBorders>
              <w:top w:val="nil"/>
              <w:left w:val="nil"/>
              <w:bottom w:val="single" w:sz="4" w:space="0" w:color="auto"/>
              <w:right w:val="single" w:sz="4" w:space="0" w:color="auto"/>
            </w:tcBorders>
            <w:shd w:val="clear" w:color="auto" w:fill="auto"/>
            <w:noWrap/>
            <w:vAlign w:val="bottom"/>
            <w:hideMark/>
          </w:tcPr>
          <w:p w14:paraId="59B1C77C"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143EC9EC"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r>
      <w:tr w:rsidR="00F41043" w:rsidRPr="00F41043" w14:paraId="6A0D0792"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588A9BB4"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Contas a Receber de Clientes</w:t>
            </w:r>
          </w:p>
        </w:tc>
        <w:tc>
          <w:tcPr>
            <w:tcW w:w="494" w:type="pct"/>
            <w:tcBorders>
              <w:top w:val="nil"/>
              <w:left w:val="nil"/>
              <w:bottom w:val="single" w:sz="4" w:space="0" w:color="auto"/>
              <w:right w:val="single" w:sz="4" w:space="0" w:color="auto"/>
            </w:tcBorders>
            <w:shd w:val="clear" w:color="auto" w:fill="auto"/>
            <w:noWrap/>
            <w:vAlign w:val="bottom"/>
            <w:hideMark/>
          </w:tcPr>
          <w:p w14:paraId="5884406D"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8.750 </w:t>
            </w:r>
          </w:p>
        </w:tc>
        <w:tc>
          <w:tcPr>
            <w:tcW w:w="634" w:type="pct"/>
            <w:tcBorders>
              <w:top w:val="nil"/>
              <w:left w:val="nil"/>
              <w:bottom w:val="single" w:sz="4" w:space="0" w:color="auto"/>
              <w:right w:val="single" w:sz="4" w:space="0" w:color="auto"/>
            </w:tcBorders>
            <w:shd w:val="clear" w:color="auto" w:fill="auto"/>
            <w:noWrap/>
            <w:vAlign w:val="bottom"/>
            <w:hideMark/>
          </w:tcPr>
          <w:p w14:paraId="64A86EFC"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1" w:type="pct"/>
            <w:tcBorders>
              <w:top w:val="nil"/>
              <w:left w:val="nil"/>
              <w:bottom w:val="single" w:sz="4" w:space="0" w:color="auto"/>
              <w:right w:val="single" w:sz="4" w:space="0" w:color="auto"/>
            </w:tcBorders>
            <w:shd w:val="clear" w:color="auto" w:fill="auto"/>
            <w:noWrap/>
            <w:vAlign w:val="bottom"/>
            <w:hideMark/>
          </w:tcPr>
          <w:p w14:paraId="2CB6AE23"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77434077"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8.750 </w:t>
            </w:r>
          </w:p>
        </w:tc>
      </w:tr>
      <w:tr w:rsidR="00F41043" w:rsidRPr="00F41043" w14:paraId="5DFCF953"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10E84D13" w14:textId="77777777" w:rsidR="00F41043" w:rsidRPr="00F41043" w:rsidRDefault="00F41043" w:rsidP="00F41043">
            <w:pPr>
              <w:spacing w:after="0" w:line="240" w:lineRule="auto"/>
              <w:ind w:firstLineChars="200" w:firstLine="28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Tributos a Recuperar</w:t>
            </w:r>
          </w:p>
        </w:tc>
        <w:tc>
          <w:tcPr>
            <w:tcW w:w="494" w:type="pct"/>
            <w:tcBorders>
              <w:top w:val="nil"/>
              <w:left w:val="nil"/>
              <w:bottom w:val="single" w:sz="4" w:space="0" w:color="auto"/>
              <w:right w:val="single" w:sz="4" w:space="0" w:color="auto"/>
            </w:tcBorders>
            <w:shd w:val="clear" w:color="auto" w:fill="auto"/>
            <w:noWrap/>
            <w:vAlign w:val="bottom"/>
            <w:hideMark/>
          </w:tcPr>
          <w:p w14:paraId="3AE18DFF"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(15.084)</w:t>
            </w:r>
          </w:p>
        </w:tc>
        <w:tc>
          <w:tcPr>
            <w:tcW w:w="634" w:type="pct"/>
            <w:tcBorders>
              <w:top w:val="nil"/>
              <w:left w:val="nil"/>
              <w:bottom w:val="single" w:sz="4" w:space="0" w:color="auto"/>
              <w:right w:val="single" w:sz="4" w:space="0" w:color="auto"/>
            </w:tcBorders>
            <w:shd w:val="clear" w:color="auto" w:fill="auto"/>
            <w:noWrap/>
            <w:vAlign w:val="bottom"/>
            <w:hideMark/>
          </w:tcPr>
          <w:p w14:paraId="7A113D09"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1" w:type="pct"/>
            <w:tcBorders>
              <w:top w:val="nil"/>
              <w:left w:val="nil"/>
              <w:bottom w:val="single" w:sz="4" w:space="0" w:color="auto"/>
              <w:right w:val="single" w:sz="4" w:space="0" w:color="auto"/>
            </w:tcBorders>
            <w:shd w:val="clear" w:color="auto" w:fill="auto"/>
            <w:noWrap/>
            <w:vAlign w:val="bottom"/>
            <w:hideMark/>
          </w:tcPr>
          <w:p w14:paraId="025F7477"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2303A5D1"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(15.084)</w:t>
            </w:r>
          </w:p>
        </w:tc>
      </w:tr>
      <w:tr w:rsidR="00F41043" w:rsidRPr="00F41043" w14:paraId="0C0C2A7B"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4CF5D10C" w14:textId="77777777" w:rsidR="00F41043" w:rsidRPr="00F41043" w:rsidRDefault="00F41043" w:rsidP="00F41043">
            <w:pPr>
              <w:spacing w:after="0" w:line="240" w:lineRule="auto"/>
              <w:ind w:firstLineChars="200" w:firstLine="28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Depósitos Judiciais</w:t>
            </w:r>
          </w:p>
        </w:tc>
        <w:tc>
          <w:tcPr>
            <w:tcW w:w="494" w:type="pct"/>
            <w:tcBorders>
              <w:top w:val="nil"/>
              <w:left w:val="nil"/>
              <w:bottom w:val="single" w:sz="4" w:space="0" w:color="auto"/>
              <w:right w:val="single" w:sz="4" w:space="0" w:color="auto"/>
            </w:tcBorders>
            <w:shd w:val="clear" w:color="auto" w:fill="auto"/>
            <w:noWrap/>
            <w:vAlign w:val="bottom"/>
            <w:hideMark/>
          </w:tcPr>
          <w:p w14:paraId="0D61A8C8"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(598)</w:t>
            </w:r>
          </w:p>
        </w:tc>
        <w:tc>
          <w:tcPr>
            <w:tcW w:w="634" w:type="pct"/>
            <w:tcBorders>
              <w:top w:val="nil"/>
              <w:left w:val="nil"/>
              <w:bottom w:val="single" w:sz="4" w:space="0" w:color="auto"/>
              <w:right w:val="single" w:sz="4" w:space="0" w:color="auto"/>
            </w:tcBorders>
            <w:shd w:val="clear" w:color="auto" w:fill="auto"/>
            <w:noWrap/>
            <w:vAlign w:val="bottom"/>
            <w:hideMark/>
          </w:tcPr>
          <w:p w14:paraId="7694B7F3"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1" w:type="pct"/>
            <w:tcBorders>
              <w:top w:val="nil"/>
              <w:left w:val="nil"/>
              <w:bottom w:val="single" w:sz="4" w:space="0" w:color="auto"/>
              <w:right w:val="single" w:sz="4" w:space="0" w:color="auto"/>
            </w:tcBorders>
            <w:shd w:val="clear" w:color="auto" w:fill="auto"/>
            <w:noWrap/>
            <w:vAlign w:val="bottom"/>
            <w:hideMark/>
          </w:tcPr>
          <w:p w14:paraId="4261E76E"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40F82E11"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(598)</w:t>
            </w:r>
          </w:p>
        </w:tc>
      </w:tr>
      <w:tr w:rsidR="00F41043" w:rsidRPr="00F41043" w14:paraId="387DE272"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49C65E2A" w14:textId="77777777" w:rsidR="00F41043" w:rsidRPr="00F41043" w:rsidRDefault="00F41043" w:rsidP="00F41043">
            <w:pPr>
              <w:spacing w:after="0" w:line="240" w:lineRule="auto"/>
              <w:ind w:firstLineChars="200" w:firstLine="28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Superávit de Previdência Privada</w:t>
            </w:r>
          </w:p>
        </w:tc>
        <w:tc>
          <w:tcPr>
            <w:tcW w:w="494" w:type="pct"/>
            <w:tcBorders>
              <w:top w:val="nil"/>
              <w:left w:val="nil"/>
              <w:bottom w:val="single" w:sz="4" w:space="0" w:color="auto"/>
              <w:right w:val="single" w:sz="4" w:space="0" w:color="auto"/>
            </w:tcBorders>
            <w:shd w:val="clear" w:color="auto" w:fill="auto"/>
            <w:noWrap/>
            <w:vAlign w:val="bottom"/>
            <w:hideMark/>
          </w:tcPr>
          <w:p w14:paraId="5A1754E9"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(17.375)</w:t>
            </w:r>
          </w:p>
        </w:tc>
        <w:tc>
          <w:tcPr>
            <w:tcW w:w="634" w:type="pct"/>
            <w:tcBorders>
              <w:top w:val="nil"/>
              <w:left w:val="nil"/>
              <w:bottom w:val="single" w:sz="4" w:space="0" w:color="auto"/>
              <w:right w:val="single" w:sz="4" w:space="0" w:color="auto"/>
            </w:tcBorders>
            <w:shd w:val="clear" w:color="auto" w:fill="auto"/>
            <w:noWrap/>
            <w:vAlign w:val="bottom"/>
            <w:hideMark/>
          </w:tcPr>
          <w:p w14:paraId="4C215ED0"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1" w:type="pct"/>
            <w:tcBorders>
              <w:top w:val="nil"/>
              <w:left w:val="nil"/>
              <w:bottom w:val="single" w:sz="4" w:space="0" w:color="auto"/>
              <w:right w:val="single" w:sz="4" w:space="0" w:color="auto"/>
            </w:tcBorders>
            <w:shd w:val="clear" w:color="auto" w:fill="auto"/>
            <w:noWrap/>
            <w:vAlign w:val="bottom"/>
            <w:hideMark/>
          </w:tcPr>
          <w:p w14:paraId="373F282E"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0CF545A7"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(17.375)</w:t>
            </w:r>
          </w:p>
        </w:tc>
      </w:tr>
      <w:tr w:rsidR="00F41043" w:rsidRPr="00F41043" w14:paraId="71985EE4"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506513E4" w14:textId="77777777" w:rsidR="00F41043" w:rsidRPr="00F41043" w:rsidRDefault="00F41043" w:rsidP="00F41043">
            <w:pPr>
              <w:spacing w:after="0" w:line="240" w:lineRule="auto"/>
              <w:ind w:firstLineChars="200" w:firstLine="28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Pessoal, Encargos e Benefícios Sociais</w:t>
            </w:r>
          </w:p>
        </w:tc>
        <w:tc>
          <w:tcPr>
            <w:tcW w:w="494" w:type="pct"/>
            <w:tcBorders>
              <w:top w:val="nil"/>
              <w:left w:val="nil"/>
              <w:bottom w:val="single" w:sz="4" w:space="0" w:color="auto"/>
              <w:right w:val="single" w:sz="4" w:space="0" w:color="auto"/>
            </w:tcBorders>
            <w:shd w:val="clear" w:color="auto" w:fill="auto"/>
            <w:noWrap/>
            <w:vAlign w:val="bottom"/>
            <w:hideMark/>
          </w:tcPr>
          <w:p w14:paraId="50B901EC"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(953)</w:t>
            </w:r>
          </w:p>
        </w:tc>
        <w:tc>
          <w:tcPr>
            <w:tcW w:w="634" w:type="pct"/>
            <w:tcBorders>
              <w:top w:val="nil"/>
              <w:left w:val="nil"/>
              <w:bottom w:val="single" w:sz="4" w:space="0" w:color="auto"/>
              <w:right w:val="single" w:sz="4" w:space="0" w:color="auto"/>
            </w:tcBorders>
            <w:shd w:val="clear" w:color="auto" w:fill="auto"/>
            <w:noWrap/>
            <w:vAlign w:val="bottom"/>
            <w:hideMark/>
          </w:tcPr>
          <w:p w14:paraId="648B8A62"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1" w:type="pct"/>
            <w:tcBorders>
              <w:top w:val="nil"/>
              <w:left w:val="nil"/>
              <w:bottom w:val="single" w:sz="4" w:space="0" w:color="auto"/>
              <w:right w:val="single" w:sz="4" w:space="0" w:color="auto"/>
            </w:tcBorders>
            <w:shd w:val="clear" w:color="auto" w:fill="auto"/>
            <w:noWrap/>
            <w:vAlign w:val="bottom"/>
            <w:hideMark/>
          </w:tcPr>
          <w:p w14:paraId="5848AEA9"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77617A29"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(953)</w:t>
            </w:r>
          </w:p>
        </w:tc>
      </w:tr>
      <w:tr w:rsidR="00F41043" w:rsidRPr="00F41043" w14:paraId="2F36AF5F"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7D7D5586" w14:textId="77777777" w:rsidR="00F41043" w:rsidRPr="00F41043" w:rsidRDefault="00F41043" w:rsidP="00F41043">
            <w:pPr>
              <w:spacing w:after="0" w:line="240" w:lineRule="auto"/>
              <w:ind w:firstLineChars="200" w:firstLine="28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Fornecedores</w:t>
            </w:r>
          </w:p>
        </w:tc>
        <w:tc>
          <w:tcPr>
            <w:tcW w:w="494" w:type="pct"/>
            <w:tcBorders>
              <w:top w:val="nil"/>
              <w:left w:val="nil"/>
              <w:bottom w:val="single" w:sz="4" w:space="0" w:color="auto"/>
              <w:right w:val="single" w:sz="4" w:space="0" w:color="auto"/>
            </w:tcBorders>
            <w:shd w:val="clear" w:color="auto" w:fill="auto"/>
            <w:noWrap/>
            <w:vAlign w:val="bottom"/>
            <w:hideMark/>
          </w:tcPr>
          <w:p w14:paraId="4C46E9E5"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(20.123)</w:t>
            </w:r>
          </w:p>
        </w:tc>
        <w:tc>
          <w:tcPr>
            <w:tcW w:w="634" w:type="pct"/>
            <w:tcBorders>
              <w:top w:val="nil"/>
              <w:left w:val="nil"/>
              <w:bottom w:val="single" w:sz="4" w:space="0" w:color="auto"/>
              <w:right w:val="single" w:sz="4" w:space="0" w:color="auto"/>
            </w:tcBorders>
            <w:shd w:val="clear" w:color="auto" w:fill="auto"/>
            <w:noWrap/>
            <w:vAlign w:val="bottom"/>
            <w:hideMark/>
          </w:tcPr>
          <w:p w14:paraId="5787C58A"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1" w:type="pct"/>
            <w:tcBorders>
              <w:top w:val="nil"/>
              <w:left w:val="nil"/>
              <w:bottom w:val="single" w:sz="4" w:space="0" w:color="auto"/>
              <w:right w:val="single" w:sz="4" w:space="0" w:color="auto"/>
            </w:tcBorders>
            <w:shd w:val="clear" w:color="auto" w:fill="auto"/>
            <w:noWrap/>
            <w:vAlign w:val="bottom"/>
            <w:hideMark/>
          </w:tcPr>
          <w:p w14:paraId="0EB226B0"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6382E276"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(20.123)</w:t>
            </w:r>
          </w:p>
        </w:tc>
      </w:tr>
      <w:tr w:rsidR="00F41043" w:rsidRPr="00F41043" w14:paraId="1F5E3FEB"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5FF29591" w14:textId="77777777" w:rsidR="00F41043" w:rsidRPr="00F41043" w:rsidRDefault="00F41043" w:rsidP="00F41043">
            <w:pPr>
              <w:spacing w:after="0" w:line="240" w:lineRule="auto"/>
              <w:ind w:firstLineChars="200" w:firstLine="28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Outras Contas Ativas e Passivas</w:t>
            </w:r>
          </w:p>
        </w:tc>
        <w:tc>
          <w:tcPr>
            <w:tcW w:w="494" w:type="pct"/>
            <w:tcBorders>
              <w:top w:val="nil"/>
              <w:left w:val="nil"/>
              <w:bottom w:val="single" w:sz="4" w:space="0" w:color="auto"/>
              <w:right w:val="single" w:sz="4" w:space="0" w:color="auto"/>
            </w:tcBorders>
            <w:shd w:val="clear" w:color="auto" w:fill="auto"/>
            <w:noWrap/>
            <w:vAlign w:val="bottom"/>
            <w:hideMark/>
          </w:tcPr>
          <w:p w14:paraId="7860D582"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(11.509)</w:t>
            </w:r>
          </w:p>
        </w:tc>
        <w:tc>
          <w:tcPr>
            <w:tcW w:w="634" w:type="pct"/>
            <w:tcBorders>
              <w:top w:val="nil"/>
              <w:left w:val="nil"/>
              <w:bottom w:val="single" w:sz="4" w:space="0" w:color="auto"/>
              <w:right w:val="single" w:sz="4" w:space="0" w:color="auto"/>
            </w:tcBorders>
            <w:shd w:val="clear" w:color="auto" w:fill="auto"/>
            <w:noWrap/>
            <w:vAlign w:val="bottom"/>
            <w:hideMark/>
          </w:tcPr>
          <w:p w14:paraId="35EBC367"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1" w:type="pct"/>
            <w:tcBorders>
              <w:top w:val="nil"/>
              <w:left w:val="nil"/>
              <w:bottom w:val="single" w:sz="4" w:space="0" w:color="auto"/>
              <w:right w:val="single" w:sz="4" w:space="0" w:color="auto"/>
            </w:tcBorders>
            <w:shd w:val="clear" w:color="auto" w:fill="auto"/>
            <w:noWrap/>
            <w:vAlign w:val="bottom"/>
            <w:hideMark/>
          </w:tcPr>
          <w:p w14:paraId="30B424E7"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09F88DA2"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(11.509)</w:t>
            </w:r>
          </w:p>
        </w:tc>
      </w:tr>
      <w:tr w:rsidR="00F41043" w:rsidRPr="00F41043" w14:paraId="2948B5AD"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7DC6D975" w14:textId="77777777" w:rsidR="00F41043" w:rsidRPr="00F41043" w:rsidRDefault="00F41043" w:rsidP="00F41043">
            <w:pPr>
              <w:spacing w:after="0" w:line="240" w:lineRule="auto"/>
              <w:ind w:firstLineChars="200" w:firstLine="281"/>
              <w:rPr>
                <w:rFonts w:ascii="Arial" w:eastAsia="Times New Roman" w:hAnsi="Arial" w:cs="Arial"/>
                <w:kern w:val="0"/>
                <w:sz w:val="14"/>
                <w:szCs w:val="14"/>
                <w:lang w:eastAsia="pt-BR"/>
                <w14:ligatures w14:val="none"/>
              </w:rPr>
            </w:pPr>
            <w:r w:rsidRPr="00F41043">
              <w:rPr>
                <w:rFonts w:ascii="Arial" w:eastAsia="Times New Roman" w:hAnsi="Arial" w:cs="Arial"/>
                <w:b/>
                <w:bCs/>
                <w:kern w:val="0"/>
                <w:sz w:val="14"/>
                <w:szCs w:val="14"/>
                <w:lang w:eastAsia="pt-BR"/>
                <w14:ligatures w14:val="none"/>
              </w:rPr>
              <w:t>Total</w:t>
            </w:r>
          </w:p>
        </w:tc>
        <w:tc>
          <w:tcPr>
            <w:tcW w:w="494" w:type="pct"/>
            <w:tcBorders>
              <w:top w:val="nil"/>
              <w:left w:val="nil"/>
              <w:bottom w:val="single" w:sz="4" w:space="0" w:color="auto"/>
              <w:right w:val="single" w:sz="4" w:space="0" w:color="auto"/>
            </w:tcBorders>
            <w:shd w:val="clear" w:color="auto" w:fill="auto"/>
            <w:noWrap/>
            <w:vAlign w:val="bottom"/>
            <w:hideMark/>
          </w:tcPr>
          <w:p w14:paraId="50915B75"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b/>
                <w:bCs/>
                <w:kern w:val="0"/>
                <w:sz w:val="14"/>
                <w:szCs w:val="14"/>
                <w:lang w:eastAsia="pt-BR"/>
                <w14:ligatures w14:val="none"/>
              </w:rPr>
              <w:t>(56.892)</w:t>
            </w:r>
          </w:p>
        </w:tc>
        <w:tc>
          <w:tcPr>
            <w:tcW w:w="634" w:type="pct"/>
            <w:tcBorders>
              <w:top w:val="nil"/>
              <w:left w:val="nil"/>
              <w:bottom w:val="single" w:sz="4" w:space="0" w:color="auto"/>
              <w:right w:val="single" w:sz="4" w:space="0" w:color="auto"/>
            </w:tcBorders>
            <w:shd w:val="clear" w:color="auto" w:fill="auto"/>
            <w:noWrap/>
            <w:vAlign w:val="bottom"/>
            <w:hideMark/>
          </w:tcPr>
          <w:p w14:paraId="736E7E61"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 </w:t>
            </w:r>
          </w:p>
        </w:tc>
        <w:tc>
          <w:tcPr>
            <w:tcW w:w="541" w:type="pct"/>
            <w:tcBorders>
              <w:top w:val="nil"/>
              <w:left w:val="nil"/>
              <w:bottom w:val="single" w:sz="4" w:space="0" w:color="auto"/>
              <w:right w:val="single" w:sz="4" w:space="0" w:color="auto"/>
            </w:tcBorders>
            <w:shd w:val="clear" w:color="auto" w:fill="auto"/>
            <w:noWrap/>
            <w:vAlign w:val="bottom"/>
            <w:hideMark/>
          </w:tcPr>
          <w:p w14:paraId="70F33823"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 </w:t>
            </w:r>
          </w:p>
        </w:tc>
        <w:tc>
          <w:tcPr>
            <w:tcW w:w="650" w:type="pct"/>
            <w:tcBorders>
              <w:top w:val="nil"/>
              <w:left w:val="nil"/>
              <w:bottom w:val="single" w:sz="4" w:space="0" w:color="auto"/>
              <w:right w:val="single" w:sz="4" w:space="0" w:color="auto"/>
            </w:tcBorders>
            <w:shd w:val="clear" w:color="auto" w:fill="auto"/>
            <w:noWrap/>
            <w:vAlign w:val="bottom"/>
            <w:hideMark/>
          </w:tcPr>
          <w:p w14:paraId="3DBD7BF2"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b/>
                <w:bCs/>
                <w:kern w:val="0"/>
                <w:sz w:val="14"/>
                <w:szCs w:val="14"/>
                <w:lang w:eastAsia="pt-BR"/>
                <w14:ligatures w14:val="none"/>
              </w:rPr>
              <w:t>(56.892)</w:t>
            </w:r>
          </w:p>
        </w:tc>
      </w:tr>
      <w:tr w:rsidR="00F41043" w:rsidRPr="00F41043" w14:paraId="7199A785"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656E819E" w14:textId="77777777" w:rsidR="00F41043" w:rsidRPr="00F41043" w:rsidRDefault="00F41043" w:rsidP="00F41043">
            <w:pPr>
              <w:spacing w:after="0" w:line="240" w:lineRule="auto"/>
              <w:ind w:firstLineChars="200" w:firstLine="281"/>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Caixa Proveniente das Atividades Operacionais</w:t>
            </w:r>
          </w:p>
        </w:tc>
        <w:tc>
          <w:tcPr>
            <w:tcW w:w="494" w:type="pct"/>
            <w:tcBorders>
              <w:top w:val="nil"/>
              <w:left w:val="nil"/>
              <w:bottom w:val="single" w:sz="4" w:space="0" w:color="auto"/>
              <w:right w:val="single" w:sz="4" w:space="0" w:color="auto"/>
            </w:tcBorders>
            <w:shd w:val="clear" w:color="auto" w:fill="auto"/>
            <w:noWrap/>
            <w:vAlign w:val="bottom"/>
            <w:hideMark/>
          </w:tcPr>
          <w:p w14:paraId="5B6F6715"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w:t>
            </w:r>
          </w:p>
        </w:tc>
        <w:tc>
          <w:tcPr>
            <w:tcW w:w="634" w:type="pct"/>
            <w:tcBorders>
              <w:top w:val="nil"/>
              <w:left w:val="nil"/>
              <w:bottom w:val="single" w:sz="4" w:space="0" w:color="auto"/>
              <w:right w:val="single" w:sz="4" w:space="0" w:color="auto"/>
            </w:tcBorders>
            <w:shd w:val="clear" w:color="auto" w:fill="auto"/>
            <w:noWrap/>
            <w:vAlign w:val="bottom"/>
            <w:hideMark/>
          </w:tcPr>
          <w:p w14:paraId="5BD284EB"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w:t>
            </w:r>
          </w:p>
        </w:tc>
        <w:tc>
          <w:tcPr>
            <w:tcW w:w="541" w:type="pct"/>
            <w:tcBorders>
              <w:top w:val="nil"/>
              <w:left w:val="nil"/>
              <w:bottom w:val="single" w:sz="4" w:space="0" w:color="auto"/>
              <w:right w:val="single" w:sz="4" w:space="0" w:color="auto"/>
            </w:tcBorders>
            <w:shd w:val="clear" w:color="auto" w:fill="auto"/>
            <w:noWrap/>
            <w:vAlign w:val="bottom"/>
            <w:hideMark/>
          </w:tcPr>
          <w:p w14:paraId="3642019D"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1D44C080"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w:t>
            </w:r>
          </w:p>
        </w:tc>
      </w:tr>
      <w:tr w:rsidR="00F41043" w:rsidRPr="00F41043" w14:paraId="0A508518"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2EBC7BEC"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Dividendos / Juros sobre Capital Próprio Recebidos</w:t>
            </w:r>
          </w:p>
        </w:tc>
        <w:tc>
          <w:tcPr>
            <w:tcW w:w="494" w:type="pct"/>
            <w:tcBorders>
              <w:top w:val="nil"/>
              <w:left w:val="nil"/>
              <w:bottom w:val="single" w:sz="4" w:space="0" w:color="auto"/>
              <w:right w:val="single" w:sz="4" w:space="0" w:color="auto"/>
            </w:tcBorders>
            <w:shd w:val="clear" w:color="auto" w:fill="auto"/>
            <w:noWrap/>
            <w:vAlign w:val="bottom"/>
            <w:hideMark/>
          </w:tcPr>
          <w:p w14:paraId="0FEAE813"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119 </w:t>
            </w:r>
          </w:p>
        </w:tc>
        <w:tc>
          <w:tcPr>
            <w:tcW w:w="634" w:type="pct"/>
            <w:tcBorders>
              <w:top w:val="nil"/>
              <w:left w:val="nil"/>
              <w:bottom w:val="single" w:sz="4" w:space="0" w:color="auto"/>
              <w:right w:val="single" w:sz="4" w:space="0" w:color="auto"/>
            </w:tcBorders>
            <w:shd w:val="clear" w:color="auto" w:fill="auto"/>
            <w:noWrap/>
            <w:vAlign w:val="bottom"/>
            <w:hideMark/>
          </w:tcPr>
          <w:p w14:paraId="41D5E47D"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1" w:type="pct"/>
            <w:tcBorders>
              <w:top w:val="nil"/>
              <w:left w:val="nil"/>
              <w:bottom w:val="single" w:sz="4" w:space="0" w:color="auto"/>
              <w:right w:val="single" w:sz="4" w:space="0" w:color="auto"/>
            </w:tcBorders>
            <w:shd w:val="clear" w:color="auto" w:fill="auto"/>
            <w:noWrap/>
            <w:vAlign w:val="bottom"/>
            <w:hideMark/>
          </w:tcPr>
          <w:p w14:paraId="45AB631B"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5B05D886"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119 </w:t>
            </w:r>
          </w:p>
        </w:tc>
      </w:tr>
      <w:tr w:rsidR="00F41043" w:rsidRPr="00F41043" w14:paraId="69245A40"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4E0E9939" w14:textId="77777777" w:rsidR="00F41043" w:rsidRPr="00F41043" w:rsidRDefault="00F41043" w:rsidP="00F41043">
            <w:pPr>
              <w:spacing w:after="0" w:line="240" w:lineRule="auto"/>
              <w:ind w:firstLineChars="200" w:firstLine="28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Recebimento de Receitas Diferidas</w:t>
            </w:r>
          </w:p>
        </w:tc>
        <w:tc>
          <w:tcPr>
            <w:tcW w:w="494" w:type="pct"/>
            <w:tcBorders>
              <w:top w:val="nil"/>
              <w:left w:val="nil"/>
              <w:bottom w:val="single" w:sz="4" w:space="0" w:color="auto"/>
              <w:right w:val="single" w:sz="4" w:space="0" w:color="auto"/>
            </w:tcBorders>
            <w:shd w:val="clear" w:color="auto" w:fill="auto"/>
            <w:noWrap/>
            <w:vAlign w:val="bottom"/>
            <w:hideMark/>
          </w:tcPr>
          <w:p w14:paraId="2118FFB1"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102.745 </w:t>
            </w:r>
          </w:p>
        </w:tc>
        <w:tc>
          <w:tcPr>
            <w:tcW w:w="634" w:type="pct"/>
            <w:tcBorders>
              <w:top w:val="nil"/>
              <w:left w:val="nil"/>
              <w:bottom w:val="single" w:sz="4" w:space="0" w:color="auto"/>
              <w:right w:val="single" w:sz="4" w:space="0" w:color="auto"/>
            </w:tcBorders>
            <w:shd w:val="clear" w:color="auto" w:fill="auto"/>
            <w:noWrap/>
            <w:vAlign w:val="bottom"/>
            <w:hideMark/>
          </w:tcPr>
          <w:p w14:paraId="5715F6ED"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1" w:type="pct"/>
            <w:tcBorders>
              <w:top w:val="nil"/>
              <w:left w:val="nil"/>
              <w:bottom w:val="single" w:sz="4" w:space="0" w:color="auto"/>
              <w:right w:val="single" w:sz="4" w:space="0" w:color="auto"/>
            </w:tcBorders>
            <w:shd w:val="clear" w:color="auto" w:fill="auto"/>
            <w:noWrap/>
            <w:vAlign w:val="bottom"/>
            <w:hideMark/>
          </w:tcPr>
          <w:p w14:paraId="00AEC2D6"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4B752BF6"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102.745 </w:t>
            </w:r>
          </w:p>
        </w:tc>
      </w:tr>
      <w:tr w:rsidR="00F41043" w:rsidRPr="00F41043" w14:paraId="3777C831"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32A74568" w14:textId="77777777" w:rsidR="00F41043" w:rsidRPr="00F41043" w:rsidRDefault="00F41043" w:rsidP="00F41043">
            <w:pPr>
              <w:spacing w:after="0" w:line="240" w:lineRule="auto"/>
              <w:ind w:firstLineChars="200" w:firstLine="28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Pagamento por Adesão ao </w:t>
            </w:r>
            <w:proofErr w:type="spellStart"/>
            <w:r w:rsidRPr="00F41043">
              <w:rPr>
                <w:rFonts w:ascii="Arial" w:eastAsia="Times New Roman" w:hAnsi="Arial" w:cs="Arial"/>
                <w:kern w:val="0"/>
                <w:sz w:val="14"/>
                <w:szCs w:val="14"/>
                <w:lang w:eastAsia="pt-BR"/>
                <w14:ligatures w14:val="none"/>
              </w:rPr>
              <w:t>Prog</w:t>
            </w:r>
            <w:proofErr w:type="spellEnd"/>
            <w:r w:rsidRPr="00F41043">
              <w:rPr>
                <w:rFonts w:ascii="Arial" w:eastAsia="Times New Roman" w:hAnsi="Arial" w:cs="Arial"/>
                <w:kern w:val="0"/>
                <w:sz w:val="14"/>
                <w:szCs w:val="14"/>
                <w:lang w:eastAsia="pt-BR"/>
                <w14:ligatures w14:val="none"/>
              </w:rPr>
              <w:t>. de Indenização por Serviços Prestados - PISP</w:t>
            </w:r>
          </w:p>
        </w:tc>
        <w:tc>
          <w:tcPr>
            <w:tcW w:w="494" w:type="pct"/>
            <w:tcBorders>
              <w:top w:val="nil"/>
              <w:left w:val="nil"/>
              <w:bottom w:val="single" w:sz="4" w:space="0" w:color="auto"/>
              <w:right w:val="single" w:sz="4" w:space="0" w:color="auto"/>
            </w:tcBorders>
            <w:shd w:val="clear" w:color="auto" w:fill="auto"/>
            <w:noWrap/>
            <w:vAlign w:val="bottom"/>
            <w:hideMark/>
          </w:tcPr>
          <w:p w14:paraId="561E7FCC"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(5.885)</w:t>
            </w:r>
          </w:p>
        </w:tc>
        <w:tc>
          <w:tcPr>
            <w:tcW w:w="634" w:type="pct"/>
            <w:tcBorders>
              <w:top w:val="nil"/>
              <w:left w:val="nil"/>
              <w:bottom w:val="single" w:sz="4" w:space="0" w:color="auto"/>
              <w:right w:val="single" w:sz="4" w:space="0" w:color="auto"/>
            </w:tcBorders>
            <w:shd w:val="clear" w:color="auto" w:fill="auto"/>
            <w:noWrap/>
            <w:vAlign w:val="bottom"/>
            <w:hideMark/>
          </w:tcPr>
          <w:p w14:paraId="6B1986DB"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1" w:type="pct"/>
            <w:tcBorders>
              <w:top w:val="nil"/>
              <w:left w:val="nil"/>
              <w:bottom w:val="single" w:sz="4" w:space="0" w:color="auto"/>
              <w:right w:val="single" w:sz="4" w:space="0" w:color="auto"/>
            </w:tcBorders>
            <w:shd w:val="clear" w:color="auto" w:fill="auto"/>
            <w:noWrap/>
            <w:vAlign w:val="bottom"/>
            <w:hideMark/>
          </w:tcPr>
          <w:p w14:paraId="4D575FEA"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2C0784A0"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(5.885)</w:t>
            </w:r>
          </w:p>
        </w:tc>
      </w:tr>
      <w:tr w:rsidR="00F41043" w:rsidRPr="00F41043" w14:paraId="11953F93"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0947C005" w14:textId="77777777" w:rsidR="00F41043" w:rsidRPr="00F41043" w:rsidRDefault="00F41043" w:rsidP="00F41043">
            <w:pPr>
              <w:spacing w:after="0" w:line="240" w:lineRule="auto"/>
              <w:ind w:firstLineChars="200" w:firstLine="28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Pagamento de Juros de Arrendamento Mercantil Financeiro</w:t>
            </w:r>
          </w:p>
        </w:tc>
        <w:tc>
          <w:tcPr>
            <w:tcW w:w="494" w:type="pct"/>
            <w:tcBorders>
              <w:top w:val="nil"/>
              <w:left w:val="nil"/>
              <w:bottom w:val="single" w:sz="4" w:space="0" w:color="auto"/>
              <w:right w:val="single" w:sz="4" w:space="0" w:color="auto"/>
            </w:tcBorders>
            <w:shd w:val="clear" w:color="auto" w:fill="auto"/>
            <w:noWrap/>
            <w:vAlign w:val="bottom"/>
            <w:hideMark/>
          </w:tcPr>
          <w:p w14:paraId="209E267B"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(755)</w:t>
            </w:r>
          </w:p>
        </w:tc>
        <w:tc>
          <w:tcPr>
            <w:tcW w:w="634" w:type="pct"/>
            <w:tcBorders>
              <w:top w:val="nil"/>
              <w:left w:val="nil"/>
              <w:bottom w:val="single" w:sz="4" w:space="0" w:color="auto"/>
              <w:right w:val="single" w:sz="4" w:space="0" w:color="auto"/>
            </w:tcBorders>
            <w:shd w:val="clear" w:color="auto" w:fill="auto"/>
            <w:noWrap/>
            <w:vAlign w:val="bottom"/>
            <w:hideMark/>
          </w:tcPr>
          <w:p w14:paraId="6E370C08"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1" w:type="pct"/>
            <w:tcBorders>
              <w:top w:val="nil"/>
              <w:left w:val="nil"/>
              <w:bottom w:val="single" w:sz="4" w:space="0" w:color="auto"/>
              <w:right w:val="single" w:sz="4" w:space="0" w:color="auto"/>
            </w:tcBorders>
            <w:shd w:val="clear" w:color="auto" w:fill="auto"/>
            <w:noWrap/>
            <w:vAlign w:val="bottom"/>
            <w:hideMark/>
          </w:tcPr>
          <w:p w14:paraId="50D57675"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282E418B"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(755)</w:t>
            </w:r>
          </w:p>
        </w:tc>
      </w:tr>
      <w:tr w:rsidR="00F41043" w:rsidRPr="00F41043" w14:paraId="60972B22"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25B4A838" w14:textId="77777777" w:rsidR="00F41043" w:rsidRPr="00F41043" w:rsidRDefault="00F41043" w:rsidP="00F41043">
            <w:pPr>
              <w:spacing w:after="0" w:line="240" w:lineRule="auto"/>
              <w:ind w:firstLineChars="200" w:firstLine="28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Pagamento de Juros de Empréstimos e Financiamentos</w:t>
            </w:r>
          </w:p>
        </w:tc>
        <w:tc>
          <w:tcPr>
            <w:tcW w:w="494" w:type="pct"/>
            <w:tcBorders>
              <w:top w:val="nil"/>
              <w:left w:val="nil"/>
              <w:bottom w:val="single" w:sz="4" w:space="0" w:color="auto"/>
              <w:right w:val="single" w:sz="4" w:space="0" w:color="auto"/>
            </w:tcBorders>
            <w:shd w:val="clear" w:color="auto" w:fill="auto"/>
            <w:noWrap/>
            <w:vAlign w:val="bottom"/>
            <w:hideMark/>
          </w:tcPr>
          <w:p w14:paraId="1EA64091"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(6.353)</w:t>
            </w:r>
          </w:p>
        </w:tc>
        <w:tc>
          <w:tcPr>
            <w:tcW w:w="634" w:type="pct"/>
            <w:tcBorders>
              <w:top w:val="nil"/>
              <w:left w:val="nil"/>
              <w:bottom w:val="single" w:sz="4" w:space="0" w:color="auto"/>
              <w:right w:val="single" w:sz="4" w:space="0" w:color="auto"/>
            </w:tcBorders>
            <w:shd w:val="clear" w:color="auto" w:fill="auto"/>
            <w:noWrap/>
            <w:vAlign w:val="bottom"/>
            <w:hideMark/>
          </w:tcPr>
          <w:p w14:paraId="6B07B471"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1" w:type="pct"/>
            <w:tcBorders>
              <w:top w:val="nil"/>
              <w:left w:val="nil"/>
              <w:bottom w:val="single" w:sz="4" w:space="0" w:color="auto"/>
              <w:right w:val="single" w:sz="4" w:space="0" w:color="auto"/>
            </w:tcBorders>
            <w:shd w:val="clear" w:color="auto" w:fill="auto"/>
            <w:noWrap/>
            <w:vAlign w:val="bottom"/>
            <w:hideMark/>
          </w:tcPr>
          <w:p w14:paraId="21A254FB"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6BA2D375"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(6.353)</w:t>
            </w:r>
          </w:p>
        </w:tc>
      </w:tr>
      <w:tr w:rsidR="00F41043" w:rsidRPr="00F41043" w14:paraId="333D7D50"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225EAC77" w14:textId="77777777" w:rsidR="00F41043" w:rsidRPr="00F41043" w:rsidRDefault="00F41043" w:rsidP="00F41043">
            <w:pPr>
              <w:spacing w:after="0" w:line="240" w:lineRule="auto"/>
              <w:ind w:firstLineChars="200" w:firstLine="28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Pagamento de Compensação Financeira - Financiamento FINEP</w:t>
            </w:r>
          </w:p>
        </w:tc>
        <w:tc>
          <w:tcPr>
            <w:tcW w:w="494" w:type="pct"/>
            <w:tcBorders>
              <w:top w:val="nil"/>
              <w:left w:val="nil"/>
              <w:bottom w:val="single" w:sz="4" w:space="0" w:color="auto"/>
              <w:right w:val="single" w:sz="4" w:space="0" w:color="auto"/>
            </w:tcBorders>
            <w:shd w:val="clear" w:color="auto" w:fill="auto"/>
            <w:noWrap/>
            <w:vAlign w:val="bottom"/>
            <w:hideMark/>
          </w:tcPr>
          <w:p w14:paraId="250B2766"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(6.648)</w:t>
            </w:r>
          </w:p>
        </w:tc>
        <w:tc>
          <w:tcPr>
            <w:tcW w:w="634" w:type="pct"/>
            <w:tcBorders>
              <w:top w:val="nil"/>
              <w:left w:val="nil"/>
              <w:bottom w:val="single" w:sz="4" w:space="0" w:color="auto"/>
              <w:right w:val="single" w:sz="4" w:space="0" w:color="auto"/>
            </w:tcBorders>
            <w:shd w:val="clear" w:color="auto" w:fill="auto"/>
            <w:noWrap/>
            <w:vAlign w:val="bottom"/>
            <w:hideMark/>
          </w:tcPr>
          <w:p w14:paraId="37F3498C"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1" w:type="pct"/>
            <w:tcBorders>
              <w:top w:val="nil"/>
              <w:left w:val="nil"/>
              <w:bottom w:val="single" w:sz="4" w:space="0" w:color="auto"/>
              <w:right w:val="single" w:sz="4" w:space="0" w:color="auto"/>
            </w:tcBorders>
            <w:shd w:val="clear" w:color="auto" w:fill="auto"/>
            <w:noWrap/>
            <w:vAlign w:val="bottom"/>
            <w:hideMark/>
          </w:tcPr>
          <w:p w14:paraId="0B59635E"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7F45C903"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(6.648)</w:t>
            </w:r>
          </w:p>
        </w:tc>
      </w:tr>
      <w:tr w:rsidR="00F41043" w:rsidRPr="00F41043" w14:paraId="28C287BC"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58FD3E67" w14:textId="77777777" w:rsidR="00F41043" w:rsidRPr="00F41043" w:rsidRDefault="00F41043" w:rsidP="00F41043">
            <w:pPr>
              <w:spacing w:after="0" w:line="240" w:lineRule="auto"/>
              <w:ind w:firstLineChars="200" w:firstLine="28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Pagamento de Causas Judiciais - Trabalhistas, Cíveis e Fiscais</w:t>
            </w:r>
          </w:p>
        </w:tc>
        <w:tc>
          <w:tcPr>
            <w:tcW w:w="494" w:type="pct"/>
            <w:tcBorders>
              <w:top w:val="nil"/>
              <w:left w:val="nil"/>
              <w:bottom w:val="single" w:sz="4" w:space="0" w:color="auto"/>
              <w:right w:val="single" w:sz="4" w:space="0" w:color="auto"/>
            </w:tcBorders>
            <w:shd w:val="clear" w:color="auto" w:fill="auto"/>
            <w:noWrap/>
            <w:vAlign w:val="bottom"/>
            <w:hideMark/>
          </w:tcPr>
          <w:p w14:paraId="064FD52E"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(2.741)</w:t>
            </w:r>
          </w:p>
        </w:tc>
        <w:tc>
          <w:tcPr>
            <w:tcW w:w="634" w:type="pct"/>
            <w:tcBorders>
              <w:top w:val="nil"/>
              <w:left w:val="nil"/>
              <w:bottom w:val="single" w:sz="4" w:space="0" w:color="auto"/>
              <w:right w:val="single" w:sz="4" w:space="0" w:color="auto"/>
            </w:tcBorders>
            <w:shd w:val="clear" w:color="auto" w:fill="auto"/>
            <w:noWrap/>
            <w:vAlign w:val="bottom"/>
            <w:hideMark/>
          </w:tcPr>
          <w:p w14:paraId="3FB1FE6F"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1" w:type="pct"/>
            <w:tcBorders>
              <w:top w:val="nil"/>
              <w:left w:val="nil"/>
              <w:bottom w:val="single" w:sz="4" w:space="0" w:color="auto"/>
              <w:right w:val="single" w:sz="4" w:space="0" w:color="auto"/>
            </w:tcBorders>
            <w:shd w:val="clear" w:color="auto" w:fill="auto"/>
            <w:noWrap/>
            <w:vAlign w:val="bottom"/>
            <w:hideMark/>
          </w:tcPr>
          <w:p w14:paraId="2A7AAF0F"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3F9A97E8"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(2.741)</w:t>
            </w:r>
          </w:p>
        </w:tc>
      </w:tr>
      <w:tr w:rsidR="00F41043" w:rsidRPr="00F41043" w14:paraId="0B236A65"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49DDF2B7" w14:textId="77777777" w:rsidR="00F41043" w:rsidRPr="00F41043" w:rsidRDefault="00F41043" w:rsidP="00F41043">
            <w:pPr>
              <w:spacing w:after="0" w:line="240" w:lineRule="auto"/>
              <w:ind w:firstLineChars="200" w:firstLine="28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Pagamento de Acordos Judiciais - Encargos</w:t>
            </w:r>
          </w:p>
        </w:tc>
        <w:tc>
          <w:tcPr>
            <w:tcW w:w="494" w:type="pct"/>
            <w:tcBorders>
              <w:top w:val="nil"/>
              <w:left w:val="nil"/>
              <w:bottom w:val="single" w:sz="4" w:space="0" w:color="auto"/>
              <w:right w:val="single" w:sz="4" w:space="0" w:color="auto"/>
            </w:tcBorders>
            <w:shd w:val="clear" w:color="auto" w:fill="auto"/>
            <w:noWrap/>
            <w:vAlign w:val="bottom"/>
            <w:hideMark/>
          </w:tcPr>
          <w:p w14:paraId="62B531E4"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(20.974)</w:t>
            </w:r>
          </w:p>
        </w:tc>
        <w:tc>
          <w:tcPr>
            <w:tcW w:w="634" w:type="pct"/>
            <w:tcBorders>
              <w:top w:val="nil"/>
              <w:left w:val="nil"/>
              <w:bottom w:val="single" w:sz="4" w:space="0" w:color="auto"/>
              <w:right w:val="single" w:sz="4" w:space="0" w:color="auto"/>
            </w:tcBorders>
            <w:shd w:val="clear" w:color="auto" w:fill="auto"/>
            <w:noWrap/>
            <w:vAlign w:val="bottom"/>
            <w:hideMark/>
          </w:tcPr>
          <w:p w14:paraId="5C47E8BE"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1" w:type="pct"/>
            <w:tcBorders>
              <w:top w:val="nil"/>
              <w:left w:val="nil"/>
              <w:bottom w:val="single" w:sz="4" w:space="0" w:color="auto"/>
              <w:right w:val="single" w:sz="4" w:space="0" w:color="auto"/>
            </w:tcBorders>
            <w:shd w:val="clear" w:color="auto" w:fill="auto"/>
            <w:noWrap/>
            <w:vAlign w:val="bottom"/>
            <w:hideMark/>
          </w:tcPr>
          <w:p w14:paraId="4DB8B6F6"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424FD176"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(20.974)</w:t>
            </w:r>
          </w:p>
        </w:tc>
      </w:tr>
      <w:tr w:rsidR="00F41043" w:rsidRPr="00F41043" w14:paraId="5BB83F99"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68B565F4" w14:textId="77777777" w:rsidR="00F41043" w:rsidRPr="00F41043" w:rsidRDefault="00F41043" w:rsidP="00F41043">
            <w:pPr>
              <w:spacing w:after="0" w:line="240" w:lineRule="auto"/>
              <w:ind w:firstLineChars="200" w:firstLine="281"/>
              <w:rPr>
                <w:rFonts w:ascii="Arial" w:eastAsia="Times New Roman" w:hAnsi="Arial" w:cs="Arial"/>
                <w:kern w:val="0"/>
                <w:sz w:val="14"/>
                <w:szCs w:val="14"/>
                <w:lang w:eastAsia="pt-BR"/>
                <w14:ligatures w14:val="none"/>
              </w:rPr>
            </w:pPr>
            <w:r w:rsidRPr="00F41043">
              <w:rPr>
                <w:rFonts w:ascii="Arial" w:eastAsia="Times New Roman" w:hAnsi="Arial" w:cs="Arial"/>
                <w:b/>
                <w:bCs/>
                <w:kern w:val="0"/>
                <w:sz w:val="14"/>
                <w:szCs w:val="14"/>
                <w:lang w:eastAsia="pt-BR"/>
                <w14:ligatures w14:val="none"/>
              </w:rPr>
              <w:t>Total</w:t>
            </w:r>
          </w:p>
        </w:tc>
        <w:tc>
          <w:tcPr>
            <w:tcW w:w="494" w:type="pct"/>
            <w:tcBorders>
              <w:top w:val="nil"/>
              <w:left w:val="nil"/>
              <w:bottom w:val="single" w:sz="4" w:space="0" w:color="auto"/>
              <w:right w:val="single" w:sz="4" w:space="0" w:color="auto"/>
            </w:tcBorders>
            <w:shd w:val="clear" w:color="auto" w:fill="auto"/>
            <w:noWrap/>
            <w:vAlign w:val="bottom"/>
            <w:hideMark/>
          </w:tcPr>
          <w:p w14:paraId="12152380"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59.508 </w:t>
            </w:r>
          </w:p>
        </w:tc>
        <w:tc>
          <w:tcPr>
            <w:tcW w:w="634" w:type="pct"/>
            <w:tcBorders>
              <w:top w:val="nil"/>
              <w:left w:val="nil"/>
              <w:bottom w:val="single" w:sz="4" w:space="0" w:color="auto"/>
              <w:right w:val="single" w:sz="4" w:space="0" w:color="auto"/>
            </w:tcBorders>
            <w:shd w:val="clear" w:color="auto" w:fill="auto"/>
            <w:noWrap/>
            <w:vAlign w:val="bottom"/>
            <w:hideMark/>
          </w:tcPr>
          <w:p w14:paraId="4FFFA184"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 </w:t>
            </w:r>
          </w:p>
        </w:tc>
        <w:tc>
          <w:tcPr>
            <w:tcW w:w="541" w:type="pct"/>
            <w:tcBorders>
              <w:top w:val="nil"/>
              <w:left w:val="nil"/>
              <w:bottom w:val="single" w:sz="4" w:space="0" w:color="auto"/>
              <w:right w:val="single" w:sz="4" w:space="0" w:color="auto"/>
            </w:tcBorders>
            <w:shd w:val="clear" w:color="auto" w:fill="auto"/>
            <w:noWrap/>
            <w:vAlign w:val="bottom"/>
            <w:hideMark/>
          </w:tcPr>
          <w:p w14:paraId="1CE431C0"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 </w:t>
            </w:r>
          </w:p>
        </w:tc>
        <w:tc>
          <w:tcPr>
            <w:tcW w:w="650" w:type="pct"/>
            <w:tcBorders>
              <w:top w:val="nil"/>
              <w:left w:val="nil"/>
              <w:bottom w:val="single" w:sz="4" w:space="0" w:color="auto"/>
              <w:right w:val="single" w:sz="4" w:space="0" w:color="auto"/>
            </w:tcBorders>
            <w:shd w:val="clear" w:color="auto" w:fill="auto"/>
            <w:noWrap/>
            <w:vAlign w:val="bottom"/>
            <w:hideMark/>
          </w:tcPr>
          <w:p w14:paraId="795562B2"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59.508 </w:t>
            </w:r>
          </w:p>
        </w:tc>
      </w:tr>
      <w:tr w:rsidR="00F41043" w:rsidRPr="00F41043" w14:paraId="01AC0AC3"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466CB104" w14:textId="77777777" w:rsidR="00F41043" w:rsidRPr="00F41043" w:rsidRDefault="00F41043" w:rsidP="00F41043">
            <w:pPr>
              <w:spacing w:after="0" w:line="240" w:lineRule="auto"/>
              <w:ind w:firstLineChars="200" w:firstLine="281"/>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Caixa Líquido Gerado/(Consumido) pelas Atividades Operacionais </w:t>
            </w:r>
          </w:p>
        </w:tc>
        <w:tc>
          <w:tcPr>
            <w:tcW w:w="494" w:type="pct"/>
            <w:tcBorders>
              <w:top w:val="nil"/>
              <w:left w:val="nil"/>
              <w:bottom w:val="single" w:sz="4" w:space="0" w:color="auto"/>
              <w:right w:val="single" w:sz="4" w:space="0" w:color="auto"/>
            </w:tcBorders>
            <w:shd w:val="clear" w:color="auto" w:fill="auto"/>
            <w:noWrap/>
            <w:vAlign w:val="bottom"/>
            <w:hideMark/>
          </w:tcPr>
          <w:p w14:paraId="52CFB786"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151.884 </w:t>
            </w:r>
          </w:p>
        </w:tc>
        <w:tc>
          <w:tcPr>
            <w:tcW w:w="634" w:type="pct"/>
            <w:tcBorders>
              <w:top w:val="nil"/>
              <w:left w:val="nil"/>
              <w:bottom w:val="single" w:sz="4" w:space="0" w:color="auto"/>
              <w:right w:val="single" w:sz="4" w:space="0" w:color="auto"/>
            </w:tcBorders>
            <w:shd w:val="clear" w:color="auto" w:fill="auto"/>
            <w:noWrap/>
            <w:vAlign w:val="bottom"/>
            <w:hideMark/>
          </w:tcPr>
          <w:p w14:paraId="05C07E0E"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 </w:t>
            </w:r>
          </w:p>
        </w:tc>
        <w:tc>
          <w:tcPr>
            <w:tcW w:w="541" w:type="pct"/>
            <w:tcBorders>
              <w:top w:val="nil"/>
              <w:left w:val="nil"/>
              <w:bottom w:val="single" w:sz="4" w:space="0" w:color="auto"/>
              <w:right w:val="single" w:sz="4" w:space="0" w:color="auto"/>
            </w:tcBorders>
            <w:shd w:val="clear" w:color="auto" w:fill="auto"/>
            <w:noWrap/>
            <w:vAlign w:val="bottom"/>
            <w:hideMark/>
          </w:tcPr>
          <w:p w14:paraId="44B0818E"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2.391 </w:t>
            </w:r>
          </w:p>
        </w:tc>
        <w:tc>
          <w:tcPr>
            <w:tcW w:w="650" w:type="pct"/>
            <w:tcBorders>
              <w:top w:val="nil"/>
              <w:left w:val="nil"/>
              <w:bottom w:val="single" w:sz="4" w:space="0" w:color="auto"/>
              <w:right w:val="single" w:sz="4" w:space="0" w:color="auto"/>
            </w:tcBorders>
            <w:shd w:val="clear" w:color="auto" w:fill="auto"/>
            <w:noWrap/>
            <w:vAlign w:val="bottom"/>
            <w:hideMark/>
          </w:tcPr>
          <w:p w14:paraId="4266ED57"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118.081 </w:t>
            </w:r>
          </w:p>
        </w:tc>
      </w:tr>
      <w:tr w:rsidR="00F41043" w:rsidRPr="00F41043" w14:paraId="3781AEE9"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40257A63"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Fluxos de Caixa das Atividades de Investimento</w:t>
            </w:r>
          </w:p>
        </w:tc>
        <w:tc>
          <w:tcPr>
            <w:tcW w:w="494" w:type="pct"/>
            <w:tcBorders>
              <w:top w:val="nil"/>
              <w:left w:val="nil"/>
              <w:bottom w:val="single" w:sz="4" w:space="0" w:color="auto"/>
              <w:right w:val="single" w:sz="4" w:space="0" w:color="auto"/>
            </w:tcBorders>
            <w:shd w:val="clear" w:color="auto" w:fill="auto"/>
            <w:noWrap/>
            <w:vAlign w:val="bottom"/>
            <w:hideMark/>
          </w:tcPr>
          <w:p w14:paraId="78D4ED7F"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34" w:type="pct"/>
            <w:tcBorders>
              <w:top w:val="nil"/>
              <w:left w:val="nil"/>
              <w:bottom w:val="single" w:sz="4" w:space="0" w:color="auto"/>
              <w:right w:val="single" w:sz="4" w:space="0" w:color="auto"/>
            </w:tcBorders>
            <w:shd w:val="clear" w:color="auto" w:fill="auto"/>
            <w:noWrap/>
            <w:vAlign w:val="bottom"/>
            <w:hideMark/>
          </w:tcPr>
          <w:p w14:paraId="1BA82790"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1" w:type="pct"/>
            <w:tcBorders>
              <w:top w:val="nil"/>
              <w:left w:val="nil"/>
              <w:bottom w:val="single" w:sz="4" w:space="0" w:color="auto"/>
              <w:right w:val="single" w:sz="4" w:space="0" w:color="auto"/>
            </w:tcBorders>
            <w:shd w:val="clear" w:color="auto" w:fill="auto"/>
            <w:noWrap/>
            <w:vAlign w:val="bottom"/>
            <w:hideMark/>
          </w:tcPr>
          <w:p w14:paraId="1D026DB2"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013709DA"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r>
      <w:tr w:rsidR="00F41043" w:rsidRPr="00F41043" w14:paraId="191D12AC"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051FFBC3"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Aquisição de Imobilizado / Intangível</w:t>
            </w:r>
          </w:p>
        </w:tc>
        <w:tc>
          <w:tcPr>
            <w:tcW w:w="494" w:type="pct"/>
            <w:tcBorders>
              <w:top w:val="nil"/>
              <w:left w:val="nil"/>
              <w:bottom w:val="single" w:sz="4" w:space="0" w:color="auto"/>
              <w:right w:val="single" w:sz="4" w:space="0" w:color="auto"/>
            </w:tcBorders>
            <w:shd w:val="clear" w:color="auto" w:fill="auto"/>
            <w:noWrap/>
            <w:vAlign w:val="bottom"/>
            <w:hideMark/>
          </w:tcPr>
          <w:p w14:paraId="370A21FC"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(40.006)</w:t>
            </w:r>
          </w:p>
        </w:tc>
        <w:tc>
          <w:tcPr>
            <w:tcW w:w="634" w:type="pct"/>
            <w:tcBorders>
              <w:top w:val="nil"/>
              <w:left w:val="nil"/>
              <w:bottom w:val="single" w:sz="4" w:space="0" w:color="auto"/>
              <w:right w:val="single" w:sz="4" w:space="0" w:color="auto"/>
            </w:tcBorders>
            <w:shd w:val="clear" w:color="auto" w:fill="auto"/>
            <w:noWrap/>
            <w:vAlign w:val="bottom"/>
            <w:hideMark/>
          </w:tcPr>
          <w:p w14:paraId="1AC69897"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1" w:type="pct"/>
            <w:tcBorders>
              <w:top w:val="nil"/>
              <w:left w:val="nil"/>
              <w:bottom w:val="single" w:sz="4" w:space="0" w:color="auto"/>
              <w:right w:val="single" w:sz="4" w:space="0" w:color="auto"/>
            </w:tcBorders>
            <w:shd w:val="clear" w:color="auto" w:fill="auto"/>
            <w:noWrap/>
            <w:vAlign w:val="bottom"/>
            <w:hideMark/>
          </w:tcPr>
          <w:p w14:paraId="4FD89CBD"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4401EE3A"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(40.006)</w:t>
            </w:r>
          </w:p>
        </w:tc>
      </w:tr>
      <w:tr w:rsidR="00F41043" w:rsidRPr="00F41043" w14:paraId="47A8539B"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0B61FDAB" w14:textId="77777777" w:rsidR="00F41043" w:rsidRPr="00F41043" w:rsidRDefault="00F41043" w:rsidP="00F41043">
            <w:pPr>
              <w:spacing w:after="0" w:line="240" w:lineRule="auto"/>
              <w:ind w:firstLineChars="200" w:firstLine="281"/>
              <w:rPr>
                <w:rFonts w:ascii="Arial" w:eastAsia="Times New Roman" w:hAnsi="Arial" w:cs="Arial"/>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Caixa Líquido Consumido pelas Atividades de Investimento </w:t>
            </w:r>
          </w:p>
        </w:tc>
        <w:tc>
          <w:tcPr>
            <w:tcW w:w="494" w:type="pct"/>
            <w:tcBorders>
              <w:top w:val="nil"/>
              <w:left w:val="nil"/>
              <w:bottom w:val="single" w:sz="4" w:space="0" w:color="auto"/>
              <w:right w:val="single" w:sz="4" w:space="0" w:color="auto"/>
            </w:tcBorders>
            <w:shd w:val="clear" w:color="auto" w:fill="auto"/>
            <w:noWrap/>
            <w:vAlign w:val="bottom"/>
            <w:hideMark/>
          </w:tcPr>
          <w:p w14:paraId="494D50E7"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b/>
                <w:bCs/>
                <w:kern w:val="0"/>
                <w:sz w:val="14"/>
                <w:szCs w:val="14"/>
                <w:lang w:eastAsia="pt-BR"/>
                <w14:ligatures w14:val="none"/>
              </w:rPr>
              <w:t>(40.006)</w:t>
            </w:r>
          </w:p>
        </w:tc>
        <w:tc>
          <w:tcPr>
            <w:tcW w:w="634" w:type="pct"/>
            <w:tcBorders>
              <w:top w:val="nil"/>
              <w:left w:val="nil"/>
              <w:bottom w:val="single" w:sz="4" w:space="0" w:color="auto"/>
              <w:right w:val="single" w:sz="4" w:space="0" w:color="auto"/>
            </w:tcBorders>
            <w:shd w:val="clear" w:color="auto" w:fill="auto"/>
            <w:noWrap/>
            <w:vAlign w:val="bottom"/>
            <w:hideMark/>
          </w:tcPr>
          <w:p w14:paraId="36258835"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 </w:t>
            </w:r>
          </w:p>
        </w:tc>
        <w:tc>
          <w:tcPr>
            <w:tcW w:w="541" w:type="pct"/>
            <w:tcBorders>
              <w:top w:val="nil"/>
              <w:left w:val="nil"/>
              <w:bottom w:val="single" w:sz="4" w:space="0" w:color="auto"/>
              <w:right w:val="single" w:sz="4" w:space="0" w:color="auto"/>
            </w:tcBorders>
            <w:shd w:val="clear" w:color="auto" w:fill="auto"/>
            <w:noWrap/>
            <w:vAlign w:val="bottom"/>
            <w:hideMark/>
          </w:tcPr>
          <w:p w14:paraId="58E72E5F"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 </w:t>
            </w:r>
          </w:p>
        </w:tc>
        <w:tc>
          <w:tcPr>
            <w:tcW w:w="650" w:type="pct"/>
            <w:tcBorders>
              <w:top w:val="nil"/>
              <w:left w:val="nil"/>
              <w:bottom w:val="single" w:sz="4" w:space="0" w:color="auto"/>
              <w:right w:val="single" w:sz="4" w:space="0" w:color="auto"/>
            </w:tcBorders>
            <w:shd w:val="clear" w:color="auto" w:fill="auto"/>
            <w:noWrap/>
            <w:vAlign w:val="bottom"/>
            <w:hideMark/>
          </w:tcPr>
          <w:p w14:paraId="37EAD98A"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b/>
                <w:bCs/>
                <w:kern w:val="0"/>
                <w:sz w:val="14"/>
                <w:szCs w:val="14"/>
                <w:lang w:eastAsia="pt-BR"/>
                <w14:ligatures w14:val="none"/>
              </w:rPr>
              <w:t>(40.006)</w:t>
            </w:r>
          </w:p>
        </w:tc>
      </w:tr>
      <w:tr w:rsidR="00F41043" w:rsidRPr="00F41043" w14:paraId="170F5900"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1F9C3E4C"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Fluxos de Caixa das Atividades de Financiamento</w:t>
            </w:r>
          </w:p>
        </w:tc>
        <w:tc>
          <w:tcPr>
            <w:tcW w:w="494" w:type="pct"/>
            <w:tcBorders>
              <w:top w:val="nil"/>
              <w:left w:val="nil"/>
              <w:bottom w:val="single" w:sz="4" w:space="0" w:color="auto"/>
              <w:right w:val="single" w:sz="4" w:space="0" w:color="auto"/>
            </w:tcBorders>
            <w:shd w:val="clear" w:color="auto" w:fill="auto"/>
            <w:noWrap/>
            <w:vAlign w:val="bottom"/>
            <w:hideMark/>
          </w:tcPr>
          <w:p w14:paraId="480EAD0B"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34" w:type="pct"/>
            <w:tcBorders>
              <w:top w:val="nil"/>
              <w:left w:val="nil"/>
              <w:bottom w:val="single" w:sz="4" w:space="0" w:color="auto"/>
              <w:right w:val="single" w:sz="4" w:space="0" w:color="auto"/>
            </w:tcBorders>
            <w:shd w:val="clear" w:color="auto" w:fill="auto"/>
            <w:noWrap/>
            <w:vAlign w:val="bottom"/>
            <w:hideMark/>
          </w:tcPr>
          <w:p w14:paraId="76116B1D"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1" w:type="pct"/>
            <w:tcBorders>
              <w:top w:val="nil"/>
              <w:left w:val="nil"/>
              <w:bottom w:val="single" w:sz="4" w:space="0" w:color="auto"/>
              <w:right w:val="single" w:sz="4" w:space="0" w:color="auto"/>
            </w:tcBorders>
            <w:shd w:val="clear" w:color="auto" w:fill="auto"/>
            <w:noWrap/>
            <w:vAlign w:val="bottom"/>
            <w:hideMark/>
          </w:tcPr>
          <w:p w14:paraId="15473BDD"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68D0385E"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r>
      <w:tr w:rsidR="00F41043" w:rsidRPr="00F41043" w14:paraId="7CA60303"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42D6093A"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Recebimento de Adiantamento p/ Futuro Aumento de Capital </w:t>
            </w:r>
          </w:p>
        </w:tc>
        <w:tc>
          <w:tcPr>
            <w:tcW w:w="494" w:type="pct"/>
            <w:tcBorders>
              <w:top w:val="nil"/>
              <w:left w:val="nil"/>
              <w:bottom w:val="single" w:sz="4" w:space="0" w:color="auto"/>
              <w:right w:val="single" w:sz="4" w:space="0" w:color="auto"/>
            </w:tcBorders>
            <w:shd w:val="clear" w:color="auto" w:fill="auto"/>
            <w:noWrap/>
            <w:vAlign w:val="bottom"/>
            <w:hideMark/>
          </w:tcPr>
          <w:p w14:paraId="282CC0B3"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 </w:t>
            </w:r>
          </w:p>
        </w:tc>
        <w:tc>
          <w:tcPr>
            <w:tcW w:w="634" w:type="pct"/>
            <w:tcBorders>
              <w:top w:val="nil"/>
              <w:left w:val="nil"/>
              <w:bottom w:val="single" w:sz="4" w:space="0" w:color="auto"/>
              <w:right w:val="single" w:sz="4" w:space="0" w:color="auto"/>
            </w:tcBorders>
            <w:shd w:val="clear" w:color="auto" w:fill="auto"/>
            <w:noWrap/>
            <w:vAlign w:val="bottom"/>
            <w:hideMark/>
          </w:tcPr>
          <w:p w14:paraId="57E96992"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33.803 </w:t>
            </w:r>
          </w:p>
        </w:tc>
        <w:tc>
          <w:tcPr>
            <w:tcW w:w="541" w:type="pct"/>
            <w:tcBorders>
              <w:top w:val="nil"/>
              <w:left w:val="nil"/>
              <w:bottom w:val="single" w:sz="4" w:space="0" w:color="auto"/>
              <w:right w:val="single" w:sz="4" w:space="0" w:color="auto"/>
            </w:tcBorders>
            <w:shd w:val="clear" w:color="auto" w:fill="auto"/>
            <w:noWrap/>
            <w:vAlign w:val="bottom"/>
            <w:hideMark/>
          </w:tcPr>
          <w:p w14:paraId="3083D803"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4D02B9FD"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33.803 </w:t>
            </w:r>
          </w:p>
        </w:tc>
      </w:tr>
      <w:tr w:rsidR="00F41043" w:rsidRPr="00F41043" w14:paraId="529FFF86"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07CE7DB5" w14:textId="77777777" w:rsidR="00F41043" w:rsidRPr="00F41043" w:rsidRDefault="00F41043" w:rsidP="00F41043">
            <w:pPr>
              <w:spacing w:after="0" w:line="240" w:lineRule="auto"/>
              <w:ind w:firstLineChars="200" w:firstLine="28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Pagamento de Principal - Arrendamento Mercantil Financeiro</w:t>
            </w:r>
          </w:p>
        </w:tc>
        <w:tc>
          <w:tcPr>
            <w:tcW w:w="494" w:type="pct"/>
            <w:tcBorders>
              <w:top w:val="nil"/>
              <w:left w:val="nil"/>
              <w:bottom w:val="single" w:sz="4" w:space="0" w:color="auto"/>
              <w:right w:val="single" w:sz="4" w:space="0" w:color="auto"/>
            </w:tcBorders>
            <w:shd w:val="clear" w:color="auto" w:fill="auto"/>
            <w:noWrap/>
            <w:vAlign w:val="bottom"/>
            <w:hideMark/>
          </w:tcPr>
          <w:p w14:paraId="17B946B9"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(4.440)</w:t>
            </w:r>
          </w:p>
        </w:tc>
        <w:tc>
          <w:tcPr>
            <w:tcW w:w="634" w:type="pct"/>
            <w:tcBorders>
              <w:top w:val="nil"/>
              <w:left w:val="nil"/>
              <w:bottom w:val="single" w:sz="4" w:space="0" w:color="auto"/>
              <w:right w:val="single" w:sz="4" w:space="0" w:color="auto"/>
            </w:tcBorders>
            <w:shd w:val="clear" w:color="auto" w:fill="auto"/>
            <w:noWrap/>
            <w:vAlign w:val="bottom"/>
            <w:hideMark/>
          </w:tcPr>
          <w:p w14:paraId="39DAE300"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1" w:type="pct"/>
            <w:tcBorders>
              <w:top w:val="nil"/>
              <w:left w:val="nil"/>
              <w:bottom w:val="single" w:sz="4" w:space="0" w:color="auto"/>
              <w:right w:val="single" w:sz="4" w:space="0" w:color="auto"/>
            </w:tcBorders>
            <w:shd w:val="clear" w:color="auto" w:fill="auto"/>
            <w:noWrap/>
            <w:vAlign w:val="bottom"/>
            <w:hideMark/>
          </w:tcPr>
          <w:p w14:paraId="1D434EE5"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3A365D24"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(4.440)</w:t>
            </w:r>
          </w:p>
        </w:tc>
      </w:tr>
      <w:tr w:rsidR="00F41043" w:rsidRPr="00F41043" w14:paraId="4BE5ACE5"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5F1AA287" w14:textId="77777777" w:rsidR="00F41043" w:rsidRPr="00F41043" w:rsidRDefault="00F41043" w:rsidP="00F41043">
            <w:pPr>
              <w:spacing w:after="0" w:line="240" w:lineRule="auto"/>
              <w:ind w:firstLineChars="200" w:firstLine="28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Pagamento de Principal de Acordos Judiciais</w:t>
            </w:r>
          </w:p>
        </w:tc>
        <w:tc>
          <w:tcPr>
            <w:tcW w:w="494" w:type="pct"/>
            <w:tcBorders>
              <w:top w:val="nil"/>
              <w:left w:val="nil"/>
              <w:bottom w:val="single" w:sz="4" w:space="0" w:color="auto"/>
              <w:right w:val="single" w:sz="4" w:space="0" w:color="auto"/>
            </w:tcBorders>
            <w:shd w:val="clear" w:color="auto" w:fill="auto"/>
            <w:noWrap/>
            <w:vAlign w:val="bottom"/>
            <w:hideMark/>
          </w:tcPr>
          <w:p w14:paraId="1BD9EFA2"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(10.269)</w:t>
            </w:r>
          </w:p>
        </w:tc>
        <w:tc>
          <w:tcPr>
            <w:tcW w:w="634" w:type="pct"/>
            <w:tcBorders>
              <w:top w:val="nil"/>
              <w:left w:val="nil"/>
              <w:bottom w:val="single" w:sz="4" w:space="0" w:color="auto"/>
              <w:right w:val="single" w:sz="4" w:space="0" w:color="auto"/>
            </w:tcBorders>
            <w:shd w:val="clear" w:color="auto" w:fill="auto"/>
            <w:noWrap/>
            <w:vAlign w:val="bottom"/>
            <w:hideMark/>
          </w:tcPr>
          <w:p w14:paraId="12CAE47C"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1" w:type="pct"/>
            <w:tcBorders>
              <w:top w:val="nil"/>
              <w:left w:val="nil"/>
              <w:bottom w:val="single" w:sz="4" w:space="0" w:color="auto"/>
              <w:right w:val="single" w:sz="4" w:space="0" w:color="auto"/>
            </w:tcBorders>
            <w:shd w:val="clear" w:color="auto" w:fill="auto"/>
            <w:noWrap/>
            <w:vAlign w:val="bottom"/>
            <w:hideMark/>
          </w:tcPr>
          <w:p w14:paraId="0CAC193B"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4150980B"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(10.269)</w:t>
            </w:r>
          </w:p>
        </w:tc>
      </w:tr>
      <w:tr w:rsidR="00F41043" w:rsidRPr="00F41043" w14:paraId="6F87F93E"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4526B14C" w14:textId="77777777" w:rsidR="00F41043" w:rsidRPr="00F41043" w:rsidRDefault="00F41043" w:rsidP="00F41043">
            <w:pPr>
              <w:spacing w:after="0" w:line="240" w:lineRule="auto"/>
              <w:ind w:firstLineChars="200" w:firstLine="28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lastRenderedPageBreak/>
              <w:t>Pagamentos - Financiamento - Finep - Principal</w:t>
            </w:r>
          </w:p>
        </w:tc>
        <w:tc>
          <w:tcPr>
            <w:tcW w:w="494" w:type="pct"/>
            <w:tcBorders>
              <w:top w:val="nil"/>
              <w:left w:val="nil"/>
              <w:bottom w:val="single" w:sz="4" w:space="0" w:color="auto"/>
              <w:right w:val="single" w:sz="4" w:space="0" w:color="auto"/>
            </w:tcBorders>
            <w:shd w:val="clear" w:color="auto" w:fill="auto"/>
            <w:noWrap/>
            <w:vAlign w:val="bottom"/>
            <w:hideMark/>
          </w:tcPr>
          <w:p w14:paraId="786C7DDB"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(50.400)</w:t>
            </w:r>
          </w:p>
        </w:tc>
        <w:tc>
          <w:tcPr>
            <w:tcW w:w="634" w:type="pct"/>
            <w:tcBorders>
              <w:top w:val="nil"/>
              <w:left w:val="nil"/>
              <w:bottom w:val="single" w:sz="4" w:space="0" w:color="auto"/>
              <w:right w:val="single" w:sz="4" w:space="0" w:color="auto"/>
            </w:tcBorders>
            <w:shd w:val="clear" w:color="auto" w:fill="auto"/>
            <w:noWrap/>
            <w:vAlign w:val="bottom"/>
            <w:hideMark/>
          </w:tcPr>
          <w:p w14:paraId="7525452C"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1" w:type="pct"/>
            <w:tcBorders>
              <w:top w:val="nil"/>
              <w:left w:val="nil"/>
              <w:bottom w:val="single" w:sz="4" w:space="0" w:color="auto"/>
              <w:right w:val="single" w:sz="4" w:space="0" w:color="auto"/>
            </w:tcBorders>
            <w:shd w:val="clear" w:color="auto" w:fill="auto"/>
            <w:noWrap/>
            <w:vAlign w:val="bottom"/>
            <w:hideMark/>
          </w:tcPr>
          <w:p w14:paraId="31DBAAB0"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532FE599"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(50.400)</w:t>
            </w:r>
          </w:p>
        </w:tc>
      </w:tr>
      <w:tr w:rsidR="00F41043" w:rsidRPr="00F41043" w14:paraId="7A932402"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4E71B77C" w14:textId="77777777" w:rsidR="00F41043" w:rsidRPr="00F41043" w:rsidRDefault="00F41043" w:rsidP="00F41043">
            <w:pPr>
              <w:spacing w:after="0" w:line="240" w:lineRule="auto"/>
              <w:ind w:firstLineChars="200" w:firstLine="28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Recebimento Parcela - Superávit Previdência Privada</w:t>
            </w:r>
          </w:p>
        </w:tc>
        <w:tc>
          <w:tcPr>
            <w:tcW w:w="494" w:type="pct"/>
            <w:tcBorders>
              <w:top w:val="nil"/>
              <w:left w:val="nil"/>
              <w:bottom w:val="single" w:sz="4" w:space="0" w:color="auto"/>
              <w:right w:val="single" w:sz="4" w:space="0" w:color="auto"/>
            </w:tcBorders>
            <w:shd w:val="clear" w:color="auto" w:fill="auto"/>
            <w:noWrap/>
            <w:vAlign w:val="bottom"/>
            <w:hideMark/>
          </w:tcPr>
          <w:p w14:paraId="7B98E28A"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82.187 </w:t>
            </w:r>
          </w:p>
        </w:tc>
        <w:tc>
          <w:tcPr>
            <w:tcW w:w="634" w:type="pct"/>
            <w:tcBorders>
              <w:top w:val="nil"/>
              <w:left w:val="nil"/>
              <w:bottom w:val="single" w:sz="4" w:space="0" w:color="auto"/>
              <w:right w:val="single" w:sz="4" w:space="0" w:color="auto"/>
            </w:tcBorders>
            <w:shd w:val="clear" w:color="auto" w:fill="auto"/>
            <w:noWrap/>
            <w:vAlign w:val="bottom"/>
            <w:hideMark/>
          </w:tcPr>
          <w:p w14:paraId="3337C7D0"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1" w:type="pct"/>
            <w:tcBorders>
              <w:top w:val="nil"/>
              <w:left w:val="nil"/>
              <w:bottom w:val="single" w:sz="4" w:space="0" w:color="auto"/>
              <w:right w:val="single" w:sz="4" w:space="0" w:color="auto"/>
            </w:tcBorders>
            <w:shd w:val="clear" w:color="auto" w:fill="auto"/>
            <w:noWrap/>
            <w:vAlign w:val="bottom"/>
            <w:hideMark/>
          </w:tcPr>
          <w:p w14:paraId="7DF93DD1"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5DC57129"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82.187 </w:t>
            </w:r>
          </w:p>
        </w:tc>
      </w:tr>
      <w:tr w:rsidR="00F41043" w:rsidRPr="00F41043" w14:paraId="5D351E97"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79D95310" w14:textId="77777777" w:rsidR="00F41043" w:rsidRPr="00F41043" w:rsidRDefault="00F41043" w:rsidP="00F41043">
            <w:pPr>
              <w:spacing w:after="0" w:line="240" w:lineRule="auto"/>
              <w:ind w:firstLineChars="200" w:firstLine="281"/>
              <w:rPr>
                <w:rFonts w:ascii="Arial" w:eastAsia="Times New Roman" w:hAnsi="Arial" w:cs="Arial"/>
                <w:kern w:val="0"/>
                <w:sz w:val="14"/>
                <w:szCs w:val="14"/>
                <w:lang w:eastAsia="pt-BR"/>
                <w14:ligatures w14:val="none"/>
              </w:rPr>
            </w:pPr>
            <w:r w:rsidRPr="00F41043">
              <w:rPr>
                <w:rFonts w:ascii="Arial" w:eastAsia="Times New Roman" w:hAnsi="Arial" w:cs="Arial"/>
                <w:b/>
                <w:bCs/>
                <w:kern w:val="0"/>
                <w:sz w:val="14"/>
                <w:szCs w:val="14"/>
                <w:lang w:eastAsia="pt-BR"/>
                <w14:ligatures w14:val="none"/>
              </w:rPr>
              <w:t>Caixa Líquido Gerado pelas Atividades de Financiamento</w:t>
            </w:r>
          </w:p>
        </w:tc>
        <w:tc>
          <w:tcPr>
            <w:tcW w:w="494" w:type="pct"/>
            <w:tcBorders>
              <w:top w:val="nil"/>
              <w:left w:val="nil"/>
              <w:bottom w:val="single" w:sz="4" w:space="0" w:color="auto"/>
              <w:right w:val="single" w:sz="4" w:space="0" w:color="auto"/>
            </w:tcBorders>
            <w:shd w:val="clear" w:color="auto" w:fill="auto"/>
            <w:noWrap/>
            <w:vAlign w:val="bottom"/>
            <w:hideMark/>
          </w:tcPr>
          <w:p w14:paraId="21549436"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17.078 </w:t>
            </w:r>
          </w:p>
        </w:tc>
        <w:tc>
          <w:tcPr>
            <w:tcW w:w="634" w:type="pct"/>
            <w:tcBorders>
              <w:top w:val="nil"/>
              <w:left w:val="nil"/>
              <w:bottom w:val="single" w:sz="4" w:space="0" w:color="auto"/>
              <w:right w:val="single" w:sz="4" w:space="0" w:color="auto"/>
            </w:tcBorders>
            <w:shd w:val="clear" w:color="auto" w:fill="auto"/>
            <w:noWrap/>
            <w:vAlign w:val="bottom"/>
            <w:hideMark/>
          </w:tcPr>
          <w:p w14:paraId="44C697C9"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33.803 </w:t>
            </w:r>
          </w:p>
        </w:tc>
        <w:tc>
          <w:tcPr>
            <w:tcW w:w="541" w:type="pct"/>
            <w:tcBorders>
              <w:top w:val="nil"/>
              <w:left w:val="nil"/>
              <w:bottom w:val="single" w:sz="4" w:space="0" w:color="auto"/>
              <w:right w:val="single" w:sz="4" w:space="0" w:color="auto"/>
            </w:tcBorders>
            <w:shd w:val="clear" w:color="auto" w:fill="auto"/>
            <w:noWrap/>
            <w:vAlign w:val="bottom"/>
            <w:hideMark/>
          </w:tcPr>
          <w:p w14:paraId="11B9CE64"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 </w:t>
            </w:r>
          </w:p>
        </w:tc>
        <w:tc>
          <w:tcPr>
            <w:tcW w:w="650" w:type="pct"/>
            <w:tcBorders>
              <w:top w:val="nil"/>
              <w:left w:val="nil"/>
              <w:bottom w:val="single" w:sz="4" w:space="0" w:color="auto"/>
              <w:right w:val="single" w:sz="4" w:space="0" w:color="auto"/>
            </w:tcBorders>
            <w:shd w:val="clear" w:color="auto" w:fill="auto"/>
            <w:noWrap/>
            <w:vAlign w:val="bottom"/>
            <w:hideMark/>
          </w:tcPr>
          <w:p w14:paraId="202F9A09"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50.881 </w:t>
            </w:r>
          </w:p>
        </w:tc>
      </w:tr>
      <w:tr w:rsidR="00F41043" w:rsidRPr="00F41043" w14:paraId="3B1E72B6"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59E36018"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Variação Líquida de Caixa e Equivalentes de Caixa</w:t>
            </w:r>
          </w:p>
        </w:tc>
        <w:tc>
          <w:tcPr>
            <w:tcW w:w="494" w:type="pct"/>
            <w:tcBorders>
              <w:top w:val="nil"/>
              <w:left w:val="nil"/>
              <w:bottom w:val="single" w:sz="4" w:space="0" w:color="auto"/>
              <w:right w:val="single" w:sz="4" w:space="0" w:color="auto"/>
            </w:tcBorders>
            <w:shd w:val="clear" w:color="auto" w:fill="auto"/>
            <w:noWrap/>
            <w:vAlign w:val="bottom"/>
            <w:hideMark/>
          </w:tcPr>
          <w:p w14:paraId="02EA5F60"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128.956 </w:t>
            </w:r>
          </w:p>
        </w:tc>
        <w:tc>
          <w:tcPr>
            <w:tcW w:w="634" w:type="pct"/>
            <w:tcBorders>
              <w:top w:val="nil"/>
              <w:left w:val="nil"/>
              <w:bottom w:val="single" w:sz="4" w:space="0" w:color="auto"/>
              <w:right w:val="single" w:sz="4" w:space="0" w:color="auto"/>
            </w:tcBorders>
            <w:shd w:val="clear" w:color="auto" w:fill="auto"/>
            <w:noWrap/>
            <w:vAlign w:val="bottom"/>
            <w:hideMark/>
          </w:tcPr>
          <w:p w14:paraId="74599381"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33.803 </w:t>
            </w:r>
          </w:p>
        </w:tc>
        <w:tc>
          <w:tcPr>
            <w:tcW w:w="541" w:type="pct"/>
            <w:tcBorders>
              <w:top w:val="nil"/>
              <w:left w:val="nil"/>
              <w:bottom w:val="single" w:sz="4" w:space="0" w:color="auto"/>
              <w:right w:val="single" w:sz="4" w:space="0" w:color="auto"/>
            </w:tcBorders>
            <w:shd w:val="clear" w:color="auto" w:fill="auto"/>
            <w:noWrap/>
            <w:vAlign w:val="bottom"/>
            <w:hideMark/>
          </w:tcPr>
          <w:p w14:paraId="2B7CAD75"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2.391 </w:t>
            </w:r>
          </w:p>
        </w:tc>
        <w:tc>
          <w:tcPr>
            <w:tcW w:w="650" w:type="pct"/>
            <w:tcBorders>
              <w:top w:val="nil"/>
              <w:left w:val="nil"/>
              <w:bottom w:val="single" w:sz="4" w:space="0" w:color="auto"/>
              <w:right w:val="single" w:sz="4" w:space="0" w:color="auto"/>
            </w:tcBorders>
            <w:shd w:val="clear" w:color="auto" w:fill="auto"/>
            <w:noWrap/>
            <w:vAlign w:val="bottom"/>
            <w:hideMark/>
          </w:tcPr>
          <w:p w14:paraId="69173A24"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128.956 </w:t>
            </w:r>
          </w:p>
        </w:tc>
      </w:tr>
      <w:tr w:rsidR="00F41043" w:rsidRPr="00F41043" w14:paraId="372D64DB"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1A237EB8"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Demonstração da Variação de Caixa e Equivalentes de Caixa</w:t>
            </w:r>
          </w:p>
        </w:tc>
        <w:tc>
          <w:tcPr>
            <w:tcW w:w="494" w:type="pct"/>
            <w:tcBorders>
              <w:top w:val="nil"/>
              <w:left w:val="nil"/>
              <w:bottom w:val="single" w:sz="4" w:space="0" w:color="auto"/>
              <w:right w:val="single" w:sz="4" w:space="0" w:color="auto"/>
            </w:tcBorders>
            <w:shd w:val="clear" w:color="auto" w:fill="auto"/>
            <w:noWrap/>
            <w:vAlign w:val="bottom"/>
            <w:hideMark/>
          </w:tcPr>
          <w:p w14:paraId="5EC12113"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w:t>
            </w:r>
          </w:p>
        </w:tc>
        <w:tc>
          <w:tcPr>
            <w:tcW w:w="634" w:type="pct"/>
            <w:tcBorders>
              <w:top w:val="nil"/>
              <w:left w:val="nil"/>
              <w:bottom w:val="single" w:sz="4" w:space="0" w:color="auto"/>
              <w:right w:val="single" w:sz="4" w:space="0" w:color="auto"/>
            </w:tcBorders>
            <w:shd w:val="clear" w:color="auto" w:fill="auto"/>
            <w:noWrap/>
            <w:vAlign w:val="bottom"/>
            <w:hideMark/>
          </w:tcPr>
          <w:p w14:paraId="321EB3A4"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w:t>
            </w:r>
          </w:p>
        </w:tc>
        <w:tc>
          <w:tcPr>
            <w:tcW w:w="541" w:type="pct"/>
            <w:tcBorders>
              <w:top w:val="nil"/>
              <w:left w:val="nil"/>
              <w:bottom w:val="single" w:sz="4" w:space="0" w:color="auto"/>
              <w:right w:val="single" w:sz="4" w:space="0" w:color="auto"/>
            </w:tcBorders>
            <w:shd w:val="clear" w:color="auto" w:fill="auto"/>
            <w:noWrap/>
            <w:vAlign w:val="bottom"/>
            <w:hideMark/>
          </w:tcPr>
          <w:p w14:paraId="5EDE56F8"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12BB515F"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w:t>
            </w:r>
          </w:p>
        </w:tc>
      </w:tr>
      <w:tr w:rsidR="00F41043" w:rsidRPr="00F41043" w14:paraId="51C27D3F"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6382FA00"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Caixa e Equivalentes de Caixa no Final do Exercício</w:t>
            </w:r>
          </w:p>
        </w:tc>
        <w:tc>
          <w:tcPr>
            <w:tcW w:w="494" w:type="pct"/>
            <w:tcBorders>
              <w:top w:val="nil"/>
              <w:left w:val="nil"/>
              <w:bottom w:val="single" w:sz="4" w:space="0" w:color="auto"/>
              <w:right w:val="single" w:sz="4" w:space="0" w:color="auto"/>
            </w:tcBorders>
            <w:shd w:val="clear" w:color="auto" w:fill="auto"/>
            <w:noWrap/>
            <w:vAlign w:val="bottom"/>
            <w:hideMark/>
          </w:tcPr>
          <w:p w14:paraId="32BDC70A"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272.839 </w:t>
            </w:r>
          </w:p>
        </w:tc>
        <w:tc>
          <w:tcPr>
            <w:tcW w:w="634" w:type="pct"/>
            <w:tcBorders>
              <w:top w:val="nil"/>
              <w:left w:val="nil"/>
              <w:bottom w:val="single" w:sz="4" w:space="0" w:color="auto"/>
              <w:right w:val="single" w:sz="4" w:space="0" w:color="auto"/>
            </w:tcBorders>
            <w:shd w:val="clear" w:color="auto" w:fill="auto"/>
            <w:noWrap/>
            <w:vAlign w:val="bottom"/>
            <w:hideMark/>
          </w:tcPr>
          <w:p w14:paraId="358999D5"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1" w:type="pct"/>
            <w:tcBorders>
              <w:top w:val="nil"/>
              <w:left w:val="nil"/>
              <w:bottom w:val="single" w:sz="4" w:space="0" w:color="auto"/>
              <w:right w:val="single" w:sz="4" w:space="0" w:color="auto"/>
            </w:tcBorders>
            <w:shd w:val="clear" w:color="auto" w:fill="auto"/>
            <w:noWrap/>
            <w:vAlign w:val="bottom"/>
            <w:hideMark/>
          </w:tcPr>
          <w:p w14:paraId="7ADF59FD"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658C4867"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272.839 </w:t>
            </w:r>
          </w:p>
        </w:tc>
      </w:tr>
      <w:tr w:rsidR="00F41043" w:rsidRPr="00F41043" w14:paraId="0017D069"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2D4BADF5" w14:textId="77777777" w:rsidR="00F41043" w:rsidRPr="00F41043" w:rsidRDefault="00F41043" w:rsidP="00F41043">
            <w:pPr>
              <w:spacing w:after="0" w:line="240" w:lineRule="auto"/>
              <w:ind w:firstLineChars="200" w:firstLine="28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Caixa e Equivalentes de Caixa no Início do Exercício</w:t>
            </w:r>
          </w:p>
        </w:tc>
        <w:tc>
          <w:tcPr>
            <w:tcW w:w="494" w:type="pct"/>
            <w:tcBorders>
              <w:top w:val="nil"/>
              <w:left w:val="nil"/>
              <w:bottom w:val="single" w:sz="4" w:space="0" w:color="auto"/>
              <w:right w:val="single" w:sz="4" w:space="0" w:color="auto"/>
            </w:tcBorders>
            <w:shd w:val="clear" w:color="auto" w:fill="auto"/>
            <w:noWrap/>
            <w:vAlign w:val="bottom"/>
            <w:hideMark/>
          </w:tcPr>
          <w:p w14:paraId="4B5D6233"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143.883 </w:t>
            </w:r>
          </w:p>
        </w:tc>
        <w:tc>
          <w:tcPr>
            <w:tcW w:w="634" w:type="pct"/>
            <w:tcBorders>
              <w:top w:val="nil"/>
              <w:left w:val="nil"/>
              <w:bottom w:val="single" w:sz="4" w:space="0" w:color="auto"/>
              <w:right w:val="single" w:sz="4" w:space="0" w:color="auto"/>
            </w:tcBorders>
            <w:shd w:val="clear" w:color="auto" w:fill="auto"/>
            <w:noWrap/>
            <w:vAlign w:val="bottom"/>
            <w:hideMark/>
          </w:tcPr>
          <w:p w14:paraId="588D2255"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1" w:type="pct"/>
            <w:tcBorders>
              <w:top w:val="nil"/>
              <w:left w:val="nil"/>
              <w:bottom w:val="single" w:sz="4" w:space="0" w:color="auto"/>
              <w:right w:val="single" w:sz="4" w:space="0" w:color="auto"/>
            </w:tcBorders>
            <w:shd w:val="clear" w:color="auto" w:fill="auto"/>
            <w:noWrap/>
            <w:vAlign w:val="bottom"/>
            <w:hideMark/>
          </w:tcPr>
          <w:p w14:paraId="396AEE9F"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56511823"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143.883 </w:t>
            </w:r>
          </w:p>
        </w:tc>
      </w:tr>
      <w:tr w:rsidR="00F41043" w:rsidRPr="00F41043" w14:paraId="6D34D6A9" w14:textId="77777777" w:rsidTr="00446A14">
        <w:trPr>
          <w:trHeight w:val="198"/>
        </w:trPr>
        <w:tc>
          <w:tcPr>
            <w:tcW w:w="2681" w:type="pct"/>
            <w:tcBorders>
              <w:top w:val="nil"/>
              <w:left w:val="single" w:sz="4" w:space="0" w:color="auto"/>
              <w:bottom w:val="single" w:sz="4" w:space="0" w:color="auto"/>
              <w:right w:val="single" w:sz="4" w:space="0" w:color="auto"/>
            </w:tcBorders>
            <w:shd w:val="clear" w:color="auto" w:fill="auto"/>
            <w:noWrap/>
            <w:vAlign w:val="bottom"/>
            <w:hideMark/>
          </w:tcPr>
          <w:p w14:paraId="2CA2E985" w14:textId="77777777" w:rsidR="00F41043" w:rsidRPr="00F41043" w:rsidRDefault="00F41043" w:rsidP="00F41043">
            <w:pPr>
              <w:spacing w:after="0" w:line="240" w:lineRule="auto"/>
              <w:ind w:firstLineChars="200" w:firstLine="281"/>
              <w:rPr>
                <w:rFonts w:ascii="Arial" w:eastAsia="Times New Roman" w:hAnsi="Arial" w:cs="Arial"/>
                <w:kern w:val="0"/>
                <w:sz w:val="14"/>
                <w:szCs w:val="14"/>
                <w:lang w:eastAsia="pt-BR"/>
                <w14:ligatures w14:val="none"/>
              </w:rPr>
            </w:pPr>
            <w:r w:rsidRPr="00F41043">
              <w:rPr>
                <w:rFonts w:ascii="Arial" w:eastAsia="Times New Roman" w:hAnsi="Arial" w:cs="Arial"/>
                <w:b/>
                <w:bCs/>
                <w:kern w:val="0"/>
                <w:sz w:val="14"/>
                <w:szCs w:val="14"/>
                <w:lang w:eastAsia="pt-BR"/>
                <w14:ligatures w14:val="none"/>
              </w:rPr>
              <w:t>Variação de Caixa e Equivalentes de Caixa</w:t>
            </w:r>
          </w:p>
        </w:tc>
        <w:tc>
          <w:tcPr>
            <w:tcW w:w="494" w:type="pct"/>
            <w:tcBorders>
              <w:top w:val="nil"/>
              <w:left w:val="nil"/>
              <w:bottom w:val="single" w:sz="4" w:space="0" w:color="auto"/>
              <w:right w:val="single" w:sz="4" w:space="0" w:color="auto"/>
            </w:tcBorders>
            <w:shd w:val="clear" w:color="auto" w:fill="auto"/>
            <w:noWrap/>
            <w:vAlign w:val="bottom"/>
            <w:hideMark/>
          </w:tcPr>
          <w:p w14:paraId="00E54E97"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128.956 </w:t>
            </w:r>
          </w:p>
        </w:tc>
        <w:tc>
          <w:tcPr>
            <w:tcW w:w="634" w:type="pct"/>
            <w:tcBorders>
              <w:top w:val="nil"/>
              <w:left w:val="nil"/>
              <w:bottom w:val="single" w:sz="4" w:space="0" w:color="auto"/>
              <w:right w:val="single" w:sz="4" w:space="0" w:color="auto"/>
            </w:tcBorders>
            <w:shd w:val="clear" w:color="auto" w:fill="auto"/>
            <w:noWrap/>
            <w:vAlign w:val="bottom"/>
            <w:hideMark/>
          </w:tcPr>
          <w:p w14:paraId="7804AB9A"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 </w:t>
            </w:r>
          </w:p>
        </w:tc>
        <w:tc>
          <w:tcPr>
            <w:tcW w:w="541" w:type="pct"/>
            <w:tcBorders>
              <w:top w:val="nil"/>
              <w:left w:val="nil"/>
              <w:bottom w:val="single" w:sz="4" w:space="0" w:color="auto"/>
              <w:right w:val="single" w:sz="4" w:space="0" w:color="auto"/>
            </w:tcBorders>
            <w:shd w:val="clear" w:color="auto" w:fill="auto"/>
            <w:noWrap/>
            <w:vAlign w:val="bottom"/>
            <w:hideMark/>
          </w:tcPr>
          <w:p w14:paraId="66382E5A"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 </w:t>
            </w:r>
          </w:p>
        </w:tc>
        <w:tc>
          <w:tcPr>
            <w:tcW w:w="650" w:type="pct"/>
            <w:tcBorders>
              <w:top w:val="nil"/>
              <w:left w:val="nil"/>
              <w:bottom w:val="single" w:sz="4" w:space="0" w:color="auto"/>
              <w:right w:val="single" w:sz="4" w:space="0" w:color="auto"/>
            </w:tcBorders>
            <w:shd w:val="clear" w:color="auto" w:fill="auto"/>
            <w:noWrap/>
            <w:vAlign w:val="bottom"/>
            <w:hideMark/>
          </w:tcPr>
          <w:p w14:paraId="14571E5F"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128.956 </w:t>
            </w:r>
          </w:p>
        </w:tc>
      </w:tr>
    </w:tbl>
    <w:p w14:paraId="189BC33D" w14:textId="181C03E8" w:rsidR="00F41043" w:rsidRPr="00F41043" w:rsidRDefault="00F41043" w:rsidP="00F41043">
      <w:pPr>
        <w:keepNext/>
        <w:spacing w:after="0" w:line="276" w:lineRule="auto"/>
        <w:jc w:val="both"/>
        <w:outlineLvl w:val="1"/>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3.2.6. </w:t>
      </w:r>
      <w:r w:rsidRPr="00F41043">
        <w:rPr>
          <w:rFonts w:ascii="Calibri" w:eastAsia="Times New Roman" w:hAnsi="Calibri" w:cs="Calibri"/>
          <w:b/>
          <w:bCs/>
          <w:iCs/>
          <w:color w:val="002060"/>
          <w:kern w:val="0"/>
          <w14:ligatures w14:val="none"/>
        </w:rPr>
        <w:t>Demonstração do Valor Adicionado</w:t>
      </w:r>
    </w:p>
    <w:tbl>
      <w:tblPr>
        <w:tblW w:w="5000" w:type="pct"/>
        <w:tblCellMar>
          <w:left w:w="70" w:type="dxa"/>
          <w:right w:w="70" w:type="dxa"/>
        </w:tblCellMar>
        <w:tblLook w:val="04A0" w:firstRow="1" w:lastRow="0" w:firstColumn="1" w:lastColumn="0" w:noHBand="0" w:noVBand="1"/>
      </w:tblPr>
      <w:tblGrid>
        <w:gridCol w:w="4922"/>
        <w:gridCol w:w="1069"/>
        <w:gridCol w:w="1425"/>
        <w:gridCol w:w="1069"/>
        <w:gridCol w:w="1286"/>
      </w:tblGrid>
      <w:tr w:rsidR="00F41043" w:rsidRPr="00F41043" w14:paraId="0F20BBE1" w14:textId="77777777" w:rsidTr="00446A14">
        <w:trPr>
          <w:trHeight w:val="198"/>
          <w:tblHeader/>
        </w:trPr>
        <w:tc>
          <w:tcPr>
            <w:tcW w:w="2519" w:type="pct"/>
            <w:vMerge w:val="restart"/>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A9DC976" w14:textId="77777777" w:rsidR="00F41043" w:rsidRPr="00F41043" w:rsidRDefault="00F41043" w:rsidP="00F41043">
            <w:pPr>
              <w:spacing w:after="0" w:line="240" w:lineRule="auto"/>
              <w:jc w:val="center"/>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w:t>
            </w:r>
          </w:p>
        </w:tc>
        <w:tc>
          <w:tcPr>
            <w:tcW w:w="5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468698" w14:textId="77777777" w:rsidR="00F41043" w:rsidRPr="00F41043" w:rsidRDefault="00F41043" w:rsidP="00F41043">
            <w:pPr>
              <w:spacing w:after="0" w:line="240" w:lineRule="auto"/>
              <w:jc w:val="center"/>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Saldos Divulgados em 2021</w:t>
            </w:r>
          </w:p>
        </w:tc>
        <w:tc>
          <w:tcPr>
            <w:tcW w:w="1276" w:type="pct"/>
            <w:gridSpan w:val="2"/>
            <w:tcBorders>
              <w:top w:val="single" w:sz="4" w:space="0" w:color="auto"/>
              <w:left w:val="nil"/>
              <w:bottom w:val="single" w:sz="4" w:space="0" w:color="auto"/>
              <w:right w:val="single" w:sz="4" w:space="0" w:color="auto"/>
            </w:tcBorders>
            <w:shd w:val="clear" w:color="auto" w:fill="auto"/>
            <w:noWrap/>
            <w:vAlign w:val="bottom"/>
            <w:hideMark/>
          </w:tcPr>
          <w:p w14:paraId="66A616B6" w14:textId="77777777" w:rsidR="00F41043" w:rsidRPr="00F41043" w:rsidRDefault="00F41043" w:rsidP="00F41043">
            <w:pPr>
              <w:spacing w:after="0" w:line="240" w:lineRule="auto"/>
              <w:jc w:val="center"/>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Ajustes</w:t>
            </w:r>
          </w:p>
        </w:tc>
        <w:tc>
          <w:tcPr>
            <w:tcW w:w="6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C22561" w14:textId="77777777" w:rsidR="00F41043" w:rsidRPr="00F41043" w:rsidRDefault="00F41043" w:rsidP="00F41043">
            <w:pPr>
              <w:spacing w:after="0" w:line="240" w:lineRule="auto"/>
              <w:jc w:val="center"/>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Saldos Reapresentados em 2021</w:t>
            </w:r>
          </w:p>
        </w:tc>
      </w:tr>
      <w:tr w:rsidR="00F41043" w:rsidRPr="00F41043" w14:paraId="1A6C969C" w14:textId="77777777" w:rsidTr="00446A14">
        <w:trPr>
          <w:trHeight w:val="198"/>
          <w:tblHeader/>
        </w:trPr>
        <w:tc>
          <w:tcPr>
            <w:tcW w:w="2519" w:type="pct"/>
            <w:vMerge/>
            <w:tcBorders>
              <w:top w:val="single" w:sz="4" w:space="0" w:color="auto"/>
              <w:left w:val="single" w:sz="4" w:space="0" w:color="auto"/>
              <w:bottom w:val="single" w:sz="4" w:space="0" w:color="auto"/>
              <w:right w:val="single" w:sz="4" w:space="0" w:color="auto"/>
            </w:tcBorders>
            <w:vAlign w:val="center"/>
            <w:hideMark/>
          </w:tcPr>
          <w:p w14:paraId="75D45EB5"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14:paraId="6F4239E4"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p>
        </w:tc>
        <w:tc>
          <w:tcPr>
            <w:tcW w:w="729" w:type="pct"/>
            <w:tcBorders>
              <w:top w:val="nil"/>
              <w:left w:val="nil"/>
              <w:bottom w:val="single" w:sz="4" w:space="0" w:color="auto"/>
              <w:right w:val="single" w:sz="4" w:space="0" w:color="auto"/>
            </w:tcBorders>
            <w:shd w:val="clear" w:color="auto" w:fill="auto"/>
            <w:vAlign w:val="center"/>
            <w:hideMark/>
          </w:tcPr>
          <w:p w14:paraId="5AB3CEA5" w14:textId="77777777" w:rsidR="00F41043" w:rsidRPr="00F41043" w:rsidRDefault="00F41043" w:rsidP="00F41043">
            <w:pPr>
              <w:spacing w:after="0" w:line="240" w:lineRule="auto"/>
              <w:jc w:val="center"/>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Subvenções para Investimentos</w:t>
            </w:r>
          </w:p>
        </w:tc>
        <w:tc>
          <w:tcPr>
            <w:tcW w:w="547" w:type="pct"/>
            <w:tcBorders>
              <w:top w:val="nil"/>
              <w:left w:val="nil"/>
              <w:bottom w:val="single" w:sz="4" w:space="0" w:color="auto"/>
              <w:right w:val="single" w:sz="4" w:space="0" w:color="auto"/>
            </w:tcBorders>
            <w:shd w:val="clear" w:color="auto" w:fill="auto"/>
            <w:vAlign w:val="center"/>
            <w:hideMark/>
          </w:tcPr>
          <w:p w14:paraId="3F0B82A8" w14:textId="77777777" w:rsidR="00F41043" w:rsidRPr="00F41043" w:rsidRDefault="00F41043" w:rsidP="00F41043">
            <w:pPr>
              <w:spacing w:after="0" w:line="240" w:lineRule="auto"/>
              <w:jc w:val="center"/>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Juros sobre </w:t>
            </w:r>
            <w:proofErr w:type="spellStart"/>
            <w:r w:rsidRPr="00F41043">
              <w:rPr>
                <w:rFonts w:ascii="Arial" w:eastAsia="Times New Roman" w:hAnsi="Arial" w:cs="Arial"/>
                <w:b/>
                <w:bCs/>
                <w:color w:val="000000"/>
                <w:kern w:val="0"/>
                <w:sz w:val="14"/>
                <w:szCs w:val="14"/>
                <w:lang w:eastAsia="pt-BR"/>
                <w14:ligatures w14:val="none"/>
              </w:rPr>
              <w:t>Afac</w:t>
            </w:r>
            <w:proofErr w:type="spellEnd"/>
          </w:p>
        </w:tc>
        <w:tc>
          <w:tcPr>
            <w:tcW w:w="658" w:type="pct"/>
            <w:vMerge/>
            <w:tcBorders>
              <w:top w:val="single" w:sz="4" w:space="0" w:color="auto"/>
              <w:left w:val="single" w:sz="4" w:space="0" w:color="auto"/>
              <w:bottom w:val="single" w:sz="4" w:space="0" w:color="auto"/>
              <w:right w:val="single" w:sz="4" w:space="0" w:color="auto"/>
            </w:tcBorders>
            <w:vAlign w:val="center"/>
            <w:hideMark/>
          </w:tcPr>
          <w:p w14:paraId="37A04465"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p>
        </w:tc>
      </w:tr>
      <w:tr w:rsidR="00F41043" w:rsidRPr="00F41043" w14:paraId="4C7B1016" w14:textId="77777777" w:rsidTr="00446A14">
        <w:trPr>
          <w:trHeight w:val="198"/>
        </w:trPr>
        <w:tc>
          <w:tcPr>
            <w:tcW w:w="2519" w:type="pct"/>
            <w:tcBorders>
              <w:top w:val="nil"/>
              <w:left w:val="single" w:sz="4" w:space="0" w:color="auto"/>
              <w:bottom w:val="single" w:sz="4" w:space="0" w:color="auto"/>
              <w:right w:val="single" w:sz="4" w:space="0" w:color="auto"/>
            </w:tcBorders>
            <w:shd w:val="clear" w:color="auto" w:fill="auto"/>
            <w:noWrap/>
            <w:vAlign w:val="center"/>
            <w:hideMark/>
          </w:tcPr>
          <w:p w14:paraId="52DA8FD3"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Receitas</w:t>
            </w:r>
          </w:p>
        </w:tc>
        <w:tc>
          <w:tcPr>
            <w:tcW w:w="547" w:type="pct"/>
            <w:tcBorders>
              <w:top w:val="nil"/>
              <w:left w:val="nil"/>
              <w:bottom w:val="single" w:sz="4" w:space="0" w:color="auto"/>
              <w:right w:val="single" w:sz="4" w:space="0" w:color="auto"/>
            </w:tcBorders>
            <w:shd w:val="clear" w:color="auto" w:fill="auto"/>
            <w:noWrap/>
            <w:vAlign w:val="bottom"/>
            <w:hideMark/>
          </w:tcPr>
          <w:p w14:paraId="25CC717D"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567.197 </w:t>
            </w:r>
          </w:p>
        </w:tc>
        <w:tc>
          <w:tcPr>
            <w:tcW w:w="729" w:type="pct"/>
            <w:tcBorders>
              <w:top w:val="nil"/>
              <w:left w:val="nil"/>
              <w:bottom w:val="single" w:sz="4" w:space="0" w:color="auto"/>
              <w:right w:val="single" w:sz="4" w:space="0" w:color="auto"/>
            </w:tcBorders>
            <w:shd w:val="clear" w:color="auto" w:fill="auto"/>
            <w:noWrap/>
            <w:vAlign w:val="bottom"/>
            <w:hideMark/>
          </w:tcPr>
          <w:p w14:paraId="2F2A881A"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(33.803)</w:t>
            </w:r>
          </w:p>
        </w:tc>
        <w:tc>
          <w:tcPr>
            <w:tcW w:w="547" w:type="pct"/>
            <w:tcBorders>
              <w:top w:val="nil"/>
              <w:left w:val="nil"/>
              <w:bottom w:val="single" w:sz="4" w:space="0" w:color="auto"/>
              <w:right w:val="single" w:sz="4" w:space="0" w:color="auto"/>
            </w:tcBorders>
            <w:shd w:val="clear" w:color="auto" w:fill="auto"/>
            <w:noWrap/>
            <w:vAlign w:val="bottom"/>
            <w:hideMark/>
          </w:tcPr>
          <w:p w14:paraId="0DB4100F"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 </w:t>
            </w:r>
          </w:p>
        </w:tc>
        <w:tc>
          <w:tcPr>
            <w:tcW w:w="658" w:type="pct"/>
            <w:tcBorders>
              <w:top w:val="nil"/>
              <w:left w:val="nil"/>
              <w:bottom w:val="single" w:sz="4" w:space="0" w:color="auto"/>
              <w:right w:val="single" w:sz="4" w:space="0" w:color="auto"/>
            </w:tcBorders>
            <w:shd w:val="clear" w:color="auto" w:fill="auto"/>
            <w:noWrap/>
            <w:vAlign w:val="bottom"/>
            <w:hideMark/>
          </w:tcPr>
          <w:p w14:paraId="4FD8D548"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533.394 </w:t>
            </w:r>
          </w:p>
        </w:tc>
      </w:tr>
      <w:tr w:rsidR="00F41043" w:rsidRPr="00F41043" w14:paraId="0C62ABF5" w14:textId="77777777" w:rsidTr="00446A14">
        <w:trPr>
          <w:trHeight w:val="198"/>
        </w:trPr>
        <w:tc>
          <w:tcPr>
            <w:tcW w:w="2519" w:type="pct"/>
            <w:tcBorders>
              <w:top w:val="nil"/>
              <w:left w:val="single" w:sz="4" w:space="0" w:color="auto"/>
              <w:bottom w:val="single" w:sz="4" w:space="0" w:color="auto"/>
              <w:right w:val="single" w:sz="4" w:space="0" w:color="auto"/>
            </w:tcBorders>
            <w:shd w:val="clear" w:color="auto" w:fill="auto"/>
            <w:noWrap/>
            <w:vAlign w:val="bottom"/>
            <w:hideMark/>
          </w:tcPr>
          <w:p w14:paraId="2824E92C"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Prestação de Serviços</w:t>
            </w:r>
          </w:p>
        </w:tc>
        <w:tc>
          <w:tcPr>
            <w:tcW w:w="547" w:type="pct"/>
            <w:tcBorders>
              <w:top w:val="nil"/>
              <w:left w:val="nil"/>
              <w:bottom w:val="single" w:sz="4" w:space="0" w:color="auto"/>
              <w:right w:val="single" w:sz="4" w:space="0" w:color="auto"/>
            </w:tcBorders>
            <w:shd w:val="clear" w:color="auto" w:fill="auto"/>
            <w:noWrap/>
            <w:vAlign w:val="bottom"/>
            <w:hideMark/>
          </w:tcPr>
          <w:p w14:paraId="2B11F3E9"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283.988 </w:t>
            </w:r>
          </w:p>
        </w:tc>
        <w:tc>
          <w:tcPr>
            <w:tcW w:w="729" w:type="pct"/>
            <w:tcBorders>
              <w:top w:val="nil"/>
              <w:left w:val="nil"/>
              <w:bottom w:val="single" w:sz="4" w:space="0" w:color="auto"/>
              <w:right w:val="single" w:sz="4" w:space="0" w:color="auto"/>
            </w:tcBorders>
            <w:shd w:val="clear" w:color="auto" w:fill="auto"/>
            <w:noWrap/>
            <w:vAlign w:val="bottom"/>
            <w:hideMark/>
          </w:tcPr>
          <w:p w14:paraId="6AC6EA96"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7" w:type="pct"/>
            <w:tcBorders>
              <w:top w:val="nil"/>
              <w:left w:val="nil"/>
              <w:bottom w:val="single" w:sz="4" w:space="0" w:color="auto"/>
              <w:right w:val="single" w:sz="4" w:space="0" w:color="auto"/>
            </w:tcBorders>
            <w:shd w:val="clear" w:color="auto" w:fill="auto"/>
            <w:noWrap/>
            <w:vAlign w:val="bottom"/>
            <w:hideMark/>
          </w:tcPr>
          <w:p w14:paraId="6C227E7E"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8" w:type="pct"/>
            <w:tcBorders>
              <w:top w:val="nil"/>
              <w:left w:val="nil"/>
              <w:bottom w:val="single" w:sz="4" w:space="0" w:color="auto"/>
              <w:right w:val="single" w:sz="4" w:space="0" w:color="auto"/>
            </w:tcBorders>
            <w:shd w:val="clear" w:color="auto" w:fill="auto"/>
            <w:noWrap/>
            <w:vAlign w:val="bottom"/>
            <w:hideMark/>
          </w:tcPr>
          <w:p w14:paraId="025B8750"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283.988 </w:t>
            </w:r>
          </w:p>
        </w:tc>
      </w:tr>
      <w:tr w:rsidR="00F41043" w:rsidRPr="00F41043" w14:paraId="0EC54FC6" w14:textId="77777777" w:rsidTr="00446A14">
        <w:trPr>
          <w:trHeight w:val="198"/>
        </w:trPr>
        <w:tc>
          <w:tcPr>
            <w:tcW w:w="2519" w:type="pct"/>
            <w:tcBorders>
              <w:top w:val="nil"/>
              <w:left w:val="single" w:sz="4" w:space="0" w:color="auto"/>
              <w:bottom w:val="single" w:sz="4" w:space="0" w:color="auto"/>
              <w:right w:val="single" w:sz="4" w:space="0" w:color="auto"/>
            </w:tcBorders>
            <w:shd w:val="clear" w:color="auto" w:fill="auto"/>
            <w:noWrap/>
            <w:vAlign w:val="bottom"/>
            <w:hideMark/>
          </w:tcPr>
          <w:p w14:paraId="406B89B5"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Subvenções Orçamentárias Recebidas</w:t>
            </w:r>
          </w:p>
        </w:tc>
        <w:tc>
          <w:tcPr>
            <w:tcW w:w="547" w:type="pct"/>
            <w:tcBorders>
              <w:top w:val="nil"/>
              <w:left w:val="nil"/>
              <w:bottom w:val="single" w:sz="4" w:space="0" w:color="auto"/>
              <w:right w:val="single" w:sz="4" w:space="0" w:color="auto"/>
            </w:tcBorders>
            <w:shd w:val="clear" w:color="auto" w:fill="auto"/>
            <w:noWrap/>
            <w:vAlign w:val="bottom"/>
            <w:hideMark/>
          </w:tcPr>
          <w:p w14:paraId="788EBBF5"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250.357 </w:t>
            </w:r>
          </w:p>
        </w:tc>
        <w:tc>
          <w:tcPr>
            <w:tcW w:w="729" w:type="pct"/>
            <w:tcBorders>
              <w:top w:val="nil"/>
              <w:left w:val="nil"/>
              <w:bottom w:val="single" w:sz="4" w:space="0" w:color="auto"/>
              <w:right w:val="single" w:sz="4" w:space="0" w:color="auto"/>
            </w:tcBorders>
            <w:shd w:val="clear" w:color="auto" w:fill="auto"/>
            <w:noWrap/>
            <w:vAlign w:val="bottom"/>
            <w:hideMark/>
          </w:tcPr>
          <w:p w14:paraId="16CDA768"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(33.803)</w:t>
            </w:r>
          </w:p>
        </w:tc>
        <w:tc>
          <w:tcPr>
            <w:tcW w:w="547" w:type="pct"/>
            <w:tcBorders>
              <w:top w:val="nil"/>
              <w:left w:val="nil"/>
              <w:bottom w:val="single" w:sz="4" w:space="0" w:color="auto"/>
              <w:right w:val="single" w:sz="4" w:space="0" w:color="auto"/>
            </w:tcBorders>
            <w:shd w:val="clear" w:color="auto" w:fill="auto"/>
            <w:noWrap/>
            <w:vAlign w:val="bottom"/>
            <w:hideMark/>
          </w:tcPr>
          <w:p w14:paraId="6A9C0EEE"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8" w:type="pct"/>
            <w:tcBorders>
              <w:top w:val="nil"/>
              <w:left w:val="nil"/>
              <w:bottom w:val="single" w:sz="4" w:space="0" w:color="auto"/>
              <w:right w:val="single" w:sz="4" w:space="0" w:color="auto"/>
            </w:tcBorders>
            <w:shd w:val="clear" w:color="auto" w:fill="auto"/>
            <w:noWrap/>
            <w:vAlign w:val="bottom"/>
            <w:hideMark/>
          </w:tcPr>
          <w:p w14:paraId="7FF5AB9B"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216.554 </w:t>
            </w:r>
          </w:p>
        </w:tc>
      </w:tr>
      <w:tr w:rsidR="00F41043" w:rsidRPr="00F41043" w14:paraId="11082EB4" w14:textId="77777777" w:rsidTr="00446A14">
        <w:trPr>
          <w:trHeight w:val="198"/>
        </w:trPr>
        <w:tc>
          <w:tcPr>
            <w:tcW w:w="2519" w:type="pct"/>
            <w:tcBorders>
              <w:top w:val="nil"/>
              <w:left w:val="single" w:sz="4" w:space="0" w:color="auto"/>
              <w:bottom w:val="single" w:sz="4" w:space="0" w:color="auto"/>
              <w:right w:val="single" w:sz="4" w:space="0" w:color="auto"/>
            </w:tcBorders>
            <w:shd w:val="clear" w:color="auto" w:fill="auto"/>
            <w:noWrap/>
            <w:vAlign w:val="bottom"/>
            <w:hideMark/>
          </w:tcPr>
          <w:p w14:paraId="42921926"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Outras Receitas</w:t>
            </w:r>
          </w:p>
        </w:tc>
        <w:tc>
          <w:tcPr>
            <w:tcW w:w="547" w:type="pct"/>
            <w:tcBorders>
              <w:top w:val="nil"/>
              <w:left w:val="nil"/>
              <w:bottom w:val="single" w:sz="4" w:space="0" w:color="auto"/>
              <w:right w:val="single" w:sz="4" w:space="0" w:color="auto"/>
            </w:tcBorders>
            <w:shd w:val="clear" w:color="auto" w:fill="auto"/>
            <w:noWrap/>
            <w:vAlign w:val="bottom"/>
            <w:hideMark/>
          </w:tcPr>
          <w:p w14:paraId="79DBA5D0"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16.777 </w:t>
            </w:r>
          </w:p>
        </w:tc>
        <w:tc>
          <w:tcPr>
            <w:tcW w:w="729" w:type="pct"/>
            <w:tcBorders>
              <w:top w:val="nil"/>
              <w:left w:val="nil"/>
              <w:bottom w:val="single" w:sz="4" w:space="0" w:color="auto"/>
              <w:right w:val="single" w:sz="4" w:space="0" w:color="auto"/>
            </w:tcBorders>
            <w:shd w:val="clear" w:color="auto" w:fill="auto"/>
            <w:noWrap/>
            <w:vAlign w:val="bottom"/>
            <w:hideMark/>
          </w:tcPr>
          <w:p w14:paraId="7A7502B0"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7" w:type="pct"/>
            <w:tcBorders>
              <w:top w:val="nil"/>
              <w:left w:val="nil"/>
              <w:bottom w:val="single" w:sz="4" w:space="0" w:color="auto"/>
              <w:right w:val="single" w:sz="4" w:space="0" w:color="auto"/>
            </w:tcBorders>
            <w:shd w:val="clear" w:color="auto" w:fill="auto"/>
            <w:noWrap/>
            <w:vAlign w:val="bottom"/>
            <w:hideMark/>
          </w:tcPr>
          <w:p w14:paraId="75F509F4"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8" w:type="pct"/>
            <w:tcBorders>
              <w:top w:val="nil"/>
              <w:left w:val="nil"/>
              <w:bottom w:val="single" w:sz="4" w:space="0" w:color="auto"/>
              <w:right w:val="single" w:sz="4" w:space="0" w:color="auto"/>
            </w:tcBorders>
            <w:shd w:val="clear" w:color="auto" w:fill="auto"/>
            <w:noWrap/>
            <w:vAlign w:val="bottom"/>
            <w:hideMark/>
          </w:tcPr>
          <w:p w14:paraId="548BC4C2"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16.777 </w:t>
            </w:r>
          </w:p>
        </w:tc>
      </w:tr>
      <w:tr w:rsidR="00F41043" w:rsidRPr="00F41043" w14:paraId="53FBD9FC" w14:textId="77777777" w:rsidTr="00446A14">
        <w:trPr>
          <w:trHeight w:val="198"/>
        </w:trPr>
        <w:tc>
          <w:tcPr>
            <w:tcW w:w="2519" w:type="pct"/>
            <w:tcBorders>
              <w:top w:val="nil"/>
              <w:left w:val="single" w:sz="4" w:space="0" w:color="auto"/>
              <w:bottom w:val="single" w:sz="4" w:space="0" w:color="auto"/>
              <w:right w:val="single" w:sz="4" w:space="0" w:color="auto"/>
            </w:tcBorders>
            <w:shd w:val="clear" w:color="auto" w:fill="auto"/>
            <w:noWrap/>
            <w:vAlign w:val="bottom"/>
            <w:hideMark/>
          </w:tcPr>
          <w:p w14:paraId="01F47C45"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Construção de Ativo Próprio</w:t>
            </w:r>
          </w:p>
        </w:tc>
        <w:tc>
          <w:tcPr>
            <w:tcW w:w="547" w:type="pct"/>
            <w:tcBorders>
              <w:top w:val="nil"/>
              <w:left w:val="nil"/>
              <w:bottom w:val="single" w:sz="4" w:space="0" w:color="auto"/>
              <w:right w:val="single" w:sz="4" w:space="0" w:color="auto"/>
            </w:tcBorders>
            <w:shd w:val="clear" w:color="auto" w:fill="auto"/>
            <w:noWrap/>
            <w:vAlign w:val="bottom"/>
            <w:hideMark/>
          </w:tcPr>
          <w:p w14:paraId="1B50247B"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15.560 </w:t>
            </w:r>
          </w:p>
        </w:tc>
        <w:tc>
          <w:tcPr>
            <w:tcW w:w="729" w:type="pct"/>
            <w:tcBorders>
              <w:top w:val="nil"/>
              <w:left w:val="nil"/>
              <w:bottom w:val="single" w:sz="4" w:space="0" w:color="auto"/>
              <w:right w:val="single" w:sz="4" w:space="0" w:color="auto"/>
            </w:tcBorders>
            <w:shd w:val="clear" w:color="auto" w:fill="auto"/>
            <w:noWrap/>
            <w:vAlign w:val="bottom"/>
            <w:hideMark/>
          </w:tcPr>
          <w:p w14:paraId="6C944C1D"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7" w:type="pct"/>
            <w:tcBorders>
              <w:top w:val="nil"/>
              <w:left w:val="nil"/>
              <w:bottom w:val="single" w:sz="4" w:space="0" w:color="auto"/>
              <w:right w:val="single" w:sz="4" w:space="0" w:color="auto"/>
            </w:tcBorders>
            <w:shd w:val="clear" w:color="auto" w:fill="auto"/>
            <w:noWrap/>
            <w:vAlign w:val="bottom"/>
            <w:hideMark/>
          </w:tcPr>
          <w:p w14:paraId="1038E5AE"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8" w:type="pct"/>
            <w:tcBorders>
              <w:top w:val="nil"/>
              <w:left w:val="nil"/>
              <w:bottom w:val="single" w:sz="4" w:space="0" w:color="auto"/>
              <w:right w:val="single" w:sz="4" w:space="0" w:color="auto"/>
            </w:tcBorders>
            <w:shd w:val="clear" w:color="auto" w:fill="auto"/>
            <w:noWrap/>
            <w:vAlign w:val="bottom"/>
            <w:hideMark/>
          </w:tcPr>
          <w:p w14:paraId="71D00279"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15.560 </w:t>
            </w:r>
          </w:p>
        </w:tc>
      </w:tr>
      <w:tr w:rsidR="00F41043" w:rsidRPr="00F41043" w14:paraId="35A539FD" w14:textId="77777777" w:rsidTr="00446A14">
        <w:trPr>
          <w:trHeight w:val="198"/>
        </w:trPr>
        <w:tc>
          <w:tcPr>
            <w:tcW w:w="2519" w:type="pct"/>
            <w:tcBorders>
              <w:top w:val="nil"/>
              <w:left w:val="single" w:sz="4" w:space="0" w:color="auto"/>
              <w:bottom w:val="single" w:sz="4" w:space="0" w:color="auto"/>
              <w:right w:val="single" w:sz="4" w:space="0" w:color="auto"/>
            </w:tcBorders>
            <w:shd w:val="clear" w:color="auto" w:fill="auto"/>
            <w:noWrap/>
            <w:vAlign w:val="bottom"/>
            <w:hideMark/>
          </w:tcPr>
          <w:p w14:paraId="7FE68677"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Perdas Estimadas com Créditos de Liquidação Duvidosa</w:t>
            </w:r>
          </w:p>
        </w:tc>
        <w:tc>
          <w:tcPr>
            <w:tcW w:w="547" w:type="pct"/>
            <w:tcBorders>
              <w:top w:val="nil"/>
              <w:left w:val="nil"/>
              <w:bottom w:val="single" w:sz="4" w:space="0" w:color="auto"/>
              <w:right w:val="single" w:sz="4" w:space="0" w:color="auto"/>
            </w:tcBorders>
            <w:shd w:val="clear" w:color="auto" w:fill="auto"/>
            <w:noWrap/>
            <w:vAlign w:val="bottom"/>
            <w:hideMark/>
          </w:tcPr>
          <w:p w14:paraId="49C16EFA"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515 </w:t>
            </w:r>
          </w:p>
        </w:tc>
        <w:tc>
          <w:tcPr>
            <w:tcW w:w="729" w:type="pct"/>
            <w:tcBorders>
              <w:top w:val="nil"/>
              <w:left w:val="nil"/>
              <w:bottom w:val="single" w:sz="4" w:space="0" w:color="auto"/>
              <w:right w:val="single" w:sz="4" w:space="0" w:color="auto"/>
            </w:tcBorders>
            <w:shd w:val="clear" w:color="auto" w:fill="auto"/>
            <w:noWrap/>
            <w:vAlign w:val="bottom"/>
            <w:hideMark/>
          </w:tcPr>
          <w:p w14:paraId="1CCB4E74"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7" w:type="pct"/>
            <w:tcBorders>
              <w:top w:val="nil"/>
              <w:left w:val="nil"/>
              <w:bottom w:val="single" w:sz="4" w:space="0" w:color="auto"/>
              <w:right w:val="single" w:sz="4" w:space="0" w:color="auto"/>
            </w:tcBorders>
            <w:shd w:val="clear" w:color="auto" w:fill="auto"/>
            <w:noWrap/>
            <w:vAlign w:val="bottom"/>
            <w:hideMark/>
          </w:tcPr>
          <w:p w14:paraId="3E8D859E"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8" w:type="pct"/>
            <w:tcBorders>
              <w:top w:val="nil"/>
              <w:left w:val="nil"/>
              <w:bottom w:val="single" w:sz="4" w:space="0" w:color="auto"/>
              <w:right w:val="single" w:sz="4" w:space="0" w:color="auto"/>
            </w:tcBorders>
            <w:shd w:val="clear" w:color="auto" w:fill="auto"/>
            <w:noWrap/>
            <w:vAlign w:val="bottom"/>
            <w:hideMark/>
          </w:tcPr>
          <w:p w14:paraId="564BD131"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515 </w:t>
            </w:r>
          </w:p>
        </w:tc>
      </w:tr>
      <w:tr w:rsidR="00F41043" w:rsidRPr="00F41043" w14:paraId="29A23EA4" w14:textId="77777777" w:rsidTr="00446A14">
        <w:trPr>
          <w:trHeight w:val="198"/>
        </w:trPr>
        <w:tc>
          <w:tcPr>
            <w:tcW w:w="2519" w:type="pct"/>
            <w:tcBorders>
              <w:top w:val="nil"/>
              <w:left w:val="single" w:sz="4" w:space="0" w:color="auto"/>
              <w:bottom w:val="single" w:sz="4" w:space="0" w:color="auto"/>
              <w:right w:val="single" w:sz="4" w:space="0" w:color="auto"/>
            </w:tcBorders>
            <w:shd w:val="clear" w:color="auto" w:fill="auto"/>
            <w:noWrap/>
            <w:vAlign w:val="bottom"/>
            <w:hideMark/>
          </w:tcPr>
          <w:p w14:paraId="1EAE7C0C"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Insumos Adquiridos de Terceiros</w:t>
            </w:r>
          </w:p>
        </w:tc>
        <w:tc>
          <w:tcPr>
            <w:tcW w:w="547" w:type="pct"/>
            <w:tcBorders>
              <w:top w:val="nil"/>
              <w:left w:val="nil"/>
              <w:bottom w:val="single" w:sz="4" w:space="0" w:color="auto"/>
              <w:right w:val="single" w:sz="4" w:space="0" w:color="auto"/>
            </w:tcBorders>
            <w:shd w:val="clear" w:color="auto" w:fill="auto"/>
            <w:noWrap/>
            <w:vAlign w:val="bottom"/>
            <w:hideMark/>
          </w:tcPr>
          <w:p w14:paraId="26D9A9BC"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(208.931)</w:t>
            </w:r>
          </w:p>
        </w:tc>
        <w:tc>
          <w:tcPr>
            <w:tcW w:w="729" w:type="pct"/>
            <w:tcBorders>
              <w:top w:val="nil"/>
              <w:left w:val="nil"/>
              <w:bottom w:val="single" w:sz="4" w:space="0" w:color="auto"/>
              <w:right w:val="single" w:sz="4" w:space="0" w:color="auto"/>
            </w:tcBorders>
            <w:shd w:val="clear" w:color="auto" w:fill="auto"/>
            <w:noWrap/>
            <w:vAlign w:val="bottom"/>
            <w:hideMark/>
          </w:tcPr>
          <w:p w14:paraId="07514ED1"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 </w:t>
            </w:r>
          </w:p>
        </w:tc>
        <w:tc>
          <w:tcPr>
            <w:tcW w:w="547" w:type="pct"/>
            <w:tcBorders>
              <w:top w:val="nil"/>
              <w:left w:val="nil"/>
              <w:bottom w:val="single" w:sz="4" w:space="0" w:color="auto"/>
              <w:right w:val="single" w:sz="4" w:space="0" w:color="auto"/>
            </w:tcBorders>
            <w:shd w:val="clear" w:color="auto" w:fill="auto"/>
            <w:noWrap/>
            <w:vAlign w:val="bottom"/>
            <w:hideMark/>
          </w:tcPr>
          <w:p w14:paraId="55496045"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 </w:t>
            </w:r>
          </w:p>
        </w:tc>
        <w:tc>
          <w:tcPr>
            <w:tcW w:w="658" w:type="pct"/>
            <w:tcBorders>
              <w:top w:val="nil"/>
              <w:left w:val="nil"/>
              <w:bottom w:val="single" w:sz="4" w:space="0" w:color="auto"/>
              <w:right w:val="single" w:sz="4" w:space="0" w:color="auto"/>
            </w:tcBorders>
            <w:shd w:val="clear" w:color="auto" w:fill="auto"/>
            <w:noWrap/>
            <w:vAlign w:val="bottom"/>
            <w:hideMark/>
          </w:tcPr>
          <w:p w14:paraId="7AFF27AE"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(208.931)</w:t>
            </w:r>
          </w:p>
        </w:tc>
      </w:tr>
      <w:tr w:rsidR="00F41043" w:rsidRPr="00F41043" w14:paraId="767E06F2" w14:textId="77777777" w:rsidTr="00446A14">
        <w:trPr>
          <w:trHeight w:val="198"/>
        </w:trPr>
        <w:tc>
          <w:tcPr>
            <w:tcW w:w="2519" w:type="pct"/>
            <w:tcBorders>
              <w:top w:val="nil"/>
              <w:left w:val="single" w:sz="4" w:space="0" w:color="auto"/>
              <w:bottom w:val="single" w:sz="4" w:space="0" w:color="auto"/>
              <w:right w:val="single" w:sz="4" w:space="0" w:color="auto"/>
            </w:tcBorders>
            <w:shd w:val="clear" w:color="auto" w:fill="auto"/>
            <w:noWrap/>
            <w:vAlign w:val="bottom"/>
            <w:hideMark/>
          </w:tcPr>
          <w:p w14:paraId="5049D9F1"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Custos dos Serviços Vendidos</w:t>
            </w:r>
          </w:p>
        </w:tc>
        <w:tc>
          <w:tcPr>
            <w:tcW w:w="547" w:type="pct"/>
            <w:tcBorders>
              <w:top w:val="nil"/>
              <w:left w:val="nil"/>
              <w:bottom w:val="single" w:sz="4" w:space="0" w:color="auto"/>
              <w:right w:val="single" w:sz="4" w:space="0" w:color="auto"/>
            </w:tcBorders>
            <w:shd w:val="clear" w:color="auto" w:fill="auto"/>
            <w:noWrap/>
            <w:vAlign w:val="bottom"/>
            <w:hideMark/>
          </w:tcPr>
          <w:p w14:paraId="3C3ACD84"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(194.421)</w:t>
            </w:r>
          </w:p>
        </w:tc>
        <w:tc>
          <w:tcPr>
            <w:tcW w:w="729" w:type="pct"/>
            <w:tcBorders>
              <w:top w:val="nil"/>
              <w:left w:val="nil"/>
              <w:bottom w:val="single" w:sz="4" w:space="0" w:color="auto"/>
              <w:right w:val="single" w:sz="4" w:space="0" w:color="auto"/>
            </w:tcBorders>
            <w:shd w:val="clear" w:color="auto" w:fill="auto"/>
            <w:noWrap/>
            <w:vAlign w:val="bottom"/>
            <w:hideMark/>
          </w:tcPr>
          <w:p w14:paraId="36EB0810"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7" w:type="pct"/>
            <w:tcBorders>
              <w:top w:val="nil"/>
              <w:left w:val="nil"/>
              <w:bottom w:val="single" w:sz="4" w:space="0" w:color="auto"/>
              <w:right w:val="single" w:sz="4" w:space="0" w:color="auto"/>
            </w:tcBorders>
            <w:shd w:val="clear" w:color="auto" w:fill="auto"/>
            <w:noWrap/>
            <w:vAlign w:val="bottom"/>
            <w:hideMark/>
          </w:tcPr>
          <w:p w14:paraId="71A10FBF"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8" w:type="pct"/>
            <w:tcBorders>
              <w:top w:val="nil"/>
              <w:left w:val="nil"/>
              <w:bottom w:val="single" w:sz="4" w:space="0" w:color="auto"/>
              <w:right w:val="single" w:sz="4" w:space="0" w:color="auto"/>
            </w:tcBorders>
            <w:shd w:val="clear" w:color="auto" w:fill="auto"/>
            <w:noWrap/>
            <w:vAlign w:val="bottom"/>
            <w:hideMark/>
          </w:tcPr>
          <w:p w14:paraId="4AE60C98"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(194.421)</w:t>
            </w:r>
          </w:p>
        </w:tc>
      </w:tr>
      <w:tr w:rsidR="00F41043" w:rsidRPr="00F41043" w14:paraId="0C7CB1D7" w14:textId="77777777" w:rsidTr="00446A14">
        <w:trPr>
          <w:trHeight w:val="198"/>
        </w:trPr>
        <w:tc>
          <w:tcPr>
            <w:tcW w:w="2519" w:type="pct"/>
            <w:tcBorders>
              <w:top w:val="nil"/>
              <w:left w:val="single" w:sz="4" w:space="0" w:color="auto"/>
              <w:bottom w:val="single" w:sz="4" w:space="0" w:color="auto"/>
              <w:right w:val="single" w:sz="4" w:space="0" w:color="auto"/>
            </w:tcBorders>
            <w:shd w:val="clear" w:color="auto" w:fill="auto"/>
            <w:noWrap/>
            <w:vAlign w:val="bottom"/>
            <w:hideMark/>
          </w:tcPr>
          <w:p w14:paraId="5BDD690C"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Materiais</w:t>
            </w:r>
          </w:p>
        </w:tc>
        <w:tc>
          <w:tcPr>
            <w:tcW w:w="547" w:type="pct"/>
            <w:tcBorders>
              <w:top w:val="nil"/>
              <w:left w:val="nil"/>
              <w:bottom w:val="single" w:sz="4" w:space="0" w:color="auto"/>
              <w:right w:val="single" w:sz="4" w:space="0" w:color="auto"/>
            </w:tcBorders>
            <w:shd w:val="clear" w:color="auto" w:fill="auto"/>
            <w:noWrap/>
            <w:vAlign w:val="bottom"/>
            <w:hideMark/>
          </w:tcPr>
          <w:p w14:paraId="5813EA5E"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(28)</w:t>
            </w:r>
          </w:p>
        </w:tc>
        <w:tc>
          <w:tcPr>
            <w:tcW w:w="729" w:type="pct"/>
            <w:tcBorders>
              <w:top w:val="nil"/>
              <w:left w:val="nil"/>
              <w:bottom w:val="single" w:sz="4" w:space="0" w:color="auto"/>
              <w:right w:val="single" w:sz="4" w:space="0" w:color="auto"/>
            </w:tcBorders>
            <w:shd w:val="clear" w:color="auto" w:fill="auto"/>
            <w:noWrap/>
            <w:vAlign w:val="bottom"/>
            <w:hideMark/>
          </w:tcPr>
          <w:p w14:paraId="0F12FF67"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7" w:type="pct"/>
            <w:tcBorders>
              <w:top w:val="nil"/>
              <w:left w:val="nil"/>
              <w:bottom w:val="single" w:sz="4" w:space="0" w:color="auto"/>
              <w:right w:val="single" w:sz="4" w:space="0" w:color="auto"/>
            </w:tcBorders>
            <w:shd w:val="clear" w:color="auto" w:fill="auto"/>
            <w:noWrap/>
            <w:vAlign w:val="bottom"/>
            <w:hideMark/>
          </w:tcPr>
          <w:p w14:paraId="66DCD16E"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8" w:type="pct"/>
            <w:tcBorders>
              <w:top w:val="nil"/>
              <w:left w:val="nil"/>
              <w:bottom w:val="single" w:sz="4" w:space="0" w:color="auto"/>
              <w:right w:val="single" w:sz="4" w:space="0" w:color="auto"/>
            </w:tcBorders>
            <w:shd w:val="clear" w:color="auto" w:fill="auto"/>
            <w:noWrap/>
            <w:vAlign w:val="bottom"/>
            <w:hideMark/>
          </w:tcPr>
          <w:p w14:paraId="405B5FF3"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(28)</w:t>
            </w:r>
          </w:p>
        </w:tc>
      </w:tr>
      <w:tr w:rsidR="00F41043" w:rsidRPr="00F41043" w14:paraId="155E8E42" w14:textId="77777777" w:rsidTr="00446A14">
        <w:trPr>
          <w:trHeight w:val="198"/>
        </w:trPr>
        <w:tc>
          <w:tcPr>
            <w:tcW w:w="2519" w:type="pct"/>
            <w:tcBorders>
              <w:top w:val="nil"/>
              <w:left w:val="single" w:sz="4" w:space="0" w:color="auto"/>
              <w:bottom w:val="single" w:sz="4" w:space="0" w:color="auto"/>
              <w:right w:val="single" w:sz="4" w:space="0" w:color="auto"/>
            </w:tcBorders>
            <w:shd w:val="clear" w:color="auto" w:fill="auto"/>
            <w:noWrap/>
            <w:vAlign w:val="bottom"/>
            <w:hideMark/>
          </w:tcPr>
          <w:p w14:paraId="26BF404D"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Serviços de Terceiros</w:t>
            </w:r>
          </w:p>
        </w:tc>
        <w:tc>
          <w:tcPr>
            <w:tcW w:w="547" w:type="pct"/>
            <w:tcBorders>
              <w:top w:val="nil"/>
              <w:left w:val="nil"/>
              <w:bottom w:val="single" w:sz="4" w:space="0" w:color="auto"/>
              <w:right w:val="single" w:sz="4" w:space="0" w:color="auto"/>
            </w:tcBorders>
            <w:shd w:val="clear" w:color="auto" w:fill="auto"/>
            <w:noWrap/>
            <w:vAlign w:val="bottom"/>
            <w:hideMark/>
          </w:tcPr>
          <w:p w14:paraId="1212907C"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(6.568)</w:t>
            </w:r>
          </w:p>
        </w:tc>
        <w:tc>
          <w:tcPr>
            <w:tcW w:w="729" w:type="pct"/>
            <w:tcBorders>
              <w:top w:val="nil"/>
              <w:left w:val="nil"/>
              <w:bottom w:val="single" w:sz="4" w:space="0" w:color="auto"/>
              <w:right w:val="single" w:sz="4" w:space="0" w:color="auto"/>
            </w:tcBorders>
            <w:shd w:val="clear" w:color="auto" w:fill="auto"/>
            <w:noWrap/>
            <w:vAlign w:val="bottom"/>
            <w:hideMark/>
          </w:tcPr>
          <w:p w14:paraId="6D3D9599"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7" w:type="pct"/>
            <w:tcBorders>
              <w:top w:val="nil"/>
              <w:left w:val="nil"/>
              <w:bottom w:val="single" w:sz="4" w:space="0" w:color="auto"/>
              <w:right w:val="single" w:sz="4" w:space="0" w:color="auto"/>
            </w:tcBorders>
            <w:shd w:val="clear" w:color="auto" w:fill="auto"/>
            <w:noWrap/>
            <w:vAlign w:val="bottom"/>
            <w:hideMark/>
          </w:tcPr>
          <w:p w14:paraId="6EA10365"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8" w:type="pct"/>
            <w:tcBorders>
              <w:top w:val="nil"/>
              <w:left w:val="nil"/>
              <w:bottom w:val="single" w:sz="4" w:space="0" w:color="auto"/>
              <w:right w:val="single" w:sz="4" w:space="0" w:color="auto"/>
            </w:tcBorders>
            <w:shd w:val="clear" w:color="auto" w:fill="auto"/>
            <w:noWrap/>
            <w:vAlign w:val="bottom"/>
            <w:hideMark/>
          </w:tcPr>
          <w:p w14:paraId="320C1A6D"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(6.568)</w:t>
            </w:r>
          </w:p>
        </w:tc>
      </w:tr>
      <w:tr w:rsidR="00F41043" w:rsidRPr="00F41043" w14:paraId="2FABA4A5" w14:textId="77777777" w:rsidTr="00446A14">
        <w:trPr>
          <w:trHeight w:val="198"/>
        </w:trPr>
        <w:tc>
          <w:tcPr>
            <w:tcW w:w="2519" w:type="pct"/>
            <w:tcBorders>
              <w:top w:val="nil"/>
              <w:left w:val="single" w:sz="4" w:space="0" w:color="auto"/>
              <w:bottom w:val="single" w:sz="4" w:space="0" w:color="auto"/>
              <w:right w:val="single" w:sz="4" w:space="0" w:color="auto"/>
            </w:tcBorders>
            <w:shd w:val="clear" w:color="auto" w:fill="auto"/>
            <w:noWrap/>
            <w:vAlign w:val="bottom"/>
            <w:hideMark/>
          </w:tcPr>
          <w:p w14:paraId="67843877"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Serviços Técnicos Administrativos</w:t>
            </w:r>
          </w:p>
        </w:tc>
        <w:tc>
          <w:tcPr>
            <w:tcW w:w="547" w:type="pct"/>
            <w:tcBorders>
              <w:top w:val="nil"/>
              <w:left w:val="nil"/>
              <w:bottom w:val="single" w:sz="4" w:space="0" w:color="auto"/>
              <w:right w:val="single" w:sz="4" w:space="0" w:color="auto"/>
            </w:tcBorders>
            <w:shd w:val="clear" w:color="auto" w:fill="auto"/>
            <w:noWrap/>
            <w:vAlign w:val="bottom"/>
            <w:hideMark/>
          </w:tcPr>
          <w:p w14:paraId="567719CD"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(3.674)</w:t>
            </w:r>
          </w:p>
        </w:tc>
        <w:tc>
          <w:tcPr>
            <w:tcW w:w="729" w:type="pct"/>
            <w:tcBorders>
              <w:top w:val="nil"/>
              <w:left w:val="nil"/>
              <w:bottom w:val="single" w:sz="4" w:space="0" w:color="auto"/>
              <w:right w:val="single" w:sz="4" w:space="0" w:color="auto"/>
            </w:tcBorders>
            <w:shd w:val="clear" w:color="auto" w:fill="auto"/>
            <w:noWrap/>
            <w:vAlign w:val="bottom"/>
            <w:hideMark/>
          </w:tcPr>
          <w:p w14:paraId="3225AEE1"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7" w:type="pct"/>
            <w:tcBorders>
              <w:top w:val="nil"/>
              <w:left w:val="nil"/>
              <w:bottom w:val="single" w:sz="4" w:space="0" w:color="auto"/>
              <w:right w:val="single" w:sz="4" w:space="0" w:color="auto"/>
            </w:tcBorders>
            <w:shd w:val="clear" w:color="auto" w:fill="auto"/>
            <w:noWrap/>
            <w:vAlign w:val="bottom"/>
            <w:hideMark/>
          </w:tcPr>
          <w:p w14:paraId="6AB2CCAC"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8" w:type="pct"/>
            <w:tcBorders>
              <w:top w:val="nil"/>
              <w:left w:val="nil"/>
              <w:bottom w:val="single" w:sz="4" w:space="0" w:color="auto"/>
              <w:right w:val="single" w:sz="4" w:space="0" w:color="auto"/>
            </w:tcBorders>
            <w:shd w:val="clear" w:color="auto" w:fill="auto"/>
            <w:noWrap/>
            <w:vAlign w:val="bottom"/>
            <w:hideMark/>
          </w:tcPr>
          <w:p w14:paraId="6862C1A4"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(3.674)</w:t>
            </w:r>
          </w:p>
        </w:tc>
      </w:tr>
      <w:tr w:rsidR="00F41043" w:rsidRPr="00F41043" w14:paraId="280032C2" w14:textId="77777777" w:rsidTr="00446A14">
        <w:trPr>
          <w:trHeight w:val="198"/>
        </w:trPr>
        <w:tc>
          <w:tcPr>
            <w:tcW w:w="2519" w:type="pct"/>
            <w:tcBorders>
              <w:top w:val="nil"/>
              <w:left w:val="single" w:sz="4" w:space="0" w:color="auto"/>
              <w:bottom w:val="single" w:sz="4" w:space="0" w:color="auto"/>
              <w:right w:val="single" w:sz="4" w:space="0" w:color="auto"/>
            </w:tcBorders>
            <w:shd w:val="clear" w:color="auto" w:fill="auto"/>
            <w:noWrap/>
            <w:vAlign w:val="bottom"/>
            <w:hideMark/>
          </w:tcPr>
          <w:p w14:paraId="66D80F47"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Perdas</w:t>
            </w:r>
          </w:p>
        </w:tc>
        <w:tc>
          <w:tcPr>
            <w:tcW w:w="547" w:type="pct"/>
            <w:tcBorders>
              <w:top w:val="nil"/>
              <w:left w:val="nil"/>
              <w:bottom w:val="single" w:sz="4" w:space="0" w:color="auto"/>
              <w:right w:val="single" w:sz="4" w:space="0" w:color="auto"/>
            </w:tcBorders>
            <w:shd w:val="clear" w:color="auto" w:fill="auto"/>
            <w:noWrap/>
            <w:vAlign w:val="bottom"/>
            <w:hideMark/>
          </w:tcPr>
          <w:p w14:paraId="09CEFF9F"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(350)</w:t>
            </w:r>
          </w:p>
        </w:tc>
        <w:tc>
          <w:tcPr>
            <w:tcW w:w="729" w:type="pct"/>
            <w:tcBorders>
              <w:top w:val="nil"/>
              <w:left w:val="nil"/>
              <w:bottom w:val="single" w:sz="4" w:space="0" w:color="auto"/>
              <w:right w:val="single" w:sz="4" w:space="0" w:color="auto"/>
            </w:tcBorders>
            <w:shd w:val="clear" w:color="auto" w:fill="auto"/>
            <w:noWrap/>
            <w:vAlign w:val="bottom"/>
            <w:hideMark/>
          </w:tcPr>
          <w:p w14:paraId="65312EA8"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7" w:type="pct"/>
            <w:tcBorders>
              <w:top w:val="nil"/>
              <w:left w:val="nil"/>
              <w:bottom w:val="single" w:sz="4" w:space="0" w:color="auto"/>
              <w:right w:val="single" w:sz="4" w:space="0" w:color="auto"/>
            </w:tcBorders>
            <w:shd w:val="clear" w:color="auto" w:fill="auto"/>
            <w:noWrap/>
            <w:vAlign w:val="bottom"/>
            <w:hideMark/>
          </w:tcPr>
          <w:p w14:paraId="2AD7D034"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8" w:type="pct"/>
            <w:tcBorders>
              <w:top w:val="nil"/>
              <w:left w:val="nil"/>
              <w:bottom w:val="single" w:sz="4" w:space="0" w:color="auto"/>
              <w:right w:val="single" w:sz="4" w:space="0" w:color="auto"/>
            </w:tcBorders>
            <w:shd w:val="clear" w:color="auto" w:fill="auto"/>
            <w:noWrap/>
            <w:vAlign w:val="bottom"/>
            <w:hideMark/>
          </w:tcPr>
          <w:p w14:paraId="345B2752"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(350)</w:t>
            </w:r>
          </w:p>
        </w:tc>
      </w:tr>
      <w:tr w:rsidR="00F41043" w:rsidRPr="00F41043" w14:paraId="1F3E2C63" w14:textId="77777777" w:rsidTr="00446A14">
        <w:trPr>
          <w:trHeight w:val="198"/>
        </w:trPr>
        <w:tc>
          <w:tcPr>
            <w:tcW w:w="2519" w:type="pct"/>
            <w:tcBorders>
              <w:top w:val="nil"/>
              <w:left w:val="single" w:sz="4" w:space="0" w:color="auto"/>
              <w:bottom w:val="single" w:sz="4" w:space="0" w:color="auto"/>
              <w:right w:val="single" w:sz="4" w:space="0" w:color="auto"/>
            </w:tcBorders>
            <w:shd w:val="clear" w:color="auto" w:fill="auto"/>
            <w:noWrap/>
            <w:vAlign w:val="bottom"/>
            <w:hideMark/>
          </w:tcPr>
          <w:p w14:paraId="2AA7F845"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Outras Despesas</w:t>
            </w:r>
          </w:p>
        </w:tc>
        <w:tc>
          <w:tcPr>
            <w:tcW w:w="547" w:type="pct"/>
            <w:tcBorders>
              <w:top w:val="nil"/>
              <w:left w:val="nil"/>
              <w:bottom w:val="single" w:sz="4" w:space="0" w:color="auto"/>
              <w:right w:val="single" w:sz="4" w:space="0" w:color="auto"/>
            </w:tcBorders>
            <w:shd w:val="clear" w:color="auto" w:fill="auto"/>
            <w:noWrap/>
            <w:vAlign w:val="bottom"/>
            <w:hideMark/>
          </w:tcPr>
          <w:p w14:paraId="08EC46F6"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(3.890)</w:t>
            </w:r>
          </w:p>
        </w:tc>
        <w:tc>
          <w:tcPr>
            <w:tcW w:w="729" w:type="pct"/>
            <w:tcBorders>
              <w:top w:val="nil"/>
              <w:left w:val="nil"/>
              <w:bottom w:val="single" w:sz="4" w:space="0" w:color="auto"/>
              <w:right w:val="single" w:sz="4" w:space="0" w:color="auto"/>
            </w:tcBorders>
            <w:shd w:val="clear" w:color="auto" w:fill="auto"/>
            <w:noWrap/>
            <w:vAlign w:val="bottom"/>
            <w:hideMark/>
          </w:tcPr>
          <w:p w14:paraId="6B6B0150"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7" w:type="pct"/>
            <w:tcBorders>
              <w:top w:val="nil"/>
              <w:left w:val="nil"/>
              <w:bottom w:val="single" w:sz="4" w:space="0" w:color="auto"/>
              <w:right w:val="single" w:sz="4" w:space="0" w:color="auto"/>
            </w:tcBorders>
            <w:shd w:val="clear" w:color="auto" w:fill="auto"/>
            <w:noWrap/>
            <w:vAlign w:val="bottom"/>
            <w:hideMark/>
          </w:tcPr>
          <w:p w14:paraId="031E51E0"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8" w:type="pct"/>
            <w:tcBorders>
              <w:top w:val="nil"/>
              <w:left w:val="nil"/>
              <w:bottom w:val="single" w:sz="4" w:space="0" w:color="auto"/>
              <w:right w:val="single" w:sz="4" w:space="0" w:color="auto"/>
            </w:tcBorders>
            <w:shd w:val="clear" w:color="auto" w:fill="auto"/>
            <w:noWrap/>
            <w:vAlign w:val="bottom"/>
            <w:hideMark/>
          </w:tcPr>
          <w:p w14:paraId="3D37C2EF"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(3.890)</w:t>
            </w:r>
          </w:p>
        </w:tc>
      </w:tr>
      <w:tr w:rsidR="00F41043" w:rsidRPr="00F41043" w14:paraId="12FC4909" w14:textId="77777777" w:rsidTr="00446A14">
        <w:trPr>
          <w:trHeight w:val="198"/>
        </w:trPr>
        <w:tc>
          <w:tcPr>
            <w:tcW w:w="2519" w:type="pct"/>
            <w:tcBorders>
              <w:top w:val="nil"/>
              <w:left w:val="single" w:sz="4" w:space="0" w:color="auto"/>
              <w:bottom w:val="single" w:sz="4" w:space="0" w:color="auto"/>
              <w:right w:val="single" w:sz="4" w:space="0" w:color="auto"/>
            </w:tcBorders>
            <w:shd w:val="clear" w:color="auto" w:fill="auto"/>
            <w:noWrap/>
            <w:vAlign w:val="bottom"/>
            <w:hideMark/>
          </w:tcPr>
          <w:p w14:paraId="2F39891D"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Valor Adicionado Bruto</w:t>
            </w:r>
          </w:p>
        </w:tc>
        <w:tc>
          <w:tcPr>
            <w:tcW w:w="547" w:type="pct"/>
            <w:tcBorders>
              <w:top w:val="nil"/>
              <w:left w:val="nil"/>
              <w:bottom w:val="single" w:sz="4" w:space="0" w:color="auto"/>
              <w:right w:val="single" w:sz="4" w:space="0" w:color="auto"/>
            </w:tcBorders>
            <w:shd w:val="clear" w:color="auto" w:fill="auto"/>
            <w:noWrap/>
            <w:vAlign w:val="bottom"/>
            <w:hideMark/>
          </w:tcPr>
          <w:p w14:paraId="4D4DEB63"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358.266 </w:t>
            </w:r>
          </w:p>
        </w:tc>
        <w:tc>
          <w:tcPr>
            <w:tcW w:w="729" w:type="pct"/>
            <w:tcBorders>
              <w:top w:val="nil"/>
              <w:left w:val="nil"/>
              <w:bottom w:val="single" w:sz="4" w:space="0" w:color="auto"/>
              <w:right w:val="single" w:sz="4" w:space="0" w:color="auto"/>
            </w:tcBorders>
            <w:shd w:val="clear" w:color="auto" w:fill="auto"/>
            <w:noWrap/>
            <w:vAlign w:val="bottom"/>
            <w:hideMark/>
          </w:tcPr>
          <w:p w14:paraId="414C043D"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(33.803)</w:t>
            </w:r>
          </w:p>
        </w:tc>
        <w:tc>
          <w:tcPr>
            <w:tcW w:w="547" w:type="pct"/>
            <w:tcBorders>
              <w:top w:val="nil"/>
              <w:left w:val="nil"/>
              <w:bottom w:val="single" w:sz="4" w:space="0" w:color="auto"/>
              <w:right w:val="single" w:sz="4" w:space="0" w:color="auto"/>
            </w:tcBorders>
            <w:shd w:val="clear" w:color="auto" w:fill="auto"/>
            <w:noWrap/>
            <w:vAlign w:val="bottom"/>
            <w:hideMark/>
          </w:tcPr>
          <w:p w14:paraId="1C4B78BF"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 </w:t>
            </w:r>
          </w:p>
        </w:tc>
        <w:tc>
          <w:tcPr>
            <w:tcW w:w="658" w:type="pct"/>
            <w:tcBorders>
              <w:top w:val="nil"/>
              <w:left w:val="nil"/>
              <w:bottom w:val="single" w:sz="4" w:space="0" w:color="auto"/>
              <w:right w:val="single" w:sz="4" w:space="0" w:color="auto"/>
            </w:tcBorders>
            <w:shd w:val="clear" w:color="auto" w:fill="auto"/>
            <w:noWrap/>
            <w:vAlign w:val="bottom"/>
            <w:hideMark/>
          </w:tcPr>
          <w:p w14:paraId="1663F009"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324.463 </w:t>
            </w:r>
          </w:p>
        </w:tc>
      </w:tr>
      <w:tr w:rsidR="00F41043" w:rsidRPr="00F41043" w14:paraId="17A2906F" w14:textId="77777777" w:rsidTr="00446A14">
        <w:trPr>
          <w:trHeight w:val="198"/>
        </w:trPr>
        <w:tc>
          <w:tcPr>
            <w:tcW w:w="2519" w:type="pct"/>
            <w:tcBorders>
              <w:top w:val="nil"/>
              <w:left w:val="single" w:sz="4" w:space="0" w:color="auto"/>
              <w:bottom w:val="single" w:sz="4" w:space="0" w:color="auto"/>
              <w:right w:val="single" w:sz="4" w:space="0" w:color="auto"/>
            </w:tcBorders>
            <w:shd w:val="clear" w:color="auto" w:fill="auto"/>
            <w:noWrap/>
            <w:vAlign w:val="bottom"/>
            <w:hideMark/>
          </w:tcPr>
          <w:p w14:paraId="738AA7D9"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Retenções</w:t>
            </w:r>
          </w:p>
        </w:tc>
        <w:tc>
          <w:tcPr>
            <w:tcW w:w="547" w:type="pct"/>
            <w:tcBorders>
              <w:top w:val="nil"/>
              <w:left w:val="nil"/>
              <w:bottom w:val="single" w:sz="4" w:space="0" w:color="auto"/>
              <w:right w:val="single" w:sz="4" w:space="0" w:color="auto"/>
            </w:tcBorders>
            <w:shd w:val="clear" w:color="auto" w:fill="auto"/>
            <w:noWrap/>
            <w:vAlign w:val="bottom"/>
            <w:hideMark/>
          </w:tcPr>
          <w:p w14:paraId="295617E9"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(254.336)</w:t>
            </w:r>
          </w:p>
        </w:tc>
        <w:tc>
          <w:tcPr>
            <w:tcW w:w="729" w:type="pct"/>
            <w:tcBorders>
              <w:top w:val="nil"/>
              <w:left w:val="nil"/>
              <w:bottom w:val="single" w:sz="4" w:space="0" w:color="auto"/>
              <w:right w:val="single" w:sz="4" w:space="0" w:color="auto"/>
            </w:tcBorders>
            <w:shd w:val="clear" w:color="auto" w:fill="auto"/>
            <w:noWrap/>
            <w:vAlign w:val="bottom"/>
            <w:hideMark/>
          </w:tcPr>
          <w:p w14:paraId="66E004A8"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 </w:t>
            </w:r>
          </w:p>
        </w:tc>
        <w:tc>
          <w:tcPr>
            <w:tcW w:w="547" w:type="pct"/>
            <w:tcBorders>
              <w:top w:val="nil"/>
              <w:left w:val="nil"/>
              <w:bottom w:val="single" w:sz="4" w:space="0" w:color="auto"/>
              <w:right w:val="single" w:sz="4" w:space="0" w:color="auto"/>
            </w:tcBorders>
            <w:shd w:val="clear" w:color="auto" w:fill="auto"/>
            <w:noWrap/>
            <w:vAlign w:val="bottom"/>
            <w:hideMark/>
          </w:tcPr>
          <w:p w14:paraId="3B1F9805"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 </w:t>
            </w:r>
          </w:p>
        </w:tc>
        <w:tc>
          <w:tcPr>
            <w:tcW w:w="658" w:type="pct"/>
            <w:tcBorders>
              <w:top w:val="nil"/>
              <w:left w:val="nil"/>
              <w:bottom w:val="single" w:sz="4" w:space="0" w:color="auto"/>
              <w:right w:val="single" w:sz="4" w:space="0" w:color="auto"/>
            </w:tcBorders>
            <w:shd w:val="clear" w:color="auto" w:fill="auto"/>
            <w:noWrap/>
            <w:vAlign w:val="bottom"/>
            <w:hideMark/>
          </w:tcPr>
          <w:p w14:paraId="4617BC60"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(254.336)</w:t>
            </w:r>
          </w:p>
        </w:tc>
      </w:tr>
      <w:tr w:rsidR="00F41043" w:rsidRPr="00F41043" w14:paraId="6A336206" w14:textId="77777777" w:rsidTr="00446A14">
        <w:trPr>
          <w:trHeight w:val="198"/>
        </w:trPr>
        <w:tc>
          <w:tcPr>
            <w:tcW w:w="2519" w:type="pct"/>
            <w:tcBorders>
              <w:top w:val="nil"/>
              <w:left w:val="single" w:sz="4" w:space="0" w:color="auto"/>
              <w:bottom w:val="single" w:sz="4" w:space="0" w:color="auto"/>
              <w:right w:val="single" w:sz="4" w:space="0" w:color="auto"/>
            </w:tcBorders>
            <w:shd w:val="clear" w:color="auto" w:fill="auto"/>
            <w:noWrap/>
            <w:vAlign w:val="bottom"/>
            <w:hideMark/>
          </w:tcPr>
          <w:p w14:paraId="528BB8D5"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Depreciação</w:t>
            </w:r>
          </w:p>
        </w:tc>
        <w:tc>
          <w:tcPr>
            <w:tcW w:w="547" w:type="pct"/>
            <w:tcBorders>
              <w:top w:val="nil"/>
              <w:left w:val="nil"/>
              <w:bottom w:val="single" w:sz="4" w:space="0" w:color="auto"/>
              <w:right w:val="single" w:sz="4" w:space="0" w:color="auto"/>
            </w:tcBorders>
            <w:shd w:val="clear" w:color="auto" w:fill="auto"/>
            <w:noWrap/>
            <w:vAlign w:val="bottom"/>
            <w:hideMark/>
          </w:tcPr>
          <w:p w14:paraId="553E9A4B"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(249.590)</w:t>
            </w:r>
          </w:p>
        </w:tc>
        <w:tc>
          <w:tcPr>
            <w:tcW w:w="729" w:type="pct"/>
            <w:tcBorders>
              <w:top w:val="nil"/>
              <w:left w:val="nil"/>
              <w:bottom w:val="single" w:sz="4" w:space="0" w:color="auto"/>
              <w:right w:val="single" w:sz="4" w:space="0" w:color="auto"/>
            </w:tcBorders>
            <w:shd w:val="clear" w:color="auto" w:fill="auto"/>
            <w:noWrap/>
            <w:vAlign w:val="bottom"/>
            <w:hideMark/>
          </w:tcPr>
          <w:p w14:paraId="5DB2240F"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7" w:type="pct"/>
            <w:tcBorders>
              <w:top w:val="nil"/>
              <w:left w:val="nil"/>
              <w:bottom w:val="single" w:sz="4" w:space="0" w:color="auto"/>
              <w:right w:val="single" w:sz="4" w:space="0" w:color="auto"/>
            </w:tcBorders>
            <w:shd w:val="clear" w:color="auto" w:fill="auto"/>
            <w:noWrap/>
            <w:vAlign w:val="bottom"/>
            <w:hideMark/>
          </w:tcPr>
          <w:p w14:paraId="161E341C"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8" w:type="pct"/>
            <w:tcBorders>
              <w:top w:val="nil"/>
              <w:left w:val="nil"/>
              <w:bottom w:val="single" w:sz="4" w:space="0" w:color="auto"/>
              <w:right w:val="single" w:sz="4" w:space="0" w:color="auto"/>
            </w:tcBorders>
            <w:shd w:val="clear" w:color="auto" w:fill="auto"/>
            <w:noWrap/>
            <w:vAlign w:val="bottom"/>
            <w:hideMark/>
          </w:tcPr>
          <w:p w14:paraId="1FC1D5CA"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(249.590)</w:t>
            </w:r>
          </w:p>
        </w:tc>
      </w:tr>
      <w:tr w:rsidR="00F41043" w:rsidRPr="00F41043" w14:paraId="1941C976" w14:textId="77777777" w:rsidTr="00446A14">
        <w:trPr>
          <w:trHeight w:val="198"/>
        </w:trPr>
        <w:tc>
          <w:tcPr>
            <w:tcW w:w="2519" w:type="pct"/>
            <w:tcBorders>
              <w:top w:val="nil"/>
              <w:left w:val="single" w:sz="4" w:space="0" w:color="auto"/>
              <w:bottom w:val="single" w:sz="4" w:space="0" w:color="auto"/>
              <w:right w:val="single" w:sz="4" w:space="0" w:color="auto"/>
            </w:tcBorders>
            <w:shd w:val="clear" w:color="auto" w:fill="auto"/>
            <w:noWrap/>
            <w:vAlign w:val="bottom"/>
            <w:hideMark/>
          </w:tcPr>
          <w:p w14:paraId="5044707F"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          Amortização</w:t>
            </w:r>
          </w:p>
        </w:tc>
        <w:tc>
          <w:tcPr>
            <w:tcW w:w="547" w:type="pct"/>
            <w:tcBorders>
              <w:top w:val="nil"/>
              <w:left w:val="nil"/>
              <w:bottom w:val="single" w:sz="4" w:space="0" w:color="auto"/>
              <w:right w:val="single" w:sz="4" w:space="0" w:color="auto"/>
            </w:tcBorders>
            <w:shd w:val="clear" w:color="auto" w:fill="auto"/>
            <w:noWrap/>
            <w:vAlign w:val="bottom"/>
            <w:hideMark/>
          </w:tcPr>
          <w:p w14:paraId="6C9C9CB0"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(4.746)</w:t>
            </w:r>
          </w:p>
        </w:tc>
        <w:tc>
          <w:tcPr>
            <w:tcW w:w="729" w:type="pct"/>
            <w:tcBorders>
              <w:top w:val="nil"/>
              <w:left w:val="nil"/>
              <w:bottom w:val="single" w:sz="4" w:space="0" w:color="auto"/>
              <w:right w:val="single" w:sz="4" w:space="0" w:color="auto"/>
            </w:tcBorders>
            <w:shd w:val="clear" w:color="auto" w:fill="auto"/>
            <w:noWrap/>
            <w:vAlign w:val="bottom"/>
            <w:hideMark/>
          </w:tcPr>
          <w:p w14:paraId="4F3402FF"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7" w:type="pct"/>
            <w:tcBorders>
              <w:top w:val="nil"/>
              <w:left w:val="nil"/>
              <w:bottom w:val="single" w:sz="4" w:space="0" w:color="auto"/>
              <w:right w:val="single" w:sz="4" w:space="0" w:color="auto"/>
            </w:tcBorders>
            <w:shd w:val="clear" w:color="auto" w:fill="auto"/>
            <w:noWrap/>
            <w:vAlign w:val="bottom"/>
            <w:hideMark/>
          </w:tcPr>
          <w:p w14:paraId="1963E29B"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8" w:type="pct"/>
            <w:tcBorders>
              <w:top w:val="nil"/>
              <w:left w:val="nil"/>
              <w:bottom w:val="single" w:sz="4" w:space="0" w:color="auto"/>
              <w:right w:val="single" w:sz="4" w:space="0" w:color="auto"/>
            </w:tcBorders>
            <w:shd w:val="clear" w:color="auto" w:fill="auto"/>
            <w:noWrap/>
            <w:vAlign w:val="bottom"/>
            <w:hideMark/>
          </w:tcPr>
          <w:p w14:paraId="27F9125A"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(4.746)</w:t>
            </w:r>
          </w:p>
        </w:tc>
      </w:tr>
      <w:tr w:rsidR="00F41043" w:rsidRPr="00F41043" w14:paraId="67E71633" w14:textId="77777777" w:rsidTr="00446A14">
        <w:trPr>
          <w:trHeight w:val="198"/>
        </w:trPr>
        <w:tc>
          <w:tcPr>
            <w:tcW w:w="2519" w:type="pct"/>
            <w:tcBorders>
              <w:top w:val="nil"/>
              <w:left w:val="single" w:sz="4" w:space="0" w:color="auto"/>
              <w:bottom w:val="single" w:sz="4" w:space="0" w:color="auto"/>
              <w:right w:val="single" w:sz="4" w:space="0" w:color="auto"/>
            </w:tcBorders>
            <w:shd w:val="clear" w:color="auto" w:fill="auto"/>
            <w:noWrap/>
            <w:vAlign w:val="bottom"/>
            <w:hideMark/>
          </w:tcPr>
          <w:p w14:paraId="0BDA6147"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Valor Adicionado Líquido Produzido</w:t>
            </w:r>
          </w:p>
        </w:tc>
        <w:tc>
          <w:tcPr>
            <w:tcW w:w="547" w:type="pct"/>
            <w:tcBorders>
              <w:top w:val="nil"/>
              <w:left w:val="nil"/>
              <w:bottom w:val="single" w:sz="4" w:space="0" w:color="auto"/>
              <w:right w:val="single" w:sz="4" w:space="0" w:color="auto"/>
            </w:tcBorders>
            <w:shd w:val="clear" w:color="auto" w:fill="auto"/>
            <w:noWrap/>
            <w:vAlign w:val="bottom"/>
            <w:hideMark/>
          </w:tcPr>
          <w:p w14:paraId="53D2971D"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103.930 </w:t>
            </w:r>
          </w:p>
        </w:tc>
        <w:tc>
          <w:tcPr>
            <w:tcW w:w="729" w:type="pct"/>
            <w:tcBorders>
              <w:top w:val="nil"/>
              <w:left w:val="nil"/>
              <w:bottom w:val="single" w:sz="4" w:space="0" w:color="auto"/>
              <w:right w:val="single" w:sz="4" w:space="0" w:color="auto"/>
            </w:tcBorders>
            <w:shd w:val="clear" w:color="auto" w:fill="auto"/>
            <w:noWrap/>
            <w:vAlign w:val="bottom"/>
            <w:hideMark/>
          </w:tcPr>
          <w:p w14:paraId="50FC27D3"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(33.803)</w:t>
            </w:r>
          </w:p>
        </w:tc>
        <w:tc>
          <w:tcPr>
            <w:tcW w:w="547" w:type="pct"/>
            <w:tcBorders>
              <w:top w:val="nil"/>
              <w:left w:val="nil"/>
              <w:bottom w:val="single" w:sz="4" w:space="0" w:color="auto"/>
              <w:right w:val="single" w:sz="4" w:space="0" w:color="auto"/>
            </w:tcBorders>
            <w:shd w:val="clear" w:color="auto" w:fill="auto"/>
            <w:noWrap/>
            <w:vAlign w:val="bottom"/>
            <w:hideMark/>
          </w:tcPr>
          <w:p w14:paraId="74909FE4"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 </w:t>
            </w:r>
          </w:p>
        </w:tc>
        <w:tc>
          <w:tcPr>
            <w:tcW w:w="658" w:type="pct"/>
            <w:tcBorders>
              <w:top w:val="nil"/>
              <w:left w:val="nil"/>
              <w:bottom w:val="single" w:sz="4" w:space="0" w:color="auto"/>
              <w:right w:val="single" w:sz="4" w:space="0" w:color="auto"/>
            </w:tcBorders>
            <w:shd w:val="clear" w:color="auto" w:fill="auto"/>
            <w:noWrap/>
            <w:vAlign w:val="bottom"/>
            <w:hideMark/>
          </w:tcPr>
          <w:p w14:paraId="6B52F0A7"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70.127 </w:t>
            </w:r>
          </w:p>
        </w:tc>
      </w:tr>
      <w:tr w:rsidR="00F41043" w:rsidRPr="00F41043" w14:paraId="0CE69397" w14:textId="77777777" w:rsidTr="00446A14">
        <w:trPr>
          <w:trHeight w:val="198"/>
        </w:trPr>
        <w:tc>
          <w:tcPr>
            <w:tcW w:w="2519" w:type="pct"/>
            <w:tcBorders>
              <w:top w:val="nil"/>
              <w:left w:val="single" w:sz="4" w:space="0" w:color="auto"/>
              <w:bottom w:val="single" w:sz="4" w:space="0" w:color="auto"/>
              <w:right w:val="single" w:sz="4" w:space="0" w:color="auto"/>
            </w:tcBorders>
            <w:shd w:val="clear" w:color="auto" w:fill="auto"/>
            <w:noWrap/>
            <w:vAlign w:val="bottom"/>
            <w:hideMark/>
          </w:tcPr>
          <w:p w14:paraId="274B9325"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Valor Adicionado Recebido em Transferência</w:t>
            </w:r>
          </w:p>
        </w:tc>
        <w:tc>
          <w:tcPr>
            <w:tcW w:w="547" w:type="pct"/>
            <w:tcBorders>
              <w:top w:val="nil"/>
              <w:left w:val="nil"/>
              <w:bottom w:val="single" w:sz="4" w:space="0" w:color="auto"/>
              <w:right w:val="single" w:sz="4" w:space="0" w:color="auto"/>
            </w:tcBorders>
            <w:shd w:val="clear" w:color="auto" w:fill="auto"/>
            <w:noWrap/>
            <w:vAlign w:val="bottom"/>
            <w:hideMark/>
          </w:tcPr>
          <w:p w14:paraId="1958CC82"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99.260 </w:t>
            </w:r>
          </w:p>
        </w:tc>
        <w:tc>
          <w:tcPr>
            <w:tcW w:w="729" w:type="pct"/>
            <w:tcBorders>
              <w:top w:val="nil"/>
              <w:left w:val="nil"/>
              <w:bottom w:val="single" w:sz="4" w:space="0" w:color="auto"/>
              <w:right w:val="single" w:sz="4" w:space="0" w:color="auto"/>
            </w:tcBorders>
            <w:shd w:val="clear" w:color="auto" w:fill="auto"/>
            <w:noWrap/>
            <w:vAlign w:val="bottom"/>
            <w:hideMark/>
          </w:tcPr>
          <w:p w14:paraId="7EAA5770"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 </w:t>
            </w:r>
          </w:p>
        </w:tc>
        <w:tc>
          <w:tcPr>
            <w:tcW w:w="547" w:type="pct"/>
            <w:tcBorders>
              <w:top w:val="nil"/>
              <w:left w:val="nil"/>
              <w:bottom w:val="single" w:sz="4" w:space="0" w:color="auto"/>
              <w:right w:val="single" w:sz="4" w:space="0" w:color="auto"/>
            </w:tcBorders>
            <w:shd w:val="clear" w:color="auto" w:fill="auto"/>
            <w:noWrap/>
            <w:vAlign w:val="bottom"/>
            <w:hideMark/>
          </w:tcPr>
          <w:p w14:paraId="67E95713"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 </w:t>
            </w:r>
          </w:p>
        </w:tc>
        <w:tc>
          <w:tcPr>
            <w:tcW w:w="658" w:type="pct"/>
            <w:tcBorders>
              <w:top w:val="nil"/>
              <w:left w:val="nil"/>
              <w:bottom w:val="single" w:sz="4" w:space="0" w:color="auto"/>
              <w:right w:val="single" w:sz="4" w:space="0" w:color="auto"/>
            </w:tcBorders>
            <w:shd w:val="clear" w:color="auto" w:fill="auto"/>
            <w:noWrap/>
            <w:vAlign w:val="bottom"/>
            <w:hideMark/>
          </w:tcPr>
          <w:p w14:paraId="7DBE699C"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99.260 </w:t>
            </w:r>
          </w:p>
        </w:tc>
      </w:tr>
      <w:tr w:rsidR="00F41043" w:rsidRPr="00F41043" w14:paraId="551DFD33" w14:textId="77777777" w:rsidTr="00446A14">
        <w:trPr>
          <w:trHeight w:val="198"/>
        </w:trPr>
        <w:tc>
          <w:tcPr>
            <w:tcW w:w="2519" w:type="pct"/>
            <w:tcBorders>
              <w:top w:val="nil"/>
              <w:left w:val="single" w:sz="4" w:space="0" w:color="auto"/>
              <w:bottom w:val="single" w:sz="4" w:space="0" w:color="auto"/>
              <w:right w:val="single" w:sz="4" w:space="0" w:color="auto"/>
            </w:tcBorders>
            <w:shd w:val="clear" w:color="auto" w:fill="auto"/>
            <w:noWrap/>
            <w:vAlign w:val="bottom"/>
            <w:hideMark/>
          </w:tcPr>
          <w:p w14:paraId="04B8BC89"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Resultado de Equivalência Patrimonial sobre Resultado</w:t>
            </w:r>
          </w:p>
        </w:tc>
        <w:tc>
          <w:tcPr>
            <w:tcW w:w="547" w:type="pct"/>
            <w:tcBorders>
              <w:top w:val="nil"/>
              <w:left w:val="nil"/>
              <w:bottom w:val="single" w:sz="4" w:space="0" w:color="auto"/>
              <w:right w:val="single" w:sz="4" w:space="0" w:color="auto"/>
            </w:tcBorders>
            <w:shd w:val="clear" w:color="auto" w:fill="auto"/>
            <w:noWrap/>
            <w:vAlign w:val="bottom"/>
            <w:hideMark/>
          </w:tcPr>
          <w:p w14:paraId="3E257B7B"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(6.273)</w:t>
            </w:r>
          </w:p>
        </w:tc>
        <w:tc>
          <w:tcPr>
            <w:tcW w:w="729" w:type="pct"/>
            <w:tcBorders>
              <w:top w:val="nil"/>
              <w:left w:val="nil"/>
              <w:bottom w:val="single" w:sz="4" w:space="0" w:color="auto"/>
              <w:right w:val="single" w:sz="4" w:space="0" w:color="auto"/>
            </w:tcBorders>
            <w:shd w:val="clear" w:color="auto" w:fill="auto"/>
            <w:noWrap/>
            <w:vAlign w:val="bottom"/>
            <w:hideMark/>
          </w:tcPr>
          <w:p w14:paraId="3EFF01DD"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7" w:type="pct"/>
            <w:tcBorders>
              <w:top w:val="nil"/>
              <w:left w:val="nil"/>
              <w:bottom w:val="single" w:sz="4" w:space="0" w:color="auto"/>
              <w:right w:val="single" w:sz="4" w:space="0" w:color="auto"/>
            </w:tcBorders>
            <w:shd w:val="clear" w:color="auto" w:fill="auto"/>
            <w:noWrap/>
            <w:vAlign w:val="bottom"/>
            <w:hideMark/>
          </w:tcPr>
          <w:p w14:paraId="57F74F81"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8" w:type="pct"/>
            <w:tcBorders>
              <w:top w:val="nil"/>
              <w:left w:val="nil"/>
              <w:bottom w:val="single" w:sz="4" w:space="0" w:color="auto"/>
              <w:right w:val="single" w:sz="4" w:space="0" w:color="auto"/>
            </w:tcBorders>
            <w:shd w:val="clear" w:color="auto" w:fill="auto"/>
            <w:noWrap/>
            <w:vAlign w:val="bottom"/>
            <w:hideMark/>
          </w:tcPr>
          <w:p w14:paraId="45B1E7FF"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(6.273)</w:t>
            </w:r>
          </w:p>
        </w:tc>
      </w:tr>
      <w:tr w:rsidR="00F41043" w:rsidRPr="00F41043" w14:paraId="4552FAB6" w14:textId="77777777" w:rsidTr="00446A14">
        <w:trPr>
          <w:trHeight w:val="198"/>
        </w:trPr>
        <w:tc>
          <w:tcPr>
            <w:tcW w:w="2519" w:type="pct"/>
            <w:tcBorders>
              <w:top w:val="nil"/>
              <w:left w:val="single" w:sz="4" w:space="0" w:color="auto"/>
              <w:bottom w:val="single" w:sz="4" w:space="0" w:color="auto"/>
              <w:right w:val="single" w:sz="4" w:space="0" w:color="auto"/>
            </w:tcBorders>
            <w:shd w:val="clear" w:color="auto" w:fill="auto"/>
            <w:noWrap/>
            <w:vAlign w:val="bottom"/>
            <w:hideMark/>
          </w:tcPr>
          <w:p w14:paraId="7A876604"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Receitas Financeiras</w:t>
            </w:r>
          </w:p>
        </w:tc>
        <w:tc>
          <w:tcPr>
            <w:tcW w:w="547" w:type="pct"/>
            <w:tcBorders>
              <w:top w:val="nil"/>
              <w:left w:val="nil"/>
              <w:bottom w:val="single" w:sz="4" w:space="0" w:color="auto"/>
              <w:right w:val="single" w:sz="4" w:space="0" w:color="auto"/>
            </w:tcBorders>
            <w:shd w:val="clear" w:color="auto" w:fill="auto"/>
            <w:noWrap/>
            <w:vAlign w:val="bottom"/>
            <w:hideMark/>
          </w:tcPr>
          <w:p w14:paraId="37619526"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45.588 </w:t>
            </w:r>
          </w:p>
        </w:tc>
        <w:tc>
          <w:tcPr>
            <w:tcW w:w="729" w:type="pct"/>
            <w:tcBorders>
              <w:top w:val="nil"/>
              <w:left w:val="nil"/>
              <w:bottom w:val="single" w:sz="4" w:space="0" w:color="auto"/>
              <w:right w:val="single" w:sz="4" w:space="0" w:color="auto"/>
            </w:tcBorders>
            <w:shd w:val="clear" w:color="auto" w:fill="auto"/>
            <w:noWrap/>
            <w:vAlign w:val="bottom"/>
            <w:hideMark/>
          </w:tcPr>
          <w:p w14:paraId="35A3A9A6"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7" w:type="pct"/>
            <w:tcBorders>
              <w:top w:val="nil"/>
              <w:left w:val="nil"/>
              <w:bottom w:val="single" w:sz="4" w:space="0" w:color="auto"/>
              <w:right w:val="single" w:sz="4" w:space="0" w:color="auto"/>
            </w:tcBorders>
            <w:shd w:val="clear" w:color="auto" w:fill="auto"/>
            <w:noWrap/>
            <w:vAlign w:val="bottom"/>
            <w:hideMark/>
          </w:tcPr>
          <w:p w14:paraId="62B00CC9"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8" w:type="pct"/>
            <w:tcBorders>
              <w:top w:val="nil"/>
              <w:left w:val="nil"/>
              <w:bottom w:val="single" w:sz="4" w:space="0" w:color="auto"/>
              <w:right w:val="single" w:sz="4" w:space="0" w:color="auto"/>
            </w:tcBorders>
            <w:shd w:val="clear" w:color="auto" w:fill="auto"/>
            <w:noWrap/>
            <w:vAlign w:val="bottom"/>
            <w:hideMark/>
          </w:tcPr>
          <w:p w14:paraId="16E75FCD"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45.588 </w:t>
            </w:r>
          </w:p>
        </w:tc>
      </w:tr>
      <w:tr w:rsidR="00F41043" w:rsidRPr="00F41043" w14:paraId="170AA63B" w14:textId="77777777" w:rsidTr="00446A14">
        <w:trPr>
          <w:trHeight w:val="198"/>
        </w:trPr>
        <w:tc>
          <w:tcPr>
            <w:tcW w:w="2519" w:type="pct"/>
            <w:tcBorders>
              <w:top w:val="nil"/>
              <w:left w:val="single" w:sz="4" w:space="0" w:color="auto"/>
              <w:bottom w:val="single" w:sz="4" w:space="0" w:color="auto"/>
              <w:right w:val="single" w:sz="4" w:space="0" w:color="auto"/>
            </w:tcBorders>
            <w:shd w:val="clear" w:color="auto" w:fill="auto"/>
            <w:noWrap/>
            <w:vAlign w:val="bottom"/>
            <w:hideMark/>
          </w:tcPr>
          <w:p w14:paraId="1B68FDA6"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Aluguéis</w:t>
            </w:r>
          </w:p>
        </w:tc>
        <w:tc>
          <w:tcPr>
            <w:tcW w:w="547" w:type="pct"/>
            <w:tcBorders>
              <w:top w:val="nil"/>
              <w:left w:val="nil"/>
              <w:bottom w:val="single" w:sz="4" w:space="0" w:color="auto"/>
              <w:right w:val="single" w:sz="4" w:space="0" w:color="auto"/>
            </w:tcBorders>
            <w:shd w:val="clear" w:color="auto" w:fill="auto"/>
            <w:noWrap/>
            <w:vAlign w:val="bottom"/>
            <w:hideMark/>
          </w:tcPr>
          <w:p w14:paraId="25D78181"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59.826 </w:t>
            </w:r>
          </w:p>
        </w:tc>
        <w:tc>
          <w:tcPr>
            <w:tcW w:w="729" w:type="pct"/>
            <w:tcBorders>
              <w:top w:val="nil"/>
              <w:left w:val="nil"/>
              <w:bottom w:val="single" w:sz="4" w:space="0" w:color="auto"/>
              <w:right w:val="single" w:sz="4" w:space="0" w:color="auto"/>
            </w:tcBorders>
            <w:shd w:val="clear" w:color="auto" w:fill="auto"/>
            <w:noWrap/>
            <w:vAlign w:val="bottom"/>
            <w:hideMark/>
          </w:tcPr>
          <w:p w14:paraId="578FEE2E"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7" w:type="pct"/>
            <w:tcBorders>
              <w:top w:val="nil"/>
              <w:left w:val="nil"/>
              <w:bottom w:val="single" w:sz="4" w:space="0" w:color="auto"/>
              <w:right w:val="single" w:sz="4" w:space="0" w:color="auto"/>
            </w:tcBorders>
            <w:shd w:val="clear" w:color="auto" w:fill="auto"/>
            <w:noWrap/>
            <w:vAlign w:val="bottom"/>
            <w:hideMark/>
          </w:tcPr>
          <w:p w14:paraId="47B13D04"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8" w:type="pct"/>
            <w:tcBorders>
              <w:top w:val="nil"/>
              <w:left w:val="nil"/>
              <w:bottom w:val="single" w:sz="4" w:space="0" w:color="auto"/>
              <w:right w:val="single" w:sz="4" w:space="0" w:color="auto"/>
            </w:tcBorders>
            <w:shd w:val="clear" w:color="auto" w:fill="auto"/>
            <w:noWrap/>
            <w:vAlign w:val="bottom"/>
            <w:hideMark/>
          </w:tcPr>
          <w:p w14:paraId="757EA847"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59.826 </w:t>
            </w:r>
          </w:p>
        </w:tc>
      </w:tr>
      <w:tr w:rsidR="00F41043" w:rsidRPr="00F41043" w14:paraId="20ED27F6" w14:textId="77777777" w:rsidTr="00446A14">
        <w:trPr>
          <w:trHeight w:val="198"/>
        </w:trPr>
        <w:tc>
          <w:tcPr>
            <w:tcW w:w="2519" w:type="pct"/>
            <w:tcBorders>
              <w:top w:val="nil"/>
              <w:left w:val="single" w:sz="4" w:space="0" w:color="auto"/>
              <w:bottom w:val="single" w:sz="4" w:space="0" w:color="auto"/>
              <w:right w:val="single" w:sz="4" w:space="0" w:color="auto"/>
            </w:tcBorders>
            <w:shd w:val="clear" w:color="auto" w:fill="auto"/>
            <w:noWrap/>
            <w:vAlign w:val="bottom"/>
            <w:hideMark/>
          </w:tcPr>
          <w:p w14:paraId="0E97D16B"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Dividendos</w:t>
            </w:r>
          </w:p>
        </w:tc>
        <w:tc>
          <w:tcPr>
            <w:tcW w:w="547" w:type="pct"/>
            <w:tcBorders>
              <w:top w:val="nil"/>
              <w:left w:val="nil"/>
              <w:bottom w:val="single" w:sz="4" w:space="0" w:color="auto"/>
              <w:right w:val="single" w:sz="4" w:space="0" w:color="auto"/>
            </w:tcBorders>
            <w:shd w:val="clear" w:color="auto" w:fill="auto"/>
            <w:noWrap/>
            <w:vAlign w:val="bottom"/>
            <w:hideMark/>
          </w:tcPr>
          <w:p w14:paraId="7149C13F"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119 </w:t>
            </w:r>
          </w:p>
        </w:tc>
        <w:tc>
          <w:tcPr>
            <w:tcW w:w="729" w:type="pct"/>
            <w:tcBorders>
              <w:top w:val="nil"/>
              <w:left w:val="nil"/>
              <w:bottom w:val="single" w:sz="4" w:space="0" w:color="auto"/>
              <w:right w:val="single" w:sz="4" w:space="0" w:color="auto"/>
            </w:tcBorders>
            <w:shd w:val="clear" w:color="auto" w:fill="auto"/>
            <w:noWrap/>
            <w:vAlign w:val="bottom"/>
            <w:hideMark/>
          </w:tcPr>
          <w:p w14:paraId="358783C0"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7" w:type="pct"/>
            <w:tcBorders>
              <w:top w:val="nil"/>
              <w:left w:val="nil"/>
              <w:bottom w:val="single" w:sz="4" w:space="0" w:color="auto"/>
              <w:right w:val="single" w:sz="4" w:space="0" w:color="auto"/>
            </w:tcBorders>
            <w:shd w:val="clear" w:color="auto" w:fill="auto"/>
            <w:noWrap/>
            <w:vAlign w:val="bottom"/>
            <w:hideMark/>
          </w:tcPr>
          <w:p w14:paraId="2AD62BF3"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8" w:type="pct"/>
            <w:tcBorders>
              <w:top w:val="nil"/>
              <w:left w:val="nil"/>
              <w:bottom w:val="single" w:sz="4" w:space="0" w:color="auto"/>
              <w:right w:val="single" w:sz="4" w:space="0" w:color="auto"/>
            </w:tcBorders>
            <w:shd w:val="clear" w:color="auto" w:fill="auto"/>
            <w:noWrap/>
            <w:vAlign w:val="bottom"/>
            <w:hideMark/>
          </w:tcPr>
          <w:p w14:paraId="7560E2E3"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119 </w:t>
            </w:r>
          </w:p>
        </w:tc>
      </w:tr>
      <w:tr w:rsidR="00F41043" w:rsidRPr="00F41043" w14:paraId="25304D02" w14:textId="77777777" w:rsidTr="00446A14">
        <w:trPr>
          <w:trHeight w:val="198"/>
        </w:trPr>
        <w:tc>
          <w:tcPr>
            <w:tcW w:w="2519" w:type="pct"/>
            <w:tcBorders>
              <w:top w:val="nil"/>
              <w:left w:val="single" w:sz="4" w:space="0" w:color="auto"/>
              <w:bottom w:val="single" w:sz="4" w:space="0" w:color="auto"/>
              <w:right w:val="single" w:sz="4" w:space="0" w:color="auto"/>
            </w:tcBorders>
            <w:shd w:val="clear" w:color="auto" w:fill="auto"/>
            <w:noWrap/>
            <w:vAlign w:val="bottom"/>
            <w:hideMark/>
          </w:tcPr>
          <w:p w14:paraId="4522C7D5"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Valor Adicionado Total a Distribuir</w:t>
            </w:r>
          </w:p>
        </w:tc>
        <w:tc>
          <w:tcPr>
            <w:tcW w:w="547" w:type="pct"/>
            <w:tcBorders>
              <w:top w:val="nil"/>
              <w:left w:val="nil"/>
              <w:bottom w:val="single" w:sz="4" w:space="0" w:color="auto"/>
              <w:right w:val="single" w:sz="4" w:space="0" w:color="auto"/>
            </w:tcBorders>
            <w:shd w:val="clear" w:color="auto" w:fill="auto"/>
            <w:noWrap/>
            <w:vAlign w:val="bottom"/>
            <w:hideMark/>
          </w:tcPr>
          <w:p w14:paraId="62590A72"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203.190 </w:t>
            </w:r>
          </w:p>
        </w:tc>
        <w:tc>
          <w:tcPr>
            <w:tcW w:w="729" w:type="pct"/>
            <w:tcBorders>
              <w:top w:val="nil"/>
              <w:left w:val="nil"/>
              <w:bottom w:val="single" w:sz="4" w:space="0" w:color="auto"/>
              <w:right w:val="single" w:sz="4" w:space="0" w:color="auto"/>
            </w:tcBorders>
            <w:shd w:val="clear" w:color="auto" w:fill="auto"/>
            <w:noWrap/>
            <w:vAlign w:val="bottom"/>
            <w:hideMark/>
          </w:tcPr>
          <w:p w14:paraId="0CF2AFFA"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(33.803)</w:t>
            </w:r>
          </w:p>
        </w:tc>
        <w:tc>
          <w:tcPr>
            <w:tcW w:w="547" w:type="pct"/>
            <w:tcBorders>
              <w:top w:val="nil"/>
              <w:left w:val="nil"/>
              <w:bottom w:val="single" w:sz="4" w:space="0" w:color="auto"/>
              <w:right w:val="single" w:sz="4" w:space="0" w:color="auto"/>
            </w:tcBorders>
            <w:shd w:val="clear" w:color="auto" w:fill="auto"/>
            <w:noWrap/>
            <w:vAlign w:val="bottom"/>
            <w:hideMark/>
          </w:tcPr>
          <w:p w14:paraId="5555C743"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 </w:t>
            </w:r>
          </w:p>
        </w:tc>
        <w:tc>
          <w:tcPr>
            <w:tcW w:w="658" w:type="pct"/>
            <w:tcBorders>
              <w:top w:val="nil"/>
              <w:left w:val="nil"/>
              <w:bottom w:val="single" w:sz="4" w:space="0" w:color="auto"/>
              <w:right w:val="single" w:sz="4" w:space="0" w:color="auto"/>
            </w:tcBorders>
            <w:shd w:val="clear" w:color="auto" w:fill="auto"/>
            <w:noWrap/>
            <w:vAlign w:val="bottom"/>
            <w:hideMark/>
          </w:tcPr>
          <w:p w14:paraId="56CA2D14"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169.387 </w:t>
            </w:r>
          </w:p>
        </w:tc>
      </w:tr>
      <w:tr w:rsidR="00F41043" w:rsidRPr="00F41043" w14:paraId="1C5E5456" w14:textId="77777777" w:rsidTr="00446A14">
        <w:trPr>
          <w:trHeight w:val="198"/>
        </w:trPr>
        <w:tc>
          <w:tcPr>
            <w:tcW w:w="2519" w:type="pct"/>
            <w:tcBorders>
              <w:top w:val="nil"/>
              <w:left w:val="single" w:sz="4" w:space="0" w:color="auto"/>
              <w:bottom w:val="single" w:sz="4" w:space="0" w:color="auto"/>
              <w:right w:val="single" w:sz="4" w:space="0" w:color="auto"/>
            </w:tcBorders>
            <w:shd w:val="clear" w:color="auto" w:fill="auto"/>
            <w:noWrap/>
            <w:vAlign w:val="bottom"/>
            <w:hideMark/>
          </w:tcPr>
          <w:p w14:paraId="4906F90D"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Distribuição do Valor Adicionado</w:t>
            </w:r>
          </w:p>
        </w:tc>
        <w:tc>
          <w:tcPr>
            <w:tcW w:w="547" w:type="pct"/>
            <w:tcBorders>
              <w:top w:val="nil"/>
              <w:left w:val="nil"/>
              <w:bottom w:val="single" w:sz="4" w:space="0" w:color="auto"/>
              <w:right w:val="single" w:sz="4" w:space="0" w:color="auto"/>
            </w:tcBorders>
            <w:shd w:val="clear" w:color="auto" w:fill="auto"/>
            <w:noWrap/>
            <w:vAlign w:val="bottom"/>
            <w:hideMark/>
          </w:tcPr>
          <w:p w14:paraId="2B8D51D3"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203.190 </w:t>
            </w:r>
          </w:p>
        </w:tc>
        <w:tc>
          <w:tcPr>
            <w:tcW w:w="729" w:type="pct"/>
            <w:tcBorders>
              <w:top w:val="nil"/>
              <w:left w:val="nil"/>
              <w:bottom w:val="single" w:sz="4" w:space="0" w:color="auto"/>
              <w:right w:val="single" w:sz="4" w:space="0" w:color="auto"/>
            </w:tcBorders>
            <w:shd w:val="clear" w:color="auto" w:fill="auto"/>
            <w:noWrap/>
            <w:vAlign w:val="bottom"/>
            <w:hideMark/>
          </w:tcPr>
          <w:p w14:paraId="6788C6EB"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 </w:t>
            </w:r>
          </w:p>
        </w:tc>
        <w:tc>
          <w:tcPr>
            <w:tcW w:w="547" w:type="pct"/>
            <w:tcBorders>
              <w:top w:val="nil"/>
              <w:left w:val="nil"/>
              <w:bottom w:val="single" w:sz="4" w:space="0" w:color="auto"/>
              <w:right w:val="single" w:sz="4" w:space="0" w:color="auto"/>
            </w:tcBorders>
            <w:shd w:val="clear" w:color="auto" w:fill="auto"/>
            <w:noWrap/>
            <w:vAlign w:val="bottom"/>
            <w:hideMark/>
          </w:tcPr>
          <w:p w14:paraId="05441937"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2.391 </w:t>
            </w:r>
          </w:p>
        </w:tc>
        <w:tc>
          <w:tcPr>
            <w:tcW w:w="658" w:type="pct"/>
            <w:tcBorders>
              <w:top w:val="nil"/>
              <w:left w:val="nil"/>
              <w:bottom w:val="single" w:sz="4" w:space="0" w:color="auto"/>
              <w:right w:val="single" w:sz="4" w:space="0" w:color="auto"/>
            </w:tcBorders>
            <w:shd w:val="clear" w:color="auto" w:fill="auto"/>
            <w:noWrap/>
            <w:vAlign w:val="bottom"/>
            <w:hideMark/>
          </w:tcPr>
          <w:p w14:paraId="2087FF6A"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169.387 </w:t>
            </w:r>
          </w:p>
        </w:tc>
      </w:tr>
      <w:tr w:rsidR="00F41043" w:rsidRPr="00F41043" w14:paraId="66D5513B" w14:textId="77777777" w:rsidTr="00446A14">
        <w:trPr>
          <w:trHeight w:val="198"/>
        </w:trPr>
        <w:tc>
          <w:tcPr>
            <w:tcW w:w="2519" w:type="pct"/>
            <w:tcBorders>
              <w:top w:val="nil"/>
              <w:left w:val="single" w:sz="4" w:space="0" w:color="auto"/>
              <w:bottom w:val="single" w:sz="4" w:space="0" w:color="auto"/>
              <w:right w:val="single" w:sz="4" w:space="0" w:color="auto"/>
            </w:tcBorders>
            <w:shd w:val="clear" w:color="auto" w:fill="auto"/>
            <w:noWrap/>
            <w:vAlign w:val="bottom"/>
            <w:hideMark/>
          </w:tcPr>
          <w:p w14:paraId="69D61E03" w14:textId="77777777" w:rsidR="00F41043" w:rsidRPr="00F41043" w:rsidRDefault="00F41043" w:rsidP="00F41043">
            <w:pPr>
              <w:spacing w:after="0" w:line="240" w:lineRule="auto"/>
              <w:ind w:firstLineChars="200" w:firstLine="281"/>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Empregados</w:t>
            </w:r>
          </w:p>
        </w:tc>
        <w:tc>
          <w:tcPr>
            <w:tcW w:w="547" w:type="pct"/>
            <w:tcBorders>
              <w:top w:val="nil"/>
              <w:left w:val="nil"/>
              <w:bottom w:val="single" w:sz="4" w:space="0" w:color="auto"/>
              <w:right w:val="single" w:sz="4" w:space="0" w:color="auto"/>
            </w:tcBorders>
            <w:shd w:val="clear" w:color="auto" w:fill="auto"/>
            <w:noWrap/>
            <w:vAlign w:val="bottom"/>
            <w:hideMark/>
          </w:tcPr>
          <w:p w14:paraId="564A50D3"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89.388 </w:t>
            </w:r>
          </w:p>
        </w:tc>
        <w:tc>
          <w:tcPr>
            <w:tcW w:w="729" w:type="pct"/>
            <w:tcBorders>
              <w:top w:val="nil"/>
              <w:left w:val="nil"/>
              <w:bottom w:val="single" w:sz="4" w:space="0" w:color="auto"/>
              <w:right w:val="single" w:sz="4" w:space="0" w:color="auto"/>
            </w:tcBorders>
            <w:shd w:val="clear" w:color="auto" w:fill="auto"/>
            <w:noWrap/>
            <w:vAlign w:val="bottom"/>
            <w:hideMark/>
          </w:tcPr>
          <w:p w14:paraId="7C0B9287"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 </w:t>
            </w:r>
          </w:p>
        </w:tc>
        <w:tc>
          <w:tcPr>
            <w:tcW w:w="547" w:type="pct"/>
            <w:tcBorders>
              <w:top w:val="nil"/>
              <w:left w:val="nil"/>
              <w:bottom w:val="single" w:sz="4" w:space="0" w:color="auto"/>
              <w:right w:val="single" w:sz="4" w:space="0" w:color="auto"/>
            </w:tcBorders>
            <w:shd w:val="clear" w:color="auto" w:fill="auto"/>
            <w:noWrap/>
            <w:vAlign w:val="bottom"/>
            <w:hideMark/>
          </w:tcPr>
          <w:p w14:paraId="63014A1D"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 </w:t>
            </w:r>
          </w:p>
        </w:tc>
        <w:tc>
          <w:tcPr>
            <w:tcW w:w="658" w:type="pct"/>
            <w:tcBorders>
              <w:top w:val="nil"/>
              <w:left w:val="nil"/>
              <w:bottom w:val="single" w:sz="4" w:space="0" w:color="auto"/>
              <w:right w:val="single" w:sz="4" w:space="0" w:color="auto"/>
            </w:tcBorders>
            <w:shd w:val="clear" w:color="auto" w:fill="auto"/>
            <w:noWrap/>
            <w:vAlign w:val="bottom"/>
            <w:hideMark/>
          </w:tcPr>
          <w:p w14:paraId="43852B27"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89.388 </w:t>
            </w:r>
          </w:p>
        </w:tc>
      </w:tr>
      <w:tr w:rsidR="00F41043" w:rsidRPr="00F41043" w14:paraId="27C1D1E8" w14:textId="77777777" w:rsidTr="00446A14">
        <w:trPr>
          <w:trHeight w:val="198"/>
        </w:trPr>
        <w:tc>
          <w:tcPr>
            <w:tcW w:w="2519" w:type="pct"/>
            <w:tcBorders>
              <w:top w:val="nil"/>
              <w:left w:val="single" w:sz="4" w:space="0" w:color="auto"/>
              <w:bottom w:val="single" w:sz="4" w:space="0" w:color="auto"/>
              <w:right w:val="single" w:sz="4" w:space="0" w:color="auto"/>
            </w:tcBorders>
            <w:shd w:val="clear" w:color="auto" w:fill="auto"/>
            <w:noWrap/>
            <w:vAlign w:val="bottom"/>
            <w:hideMark/>
          </w:tcPr>
          <w:p w14:paraId="209A2B03"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Remuneração Direta</w:t>
            </w:r>
          </w:p>
        </w:tc>
        <w:tc>
          <w:tcPr>
            <w:tcW w:w="547" w:type="pct"/>
            <w:tcBorders>
              <w:top w:val="nil"/>
              <w:left w:val="nil"/>
              <w:bottom w:val="single" w:sz="4" w:space="0" w:color="auto"/>
              <w:right w:val="single" w:sz="4" w:space="0" w:color="auto"/>
            </w:tcBorders>
            <w:shd w:val="clear" w:color="auto" w:fill="auto"/>
            <w:noWrap/>
            <w:vAlign w:val="bottom"/>
            <w:hideMark/>
          </w:tcPr>
          <w:p w14:paraId="5570DF1D"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55.036 </w:t>
            </w:r>
          </w:p>
        </w:tc>
        <w:tc>
          <w:tcPr>
            <w:tcW w:w="729" w:type="pct"/>
            <w:tcBorders>
              <w:top w:val="nil"/>
              <w:left w:val="nil"/>
              <w:bottom w:val="single" w:sz="4" w:space="0" w:color="auto"/>
              <w:right w:val="single" w:sz="4" w:space="0" w:color="auto"/>
            </w:tcBorders>
            <w:shd w:val="clear" w:color="auto" w:fill="auto"/>
            <w:noWrap/>
            <w:vAlign w:val="bottom"/>
            <w:hideMark/>
          </w:tcPr>
          <w:p w14:paraId="662C513F"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7" w:type="pct"/>
            <w:tcBorders>
              <w:top w:val="nil"/>
              <w:left w:val="nil"/>
              <w:bottom w:val="single" w:sz="4" w:space="0" w:color="auto"/>
              <w:right w:val="single" w:sz="4" w:space="0" w:color="auto"/>
            </w:tcBorders>
            <w:shd w:val="clear" w:color="auto" w:fill="auto"/>
            <w:noWrap/>
            <w:vAlign w:val="bottom"/>
            <w:hideMark/>
          </w:tcPr>
          <w:p w14:paraId="4D35C570"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8" w:type="pct"/>
            <w:tcBorders>
              <w:top w:val="nil"/>
              <w:left w:val="nil"/>
              <w:bottom w:val="single" w:sz="4" w:space="0" w:color="auto"/>
              <w:right w:val="single" w:sz="4" w:space="0" w:color="auto"/>
            </w:tcBorders>
            <w:shd w:val="clear" w:color="auto" w:fill="auto"/>
            <w:noWrap/>
            <w:vAlign w:val="bottom"/>
            <w:hideMark/>
          </w:tcPr>
          <w:p w14:paraId="22E43494"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55.036 </w:t>
            </w:r>
          </w:p>
        </w:tc>
      </w:tr>
      <w:tr w:rsidR="00F41043" w:rsidRPr="00F41043" w14:paraId="1FEA8568" w14:textId="77777777" w:rsidTr="00446A14">
        <w:trPr>
          <w:trHeight w:val="198"/>
        </w:trPr>
        <w:tc>
          <w:tcPr>
            <w:tcW w:w="2519" w:type="pct"/>
            <w:tcBorders>
              <w:top w:val="nil"/>
              <w:left w:val="single" w:sz="4" w:space="0" w:color="auto"/>
              <w:bottom w:val="single" w:sz="4" w:space="0" w:color="auto"/>
              <w:right w:val="single" w:sz="4" w:space="0" w:color="auto"/>
            </w:tcBorders>
            <w:shd w:val="clear" w:color="auto" w:fill="auto"/>
            <w:noWrap/>
            <w:vAlign w:val="bottom"/>
            <w:hideMark/>
          </w:tcPr>
          <w:p w14:paraId="519E7757"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FGTS</w:t>
            </w:r>
          </w:p>
        </w:tc>
        <w:tc>
          <w:tcPr>
            <w:tcW w:w="547" w:type="pct"/>
            <w:tcBorders>
              <w:top w:val="nil"/>
              <w:left w:val="nil"/>
              <w:bottom w:val="single" w:sz="4" w:space="0" w:color="auto"/>
              <w:right w:val="single" w:sz="4" w:space="0" w:color="auto"/>
            </w:tcBorders>
            <w:shd w:val="clear" w:color="auto" w:fill="auto"/>
            <w:noWrap/>
            <w:vAlign w:val="bottom"/>
            <w:hideMark/>
          </w:tcPr>
          <w:p w14:paraId="47551813"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5.153 </w:t>
            </w:r>
          </w:p>
        </w:tc>
        <w:tc>
          <w:tcPr>
            <w:tcW w:w="729" w:type="pct"/>
            <w:tcBorders>
              <w:top w:val="nil"/>
              <w:left w:val="nil"/>
              <w:bottom w:val="single" w:sz="4" w:space="0" w:color="auto"/>
              <w:right w:val="single" w:sz="4" w:space="0" w:color="auto"/>
            </w:tcBorders>
            <w:shd w:val="clear" w:color="auto" w:fill="auto"/>
            <w:noWrap/>
            <w:vAlign w:val="bottom"/>
            <w:hideMark/>
          </w:tcPr>
          <w:p w14:paraId="26897815"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7" w:type="pct"/>
            <w:tcBorders>
              <w:top w:val="nil"/>
              <w:left w:val="nil"/>
              <w:bottom w:val="single" w:sz="4" w:space="0" w:color="auto"/>
              <w:right w:val="single" w:sz="4" w:space="0" w:color="auto"/>
            </w:tcBorders>
            <w:shd w:val="clear" w:color="auto" w:fill="auto"/>
            <w:noWrap/>
            <w:vAlign w:val="bottom"/>
            <w:hideMark/>
          </w:tcPr>
          <w:p w14:paraId="02D075AE"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8" w:type="pct"/>
            <w:tcBorders>
              <w:top w:val="nil"/>
              <w:left w:val="nil"/>
              <w:bottom w:val="single" w:sz="4" w:space="0" w:color="auto"/>
              <w:right w:val="single" w:sz="4" w:space="0" w:color="auto"/>
            </w:tcBorders>
            <w:shd w:val="clear" w:color="auto" w:fill="auto"/>
            <w:noWrap/>
            <w:vAlign w:val="bottom"/>
            <w:hideMark/>
          </w:tcPr>
          <w:p w14:paraId="123F4298"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5.153 </w:t>
            </w:r>
          </w:p>
        </w:tc>
      </w:tr>
      <w:tr w:rsidR="00F41043" w:rsidRPr="00F41043" w14:paraId="0929A8C9" w14:textId="77777777" w:rsidTr="00446A14">
        <w:trPr>
          <w:trHeight w:val="198"/>
        </w:trPr>
        <w:tc>
          <w:tcPr>
            <w:tcW w:w="2519" w:type="pct"/>
            <w:tcBorders>
              <w:top w:val="nil"/>
              <w:left w:val="single" w:sz="4" w:space="0" w:color="auto"/>
              <w:bottom w:val="single" w:sz="4" w:space="0" w:color="auto"/>
              <w:right w:val="single" w:sz="4" w:space="0" w:color="auto"/>
            </w:tcBorders>
            <w:shd w:val="clear" w:color="auto" w:fill="auto"/>
            <w:noWrap/>
            <w:vAlign w:val="bottom"/>
            <w:hideMark/>
          </w:tcPr>
          <w:p w14:paraId="030CBC81"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Benefícios Sociais</w:t>
            </w:r>
          </w:p>
        </w:tc>
        <w:tc>
          <w:tcPr>
            <w:tcW w:w="547" w:type="pct"/>
            <w:tcBorders>
              <w:top w:val="nil"/>
              <w:left w:val="nil"/>
              <w:bottom w:val="single" w:sz="4" w:space="0" w:color="auto"/>
              <w:right w:val="single" w:sz="4" w:space="0" w:color="auto"/>
            </w:tcBorders>
            <w:shd w:val="clear" w:color="auto" w:fill="auto"/>
            <w:noWrap/>
            <w:vAlign w:val="bottom"/>
            <w:hideMark/>
          </w:tcPr>
          <w:p w14:paraId="1AA84C8D"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11.284 </w:t>
            </w:r>
          </w:p>
        </w:tc>
        <w:tc>
          <w:tcPr>
            <w:tcW w:w="729" w:type="pct"/>
            <w:tcBorders>
              <w:top w:val="nil"/>
              <w:left w:val="nil"/>
              <w:bottom w:val="single" w:sz="4" w:space="0" w:color="auto"/>
              <w:right w:val="single" w:sz="4" w:space="0" w:color="auto"/>
            </w:tcBorders>
            <w:shd w:val="clear" w:color="auto" w:fill="auto"/>
            <w:noWrap/>
            <w:vAlign w:val="bottom"/>
            <w:hideMark/>
          </w:tcPr>
          <w:p w14:paraId="458D6CBB"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7" w:type="pct"/>
            <w:tcBorders>
              <w:top w:val="nil"/>
              <w:left w:val="nil"/>
              <w:bottom w:val="single" w:sz="4" w:space="0" w:color="auto"/>
              <w:right w:val="single" w:sz="4" w:space="0" w:color="auto"/>
            </w:tcBorders>
            <w:shd w:val="clear" w:color="auto" w:fill="auto"/>
            <w:noWrap/>
            <w:vAlign w:val="bottom"/>
            <w:hideMark/>
          </w:tcPr>
          <w:p w14:paraId="5D91128E"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8" w:type="pct"/>
            <w:tcBorders>
              <w:top w:val="nil"/>
              <w:left w:val="nil"/>
              <w:bottom w:val="single" w:sz="4" w:space="0" w:color="auto"/>
              <w:right w:val="single" w:sz="4" w:space="0" w:color="auto"/>
            </w:tcBorders>
            <w:shd w:val="clear" w:color="auto" w:fill="auto"/>
            <w:noWrap/>
            <w:vAlign w:val="bottom"/>
            <w:hideMark/>
          </w:tcPr>
          <w:p w14:paraId="2181BC83"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11.284 </w:t>
            </w:r>
          </w:p>
        </w:tc>
      </w:tr>
      <w:tr w:rsidR="00F41043" w:rsidRPr="00F41043" w14:paraId="22EFE2D1" w14:textId="77777777" w:rsidTr="00446A14">
        <w:trPr>
          <w:trHeight w:val="198"/>
        </w:trPr>
        <w:tc>
          <w:tcPr>
            <w:tcW w:w="2519" w:type="pct"/>
            <w:tcBorders>
              <w:top w:val="nil"/>
              <w:left w:val="single" w:sz="4" w:space="0" w:color="auto"/>
              <w:bottom w:val="single" w:sz="4" w:space="0" w:color="auto"/>
              <w:right w:val="single" w:sz="4" w:space="0" w:color="auto"/>
            </w:tcBorders>
            <w:shd w:val="clear" w:color="auto" w:fill="auto"/>
            <w:noWrap/>
            <w:vAlign w:val="bottom"/>
            <w:hideMark/>
          </w:tcPr>
          <w:p w14:paraId="1E3CED88"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Outros Encargos Sociais</w:t>
            </w:r>
          </w:p>
        </w:tc>
        <w:tc>
          <w:tcPr>
            <w:tcW w:w="547" w:type="pct"/>
            <w:tcBorders>
              <w:top w:val="nil"/>
              <w:left w:val="nil"/>
              <w:bottom w:val="single" w:sz="4" w:space="0" w:color="auto"/>
              <w:right w:val="single" w:sz="4" w:space="0" w:color="auto"/>
            </w:tcBorders>
            <w:shd w:val="clear" w:color="auto" w:fill="auto"/>
            <w:noWrap/>
            <w:vAlign w:val="bottom"/>
            <w:hideMark/>
          </w:tcPr>
          <w:p w14:paraId="22712AF6"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16.246 </w:t>
            </w:r>
          </w:p>
        </w:tc>
        <w:tc>
          <w:tcPr>
            <w:tcW w:w="729" w:type="pct"/>
            <w:tcBorders>
              <w:top w:val="nil"/>
              <w:left w:val="nil"/>
              <w:bottom w:val="single" w:sz="4" w:space="0" w:color="auto"/>
              <w:right w:val="single" w:sz="4" w:space="0" w:color="auto"/>
            </w:tcBorders>
            <w:shd w:val="clear" w:color="auto" w:fill="auto"/>
            <w:noWrap/>
            <w:vAlign w:val="bottom"/>
            <w:hideMark/>
          </w:tcPr>
          <w:p w14:paraId="6A89EDD1"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7" w:type="pct"/>
            <w:tcBorders>
              <w:top w:val="nil"/>
              <w:left w:val="nil"/>
              <w:bottom w:val="single" w:sz="4" w:space="0" w:color="auto"/>
              <w:right w:val="single" w:sz="4" w:space="0" w:color="auto"/>
            </w:tcBorders>
            <w:shd w:val="clear" w:color="auto" w:fill="auto"/>
            <w:noWrap/>
            <w:vAlign w:val="bottom"/>
            <w:hideMark/>
          </w:tcPr>
          <w:p w14:paraId="48754B95"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8" w:type="pct"/>
            <w:tcBorders>
              <w:top w:val="nil"/>
              <w:left w:val="nil"/>
              <w:bottom w:val="single" w:sz="4" w:space="0" w:color="auto"/>
              <w:right w:val="single" w:sz="4" w:space="0" w:color="auto"/>
            </w:tcBorders>
            <w:shd w:val="clear" w:color="auto" w:fill="auto"/>
            <w:noWrap/>
            <w:vAlign w:val="bottom"/>
            <w:hideMark/>
          </w:tcPr>
          <w:p w14:paraId="56E1791B"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16.246 </w:t>
            </w:r>
          </w:p>
        </w:tc>
      </w:tr>
      <w:tr w:rsidR="00F41043" w:rsidRPr="00F41043" w14:paraId="3EFA134B" w14:textId="77777777" w:rsidTr="00446A14">
        <w:trPr>
          <w:trHeight w:val="198"/>
        </w:trPr>
        <w:tc>
          <w:tcPr>
            <w:tcW w:w="2519" w:type="pct"/>
            <w:tcBorders>
              <w:top w:val="nil"/>
              <w:left w:val="single" w:sz="4" w:space="0" w:color="auto"/>
              <w:bottom w:val="single" w:sz="4" w:space="0" w:color="auto"/>
              <w:right w:val="single" w:sz="4" w:space="0" w:color="auto"/>
            </w:tcBorders>
            <w:shd w:val="clear" w:color="auto" w:fill="auto"/>
            <w:noWrap/>
            <w:vAlign w:val="bottom"/>
            <w:hideMark/>
          </w:tcPr>
          <w:p w14:paraId="67DD35E1"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Programa de Indenização por Serviços Prestados</w:t>
            </w:r>
          </w:p>
        </w:tc>
        <w:tc>
          <w:tcPr>
            <w:tcW w:w="547" w:type="pct"/>
            <w:tcBorders>
              <w:top w:val="nil"/>
              <w:left w:val="nil"/>
              <w:bottom w:val="single" w:sz="4" w:space="0" w:color="auto"/>
              <w:right w:val="single" w:sz="4" w:space="0" w:color="auto"/>
            </w:tcBorders>
            <w:shd w:val="clear" w:color="auto" w:fill="auto"/>
            <w:noWrap/>
            <w:vAlign w:val="bottom"/>
            <w:hideMark/>
          </w:tcPr>
          <w:p w14:paraId="2C68DD4B"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785 </w:t>
            </w:r>
          </w:p>
        </w:tc>
        <w:tc>
          <w:tcPr>
            <w:tcW w:w="729" w:type="pct"/>
            <w:tcBorders>
              <w:top w:val="nil"/>
              <w:left w:val="nil"/>
              <w:bottom w:val="single" w:sz="4" w:space="0" w:color="auto"/>
              <w:right w:val="single" w:sz="4" w:space="0" w:color="auto"/>
            </w:tcBorders>
            <w:shd w:val="clear" w:color="auto" w:fill="auto"/>
            <w:noWrap/>
            <w:vAlign w:val="bottom"/>
            <w:hideMark/>
          </w:tcPr>
          <w:p w14:paraId="4DFE56F1"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7" w:type="pct"/>
            <w:tcBorders>
              <w:top w:val="nil"/>
              <w:left w:val="nil"/>
              <w:bottom w:val="single" w:sz="4" w:space="0" w:color="auto"/>
              <w:right w:val="single" w:sz="4" w:space="0" w:color="auto"/>
            </w:tcBorders>
            <w:shd w:val="clear" w:color="auto" w:fill="auto"/>
            <w:noWrap/>
            <w:vAlign w:val="bottom"/>
            <w:hideMark/>
          </w:tcPr>
          <w:p w14:paraId="315A4D71"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8" w:type="pct"/>
            <w:tcBorders>
              <w:top w:val="nil"/>
              <w:left w:val="nil"/>
              <w:bottom w:val="single" w:sz="4" w:space="0" w:color="auto"/>
              <w:right w:val="single" w:sz="4" w:space="0" w:color="auto"/>
            </w:tcBorders>
            <w:shd w:val="clear" w:color="auto" w:fill="auto"/>
            <w:noWrap/>
            <w:vAlign w:val="bottom"/>
            <w:hideMark/>
          </w:tcPr>
          <w:p w14:paraId="7059C57C"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785 </w:t>
            </w:r>
          </w:p>
        </w:tc>
      </w:tr>
      <w:tr w:rsidR="00F41043" w:rsidRPr="00F41043" w14:paraId="5DDF633B" w14:textId="77777777" w:rsidTr="00446A14">
        <w:trPr>
          <w:trHeight w:val="198"/>
        </w:trPr>
        <w:tc>
          <w:tcPr>
            <w:tcW w:w="2519" w:type="pct"/>
            <w:tcBorders>
              <w:top w:val="nil"/>
              <w:left w:val="single" w:sz="4" w:space="0" w:color="auto"/>
              <w:bottom w:val="single" w:sz="4" w:space="0" w:color="auto"/>
              <w:right w:val="single" w:sz="4" w:space="0" w:color="auto"/>
            </w:tcBorders>
            <w:shd w:val="clear" w:color="auto" w:fill="auto"/>
            <w:noWrap/>
            <w:vAlign w:val="bottom"/>
            <w:hideMark/>
          </w:tcPr>
          <w:p w14:paraId="1AC2F7CB"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Mão-de-Obra Temporária - Serviços Prestados - PF</w:t>
            </w:r>
          </w:p>
        </w:tc>
        <w:tc>
          <w:tcPr>
            <w:tcW w:w="547" w:type="pct"/>
            <w:tcBorders>
              <w:top w:val="nil"/>
              <w:left w:val="nil"/>
              <w:bottom w:val="single" w:sz="4" w:space="0" w:color="auto"/>
              <w:right w:val="single" w:sz="4" w:space="0" w:color="auto"/>
            </w:tcBorders>
            <w:shd w:val="clear" w:color="auto" w:fill="auto"/>
            <w:noWrap/>
            <w:vAlign w:val="bottom"/>
            <w:hideMark/>
          </w:tcPr>
          <w:p w14:paraId="44A8EE87"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884 </w:t>
            </w:r>
          </w:p>
        </w:tc>
        <w:tc>
          <w:tcPr>
            <w:tcW w:w="729" w:type="pct"/>
            <w:tcBorders>
              <w:top w:val="nil"/>
              <w:left w:val="nil"/>
              <w:bottom w:val="single" w:sz="4" w:space="0" w:color="auto"/>
              <w:right w:val="single" w:sz="4" w:space="0" w:color="auto"/>
            </w:tcBorders>
            <w:shd w:val="clear" w:color="auto" w:fill="auto"/>
            <w:noWrap/>
            <w:vAlign w:val="bottom"/>
            <w:hideMark/>
          </w:tcPr>
          <w:p w14:paraId="1FD38B55"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7" w:type="pct"/>
            <w:tcBorders>
              <w:top w:val="nil"/>
              <w:left w:val="nil"/>
              <w:bottom w:val="single" w:sz="4" w:space="0" w:color="auto"/>
              <w:right w:val="single" w:sz="4" w:space="0" w:color="auto"/>
            </w:tcBorders>
            <w:shd w:val="clear" w:color="auto" w:fill="auto"/>
            <w:noWrap/>
            <w:vAlign w:val="bottom"/>
            <w:hideMark/>
          </w:tcPr>
          <w:p w14:paraId="11951100"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8" w:type="pct"/>
            <w:tcBorders>
              <w:top w:val="nil"/>
              <w:left w:val="nil"/>
              <w:bottom w:val="single" w:sz="4" w:space="0" w:color="auto"/>
              <w:right w:val="single" w:sz="4" w:space="0" w:color="auto"/>
            </w:tcBorders>
            <w:shd w:val="clear" w:color="auto" w:fill="auto"/>
            <w:noWrap/>
            <w:vAlign w:val="bottom"/>
            <w:hideMark/>
          </w:tcPr>
          <w:p w14:paraId="1EB9EDAA"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884 </w:t>
            </w:r>
          </w:p>
        </w:tc>
      </w:tr>
      <w:tr w:rsidR="00F41043" w:rsidRPr="00F41043" w14:paraId="1D3C1FE2" w14:textId="77777777" w:rsidTr="00446A14">
        <w:trPr>
          <w:trHeight w:val="198"/>
        </w:trPr>
        <w:tc>
          <w:tcPr>
            <w:tcW w:w="2519" w:type="pct"/>
            <w:tcBorders>
              <w:top w:val="nil"/>
              <w:left w:val="single" w:sz="4" w:space="0" w:color="auto"/>
              <w:bottom w:val="single" w:sz="4" w:space="0" w:color="auto"/>
              <w:right w:val="single" w:sz="4" w:space="0" w:color="auto"/>
            </w:tcBorders>
            <w:shd w:val="clear" w:color="auto" w:fill="auto"/>
            <w:noWrap/>
            <w:vAlign w:val="bottom"/>
            <w:hideMark/>
          </w:tcPr>
          <w:p w14:paraId="5DEEAB6B" w14:textId="77777777" w:rsidR="00F41043" w:rsidRPr="00F41043" w:rsidRDefault="00F41043" w:rsidP="00F41043">
            <w:pPr>
              <w:spacing w:after="0" w:line="240" w:lineRule="auto"/>
              <w:ind w:firstLineChars="200" w:firstLine="281"/>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Impostos, Taxas e Contribuições</w:t>
            </w:r>
          </w:p>
        </w:tc>
        <w:tc>
          <w:tcPr>
            <w:tcW w:w="547" w:type="pct"/>
            <w:tcBorders>
              <w:top w:val="nil"/>
              <w:left w:val="nil"/>
              <w:bottom w:val="single" w:sz="4" w:space="0" w:color="auto"/>
              <w:right w:val="single" w:sz="4" w:space="0" w:color="auto"/>
            </w:tcBorders>
            <w:shd w:val="clear" w:color="auto" w:fill="auto"/>
            <w:noWrap/>
            <w:vAlign w:val="bottom"/>
            <w:hideMark/>
          </w:tcPr>
          <w:p w14:paraId="283311AC"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79.605 </w:t>
            </w:r>
          </w:p>
        </w:tc>
        <w:tc>
          <w:tcPr>
            <w:tcW w:w="729" w:type="pct"/>
            <w:tcBorders>
              <w:top w:val="nil"/>
              <w:left w:val="nil"/>
              <w:bottom w:val="single" w:sz="4" w:space="0" w:color="auto"/>
              <w:right w:val="single" w:sz="4" w:space="0" w:color="auto"/>
            </w:tcBorders>
            <w:shd w:val="clear" w:color="auto" w:fill="auto"/>
            <w:noWrap/>
            <w:vAlign w:val="bottom"/>
            <w:hideMark/>
          </w:tcPr>
          <w:p w14:paraId="4A39B93E"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 </w:t>
            </w:r>
          </w:p>
        </w:tc>
        <w:tc>
          <w:tcPr>
            <w:tcW w:w="547" w:type="pct"/>
            <w:tcBorders>
              <w:top w:val="nil"/>
              <w:left w:val="nil"/>
              <w:bottom w:val="single" w:sz="4" w:space="0" w:color="auto"/>
              <w:right w:val="single" w:sz="4" w:space="0" w:color="auto"/>
            </w:tcBorders>
            <w:shd w:val="clear" w:color="auto" w:fill="auto"/>
            <w:noWrap/>
            <w:vAlign w:val="bottom"/>
            <w:hideMark/>
          </w:tcPr>
          <w:p w14:paraId="23845D7C"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 </w:t>
            </w:r>
          </w:p>
        </w:tc>
        <w:tc>
          <w:tcPr>
            <w:tcW w:w="658" w:type="pct"/>
            <w:tcBorders>
              <w:top w:val="nil"/>
              <w:left w:val="nil"/>
              <w:bottom w:val="single" w:sz="4" w:space="0" w:color="auto"/>
              <w:right w:val="single" w:sz="4" w:space="0" w:color="auto"/>
            </w:tcBorders>
            <w:shd w:val="clear" w:color="auto" w:fill="auto"/>
            <w:noWrap/>
            <w:vAlign w:val="bottom"/>
            <w:hideMark/>
          </w:tcPr>
          <w:p w14:paraId="28032F59"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79.605 </w:t>
            </w:r>
          </w:p>
        </w:tc>
      </w:tr>
      <w:tr w:rsidR="00F41043" w:rsidRPr="00F41043" w14:paraId="7FF7CECA" w14:textId="77777777" w:rsidTr="00446A14">
        <w:trPr>
          <w:trHeight w:val="198"/>
        </w:trPr>
        <w:tc>
          <w:tcPr>
            <w:tcW w:w="2519" w:type="pct"/>
            <w:tcBorders>
              <w:top w:val="nil"/>
              <w:left w:val="single" w:sz="4" w:space="0" w:color="auto"/>
              <w:bottom w:val="single" w:sz="4" w:space="0" w:color="auto"/>
              <w:right w:val="single" w:sz="4" w:space="0" w:color="auto"/>
            </w:tcBorders>
            <w:shd w:val="clear" w:color="auto" w:fill="auto"/>
            <w:noWrap/>
            <w:vAlign w:val="bottom"/>
            <w:hideMark/>
          </w:tcPr>
          <w:p w14:paraId="269FDD92"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Federais</w:t>
            </w:r>
          </w:p>
        </w:tc>
        <w:tc>
          <w:tcPr>
            <w:tcW w:w="547" w:type="pct"/>
            <w:tcBorders>
              <w:top w:val="nil"/>
              <w:left w:val="nil"/>
              <w:bottom w:val="single" w:sz="4" w:space="0" w:color="auto"/>
              <w:right w:val="single" w:sz="4" w:space="0" w:color="auto"/>
            </w:tcBorders>
            <w:shd w:val="clear" w:color="auto" w:fill="auto"/>
            <w:noWrap/>
            <w:vAlign w:val="bottom"/>
            <w:hideMark/>
          </w:tcPr>
          <w:p w14:paraId="5E03F3EB"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22.368 </w:t>
            </w:r>
          </w:p>
        </w:tc>
        <w:tc>
          <w:tcPr>
            <w:tcW w:w="729" w:type="pct"/>
            <w:tcBorders>
              <w:top w:val="nil"/>
              <w:left w:val="nil"/>
              <w:bottom w:val="single" w:sz="4" w:space="0" w:color="auto"/>
              <w:right w:val="single" w:sz="4" w:space="0" w:color="auto"/>
            </w:tcBorders>
            <w:shd w:val="clear" w:color="auto" w:fill="auto"/>
            <w:noWrap/>
            <w:vAlign w:val="bottom"/>
            <w:hideMark/>
          </w:tcPr>
          <w:p w14:paraId="58B15BF5"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7" w:type="pct"/>
            <w:tcBorders>
              <w:top w:val="nil"/>
              <w:left w:val="nil"/>
              <w:bottom w:val="single" w:sz="4" w:space="0" w:color="auto"/>
              <w:right w:val="single" w:sz="4" w:space="0" w:color="auto"/>
            </w:tcBorders>
            <w:shd w:val="clear" w:color="auto" w:fill="auto"/>
            <w:noWrap/>
            <w:vAlign w:val="bottom"/>
            <w:hideMark/>
          </w:tcPr>
          <w:p w14:paraId="27219AD3"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8" w:type="pct"/>
            <w:tcBorders>
              <w:top w:val="nil"/>
              <w:left w:val="nil"/>
              <w:bottom w:val="single" w:sz="4" w:space="0" w:color="auto"/>
              <w:right w:val="single" w:sz="4" w:space="0" w:color="auto"/>
            </w:tcBorders>
            <w:shd w:val="clear" w:color="auto" w:fill="auto"/>
            <w:noWrap/>
            <w:vAlign w:val="bottom"/>
            <w:hideMark/>
          </w:tcPr>
          <w:p w14:paraId="4F3D5BCE"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22.368 </w:t>
            </w:r>
          </w:p>
        </w:tc>
      </w:tr>
      <w:tr w:rsidR="00F41043" w:rsidRPr="00F41043" w14:paraId="49773E2F" w14:textId="77777777" w:rsidTr="00446A14">
        <w:trPr>
          <w:trHeight w:val="198"/>
        </w:trPr>
        <w:tc>
          <w:tcPr>
            <w:tcW w:w="2519" w:type="pct"/>
            <w:tcBorders>
              <w:top w:val="nil"/>
              <w:left w:val="single" w:sz="4" w:space="0" w:color="auto"/>
              <w:bottom w:val="single" w:sz="4" w:space="0" w:color="auto"/>
              <w:right w:val="single" w:sz="4" w:space="0" w:color="auto"/>
            </w:tcBorders>
            <w:shd w:val="clear" w:color="auto" w:fill="auto"/>
            <w:noWrap/>
            <w:vAlign w:val="bottom"/>
            <w:hideMark/>
          </w:tcPr>
          <w:p w14:paraId="60C51D3B"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Estaduais</w:t>
            </w:r>
          </w:p>
        </w:tc>
        <w:tc>
          <w:tcPr>
            <w:tcW w:w="547" w:type="pct"/>
            <w:tcBorders>
              <w:top w:val="nil"/>
              <w:left w:val="nil"/>
              <w:bottom w:val="single" w:sz="4" w:space="0" w:color="auto"/>
              <w:right w:val="single" w:sz="4" w:space="0" w:color="auto"/>
            </w:tcBorders>
            <w:shd w:val="clear" w:color="auto" w:fill="auto"/>
            <w:noWrap/>
            <w:vAlign w:val="bottom"/>
            <w:hideMark/>
          </w:tcPr>
          <w:p w14:paraId="04FF5866"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57.951 </w:t>
            </w:r>
          </w:p>
        </w:tc>
        <w:tc>
          <w:tcPr>
            <w:tcW w:w="729" w:type="pct"/>
            <w:tcBorders>
              <w:top w:val="nil"/>
              <w:left w:val="nil"/>
              <w:bottom w:val="single" w:sz="4" w:space="0" w:color="auto"/>
              <w:right w:val="single" w:sz="4" w:space="0" w:color="auto"/>
            </w:tcBorders>
            <w:shd w:val="clear" w:color="auto" w:fill="auto"/>
            <w:noWrap/>
            <w:vAlign w:val="bottom"/>
            <w:hideMark/>
          </w:tcPr>
          <w:p w14:paraId="52EEED1D"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7" w:type="pct"/>
            <w:tcBorders>
              <w:top w:val="nil"/>
              <w:left w:val="nil"/>
              <w:bottom w:val="single" w:sz="4" w:space="0" w:color="auto"/>
              <w:right w:val="single" w:sz="4" w:space="0" w:color="auto"/>
            </w:tcBorders>
            <w:shd w:val="clear" w:color="auto" w:fill="auto"/>
            <w:noWrap/>
            <w:vAlign w:val="bottom"/>
            <w:hideMark/>
          </w:tcPr>
          <w:p w14:paraId="330B43E2"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8" w:type="pct"/>
            <w:tcBorders>
              <w:top w:val="nil"/>
              <w:left w:val="nil"/>
              <w:bottom w:val="single" w:sz="4" w:space="0" w:color="auto"/>
              <w:right w:val="single" w:sz="4" w:space="0" w:color="auto"/>
            </w:tcBorders>
            <w:shd w:val="clear" w:color="auto" w:fill="auto"/>
            <w:noWrap/>
            <w:vAlign w:val="bottom"/>
            <w:hideMark/>
          </w:tcPr>
          <w:p w14:paraId="5238007B"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57.951 </w:t>
            </w:r>
          </w:p>
        </w:tc>
      </w:tr>
      <w:tr w:rsidR="00F41043" w:rsidRPr="00F41043" w14:paraId="6320B838" w14:textId="77777777" w:rsidTr="00446A14">
        <w:trPr>
          <w:trHeight w:val="198"/>
        </w:trPr>
        <w:tc>
          <w:tcPr>
            <w:tcW w:w="2519" w:type="pct"/>
            <w:tcBorders>
              <w:top w:val="nil"/>
              <w:left w:val="single" w:sz="4" w:space="0" w:color="auto"/>
              <w:bottom w:val="single" w:sz="4" w:space="0" w:color="auto"/>
              <w:right w:val="single" w:sz="4" w:space="0" w:color="auto"/>
            </w:tcBorders>
            <w:shd w:val="clear" w:color="auto" w:fill="auto"/>
            <w:noWrap/>
            <w:vAlign w:val="bottom"/>
            <w:hideMark/>
          </w:tcPr>
          <w:p w14:paraId="7E996032"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Municipais</w:t>
            </w:r>
          </w:p>
        </w:tc>
        <w:tc>
          <w:tcPr>
            <w:tcW w:w="547" w:type="pct"/>
            <w:tcBorders>
              <w:top w:val="nil"/>
              <w:left w:val="nil"/>
              <w:bottom w:val="single" w:sz="4" w:space="0" w:color="auto"/>
              <w:right w:val="single" w:sz="4" w:space="0" w:color="auto"/>
            </w:tcBorders>
            <w:shd w:val="clear" w:color="auto" w:fill="auto"/>
            <w:noWrap/>
            <w:vAlign w:val="bottom"/>
            <w:hideMark/>
          </w:tcPr>
          <w:p w14:paraId="5D0C572C"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(714)</w:t>
            </w:r>
          </w:p>
        </w:tc>
        <w:tc>
          <w:tcPr>
            <w:tcW w:w="729" w:type="pct"/>
            <w:tcBorders>
              <w:top w:val="nil"/>
              <w:left w:val="nil"/>
              <w:bottom w:val="single" w:sz="4" w:space="0" w:color="auto"/>
              <w:right w:val="single" w:sz="4" w:space="0" w:color="auto"/>
            </w:tcBorders>
            <w:shd w:val="clear" w:color="auto" w:fill="auto"/>
            <w:noWrap/>
            <w:vAlign w:val="bottom"/>
            <w:hideMark/>
          </w:tcPr>
          <w:p w14:paraId="3D791A50"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7" w:type="pct"/>
            <w:tcBorders>
              <w:top w:val="nil"/>
              <w:left w:val="nil"/>
              <w:bottom w:val="single" w:sz="4" w:space="0" w:color="auto"/>
              <w:right w:val="single" w:sz="4" w:space="0" w:color="auto"/>
            </w:tcBorders>
            <w:shd w:val="clear" w:color="auto" w:fill="auto"/>
            <w:noWrap/>
            <w:vAlign w:val="bottom"/>
            <w:hideMark/>
          </w:tcPr>
          <w:p w14:paraId="69F3350B"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8" w:type="pct"/>
            <w:tcBorders>
              <w:top w:val="nil"/>
              <w:left w:val="nil"/>
              <w:bottom w:val="single" w:sz="4" w:space="0" w:color="auto"/>
              <w:right w:val="single" w:sz="4" w:space="0" w:color="auto"/>
            </w:tcBorders>
            <w:shd w:val="clear" w:color="auto" w:fill="auto"/>
            <w:noWrap/>
            <w:vAlign w:val="bottom"/>
            <w:hideMark/>
          </w:tcPr>
          <w:p w14:paraId="3246D9DD"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(714)</w:t>
            </w:r>
          </w:p>
        </w:tc>
      </w:tr>
      <w:tr w:rsidR="00F41043" w:rsidRPr="00F41043" w14:paraId="754C45AE" w14:textId="77777777" w:rsidTr="00446A14">
        <w:trPr>
          <w:trHeight w:val="198"/>
        </w:trPr>
        <w:tc>
          <w:tcPr>
            <w:tcW w:w="2519" w:type="pct"/>
            <w:tcBorders>
              <w:top w:val="nil"/>
              <w:left w:val="single" w:sz="4" w:space="0" w:color="auto"/>
              <w:bottom w:val="single" w:sz="4" w:space="0" w:color="auto"/>
              <w:right w:val="single" w:sz="4" w:space="0" w:color="auto"/>
            </w:tcBorders>
            <w:shd w:val="clear" w:color="auto" w:fill="auto"/>
            <w:noWrap/>
            <w:vAlign w:val="bottom"/>
            <w:hideMark/>
          </w:tcPr>
          <w:p w14:paraId="79481A60" w14:textId="77777777" w:rsidR="00F41043" w:rsidRPr="00F41043" w:rsidRDefault="00F41043" w:rsidP="00F41043">
            <w:pPr>
              <w:spacing w:after="0" w:line="240" w:lineRule="auto"/>
              <w:ind w:firstLineChars="200" w:firstLine="281"/>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Remuneração de Capitais de Terceiros</w:t>
            </w:r>
          </w:p>
        </w:tc>
        <w:tc>
          <w:tcPr>
            <w:tcW w:w="547" w:type="pct"/>
            <w:tcBorders>
              <w:top w:val="nil"/>
              <w:left w:val="nil"/>
              <w:bottom w:val="single" w:sz="4" w:space="0" w:color="auto"/>
              <w:right w:val="single" w:sz="4" w:space="0" w:color="auto"/>
            </w:tcBorders>
            <w:shd w:val="clear" w:color="auto" w:fill="auto"/>
            <w:noWrap/>
            <w:vAlign w:val="bottom"/>
            <w:hideMark/>
          </w:tcPr>
          <w:p w14:paraId="5E28D381"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161.016 </w:t>
            </w:r>
          </w:p>
        </w:tc>
        <w:tc>
          <w:tcPr>
            <w:tcW w:w="729" w:type="pct"/>
            <w:tcBorders>
              <w:top w:val="nil"/>
              <w:left w:val="nil"/>
              <w:bottom w:val="single" w:sz="4" w:space="0" w:color="auto"/>
              <w:right w:val="single" w:sz="4" w:space="0" w:color="auto"/>
            </w:tcBorders>
            <w:shd w:val="clear" w:color="auto" w:fill="auto"/>
            <w:noWrap/>
            <w:vAlign w:val="bottom"/>
            <w:hideMark/>
          </w:tcPr>
          <w:p w14:paraId="5F46D4CD"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                              - </w:t>
            </w:r>
          </w:p>
        </w:tc>
        <w:tc>
          <w:tcPr>
            <w:tcW w:w="547" w:type="pct"/>
            <w:tcBorders>
              <w:top w:val="nil"/>
              <w:left w:val="nil"/>
              <w:bottom w:val="single" w:sz="4" w:space="0" w:color="auto"/>
              <w:right w:val="single" w:sz="4" w:space="0" w:color="auto"/>
            </w:tcBorders>
            <w:shd w:val="clear" w:color="auto" w:fill="auto"/>
            <w:noWrap/>
            <w:vAlign w:val="bottom"/>
            <w:hideMark/>
          </w:tcPr>
          <w:p w14:paraId="3B5EAD9D"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2.391 </w:t>
            </w:r>
          </w:p>
        </w:tc>
        <w:tc>
          <w:tcPr>
            <w:tcW w:w="658" w:type="pct"/>
            <w:tcBorders>
              <w:top w:val="nil"/>
              <w:left w:val="nil"/>
              <w:bottom w:val="single" w:sz="4" w:space="0" w:color="auto"/>
              <w:right w:val="single" w:sz="4" w:space="0" w:color="auto"/>
            </w:tcBorders>
            <w:shd w:val="clear" w:color="auto" w:fill="auto"/>
            <w:noWrap/>
            <w:vAlign w:val="bottom"/>
            <w:hideMark/>
          </w:tcPr>
          <w:p w14:paraId="3A374484"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163.407 </w:t>
            </w:r>
          </w:p>
        </w:tc>
      </w:tr>
      <w:tr w:rsidR="00F41043" w:rsidRPr="00F41043" w14:paraId="24A6CF3C" w14:textId="77777777" w:rsidTr="00446A14">
        <w:trPr>
          <w:trHeight w:val="198"/>
        </w:trPr>
        <w:tc>
          <w:tcPr>
            <w:tcW w:w="2519" w:type="pct"/>
            <w:tcBorders>
              <w:top w:val="nil"/>
              <w:left w:val="single" w:sz="4" w:space="0" w:color="auto"/>
              <w:bottom w:val="single" w:sz="4" w:space="0" w:color="auto"/>
              <w:right w:val="single" w:sz="4" w:space="0" w:color="auto"/>
            </w:tcBorders>
            <w:shd w:val="clear" w:color="auto" w:fill="auto"/>
            <w:noWrap/>
            <w:vAlign w:val="bottom"/>
            <w:hideMark/>
          </w:tcPr>
          <w:p w14:paraId="0A1A1A3A"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Remuneração do Capital de Terceiros</w:t>
            </w:r>
          </w:p>
        </w:tc>
        <w:tc>
          <w:tcPr>
            <w:tcW w:w="547" w:type="pct"/>
            <w:tcBorders>
              <w:top w:val="nil"/>
              <w:left w:val="nil"/>
              <w:bottom w:val="single" w:sz="4" w:space="0" w:color="auto"/>
              <w:right w:val="single" w:sz="4" w:space="0" w:color="auto"/>
            </w:tcBorders>
            <w:shd w:val="clear" w:color="auto" w:fill="auto"/>
            <w:noWrap/>
            <w:vAlign w:val="bottom"/>
            <w:hideMark/>
          </w:tcPr>
          <w:p w14:paraId="266CD9D8"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109.289 </w:t>
            </w:r>
          </w:p>
        </w:tc>
        <w:tc>
          <w:tcPr>
            <w:tcW w:w="729" w:type="pct"/>
            <w:tcBorders>
              <w:top w:val="nil"/>
              <w:left w:val="nil"/>
              <w:bottom w:val="single" w:sz="4" w:space="0" w:color="auto"/>
              <w:right w:val="single" w:sz="4" w:space="0" w:color="auto"/>
            </w:tcBorders>
            <w:shd w:val="clear" w:color="auto" w:fill="auto"/>
            <w:noWrap/>
            <w:vAlign w:val="bottom"/>
            <w:hideMark/>
          </w:tcPr>
          <w:p w14:paraId="38EE04D7"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7" w:type="pct"/>
            <w:tcBorders>
              <w:top w:val="nil"/>
              <w:left w:val="nil"/>
              <w:bottom w:val="single" w:sz="4" w:space="0" w:color="auto"/>
              <w:right w:val="single" w:sz="4" w:space="0" w:color="auto"/>
            </w:tcBorders>
            <w:shd w:val="clear" w:color="auto" w:fill="auto"/>
            <w:noWrap/>
            <w:vAlign w:val="bottom"/>
            <w:hideMark/>
          </w:tcPr>
          <w:p w14:paraId="1E3C8FFD"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2.391 </w:t>
            </w:r>
          </w:p>
        </w:tc>
        <w:tc>
          <w:tcPr>
            <w:tcW w:w="658" w:type="pct"/>
            <w:tcBorders>
              <w:top w:val="nil"/>
              <w:left w:val="nil"/>
              <w:bottom w:val="single" w:sz="4" w:space="0" w:color="auto"/>
              <w:right w:val="single" w:sz="4" w:space="0" w:color="auto"/>
            </w:tcBorders>
            <w:shd w:val="clear" w:color="auto" w:fill="auto"/>
            <w:noWrap/>
            <w:vAlign w:val="bottom"/>
            <w:hideMark/>
          </w:tcPr>
          <w:p w14:paraId="146C9542"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111.680 </w:t>
            </w:r>
          </w:p>
        </w:tc>
      </w:tr>
      <w:tr w:rsidR="00F41043" w:rsidRPr="00F41043" w14:paraId="22E17A88" w14:textId="77777777" w:rsidTr="00446A14">
        <w:trPr>
          <w:trHeight w:val="198"/>
        </w:trPr>
        <w:tc>
          <w:tcPr>
            <w:tcW w:w="2519" w:type="pct"/>
            <w:tcBorders>
              <w:top w:val="nil"/>
              <w:left w:val="single" w:sz="4" w:space="0" w:color="auto"/>
              <w:bottom w:val="single" w:sz="4" w:space="0" w:color="auto"/>
              <w:right w:val="single" w:sz="4" w:space="0" w:color="auto"/>
            </w:tcBorders>
            <w:shd w:val="clear" w:color="auto" w:fill="auto"/>
            <w:noWrap/>
            <w:vAlign w:val="bottom"/>
            <w:hideMark/>
          </w:tcPr>
          <w:p w14:paraId="2E68E480"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Aluguéis, Locações e Licença de Uso</w:t>
            </w:r>
          </w:p>
        </w:tc>
        <w:tc>
          <w:tcPr>
            <w:tcW w:w="547" w:type="pct"/>
            <w:tcBorders>
              <w:top w:val="nil"/>
              <w:left w:val="nil"/>
              <w:bottom w:val="single" w:sz="4" w:space="0" w:color="auto"/>
              <w:right w:val="single" w:sz="4" w:space="0" w:color="auto"/>
            </w:tcBorders>
            <w:shd w:val="clear" w:color="auto" w:fill="auto"/>
            <w:noWrap/>
            <w:vAlign w:val="bottom"/>
            <w:hideMark/>
          </w:tcPr>
          <w:p w14:paraId="0912C2B8"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26.610 </w:t>
            </w:r>
          </w:p>
        </w:tc>
        <w:tc>
          <w:tcPr>
            <w:tcW w:w="729" w:type="pct"/>
            <w:tcBorders>
              <w:top w:val="nil"/>
              <w:left w:val="nil"/>
              <w:bottom w:val="single" w:sz="4" w:space="0" w:color="auto"/>
              <w:right w:val="single" w:sz="4" w:space="0" w:color="auto"/>
            </w:tcBorders>
            <w:shd w:val="clear" w:color="auto" w:fill="auto"/>
            <w:noWrap/>
            <w:vAlign w:val="bottom"/>
            <w:hideMark/>
          </w:tcPr>
          <w:p w14:paraId="2FC4B382"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7" w:type="pct"/>
            <w:tcBorders>
              <w:top w:val="nil"/>
              <w:left w:val="nil"/>
              <w:bottom w:val="single" w:sz="4" w:space="0" w:color="auto"/>
              <w:right w:val="single" w:sz="4" w:space="0" w:color="auto"/>
            </w:tcBorders>
            <w:shd w:val="clear" w:color="auto" w:fill="auto"/>
            <w:noWrap/>
            <w:vAlign w:val="bottom"/>
            <w:hideMark/>
          </w:tcPr>
          <w:p w14:paraId="28275194"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8" w:type="pct"/>
            <w:tcBorders>
              <w:top w:val="nil"/>
              <w:left w:val="nil"/>
              <w:bottom w:val="single" w:sz="4" w:space="0" w:color="auto"/>
              <w:right w:val="single" w:sz="4" w:space="0" w:color="auto"/>
            </w:tcBorders>
            <w:shd w:val="clear" w:color="auto" w:fill="auto"/>
            <w:noWrap/>
            <w:vAlign w:val="bottom"/>
            <w:hideMark/>
          </w:tcPr>
          <w:p w14:paraId="07715BF5"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26.610 </w:t>
            </w:r>
          </w:p>
        </w:tc>
      </w:tr>
      <w:tr w:rsidR="00F41043" w:rsidRPr="00F41043" w14:paraId="2295576C" w14:textId="77777777" w:rsidTr="00446A14">
        <w:trPr>
          <w:trHeight w:val="198"/>
        </w:trPr>
        <w:tc>
          <w:tcPr>
            <w:tcW w:w="2519" w:type="pct"/>
            <w:tcBorders>
              <w:top w:val="nil"/>
              <w:left w:val="single" w:sz="4" w:space="0" w:color="auto"/>
              <w:bottom w:val="single" w:sz="4" w:space="0" w:color="auto"/>
              <w:right w:val="single" w:sz="4" w:space="0" w:color="auto"/>
            </w:tcBorders>
            <w:shd w:val="clear" w:color="auto" w:fill="auto"/>
            <w:noWrap/>
            <w:vAlign w:val="bottom"/>
            <w:hideMark/>
          </w:tcPr>
          <w:p w14:paraId="3F26738C"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Seguros</w:t>
            </w:r>
          </w:p>
        </w:tc>
        <w:tc>
          <w:tcPr>
            <w:tcW w:w="547" w:type="pct"/>
            <w:tcBorders>
              <w:top w:val="nil"/>
              <w:left w:val="nil"/>
              <w:bottom w:val="single" w:sz="4" w:space="0" w:color="auto"/>
              <w:right w:val="single" w:sz="4" w:space="0" w:color="auto"/>
            </w:tcBorders>
            <w:shd w:val="clear" w:color="auto" w:fill="auto"/>
            <w:noWrap/>
            <w:vAlign w:val="bottom"/>
            <w:hideMark/>
          </w:tcPr>
          <w:p w14:paraId="412B87EB"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25.117 </w:t>
            </w:r>
          </w:p>
        </w:tc>
        <w:tc>
          <w:tcPr>
            <w:tcW w:w="729" w:type="pct"/>
            <w:tcBorders>
              <w:top w:val="nil"/>
              <w:left w:val="nil"/>
              <w:bottom w:val="single" w:sz="4" w:space="0" w:color="auto"/>
              <w:right w:val="single" w:sz="4" w:space="0" w:color="auto"/>
            </w:tcBorders>
            <w:shd w:val="clear" w:color="auto" w:fill="auto"/>
            <w:noWrap/>
            <w:vAlign w:val="bottom"/>
            <w:hideMark/>
          </w:tcPr>
          <w:p w14:paraId="3E0A15D7"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7" w:type="pct"/>
            <w:tcBorders>
              <w:top w:val="nil"/>
              <w:left w:val="nil"/>
              <w:bottom w:val="single" w:sz="4" w:space="0" w:color="auto"/>
              <w:right w:val="single" w:sz="4" w:space="0" w:color="auto"/>
            </w:tcBorders>
            <w:shd w:val="clear" w:color="auto" w:fill="auto"/>
            <w:noWrap/>
            <w:vAlign w:val="bottom"/>
            <w:hideMark/>
          </w:tcPr>
          <w:p w14:paraId="23F4C049"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8" w:type="pct"/>
            <w:tcBorders>
              <w:top w:val="nil"/>
              <w:left w:val="nil"/>
              <w:bottom w:val="single" w:sz="4" w:space="0" w:color="auto"/>
              <w:right w:val="single" w:sz="4" w:space="0" w:color="auto"/>
            </w:tcBorders>
            <w:shd w:val="clear" w:color="auto" w:fill="auto"/>
            <w:noWrap/>
            <w:vAlign w:val="bottom"/>
            <w:hideMark/>
          </w:tcPr>
          <w:p w14:paraId="7F816890"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xml:space="preserve">25.117 </w:t>
            </w:r>
          </w:p>
        </w:tc>
      </w:tr>
      <w:tr w:rsidR="00F41043" w:rsidRPr="00F41043" w14:paraId="3F0B898A" w14:textId="77777777" w:rsidTr="00446A14">
        <w:trPr>
          <w:trHeight w:val="198"/>
        </w:trPr>
        <w:tc>
          <w:tcPr>
            <w:tcW w:w="2519" w:type="pct"/>
            <w:tcBorders>
              <w:top w:val="nil"/>
              <w:left w:val="single" w:sz="4" w:space="0" w:color="auto"/>
              <w:bottom w:val="single" w:sz="4" w:space="0" w:color="auto"/>
              <w:right w:val="single" w:sz="4" w:space="0" w:color="auto"/>
            </w:tcBorders>
            <w:shd w:val="clear" w:color="auto" w:fill="auto"/>
            <w:noWrap/>
            <w:vAlign w:val="bottom"/>
            <w:hideMark/>
          </w:tcPr>
          <w:p w14:paraId="56478E7E" w14:textId="77777777" w:rsidR="00F41043" w:rsidRPr="00F41043" w:rsidRDefault="00F41043" w:rsidP="00F41043">
            <w:pPr>
              <w:spacing w:after="0" w:line="240" w:lineRule="auto"/>
              <w:ind w:firstLineChars="200" w:firstLine="281"/>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Remuneração de Capitais Próprios</w:t>
            </w:r>
          </w:p>
        </w:tc>
        <w:tc>
          <w:tcPr>
            <w:tcW w:w="547" w:type="pct"/>
            <w:tcBorders>
              <w:top w:val="nil"/>
              <w:left w:val="nil"/>
              <w:bottom w:val="single" w:sz="4" w:space="0" w:color="auto"/>
              <w:right w:val="single" w:sz="4" w:space="0" w:color="auto"/>
            </w:tcBorders>
            <w:shd w:val="clear" w:color="auto" w:fill="auto"/>
            <w:noWrap/>
            <w:vAlign w:val="bottom"/>
            <w:hideMark/>
          </w:tcPr>
          <w:p w14:paraId="123263D3"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(126.819)</w:t>
            </w:r>
          </w:p>
        </w:tc>
        <w:tc>
          <w:tcPr>
            <w:tcW w:w="729" w:type="pct"/>
            <w:tcBorders>
              <w:top w:val="nil"/>
              <w:left w:val="nil"/>
              <w:bottom w:val="single" w:sz="4" w:space="0" w:color="auto"/>
              <w:right w:val="single" w:sz="4" w:space="0" w:color="auto"/>
            </w:tcBorders>
            <w:shd w:val="clear" w:color="auto" w:fill="auto"/>
            <w:noWrap/>
            <w:vAlign w:val="bottom"/>
            <w:hideMark/>
          </w:tcPr>
          <w:p w14:paraId="322C4648"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7" w:type="pct"/>
            <w:tcBorders>
              <w:top w:val="nil"/>
              <w:left w:val="nil"/>
              <w:bottom w:val="single" w:sz="4" w:space="0" w:color="auto"/>
              <w:right w:val="single" w:sz="4" w:space="0" w:color="auto"/>
            </w:tcBorders>
            <w:shd w:val="clear" w:color="auto" w:fill="auto"/>
            <w:noWrap/>
            <w:vAlign w:val="bottom"/>
            <w:hideMark/>
          </w:tcPr>
          <w:p w14:paraId="67910D93"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8" w:type="pct"/>
            <w:tcBorders>
              <w:top w:val="nil"/>
              <w:left w:val="nil"/>
              <w:bottom w:val="single" w:sz="4" w:space="0" w:color="auto"/>
              <w:right w:val="single" w:sz="4" w:space="0" w:color="auto"/>
            </w:tcBorders>
            <w:shd w:val="clear" w:color="auto" w:fill="auto"/>
            <w:noWrap/>
            <w:vAlign w:val="bottom"/>
            <w:hideMark/>
          </w:tcPr>
          <w:p w14:paraId="42C29CF0" w14:textId="77777777" w:rsidR="00F41043" w:rsidRPr="00F41043" w:rsidRDefault="00F41043" w:rsidP="00F41043">
            <w:pPr>
              <w:spacing w:after="0" w:line="240" w:lineRule="auto"/>
              <w:jc w:val="right"/>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(163.013)</w:t>
            </w:r>
          </w:p>
        </w:tc>
      </w:tr>
      <w:tr w:rsidR="00F41043" w:rsidRPr="00F41043" w14:paraId="7CB447B8" w14:textId="77777777" w:rsidTr="00446A14">
        <w:trPr>
          <w:trHeight w:val="198"/>
        </w:trPr>
        <w:tc>
          <w:tcPr>
            <w:tcW w:w="2519" w:type="pct"/>
            <w:tcBorders>
              <w:top w:val="nil"/>
              <w:left w:val="single" w:sz="4" w:space="0" w:color="auto"/>
              <w:bottom w:val="single" w:sz="4" w:space="0" w:color="auto"/>
              <w:right w:val="single" w:sz="4" w:space="0" w:color="auto"/>
            </w:tcBorders>
            <w:shd w:val="clear" w:color="auto" w:fill="auto"/>
            <w:noWrap/>
            <w:vAlign w:val="bottom"/>
            <w:hideMark/>
          </w:tcPr>
          <w:p w14:paraId="38A8519E" w14:textId="77777777" w:rsidR="00F41043" w:rsidRPr="00F41043" w:rsidRDefault="00F41043" w:rsidP="00F41043">
            <w:pPr>
              <w:spacing w:after="0" w:line="240" w:lineRule="auto"/>
              <w:ind w:firstLineChars="300" w:firstLine="420"/>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Prejuízo do Exercício</w:t>
            </w:r>
          </w:p>
        </w:tc>
        <w:tc>
          <w:tcPr>
            <w:tcW w:w="547" w:type="pct"/>
            <w:tcBorders>
              <w:top w:val="nil"/>
              <w:left w:val="nil"/>
              <w:bottom w:val="single" w:sz="4" w:space="0" w:color="auto"/>
              <w:right w:val="single" w:sz="4" w:space="0" w:color="auto"/>
            </w:tcBorders>
            <w:shd w:val="clear" w:color="auto" w:fill="auto"/>
            <w:noWrap/>
            <w:vAlign w:val="bottom"/>
            <w:hideMark/>
          </w:tcPr>
          <w:p w14:paraId="2C4FF61D"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(126.819)</w:t>
            </w:r>
          </w:p>
        </w:tc>
        <w:tc>
          <w:tcPr>
            <w:tcW w:w="729" w:type="pct"/>
            <w:tcBorders>
              <w:top w:val="nil"/>
              <w:left w:val="nil"/>
              <w:bottom w:val="single" w:sz="4" w:space="0" w:color="auto"/>
              <w:right w:val="single" w:sz="4" w:space="0" w:color="auto"/>
            </w:tcBorders>
            <w:shd w:val="clear" w:color="auto" w:fill="auto"/>
            <w:noWrap/>
            <w:vAlign w:val="bottom"/>
            <w:hideMark/>
          </w:tcPr>
          <w:p w14:paraId="12A1769A"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547" w:type="pct"/>
            <w:tcBorders>
              <w:top w:val="nil"/>
              <w:left w:val="nil"/>
              <w:bottom w:val="single" w:sz="4" w:space="0" w:color="auto"/>
              <w:right w:val="single" w:sz="4" w:space="0" w:color="auto"/>
            </w:tcBorders>
            <w:shd w:val="clear" w:color="auto" w:fill="auto"/>
            <w:noWrap/>
            <w:vAlign w:val="bottom"/>
            <w:hideMark/>
          </w:tcPr>
          <w:p w14:paraId="574FB109" w14:textId="77777777" w:rsidR="00F41043" w:rsidRPr="00F41043" w:rsidRDefault="00F41043" w:rsidP="00F41043">
            <w:pPr>
              <w:spacing w:after="0" w:line="240" w:lineRule="auto"/>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 </w:t>
            </w:r>
          </w:p>
        </w:tc>
        <w:tc>
          <w:tcPr>
            <w:tcW w:w="658" w:type="pct"/>
            <w:tcBorders>
              <w:top w:val="nil"/>
              <w:left w:val="nil"/>
              <w:bottom w:val="single" w:sz="4" w:space="0" w:color="auto"/>
              <w:right w:val="single" w:sz="4" w:space="0" w:color="auto"/>
            </w:tcBorders>
            <w:shd w:val="clear" w:color="auto" w:fill="auto"/>
            <w:noWrap/>
            <w:vAlign w:val="bottom"/>
            <w:hideMark/>
          </w:tcPr>
          <w:p w14:paraId="27477DDD" w14:textId="77777777" w:rsidR="00F41043" w:rsidRPr="00F41043" w:rsidRDefault="00F41043" w:rsidP="00F41043">
            <w:pPr>
              <w:spacing w:after="0" w:line="240" w:lineRule="auto"/>
              <w:jc w:val="right"/>
              <w:rPr>
                <w:rFonts w:ascii="Arial" w:eastAsia="Times New Roman" w:hAnsi="Arial" w:cs="Arial"/>
                <w:kern w:val="0"/>
                <w:sz w:val="14"/>
                <w:szCs w:val="14"/>
                <w:lang w:eastAsia="pt-BR"/>
                <w14:ligatures w14:val="none"/>
              </w:rPr>
            </w:pPr>
            <w:r w:rsidRPr="00F41043">
              <w:rPr>
                <w:rFonts w:ascii="Arial" w:eastAsia="Times New Roman" w:hAnsi="Arial" w:cs="Arial"/>
                <w:kern w:val="0"/>
                <w:sz w:val="14"/>
                <w:szCs w:val="14"/>
                <w:lang w:eastAsia="pt-BR"/>
                <w14:ligatures w14:val="none"/>
              </w:rPr>
              <w:t>(163.013)</w:t>
            </w:r>
          </w:p>
        </w:tc>
      </w:tr>
    </w:tbl>
    <w:p w14:paraId="5DF4B1C6" w14:textId="690D87E2" w:rsidR="00F41043" w:rsidRPr="00F41043" w:rsidRDefault="00F41043" w:rsidP="00F41043">
      <w:pPr>
        <w:keepNext/>
        <w:spacing w:after="0" w:line="276" w:lineRule="auto"/>
        <w:jc w:val="both"/>
        <w:outlineLvl w:val="1"/>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3.3. </w:t>
      </w:r>
      <w:r w:rsidRPr="00F41043">
        <w:rPr>
          <w:rFonts w:ascii="Calibri" w:eastAsia="Times New Roman" w:hAnsi="Calibri" w:cs="Calibri"/>
          <w:b/>
          <w:bCs/>
          <w:iCs/>
          <w:color w:val="002060"/>
          <w:kern w:val="0"/>
          <w14:ligatures w14:val="none"/>
        </w:rPr>
        <w:t>Reapresentação das Demonstrações Contábeis do Exercício de 2020</w:t>
      </w:r>
    </w:p>
    <w:p w14:paraId="44ADBB29" w14:textId="4FC9607A" w:rsidR="00F41043" w:rsidRPr="00F41043" w:rsidRDefault="00F41043" w:rsidP="009C6488">
      <w:pPr>
        <w:keepNext/>
        <w:spacing w:after="0" w:line="276" w:lineRule="auto"/>
        <w:jc w:val="both"/>
        <w:outlineLvl w:val="1"/>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3.3.1 </w:t>
      </w:r>
      <w:r w:rsidRPr="00F41043">
        <w:rPr>
          <w:rFonts w:ascii="Calibri" w:eastAsia="Times New Roman" w:hAnsi="Calibri" w:cs="Calibri"/>
          <w:b/>
          <w:bCs/>
          <w:iCs/>
          <w:color w:val="002060"/>
          <w:kern w:val="0"/>
          <w14:ligatures w14:val="none"/>
        </w:rPr>
        <w:t>Balanço Patrimonial</w:t>
      </w:r>
    </w:p>
    <w:tbl>
      <w:tblPr>
        <w:tblW w:w="5000" w:type="pct"/>
        <w:tblLayout w:type="fixed"/>
        <w:tblCellMar>
          <w:left w:w="70" w:type="dxa"/>
          <w:right w:w="70" w:type="dxa"/>
        </w:tblCellMar>
        <w:tblLook w:val="04A0" w:firstRow="1" w:lastRow="0" w:firstColumn="1" w:lastColumn="0" w:noHBand="0" w:noVBand="1"/>
      </w:tblPr>
      <w:tblGrid>
        <w:gridCol w:w="4673"/>
        <w:gridCol w:w="993"/>
        <w:gridCol w:w="1133"/>
        <w:gridCol w:w="709"/>
        <w:gridCol w:w="993"/>
        <w:gridCol w:w="1270"/>
      </w:tblGrid>
      <w:tr w:rsidR="00F41043" w:rsidRPr="00F41043" w14:paraId="2B89B47C" w14:textId="77777777" w:rsidTr="00446A14">
        <w:trPr>
          <w:trHeight w:val="198"/>
          <w:tblHeader/>
        </w:trPr>
        <w:tc>
          <w:tcPr>
            <w:tcW w:w="2391" w:type="pct"/>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7F1EB69" w14:textId="77777777" w:rsidR="00F41043" w:rsidRPr="00F41043" w:rsidRDefault="00F41043" w:rsidP="00F41043">
            <w:pPr>
              <w:spacing w:after="0" w:line="240" w:lineRule="auto"/>
              <w:jc w:val="center"/>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w:t>
            </w:r>
          </w:p>
        </w:tc>
        <w:tc>
          <w:tcPr>
            <w:tcW w:w="5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E0FAFA" w14:textId="77777777" w:rsidR="00F41043" w:rsidRPr="00F41043" w:rsidRDefault="00F41043" w:rsidP="00F41043">
            <w:pPr>
              <w:spacing w:after="0" w:line="240" w:lineRule="auto"/>
              <w:jc w:val="center"/>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Saldos Divulgados em 31/12/2020</w:t>
            </w:r>
          </w:p>
        </w:tc>
        <w:tc>
          <w:tcPr>
            <w:tcW w:w="1451"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30092EE0" w14:textId="77777777" w:rsidR="00F41043" w:rsidRPr="00F41043" w:rsidRDefault="00F41043" w:rsidP="00F41043">
            <w:pPr>
              <w:spacing w:after="0" w:line="240" w:lineRule="auto"/>
              <w:jc w:val="center"/>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Ajustes</w:t>
            </w:r>
          </w:p>
        </w:tc>
        <w:tc>
          <w:tcPr>
            <w:tcW w:w="6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580A22" w14:textId="77777777" w:rsidR="00F41043" w:rsidRPr="00F41043" w:rsidRDefault="00F41043" w:rsidP="00F41043">
            <w:pPr>
              <w:spacing w:after="0" w:line="240" w:lineRule="auto"/>
              <w:jc w:val="center"/>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Saldos Reapresentados 31/12/2020</w:t>
            </w:r>
          </w:p>
        </w:tc>
      </w:tr>
      <w:tr w:rsidR="00F41043" w:rsidRPr="00F41043" w14:paraId="2804F677" w14:textId="77777777" w:rsidTr="00446A14">
        <w:trPr>
          <w:trHeight w:val="198"/>
          <w:tblHeader/>
        </w:trPr>
        <w:tc>
          <w:tcPr>
            <w:tcW w:w="2391" w:type="pct"/>
            <w:vMerge/>
            <w:tcBorders>
              <w:top w:val="single" w:sz="4" w:space="0" w:color="auto"/>
              <w:left w:val="single" w:sz="4" w:space="0" w:color="auto"/>
              <w:bottom w:val="single" w:sz="4" w:space="0" w:color="auto"/>
              <w:right w:val="single" w:sz="4" w:space="0" w:color="auto"/>
            </w:tcBorders>
            <w:vAlign w:val="center"/>
            <w:hideMark/>
          </w:tcPr>
          <w:p w14:paraId="5CDDD5E2"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p>
        </w:tc>
        <w:tc>
          <w:tcPr>
            <w:tcW w:w="508" w:type="pct"/>
            <w:vMerge/>
            <w:tcBorders>
              <w:top w:val="single" w:sz="4" w:space="0" w:color="auto"/>
              <w:left w:val="single" w:sz="4" w:space="0" w:color="auto"/>
              <w:bottom w:val="single" w:sz="4" w:space="0" w:color="auto"/>
              <w:right w:val="single" w:sz="4" w:space="0" w:color="auto"/>
            </w:tcBorders>
            <w:vAlign w:val="center"/>
            <w:hideMark/>
          </w:tcPr>
          <w:p w14:paraId="45631AF7"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p>
        </w:tc>
        <w:tc>
          <w:tcPr>
            <w:tcW w:w="580" w:type="pct"/>
            <w:tcBorders>
              <w:top w:val="nil"/>
              <w:left w:val="nil"/>
              <w:bottom w:val="single" w:sz="4" w:space="0" w:color="auto"/>
              <w:right w:val="single" w:sz="4" w:space="0" w:color="auto"/>
            </w:tcBorders>
            <w:shd w:val="clear" w:color="auto" w:fill="auto"/>
            <w:vAlign w:val="center"/>
            <w:hideMark/>
          </w:tcPr>
          <w:p w14:paraId="060E43BC" w14:textId="77777777" w:rsidR="00F41043" w:rsidRPr="00F41043" w:rsidRDefault="00F41043" w:rsidP="00F41043">
            <w:pPr>
              <w:spacing w:after="0" w:line="240" w:lineRule="auto"/>
              <w:jc w:val="center"/>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Subvenções para Investimento (i) </w:t>
            </w:r>
          </w:p>
        </w:tc>
        <w:tc>
          <w:tcPr>
            <w:tcW w:w="363" w:type="pct"/>
            <w:tcBorders>
              <w:top w:val="nil"/>
              <w:left w:val="nil"/>
              <w:bottom w:val="single" w:sz="4" w:space="0" w:color="auto"/>
              <w:right w:val="single" w:sz="4" w:space="0" w:color="auto"/>
            </w:tcBorders>
            <w:shd w:val="clear" w:color="auto" w:fill="auto"/>
            <w:vAlign w:val="center"/>
            <w:hideMark/>
          </w:tcPr>
          <w:p w14:paraId="6C493A24" w14:textId="77777777" w:rsidR="00F41043" w:rsidRPr="00F41043" w:rsidRDefault="00F41043" w:rsidP="00F41043">
            <w:pPr>
              <w:spacing w:after="0" w:line="240" w:lineRule="auto"/>
              <w:jc w:val="center"/>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xml:space="preserve">Juros de </w:t>
            </w:r>
            <w:proofErr w:type="spellStart"/>
            <w:r w:rsidRPr="00F41043">
              <w:rPr>
                <w:rFonts w:ascii="Arial" w:eastAsia="Times New Roman" w:hAnsi="Arial" w:cs="Arial"/>
                <w:b/>
                <w:bCs/>
                <w:kern w:val="0"/>
                <w:sz w:val="14"/>
                <w:szCs w:val="14"/>
                <w:lang w:eastAsia="pt-BR"/>
                <w14:ligatures w14:val="none"/>
              </w:rPr>
              <w:t>Afac</w:t>
            </w:r>
            <w:proofErr w:type="spellEnd"/>
            <w:r w:rsidRPr="00F41043">
              <w:rPr>
                <w:rFonts w:ascii="Arial" w:eastAsia="Times New Roman" w:hAnsi="Arial" w:cs="Arial"/>
                <w:b/>
                <w:bCs/>
                <w:kern w:val="0"/>
                <w:sz w:val="14"/>
                <w:szCs w:val="14"/>
                <w:lang w:eastAsia="pt-BR"/>
                <w14:ligatures w14:val="none"/>
              </w:rPr>
              <w:t xml:space="preserve"> (</w:t>
            </w:r>
            <w:proofErr w:type="spellStart"/>
            <w:r w:rsidRPr="00F41043">
              <w:rPr>
                <w:rFonts w:ascii="Arial" w:eastAsia="Times New Roman" w:hAnsi="Arial" w:cs="Arial"/>
                <w:b/>
                <w:bCs/>
                <w:kern w:val="0"/>
                <w:sz w:val="14"/>
                <w:szCs w:val="14"/>
                <w:lang w:eastAsia="pt-BR"/>
                <w14:ligatures w14:val="none"/>
              </w:rPr>
              <w:t>ii</w:t>
            </w:r>
            <w:proofErr w:type="spellEnd"/>
            <w:r w:rsidRPr="00F41043">
              <w:rPr>
                <w:rFonts w:ascii="Arial" w:eastAsia="Times New Roman" w:hAnsi="Arial" w:cs="Arial"/>
                <w:b/>
                <w:bCs/>
                <w:kern w:val="0"/>
                <w:sz w:val="14"/>
                <w:szCs w:val="14"/>
                <w:lang w:eastAsia="pt-BR"/>
                <w14:ligatures w14:val="none"/>
              </w:rPr>
              <w:t>)</w:t>
            </w:r>
          </w:p>
        </w:tc>
        <w:tc>
          <w:tcPr>
            <w:tcW w:w="508" w:type="pct"/>
            <w:tcBorders>
              <w:top w:val="nil"/>
              <w:left w:val="nil"/>
              <w:bottom w:val="single" w:sz="4" w:space="0" w:color="auto"/>
              <w:right w:val="single" w:sz="4" w:space="0" w:color="auto"/>
            </w:tcBorders>
            <w:shd w:val="clear" w:color="auto" w:fill="auto"/>
            <w:vAlign w:val="center"/>
            <w:hideMark/>
          </w:tcPr>
          <w:p w14:paraId="504875C8" w14:textId="77777777" w:rsidR="00F41043" w:rsidRPr="00F41043" w:rsidRDefault="00F41043" w:rsidP="00F41043">
            <w:pPr>
              <w:spacing w:after="0" w:line="240" w:lineRule="auto"/>
              <w:jc w:val="center"/>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Efeito no Patrimônio Líquido (</w:t>
            </w:r>
            <w:proofErr w:type="spellStart"/>
            <w:r w:rsidRPr="00F41043">
              <w:rPr>
                <w:rFonts w:ascii="Arial" w:eastAsia="Times New Roman" w:hAnsi="Arial" w:cs="Arial"/>
                <w:b/>
                <w:bCs/>
                <w:kern w:val="0"/>
                <w:sz w:val="14"/>
                <w:szCs w:val="14"/>
                <w:lang w:eastAsia="pt-BR"/>
                <w14:ligatures w14:val="none"/>
              </w:rPr>
              <w:t>iii</w:t>
            </w:r>
            <w:proofErr w:type="spellEnd"/>
            <w:r w:rsidRPr="00F41043">
              <w:rPr>
                <w:rFonts w:ascii="Arial" w:eastAsia="Times New Roman" w:hAnsi="Arial" w:cs="Arial"/>
                <w:b/>
                <w:bCs/>
                <w:kern w:val="0"/>
                <w:sz w:val="14"/>
                <w:szCs w:val="14"/>
                <w:lang w:eastAsia="pt-BR"/>
                <w14:ligatures w14:val="none"/>
              </w:rPr>
              <w:t>)</w:t>
            </w:r>
          </w:p>
        </w:tc>
        <w:tc>
          <w:tcPr>
            <w:tcW w:w="650" w:type="pct"/>
            <w:vMerge/>
            <w:tcBorders>
              <w:top w:val="single" w:sz="4" w:space="0" w:color="auto"/>
              <w:left w:val="single" w:sz="4" w:space="0" w:color="auto"/>
              <w:bottom w:val="single" w:sz="4" w:space="0" w:color="000000"/>
              <w:right w:val="single" w:sz="4" w:space="0" w:color="auto"/>
            </w:tcBorders>
            <w:vAlign w:val="center"/>
            <w:hideMark/>
          </w:tcPr>
          <w:p w14:paraId="06DB597E"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p>
        </w:tc>
      </w:tr>
      <w:tr w:rsidR="00F41043" w:rsidRPr="00F41043" w14:paraId="519C3F1F"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center"/>
            <w:hideMark/>
          </w:tcPr>
          <w:p w14:paraId="616FF5D7" w14:textId="77777777" w:rsidR="00F41043" w:rsidRPr="00F41043" w:rsidRDefault="00F41043" w:rsidP="00F41043">
            <w:pPr>
              <w:spacing w:after="0" w:line="240" w:lineRule="auto"/>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Ativo</w:t>
            </w:r>
          </w:p>
        </w:tc>
        <w:tc>
          <w:tcPr>
            <w:tcW w:w="508" w:type="pct"/>
            <w:tcBorders>
              <w:top w:val="nil"/>
              <w:left w:val="nil"/>
              <w:bottom w:val="single" w:sz="4" w:space="0" w:color="auto"/>
              <w:right w:val="single" w:sz="4" w:space="0" w:color="auto"/>
            </w:tcBorders>
            <w:shd w:val="clear" w:color="auto" w:fill="auto"/>
            <w:vAlign w:val="center"/>
            <w:hideMark/>
          </w:tcPr>
          <w:p w14:paraId="1F37254E" w14:textId="77777777" w:rsidR="00F41043" w:rsidRPr="00F41043" w:rsidRDefault="00F41043" w:rsidP="00F41043">
            <w:pPr>
              <w:spacing w:after="0" w:line="240" w:lineRule="auto"/>
              <w:jc w:val="center"/>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w:t>
            </w:r>
          </w:p>
        </w:tc>
        <w:tc>
          <w:tcPr>
            <w:tcW w:w="580" w:type="pct"/>
            <w:tcBorders>
              <w:top w:val="nil"/>
              <w:left w:val="nil"/>
              <w:bottom w:val="single" w:sz="4" w:space="0" w:color="auto"/>
              <w:right w:val="single" w:sz="4" w:space="0" w:color="auto"/>
            </w:tcBorders>
            <w:shd w:val="clear" w:color="auto" w:fill="auto"/>
            <w:vAlign w:val="center"/>
            <w:hideMark/>
          </w:tcPr>
          <w:p w14:paraId="219EDFE7" w14:textId="77777777" w:rsidR="00F41043" w:rsidRPr="00F41043" w:rsidRDefault="00F41043" w:rsidP="00F41043">
            <w:pPr>
              <w:spacing w:after="0" w:line="240" w:lineRule="auto"/>
              <w:jc w:val="center"/>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w:t>
            </w:r>
          </w:p>
        </w:tc>
        <w:tc>
          <w:tcPr>
            <w:tcW w:w="363" w:type="pct"/>
            <w:tcBorders>
              <w:top w:val="nil"/>
              <w:left w:val="nil"/>
              <w:bottom w:val="single" w:sz="4" w:space="0" w:color="auto"/>
              <w:right w:val="single" w:sz="4" w:space="0" w:color="auto"/>
            </w:tcBorders>
            <w:shd w:val="clear" w:color="auto" w:fill="auto"/>
            <w:vAlign w:val="center"/>
            <w:hideMark/>
          </w:tcPr>
          <w:p w14:paraId="67006E18" w14:textId="77777777" w:rsidR="00F41043" w:rsidRPr="00F41043" w:rsidRDefault="00F41043" w:rsidP="00F41043">
            <w:pPr>
              <w:spacing w:after="0" w:line="240" w:lineRule="auto"/>
              <w:jc w:val="center"/>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w:t>
            </w:r>
          </w:p>
        </w:tc>
        <w:tc>
          <w:tcPr>
            <w:tcW w:w="508" w:type="pct"/>
            <w:tcBorders>
              <w:top w:val="nil"/>
              <w:left w:val="nil"/>
              <w:bottom w:val="single" w:sz="4" w:space="0" w:color="auto"/>
              <w:right w:val="single" w:sz="4" w:space="0" w:color="auto"/>
            </w:tcBorders>
            <w:shd w:val="clear" w:color="auto" w:fill="auto"/>
            <w:vAlign w:val="center"/>
            <w:hideMark/>
          </w:tcPr>
          <w:p w14:paraId="168C6C02" w14:textId="77777777" w:rsidR="00F41043" w:rsidRPr="00F41043" w:rsidRDefault="00F41043" w:rsidP="00F41043">
            <w:pPr>
              <w:spacing w:after="0" w:line="240" w:lineRule="auto"/>
              <w:jc w:val="center"/>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vAlign w:val="center"/>
            <w:hideMark/>
          </w:tcPr>
          <w:p w14:paraId="241841AD" w14:textId="77777777" w:rsidR="00F41043" w:rsidRPr="00F41043" w:rsidRDefault="00F41043" w:rsidP="00F41043">
            <w:pPr>
              <w:spacing w:after="0" w:line="240" w:lineRule="auto"/>
              <w:jc w:val="center"/>
              <w:rPr>
                <w:rFonts w:ascii="Arial" w:eastAsia="Times New Roman" w:hAnsi="Arial" w:cs="Arial"/>
                <w:b/>
                <w:bCs/>
                <w:kern w:val="0"/>
                <w:sz w:val="14"/>
                <w:szCs w:val="14"/>
                <w:lang w:eastAsia="pt-BR"/>
                <w14:ligatures w14:val="none"/>
              </w:rPr>
            </w:pPr>
            <w:r w:rsidRPr="00F41043">
              <w:rPr>
                <w:rFonts w:ascii="Arial" w:eastAsia="Times New Roman" w:hAnsi="Arial" w:cs="Arial"/>
                <w:b/>
                <w:bCs/>
                <w:kern w:val="0"/>
                <w:sz w:val="14"/>
                <w:szCs w:val="14"/>
                <w:lang w:eastAsia="pt-BR"/>
                <w14:ligatures w14:val="none"/>
              </w:rPr>
              <w:t> </w:t>
            </w:r>
          </w:p>
        </w:tc>
      </w:tr>
      <w:tr w:rsidR="00F41043" w:rsidRPr="00F41043" w14:paraId="4A932FF1"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center"/>
            <w:hideMark/>
          </w:tcPr>
          <w:p w14:paraId="722E67B8"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Circulante</w:t>
            </w:r>
          </w:p>
        </w:tc>
        <w:tc>
          <w:tcPr>
            <w:tcW w:w="508" w:type="pct"/>
            <w:tcBorders>
              <w:top w:val="nil"/>
              <w:left w:val="nil"/>
              <w:bottom w:val="single" w:sz="4" w:space="0" w:color="auto"/>
              <w:right w:val="single" w:sz="4" w:space="0" w:color="auto"/>
            </w:tcBorders>
            <w:shd w:val="clear" w:color="auto" w:fill="auto"/>
            <w:noWrap/>
            <w:vAlign w:val="center"/>
            <w:hideMark/>
          </w:tcPr>
          <w:p w14:paraId="794DE76A"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80" w:type="pct"/>
            <w:tcBorders>
              <w:top w:val="nil"/>
              <w:left w:val="nil"/>
              <w:bottom w:val="single" w:sz="4" w:space="0" w:color="auto"/>
              <w:right w:val="single" w:sz="4" w:space="0" w:color="auto"/>
            </w:tcBorders>
            <w:shd w:val="clear" w:color="auto" w:fill="auto"/>
            <w:noWrap/>
            <w:vAlign w:val="center"/>
            <w:hideMark/>
          </w:tcPr>
          <w:p w14:paraId="3CB3CB2A"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363" w:type="pct"/>
            <w:tcBorders>
              <w:top w:val="nil"/>
              <w:left w:val="nil"/>
              <w:bottom w:val="single" w:sz="4" w:space="0" w:color="auto"/>
              <w:right w:val="single" w:sz="4" w:space="0" w:color="auto"/>
            </w:tcBorders>
            <w:shd w:val="clear" w:color="auto" w:fill="auto"/>
            <w:noWrap/>
            <w:vAlign w:val="bottom"/>
            <w:hideMark/>
          </w:tcPr>
          <w:p w14:paraId="5885D543"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08" w:type="pct"/>
            <w:tcBorders>
              <w:top w:val="nil"/>
              <w:left w:val="nil"/>
              <w:bottom w:val="single" w:sz="4" w:space="0" w:color="auto"/>
              <w:right w:val="single" w:sz="4" w:space="0" w:color="auto"/>
            </w:tcBorders>
            <w:shd w:val="clear" w:color="auto" w:fill="auto"/>
            <w:noWrap/>
            <w:vAlign w:val="bottom"/>
            <w:hideMark/>
          </w:tcPr>
          <w:p w14:paraId="21533E5D"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118C3328"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r>
      <w:tr w:rsidR="00F41043" w:rsidRPr="00F41043" w14:paraId="3F359CBF"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center"/>
            <w:hideMark/>
          </w:tcPr>
          <w:p w14:paraId="0BA3030D"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Caixa e Equivalentes de Caixa</w:t>
            </w:r>
          </w:p>
        </w:tc>
        <w:tc>
          <w:tcPr>
            <w:tcW w:w="508" w:type="pct"/>
            <w:tcBorders>
              <w:top w:val="nil"/>
              <w:left w:val="nil"/>
              <w:bottom w:val="single" w:sz="4" w:space="0" w:color="auto"/>
              <w:right w:val="single" w:sz="4" w:space="0" w:color="auto"/>
            </w:tcBorders>
            <w:shd w:val="clear" w:color="auto" w:fill="auto"/>
            <w:noWrap/>
            <w:vAlign w:val="center"/>
            <w:hideMark/>
          </w:tcPr>
          <w:p w14:paraId="07B8BCAD"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143.883 </w:t>
            </w:r>
          </w:p>
        </w:tc>
        <w:tc>
          <w:tcPr>
            <w:tcW w:w="580" w:type="pct"/>
            <w:tcBorders>
              <w:top w:val="nil"/>
              <w:left w:val="nil"/>
              <w:bottom w:val="single" w:sz="4" w:space="0" w:color="auto"/>
              <w:right w:val="single" w:sz="4" w:space="0" w:color="auto"/>
            </w:tcBorders>
            <w:shd w:val="clear" w:color="auto" w:fill="auto"/>
            <w:noWrap/>
            <w:vAlign w:val="center"/>
            <w:hideMark/>
          </w:tcPr>
          <w:p w14:paraId="552B001A"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363" w:type="pct"/>
            <w:tcBorders>
              <w:top w:val="nil"/>
              <w:left w:val="nil"/>
              <w:bottom w:val="single" w:sz="4" w:space="0" w:color="auto"/>
              <w:right w:val="single" w:sz="4" w:space="0" w:color="auto"/>
            </w:tcBorders>
            <w:shd w:val="clear" w:color="auto" w:fill="auto"/>
            <w:noWrap/>
            <w:vAlign w:val="bottom"/>
            <w:hideMark/>
          </w:tcPr>
          <w:p w14:paraId="6DAFDBAE"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08" w:type="pct"/>
            <w:tcBorders>
              <w:top w:val="nil"/>
              <w:left w:val="nil"/>
              <w:bottom w:val="single" w:sz="4" w:space="0" w:color="auto"/>
              <w:right w:val="single" w:sz="4" w:space="0" w:color="auto"/>
            </w:tcBorders>
            <w:shd w:val="clear" w:color="auto" w:fill="auto"/>
            <w:noWrap/>
            <w:vAlign w:val="bottom"/>
            <w:hideMark/>
          </w:tcPr>
          <w:p w14:paraId="0E8B942E"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1BC066D4"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143.883 </w:t>
            </w:r>
          </w:p>
        </w:tc>
      </w:tr>
      <w:tr w:rsidR="00F41043" w:rsidRPr="00F41043" w14:paraId="1004B5E8"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center"/>
            <w:hideMark/>
          </w:tcPr>
          <w:p w14:paraId="06CB1B0A"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lastRenderedPageBreak/>
              <w:t>Contas a Receber de Clientes</w:t>
            </w:r>
          </w:p>
        </w:tc>
        <w:tc>
          <w:tcPr>
            <w:tcW w:w="508" w:type="pct"/>
            <w:tcBorders>
              <w:top w:val="nil"/>
              <w:left w:val="nil"/>
              <w:bottom w:val="single" w:sz="4" w:space="0" w:color="auto"/>
              <w:right w:val="single" w:sz="4" w:space="0" w:color="auto"/>
            </w:tcBorders>
            <w:shd w:val="clear" w:color="auto" w:fill="auto"/>
            <w:noWrap/>
            <w:vAlign w:val="center"/>
            <w:hideMark/>
          </w:tcPr>
          <w:p w14:paraId="38D90555"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94.672 </w:t>
            </w:r>
          </w:p>
        </w:tc>
        <w:tc>
          <w:tcPr>
            <w:tcW w:w="580" w:type="pct"/>
            <w:tcBorders>
              <w:top w:val="nil"/>
              <w:left w:val="nil"/>
              <w:bottom w:val="single" w:sz="4" w:space="0" w:color="auto"/>
              <w:right w:val="single" w:sz="4" w:space="0" w:color="auto"/>
            </w:tcBorders>
            <w:shd w:val="clear" w:color="auto" w:fill="auto"/>
            <w:noWrap/>
            <w:vAlign w:val="center"/>
            <w:hideMark/>
          </w:tcPr>
          <w:p w14:paraId="78AE5848"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363" w:type="pct"/>
            <w:tcBorders>
              <w:top w:val="nil"/>
              <w:left w:val="nil"/>
              <w:bottom w:val="single" w:sz="4" w:space="0" w:color="auto"/>
              <w:right w:val="single" w:sz="4" w:space="0" w:color="auto"/>
            </w:tcBorders>
            <w:shd w:val="clear" w:color="auto" w:fill="auto"/>
            <w:noWrap/>
            <w:vAlign w:val="bottom"/>
            <w:hideMark/>
          </w:tcPr>
          <w:p w14:paraId="537DAA28"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08" w:type="pct"/>
            <w:tcBorders>
              <w:top w:val="nil"/>
              <w:left w:val="nil"/>
              <w:bottom w:val="single" w:sz="4" w:space="0" w:color="auto"/>
              <w:right w:val="single" w:sz="4" w:space="0" w:color="auto"/>
            </w:tcBorders>
            <w:shd w:val="clear" w:color="auto" w:fill="auto"/>
            <w:noWrap/>
            <w:vAlign w:val="bottom"/>
            <w:hideMark/>
          </w:tcPr>
          <w:p w14:paraId="16F59EDE"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67DC786C"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94.672 </w:t>
            </w:r>
          </w:p>
        </w:tc>
      </w:tr>
      <w:tr w:rsidR="00F41043" w:rsidRPr="00F41043" w14:paraId="1DD2737B"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center"/>
            <w:hideMark/>
          </w:tcPr>
          <w:p w14:paraId="1FC343A0"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Tributos a Compensar/Recuperar</w:t>
            </w:r>
          </w:p>
        </w:tc>
        <w:tc>
          <w:tcPr>
            <w:tcW w:w="508" w:type="pct"/>
            <w:tcBorders>
              <w:top w:val="nil"/>
              <w:left w:val="nil"/>
              <w:bottom w:val="single" w:sz="4" w:space="0" w:color="auto"/>
              <w:right w:val="single" w:sz="4" w:space="0" w:color="auto"/>
            </w:tcBorders>
            <w:shd w:val="clear" w:color="auto" w:fill="auto"/>
            <w:noWrap/>
            <w:vAlign w:val="center"/>
            <w:hideMark/>
          </w:tcPr>
          <w:p w14:paraId="21060966"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137.598 </w:t>
            </w:r>
          </w:p>
        </w:tc>
        <w:tc>
          <w:tcPr>
            <w:tcW w:w="580" w:type="pct"/>
            <w:tcBorders>
              <w:top w:val="nil"/>
              <w:left w:val="nil"/>
              <w:bottom w:val="single" w:sz="4" w:space="0" w:color="auto"/>
              <w:right w:val="single" w:sz="4" w:space="0" w:color="auto"/>
            </w:tcBorders>
            <w:shd w:val="clear" w:color="auto" w:fill="auto"/>
            <w:noWrap/>
            <w:vAlign w:val="bottom"/>
            <w:hideMark/>
          </w:tcPr>
          <w:p w14:paraId="7FA35156"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363" w:type="pct"/>
            <w:tcBorders>
              <w:top w:val="nil"/>
              <w:left w:val="nil"/>
              <w:bottom w:val="single" w:sz="4" w:space="0" w:color="auto"/>
              <w:right w:val="single" w:sz="4" w:space="0" w:color="auto"/>
            </w:tcBorders>
            <w:shd w:val="clear" w:color="auto" w:fill="auto"/>
            <w:noWrap/>
            <w:vAlign w:val="bottom"/>
            <w:hideMark/>
          </w:tcPr>
          <w:p w14:paraId="377454CB"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08" w:type="pct"/>
            <w:tcBorders>
              <w:top w:val="nil"/>
              <w:left w:val="nil"/>
              <w:bottom w:val="single" w:sz="4" w:space="0" w:color="auto"/>
              <w:right w:val="single" w:sz="4" w:space="0" w:color="auto"/>
            </w:tcBorders>
            <w:shd w:val="clear" w:color="auto" w:fill="auto"/>
            <w:noWrap/>
            <w:vAlign w:val="bottom"/>
            <w:hideMark/>
          </w:tcPr>
          <w:p w14:paraId="04E5AFAA"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7A90BDE8"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137.598 </w:t>
            </w:r>
          </w:p>
        </w:tc>
      </w:tr>
      <w:tr w:rsidR="00F41043" w:rsidRPr="00F41043" w14:paraId="45F73695"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center"/>
            <w:hideMark/>
          </w:tcPr>
          <w:p w14:paraId="2DA4F573"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Depósitos Judiciais</w:t>
            </w:r>
          </w:p>
        </w:tc>
        <w:tc>
          <w:tcPr>
            <w:tcW w:w="508" w:type="pct"/>
            <w:tcBorders>
              <w:top w:val="nil"/>
              <w:left w:val="nil"/>
              <w:bottom w:val="single" w:sz="4" w:space="0" w:color="auto"/>
              <w:right w:val="single" w:sz="4" w:space="0" w:color="auto"/>
            </w:tcBorders>
            <w:shd w:val="clear" w:color="auto" w:fill="auto"/>
            <w:noWrap/>
            <w:vAlign w:val="center"/>
            <w:hideMark/>
          </w:tcPr>
          <w:p w14:paraId="2C69065C"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7.769 </w:t>
            </w:r>
          </w:p>
        </w:tc>
        <w:tc>
          <w:tcPr>
            <w:tcW w:w="580" w:type="pct"/>
            <w:tcBorders>
              <w:top w:val="nil"/>
              <w:left w:val="nil"/>
              <w:bottom w:val="single" w:sz="4" w:space="0" w:color="auto"/>
              <w:right w:val="single" w:sz="4" w:space="0" w:color="auto"/>
            </w:tcBorders>
            <w:shd w:val="clear" w:color="auto" w:fill="auto"/>
            <w:noWrap/>
            <w:vAlign w:val="center"/>
            <w:hideMark/>
          </w:tcPr>
          <w:p w14:paraId="5425B922"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363" w:type="pct"/>
            <w:tcBorders>
              <w:top w:val="nil"/>
              <w:left w:val="nil"/>
              <w:bottom w:val="single" w:sz="4" w:space="0" w:color="auto"/>
              <w:right w:val="single" w:sz="4" w:space="0" w:color="auto"/>
            </w:tcBorders>
            <w:shd w:val="clear" w:color="auto" w:fill="auto"/>
            <w:noWrap/>
            <w:vAlign w:val="bottom"/>
            <w:hideMark/>
          </w:tcPr>
          <w:p w14:paraId="463C32A8"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08" w:type="pct"/>
            <w:tcBorders>
              <w:top w:val="nil"/>
              <w:left w:val="nil"/>
              <w:bottom w:val="single" w:sz="4" w:space="0" w:color="auto"/>
              <w:right w:val="single" w:sz="4" w:space="0" w:color="auto"/>
            </w:tcBorders>
            <w:shd w:val="clear" w:color="auto" w:fill="auto"/>
            <w:noWrap/>
            <w:vAlign w:val="bottom"/>
            <w:hideMark/>
          </w:tcPr>
          <w:p w14:paraId="0E7020B0"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7EA2C89D"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7.769 </w:t>
            </w:r>
          </w:p>
        </w:tc>
      </w:tr>
      <w:tr w:rsidR="00F41043" w:rsidRPr="00F41043" w14:paraId="7962B2E6"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center"/>
            <w:hideMark/>
          </w:tcPr>
          <w:p w14:paraId="37F5BC3C"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Aplicações Financeiras</w:t>
            </w:r>
          </w:p>
        </w:tc>
        <w:tc>
          <w:tcPr>
            <w:tcW w:w="508" w:type="pct"/>
            <w:tcBorders>
              <w:top w:val="nil"/>
              <w:left w:val="nil"/>
              <w:bottom w:val="single" w:sz="4" w:space="0" w:color="auto"/>
              <w:right w:val="single" w:sz="4" w:space="0" w:color="auto"/>
            </w:tcBorders>
            <w:shd w:val="clear" w:color="auto" w:fill="auto"/>
            <w:noWrap/>
            <w:vAlign w:val="center"/>
            <w:hideMark/>
          </w:tcPr>
          <w:p w14:paraId="694315EC"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822.352 </w:t>
            </w:r>
          </w:p>
        </w:tc>
        <w:tc>
          <w:tcPr>
            <w:tcW w:w="580" w:type="pct"/>
            <w:tcBorders>
              <w:top w:val="nil"/>
              <w:left w:val="nil"/>
              <w:bottom w:val="single" w:sz="4" w:space="0" w:color="auto"/>
              <w:right w:val="single" w:sz="4" w:space="0" w:color="auto"/>
            </w:tcBorders>
            <w:shd w:val="clear" w:color="auto" w:fill="auto"/>
            <w:noWrap/>
            <w:vAlign w:val="bottom"/>
            <w:hideMark/>
          </w:tcPr>
          <w:p w14:paraId="4DACED8E"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363" w:type="pct"/>
            <w:tcBorders>
              <w:top w:val="nil"/>
              <w:left w:val="nil"/>
              <w:bottom w:val="single" w:sz="4" w:space="0" w:color="auto"/>
              <w:right w:val="single" w:sz="4" w:space="0" w:color="auto"/>
            </w:tcBorders>
            <w:shd w:val="clear" w:color="auto" w:fill="auto"/>
            <w:noWrap/>
            <w:vAlign w:val="bottom"/>
            <w:hideMark/>
          </w:tcPr>
          <w:p w14:paraId="7E222CDC"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08" w:type="pct"/>
            <w:tcBorders>
              <w:top w:val="nil"/>
              <w:left w:val="nil"/>
              <w:bottom w:val="single" w:sz="4" w:space="0" w:color="auto"/>
              <w:right w:val="single" w:sz="4" w:space="0" w:color="auto"/>
            </w:tcBorders>
            <w:shd w:val="clear" w:color="auto" w:fill="auto"/>
            <w:noWrap/>
            <w:vAlign w:val="bottom"/>
            <w:hideMark/>
          </w:tcPr>
          <w:p w14:paraId="001FF0AF"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64610752"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822.352 </w:t>
            </w:r>
          </w:p>
        </w:tc>
      </w:tr>
      <w:tr w:rsidR="00F41043" w:rsidRPr="00F41043" w14:paraId="3178B133"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bottom"/>
            <w:hideMark/>
          </w:tcPr>
          <w:p w14:paraId="5A760F2C"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Superávit - Previdência Privada</w:t>
            </w:r>
          </w:p>
        </w:tc>
        <w:tc>
          <w:tcPr>
            <w:tcW w:w="508" w:type="pct"/>
            <w:tcBorders>
              <w:top w:val="nil"/>
              <w:left w:val="nil"/>
              <w:bottom w:val="single" w:sz="4" w:space="0" w:color="auto"/>
              <w:right w:val="single" w:sz="4" w:space="0" w:color="auto"/>
            </w:tcBorders>
            <w:shd w:val="clear" w:color="auto" w:fill="auto"/>
            <w:noWrap/>
            <w:vAlign w:val="center"/>
            <w:hideMark/>
          </w:tcPr>
          <w:p w14:paraId="7E31014B"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74.112 </w:t>
            </w:r>
          </w:p>
        </w:tc>
        <w:tc>
          <w:tcPr>
            <w:tcW w:w="580" w:type="pct"/>
            <w:tcBorders>
              <w:top w:val="nil"/>
              <w:left w:val="nil"/>
              <w:bottom w:val="single" w:sz="4" w:space="0" w:color="auto"/>
              <w:right w:val="single" w:sz="4" w:space="0" w:color="auto"/>
            </w:tcBorders>
            <w:shd w:val="clear" w:color="auto" w:fill="auto"/>
            <w:noWrap/>
            <w:vAlign w:val="bottom"/>
            <w:hideMark/>
          </w:tcPr>
          <w:p w14:paraId="390B932E"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363" w:type="pct"/>
            <w:tcBorders>
              <w:top w:val="nil"/>
              <w:left w:val="nil"/>
              <w:bottom w:val="single" w:sz="4" w:space="0" w:color="auto"/>
              <w:right w:val="single" w:sz="4" w:space="0" w:color="auto"/>
            </w:tcBorders>
            <w:shd w:val="clear" w:color="auto" w:fill="auto"/>
            <w:noWrap/>
            <w:vAlign w:val="bottom"/>
            <w:hideMark/>
          </w:tcPr>
          <w:p w14:paraId="0C1A2C26"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08" w:type="pct"/>
            <w:tcBorders>
              <w:top w:val="nil"/>
              <w:left w:val="nil"/>
              <w:bottom w:val="single" w:sz="4" w:space="0" w:color="auto"/>
              <w:right w:val="single" w:sz="4" w:space="0" w:color="auto"/>
            </w:tcBorders>
            <w:shd w:val="clear" w:color="auto" w:fill="auto"/>
            <w:noWrap/>
            <w:vAlign w:val="bottom"/>
            <w:hideMark/>
          </w:tcPr>
          <w:p w14:paraId="631C5883"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517C87F5"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74.112 </w:t>
            </w:r>
          </w:p>
        </w:tc>
      </w:tr>
      <w:tr w:rsidR="00F41043" w:rsidRPr="00F41043" w14:paraId="45EE203A"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bottom"/>
            <w:hideMark/>
          </w:tcPr>
          <w:p w14:paraId="7E32BA47"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Valores a Receber de Colaboradores Cedidos</w:t>
            </w:r>
          </w:p>
        </w:tc>
        <w:tc>
          <w:tcPr>
            <w:tcW w:w="508" w:type="pct"/>
            <w:tcBorders>
              <w:top w:val="nil"/>
              <w:left w:val="nil"/>
              <w:bottom w:val="single" w:sz="4" w:space="0" w:color="auto"/>
              <w:right w:val="single" w:sz="4" w:space="0" w:color="auto"/>
            </w:tcBorders>
            <w:shd w:val="clear" w:color="auto" w:fill="auto"/>
            <w:noWrap/>
            <w:vAlign w:val="center"/>
            <w:hideMark/>
          </w:tcPr>
          <w:p w14:paraId="7B21444E"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1.945 </w:t>
            </w:r>
          </w:p>
        </w:tc>
        <w:tc>
          <w:tcPr>
            <w:tcW w:w="580" w:type="pct"/>
            <w:tcBorders>
              <w:top w:val="nil"/>
              <w:left w:val="nil"/>
              <w:bottom w:val="single" w:sz="4" w:space="0" w:color="auto"/>
              <w:right w:val="single" w:sz="4" w:space="0" w:color="auto"/>
            </w:tcBorders>
            <w:shd w:val="clear" w:color="auto" w:fill="auto"/>
            <w:noWrap/>
            <w:vAlign w:val="bottom"/>
            <w:hideMark/>
          </w:tcPr>
          <w:p w14:paraId="464650C2"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363" w:type="pct"/>
            <w:tcBorders>
              <w:top w:val="nil"/>
              <w:left w:val="nil"/>
              <w:bottom w:val="single" w:sz="4" w:space="0" w:color="auto"/>
              <w:right w:val="single" w:sz="4" w:space="0" w:color="auto"/>
            </w:tcBorders>
            <w:shd w:val="clear" w:color="auto" w:fill="auto"/>
            <w:noWrap/>
            <w:vAlign w:val="bottom"/>
            <w:hideMark/>
          </w:tcPr>
          <w:p w14:paraId="1294F606"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08" w:type="pct"/>
            <w:tcBorders>
              <w:top w:val="nil"/>
              <w:left w:val="nil"/>
              <w:bottom w:val="single" w:sz="4" w:space="0" w:color="auto"/>
              <w:right w:val="single" w:sz="4" w:space="0" w:color="auto"/>
            </w:tcBorders>
            <w:shd w:val="clear" w:color="auto" w:fill="auto"/>
            <w:noWrap/>
            <w:vAlign w:val="bottom"/>
            <w:hideMark/>
          </w:tcPr>
          <w:p w14:paraId="77AF0BF5"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116AB6A9"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1.945 </w:t>
            </w:r>
          </w:p>
        </w:tc>
      </w:tr>
      <w:tr w:rsidR="00F41043" w:rsidRPr="00F41043" w14:paraId="0C8E2378"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center"/>
            <w:hideMark/>
          </w:tcPr>
          <w:p w14:paraId="5B5718B3"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Outros Ativos Realizáveis</w:t>
            </w:r>
          </w:p>
        </w:tc>
        <w:tc>
          <w:tcPr>
            <w:tcW w:w="508" w:type="pct"/>
            <w:tcBorders>
              <w:top w:val="nil"/>
              <w:left w:val="nil"/>
              <w:bottom w:val="single" w:sz="4" w:space="0" w:color="auto"/>
              <w:right w:val="single" w:sz="4" w:space="0" w:color="auto"/>
            </w:tcBorders>
            <w:shd w:val="clear" w:color="auto" w:fill="auto"/>
            <w:noWrap/>
            <w:vAlign w:val="center"/>
            <w:hideMark/>
          </w:tcPr>
          <w:p w14:paraId="375B7DBE"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34.198 </w:t>
            </w:r>
          </w:p>
        </w:tc>
        <w:tc>
          <w:tcPr>
            <w:tcW w:w="580" w:type="pct"/>
            <w:tcBorders>
              <w:top w:val="nil"/>
              <w:left w:val="nil"/>
              <w:bottom w:val="single" w:sz="4" w:space="0" w:color="auto"/>
              <w:right w:val="single" w:sz="4" w:space="0" w:color="auto"/>
            </w:tcBorders>
            <w:shd w:val="clear" w:color="auto" w:fill="auto"/>
            <w:noWrap/>
            <w:vAlign w:val="center"/>
            <w:hideMark/>
          </w:tcPr>
          <w:p w14:paraId="4BF3BF62"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363" w:type="pct"/>
            <w:tcBorders>
              <w:top w:val="nil"/>
              <w:left w:val="nil"/>
              <w:bottom w:val="single" w:sz="4" w:space="0" w:color="auto"/>
              <w:right w:val="single" w:sz="4" w:space="0" w:color="auto"/>
            </w:tcBorders>
            <w:shd w:val="clear" w:color="auto" w:fill="auto"/>
            <w:noWrap/>
            <w:vAlign w:val="bottom"/>
            <w:hideMark/>
          </w:tcPr>
          <w:p w14:paraId="6101F8E1"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08" w:type="pct"/>
            <w:tcBorders>
              <w:top w:val="nil"/>
              <w:left w:val="nil"/>
              <w:bottom w:val="single" w:sz="4" w:space="0" w:color="auto"/>
              <w:right w:val="single" w:sz="4" w:space="0" w:color="auto"/>
            </w:tcBorders>
            <w:shd w:val="clear" w:color="auto" w:fill="auto"/>
            <w:noWrap/>
            <w:vAlign w:val="bottom"/>
            <w:hideMark/>
          </w:tcPr>
          <w:p w14:paraId="23B5A742"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0ADE4873"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34.198 </w:t>
            </w:r>
          </w:p>
        </w:tc>
      </w:tr>
      <w:tr w:rsidR="00F41043" w:rsidRPr="00F41043" w14:paraId="128C8F69"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center"/>
            <w:hideMark/>
          </w:tcPr>
          <w:p w14:paraId="43F37535"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Total do Circulante</w:t>
            </w:r>
          </w:p>
        </w:tc>
        <w:tc>
          <w:tcPr>
            <w:tcW w:w="508" w:type="pct"/>
            <w:tcBorders>
              <w:top w:val="nil"/>
              <w:left w:val="nil"/>
              <w:bottom w:val="single" w:sz="4" w:space="0" w:color="auto"/>
              <w:right w:val="single" w:sz="4" w:space="0" w:color="auto"/>
            </w:tcBorders>
            <w:shd w:val="clear" w:color="auto" w:fill="auto"/>
            <w:noWrap/>
            <w:vAlign w:val="center"/>
            <w:hideMark/>
          </w:tcPr>
          <w:p w14:paraId="6DE43816"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1.316.529 </w:t>
            </w:r>
          </w:p>
        </w:tc>
        <w:tc>
          <w:tcPr>
            <w:tcW w:w="580" w:type="pct"/>
            <w:tcBorders>
              <w:top w:val="nil"/>
              <w:left w:val="nil"/>
              <w:bottom w:val="single" w:sz="4" w:space="0" w:color="auto"/>
              <w:right w:val="single" w:sz="4" w:space="0" w:color="auto"/>
            </w:tcBorders>
            <w:shd w:val="clear" w:color="auto" w:fill="auto"/>
            <w:noWrap/>
            <w:vAlign w:val="center"/>
            <w:hideMark/>
          </w:tcPr>
          <w:p w14:paraId="674888EB"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   </w:t>
            </w:r>
          </w:p>
        </w:tc>
        <w:tc>
          <w:tcPr>
            <w:tcW w:w="363" w:type="pct"/>
            <w:tcBorders>
              <w:top w:val="nil"/>
              <w:left w:val="nil"/>
              <w:bottom w:val="single" w:sz="4" w:space="0" w:color="auto"/>
              <w:right w:val="single" w:sz="4" w:space="0" w:color="auto"/>
            </w:tcBorders>
            <w:shd w:val="clear" w:color="auto" w:fill="auto"/>
            <w:noWrap/>
            <w:vAlign w:val="center"/>
            <w:hideMark/>
          </w:tcPr>
          <w:p w14:paraId="64B992FC"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   </w:t>
            </w:r>
          </w:p>
        </w:tc>
        <w:tc>
          <w:tcPr>
            <w:tcW w:w="508" w:type="pct"/>
            <w:tcBorders>
              <w:top w:val="nil"/>
              <w:left w:val="nil"/>
              <w:bottom w:val="single" w:sz="4" w:space="0" w:color="auto"/>
              <w:right w:val="single" w:sz="4" w:space="0" w:color="auto"/>
            </w:tcBorders>
            <w:shd w:val="clear" w:color="auto" w:fill="auto"/>
            <w:noWrap/>
            <w:vAlign w:val="center"/>
            <w:hideMark/>
          </w:tcPr>
          <w:p w14:paraId="3E48B1CD"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center"/>
            <w:hideMark/>
          </w:tcPr>
          <w:p w14:paraId="05D9E0AA"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1.316.529 </w:t>
            </w:r>
          </w:p>
        </w:tc>
      </w:tr>
      <w:tr w:rsidR="00F41043" w:rsidRPr="00F41043" w14:paraId="79D6BDF7"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center"/>
            <w:hideMark/>
          </w:tcPr>
          <w:p w14:paraId="356664B8"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Não Circulante</w:t>
            </w:r>
          </w:p>
        </w:tc>
        <w:tc>
          <w:tcPr>
            <w:tcW w:w="508" w:type="pct"/>
            <w:tcBorders>
              <w:top w:val="nil"/>
              <w:left w:val="nil"/>
              <w:bottom w:val="single" w:sz="4" w:space="0" w:color="auto"/>
              <w:right w:val="single" w:sz="4" w:space="0" w:color="auto"/>
            </w:tcBorders>
            <w:shd w:val="clear" w:color="auto" w:fill="auto"/>
            <w:noWrap/>
            <w:vAlign w:val="center"/>
            <w:hideMark/>
          </w:tcPr>
          <w:p w14:paraId="3432BBD0"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80" w:type="pct"/>
            <w:tcBorders>
              <w:top w:val="nil"/>
              <w:left w:val="nil"/>
              <w:bottom w:val="single" w:sz="4" w:space="0" w:color="auto"/>
              <w:right w:val="single" w:sz="4" w:space="0" w:color="auto"/>
            </w:tcBorders>
            <w:shd w:val="clear" w:color="auto" w:fill="auto"/>
            <w:noWrap/>
            <w:vAlign w:val="center"/>
            <w:hideMark/>
          </w:tcPr>
          <w:p w14:paraId="195BF3A8"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363" w:type="pct"/>
            <w:tcBorders>
              <w:top w:val="nil"/>
              <w:left w:val="nil"/>
              <w:bottom w:val="single" w:sz="4" w:space="0" w:color="auto"/>
              <w:right w:val="single" w:sz="4" w:space="0" w:color="auto"/>
            </w:tcBorders>
            <w:shd w:val="clear" w:color="auto" w:fill="auto"/>
            <w:noWrap/>
            <w:vAlign w:val="bottom"/>
            <w:hideMark/>
          </w:tcPr>
          <w:p w14:paraId="779F2661"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08" w:type="pct"/>
            <w:tcBorders>
              <w:top w:val="nil"/>
              <w:left w:val="nil"/>
              <w:bottom w:val="single" w:sz="4" w:space="0" w:color="auto"/>
              <w:right w:val="single" w:sz="4" w:space="0" w:color="auto"/>
            </w:tcBorders>
            <w:shd w:val="clear" w:color="auto" w:fill="auto"/>
            <w:noWrap/>
            <w:vAlign w:val="bottom"/>
            <w:hideMark/>
          </w:tcPr>
          <w:p w14:paraId="2F9059D7"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4FD357A9"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r>
      <w:tr w:rsidR="00F41043" w:rsidRPr="00F41043" w14:paraId="775BD6D7"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bottom"/>
            <w:hideMark/>
          </w:tcPr>
          <w:p w14:paraId="3E42A930"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Aplicações Financeiras</w:t>
            </w:r>
          </w:p>
        </w:tc>
        <w:tc>
          <w:tcPr>
            <w:tcW w:w="508" w:type="pct"/>
            <w:tcBorders>
              <w:top w:val="nil"/>
              <w:left w:val="nil"/>
              <w:bottom w:val="single" w:sz="4" w:space="0" w:color="auto"/>
              <w:right w:val="single" w:sz="4" w:space="0" w:color="auto"/>
            </w:tcBorders>
            <w:shd w:val="clear" w:color="auto" w:fill="auto"/>
            <w:noWrap/>
            <w:vAlign w:val="center"/>
            <w:hideMark/>
          </w:tcPr>
          <w:p w14:paraId="1E61650A"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64.608 </w:t>
            </w:r>
          </w:p>
        </w:tc>
        <w:tc>
          <w:tcPr>
            <w:tcW w:w="580" w:type="pct"/>
            <w:tcBorders>
              <w:top w:val="nil"/>
              <w:left w:val="nil"/>
              <w:bottom w:val="single" w:sz="4" w:space="0" w:color="auto"/>
              <w:right w:val="single" w:sz="4" w:space="0" w:color="auto"/>
            </w:tcBorders>
            <w:shd w:val="clear" w:color="auto" w:fill="auto"/>
            <w:noWrap/>
            <w:vAlign w:val="bottom"/>
            <w:hideMark/>
          </w:tcPr>
          <w:p w14:paraId="196DF8DE"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363" w:type="pct"/>
            <w:tcBorders>
              <w:top w:val="nil"/>
              <w:left w:val="nil"/>
              <w:bottom w:val="single" w:sz="4" w:space="0" w:color="auto"/>
              <w:right w:val="single" w:sz="4" w:space="0" w:color="auto"/>
            </w:tcBorders>
            <w:shd w:val="clear" w:color="auto" w:fill="auto"/>
            <w:noWrap/>
            <w:vAlign w:val="bottom"/>
            <w:hideMark/>
          </w:tcPr>
          <w:p w14:paraId="2AF11406"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08" w:type="pct"/>
            <w:tcBorders>
              <w:top w:val="nil"/>
              <w:left w:val="nil"/>
              <w:bottom w:val="single" w:sz="4" w:space="0" w:color="auto"/>
              <w:right w:val="single" w:sz="4" w:space="0" w:color="auto"/>
            </w:tcBorders>
            <w:shd w:val="clear" w:color="auto" w:fill="auto"/>
            <w:noWrap/>
            <w:vAlign w:val="bottom"/>
            <w:hideMark/>
          </w:tcPr>
          <w:p w14:paraId="7D99E692"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142F5851"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64.608 </w:t>
            </w:r>
          </w:p>
        </w:tc>
      </w:tr>
      <w:tr w:rsidR="00F41043" w:rsidRPr="00F41043" w14:paraId="004F0935"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center"/>
            <w:hideMark/>
          </w:tcPr>
          <w:p w14:paraId="194DF7E2"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Tributos a Compensar/Recuperar</w:t>
            </w:r>
          </w:p>
        </w:tc>
        <w:tc>
          <w:tcPr>
            <w:tcW w:w="508" w:type="pct"/>
            <w:tcBorders>
              <w:top w:val="nil"/>
              <w:left w:val="nil"/>
              <w:bottom w:val="single" w:sz="4" w:space="0" w:color="auto"/>
              <w:right w:val="single" w:sz="4" w:space="0" w:color="auto"/>
            </w:tcBorders>
            <w:shd w:val="clear" w:color="auto" w:fill="auto"/>
            <w:noWrap/>
            <w:vAlign w:val="center"/>
            <w:hideMark/>
          </w:tcPr>
          <w:p w14:paraId="5F2B63A7"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3.911 </w:t>
            </w:r>
          </w:p>
        </w:tc>
        <w:tc>
          <w:tcPr>
            <w:tcW w:w="580" w:type="pct"/>
            <w:tcBorders>
              <w:top w:val="nil"/>
              <w:left w:val="nil"/>
              <w:bottom w:val="single" w:sz="4" w:space="0" w:color="auto"/>
              <w:right w:val="single" w:sz="4" w:space="0" w:color="auto"/>
            </w:tcBorders>
            <w:shd w:val="clear" w:color="auto" w:fill="auto"/>
            <w:noWrap/>
            <w:vAlign w:val="center"/>
            <w:hideMark/>
          </w:tcPr>
          <w:p w14:paraId="1E9AF39C"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363" w:type="pct"/>
            <w:tcBorders>
              <w:top w:val="nil"/>
              <w:left w:val="nil"/>
              <w:bottom w:val="single" w:sz="4" w:space="0" w:color="auto"/>
              <w:right w:val="single" w:sz="4" w:space="0" w:color="auto"/>
            </w:tcBorders>
            <w:shd w:val="clear" w:color="auto" w:fill="auto"/>
            <w:noWrap/>
            <w:vAlign w:val="bottom"/>
            <w:hideMark/>
          </w:tcPr>
          <w:p w14:paraId="39805767"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08" w:type="pct"/>
            <w:tcBorders>
              <w:top w:val="nil"/>
              <w:left w:val="nil"/>
              <w:bottom w:val="single" w:sz="4" w:space="0" w:color="auto"/>
              <w:right w:val="single" w:sz="4" w:space="0" w:color="auto"/>
            </w:tcBorders>
            <w:shd w:val="clear" w:color="auto" w:fill="auto"/>
            <w:noWrap/>
            <w:vAlign w:val="bottom"/>
            <w:hideMark/>
          </w:tcPr>
          <w:p w14:paraId="0BA5D8F2"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74807D2C"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3.911 </w:t>
            </w:r>
          </w:p>
        </w:tc>
      </w:tr>
      <w:tr w:rsidR="00F41043" w:rsidRPr="00F41043" w14:paraId="58216445"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bottom"/>
            <w:hideMark/>
          </w:tcPr>
          <w:p w14:paraId="7320F26B"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Depósitos Judiciais</w:t>
            </w:r>
          </w:p>
        </w:tc>
        <w:tc>
          <w:tcPr>
            <w:tcW w:w="508" w:type="pct"/>
            <w:tcBorders>
              <w:top w:val="nil"/>
              <w:left w:val="nil"/>
              <w:bottom w:val="single" w:sz="4" w:space="0" w:color="auto"/>
              <w:right w:val="single" w:sz="4" w:space="0" w:color="auto"/>
            </w:tcBorders>
            <w:shd w:val="clear" w:color="auto" w:fill="auto"/>
            <w:noWrap/>
            <w:vAlign w:val="center"/>
            <w:hideMark/>
          </w:tcPr>
          <w:p w14:paraId="5200ED9B"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35.066 </w:t>
            </w:r>
          </w:p>
        </w:tc>
        <w:tc>
          <w:tcPr>
            <w:tcW w:w="580" w:type="pct"/>
            <w:tcBorders>
              <w:top w:val="nil"/>
              <w:left w:val="nil"/>
              <w:bottom w:val="single" w:sz="4" w:space="0" w:color="auto"/>
              <w:right w:val="single" w:sz="4" w:space="0" w:color="auto"/>
            </w:tcBorders>
            <w:shd w:val="clear" w:color="auto" w:fill="auto"/>
            <w:noWrap/>
            <w:vAlign w:val="bottom"/>
            <w:hideMark/>
          </w:tcPr>
          <w:p w14:paraId="08A82968"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363" w:type="pct"/>
            <w:tcBorders>
              <w:top w:val="nil"/>
              <w:left w:val="nil"/>
              <w:bottom w:val="single" w:sz="4" w:space="0" w:color="auto"/>
              <w:right w:val="single" w:sz="4" w:space="0" w:color="auto"/>
            </w:tcBorders>
            <w:shd w:val="clear" w:color="auto" w:fill="auto"/>
            <w:noWrap/>
            <w:vAlign w:val="bottom"/>
            <w:hideMark/>
          </w:tcPr>
          <w:p w14:paraId="364922F2"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08" w:type="pct"/>
            <w:tcBorders>
              <w:top w:val="nil"/>
              <w:left w:val="nil"/>
              <w:bottom w:val="single" w:sz="4" w:space="0" w:color="auto"/>
              <w:right w:val="single" w:sz="4" w:space="0" w:color="auto"/>
            </w:tcBorders>
            <w:shd w:val="clear" w:color="auto" w:fill="auto"/>
            <w:noWrap/>
            <w:vAlign w:val="bottom"/>
            <w:hideMark/>
          </w:tcPr>
          <w:p w14:paraId="2ECE5F2E"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3E262334"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35.066 </w:t>
            </w:r>
          </w:p>
        </w:tc>
      </w:tr>
      <w:tr w:rsidR="00F41043" w:rsidRPr="00F41043" w14:paraId="0BBCD3E0"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center"/>
            <w:hideMark/>
          </w:tcPr>
          <w:p w14:paraId="141097DE"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Dividendos a Receber</w:t>
            </w:r>
          </w:p>
        </w:tc>
        <w:tc>
          <w:tcPr>
            <w:tcW w:w="508" w:type="pct"/>
            <w:tcBorders>
              <w:top w:val="nil"/>
              <w:left w:val="nil"/>
              <w:bottom w:val="single" w:sz="4" w:space="0" w:color="auto"/>
              <w:right w:val="single" w:sz="4" w:space="0" w:color="auto"/>
            </w:tcBorders>
            <w:shd w:val="clear" w:color="auto" w:fill="auto"/>
            <w:noWrap/>
            <w:vAlign w:val="center"/>
            <w:hideMark/>
          </w:tcPr>
          <w:p w14:paraId="5B9EC93B"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5.456 </w:t>
            </w:r>
          </w:p>
        </w:tc>
        <w:tc>
          <w:tcPr>
            <w:tcW w:w="580" w:type="pct"/>
            <w:tcBorders>
              <w:top w:val="nil"/>
              <w:left w:val="nil"/>
              <w:bottom w:val="single" w:sz="4" w:space="0" w:color="auto"/>
              <w:right w:val="single" w:sz="4" w:space="0" w:color="auto"/>
            </w:tcBorders>
            <w:shd w:val="clear" w:color="auto" w:fill="auto"/>
            <w:noWrap/>
            <w:vAlign w:val="bottom"/>
            <w:hideMark/>
          </w:tcPr>
          <w:p w14:paraId="759AD55D"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363" w:type="pct"/>
            <w:tcBorders>
              <w:top w:val="nil"/>
              <w:left w:val="nil"/>
              <w:bottom w:val="single" w:sz="4" w:space="0" w:color="auto"/>
              <w:right w:val="single" w:sz="4" w:space="0" w:color="auto"/>
            </w:tcBorders>
            <w:shd w:val="clear" w:color="auto" w:fill="auto"/>
            <w:noWrap/>
            <w:vAlign w:val="bottom"/>
            <w:hideMark/>
          </w:tcPr>
          <w:p w14:paraId="4FF8576E"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08" w:type="pct"/>
            <w:tcBorders>
              <w:top w:val="nil"/>
              <w:left w:val="nil"/>
              <w:bottom w:val="single" w:sz="4" w:space="0" w:color="auto"/>
              <w:right w:val="single" w:sz="4" w:space="0" w:color="auto"/>
            </w:tcBorders>
            <w:shd w:val="clear" w:color="auto" w:fill="auto"/>
            <w:noWrap/>
            <w:vAlign w:val="bottom"/>
            <w:hideMark/>
          </w:tcPr>
          <w:p w14:paraId="053F008A"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5D045EFC"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5.456 </w:t>
            </w:r>
          </w:p>
        </w:tc>
      </w:tr>
      <w:tr w:rsidR="00F41043" w:rsidRPr="00F41043" w14:paraId="1EB05C9D"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bottom"/>
            <w:hideMark/>
          </w:tcPr>
          <w:p w14:paraId="6618E22F"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Superávit - Previdência Privada</w:t>
            </w:r>
          </w:p>
        </w:tc>
        <w:tc>
          <w:tcPr>
            <w:tcW w:w="508" w:type="pct"/>
            <w:tcBorders>
              <w:top w:val="nil"/>
              <w:left w:val="nil"/>
              <w:bottom w:val="single" w:sz="4" w:space="0" w:color="auto"/>
              <w:right w:val="single" w:sz="4" w:space="0" w:color="auto"/>
            </w:tcBorders>
            <w:shd w:val="clear" w:color="auto" w:fill="auto"/>
            <w:noWrap/>
            <w:vAlign w:val="center"/>
            <w:hideMark/>
          </w:tcPr>
          <w:p w14:paraId="63AA0C8C"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73.666 </w:t>
            </w:r>
          </w:p>
        </w:tc>
        <w:tc>
          <w:tcPr>
            <w:tcW w:w="580" w:type="pct"/>
            <w:tcBorders>
              <w:top w:val="nil"/>
              <w:left w:val="nil"/>
              <w:bottom w:val="single" w:sz="4" w:space="0" w:color="auto"/>
              <w:right w:val="single" w:sz="4" w:space="0" w:color="auto"/>
            </w:tcBorders>
            <w:shd w:val="clear" w:color="auto" w:fill="auto"/>
            <w:noWrap/>
            <w:vAlign w:val="bottom"/>
            <w:hideMark/>
          </w:tcPr>
          <w:p w14:paraId="0DB05125"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363" w:type="pct"/>
            <w:tcBorders>
              <w:top w:val="nil"/>
              <w:left w:val="nil"/>
              <w:bottom w:val="single" w:sz="4" w:space="0" w:color="auto"/>
              <w:right w:val="single" w:sz="4" w:space="0" w:color="auto"/>
            </w:tcBorders>
            <w:shd w:val="clear" w:color="auto" w:fill="auto"/>
            <w:noWrap/>
            <w:vAlign w:val="bottom"/>
            <w:hideMark/>
          </w:tcPr>
          <w:p w14:paraId="4025BCB4"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08" w:type="pct"/>
            <w:tcBorders>
              <w:top w:val="nil"/>
              <w:left w:val="nil"/>
              <w:bottom w:val="single" w:sz="4" w:space="0" w:color="auto"/>
              <w:right w:val="single" w:sz="4" w:space="0" w:color="auto"/>
            </w:tcBorders>
            <w:shd w:val="clear" w:color="auto" w:fill="auto"/>
            <w:noWrap/>
            <w:vAlign w:val="bottom"/>
            <w:hideMark/>
          </w:tcPr>
          <w:p w14:paraId="02C50B14"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5C46AEE5"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73.666 </w:t>
            </w:r>
          </w:p>
        </w:tc>
      </w:tr>
      <w:tr w:rsidR="00F41043" w:rsidRPr="00F41043" w14:paraId="6C42E754"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center"/>
            <w:hideMark/>
          </w:tcPr>
          <w:p w14:paraId="6EDDC035"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Outros Ativos Realizáveis</w:t>
            </w:r>
          </w:p>
        </w:tc>
        <w:tc>
          <w:tcPr>
            <w:tcW w:w="508" w:type="pct"/>
            <w:tcBorders>
              <w:top w:val="nil"/>
              <w:left w:val="nil"/>
              <w:bottom w:val="single" w:sz="4" w:space="0" w:color="auto"/>
              <w:right w:val="single" w:sz="4" w:space="0" w:color="auto"/>
            </w:tcBorders>
            <w:shd w:val="clear" w:color="auto" w:fill="auto"/>
            <w:noWrap/>
            <w:vAlign w:val="center"/>
            <w:hideMark/>
          </w:tcPr>
          <w:p w14:paraId="4C23B4E7"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35.529 </w:t>
            </w:r>
          </w:p>
        </w:tc>
        <w:tc>
          <w:tcPr>
            <w:tcW w:w="580" w:type="pct"/>
            <w:tcBorders>
              <w:top w:val="nil"/>
              <w:left w:val="nil"/>
              <w:bottom w:val="single" w:sz="4" w:space="0" w:color="auto"/>
              <w:right w:val="single" w:sz="4" w:space="0" w:color="auto"/>
            </w:tcBorders>
            <w:shd w:val="clear" w:color="auto" w:fill="auto"/>
            <w:noWrap/>
            <w:vAlign w:val="center"/>
            <w:hideMark/>
          </w:tcPr>
          <w:p w14:paraId="10DFE14E"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363" w:type="pct"/>
            <w:tcBorders>
              <w:top w:val="nil"/>
              <w:left w:val="nil"/>
              <w:bottom w:val="single" w:sz="4" w:space="0" w:color="auto"/>
              <w:right w:val="single" w:sz="4" w:space="0" w:color="auto"/>
            </w:tcBorders>
            <w:shd w:val="clear" w:color="auto" w:fill="auto"/>
            <w:noWrap/>
            <w:vAlign w:val="bottom"/>
            <w:hideMark/>
          </w:tcPr>
          <w:p w14:paraId="77D32993"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08" w:type="pct"/>
            <w:tcBorders>
              <w:top w:val="nil"/>
              <w:left w:val="nil"/>
              <w:bottom w:val="single" w:sz="4" w:space="0" w:color="auto"/>
              <w:right w:val="single" w:sz="4" w:space="0" w:color="auto"/>
            </w:tcBorders>
            <w:shd w:val="clear" w:color="auto" w:fill="auto"/>
            <w:noWrap/>
            <w:vAlign w:val="bottom"/>
            <w:hideMark/>
          </w:tcPr>
          <w:p w14:paraId="7AEEEE1A"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3B314578"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35.529 </w:t>
            </w:r>
          </w:p>
        </w:tc>
      </w:tr>
      <w:tr w:rsidR="00F41043" w:rsidRPr="00F41043" w14:paraId="7CE3D310"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center"/>
            <w:hideMark/>
          </w:tcPr>
          <w:p w14:paraId="5DB18071"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Realizável a Longo Prazo</w:t>
            </w:r>
          </w:p>
        </w:tc>
        <w:tc>
          <w:tcPr>
            <w:tcW w:w="508" w:type="pct"/>
            <w:tcBorders>
              <w:top w:val="nil"/>
              <w:left w:val="nil"/>
              <w:bottom w:val="single" w:sz="4" w:space="0" w:color="auto"/>
              <w:right w:val="single" w:sz="4" w:space="0" w:color="auto"/>
            </w:tcBorders>
            <w:shd w:val="clear" w:color="auto" w:fill="auto"/>
            <w:noWrap/>
            <w:vAlign w:val="center"/>
            <w:hideMark/>
          </w:tcPr>
          <w:p w14:paraId="7D9963DC"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218.236 </w:t>
            </w:r>
          </w:p>
        </w:tc>
        <w:tc>
          <w:tcPr>
            <w:tcW w:w="580" w:type="pct"/>
            <w:tcBorders>
              <w:top w:val="nil"/>
              <w:left w:val="nil"/>
              <w:bottom w:val="single" w:sz="4" w:space="0" w:color="auto"/>
              <w:right w:val="single" w:sz="4" w:space="0" w:color="auto"/>
            </w:tcBorders>
            <w:shd w:val="clear" w:color="auto" w:fill="auto"/>
            <w:noWrap/>
            <w:vAlign w:val="center"/>
            <w:hideMark/>
          </w:tcPr>
          <w:p w14:paraId="0098F5F2"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   </w:t>
            </w:r>
          </w:p>
        </w:tc>
        <w:tc>
          <w:tcPr>
            <w:tcW w:w="363" w:type="pct"/>
            <w:tcBorders>
              <w:top w:val="nil"/>
              <w:left w:val="nil"/>
              <w:bottom w:val="single" w:sz="4" w:space="0" w:color="auto"/>
              <w:right w:val="single" w:sz="4" w:space="0" w:color="auto"/>
            </w:tcBorders>
            <w:shd w:val="clear" w:color="auto" w:fill="auto"/>
            <w:noWrap/>
            <w:vAlign w:val="center"/>
            <w:hideMark/>
          </w:tcPr>
          <w:p w14:paraId="072004AF"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   </w:t>
            </w:r>
          </w:p>
        </w:tc>
        <w:tc>
          <w:tcPr>
            <w:tcW w:w="508" w:type="pct"/>
            <w:tcBorders>
              <w:top w:val="nil"/>
              <w:left w:val="nil"/>
              <w:bottom w:val="single" w:sz="4" w:space="0" w:color="auto"/>
              <w:right w:val="single" w:sz="4" w:space="0" w:color="auto"/>
            </w:tcBorders>
            <w:shd w:val="clear" w:color="auto" w:fill="auto"/>
            <w:noWrap/>
            <w:vAlign w:val="center"/>
            <w:hideMark/>
          </w:tcPr>
          <w:p w14:paraId="726050CA"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center"/>
            <w:hideMark/>
          </w:tcPr>
          <w:p w14:paraId="740848F5"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218.236 </w:t>
            </w:r>
          </w:p>
        </w:tc>
      </w:tr>
      <w:tr w:rsidR="00F41043" w:rsidRPr="00F41043" w14:paraId="45982D03"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bottom"/>
            <w:hideMark/>
          </w:tcPr>
          <w:p w14:paraId="4B251AF3"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Investimentos</w:t>
            </w:r>
          </w:p>
        </w:tc>
        <w:tc>
          <w:tcPr>
            <w:tcW w:w="508" w:type="pct"/>
            <w:tcBorders>
              <w:top w:val="nil"/>
              <w:left w:val="nil"/>
              <w:bottom w:val="single" w:sz="4" w:space="0" w:color="auto"/>
              <w:right w:val="single" w:sz="4" w:space="0" w:color="auto"/>
            </w:tcBorders>
            <w:shd w:val="clear" w:color="auto" w:fill="auto"/>
            <w:noWrap/>
            <w:vAlign w:val="bottom"/>
            <w:hideMark/>
          </w:tcPr>
          <w:p w14:paraId="6987CC25"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90.084 </w:t>
            </w:r>
          </w:p>
        </w:tc>
        <w:tc>
          <w:tcPr>
            <w:tcW w:w="580" w:type="pct"/>
            <w:tcBorders>
              <w:top w:val="nil"/>
              <w:left w:val="nil"/>
              <w:bottom w:val="single" w:sz="4" w:space="0" w:color="auto"/>
              <w:right w:val="single" w:sz="4" w:space="0" w:color="auto"/>
            </w:tcBorders>
            <w:shd w:val="clear" w:color="auto" w:fill="auto"/>
            <w:noWrap/>
            <w:vAlign w:val="bottom"/>
            <w:hideMark/>
          </w:tcPr>
          <w:p w14:paraId="19AF888D"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363" w:type="pct"/>
            <w:tcBorders>
              <w:top w:val="nil"/>
              <w:left w:val="nil"/>
              <w:bottom w:val="single" w:sz="4" w:space="0" w:color="auto"/>
              <w:right w:val="single" w:sz="4" w:space="0" w:color="auto"/>
            </w:tcBorders>
            <w:shd w:val="clear" w:color="auto" w:fill="auto"/>
            <w:noWrap/>
            <w:vAlign w:val="bottom"/>
            <w:hideMark/>
          </w:tcPr>
          <w:p w14:paraId="7E164C48"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08" w:type="pct"/>
            <w:tcBorders>
              <w:top w:val="nil"/>
              <w:left w:val="nil"/>
              <w:bottom w:val="single" w:sz="4" w:space="0" w:color="auto"/>
              <w:right w:val="single" w:sz="4" w:space="0" w:color="auto"/>
            </w:tcBorders>
            <w:shd w:val="clear" w:color="auto" w:fill="auto"/>
            <w:noWrap/>
            <w:vAlign w:val="bottom"/>
            <w:hideMark/>
          </w:tcPr>
          <w:p w14:paraId="387955CD"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21DD65D4"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90.084 </w:t>
            </w:r>
          </w:p>
        </w:tc>
      </w:tr>
      <w:tr w:rsidR="00F41043" w:rsidRPr="00F41043" w14:paraId="3C668655"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center"/>
            <w:hideMark/>
          </w:tcPr>
          <w:p w14:paraId="7A03B25D"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Imobilizado</w:t>
            </w:r>
          </w:p>
        </w:tc>
        <w:tc>
          <w:tcPr>
            <w:tcW w:w="508" w:type="pct"/>
            <w:tcBorders>
              <w:top w:val="nil"/>
              <w:left w:val="nil"/>
              <w:bottom w:val="single" w:sz="4" w:space="0" w:color="auto"/>
              <w:right w:val="single" w:sz="4" w:space="0" w:color="auto"/>
            </w:tcBorders>
            <w:shd w:val="clear" w:color="auto" w:fill="auto"/>
            <w:noWrap/>
            <w:vAlign w:val="center"/>
            <w:hideMark/>
          </w:tcPr>
          <w:p w14:paraId="7ADE97A9"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2.591.282 </w:t>
            </w:r>
          </w:p>
        </w:tc>
        <w:tc>
          <w:tcPr>
            <w:tcW w:w="580" w:type="pct"/>
            <w:tcBorders>
              <w:top w:val="nil"/>
              <w:left w:val="nil"/>
              <w:bottom w:val="single" w:sz="4" w:space="0" w:color="auto"/>
              <w:right w:val="single" w:sz="4" w:space="0" w:color="auto"/>
            </w:tcBorders>
            <w:shd w:val="clear" w:color="auto" w:fill="auto"/>
            <w:noWrap/>
            <w:vAlign w:val="center"/>
            <w:hideMark/>
          </w:tcPr>
          <w:p w14:paraId="486D3497"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363" w:type="pct"/>
            <w:tcBorders>
              <w:top w:val="nil"/>
              <w:left w:val="nil"/>
              <w:bottom w:val="single" w:sz="4" w:space="0" w:color="auto"/>
              <w:right w:val="single" w:sz="4" w:space="0" w:color="auto"/>
            </w:tcBorders>
            <w:shd w:val="clear" w:color="auto" w:fill="auto"/>
            <w:noWrap/>
            <w:vAlign w:val="bottom"/>
            <w:hideMark/>
          </w:tcPr>
          <w:p w14:paraId="20876AFC"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08" w:type="pct"/>
            <w:tcBorders>
              <w:top w:val="nil"/>
              <w:left w:val="nil"/>
              <w:bottom w:val="single" w:sz="4" w:space="0" w:color="auto"/>
              <w:right w:val="single" w:sz="4" w:space="0" w:color="auto"/>
            </w:tcBorders>
            <w:shd w:val="clear" w:color="auto" w:fill="auto"/>
            <w:noWrap/>
            <w:vAlign w:val="bottom"/>
            <w:hideMark/>
          </w:tcPr>
          <w:p w14:paraId="06200F21"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16F126B4"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2.591.282 </w:t>
            </w:r>
          </w:p>
        </w:tc>
      </w:tr>
      <w:tr w:rsidR="00F41043" w:rsidRPr="00F41043" w14:paraId="47A11CDA"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center"/>
            <w:hideMark/>
          </w:tcPr>
          <w:p w14:paraId="443C3489"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Intangível</w:t>
            </w:r>
          </w:p>
        </w:tc>
        <w:tc>
          <w:tcPr>
            <w:tcW w:w="508" w:type="pct"/>
            <w:tcBorders>
              <w:top w:val="nil"/>
              <w:left w:val="nil"/>
              <w:bottom w:val="single" w:sz="4" w:space="0" w:color="auto"/>
              <w:right w:val="single" w:sz="4" w:space="0" w:color="auto"/>
            </w:tcBorders>
            <w:shd w:val="clear" w:color="auto" w:fill="auto"/>
            <w:noWrap/>
            <w:vAlign w:val="center"/>
            <w:hideMark/>
          </w:tcPr>
          <w:p w14:paraId="54B83473"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27.882 </w:t>
            </w:r>
          </w:p>
        </w:tc>
        <w:tc>
          <w:tcPr>
            <w:tcW w:w="580" w:type="pct"/>
            <w:tcBorders>
              <w:top w:val="nil"/>
              <w:left w:val="nil"/>
              <w:bottom w:val="single" w:sz="4" w:space="0" w:color="auto"/>
              <w:right w:val="single" w:sz="4" w:space="0" w:color="auto"/>
            </w:tcBorders>
            <w:shd w:val="clear" w:color="auto" w:fill="auto"/>
            <w:noWrap/>
            <w:vAlign w:val="center"/>
            <w:hideMark/>
          </w:tcPr>
          <w:p w14:paraId="39C100F6"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363" w:type="pct"/>
            <w:tcBorders>
              <w:top w:val="nil"/>
              <w:left w:val="nil"/>
              <w:bottom w:val="single" w:sz="4" w:space="0" w:color="auto"/>
              <w:right w:val="single" w:sz="4" w:space="0" w:color="auto"/>
            </w:tcBorders>
            <w:shd w:val="clear" w:color="auto" w:fill="auto"/>
            <w:noWrap/>
            <w:vAlign w:val="bottom"/>
            <w:hideMark/>
          </w:tcPr>
          <w:p w14:paraId="3C4EA766"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08" w:type="pct"/>
            <w:tcBorders>
              <w:top w:val="nil"/>
              <w:left w:val="nil"/>
              <w:bottom w:val="single" w:sz="4" w:space="0" w:color="auto"/>
              <w:right w:val="single" w:sz="4" w:space="0" w:color="auto"/>
            </w:tcBorders>
            <w:shd w:val="clear" w:color="auto" w:fill="auto"/>
            <w:noWrap/>
            <w:vAlign w:val="bottom"/>
            <w:hideMark/>
          </w:tcPr>
          <w:p w14:paraId="3078B937"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22663F8F"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27.882 </w:t>
            </w:r>
          </w:p>
        </w:tc>
      </w:tr>
      <w:tr w:rsidR="00F41043" w:rsidRPr="00F41043" w14:paraId="1A3FCC2C"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center"/>
            <w:hideMark/>
          </w:tcPr>
          <w:p w14:paraId="0ADCB11D"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Total do Não Circulante</w:t>
            </w:r>
          </w:p>
        </w:tc>
        <w:tc>
          <w:tcPr>
            <w:tcW w:w="508" w:type="pct"/>
            <w:tcBorders>
              <w:top w:val="nil"/>
              <w:left w:val="nil"/>
              <w:bottom w:val="single" w:sz="4" w:space="0" w:color="auto"/>
              <w:right w:val="single" w:sz="4" w:space="0" w:color="auto"/>
            </w:tcBorders>
            <w:shd w:val="clear" w:color="auto" w:fill="auto"/>
            <w:noWrap/>
            <w:vAlign w:val="center"/>
            <w:hideMark/>
          </w:tcPr>
          <w:p w14:paraId="4F8357D0"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2.927.484 </w:t>
            </w:r>
          </w:p>
        </w:tc>
        <w:tc>
          <w:tcPr>
            <w:tcW w:w="580" w:type="pct"/>
            <w:tcBorders>
              <w:top w:val="nil"/>
              <w:left w:val="nil"/>
              <w:bottom w:val="single" w:sz="4" w:space="0" w:color="auto"/>
              <w:right w:val="single" w:sz="4" w:space="0" w:color="auto"/>
            </w:tcBorders>
            <w:shd w:val="clear" w:color="auto" w:fill="auto"/>
            <w:noWrap/>
            <w:vAlign w:val="center"/>
            <w:hideMark/>
          </w:tcPr>
          <w:p w14:paraId="7CCC9BD4"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   </w:t>
            </w:r>
          </w:p>
        </w:tc>
        <w:tc>
          <w:tcPr>
            <w:tcW w:w="363" w:type="pct"/>
            <w:tcBorders>
              <w:top w:val="nil"/>
              <w:left w:val="nil"/>
              <w:bottom w:val="single" w:sz="4" w:space="0" w:color="auto"/>
              <w:right w:val="single" w:sz="4" w:space="0" w:color="auto"/>
            </w:tcBorders>
            <w:shd w:val="clear" w:color="auto" w:fill="auto"/>
            <w:noWrap/>
            <w:vAlign w:val="center"/>
            <w:hideMark/>
          </w:tcPr>
          <w:p w14:paraId="508308FA"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   </w:t>
            </w:r>
          </w:p>
        </w:tc>
        <w:tc>
          <w:tcPr>
            <w:tcW w:w="508" w:type="pct"/>
            <w:tcBorders>
              <w:top w:val="nil"/>
              <w:left w:val="nil"/>
              <w:bottom w:val="single" w:sz="4" w:space="0" w:color="auto"/>
              <w:right w:val="single" w:sz="4" w:space="0" w:color="auto"/>
            </w:tcBorders>
            <w:shd w:val="clear" w:color="auto" w:fill="auto"/>
            <w:noWrap/>
            <w:vAlign w:val="center"/>
            <w:hideMark/>
          </w:tcPr>
          <w:p w14:paraId="4DFC4D7D"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center"/>
            <w:hideMark/>
          </w:tcPr>
          <w:p w14:paraId="6335991D"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2.927.484 </w:t>
            </w:r>
          </w:p>
        </w:tc>
      </w:tr>
      <w:tr w:rsidR="00F41043" w:rsidRPr="00F41043" w14:paraId="03A3232E"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center"/>
            <w:hideMark/>
          </w:tcPr>
          <w:p w14:paraId="1C887746"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Total do Ativo</w:t>
            </w:r>
          </w:p>
        </w:tc>
        <w:tc>
          <w:tcPr>
            <w:tcW w:w="508" w:type="pct"/>
            <w:tcBorders>
              <w:top w:val="nil"/>
              <w:left w:val="nil"/>
              <w:bottom w:val="single" w:sz="4" w:space="0" w:color="auto"/>
              <w:right w:val="single" w:sz="4" w:space="0" w:color="auto"/>
            </w:tcBorders>
            <w:shd w:val="clear" w:color="auto" w:fill="auto"/>
            <w:noWrap/>
            <w:vAlign w:val="center"/>
            <w:hideMark/>
          </w:tcPr>
          <w:p w14:paraId="3A547040"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4.244.013 </w:t>
            </w:r>
          </w:p>
        </w:tc>
        <w:tc>
          <w:tcPr>
            <w:tcW w:w="580" w:type="pct"/>
            <w:tcBorders>
              <w:top w:val="nil"/>
              <w:left w:val="nil"/>
              <w:bottom w:val="single" w:sz="4" w:space="0" w:color="auto"/>
              <w:right w:val="single" w:sz="4" w:space="0" w:color="auto"/>
            </w:tcBorders>
            <w:shd w:val="clear" w:color="auto" w:fill="auto"/>
            <w:noWrap/>
            <w:vAlign w:val="center"/>
            <w:hideMark/>
          </w:tcPr>
          <w:p w14:paraId="54632D74"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   </w:t>
            </w:r>
          </w:p>
        </w:tc>
        <w:tc>
          <w:tcPr>
            <w:tcW w:w="363" w:type="pct"/>
            <w:tcBorders>
              <w:top w:val="nil"/>
              <w:left w:val="nil"/>
              <w:bottom w:val="single" w:sz="4" w:space="0" w:color="auto"/>
              <w:right w:val="single" w:sz="4" w:space="0" w:color="auto"/>
            </w:tcBorders>
            <w:shd w:val="clear" w:color="auto" w:fill="auto"/>
            <w:noWrap/>
            <w:vAlign w:val="center"/>
            <w:hideMark/>
          </w:tcPr>
          <w:p w14:paraId="7BD38BAF"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   </w:t>
            </w:r>
          </w:p>
        </w:tc>
        <w:tc>
          <w:tcPr>
            <w:tcW w:w="508" w:type="pct"/>
            <w:tcBorders>
              <w:top w:val="nil"/>
              <w:left w:val="nil"/>
              <w:bottom w:val="single" w:sz="4" w:space="0" w:color="auto"/>
              <w:right w:val="single" w:sz="4" w:space="0" w:color="auto"/>
            </w:tcBorders>
            <w:shd w:val="clear" w:color="auto" w:fill="auto"/>
            <w:noWrap/>
            <w:vAlign w:val="center"/>
            <w:hideMark/>
          </w:tcPr>
          <w:p w14:paraId="7DA2C2E3"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center"/>
            <w:hideMark/>
          </w:tcPr>
          <w:p w14:paraId="681B8AA7"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4.244.013 </w:t>
            </w:r>
          </w:p>
        </w:tc>
      </w:tr>
      <w:tr w:rsidR="00F41043" w:rsidRPr="00F41043" w14:paraId="5DC8029E"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center"/>
            <w:hideMark/>
          </w:tcPr>
          <w:p w14:paraId="24894E84"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Passivo</w:t>
            </w:r>
          </w:p>
        </w:tc>
        <w:tc>
          <w:tcPr>
            <w:tcW w:w="508" w:type="pct"/>
            <w:tcBorders>
              <w:top w:val="nil"/>
              <w:left w:val="nil"/>
              <w:bottom w:val="single" w:sz="4" w:space="0" w:color="auto"/>
              <w:right w:val="single" w:sz="4" w:space="0" w:color="auto"/>
            </w:tcBorders>
            <w:shd w:val="clear" w:color="auto" w:fill="auto"/>
            <w:noWrap/>
            <w:vAlign w:val="bottom"/>
            <w:hideMark/>
          </w:tcPr>
          <w:p w14:paraId="4295D746"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80" w:type="pct"/>
            <w:tcBorders>
              <w:top w:val="nil"/>
              <w:left w:val="nil"/>
              <w:bottom w:val="single" w:sz="4" w:space="0" w:color="auto"/>
              <w:right w:val="single" w:sz="4" w:space="0" w:color="auto"/>
            </w:tcBorders>
            <w:shd w:val="clear" w:color="auto" w:fill="auto"/>
            <w:noWrap/>
            <w:vAlign w:val="bottom"/>
            <w:hideMark/>
          </w:tcPr>
          <w:p w14:paraId="0970708D"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363" w:type="pct"/>
            <w:tcBorders>
              <w:top w:val="nil"/>
              <w:left w:val="nil"/>
              <w:bottom w:val="single" w:sz="4" w:space="0" w:color="auto"/>
              <w:right w:val="single" w:sz="4" w:space="0" w:color="auto"/>
            </w:tcBorders>
            <w:shd w:val="clear" w:color="auto" w:fill="auto"/>
            <w:noWrap/>
            <w:vAlign w:val="bottom"/>
            <w:hideMark/>
          </w:tcPr>
          <w:p w14:paraId="399A75B7"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08" w:type="pct"/>
            <w:tcBorders>
              <w:top w:val="nil"/>
              <w:left w:val="nil"/>
              <w:bottom w:val="single" w:sz="4" w:space="0" w:color="auto"/>
              <w:right w:val="single" w:sz="4" w:space="0" w:color="auto"/>
            </w:tcBorders>
            <w:shd w:val="clear" w:color="auto" w:fill="auto"/>
            <w:noWrap/>
            <w:vAlign w:val="bottom"/>
            <w:hideMark/>
          </w:tcPr>
          <w:p w14:paraId="75A2B290"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7DA92A48"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r>
      <w:tr w:rsidR="00F41043" w:rsidRPr="00F41043" w14:paraId="0E48851B"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center"/>
            <w:hideMark/>
          </w:tcPr>
          <w:p w14:paraId="5D1947FB"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Circulante</w:t>
            </w:r>
          </w:p>
        </w:tc>
        <w:tc>
          <w:tcPr>
            <w:tcW w:w="508" w:type="pct"/>
            <w:tcBorders>
              <w:top w:val="nil"/>
              <w:left w:val="nil"/>
              <w:bottom w:val="single" w:sz="4" w:space="0" w:color="auto"/>
              <w:right w:val="single" w:sz="4" w:space="0" w:color="auto"/>
            </w:tcBorders>
            <w:shd w:val="clear" w:color="auto" w:fill="auto"/>
            <w:noWrap/>
            <w:vAlign w:val="center"/>
            <w:hideMark/>
          </w:tcPr>
          <w:p w14:paraId="2DEB4732"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80" w:type="pct"/>
            <w:tcBorders>
              <w:top w:val="nil"/>
              <w:left w:val="nil"/>
              <w:bottom w:val="single" w:sz="4" w:space="0" w:color="auto"/>
              <w:right w:val="single" w:sz="4" w:space="0" w:color="auto"/>
            </w:tcBorders>
            <w:shd w:val="clear" w:color="auto" w:fill="auto"/>
            <w:noWrap/>
            <w:vAlign w:val="bottom"/>
            <w:hideMark/>
          </w:tcPr>
          <w:p w14:paraId="361708EE"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363" w:type="pct"/>
            <w:tcBorders>
              <w:top w:val="nil"/>
              <w:left w:val="nil"/>
              <w:bottom w:val="single" w:sz="4" w:space="0" w:color="auto"/>
              <w:right w:val="single" w:sz="4" w:space="0" w:color="auto"/>
            </w:tcBorders>
            <w:shd w:val="clear" w:color="auto" w:fill="auto"/>
            <w:noWrap/>
            <w:vAlign w:val="bottom"/>
            <w:hideMark/>
          </w:tcPr>
          <w:p w14:paraId="2CBE5C0B"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08" w:type="pct"/>
            <w:tcBorders>
              <w:top w:val="nil"/>
              <w:left w:val="nil"/>
              <w:bottom w:val="single" w:sz="4" w:space="0" w:color="auto"/>
              <w:right w:val="single" w:sz="4" w:space="0" w:color="auto"/>
            </w:tcBorders>
            <w:shd w:val="clear" w:color="auto" w:fill="auto"/>
            <w:noWrap/>
            <w:vAlign w:val="bottom"/>
            <w:hideMark/>
          </w:tcPr>
          <w:p w14:paraId="1DDDD3B6"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620FAC0E"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r>
      <w:tr w:rsidR="00F41043" w:rsidRPr="00F41043" w14:paraId="15BC5B17"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center"/>
            <w:hideMark/>
          </w:tcPr>
          <w:p w14:paraId="0F27257E"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Pessoal, Encargos e Benefícios Sociais</w:t>
            </w:r>
          </w:p>
        </w:tc>
        <w:tc>
          <w:tcPr>
            <w:tcW w:w="508" w:type="pct"/>
            <w:tcBorders>
              <w:top w:val="nil"/>
              <w:left w:val="nil"/>
              <w:bottom w:val="single" w:sz="4" w:space="0" w:color="auto"/>
              <w:right w:val="single" w:sz="4" w:space="0" w:color="auto"/>
            </w:tcBorders>
            <w:shd w:val="clear" w:color="auto" w:fill="auto"/>
            <w:noWrap/>
            <w:vAlign w:val="center"/>
            <w:hideMark/>
          </w:tcPr>
          <w:p w14:paraId="6BD60D97"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12.271 </w:t>
            </w:r>
          </w:p>
        </w:tc>
        <w:tc>
          <w:tcPr>
            <w:tcW w:w="580" w:type="pct"/>
            <w:tcBorders>
              <w:top w:val="nil"/>
              <w:left w:val="nil"/>
              <w:bottom w:val="single" w:sz="4" w:space="0" w:color="auto"/>
              <w:right w:val="single" w:sz="4" w:space="0" w:color="auto"/>
            </w:tcBorders>
            <w:shd w:val="clear" w:color="auto" w:fill="auto"/>
            <w:noWrap/>
            <w:vAlign w:val="bottom"/>
            <w:hideMark/>
          </w:tcPr>
          <w:p w14:paraId="0DD44A40"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363" w:type="pct"/>
            <w:tcBorders>
              <w:top w:val="nil"/>
              <w:left w:val="nil"/>
              <w:bottom w:val="single" w:sz="4" w:space="0" w:color="auto"/>
              <w:right w:val="single" w:sz="4" w:space="0" w:color="auto"/>
            </w:tcBorders>
            <w:shd w:val="clear" w:color="auto" w:fill="auto"/>
            <w:noWrap/>
            <w:vAlign w:val="bottom"/>
            <w:hideMark/>
          </w:tcPr>
          <w:p w14:paraId="24313E69"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08" w:type="pct"/>
            <w:tcBorders>
              <w:top w:val="nil"/>
              <w:left w:val="nil"/>
              <w:bottom w:val="single" w:sz="4" w:space="0" w:color="auto"/>
              <w:right w:val="single" w:sz="4" w:space="0" w:color="auto"/>
            </w:tcBorders>
            <w:shd w:val="clear" w:color="auto" w:fill="auto"/>
            <w:noWrap/>
            <w:vAlign w:val="bottom"/>
            <w:hideMark/>
          </w:tcPr>
          <w:p w14:paraId="10340EB9"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38259B1C"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12.271 </w:t>
            </w:r>
          </w:p>
        </w:tc>
      </w:tr>
      <w:tr w:rsidR="00F41043" w:rsidRPr="00F41043" w14:paraId="174AED51"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center"/>
            <w:hideMark/>
          </w:tcPr>
          <w:p w14:paraId="75FF33A1"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Fornecedores</w:t>
            </w:r>
          </w:p>
        </w:tc>
        <w:tc>
          <w:tcPr>
            <w:tcW w:w="508" w:type="pct"/>
            <w:tcBorders>
              <w:top w:val="nil"/>
              <w:left w:val="nil"/>
              <w:bottom w:val="single" w:sz="4" w:space="0" w:color="auto"/>
              <w:right w:val="single" w:sz="4" w:space="0" w:color="auto"/>
            </w:tcBorders>
            <w:shd w:val="clear" w:color="auto" w:fill="auto"/>
            <w:noWrap/>
            <w:vAlign w:val="center"/>
            <w:hideMark/>
          </w:tcPr>
          <w:p w14:paraId="5A6CA31E"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81.905 </w:t>
            </w:r>
          </w:p>
        </w:tc>
        <w:tc>
          <w:tcPr>
            <w:tcW w:w="580" w:type="pct"/>
            <w:tcBorders>
              <w:top w:val="nil"/>
              <w:left w:val="nil"/>
              <w:bottom w:val="single" w:sz="4" w:space="0" w:color="auto"/>
              <w:right w:val="single" w:sz="4" w:space="0" w:color="auto"/>
            </w:tcBorders>
            <w:shd w:val="clear" w:color="auto" w:fill="auto"/>
            <w:noWrap/>
            <w:vAlign w:val="bottom"/>
            <w:hideMark/>
          </w:tcPr>
          <w:p w14:paraId="14BAAB04"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363" w:type="pct"/>
            <w:tcBorders>
              <w:top w:val="nil"/>
              <w:left w:val="nil"/>
              <w:bottom w:val="single" w:sz="4" w:space="0" w:color="auto"/>
              <w:right w:val="single" w:sz="4" w:space="0" w:color="auto"/>
            </w:tcBorders>
            <w:shd w:val="clear" w:color="auto" w:fill="auto"/>
            <w:noWrap/>
            <w:vAlign w:val="bottom"/>
            <w:hideMark/>
          </w:tcPr>
          <w:p w14:paraId="583F6842"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08" w:type="pct"/>
            <w:tcBorders>
              <w:top w:val="nil"/>
              <w:left w:val="nil"/>
              <w:bottom w:val="single" w:sz="4" w:space="0" w:color="auto"/>
              <w:right w:val="single" w:sz="4" w:space="0" w:color="auto"/>
            </w:tcBorders>
            <w:shd w:val="clear" w:color="auto" w:fill="auto"/>
            <w:noWrap/>
            <w:vAlign w:val="bottom"/>
            <w:hideMark/>
          </w:tcPr>
          <w:p w14:paraId="138F8179"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0366BC1A"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81.905 </w:t>
            </w:r>
          </w:p>
        </w:tc>
      </w:tr>
      <w:tr w:rsidR="00F41043" w:rsidRPr="00F41043" w14:paraId="66DBDA0B"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bottom"/>
            <w:hideMark/>
          </w:tcPr>
          <w:p w14:paraId="307EF4EC"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Receitas Diferidas</w:t>
            </w:r>
          </w:p>
        </w:tc>
        <w:tc>
          <w:tcPr>
            <w:tcW w:w="508" w:type="pct"/>
            <w:tcBorders>
              <w:top w:val="nil"/>
              <w:left w:val="nil"/>
              <w:bottom w:val="single" w:sz="4" w:space="0" w:color="auto"/>
              <w:right w:val="single" w:sz="4" w:space="0" w:color="auto"/>
            </w:tcBorders>
            <w:shd w:val="clear" w:color="auto" w:fill="auto"/>
            <w:noWrap/>
            <w:vAlign w:val="center"/>
            <w:hideMark/>
          </w:tcPr>
          <w:p w14:paraId="1186D9EE"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96.604 </w:t>
            </w:r>
          </w:p>
        </w:tc>
        <w:tc>
          <w:tcPr>
            <w:tcW w:w="580" w:type="pct"/>
            <w:tcBorders>
              <w:top w:val="nil"/>
              <w:left w:val="nil"/>
              <w:bottom w:val="single" w:sz="4" w:space="0" w:color="auto"/>
              <w:right w:val="single" w:sz="4" w:space="0" w:color="auto"/>
            </w:tcBorders>
            <w:shd w:val="clear" w:color="auto" w:fill="auto"/>
            <w:noWrap/>
            <w:vAlign w:val="bottom"/>
            <w:hideMark/>
          </w:tcPr>
          <w:p w14:paraId="7D632AEA"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363" w:type="pct"/>
            <w:tcBorders>
              <w:top w:val="nil"/>
              <w:left w:val="nil"/>
              <w:bottom w:val="single" w:sz="4" w:space="0" w:color="auto"/>
              <w:right w:val="single" w:sz="4" w:space="0" w:color="auto"/>
            </w:tcBorders>
            <w:shd w:val="clear" w:color="auto" w:fill="auto"/>
            <w:noWrap/>
            <w:vAlign w:val="bottom"/>
            <w:hideMark/>
          </w:tcPr>
          <w:p w14:paraId="607260B2"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08" w:type="pct"/>
            <w:tcBorders>
              <w:top w:val="nil"/>
              <w:left w:val="nil"/>
              <w:bottom w:val="single" w:sz="4" w:space="0" w:color="auto"/>
              <w:right w:val="single" w:sz="4" w:space="0" w:color="auto"/>
            </w:tcBorders>
            <w:shd w:val="clear" w:color="auto" w:fill="auto"/>
            <w:noWrap/>
            <w:vAlign w:val="bottom"/>
            <w:hideMark/>
          </w:tcPr>
          <w:p w14:paraId="1EF47916"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23D61477"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96.604 </w:t>
            </w:r>
          </w:p>
        </w:tc>
      </w:tr>
      <w:tr w:rsidR="00F41043" w:rsidRPr="00F41043" w14:paraId="268A0FA5"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center"/>
            <w:hideMark/>
          </w:tcPr>
          <w:p w14:paraId="1B48B669"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Tributos Indiretos</w:t>
            </w:r>
          </w:p>
        </w:tc>
        <w:tc>
          <w:tcPr>
            <w:tcW w:w="508" w:type="pct"/>
            <w:tcBorders>
              <w:top w:val="nil"/>
              <w:left w:val="nil"/>
              <w:bottom w:val="single" w:sz="4" w:space="0" w:color="auto"/>
              <w:right w:val="single" w:sz="4" w:space="0" w:color="auto"/>
            </w:tcBorders>
            <w:shd w:val="clear" w:color="auto" w:fill="auto"/>
            <w:noWrap/>
            <w:vAlign w:val="center"/>
            <w:hideMark/>
          </w:tcPr>
          <w:p w14:paraId="4F8A8886"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18.047 </w:t>
            </w:r>
          </w:p>
        </w:tc>
        <w:tc>
          <w:tcPr>
            <w:tcW w:w="580" w:type="pct"/>
            <w:tcBorders>
              <w:top w:val="nil"/>
              <w:left w:val="nil"/>
              <w:bottom w:val="single" w:sz="4" w:space="0" w:color="auto"/>
              <w:right w:val="single" w:sz="4" w:space="0" w:color="auto"/>
            </w:tcBorders>
            <w:shd w:val="clear" w:color="auto" w:fill="auto"/>
            <w:noWrap/>
            <w:vAlign w:val="bottom"/>
            <w:hideMark/>
          </w:tcPr>
          <w:p w14:paraId="10A4673B"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363" w:type="pct"/>
            <w:tcBorders>
              <w:top w:val="nil"/>
              <w:left w:val="nil"/>
              <w:bottom w:val="single" w:sz="4" w:space="0" w:color="auto"/>
              <w:right w:val="single" w:sz="4" w:space="0" w:color="auto"/>
            </w:tcBorders>
            <w:shd w:val="clear" w:color="auto" w:fill="auto"/>
            <w:noWrap/>
            <w:vAlign w:val="bottom"/>
            <w:hideMark/>
          </w:tcPr>
          <w:p w14:paraId="0E190127"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08" w:type="pct"/>
            <w:tcBorders>
              <w:top w:val="nil"/>
              <w:left w:val="nil"/>
              <w:bottom w:val="single" w:sz="4" w:space="0" w:color="auto"/>
              <w:right w:val="single" w:sz="4" w:space="0" w:color="auto"/>
            </w:tcBorders>
            <w:shd w:val="clear" w:color="auto" w:fill="auto"/>
            <w:noWrap/>
            <w:vAlign w:val="bottom"/>
            <w:hideMark/>
          </w:tcPr>
          <w:p w14:paraId="704DE9EA"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7813B169"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18.047 </w:t>
            </w:r>
          </w:p>
        </w:tc>
      </w:tr>
      <w:tr w:rsidR="00F41043" w:rsidRPr="00F41043" w14:paraId="25DEF1E8"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center"/>
            <w:hideMark/>
          </w:tcPr>
          <w:p w14:paraId="1986E238"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Empréstimos e Financiamentos</w:t>
            </w:r>
          </w:p>
        </w:tc>
        <w:tc>
          <w:tcPr>
            <w:tcW w:w="508" w:type="pct"/>
            <w:tcBorders>
              <w:top w:val="nil"/>
              <w:left w:val="nil"/>
              <w:bottom w:val="single" w:sz="4" w:space="0" w:color="auto"/>
              <w:right w:val="single" w:sz="4" w:space="0" w:color="auto"/>
            </w:tcBorders>
            <w:shd w:val="clear" w:color="auto" w:fill="auto"/>
            <w:noWrap/>
            <w:vAlign w:val="center"/>
            <w:hideMark/>
          </w:tcPr>
          <w:p w14:paraId="66A13770"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51.507 </w:t>
            </w:r>
          </w:p>
        </w:tc>
        <w:tc>
          <w:tcPr>
            <w:tcW w:w="580" w:type="pct"/>
            <w:tcBorders>
              <w:top w:val="nil"/>
              <w:left w:val="nil"/>
              <w:bottom w:val="single" w:sz="4" w:space="0" w:color="auto"/>
              <w:right w:val="single" w:sz="4" w:space="0" w:color="auto"/>
            </w:tcBorders>
            <w:shd w:val="clear" w:color="auto" w:fill="auto"/>
            <w:noWrap/>
            <w:vAlign w:val="bottom"/>
            <w:hideMark/>
          </w:tcPr>
          <w:p w14:paraId="51D8AD43"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363" w:type="pct"/>
            <w:tcBorders>
              <w:top w:val="nil"/>
              <w:left w:val="nil"/>
              <w:bottom w:val="single" w:sz="4" w:space="0" w:color="auto"/>
              <w:right w:val="single" w:sz="4" w:space="0" w:color="auto"/>
            </w:tcBorders>
            <w:shd w:val="clear" w:color="auto" w:fill="auto"/>
            <w:noWrap/>
            <w:vAlign w:val="bottom"/>
            <w:hideMark/>
          </w:tcPr>
          <w:p w14:paraId="007BBA90"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08" w:type="pct"/>
            <w:tcBorders>
              <w:top w:val="nil"/>
              <w:left w:val="nil"/>
              <w:bottom w:val="single" w:sz="4" w:space="0" w:color="auto"/>
              <w:right w:val="single" w:sz="4" w:space="0" w:color="auto"/>
            </w:tcBorders>
            <w:shd w:val="clear" w:color="auto" w:fill="auto"/>
            <w:noWrap/>
            <w:vAlign w:val="bottom"/>
            <w:hideMark/>
          </w:tcPr>
          <w:p w14:paraId="25B0C3E9"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095891D3"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51.507 </w:t>
            </w:r>
          </w:p>
        </w:tc>
      </w:tr>
      <w:tr w:rsidR="00F41043" w:rsidRPr="00F41043" w14:paraId="2918D43E"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bottom"/>
            <w:hideMark/>
          </w:tcPr>
          <w:p w14:paraId="74F30D7C"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Operações de Arrendamento Mercantil Financeiro</w:t>
            </w:r>
          </w:p>
        </w:tc>
        <w:tc>
          <w:tcPr>
            <w:tcW w:w="508" w:type="pct"/>
            <w:tcBorders>
              <w:top w:val="nil"/>
              <w:left w:val="nil"/>
              <w:bottom w:val="single" w:sz="4" w:space="0" w:color="auto"/>
              <w:right w:val="single" w:sz="4" w:space="0" w:color="auto"/>
            </w:tcBorders>
            <w:shd w:val="clear" w:color="auto" w:fill="auto"/>
            <w:noWrap/>
            <w:vAlign w:val="center"/>
            <w:hideMark/>
          </w:tcPr>
          <w:p w14:paraId="2B593915"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4.697 </w:t>
            </w:r>
          </w:p>
        </w:tc>
        <w:tc>
          <w:tcPr>
            <w:tcW w:w="580" w:type="pct"/>
            <w:tcBorders>
              <w:top w:val="nil"/>
              <w:left w:val="nil"/>
              <w:bottom w:val="single" w:sz="4" w:space="0" w:color="auto"/>
              <w:right w:val="single" w:sz="4" w:space="0" w:color="auto"/>
            </w:tcBorders>
            <w:shd w:val="clear" w:color="auto" w:fill="auto"/>
            <w:noWrap/>
            <w:vAlign w:val="bottom"/>
            <w:hideMark/>
          </w:tcPr>
          <w:p w14:paraId="18EFB392"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363" w:type="pct"/>
            <w:tcBorders>
              <w:top w:val="nil"/>
              <w:left w:val="nil"/>
              <w:bottom w:val="single" w:sz="4" w:space="0" w:color="auto"/>
              <w:right w:val="single" w:sz="4" w:space="0" w:color="auto"/>
            </w:tcBorders>
            <w:shd w:val="clear" w:color="auto" w:fill="auto"/>
            <w:noWrap/>
            <w:vAlign w:val="bottom"/>
            <w:hideMark/>
          </w:tcPr>
          <w:p w14:paraId="3EC8B2D1"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08" w:type="pct"/>
            <w:tcBorders>
              <w:top w:val="nil"/>
              <w:left w:val="nil"/>
              <w:bottom w:val="single" w:sz="4" w:space="0" w:color="auto"/>
              <w:right w:val="single" w:sz="4" w:space="0" w:color="auto"/>
            </w:tcBorders>
            <w:shd w:val="clear" w:color="auto" w:fill="auto"/>
            <w:noWrap/>
            <w:vAlign w:val="bottom"/>
            <w:hideMark/>
          </w:tcPr>
          <w:p w14:paraId="3480E068"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4F2DBF83"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4.697 </w:t>
            </w:r>
          </w:p>
        </w:tc>
      </w:tr>
      <w:tr w:rsidR="00F41043" w:rsidRPr="00F41043" w14:paraId="5A5040A1"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bottom"/>
            <w:hideMark/>
          </w:tcPr>
          <w:p w14:paraId="38930539"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Provisão para Riscos Trabalhistas, Cíveis e Fiscais</w:t>
            </w:r>
          </w:p>
        </w:tc>
        <w:tc>
          <w:tcPr>
            <w:tcW w:w="508" w:type="pct"/>
            <w:tcBorders>
              <w:top w:val="nil"/>
              <w:left w:val="nil"/>
              <w:bottom w:val="single" w:sz="4" w:space="0" w:color="auto"/>
              <w:right w:val="single" w:sz="4" w:space="0" w:color="auto"/>
            </w:tcBorders>
            <w:shd w:val="clear" w:color="auto" w:fill="auto"/>
            <w:noWrap/>
            <w:vAlign w:val="center"/>
            <w:hideMark/>
          </w:tcPr>
          <w:p w14:paraId="7B3C261C"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12.787 </w:t>
            </w:r>
          </w:p>
        </w:tc>
        <w:tc>
          <w:tcPr>
            <w:tcW w:w="580" w:type="pct"/>
            <w:tcBorders>
              <w:top w:val="nil"/>
              <w:left w:val="nil"/>
              <w:bottom w:val="single" w:sz="4" w:space="0" w:color="auto"/>
              <w:right w:val="single" w:sz="4" w:space="0" w:color="auto"/>
            </w:tcBorders>
            <w:shd w:val="clear" w:color="auto" w:fill="auto"/>
            <w:noWrap/>
            <w:vAlign w:val="bottom"/>
            <w:hideMark/>
          </w:tcPr>
          <w:p w14:paraId="4D8EE82C"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363" w:type="pct"/>
            <w:tcBorders>
              <w:top w:val="nil"/>
              <w:left w:val="nil"/>
              <w:bottom w:val="single" w:sz="4" w:space="0" w:color="auto"/>
              <w:right w:val="single" w:sz="4" w:space="0" w:color="auto"/>
            </w:tcBorders>
            <w:shd w:val="clear" w:color="auto" w:fill="auto"/>
            <w:noWrap/>
            <w:vAlign w:val="bottom"/>
            <w:hideMark/>
          </w:tcPr>
          <w:p w14:paraId="7E6DBE51"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08" w:type="pct"/>
            <w:tcBorders>
              <w:top w:val="nil"/>
              <w:left w:val="nil"/>
              <w:bottom w:val="single" w:sz="4" w:space="0" w:color="auto"/>
              <w:right w:val="single" w:sz="4" w:space="0" w:color="auto"/>
            </w:tcBorders>
            <w:shd w:val="clear" w:color="auto" w:fill="auto"/>
            <w:noWrap/>
            <w:vAlign w:val="bottom"/>
            <w:hideMark/>
          </w:tcPr>
          <w:p w14:paraId="532B1D90"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381A0C22"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12.787 </w:t>
            </w:r>
          </w:p>
        </w:tc>
      </w:tr>
      <w:tr w:rsidR="00F41043" w:rsidRPr="00F41043" w14:paraId="6A155336"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center"/>
            <w:hideMark/>
          </w:tcPr>
          <w:p w14:paraId="53CC36E1"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Credores por Perdas Judiciais</w:t>
            </w:r>
          </w:p>
        </w:tc>
        <w:tc>
          <w:tcPr>
            <w:tcW w:w="508" w:type="pct"/>
            <w:tcBorders>
              <w:top w:val="nil"/>
              <w:left w:val="nil"/>
              <w:bottom w:val="single" w:sz="4" w:space="0" w:color="auto"/>
              <w:right w:val="single" w:sz="4" w:space="0" w:color="auto"/>
            </w:tcBorders>
            <w:shd w:val="clear" w:color="auto" w:fill="auto"/>
            <w:noWrap/>
            <w:vAlign w:val="center"/>
            <w:hideMark/>
          </w:tcPr>
          <w:p w14:paraId="5C624023"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16.496 </w:t>
            </w:r>
          </w:p>
        </w:tc>
        <w:tc>
          <w:tcPr>
            <w:tcW w:w="580" w:type="pct"/>
            <w:tcBorders>
              <w:top w:val="nil"/>
              <w:left w:val="nil"/>
              <w:bottom w:val="single" w:sz="4" w:space="0" w:color="auto"/>
              <w:right w:val="single" w:sz="4" w:space="0" w:color="auto"/>
            </w:tcBorders>
            <w:shd w:val="clear" w:color="auto" w:fill="auto"/>
            <w:noWrap/>
            <w:vAlign w:val="bottom"/>
            <w:hideMark/>
          </w:tcPr>
          <w:p w14:paraId="404355DB"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363" w:type="pct"/>
            <w:tcBorders>
              <w:top w:val="nil"/>
              <w:left w:val="nil"/>
              <w:bottom w:val="single" w:sz="4" w:space="0" w:color="auto"/>
              <w:right w:val="single" w:sz="4" w:space="0" w:color="auto"/>
            </w:tcBorders>
            <w:shd w:val="clear" w:color="auto" w:fill="auto"/>
            <w:noWrap/>
            <w:vAlign w:val="bottom"/>
            <w:hideMark/>
          </w:tcPr>
          <w:p w14:paraId="724195E9"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08" w:type="pct"/>
            <w:tcBorders>
              <w:top w:val="nil"/>
              <w:left w:val="nil"/>
              <w:bottom w:val="single" w:sz="4" w:space="0" w:color="auto"/>
              <w:right w:val="single" w:sz="4" w:space="0" w:color="auto"/>
            </w:tcBorders>
            <w:shd w:val="clear" w:color="auto" w:fill="auto"/>
            <w:noWrap/>
            <w:vAlign w:val="bottom"/>
            <w:hideMark/>
          </w:tcPr>
          <w:p w14:paraId="5921064D"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62FB9F26"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16.496 </w:t>
            </w:r>
          </w:p>
        </w:tc>
      </w:tr>
      <w:tr w:rsidR="00F41043" w:rsidRPr="00F41043" w14:paraId="4330D741"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bottom"/>
            <w:hideMark/>
          </w:tcPr>
          <w:p w14:paraId="4F2639B9"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Provisão para Programa de Indenização por Serviços Prestados</w:t>
            </w:r>
          </w:p>
        </w:tc>
        <w:tc>
          <w:tcPr>
            <w:tcW w:w="508" w:type="pct"/>
            <w:tcBorders>
              <w:top w:val="nil"/>
              <w:left w:val="nil"/>
              <w:bottom w:val="single" w:sz="4" w:space="0" w:color="auto"/>
              <w:right w:val="single" w:sz="4" w:space="0" w:color="auto"/>
            </w:tcBorders>
            <w:shd w:val="clear" w:color="auto" w:fill="auto"/>
            <w:noWrap/>
            <w:vAlign w:val="center"/>
            <w:hideMark/>
          </w:tcPr>
          <w:p w14:paraId="088158C2"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3.295 </w:t>
            </w:r>
          </w:p>
        </w:tc>
        <w:tc>
          <w:tcPr>
            <w:tcW w:w="580" w:type="pct"/>
            <w:tcBorders>
              <w:top w:val="nil"/>
              <w:left w:val="nil"/>
              <w:bottom w:val="single" w:sz="4" w:space="0" w:color="auto"/>
              <w:right w:val="single" w:sz="4" w:space="0" w:color="auto"/>
            </w:tcBorders>
            <w:shd w:val="clear" w:color="auto" w:fill="auto"/>
            <w:noWrap/>
            <w:vAlign w:val="bottom"/>
            <w:hideMark/>
          </w:tcPr>
          <w:p w14:paraId="6536C931"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363" w:type="pct"/>
            <w:tcBorders>
              <w:top w:val="nil"/>
              <w:left w:val="nil"/>
              <w:bottom w:val="single" w:sz="4" w:space="0" w:color="auto"/>
              <w:right w:val="single" w:sz="4" w:space="0" w:color="auto"/>
            </w:tcBorders>
            <w:shd w:val="clear" w:color="auto" w:fill="auto"/>
            <w:noWrap/>
            <w:vAlign w:val="bottom"/>
            <w:hideMark/>
          </w:tcPr>
          <w:p w14:paraId="01D137EB"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08" w:type="pct"/>
            <w:tcBorders>
              <w:top w:val="nil"/>
              <w:left w:val="nil"/>
              <w:bottom w:val="single" w:sz="4" w:space="0" w:color="auto"/>
              <w:right w:val="single" w:sz="4" w:space="0" w:color="auto"/>
            </w:tcBorders>
            <w:shd w:val="clear" w:color="auto" w:fill="auto"/>
            <w:noWrap/>
            <w:vAlign w:val="bottom"/>
            <w:hideMark/>
          </w:tcPr>
          <w:p w14:paraId="525AE10D"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03788FC9"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3.295 </w:t>
            </w:r>
          </w:p>
        </w:tc>
      </w:tr>
      <w:tr w:rsidR="00F41043" w:rsidRPr="00F41043" w14:paraId="7DE5A899"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43BEAC29"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Outras Obrigações</w:t>
            </w:r>
          </w:p>
        </w:tc>
        <w:tc>
          <w:tcPr>
            <w:tcW w:w="508" w:type="pct"/>
            <w:tcBorders>
              <w:top w:val="nil"/>
              <w:left w:val="nil"/>
              <w:bottom w:val="single" w:sz="4" w:space="0" w:color="auto"/>
              <w:right w:val="single" w:sz="4" w:space="0" w:color="auto"/>
            </w:tcBorders>
            <w:shd w:val="clear" w:color="auto" w:fill="auto"/>
            <w:noWrap/>
            <w:vAlign w:val="center"/>
            <w:hideMark/>
          </w:tcPr>
          <w:p w14:paraId="04DF68AE"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3.355 </w:t>
            </w:r>
          </w:p>
        </w:tc>
        <w:tc>
          <w:tcPr>
            <w:tcW w:w="580" w:type="pct"/>
            <w:tcBorders>
              <w:top w:val="nil"/>
              <w:left w:val="nil"/>
              <w:bottom w:val="single" w:sz="4" w:space="0" w:color="auto"/>
              <w:right w:val="single" w:sz="4" w:space="0" w:color="auto"/>
            </w:tcBorders>
            <w:shd w:val="clear" w:color="auto" w:fill="auto"/>
            <w:noWrap/>
            <w:vAlign w:val="bottom"/>
            <w:hideMark/>
          </w:tcPr>
          <w:p w14:paraId="09BF8F24"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363" w:type="pct"/>
            <w:tcBorders>
              <w:top w:val="nil"/>
              <w:left w:val="nil"/>
              <w:bottom w:val="single" w:sz="4" w:space="0" w:color="auto"/>
              <w:right w:val="single" w:sz="4" w:space="0" w:color="auto"/>
            </w:tcBorders>
            <w:shd w:val="clear" w:color="auto" w:fill="auto"/>
            <w:noWrap/>
            <w:vAlign w:val="bottom"/>
            <w:hideMark/>
          </w:tcPr>
          <w:p w14:paraId="14E306D6"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08" w:type="pct"/>
            <w:tcBorders>
              <w:top w:val="nil"/>
              <w:left w:val="nil"/>
              <w:bottom w:val="single" w:sz="4" w:space="0" w:color="auto"/>
              <w:right w:val="single" w:sz="4" w:space="0" w:color="auto"/>
            </w:tcBorders>
            <w:shd w:val="clear" w:color="auto" w:fill="auto"/>
            <w:noWrap/>
            <w:vAlign w:val="bottom"/>
            <w:hideMark/>
          </w:tcPr>
          <w:p w14:paraId="648A0067"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1D3E6642"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3.355 </w:t>
            </w:r>
          </w:p>
        </w:tc>
      </w:tr>
      <w:tr w:rsidR="00F41043" w:rsidRPr="00F41043" w14:paraId="3108C210"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center"/>
            <w:hideMark/>
          </w:tcPr>
          <w:p w14:paraId="6E81DF61"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Total do Circulante</w:t>
            </w:r>
          </w:p>
        </w:tc>
        <w:tc>
          <w:tcPr>
            <w:tcW w:w="508" w:type="pct"/>
            <w:tcBorders>
              <w:top w:val="nil"/>
              <w:left w:val="nil"/>
              <w:bottom w:val="single" w:sz="4" w:space="0" w:color="auto"/>
              <w:right w:val="single" w:sz="4" w:space="0" w:color="auto"/>
            </w:tcBorders>
            <w:shd w:val="clear" w:color="auto" w:fill="auto"/>
            <w:noWrap/>
            <w:vAlign w:val="center"/>
            <w:hideMark/>
          </w:tcPr>
          <w:p w14:paraId="0763785D"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300.964 </w:t>
            </w:r>
          </w:p>
        </w:tc>
        <w:tc>
          <w:tcPr>
            <w:tcW w:w="580" w:type="pct"/>
            <w:tcBorders>
              <w:top w:val="nil"/>
              <w:left w:val="nil"/>
              <w:bottom w:val="single" w:sz="4" w:space="0" w:color="auto"/>
              <w:right w:val="single" w:sz="4" w:space="0" w:color="auto"/>
            </w:tcBorders>
            <w:shd w:val="clear" w:color="auto" w:fill="auto"/>
            <w:noWrap/>
            <w:vAlign w:val="center"/>
            <w:hideMark/>
          </w:tcPr>
          <w:p w14:paraId="0E0D3F76"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   </w:t>
            </w:r>
          </w:p>
        </w:tc>
        <w:tc>
          <w:tcPr>
            <w:tcW w:w="363" w:type="pct"/>
            <w:tcBorders>
              <w:top w:val="nil"/>
              <w:left w:val="nil"/>
              <w:bottom w:val="single" w:sz="4" w:space="0" w:color="auto"/>
              <w:right w:val="single" w:sz="4" w:space="0" w:color="auto"/>
            </w:tcBorders>
            <w:shd w:val="clear" w:color="auto" w:fill="auto"/>
            <w:noWrap/>
            <w:vAlign w:val="center"/>
            <w:hideMark/>
          </w:tcPr>
          <w:p w14:paraId="2D4843C5"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   </w:t>
            </w:r>
          </w:p>
        </w:tc>
        <w:tc>
          <w:tcPr>
            <w:tcW w:w="508" w:type="pct"/>
            <w:tcBorders>
              <w:top w:val="nil"/>
              <w:left w:val="nil"/>
              <w:bottom w:val="single" w:sz="4" w:space="0" w:color="auto"/>
              <w:right w:val="single" w:sz="4" w:space="0" w:color="auto"/>
            </w:tcBorders>
            <w:shd w:val="clear" w:color="auto" w:fill="auto"/>
            <w:noWrap/>
            <w:vAlign w:val="center"/>
            <w:hideMark/>
          </w:tcPr>
          <w:p w14:paraId="485CB55B"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center"/>
            <w:hideMark/>
          </w:tcPr>
          <w:p w14:paraId="27A64744"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300.964 </w:t>
            </w:r>
          </w:p>
        </w:tc>
      </w:tr>
      <w:tr w:rsidR="00F41043" w:rsidRPr="00F41043" w14:paraId="6629B68A"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center"/>
            <w:hideMark/>
          </w:tcPr>
          <w:p w14:paraId="3809A8CB"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Não Circulante</w:t>
            </w:r>
          </w:p>
        </w:tc>
        <w:tc>
          <w:tcPr>
            <w:tcW w:w="508" w:type="pct"/>
            <w:tcBorders>
              <w:top w:val="nil"/>
              <w:left w:val="nil"/>
              <w:bottom w:val="single" w:sz="4" w:space="0" w:color="auto"/>
              <w:right w:val="single" w:sz="4" w:space="0" w:color="auto"/>
            </w:tcBorders>
            <w:shd w:val="clear" w:color="auto" w:fill="auto"/>
            <w:noWrap/>
            <w:vAlign w:val="center"/>
            <w:hideMark/>
          </w:tcPr>
          <w:p w14:paraId="659D4A70"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80" w:type="pct"/>
            <w:tcBorders>
              <w:top w:val="nil"/>
              <w:left w:val="nil"/>
              <w:bottom w:val="single" w:sz="4" w:space="0" w:color="auto"/>
              <w:right w:val="single" w:sz="4" w:space="0" w:color="auto"/>
            </w:tcBorders>
            <w:shd w:val="clear" w:color="auto" w:fill="auto"/>
            <w:noWrap/>
            <w:vAlign w:val="bottom"/>
            <w:hideMark/>
          </w:tcPr>
          <w:p w14:paraId="5E3D8A98"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363" w:type="pct"/>
            <w:tcBorders>
              <w:top w:val="nil"/>
              <w:left w:val="nil"/>
              <w:bottom w:val="single" w:sz="4" w:space="0" w:color="auto"/>
              <w:right w:val="single" w:sz="4" w:space="0" w:color="auto"/>
            </w:tcBorders>
            <w:shd w:val="clear" w:color="auto" w:fill="auto"/>
            <w:noWrap/>
            <w:vAlign w:val="bottom"/>
            <w:hideMark/>
          </w:tcPr>
          <w:p w14:paraId="79FAD63C"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08" w:type="pct"/>
            <w:tcBorders>
              <w:top w:val="nil"/>
              <w:left w:val="nil"/>
              <w:bottom w:val="single" w:sz="4" w:space="0" w:color="auto"/>
              <w:right w:val="single" w:sz="4" w:space="0" w:color="auto"/>
            </w:tcBorders>
            <w:shd w:val="clear" w:color="auto" w:fill="auto"/>
            <w:noWrap/>
            <w:vAlign w:val="bottom"/>
            <w:hideMark/>
          </w:tcPr>
          <w:p w14:paraId="26F9C704"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5754AACF"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r>
      <w:tr w:rsidR="00F41043" w:rsidRPr="00F41043" w14:paraId="599F5628"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bottom"/>
            <w:hideMark/>
          </w:tcPr>
          <w:p w14:paraId="694CC930"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Empréstimos e Financiamentos</w:t>
            </w:r>
          </w:p>
        </w:tc>
        <w:tc>
          <w:tcPr>
            <w:tcW w:w="508" w:type="pct"/>
            <w:tcBorders>
              <w:top w:val="nil"/>
              <w:left w:val="nil"/>
              <w:bottom w:val="single" w:sz="4" w:space="0" w:color="auto"/>
              <w:right w:val="single" w:sz="4" w:space="0" w:color="auto"/>
            </w:tcBorders>
            <w:shd w:val="clear" w:color="auto" w:fill="auto"/>
            <w:noWrap/>
            <w:vAlign w:val="center"/>
            <w:hideMark/>
          </w:tcPr>
          <w:p w14:paraId="41CF1659"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199.257 </w:t>
            </w:r>
          </w:p>
        </w:tc>
        <w:tc>
          <w:tcPr>
            <w:tcW w:w="580" w:type="pct"/>
            <w:tcBorders>
              <w:top w:val="nil"/>
              <w:left w:val="nil"/>
              <w:bottom w:val="single" w:sz="4" w:space="0" w:color="auto"/>
              <w:right w:val="single" w:sz="4" w:space="0" w:color="auto"/>
            </w:tcBorders>
            <w:shd w:val="clear" w:color="auto" w:fill="auto"/>
            <w:noWrap/>
            <w:vAlign w:val="bottom"/>
            <w:hideMark/>
          </w:tcPr>
          <w:p w14:paraId="40991AFD"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363" w:type="pct"/>
            <w:tcBorders>
              <w:top w:val="nil"/>
              <w:left w:val="nil"/>
              <w:bottom w:val="single" w:sz="4" w:space="0" w:color="auto"/>
              <w:right w:val="single" w:sz="4" w:space="0" w:color="auto"/>
            </w:tcBorders>
            <w:shd w:val="clear" w:color="auto" w:fill="auto"/>
            <w:noWrap/>
            <w:vAlign w:val="bottom"/>
            <w:hideMark/>
          </w:tcPr>
          <w:p w14:paraId="4CAD40C3"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08" w:type="pct"/>
            <w:tcBorders>
              <w:top w:val="nil"/>
              <w:left w:val="nil"/>
              <w:bottom w:val="single" w:sz="4" w:space="0" w:color="auto"/>
              <w:right w:val="single" w:sz="4" w:space="0" w:color="auto"/>
            </w:tcBorders>
            <w:shd w:val="clear" w:color="auto" w:fill="auto"/>
            <w:noWrap/>
            <w:vAlign w:val="bottom"/>
            <w:hideMark/>
          </w:tcPr>
          <w:p w14:paraId="2D9A656A"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17314E8E"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199.257 </w:t>
            </w:r>
          </w:p>
        </w:tc>
      </w:tr>
      <w:tr w:rsidR="00F41043" w:rsidRPr="00F41043" w14:paraId="54761C61"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bottom"/>
            <w:hideMark/>
          </w:tcPr>
          <w:p w14:paraId="50B91BB1"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Operações de Arrendamento Mercantil Financeiro</w:t>
            </w:r>
          </w:p>
        </w:tc>
        <w:tc>
          <w:tcPr>
            <w:tcW w:w="508" w:type="pct"/>
            <w:tcBorders>
              <w:top w:val="nil"/>
              <w:left w:val="nil"/>
              <w:bottom w:val="single" w:sz="4" w:space="0" w:color="auto"/>
              <w:right w:val="single" w:sz="4" w:space="0" w:color="auto"/>
            </w:tcBorders>
            <w:shd w:val="clear" w:color="auto" w:fill="auto"/>
            <w:noWrap/>
            <w:vAlign w:val="center"/>
            <w:hideMark/>
          </w:tcPr>
          <w:p w14:paraId="68682300"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15.025 </w:t>
            </w:r>
          </w:p>
        </w:tc>
        <w:tc>
          <w:tcPr>
            <w:tcW w:w="580" w:type="pct"/>
            <w:tcBorders>
              <w:top w:val="nil"/>
              <w:left w:val="nil"/>
              <w:bottom w:val="single" w:sz="4" w:space="0" w:color="auto"/>
              <w:right w:val="single" w:sz="4" w:space="0" w:color="auto"/>
            </w:tcBorders>
            <w:shd w:val="clear" w:color="auto" w:fill="auto"/>
            <w:noWrap/>
            <w:vAlign w:val="bottom"/>
            <w:hideMark/>
          </w:tcPr>
          <w:p w14:paraId="7E139EB3"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363" w:type="pct"/>
            <w:tcBorders>
              <w:top w:val="nil"/>
              <w:left w:val="nil"/>
              <w:bottom w:val="single" w:sz="4" w:space="0" w:color="auto"/>
              <w:right w:val="single" w:sz="4" w:space="0" w:color="auto"/>
            </w:tcBorders>
            <w:shd w:val="clear" w:color="auto" w:fill="auto"/>
            <w:noWrap/>
            <w:vAlign w:val="bottom"/>
            <w:hideMark/>
          </w:tcPr>
          <w:p w14:paraId="51BC21DA"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08" w:type="pct"/>
            <w:tcBorders>
              <w:top w:val="nil"/>
              <w:left w:val="nil"/>
              <w:bottom w:val="single" w:sz="4" w:space="0" w:color="auto"/>
              <w:right w:val="single" w:sz="4" w:space="0" w:color="auto"/>
            </w:tcBorders>
            <w:shd w:val="clear" w:color="auto" w:fill="auto"/>
            <w:noWrap/>
            <w:vAlign w:val="bottom"/>
            <w:hideMark/>
          </w:tcPr>
          <w:p w14:paraId="396B8688"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6D14DD2E"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15.025 </w:t>
            </w:r>
          </w:p>
        </w:tc>
      </w:tr>
      <w:tr w:rsidR="00F41043" w:rsidRPr="00F41043" w14:paraId="10DA27F5"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bottom"/>
            <w:hideMark/>
          </w:tcPr>
          <w:p w14:paraId="522B9A04"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Provisão para Riscos Trabalhistas, Cíveis e Fiscais</w:t>
            </w:r>
          </w:p>
        </w:tc>
        <w:tc>
          <w:tcPr>
            <w:tcW w:w="508" w:type="pct"/>
            <w:tcBorders>
              <w:top w:val="nil"/>
              <w:left w:val="nil"/>
              <w:bottom w:val="single" w:sz="4" w:space="0" w:color="auto"/>
              <w:right w:val="single" w:sz="4" w:space="0" w:color="auto"/>
            </w:tcBorders>
            <w:shd w:val="clear" w:color="auto" w:fill="auto"/>
            <w:noWrap/>
            <w:vAlign w:val="center"/>
            <w:hideMark/>
          </w:tcPr>
          <w:p w14:paraId="6DC0710E"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41.398 </w:t>
            </w:r>
          </w:p>
        </w:tc>
        <w:tc>
          <w:tcPr>
            <w:tcW w:w="580" w:type="pct"/>
            <w:tcBorders>
              <w:top w:val="nil"/>
              <w:left w:val="nil"/>
              <w:bottom w:val="single" w:sz="4" w:space="0" w:color="auto"/>
              <w:right w:val="single" w:sz="4" w:space="0" w:color="auto"/>
            </w:tcBorders>
            <w:shd w:val="clear" w:color="auto" w:fill="auto"/>
            <w:noWrap/>
            <w:vAlign w:val="bottom"/>
            <w:hideMark/>
          </w:tcPr>
          <w:p w14:paraId="0ABE0B9E"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363" w:type="pct"/>
            <w:tcBorders>
              <w:top w:val="nil"/>
              <w:left w:val="nil"/>
              <w:bottom w:val="single" w:sz="4" w:space="0" w:color="auto"/>
              <w:right w:val="single" w:sz="4" w:space="0" w:color="auto"/>
            </w:tcBorders>
            <w:shd w:val="clear" w:color="auto" w:fill="auto"/>
            <w:noWrap/>
            <w:vAlign w:val="bottom"/>
            <w:hideMark/>
          </w:tcPr>
          <w:p w14:paraId="37D064AC"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08" w:type="pct"/>
            <w:tcBorders>
              <w:top w:val="nil"/>
              <w:left w:val="nil"/>
              <w:bottom w:val="single" w:sz="4" w:space="0" w:color="auto"/>
              <w:right w:val="single" w:sz="4" w:space="0" w:color="auto"/>
            </w:tcBorders>
            <w:shd w:val="clear" w:color="auto" w:fill="auto"/>
            <w:noWrap/>
            <w:vAlign w:val="bottom"/>
            <w:hideMark/>
          </w:tcPr>
          <w:p w14:paraId="50B2DDC5"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78F2ACC0"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41.398 </w:t>
            </w:r>
          </w:p>
        </w:tc>
      </w:tr>
      <w:tr w:rsidR="00F41043" w:rsidRPr="00F41043" w14:paraId="67AA4A51"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center"/>
            <w:hideMark/>
          </w:tcPr>
          <w:p w14:paraId="1C3B8C31"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Credores por Perdas Judiciais</w:t>
            </w:r>
          </w:p>
        </w:tc>
        <w:tc>
          <w:tcPr>
            <w:tcW w:w="508" w:type="pct"/>
            <w:tcBorders>
              <w:top w:val="nil"/>
              <w:left w:val="nil"/>
              <w:bottom w:val="single" w:sz="4" w:space="0" w:color="auto"/>
              <w:right w:val="single" w:sz="4" w:space="0" w:color="auto"/>
            </w:tcBorders>
            <w:shd w:val="clear" w:color="auto" w:fill="auto"/>
            <w:noWrap/>
            <w:vAlign w:val="center"/>
            <w:hideMark/>
          </w:tcPr>
          <w:p w14:paraId="337DF165"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160.650 </w:t>
            </w:r>
          </w:p>
        </w:tc>
        <w:tc>
          <w:tcPr>
            <w:tcW w:w="580" w:type="pct"/>
            <w:tcBorders>
              <w:top w:val="nil"/>
              <w:left w:val="nil"/>
              <w:bottom w:val="single" w:sz="4" w:space="0" w:color="auto"/>
              <w:right w:val="single" w:sz="4" w:space="0" w:color="auto"/>
            </w:tcBorders>
            <w:shd w:val="clear" w:color="auto" w:fill="auto"/>
            <w:noWrap/>
            <w:vAlign w:val="bottom"/>
            <w:hideMark/>
          </w:tcPr>
          <w:p w14:paraId="01A26F03"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363" w:type="pct"/>
            <w:tcBorders>
              <w:top w:val="nil"/>
              <w:left w:val="nil"/>
              <w:bottom w:val="single" w:sz="4" w:space="0" w:color="auto"/>
              <w:right w:val="single" w:sz="4" w:space="0" w:color="auto"/>
            </w:tcBorders>
            <w:shd w:val="clear" w:color="auto" w:fill="auto"/>
            <w:noWrap/>
            <w:vAlign w:val="bottom"/>
            <w:hideMark/>
          </w:tcPr>
          <w:p w14:paraId="4F8965DC"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08" w:type="pct"/>
            <w:tcBorders>
              <w:top w:val="nil"/>
              <w:left w:val="nil"/>
              <w:bottom w:val="single" w:sz="4" w:space="0" w:color="auto"/>
              <w:right w:val="single" w:sz="4" w:space="0" w:color="auto"/>
            </w:tcBorders>
            <w:shd w:val="clear" w:color="auto" w:fill="auto"/>
            <w:noWrap/>
            <w:vAlign w:val="bottom"/>
            <w:hideMark/>
          </w:tcPr>
          <w:p w14:paraId="6515835C"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055D4EF2"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160.650 </w:t>
            </w:r>
          </w:p>
        </w:tc>
      </w:tr>
      <w:tr w:rsidR="00F41043" w:rsidRPr="00F41043" w14:paraId="1C99C0B5"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bottom"/>
            <w:hideMark/>
          </w:tcPr>
          <w:p w14:paraId="0AF1EC4E"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Provisão para Programa de Indenização por Serviços Prestados</w:t>
            </w:r>
          </w:p>
        </w:tc>
        <w:tc>
          <w:tcPr>
            <w:tcW w:w="508" w:type="pct"/>
            <w:tcBorders>
              <w:top w:val="nil"/>
              <w:left w:val="nil"/>
              <w:bottom w:val="single" w:sz="4" w:space="0" w:color="auto"/>
              <w:right w:val="single" w:sz="4" w:space="0" w:color="auto"/>
            </w:tcBorders>
            <w:shd w:val="clear" w:color="auto" w:fill="auto"/>
            <w:noWrap/>
            <w:vAlign w:val="center"/>
            <w:hideMark/>
          </w:tcPr>
          <w:p w14:paraId="7E032EDE"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26.661 </w:t>
            </w:r>
          </w:p>
        </w:tc>
        <w:tc>
          <w:tcPr>
            <w:tcW w:w="580" w:type="pct"/>
            <w:tcBorders>
              <w:top w:val="nil"/>
              <w:left w:val="nil"/>
              <w:bottom w:val="single" w:sz="4" w:space="0" w:color="auto"/>
              <w:right w:val="single" w:sz="4" w:space="0" w:color="auto"/>
            </w:tcBorders>
            <w:shd w:val="clear" w:color="auto" w:fill="auto"/>
            <w:noWrap/>
            <w:vAlign w:val="bottom"/>
            <w:hideMark/>
          </w:tcPr>
          <w:p w14:paraId="5B2A063D"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363" w:type="pct"/>
            <w:tcBorders>
              <w:top w:val="nil"/>
              <w:left w:val="nil"/>
              <w:bottom w:val="single" w:sz="4" w:space="0" w:color="auto"/>
              <w:right w:val="single" w:sz="4" w:space="0" w:color="auto"/>
            </w:tcBorders>
            <w:shd w:val="clear" w:color="auto" w:fill="auto"/>
            <w:noWrap/>
            <w:vAlign w:val="bottom"/>
            <w:hideMark/>
          </w:tcPr>
          <w:p w14:paraId="763E3B48"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08" w:type="pct"/>
            <w:tcBorders>
              <w:top w:val="nil"/>
              <w:left w:val="nil"/>
              <w:bottom w:val="single" w:sz="4" w:space="0" w:color="auto"/>
              <w:right w:val="single" w:sz="4" w:space="0" w:color="auto"/>
            </w:tcBorders>
            <w:shd w:val="clear" w:color="auto" w:fill="auto"/>
            <w:noWrap/>
            <w:vAlign w:val="bottom"/>
            <w:hideMark/>
          </w:tcPr>
          <w:p w14:paraId="4C75334A"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473D7AB8"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26.661 </w:t>
            </w:r>
          </w:p>
        </w:tc>
      </w:tr>
      <w:tr w:rsidR="00F41043" w:rsidRPr="00F41043" w14:paraId="6D8C0FAF"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center"/>
            <w:hideMark/>
          </w:tcPr>
          <w:p w14:paraId="5182ADC1"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Grupamento de Ações</w:t>
            </w:r>
          </w:p>
        </w:tc>
        <w:tc>
          <w:tcPr>
            <w:tcW w:w="508" w:type="pct"/>
            <w:tcBorders>
              <w:top w:val="nil"/>
              <w:left w:val="nil"/>
              <w:bottom w:val="single" w:sz="4" w:space="0" w:color="auto"/>
              <w:right w:val="single" w:sz="4" w:space="0" w:color="auto"/>
            </w:tcBorders>
            <w:shd w:val="clear" w:color="auto" w:fill="auto"/>
            <w:noWrap/>
            <w:vAlign w:val="center"/>
            <w:hideMark/>
          </w:tcPr>
          <w:p w14:paraId="1D50A254"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13.766 </w:t>
            </w:r>
          </w:p>
        </w:tc>
        <w:tc>
          <w:tcPr>
            <w:tcW w:w="580" w:type="pct"/>
            <w:tcBorders>
              <w:top w:val="nil"/>
              <w:left w:val="nil"/>
              <w:bottom w:val="single" w:sz="4" w:space="0" w:color="auto"/>
              <w:right w:val="single" w:sz="4" w:space="0" w:color="auto"/>
            </w:tcBorders>
            <w:shd w:val="clear" w:color="auto" w:fill="auto"/>
            <w:noWrap/>
            <w:vAlign w:val="bottom"/>
            <w:hideMark/>
          </w:tcPr>
          <w:p w14:paraId="3970227E"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363" w:type="pct"/>
            <w:tcBorders>
              <w:top w:val="nil"/>
              <w:left w:val="nil"/>
              <w:bottom w:val="single" w:sz="4" w:space="0" w:color="auto"/>
              <w:right w:val="single" w:sz="4" w:space="0" w:color="auto"/>
            </w:tcBorders>
            <w:shd w:val="clear" w:color="auto" w:fill="auto"/>
            <w:noWrap/>
            <w:vAlign w:val="bottom"/>
            <w:hideMark/>
          </w:tcPr>
          <w:p w14:paraId="1DE81B89"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08" w:type="pct"/>
            <w:tcBorders>
              <w:top w:val="nil"/>
              <w:left w:val="nil"/>
              <w:bottom w:val="single" w:sz="4" w:space="0" w:color="auto"/>
              <w:right w:val="single" w:sz="4" w:space="0" w:color="auto"/>
            </w:tcBorders>
            <w:shd w:val="clear" w:color="auto" w:fill="auto"/>
            <w:noWrap/>
            <w:vAlign w:val="bottom"/>
            <w:hideMark/>
          </w:tcPr>
          <w:p w14:paraId="6C750F7D"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61E01B81"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13.766 </w:t>
            </w:r>
          </w:p>
        </w:tc>
      </w:tr>
      <w:tr w:rsidR="00F41043" w:rsidRPr="00F41043" w14:paraId="157B966C"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center"/>
            <w:hideMark/>
          </w:tcPr>
          <w:p w14:paraId="31429507"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Receitas Diferidas</w:t>
            </w:r>
          </w:p>
        </w:tc>
        <w:tc>
          <w:tcPr>
            <w:tcW w:w="508" w:type="pct"/>
            <w:tcBorders>
              <w:top w:val="nil"/>
              <w:left w:val="nil"/>
              <w:bottom w:val="single" w:sz="4" w:space="0" w:color="auto"/>
              <w:right w:val="single" w:sz="4" w:space="0" w:color="auto"/>
            </w:tcBorders>
            <w:shd w:val="clear" w:color="auto" w:fill="auto"/>
            <w:noWrap/>
            <w:vAlign w:val="center"/>
            <w:hideMark/>
          </w:tcPr>
          <w:p w14:paraId="625BE91C"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419.527 </w:t>
            </w:r>
          </w:p>
        </w:tc>
        <w:tc>
          <w:tcPr>
            <w:tcW w:w="580" w:type="pct"/>
            <w:tcBorders>
              <w:top w:val="nil"/>
              <w:left w:val="nil"/>
              <w:bottom w:val="single" w:sz="4" w:space="0" w:color="auto"/>
              <w:right w:val="single" w:sz="4" w:space="0" w:color="auto"/>
            </w:tcBorders>
            <w:shd w:val="clear" w:color="auto" w:fill="auto"/>
            <w:noWrap/>
            <w:vAlign w:val="bottom"/>
            <w:hideMark/>
          </w:tcPr>
          <w:p w14:paraId="7B0AC085"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363" w:type="pct"/>
            <w:tcBorders>
              <w:top w:val="nil"/>
              <w:left w:val="nil"/>
              <w:bottom w:val="single" w:sz="4" w:space="0" w:color="auto"/>
              <w:right w:val="single" w:sz="4" w:space="0" w:color="auto"/>
            </w:tcBorders>
            <w:shd w:val="clear" w:color="auto" w:fill="auto"/>
            <w:noWrap/>
            <w:vAlign w:val="bottom"/>
            <w:hideMark/>
          </w:tcPr>
          <w:p w14:paraId="668896FD"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08" w:type="pct"/>
            <w:tcBorders>
              <w:top w:val="nil"/>
              <w:left w:val="nil"/>
              <w:bottom w:val="single" w:sz="4" w:space="0" w:color="auto"/>
              <w:right w:val="single" w:sz="4" w:space="0" w:color="auto"/>
            </w:tcBorders>
            <w:shd w:val="clear" w:color="auto" w:fill="auto"/>
            <w:noWrap/>
            <w:vAlign w:val="bottom"/>
            <w:hideMark/>
          </w:tcPr>
          <w:p w14:paraId="21155EAC"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4BDDC280"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419.527 </w:t>
            </w:r>
          </w:p>
        </w:tc>
      </w:tr>
      <w:tr w:rsidR="00F41043" w:rsidRPr="00F41043" w14:paraId="6933BF02"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center"/>
            <w:hideMark/>
          </w:tcPr>
          <w:p w14:paraId="4146729E"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Recursos Capitalizáveis</w:t>
            </w:r>
          </w:p>
        </w:tc>
        <w:tc>
          <w:tcPr>
            <w:tcW w:w="508" w:type="pct"/>
            <w:tcBorders>
              <w:top w:val="nil"/>
              <w:left w:val="nil"/>
              <w:bottom w:val="single" w:sz="4" w:space="0" w:color="auto"/>
              <w:right w:val="single" w:sz="4" w:space="0" w:color="auto"/>
            </w:tcBorders>
            <w:shd w:val="clear" w:color="auto" w:fill="auto"/>
            <w:noWrap/>
            <w:vAlign w:val="center"/>
            <w:hideMark/>
          </w:tcPr>
          <w:p w14:paraId="46A7F8E1"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1.513.526 </w:t>
            </w:r>
          </w:p>
        </w:tc>
        <w:tc>
          <w:tcPr>
            <w:tcW w:w="580" w:type="pct"/>
            <w:tcBorders>
              <w:top w:val="nil"/>
              <w:left w:val="nil"/>
              <w:bottom w:val="single" w:sz="4" w:space="0" w:color="auto"/>
              <w:right w:val="single" w:sz="4" w:space="0" w:color="auto"/>
            </w:tcBorders>
            <w:shd w:val="clear" w:color="auto" w:fill="auto"/>
            <w:noWrap/>
            <w:vAlign w:val="bottom"/>
            <w:hideMark/>
          </w:tcPr>
          <w:p w14:paraId="3503B5A4"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31.157 </w:t>
            </w:r>
          </w:p>
        </w:tc>
        <w:tc>
          <w:tcPr>
            <w:tcW w:w="363" w:type="pct"/>
            <w:tcBorders>
              <w:top w:val="nil"/>
              <w:left w:val="nil"/>
              <w:bottom w:val="single" w:sz="4" w:space="0" w:color="auto"/>
              <w:right w:val="single" w:sz="4" w:space="0" w:color="auto"/>
            </w:tcBorders>
            <w:shd w:val="clear" w:color="auto" w:fill="auto"/>
            <w:noWrap/>
            <w:vAlign w:val="bottom"/>
            <w:hideMark/>
          </w:tcPr>
          <w:p w14:paraId="6A5C2F9D"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197 </w:t>
            </w:r>
          </w:p>
        </w:tc>
        <w:tc>
          <w:tcPr>
            <w:tcW w:w="508" w:type="pct"/>
            <w:tcBorders>
              <w:top w:val="nil"/>
              <w:left w:val="nil"/>
              <w:bottom w:val="single" w:sz="4" w:space="0" w:color="auto"/>
              <w:right w:val="single" w:sz="4" w:space="0" w:color="auto"/>
            </w:tcBorders>
            <w:shd w:val="clear" w:color="auto" w:fill="auto"/>
            <w:noWrap/>
            <w:vAlign w:val="bottom"/>
            <w:hideMark/>
          </w:tcPr>
          <w:p w14:paraId="6D9B8E79"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03B59C24"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1.544.880 </w:t>
            </w:r>
          </w:p>
        </w:tc>
      </w:tr>
      <w:tr w:rsidR="00F41043" w:rsidRPr="00F41043" w14:paraId="019139E0"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center"/>
            <w:hideMark/>
          </w:tcPr>
          <w:p w14:paraId="013396D5"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Total do Não Circulante</w:t>
            </w:r>
          </w:p>
        </w:tc>
        <w:tc>
          <w:tcPr>
            <w:tcW w:w="508" w:type="pct"/>
            <w:tcBorders>
              <w:top w:val="nil"/>
              <w:left w:val="nil"/>
              <w:bottom w:val="single" w:sz="4" w:space="0" w:color="auto"/>
              <w:right w:val="single" w:sz="4" w:space="0" w:color="auto"/>
            </w:tcBorders>
            <w:shd w:val="clear" w:color="auto" w:fill="auto"/>
            <w:noWrap/>
            <w:vAlign w:val="center"/>
            <w:hideMark/>
          </w:tcPr>
          <w:p w14:paraId="332E1A75"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2.389.810 </w:t>
            </w:r>
          </w:p>
        </w:tc>
        <w:tc>
          <w:tcPr>
            <w:tcW w:w="580" w:type="pct"/>
            <w:tcBorders>
              <w:top w:val="nil"/>
              <w:left w:val="nil"/>
              <w:bottom w:val="single" w:sz="4" w:space="0" w:color="auto"/>
              <w:right w:val="single" w:sz="4" w:space="0" w:color="auto"/>
            </w:tcBorders>
            <w:shd w:val="clear" w:color="auto" w:fill="auto"/>
            <w:noWrap/>
            <w:vAlign w:val="center"/>
            <w:hideMark/>
          </w:tcPr>
          <w:p w14:paraId="0AB9D360"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31.157 </w:t>
            </w:r>
          </w:p>
        </w:tc>
        <w:tc>
          <w:tcPr>
            <w:tcW w:w="363" w:type="pct"/>
            <w:tcBorders>
              <w:top w:val="nil"/>
              <w:left w:val="nil"/>
              <w:bottom w:val="single" w:sz="4" w:space="0" w:color="auto"/>
              <w:right w:val="single" w:sz="4" w:space="0" w:color="auto"/>
            </w:tcBorders>
            <w:shd w:val="clear" w:color="auto" w:fill="auto"/>
            <w:noWrap/>
            <w:vAlign w:val="center"/>
            <w:hideMark/>
          </w:tcPr>
          <w:p w14:paraId="15EEB2D4"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197 </w:t>
            </w:r>
          </w:p>
        </w:tc>
        <w:tc>
          <w:tcPr>
            <w:tcW w:w="508" w:type="pct"/>
            <w:tcBorders>
              <w:top w:val="nil"/>
              <w:left w:val="nil"/>
              <w:bottom w:val="single" w:sz="4" w:space="0" w:color="auto"/>
              <w:right w:val="single" w:sz="4" w:space="0" w:color="auto"/>
            </w:tcBorders>
            <w:shd w:val="clear" w:color="auto" w:fill="auto"/>
            <w:noWrap/>
            <w:vAlign w:val="center"/>
            <w:hideMark/>
          </w:tcPr>
          <w:p w14:paraId="014F198B"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center"/>
            <w:hideMark/>
          </w:tcPr>
          <w:p w14:paraId="52938CE6"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2.421.164 </w:t>
            </w:r>
          </w:p>
        </w:tc>
      </w:tr>
      <w:tr w:rsidR="00F41043" w:rsidRPr="00F41043" w14:paraId="58ABCC55"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3B65F355"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Patrimônio Líquido</w:t>
            </w:r>
          </w:p>
        </w:tc>
        <w:tc>
          <w:tcPr>
            <w:tcW w:w="508" w:type="pct"/>
            <w:tcBorders>
              <w:top w:val="nil"/>
              <w:left w:val="nil"/>
              <w:bottom w:val="single" w:sz="4" w:space="0" w:color="auto"/>
              <w:right w:val="single" w:sz="4" w:space="0" w:color="auto"/>
            </w:tcBorders>
            <w:shd w:val="clear" w:color="auto" w:fill="auto"/>
            <w:noWrap/>
            <w:vAlign w:val="center"/>
            <w:hideMark/>
          </w:tcPr>
          <w:p w14:paraId="5134DD1E"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80" w:type="pct"/>
            <w:tcBorders>
              <w:top w:val="nil"/>
              <w:left w:val="nil"/>
              <w:bottom w:val="single" w:sz="4" w:space="0" w:color="auto"/>
              <w:right w:val="single" w:sz="4" w:space="0" w:color="auto"/>
            </w:tcBorders>
            <w:shd w:val="clear" w:color="auto" w:fill="auto"/>
            <w:noWrap/>
            <w:vAlign w:val="bottom"/>
            <w:hideMark/>
          </w:tcPr>
          <w:p w14:paraId="7413BA03"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363" w:type="pct"/>
            <w:tcBorders>
              <w:top w:val="nil"/>
              <w:left w:val="nil"/>
              <w:bottom w:val="single" w:sz="4" w:space="0" w:color="auto"/>
              <w:right w:val="single" w:sz="4" w:space="0" w:color="auto"/>
            </w:tcBorders>
            <w:shd w:val="clear" w:color="auto" w:fill="auto"/>
            <w:noWrap/>
            <w:vAlign w:val="bottom"/>
            <w:hideMark/>
          </w:tcPr>
          <w:p w14:paraId="33D3F76E"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08" w:type="pct"/>
            <w:tcBorders>
              <w:top w:val="nil"/>
              <w:left w:val="nil"/>
              <w:bottom w:val="single" w:sz="4" w:space="0" w:color="auto"/>
              <w:right w:val="single" w:sz="4" w:space="0" w:color="auto"/>
            </w:tcBorders>
            <w:shd w:val="clear" w:color="auto" w:fill="auto"/>
            <w:noWrap/>
            <w:vAlign w:val="bottom"/>
            <w:hideMark/>
          </w:tcPr>
          <w:p w14:paraId="65C817FE"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484D4DBB"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r>
      <w:tr w:rsidR="00F41043" w:rsidRPr="00F41043" w14:paraId="1B5C8ED2"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center"/>
            <w:hideMark/>
          </w:tcPr>
          <w:p w14:paraId="51CACB12"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Capital Social</w:t>
            </w:r>
          </w:p>
        </w:tc>
        <w:tc>
          <w:tcPr>
            <w:tcW w:w="508" w:type="pct"/>
            <w:tcBorders>
              <w:top w:val="nil"/>
              <w:left w:val="nil"/>
              <w:bottom w:val="single" w:sz="4" w:space="0" w:color="auto"/>
              <w:right w:val="single" w:sz="4" w:space="0" w:color="auto"/>
            </w:tcBorders>
            <w:shd w:val="clear" w:color="auto" w:fill="auto"/>
            <w:noWrap/>
            <w:vAlign w:val="center"/>
            <w:hideMark/>
          </w:tcPr>
          <w:p w14:paraId="6BDD447B"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3.107.339 </w:t>
            </w:r>
          </w:p>
        </w:tc>
        <w:tc>
          <w:tcPr>
            <w:tcW w:w="580" w:type="pct"/>
            <w:tcBorders>
              <w:top w:val="nil"/>
              <w:left w:val="nil"/>
              <w:bottom w:val="single" w:sz="4" w:space="0" w:color="auto"/>
              <w:right w:val="single" w:sz="4" w:space="0" w:color="auto"/>
            </w:tcBorders>
            <w:shd w:val="clear" w:color="auto" w:fill="auto"/>
            <w:noWrap/>
            <w:vAlign w:val="bottom"/>
            <w:hideMark/>
          </w:tcPr>
          <w:p w14:paraId="229925CF"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363" w:type="pct"/>
            <w:tcBorders>
              <w:top w:val="nil"/>
              <w:left w:val="nil"/>
              <w:bottom w:val="single" w:sz="4" w:space="0" w:color="auto"/>
              <w:right w:val="single" w:sz="4" w:space="0" w:color="auto"/>
            </w:tcBorders>
            <w:shd w:val="clear" w:color="auto" w:fill="auto"/>
            <w:noWrap/>
            <w:vAlign w:val="bottom"/>
            <w:hideMark/>
          </w:tcPr>
          <w:p w14:paraId="684C4B3E"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08" w:type="pct"/>
            <w:tcBorders>
              <w:top w:val="nil"/>
              <w:left w:val="nil"/>
              <w:bottom w:val="single" w:sz="4" w:space="0" w:color="auto"/>
              <w:right w:val="single" w:sz="4" w:space="0" w:color="auto"/>
            </w:tcBorders>
            <w:shd w:val="clear" w:color="auto" w:fill="auto"/>
            <w:noWrap/>
            <w:vAlign w:val="bottom"/>
            <w:hideMark/>
          </w:tcPr>
          <w:p w14:paraId="51EF6995"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68B24DB9"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3.107.339 </w:t>
            </w:r>
          </w:p>
        </w:tc>
      </w:tr>
      <w:tr w:rsidR="00F41043" w:rsidRPr="00F41043" w14:paraId="73035C8B"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center"/>
            <w:hideMark/>
          </w:tcPr>
          <w:p w14:paraId="48DFD53F"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Prejuízos Acumulados</w:t>
            </w:r>
          </w:p>
        </w:tc>
        <w:tc>
          <w:tcPr>
            <w:tcW w:w="508" w:type="pct"/>
            <w:tcBorders>
              <w:top w:val="nil"/>
              <w:left w:val="nil"/>
              <w:bottom w:val="single" w:sz="4" w:space="0" w:color="auto"/>
              <w:right w:val="single" w:sz="4" w:space="0" w:color="auto"/>
            </w:tcBorders>
            <w:shd w:val="clear" w:color="auto" w:fill="auto"/>
            <w:noWrap/>
            <w:vAlign w:val="center"/>
            <w:hideMark/>
          </w:tcPr>
          <w:p w14:paraId="4E04AC40"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(1.583.029)</w:t>
            </w:r>
          </w:p>
        </w:tc>
        <w:tc>
          <w:tcPr>
            <w:tcW w:w="580" w:type="pct"/>
            <w:tcBorders>
              <w:top w:val="nil"/>
              <w:left w:val="nil"/>
              <w:bottom w:val="single" w:sz="4" w:space="0" w:color="auto"/>
              <w:right w:val="single" w:sz="4" w:space="0" w:color="auto"/>
            </w:tcBorders>
            <w:shd w:val="clear" w:color="auto" w:fill="auto"/>
            <w:noWrap/>
            <w:vAlign w:val="bottom"/>
            <w:hideMark/>
          </w:tcPr>
          <w:p w14:paraId="2450EF57"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363" w:type="pct"/>
            <w:tcBorders>
              <w:top w:val="nil"/>
              <w:left w:val="nil"/>
              <w:bottom w:val="single" w:sz="4" w:space="0" w:color="auto"/>
              <w:right w:val="single" w:sz="4" w:space="0" w:color="auto"/>
            </w:tcBorders>
            <w:shd w:val="clear" w:color="auto" w:fill="auto"/>
            <w:noWrap/>
            <w:vAlign w:val="bottom"/>
            <w:hideMark/>
          </w:tcPr>
          <w:p w14:paraId="4FFA9926"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08" w:type="pct"/>
            <w:tcBorders>
              <w:top w:val="nil"/>
              <w:left w:val="nil"/>
              <w:bottom w:val="single" w:sz="4" w:space="0" w:color="auto"/>
              <w:right w:val="single" w:sz="4" w:space="0" w:color="auto"/>
            </w:tcBorders>
            <w:shd w:val="clear" w:color="auto" w:fill="auto"/>
            <w:noWrap/>
            <w:vAlign w:val="bottom"/>
            <w:hideMark/>
          </w:tcPr>
          <w:p w14:paraId="5BD217A7"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(31.354)</w:t>
            </w:r>
          </w:p>
        </w:tc>
        <w:tc>
          <w:tcPr>
            <w:tcW w:w="650" w:type="pct"/>
            <w:tcBorders>
              <w:top w:val="nil"/>
              <w:left w:val="nil"/>
              <w:bottom w:val="single" w:sz="4" w:space="0" w:color="auto"/>
              <w:right w:val="single" w:sz="4" w:space="0" w:color="auto"/>
            </w:tcBorders>
            <w:shd w:val="clear" w:color="auto" w:fill="auto"/>
            <w:noWrap/>
            <w:vAlign w:val="bottom"/>
            <w:hideMark/>
          </w:tcPr>
          <w:p w14:paraId="25E23B22"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(1.614.383)</w:t>
            </w:r>
          </w:p>
        </w:tc>
      </w:tr>
      <w:tr w:rsidR="00F41043" w:rsidRPr="00F41043" w14:paraId="17E96432"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center"/>
            <w:hideMark/>
          </w:tcPr>
          <w:p w14:paraId="63022E7D"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Ajuste de Avaliação Patrimonial</w:t>
            </w:r>
          </w:p>
        </w:tc>
        <w:tc>
          <w:tcPr>
            <w:tcW w:w="508" w:type="pct"/>
            <w:tcBorders>
              <w:top w:val="nil"/>
              <w:left w:val="nil"/>
              <w:bottom w:val="single" w:sz="4" w:space="0" w:color="auto"/>
              <w:right w:val="single" w:sz="4" w:space="0" w:color="auto"/>
            </w:tcBorders>
            <w:shd w:val="clear" w:color="auto" w:fill="auto"/>
            <w:noWrap/>
            <w:vAlign w:val="center"/>
            <w:hideMark/>
          </w:tcPr>
          <w:p w14:paraId="65BE6420"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29.040 </w:t>
            </w:r>
          </w:p>
        </w:tc>
        <w:tc>
          <w:tcPr>
            <w:tcW w:w="580" w:type="pct"/>
            <w:tcBorders>
              <w:top w:val="nil"/>
              <w:left w:val="nil"/>
              <w:bottom w:val="single" w:sz="4" w:space="0" w:color="auto"/>
              <w:right w:val="single" w:sz="4" w:space="0" w:color="auto"/>
            </w:tcBorders>
            <w:shd w:val="clear" w:color="auto" w:fill="auto"/>
            <w:noWrap/>
            <w:vAlign w:val="bottom"/>
            <w:hideMark/>
          </w:tcPr>
          <w:p w14:paraId="5413FCFC"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363" w:type="pct"/>
            <w:tcBorders>
              <w:top w:val="nil"/>
              <w:left w:val="nil"/>
              <w:bottom w:val="single" w:sz="4" w:space="0" w:color="auto"/>
              <w:right w:val="single" w:sz="4" w:space="0" w:color="auto"/>
            </w:tcBorders>
            <w:shd w:val="clear" w:color="auto" w:fill="auto"/>
            <w:noWrap/>
            <w:vAlign w:val="bottom"/>
            <w:hideMark/>
          </w:tcPr>
          <w:p w14:paraId="1DDD35D4"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08" w:type="pct"/>
            <w:tcBorders>
              <w:top w:val="nil"/>
              <w:left w:val="nil"/>
              <w:bottom w:val="single" w:sz="4" w:space="0" w:color="auto"/>
              <w:right w:val="single" w:sz="4" w:space="0" w:color="auto"/>
            </w:tcBorders>
            <w:shd w:val="clear" w:color="auto" w:fill="auto"/>
            <w:noWrap/>
            <w:vAlign w:val="bottom"/>
            <w:hideMark/>
          </w:tcPr>
          <w:p w14:paraId="4A66B72B"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618DCC74"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29.040 </w:t>
            </w:r>
          </w:p>
        </w:tc>
      </w:tr>
      <w:tr w:rsidR="00F41043" w:rsidRPr="00F41043" w14:paraId="2A42C865"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center"/>
            <w:hideMark/>
          </w:tcPr>
          <w:p w14:paraId="6FB594C6" w14:textId="77777777" w:rsidR="00F41043" w:rsidRPr="00F41043" w:rsidRDefault="00F41043" w:rsidP="00F41043">
            <w:pPr>
              <w:spacing w:after="0" w:line="240" w:lineRule="auto"/>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Ações em Tesouraria</w:t>
            </w:r>
          </w:p>
        </w:tc>
        <w:tc>
          <w:tcPr>
            <w:tcW w:w="508" w:type="pct"/>
            <w:tcBorders>
              <w:top w:val="nil"/>
              <w:left w:val="nil"/>
              <w:bottom w:val="single" w:sz="4" w:space="0" w:color="auto"/>
              <w:right w:val="single" w:sz="4" w:space="0" w:color="auto"/>
            </w:tcBorders>
            <w:shd w:val="clear" w:color="auto" w:fill="auto"/>
            <w:noWrap/>
            <w:vAlign w:val="center"/>
            <w:hideMark/>
          </w:tcPr>
          <w:p w14:paraId="24195C21"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(111)</w:t>
            </w:r>
          </w:p>
        </w:tc>
        <w:tc>
          <w:tcPr>
            <w:tcW w:w="580" w:type="pct"/>
            <w:tcBorders>
              <w:top w:val="nil"/>
              <w:left w:val="nil"/>
              <w:bottom w:val="single" w:sz="4" w:space="0" w:color="auto"/>
              <w:right w:val="single" w:sz="4" w:space="0" w:color="auto"/>
            </w:tcBorders>
            <w:shd w:val="clear" w:color="auto" w:fill="auto"/>
            <w:noWrap/>
            <w:vAlign w:val="bottom"/>
            <w:hideMark/>
          </w:tcPr>
          <w:p w14:paraId="7BF01C8D"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363" w:type="pct"/>
            <w:tcBorders>
              <w:top w:val="nil"/>
              <w:left w:val="nil"/>
              <w:bottom w:val="single" w:sz="4" w:space="0" w:color="auto"/>
              <w:right w:val="single" w:sz="4" w:space="0" w:color="auto"/>
            </w:tcBorders>
            <w:shd w:val="clear" w:color="auto" w:fill="auto"/>
            <w:noWrap/>
            <w:vAlign w:val="bottom"/>
            <w:hideMark/>
          </w:tcPr>
          <w:p w14:paraId="458440C3"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508" w:type="pct"/>
            <w:tcBorders>
              <w:top w:val="nil"/>
              <w:left w:val="nil"/>
              <w:bottom w:val="single" w:sz="4" w:space="0" w:color="auto"/>
              <w:right w:val="single" w:sz="4" w:space="0" w:color="auto"/>
            </w:tcBorders>
            <w:shd w:val="clear" w:color="auto" w:fill="auto"/>
            <w:noWrap/>
            <w:vAlign w:val="bottom"/>
            <w:hideMark/>
          </w:tcPr>
          <w:p w14:paraId="7DB55646"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bottom"/>
            <w:hideMark/>
          </w:tcPr>
          <w:p w14:paraId="30BBA8AD" w14:textId="77777777" w:rsidR="00F41043" w:rsidRPr="00F41043" w:rsidRDefault="00F41043" w:rsidP="00F41043">
            <w:pPr>
              <w:spacing w:after="0" w:line="240" w:lineRule="auto"/>
              <w:jc w:val="right"/>
              <w:rPr>
                <w:rFonts w:ascii="Arial" w:eastAsia="Times New Roman" w:hAnsi="Arial" w:cs="Arial"/>
                <w:color w:val="000000"/>
                <w:kern w:val="0"/>
                <w:sz w:val="14"/>
                <w:szCs w:val="14"/>
                <w:lang w:eastAsia="pt-BR"/>
                <w14:ligatures w14:val="none"/>
              </w:rPr>
            </w:pPr>
            <w:r w:rsidRPr="00F41043">
              <w:rPr>
                <w:rFonts w:ascii="Arial" w:eastAsia="Times New Roman" w:hAnsi="Arial" w:cs="Arial"/>
                <w:color w:val="000000"/>
                <w:kern w:val="0"/>
                <w:sz w:val="14"/>
                <w:szCs w:val="14"/>
                <w:lang w:eastAsia="pt-BR"/>
                <w14:ligatures w14:val="none"/>
              </w:rPr>
              <w:t xml:space="preserve">                    (111)</w:t>
            </w:r>
          </w:p>
        </w:tc>
      </w:tr>
      <w:tr w:rsidR="00F41043" w:rsidRPr="00F41043" w14:paraId="560ECB4E"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center"/>
            <w:hideMark/>
          </w:tcPr>
          <w:p w14:paraId="5F0E9279"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Total do Patrimônio Líquido</w:t>
            </w:r>
          </w:p>
        </w:tc>
        <w:tc>
          <w:tcPr>
            <w:tcW w:w="508" w:type="pct"/>
            <w:tcBorders>
              <w:top w:val="nil"/>
              <w:left w:val="nil"/>
              <w:bottom w:val="single" w:sz="4" w:space="0" w:color="auto"/>
              <w:right w:val="single" w:sz="4" w:space="0" w:color="auto"/>
            </w:tcBorders>
            <w:shd w:val="clear" w:color="auto" w:fill="auto"/>
            <w:noWrap/>
            <w:vAlign w:val="center"/>
            <w:hideMark/>
          </w:tcPr>
          <w:p w14:paraId="4D16063F"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1.553.239 </w:t>
            </w:r>
          </w:p>
        </w:tc>
        <w:tc>
          <w:tcPr>
            <w:tcW w:w="580" w:type="pct"/>
            <w:tcBorders>
              <w:top w:val="nil"/>
              <w:left w:val="nil"/>
              <w:bottom w:val="single" w:sz="4" w:space="0" w:color="auto"/>
              <w:right w:val="single" w:sz="4" w:space="0" w:color="auto"/>
            </w:tcBorders>
            <w:shd w:val="clear" w:color="auto" w:fill="auto"/>
            <w:noWrap/>
            <w:vAlign w:val="bottom"/>
            <w:hideMark/>
          </w:tcPr>
          <w:p w14:paraId="60FA7401"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   </w:t>
            </w:r>
          </w:p>
        </w:tc>
        <w:tc>
          <w:tcPr>
            <w:tcW w:w="363" w:type="pct"/>
            <w:tcBorders>
              <w:top w:val="nil"/>
              <w:left w:val="nil"/>
              <w:bottom w:val="single" w:sz="4" w:space="0" w:color="auto"/>
              <w:right w:val="single" w:sz="4" w:space="0" w:color="auto"/>
            </w:tcBorders>
            <w:shd w:val="clear" w:color="auto" w:fill="auto"/>
            <w:noWrap/>
            <w:vAlign w:val="bottom"/>
            <w:hideMark/>
          </w:tcPr>
          <w:p w14:paraId="03413165"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   </w:t>
            </w:r>
          </w:p>
        </w:tc>
        <w:tc>
          <w:tcPr>
            <w:tcW w:w="508" w:type="pct"/>
            <w:tcBorders>
              <w:top w:val="nil"/>
              <w:left w:val="nil"/>
              <w:bottom w:val="single" w:sz="4" w:space="0" w:color="auto"/>
              <w:right w:val="single" w:sz="4" w:space="0" w:color="auto"/>
            </w:tcBorders>
            <w:shd w:val="clear" w:color="auto" w:fill="auto"/>
            <w:noWrap/>
            <w:vAlign w:val="bottom"/>
            <w:hideMark/>
          </w:tcPr>
          <w:p w14:paraId="771099CC"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(31.354)</w:t>
            </w:r>
          </w:p>
        </w:tc>
        <w:tc>
          <w:tcPr>
            <w:tcW w:w="650" w:type="pct"/>
            <w:tcBorders>
              <w:top w:val="nil"/>
              <w:left w:val="nil"/>
              <w:bottom w:val="single" w:sz="4" w:space="0" w:color="auto"/>
              <w:right w:val="single" w:sz="4" w:space="0" w:color="auto"/>
            </w:tcBorders>
            <w:shd w:val="clear" w:color="auto" w:fill="auto"/>
            <w:noWrap/>
            <w:vAlign w:val="center"/>
            <w:hideMark/>
          </w:tcPr>
          <w:p w14:paraId="52E92A76"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1.521.885 </w:t>
            </w:r>
          </w:p>
        </w:tc>
      </w:tr>
      <w:tr w:rsidR="00F41043" w:rsidRPr="00F41043" w14:paraId="29B210A4" w14:textId="77777777" w:rsidTr="00446A14">
        <w:trPr>
          <w:trHeight w:val="198"/>
        </w:trPr>
        <w:tc>
          <w:tcPr>
            <w:tcW w:w="2391" w:type="pct"/>
            <w:tcBorders>
              <w:top w:val="nil"/>
              <w:left w:val="single" w:sz="4" w:space="0" w:color="auto"/>
              <w:bottom w:val="single" w:sz="4" w:space="0" w:color="auto"/>
              <w:right w:val="single" w:sz="4" w:space="0" w:color="auto"/>
            </w:tcBorders>
            <w:shd w:val="clear" w:color="auto" w:fill="auto"/>
            <w:noWrap/>
            <w:vAlign w:val="center"/>
            <w:hideMark/>
          </w:tcPr>
          <w:p w14:paraId="109A5265" w14:textId="77777777" w:rsidR="00F41043" w:rsidRPr="00F41043" w:rsidRDefault="00F41043" w:rsidP="00F41043">
            <w:pPr>
              <w:spacing w:after="0" w:line="240" w:lineRule="auto"/>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Total do Passivo</w:t>
            </w:r>
          </w:p>
        </w:tc>
        <w:tc>
          <w:tcPr>
            <w:tcW w:w="508" w:type="pct"/>
            <w:tcBorders>
              <w:top w:val="nil"/>
              <w:left w:val="nil"/>
              <w:bottom w:val="single" w:sz="4" w:space="0" w:color="auto"/>
              <w:right w:val="single" w:sz="4" w:space="0" w:color="auto"/>
            </w:tcBorders>
            <w:shd w:val="clear" w:color="auto" w:fill="auto"/>
            <w:noWrap/>
            <w:vAlign w:val="center"/>
            <w:hideMark/>
          </w:tcPr>
          <w:p w14:paraId="0B57A51E"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4.244.013 </w:t>
            </w:r>
          </w:p>
        </w:tc>
        <w:tc>
          <w:tcPr>
            <w:tcW w:w="580" w:type="pct"/>
            <w:tcBorders>
              <w:top w:val="nil"/>
              <w:left w:val="nil"/>
              <w:bottom w:val="single" w:sz="4" w:space="0" w:color="auto"/>
              <w:right w:val="single" w:sz="4" w:space="0" w:color="auto"/>
            </w:tcBorders>
            <w:shd w:val="clear" w:color="auto" w:fill="auto"/>
            <w:noWrap/>
            <w:vAlign w:val="center"/>
            <w:hideMark/>
          </w:tcPr>
          <w:p w14:paraId="3C661AC2"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31.157 </w:t>
            </w:r>
          </w:p>
        </w:tc>
        <w:tc>
          <w:tcPr>
            <w:tcW w:w="363" w:type="pct"/>
            <w:tcBorders>
              <w:top w:val="nil"/>
              <w:left w:val="nil"/>
              <w:bottom w:val="single" w:sz="4" w:space="0" w:color="auto"/>
              <w:right w:val="single" w:sz="4" w:space="0" w:color="auto"/>
            </w:tcBorders>
            <w:shd w:val="clear" w:color="auto" w:fill="auto"/>
            <w:noWrap/>
            <w:vAlign w:val="center"/>
            <w:hideMark/>
          </w:tcPr>
          <w:p w14:paraId="341D5A6C"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197 </w:t>
            </w:r>
          </w:p>
        </w:tc>
        <w:tc>
          <w:tcPr>
            <w:tcW w:w="508" w:type="pct"/>
            <w:tcBorders>
              <w:top w:val="nil"/>
              <w:left w:val="nil"/>
              <w:bottom w:val="single" w:sz="4" w:space="0" w:color="auto"/>
              <w:right w:val="single" w:sz="4" w:space="0" w:color="auto"/>
            </w:tcBorders>
            <w:shd w:val="clear" w:color="auto" w:fill="auto"/>
            <w:noWrap/>
            <w:vAlign w:val="center"/>
            <w:hideMark/>
          </w:tcPr>
          <w:p w14:paraId="6522A1D2"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(31.354) </w:t>
            </w:r>
          </w:p>
        </w:tc>
        <w:tc>
          <w:tcPr>
            <w:tcW w:w="650" w:type="pct"/>
            <w:tcBorders>
              <w:top w:val="nil"/>
              <w:left w:val="nil"/>
              <w:bottom w:val="single" w:sz="4" w:space="0" w:color="auto"/>
              <w:right w:val="single" w:sz="4" w:space="0" w:color="auto"/>
            </w:tcBorders>
            <w:shd w:val="clear" w:color="auto" w:fill="auto"/>
            <w:noWrap/>
            <w:vAlign w:val="center"/>
            <w:hideMark/>
          </w:tcPr>
          <w:p w14:paraId="7CA6E527" w14:textId="77777777" w:rsidR="00F41043" w:rsidRPr="00F41043" w:rsidRDefault="00F41043" w:rsidP="00F41043">
            <w:pPr>
              <w:spacing w:after="0" w:line="240" w:lineRule="auto"/>
              <w:jc w:val="right"/>
              <w:rPr>
                <w:rFonts w:ascii="Arial" w:eastAsia="Times New Roman" w:hAnsi="Arial" w:cs="Arial"/>
                <w:b/>
                <w:bCs/>
                <w:color w:val="000000"/>
                <w:kern w:val="0"/>
                <w:sz w:val="14"/>
                <w:szCs w:val="14"/>
                <w:lang w:eastAsia="pt-BR"/>
                <w14:ligatures w14:val="none"/>
              </w:rPr>
            </w:pPr>
            <w:r w:rsidRPr="00F41043">
              <w:rPr>
                <w:rFonts w:ascii="Arial" w:eastAsia="Times New Roman" w:hAnsi="Arial" w:cs="Arial"/>
                <w:b/>
                <w:bCs/>
                <w:color w:val="000000"/>
                <w:kern w:val="0"/>
                <w:sz w:val="14"/>
                <w:szCs w:val="14"/>
                <w:lang w:eastAsia="pt-BR"/>
                <w14:ligatures w14:val="none"/>
              </w:rPr>
              <w:t xml:space="preserve">            4.244.013 </w:t>
            </w:r>
          </w:p>
        </w:tc>
      </w:tr>
    </w:tbl>
    <w:p w14:paraId="62A3E609" w14:textId="77777777" w:rsidR="009C6488" w:rsidRDefault="009C6488" w:rsidP="009C6488">
      <w:pPr>
        <w:spacing w:after="0"/>
        <w:jc w:val="both"/>
        <w:rPr>
          <w:rFonts w:ascii="Calibri" w:eastAsia="Times New Roman" w:hAnsi="Calibri" w:cs="Calibri"/>
          <w:iCs/>
          <w:color w:val="002060"/>
          <w:kern w:val="0"/>
          <w14:ligatures w14:val="none"/>
        </w:rPr>
      </w:pPr>
    </w:p>
    <w:p w14:paraId="25182ADC" w14:textId="525359AB" w:rsidR="00F41043" w:rsidRPr="00F41043" w:rsidRDefault="00F41043" w:rsidP="007A23F8">
      <w:pPr>
        <w:spacing w:after="0" w:line="240" w:lineRule="auto"/>
        <w:jc w:val="both"/>
        <w:rPr>
          <w:rFonts w:ascii="Calibri" w:eastAsia="Times New Roman" w:hAnsi="Calibri" w:cs="Calibri"/>
          <w:iCs/>
          <w:color w:val="002060"/>
          <w:kern w:val="0"/>
          <w14:ligatures w14:val="none"/>
        </w:rPr>
      </w:pPr>
      <w:r w:rsidRPr="00F41043">
        <w:rPr>
          <w:rFonts w:ascii="Calibri" w:eastAsia="Times New Roman" w:hAnsi="Calibri" w:cs="Calibri"/>
          <w:iCs/>
          <w:color w:val="002060"/>
          <w:kern w:val="0"/>
          <w14:ligatures w14:val="none"/>
        </w:rPr>
        <w:t>i) Refere-se aos valores recebidos relativos às Subvenções para Investimentos (aplicações no ativo imobilizado) no exercício de 2020, que haviam sido reconhecidos em “Outras Receitas Operacionais” naquele ano.</w:t>
      </w:r>
    </w:p>
    <w:p w14:paraId="12C4C90D" w14:textId="77777777" w:rsidR="00F41043" w:rsidRPr="00F41043" w:rsidRDefault="00F41043" w:rsidP="007A23F8">
      <w:pPr>
        <w:spacing w:after="0" w:line="240" w:lineRule="auto"/>
        <w:jc w:val="both"/>
        <w:rPr>
          <w:rFonts w:ascii="Calibri" w:eastAsia="Times New Roman" w:hAnsi="Calibri" w:cs="Calibri"/>
          <w:iCs/>
          <w:color w:val="002060"/>
          <w:kern w:val="0"/>
          <w14:ligatures w14:val="none"/>
        </w:rPr>
      </w:pPr>
      <w:proofErr w:type="spellStart"/>
      <w:r w:rsidRPr="00F41043">
        <w:rPr>
          <w:rFonts w:ascii="Calibri" w:eastAsia="Times New Roman" w:hAnsi="Calibri" w:cs="Calibri"/>
          <w:iCs/>
          <w:color w:val="002060"/>
          <w:kern w:val="0"/>
          <w14:ligatures w14:val="none"/>
        </w:rPr>
        <w:t>ii</w:t>
      </w:r>
      <w:proofErr w:type="spellEnd"/>
      <w:r w:rsidRPr="00F41043">
        <w:rPr>
          <w:rFonts w:ascii="Calibri" w:eastAsia="Times New Roman" w:hAnsi="Calibri" w:cs="Calibri"/>
          <w:iCs/>
          <w:color w:val="002060"/>
          <w:kern w:val="0"/>
          <w14:ligatures w14:val="none"/>
        </w:rPr>
        <w:t xml:space="preserve">) Representa os Juros reconhecidos quando da adoção da nova política contábil, a qual, alterou a forma de registro das Subvenções para Investimentos do resultado do exercício para o Passivo Exigível, a Telebras passou a reconhecer juros sobre aos valores de AFAC. </w:t>
      </w:r>
    </w:p>
    <w:p w14:paraId="1B0AF182" w14:textId="77777777" w:rsidR="00F41043" w:rsidRDefault="00F41043" w:rsidP="007A23F8">
      <w:pPr>
        <w:spacing w:after="0" w:line="240" w:lineRule="auto"/>
        <w:jc w:val="both"/>
        <w:rPr>
          <w:rFonts w:ascii="Calibri" w:eastAsia="Times New Roman" w:hAnsi="Calibri" w:cs="Calibri"/>
          <w:iCs/>
          <w:color w:val="002060"/>
          <w:kern w:val="0"/>
          <w14:ligatures w14:val="none"/>
        </w:rPr>
      </w:pPr>
      <w:proofErr w:type="spellStart"/>
      <w:r w:rsidRPr="00F41043">
        <w:rPr>
          <w:rFonts w:ascii="Calibri" w:eastAsia="Times New Roman" w:hAnsi="Calibri" w:cs="Calibri"/>
          <w:iCs/>
          <w:color w:val="002060"/>
          <w:kern w:val="0"/>
          <w14:ligatures w14:val="none"/>
        </w:rPr>
        <w:t>iii</w:t>
      </w:r>
      <w:proofErr w:type="spellEnd"/>
      <w:r w:rsidRPr="00F41043">
        <w:rPr>
          <w:rFonts w:ascii="Calibri" w:eastAsia="Times New Roman" w:hAnsi="Calibri" w:cs="Calibri"/>
          <w:iCs/>
          <w:color w:val="002060"/>
          <w:kern w:val="0"/>
          <w14:ligatures w14:val="none"/>
        </w:rPr>
        <w:t xml:space="preserve">) Trata-se do efeito dos recursos recebidos de Subvenções para Investimentos (Aplicação do Ativo Imobilizado) e que foram reclassificados para o Passivo Exigível (AFAC). </w:t>
      </w:r>
    </w:p>
    <w:p w14:paraId="158C44D4" w14:textId="523EC0CC" w:rsidR="009C6488" w:rsidRPr="009C6488" w:rsidRDefault="009C6488" w:rsidP="007A23F8">
      <w:pPr>
        <w:spacing w:after="0" w:line="240" w:lineRule="auto"/>
        <w:jc w:val="both"/>
        <w:rPr>
          <w:rFonts w:ascii="Arial" w:eastAsia="Times New Roman" w:hAnsi="Arial" w:cs="Arial"/>
          <w:b/>
          <w:bCs/>
          <w:kern w:val="0"/>
          <w:lang w:eastAsia="pt-BR"/>
          <w14:ligatures w14:val="none"/>
        </w:rPr>
      </w:pPr>
      <w:r>
        <w:rPr>
          <w:rFonts w:ascii="Calibri" w:eastAsia="Times New Roman" w:hAnsi="Calibri" w:cs="Calibri"/>
          <w:b/>
          <w:bCs/>
          <w:iCs/>
          <w:color w:val="002060"/>
          <w:kern w:val="0"/>
          <w14:ligatures w14:val="none"/>
        </w:rPr>
        <w:t xml:space="preserve">3.3.2. </w:t>
      </w:r>
      <w:r w:rsidRPr="009C6488">
        <w:rPr>
          <w:rFonts w:ascii="Calibri" w:eastAsia="Times New Roman" w:hAnsi="Calibri" w:cs="Calibri"/>
          <w:b/>
          <w:bCs/>
          <w:iCs/>
          <w:color w:val="002060"/>
          <w:kern w:val="0"/>
          <w14:ligatures w14:val="none"/>
        </w:rPr>
        <w:t>Conciliação do Patrimônio Líquido</w:t>
      </w:r>
    </w:p>
    <w:tbl>
      <w:tblPr>
        <w:tblW w:w="5000" w:type="pct"/>
        <w:tblCellMar>
          <w:left w:w="70" w:type="dxa"/>
          <w:right w:w="70" w:type="dxa"/>
        </w:tblCellMar>
        <w:tblLook w:val="04A0" w:firstRow="1" w:lastRow="0" w:firstColumn="1" w:lastColumn="0" w:noHBand="0" w:noVBand="1"/>
      </w:tblPr>
      <w:tblGrid>
        <w:gridCol w:w="5005"/>
        <w:gridCol w:w="1180"/>
        <w:gridCol w:w="1269"/>
        <w:gridCol w:w="1111"/>
        <w:gridCol w:w="1206"/>
      </w:tblGrid>
      <w:tr w:rsidR="009C6488" w:rsidRPr="009C6488" w14:paraId="7DD27E37" w14:textId="77777777" w:rsidTr="00446A14">
        <w:trPr>
          <w:trHeight w:val="198"/>
        </w:trPr>
        <w:tc>
          <w:tcPr>
            <w:tcW w:w="2193" w:type="pct"/>
            <w:tcBorders>
              <w:top w:val="single" w:sz="4" w:space="0" w:color="auto"/>
              <w:left w:val="single" w:sz="4" w:space="0" w:color="auto"/>
              <w:bottom w:val="single" w:sz="4" w:space="0" w:color="auto"/>
              <w:right w:val="nil"/>
            </w:tcBorders>
            <w:shd w:val="clear" w:color="auto" w:fill="auto"/>
            <w:noWrap/>
            <w:vAlign w:val="bottom"/>
            <w:hideMark/>
          </w:tcPr>
          <w:p w14:paraId="413945AB" w14:textId="77777777" w:rsidR="009C6488" w:rsidRPr="009C6488" w:rsidRDefault="009C6488" w:rsidP="009C6488">
            <w:pPr>
              <w:spacing w:after="0" w:line="240" w:lineRule="auto"/>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Patrimônio Líquido Divulgado em 31/12/2020</w:t>
            </w:r>
          </w:p>
        </w:tc>
        <w:tc>
          <w:tcPr>
            <w:tcW w:w="708" w:type="pct"/>
            <w:tcBorders>
              <w:top w:val="single" w:sz="4" w:space="0" w:color="auto"/>
              <w:left w:val="nil"/>
              <w:bottom w:val="single" w:sz="4" w:space="0" w:color="auto"/>
              <w:right w:val="nil"/>
            </w:tcBorders>
            <w:shd w:val="clear" w:color="auto" w:fill="auto"/>
            <w:noWrap/>
            <w:vAlign w:val="bottom"/>
            <w:hideMark/>
          </w:tcPr>
          <w:p w14:paraId="4D3283FE" w14:textId="77777777" w:rsidR="009C6488" w:rsidRPr="009C6488" w:rsidRDefault="009C6488" w:rsidP="009C6488">
            <w:pPr>
              <w:spacing w:after="0" w:line="240" w:lineRule="auto"/>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 </w:t>
            </w:r>
          </w:p>
        </w:tc>
        <w:tc>
          <w:tcPr>
            <w:tcW w:w="754" w:type="pct"/>
            <w:tcBorders>
              <w:top w:val="single" w:sz="4" w:space="0" w:color="auto"/>
              <w:left w:val="nil"/>
              <w:bottom w:val="single" w:sz="4" w:space="0" w:color="auto"/>
              <w:right w:val="nil"/>
            </w:tcBorders>
            <w:shd w:val="clear" w:color="auto" w:fill="auto"/>
            <w:noWrap/>
            <w:vAlign w:val="bottom"/>
            <w:hideMark/>
          </w:tcPr>
          <w:p w14:paraId="25FE7D11" w14:textId="77777777" w:rsidR="009C6488" w:rsidRPr="009C6488" w:rsidRDefault="009C6488" w:rsidP="009C6488">
            <w:pPr>
              <w:spacing w:after="0" w:line="240" w:lineRule="auto"/>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 </w:t>
            </w:r>
          </w:p>
        </w:tc>
        <w:tc>
          <w:tcPr>
            <w:tcW w:w="673" w:type="pct"/>
            <w:tcBorders>
              <w:top w:val="single" w:sz="4" w:space="0" w:color="auto"/>
              <w:left w:val="nil"/>
              <w:bottom w:val="single" w:sz="4" w:space="0" w:color="auto"/>
              <w:right w:val="nil"/>
            </w:tcBorders>
            <w:shd w:val="clear" w:color="auto" w:fill="auto"/>
            <w:noWrap/>
            <w:vAlign w:val="bottom"/>
            <w:hideMark/>
          </w:tcPr>
          <w:p w14:paraId="2F10CE31" w14:textId="77777777" w:rsidR="009C6488" w:rsidRPr="009C6488" w:rsidRDefault="009C6488" w:rsidP="009C6488">
            <w:pPr>
              <w:spacing w:after="0" w:line="240" w:lineRule="auto"/>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 </w:t>
            </w: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2FF8C" w14:textId="77777777" w:rsidR="009C6488" w:rsidRPr="009C6488" w:rsidRDefault="009C6488" w:rsidP="009C6488">
            <w:pPr>
              <w:spacing w:after="0" w:line="240" w:lineRule="auto"/>
              <w:jc w:val="right"/>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 xml:space="preserve">          1.553.239 </w:t>
            </w:r>
          </w:p>
        </w:tc>
      </w:tr>
      <w:tr w:rsidR="009C6488" w:rsidRPr="009C6488" w14:paraId="254F4D89" w14:textId="77777777" w:rsidTr="00446A14">
        <w:trPr>
          <w:trHeight w:val="198"/>
        </w:trPr>
        <w:tc>
          <w:tcPr>
            <w:tcW w:w="2193" w:type="pct"/>
            <w:tcBorders>
              <w:top w:val="nil"/>
              <w:left w:val="single" w:sz="4" w:space="0" w:color="auto"/>
              <w:bottom w:val="single" w:sz="4" w:space="0" w:color="auto"/>
              <w:right w:val="nil"/>
            </w:tcBorders>
            <w:shd w:val="clear" w:color="auto" w:fill="auto"/>
            <w:noWrap/>
            <w:vAlign w:val="bottom"/>
            <w:hideMark/>
          </w:tcPr>
          <w:p w14:paraId="0F40F473" w14:textId="77777777" w:rsidR="009C6488" w:rsidRPr="009C6488" w:rsidRDefault="009C6488" w:rsidP="009C6488">
            <w:pPr>
              <w:spacing w:after="0" w:line="240" w:lineRule="auto"/>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lastRenderedPageBreak/>
              <w:t>Ajustes:</w:t>
            </w:r>
          </w:p>
        </w:tc>
        <w:tc>
          <w:tcPr>
            <w:tcW w:w="708" w:type="pct"/>
            <w:tcBorders>
              <w:top w:val="nil"/>
              <w:left w:val="nil"/>
              <w:bottom w:val="single" w:sz="4" w:space="0" w:color="auto"/>
              <w:right w:val="nil"/>
            </w:tcBorders>
            <w:shd w:val="clear" w:color="auto" w:fill="auto"/>
            <w:noWrap/>
            <w:vAlign w:val="bottom"/>
            <w:hideMark/>
          </w:tcPr>
          <w:p w14:paraId="49EEABFB" w14:textId="77777777" w:rsidR="009C6488" w:rsidRPr="009C6488" w:rsidRDefault="009C6488" w:rsidP="009C6488">
            <w:pPr>
              <w:spacing w:after="0" w:line="240" w:lineRule="auto"/>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w:t>
            </w:r>
          </w:p>
        </w:tc>
        <w:tc>
          <w:tcPr>
            <w:tcW w:w="754" w:type="pct"/>
            <w:tcBorders>
              <w:top w:val="nil"/>
              <w:left w:val="nil"/>
              <w:bottom w:val="single" w:sz="4" w:space="0" w:color="auto"/>
              <w:right w:val="nil"/>
            </w:tcBorders>
            <w:shd w:val="clear" w:color="auto" w:fill="auto"/>
            <w:noWrap/>
            <w:vAlign w:val="bottom"/>
            <w:hideMark/>
          </w:tcPr>
          <w:p w14:paraId="64488B9B" w14:textId="77777777" w:rsidR="009C6488" w:rsidRPr="009C6488" w:rsidRDefault="009C6488" w:rsidP="009C6488">
            <w:pPr>
              <w:spacing w:after="0" w:line="240" w:lineRule="auto"/>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w:t>
            </w:r>
          </w:p>
        </w:tc>
        <w:tc>
          <w:tcPr>
            <w:tcW w:w="673" w:type="pct"/>
            <w:tcBorders>
              <w:top w:val="nil"/>
              <w:left w:val="nil"/>
              <w:bottom w:val="single" w:sz="4" w:space="0" w:color="auto"/>
              <w:right w:val="single" w:sz="4" w:space="0" w:color="auto"/>
            </w:tcBorders>
            <w:shd w:val="clear" w:color="auto" w:fill="auto"/>
            <w:noWrap/>
            <w:vAlign w:val="bottom"/>
            <w:hideMark/>
          </w:tcPr>
          <w:p w14:paraId="4E20A7D4" w14:textId="77777777" w:rsidR="009C6488" w:rsidRPr="009C6488" w:rsidRDefault="009C6488" w:rsidP="009C6488">
            <w:pPr>
              <w:spacing w:after="0" w:line="240" w:lineRule="auto"/>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w:t>
            </w:r>
          </w:p>
        </w:tc>
        <w:tc>
          <w:tcPr>
            <w:tcW w:w="673" w:type="pct"/>
            <w:tcBorders>
              <w:top w:val="nil"/>
              <w:left w:val="nil"/>
              <w:bottom w:val="single" w:sz="4" w:space="0" w:color="auto"/>
              <w:right w:val="single" w:sz="4" w:space="0" w:color="auto"/>
            </w:tcBorders>
            <w:shd w:val="clear" w:color="auto" w:fill="auto"/>
            <w:noWrap/>
            <w:vAlign w:val="bottom"/>
            <w:hideMark/>
          </w:tcPr>
          <w:p w14:paraId="55D346C8" w14:textId="77777777" w:rsidR="009C6488" w:rsidRPr="009C6488" w:rsidRDefault="009C6488" w:rsidP="009C6488">
            <w:pPr>
              <w:spacing w:after="0" w:line="240" w:lineRule="auto"/>
              <w:jc w:val="right"/>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w:t>
            </w:r>
          </w:p>
        </w:tc>
      </w:tr>
      <w:tr w:rsidR="009C6488" w:rsidRPr="009C6488" w14:paraId="31B05175" w14:textId="77777777" w:rsidTr="00446A14">
        <w:trPr>
          <w:trHeight w:val="198"/>
        </w:trPr>
        <w:tc>
          <w:tcPr>
            <w:tcW w:w="3654" w:type="pct"/>
            <w:gridSpan w:val="3"/>
            <w:tcBorders>
              <w:top w:val="single" w:sz="4" w:space="0" w:color="auto"/>
              <w:left w:val="single" w:sz="4" w:space="0" w:color="auto"/>
              <w:bottom w:val="single" w:sz="4" w:space="0" w:color="auto"/>
              <w:right w:val="nil"/>
            </w:tcBorders>
            <w:shd w:val="clear" w:color="auto" w:fill="auto"/>
            <w:noWrap/>
            <w:vAlign w:val="bottom"/>
            <w:hideMark/>
          </w:tcPr>
          <w:p w14:paraId="6E5E434E" w14:textId="77777777" w:rsidR="009C6488" w:rsidRPr="009C6488" w:rsidRDefault="009C6488" w:rsidP="009C6488">
            <w:pPr>
              <w:spacing w:after="0" w:line="240" w:lineRule="auto"/>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xml:space="preserve">Subvenções para Investimentos recebidas em 2020 </w:t>
            </w:r>
            <w:proofErr w:type="gramStart"/>
            <w:r w:rsidRPr="009C6488">
              <w:rPr>
                <w:rFonts w:ascii="Arial" w:eastAsia="Times New Roman" w:hAnsi="Arial" w:cs="Arial"/>
                <w:color w:val="000000"/>
                <w:kern w:val="0"/>
                <w:sz w:val="14"/>
                <w:szCs w:val="14"/>
                <w:lang w:eastAsia="pt-BR"/>
                <w14:ligatures w14:val="none"/>
              </w:rPr>
              <w:t>e Reclassificadas</w:t>
            </w:r>
            <w:proofErr w:type="gramEnd"/>
            <w:r w:rsidRPr="009C6488">
              <w:rPr>
                <w:rFonts w:ascii="Arial" w:eastAsia="Times New Roman" w:hAnsi="Arial" w:cs="Arial"/>
                <w:color w:val="000000"/>
                <w:kern w:val="0"/>
                <w:sz w:val="14"/>
                <w:szCs w:val="14"/>
                <w:lang w:eastAsia="pt-BR"/>
                <w14:ligatures w14:val="none"/>
              </w:rPr>
              <w:t xml:space="preserve"> para o Passivo Exigível</w:t>
            </w:r>
          </w:p>
        </w:tc>
        <w:tc>
          <w:tcPr>
            <w:tcW w:w="673" w:type="pct"/>
            <w:tcBorders>
              <w:top w:val="nil"/>
              <w:left w:val="nil"/>
              <w:bottom w:val="single" w:sz="4" w:space="0" w:color="auto"/>
              <w:right w:val="single" w:sz="4" w:space="0" w:color="auto"/>
            </w:tcBorders>
            <w:shd w:val="clear" w:color="auto" w:fill="auto"/>
            <w:noWrap/>
            <w:vAlign w:val="bottom"/>
            <w:hideMark/>
          </w:tcPr>
          <w:p w14:paraId="3148EC91" w14:textId="77777777" w:rsidR="009C6488" w:rsidRPr="009C6488" w:rsidRDefault="009C6488" w:rsidP="009C6488">
            <w:pPr>
              <w:spacing w:after="0" w:line="240" w:lineRule="auto"/>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w:t>
            </w:r>
          </w:p>
        </w:tc>
        <w:tc>
          <w:tcPr>
            <w:tcW w:w="673" w:type="pct"/>
            <w:tcBorders>
              <w:top w:val="nil"/>
              <w:left w:val="nil"/>
              <w:bottom w:val="single" w:sz="4" w:space="0" w:color="auto"/>
              <w:right w:val="single" w:sz="4" w:space="0" w:color="auto"/>
            </w:tcBorders>
            <w:shd w:val="clear" w:color="auto" w:fill="auto"/>
            <w:noWrap/>
            <w:vAlign w:val="bottom"/>
            <w:hideMark/>
          </w:tcPr>
          <w:p w14:paraId="55A83970" w14:textId="77777777" w:rsidR="009C6488" w:rsidRPr="009C6488" w:rsidRDefault="009C6488" w:rsidP="009C6488">
            <w:pPr>
              <w:spacing w:after="0" w:line="240" w:lineRule="auto"/>
              <w:jc w:val="right"/>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xml:space="preserve">              (31.157)</w:t>
            </w:r>
          </w:p>
        </w:tc>
      </w:tr>
      <w:tr w:rsidR="009C6488" w:rsidRPr="009C6488" w14:paraId="68BB864D" w14:textId="77777777" w:rsidTr="00446A14">
        <w:trPr>
          <w:trHeight w:val="198"/>
        </w:trPr>
        <w:tc>
          <w:tcPr>
            <w:tcW w:w="2193" w:type="pct"/>
            <w:tcBorders>
              <w:top w:val="nil"/>
              <w:left w:val="single" w:sz="4" w:space="0" w:color="auto"/>
              <w:bottom w:val="single" w:sz="4" w:space="0" w:color="auto"/>
              <w:right w:val="nil"/>
            </w:tcBorders>
            <w:shd w:val="clear" w:color="auto" w:fill="auto"/>
            <w:noWrap/>
            <w:vAlign w:val="bottom"/>
            <w:hideMark/>
          </w:tcPr>
          <w:p w14:paraId="5431D230" w14:textId="77777777" w:rsidR="009C6488" w:rsidRPr="009C6488" w:rsidRDefault="009C6488" w:rsidP="009C6488">
            <w:pPr>
              <w:spacing w:after="0" w:line="240" w:lineRule="auto"/>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xml:space="preserve">Juros sobre Adiantamento para Futuro Aumento de </w:t>
            </w:r>
            <w:proofErr w:type="gramStart"/>
            <w:r w:rsidRPr="009C6488">
              <w:rPr>
                <w:rFonts w:ascii="Arial" w:eastAsia="Times New Roman" w:hAnsi="Arial" w:cs="Arial"/>
                <w:color w:val="000000"/>
                <w:kern w:val="0"/>
                <w:sz w:val="14"/>
                <w:szCs w:val="14"/>
                <w:lang w:eastAsia="pt-BR"/>
                <w14:ligatures w14:val="none"/>
              </w:rPr>
              <w:t>Capital  no</w:t>
            </w:r>
            <w:proofErr w:type="gramEnd"/>
            <w:r w:rsidRPr="009C6488">
              <w:rPr>
                <w:rFonts w:ascii="Arial" w:eastAsia="Times New Roman" w:hAnsi="Arial" w:cs="Arial"/>
                <w:color w:val="000000"/>
                <w:kern w:val="0"/>
                <w:sz w:val="14"/>
                <w:szCs w:val="14"/>
                <w:lang w:eastAsia="pt-BR"/>
                <w14:ligatures w14:val="none"/>
              </w:rPr>
              <w:t xml:space="preserve"> Exercício 2020</w:t>
            </w:r>
          </w:p>
        </w:tc>
        <w:tc>
          <w:tcPr>
            <w:tcW w:w="708" w:type="pct"/>
            <w:tcBorders>
              <w:top w:val="nil"/>
              <w:left w:val="nil"/>
              <w:bottom w:val="single" w:sz="4" w:space="0" w:color="auto"/>
              <w:right w:val="nil"/>
            </w:tcBorders>
            <w:shd w:val="clear" w:color="auto" w:fill="auto"/>
            <w:noWrap/>
            <w:vAlign w:val="bottom"/>
            <w:hideMark/>
          </w:tcPr>
          <w:p w14:paraId="16596FBB" w14:textId="77777777" w:rsidR="009C6488" w:rsidRPr="009C6488" w:rsidRDefault="009C6488" w:rsidP="009C6488">
            <w:pPr>
              <w:spacing w:after="0" w:line="240" w:lineRule="auto"/>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w:t>
            </w:r>
          </w:p>
        </w:tc>
        <w:tc>
          <w:tcPr>
            <w:tcW w:w="754" w:type="pct"/>
            <w:tcBorders>
              <w:top w:val="nil"/>
              <w:left w:val="nil"/>
              <w:bottom w:val="single" w:sz="4" w:space="0" w:color="auto"/>
              <w:right w:val="nil"/>
            </w:tcBorders>
            <w:shd w:val="clear" w:color="auto" w:fill="auto"/>
            <w:noWrap/>
            <w:vAlign w:val="bottom"/>
            <w:hideMark/>
          </w:tcPr>
          <w:p w14:paraId="002008D1" w14:textId="77777777" w:rsidR="009C6488" w:rsidRPr="009C6488" w:rsidRDefault="009C6488" w:rsidP="009C6488">
            <w:pPr>
              <w:spacing w:after="0" w:line="240" w:lineRule="auto"/>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w:t>
            </w:r>
          </w:p>
        </w:tc>
        <w:tc>
          <w:tcPr>
            <w:tcW w:w="673" w:type="pct"/>
            <w:tcBorders>
              <w:top w:val="nil"/>
              <w:left w:val="nil"/>
              <w:bottom w:val="single" w:sz="4" w:space="0" w:color="auto"/>
              <w:right w:val="single" w:sz="4" w:space="0" w:color="auto"/>
            </w:tcBorders>
            <w:shd w:val="clear" w:color="auto" w:fill="auto"/>
            <w:noWrap/>
            <w:vAlign w:val="bottom"/>
            <w:hideMark/>
          </w:tcPr>
          <w:p w14:paraId="67FEF006" w14:textId="77777777" w:rsidR="009C6488" w:rsidRPr="009C6488" w:rsidRDefault="009C6488" w:rsidP="009C6488">
            <w:pPr>
              <w:spacing w:after="0" w:line="240" w:lineRule="auto"/>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w:t>
            </w:r>
          </w:p>
        </w:tc>
        <w:tc>
          <w:tcPr>
            <w:tcW w:w="673" w:type="pct"/>
            <w:tcBorders>
              <w:top w:val="nil"/>
              <w:left w:val="nil"/>
              <w:bottom w:val="single" w:sz="4" w:space="0" w:color="auto"/>
              <w:right w:val="single" w:sz="4" w:space="0" w:color="auto"/>
            </w:tcBorders>
            <w:shd w:val="clear" w:color="auto" w:fill="auto"/>
            <w:noWrap/>
            <w:vAlign w:val="bottom"/>
            <w:hideMark/>
          </w:tcPr>
          <w:p w14:paraId="3A4AF591" w14:textId="77777777" w:rsidR="009C6488" w:rsidRPr="009C6488" w:rsidRDefault="009C6488" w:rsidP="009C6488">
            <w:pPr>
              <w:spacing w:after="0" w:line="240" w:lineRule="auto"/>
              <w:jc w:val="right"/>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xml:space="preserve">                   (197)</w:t>
            </w:r>
          </w:p>
        </w:tc>
      </w:tr>
      <w:tr w:rsidR="009C6488" w:rsidRPr="009C6488" w14:paraId="1A582331" w14:textId="77777777" w:rsidTr="00446A14">
        <w:trPr>
          <w:trHeight w:val="198"/>
        </w:trPr>
        <w:tc>
          <w:tcPr>
            <w:tcW w:w="2193" w:type="pct"/>
            <w:tcBorders>
              <w:top w:val="nil"/>
              <w:left w:val="single" w:sz="4" w:space="0" w:color="auto"/>
              <w:bottom w:val="single" w:sz="4" w:space="0" w:color="auto"/>
              <w:right w:val="nil"/>
            </w:tcBorders>
            <w:shd w:val="clear" w:color="auto" w:fill="auto"/>
            <w:noWrap/>
            <w:vAlign w:val="bottom"/>
            <w:hideMark/>
          </w:tcPr>
          <w:p w14:paraId="7D1C34E0" w14:textId="77777777" w:rsidR="009C6488" w:rsidRPr="009C6488" w:rsidRDefault="009C6488" w:rsidP="009C6488">
            <w:pPr>
              <w:spacing w:after="0" w:line="240" w:lineRule="auto"/>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Patrimônio Líquido Reapresentado em 31/12/2020</w:t>
            </w:r>
          </w:p>
        </w:tc>
        <w:tc>
          <w:tcPr>
            <w:tcW w:w="708" w:type="pct"/>
            <w:tcBorders>
              <w:top w:val="nil"/>
              <w:left w:val="nil"/>
              <w:bottom w:val="single" w:sz="4" w:space="0" w:color="auto"/>
              <w:right w:val="nil"/>
            </w:tcBorders>
            <w:shd w:val="clear" w:color="auto" w:fill="auto"/>
            <w:noWrap/>
            <w:vAlign w:val="bottom"/>
            <w:hideMark/>
          </w:tcPr>
          <w:p w14:paraId="3E256DB6" w14:textId="77777777" w:rsidR="009C6488" w:rsidRPr="009C6488" w:rsidRDefault="009C6488" w:rsidP="009C6488">
            <w:pPr>
              <w:spacing w:after="0" w:line="240" w:lineRule="auto"/>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 </w:t>
            </w:r>
          </w:p>
        </w:tc>
        <w:tc>
          <w:tcPr>
            <w:tcW w:w="754" w:type="pct"/>
            <w:tcBorders>
              <w:top w:val="nil"/>
              <w:left w:val="nil"/>
              <w:bottom w:val="single" w:sz="4" w:space="0" w:color="auto"/>
              <w:right w:val="nil"/>
            </w:tcBorders>
            <w:shd w:val="clear" w:color="auto" w:fill="auto"/>
            <w:noWrap/>
            <w:vAlign w:val="bottom"/>
            <w:hideMark/>
          </w:tcPr>
          <w:p w14:paraId="3CEEAE2B" w14:textId="77777777" w:rsidR="009C6488" w:rsidRPr="009C6488" w:rsidRDefault="009C6488" w:rsidP="009C6488">
            <w:pPr>
              <w:spacing w:after="0" w:line="240" w:lineRule="auto"/>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 </w:t>
            </w:r>
          </w:p>
        </w:tc>
        <w:tc>
          <w:tcPr>
            <w:tcW w:w="673" w:type="pct"/>
            <w:tcBorders>
              <w:top w:val="nil"/>
              <w:left w:val="nil"/>
              <w:bottom w:val="single" w:sz="4" w:space="0" w:color="auto"/>
              <w:right w:val="nil"/>
            </w:tcBorders>
            <w:shd w:val="clear" w:color="auto" w:fill="auto"/>
            <w:noWrap/>
            <w:vAlign w:val="bottom"/>
            <w:hideMark/>
          </w:tcPr>
          <w:p w14:paraId="2B9C734D" w14:textId="77777777" w:rsidR="009C6488" w:rsidRPr="009C6488" w:rsidRDefault="009C6488" w:rsidP="009C6488">
            <w:pPr>
              <w:spacing w:after="0" w:line="240" w:lineRule="auto"/>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 </w:t>
            </w:r>
          </w:p>
        </w:tc>
        <w:tc>
          <w:tcPr>
            <w:tcW w:w="673" w:type="pct"/>
            <w:tcBorders>
              <w:top w:val="nil"/>
              <w:left w:val="single" w:sz="4" w:space="0" w:color="auto"/>
              <w:bottom w:val="single" w:sz="4" w:space="0" w:color="auto"/>
              <w:right w:val="single" w:sz="4" w:space="0" w:color="auto"/>
            </w:tcBorders>
            <w:shd w:val="clear" w:color="auto" w:fill="auto"/>
            <w:noWrap/>
            <w:vAlign w:val="bottom"/>
            <w:hideMark/>
          </w:tcPr>
          <w:p w14:paraId="2C0015FC" w14:textId="77777777" w:rsidR="009C6488" w:rsidRPr="009C6488" w:rsidRDefault="009C6488" w:rsidP="009C6488">
            <w:pPr>
              <w:spacing w:after="0" w:line="240" w:lineRule="auto"/>
              <w:jc w:val="right"/>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 xml:space="preserve">          1.521.885 </w:t>
            </w:r>
          </w:p>
        </w:tc>
      </w:tr>
    </w:tbl>
    <w:p w14:paraId="2A859C53" w14:textId="4C327E80" w:rsidR="009C6488" w:rsidRPr="009C6488" w:rsidRDefault="009C6488" w:rsidP="009C6488">
      <w:pPr>
        <w:keepNext/>
        <w:spacing w:after="0" w:line="276" w:lineRule="auto"/>
        <w:jc w:val="both"/>
        <w:outlineLvl w:val="1"/>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3.3.3. </w:t>
      </w:r>
      <w:r w:rsidRPr="009C6488">
        <w:rPr>
          <w:rFonts w:ascii="Calibri" w:eastAsia="Times New Roman" w:hAnsi="Calibri" w:cs="Calibri"/>
          <w:b/>
          <w:bCs/>
          <w:iCs/>
          <w:color w:val="002060"/>
          <w:kern w:val="0"/>
          <w14:ligatures w14:val="none"/>
        </w:rPr>
        <w:t>Demonstração do Resultado do Exercício</w:t>
      </w:r>
    </w:p>
    <w:tbl>
      <w:tblPr>
        <w:tblW w:w="5000" w:type="pct"/>
        <w:tblCellMar>
          <w:left w:w="70" w:type="dxa"/>
          <w:right w:w="70" w:type="dxa"/>
        </w:tblCellMar>
        <w:tblLook w:val="04A0" w:firstRow="1" w:lastRow="0" w:firstColumn="1" w:lastColumn="0" w:noHBand="0" w:noVBand="1"/>
      </w:tblPr>
      <w:tblGrid>
        <w:gridCol w:w="4955"/>
        <w:gridCol w:w="1012"/>
        <w:gridCol w:w="1350"/>
        <w:gridCol w:w="1014"/>
        <w:gridCol w:w="1440"/>
      </w:tblGrid>
      <w:tr w:rsidR="009C6488" w:rsidRPr="009C6488" w14:paraId="12C1445F" w14:textId="77777777" w:rsidTr="00446A14">
        <w:trPr>
          <w:trHeight w:val="198"/>
          <w:tblHeader/>
        </w:trPr>
        <w:tc>
          <w:tcPr>
            <w:tcW w:w="2535" w:type="pct"/>
            <w:vMerge w:val="restart"/>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2CAED86" w14:textId="77777777" w:rsidR="009C6488" w:rsidRPr="009C6488" w:rsidRDefault="009C6488" w:rsidP="009C6488">
            <w:pPr>
              <w:spacing w:after="0" w:line="240" w:lineRule="auto"/>
              <w:jc w:val="center"/>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w:t>
            </w:r>
          </w:p>
        </w:tc>
        <w:tc>
          <w:tcPr>
            <w:tcW w:w="5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071190" w14:textId="77777777" w:rsidR="009C6488" w:rsidRPr="009C6488" w:rsidRDefault="009C6488" w:rsidP="009C6488">
            <w:pPr>
              <w:spacing w:after="0" w:line="240" w:lineRule="auto"/>
              <w:jc w:val="center"/>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Saldos Divulgados em 2020</w:t>
            </w:r>
          </w:p>
        </w:tc>
        <w:tc>
          <w:tcPr>
            <w:tcW w:w="1210" w:type="pct"/>
            <w:gridSpan w:val="2"/>
            <w:tcBorders>
              <w:top w:val="single" w:sz="4" w:space="0" w:color="auto"/>
              <w:left w:val="nil"/>
              <w:bottom w:val="single" w:sz="4" w:space="0" w:color="auto"/>
              <w:right w:val="single" w:sz="4" w:space="0" w:color="auto"/>
            </w:tcBorders>
            <w:shd w:val="clear" w:color="auto" w:fill="auto"/>
            <w:noWrap/>
            <w:vAlign w:val="bottom"/>
            <w:hideMark/>
          </w:tcPr>
          <w:p w14:paraId="103979A9" w14:textId="77777777" w:rsidR="009C6488" w:rsidRPr="009C6488" w:rsidRDefault="009C6488" w:rsidP="009C6488">
            <w:pPr>
              <w:spacing w:after="0" w:line="240" w:lineRule="auto"/>
              <w:jc w:val="center"/>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Ajustes</w:t>
            </w:r>
          </w:p>
        </w:tc>
        <w:tc>
          <w:tcPr>
            <w:tcW w:w="7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FD12A7" w14:textId="77777777" w:rsidR="009C6488" w:rsidRPr="009C6488" w:rsidRDefault="009C6488" w:rsidP="009C6488">
            <w:pPr>
              <w:spacing w:after="0" w:line="240" w:lineRule="auto"/>
              <w:jc w:val="center"/>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Saldos Reapresentados em 2020</w:t>
            </w:r>
          </w:p>
        </w:tc>
      </w:tr>
      <w:tr w:rsidR="009C6488" w:rsidRPr="009C6488" w14:paraId="5C880052" w14:textId="77777777" w:rsidTr="00446A14">
        <w:trPr>
          <w:trHeight w:val="198"/>
          <w:tblHeader/>
        </w:trPr>
        <w:tc>
          <w:tcPr>
            <w:tcW w:w="2535" w:type="pct"/>
            <w:vMerge/>
            <w:tcBorders>
              <w:top w:val="single" w:sz="4" w:space="0" w:color="auto"/>
              <w:left w:val="single" w:sz="4" w:space="0" w:color="auto"/>
              <w:bottom w:val="single" w:sz="4" w:space="0" w:color="auto"/>
              <w:right w:val="single" w:sz="4" w:space="0" w:color="auto"/>
            </w:tcBorders>
            <w:vAlign w:val="center"/>
            <w:hideMark/>
          </w:tcPr>
          <w:p w14:paraId="1B68B0BA" w14:textId="77777777" w:rsidR="009C6488" w:rsidRPr="009C6488" w:rsidRDefault="009C6488" w:rsidP="009C6488">
            <w:pPr>
              <w:spacing w:after="0" w:line="240" w:lineRule="auto"/>
              <w:rPr>
                <w:rFonts w:ascii="Arial" w:eastAsia="Times New Roman" w:hAnsi="Arial" w:cs="Arial"/>
                <w:color w:val="000000"/>
                <w:kern w:val="0"/>
                <w:sz w:val="14"/>
                <w:szCs w:val="14"/>
                <w:lang w:eastAsia="pt-BR"/>
                <w14:ligatures w14:val="none"/>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14:paraId="1A509C99" w14:textId="77777777" w:rsidR="009C6488" w:rsidRPr="009C6488" w:rsidRDefault="009C6488" w:rsidP="009C6488">
            <w:pPr>
              <w:spacing w:after="0" w:line="240" w:lineRule="auto"/>
              <w:rPr>
                <w:rFonts w:ascii="Arial" w:eastAsia="Times New Roman" w:hAnsi="Arial" w:cs="Arial"/>
                <w:b/>
                <w:bCs/>
                <w:color w:val="000000"/>
                <w:kern w:val="0"/>
                <w:sz w:val="14"/>
                <w:szCs w:val="14"/>
                <w:lang w:eastAsia="pt-BR"/>
                <w14:ligatures w14:val="none"/>
              </w:rPr>
            </w:pPr>
          </w:p>
        </w:tc>
        <w:tc>
          <w:tcPr>
            <w:tcW w:w="691" w:type="pct"/>
            <w:tcBorders>
              <w:top w:val="nil"/>
              <w:left w:val="nil"/>
              <w:bottom w:val="single" w:sz="4" w:space="0" w:color="auto"/>
              <w:right w:val="single" w:sz="4" w:space="0" w:color="auto"/>
            </w:tcBorders>
            <w:shd w:val="clear" w:color="auto" w:fill="auto"/>
            <w:vAlign w:val="center"/>
            <w:hideMark/>
          </w:tcPr>
          <w:p w14:paraId="219468EF" w14:textId="77777777" w:rsidR="009C6488" w:rsidRPr="009C6488" w:rsidRDefault="009C6488" w:rsidP="009C6488">
            <w:pPr>
              <w:spacing w:after="0" w:line="240" w:lineRule="auto"/>
              <w:jc w:val="center"/>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Subvenções para Investimentos (i)</w:t>
            </w:r>
          </w:p>
        </w:tc>
        <w:tc>
          <w:tcPr>
            <w:tcW w:w="518" w:type="pct"/>
            <w:tcBorders>
              <w:top w:val="nil"/>
              <w:left w:val="nil"/>
              <w:bottom w:val="single" w:sz="4" w:space="0" w:color="auto"/>
              <w:right w:val="single" w:sz="4" w:space="0" w:color="auto"/>
            </w:tcBorders>
            <w:shd w:val="clear" w:color="auto" w:fill="auto"/>
            <w:vAlign w:val="center"/>
            <w:hideMark/>
          </w:tcPr>
          <w:p w14:paraId="558A5A03" w14:textId="77777777" w:rsidR="009C6488" w:rsidRPr="009C6488" w:rsidRDefault="009C6488" w:rsidP="009C6488">
            <w:pPr>
              <w:spacing w:after="0" w:line="240" w:lineRule="auto"/>
              <w:jc w:val="center"/>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 xml:space="preserve">Juros sobre </w:t>
            </w:r>
            <w:proofErr w:type="spellStart"/>
            <w:r w:rsidRPr="009C6488">
              <w:rPr>
                <w:rFonts w:ascii="Arial" w:eastAsia="Times New Roman" w:hAnsi="Arial" w:cs="Arial"/>
                <w:b/>
                <w:bCs/>
                <w:color w:val="000000"/>
                <w:kern w:val="0"/>
                <w:sz w:val="14"/>
                <w:szCs w:val="14"/>
                <w:lang w:eastAsia="pt-BR"/>
                <w14:ligatures w14:val="none"/>
              </w:rPr>
              <w:t>Afac</w:t>
            </w:r>
            <w:proofErr w:type="spellEnd"/>
            <w:r w:rsidRPr="009C6488">
              <w:rPr>
                <w:rFonts w:ascii="Arial" w:eastAsia="Times New Roman" w:hAnsi="Arial" w:cs="Arial"/>
                <w:b/>
                <w:bCs/>
                <w:color w:val="000000"/>
                <w:kern w:val="0"/>
                <w:sz w:val="14"/>
                <w:szCs w:val="14"/>
                <w:lang w:eastAsia="pt-BR"/>
                <w14:ligatures w14:val="none"/>
              </w:rPr>
              <w:t xml:space="preserve"> (ii)</w:t>
            </w:r>
          </w:p>
        </w:tc>
        <w:tc>
          <w:tcPr>
            <w:tcW w:w="737" w:type="pct"/>
            <w:vMerge/>
            <w:tcBorders>
              <w:top w:val="single" w:sz="4" w:space="0" w:color="auto"/>
              <w:left w:val="single" w:sz="4" w:space="0" w:color="auto"/>
              <w:bottom w:val="single" w:sz="4" w:space="0" w:color="auto"/>
              <w:right w:val="single" w:sz="4" w:space="0" w:color="auto"/>
            </w:tcBorders>
            <w:vAlign w:val="center"/>
            <w:hideMark/>
          </w:tcPr>
          <w:p w14:paraId="37ABFFFB" w14:textId="77777777" w:rsidR="009C6488" w:rsidRPr="009C6488" w:rsidRDefault="009C6488" w:rsidP="009C6488">
            <w:pPr>
              <w:spacing w:after="0" w:line="240" w:lineRule="auto"/>
              <w:rPr>
                <w:rFonts w:ascii="Arial" w:eastAsia="Times New Roman" w:hAnsi="Arial" w:cs="Arial"/>
                <w:b/>
                <w:bCs/>
                <w:color w:val="000000"/>
                <w:kern w:val="0"/>
                <w:sz w:val="14"/>
                <w:szCs w:val="14"/>
                <w:lang w:eastAsia="pt-BR"/>
                <w14:ligatures w14:val="none"/>
              </w:rPr>
            </w:pPr>
          </w:p>
        </w:tc>
      </w:tr>
      <w:tr w:rsidR="009C6488" w:rsidRPr="009C6488" w14:paraId="2E92FDDB" w14:textId="77777777" w:rsidTr="00446A14">
        <w:trPr>
          <w:trHeight w:val="198"/>
        </w:trPr>
        <w:tc>
          <w:tcPr>
            <w:tcW w:w="2535" w:type="pct"/>
            <w:tcBorders>
              <w:top w:val="nil"/>
              <w:left w:val="single" w:sz="4" w:space="0" w:color="auto"/>
              <w:bottom w:val="single" w:sz="4" w:space="0" w:color="auto"/>
              <w:right w:val="single" w:sz="4" w:space="0" w:color="auto"/>
            </w:tcBorders>
            <w:shd w:val="clear" w:color="auto" w:fill="auto"/>
            <w:noWrap/>
            <w:vAlign w:val="bottom"/>
            <w:hideMark/>
          </w:tcPr>
          <w:p w14:paraId="68813635"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518" w:type="pct"/>
            <w:tcBorders>
              <w:top w:val="nil"/>
              <w:left w:val="nil"/>
              <w:bottom w:val="single" w:sz="4" w:space="0" w:color="auto"/>
              <w:right w:val="single" w:sz="4" w:space="0" w:color="auto"/>
            </w:tcBorders>
            <w:shd w:val="clear" w:color="auto" w:fill="auto"/>
            <w:noWrap/>
            <w:vAlign w:val="bottom"/>
            <w:hideMark/>
          </w:tcPr>
          <w:p w14:paraId="40098916" w14:textId="77777777" w:rsidR="009C6488" w:rsidRPr="009C6488" w:rsidRDefault="009C6488" w:rsidP="009C6488">
            <w:pPr>
              <w:spacing w:after="0" w:line="240" w:lineRule="auto"/>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w:t>
            </w:r>
          </w:p>
        </w:tc>
        <w:tc>
          <w:tcPr>
            <w:tcW w:w="691" w:type="pct"/>
            <w:tcBorders>
              <w:top w:val="nil"/>
              <w:left w:val="nil"/>
              <w:bottom w:val="single" w:sz="4" w:space="0" w:color="auto"/>
              <w:right w:val="single" w:sz="4" w:space="0" w:color="auto"/>
            </w:tcBorders>
            <w:shd w:val="clear" w:color="auto" w:fill="auto"/>
            <w:noWrap/>
            <w:vAlign w:val="bottom"/>
            <w:hideMark/>
          </w:tcPr>
          <w:p w14:paraId="48DCF82B" w14:textId="77777777" w:rsidR="009C6488" w:rsidRPr="009C6488" w:rsidRDefault="009C6488" w:rsidP="009C6488">
            <w:pPr>
              <w:spacing w:after="0" w:line="240" w:lineRule="auto"/>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w:t>
            </w:r>
          </w:p>
        </w:tc>
        <w:tc>
          <w:tcPr>
            <w:tcW w:w="518" w:type="pct"/>
            <w:tcBorders>
              <w:top w:val="nil"/>
              <w:left w:val="nil"/>
              <w:bottom w:val="single" w:sz="4" w:space="0" w:color="auto"/>
              <w:right w:val="single" w:sz="4" w:space="0" w:color="auto"/>
            </w:tcBorders>
            <w:shd w:val="clear" w:color="auto" w:fill="auto"/>
            <w:noWrap/>
            <w:vAlign w:val="bottom"/>
            <w:hideMark/>
          </w:tcPr>
          <w:p w14:paraId="60296807" w14:textId="77777777" w:rsidR="009C6488" w:rsidRPr="009C6488" w:rsidRDefault="009C6488" w:rsidP="009C6488">
            <w:pPr>
              <w:spacing w:after="0" w:line="240" w:lineRule="auto"/>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w:t>
            </w:r>
          </w:p>
        </w:tc>
        <w:tc>
          <w:tcPr>
            <w:tcW w:w="737" w:type="pct"/>
            <w:tcBorders>
              <w:top w:val="nil"/>
              <w:left w:val="nil"/>
              <w:bottom w:val="single" w:sz="4" w:space="0" w:color="auto"/>
              <w:right w:val="single" w:sz="4" w:space="0" w:color="auto"/>
            </w:tcBorders>
            <w:shd w:val="clear" w:color="auto" w:fill="auto"/>
            <w:noWrap/>
            <w:vAlign w:val="bottom"/>
            <w:hideMark/>
          </w:tcPr>
          <w:p w14:paraId="2F88CFA7" w14:textId="77777777" w:rsidR="009C6488" w:rsidRPr="009C6488" w:rsidRDefault="009C6488" w:rsidP="009C6488">
            <w:pPr>
              <w:spacing w:after="0" w:line="240" w:lineRule="auto"/>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w:t>
            </w:r>
          </w:p>
        </w:tc>
      </w:tr>
      <w:tr w:rsidR="009C6488" w:rsidRPr="009C6488" w14:paraId="0026A34F" w14:textId="77777777" w:rsidTr="00446A14">
        <w:trPr>
          <w:trHeight w:val="198"/>
        </w:trPr>
        <w:tc>
          <w:tcPr>
            <w:tcW w:w="2535" w:type="pct"/>
            <w:tcBorders>
              <w:top w:val="nil"/>
              <w:left w:val="single" w:sz="4" w:space="0" w:color="auto"/>
              <w:bottom w:val="single" w:sz="4" w:space="0" w:color="auto"/>
              <w:right w:val="single" w:sz="4" w:space="0" w:color="auto"/>
            </w:tcBorders>
            <w:shd w:val="clear" w:color="auto" w:fill="auto"/>
            <w:noWrap/>
            <w:vAlign w:val="bottom"/>
            <w:hideMark/>
          </w:tcPr>
          <w:p w14:paraId="58217946"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RECEITA OPERACIONAL LÍQUIDA</w:t>
            </w:r>
          </w:p>
        </w:tc>
        <w:tc>
          <w:tcPr>
            <w:tcW w:w="518" w:type="pct"/>
            <w:tcBorders>
              <w:top w:val="nil"/>
              <w:left w:val="nil"/>
              <w:bottom w:val="single" w:sz="4" w:space="0" w:color="auto"/>
              <w:right w:val="single" w:sz="4" w:space="0" w:color="auto"/>
            </w:tcBorders>
            <w:shd w:val="clear" w:color="auto" w:fill="auto"/>
            <w:noWrap/>
            <w:vAlign w:val="bottom"/>
            <w:hideMark/>
          </w:tcPr>
          <w:p w14:paraId="17364D8C" w14:textId="77777777" w:rsidR="009C6488" w:rsidRPr="009C6488" w:rsidRDefault="009C6488" w:rsidP="009C6488">
            <w:pPr>
              <w:spacing w:after="0" w:line="240" w:lineRule="auto"/>
              <w:jc w:val="right"/>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 xml:space="preserve">       266.823 </w:t>
            </w:r>
          </w:p>
        </w:tc>
        <w:tc>
          <w:tcPr>
            <w:tcW w:w="691" w:type="pct"/>
            <w:tcBorders>
              <w:top w:val="nil"/>
              <w:left w:val="nil"/>
              <w:bottom w:val="single" w:sz="4" w:space="0" w:color="auto"/>
              <w:right w:val="single" w:sz="4" w:space="0" w:color="auto"/>
            </w:tcBorders>
            <w:shd w:val="clear" w:color="auto" w:fill="auto"/>
            <w:noWrap/>
            <w:vAlign w:val="bottom"/>
            <w:hideMark/>
          </w:tcPr>
          <w:p w14:paraId="1949A28B" w14:textId="77777777" w:rsidR="009C6488" w:rsidRPr="009C6488" w:rsidRDefault="009C6488" w:rsidP="009C6488">
            <w:pPr>
              <w:spacing w:after="0" w:line="240" w:lineRule="auto"/>
              <w:jc w:val="right"/>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 </w:t>
            </w:r>
          </w:p>
        </w:tc>
        <w:tc>
          <w:tcPr>
            <w:tcW w:w="518" w:type="pct"/>
            <w:tcBorders>
              <w:top w:val="nil"/>
              <w:left w:val="nil"/>
              <w:bottom w:val="single" w:sz="4" w:space="0" w:color="auto"/>
              <w:right w:val="single" w:sz="4" w:space="0" w:color="auto"/>
            </w:tcBorders>
            <w:shd w:val="clear" w:color="auto" w:fill="auto"/>
            <w:noWrap/>
            <w:vAlign w:val="bottom"/>
            <w:hideMark/>
          </w:tcPr>
          <w:p w14:paraId="38ED6831" w14:textId="77777777" w:rsidR="009C6488" w:rsidRPr="009C6488" w:rsidRDefault="009C6488" w:rsidP="009C6488">
            <w:pPr>
              <w:spacing w:after="0" w:line="240" w:lineRule="auto"/>
              <w:jc w:val="right"/>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 </w:t>
            </w:r>
          </w:p>
        </w:tc>
        <w:tc>
          <w:tcPr>
            <w:tcW w:w="737" w:type="pct"/>
            <w:tcBorders>
              <w:top w:val="nil"/>
              <w:left w:val="nil"/>
              <w:bottom w:val="single" w:sz="4" w:space="0" w:color="auto"/>
              <w:right w:val="single" w:sz="4" w:space="0" w:color="auto"/>
            </w:tcBorders>
            <w:shd w:val="clear" w:color="auto" w:fill="auto"/>
            <w:noWrap/>
            <w:vAlign w:val="bottom"/>
            <w:hideMark/>
          </w:tcPr>
          <w:p w14:paraId="06C2F466" w14:textId="77777777" w:rsidR="009C6488" w:rsidRPr="009C6488" w:rsidRDefault="009C6488" w:rsidP="009C6488">
            <w:pPr>
              <w:spacing w:after="0" w:line="240" w:lineRule="auto"/>
              <w:jc w:val="right"/>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 xml:space="preserve">                266.823 </w:t>
            </w:r>
          </w:p>
        </w:tc>
      </w:tr>
      <w:tr w:rsidR="009C6488" w:rsidRPr="009C6488" w14:paraId="1BEB222D" w14:textId="77777777" w:rsidTr="00446A14">
        <w:trPr>
          <w:trHeight w:val="198"/>
        </w:trPr>
        <w:tc>
          <w:tcPr>
            <w:tcW w:w="2535" w:type="pct"/>
            <w:tcBorders>
              <w:top w:val="nil"/>
              <w:left w:val="single" w:sz="4" w:space="0" w:color="auto"/>
              <w:bottom w:val="single" w:sz="4" w:space="0" w:color="auto"/>
              <w:right w:val="single" w:sz="4" w:space="0" w:color="auto"/>
            </w:tcBorders>
            <w:shd w:val="clear" w:color="auto" w:fill="auto"/>
            <w:noWrap/>
            <w:vAlign w:val="bottom"/>
            <w:hideMark/>
          </w:tcPr>
          <w:p w14:paraId="6553AE4B"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Custos dos Serviços Prestados </w:t>
            </w:r>
          </w:p>
        </w:tc>
        <w:tc>
          <w:tcPr>
            <w:tcW w:w="518" w:type="pct"/>
            <w:tcBorders>
              <w:top w:val="nil"/>
              <w:left w:val="nil"/>
              <w:bottom w:val="single" w:sz="4" w:space="0" w:color="auto"/>
              <w:right w:val="single" w:sz="4" w:space="0" w:color="auto"/>
            </w:tcBorders>
            <w:shd w:val="clear" w:color="auto" w:fill="auto"/>
            <w:noWrap/>
            <w:vAlign w:val="bottom"/>
            <w:hideMark/>
          </w:tcPr>
          <w:p w14:paraId="56524D9C" w14:textId="77777777" w:rsidR="009C6488" w:rsidRPr="009C6488" w:rsidRDefault="009C6488" w:rsidP="009C6488">
            <w:pPr>
              <w:spacing w:after="0" w:line="240" w:lineRule="auto"/>
              <w:jc w:val="right"/>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xml:space="preserve">     (458.507)</w:t>
            </w:r>
          </w:p>
        </w:tc>
        <w:tc>
          <w:tcPr>
            <w:tcW w:w="691" w:type="pct"/>
            <w:tcBorders>
              <w:top w:val="nil"/>
              <w:left w:val="nil"/>
              <w:bottom w:val="single" w:sz="4" w:space="0" w:color="auto"/>
              <w:right w:val="single" w:sz="4" w:space="0" w:color="auto"/>
            </w:tcBorders>
            <w:shd w:val="clear" w:color="auto" w:fill="auto"/>
            <w:noWrap/>
            <w:vAlign w:val="bottom"/>
            <w:hideMark/>
          </w:tcPr>
          <w:p w14:paraId="2E784425" w14:textId="77777777" w:rsidR="009C6488" w:rsidRPr="009C6488" w:rsidRDefault="009C6488" w:rsidP="009C6488">
            <w:pPr>
              <w:spacing w:after="0" w:line="240" w:lineRule="auto"/>
              <w:jc w:val="right"/>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w:t>
            </w:r>
          </w:p>
        </w:tc>
        <w:tc>
          <w:tcPr>
            <w:tcW w:w="518" w:type="pct"/>
            <w:tcBorders>
              <w:top w:val="nil"/>
              <w:left w:val="nil"/>
              <w:bottom w:val="single" w:sz="4" w:space="0" w:color="auto"/>
              <w:right w:val="single" w:sz="4" w:space="0" w:color="auto"/>
            </w:tcBorders>
            <w:shd w:val="clear" w:color="auto" w:fill="auto"/>
            <w:noWrap/>
            <w:vAlign w:val="bottom"/>
            <w:hideMark/>
          </w:tcPr>
          <w:p w14:paraId="56DB1D8D" w14:textId="77777777" w:rsidR="009C6488" w:rsidRPr="009C6488" w:rsidRDefault="009C6488" w:rsidP="009C6488">
            <w:pPr>
              <w:spacing w:after="0" w:line="240" w:lineRule="auto"/>
              <w:jc w:val="right"/>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w:t>
            </w:r>
          </w:p>
        </w:tc>
        <w:tc>
          <w:tcPr>
            <w:tcW w:w="737" w:type="pct"/>
            <w:tcBorders>
              <w:top w:val="nil"/>
              <w:left w:val="nil"/>
              <w:bottom w:val="single" w:sz="4" w:space="0" w:color="auto"/>
              <w:right w:val="single" w:sz="4" w:space="0" w:color="auto"/>
            </w:tcBorders>
            <w:shd w:val="clear" w:color="auto" w:fill="auto"/>
            <w:noWrap/>
            <w:vAlign w:val="bottom"/>
            <w:hideMark/>
          </w:tcPr>
          <w:p w14:paraId="2F098975" w14:textId="77777777" w:rsidR="009C6488" w:rsidRPr="009C6488" w:rsidRDefault="009C6488" w:rsidP="009C6488">
            <w:pPr>
              <w:spacing w:after="0" w:line="240" w:lineRule="auto"/>
              <w:jc w:val="right"/>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xml:space="preserve">               (458.507)</w:t>
            </w:r>
          </w:p>
        </w:tc>
      </w:tr>
      <w:tr w:rsidR="009C6488" w:rsidRPr="009C6488" w14:paraId="59E1952E" w14:textId="77777777" w:rsidTr="00446A14">
        <w:trPr>
          <w:trHeight w:val="198"/>
        </w:trPr>
        <w:tc>
          <w:tcPr>
            <w:tcW w:w="2535" w:type="pct"/>
            <w:tcBorders>
              <w:top w:val="nil"/>
              <w:left w:val="single" w:sz="4" w:space="0" w:color="auto"/>
              <w:bottom w:val="single" w:sz="4" w:space="0" w:color="auto"/>
              <w:right w:val="single" w:sz="4" w:space="0" w:color="auto"/>
            </w:tcBorders>
            <w:shd w:val="clear" w:color="auto" w:fill="auto"/>
            <w:noWrap/>
            <w:vAlign w:val="bottom"/>
            <w:hideMark/>
          </w:tcPr>
          <w:p w14:paraId="268AD591"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Lucro Bruto</w:t>
            </w:r>
          </w:p>
        </w:tc>
        <w:tc>
          <w:tcPr>
            <w:tcW w:w="518" w:type="pct"/>
            <w:tcBorders>
              <w:top w:val="nil"/>
              <w:left w:val="nil"/>
              <w:bottom w:val="single" w:sz="4" w:space="0" w:color="auto"/>
              <w:right w:val="single" w:sz="4" w:space="0" w:color="auto"/>
            </w:tcBorders>
            <w:shd w:val="clear" w:color="auto" w:fill="auto"/>
            <w:noWrap/>
            <w:vAlign w:val="bottom"/>
            <w:hideMark/>
          </w:tcPr>
          <w:p w14:paraId="372FDE83" w14:textId="77777777" w:rsidR="009C6488" w:rsidRPr="009C6488" w:rsidRDefault="009C6488" w:rsidP="009C6488">
            <w:pPr>
              <w:spacing w:after="0" w:line="240" w:lineRule="auto"/>
              <w:jc w:val="right"/>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 xml:space="preserve">     (191.684)</w:t>
            </w:r>
          </w:p>
        </w:tc>
        <w:tc>
          <w:tcPr>
            <w:tcW w:w="691" w:type="pct"/>
            <w:tcBorders>
              <w:top w:val="nil"/>
              <w:left w:val="nil"/>
              <w:bottom w:val="single" w:sz="4" w:space="0" w:color="auto"/>
              <w:right w:val="single" w:sz="4" w:space="0" w:color="auto"/>
            </w:tcBorders>
            <w:shd w:val="clear" w:color="auto" w:fill="auto"/>
            <w:noWrap/>
            <w:vAlign w:val="bottom"/>
            <w:hideMark/>
          </w:tcPr>
          <w:p w14:paraId="42782254" w14:textId="77777777" w:rsidR="009C6488" w:rsidRPr="009C6488" w:rsidRDefault="009C6488" w:rsidP="009C6488">
            <w:pPr>
              <w:spacing w:after="0" w:line="240" w:lineRule="auto"/>
              <w:jc w:val="right"/>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 xml:space="preserve">                         -  </w:t>
            </w:r>
          </w:p>
        </w:tc>
        <w:tc>
          <w:tcPr>
            <w:tcW w:w="518" w:type="pct"/>
            <w:tcBorders>
              <w:top w:val="nil"/>
              <w:left w:val="nil"/>
              <w:bottom w:val="single" w:sz="4" w:space="0" w:color="auto"/>
              <w:right w:val="single" w:sz="4" w:space="0" w:color="auto"/>
            </w:tcBorders>
            <w:shd w:val="clear" w:color="auto" w:fill="auto"/>
            <w:noWrap/>
            <w:vAlign w:val="bottom"/>
            <w:hideMark/>
          </w:tcPr>
          <w:p w14:paraId="15C9C915" w14:textId="77777777" w:rsidR="009C6488" w:rsidRPr="009C6488" w:rsidRDefault="009C6488" w:rsidP="009C6488">
            <w:pPr>
              <w:spacing w:after="0" w:line="240" w:lineRule="auto"/>
              <w:jc w:val="right"/>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 xml:space="preserve">                 -  </w:t>
            </w:r>
          </w:p>
        </w:tc>
        <w:tc>
          <w:tcPr>
            <w:tcW w:w="737" w:type="pct"/>
            <w:tcBorders>
              <w:top w:val="nil"/>
              <w:left w:val="nil"/>
              <w:bottom w:val="single" w:sz="4" w:space="0" w:color="auto"/>
              <w:right w:val="single" w:sz="4" w:space="0" w:color="auto"/>
            </w:tcBorders>
            <w:shd w:val="clear" w:color="auto" w:fill="auto"/>
            <w:noWrap/>
            <w:vAlign w:val="bottom"/>
            <w:hideMark/>
          </w:tcPr>
          <w:p w14:paraId="7933F8ED" w14:textId="77777777" w:rsidR="009C6488" w:rsidRPr="009C6488" w:rsidRDefault="009C6488" w:rsidP="009C6488">
            <w:pPr>
              <w:spacing w:after="0" w:line="240" w:lineRule="auto"/>
              <w:jc w:val="right"/>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 xml:space="preserve">               (191.684)</w:t>
            </w:r>
          </w:p>
        </w:tc>
      </w:tr>
      <w:tr w:rsidR="009C6488" w:rsidRPr="009C6488" w14:paraId="25278D18" w14:textId="77777777" w:rsidTr="00446A14">
        <w:trPr>
          <w:trHeight w:val="198"/>
        </w:trPr>
        <w:tc>
          <w:tcPr>
            <w:tcW w:w="2535" w:type="pct"/>
            <w:tcBorders>
              <w:top w:val="nil"/>
              <w:left w:val="single" w:sz="4" w:space="0" w:color="auto"/>
              <w:bottom w:val="single" w:sz="4" w:space="0" w:color="auto"/>
              <w:right w:val="single" w:sz="4" w:space="0" w:color="auto"/>
            </w:tcBorders>
            <w:shd w:val="clear" w:color="auto" w:fill="auto"/>
            <w:noWrap/>
            <w:vAlign w:val="bottom"/>
            <w:hideMark/>
          </w:tcPr>
          <w:p w14:paraId="3E24F3EE"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Receitas / (Despesas) Operacionais</w:t>
            </w:r>
          </w:p>
        </w:tc>
        <w:tc>
          <w:tcPr>
            <w:tcW w:w="518" w:type="pct"/>
            <w:tcBorders>
              <w:top w:val="nil"/>
              <w:left w:val="nil"/>
              <w:bottom w:val="single" w:sz="4" w:space="0" w:color="auto"/>
              <w:right w:val="single" w:sz="4" w:space="0" w:color="auto"/>
            </w:tcBorders>
            <w:shd w:val="clear" w:color="auto" w:fill="auto"/>
            <w:noWrap/>
            <w:vAlign w:val="bottom"/>
            <w:hideMark/>
          </w:tcPr>
          <w:p w14:paraId="2AAED2B8" w14:textId="77777777" w:rsidR="009C6488" w:rsidRPr="009C6488" w:rsidRDefault="009C6488" w:rsidP="009C6488">
            <w:pPr>
              <w:spacing w:after="0" w:line="240" w:lineRule="auto"/>
              <w:jc w:val="right"/>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 xml:space="preserve">       119.949 </w:t>
            </w:r>
          </w:p>
        </w:tc>
        <w:tc>
          <w:tcPr>
            <w:tcW w:w="691" w:type="pct"/>
            <w:tcBorders>
              <w:top w:val="nil"/>
              <w:left w:val="nil"/>
              <w:bottom w:val="single" w:sz="4" w:space="0" w:color="auto"/>
              <w:right w:val="single" w:sz="4" w:space="0" w:color="auto"/>
            </w:tcBorders>
            <w:shd w:val="clear" w:color="auto" w:fill="auto"/>
            <w:noWrap/>
            <w:vAlign w:val="bottom"/>
            <w:hideMark/>
          </w:tcPr>
          <w:p w14:paraId="0FD6ADD8" w14:textId="77777777" w:rsidR="009C6488" w:rsidRPr="009C6488" w:rsidRDefault="009C6488" w:rsidP="009C6488">
            <w:pPr>
              <w:spacing w:after="0" w:line="240" w:lineRule="auto"/>
              <w:jc w:val="right"/>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 xml:space="preserve">               (31.157)</w:t>
            </w:r>
          </w:p>
        </w:tc>
        <w:tc>
          <w:tcPr>
            <w:tcW w:w="518" w:type="pct"/>
            <w:tcBorders>
              <w:top w:val="nil"/>
              <w:left w:val="nil"/>
              <w:bottom w:val="single" w:sz="4" w:space="0" w:color="auto"/>
              <w:right w:val="single" w:sz="4" w:space="0" w:color="auto"/>
            </w:tcBorders>
            <w:shd w:val="clear" w:color="auto" w:fill="auto"/>
            <w:noWrap/>
            <w:vAlign w:val="bottom"/>
            <w:hideMark/>
          </w:tcPr>
          <w:p w14:paraId="39D7F882" w14:textId="77777777" w:rsidR="009C6488" w:rsidRPr="009C6488" w:rsidRDefault="009C6488" w:rsidP="009C6488">
            <w:pPr>
              <w:spacing w:after="0" w:line="240" w:lineRule="auto"/>
              <w:jc w:val="right"/>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 xml:space="preserve">                 -  </w:t>
            </w:r>
          </w:p>
        </w:tc>
        <w:tc>
          <w:tcPr>
            <w:tcW w:w="737" w:type="pct"/>
            <w:tcBorders>
              <w:top w:val="nil"/>
              <w:left w:val="nil"/>
              <w:bottom w:val="single" w:sz="4" w:space="0" w:color="auto"/>
              <w:right w:val="single" w:sz="4" w:space="0" w:color="auto"/>
            </w:tcBorders>
            <w:shd w:val="clear" w:color="auto" w:fill="auto"/>
            <w:noWrap/>
            <w:vAlign w:val="bottom"/>
            <w:hideMark/>
          </w:tcPr>
          <w:p w14:paraId="2D65602E" w14:textId="77777777" w:rsidR="009C6488" w:rsidRPr="009C6488" w:rsidRDefault="009C6488" w:rsidP="009C6488">
            <w:pPr>
              <w:spacing w:after="0" w:line="240" w:lineRule="auto"/>
              <w:jc w:val="right"/>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 xml:space="preserve">                  88.792 </w:t>
            </w:r>
          </w:p>
        </w:tc>
      </w:tr>
      <w:tr w:rsidR="009C6488" w:rsidRPr="009C6488" w14:paraId="212899EB" w14:textId="77777777" w:rsidTr="00446A14">
        <w:trPr>
          <w:trHeight w:val="198"/>
        </w:trPr>
        <w:tc>
          <w:tcPr>
            <w:tcW w:w="2535" w:type="pct"/>
            <w:tcBorders>
              <w:top w:val="nil"/>
              <w:left w:val="single" w:sz="4" w:space="0" w:color="auto"/>
              <w:bottom w:val="single" w:sz="4" w:space="0" w:color="auto"/>
              <w:right w:val="single" w:sz="4" w:space="0" w:color="auto"/>
            </w:tcBorders>
            <w:shd w:val="clear" w:color="auto" w:fill="auto"/>
            <w:noWrap/>
            <w:vAlign w:val="bottom"/>
            <w:hideMark/>
          </w:tcPr>
          <w:p w14:paraId="795C9706"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Comercialização dos Serviços</w:t>
            </w:r>
          </w:p>
        </w:tc>
        <w:tc>
          <w:tcPr>
            <w:tcW w:w="518" w:type="pct"/>
            <w:tcBorders>
              <w:top w:val="nil"/>
              <w:left w:val="nil"/>
              <w:bottom w:val="single" w:sz="4" w:space="0" w:color="auto"/>
              <w:right w:val="single" w:sz="4" w:space="0" w:color="auto"/>
            </w:tcBorders>
            <w:shd w:val="clear" w:color="auto" w:fill="auto"/>
            <w:noWrap/>
            <w:vAlign w:val="bottom"/>
            <w:hideMark/>
          </w:tcPr>
          <w:p w14:paraId="701AC20E" w14:textId="77777777" w:rsidR="009C6488" w:rsidRPr="009C6488" w:rsidRDefault="009C6488" w:rsidP="009C6488">
            <w:pPr>
              <w:spacing w:after="0" w:line="240" w:lineRule="auto"/>
              <w:jc w:val="right"/>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xml:space="preserve">       (19.965)</w:t>
            </w:r>
          </w:p>
        </w:tc>
        <w:tc>
          <w:tcPr>
            <w:tcW w:w="691" w:type="pct"/>
            <w:tcBorders>
              <w:top w:val="nil"/>
              <w:left w:val="nil"/>
              <w:bottom w:val="single" w:sz="4" w:space="0" w:color="auto"/>
              <w:right w:val="single" w:sz="4" w:space="0" w:color="auto"/>
            </w:tcBorders>
            <w:shd w:val="clear" w:color="auto" w:fill="auto"/>
            <w:noWrap/>
            <w:vAlign w:val="bottom"/>
            <w:hideMark/>
          </w:tcPr>
          <w:p w14:paraId="4D937D1C" w14:textId="77777777" w:rsidR="009C6488" w:rsidRPr="009C6488" w:rsidRDefault="009C6488" w:rsidP="009C6488">
            <w:pPr>
              <w:spacing w:after="0" w:line="240" w:lineRule="auto"/>
              <w:jc w:val="right"/>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w:t>
            </w:r>
          </w:p>
        </w:tc>
        <w:tc>
          <w:tcPr>
            <w:tcW w:w="518" w:type="pct"/>
            <w:tcBorders>
              <w:top w:val="nil"/>
              <w:left w:val="nil"/>
              <w:bottom w:val="single" w:sz="4" w:space="0" w:color="auto"/>
              <w:right w:val="single" w:sz="4" w:space="0" w:color="auto"/>
            </w:tcBorders>
            <w:shd w:val="clear" w:color="auto" w:fill="auto"/>
            <w:noWrap/>
            <w:vAlign w:val="bottom"/>
            <w:hideMark/>
          </w:tcPr>
          <w:p w14:paraId="2E3375E9" w14:textId="77777777" w:rsidR="009C6488" w:rsidRPr="009C6488" w:rsidRDefault="009C6488" w:rsidP="009C6488">
            <w:pPr>
              <w:spacing w:after="0" w:line="240" w:lineRule="auto"/>
              <w:jc w:val="right"/>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w:t>
            </w:r>
          </w:p>
        </w:tc>
        <w:tc>
          <w:tcPr>
            <w:tcW w:w="737" w:type="pct"/>
            <w:tcBorders>
              <w:top w:val="nil"/>
              <w:left w:val="nil"/>
              <w:bottom w:val="single" w:sz="4" w:space="0" w:color="auto"/>
              <w:right w:val="single" w:sz="4" w:space="0" w:color="auto"/>
            </w:tcBorders>
            <w:shd w:val="clear" w:color="auto" w:fill="auto"/>
            <w:noWrap/>
            <w:vAlign w:val="bottom"/>
            <w:hideMark/>
          </w:tcPr>
          <w:p w14:paraId="073F4437" w14:textId="77777777" w:rsidR="009C6488" w:rsidRPr="009C6488" w:rsidRDefault="009C6488" w:rsidP="009C6488">
            <w:pPr>
              <w:spacing w:after="0" w:line="240" w:lineRule="auto"/>
              <w:jc w:val="right"/>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xml:space="preserve">                 (19.965)</w:t>
            </w:r>
          </w:p>
        </w:tc>
      </w:tr>
      <w:tr w:rsidR="009C6488" w:rsidRPr="009C6488" w14:paraId="1687A8E3" w14:textId="77777777" w:rsidTr="00446A14">
        <w:trPr>
          <w:trHeight w:val="198"/>
        </w:trPr>
        <w:tc>
          <w:tcPr>
            <w:tcW w:w="2535" w:type="pct"/>
            <w:tcBorders>
              <w:top w:val="nil"/>
              <w:left w:val="single" w:sz="4" w:space="0" w:color="auto"/>
              <w:bottom w:val="single" w:sz="4" w:space="0" w:color="auto"/>
              <w:right w:val="single" w:sz="4" w:space="0" w:color="auto"/>
            </w:tcBorders>
            <w:shd w:val="clear" w:color="auto" w:fill="auto"/>
            <w:noWrap/>
            <w:vAlign w:val="bottom"/>
            <w:hideMark/>
          </w:tcPr>
          <w:p w14:paraId="2DA59F18"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Despesas Gerais e Administrativas</w:t>
            </w:r>
          </w:p>
        </w:tc>
        <w:tc>
          <w:tcPr>
            <w:tcW w:w="518" w:type="pct"/>
            <w:tcBorders>
              <w:top w:val="nil"/>
              <w:left w:val="nil"/>
              <w:bottom w:val="single" w:sz="4" w:space="0" w:color="auto"/>
              <w:right w:val="single" w:sz="4" w:space="0" w:color="auto"/>
            </w:tcBorders>
            <w:shd w:val="clear" w:color="auto" w:fill="auto"/>
            <w:noWrap/>
            <w:vAlign w:val="bottom"/>
            <w:hideMark/>
          </w:tcPr>
          <w:p w14:paraId="45D52393" w14:textId="77777777" w:rsidR="009C6488" w:rsidRPr="009C6488" w:rsidRDefault="009C6488" w:rsidP="009C6488">
            <w:pPr>
              <w:spacing w:after="0" w:line="240" w:lineRule="auto"/>
              <w:jc w:val="right"/>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xml:space="preserve">       (73.965)</w:t>
            </w:r>
          </w:p>
        </w:tc>
        <w:tc>
          <w:tcPr>
            <w:tcW w:w="691" w:type="pct"/>
            <w:tcBorders>
              <w:top w:val="nil"/>
              <w:left w:val="nil"/>
              <w:bottom w:val="single" w:sz="4" w:space="0" w:color="auto"/>
              <w:right w:val="single" w:sz="4" w:space="0" w:color="auto"/>
            </w:tcBorders>
            <w:shd w:val="clear" w:color="auto" w:fill="auto"/>
            <w:noWrap/>
            <w:vAlign w:val="bottom"/>
            <w:hideMark/>
          </w:tcPr>
          <w:p w14:paraId="1CC29FA9" w14:textId="77777777" w:rsidR="009C6488" w:rsidRPr="009C6488" w:rsidRDefault="009C6488" w:rsidP="009C6488">
            <w:pPr>
              <w:spacing w:after="0" w:line="240" w:lineRule="auto"/>
              <w:jc w:val="right"/>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w:t>
            </w:r>
          </w:p>
        </w:tc>
        <w:tc>
          <w:tcPr>
            <w:tcW w:w="518" w:type="pct"/>
            <w:tcBorders>
              <w:top w:val="nil"/>
              <w:left w:val="nil"/>
              <w:bottom w:val="single" w:sz="4" w:space="0" w:color="auto"/>
              <w:right w:val="single" w:sz="4" w:space="0" w:color="auto"/>
            </w:tcBorders>
            <w:shd w:val="clear" w:color="auto" w:fill="auto"/>
            <w:noWrap/>
            <w:vAlign w:val="bottom"/>
            <w:hideMark/>
          </w:tcPr>
          <w:p w14:paraId="7173E764" w14:textId="77777777" w:rsidR="009C6488" w:rsidRPr="009C6488" w:rsidRDefault="009C6488" w:rsidP="009C6488">
            <w:pPr>
              <w:spacing w:after="0" w:line="240" w:lineRule="auto"/>
              <w:jc w:val="right"/>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w:t>
            </w:r>
          </w:p>
        </w:tc>
        <w:tc>
          <w:tcPr>
            <w:tcW w:w="737" w:type="pct"/>
            <w:tcBorders>
              <w:top w:val="nil"/>
              <w:left w:val="nil"/>
              <w:bottom w:val="single" w:sz="4" w:space="0" w:color="auto"/>
              <w:right w:val="single" w:sz="4" w:space="0" w:color="auto"/>
            </w:tcBorders>
            <w:shd w:val="clear" w:color="auto" w:fill="auto"/>
            <w:noWrap/>
            <w:vAlign w:val="bottom"/>
            <w:hideMark/>
          </w:tcPr>
          <w:p w14:paraId="0680CEBC" w14:textId="77777777" w:rsidR="009C6488" w:rsidRPr="009C6488" w:rsidRDefault="009C6488" w:rsidP="009C6488">
            <w:pPr>
              <w:spacing w:after="0" w:line="240" w:lineRule="auto"/>
              <w:jc w:val="right"/>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xml:space="preserve">                 (73.965)</w:t>
            </w:r>
          </w:p>
        </w:tc>
      </w:tr>
      <w:tr w:rsidR="009C6488" w:rsidRPr="009C6488" w14:paraId="2BFDDE38" w14:textId="77777777" w:rsidTr="00446A14">
        <w:trPr>
          <w:trHeight w:val="198"/>
        </w:trPr>
        <w:tc>
          <w:tcPr>
            <w:tcW w:w="2535" w:type="pct"/>
            <w:tcBorders>
              <w:top w:val="nil"/>
              <w:left w:val="single" w:sz="4" w:space="0" w:color="auto"/>
              <w:bottom w:val="single" w:sz="4" w:space="0" w:color="auto"/>
              <w:right w:val="single" w:sz="4" w:space="0" w:color="auto"/>
            </w:tcBorders>
            <w:shd w:val="clear" w:color="auto" w:fill="auto"/>
            <w:noWrap/>
            <w:vAlign w:val="bottom"/>
            <w:hideMark/>
          </w:tcPr>
          <w:p w14:paraId="6D66D4D8"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Resultado de Equivalência Patrimonial</w:t>
            </w:r>
          </w:p>
        </w:tc>
        <w:tc>
          <w:tcPr>
            <w:tcW w:w="518" w:type="pct"/>
            <w:tcBorders>
              <w:top w:val="nil"/>
              <w:left w:val="nil"/>
              <w:bottom w:val="single" w:sz="4" w:space="0" w:color="auto"/>
              <w:right w:val="single" w:sz="4" w:space="0" w:color="auto"/>
            </w:tcBorders>
            <w:shd w:val="clear" w:color="auto" w:fill="auto"/>
            <w:noWrap/>
            <w:vAlign w:val="bottom"/>
            <w:hideMark/>
          </w:tcPr>
          <w:p w14:paraId="1D004E25" w14:textId="77777777" w:rsidR="009C6488" w:rsidRPr="009C6488" w:rsidRDefault="009C6488" w:rsidP="009C6488">
            <w:pPr>
              <w:spacing w:after="0" w:line="240" w:lineRule="auto"/>
              <w:jc w:val="right"/>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xml:space="preserve">         (3.621)</w:t>
            </w:r>
          </w:p>
        </w:tc>
        <w:tc>
          <w:tcPr>
            <w:tcW w:w="691" w:type="pct"/>
            <w:tcBorders>
              <w:top w:val="nil"/>
              <w:left w:val="nil"/>
              <w:bottom w:val="single" w:sz="4" w:space="0" w:color="auto"/>
              <w:right w:val="single" w:sz="4" w:space="0" w:color="auto"/>
            </w:tcBorders>
            <w:shd w:val="clear" w:color="auto" w:fill="auto"/>
            <w:noWrap/>
            <w:vAlign w:val="bottom"/>
            <w:hideMark/>
          </w:tcPr>
          <w:p w14:paraId="2FC295AB" w14:textId="77777777" w:rsidR="009C6488" w:rsidRPr="009C6488" w:rsidRDefault="009C6488" w:rsidP="009C6488">
            <w:pPr>
              <w:spacing w:after="0" w:line="240" w:lineRule="auto"/>
              <w:jc w:val="right"/>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w:t>
            </w:r>
          </w:p>
        </w:tc>
        <w:tc>
          <w:tcPr>
            <w:tcW w:w="518" w:type="pct"/>
            <w:tcBorders>
              <w:top w:val="nil"/>
              <w:left w:val="nil"/>
              <w:bottom w:val="single" w:sz="4" w:space="0" w:color="auto"/>
              <w:right w:val="single" w:sz="4" w:space="0" w:color="auto"/>
            </w:tcBorders>
            <w:shd w:val="clear" w:color="auto" w:fill="auto"/>
            <w:noWrap/>
            <w:vAlign w:val="bottom"/>
            <w:hideMark/>
          </w:tcPr>
          <w:p w14:paraId="56F48BC0" w14:textId="77777777" w:rsidR="009C6488" w:rsidRPr="009C6488" w:rsidRDefault="009C6488" w:rsidP="009C6488">
            <w:pPr>
              <w:spacing w:after="0" w:line="240" w:lineRule="auto"/>
              <w:jc w:val="right"/>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w:t>
            </w:r>
          </w:p>
        </w:tc>
        <w:tc>
          <w:tcPr>
            <w:tcW w:w="737" w:type="pct"/>
            <w:tcBorders>
              <w:top w:val="nil"/>
              <w:left w:val="nil"/>
              <w:bottom w:val="single" w:sz="4" w:space="0" w:color="auto"/>
              <w:right w:val="single" w:sz="4" w:space="0" w:color="auto"/>
            </w:tcBorders>
            <w:shd w:val="clear" w:color="auto" w:fill="auto"/>
            <w:noWrap/>
            <w:vAlign w:val="bottom"/>
            <w:hideMark/>
          </w:tcPr>
          <w:p w14:paraId="7EA21B4A" w14:textId="77777777" w:rsidR="009C6488" w:rsidRPr="009C6488" w:rsidRDefault="009C6488" w:rsidP="009C6488">
            <w:pPr>
              <w:spacing w:after="0" w:line="240" w:lineRule="auto"/>
              <w:jc w:val="right"/>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xml:space="preserve">                   (3.621)</w:t>
            </w:r>
          </w:p>
        </w:tc>
      </w:tr>
      <w:tr w:rsidR="009C6488" w:rsidRPr="009C6488" w14:paraId="694815FD" w14:textId="77777777" w:rsidTr="00446A14">
        <w:trPr>
          <w:trHeight w:val="198"/>
        </w:trPr>
        <w:tc>
          <w:tcPr>
            <w:tcW w:w="2535" w:type="pct"/>
            <w:tcBorders>
              <w:top w:val="nil"/>
              <w:left w:val="single" w:sz="4" w:space="0" w:color="auto"/>
              <w:bottom w:val="single" w:sz="4" w:space="0" w:color="auto"/>
              <w:right w:val="single" w:sz="4" w:space="0" w:color="auto"/>
            </w:tcBorders>
            <w:shd w:val="clear" w:color="auto" w:fill="auto"/>
            <w:noWrap/>
            <w:vAlign w:val="bottom"/>
            <w:hideMark/>
          </w:tcPr>
          <w:p w14:paraId="4542D965"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Outras Receitas / (Despesas) Operacionais</w:t>
            </w:r>
          </w:p>
        </w:tc>
        <w:tc>
          <w:tcPr>
            <w:tcW w:w="518" w:type="pct"/>
            <w:tcBorders>
              <w:top w:val="nil"/>
              <w:left w:val="nil"/>
              <w:bottom w:val="single" w:sz="4" w:space="0" w:color="auto"/>
              <w:right w:val="single" w:sz="4" w:space="0" w:color="auto"/>
            </w:tcBorders>
            <w:shd w:val="clear" w:color="auto" w:fill="auto"/>
            <w:noWrap/>
            <w:vAlign w:val="bottom"/>
            <w:hideMark/>
          </w:tcPr>
          <w:p w14:paraId="309AC35F" w14:textId="77777777" w:rsidR="009C6488" w:rsidRPr="009C6488" w:rsidRDefault="009C6488" w:rsidP="009C6488">
            <w:pPr>
              <w:spacing w:after="0" w:line="240" w:lineRule="auto"/>
              <w:jc w:val="right"/>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xml:space="preserve">       217.500 </w:t>
            </w:r>
          </w:p>
        </w:tc>
        <w:tc>
          <w:tcPr>
            <w:tcW w:w="691" w:type="pct"/>
            <w:tcBorders>
              <w:top w:val="nil"/>
              <w:left w:val="nil"/>
              <w:bottom w:val="single" w:sz="4" w:space="0" w:color="auto"/>
              <w:right w:val="single" w:sz="4" w:space="0" w:color="auto"/>
            </w:tcBorders>
            <w:shd w:val="clear" w:color="auto" w:fill="auto"/>
            <w:noWrap/>
            <w:vAlign w:val="bottom"/>
            <w:hideMark/>
          </w:tcPr>
          <w:p w14:paraId="3C45D885" w14:textId="77777777" w:rsidR="009C6488" w:rsidRPr="009C6488" w:rsidRDefault="009C6488" w:rsidP="009C6488">
            <w:pPr>
              <w:spacing w:after="0" w:line="240" w:lineRule="auto"/>
              <w:jc w:val="right"/>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xml:space="preserve">               (31.157)</w:t>
            </w:r>
          </w:p>
        </w:tc>
        <w:tc>
          <w:tcPr>
            <w:tcW w:w="518" w:type="pct"/>
            <w:tcBorders>
              <w:top w:val="nil"/>
              <w:left w:val="nil"/>
              <w:bottom w:val="single" w:sz="4" w:space="0" w:color="auto"/>
              <w:right w:val="single" w:sz="4" w:space="0" w:color="auto"/>
            </w:tcBorders>
            <w:shd w:val="clear" w:color="auto" w:fill="auto"/>
            <w:noWrap/>
            <w:vAlign w:val="bottom"/>
            <w:hideMark/>
          </w:tcPr>
          <w:p w14:paraId="5E904B51" w14:textId="77777777" w:rsidR="009C6488" w:rsidRPr="009C6488" w:rsidRDefault="009C6488" w:rsidP="009C6488">
            <w:pPr>
              <w:spacing w:after="0" w:line="240" w:lineRule="auto"/>
              <w:jc w:val="right"/>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xml:space="preserve">                 -  </w:t>
            </w:r>
          </w:p>
        </w:tc>
        <w:tc>
          <w:tcPr>
            <w:tcW w:w="737" w:type="pct"/>
            <w:tcBorders>
              <w:top w:val="nil"/>
              <w:left w:val="nil"/>
              <w:bottom w:val="single" w:sz="4" w:space="0" w:color="auto"/>
              <w:right w:val="single" w:sz="4" w:space="0" w:color="auto"/>
            </w:tcBorders>
            <w:shd w:val="clear" w:color="auto" w:fill="auto"/>
            <w:noWrap/>
            <w:vAlign w:val="bottom"/>
            <w:hideMark/>
          </w:tcPr>
          <w:p w14:paraId="60A65CEF" w14:textId="77777777" w:rsidR="009C6488" w:rsidRPr="009C6488" w:rsidRDefault="009C6488" w:rsidP="009C6488">
            <w:pPr>
              <w:spacing w:after="0" w:line="240" w:lineRule="auto"/>
              <w:jc w:val="right"/>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xml:space="preserve">                186.343 </w:t>
            </w:r>
          </w:p>
        </w:tc>
      </w:tr>
      <w:tr w:rsidR="009C6488" w:rsidRPr="009C6488" w14:paraId="70DE9D87" w14:textId="77777777" w:rsidTr="00446A14">
        <w:trPr>
          <w:trHeight w:val="198"/>
        </w:trPr>
        <w:tc>
          <w:tcPr>
            <w:tcW w:w="2535" w:type="pct"/>
            <w:tcBorders>
              <w:top w:val="nil"/>
              <w:left w:val="single" w:sz="4" w:space="0" w:color="auto"/>
              <w:bottom w:val="single" w:sz="4" w:space="0" w:color="auto"/>
              <w:right w:val="single" w:sz="4" w:space="0" w:color="auto"/>
            </w:tcBorders>
            <w:shd w:val="clear" w:color="auto" w:fill="auto"/>
            <w:noWrap/>
            <w:vAlign w:val="bottom"/>
            <w:hideMark/>
          </w:tcPr>
          <w:p w14:paraId="0D806A99"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 Outras Receitas Operacionais</w:t>
            </w:r>
          </w:p>
        </w:tc>
        <w:tc>
          <w:tcPr>
            <w:tcW w:w="518" w:type="pct"/>
            <w:tcBorders>
              <w:top w:val="nil"/>
              <w:left w:val="nil"/>
              <w:bottom w:val="single" w:sz="4" w:space="0" w:color="auto"/>
              <w:right w:val="single" w:sz="4" w:space="0" w:color="auto"/>
            </w:tcBorders>
            <w:shd w:val="clear" w:color="auto" w:fill="auto"/>
            <w:noWrap/>
            <w:vAlign w:val="bottom"/>
            <w:hideMark/>
          </w:tcPr>
          <w:p w14:paraId="12862156" w14:textId="77777777" w:rsidR="009C6488" w:rsidRPr="009C6488" w:rsidRDefault="009C6488" w:rsidP="009C6488">
            <w:pPr>
              <w:spacing w:after="0" w:line="240" w:lineRule="auto"/>
              <w:jc w:val="right"/>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xml:space="preserve">       226.620 </w:t>
            </w:r>
          </w:p>
        </w:tc>
        <w:tc>
          <w:tcPr>
            <w:tcW w:w="691" w:type="pct"/>
            <w:tcBorders>
              <w:top w:val="nil"/>
              <w:left w:val="nil"/>
              <w:bottom w:val="single" w:sz="4" w:space="0" w:color="auto"/>
              <w:right w:val="single" w:sz="4" w:space="0" w:color="auto"/>
            </w:tcBorders>
            <w:shd w:val="clear" w:color="auto" w:fill="auto"/>
            <w:noWrap/>
            <w:vAlign w:val="bottom"/>
            <w:hideMark/>
          </w:tcPr>
          <w:p w14:paraId="3EB9AB19" w14:textId="77777777" w:rsidR="009C6488" w:rsidRPr="009C6488" w:rsidRDefault="009C6488" w:rsidP="009C6488">
            <w:pPr>
              <w:spacing w:after="0" w:line="240" w:lineRule="auto"/>
              <w:jc w:val="right"/>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(31.157)</w:t>
            </w:r>
          </w:p>
        </w:tc>
        <w:tc>
          <w:tcPr>
            <w:tcW w:w="518" w:type="pct"/>
            <w:tcBorders>
              <w:top w:val="nil"/>
              <w:left w:val="nil"/>
              <w:bottom w:val="single" w:sz="4" w:space="0" w:color="auto"/>
              <w:right w:val="single" w:sz="4" w:space="0" w:color="auto"/>
            </w:tcBorders>
            <w:shd w:val="clear" w:color="auto" w:fill="auto"/>
            <w:noWrap/>
            <w:vAlign w:val="bottom"/>
            <w:hideMark/>
          </w:tcPr>
          <w:p w14:paraId="73E5A32A" w14:textId="77777777" w:rsidR="009C6488" w:rsidRPr="009C6488" w:rsidRDefault="009C6488" w:rsidP="009C6488">
            <w:pPr>
              <w:spacing w:after="0" w:line="240" w:lineRule="auto"/>
              <w:jc w:val="right"/>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w:t>
            </w:r>
          </w:p>
        </w:tc>
        <w:tc>
          <w:tcPr>
            <w:tcW w:w="737" w:type="pct"/>
            <w:tcBorders>
              <w:top w:val="nil"/>
              <w:left w:val="nil"/>
              <w:bottom w:val="single" w:sz="4" w:space="0" w:color="auto"/>
              <w:right w:val="single" w:sz="4" w:space="0" w:color="auto"/>
            </w:tcBorders>
            <w:shd w:val="clear" w:color="auto" w:fill="auto"/>
            <w:noWrap/>
            <w:vAlign w:val="bottom"/>
            <w:hideMark/>
          </w:tcPr>
          <w:p w14:paraId="4BB16E3B" w14:textId="77777777" w:rsidR="009C6488" w:rsidRPr="009C6488" w:rsidRDefault="009C6488" w:rsidP="009C6488">
            <w:pPr>
              <w:spacing w:after="0" w:line="240" w:lineRule="auto"/>
              <w:jc w:val="right"/>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xml:space="preserve">                195.463 </w:t>
            </w:r>
          </w:p>
        </w:tc>
      </w:tr>
      <w:tr w:rsidR="009C6488" w:rsidRPr="009C6488" w14:paraId="4A0C35F5" w14:textId="77777777" w:rsidTr="00446A14">
        <w:trPr>
          <w:trHeight w:val="198"/>
        </w:trPr>
        <w:tc>
          <w:tcPr>
            <w:tcW w:w="2535" w:type="pct"/>
            <w:tcBorders>
              <w:top w:val="nil"/>
              <w:left w:val="single" w:sz="4" w:space="0" w:color="auto"/>
              <w:bottom w:val="single" w:sz="4" w:space="0" w:color="auto"/>
              <w:right w:val="single" w:sz="4" w:space="0" w:color="auto"/>
            </w:tcBorders>
            <w:shd w:val="clear" w:color="auto" w:fill="auto"/>
            <w:noWrap/>
            <w:vAlign w:val="bottom"/>
            <w:hideMark/>
          </w:tcPr>
          <w:p w14:paraId="274E4AEA"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 Outras Despesas Operacionais</w:t>
            </w:r>
          </w:p>
        </w:tc>
        <w:tc>
          <w:tcPr>
            <w:tcW w:w="518" w:type="pct"/>
            <w:tcBorders>
              <w:top w:val="nil"/>
              <w:left w:val="nil"/>
              <w:bottom w:val="single" w:sz="4" w:space="0" w:color="auto"/>
              <w:right w:val="single" w:sz="4" w:space="0" w:color="auto"/>
            </w:tcBorders>
            <w:shd w:val="clear" w:color="auto" w:fill="auto"/>
            <w:noWrap/>
            <w:vAlign w:val="bottom"/>
            <w:hideMark/>
          </w:tcPr>
          <w:p w14:paraId="019CCB0D" w14:textId="77777777" w:rsidR="009C6488" w:rsidRPr="009C6488" w:rsidRDefault="009C6488" w:rsidP="009C6488">
            <w:pPr>
              <w:spacing w:after="0" w:line="240" w:lineRule="auto"/>
              <w:jc w:val="right"/>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xml:space="preserve">         (9.120)</w:t>
            </w:r>
          </w:p>
        </w:tc>
        <w:tc>
          <w:tcPr>
            <w:tcW w:w="691" w:type="pct"/>
            <w:tcBorders>
              <w:top w:val="nil"/>
              <w:left w:val="nil"/>
              <w:bottom w:val="single" w:sz="4" w:space="0" w:color="auto"/>
              <w:right w:val="single" w:sz="4" w:space="0" w:color="auto"/>
            </w:tcBorders>
            <w:shd w:val="clear" w:color="auto" w:fill="auto"/>
            <w:noWrap/>
            <w:vAlign w:val="bottom"/>
            <w:hideMark/>
          </w:tcPr>
          <w:p w14:paraId="7726759B" w14:textId="77777777" w:rsidR="009C6488" w:rsidRPr="009C6488" w:rsidRDefault="009C6488" w:rsidP="009C6488">
            <w:pPr>
              <w:spacing w:after="0" w:line="240" w:lineRule="auto"/>
              <w:jc w:val="right"/>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w:t>
            </w:r>
          </w:p>
        </w:tc>
        <w:tc>
          <w:tcPr>
            <w:tcW w:w="518" w:type="pct"/>
            <w:tcBorders>
              <w:top w:val="nil"/>
              <w:left w:val="nil"/>
              <w:bottom w:val="single" w:sz="4" w:space="0" w:color="auto"/>
              <w:right w:val="single" w:sz="4" w:space="0" w:color="auto"/>
            </w:tcBorders>
            <w:shd w:val="clear" w:color="auto" w:fill="auto"/>
            <w:noWrap/>
            <w:vAlign w:val="bottom"/>
            <w:hideMark/>
          </w:tcPr>
          <w:p w14:paraId="197AAAE1" w14:textId="77777777" w:rsidR="009C6488" w:rsidRPr="009C6488" w:rsidRDefault="009C6488" w:rsidP="009C6488">
            <w:pPr>
              <w:spacing w:after="0" w:line="240" w:lineRule="auto"/>
              <w:jc w:val="right"/>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w:t>
            </w:r>
          </w:p>
        </w:tc>
        <w:tc>
          <w:tcPr>
            <w:tcW w:w="737" w:type="pct"/>
            <w:tcBorders>
              <w:top w:val="nil"/>
              <w:left w:val="nil"/>
              <w:bottom w:val="single" w:sz="4" w:space="0" w:color="auto"/>
              <w:right w:val="single" w:sz="4" w:space="0" w:color="auto"/>
            </w:tcBorders>
            <w:shd w:val="clear" w:color="auto" w:fill="auto"/>
            <w:noWrap/>
            <w:vAlign w:val="bottom"/>
            <w:hideMark/>
          </w:tcPr>
          <w:p w14:paraId="11FA4A97" w14:textId="77777777" w:rsidR="009C6488" w:rsidRPr="009C6488" w:rsidRDefault="009C6488" w:rsidP="009C6488">
            <w:pPr>
              <w:spacing w:after="0" w:line="240" w:lineRule="auto"/>
              <w:jc w:val="right"/>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xml:space="preserve">                   (9.120)</w:t>
            </w:r>
          </w:p>
        </w:tc>
      </w:tr>
      <w:tr w:rsidR="009C6488" w:rsidRPr="009C6488" w14:paraId="61EAA5C6" w14:textId="77777777" w:rsidTr="00446A14">
        <w:trPr>
          <w:trHeight w:val="198"/>
        </w:trPr>
        <w:tc>
          <w:tcPr>
            <w:tcW w:w="2535" w:type="pct"/>
            <w:tcBorders>
              <w:top w:val="nil"/>
              <w:left w:val="single" w:sz="4" w:space="0" w:color="auto"/>
              <w:bottom w:val="single" w:sz="4" w:space="0" w:color="auto"/>
              <w:right w:val="single" w:sz="4" w:space="0" w:color="auto"/>
            </w:tcBorders>
            <w:shd w:val="clear" w:color="auto" w:fill="auto"/>
            <w:noWrap/>
            <w:vAlign w:val="bottom"/>
            <w:hideMark/>
          </w:tcPr>
          <w:p w14:paraId="517ECD32"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Prejuízo Operacional antes do Resultado Financeiro</w:t>
            </w:r>
          </w:p>
        </w:tc>
        <w:tc>
          <w:tcPr>
            <w:tcW w:w="518" w:type="pct"/>
            <w:tcBorders>
              <w:top w:val="nil"/>
              <w:left w:val="nil"/>
              <w:bottom w:val="single" w:sz="4" w:space="0" w:color="auto"/>
              <w:right w:val="single" w:sz="4" w:space="0" w:color="auto"/>
            </w:tcBorders>
            <w:shd w:val="clear" w:color="auto" w:fill="auto"/>
            <w:noWrap/>
            <w:vAlign w:val="bottom"/>
            <w:hideMark/>
          </w:tcPr>
          <w:p w14:paraId="0892E52A" w14:textId="77777777" w:rsidR="009C6488" w:rsidRPr="009C6488" w:rsidRDefault="009C6488" w:rsidP="009C6488">
            <w:pPr>
              <w:spacing w:after="0" w:line="240" w:lineRule="auto"/>
              <w:jc w:val="right"/>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 xml:space="preserve">       (71.735)</w:t>
            </w:r>
          </w:p>
        </w:tc>
        <w:tc>
          <w:tcPr>
            <w:tcW w:w="691" w:type="pct"/>
            <w:tcBorders>
              <w:top w:val="nil"/>
              <w:left w:val="nil"/>
              <w:bottom w:val="single" w:sz="4" w:space="0" w:color="auto"/>
              <w:right w:val="single" w:sz="4" w:space="0" w:color="auto"/>
            </w:tcBorders>
            <w:shd w:val="clear" w:color="auto" w:fill="auto"/>
            <w:noWrap/>
            <w:vAlign w:val="bottom"/>
            <w:hideMark/>
          </w:tcPr>
          <w:p w14:paraId="066E2240" w14:textId="77777777" w:rsidR="009C6488" w:rsidRPr="009C6488" w:rsidRDefault="009C6488" w:rsidP="009C6488">
            <w:pPr>
              <w:spacing w:after="0" w:line="240" w:lineRule="auto"/>
              <w:jc w:val="right"/>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 xml:space="preserve">               (31.157)</w:t>
            </w:r>
          </w:p>
        </w:tc>
        <w:tc>
          <w:tcPr>
            <w:tcW w:w="518" w:type="pct"/>
            <w:tcBorders>
              <w:top w:val="nil"/>
              <w:left w:val="nil"/>
              <w:bottom w:val="single" w:sz="4" w:space="0" w:color="auto"/>
              <w:right w:val="single" w:sz="4" w:space="0" w:color="auto"/>
            </w:tcBorders>
            <w:shd w:val="clear" w:color="auto" w:fill="auto"/>
            <w:noWrap/>
            <w:vAlign w:val="bottom"/>
            <w:hideMark/>
          </w:tcPr>
          <w:p w14:paraId="4A24A83F" w14:textId="77777777" w:rsidR="009C6488" w:rsidRPr="009C6488" w:rsidRDefault="009C6488" w:rsidP="009C6488">
            <w:pPr>
              <w:spacing w:after="0" w:line="240" w:lineRule="auto"/>
              <w:jc w:val="right"/>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 xml:space="preserve">                 -  </w:t>
            </w:r>
          </w:p>
        </w:tc>
        <w:tc>
          <w:tcPr>
            <w:tcW w:w="737" w:type="pct"/>
            <w:tcBorders>
              <w:top w:val="nil"/>
              <w:left w:val="nil"/>
              <w:bottom w:val="single" w:sz="4" w:space="0" w:color="auto"/>
              <w:right w:val="single" w:sz="4" w:space="0" w:color="auto"/>
            </w:tcBorders>
            <w:shd w:val="clear" w:color="auto" w:fill="auto"/>
            <w:noWrap/>
            <w:vAlign w:val="bottom"/>
            <w:hideMark/>
          </w:tcPr>
          <w:p w14:paraId="7B575F29" w14:textId="77777777" w:rsidR="009C6488" w:rsidRPr="009C6488" w:rsidRDefault="009C6488" w:rsidP="009C6488">
            <w:pPr>
              <w:spacing w:after="0" w:line="240" w:lineRule="auto"/>
              <w:jc w:val="right"/>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 xml:space="preserve">               (102.892)</w:t>
            </w:r>
          </w:p>
        </w:tc>
      </w:tr>
      <w:tr w:rsidR="009C6488" w:rsidRPr="009C6488" w14:paraId="755789BC" w14:textId="77777777" w:rsidTr="00446A14">
        <w:trPr>
          <w:trHeight w:val="198"/>
        </w:trPr>
        <w:tc>
          <w:tcPr>
            <w:tcW w:w="2535" w:type="pct"/>
            <w:tcBorders>
              <w:top w:val="nil"/>
              <w:left w:val="single" w:sz="4" w:space="0" w:color="auto"/>
              <w:bottom w:val="single" w:sz="4" w:space="0" w:color="auto"/>
              <w:right w:val="single" w:sz="4" w:space="0" w:color="auto"/>
            </w:tcBorders>
            <w:shd w:val="clear" w:color="auto" w:fill="auto"/>
            <w:noWrap/>
            <w:vAlign w:val="bottom"/>
            <w:hideMark/>
          </w:tcPr>
          <w:p w14:paraId="01E67CC4"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Resultado Financeiro</w:t>
            </w:r>
          </w:p>
        </w:tc>
        <w:tc>
          <w:tcPr>
            <w:tcW w:w="518" w:type="pct"/>
            <w:tcBorders>
              <w:top w:val="nil"/>
              <w:left w:val="nil"/>
              <w:bottom w:val="single" w:sz="4" w:space="0" w:color="auto"/>
              <w:right w:val="single" w:sz="4" w:space="0" w:color="auto"/>
            </w:tcBorders>
            <w:shd w:val="clear" w:color="auto" w:fill="auto"/>
            <w:noWrap/>
            <w:vAlign w:val="bottom"/>
            <w:hideMark/>
          </w:tcPr>
          <w:p w14:paraId="024D2AE5" w14:textId="77777777" w:rsidR="009C6488" w:rsidRPr="009C6488" w:rsidRDefault="009C6488" w:rsidP="009C6488">
            <w:pPr>
              <w:spacing w:after="0" w:line="240" w:lineRule="auto"/>
              <w:jc w:val="right"/>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 xml:space="preserve">       (34.491)</w:t>
            </w:r>
          </w:p>
        </w:tc>
        <w:tc>
          <w:tcPr>
            <w:tcW w:w="691" w:type="pct"/>
            <w:tcBorders>
              <w:top w:val="nil"/>
              <w:left w:val="nil"/>
              <w:bottom w:val="single" w:sz="4" w:space="0" w:color="auto"/>
              <w:right w:val="single" w:sz="4" w:space="0" w:color="auto"/>
            </w:tcBorders>
            <w:shd w:val="clear" w:color="auto" w:fill="auto"/>
            <w:noWrap/>
            <w:vAlign w:val="bottom"/>
            <w:hideMark/>
          </w:tcPr>
          <w:p w14:paraId="657355CE" w14:textId="77777777" w:rsidR="009C6488" w:rsidRPr="009C6488" w:rsidRDefault="009C6488" w:rsidP="009C6488">
            <w:pPr>
              <w:spacing w:after="0" w:line="240" w:lineRule="auto"/>
              <w:jc w:val="right"/>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 xml:space="preserve">                         -  </w:t>
            </w:r>
          </w:p>
        </w:tc>
        <w:tc>
          <w:tcPr>
            <w:tcW w:w="518" w:type="pct"/>
            <w:tcBorders>
              <w:top w:val="nil"/>
              <w:left w:val="nil"/>
              <w:bottom w:val="single" w:sz="4" w:space="0" w:color="auto"/>
              <w:right w:val="single" w:sz="4" w:space="0" w:color="auto"/>
            </w:tcBorders>
            <w:shd w:val="clear" w:color="auto" w:fill="auto"/>
            <w:noWrap/>
            <w:vAlign w:val="bottom"/>
            <w:hideMark/>
          </w:tcPr>
          <w:p w14:paraId="14AF9CAC" w14:textId="77777777" w:rsidR="009C6488" w:rsidRPr="009C6488" w:rsidRDefault="009C6488" w:rsidP="009C6488">
            <w:pPr>
              <w:spacing w:after="0" w:line="240" w:lineRule="auto"/>
              <w:jc w:val="right"/>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 xml:space="preserve">            (197)</w:t>
            </w:r>
          </w:p>
        </w:tc>
        <w:tc>
          <w:tcPr>
            <w:tcW w:w="737" w:type="pct"/>
            <w:tcBorders>
              <w:top w:val="nil"/>
              <w:left w:val="nil"/>
              <w:bottom w:val="single" w:sz="4" w:space="0" w:color="auto"/>
              <w:right w:val="single" w:sz="4" w:space="0" w:color="auto"/>
            </w:tcBorders>
            <w:shd w:val="clear" w:color="auto" w:fill="auto"/>
            <w:noWrap/>
            <w:vAlign w:val="bottom"/>
            <w:hideMark/>
          </w:tcPr>
          <w:p w14:paraId="301A2057" w14:textId="77777777" w:rsidR="009C6488" w:rsidRPr="009C6488" w:rsidRDefault="009C6488" w:rsidP="009C6488">
            <w:pPr>
              <w:spacing w:after="0" w:line="240" w:lineRule="auto"/>
              <w:jc w:val="right"/>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 xml:space="preserve">                 (34.688)</w:t>
            </w:r>
          </w:p>
        </w:tc>
      </w:tr>
      <w:tr w:rsidR="009C6488" w:rsidRPr="009C6488" w14:paraId="4E763A18" w14:textId="77777777" w:rsidTr="00446A14">
        <w:trPr>
          <w:trHeight w:val="198"/>
        </w:trPr>
        <w:tc>
          <w:tcPr>
            <w:tcW w:w="2535" w:type="pct"/>
            <w:tcBorders>
              <w:top w:val="nil"/>
              <w:left w:val="single" w:sz="4" w:space="0" w:color="auto"/>
              <w:bottom w:val="single" w:sz="4" w:space="0" w:color="auto"/>
              <w:right w:val="single" w:sz="4" w:space="0" w:color="auto"/>
            </w:tcBorders>
            <w:shd w:val="clear" w:color="auto" w:fill="auto"/>
            <w:noWrap/>
            <w:vAlign w:val="bottom"/>
            <w:hideMark/>
          </w:tcPr>
          <w:p w14:paraId="3A4BF339"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Receitas Financeiras</w:t>
            </w:r>
          </w:p>
        </w:tc>
        <w:tc>
          <w:tcPr>
            <w:tcW w:w="518" w:type="pct"/>
            <w:tcBorders>
              <w:top w:val="nil"/>
              <w:left w:val="nil"/>
              <w:bottom w:val="single" w:sz="4" w:space="0" w:color="auto"/>
              <w:right w:val="single" w:sz="4" w:space="0" w:color="auto"/>
            </w:tcBorders>
            <w:shd w:val="clear" w:color="auto" w:fill="auto"/>
            <w:noWrap/>
            <w:vAlign w:val="bottom"/>
            <w:hideMark/>
          </w:tcPr>
          <w:p w14:paraId="0EBEAA5A" w14:textId="77777777" w:rsidR="009C6488" w:rsidRPr="009C6488" w:rsidRDefault="009C6488" w:rsidP="009C6488">
            <w:pPr>
              <w:spacing w:after="0" w:line="240" w:lineRule="auto"/>
              <w:jc w:val="right"/>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xml:space="preserve">         60.629 </w:t>
            </w:r>
          </w:p>
        </w:tc>
        <w:tc>
          <w:tcPr>
            <w:tcW w:w="691" w:type="pct"/>
            <w:tcBorders>
              <w:top w:val="nil"/>
              <w:left w:val="nil"/>
              <w:bottom w:val="single" w:sz="4" w:space="0" w:color="auto"/>
              <w:right w:val="single" w:sz="4" w:space="0" w:color="auto"/>
            </w:tcBorders>
            <w:shd w:val="clear" w:color="auto" w:fill="auto"/>
            <w:noWrap/>
            <w:vAlign w:val="bottom"/>
            <w:hideMark/>
          </w:tcPr>
          <w:p w14:paraId="4399ED9A" w14:textId="77777777" w:rsidR="009C6488" w:rsidRPr="009C6488" w:rsidRDefault="009C6488" w:rsidP="009C6488">
            <w:pPr>
              <w:spacing w:after="0" w:line="240" w:lineRule="auto"/>
              <w:jc w:val="right"/>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w:t>
            </w:r>
          </w:p>
        </w:tc>
        <w:tc>
          <w:tcPr>
            <w:tcW w:w="518" w:type="pct"/>
            <w:tcBorders>
              <w:top w:val="nil"/>
              <w:left w:val="nil"/>
              <w:bottom w:val="single" w:sz="4" w:space="0" w:color="auto"/>
              <w:right w:val="single" w:sz="4" w:space="0" w:color="auto"/>
            </w:tcBorders>
            <w:shd w:val="clear" w:color="auto" w:fill="auto"/>
            <w:noWrap/>
            <w:vAlign w:val="bottom"/>
            <w:hideMark/>
          </w:tcPr>
          <w:p w14:paraId="033CFB8D" w14:textId="77777777" w:rsidR="009C6488" w:rsidRPr="009C6488" w:rsidRDefault="009C6488" w:rsidP="009C6488">
            <w:pPr>
              <w:spacing w:after="0" w:line="240" w:lineRule="auto"/>
              <w:jc w:val="right"/>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w:t>
            </w:r>
          </w:p>
        </w:tc>
        <w:tc>
          <w:tcPr>
            <w:tcW w:w="737" w:type="pct"/>
            <w:tcBorders>
              <w:top w:val="nil"/>
              <w:left w:val="nil"/>
              <w:bottom w:val="single" w:sz="4" w:space="0" w:color="auto"/>
              <w:right w:val="single" w:sz="4" w:space="0" w:color="auto"/>
            </w:tcBorders>
            <w:shd w:val="clear" w:color="auto" w:fill="auto"/>
            <w:noWrap/>
            <w:vAlign w:val="bottom"/>
            <w:hideMark/>
          </w:tcPr>
          <w:p w14:paraId="558AF217" w14:textId="77777777" w:rsidR="009C6488" w:rsidRPr="009C6488" w:rsidRDefault="009C6488" w:rsidP="009C6488">
            <w:pPr>
              <w:spacing w:after="0" w:line="240" w:lineRule="auto"/>
              <w:jc w:val="right"/>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xml:space="preserve">                  60.629 </w:t>
            </w:r>
          </w:p>
        </w:tc>
      </w:tr>
      <w:tr w:rsidR="009C6488" w:rsidRPr="009C6488" w14:paraId="343A3770" w14:textId="77777777" w:rsidTr="00446A14">
        <w:trPr>
          <w:trHeight w:val="198"/>
        </w:trPr>
        <w:tc>
          <w:tcPr>
            <w:tcW w:w="2535" w:type="pct"/>
            <w:tcBorders>
              <w:top w:val="nil"/>
              <w:left w:val="single" w:sz="4" w:space="0" w:color="auto"/>
              <w:bottom w:val="single" w:sz="4" w:space="0" w:color="auto"/>
              <w:right w:val="single" w:sz="4" w:space="0" w:color="auto"/>
            </w:tcBorders>
            <w:shd w:val="clear" w:color="auto" w:fill="auto"/>
            <w:noWrap/>
            <w:vAlign w:val="bottom"/>
            <w:hideMark/>
          </w:tcPr>
          <w:p w14:paraId="289F7E1E"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Despesas Financeiras</w:t>
            </w:r>
          </w:p>
        </w:tc>
        <w:tc>
          <w:tcPr>
            <w:tcW w:w="518" w:type="pct"/>
            <w:tcBorders>
              <w:top w:val="nil"/>
              <w:left w:val="nil"/>
              <w:bottom w:val="single" w:sz="4" w:space="0" w:color="auto"/>
              <w:right w:val="single" w:sz="4" w:space="0" w:color="auto"/>
            </w:tcBorders>
            <w:shd w:val="clear" w:color="auto" w:fill="auto"/>
            <w:noWrap/>
            <w:vAlign w:val="bottom"/>
            <w:hideMark/>
          </w:tcPr>
          <w:p w14:paraId="09B5FEBF" w14:textId="77777777" w:rsidR="009C6488" w:rsidRPr="009C6488" w:rsidRDefault="009C6488" w:rsidP="009C6488">
            <w:pPr>
              <w:spacing w:after="0" w:line="240" w:lineRule="auto"/>
              <w:jc w:val="right"/>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xml:space="preserve">       (95.120)</w:t>
            </w:r>
          </w:p>
        </w:tc>
        <w:tc>
          <w:tcPr>
            <w:tcW w:w="691" w:type="pct"/>
            <w:tcBorders>
              <w:top w:val="nil"/>
              <w:left w:val="nil"/>
              <w:bottom w:val="single" w:sz="4" w:space="0" w:color="auto"/>
              <w:right w:val="single" w:sz="4" w:space="0" w:color="auto"/>
            </w:tcBorders>
            <w:shd w:val="clear" w:color="auto" w:fill="auto"/>
            <w:noWrap/>
            <w:vAlign w:val="bottom"/>
            <w:hideMark/>
          </w:tcPr>
          <w:p w14:paraId="25FAA18E" w14:textId="77777777" w:rsidR="009C6488" w:rsidRPr="009C6488" w:rsidRDefault="009C6488" w:rsidP="009C6488">
            <w:pPr>
              <w:spacing w:after="0" w:line="240" w:lineRule="auto"/>
              <w:jc w:val="right"/>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w:t>
            </w:r>
          </w:p>
        </w:tc>
        <w:tc>
          <w:tcPr>
            <w:tcW w:w="518" w:type="pct"/>
            <w:tcBorders>
              <w:top w:val="nil"/>
              <w:left w:val="nil"/>
              <w:bottom w:val="single" w:sz="4" w:space="0" w:color="auto"/>
              <w:right w:val="single" w:sz="4" w:space="0" w:color="auto"/>
            </w:tcBorders>
            <w:shd w:val="clear" w:color="auto" w:fill="auto"/>
            <w:noWrap/>
            <w:vAlign w:val="bottom"/>
            <w:hideMark/>
          </w:tcPr>
          <w:p w14:paraId="1B1498F5" w14:textId="77777777" w:rsidR="009C6488" w:rsidRPr="009C6488" w:rsidRDefault="009C6488" w:rsidP="009C6488">
            <w:pPr>
              <w:spacing w:after="0" w:line="240" w:lineRule="auto"/>
              <w:jc w:val="right"/>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(197)</w:t>
            </w:r>
          </w:p>
        </w:tc>
        <w:tc>
          <w:tcPr>
            <w:tcW w:w="737" w:type="pct"/>
            <w:tcBorders>
              <w:top w:val="nil"/>
              <w:left w:val="nil"/>
              <w:bottom w:val="single" w:sz="4" w:space="0" w:color="auto"/>
              <w:right w:val="single" w:sz="4" w:space="0" w:color="auto"/>
            </w:tcBorders>
            <w:shd w:val="clear" w:color="auto" w:fill="auto"/>
            <w:noWrap/>
            <w:vAlign w:val="bottom"/>
            <w:hideMark/>
          </w:tcPr>
          <w:p w14:paraId="003CB6B7" w14:textId="77777777" w:rsidR="009C6488" w:rsidRPr="009C6488" w:rsidRDefault="009C6488" w:rsidP="009C6488">
            <w:pPr>
              <w:spacing w:after="0" w:line="240" w:lineRule="auto"/>
              <w:jc w:val="right"/>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xml:space="preserve">                 (95.317)</w:t>
            </w:r>
          </w:p>
        </w:tc>
      </w:tr>
      <w:tr w:rsidR="009C6488" w:rsidRPr="009C6488" w14:paraId="28B75E95" w14:textId="77777777" w:rsidTr="00446A14">
        <w:trPr>
          <w:trHeight w:val="198"/>
        </w:trPr>
        <w:tc>
          <w:tcPr>
            <w:tcW w:w="2535" w:type="pct"/>
            <w:tcBorders>
              <w:top w:val="nil"/>
              <w:left w:val="single" w:sz="4" w:space="0" w:color="auto"/>
              <w:bottom w:val="single" w:sz="4" w:space="0" w:color="auto"/>
              <w:right w:val="single" w:sz="4" w:space="0" w:color="auto"/>
            </w:tcBorders>
            <w:shd w:val="clear" w:color="auto" w:fill="auto"/>
            <w:noWrap/>
            <w:vAlign w:val="bottom"/>
            <w:hideMark/>
          </w:tcPr>
          <w:p w14:paraId="386D9CEE"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Prejuízo do Exercício</w:t>
            </w:r>
          </w:p>
        </w:tc>
        <w:tc>
          <w:tcPr>
            <w:tcW w:w="518" w:type="pct"/>
            <w:tcBorders>
              <w:top w:val="nil"/>
              <w:left w:val="nil"/>
              <w:bottom w:val="single" w:sz="4" w:space="0" w:color="auto"/>
              <w:right w:val="single" w:sz="4" w:space="0" w:color="auto"/>
            </w:tcBorders>
            <w:shd w:val="clear" w:color="auto" w:fill="auto"/>
            <w:noWrap/>
            <w:vAlign w:val="bottom"/>
            <w:hideMark/>
          </w:tcPr>
          <w:p w14:paraId="602A2522" w14:textId="77777777" w:rsidR="009C6488" w:rsidRPr="009C6488" w:rsidRDefault="009C6488" w:rsidP="009C6488">
            <w:pPr>
              <w:spacing w:after="0" w:line="240" w:lineRule="auto"/>
              <w:jc w:val="right"/>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 xml:space="preserve">     (106.226)</w:t>
            </w:r>
          </w:p>
        </w:tc>
        <w:tc>
          <w:tcPr>
            <w:tcW w:w="691" w:type="pct"/>
            <w:tcBorders>
              <w:top w:val="nil"/>
              <w:left w:val="nil"/>
              <w:bottom w:val="single" w:sz="4" w:space="0" w:color="auto"/>
              <w:right w:val="single" w:sz="4" w:space="0" w:color="auto"/>
            </w:tcBorders>
            <w:shd w:val="clear" w:color="auto" w:fill="auto"/>
            <w:noWrap/>
            <w:vAlign w:val="bottom"/>
            <w:hideMark/>
          </w:tcPr>
          <w:p w14:paraId="4BDF7EEA" w14:textId="77777777" w:rsidR="009C6488" w:rsidRPr="009C6488" w:rsidRDefault="009C6488" w:rsidP="009C6488">
            <w:pPr>
              <w:spacing w:after="0" w:line="240" w:lineRule="auto"/>
              <w:jc w:val="right"/>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 xml:space="preserve">               (31.157)</w:t>
            </w:r>
          </w:p>
        </w:tc>
        <w:tc>
          <w:tcPr>
            <w:tcW w:w="518" w:type="pct"/>
            <w:tcBorders>
              <w:top w:val="nil"/>
              <w:left w:val="nil"/>
              <w:bottom w:val="single" w:sz="4" w:space="0" w:color="auto"/>
              <w:right w:val="single" w:sz="4" w:space="0" w:color="auto"/>
            </w:tcBorders>
            <w:shd w:val="clear" w:color="auto" w:fill="auto"/>
            <w:noWrap/>
            <w:vAlign w:val="bottom"/>
            <w:hideMark/>
          </w:tcPr>
          <w:p w14:paraId="5814B09F" w14:textId="77777777" w:rsidR="009C6488" w:rsidRPr="009C6488" w:rsidRDefault="009C6488" w:rsidP="009C6488">
            <w:pPr>
              <w:spacing w:after="0" w:line="240" w:lineRule="auto"/>
              <w:jc w:val="right"/>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 xml:space="preserve">            (197)</w:t>
            </w:r>
          </w:p>
        </w:tc>
        <w:tc>
          <w:tcPr>
            <w:tcW w:w="737" w:type="pct"/>
            <w:tcBorders>
              <w:top w:val="nil"/>
              <w:left w:val="nil"/>
              <w:bottom w:val="single" w:sz="4" w:space="0" w:color="auto"/>
              <w:right w:val="single" w:sz="4" w:space="0" w:color="auto"/>
            </w:tcBorders>
            <w:shd w:val="clear" w:color="auto" w:fill="auto"/>
            <w:noWrap/>
            <w:vAlign w:val="bottom"/>
            <w:hideMark/>
          </w:tcPr>
          <w:p w14:paraId="2CC8A6E5" w14:textId="77777777" w:rsidR="009C6488" w:rsidRPr="009C6488" w:rsidRDefault="009C6488" w:rsidP="009C6488">
            <w:pPr>
              <w:spacing w:after="0" w:line="240" w:lineRule="auto"/>
              <w:jc w:val="right"/>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 xml:space="preserve">               (137.580)</w:t>
            </w:r>
          </w:p>
        </w:tc>
      </w:tr>
      <w:tr w:rsidR="009C6488" w:rsidRPr="009C6488" w14:paraId="419F6394" w14:textId="77777777" w:rsidTr="00446A14">
        <w:trPr>
          <w:trHeight w:val="198"/>
        </w:trPr>
        <w:tc>
          <w:tcPr>
            <w:tcW w:w="2535" w:type="pct"/>
            <w:tcBorders>
              <w:top w:val="nil"/>
              <w:left w:val="nil"/>
              <w:bottom w:val="nil"/>
              <w:right w:val="nil"/>
            </w:tcBorders>
            <w:shd w:val="clear" w:color="auto" w:fill="auto"/>
            <w:noWrap/>
            <w:vAlign w:val="bottom"/>
            <w:hideMark/>
          </w:tcPr>
          <w:p w14:paraId="1DB4473C" w14:textId="77777777" w:rsidR="009C6488" w:rsidRPr="009C6488" w:rsidRDefault="009C6488" w:rsidP="009C6488">
            <w:pPr>
              <w:spacing w:after="0" w:line="240" w:lineRule="auto"/>
              <w:rPr>
                <w:rFonts w:ascii="Arial" w:eastAsia="Times New Roman" w:hAnsi="Arial" w:cs="Arial"/>
                <w:b/>
                <w:bCs/>
                <w:color w:val="000000"/>
                <w:kern w:val="0"/>
                <w:sz w:val="14"/>
                <w:szCs w:val="14"/>
                <w:lang w:eastAsia="pt-BR"/>
                <w14:ligatures w14:val="none"/>
              </w:rPr>
            </w:pPr>
          </w:p>
        </w:tc>
        <w:tc>
          <w:tcPr>
            <w:tcW w:w="518" w:type="pct"/>
            <w:tcBorders>
              <w:top w:val="nil"/>
              <w:left w:val="nil"/>
              <w:bottom w:val="nil"/>
              <w:right w:val="nil"/>
            </w:tcBorders>
            <w:shd w:val="clear" w:color="auto" w:fill="auto"/>
            <w:noWrap/>
            <w:vAlign w:val="bottom"/>
            <w:hideMark/>
          </w:tcPr>
          <w:p w14:paraId="281D78C1" w14:textId="77777777" w:rsidR="009C6488" w:rsidRPr="009C6488" w:rsidRDefault="009C6488" w:rsidP="009C6488">
            <w:pPr>
              <w:spacing w:after="0" w:line="240" w:lineRule="auto"/>
              <w:rPr>
                <w:rFonts w:ascii="Times New Roman" w:eastAsia="Times New Roman" w:hAnsi="Times New Roman" w:cs="Times New Roman"/>
                <w:kern w:val="0"/>
                <w:sz w:val="20"/>
                <w:szCs w:val="20"/>
                <w:lang w:eastAsia="pt-BR"/>
                <w14:ligatures w14:val="none"/>
              </w:rPr>
            </w:pPr>
          </w:p>
        </w:tc>
        <w:tc>
          <w:tcPr>
            <w:tcW w:w="691" w:type="pct"/>
            <w:tcBorders>
              <w:top w:val="nil"/>
              <w:left w:val="nil"/>
              <w:bottom w:val="nil"/>
              <w:right w:val="nil"/>
            </w:tcBorders>
            <w:shd w:val="clear" w:color="auto" w:fill="auto"/>
            <w:noWrap/>
            <w:vAlign w:val="bottom"/>
            <w:hideMark/>
          </w:tcPr>
          <w:p w14:paraId="0DAE412F" w14:textId="77777777" w:rsidR="009C6488" w:rsidRPr="009C6488" w:rsidRDefault="009C6488" w:rsidP="009C6488">
            <w:pPr>
              <w:spacing w:after="0" w:line="240" w:lineRule="auto"/>
              <w:rPr>
                <w:rFonts w:ascii="Times New Roman" w:eastAsia="Times New Roman" w:hAnsi="Times New Roman" w:cs="Times New Roman"/>
                <w:kern w:val="0"/>
                <w:sz w:val="20"/>
                <w:szCs w:val="20"/>
                <w:lang w:eastAsia="pt-BR"/>
                <w14:ligatures w14:val="none"/>
              </w:rPr>
            </w:pPr>
          </w:p>
        </w:tc>
        <w:tc>
          <w:tcPr>
            <w:tcW w:w="518" w:type="pct"/>
            <w:tcBorders>
              <w:top w:val="nil"/>
              <w:left w:val="nil"/>
              <w:bottom w:val="nil"/>
              <w:right w:val="nil"/>
            </w:tcBorders>
            <w:shd w:val="clear" w:color="auto" w:fill="auto"/>
            <w:noWrap/>
            <w:vAlign w:val="bottom"/>
            <w:hideMark/>
          </w:tcPr>
          <w:p w14:paraId="71075CF9" w14:textId="77777777" w:rsidR="009C6488" w:rsidRPr="009C6488" w:rsidRDefault="009C6488" w:rsidP="009C6488">
            <w:pPr>
              <w:spacing w:after="0" w:line="240" w:lineRule="auto"/>
              <w:rPr>
                <w:rFonts w:ascii="Times New Roman" w:eastAsia="Times New Roman" w:hAnsi="Times New Roman" w:cs="Times New Roman"/>
                <w:kern w:val="0"/>
                <w:sz w:val="20"/>
                <w:szCs w:val="20"/>
                <w:lang w:eastAsia="pt-BR"/>
                <w14:ligatures w14:val="none"/>
              </w:rPr>
            </w:pPr>
          </w:p>
        </w:tc>
        <w:tc>
          <w:tcPr>
            <w:tcW w:w="737" w:type="pct"/>
            <w:tcBorders>
              <w:top w:val="nil"/>
              <w:left w:val="nil"/>
              <w:bottom w:val="nil"/>
              <w:right w:val="nil"/>
            </w:tcBorders>
            <w:shd w:val="clear" w:color="auto" w:fill="auto"/>
            <w:noWrap/>
            <w:vAlign w:val="bottom"/>
            <w:hideMark/>
          </w:tcPr>
          <w:p w14:paraId="42869F70" w14:textId="77777777" w:rsidR="009C6488" w:rsidRPr="009C6488" w:rsidRDefault="009C6488" w:rsidP="009C6488">
            <w:pPr>
              <w:spacing w:after="0" w:line="240" w:lineRule="auto"/>
              <w:rPr>
                <w:rFonts w:ascii="Times New Roman" w:eastAsia="Times New Roman" w:hAnsi="Times New Roman" w:cs="Times New Roman"/>
                <w:kern w:val="0"/>
                <w:sz w:val="20"/>
                <w:szCs w:val="20"/>
                <w:lang w:eastAsia="pt-BR"/>
                <w14:ligatures w14:val="none"/>
              </w:rPr>
            </w:pPr>
          </w:p>
        </w:tc>
      </w:tr>
      <w:tr w:rsidR="009C6488" w:rsidRPr="009C6488" w14:paraId="69E91E69" w14:textId="77777777" w:rsidTr="00446A14">
        <w:trPr>
          <w:trHeight w:val="198"/>
        </w:trPr>
        <w:tc>
          <w:tcPr>
            <w:tcW w:w="2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C0114"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Prejuízo Básico e Diluído por Ação em Reais:</w:t>
            </w:r>
          </w:p>
        </w:tc>
        <w:tc>
          <w:tcPr>
            <w:tcW w:w="518" w:type="pct"/>
            <w:tcBorders>
              <w:top w:val="single" w:sz="4" w:space="0" w:color="auto"/>
              <w:left w:val="nil"/>
              <w:bottom w:val="single" w:sz="4" w:space="0" w:color="auto"/>
              <w:right w:val="single" w:sz="4" w:space="0" w:color="auto"/>
            </w:tcBorders>
            <w:shd w:val="clear" w:color="auto" w:fill="auto"/>
            <w:noWrap/>
            <w:vAlign w:val="bottom"/>
            <w:hideMark/>
          </w:tcPr>
          <w:p w14:paraId="39822DB7" w14:textId="77777777" w:rsidR="009C6488" w:rsidRPr="009C6488" w:rsidRDefault="009C6488" w:rsidP="009C6488">
            <w:pPr>
              <w:spacing w:after="0" w:line="240" w:lineRule="auto"/>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w:t>
            </w:r>
          </w:p>
        </w:tc>
        <w:tc>
          <w:tcPr>
            <w:tcW w:w="691" w:type="pct"/>
            <w:tcBorders>
              <w:top w:val="single" w:sz="4" w:space="0" w:color="auto"/>
              <w:left w:val="nil"/>
              <w:bottom w:val="single" w:sz="4" w:space="0" w:color="auto"/>
              <w:right w:val="single" w:sz="4" w:space="0" w:color="auto"/>
            </w:tcBorders>
            <w:shd w:val="clear" w:color="auto" w:fill="auto"/>
            <w:noWrap/>
            <w:vAlign w:val="bottom"/>
            <w:hideMark/>
          </w:tcPr>
          <w:p w14:paraId="522089F7" w14:textId="77777777" w:rsidR="009C6488" w:rsidRPr="009C6488" w:rsidRDefault="009C6488" w:rsidP="009C6488">
            <w:pPr>
              <w:spacing w:after="0" w:line="240" w:lineRule="auto"/>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w:t>
            </w:r>
          </w:p>
        </w:tc>
        <w:tc>
          <w:tcPr>
            <w:tcW w:w="518" w:type="pct"/>
            <w:tcBorders>
              <w:top w:val="single" w:sz="4" w:space="0" w:color="auto"/>
              <w:left w:val="nil"/>
              <w:bottom w:val="single" w:sz="4" w:space="0" w:color="auto"/>
              <w:right w:val="single" w:sz="4" w:space="0" w:color="auto"/>
            </w:tcBorders>
            <w:shd w:val="clear" w:color="auto" w:fill="auto"/>
            <w:noWrap/>
            <w:vAlign w:val="bottom"/>
            <w:hideMark/>
          </w:tcPr>
          <w:p w14:paraId="4559A352" w14:textId="77777777" w:rsidR="009C6488" w:rsidRPr="009C6488" w:rsidRDefault="009C6488" w:rsidP="009C6488">
            <w:pPr>
              <w:spacing w:after="0" w:line="240" w:lineRule="auto"/>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w:t>
            </w:r>
          </w:p>
        </w:tc>
        <w:tc>
          <w:tcPr>
            <w:tcW w:w="737" w:type="pct"/>
            <w:tcBorders>
              <w:top w:val="single" w:sz="4" w:space="0" w:color="auto"/>
              <w:left w:val="nil"/>
              <w:bottom w:val="single" w:sz="4" w:space="0" w:color="auto"/>
              <w:right w:val="single" w:sz="4" w:space="0" w:color="auto"/>
            </w:tcBorders>
            <w:shd w:val="clear" w:color="auto" w:fill="auto"/>
            <w:noWrap/>
            <w:vAlign w:val="bottom"/>
            <w:hideMark/>
          </w:tcPr>
          <w:p w14:paraId="1ADB4B6C" w14:textId="77777777" w:rsidR="009C6488" w:rsidRPr="009C6488" w:rsidRDefault="009C6488" w:rsidP="009C6488">
            <w:pPr>
              <w:spacing w:after="0" w:line="240" w:lineRule="auto"/>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w:t>
            </w:r>
          </w:p>
        </w:tc>
      </w:tr>
      <w:tr w:rsidR="009C6488" w:rsidRPr="009C6488" w14:paraId="52F82C39" w14:textId="77777777" w:rsidTr="00446A14">
        <w:trPr>
          <w:trHeight w:val="198"/>
        </w:trPr>
        <w:tc>
          <w:tcPr>
            <w:tcW w:w="2535" w:type="pct"/>
            <w:tcBorders>
              <w:top w:val="nil"/>
              <w:left w:val="single" w:sz="4" w:space="0" w:color="auto"/>
              <w:bottom w:val="single" w:sz="4" w:space="0" w:color="auto"/>
              <w:right w:val="single" w:sz="4" w:space="0" w:color="auto"/>
            </w:tcBorders>
            <w:shd w:val="clear" w:color="auto" w:fill="auto"/>
            <w:noWrap/>
            <w:vAlign w:val="bottom"/>
            <w:hideMark/>
          </w:tcPr>
          <w:p w14:paraId="2F409A7B"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   Ações Ordinárias – Básicas e diluídas</w:t>
            </w:r>
          </w:p>
        </w:tc>
        <w:tc>
          <w:tcPr>
            <w:tcW w:w="518" w:type="pct"/>
            <w:tcBorders>
              <w:top w:val="nil"/>
              <w:left w:val="nil"/>
              <w:bottom w:val="single" w:sz="4" w:space="0" w:color="auto"/>
              <w:right w:val="single" w:sz="4" w:space="0" w:color="auto"/>
            </w:tcBorders>
            <w:shd w:val="clear" w:color="auto" w:fill="auto"/>
            <w:noWrap/>
            <w:vAlign w:val="center"/>
            <w:hideMark/>
          </w:tcPr>
          <w:p w14:paraId="5C732F95"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       (1,7195)</w:t>
            </w:r>
          </w:p>
        </w:tc>
        <w:tc>
          <w:tcPr>
            <w:tcW w:w="691" w:type="pct"/>
            <w:tcBorders>
              <w:top w:val="nil"/>
              <w:left w:val="nil"/>
              <w:bottom w:val="single" w:sz="4" w:space="0" w:color="auto"/>
              <w:right w:val="single" w:sz="4" w:space="0" w:color="auto"/>
            </w:tcBorders>
            <w:shd w:val="clear" w:color="auto" w:fill="auto"/>
            <w:noWrap/>
            <w:vAlign w:val="bottom"/>
            <w:hideMark/>
          </w:tcPr>
          <w:p w14:paraId="49F54B3C" w14:textId="77777777" w:rsidR="009C6488" w:rsidRPr="009C6488" w:rsidRDefault="009C6488" w:rsidP="009C6488">
            <w:pPr>
              <w:spacing w:after="0" w:line="240" w:lineRule="auto"/>
              <w:jc w:val="right"/>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w:t>
            </w:r>
          </w:p>
        </w:tc>
        <w:tc>
          <w:tcPr>
            <w:tcW w:w="518" w:type="pct"/>
            <w:tcBorders>
              <w:top w:val="nil"/>
              <w:left w:val="nil"/>
              <w:bottom w:val="single" w:sz="4" w:space="0" w:color="auto"/>
              <w:right w:val="single" w:sz="4" w:space="0" w:color="auto"/>
            </w:tcBorders>
            <w:shd w:val="clear" w:color="auto" w:fill="auto"/>
            <w:noWrap/>
            <w:vAlign w:val="bottom"/>
            <w:hideMark/>
          </w:tcPr>
          <w:p w14:paraId="62540A0C" w14:textId="77777777" w:rsidR="009C6488" w:rsidRPr="009C6488" w:rsidRDefault="009C6488" w:rsidP="009C6488">
            <w:pPr>
              <w:spacing w:after="0" w:line="240" w:lineRule="auto"/>
              <w:jc w:val="right"/>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w:t>
            </w:r>
          </w:p>
        </w:tc>
        <w:tc>
          <w:tcPr>
            <w:tcW w:w="737" w:type="pct"/>
            <w:tcBorders>
              <w:top w:val="nil"/>
              <w:left w:val="nil"/>
              <w:bottom w:val="single" w:sz="4" w:space="0" w:color="auto"/>
              <w:right w:val="single" w:sz="4" w:space="0" w:color="auto"/>
            </w:tcBorders>
            <w:shd w:val="clear" w:color="auto" w:fill="auto"/>
            <w:noWrap/>
            <w:vAlign w:val="bottom"/>
            <w:hideMark/>
          </w:tcPr>
          <w:p w14:paraId="4D12529D" w14:textId="77777777" w:rsidR="009C6488" w:rsidRPr="009C6488" w:rsidRDefault="009C6488" w:rsidP="009C6488">
            <w:pPr>
              <w:spacing w:after="0" w:line="240" w:lineRule="auto"/>
              <w:jc w:val="right"/>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xml:space="preserve">                 (2,2270)</w:t>
            </w:r>
          </w:p>
        </w:tc>
      </w:tr>
      <w:tr w:rsidR="009C6488" w:rsidRPr="009C6488" w14:paraId="56BABAE6" w14:textId="77777777" w:rsidTr="00446A14">
        <w:trPr>
          <w:trHeight w:val="198"/>
        </w:trPr>
        <w:tc>
          <w:tcPr>
            <w:tcW w:w="2535" w:type="pct"/>
            <w:tcBorders>
              <w:top w:val="nil"/>
              <w:left w:val="single" w:sz="4" w:space="0" w:color="auto"/>
              <w:bottom w:val="single" w:sz="4" w:space="0" w:color="auto"/>
              <w:right w:val="single" w:sz="4" w:space="0" w:color="auto"/>
            </w:tcBorders>
            <w:shd w:val="clear" w:color="auto" w:fill="auto"/>
            <w:noWrap/>
            <w:vAlign w:val="bottom"/>
            <w:hideMark/>
          </w:tcPr>
          <w:p w14:paraId="15C562B9"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   Ações Preferenciais – Básicas e diluídas</w:t>
            </w:r>
          </w:p>
        </w:tc>
        <w:tc>
          <w:tcPr>
            <w:tcW w:w="518" w:type="pct"/>
            <w:tcBorders>
              <w:top w:val="nil"/>
              <w:left w:val="nil"/>
              <w:bottom w:val="single" w:sz="4" w:space="0" w:color="auto"/>
              <w:right w:val="single" w:sz="4" w:space="0" w:color="auto"/>
            </w:tcBorders>
            <w:shd w:val="clear" w:color="auto" w:fill="auto"/>
            <w:noWrap/>
            <w:vAlign w:val="bottom"/>
            <w:hideMark/>
          </w:tcPr>
          <w:p w14:paraId="506908C8"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       (1,7195)</w:t>
            </w:r>
          </w:p>
        </w:tc>
        <w:tc>
          <w:tcPr>
            <w:tcW w:w="691" w:type="pct"/>
            <w:tcBorders>
              <w:top w:val="nil"/>
              <w:left w:val="nil"/>
              <w:bottom w:val="single" w:sz="4" w:space="0" w:color="auto"/>
              <w:right w:val="single" w:sz="4" w:space="0" w:color="auto"/>
            </w:tcBorders>
            <w:shd w:val="clear" w:color="auto" w:fill="auto"/>
            <w:noWrap/>
            <w:vAlign w:val="bottom"/>
            <w:hideMark/>
          </w:tcPr>
          <w:p w14:paraId="6882B59F" w14:textId="77777777" w:rsidR="009C6488" w:rsidRPr="009C6488" w:rsidRDefault="009C6488" w:rsidP="009C6488">
            <w:pPr>
              <w:spacing w:after="0" w:line="240" w:lineRule="auto"/>
              <w:jc w:val="right"/>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w:t>
            </w:r>
          </w:p>
        </w:tc>
        <w:tc>
          <w:tcPr>
            <w:tcW w:w="518" w:type="pct"/>
            <w:tcBorders>
              <w:top w:val="nil"/>
              <w:left w:val="nil"/>
              <w:bottom w:val="single" w:sz="4" w:space="0" w:color="auto"/>
              <w:right w:val="single" w:sz="4" w:space="0" w:color="auto"/>
            </w:tcBorders>
            <w:shd w:val="clear" w:color="auto" w:fill="auto"/>
            <w:noWrap/>
            <w:vAlign w:val="bottom"/>
            <w:hideMark/>
          </w:tcPr>
          <w:p w14:paraId="797E9436" w14:textId="77777777" w:rsidR="009C6488" w:rsidRPr="009C6488" w:rsidRDefault="009C6488" w:rsidP="009C6488">
            <w:pPr>
              <w:spacing w:after="0" w:line="240" w:lineRule="auto"/>
              <w:jc w:val="right"/>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w:t>
            </w:r>
          </w:p>
        </w:tc>
        <w:tc>
          <w:tcPr>
            <w:tcW w:w="737" w:type="pct"/>
            <w:tcBorders>
              <w:top w:val="nil"/>
              <w:left w:val="nil"/>
              <w:bottom w:val="single" w:sz="4" w:space="0" w:color="auto"/>
              <w:right w:val="single" w:sz="4" w:space="0" w:color="auto"/>
            </w:tcBorders>
            <w:shd w:val="clear" w:color="auto" w:fill="auto"/>
            <w:noWrap/>
            <w:vAlign w:val="bottom"/>
            <w:hideMark/>
          </w:tcPr>
          <w:p w14:paraId="0808DAB3" w14:textId="77777777" w:rsidR="009C6488" w:rsidRPr="009C6488" w:rsidRDefault="009C6488" w:rsidP="009C6488">
            <w:pPr>
              <w:spacing w:after="0" w:line="240" w:lineRule="auto"/>
              <w:jc w:val="right"/>
              <w:rPr>
                <w:rFonts w:ascii="Arial" w:eastAsia="Times New Roman" w:hAnsi="Arial" w:cs="Arial"/>
                <w:color w:val="000000"/>
                <w:kern w:val="0"/>
                <w:sz w:val="14"/>
                <w:szCs w:val="14"/>
                <w:lang w:eastAsia="pt-BR"/>
                <w14:ligatures w14:val="none"/>
              </w:rPr>
            </w:pPr>
            <w:r w:rsidRPr="009C6488">
              <w:rPr>
                <w:rFonts w:ascii="Arial" w:eastAsia="Times New Roman" w:hAnsi="Arial" w:cs="Arial"/>
                <w:color w:val="000000"/>
                <w:kern w:val="0"/>
                <w:sz w:val="14"/>
                <w:szCs w:val="14"/>
                <w:lang w:eastAsia="pt-BR"/>
                <w14:ligatures w14:val="none"/>
              </w:rPr>
              <w:t xml:space="preserve">                 (2,2270)</w:t>
            </w:r>
          </w:p>
        </w:tc>
      </w:tr>
    </w:tbl>
    <w:p w14:paraId="3EB2E3A9" w14:textId="77777777" w:rsidR="009C6488" w:rsidRPr="009C6488" w:rsidRDefault="009C6488" w:rsidP="007A23F8">
      <w:pPr>
        <w:spacing w:after="0" w:line="240" w:lineRule="auto"/>
        <w:jc w:val="both"/>
        <w:rPr>
          <w:rFonts w:ascii="Calibri" w:eastAsia="Times New Roman" w:hAnsi="Calibri" w:cs="Calibri"/>
          <w:iCs/>
          <w:color w:val="002060"/>
          <w:kern w:val="0"/>
          <w14:ligatures w14:val="none"/>
        </w:rPr>
      </w:pPr>
      <w:r w:rsidRPr="009C6488">
        <w:rPr>
          <w:rFonts w:ascii="Calibri" w:eastAsia="Times New Roman" w:hAnsi="Calibri" w:cs="Calibri"/>
          <w:iCs/>
          <w:color w:val="002060"/>
          <w:kern w:val="0"/>
          <w14:ligatures w14:val="none"/>
        </w:rPr>
        <w:t>i) Refere-se aos valores recebidos relativos às Subvenções para Investimentos (aplicações no Ativo Imobilizado) no exercício de 2020, que haviam sido reconhecidos em “Outras Receitas Operacionais” naquele ano.</w:t>
      </w:r>
    </w:p>
    <w:p w14:paraId="4BBBC2D2" w14:textId="77777777" w:rsidR="009C6488" w:rsidRPr="009C6488" w:rsidRDefault="009C6488" w:rsidP="007A23F8">
      <w:pPr>
        <w:spacing w:after="0" w:line="240" w:lineRule="auto"/>
        <w:jc w:val="both"/>
        <w:rPr>
          <w:rFonts w:ascii="Calibri" w:eastAsia="Times New Roman" w:hAnsi="Calibri" w:cs="Calibri"/>
          <w:iCs/>
          <w:color w:val="002060"/>
          <w:kern w:val="0"/>
          <w14:ligatures w14:val="none"/>
        </w:rPr>
      </w:pPr>
      <w:proofErr w:type="spellStart"/>
      <w:r w:rsidRPr="009C6488">
        <w:rPr>
          <w:rFonts w:ascii="Calibri" w:eastAsia="Times New Roman" w:hAnsi="Calibri" w:cs="Calibri"/>
          <w:iCs/>
          <w:color w:val="002060"/>
          <w:kern w:val="0"/>
          <w14:ligatures w14:val="none"/>
        </w:rPr>
        <w:t>ii</w:t>
      </w:r>
      <w:proofErr w:type="spellEnd"/>
      <w:r w:rsidRPr="009C6488">
        <w:rPr>
          <w:rFonts w:ascii="Calibri" w:eastAsia="Times New Roman" w:hAnsi="Calibri" w:cs="Calibri"/>
          <w:iCs/>
          <w:color w:val="002060"/>
          <w:kern w:val="0"/>
          <w14:ligatures w14:val="none"/>
        </w:rPr>
        <w:t xml:space="preserve">) Representa os Juros reconhecidos quando da adoção da nova política contábil, a qual, alterou a forma de registro das Subvenções para Investimentos do resultado do exercício para o Passivo Exigível, a Telebras passou a reconhecer juros sobre aos valores de AFAC. </w:t>
      </w:r>
    </w:p>
    <w:p w14:paraId="56CDA491" w14:textId="044259EA" w:rsidR="009C6488" w:rsidRPr="009C6488" w:rsidRDefault="009C6488" w:rsidP="007A23F8">
      <w:pPr>
        <w:keepNext/>
        <w:spacing w:after="0" w:line="240" w:lineRule="auto"/>
        <w:jc w:val="both"/>
        <w:outlineLvl w:val="1"/>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3.3.4. </w:t>
      </w:r>
      <w:r w:rsidRPr="009C6488">
        <w:rPr>
          <w:rFonts w:ascii="Calibri" w:eastAsia="Times New Roman" w:hAnsi="Calibri" w:cs="Calibri"/>
          <w:b/>
          <w:bCs/>
          <w:iCs/>
          <w:color w:val="002060"/>
          <w:kern w:val="0"/>
          <w14:ligatures w14:val="none"/>
        </w:rPr>
        <w:t>Demonstração do Resultado Abrangente</w:t>
      </w:r>
    </w:p>
    <w:tbl>
      <w:tblPr>
        <w:tblW w:w="5000" w:type="pct"/>
        <w:tblCellMar>
          <w:left w:w="70" w:type="dxa"/>
          <w:right w:w="70" w:type="dxa"/>
        </w:tblCellMar>
        <w:tblLook w:val="04A0" w:firstRow="1" w:lastRow="0" w:firstColumn="1" w:lastColumn="0" w:noHBand="0" w:noVBand="1"/>
      </w:tblPr>
      <w:tblGrid>
        <w:gridCol w:w="5102"/>
        <w:gridCol w:w="1284"/>
        <w:gridCol w:w="1284"/>
        <w:gridCol w:w="817"/>
        <w:gridCol w:w="1284"/>
      </w:tblGrid>
      <w:tr w:rsidR="009C6488" w:rsidRPr="009C6488" w14:paraId="5D7BBCCC" w14:textId="77777777" w:rsidTr="00446A14">
        <w:trPr>
          <w:trHeight w:val="198"/>
        </w:trPr>
        <w:tc>
          <w:tcPr>
            <w:tcW w:w="2611" w:type="pct"/>
            <w:vMerge w:val="restart"/>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A2F3BB3" w14:textId="77777777" w:rsidR="009C6488" w:rsidRPr="009C6488" w:rsidRDefault="009C6488" w:rsidP="009C6488">
            <w:pPr>
              <w:spacing w:after="0" w:line="240" w:lineRule="auto"/>
              <w:jc w:val="center"/>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 </w:t>
            </w:r>
          </w:p>
        </w:tc>
        <w:tc>
          <w:tcPr>
            <w:tcW w:w="6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120084" w14:textId="77777777" w:rsidR="009C6488" w:rsidRPr="009C6488" w:rsidRDefault="009C6488" w:rsidP="009C6488">
            <w:pPr>
              <w:spacing w:after="0" w:line="240" w:lineRule="auto"/>
              <w:jc w:val="center"/>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Saldos Divulgados em 2020</w:t>
            </w:r>
          </w:p>
        </w:tc>
        <w:tc>
          <w:tcPr>
            <w:tcW w:w="1075" w:type="pct"/>
            <w:gridSpan w:val="2"/>
            <w:tcBorders>
              <w:top w:val="single" w:sz="4" w:space="0" w:color="auto"/>
              <w:left w:val="nil"/>
              <w:bottom w:val="single" w:sz="4" w:space="0" w:color="auto"/>
              <w:right w:val="single" w:sz="4" w:space="0" w:color="auto"/>
            </w:tcBorders>
            <w:shd w:val="clear" w:color="auto" w:fill="auto"/>
            <w:noWrap/>
            <w:vAlign w:val="bottom"/>
            <w:hideMark/>
          </w:tcPr>
          <w:p w14:paraId="5AAAB486" w14:textId="77777777" w:rsidR="009C6488" w:rsidRPr="009C6488" w:rsidRDefault="009C6488" w:rsidP="009C6488">
            <w:pPr>
              <w:spacing w:after="0" w:line="240" w:lineRule="auto"/>
              <w:jc w:val="center"/>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Ajustes</w:t>
            </w:r>
          </w:p>
        </w:tc>
        <w:tc>
          <w:tcPr>
            <w:tcW w:w="6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DC5A29" w14:textId="77777777" w:rsidR="009C6488" w:rsidRPr="009C6488" w:rsidRDefault="009C6488" w:rsidP="009C6488">
            <w:pPr>
              <w:spacing w:after="0" w:line="240" w:lineRule="auto"/>
              <w:jc w:val="center"/>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Saldos Reapresentados em 2020</w:t>
            </w:r>
          </w:p>
        </w:tc>
      </w:tr>
      <w:tr w:rsidR="009C6488" w:rsidRPr="009C6488" w14:paraId="4B17EDEB" w14:textId="77777777" w:rsidTr="00446A14">
        <w:trPr>
          <w:trHeight w:val="198"/>
        </w:trPr>
        <w:tc>
          <w:tcPr>
            <w:tcW w:w="2611" w:type="pct"/>
            <w:vMerge/>
            <w:tcBorders>
              <w:top w:val="single" w:sz="4" w:space="0" w:color="auto"/>
              <w:left w:val="single" w:sz="4" w:space="0" w:color="auto"/>
              <w:bottom w:val="single" w:sz="4" w:space="0" w:color="auto"/>
              <w:right w:val="single" w:sz="4" w:space="0" w:color="auto"/>
            </w:tcBorders>
            <w:vAlign w:val="center"/>
            <w:hideMark/>
          </w:tcPr>
          <w:p w14:paraId="6F06B925" w14:textId="77777777" w:rsidR="009C6488" w:rsidRPr="009C6488" w:rsidRDefault="009C6488" w:rsidP="009C6488">
            <w:pPr>
              <w:spacing w:after="0" w:line="240" w:lineRule="auto"/>
              <w:rPr>
                <w:rFonts w:ascii="Arial" w:eastAsia="Times New Roman" w:hAnsi="Arial" w:cs="Arial"/>
                <w:b/>
                <w:bCs/>
                <w:color w:val="000000"/>
                <w:kern w:val="0"/>
                <w:sz w:val="14"/>
                <w:szCs w:val="14"/>
                <w:lang w:eastAsia="pt-BR"/>
                <w14:ligatures w14:val="none"/>
              </w:rPr>
            </w:pP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6FF9B4E1" w14:textId="77777777" w:rsidR="009C6488" w:rsidRPr="009C6488" w:rsidRDefault="009C6488" w:rsidP="009C6488">
            <w:pPr>
              <w:spacing w:after="0" w:line="240" w:lineRule="auto"/>
              <w:rPr>
                <w:rFonts w:ascii="Arial" w:eastAsia="Times New Roman" w:hAnsi="Arial" w:cs="Arial"/>
                <w:b/>
                <w:bCs/>
                <w:color w:val="000000"/>
                <w:kern w:val="0"/>
                <w:sz w:val="14"/>
                <w:szCs w:val="14"/>
                <w:lang w:eastAsia="pt-BR"/>
                <w14:ligatures w14:val="none"/>
              </w:rPr>
            </w:pPr>
          </w:p>
        </w:tc>
        <w:tc>
          <w:tcPr>
            <w:tcW w:w="657" w:type="pct"/>
            <w:tcBorders>
              <w:top w:val="nil"/>
              <w:left w:val="nil"/>
              <w:bottom w:val="single" w:sz="4" w:space="0" w:color="auto"/>
              <w:right w:val="single" w:sz="4" w:space="0" w:color="auto"/>
            </w:tcBorders>
            <w:shd w:val="clear" w:color="auto" w:fill="auto"/>
            <w:vAlign w:val="center"/>
            <w:hideMark/>
          </w:tcPr>
          <w:p w14:paraId="599D0011" w14:textId="77777777" w:rsidR="009C6488" w:rsidRPr="009C6488" w:rsidRDefault="009C6488" w:rsidP="009C6488">
            <w:pPr>
              <w:spacing w:after="0" w:line="240" w:lineRule="auto"/>
              <w:jc w:val="center"/>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Subvenções para Investimentos</w:t>
            </w:r>
          </w:p>
        </w:tc>
        <w:tc>
          <w:tcPr>
            <w:tcW w:w="418" w:type="pct"/>
            <w:tcBorders>
              <w:top w:val="nil"/>
              <w:left w:val="nil"/>
              <w:bottom w:val="single" w:sz="4" w:space="0" w:color="auto"/>
              <w:right w:val="single" w:sz="4" w:space="0" w:color="auto"/>
            </w:tcBorders>
            <w:shd w:val="clear" w:color="auto" w:fill="auto"/>
            <w:vAlign w:val="center"/>
            <w:hideMark/>
          </w:tcPr>
          <w:p w14:paraId="77186E67" w14:textId="77777777" w:rsidR="009C6488" w:rsidRPr="009C6488" w:rsidRDefault="009C6488" w:rsidP="009C6488">
            <w:pPr>
              <w:spacing w:after="0" w:line="240" w:lineRule="auto"/>
              <w:jc w:val="center"/>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 xml:space="preserve">Juros sobre </w:t>
            </w:r>
            <w:proofErr w:type="spellStart"/>
            <w:r w:rsidRPr="009C6488">
              <w:rPr>
                <w:rFonts w:ascii="Arial" w:eastAsia="Times New Roman" w:hAnsi="Arial" w:cs="Arial"/>
                <w:b/>
                <w:bCs/>
                <w:color w:val="000000"/>
                <w:kern w:val="0"/>
                <w:sz w:val="14"/>
                <w:szCs w:val="14"/>
                <w:lang w:eastAsia="pt-BR"/>
                <w14:ligatures w14:val="none"/>
              </w:rPr>
              <w:t>Afac</w:t>
            </w:r>
            <w:proofErr w:type="spellEnd"/>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7F506AA3" w14:textId="77777777" w:rsidR="009C6488" w:rsidRPr="009C6488" w:rsidRDefault="009C6488" w:rsidP="009C6488">
            <w:pPr>
              <w:spacing w:after="0" w:line="240" w:lineRule="auto"/>
              <w:rPr>
                <w:rFonts w:ascii="Arial" w:eastAsia="Times New Roman" w:hAnsi="Arial" w:cs="Arial"/>
                <w:b/>
                <w:bCs/>
                <w:color w:val="000000"/>
                <w:kern w:val="0"/>
                <w:sz w:val="14"/>
                <w:szCs w:val="14"/>
                <w:lang w:eastAsia="pt-BR"/>
                <w14:ligatures w14:val="none"/>
              </w:rPr>
            </w:pPr>
          </w:p>
        </w:tc>
      </w:tr>
      <w:tr w:rsidR="009C6488" w:rsidRPr="009C6488" w14:paraId="4BA739EB" w14:textId="77777777" w:rsidTr="00446A14">
        <w:trPr>
          <w:trHeight w:val="198"/>
        </w:trPr>
        <w:tc>
          <w:tcPr>
            <w:tcW w:w="2611" w:type="pct"/>
            <w:tcBorders>
              <w:top w:val="nil"/>
              <w:left w:val="single" w:sz="4" w:space="0" w:color="auto"/>
              <w:bottom w:val="single" w:sz="4" w:space="0" w:color="auto"/>
              <w:right w:val="single" w:sz="4" w:space="0" w:color="auto"/>
            </w:tcBorders>
            <w:shd w:val="clear" w:color="auto" w:fill="auto"/>
            <w:noWrap/>
            <w:vAlign w:val="bottom"/>
            <w:hideMark/>
          </w:tcPr>
          <w:p w14:paraId="700F3034"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Prejuízo do Exercício</w:t>
            </w:r>
          </w:p>
        </w:tc>
        <w:tc>
          <w:tcPr>
            <w:tcW w:w="657" w:type="pct"/>
            <w:tcBorders>
              <w:top w:val="nil"/>
              <w:left w:val="nil"/>
              <w:bottom w:val="single" w:sz="4" w:space="0" w:color="auto"/>
              <w:right w:val="single" w:sz="4" w:space="0" w:color="auto"/>
            </w:tcBorders>
            <w:shd w:val="clear" w:color="auto" w:fill="auto"/>
            <w:noWrap/>
            <w:vAlign w:val="bottom"/>
            <w:hideMark/>
          </w:tcPr>
          <w:p w14:paraId="11B920F2"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              (106.226)</w:t>
            </w:r>
          </w:p>
        </w:tc>
        <w:tc>
          <w:tcPr>
            <w:tcW w:w="657" w:type="pct"/>
            <w:tcBorders>
              <w:top w:val="nil"/>
              <w:left w:val="nil"/>
              <w:bottom w:val="single" w:sz="4" w:space="0" w:color="auto"/>
              <w:right w:val="single" w:sz="4" w:space="0" w:color="auto"/>
            </w:tcBorders>
            <w:shd w:val="clear" w:color="auto" w:fill="auto"/>
            <w:noWrap/>
            <w:vAlign w:val="bottom"/>
            <w:hideMark/>
          </w:tcPr>
          <w:p w14:paraId="0631A6AE"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                (31.157)</w:t>
            </w:r>
          </w:p>
        </w:tc>
        <w:tc>
          <w:tcPr>
            <w:tcW w:w="418" w:type="pct"/>
            <w:tcBorders>
              <w:top w:val="nil"/>
              <w:left w:val="nil"/>
              <w:bottom w:val="single" w:sz="4" w:space="0" w:color="auto"/>
              <w:right w:val="single" w:sz="4" w:space="0" w:color="auto"/>
            </w:tcBorders>
            <w:shd w:val="clear" w:color="auto" w:fill="auto"/>
            <w:noWrap/>
            <w:vAlign w:val="bottom"/>
            <w:hideMark/>
          </w:tcPr>
          <w:p w14:paraId="39D40E9E"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         (197)</w:t>
            </w:r>
          </w:p>
        </w:tc>
        <w:tc>
          <w:tcPr>
            <w:tcW w:w="657" w:type="pct"/>
            <w:tcBorders>
              <w:top w:val="nil"/>
              <w:left w:val="nil"/>
              <w:bottom w:val="single" w:sz="4" w:space="0" w:color="auto"/>
              <w:right w:val="single" w:sz="4" w:space="0" w:color="auto"/>
            </w:tcBorders>
            <w:shd w:val="clear" w:color="auto" w:fill="auto"/>
            <w:noWrap/>
            <w:vAlign w:val="bottom"/>
            <w:hideMark/>
          </w:tcPr>
          <w:p w14:paraId="1741A016"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              (137.580)</w:t>
            </w:r>
          </w:p>
        </w:tc>
      </w:tr>
      <w:tr w:rsidR="009C6488" w:rsidRPr="009C6488" w14:paraId="77F4DB3F" w14:textId="77777777" w:rsidTr="00446A14">
        <w:trPr>
          <w:trHeight w:val="198"/>
        </w:trPr>
        <w:tc>
          <w:tcPr>
            <w:tcW w:w="2611" w:type="pct"/>
            <w:tcBorders>
              <w:top w:val="nil"/>
              <w:left w:val="single" w:sz="4" w:space="0" w:color="auto"/>
              <w:bottom w:val="single" w:sz="4" w:space="0" w:color="auto"/>
              <w:right w:val="single" w:sz="4" w:space="0" w:color="auto"/>
            </w:tcBorders>
            <w:shd w:val="clear" w:color="auto" w:fill="auto"/>
            <w:noWrap/>
            <w:vAlign w:val="bottom"/>
            <w:hideMark/>
          </w:tcPr>
          <w:p w14:paraId="6965C29D"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Outros Resultados Abrangentes</w:t>
            </w:r>
          </w:p>
        </w:tc>
        <w:tc>
          <w:tcPr>
            <w:tcW w:w="657" w:type="pct"/>
            <w:tcBorders>
              <w:top w:val="nil"/>
              <w:left w:val="nil"/>
              <w:bottom w:val="single" w:sz="4" w:space="0" w:color="auto"/>
              <w:right w:val="single" w:sz="4" w:space="0" w:color="auto"/>
            </w:tcBorders>
            <w:shd w:val="clear" w:color="auto" w:fill="auto"/>
            <w:noWrap/>
            <w:vAlign w:val="bottom"/>
            <w:hideMark/>
          </w:tcPr>
          <w:p w14:paraId="7FE7DD7E"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                  12.782 </w:t>
            </w:r>
          </w:p>
        </w:tc>
        <w:tc>
          <w:tcPr>
            <w:tcW w:w="657" w:type="pct"/>
            <w:tcBorders>
              <w:top w:val="nil"/>
              <w:left w:val="nil"/>
              <w:bottom w:val="single" w:sz="4" w:space="0" w:color="auto"/>
              <w:right w:val="single" w:sz="4" w:space="0" w:color="auto"/>
            </w:tcBorders>
            <w:shd w:val="clear" w:color="auto" w:fill="auto"/>
            <w:noWrap/>
            <w:vAlign w:val="bottom"/>
            <w:hideMark/>
          </w:tcPr>
          <w:p w14:paraId="7D293084"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w:t>
            </w:r>
          </w:p>
        </w:tc>
        <w:tc>
          <w:tcPr>
            <w:tcW w:w="418" w:type="pct"/>
            <w:tcBorders>
              <w:top w:val="nil"/>
              <w:left w:val="nil"/>
              <w:bottom w:val="single" w:sz="4" w:space="0" w:color="auto"/>
              <w:right w:val="single" w:sz="4" w:space="0" w:color="auto"/>
            </w:tcBorders>
            <w:shd w:val="clear" w:color="auto" w:fill="auto"/>
            <w:noWrap/>
            <w:vAlign w:val="bottom"/>
            <w:hideMark/>
          </w:tcPr>
          <w:p w14:paraId="30374100"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w:t>
            </w:r>
          </w:p>
        </w:tc>
        <w:tc>
          <w:tcPr>
            <w:tcW w:w="657" w:type="pct"/>
            <w:tcBorders>
              <w:top w:val="nil"/>
              <w:left w:val="nil"/>
              <w:bottom w:val="single" w:sz="4" w:space="0" w:color="auto"/>
              <w:right w:val="single" w:sz="4" w:space="0" w:color="auto"/>
            </w:tcBorders>
            <w:shd w:val="clear" w:color="auto" w:fill="auto"/>
            <w:noWrap/>
            <w:vAlign w:val="bottom"/>
            <w:hideMark/>
          </w:tcPr>
          <w:p w14:paraId="52C55904"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                  12.782 </w:t>
            </w:r>
          </w:p>
        </w:tc>
      </w:tr>
      <w:tr w:rsidR="009C6488" w:rsidRPr="009C6488" w14:paraId="42914604" w14:textId="77777777" w:rsidTr="00446A14">
        <w:trPr>
          <w:trHeight w:val="198"/>
        </w:trPr>
        <w:tc>
          <w:tcPr>
            <w:tcW w:w="2611" w:type="pct"/>
            <w:tcBorders>
              <w:top w:val="nil"/>
              <w:left w:val="single" w:sz="4" w:space="0" w:color="auto"/>
              <w:bottom w:val="single" w:sz="4" w:space="0" w:color="auto"/>
              <w:right w:val="single" w:sz="4" w:space="0" w:color="auto"/>
            </w:tcBorders>
            <w:shd w:val="clear" w:color="auto" w:fill="auto"/>
            <w:noWrap/>
            <w:vAlign w:val="bottom"/>
            <w:hideMark/>
          </w:tcPr>
          <w:p w14:paraId="078BF634"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Itens que poderão ser </w:t>
            </w:r>
            <w:proofErr w:type="gramStart"/>
            <w:r w:rsidRPr="009C6488">
              <w:rPr>
                <w:rFonts w:ascii="Arial" w:eastAsia="Times New Roman" w:hAnsi="Arial" w:cs="Arial"/>
                <w:b/>
                <w:bCs/>
                <w:kern w:val="0"/>
                <w:sz w:val="14"/>
                <w:szCs w:val="14"/>
                <w:lang w:eastAsia="pt-BR"/>
                <w14:ligatures w14:val="none"/>
              </w:rPr>
              <w:t>Reclassificados  para</w:t>
            </w:r>
            <w:proofErr w:type="gramEnd"/>
            <w:r w:rsidRPr="009C6488">
              <w:rPr>
                <w:rFonts w:ascii="Arial" w:eastAsia="Times New Roman" w:hAnsi="Arial" w:cs="Arial"/>
                <w:b/>
                <w:bCs/>
                <w:kern w:val="0"/>
                <w:sz w:val="14"/>
                <w:szCs w:val="14"/>
                <w:lang w:eastAsia="pt-BR"/>
                <w14:ligatures w14:val="none"/>
              </w:rPr>
              <w:t xml:space="preserve"> o Resultado:</w:t>
            </w:r>
          </w:p>
        </w:tc>
        <w:tc>
          <w:tcPr>
            <w:tcW w:w="657" w:type="pct"/>
            <w:tcBorders>
              <w:top w:val="nil"/>
              <w:left w:val="nil"/>
              <w:bottom w:val="single" w:sz="4" w:space="0" w:color="auto"/>
              <w:right w:val="single" w:sz="4" w:space="0" w:color="auto"/>
            </w:tcBorders>
            <w:shd w:val="clear" w:color="auto" w:fill="auto"/>
            <w:noWrap/>
            <w:vAlign w:val="bottom"/>
            <w:hideMark/>
          </w:tcPr>
          <w:p w14:paraId="1F70D52D"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                  12.864 </w:t>
            </w:r>
          </w:p>
        </w:tc>
        <w:tc>
          <w:tcPr>
            <w:tcW w:w="657" w:type="pct"/>
            <w:tcBorders>
              <w:top w:val="nil"/>
              <w:left w:val="nil"/>
              <w:bottom w:val="single" w:sz="4" w:space="0" w:color="auto"/>
              <w:right w:val="single" w:sz="4" w:space="0" w:color="auto"/>
            </w:tcBorders>
            <w:shd w:val="clear" w:color="auto" w:fill="auto"/>
            <w:noWrap/>
            <w:vAlign w:val="bottom"/>
            <w:hideMark/>
          </w:tcPr>
          <w:p w14:paraId="46AEE03C"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w:t>
            </w:r>
          </w:p>
        </w:tc>
        <w:tc>
          <w:tcPr>
            <w:tcW w:w="418" w:type="pct"/>
            <w:tcBorders>
              <w:top w:val="nil"/>
              <w:left w:val="nil"/>
              <w:bottom w:val="single" w:sz="4" w:space="0" w:color="auto"/>
              <w:right w:val="single" w:sz="4" w:space="0" w:color="auto"/>
            </w:tcBorders>
            <w:shd w:val="clear" w:color="auto" w:fill="auto"/>
            <w:noWrap/>
            <w:vAlign w:val="bottom"/>
            <w:hideMark/>
          </w:tcPr>
          <w:p w14:paraId="3DDD432D"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w:t>
            </w:r>
          </w:p>
        </w:tc>
        <w:tc>
          <w:tcPr>
            <w:tcW w:w="657" w:type="pct"/>
            <w:tcBorders>
              <w:top w:val="nil"/>
              <w:left w:val="nil"/>
              <w:bottom w:val="single" w:sz="4" w:space="0" w:color="auto"/>
              <w:right w:val="single" w:sz="4" w:space="0" w:color="auto"/>
            </w:tcBorders>
            <w:shd w:val="clear" w:color="auto" w:fill="auto"/>
            <w:noWrap/>
            <w:vAlign w:val="bottom"/>
            <w:hideMark/>
          </w:tcPr>
          <w:p w14:paraId="6C66E5F8"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                  12.864 </w:t>
            </w:r>
          </w:p>
        </w:tc>
      </w:tr>
      <w:tr w:rsidR="009C6488" w:rsidRPr="009C6488" w14:paraId="020FC9B6" w14:textId="77777777" w:rsidTr="00446A14">
        <w:trPr>
          <w:trHeight w:val="198"/>
        </w:trPr>
        <w:tc>
          <w:tcPr>
            <w:tcW w:w="2611" w:type="pct"/>
            <w:tcBorders>
              <w:top w:val="nil"/>
              <w:left w:val="single" w:sz="4" w:space="0" w:color="auto"/>
              <w:bottom w:val="single" w:sz="4" w:space="0" w:color="auto"/>
              <w:right w:val="single" w:sz="4" w:space="0" w:color="auto"/>
            </w:tcBorders>
            <w:shd w:val="clear" w:color="auto" w:fill="auto"/>
            <w:vAlign w:val="center"/>
            <w:hideMark/>
          </w:tcPr>
          <w:p w14:paraId="5A37E915" w14:textId="77777777" w:rsidR="009C6488" w:rsidRPr="009C6488" w:rsidRDefault="009C6488" w:rsidP="009C6488">
            <w:pPr>
              <w:spacing w:after="0" w:line="240" w:lineRule="auto"/>
              <w:ind w:firstLineChars="100" w:firstLine="140"/>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Equivalência patrimonial sobre Outros Resultados Abrangentes em Coligadas</w:t>
            </w:r>
          </w:p>
        </w:tc>
        <w:tc>
          <w:tcPr>
            <w:tcW w:w="657" w:type="pct"/>
            <w:tcBorders>
              <w:top w:val="nil"/>
              <w:left w:val="nil"/>
              <w:bottom w:val="single" w:sz="4" w:space="0" w:color="auto"/>
              <w:right w:val="single" w:sz="4" w:space="0" w:color="auto"/>
            </w:tcBorders>
            <w:shd w:val="clear" w:color="auto" w:fill="auto"/>
            <w:noWrap/>
            <w:vAlign w:val="bottom"/>
            <w:hideMark/>
          </w:tcPr>
          <w:p w14:paraId="2DF5BE78"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                  12.864 </w:t>
            </w:r>
          </w:p>
        </w:tc>
        <w:tc>
          <w:tcPr>
            <w:tcW w:w="657" w:type="pct"/>
            <w:tcBorders>
              <w:top w:val="nil"/>
              <w:left w:val="nil"/>
              <w:bottom w:val="single" w:sz="4" w:space="0" w:color="auto"/>
              <w:right w:val="single" w:sz="4" w:space="0" w:color="auto"/>
            </w:tcBorders>
            <w:shd w:val="clear" w:color="auto" w:fill="auto"/>
            <w:noWrap/>
            <w:vAlign w:val="bottom"/>
            <w:hideMark/>
          </w:tcPr>
          <w:p w14:paraId="4798D464"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418" w:type="pct"/>
            <w:tcBorders>
              <w:top w:val="nil"/>
              <w:left w:val="nil"/>
              <w:bottom w:val="single" w:sz="4" w:space="0" w:color="auto"/>
              <w:right w:val="single" w:sz="4" w:space="0" w:color="auto"/>
            </w:tcBorders>
            <w:shd w:val="clear" w:color="auto" w:fill="auto"/>
            <w:noWrap/>
            <w:vAlign w:val="bottom"/>
            <w:hideMark/>
          </w:tcPr>
          <w:p w14:paraId="4D18CF27"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657" w:type="pct"/>
            <w:tcBorders>
              <w:top w:val="nil"/>
              <w:left w:val="nil"/>
              <w:bottom w:val="single" w:sz="4" w:space="0" w:color="auto"/>
              <w:right w:val="single" w:sz="4" w:space="0" w:color="auto"/>
            </w:tcBorders>
            <w:shd w:val="clear" w:color="auto" w:fill="auto"/>
            <w:noWrap/>
            <w:vAlign w:val="bottom"/>
            <w:hideMark/>
          </w:tcPr>
          <w:p w14:paraId="4BCFE84E"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                  12.864 </w:t>
            </w:r>
          </w:p>
        </w:tc>
      </w:tr>
      <w:tr w:rsidR="009C6488" w:rsidRPr="009C6488" w14:paraId="67DF7B6F" w14:textId="77777777" w:rsidTr="00446A14">
        <w:trPr>
          <w:trHeight w:val="198"/>
        </w:trPr>
        <w:tc>
          <w:tcPr>
            <w:tcW w:w="2611" w:type="pct"/>
            <w:tcBorders>
              <w:top w:val="nil"/>
              <w:left w:val="single" w:sz="4" w:space="0" w:color="auto"/>
              <w:bottom w:val="single" w:sz="4" w:space="0" w:color="auto"/>
              <w:right w:val="single" w:sz="4" w:space="0" w:color="auto"/>
            </w:tcBorders>
            <w:shd w:val="clear" w:color="auto" w:fill="auto"/>
            <w:noWrap/>
            <w:vAlign w:val="bottom"/>
            <w:hideMark/>
          </w:tcPr>
          <w:p w14:paraId="32BA08A2"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Itens que não serão </w:t>
            </w:r>
            <w:proofErr w:type="gramStart"/>
            <w:r w:rsidRPr="009C6488">
              <w:rPr>
                <w:rFonts w:ascii="Arial" w:eastAsia="Times New Roman" w:hAnsi="Arial" w:cs="Arial"/>
                <w:b/>
                <w:bCs/>
                <w:kern w:val="0"/>
                <w:sz w:val="14"/>
                <w:szCs w:val="14"/>
                <w:lang w:eastAsia="pt-BR"/>
                <w14:ligatures w14:val="none"/>
              </w:rPr>
              <w:t>Reclassificados  para</w:t>
            </w:r>
            <w:proofErr w:type="gramEnd"/>
            <w:r w:rsidRPr="009C6488">
              <w:rPr>
                <w:rFonts w:ascii="Arial" w:eastAsia="Times New Roman" w:hAnsi="Arial" w:cs="Arial"/>
                <w:b/>
                <w:bCs/>
                <w:kern w:val="0"/>
                <w:sz w:val="14"/>
                <w:szCs w:val="14"/>
                <w:lang w:eastAsia="pt-BR"/>
                <w14:ligatures w14:val="none"/>
              </w:rPr>
              <w:t xml:space="preserve"> o Resultado:</w:t>
            </w:r>
          </w:p>
        </w:tc>
        <w:tc>
          <w:tcPr>
            <w:tcW w:w="657" w:type="pct"/>
            <w:tcBorders>
              <w:top w:val="nil"/>
              <w:left w:val="nil"/>
              <w:bottom w:val="single" w:sz="4" w:space="0" w:color="auto"/>
              <w:right w:val="single" w:sz="4" w:space="0" w:color="auto"/>
            </w:tcBorders>
            <w:shd w:val="clear" w:color="auto" w:fill="auto"/>
            <w:noWrap/>
            <w:vAlign w:val="bottom"/>
            <w:hideMark/>
          </w:tcPr>
          <w:p w14:paraId="25EA0D91"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                       (82)</w:t>
            </w:r>
          </w:p>
        </w:tc>
        <w:tc>
          <w:tcPr>
            <w:tcW w:w="657" w:type="pct"/>
            <w:tcBorders>
              <w:top w:val="nil"/>
              <w:left w:val="nil"/>
              <w:bottom w:val="single" w:sz="4" w:space="0" w:color="auto"/>
              <w:right w:val="single" w:sz="4" w:space="0" w:color="auto"/>
            </w:tcBorders>
            <w:shd w:val="clear" w:color="auto" w:fill="auto"/>
            <w:noWrap/>
            <w:vAlign w:val="bottom"/>
            <w:hideMark/>
          </w:tcPr>
          <w:p w14:paraId="1F172E92"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w:t>
            </w:r>
          </w:p>
        </w:tc>
        <w:tc>
          <w:tcPr>
            <w:tcW w:w="418" w:type="pct"/>
            <w:tcBorders>
              <w:top w:val="nil"/>
              <w:left w:val="nil"/>
              <w:bottom w:val="single" w:sz="4" w:space="0" w:color="auto"/>
              <w:right w:val="single" w:sz="4" w:space="0" w:color="auto"/>
            </w:tcBorders>
            <w:shd w:val="clear" w:color="auto" w:fill="auto"/>
            <w:noWrap/>
            <w:vAlign w:val="bottom"/>
            <w:hideMark/>
          </w:tcPr>
          <w:p w14:paraId="57626809"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w:t>
            </w:r>
          </w:p>
        </w:tc>
        <w:tc>
          <w:tcPr>
            <w:tcW w:w="657" w:type="pct"/>
            <w:tcBorders>
              <w:top w:val="nil"/>
              <w:left w:val="nil"/>
              <w:bottom w:val="single" w:sz="4" w:space="0" w:color="auto"/>
              <w:right w:val="single" w:sz="4" w:space="0" w:color="auto"/>
            </w:tcBorders>
            <w:shd w:val="clear" w:color="auto" w:fill="auto"/>
            <w:noWrap/>
            <w:vAlign w:val="bottom"/>
            <w:hideMark/>
          </w:tcPr>
          <w:p w14:paraId="753E08AB"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                       (82)</w:t>
            </w:r>
          </w:p>
        </w:tc>
      </w:tr>
      <w:tr w:rsidR="009C6488" w:rsidRPr="009C6488" w14:paraId="7CFEF0B0" w14:textId="77777777" w:rsidTr="00446A14">
        <w:trPr>
          <w:trHeight w:val="198"/>
        </w:trPr>
        <w:tc>
          <w:tcPr>
            <w:tcW w:w="2611" w:type="pct"/>
            <w:tcBorders>
              <w:top w:val="nil"/>
              <w:left w:val="single" w:sz="4" w:space="0" w:color="auto"/>
              <w:bottom w:val="single" w:sz="4" w:space="0" w:color="auto"/>
              <w:right w:val="single" w:sz="4" w:space="0" w:color="auto"/>
            </w:tcBorders>
            <w:shd w:val="clear" w:color="auto" w:fill="auto"/>
            <w:vAlign w:val="center"/>
            <w:hideMark/>
          </w:tcPr>
          <w:p w14:paraId="038F4026" w14:textId="77777777" w:rsidR="009C6488" w:rsidRPr="009C6488" w:rsidRDefault="009C6488" w:rsidP="009C6488">
            <w:pPr>
              <w:spacing w:after="0" w:line="240" w:lineRule="auto"/>
              <w:ind w:firstLineChars="100" w:firstLine="140"/>
              <w:rPr>
                <w:rFonts w:ascii="Arial" w:eastAsia="Times New Roman" w:hAnsi="Arial" w:cs="Arial"/>
                <w:kern w:val="0"/>
                <w:sz w:val="14"/>
                <w:szCs w:val="14"/>
                <w:lang w:eastAsia="pt-BR"/>
                <w14:ligatures w14:val="none"/>
              </w:rPr>
            </w:pPr>
            <w:proofErr w:type="gramStart"/>
            <w:r w:rsidRPr="009C6488">
              <w:rPr>
                <w:rFonts w:ascii="Arial" w:eastAsia="Times New Roman" w:hAnsi="Arial" w:cs="Arial"/>
                <w:kern w:val="0"/>
                <w:sz w:val="14"/>
                <w:szCs w:val="14"/>
                <w:lang w:eastAsia="pt-BR"/>
                <w14:ligatures w14:val="none"/>
              </w:rPr>
              <w:t>Perdas  c</w:t>
            </w:r>
            <w:proofErr w:type="gramEnd"/>
            <w:r w:rsidRPr="009C6488">
              <w:rPr>
                <w:rFonts w:ascii="Arial" w:eastAsia="Times New Roman" w:hAnsi="Arial" w:cs="Arial"/>
                <w:kern w:val="0"/>
                <w:sz w:val="14"/>
                <w:szCs w:val="14"/>
                <w:lang w:eastAsia="pt-BR"/>
                <w14:ligatures w14:val="none"/>
              </w:rPr>
              <w:t>/ Instrumentos Financeiros - VJORA</w:t>
            </w:r>
          </w:p>
        </w:tc>
        <w:tc>
          <w:tcPr>
            <w:tcW w:w="657" w:type="pct"/>
            <w:tcBorders>
              <w:top w:val="nil"/>
              <w:left w:val="nil"/>
              <w:bottom w:val="single" w:sz="4" w:space="0" w:color="auto"/>
              <w:right w:val="single" w:sz="4" w:space="0" w:color="auto"/>
            </w:tcBorders>
            <w:shd w:val="clear" w:color="auto" w:fill="auto"/>
            <w:noWrap/>
            <w:vAlign w:val="bottom"/>
            <w:hideMark/>
          </w:tcPr>
          <w:p w14:paraId="299C97B8"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                       (82)</w:t>
            </w:r>
          </w:p>
        </w:tc>
        <w:tc>
          <w:tcPr>
            <w:tcW w:w="657" w:type="pct"/>
            <w:tcBorders>
              <w:top w:val="nil"/>
              <w:left w:val="nil"/>
              <w:bottom w:val="single" w:sz="4" w:space="0" w:color="auto"/>
              <w:right w:val="single" w:sz="4" w:space="0" w:color="auto"/>
            </w:tcBorders>
            <w:shd w:val="clear" w:color="auto" w:fill="auto"/>
            <w:noWrap/>
            <w:vAlign w:val="bottom"/>
            <w:hideMark/>
          </w:tcPr>
          <w:p w14:paraId="7775443C"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418" w:type="pct"/>
            <w:tcBorders>
              <w:top w:val="nil"/>
              <w:left w:val="nil"/>
              <w:bottom w:val="single" w:sz="4" w:space="0" w:color="auto"/>
              <w:right w:val="single" w:sz="4" w:space="0" w:color="auto"/>
            </w:tcBorders>
            <w:shd w:val="clear" w:color="auto" w:fill="auto"/>
            <w:noWrap/>
            <w:vAlign w:val="bottom"/>
            <w:hideMark/>
          </w:tcPr>
          <w:p w14:paraId="68C79C31"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657" w:type="pct"/>
            <w:tcBorders>
              <w:top w:val="nil"/>
              <w:left w:val="nil"/>
              <w:bottom w:val="single" w:sz="4" w:space="0" w:color="auto"/>
              <w:right w:val="single" w:sz="4" w:space="0" w:color="auto"/>
            </w:tcBorders>
            <w:shd w:val="clear" w:color="auto" w:fill="auto"/>
            <w:noWrap/>
            <w:vAlign w:val="bottom"/>
            <w:hideMark/>
          </w:tcPr>
          <w:p w14:paraId="4CC0014E"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                       (82)</w:t>
            </w:r>
          </w:p>
        </w:tc>
      </w:tr>
      <w:tr w:rsidR="009C6488" w:rsidRPr="009C6488" w14:paraId="08D956A1" w14:textId="77777777" w:rsidTr="00446A14">
        <w:trPr>
          <w:trHeight w:val="198"/>
        </w:trPr>
        <w:tc>
          <w:tcPr>
            <w:tcW w:w="2611" w:type="pct"/>
            <w:tcBorders>
              <w:top w:val="nil"/>
              <w:left w:val="single" w:sz="4" w:space="0" w:color="auto"/>
              <w:bottom w:val="single" w:sz="4" w:space="0" w:color="auto"/>
              <w:right w:val="single" w:sz="4" w:space="0" w:color="auto"/>
            </w:tcBorders>
            <w:shd w:val="clear" w:color="auto" w:fill="auto"/>
            <w:noWrap/>
            <w:vAlign w:val="bottom"/>
            <w:hideMark/>
          </w:tcPr>
          <w:p w14:paraId="5B648A98"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Resultado Abrangente Total</w:t>
            </w:r>
          </w:p>
        </w:tc>
        <w:tc>
          <w:tcPr>
            <w:tcW w:w="657" w:type="pct"/>
            <w:tcBorders>
              <w:top w:val="nil"/>
              <w:left w:val="nil"/>
              <w:bottom w:val="single" w:sz="4" w:space="0" w:color="auto"/>
              <w:right w:val="single" w:sz="4" w:space="0" w:color="auto"/>
            </w:tcBorders>
            <w:shd w:val="clear" w:color="auto" w:fill="auto"/>
            <w:noWrap/>
            <w:vAlign w:val="bottom"/>
            <w:hideMark/>
          </w:tcPr>
          <w:p w14:paraId="3B25D065"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                (93.444)</w:t>
            </w:r>
          </w:p>
        </w:tc>
        <w:tc>
          <w:tcPr>
            <w:tcW w:w="657" w:type="pct"/>
            <w:tcBorders>
              <w:top w:val="nil"/>
              <w:left w:val="nil"/>
              <w:bottom w:val="single" w:sz="4" w:space="0" w:color="auto"/>
              <w:right w:val="single" w:sz="4" w:space="0" w:color="auto"/>
            </w:tcBorders>
            <w:shd w:val="clear" w:color="auto" w:fill="auto"/>
            <w:noWrap/>
            <w:vAlign w:val="bottom"/>
            <w:hideMark/>
          </w:tcPr>
          <w:p w14:paraId="34B8911A"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                (31.157)</w:t>
            </w:r>
          </w:p>
        </w:tc>
        <w:tc>
          <w:tcPr>
            <w:tcW w:w="418" w:type="pct"/>
            <w:tcBorders>
              <w:top w:val="nil"/>
              <w:left w:val="nil"/>
              <w:bottom w:val="single" w:sz="4" w:space="0" w:color="auto"/>
              <w:right w:val="single" w:sz="4" w:space="0" w:color="auto"/>
            </w:tcBorders>
            <w:shd w:val="clear" w:color="auto" w:fill="auto"/>
            <w:noWrap/>
            <w:vAlign w:val="bottom"/>
            <w:hideMark/>
          </w:tcPr>
          <w:p w14:paraId="27A36731"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         (197)</w:t>
            </w:r>
          </w:p>
        </w:tc>
        <w:tc>
          <w:tcPr>
            <w:tcW w:w="657" w:type="pct"/>
            <w:tcBorders>
              <w:top w:val="nil"/>
              <w:left w:val="nil"/>
              <w:bottom w:val="single" w:sz="4" w:space="0" w:color="auto"/>
              <w:right w:val="single" w:sz="4" w:space="0" w:color="auto"/>
            </w:tcBorders>
            <w:shd w:val="clear" w:color="auto" w:fill="auto"/>
            <w:noWrap/>
            <w:vAlign w:val="bottom"/>
            <w:hideMark/>
          </w:tcPr>
          <w:p w14:paraId="42BA86FC"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              (124.798)</w:t>
            </w:r>
          </w:p>
        </w:tc>
      </w:tr>
    </w:tbl>
    <w:p w14:paraId="7AA10AF2" w14:textId="00801764" w:rsidR="009C6488" w:rsidRPr="009C6488" w:rsidRDefault="009C6488" w:rsidP="009C6488">
      <w:pPr>
        <w:keepNext/>
        <w:spacing w:after="0" w:line="276" w:lineRule="auto"/>
        <w:jc w:val="both"/>
        <w:outlineLvl w:val="1"/>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3.3.5. </w:t>
      </w:r>
      <w:r w:rsidRPr="009C6488">
        <w:rPr>
          <w:rFonts w:ascii="Calibri" w:eastAsia="Times New Roman" w:hAnsi="Calibri" w:cs="Calibri"/>
          <w:b/>
          <w:bCs/>
          <w:iCs/>
          <w:color w:val="002060"/>
          <w:kern w:val="0"/>
          <w14:ligatures w14:val="none"/>
        </w:rPr>
        <w:t>Demonstração dos Fluxos de Caixa</w:t>
      </w:r>
    </w:p>
    <w:tbl>
      <w:tblPr>
        <w:tblW w:w="5000" w:type="pct"/>
        <w:tblCellMar>
          <w:left w:w="70" w:type="dxa"/>
          <w:right w:w="70" w:type="dxa"/>
        </w:tblCellMar>
        <w:tblLook w:val="04A0" w:firstRow="1" w:lastRow="0" w:firstColumn="1" w:lastColumn="0" w:noHBand="0" w:noVBand="1"/>
      </w:tblPr>
      <w:tblGrid>
        <w:gridCol w:w="5378"/>
        <w:gridCol w:w="922"/>
        <w:gridCol w:w="1237"/>
        <w:gridCol w:w="1004"/>
        <w:gridCol w:w="1230"/>
      </w:tblGrid>
      <w:tr w:rsidR="009C6488" w:rsidRPr="009C6488" w14:paraId="4BB0D27E" w14:textId="77777777" w:rsidTr="00446A14">
        <w:trPr>
          <w:trHeight w:val="198"/>
          <w:tblHeader/>
        </w:trPr>
        <w:tc>
          <w:tcPr>
            <w:tcW w:w="2528" w:type="pct"/>
            <w:vMerge w:val="restart"/>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0F2DE0E0" w14:textId="77777777" w:rsidR="009C6488" w:rsidRPr="009C6488" w:rsidRDefault="009C6488" w:rsidP="009C6488">
            <w:pPr>
              <w:spacing w:after="0" w:line="240" w:lineRule="auto"/>
              <w:jc w:val="center"/>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 </w:t>
            </w:r>
          </w:p>
        </w:tc>
        <w:tc>
          <w:tcPr>
            <w:tcW w:w="5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18B615" w14:textId="77777777" w:rsidR="009C6488" w:rsidRPr="009C6488" w:rsidRDefault="009C6488" w:rsidP="009C6488">
            <w:pPr>
              <w:spacing w:after="0" w:line="240" w:lineRule="auto"/>
              <w:jc w:val="center"/>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Saldos Divulgados em 2020</w:t>
            </w:r>
          </w:p>
        </w:tc>
        <w:tc>
          <w:tcPr>
            <w:tcW w:w="1154" w:type="pct"/>
            <w:gridSpan w:val="2"/>
            <w:tcBorders>
              <w:top w:val="single" w:sz="4" w:space="0" w:color="auto"/>
              <w:left w:val="nil"/>
              <w:bottom w:val="single" w:sz="4" w:space="0" w:color="auto"/>
              <w:right w:val="single" w:sz="4" w:space="0" w:color="auto"/>
            </w:tcBorders>
            <w:shd w:val="clear" w:color="auto" w:fill="auto"/>
            <w:noWrap/>
            <w:vAlign w:val="bottom"/>
            <w:hideMark/>
          </w:tcPr>
          <w:p w14:paraId="450E331F" w14:textId="77777777" w:rsidR="009C6488" w:rsidRPr="009C6488" w:rsidRDefault="009C6488" w:rsidP="009C6488">
            <w:pPr>
              <w:spacing w:after="0" w:line="240" w:lineRule="auto"/>
              <w:jc w:val="center"/>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Ajustes</w:t>
            </w:r>
          </w:p>
        </w:tc>
        <w:tc>
          <w:tcPr>
            <w:tcW w:w="7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CC10E4" w14:textId="77777777" w:rsidR="009C6488" w:rsidRPr="009C6488" w:rsidRDefault="009C6488" w:rsidP="009C6488">
            <w:pPr>
              <w:spacing w:after="0" w:line="240" w:lineRule="auto"/>
              <w:jc w:val="center"/>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Saldos Reapresentados em 2020</w:t>
            </w:r>
          </w:p>
        </w:tc>
      </w:tr>
      <w:tr w:rsidR="009C6488" w:rsidRPr="009C6488" w14:paraId="0C5FF878" w14:textId="77777777" w:rsidTr="00446A14">
        <w:trPr>
          <w:trHeight w:val="198"/>
          <w:tblHeader/>
        </w:trPr>
        <w:tc>
          <w:tcPr>
            <w:tcW w:w="2528" w:type="pct"/>
            <w:vMerge/>
            <w:tcBorders>
              <w:top w:val="single" w:sz="4" w:space="0" w:color="auto"/>
              <w:left w:val="single" w:sz="4" w:space="0" w:color="auto"/>
              <w:bottom w:val="single" w:sz="4" w:space="0" w:color="auto"/>
              <w:right w:val="single" w:sz="4" w:space="0" w:color="auto"/>
            </w:tcBorders>
            <w:vAlign w:val="center"/>
            <w:hideMark/>
          </w:tcPr>
          <w:p w14:paraId="5988198B" w14:textId="77777777" w:rsidR="009C6488" w:rsidRPr="009C6488" w:rsidRDefault="009C6488" w:rsidP="009C6488">
            <w:pPr>
              <w:spacing w:after="0" w:line="240" w:lineRule="auto"/>
              <w:rPr>
                <w:rFonts w:ascii="Arial" w:eastAsia="Times New Roman" w:hAnsi="Arial" w:cs="Arial"/>
                <w:b/>
                <w:bCs/>
                <w:color w:val="000000"/>
                <w:kern w:val="0"/>
                <w:sz w:val="14"/>
                <w:szCs w:val="14"/>
                <w:lang w:eastAsia="pt-BR"/>
                <w14:ligatures w14:val="none"/>
              </w:rPr>
            </w:pPr>
          </w:p>
        </w:tc>
        <w:tc>
          <w:tcPr>
            <w:tcW w:w="586" w:type="pct"/>
            <w:vMerge/>
            <w:tcBorders>
              <w:top w:val="single" w:sz="4" w:space="0" w:color="auto"/>
              <w:left w:val="single" w:sz="4" w:space="0" w:color="auto"/>
              <w:bottom w:val="single" w:sz="4" w:space="0" w:color="auto"/>
              <w:right w:val="single" w:sz="4" w:space="0" w:color="auto"/>
            </w:tcBorders>
            <w:vAlign w:val="center"/>
            <w:hideMark/>
          </w:tcPr>
          <w:p w14:paraId="5548C74E" w14:textId="77777777" w:rsidR="009C6488" w:rsidRPr="009C6488" w:rsidRDefault="009C6488" w:rsidP="009C6488">
            <w:pPr>
              <w:spacing w:after="0" w:line="240" w:lineRule="auto"/>
              <w:rPr>
                <w:rFonts w:ascii="Arial" w:eastAsia="Times New Roman" w:hAnsi="Arial" w:cs="Arial"/>
                <w:b/>
                <w:bCs/>
                <w:color w:val="000000"/>
                <w:kern w:val="0"/>
                <w:sz w:val="14"/>
                <w:szCs w:val="14"/>
                <w:lang w:eastAsia="pt-BR"/>
                <w14:ligatures w14:val="none"/>
              </w:rPr>
            </w:pPr>
          </w:p>
        </w:tc>
        <w:tc>
          <w:tcPr>
            <w:tcW w:w="641" w:type="pct"/>
            <w:tcBorders>
              <w:top w:val="nil"/>
              <w:left w:val="nil"/>
              <w:bottom w:val="single" w:sz="4" w:space="0" w:color="auto"/>
              <w:right w:val="single" w:sz="4" w:space="0" w:color="auto"/>
            </w:tcBorders>
            <w:shd w:val="clear" w:color="auto" w:fill="auto"/>
            <w:vAlign w:val="center"/>
            <w:hideMark/>
          </w:tcPr>
          <w:p w14:paraId="6412E50F" w14:textId="77777777" w:rsidR="009C6488" w:rsidRPr="009C6488" w:rsidRDefault="009C6488" w:rsidP="009C6488">
            <w:pPr>
              <w:spacing w:after="0" w:line="240" w:lineRule="auto"/>
              <w:jc w:val="center"/>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Subvenções para Investimentos</w:t>
            </w:r>
          </w:p>
        </w:tc>
        <w:tc>
          <w:tcPr>
            <w:tcW w:w="513" w:type="pct"/>
            <w:tcBorders>
              <w:top w:val="nil"/>
              <w:left w:val="nil"/>
              <w:bottom w:val="single" w:sz="4" w:space="0" w:color="auto"/>
              <w:right w:val="single" w:sz="4" w:space="0" w:color="auto"/>
            </w:tcBorders>
            <w:shd w:val="clear" w:color="auto" w:fill="auto"/>
            <w:vAlign w:val="center"/>
            <w:hideMark/>
          </w:tcPr>
          <w:p w14:paraId="43EA559A" w14:textId="77777777" w:rsidR="009C6488" w:rsidRPr="009C6488" w:rsidRDefault="009C6488" w:rsidP="009C6488">
            <w:pPr>
              <w:spacing w:after="0" w:line="240" w:lineRule="auto"/>
              <w:jc w:val="center"/>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 xml:space="preserve">Juros sobre </w:t>
            </w:r>
            <w:proofErr w:type="spellStart"/>
            <w:r w:rsidRPr="009C6488">
              <w:rPr>
                <w:rFonts w:ascii="Arial" w:eastAsia="Times New Roman" w:hAnsi="Arial" w:cs="Arial"/>
                <w:b/>
                <w:bCs/>
                <w:color w:val="000000"/>
                <w:kern w:val="0"/>
                <w:sz w:val="14"/>
                <w:szCs w:val="14"/>
                <w:lang w:eastAsia="pt-BR"/>
                <w14:ligatures w14:val="none"/>
              </w:rPr>
              <w:t>Afac</w:t>
            </w:r>
            <w:proofErr w:type="spellEnd"/>
          </w:p>
        </w:tc>
        <w:tc>
          <w:tcPr>
            <w:tcW w:w="732" w:type="pct"/>
            <w:vMerge/>
            <w:tcBorders>
              <w:top w:val="single" w:sz="4" w:space="0" w:color="auto"/>
              <w:left w:val="single" w:sz="4" w:space="0" w:color="auto"/>
              <w:bottom w:val="single" w:sz="4" w:space="0" w:color="auto"/>
              <w:right w:val="single" w:sz="4" w:space="0" w:color="auto"/>
            </w:tcBorders>
            <w:vAlign w:val="center"/>
            <w:hideMark/>
          </w:tcPr>
          <w:p w14:paraId="0FE2D708" w14:textId="77777777" w:rsidR="009C6488" w:rsidRPr="009C6488" w:rsidRDefault="009C6488" w:rsidP="009C6488">
            <w:pPr>
              <w:spacing w:after="0" w:line="240" w:lineRule="auto"/>
              <w:rPr>
                <w:rFonts w:ascii="Arial" w:eastAsia="Times New Roman" w:hAnsi="Arial" w:cs="Arial"/>
                <w:b/>
                <w:bCs/>
                <w:color w:val="000000"/>
                <w:kern w:val="0"/>
                <w:sz w:val="14"/>
                <w:szCs w:val="14"/>
                <w:lang w:eastAsia="pt-BR"/>
                <w14:ligatures w14:val="none"/>
              </w:rPr>
            </w:pPr>
          </w:p>
        </w:tc>
      </w:tr>
      <w:tr w:rsidR="009C6488" w:rsidRPr="009C6488" w14:paraId="7B97786F"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58CBCDA9"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Fluxos de Caixa das Atividades Operacionais</w:t>
            </w:r>
          </w:p>
        </w:tc>
        <w:tc>
          <w:tcPr>
            <w:tcW w:w="586" w:type="pct"/>
            <w:tcBorders>
              <w:top w:val="nil"/>
              <w:left w:val="nil"/>
              <w:bottom w:val="single" w:sz="4" w:space="0" w:color="auto"/>
              <w:right w:val="single" w:sz="4" w:space="0" w:color="auto"/>
            </w:tcBorders>
            <w:shd w:val="clear" w:color="auto" w:fill="auto"/>
            <w:noWrap/>
            <w:vAlign w:val="bottom"/>
            <w:hideMark/>
          </w:tcPr>
          <w:p w14:paraId="1D9DC3D5"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641" w:type="pct"/>
            <w:tcBorders>
              <w:top w:val="nil"/>
              <w:left w:val="nil"/>
              <w:bottom w:val="single" w:sz="4" w:space="0" w:color="auto"/>
              <w:right w:val="single" w:sz="4" w:space="0" w:color="auto"/>
            </w:tcBorders>
            <w:shd w:val="clear" w:color="auto" w:fill="auto"/>
            <w:noWrap/>
            <w:vAlign w:val="bottom"/>
            <w:hideMark/>
          </w:tcPr>
          <w:p w14:paraId="486E8A63"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513" w:type="pct"/>
            <w:tcBorders>
              <w:top w:val="nil"/>
              <w:left w:val="nil"/>
              <w:bottom w:val="single" w:sz="4" w:space="0" w:color="auto"/>
              <w:right w:val="single" w:sz="4" w:space="0" w:color="auto"/>
            </w:tcBorders>
            <w:shd w:val="clear" w:color="auto" w:fill="auto"/>
            <w:noWrap/>
            <w:vAlign w:val="bottom"/>
            <w:hideMark/>
          </w:tcPr>
          <w:p w14:paraId="53BFC0CB"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732" w:type="pct"/>
            <w:tcBorders>
              <w:top w:val="nil"/>
              <w:left w:val="nil"/>
              <w:bottom w:val="single" w:sz="4" w:space="0" w:color="auto"/>
              <w:right w:val="single" w:sz="4" w:space="0" w:color="auto"/>
            </w:tcBorders>
            <w:shd w:val="clear" w:color="auto" w:fill="auto"/>
            <w:noWrap/>
            <w:vAlign w:val="bottom"/>
            <w:hideMark/>
          </w:tcPr>
          <w:p w14:paraId="7E541ADC"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r>
      <w:tr w:rsidR="009C6488" w:rsidRPr="009C6488" w14:paraId="55AB7041"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7CF426BE"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Prejuízo antes do Imposto de Renda e Contribuição Social</w:t>
            </w:r>
          </w:p>
        </w:tc>
        <w:tc>
          <w:tcPr>
            <w:tcW w:w="586" w:type="pct"/>
            <w:tcBorders>
              <w:top w:val="nil"/>
              <w:left w:val="nil"/>
              <w:bottom w:val="single" w:sz="4" w:space="0" w:color="auto"/>
              <w:right w:val="single" w:sz="4" w:space="0" w:color="auto"/>
            </w:tcBorders>
            <w:shd w:val="clear" w:color="auto" w:fill="auto"/>
            <w:noWrap/>
            <w:vAlign w:val="bottom"/>
            <w:hideMark/>
          </w:tcPr>
          <w:p w14:paraId="3D7F40EF"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(106.226)</w:t>
            </w:r>
          </w:p>
        </w:tc>
        <w:tc>
          <w:tcPr>
            <w:tcW w:w="641" w:type="pct"/>
            <w:tcBorders>
              <w:top w:val="nil"/>
              <w:left w:val="nil"/>
              <w:bottom w:val="single" w:sz="4" w:space="0" w:color="auto"/>
              <w:right w:val="single" w:sz="4" w:space="0" w:color="auto"/>
            </w:tcBorders>
            <w:shd w:val="clear" w:color="auto" w:fill="auto"/>
            <w:noWrap/>
            <w:vAlign w:val="bottom"/>
            <w:hideMark/>
          </w:tcPr>
          <w:p w14:paraId="55EAD8AE"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513" w:type="pct"/>
            <w:tcBorders>
              <w:top w:val="nil"/>
              <w:left w:val="nil"/>
              <w:bottom w:val="single" w:sz="4" w:space="0" w:color="auto"/>
              <w:right w:val="single" w:sz="4" w:space="0" w:color="auto"/>
            </w:tcBorders>
            <w:shd w:val="clear" w:color="auto" w:fill="auto"/>
            <w:noWrap/>
            <w:vAlign w:val="bottom"/>
            <w:hideMark/>
          </w:tcPr>
          <w:p w14:paraId="2D876C78"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732" w:type="pct"/>
            <w:tcBorders>
              <w:top w:val="nil"/>
              <w:left w:val="nil"/>
              <w:bottom w:val="single" w:sz="4" w:space="0" w:color="auto"/>
              <w:right w:val="single" w:sz="4" w:space="0" w:color="auto"/>
            </w:tcBorders>
            <w:shd w:val="clear" w:color="auto" w:fill="auto"/>
            <w:noWrap/>
            <w:vAlign w:val="bottom"/>
            <w:hideMark/>
          </w:tcPr>
          <w:p w14:paraId="3F590897"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(137.580)</w:t>
            </w:r>
          </w:p>
        </w:tc>
      </w:tr>
      <w:tr w:rsidR="009C6488" w:rsidRPr="009C6488" w14:paraId="6DE62795"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hideMark/>
          </w:tcPr>
          <w:p w14:paraId="2CFE60EE"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 Ajustes por: </w:t>
            </w:r>
          </w:p>
        </w:tc>
        <w:tc>
          <w:tcPr>
            <w:tcW w:w="586" w:type="pct"/>
            <w:tcBorders>
              <w:top w:val="nil"/>
              <w:left w:val="nil"/>
              <w:bottom w:val="single" w:sz="4" w:space="0" w:color="auto"/>
              <w:right w:val="single" w:sz="4" w:space="0" w:color="auto"/>
            </w:tcBorders>
            <w:shd w:val="clear" w:color="auto" w:fill="auto"/>
            <w:noWrap/>
            <w:vAlign w:val="bottom"/>
            <w:hideMark/>
          </w:tcPr>
          <w:p w14:paraId="35D952D8"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w:t>
            </w:r>
          </w:p>
        </w:tc>
        <w:tc>
          <w:tcPr>
            <w:tcW w:w="641" w:type="pct"/>
            <w:tcBorders>
              <w:top w:val="nil"/>
              <w:left w:val="nil"/>
              <w:bottom w:val="single" w:sz="4" w:space="0" w:color="auto"/>
              <w:right w:val="single" w:sz="4" w:space="0" w:color="auto"/>
            </w:tcBorders>
            <w:shd w:val="clear" w:color="auto" w:fill="auto"/>
            <w:noWrap/>
            <w:vAlign w:val="bottom"/>
            <w:hideMark/>
          </w:tcPr>
          <w:p w14:paraId="6D4BEDC6"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513" w:type="pct"/>
            <w:tcBorders>
              <w:top w:val="nil"/>
              <w:left w:val="nil"/>
              <w:bottom w:val="single" w:sz="4" w:space="0" w:color="auto"/>
              <w:right w:val="single" w:sz="4" w:space="0" w:color="auto"/>
            </w:tcBorders>
            <w:shd w:val="clear" w:color="auto" w:fill="auto"/>
            <w:noWrap/>
            <w:vAlign w:val="bottom"/>
            <w:hideMark/>
          </w:tcPr>
          <w:p w14:paraId="14EDC5CF"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w:t>
            </w:r>
          </w:p>
        </w:tc>
        <w:tc>
          <w:tcPr>
            <w:tcW w:w="732" w:type="pct"/>
            <w:tcBorders>
              <w:top w:val="nil"/>
              <w:left w:val="nil"/>
              <w:bottom w:val="single" w:sz="4" w:space="0" w:color="auto"/>
              <w:right w:val="single" w:sz="4" w:space="0" w:color="auto"/>
            </w:tcBorders>
            <w:shd w:val="clear" w:color="auto" w:fill="auto"/>
            <w:noWrap/>
            <w:vAlign w:val="bottom"/>
            <w:hideMark/>
          </w:tcPr>
          <w:p w14:paraId="00CA59DD"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w:t>
            </w:r>
          </w:p>
        </w:tc>
      </w:tr>
      <w:tr w:rsidR="009C6488" w:rsidRPr="009C6488" w14:paraId="3ED3057F"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31897717" w14:textId="77777777" w:rsidR="009C6488" w:rsidRPr="009C6488" w:rsidRDefault="009C6488" w:rsidP="009C6488">
            <w:pPr>
              <w:spacing w:after="0" w:line="240" w:lineRule="auto"/>
              <w:ind w:firstLineChars="200" w:firstLine="280"/>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Depreciação e Amortização</w:t>
            </w:r>
          </w:p>
        </w:tc>
        <w:tc>
          <w:tcPr>
            <w:tcW w:w="586" w:type="pct"/>
            <w:tcBorders>
              <w:top w:val="nil"/>
              <w:left w:val="nil"/>
              <w:bottom w:val="single" w:sz="4" w:space="0" w:color="auto"/>
              <w:right w:val="single" w:sz="4" w:space="0" w:color="auto"/>
            </w:tcBorders>
            <w:shd w:val="clear" w:color="auto" w:fill="auto"/>
            <w:noWrap/>
            <w:vAlign w:val="bottom"/>
            <w:hideMark/>
          </w:tcPr>
          <w:p w14:paraId="01AA8B65"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214.811 </w:t>
            </w:r>
          </w:p>
        </w:tc>
        <w:tc>
          <w:tcPr>
            <w:tcW w:w="641" w:type="pct"/>
            <w:tcBorders>
              <w:top w:val="nil"/>
              <w:left w:val="nil"/>
              <w:bottom w:val="single" w:sz="4" w:space="0" w:color="auto"/>
              <w:right w:val="single" w:sz="4" w:space="0" w:color="auto"/>
            </w:tcBorders>
            <w:shd w:val="clear" w:color="auto" w:fill="auto"/>
            <w:noWrap/>
            <w:vAlign w:val="bottom"/>
            <w:hideMark/>
          </w:tcPr>
          <w:p w14:paraId="06B25399"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513" w:type="pct"/>
            <w:tcBorders>
              <w:top w:val="nil"/>
              <w:left w:val="nil"/>
              <w:bottom w:val="single" w:sz="4" w:space="0" w:color="auto"/>
              <w:right w:val="single" w:sz="4" w:space="0" w:color="auto"/>
            </w:tcBorders>
            <w:shd w:val="clear" w:color="auto" w:fill="auto"/>
            <w:noWrap/>
            <w:vAlign w:val="bottom"/>
            <w:hideMark/>
          </w:tcPr>
          <w:p w14:paraId="023DC704"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732" w:type="pct"/>
            <w:tcBorders>
              <w:top w:val="nil"/>
              <w:left w:val="nil"/>
              <w:bottom w:val="single" w:sz="4" w:space="0" w:color="auto"/>
              <w:right w:val="single" w:sz="4" w:space="0" w:color="auto"/>
            </w:tcBorders>
            <w:shd w:val="clear" w:color="auto" w:fill="auto"/>
            <w:noWrap/>
            <w:vAlign w:val="bottom"/>
            <w:hideMark/>
          </w:tcPr>
          <w:p w14:paraId="170891EE"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214.811 </w:t>
            </w:r>
          </w:p>
        </w:tc>
      </w:tr>
      <w:tr w:rsidR="009C6488" w:rsidRPr="009C6488" w14:paraId="767CC038"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4086BF3F" w14:textId="77777777" w:rsidR="009C6488" w:rsidRPr="009C6488" w:rsidRDefault="009C6488" w:rsidP="009C6488">
            <w:pPr>
              <w:spacing w:after="0" w:line="240" w:lineRule="auto"/>
              <w:ind w:firstLineChars="200" w:firstLine="280"/>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Provisão/Rever. para Riscos Prováveis Trabalhistas, Cíveis e Fiscais</w:t>
            </w:r>
          </w:p>
        </w:tc>
        <w:tc>
          <w:tcPr>
            <w:tcW w:w="586" w:type="pct"/>
            <w:tcBorders>
              <w:top w:val="nil"/>
              <w:left w:val="nil"/>
              <w:bottom w:val="single" w:sz="4" w:space="0" w:color="auto"/>
              <w:right w:val="single" w:sz="4" w:space="0" w:color="auto"/>
            </w:tcBorders>
            <w:shd w:val="clear" w:color="auto" w:fill="auto"/>
            <w:noWrap/>
            <w:vAlign w:val="bottom"/>
            <w:hideMark/>
          </w:tcPr>
          <w:p w14:paraId="0C63A556"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2.618 </w:t>
            </w:r>
          </w:p>
        </w:tc>
        <w:tc>
          <w:tcPr>
            <w:tcW w:w="641" w:type="pct"/>
            <w:tcBorders>
              <w:top w:val="nil"/>
              <w:left w:val="nil"/>
              <w:bottom w:val="single" w:sz="4" w:space="0" w:color="auto"/>
              <w:right w:val="single" w:sz="4" w:space="0" w:color="auto"/>
            </w:tcBorders>
            <w:shd w:val="clear" w:color="auto" w:fill="auto"/>
            <w:noWrap/>
            <w:vAlign w:val="bottom"/>
            <w:hideMark/>
          </w:tcPr>
          <w:p w14:paraId="65CA98BA"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513" w:type="pct"/>
            <w:tcBorders>
              <w:top w:val="nil"/>
              <w:left w:val="nil"/>
              <w:bottom w:val="single" w:sz="4" w:space="0" w:color="auto"/>
              <w:right w:val="single" w:sz="4" w:space="0" w:color="auto"/>
            </w:tcBorders>
            <w:shd w:val="clear" w:color="auto" w:fill="auto"/>
            <w:noWrap/>
            <w:vAlign w:val="bottom"/>
            <w:hideMark/>
          </w:tcPr>
          <w:p w14:paraId="2851F229"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732" w:type="pct"/>
            <w:tcBorders>
              <w:top w:val="nil"/>
              <w:left w:val="nil"/>
              <w:bottom w:val="single" w:sz="4" w:space="0" w:color="auto"/>
              <w:right w:val="single" w:sz="4" w:space="0" w:color="auto"/>
            </w:tcBorders>
            <w:shd w:val="clear" w:color="auto" w:fill="auto"/>
            <w:noWrap/>
            <w:vAlign w:val="bottom"/>
            <w:hideMark/>
          </w:tcPr>
          <w:p w14:paraId="6AC3D985"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2.618 </w:t>
            </w:r>
          </w:p>
        </w:tc>
      </w:tr>
      <w:tr w:rsidR="009C6488" w:rsidRPr="009C6488" w14:paraId="6F378BE6"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2AE71CAE" w14:textId="77777777" w:rsidR="009C6488" w:rsidRPr="009C6488" w:rsidRDefault="009C6488" w:rsidP="009C6488">
            <w:pPr>
              <w:spacing w:after="0" w:line="240" w:lineRule="auto"/>
              <w:ind w:firstLineChars="200" w:firstLine="280"/>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V. Monetária de Prov. para Riscos Prováveis Trabalhistas, Cíveis e Fiscais</w:t>
            </w:r>
          </w:p>
        </w:tc>
        <w:tc>
          <w:tcPr>
            <w:tcW w:w="586" w:type="pct"/>
            <w:tcBorders>
              <w:top w:val="nil"/>
              <w:left w:val="nil"/>
              <w:bottom w:val="single" w:sz="4" w:space="0" w:color="auto"/>
              <w:right w:val="single" w:sz="4" w:space="0" w:color="auto"/>
            </w:tcBorders>
            <w:shd w:val="clear" w:color="auto" w:fill="auto"/>
            <w:noWrap/>
            <w:vAlign w:val="bottom"/>
            <w:hideMark/>
          </w:tcPr>
          <w:p w14:paraId="7F440E42"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5.857 </w:t>
            </w:r>
          </w:p>
        </w:tc>
        <w:tc>
          <w:tcPr>
            <w:tcW w:w="641" w:type="pct"/>
            <w:tcBorders>
              <w:top w:val="nil"/>
              <w:left w:val="nil"/>
              <w:bottom w:val="single" w:sz="4" w:space="0" w:color="auto"/>
              <w:right w:val="single" w:sz="4" w:space="0" w:color="auto"/>
            </w:tcBorders>
            <w:shd w:val="clear" w:color="auto" w:fill="auto"/>
            <w:noWrap/>
            <w:vAlign w:val="bottom"/>
            <w:hideMark/>
          </w:tcPr>
          <w:p w14:paraId="70E3EC04"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513" w:type="pct"/>
            <w:tcBorders>
              <w:top w:val="nil"/>
              <w:left w:val="nil"/>
              <w:bottom w:val="single" w:sz="4" w:space="0" w:color="auto"/>
              <w:right w:val="single" w:sz="4" w:space="0" w:color="auto"/>
            </w:tcBorders>
            <w:shd w:val="clear" w:color="auto" w:fill="auto"/>
            <w:noWrap/>
            <w:vAlign w:val="bottom"/>
            <w:hideMark/>
          </w:tcPr>
          <w:p w14:paraId="72E240F9"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732" w:type="pct"/>
            <w:tcBorders>
              <w:top w:val="nil"/>
              <w:left w:val="nil"/>
              <w:bottom w:val="single" w:sz="4" w:space="0" w:color="auto"/>
              <w:right w:val="single" w:sz="4" w:space="0" w:color="auto"/>
            </w:tcBorders>
            <w:shd w:val="clear" w:color="auto" w:fill="auto"/>
            <w:noWrap/>
            <w:vAlign w:val="bottom"/>
            <w:hideMark/>
          </w:tcPr>
          <w:p w14:paraId="6CE38378"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5.857 </w:t>
            </w:r>
          </w:p>
        </w:tc>
      </w:tr>
      <w:tr w:rsidR="009C6488" w:rsidRPr="009C6488" w14:paraId="17142A3C"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40FEF9C1" w14:textId="77777777" w:rsidR="009C6488" w:rsidRPr="009C6488" w:rsidRDefault="009C6488" w:rsidP="009C6488">
            <w:pPr>
              <w:spacing w:after="0" w:line="240" w:lineRule="auto"/>
              <w:ind w:firstLineChars="200" w:firstLine="280"/>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Receita Diferida</w:t>
            </w:r>
          </w:p>
        </w:tc>
        <w:tc>
          <w:tcPr>
            <w:tcW w:w="586" w:type="pct"/>
            <w:tcBorders>
              <w:top w:val="nil"/>
              <w:left w:val="nil"/>
              <w:bottom w:val="single" w:sz="4" w:space="0" w:color="auto"/>
              <w:right w:val="single" w:sz="4" w:space="0" w:color="auto"/>
            </w:tcBorders>
            <w:shd w:val="clear" w:color="auto" w:fill="auto"/>
            <w:noWrap/>
            <w:vAlign w:val="bottom"/>
            <w:hideMark/>
          </w:tcPr>
          <w:p w14:paraId="10C03D0E"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(82.115)</w:t>
            </w:r>
          </w:p>
        </w:tc>
        <w:tc>
          <w:tcPr>
            <w:tcW w:w="641" w:type="pct"/>
            <w:tcBorders>
              <w:top w:val="nil"/>
              <w:left w:val="nil"/>
              <w:bottom w:val="single" w:sz="4" w:space="0" w:color="auto"/>
              <w:right w:val="single" w:sz="4" w:space="0" w:color="auto"/>
            </w:tcBorders>
            <w:shd w:val="clear" w:color="auto" w:fill="auto"/>
            <w:noWrap/>
            <w:vAlign w:val="bottom"/>
            <w:hideMark/>
          </w:tcPr>
          <w:p w14:paraId="39F2F0B1"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513" w:type="pct"/>
            <w:tcBorders>
              <w:top w:val="nil"/>
              <w:left w:val="nil"/>
              <w:bottom w:val="single" w:sz="4" w:space="0" w:color="auto"/>
              <w:right w:val="single" w:sz="4" w:space="0" w:color="auto"/>
            </w:tcBorders>
            <w:shd w:val="clear" w:color="auto" w:fill="auto"/>
            <w:noWrap/>
            <w:vAlign w:val="bottom"/>
            <w:hideMark/>
          </w:tcPr>
          <w:p w14:paraId="38088F64"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732" w:type="pct"/>
            <w:tcBorders>
              <w:top w:val="nil"/>
              <w:left w:val="nil"/>
              <w:bottom w:val="single" w:sz="4" w:space="0" w:color="auto"/>
              <w:right w:val="single" w:sz="4" w:space="0" w:color="auto"/>
            </w:tcBorders>
            <w:shd w:val="clear" w:color="auto" w:fill="auto"/>
            <w:noWrap/>
            <w:vAlign w:val="bottom"/>
            <w:hideMark/>
          </w:tcPr>
          <w:p w14:paraId="3B71C80B"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(82.115)</w:t>
            </w:r>
          </w:p>
        </w:tc>
      </w:tr>
      <w:tr w:rsidR="009C6488" w:rsidRPr="009C6488" w14:paraId="6D3B2149"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7BA50A46" w14:textId="77777777" w:rsidR="009C6488" w:rsidRPr="009C6488" w:rsidRDefault="009C6488" w:rsidP="009C6488">
            <w:pPr>
              <w:spacing w:after="0" w:line="240" w:lineRule="auto"/>
              <w:ind w:firstLineChars="200" w:firstLine="280"/>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Equivalência Patrimonial</w:t>
            </w:r>
          </w:p>
        </w:tc>
        <w:tc>
          <w:tcPr>
            <w:tcW w:w="586" w:type="pct"/>
            <w:tcBorders>
              <w:top w:val="nil"/>
              <w:left w:val="nil"/>
              <w:bottom w:val="single" w:sz="4" w:space="0" w:color="auto"/>
              <w:right w:val="single" w:sz="4" w:space="0" w:color="auto"/>
            </w:tcBorders>
            <w:shd w:val="clear" w:color="auto" w:fill="auto"/>
            <w:noWrap/>
            <w:vAlign w:val="bottom"/>
            <w:hideMark/>
          </w:tcPr>
          <w:p w14:paraId="05880E67"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3.621 </w:t>
            </w:r>
          </w:p>
        </w:tc>
        <w:tc>
          <w:tcPr>
            <w:tcW w:w="641" w:type="pct"/>
            <w:tcBorders>
              <w:top w:val="nil"/>
              <w:left w:val="nil"/>
              <w:bottom w:val="single" w:sz="4" w:space="0" w:color="auto"/>
              <w:right w:val="single" w:sz="4" w:space="0" w:color="auto"/>
            </w:tcBorders>
            <w:shd w:val="clear" w:color="auto" w:fill="auto"/>
            <w:noWrap/>
            <w:vAlign w:val="bottom"/>
            <w:hideMark/>
          </w:tcPr>
          <w:p w14:paraId="4F9D3958"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513" w:type="pct"/>
            <w:tcBorders>
              <w:top w:val="nil"/>
              <w:left w:val="nil"/>
              <w:bottom w:val="single" w:sz="4" w:space="0" w:color="auto"/>
              <w:right w:val="single" w:sz="4" w:space="0" w:color="auto"/>
            </w:tcBorders>
            <w:shd w:val="clear" w:color="auto" w:fill="auto"/>
            <w:noWrap/>
            <w:vAlign w:val="bottom"/>
            <w:hideMark/>
          </w:tcPr>
          <w:p w14:paraId="5DADBA16"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732" w:type="pct"/>
            <w:tcBorders>
              <w:top w:val="nil"/>
              <w:left w:val="nil"/>
              <w:bottom w:val="single" w:sz="4" w:space="0" w:color="auto"/>
              <w:right w:val="single" w:sz="4" w:space="0" w:color="auto"/>
            </w:tcBorders>
            <w:shd w:val="clear" w:color="auto" w:fill="auto"/>
            <w:noWrap/>
            <w:vAlign w:val="bottom"/>
            <w:hideMark/>
          </w:tcPr>
          <w:p w14:paraId="6CC8C504"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3.621 </w:t>
            </w:r>
          </w:p>
        </w:tc>
      </w:tr>
      <w:tr w:rsidR="009C6488" w:rsidRPr="009C6488" w14:paraId="70D91C65"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1078F106" w14:textId="77777777" w:rsidR="009C6488" w:rsidRPr="009C6488" w:rsidRDefault="009C6488" w:rsidP="009C6488">
            <w:pPr>
              <w:spacing w:after="0" w:line="240" w:lineRule="auto"/>
              <w:ind w:firstLineChars="200" w:firstLine="280"/>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Encargos Financeiros sobre Adiantamento para Aumento de Capital</w:t>
            </w:r>
          </w:p>
        </w:tc>
        <w:tc>
          <w:tcPr>
            <w:tcW w:w="586" w:type="pct"/>
            <w:tcBorders>
              <w:top w:val="nil"/>
              <w:left w:val="nil"/>
              <w:bottom w:val="single" w:sz="4" w:space="0" w:color="auto"/>
              <w:right w:val="single" w:sz="4" w:space="0" w:color="auto"/>
            </w:tcBorders>
            <w:shd w:val="clear" w:color="auto" w:fill="auto"/>
            <w:noWrap/>
            <w:vAlign w:val="bottom"/>
            <w:hideMark/>
          </w:tcPr>
          <w:p w14:paraId="0AC31E44"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40.620 </w:t>
            </w:r>
          </w:p>
        </w:tc>
        <w:tc>
          <w:tcPr>
            <w:tcW w:w="641" w:type="pct"/>
            <w:tcBorders>
              <w:top w:val="nil"/>
              <w:left w:val="nil"/>
              <w:bottom w:val="single" w:sz="4" w:space="0" w:color="auto"/>
              <w:right w:val="single" w:sz="4" w:space="0" w:color="auto"/>
            </w:tcBorders>
            <w:shd w:val="clear" w:color="auto" w:fill="auto"/>
            <w:noWrap/>
            <w:vAlign w:val="bottom"/>
            <w:hideMark/>
          </w:tcPr>
          <w:p w14:paraId="7A6CDB2F"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513" w:type="pct"/>
            <w:tcBorders>
              <w:top w:val="nil"/>
              <w:left w:val="nil"/>
              <w:bottom w:val="single" w:sz="4" w:space="0" w:color="auto"/>
              <w:right w:val="single" w:sz="4" w:space="0" w:color="auto"/>
            </w:tcBorders>
            <w:shd w:val="clear" w:color="auto" w:fill="auto"/>
            <w:noWrap/>
            <w:vAlign w:val="bottom"/>
            <w:hideMark/>
          </w:tcPr>
          <w:p w14:paraId="3D219B07"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197 </w:t>
            </w:r>
          </w:p>
        </w:tc>
        <w:tc>
          <w:tcPr>
            <w:tcW w:w="732" w:type="pct"/>
            <w:tcBorders>
              <w:top w:val="nil"/>
              <w:left w:val="nil"/>
              <w:bottom w:val="single" w:sz="4" w:space="0" w:color="auto"/>
              <w:right w:val="single" w:sz="4" w:space="0" w:color="auto"/>
            </w:tcBorders>
            <w:shd w:val="clear" w:color="auto" w:fill="auto"/>
            <w:noWrap/>
            <w:vAlign w:val="bottom"/>
            <w:hideMark/>
          </w:tcPr>
          <w:p w14:paraId="4D45263F"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40.817 </w:t>
            </w:r>
          </w:p>
        </w:tc>
      </w:tr>
      <w:tr w:rsidR="009C6488" w:rsidRPr="009C6488" w14:paraId="3B593159"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542342E7" w14:textId="77777777" w:rsidR="009C6488" w:rsidRPr="009C6488" w:rsidRDefault="009C6488" w:rsidP="009C6488">
            <w:pPr>
              <w:spacing w:after="0" w:line="240" w:lineRule="auto"/>
              <w:ind w:firstLineChars="200" w:firstLine="280"/>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Provisão para Programa de Indenização por Serviços Prestados</w:t>
            </w:r>
          </w:p>
        </w:tc>
        <w:tc>
          <w:tcPr>
            <w:tcW w:w="586" w:type="pct"/>
            <w:tcBorders>
              <w:top w:val="nil"/>
              <w:left w:val="nil"/>
              <w:bottom w:val="single" w:sz="4" w:space="0" w:color="auto"/>
              <w:right w:val="single" w:sz="4" w:space="0" w:color="auto"/>
            </w:tcBorders>
            <w:shd w:val="clear" w:color="auto" w:fill="auto"/>
            <w:noWrap/>
            <w:vAlign w:val="bottom"/>
            <w:hideMark/>
          </w:tcPr>
          <w:p w14:paraId="67CA8DA1"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853 </w:t>
            </w:r>
          </w:p>
        </w:tc>
        <w:tc>
          <w:tcPr>
            <w:tcW w:w="641" w:type="pct"/>
            <w:tcBorders>
              <w:top w:val="nil"/>
              <w:left w:val="nil"/>
              <w:bottom w:val="single" w:sz="4" w:space="0" w:color="auto"/>
              <w:right w:val="single" w:sz="4" w:space="0" w:color="auto"/>
            </w:tcBorders>
            <w:shd w:val="clear" w:color="auto" w:fill="auto"/>
            <w:noWrap/>
            <w:vAlign w:val="bottom"/>
            <w:hideMark/>
          </w:tcPr>
          <w:p w14:paraId="60A8410A"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513" w:type="pct"/>
            <w:tcBorders>
              <w:top w:val="nil"/>
              <w:left w:val="nil"/>
              <w:bottom w:val="single" w:sz="4" w:space="0" w:color="auto"/>
              <w:right w:val="single" w:sz="4" w:space="0" w:color="auto"/>
            </w:tcBorders>
            <w:shd w:val="clear" w:color="auto" w:fill="auto"/>
            <w:noWrap/>
            <w:vAlign w:val="bottom"/>
            <w:hideMark/>
          </w:tcPr>
          <w:p w14:paraId="31D3F786"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732" w:type="pct"/>
            <w:tcBorders>
              <w:top w:val="nil"/>
              <w:left w:val="nil"/>
              <w:bottom w:val="single" w:sz="4" w:space="0" w:color="auto"/>
              <w:right w:val="single" w:sz="4" w:space="0" w:color="auto"/>
            </w:tcBorders>
            <w:shd w:val="clear" w:color="auto" w:fill="auto"/>
            <w:noWrap/>
            <w:vAlign w:val="bottom"/>
            <w:hideMark/>
          </w:tcPr>
          <w:p w14:paraId="2BCB8FD2"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853 </w:t>
            </w:r>
          </w:p>
        </w:tc>
      </w:tr>
      <w:tr w:rsidR="009C6488" w:rsidRPr="009C6488" w14:paraId="48746FD7"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67C6F6CD" w14:textId="77777777" w:rsidR="009C6488" w:rsidRPr="009C6488" w:rsidRDefault="009C6488" w:rsidP="009C6488">
            <w:pPr>
              <w:spacing w:after="0" w:line="240" w:lineRule="auto"/>
              <w:ind w:firstLineChars="200" w:firstLine="280"/>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Variação Monetária/Juros de Credores por Perdas Judiciais</w:t>
            </w:r>
          </w:p>
        </w:tc>
        <w:tc>
          <w:tcPr>
            <w:tcW w:w="586" w:type="pct"/>
            <w:tcBorders>
              <w:top w:val="nil"/>
              <w:left w:val="nil"/>
              <w:bottom w:val="single" w:sz="4" w:space="0" w:color="auto"/>
              <w:right w:val="single" w:sz="4" w:space="0" w:color="auto"/>
            </w:tcBorders>
            <w:shd w:val="clear" w:color="auto" w:fill="auto"/>
            <w:noWrap/>
            <w:vAlign w:val="bottom"/>
            <w:hideMark/>
          </w:tcPr>
          <w:p w14:paraId="56F6FDA6"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19.383 </w:t>
            </w:r>
          </w:p>
        </w:tc>
        <w:tc>
          <w:tcPr>
            <w:tcW w:w="641" w:type="pct"/>
            <w:tcBorders>
              <w:top w:val="nil"/>
              <w:left w:val="nil"/>
              <w:bottom w:val="single" w:sz="4" w:space="0" w:color="auto"/>
              <w:right w:val="single" w:sz="4" w:space="0" w:color="auto"/>
            </w:tcBorders>
            <w:shd w:val="clear" w:color="auto" w:fill="auto"/>
            <w:noWrap/>
            <w:vAlign w:val="bottom"/>
            <w:hideMark/>
          </w:tcPr>
          <w:p w14:paraId="5C6DA7B7"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513" w:type="pct"/>
            <w:tcBorders>
              <w:top w:val="nil"/>
              <w:left w:val="nil"/>
              <w:bottom w:val="single" w:sz="4" w:space="0" w:color="auto"/>
              <w:right w:val="single" w:sz="4" w:space="0" w:color="auto"/>
            </w:tcBorders>
            <w:shd w:val="clear" w:color="auto" w:fill="auto"/>
            <w:noWrap/>
            <w:vAlign w:val="bottom"/>
            <w:hideMark/>
          </w:tcPr>
          <w:p w14:paraId="75C7EC39"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732" w:type="pct"/>
            <w:tcBorders>
              <w:top w:val="nil"/>
              <w:left w:val="nil"/>
              <w:bottom w:val="single" w:sz="4" w:space="0" w:color="auto"/>
              <w:right w:val="single" w:sz="4" w:space="0" w:color="auto"/>
            </w:tcBorders>
            <w:shd w:val="clear" w:color="auto" w:fill="auto"/>
            <w:noWrap/>
            <w:vAlign w:val="bottom"/>
            <w:hideMark/>
          </w:tcPr>
          <w:p w14:paraId="11BE3142"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19.383 </w:t>
            </w:r>
          </w:p>
        </w:tc>
      </w:tr>
      <w:tr w:rsidR="009C6488" w:rsidRPr="009C6488" w14:paraId="05652F0E"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35F37428" w14:textId="77777777" w:rsidR="009C6488" w:rsidRPr="009C6488" w:rsidRDefault="009C6488" w:rsidP="009C6488">
            <w:pPr>
              <w:spacing w:after="0" w:line="240" w:lineRule="auto"/>
              <w:ind w:firstLineChars="200" w:firstLine="280"/>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Variação Monetária de Depósitos Judiciais</w:t>
            </w:r>
          </w:p>
        </w:tc>
        <w:tc>
          <w:tcPr>
            <w:tcW w:w="586" w:type="pct"/>
            <w:tcBorders>
              <w:top w:val="nil"/>
              <w:left w:val="nil"/>
              <w:bottom w:val="single" w:sz="4" w:space="0" w:color="auto"/>
              <w:right w:val="single" w:sz="4" w:space="0" w:color="auto"/>
            </w:tcBorders>
            <w:shd w:val="clear" w:color="auto" w:fill="auto"/>
            <w:noWrap/>
            <w:vAlign w:val="bottom"/>
            <w:hideMark/>
          </w:tcPr>
          <w:p w14:paraId="57BBEF55"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(2.583)</w:t>
            </w:r>
          </w:p>
        </w:tc>
        <w:tc>
          <w:tcPr>
            <w:tcW w:w="641" w:type="pct"/>
            <w:tcBorders>
              <w:top w:val="nil"/>
              <w:left w:val="nil"/>
              <w:bottom w:val="single" w:sz="4" w:space="0" w:color="auto"/>
              <w:right w:val="single" w:sz="4" w:space="0" w:color="auto"/>
            </w:tcBorders>
            <w:shd w:val="clear" w:color="auto" w:fill="auto"/>
            <w:noWrap/>
            <w:vAlign w:val="bottom"/>
            <w:hideMark/>
          </w:tcPr>
          <w:p w14:paraId="5FD970AF"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513" w:type="pct"/>
            <w:tcBorders>
              <w:top w:val="nil"/>
              <w:left w:val="nil"/>
              <w:bottom w:val="single" w:sz="4" w:space="0" w:color="auto"/>
              <w:right w:val="single" w:sz="4" w:space="0" w:color="auto"/>
            </w:tcBorders>
            <w:shd w:val="clear" w:color="auto" w:fill="auto"/>
            <w:noWrap/>
            <w:vAlign w:val="bottom"/>
            <w:hideMark/>
          </w:tcPr>
          <w:p w14:paraId="33C4DD7D"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732" w:type="pct"/>
            <w:tcBorders>
              <w:top w:val="nil"/>
              <w:left w:val="nil"/>
              <w:bottom w:val="single" w:sz="4" w:space="0" w:color="auto"/>
              <w:right w:val="single" w:sz="4" w:space="0" w:color="auto"/>
            </w:tcBorders>
            <w:shd w:val="clear" w:color="auto" w:fill="auto"/>
            <w:noWrap/>
            <w:vAlign w:val="bottom"/>
            <w:hideMark/>
          </w:tcPr>
          <w:p w14:paraId="2271DE2D"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(2.583)</w:t>
            </w:r>
          </w:p>
        </w:tc>
      </w:tr>
      <w:tr w:rsidR="009C6488" w:rsidRPr="009C6488" w14:paraId="65D05B9A"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15CAE33C" w14:textId="77777777" w:rsidR="009C6488" w:rsidRPr="009C6488" w:rsidRDefault="009C6488" w:rsidP="009C6488">
            <w:pPr>
              <w:spacing w:after="0" w:line="240" w:lineRule="auto"/>
              <w:ind w:firstLineChars="200" w:firstLine="280"/>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Despesas Financeiras - Juros a Apropriar CPC (R</w:t>
            </w:r>
            <w:proofErr w:type="gramStart"/>
            <w:r w:rsidRPr="009C6488">
              <w:rPr>
                <w:rFonts w:ascii="Arial" w:eastAsia="Times New Roman" w:hAnsi="Arial" w:cs="Arial"/>
                <w:kern w:val="0"/>
                <w:sz w:val="14"/>
                <w:szCs w:val="14"/>
                <w:lang w:eastAsia="pt-BR"/>
                <w14:ligatures w14:val="none"/>
              </w:rPr>
              <w:t>2)/</w:t>
            </w:r>
            <w:proofErr w:type="gramEnd"/>
            <w:r w:rsidRPr="009C6488">
              <w:rPr>
                <w:rFonts w:ascii="Arial" w:eastAsia="Times New Roman" w:hAnsi="Arial" w:cs="Arial"/>
                <w:kern w:val="0"/>
                <w:sz w:val="14"/>
                <w:szCs w:val="14"/>
                <w:lang w:eastAsia="pt-BR"/>
                <w14:ligatures w14:val="none"/>
              </w:rPr>
              <w:t>IFRS 16</w:t>
            </w:r>
          </w:p>
        </w:tc>
        <w:tc>
          <w:tcPr>
            <w:tcW w:w="586" w:type="pct"/>
            <w:tcBorders>
              <w:top w:val="nil"/>
              <w:left w:val="nil"/>
              <w:bottom w:val="single" w:sz="4" w:space="0" w:color="auto"/>
              <w:right w:val="single" w:sz="4" w:space="0" w:color="auto"/>
            </w:tcBorders>
            <w:shd w:val="clear" w:color="auto" w:fill="auto"/>
            <w:noWrap/>
            <w:vAlign w:val="bottom"/>
            <w:hideMark/>
          </w:tcPr>
          <w:p w14:paraId="237C42A6"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497 </w:t>
            </w:r>
          </w:p>
        </w:tc>
        <w:tc>
          <w:tcPr>
            <w:tcW w:w="641" w:type="pct"/>
            <w:tcBorders>
              <w:top w:val="nil"/>
              <w:left w:val="nil"/>
              <w:bottom w:val="single" w:sz="4" w:space="0" w:color="auto"/>
              <w:right w:val="single" w:sz="4" w:space="0" w:color="auto"/>
            </w:tcBorders>
            <w:shd w:val="clear" w:color="auto" w:fill="auto"/>
            <w:noWrap/>
            <w:vAlign w:val="bottom"/>
            <w:hideMark/>
          </w:tcPr>
          <w:p w14:paraId="7115A993"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513" w:type="pct"/>
            <w:tcBorders>
              <w:top w:val="nil"/>
              <w:left w:val="nil"/>
              <w:bottom w:val="single" w:sz="4" w:space="0" w:color="auto"/>
              <w:right w:val="single" w:sz="4" w:space="0" w:color="auto"/>
            </w:tcBorders>
            <w:shd w:val="clear" w:color="auto" w:fill="auto"/>
            <w:noWrap/>
            <w:vAlign w:val="bottom"/>
            <w:hideMark/>
          </w:tcPr>
          <w:p w14:paraId="67177359"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732" w:type="pct"/>
            <w:tcBorders>
              <w:top w:val="nil"/>
              <w:left w:val="nil"/>
              <w:bottom w:val="single" w:sz="4" w:space="0" w:color="auto"/>
              <w:right w:val="single" w:sz="4" w:space="0" w:color="auto"/>
            </w:tcBorders>
            <w:shd w:val="clear" w:color="auto" w:fill="auto"/>
            <w:noWrap/>
            <w:vAlign w:val="bottom"/>
            <w:hideMark/>
          </w:tcPr>
          <w:p w14:paraId="09B0FC6B"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497 </w:t>
            </w:r>
          </w:p>
        </w:tc>
      </w:tr>
      <w:tr w:rsidR="009C6488" w:rsidRPr="009C6488" w14:paraId="584ABA86"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05570EC5" w14:textId="77777777" w:rsidR="009C6488" w:rsidRPr="009C6488" w:rsidRDefault="009C6488" w:rsidP="009C6488">
            <w:pPr>
              <w:spacing w:after="0" w:line="240" w:lineRule="auto"/>
              <w:ind w:firstLineChars="200" w:firstLine="280"/>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Apropriação de Juros - Empréstimos e Financiamentos</w:t>
            </w:r>
          </w:p>
        </w:tc>
        <w:tc>
          <w:tcPr>
            <w:tcW w:w="586" w:type="pct"/>
            <w:tcBorders>
              <w:top w:val="nil"/>
              <w:left w:val="nil"/>
              <w:bottom w:val="single" w:sz="4" w:space="0" w:color="auto"/>
              <w:right w:val="single" w:sz="4" w:space="0" w:color="auto"/>
            </w:tcBorders>
            <w:shd w:val="clear" w:color="auto" w:fill="auto"/>
            <w:noWrap/>
            <w:vAlign w:val="bottom"/>
            <w:hideMark/>
          </w:tcPr>
          <w:p w14:paraId="77DE5DA6"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7.081 </w:t>
            </w:r>
          </w:p>
        </w:tc>
        <w:tc>
          <w:tcPr>
            <w:tcW w:w="641" w:type="pct"/>
            <w:tcBorders>
              <w:top w:val="nil"/>
              <w:left w:val="nil"/>
              <w:bottom w:val="single" w:sz="4" w:space="0" w:color="auto"/>
              <w:right w:val="single" w:sz="4" w:space="0" w:color="auto"/>
            </w:tcBorders>
            <w:shd w:val="clear" w:color="auto" w:fill="auto"/>
            <w:noWrap/>
            <w:vAlign w:val="bottom"/>
            <w:hideMark/>
          </w:tcPr>
          <w:p w14:paraId="28BBB173"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513" w:type="pct"/>
            <w:tcBorders>
              <w:top w:val="nil"/>
              <w:left w:val="nil"/>
              <w:bottom w:val="single" w:sz="4" w:space="0" w:color="auto"/>
              <w:right w:val="single" w:sz="4" w:space="0" w:color="auto"/>
            </w:tcBorders>
            <w:shd w:val="clear" w:color="auto" w:fill="auto"/>
            <w:noWrap/>
            <w:vAlign w:val="bottom"/>
            <w:hideMark/>
          </w:tcPr>
          <w:p w14:paraId="43936444"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732" w:type="pct"/>
            <w:tcBorders>
              <w:top w:val="nil"/>
              <w:left w:val="nil"/>
              <w:bottom w:val="single" w:sz="4" w:space="0" w:color="auto"/>
              <w:right w:val="single" w:sz="4" w:space="0" w:color="auto"/>
            </w:tcBorders>
            <w:shd w:val="clear" w:color="auto" w:fill="auto"/>
            <w:noWrap/>
            <w:vAlign w:val="bottom"/>
            <w:hideMark/>
          </w:tcPr>
          <w:p w14:paraId="087A563B"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7.081 </w:t>
            </w:r>
          </w:p>
        </w:tc>
      </w:tr>
      <w:tr w:rsidR="009C6488" w:rsidRPr="009C6488" w14:paraId="4BDAD958"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45E27D26" w14:textId="77777777" w:rsidR="009C6488" w:rsidRPr="009C6488" w:rsidRDefault="009C6488" w:rsidP="009C6488">
            <w:pPr>
              <w:spacing w:after="0" w:line="240" w:lineRule="auto"/>
              <w:ind w:firstLineChars="200" w:firstLine="280"/>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Perdas Estimadas com Créditos de Liquidação Duvidosa</w:t>
            </w:r>
          </w:p>
        </w:tc>
        <w:tc>
          <w:tcPr>
            <w:tcW w:w="586" w:type="pct"/>
            <w:tcBorders>
              <w:top w:val="nil"/>
              <w:left w:val="nil"/>
              <w:bottom w:val="single" w:sz="4" w:space="0" w:color="auto"/>
              <w:right w:val="single" w:sz="4" w:space="0" w:color="auto"/>
            </w:tcBorders>
            <w:shd w:val="clear" w:color="auto" w:fill="auto"/>
            <w:noWrap/>
            <w:vAlign w:val="bottom"/>
            <w:hideMark/>
          </w:tcPr>
          <w:p w14:paraId="1CE7E5CF"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(1.053)</w:t>
            </w:r>
          </w:p>
        </w:tc>
        <w:tc>
          <w:tcPr>
            <w:tcW w:w="641" w:type="pct"/>
            <w:tcBorders>
              <w:top w:val="nil"/>
              <w:left w:val="nil"/>
              <w:bottom w:val="single" w:sz="4" w:space="0" w:color="auto"/>
              <w:right w:val="single" w:sz="4" w:space="0" w:color="auto"/>
            </w:tcBorders>
            <w:shd w:val="clear" w:color="auto" w:fill="auto"/>
            <w:noWrap/>
            <w:vAlign w:val="bottom"/>
            <w:hideMark/>
          </w:tcPr>
          <w:p w14:paraId="07680939"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513" w:type="pct"/>
            <w:tcBorders>
              <w:top w:val="nil"/>
              <w:left w:val="nil"/>
              <w:bottom w:val="single" w:sz="4" w:space="0" w:color="auto"/>
              <w:right w:val="single" w:sz="4" w:space="0" w:color="auto"/>
            </w:tcBorders>
            <w:shd w:val="clear" w:color="auto" w:fill="auto"/>
            <w:noWrap/>
            <w:vAlign w:val="bottom"/>
            <w:hideMark/>
          </w:tcPr>
          <w:p w14:paraId="3D368D13"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732" w:type="pct"/>
            <w:tcBorders>
              <w:top w:val="nil"/>
              <w:left w:val="nil"/>
              <w:bottom w:val="single" w:sz="4" w:space="0" w:color="auto"/>
              <w:right w:val="single" w:sz="4" w:space="0" w:color="auto"/>
            </w:tcBorders>
            <w:shd w:val="clear" w:color="auto" w:fill="auto"/>
            <w:noWrap/>
            <w:vAlign w:val="bottom"/>
            <w:hideMark/>
          </w:tcPr>
          <w:p w14:paraId="70CEE2AC"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(1.053)</w:t>
            </w:r>
          </w:p>
        </w:tc>
      </w:tr>
      <w:tr w:rsidR="009C6488" w:rsidRPr="009C6488" w14:paraId="10AC6CF3"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25D0DE5C" w14:textId="77777777" w:rsidR="009C6488" w:rsidRPr="009C6488" w:rsidRDefault="009C6488" w:rsidP="009C6488">
            <w:pPr>
              <w:spacing w:after="0" w:line="240" w:lineRule="auto"/>
              <w:ind w:firstLineChars="200" w:firstLine="280"/>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Dividendos/Juros sobre Capital Próprio</w:t>
            </w:r>
          </w:p>
        </w:tc>
        <w:tc>
          <w:tcPr>
            <w:tcW w:w="586" w:type="pct"/>
            <w:tcBorders>
              <w:top w:val="nil"/>
              <w:left w:val="nil"/>
              <w:bottom w:val="single" w:sz="4" w:space="0" w:color="auto"/>
              <w:right w:val="single" w:sz="4" w:space="0" w:color="auto"/>
            </w:tcBorders>
            <w:shd w:val="clear" w:color="auto" w:fill="auto"/>
            <w:noWrap/>
            <w:vAlign w:val="bottom"/>
            <w:hideMark/>
          </w:tcPr>
          <w:p w14:paraId="58EF3DA5"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(122)</w:t>
            </w:r>
          </w:p>
        </w:tc>
        <w:tc>
          <w:tcPr>
            <w:tcW w:w="641" w:type="pct"/>
            <w:tcBorders>
              <w:top w:val="nil"/>
              <w:left w:val="nil"/>
              <w:bottom w:val="single" w:sz="4" w:space="0" w:color="auto"/>
              <w:right w:val="single" w:sz="4" w:space="0" w:color="auto"/>
            </w:tcBorders>
            <w:shd w:val="clear" w:color="auto" w:fill="auto"/>
            <w:noWrap/>
            <w:vAlign w:val="bottom"/>
            <w:hideMark/>
          </w:tcPr>
          <w:p w14:paraId="6D1CD50E"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513" w:type="pct"/>
            <w:tcBorders>
              <w:top w:val="nil"/>
              <w:left w:val="nil"/>
              <w:bottom w:val="single" w:sz="4" w:space="0" w:color="auto"/>
              <w:right w:val="single" w:sz="4" w:space="0" w:color="auto"/>
            </w:tcBorders>
            <w:shd w:val="clear" w:color="auto" w:fill="auto"/>
            <w:noWrap/>
            <w:vAlign w:val="bottom"/>
            <w:hideMark/>
          </w:tcPr>
          <w:p w14:paraId="06266C6E"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732" w:type="pct"/>
            <w:tcBorders>
              <w:top w:val="nil"/>
              <w:left w:val="nil"/>
              <w:bottom w:val="single" w:sz="4" w:space="0" w:color="auto"/>
              <w:right w:val="single" w:sz="4" w:space="0" w:color="auto"/>
            </w:tcBorders>
            <w:shd w:val="clear" w:color="auto" w:fill="auto"/>
            <w:noWrap/>
            <w:vAlign w:val="bottom"/>
            <w:hideMark/>
          </w:tcPr>
          <w:p w14:paraId="0B1A72A2"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(122)</w:t>
            </w:r>
          </w:p>
        </w:tc>
      </w:tr>
      <w:tr w:rsidR="009C6488" w:rsidRPr="009C6488" w14:paraId="382925F4"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41DC4D51" w14:textId="77777777" w:rsidR="009C6488" w:rsidRPr="009C6488" w:rsidRDefault="009C6488" w:rsidP="009C6488">
            <w:pPr>
              <w:spacing w:after="0" w:line="240" w:lineRule="auto"/>
              <w:ind w:firstLineChars="200" w:firstLine="280"/>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lastRenderedPageBreak/>
              <w:t>Compensação Financeira - Financiamento FINEP</w:t>
            </w:r>
          </w:p>
        </w:tc>
        <w:tc>
          <w:tcPr>
            <w:tcW w:w="586" w:type="pct"/>
            <w:tcBorders>
              <w:top w:val="nil"/>
              <w:left w:val="nil"/>
              <w:bottom w:val="single" w:sz="4" w:space="0" w:color="auto"/>
              <w:right w:val="single" w:sz="4" w:space="0" w:color="auto"/>
            </w:tcBorders>
            <w:shd w:val="clear" w:color="auto" w:fill="auto"/>
            <w:noWrap/>
            <w:vAlign w:val="bottom"/>
            <w:hideMark/>
          </w:tcPr>
          <w:p w14:paraId="3B8EE841"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21.397 </w:t>
            </w:r>
          </w:p>
        </w:tc>
        <w:tc>
          <w:tcPr>
            <w:tcW w:w="641" w:type="pct"/>
            <w:tcBorders>
              <w:top w:val="nil"/>
              <w:left w:val="nil"/>
              <w:bottom w:val="single" w:sz="4" w:space="0" w:color="auto"/>
              <w:right w:val="single" w:sz="4" w:space="0" w:color="auto"/>
            </w:tcBorders>
            <w:shd w:val="clear" w:color="auto" w:fill="auto"/>
            <w:noWrap/>
            <w:vAlign w:val="bottom"/>
            <w:hideMark/>
          </w:tcPr>
          <w:p w14:paraId="7470D88E"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513" w:type="pct"/>
            <w:tcBorders>
              <w:top w:val="nil"/>
              <w:left w:val="nil"/>
              <w:bottom w:val="single" w:sz="4" w:space="0" w:color="auto"/>
              <w:right w:val="single" w:sz="4" w:space="0" w:color="auto"/>
            </w:tcBorders>
            <w:shd w:val="clear" w:color="auto" w:fill="auto"/>
            <w:noWrap/>
            <w:vAlign w:val="bottom"/>
            <w:hideMark/>
          </w:tcPr>
          <w:p w14:paraId="2830C2B6"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732" w:type="pct"/>
            <w:tcBorders>
              <w:top w:val="nil"/>
              <w:left w:val="nil"/>
              <w:bottom w:val="single" w:sz="4" w:space="0" w:color="auto"/>
              <w:right w:val="single" w:sz="4" w:space="0" w:color="auto"/>
            </w:tcBorders>
            <w:shd w:val="clear" w:color="auto" w:fill="auto"/>
            <w:noWrap/>
            <w:vAlign w:val="bottom"/>
            <w:hideMark/>
          </w:tcPr>
          <w:p w14:paraId="71AA9528"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21.397 </w:t>
            </w:r>
          </w:p>
        </w:tc>
      </w:tr>
      <w:tr w:rsidR="009C6488" w:rsidRPr="009C6488" w14:paraId="56D2B43D"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1DA1D663" w14:textId="77777777" w:rsidR="009C6488" w:rsidRPr="009C6488" w:rsidRDefault="009C6488" w:rsidP="009C6488">
            <w:pPr>
              <w:spacing w:after="0" w:line="240" w:lineRule="auto"/>
              <w:ind w:firstLineChars="200" w:firstLine="281"/>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Total </w:t>
            </w:r>
          </w:p>
        </w:tc>
        <w:tc>
          <w:tcPr>
            <w:tcW w:w="586" w:type="pct"/>
            <w:tcBorders>
              <w:top w:val="nil"/>
              <w:left w:val="nil"/>
              <w:bottom w:val="single" w:sz="4" w:space="0" w:color="auto"/>
              <w:right w:val="single" w:sz="4" w:space="0" w:color="auto"/>
            </w:tcBorders>
            <w:shd w:val="clear" w:color="auto" w:fill="auto"/>
            <w:noWrap/>
            <w:vAlign w:val="bottom"/>
            <w:hideMark/>
          </w:tcPr>
          <w:p w14:paraId="64AA5826"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230.865 </w:t>
            </w:r>
          </w:p>
        </w:tc>
        <w:tc>
          <w:tcPr>
            <w:tcW w:w="641" w:type="pct"/>
            <w:tcBorders>
              <w:top w:val="nil"/>
              <w:left w:val="nil"/>
              <w:bottom w:val="single" w:sz="4" w:space="0" w:color="auto"/>
              <w:right w:val="single" w:sz="4" w:space="0" w:color="auto"/>
            </w:tcBorders>
            <w:shd w:val="clear" w:color="auto" w:fill="auto"/>
            <w:noWrap/>
            <w:vAlign w:val="bottom"/>
            <w:hideMark/>
          </w:tcPr>
          <w:p w14:paraId="76048EE1"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                           - </w:t>
            </w:r>
          </w:p>
        </w:tc>
        <w:tc>
          <w:tcPr>
            <w:tcW w:w="513" w:type="pct"/>
            <w:tcBorders>
              <w:top w:val="nil"/>
              <w:left w:val="nil"/>
              <w:bottom w:val="single" w:sz="4" w:space="0" w:color="auto"/>
              <w:right w:val="single" w:sz="4" w:space="0" w:color="auto"/>
            </w:tcBorders>
            <w:shd w:val="clear" w:color="auto" w:fill="auto"/>
            <w:noWrap/>
            <w:vAlign w:val="bottom"/>
            <w:hideMark/>
          </w:tcPr>
          <w:p w14:paraId="27EA4F37"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197 </w:t>
            </w:r>
          </w:p>
        </w:tc>
        <w:tc>
          <w:tcPr>
            <w:tcW w:w="732" w:type="pct"/>
            <w:tcBorders>
              <w:top w:val="nil"/>
              <w:left w:val="nil"/>
              <w:bottom w:val="single" w:sz="4" w:space="0" w:color="auto"/>
              <w:right w:val="single" w:sz="4" w:space="0" w:color="auto"/>
            </w:tcBorders>
            <w:shd w:val="clear" w:color="auto" w:fill="auto"/>
            <w:noWrap/>
            <w:vAlign w:val="bottom"/>
            <w:hideMark/>
          </w:tcPr>
          <w:p w14:paraId="62EDC606"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231.062 </w:t>
            </w:r>
          </w:p>
        </w:tc>
      </w:tr>
      <w:tr w:rsidR="009C6488" w:rsidRPr="009C6488" w14:paraId="201D638E"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6C595CC0"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Mutações Patrimoniais:</w:t>
            </w:r>
          </w:p>
        </w:tc>
        <w:tc>
          <w:tcPr>
            <w:tcW w:w="586" w:type="pct"/>
            <w:tcBorders>
              <w:top w:val="nil"/>
              <w:left w:val="nil"/>
              <w:bottom w:val="single" w:sz="4" w:space="0" w:color="auto"/>
              <w:right w:val="single" w:sz="4" w:space="0" w:color="auto"/>
            </w:tcBorders>
            <w:shd w:val="clear" w:color="auto" w:fill="auto"/>
            <w:noWrap/>
            <w:vAlign w:val="bottom"/>
            <w:hideMark/>
          </w:tcPr>
          <w:p w14:paraId="3B4834BA"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641" w:type="pct"/>
            <w:tcBorders>
              <w:top w:val="nil"/>
              <w:left w:val="nil"/>
              <w:bottom w:val="single" w:sz="4" w:space="0" w:color="auto"/>
              <w:right w:val="single" w:sz="4" w:space="0" w:color="auto"/>
            </w:tcBorders>
            <w:shd w:val="clear" w:color="auto" w:fill="auto"/>
            <w:noWrap/>
            <w:vAlign w:val="bottom"/>
            <w:hideMark/>
          </w:tcPr>
          <w:p w14:paraId="5C1B8A87"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513" w:type="pct"/>
            <w:tcBorders>
              <w:top w:val="nil"/>
              <w:left w:val="nil"/>
              <w:bottom w:val="single" w:sz="4" w:space="0" w:color="auto"/>
              <w:right w:val="single" w:sz="4" w:space="0" w:color="auto"/>
            </w:tcBorders>
            <w:shd w:val="clear" w:color="auto" w:fill="auto"/>
            <w:noWrap/>
            <w:vAlign w:val="bottom"/>
            <w:hideMark/>
          </w:tcPr>
          <w:p w14:paraId="279E3769"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732" w:type="pct"/>
            <w:tcBorders>
              <w:top w:val="nil"/>
              <w:left w:val="nil"/>
              <w:bottom w:val="single" w:sz="4" w:space="0" w:color="auto"/>
              <w:right w:val="single" w:sz="4" w:space="0" w:color="auto"/>
            </w:tcBorders>
            <w:shd w:val="clear" w:color="auto" w:fill="auto"/>
            <w:noWrap/>
            <w:vAlign w:val="bottom"/>
            <w:hideMark/>
          </w:tcPr>
          <w:p w14:paraId="7BC06CDD"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r>
      <w:tr w:rsidR="009C6488" w:rsidRPr="009C6488" w14:paraId="73F64124"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22810F70" w14:textId="77777777" w:rsidR="009C6488" w:rsidRPr="009C6488" w:rsidRDefault="009C6488" w:rsidP="009C6488">
            <w:pPr>
              <w:spacing w:after="0" w:line="240" w:lineRule="auto"/>
              <w:ind w:firstLineChars="200" w:firstLine="280"/>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Contas a Receber de Clientes</w:t>
            </w:r>
          </w:p>
        </w:tc>
        <w:tc>
          <w:tcPr>
            <w:tcW w:w="586" w:type="pct"/>
            <w:tcBorders>
              <w:top w:val="nil"/>
              <w:left w:val="nil"/>
              <w:bottom w:val="single" w:sz="4" w:space="0" w:color="auto"/>
              <w:right w:val="single" w:sz="4" w:space="0" w:color="auto"/>
            </w:tcBorders>
            <w:shd w:val="clear" w:color="auto" w:fill="auto"/>
            <w:noWrap/>
            <w:vAlign w:val="bottom"/>
            <w:hideMark/>
          </w:tcPr>
          <w:p w14:paraId="4C39EECA"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(1.044)</w:t>
            </w:r>
          </w:p>
        </w:tc>
        <w:tc>
          <w:tcPr>
            <w:tcW w:w="641" w:type="pct"/>
            <w:tcBorders>
              <w:top w:val="nil"/>
              <w:left w:val="nil"/>
              <w:bottom w:val="single" w:sz="4" w:space="0" w:color="auto"/>
              <w:right w:val="single" w:sz="4" w:space="0" w:color="auto"/>
            </w:tcBorders>
            <w:shd w:val="clear" w:color="auto" w:fill="auto"/>
            <w:noWrap/>
            <w:vAlign w:val="bottom"/>
            <w:hideMark/>
          </w:tcPr>
          <w:p w14:paraId="658A9093"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513" w:type="pct"/>
            <w:tcBorders>
              <w:top w:val="nil"/>
              <w:left w:val="nil"/>
              <w:bottom w:val="single" w:sz="4" w:space="0" w:color="auto"/>
              <w:right w:val="single" w:sz="4" w:space="0" w:color="auto"/>
            </w:tcBorders>
            <w:shd w:val="clear" w:color="auto" w:fill="auto"/>
            <w:noWrap/>
            <w:vAlign w:val="bottom"/>
            <w:hideMark/>
          </w:tcPr>
          <w:p w14:paraId="0FD94566"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732" w:type="pct"/>
            <w:tcBorders>
              <w:top w:val="nil"/>
              <w:left w:val="nil"/>
              <w:bottom w:val="single" w:sz="4" w:space="0" w:color="auto"/>
              <w:right w:val="single" w:sz="4" w:space="0" w:color="auto"/>
            </w:tcBorders>
            <w:shd w:val="clear" w:color="auto" w:fill="auto"/>
            <w:noWrap/>
            <w:vAlign w:val="bottom"/>
            <w:hideMark/>
          </w:tcPr>
          <w:p w14:paraId="1D482669"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(1.044)</w:t>
            </w:r>
          </w:p>
        </w:tc>
      </w:tr>
      <w:tr w:rsidR="009C6488" w:rsidRPr="009C6488" w14:paraId="69B327B0"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492DE85B" w14:textId="77777777" w:rsidR="009C6488" w:rsidRPr="009C6488" w:rsidRDefault="009C6488" w:rsidP="009C6488">
            <w:pPr>
              <w:spacing w:after="0" w:line="240" w:lineRule="auto"/>
              <w:ind w:firstLineChars="200" w:firstLine="280"/>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Tributos a Recuperar</w:t>
            </w:r>
          </w:p>
        </w:tc>
        <w:tc>
          <w:tcPr>
            <w:tcW w:w="586" w:type="pct"/>
            <w:tcBorders>
              <w:top w:val="nil"/>
              <w:left w:val="nil"/>
              <w:bottom w:val="single" w:sz="4" w:space="0" w:color="auto"/>
              <w:right w:val="single" w:sz="4" w:space="0" w:color="auto"/>
            </w:tcBorders>
            <w:shd w:val="clear" w:color="auto" w:fill="auto"/>
            <w:noWrap/>
            <w:vAlign w:val="bottom"/>
            <w:hideMark/>
          </w:tcPr>
          <w:p w14:paraId="0137C2A7"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(12.407)</w:t>
            </w:r>
          </w:p>
        </w:tc>
        <w:tc>
          <w:tcPr>
            <w:tcW w:w="641" w:type="pct"/>
            <w:tcBorders>
              <w:top w:val="nil"/>
              <w:left w:val="nil"/>
              <w:bottom w:val="single" w:sz="4" w:space="0" w:color="auto"/>
              <w:right w:val="single" w:sz="4" w:space="0" w:color="auto"/>
            </w:tcBorders>
            <w:shd w:val="clear" w:color="auto" w:fill="auto"/>
            <w:noWrap/>
            <w:vAlign w:val="bottom"/>
            <w:hideMark/>
          </w:tcPr>
          <w:p w14:paraId="5333411B"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513" w:type="pct"/>
            <w:tcBorders>
              <w:top w:val="nil"/>
              <w:left w:val="nil"/>
              <w:bottom w:val="single" w:sz="4" w:space="0" w:color="auto"/>
              <w:right w:val="single" w:sz="4" w:space="0" w:color="auto"/>
            </w:tcBorders>
            <w:shd w:val="clear" w:color="auto" w:fill="auto"/>
            <w:noWrap/>
            <w:vAlign w:val="bottom"/>
            <w:hideMark/>
          </w:tcPr>
          <w:p w14:paraId="70558ABD"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732" w:type="pct"/>
            <w:tcBorders>
              <w:top w:val="nil"/>
              <w:left w:val="nil"/>
              <w:bottom w:val="single" w:sz="4" w:space="0" w:color="auto"/>
              <w:right w:val="single" w:sz="4" w:space="0" w:color="auto"/>
            </w:tcBorders>
            <w:shd w:val="clear" w:color="auto" w:fill="auto"/>
            <w:noWrap/>
            <w:vAlign w:val="bottom"/>
            <w:hideMark/>
          </w:tcPr>
          <w:p w14:paraId="1CB8697A"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(12.407)</w:t>
            </w:r>
          </w:p>
        </w:tc>
      </w:tr>
      <w:tr w:rsidR="009C6488" w:rsidRPr="009C6488" w14:paraId="5E680A87"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190677E3" w14:textId="77777777" w:rsidR="009C6488" w:rsidRPr="009C6488" w:rsidRDefault="009C6488" w:rsidP="009C6488">
            <w:pPr>
              <w:spacing w:after="0" w:line="240" w:lineRule="auto"/>
              <w:ind w:firstLineChars="200" w:firstLine="280"/>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Depósitos Judiciais</w:t>
            </w:r>
          </w:p>
        </w:tc>
        <w:tc>
          <w:tcPr>
            <w:tcW w:w="586" w:type="pct"/>
            <w:tcBorders>
              <w:top w:val="nil"/>
              <w:left w:val="nil"/>
              <w:bottom w:val="single" w:sz="4" w:space="0" w:color="auto"/>
              <w:right w:val="single" w:sz="4" w:space="0" w:color="auto"/>
            </w:tcBorders>
            <w:shd w:val="clear" w:color="auto" w:fill="auto"/>
            <w:noWrap/>
            <w:vAlign w:val="bottom"/>
            <w:hideMark/>
          </w:tcPr>
          <w:p w14:paraId="2831F6FD"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86 </w:t>
            </w:r>
          </w:p>
        </w:tc>
        <w:tc>
          <w:tcPr>
            <w:tcW w:w="641" w:type="pct"/>
            <w:tcBorders>
              <w:top w:val="nil"/>
              <w:left w:val="nil"/>
              <w:bottom w:val="single" w:sz="4" w:space="0" w:color="auto"/>
              <w:right w:val="single" w:sz="4" w:space="0" w:color="auto"/>
            </w:tcBorders>
            <w:shd w:val="clear" w:color="auto" w:fill="auto"/>
            <w:noWrap/>
            <w:vAlign w:val="bottom"/>
            <w:hideMark/>
          </w:tcPr>
          <w:p w14:paraId="1FDD123E"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513" w:type="pct"/>
            <w:tcBorders>
              <w:top w:val="nil"/>
              <w:left w:val="nil"/>
              <w:bottom w:val="single" w:sz="4" w:space="0" w:color="auto"/>
              <w:right w:val="single" w:sz="4" w:space="0" w:color="auto"/>
            </w:tcBorders>
            <w:shd w:val="clear" w:color="auto" w:fill="auto"/>
            <w:noWrap/>
            <w:vAlign w:val="bottom"/>
            <w:hideMark/>
          </w:tcPr>
          <w:p w14:paraId="7F118F30"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732" w:type="pct"/>
            <w:tcBorders>
              <w:top w:val="nil"/>
              <w:left w:val="nil"/>
              <w:bottom w:val="single" w:sz="4" w:space="0" w:color="auto"/>
              <w:right w:val="single" w:sz="4" w:space="0" w:color="auto"/>
            </w:tcBorders>
            <w:shd w:val="clear" w:color="auto" w:fill="auto"/>
            <w:noWrap/>
            <w:vAlign w:val="bottom"/>
            <w:hideMark/>
          </w:tcPr>
          <w:p w14:paraId="5FAF2D41"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86 </w:t>
            </w:r>
          </w:p>
        </w:tc>
      </w:tr>
      <w:tr w:rsidR="009C6488" w:rsidRPr="009C6488" w14:paraId="03D3D933"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5868B6CE" w14:textId="77777777" w:rsidR="009C6488" w:rsidRPr="009C6488" w:rsidRDefault="009C6488" w:rsidP="009C6488">
            <w:pPr>
              <w:spacing w:after="0" w:line="240" w:lineRule="auto"/>
              <w:ind w:firstLineChars="200" w:firstLine="280"/>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Pessoal, Encargos e Benefícios Sociais</w:t>
            </w:r>
          </w:p>
        </w:tc>
        <w:tc>
          <w:tcPr>
            <w:tcW w:w="586" w:type="pct"/>
            <w:tcBorders>
              <w:top w:val="nil"/>
              <w:left w:val="nil"/>
              <w:bottom w:val="single" w:sz="4" w:space="0" w:color="auto"/>
              <w:right w:val="single" w:sz="4" w:space="0" w:color="auto"/>
            </w:tcBorders>
            <w:shd w:val="clear" w:color="auto" w:fill="auto"/>
            <w:noWrap/>
            <w:vAlign w:val="bottom"/>
            <w:hideMark/>
          </w:tcPr>
          <w:p w14:paraId="4439EDE7"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905 </w:t>
            </w:r>
          </w:p>
        </w:tc>
        <w:tc>
          <w:tcPr>
            <w:tcW w:w="641" w:type="pct"/>
            <w:tcBorders>
              <w:top w:val="nil"/>
              <w:left w:val="nil"/>
              <w:bottom w:val="single" w:sz="4" w:space="0" w:color="auto"/>
              <w:right w:val="single" w:sz="4" w:space="0" w:color="auto"/>
            </w:tcBorders>
            <w:shd w:val="clear" w:color="auto" w:fill="auto"/>
            <w:noWrap/>
            <w:vAlign w:val="bottom"/>
            <w:hideMark/>
          </w:tcPr>
          <w:p w14:paraId="7D68946D"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513" w:type="pct"/>
            <w:tcBorders>
              <w:top w:val="nil"/>
              <w:left w:val="nil"/>
              <w:bottom w:val="single" w:sz="4" w:space="0" w:color="auto"/>
              <w:right w:val="single" w:sz="4" w:space="0" w:color="auto"/>
            </w:tcBorders>
            <w:shd w:val="clear" w:color="auto" w:fill="auto"/>
            <w:noWrap/>
            <w:vAlign w:val="bottom"/>
            <w:hideMark/>
          </w:tcPr>
          <w:p w14:paraId="30130DD0"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732" w:type="pct"/>
            <w:tcBorders>
              <w:top w:val="nil"/>
              <w:left w:val="nil"/>
              <w:bottom w:val="single" w:sz="4" w:space="0" w:color="auto"/>
              <w:right w:val="single" w:sz="4" w:space="0" w:color="auto"/>
            </w:tcBorders>
            <w:shd w:val="clear" w:color="auto" w:fill="auto"/>
            <w:noWrap/>
            <w:vAlign w:val="bottom"/>
            <w:hideMark/>
          </w:tcPr>
          <w:p w14:paraId="6605B3E9"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905 </w:t>
            </w:r>
          </w:p>
        </w:tc>
      </w:tr>
      <w:tr w:rsidR="009C6488" w:rsidRPr="009C6488" w14:paraId="241803A0"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71402E0D" w14:textId="77777777" w:rsidR="009C6488" w:rsidRPr="009C6488" w:rsidRDefault="009C6488" w:rsidP="009C6488">
            <w:pPr>
              <w:spacing w:after="0" w:line="240" w:lineRule="auto"/>
              <w:ind w:firstLineChars="200" w:firstLine="280"/>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Fornecedores</w:t>
            </w:r>
          </w:p>
        </w:tc>
        <w:tc>
          <w:tcPr>
            <w:tcW w:w="586" w:type="pct"/>
            <w:tcBorders>
              <w:top w:val="nil"/>
              <w:left w:val="nil"/>
              <w:bottom w:val="single" w:sz="4" w:space="0" w:color="auto"/>
              <w:right w:val="single" w:sz="4" w:space="0" w:color="auto"/>
            </w:tcBorders>
            <w:shd w:val="clear" w:color="auto" w:fill="auto"/>
            <w:noWrap/>
            <w:vAlign w:val="bottom"/>
            <w:hideMark/>
          </w:tcPr>
          <w:p w14:paraId="46338F39"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9.052 </w:t>
            </w:r>
          </w:p>
        </w:tc>
        <w:tc>
          <w:tcPr>
            <w:tcW w:w="641" w:type="pct"/>
            <w:tcBorders>
              <w:top w:val="nil"/>
              <w:left w:val="nil"/>
              <w:bottom w:val="single" w:sz="4" w:space="0" w:color="auto"/>
              <w:right w:val="single" w:sz="4" w:space="0" w:color="auto"/>
            </w:tcBorders>
            <w:shd w:val="clear" w:color="auto" w:fill="auto"/>
            <w:noWrap/>
            <w:vAlign w:val="bottom"/>
            <w:hideMark/>
          </w:tcPr>
          <w:p w14:paraId="430A6A21"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513" w:type="pct"/>
            <w:tcBorders>
              <w:top w:val="nil"/>
              <w:left w:val="nil"/>
              <w:bottom w:val="single" w:sz="4" w:space="0" w:color="auto"/>
              <w:right w:val="single" w:sz="4" w:space="0" w:color="auto"/>
            </w:tcBorders>
            <w:shd w:val="clear" w:color="auto" w:fill="auto"/>
            <w:noWrap/>
            <w:vAlign w:val="bottom"/>
            <w:hideMark/>
          </w:tcPr>
          <w:p w14:paraId="01964776"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732" w:type="pct"/>
            <w:tcBorders>
              <w:top w:val="nil"/>
              <w:left w:val="nil"/>
              <w:bottom w:val="single" w:sz="4" w:space="0" w:color="auto"/>
              <w:right w:val="single" w:sz="4" w:space="0" w:color="auto"/>
            </w:tcBorders>
            <w:shd w:val="clear" w:color="auto" w:fill="auto"/>
            <w:noWrap/>
            <w:vAlign w:val="bottom"/>
            <w:hideMark/>
          </w:tcPr>
          <w:p w14:paraId="7D403AAD"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9.052 </w:t>
            </w:r>
          </w:p>
        </w:tc>
      </w:tr>
      <w:tr w:rsidR="009C6488" w:rsidRPr="009C6488" w14:paraId="709C899A"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484FCB0B" w14:textId="77777777" w:rsidR="009C6488" w:rsidRPr="009C6488" w:rsidRDefault="009C6488" w:rsidP="009C6488">
            <w:pPr>
              <w:spacing w:after="0" w:line="240" w:lineRule="auto"/>
              <w:ind w:firstLineChars="200" w:firstLine="280"/>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Outras Contas Ativas e Passivas</w:t>
            </w:r>
          </w:p>
        </w:tc>
        <w:tc>
          <w:tcPr>
            <w:tcW w:w="586" w:type="pct"/>
            <w:tcBorders>
              <w:top w:val="nil"/>
              <w:left w:val="nil"/>
              <w:bottom w:val="single" w:sz="4" w:space="0" w:color="auto"/>
              <w:right w:val="single" w:sz="4" w:space="0" w:color="auto"/>
            </w:tcBorders>
            <w:shd w:val="clear" w:color="auto" w:fill="auto"/>
            <w:noWrap/>
            <w:vAlign w:val="bottom"/>
            <w:hideMark/>
          </w:tcPr>
          <w:p w14:paraId="382D4E7F"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(19.106)</w:t>
            </w:r>
          </w:p>
        </w:tc>
        <w:tc>
          <w:tcPr>
            <w:tcW w:w="641" w:type="pct"/>
            <w:tcBorders>
              <w:top w:val="nil"/>
              <w:left w:val="nil"/>
              <w:bottom w:val="single" w:sz="4" w:space="0" w:color="auto"/>
              <w:right w:val="single" w:sz="4" w:space="0" w:color="auto"/>
            </w:tcBorders>
            <w:shd w:val="clear" w:color="auto" w:fill="auto"/>
            <w:noWrap/>
            <w:vAlign w:val="bottom"/>
            <w:hideMark/>
          </w:tcPr>
          <w:p w14:paraId="3D292E63"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513" w:type="pct"/>
            <w:tcBorders>
              <w:top w:val="nil"/>
              <w:left w:val="nil"/>
              <w:bottom w:val="single" w:sz="4" w:space="0" w:color="auto"/>
              <w:right w:val="single" w:sz="4" w:space="0" w:color="auto"/>
            </w:tcBorders>
            <w:shd w:val="clear" w:color="auto" w:fill="auto"/>
            <w:noWrap/>
            <w:vAlign w:val="bottom"/>
            <w:hideMark/>
          </w:tcPr>
          <w:p w14:paraId="6FE5540B"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w:t>
            </w:r>
          </w:p>
        </w:tc>
        <w:tc>
          <w:tcPr>
            <w:tcW w:w="732" w:type="pct"/>
            <w:tcBorders>
              <w:top w:val="nil"/>
              <w:left w:val="nil"/>
              <w:bottom w:val="single" w:sz="4" w:space="0" w:color="auto"/>
              <w:right w:val="single" w:sz="4" w:space="0" w:color="auto"/>
            </w:tcBorders>
            <w:shd w:val="clear" w:color="auto" w:fill="auto"/>
            <w:noWrap/>
            <w:vAlign w:val="bottom"/>
            <w:hideMark/>
          </w:tcPr>
          <w:p w14:paraId="4BD62028"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(19.106)</w:t>
            </w:r>
          </w:p>
        </w:tc>
      </w:tr>
      <w:tr w:rsidR="009C6488" w:rsidRPr="009C6488" w14:paraId="225A1559"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4057C870" w14:textId="77777777" w:rsidR="009C6488" w:rsidRPr="009C6488" w:rsidRDefault="009C6488" w:rsidP="009C6488">
            <w:pPr>
              <w:spacing w:after="0" w:line="240" w:lineRule="auto"/>
              <w:ind w:firstLineChars="200" w:firstLine="281"/>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Total </w:t>
            </w:r>
          </w:p>
        </w:tc>
        <w:tc>
          <w:tcPr>
            <w:tcW w:w="586" w:type="pct"/>
            <w:tcBorders>
              <w:top w:val="nil"/>
              <w:left w:val="nil"/>
              <w:bottom w:val="single" w:sz="4" w:space="0" w:color="auto"/>
              <w:right w:val="single" w:sz="4" w:space="0" w:color="auto"/>
            </w:tcBorders>
            <w:shd w:val="clear" w:color="auto" w:fill="auto"/>
            <w:noWrap/>
            <w:vAlign w:val="bottom"/>
            <w:hideMark/>
          </w:tcPr>
          <w:p w14:paraId="02B15552"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(22.514)</w:t>
            </w:r>
          </w:p>
        </w:tc>
        <w:tc>
          <w:tcPr>
            <w:tcW w:w="641" w:type="pct"/>
            <w:tcBorders>
              <w:top w:val="nil"/>
              <w:left w:val="nil"/>
              <w:bottom w:val="single" w:sz="4" w:space="0" w:color="auto"/>
              <w:right w:val="single" w:sz="4" w:space="0" w:color="auto"/>
            </w:tcBorders>
            <w:shd w:val="clear" w:color="auto" w:fill="auto"/>
            <w:noWrap/>
            <w:vAlign w:val="bottom"/>
            <w:hideMark/>
          </w:tcPr>
          <w:p w14:paraId="6822DC17"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                           - </w:t>
            </w:r>
          </w:p>
        </w:tc>
        <w:tc>
          <w:tcPr>
            <w:tcW w:w="513" w:type="pct"/>
            <w:tcBorders>
              <w:top w:val="nil"/>
              <w:left w:val="nil"/>
              <w:bottom w:val="single" w:sz="4" w:space="0" w:color="auto"/>
              <w:right w:val="single" w:sz="4" w:space="0" w:color="auto"/>
            </w:tcBorders>
            <w:shd w:val="clear" w:color="auto" w:fill="auto"/>
            <w:noWrap/>
            <w:vAlign w:val="bottom"/>
            <w:hideMark/>
          </w:tcPr>
          <w:p w14:paraId="1C624C21"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                    - </w:t>
            </w:r>
          </w:p>
        </w:tc>
        <w:tc>
          <w:tcPr>
            <w:tcW w:w="732" w:type="pct"/>
            <w:tcBorders>
              <w:top w:val="nil"/>
              <w:left w:val="nil"/>
              <w:bottom w:val="single" w:sz="4" w:space="0" w:color="auto"/>
              <w:right w:val="single" w:sz="4" w:space="0" w:color="auto"/>
            </w:tcBorders>
            <w:shd w:val="clear" w:color="auto" w:fill="auto"/>
            <w:noWrap/>
            <w:vAlign w:val="bottom"/>
            <w:hideMark/>
          </w:tcPr>
          <w:p w14:paraId="020F5C71"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(22.514)</w:t>
            </w:r>
          </w:p>
        </w:tc>
      </w:tr>
      <w:tr w:rsidR="009C6488" w:rsidRPr="009C6488" w14:paraId="776471DB"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74F1B6F2"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Caixa Proveniente das Atividades Operacionais</w:t>
            </w:r>
          </w:p>
        </w:tc>
        <w:tc>
          <w:tcPr>
            <w:tcW w:w="586" w:type="pct"/>
            <w:tcBorders>
              <w:top w:val="nil"/>
              <w:left w:val="nil"/>
              <w:bottom w:val="single" w:sz="4" w:space="0" w:color="auto"/>
              <w:right w:val="single" w:sz="4" w:space="0" w:color="auto"/>
            </w:tcBorders>
            <w:shd w:val="clear" w:color="auto" w:fill="auto"/>
            <w:noWrap/>
            <w:vAlign w:val="bottom"/>
            <w:hideMark/>
          </w:tcPr>
          <w:p w14:paraId="78045AEC"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w:t>
            </w:r>
          </w:p>
        </w:tc>
        <w:tc>
          <w:tcPr>
            <w:tcW w:w="641" w:type="pct"/>
            <w:tcBorders>
              <w:top w:val="nil"/>
              <w:left w:val="nil"/>
              <w:bottom w:val="single" w:sz="4" w:space="0" w:color="auto"/>
              <w:right w:val="single" w:sz="4" w:space="0" w:color="auto"/>
            </w:tcBorders>
            <w:shd w:val="clear" w:color="auto" w:fill="auto"/>
            <w:noWrap/>
            <w:vAlign w:val="bottom"/>
            <w:hideMark/>
          </w:tcPr>
          <w:p w14:paraId="5A20F70F"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513" w:type="pct"/>
            <w:tcBorders>
              <w:top w:val="nil"/>
              <w:left w:val="nil"/>
              <w:bottom w:val="single" w:sz="4" w:space="0" w:color="auto"/>
              <w:right w:val="single" w:sz="4" w:space="0" w:color="auto"/>
            </w:tcBorders>
            <w:shd w:val="clear" w:color="auto" w:fill="auto"/>
            <w:noWrap/>
            <w:vAlign w:val="bottom"/>
            <w:hideMark/>
          </w:tcPr>
          <w:p w14:paraId="3DB2E6DF"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732" w:type="pct"/>
            <w:tcBorders>
              <w:top w:val="nil"/>
              <w:left w:val="nil"/>
              <w:bottom w:val="single" w:sz="4" w:space="0" w:color="auto"/>
              <w:right w:val="single" w:sz="4" w:space="0" w:color="auto"/>
            </w:tcBorders>
            <w:shd w:val="clear" w:color="auto" w:fill="auto"/>
            <w:noWrap/>
            <w:vAlign w:val="bottom"/>
            <w:hideMark/>
          </w:tcPr>
          <w:p w14:paraId="134FCC7C"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w:t>
            </w:r>
          </w:p>
        </w:tc>
      </w:tr>
      <w:tr w:rsidR="009C6488" w:rsidRPr="009C6488" w14:paraId="58E628C1"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6370E354" w14:textId="77777777" w:rsidR="009C6488" w:rsidRPr="009C6488" w:rsidRDefault="009C6488" w:rsidP="009C6488">
            <w:pPr>
              <w:spacing w:after="0" w:line="240" w:lineRule="auto"/>
              <w:ind w:firstLineChars="200" w:firstLine="280"/>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Dividendos / Juros sobre Capital Próprio Recebidos</w:t>
            </w:r>
          </w:p>
        </w:tc>
        <w:tc>
          <w:tcPr>
            <w:tcW w:w="586" w:type="pct"/>
            <w:tcBorders>
              <w:top w:val="nil"/>
              <w:left w:val="nil"/>
              <w:bottom w:val="single" w:sz="4" w:space="0" w:color="auto"/>
              <w:right w:val="single" w:sz="4" w:space="0" w:color="auto"/>
            </w:tcBorders>
            <w:shd w:val="clear" w:color="auto" w:fill="auto"/>
            <w:noWrap/>
            <w:vAlign w:val="bottom"/>
            <w:hideMark/>
          </w:tcPr>
          <w:p w14:paraId="7CCE089F"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122 </w:t>
            </w:r>
          </w:p>
        </w:tc>
        <w:tc>
          <w:tcPr>
            <w:tcW w:w="641" w:type="pct"/>
            <w:tcBorders>
              <w:top w:val="nil"/>
              <w:left w:val="nil"/>
              <w:bottom w:val="single" w:sz="4" w:space="0" w:color="auto"/>
              <w:right w:val="single" w:sz="4" w:space="0" w:color="auto"/>
            </w:tcBorders>
            <w:shd w:val="clear" w:color="auto" w:fill="auto"/>
            <w:noWrap/>
            <w:vAlign w:val="bottom"/>
            <w:hideMark/>
          </w:tcPr>
          <w:p w14:paraId="072DA650"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513" w:type="pct"/>
            <w:tcBorders>
              <w:top w:val="nil"/>
              <w:left w:val="nil"/>
              <w:bottom w:val="single" w:sz="4" w:space="0" w:color="auto"/>
              <w:right w:val="single" w:sz="4" w:space="0" w:color="auto"/>
            </w:tcBorders>
            <w:shd w:val="clear" w:color="auto" w:fill="auto"/>
            <w:noWrap/>
            <w:vAlign w:val="bottom"/>
            <w:hideMark/>
          </w:tcPr>
          <w:p w14:paraId="7D5209ED"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732" w:type="pct"/>
            <w:tcBorders>
              <w:top w:val="nil"/>
              <w:left w:val="nil"/>
              <w:bottom w:val="single" w:sz="4" w:space="0" w:color="auto"/>
              <w:right w:val="single" w:sz="4" w:space="0" w:color="auto"/>
            </w:tcBorders>
            <w:shd w:val="clear" w:color="auto" w:fill="auto"/>
            <w:noWrap/>
            <w:vAlign w:val="bottom"/>
            <w:hideMark/>
          </w:tcPr>
          <w:p w14:paraId="4F53B226"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122 </w:t>
            </w:r>
          </w:p>
        </w:tc>
      </w:tr>
      <w:tr w:rsidR="009C6488" w:rsidRPr="009C6488" w14:paraId="0EAC3ACC"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10B662DC" w14:textId="77777777" w:rsidR="009C6488" w:rsidRPr="009C6488" w:rsidRDefault="009C6488" w:rsidP="009C6488">
            <w:pPr>
              <w:spacing w:after="0" w:line="240" w:lineRule="auto"/>
              <w:ind w:firstLineChars="200" w:firstLine="280"/>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Recebimento de Receitas Diferidas</w:t>
            </w:r>
          </w:p>
        </w:tc>
        <w:tc>
          <w:tcPr>
            <w:tcW w:w="586" w:type="pct"/>
            <w:tcBorders>
              <w:top w:val="nil"/>
              <w:left w:val="nil"/>
              <w:bottom w:val="single" w:sz="4" w:space="0" w:color="auto"/>
              <w:right w:val="single" w:sz="4" w:space="0" w:color="auto"/>
            </w:tcBorders>
            <w:shd w:val="clear" w:color="auto" w:fill="auto"/>
            <w:noWrap/>
            <w:vAlign w:val="bottom"/>
            <w:hideMark/>
          </w:tcPr>
          <w:p w14:paraId="3FFB573B"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59.844 </w:t>
            </w:r>
          </w:p>
        </w:tc>
        <w:tc>
          <w:tcPr>
            <w:tcW w:w="641" w:type="pct"/>
            <w:tcBorders>
              <w:top w:val="nil"/>
              <w:left w:val="nil"/>
              <w:bottom w:val="single" w:sz="4" w:space="0" w:color="auto"/>
              <w:right w:val="single" w:sz="4" w:space="0" w:color="auto"/>
            </w:tcBorders>
            <w:shd w:val="clear" w:color="auto" w:fill="auto"/>
            <w:noWrap/>
            <w:vAlign w:val="bottom"/>
            <w:hideMark/>
          </w:tcPr>
          <w:p w14:paraId="284E4CF3"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513" w:type="pct"/>
            <w:tcBorders>
              <w:top w:val="nil"/>
              <w:left w:val="nil"/>
              <w:bottom w:val="single" w:sz="4" w:space="0" w:color="auto"/>
              <w:right w:val="single" w:sz="4" w:space="0" w:color="auto"/>
            </w:tcBorders>
            <w:shd w:val="clear" w:color="auto" w:fill="auto"/>
            <w:noWrap/>
            <w:vAlign w:val="bottom"/>
            <w:hideMark/>
          </w:tcPr>
          <w:p w14:paraId="5EEAC9F0"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732" w:type="pct"/>
            <w:tcBorders>
              <w:top w:val="nil"/>
              <w:left w:val="nil"/>
              <w:bottom w:val="single" w:sz="4" w:space="0" w:color="auto"/>
              <w:right w:val="single" w:sz="4" w:space="0" w:color="auto"/>
            </w:tcBorders>
            <w:shd w:val="clear" w:color="auto" w:fill="auto"/>
            <w:noWrap/>
            <w:vAlign w:val="bottom"/>
            <w:hideMark/>
          </w:tcPr>
          <w:p w14:paraId="7051D6D9"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59.844 </w:t>
            </w:r>
          </w:p>
        </w:tc>
      </w:tr>
      <w:tr w:rsidR="009C6488" w:rsidRPr="009C6488" w14:paraId="2B15010D"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0058503F" w14:textId="77777777" w:rsidR="009C6488" w:rsidRPr="009C6488" w:rsidRDefault="009C6488" w:rsidP="009C6488">
            <w:pPr>
              <w:spacing w:after="0" w:line="240" w:lineRule="auto"/>
              <w:ind w:firstLineChars="200" w:firstLine="280"/>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Pagamento por Adesão ao </w:t>
            </w:r>
            <w:proofErr w:type="spellStart"/>
            <w:r w:rsidRPr="009C6488">
              <w:rPr>
                <w:rFonts w:ascii="Arial" w:eastAsia="Times New Roman" w:hAnsi="Arial" w:cs="Arial"/>
                <w:kern w:val="0"/>
                <w:sz w:val="14"/>
                <w:szCs w:val="14"/>
                <w:lang w:eastAsia="pt-BR"/>
                <w14:ligatures w14:val="none"/>
              </w:rPr>
              <w:t>Prog</w:t>
            </w:r>
            <w:proofErr w:type="spellEnd"/>
            <w:r w:rsidRPr="009C6488">
              <w:rPr>
                <w:rFonts w:ascii="Arial" w:eastAsia="Times New Roman" w:hAnsi="Arial" w:cs="Arial"/>
                <w:kern w:val="0"/>
                <w:sz w:val="14"/>
                <w:szCs w:val="14"/>
                <w:lang w:eastAsia="pt-BR"/>
                <w14:ligatures w14:val="none"/>
              </w:rPr>
              <w:t>. de Indenização por Serviços Prestados - PISP</w:t>
            </w:r>
          </w:p>
        </w:tc>
        <w:tc>
          <w:tcPr>
            <w:tcW w:w="586" w:type="pct"/>
            <w:tcBorders>
              <w:top w:val="nil"/>
              <w:left w:val="nil"/>
              <w:bottom w:val="single" w:sz="4" w:space="0" w:color="auto"/>
              <w:right w:val="single" w:sz="4" w:space="0" w:color="auto"/>
            </w:tcBorders>
            <w:shd w:val="clear" w:color="auto" w:fill="auto"/>
            <w:noWrap/>
            <w:vAlign w:val="bottom"/>
            <w:hideMark/>
          </w:tcPr>
          <w:p w14:paraId="570B33D6"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(6.312)</w:t>
            </w:r>
          </w:p>
        </w:tc>
        <w:tc>
          <w:tcPr>
            <w:tcW w:w="641" w:type="pct"/>
            <w:tcBorders>
              <w:top w:val="nil"/>
              <w:left w:val="nil"/>
              <w:bottom w:val="single" w:sz="4" w:space="0" w:color="auto"/>
              <w:right w:val="single" w:sz="4" w:space="0" w:color="auto"/>
            </w:tcBorders>
            <w:shd w:val="clear" w:color="auto" w:fill="auto"/>
            <w:noWrap/>
            <w:vAlign w:val="bottom"/>
            <w:hideMark/>
          </w:tcPr>
          <w:p w14:paraId="63D0865D"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513" w:type="pct"/>
            <w:tcBorders>
              <w:top w:val="nil"/>
              <w:left w:val="nil"/>
              <w:bottom w:val="single" w:sz="4" w:space="0" w:color="auto"/>
              <w:right w:val="single" w:sz="4" w:space="0" w:color="auto"/>
            </w:tcBorders>
            <w:shd w:val="clear" w:color="auto" w:fill="auto"/>
            <w:noWrap/>
            <w:vAlign w:val="bottom"/>
            <w:hideMark/>
          </w:tcPr>
          <w:p w14:paraId="51BF7C0B"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732" w:type="pct"/>
            <w:tcBorders>
              <w:top w:val="nil"/>
              <w:left w:val="nil"/>
              <w:bottom w:val="single" w:sz="4" w:space="0" w:color="auto"/>
              <w:right w:val="single" w:sz="4" w:space="0" w:color="auto"/>
            </w:tcBorders>
            <w:shd w:val="clear" w:color="auto" w:fill="auto"/>
            <w:noWrap/>
            <w:vAlign w:val="bottom"/>
            <w:hideMark/>
          </w:tcPr>
          <w:p w14:paraId="3A069F2B"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(6.312)</w:t>
            </w:r>
          </w:p>
        </w:tc>
      </w:tr>
      <w:tr w:rsidR="009C6488" w:rsidRPr="009C6488" w14:paraId="786CF61E"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5FD60DB0" w14:textId="77777777" w:rsidR="009C6488" w:rsidRPr="009C6488" w:rsidRDefault="009C6488" w:rsidP="009C6488">
            <w:pPr>
              <w:spacing w:after="0" w:line="240" w:lineRule="auto"/>
              <w:ind w:firstLineChars="200" w:firstLine="280"/>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Pagamento de Juros de Arrendamento Mercantil Financeiro</w:t>
            </w:r>
          </w:p>
        </w:tc>
        <w:tc>
          <w:tcPr>
            <w:tcW w:w="586" w:type="pct"/>
            <w:tcBorders>
              <w:top w:val="nil"/>
              <w:left w:val="nil"/>
              <w:bottom w:val="single" w:sz="4" w:space="0" w:color="auto"/>
              <w:right w:val="single" w:sz="4" w:space="0" w:color="auto"/>
            </w:tcBorders>
            <w:shd w:val="clear" w:color="auto" w:fill="auto"/>
            <w:noWrap/>
            <w:vAlign w:val="bottom"/>
            <w:hideMark/>
          </w:tcPr>
          <w:p w14:paraId="31D7FB18"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(497)</w:t>
            </w:r>
          </w:p>
        </w:tc>
        <w:tc>
          <w:tcPr>
            <w:tcW w:w="641" w:type="pct"/>
            <w:tcBorders>
              <w:top w:val="nil"/>
              <w:left w:val="nil"/>
              <w:bottom w:val="single" w:sz="4" w:space="0" w:color="auto"/>
              <w:right w:val="single" w:sz="4" w:space="0" w:color="auto"/>
            </w:tcBorders>
            <w:shd w:val="clear" w:color="auto" w:fill="auto"/>
            <w:noWrap/>
            <w:vAlign w:val="bottom"/>
            <w:hideMark/>
          </w:tcPr>
          <w:p w14:paraId="45C89F9C"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513" w:type="pct"/>
            <w:tcBorders>
              <w:top w:val="nil"/>
              <w:left w:val="nil"/>
              <w:bottom w:val="single" w:sz="4" w:space="0" w:color="auto"/>
              <w:right w:val="single" w:sz="4" w:space="0" w:color="auto"/>
            </w:tcBorders>
            <w:shd w:val="clear" w:color="auto" w:fill="auto"/>
            <w:noWrap/>
            <w:vAlign w:val="bottom"/>
            <w:hideMark/>
          </w:tcPr>
          <w:p w14:paraId="3C9FFFFC"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732" w:type="pct"/>
            <w:tcBorders>
              <w:top w:val="nil"/>
              <w:left w:val="nil"/>
              <w:bottom w:val="single" w:sz="4" w:space="0" w:color="auto"/>
              <w:right w:val="single" w:sz="4" w:space="0" w:color="auto"/>
            </w:tcBorders>
            <w:shd w:val="clear" w:color="auto" w:fill="auto"/>
            <w:noWrap/>
            <w:vAlign w:val="bottom"/>
            <w:hideMark/>
          </w:tcPr>
          <w:p w14:paraId="612C37FE"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(497)</w:t>
            </w:r>
          </w:p>
        </w:tc>
      </w:tr>
      <w:tr w:rsidR="009C6488" w:rsidRPr="009C6488" w14:paraId="36B532A9"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072ADDDB" w14:textId="77777777" w:rsidR="009C6488" w:rsidRPr="009C6488" w:rsidRDefault="009C6488" w:rsidP="009C6488">
            <w:pPr>
              <w:spacing w:after="0" w:line="240" w:lineRule="auto"/>
              <w:ind w:firstLineChars="200" w:firstLine="280"/>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Pagamento de Juros de Empréstimos e Financiamentos</w:t>
            </w:r>
          </w:p>
        </w:tc>
        <w:tc>
          <w:tcPr>
            <w:tcW w:w="586" w:type="pct"/>
            <w:tcBorders>
              <w:top w:val="nil"/>
              <w:left w:val="nil"/>
              <w:bottom w:val="single" w:sz="4" w:space="0" w:color="auto"/>
              <w:right w:val="single" w:sz="4" w:space="0" w:color="auto"/>
            </w:tcBorders>
            <w:shd w:val="clear" w:color="auto" w:fill="auto"/>
            <w:noWrap/>
            <w:vAlign w:val="bottom"/>
            <w:hideMark/>
          </w:tcPr>
          <w:p w14:paraId="128DBEE7"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(7.690)</w:t>
            </w:r>
          </w:p>
        </w:tc>
        <w:tc>
          <w:tcPr>
            <w:tcW w:w="641" w:type="pct"/>
            <w:tcBorders>
              <w:top w:val="nil"/>
              <w:left w:val="nil"/>
              <w:bottom w:val="single" w:sz="4" w:space="0" w:color="auto"/>
              <w:right w:val="single" w:sz="4" w:space="0" w:color="auto"/>
            </w:tcBorders>
            <w:shd w:val="clear" w:color="auto" w:fill="auto"/>
            <w:noWrap/>
            <w:vAlign w:val="bottom"/>
            <w:hideMark/>
          </w:tcPr>
          <w:p w14:paraId="62E15B10"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513" w:type="pct"/>
            <w:tcBorders>
              <w:top w:val="nil"/>
              <w:left w:val="nil"/>
              <w:bottom w:val="single" w:sz="4" w:space="0" w:color="auto"/>
              <w:right w:val="single" w:sz="4" w:space="0" w:color="auto"/>
            </w:tcBorders>
            <w:shd w:val="clear" w:color="auto" w:fill="auto"/>
            <w:noWrap/>
            <w:vAlign w:val="bottom"/>
            <w:hideMark/>
          </w:tcPr>
          <w:p w14:paraId="7A6F6906"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732" w:type="pct"/>
            <w:tcBorders>
              <w:top w:val="nil"/>
              <w:left w:val="nil"/>
              <w:bottom w:val="single" w:sz="4" w:space="0" w:color="auto"/>
              <w:right w:val="single" w:sz="4" w:space="0" w:color="auto"/>
            </w:tcBorders>
            <w:shd w:val="clear" w:color="auto" w:fill="auto"/>
            <w:noWrap/>
            <w:vAlign w:val="bottom"/>
            <w:hideMark/>
          </w:tcPr>
          <w:p w14:paraId="1F1D00D2"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(7.690)</w:t>
            </w:r>
          </w:p>
        </w:tc>
      </w:tr>
      <w:tr w:rsidR="009C6488" w:rsidRPr="009C6488" w14:paraId="5F5C9C98"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606543FA" w14:textId="77777777" w:rsidR="009C6488" w:rsidRPr="009C6488" w:rsidRDefault="009C6488" w:rsidP="009C6488">
            <w:pPr>
              <w:spacing w:after="0" w:line="240" w:lineRule="auto"/>
              <w:ind w:firstLineChars="200" w:firstLine="280"/>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Pagamento de Compensação Financeira - Financiamento FINEP</w:t>
            </w:r>
          </w:p>
        </w:tc>
        <w:tc>
          <w:tcPr>
            <w:tcW w:w="586" w:type="pct"/>
            <w:tcBorders>
              <w:top w:val="nil"/>
              <w:left w:val="nil"/>
              <w:bottom w:val="single" w:sz="4" w:space="0" w:color="auto"/>
              <w:right w:val="single" w:sz="4" w:space="0" w:color="auto"/>
            </w:tcBorders>
            <w:shd w:val="clear" w:color="auto" w:fill="auto"/>
            <w:noWrap/>
            <w:vAlign w:val="bottom"/>
            <w:hideMark/>
          </w:tcPr>
          <w:p w14:paraId="27EDABB5"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(4.375)</w:t>
            </w:r>
          </w:p>
        </w:tc>
        <w:tc>
          <w:tcPr>
            <w:tcW w:w="641" w:type="pct"/>
            <w:tcBorders>
              <w:top w:val="nil"/>
              <w:left w:val="nil"/>
              <w:bottom w:val="single" w:sz="4" w:space="0" w:color="auto"/>
              <w:right w:val="single" w:sz="4" w:space="0" w:color="auto"/>
            </w:tcBorders>
            <w:shd w:val="clear" w:color="auto" w:fill="auto"/>
            <w:noWrap/>
            <w:vAlign w:val="bottom"/>
            <w:hideMark/>
          </w:tcPr>
          <w:p w14:paraId="63E10915"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513" w:type="pct"/>
            <w:tcBorders>
              <w:top w:val="nil"/>
              <w:left w:val="nil"/>
              <w:bottom w:val="single" w:sz="4" w:space="0" w:color="auto"/>
              <w:right w:val="single" w:sz="4" w:space="0" w:color="auto"/>
            </w:tcBorders>
            <w:shd w:val="clear" w:color="auto" w:fill="auto"/>
            <w:noWrap/>
            <w:vAlign w:val="bottom"/>
            <w:hideMark/>
          </w:tcPr>
          <w:p w14:paraId="4B264BA9"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732" w:type="pct"/>
            <w:tcBorders>
              <w:top w:val="nil"/>
              <w:left w:val="nil"/>
              <w:bottom w:val="single" w:sz="4" w:space="0" w:color="auto"/>
              <w:right w:val="single" w:sz="4" w:space="0" w:color="auto"/>
            </w:tcBorders>
            <w:shd w:val="clear" w:color="auto" w:fill="auto"/>
            <w:noWrap/>
            <w:vAlign w:val="bottom"/>
            <w:hideMark/>
          </w:tcPr>
          <w:p w14:paraId="173174DA"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(4.375)</w:t>
            </w:r>
          </w:p>
        </w:tc>
      </w:tr>
      <w:tr w:rsidR="009C6488" w:rsidRPr="009C6488" w14:paraId="76BB90C2"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7EF06568" w14:textId="77777777" w:rsidR="009C6488" w:rsidRPr="009C6488" w:rsidRDefault="009C6488" w:rsidP="009C6488">
            <w:pPr>
              <w:spacing w:after="0" w:line="240" w:lineRule="auto"/>
              <w:ind w:firstLineChars="200" w:firstLine="280"/>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Pagamento de Causas Judiciais - Trabalhistas, Cíveis e Fiscais</w:t>
            </w:r>
          </w:p>
        </w:tc>
        <w:tc>
          <w:tcPr>
            <w:tcW w:w="586" w:type="pct"/>
            <w:tcBorders>
              <w:top w:val="nil"/>
              <w:left w:val="nil"/>
              <w:bottom w:val="single" w:sz="4" w:space="0" w:color="auto"/>
              <w:right w:val="single" w:sz="4" w:space="0" w:color="auto"/>
            </w:tcBorders>
            <w:shd w:val="clear" w:color="auto" w:fill="auto"/>
            <w:noWrap/>
            <w:vAlign w:val="bottom"/>
            <w:hideMark/>
          </w:tcPr>
          <w:p w14:paraId="676F4017"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(314)</w:t>
            </w:r>
          </w:p>
        </w:tc>
        <w:tc>
          <w:tcPr>
            <w:tcW w:w="641" w:type="pct"/>
            <w:tcBorders>
              <w:top w:val="nil"/>
              <w:left w:val="nil"/>
              <w:bottom w:val="single" w:sz="4" w:space="0" w:color="auto"/>
              <w:right w:val="single" w:sz="4" w:space="0" w:color="auto"/>
            </w:tcBorders>
            <w:shd w:val="clear" w:color="auto" w:fill="auto"/>
            <w:noWrap/>
            <w:vAlign w:val="bottom"/>
            <w:hideMark/>
          </w:tcPr>
          <w:p w14:paraId="31FA8F31"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513" w:type="pct"/>
            <w:tcBorders>
              <w:top w:val="nil"/>
              <w:left w:val="nil"/>
              <w:bottom w:val="single" w:sz="4" w:space="0" w:color="auto"/>
              <w:right w:val="single" w:sz="4" w:space="0" w:color="auto"/>
            </w:tcBorders>
            <w:shd w:val="clear" w:color="auto" w:fill="auto"/>
            <w:noWrap/>
            <w:vAlign w:val="bottom"/>
            <w:hideMark/>
          </w:tcPr>
          <w:p w14:paraId="745426A9"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732" w:type="pct"/>
            <w:tcBorders>
              <w:top w:val="nil"/>
              <w:left w:val="nil"/>
              <w:bottom w:val="single" w:sz="4" w:space="0" w:color="auto"/>
              <w:right w:val="single" w:sz="4" w:space="0" w:color="auto"/>
            </w:tcBorders>
            <w:shd w:val="clear" w:color="auto" w:fill="auto"/>
            <w:noWrap/>
            <w:vAlign w:val="bottom"/>
            <w:hideMark/>
          </w:tcPr>
          <w:p w14:paraId="5B5C15C2"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(314)</w:t>
            </w:r>
          </w:p>
        </w:tc>
      </w:tr>
      <w:tr w:rsidR="009C6488" w:rsidRPr="009C6488" w14:paraId="3BC52C43"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14AD6827" w14:textId="77777777" w:rsidR="009C6488" w:rsidRPr="009C6488" w:rsidRDefault="009C6488" w:rsidP="009C6488">
            <w:pPr>
              <w:spacing w:after="0" w:line="240" w:lineRule="auto"/>
              <w:ind w:firstLineChars="200" w:firstLine="280"/>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Pagamento de Acordos Judiciais - Encargos</w:t>
            </w:r>
          </w:p>
        </w:tc>
        <w:tc>
          <w:tcPr>
            <w:tcW w:w="586" w:type="pct"/>
            <w:tcBorders>
              <w:top w:val="nil"/>
              <w:left w:val="nil"/>
              <w:bottom w:val="single" w:sz="4" w:space="0" w:color="auto"/>
              <w:right w:val="single" w:sz="4" w:space="0" w:color="auto"/>
            </w:tcBorders>
            <w:shd w:val="clear" w:color="auto" w:fill="auto"/>
            <w:noWrap/>
            <w:vAlign w:val="bottom"/>
            <w:hideMark/>
          </w:tcPr>
          <w:p w14:paraId="5B815571"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(15.897)</w:t>
            </w:r>
          </w:p>
        </w:tc>
        <w:tc>
          <w:tcPr>
            <w:tcW w:w="641" w:type="pct"/>
            <w:tcBorders>
              <w:top w:val="nil"/>
              <w:left w:val="nil"/>
              <w:bottom w:val="single" w:sz="4" w:space="0" w:color="auto"/>
              <w:right w:val="single" w:sz="4" w:space="0" w:color="auto"/>
            </w:tcBorders>
            <w:shd w:val="clear" w:color="auto" w:fill="auto"/>
            <w:noWrap/>
            <w:vAlign w:val="bottom"/>
            <w:hideMark/>
          </w:tcPr>
          <w:p w14:paraId="0BB7AF83"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513" w:type="pct"/>
            <w:tcBorders>
              <w:top w:val="nil"/>
              <w:left w:val="nil"/>
              <w:bottom w:val="single" w:sz="4" w:space="0" w:color="auto"/>
              <w:right w:val="single" w:sz="4" w:space="0" w:color="auto"/>
            </w:tcBorders>
            <w:shd w:val="clear" w:color="auto" w:fill="auto"/>
            <w:noWrap/>
            <w:vAlign w:val="bottom"/>
            <w:hideMark/>
          </w:tcPr>
          <w:p w14:paraId="20D4F7CE"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w:t>
            </w:r>
          </w:p>
        </w:tc>
        <w:tc>
          <w:tcPr>
            <w:tcW w:w="732" w:type="pct"/>
            <w:tcBorders>
              <w:top w:val="nil"/>
              <w:left w:val="nil"/>
              <w:bottom w:val="single" w:sz="4" w:space="0" w:color="auto"/>
              <w:right w:val="single" w:sz="4" w:space="0" w:color="auto"/>
            </w:tcBorders>
            <w:shd w:val="clear" w:color="auto" w:fill="auto"/>
            <w:noWrap/>
            <w:vAlign w:val="bottom"/>
            <w:hideMark/>
          </w:tcPr>
          <w:p w14:paraId="25334AB1"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(15.897)</w:t>
            </w:r>
          </w:p>
        </w:tc>
      </w:tr>
      <w:tr w:rsidR="009C6488" w:rsidRPr="009C6488" w14:paraId="70DC90CF"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163FD684" w14:textId="77777777" w:rsidR="009C6488" w:rsidRPr="009C6488" w:rsidRDefault="009C6488" w:rsidP="009C6488">
            <w:pPr>
              <w:spacing w:after="0" w:line="240" w:lineRule="auto"/>
              <w:ind w:firstLineChars="200" w:firstLine="281"/>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Total </w:t>
            </w:r>
          </w:p>
        </w:tc>
        <w:tc>
          <w:tcPr>
            <w:tcW w:w="586" w:type="pct"/>
            <w:tcBorders>
              <w:top w:val="nil"/>
              <w:left w:val="nil"/>
              <w:bottom w:val="single" w:sz="4" w:space="0" w:color="auto"/>
              <w:right w:val="single" w:sz="4" w:space="0" w:color="auto"/>
            </w:tcBorders>
            <w:shd w:val="clear" w:color="auto" w:fill="auto"/>
            <w:noWrap/>
            <w:vAlign w:val="bottom"/>
            <w:hideMark/>
          </w:tcPr>
          <w:p w14:paraId="2A154711"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24.881 </w:t>
            </w:r>
          </w:p>
        </w:tc>
        <w:tc>
          <w:tcPr>
            <w:tcW w:w="641" w:type="pct"/>
            <w:tcBorders>
              <w:top w:val="nil"/>
              <w:left w:val="nil"/>
              <w:bottom w:val="single" w:sz="4" w:space="0" w:color="auto"/>
              <w:right w:val="single" w:sz="4" w:space="0" w:color="auto"/>
            </w:tcBorders>
            <w:shd w:val="clear" w:color="auto" w:fill="auto"/>
            <w:noWrap/>
            <w:vAlign w:val="bottom"/>
            <w:hideMark/>
          </w:tcPr>
          <w:p w14:paraId="0D542B19"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                           - </w:t>
            </w:r>
          </w:p>
        </w:tc>
        <w:tc>
          <w:tcPr>
            <w:tcW w:w="513" w:type="pct"/>
            <w:tcBorders>
              <w:top w:val="nil"/>
              <w:left w:val="nil"/>
              <w:bottom w:val="single" w:sz="4" w:space="0" w:color="auto"/>
              <w:right w:val="single" w:sz="4" w:space="0" w:color="auto"/>
            </w:tcBorders>
            <w:shd w:val="clear" w:color="auto" w:fill="auto"/>
            <w:noWrap/>
            <w:vAlign w:val="bottom"/>
            <w:hideMark/>
          </w:tcPr>
          <w:p w14:paraId="71062257"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                    - </w:t>
            </w:r>
          </w:p>
        </w:tc>
        <w:tc>
          <w:tcPr>
            <w:tcW w:w="732" w:type="pct"/>
            <w:tcBorders>
              <w:top w:val="nil"/>
              <w:left w:val="nil"/>
              <w:bottom w:val="single" w:sz="4" w:space="0" w:color="auto"/>
              <w:right w:val="single" w:sz="4" w:space="0" w:color="auto"/>
            </w:tcBorders>
            <w:shd w:val="clear" w:color="auto" w:fill="auto"/>
            <w:noWrap/>
            <w:vAlign w:val="bottom"/>
            <w:hideMark/>
          </w:tcPr>
          <w:p w14:paraId="13604FA8"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24.881 </w:t>
            </w:r>
          </w:p>
        </w:tc>
      </w:tr>
      <w:tr w:rsidR="009C6488" w:rsidRPr="009C6488" w14:paraId="6217B91E"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58AC388E"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Caixa Líquido Gerado/(Consumido) pelas Atividades Operacionais </w:t>
            </w:r>
          </w:p>
        </w:tc>
        <w:tc>
          <w:tcPr>
            <w:tcW w:w="586" w:type="pct"/>
            <w:tcBorders>
              <w:top w:val="nil"/>
              <w:left w:val="nil"/>
              <w:bottom w:val="single" w:sz="4" w:space="0" w:color="auto"/>
              <w:right w:val="single" w:sz="4" w:space="0" w:color="auto"/>
            </w:tcBorders>
            <w:shd w:val="clear" w:color="auto" w:fill="auto"/>
            <w:noWrap/>
            <w:vAlign w:val="bottom"/>
            <w:hideMark/>
          </w:tcPr>
          <w:p w14:paraId="62027407"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127.006 </w:t>
            </w:r>
          </w:p>
        </w:tc>
        <w:tc>
          <w:tcPr>
            <w:tcW w:w="641" w:type="pct"/>
            <w:tcBorders>
              <w:top w:val="nil"/>
              <w:left w:val="nil"/>
              <w:bottom w:val="single" w:sz="4" w:space="0" w:color="auto"/>
              <w:right w:val="single" w:sz="4" w:space="0" w:color="auto"/>
            </w:tcBorders>
            <w:shd w:val="clear" w:color="auto" w:fill="auto"/>
            <w:noWrap/>
            <w:vAlign w:val="bottom"/>
            <w:hideMark/>
          </w:tcPr>
          <w:p w14:paraId="132A2596"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                           - </w:t>
            </w:r>
          </w:p>
        </w:tc>
        <w:tc>
          <w:tcPr>
            <w:tcW w:w="513" w:type="pct"/>
            <w:tcBorders>
              <w:top w:val="nil"/>
              <w:left w:val="nil"/>
              <w:bottom w:val="single" w:sz="4" w:space="0" w:color="auto"/>
              <w:right w:val="single" w:sz="4" w:space="0" w:color="auto"/>
            </w:tcBorders>
            <w:shd w:val="clear" w:color="auto" w:fill="auto"/>
            <w:noWrap/>
            <w:vAlign w:val="bottom"/>
            <w:hideMark/>
          </w:tcPr>
          <w:p w14:paraId="52F09454"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197 </w:t>
            </w:r>
          </w:p>
        </w:tc>
        <w:tc>
          <w:tcPr>
            <w:tcW w:w="732" w:type="pct"/>
            <w:tcBorders>
              <w:top w:val="nil"/>
              <w:left w:val="nil"/>
              <w:bottom w:val="single" w:sz="4" w:space="0" w:color="auto"/>
              <w:right w:val="single" w:sz="4" w:space="0" w:color="auto"/>
            </w:tcBorders>
            <w:shd w:val="clear" w:color="auto" w:fill="auto"/>
            <w:noWrap/>
            <w:vAlign w:val="bottom"/>
            <w:hideMark/>
          </w:tcPr>
          <w:p w14:paraId="72773421"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95.849 </w:t>
            </w:r>
          </w:p>
        </w:tc>
      </w:tr>
      <w:tr w:rsidR="009C6488" w:rsidRPr="009C6488" w14:paraId="2E96CA02"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432599BA"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Fluxos de Caixa das Atividades de Investimento</w:t>
            </w:r>
          </w:p>
        </w:tc>
        <w:tc>
          <w:tcPr>
            <w:tcW w:w="586" w:type="pct"/>
            <w:tcBorders>
              <w:top w:val="nil"/>
              <w:left w:val="nil"/>
              <w:bottom w:val="single" w:sz="4" w:space="0" w:color="auto"/>
              <w:right w:val="single" w:sz="4" w:space="0" w:color="auto"/>
            </w:tcBorders>
            <w:shd w:val="clear" w:color="auto" w:fill="auto"/>
            <w:noWrap/>
            <w:vAlign w:val="bottom"/>
            <w:hideMark/>
          </w:tcPr>
          <w:p w14:paraId="148748A5"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641" w:type="pct"/>
            <w:tcBorders>
              <w:top w:val="nil"/>
              <w:left w:val="nil"/>
              <w:bottom w:val="single" w:sz="4" w:space="0" w:color="auto"/>
              <w:right w:val="single" w:sz="4" w:space="0" w:color="auto"/>
            </w:tcBorders>
            <w:shd w:val="clear" w:color="auto" w:fill="auto"/>
            <w:noWrap/>
            <w:vAlign w:val="bottom"/>
            <w:hideMark/>
          </w:tcPr>
          <w:p w14:paraId="24FA8DC7"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513" w:type="pct"/>
            <w:tcBorders>
              <w:top w:val="nil"/>
              <w:left w:val="nil"/>
              <w:bottom w:val="single" w:sz="4" w:space="0" w:color="auto"/>
              <w:right w:val="single" w:sz="4" w:space="0" w:color="auto"/>
            </w:tcBorders>
            <w:shd w:val="clear" w:color="auto" w:fill="auto"/>
            <w:noWrap/>
            <w:vAlign w:val="bottom"/>
            <w:hideMark/>
          </w:tcPr>
          <w:p w14:paraId="3B1DC8BC"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732" w:type="pct"/>
            <w:tcBorders>
              <w:top w:val="nil"/>
              <w:left w:val="nil"/>
              <w:bottom w:val="single" w:sz="4" w:space="0" w:color="auto"/>
              <w:right w:val="single" w:sz="4" w:space="0" w:color="auto"/>
            </w:tcBorders>
            <w:shd w:val="clear" w:color="auto" w:fill="auto"/>
            <w:noWrap/>
            <w:vAlign w:val="bottom"/>
            <w:hideMark/>
          </w:tcPr>
          <w:p w14:paraId="00AAAC0B"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r>
      <w:tr w:rsidR="009C6488" w:rsidRPr="009C6488" w14:paraId="444C7CEF"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69D0886A" w14:textId="77777777" w:rsidR="009C6488" w:rsidRPr="009C6488" w:rsidRDefault="009C6488" w:rsidP="009C6488">
            <w:pPr>
              <w:spacing w:after="0" w:line="240" w:lineRule="auto"/>
              <w:ind w:firstLineChars="200" w:firstLine="280"/>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Aquisição de Imobilizado / Intangível</w:t>
            </w:r>
          </w:p>
        </w:tc>
        <w:tc>
          <w:tcPr>
            <w:tcW w:w="586" w:type="pct"/>
            <w:tcBorders>
              <w:top w:val="nil"/>
              <w:left w:val="nil"/>
              <w:bottom w:val="single" w:sz="4" w:space="0" w:color="auto"/>
              <w:right w:val="single" w:sz="4" w:space="0" w:color="auto"/>
            </w:tcBorders>
            <w:shd w:val="clear" w:color="auto" w:fill="auto"/>
            <w:noWrap/>
            <w:vAlign w:val="bottom"/>
            <w:hideMark/>
          </w:tcPr>
          <w:p w14:paraId="000E401D"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(38.029)</w:t>
            </w:r>
          </w:p>
        </w:tc>
        <w:tc>
          <w:tcPr>
            <w:tcW w:w="641" w:type="pct"/>
            <w:tcBorders>
              <w:top w:val="nil"/>
              <w:left w:val="nil"/>
              <w:bottom w:val="single" w:sz="4" w:space="0" w:color="auto"/>
              <w:right w:val="single" w:sz="4" w:space="0" w:color="auto"/>
            </w:tcBorders>
            <w:shd w:val="clear" w:color="auto" w:fill="auto"/>
            <w:noWrap/>
            <w:vAlign w:val="bottom"/>
            <w:hideMark/>
          </w:tcPr>
          <w:p w14:paraId="3DBE3C0D"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513" w:type="pct"/>
            <w:tcBorders>
              <w:top w:val="nil"/>
              <w:left w:val="nil"/>
              <w:bottom w:val="single" w:sz="4" w:space="0" w:color="auto"/>
              <w:right w:val="single" w:sz="4" w:space="0" w:color="auto"/>
            </w:tcBorders>
            <w:shd w:val="clear" w:color="auto" w:fill="auto"/>
            <w:noWrap/>
            <w:vAlign w:val="bottom"/>
            <w:hideMark/>
          </w:tcPr>
          <w:p w14:paraId="46129C4F"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732" w:type="pct"/>
            <w:tcBorders>
              <w:top w:val="nil"/>
              <w:left w:val="nil"/>
              <w:bottom w:val="single" w:sz="4" w:space="0" w:color="auto"/>
              <w:right w:val="single" w:sz="4" w:space="0" w:color="auto"/>
            </w:tcBorders>
            <w:shd w:val="clear" w:color="auto" w:fill="auto"/>
            <w:noWrap/>
            <w:vAlign w:val="bottom"/>
            <w:hideMark/>
          </w:tcPr>
          <w:p w14:paraId="53036527"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(38.029)</w:t>
            </w:r>
          </w:p>
        </w:tc>
      </w:tr>
      <w:tr w:rsidR="009C6488" w:rsidRPr="009C6488" w14:paraId="49D01462"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4561A8A7" w14:textId="77777777" w:rsidR="009C6488" w:rsidRPr="009C6488" w:rsidRDefault="009C6488" w:rsidP="009C6488">
            <w:pPr>
              <w:spacing w:after="0" w:line="240" w:lineRule="auto"/>
              <w:ind w:firstLineChars="200" w:firstLine="280"/>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Aplicações Financeiras</w:t>
            </w:r>
          </w:p>
        </w:tc>
        <w:tc>
          <w:tcPr>
            <w:tcW w:w="586" w:type="pct"/>
            <w:tcBorders>
              <w:top w:val="nil"/>
              <w:left w:val="nil"/>
              <w:bottom w:val="single" w:sz="4" w:space="0" w:color="auto"/>
              <w:right w:val="single" w:sz="4" w:space="0" w:color="auto"/>
            </w:tcBorders>
            <w:shd w:val="clear" w:color="auto" w:fill="auto"/>
            <w:noWrap/>
            <w:vAlign w:val="bottom"/>
            <w:hideMark/>
          </w:tcPr>
          <w:p w14:paraId="4E8FE19D"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(822.352)</w:t>
            </w:r>
          </w:p>
        </w:tc>
        <w:tc>
          <w:tcPr>
            <w:tcW w:w="641" w:type="pct"/>
            <w:tcBorders>
              <w:top w:val="nil"/>
              <w:left w:val="nil"/>
              <w:bottom w:val="single" w:sz="4" w:space="0" w:color="auto"/>
              <w:right w:val="single" w:sz="4" w:space="0" w:color="auto"/>
            </w:tcBorders>
            <w:shd w:val="clear" w:color="auto" w:fill="auto"/>
            <w:noWrap/>
            <w:vAlign w:val="bottom"/>
            <w:hideMark/>
          </w:tcPr>
          <w:p w14:paraId="00CF20CD"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513" w:type="pct"/>
            <w:tcBorders>
              <w:top w:val="nil"/>
              <w:left w:val="nil"/>
              <w:bottom w:val="single" w:sz="4" w:space="0" w:color="auto"/>
              <w:right w:val="single" w:sz="4" w:space="0" w:color="auto"/>
            </w:tcBorders>
            <w:shd w:val="clear" w:color="auto" w:fill="auto"/>
            <w:noWrap/>
            <w:vAlign w:val="bottom"/>
            <w:hideMark/>
          </w:tcPr>
          <w:p w14:paraId="252A0701"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w:t>
            </w:r>
          </w:p>
        </w:tc>
        <w:tc>
          <w:tcPr>
            <w:tcW w:w="732" w:type="pct"/>
            <w:tcBorders>
              <w:top w:val="nil"/>
              <w:left w:val="nil"/>
              <w:bottom w:val="single" w:sz="4" w:space="0" w:color="auto"/>
              <w:right w:val="single" w:sz="4" w:space="0" w:color="auto"/>
            </w:tcBorders>
            <w:shd w:val="clear" w:color="auto" w:fill="auto"/>
            <w:noWrap/>
            <w:vAlign w:val="bottom"/>
            <w:hideMark/>
          </w:tcPr>
          <w:p w14:paraId="585B837C"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(822.352)</w:t>
            </w:r>
          </w:p>
        </w:tc>
      </w:tr>
      <w:tr w:rsidR="009C6488" w:rsidRPr="009C6488" w14:paraId="053D6AC2"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4EAADE26"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Caixa Líquido Consumido pelas Atividades de Investimento </w:t>
            </w:r>
          </w:p>
        </w:tc>
        <w:tc>
          <w:tcPr>
            <w:tcW w:w="586" w:type="pct"/>
            <w:tcBorders>
              <w:top w:val="nil"/>
              <w:left w:val="nil"/>
              <w:bottom w:val="single" w:sz="4" w:space="0" w:color="auto"/>
              <w:right w:val="single" w:sz="4" w:space="0" w:color="auto"/>
            </w:tcBorders>
            <w:shd w:val="clear" w:color="auto" w:fill="auto"/>
            <w:noWrap/>
            <w:vAlign w:val="bottom"/>
            <w:hideMark/>
          </w:tcPr>
          <w:p w14:paraId="0C193CE3"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(860.381)</w:t>
            </w:r>
          </w:p>
        </w:tc>
        <w:tc>
          <w:tcPr>
            <w:tcW w:w="641" w:type="pct"/>
            <w:tcBorders>
              <w:top w:val="nil"/>
              <w:left w:val="nil"/>
              <w:bottom w:val="single" w:sz="4" w:space="0" w:color="auto"/>
              <w:right w:val="single" w:sz="4" w:space="0" w:color="auto"/>
            </w:tcBorders>
            <w:shd w:val="clear" w:color="auto" w:fill="auto"/>
            <w:noWrap/>
            <w:vAlign w:val="bottom"/>
            <w:hideMark/>
          </w:tcPr>
          <w:p w14:paraId="3F418537"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                           - </w:t>
            </w:r>
          </w:p>
        </w:tc>
        <w:tc>
          <w:tcPr>
            <w:tcW w:w="513" w:type="pct"/>
            <w:tcBorders>
              <w:top w:val="nil"/>
              <w:left w:val="nil"/>
              <w:bottom w:val="single" w:sz="4" w:space="0" w:color="auto"/>
              <w:right w:val="single" w:sz="4" w:space="0" w:color="auto"/>
            </w:tcBorders>
            <w:shd w:val="clear" w:color="auto" w:fill="auto"/>
            <w:noWrap/>
            <w:vAlign w:val="bottom"/>
            <w:hideMark/>
          </w:tcPr>
          <w:p w14:paraId="4FA06406"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                    - </w:t>
            </w:r>
          </w:p>
        </w:tc>
        <w:tc>
          <w:tcPr>
            <w:tcW w:w="732" w:type="pct"/>
            <w:tcBorders>
              <w:top w:val="nil"/>
              <w:left w:val="nil"/>
              <w:bottom w:val="single" w:sz="4" w:space="0" w:color="auto"/>
              <w:right w:val="single" w:sz="4" w:space="0" w:color="auto"/>
            </w:tcBorders>
            <w:shd w:val="clear" w:color="auto" w:fill="auto"/>
            <w:noWrap/>
            <w:vAlign w:val="bottom"/>
            <w:hideMark/>
          </w:tcPr>
          <w:p w14:paraId="572A1A3D"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(860.381)</w:t>
            </w:r>
          </w:p>
        </w:tc>
      </w:tr>
      <w:tr w:rsidR="009C6488" w:rsidRPr="009C6488" w14:paraId="22266D70"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20354ABA"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Fluxos de Caixa das Atividades de Financiamento</w:t>
            </w:r>
          </w:p>
        </w:tc>
        <w:tc>
          <w:tcPr>
            <w:tcW w:w="586" w:type="pct"/>
            <w:tcBorders>
              <w:top w:val="nil"/>
              <w:left w:val="nil"/>
              <w:bottom w:val="single" w:sz="4" w:space="0" w:color="auto"/>
              <w:right w:val="single" w:sz="4" w:space="0" w:color="auto"/>
            </w:tcBorders>
            <w:shd w:val="clear" w:color="auto" w:fill="auto"/>
            <w:noWrap/>
            <w:vAlign w:val="bottom"/>
            <w:hideMark/>
          </w:tcPr>
          <w:p w14:paraId="37808887"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641" w:type="pct"/>
            <w:tcBorders>
              <w:top w:val="nil"/>
              <w:left w:val="nil"/>
              <w:bottom w:val="single" w:sz="4" w:space="0" w:color="auto"/>
              <w:right w:val="single" w:sz="4" w:space="0" w:color="auto"/>
            </w:tcBorders>
            <w:shd w:val="clear" w:color="auto" w:fill="auto"/>
            <w:noWrap/>
            <w:vAlign w:val="bottom"/>
            <w:hideMark/>
          </w:tcPr>
          <w:p w14:paraId="59027D68"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513" w:type="pct"/>
            <w:tcBorders>
              <w:top w:val="nil"/>
              <w:left w:val="nil"/>
              <w:bottom w:val="single" w:sz="4" w:space="0" w:color="auto"/>
              <w:right w:val="single" w:sz="4" w:space="0" w:color="auto"/>
            </w:tcBorders>
            <w:shd w:val="clear" w:color="auto" w:fill="auto"/>
            <w:noWrap/>
            <w:vAlign w:val="bottom"/>
            <w:hideMark/>
          </w:tcPr>
          <w:p w14:paraId="4F91DADE"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732" w:type="pct"/>
            <w:tcBorders>
              <w:top w:val="nil"/>
              <w:left w:val="nil"/>
              <w:bottom w:val="single" w:sz="4" w:space="0" w:color="auto"/>
              <w:right w:val="single" w:sz="4" w:space="0" w:color="auto"/>
            </w:tcBorders>
            <w:shd w:val="clear" w:color="auto" w:fill="auto"/>
            <w:noWrap/>
            <w:vAlign w:val="bottom"/>
            <w:hideMark/>
          </w:tcPr>
          <w:p w14:paraId="2986598E"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r>
      <w:tr w:rsidR="009C6488" w:rsidRPr="009C6488" w14:paraId="72B4165A"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374114CA" w14:textId="77777777" w:rsidR="009C6488" w:rsidRPr="009C6488" w:rsidRDefault="009C6488" w:rsidP="009C6488">
            <w:pPr>
              <w:spacing w:after="0" w:line="240" w:lineRule="auto"/>
              <w:ind w:firstLineChars="200" w:firstLine="280"/>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Recebimento de Adiantamento p/ Futuro Aumento de Capital </w:t>
            </w:r>
          </w:p>
        </w:tc>
        <w:tc>
          <w:tcPr>
            <w:tcW w:w="586" w:type="pct"/>
            <w:tcBorders>
              <w:top w:val="nil"/>
              <w:left w:val="nil"/>
              <w:bottom w:val="single" w:sz="4" w:space="0" w:color="auto"/>
              <w:right w:val="single" w:sz="4" w:space="0" w:color="auto"/>
            </w:tcBorders>
            <w:shd w:val="clear" w:color="auto" w:fill="auto"/>
            <w:noWrap/>
            <w:vAlign w:val="bottom"/>
            <w:hideMark/>
          </w:tcPr>
          <w:p w14:paraId="56C75E93"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                - </w:t>
            </w:r>
          </w:p>
        </w:tc>
        <w:tc>
          <w:tcPr>
            <w:tcW w:w="641" w:type="pct"/>
            <w:tcBorders>
              <w:top w:val="nil"/>
              <w:left w:val="nil"/>
              <w:bottom w:val="single" w:sz="4" w:space="0" w:color="auto"/>
              <w:right w:val="single" w:sz="4" w:space="0" w:color="auto"/>
            </w:tcBorders>
            <w:shd w:val="clear" w:color="auto" w:fill="auto"/>
            <w:noWrap/>
            <w:vAlign w:val="bottom"/>
            <w:hideMark/>
          </w:tcPr>
          <w:p w14:paraId="39841B66"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31.157 </w:t>
            </w:r>
          </w:p>
        </w:tc>
        <w:tc>
          <w:tcPr>
            <w:tcW w:w="513" w:type="pct"/>
            <w:tcBorders>
              <w:top w:val="nil"/>
              <w:left w:val="nil"/>
              <w:bottom w:val="single" w:sz="4" w:space="0" w:color="auto"/>
              <w:right w:val="single" w:sz="4" w:space="0" w:color="auto"/>
            </w:tcBorders>
            <w:shd w:val="clear" w:color="auto" w:fill="auto"/>
            <w:noWrap/>
            <w:vAlign w:val="bottom"/>
            <w:hideMark/>
          </w:tcPr>
          <w:p w14:paraId="1C1BE469"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732" w:type="pct"/>
            <w:tcBorders>
              <w:top w:val="nil"/>
              <w:left w:val="nil"/>
              <w:bottom w:val="single" w:sz="4" w:space="0" w:color="auto"/>
              <w:right w:val="single" w:sz="4" w:space="0" w:color="auto"/>
            </w:tcBorders>
            <w:shd w:val="clear" w:color="auto" w:fill="auto"/>
            <w:noWrap/>
            <w:vAlign w:val="bottom"/>
            <w:hideMark/>
          </w:tcPr>
          <w:p w14:paraId="75164724"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31.157 </w:t>
            </w:r>
          </w:p>
        </w:tc>
      </w:tr>
      <w:tr w:rsidR="009C6488" w:rsidRPr="009C6488" w14:paraId="6F806048"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01CA78A7" w14:textId="77777777" w:rsidR="009C6488" w:rsidRPr="009C6488" w:rsidRDefault="009C6488" w:rsidP="009C6488">
            <w:pPr>
              <w:spacing w:after="0" w:line="240" w:lineRule="auto"/>
              <w:ind w:firstLineChars="200" w:firstLine="280"/>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Pagamento de Principal - Arrendamento Mercantil Financeiro</w:t>
            </w:r>
          </w:p>
        </w:tc>
        <w:tc>
          <w:tcPr>
            <w:tcW w:w="586" w:type="pct"/>
            <w:tcBorders>
              <w:top w:val="nil"/>
              <w:left w:val="nil"/>
              <w:bottom w:val="single" w:sz="4" w:space="0" w:color="auto"/>
              <w:right w:val="single" w:sz="4" w:space="0" w:color="auto"/>
            </w:tcBorders>
            <w:shd w:val="clear" w:color="auto" w:fill="auto"/>
            <w:noWrap/>
            <w:vAlign w:val="bottom"/>
            <w:hideMark/>
          </w:tcPr>
          <w:p w14:paraId="4F835F2E"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(5.632)</w:t>
            </w:r>
          </w:p>
        </w:tc>
        <w:tc>
          <w:tcPr>
            <w:tcW w:w="641" w:type="pct"/>
            <w:tcBorders>
              <w:top w:val="nil"/>
              <w:left w:val="nil"/>
              <w:bottom w:val="single" w:sz="4" w:space="0" w:color="auto"/>
              <w:right w:val="single" w:sz="4" w:space="0" w:color="auto"/>
            </w:tcBorders>
            <w:shd w:val="clear" w:color="auto" w:fill="auto"/>
            <w:noWrap/>
            <w:vAlign w:val="bottom"/>
            <w:hideMark/>
          </w:tcPr>
          <w:p w14:paraId="7DE7509C"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513" w:type="pct"/>
            <w:tcBorders>
              <w:top w:val="nil"/>
              <w:left w:val="nil"/>
              <w:bottom w:val="single" w:sz="4" w:space="0" w:color="auto"/>
              <w:right w:val="single" w:sz="4" w:space="0" w:color="auto"/>
            </w:tcBorders>
            <w:shd w:val="clear" w:color="auto" w:fill="auto"/>
            <w:noWrap/>
            <w:vAlign w:val="bottom"/>
            <w:hideMark/>
          </w:tcPr>
          <w:p w14:paraId="2E0C6CE8"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732" w:type="pct"/>
            <w:tcBorders>
              <w:top w:val="nil"/>
              <w:left w:val="nil"/>
              <w:bottom w:val="single" w:sz="4" w:space="0" w:color="auto"/>
              <w:right w:val="single" w:sz="4" w:space="0" w:color="auto"/>
            </w:tcBorders>
            <w:shd w:val="clear" w:color="auto" w:fill="auto"/>
            <w:noWrap/>
            <w:vAlign w:val="bottom"/>
            <w:hideMark/>
          </w:tcPr>
          <w:p w14:paraId="2DBABA0D"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(5.632)</w:t>
            </w:r>
          </w:p>
        </w:tc>
      </w:tr>
      <w:tr w:rsidR="009C6488" w:rsidRPr="009C6488" w14:paraId="527F5F61"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2AFAA903" w14:textId="77777777" w:rsidR="009C6488" w:rsidRPr="009C6488" w:rsidRDefault="009C6488" w:rsidP="009C6488">
            <w:pPr>
              <w:spacing w:after="0" w:line="240" w:lineRule="auto"/>
              <w:ind w:firstLineChars="200" w:firstLine="280"/>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Pagamento de Principal de Acordos Judiciais</w:t>
            </w:r>
          </w:p>
        </w:tc>
        <w:tc>
          <w:tcPr>
            <w:tcW w:w="586" w:type="pct"/>
            <w:tcBorders>
              <w:top w:val="nil"/>
              <w:left w:val="nil"/>
              <w:bottom w:val="single" w:sz="4" w:space="0" w:color="auto"/>
              <w:right w:val="single" w:sz="4" w:space="0" w:color="auto"/>
            </w:tcBorders>
            <w:shd w:val="clear" w:color="auto" w:fill="auto"/>
            <w:noWrap/>
            <w:vAlign w:val="bottom"/>
            <w:hideMark/>
          </w:tcPr>
          <w:p w14:paraId="6D329F7E"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(11.349)</w:t>
            </w:r>
          </w:p>
        </w:tc>
        <w:tc>
          <w:tcPr>
            <w:tcW w:w="641" w:type="pct"/>
            <w:tcBorders>
              <w:top w:val="nil"/>
              <w:left w:val="nil"/>
              <w:bottom w:val="single" w:sz="4" w:space="0" w:color="auto"/>
              <w:right w:val="single" w:sz="4" w:space="0" w:color="auto"/>
            </w:tcBorders>
            <w:shd w:val="clear" w:color="auto" w:fill="auto"/>
            <w:noWrap/>
            <w:vAlign w:val="bottom"/>
            <w:hideMark/>
          </w:tcPr>
          <w:p w14:paraId="4A1DA8F2"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513" w:type="pct"/>
            <w:tcBorders>
              <w:top w:val="nil"/>
              <w:left w:val="nil"/>
              <w:bottom w:val="single" w:sz="4" w:space="0" w:color="auto"/>
              <w:right w:val="single" w:sz="4" w:space="0" w:color="auto"/>
            </w:tcBorders>
            <w:shd w:val="clear" w:color="auto" w:fill="auto"/>
            <w:noWrap/>
            <w:vAlign w:val="bottom"/>
            <w:hideMark/>
          </w:tcPr>
          <w:p w14:paraId="6EE735A3"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732" w:type="pct"/>
            <w:tcBorders>
              <w:top w:val="nil"/>
              <w:left w:val="nil"/>
              <w:bottom w:val="single" w:sz="4" w:space="0" w:color="auto"/>
              <w:right w:val="single" w:sz="4" w:space="0" w:color="auto"/>
            </w:tcBorders>
            <w:shd w:val="clear" w:color="auto" w:fill="auto"/>
            <w:noWrap/>
            <w:vAlign w:val="bottom"/>
            <w:hideMark/>
          </w:tcPr>
          <w:p w14:paraId="3701935E"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(11.349)</w:t>
            </w:r>
          </w:p>
        </w:tc>
      </w:tr>
      <w:tr w:rsidR="009C6488" w:rsidRPr="009C6488" w14:paraId="5AC17874"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7B7AEB18" w14:textId="77777777" w:rsidR="009C6488" w:rsidRPr="009C6488" w:rsidRDefault="009C6488" w:rsidP="009C6488">
            <w:pPr>
              <w:spacing w:after="0" w:line="240" w:lineRule="auto"/>
              <w:ind w:firstLineChars="200" w:firstLine="280"/>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Pagamentos - Financiamento - Finep - Principal</w:t>
            </w:r>
          </w:p>
        </w:tc>
        <w:tc>
          <w:tcPr>
            <w:tcW w:w="586" w:type="pct"/>
            <w:tcBorders>
              <w:top w:val="nil"/>
              <w:left w:val="nil"/>
              <w:bottom w:val="single" w:sz="4" w:space="0" w:color="auto"/>
              <w:right w:val="single" w:sz="4" w:space="0" w:color="auto"/>
            </w:tcBorders>
            <w:shd w:val="clear" w:color="auto" w:fill="auto"/>
            <w:noWrap/>
            <w:vAlign w:val="bottom"/>
            <w:hideMark/>
          </w:tcPr>
          <w:p w14:paraId="3599F646"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(29.341)</w:t>
            </w:r>
          </w:p>
        </w:tc>
        <w:tc>
          <w:tcPr>
            <w:tcW w:w="641" w:type="pct"/>
            <w:tcBorders>
              <w:top w:val="nil"/>
              <w:left w:val="nil"/>
              <w:bottom w:val="single" w:sz="4" w:space="0" w:color="auto"/>
              <w:right w:val="single" w:sz="4" w:space="0" w:color="auto"/>
            </w:tcBorders>
            <w:shd w:val="clear" w:color="auto" w:fill="auto"/>
            <w:noWrap/>
            <w:vAlign w:val="bottom"/>
            <w:hideMark/>
          </w:tcPr>
          <w:p w14:paraId="6E89AD53"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513" w:type="pct"/>
            <w:tcBorders>
              <w:top w:val="nil"/>
              <w:left w:val="nil"/>
              <w:bottom w:val="single" w:sz="4" w:space="0" w:color="auto"/>
              <w:right w:val="single" w:sz="4" w:space="0" w:color="auto"/>
            </w:tcBorders>
            <w:shd w:val="clear" w:color="auto" w:fill="auto"/>
            <w:noWrap/>
            <w:vAlign w:val="bottom"/>
            <w:hideMark/>
          </w:tcPr>
          <w:p w14:paraId="32CB3773"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732" w:type="pct"/>
            <w:tcBorders>
              <w:top w:val="nil"/>
              <w:left w:val="nil"/>
              <w:bottom w:val="single" w:sz="4" w:space="0" w:color="auto"/>
              <w:right w:val="single" w:sz="4" w:space="0" w:color="auto"/>
            </w:tcBorders>
            <w:shd w:val="clear" w:color="auto" w:fill="auto"/>
            <w:noWrap/>
            <w:vAlign w:val="bottom"/>
            <w:hideMark/>
          </w:tcPr>
          <w:p w14:paraId="391AF8A4"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(29.341)</w:t>
            </w:r>
          </w:p>
        </w:tc>
      </w:tr>
      <w:tr w:rsidR="009C6488" w:rsidRPr="009C6488" w14:paraId="2CB124FA"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4B36E1EA" w14:textId="77777777" w:rsidR="009C6488" w:rsidRPr="009C6488" w:rsidRDefault="009C6488" w:rsidP="009C6488">
            <w:pPr>
              <w:spacing w:after="0" w:line="240" w:lineRule="auto"/>
              <w:ind w:firstLineChars="200" w:firstLine="280"/>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Recebimento Parcela - Superávit Previdência Privada</w:t>
            </w:r>
          </w:p>
        </w:tc>
        <w:tc>
          <w:tcPr>
            <w:tcW w:w="586" w:type="pct"/>
            <w:tcBorders>
              <w:top w:val="nil"/>
              <w:left w:val="nil"/>
              <w:bottom w:val="single" w:sz="4" w:space="0" w:color="auto"/>
              <w:right w:val="single" w:sz="4" w:space="0" w:color="auto"/>
            </w:tcBorders>
            <w:shd w:val="clear" w:color="auto" w:fill="auto"/>
            <w:noWrap/>
            <w:vAlign w:val="bottom"/>
            <w:hideMark/>
          </w:tcPr>
          <w:p w14:paraId="1385BDCE"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71.443 </w:t>
            </w:r>
          </w:p>
        </w:tc>
        <w:tc>
          <w:tcPr>
            <w:tcW w:w="641" w:type="pct"/>
            <w:tcBorders>
              <w:top w:val="nil"/>
              <w:left w:val="nil"/>
              <w:bottom w:val="single" w:sz="4" w:space="0" w:color="auto"/>
              <w:right w:val="single" w:sz="4" w:space="0" w:color="auto"/>
            </w:tcBorders>
            <w:shd w:val="clear" w:color="auto" w:fill="auto"/>
            <w:noWrap/>
            <w:vAlign w:val="bottom"/>
            <w:hideMark/>
          </w:tcPr>
          <w:p w14:paraId="0CCF3B9D"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513" w:type="pct"/>
            <w:tcBorders>
              <w:top w:val="nil"/>
              <w:left w:val="nil"/>
              <w:bottom w:val="single" w:sz="4" w:space="0" w:color="auto"/>
              <w:right w:val="single" w:sz="4" w:space="0" w:color="auto"/>
            </w:tcBorders>
            <w:shd w:val="clear" w:color="auto" w:fill="auto"/>
            <w:noWrap/>
            <w:vAlign w:val="bottom"/>
            <w:hideMark/>
          </w:tcPr>
          <w:p w14:paraId="052EBD39"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732" w:type="pct"/>
            <w:tcBorders>
              <w:top w:val="nil"/>
              <w:left w:val="nil"/>
              <w:bottom w:val="single" w:sz="4" w:space="0" w:color="auto"/>
              <w:right w:val="single" w:sz="4" w:space="0" w:color="auto"/>
            </w:tcBorders>
            <w:shd w:val="clear" w:color="auto" w:fill="auto"/>
            <w:noWrap/>
            <w:vAlign w:val="bottom"/>
            <w:hideMark/>
          </w:tcPr>
          <w:p w14:paraId="6D1DD63F"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71.443 </w:t>
            </w:r>
          </w:p>
        </w:tc>
      </w:tr>
      <w:tr w:rsidR="009C6488" w:rsidRPr="009C6488" w14:paraId="6264FCB7"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22E4487D"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Caixa Líquido Gerado pelas Atividades de Financiamento</w:t>
            </w:r>
          </w:p>
        </w:tc>
        <w:tc>
          <w:tcPr>
            <w:tcW w:w="586" w:type="pct"/>
            <w:tcBorders>
              <w:top w:val="nil"/>
              <w:left w:val="nil"/>
              <w:bottom w:val="single" w:sz="4" w:space="0" w:color="auto"/>
              <w:right w:val="single" w:sz="4" w:space="0" w:color="auto"/>
            </w:tcBorders>
            <w:shd w:val="clear" w:color="auto" w:fill="auto"/>
            <w:noWrap/>
            <w:vAlign w:val="bottom"/>
            <w:hideMark/>
          </w:tcPr>
          <w:p w14:paraId="2ABDA9B2"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25.121 </w:t>
            </w:r>
          </w:p>
        </w:tc>
        <w:tc>
          <w:tcPr>
            <w:tcW w:w="641" w:type="pct"/>
            <w:tcBorders>
              <w:top w:val="nil"/>
              <w:left w:val="nil"/>
              <w:bottom w:val="single" w:sz="4" w:space="0" w:color="auto"/>
              <w:right w:val="single" w:sz="4" w:space="0" w:color="auto"/>
            </w:tcBorders>
            <w:shd w:val="clear" w:color="auto" w:fill="auto"/>
            <w:noWrap/>
            <w:vAlign w:val="bottom"/>
            <w:hideMark/>
          </w:tcPr>
          <w:p w14:paraId="4923D3AD"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31.157 </w:t>
            </w:r>
          </w:p>
        </w:tc>
        <w:tc>
          <w:tcPr>
            <w:tcW w:w="513" w:type="pct"/>
            <w:tcBorders>
              <w:top w:val="nil"/>
              <w:left w:val="nil"/>
              <w:bottom w:val="single" w:sz="4" w:space="0" w:color="auto"/>
              <w:right w:val="single" w:sz="4" w:space="0" w:color="auto"/>
            </w:tcBorders>
            <w:shd w:val="clear" w:color="auto" w:fill="auto"/>
            <w:noWrap/>
            <w:vAlign w:val="bottom"/>
            <w:hideMark/>
          </w:tcPr>
          <w:p w14:paraId="7E7C6EA8"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                     - </w:t>
            </w:r>
          </w:p>
        </w:tc>
        <w:tc>
          <w:tcPr>
            <w:tcW w:w="732" w:type="pct"/>
            <w:tcBorders>
              <w:top w:val="nil"/>
              <w:left w:val="nil"/>
              <w:bottom w:val="single" w:sz="4" w:space="0" w:color="auto"/>
              <w:right w:val="single" w:sz="4" w:space="0" w:color="auto"/>
            </w:tcBorders>
            <w:shd w:val="clear" w:color="auto" w:fill="auto"/>
            <w:noWrap/>
            <w:vAlign w:val="bottom"/>
            <w:hideMark/>
          </w:tcPr>
          <w:p w14:paraId="06AE28EF"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56.278 </w:t>
            </w:r>
          </w:p>
        </w:tc>
      </w:tr>
      <w:tr w:rsidR="009C6488" w:rsidRPr="009C6488" w14:paraId="20D4ABA4"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573FD28B"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Variação Líquida de Caixa e Equivalentes de Caixa</w:t>
            </w:r>
          </w:p>
        </w:tc>
        <w:tc>
          <w:tcPr>
            <w:tcW w:w="586" w:type="pct"/>
            <w:tcBorders>
              <w:top w:val="nil"/>
              <w:left w:val="nil"/>
              <w:bottom w:val="single" w:sz="4" w:space="0" w:color="auto"/>
              <w:right w:val="single" w:sz="4" w:space="0" w:color="auto"/>
            </w:tcBorders>
            <w:shd w:val="clear" w:color="auto" w:fill="auto"/>
            <w:noWrap/>
            <w:vAlign w:val="bottom"/>
            <w:hideMark/>
          </w:tcPr>
          <w:p w14:paraId="467D0513"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(708.254)</w:t>
            </w:r>
          </w:p>
        </w:tc>
        <w:tc>
          <w:tcPr>
            <w:tcW w:w="641" w:type="pct"/>
            <w:tcBorders>
              <w:top w:val="nil"/>
              <w:left w:val="nil"/>
              <w:bottom w:val="single" w:sz="4" w:space="0" w:color="auto"/>
              <w:right w:val="single" w:sz="4" w:space="0" w:color="auto"/>
            </w:tcBorders>
            <w:shd w:val="clear" w:color="auto" w:fill="auto"/>
            <w:noWrap/>
            <w:vAlign w:val="bottom"/>
            <w:hideMark/>
          </w:tcPr>
          <w:p w14:paraId="453876EE"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31.157 </w:t>
            </w:r>
          </w:p>
        </w:tc>
        <w:tc>
          <w:tcPr>
            <w:tcW w:w="513" w:type="pct"/>
            <w:tcBorders>
              <w:top w:val="nil"/>
              <w:left w:val="nil"/>
              <w:bottom w:val="single" w:sz="4" w:space="0" w:color="auto"/>
              <w:right w:val="single" w:sz="4" w:space="0" w:color="auto"/>
            </w:tcBorders>
            <w:shd w:val="clear" w:color="auto" w:fill="auto"/>
            <w:noWrap/>
            <w:vAlign w:val="bottom"/>
            <w:hideMark/>
          </w:tcPr>
          <w:p w14:paraId="223757D0"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197 </w:t>
            </w:r>
          </w:p>
        </w:tc>
        <w:tc>
          <w:tcPr>
            <w:tcW w:w="732" w:type="pct"/>
            <w:tcBorders>
              <w:top w:val="nil"/>
              <w:left w:val="nil"/>
              <w:bottom w:val="single" w:sz="4" w:space="0" w:color="auto"/>
              <w:right w:val="single" w:sz="4" w:space="0" w:color="auto"/>
            </w:tcBorders>
            <w:shd w:val="clear" w:color="auto" w:fill="auto"/>
            <w:noWrap/>
            <w:vAlign w:val="bottom"/>
            <w:hideMark/>
          </w:tcPr>
          <w:p w14:paraId="403087C0"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(708.254)</w:t>
            </w:r>
          </w:p>
        </w:tc>
      </w:tr>
      <w:tr w:rsidR="009C6488" w:rsidRPr="009C6488" w14:paraId="5ACAC306"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19C972B8"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Demonstração da Variação de Caixa e Equivalentes de Caixa</w:t>
            </w:r>
          </w:p>
        </w:tc>
        <w:tc>
          <w:tcPr>
            <w:tcW w:w="586" w:type="pct"/>
            <w:tcBorders>
              <w:top w:val="nil"/>
              <w:left w:val="nil"/>
              <w:bottom w:val="single" w:sz="4" w:space="0" w:color="auto"/>
              <w:right w:val="single" w:sz="4" w:space="0" w:color="auto"/>
            </w:tcBorders>
            <w:shd w:val="clear" w:color="auto" w:fill="auto"/>
            <w:noWrap/>
            <w:vAlign w:val="bottom"/>
            <w:hideMark/>
          </w:tcPr>
          <w:p w14:paraId="6042C2E6"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w:t>
            </w:r>
          </w:p>
        </w:tc>
        <w:tc>
          <w:tcPr>
            <w:tcW w:w="641" w:type="pct"/>
            <w:tcBorders>
              <w:top w:val="nil"/>
              <w:left w:val="nil"/>
              <w:bottom w:val="single" w:sz="4" w:space="0" w:color="auto"/>
              <w:right w:val="single" w:sz="4" w:space="0" w:color="auto"/>
            </w:tcBorders>
            <w:shd w:val="clear" w:color="auto" w:fill="auto"/>
            <w:noWrap/>
            <w:vAlign w:val="bottom"/>
            <w:hideMark/>
          </w:tcPr>
          <w:p w14:paraId="7C3BEB62"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513" w:type="pct"/>
            <w:tcBorders>
              <w:top w:val="nil"/>
              <w:left w:val="nil"/>
              <w:bottom w:val="single" w:sz="4" w:space="0" w:color="auto"/>
              <w:right w:val="single" w:sz="4" w:space="0" w:color="auto"/>
            </w:tcBorders>
            <w:shd w:val="clear" w:color="auto" w:fill="auto"/>
            <w:noWrap/>
            <w:vAlign w:val="bottom"/>
            <w:hideMark/>
          </w:tcPr>
          <w:p w14:paraId="21C21C25"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732" w:type="pct"/>
            <w:tcBorders>
              <w:top w:val="nil"/>
              <w:left w:val="nil"/>
              <w:bottom w:val="single" w:sz="4" w:space="0" w:color="auto"/>
              <w:right w:val="single" w:sz="4" w:space="0" w:color="auto"/>
            </w:tcBorders>
            <w:shd w:val="clear" w:color="auto" w:fill="auto"/>
            <w:noWrap/>
            <w:vAlign w:val="bottom"/>
            <w:hideMark/>
          </w:tcPr>
          <w:p w14:paraId="2EBE6F90"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w:t>
            </w:r>
          </w:p>
        </w:tc>
      </w:tr>
      <w:tr w:rsidR="009C6488" w:rsidRPr="009C6488" w14:paraId="271FC2CF"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2FA8A39C" w14:textId="77777777" w:rsidR="009C6488" w:rsidRPr="009C6488" w:rsidRDefault="009C6488" w:rsidP="009C6488">
            <w:pPr>
              <w:spacing w:after="0" w:line="240" w:lineRule="auto"/>
              <w:ind w:firstLineChars="200" w:firstLine="280"/>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Caixa e Equivalentes de Caixa no Final do Exercício</w:t>
            </w:r>
          </w:p>
        </w:tc>
        <w:tc>
          <w:tcPr>
            <w:tcW w:w="586" w:type="pct"/>
            <w:tcBorders>
              <w:top w:val="nil"/>
              <w:left w:val="nil"/>
              <w:bottom w:val="single" w:sz="4" w:space="0" w:color="auto"/>
              <w:right w:val="single" w:sz="4" w:space="0" w:color="auto"/>
            </w:tcBorders>
            <w:shd w:val="clear" w:color="auto" w:fill="auto"/>
            <w:noWrap/>
            <w:vAlign w:val="bottom"/>
            <w:hideMark/>
          </w:tcPr>
          <w:p w14:paraId="739956C2"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143.883 </w:t>
            </w:r>
          </w:p>
        </w:tc>
        <w:tc>
          <w:tcPr>
            <w:tcW w:w="641" w:type="pct"/>
            <w:tcBorders>
              <w:top w:val="nil"/>
              <w:left w:val="nil"/>
              <w:bottom w:val="single" w:sz="4" w:space="0" w:color="auto"/>
              <w:right w:val="single" w:sz="4" w:space="0" w:color="auto"/>
            </w:tcBorders>
            <w:shd w:val="clear" w:color="auto" w:fill="auto"/>
            <w:noWrap/>
            <w:vAlign w:val="bottom"/>
            <w:hideMark/>
          </w:tcPr>
          <w:p w14:paraId="5CA24E6E"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513" w:type="pct"/>
            <w:tcBorders>
              <w:top w:val="nil"/>
              <w:left w:val="nil"/>
              <w:bottom w:val="single" w:sz="4" w:space="0" w:color="auto"/>
              <w:right w:val="single" w:sz="4" w:space="0" w:color="auto"/>
            </w:tcBorders>
            <w:shd w:val="clear" w:color="auto" w:fill="auto"/>
            <w:noWrap/>
            <w:vAlign w:val="bottom"/>
            <w:hideMark/>
          </w:tcPr>
          <w:p w14:paraId="59A7B8D6"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732" w:type="pct"/>
            <w:tcBorders>
              <w:top w:val="nil"/>
              <w:left w:val="nil"/>
              <w:bottom w:val="single" w:sz="4" w:space="0" w:color="auto"/>
              <w:right w:val="single" w:sz="4" w:space="0" w:color="auto"/>
            </w:tcBorders>
            <w:shd w:val="clear" w:color="auto" w:fill="auto"/>
            <w:noWrap/>
            <w:vAlign w:val="bottom"/>
            <w:hideMark/>
          </w:tcPr>
          <w:p w14:paraId="126AD2A5"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143.883 </w:t>
            </w:r>
          </w:p>
        </w:tc>
      </w:tr>
      <w:tr w:rsidR="009C6488" w:rsidRPr="009C6488" w14:paraId="65DBF952"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088141E4" w14:textId="77777777" w:rsidR="009C6488" w:rsidRPr="009C6488" w:rsidRDefault="009C6488" w:rsidP="009C6488">
            <w:pPr>
              <w:spacing w:after="0" w:line="240" w:lineRule="auto"/>
              <w:ind w:firstLineChars="200" w:firstLine="280"/>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Caixa e Equivalentes de Caixa no Início do Exercício</w:t>
            </w:r>
          </w:p>
        </w:tc>
        <w:tc>
          <w:tcPr>
            <w:tcW w:w="586" w:type="pct"/>
            <w:tcBorders>
              <w:top w:val="nil"/>
              <w:left w:val="nil"/>
              <w:bottom w:val="single" w:sz="4" w:space="0" w:color="auto"/>
              <w:right w:val="single" w:sz="4" w:space="0" w:color="auto"/>
            </w:tcBorders>
            <w:shd w:val="clear" w:color="auto" w:fill="auto"/>
            <w:noWrap/>
            <w:vAlign w:val="bottom"/>
            <w:hideMark/>
          </w:tcPr>
          <w:p w14:paraId="61C96E44"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852.137 </w:t>
            </w:r>
          </w:p>
        </w:tc>
        <w:tc>
          <w:tcPr>
            <w:tcW w:w="641" w:type="pct"/>
            <w:tcBorders>
              <w:top w:val="nil"/>
              <w:left w:val="nil"/>
              <w:bottom w:val="single" w:sz="4" w:space="0" w:color="auto"/>
              <w:right w:val="single" w:sz="4" w:space="0" w:color="auto"/>
            </w:tcBorders>
            <w:shd w:val="clear" w:color="auto" w:fill="auto"/>
            <w:noWrap/>
            <w:vAlign w:val="bottom"/>
            <w:hideMark/>
          </w:tcPr>
          <w:p w14:paraId="07980784"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513" w:type="pct"/>
            <w:tcBorders>
              <w:top w:val="nil"/>
              <w:left w:val="nil"/>
              <w:bottom w:val="single" w:sz="4" w:space="0" w:color="auto"/>
              <w:right w:val="single" w:sz="4" w:space="0" w:color="auto"/>
            </w:tcBorders>
            <w:shd w:val="clear" w:color="auto" w:fill="auto"/>
            <w:noWrap/>
            <w:vAlign w:val="bottom"/>
            <w:hideMark/>
          </w:tcPr>
          <w:p w14:paraId="6E64FA23"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w:t>
            </w:r>
          </w:p>
        </w:tc>
        <w:tc>
          <w:tcPr>
            <w:tcW w:w="732" w:type="pct"/>
            <w:tcBorders>
              <w:top w:val="nil"/>
              <w:left w:val="nil"/>
              <w:bottom w:val="single" w:sz="4" w:space="0" w:color="auto"/>
              <w:right w:val="single" w:sz="4" w:space="0" w:color="auto"/>
            </w:tcBorders>
            <w:shd w:val="clear" w:color="auto" w:fill="auto"/>
            <w:noWrap/>
            <w:vAlign w:val="bottom"/>
            <w:hideMark/>
          </w:tcPr>
          <w:p w14:paraId="32DD10D8"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852.137 </w:t>
            </w:r>
          </w:p>
        </w:tc>
      </w:tr>
      <w:tr w:rsidR="009C6488" w:rsidRPr="009C6488" w14:paraId="01E4E913" w14:textId="77777777" w:rsidTr="00446A14">
        <w:trPr>
          <w:trHeight w:val="198"/>
        </w:trPr>
        <w:tc>
          <w:tcPr>
            <w:tcW w:w="2528" w:type="pct"/>
            <w:tcBorders>
              <w:top w:val="nil"/>
              <w:left w:val="single" w:sz="4" w:space="0" w:color="auto"/>
              <w:bottom w:val="single" w:sz="4" w:space="0" w:color="auto"/>
              <w:right w:val="single" w:sz="4" w:space="0" w:color="auto"/>
            </w:tcBorders>
            <w:shd w:val="clear" w:color="auto" w:fill="auto"/>
            <w:noWrap/>
            <w:vAlign w:val="bottom"/>
            <w:hideMark/>
          </w:tcPr>
          <w:p w14:paraId="42F8AA3D"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Variação de Caixa e Equivalentes de Caixa</w:t>
            </w:r>
          </w:p>
        </w:tc>
        <w:tc>
          <w:tcPr>
            <w:tcW w:w="586" w:type="pct"/>
            <w:tcBorders>
              <w:top w:val="nil"/>
              <w:left w:val="nil"/>
              <w:bottom w:val="single" w:sz="4" w:space="0" w:color="auto"/>
              <w:right w:val="single" w:sz="4" w:space="0" w:color="auto"/>
            </w:tcBorders>
            <w:shd w:val="clear" w:color="auto" w:fill="auto"/>
            <w:noWrap/>
            <w:vAlign w:val="bottom"/>
            <w:hideMark/>
          </w:tcPr>
          <w:p w14:paraId="58A7ABC4"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(708.254)</w:t>
            </w:r>
          </w:p>
        </w:tc>
        <w:tc>
          <w:tcPr>
            <w:tcW w:w="641" w:type="pct"/>
            <w:tcBorders>
              <w:top w:val="nil"/>
              <w:left w:val="nil"/>
              <w:bottom w:val="single" w:sz="4" w:space="0" w:color="auto"/>
              <w:right w:val="single" w:sz="4" w:space="0" w:color="auto"/>
            </w:tcBorders>
            <w:shd w:val="clear" w:color="auto" w:fill="auto"/>
            <w:noWrap/>
            <w:vAlign w:val="bottom"/>
            <w:hideMark/>
          </w:tcPr>
          <w:p w14:paraId="33757497"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                         - </w:t>
            </w:r>
          </w:p>
        </w:tc>
        <w:tc>
          <w:tcPr>
            <w:tcW w:w="513" w:type="pct"/>
            <w:tcBorders>
              <w:top w:val="nil"/>
              <w:left w:val="nil"/>
              <w:bottom w:val="single" w:sz="4" w:space="0" w:color="auto"/>
              <w:right w:val="single" w:sz="4" w:space="0" w:color="auto"/>
            </w:tcBorders>
            <w:shd w:val="clear" w:color="auto" w:fill="auto"/>
            <w:noWrap/>
            <w:vAlign w:val="bottom"/>
            <w:hideMark/>
          </w:tcPr>
          <w:p w14:paraId="3C069E65"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                     - </w:t>
            </w:r>
          </w:p>
        </w:tc>
        <w:tc>
          <w:tcPr>
            <w:tcW w:w="732" w:type="pct"/>
            <w:tcBorders>
              <w:top w:val="nil"/>
              <w:left w:val="nil"/>
              <w:bottom w:val="single" w:sz="4" w:space="0" w:color="auto"/>
              <w:right w:val="single" w:sz="4" w:space="0" w:color="auto"/>
            </w:tcBorders>
            <w:shd w:val="clear" w:color="auto" w:fill="auto"/>
            <w:noWrap/>
            <w:vAlign w:val="bottom"/>
            <w:hideMark/>
          </w:tcPr>
          <w:p w14:paraId="64F764DA"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(708.254)</w:t>
            </w:r>
          </w:p>
        </w:tc>
      </w:tr>
    </w:tbl>
    <w:p w14:paraId="396AA32C" w14:textId="36C3CFA0" w:rsidR="009C6488" w:rsidRPr="009C6488" w:rsidRDefault="009C6488" w:rsidP="009C6488">
      <w:pPr>
        <w:keepNext/>
        <w:spacing w:after="0" w:line="276" w:lineRule="auto"/>
        <w:jc w:val="both"/>
        <w:outlineLvl w:val="1"/>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3.3.6. </w:t>
      </w:r>
      <w:r w:rsidRPr="009C6488">
        <w:rPr>
          <w:rFonts w:ascii="Calibri" w:eastAsia="Times New Roman" w:hAnsi="Calibri" w:cs="Calibri"/>
          <w:b/>
          <w:bCs/>
          <w:iCs/>
          <w:color w:val="002060"/>
          <w:kern w:val="0"/>
          <w14:ligatures w14:val="none"/>
        </w:rPr>
        <w:t>Demonstração do Valor Adicionado</w:t>
      </w:r>
    </w:p>
    <w:tbl>
      <w:tblPr>
        <w:tblW w:w="9774" w:type="dxa"/>
        <w:tblCellMar>
          <w:left w:w="70" w:type="dxa"/>
          <w:right w:w="70" w:type="dxa"/>
        </w:tblCellMar>
        <w:tblLook w:val="04A0" w:firstRow="1" w:lastRow="0" w:firstColumn="1" w:lastColumn="0" w:noHBand="0" w:noVBand="1"/>
      </w:tblPr>
      <w:tblGrid>
        <w:gridCol w:w="4862"/>
        <w:gridCol w:w="1054"/>
        <w:gridCol w:w="1406"/>
        <w:gridCol w:w="1180"/>
        <w:gridCol w:w="1272"/>
      </w:tblGrid>
      <w:tr w:rsidR="009C6488" w:rsidRPr="009C6488" w14:paraId="71823018" w14:textId="77777777" w:rsidTr="00446A14">
        <w:trPr>
          <w:trHeight w:val="200"/>
          <w:tblHeader/>
        </w:trPr>
        <w:tc>
          <w:tcPr>
            <w:tcW w:w="4862" w:type="dxa"/>
            <w:vMerge w:val="restart"/>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4B029F4F" w14:textId="77777777" w:rsidR="009C6488" w:rsidRPr="009C6488" w:rsidRDefault="009C6488" w:rsidP="009C6488">
            <w:pPr>
              <w:spacing w:after="0" w:line="240" w:lineRule="auto"/>
              <w:jc w:val="center"/>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 </w:t>
            </w:r>
          </w:p>
        </w:tc>
        <w:tc>
          <w:tcPr>
            <w:tcW w:w="10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A668C0" w14:textId="77777777" w:rsidR="009C6488" w:rsidRPr="009C6488" w:rsidRDefault="009C6488" w:rsidP="009C6488">
            <w:pPr>
              <w:spacing w:after="0" w:line="240" w:lineRule="auto"/>
              <w:jc w:val="center"/>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Saldos Divulgados em 2020</w:t>
            </w:r>
          </w:p>
        </w:tc>
        <w:tc>
          <w:tcPr>
            <w:tcW w:w="25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110D596E" w14:textId="77777777" w:rsidR="009C6488" w:rsidRPr="009C6488" w:rsidRDefault="009C6488" w:rsidP="009C6488">
            <w:pPr>
              <w:spacing w:after="0" w:line="240" w:lineRule="auto"/>
              <w:jc w:val="center"/>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Ajustes</w:t>
            </w:r>
          </w:p>
        </w:tc>
        <w:tc>
          <w:tcPr>
            <w:tcW w:w="12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2C95F8" w14:textId="77777777" w:rsidR="009C6488" w:rsidRPr="009C6488" w:rsidRDefault="009C6488" w:rsidP="009C6488">
            <w:pPr>
              <w:spacing w:after="0" w:line="240" w:lineRule="auto"/>
              <w:jc w:val="center"/>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Saldos Reapresentados em 2020</w:t>
            </w:r>
          </w:p>
        </w:tc>
      </w:tr>
      <w:tr w:rsidR="009C6488" w:rsidRPr="009C6488" w14:paraId="29F755E7" w14:textId="77777777" w:rsidTr="00446A14">
        <w:trPr>
          <w:trHeight w:val="200"/>
          <w:tblHeader/>
        </w:trPr>
        <w:tc>
          <w:tcPr>
            <w:tcW w:w="4862" w:type="dxa"/>
            <w:vMerge/>
            <w:tcBorders>
              <w:top w:val="single" w:sz="4" w:space="0" w:color="auto"/>
              <w:left w:val="single" w:sz="4" w:space="0" w:color="auto"/>
              <w:bottom w:val="single" w:sz="4" w:space="0" w:color="auto"/>
              <w:right w:val="single" w:sz="4" w:space="0" w:color="auto"/>
            </w:tcBorders>
            <w:vAlign w:val="center"/>
            <w:hideMark/>
          </w:tcPr>
          <w:p w14:paraId="2A7C033A" w14:textId="77777777" w:rsidR="009C6488" w:rsidRPr="009C6488" w:rsidRDefault="009C6488" w:rsidP="009C6488">
            <w:pPr>
              <w:spacing w:after="0" w:line="240" w:lineRule="auto"/>
              <w:rPr>
                <w:rFonts w:ascii="Arial" w:eastAsia="Times New Roman" w:hAnsi="Arial" w:cs="Arial"/>
                <w:b/>
                <w:bCs/>
                <w:color w:val="000000"/>
                <w:kern w:val="0"/>
                <w:sz w:val="14"/>
                <w:szCs w:val="14"/>
                <w:lang w:eastAsia="pt-BR"/>
                <w14:ligatures w14:val="none"/>
              </w:rPr>
            </w:pPr>
          </w:p>
        </w:tc>
        <w:tc>
          <w:tcPr>
            <w:tcW w:w="1054" w:type="dxa"/>
            <w:vMerge/>
            <w:tcBorders>
              <w:top w:val="single" w:sz="4" w:space="0" w:color="auto"/>
              <w:left w:val="single" w:sz="4" w:space="0" w:color="auto"/>
              <w:bottom w:val="single" w:sz="4" w:space="0" w:color="auto"/>
              <w:right w:val="single" w:sz="4" w:space="0" w:color="auto"/>
            </w:tcBorders>
            <w:vAlign w:val="center"/>
            <w:hideMark/>
          </w:tcPr>
          <w:p w14:paraId="7294A14F" w14:textId="77777777" w:rsidR="009C6488" w:rsidRPr="009C6488" w:rsidRDefault="009C6488" w:rsidP="009C6488">
            <w:pPr>
              <w:spacing w:after="0" w:line="240" w:lineRule="auto"/>
              <w:rPr>
                <w:rFonts w:ascii="Arial" w:eastAsia="Times New Roman" w:hAnsi="Arial" w:cs="Arial"/>
                <w:b/>
                <w:bCs/>
                <w:color w:val="000000"/>
                <w:kern w:val="0"/>
                <w:sz w:val="14"/>
                <w:szCs w:val="14"/>
                <w:lang w:eastAsia="pt-BR"/>
                <w14:ligatures w14:val="none"/>
              </w:rPr>
            </w:pPr>
          </w:p>
        </w:tc>
        <w:tc>
          <w:tcPr>
            <w:tcW w:w="1406" w:type="dxa"/>
            <w:tcBorders>
              <w:top w:val="nil"/>
              <w:left w:val="nil"/>
              <w:bottom w:val="single" w:sz="4" w:space="0" w:color="auto"/>
              <w:right w:val="single" w:sz="4" w:space="0" w:color="auto"/>
            </w:tcBorders>
            <w:shd w:val="clear" w:color="auto" w:fill="auto"/>
            <w:vAlign w:val="center"/>
            <w:hideMark/>
          </w:tcPr>
          <w:p w14:paraId="4AFD3A5A" w14:textId="77777777" w:rsidR="009C6488" w:rsidRPr="009C6488" w:rsidRDefault="009C6488" w:rsidP="009C6488">
            <w:pPr>
              <w:spacing w:after="0" w:line="240" w:lineRule="auto"/>
              <w:jc w:val="center"/>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Subvenções para Investimentos</w:t>
            </w:r>
          </w:p>
        </w:tc>
        <w:tc>
          <w:tcPr>
            <w:tcW w:w="1179" w:type="dxa"/>
            <w:tcBorders>
              <w:top w:val="nil"/>
              <w:left w:val="nil"/>
              <w:bottom w:val="single" w:sz="4" w:space="0" w:color="auto"/>
              <w:right w:val="single" w:sz="4" w:space="0" w:color="auto"/>
            </w:tcBorders>
            <w:shd w:val="clear" w:color="auto" w:fill="auto"/>
            <w:vAlign w:val="center"/>
            <w:hideMark/>
          </w:tcPr>
          <w:p w14:paraId="6FB462D6" w14:textId="77777777" w:rsidR="009C6488" w:rsidRPr="009C6488" w:rsidRDefault="009C6488" w:rsidP="009C6488">
            <w:pPr>
              <w:spacing w:after="0" w:line="240" w:lineRule="auto"/>
              <w:jc w:val="center"/>
              <w:rPr>
                <w:rFonts w:ascii="Arial" w:eastAsia="Times New Roman" w:hAnsi="Arial" w:cs="Arial"/>
                <w:b/>
                <w:bCs/>
                <w:color w:val="000000"/>
                <w:kern w:val="0"/>
                <w:sz w:val="14"/>
                <w:szCs w:val="14"/>
                <w:lang w:eastAsia="pt-BR"/>
                <w14:ligatures w14:val="none"/>
              </w:rPr>
            </w:pPr>
            <w:r w:rsidRPr="009C6488">
              <w:rPr>
                <w:rFonts w:ascii="Arial" w:eastAsia="Times New Roman" w:hAnsi="Arial" w:cs="Arial"/>
                <w:b/>
                <w:bCs/>
                <w:color w:val="000000"/>
                <w:kern w:val="0"/>
                <w:sz w:val="14"/>
                <w:szCs w:val="14"/>
                <w:lang w:eastAsia="pt-BR"/>
                <w14:ligatures w14:val="none"/>
              </w:rPr>
              <w:t xml:space="preserve">Juros sobre </w:t>
            </w:r>
            <w:proofErr w:type="spellStart"/>
            <w:r w:rsidRPr="009C6488">
              <w:rPr>
                <w:rFonts w:ascii="Arial" w:eastAsia="Times New Roman" w:hAnsi="Arial" w:cs="Arial"/>
                <w:b/>
                <w:bCs/>
                <w:color w:val="000000"/>
                <w:kern w:val="0"/>
                <w:sz w:val="14"/>
                <w:szCs w:val="14"/>
                <w:lang w:eastAsia="pt-BR"/>
                <w14:ligatures w14:val="none"/>
              </w:rPr>
              <w:t>Afac</w:t>
            </w:r>
            <w:proofErr w:type="spellEnd"/>
          </w:p>
        </w:tc>
        <w:tc>
          <w:tcPr>
            <w:tcW w:w="1272" w:type="dxa"/>
            <w:vMerge/>
            <w:tcBorders>
              <w:top w:val="single" w:sz="4" w:space="0" w:color="auto"/>
              <w:left w:val="single" w:sz="4" w:space="0" w:color="auto"/>
              <w:bottom w:val="single" w:sz="4" w:space="0" w:color="auto"/>
              <w:right w:val="single" w:sz="4" w:space="0" w:color="auto"/>
            </w:tcBorders>
            <w:vAlign w:val="center"/>
            <w:hideMark/>
          </w:tcPr>
          <w:p w14:paraId="7640AB44" w14:textId="77777777" w:rsidR="009C6488" w:rsidRPr="009C6488" w:rsidRDefault="009C6488" w:rsidP="009C6488">
            <w:pPr>
              <w:spacing w:after="0" w:line="240" w:lineRule="auto"/>
              <w:rPr>
                <w:rFonts w:ascii="Arial" w:eastAsia="Times New Roman" w:hAnsi="Arial" w:cs="Arial"/>
                <w:b/>
                <w:bCs/>
                <w:color w:val="000000"/>
                <w:kern w:val="0"/>
                <w:sz w:val="14"/>
                <w:szCs w:val="14"/>
                <w:lang w:eastAsia="pt-BR"/>
                <w14:ligatures w14:val="none"/>
              </w:rPr>
            </w:pPr>
          </w:p>
        </w:tc>
      </w:tr>
      <w:tr w:rsidR="009C6488" w:rsidRPr="009C6488" w14:paraId="46970F0E" w14:textId="77777777" w:rsidTr="00446A14">
        <w:trPr>
          <w:trHeight w:val="200"/>
        </w:trPr>
        <w:tc>
          <w:tcPr>
            <w:tcW w:w="4862" w:type="dxa"/>
            <w:tcBorders>
              <w:top w:val="nil"/>
              <w:left w:val="single" w:sz="4" w:space="0" w:color="auto"/>
              <w:bottom w:val="single" w:sz="4" w:space="0" w:color="auto"/>
              <w:right w:val="single" w:sz="4" w:space="0" w:color="auto"/>
            </w:tcBorders>
            <w:shd w:val="clear" w:color="auto" w:fill="auto"/>
            <w:noWrap/>
            <w:vAlign w:val="center"/>
            <w:hideMark/>
          </w:tcPr>
          <w:p w14:paraId="10A73EAF"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Receitas</w:t>
            </w:r>
          </w:p>
        </w:tc>
        <w:tc>
          <w:tcPr>
            <w:tcW w:w="1054" w:type="dxa"/>
            <w:tcBorders>
              <w:top w:val="nil"/>
              <w:left w:val="nil"/>
              <w:bottom w:val="single" w:sz="4" w:space="0" w:color="auto"/>
              <w:right w:val="single" w:sz="4" w:space="0" w:color="auto"/>
            </w:tcBorders>
            <w:shd w:val="clear" w:color="auto" w:fill="auto"/>
            <w:noWrap/>
            <w:vAlign w:val="bottom"/>
            <w:hideMark/>
          </w:tcPr>
          <w:p w14:paraId="7B1C8927"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515.408 </w:t>
            </w:r>
          </w:p>
        </w:tc>
        <w:tc>
          <w:tcPr>
            <w:tcW w:w="1406" w:type="dxa"/>
            <w:tcBorders>
              <w:top w:val="nil"/>
              <w:left w:val="nil"/>
              <w:bottom w:val="single" w:sz="4" w:space="0" w:color="auto"/>
              <w:right w:val="single" w:sz="4" w:space="0" w:color="auto"/>
            </w:tcBorders>
            <w:shd w:val="clear" w:color="auto" w:fill="auto"/>
            <w:noWrap/>
            <w:vAlign w:val="bottom"/>
            <w:hideMark/>
          </w:tcPr>
          <w:p w14:paraId="10C6853F"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(31.157)</w:t>
            </w:r>
          </w:p>
        </w:tc>
        <w:tc>
          <w:tcPr>
            <w:tcW w:w="1179" w:type="dxa"/>
            <w:tcBorders>
              <w:top w:val="nil"/>
              <w:left w:val="nil"/>
              <w:bottom w:val="single" w:sz="4" w:space="0" w:color="auto"/>
              <w:right w:val="single" w:sz="4" w:space="0" w:color="auto"/>
            </w:tcBorders>
            <w:shd w:val="clear" w:color="auto" w:fill="auto"/>
            <w:noWrap/>
            <w:vAlign w:val="bottom"/>
            <w:hideMark/>
          </w:tcPr>
          <w:p w14:paraId="2AF280E7"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                        - </w:t>
            </w:r>
          </w:p>
        </w:tc>
        <w:tc>
          <w:tcPr>
            <w:tcW w:w="1272" w:type="dxa"/>
            <w:tcBorders>
              <w:top w:val="nil"/>
              <w:left w:val="nil"/>
              <w:bottom w:val="single" w:sz="4" w:space="0" w:color="auto"/>
              <w:right w:val="single" w:sz="4" w:space="0" w:color="auto"/>
            </w:tcBorders>
            <w:shd w:val="clear" w:color="auto" w:fill="auto"/>
            <w:noWrap/>
            <w:vAlign w:val="bottom"/>
            <w:hideMark/>
          </w:tcPr>
          <w:p w14:paraId="3447EE8B"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484.251 </w:t>
            </w:r>
          </w:p>
        </w:tc>
      </w:tr>
      <w:tr w:rsidR="009C6488" w:rsidRPr="009C6488" w14:paraId="3BC448EE" w14:textId="77777777" w:rsidTr="00446A14">
        <w:trPr>
          <w:trHeight w:val="200"/>
        </w:trPr>
        <w:tc>
          <w:tcPr>
            <w:tcW w:w="4862" w:type="dxa"/>
            <w:tcBorders>
              <w:top w:val="nil"/>
              <w:left w:val="single" w:sz="4" w:space="0" w:color="auto"/>
              <w:bottom w:val="single" w:sz="4" w:space="0" w:color="auto"/>
              <w:right w:val="single" w:sz="4" w:space="0" w:color="auto"/>
            </w:tcBorders>
            <w:shd w:val="clear" w:color="auto" w:fill="auto"/>
            <w:noWrap/>
            <w:vAlign w:val="bottom"/>
            <w:hideMark/>
          </w:tcPr>
          <w:p w14:paraId="2C296DA5"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Prestação de Serviços</w:t>
            </w:r>
          </w:p>
        </w:tc>
        <w:tc>
          <w:tcPr>
            <w:tcW w:w="1054" w:type="dxa"/>
            <w:tcBorders>
              <w:top w:val="nil"/>
              <w:left w:val="nil"/>
              <w:bottom w:val="single" w:sz="4" w:space="0" w:color="auto"/>
              <w:right w:val="single" w:sz="4" w:space="0" w:color="auto"/>
            </w:tcBorders>
            <w:shd w:val="clear" w:color="auto" w:fill="auto"/>
            <w:noWrap/>
            <w:vAlign w:val="bottom"/>
            <w:hideMark/>
          </w:tcPr>
          <w:p w14:paraId="4C601973"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274.667 </w:t>
            </w:r>
          </w:p>
        </w:tc>
        <w:tc>
          <w:tcPr>
            <w:tcW w:w="1406" w:type="dxa"/>
            <w:tcBorders>
              <w:top w:val="nil"/>
              <w:left w:val="nil"/>
              <w:bottom w:val="single" w:sz="4" w:space="0" w:color="auto"/>
              <w:right w:val="single" w:sz="4" w:space="0" w:color="auto"/>
            </w:tcBorders>
            <w:shd w:val="clear" w:color="auto" w:fill="auto"/>
            <w:noWrap/>
            <w:vAlign w:val="bottom"/>
            <w:hideMark/>
          </w:tcPr>
          <w:p w14:paraId="1DBD27B2"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179" w:type="dxa"/>
            <w:tcBorders>
              <w:top w:val="nil"/>
              <w:left w:val="nil"/>
              <w:bottom w:val="single" w:sz="4" w:space="0" w:color="auto"/>
              <w:right w:val="single" w:sz="4" w:space="0" w:color="auto"/>
            </w:tcBorders>
            <w:shd w:val="clear" w:color="auto" w:fill="auto"/>
            <w:noWrap/>
            <w:vAlign w:val="bottom"/>
            <w:hideMark/>
          </w:tcPr>
          <w:p w14:paraId="7CA8A61C"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272" w:type="dxa"/>
            <w:tcBorders>
              <w:top w:val="nil"/>
              <w:left w:val="nil"/>
              <w:bottom w:val="single" w:sz="4" w:space="0" w:color="auto"/>
              <w:right w:val="single" w:sz="4" w:space="0" w:color="auto"/>
            </w:tcBorders>
            <w:shd w:val="clear" w:color="auto" w:fill="auto"/>
            <w:noWrap/>
            <w:vAlign w:val="bottom"/>
            <w:hideMark/>
          </w:tcPr>
          <w:p w14:paraId="6CF98731"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274.667 </w:t>
            </w:r>
          </w:p>
        </w:tc>
      </w:tr>
      <w:tr w:rsidR="009C6488" w:rsidRPr="009C6488" w14:paraId="4CC030E7" w14:textId="77777777" w:rsidTr="00446A14">
        <w:trPr>
          <w:trHeight w:val="200"/>
        </w:trPr>
        <w:tc>
          <w:tcPr>
            <w:tcW w:w="4862" w:type="dxa"/>
            <w:tcBorders>
              <w:top w:val="nil"/>
              <w:left w:val="single" w:sz="4" w:space="0" w:color="auto"/>
              <w:bottom w:val="single" w:sz="4" w:space="0" w:color="auto"/>
              <w:right w:val="single" w:sz="4" w:space="0" w:color="auto"/>
            </w:tcBorders>
            <w:shd w:val="clear" w:color="auto" w:fill="auto"/>
            <w:noWrap/>
            <w:vAlign w:val="bottom"/>
            <w:hideMark/>
          </w:tcPr>
          <w:p w14:paraId="742E9C1D"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Subvenções Orçamentárias Recebidas</w:t>
            </w:r>
          </w:p>
        </w:tc>
        <w:tc>
          <w:tcPr>
            <w:tcW w:w="1054" w:type="dxa"/>
            <w:tcBorders>
              <w:top w:val="nil"/>
              <w:left w:val="nil"/>
              <w:bottom w:val="single" w:sz="4" w:space="0" w:color="auto"/>
              <w:right w:val="single" w:sz="4" w:space="0" w:color="auto"/>
            </w:tcBorders>
            <w:shd w:val="clear" w:color="auto" w:fill="auto"/>
            <w:noWrap/>
            <w:vAlign w:val="bottom"/>
            <w:hideMark/>
          </w:tcPr>
          <w:p w14:paraId="3B27F394"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216.657 </w:t>
            </w:r>
          </w:p>
        </w:tc>
        <w:tc>
          <w:tcPr>
            <w:tcW w:w="1406" w:type="dxa"/>
            <w:tcBorders>
              <w:top w:val="nil"/>
              <w:left w:val="nil"/>
              <w:bottom w:val="single" w:sz="4" w:space="0" w:color="auto"/>
              <w:right w:val="single" w:sz="4" w:space="0" w:color="auto"/>
            </w:tcBorders>
            <w:shd w:val="clear" w:color="auto" w:fill="auto"/>
            <w:noWrap/>
            <w:vAlign w:val="bottom"/>
            <w:hideMark/>
          </w:tcPr>
          <w:p w14:paraId="06B8561A"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(31.157)</w:t>
            </w:r>
          </w:p>
        </w:tc>
        <w:tc>
          <w:tcPr>
            <w:tcW w:w="1179" w:type="dxa"/>
            <w:tcBorders>
              <w:top w:val="nil"/>
              <w:left w:val="nil"/>
              <w:bottom w:val="single" w:sz="4" w:space="0" w:color="auto"/>
              <w:right w:val="single" w:sz="4" w:space="0" w:color="auto"/>
            </w:tcBorders>
            <w:shd w:val="clear" w:color="auto" w:fill="auto"/>
            <w:noWrap/>
            <w:vAlign w:val="bottom"/>
            <w:hideMark/>
          </w:tcPr>
          <w:p w14:paraId="68CBD50C"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272" w:type="dxa"/>
            <w:tcBorders>
              <w:top w:val="nil"/>
              <w:left w:val="nil"/>
              <w:bottom w:val="single" w:sz="4" w:space="0" w:color="auto"/>
              <w:right w:val="single" w:sz="4" w:space="0" w:color="auto"/>
            </w:tcBorders>
            <w:shd w:val="clear" w:color="auto" w:fill="auto"/>
            <w:noWrap/>
            <w:vAlign w:val="bottom"/>
            <w:hideMark/>
          </w:tcPr>
          <w:p w14:paraId="6EB910A3"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185.500 </w:t>
            </w:r>
          </w:p>
        </w:tc>
      </w:tr>
      <w:tr w:rsidR="009C6488" w:rsidRPr="009C6488" w14:paraId="40A06904" w14:textId="77777777" w:rsidTr="00446A14">
        <w:trPr>
          <w:trHeight w:val="200"/>
        </w:trPr>
        <w:tc>
          <w:tcPr>
            <w:tcW w:w="4862" w:type="dxa"/>
            <w:tcBorders>
              <w:top w:val="nil"/>
              <w:left w:val="single" w:sz="4" w:space="0" w:color="auto"/>
              <w:bottom w:val="single" w:sz="4" w:space="0" w:color="auto"/>
              <w:right w:val="single" w:sz="4" w:space="0" w:color="auto"/>
            </w:tcBorders>
            <w:shd w:val="clear" w:color="auto" w:fill="auto"/>
            <w:noWrap/>
            <w:vAlign w:val="bottom"/>
            <w:hideMark/>
          </w:tcPr>
          <w:p w14:paraId="0420F925"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Outras Receitas</w:t>
            </w:r>
          </w:p>
        </w:tc>
        <w:tc>
          <w:tcPr>
            <w:tcW w:w="1054" w:type="dxa"/>
            <w:tcBorders>
              <w:top w:val="nil"/>
              <w:left w:val="nil"/>
              <w:bottom w:val="single" w:sz="4" w:space="0" w:color="auto"/>
              <w:right w:val="single" w:sz="4" w:space="0" w:color="auto"/>
            </w:tcBorders>
            <w:shd w:val="clear" w:color="auto" w:fill="auto"/>
            <w:noWrap/>
            <w:vAlign w:val="bottom"/>
            <w:hideMark/>
          </w:tcPr>
          <w:p w14:paraId="0002B126"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6.489 </w:t>
            </w:r>
          </w:p>
        </w:tc>
        <w:tc>
          <w:tcPr>
            <w:tcW w:w="1406" w:type="dxa"/>
            <w:tcBorders>
              <w:top w:val="nil"/>
              <w:left w:val="nil"/>
              <w:bottom w:val="single" w:sz="4" w:space="0" w:color="auto"/>
              <w:right w:val="single" w:sz="4" w:space="0" w:color="auto"/>
            </w:tcBorders>
            <w:shd w:val="clear" w:color="auto" w:fill="auto"/>
            <w:noWrap/>
            <w:vAlign w:val="bottom"/>
            <w:hideMark/>
          </w:tcPr>
          <w:p w14:paraId="0252B4D5"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179" w:type="dxa"/>
            <w:tcBorders>
              <w:top w:val="nil"/>
              <w:left w:val="nil"/>
              <w:bottom w:val="single" w:sz="4" w:space="0" w:color="auto"/>
              <w:right w:val="single" w:sz="4" w:space="0" w:color="auto"/>
            </w:tcBorders>
            <w:shd w:val="clear" w:color="auto" w:fill="auto"/>
            <w:noWrap/>
            <w:vAlign w:val="bottom"/>
            <w:hideMark/>
          </w:tcPr>
          <w:p w14:paraId="39F0016F"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272" w:type="dxa"/>
            <w:tcBorders>
              <w:top w:val="nil"/>
              <w:left w:val="nil"/>
              <w:bottom w:val="single" w:sz="4" w:space="0" w:color="auto"/>
              <w:right w:val="single" w:sz="4" w:space="0" w:color="auto"/>
            </w:tcBorders>
            <w:shd w:val="clear" w:color="auto" w:fill="auto"/>
            <w:noWrap/>
            <w:vAlign w:val="bottom"/>
            <w:hideMark/>
          </w:tcPr>
          <w:p w14:paraId="4773CD86"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6.489 </w:t>
            </w:r>
          </w:p>
        </w:tc>
      </w:tr>
      <w:tr w:rsidR="009C6488" w:rsidRPr="009C6488" w14:paraId="31513753" w14:textId="77777777" w:rsidTr="00446A14">
        <w:trPr>
          <w:trHeight w:val="200"/>
        </w:trPr>
        <w:tc>
          <w:tcPr>
            <w:tcW w:w="4862" w:type="dxa"/>
            <w:tcBorders>
              <w:top w:val="nil"/>
              <w:left w:val="single" w:sz="4" w:space="0" w:color="auto"/>
              <w:bottom w:val="single" w:sz="4" w:space="0" w:color="auto"/>
              <w:right w:val="single" w:sz="4" w:space="0" w:color="auto"/>
            </w:tcBorders>
            <w:shd w:val="clear" w:color="auto" w:fill="auto"/>
            <w:noWrap/>
            <w:vAlign w:val="bottom"/>
            <w:hideMark/>
          </w:tcPr>
          <w:p w14:paraId="64E9A866"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Construção de Ativo Próprio</w:t>
            </w:r>
          </w:p>
        </w:tc>
        <w:tc>
          <w:tcPr>
            <w:tcW w:w="1054" w:type="dxa"/>
            <w:tcBorders>
              <w:top w:val="nil"/>
              <w:left w:val="nil"/>
              <w:bottom w:val="single" w:sz="4" w:space="0" w:color="auto"/>
              <w:right w:val="single" w:sz="4" w:space="0" w:color="auto"/>
            </w:tcBorders>
            <w:shd w:val="clear" w:color="auto" w:fill="auto"/>
            <w:noWrap/>
            <w:vAlign w:val="bottom"/>
            <w:hideMark/>
          </w:tcPr>
          <w:p w14:paraId="72EE4B1C"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16.542 </w:t>
            </w:r>
          </w:p>
        </w:tc>
        <w:tc>
          <w:tcPr>
            <w:tcW w:w="1406" w:type="dxa"/>
            <w:tcBorders>
              <w:top w:val="nil"/>
              <w:left w:val="nil"/>
              <w:bottom w:val="single" w:sz="4" w:space="0" w:color="auto"/>
              <w:right w:val="single" w:sz="4" w:space="0" w:color="auto"/>
            </w:tcBorders>
            <w:shd w:val="clear" w:color="auto" w:fill="auto"/>
            <w:noWrap/>
            <w:vAlign w:val="bottom"/>
            <w:hideMark/>
          </w:tcPr>
          <w:p w14:paraId="3AC46D41"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179" w:type="dxa"/>
            <w:tcBorders>
              <w:top w:val="nil"/>
              <w:left w:val="nil"/>
              <w:bottom w:val="single" w:sz="4" w:space="0" w:color="auto"/>
              <w:right w:val="single" w:sz="4" w:space="0" w:color="auto"/>
            </w:tcBorders>
            <w:shd w:val="clear" w:color="auto" w:fill="auto"/>
            <w:noWrap/>
            <w:vAlign w:val="bottom"/>
            <w:hideMark/>
          </w:tcPr>
          <w:p w14:paraId="1CA028AA"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272" w:type="dxa"/>
            <w:tcBorders>
              <w:top w:val="nil"/>
              <w:left w:val="nil"/>
              <w:bottom w:val="single" w:sz="4" w:space="0" w:color="auto"/>
              <w:right w:val="single" w:sz="4" w:space="0" w:color="auto"/>
            </w:tcBorders>
            <w:shd w:val="clear" w:color="auto" w:fill="auto"/>
            <w:noWrap/>
            <w:vAlign w:val="bottom"/>
            <w:hideMark/>
          </w:tcPr>
          <w:p w14:paraId="4744B143"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16.542 </w:t>
            </w:r>
          </w:p>
        </w:tc>
      </w:tr>
      <w:tr w:rsidR="009C6488" w:rsidRPr="009C6488" w14:paraId="1644A247" w14:textId="77777777" w:rsidTr="00446A14">
        <w:trPr>
          <w:trHeight w:val="200"/>
        </w:trPr>
        <w:tc>
          <w:tcPr>
            <w:tcW w:w="4862" w:type="dxa"/>
            <w:tcBorders>
              <w:top w:val="nil"/>
              <w:left w:val="single" w:sz="4" w:space="0" w:color="auto"/>
              <w:bottom w:val="single" w:sz="4" w:space="0" w:color="auto"/>
              <w:right w:val="single" w:sz="4" w:space="0" w:color="auto"/>
            </w:tcBorders>
            <w:shd w:val="clear" w:color="auto" w:fill="auto"/>
            <w:noWrap/>
            <w:vAlign w:val="bottom"/>
            <w:hideMark/>
          </w:tcPr>
          <w:p w14:paraId="13C438C8"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Perdas Estimadas com Créditos de Liquidação Duvidosa</w:t>
            </w:r>
          </w:p>
        </w:tc>
        <w:tc>
          <w:tcPr>
            <w:tcW w:w="1054" w:type="dxa"/>
            <w:tcBorders>
              <w:top w:val="nil"/>
              <w:left w:val="nil"/>
              <w:bottom w:val="single" w:sz="4" w:space="0" w:color="auto"/>
              <w:right w:val="single" w:sz="4" w:space="0" w:color="auto"/>
            </w:tcBorders>
            <w:shd w:val="clear" w:color="auto" w:fill="auto"/>
            <w:noWrap/>
            <w:vAlign w:val="bottom"/>
            <w:hideMark/>
          </w:tcPr>
          <w:p w14:paraId="69C30B06"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1.053 </w:t>
            </w:r>
          </w:p>
        </w:tc>
        <w:tc>
          <w:tcPr>
            <w:tcW w:w="1406" w:type="dxa"/>
            <w:tcBorders>
              <w:top w:val="nil"/>
              <w:left w:val="nil"/>
              <w:bottom w:val="single" w:sz="4" w:space="0" w:color="auto"/>
              <w:right w:val="single" w:sz="4" w:space="0" w:color="auto"/>
            </w:tcBorders>
            <w:shd w:val="clear" w:color="auto" w:fill="auto"/>
            <w:noWrap/>
            <w:vAlign w:val="bottom"/>
            <w:hideMark/>
          </w:tcPr>
          <w:p w14:paraId="7A8AD21F"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179" w:type="dxa"/>
            <w:tcBorders>
              <w:top w:val="nil"/>
              <w:left w:val="nil"/>
              <w:bottom w:val="single" w:sz="4" w:space="0" w:color="auto"/>
              <w:right w:val="single" w:sz="4" w:space="0" w:color="auto"/>
            </w:tcBorders>
            <w:shd w:val="clear" w:color="auto" w:fill="auto"/>
            <w:noWrap/>
            <w:vAlign w:val="bottom"/>
            <w:hideMark/>
          </w:tcPr>
          <w:p w14:paraId="3AABF383"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272" w:type="dxa"/>
            <w:tcBorders>
              <w:top w:val="nil"/>
              <w:left w:val="nil"/>
              <w:bottom w:val="single" w:sz="4" w:space="0" w:color="auto"/>
              <w:right w:val="single" w:sz="4" w:space="0" w:color="auto"/>
            </w:tcBorders>
            <w:shd w:val="clear" w:color="auto" w:fill="auto"/>
            <w:noWrap/>
            <w:vAlign w:val="bottom"/>
            <w:hideMark/>
          </w:tcPr>
          <w:p w14:paraId="71A9B2FE"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1.053 </w:t>
            </w:r>
          </w:p>
        </w:tc>
      </w:tr>
      <w:tr w:rsidR="009C6488" w:rsidRPr="009C6488" w14:paraId="6C865629" w14:textId="77777777" w:rsidTr="00446A14">
        <w:trPr>
          <w:trHeight w:val="200"/>
        </w:trPr>
        <w:tc>
          <w:tcPr>
            <w:tcW w:w="4862" w:type="dxa"/>
            <w:tcBorders>
              <w:top w:val="nil"/>
              <w:left w:val="single" w:sz="4" w:space="0" w:color="auto"/>
              <w:bottom w:val="single" w:sz="4" w:space="0" w:color="auto"/>
              <w:right w:val="single" w:sz="4" w:space="0" w:color="auto"/>
            </w:tcBorders>
            <w:shd w:val="clear" w:color="auto" w:fill="auto"/>
            <w:noWrap/>
            <w:vAlign w:val="bottom"/>
            <w:hideMark/>
          </w:tcPr>
          <w:p w14:paraId="621235C3"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Insumos Adquiridos de Terceiros</w:t>
            </w:r>
          </w:p>
        </w:tc>
        <w:tc>
          <w:tcPr>
            <w:tcW w:w="1054" w:type="dxa"/>
            <w:tcBorders>
              <w:top w:val="nil"/>
              <w:left w:val="nil"/>
              <w:bottom w:val="single" w:sz="4" w:space="0" w:color="auto"/>
              <w:right w:val="single" w:sz="4" w:space="0" w:color="auto"/>
            </w:tcBorders>
            <w:shd w:val="clear" w:color="auto" w:fill="auto"/>
            <w:noWrap/>
            <w:vAlign w:val="bottom"/>
            <w:hideMark/>
          </w:tcPr>
          <w:p w14:paraId="6FA56DFA"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(202.390)</w:t>
            </w:r>
          </w:p>
        </w:tc>
        <w:tc>
          <w:tcPr>
            <w:tcW w:w="1406" w:type="dxa"/>
            <w:tcBorders>
              <w:top w:val="nil"/>
              <w:left w:val="nil"/>
              <w:bottom w:val="single" w:sz="4" w:space="0" w:color="auto"/>
              <w:right w:val="single" w:sz="4" w:space="0" w:color="auto"/>
            </w:tcBorders>
            <w:shd w:val="clear" w:color="auto" w:fill="auto"/>
            <w:noWrap/>
            <w:vAlign w:val="bottom"/>
            <w:hideMark/>
          </w:tcPr>
          <w:p w14:paraId="3878FE7D"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                              - </w:t>
            </w:r>
          </w:p>
        </w:tc>
        <w:tc>
          <w:tcPr>
            <w:tcW w:w="1179" w:type="dxa"/>
            <w:tcBorders>
              <w:top w:val="nil"/>
              <w:left w:val="nil"/>
              <w:bottom w:val="single" w:sz="4" w:space="0" w:color="auto"/>
              <w:right w:val="single" w:sz="4" w:space="0" w:color="auto"/>
            </w:tcBorders>
            <w:shd w:val="clear" w:color="auto" w:fill="auto"/>
            <w:noWrap/>
            <w:vAlign w:val="bottom"/>
            <w:hideMark/>
          </w:tcPr>
          <w:p w14:paraId="14C7E631"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                        - </w:t>
            </w:r>
          </w:p>
        </w:tc>
        <w:tc>
          <w:tcPr>
            <w:tcW w:w="1272" w:type="dxa"/>
            <w:tcBorders>
              <w:top w:val="nil"/>
              <w:left w:val="nil"/>
              <w:bottom w:val="single" w:sz="4" w:space="0" w:color="auto"/>
              <w:right w:val="single" w:sz="4" w:space="0" w:color="auto"/>
            </w:tcBorders>
            <w:shd w:val="clear" w:color="auto" w:fill="auto"/>
            <w:noWrap/>
            <w:vAlign w:val="bottom"/>
            <w:hideMark/>
          </w:tcPr>
          <w:p w14:paraId="53D6A50A"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(202.390)</w:t>
            </w:r>
          </w:p>
        </w:tc>
      </w:tr>
      <w:tr w:rsidR="009C6488" w:rsidRPr="009C6488" w14:paraId="0F8874D8" w14:textId="77777777" w:rsidTr="00446A14">
        <w:trPr>
          <w:trHeight w:val="200"/>
        </w:trPr>
        <w:tc>
          <w:tcPr>
            <w:tcW w:w="4862" w:type="dxa"/>
            <w:tcBorders>
              <w:top w:val="nil"/>
              <w:left w:val="single" w:sz="4" w:space="0" w:color="auto"/>
              <w:bottom w:val="single" w:sz="4" w:space="0" w:color="auto"/>
              <w:right w:val="single" w:sz="4" w:space="0" w:color="auto"/>
            </w:tcBorders>
            <w:shd w:val="clear" w:color="auto" w:fill="auto"/>
            <w:noWrap/>
            <w:vAlign w:val="bottom"/>
            <w:hideMark/>
          </w:tcPr>
          <w:p w14:paraId="78A44173"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Custos dos Serviços Vendidos</w:t>
            </w:r>
          </w:p>
        </w:tc>
        <w:tc>
          <w:tcPr>
            <w:tcW w:w="1054" w:type="dxa"/>
            <w:tcBorders>
              <w:top w:val="nil"/>
              <w:left w:val="nil"/>
              <w:bottom w:val="single" w:sz="4" w:space="0" w:color="auto"/>
              <w:right w:val="single" w:sz="4" w:space="0" w:color="auto"/>
            </w:tcBorders>
            <w:shd w:val="clear" w:color="auto" w:fill="auto"/>
            <w:noWrap/>
            <w:vAlign w:val="bottom"/>
            <w:hideMark/>
          </w:tcPr>
          <w:p w14:paraId="506FE1F8"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(186.139)</w:t>
            </w:r>
          </w:p>
        </w:tc>
        <w:tc>
          <w:tcPr>
            <w:tcW w:w="1406" w:type="dxa"/>
            <w:tcBorders>
              <w:top w:val="nil"/>
              <w:left w:val="nil"/>
              <w:bottom w:val="single" w:sz="4" w:space="0" w:color="auto"/>
              <w:right w:val="single" w:sz="4" w:space="0" w:color="auto"/>
            </w:tcBorders>
            <w:shd w:val="clear" w:color="auto" w:fill="auto"/>
            <w:noWrap/>
            <w:vAlign w:val="bottom"/>
            <w:hideMark/>
          </w:tcPr>
          <w:p w14:paraId="6F3CD769"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179" w:type="dxa"/>
            <w:tcBorders>
              <w:top w:val="nil"/>
              <w:left w:val="nil"/>
              <w:bottom w:val="single" w:sz="4" w:space="0" w:color="auto"/>
              <w:right w:val="single" w:sz="4" w:space="0" w:color="auto"/>
            </w:tcBorders>
            <w:shd w:val="clear" w:color="auto" w:fill="auto"/>
            <w:noWrap/>
            <w:vAlign w:val="bottom"/>
            <w:hideMark/>
          </w:tcPr>
          <w:p w14:paraId="0C20BBB4"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272" w:type="dxa"/>
            <w:tcBorders>
              <w:top w:val="nil"/>
              <w:left w:val="nil"/>
              <w:bottom w:val="single" w:sz="4" w:space="0" w:color="auto"/>
              <w:right w:val="single" w:sz="4" w:space="0" w:color="auto"/>
            </w:tcBorders>
            <w:shd w:val="clear" w:color="auto" w:fill="auto"/>
            <w:noWrap/>
            <w:vAlign w:val="bottom"/>
            <w:hideMark/>
          </w:tcPr>
          <w:p w14:paraId="5ECD92E0"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(186.139)</w:t>
            </w:r>
          </w:p>
        </w:tc>
      </w:tr>
      <w:tr w:rsidR="009C6488" w:rsidRPr="009C6488" w14:paraId="00C57821" w14:textId="77777777" w:rsidTr="00446A14">
        <w:trPr>
          <w:trHeight w:val="200"/>
        </w:trPr>
        <w:tc>
          <w:tcPr>
            <w:tcW w:w="4862" w:type="dxa"/>
            <w:tcBorders>
              <w:top w:val="nil"/>
              <w:left w:val="single" w:sz="4" w:space="0" w:color="auto"/>
              <w:bottom w:val="single" w:sz="4" w:space="0" w:color="auto"/>
              <w:right w:val="single" w:sz="4" w:space="0" w:color="auto"/>
            </w:tcBorders>
            <w:shd w:val="clear" w:color="auto" w:fill="auto"/>
            <w:noWrap/>
            <w:vAlign w:val="bottom"/>
            <w:hideMark/>
          </w:tcPr>
          <w:p w14:paraId="00F7314E"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Materiais</w:t>
            </w:r>
          </w:p>
        </w:tc>
        <w:tc>
          <w:tcPr>
            <w:tcW w:w="1054" w:type="dxa"/>
            <w:tcBorders>
              <w:top w:val="nil"/>
              <w:left w:val="nil"/>
              <w:bottom w:val="single" w:sz="4" w:space="0" w:color="auto"/>
              <w:right w:val="single" w:sz="4" w:space="0" w:color="auto"/>
            </w:tcBorders>
            <w:shd w:val="clear" w:color="auto" w:fill="auto"/>
            <w:noWrap/>
            <w:vAlign w:val="bottom"/>
            <w:hideMark/>
          </w:tcPr>
          <w:p w14:paraId="262B1E9B"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(150)</w:t>
            </w:r>
          </w:p>
        </w:tc>
        <w:tc>
          <w:tcPr>
            <w:tcW w:w="1406" w:type="dxa"/>
            <w:tcBorders>
              <w:top w:val="nil"/>
              <w:left w:val="nil"/>
              <w:bottom w:val="single" w:sz="4" w:space="0" w:color="auto"/>
              <w:right w:val="single" w:sz="4" w:space="0" w:color="auto"/>
            </w:tcBorders>
            <w:shd w:val="clear" w:color="auto" w:fill="auto"/>
            <w:noWrap/>
            <w:vAlign w:val="bottom"/>
            <w:hideMark/>
          </w:tcPr>
          <w:p w14:paraId="5F41ECA9"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179" w:type="dxa"/>
            <w:tcBorders>
              <w:top w:val="nil"/>
              <w:left w:val="nil"/>
              <w:bottom w:val="single" w:sz="4" w:space="0" w:color="auto"/>
              <w:right w:val="single" w:sz="4" w:space="0" w:color="auto"/>
            </w:tcBorders>
            <w:shd w:val="clear" w:color="auto" w:fill="auto"/>
            <w:noWrap/>
            <w:vAlign w:val="bottom"/>
            <w:hideMark/>
          </w:tcPr>
          <w:p w14:paraId="7F20F841"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272" w:type="dxa"/>
            <w:tcBorders>
              <w:top w:val="nil"/>
              <w:left w:val="nil"/>
              <w:bottom w:val="single" w:sz="4" w:space="0" w:color="auto"/>
              <w:right w:val="single" w:sz="4" w:space="0" w:color="auto"/>
            </w:tcBorders>
            <w:shd w:val="clear" w:color="auto" w:fill="auto"/>
            <w:noWrap/>
            <w:vAlign w:val="bottom"/>
            <w:hideMark/>
          </w:tcPr>
          <w:p w14:paraId="2EE0CA81"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(150)</w:t>
            </w:r>
          </w:p>
        </w:tc>
      </w:tr>
      <w:tr w:rsidR="009C6488" w:rsidRPr="009C6488" w14:paraId="2103833C" w14:textId="77777777" w:rsidTr="00446A14">
        <w:trPr>
          <w:trHeight w:val="200"/>
        </w:trPr>
        <w:tc>
          <w:tcPr>
            <w:tcW w:w="4862" w:type="dxa"/>
            <w:tcBorders>
              <w:top w:val="nil"/>
              <w:left w:val="single" w:sz="4" w:space="0" w:color="auto"/>
              <w:bottom w:val="single" w:sz="4" w:space="0" w:color="auto"/>
              <w:right w:val="single" w:sz="4" w:space="0" w:color="auto"/>
            </w:tcBorders>
            <w:shd w:val="clear" w:color="auto" w:fill="auto"/>
            <w:noWrap/>
            <w:vAlign w:val="bottom"/>
            <w:hideMark/>
          </w:tcPr>
          <w:p w14:paraId="329E457C"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Serviços de Terceiros</w:t>
            </w:r>
          </w:p>
        </w:tc>
        <w:tc>
          <w:tcPr>
            <w:tcW w:w="1054" w:type="dxa"/>
            <w:tcBorders>
              <w:top w:val="nil"/>
              <w:left w:val="nil"/>
              <w:bottom w:val="single" w:sz="4" w:space="0" w:color="auto"/>
              <w:right w:val="single" w:sz="4" w:space="0" w:color="auto"/>
            </w:tcBorders>
            <w:shd w:val="clear" w:color="auto" w:fill="auto"/>
            <w:noWrap/>
            <w:vAlign w:val="bottom"/>
            <w:hideMark/>
          </w:tcPr>
          <w:p w14:paraId="7CDC6210"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(6.770)</w:t>
            </w:r>
          </w:p>
        </w:tc>
        <w:tc>
          <w:tcPr>
            <w:tcW w:w="1406" w:type="dxa"/>
            <w:tcBorders>
              <w:top w:val="nil"/>
              <w:left w:val="nil"/>
              <w:bottom w:val="single" w:sz="4" w:space="0" w:color="auto"/>
              <w:right w:val="single" w:sz="4" w:space="0" w:color="auto"/>
            </w:tcBorders>
            <w:shd w:val="clear" w:color="auto" w:fill="auto"/>
            <w:noWrap/>
            <w:vAlign w:val="bottom"/>
            <w:hideMark/>
          </w:tcPr>
          <w:p w14:paraId="2DAAF81C"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179" w:type="dxa"/>
            <w:tcBorders>
              <w:top w:val="nil"/>
              <w:left w:val="nil"/>
              <w:bottom w:val="single" w:sz="4" w:space="0" w:color="auto"/>
              <w:right w:val="single" w:sz="4" w:space="0" w:color="auto"/>
            </w:tcBorders>
            <w:shd w:val="clear" w:color="auto" w:fill="auto"/>
            <w:noWrap/>
            <w:vAlign w:val="bottom"/>
            <w:hideMark/>
          </w:tcPr>
          <w:p w14:paraId="12FD28CF"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272" w:type="dxa"/>
            <w:tcBorders>
              <w:top w:val="nil"/>
              <w:left w:val="nil"/>
              <w:bottom w:val="single" w:sz="4" w:space="0" w:color="auto"/>
              <w:right w:val="single" w:sz="4" w:space="0" w:color="auto"/>
            </w:tcBorders>
            <w:shd w:val="clear" w:color="auto" w:fill="auto"/>
            <w:noWrap/>
            <w:vAlign w:val="bottom"/>
            <w:hideMark/>
          </w:tcPr>
          <w:p w14:paraId="1513507D"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(6.770)</w:t>
            </w:r>
          </w:p>
        </w:tc>
      </w:tr>
      <w:tr w:rsidR="009C6488" w:rsidRPr="009C6488" w14:paraId="4B723927" w14:textId="77777777" w:rsidTr="00446A14">
        <w:trPr>
          <w:trHeight w:val="200"/>
        </w:trPr>
        <w:tc>
          <w:tcPr>
            <w:tcW w:w="4862" w:type="dxa"/>
            <w:tcBorders>
              <w:top w:val="nil"/>
              <w:left w:val="single" w:sz="4" w:space="0" w:color="auto"/>
              <w:bottom w:val="single" w:sz="4" w:space="0" w:color="auto"/>
              <w:right w:val="single" w:sz="4" w:space="0" w:color="auto"/>
            </w:tcBorders>
            <w:shd w:val="clear" w:color="auto" w:fill="auto"/>
            <w:noWrap/>
            <w:vAlign w:val="bottom"/>
            <w:hideMark/>
          </w:tcPr>
          <w:p w14:paraId="1ECE54A3"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Serviços Técnicos Administrativos</w:t>
            </w:r>
          </w:p>
        </w:tc>
        <w:tc>
          <w:tcPr>
            <w:tcW w:w="1054" w:type="dxa"/>
            <w:tcBorders>
              <w:top w:val="nil"/>
              <w:left w:val="nil"/>
              <w:bottom w:val="single" w:sz="4" w:space="0" w:color="auto"/>
              <w:right w:val="single" w:sz="4" w:space="0" w:color="auto"/>
            </w:tcBorders>
            <w:shd w:val="clear" w:color="auto" w:fill="auto"/>
            <w:noWrap/>
            <w:vAlign w:val="bottom"/>
            <w:hideMark/>
          </w:tcPr>
          <w:p w14:paraId="6C91C1C3"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(3.680)</w:t>
            </w:r>
          </w:p>
        </w:tc>
        <w:tc>
          <w:tcPr>
            <w:tcW w:w="1406" w:type="dxa"/>
            <w:tcBorders>
              <w:top w:val="nil"/>
              <w:left w:val="nil"/>
              <w:bottom w:val="single" w:sz="4" w:space="0" w:color="auto"/>
              <w:right w:val="single" w:sz="4" w:space="0" w:color="auto"/>
            </w:tcBorders>
            <w:shd w:val="clear" w:color="auto" w:fill="auto"/>
            <w:noWrap/>
            <w:vAlign w:val="bottom"/>
            <w:hideMark/>
          </w:tcPr>
          <w:p w14:paraId="2EC339CC"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179" w:type="dxa"/>
            <w:tcBorders>
              <w:top w:val="nil"/>
              <w:left w:val="nil"/>
              <w:bottom w:val="single" w:sz="4" w:space="0" w:color="auto"/>
              <w:right w:val="single" w:sz="4" w:space="0" w:color="auto"/>
            </w:tcBorders>
            <w:shd w:val="clear" w:color="auto" w:fill="auto"/>
            <w:noWrap/>
            <w:vAlign w:val="bottom"/>
            <w:hideMark/>
          </w:tcPr>
          <w:p w14:paraId="128D0694"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272" w:type="dxa"/>
            <w:tcBorders>
              <w:top w:val="nil"/>
              <w:left w:val="nil"/>
              <w:bottom w:val="single" w:sz="4" w:space="0" w:color="auto"/>
              <w:right w:val="single" w:sz="4" w:space="0" w:color="auto"/>
            </w:tcBorders>
            <w:shd w:val="clear" w:color="auto" w:fill="auto"/>
            <w:noWrap/>
            <w:vAlign w:val="bottom"/>
            <w:hideMark/>
          </w:tcPr>
          <w:p w14:paraId="47420979"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(3.680)</w:t>
            </w:r>
          </w:p>
        </w:tc>
      </w:tr>
      <w:tr w:rsidR="009C6488" w:rsidRPr="009C6488" w14:paraId="11A4DC9E" w14:textId="77777777" w:rsidTr="00446A14">
        <w:trPr>
          <w:trHeight w:val="200"/>
        </w:trPr>
        <w:tc>
          <w:tcPr>
            <w:tcW w:w="4862" w:type="dxa"/>
            <w:tcBorders>
              <w:top w:val="nil"/>
              <w:left w:val="single" w:sz="4" w:space="0" w:color="auto"/>
              <w:bottom w:val="single" w:sz="4" w:space="0" w:color="auto"/>
              <w:right w:val="single" w:sz="4" w:space="0" w:color="auto"/>
            </w:tcBorders>
            <w:shd w:val="clear" w:color="auto" w:fill="auto"/>
            <w:noWrap/>
            <w:vAlign w:val="bottom"/>
            <w:hideMark/>
          </w:tcPr>
          <w:p w14:paraId="780770F8"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Perdas</w:t>
            </w:r>
          </w:p>
        </w:tc>
        <w:tc>
          <w:tcPr>
            <w:tcW w:w="1054" w:type="dxa"/>
            <w:tcBorders>
              <w:top w:val="nil"/>
              <w:left w:val="nil"/>
              <w:bottom w:val="single" w:sz="4" w:space="0" w:color="auto"/>
              <w:right w:val="single" w:sz="4" w:space="0" w:color="auto"/>
            </w:tcBorders>
            <w:shd w:val="clear" w:color="auto" w:fill="auto"/>
            <w:noWrap/>
            <w:vAlign w:val="bottom"/>
            <w:hideMark/>
          </w:tcPr>
          <w:p w14:paraId="5085D833"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(2.130)</w:t>
            </w:r>
          </w:p>
        </w:tc>
        <w:tc>
          <w:tcPr>
            <w:tcW w:w="1406" w:type="dxa"/>
            <w:tcBorders>
              <w:top w:val="nil"/>
              <w:left w:val="nil"/>
              <w:bottom w:val="single" w:sz="4" w:space="0" w:color="auto"/>
              <w:right w:val="single" w:sz="4" w:space="0" w:color="auto"/>
            </w:tcBorders>
            <w:shd w:val="clear" w:color="auto" w:fill="auto"/>
            <w:noWrap/>
            <w:vAlign w:val="bottom"/>
            <w:hideMark/>
          </w:tcPr>
          <w:p w14:paraId="39C3EAFA"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179" w:type="dxa"/>
            <w:tcBorders>
              <w:top w:val="nil"/>
              <w:left w:val="nil"/>
              <w:bottom w:val="single" w:sz="4" w:space="0" w:color="auto"/>
              <w:right w:val="single" w:sz="4" w:space="0" w:color="auto"/>
            </w:tcBorders>
            <w:shd w:val="clear" w:color="auto" w:fill="auto"/>
            <w:noWrap/>
            <w:vAlign w:val="bottom"/>
            <w:hideMark/>
          </w:tcPr>
          <w:p w14:paraId="2C1A597B"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272" w:type="dxa"/>
            <w:tcBorders>
              <w:top w:val="nil"/>
              <w:left w:val="nil"/>
              <w:bottom w:val="single" w:sz="4" w:space="0" w:color="auto"/>
              <w:right w:val="single" w:sz="4" w:space="0" w:color="auto"/>
            </w:tcBorders>
            <w:shd w:val="clear" w:color="auto" w:fill="auto"/>
            <w:noWrap/>
            <w:vAlign w:val="bottom"/>
            <w:hideMark/>
          </w:tcPr>
          <w:p w14:paraId="09E7834D"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(2.130)</w:t>
            </w:r>
          </w:p>
        </w:tc>
      </w:tr>
      <w:tr w:rsidR="009C6488" w:rsidRPr="009C6488" w14:paraId="43B6A8B8" w14:textId="77777777" w:rsidTr="00446A14">
        <w:trPr>
          <w:trHeight w:val="200"/>
        </w:trPr>
        <w:tc>
          <w:tcPr>
            <w:tcW w:w="4862" w:type="dxa"/>
            <w:tcBorders>
              <w:top w:val="nil"/>
              <w:left w:val="single" w:sz="4" w:space="0" w:color="auto"/>
              <w:bottom w:val="single" w:sz="4" w:space="0" w:color="auto"/>
              <w:right w:val="single" w:sz="4" w:space="0" w:color="auto"/>
            </w:tcBorders>
            <w:shd w:val="clear" w:color="auto" w:fill="auto"/>
            <w:noWrap/>
            <w:vAlign w:val="bottom"/>
            <w:hideMark/>
          </w:tcPr>
          <w:p w14:paraId="7CB06359"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Outras Despesas</w:t>
            </w:r>
          </w:p>
        </w:tc>
        <w:tc>
          <w:tcPr>
            <w:tcW w:w="1054" w:type="dxa"/>
            <w:tcBorders>
              <w:top w:val="nil"/>
              <w:left w:val="nil"/>
              <w:bottom w:val="single" w:sz="4" w:space="0" w:color="auto"/>
              <w:right w:val="single" w:sz="4" w:space="0" w:color="auto"/>
            </w:tcBorders>
            <w:shd w:val="clear" w:color="auto" w:fill="auto"/>
            <w:noWrap/>
            <w:vAlign w:val="bottom"/>
            <w:hideMark/>
          </w:tcPr>
          <w:p w14:paraId="15E05841"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(3.521)</w:t>
            </w:r>
          </w:p>
        </w:tc>
        <w:tc>
          <w:tcPr>
            <w:tcW w:w="1406" w:type="dxa"/>
            <w:tcBorders>
              <w:top w:val="nil"/>
              <w:left w:val="nil"/>
              <w:bottom w:val="single" w:sz="4" w:space="0" w:color="auto"/>
              <w:right w:val="single" w:sz="4" w:space="0" w:color="auto"/>
            </w:tcBorders>
            <w:shd w:val="clear" w:color="auto" w:fill="auto"/>
            <w:noWrap/>
            <w:vAlign w:val="bottom"/>
            <w:hideMark/>
          </w:tcPr>
          <w:p w14:paraId="5AA66019"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179" w:type="dxa"/>
            <w:tcBorders>
              <w:top w:val="nil"/>
              <w:left w:val="nil"/>
              <w:bottom w:val="single" w:sz="4" w:space="0" w:color="auto"/>
              <w:right w:val="single" w:sz="4" w:space="0" w:color="auto"/>
            </w:tcBorders>
            <w:shd w:val="clear" w:color="auto" w:fill="auto"/>
            <w:noWrap/>
            <w:vAlign w:val="bottom"/>
            <w:hideMark/>
          </w:tcPr>
          <w:p w14:paraId="3BC1788C"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272" w:type="dxa"/>
            <w:tcBorders>
              <w:top w:val="nil"/>
              <w:left w:val="nil"/>
              <w:bottom w:val="single" w:sz="4" w:space="0" w:color="auto"/>
              <w:right w:val="single" w:sz="4" w:space="0" w:color="auto"/>
            </w:tcBorders>
            <w:shd w:val="clear" w:color="auto" w:fill="auto"/>
            <w:noWrap/>
            <w:vAlign w:val="bottom"/>
            <w:hideMark/>
          </w:tcPr>
          <w:p w14:paraId="083A680E"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(3.521)</w:t>
            </w:r>
          </w:p>
        </w:tc>
      </w:tr>
      <w:tr w:rsidR="009C6488" w:rsidRPr="009C6488" w14:paraId="64FA73DB" w14:textId="77777777" w:rsidTr="00446A14">
        <w:trPr>
          <w:trHeight w:val="200"/>
        </w:trPr>
        <w:tc>
          <w:tcPr>
            <w:tcW w:w="4862" w:type="dxa"/>
            <w:tcBorders>
              <w:top w:val="nil"/>
              <w:left w:val="single" w:sz="4" w:space="0" w:color="auto"/>
              <w:bottom w:val="single" w:sz="4" w:space="0" w:color="auto"/>
              <w:right w:val="single" w:sz="4" w:space="0" w:color="auto"/>
            </w:tcBorders>
            <w:shd w:val="clear" w:color="auto" w:fill="auto"/>
            <w:noWrap/>
            <w:vAlign w:val="bottom"/>
            <w:hideMark/>
          </w:tcPr>
          <w:p w14:paraId="51736732"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Valor Adicionado Bruto</w:t>
            </w:r>
          </w:p>
        </w:tc>
        <w:tc>
          <w:tcPr>
            <w:tcW w:w="1054" w:type="dxa"/>
            <w:tcBorders>
              <w:top w:val="nil"/>
              <w:left w:val="nil"/>
              <w:bottom w:val="single" w:sz="4" w:space="0" w:color="auto"/>
              <w:right w:val="single" w:sz="4" w:space="0" w:color="auto"/>
            </w:tcBorders>
            <w:shd w:val="clear" w:color="auto" w:fill="auto"/>
            <w:noWrap/>
            <w:vAlign w:val="bottom"/>
            <w:hideMark/>
          </w:tcPr>
          <w:p w14:paraId="534AC686"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313.018 </w:t>
            </w:r>
          </w:p>
        </w:tc>
        <w:tc>
          <w:tcPr>
            <w:tcW w:w="1406" w:type="dxa"/>
            <w:tcBorders>
              <w:top w:val="nil"/>
              <w:left w:val="nil"/>
              <w:bottom w:val="single" w:sz="4" w:space="0" w:color="auto"/>
              <w:right w:val="single" w:sz="4" w:space="0" w:color="auto"/>
            </w:tcBorders>
            <w:shd w:val="clear" w:color="auto" w:fill="auto"/>
            <w:noWrap/>
            <w:vAlign w:val="bottom"/>
            <w:hideMark/>
          </w:tcPr>
          <w:p w14:paraId="76AEE8F4"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(31.157)</w:t>
            </w:r>
          </w:p>
        </w:tc>
        <w:tc>
          <w:tcPr>
            <w:tcW w:w="1179" w:type="dxa"/>
            <w:tcBorders>
              <w:top w:val="nil"/>
              <w:left w:val="nil"/>
              <w:bottom w:val="single" w:sz="4" w:space="0" w:color="auto"/>
              <w:right w:val="single" w:sz="4" w:space="0" w:color="auto"/>
            </w:tcBorders>
            <w:shd w:val="clear" w:color="auto" w:fill="auto"/>
            <w:noWrap/>
            <w:vAlign w:val="bottom"/>
            <w:hideMark/>
          </w:tcPr>
          <w:p w14:paraId="2F2BD686"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                        - </w:t>
            </w:r>
          </w:p>
        </w:tc>
        <w:tc>
          <w:tcPr>
            <w:tcW w:w="1272" w:type="dxa"/>
            <w:tcBorders>
              <w:top w:val="nil"/>
              <w:left w:val="nil"/>
              <w:bottom w:val="single" w:sz="4" w:space="0" w:color="auto"/>
              <w:right w:val="single" w:sz="4" w:space="0" w:color="auto"/>
            </w:tcBorders>
            <w:shd w:val="clear" w:color="auto" w:fill="auto"/>
            <w:noWrap/>
            <w:vAlign w:val="bottom"/>
            <w:hideMark/>
          </w:tcPr>
          <w:p w14:paraId="3FD18C26"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281.861 </w:t>
            </w:r>
          </w:p>
        </w:tc>
      </w:tr>
      <w:tr w:rsidR="009C6488" w:rsidRPr="009C6488" w14:paraId="2F6C9089" w14:textId="77777777" w:rsidTr="00446A14">
        <w:trPr>
          <w:trHeight w:val="200"/>
        </w:trPr>
        <w:tc>
          <w:tcPr>
            <w:tcW w:w="4862" w:type="dxa"/>
            <w:tcBorders>
              <w:top w:val="nil"/>
              <w:left w:val="single" w:sz="4" w:space="0" w:color="auto"/>
              <w:bottom w:val="single" w:sz="4" w:space="0" w:color="auto"/>
              <w:right w:val="single" w:sz="4" w:space="0" w:color="auto"/>
            </w:tcBorders>
            <w:shd w:val="clear" w:color="auto" w:fill="auto"/>
            <w:noWrap/>
            <w:vAlign w:val="bottom"/>
            <w:hideMark/>
          </w:tcPr>
          <w:p w14:paraId="773B8188"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Retenções</w:t>
            </w:r>
          </w:p>
        </w:tc>
        <w:tc>
          <w:tcPr>
            <w:tcW w:w="1054" w:type="dxa"/>
            <w:tcBorders>
              <w:top w:val="nil"/>
              <w:left w:val="nil"/>
              <w:bottom w:val="single" w:sz="4" w:space="0" w:color="auto"/>
              <w:right w:val="single" w:sz="4" w:space="0" w:color="auto"/>
            </w:tcBorders>
            <w:shd w:val="clear" w:color="auto" w:fill="auto"/>
            <w:noWrap/>
            <w:vAlign w:val="bottom"/>
            <w:hideMark/>
          </w:tcPr>
          <w:p w14:paraId="40E52A9A"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(214.811)</w:t>
            </w:r>
          </w:p>
        </w:tc>
        <w:tc>
          <w:tcPr>
            <w:tcW w:w="1406" w:type="dxa"/>
            <w:tcBorders>
              <w:top w:val="nil"/>
              <w:left w:val="nil"/>
              <w:bottom w:val="single" w:sz="4" w:space="0" w:color="auto"/>
              <w:right w:val="single" w:sz="4" w:space="0" w:color="auto"/>
            </w:tcBorders>
            <w:shd w:val="clear" w:color="auto" w:fill="auto"/>
            <w:noWrap/>
            <w:vAlign w:val="bottom"/>
            <w:hideMark/>
          </w:tcPr>
          <w:p w14:paraId="32A03AE0"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                              - </w:t>
            </w:r>
          </w:p>
        </w:tc>
        <w:tc>
          <w:tcPr>
            <w:tcW w:w="1179" w:type="dxa"/>
            <w:tcBorders>
              <w:top w:val="nil"/>
              <w:left w:val="nil"/>
              <w:bottom w:val="single" w:sz="4" w:space="0" w:color="auto"/>
              <w:right w:val="single" w:sz="4" w:space="0" w:color="auto"/>
            </w:tcBorders>
            <w:shd w:val="clear" w:color="auto" w:fill="auto"/>
            <w:noWrap/>
            <w:vAlign w:val="bottom"/>
            <w:hideMark/>
          </w:tcPr>
          <w:p w14:paraId="47FF708D"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                        - </w:t>
            </w:r>
          </w:p>
        </w:tc>
        <w:tc>
          <w:tcPr>
            <w:tcW w:w="1272" w:type="dxa"/>
            <w:tcBorders>
              <w:top w:val="nil"/>
              <w:left w:val="nil"/>
              <w:bottom w:val="single" w:sz="4" w:space="0" w:color="auto"/>
              <w:right w:val="single" w:sz="4" w:space="0" w:color="auto"/>
            </w:tcBorders>
            <w:shd w:val="clear" w:color="auto" w:fill="auto"/>
            <w:noWrap/>
            <w:vAlign w:val="bottom"/>
            <w:hideMark/>
          </w:tcPr>
          <w:p w14:paraId="2D8DAE83"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(214.811)</w:t>
            </w:r>
          </w:p>
        </w:tc>
      </w:tr>
      <w:tr w:rsidR="009C6488" w:rsidRPr="009C6488" w14:paraId="69C89853" w14:textId="77777777" w:rsidTr="00446A14">
        <w:trPr>
          <w:trHeight w:val="200"/>
        </w:trPr>
        <w:tc>
          <w:tcPr>
            <w:tcW w:w="4862" w:type="dxa"/>
            <w:tcBorders>
              <w:top w:val="nil"/>
              <w:left w:val="single" w:sz="4" w:space="0" w:color="auto"/>
              <w:bottom w:val="single" w:sz="4" w:space="0" w:color="auto"/>
              <w:right w:val="single" w:sz="4" w:space="0" w:color="auto"/>
            </w:tcBorders>
            <w:shd w:val="clear" w:color="auto" w:fill="auto"/>
            <w:noWrap/>
            <w:vAlign w:val="bottom"/>
            <w:hideMark/>
          </w:tcPr>
          <w:p w14:paraId="72F1B367"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Depreciação</w:t>
            </w:r>
          </w:p>
        </w:tc>
        <w:tc>
          <w:tcPr>
            <w:tcW w:w="1054" w:type="dxa"/>
            <w:tcBorders>
              <w:top w:val="nil"/>
              <w:left w:val="nil"/>
              <w:bottom w:val="single" w:sz="4" w:space="0" w:color="auto"/>
              <w:right w:val="single" w:sz="4" w:space="0" w:color="auto"/>
            </w:tcBorders>
            <w:shd w:val="clear" w:color="auto" w:fill="auto"/>
            <w:noWrap/>
            <w:vAlign w:val="bottom"/>
            <w:hideMark/>
          </w:tcPr>
          <w:p w14:paraId="3D7C7C3E"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(212.574)</w:t>
            </w:r>
          </w:p>
        </w:tc>
        <w:tc>
          <w:tcPr>
            <w:tcW w:w="1406" w:type="dxa"/>
            <w:tcBorders>
              <w:top w:val="nil"/>
              <w:left w:val="nil"/>
              <w:bottom w:val="single" w:sz="4" w:space="0" w:color="auto"/>
              <w:right w:val="single" w:sz="4" w:space="0" w:color="auto"/>
            </w:tcBorders>
            <w:shd w:val="clear" w:color="auto" w:fill="auto"/>
            <w:noWrap/>
            <w:vAlign w:val="bottom"/>
            <w:hideMark/>
          </w:tcPr>
          <w:p w14:paraId="6BB719E2"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179" w:type="dxa"/>
            <w:tcBorders>
              <w:top w:val="nil"/>
              <w:left w:val="nil"/>
              <w:bottom w:val="single" w:sz="4" w:space="0" w:color="auto"/>
              <w:right w:val="single" w:sz="4" w:space="0" w:color="auto"/>
            </w:tcBorders>
            <w:shd w:val="clear" w:color="auto" w:fill="auto"/>
            <w:noWrap/>
            <w:vAlign w:val="bottom"/>
            <w:hideMark/>
          </w:tcPr>
          <w:p w14:paraId="6A68D841"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272" w:type="dxa"/>
            <w:tcBorders>
              <w:top w:val="nil"/>
              <w:left w:val="nil"/>
              <w:bottom w:val="single" w:sz="4" w:space="0" w:color="auto"/>
              <w:right w:val="single" w:sz="4" w:space="0" w:color="auto"/>
            </w:tcBorders>
            <w:shd w:val="clear" w:color="auto" w:fill="auto"/>
            <w:noWrap/>
            <w:vAlign w:val="bottom"/>
            <w:hideMark/>
          </w:tcPr>
          <w:p w14:paraId="533D17D8"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(212.574)</w:t>
            </w:r>
          </w:p>
        </w:tc>
      </w:tr>
      <w:tr w:rsidR="009C6488" w:rsidRPr="009C6488" w14:paraId="2A92E550" w14:textId="77777777" w:rsidTr="00446A14">
        <w:trPr>
          <w:trHeight w:val="200"/>
        </w:trPr>
        <w:tc>
          <w:tcPr>
            <w:tcW w:w="4862" w:type="dxa"/>
            <w:tcBorders>
              <w:top w:val="nil"/>
              <w:left w:val="single" w:sz="4" w:space="0" w:color="auto"/>
              <w:bottom w:val="single" w:sz="4" w:space="0" w:color="auto"/>
              <w:right w:val="single" w:sz="4" w:space="0" w:color="auto"/>
            </w:tcBorders>
            <w:shd w:val="clear" w:color="auto" w:fill="auto"/>
            <w:noWrap/>
            <w:vAlign w:val="bottom"/>
            <w:hideMark/>
          </w:tcPr>
          <w:p w14:paraId="4F88A6B5"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Amortização</w:t>
            </w:r>
          </w:p>
        </w:tc>
        <w:tc>
          <w:tcPr>
            <w:tcW w:w="1054" w:type="dxa"/>
            <w:tcBorders>
              <w:top w:val="nil"/>
              <w:left w:val="nil"/>
              <w:bottom w:val="single" w:sz="4" w:space="0" w:color="auto"/>
              <w:right w:val="single" w:sz="4" w:space="0" w:color="auto"/>
            </w:tcBorders>
            <w:shd w:val="clear" w:color="auto" w:fill="auto"/>
            <w:noWrap/>
            <w:vAlign w:val="bottom"/>
            <w:hideMark/>
          </w:tcPr>
          <w:p w14:paraId="48703F93"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(2.237)</w:t>
            </w:r>
          </w:p>
        </w:tc>
        <w:tc>
          <w:tcPr>
            <w:tcW w:w="1406" w:type="dxa"/>
            <w:tcBorders>
              <w:top w:val="nil"/>
              <w:left w:val="nil"/>
              <w:bottom w:val="single" w:sz="4" w:space="0" w:color="auto"/>
              <w:right w:val="single" w:sz="4" w:space="0" w:color="auto"/>
            </w:tcBorders>
            <w:shd w:val="clear" w:color="auto" w:fill="auto"/>
            <w:noWrap/>
            <w:vAlign w:val="bottom"/>
            <w:hideMark/>
          </w:tcPr>
          <w:p w14:paraId="1543D1BB"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179" w:type="dxa"/>
            <w:tcBorders>
              <w:top w:val="nil"/>
              <w:left w:val="nil"/>
              <w:bottom w:val="single" w:sz="4" w:space="0" w:color="auto"/>
              <w:right w:val="single" w:sz="4" w:space="0" w:color="auto"/>
            </w:tcBorders>
            <w:shd w:val="clear" w:color="auto" w:fill="auto"/>
            <w:noWrap/>
            <w:vAlign w:val="bottom"/>
            <w:hideMark/>
          </w:tcPr>
          <w:p w14:paraId="65D1B8EA"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272" w:type="dxa"/>
            <w:tcBorders>
              <w:top w:val="nil"/>
              <w:left w:val="nil"/>
              <w:bottom w:val="single" w:sz="4" w:space="0" w:color="auto"/>
              <w:right w:val="single" w:sz="4" w:space="0" w:color="auto"/>
            </w:tcBorders>
            <w:shd w:val="clear" w:color="auto" w:fill="auto"/>
            <w:noWrap/>
            <w:vAlign w:val="bottom"/>
            <w:hideMark/>
          </w:tcPr>
          <w:p w14:paraId="39AFDBE0"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(2.237)</w:t>
            </w:r>
          </w:p>
        </w:tc>
      </w:tr>
      <w:tr w:rsidR="009C6488" w:rsidRPr="009C6488" w14:paraId="6E6FBC85" w14:textId="77777777" w:rsidTr="00446A14">
        <w:trPr>
          <w:trHeight w:val="200"/>
        </w:trPr>
        <w:tc>
          <w:tcPr>
            <w:tcW w:w="4862" w:type="dxa"/>
            <w:tcBorders>
              <w:top w:val="nil"/>
              <w:left w:val="single" w:sz="4" w:space="0" w:color="auto"/>
              <w:bottom w:val="single" w:sz="4" w:space="0" w:color="auto"/>
              <w:right w:val="single" w:sz="4" w:space="0" w:color="auto"/>
            </w:tcBorders>
            <w:shd w:val="clear" w:color="auto" w:fill="auto"/>
            <w:noWrap/>
            <w:vAlign w:val="bottom"/>
            <w:hideMark/>
          </w:tcPr>
          <w:p w14:paraId="6073E5BC"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 Valor Adicionado Líquido Produzido</w:t>
            </w:r>
          </w:p>
        </w:tc>
        <w:tc>
          <w:tcPr>
            <w:tcW w:w="1054" w:type="dxa"/>
            <w:tcBorders>
              <w:top w:val="nil"/>
              <w:left w:val="nil"/>
              <w:bottom w:val="single" w:sz="4" w:space="0" w:color="auto"/>
              <w:right w:val="single" w:sz="4" w:space="0" w:color="auto"/>
            </w:tcBorders>
            <w:shd w:val="clear" w:color="auto" w:fill="auto"/>
            <w:noWrap/>
            <w:vAlign w:val="bottom"/>
            <w:hideMark/>
          </w:tcPr>
          <w:p w14:paraId="59413590"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98.207 </w:t>
            </w:r>
          </w:p>
        </w:tc>
        <w:tc>
          <w:tcPr>
            <w:tcW w:w="1406" w:type="dxa"/>
            <w:tcBorders>
              <w:top w:val="nil"/>
              <w:left w:val="nil"/>
              <w:bottom w:val="single" w:sz="4" w:space="0" w:color="auto"/>
              <w:right w:val="single" w:sz="4" w:space="0" w:color="auto"/>
            </w:tcBorders>
            <w:shd w:val="clear" w:color="auto" w:fill="auto"/>
            <w:noWrap/>
            <w:vAlign w:val="bottom"/>
            <w:hideMark/>
          </w:tcPr>
          <w:p w14:paraId="35B0AE1A"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(31.157)</w:t>
            </w:r>
          </w:p>
        </w:tc>
        <w:tc>
          <w:tcPr>
            <w:tcW w:w="1179" w:type="dxa"/>
            <w:tcBorders>
              <w:top w:val="nil"/>
              <w:left w:val="nil"/>
              <w:bottom w:val="single" w:sz="4" w:space="0" w:color="auto"/>
              <w:right w:val="single" w:sz="4" w:space="0" w:color="auto"/>
            </w:tcBorders>
            <w:shd w:val="clear" w:color="auto" w:fill="auto"/>
            <w:noWrap/>
            <w:vAlign w:val="bottom"/>
            <w:hideMark/>
          </w:tcPr>
          <w:p w14:paraId="5613FEA6"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                        - </w:t>
            </w:r>
          </w:p>
        </w:tc>
        <w:tc>
          <w:tcPr>
            <w:tcW w:w="1272" w:type="dxa"/>
            <w:tcBorders>
              <w:top w:val="nil"/>
              <w:left w:val="nil"/>
              <w:bottom w:val="single" w:sz="4" w:space="0" w:color="auto"/>
              <w:right w:val="single" w:sz="4" w:space="0" w:color="auto"/>
            </w:tcBorders>
            <w:shd w:val="clear" w:color="auto" w:fill="auto"/>
            <w:noWrap/>
            <w:vAlign w:val="bottom"/>
            <w:hideMark/>
          </w:tcPr>
          <w:p w14:paraId="581D1306"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67.050 </w:t>
            </w:r>
          </w:p>
        </w:tc>
      </w:tr>
      <w:tr w:rsidR="009C6488" w:rsidRPr="009C6488" w14:paraId="70EBAB94" w14:textId="77777777" w:rsidTr="00446A14">
        <w:trPr>
          <w:trHeight w:val="200"/>
        </w:trPr>
        <w:tc>
          <w:tcPr>
            <w:tcW w:w="4862" w:type="dxa"/>
            <w:tcBorders>
              <w:top w:val="nil"/>
              <w:left w:val="single" w:sz="4" w:space="0" w:color="auto"/>
              <w:bottom w:val="single" w:sz="4" w:space="0" w:color="auto"/>
              <w:right w:val="single" w:sz="4" w:space="0" w:color="auto"/>
            </w:tcBorders>
            <w:shd w:val="clear" w:color="auto" w:fill="auto"/>
            <w:noWrap/>
            <w:vAlign w:val="bottom"/>
            <w:hideMark/>
          </w:tcPr>
          <w:p w14:paraId="4FA0375F"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 Valor Adicionado Recebido em Transferência</w:t>
            </w:r>
          </w:p>
        </w:tc>
        <w:tc>
          <w:tcPr>
            <w:tcW w:w="1054" w:type="dxa"/>
            <w:tcBorders>
              <w:top w:val="nil"/>
              <w:left w:val="nil"/>
              <w:bottom w:val="single" w:sz="4" w:space="0" w:color="auto"/>
              <w:right w:val="single" w:sz="4" w:space="0" w:color="auto"/>
            </w:tcBorders>
            <w:shd w:val="clear" w:color="auto" w:fill="auto"/>
            <w:noWrap/>
            <w:vAlign w:val="bottom"/>
            <w:hideMark/>
          </w:tcPr>
          <w:p w14:paraId="5079177F"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109.349 </w:t>
            </w:r>
          </w:p>
        </w:tc>
        <w:tc>
          <w:tcPr>
            <w:tcW w:w="1406" w:type="dxa"/>
            <w:tcBorders>
              <w:top w:val="nil"/>
              <w:left w:val="nil"/>
              <w:bottom w:val="single" w:sz="4" w:space="0" w:color="auto"/>
              <w:right w:val="single" w:sz="4" w:space="0" w:color="auto"/>
            </w:tcBorders>
            <w:shd w:val="clear" w:color="auto" w:fill="auto"/>
            <w:noWrap/>
            <w:vAlign w:val="bottom"/>
            <w:hideMark/>
          </w:tcPr>
          <w:p w14:paraId="508730C3"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                              - </w:t>
            </w:r>
          </w:p>
        </w:tc>
        <w:tc>
          <w:tcPr>
            <w:tcW w:w="1179" w:type="dxa"/>
            <w:tcBorders>
              <w:top w:val="nil"/>
              <w:left w:val="nil"/>
              <w:bottom w:val="single" w:sz="4" w:space="0" w:color="auto"/>
              <w:right w:val="single" w:sz="4" w:space="0" w:color="auto"/>
            </w:tcBorders>
            <w:shd w:val="clear" w:color="auto" w:fill="auto"/>
            <w:noWrap/>
            <w:vAlign w:val="bottom"/>
            <w:hideMark/>
          </w:tcPr>
          <w:p w14:paraId="6D668992"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                        - </w:t>
            </w:r>
          </w:p>
        </w:tc>
        <w:tc>
          <w:tcPr>
            <w:tcW w:w="1272" w:type="dxa"/>
            <w:tcBorders>
              <w:top w:val="nil"/>
              <w:left w:val="nil"/>
              <w:bottom w:val="single" w:sz="4" w:space="0" w:color="auto"/>
              <w:right w:val="single" w:sz="4" w:space="0" w:color="auto"/>
            </w:tcBorders>
            <w:shd w:val="clear" w:color="auto" w:fill="auto"/>
            <w:noWrap/>
            <w:vAlign w:val="bottom"/>
            <w:hideMark/>
          </w:tcPr>
          <w:p w14:paraId="11B892FD"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109.349 </w:t>
            </w:r>
          </w:p>
        </w:tc>
      </w:tr>
      <w:tr w:rsidR="009C6488" w:rsidRPr="009C6488" w14:paraId="7F14682B" w14:textId="77777777" w:rsidTr="00446A14">
        <w:trPr>
          <w:trHeight w:val="200"/>
        </w:trPr>
        <w:tc>
          <w:tcPr>
            <w:tcW w:w="4862" w:type="dxa"/>
            <w:tcBorders>
              <w:top w:val="nil"/>
              <w:left w:val="single" w:sz="4" w:space="0" w:color="auto"/>
              <w:bottom w:val="single" w:sz="4" w:space="0" w:color="auto"/>
              <w:right w:val="single" w:sz="4" w:space="0" w:color="auto"/>
            </w:tcBorders>
            <w:shd w:val="clear" w:color="auto" w:fill="auto"/>
            <w:noWrap/>
            <w:vAlign w:val="bottom"/>
            <w:hideMark/>
          </w:tcPr>
          <w:p w14:paraId="1C224B66"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Resultado de Equivalência Patrimonial sobre Resultado</w:t>
            </w:r>
          </w:p>
        </w:tc>
        <w:tc>
          <w:tcPr>
            <w:tcW w:w="1054" w:type="dxa"/>
            <w:tcBorders>
              <w:top w:val="nil"/>
              <w:left w:val="nil"/>
              <w:bottom w:val="single" w:sz="4" w:space="0" w:color="auto"/>
              <w:right w:val="single" w:sz="4" w:space="0" w:color="auto"/>
            </w:tcBorders>
            <w:shd w:val="clear" w:color="auto" w:fill="auto"/>
            <w:noWrap/>
            <w:vAlign w:val="bottom"/>
            <w:hideMark/>
          </w:tcPr>
          <w:p w14:paraId="6AB33AA1"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(3.621)</w:t>
            </w:r>
          </w:p>
        </w:tc>
        <w:tc>
          <w:tcPr>
            <w:tcW w:w="1406" w:type="dxa"/>
            <w:tcBorders>
              <w:top w:val="nil"/>
              <w:left w:val="nil"/>
              <w:bottom w:val="single" w:sz="4" w:space="0" w:color="auto"/>
              <w:right w:val="single" w:sz="4" w:space="0" w:color="auto"/>
            </w:tcBorders>
            <w:shd w:val="clear" w:color="auto" w:fill="auto"/>
            <w:noWrap/>
            <w:vAlign w:val="bottom"/>
            <w:hideMark/>
          </w:tcPr>
          <w:p w14:paraId="78DD23A0"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179" w:type="dxa"/>
            <w:tcBorders>
              <w:top w:val="nil"/>
              <w:left w:val="nil"/>
              <w:bottom w:val="single" w:sz="4" w:space="0" w:color="auto"/>
              <w:right w:val="single" w:sz="4" w:space="0" w:color="auto"/>
            </w:tcBorders>
            <w:shd w:val="clear" w:color="auto" w:fill="auto"/>
            <w:noWrap/>
            <w:vAlign w:val="bottom"/>
            <w:hideMark/>
          </w:tcPr>
          <w:p w14:paraId="56ACBBF7"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272" w:type="dxa"/>
            <w:tcBorders>
              <w:top w:val="nil"/>
              <w:left w:val="nil"/>
              <w:bottom w:val="single" w:sz="4" w:space="0" w:color="auto"/>
              <w:right w:val="single" w:sz="4" w:space="0" w:color="auto"/>
            </w:tcBorders>
            <w:shd w:val="clear" w:color="auto" w:fill="auto"/>
            <w:noWrap/>
            <w:vAlign w:val="bottom"/>
            <w:hideMark/>
          </w:tcPr>
          <w:p w14:paraId="3BB3E2E6"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(3.621)</w:t>
            </w:r>
          </w:p>
        </w:tc>
      </w:tr>
      <w:tr w:rsidR="009C6488" w:rsidRPr="009C6488" w14:paraId="4DB405C8" w14:textId="77777777" w:rsidTr="00446A14">
        <w:trPr>
          <w:trHeight w:val="200"/>
        </w:trPr>
        <w:tc>
          <w:tcPr>
            <w:tcW w:w="4862" w:type="dxa"/>
            <w:tcBorders>
              <w:top w:val="nil"/>
              <w:left w:val="single" w:sz="4" w:space="0" w:color="auto"/>
              <w:bottom w:val="single" w:sz="4" w:space="0" w:color="auto"/>
              <w:right w:val="single" w:sz="4" w:space="0" w:color="auto"/>
            </w:tcBorders>
            <w:shd w:val="clear" w:color="auto" w:fill="auto"/>
            <w:noWrap/>
            <w:vAlign w:val="bottom"/>
            <w:hideMark/>
          </w:tcPr>
          <w:p w14:paraId="4CED38EC"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Receitas Financeiras</w:t>
            </w:r>
          </w:p>
        </w:tc>
        <w:tc>
          <w:tcPr>
            <w:tcW w:w="1054" w:type="dxa"/>
            <w:tcBorders>
              <w:top w:val="nil"/>
              <w:left w:val="nil"/>
              <w:bottom w:val="single" w:sz="4" w:space="0" w:color="auto"/>
              <w:right w:val="single" w:sz="4" w:space="0" w:color="auto"/>
            </w:tcBorders>
            <w:shd w:val="clear" w:color="auto" w:fill="auto"/>
            <w:noWrap/>
            <w:vAlign w:val="bottom"/>
            <w:hideMark/>
          </w:tcPr>
          <w:p w14:paraId="43ADA6F3"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58.758 </w:t>
            </w:r>
          </w:p>
        </w:tc>
        <w:tc>
          <w:tcPr>
            <w:tcW w:w="1406" w:type="dxa"/>
            <w:tcBorders>
              <w:top w:val="nil"/>
              <w:left w:val="nil"/>
              <w:bottom w:val="single" w:sz="4" w:space="0" w:color="auto"/>
              <w:right w:val="single" w:sz="4" w:space="0" w:color="auto"/>
            </w:tcBorders>
            <w:shd w:val="clear" w:color="auto" w:fill="auto"/>
            <w:noWrap/>
            <w:vAlign w:val="bottom"/>
            <w:hideMark/>
          </w:tcPr>
          <w:p w14:paraId="77EAA3B9"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179" w:type="dxa"/>
            <w:tcBorders>
              <w:top w:val="nil"/>
              <w:left w:val="nil"/>
              <w:bottom w:val="single" w:sz="4" w:space="0" w:color="auto"/>
              <w:right w:val="single" w:sz="4" w:space="0" w:color="auto"/>
            </w:tcBorders>
            <w:shd w:val="clear" w:color="auto" w:fill="auto"/>
            <w:noWrap/>
            <w:vAlign w:val="bottom"/>
            <w:hideMark/>
          </w:tcPr>
          <w:p w14:paraId="7F97DC2D"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272" w:type="dxa"/>
            <w:tcBorders>
              <w:top w:val="nil"/>
              <w:left w:val="nil"/>
              <w:bottom w:val="single" w:sz="4" w:space="0" w:color="auto"/>
              <w:right w:val="single" w:sz="4" w:space="0" w:color="auto"/>
            </w:tcBorders>
            <w:shd w:val="clear" w:color="auto" w:fill="auto"/>
            <w:noWrap/>
            <w:vAlign w:val="bottom"/>
            <w:hideMark/>
          </w:tcPr>
          <w:p w14:paraId="7FE6A0CE"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58.758 </w:t>
            </w:r>
          </w:p>
        </w:tc>
      </w:tr>
      <w:tr w:rsidR="009C6488" w:rsidRPr="009C6488" w14:paraId="75C94AEB" w14:textId="77777777" w:rsidTr="00446A14">
        <w:trPr>
          <w:trHeight w:val="200"/>
        </w:trPr>
        <w:tc>
          <w:tcPr>
            <w:tcW w:w="4862" w:type="dxa"/>
            <w:tcBorders>
              <w:top w:val="nil"/>
              <w:left w:val="single" w:sz="4" w:space="0" w:color="auto"/>
              <w:bottom w:val="single" w:sz="4" w:space="0" w:color="auto"/>
              <w:right w:val="single" w:sz="4" w:space="0" w:color="auto"/>
            </w:tcBorders>
            <w:shd w:val="clear" w:color="auto" w:fill="auto"/>
            <w:noWrap/>
            <w:vAlign w:val="bottom"/>
            <w:hideMark/>
          </w:tcPr>
          <w:p w14:paraId="0E4EA8BE"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Aluguéis</w:t>
            </w:r>
          </w:p>
        </w:tc>
        <w:tc>
          <w:tcPr>
            <w:tcW w:w="1054" w:type="dxa"/>
            <w:tcBorders>
              <w:top w:val="nil"/>
              <w:left w:val="nil"/>
              <w:bottom w:val="single" w:sz="4" w:space="0" w:color="auto"/>
              <w:right w:val="single" w:sz="4" w:space="0" w:color="auto"/>
            </w:tcBorders>
            <w:shd w:val="clear" w:color="auto" w:fill="auto"/>
            <w:noWrap/>
            <w:vAlign w:val="bottom"/>
            <w:hideMark/>
          </w:tcPr>
          <w:p w14:paraId="7AAC47C1"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54.090 </w:t>
            </w:r>
          </w:p>
        </w:tc>
        <w:tc>
          <w:tcPr>
            <w:tcW w:w="1406" w:type="dxa"/>
            <w:tcBorders>
              <w:top w:val="nil"/>
              <w:left w:val="nil"/>
              <w:bottom w:val="single" w:sz="4" w:space="0" w:color="auto"/>
              <w:right w:val="single" w:sz="4" w:space="0" w:color="auto"/>
            </w:tcBorders>
            <w:shd w:val="clear" w:color="auto" w:fill="auto"/>
            <w:noWrap/>
            <w:vAlign w:val="bottom"/>
            <w:hideMark/>
          </w:tcPr>
          <w:p w14:paraId="3E49A2EF"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179" w:type="dxa"/>
            <w:tcBorders>
              <w:top w:val="nil"/>
              <w:left w:val="nil"/>
              <w:bottom w:val="single" w:sz="4" w:space="0" w:color="auto"/>
              <w:right w:val="single" w:sz="4" w:space="0" w:color="auto"/>
            </w:tcBorders>
            <w:shd w:val="clear" w:color="auto" w:fill="auto"/>
            <w:noWrap/>
            <w:vAlign w:val="bottom"/>
            <w:hideMark/>
          </w:tcPr>
          <w:p w14:paraId="29FC935A"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272" w:type="dxa"/>
            <w:tcBorders>
              <w:top w:val="nil"/>
              <w:left w:val="nil"/>
              <w:bottom w:val="single" w:sz="4" w:space="0" w:color="auto"/>
              <w:right w:val="single" w:sz="4" w:space="0" w:color="auto"/>
            </w:tcBorders>
            <w:shd w:val="clear" w:color="auto" w:fill="auto"/>
            <w:noWrap/>
            <w:vAlign w:val="bottom"/>
            <w:hideMark/>
          </w:tcPr>
          <w:p w14:paraId="59ADA615"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54.090 </w:t>
            </w:r>
          </w:p>
        </w:tc>
      </w:tr>
      <w:tr w:rsidR="009C6488" w:rsidRPr="009C6488" w14:paraId="1E93475E" w14:textId="77777777" w:rsidTr="00446A14">
        <w:trPr>
          <w:trHeight w:val="200"/>
        </w:trPr>
        <w:tc>
          <w:tcPr>
            <w:tcW w:w="4862" w:type="dxa"/>
            <w:tcBorders>
              <w:top w:val="nil"/>
              <w:left w:val="single" w:sz="4" w:space="0" w:color="auto"/>
              <w:bottom w:val="single" w:sz="4" w:space="0" w:color="auto"/>
              <w:right w:val="single" w:sz="4" w:space="0" w:color="auto"/>
            </w:tcBorders>
            <w:shd w:val="clear" w:color="auto" w:fill="auto"/>
            <w:noWrap/>
            <w:vAlign w:val="bottom"/>
            <w:hideMark/>
          </w:tcPr>
          <w:p w14:paraId="464C0AAA"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Dividendos</w:t>
            </w:r>
          </w:p>
        </w:tc>
        <w:tc>
          <w:tcPr>
            <w:tcW w:w="1054" w:type="dxa"/>
            <w:tcBorders>
              <w:top w:val="nil"/>
              <w:left w:val="nil"/>
              <w:bottom w:val="single" w:sz="4" w:space="0" w:color="auto"/>
              <w:right w:val="single" w:sz="4" w:space="0" w:color="auto"/>
            </w:tcBorders>
            <w:shd w:val="clear" w:color="auto" w:fill="auto"/>
            <w:noWrap/>
            <w:vAlign w:val="bottom"/>
            <w:hideMark/>
          </w:tcPr>
          <w:p w14:paraId="6E41E7CF"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122 </w:t>
            </w:r>
          </w:p>
        </w:tc>
        <w:tc>
          <w:tcPr>
            <w:tcW w:w="1406" w:type="dxa"/>
            <w:tcBorders>
              <w:top w:val="nil"/>
              <w:left w:val="nil"/>
              <w:bottom w:val="single" w:sz="4" w:space="0" w:color="auto"/>
              <w:right w:val="single" w:sz="4" w:space="0" w:color="auto"/>
            </w:tcBorders>
            <w:shd w:val="clear" w:color="auto" w:fill="auto"/>
            <w:noWrap/>
            <w:vAlign w:val="bottom"/>
            <w:hideMark/>
          </w:tcPr>
          <w:p w14:paraId="7166D80C"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179" w:type="dxa"/>
            <w:tcBorders>
              <w:top w:val="nil"/>
              <w:left w:val="nil"/>
              <w:bottom w:val="single" w:sz="4" w:space="0" w:color="auto"/>
              <w:right w:val="single" w:sz="4" w:space="0" w:color="auto"/>
            </w:tcBorders>
            <w:shd w:val="clear" w:color="auto" w:fill="auto"/>
            <w:noWrap/>
            <w:vAlign w:val="bottom"/>
            <w:hideMark/>
          </w:tcPr>
          <w:p w14:paraId="117B3B46"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272" w:type="dxa"/>
            <w:tcBorders>
              <w:top w:val="nil"/>
              <w:left w:val="nil"/>
              <w:bottom w:val="single" w:sz="4" w:space="0" w:color="auto"/>
              <w:right w:val="single" w:sz="4" w:space="0" w:color="auto"/>
            </w:tcBorders>
            <w:shd w:val="clear" w:color="auto" w:fill="auto"/>
            <w:noWrap/>
            <w:vAlign w:val="bottom"/>
            <w:hideMark/>
          </w:tcPr>
          <w:p w14:paraId="3F9DAA19"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122 </w:t>
            </w:r>
          </w:p>
        </w:tc>
      </w:tr>
      <w:tr w:rsidR="009C6488" w:rsidRPr="009C6488" w14:paraId="328AC0FB" w14:textId="77777777" w:rsidTr="00446A14">
        <w:trPr>
          <w:trHeight w:val="200"/>
        </w:trPr>
        <w:tc>
          <w:tcPr>
            <w:tcW w:w="4862" w:type="dxa"/>
            <w:tcBorders>
              <w:top w:val="nil"/>
              <w:left w:val="single" w:sz="4" w:space="0" w:color="auto"/>
              <w:bottom w:val="single" w:sz="4" w:space="0" w:color="auto"/>
              <w:right w:val="single" w:sz="4" w:space="0" w:color="auto"/>
            </w:tcBorders>
            <w:shd w:val="clear" w:color="auto" w:fill="auto"/>
            <w:noWrap/>
            <w:vAlign w:val="bottom"/>
            <w:hideMark/>
          </w:tcPr>
          <w:p w14:paraId="1325A32A"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lastRenderedPageBreak/>
              <w:t xml:space="preserve"> Valor Adicionado Total a Distribuir</w:t>
            </w:r>
          </w:p>
        </w:tc>
        <w:tc>
          <w:tcPr>
            <w:tcW w:w="1054" w:type="dxa"/>
            <w:tcBorders>
              <w:top w:val="nil"/>
              <w:left w:val="nil"/>
              <w:bottom w:val="single" w:sz="4" w:space="0" w:color="auto"/>
              <w:right w:val="single" w:sz="4" w:space="0" w:color="auto"/>
            </w:tcBorders>
            <w:shd w:val="clear" w:color="auto" w:fill="auto"/>
            <w:noWrap/>
            <w:vAlign w:val="bottom"/>
            <w:hideMark/>
          </w:tcPr>
          <w:p w14:paraId="25F136B6"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207.556 </w:t>
            </w:r>
          </w:p>
        </w:tc>
        <w:tc>
          <w:tcPr>
            <w:tcW w:w="1406" w:type="dxa"/>
            <w:tcBorders>
              <w:top w:val="nil"/>
              <w:left w:val="nil"/>
              <w:bottom w:val="single" w:sz="4" w:space="0" w:color="auto"/>
              <w:right w:val="single" w:sz="4" w:space="0" w:color="auto"/>
            </w:tcBorders>
            <w:shd w:val="clear" w:color="auto" w:fill="auto"/>
            <w:noWrap/>
            <w:vAlign w:val="bottom"/>
            <w:hideMark/>
          </w:tcPr>
          <w:p w14:paraId="31CC9D4A"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(31.157)</w:t>
            </w:r>
          </w:p>
        </w:tc>
        <w:tc>
          <w:tcPr>
            <w:tcW w:w="1179" w:type="dxa"/>
            <w:tcBorders>
              <w:top w:val="nil"/>
              <w:left w:val="nil"/>
              <w:bottom w:val="single" w:sz="4" w:space="0" w:color="auto"/>
              <w:right w:val="single" w:sz="4" w:space="0" w:color="auto"/>
            </w:tcBorders>
            <w:shd w:val="clear" w:color="auto" w:fill="auto"/>
            <w:noWrap/>
            <w:vAlign w:val="bottom"/>
            <w:hideMark/>
          </w:tcPr>
          <w:p w14:paraId="11BAEA11"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                        - </w:t>
            </w:r>
          </w:p>
        </w:tc>
        <w:tc>
          <w:tcPr>
            <w:tcW w:w="1272" w:type="dxa"/>
            <w:tcBorders>
              <w:top w:val="nil"/>
              <w:left w:val="nil"/>
              <w:bottom w:val="single" w:sz="4" w:space="0" w:color="auto"/>
              <w:right w:val="single" w:sz="4" w:space="0" w:color="auto"/>
            </w:tcBorders>
            <w:shd w:val="clear" w:color="auto" w:fill="auto"/>
            <w:noWrap/>
            <w:vAlign w:val="bottom"/>
            <w:hideMark/>
          </w:tcPr>
          <w:p w14:paraId="4AB23AE8"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176.399 </w:t>
            </w:r>
          </w:p>
        </w:tc>
      </w:tr>
      <w:tr w:rsidR="009C6488" w:rsidRPr="009C6488" w14:paraId="2BCF4E1A" w14:textId="77777777" w:rsidTr="00446A14">
        <w:trPr>
          <w:trHeight w:val="200"/>
        </w:trPr>
        <w:tc>
          <w:tcPr>
            <w:tcW w:w="4862" w:type="dxa"/>
            <w:tcBorders>
              <w:top w:val="nil"/>
              <w:left w:val="single" w:sz="4" w:space="0" w:color="auto"/>
              <w:bottom w:val="single" w:sz="4" w:space="0" w:color="auto"/>
              <w:right w:val="single" w:sz="4" w:space="0" w:color="auto"/>
            </w:tcBorders>
            <w:shd w:val="clear" w:color="auto" w:fill="auto"/>
            <w:noWrap/>
            <w:vAlign w:val="bottom"/>
            <w:hideMark/>
          </w:tcPr>
          <w:p w14:paraId="101A29D7"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Distribuição do Valor Adicionado</w:t>
            </w:r>
          </w:p>
        </w:tc>
        <w:tc>
          <w:tcPr>
            <w:tcW w:w="1054" w:type="dxa"/>
            <w:tcBorders>
              <w:top w:val="nil"/>
              <w:left w:val="nil"/>
              <w:bottom w:val="single" w:sz="4" w:space="0" w:color="auto"/>
              <w:right w:val="single" w:sz="4" w:space="0" w:color="auto"/>
            </w:tcBorders>
            <w:shd w:val="clear" w:color="auto" w:fill="auto"/>
            <w:noWrap/>
            <w:vAlign w:val="bottom"/>
            <w:hideMark/>
          </w:tcPr>
          <w:p w14:paraId="56C3C99D"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207.556 </w:t>
            </w:r>
          </w:p>
        </w:tc>
        <w:tc>
          <w:tcPr>
            <w:tcW w:w="1406" w:type="dxa"/>
            <w:tcBorders>
              <w:top w:val="nil"/>
              <w:left w:val="nil"/>
              <w:bottom w:val="single" w:sz="4" w:space="0" w:color="auto"/>
              <w:right w:val="single" w:sz="4" w:space="0" w:color="auto"/>
            </w:tcBorders>
            <w:shd w:val="clear" w:color="auto" w:fill="auto"/>
            <w:noWrap/>
            <w:vAlign w:val="bottom"/>
            <w:hideMark/>
          </w:tcPr>
          <w:p w14:paraId="301A61D4"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                              - </w:t>
            </w:r>
          </w:p>
        </w:tc>
        <w:tc>
          <w:tcPr>
            <w:tcW w:w="1179" w:type="dxa"/>
            <w:tcBorders>
              <w:top w:val="nil"/>
              <w:left w:val="nil"/>
              <w:bottom w:val="single" w:sz="4" w:space="0" w:color="auto"/>
              <w:right w:val="single" w:sz="4" w:space="0" w:color="auto"/>
            </w:tcBorders>
            <w:shd w:val="clear" w:color="auto" w:fill="auto"/>
            <w:noWrap/>
            <w:vAlign w:val="bottom"/>
            <w:hideMark/>
          </w:tcPr>
          <w:p w14:paraId="7F27DB07"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197 </w:t>
            </w:r>
          </w:p>
        </w:tc>
        <w:tc>
          <w:tcPr>
            <w:tcW w:w="1272" w:type="dxa"/>
            <w:tcBorders>
              <w:top w:val="nil"/>
              <w:left w:val="nil"/>
              <w:bottom w:val="single" w:sz="4" w:space="0" w:color="auto"/>
              <w:right w:val="single" w:sz="4" w:space="0" w:color="auto"/>
            </w:tcBorders>
            <w:shd w:val="clear" w:color="auto" w:fill="auto"/>
            <w:noWrap/>
            <w:vAlign w:val="bottom"/>
            <w:hideMark/>
          </w:tcPr>
          <w:p w14:paraId="370A93A7"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176.399 </w:t>
            </w:r>
          </w:p>
        </w:tc>
      </w:tr>
      <w:tr w:rsidR="009C6488" w:rsidRPr="009C6488" w14:paraId="6AD6B1AE" w14:textId="77777777" w:rsidTr="00446A14">
        <w:trPr>
          <w:trHeight w:val="200"/>
        </w:trPr>
        <w:tc>
          <w:tcPr>
            <w:tcW w:w="4862" w:type="dxa"/>
            <w:tcBorders>
              <w:top w:val="nil"/>
              <w:left w:val="single" w:sz="4" w:space="0" w:color="auto"/>
              <w:bottom w:val="single" w:sz="4" w:space="0" w:color="auto"/>
              <w:right w:val="single" w:sz="4" w:space="0" w:color="auto"/>
            </w:tcBorders>
            <w:shd w:val="clear" w:color="auto" w:fill="auto"/>
            <w:noWrap/>
            <w:vAlign w:val="bottom"/>
            <w:hideMark/>
          </w:tcPr>
          <w:p w14:paraId="4AF40C84"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Empregados</w:t>
            </w:r>
          </w:p>
        </w:tc>
        <w:tc>
          <w:tcPr>
            <w:tcW w:w="1054" w:type="dxa"/>
            <w:tcBorders>
              <w:top w:val="nil"/>
              <w:left w:val="nil"/>
              <w:bottom w:val="single" w:sz="4" w:space="0" w:color="auto"/>
              <w:right w:val="single" w:sz="4" w:space="0" w:color="auto"/>
            </w:tcBorders>
            <w:shd w:val="clear" w:color="auto" w:fill="auto"/>
            <w:noWrap/>
            <w:vAlign w:val="bottom"/>
            <w:hideMark/>
          </w:tcPr>
          <w:p w14:paraId="0F911253"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99.350 </w:t>
            </w:r>
          </w:p>
        </w:tc>
        <w:tc>
          <w:tcPr>
            <w:tcW w:w="1406" w:type="dxa"/>
            <w:tcBorders>
              <w:top w:val="nil"/>
              <w:left w:val="nil"/>
              <w:bottom w:val="single" w:sz="4" w:space="0" w:color="auto"/>
              <w:right w:val="single" w:sz="4" w:space="0" w:color="auto"/>
            </w:tcBorders>
            <w:shd w:val="clear" w:color="auto" w:fill="auto"/>
            <w:noWrap/>
            <w:vAlign w:val="bottom"/>
            <w:hideMark/>
          </w:tcPr>
          <w:p w14:paraId="4B78C2FB"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                              - </w:t>
            </w:r>
          </w:p>
        </w:tc>
        <w:tc>
          <w:tcPr>
            <w:tcW w:w="1179" w:type="dxa"/>
            <w:tcBorders>
              <w:top w:val="nil"/>
              <w:left w:val="nil"/>
              <w:bottom w:val="single" w:sz="4" w:space="0" w:color="auto"/>
              <w:right w:val="single" w:sz="4" w:space="0" w:color="auto"/>
            </w:tcBorders>
            <w:shd w:val="clear" w:color="auto" w:fill="auto"/>
            <w:noWrap/>
            <w:vAlign w:val="bottom"/>
            <w:hideMark/>
          </w:tcPr>
          <w:p w14:paraId="72DD064D"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                        - </w:t>
            </w:r>
          </w:p>
        </w:tc>
        <w:tc>
          <w:tcPr>
            <w:tcW w:w="1272" w:type="dxa"/>
            <w:tcBorders>
              <w:top w:val="nil"/>
              <w:left w:val="nil"/>
              <w:bottom w:val="single" w:sz="4" w:space="0" w:color="auto"/>
              <w:right w:val="single" w:sz="4" w:space="0" w:color="auto"/>
            </w:tcBorders>
            <w:shd w:val="clear" w:color="auto" w:fill="auto"/>
            <w:noWrap/>
            <w:vAlign w:val="bottom"/>
            <w:hideMark/>
          </w:tcPr>
          <w:p w14:paraId="2447A020"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99.350 </w:t>
            </w:r>
          </w:p>
        </w:tc>
      </w:tr>
      <w:tr w:rsidR="009C6488" w:rsidRPr="009C6488" w14:paraId="25EB86D4" w14:textId="77777777" w:rsidTr="00446A14">
        <w:trPr>
          <w:trHeight w:val="200"/>
        </w:trPr>
        <w:tc>
          <w:tcPr>
            <w:tcW w:w="4862" w:type="dxa"/>
            <w:tcBorders>
              <w:top w:val="nil"/>
              <w:left w:val="single" w:sz="4" w:space="0" w:color="auto"/>
              <w:bottom w:val="single" w:sz="4" w:space="0" w:color="auto"/>
              <w:right w:val="single" w:sz="4" w:space="0" w:color="auto"/>
            </w:tcBorders>
            <w:shd w:val="clear" w:color="auto" w:fill="auto"/>
            <w:noWrap/>
            <w:vAlign w:val="bottom"/>
            <w:hideMark/>
          </w:tcPr>
          <w:p w14:paraId="496B5A0B"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Remuneração Direta</w:t>
            </w:r>
          </w:p>
        </w:tc>
        <w:tc>
          <w:tcPr>
            <w:tcW w:w="1054" w:type="dxa"/>
            <w:tcBorders>
              <w:top w:val="nil"/>
              <w:left w:val="nil"/>
              <w:bottom w:val="single" w:sz="4" w:space="0" w:color="auto"/>
              <w:right w:val="single" w:sz="4" w:space="0" w:color="auto"/>
            </w:tcBorders>
            <w:shd w:val="clear" w:color="auto" w:fill="auto"/>
            <w:noWrap/>
            <w:vAlign w:val="bottom"/>
            <w:hideMark/>
          </w:tcPr>
          <w:p w14:paraId="366A3F53"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60.565 </w:t>
            </w:r>
          </w:p>
        </w:tc>
        <w:tc>
          <w:tcPr>
            <w:tcW w:w="1406" w:type="dxa"/>
            <w:tcBorders>
              <w:top w:val="nil"/>
              <w:left w:val="nil"/>
              <w:bottom w:val="single" w:sz="4" w:space="0" w:color="auto"/>
              <w:right w:val="single" w:sz="4" w:space="0" w:color="auto"/>
            </w:tcBorders>
            <w:shd w:val="clear" w:color="auto" w:fill="auto"/>
            <w:noWrap/>
            <w:vAlign w:val="bottom"/>
            <w:hideMark/>
          </w:tcPr>
          <w:p w14:paraId="250C1923"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179" w:type="dxa"/>
            <w:tcBorders>
              <w:top w:val="nil"/>
              <w:left w:val="nil"/>
              <w:bottom w:val="single" w:sz="4" w:space="0" w:color="auto"/>
              <w:right w:val="single" w:sz="4" w:space="0" w:color="auto"/>
            </w:tcBorders>
            <w:shd w:val="clear" w:color="auto" w:fill="auto"/>
            <w:noWrap/>
            <w:vAlign w:val="bottom"/>
            <w:hideMark/>
          </w:tcPr>
          <w:p w14:paraId="5C2D2037" w14:textId="77777777" w:rsidR="009C6488" w:rsidRPr="009C6488" w:rsidRDefault="009C6488" w:rsidP="009C6488">
            <w:pPr>
              <w:spacing w:after="0" w:line="240" w:lineRule="auto"/>
              <w:jc w:val="center"/>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272" w:type="dxa"/>
            <w:tcBorders>
              <w:top w:val="nil"/>
              <w:left w:val="nil"/>
              <w:bottom w:val="single" w:sz="4" w:space="0" w:color="auto"/>
              <w:right w:val="single" w:sz="4" w:space="0" w:color="auto"/>
            </w:tcBorders>
            <w:shd w:val="clear" w:color="auto" w:fill="auto"/>
            <w:noWrap/>
            <w:vAlign w:val="bottom"/>
            <w:hideMark/>
          </w:tcPr>
          <w:p w14:paraId="4A39C947"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60.565 </w:t>
            </w:r>
          </w:p>
        </w:tc>
      </w:tr>
      <w:tr w:rsidR="009C6488" w:rsidRPr="009C6488" w14:paraId="1CAA72B8" w14:textId="77777777" w:rsidTr="00446A14">
        <w:trPr>
          <w:trHeight w:val="200"/>
        </w:trPr>
        <w:tc>
          <w:tcPr>
            <w:tcW w:w="4862" w:type="dxa"/>
            <w:tcBorders>
              <w:top w:val="nil"/>
              <w:left w:val="single" w:sz="4" w:space="0" w:color="auto"/>
              <w:bottom w:val="single" w:sz="4" w:space="0" w:color="auto"/>
              <w:right w:val="single" w:sz="4" w:space="0" w:color="auto"/>
            </w:tcBorders>
            <w:shd w:val="clear" w:color="auto" w:fill="auto"/>
            <w:noWrap/>
            <w:vAlign w:val="bottom"/>
            <w:hideMark/>
          </w:tcPr>
          <w:p w14:paraId="57A04B48"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FGTS</w:t>
            </w:r>
          </w:p>
        </w:tc>
        <w:tc>
          <w:tcPr>
            <w:tcW w:w="1054" w:type="dxa"/>
            <w:tcBorders>
              <w:top w:val="nil"/>
              <w:left w:val="nil"/>
              <w:bottom w:val="single" w:sz="4" w:space="0" w:color="auto"/>
              <w:right w:val="single" w:sz="4" w:space="0" w:color="auto"/>
            </w:tcBorders>
            <w:shd w:val="clear" w:color="auto" w:fill="auto"/>
            <w:noWrap/>
            <w:vAlign w:val="bottom"/>
            <w:hideMark/>
          </w:tcPr>
          <w:p w14:paraId="3B74E1F2"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5.727 </w:t>
            </w:r>
          </w:p>
        </w:tc>
        <w:tc>
          <w:tcPr>
            <w:tcW w:w="1406" w:type="dxa"/>
            <w:tcBorders>
              <w:top w:val="nil"/>
              <w:left w:val="nil"/>
              <w:bottom w:val="single" w:sz="4" w:space="0" w:color="auto"/>
              <w:right w:val="single" w:sz="4" w:space="0" w:color="auto"/>
            </w:tcBorders>
            <w:shd w:val="clear" w:color="auto" w:fill="auto"/>
            <w:noWrap/>
            <w:vAlign w:val="bottom"/>
            <w:hideMark/>
          </w:tcPr>
          <w:p w14:paraId="0E0CE41F"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179" w:type="dxa"/>
            <w:tcBorders>
              <w:top w:val="nil"/>
              <w:left w:val="nil"/>
              <w:bottom w:val="single" w:sz="4" w:space="0" w:color="auto"/>
              <w:right w:val="single" w:sz="4" w:space="0" w:color="auto"/>
            </w:tcBorders>
            <w:shd w:val="clear" w:color="auto" w:fill="auto"/>
            <w:noWrap/>
            <w:vAlign w:val="bottom"/>
            <w:hideMark/>
          </w:tcPr>
          <w:p w14:paraId="1F983F9F" w14:textId="77777777" w:rsidR="009C6488" w:rsidRPr="009C6488" w:rsidRDefault="009C6488" w:rsidP="009C6488">
            <w:pPr>
              <w:spacing w:after="0" w:line="240" w:lineRule="auto"/>
              <w:jc w:val="center"/>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272" w:type="dxa"/>
            <w:tcBorders>
              <w:top w:val="nil"/>
              <w:left w:val="nil"/>
              <w:bottom w:val="single" w:sz="4" w:space="0" w:color="auto"/>
              <w:right w:val="single" w:sz="4" w:space="0" w:color="auto"/>
            </w:tcBorders>
            <w:shd w:val="clear" w:color="auto" w:fill="auto"/>
            <w:noWrap/>
            <w:vAlign w:val="bottom"/>
            <w:hideMark/>
          </w:tcPr>
          <w:p w14:paraId="2ECD7FBE"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5.727 </w:t>
            </w:r>
          </w:p>
        </w:tc>
      </w:tr>
      <w:tr w:rsidR="009C6488" w:rsidRPr="009C6488" w14:paraId="1EA59458" w14:textId="77777777" w:rsidTr="00446A14">
        <w:trPr>
          <w:trHeight w:val="200"/>
        </w:trPr>
        <w:tc>
          <w:tcPr>
            <w:tcW w:w="4862" w:type="dxa"/>
            <w:tcBorders>
              <w:top w:val="nil"/>
              <w:left w:val="single" w:sz="4" w:space="0" w:color="auto"/>
              <w:bottom w:val="single" w:sz="4" w:space="0" w:color="auto"/>
              <w:right w:val="single" w:sz="4" w:space="0" w:color="auto"/>
            </w:tcBorders>
            <w:shd w:val="clear" w:color="auto" w:fill="auto"/>
            <w:noWrap/>
            <w:vAlign w:val="bottom"/>
            <w:hideMark/>
          </w:tcPr>
          <w:p w14:paraId="51FFB663"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Benefícios Sociais</w:t>
            </w:r>
          </w:p>
        </w:tc>
        <w:tc>
          <w:tcPr>
            <w:tcW w:w="1054" w:type="dxa"/>
            <w:tcBorders>
              <w:top w:val="nil"/>
              <w:left w:val="nil"/>
              <w:bottom w:val="single" w:sz="4" w:space="0" w:color="auto"/>
              <w:right w:val="single" w:sz="4" w:space="0" w:color="auto"/>
            </w:tcBorders>
            <w:shd w:val="clear" w:color="auto" w:fill="auto"/>
            <w:noWrap/>
            <w:vAlign w:val="bottom"/>
            <w:hideMark/>
          </w:tcPr>
          <w:p w14:paraId="5A04E0FC"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12.479 </w:t>
            </w:r>
          </w:p>
        </w:tc>
        <w:tc>
          <w:tcPr>
            <w:tcW w:w="1406" w:type="dxa"/>
            <w:tcBorders>
              <w:top w:val="nil"/>
              <w:left w:val="nil"/>
              <w:bottom w:val="single" w:sz="4" w:space="0" w:color="auto"/>
              <w:right w:val="single" w:sz="4" w:space="0" w:color="auto"/>
            </w:tcBorders>
            <w:shd w:val="clear" w:color="auto" w:fill="auto"/>
            <w:noWrap/>
            <w:vAlign w:val="bottom"/>
            <w:hideMark/>
          </w:tcPr>
          <w:p w14:paraId="08380867"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179" w:type="dxa"/>
            <w:tcBorders>
              <w:top w:val="nil"/>
              <w:left w:val="nil"/>
              <w:bottom w:val="single" w:sz="4" w:space="0" w:color="auto"/>
              <w:right w:val="single" w:sz="4" w:space="0" w:color="auto"/>
            </w:tcBorders>
            <w:shd w:val="clear" w:color="auto" w:fill="auto"/>
            <w:noWrap/>
            <w:vAlign w:val="bottom"/>
            <w:hideMark/>
          </w:tcPr>
          <w:p w14:paraId="68A71DA0" w14:textId="77777777" w:rsidR="009C6488" w:rsidRPr="009C6488" w:rsidRDefault="009C6488" w:rsidP="009C6488">
            <w:pPr>
              <w:spacing w:after="0" w:line="240" w:lineRule="auto"/>
              <w:jc w:val="center"/>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272" w:type="dxa"/>
            <w:tcBorders>
              <w:top w:val="nil"/>
              <w:left w:val="nil"/>
              <w:bottom w:val="single" w:sz="4" w:space="0" w:color="auto"/>
              <w:right w:val="single" w:sz="4" w:space="0" w:color="auto"/>
            </w:tcBorders>
            <w:shd w:val="clear" w:color="auto" w:fill="auto"/>
            <w:noWrap/>
            <w:vAlign w:val="bottom"/>
            <w:hideMark/>
          </w:tcPr>
          <w:p w14:paraId="6E286487"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12.479 </w:t>
            </w:r>
          </w:p>
        </w:tc>
      </w:tr>
      <w:tr w:rsidR="009C6488" w:rsidRPr="009C6488" w14:paraId="480582E2" w14:textId="77777777" w:rsidTr="00446A14">
        <w:trPr>
          <w:trHeight w:val="200"/>
        </w:trPr>
        <w:tc>
          <w:tcPr>
            <w:tcW w:w="4862" w:type="dxa"/>
            <w:tcBorders>
              <w:top w:val="nil"/>
              <w:left w:val="single" w:sz="4" w:space="0" w:color="auto"/>
              <w:bottom w:val="single" w:sz="4" w:space="0" w:color="auto"/>
              <w:right w:val="single" w:sz="4" w:space="0" w:color="auto"/>
            </w:tcBorders>
            <w:shd w:val="clear" w:color="auto" w:fill="auto"/>
            <w:noWrap/>
            <w:vAlign w:val="bottom"/>
            <w:hideMark/>
          </w:tcPr>
          <w:p w14:paraId="5138ACD7"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Outros Encargos Sociais</w:t>
            </w:r>
          </w:p>
        </w:tc>
        <w:tc>
          <w:tcPr>
            <w:tcW w:w="1054" w:type="dxa"/>
            <w:tcBorders>
              <w:top w:val="nil"/>
              <w:left w:val="nil"/>
              <w:bottom w:val="single" w:sz="4" w:space="0" w:color="auto"/>
              <w:right w:val="single" w:sz="4" w:space="0" w:color="auto"/>
            </w:tcBorders>
            <w:shd w:val="clear" w:color="auto" w:fill="auto"/>
            <w:noWrap/>
            <w:vAlign w:val="bottom"/>
            <w:hideMark/>
          </w:tcPr>
          <w:p w14:paraId="064B88C7"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18.807 </w:t>
            </w:r>
          </w:p>
        </w:tc>
        <w:tc>
          <w:tcPr>
            <w:tcW w:w="1406" w:type="dxa"/>
            <w:tcBorders>
              <w:top w:val="nil"/>
              <w:left w:val="nil"/>
              <w:bottom w:val="single" w:sz="4" w:space="0" w:color="auto"/>
              <w:right w:val="single" w:sz="4" w:space="0" w:color="auto"/>
            </w:tcBorders>
            <w:shd w:val="clear" w:color="auto" w:fill="auto"/>
            <w:noWrap/>
            <w:vAlign w:val="bottom"/>
            <w:hideMark/>
          </w:tcPr>
          <w:p w14:paraId="1ACAF783"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179" w:type="dxa"/>
            <w:tcBorders>
              <w:top w:val="nil"/>
              <w:left w:val="nil"/>
              <w:bottom w:val="single" w:sz="4" w:space="0" w:color="auto"/>
              <w:right w:val="single" w:sz="4" w:space="0" w:color="auto"/>
            </w:tcBorders>
            <w:shd w:val="clear" w:color="auto" w:fill="auto"/>
            <w:noWrap/>
            <w:vAlign w:val="bottom"/>
            <w:hideMark/>
          </w:tcPr>
          <w:p w14:paraId="77861F6C" w14:textId="77777777" w:rsidR="009C6488" w:rsidRPr="009C6488" w:rsidRDefault="009C6488" w:rsidP="009C6488">
            <w:pPr>
              <w:spacing w:after="0" w:line="240" w:lineRule="auto"/>
              <w:jc w:val="center"/>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272" w:type="dxa"/>
            <w:tcBorders>
              <w:top w:val="nil"/>
              <w:left w:val="nil"/>
              <w:bottom w:val="single" w:sz="4" w:space="0" w:color="auto"/>
              <w:right w:val="single" w:sz="4" w:space="0" w:color="auto"/>
            </w:tcBorders>
            <w:shd w:val="clear" w:color="auto" w:fill="auto"/>
            <w:noWrap/>
            <w:vAlign w:val="bottom"/>
            <w:hideMark/>
          </w:tcPr>
          <w:p w14:paraId="6F707355"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18.807 </w:t>
            </w:r>
          </w:p>
        </w:tc>
      </w:tr>
      <w:tr w:rsidR="009C6488" w:rsidRPr="009C6488" w14:paraId="21B13EBC" w14:textId="77777777" w:rsidTr="00446A14">
        <w:trPr>
          <w:trHeight w:val="200"/>
        </w:trPr>
        <w:tc>
          <w:tcPr>
            <w:tcW w:w="4862" w:type="dxa"/>
            <w:tcBorders>
              <w:top w:val="nil"/>
              <w:left w:val="single" w:sz="4" w:space="0" w:color="auto"/>
              <w:bottom w:val="single" w:sz="4" w:space="0" w:color="auto"/>
              <w:right w:val="single" w:sz="4" w:space="0" w:color="auto"/>
            </w:tcBorders>
            <w:shd w:val="clear" w:color="auto" w:fill="auto"/>
            <w:noWrap/>
            <w:vAlign w:val="bottom"/>
            <w:hideMark/>
          </w:tcPr>
          <w:p w14:paraId="167AED73"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Programa de Indenização por Serviços Prestados</w:t>
            </w:r>
          </w:p>
        </w:tc>
        <w:tc>
          <w:tcPr>
            <w:tcW w:w="1054" w:type="dxa"/>
            <w:tcBorders>
              <w:top w:val="nil"/>
              <w:left w:val="nil"/>
              <w:bottom w:val="single" w:sz="4" w:space="0" w:color="auto"/>
              <w:right w:val="single" w:sz="4" w:space="0" w:color="auto"/>
            </w:tcBorders>
            <w:shd w:val="clear" w:color="auto" w:fill="auto"/>
            <w:noWrap/>
            <w:vAlign w:val="bottom"/>
            <w:hideMark/>
          </w:tcPr>
          <w:p w14:paraId="04F403FC"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854 </w:t>
            </w:r>
          </w:p>
        </w:tc>
        <w:tc>
          <w:tcPr>
            <w:tcW w:w="1406" w:type="dxa"/>
            <w:tcBorders>
              <w:top w:val="nil"/>
              <w:left w:val="nil"/>
              <w:bottom w:val="single" w:sz="4" w:space="0" w:color="auto"/>
              <w:right w:val="single" w:sz="4" w:space="0" w:color="auto"/>
            </w:tcBorders>
            <w:shd w:val="clear" w:color="auto" w:fill="auto"/>
            <w:noWrap/>
            <w:vAlign w:val="bottom"/>
            <w:hideMark/>
          </w:tcPr>
          <w:p w14:paraId="20499EA9"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179" w:type="dxa"/>
            <w:tcBorders>
              <w:top w:val="nil"/>
              <w:left w:val="nil"/>
              <w:bottom w:val="single" w:sz="4" w:space="0" w:color="auto"/>
              <w:right w:val="single" w:sz="4" w:space="0" w:color="auto"/>
            </w:tcBorders>
            <w:shd w:val="clear" w:color="auto" w:fill="auto"/>
            <w:noWrap/>
            <w:vAlign w:val="bottom"/>
            <w:hideMark/>
          </w:tcPr>
          <w:p w14:paraId="43587124" w14:textId="77777777" w:rsidR="009C6488" w:rsidRPr="009C6488" w:rsidRDefault="009C6488" w:rsidP="009C6488">
            <w:pPr>
              <w:spacing w:after="0" w:line="240" w:lineRule="auto"/>
              <w:jc w:val="center"/>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272" w:type="dxa"/>
            <w:tcBorders>
              <w:top w:val="nil"/>
              <w:left w:val="nil"/>
              <w:bottom w:val="single" w:sz="4" w:space="0" w:color="auto"/>
              <w:right w:val="single" w:sz="4" w:space="0" w:color="auto"/>
            </w:tcBorders>
            <w:shd w:val="clear" w:color="auto" w:fill="auto"/>
            <w:noWrap/>
            <w:vAlign w:val="bottom"/>
            <w:hideMark/>
          </w:tcPr>
          <w:p w14:paraId="32F95150"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854 </w:t>
            </w:r>
          </w:p>
        </w:tc>
      </w:tr>
      <w:tr w:rsidR="009C6488" w:rsidRPr="009C6488" w14:paraId="2BB98F26" w14:textId="77777777" w:rsidTr="00446A14">
        <w:trPr>
          <w:trHeight w:val="200"/>
        </w:trPr>
        <w:tc>
          <w:tcPr>
            <w:tcW w:w="4862" w:type="dxa"/>
            <w:tcBorders>
              <w:top w:val="nil"/>
              <w:left w:val="single" w:sz="4" w:space="0" w:color="auto"/>
              <w:bottom w:val="single" w:sz="4" w:space="0" w:color="auto"/>
              <w:right w:val="single" w:sz="4" w:space="0" w:color="auto"/>
            </w:tcBorders>
            <w:shd w:val="clear" w:color="auto" w:fill="auto"/>
            <w:noWrap/>
            <w:vAlign w:val="bottom"/>
            <w:hideMark/>
          </w:tcPr>
          <w:p w14:paraId="27C06F84"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Mão-de-Obra Temporária - Serviços Prestados - PF</w:t>
            </w:r>
          </w:p>
        </w:tc>
        <w:tc>
          <w:tcPr>
            <w:tcW w:w="1054" w:type="dxa"/>
            <w:tcBorders>
              <w:top w:val="nil"/>
              <w:left w:val="nil"/>
              <w:bottom w:val="single" w:sz="4" w:space="0" w:color="auto"/>
              <w:right w:val="single" w:sz="4" w:space="0" w:color="auto"/>
            </w:tcBorders>
            <w:shd w:val="clear" w:color="auto" w:fill="auto"/>
            <w:noWrap/>
            <w:vAlign w:val="bottom"/>
            <w:hideMark/>
          </w:tcPr>
          <w:p w14:paraId="1C82DDCB"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918 </w:t>
            </w:r>
          </w:p>
        </w:tc>
        <w:tc>
          <w:tcPr>
            <w:tcW w:w="1406" w:type="dxa"/>
            <w:tcBorders>
              <w:top w:val="nil"/>
              <w:left w:val="nil"/>
              <w:bottom w:val="single" w:sz="4" w:space="0" w:color="auto"/>
              <w:right w:val="single" w:sz="4" w:space="0" w:color="auto"/>
            </w:tcBorders>
            <w:shd w:val="clear" w:color="auto" w:fill="auto"/>
            <w:noWrap/>
            <w:vAlign w:val="bottom"/>
            <w:hideMark/>
          </w:tcPr>
          <w:p w14:paraId="6383691E"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179" w:type="dxa"/>
            <w:tcBorders>
              <w:top w:val="nil"/>
              <w:left w:val="nil"/>
              <w:bottom w:val="single" w:sz="4" w:space="0" w:color="auto"/>
              <w:right w:val="single" w:sz="4" w:space="0" w:color="auto"/>
            </w:tcBorders>
            <w:shd w:val="clear" w:color="auto" w:fill="auto"/>
            <w:noWrap/>
            <w:vAlign w:val="bottom"/>
            <w:hideMark/>
          </w:tcPr>
          <w:p w14:paraId="4364A2D4" w14:textId="77777777" w:rsidR="009C6488" w:rsidRPr="009C6488" w:rsidRDefault="009C6488" w:rsidP="009C6488">
            <w:pPr>
              <w:spacing w:after="0" w:line="240" w:lineRule="auto"/>
              <w:jc w:val="center"/>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272" w:type="dxa"/>
            <w:tcBorders>
              <w:top w:val="nil"/>
              <w:left w:val="nil"/>
              <w:bottom w:val="single" w:sz="4" w:space="0" w:color="auto"/>
              <w:right w:val="single" w:sz="4" w:space="0" w:color="auto"/>
            </w:tcBorders>
            <w:shd w:val="clear" w:color="auto" w:fill="auto"/>
            <w:noWrap/>
            <w:vAlign w:val="bottom"/>
            <w:hideMark/>
          </w:tcPr>
          <w:p w14:paraId="06C76D52"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918 </w:t>
            </w:r>
          </w:p>
        </w:tc>
      </w:tr>
      <w:tr w:rsidR="009C6488" w:rsidRPr="009C6488" w14:paraId="4FAAA636" w14:textId="77777777" w:rsidTr="00446A14">
        <w:trPr>
          <w:trHeight w:val="200"/>
        </w:trPr>
        <w:tc>
          <w:tcPr>
            <w:tcW w:w="4862" w:type="dxa"/>
            <w:tcBorders>
              <w:top w:val="nil"/>
              <w:left w:val="single" w:sz="4" w:space="0" w:color="auto"/>
              <w:bottom w:val="single" w:sz="4" w:space="0" w:color="auto"/>
              <w:right w:val="single" w:sz="4" w:space="0" w:color="auto"/>
            </w:tcBorders>
            <w:shd w:val="clear" w:color="auto" w:fill="auto"/>
            <w:noWrap/>
            <w:vAlign w:val="bottom"/>
            <w:hideMark/>
          </w:tcPr>
          <w:p w14:paraId="08B56CAA"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Impostos, Taxas e Contribuições</w:t>
            </w:r>
          </w:p>
        </w:tc>
        <w:tc>
          <w:tcPr>
            <w:tcW w:w="1054" w:type="dxa"/>
            <w:tcBorders>
              <w:top w:val="nil"/>
              <w:left w:val="nil"/>
              <w:bottom w:val="single" w:sz="4" w:space="0" w:color="auto"/>
              <w:right w:val="single" w:sz="4" w:space="0" w:color="auto"/>
            </w:tcBorders>
            <w:shd w:val="clear" w:color="auto" w:fill="auto"/>
            <w:noWrap/>
            <w:vAlign w:val="bottom"/>
            <w:hideMark/>
          </w:tcPr>
          <w:p w14:paraId="331670A7"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77.962 </w:t>
            </w:r>
          </w:p>
        </w:tc>
        <w:tc>
          <w:tcPr>
            <w:tcW w:w="1406" w:type="dxa"/>
            <w:tcBorders>
              <w:top w:val="nil"/>
              <w:left w:val="nil"/>
              <w:bottom w:val="single" w:sz="4" w:space="0" w:color="auto"/>
              <w:right w:val="single" w:sz="4" w:space="0" w:color="auto"/>
            </w:tcBorders>
            <w:shd w:val="clear" w:color="auto" w:fill="auto"/>
            <w:noWrap/>
            <w:vAlign w:val="bottom"/>
            <w:hideMark/>
          </w:tcPr>
          <w:p w14:paraId="7EEC87A9"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                              - </w:t>
            </w:r>
          </w:p>
        </w:tc>
        <w:tc>
          <w:tcPr>
            <w:tcW w:w="1179" w:type="dxa"/>
            <w:tcBorders>
              <w:top w:val="nil"/>
              <w:left w:val="nil"/>
              <w:bottom w:val="single" w:sz="4" w:space="0" w:color="auto"/>
              <w:right w:val="single" w:sz="4" w:space="0" w:color="auto"/>
            </w:tcBorders>
            <w:shd w:val="clear" w:color="auto" w:fill="auto"/>
            <w:noWrap/>
            <w:vAlign w:val="bottom"/>
            <w:hideMark/>
          </w:tcPr>
          <w:p w14:paraId="531D6C28"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                        - </w:t>
            </w:r>
          </w:p>
        </w:tc>
        <w:tc>
          <w:tcPr>
            <w:tcW w:w="1272" w:type="dxa"/>
            <w:tcBorders>
              <w:top w:val="nil"/>
              <w:left w:val="nil"/>
              <w:bottom w:val="single" w:sz="4" w:space="0" w:color="auto"/>
              <w:right w:val="single" w:sz="4" w:space="0" w:color="auto"/>
            </w:tcBorders>
            <w:shd w:val="clear" w:color="auto" w:fill="auto"/>
            <w:noWrap/>
            <w:vAlign w:val="bottom"/>
            <w:hideMark/>
          </w:tcPr>
          <w:p w14:paraId="2ACB2DD9"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77.962 </w:t>
            </w:r>
          </w:p>
        </w:tc>
      </w:tr>
      <w:tr w:rsidR="009C6488" w:rsidRPr="009C6488" w14:paraId="0D7A3DF3" w14:textId="77777777" w:rsidTr="00446A14">
        <w:trPr>
          <w:trHeight w:val="200"/>
        </w:trPr>
        <w:tc>
          <w:tcPr>
            <w:tcW w:w="4862" w:type="dxa"/>
            <w:tcBorders>
              <w:top w:val="nil"/>
              <w:left w:val="single" w:sz="4" w:space="0" w:color="auto"/>
              <w:bottom w:val="single" w:sz="4" w:space="0" w:color="auto"/>
              <w:right w:val="single" w:sz="4" w:space="0" w:color="auto"/>
            </w:tcBorders>
            <w:shd w:val="clear" w:color="auto" w:fill="auto"/>
            <w:noWrap/>
            <w:vAlign w:val="bottom"/>
            <w:hideMark/>
          </w:tcPr>
          <w:p w14:paraId="60B7514A"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Federais</w:t>
            </w:r>
          </w:p>
        </w:tc>
        <w:tc>
          <w:tcPr>
            <w:tcW w:w="1054" w:type="dxa"/>
            <w:tcBorders>
              <w:top w:val="nil"/>
              <w:left w:val="nil"/>
              <w:bottom w:val="single" w:sz="4" w:space="0" w:color="auto"/>
              <w:right w:val="single" w:sz="4" w:space="0" w:color="auto"/>
            </w:tcBorders>
            <w:shd w:val="clear" w:color="auto" w:fill="auto"/>
            <w:noWrap/>
            <w:vAlign w:val="bottom"/>
            <w:hideMark/>
          </w:tcPr>
          <w:p w14:paraId="73B65E65"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28.451 </w:t>
            </w:r>
          </w:p>
        </w:tc>
        <w:tc>
          <w:tcPr>
            <w:tcW w:w="1406" w:type="dxa"/>
            <w:tcBorders>
              <w:top w:val="nil"/>
              <w:left w:val="nil"/>
              <w:bottom w:val="single" w:sz="4" w:space="0" w:color="auto"/>
              <w:right w:val="single" w:sz="4" w:space="0" w:color="auto"/>
            </w:tcBorders>
            <w:shd w:val="clear" w:color="auto" w:fill="auto"/>
            <w:noWrap/>
            <w:vAlign w:val="bottom"/>
            <w:hideMark/>
          </w:tcPr>
          <w:p w14:paraId="365032B7"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179" w:type="dxa"/>
            <w:tcBorders>
              <w:top w:val="nil"/>
              <w:left w:val="nil"/>
              <w:bottom w:val="single" w:sz="4" w:space="0" w:color="auto"/>
              <w:right w:val="single" w:sz="4" w:space="0" w:color="auto"/>
            </w:tcBorders>
            <w:shd w:val="clear" w:color="auto" w:fill="auto"/>
            <w:noWrap/>
            <w:vAlign w:val="bottom"/>
            <w:hideMark/>
          </w:tcPr>
          <w:p w14:paraId="3DB67138" w14:textId="77777777" w:rsidR="009C6488" w:rsidRPr="009C6488" w:rsidRDefault="009C6488" w:rsidP="009C6488">
            <w:pPr>
              <w:spacing w:after="0" w:line="240" w:lineRule="auto"/>
              <w:jc w:val="center"/>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272" w:type="dxa"/>
            <w:tcBorders>
              <w:top w:val="nil"/>
              <w:left w:val="nil"/>
              <w:bottom w:val="single" w:sz="4" w:space="0" w:color="auto"/>
              <w:right w:val="single" w:sz="4" w:space="0" w:color="auto"/>
            </w:tcBorders>
            <w:shd w:val="clear" w:color="auto" w:fill="auto"/>
            <w:noWrap/>
            <w:vAlign w:val="bottom"/>
            <w:hideMark/>
          </w:tcPr>
          <w:p w14:paraId="1B2249E9"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28.451 </w:t>
            </w:r>
          </w:p>
        </w:tc>
      </w:tr>
      <w:tr w:rsidR="009C6488" w:rsidRPr="009C6488" w14:paraId="4B695D91" w14:textId="77777777" w:rsidTr="00446A14">
        <w:trPr>
          <w:trHeight w:val="200"/>
        </w:trPr>
        <w:tc>
          <w:tcPr>
            <w:tcW w:w="4862" w:type="dxa"/>
            <w:tcBorders>
              <w:top w:val="nil"/>
              <w:left w:val="single" w:sz="4" w:space="0" w:color="auto"/>
              <w:bottom w:val="single" w:sz="4" w:space="0" w:color="auto"/>
              <w:right w:val="single" w:sz="4" w:space="0" w:color="auto"/>
            </w:tcBorders>
            <w:shd w:val="clear" w:color="auto" w:fill="auto"/>
            <w:noWrap/>
            <w:vAlign w:val="bottom"/>
            <w:hideMark/>
          </w:tcPr>
          <w:p w14:paraId="25A73FA3"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Estaduais</w:t>
            </w:r>
          </w:p>
        </w:tc>
        <w:tc>
          <w:tcPr>
            <w:tcW w:w="1054" w:type="dxa"/>
            <w:tcBorders>
              <w:top w:val="nil"/>
              <w:left w:val="nil"/>
              <w:bottom w:val="single" w:sz="4" w:space="0" w:color="auto"/>
              <w:right w:val="single" w:sz="4" w:space="0" w:color="auto"/>
            </w:tcBorders>
            <w:shd w:val="clear" w:color="auto" w:fill="auto"/>
            <w:noWrap/>
            <w:vAlign w:val="bottom"/>
            <w:hideMark/>
          </w:tcPr>
          <w:p w14:paraId="1C411813"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49.341 </w:t>
            </w:r>
          </w:p>
        </w:tc>
        <w:tc>
          <w:tcPr>
            <w:tcW w:w="1406" w:type="dxa"/>
            <w:tcBorders>
              <w:top w:val="nil"/>
              <w:left w:val="nil"/>
              <w:bottom w:val="single" w:sz="4" w:space="0" w:color="auto"/>
              <w:right w:val="single" w:sz="4" w:space="0" w:color="auto"/>
            </w:tcBorders>
            <w:shd w:val="clear" w:color="auto" w:fill="auto"/>
            <w:noWrap/>
            <w:vAlign w:val="bottom"/>
            <w:hideMark/>
          </w:tcPr>
          <w:p w14:paraId="08454BCD"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179" w:type="dxa"/>
            <w:tcBorders>
              <w:top w:val="nil"/>
              <w:left w:val="nil"/>
              <w:bottom w:val="single" w:sz="4" w:space="0" w:color="auto"/>
              <w:right w:val="single" w:sz="4" w:space="0" w:color="auto"/>
            </w:tcBorders>
            <w:shd w:val="clear" w:color="auto" w:fill="auto"/>
            <w:noWrap/>
            <w:vAlign w:val="bottom"/>
            <w:hideMark/>
          </w:tcPr>
          <w:p w14:paraId="6579A21B"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272" w:type="dxa"/>
            <w:tcBorders>
              <w:top w:val="nil"/>
              <w:left w:val="nil"/>
              <w:bottom w:val="single" w:sz="4" w:space="0" w:color="auto"/>
              <w:right w:val="single" w:sz="4" w:space="0" w:color="auto"/>
            </w:tcBorders>
            <w:shd w:val="clear" w:color="auto" w:fill="auto"/>
            <w:noWrap/>
            <w:vAlign w:val="bottom"/>
            <w:hideMark/>
          </w:tcPr>
          <w:p w14:paraId="064CCD37"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49.341 </w:t>
            </w:r>
          </w:p>
        </w:tc>
      </w:tr>
      <w:tr w:rsidR="009C6488" w:rsidRPr="009C6488" w14:paraId="0875631C" w14:textId="77777777" w:rsidTr="00446A14">
        <w:trPr>
          <w:trHeight w:val="200"/>
        </w:trPr>
        <w:tc>
          <w:tcPr>
            <w:tcW w:w="4862" w:type="dxa"/>
            <w:tcBorders>
              <w:top w:val="nil"/>
              <w:left w:val="single" w:sz="4" w:space="0" w:color="auto"/>
              <w:bottom w:val="single" w:sz="4" w:space="0" w:color="auto"/>
              <w:right w:val="single" w:sz="4" w:space="0" w:color="auto"/>
            </w:tcBorders>
            <w:shd w:val="clear" w:color="auto" w:fill="auto"/>
            <w:noWrap/>
            <w:vAlign w:val="bottom"/>
            <w:hideMark/>
          </w:tcPr>
          <w:p w14:paraId="2437726C"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Municipais</w:t>
            </w:r>
          </w:p>
        </w:tc>
        <w:tc>
          <w:tcPr>
            <w:tcW w:w="1054" w:type="dxa"/>
            <w:tcBorders>
              <w:top w:val="nil"/>
              <w:left w:val="nil"/>
              <w:bottom w:val="single" w:sz="4" w:space="0" w:color="auto"/>
              <w:right w:val="single" w:sz="4" w:space="0" w:color="auto"/>
            </w:tcBorders>
            <w:shd w:val="clear" w:color="auto" w:fill="auto"/>
            <w:noWrap/>
            <w:vAlign w:val="bottom"/>
            <w:hideMark/>
          </w:tcPr>
          <w:p w14:paraId="7E2D5E8A"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170 </w:t>
            </w:r>
          </w:p>
        </w:tc>
        <w:tc>
          <w:tcPr>
            <w:tcW w:w="1406" w:type="dxa"/>
            <w:tcBorders>
              <w:top w:val="nil"/>
              <w:left w:val="nil"/>
              <w:bottom w:val="single" w:sz="4" w:space="0" w:color="auto"/>
              <w:right w:val="single" w:sz="4" w:space="0" w:color="auto"/>
            </w:tcBorders>
            <w:shd w:val="clear" w:color="auto" w:fill="auto"/>
            <w:noWrap/>
            <w:vAlign w:val="bottom"/>
            <w:hideMark/>
          </w:tcPr>
          <w:p w14:paraId="2D90D503"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179" w:type="dxa"/>
            <w:tcBorders>
              <w:top w:val="nil"/>
              <w:left w:val="nil"/>
              <w:bottom w:val="single" w:sz="4" w:space="0" w:color="auto"/>
              <w:right w:val="single" w:sz="4" w:space="0" w:color="auto"/>
            </w:tcBorders>
            <w:shd w:val="clear" w:color="auto" w:fill="auto"/>
            <w:noWrap/>
            <w:vAlign w:val="bottom"/>
            <w:hideMark/>
          </w:tcPr>
          <w:p w14:paraId="284897C0"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272" w:type="dxa"/>
            <w:tcBorders>
              <w:top w:val="nil"/>
              <w:left w:val="nil"/>
              <w:bottom w:val="single" w:sz="4" w:space="0" w:color="auto"/>
              <w:right w:val="single" w:sz="4" w:space="0" w:color="auto"/>
            </w:tcBorders>
            <w:shd w:val="clear" w:color="auto" w:fill="auto"/>
            <w:noWrap/>
            <w:vAlign w:val="bottom"/>
            <w:hideMark/>
          </w:tcPr>
          <w:p w14:paraId="03F27B6B"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170 </w:t>
            </w:r>
          </w:p>
        </w:tc>
      </w:tr>
      <w:tr w:rsidR="009C6488" w:rsidRPr="009C6488" w14:paraId="34D822D2" w14:textId="77777777" w:rsidTr="00446A14">
        <w:trPr>
          <w:trHeight w:val="200"/>
        </w:trPr>
        <w:tc>
          <w:tcPr>
            <w:tcW w:w="4862" w:type="dxa"/>
            <w:tcBorders>
              <w:top w:val="nil"/>
              <w:left w:val="single" w:sz="4" w:space="0" w:color="auto"/>
              <w:bottom w:val="single" w:sz="4" w:space="0" w:color="auto"/>
              <w:right w:val="single" w:sz="4" w:space="0" w:color="auto"/>
            </w:tcBorders>
            <w:shd w:val="clear" w:color="auto" w:fill="auto"/>
            <w:noWrap/>
            <w:vAlign w:val="bottom"/>
            <w:hideMark/>
          </w:tcPr>
          <w:p w14:paraId="1A67D53B"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Remuneração de Capitais de Terceiros</w:t>
            </w:r>
          </w:p>
        </w:tc>
        <w:tc>
          <w:tcPr>
            <w:tcW w:w="1054" w:type="dxa"/>
            <w:tcBorders>
              <w:top w:val="nil"/>
              <w:left w:val="nil"/>
              <w:bottom w:val="single" w:sz="4" w:space="0" w:color="auto"/>
              <w:right w:val="single" w:sz="4" w:space="0" w:color="auto"/>
            </w:tcBorders>
            <w:shd w:val="clear" w:color="auto" w:fill="auto"/>
            <w:noWrap/>
            <w:vAlign w:val="bottom"/>
            <w:hideMark/>
          </w:tcPr>
          <w:p w14:paraId="1C6C0AC8"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136.470 </w:t>
            </w:r>
          </w:p>
        </w:tc>
        <w:tc>
          <w:tcPr>
            <w:tcW w:w="1406" w:type="dxa"/>
            <w:tcBorders>
              <w:top w:val="nil"/>
              <w:left w:val="nil"/>
              <w:bottom w:val="single" w:sz="4" w:space="0" w:color="auto"/>
              <w:right w:val="single" w:sz="4" w:space="0" w:color="auto"/>
            </w:tcBorders>
            <w:shd w:val="clear" w:color="auto" w:fill="auto"/>
            <w:noWrap/>
            <w:vAlign w:val="bottom"/>
            <w:hideMark/>
          </w:tcPr>
          <w:p w14:paraId="77E66608"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                              - </w:t>
            </w:r>
          </w:p>
        </w:tc>
        <w:tc>
          <w:tcPr>
            <w:tcW w:w="1179" w:type="dxa"/>
            <w:tcBorders>
              <w:top w:val="nil"/>
              <w:left w:val="nil"/>
              <w:bottom w:val="single" w:sz="4" w:space="0" w:color="auto"/>
              <w:right w:val="single" w:sz="4" w:space="0" w:color="auto"/>
            </w:tcBorders>
            <w:shd w:val="clear" w:color="auto" w:fill="auto"/>
            <w:noWrap/>
            <w:vAlign w:val="bottom"/>
            <w:hideMark/>
          </w:tcPr>
          <w:p w14:paraId="5CE536C4"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197 </w:t>
            </w:r>
          </w:p>
        </w:tc>
        <w:tc>
          <w:tcPr>
            <w:tcW w:w="1272" w:type="dxa"/>
            <w:tcBorders>
              <w:top w:val="nil"/>
              <w:left w:val="nil"/>
              <w:bottom w:val="single" w:sz="4" w:space="0" w:color="auto"/>
              <w:right w:val="single" w:sz="4" w:space="0" w:color="auto"/>
            </w:tcBorders>
            <w:shd w:val="clear" w:color="auto" w:fill="auto"/>
            <w:noWrap/>
            <w:vAlign w:val="bottom"/>
            <w:hideMark/>
          </w:tcPr>
          <w:p w14:paraId="6072F2C4"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136.667 </w:t>
            </w:r>
          </w:p>
        </w:tc>
      </w:tr>
      <w:tr w:rsidR="009C6488" w:rsidRPr="009C6488" w14:paraId="67268DBF" w14:textId="77777777" w:rsidTr="00446A14">
        <w:trPr>
          <w:trHeight w:val="200"/>
        </w:trPr>
        <w:tc>
          <w:tcPr>
            <w:tcW w:w="4862" w:type="dxa"/>
            <w:tcBorders>
              <w:top w:val="nil"/>
              <w:left w:val="single" w:sz="4" w:space="0" w:color="auto"/>
              <w:bottom w:val="single" w:sz="4" w:space="0" w:color="auto"/>
              <w:right w:val="single" w:sz="4" w:space="0" w:color="auto"/>
            </w:tcBorders>
            <w:shd w:val="clear" w:color="auto" w:fill="auto"/>
            <w:noWrap/>
            <w:vAlign w:val="bottom"/>
            <w:hideMark/>
          </w:tcPr>
          <w:p w14:paraId="62BC8F0E"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Remuneração do Capital de Terceiros</w:t>
            </w:r>
          </w:p>
        </w:tc>
        <w:tc>
          <w:tcPr>
            <w:tcW w:w="1054" w:type="dxa"/>
            <w:tcBorders>
              <w:top w:val="nil"/>
              <w:left w:val="nil"/>
              <w:bottom w:val="single" w:sz="4" w:space="0" w:color="auto"/>
              <w:right w:val="single" w:sz="4" w:space="0" w:color="auto"/>
            </w:tcBorders>
            <w:shd w:val="clear" w:color="auto" w:fill="auto"/>
            <w:noWrap/>
            <w:vAlign w:val="bottom"/>
            <w:hideMark/>
          </w:tcPr>
          <w:p w14:paraId="76C8F1D6"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94.834 </w:t>
            </w:r>
          </w:p>
        </w:tc>
        <w:tc>
          <w:tcPr>
            <w:tcW w:w="1406" w:type="dxa"/>
            <w:tcBorders>
              <w:top w:val="nil"/>
              <w:left w:val="nil"/>
              <w:bottom w:val="single" w:sz="4" w:space="0" w:color="auto"/>
              <w:right w:val="single" w:sz="4" w:space="0" w:color="auto"/>
            </w:tcBorders>
            <w:shd w:val="clear" w:color="auto" w:fill="auto"/>
            <w:noWrap/>
            <w:vAlign w:val="bottom"/>
            <w:hideMark/>
          </w:tcPr>
          <w:p w14:paraId="15F29236"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179" w:type="dxa"/>
            <w:tcBorders>
              <w:top w:val="nil"/>
              <w:left w:val="nil"/>
              <w:bottom w:val="single" w:sz="4" w:space="0" w:color="auto"/>
              <w:right w:val="single" w:sz="4" w:space="0" w:color="auto"/>
            </w:tcBorders>
            <w:shd w:val="clear" w:color="auto" w:fill="auto"/>
            <w:noWrap/>
            <w:vAlign w:val="bottom"/>
            <w:hideMark/>
          </w:tcPr>
          <w:p w14:paraId="15DFD1A6"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197 </w:t>
            </w:r>
          </w:p>
        </w:tc>
        <w:tc>
          <w:tcPr>
            <w:tcW w:w="1272" w:type="dxa"/>
            <w:tcBorders>
              <w:top w:val="nil"/>
              <w:left w:val="nil"/>
              <w:bottom w:val="single" w:sz="4" w:space="0" w:color="auto"/>
              <w:right w:val="single" w:sz="4" w:space="0" w:color="auto"/>
            </w:tcBorders>
            <w:shd w:val="clear" w:color="auto" w:fill="auto"/>
            <w:noWrap/>
            <w:vAlign w:val="bottom"/>
            <w:hideMark/>
          </w:tcPr>
          <w:p w14:paraId="467A9157"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95.031 </w:t>
            </w:r>
          </w:p>
        </w:tc>
      </w:tr>
      <w:tr w:rsidR="009C6488" w:rsidRPr="009C6488" w14:paraId="2842BDD2" w14:textId="77777777" w:rsidTr="00446A14">
        <w:trPr>
          <w:trHeight w:val="200"/>
        </w:trPr>
        <w:tc>
          <w:tcPr>
            <w:tcW w:w="4862" w:type="dxa"/>
            <w:tcBorders>
              <w:top w:val="nil"/>
              <w:left w:val="single" w:sz="4" w:space="0" w:color="auto"/>
              <w:bottom w:val="single" w:sz="4" w:space="0" w:color="auto"/>
              <w:right w:val="single" w:sz="4" w:space="0" w:color="auto"/>
            </w:tcBorders>
            <w:shd w:val="clear" w:color="auto" w:fill="auto"/>
            <w:noWrap/>
            <w:vAlign w:val="bottom"/>
            <w:hideMark/>
          </w:tcPr>
          <w:p w14:paraId="4D18BBBE"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Aluguéis, Locações e Licença de Uso</w:t>
            </w:r>
          </w:p>
        </w:tc>
        <w:tc>
          <w:tcPr>
            <w:tcW w:w="1054" w:type="dxa"/>
            <w:tcBorders>
              <w:top w:val="nil"/>
              <w:left w:val="nil"/>
              <w:bottom w:val="single" w:sz="4" w:space="0" w:color="auto"/>
              <w:right w:val="single" w:sz="4" w:space="0" w:color="auto"/>
            </w:tcBorders>
            <w:shd w:val="clear" w:color="auto" w:fill="auto"/>
            <w:noWrap/>
            <w:vAlign w:val="bottom"/>
            <w:hideMark/>
          </w:tcPr>
          <w:p w14:paraId="48E73C51"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22.621 </w:t>
            </w:r>
          </w:p>
        </w:tc>
        <w:tc>
          <w:tcPr>
            <w:tcW w:w="1406" w:type="dxa"/>
            <w:tcBorders>
              <w:top w:val="nil"/>
              <w:left w:val="nil"/>
              <w:bottom w:val="single" w:sz="4" w:space="0" w:color="auto"/>
              <w:right w:val="single" w:sz="4" w:space="0" w:color="auto"/>
            </w:tcBorders>
            <w:shd w:val="clear" w:color="auto" w:fill="auto"/>
            <w:noWrap/>
            <w:vAlign w:val="bottom"/>
            <w:hideMark/>
          </w:tcPr>
          <w:p w14:paraId="6A01D686"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179" w:type="dxa"/>
            <w:tcBorders>
              <w:top w:val="nil"/>
              <w:left w:val="nil"/>
              <w:bottom w:val="single" w:sz="4" w:space="0" w:color="auto"/>
              <w:right w:val="single" w:sz="4" w:space="0" w:color="auto"/>
            </w:tcBorders>
            <w:shd w:val="clear" w:color="auto" w:fill="auto"/>
            <w:noWrap/>
            <w:vAlign w:val="bottom"/>
            <w:hideMark/>
          </w:tcPr>
          <w:p w14:paraId="638FD07C"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272" w:type="dxa"/>
            <w:tcBorders>
              <w:top w:val="nil"/>
              <w:left w:val="nil"/>
              <w:bottom w:val="single" w:sz="4" w:space="0" w:color="auto"/>
              <w:right w:val="single" w:sz="4" w:space="0" w:color="auto"/>
            </w:tcBorders>
            <w:shd w:val="clear" w:color="auto" w:fill="auto"/>
            <w:noWrap/>
            <w:vAlign w:val="bottom"/>
            <w:hideMark/>
          </w:tcPr>
          <w:p w14:paraId="1F3DFDEA"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22.621 </w:t>
            </w:r>
          </w:p>
        </w:tc>
      </w:tr>
      <w:tr w:rsidR="009C6488" w:rsidRPr="009C6488" w14:paraId="64EF2ECE" w14:textId="77777777" w:rsidTr="00446A14">
        <w:trPr>
          <w:trHeight w:val="200"/>
        </w:trPr>
        <w:tc>
          <w:tcPr>
            <w:tcW w:w="4862" w:type="dxa"/>
            <w:tcBorders>
              <w:top w:val="nil"/>
              <w:left w:val="single" w:sz="4" w:space="0" w:color="auto"/>
              <w:bottom w:val="single" w:sz="4" w:space="0" w:color="auto"/>
              <w:right w:val="single" w:sz="4" w:space="0" w:color="auto"/>
            </w:tcBorders>
            <w:shd w:val="clear" w:color="auto" w:fill="auto"/>
            <w:noWrap/>
            <w:vAlign w:val="bottom"/>
            <w:hideMark/>
          </w:tcPr>
          <w:p w14:paraId="2378E387"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Seguros</w:t>
            </w:r>
          </w:p>
        </w:tc>
        <w:tc>
          <w:tcPr>
            <w:tcW w:w="1054" w:type="dxa"/>
            <w:tcBorders>
              <w:top w:val="nil"/>
              <w:left w:val="nil"/>
              <w:bottom w:val="single" w:sz="4" w:space="0" w:color="auto"/>
              <w:right w:val="single" w:sz="4" w:space="0" w:color="auto"/>
            </w:tcBorders>
            <w:shd w:val="clear" w:color="auto" w:fill="auto"/>
            <w:noWrap/>
            <w:vAlign w:val="bottom"/>
            <w:hideMark/>
          </w:tcPr>
          <w:p w14:paraId="6FBD7B65"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19.015 </w:t>
            </w:r>
          </w:p>
        </w:tc>
        <w:tc>
          <w:tcPr>
            <w:tcW w:w="1406" w:type="dxa"/>
            <w:tcBorders>
              <w:top w:val="nil"/>
              <w:left w:val="nil"/>
              <w:bottom w:val="single" w:sz="4" w:space="0" w:color="auto"/>
              <w:right w:val="single" w:sz="4" w:space="0" w:color="auto"/>
            </w:tcBorders>
            <w:shd w:val="clear" w:color="auto" w:fill="auto"/>
            <w:noWrap/>
            <w:vAlign w:val="bottom"/>
            <w:hideMark/>
          </w:tcPr>
          <w:p w14:paraId="5333CB39"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179" w:type="dxa"/>
            <w:tcBorders>
              <w:top w:val="nil"/>
              <w:left w:val="nil"/>
              <w:bottom w:val="single" w:sz="4" w:space="0" w:color="auto"/>
              <w:right w:val="single" w:sz="4" w:space="0" w:color="auto"/>
            </w:tcBorders>
            <w:shd w:val="clear" w:color="auto" w:fill="auto"/>
            <w:noWrap/>
            <w:vAlign w:val="bottom"/>
            <w:hideMark/>
          </w:tcPr>
          <w:p w14:paraId="05083B87" w14:textId="77777777" w:rsidR="009C6488" w:rsidRPr="009C6488" w:rsidRDefault="009C6488" w:rsidP="009C6488">
            <w:pPr>
              <w:spacing w:after="0" w:line="240" w:lineRule="auto"/>
              <w:jc w:val="center"/>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272" w:type="dxa"/>
            <w:tcBorders>
              <w:top w:val="nil"/>
              <w:left w:val="nil"/>
              <w:bottom w:val="single" w:sz="4" w:space="0" w:color="auto"/>
              <w:right w:val="single" w:sz="4" w:space="0" w:color="auto"/>
            </w:tcBorders>
            <w:shd w:val="clear" w:color="auto" w:fill="auto"/>
            <w:noWrap/>
            <w:vAlign w:val="bottom"/>
            <w:hideMark/>
          </w:tcPr>
          <w:p w14:paraId="27E05A26"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xml:space="preserve">19.015 </w:t>
            </w:r>
          </w:p>
        </w:tc>
      </w:tr>
      <w:tr w:rsidR="009C6488" w:rsidRPr="009C6488" w14:paraId="39F27EC7" w14:textId="77777777" w:rsidTr="00446A14">
        <w:trPr>
          <w:trHeight w:val="200"/>
        </w:trPr>
        <w:tc>
          <w:tcPr>
            <w:tcW w:w="4862" w:type="dxa"/>
            <w:tcBorders>
              <w:top w:val="nil"/>
              <w:left w:val="single" w:sz="4" w:space="0" w:color="auto"/>
              <w:bottom w:val="single" w:sz="4" w:space="0" w:color="auto"/>
              <w:right w:val="single" w:sz="4" w:space="0" w:color="auto"/>
            </w:tcBorders>
            <w:shd w:val="clear" w:color="auto" w:fill="auto"/>
            <w:noWrap/>
            <w:vAlign w:val="bottom"/>
            <w:hideMark/>
          </w:tcPr>
          <w:p w14:paraId="46E38E38" w14:textId="77777777" w:rsidR="009C6488" w:rsidRPr="009C6488" w:rsidRDefault="009C6488" w:rsidP="009C6488">
            <w:pPr>
              <w:spacing w:after="0" w:line="240" w:lineRule="auto"/>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Remuneração de Capitais Próprios</w:t>
            </w:r>
          </w:p>
        </w:tc>
        <w:tc>
          <w:tcPr>
            <w:tcW w:w="1054" w:type="dxa"/>
            <w:tcBorders>
              <w:top w:val="nil"/>
              <w:left w:val="nil"/>
              <w:bottom w:val="single" w:sz="4" w:space="0" w:color="auto"/>
              <w:right w:val="single" w:sz="4" w:space="0" w:color="auto"/>
            </w:tcBorders>
            <w:shd w:val="clear" w:color="auto" w:fill="auto"/>
            <w:noWrap/>
            <w:vAlign w:val="bottom"/>
            <w:hideMark/>
          </w:tcPr>
          <w:p w14:paraId="22D3DE13"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(106.226)</w:t>
            </w:r>
          </w:p>
        </w:tc>
        <w:tc>
          <w:tcPr>
            <w:tcW w:w="1406" w:type="dxa"/>
            <w:tcBorders>
              <w:top w:val="nil"/>
              <w:left w:val="nil"/>
              <w:bottom w:val="single" w:sz="4" w:space="0" w:color="auto"/>
              <w:right w:val="single" w:sz="4" w:space="0" w:color="auto"/>
            </w:tcBorders>
            <w:shd w:val="clear" w:color="auto" w:fill="auto"/>
            <w:noWrap/>
            <w:vAlign w:val="bottom"/>
            <w:hideMark/>
          </w:tcPr>
          <w:p w14:paraId="34FB4FAD"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                              - </w:t>
            </w:r>
          </w:p>
        </w:tc>
        <w:tc>
          <w:tcPr>
            <w:tcW w:w="1179" w:type="dxa"/>
            <w:tcBorders>
              <w:top w:val="nil"/>
              <w:left w:val="nil"/>
              <w:bottom w:val="single" w:sz="4" w:space="0" w:color="auto"/>
              <w:right w:val="single" w:sz="4" w:space="0" w:color="auto"/>
            </w:tcBorders>
            <w:shd w:val="clear" w:color="auto" w:fill="auto"/>
            <w:noWrap/>
            <w:vAlign w:val="bottom"/>
            <w:hideMark/>
          </w:tcPr>
          <w:p w14:paraId="282C7258"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 xml:space="preserve">                        - </w:t>
            </w:r>
          </w:p>
        </w:tc>
        <w:tc>
          <w:tcPr>
            <w:tcW w:w="1272" w:type="dxa"/>
            <w:tcBorders>
              <w:top w:val="nil"/>
              <w:left w:val="nil"/>
              <w:bottom w:val="single" w:sz="4" w:space="0" w:color="auto"/>
              <w:right w:val="single" w:sz="4" w:space="0" w:color="auto"/>
            </w:tcBorders>
            <w:shd w:val="clear" w:color="auto" w:fill="auto"/>
            <w:noWrap/>
            <w:vAlign w:val="bottom"/>
            <w:hideMark/>
          </w:tcPr>
          <w:p w14:paraId="4C2B7348" w14:textId="77777777" w:rsidR="009C6488" w:rsidRPr="009C6488" w:rsidRDefault="009C6488" w:rsidP="009C6488">
            <w:pPr>
              <w:spacing w:after="0" w:line="240" w:lineRule="auto"/>
              <w:jc w:val="right"/>
              <w:rPr>
                <w:rFonts w:ascii="Arial" w:eastAsia="Times New Roman" w:hAnsi="Arial" w:cs="Arial"/>
                <w:b/>
                <w:bCs/>
                <w:kern w:val="0"/>
                <w:sz w:val="14"/>
                <w:szCs w:val="14"/>
                <w:lang w:eastAsia="pt-BR"/>
                <w14:ligatures w14:val="none"/>
              </w:rPr>
            </w:pPr>
            <w:r w:rsidRPr="009C6488">
              <w:rPr>
                <w:rFonts w:ascii="Arial" w:eastAsia="Times New Roman" w:hAnsi="Arial" w:cs="Arial"/>
                <w:b/>
                <w:bCs/>
                <w:kern w:val="0"/>
                <w:sz w:val="14"/>
                <w:szCs w:val="14"/>
                <w:lang w:eastAsia="pt-BR"/>
                <w14:ligatures w14:val="none"/>
              </w:rPr>
              <w:t>(137.580)</w:t>
            </w:r>
          </w:p>
        </w:tc>
      </w:tr>
      <w:tr w:rsidR="009C6488" w:rsidRPr="009C6488" w14:paraId="034FD3EE" w14:textId="77777777" w:rsidTr="00446A14">
        <w:trPr>
          <w:trHeight w:val="200"/>
        </w:trPr>
        <w:tc>
          <w:tcPr>
            <w:tcW w:w="4862" w:type="dxa"/>
            <w:tcBorders>
              <w:top w:val="nil"/>
              <w:left w:val="single" w:sz="4" w:space="0" w:color="auto"/>
              <w:bottom w:val="single" w:sz="4" w:space="0" w:color="auto"/>
              <w:right w:val="single" w:sz="4" w:space="0" w:color="auto"/>
            </w:tcBorders>
            <w:shd w:val="clear" w:color="auto" w:fill="auto"/>
            <w:noWrap/>
            <w:vAlign w:val="bottom"/>
            <w:hideMark/>
          </w:tcPr>
          <w:p w14:paraId="26F6682B"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Prejuízo do Exercício</w:t>
            </w:r>
          </w:p>
        </w:tc>
        <w:tc>
          <w:tcPr>
            <w:tcW w:w="1054" w:type="dxa"/>
            <w:tcBorders>
              <w:top w:val="nil"/>
              <w:left w:val="nil"/>
              <w:bottom w:val="single" w:sz="4" w:space="0" w:color="auto"/>
              <w:right w:val="single" w:sz="4" w:space="0" w:color="auto"/>
            </w:tcBorders>
            <w:shd w:val="clear" w:color="auto" w:fill="auto"/>
            <w:noWrap/>
            <w:vAlign w:val="bottom"/>
            <w:hideMark/>
          </w:tcPr>
          <w:p w14:paraId="56070539"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(106.226)</w:t>
            </w:r>
          </w:p>
        </w:tc>
        <w:tc>
          <w:tcPr>
            <w:tcW w:w="1406" w:type="dxa"/>
            <w:tcBorders>
              <w:top w:val="nil"/>
              <w:left w:val="nil"/>
              <w:bottom w:val="single" w:sz="4" w:space="0" w:color="auto"/>
              <w:right w:val="single" w:sz="4" w:space="0" w:color="auto"/>
            </w:tcBorders>
            <w:shd w:val="clear" w:color="auto" w:fill="auto"/>
            <w:noWrap/>
            <w:vAlign w:val="bottom"/>
            <w:hideMark/>
          </w:tcPr>
          <w:p w14:paraId="6660401C"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179" w:type="dxa"/>
            <w:tcBorders>
              <w:top w:val="nil"/>
              <w:left w:val="nil"/>
              <w:bottom w:val="single" w:sz="4" w:space="0" w:color="auto"/>
              <w:right w:val="single" w:sz="4" w:space="0" w:color="auto"/>
            </w:tcBorders>
            <w:shd w:val="clear" w:color="auto" w:fill="auto"/>
            <w:noWrap/>
            <w:vAlign w:val="bottom"/>
            <w:hideMark/>
          </w:tcPr>
          <w:p w14:paraId="15885B4D" w14:textId="77777777" w:rsidR="009C6488" w:rsidRPr="009C6488" w:rsidRDefault="009C6488" w:rsidP="009C6488">
            <w:pPr>
              <w:spacing w:after="0" w:line="240" w:lineRule="auto"/>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 </w:t>
            </w:r>
          </w:p>
        </w:tc>
        <w:tc>
          <w:tcPr>
            <w:tcW w:w="1272" w:type="dxa"/>
            <w:tcBorders>
              <w:top w:val="nil"/>
              <w:left w:val="nil"/>
              <w:bottom w:val="single" w:sz="4" w:space="0" w:color="auto"/>
              <w:right w:val="single" w:sz="4" w:space="0" w:color="auto"/>
            </w:tcBorders>
            <w:shd w:val="clear" w:color="auto" w:fill="auto"/>
            <w:noWrap/>
            <w:vAlign w:val="bottom"/>
            <w:hideMark/>
          </w:tcPr>
          <w:p w14:paraId="2B234661" w14:textId="77777777" w:rsidR="009C6488" w:rsidRPr="009C6488" w:rsidRDefault="009C6488" w:rsidP="009C6488">
            <w:pPr>
              <w:spacing w:after="0" w:line="240" w:lineRule="auto"/>
              <w:jc w:val="right"/>
              <w:rPr>
                <w:rFonts w:ascii="Arial" w:eastAsia="Times New Roman" w:hAnsi="Arial" w:cs="Arial"/>
                <w:kern w:val="0"/>
                <w:sz w:val="14"/>
                <w:szCs w:val="14"/>
                <w:lang w:eastAsia="pt-BR"/>
                <w14:ligatures w14:val="none"/>
              </w:rPr>
            </w:pPr>
            <w:r w:rsidRPr="009C6488">
              <w:rPr>
                <w:rFonts w:ascii="Arial" w:eastAsia="Times New Roman" w:hAnsi="Arial" w:cs="Arial"/>
                <w:kern w:val="0"/>
                <w:sz w:val="14"/>
                <w:szCs w:val="14"/>
                <w:lang w:eastAsia="pt-BR"/>
                <w14:ligatures w14:val="none"/>
              </w:rPr>
              <w:t>(137.580)</w:t>
            </w:r>
          </w:p>
        </w:tc>
      </w:tr>
    </w:tbl>
    <w:p w14:paraId="4C3C73D8" w14:textId="37B11271" w:rsidR="009C6488" w:rsidRPr="009C6488" w:rsidRDefault="009C6488" w:rsidP="007A23F8">
      <w:pPr>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4. </w:t>
      </w:r>
      <w:r w:rsidRPr="009C6488">
        <w:rPr>
          <w:rFonts w:ascii="Calibri" w:eastAsia="Times New Roman" w:hAnsi="Calibri" w:cs="Calibri"/>
          <w:b/>
          <w:bCs/>
          <w:iCs/>
          <w:color w:val="002060"/>
          <w:kern w:val="0"/>
          <w14:ligatures w14:val="none"/>
        </w:rPr>
        <w:t>GESTÃO DE RISCO E INSTRUMENTOS FINANCEIROS</w:t>
      </w:r>
    </w:p>
    <w:p w14:paraId="7955F553" w14:textId="06FC609B" w:rsidR="009C6488" w:rsidRPr="009C6488" w:rsidRDefault="009C6488" w:rsidP="007A23F8">
      <w:pPr>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4.1. </w:t>
      </w:r>
      <w:r w:rsidRPr="009C6488">
        <w:rPr>
          <w:rFonts w:ascii="Calibri" w:eastAsia="Times New Roman" w:hAnsi="Calibri" w:cs="Calibri"/>
          <w:b/>
          <w:bCs/>
          <w:iCs/>
          <w:color w:val="002060"/>
          <w:kern w:val="0"/>
          <w14:ligatures w14:val="none"/>
        </w:rPr>
        <w:t>Fatores de risco</w:t>
      </w:r>
    </w:p>
    <w:p w14:paraId="40D4D088" w14:textId="77777777" w:rsidR="009C6488" w:rsidRPr="009C6488" w:rsidRDefault="009C6488" w:rsidP="007A23F8">
      <w:pPr>
        <w:spacing w:after="0" w:line="240" w:lineRule="auto"/>
        <w:jc w:val="both"/>
        <w:rPr>
          <w:rFonts w:ascii="Calibri" w:eastAsia="Times New Roman" w:hAnsi="Calibri" w:cs="Calibri"/>
          <w:iCs/>
          <w:color w:val="002060"/>
          <w:kern w:val="0"/>
          <w14:ligatures w14:val="none"/>
        </w:rPr>
      </w:pPr>
      <w:r w:rsidRPr="009C6488">
        <w:rPr>
          <w:rFonts w:ascii="Calibri" w:eastAsia="Times New Roman" w:hAnsi="Calibri" w:cs="Calibri"/>
          <w:iCs/>
          <w:color w:val="002060"/>
          <w:kern w:val="0"/>
          <w14:ligatures w14:val="none"/>
        </w:rPr>
        <w:t xml:space="preserve">A administração tem total responsabilidade pelo estabelecimento e a supervisão da estrutura de gerenciamento de seus riscos, observando, para tanto, as avaliações técnicas corporativas realizadas pela Companhia. </w:t>
      </w:r>
    </w:p>
    <w:p w14:paraId="17DD1538" w14:textId="77777777" w:rsidR="009C6488" w:rsidRPr="009C6488" w:rsidRDefault="009C6488" w:rsidP="007A23F8">
      <w:pPr>
        <w:spacing w:after="0" w:line="240" w:lineRule="auto"/>
        <w:jc w:val="both"/>
        <w:rPr>
          <w:rFonts w:ascii="Calibri" w:eastAsia="Times New Roman" w:hAnsi="Calibri" w:cs="Calibri"/>
          <w:iCs/>
          <w:color w:val="002060"/>
          <w:kern w:val="0"/>
          <w14:ligatures w14:val="none"/>
        </w:rPr>
      </w:pPr>
      <w:r w:rsidRPr="009C6488">
        <w:rPr>
          <w:rFonts w:ascii="Calibri" w:eastAsia="Times New Roman" w:hAnsi="Calibri" w:cs="Calibri"/>
          <w:iCs/>
          <w:color w:val="002060"/>
          <w:kern w:val="0"/>
          <w14:ligatures w14:val="none"/>
        </w:rPr>
        <w:t xml:space="preserve">As políticas de gerenciamento de risco são estabelecidas para dar previsibilidade a eventuais riscos, objetivando definir limites e controles apropriados, de forma a propiciar monitoração permanente e aderência aos limites operativos estabelecidos a cada empresa. A administração busca, efetivamente, a previsibilidade com vistas ao acompanhamento de operações que porventura possam comprometer a liquidez e a rentabilidade da Companhia. </w:t>
      </w:r>
    </w:p>
    <w:p w14:paraId="3527CD03" w14:textId="77777777" w:rsidR="009C6488" w:rsidRPr="009C6488" w:rsidRDefault="009C6488" w:rsidP="007A23F8">
      <w:pPr>
        <w:spacing w:after="0" w:line="240" w:lineRule="auto"/>
        <w:jc w:val="both"/>
        <w:rPr>
          <w:rFonts w:ascii="Calibri" w:eastAsia="Times New Roman" w:hAnsi="Calibri" w:cs="Calibri"/>
          <w:iCs/>
          <w:color w:val="002060"/>
          <w:kern w:val="0"/>
          <w14:ligatures w14:val="none"/>
        </w:rPr>
      </w:pPr>
      <w:r w:rsidRPr="009C6488">
        <w:rPr>
          <w:rFonts w:ascii="Calibri" w:eastAsia="Times New Roman" w:hAnsi="Calibri" w:cs="Calibri"/>
          <w:iCs/>
          <w:color w:val="002060"/>
          <w:kern w:val="0"/>
          <w14:ligatures w14:val="none"/>
        </w:rPr>
        <w:t xml:space="preserve">Essa política trata da revisão periódica dos riscos financeiros associados às captações, de modo a antecipar eventuais mudanças nas condições de mercado e seus reflexos nas atividades da Companhia. </w:t>
      </w:r>
    </w:p>
    <w:p w14:paraId="7784A88C" w14:textId="77777777" w:rsidR="009C6488" w:rsidRPr="009C6488" w:rsidRDefault="009C6488" w:rsidP="007A23F8">
      <w:pPr>
        <w:spacing w:after="0" w:line="240" w:lineRule="auto"/>
        <w:jc w:val="both"/>
        <w:rPr>
          <w:rFonts w:ascii="Calibri" w:eastAsia="Times New Roman" w:hAnsi="Calibri" w:cs="Calibri"/>
          <w:iCs/>
          <w:color w:val="002060"/>
          <w:kern w:val="0"/>
          <w14:ligatures w14:val="none"/>
        </w:rPr>
      </w:pPr>
      <w:r w:rsidRPr="009C6488">
        <w:rPr>
          <w:rFonts w:ascii="Calibri" w:eastAsia="Times New Roman" w:hAnsi="Calibri" w:cs="Calibri"/>
          <w:iCs/>
          <w:color w:val="002060"/>
          <w:kern w:val="0"/>
          <w14:ligatures w14:val="none"/>
        </w:rPr>
        <w:t>A Companhia mantém operações com instrumentos financeiros, cujos limites de exposição aos riscos de crédito são aprovados e revisados periodicamente pela Administração. Todos os instrumentos financeiros são inerentes à atividade operacional da Companhia, que não opera com instrumentos financeiros derivativos.</w:t>
      </w:r>
    </w:p>
    <w:p w14:paraId="23B645FD" w14:textId="62BDF36C" w:rsidR="009C6488" w:rsidRPr="009C6488" w:rsidRDefault="009C6488" w:rsidP="007A23F8">
      <w:pPr>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4.1.1. </w:t>
      </w:r>
      <w:r w:rsidRPr="009C6488">
        <w:rPr>
          <w:rFonts w:ascii="Calibri" w:eastAsia="Times New Roman" w:hAnsi="Calibri" w:cs="Calibri"/>
          <w:b/>
          <w:bCs/>
          <w:iCs/>
          <w:color w:val="002060"/>
          <w:kern w:val="0"/>
          <w14:ligatures w14:val="none"/>
        </w:rPr>
        <w:t>Gestão de capital</w:t>
      </w:r>
    </w:p>
    <w:p w14:paraId="16BFD34B" w14:textId="77777777" w:rsidR="009C6488" w:rsidRDefault="009C6488" w:rsidP="007A23F8">
      <w:pPr>
        <w:spacing w:after="0" w:line="240" w:lineRule="auto"/>
        <w:jc w:val="both"/>
        <w:rPr>
          <w:rFonts w:ascii="Calibri" w:eastAsia="Times New Roman" w:hAnsi="Calibri" w:cs="Calibri"/>
          <w:iCs/>
          <w:color w:val="002060"/>
          <w:kern w:val="0"/>
          <w14:ligatures w14:val="none"/>
        </w:rPr>
      </w:pPr>
      <w:r w:rsidRPr="009C6488">
        <w:rPr>
          <w:rFonts w:ascii="Calibri" w:eastAsia="Times New Roman" w:hAnsi="Calibri" w:cs="Calibri"/>
          <w:iCs/>
          <w:color w:val="002060"/>
          <w:kern w:val="0"/>
          <w14:ligatures w14:val="none"/>
        </w:rPr>
        <w:t>Ao administrar seu capital, a Companhia busca salvaguardar a capacidade de continuidade para oferecer retorno aos acionistas e benefícios às outras partes interessadas, monitorando os níveis de capital de giro líquido.</w:t>
      </w:r>
    </w:p>
    <w:p w14:paraId="4DD04B24" w14:textId="15C50E85" w:rsidR="009C6488" w:rsidRPr="009C6488" w:rsidRDefault="009C6488" w:rsidP="007A23F8">
      <w:pPr>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4.1.2. </w:t>
      </w:r>
      <w:r w:rsidRPr="009C6488">
        <w:rPr>
          <w:rFonts w:ascii="Calibri" w:eastAsia="Times New Roman" w:hAnsi="Calibri" w:cs="Calibri"/>
          <w:b/>
          <w:bCs/>
          <w:iCs/>
          <w:color w:val="002060"/>
          <w:kern w:val="0"/>
          <w14:ligatures w14:val="none"/>
        </w:rPr>
        <w:t>Risco de crédito</w:t>
      </w:r>
    </w:p>
    <w:p w14:paraId="7AF431C8" w14:textId="77777777" w:rsidR="009C6488" w:rsidRPr="009C6488" w:rsidRDefault="009C6488" w:rsidP="007A23F8">
      <w:pPr>
        <w:spacing w:after="0" w:line="240" w:lineRule="auto"/>
        <w:jc w:val="both"/>
        <w:rPr>
          <w:rFonts w:ascii="Calibri" w:eastAsia="Times New Roman" w:hAnsi="Calibri" w:cs="Calibri"/>
          <w:iCs/>
          <w:color w:val="002060"/>
          <w:kern w:val="0"/>
          <w14:ligatures w14:val="none"/>
        </w:rPr>
      </w:pPr>
      <w:r w:rsidRPr="009C6488">
        <w:rPr>
          <w:rFonts w:ascii="Calibri" w:eastAsia="Times New Roman" w:hAnsi="Calibri" w:cs="Calibri"/>
          <w:iCs/>
          <w:color w:val="002060"/>
          <w:kern w:val="0"/>
          <w14:ligatures w14:val="none"/>
        </w:rPr>
        <w:t>O risco de crédito é o risco de uma operação negociada entre contrapartes de não cumprir uma obrigação prevista em um instrumento financeiro ou na negociação de venda ao cliente, que levaria ao prejuízo financeiro. A Companhia está exposta a risco de crédito em suas atividades operacionais e nos depósitos mantidos em bancos e outros investimentos em instrumentos financeiros em instituições financeiras.</w:t>
      </w:r>
    </w:p>
    <w:p w14:paraId="0526BD2C" w14:textId="77777777" w:rsidR="009C6488" w:rsidRPr="009C6488" w:rsidRDefault="009C6488" w:rsidP="007A23F8">
      <w:pPr>
        <w:spacing w:after="0" w:line="240" w:lineRule="auto"/>
        <w:jc w:val="both"/>
        <w:rPr>
          <w:rFonts w:ascii="Calibri" w:eastAsia="Times New Roman" w:hAnsi="Calibri" w:cs="Calibri"/>
          <w:iCs/>
          <w:color w:val="002060"/>
          <w:kern w:val="0"/>
          <w14:ligatures w14:val="none"/>
        </w:rPr>
        <w:sectPr w:rsidR="009C6488" w:rsidRPr="009C6488" w:rsidSect="009C6488">
          <w:footerReference w:type="default" r:id="rId55"/>
          <w:type w:val="continuous"/>
          <w:pgSz w:w="11906" w:h="16838" w:code="9"/>
          <w:pgMar w:top="848" w:right="849" w:bottom="993" w:left="1276" w:header="850" w:footer="964" w:gutter="0"/>
          <w:cols w:space="708"/>
          <w:docGrid w:linePitch="360"/>
        </w:sectPr>
      </w:pPr>
    </w:p>
    <w:p w14:paraId="09F40FB8" w14:textId="77777777" w:rsidR="009C6488" w:rsidRDefault="009C6488" w:rsidP="007A23F8">
      <w:pPr>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4.1.2.1. </w:t>
      </w:r>
      <w:r w:rsidRPr="009C6488">
        <w:rPr>
          <w:rFonts w:ascii="Calibri" w:eastAsia="Times New Roman" w:hAnsi="Calibri" w:cs="Calibri"/>
          <w:b/>
          <w:bCs/>
          <w:iCs/>
          <w:color w:val="002060"/>
          <w:kern w:val="0"/>
          <w14:ligatures w14:val="none"/>
        </w:rPr>
        <w:t>Risco de crédito Inadimplência das contas a receber de clientes</w:t>
      </w:r>
    </w:p>
    <w:p w14:paraId="3A8214C8" w14:textId="2B44D033" w:rsidR="009C6488" w:rsidRPr="009C6488" w:rsidRDefault="009C6488" w:rsidP="007A23F8">
      <w:pPr>
        <w:spacing w:after="0" w:line="240" w:lineRule="auto"/>
        <w:jc w:val="both"/>
        <w:rPr>
          <w:rFonts w:ascii="Calibri" w:eastAsia="Times New Roman" w:hAnsi="Calibri" w:cs="Calibri"/>
          <w:b/>
          <w:bCs/>
          <w:iCs/>
          <w:color w:val="002060"/>
          <w:kern w:val="0"/>
          <w14:ligatures w14:val="none"/>
        </w:rPr>
      </w:pPr>
      <w:r w:rsidRPr="009C6488">
        <w:rPr>
          <w:rFonts w:ascii="Calibri" w:eastAsia="Times New Roman" w:hAnsi="Calibri" w:cs="Calibri"/>
          <w:iCs/>
          <w:color w:val="002060"/>
          <w:kern w:val="0"/>
          <w14:ligatures w14:val="none"/>
        </w:rPr>
        <w:t>Para recuperação da inadimplência, a Companhia atua tempestivamente da seguinte forma: notificações de débito e de cobrança, política de negociação de débitos, interrupção dos serviços e negativação do cliente, inclusão no Cadastro Informativo de Créditos não Quitados do Setor Público Federal – CADIN, e cobrança Judicial.</w:t>
      </w:r>
    </w:p>
    <w:p w14:paraId="627401BA" w14:textId="16DF9E76" w:rsidR="009C6488" w:rsidRPr="009C6488" w:rsidRDefault="009C6488" w:rsidP="007A23F8">
      <w:pPr>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4.1.2.2. </w:t>
      </w:r>
      <w:r w:rsidRPr="009C6488">
        <w:rPr>
          <w:rFonts w:ascii="Calibri" w:eastAsia="Times New Roman" w:hAnsi="Calibri" w:cs="Calibri"/>
          <w:b/>
          <w:bCs/>
          <w:iCs/>
          <w:color w:val="002060"/>
          <w:kern w:val="0"/>
          <w14:ligatures w14:val="none"/>
        </w:rPr>
        <w:t>Caixa e equivalentes de caixa e investimentos financeiros</w:t>
      </w:r>
    </w:p>
    <w:p w14:paraId="3A2612A8" w14:textId="77777777" w:rsidR="009C6488" w:rsidRPr="009C6488" w:rsidRDefault="009C6488" w:rsidP="007A23F8">
      <w:pPr>
        <w:spacing w:after="0" w:line="240" w:lineRule="auto"/>
        <w:jc w:val="both"/>
        <w:rPr>
          <w:rFonts w:ascii="Calibri" w:eastAsia="Times New Roman" w:hAnsi="Calibri" w:cs="Calibri"/>
          <w:iCs/>
          <w:color w:val="002060"/>
          <w:kern w:val="0"/>
          <w14:ligatures w14:val="none"/>
        </w:rPr>
      </w:pPr>
      <w:r w:rsidRPr="009C6488">
        <w:rPr>
          <w:rFonts w:ascii="Calibri" w:eastAsia="Times New Roman" w:hAnsi="Calibri" w:cs="Calibri"/>
          <w:iCs/>
          <w:color w:val="002060"/>
          <w:kern w:val="0"/>
          <w14:ligatures w14:val="none"/>
        </w:rPr>
        <w:t xml:space="preserve">O risco de crédito dos saldos de caixa e dos investimentos financeiros, que é gerido pela Administração da Companhia, é mitigado pela seleção dos investimentos considerados de baixo risco pelo mercado financeiro e investimentos vinculados a títulos de bancos públicos, principalmente devido às restrições impostas pelos órgãos reguladores (Conselho Monetário Nacional e Banco Central do Brasil), que definem, através da Resolução nº 3.284/2005 (alterada pela Resolução nº 4034/2011), do Banco Central do Brasil, que as disponibilidades oriundas de receitas próprias das empresas públicas e das sociedades de economia mista </w:t>
      </w:r>
      <w:r w:rsidRPr="009C6488">
        <w:rPr>
          <w:rFonts w:ascii="Calibri" w:eastAsia="Times New Roman" w:hAnsi="Calibri" w:cs="Calibri"/>
          <w:iCs/>
          <w:color w:val="002060"/>
          <w:kern w:val="0"/>
          <w14:ligatures w14:val="none"/>
        </w:rPr>
        <w:lastRenderedPageBreak/>
        <w:t>integrantes da Administração Federal Indireta sejam aplicadas em fundos ou por instituição integrante do conglomerado financeiro por eles liderados, constituídos com observância do disposto nesta Resolução. Neste sentindo, as disponibilidades da Companhia são aplicadas em fundos de investimento extramercado administrados pela Caixa Econômica Federal e pelo Banco do Brasil S.A.</w:t>
      </w:r>
    </w:p>
    <w:p w14:paraId="4B3C2D46" w14:textId="4E4B54F6" w:rsidR="009C6488" w:rsidRPr="009C6488" w:rsidRDefault="009C6488" w:rsidP="007A23F8">
      <w:pPr>
        <w:spacing w:after="0" w:line="240" w:lineRule="auto"/>
        <w:jc w:val="both"/>
        <w:rPr>
          <w:rFonts w:ascii="Calibri" w:eastAsia="Times New Roman" w:hAnsi="Calibri" w:cs="Calibri"/>
          <w:b/>
          <w:bCs/>
          <w:iCs/>
          <w:color w:val="002060"/>
          <w:kern w:val="0"/>
          <w14:ligatures w14:val="none"/>
        </w:rPr>
      </w:pPr>
      <w:r w:rsidRPr="009C6488">
        <w:rPr>
          <w:rFonts w:ascii="Calibri" w:eastAsia="Times New Roman" w:hAnsi="Calibri" w:cs="Calibri"/>
          <w:b/>
          <w:bCs/>
          <w:iCs/>
          <w:color w:val="002060"/>
          <w:kern w:val="0"/>
          <w14:ligatures w14:val="none"/>
        </w:rPr>
        <w:t>4.1.3. Risco de liquidez</w:t>
      </w:r>
    </w:p>
    <w:p w14:paraId="7C4A54DB" w14:textId="77777777" w:rsidR="009C6488" w:rsidRPr="009C6488" w:rsidRDefault="009C6488" w:rsidP="007A23F8">
      <w:pPr>
        <w:spacing w:after="0" w:line="240" w:lineRule="auto"/>
        <w:jc w:val="both"/>
        <w:rPr>
          <w:rFonts w:ascii="Calibri" w:eastAsia="Times New Roman" w:hAnsi="Calibri" w:cs="Calibri"/>
          <w:iCs/>
          <w:color w:val="002060"/>
          <w:kern w:val="0"/>
          <w14:ligatures w14:val="none"/>
        </w:rPr>
      </w:pPr>
      <w:r w:rsidRPr="009C6488">
        <w:rPr>
          <w:rFonts w:ascii="Calibri" w:eastAsia="Times New Roman" w:hAnsi="Calibri" w:cs="Calibri"/>
          <w:iCs/>
          <w:color w:val="002060"/>
          <w:kern w:val="0"/>
          <w14:ligatures w14:val="none"/>
        </w:rPr>
        <w:t>É o risco de a Companhia não dispor de recursos líquidos suficientes para honrar seus compromissos financeiros, em decorrência do descasamento de prazo ou volume entre os recebimentos e pagamentos previstos.</w:t>
      </w:r>
    </w:p>
    <w:p w14:paraId="68DBFB1B" w14:textId="77777777" w:rsidR="009C6488" w:rsidRPr="009C6488" w:rsidRDefault="009C6488" w:rsidP="007A23F8">
      <w:pPr>
        <w:spacing w:after="0" w:line="240" w:lineRule="auto"/>
        <w:jc w:val="both"/>
        <w:rPr>
          <w:rFonts w:ascii="Calibri" w:eastAsia="Times New Roman" w:hAnsi="Calibri" w:cs="Calibri"/>
          <w:iCs/>
          <w:color w:val="002060"/>
          <w:kern w:val="0"/>
          <w14:ligatures w14:val="none"/>
        </w:rPr>
      </w:pPr>
      <w:r w:rsidRPr="009C6488">
        <w:rPr>
          <w:rFonts w:ascii="Calibri" w:eastAsia="Times New Roman" w:hAnsi="Calibri" w:cs="Calibri"/>
          <w:iCs/>
          <w:color w:val="002060"/>
          <w:kern w:val="0"/>
          <w14:ligatures w14:val="none"/>
        </w:rPr>
        <w:t>Para administrar a liquidez do caixa são estabelecidas projeções baseadas em contratos e premissas de desembolsos e recebimentos futuros, sendo monitorados diariamente pela Companhia. Possíveis reduções são detectadas com antecedência, permitindo que a Companhia adote medidas visando mitigar o risco e o custo financeiro.</w:t>
      </w:r>
    </w:p>
    <w:p w14:paraId="74A711F7" w14:textId="77777777" w:rsidR="009C6488" w:rsidRDefault="009C6488" w:rsidP="007A23F8">
      <w:pPr>
        <w:spacing w:after="0" w:line="240" w:lineRule="auto"/>
        <w:jc w:val="both"/>
        <w:rPr>
          <w:rFonts w:ascii="Calibri" w:eastAsia="Times New Roman" w:hAnsi="Calibri" w:cs="Calibri"/>
          <w:iCs/>
          <w:color w:val="002060"/>
          <w:kern w:val="0"/>
          <w14:ligatures w14:val="none"/>
        </w:rPr>
      </w:pPr>
      <w:r w:rsidRPr="009C6488">
        <w:rPr>
          <w:rFonts w:ascii="Calibri" w:eastAsia="Times New Roman" w:hAnsi="Calibri" w:cs="Calibri"/>
          <w:iCs/>
          <w:color w:val="002060"/>
          <w:kern w:val="0"/>
          <w14:ligatures w14:val="none"/>
        </w:rPr>
        <w:t>A seguir, estão demonstrados os fluxos de caixa contratuais dos passivos financeiros:</w:t>
      </w:r>
    </w:p>
    <w:tbl>
      <w:tblPr>
        <w:tblW w:w="5000" w:type="pct"/>
        <w:tblCellMar>
          <w:left w:w="70" w:type="dxa"/>
          <w:right w:w="70" w:type="dxa"/>
        </w:tblCellMar>
        <w:tblLook w:val="04A0" w:firstRow="1" w:lastRow="0" w:firstColumn="1" w:lastColumn="0" w:noHBand="0" w:noVBand="1"/>
      </w:tblPr>
      <w:tblGrid>
        <w:gridCol w:w="4037"/>
        <w:gridCol w:w="1123"/>
        <w:gridCol w:w="1240"/>
        <w:gridCol w:w="1115"/>
        <w:gridCol w:w="1123"/>
        <w:gridCol w:w="1123"/>
      </w:tblGrid>
      <w:tr w:rsidR="00DF2493" w:rsidRPr="00DF2493" w14:paraId="34F33B02" w14:textId="77777777" w:rsidTr="00446A14">
        <w:trPr>
          <w:trHeight w:val="238"/>
          <w:tblHeader/>
        </w:trPr>
        <w:tc>
          <w:tcPr>
            <w:tcW w:w="2068"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70421FCA" w14:textId="77777777" w:rsidR="00DF2493" w:rsidRPr="00DF2493" w:rsidRDefault="00DF2493" w:rsidP="00DF2493">
            <w:pPr>
              <w:spacing w:after="0" w:line="240" w:lineRule="auto"/>
              <w:rPr>
                <w:rFonts w:ascii="Arial" w:eastAsia="Times New Roman" w:hAnsi="Arial" w:cs="Arial"/>
                <w:color w:val="000000"/>
                <w:kern w:val="0"/>
                <w:sz w:val="18"/>
                <w:szCs w:val="18"/>
                <w:lang w:eastAsia="pt-BR"/>
                <w14:ligatures w14:val="none"/>
              </w:rPr>
            </w:pPr>
            <w:r w:rsidRPr="00DF2493">
              <w:rPr>
                <w:rFonts w:ascii="Arial" w:eastAsia="Times New Roman" w:hAnsi="Arial" w:cs="Arial"/>
                <w:b/>
                <w:bCs/>
                <w:color w:val="000000"/>
                <w:kern w:val="0"/>
                <w:sz w:val="18"/>
                <w:szCs w:val="18"/>
                <w:lang w:eastAsia="pt-BR"/>
                <w14:ligatures w14:val="none"/>
              </w:rPr>
              <w:t>Passivos Financeiros não Derivativos</w:t>
            </w:r>
            <w:r w:rsidRPr="00DF2493">
              <w:rPr>
                <w:rFonts w:ascii="Arial" w:eastAsia="Times New Roman" w:hAnsi="Arial" w:cs="Arial"/>
                <w:color w:val="000000"/>
                <w:kern w:val="0"/>
                <w:sz w:val="18"/>
                <w:szCs w:val="18"/>
                <w:lang w:eastAsia="pt-BR"/>
                <w14:ligatures w14:val="none"/>
              </w:rPr>
              <w:t> </w:t>
            </w:r>
          </w:p>
        </w:tc>
        <w:tc>
          <w:tcPr>
            <w:tcW w:w="575" w:type="pct"/>
            <w:tcBorders>
              <w:top w:val="single" w:sz="8" w:space="0" w:color="auto"/>
              <w:left w:val="nil"/>
              <w:bottom w:val="single" w:sz="8" w:space="0" w:color="auto"/>
              <w:right w:val="single" w:sz="8" w:space="0" w:color="auto"/>
            </w:tcBorders>
            <w:shd w:val="clear" w:color="auto" w:fill="auto"/>
            <w:vAlign w:val="center"/>
            <w:hideMark/>
          </w:tcPr>
          <w:p w14:paraId="33CA8165" w14:textId="77777777" w:rsidR="00DF2493" w:rsidRPr="00DF2493" w:rsidRDefault="00DF2493" w:rsidP="00DF2493">
            <w:pPr>
              <w:spacing w:after="0" w:line="240" w:lineRule="auto"/>
              <w:jc w:val="center"/>
              <w:rPr>
                <w:rFonts w:ascii="Arial" w:eastAsia="Times New Roman" w:hAnsi="Arial" w:cs="Arial"/>
                <w:b/>
                <w:bCs/>
                <w:color w:val="000000"/>
                <w:kern w:val="0"/>
                <w:sz w:val="18"/>
                <w:szCs w:val="18"/>
                <w:lang w:eastAsia="pt-BR"/>
                <w14:ligatures w14:val="none"/>
              </w:rPr>
            </w:pPr>
            <w:r w:rsidRPr="00DF2493">
              <w:rPr>
                <w:rFonts w:ascii="Arial" w:eastAsia="Times New Roman" w:hAnsi="Arial" w:cs="Arial"/>
                <w:b/>
                <w:bCs/>
                <w:color w:val="000000"/>
                <w:kern w:val="0"/>
                <w:sz w:val="18"/>
                <w:szCs w:val="18"/>
                <w:lang w:eastAsia="pt-BR"/>
                <w14:ligatures w14:val="none"/>
              </w:rPr>
              <w:t>Valor</w:t>
            </w:r>
          </w:p>
        </w:tc>
        <w:tc>
          <w:tcPr>
            <w:tcW w:w="635" w:type="pct"/>
            <w:tcBorders>
              <w:top w:val="single" w:sz="8" w:space="0" w:color="auto"/>
              <w:left w:val="nil"/>
              <w:bottom w:val="single" w:sz="8" w:space="0" w:color="auto"/>
              <w:right w:val="single" w:sz="8" w:space="0" w:color="auto"/>
            </w:tcBorders>
            <w:shd w:val="clear" w:color="auto" w:fill="auto"/>
            <w:vAlign w:val="center"/>
            <w:hideMark/>
          </w:tcPr>
          <w:p w14:paraId="7AD2C0A7" w14:textId="77777777" w:rsidR="00DF2493" w:rsidRPr="00DF2493" w:rsidRDefault="00DF2493" w:rsidP="00DF2493">
            <w:pPr>
              <w:spacing w:after="0" w:line="240" w:lineRule="auto"/>
              <w:jc w:val="center"/>
              <w:rPr>
                <w:rFonts w:ascii="Arial" w:eastAsia="Times New Roman" w:hAnsi="Arial" w:cs="Arial"/>
                <w:b/>
                <w:bCs/>
                <w:color w:val="000000"/>
                <w:kern w:val="0"/>
                <w:sz w:val="18"/>
                <w:szCs w:val="18"/>
                <w:lang w:eastAsia="pt-BR"/>
                <w14:ligatures w14:val="none"/>
              </w:rPr>
            </w:pPr>
            <w:r w:rsidRPr="00DF2493">
              <w:rPr>
                <w:rFonts w:ascii="Arial" w:eastAsia="Times New Roman" w:hAnsi="Arial" w:cs="Arial"/>
                <w:b/>
                <w:bCs/>
                <w:color w:val="000000"/>
                <w:kern w:val="0"/>
                <w:sz w:val="18"/>
                <w:szCs w:val="18"/>
                <w:lang w:eastAsia="pt-BR"/>
                <w14:ligatures w14:val="none"/>
              </w:rPr>
              <w:t>Até 1 ano</w:t>
            </w:r>
          </w:p>
        </w:tc>
        <w:tc>
          <w:tcPr>
            <w:tcW w:w="571" w:type="pct"/>
            <w:tcBorders>
              <w:top w:val="single" w:sz="8" w:space="0" w:color="auto"/>
              <w:left w:val="nil"/>
              <w:bottom w:val="single" w:sz="8" w:space="0" w:color="auto"/>
              <w:right w:val="single" w:sz="8" w:space="0" w:color="auto"/>
            </w:tcBorders>
            <w:shd w:val="clear" w:color="auto" w:fill="auto"/>
            <w:vAlign w:val="center"/>
            <w:hideMark/>
          </w:tcPr>
          <w:p w14:paraId="0235B305" w14:textId="77777777" w:rsidR="00DF2493" w:rsidRPr="00DF2493" w:rsidRDefault="00DF2493" w:rsidP="00DF2493">
            <w:pPr>
              <w:spacing w:after="0" w:line="240" w:lineRule="auto"/>
              <w:jc w:val="center"/>
              <w:rPr>
                <w:rFonts w:ascii="Arial" w:eastAsia="Times New Roman" w:hAnsi="Arial" w:cs="Arial"/>
                <w:b/>
                <w:bCs/>
                <w:color w:val="000000"/>
                <w:kern w:val="0"/>
                <w:sz w:val="18"/>
                <w:szCs w:val="18"/>
                <w:lang w:eastAsia="pt-BR"/>
                <w14:ligatures w14:val="none"/>
              </w:rPr>
            </w:pPr>
            <w:r w:rsidRPr="00DF2493">
              <w:rPr>
                <w:rFonts w:ascii="Arial" w:eastAsia="Times New Roman" w:hAnsi="Arial" w:cs="Arial"/>
                <w:b/>
                <w:bCs/>
                <w:color w:val="000000"/>
                <w:kern w:val="0"/>
                <w:sz w:val="18"/>
                <w:szCs w:val="18"/>
                <w:lang w:eastAsia="pt-BR"/>
                <w14:ligatures w14:val="none"/>
              </w:rPr>
              <w:t>De 1 a 2 anos</w:t>
            </w:r>
          </w:p>
        </w:tc>
        <w:tc>
          <w:tcPr>
            <w:tcW w:w="575" w:type="pct"/>
            <w:tcBorders>
              <w:top w:val="single" w:sz="8" w:space="0" w:color="auto"/>
              <w:left w:val="nil"/>
              <w:bottom w:val="single" w:sz="8" w:space="0" w:color="auto"/>
              <w:right w:val="single" w:sz="8" w:space="0" w:color="auto"/>
            </w:tcBorders>
            <w:shd w:val="clear" w:color="auto" w:fill="auto"/>
            <w:vAlign w:val="center"/>
            <w:hideMark/>
          </w:tcPr>
          <w:p w14:paraId="61216D1A" w14:textId="77777777" w:rsidR="00DF2493" w:rsidRPr="00DF2493" w:rsidRDefault="00DF2493" w:rsidP="00DF2493">
            <w:pPr>
              <w:spacing w:after="0" w:line="240" w:lineRule="auto"/>
              <w:jc w:val="center"/>
              <w:rPr>
                <w:rFonts w:ascii="Arial" w:eastAsia="Times New Roman" w:hAnsi="Arial" w:cs="Arial"/>
                <w:b/>
                <w:bCs/>
                <w:color w:val="000000"/>
                <w:kern w:val="0"/>
                <w:sz w:val="18"/>
                <w:szCs w:val="18"/>
                <w:lang w:eastAsia="pt-BR"/>
                <w14:ligatures w14:val="none"/>
              </w:rPr>
            </w:pPr>
            <w:r w:rsidRPr="00DF2493">
              <w:rPr>
                <w:rFonts w:ascii="Arial" w:eastAsia="Times New Roman" w:hAnsi="Arial" w:cs="Arial"/>
                <w:b/>
                <w:bCs/>
                <w:color w:val="000000"/>
                <w:kern w:val="0"/>
                <w:sz w:val="18"/>
                <w:szCs w:val="18"/>
                <w:lang w:eastAsia="pt-BR"/>
                <w14:ligatures w14:val="none"/>
              </w:rPr>
              <w:t>De 2 a 5 anos</w:t>
            </w:r>
          </w:p>
        </w:tc>
        <w:tc>
          <w:tcPr>
            <w:tcW w:w="575" w:type="pct"/>
            <w:tcBorders>
              <w:top w:val="single" w:sz="8" w:space="0" w:color="auto"/>
              <w:left w:val="nil"/>
              <w:bottom w:val="single" w:sz="8" w:space="0" w:color="auto"/>
              <w:right w:val="single" w:sz="8" w:space="0" w:color="auto"/>
            </w:tcBorders>
            <w:shd w:val="clear" w:color="auto" w:fill="auto"/>
            <w:vAlign w:val="center"/>
            <w:hideMark/>
          </w:tcPr>
          <w:p w14:paraId="5A6377AE" w14:textId="77777777" w:rsidR="00DF2493" w:rsidRPr="00DF2493" w:rsidRDefault="00DF2493" w:rsidP="00DF2493">
            <w:pPr>
              <w:spacing w:after="0" w:line="240" w:lineRule="auto"/>
              <w:jc w:val="center"/>
              <w:rPr>
                <w:rFonts w:ascii="Arial" w:eastAsia="Times New Roman" w:hAnsi="Arial" w:cs="Arial"/>
                <w:b/>
                <w:bCs/>
                <w:color w:val="000000"/>
                <w:kern w:val="0"/>
                <w:sz w:val="18"/>
                <w:szCs w:val="18"/>
                <w:lang w:eastAsia="pt-BR"/>
                <w14:ligatures w14:val="none"/>
              </w:rPr>
            </w:pPr>
            <w:r w:rsidRPr="00DF2493">
              <w:rPr>
                <w:rFonts w:ascii="Arial" w:eastAsia="Times New Roman" w:hAnsi="Arial" w:cs="Arial"/>
                <w:b/>
                <w:bCs/>
                <w:color w:val="000000"/>
                <w:kern w:val="0"/>
                <w:sz w:val="18"/>
                <w:szCs w:val="18"/>
                <w:lang w:eastAsia="pt-BR"/>
                <w14:ligatures w14:val="none"/>
              </w:rPr>
              <w:t>Mais de 5 anos</w:t>
            </w:r>
          </w:p>
        </w:tc>
      </w:tr>
      <w:tr w:rsidR="00DF2493" w:rsidRPr="00DF2493" w14:paraId="1280EDA1" w14:textId="77777777" w:rsidTr="00446A14">
        <w:trPr>
          <w:trHeight w:val="238"/>
        </w:trPr>
        <w:tc>
          <w:tcPr>
            <w:tcW w:w="2068" w:type="pct"/>
            <w:tcBorders>
              <w:top w:val="nil"/>
              <w:left w:val="single" w:sz="8" w:space="0" w:color="auto"/>
              <w:bottom w:val="single" w:sz="8" w:space="0" w:color="auto"/>
              <w:right w:val="single" w:sz="8" w:space="0" w:color="auto"/>
            </w:tcBorders>
            <w:shd w:val="clear" w:color="auto" w:fill="auto"/>
            <w:noWrap/>
            <w:vAlign w:val="center"/>
            <w:hideMark/>
          </w:tcPr>
          <w:p w14:paraId="722B8BAC" w14:textId="77777777" w:rsidR="00DF2493" w:rsidRPr="00DF2493" w:rsidRDefault="00DF2493" w:rsidP="00DF2493">
            <w:pPr>
              <w:spacing w:after="0" w:line="240" w:lineRule="auto"/>
              <w:rPr>
                <w:rFonts w:ascii="Arial" w:eastAsia="Times New Roman" w:hAnsi="Arial" w:cs="Arial"/>
                <w:color w:val="000000"/>
                <w:kern w:val="0"/>
                <w:sz w:val="18"/>
                <w:szCs w:val="18"/>
                <w:lang w:eastAsia="pt-BR"/>
                <w14:ligatures w14:val="none"/>
              </w:rPr>
            </w:pPr>
            <w:r w:rsidRPr="00DF2493">
              <w:rPr>
                <w:rFonts w:ascii="Arial" w:eastAsia="Times New Roman" w:hAnsi="Arial" w:cs="Arial"/>
                <w:color w:val="000000"/>
                <w:kern w:val="0"/>
                <w:sz w:val="18"/>
                <w:szCs w:val="18"/>
                <w:lang w:eastAsia="pt-BR"/>
                <w14:ligatures w14:val="none"/>
              </w:rPr>
              <w:t>Fornecedores</w:t>
            </w:r>
          </w:p>
        </w:tc>
        <w:tc>
          <w:tcPr>
            <w:tcW w:w="575" w:type="pct"/>
            <w:tcBorders>
              <w:top w:val="nil"/>
              <w:left w:val="nil"/>
              <w:bottom w:val="single" w:sz="8" w:space="0" w:color="auto"/>
              <w:right w:val="single" w:sz="8" w:space="0" w:color="auto"/>
            </w:tcBorders>
            <w:shd w:val="clear" w:color="auto" w:fill="auto"/>
            <w:noWrap/>
            <w:vAlign w:val="center"/>
            <w:hideMark/>
          </w:tcPr>
          <w:p w14:paraId="0B9A3E6C" w14:textId="77777777" w:rsidR="00DF2493" w:rsidRPr="00DF2493" w:rsidRDefault="00DF2493" w:rsidP="00DF2493">
            <w:pPr>
              <w:spacing w:after="0" w:line="240" w:lineRule="auto"/>
              <w:jc w:val="right"/>
              <w:rPr>
                <w:rFonts w:ascii="Arial" w:eastAsia="Times New Roman" w:hAnsi="Arial" w:cs="Arial"/>
                <w:color w:val="000000"/>
                <w:kern w:val="0"/>
                <w:sz w:val="18"/>
                <w:szCs w:val="18"/>
                <w:lang w:eastAsia="pt-BR"/>
                <w14:ligatures w14:val="none"/>
              </w:rPr>
            </w:pPr>
            <w:r w:rsidRPr="00DF2493">
              <w:rPr>
                <w:rFonts w:ascii="Arial" w:eastAsia="Times New Roman" w:hAnsi="Arial" w:cs="Arial"/>
                <w:color w:val="000000"/>
                <w:kern w:val="0"/>
                <w:sz w:val="18"/>
                <w:szCs w:val="18"/>
                <w:lang w:eastAsia="pt-BR"/>
                <w14:ligatures w14:val="none"/>
              </w:rPr>
              <w:t>122.719</w:t>
            </w:r>
          </w:p>
        </w:tc>
        <w:tc>
          <w:tcPr>
            <w:tcW w:w="635" w:type="pct"/>
            <w:tcBorders>
              <w:top w:val="nil"/>
              <w:left w:val="nil"/>
              <w:bottom w:val="single" w:sz="8" w:space="0" w:color="auto"/>
              <w:right w:val="single" w:sz="8" w:space="0" w:color="auto"/>
            </w:tcBorders>
            <w:shd w:val="clear" w:color="auto" w:fill="auto"/>
            <w:noWrap/>
            <w:vAlign w:val="center"/>
            <w:hideMark/>
          </w:tcPr>
          <w:p w14:paraId="37596F4E" w14:textId="77777777" w:rsidR="00DF2493" w:rsidRPr="00DF2493" w:rsidRDefault="00DF2493" w:rsidP="00DF2493">
            <w:pPr>
              <w:spacing w:after="0" w:line="240" w:lineRule="auto"/>
              <w:jc w:val="right"/>
              <w:rPr>
                <w:rFonts w:ascii="Arial" w:eastAsia="Times New Roman" w:hAnsi="Arial" w:cs="Arial"/>
                <w:color w:val="000000"/>
                <w:kern w:val="0"/>
                <w:sz w:val="18"/>
                <w:szCs w:val="18"/>
                <w:lang w:eastAsia="pt-BR"/>
                <w14:ligatures w14:val="none"/>
              </w:rPr>
            </w:pPr>
            <w:r w:rsidRPr="00DF2493">
              <w:rPr>
                <w:rFonts w:ascii="Arial" w:eastAsia="Times New Roman" w:hAnsi="Arial" w:cs="Arial"/>
                <w:color w:val="000000"/>
                <w:kern w:val="0"/>
                <w:sz w:val="18"/>
                <w:szCs w:val="18"/>
                <w:lang w:eastAsia="pt-BR"/>
                <w14:ligatures w14:val="none"/>
              </w:rPr>
              <w:t>122.719</w:t>
            </w:r>
          </w:p>
        </w:tc>
        <w:tc>
          <w:tcPr>
            <w:tcW w:w="571" w:type="pct"/>
            <w:tcBorders>
              <w:top w:val="nil"/>
              <w:left w:val="nil"/>
              <w:bottom w:val="single" w:sz="8" w:space="0" w:color="auto"/>
              <w:right w:val="single" w:sz="8" w:space="0" w:color="auto"/>
            </w:tcBorders>
            <w:shd w:val="clear" w:color="auto" w:fill="auto"/>
            <w:noWrap/>
            <w:vAlign w:val="center"/>
            <w:hideMark/>
          </w:tcPr>
          <w:p w14:paraId="7D0FD468" w14:textId="77777777" w:rsidR="00DF2493" w:rsidRPr="00DF2493" w:rsidRDefault="00DF2493" w:rsidP="00DF2493">
            <w:pPr>
              <w:spacing w:after="0" w:line="240" w:lineRule="auto"/>
              <w:jc w:val="right"/>
              <w:rPr>
                <w:rFonts w:ascii="Arial" w:eastAsia="Times New Roman" w:hAnsi="Arial" w:cs="Arial"/>
                <w:color w:val="000000"/>
                <w:kern w:val="0"/>
                <w:sz w:val="18"/>
                <w:szCs w:val="18"/>
                <w:lang w:eastAsia="pt-BR"/>
                <w14:ligatures w14:val="none"/>
              </w:rPr>
            </w:pPr>
            <w:r w:rsidRPr="00DF2493">
              <w:rPr>
                <w:rFonts w:ascii="Arial" w:eastAsia="Times New Roman" w:hAnsi="Arial" w:cs="Arial"/>
                <w:color w:val="000000"/>
                <w:kern w:val="0"/>
                <w:sz w:val="18"/>
                <w:szCs w:val="18"/>
                <w:lang w:eastAsia="pt-BR"/>
                <w14:ligatures w14:val="none"/>
              </w:rPr>
              <w:t xml:space="preserve">  - </w:t>
            </w:r>
          </w:p>
        </w:tc>
        <w:tc>
          <w:tcPr>
            <w:tcW w:w="575" w:type="pct"/>
            <w:tcBorders>
              <w:top w:val="nil"/>
              <w:left w:val="nil"/>
              <w:bottom w:val="single" w:sz="8" w:space="0" w:color="auto"/>
              <w:right w:val="single" w:sz="8" w:space="0" w:color="auto"/>
            </w:tcBorders>
            <w:shd w:val="clear" w:color="auto" w:fill="auto"/>
            <w:noWrap/>
            <w:vAlign w:val="center"/>
            <w:hideMark/>
          </w:tcPr>
          <w:p w14:paraId="63548826" w14:textId="77777777" w:rsidR="00DF2493" w:rsidRPr="00DF2493" w:rsidRDefault="00DF2493" w:rsidP="00DF2493">
            <w:pPr>
              <w:spacing w:after="0" w:line="240" w:lineRule="auto"/>
              <w:jc w:val="right"/>
              <w:rPr>
                <w:rFonts w:ascii="Arial" w:eastAsia="Times New Roman" w:hAnsi="Arial" w:cs="Arial"/>
                <w:color w:val="000000"/>
                <w:kern w:val="0"/>
                <w:sz w:val="18"/>
                <w:szCs w:val="18"/>
                <w:lang w:eastAsia="pt-BR"/>
                <w14:ligatures w14:val="none"/>
              </w:rPr>
            </w:pPr>
            <w:r w:rsidRPr="00DF2493">
              <w:rPr>
                <w:rFonts w:ascii="Arial" w:eastAsia="Times New Roman" w:hAnsi="Arial" w:cs="Arial"/>
                <w:color w:val="000000"/>
                <w:kern w:val="0"/>
                <w:sz w:val="18"/>
                <w:szCs w:val="18"/>
                <w:lang w:eastAsia="pt-BR"/>
                <w14:ligatures w14:val="none"/>
              </w:rPr>
              <w:t xml:space="preserve"> -  </w:t>
            </w:r>
          </w:p>
        </w:tc>
        <w:tc>
          <w:tcPr>
            <w:tcW w:w="575" w:type="pct"/>
            <w:tcBorders>
              <w:top w:val="nil"/>
              <w:left w:val="nil"/>
              <w:bottom w:val="single" w:sz="8" w:space="0" w:color="auto"/>
              <w:right w:val="single" w:sz="8" w:space="0" w:color="auto"/>
            </w:tcBorders>
            <w:shd w:val="clear" w:color="auto" w:fill="auto"/>
            <w:noWrap/>
            <w:vAlign w:val="center"/>
            <w:hideMark/>
          </w:tcPr>
          <w:p w14:paraId="3CF80913" w14:textId="77777777" w:rsidR="00DF2493" w:rsidRPr="00DF2493" w:rsidRDefault="00DF2493" w:rsidP="00DF2493">
            <w:pPr>
              <w:spacing w:after="0" w:line="240" w:lineRule="auto"/>
              <w:jc w:val="right"/>
              <w:rPr>
                <w:rFonts w:ascii="Arial" w:eastAsia="Times New Roman" w:hAnsi="Arial" w:cs="Arial"/>
                <w:color w:val="000000"/>
                <w:kern w:val="0"/>
                <w:sz w:val="18"/>
                <w:szCs w:val="18"/>
                <w:lang w:eastAsia="pt-BR"/>
                <w14:ligatures w14:val="none"/>
              </w:rPr>
            </w:pPr>
            <w:r w:rsidRPr="00DF2493">
              <w:rPr>
                <w:rFonts w:ascii="Arial" w:eastAsia="Times New Roman" w:hAnsi="Arial" w:cs="Arial"/>
                <w:color w:val="000000"/>
                <w:kern w:val="0"/>
                <w:sz w:val="18"/>
                <w:szCs w:val="18"/>
                <w:lang w:eastAsia="pt-BR"/>
                <w14:ligatures w14:val="none"/>
              </w:rPr>
              <w:t xml:space="preserve"> -  </w:t>
            </w:r>
          </w:p>
        </w:tc>
      </w:tr>
      <w:tr w:rsidR="00DF2493" w:rsidRPr="00DF2493" w14:paraId="7341F050" w14:textId="77777777" w:rsidTr="00446A14">
        <w:trPr>
          <w:trHeight w:val="238"/>
        </w:trPr>
        <w:tc>
          <w:tcPr>
            <w:tcW w:w="2068" w:type="pct"/>
            <w:tcBorders>
              <w:top w:val="nil"/>
              <w:left w:val="single" w:sz="8" w:space="0" w:color="auto"/>
              <w:bottom w:val="single" w:sz="8" w:space="0" w:color="auto"/>
              <w:right w:val="single" w:sz="8" w:space="0" w:color="auto"/>
            </w:tcBorders>
            <w:shd w:val="clear" w:color="auto" w:fill="auto"/>
            <w:noWrap/>
            <w:vAlign w:val="center"/>
            <w:hideMark/>
          </w:tcPr>
          <w:p w14:paraId="7728F727" w14:textId="77777777" w:rsidR="00DF2493" w:rsidRPr="00DF2493" w:rsidRDefault="00DF2493" w:rsidP="00DF2493">
            <w:pPr>
              <w:spacing w:after="0" w:line="240" w:lineRule="auto"/>
              <w:rPr>
                <w:rFonts w:ascii="Arial" w:eastAsia="Times New Roman" w:hAnsi="Arial" w:cs="Arial"/>
                <w:color w:val="000000"/>
                <w:kern w:val="0"/>
                <w:sz w:val="18"/>
                <w:szCs w:val="18"/>
                <w:lang w:eastAsia="pt-BR"/>
                <w14:ligatures w14:val="none"/>
              </w:rPr>
            </w:pPr>
            <w:r w:rsidRPr="00DF2493">
              <w:rPr>
                <w:rFonts w:ascii="Arial" w:eastAsia="Times New Roman" w:hAnsi="Arial" w:cs="Arial"/>
                <w:color w:val="000000"/>
                <w:kern w:val="0"/>
                <w:sz w:val="18"/>
                <w:szCs w:val="18"/>
                <w:lang w:eastAsia="pt-BR"/>
                <w14:ligatures w14:val="none"/>
              </w:rPr>
              <w:t>Empréstimos e Financiamentos</w:t>
            </w:r>
          </w:p>
        </w:tc>
        <w:tc>
          <w:tcPr>
            <w:tcW w:w="575" w:type="pct"/>
            <w:tcBorders>
              <w:top w:val="nil"/>
              <w:left w:val="nil"/>
              <w:bottom w:val="single" w:sz="8" w:space="0" w:color="auto"/>
              <w:right w:val="single" w:sz="8" w:space="0" w:color="auto"/>
            </w:tcBorders>
            <w:shd w:val="clear" w:color="auto" w:fill="auto"/>
            <w:noWrap/>
            <w:vAlign w:val="center"/>
            <w:hideMark/>
          </w:tcPr>
          <w:p w14:paraId="799E7FD0" w14:textId="77777777" w:rsidR="00DF2493" w:rsidRPr="00DF2493" w:rsidRDefault="00DF2493" w:rsidP="00DF2493">
            <w:pPr>
              <w:spacing w:after="0" w:line="240" w:lineRule="auto"/>
              <w:jc w:val="right"/>
              <w:rPr>
                <w:rFonts w:ascii="Arial" w:eastAsia="Times New Roman" w:hAnsi="Arial" w:cs="Arial"/>
                <w:color w:val="000000"/>
                <w:kern w:val="0"/>
                <w:sz w:val="18"/>
                <w:szCs w:val="18"/>
                <w:lang w:eastAsia="pt-BR"/>
                <w14:ligatures w14:val="none"/>
              </w:rPr>
            </w:pPr>
            <w:r w:rsidRPr="00DF2493">
              <w:rPr>
                <w:rFonts w:ascii="Arial" w:eastAsia="Times New Roman" w:hAnsi="Arial" w:cs="Arial"/>
                <w:color w:val="000000"/>
                <w:kern w:val="0"/>
                <w:sz w:val="18"/>
                <w:szCs w:val="18"/>
                <w:lang w:eastAsia="pt-BR"/>
                <w14:ligatures w14:val="none"/>
              </w:rPr>
              <w:t>90.602</w:t>
            </w:r>
          </w:p>
        </w:tc>
        <w:tc>
          <w:tcPr>
            <w:tcW w:w="635" w:type="pct"/>
            <w:tcBorders>
              <w:top w:val="nil"/>
              <w:left w:val="nil"/>
              <w:bottom w:val="single" w:sz="8" w:space="0" w:color="auto"/>
              <w:right w:val="single" w:sz="8" w:space="0" w:color="auto"/>
            </w:tcBorders>
            <w:shd w:val="clear" w:color="auto" w:fill="auto"/>
            <w:noWrap/>
            <w:vAlign w:val="center"/>
            <w:hideMark/>
          </w:tcPr>
          <w:p w14:paraId="509A3716" w14:textId="77777777" w:rsidR="00DF2493" w:rsidRPr="00DF2493" w:rsidRDefault="00DF2493" w:rsidP="00DF2493">
            <w:pPr>
              <w:spacing w:after="0" w:line="240" w:lineRule="auto"/>
              <w:jc w:val="right"/>
              <w:rPr>
                <w:rFonts w:ascii="Arial" w:eastAsia="Times New Roman" w:hAnsi="Arial" w:cs="Arial"/>
                <w:color w:val="000000"/>
                <w:kern w:val="0"/>
                <w:sz w:val="18"/>
                <w:szCs w:val="18"/>
                <w:lang w:eastAsia="pt-BR"/>
                <w14:ligatures w14:val="none"/>
              </w:rPr>
            </w:pPr>
            <w:r w:rsidRPr="00DF2493">
              <w:rPr>
                <w:rFonts w:ascii="Arial" w:eastAsia="Times New Roman" w:hAnsi="Arial" w:cs="Arial"/>
                <w:color w:val="000000"/>
                <w:kern w:val="0"/>
                <w:sz w:val="18"/>
                <w:szCs w:val="18"/>
                <w:lang w:eastAsia="pt-BR"/>
                <w14:ligatures w14:val="none"/>
              </w:rPr>
              <w:t>45.710</w:t>
            </w:r>
          </w:p>
        </w:tc>
        <w:tc>
          <w:tcPr>
            <w:tcW w:w="571" w:type="pct"/>
            <w:tcBorders>
              <w:top w:val="nil"/>
              <w:left w:val="nil"/>
              <w:bottom w:val="single" w:sz="8" w:space="0" w:color="auto"/>
              <w:right w:val="single" w:sz="8" w:space="0" w:color="auto"/>
            </w:tcBorders>
            <w:shd w:val="clear" w:color="auto" w:fill="auto"/>
            <w:noWrap/>
            <w:vAlign w:val="center"/>
            <w:hideMark/>
          </w:tcPr>
          <w:p w14:paraId="47402FD1" w14:textId="77777777" w:rsidR="00DF2493" w:rsidRPr="00DF2493" w:rsidRDefault="00DF2493" w:rsidP="00DF2493">
            <w:pPr>
              <w:spacing w:after="0" w:line="240" w:lineRule="auto"/>
              <w:jc w:val="right"/>
              <w:rPr>
                <w:rFonts w:ascii="Arial" w:eastAsia="Times New Roman" w:hAnsi="Arial" w:cs="Arial"/>
                <w:color w:val="000000"/>
                <w:kern w:val="0"/>
                <w:sz w:val="18"/>
                <w:szCs w:val="18"/>
                <w:lang w:eastAsia="pt-BR"/>
                <w14:ligatures w14:val="none"/>
              </w:rPr>
            </w:pPr>
            <w:r w:rsidRPr="00DF2493">
              <w:rPr>
                <w:rFonts w:ascii="Arial" w:eastAsia="Times New Roman" w:hAnsi="Arial" w:cs="Arial"/>
                <w:color w:val="000000"/>
                <w:kern w:val="0"/>
                <w:sz w:val="18"/>
                <w:szCs w:val="18"/>
                <w:lang w:eastAsia="pt-BR"/>
                <w14:ligatures w14:val="none"/>
              </w:rPr>
              <w:t>44.892</w:t>
            </w:r>
          </w:p>
        </w:tc>
        <w:tc>
          <w:tcPr>
            <w:tcW w:w="575" w:type="pct"/>
            <w:tcBorders>
              <w:top w:val="nil"/>
              <w:left w:val="nil"/>
              <w:bottom w:val="single" w:sz="8" w:space="0" w:color="auto"/>
              <w:right w:val="single" w:sz="8" w:space="0" w:color="auto"/>
            </w:tcBorders>
            <w:shd w:val="clear" w:color="auto" w:fill="auto"/>
            <w:noWrap/>
            <w:vAlign w:val="center"/>
            <w:hideMark/>
          </w:tcPr>
          <w:p w14:paraId="04774331" w14:textId="77777777" w:rsidR="00DF2493" w:rsidRPr="00DF2493" w:rsidRDefault="00DF2493" w:rsidP="00DF2493">
            <w:pPr>
              <w:spacing w:after="0" w:line="240" w:lineRule="auto"/>
              <w:jc w:val="right"/>
              <w:rPr>
                <w:rFonts w:ascii="Arial" w:eastAsia="Times New Roman" w:hAnsi="Arial" w:cs="Arial"/>
                <w:color w:val="000000"/>
                <w:kern w:val="0"/>
                <w:sz w:val="18"/>
                <w:szCs w:val="18"/>
                <w:lang w:eastAsia="pt-BR"/>
                <w14:ligatures w14:val="none"/>
              </w:rPr>
            </w:pPr>
            <w:r w:rsidRPr="00DF2493">
              <w:rPr>
                <w:rFonts w:ascii="Arial" w:eastAsia="Times New Roman" w:hAnsi="Arial" w:cs="Arial"/>
                <w:color w:val="000000"/>
                <w:kern w:val="0"/>
                <w:sz w:val="18"/>
                <w:szCs w:val="18"/>
                <w:lang w:eastAsia="pt-BR"/>
                <w14:ligatures w14:val="none"/>
              </w:rPr>
              <w:t xml:space="preserve">            -   </w:t>
            </w:r>
          </w:p>
        </w:tc>
        <w:tc>
          <w:tcPr>
            <w:tcW w:w="575" w:type="pct"/>
            <w:tcBorders>
              <w:top w:val="nil"/>
              <w:left w:val="nil"/>
              <w:bottom w:val="single" w:sz="8" w:space="0" w:color="auto"/>
              <w:right w:val="single" w:sz="8" w:space="0" w:color="auto"/>
            </w:tcBorders>
            <w:shd w:val="clear" w:color="auto" w:fill="auto"/>
            <w:noWrap/>
            <w:vAlign w:val="center"/>
            <w:hideMark/>
          </w:tcPr>
          <w:p w14:paraId="6E594F3E" w14:textId="77777777" w:rsidR="00DF2493" w:rsidRPr="00DF2493" w:rsidRDefault="00DF2493" w:rsidP="00DF2493">
            <w:pPr>
              <w:spacing w:after="0" w:line="240" w:lineRule="auto"/>
              <w:jc w:val="right"/>
              <w:rPr>
                <w:rFonts w:ascii="Arial" w:eastAsia="Times New Roman" w:hAnsi="Arial" w:cs="Arial"/>
                <w:color w:val="000000"/>
                <w:kern w:val="0"/>
                <w:sz w:val="18"/>
                <w:szCs w:val="18"/>
                <w:lang w:eastAsia="pt-BR"/>
                <w14:ligatures w14:val="none"/>
              </w:rPr>
            </w:pPr>
            <w:r w:rsidRPr="00DF2493">
              <w:rPr>
                <w:rFonts w:ascii="Arial" w:eastAsia="Times New Roman" w:hAnsi="Arial" w:cs="Arial"/>
                <w:color w:val="000000"/>
                <w:kern w:val="0"/>
                <w:sz w:val="18"/>
                <w:szCs w:val="18"/>
                <w:lang w:eastAsia="pt-BR"/>
                <w14:ligatures w14:val="none"/>
              </w:rPr>
              <w:t xml:space="preserve">               -   </w:t>
            </w:r>
          </w:p>
        </w:tc>
      </w:tr>
      <w:tr w:rsidR="00DF2493" w:rsidRPr="00DF2493" w14:paraId="1F16BD56" w14:textId="77777777" w:rsidTr="00446A14">
        <w:trPr>
          <w:trHeight w:val="238"/>
        </w:trPr>
        <w:tc>
          <w:tcPr>
            <w:tcW w:w="2068" w:type="pct"/>
            <w:tcBorders>
              <w:top w:val="nil"/>
              <w:left w:val="single" w:sz="8" w:space="0" w:color="auto"/>
              <w:bottom w:val="single" w:sz="8" w:space="0" w:color="auto"/>
              <w:right w:val="single" w:sz="8" w:space="0" w:color="auto"/>
            </w:tcBorders>
            <w:shd w:val="clear" w:color="auto" w:fill="auto"/>
            <w:noWrap/>
            <w:vAlign w:val="bottom"/>
            <w:hideMark/>
          </w:tcPr>
          <w:p w14:paraId="43AD1164" w14:textId="77777777" w:rsidR="00DF2493" w:rsidRPr="00DF2493" w:rsidRDefault="00DF2493" w:rsidP="00DF2493">
            <w:pPr>
              <w:spacing w:after="0" w:line="240" w:lineRule="auto"/>
              <w:rPr>
                <w:rFonts w:ascii="Arial" w:eastAsia="Times New Roman" w:hAnsi="Arial" w:cs="Arial"/>
                <w:color w:val="000000"/>
                <w:kern w:val="0"/>
                <w:sz w:val="18"/>
                <w:szCs w:val="18"/>
                <w:lang w:eastAsia="pt-BR"/>
                <w14:ligatures w14:val="none"/>
              </w:rPr>
            </w:pPr>
            <w:r w:rsidRPr="00DF2493">
              <w:rPr>
                <w:rFonts w:ascii="Arial" w:eastAsia="Times New Roman" w:hAnsi="Arial" w:cs="Arial"/>
                <w:color w:val="000000"/>
                <w:kern w:val="0"/>
                <w:sz w:val="18"/>
                <w:szCs w:val="18"/>
                <w:lang w:eastAsia="pt-BR"/>
                <w14:ligatures w14:val="none"/>
              </w:rPr>
              <w:t>Arrendamento Mercantil Financeiro</w:t>
            </w:r>
          </w:p>
        </w:tc>
        <w:tc>
          <w:tcPr>
            <w:tcW w:w="575" w:type="pct"/>
            <w:tcBorders>
              <w:top w:val="nil"/>
              <w:left w:val="nil"/>
              <w:bottom w:val="single" w:sz="8" w:space="0" w:color="auto"/>
              <w:right w:val="single" w:sz="8" w:space="0" w:color="auto"/>
            </w:tcBorders>
            <w:shd w:val="clear" w:color="auto" w:fill="auto"/>
            <w:noWrap/>
            <w:vAlign w:val="center"/>
            <w:hideMark/>
          </w:tcPr>
          <w:p w14:paraId="61810B8F" w14:textId="77777777" w:rsidR="00DF2493" w:rsidRPr="00DF2493" w:rsidRDefault="00DF2493" w:rsidP="00DF2493">
            <w:pPr>
              <w:spacing w:after="0" w:line="240" w:lineRule="auto"/>
              <w:jc w:val="right"/>
              <w:rPr>
                <w:rFonts w:ascii="Arial" w:eastAsia="Times New Roman" w:hAnsi="Arial" w:cs="Arial"/>
                <w:color w:val="000000"/>
                <w:kern w:val="0"/>
                <w:sz w:val="18"/>
                <w:szCs w:val="18"/>
                <w:lang w:eastAsia="pt-BR"/>
                <w14:ligatures w14:val="none"/>
              </w:rPr>
            </w:pPr>
            <w:r w:rsidRPr="00DF2493">
              <w:rPr>
                <w:rFonts w:ascii="Arial" w:eastAsia="Times New Roman" w:hAnsi="Arial" w:cs="Arial"/>
                <w:color w:val="000000"/>
                <w:kern w:val="0"/>
                <w:sz w:val="18"/>
                <w:szCs w:val="18"/>
                <w:lang w:eastAsia="pt-BR"/>
                <w14:ligatures w14:val="none"/>
              </w:rPr>
              <w:t>14.121</w:t>
            </w:r>
          </w:p>
        </w:tc>
        <w:tc>
          <w:tcPr>
            <w:tcW w:w="635" w:type="pct"/>
            <w:tcBorders>
              <w:top w:val="nil"/>
              <w:left w:val="nil"/>
              <w:bottom w:val="single" w:sz="8" w:space="0" w:color="auto"/>
              <w:right w:val="single" w:sz="8" w:space="0" w:color="auto"/>
            </w:tcBorders>
            <w:shd w:val="clear" w:color="auto" w:fill="auto"/>
            <w:noWrap/>
            <w:vAlign w:val="center"/>
            <w:hideMark/>
          </w:tcPr>
          <w:p w14:paraId="2EA54BCF" w14:textId="77777777" w:rsidR="00DF2493" w:rsidRPr="00DF2493" w:rsidRDefault="00DF2493" w:rsidP="00DF2493">
            <w:pPr>
              <w:spacing w:after="0" w:line="240" w:lineRule="auto"/>
              <w:jc w:val="right"/>
              <w:rPr>
                <w:rFonts w:ascii="Arial" w:eastAsia="Times New Roman" w:hAnsi="Arial" w:cs="Arial"/>
                <w:color w:val="000000"/>
                <w:kern w:val="0"/>
                <w:sz w:val="18"/>
                <w:szCs w:val="18"/>
                <w:lang w:eastAsia="pt-BR"/>
                <w14:ligatures w14:val="none"/>
              </w:rPr>
            </w:pPr>
            <w:r w:rsidRPr="00DF2493">
              <w:rPr>
                <w:rFonts w:ascii="Arial" w:eastAsia="Times New Roman" w:hAnsi="Arial" w:cs="Arial"/>
                <w:color w:val="000000"/>
                <w:kern w:val="0"/>
                <w:sz w:val="18"/>
                <w:szCs w:val="18"/>
                <w:lang w:eastAsia="pt-BR"/>
                <w14:ligatures w14:val="none"/>
              </w:rPr>
              <w:t>5.324</w:t>
            </w:r>
          </w:p>
        </w:tc>
        <w:tc>
          <w:tcPr>
            <w:tcW w:w="571" w:type="pct"/>
            <w:tcBorders>
              <w:top w:val="nil"/>
              <w:left w:val="nil"/>
              <w:bottom w:val="single" w:sz="8" w:space="0" w:color="auto"/>
              <w:right w:val="single" w:sz="8" w:space="0" w:color="auto"/>
            </w:tcBorders>
            <w:shd w:val="clear" w:color="auto" w:fill="auto"/>
            <w:noWrap/>
            <w:vAlign w:val="center"/>
            <w:hideMark/>
          </w:tcPr>
          <w:p w14:paraId="165A1C65" w14:textId="77777777" w:rsidR="00DF2493" w:rsidRPr="00DF2493" w:rsidRDefault="00DF2493" w:rsidP="00DF2493">
            <w:pPr>
              <w:spacing w:after="0" w:line="240" w:lineRule="auto"/>
              <w:jc w:val="right"/>
              <w:rPr>
                <w:rFonts w:ascii="Arial" w:eastAsia="Times New Roman" w:hAnsi="Arial" w:cs="Arial"/>
                <w:color w:val="000000"/>
                <w:kern w:val="0"/>
                <w:sz w:val="18"/>
                <w:szCs w:val="18"/>
                <w:lang w:eastAsia="pt-BR"/>
                <w14:ligatures w14:val="none"/>
              </w:rPr>
            </w:pPr>
            <w:r w:rsidRPr="00DF2493">
              <w:rPr>
                <w:rFonts w:ascii="Arial" w:eastAsia="Times New Roman" w:hAnsi="Arial" w:cs="Arial"/>
                <w:color w:val="000000"/>
                <w:kern w:val="0"/>
                <w:sz w:val="18"/>
                <w:szCs w:val="18"/>
                <w:lang w:eastAsia="pt-BR"/>
                <w14:ligatures w14:val="none"/>
              </w:rPr>
              <w:t>7.152</w:t>
            </w:r>
          </w:p>
        </w:tc>
        <w:tc>
          <w:tcPr>
            <w:tcW w:w="575" w:type="pct"/>
            <w:tcBorders>
              <w:top w:val="nil"/>
              <w:left w:val="nil"/>
              <w:bottom w:val="single" w:sz="8" w:space="0" w:color="auto"/>
              <w:right w:val="single" w:sz="8" w:space="0" w:color="auto"/>
            </w:tcBorders>
            <w:shd w:val="clear" w:color="auto" w:fill="auto"/>
            <w:noWrap/>
            <w:vAlign w:val="center"/>
            <w:hideMark/>
          </w:tcPr>
          <w:p w14:paraId="19FFFA27" w14:textId="77777777" w:rsidR="00DF2493" w:rsidRPr="00DF2493" w:rsidRDefault="00DF2493" w:rsidP="00DF2493">
            <w:pPr>
              <w:spacing w:after="0" w:line="240" w:lineRule="auto"/>
              <w:jc w:val="right"/>
              <w:rPr>
                <w:rFonts w:ascii="Arial" w:eastAsia="Times New Roman" w:hAnsi="Arial" w:cs="Arial"/>
                <w:color w:val="000000"/>
                <w:kern w:val="0"/>
                <w:sz w:val="18"/>
                <w:szCs w:val="18"/>
                <w:lang w:eastAsia="pt-BR"/>
                <w14:ligatures w14:val="none"/>
              </w:rPr>
            </w:pPr>
            <w:r w:rsidRPr="00DF2493">
              <w:rPr>
                <w:rFonts w:ascii="Arial" w:eastAsia="Times New Roman" w:hAnsi="Arial" w:cs="Arial"/>
                <w:color w:val="000000"/>
                <w:kern w:val="0"/>
                <w:sz w:val="18"/>
                <w:szCs w:val="18"/>
                <w:lang w:eastAsia="pt-BR"/>
                <w14:ligatures w14:val="none"/>
              </w:rPr>
              <w:t>1.560</w:t>
            </w:r>
          </w:p>
        </w:tc>
        <w:tc>
          <w:tcPr>
            <w:tcW w:w="575" w:type="pct"/>
            <w:tcBorders>
              <w:top w:val="nil"/>
              <w:left w:val="nil"/>
              <w:bottom w:val="single" w:sz="8" w:space="0" w:color="auto"/>
              <w:right w:val="single" w:sz="8" w:space="0" w:color="auto"/>
            </w:tcBorders>
            <w:shd w:val="clear" w:color="auto" w:fill="auto"/>
            <w:noWrap/>
            <w:vAlign w:val="center"/>
            <w:hideMark/>
          </w:tcPr>
          <w:p w14:paraId="0C2C6B22" w14:textId="77777777" w:rsidR="00DF2493" w:rsidRPr="00DF2493" w:rsidRDefault="00DF2493" w:rsidP="00DF2493">
            <w:pPr>
              <w:spacing w:after="0" w:line="240" w:lineRule="auto"/>
              <w:jc w:val="right"/>
              <w:rPr>
                <w:rFonts w:ascii="Arial" w:eastAsia="Times New Roman" w:hAnsi="Arial" w:cs="Arial"/>
                <w:color w:val="000000"/>
                <w:kern w:val="0"/>
                <w:sz w:val="18"/>
                <w:szCs w:val="18"/>
                <w:lang w:eastAsia="pt-BR"/>
                <w14:ligatures w14:val="none"/>
              </w:rPr>
            </w:pPr>
            <w:r w:rsidRPr="00DF2493">
              <w:rPr>
                <w:rFonts w:ascii="Arial" w:eastAsia="Times New Roman" w:hAnsi="Arial" w:cs="Arial"/>
                <w:color w:val="000000"/>
                <w:kern w:val="0"/>
                <w:sz w:val="18"/>
                <w:szCs w:val="18"/>
                <w:lang w:eastAsia="pt-BR"/>
                <w14:ligatures w14:val="none"/>
              </w:rPr>
              <w:t>85</w:t>
            </w:r>
          </w:p>
        </w:tc>
      </w:tr>
      <w:tr w:rsidR="00DF2493" w:rsidRPr="00DF2493" w14:paraId="32EFC502" w14:textId="77777777" w:rsidTr="00446A14">
        <w:trPr>
          <w:trHeight w:val="238"/>
        </w:trPr>
        <w:tc>
          <w:tcPr>
            <w:tcW w:w="2068" w:type="pct"/>
            <w:tcBorders>
              <w:top w:val="nil"/>
              <w:left w:val="single" w:sz="8" w:space="0" w:color="auto"/>
              <w:bottom w:val="single" w:sz="8" w:space="0" w:color="auto"/>
              <w:right w:val="single" w:sz="8" w:space="0" w:color="auto"/>
            </w:tcBorders>
            <w:shd w:val="clear" w:color="auto" w:fill="auto"/>
            <w:noWrap/>
            <w:vAlign w:val="center"/>
            <w:hideMark/>
          </w:tcPr>
          <w:p w14:paraId="466A58BE" w14:textId="77777777" w:rsidR="00DF2493" w:rsidRPr="00DF2493" w:rsidRDefault="00DF2493" w:rsidP="00DF2493">
            <w:pPr>
              <w:spacing w:after="0" w:line="240" w:lineRule="auto"/>
              <w:rPr>
                <w:rFonts w:ascii="Arial" w:eastAsia="Times New Roman" w:hAnsi="Arial" w:cs="Arial"/>
                <w:color w:val="000000"/>
                <w:kern w:val="0"/>
                <w:sz w:val="18"/>
                <w:szCs w:val="18"/>
                <w:lang w:eastAsia="pt-BR"/>
                <w14:ligatures w14:val="none"/>
              </w:rPr>
            </w:pPr>
            <w:r w:rsidRPr="00DF2493">
              <w:rPr>
                <w:rFonts w:ascii="Arial" w:eastAsia="Times New Roman" w:hAnsi="Arial" w:cs="Arial"/>
                <w:color w:val="000000"/>
                <w:kern w:val="0"/>
                <w:sz w:val="18"/>
                <w:szCs w:val="18"/>
                <w:lang w:eastAsia="pt-BR"/>
                <w14:ligatures w14:val="none"/>
              </w:rPr>
              <w:t>Credores por Perdas Judiciais – FUNCEF</w:t>
            </w:r>
          </w:p>
        </w:tc>
        <w:tc>
          <w:tcPr>
            <w:tcW w:w="575" w:type="pct"/>
            <w:tcBorders>
              <w:top w:val="nil"/>
              <w:left w:val="nil"/>
              <w:bottom w:val="single" w:sz="8" w:space="0" w:color="auto"/>
              <w:right w:val="single" w:sz="8" w:space="0" w:color="auto"/>
            </w:tcBorders>
            <w:shd w:val="clear" w:color="auto" w:fill="auto"/>
            <w:noWrap/>
            <w:vAlign w:val="center"/>
            <w:hideMark/>
          </w:tcPr>
          <w:p w14:paraId="78DB5C51" w14:textId="77777777" w:rsidR="00DF2493" w:rsidRPr="00DF2493" w:rsidRDefault="00DF2493" w:rsidP="00DF2493">
            <w:pPr>
              <w:spacing w:after="0" w:line="240" w:lineRule="auto"/>
              <w:jc w:val="right"/>
              <w:rPr>
                <w:rFonts w:ascii="Arial" w:eastAsia="Times New Roman" w:hAnsi="Arial" w:cs="Arial"/>
                <w:color w:val="000000"/>
                <w:kern w:val="0"/>
                <w:sz w:val="18"/>
                <w:szCs w:val="18"/>
                <w:lang w:eastAsia="pt-BR"/>
                <w14:ligatures w14:val="none"/>
              </w:rPr>
            </w:pPr>
            <w:r w:rsidRPr="00DF2493">
              <w:rPr>
                <w:rFonts w:ascii="Arial" w:eastAsia="Times New Roman" w:hAnsi="Arial" w:cs="Arial"/>
                <w:color w:val="000000"/>
                <w:kern w:val="0"/>
                <w:sz w:val="18"/>
                <w:szCs w:val="18"/>
                <w:lang w:eastAsia="pt-BR"/>
                <w14:ligatures w14:val="none"/>
              </w:rPr>
              <w:t>60.198</w:t>
            </w:r>
          </w:p>
        </w:tc>
        <w:tc>
          <w:tcPr>
            <w:tcW w:w="635" w:type="pct"/>
            <w:tcBorders>
              <w:top w:val="nil"/>
              <w:left w:val="nil"/>
              <w:bottom w:val="single" w:sz="8" w:space="0" w:color="auto"/>
              <w:right w:val="single" w:sz="8" w:space="0" w:color="auto"/>
            </w:tcBorders>
            <w:shd w:val="clear" w:color="auto" w:fill="auto"/>
            <w:noWrap/>
            <w:vAlign w:val="center"/>
            <w:hideMark/>
          </w:tcPr>
          <w:p w14:paraId="127193D4" w14:textId="77777777" w:rsidR="00DF2493" w:rsidRPr="00DF2493" w:rsidRDefault="00DF2493" w:rsidP="00DF2493">
            <w:pPr>
              <w:spacing w:after="0" w:line="240" w:lineRule="auto"/>
              <w:jc w:val="right"/>
              <w:rPr>
                <w:rFonts w:ascii="Arial" w:eastAsia="Times New Roman" w:hAnsi="Arial" w:cs="Arial"/>
                <w:color w:val="000000"/>
                <w:kern w:val="0"/>
                <w:sz w:val="18"/>
                <w:szCs w:val="18"/>
                <w:lang w:eastAsia="pt-BR"/>
                <w14:ligatures w14:val="none"/>
              </w:rPr>
            </w:pPr>
            <w:r w:rsidRPr="00DF2493">
              <w:rPr>
                <w:rFonts w:ascii="Arial" w:eastAsia="Times New Roman" w:hAnsi="Arial" w:cs="Arial"/>
                <w:color w:val="000000"/>
                <w:kern w:val="0"/>
                <w:sz w:val="18"/>
                <w:szCs w:val="18"/>
                <w:lang w:eastAsia="pt-BR"/>
                <w14:ligatures w14:val="none"/>
              </w:rPr>
              <w:t>6.020</w:t>
            </w:r>
          </w:p>
        </w:tc>
        <w:tc>
          <w:tcPr>
            <w:tcW w:w="571" w:type="pct"/>
            <w:tcBorders>
              <w:top w:val="nil"/>
              <w:left w:val="nil"/>
              <w:bottom w:val="single" w:sz="8" w:space="0" w:color="auto"/>
              <w:right w:val="single" w:sz="8" w:space="0" w:color="auto"/>
            </w:tcBorders>
            <w:shd w:val="clear" w:color="auto" w:fill="auto"/>
            <w:noWrap/>
            <w:vAlign w:val="center"/>
            <w:hideMark/>
          </w:tcPr>
          <w:p w14:paraId="2A40DDFF" w14:textId="77777777" w:rsidR="00DF2493" w:rsidRPr="00DF2493" w:rsidRDefault="00DF2493" w:rsidP="00DF2493">
            <w:pPr>
              <w:spacing w:after="0" w:line="240" w:lineRule="auto"/>
              <w:jc w:val="right"/>
              <w:rPr>
                <w:rFonts w:ascii="Arial" w:eastAsia="Times New Roman" w:hAnsi="Arial" w:cs="Arial"/>
                <w:color w:val="000000"/>
                <w:kern w:val="0"/>
                <w:sz w:val="18"/>
                <w:szCs w:val="18"/>
                <w:lang w:eastAsia="pt-BR"/>
                <w14:ligatures w14:val="none"/>
              </w:rPr>
            </w:pPr>
            <w:r w:rsidRPr="00DF2493">
              <w:rPr>
                <w:rFonts w:ascii="Arial" w:eastAsia="Times New Roman" w:hAnsi="Arial" w:cs="Arial"/>
                <w:color w:val="000000"/>
                <w:kern w:val="0"/>
                <w:sz w:val="18"/>
                <w:szCs w:val="18"/>
                <w:lang w:eastAsia="pt-BR"/>
                <w14:ligatures w14:val="none"/>
              </w:rPr>
              <w:t>12.040</w:t>
            </w:r>
          </w:p>
        </w:tc>
        <w:tc>
          <w:tcPr>
            <w:tcW w:w="575" w:type="pct"/>
            <w:tcBorders>
              <w:top w:val="nil"/>
              <w:left w:val="nil"/>
              <w:bottom w:val="single" w:sz="8" w:space="0" w:color="auto"/>
              <w:right w:val="single" w:sz="8" w:space="0" w:color="auto"/>
            </w:tcBorders>
            <w:shd w:val="clear" w:color="auto" w:fill="auto"/>
            <w:noWrap/>
            <w:vAlign w:val="center"/>
            <w:hideMark/>
          </w:tcPr>
          <w:p w14:paraId="15913909" w14:textId="77777777" w:rsidR="00DF2493" w:rsidRPr="00DF2493" w:rsidRDefault="00DF2493" w:rsidP="00DF2493">
            <w:pPr>
              <w:spacing w:after="0" w:line="240" w:lineRule="auto"/>
              <w:jc w:val="right"/>
              <w:rPr>
                <w:rFonts w:ascii="Arial" w:eastAsia="Times New Roman" w:hAnsi="Arial" w:cs="Arial"/>
                <w:color w:val="000000"/>
                <w:kern w:val="0"/>
                <w:sz w:val="18"/>
                <w:szCs w:val="18"/>
                <w:lang w:eastAsia="pt-BR"/>
                <w14:ligatures w14:val="none"/>
              </w:rPr>
            </w:pPr>
            <w:r w:rsidRPr="00DF2493">
              <w:rPr>
                <w:rFonts w:ascii="Arial" w:eastAsia="Times New Roman" w:hAnsi="Arial" w:cs="Arial"/>
                <w:color w:val="000000"/>
                <w:kern w:val="0"/>
                <w:sz w:val="18"/>
                <w:szCs w:val="18"/>
                <w:lang w:eastAsia="pt-BR"/>
                <w14:ligatures w14:val="none"/>
              </w:rPr>
              <w:t>18.060</w:t>
            </w:r>
          </w:p>
        </w:tc>
        <w:tc>
          <w:tcPr>
            <w:tcW w:w="575" w:type="pct"/>
            <w:tcBorders>
              <w:top w:val="nil"/>
              <w:left w:val="nil"/>
              <w:bottom w:val="single" w:sz="8" w:space="0" w:color="auto"/>
              <w:right w:val="single" w:sz="8" w:space="0" w:color="auto"/>
            </w:tcBorders>
            <w:shd w:val="clear" w:color="auto" w:fill="auto"/>
            <w:noWrap/>
            <w:vAlign w:val="center"/>
            <w:hideMark/>
          </w:tcPr>
          <w:p w14:paraId="7F45C6FD" w14:textId="77777777" w:rsidR="00DF2493" w:rsidRPr="00DF2493" w:rsidRDefault="00DF2493" w:rsidP="00DF2493">
            <w:pPr>
              <w:spacing w:after="0" w:line="240" w:lineRule="auto"/>
              <w:jc w:val="right"/>
              <w:rPr>
                <w:rFonts w:ascii="Arial" w:eastAsia="Times New Roman" w:hAnsi="Arial" w:cs="Arial"/>
                <w:color w:val="000000"/>
                <w:kern w:val="0"/>
                <w:sz w:val="18"/>
                <w:szCs w:val="18"/>
                <w:lang w:eastAsia="pt-BR"/>
                <w14:ligatures w14:val="none"/>
              </w:rPr>
            </w:pPr>
            <w:r w:rsidRPr="00DF2493">
              <w:rPr>
                <w:rFonts w:ascii="Arial" w:eastAsia="Times New Roman" w:hAnsi="Arial" w:cs="Arial"/>
                <w:color w:val="000000"/>
                <w:kern w:val="0"/>
                <w:sz w:val="18"/>
                <w:szCs w:val="18"/>
                <w:lang w:eastAsia="pt-BR"/>
                <w14:ligatures w14:val="none"/>
              </w:rPr>
              <w:t>24.078</w:t>
            </w:r>
          </w:p>
        </w:tc>
      </w:tr>
      <w:tr w:rsidR="00DF2493" w:rsidRPr="00DF2493" w14:paraId="7A309B64" w14:textId="77777777" w:rsidTr="00446A14">
        <w:trPr>
          <w:trHeight w:val="238"/>
        </w:trPr>
        <w:tc>
          <w:tcPr>
            <w:tcW w:w="2068" w:type="pct"/>
            <w:tcBorders>
              <w:top w:val="nil"/>
              <w:left w:val="single" w:sz="8" w:space="0" w:color="auto"/>
              <w:bottom w:val="single" w:sz="8" w:space="0" w:color="auto"/>
              <w:right w:val="single" w:sz="8" w:space="0" w:color="auto"/>
            </w:tcBorders>
            <w:shd w:val="clear" w:color="auto" w:fill="auto"/>
            <w:noWrap/>
            <w:vAlign w:val="center"/>
            <w:hideMark/>
          </w:tcPr>
          <w:p w14:paraId="3365A330" w14:textId="77777777" w:rsidR="00DF2493" w:rsidRPr="00DF2493" w:rsidRDefault="00DF2493" w:rsidP="00DF2493">
            <w:pPr>
              <w:spacing w:after="0" w:line="240" w:lineRule="auto"/>
              <w:rPr>
                <w:rFonts w:ascii="Arial" w:eastAsia="Times New Roman" w:hAnsi="Arial" w:cs="Arial"/>
                <w:color w:val="000000"/>
                <w:kern w:val="0"/>
                <w:sz w:val="18"/>
                <w:szCs w:val="18"/>
                <w:lang w:eastAsia="pt-BR"/>
                <w14:ligatures w14:val="none"/>
              </w:rPr>
            </w:pPr>
            <w:r w:rsidRPr="00DF2493">
              <w:rPr>
                <w:rFonts w:ascii="Arial" w:eastAsia="Times New Roman" w:hAnsi="Arial" w:cs="Arial"/>
                <w:color w:val="000000"/>
                <w:kern w:val="0"/>
                <w:sz w:val="18"/>
                <w:szCs w:val="18"/>
                <w:lang w:eastAsia="pt-BR"/>
                <w14:ligatures w14:val="none"/>
              </w:rPr>
              <w:t>Credores por Perdas Judiciais – PREVI</w:t>
            </w:r>
          </w:p>
        </w:tc>
        <w:tc>
          <w:tcPr>
            <w:tcW w:w="575" w:type="pct"/>
            <w:tcBorders>
              <w:top w:val="nil"/>
              <w:left w:val="nil"/>
              <w:bottom w:val="single" w:sz="8" w:space="0" w:color="auto"/>
              <w:right w:val="single" w:sz="8" w:space="0" w:color="auto"/>
            </w:tcBorders>
            <w:shd w:val="clear" w:color="auto" w:fill="auto"/>
            <w:noWrap/>
            <w:vAlign w:val="center"/>
            <w:hideMark/>
          </w:tcPr>
          <w:p w14:paraId="5D322A86" w14:textId="77777777" w:rsidR="00DF2493" w:rsidRPr="00DF2493" w:rsidRDefault="00DF2493" w:rsidP="00DF2493">
            <w:pPr>
              <w:spacing w:after="0" w:line="240" w:lineRule="auto"/>
              <w:jc w:val="right"/>
              <w:rPr>
                <w:rFonts w:ascii="Arial" w:eastAsia="Times New Roman" w:hAnsi="Arial" w:cs="Arial"/>
                <w:color w:val="000000"/>
                <w:kern w:val="0"/>
                <w:sz w:val="18"/>
                <w:szCs w:val="18"/>
                <w:lang w:eastAsia="pt-BR"/>
                <w14:ligatures w14:val="none"/>
              </w:rPr>
            </w:pPr>
            <w:r w:rsidRPr="00DF2493">
              <w:rPr>
                <w:rFonts w:ascii="Arial" w:eastAsia="Times New Roman" w:hAnsi="Arial" w:cs="Arial"/>
                <w:color w:val="000000"/>
                <w:kern w:val="0"/>
                <w:sz w:val="18"/>
                <w:szCs w:val="18"/>
                <w:lang w:eastAsia="pt-BR"/>
                <w14:ligatures w14:val="none"/>
              </w:rPr>
              <w:t>72.242</w:t>
            </w:r>
          </w:p>
        </w:tc>
        <w:tc>
          <w:tcPr>
            <w:tcW w:w="635" w:type="pct"/>
            <w:tcBorders>
              <w:top w:val="nil"/>
              <w:left w:val="nil"/>
              <w:bottom w:val="single" w:sz="8" w:space="0" w:color="auto"/>
              <w:right w:val="single" w:sz="8" w:space="0" w:color="auto"/>
            </w:tcBorders>
            <w:shd w:val="clear" w:color="auto" w:fill="auto"/>
            <w:noWrap/>
            <w:vAlign w:val="center"/>
            <w:hideMark/>
          </w:tcPr>
          <w:p w14:paraId="68963875" w14:textId="77777777" w:rsidR="00DF2493" w:rsidRPr="00DF2493" w:rsidRDefault="00DF2493" w:rsidP="00DF2493">
            <w:pPr>
              <w:spacing w:after="0" w:line="240" w:lineRule="auto"/>
              <w:jc w:val="right"/>
              <w:rPr>
                <w:rFonts w:ascii="Arial" w:eastAsia="Times New Roman" w:hAnsi="Arial" w:cs="Arial"/>
                <w:color w:val="000000"/>
                <w:kern w:val="0"/>
                <w:sz w:val="18"/>
                <w:szCs w:val="18"/>
                <w:lang w:eastAsia="pt-BR"/>
                <w14:ligatures w14:val="none"/>
              </w:rPr>
            </w:pPr>
            <w:r w:rsidRPr="00DF2493">
              <w:rPr>
                <w:rFonts w:ascii="Arial" w:eastAsia="Times New Roman" w:hAnsi="Arial" w:cs="Arial"/>
                <w:color w:val="000000"/>
                <w:kern w:val="0"/>
                <w:sz w:val="18"/>
                <w:szCs w:val="18"/>
                <w:lang w:eastAsia="pt-BR"/>
                <w14:ligatures w14:val="none"/>
              </w:rPr>
              <w:t>10.416</w:t>
            </w:r>
          </w:p>
        </w:tc>
        <w:tc>
          <w:tcPr>
            <w:tcW w:w="571" w:type="pct"/>
            <w:tcBorders>
              <w:top w:val="nil"/>
              <w:left w:val="nil"/>
              <w:bottom w:val="single" w:sz="8" w:space="0" w:color="auto"/>
              <w:right w:val="single" w:sz="8" w:space="0" w:color="auto"/>
            </w:tcBorders>
            <w:shd w:val="clear" w:color="auto" w:fill="auto"/>
            <w:noWrap/>
            <w:vAlign w:val="center"/>
            <w:hideMark/>
          </w:tcPr>
          <w:p w14:paraId="6600E247" w14:textId="77777777" w:rsidR="00DF2493" w:rsidRPr="00DF2493" w:rsidRDefault="00DF2493" w:rsidP="00DF2493">
            <w:pPr>
              <w:spacing w:after="0" w:line="240" w:lineRule="auto"/>
              <w:jc w:val="right"/>
              <w:rPr>
                <w:rFonts w:ascii="Arial" w:eastAsia="Times New Roman" w:hAnsi="Arial" w:cs="Arial"/>
                <w:color w:val="000000"/>
                <w:kern w:val="0"/>
                <w:sz w:val="18"/>
                <w:szCs w:val="18"/>
                <w:lang w:eastAsia="pt-BR"/>
                <w14:ligatures w14:val="none"/>
              </w:rPr>
            </w:pPr>
            <w:r w:rsidRPr="00DF2493">
              <w:rPr>
                <w:rFonts w:ascii="Arial" w:eastAsia="Times New Roman" w:hAnsi="Arial" w:cs="Arial"/>
                <w:color w:val="000000"/>
                <w:kern w:val="0"/>
                <w:sz w:val="18"/>
                <w:szCs w:val="18"/>
                <w:lang w:eastAsia="pt-BR"/>
                <w14:ligatures w14:val="none"/>
              </w:rPr>
              <w:t>20.641</w:t>
            </w:r>
          </w:p>
        </w:tc>
        <w:tc>
          <w:tcPr>
            <w:tcW w:w="575" w:type="pct"/>
            <w:tcBorders>
              <w:top w:val="nil"/>
              <w:left w:val="nil"/>
              <w:bottom w:val="single" w:sz="8" w:space="0" w:color="auto"/>
              <w:right w:val="single" w:sz="8" w:space="0" w:color="auto"/>
            </w:tcBorders>
            <w:shd w:val="clear" w:color="auto" w:fill="auto"/>
            <w:noWrap/>
            <w:vAlign w:val="center"/>
            <w:hideMark/>
          </w:tcPr>
          <w:p w14:paraId="4AF5AEB6" w14:textId="77777777" w:rsidR="00DF2493" w:rsidRPr="00DF2493" w:rsidRDefault="00DF2493" w:rsidP="00DF2493">
            <w:pPr>
              <w:spacing w:after="0" w:line="240" w:lineRule="auto"/>
              <w:jc w:val="right"/>
              <w:rPr>
                <w:rFonts w:ascii="Arial" w:eastAsia="Times New Roman" w:hAnsi="Arial" w:cs="Arial"/>
                <w:color w:val="000000"/>
                <w:kern w:val="0"/>
                <w:sz w:val="18"/>
                <w:szCs w:val="18"/>
                <w:lang w:eastAsia="pt-BR"/>
                <w14:ligatures w14:val="none"/>
              </w:rPr>
            </w:pPr>
            <w:r w:rsidRPr="00DF2493">
              <w:rPr>
                <w:rFonts w:ascii="Arial" w:eastAsia="Times New Roman" w:hAnsi="Arial" w:cs="Arial"/>
                <w:color w:val="000000"/>
                <w:kern w:val="0"/>
                <w:sz w:val="18"/>
                <w:szCs w:val="18"/>
                <w:lang w:eastAsia="pt-BR"/>
                <w14:ligatures w14:val="none"/>
              </w:rPr>
              <w:t>30.961</w:t>
            </w:r>
          </w:p>
        </w:tc>
        <w:tc>
          <w:tcPr>
            <w:tcW w:w="575" w:type="pct"/>
            <w:tcBorders>
              <w:top w:val="nil"/>
              <w:left w:val="nil"/>
              <w:bottom w:val="single" w:sz="8" w:space="0" w:color="auto"/>
              <w:right w:val="single" w:sz="8" w:space="0" w:color="auto"/>
            </w:tcBorders>
            <w:shd w:val="clear" w:color="auto" w:fill="auto"/>
            <w:noWrap/>
            <w:vAlign w:val="center"/>
            <w:hideMark/>
          </w:tcPr>
          <w:p w14:paraId="4E3C4BB1" w14:textId="77777777" w:rsidR="00DF2493" w:rsidRPr="00DF2493" w:rsidRDefault="00DF2493" w:rsidP="00DF2493">
            <w:pPr>
              <w:spacing w:after="0" w:line="240" w:lineRule="auto"/>
              <w:jc w:val="right"/>
              <w:rPr>
                <w:rFonts w:ascii="Arial" w:eastAsia="Times New Roman" w:hAnsi="Arial" w:cs="Arial"/>
                <w:color w:val="000000"/>
                <w:kern w:val="0"/>
                <w:sz w:val="18"/>
                <w:szCs w:val="18"/>
                <w:lang w:eastAsia="pt-BR"/>
                <w14:ligatures w14:val="none"/>
              </w:rPr>
            </w:pPr>
            <w:r w:rsidRPr="00DF2493">
              <w:rPr>
                <w:rFonts w:ascii="Arial" w:eastAsia="Times New Roman" w:hAnsi="Arial" w:cs="Arial"/>
                <w:color w:val="000000"/>
                <w:kern w:val="0"/>
                <w:sz w:val="18"/>
                <w:szCs w:val="18"/>
                <w:lang w:eastAsia="pt-BR"/>
                <w14:ligatures w14:val="none"/>
              </w:rPr>
              <w:t>10.224</w:t>
            </w:r>
          </w:p>
        </w:tc>
      </w:tr>
      <w:tr w:rsidR="00DF2493" w:rsidRPr="00DF2493" w14:paraId="7C42DAF6" w14:textId="77777777" w:rsidTr="00446A14">
        <w:trPr>
          <w:trHeight w:val="238"/>
        </w:trPr>
        <w:tc>
          <w:tcPr>
            <w:tcW w:w="2068" w:type="pct"/>
            <w:tcBorders>
              <w:top w:val="nil"/>
              <w:left w:val="single" w:sz="8" w:space="0" w:color="auto"/>
              <w:bottom w:val="single" w:sz="8" w:space="0" w:color="auto"/>
              <w:right w:val="single" w:sz="8" w:space="0" w:color="auto"/>
            </w:tcBorders>
            <w:shd w:val="clear" w:color="auto" w:fill="auto"/>
            <w:noWrap/>
            <w:vAlign w:val="center"/>
            <w:hideMark/>
          </w:tcPr>
          <w:p w14:paraId="35C64038" w14:textId="77777777" w:rsidR="00DF2493" w:rsidRPr="00DF2493" w:rsidRDefault="00DF2493" w:rsidP="00DF2493">
            <w:pPr>
              <w:spacing w:after="0" w:line="240" w:lineRule="auto"/>
              <w:rPr>
                <w:rFonts w:ascii="Arial" w:eastAsia="Times New Roman" w:hAnsi="Arial" w:cs="Arial"/>
                <w:b/>
                <w:bCs/>
                <w:color w:val="000000"/>
                <w:kern w:val="0"/>
                <w:sz w:val="18"/>
                <w:szCs w:val="18"/>
                <w:lang w:eastAsia="pt-BR"/>
                <w14:ligatures w14:val="none"/>
              </w:rPr>
            </w:pPr>
            <w:r w:rsidRPr="00DF2493">
              <w:rPr>
                <w:rFonts w:ascii="Arial" w:eastAsia="Times New Roman" w:hAnsi="Arial" w:cs="Arial"/>
                <w:b/>
                <w:bCs/>
                <w:color w:val="000000"/>
                <w:kern w:val="0"/>
                <w:sz w:val="18"/>
                <w:szCs w:val="18"/>
                <w:lang w:eastAsia="pt-BR"/>
                <w14:ligatures w14:val="none"/>
              </w:rPr>
              <w:t>Total</w:t>
            </w:r>
          </w:p>
        </w:tc>
        <w:tc>
          <w:tcPr>
            <w:tcW w:w="575" w:type="pct"/>
            <w:tcBorders>
              <w:top w:val="nil"/>
              <w:left w:val="nil"/>
              <w:bottom w:val="single" w:sz="8" w:space="0" w:color="auto"/>
              <w:right w:val="single" w:sz="8" w:space="0" w:color="auto"/>
            </w:tcBorders>
            <w:shd w:val="clear" w:color="auto" w:fill="auto"/>
            <w:noWrap/>
            <w:vAlign w:val="center"/>
            <w:hideMark/>
          </w:tcPr>
          <w:p w14:paraId="119A659C" w14:textId="77777777" w:rsidR="00DF2493" w:rsidRPr="00DF2493" w:rsidRDefault="00DF2493" w:rsidP="00DF2493">
            <w:pPr>
              <w:spacing w:after="0" w:line="240" w:lineRule="auto"/>
              <w:jc w:val="right"/>
              <w:rPr>
                <w:rFonts w:ascii="Arial" w:eastAsia="Times New Roman" w:hAnsi="Arial" w:cs="Arial"/>
                <w:b/>
                <w:bCs/>
                <w:color w:val="000000"/>
                <w:kern w:val="0"/>
                <w:sz w:val="18"/>
                <w:szCs w:val="18"/>
                <w:lang w:eastAsia="pt-BR"/>
                <w14:ligatures w14:val="none"/>
              </w:rPr>
            </w:pPr>
            <w:r w:rsidRPr="00DF2493">
              <w:rPr>
                <w:rFonts w:ascii="Arial" w:eastAsia="Times New Roman" w:hAnsi="Arial" w:cs="Arial"/>
                <w:b/>
                <w:bCs/>
                <w:color w:val="000000"/>
                <w:kern w:val="0"/>
                <w:sz w:val="18"/>
                <w:szCs w:val="18"/>
                <w:lang w:eastAsia="pt-BR"/>
                <w14:ligatures w14:val="none"/>
              </w:rPr>
              <w:t>359.882</w:t>
            </w:r>
          </w:p>
        </w:tc>
        <w:tc>
          <w:tcPr>
            <w:tcW w:w="635" w:type="pct"/>
            <w:tcBorders>
              <w:top w:val="nil"/>
              <w:left w:val="nil"/>
              <w:bottom w:val="single" w:sz="8" w:space="0" w:color="auto"/>
              <w:right w:val="single" w:sz="8" w:space="0" w:color="auto"/>
            </w:tcBorders>
            <w:shd w:val="clear" w:color="auto" w:fill="auto"/>
            <w:noWrap/>
            <w:vAlign w:val="center"/>
            <w:hideMark/>
          </w:tcPr>
          <w:p w14:paraId="6B38CD2A" w14:textId="77777777" w:rsidR="00DF2493" w:rsidRPr="00DF2493" w:rsidRDefault="00DF2493" w:rsidP="00DF2493">
            <w:pPr>
              <w:spacing w:after="0" w:line="240" w:lineRule="auto"/>
              <w:jc w:val="right"/>
              <w:rPr>
                <w:rFonts w:ascii="Arial" w:eastAsia="Times New Roman" w:hAnsi="Arial" w:cs="Arial"/>
                <w:b/>
                <w:bCs/>
                <w:color w:val="000000"/>
                <w:kern w:val="0"/>
                <w:sz w:val="18"/>
                <w:szCs w:val="18"/>
                <w:lang w:eastAsia="pt-BR"/>
                <w14:ligatures w14:val="none"/>
              </w:rPr>
            </w:pPr>
            <w:r w:rsidRPr="00DF2493">
              <w:rPr>
                <w:rFonts w:ascii="Arial" w:eastAsia="Times New Roman" w:hAnsi="Arial" w:cs="Arial"/>
                <w:b/>
                <w:bCs/>
                <w:color w:val="000000"/>
                <w:kern w:val="0"/>
                <w:sz w:val="18"/>
                <w:szCs w:val="18"/>
                <w:lang w:eastAsia="pt-BR"/>
                <w14:ligatures w14:val="none"/>
              </w:rPr>
              <w:t>190.189</w:t>
            </w:r>
          </w:p>
        </w:tc>
        <w:tc>
          <w:tcPr>
            <w:tcW w:w="571" w:type="pct"/>
            <w:tcBorders>
              <w:top w:val="nil"/>
              <w:left w:val="nil"/>
              <w:bottom w:val="single" w:sz="8" w:space="0" w:color="auto"/>
              <w:right w:val="single" w:sz="8" w:space="0" w:color="auto"/>
            </w:tcBorders>
            <w:shd w:val="clear" w:color="auto" w:fill="auto"/>
            <w:noWrap/>
            <w:vAlign w:val="center"/>
            <w:hideMark/>
          </w:tcPr>
          <w:p w14:paraId="7D23A6A3" w14:textId="77777777" w:rsidR="00DF2493" w:rsidRPr="00DF2493" w:rsidRDefault="00DF2493" w:rsidP="00DF2493">
            <w:pPr>
              <w:spacing w:after="0" w:line="240" w:lineRule="auto"/>
              <w:jc w:val="right"/>
              <w:rPr>
                <w:rFonts w:ascii="Arial" w:eastAsia="Times New Roman" w:hAnsi="Arial" w:cs="Arial"/>
                <w:b/>
                <w:bCs/>
                <w:color w:val="000000"/>
                <w:kern w:val="0"/>
                <w:sz w:val="18"/>
                <w:szCs w:val="18"/>
                <w:lang w:eastAsia="pt-BR"/>
                <w14:ligatures w14:val="none"/>
              </w:rPr>
            </w:pPr>
            <w:r w:rsidRPr="00DF2493">
              <w:rPr>
                <w:rFonts w:ascii="Arial" w:eastAsia="Times New Roman" w:hAnsi="Arial" w:cs="Arial"/>
                <w:b/>
                <w:bCs/>
                <w:color w:val="000000"/>
                <w:kern w:val="0"/>
                <w:sz w:val="18"/>
                <w:szCs w:val="18"/>
                <w:lang w:eastAsia="pt-BR"/>
                <w14:ligatures w14:val="none"/>
              </w:rPr>
              <w:t>84.725</w:t>
            </w:r>
          </w:p>
        </w:tc>
        <w:tc>
          <w:tcPr>
            <w:tcW w:w="575" w:type="pct"/>
            <w:tcBorders>
              <w:top w:val="nil"/>
              <w:left w:val="nil"/>
              <w:bottom w:val="single" w:sz="8" w:space="0" w:color="auto"/>
              <w:right w:val="single" w:sz="8" w:space="0" w:color="auto"/>
            </w:tcBorders>
            <w:shd w:val="clear" w:color="auto" w:fill="auto"/>
            <w:noWrap/>
            <w:vAlign w:val="center"/>
            <w:hideMark/>
          </w:tcPr>
          <w:p w14:paraId="5BBCA816" w14:textId="77777777" w:rsidR="00DF2493" w:rsidRPr="00DF2493" w:rsidRDefault="00DF2493" w:rsidP="00DF2493">
            <w:pPr>
              <w:spacing w:after="0" w:line="240" w:lineRule="auto"/>
              <w:jc w:val="right"/>
              <w:rPr>
                <w:rFonts w:ascii="Arial" w:eastAsia="Times New Roman" w:hAnsi="Arial" w:cs="Arial"/>
                <w:b/>
                <w:bCs/>
                <w:color w:val="000000"/>
                <w:kern w:val="0"/>
                <w:sz w:val="18"/>
                <w:szCs w:val="18"/>
                <w:lang w:eastAsia="pt-BR"/>
                <w14:ligatures w14:val="none"/>
              </w:rPr>
            </w:pPr>
            <w:r w:rsidRPr="00DF2493">
              <w:rPr>
                <w:rFonts w:ascii="Arial" w:eastAsia="Times New Roman" w:hAnsi="Arial" w:cs="Arial"/>
                <w:b/>
                <w:bCs/>
                <w:color w:val="000000"/>
                <w:kern w:val="0"/>
                <w:sz w:val="18"/>
                <w:szCs w:val="18"/>
                <w:lang w:eastAsia="pt-BR"/>
                <w14:ligatures w14:val="none"/>
              </w:rPr>
              <w:t>50.581</w:t>
            </w:r>
          </w:p>
        </w:tc>
        <w:tc>
          <w:tcPr>
            <w:tcW w:w="575" w:type="pct"/>
            <w:tcBorders>
              <w:top w:val="nil"/>
              <w:left w:val="nil"/>
              <w:bottom w:val="single" w:sz="8" w:space="0" w:color="auto"/>
              <w:right w:val="single" w:sz="8" w:space="0" w:color="auto"/>
            </w:tcBorders>
            <w:shd w:val="clear" w:color="auto" w:fill="auto"/>
            <w:noWrap/>
            <w:vAlign w:val="center"/>
            <w:hideMark/>
          </w:tcPr>
          <w:p w14:paraId="6F892AFB" w14:textId="77777777" w:rsidR="00DF2493" w:rsidRPr="00DF2493" w:rsidRDefault="00DF2493" w:rsidP="00DF2493">
            <w:pPr>
              <w:spacing w:after="0" w:line="240" w:lineRule="auto"/>
              <w:jc w:val="right"/>
              <w:rPr>
                <w:rFonts w:ascii="Arial" w:eastAsia="Times New Roman" w:hAnsi="Arial" w:cs="Arial"/>
                <w:b/>
                <w:bCs/>
                <w:color w:val="000000"/>
                <w:kern w:val="0"/>
                <w:sz w:val="18"/>
                <w:szCs w:val="18"/>
                <w:lang w:eastAsia="pt-BR"/>
                <w14:ligatures w14:val="none"/>
              </w:rPr>
            </w:pPr>
            <w:r w:rsidRPr="00DF2493">
              <w:rPr>
                <w:rFonts w:ascii="Arial" w:eastAsia="Times New Roman" w:hAnsi="Arial" w:cs="Arial"/>
                <w:b/>
                <w:bCs/>
                <w:color w:val="000000"/>
                <w:kern w:val="0"/>
                <w:sz w:val="18"/>
                <w:szCs w:val="18"/>
                <w:lang w:eastAsia="pt-BR"/>
                <w14:ligatures w14:val="none"/>
              </w:rPr>
              <w:t>34.387</w:t>
            </w:r>
          </w:p>
        </w:tc>
      </w:tr>
    </w:tbl>
    <w:p w14:paraId="5A6C15F3" w14:textId="6D2A05C3" w:rsidR="00DF2493" w:rsidRPr="00DF2493" w:rsidRDefault="00DF2493" w:rsidP="007A23F8">
      <w:pPr>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4.1.4. </w:t>
      </w:r>
      <w:r w:rsidRPr="00DF2493">
        <w:rPr>
          <w:rFonts w:ascii="Calibri" w:eastAsia="Times New Roman" w:hAnsi="Calibri" w:cs="Calibri"/>
          <w:b/>
          <w:bCs/>
          <w:iCs/>
          <w:color w:val="002060"/>
          <w:kern w:val="0"/>
          <w14:ligatures w14:val="none"/>
        </w:rPr>
        <w:t>Risco de mercado</w:t>
      </w:r>
    </w:p>
    <w:p w14:paraId="4249D79D" w14:textId="5C126650" w:rsidR="00DF2493" w:rsidRPr="00DF2493" w:rsidRDefault="00DF2493" w:rsidP="007A23F8">
      <w:pPr>
        <w:spacing w:after="0" w:line="240" w:lineRule="auto"/>
        <w:jc w:val="both"/>
        <w:rPr>
          <w:rFonts w:ascii="Calibri" w:eastAsia="Times New Roman" w:hAnsi="Calibri" w:cs="Calibri"/>
          <w:b/>
          <w:bCs/>
          <w:iCs/>
          <w:color w:val="002060"/>
          <w:kern w:val="0"/>
          <w14:ligatures w14:val="none"/>
        </w:rPr>
      </w:pPr>
      <w:r w:rsidRPr="00DF2493">
        <w:rPr>
          <w:rFonts w:ascii="Calibri" w:eastAsia="Times New Roman" w:hAnsi="Calibri" w:cs="Calibri"/>
          <w:b/>
          <w:bCs/>
          <w:iCs/>
          <w:color w:val="002060"/>
          <w:kern w:val="0"/>
          <w14:ligatures w14:val="none"/>
        </w:rPr>
        <w:t>4.1.4.1.</w:t>
      </w:r>
      <w:r>
        <w:rPr>
          <w:rFonts w:ascii="Calibri" w:eastAsia="Times New Roman" w:hAnsi="Calibri" w:cs="Calibri"/>
          <w:iCs/>
          <w:color w:val="002060"/>
          <w:kern w:val="0"/>
          <w14:ligatures w14:val="none"/>
        </w:rPr>
        <w:t xml:space="preserve"> </w:t>
      </w:r>
      <w:r w:rsidRPr="00DF2493">
        <w:rPr>
          <w:rFonts w:ascii="Calibri" w:eastAsia="Times New Roman" w:hAnsi="Calibri" w:cs="Calibri"/>
          <w:b/>
          <w:bCs/>
          <w:iCs/>
          <w:color w:val="002060"/>
          <w:kern w:val="0"/>
          <w14:ligatures w14:val="none"/>
        </w:rPr>
        <w:t>Risco de taxa de juros</w:t>
      </w:r>
    </w:p>
    <w:p w14:paraId="54BC24AB" w14:textId="77777777" w:rsidR="00DF2493" w:rsidRPr="00DF2493" w:rsidRDefault="00DF2493" w:rsidP="007A23F8">
      <w:pPr>
        <w:spacing w:after="0" w:line="240" w:lineRule="auto"/>
        <w:jc w:val="both"/>
        <w:rPr>
          <w:rFonts w:ascii="Calibri" w:eastAsia="Times New Roman" w:hAnsi="Calibri" w:cs="Calibri"/>
          <w:iCs/>
          <w:color w:val="002060"/>
          <w:kern w:val="0"/>
          <w14:ligatures w14:val="none"/>
        </w:rPr>
      </w:pPr>
      <w:r w:rsidRPr="00DF2493">
        <w:rPr>
          <w:rFonts w:ascii="Calibri" w:eastAsia="Times New Roman" w:hAnsi="Calibri" w:cs="Calibri"/>
          <w:iCs/>
          <w:color w:val="002060"/>
          <w:kern w:val="0"/>
          <w14:ligatures w14:val="none"/>
        </w:rPr>
        <w:t>Consiste na possibilidade de a Companhia vir a incorrer em perdas por conta de flutuações nas taxas de juros, fazendo com que aumentem as despesas financeiras relativas a passivos sujeitos a juros flutuantes, que reduzem o rendimento dos ativos sujeitos a juros flutuantes e/ou quando a flutuação do valor justo na apuração de preço de ativos e passivos, que estejam marcados a mercado, sejam corrigidos com taxas prefixadas.</w:t>
      </w:r>
    </w:p>
    <w:p w14:paraId="7B0E89C6" w14:textId="77777777" w:rsidR="00DF2493" w:rsidRPr="00DF2493" w:rsidRDefault="00DF2493" w:rsidP="007A23F8">
      <w:pPr>
        <w:spacing w:after="0" w:line="240" w:lineRule="auto"/>
        <w:jc w:val="both"/>
        <w:rPr>
          <w:rFonts w:ascii="Calibri" w:eastAsia="Times New Roman" w:hAnsi="Calibri" w:cs="Calibri"/>
          <w:iCs/>
          <w:color w:val="002060"/>
          <w:kern w:val="0"/>
          <w14:ligatures w14:val="none"/>
        </w:rPr>
      </w:pPr>
      <w:r w:rsidRPr="00DF2493">
        <w:rPr>
          <w:rFonts w:ascii="Calibri" w:eastAsia="Times New Roman" w:hAnsi="Calibri" w:cs="Calibri"/>
          <w:iCs/>
          <w:color w:val="002060"/>
          <w:kern w:val="0"/>
          <w14:ligatures w14:val="none"/>
        </w:rPr>
        <w:t>As principais rubricas das informações contábeis intermediárias sujeitas a risco de taxa de juros são:</w:t>
      </w:r>
    </w:p>
    <w:p w14:paraId="77C86B6F" w14:textId="77777777" w:rsidR="00DF2493" w:rsidRPr="00DF2493" w:rsidRDefault="00DF2493" w:rsidP="007A23F8">
      <w:pPr>
        <w:spacing w:after="0" w:line="240" w:lineRule="auto"/>
        <w:jc w:val="both"/>
        <w:rPr>
          <w:rFonts w:ascii="Calibri" w:eastAsia="Times New Roman" w:hAnsi="Calibri" w:cs="Calibri"/>
          <w:iCs/>
          <w:color w:val="002060"/>
          <w:kern w:val="0"/>
          <w14:ligatures w14:val="none"/>
        </w:rPr>
      </w:pPr>
      <w:r w:rsidRPr="00DF2493">
        <w:rPr>
          <w:rFonts w:ascii="Calibri" w:eastAsia="Times New Roman" w:hAnsi="Calibri" w:cs="Calibri"/>
          <w:iCs/>
          <w:color w:val="002060"/>
          <w:kern w:val="0"/>
          <w14:ligatures w14:val="none"/>
        </w:rPr>
        <w:t>caixa, equivalentes de caixa e investimentos financeiros, pois são devido às limitações impostas pelo Conselho Monetário Nacional e pelo Banco Central do Brasil, através da Resolução nº 3.284/2005 (alterada pela Resolução nº 4034/2011), para aplicação de recursos disponíveis para investimentos, tornando a exposição da Companhia para este tipo de risco baixo. Os investimentos financeiros são realizados em fundos de investimento extramercado administrados pela Caixa Econômica Federal e pelo Banco do Brasil S.A.</w:t>
      </w:r>
    </w:p>
    <w:p w14:paraId="3334EAD3" w14:textId="2BBC7BFA" w:rsidR="00DF2493" w:rsidRPr="00DF2493" w:rsidRDefault="00DF2493" w:rsidP="007A23F8">
      <w:pPr>
        <w:spacing w:after="0" w:line="240" w:lineRule="auto"/>
        <w:jc w:val="both"/>
        <w:rPr>
          <w:rFonts w:ascii="Calibri" w:eastAsia="Times New Roman" w:hAnsi="Calibri" w:cs="Calibri"/>
          <w:b/>
          <w:bCs/>
          <w:iCs/>
          <w:color w:val="002060"/>
          <w:kern w:val="0"/>
          <w14:ligatures w14:val="none"/>
        </w:rPr>
      </w:pPr>
      <w:r w:rsidRPr="00DF2493">
        <w:rPr>
          <w:rFonts w:ascii="Calibri" w:eastAsia="Times New Roman" w:hAnsi="Calibri" w:cs="Calibri"/>
          <w:b/>
          <w:bCs/>
          <w:iCs/>
          <w:color w:val="002060"/>
          <w:kern w:val="0"/>
          <w14:ligatures w14:val="none"/>
        </w:rPr>
        <w:t>4.1.</w:t>
      </w:r>
      <w:r>
        <w:rPr>
          <w:rFonts w:ascii="Calibri" w:eastAsia="Times New Roman" w:hAnsi="Calibri" w:cs="Calibri"/>
          <w:b/>
          <w:bCs/>
          <w:iCs/>
          <w:color w:val="002060"/>
          <w:kern w:val="0"/>
          <w14:ligatures w14:val="none"/>
        </w:rPr>
        <w:t>5.</w:t>
      </w:r>
      <w:r w:rsidRPr="00DF2493">
        <w:rPr>
          <w:rFonts w:ascii="Calibri" w:eastAsia="Times New Roman" w:hAnsi="Calibri" w:cs="Calibri"/>
          <w:b/>
          <w:bCs/>
          <w:iCs/>
          <w:color w:val="002060"/>
          <w:kern w:val="0"/>
          <w14:ligatures w14:val="none"/>
        </w:rPr>
        <w:t xml:space="preserve"> Risco de operacional</w:t>
      </w:r>
    </w:p>
    <w:p w14:paraId="6F902381" w14:textId="77777777" w:rsidR="00DF2493" w:rsidRPr="00DF2493" w:rsidRDefault="00DF2493" w:rsidP="007A23F8">
      <w:pPr>
        <w:spacing w:after="0" w:line="240" w:lineRule="auto"/>
        <w:jc w:val="both"/>
        <w:rPr>
          <w:rFonts w:ascii="Calibri" w:eastAsia="Times New Roman" w:hAnsi="Calibri" w:cs="Calibri"/>
          <w:iCs/>
          <w:color w:val="002060"/>
          <w:kern w:val="0"/>
          <w14:ligatures w14:val="none"/>
        </w:rPr>
      </w:pPr>
      <w:r w:rsidRPr="00DF2493">
        <w:rPr>
          <w:rFonts w:ascii="Calibri" w:eastAsia="Times New Roman" w:hAnsi="Calibri" w:cs="Calibri"/>
          <w:iCs/>
          <w:color w:val="002060"/>
          <w:kern w:val="0"/>
          <w14:ligatures w14:val="none"/>
        </w:rPr>
        <w:t>Risco operacional é o risco de prejuízos diretos ou indiretos decorrentes de uma variedade de causas associadas a processos, pessoal, tecnologia e infraestrutura, como também a fatores externos, exceto riscos de crédito, mercado e liquidez, como aqueles decorrentes de exigências legais e regulatórias e de padrões geralmente aceitos de comportamento empresarial. Os riscos operacionais surgem de todas as operações da Companhia.</w:t>
      </w:r>
    </w:p>
    <w:p w14:paraId="5DD9C31A" w14:textId="77777777" w:rsidR="00DF2493" w:rsidRPr="00DF2493" w:rsidRDefault="00DF2493" w:rsidP="007A23F8">
      <w:pPr>
        <w:spacing w:after="0" w:line="240" w:lineRule="auto"/>
        <w:jc w:val="both"/>
        <w:rPr>
          <w:rFonts w:ascii="Calibri" w:eastAsia="Times New Roman" w:hAnsi="Calibri" w:cs="Calibri"/>
          <w:iCs/>
          <w:color w:val="002060"/>
          <w:kern w:val="0"/>
          <w14:ligatures w14:val="none"/>
        </w:rPr>
      </w:pPr>
      <w:r w:rsidRPr="00DF2493">
        <w:rPr>
          <w:rFonts w:ascii="Calibri" w:eastAsia="Times New Roman" w:hAnsi="Calibri" w:cs="Calibri"/>
          <w:iCs/>
          <w:color w:val="002060"/>
          <w:kern w:val="0"/>
          <w14:ligatures w14:val="none"/>
        </w:rPr>
        <w:t>O objetivo da Administração é gerenciar o risco operacional, para evitar a ocorrência de prejuízos operacionais ou financeiros e danos à reputação da Companhia, além de buscar eficácia de custos e evitar procedimentos de controle que restrinjam a iniciativa e a criatividade.</w:t>
      </w:r>
    </w:p>
    <w:p w14:paraId="5FF0CF40" w14:textId="77777777" w:rsidR="00DF2493" w:rsidRPr="00DF2493" w:rsidRDefault="00DF2493" w:rsidP="007A23F8">
      <w:pPr>
        <w:spacing w:after="0" w:line="240" w:lineRule="auto"/>
        <w:jc w:val="both"/>
        <w:rPr>
          <w:rFonts w:ascii="Calibri" w:eastAsia="Times New Roman" w:hAnsi="Calibri" w:cs="Calibri"/>
          <w:iCs/>
          <w:color w:val="002060"/>
          <w:kern w:val="0"/>
          <w14:ligatures w14:val="none"/>
        </w:rPr>
      </w:pPr>
      <w:r w:rsidRPr="00DF2493">
        <w:rPr>
          <w:rFonts w:ascii="Calibri" w:eastAsia="Times New Roman" w:hAnsi="Calibri" w:cs="Calibri"/>
          <w:iCs/>
          <w:color w:val="002060"/>
          <w:kern w:val="0"/>
          <w14:ligatures w14:val="none"/>
        </w:rPr>
        <w:t>Nesse sentido, a Companhia vem trabalhando para ampliar e melhorar a infraestrutura de rede de fibras ópticas (</w:t>
      </w:r>
      <w:proofErr w:type="spellStart"/>
      <w:r w:rsidRPr="00DF2493">
        <w:rPr>
          <w:rFonts w:ascii="Calibri" w:eastAsia="Times New Roman" w:hAnsi="Calibri" w:cs="Calibri"/>
          <w:i/>
          <w:iCs/>
          <w:color w:val="002060"/>
          <w:kern w:val="0"/>
          <w14:ligatures w14:val="none"/>
        </w:rPr>
        <w:t>backbone</w:t>
      </w:r>
      <w:proofErr w:type="spellEnd"/>
      <w:r w:rsidRPr="00DF2493">
        <w:rPr>
          <w:rFonts w:ascii="Calibri" w:eastAsia="Times New Roman" w:hAnsi="Calibri" w:cs="Calibri"/>
          <w:iCs/>
          <w:color w:val="002060"/>
          <w:kern w:val="0"/>
          <w14:ligatures w14:val="none"/>
        </w:rPr>
        <w:t xml:space="preserve">), visando aumentar sua área de atuação, bem como a carteira de clientes corporativos. Além da rede terrestre, a Telebras também viabilizou o segmento satelital com a utilização do Satélite Geoestacionário de Defesa e Comunicações Estratégicas (SGDC), o qual tem potencializado à geração de receita através da prestação de serviços neste segmento. </w:t>
      </w:r>
    </w:p>
    <w:p w14:paraId="54673D96" w14:textId="77777777" w:rsidR="00DF2493" w:rsidRPr="00DF2493" w:rsidRDefault="00DF2493" w:rsidP="007A23F8">
      <w:pPr>
        <w:spacing w:after="0" w:line="240" w:lineRule="auto"/>
        <w:jc w:val="both"/>
        <w:rPr>
          <w:rFonts w:ascii="Calibri" w:eastAsia="Times New Roman" w:hAnsi="Calibri" w:cs="Calibri"/>
          <w:iCs/>
          <w:color w:val="002060"/>
          <w:kern w:val="0"/>
          <w14:ligatures w14:val="none"/>
        </w:rPr>
      </w:pPr>
      <w:r w:rsidRPr="00DF2493">
        <w:rPr>
          <w:rFonts w:ascii="Calibri" w:eastAsia="Times New Roman" w:hAnsi="Calibri" w:cs="Calibri"/>
          <w:iCs/>
          <w:color w:val="002060"/>
          <w:kern w:val="0"/>
          <w14:ligatures w14:val="none"/>
        </w:rPr>
        <w:t xml:space="preserve">Todas essas ações aliadas às de marketing têm por objetivo proporcionar à Telebrás o reconhecimento de uma empresa forte e competitiva no cenário nacional de telecomunicações, detentora de um </w:t>
      </w:r>
      <w:proofErr w:type="spellStart"/>
      <w:r w:rsidRPr="00DF2493">
        <w:rPr>
          <w:rFonts w:ascii="Calibri" w:eastAsia="Times New Roman" w:hAnsi="Calibri" w:cs="Calibri"/>
          <w:i/>
          <w:iCs/>
          <w:color w:val="002060"/>
          <w:kern w:val="0"/>
          <w14:ligatures w14:val="none"/>
        </w:rPr>
        <w:t>backbone</w:t>
      </w:r>
      <w:proofErr w:type="spellEnd"/>
      <w:r w:rsidRPr="00DF2493">
        <w:rPr>
          <w:rFonts w:ascii="Calibri" w:eastAsia="Times New Roman" w:hAnsi="Calibri" w:cs="Calibri"/>
          <w:iCs/>
          <w:color w:val="002060"/>
          <w:kern w:val="0"/>
          <w14:ligatures w14:val="none"/>
        </w:rPr>
        <w:t xml:space="preserve"> nacional de qualidade e de tecnologias modernas, promovendo o acesso aos melhores serviços de telecomunicações com qualidade e melhor relação custo/benefício. A conquista de novos mercados terá como consequência o </w:t>
      </w:r>
      <w:r w:rsidRPr="00DF2493">
        <w:rPr>
          <w:rFonts w:ascii="Calibri" w:eastAsia="Times New Roman" w:hAnsi="Calibri" w:cs="Calibri"/>
          <w:iCs/>
          <w:color w:val="002060"/>
          <w:kern w:val="0"/>
          <w14:ligatures w14:val="none"/>
        </w:rPr>
        <w:lastRenderedPageBreak/>
        <w:t>expressivo aumento da receita operacional, a curto e médio prazos, com impactos positivos para o resultado da Companhia.</w:t>
      </w:r>
    </w:p>
    <w:p w14:paraId="38FCEF55" w14:textId="276AB72C" w:rsidR="00DF2493" w:rsidRPr="00DF2493" w:rsidRDefault="00DF2493" w:rsidP="007A23F8">
      <w:pPr>
        <w:spacing w:after="0" w:line="240" w:lineRule="auto"/>
        <w:jc w:val="both"/>
        <w:rPr>
          <w:rFonts w:ascii="Calibri" w:eastAsia="Times New Roman" w:hAnsi="Calibri" w:cs="Calibri"/>
          <w:b/>
          <w:bCs/>
          <w:iCs/>
          <w:color w:val="002060"/>
          <w:kern w:val="0"/>
          <w14:ligatures w14:val="none"/>
        </w:rPr>
      </w:pPr>
      <w:r w:rsidRPr="00DF2493">
        <w:rPr>
          <w:rFonts w:ascii="Calibri" w:eastAsia="Times New Roman" w:hAnsi="Calibri" w:cs="Calibri"/>
          <w:b/>
          <w:bCs/>
          <w:iCs/>
          <w:color w:val="002060"/>
          <w:kern w:val="0"/>
          <w14:ligatures w14:val="none"/>
        </w:rPr>
        <w:t>4.</w:t>
      </w:r>
      <w:r>
        <w:rPr>
          <w:rFonts w:ascii="Calibri" w:eastAsia="Times New Roman" w:hAnsi="Calibri" w:cs="Calibri"/>
          <w:b/>
          <w:bCs/>
          <w:iCs/>
          <w:color w:val="002060"/>
          <w:kern w:val="0"/>
          <w14:ligatures w14:val="none"/>
        </w:rPr>
        <w:t xml:space="preserve">2. </w:t>
      </w:r>
      <w:r w:rsidRPr="00DF2493">
        <w:rPr>
          <w:rFonts w:ascii="Calibri" w:eastAsia="Times New Roman" w:hAnsi="Calibri" w:cs="Calibri"/>
          <w:b/>
          <w:bCs/>
          <w:iCs/>
          <w:color w:val="002060"/>
          <w:kern w:val="0"/>
          <w14:ligatures w14:val="none"/>
        </w:rPr>
        <w:t>Análise de sensibilidade</w:t>
      </w:r>
    </w:p>
    <w:p w14:paraId="09588553" w14:textId="77777777" w:rsidR="00DF2493" w:rsidRPr="00DF2493" w:rsidRDefault="00DF2493" w:rsidP="007A23F8">
      <w:pPr>
        <w:spacing w:after="0" w:line="240" w:lineRule="auto"/>
        <w:jc w:val="both"/>
        <w:rPr>
          <w:rFonts w:ascii="Calibri" w:eastAsia="Times New Roman" w:hAnsi="Calibri" w:cs="Calibri"/>
          <w:iCs/>
          <w:color w:val="002060"/>
          <w:kern w:val="0"/>
          <w14:ligatures w14:val="none"/>
        </w:rPr>
      </w:pPr>
      <w:r w:rsidRPr="00DF2493">
        <w:rPr>
          <w:rFonts w:ascii="Calibri" w:eastAsia="Times New Roman" w:hAnsi="Calibri" w:cs="Calibri"/>
          <w:iCs/>
          <w:color w:val="002060"/>
          <w:kern w:val="0"/>
          <w14:ligatures w14:val="none"/>
        </w:rPr>
        <w:t>A Resolução CVM 121/22 estabelece que as companhias abertas, em complemento ao disposto no CPC 40 (R1) Instrumentos Financeiros: Evidenciação – (IFRS 7 - IASB), devem divulgar quadro demonstrativo de análise de sensibilidade para cada tipo de risco de mercado considerado relevante pela administração, originado por instrumentos financeiros, ao qual a entidade esteja exposta na data de encerramento de cada período, incluídas todas as operações com instrumentos financeiros derivativos.</w:t>
      </w:r>
    </w:p>
    <w:p w14:paraId="1AA5B09A" w14:textId="77777777" w:rsidR="00DF2493" w:rsidRPr="00DF2493" w:rsidRDefault="00DF2493" w:rsidP="007A23F8">
      <w:pPr>
        <w:spacing w:after="0" w:line="240" w:lineRule="auto"/>
        <w:jc w:val="both"/>
        <w:rPr>
          <w:rFonts w:ascii="Calibri" w:eastAsia="Times New Roman" w:hAnsi="Calibri" w:cs="Calibri"/>
          <w:iCs/>
          <w:color w:val="002060"/>
          <w:kern w:val="0"/>
          <w14:ligatures w14:val="none"/>
        </w:rPr>
      </w:pPr>
      <w:r w:rsidRPr="00DF2493">
        <w:rPr>
          <w:rFonts w:ascii="Calibri" w:eastAsia="Times New Roman" w:hAnsi="Calibri" w:cs="Calibri"/>
          <w:iCs/>
          <w:color w:val="002060"/>
          <w:kern w:val="0"/>
          <w14:ligatures w14:val="none"/>
        </w:rPr>
        <w:t>A Administração realizou a análise de sensibilidade apenas para o instrumento financeiro de Credores por Perdas Judiciais, pois, quanto aos demais, entende-se que a Companhia não está exposta a riscos significativos que possam impactar de forma relevante os negócios da Telebras, conforme exposto nos itens acima.</w:t>
      </w:r>
    </w:p>
    <w:p w14:paraId="57CCC376" w14:textId="77777777" w:rsidR="00DF2493" w:rsidRPr="00DF2493" w:rsidRDefault="00DF2493" w:rsidP="007A23F8">
      <w:pPr>
        <w:spacing w:after="0" w:line="240" w:lineRule="auto"/>
        <w:jc w:val="both"/>
        <w:rPr>
          <w:rFonts w:ascii="Calibri" w:eastAsia="Times New Roman" w:hAnsi="Calibri" w:cs="Calibri"/>
          <w:iCs/>
          <w:color w:val="002060"/>
          <w:kern w:val="0"/>
          <w14:ligatures w14:val="none"/>
        </w:rPr>
      </w:pPr>
      <w:r w:rsidRPr="00DF2493">
        <w:rPr>
          <w:rFonts w:ascii="Calibri" w:eastAsia="Times New Roman" w:hAnsi="Calibri" w:cs="Calibri"/>
          <w:iCs/>
          <w:color w:val="002060"/>
          <w:kern w:val="0"/>
          <w14:ligatures w14:val="none"/>
        </w:rPr>
        <w:t>Dessa forma, no que se refere ao risco de elevação da inflação, a Administração estima que, em um cenário provável em 31 de dezembro de 2024, o INPC será de 3,80%, conforme projeção divulgada em publicação do IPEA - Carta Conjuntura nº 61 do 4º trimestre de 2023. Assim, foi realizada análise de sensibilidade dos efeitos nos resultados advindos de uma elevação na inflação de 25% e 50% em relação ao cenário provável, considerados como possível e remoto, respectivamente.</w:t>
      </w:r>
    </w:p>
    <w:tbl>
      <w:tblPr>
        <w:tblW w:w="5000" w:type="pct"/>
        <w:tblLayout w:type="fixed"/>
        <w:tblCellMar>
          <w:left w:w="70" w:type="dxa"/>
          <w:right w:w="70" w:type="dxa"/>
        </w:tblCellMar>
        <w:tblLook w:val="04A0" w:firstRow="1" w:lastRow="0" w:firstColumn="1" w:lastColumn="0" w:noHBand="0" w:noVBand="1"/>
      </w:tblPr>
      <w:tblGrid>
        <w:gridCol w:w="4668"/>
        <w:gridCol w:w="994"/>
        <w:gridCol w:w="994"/>
        <w:gridCol w:w="1085"/>
        <w:gridCol w:w="1011"/>
        <w:gridCol w:w="1009"/>
      </w:tblGrid>
      <w:tr w:rsidR="00DF2493" w:rsidRPr="00DF2493" w14:paraId="4F1823B1" w14:textId="77777777" w:rsidTr="00446A14">
        <w:trPr>
          <w:trHeight w:val="238"/>
        </w:trPr>
        <w:tc>
          <w:tcPr>
            <w:tcW w:w="2391"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50397E0C" w14:textId="77777777" w:rsidR="00DF2493" w:rsidRPr="00DF2493" w:rsidRDefault="00DF2493" w:rsidP="00DF2493">
            <w:pPr>
              <w:spacing w:after="0" w:line="240" w:lineRule="auto"/>
              <w:rPr>
                <w:rFonts w:ascii="Arial" w:eastAsia="Times New Roman" w:hAnsi="Arial" w:cs="Arial"/>
                <w:b/>
                <w:bCs/>
                <w:color w:val="000000"/>
                <w:kern w:val="0"/>
                <w:sz w:val="17"/>
                <w:szCs w:val="17"/>
                <w:lang w:eastAsia="pt-BR"/>
                <w14:ligatures w14:val="none"/>
              </w:rPr>
            </w:pPr>
            <w:r w:rsidRPr="00DF2493">
              <w:rPr>
                <w:rFonts w:ascii="Arial" w:eastAsia="Times New Roman" w:hAnsi="Arial" w:cs="Arial"/>
                <w:b/>
                <w:bCs/>
                <w:color w:val="000000"/>
                <w:kern w:val="0"/>
                <w:sz w:val="17"/>
                <w:szCs w:val="17"/>
                <w:lang w:eastAsia="pt-BR"/>
                <w14:ligatures w14:val="none"/>
              </w:rPr>
              <w:t>Risco - Elevação da Inflação</w:t>
            </w:r>
          </w:p>
        </w:tc>
        <w:tc>
          <w:tcPr>
            <w:tcW w:w="50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8A57F15" w14:textId="77777777" w:rsidR="00DF2493" w:rsidRPr="00DF2493" w:rsidRDefault="00DF2493" w:rsidP="00DF2493">
            <w:pPr>
              <w:spacing w:after="0" w:line="240" w:lineRule="auto"/>
              <w:jc w:val="center"/>
              <w:rPr>
                <w:rFonts w:ascii="Arial" w:eastAsia="Times New Roman" w:hAnsi="Arial" w:cs="Arial"/>
                <w:b/>
                <w:bCs/>
                <w:color w:val="000000"/>
                <w:kern w:val="0"/>
                <w:sz w:val="17"/>
                <w:szCs w:val="17"/>
                <w:lang w:eastAsia="pt-BR"/>
                <w14:ligatures w14:val="none"/>
              </w:rPr>
            </w:pPr>
            <w:r w:rsidRPr="00DF2493">
              <w:rPr>
                <w:rFonts w:ascii="Arial" w:eastAsia="Times New Roman" w:hAnsi="Arial" w:cs="Arial"/>
                <w:b/>
                <w:bCs/>
                <w:color w:val="000000"/>
                <w:kern w:val="0"/>
                <w:sz w:val="17"/>
                <w:szCs w:val="17"/>
                <w:lang w:eastAsia="pt-BR"/>
                <w14:ligatures w14:val="none"/>
              </w:rPr>
              <w:t>Indexador</w:t>
            </w:r>
          </w:p>
        </w:tc>
        <w:tc>
          <w:tcPr>
            <w:tcW w:w="50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009119D" w14:textId="77777777" w:rsidR="00DF2493" w:rsidRPr="00DF2493" w:rsidRDefault="00DF2493" w:rsidP="00DF2493">
            <w:pPr>
              <w:spacing w:after="0" w:line="240" w:lineRule="auto"/>
              <w:jc w:val="center"/>
              <w:rPr>
                <w:rFonts w:ascii="Arial" w:eastAsia="Times New Roman" w:hAnsi="Arial" w:cs="Arial"/>
                <w:b/>
                <w:bCs/>
                <w:color w:val="000000"/>
                <w:kern w:val="0"/>
                <w:sz w:val="17"/>
                <w:szCs w:val="17"/>
                <w:lang w:eastAsia="pt-BR"/>
                <w14:ligatures w14:val="none"/>
              </w:rPr>
            </w:pPr>
            <w:r w:rsidRPr="00DF2493">
              <w:rPr>
                <w:rFonts w:ascii="Arial" w:eastAsia="Times New Roman" w:hAnsi="Arial" w:cs="Arial"/>
                <w:b/>
                <w:bCs/>
                <w:color w:val="000000"/>
                <w:kern w:val="0"/>
                <w:sz w:val="17"/>
                <w:szCs w:val="17"/>
                <w:lang w:eastAsia="pt-BR"/>
                <w14:ligatures w14:val="none"/>
              </w:rPr>
              <w:t>Valor Contábil</w:t>
            </w:r>
          </w:p>
        </w:tc>
        <w:tc>
          <w:tcPr>
            <w:tcW w:w="1591"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46F5645D" w14:textId="77777777" w:rsidR="00DF2493" w:rsidRPr="00DF2493" w:rsidRDefault="00DF2493" w:rsidP="00DF2493">
            <w:pPr>
              <w:spacing w:after="0" w:line="240" w:lineRule="auto"/>
              <w:jc w:val="center"/>
              <w:rPr>
                <w:rFonts w:ascii="Arial" w:eastAsia="Times New Roman" w:hAnsi="Arial" w:cs="Arial"/>
                <w:b/>
                <w:bCs/>
                <w:color w:val="000000"/>
                <w:kern w:val="0"/>
                <w:sz w:val="17"/>
                <w:szCs w:val="17"/>
                <w:lang w:eastAsia="pt-BR"/>
                <w14:ligatures w14:val="none"/>
              </w:rPr>
            </w:pPr>
            <w:r w:rsidRPr="00DF2493">
              <w:rPr>
                <w:rFonts w:ascii="Arial" w:eastAsia="Times New Roman" w:hAnsi="Arial" w:cs="Arial"/>
                <w:b/>
                <w:bCs/>
                <w:color w:val="000000"/>
                <w:kern w:val="0"/>
                <w:sz w:val="17"/>
                <w:szCs w:val="17"/>
                <w:lang w:eastAsia="pt-BR"/>
                <w14:ligatures w14:val="none"/>
              </w:rPr>
              <w:t>Cenários Projetados - 31/12/2024</w:t>
            </w:r>
          </w:p>
        </w:tc>
      </w:tr>
      <w:tr w:rsidR="00DF2493" w:rsidRPr="00DF2493" w14:paraId="0546610B" w14:textId="77777777" w:rsidTr="00446A14">
        <w:trPr>
          <w:trHeight w:val="238"/>
        </w:trPr>
        <w:tc>
          <w:tcPr>
            <w:tcW w:w="2391" w:type="pct"/>
            <w:vMerge/>
            <w:tcBorders>
              <w:top w:val="single" w:sz="8" w:space="0" w:color="auto"/>
              <w:left w:val="single" w:sz="8" w:space="0" w:color="auto"/>
              <w:bottom w:val="single" w:sz="8" w:space="0" w:color="000000"/>
              <w:right w:val="single" w:sz="8" w:space="0" w:color="auto"/>
            </w:tcBorders>
            <w:vAlign w:val="center"/>
            <w:hideMark/>
          </w:tcPr>
          <w:p w14:paraId="6C1E2A52" w14:textId="77777777" w:rsidR="00DF2493" w:rsidRPr="00DF2493" w:rsidRDefault="00DF2493" w:rsidP="00DF2493">
            <w:pPr>
              <w:spacing w:after="0" w:line="240" w:lineRule="auto"/>
              <w:rPr>
                <w:rFonts w:ascii="Arial" w:eastAsia="Times New Roman" w:hAnsi="Arial" w:cs="Arial"/>
                <w:b/>
                <w:bCs/>
                <w:color w:val="000000"/>
                <w:kern w:val="0"/>
                <w:sz w:val="17"/>
                <w:szCs w:val="17"/>
                <w:lang w:eastAsia="pt-BR"/>
                <w14:ligatures w14:val="none"/>
              </w:rPr>
            </w:pPr>
          </w:p>
        </w:tc>
        <w:tc>
          <w:tcPr>
            <w:tcW w:w="509" w:type="pct"/>
            <w:vMerge/>
            <w:tcBorders>
              <w:top w:val="single" w:sz="8" w:space="0" w:color="auto"/>
              <w:left w:val="single" w:sz="8" w:space="0" w:color="auto"/>
              <w:bottom w:val="single" w:sz="8" w:space="0" w:color="000000"/>
              <w:right w:val="single" w:sz="8" w:space="0" w:color="auto"/>
            </w:tcBorders>
            <w:vAlign w:val="center"/>
            <w:hideMark/>
          </w:tcPr>
          <w:p w14:paraId="5C4A70A4" w14:textId="77777777" w:rsidR="00DF2493" w:rsidRPr="00DF2493" w:rsidRDefault="00DF2493" w:rsidP="00DF2493">
            <w:pPr>
              <w:spacing w:after="0" w:line="240" w:lineRule="auto"/>
              <w:rPr>
                <w:rFonts w:ascii="Arial" w:eastAsia="Times New Roman" w:hAnsi="Arial" w:cs="Arial"/>
                <w:b/>
                <w:bCs/>
                <w:color w:val="000000"/>
                <w:kern w:val="0"/>
                <w:sz w:val="17"/>
                <w:szCs w:val="17"/>
                <w:lang w:eastAsia="pt-BR"/>
                <w14:ligatures w14:val="none"/>
              </w:rPr>
            </w:pPr>
          </w:p>
        </w:tc>
        <w:tc>
          <w:tcPr>
            <w:tcW w:w="509" w:type="pct"/>
            <w:vMerge/>
            <w:tcBorders>
              <w:top w:val="single" w:sz="8" w:space="0" w:color="auto"/>
              <w:left w:val="single" w:sz="8" w:space="0" w:color="auto"/>
              <w:bottom w:val="single" w:sz="8" w:space="0" w:color="000000"/>
              <w:right w:val="single" w:sz="8" w:space="0" w:color="auto"/>
            </w:tcBorders>
            <w:vAlign w:val="center"/>
            <w:hideMark/>
          </w:tcPr>
          <w:p w14:paraId="2ED0304D" w14:textId="77777777" w:rsidR="00DF2493" w:rsidRPr="00DF2493" w:rsidRDefault="00DF2493" w:rsidP="00DF2493">
            <w:pPr>
              <w:spacing w:after="0" w:line="240" w:lineRule="auto"/>
              <w:rPr>
                <w:rFonts w:ascii="Arial" w:eastAsia="Times New Roman" w:hAnsi="Arial" w:cs="Arial"/>
                <w:b/>
                <w:bCs/>
                <w:color w:val="000000"/>
                <w:kern w:val="0"/>
                <w:sz w:val="17"/>
                <w:szCs w:val="17"/>
                <w:lang w:eastAsia="pt-BR"/>
                <w14:ligatures w14:val="none"/>
              </w:rPr>
            </w:pPr>
          </w:p>
        </w:tc>
        <w:tc>
          <w:tcPr>
            <w:tcW w:w="556" w:type="pct"/>
            <w:tcBorders>
              <w:top w:val="nil"/>
              <w:left w:val="nil"/>
              <w:bottom w:val="single" w:sz="8" w:space="0" w:color="auto"/>
              <w:right w:val="single" w:sz="8" w:space="0" w:color="auto"/>
            </w:tcBorders>
            <w:shd w:val="clear" w:color="auto" w:fill="auto"/>
            <w:vAlign w:val="center"/>
            <w:hideMark/>
          </w:tcPr>
          <w:p w14:paraId="03D9C2F5" w14:textId="77777777" w:rsidR="00DF2493" w:rsidRPr="00DF2493" w:rsidRDefault="00DF2493" w:rsidP="00DF2493">
            <w:pPr>
              <w:spacing w:after="0" w:line="240" w:lineRule="auto"/>
              <w:jc w:val="center"/>
              <w:rPr>
                <w:rFonts w:ascii="Arial" w:eastAsia="Times New Roman" w:hAnsi="Arial" w:cs="Arial"/>
                <w:b/>
                <w:bCs/>
                <w:color w:val="000000"/>
                <w:kern w:val="0"/>
                <w:sz w:val="17"/>
                <w:szCs w:val="17"/>
                <w:lang w:eastAsia="pt-BR"/>
                <w14:ligatures w14:val="none"/>
              </w:rPr>
            </w:pPr>
            <w:r w:rsidRPr="00DF2493">
              <w:rPr>
                <w:rFonts w:ascii="Arial" w:eastAsia="Times New Roman" w:hAnsi="Arial" w:cs="Arial"/>
                <w:b/>
                <w:bCs/>
                <w:color w:val="000000"/>
                <w:kern w:val="0"/>
                <w:sz w:val="17"/>
                <w:szCs w:val="17"/>
                <w:lang w:eastAsia="pt-BR"/>
                <w14:ligatures w14:val="none"/>
              </w:rPr>
              <w:t>Provável</w:t>
            </w:r>
          </w:p>
        </w:tc>
        <w:tc>
          <w:tcPr>
            <w:tcW w:w="518" w:type="pct"/>
            <w:tcBorders>
              <w:top w:val="nil"/>
              <w:left w:val="nil"/>
              <w:bottom w:val="single" w:sz="8" w:space="0" w:color="auto"/>
              <w:right w:val="single" w:sz="8" w:space="0" w:color="auto"/>
            </w:tcBorders>
            <w:shd w:val="clear" w:color="auto" w:fill="auto"/>
            <w:vAlign w:val="center"/>
            <w:hideMark/>
          </w:tcPr>
          <w:p w14:paraId="5418E155" w14:textId="77777777" w:rsidR="00DF2493" w:rsidRPr="00DF2493" w:rsidRDefault="00DF2493" w:rsidP="00DF2493">
            <w:pPr>
              <w:spacing w:after="0" w:line="240" w:lineRule="auto"/>
              <w:jc w:val="center"/>
              <w:rPr>
                <w:rFonts w:ascii="Arial" w:eastAsia="Times New Roman" w:hAnsi="Arial" w:cs="Arial"/>
                <w:b/>
                <w:bCs/>
                <w:color w:val="000000"/>
                <w:kern w:val="0"/>
                <w:sz w:val="17"/>
                <w:szCs w:val="17"/>
                <w:lang w:eastAsia="pt-BR"/>
                <w14:ligatures w14:val="none"/>
              </w:rPr>
            </w:pPr>
            <w:r w:rsidRPr="00DF2493">
              <w:rPr>
                <w:rFonts w:ascii="Arial" w:eastAsia="Times New Roman" w:hAnsi="Arial" w:cs="Arial"/>
                <w:b/>
                <w:bCs/>
                <w:color w:val="000000"/>
                <w:kern w:val="0"/>
                <w:sz w:val="17"/>
                <w:szCs w:val="17"/>
                <w:lang w:eastAsia="pt-BR"/>
                <w14:ligatures w14:val="none"/>
              </w:rPr>
              <w:t>Possível   25%</w:t>
            </w:r>
          </w:p>
        </w:tc>
        <w:tc>
          <w:tcPr>
            <w:tcW w:w="517" w:type="pct"/>
            <w:tcBorders>
              <w:top w:val="nil"/>
              <w:left w:val="nil"/>
              <w:bottom w:val="single" w:sz="8" w:space="0" w:color="auto"/>
              <w:right w:val="single" w:sz="8" w:space="0" w:color="auto"/>
            </w:tcBorders>
            <w:shd w:val="clear" w:color="auto" w:fill="auto"/>
            <w:vAlign w:val="center"/>
            <w:hideMark/>
          </w:tcPr>
          <w:p w14:paraId="598959C9" w14:textId="77777777" w:rsidR="00DF2493" w:rsidRPr="00DF2493" w:rsidRDefault="00DF2493" w:rsidP="00DF2493">
            <w:pPr>
              <w:spacing w:after="0" w:line="240" w:lineRule="auto"/>
              <w:jc w:val="center"/>
              <w:rPr>
                <w:rFonts w:ascii="Arial" w:eastAsia="Times New Roman" w:hAnsi="Arial" w:cs="Arial"/>
                <w:b/>
                <w:bCs/>
                <w:color w:val="000000"/>
                <w:kern w:val="0"/>
                <w:sz w:val="17"/>
                <w:szCs w:val="17"/>
                <w:lang w:eastAsia="pt-BR"/>
                <w14:ligatures w14:val="none"/>
              </w:rPr>
            </w:pPr>
            <w:r w:rsidRPr="00DF2493">
              <w:rPr>
                <w:rFonts w:ascii="Arial" w:eastAsia="Times New Roman" w:hAnsi="Arial" w:cs="Arial"/>
                <w:b/>
                <w:bCs/>
                <w:color w:val="000000"/>
                <w:kern w:val="0"/>
                <w:sz w:val="17"/>
                <w:szCs w:val="17"/>
                <w:lang w:eastAsia="pt-BR"/>
                <w14:ligatures w14:val="none"/>
              </w:rPr>
              <w:t>Remoto 50%</w:t>
            </w:r>
          </w:p>
        </w:tc>
      </w:tr>
      <w:tr w:rsidR="00DF2493" w:rsidRPr="00DF2493" w14:paraId="3B093849" w14:textId="77777777" w:rsidTr="00446A14">
        <w:trPr>
          <w:trHeight w:val="238"/>
        </w:trPr>
        <w:tc>
          <w:tcPr>
            <w:tcW w:w="2391" w:type="pct"/>
            <w:vMerge/>
            <w:tcBorders>
              <w:top w:val="single" w:sz="8" w:space="0" w:color="auto"/>
              <w:left w:val="single" w:sz="8" w:space="0" w:color="auto"/>
              <w:bottom w:val="single" w:sz="8" w:space="0" w:color="000000"/>
              <w:right w:val="single" w:sz="8" w:space="0" w:color="auto"/>
            </w:tcBorders>
            <w:vAlign w:val="center"/>
            <w:hideMark/>
          </w:tcPr>
          <w:p w14:paraId="7805A17C" w14:textId="77777777" w:rsidR="00DF2493" w:rsidRPr="00DF2493" w:rsidRDefault="00DF2493" w:rsidP="00DF2493">
            <w:pPr>
              <w:spacing w:after="0" w:line="240" w:lineRule="auto"/>
              <w:rPr>
                <w:rFonts w:ascii="Arial" w:eastAsia="Times New Roman" w:hAnsi="Arial" w:cs="Arial"/>
                <w:b/>
                <w:bCs/>
                <w:color w:val="000000"/>
                <w:kern w:val="0"/>
                <w:sz w:val="17"/>
                <w:szCs w:val="17"/>
                <w:lang w:eastAsia="pt-BR"/>
                <w14:ligatures w14:val="none"/>
              </w:rPr>
            </w:pPr>
          </w:p>
        </w:tc>
        <w:tc>
          <w:tcPr>
            <w:tcW w:w="509" w:type="pct"/>
            <w:vMerge/>
            <w:tcBorders>
              <w:top w:val="single" w:sz="8" w:space="0" w:color="auto"/>
              <w:left w:val="single" w:sz="8" w:space="0" w:color="auto"/>
              <w:bottom w:val="single" w:sz="8" w:space="0" w:color="000000"/>
              <w:right w:val="single" w:sz="8" w:space="0" w:color="auto"/>
            </w:tcBorders>
            <w:vAlign w:val="center"/>
            <w:hideMark/>
          </w:tcPr>
          <w:p w14:paraId="0B10FE9F" w14:textId="77777777" w:rsidR="00DF2493" w:rsidRPr="00DF2493" w:rsidRDefault="00DF2493" w:rsidP="00DF2493">
            <w:pPr>
              <w:spacing w:after="0" w:line="240" w:lineRule="auto"/>
              <w:rPr>
                <w:rFonts w:ascii="Arial" w:eastAsia="Times New Roman" w:hAnsi="Arial" w:cs="Arial"/>
                <w:b/>
                <w:bCs/>
                <w:color w:val="000000"/>
                <w:kern w:val="0"/>
                <w:sz w:val="17"/>
                <w:szCs w:val="17"/>
                <w:lang w:eastAsia="pt-BR"/>
                <w14:ligatures w14:val="none"/>
              </w:rPr>
            </w:pPr>
          </w:p>
        </w:tc>
        <w:tc>
          <w:tcPr>
            <w:tcW w:w="509" w:type="pct"/>
            <w:vMerge/>
            <w:tcBorders>
              <w:top w:val="single" w:sz="8" w:space="0" w:color="auto"/>
              <w:left w:val="single" w:sz="8" w:space="0" w:color="auto"/>
              <w:bottom w:val="single" w:sz="8" w:space="0" w:color="000000"/>
              <w:right w:val="single" w:sz="8" w:space="0" w:color="auto"/>
            </w:tcBorders>
            <w:vAlign w:val="center"/>
            <w:hideMark/>
          </w:tcPr>
          <w:p w14:paraId="2604D4E2" w14:textId="77777777" w:rsidR="00DF2493" w:rsidRPr="00DF2493" w:rsidRDefault="00DF2493" w:rsidP="00DF2493">
            <w:pPr>
              <w:spacing w:after="0" w:line="240" w:lineRule="auto"/>
              <w:rPr>
                <w:rFonts w:ascii="Arial" w:eastAsia="Times New Roman" w:hAnsi="Arial" w:cs="Arial"/>
                <w:b/>
                <w:bCs/>
                <w:color w:val="000000"/>
                <w:kern w:val="0"/>
                <w:sz w:val="17"/>
                <w:szCs w:val="17"/>
                <w:lang w:eastAsia="pt-BR"/>
                <w14:ligatures w14:val="none"/>
              </w:rPr>
            </w:pPr>
          </w:p>
        </w:tc>
        <w:tc>
          <w:tcPr>
            <w:tcW w:w="556" w:type="pct"/>
            <w:tcBorders>
              <w:top w:val="nil"/>
              <w:left w:val="nil"/>
              <w:bottom w:val="single" w:sz="8" w:space="0" w:color="auto"/>
              <w:right w:val="single" w:sz="8" w:space="0" w:color="auto"/>
            </w:tcBorders>
            <w:shd w:val="clear" w:color="auto" w:fill="auto"/>
            <w:noWrap/>
            <w:vAlign w:val="bottom"/>
            <w:hideMark/>
          </w:tcPr>
          <w:p w14:paraId="2267A1A5" w14:textId="77777777" w:rsidR="00DF2493" w:rsidRPr="00DF2493" w:rsidRDefault="00DF2493" w:rsidP="00DF2493">
            <w:pPr>
              <w:spacing w:after="0" w:line="240" w:lineRule="auto"/>
              <w:jc w:val="right"/>
              <w:rPr>
                <w:rFonts w:ascii="Arial" w:eastAsia="Times New Roman" w:hAnsi="Arial" w:cs="Arial"/>
                <w:b/>
                <w:bCs/>
                <w:color w:val="000000"/>
                <w:kern w:val="0"/>
                <w:sz w:val="17"/>
                <w:szCs w:val="17"/>
                <w:lang w:eastAsia="pt-BR"/>
                <w14:ligatures w14:val="none"/>
              </w:rPr>
            </w:pPr>
            <w:r w:rsidRPr="00DF2493">
              <w:rPr>
                <w:rFonts w:ascii="Arial" w:eastAsia="Times New Roman" w:hAnsi="Arial" w:cs="Arial"/>
                <w:b/>
                <w:bCs/>
                <w:color w:val="000000"/>
                <w:kern w:val="0"/>
                <w:sz w:val="18"/>
                <w:szCs w:val="18"/>
                <w:lang w:eastAsia="pt-BR"/>
                <w14:ligatures w14:val="none"/>
              </w:rPr>
              <w:t>3,80%</w:t>
            </w:r>
          </w:p>
        </w:tc>
        <w:tc>
          <w:tcPr>
            <w:tcW w:w="518" w:type="pct"/>
            <w:tcBorders>
              <w:top w:val="nil"/>
              <w:left w:val="nil"/>
              <w:bottom w:val="single" w:sz="8" w:space="0" w:color="auto"/>
              <w:right w:val="single" w:sz="8" w:space="0" w:color="auto"/>
            </w:tcBorders>
            <w:shd w:val="clear" w:color="auto" w:fill="auto"/>
            <w:noWrap/>
            <w:vAlign w:val="bottom"/>
            <w:hideMark/>
          </w:tcPr>
          <w:p w14:paraId="7CB0EB9D" w14:textId="77777777" w:rsidR="00DF2493" w:rsidRPr="00DF2493" w:rsidRDefault="00DF2493" w:rsidP="00DF2493">
            <w:pPr>
              <w:spacing w:after="0" w:line="240" w:lineRule="auto"/>
              <w:jc w:val="right"/>
              <w:rPr>
                <w:rFonts w:ascii="Arial" w:eastAsia="Times New Roman" w:hAnsi="Arial" w:cs="Arial"/>
                <w:b/>
                <w:bCs/>
                <w:color w:val="000000"/>
                <w:kern w:val="0"/>
                <w:sz w:val="17"/>
                <w:szCs w:val="17"/>
                <w:lang w:eastAsia="pt-BR"/>
                <w14:ligatures w14:val="none"/>
              </w:rPr>
            </w:pPr>
            <w:r w:rsidRPr="00DF2493">
              <w:rPr>
                <w:rFonts w:ascii="Arial" w:eastAsia="Times New Roman" w:hAnsi="Arial" w:cs="Arial"/>
                <w:b/>
                <w:bCs/>
                <w:color w:val="000000"/>
                <w:kern w:val="0"/>
                <w:sz w:val="18"/>
                <w:szCs w:val="18"/>
                <w:lang w:eastAsia="pt-BR"/>
                <w14:ligatures w14:val="none"/>
              </w:rPr>
              <w:t>4,75%</w:t>
            </w:r>
          </w:p>
        </w:tc>
        <w:tc>
          <w:tcPr>
            <w:tcW w:w="517" w:type="pct"/>
            <w:tcBorders>
              <w:top w:val="nil"/>
              <w:left w:val="nil"/>
              <w:bottom w:val="single" w:sz="8" w:space="0" w:color="auto"/>
              <w:right w:val="single" w:sz="8" w:space="0" w:color="auto"/>
            </w:tcBorders>
            <w:shd w:val="clear" w:color="auto" w:fill="auto"/>
            <w:noWrap/>
            <w:vAlign w:val="bottom"/>
            <w:hideMark/>
          </w:tcPr>
          <w:p w14:paraId="2A4BDA7A" w14:textId="77777777" w:rsidR="00DF2493" w:rsidRPr="00DF2493" w:rsidRDefault="00DF2493" w:rsidP="00DF2493">
            <w:pPr>
              <w:spacing w:after="0" w:line="240" w:lineRule="auto"/>
              <w:jc w:val="right"/>
              <w:rPr>
                <w:rFonts w:ascii="Arial" w:eastAsia="Times New Roman" w:hAnsi="Arial" w:cs="Arial"/>
                <w:b/>
                <w:bCs/>
                <w:color w:val="000000"/>
                <w:kern w:val="0"/>
                <w:sz w:val="17"/>
                <w:szCs w:val="17"/>
                <w:lang w:eastAsia="pt-BR"/>
                <w14:ligatures w14:val="none"/>
              </w:rPr>
            </w:pPr>
            <w:r w:rsidRPr="00DF2493">
              <w:rPr>
                <w:rFonts w:ascii="Arial" w:eastAsia="Times New Roman" w:hAnsi="Arial" w:cs="Arial"/>
                <w:b/>
                <w:bCs/>
                <w:color w:val="000000"/>
                <w:kern w:val="0"/>
                <w:sz w:val="18"/>
                <w:szCs w:val="18"/>
                <w:lang w:eastAsia="pt-BR"/>
                <w14:ligatures w14:val="none"/>
              </w:rPr>
              <w:t>5,70%</w:t>
            </w:r>
          </w:p>
        </w:tc>
      </w:tr>
      <w:tr w:rsidR="00DF2493" w:rsidRPr="00DF2493" w14:paraId="2F529BF3" w14:textId="77777777" w:rsidTr="00446A14">
        <w:trPr>
          <w:trHeight w:val="238"/>
        </w:trPr>
        <w:tc>
          <w:tcPr>
            <w:tcW w:w="2391" w:type="pct"/>
            <w:tcBorders>
              <w:top w:val="nil"/>
              <w:left w:val="single" w:sz="8" w:space="0" w:color="auto"/>
              <w:bottom w:val="single" w:sz="8" w:space="0" w:color="auto"/>
              <w:right w:val="single" w:sz="8" w:space="0" w:color="auto"/>
            </w:tcBorders>
            <w:shd w:val="clear" w:color="auto" w:fill="auto"/>
            <w:vAlign w:val="center"/>
            <w:hideMark/>
          </w:tcPr>
          <w:p w14:paraId="6BC12AAC" w14:textId="77777777" w:rsidR="00DF2493" w:rsidRPr="00DF2493" w:rsidRDefault="00DF2493" w:rsidP="00DF2493">
            <w:pPr>
              <w:spacing w:after="0" w:line="240" w:lineRule="auto"/>
              <w:rPr>
                <w:rFonts w:ascii="Arial" w:eastAsia="Times New Roman" w:hAnsi="Arial" w:cs="Arial"/>
                <w:b/>
                <w:bCs/>
                <w:color w:val="000000"/>
                <w:kern w:val="0"/>
                <w:sz w:val="17"/>
                <w:szCs w:val="17"/>
                <w:lang w:eastAsia="pt-BR"/>
                <w14:ligatures w14:val="none"/>
              </w:rPr>
            </w:pPr>
            <w:r w:rsidRPr="00DF2493">
              <w:rPr>
                <w:rFonts w:ascii="Arial" w:eastAsia="Times New Roman" w:hAnsi="Arial" w:cs="Arial"/>
                <w:b/>
                <w:bCs/>
                <w:color w:val="000000"/>
                <w:kern w:val="0"/>
                <w:sz w:val="17"/>
                <w:szCs w:val="17"/>
                <w:lang w:eastAsia="pt-BR"/>
                <w14:ligatures w14:val="none"/>
              </w:rPr>
              <w:t>Credores por Perdas Judiciais</w:t>
            </w:r>
          </w:p>
        </w:tc>
        <w:tc>
          <w:tcPr>
            <w:tcW w:w="509" w:type="pct"/>
            <w:tcBorders>
              <w:top w:val="nil"/>
              <w:left w:val="nil"/>
              <w:bottom w:val="single" w:sz="8" w:space="0" w:color="auto"/>
              <w:right w:val="single" w:sz="8" w:space="0" w:color="auto"/>
            </w:tcBorders>
            <w:shd w:val="clear" w:color="auto" w:fill="auto"/>
            <w:noWrap/>
            <w:vAlign w:val="center"/>
            <w:hideMark/>
          </w:tcPr>
          <w:p w14:paraId="6C8F06BC" w14:textId="77777777" w:rsidR="00DF2493" w:rsidRPr="00DF2493" w:rsidRDefault="00DF2493" w:rsidP="00DF2493">
            <w:pPr>
              <w:spacing w:after="0" w:line="240" w:lineRule="auto"/>
              <w:rPr>
                <w:rFonts w:ascii="Arial" w:eastAsia="Times New Roman" w:hAnsi="Arial" w:cs="Arial"/>
                <w:color w:val="000000"/>
                <w:kern w:val="0"/>
                <w:sz w:val="17"/>
                <w:szCs w:val="17"/>
                <w:lang w:eastAsia="pt-BR"/>
                <w14:ligatures w14:val="none"/>
              </w:rPr>
            </w:pPr>
            <w:r w:rsidRPr="00DF2493">
              <w:rPr>
                <w:rFonts w:ascii="Arial" w:eastAsia="Times New Roman" w:hAnsi="Arial" w:cs="Arial"/>
                <w:color w:val="000000"/>
                <w:kern w:val="0"/>
                <w:sz w:val="17"/>
                <w:szCs w:val="17"/>
                <w:lang w:eastAsia="pt-BR"/>
                <w14:ligatures w14:val="none"/>
              </w:rPr>
              <w:t> </w:t>
            </w:r>
          </w:p>
        </w:tc>
        <w:tc>
          <w:tcPr>
            <w:tcW w:w="509" w:type="pct"/>
            <w:tcBorders>
              <w:top w:val="nil"/>
              <w:left w:val="nil"/>
              <w:bottom w:val="single" w:sz="8" w:space="0" w:color="auto"/>
              <w:right w:val="single" w:sz="8" w:space="0" w:color="auto"/>
            </w:tcBorders>
            <w:shd w:val="clear" w:color="auto" w:fill="auto"/>
            <w:noWrap/>
            <w:vAlign w:val="center"/>
            <w:hideMark/>
          </w:tcPr>
          <w:p w14:paraId="46025D0C" w14:textId="77777777" w:rsidR="00DF2493" w:rsidRPr="00DF2493" w:rsidRDefault="00DF2493" w:rsidP="00DF2493">
            <w:pPr>
              <w:spacing w:after="0" w:line="240" w:lineRule="auto"/>
              <w:rPr>
                <w:rFonts w:ascii="Arial" w:eastAsia="Times New Roman" w:hAnsi="Arial" w:cs="Arial"/>
                <w:color w:val="000000"/>
                <w:kern w:val="0"/>
                <w:sz w:val="17"/>
                <w:szCs w:val="17"/>
                <w:lang w:eastAsia="pt-BR"/>
                <w14:ligatures w14:val="none"/>
              </w:rPr>
            </w:pPr>
            <w:r w:rsidRPr="00DF2493">
              <w:rPr>
                <w:rFonts w:ascii="Arial" w:eastAsia="Times New Roman" w:hAnsi="Arial" w:cs="Arial"/>
                <w:color w:val="000000"/>
                <w:kern w:val="0"/>
                <w:sz w:val="17"/>
                <w:szCs w:val="17"/>
                <w:lang w:eastAsia="pt-BR"/>
                <w14:ligatures w14:val="none"/>
              </w:rPr>
              <w:t> </w:t>
            </w:r>
          </w:p>
        </w:tc>
        <w:tc>
          <w:tcPr>
            <w:tcW w:w="556" w:type="pct"/>
            <w:tcBorders>
              <w:top w:val="nil"/>
              <w:left w:val="nil"/>
              <w:bottom w:val="single" w:sz="8" w:space="0" w:color="auto"/>
              <w:right w:val="single" w:sz="8" w:space="0" w:color="auto"/>
            </w:tcBorders>
            <w:shd w:val="clear" w:color="auto" w:fill="auto"/>
            <w:noWrap/>
            <w:vAlign w:val="center"/>
            <w:hideMark/>
          </w:tcPr>
          <w:p w14:paraId="63B86DD9" w14:textId="77777777" w:rsidR="00DF2493" w:rsidRPr="00DF2493" w:rsidRDefault="00DF2493" w:rsidP="00DF2493">
            <w:pPr>
              <w:spacing w:after="0" w:line="240" w:lineRule="auto"/>
              <w:rPr>
                <w:rFonts w:ascii="Arial" w:eastAsia="Times New Roman" w:hAnsi="Arial" w:cs="Arial"/>
                <w:color w:val="000000"/>
                <w:kern w:val="0"/>
                <w:sz w:val="17"/>
                <w:szCs w:val="17"/>
                <w:lang w:eastAsia="pt-BR"/>
                <w14:ligatures w14:val="none"/>
              </w:rPr>
            </w:pPr>
            <w:r w:rsidRPr="00DF2493">
              <w:rPr>
                <w:rFonts w:ascii="Arial" w:eastAsia="Times New Roman" w:hAnsi="Arial" w:cs="Arial"/>
                <w:color w:val="000000"/>
                <w:kern w:val="0"/>
                <w:sz w:val="17"/>
                <w:szCs w:val="17"/>
                <w:lang w:eastAsia="pt-BR"/>
                <w14:ligatures w14:val="none"/>
              </w:rPr>
              <w:t> </w:t>
            </w:r>
          </w:p>
        </w:tc>
        <w:tc>
          <w:tcPr>
            <w:tcW w:w="518" w:type="pct"/>
            <w:tcBorders>
              <w:top w:val="nil"/>
              <w:left w:val="nil"/>
              <w:bottom w:val="single" w:sz="8" w:space="0" w:color="auto"/>
              <w:right w:val="single" w:sz="8" w:space="0" w:color="auto"/>
            </w:tcBorders>
            <w:shd w:val="clear" w:color="auto" w:fill="auto"/>
            <w:noWrap/>
            <w:vAlign w:val="center"/>
            <w:hideMark/>
          </w:tcPr>
          <w:p w14:paraId="355B0B87" w14:textId="77777777" w:rsidR="00DF2493" w:rsidRPr="00DF2493" w:rsidRDefault="00DF2493" w:rsidP="00DF2493">
            <w:pPr>
              <w:spacing w:after="0" w:line="240" w:lineRule="auto"/>
              <w:rPr>
                <w:rFonts w:ascii="Arial" w:eastAsia="Times New Roman" w:hAnsi="Arial" w:cs="Arial"/>
                <w:color w:val="000000"/>
                <w:kern w:val="0"/>
                <w:sz w:val="17"/>
                <w:szCs w:val="17"/>
                <w:lang w:eastAsia="pt-BR"/>
                <w14:ligatures w14:val="none"/>
              </w:rPr>
            </w:pPr>
            <w:r w:rsidRPr="00DF2493">
              <w:rPr>
                <w:rFonts w:ascii="Arial" w:eastAsia="Times New Roman" w:hAnsi="Arial" w:cs="Arial"/>
                <w:color w:val="000000"/>
                <w:kern w:val="0"/>
                <w:sz w:val="17"/>
                <w:szCs w:val="17"/>
                <w:lang w:eastAsia="pt-BR"/>
                <w14:ligatures w14:val="none"/>
              </w:rPr>
              <w:t> </w:t>
            </w:r>
          </w:p>
        </w:tc>
        <w:tc>
          <w:tcPr>
            <w:tcW w:w="517" w:type="pct"/>
            <w:tcBorders>
              <w:top w:val="nil"/>
              <w:left w:val="nil"/>
              <w:bottom w:val="single" w:sz="8" w:space="0" w:color="auto"/>
              <w:right w:val="single" w:sz="8" w:space="0" w:color="auto"/>
            </w:tcBorders>
            <w:shd w:val="clear" w:color="auto" w:fill="auto"/>
            <w:noWrap/>
            <w:vAlign w:val="center"/>
            <w:hideMark/>
          </w:tcPr>
          <w:p w14:paraId="00D610E4" w14:textId="77777777" w:rsidR="00DF2493" w:rsidRPr="00DF2493" w:rsidRDefault="00DF2493" w:rsidP="00DF2493">
            <w:pPr>
              <w:spacing w:after="0" w:line="240" w:lineRule="auto"/>
              <w:rPr>
                <w:rFonts w:ascii="Arial" w:eastAsia="Times New Roman" w:hAnsi="Arial" w:cs="Arial"/>
                <w:color w:val="000000"/>
                <w:kern w:val="0"/>
                <w:sz w:val="17"/>
                <w:szCs w:val="17"/>
                <w:lang w:eastAsia="pt-BR"/>
                <w14:ligatures w14:val="none"/>
              </w:rPr>
            </w:pPr>
            <w:r w:rsidRPr="00DF2493">
              <w:rPr>
                <w:rFonts w:ascii="Arial" w:eastAsia="Times New Roman" w:hAnsi="Arial" w:cs="Arial"/>
                <w:color w:val="000000"/>
                <w:kern w:val="0"/>
                <w:sz w:val="17"/>
                <w:szCs w:val="17"/>
                <w:lang w:eastAsia="pt-BR"/>
                <w14:ligatures w14:val="none"/>
              </w:rPr>
              <w:t> </w:t>
            </w:r>
          </w:p>
        </w:tc>
      </w:tr>
      <w:tr w:rsidR="00DF2493" w:rsidRPr="00DF2493" w14:paraId="77D32BC8" w14:textId="77777777" w:rsidTr="00446A14">
        <w:trPr>
          <w:trHeight w:val="238"/>
        </w:trPr>
        <w:tc>
          <w:tcPr>
            <w:tcW w:w="2391" w:type="pct"/>
            <w:tcBorders>
              <w:top w:val="nil"/>
              <w:left w:val="single" w:sz="8" w:space="0" w:color="auto"/>
              <w:bottom w:val="single" w:sz="8" w:space="0" w:color="auto"/>
              <w:right w:val="single" w:sz="8" w:space="0" w:color="auto"/>
            </w:tcBorders>
            <w:shd w:val="clear" w:color="auto" w:fill="auto"/>
            <w:noWrap/>
            <w:vAlign w:val="center"/>
            <w:hideMark/>
          </w:tcPr>
          <w:p w14:paraId="0F3577B2" w14:textId="77777777" w:rsidR="00DF2493" w:rsidRPr="00DF2493" w:rsidRDefault="00DF2493" w:rsidP="00DF2493">
            <w:pPr>
              <w:spacing w:after="0" w:line="240" w:lineRule="auto"/>
              <w:rPr>
                <w:rFonts w:ascii="Arial" w:eastAsia="Times New Roman" w:hAnsi="Arial" w:cs="Arial"/>
                <w:color w:val="000000"/>
                <w:kern w:val="0"/>
                <w:sz w:val="17"/>
                <w:szCs w:val="17"/>
                <w:lang w:eastAsia="pt-BR"/>
                <w14:ligatures w14:val="none"/>
              </w:rPr>
            </w:pPr>
            <w:r w:rsidRPr="00DF2493">
              <w:rPr>
                <w:rFonts w:ascii="Arial" w:eastAsia="Times New Roman" w:hAnsi="Arial" w:cs="Arial"/>
                <w:color w:val="000000"/>
                <w:kern w:val="0"/>
                <w:sz w:val="17"/>
                <w:szCs w:val="17"/>
                <w:lang w:eastAsia="pt-BR"/>
                <w14:ligatures w14:val="none"/>
              </w:rPr>
              <w:t xml:space="preserve"> PREVI</w:t>
            </w:r>
          </w:p>
        </w:tc>
        <w:tc>
          <w:tcPr>
            <w:tcW w:w="509" w:type="pct"/>
            <w:tcBorders>
              <w:top w:val="nil"/>
              <w:left w:val="nil"/>
              <w:bottom w:val="single" w:sz="8" w:space="0" w:color="auto"/>
              <w:right w:val="single" w:sz="8" w:space="0" w:color="auto"/>
            </w:tcBorders>
            <w:shd w:val="clear" w:color="auto" w:fill="auto"/>
            <w:noWrap/>
            <w:vAlign w:val="center"/>
            <w:hideMark/>
          </w:tcPr>
          <w:p w14:paraId="113DB269" w14:textId="77777777" w:rsidR="00DF2493" w:rsidRPr="00DF2493" w:rsidRDefault="00DF2493" w:rsidP="00DF2493">
            <w:pPr>
              <w:spacing w:after="0" w:line="240" w:lineRule="auto"/>
              <w:jc w:val="center"/>
              <w:rPr>
                <w:rFonts w:ascii="Arial" w:eastAsia="Times New Roman" w:hAnsi="Arial" w:cs="Arial"/>
                <w:color w:val="000000"/>
                <w:kern w:val="0"/>
                <w:sz w:val="17"/>
                <w:szCs w:val="17"/>
                <w:lang w:eastAsia="pt-BR"/>
                <w14:ligatures w14:val="none"/>
              </w:rPr>
            </w:pPr>
            <w:r w:rsidRPr="00DF2493">
              <w:rPr>
                <w:rFonts w:ascii="Arial" w:eastAsia="Times New Roman" w:hAnsi="Arial" w:cs="Arial"/>
                <w:color w:val="000000"/>
                <w:kern w:val="0"/>
                <w:sz w:val="17"/>
                <w:szCs w:val="17"/>
                <w:lang w:eastAsia="pt-BR"/>
                <w14:ligatures w14:val="none"/>
              </w:rPr>
              <w:t>INPC</w:t>
            </w:r>
          </w:p>
        </w:tc>
        <w:tc>
          <w:tcPr>
            <w:tcW w:w="509" w:type="pct"/>
            <w:tcBorders>
              <w:top w:val="nil"/>
              <w:left w:val="nil"/>
              <w:bottom w:val="single" w:sz="8" w:space="0" w:color="auto"/>
              <w:right w:val="single" w:sz="8" w:space="0" w:color="auto"/>
            </w:tcBorders>
            <w:shd w:val="clear" w:color="auto" w:fill="auto"/>
            <w:noWrap/>
            <w:vAlign w:val="bottom"/>
            <w:hideMark/>
          </w:tcPr>
          <w:p w14:paraId="06F20D99" w14:textId="77777777" w:rsidR="00DF2493" w:rsidRPr="00DF2493" w:rsidRDefault="00DF2493" w:rsidP="00DF2493">
            <w:pPr>
              <w:spacing w:after="0" w:line="240" w:lineRule="auto"/>
              <w:jc w:val="right"/>
              <w:rPr>
                <w:rFonts w:ascii="Arial" w:eastAsia="Times New Roman" w:hAnsi="Arial" w:cs="Arial"/>
                <w:color w:val="000000"/>
                <w:kern w:val="0"/>
                <w:sz w:val="17"/>
                <w:szCs w:val="17"/>
                <w:lang w:eastAsia="pt-BR"/>
                <w14:ligatures w14:val="none"/>
              </w:rPr>
            </w:pPr>
            <w:r w:rsidRPr="00DF2493">
              <w:rPr>
                <w:rFonts w:ascii="Arial" w:eastAsia="Times New Roman" w:hAnsi="Arial" w:cs="Arial"/>
                <w:color w:val="000000"/>
                <w:kern w:val="0"/>
                <w:sz w:val="18"/>
                <w:szCs w:val="18"/>
                <w:lang w:eastAsia="pt-BR"/>
                <w14:ligatures w14:val="none"/>
              </w:rPr>
              <w:t>72.242</w:t>
            </w:r>
          </w:p>
        </w:tc>
        <w:tc>
          <w:tcPr>
            <w:tcW w:w="556" w:type="pct"/>
            <w:tcBorders>
              <w:top w:val="nil"/>
              <w:left w:val="nil"/>
              <w:bottom w:val="single" w:sz="8" w:space="0" w:color="auto"/>
              <w:right w:val="single" w:sz="8" w:space="0" w:color="auto"/>
            </w:tcBorders>
            <w:shd w:val="clear" w:color="auto" w:fill="auto"/>
            <w:noWrap/>
            <w:vAlign w:val="bottom"/>
            <w:hideMark/>
          </w:tcPr>
          <w:p w14:paraId="0F005F32" w14:textId="77777777" w:rsidR="00DF2493" w:rsidRPr="00DF2493" w:rsidRDefault="00DF2493" w:rsidP="00DF2493">
            <w:pPr>
              <w:spacing w:after="0" w:line="240" w:lineRule="auto"/>
              <w:jc w:val="right"/>
              <w:rPr>
                <w:rFonts w:ascii="Arial" w:eastAsia="Times New Roman" w:hAnsi="Arial" w:cs="Arial"/>
                <w:color w:val="000000"/>
                <w:kern w:val="0"/>
                <w:sz w:val="17"/>
                <w:szCs w:val="17"/>
                <w:lang w:eastAsia="pt-BR"/>
                <w14:ligatures w14:val="none"/>
              </w:rPr>
            </w:pPr>
            <w:r w:rsidRPr="00DF2493">
              <w:rPr>
                <w:rFonts w:ascii="Arial" w:eastAsia="Times New Roman" w:hAnsi="Arial" w:cs="Arial"/>
                <w:color w:val="000000"/>
                <w:kern w:val="0"/>
                <w:sz w:val="18"/>
                <w:szCs w:val="18"/>
                <w:lang w:eastAsia="pt-BR"/>
                <w14:ligatures w14:val="none"/>
              </w:rPr>
              <w:t>74.987</w:t>
            </w:r>
          </w:p>
        </w:tc>
        <w:tc>
          <w:tcPr>
            <w:tcW w:w="518" w:type="pct"/>
            <w:tcBorders>
              <w:top w:val="nil"/>
              <w:left w:val="nil"/>
              <w:bottom w:val="single" w:sz="8" w:space="0" w:color="auto"/>
              <w:right w:val="single" w:sz="8" w:space="0" w:color="auto"/>
            </w:tcBorders>
            <w:shd w:val="clear" w:color="auto" w:fill="auto"/>
            <w:noWrap/>
            <w:vAlign w:val="bottom"/>
            <w:hideMark/>
          </w:tcPr>
          <w:p w14:paraId="1C50AA44" w14:textId="77777777" w:rsidR="00DF2493" w:rsidRPr="00DF2493" w:rsidRDefault="00DF2493" w:rsidP="00DF2493">
            <w:pPr>
              <w:spacing w:after="0" w:line="240" w:lineRule="auto"/>
              <w:jc w:val="right"/>
              <w:rPr>
                <w:rFonts w:ascii="Arial" w:eastAsia="Times New Roman" w:hAnsi="Arial" w:cs="Arial"/>
                <w:color w:val="000000"/>
                <w:kern w:val="0"/>
                <w:sz w:val="17"/>
                <w:szCs w:val="17"/>
                <w:lang w:eastAsia="pt-BR"/>
                <w14:ligatures w14:val="none"/>
              </w:rPr>
            </w:pPr>
            <w:r w:rsidRPr="00DF2493">
              <w:rPr>
                <w:rFonts w:ascii="Arial" w:eastAsia="Times New Roman" w:hAnsi="Arial" w:cs="Arial"/>
                <w:color w:val="000000"/>
                <w:kern w:val="0"/>
                <w:sz w:val="18"/>
                <w:szCs w:val="18"/>
                <w:lang w:eastAsia="pt-BR"/>
                <w14:ligatures w14:val="none"/>
              </w:rPr>
              <w:t>75.673</w:t>
            </w:r>
          </w:p>
        </w:tc>
        <w:tc>
          <w:tcPr>
            <w:tcW w:w="517" w:type="pct"/>
            <w:tcBorders>
              <w:top w:val="nil"/>
              <w:left w:val="nil"/>
              <w:bottom w:val="single" w:sz="8" w:space="0" w:color="auto"/>
              <w:right w:val="single" w:sz="8" w:space="0" w:color="auto"/>
            </w:tcBorders>
            <w:shd w:val="clear" w:color="auto" w:fill="auto"/>
            <w:noWrap/>
            <w:vAlign w:val="bottom"/>
            <w:hideMark/>
          </w:tcPr>
          <w:p w14:paraId="5DA0AB29" w14:textId="77777777" w:rsidR="00DF2493" w:rsidRPr="00DF2493" w:rsidRDefault="00DF2493" w:rsidP="00DF2493">
            <w:pPr>
              <w:spacing w:after="0" w:line="240" w:lineRule="auto"/>
              <w:jc w:val="right"/>
              <w:rPr>
                <w:rFonts w:ascii="Arial" w:eastAsia="Times New Roman" w:hAnsi="Arial" w:cs="Arial"/>
                <w:color w:val="000000"/>
                <w:kern w:val="0"/>
                <w:sz w:val="17"/>
                <w:szCs w:val="17"/>
                <w:lang w:eastAsia="pt-BR"/>
                <w14:ligatures w14:val="none"/>
              </w:rPr>
            </w:pPr>
            <w:r w:rsidRPr="00DF2493">
              <w:rPr>
                <w:rFonts w:ascii="Arial" w:eastAsia="Times New Roman" w:hAnsi="Arial" w:cs="Arial"/>
                <w:color w:val="000000"/>
                <w:kern w:val="0"/>
                <w:sz w:val="18"/>
                <w:szCs w:val="18"/>
                <w:lang w:eastAsia="pt-BR"/>
                <w14:ligatures w14:val="none"/>
              </w:rPr>
              <w:t>76.360</w:t>
            </w:r>
          </w:p>
        </w:tc>
      </w:tr>
      <w:tr w:rsidR="00DF2493" w:rsidRPr="00DF2493" w14:paraId="4C95005B" w14:textId="77777777" w:rsidTr="00446A14">
        <w:trPr>
          <w:trHeight w:val="238"/>
        </w:trPr>
        <w:tc>
          <w:tcPr>
            <w:tcW w:w="2391" w:type="pct"/>
            <w:tcBorders>
              <w:top w:val="nil"/>
              <w:left w:val="single" w:sz="8" w:space="0" w:color="auto"/>
              <w:bottom w:val="single" w:sz="8" w:space="0" w:color="auto"/>
              <w:right w:val="single" w:sz="8" w:space="0" w:color="auto"/>
            </w:tcBorders>
            <w:shd w:val="clear" w:color="auto" w:fill="auto"/>
            <w:noWrap/>
            <w:vAlign w:val="center"/>
            <w:hideMark/>
          </w:tcPr>
          <w:p w14:paraId="7B437EC1" w14:textId="77777777" w:rsidR="00DF2493" w:rsidRPr="00DF2493" w:rsidRDefault="00DF2493" w:rsidP="00DF2493">
            <w:pPr>
              <w:spacing w:after="0" w:line="240" w:lineRule="auto"/>
              <w:rPr>
                <w:rFonts w:ascii="Arial" w:eastAsia="Times New Roman" w:hAnsi="Arial" w:cs="Arial"/>
                <w:color w:val="000000"/>
                <w:kern w:val="0"/>
                <w:sz w:val="17"/>
                <w:szCs w:val="17"/>
                <w:lang w:eastAsia="pt-BR"/>
                <w14:ligatures w14:val="none"/>
              </w:rPr>
            </w:pPr>
            <w:r w:rsidRPr="00DF2493">
              <w:rPr>
                <w:rFonts w:ascii="Arial" w:eastAsia="Times New Roman" w:hAnsi="Arial" w:cs="Arial"/>
                <w:color w:val="000000"/>
                <w:kern w:val="0"/>
                <w:sz w:val="17"/>
                <w:szCs w:val="17"/>
                <w:lang w:eastAsia="pt-BR"/>
                <w14:ligatures w14:val="none"/>
              </w:rPr>
              <w:t xml:space="preserve"> FUNCEF</w:t>
            </w:r>
          </w:p>
        </w:tc>
        <w:tc>
          <w:tcPr>
            <w:tcW w:w="509" w:type="pct"/>
            <w:tcBorders>
              <w:top w:val="nil"/>
              <w:left w:val="nil"/>
              <w:bottom w:val="single" w:sz="8" w:space="0" w:color="auto"/>
              <w:right w:val="single" w:sz="8" w:space="0" w:color="auto"/>
            </w:tcBorders>
            <w:shd w:val="clear" w:color="auto" w:fill="auto"/>
            <w:noWrap/>
            <w:vAlign w:val="center"/>
            <w:hideMark/>
          </w:tcPr>
          <w:p w14:paraId="6762AFEA" w14:textId="77777777" w:rsidR="00DF2493" w:rsidRPr="00DF2493" w:rsidRDefault="00DF2493" w:rsidP="00DF2493">
            <w:pPr>
              <w:spacing w:after="0" w:line="240" w:lineRule="auto"/>
              <w:jc w:val="center"/>
              <w:rPr>
                <w:rFonts w:ascii="Arial" w:eastAsia="Times New Roman" w:hAnsi="Arial" w:cs="Arial"/>
                <w:color w:val="000000"/>
                <w:kern w:val="0"/>
                <w:sz w:val="17"/>
                <w:szCs w:val="17"/>
                <w:lang w:eastAsia="pt-BR"/>
                <w14:ligatures w14:val="none"/>
              </w:rPr>
            </w:pPr>
            <w:r w:rsidRPr="00DF2493">
              <w:rPr>
                <w:rFonts w:ascii="Arial" w:eastAsia="Times New Roman" w:hAnsi="Arial" w:cs="Arial"/>
                <w:color w:val="000000"/>
                <w:kern w:val="0"/>
                <w:sz w:val="17"/>
                <w:szCs w:val="17"/>
                <w:lang w:eastAsia="pt-BR"/>
                <w14:ligatures w14:val="none"/>
              </w:rPr>
              <w:t>INPC</w:t>
            </w:r>
          </w:p>
        </w:tc>
        <w:tc>
          <w:tcPr>
            <w:tcW w:w="509" w:type="pct"/>
            <w:tcBorders>
              <w:top w:val="nil"/>
              <w:left w:val="nil"/>
              <w:bottom w:val="single" w:sz="8" w:space="0" w:color="auto"/>
              <w:right w:val="single" w:sz="8" w:space="0" w:color="auto"/>
            </w:tcBorders>
            <w:shd w:val="clear" w:color="auto" w:fill="auto"/>
            <w:noWrap/>
            <w:vAlign w:val="bottom"/>
            <w:hideMark/>
          </w:tcPr>
          <w:p w14:paraId="5003A34F" w14:textId="77777777" w:rsidR="00DF2493" w:rsidRPr="00DF2493" w:rsidRDefault="00DF2493" w:rsidP="00DF2493">
            <w:pPr>
              <w:spacing w:after="0" w:line="240" w:lineRule="auto"/>
              <w:jc w:val="right"/>
              <w:rPr>
                <w:rFonts w:ascii="Arial" w:eastAsia="Times New Roman" w:hAnsi="Arial" w:cs="Arial"/>
                <w:color w:val="000000"/>
                <w:kern w:val="0"/>
                <w:sz w:val="17"/>
                <w:szCs w:val="17"/>
                <w:lang w:eastAsia="pt-BR"/>
                <w14:ligatures w14:val="none"/>
              </w:rPr>
            </w:pPr>
            <w:r w:rsidRPr="00DF2493">
              <w:rPr>
                <w:rFonts w:ascii="Arial" w:eastAsia="Times New Roman" w:hAnsi="Arial" w:cs="Arial"/>
                <w:color w:val="000000"/>
                <w:kern w:val="0"/>
                <w:sz w:val="18"/>
                <w:szCs w:val="18"/>
                <w:lang w:eastAsia="pt-BR"/>
                <w14:ligatures w14:val="none"/>
              </w:rPr>
              <w:t>60.198</w:t>
            </w:r>
          </w:p>
        </w:tc>
        <w:tc>
          <w:tcPr>
            <w:tcW w:w="556" w:type="pct"/>
            <w:tcBorders>
              <w:top w:val="nil"/>
              <w:left w:val="nil"/>
              <w:bottom w:val="single" w:sz="8" w:space="0" w:color="auto"/>
              <w:right w:val="single" w:sz="8" w:space="0" w:color="auto"/>
            </w:tcBorders>
            <w:shd w:val="clear" w:color="auto" w:fill="auto"/>
            <w:noWrap/>
            <w:vAlign w:val="bottom"/>
            <w:hideMark/>
          </w:tcPr>
          <w:p w14:paraId="369CFED8" w14:textId="77777777" w:rsidR="00DF2493" w:rsidRPr="00DF2493" w:rsidRDefault="00DF2493" w:rsidP="00DF2493">
            <w:pPr>
              <w:spacing w:after="0" w:line="240" w:lineRule="auto"/>
              <w:jc w:val="right"/>
              <w:rPr>
                <w:rFonts w:ascii="Arial" w:eastAsia="Times New Roman" w:hAnsi="Arial" w:cs="Arial"/>
                <w:color w:val="000000"/>
                <w:kern w:val="0"/>
                <w:sz w:val="17"/>
                <w:szCs w:val="17"/>
                <w:lang w:eastAsia="pt-BR"/>
                <w14:ligatures w14:val="none"/>
              </w:rPr>
            </w:pPr>
            <w:r w:rsidRPr="00DF2493">
              <w:rPr>
                <w:rFonts w:ascii="Arial" w:eastAsia="Times New Roman" w:hAnsi="Arial" w:cs="Arial"/>
                <w:color w:val="000000"/>
                <w:kern w:val="0"/>
                <w:sz w:val="18"/>
                <w:szCs w:val="18"/>
                <w:lang w:eastAsia="pt-BR"/>
                <w14:ligatures w14:val="none"/>
              </w:rPr>
              <w:t>62.486</w:t>
            </w:r>
          </w:p>
        </w:tc>
        <w:tc>
          <w:tcPr>
            <w:tcW w:w="518" w:type="pct"/>
            <w:tcBorders>
              <w:top w:val="nil"/>
              <w:left w:val="nil"/>
              <w:bottom w:val="single" w:sz="8" w:space="0" w:color="auto"/>
              <w:right w:val="single" w:sz="8" w:space="0" w:color="auto"/>
            </w:tcBorders>
            <w:shd w:val="clear" w:color="auto" w:fill="auto"/>
            <w:noWrap/>
            <w:vAlign w:val="bottom"/>
            <w:hideMark/>
          </w:tcPr>
          <w:p w14:paraId="3FE96296" w14:textId="77777777" w:rsidR="00DF2493" w:rsidRPr="00DF2493" w:rsidRDefault="00DF2493" w:rsidP="00DF2493">
            <w:pPr>
              <w:spacing w:after="0" w:line="240" w:lineRule="auto"/>
              <w:jc w:val="right"/>
              <w:rPr>
                <w:rFonts w:ascii="Arial" w:eastAsia="Times New Roman" w:hAnsi="Arial" w:cs="Arial"/>
                <w:color w:val="000000"/>
                <w:kern w:val="0"/>
                <w:sz w:val="17"/>
                <w:szCs w:val="17"/>
                <w:lang w:eastAsia="pt-BR"/>
                <w14:ligatures w14:val="none"/>
              </w:rPr>
            </w:pPr>
            <w:r w:rsidRPr="00DF2493">
              <w:rPr>
                <w:rFonts w:ascii="Arial" w:eastAsia="Times New Roman" w:hAnsi="Arial" w:cs="Arial"/>
                <w:color w:val="000000"/>
                <w:kern w:val="0"/>
                <w:sz w:val="18"/>
                <w:szCs w:val="18"/>
                <w:lang w:eastAsia="pt-BR"/>
                <w14:ligatures w14:val="none"/>
              </w:rPr>
              <w:t>63.057</w:t>
            </w:r>
          </w:p>
        </w:tc>
        <w:tc>
          <w:tcPr>
            <w:tcW w:w="517" w:type="pct"/>
            <w:tcBorders>
              <w:top w:val="nil"/>
              <w:left w:val="nil"/>
              <w:bottom w:val="single" w:sz="8" w:space="0" w:color="auto"/>
              <w:right w:val="single" w:sz="8" w:space="0" w:color="auto"/>
            </w:tcBorders>
            <w:shd w:val="clear" w:color="auto" w:fill="auto"/>
            <w:noWrap/>
            <w:vAlign w:val="bottom"/>
            <w:hideMark/>
          </w:tcPr>
          <w:p w14:paraId="7777DE38" w14:textId="77777777" w:rsidR="00DF2493" w:rsidRPr="00DF2493" w:rsidRDefault="00DF2493" w:rsidP="00DF2493">
            <w:pPr>
              <w:spacing w:after="0" w:line="240" w:lineRule="auto"/>
              <w:jc w:val="right"/>
              <w:rPr>
                <w:rFonts w:ascii="Arial" w:eastAsia="Times New Roman" w:hAnsi="Arial" w:cs="Arial"/>
                <w:color w:val="000000"/>
                <w:kern w:val="0"/>
                <w:sz w:val="17"/>
                <w:szCs w:val="17"/>
                <w:lang w:eastAsia="pt-BR"/>
                <w14:ligatures w14:val="none"/>
              </w:rPr>
            </w:pPr>
            <w:r w:rsidRPr="00DF2493">
              <w:rPr>
                <w:rFonts w:ascii="Arial" w:eastAsia="Times New Roman" w:hAnsi="Arial" w:cs="Arial"/>
                <w:color w:val="000000"/>
                <w:kern w:val="0"/>
                <w:sz w:val="18"/>
                <w:szCs w:val="18"/>
                <w:lang w:eastAsia="pt-BR"/>
                <w14:ligatures w14:val="none"/>
              </w:rPr>
              <w:t>63.629</w:t>
            </w:r>
          </w:p>
        </w:tc>
      </w:tr>
      <w:tr w:rsidR="00DF2493" w:rsidRPr="00DF2493" w14:paraId="6D2C21A6" w14:textId="77777777" w:rsidTr="00446A14">
        <w:trPr>
          <w:trHeight w:val="238"/>
        </w:trPr>
        <w:tc>
          <w:tcPr>
            <w:tcW w:w="2391" w:type="pct"/>
            <w:tcBorders>
              <w:top w:val="nil"/>
              <w:left w:val="single" w:sz="8" w:space="0" w:color="auto"/>
              <w:bottom w:val="single" w:sz="8" w:space="0" w:color="auto"/>
              <w:right w:val="single" w:sz="8" w:space="0" w:color="auto"/>
            </w:tcBorders>
            <w:shd w:val="clear" w:color="auto" w:fill="auto"/>
            <w:noWrap/>
            <w:vAlign w:val="center"/>
            <w:hideMark/>
          </w:tcPr>
          <w:p w14:paraId="0B3B8033" w14:textId="77777777" w:rsidR="00DF2493" w:rsidRPr="00DF2493" w:rsidRDefault="00DF2493" w:rsidP="00DF2493">
            <w:pPr>
              <w:spacing w:after="0" w:line="240" w:lineRule="auto"/>
              <w:rPr>
                <w:rFonts w:ascii="Arial" w:eastAsia="Times New Roman" w:hAnsi="Arial" w:cs="Arial"/>
                <w:b/>
                <w:bCs/>
                <w:color w:val="000000"/>
                <w:kern w:val="0"/>
                <w:sz w:val="17"/>
                <w:szCs w:val="17"/>
                <w:lang w:eastAsia="pt-BR"/>
                <w14:ligatures w14:val="none"/>
              </w:rPr>
            </w:pPr>
            <w:r w:rsidRPr="00DF2493">
              <w:rPr>
                <w:rFonts w:ascii="Arial" w:eastAsia="Times New Roman" w:hAnsi="Arial" w:cs="Arial"/>
                <w:b/>
                <w:bCs/>
                <w:color w:val="000000"/>
                <w:kern w:val="0"/>
                <w:sz w:val="17"/>
                <w:szCs w:val="17"/>
                <w:lang w:eastAsia="pt-BR"/>
                <w14:ligatures w14:val="none"/>
              </w:rPr>
              <w:t>Passivo Exposto</w:t>
            </w:r>
          </w:p>
        </w:tc>
        <w:tc>
          <w:tcPr>
            <w:tcW w:w="509" w:type="pct"/>
            <w:vMerge w:val="restart"/>
            <w:tcBorders>
              <w:top w:val="nil"/>
              <w:left w:val="single" w:sz="8" w:space="0" w:color="auto"/>
              <w:bottom w:val="single" w:sz="8" w:space="0" w:color="000000"/>
              <w:right w:val="single" w:sz="8" w:space="0" w:color="auto"/>
            </w:tcBorders>
            <w:shd w:val="clear" w:color="000000" w:fill="D9D9D9"/>
            <w:noWrap/>
            <w:vAlign w:val="center"/>
            <w:hideMark/>
          </w:tcPr>
          <w:p w14:paraId="04B1CF8A" w14:textId="77777777" w:rsidR="00DF2493" w:rsidRPr="00DF2493" w:rsidRDefault="00DF2493" w:rsidP="00DF2493">
            <w:pPr>
              <w:spacing w:after="0" w:line="240" w:lineRule="auto"/>
              <w:jc w:val="center"/>
              <w:rPr>
                <w:rFonts w:ascii="Arial" w:eastAsia="Times New Roman" w:hAnsi="Arial" w:cs="Arial"/>
                <w:b/>
                <w:bCs/>
                <w:color w:val="000000"/>
                <w:kern w:val="0"/>
                <w:sz w:val="17"/>
                <w:szCs w:val="17"/>
                <w:lang w:eastAsia="pt-BR"/>
                <w14:ligatures w14:val="none"/>
              </w:rPr>
            </w:pPr>
            <w:r w:rsidRPr="00DF2493">
              <w:rPr>
                <w:rFonts w:ascii="Arial" w:eastAsia="Times New Roman" w:hAnsi="Arial" w:cs="Arial"/>
                <w:b/>
                <w:bCs/>
                <w:color w:val="000000"/>
                <w:kern w:val="0"/>
                <w:sz w:val="17"/>
                <w:szCs w:val="17"/>
                <w:lang w:eastAsia="pt-BR"/>
                <w14:ligatures w14:val="none"/>
              </w:rPr>
              <w:t> </w:t>
            </w:r>
          </w:p>
        </w:tc>
        <w:tc>
          <w:tcPr>
            <w:tcW w:w="509" w:type="pct"/>
            <w:tcBorders>
              <w:top w:val="nil"/>
              <w:left w:val="nil"/>
              <w:bottom w:val="single" w:sz="8" w:space="0" w:color="auto"/>
              <w:right w:val="single" w:sz="8" w:space="0" w:color="auto"/>
            </w:tcBorders>
            <w:shd w:val="clear" w:color="auto" w:fill="auto"/>
            <w:noWrap/>
            <w:vAlign w:val="bottom"/>
            <w:hideMark/>
          </w:tcPr>
          <w:p w14:paraId="34739EA6" w14:textId="77777777" w:rsidR="00DF2493" w:rsidRPr="00DF2493" w:rsidRDefault="00DF2493" w:rsidP="00DF2493">
            <w:pPr>
              <w:spacing w:after="0" w:line="240" w:lineRule="auto"/>
              <w:jc w:val="right"/>
              <w:rPr>
                <w:rFonts w:ascii="Arial" w:eastAsia="Times New Roman" w:hAnsi="Arial" w:cs="Arial"/>
                <w:b/>
                <w:bCs/>
                <w:color w:val="000000"/>
                <w:kern w:val="0"/>
                <w:sz w:val="17"/>
                <w:szCs w:val="17"/>
                <w:lang w:eastAsia="pt-BR"/>
                <w14:ligatures w14:val="none"/>
              </w:rPr>
            </w:pPr>
            <w:r w:rsidRPr="00DF2493">
              <w:rPr>
                <w:rFonts w:ascii="Arial" w:eastAsia="Times New Roman" w:hAnsi="Arial" w:cs="Arial"/>
                <w:b/>
                <w:bCs/>
                <w:color w:val="000000"/>
                <w:kern w:val="0"/>
                <w:sz w:val="18"/>
                <w:szCs w:val="18"/>
                <w:lang w:eastAsia="pt-BR"/>
                <w14:ligatures w14:val="none"/>
              </w:rPr>
              <w:t>132.440</w:t>
            </w:r>
          </w:p>
        </w:tc>
        <w:tc>
          <w:tcPr>
            <w:tcW w:w="556" w:type="pct"/>
            <w:tcBorders>
              <w:top w:val="nil"/>
              <w:left w:val="nil"/>
              <w:bottom w:val="single" w:sz="8" w:space="0" w:color="auto"/>
              <w:right w:val="single" w:sz="8" w:space="0" w:color="auto"/>
            </w:tcBorders>
            <w:shd w:val="clear" w:color="auto" w:fill="auto"/>
            <w:noWrap/>
            <w:vAlign w:val="bottom"/>
            <w:hideMark/>
          </w:tcPr>
          <w:p w14:paraId="529A2503" w14:textId="77777777" w:rsidR="00DF2493" w:rsidRPr="00DF2493" w:rsidRDefault="00DF2493" w:rsidP="00DF2493">
            <w:pPr>
              <w:spacing w:after="0" w:line="240" w:lineRule="auto"/>
              <w:jc w:val="right"/>
              <w:rPr>
                <w:rFonts w:ascii="Arial" w:eastAsia="Times New Roman" w:hAnsi="Arial" w:cs="Arial"/>
                <w:b/>
                <w:bCs/>
                <w:color w:val="000000"/>
                <w:kern w:val="0"/>
                <w:sz w:val="17"/>
                <w:szCs w:val="17"/>
                <w:lang w:eastAsia="pt-BR"/>
                <w14:ligatures w14:val="none"/>
              </w:rPr>
            </w:pPr>
            <w:r w:rsidRPr="00DF2493">
              <w:rPr>
                <w:rFonts w:ascii="Arial" w:eastAsia="Times New Roman" w:hAnsi="Arial" w:cs="Arial"/>
                <w:b/>
                <w:bCs/>
                <w:color w:val="000000"/>
                <w:kern w:val="0"/>
                <w:sz w:val="18"/>
                <w:szCs w:val="18"/>
                <w:lang w:eastAsia="pt-BR"/>
                <w14:ligatures w14:val="none"/>
              </w:rPr>
              <w:t>137.473</w:t>
            </w:r>
          </w:p>
        </w:tc>
        <w:tc>
          <w:tcPr>
            <w:tcW w:w="518" w:type="pct"/>
            <w:tcBorders>
              <w:top w:val="nil"/>
              <w:left w:val="nil"/>
              <w:bottom w:val="single" w:sz="8" w:space="0" w:color="auto"/>
              <w:right w:val="single" w:sz="8" w:space="0" w:color="auto"/>
            </w:tcBorders>
            <w:shd w:val="clear" w:color="auto" w:fill="auto"/>
            <w:noWrap/>
            <w:vAlign w:val="bottom"/>
            <w:hideMark/>
          </w:tcPr>
          <w:p w14:paraId="7E8AD4B4" w14:textId="77777777" w:rsidR="00DF2493" w:rsidRPr="00DF2493" w:rsidRDefault="00DF2493" w:rsidP="00DF2493">
            <w:pPr>
              <w:spacing w:after="0" w:line="240" w:lineRule="auto"/>
              <w:jc w:val="right"/>
              <w:rPr>
                <w:rFonts w:ascii="Arial" w:eastAsia="Times New Roman" w:hAnsi="Arial" w:cs="Arial"/>
                <w:b/>
                <w:bCs/>
                <w:color w:val="000000"/>
                <w:kern w:val="0"/>
                <w:sz w:val="17"/>
                <w:szCs w:val="17"/>
                <w:lang w:eastAsia="pt-BR"/>
                <w14:ligatures w14:val="none"/>
              </w:rPr>
            </w:pPr>
            <w:r w:rsidRPr="00DF2493">
              <w:rPr>
                <w:rFonts w:ascii="Arial" w:eastAsia="Times New Roman" w:hAnsi="Arial" w:cs="Arial"/>
                <w:b/>
                <w:bCs/>
                <w:color w:val="000000"/>
                <w:kern w:val="0"/>
                <w:sz w:val="18"/>
                <w:szCs w:val="18"/>
                <w:lang w:eastAsia="pt-BR"/>
                <w14:ligatures w14:val="none"/>
              </w:rPr>
              <w:t>138.730</w:t>
            </w:r>
          </w:p>
        </w:tc>
        <w:tc>
          <w:tcPr>
            <w:tcW w:w="517" w:type="pct"/>
            <w:tcBorders>
              <w:top w:val="nil"/>
              <w:left w:val="nil"/>
              <w:bottom w:val="single" w:sz="8" w:space="0" w:color="auto"/>
              <w:right w:val="single" w:sz="8" w:space="0" w:color="auto"/>
            </w:tcBorders>
            <w:shd w:val="clear" w:color="auto" w:fill="auto"/>
            <w:noWrap/>
            <w:vAlign w:val="bottom"/>
            <w:hideMark/>
          </w:tcPr>
          <w:p w14:paraId="2F0EFDD2" w14:textId="77777777" w:rsidR="00DF2493" w:rsidRPr="00DF2493" w:rsidRDefault="00DF2493" w:rsidP="00DF2493">
            <w:pPr>
              <w:spacing w:after="0" w:line="240" w:lineRule="auto"/>
              <w:jc w:val="right"/>
              <w:rPr>
                <w:rFonts w:ascii="Arial" w:eastAsia="Times New Roman" w:hAnsi="Arial" w:cs="Arial"/>
                <w:b/>
                <w:bCs/>
                <w:color w:val="000000"/>
                <w:kern w:val="0"/>
                <w:sz w:val="17"/>
                <w:szCs w:val="17"/>
                <w:lang w:eastAsia="pt-BR"/>
                <w14:ligatures w14:val="none"/>
              </w:rPr>
            </w:pPr>
            <w:r w:rsidRPr="00DF2493">
              <w:rPr>
                <w:rFonts w:ascii="Arial" w:eastAsia="Times New Roman" w:hAnsi="Arial" w:cs="Arial"/>
                <w:b/>
                <w:bCs/>
                <w:color w:val="000000"/>
                <w:kern w:val="0"/>
                <w:sz w:val="18"/>
                <w:szCs w:val="18"/>
                <w:lang w:eastAsia="pt-BR"/>
                <w14:ligatures w14:val="none"/>
              </w:rPr>
              <w:t>139.989</w:t>
            </w:r>
          </w:p>
        </w:tc>
      </w:tr>
      <w:tr w:rsidR="00DF2493" w:rsidRPr="00DF2493" w14:paraId="6CBC0E80" w14:textId="77777777" w:rsidTr="00446A14">
        <w:trPr>
          <w:trHeight w:val="238"/>
        </w:trPr>
        <w:tc>
          <w:tcPr>
            <w:tcW w:w="2391" w:type="pct"/>
            <w:tcBorders>
              <w:top w:val="nil"/>
              <w:left w:val="single" w:sz="8" w:space="0" w:color="auto"/>
              <w:bottom w:val="single" w:sz="8" w:space="0" w:color="auto"/>
              <w:right w:val="single" w:sz="8" w:space="0" w:color="auto"/>
            </w:tcBorders>
            <w:shd w:val="clear" w:color="auto" w:fill="auto"/>
            <w:noWrap/>
            <w:vAlign w:val="center"/>
            <w:hideMark/>
          </w:tcPr>
          <w:p w14:paraId="5113DEA1" w14:textId="77777777" w:rsidR="00DF2493" w:rsidRPr="00DF2493" w:rsidRDefault="00DF2493" w:rsidP="00DF2493">
            <w:pPr>
              <w:spacing w:after="0" w:line="240" w:lineRule="auto"/>
              <w:rPr>
                <w:rFonts w:ascii="Arial" w:eastAsia="Times New Roman" w:hAnsi="Arial" w:cs="Arial"/>
                <w:b/>
                <w:bCs/>
                <w:color w:val="000000"/>
                <w:kern w:val="0"/>
                <w:sz w:val="17"/>
                <w:szCs w:val="17"/>
                <w:lang w:eastAsia="pt-BR"/>
                <w14:ligatures w14:val="none"/>
              </w:rPr>
            </w:pPr>
            <w:r w:rsidRPr="00DF2493">
              <w:rPr>
                <w:rFonts w:ascii="Arial" w:eastAsia="Times New Roman" w:hAnsi="Arial" w:cs="Arial"/>
                <w:b/>
                <w:bCs/>
                <w:color w:val="000000"/>
                <w:kern w:val="0"/>
                <w:sz w:val="17"/>
                <w:szCs w:val="17"/>
                <w:lang w:eastAsia="pt-BR"/>
                <w14:ligatures w14:val="none"/>
              </w:rPr>
              <w:t>Efeito da Variação do INPC</w:t>
            </w:r>
          </w:p>
        </w:tc>
        <w:tc>
          <w:tcPr>
            <w:tcW w:w="509" w:type="pct"/>
            <w:vMerge/>
            <w:tcBorders>
              <w:top w:val="nil"/>
              <w:left w:val="single" w:sz="8" w:space="0" w:color="auto"/>
              <w:bottom w:val="single" w:sz="8" w:space="0" w:color="000000"/>
              <w:right w:val="single" w:sz="8" w:space="0" w:color="auto"/>
            </w:tcBorders>
            <w:vAlign w:val="center"/>
            <w:hideMark/>
          </w:tcPr>
          <w:p w14:paraId="0250B41D" w14:textId="77777777" w:rsidR="00DF2493" w:rsidRPr="00DF2493" w:rsidRDefault="00DF2493" w:rsidP="00DF2493">
            <w:pPr>
              <w:spacing w:after="0" w:line="240" w:lineRule="auto"/>
              <w:rPr>
                <w:rFonts w:ascii="Arial" w:eastAsia="Times New Roman" w:hAnsi="Arial" w:cs="Arial"/>
                <w:b/>
                <w:bCs/>
                <w:color w:val="000000"/>
                <w:kern w:val="0"/>
                <w:sz w:val="17"/>
                <w:szCs w:val="17"/>
                <w:lang w:eastAsia="pt-BR"/>
                <w14:ligatures w14:val="none"/>
              </w:rPr>
            </w:pPr>
          </w:p>
        </w:tc>
        <w:tc>
          <w:tcPr>
            <w:tcW w:w="509" w:type="pct"/>
            <w:tcBorders>
              <w:top w:val="nil"/>
              <w:left w:val="nil"/>
              <w:bottom w:val="single" w:sz="8" w:space="0" w:color="auto"/>
              <w:right w:val="single" w:sz="8" w:space="0" w:color="auto"/>
            </w:tcBorders>
            <w:shd w:val="clear" w:color="000000" w:fill="D9D9D9"/>
            <w:noWrap/>
            <w:vAlign w:val="bottom"/>
            <w:hideMark/>
          </w:tcPr>
          <w:p w14:paraId="6D1A660B" w14:textId="77777777" w:rsidR="00DF2493" w:rsidRPr="00DF2493" w:rsidRDefault="00DF2493" w:rsidP="00DF2493">
            <w:pPr>
              <w:spacing w:after="0" w:line="240" w:lineRule="auto"/>
              <w:rPr>
                <w:rFonts w:ascii="Calibri" w:eastAsia="Times New Roman" w:hAnsi="Calibri" w:cs="Calibri"/>
                <w:color w:val="000000"/>
                <w:kern w:val="0"/>
                <w:sz w:val="17"/>
                <w:szCs w:val="17"/>
                <w:lang w:eastAsia="pt-BR"/>
                <w14:ligatures w14:val="none"/>
              </w:rPr>
            </w:pPr>
            <w:r w:rsidRPr="00DF2493">
              <w:rPr>
                <w:rFonts w:ascii="Calibri" w:eastAsia="Times New Roman" w:hAnsi="Calibri" w:cs="Calibri"/>
                <w:color w:val="000000"/>
                <w:kern w:val="0"/>
                <w:sz w:val="17"/>
                <w:szCs w:val="17"/>
                <w:lang w:eastAsia="pt-BR"/>
                <w14:ligatures w14:val="none"/>
              </w:rPr>
              <w:t> </w:t>
            </w:r>
          </w:p>
        </w:tc>
        <w:tc>
          <w:tcPr>
            <w:tcW w:w="556" w:type="pct"/>
            <w:tcBorders>
              <w:top w:val="nil"/>
              <w:left w:val="nil"/>
              <w:bottom w:val="single" w:sz="8" w:space="0" w:color="auto"/>
              <w:right w:val="single" w:sz="8" w:space="0" w:color="auto"/>
            </w:tcBorders>
            <w:shd w:val="clear" w:color="auto" w:fill="auto"/>
            <w:noWrap/>
            <w:vAlign w:val="bottom"/>
            <w:hideMark/>
          </w:tcPr>
          <w:p w14:paraId="28C9A5F7" w14:textId="77777777" w:rsidR="00DF2493" w:rsidRPr="00DF2493" w:rsidRDefault="00DF2493" w:rsidP="00DF2493">
            <w:pPr>
              <w:spacing w:after="0" w:line="240" w:lineRule="auto"/>
              <w:jc w:val="right"/>
              <w:rPr>
                <w:rFonts w:ascii="Arial" w:eastAsia="Times New Roman" w:hAnsi="Arial" w:cs="Arial"/>
                <w:b/>
                <w:bCs/>
                <w:color w:val="000000"/>
                <w:kern w:val="0"/>
                <w:sz w:val="17"/>
                <w:szCs w:val="17"/>
                <w:lang w:eastAsia="pt-BR"/>
                <w14:ligatures w14:val="none"/>
              </w:rPr>
            </w:pPr>
            <w:r w:rsidRPr="00DF2493">
              <w:rPr>
                <w:rFonts w:ascii="Arial" w:eastAsia="Times New Roman" w:hAnsi="Arial" w:cs="Arial"/>
                <w:b/>
                <w:bCs/>
                <w:color w:val="000000"/>
                <w:kern w:val="0"/>
                <w:sz w:val="18"/>
                <w:szCs w:val="18"/>
                <w:lang w:eastAsia="pt-BR"/>
                <w14:ligatures w14:val="none"/>
              </w:rPr>
              <w:t>(5.033)</w:t>
            </w:r>
          </w:p>
        </w:tc>
        <w:tc>
          <w:tcPr>
            <w:tcW w:w="518" w:type="pct"/>
            <w:tcBorders>
              <w:top w:val="nil"/>
              <w:left w:val="nil"/>
              <w:bottom w:val="single" w:sz="8" w:space="0" w:color="auto"/>
              <w:right w:val="single" w:sz="8" w:space="0" w:color="auto"/>
            </w:tcBorders>
            <w:shd w:val="clear" w:color="auto" w:fill="auto"/>
            <w:noWrap/>
            <w:vAlign w:val="bottom"/>
            <w:hideMark/>
          </w:tcPr>
          <w:p w14:paraId="5AF0C9C6" w14:textId="77777777" w:rsidR="00DF2493" w:rsidRPr="00DF2493" w:rsidRDefault="00DF2493" w:rsidP="00DF2493">
            <w:pPr>
              <w:spacing w:after="0" w:line="240" w:lineRule="auto"/>
              <w:jc w:val="right"/>
              <w:rPr>
                <w:rFonts w:ascii="Arial" w:eastAsia="Times New Roman" w:hAnsi="Arial" w:cs="Arial"/>
                <w:b/>
                <w:bCs/>
                <w:color w:val="000000"/>
                <w:kern w:val="0"/>
                <w:sz w:val="17"/>
                <w:szCs w:val="17"/>
                <w:lang w:eastAsia="pt-BR"/>
                <w14:ligatures w14:val="none"/>
              </w:rPr>
            </w:pPr>
            <w:r w:rsidRPr="00DF2493">
              <w:rPr>
                <w:rFonts w:ascii="Arial" w:eastAsia="Times New Roman" w:hAnsi="Arial" w:cs="Arial"/>
                <w:b/>
                <w:bCs/>
                <w:color w:val="000000"/>
                <w:kern w:val="0"/>
                <w:sz w:val="18"/>
                <w:szCs w:val="18"/>
                <w:lang w:eastAsia="pt-BR"/>
                <w14:ligatures w14:val="none"/>
              </w:rPr>
              <w:t>(6.290)</w:t>
            </w:r>
          </w:p>
        </w:tc>
        <w:tc>
          <w:tcPr>
            <w:tcW w:w="517" w:type="pct"/>
            <w:tcBorders>
              <w:top w:val="nil"/>
              <w:left w:val="nil"/>
              <w:bottom w:val="single" w:sz="8" w:space="0" w:color="auto"/>
              <w:right w:val="single" w:sz="8" w:space="0" w:color="auto"/>
            </w:tcBorders>
            <w:shd w:val="clear" w:color="auto" w:fill="auto"/>
            <w:noWrap/>
            <w:vAlign w:val="bottom"/>
            <w:hideMark/>
          </w:tcPr>
          <w:p w14:paraId="627990FC" w14:textId="77777777" w:rsidR="00DF2493" w:rsidRPr="00DF2493" w:rsidRDefault="00DF2493" w:rsidP="00DF2493">
            <w:pPr>
              <w:spacing w:after="0" w:line="240" w:lineRule="auto"/>
              <w:jc w:val="right"/>
              <w:rPr>
                <w:rFonts w:ascii="Arial" w:eastAsia="Times New Roman" w:hAnsi="Arial" w:cs="Arial"/>
                <w:b/>
                <w:bCs/>
                <w:color w:val="000000"/>
                <w:kern w:val="0"/>
                <w:sz w:val="17"/>
                <w:szCs w:val="17"/>
                <w:lang w:eastAsia="pt-BR"/>
                <w14:ligatures w14:val="none"/>
              </w:rPr>
            </w:pPr>
            <w:r w:rsidRPr="00DF2493">
              <w:rPr>
                <w:rFonts w:ascii="Arial" w:eastAsia="Times New Roman" w:hAnsi="Arial" w:cs="Arial"/>
                <w:b/>
                <w:bCs/>
                <w:color w:val="000000"/>
                <w:kern w:val="0"/>
                <w:sz w:val="18"/>
                <w:szCs w:val="18"/>
                <w:lang w:eastAsia="pt-BR"/>
                <w14:ligatures w14:val="none"/>
              </w:rPr>
              <w:t>(7.549)</w:t>
            </w:r>
          </w:p>
        </w:tc>
      </w:tr>
    </w:tbl>
    <w:p w14:paraId="57770180" w14:textId="61D64402" w:rsidR="00A15702" w:rsidRPr="00A15702" w:rsidRDefault="00A15702" w:rsidP="007A23F8">
      <w:pPr>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4.3. </w:t>
      </w:r>
      <w:r w:rsidRPr="00A15702">
        <w:rPr>
          <w:rFonts w:ascii="Calibri" w:eastAsia="Times New Roman" w:hAnsi="Calibri" w:cs="Calibri"/>
          <w:b/>
          <w:bCs/>
          <w:iCs/>
          <w:color w:val="002060"/>
          <w:kern w:val="0"/>
          <w14:ligatures w14:val="none"/>
        </w:rPr>
        <w:t>Estimativa de valor justo</w:t>
      </w:r>
    </w:p>
    <w:p w14:paraId="01D10179" w14:textId="77777777" w:rsidR="00A15702" w:rsidRPr="00A15702" w:rsidRDefault="00A15702" w:rsidP="007A23F8">
      <w:pPr>
        <w:spacing w:after="0" w:line="240" w:lineRule="auto"/>
        <w:jc w:val="both"/>
        <w:rPr>
          <w:rFonts w:ascii="Calibri" w:eastAsia="Times New Roman" w:hAnsi="Calibri" w:cs="Calibri"/>
          <w:iCs/>
          <w:color w:val="002060"/>
          <w:kern w:val="0"/>
          <w14:ligatures w14:val="none"/>
        </w:rPr>
      </w:pPr>
      <w:r w:rsidRPr="00A15702">
        <w:rPr>
          <w:rFonts w:ascii="Calibri" w:eastAsia="Times New Roman" w:hAnsi="Calibri" w:cs="Calibri"/>
          <w:iCs/>
          <w:color w:val="002060"/>
          <w:kern w:val="0"/>
          <w14:ligatures w14:val="none"/>
        </w:rPr>
        <w:t>Os instrumentos financeiros ativos e passivos são registrados, inicialmente, pelo valor justo das transações que lhes deram origem e são atualizados, quando aplicável, com base nos encargos contratuais e ajustados pelas estimativas de perda. A Administração avalia que os valores apurados com base nesses critérios podem ser considerados a melhor estimativa para apuração do valor justo dos instrumentos financeiros detidos pela Companhia.</w:t>
      </w:r>
    </w:p>
    <w:p w14:paraId="7D669AC1" w14:textId="77777777" w:rsidR="00A15702" w:rsidRDefault="00A15702" w:rsidP="007A23F8">
      <w:pPr>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4.3.1. </w:t>
      </w:r>
      <w:r w:rsidRPr="00A15702">
        <w:rPr>
          <w:rFonts w:ascii="Calibri" w:eastAsia="Times New Roman" w:hAnsi="Calibri" w:cs="Calibri"/>
          <w:b/>
          <w:bCs/>
          <w:iCs/>
          <w:color w:val="002060"/>
          <w:kern w:val="0"/>
          <w14:ligatures w14:val="none"/>
        </w:rPr>
        <w:t>Hierarquia do valor justo</w:t>
      </w:r>
    </w:p>
    <w:p w14:paraId="225FA4E1" w14:textId="0C56EA49" w:rsidR="00A15702" w:rsidRPr="00A15702" w:rsidRDefault="00A15702" w:rsidP="007A23F8">
      <w:pPr>
        <w:spacing w:after="0" w:line="240" w:lineRule="auto"/>
        <w:jc w:val="both"/>
        <w:rPr>
          <w:rFonts w:ascii="Calibri" w:eastAsia="Times New Roman" w:hAnsi="Calibri" w:cs="Calibri"/>
          <w:b/>
          <w:bCs/>
          <w:iCs/>
          <w:color w:val="002060"/>
          <w:kern w:val="0"/>
          <w14:ligatures w14:val="none"/>
        </w:rPr>
      </w:pPr>
      <w:r w:rsidRPr="00A15702">
        <w:rPr>
          <w:rFonts w:ascii="Calibri" w:eastAsia="Times New Roman" w:hAnsi="Calibri" w:cs="Calibri"/>
          <w:iCs/>
          <w:color w:val="002060"/>
          <w:kern w:val="0"/>
          <w14:ligatures w14:val="none"/>
        </w:rPr>
        <w:t xml:space="preserve">O CPC 40 / IFRS 7 define valor justo como o valor/preço que seria recebido na venda de um ativo ou pago na transferência de um passivo em uma transação ordinária entre participantes de um mercado na data de sua mensuração. A norma esclarece que o valor justo deve ser fundamentado nas premissas que os participantes de um mercado utilizam quando atribuem um valor/preço a um ativo ou passivo e estabelece uma hierarquia que prioriza a informação utilizada para desenvolver essas premissas. A hierarquia do valor justo atribui maior peso às informações de mercado disponíveis (ou seja, dados observáveis) e menor peso às informações relacionadas a dados sem transparência (ou seja, dados inobserváveis). Adicionalmente, a norma requer que a empresa considere todos os aspectos de riscos de não desempenho </w:t>
      </w:r>
      <w:r w:rsidRPr="00A15702">
        <w:rPr>
          <w:rFonts w:ascii="Calibri" w:eastAsia="Times New Roman" w:hAnsi="Calibri" w:cs="Calibri"/>
          <w:i/>
          <w:iCs/>
          <w:color w:val="002060"/>
          <w:kern w:val="0"/>
          <w14:ligatures w14:val="none"/>
        </w:rPr>
        <w:t xml:space="preserve">(“non-performance </w:t>
      </w:r>
      <w:proofErr w:type="spellStart"/>
      <w:r w:rsidRPr="00A15702">
        <w:rPr>
          <w:rFonts w:ascii="Calibri" w:eastAsia="Times New Roman" w:hAnsi="Calibri" w:cs="Calibri"/>
          <w:i/>
          <w:iCs/>
          <w:color w:val="002060"/>
          <w:kern w:val="0"/>
          <w14:ligatures w14:val="none"/>
        </w:rPr>
        <w:t>risk</w:t>
      </w:r>
      <w:proofErr w:type="spellEnd"/>
      <w:r w:rsidRPr="00A15702">
        <w:rPr>
          <w:rFonts w:ascii="Calibri" w:eastAsia="Times New Roman" w:hAnsi="Calibri" w:cs="Calibri"/>
          <w:i/>
          <w:iCs/>
          <w:color w:val="002060"/>
          <w:kern w:val="0"/>
          <w14:ligatures w14:val="none"/>
        </w:rPr>
        <w:t>”)</w:t>
      </w:r>
      <w:r w:rsidRPr="00A15702">
        <w:rPr>
          <w:rFonts w:ascii="Calibri" w:eastAsia="Times New Roman" w:hAnsi="Calibri" w:cs="Calibri"/>
          <w:iCs/>
          <w:color w:val="002060"/>
          <w:kern w:val="0"/>
          <w14:ligatures w14:val="none"/>
        </w:rPr>
        <w:t>, incluindo o próprio crédito da Companhia e de suas controladas e coligadas (quando couber), ao mensurar o valor justo de um passivo.</w:t>
      </w:r>
    </w:p>
    <w:p w14:paraId="561C1A57" w14:textId="77777777" w:rsidR="00A15702" w:rsidRPr="00A15702" w:rsidRDefault="00A15702" w:rsidP="007A23F8">
      <w:pPr>
        <w:spacing w:after="0" w:line="240" w:lineRule="auto"/>
        <w:jc w:val="both"/>
        <w:rPr>
          <w:rFonts w:ascii="Calibri" w:eastAsia="Times New Roman" w:hAnsi="Calibri" w:cs="Calibri"/>
          <w:iCs/>
          <w:color w:val="002060"/>
          <w:kern w:val="0"/>
          <w14:ligatures w14:val="none"/>
        </w:rPr>
      </w:pPr>
      <w:r w:rsidRPr="00A15702">
        <w:rPr>
          <w:rFonts w:ascii="Calibri" w:eastAsia="Times New Roman" w:hAnsi="Calibri" w:cs="Calibri"/>
          <w:iCs/>
          <w:color w:val="002060"/>
          <w:kern w:val="0"/>
          <w14:ligatures w14:val="none"/>
        </w:rPr>
        <w:t>O CPC 40 / IFRS 7 estabelece uma hierarquia de três níveis a ser utilizada ao mensurar e divulgar o valor justo. Um instrumento de categorização na hierarquia do valor justo baseia-se no menor nível de “</w:t>
      </w:r>
      <w:r w:rsidRPr="00A15702">
        <w:rPr>
          <w:rFonts w:ascii="Calibri" w:eastAsia="Times New Roman" w:hAnsi="Calibri" w:cs="Calibri"/>
          <w:i/>
          <w:iCs/>
          <w:color w:val="002060"/>
          <w:kern w:val="0"/>
          <w14:ligatures w14:val="none"/>
        </w:rPr>
        <w:t>input</w:t>
      </w:r>
      <w:r w:rsidRPr="00A15702">
        <w:rPr>
          <w:rFonts w:ascii="Calibri" w:eastAsia="Times New Roman" w:hAnsi="Calibri" w:cs="Calibri"/>
          <w:iCs/>
          <w:color w:val="002060"/>
          <w:kern w:val="0"/>
          <w14:ligatures w14:val="none"/>
        </w:rPr>
        <w:t>” significativo para sua mensuração. Abaixo está demonstrada uma descrição dos três níveis de hierarquia:</w:t>
      </w:r>
    </w:p>
    <w:p w14:paraId="0B4915CC" w14:textId="77777777" w:rsidR="00A15702" w:rsidRPr="00A15702" w:rsidRDefault="00A15702" w:rsidP="007A23F8">
      <w:pPr>
        <w:spacing w:after="0" w:line="240" w:lineRule="auto"/>
        <w:jc w:val="both"/>
        <w:rPr>
          <w:rFonts w:ascii="Calibri" w:eastAsia="Times New Roman" w:hAnsi="Calibri" w:cs="Calibri"/>
          <w:iCs/>
          <w:color w:val="002060"/>
          <w:kern w:val="0"/>
          <w14:ligatures w14:val="none"/>
        </w:rPr>
      </w:pPr>
      <w:r w:rsidRPr="00A15702">
        <w:rPr>
          <w:rFonts w:ascii="Calibri" w:eastAsia="Times New Roman" w:hAnsi="Calibri" w:cs="Calibri"/>
          <w:iCs/>
          <w:color w:val="002060"/>
          <w:kern w:val="0"/>
          <w14:ligatures w14:val="none"/>
        </w:rPr>
        <w:t>Nível 1 — Os “</w:t>
      </w:r>
      <w:r w:rsidRPr="00A15702">
        <w:rPr>
          <w:rFonts w:ascii="Calibri" w:eastAsia="Times New Roman" w:hAnsi="Calibri" w:cs="Calibri"/>
          <w:i/>
          <w:iCs/>
          <w:color w:val="002060"/>
          <w:kern w:val="0"/>
          <w14:ligatures w14:val="none"/>
        </w:rPr>
        <w:t>inputs</w:t>
      </w:r>
      <w:r w:rsidRPr="00A15702">
        <w:rPr>
          <w:rFonts w:ascii="Calibri" w:eastAsia="Times New Roman" w:hAnsi="Calibri" w:cs="Calibri"/>
          <w:iCs/>
          <w:color w:val="002060"/>
          <w:kern w:val="0"/>
          <w14:ligatures w14:val="none"/>
        </w:rPr>
        <w:t>” são determinados com base nos preços praticados em um mercado ativo para ativos ou passivos idênticos na data da mensuração. Adicionalmente, a Companhia e suas controladas e coligadas (quando couber) devem ter possibilidade de negociar nesse mercado ativo e o preço praticado não pode ser ajustado pelas empresas.</w:t>
      </w:r>
    </w:p>
    <w:p w14:paraId="6423C155" w14:textId="77777777" w:rsidR="00A15702" w:rsidRPr="00A15702" w:rsidRDefault="00A15702" w:rsidP="007A23F8">
      <w:pPr>
        <w:spacing w:after="0" w:line="240" w:lineRule="auto"/>
        <w:jc w:val="both"/>
        <w:rPr>
          <w:rFonts w:ascii="Calibri" w:eastAsia="Times New Roman" w:hAnsi="Calibri" w:cs="Calibri"/>
          <w:iCs/>
          <w:color w:val="002060"/>
          <w:kern w:val="0"/>
          <w14:ligatures w14:val="none"/>
        </w:rPr>
      </w:pPr>
      <w:r w:rsidRPr="00A15702">
        <w:rPr>
          <w:rFonts w:ascii="Calibri" w:eastAsia="Times New Roman" w:hAnsi="Calibri" w:cs="Calibri"/>
          <w:iCs/>
          <w:color w:val="002060"/>
          <w:kern w:val="0"/>
          <w14:ligatures w14:val="none"/>
        </w:rPr>
        <w:t>Nível 2 — Os “</w:t>
      </w:r>
      <w:r w:rsidRPr="00A15702">
        <w:rPr>
          <w:rFonts w:ascii="Calibri" w:eastAsia="Times New Roman" w:hAnsi="Calibri" w:cs="Calibri"/>
          <w:i/>
          <w:iCs/>
          <w:color w:val="002060"/>
          <w:kern w:val="0"/>
          <w14:ligatures w14:val="none"/>
        </w:rPr>
        <w:t>inputs</w:t>
      </w:r>
      <w:r w:rsidRPr="00A15702">
        <w:rPr>
          <w:rFonts w:ascii="Calibri" w:eastAsia="Times New Roman" w:hAnsi="Calibri" w:cs="Calibri"/>
          <w:iCs/>
          <w:color w:val="002060"/>
          <w:kern w:val="0"/>
          <w14:ligatures w14:val="none"/>
        </w:rPr>
        <w:t>” são outros que não sejam preços praticados conforme determinado pelo Nível 1 que são observáveis para o ativo ou passivo, direta ou indiretamente. Os “</w:t>
      </w:r>
      <w:r w:rsidRPr="00A15702">
        <w:rPr>
          <w:rFonts w:ascii="Calibri" w:eastAsia="Times New Roman" w:hAnsi="Calibri" w:cs="Calibri"/>
          <w:i/>
          <w:iCs/>
          <w:color w:val="002060"/>
          <w:kern w:val="0"/>
          <w14:ligatures w14:val="none"/>
        </w:rPr>
        <w:t>inputs</w:t>
      </w:r>
      <w:r w:rsidRPr="00A15702">
        <w:rPr>
          <w:rFonts w:ascii="Calibri" w:eastAsia="Times New Roman" w:hAnsi="Calibri" w:cs="Calibri"/>
          <w:iCs/>
          <w:color w:val="002060"/>
          <w:kern w:val="0"/>
          <w14:ligatures w14:val="none"/>
        </w:rPr>
        <w:t xml:space="preserve">” do Nível 2 incluem preços praticados em um mercado ativo para ativos ou passivos similares, preços praticados em um mercado inativo para ativos </w:t>
      </w:r>
      <w:r w:rsidRPr="00A15702">
        <w:rPr>
          <w:rFonts w:ascii="Calibri" w:eastAsia="Times New Roman" w:hAnsi="Calibri" w:cs="Calibri"/>
          <w:iCs/>
          <w:color w:val="002060"/>
          <w:kern w:val="0"/>
          <w14:ligatures w14:val="none"/>
        </w:rPr>
        <w:lastRenderedPageBreak/>
        <w:t>ou passivos idênticos; ou “</w:t>
      </w:r>
      <w:r w:rsidRPr="00A15702">
        <w:rPr>
          <w:rFonts w:ascii="Calibri" w:eastAsia="Times New Roman" w:hAnsi="Calibri" w:cs="Calibri"/>
          <w:i/>
          <w:iCs/>
          <w:color w:val="002060"/>
          <w:kern w:val="0"/>
          <w14:ligatures w14:val="none"/>
        </w:rPr>
        <w:t>inputs</w:t>
      </w:r>
      <w:r w:rsidRPr="00A15702">
        <w:rPr>
          <w:rFonts w:ascii="Calibri" w:eastAsia="Times New Roman" w:hAnsi="Calibri" w:cs="Calibri"/>
          <w:iCs/>
          <w:color w:val="002060"/>
          <w:kern w:val="0"/>
          <w14:ligatures w14:val="none"/>
        </w:rPr>
        <w:t>” que são observáveis ou que possam corroborar na observação de dados de um mercado por correlação ou de outras formas para substancialmente toda parte do ativo ou passivo.</w:t>
      </w:r>
    </w:p>
    <w:p w14:paraId="465E1376" w14:textId="77777777" w:rsidR="00A15702" w:rsidRPr="00A15702" w:rsidRDefault="00A15702" w:rsidP="007A23F8">
      <w:pPr>
        <w:spacing w:after="0" w:line="240" w:lineRule="auto"/>
        <w:jc w:val="both"/>
        <w:rPr>
          <w:rFonts w:ascii="Calibri" w:eastAsia="Times New Roman" w:hAnsi="Calibri" w:cs="Calibri"/>
          <w:iCs/>
          <w:color w:val="002060"/>
          <w:kern w:val="0"/>
          <w14:ligatures w14:val="none"/>
        </w:rPr>
      </w:pPr>
      <w:r w:rsidRPr="00A15702">
        <w:rPr>
          <w:rFonts w:ascii="Calibri" w:eastAsia="Times New Roman" w:hAnsi="Calibri" w:cs="Calibri"/>
          <w:iCs/>
          <w:color w:val="002060"/>
          <w:kern w:val="0"/>
          <w14:ligatures w14:val="none"/>
        </w:rPr>
        <w:t>Nível 3 — Os “</w:t>
      </w:r>
      <w:r w:rsidRPr="00A15702">
        <w:rPr>
          <w:rFonts w:ascii="Calibri" w:eastAsia="Times New Roman" w:hAnsi="Calibri" w:cs="Calibri"/>
          <w:i/>
          <w:iCs/>
          <w:color w:val="002060"/>
          <w:kern w:val="0"/>
          <w14:ligatures w14:val="none"/>
        </w:rPr>
        <w:t>inputs</w:t>
      </w:r>
      <w:r w:rsidRPr="00A15702">
        <w:rPr>
          <w:rFonts w:ascii="Calibri" w:eastAsia="Times New Roman" w:hAnsi="Calibri" w:cs="Calibri"/>
          <w:iCs/>
          <w:color w:val="002060"/>
          <w:kern w:val="0"/>
          <w14:ligatures w14:val="none"/>
        </w:rPr>
        <w:t>” inobserváveis são aqueles provenientes de pouca ou nenhuma atividade de mercado. Esses “</w:t>
      </w:r>
      <w:r w:rsidRPr="00A15702">
        <w:rPr>
          <w:rFonts w:ascii="Calibri" w:eastAsia="Times New Roman" w:hAnsi="Calibri" w:cs="Calibri"/>
          <w:i/>
          <w:iCs/>
          <w:color w:val="002060"/>
          <w:kern w:val="0"/>
          <w14:ligatures w14:val="none"/>
        </w:rPr>
        <w:t>inputs</w:t>
      </w:r>
      <w:r w:rsidRPr="00A15702">
        <w:rPr>
          <w:rFonts w:ascii="Calibri" w:eastAsia="Times New Roman" w:hAnsi="Calibri" w:cs="Calibri"/>
          <w:iCs/>
          <w:color w:val="002060"/>
          <w:kern w:val="0"/>
          <w14:ligatures w14:val="none"/>
        </w:rPr>
        <w:t>” representam as melhores estimativas da Administração da Companhia de como os participantes de mercado poderiam atribuir valor/preço a esses ativos ou passivos. Geralmente, os ativos e passivos de Nível 3 são mensurados utilizando modelos de precificação, fluxo de caixa descontados ou metodologias similares que demandam um significativo julgamento ou estimativa.</w:t>
      </w:r>
    </w:p>
    <w:p w14:paraId="5E5EC3E8" w14:textId="77777777" w:rsidR="00A15702" w:rsidRPr="00A15702" w:rsidRDefault="00A15702" w:rsidP="007A23F8">
      <w:pPr>
        <w:spacing w:after="0" w:line="240" w:lineRule="auto"/>
        <w:jc w:val="both"/>
        <w:rPr>
          <w:rFonts w:ascii="Calibri" w:eastAsia="Times New Roman" w:hAnsi="Calibri" w:cs="Calibri"/>
          <w:iCs/>
          <w:color w:val="002060"/>
          <w:kern w:val="0"/>
          <w14:ligatures w14:val="none"/>
        </w:rPr>
      </w:pPr>
      <w:r w:rsidRPr="00A15702">
        <w:rPr>
          <w:rFonts w:ascii="Calibri" w:eastAsia="Times New Roman" w:hAnsi="Calibri" w:cs="Calibri"/>
          <w:iCs/>
          <w:color w:val="002060"/>
          <w:kern w:val="0"/>
          <w14:ligatures w14:val="none"/>
        </w:rPr>
        <w:t>De acordo com o CPC 40 / IFRS 7, a Companhia mensura seus Equivalentes de caixa (Aplicações financeiras de liquidez imediata) pelo seu valor justo. Esses Equivalentes de caixa são classificados como Nível 2, pois são mensurados utilizando preços de mercado para instrumentos similares.</w:t>
      </w:r>
    </w:p>
    <w:p w14:paraId="1B6612F3" w14:textId="77777777" w:rsidR="00A15702" w:rsidRPr="00A15702" w:rsidRDefault="00A15702" w:rsidP="007A23F8">
      <w:pPr>
        <w:spacing w:after="0" w:line="240" w:lineRule="auto"/>
        <w:jc w:val="both"/>
        <w:rPr>
          <w:rFonts w:ascii="Calibri" w:eastAsia="Times New Roman" w:hAnsi="Calibri" w:cs="Calibri"/>
          <w:iCs/>
          <w:color w:val="002060"/>
          <w:kern w:val="0"/>
          <w14:ligatures w14:val="none"/>
        </w:rPr>
      </w:pPr>
      <w:r w:rsidRPr="00A15702">
        <w:rPr>
          <w:rFonts w:ascii="Calibri" w:eastAsia="Times New Roman" w:hAnsi="Calibri" w:cs="Calibri"/>
          <w:iCs/>
          <w:color w:val="002060"/>
          <w:kern w:val="0"/>
          <w14:ligatures w14:val="none"/>
        </w:rPr>
        <w:t xml:space="preserve">As tabelas abaixo demonstram, de forma resumida, os principais instrumentos financeiros ativos e passivos em 31 de dezembro de 2023 e 31 de dezembro de 2022: </w:t>
      </w:r>
    </w:p>
    <w:tbl>
      <w:tblPr>
        <w:tblW w:w="5001" w:type="pct"/>
        <w:tblCellMar>
          <w:left w:w="70" w:type="dxa"/>
          <w:right w:w="70" w:type="dxa"/>
        </w:tblCellMar>
        <w:tblLook w:val="04A0" w:firstRow="1" w:lastRow="0" w:firstColumn="1" w:lastColumn="0" w:noHBand="0" w:noVBand="1"/>
      </w:tblPr>
      <w:tblGrid>
        <w:gridCol w:w="4461"/>
        <w:gridCol w:w="1005"/>
        <w:gridCol w:w="932"/>
        <w:gridCol w:w="962"/>
        <w:gridCol w:w="844"/>
        <w:gridCol w:w="840"/>
        <w:gridCol w:w="719"/>
      </w:tblGrid>
      <w:tr w:rsidR="00A15702" w:rsidRPr="00A15702" w14:paraId="0C69C091" w14:textId="77777777" w:rsidTr="00446A14">
        <w:trPr>
          <w:trHeight w:val="238"/>
          <w:tblHeader/>
        </w:trPr>
        <w:tc>
          <w:tcPr>
            <w:tcW w:w="2285"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4F50346E" w14:textId="77777777" w:rsidR="00A15702" w:rsidRPr="00A15702" w:rsidRDefault="00A15702" w:rsidP="00A15702">
            <w:pPr>
              <w:spacing w:after="0" w:line="240" w:lineRule="auto"/>
              <w:rPr>
                <w:rFonts w:ascii="Arial" w:eastAsia="Times New Roman" w:hAnsi="Arial" w:cs="Arial"/>
                <w:b/>
                <w:bCs/>
                <w:color w:val="000000"/>
                <w:kern w:val="0"/>
                <w:sz w:val="16"/>
                <w:szCs w:val="16"/>
                <w:lang w:eastAsia="pt-BR"/>
                <w14:ligatures w14:val="none"/>
              </w:rPr>
            </w:pPr>
            <w:r w:rsidRPr="00A15702">
              <w:rPr>
                <w:rFonts w:ascii="Arial" w:eastAsia="Times New Roman" w:hAnsi="Arial" w:cs="Arial"/>
                <w:b/>
                <w:bCs/>
                <w:color w:val="000000"/>
                <w:kern w:val="0"/>
                <w:sz w:val="16"/>
                <w:szCs w:val="16"/>
                <w:lang w:eastAsia="pt-BR"/>
                <w14:ligatures w14:val="none"/>
              </w:rPr>
              <w:t>Instrumentos Financeiros:</w:t>
            </w:r>
          </w:p>
        </w:tc>
        <w:tc>
          <w:tcPr>
            <w:tcW w:w="51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2F82CB0" w14:textId="77777777" w:rsidR="00A15702" w:rsidRPr="00A15702" w:rsidRDefault="00A15702" w:rsidP="00A15702">
            <w:pPr>
              <w:spacing w:after="0" w:line="240" w:lineRule="auto"/>
              <w:jc w:val="center"/>
              <w:rPr>
                <w:rFonts w:ascii="Arial" w:eastAsia="Times New Roman" w:hAnsi="Arial" w:cs="Arial"/>
                <w:b/>
                <w:bCs/>
                <w:color w:val="000000"/>
                <w:kern w:val="0"/>
                <w:sz w:val="16"/>
                <w:szCs w:val="16"/>
                <w:lang w:eastAsia="pt-BR"/>
                <w14:ligatures w14:val="none"/>
              </w:rPr>
            </w:pPr>
            <w:r w:rsidRPr="00A15702">
              <w:rPr>
                <w:rFonts w:ascii="Arial" w:eastAsia="Times New Roman" w:hAnsi="Arial" w:cs="Arial"/>
                <w:b/>
                <w:bCs/>
                <w:color w:val="000000"/>
                <w:kern w:val="0"/>
                <w:sz w:val="16"/>
                <w:szCs w:val="16"/>
                <w:lang w:eastAsia="pt-BR"/>
                <w14:ligatures w14:val="none"/>
              </w:rPr>
              <w:t>Avaliação</w:t>
            </w:r>
          </w:p>
        </w:tc>
        <w:tc>
          <w:tcPr>
            <w:tcW w:w="47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5D735C8" w14:textId="77777777" w:rsidR="00A15702" w:rsidRPr="00A15702" w:rsidRDefault="00A15702" w:rsidP="00A15702">
            <w:pPr>
              <w:spacing w:after="0" w:line="240" w:lineRule="auto"/>
              <w:jc w:val="center"/>
              <w:rPr>
                <w:rFonts w:ascii="Arial" w:eastAsia="Times New Roman" w:hAnsi="Arial" w:cs="Arial"/>
                <w:b/>
                <w:bCs/>
                <w:color w:val="000000"/>
                <w:kern w:val="0"/>
                <w:sz w:val="16"/>
                <w:szCs w:val="16"/>
                <w:lang w:eastAsia="pt-BR"/>
                <w14:ligatures w14:val="none"/>
              </w:rPr>
            </w:pPr>
            <w:r w:rsidRPr="00A15702">
              <w:rPr>
                <w:rFonts w:ascii="Arial" w:eastAsia="Times New Roman" w:hAnsi="Arial" w:cs="Arial"/>
                <w:b/>
                <w:bCs/>
                <w:color w:val="000000"/>
                <w:kern w:val="0"/>
                <w:sz w:val="16"/>
                <w:szCs w:val="16"/>
                <w:lang w:eastAsia="pt-BR"/>
                <w14:ligatures w14:val="none"/>
              </w:rPr>
              <w:t>Hierarquia do Valor justo</w:t>
            </w:r>
          </w:p>
        </w:tc>
        <w:tc>
          <w:tcPr>
            <w:tcW w:w="92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C36E4F6" w14:textId="77777777" w:rsidR="00A15702" w:rsidRPr="00A15702" w:rsidRDefault="00A15702" w:rsidP="00A15702">
            <w:pPr>
              <w:spacing w:after="0" w:line="240" w:lineRule="auto"/>
              <w:jc w:val="center"/>
              <w:rPr>
                <w:rFonts w:ascii="Arial" w:eastAsia="Times New Roman" w:hAnsi="Arial" w:cs="Arial"/>
                <w:b/>
                <w:bCs/>
                <w:color w:val="000000"/>
                <w:kern w:val="0"/>
                <w:sz w:val="16"/>
                <w:szCs w:val="16"/>
                <w:lang w:eastAsia="pt-BR"/>
                <w14:ligatures w14:val="none"/>
              </w:rPr>
            </w:pPr>
            <w:r w:rsidRPr="00A15702">
              <w:rPr>
                <w:rFonts w:ascii="Arial" w:eastAsia="Times New Roman" w:hAnsi="Arial" w:cs="Arial"/>
                <w:b/>
                <w:bCs/>
                <w:color w:val="000000"/>
                <w:kern w:val="0"/>
                <w:sz w:val="16"/>
                <w:szCs w:val="16"/>
                <w:lang w:eastAsia="pt-BR"/>
                <w14:ligatures w14:val="none"/>
              </w:rPr>
              <w:t>31/12/2023</w:t>
            </w:r>
          </w:p>
        </w:tc>
        <w:tc>
          <w:tcPr>
            <w:tcW w:w="798"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0FAB11E" w14:textId="77777777" w:rsidR="00A15702" w:rsidRPr="00A15702" w:rsidRDefault="00A15702" w:rsidP="00A15702">
            <w:pPr>
              <w:spacing w:after="0" w:line="240" w:lineRule="auto"/>
              <w:jc w:val="center"/>
              <w:rPr>
                <w:rFonts w:ascii="Arial" w:eastAsia="Times New Roman" w:hAnsi="Arial" w:cs="Arial"/>
                <w:b/>
                <w:bCs/>
                <w:color w:val="000000"/>
                <w:kern w:val="0"/>
                <w:sz w:val="16"/>
                <w:szCs w:val="16"/>
                <w:lang w:eastAsia="pt-BR"/>
                <w14:ligatures w14:val="none"/>
              </w:rPr>
            </w:pPr>
            <w:r w:rsidRPr="00A15702">
              <w:rPr>
                <w:rFonts w:ascii="Arial" w:eastAsia="Times New Roman" w:hAnsi="Arial" w:cs="Arial"/>
                <w:b/>
                <w:bCs/>
                <w:color w:val="000000"/>
                <w:kern w:val="0"/>
                <w:sz w:val="16"/>
                <w:szCs w:val="16"/>
                <w:lang w:eastAsia="pt-BR"/>
                <w14:ligatures w14:val="none"/>
              </w:rPr>
              <w:t>31/12/2022</w:t>
            </w:r>
          </w:p>
        </w:tc>
      </w:tr>
      <w:tr w:rsidR="00A15702" w:rsidRPr="00A15702" w14:paraId="73F1D3E8" w14:textId="77777777" w:rsidTr="00446A14">
        <w:trPr>
          <w:trHeight w:val="238"/>
          <w:tblHeader/>
        </w:trPr>
        <w:tc>
          <w:tcPr>
            <w:tcW w:w="2285" w:type="pct"/>
            <w:vMerge/>
            <w:tcBorders>
              <w:top w:val="single" w:sz="8" w:space="0" w:color="auto"/>
              <w:left w:val="single" w:sz="8" w:space="0" w:color="auto"/>
              <w:bottom w:val="single" w:sz="8" w:space="0" w:color="000000"/>
              <w:right w:val="single" w:sz="8" w:space="0" w:color="auto"/>
            </w:tcBorders>
            <w:vAlign w:val="center"/>
            <w:hideMark/>
          </w:tcPr>
          <w:p w14:paraId="500D2708" w14:textId="77777777" w:rsidR="00A15702" w:rsidRPr="00A15702" w:rsidRDefault="00A15702" w:rsidP="00A15702">
            <w:pPr>
              <w:spacing w:after="0" w:line="240" w:lineRule="auto"/>
              <w:rPr>
                <w:rFonts w:ascii="Arial" w:eastAsia="Times New Roman" w:hAnsi="Arial" w:cs="Arial"/>
                <w:b/>
                <w:bCs/>
                <w:color w:val="000000"/>
                <w:kern w:val="0"/>
                <w:sz w:val="16"/>
                <w:szCs w:val="16"/>
                <w:lang w:eastAsia="pt-BR"/>
                <w14:ligatures w14:val="none"/>
              </w:rPr>
            </w:pPr>
          </w:p>
        </w:tc>
        <w:tc>
          <w:tcPr>
            <w:tcW w:w="515" w:type="pct"/>
            <w:vMerge/>
            <w:tcBorders>
              <w:top w:val="single" w:sz="8" w:space="0" w:color="auto"/>
              <w:left w:val="single" w:sz="8" w:space="0" w:color="auto"/>
              <w:bottom w:val="single" w:sz="8" w:space="0" w:color="000000"/>
              <w:right w:val="single" w:sz="8" w:space="0" w:color="auto"/>
            </w:tcBorders>
            <w:vAlign w:val="center"/>
            <w:hideMark/>
          </w:tcPr>
          <w:p w14:paraId="239F4C21" w14:textId="77777777" w:rsidR="00A15702" w:rsidRPr="00A15702" w:rsidRDefault="00A15702" w:rsidP="00A15702">
            <w:pPr>
              <w:spacing w:after="0" w:line="240" w:lineRule="auto"/>
              <w:rPr>
                <w:rFonts w:ascii="Arial" w:eastAsia="Times New Roman" w:hAnsi="Arial" w:cs="Arial"/>
                <w:b/>
                <w:bCs/>
                <w:color w:val="000000"/>
                <w:kern w:val="0"/>
                <w:sz w:val="16"/>
                <w:szCs w:val="16"/>
                <w:lang w:eastAsia="pt-BR"/>
                <w14:ligatures w14:val="none"/>
              </w:rPr>
            </w:pPr>
          </w:p>
        </w:tc>
        <w:tc>
          <w:tcPr>
            <w:tcW w:w="477" w:type="pct"/>
            <w:vMerge/>
            <w:tcBorders>
              <w:top w:val="single" w:sz="8" w:space="0" w:color="auto"/>
              <w:left w:val="single" w:sz="8" w:space="0" w:color="auto"/>
              <w:bottom w:val="single" w:sz="8" w:space="0" w:color="000000"/>
              <w:right w:val="single" w:sz="8" w:space="0" w:color="auto"/>
            </w:tcBorders>
            <w:vAlign w:val="center"/>
            <w:hideMark/>
          </w:tcPr>
          <w:p w14:paraId="313848E2" w14:textId="77777777" w:rsidR="00A15702" w:rsidRPr="00A15702" w:rsidRDefault="00A15702" w:rsidP="00A15702">
            <w:pPr>
              <w:spacing w:after="0" w:line="240" w:lineRule="auto"/>
              <w:rPr>
                <w:rFonts w:ascii="Arial" w:eastAsia="Times New Roman" w:hAnsi="Arial" w:cs="Arial"/>
                <w:b/>
                <w:bCs/>
                <w:color w:val="000000"/>
                <w:kern w:val="0"/>
                <w:sz w:val="16"/>
                <w:szCs w:val="16"/>
                <w:lang w:eastAsia="pt-BR"/>
                <w14:ligatures w14:val="none"/>
              </w:rPr>
            </w:pPr>
          </w:p>
        </w:tc>
        <w:tc>
          <w:tcPr>
            <w:tcW w:w="493" w:type="pct"/>
            <w:tcBorders>
              <w:top w:val="nil"/>
              <w:left w:val="nil"/>
              <w:bottom w:val="single" w:sz="8" w:space="0" w:color="auto"/>
              <w:right w:val="single" w:sz="8" w:space="0" w:color="auto"/>
            </w:tcBorders>
            <w:shd w:val="clear" w:color="auto" w:fill="auto"/>
            <w:vAlign w:val="center"/>
            <w:hideMark/>
          </w:tcPr>
          <w:p w14:paraId="5750D719" w14:textId="77777777" w:rsidR="00A15702" w:rsidRPr="00A15702" w:rsidRDefault="00A15702" w:rsidP="00A15702">
            <w:pPr>
              <w:spacing w:after="0" w:line="240" w:lineRule="auto"/>
              <w:jc w:val="center"/>
              <w:rPr>
                <w:rFonts w:ascii="Arial" w:eastAsia="Times New Roman" w:hAnsi="Arial" w:cs="Arial"/>
                <w:b/>
                <w:bCs/>
                <w:color w:val="000000"/>
                <w:kern w:val="0"/>
                <w:sz w:val="16"/>
                <w:szCs w:val="16"/>
                <w:lang w:eastAsia="pt-BR"/>
                <w14:ligatures w14:val="none"/>
              </w:rPr>
            </w:pPr>
            <w:r w:rsidRPr="00A15702">
              <w:rPr>
                <w:rFonts w:ascii="Arial" w:eastAsia="Times New Roman" w:hAnsi="Arial" w:cs="Arial"/>
                <w:b/>
                <w:bCs/>
                <w:color w:val="000000"/>
                <w:kern w:val="0"/>
                <w:sz w:val="16"/>
                <w:szCs w:val="16"/>
                <w:lang w:eastAsia="pt-BR"/>
                <w14:ligatures w14:val="none"/>
              </w:rPr>
              <w:t xml:space="preserve"> Valor Contábil </w:t>
            </w:r>
          </w:p>
        </w:tc>
        <w:tc>
          <w:tcPr>
            <w:tcW w:w="432" w:type="pct"/>
            <w:tcBorders>
              <w:top w:val="nil"/>
              <w:left w:val="nil"/>
              <w:bottom w:val="single" w:sz="8" w:space="0" w:color="auto"/>
              <w:right w:val="single" w:sz="8" w:space="0" w:color="auto"/>
            </w:tcBorders>
            <w:shd w:val="clear" w:color="auto" w:fill="auto"/>
            <w:vAlign w:val="center"/>
            <w:hideMark/>
          </w:tcPr>
          <w:p w14:paraId="5358C17B" w14:textId="77777777" w:rsidR="00A15702" w:rsidRPr="00A15702" w:rsidRDefault="00A15702" w:rsidP="00A15702">
            <w:pPr>
              <w:spacing w:after="0" w:line="240" w:lineRule="auto"/>
              <w:jc w:val="center"/>
              <w:rPr>
                <w:rFonts w:ascii="Arial" w:eastAsia="Times New Roman" w:hAnsi="Arial" w:cs="Arial"/>
                <w:b/>
                <w:bCs/>
                <w:color w:val="000000"/>
                <w:kern w:val="0"/>
                <w:sz w:val="16"/>
                <w:szCs w:val="16"/>
                <w:lang w:eastAsia="pt-BR"/>
                <w14:ligatures w14:val="none"/>
              </w:rPr>
            </w:pPr>
            <w:r w:rsidRPr="00A15702">
              <w:rPr>
                <w:rFonts w:ascii="Arial" w:eastAsia="Times New Roman" w:hAnsi="Arial" w:cs="Arial"/>
                <w:b/>
                <w:bCs/>
                <w:color w:val="000000"/>
                <w:kern w:val="0"/>
                <w:sz w:val="16"/>
                <w:szCs w:val="16"/>
                <w:lang w:eastAsia="pt-BR"/>
                <w14:ligatures w14:val="none"/>
              </w:rPr>
              <w:t xml:space="preserve"> Valor Justo </w:t>
            </w:r>
          </w:p>
        </w:tc>
        <w:tc>
          <w:tcPr>
            <w:tcW w:w="430" w:type="pct"/>
            <w:tcBorders>
              <w:top w:val="nil"/>
              <w:left w:val="nil"/>
              <w:bottom w:val="single" w:sz="8" w:space="0" w:color="auto"/>
              <w:right w:val="single" w:sz="8" w:space="0" w:color="auto"/>
            </w:tcBorders>
            <w:shd w:val="clear" w:color="auto" w:fill="auto"/>
            <w:vAlign w:val="center"/>
            <w:hideMark/>
          </w:tcPr>
          <w:p w14:paraId="0F037F00" w14:textId="77777777" w:rsidR="00A15702" w:rsidRPr="00A15702" w:rsidRDefault="00A15702" w:rsidP="00A15702">
            <w:pPr>
              <w:spacing w:after="0" w:line="240" w:lineRule="auto"/>
              <w:jc w:val="center"/>
              <w:rPr>
                <w:rFonts w:ascii="Arial" w:eastAsia="Times New Roman" w:hAnsi="Arial" w:cs="Arial"/>
                <w:b/>
                <w:bCs/>
                <w:color w:val="000000"/>
                <w:kern w:val="0"/>
                <w:sz w:val="16"/>
                <w:szCs w:val="16"/>
                <w:lang w:eastAsia="pt-BR"/>
                <w14:ligatures w14:val="none"/>
              </w:rPr>
            </w:pPr>
            <w:r w:rsidRPr="00A15702">
              <w:rPr>
                <w:rFonts w:ascii="Arial" w:eastAsia="Times New Roman" w:hAnsi="Arial" w:cs="Arial"/>
                <w:b/>
                <w:bCs/>
                <w:color w:val="000000"/>
                <w:kern w:val="0"/>
                <w:sz w:val="16"/>
                <w:szCs w:val="16"/>
                <w:lang w:eastAsia="pt-BR"/>
                <w14:ligatures w14:val="none"/>
              </w:rPr>
              <w:t xml:space="preserve"> Valor Contábil </w:t>
            </w:r>
          </w:p>
        </w:tc>
        <w:tc>
          <w:tcPr>
            <w:tcW w:w="368" w:type="pct"/>
            <w:tcBorders>
              <w:top w:val="nil"/>
              <w:left w:val="nil"/>
              <w:bottom w:val="single" w:sz="8" w:space="0" w:color="auto"/>
              <w:right w:val="single" w:sz="8" w:space="0" w:color="auto"/>
            </w:tcBorders>
            <w:shd w:val="clear" w:color="auto" w:fill="auto"/>
            <w:vAlign w:val="center"/>
            <w:hideMark/>
          </w:tcPr>
          <w:p w14:paraId="142BEB62" w14:textId="77777777" w:rsidR="00A15702" w:rsidRPr="00A15702" w:rsidRDefault="00A15702" w:rsidP="00A15702">
            <w:pPr>
              <w:spacing w:after="0" w:line="240" w:lineRule="auto"/>
              <w:jc w:val="center"/>
              <w:rPr>
                <w:rFonts w:ascii="Arial" w:eastAsia="Times New Roman" w:hAnsi="Arial" w:cs="Arial"/>
                <w:b/>
                <w:bCs/>
                <w:color w:val="000000"/>
                <w:kern w:val="0"/>
                <w:sz w:val="16"/>
                <w:szCs w:val="16"/>
                <w:lang w:eastAsia="pt-BR"/>
                <w14:ligatures w14:val="none"/>
              </w:rPr>
            </w:pPr>
            <w:r w:rsidRPr="00A15702">
              <w:rPr>
                <w:rFonts w:ascii="Arial" w:eastAsia="Times New Roman" w:hAnsi="Arial" w:cs="Arial"/>
                <w:b/>
                <w:bCs/>
                <w:color w:val="000000"/>
                <w:kern w:val="0"/>
                <w:sz w:val="16"/>
                <w:szCs w:val="16"/>
                <w:lang w:eastAsia="pt-BR"/>
                <w14:ligatures w14:val="none"/>
              </w:rPr>
              <w:t xml:space="preserve"> Valor Justo</w:t>
            </w:r>
          </w:p>
        </w:tc>
      </w:tr>
      <w:tr w:rsidR="00A15702" w:rsidRPr="00A15702" w14:paraId="6374A716" w14:textId="77777777" w:rsidTr="00446A14">
        <w:trPr>
          <w:trHeight w:val="238"/>
        </w:trPr>
        <w:tc>
          <w:tcPr>
            <w:tcW w:w="2285" w:type="pct"/>
            <w:tcBorders>
              <w:top w:val="nil"/>
              <w:left w:val="single" w:sz="8" w:space="0" w:color="auto"/>
              <w:bottom w:val="single" w:sz="8" w:space="0" w:color="auto"/>
              <w:right w:val="single" w:sz="8" w:space="0" w:color="auto"/>
            </w:tcBorders>
            <w:shd w:val="clear" w:color="auto" w:fill="auto"/>
            <w:noWrap/>
            <w:vAlign w:val="center"/>
            <w:hideMark/>
          </w:tcPr>
          <w:p w14:paraId="1F5B6C29" w14:textId="77777777" w:rsidR="00A15702" w:rsidRPr="00A15702" w:rsidRDefault="00A15702" w:rsidP="00A15702">
            <w:pPr>
              <w:spacing w:after="0" w:line="240" w:lineRule="auto"/>
              <w:rPr>
                <w:rFonts w:ascii="Arial" w:eastAsia="Times New Roman" w:hAnsi="Arial" w:cs="Arial"/>
                <w:b/>
                <w:bCs/>
                <w:color w:val="000000"/>
                <w:kern w:val="0"/>
                <w:sz w:val="16"/>
                <w:szCs w:val="16"/>
                <w:lang w:eastAsia="pt-BR"/>
                <w14:ligatures w14:val="none"/>
              </w:rPr>
            </w:pPr>
            <w:r w:rsidRPr="00A15702">
              <w:rPr>
                <w:rFonts w:ascii="Arial" w:eastAsia="Times New Roman" w:hAnsi="Arial" w:cs="Arial"/>
                <w:b/>
                <w:bCs/>
                <w:color w:val="000000"/>
                <w:kern w:val="0"/>
                <w:sz w:val="16"/>
                <w:szCs w:val="16"/>
                <w:lang w:eastAsia="pt-BR"/>
                <w14:ligatures w14:val="none"/>
              </w:rPr>
              <w:t>Ativos Financeiros</w:t>
            </w:r>
          </w:p>
        </w:tc>
        <w:tc>
          <w:tcPr>
            <w:tcW w:w="515" w:type="pct"/>
            <w:tcBorders>
              <w:top w:val="nil"/>
              <w:left w:val="nil"/>
              <w:bottom w:val="single" w:sz="8" w:space="0" w:color="auto"/>
              <w:right w:val="single" w:sz="8" w:space="0" w:color="auto"/>
            </w:tcBorders>
            <w:shd w:val="clear" w:color="auto" w:fill="auto"/>
            <w:noWrap/>
            <w:vAlign w:val="center"/>
            <w:hideMark/>
          </w:tcPr>
          <w:p w14:paraId="1151248F"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 </w:t>
            </w:r>
          </w:p>
        </w:tc>
        <w:tc>
          <w:tcPr>
            <w:tcW w:w="477" w:type="pct"/>
            <w:tcBorders>
              <w:top w:val="nil"/>
              <w:left w:val="nil"/>
              <w:bottom w:val="single" w:sz="8" w:space="0" w:color="auto"/>
              <w:right w:val="single" w:sz="8" w:space="0" w:color="auto"/>
            </w:tcBorders>
            <w:shd w:val="clear" w:color="auto" w:fill="auto"/>
            <w:noWrap/>
            <w:vAlign w:val="center"/>
            <w:hideMark/>
          </w:tcPr>
          <w:p w14:paraId="70F4363F"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 </w:t>
            </w:r>
          </w:p>
        </w:tc>
        <w:tc>
          <w:tcPr>
            <w:tcW w:w="493" w:type="pct"/>
            <w:tcBorders>
              <w:top w:val="nil"/>
              <w:left w:val="nil"/>
              <w:bottom w:val="single" w:sz="8" w:space="0" w:color="auto"/>
              <w:right w:val="single" w:sz="8" w:space="0" w:color="auto"/>
            </w:tcBorders>
            <w:shd w:val="clear" w:color="auto" w:fill="auto"/>
            <w:noWrap/>
            <w:vAlign w:val="center"/>
            <w:hideMark/>
          </w:tcPr>
          <w:p w14:paraId="63D206D8"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 </w:t>
            </w:r>
          </w:p>
        </w:tc>
        <w:tc>
          <w:tcPr>
            <w:tcW w:w="432" w:type="pct"/>
            <w:tcBorders>
              <w:top w:val="nil"/>
              <w:left w:val="nil"/>
              <w:bottom w:val="single" w:sz="8" w:space="0" w:color="auto"/>
              <w:right w:val="single" w:sz="8" w:space="0" w:color="auto"/>
            </w:tcBorders>
            <w:shd w:val="clear" w:color="auto" w:fill="auto"/>
            <w:noWrap/>
            <w:vAlign w:val="center"/>
            <w:hideMark/>
          </w:tcPr>
          <w:p w14:paraId="0B5D8555"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 </w:t>
            </w:r>
          </w:p>
        </w:tc>
        <w:tc>
          <w:tcPr>
            <w:tcW w:w="430" w:type="pct"/>
            <w:tcBorders>
              <w:top w:val="nil"/>
              <w:left w:val="nil"/>
              <w:bottom w:val="single" w:sz="8" w:space="0" w:color="auto"/>
              <w:right w:val="single" w:sz="8" w:space="0" w:color="auto"/>
            </w:tcBorders>
            <w:shd w:val="clear" w:color="auto" w:fill="auto"/>
            <w:noWrap/>
            <w:vAlign w:val="center"/>
            <w:hideMark/>
          </w:tcPr>
          <w:p w14:paraId="1DD0C0D5"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 </w:t>
            </w:r>
          </w:p>
        </w:tc>
        <w:tc>
          <w:tcPr>
            <w:tcW w:w="368" w:type="pct"/>
            <w:tcBorders>
              <w:top w:val="nil"/>
              <w:left w:val="nil"/>
              <w:bottom w:val="single" w:sz="8" w:space="0" w:color="auto"/>
              <w:right w:val="single" w:sz="8" w:space="0" w:color="auto"/>
            </w:tcBorders>
            <w:shd w:val="clear" w:color="auto" w:fill="auto"/>
            <w:noWrap/>
            <w:vAlign w:val="center"/>
            <w:hideMark/>
          </w:tcPr>
          <w:p w14:paraId="6C8272A2"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 </w:t>
            </w:r>
          </w:p>
        </w:tc>
      </w:tr>
      <w:tr w:rsidR="00A15702" w:rsidRPr="00A15702" w14:paraId="1D91A4C8" w14:textId="77777777" w:rsidTr="00446A14">
        <w:trPr>
          <w:trHeight w:val="238"/>
        </w:trPr>
        <w:tc>
          <w:tcPr>
            <w:tcW w:w="2285" w:type="pct"/>
            <w:tcBorders>
              <w:top w:val="nil"/>
              <w:left w:val="single" w:sz="8" w:space="0" w:color="auto"/>
              <w:bottom w:val="single" w:sz="8" w:space="0" w:color="auto"/>
              <w:right w:val="single" w:sz="8" w:space="0" w:color="auto"/>
            </w:tcBorders>
            <w:shd w:val="clear" w:color="auto" w:fill="auto"/>
            <w:noWrap/>
            <w:vAlign w:val="center"/>
            <w:hideMark/>
          </w:tcPr>
          <w:p w14:paraId="0D3AE91D" w14:textId="77777777" w:rsidR="00A15702" w:rsidRPr="00A15702" w:rsidRDefault="00A15702" w:rsidP="00A15702">
            <w:pPr>
              <w:spacing w:after="0" w:line="240" w:lineRule="auto"/>
              <w:rPr>
                <w:rFonts w:ascii="Arial" w:eastAsia="Times New Roman" w:hAnsi="Arial" w:cs="Arial"/>
                <w:b/>
                <w:bCs/>
                <w:color w:val="000000"/>
                <w:kern w:val="0"/>
                <w:sz w:val="16"/>
                <w:szCs w:val="16"/>
                <w:lang w:eastAsia="pt-BR"/>
                <w14:ligatures w14:val="none"/>
              </w:rPr>
            </w:pPr>
            <w:r w:rsidRPr="00A15702">
              <w:rPr>
                <w:rFonts w:ascii="Arial" w:eastAsia="Times New Roman" w:hAnsi="Arial" w:cs="Arial"/>
                <w:b/>
                <w:bCs/>
                <w:color w:val="000000"/>
                <w:kern w:val="0"/>
                <w:sz w:val="16"/>
                <w:szCs w:val="16"/>
                <w:lang w:eastAsia="pt-BR"/>
                <w14:ligatures w14:val="none"/>
              </w:rPr>
              <w:t> </w:t>
            </w:r>
          </w:p>
        </w:tc>
        <w:tc>
          <w:tcPr>
            <w:tcW w:w="515" w:type="pct"/>
            <w:tcBorders>
              <w:top w:val="nil"/>
              <w:left w:val="nil"/>
              <w:bottom w:val="single" w:sz="8" w:space="0" w:color="auto"/>
              <w:right w:val="single" w:sz="8" w:space="0" w:color="auto"/>
            </w:tcBorders>
            <w:shd w:val="clear" w:color="auto" w:fill="auto"/>
            <w:noWrap/>
            <w:vAlign w:val="center"/>
            <w:hideMark/>
          </w:tcPr>
          <w:p w14:paraId="280DA327"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 </w:t>
            </w:r>
          </w:p>
        </w:tc>
        <w:tc>
          <w:tcPr>
            <w:tcW w:w="477" w:type="pct"/>
            <w:tcBorders>
              <w:top w:val="nil"/>
              <w:left w:val="nil"/>
              <w:bottom w:val="single" w:sz="8" w:space="0" w:color="auto"/>
              <w:right w:val="single" w:sz="8" w:space="0" w:color="auto"/>
            </w:tcBorders>
            <w:shd w:val="clear" w:color="auto" w:fill="auto"/>
            <w:noWrap/>
            <w:vAlign w:val="center"/>
            <w:hideMark/>
          </w:tcPr>
          <w:p w14:paraId="2E38C9B0"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 </w:t>
            </w:r>
          </w:p>
        </w:tc>
        <w:tc>
          <w:tcPr>
            <w:tcW w:w="493" w:type="pct"/>
            <w:tcBorders>
              <w:top w:val="nil"/>
              <w:left w:val="nil"/>
              <w:bottom w:val="single" w:sz="8" w:space="0" w:color="auto"/>
              <w:right w:val="single" w:sz="8" w:space="0" w:color="auto"/>
            </w:tcBorders>
            <w:shd w:val="clear" w:color="auto" w:fill="auto"/>
            <w:noWrap/>
            <w:vAlign w:val="center"/>
            <w:hideMark/>
          </w:tcPr>
          <w:p w14:paraId="539E3975"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 </w:t>
            </w:r>
          </w:p>
        </w:tc>
        <w:tc>
          <w:tcPr>
            <w:tcW w:w="432" w:type="pct"/>
            <w:tcBorders>
              <w:top w:val="nil"/>
              <w:left w:val="nil"/>
              <w:bottom w:val="single" w:sz="8" w:space="0" w:color="auto"/>
              <w:right w:val="single" w:sz="8" w:space="0" w:color="auto"/>
            </w:tcBorders>
            <w:shd w:val="clear" w:color="auto" w:fill="auto"/>
            <w:noWrap/>
            <w:vAlign w:val="center"/>
            <w:hideMark/>
          </w:tcPr>
          <w:p w14:paraId="780F1325"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 </w:t>
            </w:r>
          </w:p>
        </w:tc>
        <w:tc>
          <w:tcPr>
            <w:tcW w:w="430" w:type="pct"/>
            <w:tcBorders>
              <w:top w:val="nil"/>
              <w:left w:val="nil"/>
              <w:bottom w:val="single" w:sz="8" w:space="0" w:color="auto"/>
              <w:right w:val="single" w:sz="8" w:space="0" w:color="auto"/>
            </w:tcBorders>
            <w:shd w:val="clear" w:color="auto" w:fill="auto"/>
            <w:noWrap/>
            <w:vAlign w:val="center"/>
            <w:hideMark/>
          </w:tcPr>
          <w:p w14:paraId="755E63E1"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 </w:t>
            </w:r>
          </w:p>
        </w:tc>
        <w:tc>
          <w:tcPr>
            <w:tcW w:w="368" w:type="pct"/>
            <w:tcBorders>
              <w:top w:val="nil"/>
              <w:left w:val="nil"/>
              <w:bottom w:val="single" w:sz="8" w:space="0" w:color="auto"/>
              <w:right w:val="single" w:sz="8" w:space="0" w:color="auto"/>
            </w:tcBorders>
            <w:shd w:val="clear" w:color="auto" w:fill="auto"/>
            <w:noWrap/>
            <w:vAlign w:val="center"/>
            <w:hideMark/>
          </w:tcPr>
          <w:p w14:paraId="412AAF3E"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 </w:t>
            </w:r>
          </w:p>
        </w:tc>
      </w:tr>
      <w:tr w:rsidR="00A15702" w:rsidRPr="00A15702" w14:paraId="30C30A54" w14:textId="77777777" w:rsidTr="00446A14">
        <w:trPr>
          <w:trHeight w:val="238"/>
        </w:trPr>
        <w:tc>
          <w:tcPr>
            <w:tcW w:w="2285" w:type="pct"/>
            <w:tcBorders>
              <w:top w:val="nil"/>
              <w:left w:val="single" w:sz="8" w:space="0" w:color="auto"/>
              <w:bottom w:val="single" w:sz="8" w:space="0" w:color="auto"/>
              <w:right w:val="single" w:sz="8" w:space="0" w:color="auto"/>
            </w:tcBorders>
            <w:shd w:val="clear" w:color="auto" w:fill="auto"/>
            <w:noWrap/>
            <w:vAlign w:val="center"/>
            <w:hideMark/>
          </w:tcPr>
          <w:p w14:paraId="776B5C87" w14:textId="77777777" w:rsidR="00A15702" w:rsidRPr="00A15702" w:rsidRDefault="00A15702" w:rsidP="00A15702">
            <w:pPr>
              <w:spacing w:after="0" w:line="240" w:lineRule="auto"/>
              <w:rPr>
                <w:rFonts w:ascii="Arial" w:eastAsia="Times New Roman" w:hAnsi="Arial" w:cs="Arial"/>
                <w:b/>
                <w:bCs/>
                <w:color w:val="000000"/>
                <w:kern w:val="0"/>
                <w:sz w:val="16"/>
                <w:szCs w:val="16"/>
                <w:lang w:eastAsia="pt-BR"/>
                <w14:ligatures w14:val="none"/>
              </w:rPr>
            </w:pPr>
            <w:r w:rsidRPr="00A15702">
              <w:rPr>
                <w:rFonts w:ascii="Arial" w:eastAsia="Times New Roman" w:hAnsi="Arial" w:cs="Arial"/>
                <w:b/>
                <w:bCs/>
                <w:color w:val="000000"/>
                <w:kern w:val="0"/>
                <w:sz w:val="16"/>
                <w:szCs w:val="16"/>
                <w:lang w:eastAsia="pt-BR"/>
                <w14:ligatures w14:val="none"/>
              </w:rPr>
              <w:t>Valor Justo por meio do Resultado</w:t>
            </w:r>
          </w:p>
        </w:tc>
        <w:tc>
          <w:tcPr>
            <w:tcW w:w="515" w:type="pct"/>
            <w:tcBorders>
              <w:top w:val="nil"/>
              <w:left w:val="nil"/>
              <w:bottom w:val="single" w:sz="8" w:space="0" w:color="auto"/>
              <w:right w:val="single" w:sz="8" w:space="0" w:color="auto"/>
            </w:tcBorders>
            <w:shd w:val="clear" w:color="auto" w:fill="auto"/>
            <w:vAlign w:val="center"/>
            <w:hideMark/>
          </w:tcPr>
          <w:p w14:paraId="6CC99902" w14:textId="77777777" w:rsidR="00A15702" w:rsidRPr="00A15702" w:rsidRDefault="00A15702" w:rsidP="00A15702">
            <w:pPr>
              <w:spacing w:after="0" w:line="240" w:lineRule="auto"/>
              <w:jc w:val="center"/>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 </w:t>
            </w:r>
          </w:p>
        </w:tc>
        <w:tc>
          <w:tcPr>
            <w:tcW w:w="477" w:type="pct"/>
            <w:tcBorders>
              <w:top w:val="nil"/>
              <w:left w:val="nil"/>
              <w:bottom w:val="single" w:sz="8" w:space="0" w:color="auto"/>
              <w:right w:val="single" w:sz="8" w:space="0" w:color="auto"/>
            </w:tcBorders>
            <w:shd w:val="clear" w:color="auto" w:fill="auto"/>
            <w:vAlign w:val="center"/>
            <w:hideMark/>
          </w:tcPr>
          <w:p w14:paraId="0CFFC635"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 </w:t>
            </w:r>
          </w:p>
        </w:tc>
        <w:tc>
          <w:tcPr>
            <w:tcW w:w="493" w:type="pct"/>
            <w:tcBorders>
              <w:top w:val="nil"/>
              <w:left w:val="nil"/>
              <w:bottom w:val="single" w:sz="8" w:space="0" w:color="auto"/>
              <w:right w:val="single" w:sz="8" w:space="0" w:color="auto"/>
            </w:tcBorders>
            <w:shd w:val="clear" w:color="auto" w:fill="auto"/>
            <w:noWrap/>
            <w:vAlign w:val="center"/>
            <w:hideMark/>
          </w:tcPr>
          <w:p w14:paraId="4B63A90F"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 </w:t>
            </w:r>
          </w:p>
        </w:tc>
        <w:tc>
          <w:tcPr>
            <w:tcW w:w="432" w:type="pct"/>
            <w:tcBorders>
              <w:top w:val="nil"/>
              <w:left w:val="nil"/>
              <w:bottom w:val="single" w:sz="8" w:space="0" w:color="auto"/>
              <w:right w:val="single" w:sz="8" w:space="0" w:color="auto"/>
            </w:tcBorders>
            <w:shd w:val="clear" w:color="auto" w:fill="auto"/>
            <w:noWrap/>
            <w:vAlign w:val="center"/>
            <w:hideMark/>
          </w:tcPr>
          <w:p w14:paraId="49597B11"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 </w:t>
            </w:r>
          </w:p>
        </w:tc>
        <w:tc>
          <w:tcPr>
            <w:tcW w:w="430" w:type="pct"/>
            <w:tcBorders>
              <w:top w:val="nil"/>
              <w:left w:val="nil"/>
              <w:bottom w:val="single" w:sz="8" w:space="0" w:color="auto"/>
              <w:right w:val="single" w:sz="8" w:space="0" w:color="auto"/>
            </w:tcBorders>
            <w:shd w:val="clear" w:color="auto" w:fill="auto"/>
            <w:noWrap/>
            <w:vAlign w:val="bottom"/>
            <w:hideMark/>
          </w:tcPr>
          <w:p w14:paraId="08D3141F" w14:textId="77777777" w:rsidR="00A15702" w:rsidRPr="00A15702" w:rsidRDefault="00A15702" w:rsidP="00A15702">
            <w:pPr>
              <w:spacing w:after="0" w:line="240" w:lineRule="auto"/>
              <w:rPr>
                <w:rFonts w:ascii="Calibri" w:eastAsia="Times New Roman" w:hAnsi="Calibri" w:cs="Calibri"/>
                <w:color w:val="000000"/>
                <w:kern w:val="0"/>
                <w:lang w:eastAsia="pt-BR"/>
                <w14:ligatures w14:val="none"/>
              </w:rPr>
            </w:pPr>
            <w:r w:rsidRPr="00A15702">
              <w:rPr>
                <w:rFonts w:ascii="Calibri" w:eastAsia="Times New Roman" w:hAnsi="Calibri" w:cs="Calibri"/>
                <w:color w:val="000000"/>
                <w:kern w:val="0"/>
                <w:lang w:eastAsia="pt-BR"/>
                <w14:ligatures w14:val="none"/>
              </w:rPr>
              <w:t> </w:t>
            </w:r>
          </w:p>
        </w:tc>
        <w:tc>
          <w:tcPr>
            <w:tcW w:w="368" w:type="pct"/>
            <w:tcBorders>
              <w:top w:val="nil"/>
              <w:left w:val="nil"/>
              <w:bottom w:val="single" w:sz="8" w:space="0" w:color="auto"/>
              <w:right w:val="single" w:sz="8" w:space="0" w:color="auto"/>
            </w:tcBorders>
            <w:shd w:val="clear" w:color="auto" w:fill="auto"/>
            <w:noWrap/>
            <w:vAlign w:val="bottom"/>
            <w:hideMark/>
          </w:tcPr>
          <w:p w14:paraId="24B78DAE" w14:textId="77777777" w:rsidR="00A15702" w:rsidRPr="00A15702" w:rsidRDefault="00A15702" w:rsidP="00A15702">
            <w:pPr>
              <w:spacing w:after="0" w:line="240" w:lineRule="auto"/>
              <w:rPr>
                <w:rFonts w:ascii="Calibri" w:eastAsia="Times New Roman" w:hAnsi="Calibri" w:cs="Calibri"/>
                <w:color w:val="000000"/>
                <w:kern w:val="0"/>
                <w:lang w:eastAsia="pt-BR"/>
                <w14:ligatures w14:val="none"/>
              </w:rPr>
            </w:pPr>
            <w:r w:rsidRPr="00A15702">
              <w:rPr>
                <w:rFonts w:ascii="Calibri" w:eastAsia="Times New Roman" w:hAnsi="Calibri" w:cs="Calibri"/>
                <w:color w:val="000000"/>
                <w:kern w:val="0"/>
                <w:lang w:eastAsia="pt-BR"/>
                <w14:ligatures w14:val="none"/>
              </w:rPr>
              <w:t> </w:t>
            </w:r>
          </w:p>
        </w:tc>
      </w:tr>
      <w:tr w:rsidR="00A15702" w:rsidRPr="00A15702" w14:paraId="68AF8858" w14:textId="77777777" w:rsidTr="00446A14">
        <w:trPr>
          <w:trHeight w:val="238"/>
        </w:trPr>
        <w:tc>
          <w:tcPr>
            <w:tcW w:w="2285" w:type="pct"/>
            <w:tcBorders>
              <w:top w:val="nil"/>
              <w:left w:val="single" w:sz="8" w:space="0" w:color="auto"/>
              <w:bottom w:val="single" w:sz="8" w:space="0" w:color="auto"/>
              <w:right w:val="single" w:sz="8" w:space="0" w:color="auto"/>
            </w:tcBorders>
            <w:shd w:val="clear" w:color="auto" w:fill="auto"/>
            <w:noWrap/>
            <w:vAlign w:val="center"/>
            <w:hideMark/>
          </w:tcPr>
          <w:p w14:paraId="4570023F" w14:textId="77777777" w:rsidR="00A15702" w:rsidRPr="00A15702" w:rsidRDefault="00A15702" w:rsidP="00A15702">
            <w:pPr>
              <w:spacing w:after="0" w:line="240" w:lineRule="auto"/>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Caixa e Bancos</w:t>
            </w:r>
          </w:p>
        </w:tc>
        <w:tc>
          <w:tcPr>
            <w:tcW w:w="515" w:type="pct"/>
            <w:tcBorders>
              <w:top w:val="nil"/>
              <w:left w:val="nil"/>
              <w:bottom w:val="single" w:sz="8" w:space="0" w:color="auto"/>
              <w:right w:val="single" w:sz="8" w:space="0" w:color="auto"/>
            </w:tcBorders>
            <w:shd w:val="clear" w:color="auto" w:fill="auto"/>
            <w:vAlign w:val="center"/>
            <w:hideMark/>
          </w:tcPr>
          <w:p w14:paraId="7512FA88" w14:textId="77777777" w:rsidR="00A15702" w:rsidRPr="00A15702" w:rsidRDefault="00A15702" w:rsidP="00A15702">
            <w:pPr>
              <w:spacing w:after="0" w:line="240" w:lineRule="auto"/>
              <w:jc w:val="center"/>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VJR (i)</w:t>
            </w:r>
          </w:p>
        </w:tc>
        <w:tc>
          <w:tcPr>
            <w:tcW w:w="477" w:type="pct"/>
            <w:tcBorders>
              <w:top w:val="nil"/>
              <w:left w:val="nil"/>
              <w:bottom w:val="single" w:sz="8" w:space="0" w:color="auto"/>
              <w:right w:val="single" w:sz="8" w:space="0" w:color="auto"/>
            </w:tcBorders>
            <w:shd w:val="clear" w:color="auto" w:fill="auto"/>
            <w:vAlign w:val="center"/>
            <w:hideMark/>
          </w:tcPr>
          <w:p w14:paraId="742236D4"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Nível 2</w:t>
            </w:r>
          </w:p>
        </w:tc>
        <w:tc>
          <w:tcPr>
            <w:tcW w:w="493" w:type="pct"/>
            <w:tcBorders>
              <w:top w:val="nil"/>
              <w:left w:val="nil"/>
              <w:bottom w:val="single" w:sz="8" w:space="0" w:color="auto"/>
              <w:right w:val="single" w:sz="8" w:space="0" w:color="auto"/>
            </w:tcBorders>
            <w:shd w:val="clear" w:color="auto" w:fill="auto"/>
            <w:noWrap/>
            <w:vAlign w:val="center"/>
            <w:hideMark/>
          </w:tcPr>
          <w:p w14:paraId="5F9E53EE"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27.910</w:t>
            </w:r>
          </w:p>
        </w:tc>
        <w:tc>
          <w:tcPr>
            <w:tcW w:w="432" w:type="pct"/>
            <w:tcBorders>
              <w:top w:val="nil"/>
              <w:left w:val="nil"/>
              <w:bottom w:val="single" w:sz="8" w:space="0" w:color="auto"/>
              <w:right w:val="single" w:sz="8" w:space="0" w:color="auto"/>
            </w:tcBorders>
            <w:shd w:val="clear" w:color="auto" w:fill="auto"/>
            <w:noWrap/>
            <w:vAlign w:val="center"/>
            <w:hideMark/>
          </w:tcPr>
          <w:p w14:paraId="5806C779"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27.910</w:t>
            </w:r>
          </w:p>
        </w:tc>
        <w:tc>
          <w:tcPr>
            <w:tcW w:w="430" w:type="pct"/>
            <w:tcBorders>
              <w:top w:val="nil"/>
              <w:left w:val="nil"/>
              <w:bottom w:val="single" w:sz="8" w:space="0" w:color="auto"/>
              <w:right w:val="single" w:sz="8" w:space="0" w:color="auto"/>
            </w:tcBorders>
            <w:shd w:val="clear" w:color="auto" w:fill="auto"/>
            <w:noWrap/>
            <w:vAlign w:val="center"/>
            <w:hideMark/>
          </w:tcPr>
          <w:p w14:paraId="171F4A05"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67.265</w:t>
            </w:r>
          </w:p>
        </w:tc>
        <w:tc>
          <w:tcPr>
            <w:tcW w:w="368" w:type="pct"/>
            <w:tcBorders>
              <w:top w:val="nil"/>
              <w:left w:val="nil"/>
              <w:bottom w:val="single" w:sz="8" w:space="0" w:color="auto"/>
              <w:right w:val="single" w:sz="8" w:space="0" w:color="auto"/>
            </w:tcBorders>
            <w:shd w:val="clear" w:color="auto" w:fill="auto"/>
            <w:noWrap/>
            <w:vAlign w:val="center"/>
            <w:hideMark/>
          </w:tcPr>
          <w:p w14:paraId="26676C39"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67.265</w:t>
            </w:r>
          </w:p>
        </w:tc>
      </w:tr>
      <w:tr w:rsidR="00A15702" w:rsidRPr="00A15702" w14:paraId="7B6AEBC5" w14:textId="77777777" w:rsidTr="00446A14">
        <w:trPr>
          <w:trHeight w:val="238"/>
        </w:trPr>
        <w:tc>
          <w:tcPr>
            <w:tcW w:w="2285" w:type="pct"/>
            <w:tcBorders>
              <w:top w:val="nil"/>
              <w:left w:val="single" w:sz="8" w:space="0" w:color="auto"/>
              <w:bottom w:val="single" w:sz="8" w:space="0" w:color="auto"/>
              <w:right w:val="single" w:sz="8" w:space="0" w:color="auto"/>
            </w:tcBorders>
            <w:shd w:val="clear" w:color="auto" w:fill="auto"/>
            <w:noWrap/>
            <w:vAlign w:val="center"/>
            <w:hideMark/>
          </w:tcPr>
          <w:p w14:paraId="310E764E" w14:textId="77777777" w:rsidR="00A15702" w:rsidRPr="00A15702" w:rsidRDefault="00A15702" w:rsidP="00A15702">
            <w:pPr>
              <w:spacing w:after="0" w:line="240" w:lineRule="auto"/>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Aplicações Financeiras</w:t>
            </w:r>
          </w:p>
        </w:tc>
        <w:tc>
          <w:tcPr>
            <w:tcW w:w="515" w:type="pct"/>
            <w:tcBorders>
              <w:top w:val="nil"/>
              <w:left w:val="nil"/>
              <w:bottom w:val="single" w:sz="8" w:space="0" w:color="auto"/>
              <w:right w:val="single" w:sz="8" w:space="0" w:color="auto"/>
            </w:tcBorders>
            <w:shd w:val="clear" w:color="auto" w:fill="auto"/>
            <w:vAlign w:val="center"/>
            <w:hideMark/>
          </w:tcPr>
          <w:p w14:paraId="12DD5C1D" w14:textId="77777777" w:rsidR="00A15702" w:rsidRPr="00A15702" w:rsidRDefault="00A15702" w:rsidP="00A15702">
            <w:pPr>
              <w:spacing w:after="0" w:line="240" w:lineRule="auto"/>
              <w:jc w:val="center"/>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VJR (i)</w:t>
            </w:r>
          </w:p>
        </w:tc>
        <w:tc>
          <w:tcPr>
            <w:tcW w:w="477" w:type="pct"/>
            <w:tcBorders>
              <w:top w:val="nil"/>
              <w:left w:val="nil"/>
              <w:bottom w:val="single" w:sz="8" w:space="0" w:color="auto"/>
              <w:right w:val="single" w:sz="8" w:space="0" w:color="auto"/>
            </w:tcBorders>
            <w:shd w:val="clear" w:color="auto" w:fill="auto"/>
            <w:vAlign w:val="center"/>
            <w:hideMark/>
          </w:tcPr>
          <w:p w14:paraId="51238CD7"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Nível 1</w:t>
            </w:r>
          </w:p>
        </w:tc>
        <w:tc>
          <w:tcPr>
            <w:tcW w:w="493" w:type="pct"/>
            <w:tcBorders>
              <w:top w:val="nil"/>
              <w:left w:val="nil"/>
              <w:bottom w:val="single" w:sz="8" w:space="0" w:color="auto"/>
              <w:right w:val="single" w:sz="8" w:space="0" w:color="auto"/>
            </w:tcBorders>
            <w:shd w:val="clear" w:color="auto" w:fill="auto"/>
            <w:noWrap/>
            <w:vAlign w:val="center"/>
            <w:hideMark/>
          </w:tcPr>
          <w:p w14:paraId="5BDEF8CF"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352.802</w:t>
            </w:r>
          </w:p>
        </w:tc>
        <w:tc>
          <w:tcPr>
            <w:tcW w:w="432" w:type="pct"/>
            <w:tcBorders>
              <w:top w:val="nil"/>
              <w:left w:val="nil"/>
              <w:bottom w:val="single" w:sz="8" w:space="0" w:color="auto"/>
              <w:right w:val="single" w:sz="8" w:space="0" w:color="auto"/>
            </w:tcBorders>
            <w:shd w:val="clear" w:color="auto" w:fill="auto"/>
            <w:noWrap/>
            <w:vAlign w:val="center"/>
            <w:hideMark/>
          </w:tcPr>
          <w:p w14:paraId="13FBFBD6"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352.802</w:t>
            </w:r>
          </w:p>
        </w:tc>
        <w:tc>
          <w:tcPr>
            <w:tcW w:w="430" w:type="pct"/>
            <w:tcBorders>
              <w:top w:val="nil"/>
              <w:left w:val="nil"/>
              <w:bottom w:val="single" w:sz="8" w:space="0" w:color="auto"/>
              <w:right w:val="single" w:sz="8" w:space="0" w:color="auto"/>
            </w:tcBorders>
            <w:shd w:val="clear" w:color="auto" w:fill="auto"/>
            <w:noWrap/>
            <w:vAlign w:val="center"/>
            <w:hideMark/>
          </w:tcPr>
          <w:p w14:paraId="44F90407"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285.346</w:t>
            </w:r>
          </w:p>
        </w:tc>
        <w:tc>
          <w:tcPr>
            <w:tcW w:w="368" w:type="pct"/>
            <w:tcBorders>
              <w:top w:val="nil"/>
              <w:left w:val="nil"/>
              <w:bottom w:val="single" w:sz="8" w:space="0" w:color="auto"/>
              <w:right w:val="single" w:sz="8" w:space="0" w:color="auto"/>
            </w:tcBorders>
            <w:shd w:val="clear" w:color="auto" w:fill="auto"/>
            <w:noWrap/>
            <w:vAlign w:val="center"/>
            <w:hideMark/>
          </w:tcPr>
          <w:p w14:paraId="201C5EBB"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285.346</w:t>
            </w:r>
          </w:p>
        </w:tc>
      </w:tr>
      <w:tr w:rsidR="00A15702" w:rsidRPr="00A15702" w14:paraId="5AC5B932" w14:textId="77777777" w:rsidTr="00446A14">
        <w:trPr>
          <w:trHeight w:val="238"/>
        </w:trPr>
        <w:tc>
          <w:tcPr>
            <w:tcW w:w="2285" w:type="pct"/>
            <w:tcBorders>
              <w:top w:val="nil"/>
              <w:left w:val="single" w:sz="8" w:space="0" w:color="auto"/>
              <w:bottom w:val="single" w:sz="8" w:space="0" w:color="auto"/>
              <w:right w:val="single" w:sz="8" w:space="0" w:color="auto"/>
            </w:tcBorders>
            <w:shd w:val="clear" w:color="auto" w:fill="auto"/>
            <w:noWrap/>
            <w:vAlign w:val="center"/>
            <w:hideMark/>
          </w:tcPr>
          <w:p w14:paraId="4FE3DB7A" w14:textId="77777777" w:rsidR="00A15702" w:rsidRPr="00A15702" w:rsidRDefault="00A15702" w:rsidP="00A15702">
            <w:pPr>
              <w:spacing w:after="0" w:line="240" w:lineRule="auto"/>
              <w:rPr>
                <w:rFonts w:ascii="Arial" w:eastAsia="Times New Roman" w:hAnsi="Arial" w:cs="Arial"/>
                <w:b/>
                <w:bCs/>
                <w:color w:val="000000"/>
                <w:kern w:val="0"/>
                <w:sz w:val="16"/>
                <w:szCs w:val="16"/>
                <w:lang w:eastAsia="pt-BR"/>
                <w14:ligatures w14:val="none"/>
              </w:rPr>
            </w:pPr>
            <w:r w:rsidRPr="00A15702">
              <w:rPr>
                <w:rFonts w:ascii="Arial" w:eastAsia="Times New Roman" w:hAnsi="Arial" w:cs="Arial"/>
                <w:b/>
                <w:bCs/>
                <w:color w:val="000000"/>
                <w:kern w:val="0"/>
                <w:sz w:val="16"/>
                <w:szCs w:val="16"/>
                <w:lang w:eastAsia="pt-BR"/>
                <w14:ligatures w14:val="none"/>
              </w:rPr>
              <w:t>Custo Amortizado</w:t>
            </w:r>
          </w:p>
        </w:tc>
        <w:tc>
          <w:tcPr>
            <w:tcW w:w="515" w:type="pct"/>
            <w:tcBorders>
              <w:top w:val="nil"/>
              <w:left w:val="nil"/>
              <w:bottom w:val="single" w:sz="8" w:space="0" w:color="auto"/>
              <w:right w:val="single" w:sz="8" w:space="0" w:color="auto"/>
            </w:tcBorders>
            <w:shd w:val="clear" w:color="auto" w:fill="auto"/>
            <w:vAlign w:val="center"/>
            <w:hideMark/>
          </w:tcPr>
          <w:p w14:paraId="7367BB59" w14:textId="77777777" w:rsidR="00A15702" w:rsidRPr="00A15702" w:rsidRDefault="00A15702" w:rsidP="00A15702">
            <w:pPr>
              <w:spacing w:after="0" w:line="240" w:lineRule="auto"/>
              <w:rPr>
                <w:rFonts w:ascii="Calibri" w:eastAsia="Times New Roman" w:hAnsi="Calibri" w:cs="Calibri"/>
                <w:color w:val="000000"/>
                <w:kern w:val="0"/>
                <w:lang w:eastAsia="pt-BR"/>
                <w14:ligatures w14:val="none"/>
              </w:rPr>
            </w:pPr>
            <w:r w:rsidRPr="00A15702">
              <w:rPr>
                <w:rFonts w:ascii="Calibri" w:eastAsia="Times New Roman" w:hAnsi="Calibri" w:cs="Calibri"/>
                <w:color w:val="000000"/>
                <w:kern w:val="0"/>
                <w:lang w:eastAsia="pt-BR"/>
                <w14:ligatures w14:val="none"/>
              </w:rPr>
              <w:t> </w:t>
            </w:r>
          </w:p>
        </w:tc>
        <w:tc>
          <w:tcPr>
            <w:tcW w:w="477" w:type="pct"/>
            <w:tcBorders>
              <w:top w:val="nil"/>
              <w:left w:val="nil"/>
              <w:bottom w:val="single" w:sz="8" w:space="0" w:color="auto"/>
              <w:right w:val="single" w:sz="8" w:space="0" w:color="auto"/>
            </w:tcBorders>
            <w:shd w:val="clear" w:color="auto" w:fill="auto"/>
            <w:vAlign w:val="center"/>
            <w:hideMark/>
          </w:tcPr>
          <w:p w14:paraId="6D8B31FA"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 </w:t>
            </w:r>
          </w:p>
        </w:tc>
        <w:tc>
          <w:tcPr>
            <w:tcW w:w="493" w:type="pct"/>
            <w:tcBorders>
              <w:top w:val="nil"/>
              <w:left w:val="nil"/>
              <w:bottom w:val="single" w:sz="8" w:space="0" w:color="auto"/>
              <w:right w:val="single" w:sz="8" w:space="0" w:color="auto"/>
            </w:tcBorders>
            <w:shd w:val="clear" w:color="auto" w:fill="auto"/>
            <w:noWrap/>
            <w:vAlign w:val="center"/>
            <w:hideMark/>
          </w:tcPr>
          <w:p w14:paraId="10092C59" w14:textId="77777777" w:rsidR="00A15702" w:rsidRPr="00A15702" w:rsidRDefault="00A15702" w:rsidP="00A15702">
            <w:pPr>
              <w:spacing w:after="0" w:line="240" w:lineRule="auto"/>
              <w:jc w:val="right"/>
              <w:rPr>
                <w:rFonts w:ascii="Calibri" w:eastAsia="Times New Roman" w:hAnsi="Calibri" w:cs="Calibri"/>
                <w:color w:val="000000"/>
                <w:kern w:val="0"/>
                <w:sz w:val="16"/>
                <w:szCs w:val="16"/>
                <w:lang w:eastAsia="pt-BR"/>
                <w14:ligatures w14:val="none"/>
              </w:rPr>
            </w:pPr>
            <w:r w:rsidRPr="00A15702">
              <w:rPr>
                <w:rFonts w:ascii="Calibri" w:eastAsia="Times New Roman" w:hAnsi="Calibri" w:cs="Calibri"/>
                <w:color w:val="000000"/>
                <w:kern w:val="0"/>
                <w:sz w:val="16"/>
                <w:szCs w:val="16"/>
                <w:lang w:eastAsia="pt-BR"/>
                <w14:ligatures w14:val="none"/>
              </w:rPr>
              <w:t> </w:t>
            </w:r>
          </w:p>
        </w:tc>
        <w:tc>
          <w:tcPr>
            <w:tcW w:w="432" w:type="pct"/>
            <w:tcBorders>
              <w:top w:val="nil"/>
              <w:left w:val="nil"/>
              <w:bottom w:val="single" w:sz="8" w:space="0" w:color="auto"/>
              <w:right w:val="single" w:sz="8" w:space="0" w:color="auto"/>
            </w:tcBorders>
            <w:shd w:val="clear" w:color="auto" w:fill="auto"/>
            <w:noWrap/>
            <w:vAlign w:val="center"/>
            <w:hideMark/>
          </w:tcPr>
          <w:p w14:paraId="4AF714CB"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 </w:t>
            </w:r>
          </w:p>
        </w:tc>
        <w:tc>
          <w:tcPr>
            <w:tcW w:w="430" w:type="pct"/>
            <w:tcBorders>
              <w:top w:val="nil"/>
              <w:left w:val="nil"/>
              <w:bottom w:val="single" w:sz="8" w:space="0" w:color="auto"/>
              <w:right w:val="single" w:sz="8" w:space="0" w:color="auto"/>
            </w:tcBorders>
            <w:shd w:val="clear" w:color="auto" w:fill="auto"/>
            <w:noWrap/>
            <w:vAlign w:val="center"/>
            <w:hideMark/>
          </w:tcPr>
          <w:p w14:paraId="03E58E03" w14:textId="77777777" w:rsidR="00A15702" w:rsidRPr="00A15702" w:rsidRDefault="00A15702" w:rsidP="00A15702">
            <w:pPr>
              <w:spacing w:after="0" w:line="240" w:lineRule="auto"/>
              <w:jc w:val="right"/>
              <w:rPr>
                <w:rFonts w:ascii="Calibri" w:eastAsia="Times New Roman" w:hAnsi="Calibri" w:cs="Calibri"/>
                <w:color w:val="000000"/>
                <w:kern w:val="0"/>
                <w:sz w:val="16"/>
                <w:szCs w:val="16"/>
                <w:lang w:eastAsia="pt-BR"/>
                <w14:ligatures w14:val="none"/>
              </w:rPr>
            </w:pPr>
            <w:r w:rsidRPr="00A15702">
              <w:rPr>
                <w:rFonts w:ascii="Calibri" w:eastAsia="Times New Roman" w:hAnsi="Calibri" w:cs="Calibri"/>
                <w:color w:val="000000"/>
                <w:kern w:val="0"/>
                <w:sz w:val="16"/>
                <w:szCs w:val="16"/>
                <w:lang w:eastAsia="pt-BR"/>
                <w14:ligatures w14:val="none"/>
              </w:rPr>
              <w:t> </w:t>
            </w:r>
          </w:p>
        </w:tc>
        <w:tc>
          <w:tcPr>
            <w:tcW w:w="368" w:type="pct"/>
            <w:tcBorders>
              <w:top w:val="nil"/>
              <w:left w:val="nil"/>
              <w:bottom w:val="single" w:sz="8" w:space="0" w:color="auto"/>
              <w:right w:val="single" w:sz="8" w:space="0" w:color="auto"/>
            </w:tcBorders>
            <w:shd w:val="clear" w:color="auto" w:fill="auto"/>
            <w:noWrap/>
            <w:vAlign w:val="center"/>
            <w:hideMark/>
          </w:tcPr>
          <w:p w14:paraId="1885A989"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 </w:t>
            </w:r>
          </w:p>
        </w:tc>
      </w:tr>
      <w:tr w:rsidR="00A15702" w:rsidRPr="00A15702" w14:paraId="4A5D6E4C" w14:textId="77777777" w:rsidTr="00446A14">
        <w:trPr>
          <w:trHeight w:val="238"/>
        </w:trPr>
        <w:tc>
          <w:tcPr>
            <w:tcW w:w="2285" w:type="pct"/>
            <w:tcBorders>
              <w:top w:val="nil"/>
              <w:left w:val="single" w:sz="8" w:space="0" w:color="auto"/>
              <w:bottom w:val="single" w:sz="8" w:space="0" w:color="auto"/>
              <w:right w:val="single" w:sz="8" w:space="0" w:color="auto"/>
            </w:tcBorders>
            <w:shd w:val="clear" w:color="auto" w:fill="auto"/>
            <w:noWrap/>
            <w:vAlign w:val="center"/>
            <w:hideMark/>
          </w:tcPr>
          <w:p w14:paraId="6E5E977E" w14:textId="77777777" w:rsidR="00A15702" w:rsidRPr="00A15702" w:rsidRDefault="00A15702" w:rsidP="00A15702">
            <w:pPr>
              <w:spacing w:after="0" w:line="240" w:lineRule="auto"/>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Contas a Receber</w:t>
            </w:r>
          </w:p>
        </w:tc>
        <w:tc>
          <w:tcPr>
            <w:tcW w:w="515" w:type="pct"/>
            <w:tcBorders>
              <w:top w:val="nil"/>
              <w:left w:val="nil"/>
              <w:bottom w:val="single" w:sz="8" w:space="0" w:color="auto"/>
              <w:right w:val="single" w:sz="8" w:space="0" w:color="auto"/>
            </w:tcBorders>
            <w:shd w:val="clear" w:color="auto" w:fill="auto"/>
            <w:vAlign w:val="center"/>
            <w:hideMark/>
          </w:tcPr>
          <w:p w14:paraId="3DE69EEE" w14:textId="77777777" w:rsidR="00A15702" w:rsidRPr="00A15702" w:rsidRDefault="00A15702" w:rsidP="00A15702">
            <w:pPr>
              <w:spacing w:after="0" w:line="240" w:lineRule="auto"/>
              <w:jc w:val="center"/>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Custo Amortizado</w:t>
            </w:r>
          </w:p>
        </w:tc>
        <w:tc>
          <w:tcPr>
            <w:tcW w:w="477" w:type="pct"/>
            <w:tcBorders>
              <w:top w:val="nil"/>
              <w:left w:val="nil"/>
              <w:bottom w:val="single" w:sz="8" w:space="0" w:color="auto"/>
              <w:right w:val="single" w:sz="8" w:space="0" w:color="auto"/>
            </w:tcBorders>
            <w:shd w:val="clear" w:color="auto" w:fill="auto"/>
            <w:vAlign w:val="center"/>
            <w:hideMark/>
          </w:tcPr>
          <w:p w14:paraId="536BE880"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 </w:t>
            </w:r>
          </w:p>
        </w:tc>
        <w:tc>
          <w:tcPr>
            <w:tcW w:w="493" w:type="pct"/>
            <w:tcBorders>
              <w:top w:val="nil"/>
              <w:left w:val="nil"/>
              <w:bottom w:val="single" w:sz="8" w:space="0" w:color="auto"/>
              <w:right w:val="single" w:sz="8" w:space="0" w:color="auto"/>
            </w:tcBorders>
            <w:shd w:val="clear" w:color="auto" w:fill="auto"/>
            <w:noWrap/>
            <w:vAlign w:val="center"/>
            <w:hideMark/>
          </w:tcPr>
          <w:p w14:paraId="6DC360BF"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176.885</w:t>
            </w:r>
          </w:p>
        </w:tc>
        <w:tc>
          <w:tcPr>
            <w:tcW w:w="432" w:type="pct"/>
            <w:tcBorders>
              <w:top w:val="nil"/>
              <w:left w:val="nil"/>
              <w:bottom w:val="single" w:sz="8" w:space="0" w:color="auto"/>
              <w:right w:val="single" w:sz="8" w:space="0" w:color="auto"/>
            </w:tcBorders>
            <w:shd w:val="clear" w:color="auto" w:fill="auto"/>
            <w:noWrap/>
            <w:vAlign w:val="center"/>
            <w:hideMark/>
          </w:tcPr>
          <w:p w14:paraId="7B636EF4"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176.885</w:t>
            </w:r>
          </w:p>
        </w:tc>
        <w:tc>
          <w:tcPr>
            <w:tcW w:w="430" w:type="pct"/>
            <w:tcBorders>
              <w:top w:val="nil"/>
              <w:left w:val="nil"/>
              <w:bottom w:val="single" w:sz="8" w:space="0" w:color="auto"/>
              <w:right w:val="single" w:sz="8" w:space="0" w:color="auto"/>
            </w:tcBorders>
            <w:shd w:val="clear" w:color="auto" w:fill="auto"/>
            <w:noWrap/>
            <w:vAlign w:val="center"/>
            <w:hideMark/>
          </w:tcPr>
          <w:p w14:paraId="30A47250"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105.869</w:t>
            </w:r>
          </w:p>
        </w:tc>
        <w:tc>
          <w:tcPr>
            <w:tcW w:w="368" w:type="pct"/>
            <w:tcBorders>
              <w:top w:val="nil"/>
              <w:left w:val="nil"/>
              <w:bottom w:val="single" w:sz="8" w:space="0" w:color="auto"/>
              <w:right w:val="single" w:sz="8" w:space="0" w:color="auto"/>
            </w:tcBorders>
            <w:shd w:val="clear" w:color="auto" w:fill="auto"/>
            <w:noWrap/>
            <w:vAlign w:val="center"/>
            <w:hideMark/>
          </w:tcPr>
          <w:p w14:paraId="2FC241A7"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105.869</w:t>
            </w:r>
          </w:p>
        </w:tc>
      </w:tr>
      <w:tr w:rsidR="00A15702" w:rsidRPr="00A15702" w14:paraId="3AB18768" w14:textId="77777777" w:rsidTr="00446A14">
        <w:trPr>
          <w:trHeight w:val="238"/>
        </w:trPr>
        <w:tc>
          <w:tcPr>
            <w:tcW w:w="2285" w:type="pct"/>
            <w:tcBorders>
              <w:top w:val="nil"/>
              <w:left w:val="single" w:sz="8" w:space="0" w:color="auto"/>
              <w:bottom w:val="single" w:sz="8" w:space="0" w:color="auto"/>
              <w:right w:val="single" w:sz="8" w:space="0" w:color="auto"/>
            </w:tcBorders>
            <w:shd w:val="clear" w:color="auto" w:fill="auto"/>
            <w:noWrap/>
            <w:vAlign w:val="center"/>
            <w:hideMark/>
          </w:tcPr>
          <w:p w14:paraId="7D5D3026" w14:textId="77777777" w:rsidR="00A15702" w:rsidRPr="00A15702" w:rsidRDefault="00A15702" w:rsidP="00A15702">
            <w:pPr>
              <w:spacing w:after="0" w:line="240" w:lineRule="auto"/>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Dividendos a Receber</w:t>
            </w:r>
          </w:p>
        </w:tc>
        <w:tc>
          <w:tcPr>
            <w:tcW w:w="515" w:type="pct"/>
            <w:tcBorders>
              <w:top w:val="nil"/>
              <w:left w:val="nil"/>
              <w:bottom w:val="single" w:sz="8" w:space="0" w:color="auto"/>
              <w:right w:val="single" w:sz="8" w:space="0" w:color="auto"/>
            </w:tcBorders>
            <w:shd w:val="clear" w:color="auto" w:fill="auto"/>
            <w:vAlign w:val="center"/>
            <w:hideMark/>
          </w:tcPr>
          <w:p w14:paraId="7B0D1A23" w14:textId="77777777" w:rsidR="00A15702" w:rsidRPr="00A15702" w:rsidRDefault="00A15702" w:rsidP="00A15702">
            <w:pPr>
              <w:spacing w:after="0" w:line="240" w:lineRule="auto"/>
              <w:jc w:val="center"/>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Custo Amortizado</w:t>
            </w:r>
          </w:p>
        </w:tc>
        <w:tc>
          <w:tcPr>
            <w:tcW w:w="477" w:type="pct"/>
            <w:tcBorders>
              <w:top w:val="nil"/>
              <w:left w:val="nil"/>
              <w:bottom w:val="single" w:sz="8" w:space="0" w:color="auto"/>
              <w:right w:val="single" w:sz="8" w:space="0" w:color="auto"/>
            </w:tcBorders>
            <w:shd w:val="clear" w:color="auto" w:fill="auto"/>
            <w:vAlign w:val="center"/>
            <w:hideMark/>
          </w:tcPr>
          <w:p w14:paraId="40B0A621"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 </w:t>
            </w:r>
          </w:p>
        </w:tc>
        <w:tc>
          <w:tcPr>
            <w:tcW w:w="493" w:type="pct"/>
            <w:tcBorders>
              <w:top w:val="nil"/>
              <w:left w:val="nil"/>
              <w:bottom w:val="single" w:sz="8" w:space="0" w:color="auto"/>
              <w:right w:val="single" w:sz="8" w:space="0" w:color="auto"/>
            </w:tcBorders>
            <w:shd w:val="clear" w:color="auto" w:fill="auto"/>
            <w:noWrap/>
            <w:vAlign w:val="center"/>
            <w:hideMark/>
          </w:tcPr>
          <w:p w14:paraId="53E20BBD"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14:ligatures w14:val="none"/>
              </w:rPr>
              <w:t>5.456</w:t>
            </w:r>
          </w:p>
        </w:tc>
        <w:tc>
          <w:tcPr>
            <w:tcW w:w="432" w:type="pct"/>
            <w:tcBorders>
              <w:top w:val="nil"/>
              <w:left w:val="nil"/>
              <w:bottom w:val="single" w:sz="8" w:space="0" w:color="auto"/>
              <w:right w:val="single" w:sz="8" w:space="0" w:color="auto"/>
            </w:tcBorders>
            <w:shd w:val="clear" w:color="auto" w:fill="auto"/>
            <w:noWrap/>
            <w:vAlign w:val="center"/>
            <w:hideMark/>
          </w:tcPr>
          <w:p w14:paraId="21E94401"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14:ligatures w14:val="none"/>
              </w:rPr>
              <w:t>5.456</w:t>
            </w:r>
          </w:p>
        </w:tc>
        <w:tc>
          <w:tcPr>
            <w:tcW w:w="430" w:type="pct"/>
            <w:tcBorders>
              <w:top w:val="nil"/>
              <w:left w:val="nil"/>
              <w:bottom w:val="single" w:sz="8" w:space="0" w:color="auto"/>
              <w:right w:val="single" w:sz="8" w:space="0" w:color="auto"/>
            </w:tcBorders>
            <w:shd w:val="clear" w:color="auto" w:fill="auto"/>
            <w:noWrap/>
            <w:vAlign w:val="center"/>
            <w:hideMark/>
          </w:tcPr>
          <w:p w14:paraId="0CE294E3"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14:ligatures w14:val="none"/>
              </w:rPr>
              <w:t>5.456</w:t>
            </w:r>
          </w:p>
        </w:tc>
        <w:tc>
          <w:tcPr>
            <w:tcW w:w="368" w:type="pct"/>
            <w:tcBorders>
              <w:top w:val="nil"/>
              <w:left w:val="nil"/>
              <w:bottom w:val="single" w:sz="8" w:space="0" w:color="auto"/>
              <w:right w:val="single" w:sz="8" w:space="0" w:color="auto"/>
            </w:tcBorders>
            <w:shd w:val="clear" w:color="auto" w:fill="auto"/>
            <w:noWrap/>
            <w:vAlign w:val="center"/>
            <w:hideMark/>
          </w:tcPr>
          <w:p w14:paraId="6B76769E"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14:ligatures w14:val="none"/>
              </w:rPr>
              <w:t>5.456</w:t>
            </w:r>
          </w:p>
        </w:tc>
      </w:tr>
      <w:tr w:rsidR="00A15702" w:rsidRPr="00A15702" w14:paraId="4AC4E885" w14:textId="77777777" w:rsidTr="00446A14">
        <w:trPr>
          <w:trHeight w:val="238"/>
        </w:trPr>
        <w:tc>
          <w:tcPr>
            <w:tcW w:w="2285" w:type="pct"/>
            <w:tcBorders>
              <w:top w:val="nil"/>
              <w:left w:val="single" w:sz="8" w:space="0" w:color="auto"/>
              <w:bottom w:val="single" w:sz="8" w:space="0" w:color="auto"/>
              <w:right w:val="single" w:sz="8" w:space="0" w:color="auto"/>
            </w:tcBorders>
            <w:shd w:val="clear" w:color="auto" w:fill="auto"/>
            <w:noWrap/>
            <w:vAlign w:val="center"/>
            <w:hideMark/>
          </w:tcPr>
          <w:p w14:paraId="47A46BEF" w14:textId="77777777" w:rsidR="00A15702" w:rsidRPr="00A15702" w:rsidRDefault="00A15702" w:rsidP="00A15702">
            <w:pPr>
              <w:spacing w:after="0" w:line="240" w:lineRule="auto"/>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Aplicações Financeiras – Garantia e outros</w:t>
            </w:r>
          </w:p>
        </w:tc>
        <w:tc>
          <w:tcPr>
            <w:tcW w:w="515" w:type="pct"/>
            <w:tcBorders>
              <w:top w:val="nil"/>
              <w:left w:val="nil"/>
              <w:bottom w:val="single" w:sz="8" w:space="0" w:color="auto"/>
              <w:right w:val="single" w:sz="8" w:space="0" w:color="auto"/>
            </w:tcBorders>
            <w:shd w:val="clear" w:color="auto" w:fill="auto"/>
            <w:vAlign w:val="center"/>
            <w:hideMark/>
          </w:tcPr>
          <w:p w14:paraId="09CD90C9" w14:textId="77777777" w:rsidR="00A15702" w:rsidRPr="00A15702" w:rsidRDefault="00A15702" w:rsidP="00A15702">
            <w:pPr>
              <w:spacing w:after="0" w:line="240" w:lineRule="auto"/>
              <w:jc w:val="center"/>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Custo Amortizado</w:t>
            </w:r>
          </w:p>
        </w:tc>
        <w:tc>
          <w:tcPr>
            <w:tcW w:w="477" w:type="pct"/>
            <w:tcBorders>
              <w:top w:val="nil"/>
              <w:left w:val="nil"/>
              <w:bottom w:val="single" w:sz="8" w:space="0" w:color="auto"/>
              <w:right w:val="single" w:sz="8" w:space="0" w:color="auto"/>
            </w:tcBorders>
            <w:shd w:val="clear" w:color="auto" w:fill="auto"/>
            <w:vAlign w:val="center"/>
            <w:hideMark/>
          </w:tcPr>
          <w:p w14:paraId="2E382425"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 </w:t>
            </w:r>
          </w:p>
        </w:tc>
        <w:tc>
          <w:tcPr>
            <w:tcW w:w="493" w:type="pct"/>
            <w:tcBorders>
              <w:top w:val="nil"/>
              <w:left w:val="nil"/>
              <w:bottom w:val="single" w:sz="8" w:space="0" w:color="auto"/>
              <w:right w:val="single" w:sz="8" w:space="0" w:color="auto"/>
            </w:tcBorders>
            <w:shd w:val="clear" w:color="auto" w:fill="auto"/>
            <w:noWrap/>
            <w:vAlign w:val="center"/>
            <w:hideMark/>
          </w:tcPr>
          <w:p w14:paraId="3ACF70F7"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14:ligatures w14:val="none"/>
              </w:rPr>
              <w:t>77.976</w:t>
            </w:r>
          </w:p>
        </w:tc>
        <w:tc>
          <w:tcPr>
            <w:tcW w:w="432" w:type="pct"/>
            <w:tcBorders>
              <w:top w:val="nil"/>
              <w:left w:val="nil"/>
              <w:bottom w:val="single" w:sz="8" w:space="0" w:color="auto"/>
              <w:right w:val="single" w:sz="8" w:space="0" w:color="auto"/>
            </w:tcBorders>
            <w:shd w:val="clear" w:color="auto" w:fill="auto"/>
            <w:noWrap/>
            <w:vAlign w:val="center"/>
            <w:hideMark/>
          </w:tcPr>
          <w:p w14:paraId="432D7F2F"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14:ligatures w14:val="none"/>
              </w:rPr>
              <w:t>77.976</w:t>
            </w:r>
          </w:p>
        </w:tc>
        <w:tc>
          <w:tcPr>
            <w:tcW w:w="430" w:type="pct"/>
            <w:tcBorders>
              <w:top w:val="nil"/>
              <w:left w:val="nil"/>
              <w:bottom w:val="single" w:sz="8" w:space="0" w:color="auto"/>
              <w:right w:val="single" w:sz="8" w:space="0" w:color="auto"/>
            </w:tcBorders>
            <w:shd w:val="clear" w:color="auto" w:fill="auto"/>
            <w:noWrap/>
            <w:vAlign w:val="center"/>
            <w:hideMark/>
          </w:tcPr>
          <w:p w14:paraId="4375048B"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14:ligatures w14:val="none"/>
              </w:rPr>
              <w:t>70.534</w:t>
            </w:r>
          </w:p>
        </w:tc>
        <w:tc>
          <w:tcPr>
            <w:tcW w:w="368" w:type="pct"/>
            <w:tcBorders>
              <w:top w:val="nil"/>
              <w:left w:val="nil"/>
              <w:bottom w:val="single" w:sz="8" w:space="0" w:color="auto"/>
              <w:right w:val="single" w:sz="8" w:space="0" w:color="auto"/>
            </w:tcBorders>
            <w:shd w:val="clear" w:color="auto" w:fill="auto"/>
            <w:noWrap/>
            <w:vAlign w:val="center"/>
            <w:hideMark/>
          </w:tcPr>
          <w:p w14:paraId="7B3C137F"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14:ligatures w14:val="none"/>
              </w:rPr>
              <w:t>70.534</w:t>
            </w:r>
          </w:p>
        </w:tc>
      </w:tr>
      <w:tr w:rsidR="00A15702" w:rsidRPr="00A15702" w14:paraId="3C787760" w14:textId="77777777" w:rsidTr="00446A14">
        <w:trPr>
          <w:trHeight w:val="238"/>
        </w:trPr>
        <w:tc>
          <w:tcPr>
            <w:tcW w:w="2285" w:type="pct"/>
            <w:tcBorders>
              <w:top w:val="nil"/>
              <w:left w:val="single" w:sz="8" w:space="0" w:color="auto"/>
              <w:bottom w:val="single" w:sz="8" w:space="0" w:color="auto"/>
              <w:right w:val="single" w:sz="8" w:space="0" w:color="auto"/>
            </w:tcBorders>
            <w:shd w:val="clear" w:color="auto" w:fill="auto"/>
            <w:noWrap/>
            <w:vAlign w:val="center"/>
            <w:hideMark/>
          </w:tcPr>
          <w:p w14:paraId="7F191A0B" w14:textId="77777777" w:rsidR="00A15702" w:rsidRPr="00A15702" w:rsidRDefault="00A15702" w:rsidP="00A15702">
            <w:pPr>
              <w:spacing w:after="0" w:line="240" w:lineRule="auto"/>
              <w:rPr>
                <w:rFonts w:ascii="Arial" w:eastAsia="Times New Roman" w:hAnsi="Arial" w:cs="Arial"/>
                <w:b/>
                <w:bCs/>
                <w:color w:val="000000"/>
                <w:kern w:val="0"/>
                <w:sz w:val="16"/>
                <w:szCs w:val="16"/>
                <w:lang w:eastAsia="pt-BR"/>
                <w14:ligatures w14:val="none"/>
              </w:rPr>
            </w:pPr>
            <w:r w:rsidRPr="00A15702">
              <w:rPr>
                <w:rFonts w:ascii="Arial" w:eastAsia="Times New Roman" w:hAnsi="Arial" w:cs="Arial"/>
                <w:b/>
                <w:bCs/>
                <w:color w:val="000000"/>
                <w:kern w:val="0"/>
                <w:sz w:val="16"/>
                <w:szCs w:val="16"/>
                <w:lang w:eastAsia="pt-BR"/>
                <w14:ligatures w14:val="none"/>
              </w:rPr>
              <w:t>Valor Justo por meio de Outros Resultados Abrangentes</w:t>
            </w:r>
          </w:p>
        </w:tc>
        <w:tc>
          <w:tcPr>
            <w:tcW w:w="515" w:type="pct"/>
            <w:tcBorders>
              <w:top w:val="nil"/>
              <w:left w:val="nil"/>
              <w:bottom w:val="single" w:sz="8" w:space="0" w:color="auto"/>
              <w:right w:val="single" w:sz="8" w:space="0" w:color="auto"/>
            </w:tcBorders>
            <w:shd w:val="clear" w:color="auto" w:fill="auto"/>
            <w:vAlign w:val="center"/>
            <w:hideMark/>
          </w:tcPr>
          <w:p w14:paraId="01090F23" w14:textId="77777777" w:rsidR="00A15702" w:rsidRPr="00A15702" w:rsidRDefault="00A15702" w:rsidP="00A15702">
            <w:pPr>
              <w:spacing w:after="0" w:line="240" w:lineRule="auto"/>
              <w:rPr>
                <w:rFonts w:ascii="Calibri" w:eastAsia="Times New Roman" w:hAnsi="Calibri" w:cs="Calibri"/>
                <w:color w:val="000000"/>
                <w:kern w:val="0"/>
                <w:lang w:eastAsia="pt-BR"/>
                <w14:ligatures w14:val="none"/>
              </w:rPr>
            </w:pPr>
            <w:r w:rsidRPr="00A15702">
              <w:rPr>
                <w:rFonts w:ascii="Calibri" w:eastAsia="Times New Roman" w:hAnsi="Calibri" w:cs="Calibri"/>
                <w:color w:val="000000"/>
                <w:kern w:val="0"/>
                <w:lang w:eastAsia="pt-BR"/>
                <w14:ligatures w14:val="none"/>
              </w:rPr>
              <w:t> </w:t>
            </w:r>
          </w:p>
        </w:tc>
        <w:tc>
          <w:tcPr>
            <w:tcW w:w="477" w:type="pct"/>
            <w:tcBorders>
              <w:top w:val="nil"/>
              <w:left w:val="nil"/>
              <w:bottom w:val="single" w:sz="8" w:space="0" w:color="auto"/>
              <w:right w:val="single" w:sz="8" w:space="0" w:color="auto"/>
            </w:tcBorders>
            <w:shd w:val="clear" w:color="auto" w:fill="auto"/>
            <w:vAlign w:val="center"/>
            <w:hideMark/>
          </w:tcPr>
          <w:p w14:paraId="53965DFF"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 </w:t>
            </w:r>
          </w:p>
        </w:tc>
        <w:tc>
          <w:tcPr>
            <w:tcW w:w="493" w:type="pct"/>
            <w:tcBorders>
              <w:top w:val="nil"/>
              <w:left w:val="nil"/>
              <w:bottom w:val="single" w:sz="8" w:space="0" w:color="auto"/>
              <w:right w:val="single" w:sz="8" w:space="0" w:color="auto"/>
            </w:tcBorders>
            <w:shd w:val="clear" w:color="auto" w:fill="auto"/>
            <w:noWrap/>
            <w:vAlign w:val="center"/>
            <w:hideMark/>
          </w:tcPr>
          <w:p w14:paraId="4AA0E6E4" w14:textId="77777777" w:rsidR="00A15702" w:rsidRPr="00A15702" w:rsidRDefault="00A15702" w:rsidP="00A15702">
            <w:pPr>
              <w:spacing w:after="0" w:line="240" w:lineRule="auto"/>
              <w:jc w:val="right"/>
              <w:rPr>
                <w:rFonts w:ascii="Calibri" w:eastAsia="Times New Roman" w:hAnsi="Calibri" w:cs="Calibri"/>
                <w:color w:val="000000"/>
                <w:kern w:val="0"/>
                <w:sz w:val="16"/>
                <w:szCs w:val="16"/>
                <w:lang w:eastAsia="pt-BR"/>
                <w14:ligatures w14:val="none"/>
              </w:rPr>
            </w:pPr>
            <w:r w:rsidRPr="00A15702">
              <w:rPr>
                <w:rFonts w:ascii="Calibri" w:eastAsia="Times New Roman" w:hAnsi="Calibri" w:cs="Calibri"/>
                <w:color w:val="000000"/>
                <w:kern w:val="0"/>
                <w:sz w:val="16"/>
                <w:szCs w:val="16"/>
                <w:lang w:eastAsia="pt-BR"/>
                <w14:ligatures w14:val="none"/>
              </w:rPr>
              <w:t> </w:t>
            </w:r>
          </w:p>
        </w:tc>
        <w:tc>
          <w:tcPr>
            <w:tcW w:w="432" w:type="pct"/>
            <w:tcBorders>
              <w:top w:val="nil"/>
              <w:left w:val="nil"/>
              <w:bottom w:val="single" w:sz="8" w:space="0" w:color="auto"/>
              <w:right w:val="single" w:sz="8" w:space="0" w:color="auto"/>
            </w:tcBorders>
            <w:shd w:val="clear" w:color="auto" w:fill="auto"/>
            <w:noWrap/>
            <w:vAlign w:val="center"/>
            <w:hideMark/>
          </w:tcPr>
          <w:p w14:paraId="19C6834F"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 </w:t>
            </w:r>
          </w:p>
        </w:tc>
        <w:tc>
          <w:tcPr>
            <w:tcW w:w="430" w:type="pct"/>
            <w:tcBorders>
              <w:top w:val="nil"/>
              <w:left w:val="nil"/>
              <w:bottom w:val="single" w:sz="8" w:space="0" w:color="auto"/>
              <w:right w:val="single" w:sz="8" w:space="0" w:color="auto"/>
            </w:tcBorders>
            <w:shd w:val="clear" w:color="auto" w:fill="auto"/>
            <w:noWrap/>
            <w:vAlign w:val="center"/>
            <w:hideMark/>
          </w:tcPr>
          <w:p w14:paraId="6FA8364D" w14:textId="77777777" w:rsidR="00A15702" w:rsidRPr="00A15702" w:rsidRDefault="00A15702" w:rsidP="00A15702">
            <w:pPr>
              <w:spacing w:after="0" w:line="240" w:lineRule="auto"/>
              <w:jc w:val="right"/>
              <w:rPr>
                <w:rFonts w:ascii="Calibri" w:eastAsia="Times New Roman" w:hAnsi="Calibri" w:cs="Calibri"/>
                <w:color w:val="000000"/>
                <w:kern w:val="0"/>
                <w:sz w:val="16"/>
                <w:szCs w:val="16"/>
                <w:lang w:eastAsia="pt-BR"/>
                <w14:ligatures w14:val="none"/>
              </w:rPr>
            </w:pPr>
            <w:r w:rsidRPr="00A15702">
              <w:rPr>
                <w:rFonts w:ascii="Calibri" w:eastAsia="Times New Roman" w:hAnsi="Calibri" w:cs="Calibri"/>
                <w:color w:val="000000"/>
                <w:kern w:val="0"/>
                <w:sz w:val="16"/>
                <w:szCs w:val="16"/>
                <w:lang w:eastAsia="pt-BR"/>
                <w14:ligatures w14:val="none"/>
              </w:rPr>
              <w:t> </w:t>
            </w:r>
          </w:p>
        </w:tc>
        <w:tc>
          <w:tcPr>
            <w:tcW w:w="368" w:type="pct"/>
            <w:tcBorders>
              <w:top w:val="nil"/>
              <w:left w:val="nil"/>
              <w:bottom w:val="single" w:sz="8" w:space="0" w:color="auto"/>
              <w:right w:val="single" w:sz="8" w:space="0" w:color="auto"/>
            </w:tcBorders>
            <w:shd w:val="clear" w:color="auto" w:fill="auto"/>
            <w:noWrap/>
            <w:vAlign w:val="center"/>
            <w:hideMark/>
          </w:tcPr>
          <w:p w14:paraId="2338288D" w14:textId="77777777" w:rsidR="00A15702" w:rsidRPr="00A15702" w:rsidRDefault="00A15702" w:rsidP="00A15702">
            <w:pPr>
              <w:spacing w:after="0" w:line="240" w:lineRule="auto"/>
              <w:jc w:val="right"/>
              <w:rPr>
                <w:rFonts w:ascii="Calibri" w:eastAsia="Times New Roman" w:hAnsi="Calibri" w:cs="Calibri"/>
                <w:color w:val="000000"/>
                <w:kern w:val="0"/>
                <w:sz w:val="16"/>
                <w:szCs w:val="16"/>
                <w:lang w:eastAsia="pt-BR"/>
                <w14:ligatures w14:val="none"/>
              </w:rPr>
            </w:pPr>
            <w:r w:rsidRPr="00A15702">
              <w:rPr>
                <w:rFonts w:ascii="Calibri" w:eastAsia="Times New Roman" w:hAnsi="Calibri" w:cs="Calibri"/>
                <w:color w:val="000000"/>
                <w:kern w:val="0"/>
                <w:sz w:val="16"/>
                <w:szCs w:val="16"/>
                <w:lang w:eastAsia="pt-BR"/>
                <w14:ligatures w14:val="none"/>
              </w:rPr>
              <w:t> </w:t>
            </w:r>
          </w:p>
        </w:tc>
      </w:tr>
      <w:tr w:rsidR="00A15702" w:rsidRPr="00A15702" w14:paraId="14C4EBEF" w14:textId="77777777" w:rsidTr="00446A14">
        <w:trPr>
          <w:trHeight w:val="238"/>
        </w:trPr>
        <w:tc>
          <w:tcPr>
            <w:tcW w:w="2285" w:type="pct"/>
            <w:tcBorders>
              <w:top w:val="nil"/>
              <w:left w:val="single" w:sz="8" w:space="0" w:color="auto"/>
              <w:bottom w:val="single" w:sz="8" w:space="0" w:color="auto"/>
              <w:right w:val="single" w:sz="8" w:space="0" w:color="auto"/>
            </w:tcBorders>
            <w:shd w:val="clear" w:color="auto" w:fill="auto"/>
            <w:noWrap/>
            <w:vAlign w:val="center"/>
            <w:hideMark/>
          </w:tcPr>
          <w:p w14:paraId="748862A8" w14:textId="77777777" w:rsidR="00A15702" w:rsidRPr="00A15702" w:rsidRDefault="00A15702" w:rsidP="00A15702">
            <w:pPr>
              <w:spacing w:after="0" w:line="240" w:lineRule="auto"/>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Aplicações Financeiras (Ações)</w:t>
            </w:r>
          </w:p>
        </w:tc>
        <w:tc>
          <w:tcPr>
            <w:tcW w:w="515" w:type="pct"/>
            <w:tcBorders>
              <w:top w:val="nil"/>
              <w:left w:val="nil"/>
              <w:bottom w:val="single" w:sz="8" w:space="0" w:color="auto"/>
              <w:right w:val="single" w:sz="8" w:space="0" w:color="auto"/>
            </w:tcBorders>
            <w:shd w:val="clear" w:color="auto" w:fill="auto"/>
            <w:vAlign w:val="center"/>
            <w:hideMark/>
          </w:tcPr>
          <w:p w14:paraId="2F3DBD7F" w14:textId="77777777" w:rsidR="00A15702" w:rsidRPr="00A15702" w:rsidRDefault="00A15702" w:rsidP="00A15702">
            <w:pPr>
              <w:spacing w:after="0" w:line="240" w:lineRule="auto"/>
              <w:jc w:val="center"/>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VJORA (</w:t>
            </w:r>
            <w:proofErr w:type="spellStart"/>
            <w:r w:rsidRPr="00A15702">
              <w:rPr>
                <w:rFonts w:ascii="Arial" w:eastAsia="Times New Roman" w:hAnsi="Arial" w:cs="Arial"/>
                <w:color w:val="000000"/>
                <w:kern w:val="0"/>
                <w:sz w:val="16"/>
                <w:szCs w:val="16"/>
                <w:lang w:eastAsia="pt-BR"/>
                <w14:ligatures w14:val="none"/>
              </w:rPr>
              <w:t>ii</w:t>
            </w:r>
            <w:proofErr w:type="spellEnd"/>
            <w:r w:rsidRPr="00A15702">
              <w:rPr>
                <w:rFonts w:ascii="Arial" w:eastAsia="Times New Roman" w:hAnsi="Arial" w:cs="Arial"/>
                <w:color w:val="000000"/>
                <w:kern w:val="0"/>
                <w:sz w:val="16"/>
                <w:szCs w:val="16"/>
                <w:lang w:eastAsia="pt-BR"/>
                <w14:ligatures w14:val="none"/>
              </w:rPr>
              <w:t>)</w:t>
            </w:r>
          </w:p>
        </w:tc>
        <w:tc>
          <w:tcPr>
            <w:tcW w:w="477" w:type="pct"/>
            <w:tcBorders>
              <w:top w:val="nil"/>
              <w:left w:val="nil"/>
              <w:bottom w:val="single" w:sz="8" w:space="0" w:color="auto"/>
              <w:right w:val="single" w:sz="8" w:space="0" w:color="auto"/>
            </w:tcBorders>
            <w:shd w:val="clear" w:color="auto" w:fill="auto"/>
            <w:vAlign w:val="center"/>
            <w:hideMark/>
          </w:tcPr>
          <w:p w14:paraId="6E9B6B5A"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Nível 1</w:t>
            </w:r>
          </w:p>
        </w:tc>
        <w:tc>
          <w:tcPr>
            <w:tcW w:w="493" w:type="pct"/>
            <w:tcBorders>
              <w:top w:val="nil"/>
              <w:left w:val="nil"/>
              <w:bottom w:val="single" w:sz="8" w:space="0" w:color="auto"/>
              <w:right w:val="single" w:sz="8" w:space="0" w:color="auto"/>
            </w:tcBorders>
            <w:shd w:val="clear" w:color="auto" w:fill="auto"/>
            <w:noWrap/>
            <w:vAlign w:val="center"/>
            <w:hideMark/>
          </w:tcPr>
          <w:p w14:paraId="5B726111"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2.706</w:t>
            </w:r>
          </w:p>
        </w:tc>
        <w:tc>
          <w:tcPr>
            <w:tcW w:w="432" w:type="pct"/>
            <w:tcBorders>
              <w:top w:val="nil"/>
              <w:left w:val="nil"/>
              <w:bottom w:val="single" w:sz="8" w:space="0" w:color="auto"/>
              <w:right w:val="single" w:sz="8" w:space="0" w:color="auto"/>
            </w:tcBorders>
            <w:shd w:val="clear" w:color="auto" w:fill="auto"/>
            <w:noWrap/>
            <w:vAlign w:val="center"/>
            <w:hideMark/>
          </w:tcPr>
          <w:p w14:paraId="4E02AF4D"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2.706</w:t>
            </w:r>
          </w:p>
        </w:tc>
        <w:tc>
          <w:tcPr>
            <w:tcW w:w="430" w:type="pct"/>
            <w:tcBorders>
              <w:top w:val="nil"/>
              <w:left w:val="nil"/>
              <w:bottom w:val="single" w:sz="8" w:space="0" w:color="auto"/>
              <w:right w:val="single" w:sz="8" w:space="0" w:color="auto"/>
            </w:tcBorders>
            <w:shd w:val="clear" w:color="auto" w:fill="auto"/>
            <w:noWrap/>
            <w:vAlign w:val="center"/>
            <w:hideMark/>
          </w:tcPr>
          <w:p w14:paraId="580C0CEA"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1.945</w:t>
            </w:r>
          </w:p>
        </w:tc>
        <w:tc>
          <w:tcPr>
            <w:tcW w:w="368" w:type="pct"/>
            <w:tcBorders>
              <w:top w:val="nil"/>
              <w:left w:val="nil"/>
              <w:bottom w:val="single" w:sz="8" w:space="0" w:color="auto"/>
              <w:right w:val="single" w:sz="8" w:space="0" w:color="auto"/>
            </w:tcBorders>
            <w:shd w:val="clear" w:color="auto" w:fill="auto"/>
            <w:noWrap/>
            <w:vAlign w:val="center"/>
            <w:hideMark/>
          </w:tcPr>
          <w:p w14:paraId="61585515"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1.945</w:t>
            </w:r>
          </w:p>
        </w:tc>
      </w:tr>
      <w:tr w:rsidR="00A15702" w:rsidRPr="00A15702" w14:paraId="3C8446C7" w14:textId="77777777" w:rsidTr="00446A14">
        <w:trPr>
          <w:trHeight w:val="238"/>
        </w:trPr>
        <w:tc>
          <w:tcPr>
            <w:tcW w:w="2285" w:type="pct"/>
            <w:tcBorders>
              <w:top w:val="nil"/>
              <w:left w:val="single" w:sz="8" w:space="0" w:color="auto"/>
              <w:bottom w:val="single" w:sz="8" w:space="0" w:color="auto"/>
              <w:right w:val="single" w:sz="8" w:space="0" w:color="auto"/>
            </w:tcBorders>
            <w:shd w:val="clear" w:color="auto" w:fill="auto"/>
            <w:noWrap/>
            <w:vAlign w:val="center"/>
            <w:hideMark/>
          </w:tcPr>
          <w:p w14:paraId="619BF97A" w14:textId="77777777" w:rsidR="00A15702" w:rsidRPr="00A15702" w:rsidRDefault="00A15702" w:rsidP="00A15702">
            <w:pPr>
              <w:spacing w:after="0" w:line="240" w:lineRule="auto"/>
              <w:rPr>
                <w:rFonts w:ascii="Arial" w:eastAsia="Times New Roman" w:hAnsi="Arial" w:cs="Arial"/>
                <w:b/>
                <w:bCs/>
                <w:color w:val="000000"/>
                <w:kern w:val="0"/>
                <w:sz w:val="16"/>
                <w:szCs w:val="16"/>
                <w:lang w:eastAsia="pt-BR"/>
                <w14:ligatures w14:val="none"/>
              </w:rPr>
            </w:pPr>
            <w:r w:rsidRPr="00A15702">
              <w:rPr>
                <w:rFonts w:ascii="Arial" w:eastAsia="Times New Roman" w:hAnsi="Arial" w:cs="Arial"/>
                <w:b/>
                <w:bCs/>
                <w:color w:val="000000"/>
                <w:kern w:val="0"/>
                <w:sz w:val="16"/>
                <w:szCs w:val="16"/>
                <w:lang w:eastAsia="pt-BR"/>
                <w14:ligatures w14:val="none"/>
              </w:rPr>
              <w:t>Passivos Financeiros</w:t>
            </w:r>
          </w:p>
        </w:tc>
        <w:tc>
          <w:tcPr>
            <w:tcW w:w="515" w:type="pct"/>
            <w:tcBorders>
              <w:top w:val="nil"/>
              <w:left w:val="nil"/>
              <w:bottom w:val="single" w:sz="8" w:space="0" w:color="auto"/>
              <w:right w:val="single" w:sz="8" w:space="0" w:color="auto"/>
            </w:tcBorders>
            <w:shd w:val="clear" w:color="auto" w:fill="auto"/>
            <w:noWrap/>
            <w:vAlign w:val="center"/>
            <w:hideMark/>
          </w:tcPr>
          <w:p w14:paraId="37BEAC5D" w14:textId="77777777" w:rsidR="00A15702" w:rsidRPr="00A15702" w:rsidRDefault="00A15702" w:rsidP="00A15702">
            <w:pPr>
              <w:spacing w:after="0" w:line="240" w:lineRule="auto"/>
              <w:rPr>
                <w:rFonts w:ascii="Calibri" w:eastAsia="Times New Roman" w:hAnsi="Calibri" w:cs="Calibri"/>
                <w:color w:val="000000"/>
                <w:kern w:val="0"/>
                <w:lang w:eastAsia="pt-BR"/>
                <w14:ligatures w14:val="none"/>
              </w:rPr>
            </w:pPr>
            <w:r w:rsidRPr="00A15702">
              <w:rPr>
                <w:rFonts w:ascii="Calibri" w:eastAsia="Times New Roman" w:hAnsi="Calibri" w:cs="Calibri"/>
                <w:color w:val="000000"/>
                <w:kern w:val="0"/>
                <w:lang w:eastAsia="pt-BR"/>
                <w14:ligatures w14:val="none"/>
              </w:rPr>
              <w:t> </w:t>
            </w:r>
          </w:p>
        </w:tc>
        <w:tc>
          <w:tcPr>
            <w:tcW w:w="477" w:type="pct"/>
            <w:tcBorders>
              <w:top w:val="nil"/>
              <w:left w:val="nil"/>
              <w:bottom w:val="single" w:sz="8" w:space="0" w:color="auto"/>
              <w:right w:val="single" w:sz="8" w:space="0" w:color="auto"/>
            </w:tcBorders>
            <w:shd w:val="clear" w:color="auto" w:fill="auto"/>
            <w:noWrap/>
            <w:vAlign w:val="center"/>
            <w:hideMark/>
          </w:tcPr>
          <w:p w14:paraId="28E74CF8"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 </w:t>
            </w:r>
          </w:p>
        </w:tc>
        <w:tc>
          <w:tcPr>
            <w:tcW w:w="493" w:type="pct"/>
            <w:tcBorders>
              <w:top w:val="nil"/>
              <w:left w:val="nil"/>
              <w:bottom w:val="single" w:sz="8" w:space="0" w:color="auto"/>
              <w:right w:val="single" w:sz="8" w:space="0" w:color="auto"/>
            </w:tcBorders>
            <w:shd w:val="clear" w:color="auto" w:fill="auto"/>
            <w:noWrap/>
            <w:vAlign w:val="center"/>
            <w:hideMark/>
          </w:tcPr>
          <w:p w14:paraId="4C80901F" w14:textId="77777777" w:rsidR="00A15702" w:rsidRPr="00A15702" w:rsidRDefault="00A15702" w:rsidP="00A15702">
            <w:pPr>
              <w:spacing w:after="0" w:line="240" w:lineRule="auto"/>
              <w:jc w:val="right"/>
              <w:rPr>
                <w:rFonts w:ascii="Calibri" w:eastAsia="Times New Roman" w:hAnsi="Calibri" w:cs="Calibri"/>
                <w:color w:val="000000"/>
                <w:kern w:val="0"/>
                <w:sz w:val="16"/>
                <w:szCs w:val="16"/>
                <w:lang w:eastAsia="pt-BR"/>
                <w14:ligatures w14:val="none"/>
              </w:rPr>
            </w:pPr>
            <w:r w:rsidRPr="00A15702">
              <w:rPr>
                <w:rFonts w:ascii="Calibri" w:eastAsia="Times New Roman" w:hAnsi="Calibri" w:cs="Calibri"/>
                <w:color w:val="000000"/>
                <w:kern w:val="0"/>
                <w:sz w:val="16"/>
                <w:szCs w:val="16"/>
                <w:lang w:eastAsia="pt-BR"/>
                <w14:ligatures w14:val="none"/>
              </w:rPr>
              <w:t> </w:t>
            </w:r>
          </w:p>
        </w:tc>
        <w:tc>
          <w:tcPr>
            <w:tcW w:w="432" w:type="pct"/>
            <w:tcBorders>
              <w:top w:val="nil"/>
              <w:left w:val="nil"/>
              <w:bottom w:val="single" w:sz="8" w:space="0" w:color="auto"/>
              <w:right w:val="single" w:sz="8" w:space="0" w:color="auto"/>
            </w:tcBorders>
            <w:shd w:val="clear" w:color="auto" w:fill="auto"/>
            <w:noWrap/>
            <w:vAlign w:val="center"/>
            <w:hideMark/>
          </w:tcPr>
          <w:p w14:paraId="7B25E0C8"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 </w:t>
            </w:r>
          </w:p>
        </w:tc>
        <w:tc>
          <w:tcPr>
            <w:tcW w:w="430" w:type="pct"/>
            <w:tcBorders>
              <w:top w:val="nil"/>
              <w:left w:val="nil"/>
              <w:bottom w:val="single" w:sz="8" w:space="0" w:color="auto"/>
              <w:right w:val="single" w:sz="8" w:space="0" w:color="auto"/>
            </w:tcBorders>
            <w:shd w:val="clear" w:color="auto" w:fill="auto"/>
            <w:noWrap/>
            <w:vAlign w:val="center"/>
            <w:hideMark/>
          </w:tcPr>
          <w:p w14:paraId="772D4B98" w14:textId="77777777" w:rsidR="00A15702" w:rsidRPr="00A15702" w:rsidRDefault="00A15702" w:rsidP="00A15702">
            <w:pPr>
              <w:spacing w:after="0" w:line="240" w:lineRule="auto"/>
              <w:jc w:val="right"/>
              <w:rPr>
                <w:rFonts w:ascii="Calibri" w:eastAsia="Times New Roman" w:hAnsi="Calibri" w:cs="Calibri"/>
                <w:color w:val="000000"/>
                <w:kern w:val="0"/>
                <w:sz w:val="16"/>
                <w:szCs w:val="16"/>
                <w:lang w:eastAsia="pt-BR"/>
                <w14:ligatures w14:val="none"/>
              </w:rPr>
            </w:pPr>
            <w:r w:rsidRPr="00A15702">
              <w:rPr>
                <w:rFonts w:ascii="Calibri" w:eastAsia="Times New Roman" w:hAnsi="Calibri" w:cs="Calibri"/>
                <w:color w:val="000000"/>
                <w:kern w:val="0"/>
                <w:sz w:val="16"/>
                <w:szCs w:val="16"/>
                <w:lang w:eastAsia="pt-BR"/>
                <w14:ligatures w14:val="none"/>
              </w:rPr>
              <w:t> </w:t>
            </w:r>
          </w:p>
        </w:tc>
        <w:tc>
          <w:tcPr>
            <w:tcW w:w="368" w:type="pct"/>
            <w:tcBorders>
              <w:top w:val="nil"/>
              <w:left w:val="nil"/>
              <w:bottom w:val="single" w:sz="8" w:space="0" w:color="auto"/>
              <w:right w:val="single" w:sz="8" w:space="0" w:color="auto"/>
            </w:tcBorders>
            <w:shd w:val="clear" w:color="auto" w:fill="auto"/>
            <w:noWrap/>
            <w:vAlign w:val="center"/>
            <w:hideMark/>
          </w:tcPr>
          <w:p w14:paraId="1FB9F8A3" w14:textId="77777777" w:rsidR="00A15702" w:rsidRPr="00A15702" w:rsidRDefault="00A15702" w:rsidP="00A15702">
            <w:pPr>
              <w:spacing w:after="0" w:line="240" w:lineRule="auto"/>
              <w:jc w:val="right"/>
              <w:rPr>
                <w:rFonts w:ascii="Calibri" w:eastAsia="Times New Roman" w:hAnsi="Calibri" w:cs="Calibri"/>
                <w:color w:val="000000"/>
                <w:kern w:val="0"/>
                <w:sz w:val="16"/>
                <w:szCs w:val="16"/>
                <w:lang w:eastAsia="pt-BR"/>
                <w14:ligatures w14:val="none"/>
              </w:rPr>
            </w:pPr>
            <w:r w:rsidRPr="00A15702">
              <w:rPr>
                <w:rFonts w:ascii="Calibri" w:eastAsia="Times New Roman" w:hAnsi="Calibri" w:cs="Calibri"/>
                <w:color w:val="000000"/>
                <w:kern w:val="0"/>
                <w:sz w:val="16"/>
                <w:szCs w:val="16"/>
                <w:lang w:eastAsia="pt-BR"/>
                <w14:ligatures w14:val="none"/>
              </w:rPr>
              <w:t> </w:t>
            </w:r>
          </w:p>
        </w:tc>
      </w:tr>
      <w:tr w:rsidR="00A15702" w:rsidRPr="00A15702" w14:paraId="15C985BC" w14:textId="77777777" w:rsidTr="00446A14">
        <w:trPr>
          <w:trHeight w:val="238"/>
        </w:trPr>
        <w:tc>
          <w:tcPr>
            <w:tcW w:w="2285" w:type="pct"/>
            <w:tcBorders>
              <w:top w:val="nil"/>
              <w:left w:val="single" w:sz="8" w:space="0" w:color="auto"/>
              <w:bottom w:val="single" w:sz="8" w:space="0" w:color="auto"/>
              <w:right w:val="single" w:sz="8" w:space="0" w:color="auto"/>
            </w:tcBorders>
            <w:shd w:val="clear" w:color="auto" w:fill="auto"/>
            <w:noWrap/>
            <w:vAlign w:val="center"/>
            <w:hideMark/>
          </w:tcPr>
          <w:p w14:paraId="399C17A9" w14:textId="77777777" w:rsidR="00A15702" w:rsidRPr="00A15702" w:rsidRDefault="00A15702" w:rsidP="00A15702">
            <w:pPr>
              <w:spacing w:after="0" w:line="240" w:lineRule="auto"/>
              <w:rPr>
                <w:rFonts w:ascii="Arial" w:eastAsia="Times New Roman" w:hAnsi="Arial" w:cs="Arial"/>
                <w:b/>
                <w:bCs/>
                <w:color w:val="000000"/>
                <w:kern w:val="0"/>
                <w:sz w:val="16"/>
                <w:szCs w:val="16"/>
                <w:lang w:eastAsia="pt-BR"/>
                <w14:ligatures w14:val="none"/>
              </w:rPr>
            </w:pPr>
            <w:r w:rsidRPr="00A15702">
              <w:rPr>
                <w:rFonts w:ascii="Arial" w:eastAsia="Times New Roman" w:hAnsi="Arial" w:cs="Arial"/>
                <w:b/>
                <w:bCs/>
                <w:color w:val="000000"/>
                <w:kern w:val="0"/>
                <w:sz w:val="16"/>
                <w:szCs w:val="16"/>
                <w:lang w:eastAsia="pt-BR"/>
                <w14:ligatures w14:val="none"/>
              </w:rPr>
              <w:t>Custo Amortizado</w:t>
            </w:r>
          </w:p>
        </w:tc>
        <w:tc>
          <w:tcPr>
            <w:tcW w:w="515" w:type="pct"/>
            <w:tcBorders>
              <w:top w:val="nil"/>
              <w:left w:val="nil"/>
              <w:bottom w:val="single" w:sz="8" w:space="0" w:color="auto"/>
              <w:right w:val="single" w:sz="8" w:space="0" w:color="auto"/>
            </w:tcBorders>
            <w:shd w:val="clear" w:color="auto" w:fill="auto"/>
            <w:noWrap/>
            <w:vAlign w:val="center"/>
            <w:hideMark/>
          </w:tcPr>
          <w:p w14:paraId="3444804B" w14:textId="77777777" w:rsidR="00A15702" w:rsidRPr="00A15702" w:rsidRDefault="00A15702" w:rsidP="00A15702">
            <w:pPr>
              <w:spacing w:after="0" w:line="240" w:lineRule="auto"/>
              <w:rPr>
                <w:rFonts w:ascii="Calibri" w:eastAsia="Times New Roman" w:hAnsi="Calibri" w:cs="Calibri"/>
                <w:color w:val="000000"/>
                <w:kern w:val="0"/>
                <w:lang w:eastAsia="pt-BR"/>
                <w14:ligatures w14:val="none"/>
              </w:rPr>
            </w:pPr>
            <w:r w:rsidRPr="00A15702">
              <w:rPr>
                <w:rFonts w:ascii="Calibri" w:eastAsia="Times New Roman" w:hAnsi="Calibri" w:cs="Calibri"/>
                <w:color w:val="000000"/>
                <w:kern w:val="0"/>
                <w:lang w:eastAsia="pt-BR"/>
                <w14:ligatures w14:val="none"/>
              </w:rPr>
              <w:t> </w:t>
            </w:r>
          </w:p>
        </w:tc>
        <w:tc>
          <w:tcPr>
            <w:tcW w:w="477" w:type="pct"/>
            <w:tcBorders>
              <w:top w:val="nil"/>
              <w:left w:val="nil"/>
              <w:bottom w:val="single" w:sz="8" w:space="0" w:color="auto"/>
              <w:right w:val="single" w:sz="8" w:space="0" w:color="auto"/>
            </w:tcBorders>
            <w:shd w:val="clear" w:color="auto" w:fill="auto"/>
            <w:noWrap/>
            <w:vAlign w:val="center"/>
            <w:hideMark/>
          </w:tcPr>
          <w:p w14:paraId="42FA852D"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 </w:t>
            </w:r>
          </w:p>
        </w:tc>
        <w:tc>
          <w:tcPr>
            <w:tcW w:w="493" w:type="pct"/>
            <w:tcBorders>
              <w:top w:val="nil"/>
              <w:left w:val="nil"/>
              <w:bottom w:val="single" w:sz="8" w:space="0" w:color="auto"/>
              <w:right w:val="single" w:sz="8" w:space="0" w:color="auto"/>
            </w:tcBorders>
            <w:shd w:val="clear" w:color="auto" w:fill="auto"/>
            <w:noWrap/>
            <w:vAlign w:val="center"/>
            <w:hideMark/>
          </w:tcPr>
          <w:p w14:paraId="1FD3F793" w14:textId="77777777" w:rsidR="00A15702" w:rsidRPr="00A15702" w:rsidRDefault="00A15702" w:rsidP="00A15702">
            <w:pPr>
              <w:spacing w:after="0" w:line="240" w:lineRule="auto"/>
              <w:jc w:val="right"/>
              <w:rPr>
                <w:rFonts w:ascii="Calibri" w:eastAsia="Times New Roman" w:hAnsi="Calibri" w:cs="Calibri"/>
                <w:color w:val="000000"/>
                <w:kern w:val="0"/>
                <w:sz w:val="16"/>
                <w:szCs w:val="16"/>
                <w:lang w:eastAsia="pt-BR"/>
                <w14:ligatures w14:val="none"/>
              </w:rPr>
            </w:pPr>
            <w:r w:rsidRPr="00A15702">
              <w:rPr>
                <w:rFonts w:ascii="Calibri" w:eastAsia="Times New Roman" w:hAnsi="Calibri" w:cs="Calibri"/>
                <w:color w:val="000000"/>
                <w:kern w:val="0"/>
                <w:sz w:val="16"/>
                <w:szCs w:val="16"/>
                <w:lang w:eastAsia="pt-BR"/>
                <w14:ligatures w14:val="none"/>
              </w:rPr>
              <w:t> </w:t>
            </w:r>
          </w:p>
        </w:tc>
        <w:tc>
          <w:tcPr>
            <w:tcW w:w="432" w:type="pct"/>
            <w:tcBorders>
              <w:top w:val="nil"/>
              <w:left w:val="nil"/>
              <w:bottom w:val="single" w:sz="8" w:space="0" w:color="auto"/>
              <w:right w:val="single" w:sz="8" w:space="0" w:color="auto"/>
            </w:tcBorders>
            <w:shd w:val="clear" w:color="auto" w:fill="auto"/>
            <w:noWrap/>
            <w:vAlign w:val="center"/>
            <w:hideMark/>
          </w:tcPr>
          <w:p w14:paraId="21CD8F48"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 </w:t>
            </w:r>
          </w:p>
        </w:tc>
        <w:tc>
          <w:tcPr>
            <w:tcW w:w="430" w:type="pct"/>
            <w:tcBorders>
              <w:top w:val="nil"/>
              <w:left w:val="nil"/>
              <w:bottom w:val="single" w:sz="8" w:space="0" w:color="auto"/>
              <w:right w:val="single" w:sz="8" w:space="0" w:color="auto"/>
            </w:tcBorders>
            <w:shd w:val="clear" w:color="auto" w:fill="auto"/>
            <w:noWrap/>
            <w:vAlign w:val="center"/>
            <w:hideMark/>
          </w:tcPr>
          <w:p w14:paraId="65FE7E91" w14:textId="77777777" w:rsidR="00A15702" w:rsidRPr="00A15702" w:rsidRDefault="00A15702" w:rsidP="00A15702">
            <w:pPr>
              <w:spacing w:after="0" w:line="240" w:lineRule="auto"/>
              <w:jc w:val="right"/>
              <w:rPr>
                <w:rFonts w:ascii="Calibri" w:eastAsia="Times New Roman" w:hAnsi="Calibri" w:cs="Calibri"/>
                <w:color w:val="000000"/>
                <w:kern w:val="0"/>
                <w:sz w:val="16"/>
                <w:szCs w:val="16"/>
                <w:lang w:eastAsia="pt-BR"/>
                <w14:ligatures w14:val="none"/>
              </w:rPr>
            </w:pPr>
            <w:r w:rsidRPr="00A15702">
              <w:rPr>
                <w:rFonts w:ascii="Calibri" w:eastAsia="Times New Roman" w:hAnsi="Calibri" w:cs="Calibri"/>
                <w:color w:val="000000"/>
                <w:kern w:val="0"/>
                <w:sz w:val="16"/>
                <w:szCs w:val="16"/>
                <w:lang w:eastAsia="pt-BR"/>
                <w14:ligatures w14:val="none"/>
              </w:rPr>
              <w:t> </w:t>
            </w:r>
          </w:p>
        </w:tc>
        <w:tc>
          <w:tcPr>
            <w:tcW w:w="368" w:type="pct"/>
            <w:tcBorders>
              <w:top w:val="nil"/>
              <w:left w:val="nil"/>
              <w:bottom w:val="single" w:sz="8" w:space="0" w:color="auto"/>
              <w:right w:val="single" w:sz="8" w:space="0" w:color="auto"/>
            </w:tcBorders>
            <w:shd w:val="clear" w:color="auto" w:fill="auto"/>
            <w:noWrap/>
            <w:vAlign w:val="center"/>
            <w:hideMark/>
          </w:tcPr>
          <w:p w14:paraId="6F4A7077" w14:textId="77777777" w:rsidR="00A15702" w:rsidRPr="00A15702" w:rsidRDefault="00A15702" w:rsidP="00A15702">
            <w:pPr>
              <w:spacing w:after="0" w:line="240" w:lineRule="auto"/>
              <w:jc w:val="right"/>
              <w:rPr>
                <w:rFonts w:ascii="Calibri" w:eastAsia="Times New Roman" w:hAnsi="Calibri" w:cs="Calibri"/>
                <w:color w:val="000000"/>
                <w:kern w:val="0"/>
                <w:sz w:val="16"/>
                <w:szCs w:val="16"/>
                <w:lang w:eastAsia="pt-BR"/>
                <w14:ligatures w14:val="none"/>
              </w:rPr>
            </w:pPr>
            <w:r w:rsidRPr="00A15702">
              <w:rPr>
                <w:rFonts w:ascii="Calibri" w:eastAsia="Times New Roman" w:hAnsi="Calibri" w:cs="Calibri"/>
                <w:color w:val="000000"/>
                <w:kern w:val="0"/>
                <w:sz w:val="16"/>
                <w:szCs w:val="16"/>
                <w:lang w:eastAsia="pt-BR"/>
                <w14:ligatures w14:val="none"/>
              </w:rPr>
              <w:t> </w:t>
            </w:r>
          </w:p>
        </w:tc>
      </w:tr>
      <w:tr w:rsidR="00A15702" w:rsidRPr="00A15702" w14:paraId="3C442129" w14:textId="77777777" w:rsidTr="00446A14">
        <w:trPr>
          <w:trHeight w:val="238"/>
        </w:trPr>
        <w:tc>
          <w:tcPr>
            <w:tcW w:w="2285" w:type="pct"/>
            <w:tcBorders>
              <w:top w:val="nil"/>
              <w:left w:val="single" w:sz="8" w:space="0" w:color="auto"/>
              <w:bottom w:val="single" w:sz="8" w:space="0" w:color="auto"/>
              <w:right w:val="single" w:sz="8" w:space="0" w:color="auto"/>
            </w:tcBorders>
            <w:shd w:val="clear" w:color="auto" w:fill="auto"/>
            <w:noWrap/>
            <w:vAlign w:val="center"/>
            <w:hideMark/>
          </w:tcPr>
          <w:p w14:paraId="6F1C448D" w14:textId="77777777" w:rsidR="00A15702" w:rsidRPr="00A15702" w:rsidRDefault="00A15702" w:rsidP="00A15702">
            <w:pPr>
              <w:spacing w:after="0" w:line="240" w:lineRule="auto"/>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Fornecedores</w:t>
            </w:r>
          </w:p>
        </w:tc>
        <w:tc>
          <w:tcPr>
            <w:tcW w:w="515" w:type="pct"/>
            <w:tcBorders>
              <w:top w:val="nil"/>
              <w:left w:val="nil"/>
              <w:bottom w:val="single" w:sz="8" w:space="0" w:color="auto"/>
              <w:right w:val="single" w:sz="8" w:space="0" w:color="auto"/>
            </w:tcBorders>
            <w:shd w:val="clear" w:color="auto" w:fill="auto"/>
            <w:vAlign w:val="center"/>
            <w:hideMark/>
          </w:tcPr>
          <w:p w14:paraId="2A7ECB76" w14:textId="77777777" w:rsidR="00A15702" w:rsidRPr="00A15702" w:rsidRDefault="00A15702" w:rsidP="00A15702">
            <w:pPr>
              <w:spacing w:after="0" w:line="240" w:lineRule="auto"/>
              <w:jc w:val="center"/>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Custo Amortizado</w:t>
            </w:r>
          </w:p>
        </w:tc>
        <w:tc>
          <w:tcPr>
            <w:tcW w:w="477" w:type="pct"/>
            <w:tcBorders>
              <w:top w:val="nil"/>
              <w:left w:val="nil"/>
              <w:bottom w:val="single" w:sz="8" w:space="0" w:color="auto"/>
              <w:right w:val="single" w:sz="8" w:space="0" w:color="auto"/>
            </w:tcBorders>
            <w:shd w:val="clear" w:color="auto" w:fill="auto"/>
            <w:vAlign w:val="center"/>
            <w:hideMark/>
          </w:tcPr>
          <w:p w14:paraId="5D50399E"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 </w:t>
            </w:r>
          </w:p>
        </w:tc>
        <w:tc>
          <w:tcPr>
            <w:tcW w:w="493" w:type="pct"/>
            <w:tcBorders>
              <w:top w:val="nil"/>
              <w:left w:val="nil"/>
              <w:bottom w:val="single" w:sz="8" w:space="0" w:color="auto"/>
              <w:right w:val="single" w:sz="8" w:space="0" w:color="auto"/>
            </w:tcBorders>
            <w:shd w:val="clear" w:color="auto" w:fill="auto"/>
            <w:noWrap/>
            <w:vAlign w:val="center"/>
            <w:hideMark/>
          </w:tcPr>
          <w:p w14:paraId="69BF54BD"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14:ligatures w14:val="none"/>
              </w:rPr>
              <w:t>106.804</w:t>
            </w:r>
          </w:p>
        </w:tc>
        <w:tc>
          <w:tcPr>
            <w:tcW w:w="432" w:type="pct"/>
            <w:tcBorders>
              <w:top w:val="nil"/>
              <w:left w:val="nil"/>
              <w:bottom w:val="single" w:sz="8" w:space="0" w:color="auto"/>
              <w:right w:val="single" w:sz="8" w:space="0" w:color="auto"/>
            </w:tcBorders>
            <w:shd w:val="clear" w:color="auto" w:fill="auto"/>
            <w:noWrap/>
            <w:vAlign w:val="center"/>
            <w:hideMark/>
          </w:tcPr>
          <w:p w14:paraId="6C22B78A"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14:ligatures w14:val="none"/>
              </w:rPr>
              <w:t>106.804</w:t>
            </w:r>
          </w:p>
        </w:tc>
        <w:tc>
          <w:tcPr>
            <w:tcW w:w="430" w:type="pct"/>
            <w:tcBorders>
              <w:top w:val="nil"/>
              <w:left w:val="nil"/>
              <w:bottom w:val="single" w:sz="8" w:space="0" w:color="auto"/>
              <w:right w:val="single" w:sz="8" w:space="0" w:color="auto"/>
            </w:tcBorders>
            <w:shd w:val="clear" w:color="auto" w:fill="auto"/>
            <w:noWrap/>
            <w:vAlign w:val="center"/>
            <w:hideMark/>
          </w:tcPr>
          <w:p w14:paraId="0AE82405"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14:ligatures w14:val="none"/>
              </w:rPr>
              <w:t>106.843</w:t>
            </w:r>
          </w:p>
        </w:tc>
        <w:tc>
          <w:tcPr>
            <w:tcW w:w="368" w:type="pct"/>
            <w:tcBorders>
              <w:top w:val="nil"/>
              <w:left w:val="nil"/>
              <w:bottom w:val="single" w:sz="8" w:space="0" w:color="auto"/>
              <w:right w:val="single" w:sz="8" w:space="0" w:color="auto"/>
            </w:tcBorders>
            <w:shd w:val="clear" w:color="auto" w:fill="auto"/>
            <w:noWrap/>
            <w:vAlign w:val="center"/>
            <w:hideMark/>
          </w:tcPr>
          <w:p w14:paraId="06BA831A"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14:ligatures w14:val="none"/>
              </w:rPr>
              <w:t>106.843</w:t>
            </w:r>
          </w:p>
        </w:tc>
      </w:tr>
      <w:tr w:rsidR="00A15702" w:rsidRPr="00A15702" w14:paraId="618C090B" w14:textId="77777777" w:rsidTr="00446A14">
        <w:trPr>
          <w:trHeight w:val="238"/>
        </w:trPr>
        <w:tc>
          <w:tcPr>
            <w:tcW w:w="2285" w:type="pct"/>
            <w:tcBorders>
              <w:top w:val="nil"/>
              <w:left w:val="single" w:sz="8" w:space="0" w:color="auto"/>
              <w:bottom w:val="single" w:sz="8" w:space="0" w:color="auto"/>
              <w:right w:val="single" w:sz="8" w:space="0" w:color="auto"/>
            </w:tcBorders>
            <w:shd w:val="clear" w:color="auto" w:fill="auto"/>
            <w:noWrap/>
            <w:vAlign w:val="center"/>
            <w:hideMark/>
          </w:tcPr>
          <w:p w14:paraId="1CB8FBE3" w14:textId="77777777" w:rsidR="00A15702" w:rsidRPr="00A15702" w:rsidRDefault="00A15702" w:rsidP="00A15702">
            <w:pPr>
              <w:spacing w:after="0" w:line="240" w:lineRule="auto"/>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 xml:space="preserve">Empréstimos e Financiamentos - FINEP </w:t>
            </w:r>
          </w:p>
        </w:tc>
        <w:tc>
          <w:tcPr>
            <w:tcW w:w="515" w:type="pct"/>
            <w:tcBorders>
              <w:top w:val="nil"/>
              <w:left w:val="nil"/>
              <w:bottom w:val="single" w:sz="8" w:space="0" w:color="auto"/>
              <w:right w:val="single" w:sz="8" w:space="0" w:color="auto"/>
            </w:tcBorders>
            <w:shd w:val="clear" w:color="auto" w:fill="auto"/>
            <w:vAlign w:val="center"/>
            <w:hideMark/>
          </w:tcPr>
          <w:p w14:paraId="7FA3ECB5" w14:textId="77777777" w:rsidR="00A15702" w:rsidRPr="00A15702" w:rsidRDefault="00A15702" w:rsidP="00A15702">
            <w:pPr>
              <w:spacing w:after="0" w:line="240" w:lineRule="auto"/>
              <w:jc w:val="center"/>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Custo Amortizado</w:t>
            </w:r>
          </w:p>
        </w:tc>
        <w:tc>
          <w:tcPr>
            <w:tcW w:w="477" w:type="pct"/>
            <w:tcBorders>
              <w:top w:val="nil"/>
              <w:left w:val="nil"/>
              <w:bottom w:val="single" w:sz="8" w:space="0" w:color="auto"/>
              <w:right w:val="single" w:sz="8" w:space="0" w:color="auto"/>
            </w:tcBorders>
            <w:shd w:val="clear" w:color="auto" w:fill="auto"/>
            <w:vAlign w:val="center"/>
            <w:hideMark/>
          </w:tcPr>
          <w:p w14:paraId="4EBCD344"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 </w:t>
            </w:r>
          </w:p>
        </w:tc>
        <w:tc>
          <w:tcPr>
            <w:tcW w:w="493" w:type="pct"/>
            <w:tcBorders>
              <w:top w:val="nil"/>
              <w:left w:val="nil"/>
              <w:bottom w:val="single" w:sz="8" w:space="0" w:color="auto"/>
              <w:right w:val="single" w:sz="8" w:space="0" w:color="auto"/>
            </w:tcBorders>
            <w:shd w:val="clear" w:color="auto" w:fill="auto"/>
            <w:noWrap/>
            <w:vAlign w:val="center"/>
            <w:hideMark/>
          </w:tcPr>
          <w:p w14:paraId="3D01A6C1"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14:ligatures w14:val="none"/>
              </w:rPr>
              <w:t>90.602</w:t>
            </w:r>
          </w:p>
        </w:tc>
        <w:tc>
          <w:tcPr>
            <w:tcW w:w="432" w:type="pct"/>
            <w:tcBorders>
              <w:top w:val="nil"/>
              <w:left w:val="nil"/>
              <w:bottom w:val="single" w:sz="8" w:space="0" w:color="auto"/>
              <w:right w:val="single" w:sz="8" w:space="0" w:color="auto"/>
            </w:tcBorders>
            <w:shd w:val="clear" w:color="auto" w:fill="auto"/>
            <w:noWrap/>
            <w:vAlign w:val="center"/>
            <w:hideMark/>
          </w:tcPr>
          <w:p w14:paraId="036705CB"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14:ligatures w14:val="none"/>
              </w:rPr>
              <w:t>90.602</w:t>
            </w:r>
          </w:p>
        </w:tc>
        <w:tc>
          <w:tcPr>
            <w:tcW w:w="430" w:type="pct"/>
            <w:tcBorders>
              <w:top w:val="nil"/>
              <w:left w:val="nil"/>
              <w:bottom w:val="single" w:sz="8" w:space="0" w:color="auto"/>
              <w:right w:val="single" w:sz="8" w:space="0" w:color="auto"/>
            </w:tcBorders>
            <w:shd w:val="clear" w:color="auto" w:fill="auto"/>
            <w:noWrap/>
            <w:vAlign w:val="center"/>
            <w:hideMark/>
          </w:tcPr>
          <w:p w14:paraId="225601C2"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14:ligatures w14:val="none"/>
              </w:rPr>
              <w:t>136.810</w:t>
            </w:r>
          </w:p>
        </w:tc>
        <w:tc>
          <w:tcPr>
            <w:tcW w:w="368" w:type="pct"/>
            <w:tcBorders>
              <w:top w:val="nil"/>
              <w:left w:val="nil"/>
              <w:bottom w:val="single" w:sz="8" w:space="0" w:color="auto"/>
              <w:right w:val="single" w:sz="8" w:space="0" w:color="auto"/>
            </w:tcBorders>
            <w:shd w:val="clear" w:color="auto" w:fill="auto"/>
            <w:noWrap/>
            <w:vAlign w:val="center"/>
            <w:hideMark/>
          </w:tcPr>
          <w:p w14:paraId="588E2E1E"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14:ligatures w14:val="none"/>
              </w:rPr>
              <w:t>136.810</w:t>
            </w:r>
          </w:p>
        </w:tc>
      </w:tr>
      <w:tr w:rsidR="00A15702" w:rsidRPr="00A15702" w14:paraId="3AB048A7" w14:textId="77777777" w:rsidTr="00446A14">
        <w:trPr>
          <w:trHeight w:val="238"/>
        </w:trPr>
        <w:tc>
          <w:tcPr>
            <w:tcW w:w="2285" w:type="pct"/>
            <w:tcBorders>
              <w:top w:val="nil"/>
              <w:left w:val="single" w:sz="8" w:space="0" w:color="auto"/>
              <w:bottom w:val="single" w:sz="8" w:space="0" w:color="auto"/>
              <w:right w:val="single" w:sz="8" w:space="0" w:color="auto"/>
            </w:tcBorders>
            <w:shd w:val="clear" w:color="auto" w:fill="auto"/>
            <w:noWrap/>
            <w:vAlign w:val="center"/>
            <w:hideMark/>
          </w:tcPr>
          <w:p w14:paraId="5443C429" w14:textId="77777777" w:rsidR="00A15702" w:rsidRPr="00A15702" w:rsidRDefault="00A15702" w:rsidP="00A15702">
            <w:pPr>
              <w:spacing w:after="0" w:line="240" w:lineRule="auto"/>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Financiamento - Arrendamento Mercantil Financeiro (</w:t>
            </w:r>
            <w:proofErr w:type="spellStart"/>
            <w:r w:rsidRPr="00A15702">
              <w:rPr>
                <w:rFonts w:ascii="Arial" w:eastAsia="Times New Roman" w:hAnsi="Arial" w:cs="Arial"/>
                <w:color w:val="000000"/>
                <w:kern w:val="0"/>
                <w:sz w:val="16"/>
                <w:szCs w:val="16"/>
                <w:lang w:eastAsia="pt-BR"/>
                <w14:ligatures w14:val="none"/>
              </w:rPr>
              <w:t>iii</w:t>
            </w:r>
            <w:proofErr w:type="spellEnd"/>
            <w:r w:rsidRPr="00A15702">
              <w:rPr>
                <w:rFonts w:ascii="Arial" w:eastAsia="Times New Roman" w:hAnsi="Arial" w:cs="Arial"/>
                <w:color w:val="000000"/>
                <w:kern w:val="0"/>
                <w:sz w:val="16"/>
                <w:szCs w:val="16"/>
                <w:lang w:eastAsia="pt-BR"/>
                <w14:ligatures w14:val="none"/>
              </w:rPr>
              <w:t>)</w:t>
            </w:r>
          </w:p>
        </w:tc>
        <w:tc>
          <w:tcPr>
            <w:tcW w:w="515" w:type="pct"/>
            <w:tcBorders>
              <w:top w:val="nil"/>
              <w:left w:val="nil"/>
              <w:bottom w:val="single" w:sz="8" w:space="0" w:color="auto"/>
              <w:right w:val="single" w:sz="8" w:space="0" w:color="auto"/>
            </w:tcBorders>
            <w:shd w:val="clear" w:color="auto" w:fill="auto"/>
            <w:vAlign w:val="center"/>
            <w:hideMark/>
          </w:tcPr>
          <w:p w14:paraId="46C93894" w14:textId="77777777" w:rsidR="00A15702" w:rsidRPr="00A15702" w:rsidRDefault="00A15702" w:rsidP="00A15702">
            <w:pPr>
              <w:spacing w:after="0" w:line="240" w:lineRule="auto"/>
              <w:jc w:val="center"/>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Custo Amortizado</w:t>
            </w:r>
          </w:p>
        </w:tc>
        <w:tc>
          <w:tcPr>
            <w:tcW w:w="477" w:type="pct"/>
            <w:tcBorders>
              <w:top w:val="nil"/>
              <w:left w:val="nil"/>
              <w:bottom w:val="single" w:sz="8" w:space="0" w:color="auto"/>
              <w:right w:val="single" w:sz="8" w:space="0" w:color="auto"/>
            </w:tcBorders>
            <w:shd w:val="clear" w:color="auto" w:fill="auto"/>
            <w:vAlign w:val="center"/>
            <w:hideMark/>
          </w:tcPr>
          <w:p w14:paraId="308C5DE2"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 </w:t>
            </w:r>
          </w:p>
        </w:tc>
        <w:tc>
          <w:tcPr>
            <w:tcW w:w="493" w:type="pct"/>
            <w:tcBorders>
              <w:top w:val="nil"/>
              <w:left w:val="nil"/>
              <w:bottom w:val="single" w:sz="8" w:space="0" w:color="auto"/>
              <w:right w:val="single" w:sz="8" w:space="0" w:color="auto"/>
            </w:tcBorders>
            <w:shd w:val="clear" w:color="auto" w:fill="auto"/>
            <w:noWrap/>
            <w:vAlign w:val="center"/>
            <w:hideMark/>
          </w:tcPr>
          <w:p w14:paraId="13FA71F5"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14.121</w:t>
            </w:r>
          </w:p>
        </w:tc>
        <w:tc>
          <w:tcPr>
            <w:tcW w:w="432" w:type="pct"/>
            <w:tcBorders>
              <w:top w:val="nil"/>
              <w:left w:val="nil"/>
              <w:bottom w:val="single" w:sz="8" w:space="0" w:color="auto"/>
              <w:right w:val="single" w:sz="8" w:space="0" w:color="auto"/>
            </w:tcBorders>
            <w:shd w:val="clear" w:color="auto" w:fill="auto"/>
            <w:noWrap/>
            <w:vAlign w:val="center"/>
            <w:hideMark/>
          </w:tcPr>
          <w:p w14:paraId="09F28917"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14.121</w:t>
            </w:r>
          </w:p>
        </w:tc>
        <w:tc>
          <w:tcPr>
            <w:tcW w:w="430" w:type="pct"/>
            <w:tcBorders>
              <w:top w:val="nil"/>
              <w:left w:val="nil"/>
              <w:bottom w:val="single" w:sz="8" w:space="0" w:color="auto"/>
              <w:right w:val="single" w:sz="8" w:space="0" w:color="auto"/>
            </w:tcBorders>
            <w:shd w:val="clear" w:color="auto" w:fill="auto"/>
            <w:noWrap/>
            <w:vAlign w:val="center"/>
            <w:hideMark/>
          </w:tcPr>
          <w:p w14:paraId="3881FCF7"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16.657</w:t>
            </w:r>
          </w:p>
        </w:tc>
        <w:tc>
          <w:tcPr>
            <w:tcW w:w="368" w:type="pct"/>
            <w:tcBorders>
              <w:top w:val="nil"/>
              <w:left w:val="nil"/>
              <w:bottom w:val="single" w:sz="8" w:space="0" w:color="auto"/>
              <w:right w:val="single" w:sz="8" w:space="0" w:color="auto"/>
            </w:tcBorders>
            <w:shd w:val="clear" w:color="auto" w:fill="auto"/>
            <w:noWrap/>
            <w:vAlign w:val="center"/>
            <w:hideMark/>
          </w:tcPr>
          <w:p w14:paraId="6DD25FC0"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16.657</w:t>
            </w:r>
          </w:p>
        </w:tc>
      </w:tr>
      <w:tr w:rsidR="00A15702" w:rsidRPr="00A15702" w14:paraId="66E69B9B" w14:textId="77777777" w:rsidTr="00446A14">
        <w:trPr>
          <w:trHeight w:val="238"/>
        </w:trPr>
        <w:tc>
          <w:tcPr>
            <w:tcW w:w="2285" w:type="pct"/>
            <w:tcBorders>
              <w:top w:val="nil"/>
              <w:left w:val="single" w:sz="8" w:space="0" w:color="auto"/>
              <w:bottom w:val="single" w:sz="8" w:space="0" w:color="auto"/>
              <w:right w:val="single" w:sz="8" w:space="0" w:color="auto"/>
            </w:tcBorders>
            <w:shd w:val="clear" w:color="auto" w:fill="auto"/>
            <w:noWrap/>
            <w:vAlign w:val="center"/>
            <w:hideMark/>
          </w:tcPr>
          <w:p w14:paraId="17E00AE8" w14:textId="77777777" w:rsidR="00A15702" w:rsidRPr="00A15702" w:rsidRDefault="00A15702" w:rsidP="00A15702">
            <w:pPr>
              <w:spacing w:after="0" w:line="240" w:lineRule="auto"/>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Credores por Perdas Judiciais</w:t>
            </w:r>
          </w:p>
        </w:tc>
        <w:tc>
          <w:tcPr>
            <w:tcW w:w="515" w:type="pct"/>
            <w:tcBorders>
              <w:top w:val="nil"/>
              <w:left w:val="nil"/>
              <w:bottom w:val="single" w:sz="8" w:space="0" w:color="auto"/>
              <w:right w:val="single" w:sz="8" w:space="0" w:color="auto"/>
            </w:tcBorders>
            <w:shd w:val="clear" w:color="auto" w:fill="auto"/>
            <w:vAlign w:val="center"/>
            <w:hideMark/>
          </w:tcPr>
          <w:p w14:paraId="090F30C3" w14:textId="77777777" w:rsidR="00A15702" w:rsidRPr="00A15702" w:rsidRDefault="00A15702" w:rsidP="00A15702">
            <w:pPr>
              <w:spacing w:after="0" w:line="240" w:lineRule="auto"/>
              <w:jc w:val="center"/>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Custo Amortizado</w:t>
            </w:r>
          </w:p>
        </w:tc>
        <w:tc>
          <w:tcPr>
            <w:tcW w:w="477" w:type="pct"/>
            <w:tcBorders>
              <w:top w:val="nil"/>
              <w:left w:val="nil"/>
              <w:bottom w:val="single" w:sz="8" w:space="0" w:color="auto"/>
              <w:right w:val="single" w:sz="8" w:space="0" w:color="auto"/>
            </w:tcBorders>
            <w:shd w:val="clear" w:color="auto" w:fill="auto"/>
            <w:vAlign w:val="center"/>
            <w:hideMark/>
          </w:tcPr>
          <w:p w14:paraId="26CE7172"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 </w:t>
            </w:r>
          </w:p>
        </w:tc>
        <w:tc>
          <w:tcPr>
            <w:tcW w:w="493" w:type="pct"/>
            <w:tcBorders>
              <w:top w:val="nil"/>
              <w:left w:val="nil"/>
              <w:bottom w:val="single" w:sz="8" w:space="0" w:color="auto"/>
              <w:right w:val="single" w:sz="8" w:space="0" w:color="auto"/>
            </w:tcBorders>
            <w:shd w:val="clear" w:color="auto" w:fill="auto"/>
            <w:noWrap/>
            <w:vAlign w:val="center"/>
            <w:hideMark/>
          </w:tcPr>
          <w:p w14:paraId="58E2FCA0"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132.440</w:t>
            </w:r>
          </w:p>
        </w:tc>
        <w:tc>
          <w:tcPr>
            <w:tcW w:w="432" w:type="pct"/>
            <w:tcBorders>
              <w:top w:val="nil"/>
              <w:left w:val="nil"/>
              <w:bottom w:val="single" w:sz="8" w:space="0" w:color="auto"/>
              <w:right w:val="single" w:sz="8" w:space="0" w:color="auto"/>
            </w:tcBorders>
            <w:shd w:val="clear" w:color="auto" w:fill="auto"/>
            <w:noWrap/>
            <w:vAlign w:val="center"/>
            <w:hideMark/>
          </w:tcPr>
          <w:p w14:paraId="17027AA4"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132.440</w:t>
            </w:r>
          </w:p>
        </w:tc>
        <w:tc>
          <w:tcPr>
            <w:tcW w:w="430" w:type="pct"/>
            <w:tcBorders>
              <w:top w:val="nil"/>
              <w:left w:val="nil"/>
              <w:bottom w:val="single" w:sz="8" w:space="0" w:color="auto"/>
              <w:right w:val="single" w:sz="8" w:space="0" w:color="auto"/>
            </w:tcBorders>
            <w:shd w:val="clear" w:color="auto" w:fill="auto"/>
            <w:noWrap/>
            <w:vAlign w:val="center"/>
            <w:hideMark/>
          </w:tcPr>
          <w:p w14:paraId="5527AA5D"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154.423</w:t>
            </w:r>
          </w:p>
        </w:tc>
        <w:tc>
          <w:tcPr>
            <w:tcW w:w="368" w:type="pct"/>
            <w:tcBorders>
              <w:top w:val="nil"/>
              <w:left w:val="nil"/>
              <w:bottom w:val="single" w:sz="8" w:space="0" w:color="auto"/>
              <w:right w:val="single" w:sz="8" w:space="0" w:color="auto"/>
            </w:tcBorders>
            <w:shd w:val="clear" w:color="auto" w:fill="auto"/>
            <w:noWrap/>
            <w:vAlign w:val="center"/>
            <w:hideMark/>
          </w:tcPr>
          <w:p w14:paraId="6DBF81E2" w14:textId="77777777" w:rsidR="00A15702" w:rsidRPr="00A15702" w:rsidRDefault="00A15702" w:rsidP="00A15702">
            <w:pPr>
              <w:spacing w:after="0" w:line="240" w:lineRule="auto"/>
              <w:jc w:val="right"/>
              <w:rPr>
                <w:rFonts w:ascii="Arial" w:eastAsia="Times New Roman" w:hAnsi="Arial" w:cs="Arial"/>
                <w:color w:val="000000"/>
                <w:kern w:val="0"/>
                <w:sz w:val="16"/>
                <w:szCs w:val="16"/>
                <w:lang w:eastAsia="pt-BR"/>
                <w14:ligatures w14:val="none"/>
              </w:rPr>
            </w:pPr>
            <w:r w:rsidRPr="00A15702">
              <w:rPr>
                <w:rFonts w:ascii="Arial" w:eastAsia="Times New Roman" w:hAnsi="Arial" w:cs="Arial"/>
                <w:color w:val="000000"/>
                <w:kern w:val="0"/>
                <w:sz w:val="16"/>
                <w:szCs w:val="16"/>
                <w:lang w:eastAsia="pt-BR"/>
                <w14:ligatures w14:val="none"/>
              </w:rPr>
              <w:t>154.423</w:t>
            </w:r>
          </w:p>
        </w:tc>
      </w:tr>
    </w:tbl>
    <w:p w14:paraId="0679E172" w14:textId="5AC2BB78" w:rsidR="00A15702" w:rsidRDefault="00A15702" w:rsidP="007A23F8">
      <w:pPr>
        <w:widowControl w:val="0"/>
        <w:tabs>
          <w:tab w:val="left" w:pos="1134"/>
        </w:tabs>
        <w:spacing w:after="0" w:line="240" w:lineRule="auto"/>
        <w:jc w:val="both"/>
        <w:rPr>
          <w:rFonts w:ascii="Arial" w:eastAsia="Times New Roman" w:hAnsi="Arial" w:cs="Arial"/>
          <w:kern w:val="0"/>
          <w:sz w:val="16"/>
          <w:szCs w:val="16"/>
          <w:lang w:eastAsia="pt-BR"/>
          <w14:ligatures w14:val="none"/>
        </w:rPr>
      </w:pPr>
      <w:r w:rsidRPr="00A15702">
        <w:rPr>
          <w:rFonts w:ascii="Arial" w:eastAsia="Times New Roman" w:hAnsi="Arial" w:cs="Arial"/>
          <w:kern w:val="0"/>
          <w:sz w:val="16"/>
          <w:szCs w:val="16"/>
          <w:lang w:eastAsia="pt-BR"/>
          <w14:ligatures w14:val="none"/>
        </w:rPr>
        <w:t>(i) VJR – Valor justo por meio do resultado.</w:t>
      </w:r>
      <w:r>
        <w:rPr>
          <w:rFonts w:ascii="Arial" w:eastAsia="Times New Roman" w:hAnsi="Arial" w:cs="Arial"/>
          <w:kern w:val="0"/>
          <w:sz w:val="16"/>
          <w:szCs w:val="16"/>
          <w:lang w:eastAsia="pt-BR"/>
          <w14:ligatures w14:val="none"/>
        </w:rPr>
        <w:t xml:space="preserve"> </w:t>
      </w:r>
      <w:r w:rsidRPr="00A15702">
        <w:rPr>
          <w:rFonts w:ascii="Arial" w:eastAsia="Times New Roman" w:hAnsi="Arial" w:cs="Arial"/>
          <w:kern w:val="0"/>
          <w:sz w:val="16"/>
          <w:szCs w:val="16"/>
          <w:lang w:eastAsia="pt-BR"/>
          <w14:ligatures w14:val="none"/>
        </w:rPr>
        <w:t>(</w:t>
      </w:r>
      <w:proofErr w:type="spellStart"/>
      <w:r w:rsidRPr="00A15702">
        <w:rPr>
          <w:rFonts w:ascii="Arial" w:eastAsia="Times New Roman" w:hAnsi="Arial" w:cs="Arial"/>
          <w:kern w:val="0"/>
          <w:sz w:val="16"/>
          <w:szCs w:val="16"/>
          <w:lang w:eastAsia="pt-BR"/>
          <w14:ligatures w14:val="none"/>
        </w:rPr>
        <w:t>ii</w:t>
      </w:r>
      <w:proofErr w:type="spellEnd"/>
      <w:r w:rsidRPr="00A15702">
        <w:rPr>
          <w:rFonts w:ascii="Arial" w:eastAsia="Times New Roman" w:hAnsi="Arial" w:cs="Arial"/>
          <w:kern w:val="0"/>
          <w:sz w:val="16"/>
          <w:szCs w:val="16"/>
          <w:lang w:eastAsia="pt-BR"/>
          <w14:ligatures w14:val="none"/>
        </w:rPr>
        <w:t>) VJORA – Valor justo por meio de outros resultados abrangentes.</w:t>
      </w:r>
      <w:r>
        <w:rPr>
          <w:rFonts w:ascii="Arial" w:eastAsia="Times New Roman" w:hAnsi="Arial" w:cs="Arial"/>
          <w:kern w:val="0"/>
          <w:sz w:val="16"/>
          <w:szCs w:val="16"/>
          <w:lang w:eastAsia="pt-BR"/>
          <w14:ligatures w14:val="none"/>
        </w:rPr>
        <w:t xml:space="preserve"> </w:t>
      </w:r>
      <w:r w:rsidRPr="00A15702">
        <w:rPr>
          <w:rFonts w:ascii="Arial" w:eastAsia="Times New Roman" w:hAnsi="Arial" w:cs="Arial"/>
          <w:kern w:val="0"/>
          <w:sz w:val="16"/>
          <w:szCs w:val="16"/>
          <w:lang w:eastAsia="pt-BR"/>
          <w14:ligatures w14:val="none"/>
        </w:rPr>
        <w:t>(</w:t>
      </w:r>
      <w:proofErr w:type="spellStart"/>
      <w:r w:rsidRPr="00A15702">
        <w:rPr>
          <w:rFonts w:ascii="Arial" w:eastAsia="Times New Roman" w:hAnsi="Arial" w:cs="Arial"/>
          <w:kern w:val="0"/>
          <w:sz w:val="16"/>
          <w:szCs w:val="16"/>
          <w:lang w:eastAsia="pt-BR"/>
          <w14:ligatures w14:val="none"/>
        </w:rPr>
        <w:t>iii</w:t>
      </w:r>
      <w:proofErr w:type="spellEnd"/>
      <w:r w:rsidRPr="00A15702">
        <w:rPr>
          <w:rFonts w:ascii="Arial" w:eastAsia="Times New Roman" w:hAnsi="Arial" w:cs="Arial"/>
          <w:kern w:val="0"/>
          <w:sz w:val="16"/>
          <w:szCs w:val="16"/>
          <w:lang w:eastAsia="pt-BR"/>
          <w14:ligatures w14:val="none"/>
        </w:rPr>
        <w:t>) Valor líquido dos Juros a Incorrer no valor de R$ 1.377.</w:t>
      </w:r>
    </w:p>
    <w:p w14:paraId="519157AD" w14:textId="77777777" w:rsidR="00A15702" w:rsidRDefault="00A15702" w:rsidP="007A23F8">
      <w:pPr>
        <w:widowControl w:val="0"/>
        <w:tabs>
          <w:tab w:val="left" w:pos="1134"/>
        </w:tabs>
        <w:spacing w:after="0" w:line="240" w:lineRule="auto"/>
        <w:jc w:val="both"/>
        <w:rPr>
          <w:rFonts w:ascii="Arial" w:eastAsia="Times New Roman" w:hAnsi="Arial" w:cs="Arial"/>
          <w:b/>
          <w:bCs/>
          <w:kern w:val="0"/>
          <w:sz w:val="16"/>
          <w:szCs w:val="16"/>
          <w:lang w:eastAsia="pt-BR"/>
          <w14:ligatures w14:val="none"/>
        </w:rPr>
      </w:pPr>
      <w:bookmarkStart w:id="386" w:name="_Toc491337707"/>
    </w:p>
    <w:p w14:paraId="75634A01" w14:textId="7AA58330" w:rsidR="00A15702" w:rsidRDefault="00A15702" w:rsidP="007A23F8">
      <w:pPr>
        <w:widowControl w:val="0"/>
        <w:tabs>
          <w:tab w:val="left" w:pos="1134"/>
        </w:tabs>
        <w:spacing w:after="0" w:line="240" w:lineRule="auto"/>
        <w:jc w:val="both"/>
        <w:rPr>
          <w:rFonts w:ascii="Calibri" w:eastAsia="Times New Roman" w:hAnsi="Calibri" w:cs="Calibri"/>
          <w:b/>
          <w:bCs/>
          <w:iCs/>
          <w:color w:val="002060"/>
          <w:kern w:val="0"/>
          <w14:ligatures w14:val="none"/>
        </w:rPr>
      </w:pPr>
      <w:r w:rsidRPr="00A15702">
        <w:rPr>
          <w:rFonts w:ascii="Calibri" w:eastAsia="Times New Roman" w:hAnsi="Calibri" w:cs="Calibri"/>
          <w:b/>
          <w:bCs/>
          <w:iCs/>
          <w:color w:val="002060"/>
          <w:kern w:val="0"/>
          <w14:ligatures w14:val="none"/>
        </w:rPr>
        <w:t>5. CAIXA E EQUIVALENTES DE CAIXA</w:t>
      </w:r>
      <w:bookmarkEnd w:id="386"/>
    </w:p>
    <w:tbl>
      <w:tblPr>
        <w:tblW w:w="5000" w:type="pct"/>
        <w:tblCellMar>
          <w:left w:w="70" w:type="dxa"/>
          <w:right w:w="70" w:type="dxa"/>
        </w:tblCellMar>
        <w:tblLook w:val="04A0" w:firstRow="1" w:lastRow="0" w:firstColumn="1" w:lastColumn="0" w:noHBand="0" w:noVBand="1"/>
      </w:tblPr>
      <w:tblGrid>
        <w:gridCol w:w="6612"/>
        <w:gridCol w:w="1517"/>
        <w:gridCol w:w="1632"/>
      </w:tblGrid>
      <w:tr w:rsidR="00A15702" w:rsidRPr="00A15702" w14:paraId="7EDCFCA8" w14:textId="77777777" w:rsidTr="00446A14">
        <w:trPr>
          <w:trHeight w:val="238"/>
        </w:trPr>
        <w:tc>
          <w:tcPr>
            <w:tcW w:w="3387"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1C46E018" w14:textId="77777777" w:rsidR="00A15702" w:rsidRPr="00A15702" w:rsidRDefault="00A15702" w:rsidP="00A15702">
            <w:pPr>
              <w:spacing w:after="0" w:line="240" w:lineRule="auto"/>
              <w:rPr>
                <w:rFonts w:ascii="Arial" w:eastAsia="Times New Roman" w:hAnsi="Arial" w:cs="Arial"/>
                <w:b/>
                <w:bCs/>
                <w:color w:val="000000"/>
                <w:kern w:val="0"/>
                <w:sz w:val="18"/>
                <w:szCs w:val="18"/>
                <w:lang w:eastAsia="pt-BR"/>
                <w14:ligatures w14:val="none"/>
              </w:rPr>
            </w:pPr>
            <w:r w:rsidRPr="00A15702">
              <w:rPr>
                <w:rFonts w:ascii="Arial" w:eastAsia="Times New Roman" w:hAnsi="Arial" w:cs="Arial"/>
                <w:b/>
                <w:bCs/>
                <w:color w:val="000000"/>
                <w:kern w:val="0"/>
                <w:sz w:val="18"/>
                <w:szCs w:val="18"/>
                <w:lang w:eastAsia="pt-BR"/>
                <w14:ligatures w14:val="none"/>
              </w:rPr>
              <w:t>Composição: </w:t>
            </w:r>
          </w:p>
        </w:tc>
        <w:tc>
          <w:tcPr>
            <w:tcW w:w="777" w:type="pct"/>
            <w:tcBorders>
              <w:top w:val="single" w:sz="8" w:space="0" w:color="auto"/>
              <w:left w:val="nil"/>
              <w:bottom w:val="single" w:sz="8" w:space="0" w:color="auto"/>
              <w:right w:val="single" w:sz="8" w:space="0" w:color="auto"/>
            </w:tcBorders>
            <w:shd w:val="clear" w:color="auto" w:fill="auto"/>
            <w:vAlign w:val="center"/>
            <w:hideMark/>
          </w:tcPr>
          <w:p w14:paraId="660FC73E" w14:textId="77777777" w:rsidR="00A15702" w:rsidRPr="00A15702" w:rsidRDefault="00A15702" w:rsidP="00A15702">
            <w:pPr>
              <w:spacing w:after="0" w:line="240" w:lineRule="auto"/>
              <w:jc w:val="center"/>
              <w:rPr>
                <w:rFonts w:ascii="Arial" w:eastAsia="Times New Roman" w:hAnsi="Arial" w:cs="Arial"/>
                <w:b/>
                <w:bCs/>
                <w:color w:val="000000"/>
                <w:kern w:val="0"/>
                <w:sz w:val="18"/>
                <w:szCs w:val="18"/>
                <w:lang w:eastAsia="pt-BR"/>
                <w14:ligatures w14:val="none"/>
              </w:rPr>
            </w:pPr>
            <w:r w:rsidRPr="00A15702">
              <w:rPr>
                <w:rFonts w:ascii="Arial" w:eastAsia="Times New Roman" w:hAnsi="Arial" w:cs="Arial"/>
                <w:b/>
                <w:bCs/>
                <w:color w:val="000000"/>
                <w:kern w:val="0"/>
                <w:sz w:val="18"/>
                <w:szCs w:val="18"/>
                <w14:ligatures w14:val="none"/>
              </w:rPr>
              <w:t>31/12/2023</w:t>
            </w:r>
          </w:p>
        </w:tc>
        <w:tc>
          <w:tcPr>
            <w:tcW w:w="836" w:type="pct"/>
            <w:tcBorders>
              <w:top w:val="single" w:sz="8" w:space="0" w:color="auto"/>
              <w:left w:val="nil"/>
              <w:bottom w:val="single" w:sz="8" w:space="0" w:color="auto"/>
              <w:right w:val="single" w:sz="8" w:space="0" w:color="auto"/>
            </w:tcBorders>
            <w:shd w:val="clear" w:color="auto" w:fill="auto"/>
            <w:vAlign w:val="center"/>
            <w:hideMark/>
          </w:tcPr>
          <w:p w14:paraId="065B7D27" w14:textId="77777777" w:rsidR="00A15702" w:rsidRPr="00A15702" w:rsidRDefault="00A15702" w:rsidP="00A15702">
            <w:pPr>
              <w:spacing w:after="0" w:line="240" w:lineRule="auto"/>
              <w:jc w:val="center"/>
              <w:rPr>
                <w:rFonts w:ascii="Arial" w:eastAsia="Times New Roman" w:hAnsi="Arial" w:cs="Arial"/>
                <w:b/>
                <w:bCs/>
                <w:color w:val="000000"/>
                <w:kern w:val="0"/>
                <w:sz w:val="18"/>
                <w:szCs w:val="18"/>
                <w:lang w:eastAsia="pt-BR"/>
                <w14:ligatures w14:val="none"/>
              </w:rPr>
            </w:pPr>
            <w:r w:rsidRPr="00A15702">
              <w:rPr>
                <w:rFonts w:ascii="Arial" w:eastAsia="Times New Roman" w:hAnsi="Arial" w:cs="Arial"/>
                <w:b/>
                <w:bCs/>
                <w:color w:val="000000"/>
                <w:kern w:val="0"/>
                <w:sz w:val="18"/>
                <w:szCs w:val="18"/>
                <w:lang w:eastAsia="pt-BR"/>
                <w14:ligatures w14:val="none"/>
              </w:rPr>
              <w:t>31/12/2022</w:t>
            </w:r>
          </w:p>
        </w:tc>
      </w:tr>
      <w:tr w:rsidR="00A15702" w:rsidRPr="00A15702" w14:paraId="2BC9BAA6" w14:textId="77777777" w:rsidTr="00446A14">
        <w:trPr>
          <w:trHeight w:val="238"/>
        </w:trPr>
        <w:tc>
          <w:tcPr>
            <w:tcW w:w="3387" w:type="pct"/>
            <w:tcBorders>
              <w:top w:val="nil"/>
              <w:left w:val="single" w:sz="8" w:space="0" w:color="auto"/>
              <w:bottom w:val="single" w:sz="8" w:space="0" w:color="auto"/>
              <w:right w:val="single" w:sz="8" w:space="0" w:color="auto"/>
            </w:tcBorders>
            <w:shd w:val="clear" w:color="auto" w:fill="auto"/>
            <w:vAlign w:val="center"/>
            <w:hideMark/>
          </w:tcPr>
          <w:p w14:paraId="7ED5C1C6" w14:textId="77777777" w:rsidR="00A15702" w:rsidRPr="00A15702" w:rsidRDefault="00A15702" w:rsidP="00A15702">
            <w:pPr>
              <w:spacing w:after="0" w:line="240" w:lineRule="auto"/>
              <w:jc w:val="both"/>
              <w:rPr>
                <w:rFonts w:ascii="Arial" w:eastAsia="Times New Roman" w:hAnsi="Arial" w:cs="Arial"/>
                <w:color w:val="000000"/>
                <w:kern w:val="0"/>
                <w:sz w:val="18"/>
                <w:szCs w:val="18"/>
                <w:lang w:eastAsia="pt-BR"/>
                <w14:ligatures w14:val="none"/>
              </w:rPr>
            </w:pPr>
            <w:r w:rsidRPr="00A15702">
              <w:rPr>
                <w:rFonts w:ascii="Arial" w:eastAsia="Times New Roman" w:hAnsi="Arial" w:cs="Arial"/>
                <w:color w:val="000000"/>
                <w:kern w:val="0"/>
                <w:sz w:val="18"/>
                <w:szCs w:val="18"/>
                <w:lang w:eastAsia="pt-BR"/>
                <w14:ligatures w14:val="none"/>
              </w:rPr>
              <w:t>Aplicações Financeiras</w:t>
            </w:r>
          </w:p>
        </w:tc>
        <w:tc>
          <w:tcPr>
            <w:tcW w:w="777" w:type="pct"/>
            <w:tcBorders>
              <w:top w:val="nil"/>
              <w:left w:val="nil"/>
              <w:bottom w:val="single" w:sz="8" w:space="0" w:color="auto"/>
              <w:right w:val="single" w:sz="8" w:space="0" w:color="auto"/>
            </w:tcBorders>
            <w:shd w:val="clear" w:color="auto" w:fill="auto"/>
            <w:vAlign w:val="center"/>
            <w:hideMark/>
          </w:tcPr>
          <w:p w14:paraId="6977B5CC" w14:textId="77777777" w:rsidR="00A15702" w:rsidRPr="00A15702" w:rsidRDefault="00A15702" w:rsidP="00A15702">
            <w:pPr>
              <w:spacing w:after="0" w:line="240" w:lineRule="auto"/>
              <w:jc w:val="right"/>
              <w:rPr>
                <w:rFonts w:ascii="Arial" w:eastAsia="Times New Roman" w:hAnsi="Arial" w:cs="Arial"/>
                <w:color w:val="000000"/>
                <w:kern w:val="0"/>
                <w:sz w:val="18"/>
                <w:szCs w:val="18"/>
                <w:lang w:eastAsia="pt-BR"/>
                <w14:ligatures w14:val="none"/>
              </w:rPr>
            </w:pPr>
            <w:r w:rsidRPr="00A15702">
              <w:rPr>
                <w:rFonts w:ascii="Arial" w:eastAsia="Times New Roman" w:hAnsi="Arial" w:cs="Arial"/>
                <w:color w:val="000000"/>
                <w:kern w:val="0"/>
                <w:sz w:val="18"/>
                <w:szCs w:val="18"/>
                <w:lang w:eastAsia="pt-BR"/>
                <w14:ligatures w14:val="none"/>
              </w:rPr>
              <w:t>352.802</w:t>
            </w:r>
          </w:p>
        </w:tc>
        <w:tc>
          <w:tcPr>
            <w:tcW w:w="836" w:type="pct"/>
            <w:tcBorders>
              <w:top w:val="nil"/>
              <w:left w:val="nil"/>
              <w:bottom w:val="single" w:sz="8" w:space="0" w:color="auto"/>
              <w:right w:val="single" w:sz="8" w:space="0" w:color="auto"/>
            </w:tcBorders>
            <w:shd w:val="clear" w:color="auto" w:fill="auto"/>
            <w:vAlign w:val="center"/>
            <w:hideMark/>
          </w:tcPr>
          <w:p w14:paraId="30865077" w14:textId="77777777" w:rsidR="00A15702" w:rsidRPr="00A15702" w:rsidRDefault="00A15702" w:rsidP="00A15702">
            <w:pPr>
              <w:spacing w:after="0" w:line="240" w:lineRule="auto"/>
              <w:jc w:val="right"/>
              <w:rPr>
                <w:rFonts w:ascii="Arial" w:eastAsia="Times New Roman" w:hAnsi="Arial" w:cs="Arial"/>
                <w:color w:val="000000"/>
                <w:kern w:val="0"/>
                <w:sz w:val="18"/>
                <w:szCs w:val="18"/>
                <w:lang w:eastAsia="pt-BR"/>
                <w14:ligatures w14:val="none"/>
              </w:rPr>
            </w:pPr>
            <w:r w:rsidRPr="00A15702">
              <w:rPr>
                <w:rFonts w:ascii="Arial" w:eastAsia="Times New Roman" w:hAnsi="Arial" w:cs="Arial"/>
                <w:color w:val="000000"/>
                <w:kern w:val="0"/>
                <w:sz w:val="18"/>
                <w:szCs w:val="18"/>
                <w:lang w:eastAsia="pt-BR"/>
                <w14:ligatures w14:val="none"/>
              </w:rPr>
              <w:t>285.346</w:t>
            </w:r>
          </w:p>
        </w:tc>
      </w:tr>
      <w:tr w:rsidR="00A15702" w:rsidRPr="00A15702" w14:paraId="201DA75E" w14:textId="77777777" w:rsidTr="00446A14">
        <w:trPr>
          <w:trHeight w:val="238"/>
        </w:trPr>
        <w:tc>
          <w:tcPr>
            <w:tcW w:w="3387" w:type="pct"/>
            <w:tcBorders>
              <w:top w:val="nil"/>
              <w:left w:val="single" w:sz="8" w:space="0" w:color="auto"/>
              <w:bottom w:val="single" w:sz="8" w:space="0" w:color="auto"/>
              <w:right w:val="single" w:sz="8" w:space="0" w:color="auto"/>
            </w:tcBorders>
            <w:shd w:val="clear" w:color="auto" w:fill="auto"/>
            <w:vAlign w:val="center"/>
            <w:hideMark/>
          </w:tcPr>
          <w:p w14:paraId="750A4ED7" w14:textId="77777777" w:rsidR="00A15702" w:rsidRPr="00A15702" w:rsidRDefault="00A15702" w:rsidP="00A15702">
            <w:pPr>
              <w:spacing w:after="0" w:line="240" w:lineRule="auto"/>
              <w:rPr>
                <w:rFonts w:ascii="Arial" w:eastAsia="Times New Roman" w:hAnsi="Arial" w:cs="Arial"/>
                <w:color w:val="000000"/>
                <w:kern w:val="0"/>
                <w:sz w:val="18"/>
                <w:szCs w:val="18"/>
                <w:lang w:eastAsia="pt-BR"/>
                <w14:ligatures w14:val="none"/>
              </w:rPr>
            </w:pPr>
            <w:r w:rsidRPr="00A15702">
              <w:rPr>
                <w:rFonts w:ascii="Arial" w:eastAsia="Times New Roman" w:hAnsi="Arial" w:cs="Arial"/>
                <w:color w:val="000000"/>
                <w:kern w:val="0"/>
                <w:sz w:val="18"/>
                <w:szCs w:val="18"/>
                <w:lang w:eastAsia="pt-BR"/>
                <w14:ligatures w14:val="none"/>
              </w:rPr>
              <w:t>Limite de Saque com Vinculação de Pagamentos</w:t>
            </w:r>
          </w:p>
        </w:tc>
        <w:tc>
          <w:tcPr>
            <w:tcW w:w="777" w:type="pct"/>
            <w:tcBorders>
              <w:top w:val="nil"/>
              <w:left w:val="nil"/>
              <w:bottom w:val="single" w:sz="8" w:space="0" w:color="auto"/>
              <w:right w:val="single" w:sz="8" w:space="0" w:color="auto"/>
            </w:tcBorders>
            <w:shd w:val="clear" w:color="auto" w:fill="auto"/>
            <w:vAlign w:val="center"/>
            <w:hideMark/>
          </w:tcPr>
          <w:p w14:paraId="277F7476" w14:textId="77777777" w:rsidR="00A15702" w:rsidRPr="00A15702" w:rsidRDefault="00A15702" w:rsidP="00A15702">
            <w:pPr>
              <w:spacing w:after="0" w:line="240" w:lineRule="auto"/>
              <w:jc w:val="right"/>
              <w:rPr>
                <w:rFonts w:ascii="Arial" w:eastAsia="Times New Roman" w:hAnsi="Arial" w:cs="Arial"/>
                <w:color w:val="000000"/>
                <w:kern w:val="0"/>
                <w:sz w:val="18"/>
                <w:szCs w:val="18"/>
                <w:lang w:eastAsia="pt-BR"/>
                <w14:ligatures w14:val="none"/>
              </w:rPr>
            </w:pPr>
            <w:r w:rsidRPr="00A15702">
              <w:rPr>
                <w:rFonts w:ascii="Arial" w:eastAsia="Times New Roman" w:hAnsi="Arial" w:cs="Arial"/>
                <w:color w:val="000000"/>
                <w:kern w:val="0"/>
                <w:sz w:val="18"/>
                <w:szCs w:val="18"/>
                <w:lang w:eastAsia="pt-BR"/>
                <w14:ligatures w14:val="none"/>
              </w:rPr>
              <w:t>27.005</w:t>
            </w:r>
          </w:p>
        </w:tc>
        <w:tc>
          <w:tcPr>
            <w:tcW w:w="836" w:type="pct"/>
            <w:tcBorders>
              <w:top w:val="nil"/>
              <w:left w:val="nil"/>
              <w:bottom w:val="single" w:sz="8" w:space="0" w:color="auto"/>
              <w:right w:val="single" w:sz="8" w:space="0" w:color="auto"/>
            </w:tcBorders>
            <w:shd w:val="clear" w:color="auto" w:fill="auto"/>
            <w:vAlign w:val="center"/>
            <w:hideMark/>
          </w:tcPr>
          <w:p w14:paraId="5FA38B23" w14:textId="77777777" w:rsidR="00A15702" w:rsidRPr="00A15702" w:rsidRDefault="00A15702" w:rsidP="00A15702">
            <w:pPr>
              <w:spacing w:after="0" w:line="240" w:lineRule="auto"/>
              <w:jc w:val="right"/>
              <w:rPr>
                <w:rFonts w:ascii="Arial" w:eastAsia="Times New Roman" w:hAnsi="Arial" w:cs="Arial"/>
                <w:color w:val="000000"/>
                <w:kern w:val="0"/>
                <w:sz w:val="18"/>
                <w:szCs w:val="18"/>
                <w:lang w:eastAsia="pt-BR"/>
                <w14:ligatures w14:val="none"/>
              </w:rPr>
            </w:pPr>
            <w:r w:rsidRPr="00A15702">
              <w:rPr>
                <w:rFonts w:ascii="Arial" w:eastAsia="Times New Roman" w:hAnsi="Arial" w:cs="Arial"/>
                <w:color w:val="000000"/>
                <w:kern w:val="0"/>
                <w:sz w:val="18"/>
                <w:szCs w:val="18"/>
                <w:lang w:eastAsia="pt-BR"/>
                <w14:ligatures w14:val="none"/>
              </w:rPr>
              <w:t>66.930</w:t>
            </w:r>
          </w:p>
        </w:tc>
      </w:tr>
      <w:tr w:rsidR="00A15702" w:rsidRPr="00A15702" w14:paraId="3FC8AE7C" w14:textId="77777777" w:rsidTr="00446A14">
        <w:trPr>
          <w:trHeight w:val="238"/>
        </w:trPr>
        <w:tc>
          <w:tcPr>
            <w:tcW w:w="3387" w:type="pct"/>
            <w:tcBorders>
              <w:top w:val="nil"/>
              <w:left w:val="single" w:sz="8" w:space="0" w:color="auto"/>
              <w:bottom w:val="single" w:sz="8" w:space="0" w:color="auto"/>
              <w:right w:val="single" w:sz="8" w:space="0" w:color="auto"/>
            </w:tcBorders>
            <w:shd w:val="clear" w:color="auto" w:fill="auto"/>
            <w:vAlign w:val="center"/>
            <w:hideMark/>
          </w:tcPr>
          <w:p w14:paraId="2CAA78F9" w14:textId="77777777" w:rsidR="00A15702" w:rsidRPr="00A15702" w:rsidRDefault="00A15702" w:rsidP="00A15702">
            <w:pPr>
              <w:spacing w:after="0" w:line="240" w:lineRule="auto"/>
              <w:jc w:val="both"/>
              <w:rPr>
                <w:rFonts w:ascii="Arial" w:eastAsia="Times New Roman" w:hAnsi="Arial" w:cs="Arial"/>
                <w:color w:val="000000"/>
                <w:kern w:val="0"/>
                <w:sz w:val="18"/>
                <w:szCs w:val="18"/>
                <w:lang w:eastAsia="pt-BR"/>
                <w14:ligatures w14:val="none"/>
              </w:rPr>
            </w:pPr>
            <w:r w:rsidRPr="00A15702">
              <w:rPr>
                <w:rFonts w:ascii="Arial" w:eastAsia="Times New Roman" w:hAnsi="Arial" w:cs="Arial"/>
                <w:color w:val="000000"/>
                <w:kern w:val="0"/>
                <w:sz w:val="18"/>
                <w:szCs w:val="18"/>
                <w:lang w:eastAsia="pt-BR"/>
                <w14:ligatures w14:val="none"/>
              </w:rPr>
              <w:t>Caixa e Banco Conta Movimento</w:t>
            </w:r>
          </w:p>
        </w:tc>
        <w:tc>
          <w:tcPr>
            <w:tcW w:w="777" w:type="pct"/>
            <w:tcBorders>
              <w:top w:val="nil"/>
              <w:left w:val="nil"/>
              <w:bottom w:val="single" w:sz="8" w:space="0" w:color="auto"/>
              <w:right w:val="single" w:sz="8" w:space="0" w:color="auto"/>
            </w:tcBorders>
            <w:shd w:val="clear" w:color="auto" w:fill="auto"/>
            <w:vAlign w:val="center"/>
            <w:hideMark/>
          </w:tcPr>
          <w:p w14:paraId="22EFA84C" w14:textId="77777777" w:rsidR="00A15702" w:rsidRPr="00A15702" w:rsidRDefault="00A15702" w:rsidP="00A15702">
            <w:pPr>
              <w:spacing w:after="0" w:line="240" w:lineRule="auto"/>
              <w:jc w:val="right"/>
              <w:rPr>
                <w:rFonts w:ascii="Arial" w:eastAsia="Times New Roman" w:hAnsi="Arial" w:cs="Arial"/>
                <w:color w:val="000000"/>
                <w:kern w:val="0"/>
                <w:sz w:val="18"/>
                <w:szCs w:val="18"/>
                <w:lang w:eastAsia="pt-BR"/>
                <w14:ligatures w14:val="none"/>
              </w:rPr>
            </w:pPr>
            <w:r w:rsidRPr="00A15702">
              <w:rPr>
                <w:rFonts w:ascii="Arial" w:eastAsia="Times New Roman" w:hAnsi="Arial" w:cs="Arial"/>
                <w:color w:val="000000"/>
                <w:kern w:val="0"/>
                <w:sz w:val="18"/>
                <w:szCs w:val="18"/>
                <w:lang w:eastAsia="pt-BR"/>
                <w14:ligatures w14:val="none"/>
              </w:rPr>
              <w:t>905</w:t>
            </w:r>
          </w:p>
        </w:tc>
        <w:tc>
          <w:tcPr>
            <w:tcW w:w="836" w:type="pct"/>
            <w:tcBorders>
              <w:top w:val="nil"/>
              <w:left w:val="nil"/>
              <w:bottom w:val="single" w:sz="8" w:space="0" w:color="auto"/>
              <w:right w:val="single" w:sz="8" w:space="0" w:color="auto"/>
            </w:tcBorders>
            <w:shd w:val="clear" w:color="auto" w:fill="auto"/>
            <w:vAlign w:val="center"/>
            <w:hideMark/>
          </w:tcPr>
          <w:p w14:paraId="5F183C28" w14:textId="77777777" w:rsidR="00A15702" w:rsidRPr="00A15702" w:rsidRDefault="00A15702" w:rsidP="00A15702">
            <w:pPr>
              <w:spacing w:after="0" w:line="240" w:lineRule="auto"/>
              <w:jc w:val="right"/>
              <w:rPr>
                <w:rFonts w:ascii="Arial" w:eastAsia="Times New Roman" w:hAnsi="Arial" w:cs="Arial"/>
                <w:color w:val="000000"/>
                <w:kern w:val="0"/>
                <w:sz w:val="18"/>
                <w:szCs w:val="18"/>
                <w:lang w:eastAsia="pt-BR"/>
                <w14:ligatures w14:val="none"/>
              </w:rPr>
            </w:pPr>
            <w:r w:rsidRPr="00A15702">
              <w:rPr>
                <w:rFonts w:ascii="Arial" w:eastAsia="Times New Roman" w:hAnsi="Arial" w:cs="Arial"/>
                <w:color w:val="000000"/>
                <w:kern w:val="0"/>
                <w:sz w:val="18"/>
                <w:szCs w:val="18"/>
                <w:lang w:eastAsia="pt-BR"/>
                <w14:ligatures w14:val="none"/>
              </w:rPr>
              <w:t>335</w:t>
            </w:r>
          </w:p>
        </w:tc>
      </w:tr>
      <w:tr w:rsidR="00A15702" w:rsidRPr="00A15702" w14:paraId="0F764C13" w14:textId="77777777" w:rsidTr="00446A14">
        <w:trPr>
          <w:trHeight w:val="238"/>
        </w:trPr>
        <w:tc>
          <w:tcPr>
            <w:tcW w:w="3387" w:type="pct"/>
            <w:tcBorders>
              <w:top w:val="nil"/>
              <w:left w:val="single" w:sz="8" w:space="0" w:color="auto"/>
              <w:bottom w:val="single" w:sz="8" w:space="0" w:color="auto"/>
              <w:right w:val="single" w:sz="8" w:space="0" w:color="auto"/>
            </w:tcBorders>
            <w:shd w:val="clear" w:color="auto" w:fill="auto"/>
            <w:vAlign w:val="center"/>
            <w:hideMark/>
          </w:tcPr>
          <w:p w14:paraId="10DAB0BA" w14:textId="77777777" w:rsidR="00A15702" w:rsidRPr="00A15702" w:rsidRDefault="00A15702" w:rsidP="00A15702">
            <w:pPr>
              <w:spacing w:after="0" w:line="240" w:lineRule="auto"/>
              <w:rPr>
                <w:rFonts w:ascii="Arial" w:eastAsia="Times New Roman" w:hAnsi="Arial" w:cs="Arial"/>
                <w:b/>
                <w:bCs/>
                <w:color w:val="000000"/>
                <w:kern w:val="0"/>
                <w:sz w:val="18"/>
                <w:szCs w:val="18"/>
                <w:lang w:eastAsia="pt-BR"/>
                <w14:ligatures w14:val="none"/>
              </w:rPr>
            </w:pPr>
            <w:r w:rsidRPr="00A15702">
              <w:rPr>
                <w:rFonts w:ascii="Arial" w:eastAsia="Times New Roman" w:hAnsi="Arial" w:cs="Arial"/>
                <w:b/>
                <w:bCs/>
                <w:color w:val="000000"/>
                <w:kern w:val="0"/>
                <w:sz w:val="18"/>
                <w:szCs w:val="18"/>
                <w:lang w:eastAsia="pt-BR"/>
                <w14:ligatures w14:val="none"/>
              </w:rPr>
              <w:t>Total</w:t>
            </w:r>
          </w:p>
        </w:tc>
        <w:tc>
          <w:tcPr>
            <w:tcW w:w="777" w:type="pct"/>
            <w:tcBorders>
              <w:top w:val="nil"/>
              <w:left w:val="nil"/>
              <w:bottom w:val="single" w:sz="8" w:space="0" w:color="auto"/>
              <w:right w:val="single" w:sz="8" w:space="0" w:color="auto"/>
            </w:tcBorders>
            <w:shd w:val="clear" w:color="auto" w:fill="auto"/>
            <w:vAlign w:val="center"/>
            <w:hideMark/>
          </w:tcPr>
          <w:p w14:paraId="30BA95B4" w14:textId="77777777" w:rsidR="00A15702" w:rsidRPr="00A15702" w:rsidRDefault="00A15702" w:rsidP="00A15702">
            <w:pPr>
              <w:spacing w:after="0" w:line="240" w:lineRule="auto"/>
              <w:jc w:val="right"/>
              <w:rPr>
                <w:rFonts w:ascii="Arial" w:eastAsia="Times New Roman" w:hAnsi="Arial" w:cs="Arial"/>
                <w:b/>
                <w:bCs/>
                <w:color w:val="000000"/>
                <w:kern w:val="0"/>
                <w:sz w:val="18"/>
                <w:szCs w:val="18"/>
                <w:lang w:eastAsia="pt-BR"/>
                <w14:ligatures w14:val="none"/>
              </w:rPr>
            </w:pPr>
            <w:r w:rsidRPr="00A15702">
              <w:rPr>
                <w:rFonts w:ascii="Arial" w:eastAsia="Times New Roman" w:hAnsi="Arial" w:cs="Arial"/>
                <w:b/>
                <w:bCs/>
                <w:color w:val="000000"/>
                <w:kern w:val="0"/>
                <w:sz w:val="18"/>
                <w:szCs w:val="18"/>
                <w:lang w:eastAsia="pt-BR"/>
                <w14:ligatures w14:val="none"/>
              </w:rPr>
              <w:t>380.712</w:t>
            </w:r>
          </w:p>
        </w:tc>
        <w:tc>
          <w:tcPr>
            <w:tcW w:w="836" w:type="pct"/>
            <w:tcBorders>
              <w:top w:val="nil"/>
              <w:left w:val="nil"/>
              <w:bottom w:val="single" w:sz="8" w:space="0" w:color="auto"/>
              <w:right w:val="single" w:sz="8" w:space="0" w:color="auto"/>
            </w:tcBorders>
            <w:shd w:val="clear" w:color="auto" w:fill="auto"/>
            <w:vAlign w:val="center"/>
            <w:hideMark/>
          </w:tcPr>
          <w:p w14:paraId="010DF4D5" w14:textId="77777777" w:rsidR="00A15702" w:rsidRPr="00A15702" w:rsidRDefault="00A15702" w:rsidP="00A15702">
            <w:pPr>
              <w:spacing w:after="0" w:line="240" w:lineRule="auto"/>
              <w:jc w:val="right"/>
              <w:rPr>
                <w:rFonts w:ascii="Arial" w:eastAsia="Times New Roman" w:hAnsi="Arial" w:cs="Arial"/>
                <w:b/>
                <w:bCs/>
                <w:color w:val="000000"/>
                <w:kern w:val="0"/>
                <w:sz w:val="18"/>
                <w:szCs w:val="18"/>
                <w:lang w:eastAsia="pt-BR"/>
                <w14:ligatures w14:val="none"/>
              </w:rPr>
            </w:pPr>
            <w:r w:rsidRPr="00A15702">
              <w:rPr>
                <w:rFonts w:ascii="Arial" w:eastAsia="Times New Roman" w:hAnsi="Arial" w:cs="Arial"/>
                <w:b/>
                <w:bCs/>
                <w:color w:val="000000"/>
                <w:kern w:val="0"/>
                <w:sz w:val="18"/>
                <w:szCs w:val="18"/>
                <w:lang w:eastAsia="pt-BR"/>
                <w14:ligatures w14:val="none"/>
              </w:rPr>
              <w:t>352.611</w:t>
            </w:r>
          </w:p>
        </w:tc>
      </w:tr>
    </w:tbl>
    <w:p w14:paraId="52908D7B" w14:textId="6F11C2AC" w:rsidR="00A15702" w:rsidRPr="00A15702" w:rsidRDefault="00A15702" w:rsidP="007A23F8">
      <w:pPr>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5.1. </w:t>
      </w:r>
      <w:r w:rsidRPr="00A15702">
        <w:rPr>
          <w:rFonts w:ascii="Calibri" w:eastAsia="Times New Roman" w:hAnsi="Calibri" w:cs="Calibri"/>
          <w:b/>
          <w:bCs/>
          <w:iCs/>
          <w:color w:val="002060"/>
          <w:kern w:val="0"/>
          <w14:ligatures w14:val="none"/>
        </w:rPr>
        <w:t>Limite de saque com vinculação de pagamentos</w:t>
      </w:r>
    </w:p>
    <w:p w14:paraId="59FC3562" w14:textId="77777777" w:rsidR="00A15702" w:rsidRPr="00A15702" w:rsidRDefault="00A15702" w:rsidP="007A23F8">
      <w:pPr>
        <w:spacing w:after="0" w:line="240" w:lineRule="auto"/>
        <w:jc w:val="both"/>
        <w:rPr>
          <w:rFonts w:ascii="Calibri" w:eastAsia="Times New Roman" w:hAnsi="Calibri" w:cs="Calibri"/>
          <w:iCs/>
          <w:color w:val="002060"/>
          <w:kern w:val="0"/>
          <w14:ligatures w14:val="none"/>
        </w:rPr>
      </w:pPr>
      <w:r w:rsidRPr="00A15702">
        <w:rPr>
          <w:rFonts w:ascii="Calibri" w:eastAsia="Times New Roman" w:hAnsi="Calibri" w:cs="Calibri"/>
          <w:iCs/>
          <w:color w:val="002060"/>
          <w:kern w:val="0"/>
          <w14:ligatures w14:val="none"/>
        </w:rPr>
        <w:t>Nesta conta é registrado o valor do limite de saque da Conta Única do Tesouro Nacional, estabelecido pelo órgão central de programação financeira (</w:t>
      </w:r>
      <w:proofErr w:type="spellStart"/>
      <w:r w:rsidRPr="00A15702">
        <w:rPr>
          <w:rFonts w:ascii="Calibri" w:eastAsia="Times New Roman" w:hAnsi="Calibri" w:cs="Calibri"/>
          <w:iCs/>
          <w:color w:val="002060"/>
          <w:kern w:val="0"/>
          <w14:ligatures w14:val="none"/>
        </w:rPr>
        <w:t>Cofin</w:t>
      </w:r>
      <w:proofErr w:type="spellEnd"/>
      <w:r w:rsidRPr="00A15702">
        <w:rPr>
          <w:rFonts w:ascii="Calibri" w:eastAsia="Times New Roman" w:hAnsi="Calibri" w:cs="Calibri"/>
          <w:iCs/>
          <w:color w:val="002060"/>
          <w:kern w:val="0"/>
          <w14:ligatures w14:val="none"/>
        </w:rPr>
        <w:t xml:space="preserve">) da Secretaria do Tesouro Nacional (STN), para atender às despesas com vinculações de pagamentos, sendo então divididas nas seguintes categorias: Categoria de Gasto com Pessoal e Encargos Sociais, Categoria de Gasto com Custeio/Investimento e Categoria de Gasto com Investimentos (Obras). </w:t>
      </w:r>
    </w:p>
    <w:p w14:paraId="71D4491D" w14:textId="77777777" w:rsidR="00A15702" w:rsidRPr="00A15702" w:rsidRDefault="00A15702" w:rsidP="007A23F8">
      <w:pPr>
        <w:spacing w:after="0" w:line="240" w:lineRule="auto"/>
        <w:jc w:val="both"/>
        <w:rPr>
          <w:rFonts w:ascii="Calibri" w:eastAsia="Times New Roman" w:hAnsi="Calibri" w:cs="Calibri"/>
          <w:iCs/>
          <w:color w:val="002060"/>
          <w:kern w:val="0"/>
          <w14:ligatures w14:val="none"/>
        </w:rPr>
      </w:pPr>
      <w:r w:rsidRPr="00A15702">
        <w:rPr>
          <w:rFonts w:ascii="Calibri" w:eastAsia="Times New Roman" w:hAnsi="Calibri" w:cs="Calibri"/>
          <w:iCs/>
          <w:color w:val="002060"/>
          <w:kern w:val="0"/>
          <w14:ligatures w14:val="none"/>
        </w:rPr>
        <w:t xml:space="preserve">A função da conta Limite de Saque com Vinculação de Pagamento é registrar o valor do limite de saque da Conta Única da União, estabelecido pelo Órgão Central de Programação Financeira para atender às despesas com vinculação de pagamentos que foram processadas e liquidadas, conforme processamento no Sistema Integrado de Administração Financeira do Governo Federal (Siafi). </w:t>
      </w:r>
    </w:p>
    <w:p w14:paraId="127A8008" w14:textId="77777777" w:rsidR="00A15702" w:rsidRPr="00A15702" w:rsidRDefault="00A15702" w:rsidP="007A23F8">
      <w:pPr>
        <w:spacing w:after="0" w:line="240" w:lineRule="auto"/>
        <w:jc w:val="both"/>
        <w:rPr>
          <w:rFonts w:ascii="Calibri" w:eastAsia="Times New Roman" w:hAnsi="Calibri" w:cs="Calibri"/>
          <w:iCs/>
          <w:color w:val="002060"/>
          <w:kern w:val="0"/>
          <w14:ligatures w14:val="none"/>
        </w:rPr>
      </w:pPr>
      <w:r w:rsidRPr="00A15702">
        <w:rPr>
          <w:rFonts w:ascii="Calibri" w:eastAsia="Times New Roman" w:hAnsi="Calibri" w:cs="Calibri"/>
          <w:iCs/>
          <w:color w:val="002060"/>
          <w:kern w:val="0"/>
          <w14:ligatures w14:val="none"/>
        </w:rPr>
        <w:lastRenderedPageBreak/>
        <w:t>A utilização desta conta pela Telebras surgiu devido à condição de a Companhia ter se tornado uma Empresa Estatal Dependente, conforme divulgado na Nota Explicativa 1.2.</w:t>
      </w:r>
    </w:p>
    <w:p w14:paraId="295341AF" w14:textId="77777777" w:rsidR="00A15702" w:rsidRDefault="00A15702" w:rsidP="007A23F8">
      <w:pPr>
        <w:spacing w:after="0" w:line="240" w:lineRule="auto"/>
        <w:jc w:val="both"/>
        <w:rPr>
          <w:rFonts w:ascii="Calibri" w:eastAsia="Times New Roman" w:hAnsi="Calibri" w:cs="Calibri"/>
          <w:b/>
          <w:bCs/>
          <w:iCs/>
          <w:color w:val="002060"/>
          <w:kern w:val="0"/>
          <w14:ligatures w14:val="none"/>
        </w:rPr>
      </w:pPr>
      <w:r w:rsidRPr="00A15702">
        <w:rPr>
          <w:rFonts w:ascii="Calibri" w:eastAsia="Times New Roman" w:hAnsi="Calibri" w:cs="Calibri"/>
          <w:b/>
          <w:bCs/>
          <w:iCs/>
          <w:color w:val="002060"/>
          <w:kern w:val="0"/>
          <w14:ligatures w14:val="none"/>
        </w:rPr>
        <w:t>5.2. Aplicações financeiras</w:t>
      </w:r>
    </w:p>
    <w:p w14:paraId="4D7E99A3" w14:textId="16A3E9F6" w:rsidR="00A15702" w:rsidRPr="00A15702" w:rsidRDefault="00A15702" w:rsidP="007A23F8">
      <w:pPr>
        <w:spacing w:after="0" w:line="240" w:lineRule="auto"/>
        <w:jc w:val="both"/>
        <w:rPr>
          <w:rFonts w:ascii="Calibri" w:eastAsia="Times New Roman" w:hAnsi="Calibri" w:cs="Calibri"/>
          <w:b/>
          <w:bCs/>
          <w:iCs/>
          <w:color w:val="002060"/>
          <w:kern w:val="0"/>
          <w14:ligatures w14:val="none"/>
        </w:rPr>
      </w:pPr>
      <w:r w:rsidRPr="00A15702">
        <w:rPr>
          <w:rFonts w:ascii="Calibri" w:eastAsia="Times New Roman" w:hAnsi="Calibri" w:cs="Calibri"/>
          <w:iCs/>
          <w:color w:val="002060"/>
          <w:kern w:val="0"/>
          <w14:ligatures w14:val="none"/>
        </w:rPr>
        <w:t>A Companhia mantém seus recursos disponíveis aplicados em fundos de investimentos extramercado administrados pela Caixa Econômica Federal e pelo Banco do Brasil S.A, conforme determina a Resolução nº 3.284/2005 (alterada pela Resolução nº 4034/2011), do Banco Central do Brasil. A Resolução estabelece que as disponibilidades oriundas de receitas próprias das empresas públicas e das sociedades de economia mista integrantes da Administração Federal Indireta sejam aplicadas nestes fundos ou por instituição integrante do conglomerado financeiro por eles liderados, constituídos com observância do disposto nesta Resolução. Os recursos estão aplicados no Banco do Brasil, no fundo extramercado FAE FI RF e na Caixa Econômica Federal no fundo – CEF, Extra Comum.</w:t>
      </w:r>
    </w:p>
    <w:p w14:paraId="74A76BF7" w14:textId="77777777" w:rsidR="00A15702" w:rsidRPr="00A15702" w:rsidRDefault="00A15702" w:rsidP="007A23F8">
      <w:pPr>
        <w:spacing w:after="0" w:line="240" w:lineRule="auto"/>
        <w:jc w:val="both"/>
        <w:rPr>
          <w:rFonts w:ascii="Calibri" w:eastAsia="Times New Roman" w:hAnsi="Calibri" w:cs="Calibri"/>
          <w:iCs/>
          <w:color w:val="002060"/>
          <w:kern w:val="0"/>
          <w14:ligatures w14:val="none"/>
        </w:rPr>
      </w:pPr>
      <w:r w:rsidRPr="00A15702">
        <w:rPr>
          <w:rFonts w:ascii="Calibri" w:eastAsia="Times New Roman" w:hAnsi="Calibri" w:cs="Calibri"/>
          <w:iCs/>
          <w:color w:val="002060"/>
          <w:kern w:val="0"/>
          <w14:ligatures w14:val="none"/>
        </w:rPr>
        <w:t>Os fundos possuem prazo de resgate indeterminado, dependendo das necessidades da Companhia, e as remunerações são atreladas aos índices IMA-B e IRFM (extramercado).</w:t>
      </w:r>
    </w:p>
    <w:p w14:paraId="6CFB16B1" w14:textId="77777777" w:rsidR="00A15702" w:rsidRDefault="00A15702" w:rsidP="007A23F8">
      <w:pPr>
        <w:spacing w:after="0" w:line="240" w:lineRule="auto"/>
        <w:jc w:val="both"/>
        <w:rPr>
          <w:rFonts w:ascii="Calibri" w:eastAsia="Times New Roman" w:hAnsi="Calibri" w:cs="Calibri"/>
          <w:iCs/>
          <w:color w:val="002060"/>
          <w:kern w:val="0"/>
          <w14:ligatures w14:val="none"/>
        </w:rPr>
      </w:pPr>
      <w:r w:rsidRPr="00A15702">
        <w:rPr>
          <w:rFonts w:ascii="Calibri" w:eastAsia="Times New Roman" w:hAnsi="Calibri" w:cs="Calibri"/>
          <w:iCs/>
          <w:color w:val="002060"/>
          <w:kern w:val="0"/>
          <w14:ligatures w14:val="none"/>
        </w:rPr>
        <w:t>A remuneração média dos fundos nos últimos 12 (doze) meses foi de 13,0288% a.a.</w:t>
      </w:r>
    </w:p>
    <w:p w14:paraId="228FB2B0" w14:textId="1C3F40AE" w:rsidR="00A15702" w:rsidRPr="00A15702" w:rsidRDefault="00A15702" w:rsidP="007A23F8">
      <w:pPr>
        <w:spacing w:after="0" w:line="240" w:lineRule="auto"/>
        <w:jc w:val="both"/>
        <w:rPr>
          <w:rFonts w:ascii="Calibri" w:eastAsia="Times New Roman" w:hAnsi="Calibri" w:cs="Calibri"/>
          <w:b/>
          <w:bCs/>
          <w:iCs/>
          <w:color w:val="002060"/>
          <w:kern w:val="0"/>
          <w14:ligatures w14:val="none"/>
        </w:rPr>
      </w:pPr>
      <w:bookmarkStart w:id="387" w:name="_Toc491337708"/>
      <w:r w:rsidRPr="00A15702">
        <w:rPr>
          <w:rFonts w:ascii="Calibri" w:eastAsia="Times New Roman" w:hAnsi="Calibri" w:cs="Calibri"/>
          <w:b/>
          <w:bCs/>
          <w:iCs/>
          <w:color w:val="002060"/>
          <w:kern w:val="0"/>
          <w14:ligatures w14:val="none"/>
        </w:rPr>
        <w:t xml:space="preserve">6. CONTAS A RECEBER </w:t>
      </w:r>
      <w:bookmarkEnd w:id="387"/>
    </w:p>
    <w:tbl>
      <w:tblPr>
        <w:tblW w:w="5000" w:type="pct"/>
        <w:tblCellMar>
          <w:left w:w="70" w:type="dxa"/>
          <w:right w:w="70" w:type="dxa"/>
        </w:tblCellMar>
        <w:tblLook w:val="04A0" w:firstRow="1" w:lastRow="0" w:firstColumn="1" w:lastColumn="0" w:noHBand="0" w:noVBand="1"/>
      </w:tblPr>
      <w:tblGrid>
        <w:gridCol w:w="7281"/>
        <w:gridCol w:w="1240"/>
        <w:gridCol w:w="1240"/>
      </w:tblGrid>
      <w:tr w:rsidR="00A15702" w:rsidRPr="00A15702" w14:paraId="39A97F01" w14:textId="77777777" w:rsidTr="00446A14">
        <w:trPr>
          <w:trHeight w:val="238"/>
        </w:trPr>
        <w:tc>
          <w:tcPr>
            <w:tcW w:w="3730"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7DC6CF51" w14:textId="77777777" w:rsidR="00A15702" w:rsidRPr="00A15702" w:rsidRDefault="00A15702" w:rsidP="00A15702">
            <w:pPr>
              <w:spacing w:after="0" w:line="240" w:lineRule="auto"/>
              <w:rPr>
                <w:rFonts w:ascii="Arial" w:eastAsia="Times New Roman" w:hAnsi="Arial" w:cs="Arial"/>
                <w:b/>
                <w:bCs/>
                <w:color w:val="000000"/>
                <w:kern w:val="0"/>
                <w:sz w:val="18"/>
                <w:szCs w:val="18"/>
                <w:lang w:eastAsia="pt-BR"/>
                <w14:ligatures w14:val="none"/>
              </w:rPr>
            </w:pPr>
            <w:r w:rsidRPr="00A15702">
              <w:rPr>
                <w:rFonts w:ascii="Arial" w:eastAsia="Times New Roman" w:hAnsi="Arial" w:cs="Arial"/>
                <w:b/>
                <w:bCs/>
                <w:color w:val="000000"/>
                <w:kern w:val="0"/>
                <w:sz w:val="18"/>
                <w:szCs w:val="18"/>
                <w:lang w:eastAsia="pt-BR"/>
                <w14:ligatures w14:val="none"/>
              </w:rPr>
              <w:t>Composição:</w:t>
            </w:r>
          </w:p>
        </w:tc>
        <w:tc>
          <w:tcPr>
            <w:tcW w:w="635" w:type="pct"/>
            <w:tcBorders>
              <w:top w:val="single" w:sz="8" w:space="0" w:color="auto"/>
              <w:left w:val="nil"/>
              <w:bottom w:val="single" w:sz="8" w:space="0" w:color="auto"/>
              <w:right w:val="single" w:sz="8" w:space="0" w:color="auto"/>
            </w:tcBorders>
            <w:shd w:val="clear" w:color="auto" w:fill="auto"/>
            <w:vAlign w:val="center"/>
            <w:hideMark/>
          </w:tcPr>
          <w:p w14:paraId="4F0C5E45" w14:textId="77777777" w:rsidR="00A15702" w:rsidRPr="00A15702" w:rsidRDefault="00A15702" w:rsidP="00A15702">
            <w:pPr>
              <w:spacing w:after="0" w:line="240" w:lineRule="auto"/>
              <w:jc w:val="center"/>
              <w:rPr>
                <w:rFonts w:ascii="Arial" w:eastAsia="Times New Roman" w:hAnsi="Arial" w:cs="Arial"/>
                <w:b/>
                <w:bCs/>
                <w:color w:val="000000"/>
                <w:kern w:val="0"/>
                <w:sz w:val="18"/>
                <w:szCs w:val="18"/>
                <w:lang w:eastAsia="pt-BR"/>
                <w14:ligatures w14:val="none"/>
              </w:rPr>
            </w:pPr>
            <w:r w:rsidRPr="00A15702">
              <w:rPr>
                <w:rFonts w:ascii="Arial" w:eastAsia="Times New Roman" w:hAnsi="Arial" w:cs="Arial"/>
                <w:b/>
                <w:bCs/>
                <w:color w:val="000000"/>
                <w:kern w:val="0"/>
                <w:sz w:val="18"/>
                <w:szCs w:val="18"/>
                <w14:ligatures w14:val="none"/>
              </w:rPr>
              <w:t>31/12/2023</w:t>
            </w:r>
          </w:p>
        </w:tc>
        <w:tc>
          <w:tcPr>
            <w:tcW w:w="635" w:type="pct"/>
            <w:tcBorders>
              <w:top w:val="single" w:sz="8" w:space="0" w:color="auto"/>
              <w:left w:val="nil"/>
              <w:bottom w:val="single" w:sz="8" w:space="0" w:color="auto"/>
              <w:right w:val="single" w:sz="8" w:space="0" w:color="auto"/>
            </w:tcBorders>
            <w:shd w:val="clear" w:color="auto" w:fill="auto"/>
            <w:vAlign w:val="center"/>
            <w:hideMark/>
          </w:tcPr>
          <w:p w14:paraId="2889630C" w14:textId="77777777" w:rsidR="00A15702" w:rsidRPr="00A15702" w:rsidRDefault="00A15702" w:rsidP="00A15702">
            <w:pPr>
              <w:spacing w:after="0" w:line="240" w:lineRule="auto"/>
              <w:jc w:val="center"/>
              <w:rPr>
                <w:rFonts w:ascii="Arial" w:eastAsia="Times New Roman" w:hAnsi="Arial" w:cs="Arial"/>
                <w:b/>
                <w:bCs/>
                <w:color w:val="000000"/>
                <w:kern w:val="0"/>
                <w:sz w:val="18"/>
                <w:szCs w:val="18"/>
                <w:lang w:eastAsia="pt-BR"/>
                <w14:ligatures w14:val="none"/>
              </w:rPr>
            </w:pPr>
            <w:r w:rsidRPr="00A15702">
              <w:rPr>
                <w:rFonts w:ascii="Arial" w:eastAsia="Times New Roman" w:hAnsi="Arial" w:cs="Arial"/>
                <w:b/>
                <w:bCs/>
                <w:color w:val="000000"/>
                <w:kern w:val="0"/>
                <w:sz w:val="18"/>
                <w:szCs w:val="18"/>
                <w14:ligatures w14:val="none"/>
              </w:rPr>
              <w:t>31/12/2022</w:t>
            </w:r>
          </w:p>
        </w:tc>
      </w:tr>
      <w:tr w:rsidR="00A15702" w:rsidRPr="00A15702" w14:paraId="0ABA20A2" w14:textId="77777777" w:rsidTr="00446A14">
        <w:trPr>
          <w:trHeight w:val="238"/>
        </w:trPr>
        <w:tc>
          <w:tcPr>
            <w:tcW w:w="3730" w:type="pct"/>
            <w:tcBorders>
              <w:top w:val="nil"/>
              <w:left w:val="single" w:sz="8" w:space="0" w:color="auto"/>
              <w:bottom w:val="single" w:sz="8" w:space="0" w:color="auto"/>
              <w:right w:val="single" w:sz="8" w:space="0" w:color="auto"/>
            </w:tcBorders>
            <w:shd w:val="clear" w:color="auto" w:fill="auto"/>
            <w:vAlign w:val="center"/>
            <w:hideMark/>
          </w:tcPr>
          <w:p w14:paraId="367A1352" w14:textId="77777777" w:rsidR="00A15702" w:rsidRPr="00A15702" w:rsidRDefault="00A15702" w:rsidP="00A15702">
            <w:pPr>
              <w:spacing w:after="0" w:line="240" w:lineRule="auto"/>
              <w:rPr>
                <w:rFonts w:ascii="Arial" w:eastAsia="Times New Roman" w:hAnsi="Arial" w:cs="Arial"/>
                <w:color w:val="000000"/>
                <w:kern w:val="0"/>
                <w:sz w:val="18"/>
                <w:szCs w:val="18"/>
                <w:lang w:eastAsia="pt-BR"/>
                <w14:ligatures w14:val="none"/>
              </w:rPr>
            </w:pPr>
            <w:r w:rsidRPr="00A15702">
              <w:rPr>
                <w:rFonts w:ascii="Arial" w:eastAsia="Times New Roman" w:hAnsi="Arial" w:cs="Arial"/>
                <w:color w:val="000000"/>
                <w:kern w:val="0"/>
                <w:sz w:val="18"/>
                <w:szCs w:val="18"/>
                <w:lang w:eastAsia="pt-BR"/>
                <w14:ligatures w14:val="none"/>
              </w:rPr>
              <w:t>Serviço de Comunicação e Multimídia / Aluguéis e Locações e Outros</w:t>
            </w:r>
          </w:p>
        </w:tc>
        <w:tc>
          <w:tcPr>
            <w:tcW w:w="635" w:type="pct"/>
            <w:tcBorders>
              <w:top w:val="nil"/>
              <w:left w:val="nil"/>
              <w:bottom w:val="single" w:sz="8" w:space="0" w:color="auto"/>
              <w:right w:val="single" w:sz="8" w:space="0" w:color="auto"/>
            </w:tcBorders>
            <w:shd w:val="clear" w:color="auto" w:fill="auto"/>
            <w:vAlign w:val="center"/>
            <w:hideMark/>
          </w:tcPr>
          <w:p w14:paraId="0443EEFC" w14:textId="77777777" w:rsidR="00A15702" w:rsidRPr="00A15702" w:rsidRDefault="00A15702" w:rsidP="00A15702">
            <w:pPr>
              <w:spacing w:after="0" w:line="240" w:lineRule="auto"/>
              <w:jc w:val="right"/>
              <w:rPr>
                <w:rFonts w:ascii="Arial" w:eastAsia="Times New Roman" w:hAnsi="Arial" w:cs="Arial"/>
                <w:color w:val="000000"/>
                <w:kern w:val="0"/>
                <w:sz w:val="18"/>
                <w:szCs w:val="18"/>
                <w:lang w:eastAsia="pt-BR"/>
                <w14:ligatures w14:val="none"/>
              </w:rPr>
            </w:pPr>
            <w:r w:rsidRPr="00A15702">
              <w:rPr>
                <w:rFonts w:ascii="Arial" w:eastAsia="Times New Roman" w:hAnsi="Arial" w:cs="Arial"/>
                <w:color w:val="000000"/>
                <w:kern w:val="0"/>
                <w:sz w:val="18"/>
                <w:szCs w:val="18"/>
                <w:lang w:eastAsia="pt-BR"/>
                <w14:ligatures w14:val="none"/>
              </w:rPr>
              <w:t xml:space="preserve">     180.483 </w:t>
            </w:r>
          </w:p>
        </w:tc>
        <w:tc>
          <w:tcPr>
            <w:tcW w:w="635" w:type="pct"/>
            <w:tcBorders>
              <w:top w:val="nil"/>
              <w:left w:val="nil"/>
              <w:bottom w:val="single" w:sz="8" w:space="0" w:color="auto"/>
              <w:right w:val="single" w:sz="8" w:space="0" w:color="auto"/>
            </w:tcBorders>
            <w:shd w:val="clear" w:color="auto" w:fill="auto"/>
            <w:vAlign w:val="center"/>
            <w:hideMark/>
          </w:tcPr>
          <w:p w14:paraId="3D33E3E2" w14:textId="77777777" w:rsidR="00A15702" w:rsidRPr="00A15702" w:rsidRDefault="00A15702" w:rsidP="00A15702">
            <w:pPr>
              <w:spacing w:after="0" w:line="240" w:lineRule="auto"/>
              <w:jc w:val="right"/>
              <w:rPr>
                <w:rFonts w:ascii="Arial" w:eastAsia="Times New Roman" w:hAnsi="Arial" w:cs="Arial"/>
                <w:color w:val="000000"/>
                <w:kern w:val="0"/>
                <w:sz w:val="18"/>
                <w:szCs w:val="18"/>
                <w:lang w:eastAsia="pt-BR"/>
                <w14:ligatures w14:val="none"/>
              </w:rPr>
            </w:pPr>
            <w:r w:rsidRPr="00A15702">
              <w:rPr>
                <w:rFonts w:ascii="Arial" w:eastAsia="Times New Roman" w:hAnsi="Arial" w:cs="Arial"/>
                <w:color w:val="000000"/>
                <w:kern w:val="0"/>
                <w:sz w:val="18"/>
                <w:szCs w:val="18"/>
                <w:lang w:eastAsia="pt-BR"/>
                <w14:ligatures w14:val="none"/>
              </w:rPr>
              <w:t xml:space="preserve">    109.717 </w:t>
            </w:r>
          </w:p>
        </w:tc>
      </w:tr>
      <w:tr w:rsidR="00A15702" w:rsidRPr="00A15702" w14:paraId="47D6E8F9" w14:textId="77777777" w:rsidTr="00446A14">
        <w:trPr>
          <w:trHeight w:val="238"/>
        </w:trPr>
        <w:tc>
          <w:tcPr>
            <w:tcW w:w="3730" w:type="pct"/>
            <w:tcBorders>
              <w:top w:val="nil"/>
              <w:left w:val="single" w:sz="8" w:space="0" w:color="auto"/>
              <w:bottom w:val="single" w:sz="8" w:space="0" w:color="auto"/>
              <w:right w:val="single" w:sz="8" w:space="0" w:color="auto"/>
            </w:tcBorders>
            <w:shd w:val="clear" w:color="auto" w:fill="auto"/>
            <w:vAlign w:val="center"/>
            <w:hideMark/>
          </w:tcPr>
          <w:p w14:paraId="21829DED" w14:textId="77777777" w:rsidR="00A15702" w:rsidRPr="00A15702" w:rsidRDefault="00A15702" w:rsidP="00A15702">
            <w:pPr>
              <w:spacing w:after="0" w:line="240" w:lineRule="auto"/>
              <w:rPr>
                <w:rFonts w:ascii="Arial" w:eastAsia="Times New Roman" w:hAnsi="Arial" w:cs="Arial"/>
                <w:b/>
                <w:bCs/>
                <w:color w:val="000000"/>
                <w:kern w:val="0"/>
                <w:sz w:val="18"/>
                <w:szCs w:val="18"/>
                <w:lang w:eastAsia="pt-BR"/>
                <w14:ligatures w14:val="none"/>
              </w:rPr>
            </w:pPr>
            <w:r w:rsidRPr="00A15702">
              <w:rPr>
                <w:rFonts w:ascii="Arial" w:eastAsia="Times New Roman" w:hAnsi="Arial" w:cs="Arial"/>
                <w:b/>
                <w:bCs/>
                <w:color w:val="000000"/>
                <w:kern w:val="0"/>
                <w:sz w:val="18"/>
                <w:szCs w:val="18"/>
                <w:lang w:eastAsia="pt-BR"/>
                <w14:ligatures w14:val="none"/>
              </w:rPr>
              <w:t>Total a Receber Bruto</w:t>
            </w:r>
          </w:p>
        </w:tc>
        <w:tc>
          <w:tcPr>
            <w:tcW w:w="635" w:type="pct"/>
            <w:tcBorders>
              <w:top w:val="nil"/>
              <w:left w:val="nil"/>
              <w:bottom w:val="single" w:sz="8" w:space="0" w:color="auto"/>
              <w:right w:val="single" w:sz="8" w:space="0" w:color="auto"/>
            </w:tcBorders>
            <w:shd w:val="clear" w:color="auto" w:fill="auto"/>
            <w:vAlign w:val="center"/>
            <w:hideMark/>
          </w:tcPr>
          <w:p w14:paraId="2AF153FB" w14:textId="77777777" w:rsidR="00A15702" w:rsidRPr="00A15702" w:rsidRDefault="00A15702" w:rsidP="00A15702">
            <w:pPr>
              <w:spacing w:after="0" w:line="240" w:lineRule="auto"/>
              <w:jc w:val="right"/>
              <w:rPr>
                <w:rFonts w:ascii="Arial" w:eastAsia="Times New Roman" w:hAnsi="Arial" w:cs="Arial"/>
                <w:b/>
                <w:bCs/>
                <w:color w:val="000000"/>
                <w:kern w:val="0"/>
                <w:sz w:val="18"/>
                <w:szCs w:val="18"/>
                <w:lang w:eastAsia="pt-BR"/>
                <w14:ligatures w14:val="none"/>
              </w:rPr>
            </w:pPr>
            <w:r w:rsidRPr="00A15702">
              <w:rPr>
                <w:rFonts w:ascii="Arial" w:eastAsia="Times New Roman" w:hAnsi="Arial" w:cs="Arial"/>
                <w:b/>
                <w:bCs/>
                <w:color w:val="000000"/>
                <w:kern w:val="0"/>
                <w:sz w:val="18"/>
                <w:szCs w:val="18"/>
                <w:lang w:eastAsia="pt-BR"/>
                <w14:ligatures w14:val="none"/>
              </w:rPr>
              <w:t xml:space="preserve">     180.483 </w:t>
            </w:r>
          </w:p>
        </w:tc>
        <w:tc>
          <w:tcPr>
            <w:tcW w:w="635" w:type="pct"/>
            <w:tcBorders>
              <w:top w:val="nil"/>
              <w:left w:val="nil"/>
              <w:bottom w:val="single" w:sz="8" w:space="0" w:color="auto"/>
              <w:right w:val="single" w:sz="8" w:space="0" w:color="auto"/>
            </w:tcBorders>
            <w:shd w:val="clear" w:color="auto" w:fill="auto"/>
            <w:vAlign w:val="center"/>
            <w:hideMark/>
          </w:tcPr>
          <w:p w14:paraId="072F9795" w14:textId="77777777" w:rsidR="00A15702" w:rsidRPr="00A15702" w:rsidRDefault="00A15702" w:rsidP="00A15702">
            <w:pPr>
              <w:spacing w:after="0" w:line="240" w:lineRule="auto"/>
              <w:jc w:val="right"/>
              <w:rPr>
                <w:rFonts w:ascii="Arial" w:eastAsia="Times New Roman" w:hAnsi="Arial" w:cs="Arial"/>
                <w:b/>
                <w:bCs/>
                <w:color w:val="000000"/>
                <w:kern w:val="0"/>
                <w:sz w:val="18"/>
                <w:szCs w:val="18"/>
                <w:lang w:eastAsia="pt-BR"/>
                <w14:ligatures w14:val="none"/>
              </w:rPr>
            </w:pPr>
            <w:r w:rsidRPr="00A15702">
              <w:rPr>
                <w:rFonts w:ascii="Arial" w:eastAsia="Times New Roman" w:hAnsi="Arial" w:cs="Arial"/>
                <w:b/>
                <w:bCs/>
                <w:color w:val="000000"/>
                <w:kern w:val="0"/>
                <w:sz w:val="18"/>
                <w:szCs w:val="18"/>
                <w14:ligatures w14:val="none"/>
              </w:rPr>
              <w:t xml:space="preserve">    109.717 </w:t>
            </w:r>
          </w:p>
        </w:tc>
      </w:tr>
      <w:tr w:rsidR="00A15702" w:rsidRPr="00A15702" w14:paraId="18372E9C" w14:textId="77777777" w:rsidTr="00446A14">
        <w:trPr>
          <w:trHeight w:val="238"/>
        </w:trPr>
        <w:tc>
          <w:tcPr>
            <w:tcW w:w="3730" w:type="pct"/>
            <w:tcBorders>
              <w:top w:val="nil"/>
              <w:left w:val="single" w:sz="8" w:space="0" w:color="auto"/>
              <w:bottom w:val="single" w:sz="8" w:space="0" w:color="auto"/>
              <w:right w:val="single" w:sz="8" w:space="0" w:color="auto"/>
            </w:tcBorders>
            <w:shd w:val="clear" w:color="auto" w:fill="auto"/>
            <w:vAlign w:val="center"/>
            <w:hideMark/>
          </w:tcPr>
          <w:p w14:paraId="1AB47AFE" w14:textId="77777777" w:rsidR="00A15702" w:rsidRPr="00A15702" w:rsidRDefault="00A15702" w:rsidP="00A15702">
            <w:pPr>
              <w:spacing w:after="0" w:line="240" w:lineRule="auto"/>
              <w:rPr>
                <w:rFonts w:ascii="Arial" w:eastAsia="Times New Roman" w:hAnsi="Arial" w:cs="Arial"/>
                <w:color w:val="000000"/>
                <w:kern w:val="0"/>
                <w:sz w:val="18"/>
                <w:szCs w:val="18"/>
                <w:lang w:eastAsia="pt-BR"/>
                <w14:ligatures w14:val="none"/>
              </w:rPr>
            </w:pPr>
            <w:r w:rsidRPr="00A15702">
              <w:rPr>
                <w:rFonts w:ascii="Arial" w:eastAsia="Times New Roman" w:hAnsi="Arial" w:cs="Arial"/>
                <w:color w:val="000000"/>
                <w:kern w:val="0"/>
                <w:sz w:val="18"/>
                <w:szCs w:val="18"/>
                <w:lang w:eastAsia="pt-BR"/>
                <w14:ligatures w14:val="none"/>
              </w:rPr>
              <w:t>Perdas Estimadas com Créditos de Liquidação Duvidosa</w:t>
            </w:r>
          </w:p>
        </w:tc>
        <w:tc>
          <w:tcPr>
            <w:tcW w:w="635" w:type="pct"/>
            <w:tcBorders>
              <w:top w:val="nil"/>
              <w:left w:val="nil"/>
              <w:bottom w:val="single" w:sz="8" w:space="0" w:color="auto"/>
              <w:right w:val="single" w:sz="8" w:space="0" w:color="auto"/>
            </w:tcBorders>
            <w:shd w:val="clear" w:color="auto" w:fill="auto"/>
            <w:vAlign w:val="center"/>
            <w:hideMark/>
          </w:tcPr>
          <w:p w14:paraId="18DF1048" w14:textId="77777777" w:rsidR="00A15702" w:rsidRPr="00A15702" w:rsidRDefault="00A15702" w:rsidP="00A15702">
            <w:pPr>
              <w:spacing w:after="0" w:line="240" w:lineRule="auto"/>
              <w:jc w:val="right"/>
              <w:rPr>
                <w:rFonts w:ascii="Arial" w:eastAsia="Times New Roman" w:hAnsi="Arial" w:cs="Arial"/>
                <w:color w:val="000000"/>
                <w:kern w:val="0"/>
                <w:sz w:val="18"/>
                <w:szCs w:val="18"/>
                <w:lang w:eastAsia="pt-BR"/>
                <w14:ligatures w14:val="none"/>
              </w:rPr>
            </w:pPr>
            <w:r w:rsidRPr="00A15702">
              <w:rPr>
                <w:rFonts w:ascii="Arial" w:eastAsia="Times New Roman" w:hAnsi="Arial" w:cs="Arial"/>
                <w:color w:val="000000"/>
                <w:kern w:val="0"/>
                <w:sz w:val="18"/>
                <w:szCs w:val="18"/>
                <w:lang w:eastAsia="pt-BR"/>
                <w14:ligatures w14:val="none"/>
              </w:rPr>
              <w:t xml:space="preserve">        (3.598)</w:t>
            </w:r>
          </w:p>
        </w:tc>
        <w:tc>
          <w:tcPr>
            <w:tcW w:w="635" w:type="pct"/>
            <w:tcBorders>
              <w:top w:val="nil"/>
              <w:left w:val="nil"/>
              <w:bottom w:val="single" w:sz="8" w:space="0" w:color="auto"/>
              <w:right w:val="single" w:sz="8" w:space="0" w:color="auto"/>
            </w:tcBorders>
            <w:shd w:val="clear" w:color="auto" w:fill="auto"/>
            <w:vAlign w:val="center"/>
            <w:hideMark/>
          </w:tcPr>
          <w:p w14:paraId="408061DD" w14:textId="77777777" w:rsidR="00A15702" w:rsidRPr="00A15702" w:rsidRDefault="00A15702" w:rsidP="00A15702">
            <w:pPr>
              <w:spacing w:after="0" w:line="240" w:lineRule="auto"/>
              <w:jc w:val="right"/>
              <w:rPr>
                <w:rFonts w:ascii="Arial" w:eastAsia="Times New Roman" w:hAnsi="Arial" w:cs="Arial"/>
                <w:color w:val="000000"/>
                <w:kern w:val="0"/>
                <w:sz w:val="18"/>
                <w:szCs w:val="18"/>
                <w:lang w:eastAsia="pt-BR"/>
                <w14:ligatures w14:val="none"/>
              </w:rPr>
            </w:pPr>
            <w:r w:rsidRPr="00A15702">
              <w:rPr>
                <w:rFonts w:ascii="Arial" w:eastAsia="Times New Roman" w:hAnsi="Arial" w:cs="Arial"/>
                <w:color w:val="000000"/>
                <w:kern w:val="0"/>
                <w:sz w:val="18"/>
                <w:szCs w:val="18"/>
                <w:lang w:eastAsia="pt-BR"/>
                <w14:ligatures w14:val="none"/>
              </w:rPr>
              <w:t xml:space="preserve">       (3.848)</w:t>
            </w:r>
          </w:p>
        </w:tc>
      </w:tr>
      <w:tr w:rsidR="00A15702" w:rsidRPr="00A15702" w14:paraId="0F1D5CB9" w14:textId="77777777" w:rsidTr="00446A14">
        <w:trPr>
          <w:trHeight w:val="238"/>
        </w:trPr>
        <w:tc>
          <w:tcPr>
            <w:tcW w:w="3730" w:type="pct"/>
            <w:tcBorders>
              <w:top w:val="nil"/>
              <w:left w:val="single" w:sz="8" w:space="0" w:color="auto"/>
              <w:bottom w:val="single" w:sz="8" w:space="0" w:color="auto"/>
              <w:right w:val="single" w:sz="8" w:space="0" w:color="auto"/>
            </w:tcBorders>
            <w:shd w:val="clear" w:color="auto" w:fill="auto"/>
            <w:vAlign w:val="center"/>
            <w:hideMark/>
          </w:tcPr>
          <w:p w14:paraId="1803C98D" w14:textId="77777777" w:rsidR="00A15702" w:rsidRPr="00A15702" w:rsidRDefault="00A15702" w:rsidP="00A15702">
            <w:pPr>
              <w:spacing w:after="0" w:line="240" w:lineRule="auto"/>
              <w:rPr>
                <w:rFonts w:ascii="Arial" w:eastAsia="Times New Roman" w:hAnsi="Arial" w:cs="Arial"/>
                <w:b/>
                <w:bCs/>
                <w:color w:val="000000"/>
                <w:kern w:val="0"/>
                <w:sz w:val="18"/>
                <w:szCs w:val="18"/>
                <w:lang w:eastAsia="pt-BR"/>
                <w14:ligatures w14:val="none"/>
              </w:rPr>
            </w:pPr>
            <w:r w:rsidRPr="00A15702">
              <w:rPr>
                <w:rFonts w:ascii="Arial" w:eastAsia="Times New Roman" w:hAnsi="Arial" w:cs="Arial"/>
                <w:b/>
                <w:bCs/>
                <w:color w:val="000000"/>
                <w:kern w:val="0"/>
                <w:sz w:val="18"/>
                <w:szCs w:val="18"/>
                <w:lang w:eastAsia="pt-BR"/>
                <w14:ligatures w14:val="none"/>
              </w:rPr>
              <w:t>Total a Receber Líquido</w:t>
            </w:r>
          </w:p>
        </w:tc>
        <w:tc>
          <w:tcPr>
            <w:tcW w:w="635" w:type="pct"/>
            <w:tcBorders>
              <w:top w:val="nil"/>
              <w:left w:val="nil"/>
              <w:bottom w:val="single" w:sz="8" w:space="0" w:color="auto"/>
              <w:right w:val="single" w:sz="8" w:space="0" w:color="auto"/>
            </w:tcBorders>
            <w:shd w:val="clear" w:color="auto" w:fill="auto"/>
            <w:vAlign w:val="center"/>
            <w:hideMark/>
          </w:tcPr>
          <w:p w14:paraId="6457E682" w14:textId="77777777" w:rsidR="00A15702" w:rsidRPr="00A15702" w:rsidRDefault="00A15702" w:rsidP="00A15702">
            <w:pPr>
              <w:spacing w:after="0" w:line="240" w:lineRule="auto"/>
              <w:jc w:val="right"/>
              <w:rPr>
                <w:rFonts w:ascii="Arial" w:eastAsia="Times New Roman" w:hAnsi="Arial" w:cs="Arial"/>
                <w:b/>
                <w:bCs/>
                <w:color w:val="000000"/>
                <w:kern w:val="0"/>
                <w:sz w:val="18"/>
                <w:szCs w:val="18"/>
                <w:lang w:eastAsia="pt-BR"/>
                <w14:ligatures w14:val="none"/>
              </w:rPr>
            </w:pPr>
            <w:r w:rsidRPr="00A15702">
              <w:rPr>
                <w:rFonts w:ascii="Arial" w:eastAsia="Times New Roman" w:hAnsi="Arial" w:cs="Arial"/>
                <w:b/>
                <w:bCs/>
                <w:color w:val="000000"/>
                <w:kern w:val="0"/>
                <w:sz w:val="18"/>
                <w:szCs w:val="18"/>
                <w:lang w:eastAsia="pt-BR"/>
                <w14:ligatures w14:val="none"/>
              </w:rPr>
              <w:t xml:space="preserve">     176.885</w:t>
            </w:r>
          </w:p>
        </w:tc>
        <w:tc>
          <w:tcPr>
            <w:tcW w:w="635" w:type="pct"/>
            <w:tcBorders>
              <w:top w:val="nil"/>
              <w:left w:val="nil"/>
              <w:bottom w:val="single" w:sz="8" w:space="0" w:color="auto"/>
              <w:right w:val="single" w:sz="8" w:space="0" w:color="auto"/>
            </w:tcBorders>
            <w:shd w:val="clear" w:color="auto" w:fill="auto"/>
            <w:vAlign w:val="center"/>
            <w:hideMark/>
          </w:tcPr>
          <w:p w14:paraId="1B330396" w14:textId="77777777" w:rsidR="00A15702" w:rsidRPr="00A15702" w:rsidRDefault="00A15702" w:rsidP="00A15702">
            <w:pPr>
              <w:spacing w:after="0" w:line="240" w:lineRule="auto"/>
              <w:jc w:val="right"/>
              <w:rPr>
                <w:rFonts w:ascii="Arial" w:eastAsia="Times New Roman" w:hAnsi="Arial" w:cs="Arial"/>
                <w:b/>
                <w:bCs/>
                <w:color w:val="000000"/>
                <w:kern w:val="0"/>
                <w:sz w:val="18"/>
                <w:szCs w:val="18"/>
                <w:lang w:eastAsia="pt-BR"/>
                <w14:ligatures w14:val="none"/>
              </w:rPr>
            </w:pPr>
            <w:r w:rsidRPr="00A15702">
              <w:rPr>
                <w:rFonts w:ascii="Arial" w:eastAsia="Times New Roman" w:hAnsi="Arial" w:cs="Arial"/>
                <w:b/>
                <w:bCs/>
                <w:color w:val="000000"/>
                <w:kern w:val="0"/>
                <w:sz w:val="18"/>
                <w:szCs w:val="18"/>
                <w14:ligatures w14:val="none"/>
              </w:rPr>
              <w:t xml:space="preserve">    105.869 </w:t>
            </w:r>
          </w:p>
        </w:tc>
      </w:tr>
    </w:tbl>
    <w:p w14:paraId="747AE6C4" w14:textId="77777777" w:rsidR="00A15702" w:rsidRPr="00A15702" w:rsidRDefault="00A15702" w:rsidP="00A15702">
      <w:pPr>
        <w:spacing w:after="0" w:line="240" w:lineRule="auto"/>
        <w:rPr>
          <w:rFonts w:ascii="Times New Roman" w:eastAsia="Times New Roman" w:hAnsi="Times New Roman" w:cs="Times New Roman"/>
          <w:kern w:val="0"/>
          <w:sz w:val="24"/>
          <w:szCs w:val="24"/>
          <w:lang w:eastAsia="pt-BR"/>
          <w14:ligatures w14:val="none"/>
        </w:rPr>
      </w:pPr>
    </w:p>
    <w:p w14:paraId="29F3EAEF" w14:textId="00856282" w:rsidR="00A15702" w:rsidRPr="00A15702" w:rsidRDefault="00A15702" w:rsidP="00A15702">
      <w:pPr>
        <w:keepNext/>
        <w:spacing w:after="0" w:line="240" w:lineRule="auto"/>
        <w:jc w:val="both"/>
        <w:outlineLvl w:val="1"/>
        <w:rPr>
          <w:rFonts w:ascii="Calibri" w:eastAsia="Times New Roman" w:hAnsi="Calibri" w:cs="Calibri"/>
          <w:b/>
          <w:bCs/>
          <w:kern w:val="0"/>
          <w:lang w:eastAsia="pt-BR"/>
          <w14:ligatures w14:val="none"/>
        </w:rPr>
      </w:pPr>
      <w:bookmarkStart w:id="388" w:name="_Toc491337709"/>
      <w:r w:rsidRPr="00A15702">
        <w:rPr>
          <w:rFonts w:ascii="Calibri" w:eastAsia="Times New Roman" w:hAnsi="Calibri" w:cs="Calibri"/>
          <w:b/>
          <w:bCs/>
          <w:kern w:val="0"/>
          <w:lang w:eastAsia="pt-BR"/>
          <w14:ligatures w14:val="none"/>
        </w:rPr>
        <w:t>6.1. v</w:t>
      </w:r>
      <w:r w:rsidRPr="00A15702">
        <w:rPr>
          <w:rFonts w:ascii="Calibri" w:eastAsia="Times New Roman" w:hAnsi="Calibri" w:cs="Calibri"/>
          <w:b/>
          <w:bCs/>
          <w:iCs/>
          <w:color w:val="002060"/>
          <w:kern w:val="0"/>
          <w14:ligatures w14:val="none"/>
        </w:rPr>
        <w:t>alores a receber por idade de vencimento</w:t>
      </w:r>
      <w:bookmarkEnd w:id="388"/>
    </w:p>
    <w:p w14:paraId="35D89BB9" w14:textId="0598D4B0" w:rsidR="00A15702" w:rsidRPr="00A15702" w:rsidRDefault="00A15702" w:rsidP="00A15702">
      <w:pPr>
        <w:keepNext/>
        <w:spacing w:after="0" w:line="240" w:lineRule="auto"/>
        <w:jc w:val="both"/>
        <w:outlineLvl w:val="1"/>
        <w:rPr>
          <w:rFonts w:ascii="Calibri" w:eastAsia="Times New Roman" w:hAnsi="Calibri" w:cs="Calibri"/>
          <w:iCs/>
          <w:color w:val="002060"/>
          <w:kern w:val="0"/>
          <w14:ligatures w14:val="none"/>
        </w:rPr>
      </w:pPr>
      <w:r w:rsidRPr="00A15702">
        <w:rPr>
          <w:rFonts w:ascii="Calibri" w:eastAsia="Times New Roman" w:hAnsi="Calibri" w:cs="Calibri"/>
          <w:iCs/>
          <w:color w:val="002060"/>
          <w:kern w:val="0"/>
          <w14:ligatures w14:val="none"/>
        </w:rPr>
        <w:t>A composição das contas a receber por idade de vencimento é apresentada conforme quadro a seguir:</w:t>
      </w:r>
    </w:p>
    <w:tbl>
      <w:tblPr>
        <w:tblW w:w="5000" w:type="pct"/>
        <w:tblLayout w:type="fixed"/>
        <w:tblCellMar>
          <w:left w:w="70" w:type="dxa"/>
          <w:right w:w="70" w:type="dxa"/>
        </w:tblCellMar>
        <w:tblLook w:val="04A0" w:firstRow="1" w:lastRow="0" w:firstColumn="1" w:lastColumn="0" w:noHBand="0" w:noVBand="1"/>
      </w:tblPr>
      <w:tblGrid>
        <w:gridCol w:w="7503"/>
        <w:gridCol w:w="1134"/>
        <w:gridCol w:w="1124"/>
      </w:tblGrid>
      <w:tr w:rsidR="00A15702" w:rsidRPr="00A15702" w14:paraId="3659F4C9" w14:textId="77777777" w:rsidTr="00446A14">
        <w:trPr>
          <w:trHeight w:val="238"/>
          <w:tblHeader/>
        </w:trPr>
        <w:tc>
          <w:tcPr>
            <w:tcW w:w="3843"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51DAD5D5" w14:textId="77777777" w:rsidR="00A15702" w:rsidRPr="00A15702" w:rsidRDefault="00A15702" w:rsidP="00A15702">
            <w:pPr>
              <w:spacing w:after="0" w:line="240" w:lineRule="auto"/>
              <w:rPr>
                <w:rFonts w:ascii="Arial" w:eastAsia="Times New Roman" w:hAnsi="Arial" w:cs="Arial"/>
                <w:b/>
                <w:bCs/>
                <w:color w:val="000000"/>
                <w:kern w:val="0"/>
                <w:sz w:val="18"/>
                <w:szCs w:val="18"/>
                <w:lang w:eastAsia="pt-BR"/>
                <w14:ligatures w14:val="none"/>
              </w:rPr>
            </w:pPr>
            <w:r w:rsidRPr="00A15702">
              <w:rPr>
                <w:rFonts w:ascii="Arial" w:eastAsia="Times New Roman" w:hAnsi="Arial" w:cs="Arial"/>
                <w:b/>
                <w:bCs/>
                <w:color w:val="000000"/>
                <w:kern w:val="0"/>
                <w:sz w:val="18"/>
                <w:szCs w:val="18"/>
                <w:lang w:eastAsia="pt-BR"/>
                <w14:ligatures w14:val="none"/>
              </w:rPr>
              <w:t>Composição:</w:t>
            </w:r>
          </w:p>
        </w:tc>
        <w:tc>
          <w:tcPr>
            <w:tcW w:w="581" w:type="pct"/>
            <w:tcBorders>
              <w:top w:val="single" w:sz="8" w:space="0" w:color="auto"/>
              <w:left w:val="nil"/>
              <w:bottom w:val="single" w:sz="8" w:space="0" w:color="auto"/>
              <w:right w:val="single" w:sz="8" w:space="0" w:color="auto"/>
            </w:tcBorders>
            <w:shd w:val="clear" w:color="auto" w:fill="auto"/>
            <w:vAlign w:val="center"/>
            <w:hideMark/>
          </w:tcPr>
          <w:p w14:paraId="534A2D1C" w14:textId="77777777" w:rsidR="00A15702" w:rsidRPr="00A15702" w:rsidRDefault="00A15702" w:rsidP="00A15702">
            <w:pPr>
              <w:spacing w:after="0" w:line="240" w:lineRule="auto"/>
              <w:jc w:val="center"/>
              <w:rPr>
                <w:rFonts w:ascii="Arial" w:eastAsia="Times New Roman" w:hAnsi="Arial" w:cs="Arial"/>
                <w:b/>
                <w:bCs/>
                <w:color w:val="000000"/>
                <w:kern w:val="0"/>
                <w:sz w:val="18"/>
                <w:szCs w:val="18"/>
                <w:lang w:eastAsia="pt-BR"/>
                <w14:ligatures w14:val="none"/>
              </w:rPr>
            </w:pPr>
            <w:r w:rsidRPr="00A15702">
              <w:rPr>
                <w:rFonts w:ascii="Arial" w:eastAsia="Times New Roman" w:hAnsi="Arial" w:cs="Arial"/>
                <w:b/>
                <w:bCs/>
                <w:color w:val="000000"/>
                <w:kern w:val="0"/>
                <w:sz w:val="18"/>
                <w:szCs w:val="18"/>
                <w14:ligatures w14:val="none"/>
              </w:rPr>
              <w:t>31/12/2023</w:t>
            </w:r>
          </w:p>
        </w:tc>
        <w:tc>
          <w:tcPr>
            <w:tcW w:w="576" w:type="pct"/>
            <w:tcBorders>
              <w:top w:val="single" w:sz="8" w:space="0" w:color="auto"/>
              <w:left w:val="nil"/>
              <w:bottom w:val="single" w:sz="8" w:space="0" w:color="auto"/>
              <w:right w:val="single" w:sz="8" w:space="0" w:color="auto"/>
            </w:tcBorders>
            <w:shd w:val="clear" w:color="auto" w:fill="auto"/>
            <w:vAlign w:val="center"/>
            <w:hideMark/>
          </w:tcPr>
          <w:p w14:paraId="5FB1781E" w14:textId="77777777" w:rsidR="00A15702" w:rsidRPr="00A15702" w:rsidRDefault="00A15702" w:rsidP="00A15702">
            <w:pPr>
              <w:spacing w:after="0" w:line="240" w:lineRule="auto"/>
              <w:jc w:val="center"/>
              <w:rPr>
                <w:rFonts w:ascii="Arial" w:eastAsia="Times New Roman" w:hAnsi="Arial" w:cs="Arial"/>
                <w:b/>
                <w:bCs/>
                <w:color w:val="000000"/>
                <w:kern w:val="0"/>
                <w:sz w:val="18"/>
                <w:szCs w:val="18"/>
                <w:lang w:eastAsia="pt-BR"/>
                <w14:ligatures w14:val="none"/>
              </w:rPr>
            </w:pPr>
            <w:r w:rsidRPr="00A15702">
              <w:rPr>
                <w:rFonts w:ascii="Arial" w:eastAsia="Times New Roman" w:hAnsi="Arial" w:cs="Arial"/>
                <w:b/>
                <w:bCs/>
                <w:color w:val="000000"/>
                <w:kern w:val="0"/>
                <w:sz w:val="18"/>
                <w:szCs w:val="18"/>
                <w14:ligatures w14:val="none"/>
              </w:rPr>
              <w:t>31/12/2022</w:t>
            </w:r>
          </w:p>
        </w:tc>
      </w:tr>
      <w:tr w:rsidR="00A15702" w:rsidRPr="00A15702" w14:paraId="43AB5213" w14:textId="77777777" w:rsidTr="00446A14">
        <w:trPr>
          <w:trHeight w:val="238"/>
        </w:trPr>
        <w:tc>
          <w:tcPr>
            <w:tcW w:w="3843" w:type="pct"/>
            <w:tcBorders>
              <w:top w:val="nil"/>
              <w:left w:val="single" w:sz="8" w:space="0" w:color="auto"/>
              <w:bottom w:val="single" w:sz="8" w:space="0" w:color="auto"/>
              <w:right w:val="single" w:sz="8" w:space="0" w:color="auto"/>
            </w:tcBorders>
            <w:shd w:val="clear" w:color="auto" w:fill="auto"/>
            <w:noWrap/>
            <w:vAlign w:val="center"/>
            <w:hideMark/>
          </w:tcPr>
          <w:p w14:paraId="34108D59" w14:textId="77777777" w:rsidR="00A15702" w:rsidRPr="00A15702" w:rsidRDefault="00A15702" w:rsidP="00A15702">
            <w:pPr>
              <w:spacing w:after="0" w:line="240" w:lineRule="auto"/>
              <w:rPr>
                <w:rFonts w:ascii="Arial" w:eastAsia="Times New Roman" w:hAnsi="Arial" w:cs="Arial"/>
                <w:b/>
                <w:bCs/>
                <w:color w:val="000000"/>
                <w:kern w:val="0"/>
                <w:sz w:val="18"/>
                <w:szCs w:val="18"/>
                <w:lang w:eastAsia="pt-BR"/>
                <w14:ligatures w14:val="none"/>
              </w:rPr>
            </w:pPr>
            <w:r w:rsidRPr="00A15702">
              <w:rPr>
                <w:rFonts w:ascii="Arial" w:eastAsia="Times New Roman" w:hAnsi="Arial" w:cs="Arial"/>
                <w:b/>
                <w:bCs/>
                <w:color w:val="000000"/>
                <w:kern w:val="0"/>
                <w:sz w:val="18"/>
                <w:szCs w:val="18"/>
                <w:lang w:eastAsia="pt-BR"/>
                <w14:ligatures w14:val="none"/>
              </w:rPr>
              <w:t>A vencer (Faturados e Não Faturados)</w:t>
            </w:r>
          </w:p>
        </w:tc>
        <w:tc>
          <w:tcPr>
            <w:tcW w:w="581" w:type="pct"/>
            <w:tcBorders>
              <w:top w:val="nil"/>
              <w:left w:val="nil"/>
              <w:bottom w:val="single" w:sz="8" w:space="0" w:color="auto"/>
              <w:right w:val="single" w:sz="8" w:space="0" w:color="auto"/>
            </w:tcBorders>
            <w:shd w:val="clear" w:color="auto" w:fill="auto"/>
            <w:noWrap/>
            <w:vAlign w:val="center"/>
            <w:hideMark/>
          </w:tcPr>
          <w:p w14:paraId="7A0B705C" w14:textId="77777777" w:rsidR="00A15702" w:rsidRPr="00A15702" w:rsidRDefault="00A15702" w:rsidP="00A15702">
            <w:pPr>
              <w:spacing w:after="0" w:line="240" w:lineRule="auto"/>
              <w:jc w:val="right"/>
              <w:rPr>
                <w:rFonts w:ascii="Arial" w:eastAsia="Times New Roman" w:hAnsi="Arial" w:cs="Arial"/>
                <w:b/>
                <w:bCs/>
                <w:color w:val="000000"/>
                <w:kern w:val="0"/>
                <w:sz w:val="18"/>
                <w:szCs w:val="18"/>
                <w:lang w:eastAsia="pt-BR"/>
                <w14:ligatures w14:val="none"/>
              </w:rPr>
            </w:pPr>
            <w:r w:rsidRPr="00A15702">
              <w:rPr>
                <w:rFonts w:ascii="Arial" w:eastAsia="Times New Roman" w:hAnsi="Arial" w:cs="Arial"/>
                <w:b/>
                <w:bCs/>
                <w:color w:val="000000"/>
                <w:kern w:val="0"/>
                <w:sz w:val="18"/>
                <w:szCs w:val="18"/>
                <w:lang w:eastAsia="pt-BR"/>
                <w14:ligatures w14:val="none"/>
              </w:rPr>
              <w:t xml:space="preserve">       66.820 </w:t>
            </w:r>
          </w:p>
        </w:tc>
        <w:tc>
          <w:tcPr>
            <w:tcW w:w="576" w:type="pct"/>
            <w:tcBorders>
              <w:top w:val="nil"/>
              <w:left w:val="nil"/>
              <w:bottom w:val="single" w:sz="8" w:space="0" w:color="auto"/>
              <w:right w:val="single" w:sz="8" w:space="0" w:color="auto"/>
            </w:tcBorders>
            <w:shd w:val="clear" w:color="auto" w:fill="auto"/>
            <w:noWrap/>
            <w:vAlign w:val="center"/>
            <w:hideMark/>
          </w:tcPr>
          <w:p w14:paraId="23E2823E" w14:textId="77777777" w:rsidR="00A15702" w:rsidRPr="00A15702" w:rsidRDefault="00A15702" w:rsidP="00A15702">
            <w:pPr>
              <w:spacing w:after="0" w:line="240" w:lineRule="auto"/>
              <w:jc w:val="right"/>
              <w:rPr>
                <w:rFonts w:ascii="Arial" w:eastAsia="Times New Roman" w:hAnsi="Arial" w:cs="Arial"/>
                <w:b/>
                <w:bCs/>
                <w:color w:val="000000"/>
                <w:kern w:val="0"/>
                <w:sz w:val="18"/>
                <w:szCs w:val="18"/>
                <w:lang w:eastAsia="pt-BR"/>
                <w14:ligatures w14:val="none"/>
              </w:rPr>
            </w:pPr>
            <w:r w:rsidRPr="00A15702">
              <w:rPr>
                <w:rFonts w:ascii="Arial" w:eastAsia="Times New Roman" w:hAnsi="Arial" w:cs="Arial"/>
                <w:b/>
                <w:bCs/>
                <w:color w:val="000000"/>
                <w:kern w:val="0"/>
                <w:sz w:val="18"/>
                <w:szCs w:val="18"/>
                <w14:ligatures w14:val="none"/>
              </w:rPr>
              <w:t xml:space="preserve">      74.543 </w:t>
            </w:r>
          </w:p>
        </w:tc>
      </w:tr>
      <w:tr w:rsidR="00A15702" w:rsidRPr="00A15702" w14:paraId="4549CB1C" w14:textId="77777777" w:rsidTr="00446A14">
        <w:trPr>
          <w:trHeight w:val="238"/>
        </w:trPr>
        <w:tc>
          <w:tcPr>
            <w:tcW w:w="3843" w:type="pct"/>
            <w:tcBorders>
              <w:top w:val="nil"/>
              <w:left w:val="single" w:sz="8" w:space="0" w:color="auto"/>
              <w:bottom w:val="single" w:sz="8" w:space="0" w:color="auto"/>
              <w:right w:val="single" w:sz="8" w:space="0" w:color="auto"/>
            </w:tcBorders>
            <w:shd w:val="clear" w:color="auto" w:fill="auto"/>
            <w:noWrap/>
            <w:vAlign w:val="center"/>
            <w:hideMark/>
          </w:tcPr>
          <w:p w14:paraId="1E787CAB" w14:textId="77777777" w:rsidR="00A15702" w:rsidRPr="00A15702" w:rsidRDefault="00A15702" w:rsidP="00A15702">
            <w:pPr>
              <w:spacing w:after="0" w:line="240" w:lineRule="auto"/>
              <w:rPr>
                <w:rFonts w:ascii="Arial" w:eastAsia="Times New Roman" w:hAnsi="Arial" w:cs="Arial"/>
                <w:b/>
                <w:bCs/>
                <w:color w:val="000000"/>
                <w:kern w:val="0"/>
                <w:sz w:val="18"/>
                <w:szCs w:val="18"/>
                <w:lang w:eastAsia="pt-BR"/>
                <w14:ligatures w14:val="none"/>
              </w:rPr>
            </w:pPr>
            <w:r w:rsidRPr="00A15702">
              <w:rPr>
                <w:rFonts w:ascii="Arial" w:eastAsia="Times New Roman" w:hAnsi="Arial" w:cs="Arial"/>
                <w:b/>
                <w:bCs/>
                <w:color w:val="000000"/>
                <w:kern w:val="0"/>
                <w:sz w:val="18"/>
                <w:szCs w:val="18"/>
                <w:lang w:eastAsia="pt-BR"/>
                <w14:ligatures w14:val="none"/>
              </w:rPr>
              <w:t>Vencidos</w:t>
            </w:r>
          </w:p>
        </w:tc>
        <w:tc>
          <w:tcPr>
            <w:tcW w:w="581" w:type="pct"/>
            <w:tcBorders>
              <w:top w:val="nil"/>
              <w:left w:val="nil"/>
              <w:bottom w:val="single" w:sz="8" w:space="0" w:color="auto"/>
              <w:right w:val="single" w:sz="8" w:space="0" w:color="auto"/>
            </w:tcBorders>
            <w:shd w:val="clear" w:color="auto" w:fill="auto"/>
            <w:noWrap/>
            <w:vAlign w:val="center"/>
            <w:hideMark/>
          </w:tcPr>
          <w:p w14:paraId="0F5376D4" w14:textId="77777777" w:rsidR="00A15702" w:rsidRPr="00A15702" w:rsidRDefault="00A15702" w:rsidP="00A15702">
            <w:pPr>
              <w:spacing w:after="0" w:line="240" w:lineRule="auto"/>
              <w:jc w:val="right"/>
              <w:rPr>
                <w:rFonts w:ascii="Arial" w:eastAsia="Times New Roman" w:hAnsi="Arial" w:cs="Arial"/>
                <w:b/>
                <w:bCs/>
                <w:color w:val="000000"/>
                <w:kern w:val="0"/>
                <w:sz w:val="18"/>
                <w:szCs w:val="18"/>
                <w:lang w:eastAsia="pt-BR"/>
                <w14:ligatures w14:val="none"/>
              </w:rPr>
            </w:pPr>
            <w:r w:rsidRPr="00A15702">
              <w:rPr>
                <w:rFonts w:ascii="Arial" w:eastAsia="Times New Roman" w:hAnsi="Arial" w:cs="Arial"/>
                <w:b/>
                <w:bCs/>
                <w:color w:val="000000"/>
                <w:kern w:val="0"/>
                <w:sz w:val="18"/>
                <w:szCs w:val="18"/>
                <w:lang w:eastAsia="pt-BR"/>
                <w14:ligatures w14:val="none"/>
              </w:rPr>
              <w:t xml:space="preserve">     113.663 </w:t>
            </w:r>
          </w:p>
        </w:tc>
        <w:tc>
          <w:tcPr>
            <w:tcW w:w="576" w:type="pct"/>
            <w:tcBorders>
              <w:top w:val="nil"/>
              <w:left w:val="nil"/>
              <w:bottom w:val="single" w:sz="8" w:space="0" w:color="auto"/>
              <w:right w:val="single" w:sz="8" w:space="0" w:color="auto"/>
            </w:tcBorders>
            <w:shd w:val="clear" w:color="auto" w:fill="auto"/>
            <w:noWrap/>
            <w:vAlign w:val="center"/>
            <w:hideMark/>
          </w:tcPr>
          <w:p w14:paraId="10025A2B" w14:textId="77777777" w:rsidR="00A15702" w:rsidRPr="00A15702" w:rsidRDefault="00A15702" w:rsidP="00A15702">
            <w:pPr>
              <w:spacing w:after="0" w:line="240" w:lineRule="auto"/>
              <w:jc w:val="right"/>
              <w:rPr>
                <w:rFonts w:ascii="Arial" w:eastAsia="Times New Roman" w:hAnsi="Arial" w:cs="Arial"/>
                <w:b/>
                <w:bCs/>
                <w:color w:val="000000"/>
                <w:kern w:val="0"/>
                <w:sz w:val="18"/>
                <w:szCs w:val="18"/>
                <w:lang w:eastAsia="pt-BR"/>
                <w14:ligatures w14:val="none"/>
              </w:rPr>
            </w:pPr>
            <w:r w:rsidRPr="00A15702">
              <w:rPr>
                <w:rFonts w:ascii="Arial" w:eastAsia="Times New Roman" w:hAnsi="Arial" w:cs="Arial"/>
                <w:b/>
                <w:bCs/>
                <w:color w:val="000000"/>
                <w:kern w:val="0"/>
                <w:sz w:val="18"/>
                <w:szCs w:val="18"/>
                <w14:ligatures w14:val="none"/>
              </w:rPr>
              <w:t xml:space="preserve">      35.174 </w:t>
            </w:r>
          </w:p>
        </w:tc>
      </w:tr>
      <w:tr w:rsidR="00A15702" w:rsidRPr="00A15702" w14:paraId="0A415E13" w14:textId="77777777" w:rsidTr="00446A14">
        <w:trPr>
          <w:trHeight w:val="238"/>
        </w:trPr>
        <w:tc>
          <w:tcPr>
            <w:tcW w:w="3843" w:type="pct"/>
            <w:tcBorders>
              <w:top w:val="nil"/>
              <w:left w:val="single" w:sz="8" w:space="0" w:color="auto"/>
              <w:bottom w:val="single" w:sz="8" w:space="0" w:color="auto"/>
              <w:right w:val="single" w:sz="8" w:space="0" w:color="auto"/>
            </w:tcBorders>
            <w:shd w:val="clear" w:color="auto" w:fill="auto"/>
            <w:noWrap/>
            <w:vAlign w:val="center"/>
            <w:hideMark/>
          </w:tcPr>
          <w:p w14:paraId="3B01C072" w14:textId="77777777" w:rsidR="00A15702" w:rsidRPr="00A15702" w:rsidRDefault="00A15702" w:rsidP="00A15702">
            <w:pPr>
              <w:spacing w:after="0" w:line="240" w:lineRule="auto"/>
              <w:rPr>
                <w:rFonts w:ascii="Arial" w:eastAsia="Times New Roman" w:hAnsi="Arial" w:cs="Arial"/>
                <w:color w:val="000000"/>
                <w:kern w:val="0"/>
                <w:sz w:val="18"/>
                <w:szCs w:val="18"/>
                <w:lang w:eastAsia="pt-BR"/>
                <w14:ligatures w14:val="none"/>
              </w:rPr>
            </w:pPr>
            <w:r w:rsidRPr="00A15702">
              <w:rPr>
                <w:rFonts w:ascii="Arial" w:eastAsia="Times New Roman" w:hAnsi="Arial" w:cs="Arial"/>
                <w:color w:val="000000"/>
                <w:kern w:val="0"/>
                <w:sz w:val="18"/>
                <w:szCs w:val="18"/>
                <w:lang w:eastAsia="pt-BR"/>
                <w14:ligatures w14:val="none"/>
              </w:rPr>
              <w:t>Até 30 dias</w:t>
            </w:r>
          </w:p>
        </w:tc>
        <w:tc>
          <w:tcPr>
            <w:tcW w:w="581" w:type="pct"/>
            <w:tcBorders>
              <w:top w:val="nil"/>
              <w:left w:val="nil"/>
              <w:bottom w:val="single" w:sz="8" w:space="0" w:color="auto"/>
              <w:right w:val="single" w:sz="8" w:space="0" w:color="auto"/>
            </w:tcBorders>
            <w:shd w:val="clear" w:color="auto" w:fill="auto"/>
            <w:noWrap/>
            <w:vAlign w:val="center"/>
            <w:hideMark/>
          </w:tcPr>
          <w:p w14:paraId="4D40B5FF" w14:textId="77777777" w:rsidR="00A15702" w:rsidRPr="00A15702" w:rsidRDefault="00A15702" w:rsidP="00A15702">
            <w:pPr>
              <w:spacing w:after="0" w:line="240" w:lineRule="auto"/>
              <w:jc w:val="right"/>
              <w:rPr>
                <w:rFonts w:ascii="Arial" w:eastAsia="Times New Roman" w:hAnsi="Arial" w:cs="Arial"/>
                <w:color w:val="000000"/>
                <w:kern w:val="0"/>
                <w:sz w:val="18"/>
                <w:szCs w:val="18"/>
                <w:lang w:eastAsia="pt-BR"/>
                <w14:ligatures w14:val="none"/>
              </w:rPr>
            </w:pPr>
            <w:r w:rsidRPr="00A15702">
              <w:rPr>
                <w:rFonts w:ascii="Arial" w:eastAsia="Times New Roman" w:hAnsi="Arial" w:cs="Arial"/>
                <w:color w:val="000000"/>
                <w:kern w:val="0"/>
                <w:sz w:val="18"/>
                <w:szCs w:val="18"/>
                <w:lang w:eastAsia="pt-BR"/>
                <w14:ligatures w14:val="none"/>
              </w:rPr>
              <w:t xml:space="preserve">       67.194 </w:t>
            </w:r>
          </w:p>
        </w:tc>
        <w:tc>
          <w:tcPr>
            <w:tcW w:w="576" w:type="pct"/>
            <w:tcBorders>
              <w:top w:val="nil"/>
              <w:left w:val="nil"/>
              <w:bottom w:val="single" w:sz="8" w:space="0" w:color="auto"/>
              <w:right w:val="single" w:sz="8" w:space="0" w:color="auto"/>
            </w:tcBorders>
            <w:shd w:val="clear" w:color="auto" w:fill="auto"/>
            <w:noWrap/>
            <w:vAlign w:val="center"/>
            <w:hideMark/>
          </w:tcPr>
          <w:p w14:paraId="4692D6A5" w14:textId="77777777" w:rsidR="00A15702" w:rsidRPr="00A15702" w:rsidRDefault="00A15702" w:rsidP="00A15702">
            <w:pPr>
              <w:spacing w:after="0" w:line="240" w:lineRule="auto"/>
              <w:jc w:val="right"/>
              <w:rPr>
                <w:rFonts w:ascii="Arial" w:eastAsia="Times New Roman" w:hAnsi="Arial" w:cs="Arial"/>
                <w:color w:val="000000"/>
                <w:kern w:val="0"/>
                <w:sz w:val="18"/>
                <w:szCs w:val="18"/>
                <w:lang w:eastAsia="pt-BR"/>
                <w14:ligatures w14:val="none"/>
              </w:rPr>
            </w:pPr>
            <w:r w:rsidRPr="00A15702">
              <w:rPr>
                <w:rFonts w:ascii="Arial" w:eastAsia="Times New Roman" w:hAnsi="Arial" w:cs="Arial"/>
                <w:color w:val="000000"/>
                <w:kern w:val="0"/>
                <w:sz w:val="18"/>
                <w:szCs w:val="18"/>
                <w14:ligatures w14:val="none"/>
              </w:rPr>
              <w:t xml:space="preserve">        4.131 </w:t>
            </w:r>
          </w:p>
        </w:tc>
      </w:tr>
      <w:tr w:rsidR="00A15702" w:rsidRPr="00A15702" w14:paraId="6399837E" w14:textId="77777777" w:rsidTr="00446A14">
        <w:trPr>
          <w:trHeight w:val="238"/>
        </w:trPr>
        <w:tc>
          <w:tcPr>
            <w:tcW w:w="3843" w:type="pct"/>
            <w:tcBorders>
              <w:top w:val="nil"/>
              <w:left w:val="single" w:sz="8" w:space="0" w:color="auto"/>
              <w:bottom w:val="single" w:sz="8" w:space="0" w:color="auto"/>
              <w:right w:val="single" w:sz="8" w:space="0" w:color="auto"/>
            </w:tcBorders>
            <w:shd w:val="clear" w:color="auto" w:fill="auto"/>
            <w:noWrap/>
            <w:vAlign w:val="center"/>
            <w:hideMark/>
          </w:tcPr>
          <w:p w14:paraId="08C2A21F" w14:textId="77777777" w:rsidR="00A15702" w:rsidRPr="00A15702" w:rsidRDefault="00A15702" w:rsidP="00A15702">
            <w:pPr>
              <w:spacing w:after="0" w:line="240" w:lineRule="auto"/>
              <w:rPr>
                <w:rFonts w:ascii="Arial" w:eastAsia="Times New Roman" w:hAnsi="Arial" w:cs="Arial"/>
                <w:color w:val="000000"/>
                <w:kern w:val="0"/>
                <w:sz w:val="18"/>
                <w:szCs w:val="18"/>
                <w:lang w:eastAsia="pt-BR"/>
                <w14:ligatures w14:val="none"/>
              </w:rPr>
            </w:pPr>
            <w:r w:rsidRPr="00A15702">
              <w:rPr>
                <w:rFonts w:ascii="Arial" w:eastAsia="Times New Roman" w:hAnsi="Arial" w:cs="Arial"/>
                <w:color w:val="000000"/>
                <w:kern w:val="0"/>
                <w:sz w:val="18"/>
                <w:szCs w:val="18"/>
                <w:lang w:eastAsia="pt-BR"/>
                <w14:ligatures w14:val="none"/>
              </w:rPr>
              <w:t>31 a 60 dias</w:t>
            </w:r>
          </w:p>
        </w:tc>
        <w:tc>
          <w:tcPr>
            <w:tcW w:w="581" w:type="pct"/>
            <w:tcBorders>
              <w:top w:val="nil"/>
              <w:left w:val="nil"/>
              <w:bottom w:val="single" w:sz="8" w:space="0" w:color="auto"/>
              <w:right w:val="single" w:sz="8" w:space="0" w:color="auto"/>
            </w:tcBorders>
            <w:shd w:val="clear" w:color="auto" w:fill="auto"/>
            <w:noWrap/>
            <w:vAlign w:val="center"/>
            <w:hideMark/>
          </w:tcPr>
          <w:p w14:paraId="2DD240FA" w14:textId="77777777" w:rsidR="00A15702" w:rsidRPr="00A15702" w:rsidRDefault="00A15702" w:rsidP="00A15702">
            <w:pPr>
              <w:spacing w:after="0" w:line="240" w:lineRule="auto"/>
              <w:jc w:val="right"/>
              <w:rPr>
                <w:rFonts w:ascii="Arial" w:eastAsia="Times New Roman" w:hAnsi="Arial" w:cs="Arial"/>
                <w:color w:val="000000"/>
                <w:kern w:val="0"/>
                <w:sz w:val="18"/>
                <w:szCs w:val="18"/>
                <w:lang w:eastAsia="pt-BR"/>
                <w14:ligatures w14:val="none"/>
              </w:rPr>
            </w:pPr>
            <w:r w:rsidRPr="00A15702">
              <w:rPr>
                <w:rFonts w:ascii="Arial" w:eastAsia="Times New Roman" w:hAnsi="Arial" w:cs="Arial"/>
                <w:color w:val="000000"/>
                <w:kern w:val="0"/>
                <w:sz w:val="18"/>
                <w:szCs w:val="18"/>
                <w:lang w:eastAsia="pt-BR"/>
                <w14:ligatures w14:val="none"/>
              </w:rPr>
              <w:t xml:space="preserve">          3.903 </w:t>
            </w:r>
          </w:p>
        </w:tc>
        <w:tc>
          <w:tcPr>
            <w:tcW w:w="576" w:type="pct"/>
            <w:tcBorders>
              <w:top w:val="nil"/>
              <w:left w:val="nil"/>
              <w:bottom w:val="single" w:sz="8" w:space="0" w:color="auto"/>
              <w:right w:val="single" w:sz="8" w:space="0" w:color="auto"/>
            </w:tcBorders>
            <w:shd w:val="clear" w:color="auto" w:fill="auto"/>
            <w:noWrap/>
            <w:vAlign w:val="center"/>
            <w:hideMark/>
          </w:tcPr>
          <w:p w14:paraId="761375C2" w14:textId="77777777" w:rsidR="00A15702" w:rsidRPr="00A15702" w:rsidRDefault="00A15702" w:rsidP="00A15702">
            <w:pPr>
              <w:spacing w:after="0" w:line="240" w:lineRule="auto"/>
              <w:jc w:val="right"/>
              <w:rPr>
                <w:rFonts w:ascii="Arial" w:eastAsia="Times New Roman" w:hAnsi="Arial" w:cs="Arial"/>
                <w:color w:val="000000"/>
                <w:kern w:val="0"/>
                <w:sz w:val="18"/>
                <w:szCs w:val="18"/>
                <w:lang w:eastAsia="pt-BR"/>
                <w14:ligatures w14:val="none"/>
              </w:rPr>
            </w:pPr>
            <w:r w:rsidRPr="00A15702">
              <w:rPr>
                <w:rFonts w:ascii="Arial" w:eastAsia="Times New Roman" w:hAnsi="Arial" w:cs="Arial"/>
                <w:color w:val="000000"/>
                <w:kern w:val="0"/>
                <w:sz w:val="18"/>
                <w:szCs w:val="18"/>
                <w14:ligatures w14:val="none"/>
              </w:rPr>
              <w:t xml:space="preserve">        4.347 </w:t>
            </w:r>
          </w:p>
        </w:tc>
      </w:tr>
      <w:tr w:rsidR="00A15702" w:rsidRPr="00A15702" w14:paraId="43777A54" w14:textId="77777777" w:rsidTr="00446A14">
        <w:trPr>
          <w:trHeight w:val="238"/>
        </w:trPr>
        <w:tc>
          <w:tcPr>
            <w:tcW w:w="3843" w:type="pct"/>
            <w:tcBorders>
              <w:top w:val="nil"/>
              <w:left w:val="single" w:sz="8" w:space="0" w:color="auto"/>
              <w:bottom w:val="single" w:sz="8" w:space="0" w:color="auto"/>
              <w:right w:val="single" w:sz="8" w:space="0" w:color="auto"/>
            </w:tcBorders>
            <w:shd w:val="clear" w:color="auto" w:fill="auto"/>
            <w:noWrap/>
            <w:vAlign w:val="center"/>
            <w:hideMark/>
          </w:tcPr>
          <w:p w14:paraId="135667E5" w14:textId="77777777" w:rsidR="00A15702" w:rsidRPr="00A15702" w:rsidRDefault="00A15702" w:rsidP="00A15702">
            <w:pPr>
              <w:spacing w:after="0" w:line="240" w:lineRule="auto"/>
              <w:rPr>
                <w:rFonts w:ascii="Arial" w:eastAsia="Times New Roman" w:hAnsi="Arial" w:cs="Arial"/>
                <w:color w:val="000000"/>
                <w:kern w:val="0"/>
                <w:sz w:val="18"/>
                <w:szCs w:val="18"/>
                <w:lang w:eastAsia="pt-BR"/>
                <w14:ligatures w14:val="none"/>
              </w:rPr>
            </w:pPr>
            <w:r w:rsidRPr="00A15702">
              <w:rPr>
                <w:rFonts w:ascii="Arial" w:eastAsia="Times New Roman" w:hAnsi="Arial" w:cs="Arial"/>
                <w:color w:val="000000"/>
                <w:kern w:val="0"/>
                <w:sz w:val="18"/>
                <w:szCs w:val="18"/>
                <w:lang w:eastAsia="pt-BR"/>
                <w14:ligatures w14:val="none"/>
              </w:rPr>
              <w:t>61 a 90 dias</w:t>
            </w:r>
          </w:p>
        </w:tc>
        <w:tc>
          <w:tcPr>
            <w:tcW w:w="581" w:type="pct"/>
            <w:tcBorders>
              <w:top w:val="nil"/>
              <w:left w:val="nil"/>
              <w:bottom w:val="single" w:sz="8" w:space="0" w:color="auto"/>
              <w:right w:val="single" w:sz="8" w:space="0" w:color="auto"/>
            </w:tcBorders>
            <w:shd w:val="clear" w:color="auto" w:fill="auto"/>
            <w:noWrap/>
            <w:vAlign w:val="center"/>
            <w:hideMark/>
          </w:tcPr>
          <w:p w14:paraId="74DC7DFA" w14:textId="77777777" w:rsidR="00A15702" w:rsidRPr="00A15702" w:rsidRDefault="00A15702" w:rsidP="00A15702">
            <w:pPr>
              <w:spacing w:after="0" w:line="240" w:lineRule="auto"/>
              <w:jc w:val="right"/>
              <w:rPr>
                <w:rFonts w:ascii="Arial" w:eastAsia="Times New Roman" w:hAnsi="Arial" w:cs="Arial"/>
                <w:color w:val="000000"/>
                <w:kern w:val="0"/>
                <w:sz w:val="18"/>
                <w:szCs w:val="18"/>
                <w:lang w:eastAsia="pt-BR"/>
                <w14:ligatures w14:val="none"/>
              </w:rPr>
            </w:pPr>
            <w:r w:rsidRPr="00A15702">
              <w:rPr>
                <w:rFonts w:ascii="Arial" w:eastAsia="Times New Roman" w:hAnsi="Arial" w:cs="Arial"/>
                <w:color w:val="000000"/>
                <w:kern w:val="0"/>
                <w:sz w:val="18"/>
                <w:szCs w:val="18"/>
                <w:lang w:eastAsia="pt-BR"/>
                <w14:ligatures w14:val="none"/>
              </w:rPr>
              <w:t xml:space="preserve">          5.607 </w:t>
            </w:r>
          </w:p>
        </w:tc>
        <w:tc>
          <w:tcPr>
            <w:tcW w:w="576" w:type="pct"/>
            <w:tcBorders>
              <w:top w:val="nil"/>
              <w:left w:val="nil"/>
              <w:bottom w:val="single" w:sz="8" w:space="0" w:color="auto"/>
              <w:right w:val="single" w:sz="8" w:space="0" w:color="auto"/>
            </w:tcBorders>
            <w:shd w:val="clear" w:color="auto" w:fill="auto"/>
            <w:noWrap/>
            <w:vAlign w:val="center"/>
            <w:hideMark/>
          </w:tcPr>
          <w:p w14:paraId="49D9CC17" w14:textId="77777777" w:rsidR="00A15702" w:rsidRPr="00A15702" w:rsidRDefault="00A15702" w:rsidP="00A15702">
            <w:pPr>
              <w:spacing w:after="0" w:line="240" w:lineRule="auto"/>
              <w:jc w:val="right"/>
              <w:rPr>
                <w:rFonts w:ascii="Arial" w:eastAsia="Times New Roman" w:hAnsi="Arial" w:cs="Arial"/>
                <w:color w:val="000000"/>
                <w:kern w:val="0"/>
                <w:sz w:val="18"/>
                <w:szCs w:val="18"/>
                <w:lang w:eastAsia="pt-BR"/>
                <w14:ligatures w14:val="none"/>
              </w:rPr>
            </w:pPr>
            <w:r w:rsidRPr="00A15702">
              <w:rPr>
                <w:rFonts w:ascii="Arial" w:eastAsia="Times New Roman" w:hAnsi="Arial" w:cs="Arial"/>
                <w:color w:val="000000"/>
                <w:kern w:val="0"/>
                <w:sz w:val="18"/>
                <w:szCs w:val="18"/>
                <w14:ligatures w14:val="none"/>
              </w:rPr>
              <w:t xml:space="preserve">        1.531 </w:t>
            </w:r>
          </w:p>
        </w:tc>
      </w:tr>
      <w:tr w:rsidR="00A15702" w:rsidRPr="00A15702" w14:paraId="530814F7" w14:textId="77777777" w:rsidTr="00446A14">
        <w:trPr>
          <w:trHeight w:val="238"/>
        </w:trPr>
        <w:tc>
          <w:tcPr>
            <w:tcW w:w="3843" w:type="pct"/>
            <w:tcBorders>
              <w:top w:val="nil"/>
              <w:left w:val="single" w:sz="8" w:space="0" w:color="auto"/>
              <w:bottom w:val="single" w:sz="8" w:space="0" w:color="auto"/>
              <w:right w:val="single" w:sz="8" w:space="0" w:color="auto"/>
            </w:tcBorders>
            <w:shd w:val="clear" w:color="auto" w:fill="auto"/>
            <w:noWrap/>
            <w:vAlign w:val="center"/>
            <w:hideMark/>
          </w:tcPr>
          <w:p w14:paraId="599CB88A" w14:textId="77777777" w:rsidR="00A15702" w:rsidRPr="00A15702" w:rsidRDefault="00A15702" w:rsidP="00A15702">
            <w:pPr>
              <w:spacing w:after="0" w:line="240" w:lineRule="auto"/>
              <w:rPr>
                <w:rFonts w:ascii="Arial" w:eastAsia="Times New Roman" w:hAnsi="Arial" w:cs="Arial"/>
                <w:color w:val="000000"/>
                <w:kern w:val="0"/>
                <w:sz w:val="18"/>
                <w:szCs w:val="18"/>
                <w:lang w:eastAsia="pt-BR"/>
                <w14:ligatures w14:val="none"/>
              </w:rPr>
            </w:pPr>
            <w:r w:rsidRPr="00A15702">
              <w:rPr>
                <w:rFonts w:ascii="Arial" w:eastAsia="Times New Roman" w:hAnsi="Arial" w:cs="Arial"/>
                <w:color w:val="000000"/>
                <w:kern w:val="0"/>
                <w:sz w:val="18"/>
                <w:szCs w:val="18"/>
                <w:lang w:eastAsia="pt-BR"/>
                <w14:ligatures w14:val="none"/>
              </w:rPr>
              <w:t>91 a 120 dias</w:t>
            </w:r>
          </w:p>
        </w:tc>
        <w:tc>
          <w:tcPr>
            <w:tcW w:w="581" w:type="pct"/>
            <w:tcBorders>
              <w:top w:val="nil"/>
              <w:left w:val="nil"/>
              <w:bottom w:val="single" w:sz="8" w:space="0" w:color="auto"/>
              <w:right w:val="single" w:sz="8" w:space="0" w:color="auto"/>
            </w:tcBorders>
            <w:shd w:val="clear" w:color="auto" w:fill="auto"/>
            <w:noWrap/>
            <w:vAlign w:val="center"/>
            <w:hideMark/>
          </w:tcPr>
          <w:p w14:paraId="6C605FAB" w14:textId="77777777" w:rsidR="00A15702" w:rsidRPr="00A15702" w:rsidRDefault="00A15702" w:rsidP="00A15702">
            <w:pPr>
              <w:spacing w:after="0" w:line="240" w:lineRule="auto"/>
              <w:jc w:val="right"/>
              <w:rPr>
                <w:rFonts w:ascii="Arial" w:eastAsia="Times New Roman" w:hAnsi="Arial" w:cs="Arial"/>
                <w:color w:val="000000"/>
                <w:kern w:val="0"/>
                <w:sz w:val="18"/>
                <w:szCs w:val="18"/>
                <w:lang w:eastAsia="pt-BR"/>
                <w14:ligatures w14:val="none"/>
              </w:rPr>
            </w:pPr>
            <w:r w:rsidRPr="00A15702">
              <w:rPr>
                <w:rFonts w:ascii="Arial" w:eastAsia="Times New Roman" w:hAnsi="Arial" w:cs="Arial"/>
                <w:color w:val="000000"/>
                <w:kern w:val="0"/>
                <w:sz w:val="18"/>
                <w:szCs w:val="18"/>
                <w:lang w:eastAsia="pt-BR"/>
                <w14:ligatures w14:val="none"/>
              </w:rPr>
              <w:t xml:space="preserve">          7.692 </w:t>
            </w:r>
          </w:p>
        </w:tc>
        <w:tc>
          <w:tcPr>
            <w:tcW w:w="576" w:type="pct"/>
            <w:tcBorders>
              <w:top w:val="nil"/>
              <w:left w:val="nil"/>
              <w:bottom w:val="single" w:sz="8" w:space="0" w:color="auto"/>
              <w:right w:val="single" w:sz="8" w:space="0" w:color="auto"/>
            </w:tcBorders>
            <w:shd w:val="clear" w:color="auto" w:fill="auto"/>
            <w:noWrap/>
            <w:vAlign w:val="center"/>
            <w:hideMark/>
          </w:tcPr>
          <w:p w14:paraId="484325A5" w14:textId="77777777" w:rsidR="00A15702" w:rsidRPr="00A15702" w:rsidRDefault="00A15702" w:rsidP="00A15702">
            <w:pPr>
              <w:spacing w:after="0" w:line="240" w:lineRule="auto"/>
              <w:jc w:val="right"/>
              <w:rPr>
                <w:rFonts w:ascii="Arial" w:eastAsia="Times New Roman" w:hAnsi="Arial" w:cs="Arial"/>
                <w:color w:val="000000"/>
                <w:kern w:val="0"/>
                <w:sz w:val="18"/>
                <w:szCs w:val="18"/>
                <w:lang w:eastAsia="pt-BR"/>
                <w14:ligatures w14:val="none"/>
              </w:rPr>
            </w:pPr>
            <w:r w:rsidRPr="00A15702">
              <w:rPr>
                <w:rFonts w:ascii="Arial" w:eastAsia="Times New Roman" w:hAnsi="Arial" w:cs="Arial"/>
                <w:color w:val="000000"/>
                <w:kern w:val="0"/>
                <w:sz w:val="18"/>
                <w:szCs w:val="18"/>
                <w14:ligatures w14:val="none"/>
              </w:rPr>
              <w:t xml:space="preserve">           985 </w:t>
            </w:r>
          </w:p>
        </w:tc>
      </w:tr>
      <w:tr w:rsidR="00A15702" w:rsidRPr="00A15702" w14:paraId="788545A0" w14:textId="77777777" w:rsidTr="00446A14">
        <w:trPr>
          <w:trHeight w:val="238"/>
        </w:trPr>
        <w:tc>
          <w:tcPr>
            <w:tcW w:w="3843" w:type="pct"/>
            <w:tcBorders>
              <w:top w:val="nil"/>
              <w:left w:val="single" w:sz="8" w:space="0" w:color="auto"/>
              <w:bottom w:val="single" w:sz="8" w:space="0" w:color="auto"/>
              <w:right w:val="single" w:sz="8" w:space="0" w:color="auto"/>
            </w:tcBorders>
            <w:shd w:val="clear" w:color="auto" w:fill="auto"/>
            <w:noWrap/>
            <w:vAlign w:val="center"/>
            <w:hideMark/>
          </w:tcPr>
          <w:p w14:paraId="78192264" w14:textId="77777777" w:rsidR="00A15702" w:rsidRPr="00A15702" w:rsidRDefault="00A15702" w:rsidP="00A15702">
            <w:pPr>
              <w:spacing w:after="0" w:line="240" w:lineRule="auto"/>
              <w:rPr>
                <w:rFonts w:ascii="Arial" w:eastAsia="Times New Roman" w:hAnsi="Arial" w:cs="Arial"/>
                <w:color w:val="000000"/>
                <w:kern w:val="0"/>
                <w:sz w:val="18"/>
                <w:szCs w:val="18"/>
                <w:lang w:eastAsia="pt-BR"/>
                <w14:ligatures w14:val="none"/>
              </w:rPr>
            </w:pPr>
            <w:r w:rsidRPr="00A15702">
              <w:rPr>
                <w:rFonts w:ascii="Arial" w:eastAsia="Times New Roman" w:hAnsi="Arial" w:cs="Arial"/>
                <w:color w:val="000000"/>
                <w:kern w:val="0"/>
                <w:sz w:val="18"/>
                <w:szCs w:val="18"/>
                <w:lang w:eastAsia="pt-BR"/>
                <w14:ligatures w14:val="none"/>
              </w:rPr>
              <w:t>121 a 150 dias</w:t>
            </w:r>
          </w:p>
        </w:tc>
        <w:tc>
          <w:tcPr>
            <w:tcW w:w="581" w:type="pct"/>
            <w:tcBorders>
              <w:top w:val="nil"/>
              <w:left w:val="nil"/>
              <w:bottom w:val="single" w:sz="8" w:space="0" w:color="auto"/>
              <w:right w:val="single" w:sz="8" w:space="0" w:color="auto"/>
            </w:tcBorders>
            <w:shd w:val="clear" w:color="auto" w:fill="auto"/>
            <w:noWrap/>
            <w:vAlign w:val="center"/>
            <w:hideMark/>
          </w:tcPr>
          <w:p w14:paraId="77494E49" w14:textId="77777777" w:rsidR="00A15702" w:rsidRPr="00A15702" w:rsidRDefault="00A15702" w:rsidP="00A15702">
            <w:pPr>
              <w:spacing w:after="0" w:line="240" w:lineRule="auto"/>
              <w:jc w:val="right"/>
              <w:rPr>
                <w:rFonts w:ascii="Arial" w:eastAsia="Times New Roman" w:hAnsi="Arial" w:cs="Arial"/>
                <w:color w:val="000000"/>
                <w:kern w:val="0"/>
                <w:sz w:val="18"/>
                <w:szCs w:val="18"/>
                <w:lang w:eastAsia="pt-BR"/>
                <w14:ligatures w14:val="none"/>
              </w:rPr>
            </w:pPr>
            <w:r w:rsidRPr="00A15702">
              <w:rPr>
                <w:rFonts w:ascii="Arial" w:eastAsia="Times New Roman" w:hAnsi="Arial" w:cs="Arial"/>
                <w:color w:val="000000"/>
                <w:kern w:val="0"/>
                <w:sz w:val="18"/>
                <w:szCs w:val="18"/>
                <w:lang w:eastAsia="pt-BR"/>
                <w14:ligatures w14:val="none"/>
              </w:rPr>
              <w:t xml:space="preserve">          1.815 </w:t>
            </w:r>
          </w:p>
        </w:tc>
        <w:tc>
          <w:tcPr>
            <w:tcW w:w="576" w:type="pct"/>
            <w:tcBorders>
              <w:top w:val="nil"/>
              <w:left w:val="nil"/>
              <w:bottom w:val="single" w:sz="8" w:space="0" w:color="auto"/>
              <w:right w:val="single" w:sz="8" w:space="0" w:color="auto"/>
            </w:tcBorders>
            <w:shd w:val="clear" w:color="auto" w:fill="auto"/>
            <w:noWrap/>
            <w:vAlign w:val="center"/>
            <w:hideMark/>
          </w:tcPr>
          <w:p w14:paraId="524D3F61" w14:textId="77777777" w:rsidR="00A15702" w:rsidRPr="00A15702" w:rsidRDefault="00A15702" w:rsidP="00A15702">
            <w:pPr>
              <w:spacing w:after="0" w:line="240" w:lineRule="auto"/>
              <w:jc w:val="right"/>
              <w:rPr>
                <w:rFonts w:ascii="Arial" w:eastAsia="Times New Roman" w:hAnsi="Arial" w:cs="Arial"/>
                <w:color w:val="000000"/>
                <w:kern w:val="0"/>
                <w:sz w:val="18"/>
                <w:szCs w:val="18"/>
                <w:lang w:eastAsia="pt-BR"/>
                <w14:ligatures w14:val="none"/>
              </w:rPr>
            </w:pPr>
            <w:r w:rsidRPr="00A15702">
              <w:rPr>
                <w:rFonts w:ascii="Arial" w:eastAsia="Times New Roman" w:hAnsi="Arial" w:cs="Arial"/>
                <w:color w:val="000000"/>
                <w:kern w:val="0"/>
                <w:sz w:val="18"/>
                <w:szCs w:val="18"/>
                <w14:ligatures w14:val="none"/>
              </w:rPr>
              <w:t xml:space="preserve">        1.358 </w:t>
            </w:r>
          </w:p>
        </w:tc>
      </w:tr>
      <w:tr w:rsidR="00A15702" w:rsidRPr="00A15702" w14:paraId="290F84F7" w14:textId="77777777" w:rsidTr="00446A14">
        <w:trPr>
          <w:trHeight w:val="238"/>
        </w:trPr>
        <w:tc>
          <w:tcPr>
            <w:tcW w:w="3843" w:type="pct"/>
            <w:tcBorders>
              <w:top w:val="nil"/>
              <w:left w:val="single" w:sz="8" w:space="0" w:color="auto"/>
              <w:bottom w:val="single" w:sz="8" w:space="0" w:color="auto"/>
              <w:right w:val="single" w:sz="8" w:space="0" w:color="auto"/>
            </w:tcBorders>
            <w:shd w:val="clear" w:color="auto" w:fill="auto"/>
            <w:noWrap/>
            <w:vAlign w:val="center"/>
            <w:hideMark/>
          </w:tcPr>
          <w:p w14:paraId="2BCCFFB7" w14:textId="77777777" w:rsidR="00A15702" w:rsidRPr="00A15702" w:rsidRDefault="00A15702" w:rsidP="00A15702">
            <w:pPr>
              <w:spacing w:after="0" w:line="240" w:lineRule="auto"/>
              <w:rPr>
                <w:rFonts w:ascii="Arial" w:eastAsia="Times New Roman" w:hAnsi="Arial" w:cs="Arial"/>
                <w:color w:val="000000"/>
                <w:kern w:val="0"/>
                <w:sz w:val="18"/>
                <w:szCs w:val="18"/>
                <w:lang w:eastAsia="pt-BR"/>
                <w14:ligatures w14:val="none"/>
              </w:rPr>
            </w:pPr>
            <w:r w:rsidRPr="00A15702">
              <w:rPr>
                <w:rFonts w:ascii="Arial" w:eastAsia="Times New Roman" w:hAnsi="Arial" w:cs="Arial"/>
                <w:color w:val="000000"/>
                <w:kern w:val="0"/>
                <w:sz w:val="18"/>
                <w:szCs w:val="18"/>
                <w:lang w:eastAsia="pt-BR"/>
                <w14:ligatures w14:val="none"/>
              </w:rPr>
              <w:t>151 a 180 dias</w:t>
            </w:r>
          </w:p>
        </w:tc>
        <w:tc>
          <w:tcPr>
            <w:tcW w:w="581" w:type="pct"/>
            <w:tcBorders>
              <w:top w:val="nil"/>
              <w:left w:val="nil"/>
              <w:bottom w:val="single" w:sz="8" w:space="0" w:color="auto"/>
              <w:right w:val="single" w:sz="8" w:space="0" w:color="auto"/>
            </w:tcBorders>
            <w:shd w:val="clear" w:color="auto" w:fill="auto"/>
            <w:noWrap/>
            <w:vAlign w:val="center"/>
            <w:hideMark/>
          </w:tcPr>
          <w:p w14:paraId="727ADB3B" w14:textId="77777777" w:rsidR="00A15702" w:rsidRPr="00A15702" w:rsidRDefault="00A15702" w:rsidP="00A15702">
            <w:pPr>
              <w:spacing w:after="0" w:line="240" w:lineRule="auto"/>
              <w:jc w:val="right"/>
              <w:rPr>
                <w:rFonts w:ascii="Arial" w:eastAsia="Times New Roman" w:hAnsi="Arial" w:cs="Arial"/>
                <w:color w:val="000000"/>
                <w:kern w:val="0"/>
                <w:sz w:val="18"/>
                <w:szCs w:val="18"/>
                <w:lang w:eastAsia="pt-BR"/>
                <w14:ligatures w14:val="none"/>
              </w:rPr>
            </w:pPr>
            <w:r w:rsidRPr="00A15702">
              <w:rPr>
                <w:rFonts w:ascii="Arial" w:eastAsia="Times New Roman" w:hAnsi="Arial" w:cs="Arial"/>
                <w:color w:val="000000"/>
                <w:kern w:val="0"/>
                <w:sz w:val="18"/>
                <w:szCs w:val="18"/>
                <w:lang w:eastAsia="pt-BR"/>
                <w14:ligatures w14:val="none"/>
              </w:rPr>
              <w:t xml:space="preserve">          2.891 </w:t>
            </w:r>
          </w:p>
        </w:tc>
        <w:tc>
          <w:tcPr>
            <w:tcW w:w="576" w:type="pct"/>
            <w:tcBorders>
              <w:top w:val="nil"/>
              <w:left w:val="nil"/>
              <w:bottom w:val="single" w:sz="8" w:space="0" w:color="auto"/>
              <w:right w:val="single" w:sz="8" w:space="0" w:color="auto"/>
            </w:tcBorders>
            <w:shd w:val="clear" w:color="auto" w:fill="auto"/>
            <w:noWrap/>
            <w:vAlign w:val="center"/>
            <w:hideMark/>
          </w:tcPr>
          <w:p w14:paraId="6E3958C6" w14:textId="77777777" w:rsidR="00A15702" w:rsidRPr="00A15702" w:rsidRDefault="00A15702" w:rsidP="00A15702">
            <w:pPr>
              <w:spacing w:after="0" w:line="240" w:lineRule="auto"/>
              <w:jc w:val="right"/>
              <w:rPr>
                <w:rFonts w:ascii="Arial" w:eastAsia="Times New Roman" w:hAnsi="Arial" w:cs="Arial"/>
                <w:color w:val="000000"/>
                <w:kern w:val="0"/>
                <w:sz w:val="18"/>
                <w:szCs w:val="18"/>
                <w:lang w:eastAsia="pt-BR"/>
                <w14:ligatures w14:val="none"/>
              </w:rPr>
            </w:pPr>
            <w:r w:rsidRPr="00A15702">
              <w:rPr>
                <w:rFonts w:ascii="Arial" w:eastAsia="Times New Roman" w:hAnsi="Arial" w:cs="Arial"/>
                <w:color w:val="000000"/>
                <w:kern w:val="0"/>
                <w:sz w:val="18"/>
                <w:szCs w:val="18"/>
                <w14:ligatures w14:val="none"/>
              </w:rPr>
              <w:t xml:space="preserve">           237 </w:t>
            </w:r>
          </w:p>
        </w:tc>
      </w:tr>
      <w:tr w:rsidR="00A15702" w:rsidRPr="00A15702" w14:paraId="74515327" w14:textId="77777777" w:rsidTr="00446A14">
        <w:trPr>
          <w:trHeight w:val="238"/>
        </w:trPr>
        <w:tc>
          <w:tcPr>
            <w:tcW w:w="3843" w:type="pct"/>
            <w:tcBorders>
              <w:top w:val="nil"/>
              <w:left w:val="single" w:sz="8" w:space="0" w:color="auto"/>
              <w:bottom w:val="single" w:sz="8" w:space="0" w:color="auto"/>
              <w:right w:val="single" w:sz="8" w:space="0" w:color="auto"/>
            </w:tcBorders>
            <w:shd w:val="clear" w:color="auto" w:fill="auto"/>
            <w:noWrap/>
            <w:vAlign w:val="center"/>
            <w:hideMark/>
          </w:tcPr>
          <w:p w14:paraId="536CB3E6" w14:textId="77777777" w:rsidR="00A15702" w:rsidRPr="00A15702" w:rsidRDefault="00A15702" w:rsidP="00A15702">
            <w:pPr>
              <w:spacing w:after="0" w:line="240" w:lineRule="auto"/>
              <w:rPr>
                <w:rFonts w:ascii="Arial" w:eastAsia="Times New Roman" w:hAnsi="Arial" w:cs="Arial"/>
                <w:color w:val="000000"/>
                <w:kern w:val="0"/>
                <w:sz w:val="18"/>
                <w:szCs w:val="18"/>
                <w:lang w:eastAsia="pt-BR"/>
                <w14:ligatures w14:val="none"/>
              </w:rPr>
            </w:pPr>
            <w:r w:rsidRPr="00A15702">
              <w:rPr>
                <w:rFonts w:ascii="Arial" w:eastAsia="Times New Roman" w:hAnsi="Arial" w:cs="Arial"/>
                <w:color w:val="000000"/>
                <w:kern w:val="0"/>
                <w:sz w:val="18"/>
                <w:szCs w:val="18"/>
                <w:lang w:eastAsia="pt-BR"/>
                <w14:ligatures w14:val="none"/>
              </w:rPr>
              <w:t xml:space="preserve">Acima de 180 dias </w:t>
            </w:r>
          </w:p>
        </w:tc>
        <w:tc>
          <w:tcPr>
            <w:tcW w:w="581" w:type="pct"/>
            <w:tcBorders>
              <w:top w:val="nil"/>
              <w:left w:val="nil"/>
              <w:bottom w:val="single" w:sz="8" w:space="0" w:color="auto"/>
              <w:right w:val="single" w:sz="8" w:space="0" w:color="auto"/>
            </w:tcBorders>
            <w:shd w:val="clear" w:color="auto" w:fill="auto"/>
            <w:noWrap/>
            <w:vAlign w:val="center"/>
            <w:hideMark/>
          </w:tcPr>
          <w:p w14:paraId="0C3E52ED" w14:textId="77777777" w:rsidR="00A15702" w:rsidRPr="00A15702" w:rsidRDefault="00A15702" w:rsidP="00A15702">
            <w:pPr>
              <w:spacing w:after="0" w:line="240" w:lineRule="auto"/>
              <w:jc w:val="right"/>
              <w:rPr>
                <w:rFonts w:ascii="Arial" w:eastAsia="Times New Roman" w:hAnsi="Arial" w:cs="Arial"/>
                <w:color w:val="000000"/>
                <w:kern w:val="0"/>
                <w:sz w:val="18"/>
                <w:szCs w:val="18"/>
                <w:lang w:eastAsia="pt-BR"/>
                <w14:ligatures w14:val="none"/>
              </w:rPr>
            </w:pPr>
            <w:r w:rsidRPr="00A15702">
              <w:rPr>
                <w:rFonts w:ascii="Arial" w:eastAsia="Times New Roman" w:hAnsi="Arial" w:cs="Arial"/>
                <w:color w:val="000000"/>
                <w:kern w:val="0"/>
                <w:sz w:val="18"/>
                <w:szCs w:val="18"/>
                <w:lang w:eastAsia="pt-BR"/>
                <w14:ligatures w14:val="none"/>
              </w:rPr>
              <w:t xml:space="preserve">       24.561 </w:t>
            </w:r>
          </w:p>
        </w:tc>
        <w:tc>
          <w:tcPr>
            <w:tcW w:w="576" w:type="pct"/>
            <w:tcBorders>
              <w:top w:val="nil"/>
              <w:left w:val="nil"/>
              <w:bottom w:val="single" w:sz="8" w:space="0" w:color="auto"/>
              <w:right w:val="single" w:sz="8" w:space="0" w:color="auto"/>
            </w:tcBorders>
            <w:shd w:val="clear" w:color="auto" w:fill="auto"/>
            <w:noWrap/>
            <w:vAlign w:val="center"/>
            <w:hideMark/>
          </w:tcPr>
          <w:p w14:paraId="4E0015CE" w14:textId="77777777" w:rsidR="00A15702" w:rsidRPr="00A15702" w:rsidRDefault="00A15702" w:rsidP="00A15702">
            <w:pPr>
              <w:spacing w:after="0" w:line="240" w:lineRule="auto"/>
              <w:jc w:val="right"/>
              <w:rPr>
                <w:rFonts w:ascii="Arial" w:eastAsia="Times New Roman" w:hAnsi="Arial" w:cs="Arial"/>
                <w:color w:val="000000"/>
                <w:kern w:val="0"/>
                <w:sz w:val="18"/>
                <w:szCs w:val="18"/>
                <w:lang w:eastAsia="pt-BR"/>
                <w14:ligatures w14:val="none"/>
              </w:rPr>
            </w:pPr>
            <w:r w:rsidRPr="00A15702">
              <w:rPr>
                <w:rFonts w:ascii="Arial" w:eastAsia="Times New Roman" w:hAnsi="Arial" w:cs="Arial"/>
                <w:color w:val="000000"/>
                <w:kern w:val="0"/>
                <w:sz w:val="18"/>
                <w:szCs w:val="18"/>
                <w14:ligatures w14:val="none"/>
              </w:rPr>
              <w:t xml:space="preserve">      22.585 </w:t>
            </w:r>
          </w:p>
        </w:tc>
      </w:tr>
      <w:tr w:rsidR="00A15702" w:rsidRPr="00A15702" w14:paraId="43933898" w14:textId="77777777" w:rsidTr="00446A14">
        <w:trPr>
          <w:trHeight w:val="238"/>
        </w:trPr>
        <w:tc>
          <w:tcPr>
            <w:tcW w:w="3843" w:type="pct"/>
            <w:tcBorders>
              <w:top w:val="nil"/>
              <w:left w:val="single" w:sz="8" w:space="0" w:color="auto"/>
              <w:bottom w:val="single" w:sz="8" w:space="0" w:color="auto"/>
              <w:right w:val="single" w:sz="8" w:space="0" w:color="auto"/>
            </w:tcBorders>
            <w:shd w:val="clear" w:color="auto" w:fill="auto"/>
            <w:noWrap/>
            <w:vAlign w:val="center"/>
            <w:hideMark/>
          </w:tcPr>
          <w:p w14:paraId="6EEFFEC5" w14:textId="77777777" w:rsidR="00A15702" w:rsidRPr="00A15702" w:rsidRDefault="00A15702" w:rsidP="00A15702">
            <w:pPr>
              <w:spacing w:after="0" w:line="240" w:lineRule="auto"/>
              <w:rPr>
                <w:rFonts w:ascii="Arial" w:eastAsia="Times New Roman" w:hAnsi="Arial" w:cs="Arial"/>
                <w:b/>
                <w:bCs/>
                <w:color w:val="000000"/>
                <w:kern w:val="0"/>
                <w:sz w:val="18"/>
                <w:szCs w:val="18"/>
                <w:lang w:eastAsia="pt-BR"/>
                <w14:ligatures w14:val="none"/>
              </w:rPr>
            </w:pPr>
            <w:r w:rsidRPr="00A15702">
              <w:rPr>
                <w:rFonts w:ascii="Arial" w:eastAsia="Times New Roman" w:hAnsi="Arial" w:cs="Arial"/>
                <w:b/>
                <w:bCs/>
                <w:color w:val="000000"/>
                <w:kern w:val="0"/>
                <w:sz w:val="18"/>
                <w:szCs w:val="18"/>
                <w:lang w:eastAsia="pt-BR"/>
                <w14:ligatures w14:val="none"/>
              </w:rPr>
              <w:t>Contas a Receber – Bruto</w:t>
            </w:r>
          </w:p>
        </w:tc>
        <w:tc>
          <w:tcPr>
            <w:tcW w:w="581" w:type="pct"/>
            <w:tcBorders>
              <w:top w:val="nil"/>
              <w:left w:val="nil"/>
              <w:bottom w:val="single" w:sz="8" w:space="0" w:color="auto"/>
              <w:right w:val="single" w:sz="8" w:space="0" w:color="auto"/>
            </w:tcBorders>
            <w:shd w:val="clear" w:color="auto" w:fill="auto"/>
            <w:noWrap/>
            <w:vAlign w:val="center"/>
            <w:hideMark/>
          </w:tcPr>
          <w:p w14:paraId="080DB24C" w14:textId="77777777" w:rsidR="00A15702" w:rsidRPr="00A15702" w:rsidRDefault="00A15702" w:rsidP="00A15702">
            <w:pPr>
              <w:spacing w:after="0" w:line="240" w:lineRule="auto"/>
              <w:jc w:val="right"/>
              <w:rPr>
                <w:rFonts w:ascii="Arial" w:eastAsia="Times New Roman" w:hAnsi="Arial" w:cs="Arial"/>
                <w:b/>
                <w:bCs/>
                <w:color w:val="000000"/>
                <w:kern w:val="0"/>
                <w:sz w:val="18"/>
                <w:szCs w:val="18"/>
                <w:lang w:eastAsia="pt-BR"/>
                <w14:ligatures w14:val="none"/>
              </w:rPr>
            </w:pPr>
            <w:r w:rsidRPr="00A15702">
              <w:rPr>
                <w:rFonts w:ascii="Arial" w:eastAsia="Times New Roman" w:hAnsi="Arial" w:cs="Arial"/>
                <w:b/>
                <w:bCs/>
                <w:color w:val="000000"/>
                <w:kern w:val="0"/>
                <w:sz w:val="18"/>
                <w:szCs w:val="18"/>
                <w:lang w:eastAsia="pt-BR"/>
                <w14:ligatures w14:val="none"/>
              </w:rPr>
              <w:t xml:space="preserve">     180.483 </w:t>
            </w:r>
          </w:p>
        </w:tc>
        <w:tc>
          <w:tcPr>
            <w:tcW w:w="576" w:type="pct"/>
            <w:tcBorders>
              <w:top w:val="nil"/>
              <w:left w:val="nil"/>
              <w:bottom w:val="single" w:sz="8" w:space="0" w:color="auto"/>
              <w:right w:val="single" w:sz="8" w:space="0" w:color="auto"/>
            </w:tcBorders>
            <w:shd w:val="clear" w:color="auto" w:fill="auto"/>
            <w:noWrap/>
            <w:vAlign w:val="center"/>
            <w:hideMark/>
          </w:tcPr>
          <w:p w14:paraId="107DC24A" w14:textId="77777777" w:rsidR="00A15702" w:rsidRPr="00A15702" w:rsidRDefault="00A15702" w:rsidP="00A15702">
            <w:pPr>
              <w:spacing w:after="0" w:line="240" w:lineRule="auto"/>
              <w:jc w:val="right"/>
              <w:rPr>
                <w:rFonts w:ascii="Arial" w:eastAsia="Times New Roman" w:hAnsi="Arial" w:cs="Arial"/>
                <w:b/>
                <w:bCs/>
                <w:color w:val="000000"/>
                <w:kern w:val="0"/>
                <w:sz w:val="18"/>
                <w:szCs w:val="18"/>
                <w:lang w:eastAsia="pt-BR"/>
                <w14:ligatures w14:val="none"/>
              </w:rPr>
            </w:pPr>
            <w:r w:rsidRPr="00A15702">
              <w:rPr>
                <w:rFonts w:ascii="Arial" w:eastAsia="Times New Roman" w:hAnsi="Arial" w:cs="Arial"/>
                <w:b/>
                <w:bCs/>
                <w:color w:val="000000"/>
                <w:kern w:val="0"/>
                <w:sz w:val="18"/>
                <w:szCs w:val="18"/>
                <w14:ligatures w14:val="none"/>
              </w:rPr>
              <w:t xml:space="preserve">    109.717 </w:t>
            </w:r>
          </w:p>
        </w:tc>
      </w:tr>
      <w:tr w:rsidR="00A15702" w:rsidRPr="00A15702" w14:paraId="54EC23E0" w14:textId="77777777" w:rsidTr="00446A14">
        <w:trPr>
          <w:trHeight w:val="238"/>
        </w:trPr>
        <w:tc>
          <w:tcPr>
            <w:tcW w:w="3843" w:type="pct"/>
            <w:tcBorders>
              <w:top w:val="nil"/>
              <w:left w:val="single" w:sz="8" w:space="0" w:color="auto"/>
              <w:bottom w:val="single" w:sz="8" w:space="0" w:color="auto"/>
              <w:right w:val="single" w:sz="8" w:space="0" w:color="auto"/>
            </w:tcBorders>
            <w:shd w:val="clear" w:color="auto" w:fill="auto"/>
            <w:noWrap/>
            <w:vAlign w:val="center"/>
            <w:hideMark/>
          </w:tcPr>
          <w:p w14:paraId="01EF0367" w14:textId="77777777" w:rsidR="00A15702" w:rsidRPr="00A15702" w:rsidRDefault="00A15702" w:rsidP="00A15702">
            <w:pPr>
              <w:spacing w:after="0" w:line="240" w:lineRule="auto"/>
              <w:rPr>
                <w:rFonts w:ascii="Arial" w:eastAsia="Times New Roman" w:hAnsi="Arial" w:cs="Arial"/>
                <w:b/>
                <w:bCs/>
                <w:color w:val="000000"/>
                <w:kern w:val="0"/>
                <w:sz w:val="18"/>
                <w:szCs w:val="18"/>
                <w:lang w:eastAsia="pt-BR"/>
                <w14:ligatures w14:val="none"/>
              </w:rPr>
            </w:pPr>
            <w:r w:rsidRPr="00A15702">
              <w:rPr>
                <w:rFonts w:ascii="Arial" w:eastAsia="Times New Roman" w:hAnsi="Arial" w:cs="Arial"/>
                <w:b/>
                <w:bCs/>
                <w:color w:val="000000"/>
                <w:kern w:val="0"/>
                <w:sz w:val="18"/>
                <w:szCs w:val="18"/>
                <w:lang w:eastAsia="pt-BR"/>
                <w14:ligatures w14:val="none"/>
              </w:rPr>
              <w:t>Perda Estimada com Crédito de Liquidação Duvidosa</w:t>
            </w:r>
          </w:p>
        </w:tc>
        <w:tc>
          <w:tcPr>
            <w:tcW w:w="581" w:type="pct"/>
            <w:tcBorders>
              <w:top w:val="nil"/>
              <w:left w:val="nil"/>
              <w:bottom w:val="single" w:sz="8" w:space="0" w:color="auto"/>
              <w:right w:val="single" w:sz="8" w:space="0" w:color="auto"/>
            </w:tcBorders>
            <w:shd w:val="clear" w:color="auto" w:fill="auto"/>
            <w:noWrap/>
            <w:vAlign w:val="center"/>
            <w:hideMark/>
          </w:tcPr>
          <w:p w14:paraId="49623446" w14:textId="77777777" w:rsidR="00A15702" w:rsidRPr="00A15702" w:rsidRDefault="00A15702" w:rsidP="00A15702">
            <w:pPr>
              <w:spacing w:after="0" w:line="240" w:lineRule="auto"/>
              <w:jc w:val="right"/>
              <w:rPr>
                <w:rFonts w:ascii="Arial" w:eastAsia="Times New Roman" w:hAnsi="Arial" w:cs="Arial"/>
                <w:b/>
                <w:bCs/>
                <w:color w:val="000000"/>
                <w:kern w:val="0"/>
                <w:sz w:val="18"/>
                <w:szCs w:val="18"/>
                <w:lang w:eastAsia="pt-BR"/>
                <w14:ligatures w14:val="none"/>
              </w:rPr>
            </w:pPr>
            <w:r w:rsidRPr="00A15702">
              <w:rPr>
                <w:rFonts w:ascii="Arial" w:eastAsia="Times New Roman" w:hAnsi="Arial" w:cs="Arial"/>
                <w:b/>
                <w:bCs/>
                <w:color w:val="000000"/>
                <w:kern w:val="0"/>
                <w:sz w:val="18"/>
                <w:szCs w:val="18"/>
                <w:lang w:eastAsia="pt-BR"/>
                <w14:ligatures w14:val="none"/>
              </w:rPr>
              <w:t xml:space="preserve">        (3.598</w:t>
            </w:r>
          </w:p>
        </w:tc>
        <w:tc>
          <w:tcPr>
            <w:tcW w:w="576" w:type="pct"/>
            <w:tcBorders>
              <w:top w:val="nil"/>
              <w:left w:val="nil"/>
              <w:bottom w:val="single" w:sz="8" w:space="0" w:color="auto"/>
              <w:right w:val="single" w:sz="8" w:space="0" w:color="auto"/>
            </w:tcBorders>
            <w:shd w:val="clear" w:color="auto" w:fill="auto"/>
            <w:noWrap/>
            <w:vAlign w:val="center"/>
            <w:hideMark/>
          </w:tcPr>
          <w:p w14:paraId="577C4190" w14:textId="77777777" w:rsidR="00A15702" w:rsidRPr="00A15702" w:rsidRDefault="00A15702" w:rsidP="00A15702">
            <w:pPr>
              <w:spacing w:after="0" w:line="240" w:lineRule="auto"/>
              <w:jc w:val="right"/>
              <w:rPr>
                <w:rFonts w:ascii="Arial" w:eastAsia="Times New Roman" w:hAnsi="Arial" w:cs="Arial"/>
                <w:b/>
                <w:bCs/>
                <w:color w:val="000000"/>
                <w:kern w:val="0"/>
                <w:sz w:val="18"/>
                <w:szCs w:val="18"/>
                <w:lang w:eastAsia="pt-BR"/>
                <w14:ligatures w14:val="none"/>
              </w:rPr>
            </w:pPr>
            <w:r w:rsidRPr="00A15702">
              <w:rPr>
                <w:rFonts w:ascii="Arial" w:eastAsia="Times New Roman" w:hAnsi="Arial" w:cs="Arial"/>
                <w:b/>
                <w:bCs/>
                <w:color w:val="000000"/>
                <w:kern w:val="0"/>
                <w:sz w:val="18"/>
                <w:szCs w:val="18"/>
                <w14:ligatures w14:val="none"/>
              </w:rPr>
              <w:t xml:space="preserve">       (3.848)</w:t>
            </w:r>
          </w:p>
        </w:tc>
      </w:tr>
      <w:tr w:rsidR="00A15702" w:rsidRPr="00A15702" w14:paraId="193BD14F" w14:textId="77777777" w:rsidTr="00446A14">
        <w:trPr>
          <w:trHeight w:val="238"/>
        </w:trPr>
        <w:tc>
          <w:tcPr>
            <w:tcW w:w="3843" w:type="pct"/>
            <w:tcBorders>
              <w:top w:val="nil"/>
              <w:left w:val="single" w:sz="8" w:space="0" w:color="auto"/>
              <w:bottom w:val="single" w:sz="8" w:space="0" w:color="auto"/>
              <w:right w:val="single" w:sz="8" w:space="0" w:color="auto"/>
            </w:tcBorders>
            <w:shd w:val="clear" w:color="auto" w:fill="auto"/>
            <w:noWrap/>
            <w:vAlign w:val="center"/>
            <w:hideMark/>
          </w:tcPr>
          <w:p w14:paraId="02293E2B" w14:textId="77777777" w:rsidR="00A15702" w:rsidRPr="00A15702" w:rsidRDefault="00A15702" w:rsidP="00A15702">
            <w:pPr>
              <w:spacing w:after="0" w:line="240" w:lineRule="auto"/>
              <w:rPr>
                <w:rFonts w:ascii="Arial" w:eastAsia="Times New Roman" w:hAnsi="Arial" w:cs="Arial"/>
                <w:b/>
                <w:bCs/>
                <w:color w:val="000000"/>
                <w:kern w:val="0"/>
                <w:sz w:val="18"/>
                <w:szCs w:val="18"/>
                <w:lang w:eastAsia="pt-BR"/>
                <w14:ligatures w14:val="none"/>
              </w:rPr>
            </w:pPr>
            <w:r w:rsidRPr="00A15702">
              <w:rPr>
                <w:rFonts w:ascii="Arial" w:eastAsia="Times New Roman" w:hAnsi="Arial" w:cs="Arial"/>
                <w:b/>
                <w:bCs/>
                <w:color w:val="000000"/>
                <w:kern w:val="0"/>
                <w:sz w:val="18"/>
                <w:szCs w:val="18"/>
                <w:lang w:eastAsia="pt-BR"/>
                <w14:ligatures w14:val="none"/>
              </w:rPr>
              <w:t>Contas a Receber – Líquido</w:t>
            </w:r>
          </w:p>
        </w:tc>
        <w:tc>
          <w:tcPr>
            <w:tcW w:w="581" w:type="pct"/>
            <w:tcBorders>
              <w:top w:val="nil"/>
              <w:left w:val="nil"/>
              <w:bottom w:val="single" w:sz="8" w:space="0" w:color="auto"/>
              <w:right w:val="single" w:sz="8" w:space="0" w:color="auto"/>
            </w:tcBorders>
            <w:shd w:val="clear" w:color="auto" w:fill="auto"/>
            <w:noWrap/>
            <w:vAlign w:val="center"/>
            <w:hideMark/>
          </w:tcPr>
          <w:p w14:paraId="0342996B" w14:textId="77777777" w:rsidR="00A15702" w:rsidRPr="00A15702" w:rsidRDefault="00A15702" w:rsidP="00A15702">
            <w:pPr>
              <w:spacing w:after="0" w:line="240" w:lineRule="auto"/>
              <w:jc w:val="right"/>
              <w:rPr>
                <w:rFonts w:ascii="Arial" w:eastAsia="Times New Roman" w:hAnsi="Arial" w:cs="Arial"/>
                <w:b/>
                <w:bCs/>
                <w:color w:val="000000"/>
                <w:kern w:val="0"/>
                <w:sz w:val="18"/>
                <w:szCs w:val="18"/>
                <w:lang w:eastAsia="pt-BR"/>
                <w14:ligatures w14:val="none"/>
              </w:rPr>
            </w:pPr>
            <w:r w:rsidRPr="00A15702">
              <w:rPr>
                <w:rFonts w:ascii="Arial" w:eastAsia="Times New Roman" w:hAnsi="Arial" w:cs="Arial"/>
                <w:b/>
                <w:bCs/>
                <w:color w:val="000000"/>
                <w:kern w:val="0"/>
                <w:sz w:val="18"/>
                <w:szCs w:val="18"/>
                <w:lang w:eastAsia="pt-BR"/>
                <w14:ligatures w14:val="none"/>
              </w:rPr>
              <w:t xml:space="preserve">     176.885 </w:t>
            </w:r>
          </w:p>
        </w:tc>
        <w:tc>
          <w:tcPr>
            <w:tcW w:w="576" w:type="pct"/>
            <w:tcBorders>
              <w:top w:val="nil"/>
              <w:left w:val="nil"/>
              <w:bottom w:val="single" w:sz="8" w:space="0" w:color="auto"/>
              <w:right w:val="single" w:sz="8" w:space="0" w:color="auto"/>
            </w:tcBorders>
            <w:shd w:val="clear" w:color="auto" w:fill="auto"/>
            <w:noWrap/>
            <w:vAlign w:val="center"/>
            <w:hideMark/>
          </w:tcPr>
          <w:p w14:paraId="2D044E47" w14:textId="77777777" w:rsidR="00A15702" w:rsidRPr="00A15702" w:rsidRDefault="00A15702" w:rsidP="00A15702">
            <w:pPr>
              <w:spacing w:after="0" w:line="240" w:lineRule="auto"/>
              <w:jc w:val="right"/>
              <w:rPr>
                <w:rFonts w:ascii="Arial" w:eastAsia="Times New Roman" w:hAnsi="Arial" w:cs="Arial"/>
                <w:b/>
                <w:bCs/>
                <w:color w:val="000000"/>
                <w:kern w:val="0"/>
                <w:sz w:val="18"/>
                <w:szCs w:val="18"/>
                <w:lang w:eastAsia="pt-BR"/>
                <w14:ligatures w14:val="none"/>
              </w:rPr>
            </w:pPr>
            <w:r w:rsidRPr="00A15702">
              <w:rPr>
                <w:rFonts w:ascii="Arial" w:eastAsia="Times New Roman" w:hAnsi="Arial" w:cs="Arial"/>
                <w:b/>
                <w:bCs/>
                <w:color w:val="000000"/>
                <w:kern w:val="0"/>
                <w:sz w:val="18"/>
                <w:szCs w:val="18"/>
                <w14:ligatures w14:val="none"/>
              </w:rPr>
              <w:t xml:space="preserve">    105.869 </w:t>
            </w:r>
          </w:p>
        </w:tc>
      </w:tr>
    </w:tbl>
    <w:p w14:paraId="7F7E8DDC" w14:textId="77777777" w:rsidR="00A15702" w:rsidRDefault="00A15702" w:rsidP="007A23F8">
      <w:pPr>
        <w:autoSpaceDE w:val="0"/>
        <w:autoSpaceDN w:val="0"/>
        <w:adjustRightInd w:val="0"/>
        <w:spacing w:after="0" w:line="240" w:lineRule="auto"/>
        <w:jc w:val="both"/>
        <w:rPr>
          <w:rFonts w:ascii="Calibri" w:eastAsia="Times New Roman" w:hAnsi="Calibri" w:cs="Calibri"/>
          <w:iCs/>
          <w:color w:val="002060"/>
          <w:kern w:val="0"/>
          <w14:ligatures w14:val="none"/>
        </w:rPr>
      </w:pPr>
      <w:r w:rsidRPr="00A15702">
        <w:rPr>
          <w:rFonts w:ascii="Calibri" w:eastAsia="Times New Roman" w:hAnsi="Calibri" w:cs="Calibri"/>
          <w:iCs/>
          <w:color w:val="002060"/>
          <w:kern w:val="0"/>
          <w14:ligatures w14:val="none"/>
        </w:rPr>
        <w:t>Em 31 de dezembro de 2023 e 31 de dezembro de 2022, a Companhia possuía valores a receber de Entidades do Governo Federal que representavam mais de 10% das contas a receber líquidas.</w:t>
      </w:r>
    </w:p>
    <w:p w14:paraId="1D21968E" w14:textId="4DFE736E" w:rsidR="00445504" w:rsidRPr="00445504" w:rsidRDefault="00445504" w:rsidP="007A23F8">
      <w:pPr>
        <w:autoSpaceDE w:val="0"/>
        <w:autoSpaceDN w:val="0"/>
        <w:adjustRightInd w:val="0"/>
        <w:spacing w:after="0" w:line="240" w:lineRule="auto"/>
        <w:jc w:val="both"/>
        <w:rPr>
          <w:rFonts w:ascii="Calibri" w:eastAsia="Times New Roman" w:hAnsi="Calibri" w:cs="Calibri"/>
          <w:b/>
          <w:bCs/>
          <w:iCs/>
          <w:color w:val="002060"/>
          <w:kern w:val="0"/>
          <w14:ligatures w14:val="none"/>
        </w:rPr>
      </w:pPr>
      <w:bookmarkStart w:id="389" w:name="_Toc491337710"/>
      <w:r>
        <w:rPr>
          <w:rFonts w:ascii="Calibri" w:eastAsia="Times New Roman" w:hAnsi="Calibri" w:cs="Calibri"/>
          <w:b/>
          <w:bCs/>
          <w:iCs/>
          <w:color w:val="002060"/>
          <w:kern w:val="0"/>
          <w14:ligatures w14:val="none"/>
        </w:rPr>
        <w:t xml:space="preserve">6.2. </w:t>
      </w:r>
      <w:r w:rsidRPr="00445504">
        <w:rPr>
          <w:rFonts w:ascii="Calibri" w:eastAsia="Times New Roman" w:hAnsi="Calibri" w:cs="Calibri"/>
          <w:b/>
          <w:bCs/>
          <w:iCs/>
          <w:color w:val="002060"/>
          <w:kern w:val="0"/>
          <w14:ligatures w14:val="none"/>
        </w:rPr>
        <w:t>Perdas estimadas com créditos de liquidação duvidosa</w:t>
      </w:r>
      <w:bookmarkEnd w:id="389"/>
    </w:p>
    <w:p w14:paraId="18419B6B" w14:textId="77777777" w:rsidR="00445504" w:rsidRPr="00445504" w:rsidRDefault="00445504" w:rsidP="007A23F8">
      <w:pPr>
        <w:autoSpaceDE w:val="0"/>
        <w:autoSpaceDN w:val="0"/>
        <w:adjustRightInd w:val="0"/>
        <w:spacing w:after="0" w:line="240" w:lineRule="auto"/>
        <w:jc w:val="both"/>
        <w:rPr>
          <w:rFonts w:ascii="Calibri" w:eastAsia="Times New Roman" w:hAnsi="Calibri" w:cs="Calibri"/>
          <w:bCs/>
          <w:iCs/>
          <w:color w:val="002060"/>
          <w:kern w:val="0"/>
          <w14:ligatures w14:val="none"/>
        </w:rPr>
      </w:pPr>
      <w:r w:rsidRPr="00445504">
        <w:rPr>
          <w:rFonts w:ascii="Calibri" w:eastAsia="Times New Roman" w:hAnsi="Calibri" w:cs="Calibri"/>
          <w:bCs/>
          <w:iCs/>
          <w:color w:val="002060"/>
          <w:kern w:val="0"/>
          <w14:ligatures w14:val="none"/>
        </w:rPr>
        <w:t>A Companhia reconhece o valor da estimativa de perdas com base no modelo de perdas esperadas. No cálculo são utilizadas bases históricas de inadimplência, prazos de recebimento e volumes de perdas incorridas, ajustadas conforme o julgamento da Administração, quando as condições atuais de economia indiquem que perdas reais sejam superiores ou inferiores àquelas sugeridas pela base histórica. As proporções de inadimplência e de perdas, bem como os prazos estimados para recuperações futuras são regularmente analisados com os resultados reais, a fim de confirmar a sua aderência. As perdas estimadas são reconhecidas no resultado.</w:t>
      </w:r>
    </w:p>
    <w:p w14:paraId="27F40401" w14:textId="77777777" w:rsidR="00445504" w:rsidRPr="00445504" w:rsidRDefault="00445504" w:rsidP="007A23F8">
      <w:pPr>
        <w:autoSpaceDE w:val="0"/>
        <w:autoSpaceDN w:val="0"/>
        <w:adjustRightInd w:val="0"/>
        <w:spacing w:after="0" w:line="240" w:lineRule="auto"/>
        <w:jc w:val="both"/>
        <w:rPr>
          <w:rFonts w:ascii="Calibri" w:eastAsia="Times New Roman" w:hAnsi="Calibri" w:cs="Calibri"/>
          <w:bCs/>
          <w:iCs/>
          <w:color w:val="002060"/>
          <w:kern w:val="0"/>
          <w14:ligatures w14:val="none"/>
        </w:rPr>
        <w:sectPr w:rsidR="00445504" w:rsidRPr="00445504" w:rsidSect="00445504">
          <w:footerReference w:type="default" r:id="rId56"/>
          <w:type w:val="continuous"/>
          <w:pgSz w:w="11906" w:h="16838" w:code="9"/>
          <w:pgMar w:top="848" w:right="849" w:bottom="993" w:left="1276" w:header="850" w:footer="964" w:gutter="0"/>
          <w:cols w:space="708"/>
          <w:docGrid w:linePitch="360"/>
        </w:sectPr>
      </w:pPr>
    </w:p>
    <w:p w14:paraId="5E44A177" w14:textId="77777777" w:rsidR="00445504" w:rsidRDefault="00445504" w:rsidP="007A23F8">
      <w:pPr>
        <w:autoSpaceDE w:val="0"/>
        <w:autoSpaceDN w:val="0"/>
        <w:adjustRightInd w:val="0"/>
        <w:spacing w:after="0" w:line="240" w:lineRule="auto"/>
        <w:jc w:val="both"/>
        <w:rPr>
          <w:rFonts w:ascii="Calibri" w:eastAsia="Times New Roman" w:hAnsi="Calibri" w:cs="Calibri"/>
          <w:iCs/>
          <w:color w:val="002060"/>
          <w:kern w:val="0"/>
          <w14:ligatures w14:val="none"/>
        </w:rPr>
      </w:pPr>
      <w:r w:rsidRPr="00445504">
        <w:rPr>
          <w:rFonts w:ascii="Calibri" w:eastAsia="Times New Roman" w:hAnsi="Calibri" w:cs="Calibri"/>
          <w:iCs/>
          <w:color w:val="002060"/>
          <w:kern w:val="0"/>
          <w14:ligatures w14:val="none"/>
        </w:rPr>
        <w:t>A composição das perdas estimadas com créditos de liquidação duvidosa, de acordo com o critério de constituição, é apresentada a seguir:</w:t>
      </w:r>
    </w:p>
    <w:tbl>
      <w:tblPr>
        <w:tblW w:w="5000" w:type="pct"/>
        <w:tblCellMar>
          <w:left w:w="70" w:type="dxa"/>
          <w:right w:w="70" w:type="dxa"/>
        </w:tblCellMar>
        <w:tblLook w:val="04A0" w:firstRow="1" w:lastRow="0" w:firstColumn="1" w:lastColumn="0" w:noHBand="0" w:noVBand="1"/>
      </w:tblPr>
      <w:tblGrid>
        <w:gridCol w:w="2588"/>
        <w:gridCol w:w="1145"/>
        <w:gridCol w:w="1149"/>
        <w:gridCol w:w="1149"/>
        <w:gridCol w:w="1143"/>
        <w:gridCol w:w="1454"/>
        <w:gridCol w:w="1143"/>
      </w:tblGrid>
      <w:tr w:rsidR="00445504" w:rsidRPr="00445504" w14:paraId="6794BDFB" w14:textId="77777777" w:rsidTr="00446A14">
        <w:trPr>
          <w:trHeight w:val="238"/>
          <w:tblHeader/>
        </w:trPr>
        <w:tc>
          <w:tcPr>
            <w:tcW w:w="132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BB7A0D8" w14:textId="77777777" w:rsidR="00445504" w:rsidRPr="00445504" w:rsidRDefault="00445504" w:rsidP="00445504">
            <w:pPr>
              <w:spacing w:after="0" w:line="240" w:lineRule="auto"/>
              <w:jc w:val="center"/>
              <w:rPr>
                <w:rFonts w:ascii="Arial" w:eastAsia="Times New Roman" w:hAnsi="Arial" w:cs="Arial"/>
                <w:b/>
                <w:bCs/>
                <w:color w:val="000000"/>
                <w:kern w:val="0"/>
                <w:sz w:val="16"/>
                <w:szCs w:val="16"/>
                <w:lang w:eastAsia="pt-BR"/>
                <w14:ligatures w14:val="none"/>
              </w:rPr>
            </w:pPr>
            <w:r w:rsidRPr="00445504">
              <w:rPr>
                <w:rFonts w:ascii="Arial" w:eastAsia="Times New Roman" w:hAnsi="Arial" w:cs="Arial"/>
                <w:b/>
                <w:bCs/>
                <w:color w:val="000000"/>
                <w:kern w:val="0"/>
                <w:sz w:val="16"/>
                <w:szCs w:val="16"/>
                <w:lang w:eastAsia="pt-BR"/>
                <w14:ligatures w14:val="none"/>
              </w:rPr>
              <w:t xml:space="preserve">Faixas de Vencimentos </w:t>
            </w:r>
          </w:p>
        </w:tc>
        <w:tc>
          <w:tcPr>
            <w:tcW w:w="5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A24220" w14:textId="77777777" w:rsidR="00445504" w:rsidRPr="00445504" w:rsidRDefault="00445504" w:rsidP="00445504">
            <w:pPr>
              <w:spacing w:after="0" w:line="240" w:lineRule="auto"/>
              <w:jc w:val="center"/>
              <w:rPr>
                <w:rFonts w:ascii="Arial" w:eastAsia="Times New Roman" w:hAnsi="Arial" w:cs="Arial"/>
                <w:b/>
                <w:bCs/>
                <w:color w:val="000000"/>
                <w:kern w:val="0"/>
                <w:sz w:val="16"/>
                <w:szCs w:val="16"/>
                <w:lang w:eastAsia="pt-BR"/>
                <w14:ligatures w14:val="none"/>
              </w:rPr>
            </w:pPr>
            <w:r w:rsidRPr="00445504">
              <w:rPr>
                <w:rFonts w:ascii="Arial" w:eastAsia="Times New Roman" w:hAnsi="Arial" w:cs="Arial"/>
                <w:b/>
                <w:bCs/>
                <w:color w:val="000000"/>
                <w:kern w:val="0"/>
                <w:sz w:val="16"/>
                <w:szCs w:val="16"/>
                <w:lang w:eastAsia="pt-BR"/>
                <w14:ligatures w14:val="none"/>
              </w:rPr>
              <w:t xml:space="preserve"> Valor a Receber sem Exclusões </w:t>
            </w:r>
          </w:p>
        </w:tc>
        <w:tc>
          <w:tcPr>
            <w:tcW w:w="1176" w:type="pct"/>
            <w:gridSpan w:val="2"/>
            <w:tcBorders>
              <w:top w:val="single" w:sz="4" w:space="0" w:color="auto"/>
              <w:left w:val="nil"/>
              <w:bottom w:val="single" w:sz="4" w:space="0" w:color="auto"/>
              <w:right w:val="single" w:sz="4" w:space="0" w:color="auto"/>
            </w:tcBorders>
            <w:shd w:val="clear" w:color="auto" w:fill="auto"/>
            <w:vAlign w:val="center"/>
            <w:hideMark/>
          </w:tcPr>
          <w:p w14:paraId="61CFC6A6" w14:textId="77777777" w:rsidR="00445504" w:rsidRPr="00445504" w:rsidRDefault="00445504" w:rsidP="00445504">
            <w:pPr>
              <w:spacing w:after="0" w:line="240" w:lineRule="auto"/>
              <w:jc w:val="center"/>
              <w:rPr>
                <w:rFonts w:ascii="Arial" w:eastAsia="Times New Roman" w:hAnsi="Arial" w:cs="Arial"/>
                <w:b/>
                <w:bCs/>
                <w:color w:val="000000"/>
                <w:kern w:val="0"/>
                <w:sz w:val="16"/>
                <w:szCs w:val="16"/>
                <w:lang w:eastAsia="pt-BR"/>
                <w14:ligatures w14:val="none"/>
              </w:rPr>
            </w:pPr>
            <w:r w:rsidRPr="00445504">
              <w:rPr>
                <w:rFonts w:ascii="Arial" w:eastAsia="Times New Roman" w:hAnsi="Arial" w:cs="Arial"/>
                <w:b/>
                <w:bCs/>
                <w:color w:val="000000"/>
                <w:kern w:val="0"/>
                <w:sz w:val="16"/>
                <w:szCs w:val="16"/>
                <w:lang w:eastAsia="pt-BR"/>
                <w14:ligatures w14:val="none"/>
              </w:rPr>
              <w:t xml:space="preserve"> Exclusões da Base de Cálculo </w:t>
            </w:r>
          </w:p>
        </w:tc>
        <w:tc>
          <w:tcPr>
            <w:tcW w:w="5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04C669" w14:textId="77777777" w:rsidR="00445504" w:rsidRPr="00445504" w:rsidRDefault="00445504" w:rsidP="00445504">
            <w:pPr>
              <w:spacing w:after="0" w:line="240" w:lineRule="auto"/>
              <w:jc w:val="center"/>
              <w:rPr>
                <w:rFonts w:ascii="Arial" w:eastAsia="Times New Roman" w:hAnsi="Arial" w:cs="Arial"/>
                <w:b/>
                <w:bCs/>
                <w:color w:val="000000"/>
                <w:kern w:val="0"/>
                <w:sz w:val="16"/>
                <w:szCs w:val="16"/>
                <w:lang w:eastAsia="pt-BR"/>
                <w14:ligatures w14:val="none"/>
              </w:rPr>
            </w:pPr>
            <w:r w:rsidRPr="00445504">
              <w:rPr>
                <w:rFonts w:ascii="Arial" w:eastAsia="Times New Roman" w:hAnsi="Arial" w:cs="Arial"/>
                <w:b/>
                <w:bCs/>
                <w:color w:val="000000"/>
                <w:kern w:val="0"/>
                <w:sz w:val="16"/>
                <w:szCs w:val="16"/>
                <w:lang w:eastAsia="pt-BR"/>
                <w14:ligatures w14:val="none"/>
              </w:rPr>
              <w:t xml:space="preserve"> Valor a Receber após Exclusões </w:t>
            </w:r>
          </w:p>
        </w:tc>
        <w:tc>
          <w:tcPr>
            <w:tcW w:w="7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3CB0DF" w14:textId="77777777" w:rsidR="00445504" w:rsidRPr="00445504" w:rsidRDefault="00445504" w:rsidP="00445504">
            <w:pPr>
              <w:spacing w:after="0" w:line="240" w:lineRule="auto"/>
              <w:jc w:val="center"/>
              <w:rPr>
                <w:rFonts w:ascii="Arial" w:eastAsia="Times New Roman" w:hAnsi="Arial" w:cs="Arial"/>
                <w:b/>
                <w:bCs/>
                <w:color w:val="000000"/>
                <w:kern w:val="0"/>
                <w:sz w:val="16"/>
                <w:szCs w:val="16"/>
                <w:lang w:eastAsia="pt-BR"/>
                <w14:ligatures w14:val="none"/>
              </w:rPr>
            </w:pPr>
            <w:r w:rsidRPr="00445504">
              <w:rPr>
                <w:rFonts w:ascii="Arial" w:eastAsia="Times New Roman" w:hAnsi="Arial" w:cs="Arial"/>
                <w:b/>
                <w:bCs/>
                <w:color w:val="000000"/>
                <w:kern w:val="0"/>
                <w:sz w:val="16"/>
                <w:szCs w:val="16"/>
                <w:lang w:eastAsia="pt-BR"/>
                <w14:ligatures w14:val="none"/>
              </w:rPr>
              <w:t xml:space="preserve"> % Inadimplência por Faixa </w:t>
            </w:r>
          </w:p>
        </w:tc>
        <w:tc>
          <w:tcPr>
            <w:tcW w:w="5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59FEE8" w14:textId="77777777" w:rsidR="00445504" w:rsidRPr="00445504" w:rsidRDefault="00445504" w:rsidP="00445504">
            <w:pPr>
              <w:spacing w:after="0" w:line="240" w:lineRule="auto"/>
              <w:jc w:val="center"/>
              <w:rPr>
                <w:rFonts w:ascii="Arial" w:eastAsia="Times New Roman" w:hAnsi="Arial" w:cs="Arial"/>
                <w:b/>
                <w:bCs/>
                <w:color w:val="000000"/>
                <w:kern w:val="0"/>
                <w:sz w:val="16"/>
                <w:szCs w:val="16"/>
                <w:lang w:eastAsia="pt-BR"/>
                <w14:ligatures w14:val="none"/>
              </w:rPr>
            </w:pPr>
            <w:r w:rsidRPr="00445504">
              <w:rPr>
                <w:rFonts w:ascii="Arial" w:eastAsia="Times New Roman" w:hAnsi="Arial" w:cs="Arial"/>
                <w:b/>
                <w:bCs/>
                <w:color w:val="000000"/>
                <w:kern w:val="0"/>
                <w:sz w:val="16"/>
                <w:szCs w:val="16"/>
                <w:lang w:eastAsia="pt-BR"/>
                <w14:ligatures w14:val="none"/>
              </w:rPr>
              <w:t xml:space="preserve"> Valor da PECLD </w:t>
            </w:r>
          </w:p>
        </w:tc>
      </w:tr>
      <w:tr w:rsidR="00445504" w:rsidRPr="00445504" w14:paraId="51AB0C99" w14:textId="77777777" w:rsidTr="00446A14">
        <w:trPr>
          <w:trHeight w:val="238"/>
          <w:tblHeader/>
        </w:trPr>
        <w:tc>
          <w:tcPr>
            <w:tcW w:w="1324" w:type="pct"/>
            <w:vMerge/>
            <w:tcBorders>
              <w:top w:val="single" w:sz="4" w:space="0" w:color="auto"/>
              <w:left w:val="single" w:sz="4" w:space="0" w:color="auto"/>
              <w:bottom w:val="single" w:sz="4" w:space="0" w:color="auto"/>
              <w:right w:val="single" w:sz="4" w:space="0" w:color="auto"/>
            </w:tcBorders>
            <w:vAlign w:val="center"/>
            <w:hideMark/>
          </w:tcPr>
          <w:p w14:paraId="50493843" w14:textId="77777777" w:rsidR="00445504" w:rsidRPr="00445504" w:rsidRDefault="00445504" w:rsidP="00445504">
            <w:pPr>
              <w:spacing w:after="0" w:line="240" w:lineRule="auto"/>
              <w:rPr>
                <w:rFonts w:ascii="Arial" w:eastAsia="Times New Roman" w:hAnsi="Arial" w:cs="Arial"/>
                <w:b/>
                <w:bCs/>
                <w:color w:val="000000"/>
                <w:kern w:val="0"/>
                <w:sz w:val="16"/>
                <w:szCs w:val="16"/>
                <w:lang w:eastAsia="pt-BR"/>
                <w14:ligatures w14:val="none"/>
              </w:rPr>
            </w:pPr>
          </w:p>
        </w:tc>
        <w:tc>
          <w:tcPr>
            <w:tcW w:w="586" w:type="pct"/>
            <w:vMerge/>
            <w:tcBorders>
              <w:top w:val="single" w:sz="4" w:space="0" w:color="auto"/>
              <w:left w:val="single" w:sz="4" w:space="0" w:color="auto"/>
              <w:bottom w:val="single" w:sz="4" w:space="0" w:color="auto"/>
              <w:right w:val="single" w:sz="4" w:space="0" w:color="auto"/>
            </w:tcBorders>
            <w:vAlign w:val="center"/>
            <w:hideMark/>
          </w:tcPr>
          <w:p w14:paraId="24003E0E" w14:textId="77777777" w:rsidR="00445504" w:rsidRPr="00445504" w:rsidRDefault="00445504" w:rsidP="00445504">
            <w:pPr>
              <w:spacing w:after="0" w:line="240" w:lineRule="auto"/>
              <w:rPr>
                <w:rFonts w:ascii="Arial" w:eastAsia="Times New Roman" w:hAnsi="Arial" w:cs="Arial"/>
                <w:b/>
                <w:bCs/>
                <w:color w:val="000000"/>
                <w:kern w:val="0"/>
                <w:sz w:val="16"/>
                <w:szCs w:val="16"/>
                <w:lang w:eastAsia="pt-BR"/>
                <w14:ligatures w14:val="none"/>
              </w:rPr>
            </w:pPr>
          </w:p>
        </w:tc>
        <w:tc>
          <w:tcPr>
            <w:tcW w:w="588" w:type="pct"/>
            <w:tcBorders>
              <w:top w:val="nil"/>
              <w:left w:val="nil"/>
              <w:bottom w:val="single" w:sz="4" w:space="0" w:color="auto"/>
              <w:right w:val="single" w:sz="4" w:space="0" w:color="auto"/>
            </w:tcBorders>
            <w:shd w:val="clear" w:color="auto" w:fill="auto"/>
            <w:vAlign w:val="center"/>
            <w:hideMark/>
          </w:tcPr>
          <w:p w14:paraId="38595F27" w14:textId="77777777" w:rsidR="00445504" w:rsidRPr="00445504" w:rsidRDefault="00445504" w:rsidP="00445504">
            <w:pPr>
              <w:spacing w:after="0" w:line="240" w:lineRule="auto"/>
              <w:jc w:val="center"/>
              <w:rPr>
                <w:rFonts w:ascii="Arial" w:eastAsia="Times New Roman" w:hAnsi="Arial" w:cs="Arial"/>
                <w:b/>
                <w:bCs/>
                <w:color w:val="000000"/>
                <w:kern w:val="0"/>
                <w:sz w:val="16"/>
                <w:szCs w:val="16"/>
                <w:lang w:eastAsia="pt-BR"/>
                <w14:ligatures w14:val="none"/>
              </w:rPr>
            </w:pPr>
            <w:r w:rsidRPr="00445504">
              <w:rPr>
                <w:rFonts w:ascii="Arial" w:eastAsia="Times New Roman" w:hAnsi="Arial" w:cs="Arial"/>
                <w:b/>
                <w:bCs/>
                <w:color w:val="000000"/>
                <w:kern w:val="0"/>
                <w:sz w:val="16"/>
                <w:szCs w:val="16"/>
                <w:lang w:eastAsia="pt-BR"/>
                <w14:ligatures w14:val="none"/>
              </w:rPr>
              <w:t xml:space="preserve"> Parceiros (i) </w:t>
            </w:r>
          </w:p>
        </w:tc>
        <w:tc>
          <w:tcPr>
            <w:tcW w:w="588" w:type="pct"/>
            <w:tcBorders>
              <w:top w:val="nil"/>
              <w:left w:val="nil"/>
              <w:bottom w:val="single" w:sz="4" w:space="0" w:color="auto"/>
              <w:right w:val="single" w:sz="4" w:space="0" w:color="auto"/>
            </w:tcBorders>
            <w:shd w:val="clear" w:color="auto" w:fill="auto"/>
            <w:vAlign w:val="center"/>
            <w:hideMark/>
          </w:tcPr>
          <w:p w14:paraId="57A41A42" w14:textId="77777777" w:rsidR="00445504" w:rsidRPr="00445504" w:rsidRDefault="00445504" w:rsidP="00445504">
            <w:pPr>
              <w:spacing w:after="0" w:line="240" w:lineRule="auto"/>
              <w:jc w:val="center"/>
              <w:rPr>
                <w:rFonts w:ascii="Arial" w:eastAsia="Times New Roman" w:hAnsi="Arial" w:cs="Arial"/>
                <w:b/>
                <w:bCs/>
                <w:color w:val="000000"/>
                <w:kern w:val="0"/>
                <w:sz w:val="16"/>
                <w:szCs w:val="16"/>
                <w:lang w:eastAsia="pt-BR"/>
                <w14:ligatures w14:val="none"/>
              </w:rPr>
            </w:pPr>
            <w:r w:rsidRPr="00445504">
              <w:rPr>
                <w:rFonts w:ascii="Arial" w:eastAsia="Times New Roman" w:hAnsi="Arial" w:cs="Arial"/>
                <w:b/>
                <w:bCs/>
                <w:color w:val="000000"/>
                <w:kern w:val="0"/>
                <w:sz w:val="16"/>
                <w:szCs w:val="16"/>
                <w:lang w:eastAsia="pt-BR"/>
                <w14:ligatures w14:val="none"/>
              </w:rPr>
              <w:t xml:space="preserve"> Exclusão de Clientes da Base de Cálculo (</w:t>
            </w:r>
            <w:proofErr w:type="spellStart"/>
            <w:r w:rsidRPr="00445504">
              <w:rPr>
                <w:rFonts w:ascii="Arial" w:eastAsia="Times New Roman" w:hAnsi="Arial" w:cs="Arial"/>
                <w:b/>
                <w:bCs/>
                <w:color w:val="000000"/>
                <w:kern w:val="0"/>
                <w:sz w:val="16"/>
                <w:szCs w:val="16"/>
                <w:lang w:eastAsia="pt-BR"/>
                <w14:ligatures w14:val="none"/>
              </w:rPr>
              <w:t>ii</w:t>
            </w:r>
            <w:proofErr w:type="spellEnd"/>
            <w:r w:rsidRPr="00445504">
              <w:rPr>
                <w:rFonts w:ascii="Arial" w:eastAsia="Times New Roman" w:hAnsi="Arial" w:cs="Arial"/>
                <w:b/>
                <w:bCs/>
                <w:color w:val="000000"/>
                <w:kern w:val="0"/>
                <w:sz w:val="16"/>
                <w:szCs w:val="16"/>
                <w:lang w:eastAsia="pt-BR"/>
                <w14:ligatures w14:val="none"/>
              </w:rPr>
              <w:t xml:space="preserve">) </w:t>
            </w:r>
          </w:p>
        </w:tc>
        <w:tc>
          <w:tcPr>
            <w:tcW w:w="585" w:type="pct"/>
            <w:vMerge/>
            <w:tcBorders>
              <w:top w:val="single" w:sz="4" w:space="0" w:color="auto"/>
              <w:left w:val="single" w:sz="4" w:space="0" w:color="auto"/>
              <w:bottom w:val="single" w:sz="4" w:space="0" w:color="auto"/>
              <w:right w:val="single" w:sz="4" w:space="0" w:color="auto"/>
            </w:tcBorders>
            <w:vAlign w:val="center"/>
            <w:hideMark/>
          </w:tcPr>
          <w:p w14:paraId="4D902D91" w14:textId="77777777" w:rsidR="00445504" w:rsidRPr="00445504" w:rsidRDefault="00445504" w:rsidP="00445504">
            <w:pPr>
              <w:spacing w:after="0" w:line="240" w:lineRule="auto"/>
              <w:rPr>
                <w:rFonts w:ascii="Arial" w:eastAsia="Times New Roman" w:hAnsi="Arial" w:cs="Arial"/>
                <w:b/>
                <w:bCs/>
                <w:color w:val="000000"/>
                <w:kern w:val="0"/>
                <w:sz w:val="16"/>
                <w:szCs w:val="16"/>
                <w:lang w:eastAsia="pt-BR"/>
                <w14:ligatures w14:val="none"/>
              </w:rPr>
            </w:pPr>
          </w:p>
        </w:tc>
        <w:tc>
          <w:tcPr>
            <w:tcW w:w="744" w:type="pct"/>
            <w:vMerge/>
            <w:tcBorders>
              <w:top w:val="single" w:sz="4" w:space="0" w:color="auto"/>
              <w:left w:val="single" w:sz="4" w:space="0" w:color="auto"/>
              <w:bottom w:val="single" w:sz="4" w:space="0" w:color="auto"/>
              <w:right w:val="single" w:sz="4" w:space="0" w:color="auto"/>
            </w:tcBorders>
            <w:vAlign w:val="center"/>
            <w:hideMark/>
          </w:tcPr>
          <w:p w14:paraId="2F30FA7B" w14:textId="77777777" w:rsidR="00445504" w:rsidRPr="00445504" w:rsidRDefault="00445504" w:rsidP="00445504">
            <w:pPr>
              <w:spacing w:after="0" w:line="240" w:lineRule="auto"/>
              <w:rPr>
                <w:rFonts w:ascii="Arial" w:eastAsia="Times New Roman" w:hAnsi="Arial" w:cs="Arial"/>
                <w:b/>
                <w:bCs/>
                <w:color w:val="000000"/>
                <w:kern w:val="0"/>
                <w:sz w:val="16"/>
                <w:szCs w:val="16"/>
                <w:lang w:eastAsia="pt-BR"/>
                <w14:ligatures w14:val="none"/>
              </w:rPr>
            </w:pPr>
          </w:p>
        </w:tc>
        <w:tc>
          <w:tcPr>
            <w:tcW w:w="585" w:type="pct"/>
            <w:vMerge/>
            <w:tcBorders>
              <w:top w:val="single" w:sz="4" w:space="0" w:color="auto"/>
              <w:left w:val="single" w:sz="4" w:space="0" w:color="auto"/>
              <w:bottom w:val="single" w:sz="4" w:space="0" w:color="auto"/>
              <w:right w:val="single" w:sz="4" w:space="0" w:color="auto"/>
            </w:tcBorders>
            <w:vAlign w:val="center"/>
            <w:hideMark/>
          </w:tcPr>
          <w:p w14:paraId="0505FC41" w14:textId="77777777" w:rsidR="00445504" w:rsidRPr="00445504" w:rsidRDefault="00445504" w:rsidP="00445504">
            <w:pPr>
              <w:spacing w:after="0" w:line="240" w:lineRule="auto"/>
              <w:rPr>
                <w:rFonts w:ascii="Arial" w:eastAsia="Times New Roman" w:hAnsi="Arial" w:cs="Arial"/>
                <w:b/>
                <w:bCs/>
                <w:color w:val="000000"/>
                <w:kern w:val="0"/>
                <w:sz w:val="16"/>
                <w:szCs w:val="16"/>
                <w:lang w:eastAsia="pt-BR"/>
                <w14:ligatures w14:val="none"/>
              </w:rPr>
            </w:pPr>
          </w:p>
        </w:tc>
      </w:tr>
      <w:tr w:rsidR="00445504" w:rsidRPr="00445504" w14:paraId="093C280B" w14:textId="77777777" w:rsidTr="00446A14">
        <w:trPr>
          <w:trHeight w:val="238"/>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14:paraId="2A0F3242" w14:textId="77777777" w:rsidR="00445504" w:rsidRPr="00445504" w:rsidRDefault="00445504" w:rsidP="00445504">
            <w:pPr>
              <w:spacing w:after="0" w:line="240" w:lineRule="auto"/>
              <w:rPr>
                <w:rFonts w:ascii="Arial" w:eastAsia="Times New Roman" w:hAnsi="Arial" w:cs="Arial"/>
                <w:b/>
                <w:bCs/>
                <w:color w:val="000000"/>
                <w:kern w:val="0"/>
                <w:sz w:val="16"/>
                <w:szCs w:val="16"/>
                <w:lang w:eastAsia="pt-BR"/>
                <w14:ligatures w14:val="none"/>
              </w:rPr>
            </w:pPr>
            <w:r w:rsidRPr="00445504">
              <w:rPr>
                <w:rFonts w:ascii="Arial" w:eastAsia="Times New Roman" w:hAnsi="Arial" w:cs="Arial"/>
                <w:b/>
                <w:bCs/>
                <w:color w:val="000000"/>
                <w:kern w:val="0"/>
                <w:sz w:val="16"/>
                <w:szCs w:val="16"/>
                <w:lang w:eastAsia="pt-BR"/>
                <w14:ligatures w14:val="none"/>
              </w:rPr>
              <w:t xml:space="preserve"> Não Faturado </w:t>
            </w:r>
          </w:p>
        </w:tc>
        <w:tc>
          <w:tcPr>
            <w:tcW w:w="586" w:type="pct"/>
            <w:tcBorders>
              <w:top w:val="nil"/>
              <w:left w:val="nil"/>
              <w:bottom w:val="single" w:sz="4" w:space="0" w:color="auto"/>
              <w:right w:val="single" w:sz="4" w:space="0" w:color="auto"/>
            </w:tcBorders>
            <w:shd w:val="clear" w:color="auto" w:fill="auto"/>
            <w:noWrap/>
            <w:vAlign w:val="bottom"/>
            <w:hideMark/>
          </w:tcPr>
          <w:p w14:paraId="2407DE4D" w14:textId="77777777" w:rsidR="00445504" w:rsidRPr="00445504" w:rsidRDefault="00445504" w:rsidP="00445504">
            <w:pPr>
              <w:spacing w:after="0" w:line="240" w:lineRule="auto"/>
              <w:jc w:val="right"/>
              <w:rPr>
                <w:rFonts w:ascii="Arial" w:eastAsia="Times New Roman" w:hAnsi="Arial" w:cs="Arial"/>
                <w:b/>
                <w:bCs/>
                <w:color w:val="000000"/>
                <w:kern w:val="0"/>
                <w:sz w:val="16"/>
                <w:szCs w:val="16"/>
                <w:lang w:eastAsia="pt-BR"/>
                <w14:ligatures w14:val="none"/>
              </w:rPr>
            </w:pPr>
            <w:r w:rsidRPr="00445504">
              <w:rPr>
                <w:rFonts w:ascii="Arial" w:eastAsia="Times New Roman" w:hAnsi="Arial" w:cs="Arial"/>
                <w:b/>
                <w:bCs/>
                <w:color w:val="000000"/>
                <w:kern w:val="0"/>
                <w:sz w:val="16"/>
                <w:szCs w:val="16"/>
                <w:lang w:eastAsia="pt-BR"/>
                <w14:ligatures w14:val="none"/>
              </w:rPr>
              <w:t xml:space="preserve">       30.888 </w:t>
            </w:r>
          </w:p>
        </w:tc>
        <w:tc>
          <w:tcPr>
            <w:tcW w:w="588" w:type="pct"/>
            <w:tcBorders>
              <w:top w:val="nil"/>
              <w:left w:val="nil"/>
              <w:bottom w:val="single" w:sz="4" w:space="0" w:color="auto"/>
              <w:right w:val="single" w:sz="4" w:space="0" w:color="auto"/>
            </w:tcBorders>
            <w:shd w:val="clear" w:color="auto" w:fill="auto"/>
            <w:noWrap/>
            <w:vAlign w:val="bottom"/>
            <w:hideMark/>
          </w:tcPr>
          <w:p w14:paraId="5CE7FF05" w14:textId="77777777" w:rsidR="00445504" w:rsidRPr="00445504" w:rsidRDefault="00445504" w:rsidP="00445504">
            <w:pPr>
              <w:spacing w:after="0" w:line="240" w:lineRule="auto"/>
              <w:jc w:val="right"/>
              <w:rPr>
                <w:rFonts w:ascii="Arial" w:eastAsia="Times New Roman" w:hAnsi="Arial" w:cs="Arial"/>
                <w:b/>
                <w:bCs/>
                <w:color w:val="000000"/>
                <w:kern w:val="0"/>
                <w:sz w:val="16"/>
                <w:szCs w:val="16"/>
                <w:lang w:eastAsia="pt-BR"/>
                <w14:ligatures w14:val="none"/>
              </w:rPr>
            </w:pPr>
            <w:r w:rsidRPr="00445504">
              <w:rPr>
                <w:rFonts w:ascii="Arial" w:eastAsia="Times New Roman" w:hAnsi="Arial" w:cs="Arial"/>
                <w:b/>
                <w:bCs/>
                <w:color w:val="000000"/>
                <w:kern w:val="0"/>
                <w:sz w:val="16"/>
                <w:szCs w:val="16"/>
                <w:lang w:eastAsia="pt-BR"/>
                <w14:ligatures w14:val="none"/>
              </w:rPr>
              <w:t xml:space="preserve">        (2.741)</w:t>
            </w:r>
          </w:p>
        </w:tc>
        <w:tc>
          <w:tcPr>
            <w:tcW w:w="588" w:type="pct"/>
            <w:tcBorders>
              <w:top w:val="nil"/>
              <w:left w:val="nil"/>
              <w:bottom w:val="single" w:sz="4" w:space="0" w:color="auto"/>
              <w:right w:val="single" w:sz="4" w:space="0" w:color="auto"/>
            </w:tcBorders>
            <w:shd w:val="clear" w:color="auto" w:fill="auto"/>
            <w:noWrap/>
            <w:vAlign w:val="bottom"/>
            <w:hideMark/>
          </w:tcPr>
          <w:p w14:paraId="4B2F54DB" w14:textId="77777777" w:rsidR="00445504" w:rsidRPr="00445504" w:rsidRDefault="00445504" w:rsidP="00445504">
            <w:pPr>
              <w:spacing w:after="0" w:line="240" w:lineRule="auto"/>
              <w:jc w:val="right"/>
              <w:rPr>
                <w:rFonts w:ascii="Arial" w:eastAsia="Times New Roman" w:hAnsi="Arial" w:cs="Arial"/>
                <w:b/>
                <w:bCs/>
                <w:color w:val="000000"/>
                <w:kern w:val="0"/>
                <w:sz w:val="16"/>
                <w:szCs w:val="16"/>
                <w:lang w:eastAsia="pt-BR"/>
                <w14:ligatures w14:val="none"/>
              </w:rPr>
            </w:pPr>
            <w:r w:rsidRPr="00445504">
              <w:rPr>
                <w:rFonts w:ascii="Arial" w:eastAsia="Times New Roman" w:hAnsi="Arial" w:cs="Arial"/>
                <w:b/>
                <w:bCs/>
                <w:color w:val="000000"/>
                <w:kern w:val="0"/>
                <w:sz w:val="16"/>
                <w:szCs w:val="16"/>
                <w:lang w:eastAsia="pt-BR"/>
                <w14:ligatures w14:val="none"/>
              </w:rPr>
              <w:t xml:space="preserve">      (23.330)</w:t>
            </w:r>
          </w:p>
        </w:tc>
        <w:tc>
          <w:tcPr>
            <w:tcW w:w="585" w:type="pct"/>
            <w:tcBorders>
              <w:top w:val="nil"/>
              <w:left w:val="nil"/>
              <w:bottom w:val="single" w:sz="4" w:space="0" w:color="auto"/>
              <w:right w:val="single" w:sz="4" w:space="0" w:color="auto"/>
            </w:tcBorders>
            <w:shd w:val="clear" w:color="auto" w:fill="auto"/>
            <w:noWrap/>
            <w:vAlign w:val="bottom"/>
            <w:hideMark/>
          </w:tcPr>
          <w:p w14:paraId="71D740EE" w14:textId="77777777" w:rsidR="00445504" w:rsidRPr="00445504" w:rsidRDefault="00445504" w:rsidP="00445504">
            <w:pPr>
              <w:spacing w:after="0" w:line="240" w:lineRule="auto"/>
              <w:jc w:val="right"/>
              <w:rPr>
                <w:rFonts w:ascii="Arial" w:eastAsia="Times New Roman" w:hAnsi="Arial" w:cs="Arial"/>
                <w:b/>
                <w:bCs/>
                <w:color w:val="000000"/>
                <w:kern w:val="0"/>
                <w:sz w:val="16"/>
                <w:szCs w:val="16"/>
                <w:lang w:eastAsia="pt-BR"/>
                <w14:ligatures w14:val="none"/>
              </w:rPr>
            </w:pPr>
            <w:r w:rsidRPr="00445504">
              <w:rPr>
                <w:rFonts w:ascii="Arial" w:eastAsia="Times New Roman" w:hAnsi="Arial" w:cs="Arial"/>
                <w:b/>
                <w:bCs/>
                <w:color w:val="000000"/>
                <w:kern w:val="0"/>
                <w:sz w:val="16"/>
                <w:szCs w:val="16"/>
                <w:lang w:eastAsia="pt-BR"/>
                <w14:ligatures w14:val="none"/>
              </w:rPr>
              <w:t xml:space="preserve">         4.817 </w:t>
            </w:r>
          </w:p>
        </w:tc>
        <w:tc>
          <w:tcPr>
            <w:tcW w:w="744" w:type="pct"/>
            <w:tcBorders>
              <w:top w:val="nil"/>
              <w:left w:val="nil"/>
              <w:bottom w:val="single" w:sz="4" w:space="0" w:color="auto"/>
              <w:right w:val="single" w:sz="4" w:space="0" w:color="auto"/>
            </w:tcBorders>
            <w:shd w:val="clear" w:color="auto" w:fill="auto"/>
            <w:noWrap/>
            <w:vAlign w:val="bottom"/>
            <w:hideMark/>
          </w:tcPr>
          <w:p w14:paraId="69E2CF76" w14:textId="77777777" w:rsidR="00445504" w:rsidRPr="00445504" w:rsidRDefault="00445504" w:rsidP="00445504">
            <w:pPr>
              <w:spacing w:after="0" w:line="240" w:lineRule="auto"/>
              <w:jc w:val="right"/>
              <w:rPr>
                <w:rFonts w:ascii="Arial" w:eastAsia="Times New Roman" w:hAnsi="Arial" w:cs="Arial"/>
                <w:b/>
                <w:bCs/>
                <w:color w:val="000000"/>
                <w:kern w:val="0"/>
                <w:sz w:val="16"/>
                <w:szCs w:val="16"/>
                <w:lang w:eastAsia="pt-BR"/>
                <w14:ligatures w14:val="none"/>
              </w:rPr>
            </w:pPr>
            <w:r w:rsidRPr="00445504">
              <w:rPr>
                <w:rFonts w:ascii="Arial" w:eastAsia="Times New Roman" w:hAnsi="Arial" w:cs="Arial"/>
                <w:b/>
                <w:bCs/>
                <w:color w:val="000000"/>
                <w:kern w:val="0"/>
                <w:sz w:val="16"/>
                <w:szCs w:val="16"/>
                <w:lang w:eastAsia="pt-BR"/>
                <w14:ligatures w14:val="none"/>
              </w:rPr>
              <w:t>1,65%</w:t>
            </w:r>
          </w:p>
        </w:tc>
        <w:tc>
          <w:tcPr>
            <w:tcW w:w="585" w:type="pct"/>
            <w:tcBorders>
              <w:top w:val="nil"/>
              <w:left w:val="nil"/>
              <w:bottom w:val="single" w:sz="4" w:space="0" w:color="auto"/>
              <w:right w:val="single" w:sz="4" w:space="0" w:color="auto"/>
            </w:tcBorders>
            <w:shd w:val="clear" w:color="auto" w:fill="auto"/>
            <w:noWrap/>
            <w:vAlign w:val="bottom"/>
            <w:hideMark/>
          </w:tcPr>
          <w:p w14:paraId="3D3DDC60" w14:textId="77777777" w:rsidR="00445504" w:rsidRPr="00445504" w:rsidRDefault="00445504" w:rsidP="00445504">
            <w:pPr>
              <w:spacing w:after="0" w:line="240" w:lineRule="auto"/>
              <w:jc w:val="right"/>
              <w:rPr>
                <w:rFonts w:ascii="Arial" w:eastAsia="Times New Roman" w:hAnsi="Arial" w:cs="Arial"/>
                <w:b/>
                <w:bCs/>
                <w:color w:val="000000"/>
                <w:kern w:val="0"/>
                <w:sz w:val="16"/>
                <w:szCs w:val="16"/>
                <w:lang w:eastAsia="pt-BR"/>
                <w14:ligatures w14:val="none"/>
              </w:rPr>
            </w:pPr>
            <w:r w:rsidRPr="00445504">
              <w:rPr>
                <w:rFonts w:ascii="Arial" w:eastAsia="Times New Roman" w:hAnsi="Arial" w:cs="Arial"/>
                <w:b/>
                <w:bCs/>
                <w:color w:val="000000"/>
                <w:kern w:val="0"/>
                <w:sz w:val="16"/>
                <w:szCs w:val="16"/>
                <w:lang w:eastAsia="pt-BR"/>
                <w14:ligatures w14:val="none"/>
              </w:rPr>
              <w:t xml:space="preserve">              79 </w:t>
            </w:r>
          </w:p>
        </w:tc>
      </w:tr>
      <w:tr w:rsidR="00445504" w:rsidRPr="00445504" w14:paraId="7495B355" w14:textId="77777777" w:rsidTr="00446A14">
        <w:trPr>
          <w:trHeight w:val="238"/>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14:paraId="63D8E750" w14:textId="77777777" w:rsidR="00445504" w:rsidRPr="00445504" w:rsidRDefault="00445504" w:rsidP="00445504">
            <w:pPr>
              <w:spacing w:after="0" w:line="240" w:lineRule="auto"/>
              <w:rPr>
                <w:rFonts w:ascii="Arial" w:eastAsia="Times New Roman" w:hAnsi="Arial" w:cs="Arial"/>
                <w:b/>
                <w:bCs/>
                <w:color w:val="000000"/>
                <w:kern w:val="0"/>
                <w:sz w:val="16"/>
                <w:szCs w:val="16"/>
                <w:lang w:eastAsia="pt-BR"/>
                <w14:ligatures w14:val="none"/>
              </w:rPr>
            </w:pPr>
            <w:r w:rsidRPr="00445504">
              <w:rPr>
                <w:rFonts w:ascii="Arial" w:eastAsia="Times New Roman" w:hAnsi="Arial" w:cs="Arial"/>
                <w:b/>
                <w:bCs/>
                <w:color w:val="000000"/>
                <w:kern w:val="0"/>
                <w:sz w:val="16"/>
                <w:szCs w:val="16"/>
                <w:lang w:eastAsia="pt-BR"/>
                <w14:ligatures w14:val="none"/>
              </w:rPr>
              <w:lastRenderedPageBreak/>
              <w:t xml:space="preserve"> A Vencer </w:t>
            </w:r>
          </w:p>
        </w:tc>
        <w:tc>
          <w:tcPr>
            <w:tcW w:w="586" w:type="pct"/>
            <w:tcBorders>
              <w:top w:val="nil"/>
              <w:left w:val="nil"/>
              <w:bottom w:val="single" w:sz="4" w:space="0" w:color="auto"/>
              <w:right w:val="single" w:sz="4" w:space="0" w:color="auto"/>
            </w:tcBorders>
            <w:shd w:val="clear" w:color="auto" w:fill="auto"/>
            <w:noWrap/>
            <w:vAlign w:val="bottom"/>
            <w:hideMark/>
          </w:tcPr>
          <w:p w14:paraId="132EE68B" w14:textId="77777777" w:rsidR="00445504" w:rsidRPr="00445504" w:rsidRDefault="00445504" w:rsidP="00445504">
            <w:pPr>
              <w:spacing w:after="0" w:line="240" w:lineRule="auto"/>
              <w:jc w:val="right"/>
              <w:rPr>
                <w:rFonts w:ascii="Arial" w:eastAsia="Times New Roman" w:hAnsi="Arial" w:cs="Arial"/>
                <w:b/>
                <w:bCs/>
                <w:color w:val="000000"/>
                <w:kern w:val="0"/>
                <w:sz w:val="16"/>
                <w:szCs w:val="16"/>
                <w:lang w:eastAsia="pt-BR"/>
                <w14:ligatures w14:val="none"/>
              </w:rPr>
            </w:pPr>
            <w:r w:rsidRPr="00445504">
              <w:rPr>
                <w:rFonts w:ascii="Arial" w:eastAsia="Times New Roman" w:hAnsi="Arial" w:cs="Arial"/>
                <w:b/>
                <w:bCs/>
                <w:color w:val="000000"/>
                <w:kern w:val="0"/>
                <w:sz w:val="16"/>
                <w:szCs w:val="16"/>
                <w:lang w:eastAsia="pt-BR"/>
                <w14:ligatures w14:val="none"/>
              </w:rPr>
              <w:t xml:space="preserve">       35.932 </w:t>
            </w:r>
          </w:p>
        </w:tc>
        <w:tc>
          <w:tcPr>
            <w:tcW w:w="588" w:type="pct"/>
            <w:tcBorders>
              <w:top w:val="nil"/>
              <w:left w:val="nil"/>
              <w:bottom w:val="single" w:sz="4" w:space="0" w:color="auto"/>
              <w:right w:val="single" w:sz="4" w:space="0" w:color="auto"/>
            </w:tcBorders>
            <w:shd w:val="clear" w:color="auto" w:fill="auto"/>
            <w:noWrap/>
            <w:vAlign w:val="bottom"/>
            <w:hideMark/>
          </w:tcPr>
          <w:p w14:paraId="094F2D5A" w14:textId="77777777" w:rsidR="00445504" w:rsidRPr="00445504" w:rsidRDefault="00445504" w:rsidP="00445504">
            <w:pPr>
              <w:spacing w:after="0" w:line="240" w:lineRule="auto"/>
              <w:jc w:val="right"/>
              <w:rPr>
                <w:rFonts w:ascii="Arial" w:eastAsia="Times New Roman" w:hAnsi="Arial" w:cs="Arial"/>
                <w:b/>
                <w:bCs/>
                <w:color w:val="000000"/>
                <w:kern w:val="0"/>
                <w:sz w:val="16"/>
                <w:szCs w:val="16"/>
                <w:lang w:eastAsia="pt-BR"/>
                <w14:ligatures w14:val="none"/>
              </w:rPr>
            </w:pPr>
            <w:r w:rsidRPr="00445504">
              <w:rPr>
                <w:rFonts w:ascii="Arial" w:eastAsia="Times New Roman" w:hAnsi="Arial" w:cs="Arial"/>
                <w:b/>
                <w:bCs/>
                <w:color w:val="000000"/>
                <w:kern w:val="0"/>
                <w:sz w:val="16"/>
                <w:szCs w:val="16"/>
                <w:lang w:eastAsia="pt-BR"/>
                <w14:ligatures w14:val="none"/>
              </w:rPr>
              <w:t xml:space="preserve">            -      </w:t>
            </w:r>
          </w:p>
        </w:tc>
        <w:tc>
          <w:tcPr>
            <w:tcW w:w="588" w:type="pct"/>
            <w:tcBorders>
              <w:top w:val="nil"/>
              <w:left w:val="nil"/>
              <w:bottom w:val="single" w:sz="4" w:space="0" w:color="auto"/>
              <w:right w:val="single" w:sz="4" w:space="0" w:color="auto"/>
            </w:tcBorders>
            <w:shd w:val="clear" w:color="auto" w:fill="auto"/>
            <w:noWrap/>
            <w:vAlign w:val="bottom"/>
            <w:hideMark/>
          </w:tcPr>
          <w:p w14:paraId="3D8B9AC8" w14:textId="77777777" w:rsidR="00445504" w:rsidRPr="00445504" w:rsidRDefault="00445504" w:rsidP="00445504">
            <w:pPr>
              <w:spacing w:after="0" w:line="240" w:lineRule="auto"/>
              <w:jc w:val="right"/>
              <w:rPr>
                <w:rFonts w:ascii="Arial" w:eastAsia="Times New Roman" w:hAnsi="Arial" w:cs="Arial"/>
                <w:b/>
                <w:bCs/>
                <w:color w:val="000000"/>
                <w:kern w:val="0"/>
                <w:sz w:val="16"/>
                <w:szCs w:val="16"/>
                <w:lang w:eastAsia="pt-BR"/>
                <w14:ligatures w14:val="none"/>
              </w:rPr>
            </w:pPr>
            <w:r w:rsidRPr="00445504">
              <w:rPr>
                <w:rFonts w:ascii="Arial" w:eastAsia="Times New Roman" w:hAnsi="Arial" w:cs="Arial"/>
                <w:b/>
                <w:bCs/>
                <w:color w:val="000000"/>
                <w:kern w:val="0"/>
                <w:sz w:val="16"/>
                <w:szCs w:val="16"/>
                <w:lang w:eastAsia="pt-BR"/>
                <w14:ligatures w14:val="none"/>
              </w:rPr>
              <w:t xml:space="preserve">      (32.878)</w:t>
            </w:r>
          </w:p>
        </w:tc>
        <w:tc>
          <w:tcPr>
            <w:tcW w:w="585" w:type="pct"/>
            <w:tcBorders>
              <w:top w:val="nil"/>
              <w:left w:val="nil"/>
              <w:bottom w:val="single" w:sz="4" w:space="0" w:color="auto"/>
              <w:right w:val="single" w:sz="4" w:space="0" w:color="auto"/>
            </w:tcBorders>
            <w:shd w:val="clear" w:color="auto" w:fill="auto"/>
            <w:noWrap/>
            <w:vAlign w:val="bottom"/>
            <w:hideMark/>
          </w:tcPr>
          <w:p w14:paraId="2FBDB044" w14:textId="77777777" w:rsidR="00445504" w:rsidRPr="00445504" w:rsidRDefault="00445504" w:rsidP="00445504">
            <w:pPr>
              <w:spacing w:after="0" w:line="240" w:lineRule="auto"/>
              <w:jc w:val="right"/>
              <w:rPr>
                <w:rFonts w:ascii="Arial" w:eastAsia="Times New Roman" w:hAnsi="Arial" w:cs="Arial"/>
                <w:b/>
                <w:bCs/>
                <w:color w:val="000000"/>
                <w:kern w:val="0"/>
                <w:sz w:val="16"/>
                <w:szCs w:val="16"/>
                <w:lang w:eastAsia="pt-BR"/>
                <w14:ligatures w14:val="none"/>
              </w:rPr>
            </w:pPr>
            <w:r w:rsidRPr="00445504">
              <w:rPr>
                <w:rFonts w:ascii="Arial" w:eastAsia="Times New Roman" w:hAnsi="Arial" w:cs="Arial"/>
                <w:b/>
                <w:bCs/>
                <w:color w:val="000000"/>
                <w:kern w:val="0"/>
                <w:sz w:val="16"/>
                <w:szCs w:val="16"/>
                <w:lang w:eastAsia="pt-BR"/>
                <w14:ligatures w14:val="none"/>
              </w:rPr>
              <w:t xml:space="preserve">         3.054 </w:t>
            </w:r>
          </w:p>
        </w:tc>
        <w:tc>
          <w:tcPr>
            <w:tcW w:w="744" w:type="pct"/>
            <w:tcBorders>
              <w:top w:val="nil"/>
              <w:left w:val="nil"/>
              <w:bottom w:val="single" w:sz="4" w:space="0" w:color="auto"/>
              <w:right w:val="single" w:sz="4" w:space="0" w:color="auto"/>
            </w:tcBorders>
            <w:shd w:val="clear" w:color="auto" w:fill="auto"/>
            <w:noWrap/>
            <w:vAlign w:val="bottom"/>
            <w:hideMark/>
          </w:tcPr>
          <w:p w14:paraId="1B1FF0BB" w14:textId="77777777" w:rsidR="00445504" w:rsidRPr="00445504" w:rsidRDefault="00445504" w:rsidP="00445504">
            <w:pPr>
              <w:spacing w:after="0" w:line="240" w:lineRule="auto"/>
              <w:jc w:val="right"/>
              <w:rPr>
                <w:rFonts w:ascii="Arial" w:eastAsia="Times New Roman" w:hAnsi="Arial" w:cs="Arial"/>
                <w:b/>
                <w:bCs/>
                <w:color w:val="000000"/>
                <w:kern w:val="0"/>
                <w:sz w:val="16"/>
                <w:szCs w:val="16"/>
                <w:lang w:eastAsia="pt-BR"/>
                <w14:ligatures w14:val="none"/>
              </w:rPr>
            </w:pPr>
            <w:r w:rsidRPr="00445504">
              <w:rPr>
                <w:rFonts w:ascii="Arial" w:eastAsia="Times New Roman" w:hAnsi="Arial" w:cs="Arial"/>
                <w:b/>
                <w:bCs/>
                <w:color w:val="000000"/>
                <w:kern w:val="0"/>
                <w:sz w:val="16"/>
                <w:szCs w:val="16"/>
                <w:lang w:eastAsia="pt-BR"/>
                <w14:ligatures w14:val="none"/>
              </w:rPr>
              <w:t>1,65%</w:t>
            </w:r>
          </w:p>
        </w:tc>
        <w:tc>
          <w:tcPr>
            <w:tcW w:w="585" w:type="pct"/>
            <w:tcBorders>
              <w:top w:val="nil"/>
              <w:left w:val="nil"/>
              <w:bottom w:val="single" w:sz="4" w:space="0" w:color="auto"/>
              <w:right w:val="single" w:sz="4" w:space="0" w:color="auto"/>
            </w:tcBorders>
            <w:shd w:val="clear" w:color="auto" w:fill="auto"/>
            <w:noWrap/>
            <w:vAlign w:val="bottom"/>
            <w:hideMark/>
          </w:tcPr>
          <w:p w14:paraId="3362E91C" w14:textId="77777777" w:rsidR="00445504" w:rsidRPr="00445504" w:rsidRDefault="00445504" w:rsidP="00445504">
            <w:pPr>
              <w:spacing w:after="0" w:line="240" w:lineRule="auto"/>
              <w:jc w:val="right"/>
              <w:rPr>
                <w:rFonts w:ascii="Arial" w:eastAsia="Times New Roman" w:hAnsi="Arial" w:cs="Arial"/>
                <w:b/>
                <w:bCs/>
                <w:color w:val="000000"/>
                <w:kern w:val="0"/>
                <w:sz w:val="16"/>
                <w:szCs w:val="16"/>
                <w:lang w:eastAsia="pt-BR"/>
                <w14:ligatures w14:val="none"/>
              </w:rPr>
            </w:pPr>
            <w:r w:rsidRPr="00445504">
              <w:rPr>
                <w:rFonts w:ascii="Arial" w:eastAsia="Times New Roman" w:hAnsi="Arial" w:cs="Arial"/>
                <w:b/>
                <w:bCs/>
                <w:color w:val="000000"/>
                <w:kern w:val="0"/>
                <w:sz w:val="16"/>
                <w:szCs w:val="16"/>
                <w:lang w:eastAsia="pt-BR"/>
                <w14:ligatures w14:val="none"/>
              </w:rPr>
              <w:t xml:space="preserve">              50 </w:t>
            </w:r>
          </w:p>
        </w:tc>
      </w:tr>
      <w:tr w:rsidR="00445504" w:rsidRPr="00445504" w14:paraId="66358379" w14:textId="77777777" w:rsidTr="00446A14">
        <w:trPr>
          <w:trHeight w:val="238"/>
        </w:trPr>
        <w:tc>
          <w:tcPr>
            <w:tcW w:w="1324" w:type="pct"/>
            <w:tcBorders>
              <w:top w:val="nil"/>
              <w:left w:val="single" w:sz="4" w:space="0" w:color="auto"/>
              <w:bottom w:val="single" w:sz="4" w:space="0" w:color="auto"/>
              <w:right w:val="single" w:sz="4" w:space="0" w:color="auto"/>
            </w:tcBorders>
            <w:shd w:val="clear" w:color="auto" w:fill="auto"/>
            <w:noWrap/>
            <w:vAlign w:val="center"/>
            <w:hideMark/>
          </w:tcPr>
          <w:p w14:paraId="2E0DADC1" w14:textId="77777777" w:rsidR="00445504" w:rsidRPr="00445504" w:rsidRDefault="00445504" w:rsidP="00445504">
            <w:pPr>
              <w:spacing w:after="0" w:line="240" w:lineRule="auto"/>
              <w:rPr>
                <w:rFonts w:ascii="Arial" w:eastAsia="Times New Roman" w:hAnsi="Arial" w:cs="Arial"/>
                <w:b/>
                <w:bCs/>
                <w:color w:val="000000"/>
                <w:kern w:val="0"/>
                <w:sz w:val="16"/>
                <w:szCs w:val="16"/>
                <w:lang w:eastAsia="pt-BR"/>
                <w14:ligatures w14:val="none"/>
              </w:rPr>
            </w:pPr>
            <w:r w:rsidRPr="00445504">
              <w:rPr>
                <w:rFonts w:ascii="Arial" w:eastAsia="Times New Roman" w:hAnsi="Arial" w:cs="Arial"/>
                <w:b/>
                <w:bCs/>
                <w:color w:val="000000"/>
                <w:kern w:val="0"/>
                <w:sz w:val="16"/>
                <w:szCs w:val="16"/>
                <w:lang w:eastAsia="pt-BR"/>
                <w14:ligatures w14:val="none"/>
              </w:rPr>
              <w:t xml:space="preserve"> Vencidos:  </w:t>
            </w:r>
          </w:p>
        </w:tc>
        <w:tc>
          <w:tcPr>
            <w:tcW w:w="586" w:type="pct"/>
            <w:tcBorders>
              <w:top w:val="nil"/>
              <w:left w:val="nil"/>
              <w:bottom w:val="single" w:sz="4" w:space="0" w:color="auto"/>
              <w:right w:val="single" w:sz="4" w:space="0" w:color="auto"/>
            </w:tcBorders>
            <w:shd w:val="clear" w:color="auto" w:fill="auto"/>
            <w:noWrap/>
            <w:vAlign w:val="bottom"/>
            <w:hideMark/>
          </w:tcPr>
          <w:p w14:paraId="5DCF91EA" w14:textId="77777777" w:rsidR="00445504" w:rsidRPr="00445504" w:rsidRDefault="00445504" w:rsidP="00445504">
            <w:pPr>
              <w:spacing w:after="0" w:line="240" w:lineRule="auto"/>
              <w:jc w:val="right"/>
              <w:rPr>
                <w:rFonts w:ascii="Arial" w:eastAsia="Times New Roman" w:hAnsi="Arial" w:cs="Arial"/>
                <w:b/>
                <w:bCs/>
                <w:color w:val="000000"/>
                <w:kern w:val="0"/>
                <w:sz w:val="16"/>
                <w:szCs w:val="16"/>
                <w:lang w:eastAsia="pt-BR"/>
                <w14:ligatures w14:val="none"/>
              </w:rPr>
            </w:pPr>
            <w:r w:rsidRPr="00445504">
              <w:rPr>
                <w:rFonts w:ascii="Arial" w:eastAsia="Times New Roman" w:hAnsi="Arial" w:cs="Arial"/>
                <w:b/>
                <w:bCs/>
                <w:color w:val="000000"/>
                <w:kern w:val="0"/>
                <w:sz w:val="16"/>
                <w:szCs w:val="16"/>
                <w:lang w:eastAsia="pt-BR"/>
                <w14:ligatures w14:val="none"/>
              </w:rPr>
              <w:t xml:space="preserve">     113.663 </w:t>
            </w:r>
          </w:p>
        </w:tc>
        <w:tc>
          <w:tcPr>
            <w:tcW w:w="588" w:type="pct"/>
            <w:tcBorders>
              <w:top w:val="nil"/>
              <w:left w:val="nil"/>
              <w:bottom w:val="single" w:sz="4" w:space="0" w:color="auto"/>
              <w:right w:val="single" w:sz="4" w:space="0" w:color="auto"/>
            </w:tcBorders>
            <w:shd w:val="clear" w:color="auto" w:fill="auto"/>
            <w:noWrap/>
            <w:vAlign w:val="bottom"/>
            <w:hideMark/>
          </w:tcPr>
          <w:p w14:paraId="7F1D9ED0" w14:textId="77777777" w:rsidR="00445504" w:rsidRPr="00445504" w:rsidRDefault="00445504" w:rsidP="00445504">
            <w:pPr>
              <w:spacing w:after="0" w:line="240" w:lineRule="auto"/>
              <w:jc w:val="right"/>
              <w:rPr>
                <w:rFonts w:ascii="Arial" w:eastAsia="Times New Roman" w:hAnsi="Arial" w:cs="Arial"/>
                <w:b/>
                <w:bCs/>
                <w:color w:val="000000"/>
                <w:kern w:val="0"/>
                <w:sz w:val="16"/>
                <w:szCs w:val="16"/>
                <w:lang w:eastAsia="pt-BR"/>
                <w14:ligatures w14:val="none"/>
              </w:rPr>
            </w:pPr>
            <w:r w:rsidRPr="00445504">
              <w:rPr>
                <w:rFonts w:ascii="Arial" w:eastAsia="Times New Roman" w:hAnsi="Arial" w:cs="Arial"/>
                <w:b/>
                <w:bCs/>
                <w:color w:val="000000"/>
                <w:kern w:val="0"/>
                <w:sz w:val="16"/>
                <w:szCs w:val="16"/>
                <w:lang w:eastAsia="pt-BR"/>
                <w14:ligatures w14:val="none"/>
              </w:rPr>
              <w:t xml:space="preserve">      (15.824)</w:t>
            </w:r>
          </w:p>
        </w:tc>
        <w:tc>
          <w:tcPr>
            <w:tcW w:w="588" w:type="pct"/>
            <w:tcBorders>
              <w:top w:val="nil"/>
              <w:left w:val="nil"/>
              <w:bottom w:val="single" w:sz="4" w:space="0" w:color="auto"/>
              <w:right w:val="single" w:sz="4" w:space="0" w:color="auto"/>
            </w:tcBorders>
            <w:shd w:val="clear" w:color="auto" w:fill="auto"/>
            <w:noWrap/>
            <w:vAlign w:val="bottom"/>
            <w:hideMark/>
          </w:tcPr>
          <w:p w14:paraId="2E62857A" w14:textId="77777777" w:rsidR="00445504" w:rsidRPr="00445504" w:rsidRDefault="00445504" w:rsidP="00445504">
            <w:pPr>
              <w:spacing w:after="0" w:line="240" w:lineRule="auto"/>
              <w:jc w:val="right"/>
              <w:rPr>
                <w:rFonts w:ascii="Arial" w:eastAsia="Times New Roman" w:hAnsi="Arial" w:cs="Arial"/>
                <w:b/>
                <w:bCs/>
                <w:color w:val="000000"/>
                <w:kern w:val="0"/>
                <w:sz w:val="16"/>
                <w:szCs w:val="16"/>
                <w:lang w:eastAsia="pt-BR"/>
                <w14:ligatures w14:val="none"/>
              </w:rPr>
            </w:pPr>
            <w:r w:rsidRPr="00445504">
              <w:rPr>
                <w:rFonts w:ascii="Arial" w:eastAsia="Times New Roman" w:hAnsi="Arial" w:cs="Arial"/>
                <w:b/>
                <w:bCs/>
                <w:color w:val="000000"/>
                <w:kern w:val="0"/>
                <w:sz w:val="16"/>
                <w:szCs w:val="16"/>
                <w:lang w:eastAsia="pt-BR"/>
                <w14:ligatures w14:val="none"/>
              </w:rPr>
              <w:t xml:space="preserve">      (87.923)</w:t>
            </w:r>
          </w:p>
        </w:tc>
        <w:tc>
          <w:tcPr>
            <w:tcW w:w="585" w:type="pct"/>
            <w:tcBorders>
              <w:top w:val="nil"/>
              <w:left w:val="nil"/>
              <w:bottom w:val="single" w:sz="4" w:space="0" w:color="auto"/>
              <w:right w:val="single" w:sz="4" w:space="0" w:color="auto"/>
            </w:tcBorders>
            <w:shd w:val="clear" w:color="auto" w:fill="auto"/>
            <w:noWrap/>
            <w:vAlign w:val="bottom"/>
            <w:hideMark/>
          </w:tcPr>
          <w:p w14:paraId="14A7732A" w14:textId="77777777" w:rsidR="00445504" w:rsidRPr="00445504" w:rsidRDefault="00445504" w:rsidP="00445504">
            <w:pPr>
              <w:spacing w:after="0" w:line="240" w:lineRule="auto"/>
              <w:jc w:val="right"/>
              <w:rPr>
                <w:rFonts w:ascii="Arial" w:eastAsia="Times New Roman" w:hAnsi="Arial" w:cs="Arial"/>
                <w:b/>
                <w:bCs/>
                <w:color w:val="000000"/>
                <w:kern w:val="0"/>
                <w:sz w:val="16"/>
                <w:szCs w:val="16"/>
                <w:lang w:eastAsia="pt-BR"/>
                <w14:ligatures w14:val="none"/>
              </w:rPr>
            </w:pPr>
            <w:r w:rsidRPr="00445504">
              <w:rPr>
                <w:rFonts w:ascii="Arial" w:eastAsia="Times New Roman" w:hAnsi="Arial" w:cs="Arial"/>
                <w:b/>
                <w:bCs/>
                <w:color w:val="000000"/>
                <w:kern w:val="0"/>
                <w:sz w:val="16"/>
                <w:szCs w:val="16"/>
                <w:lang w:eastAsia="pt-BR"/>
                <w14:ligatures w14:val="none"/>
              </w:rPr>
              <w:t xml:space="preserve">         9.916 </w:t>
            </w:r>
          </w:p>
        </w:tc>
        <w:tc>
          <w:tcPr>
            <w:tcW w:w="744" w:type="pct"/>
            <w:tcBorders>
              <w:top w:val="nil"/>
              <w:left w:val="nil"/>
              <w:bottom w:val="single" w:sz="4" w:space="0" w:color="auto"/>
              <w:right w:val="single" w:sz="4" w:space="0" w:color="auto"/>
            </w:tcBorders>
            <w:shd w:val="clear" w:color="000000" w:fill="D9D9D9"/>
            <w:noWrap/>
            <w:vAlign w:val="bottom"/>
            <w:hideMark/>
          </w:tcPr>
          <w:p w14:paraId="76F9BD90" w14:textId="77777777" w:rsidR="00445504" w:rsidRPr="00445504" w:rsidRDefault="00445504" w:rsidP="00445504">
            <w:pPr>
              <w:spacing w:after="0" w:line="240" w:lineRule="auto"/>
              <w:jc w:val="right"/>
              <w:rPr>
                <w:rFonts w:ascii="Arial" w:eastAsia="Times New Roman" w:hAnsi="Arial" w:cs="Arial"/>
                <w:b/>
                <w:bCs/>
                <w:color w:val="000000"/>
                <w:kern w:val="0"/>
                <w:sz w:val="16"/>
                <w:szCs w:val="16"/>
                <w:lang w:eastAsia="pt-BR"/>
                <w14:ligatures w14:val="none"/>
              </w:rPr>
            </w:pPr>
            <w:r w:rsidRPr="00445504">
              <w:rPr>
                <w:rFonts w:ascii="Arial" w:eastAsia="Times New Roman" w:hAnsi="Arial" w:cs="Arial"/>
                <w:b/>
                <w:bCs/>
                <w:color w:val="000000"/>
                <w:kern w:val="0"/>
                <w:sz w:val="16"/>
                <w:szCs w:val="16"/>
                <w:lang w:eastAsia="pt-BR"/>
                <w14:ligatures w14:val="none"/>
              </w:rPr>
              <w:t> </w:t>
            </w:r>
          </w:p>
        </w:tc>
        <w:tc>
          <w:tcPr>
            <w:tcW w:w="585" w:type="pct"/>
            <w:tcBorders>
              <w:top w:val="nil"/>
              <w:left w:val="nil"/>
              <w:bottom w:val="single" w:sz="4" w:space="0" w:color="auto"/>
              <w:right w:val="single" w:sz="4" w:space="0" w:color="auto"/>
            </w:tcBorders>
            <w:shd w:val="clear" w:color="auto" w:fill="auto"/>
            <w:noWrap/>
            <w:vAlign w:val="bottom"/>
            <w:hideMark/>
          </w:tcPr>
          <w:p w14:paraId="65EA3D10" w14:textId="77777777" w:rsidR="00445504" w:rsidRPr="00445504" w:rsidRDefault="00445504" w:rsidP="00445504">
            <w:pPr>
              <w:spacing w:after="0" w:line="240" w:lineRule="auto"/>
              <w:jc w:val="right"/>
              <w:rPr>
                <w:rFonts w:ascii="Arial" w:eastAsia="Times New Roman" w:hAnsi="Arial" w:cs="Arial"/>
                <w:b/>
                <w:bCs/>
                <w:color w:val="000000"/>
                <w:kern w:val="0"/>
                <w:sz w:val="16"/>
                <w:szCs w:val="16"/>
                <w:lang w:eastAsia="pt-BR"/>
                <w14:ligatures w14:val="none"/>
              </w:rPr>
            </w:pPr>
            <w:r w:rsidRPr="00445504">
              <w:rPr>
                <w:rFonts w:ascii="Arial" w:eastAsia="Times New Roman" w:hAnsi="Arial" w:cs="Arial"/>
                <w:b/>
                <w:bCs/>
                <w:color w:val="000000"/>
                <w:kern w:val="0"/>
                <w:sz w:val="16"/>
                <w:szCs w:val="16"/>
                <w:lang w:eastAsia="pt-BR"/>
                <w14:ligatures w14:val="none"/>
              </w:rPr>
              <w:t xml:space="preserve">         3.469 </w:t>
            </w:r>
          </w:p>
        </w:tc>
      </w:tr>
      <w:tr w:rsidR="00445504" w:rsidRPr="00445504" w14:paraId="72E9B8F1" w14:textId="77777777" w:rsidTr="00446A14">
        <w:trPr>
          <w:trHeight w:val="238"/>
        </w:trPr>
        <w:tc>
          <w:tcPr>
            <w:tcW w:w="1324" w:type="pct"/>
            <w:tcBorders>
              <w:top w:val="nil"/>
              <w:left w:val="single" w:sz="4" w:space="0" w:color="auto"/>
              <w:bottom w:val="single" w:sz="4" w:space="0" w:color="auto"/>
              <w:right w:val="single" w:sz="4" w:space="0" w:color="auto"/>
            </w:tcBorders>
            <w:shd w:val="clear" w:color="auto" w:fill="auto"/>
            <w:vAlign w:val="center"/>
            <w:hideMark/>
          </w:tcPr>
          <w:p w14:paraId="2E01B20B" w14:textId="77777777" w:rsidR="00445504" w:rsidRPr="00445504" w:rsidRDefault="00445504" w:rsidP="00445504">
            <w:pPr>
              <w:spacing w:after="0" w:line="240" w:lineRule="auto"/>
              <w:ind w:firstLineChars="100" w:firstLine="161"/>
              <w:rPr>
                <w:rFonts w:ascii="Arial" w:eastAsia="Times New Roman" w:hAnsi="Arial" w:cs="Arial"/>
                <w:b/>
                <w:bCs/>
                <w:color w:val="000000"/>
                <w:kern w:val="0"/>
                <w:sz w:val="16"/>
                <w:szCs w:val="16"/>
                <w:lang w:eastAsia="pt-BR"/>
                <w14:ligatures w14:val="none"/>
              </w:rPr>
            </w:pPr>
            <w:r w:rsidRPr="00445504">
              <w:rPr>
                <w:rFonts w:ascii="Arial" w:eastAsia="Times New Roman" w:hAnsi="Arial" w:cs="Arial"/>
                <w:b/>
                <w:bCs/>
                <w:color w:val="000000"/>
                <w:kern w:val="0"/>
                <w:sz w:val="16"/>
                <w:szCs w:val="16"/>
                <w:lang w:eastAsia="pt-BR"/>
                <w14:ligatures w14:val="none"/>
              </w:rPr>
              <w:t xml:space="preserve"> Até 30 dias </w:t>
            </w:r>
          </w:p>
        </w:tc>
        <w:tc>
          <w:tcPr>
            <w:tcW w:w="586" w:type="pct"/>
            <w:tcBorders>
              <w:top w:val="nil"/>
              <w:left w:val="nil"/>
              <w:bottom w:val="single" w:sz="4" w:space="0" w:color="auto"/>
              <w:right w:val="single" w:sz="4" w:space="0" w:color="auto"/>
            </w:tcBorders>
            <w:shd w:val="clear" w:color="auto" w:fill="auto"/>
            <w:noWrap/>
            <w:vAlign w:val="bottom"/>
            <w:hideMark/>
          </w:tcPr>
          <w:p w14:paraId="121817DB" w14:textId="77777777" w:rsidR="00445504" w:rsidRPr="00445504" w:rsidRDefault="00445504" w:rsidP="00445504">
            <w:pPr>
              <w:spacing w:after="0" w:line="240" w:lineRule="auto"/>
              <w:jc w:val="right"/>
              <w:rPr>
                <w:rFonts w:ascii="Arial" w:eastAsia="Times New Roman" w:hAnsi="Arial" w:cs="Arial"/>
                <w:color w:val="000000"/>
                <w:kern w:val="0"/>
                <w:sz w:val="16"/>
                <w:szCs w:val="16"/>
                <w:lang w:eastAsia="pt-BR"/>
                <w14:ligatures w14:val="none"/>
              </w:rPr>
            </w:pPr>
            <w:r w:rsidRPr="00445504">
              <w:rPr>
                <w:rFonts w:ascii="Arial" w:eastAsia="Times New Roman" w:hAnsi="Arial" w:cs="Arial"/>
                <w:color w:val="000000"/>
                <w:kern w:val="0"/>
                <w:sz w:val="16"/>
                <w:szCs w:val="16"/>
                <w:lang w:eastAsia="pt-BR"/>
                <w14:ligatures w14:val="none"/>
              </w:rPr>
              <w:t xml:space="preserve">       67.194 </w:t>
            </w:r>
          </w:p>
        </w:tc>
        <w:tc>
          <w:tcPr>
            <w:tcW w:w="588" w:type="pct"/>
            <w:tcBorders>
              <w:top w:val="nil"/>
              <w:left w:val="nil"/>
              <w:bottom w:val="single" w:sz="4" w:space="0" w:color="auto"/>
              <w:right w:val="single" w:sz="4" w:space="0" w:color="auto"/>
            </w:tcBorders>
            <w:shd w:val="clear" w:color="auto" w:fill="auto"/>
            <w:noWrap/>
            <w:vAlign w:val="bottom"/>
            <w:hideMark/>
          </w:tcPr>
          <w:p w14:paraId="4157E774" w14:textId="77777777" w:rsidR="00445504" w:rsidRPr="00445504" w:rsidRDefault="00445504" w:rsidP="00445504">
            <w:pPr>
              <w:spacing w:after="0" w:line="240" w:lineRule="auto"/>
              <w:jc w:val="right"/>
              <w:rPr>
                <w:rFonts w:ascii="Arial" w:eastAsia="Times New Roman" w:hAnsi="Arial" w:cs="Arial"/>
                <w:color w:val="000000"/>
                <w:kern w:val="0"/>
                <w:sz w:val="16"/>
                <w:szCs w:val="16"/>
                <w:lang w:eastAsia="pt-BR"/>
                <w14:ligatures w14:val="none"/>
              </w:rPr>
            </w:pPr>
            <w:r w:rsidRPr="00445504">
              <w:rPr>
                <w:rFonts w:ascii="Arial" w:eastAsia="Times New Roman" w:hAnsi="Arial" w:cs="Arial"/>
                <w:color w:val="000000"/>
                <w:kern w:val="0"/>
                <w:sz w:val="16"/>
                <w:szCs w:val="16"/>
                <w:lang w:eastAsia="pt-BR"/>
                <w14:ligatures w14:val="none"/>
              </w:rPr>
              <w:t xml:space="preserve">        (2.697)</w:t>
            </w:r>
          </w:p>
        </w:tc>
        <w:tc>
          <w:tcPr>
            <w:tcW w:w="588" w:type="pct"/>
            <w:tcBorders>
              <w:top w:val="nil"/>
              <w:left w:val="nil"/>
              <w:bottom w:val="single" w:sz="4" w:space="0" w:color="auto"/>
              <w:right w:val="single" w:sz="4" w:space="0" w:color="auto"/>
            </w:tcBorders>
            <w:shd w:val="clear" w:color="auto" w:fill="auto"/>
            <w:noWrap/>
            <w:vAlign w:val="bottom"/>
            <w:hideMark/>
          </w:tcPr>
          <w:p w14:paraId="64571E23" w14:textId="77777777" w:rsidR="00445504" w:rsidRPr="00445504" w:rsidRDefault="00445504" w:rsidP="00445504">
            <w:pPr>
              <w:spacing w:after="0" w:line="240" w:lineRule="auto"/>
              <w:jc w:val="right"/>
              <w:rPr>
                <w:rFonts w:ascii="Arial" w:eastAsia="Times New Roman" w:hAnsi="Arial" w:cs="Arial"/>
                <w:color w:val="000000"/>
                <w:kern w:val="0"/>
                <w:sz w:val="16"/>
                <w:szCs w:val="16"/>
                <w:lang w:eastAsia="pt-BR"/>
                <w14:ligatures w14:val="none"/>
              </w:rPr>
            </w:pPr>
            <w:r w:rsidRPr="00445504">
              <w:rPr>
                <w:rFonts w:ascii="Arial" w:eastAsia="Times New Roman" w:hAnsi="Arial" w:cs="Arial"/>
                <w:color w:val="000000"/>
                <w:kern w:val="0"/>
                <w:sz w:val="16"/>
                <w:szCs w:val="16"/>
                <w:lang w:eastAsia="pt-BR"/>
                <w14:ligatures w14:val="none"/>
              </w:rPr>
              <w:t xml:space="preserve">      (60.360)</w:t>
            </w:r>
          </w:p>
        </w:tc>
        <w:tc>
          <w:tcPr>
            <w:tcW w:w="585" w:type="pct"/>
            <w:tcBorders>
              <w:top w:val="nil"/>
              <w:left w:val="nil"/>
              <w:bottom w:val="single" w:sz="4" w:space="0" w:color="auto"/>
              <w:right w:val="single" w:sz="4" w:space="0" w:color="auto"/>
            </w:tcBorders>
            <w:shd w:val="clear" w:color="auto" w:fill="auto"/>
            <w:noWrap/>
            <w:vAlign w:val="bottom"/>
            <w:hideMark/>
          </w:tcPr>
          <w:p w14:paraId="7D2C0C1D" w14:textId="77777777" w:rsidR="00445504" w:rsidRPr="00445504" w:rsidRDefault="00445504" w:rsidP="00445504">
            <w:pPr>
              <w:spacing w:after="0" w:line="240" w:lineRule="auto"/>
              <w:jc w:val="right"/>
              <w:rPr>
                <w:rFonts w:ascii="Arial" w:eastAsia="Times New Roman" w:hAnsi="Arial" w:cs="Arial"/>
                <w:color w:val="000000"/>
                <w:kern w:val="0"/>
                <w:sz w:val="16"/>
                <w:szCs w:val="16"/>
                <w:lang w:eastAsia="pt-BR"/>
                <w14:ligatures w14:val="none"/>
              </w:rPr>
            </w:pPr>
            <w:r w:rsidRPr="00445504">
              <w:rPr>
                <w:rFonts w:ascii="Arial" w:eastAsia="Times New Roman" w:hAnsi="Arial" w:cs="Arial"/>
                <w:color w:val="000000"/>
                <w:kern w:val="0"/>
                <w:sz w:val="16"/>
                <w:szCs w:val="16"/>
                <w:lang w:eastAsia="pt-BR"/>
                <w14:ligatures w14:val="none"/>
              </w:rPr>
              <w:t xml:space="preserve">         4.137 </w:t>
            </w:r>
          </w:p>
        </w:tc>
        <w:tc>
          <w:tcPr>
            <w:tcW w:w="744" w:type="pct"/>
            <w:tcBorders>
              <w:top w:val="nil"/>
              <w:left w:val="nil"/>
              <w:bottom w:val="single" w:sz="4" w:space="0" w:color="auto"/>
              <w:right w:val="single" w:sz="4" w:space="0" w:color="auto"/>
            </w:tcBorders>
            <w:shd w:val="clear" w:color="auto" w:fill="auto"/>
            <w:noWrap/>
            <w:vAlign w:val="bottom"/>
            <w:hideMark/>
          </w:tcPr>
          <w:p w14:paraId="1DD9A7DA" w14:textId="77777777" w:rsidR="00445504" w:rsidRPr="00445504" w:rsidRDefault="00445504" w:rsidP="00445504">
            <w:pPr>
              <w:spacing w:after="0" w:line="240" w:lineRule="auto"/>
              <w:jc w:val="right"/>
              <w:rPr>
                <w:rFonts w:ascii="Arial" w:eastAsia="Times New Roman" w:hAnsi="Arial" w:cs="Arial"/>
                <w:color w:val="000000"/>
                <w:kern w:val="0"/>
                <w:sz w:val="16"/>
                <w:szCs w:val="16"/>
                <w:lang w:eastAsia="pt-BR"/>
                <w14:ligatures w14:val="none"/>
              </w:rPr>
            </w:pPr>
            <w:r w:rsidRPr="00445504">
              <w:rPr>
                <w:rFonts w:ascii="Arial" w:eastAsia="Times New Roman" w:hAnsi="Arial" w:cs="Arial"/>
                <w:color w:val="000000"/>
                <w:kern w:val="0"/>
                <w:sz w:val="16"/>
                <w:szCs w:val="16"/>
                <w:lang w:eastAsia="pt-BR"/>
                <w14:ligatures w14:val="none"/>
              </w:rPr>
              <w:t>1,65%</w:t>
            </w:r>
          </w:p>
        </w:tc>
        <w:tc>
          <w:tcPr>
            <w:tcW w:w="585" w:type="pct"/>
            <w:tcBorders>
              <w:top w:val="nil"/>
              <w:left w:val="nil"/>
              <w:bottom w:val="single" w:sz="4" w:space="0" w:color="auto"/>
              <w:right w:val="single" w:sz="4" w:space="0" w:color="auto"/>
            </w:tcBorders>
            <w:shd w:val="clear" w:color="auto" w:fill="auto"/>
            <w:noWrap/>
            <w:vAlign w:val="bottom"/>
            <w:hideMark/>
          </w:tcPr>
          <w:p w14:paraId="42091EA7" w14:textId="77777777" w:rsidR="00445504" w:rsidRPr="00445504" w:rsidRDefault="00445504" w:rsidP="00445504">
            <w:pPr>
              <w:spacing w:after="0" w:line="240" w:lineRule="auto"/>
              <w:jc w:val="right"/>
              <w:rPr>
                <w:rFonts w:ascii="Arial" w:eastAsia="Times New Roman" w:hAnsi="Arial" w:cs="Arial"/>
                <w:color w:val="000000"/>
                <w:kern w:val="0"/>
                <w:sz w:val="16"/>
                <w:szCs w:val="16"/>
                <w:lang w:eastAsia="pt-BR"/>
                <w14:ligatures w14:val="none"/>
              </w:rPr>
            </w:pPr>
            <w:r w:rsidRPr="00445504">
              <w:rPr>
                <w:rFonts w:ascii="Arial" w:eastAsia="Times New Roman" w:hAnsi="Arial" w:cs="Arial"/>
                <w:color w:val="000000"/>
                <w:kern w:val="0"/>
                <w:sz w:val="16"/>
                <w:szCs w:val="16"/>
                <w:lang w:eastAsia="pt-BR"/>
                <w14:ligatures w14:val="none"/>
              </w:rPr>
              <w:t xml:space="preserve">              68 </w:t>
            </w:r>
          </w:p>
        </w:tc>
      </w:tr>
      <w:tr w:rsidR="00445504" w:rsidRPr="00445504" w14:paraId="51B366B6" w14:textId="77777777" w:rsidTr="00446A14">
        <w:trPr>
          <w:trHeight w:val="238"/>
        </w:trPr>
        <w:tc>
          <w:tcPr>
            <w:tcW w:w="1324" w:type="pct"/>
            <w:tcBorders>
              <w:top w:val="nil"/>
              <w:left w:val="single" w:sz="4" w:space="0" w:color="auto"/>
              <w:bottom w:val="single" w:sz="4" w:space="0" w:color="auto"/>
              <w:right w:val="single" w:sz="4" w:space="0" w:color="auto"/>
            </w:tcBorders>
            <w:shd w:val="clear" w:color="auto" w:fill="auto"/>
            <w:vAlign w:val="center"/>
            <w:hideMark/>
          </w:tcPr>
          <w:p w14:paraId="0B68F24F" w14:textId="77777777" w:rsidR="00445504" w:rsidRPr="00445504" w:rsidRDefault="00445504" w:rsidP="00445504">
            <w:pPr>
              <w:spacing w:after="0" w:line="240" w:lineRule="auto"/>
              <w:ind w:firstLineChars="100" w:firstLine="161"/>
              <w:rPr>
                <w:rFonts w:ascii="Arial" w:eastAsia="Times New Roman" w:hAnsi="Arial" w:cs="Arial"/>
                <w:b/>
                <w:bCs/>
                <w:color w:val="000000"/>
                <w:kern w:val="0"/>
                <w:sz w:val="16"/>
                <w:szCs w:val="16"/>
                <w:lang w:eastAsia="pt-BR"/>
                <w14:ligatures w14:val="none"/>
              </w:rPr>
            </w:pPr>
            <w:r w:rsidRPr="00445504">
              <w:rPr>
                <w:rFonts w:ascii="Arial" w:eastAsia="Times New Roman" w:hAnsi="Arial" w:cs="Arial"/>
                <w:b/>
                <w:bCs/>
                <w:color w:val="000000"/>
                <w:kern w:val="0"/>
                <w:sz w:val="16"/>
                <w:szCs w:val="16"/>
                <w:lang w:eastAsia="pt-BR"/>
                <w14:ligatures w14:val="none"/>
              </w:rPr>
              <w:t xml:space="preserve"> De 31 a 60 dias </w:t>
            </w:r>
          </w:p>
        </w:tc>
        <w:tc>
          <w:tcPr>
            <w:tcW w:w="586" w:type="pct"/>
            <w:tcBorders>
              <w:top w:val="nil"/>
              <w:left w:val="nil"/>
              <w:bottom w:val="single" w:sz="4" w:space="0" w:color="auto"/>
              <w:right w:val="single" w:sz="4" w:space="0" w:color="auto"/>
            </w:tcBorders>
            <w:shd w:val="clear" w:color="auto" w:fill="auto"/>
            <w:noWrap/>
            <w:vAlign w:val="bottom"/>
            <w:hideMark/>
          </w:tcPr>
          <w:p w14:paraId="542484CF" w14:textId="77777777" w:rsidR="00445504" w:rsidRPr="00445504" w:rsidRDefault="00445504" w:rsidP="00445504">
            <w:pPr>
              <w:spacing w:after="0" w:line="240" w:lineRule="auto"/>
              <w:jc w:val="right"/>
              <w:rPr>
                <w:rFonts w:ascii="Arial" w:eastAsia="Times New Roman" w:hAnsi="Arial" w:cs="Arial"/>
                <w:color w:val="000000"/>
                <w:kern w:val="0"/>
                <w:sz w:val="16"/>
                <w:szCs w:val="16"/>
                <w:lang w:eastAsia="pt-BR"/>
                <w14:ligatures w14:val="none"/>
              </w:rPr>
            </w:pPr>
            <w:r w:rsidRPr="00445504">
              <w:rPr>
                <w:rFonts w:ascii="Arial" w:eastAsia="Times New Roman" w:hAnsi="Arial" w:cs="Arial"/>
                <w:color w:val="000000"/>
                <w:kern w:val="0"/>
                <w:sz w:val="16"/>
                <w:szCs w:val="16"/>
                <w:lang w:eastAsia="pt-BR"/>
                <w14:ligatures w14:val="none"/>
              </w:rPr>
              <w:t xml:space="preserve">         3.903 </w:t>
            </w:r>
          </w:p>
        </w:tc>
        <w:tc>
          <w:tcPr>
            <w:tcW w:w="588" w:type="pct"/>
            <w:tcBorders>
              <w:top w:val="nil"/>
              <w:left w:val="nil"/>
              <w:bottom w:val="single" w:sz="4" w:space="0" w:color="auto"/>
              <w:right w:val="single" w:sz="4" w:space="0" w:color="auto"/>
            </w:tcBorders>
            <w:shd w:val="clear" w:color="auto" w:fill="auto"/>
            <w:noWrap/>
            <w:vAlign w:val="bottom"/>
            <w:hideMark/>
          </w:tcPr>
          <w:p w14:paraId="1807D750" w14:textId="77777777" w:rsidR="00445504" w:rsidRPr="00445504" w:rsidRDefault="00445504" w:rsidP="00445504">
            <w:pPr>
              <w:spacing w:after="0" w:line="240" w:lineRule="auto"/>
              <w:jc w:val="right"/>
              <w:rPr>
                <w:rFonts w:ascii="Arial" w:eastAsia="Times New Roman" w:hAnsi="Arial" w:cs="Arial"/>
                <w:color w:val="000000"/>
                <w:kern w:val="0"/>
                <w:sz w:val="16"/>
                <w:szCs w:val="16"/>
                <w:lang w:eastAsia="pt-BR"/>
                <w14:ligatures w14:val="none"/>
              </w:rPr>
            </w:pPr>
            <w:r w:rsidRPr="00445504">
              <w:rPr>
                <w:rFonts w:ascii="Arial" w:eastAsia="Times New Roman" w:hAnsi="Arial" w:cs="Arial"/>
                <w:color w:val="000000"/>
                <w:kern w:val="0"/>
                <w:sz w:val="16"/>
                <w:szCs w:val="16"/>
                <w:lang w:eastAsia="pt-BR"/>
                <w14:ligatures w14:val="none"/>
              </w:rPr>
              <w:t xml:space="preserve">           (794)</w:t>
            </w:r>
          </w:p>
        </w:tc>
        <w:tc>
          <w:tcPr>
            <w:tcW w:w="588" w:type="pct"/>
            <w:tcBorders>
              <w:top w:val="nil"/>
              <w:left w:val="nil"/>
              <w:bottom w:val="single" w:sz="4" w:space="0" w:color="auto"/>
              <w:right w:val="single" w:sz="4" w:space="0" w:color="auto"/>
            </w:tcBorders>
            <w:shd w:val="clear" w:color="auto" w:fill="auto"/>
            <w:noWrap/>
            <w:vAlign w:val="bottom"/>
            <w:hideMark/>
          </w:tcPr>
          <w:p w14:paraId="7FDBD0EE" w14:textId="77777777" w:rsidR="00445504" w:rsidRPr="00445504" w:rsidRDefault="00445504" w:rsidP="00445504">
            <w:pPr>
              <w:spacing w:after="0" w:line="240" w:lineRule="auto"/>
              <w:jc w:val="right"/>
              <w:rPr>
                <w:rFonts w:ascii="Arial" w:eastAsia="Times New Roman" w:hAnsi="Arial" w:cs="Arial"/>
                <w:color w:val="000000"/>
                <w:kern w:val="0"/>
                <w:sz w:val="16"/>
                <w:szCs w:val="16"/>
                <w:lang w:eastAsia="pt-BR"/>
                <w14:ligatures w14:val="none"/>
              </w:rPr>
            </w:pPr>
            <w:r w:rsidRPr="00445504">
              <w:rPr>
                <w:rFonts w:ascii="Arial" w:eastAsia="Times New Roman" w:hAnsi="Arial" w:cs="Arial"/>
                <w:color w:val="000000"/>
                <w:kern w:val="0"/>
                <w:sz w:val="16"/>
                <w:szCs w:val="16"/>
                <w:lang w:eastAsia="pt-BR"/>
                <w14:ligatures w14:val="none"/>
              </w:rPr>
              <w:t xml:space="preserve">        (2.540)</w:t>
            </w:r>
          </w:p>
        </w:tc>
        <w:tc>
          <w:tcPr>
            <w:tcW w:w="585" w:type="pct"/>
            <w:tcBorders>
              <w:top w:val="nil"/>
              <w:left w:val="nil"/>
              <w:bottom w:val="single" w:sz="4" w:space="0" w:color="auto"/>
              <w:right w:val="single" w:sz="4" w:space="0" w:color="auto"/>
            </w:tcBorders>
            <w:shd w:val="clear" w:color="auto" w:fill="auto"/>
            <w:noWrap/>
            <w:vAlign w:val="bottom"/>
            <w:hideMark/>
          </w:tcPr>
          <w:p w14:paraId="2EEB357F" w14:textId="77777777" w:rsidR="00445504" w:rsidRPr="00445504" w:rsidRDefault="00445504" w:rsidP="00445504">
            <w:pPr>
              <w:spacing w:after="0" w:line="240" w:lineRule="auto"/>
              <w:jc w:val="right"/>
              <w:rPr>
                <w:rFonts w:ascii="Arial" w:eastAsia="Times New Roman" w:hAnsi="Arial" w:cs="Arial"/>
                <w:color w:val="000000"/>
                <w:kern w:val="0"/>
                <w:sz w:val="16"/>
                <w:szCs w:val="16"/>
                <w:lang w:eastAsia="pt-BR"/>
                <w14:ligatures w14:val="none"/>
              </w:rPr>
            </w:pPr>
            <w:r w:rsidRPr="00445504">
              <w:rPr>
                <w:rFonts w:ascii="Arial" w:eastAsia="Times New Roman" w:hAnsi="Arial" w:cs="Arial"/>
                <w:color w:val="000000"/>
                <w:kern w:val="0"/>
                <w:sz w:val="16"/>
                <w:szCs w:val="16"/>
                <w:lang w:eastAsia="pt-BR"/>
                <w14:ligatures w14:val="none"/>
              </w:rPr>
              <w:t xml:space="preserve">            569 </w:t>
            </w:r>
          </w:p>
        </w:tc>
        <w:tc>
          <w:tcPr>
            <w:tcW w:w="744" w:type="pct"/>
            <w:tcBorders>
              <w:top w:val="nil"/>
              <w:left w:val="nil"/>
              <w:bottom w:val="single" w:sz="4" w:space="0" w:color="auto"/>
              <w:right w:val="single" w:sz="4" w:space="0" w:color="auto"/>
            </w:tcBorders>
            <w:shd w:val="clear" w:color="auto" w:fill="auto"/>
            <w:noWrap/>
            <w:vAlign w:val="bottom"/>
            <w:hideMark/>
          </w:tcPr>
          <w:p w14:paraId="10700682" w14:textId="77777777" w:rsidR="00445504" w:rsidRPr="00445504" w:rsidRDefault="00445504" w:rsidP="00445504">
            <w:pPr>
              <w:spacing w:after="0" w:line="240" w:lineRule="auto"/>
              <w:jc w:val="right"/>
              <w:rPr>
                <w:rFonts w:ascii="Arial" w:eastAsia="Times New Roman" w:hAnsi="Arial" w:cs="Arial"/>
                <w:color w:val="000000"/>
                <w:kern w:val="0"/>
                <w:sz w:val="16"/>
                <w:szCs w:val="16"/>
                <w:lang w:eastAsia="pt-BR"/>
                <w14:ligatures w14:val="none"/>
              </w:rPr>
            </w:pPr>
            <w:r w:rsidRPr="00445504">
              <w:rPr>
                <w:rFonts w:ascii="Arial" w:eastAsia="Times New Roman" w:hAnsi="Arial" w:cs="Arial"/>
                <w:color w:val="000000"/>
                <w:kern w:val="0"/>
                <w:sz w:val="16"/>
                <w:szCs w:val="16"/>
                <w:lang w:eastAsia="pt-BR"/>
                <w14:ligatures w14:val="none"/>
              </w:rPr>
              <w:t>9,97%</w:t>
            </w:r>
          </w:p>
        </w:tc>
        <w:tc>
          <w:tcPr>
            <w:tcW w:w="585" w:type="pct"/>
            <w:tcBorders>
              <w:top w:val="nil"/>
              <w:left w:val="nil"/>
              <w:bottom w:val="single" w:sz="4" w:space="0" w:color="auto"/>
              <w:right w:val="single" w:sz="4" w:space="0" w:color="auto"/>
            </w:tcBorders>
            <w:shd w:val="clear" w:color="auto" w:fill="auto"/>
            <w:noWrap/>
            <w:vAlign w:val="bottom"/>
            <w:hideMark/>
          </w:tcPr>
          <w:p w14:paraId="34B653A3" w14:textId="77777777" w:rsidR="00445504" w:rsidRPr="00445504" w:rsidRDefault="00445504" w:rsidP="00445504">
            <w:pPr>
              <w:spacing w:after="0" w:line="240" w:lineRule="auto"/>
              <w:jc w:val="right"/>
              <w:rPr>
                <w:rFonts w:ascii="Arial" w:eastAsia="Times New Roman" w:hAnsi="Arial" w:cs="Arial"/>
                <w:color w:val="000000"/>
                <w:kern w:val="0"/>
                <w:sz w:val="16"/>
                <w:szCs w:val="16"/>
                <w:lang w:eastAsia="pt-BR"/>
                <w14:ligatures w14:val="none"/>
              </w:rPr>
            </w:pPr>
            <w:r w:rsidRPr="00445504">
              <w:rPr>
                <w:rFonts w:ascii="Arial" w:eastAsia="Times New Roman" w:hAnsi="Arial" w:cs="Arial"/>
                <w:color w:val="000000"/>
                <w:kern w:val="0"/>
                <w:sz w:val="16"/>
                <w:szCs w:val="16"/>
                <w:lang w:eastAsia="pt-BR"/>
                <w14:ligatures w14:val="none"/>
              </w:rPr>
              <w:t xml:space="preserve">              57 </w:t>
            </w:r>
          </w:p>
        </w:tc>
      </w:tr>
      <w:tr w:rsidR="00445504" w:rsidRPr="00445504" w14:paraId="560CD30A" w14:textId="77777777" w:rsidTr="00446A14">
        <w:trPr>
          <w:trHeight w:val="238"/>
        </w:trPr>
        <w:tc>
          <w:tcPr>
            <w:tcW w:w="1324" w:type="pct"/>
            <w:tcBorders>
              <w:top w:val="nil"/>
              <w:left w:val="single" w:sz="4" w:space="0" w:color="auto"/>
              <w:bottom w:val="single" w:sz="4" w:space="0" w:color="auto"/>
              <w:right w:val="single" w:sz="4" w:space="0" w:color="auto"/>
            </w:tcBorders>
            <w:shd w:val="clear" w:color="auto" w:fill="auto"/>
            <w:vAlign w:val="center"/>
            <w:hideMark/>
          </w:tcPr>
          <w:p w14:paraId="6A782D6E" w14:textId="77777777" w:rsidR="00445504" w:rsidRPr="00445504" w:rsidRDefault="00445504" w:rsidP="00445504">
            <w:pPr>
              <w:spacing w:after="0" w:line="240" w:lineRule="auto"/>
              <w:ind w:firstLineChars="100" w:firstLine="161"/>
              <w:rPr>
                <w:rFonts w:ascii="Arial" w:eastAsia="Times New Roman" w:hAnsi="Arial" w:cs="Arial"/>
                <w:b/>
                <w:bCs/>
                <w:color w:val="000000"/>
                <w:kern w:val="0"/>
                <w:sz w:val="16"/>
                <w:szCs w:val="16"/>
                <w:lang w:eastAsia="pt-BR"/>
                <w14:ligatures w14:val="none"/>
              </w:rPr>
            </w:pPr>
            <w:r w:rsidRPr="00445504">
              <w:rPr>
                <w:rFonts w:ascii="Arial" w:eastAsia="Times New Roman" w:hAnsi="Arial" w:cs="Arial"/>
                <w:b/>
                <w:bCs/>
                <w:color w:val="000000"/>
                <w:kern w:val="0"/>
                <w:sz w:val="16"/>
                <w:szCs w:val="16"/>
                <w:lang w:eastAsia="pt-BR"/>
                <w14:ligatures w14:val="none"/>
              </w:rPr>
              <w:t xml:space="preserve"> De 61 a 90 dias </w:t>
            </w:r>
          </w:p>
        </w:tc>
        <w:tc>
          <w:tcPr>
            <w:tcW w:w="586" w:type="pct"/>
            <w:tcBorders>
              <w:top w:val="nil"/>
              <w:left w:val="nil"/>
              <w:bottom w:val="single" w:sz="4" w:space="0" w:color="auto"/>
              <w:right w:val="single" w:sz="4" w:space="0" w:color="auto"/>
            </w:tcBorders>
            <w:shd w:val="clear" w:color="auto" w:fill="auto"/>
            <w:noWrap/>
            <w:vAlign w:val="bottom"/>
            <w:hideMark/>
          </w:tcPr>
          <w:p w14:paraId="1F73C295" w14:textId="77777777" w:rsidR="00445504" w:rsidRPr="00445504" w:rsidRDefault="00445504" w:rsidP="00445504">
            <w:pPr>
              <w:spacing w:after="0" w:line="240" w:lineRule="auto"/>
              <w:jc w:val="right"/>
              <w:rPr>
                <w:rFonts w:ascii="Arial" w:eastAsia="Times New Roman" w:hAnsi="Arial" w:cs="Arial"/>
                <w:color w:val="000000"/>
                <w:kern w:val="0"/>
                <w:sz w:val="16"/>
                <w:szCs w:val="16"/>
                <w:lang w:eastAsia="pt-BR"/>
                <w14:ligatures w14:val="none"/>
              </w:rPr>
            </w:pPr>
            <w:r w:rsidRPr="00445504">
              <w:rPr>
                <w:rFonts w:ascii="Arial" w:eastAsia="Times New Roman" w:hAnsi="Arial" w:cs="Arial"/>
                <w:color w:val="000000"/>
                <w:kern w:val="0"/>
                <w:sz w:val="16"/>
                <w:szCs w:val="16"/>
                <w:lang w:eastAsia="pt-BR"/>
                <w14:ligatures w14:val="none"/>
              </w:rPr>
              <w:t xml:space="preserve">         5.607 </w:t>
            </w:r>
          </w:p>
        </w:tc>
        <w:tc>
          <w:tcPr>
            <w:tcW w:w="588" w:type="pct"/>
            <w:tcBorders>
              <w:top w:val="nil"/>
              <w:left w:val="nil"/>
              <w:bottom w:val="single" w:sz="4" w:space="0" w:color="auto"/>
              <w:right w:val="single" w:sz="4" w:space="0" w:color="auto"/>
            </w:tcBorders>
            <w:shd w:val="clear" w:color="auto" w:fill="auto"/>
            <w:noWrap/>
            <w:vAlign w:val="bottom"/>
            <w:hideMark/>
          </w:tcPr>
          <w:p w14:paraId="36FC9E01" w14:textId="77777777" w:rsidR="00445504" w:rsidRPr="00445504" w:rsidRDefault="00445504" w:rsidP="00445504">
            <w:pPr>
              <w:spacing w:after="0" w:line="240" w:lineRule="auto"/>
              <w:jc w:val="right"/>
              <w:rPr>
                <w:rFonts w:ascii="Arial" w:eastAsia="Times New Roman" w:hAnsi="Arial" w:cs="Arial"/>
                <w:color w:val="000000"/>
                <w:kern w:val="0"/>
                <w:sz w:val="16"/>
                <w:szCs w:val="16"/>
                <w:lang w:eastAsia="pt-BR"/>
                <w14:ligatures w14:val="none"/>
              </w:rPr>
            </w:pPr>
            <w:r w:rsidRPr="00445504">
              <w:rPr>
                <w:rFonts w:ascii="Arial" w:eastAsia="Times New Roman" w:hAnsi="Arial" w:cs="Arial"/>
                <w:color w:val="000000"/>
                <w:kern w:val="0"/>
                <w:sz w:val="16"/>
                <w:szCs w:val="16"/>
                <w:lang w:eastAsia="pt-BR"/>
                <w14:ligatures w14:val="none"/>
              </w:rPr>
              <w:t xml:space="preserve">               (3)</w:t>
            </w:r>
          </w:p>
        </w:tc>
        <w:tc>
          <w:tcPr>
            <w:tcW w:w="588" w:type="pct"/>
            <w:tcBorders>
              <w:top w:val="nil"/>
              <w:left w:val="nil"/>
              <w:bottom w:val="single" w:sz="4" w:space="0" w:color="auto"/>
              <w:right w:val="single" w:sz="4" w:space="0" w:color="auto"/>
            </w:tcBorders>
            <w:shd w:val="clear" w:color="auto" w:fill="auto"/>
            <w:noWrap/>
            <w:vAlign w:val="bottom"/>
            <w:hideMark/>
          </w:tcPr>
          <w:p w14:paraId="144657F8" w14:textId="77777777" w:rsidR="00445504" w:rsidRPr="00445504" w:rsidRDefault="00445504" w:rsidP="00445504">
            <w:pPr>
              <w:spacing w:after="0" w:line="240" w:lineRule="auto"/>
              <w:jc w:val="right"/>
              <w:rPr>
                <w:rFonts w:ascii="Arial" w:eastAsia="Times New Roman" w:hAnsi="Arial" w:cs="Arial"/>
                <w:color w:val="000000"/>
                <w:kern w:val="0"/>
                <w:sz w:val="16"/>
                <w:szCs w:val="16"/>
                <w:lang w:eastAsia="pt-BR"/>
                <w14:ligatures w14:val="none"/>
              </w:rPr>
            </w:pPr>
            <w:r w:rsidRPr="00445504">
              <w:rPr>
                <w:rFonts w:ascii="Arial" w:eastAsia="Times New Roman" w:hAnsi="Arial" w:cs="Arial"/>
                <w:color w:val="000000"/>
                <w:kern w:val="0"/>
                <w:sz w:val="16"/>
                <w:szCs w:val="16"/>
                <w:lang w:eastAsia="pt-BR"/>
                <w14:ligatures w14:val="none"/>
              </w:rPr>
              <w:t xml:space="preserve">        (5.216)</w:t>
            </w:r>
          </w:p>
        </w:tc>
        <w:tc>
          <w:tcPr>
            <w:tcW w:w="585" w:type="pct"/>
            <w:tcBorders>
              <w:top w:val="nil"/>
              <w:left w:val="nil"/>
              <w:bottom w:val="single" w:sz="4" w:space="0" w:color="auto"/>
              <w:right w:val="single" w:sz="4" w:space="0" w:color="auto"/>
            </w:tcBorders>
            <w:shd w:val="clear" w:color="auto" w:fill="auto"/>
            <w:noWrap/>
            <w:vAlign w:val="bottom"/>
            <w:hideMark/>
          </w:tcPr>
          <w:p w14:paraId="69A98322" w14:textId="77777777" w:rsidR="00445504" w:rsidRPr="00445504" w:rsidRDefault="00445504" w:rsidP="00445504">
            <w:pPr>
              <w:spacing w:after="0" w:line="240" w:lineRule="auto"/>
              <w:jc w:val="right"/>
              <w:rPr>
                <w:rFonts w:ascii="Arial" w:eastAsia="Times New Roman" w:hAnsi="Arial" w:cs="Arial"/>
                <w:color w:val="000000"/>
                <w:kern w:val="0"/>
                <w:sz w:val="16"/>
                <w:szCs w:val="16"/>
                <w:lang w:eastAsia="pt-BR"/>
                <w14:ligatures w14:val="none"/>
              </w:rPr>
            </w:pPr>
            <w:r w:rsidRPr="00445504">
              <w:rPr>
                <w:rFonts w:ascii="Arial" w:eastAsia="Times New Roman" w:hAnsi="Arial" w:cs="Arial"/>
                <w:color w:val="000000"/>
                <w:kern w:val="0"/>
                <w:sz w:val="16"/>
                <w:szCs w:val="16"/>
                <w:lang w:eastAsia="pt-BR"/>
                <w14:ligatures w14:val="none"/>
              </w:rPr>
              <w:t xml:space="preserve">            388 </w:t>
            </w:r>
          </w:p>
        </w:tc>
        <w:tc>
          <w:tcPr>
            <w:tcW w:w="744" w:type="pct"/>
            <w:tcBorders>
              <w:top w:val="nil"/>
              <w:left w:val="nil"/>
              <w:bottom w:val="single" w:sz="4" w:space="0" w:color="auto"/>
              <w:right w:val="single" w:sz="4" w:space="0" w:color="auto"/>
            </w:tcBorders>
            <w:shd w:val="clear" w:color="auto" w:fill="auto"/>
            <w:noWrap/>
            <w:vAlign w:val="bottom"/>
            <w:hideMark/>
          </w:tcPr>
          <w:p w14:paraId="2718987A" w14:textId="77777777" w:rsidR="00445504" w:rsidRPr="00445504" w:rsidRDefault="00445504" w:rsidP="00445504">
            <w:pPr>
              <w:spacing w:after="0" w:line="240" w:lineRule="auto"/>
              <w:jc w:val="right"/>
              <w:rPr>
                <w:rFonts w:ascii="Arial" w:eastAsia="Times New Roman" w:hAnsi="Arial" w:cs="Arial"/>
                <w:color w:val="000000"/>
                <w:kern w:val="0"/>
                <w:sz w:val="16"/>
                <w:szCs w:val="16"/>
                <w:lang w:eastAsia="pt-BR"/>
                <w14:ligatures w14:val="none"/>
              </w:rPr>
            </w:pPr>
            <w:r w:rsidRPr="00445504">
              <w:rPr>
                <w:rFonts w:ascii="Arial" w:eastAsia="Times New Roman" w:hAnsi="Arial" w:cs="Arial"/>
                <w:color w:val="000000"/>
                <w:kern w:val="0"/>
                <w:sz w:val="16"/>
                <w:szCs w:val="16"/>
                <w:lang w:eastAsia="pt-BR"/>
                <w14:ligatures w14:val="none"/>
              </w:rPr>
              <w:t>19,87%</w:t>
            </w:r>
          </w:p>
        </w:tc>
        <w:tc>
          <w:tcPr>
            <w:tcW w:w="585" w:type="pct"/>
            <w:tcBorders>
              <w:top w:val="nil"/>
              <w:left w:val="nil"/>
              <w:bottom w:val="single" w:sz="4" w:space="0" w:color="auto"/>
              <w:right w:val="single" w:sz="4" w:space="0" w:color="auto"/>
            </w:tcBorders>
            <w:shd w:val="clear" w:color="auto" w:fill="auto"/>
            <w:noWrap/>
            <w:vAlign w:val="bottom"/>
            <w:hideMark/>
          </w:tcPr>
          <w:p w14:paraId="759E5416" w14:textId="77777777" w:rsidR="00445504" w:rsidRPr="00445504" w:rsidRDefault="00445504" w:rsidP="00445504">
            <w:pPr>
              <w:spacing w:after="0" w:line="240" w:lineRule="auto"/>
              <w:jc w:val="right"/>
              <w:rPr>
                <w:rFonts w:ascii="Arial" w:eastAsia="Times New Roman" w:hAnsi="Arial" w:cs="Arial"/>
                <w:color w:val="000000"/>
                <w:kern w:val="0"/>
                <w:sz w:val="16"/>
                <w:szCs w:val="16"/>
                <w:lang w:eastAsia="pt-BR"/>
                <w14:ligatures w14:val="none"/>
              </w:rPr>
            </w:pPr>
            <w:r w:rsidRPr="00445504">
              <w:rPr>
                <w:rFonts w:ascii="Arial" w:eastAsia="Times New Roman" w:hAnsi="Arial" w:cs="Arial"/>
                <w:color w:val="000000"/>
                <w:kern w:val="0"/>
                <w:sz w:val="16"/>
                <w:szCs w:val="16"/>
                <w:lang w:eastAsia="pt-BR"/>
                <w14:ligatures w14:val="none"/>
              </w:rPr>
              <w:t xml:space="preserve">              77 </w:t>
            </w:r>
          </w:p>
        </w:tc>
      </w:tr>
      <w:tr w:rsidR="00445504" w:rsidRPr="00445504" w14:paraId="33FFAD1C" w14:textId="77777777" w:rsidTr="00446A14">
        <w:trPr>
          <w:trHeight w:val="238"/>
        </w:trPr>
        <w:tc>
          <w:tcPr>
            <w:tcW w:w="1324" w:type="pct"/>
            <w:tcBorders>
              <w:top w:val="nil"/>
              <w:left w:val="single" w:sz="4" w:space="0" w:color="auto"/>
              <w:bottom w:val="single" w:sz="4" w:space="0" w:color="auto"/>
              <w:right w:val="single" w:sz="4" w:space="0" w:color="auto"/>
            </w:tcBorders>
            <w:shd w:val="clear" w:color="auto" w:fill="auto"/>
            <w:vAlign w:val="center"/>
            <w:hideMark/>
          </w:tcPr>
          <w:p w14:paraId="45091AFF" w14:textId="77777777" w:rsidR="00445504" w:rsidRPr="00445504" w:rsidRDefault="00445504" w:rsidP="00445504">
            <w:pPr>
              <w:spacing w:after="0" w:line="240" w:lineRule="auto"/>
              <w:ind w:firstLineChars="100" w:firstLine="161"/>
              <w:rPr>
                <w:rFonts w:ascii="Arial" w:eastAsia="Times New Roman" w:hAnsi="Arial" w:cs="Arial"/>
                <w:b/>
                <w:bCs/>
                <w:color w:val="000000"/>
                <w:kern w:val="0"/>
                <w:sz w:val="16"/>
                <w:szCs w:val="16"/>
                <w:lang w:eastAsia="pt-BR"/>
                <w14:ligatures w14:val="none"/>
              </w:rPr>
            </w:pPr>
            <w:r w:rsidRPr="00445504">
              <w:rPr>
                <w:rFonts w:ascii="Arial" w:eastAsia="Times New Roman" w:hAnsi="Arial" w:cs="Arial"/>
                <w:b/>
                <w:bCs/>
                <w:color w:val="000000"/>
                <w:kern w:val="0"/>
                <w:sz w:val="16"/>
                <w:szCs w:val="16"/>
                <w:lang w:eastAsia="pt-BR"/>
                <w14:ligatures w14:val="none"/>
              </w:rPr>
              <w:t xml:space="preserve"> De 91 a 120 dias </w:t>
            </w:r>
          </w:p>
        </w:tc>
        <w:tc>
          <w:tcPr>
            <w:tcW w:w="586" w:type="pct"/>
            <w:tcBorders>
              <w:top w:val="nil"/>
              <w:left w:val="nil"/>
              <w:bottom w:val="single" w:sz="4" w:space="0" w:color="auto"/>
              <w:right w:val="single" w:sz="4" w:space="0" w:color="auto"/>
            </w:tcBorders>
            <w:shd w:val="clear" w:color="auto" w:fill="auto"/>
            <w:noWrap/>
            <w:vAlign w:val="bottom"/>
            <w:hideMark/>
          </w:tcPr>
          <w:p w14:paraId="095D85DA" w14:textId="77777777" w:rsidR="00445504" w:rsidRPr="00445504" w:rsidRDefault="00445504" w:rsidP="00445504">
            <w:pPr>
              <w:spacing w:after="0" w:line="240" w:lineRule="auto"/>
              <w:jc w:val="right"/>
              <w:rPr>
                <w:rFonts w:ascii="Arial" w:eastAsia="Times New Roman" w:hAnsi="Arial" w:cs="Arial"/>
                <w:color w:val="000000"/>
                <w:kern w:val="0"/>
                <w:sz w:val="16"/>
                <w:szCs w:val="16"/>
                <w:lang w:eastAsia="pt-BR"/>
                <w14:ligatures w14:val="none"/>
              </w:rPr>
            </w:pPr>
            <w:r w:rsidRPr="00445504">
              <w:rPr>
                <w:rFonts w:ascii="Arial" w:eastAsia="Times New Roman" w:hAnsi="Arial" w:cs="Arial"/>
                <w:color w:val="000000"/>
                <w:kern w:val="0"/>
                <w:sz w:val="16"/>
                <w:szCs w:val="16"/>
                <w:lang w:eastAsia="pt-BR"/>
                <w14:ligatures w14:val="none"/>
              </w:rPr>
              <w:t xml:space="preserve">         7.692 </w:t>
            </w:r>
          </w:p>
        </w:tc>
        <w:tc>
          <w:tcPr>
            <w:tcW w:w="588" w:type="pct"/>
            <w:tcBorders>
              <w:top w:val="nil"/>
              <w:left w:val="nil"/>
              <w:bottom w:val="single" w:sz="4" w:space="0" w:color="auto"/>
              <w:right w:val="single" w:sz="4" w:space="0" w:color="auto"/>
            </w:tcBorders>
            <w:shd w:val="clear" w:color="auto" w:fill="auto"/>
            <w:noWrap/>
            <w:vAlign w:val="bottom"/>
            <w:hideMark/>
          </w:tcPr>
          <w:p w14:paraId="63E4AE2C" w14:textId="77777777" w:rsidR="00445504" w:rsidRPr="00445504" w:rsidRDefault="00445504" w:rsidP="00445504">
            <w:pPr>
              <w:spacing w:after="0" w:line="240" w:lineRule="auto"/>
              <w:jc w:val="right"/>
              <w:rPr>
                <w:rFonts w:ascii="Arial" w:eastAsia="Times New Roman" w:hAnsi="Arial" w:cs="Arial"/>
                <w:color w:val="000000"/>
                <w:kern w:val="0"/>
                <w:sz w:val="16"/>
                <w:szCs w:val="16"/>
                <w:lang w:eastAsia="pt-BR"/>
                <w14:ligatures w14:val="none"/>
              </w:rPr>
            </w:pPr>
            <w:r w:rsidRPr="00445504">
              <w:rPr>
                <w:rFonts w:ascii="Arial" w:eastAsia="Times New Roman" w:hAnsi="Arial" w:cs="Arial"/>
                <w:color w:val="000000"/>
                <w:kern w:val="0"/>
                <w:sz w:val="16"/>
                <w:szCs w:val="16"/>
                <w:lang w:eastAsia="pt-BR"/>
                <w14:ligatures w14:val="none"/>
              </w:rPr>
              <w:t xml:space="preserve">           (148)</w:t>
            </w:r>
          </w:p>
        </w:tc>
        <w:tc>
          <w:tcPr>
            <w:tcW w:w="588" w:type="pct"/>
            <w:tcBorders>
              <w:top w:val="nil"/>
              <w:left w:val="nil"/>
              <w:bottom w:val="single" w:sz="4" w:space="0" w:color="auto"/>
              <w:right w:val="single" w:sz="4" w:space="0" w:color="auto"/>
            </w:tcBorders>
            <w:shd w:val="clear" w:color="auto" w:fill="auto"/>
            <w:noWrap/>
            <w:vAlign w:val="bottom"/>
            <w:hideMark/>
          </w:tcPr>
          <w:p w14:paraId="56FAADBE" w14:textId="77777777" w:rsidR="00445504" w:rsidRPr="00445504" w:rsidRDefault="00445504" w:rsidP="00445504">
            <w:pPr>
              <w:spacing w:after="0" w:line="240" w:lineRule="auto"/>
              <w:jc w:val="right"/>
              <w:rPr>
                <w:rFonts w:ascii="Arial" w:eastAsia="Times New Roman" w:hAnsi="Arial" w:cs="Arial"/>
                <w:color w:val="000000"/>
                <w:kern w:val="0"/>
                <w:sz w:val="16"/>
                <w:szCs w:val="16"/>
                <w:lang w:eastAsia="pt-BR"/>
                <w14:ligatures w14:val="none"/>
              </w:rPr>
            </w:pPr>
            <w:r w:rsidRPr="00445504">
              <w:rPr>
                <w:rFonts w:ascii="Arial" w:eastAsia="Times New Roman" w:hAnsi="Arial" w:cs="Arial"/>
                <w:color w:val="000000"/>
                <w:kern w:val="0"/>
                <w:sz w:val="16"/>
                <w:szCs w:val="16"/>
                <w:lang w:eastAsia="pt-BR"/>
                <w14:ligatures w14:val="none"/>
              </w:rPr>
              <w:t xml:space="preserve">        (7.322)</w:t>
            </w:r>
          </w:p>
        </w:tc>
        <w:tc>
          <w:tcPr>
            <w:tcW w:w="585" w:type="pct"/>
            <w:tcBorders>
              <w:top w:val="nil"/>
              <w:left w:val="nil"/>
              <w:bottom w:val="single" w:sz="4" w:space="0" w:color="auto"/>
              <w:right w:val="single" w:sz="4" w:space="0" w:color="auto"/>
            </w:tcBorders>
            <w:shd w:val="clear" w:color="auto" w:fill="auto"/>
            <w:noWrap/>
            <w:vAlign w:val="bottom"/>
            <w:hideMark/>
          </w:tcPr>
          <w:p w14:paraId="69E8311B" w14:textId="77777777" w:rsidR="00445504" w:rsidRPr="00445504" w:rsidRDefault="00445504" w:rsidP="00445504">
            <w:pPr>
              <w:spacing w:after="0" w:line="240" w:lineRule="auto"/>
              <w:jc w:val="right"/>
              <w:rPr>
                <w:rFonts w:ascii="Arial" w:eastAsia="Times New Roman" w:hAnsi="Arial" w:cs="Arial"/>
                <w:color w:val="000000"/>
                <w:kern w:val="0"/>
                <w:sz w:val="16"/>
                <w:szCs w:val="16"/>
                <w:lang w:eastAsia="pt-BR"/>
                <w14:ligatures w14:val="none"/>
              </w:rPr>
            </w:pPr>
            <w:r w:rsidRPr="00445504">
              <w:rPr>
                <w:rFonts w:ascii="Arial" w:eastAsia="Times New Roman" w:hAnsi="Arial" w:cs="Arial"/>
                <w:color w:val="000000"/>
                <w:kern w:val="0"/>
                <w:sz w:val="16"/>
                <w:szCs w:val="16"/>
                <w:lang w:eastAsia="pt-BR"/>
                <w14:ligatures w14:val="none"/>
              </w:rPr>
              <w:t xml:space="preserve">            222 </w:t>
            </w:r>
          </w:p>
        </w:tc>
        <w:tc>
          <w:tcPr>
            <w:tcW w:w="744" w:type="pct"/>
            <w:tcBorders>
              <w:top w:val="nil"/>
              <w:left w:val="nil"/>
              <w:bottom w:val="single" w:sz="4" w:space="0" w:color="auto"/>
              <w:right w:val="single" w:sz="4" w:space="0" w:color="auto"/>
            </w:tcBorders>
            <w:shd w:val="clear" w:color="auto" w:fill="auto"/>
            <w:noWrap/>
            <w:vAlign w:val="bottom"/>
            <w:hideMark/>
          </w:tcPr>
          <w:p w14:paraId="0BB0C5E8" w14:textId="77777777" w:rsidR="00445504" w:rsidRPr="00445504" w:rsidRDefault="00445504" w:rsidP="00445504">
            <w:pPr>
              <w:spacing w:after="0" w:line="240" w:lineRule="auto"/>
              <w:jc w:val="right"/>
              <w:rPr>
                <w:rFonts w:ascii="Arial" w:eastAsia="Times New Roman" w:hAnsi="Arial" w:cs="Arial"/>
                <w:color w:val="000000"/>
                <w:kern w:val="0"/>
                <w:sz w:val="16"/>
                <w:szCs w:val="16"/>
                <w:lang w:eastAsia="pt-BR"/>
                <w14:ligatures w14:val="none"/>
              </w:rPr>
            </w:pPr>
            <w:r w:rsidRPr="00445504">
              <w:rPr>
                <w:rFonts w:ascii="Arial" w:eastAsia="Times New Roman" w:hAnsi="Arial" w:cs="Arial"/>
                <w:color w:val="000000"/>
                <w:kern w:val="0"/>
                <w:sz w:val="16"/>
                <w:szCs w:val="16"/>
                <w:lang w:eastAsia="pt-BR"/>
                <w14:ligatures w14:val="none"/>
              </w:rPr>
              <w:t>30,28%</w:t>
            </w:r>
          </w:p>
        </w:tc>
        <w:tc>
          <w:tcPr>
            <w:tcW w:w="585" w:type="pct"/>
            <w:tcBorders>
              <w:top w:val="nil"/>
              <w:left w:val="nil"/>
              <w:bottom w:val="single" w:sz="4" w:space="0" w:color="auto"/>
              <w:right w:val="single" w:sz="4" w:space="0" w:color="auto"/>
            </w:tcBorders>
            <w:shd w:val="clear" w:color="auto" w:fill="auto"/>
            <w:noWrap/>
            <w:vAlign w:val="bottom"/>
            <w:hideMark/>
          </w:tcPr>
          <w:p w14:paraId="17A51ABE" w14:textId="77777777" w:rsidR="00445504" w:rsidRPr="00445504" w:rsidRDefault="00445504" w:rsidP="00445504">
            <w:pPr>
              <w:spacing w:after="0" w:line="240" w:lineRule="auto"/>
              <w:jc w:val="right"/>
              <w:rPr>
                <w:rFonts w:ascii="Arial" w:eastAsia="Times New Roman" w:hAnsi="Arial" w:cs="Arial"/>
                <w:color w:val="000000"/>
                <w:kern w:val="0"/>
                <w:sz w:val="16"/>
                <w:szCs w:val="16"/>
                <w:lang w:eastAsia="pt-BR"/>
                <w14:ligatures w14:val="none"/>
              </w:rPr>
            </w:pPr>
            <w:r w:rsidRPr="00445504">
              <w:rPr>
                <w:rFonts w:ascii="Arial" w:eastAsia="Times New Roman" w:hAnsi="Arial" w:cs="Arial"/>
                <w:color w:val="000000"/>
                <w:kern w:val="0"/>
                <w:sz w:val="16"/>
                <w:szCs w:val="16"/>
                <w:lang w:eastAsia="pt-BR"/>
                <w14:ligatures w14:val="none"/>
              </w:rPr>
              <w:t xml:space="preserve">              67 </w:t>
            </w:r>
          </w:p>
        </w:tc>
      </w:tr>
      <w:tr w:rsidR="00445504" w:rsidRPr="00445504" w14:paraId="78CC7D7F" w14:textId="77777777" w:rsidTr="00446A14">
        <w:trPr>
          <w:trHeight w:val="238"/>
        </w:trPr>
        <w:tc>
          <w:tcPr>
            <w:tcW w:w="1324" w:type="pct"/>
            <w:tcBorders>
              <w:top w:val="nil"/>
              <w:left w:val="single" w:sz="4" w:space="0" w:color="auto"/>
              <w:bottom w:val="single" w:sz="4" w:space="0" w:color="auto"/>
              <w:right w:val="single" w:sz="4" w:space="0" w:color="auto"/>
            </w:tcBorders>
            <w:shd w:val="clear" w:color="auto" w:fill="auto"/>
            <w:vAlign w:val="center"/>
            <w:hideMark/>
          </w:tcPr>
          <w:p w14:paraId="72A0ECF3" w14:textId="77777777" w:rsidR="00445504" w:rsidRPr="00445504" w:rsidRDefault="00445504" w:rsidP="00445504">
            <w:pPr>
              <w:spacing w:after="0" w:line="240" w:lineRule="auto"/>
              <w:ind w:firstLineChars="100" w:firstLine="161"/>
              <w:rPr>
                <w:rFonts w:ascii="Arial" w:eastAsia="Times New Roman" w:hAnsi="Arial" w:cs="Arial"/>
                <w:b/>
                <w:bCs/>
                <w:color w:val="000000"/>
                <w:kern w:val="0"/>
                <w:sz w:val="16"/>
                <w:szCs w:val="16"/>
                <w:lang w:eastAsia="pt-BR"/>
                <w14:ligatures w14:val="none"/>
              </w:rPr>
            </w:pPr>
            <w:r w:rsidRPr="00445504">
              <w:rPr>
                <w:rFonts w:ascii="Arial" w:eastAsia="Times New Roman" w:hAnsi="Arial" w:cs="Arial"/>
                <w:b/>
                <w:bCs/>
                <w:color w:val="000000"/>
                <w:kern w:val="0"/>
                <w:sz w:val="16"/>
                <w:szCs w:val="16"/>
                <w:lang w:eastAsia="pt-BR"/>
                <w14:ligatures w14:val="none"/>
              </w:rPr>
              <w:t xml:space="preserve"> De 121 a 150 dias </w:t>
            </w:r>
          </w:p>
        </w:tc>
        <w:tc>
          <w:tcPr>
            <w:tcW w:w="586" w:type="pct"/>
            <w:tcBorders>
              <w:top w:val="nil"/>
              <w:left w:val="nil"/>
              <w:bottom w:val="single" w:sz="4" w:space="0" w:color="auto"/>
              <w:right w:val="single" w:sz="4" w:space="0" w:color="auto"/>
            </w:tcBorders>
            <w:shd w:val="clear" w:color="auto" w:fill="auto"/>
            <w:noWrap/>
            <w:vAlign w:val="bottom"/>
            <w:hideMark/>
          </w:tcPr>
          <w:p w14:paraId="22AF280E" w14:textId="77777777" w:rsidR="00445504" w:rsidRPr="00445504" w:rsidRDefault="00445504" w:rsidP="00445504">
            <w:pPr>
              <w:spacing w:after="0" w:line="240" w:lineRule="auto"/>
              <w:jc w:val="right"/>
              <w:rPr>
                <w:rFonts w:ascii="Arial" w:eastAsia="Times New Roman" w:hAnsi="Arial" w:cs="Arial"/>
                <w:color w:val="000000"/>
                <w:kern w:val="0"/>
                <w:sz w:val="16"/>
                <w:szCs w:val="16"/>
                <w:lang w:eastAsia="pt-BR"/>
                <w14:ligatures w14:val="none"/>
              </w:rPr>
            </w:pPr>
            <w:r w:rsidRPr="00445504">
              <w:rPr>
                <w:rFonts w:ascii="Arial" w:eastAsia="Times New Roman" w:hAnsi="Arial" w:cs="Arial"/>
                <w:color w:val="000000"/>
                <w:kern w:val="0"/>
                <w:sz w:val="16"/>
                <w:szCs w:val="16"/>
                <w:lang w:eastAsia="pt-BR"/>
                <w14:ligatures w14:val="none"/>
              </w:rPr>
              <w:t xml:space="preserve">         1.815 </w:t>
            </w:r>
          </w:p>
        </w:tc>
        <w:tc>
          <w:tcPr>
            <w:tcW w:w="588" w:type="pct"/>
            <w:tcBorders>
              <w:top w:val="nil"/>
              <w:left w:val="nil"/>
              <w:bottom w:val="single" w:sz="4" w:space="0" w:color="auto"/>
              <w:right w:val="single" w:sz="4" w:space="0" w:color="auto"/>
            </w:tcBorders>
            <w:shd w:val="clear" w:color="auto" w:fill="auto"/>
            <w:noWrap/>
            <w:vAlign w:val="bottom"/>
            <w:hideMark/>
          </w:tcPr>
          <w:p w14:paraId="34A06BA4" w14:textId="77777777" w:rsidR="00445504" w:rsidRPr="00445504" w:rsidRDefault="00445504" w:rsidP="00445504">
            <w:pPr>
              <w:spacing w:after="0" w:line="240" w:lineRule="auto"/>
              <w:jc w:val="right"/>
              <w:rPr>
                <w:rFonts w:ascii="Arial" w:eastAsia="Times New Roman" w:hAnsi="Arial" w:cs="Arial"/>
                <w:color w:val="000000"/>
                <w:kern w:val="0"/>
                <w:sz w:val="16"/>
                <w:szCs w:val="16"/>
                <w:lang w:eastAsia="pt-BR"/>
                <w14:ligatures w14:val="none"/>
              </w:rPr>
            </w:pPr>
            <w:r w:rsidRPr="00445504">
              <w:rPr>
                <w:rFonts w:ascii="Arial" w:eastAsia="Times New Roman" w:hAnsi="Arial" w:cs="Arial"/>
                <w:color w:val="000000"/>
                <w:kern w:val="0"/>
                <w:sz w:val="16"/>
                <w:szCs w:val="16"/>
                <w:lang w:eastAsia="pt-BR"/>
                <w14:ligatures w14:val="none"/>
              </w:rPr>
              <w:t xml:space="preserve">               (3)</w:t>
            </w:r>
          </w:p>
        </w:tc>
        <w:tc>
          <w:tcPr>
            <w:tcW w:w="588" w:type="pct"/>
            <w:tcBorders>
              <w:top w:val="nil"/>
              <w:left w:val="nil"/>
              <w:bottom w:val="single" w:sz="4" w:space="0" w:color="auto"/>
              <w:right w:val="single" w:sz="4" w:space="0" w:color="auto"/>
            </w:tcBorders>
            <w:shd w:val="clear" w:color="auto" w:fill="auto"/>
            <w:noWrap/>
            <w:vAlign w:val="bottom"/>
            <w:hideMark/>
          </w:tcPr>
          <w:p w14:paraId="094E4228" w14:textId="77777777" w:rsidR="00445504" w:rsidRPr="00445504" w:rsidRDefault="00445504" w:rsidP="00445504">
            <w:pPr>
              <w:spacing w:after="0" w:line="240" w:lineRule="auto"/>
              <w:jc w:val="right"/>
              <w:rPr>
                <w:rFonts w:ascii="Arial" w:eastAsia="Times New Roman" w:hAnsi="Arial" w:cs="Arial"/>
                <w:color w:val="000000"/>
                <w:kern w:val="0"/>
                <w:sz w:val="16"/>
                <w:szCs w:val="16"/>
                <w:lang w:eastAsia="pt-BR"/>
                <w14:ligatures w14:val="none"/>
              </w:rPr>
            </w:pPr>
            <w:r w:rsidRPr="00445504">
              <w:rPr>
                <w:rFonts w:ascii="Arial" w:eastAsia="Times New Roman" w:hAnsi="Arial" w:cs="Arial"/>
                <w:color w:val="000000"/>
                <w:kern w:val="0"/>
                <w:sz w:val="16"/>
                <w:szCs w:val="16"/>
                <w:lang w:eastAsia="pt-BR"/>
                <w14:ligatures w14:val="none"/>
              </w:rPr>
              <w:t xml:space="preserve">        (1.597)</w:t>
            </w:r>
          </w:p>
        </w:tc>
        <w:tc>
          <w:tcPr>
            <w:tcW w:w="585" w:type="pct"/>
            <w:tcBorders>
              <w:top w:val="nil"/>
              <w:left w:val="nil"/>
              <w:bottom w:val="single" w:sz="4" w:space="0" w:color="auto"/>
              <w:right w:val="single" w:sz="4" w:space="0" w:color="auto"/>
            </w:tcBorders>
            <w:shd w:val="clear" w:color="auto" w:fill="auto"/>
            <w:noWrap/>
            <w:vAlign w:val="bottom"/>
            <w:hideMark/>
          </w:tcPr>
          <w:p w14:paraId="1A4CA843" w14:textId="77777777" w:rsidR="00445504" w:rsidRPr="00445504" w:rsidRDefault="00445504" w:rsidP="00445504">
            <w:pPr>
              <w:spacing w:after="0" w:line="240" w:lineRule="auto"/>
              <w:jc w:val="right"/>
              <w:rPr>
                <w:rFonts w:ascii="Arial" w:eastAsia="Times New Roman" w:hAnsi="Arial" w:cs="Arial"/>
                <w:color w:val="000000"/>
                <w:kern w:val="0"/>
                <w:sz w:val="16"/>
                <w:szCs w:val="16"/>
                <w:lang w:eastAsia="pt-BR"/>
                <w14:ligatures w14:val="none"/>
              </w:rPr>
            </w:pPr>
            <w:r w:rsidRPr="00445504">
              <w:rPr>
                <w:rFonts w:ascii="Arial" w:eastAsia="Times New Roman" w:hAnsi="Arial" w:cs="Arial"/>
                <w:color w:val="000000"/>
                <w:kern w:val="0"/>
                <w:sz w:val="16"/>
                <w:szCs w:val="16"/>
                <w:lang w:eastAsia="pt-BR"/>
                <w14:ligatures w14:val="none"/>
              </w:rPr>
              <w:t xml:space="preserve">            215 </w:t>
            </w:r>
          </w:p>
        </w:tc>
        <w:tc>
          <w:tcPr>
            <w:tcW w:w="744" w:type="pct"/>
            <w:tcBorders>
              <w:top w:val="nil"/>
              <w:left w:val="nil"/>
              <w:bottom w:val="single" w:sz="4" w:space="0" w:color="auto"/>
              <w:right w:val="single" w:sz="4" w:space="0" w:color="auto"/>
            </w:tcBorders>
            <w:shd w:val="clear" w:color="auto" w:fill="auto"/>
            <w:noWrap/>
            <w:vAlign w:val="bottom"/>
            <w:hideMark/>
          </w:tcPr>
          <w:p w14:paraId="09DFE0DE" w14:textId="77777777" w:rsidR="00445504" w:rsidRPr="00445504" w:rsidRDefault="00445504" w:rsidP="00445504">
            <w:pPr>
              <w:spacing w:after="0" w:line="240" w:lineRule="auto"/>
              <w:jc w:val="right"/>
              <w:rPr>
                <w:rFonts w:ascii="Arial" w:eastAsia="Times New Roman" w:hAnsi="Arial" w:cs="Arial"/>
                <w:color w:val="000000"/>
                <w:kern w:val="0"/>
                <w:sz w:val="16"/>
                <w:szCs w:val="16"/>
                <w:lang w:eastAsia="pt-BR"/>
                <w14:ligatures w14:val="none"/>
              </w:rPr>
            </w:pPr>
            <w:r w:rsidRPr="00445504">
              <w:rPr>
                <w:rFonts w:ascii="Arial" w:eastAsia="Times New Roman" w:hAnsi="Arial" w:cs="Arial"/>
                <w:color w:val="000000"/>
                <w:kern w:val="0"/>
                <w:sz w:val="16"/>
                <w:szCs w:val="16"/>
                <w:lang w:eastAsia="pt-BR"/>
                <w14:ligatures w14:val="none"/>
              </w:rPr>
              <w:t>45,92%</w:t>
            </w:r>
          </w:p>
        </w:tc>
        <w:tc>
          <w:tcPr>
            <w:tcW w:w="585" w:type="pct"/>
            <w:tcBorders>
              <w:top w:val="nil"/>
              <w:left w:val="nil"/>
              <w:bottom w:val="single" w:sz="4" w:space="0" w:color="auto"/>
              <w:right w:val="single" w:sz="4" w:space="0" w:color="auto"/>
            </w:tcBorders>
            <w:shd w:val="clear" w:color="auto" w:fill="auto"/>
            <w:noWrap/>
            <w:vAlign w:val="bottom"/>
            <w:hideMark/>
          </w:tcPr>
          <w:p w14:paraId="6CC265E9" w14:textId="77777777" w:rsidR="00445504" w:rsidRPr="00445504" w:rsidRDefault="00445504" w:rsidP="00445504">
            <w:pPr>
              <w:spacing w:after="0" w:line="240" w:lineRule="auto"/>
              <w:jc w:val="right"/>
              <w:rPr>
                <w:rFonts w:ascii="Arial" w:eastAsia="Times New Roman" w:hAnsi="Arial" w:cs="Arial"/>
                <w:color w:val="000000"/>
                <w:kern w:val="0"/>
                <w:sz w:val="16"/>
                <w:szCs w:val="16"/>
                <w:lang w:eastAsia="pt-BR"/>
                <w14:ligatures w14:val="none"/>
              </w:rPr>
            </w:pPr>
            <w:r w:rsidRPr="00445504">
              <w:rPr>
                <w:rFonts w:ascii="Arial" w:eastAsia="Times New Roman" w:hAnsi="Arial" w:cs="Arial"/>
                <w:color w:val="000000"/>
                <w:kern w:val="0"/>
                <w:sz w:val="16"/>
                <w:szCs w:val="16"/>
                <w:lang w:eastAsia="pt-BR"/>
                <w14:ligatures w14:val="none"/>
              </w:rPr>
              <w:t xml:space="preserve">              99 </w:t>
            </w:r>
          </w:p>
        </w:tc>
      </w:tr>
      <w:tr w:rsidR="00445504" w:rsidRPr="00445504" w14:paraId="05E584DC" w14:textId="77777777" w:rsidTr="00446A14">
        <w:trPr>
          <w:trHeight w:val="238"/>
        </w:trPr>
        <w:tc>
          <w:tcPr>
            <w:tcW w:w="1324" w:type="pct"/>
            <w:tcBorders>
              <w:top w:val="nil"/>
              <w:left w:val="single" w:sz="4" w:space="0" w:color="auto"/>
              <w:bottom w:val="single" w:sz="4" w:space="0" w:color="auto"/>
              <w:right w:val="single" w:sz="4" w:space="0" w:color="auto"/>
            </w:tcBorders>
            <w:shd w:val="clear" w:color="auto" w:fill="auto"/>
            <w:vAlign w:val="center"/>
            <w:hideMark/>
          </w:tcPr>
          <w:p w14:paraId="57F77A08" w14:textId="77777777" w:rsidR="00445504" w:rsidRPr="00445504" w:rsidRDefault="00445504" w:rsidP="00445504">
            <w:pPr>
              <w:spacing w:after="0" w:line="240" w:lineRule="auto"/>
              <w:ind w:firstLineChars="100" w:firstLine="161"/>
              <w:rPr>
                <w:rFonts w:ascii="Arial" w:eastAsia="Times New Roman" w:hAnsi="Arial" w:cs="Arial"/>
                <w:b/>
                <w:bCs/>
                <w:color w:val="000000"/>
                <w:kern w:val="0"/>
                <w:sz w:val="16"/>
                <w:szCs w:val="16"/>
                <w:lang w:eastAsia="pt-BR"/>
                <w14:ligatures w14:val="none"/>
              </w:rPr>
            </w:pPr>
            <w:r w:rsidRPr="00445504">
              <w:rPr>
                <w:rFonts w:ascii="Arial" w:eastAsia="Times New Roman" w:hAnsi="Arial" w:cs="Arial"/>
                <w:b/>
                <w:bCs/>
                <w:color w:val="000000"/>
                <w:kern w:val="0"/>
                <w:sz w:val="16"/>
                <w:szCs w:val="16"/>
                <w:lang w:eastAsia="pt-BR"/>
                <w14:ligatures w14:val="none"/>
              </w:rPr>
              <w:t xml:space="preserve"> De 151 a 180 dias </w:t>
            </w:r>
          </w:p>
        </w:tc>
        <w:tc>
          <w:tcPr>
            <w:tcW w:w="586" w:type="pct"/>
            <w:tcBorders>
              <w:top w:val="nil"/>
              <w:left w:val="nil"/>
              <w:bottom w:val="single" w:sz="4" w:space="0" w:color="auto"/>
              <w:right w:val="single" w:sz="4" w:space="0" w:color="auto"/>
            </w:tcBorders>
            <w:shd w:val="clear" w:color="auto" w:fill="auto"/>
            <w:noWrap/>
            <w:vAlign w:val="bottom"/>
            <w:hideMark/>
          </w:tcPr>
          <w:p w14:paraId="4C11595A" w14:textId="77777777" w:rsidR="00445504" w:rsidRPr="00445504" w:rsidRDefault="00445504" w:rsidP="00445504">
            <w:pPr>
              <w:spacing w:after="0" w:line="240" w:lineRule="auto"/>
              <w:jc w:val="right"/>
              <w:rPr>
                <w:rFonts w:ascii="Arial" w:eastAsia="Times New Roman" w:hAnsi="Arial" w:cs="Arial"/>
                <w:color w:val="000000"/>
                <w:kern w:val="0"/>
                <w:sz w:val="16"/>
                <w:szCs w:val="16"/>
                <w:lang w:eastAsia="pt-BR"/>
                <w14:ligatures w14:val="none"/>
              </w:rPr>
            </w:pPr>
            <w:r w:rsidRPr="00445504">
              <w:rPr>
                <w:rFonts w:ascii="Arial" w:eastAsia="Times New Roman" w:hAnsi="Arial" w:cs="Arial"/>
                <w:color w:val="000000"/>
                <w:kern w:val="0"/>
                <w:sz w:val="16"/>
                <w:szCs w:val="16"/>
                <w:lang w:eastAsia="pt-BR"/>
                <w14:ligatures w14:val="none"/>
              </w:rPr>
              <w:t xml:space="preserve">         2.891 </w:t>
            </w:r>
          </w:p>
        </w:tc>
        <w:tc>
          <w:tcPr>
            <w:tcW w:w="588" w:type="pct"/>
            <w:tcBorders>
              <w:top w:val="nil"/>
              <w:left w:val="nil"/>
              <w:bottom w:val="single" w:sz="4" w:space="0" w:color="auto"/>
              <w:right w:val="single" w:sz="4" w:space="0" w:color="auto"/>
            </w:tcBorders>
            <w:shd w:val="clear" w:color="auto" w:fill="auto"/>
            <w:noWrap/>
            <w:vAlign w:val="bottom"/>
            <w:hideMark/>
          </w:tcPr>
          <w:p w14:paraId="509DA05F" w14:textId="77777777" w:rsidR="00445504" w:rsidRPr="00445504" w:rsidRDefault="00445504" w:rsidP="00445504">
            <w:pPr>
              <w:spacing w:after="0" w:line="240" w:lineRule="auto"/>
              <w:jc w:val="right"/>
              <w:rPr>
                <w:rFonts w:ascii="Arial" w:eastAsia="Times New Roman" w:hAnsi="Arial" w:cs="Arial"/>
                <w:color w:val="000000"/>
                <w:kern w:val="0"/>
                <w:sz w:val="16"/>
                <w:szCs w:val="16"/>
                <w:lang w:eastAsia="pt-BR"/>
                <w14:ligatures w14:val="none"/>
              </w:rPr>
            </w:pPr>
            <w:r w:rsidRPr="00445504">
              <w:rPr>
                <w:rFonts w:ascii="Arial" w:eastAsia="Times New Roman" w:hAnsi="Arial" w:cs="Arial"/>
                <w:color w:val="000000"/>
                <w:kern w:val="0"/>
                <w:sz w:val="16"/>
                <w:szCs w:val="16"/>
                <w:lang w:eastAsia="pt-BR"/>
                <w14:ligatures w14:val="none"/>
              </w:rPr>
              <w:t xml:space="preserve">             (79)</w:t>
            </w:r>
          </w:p>
        </w:tc>
        <w:tc>
          <w:tcPr>
            <w:tcW w:w="588" w:type="pct"/>
            <w:tcBorders>
              <w:top w:val="nil"/>
              <w:left w:val="nil"/>
              <w:bottom w:val="single" w:sz="4" w:space="0" w:color="auto"/>
              <w:right w:val="single" w:sz="4" w:space="0" w:color="auto"/>
            </w:tcBorders>
            <w:shd w:val="clear" w:color="auto" w:fill="auto"/>
            <w:noWrap/>
            <w:vAlign w:val="bottom"/>
            <w:hideMark/>
          </w:tcPr>
          <w:p w14:paraId="4A1E2BB6" w14:textId="77777777" w:rsidR="00445504" w:rsidRPr="00445504" w:rsidRDefault="00445504" w:rsidP="00445504">
            <w:pPr>
              <w:spacing w:after="0" w:line="240" w:lineRule="auto"/>
              <w:jc w:val="right"/>
              <w:rPr>
                <w:rFonts w:ascii="Arial" w:eastAsia="Times New Roman" w:hAnsi="Arial" w:cs="Arial"/>
                <w:color w:val="000000"/>
                <w:kern w:val="0"/>
                <w:sz w:val="16"/>
                <w:szCs w:val="16"/>
                <w:lang w:eastAsia="pt-BR"/>
                <w14:ligatures w14:val="none"/>
              </w:rPr>
            </w:pPr>
            <w:r w:rsidRPr="00445504">
              <w:rPr>
                <w:rFonts w:ascii="Arial" w:eastAsia="Times New Roman" w:hAnsi="Arial" w:cs="Arial"/>
                <w:color w:val="000000"/>
                <w:kern w:val="0"/>
                <w:sz w:val="16"/>
                <w:szCs w:val="16"/>
                <w:lang w:eastAsia="pt-BR"/>
                <w14:ligatures w14:val="none"/>
              </w:rPr>
              <w:t xml:space="preserve">        (2.672)</w:t>
            </w:r>
          </w:p>
        </w:tc>
        <w:tc>
          <w:tcPr>
            <w:tcW w:w="585" w:type="pct"/>
            <w:tcBorders>
              <w:top w:val="nil"/>
              <w:left w:val="nil"/>
              <w:bottom w:val="single" w:sz="4" w:space="0" w:color="auto"/>
              <w:right w:val="single" w:sz="4" w:space="0" w:color="auto"/>
            </w:tcBorders>
            <w:shd w:val="clear" w:color="auto" w:fill="auto"/>
            <w:noWrap/>
            <w:vAlign w:val="bottom"/>
            <w:hideMark/>
          </w:tcPr>
          <w:p w14:paraId="027FBEBC" w14:textId="77777777" w:rsidR="00445504" w:rsidRPr="00445504" w:rsidRDefault="00445504" w:rsidP="00445504">
            <w:pPr>
              <w:spacing w:after="0" w:line="240" w:lineRule="auto"/>
              <w:jc w:val="right"/>
              <w:rPr>
                <w:rFonts w:ascii="Arial" w:eastAsia="Times New Roman" w:hAnsi="Arial" w:cs="Arial"/>
                <w:color w:val="000000"/>
                <w:kern w:val="0"/>
                <w:sz w:val="16"/>
                <w:szCs w:val="16"/>
                <w:lang w:eastAsia="pt-BR"/>
                <w14:ligatures w14:val="none"/>
              </w:rPr>
            </w:pPr>
            <w:r w:rsidRPr="00445504">
              <w:rPr>
                <w:rFonts w:ascii="Arial" w:eastAsia="Times New Roman" w:hAnsi="Arial" w:cs="Arial"/>
                <w:color w:val="000000"/>
                <w:kern w:val="0"/>
                <w:sz w:val="16"/>
                <w:szCs w:val="16"/>
                <w:lang w:eastAsia="pt-BR"/>
                <w14:ligatures w14:val="none"/>
              </w:rPr>
              <w:t xml:space="preserve">            140 </w:t>
            </w:r>
          </w:p>
        </w:tc>
        <w:tc>
          <w:tcPr>
            <w:tcW w:w="744" w:type="pct"/>
            <w:tcBorders>
              <w:top w:val="nil"/>
              <w:left w:val="nil"/>
              <w:bottom w:val="single" w:sz="4" w:space="0" w:color="auto"/>
              <w:right w:val="single" w:sz="4" w:space="0" w:color="auto"/>
            </w:tcBorders>
            <w:shd w:val="clear" w:color="auto" w:fill="auto"/>
            <w:noWrap/>
            <w:vAlign w:val="bottom"/>
            <w:hideMark/>
          </w:tcPr>
          <w:p w14:paraId="79C4EF0F" w14:textId="77777777" w:rsidR="00445504" w:rsidRPr="00445504" w:rsidRDefault="00445504" w:rsidP="00445504">
            <w:pPr>
              <w:spacing w:after="0" w:line="240" w:lineRule="auto"/>
              <w:jc w:val="right"/>
              <w:rPr>
                <w:rFonts w:ascii="Arial" w:eastAsia="Times New Roman" w:hAnsi="Arial" w:cs="Arial"/>
                <w:color w:val="000000"/>
                <w:kern w:val="0"/>
                <w:sz w:val="16"/>
                <w:szCs w:val="16"/>
                <w:lang w:eastAsia="pt-BR"/>
                <w14:ligatures w14:val="none"/>
              </w:rPr>
            </w:pPr>
            <w:r w:rsidRPr="00445504">
              <w:rPr>
                <w:rFonts w:ascii="Arial" w:eastAsia="Times New Roman" w:hAnsi="Arial" w:cs="Arial"/>
                <w:color w:val="000000"/>
                <w:kern w:val="0"/>
                <w:sz w:val="16"/>
                <w:szCs w:val="16"/>
                <w:lang w:eastAsia="pt-BR"/>
                <w14:ligatures w14:val="none"/>
              </w:rPr>
              <w:t>57,56%</w:t>
            </w:r>
          </w:p>
        </w:tc>
        <w:tc>
          <w:tcPr>
            <w:tcW w:w="585" w:type="pct"/>
            <w:tcBorders>
              <w:top w:val="nil"/>
              <w:left w:val="nil"/>
              <w:bottom w:val="single" w:sz="4" w:space="0" w:color="auto"/>
              <w:right w:val="single" w:sz="4" w:space="0" w:color="auto"/>
            </w:tcBorders>
            <w:shd w:val="clear" w:color="auto" w:fill="auto"/>
            <w:noWrap/>
            <w:vAlign w:val="bottom"/>
            <w:hideMark/>
          </w:tcPr>
          <w:p w14:paraId="13141E92" w14:textId="77777777" w:rsidR="00445504" w:rsidRPr="00445504" w:rsidRDefault="00445504" w:rsidP="00445504">
            <w:pPr>
              <w:spacing w:after="0" w:line="240" w:lineRule="auto"/>
              <w:jc w:val="right"/>
              <w:rPr>
                <w:rFonts w:ascii="Arial" w:eastAsia="Times New Roman" w:hAnsi="Arial" w:cs="Arial"/>
                <w:color w:val="000000"/>
                <w:kern w:val="0"/>
                <w:sz w:val="16"/>
                <w:szCs w:val="16"/>
                <w:lang w:eastAsia="pt-BR"/>
                <w14:ligatures w14:val="none"/>
              </w:rPr>
            </w:pPr>
            <w:r w:rsidRPr="00445504">
              <w:rPr>
                <w:rFonts w:ascii="Arial" w:eastAsia="Times New Roman" w:hAnsi="Arial" w:cs="Arial"/>
                <w:color w:val="000000"/>
                <w:kern w:val="0"/>
                <w:sz w:val="16"/>
                <w:szCs w:val="16"/>
                <w:lang w:eastAsia="pt-BR"/>
                <w14:ligatures w14:val="none"/>
              </w:rPr>
              <w:t xml:space="preserve">              81 </w:t>
            </w:r>
          </w:p>
        </w:tc>
      </w:tr>
      <w:tr w:rsidR="00445504" w:rsidRPr="00445504" w14:paraId="78B4118A" w14:textId="77777777" w:rsidTr="00446A14">
        <w:trPr>
          <w:trHeight w:val="238"/>
        </w:trPr>
        <w:tc>
          <w:tcPr>
            <w:tcW w:w="1324" w:type="pct"/>
            <w:tcBorders>
              <w:top w:val="nil"/>
              <w:left w:val="single" w:sz="4" w:space="0" w:color="auto"/>
              <w:bottom w:val="single" w:sz="4" w:space="0" w:color="auto"/>
              <w:right w:val="single" w:sz="4" w:space="0" w:color="auto"/>
            </w:tcBorders>
            <w:shd w:val="clear" w:color="auto" w:fill="auto"/>
            <w:vAlign w:val="center"/>
            <w:hideMark/>
          </w:tcPr>
          <w:p w14:paraId="512699C7" w14:textId="77777777" w:rsidR="00445504" w:rsidRPr="00445504" w:rsidRDefault="00445504" w:rsidP="00445504">
            <w:pPr>
              <w:spacing w:after="0" w:line="240" w:lineRule="auto"/>
              <w:ind w:firstLineChars="100" w:firstLine="161"/>
              <w:rPr>
                <w:rFonts w:ascii="Arial" w:eastAsia="Times New Roman" w:hAnsi="Arial" w:cs="Arial"/>
                <w:b/>
                <w:bCs/>
                <w:color w:val="000000"/>
                <w:kern w:val="0"/>
                <w:sz w:val="16"/>
                <w:szCs w:val="16"/>
                <w:lang w:eastAsia="pt-BR"/>
                <w14:ligatures w14:val="none"/>
              </w:rPr>
            </w:pPr>
            <w:r w:rsidRPr="00445504">
              <w:rPr>
                <w:rFonts w:ascii="Arial" w:eastAsia="Times New Roman" w:hAnsi="Arial" w:cs="Arial"/>
                <w:b/>
                <w:bCs/>
                <w:color w:val="000000"/>
                <w:kern w:val="0"/>
                <w:sz w:val="16"/>
                <w:szCs w:val="16"/>
                <w:lang w:eastAsia="pt-BR"/>
                <w14:ligatures w14:val="none"/>
              </w:rPr>
              <w:t xml:space="preserve"> + de 180 dias (2) </w:t>
            </w:r>
          </w:p>
        </w:tc>
        <w:tc>
          <w:tcPr>
            <w:tcW w:w="586" w:type="pct"/>
            <w:tcBorders>
              <w:top w:val="nil"/>
              <w:left w:val="nil"/>
              <w:bottom w:val="single" w:sz="4" w:space="0" w:color="auto"/>
              <w:right w:val="single" w:sz="4" w:space="0" w:color="auto"/>
            </w:tcBorders>
            <w:shd w:val="clear" w:color="auto" w:fill="auto"/>
            <w:noWrap/>
            <w:vAlign w:val="bottom"/>
            <w:hideMark/>
          </w:tcPr>
          <w:p w14:paraId="50E6476D" w14:textId="77777777" w:rsidR="00445504" w:rsidRPr="00445504" w:rsidRDefault="00445504" w:rsidP="00445504">
            <w:pPr>
              <w:spacing w:after="0" w:line="240" w:lineRule="auto"/>
              <w:jc w:val="right"/>
              <w:rPr>
                <w:rFonts w:ascii="Arial" w:eastAsia="Times New Roman" w:hAnsi="Arial" w:cs="Arial"/>
                <w:color w:val="000000"/>
                <w:kern w:val="0"/>
                <w:sz w:val="16"/>
                <w:szCs w:val="16"/>
                <w:lang w:eastAsia="pt-BR"/>
                <w14:ligatures w14:val="none"/>
              </w:rPr>
            </w:pPr>
            <w:r w:rsidRPr="00445504">
              <w:rPr>
                <w:rFonts w:ascii="Arial" w:eastAsia="Times New Roman" w:hAnsi="Arial" w:cs="Arial"/>
                <w:color w:val="000000"/>
                <w:kern w:val="0"/>
                <w:sz w:val="16"/>
                <w:szCs w:val="16"/>
                <w:lang w:eastAsia="pt-BR"/>
                <w14:ligatures w14:val="none"/>
              </w:rPr>
              <w:t xml:space="preserve">       24.561 </w:t>
            </w:r>
          </w:p>
        </w:tc>
        <w:tc>
          <w:tcPr>
            <w:tcW w:w="588" w:type="pct"/>
            <w:tcBorders>
              <w:top w:val="nil"/>
              <w:left w:val="nil"/>
              <w:bottom w:val="single" w:sz="4" w:space="0" w:color="auto"/>
              <w:right w:val="single" w:sz="4" w:space="0" w:color="auto"/>
            </w:tcBorders>
            <w:shd w:val="clear" w:color="auto" w:fill="auto"/>
            <w:noWrap/>
            <w:vAlign w:val="bottom"/>
            <w:hideMark/>
          </w:tcPr>
          <w:p w14:paraId="2D4EFC29" w14:textId="77777777" w:rsidR="00445504" w:rsidRPr="00445504" w:rsidRDefault="00445504" w:rsidP="00445504">
            <w:pPr>
              <w:spacing w:after="0" w:line="240" w:lineRule="auto"/>
              <w:jc w:val="right"/>
              <w:rPr>
                <w:rFonts w:ascii="Arial" w:eastAsia="Times New Roman" w:hAnsi="Arial" w:cs="Arial"/>
                <w:color w:val="000000"/>
                <w:kern w:val="0"/>
                <w:sz w:val="16"/>
                <w:szCs w:val="16"/>
                <w:lang w:eastAsia="pt-BR"/>
                <w14:ligatures w14:val="none"/>
              </w:rPr>
            </w:pPr>
            <w:r w:rsidRPr="00445504">
              <w:rPr>
                <w:rFonts w:ascii="Arial" w:eastAsia="Times New Roman" w:hAnsi="Arial" w:cs="Arial"/>
                <w:color w:val="000000"/>
                <w:kern w:val="0"/>
                <w:sz w:val="16"/>
                <w:szCs w:val="16"/>
                <w:lang w:eastAsia="pt-BR"/>
                <w14:ligatures w14:val="none"/>
              </w:rPr>
              <w:t xml:space="preserve">      (12.100)</w:t>
            </w:r>
          </w:p>
        </w:tc>
        <w:tc>
          <w:tcPr>
            <w:tcW w:w="588" w:type="pct"/>
            <w:tcBorders>
              <w:top w:val="nil"/>
              <w:left w:val="nil"/>
              <w:bottom w:val="single" w:sz="4" w:space="0" w:color="auto"/>
              <w:right w:val="single" w:sz="4" w:space="0" w:color="auto"/>
            </w:tcBorders>
            <w:shd w:val="clear" w:color="auto" w:fill="auto"/>
            <w:noWrap/>
            <w:vAlign w:val="bottom"/>
            <w:hideMark/>
          </w:tcPr>
          <w:p w14:paraId="4A2C8962" w14:textId="77777777" w:rsidR="00445504" w:rsidRPr="00445504" w:rsidRDefault="00445504" w:rsidP="00445504">
            <w:pPr>
              <w:spacing w:after="0" w:line="240" w:lineRule="auto"/>
              <w:jc w:val="right"/>
              <w:rPr>
                <w:rFonts w:ascii="Arial" w:eastAsia="Times New Roman" w:hAnsi="Arial" w:cs="Arial"/>
                <w:color w:val="000000"/>
                <w:kern w:val="0"/>
                <w:sz w:val="16"/>
                <w:szCs w:val="16"/>
                <w:lang w:eastAsia="pt-BR"/>
                <w14:ligatures w14:val="none"/>
              </w:rPr>
            </w:pPr>
            <w:r w:rsidRPr="00445504">
              <w:rPr>
                <w:rFonts w:ascii="Arial" w:eastAsia="Times New Roman" w:hAnsi="Arial" w:cs="Arial"/>
                <w:color w:val="000000"/>
                <w:kern w:val="0"/>
                <w:sz w:val="16"/>
                <w:szCs w:val="16"/>
                <w:lang w:eastAsia="pt-BR"/>
                <w14:ligatures w14:val="none"/>
              </w:rPr>
              <w:t xml:space="preserve">        (8.216)</w:t>
            </w:r>
          </w:p>
        </w:tc>
        <w:tc>
          <w:tcPr>
            <w:tcW w:w="585" w:type="pct"/>
            <w:tcBorders>
              <w:top w:val="nil"/>
              <w:left w:val="nil"/>
              <w:bottom w:val="single" w:sz="4" w:space="0" w:color="auto"/>
              <w:right w:val="single" w:sz="4" w:space="0" w:color="auto"/>
            </w:tcBorders>
            <w:shd w:val="clear" w:color="auto" w:fill="auto"/>
            <w:noWrap/>
            <w:vAlign w:val="bottom"/>
            <w:hideMark/>
          </w:tcPr>
          <w:p w14:paraId="299F624C" w14:textId="77777777" w:rsidR="00445504" w:rsidRPr="00445504" w:rsidRDefault="00445504" w:rsidP="00445504">
            <w:pPr>
              <w:spacing w:after="0" w:line="240" w:lineRule="auto"/>
              <w:jc w:val="right"/>
              <w:rPr>
                <w:rFonts w:ascii="Arial" w:eastAsia="Times New Roman" w:hAnsi="Arial" w:cs="Arial"/>
                <w:color w:val="000000"/>
                <w:kern w:val="0"/>
                <w:sz w:val="16"/>
                <w:szCs w:val="16"/>
                <w:lang w:eastAsia="pt-BR"/>
                <w14:ligatures w14:val="none"/>
              </w:rPr>
            </w:pPr>
            <w:r w:rsidRPr="00445504">
              <w:rPr>
                <w:rFonts w:ascii="Arial" w:eastAsia="Times New Roman" w:hAnsi="Arial" w:cs="Arial"/>
                <w:color w:val="000000"/>
                <w:kern w:val="0"/>
                <w:sz w:val="16"/>
                <w:szCs w:val="16"/>
                <w:lang w:eastAsia="pt-BR"/>
                <w14:ligatures w14:val="none"/>
              </w:rPr>
              <w:t xml:space="preserve">         4.245 </w:t>
            </w:r>
          </w:p>
        </w:tc>
        <w:tc>
          <w:tcPr>
            <w:tcW w:w="744" w:type="pct"/>
            <w:tcBorders>
              <w:top w:val="nil"/>
              <w:left w:val="nil"/>
              <w:bottom w:val="single" w:sz="4" w:space="0" w:color="auto"/>
              <w:right w:val="single" w:sz="4" w:space="0" w:color="auto"/>
            </w:tcBorders>
            <w:shd w:val="clear" w:color="auto" w:fill="auto"/>
            <w:noWrap/>
            <w:vAlign w:val="bottom"/>
            <w:hideMark/>
          </w:tcPr>
          <w:p w14:paraId="628AD473" w14:textId="77777777" w:rsidR="00445504" w:rsidRPr="00445504" w:rsidRDefault="00445504" w:rsidP="00445504">
            <w:pPr>
              <w:spacing w:after="0" w:line="240" w:lineRule="auto"/>
              <w:jc w:val="right"/>
              <w:rPr>
                <w:rFonts w:ascii="Arial" w:eastAsia="Times New Roman" w:hAnsi="Arial" w:cs="Arial"/>
                <w:color w:val="000000"/>
                <w:kern w:val="0"/>
                <w:sz w:val="16"/>
                <w:szCs w:val="16"/>
                <w:lang w:eastAsia="pt-BR"/>
                <w14:ligatures w14:val="none"/>
              </w:rPr>
            </w:pPr>
            <w:r w:rsidRPr="00445504">
              <w:rPr>
                <w:rFonts w:ascii="Arial" w:eastAsia="Times New Roman" w:hAnsi="Arial" w:cs="Arial"/>
                <w:color w:val="000000"/>
                <w:kern w:val="0"/>
                <w:sz w:val="16"/>
                <w:szCs w:val="16"/>
                <w:lang w:eastAsia="pt-BR"/>
                <w14:ligatures w14:val="none"/>
              </w:rPr>
              <w:t>71,14%</w:t>
            </w:r>
          </w:p>
        </w:tc>
        <w:tc>
          <w:tcPr>
            <w:tcW w:w="585" w:type="pct"/>
            <w:tcBorders>
              <w:top w:val="nil"/>
              <w:left w:val="nil"/>
              <w:bottom w:val="single" w:sz="4" w:space="0" w:color="auto"/>
              <w:right w:val="single" w:sz="4" w:space="0" w:color="auto"/>
            </w:tcBorders>
            <w:shd w:val="clear" w:color="auto" w:fill="auto"/>
            <w:noWrap/>
            <w:vAlign w:val="bottom"/>
            <w:hideMark/>
          </w:tcPr>
          <w:p w14:paraId="03052DA0" w14:textId="77777777" w:rsidR="00445504" w:rsidRPr="00445504" w:rsidRDefault="00445504" w:rsidP="00445504">
            <w:pPr>
              <w:spacing w:after="0" w:line="240" w:lineRule="auto"/>
              <w:jc w:val="right"/>
              <w:rPr>
                <w:rFonts w:ascii="Arial" w:eastAsia="Times New Roman" w:hAnsi="Arial" w:cs="Arial"/>
                <w:color w:val="000000"/>
                <w:kern w:val="0"/>
                <w:sz w:val="16"/>
                <w:szCs w:val="16"/>
                <w:lang w:eastAsia="pt-BR"/>
                <w14:ligatures w14:val="none"/>
              </w:rPr>
            </w:pPr>
            <w:r w:rsidRPr="00445504">
              <w:rPr>
                <w:rFonts w:ascii="Arial" w:eastAsia="Times New Roman" w:hAnsi="Arial" w:cs="Arial"/>
                <w:color w:val="000000"/>
                <w:kern w:val="0"/>
                <w:sz w:val="16"/>
                <w:szCs w:val="16"/>
                <w:lang w:eastAsia="pt-BR"/>
                <w14:ligatures w14:val="none"/>
              </w:rPr>
              <w:t xml:space="preserve">         3.020 </w:t>
            </w:r>
          </w:p>
        </w:tc>
      </w:tr>
      <w:tr w:rsidR="00445504" w:rsidRPr="00445504" w14:paraId="28511955" w14:textId="77777777" w:rsidTr="00446A14">
        <w:trPr>
          <w:trHeight w:val="238"/>
        </w:trPr>
        <w:tc>
          <w:tcPr>
            <w:tcW w:w="1324" w:type="pct"/>
            <w:tcBorders>
              <w:top w:val="nil"/>
              <w:left w:val="single" w:sz="4" w:space="0" w:color="auto"/>
              <w:bottom w:val="single" w:sz="4" w:space="0" w:color="auto"/>
              <w:right w:val="single" w:sz="4" w:space="0" w:color="auto"/>
            </w:tcBorders>
            <w:shd w:val="clear" w:color="auto" w:fill="auto"/>
            <w:vAlign w:val="center"/>
            <w:hideMark/>
          </w:tcPr>
          <w:p w14:paraId="2F11C0BD" w14:textId="77777777" w:rsidR="00445504" w:rsidRPr="00445504" w:rsidRDefault="00445504" w:rsidP="00445504">
            <w:pPr>
              <w:spacing w:after="0" w:line="240" w:lineRule="auto"/>
              <w:rPr>
                <w:rFonts w:ascii="Arial" w:eastAsia="Times New Roman" w:hAnsi="Arial" w:cs="Arial"/>
                <w:b/>
                <w:bCs/>
                <w:color w:val="000000"/>
                <w:kern w:val="0"/>
                <w:sz w:val="16"/>
                <w:szCs w:val="16"/>
                <w:lang w:eastAsia="pt-BR"/>
                <w14:ligatures w14:val="none"/>
              </w:rPr>
            </w:pPr>
            <w:r w:rsidRPr="00445504">
              <w:rPr>
                <w:rFonts w:ascii="Arial" w:eastAsia="Times New Roman" w:hAnsi="Arial" w:cs="Arial"/>
                <w:b/>
                <w:bCs/>
                <w:color w:val="000000"/>
                <w:kern w:val="0"/>
                <w:sz w:val="16"/>
                <w:szCs w:val="16"/>
                <w:lang w:eastAsia="pt-BR"/>
                <w14:ligatures w14:val="none"/>
              </w:rPr>
              <w:t xml:space="preserve"> Totais </w:t>
            </w:r>
          </w:p>
        </w:tc>
        <w:tc>
          <w:tcPr>
            <w:tcW w:w="586" w:type="pct"/>
            <w:tcBorders>
              <w:top w:val="nil"/>
              <w:left w:val="nil"/>
              <w:bottom w:val="single" w:sz="4" w:space="0" w:color="auto"/>
              <w:right w:val="single" w:sz="4" w:space="0" w:color="auto"/>
            </w:tcBorders>
            <w:shd w:val="clear" w:color="auto" w:fill="auto"/>
            <w:noWrap/>
            <w:vAlign w:val="bottom"/>
            <w:hideMark/>
          </w:tcPr>
          <w:p w14:paraId="571BE8E7" w14:textId="77777777" w:rsidR="00445504" w:rsidRPr="00445504" w:rsidRDefault="00445504" w:rsidP="00445504">
            <w:pPr>
              <w:spacing w:after="0" w:line="240" w:lineRule="auto"/>
              <w:jc w:val="right"/>
              <w:rPr>
                <w:rFonts w:ascii="Arial" w:eastAsia="Times New Roman" w:hAnsi="Arial" w:cs="Arial"/>
                <w:b/>
                <w:bCs/>
                <w:color w:val="000000"/>
                <w:kern w:val="0"/>
                <w:sz w:val="16"/>
                <w:szCs w:val="16"/>
                <w:lang w:eastAsia="pt-BR"/>
                <w14:ligatures w14:val="none"/>
              </w:rPr>
            </w:pPr>
            <w:r w:rsidRPr="00445504">
              <w:rPr>
                <w:rFonts w:ascii="Arial" w:eastAsia="Times New Roman" w:hAnsi="Arial" w:cs="Arial"/>
                <w:b/>
                <w:bCs/>
                <w:color w:val="000000"/>
                <w:kern w:val="0"/>
                <w:sz w:val="16"/>
                <w:szCs w:val="16"/>
                <w:lang w:eastAsia="pt-BR"/>
                <w14:ligatures w14:val="none"/>
              </w:rPr>
              <w:t xml:space="preserve">     180.483 </w:t>
            </w:r>
          </w:p>
        </w:tc>
        <w:tc>
          <w:tcPr>
            <w:tcW w:w="588" w:type="pct"/>
            <w:tcBorders>
              <w:top w:val="nil"/>
              <w:left w:val="nil"/>
              <w:bottom w:val="single" w:sz="4" w:space="0" w:color="auto"/>
              <w:right w:val="single" w:sz="4" w:space="0" w:color="auto"/>
            </w:tcBorders>
            <w:shd w:val="clear" w:color="auto" w:fill="auto"/>
            <w:noWrap/>
            <w:vAlign w:val="bottom"/>
            <w:hideMark/>
          </w:tcPr>
          <w:p w14:paraId="64C2C261" w14:textId="77777777" w:rsidR="00445504" w:rsidRPr="00445504" w:rsidRDefault="00445504" w:rsidP="00445504">
            <w:pPr>
              <w:spacing w:after="0" w:line="240" w:lineRule="auto"/>
              <w:jc w:val="right"/>
              <w:rPr>
                <w:rFonts w:ascii="Arial" w:eastAsia="Times New Roman" w:hAnsi="Arial" w:cs="Arial"/>
                <w:b/>
                <w:bCs/>
                <w:color w:val="000000"/>
                <w:kern w:val="0"/>
                <w:sz w:val="16"/>
                <w:szCs w:val="16"/>
                <w:lang w:eastAsia="pt-BR"/>
                <w14:ligatures w14:val="none"/>
              </w:rPr>
            </w:pPr>
            <w:r w:rsidRPr="00445504">
              <w:rPr>
                <w:rFonts w:ascii="Arial" w:eastAsia="Times New Roman" w:hAnsi="Arial" w:cs="Arial"/>
                <w:b/>
                <w:bCs/>
                <w:color w:val="000000"/>
                <w:kern w:val="0"/>
                <w:sz w:val="16"/>
                <w:szCs w:val="16"/>
                <w:lang w:eastAsia="pt-BR"/>
                <w14:ligatures w14:val="none"/>
              </w:rPr>
              <w:t xml:space="preserve">      (18.565)</w:t>
            </w:r>
          </w:p>
        </w:tc>
        <w:tc>
          <w:tcPr>
            <w:tcW w:w="588" w:type="pct"/>
            <w:tcBorders>
              <w:top w:val="nil"/>
              <w:left w:val="nil"/>
              <w:bottom w:val="single" w:sz="4" w:space="0" w:color="auto"/>
              <w:right w:val="single" w:sz="4" w:space="0" w:color="auto"/>
            </w:tcBorders>
            <w:shd w:val="clear" w:color="auto" w:fill="auto"/>
            <w:noWrap/>
            <w:vAlign w:val="bottom"/>
            <w:hideMark/>
          </w:tcPr>
          <w:p w14:paraId="1EA7E2A0" w14:textId="77777777" w:rsidR="00445504" w:rsidRPr="00445504" w:rsidRDefault="00445504" w:rsidP="00445504">
            <w:pPr>
              <w:spacing w:after="0" w:line="240" w:lineRule="auto"/>
              <w:jc w:val="right"/>
              <w:rPr>
                <w:rFonts w:ascii="Arial" w:eastAsia="Times New Roman" w:hAnsi="Arial" w:cs="Arial"/>
                <w:b/>
                <w:bCs/>
                <w:color w:val="000000"/>
                <w:kern w:val="0"/>
                <w:sz w:val="16"/>
                <w:szCs w:val="16"/>
                <w:lang w:eastAsia="pt-BR"/>
                <w14:ligatures w14:val="none"/>
              </w:rPr>
            </w:pPr>
            <w:r w:rsidRPr="00445504">
              <w:rPr>
                <w:rFonts w:ascii="Arial" w:eastAsia="Times New Roman" w:hAnsi="Arial" w:cs="Arial"/>
                <w:b/>
                <w:bCs/>
                <w:color w:val="000000"/>
                <w:kern w:val="0"/>
                <w:sz w:val="16"/>
                <w:szCs w:val="16"/>
                <w:lang w:eastAsia="pt-BR"/>
                <w14:ligatures w14:val="none"/>
              </w:rPr>
              <w:t xml:space="preserve">    (144.131)</w:t>
            </w:r>
          </w:p>
        </w:tc>
        <w:tc>
          <w:tcPr>
            <w:tcW w:w="585" w:type="pct"/>
            <w:tcBorders>
              <w:top w:val="nil"/>
              <w:left w:val="nil"/>
              <w:bottom w:val="single" w:sz="4" w:space="0" w:color="auto"/>
              <w:right w:val="single" w:sz="4" w:space="0" w:color="auto"/>
            </w:tcBorders>
            <w:shd w:val="clear" w:color="auto" w:fill="auto"/>
            <w:noWrap/>
            <w:vAlign w:val="bottom"/>
            <w:hideMark/>
          </w:tcPr>
          <w:p w14:paraId="29ADD05E" w14:textId="77777777" w:rsidR="00445504" w:rsidRPr="00445504" w:rsidRDefault="00445504" w:rsidP="00445504">
            <w:pPr>
              <w:spacing w:after="0" w:line="240" w:lineRule="auto"/>
              <w:jc w:val="right"/>
              <w:rPr>
                <w:rFonts w:ascii="Arial" w:eastAsia="Times New Roman" w:hAnsi="Arial" w:cs="Arial"/>
                <w:b/>
                <w:bCs/>
                <w:color w:val="000000"/>
                <w:kern w:val="0"/>
                <w:sz w:val="16"/>
                <w:szCs w:val="16"/>
                <w:lang w:eastAsia="pt-BR"/>
                <w14:ligatures w14:val="none"/>
              </w:rPr>
            </w:pPr>
            <w:r w:rsidRPr="00445504">
              <w:rPr>
                <w:rFonts w:ascii="Arial" w:eastAsia="Times New Roman" w:hAnsi="Arial" w:cs="Arial"/>
                <w:b/>
                <w:bCs/>
                <w:color w:val="000000"/>
                <w:kern w:val="0"/>
                <w:sz w:val="16"/>
                <w:szCs w:val="16"/>
                <w:lang w:eastAsia="pt-BR"/>
                <w14:ligatures w14:val="none"/>
              </w:rPr>
              <w:t xml:space="preserve">       17.787 </w:t>
            </w:r>
          </w:p>
        </w:tc>
        <w:tc>
          <w:tcPr>
            <w:tcW w:w="744" w:type="pct"/>
            <w:tcBorders>
              <w:top w:val="nil"/>
              <w:left w:val="nil"/>
              <w:bottom w:val="single" w:sz="4" w:space="0" w:color="auto"/>
              <w:right w:val="single" w:sz="4" w:space="0" w:color="auto"/>
            </w:tcBorders>
            <w:shd w:val="clear" w:color="000000" w:fill="D9D9D9"/>
            <w:noWrap/>
            <w:vAlign w:val="bottom"/>
            <w:hideMark/>
          </w:tcPr>
          <w:p w14:paraId="0C1F817D" w14:textId="77777777" w:rsidR="00445504" w:rsidRPr="00445504" w:rsidRDefault="00445504" w:rsidP="00445504">
            <w:pPr>
              <w:spacing w:after="0" w:line="240" w:lineRule="auto"/>
              <w:jc w:val="right"/>
              <w:rPr>
                <w:rFonts w:ascii="Arial" w:eastAsia="Times New Roman" w:hAnsi="Arial" w:cs="Arial"/>
                <w:b/>
                <w:bCs/>
                <w:color w:val="000000"/>
                <w:kern w:val="0"/>
                <w:sz w:val="16"/>
                <w:szCs w:val="16"/>
                <w:lang w:eastAsia="pt-BR"/>
                <w14:ligatures w14:val="none"/>
              </w:rPr>
            </w:pPr>
            <w:r w:rsidRPr="00445504">
              <w:rPr>
                <w:rFonts w:ascii="Arial" w:eastAsia="Times New Roman" w:hAnsi="Arial" w:cs="Arial"/>
                <w:b/>
                <w:bCs/>
                <w:color w:val="000000"/>
                <w:kern w:val="0"/>
                <w:sz w:val="16"/>
                <w:szCs w:val="16"/>
                <w:lang w:eastAsia="pt-BR"/>
                <w14:ligatures w14:val="none"/>
              </w:rPr>
              <w:t> </w:t>
            </w:r>
          </w:p>
        </w:tc>
        <w:tc>
          <w:tcPr>
            <w:tcW w:w="585" w:type="pct"/>
            <w:tcBorders>
              <w:top w:val="nil"/>
              <w:left w:val="nil"/>
              <w:bottom w:val="single" w:sz="4" w:space="0" w:color="auto"/>
              <w:right w:val="single" w:sz="4" w:space="0" w:color="auto"/>
            </w:tcBorders>
            <w:shd w:val="clear" w:color="auto" w:fill="auto"/>
            <w:noWrap/>
            <w:vAlign w:val="bottom"/>
            <w:hideMark/>
          </w:tcPr>
          <w:p w14:paraId="2FB75BFF" w14:textId="77777777" w:rsidR="00445504" w:rsidRPr="00445504" w:rsidRDefault="00445504" w:rsidP="00445504">
            <w:pPr>
              <w:spacing w:after="0" w:line="240" w:lineRule="auto"/>
              <w:jc w:val="right"/>
              <w:rPr>
                <w:rFonts w:ascii="Arial" w:eastAsia="Times New Roman" w:hAnsi="Arial" w:cs="Arial"/>
                <w:b/>
                <w:bCs/>
                <w:color w:val="000000"/>
                <w:kern w:val="0"/>
                <w:sz w:val="16"/>
                <w:szCs w:val="16"/>
                <w:lang w:eastAsia="pt-BR"/>
                <w14:ligatures w14:val="none"/>
              </w:rPr>
            </w:pPr>
            <w:r w:rsidRPr="00445504">
              <w:rPr>
                <w:rFonts w:ascii="Arial" w:eastAsia="Times New Roman" w:hAnsi="Arial" w:cs="Arial"/>
                <w:b/>
                <w:bCs/>
                <w:color w:val="000000"/>
                <w:kern w:val="0"/>
                <w:sz w:val="16"/>
                <w:szCs w:val="16"/>
                <w:lang w:eastAsia="pt-BR"/>
                <w14:ligatures w14:val="none"/>
              </w:rPr>
              <w:t xml:space="preserve">         3.598 </w:t>
            </w:r>
          </w:p>
        </w:tc>
      </w:tr>
      <w:tr w:rsidR="00445504" w:rsidRPr="00445504" w14:paraId="328B7357" w14:textId="77777777" w:rsidTr="00446A14">
        <w:trPr>
          <w:trHeight w:val="238"/>
        </w:trPr>
        <w:tc>
          <w:tcPr>
            <w:tcW w:w="1324" w:type="pct"/>
            <w:tcBorders>
              <w:top w:val="single" w:sz="4" w:space="0" w:color="auto"/>
              <w:left w:val="single" w:sz="4" w:space="0" w:color="auto"/>
              <w:bottom w:val="single" w:sz="4" w:space="0" w:color="auto"/>
              <w:right w:val="nil"/>
            </w:tcBorders>
            <w:shd w:val="clear" w:color="auto" w:fill="auto"/>
            <w:vAlign w:val="center"/>
            <w:hideMark/>
          </w:tcPr>
          <w:p w14:paraId="4A45A799" w14:textId="77777777" w:rsidR="00445504" w:rsidRPr="00445504" w:rsidRDefault="00445504" w:rsidP="00445504">
            <w:pPr>
              <w:spacing w:after="0" w:line="240" w:lineRule="auto"/>
              <w:rPr>
                <w:rFonts w:ascii="Arial" w:eastAsia="Times New Roman" w:hAnsi="Arial" w:cs="Arial"/>
                <w:b/>
                <w:bCs/>
                <w:color w:val="000000"/>
                <w:kern w:val="0"/>
                <w:sz w:val="16"/>
                <w:szCs w:val="16"/>
                <w:lang w:eastAsia="pt-BR"/>
                <w14:ligatures w14:val="none"/>
              </w:rPr>
            </w:pPr>
            <w:r w:rsidRPr="00445504">
              <w:rPr>
                <w:rFonts w:ascii="Arial" w:eastAsia="Times New Roman" w:hAnsi="Arial" w:cs="Arial"/>
                <w:b/>
                <w:bCs/>
                <w:color w:val="000000"/>
                <w:kern w:val="0"/>
                <w:sz w:val="16"/>
                <w:szCs w:val="16"/>
                <w:lang w:eastAsia="pt-BR"/>
                <w14:ligatures w14:val="none"/>
              </w:rPr>
              <w:t xml:space="preserve"> Total PECLD </w:t>
            </w:r>
          </w:p>
        </w:tc>
        <w:tc>
          <w:tcPr>
            <w:tcW w:w="586" w:type="pct"/>
            <w:tcBorders>
              <w:top w:val="nil"/>
              <w:left w:val="nil"/>
              <w:bottom w:val="single" w:sz="4" w:space="0" w:color="auto"/>
              <w:right w:val="nil"/>
            </w:tcBorders>
            <w:shd w:val="clear" w:color="000000" w:fill="D9D9D9"/>
            <w:vAlign w:val="center"/>
            <w:hideMark/>
          </w:tcPr>
          <w:p w14:paraId="6D3B6AA0" w14:textId="77777777" w:rsidR="00445504" w:rsidRPr="00445504" w:rsidRDefault="00445504" w:rsidP="00445504">
            <w:pPr>
              <w:spacing w:after="0" w:line="240" w:lineRule="auto"/>
              <w:jc w:val="right"/>
              <w:rPr>
                <w:rFonts w:ascii="Arial" w:eastAsia="Times New Roman" w:hAnsi="Arial" w:cs="Arial"/>
                <w:b/>
                <w:bCs/>
                <w:color w:val="000000"/>
                <w:kern w:val="0"/>
                <w:sz w:val="16"/>
                <w:szCs w:val="16"/>
                <w:lang w:eastAsia="pt-BR"/>
                <w14:ligatures w14:val="none"/>
              </w:rPr>
            </w:pPr>
            <w:r w:rsidRPr="00445504">
              <w:rPr>
                <w:rFonts w:ascii="Arial" w:eastAsia="Times New Roman" w:hAnsi="Arial" w:cs="Arial"/>
                <w:b/>
                <w:bCs/>
                <w:color w:val="000000"/>
                <w:kern w:val="0"/>
                <w:sz w:val="16"/>
                <w:szCs w:val="16"/>
                <w:lang w:eastAsia="pt-BR"/>
                <w14:ligatures w14:val="none"/>
              </w:rPr>
              <w:t> </w:t>
            </w:r>
          </w:p>
        </w:tc>
        <w:tc>
          <w:tcPr>
            <w:tcW w:w="588" w:type="pct"/>
            <w:tcBorders>
              <w:top w:val="nil"/>
              <w:left w:val="nil"/>
              <w:bottom w:val="single" w:sz="4" w:space="0" w:color="auto"/>
              <w:right w:val="nil"/>
            </w:tcBorders>
            <w:shd w:val="clear" w:color="000000" w:fill="D9D9D9"/>
            <w:vAlign w:val="center"/>
            <w:hideMark/>
          </w:tcPr>
          <w:p w14:paraId="1B76785C" w14:textId="77777777" w:rsidR="00445504" w:rsidRPr="00445504" w:rsidRDefault="00445504" w:rsidP="00445504">
            <w:pPr>
              <w:spacing w:after="0" w:line="240" w:lineRule="auto"/>
              <w:jc w:val="right"/>
              <w:rPr>
                <w:rFonts w:ascii="Arial" w:eastAsia="Times New Roman" w:hAnsi="Arial" w:cs="Arial"/>
                <w:b/>
                <w:bCs/>
                <w:color w:val="000000"/>
                <w:kern w:val="0"/>
                <w:sz w:val="16"/>
                <w:szCs w:val="16"/>
                <w:lang w:eastAsia="pt-BR"/>
                <w14:ligatures w14:val="none"/>
              </w:rPr>
            </w:pPr>
            <w:r w:rsidRPr="00445504">
              <w:rPr>
                <w:rFonts w:ascii="Arial" w:eastAsia="Times New Roman" w:hAnsi="Arial" w:cs="Arial"/>
                <w:b/>
                <w:bCs/>
                <w:color w:val="000000"/>
                <w:kern w:val="0"/>
                <w:sz w:val="16"/>
                <w:szCs w:val="16"/>
                <w:lang w:eastAsia="pt-BR"/>
                <w14:ligatures w14:val="none"/>
              </w:rPr>
              <w:t> </w:t>
            </w:r>
          </w:p>
        </w:tc>
        <w:tc>
          <w:tcPr>
            <w:tcW w:w="588" w:type="pct"/>
            <w:tcBorders>
              <w:top w:val="nil"/>
              <w:left w:val="nil"/>
              <w:bottom w:val="single" w:sz="4" w:space="0" w:color="auto"/>
              <w:right w:val="nil"/>
            </w:tcBorders>
            <w:shd w:val="clear" w:color="000000" w:fill="D9D9D9"/>
            <w:vAlign w:val="center"/>
            <w:hideMark/>
          </w:tcPr>
          <w:p w14:paraId="2AF41B31" w14:textId="77777777" w:rsidR="00445504" w:rsidRPr="00445504" w:rsidRDefault="00445504" w:rsidP="00445504">
            <w:pPr>
              <w:spacing w:after="0" w:line="240" w:lineRule="auto"/>
              <w:jc w:val="right"/>
              <w:rPr>
                <w:rFonts w:ascii="Arial" w:eastAsia="Times New Roman" w:hAnsi="Arial" w:cs="Arial"/>
                <w:b/>
                <w:bCs/>
                <w:color w:val="000000"/>
                <w:kern w:val="0"/>
                <w:sz w:val="16"/>
                <w:szCs w:val="16"/>
                <w:lang w:eastAsia="pt-BR"/>
                <w14:ligatures w14:val="none"/>
              </w:rPr>
            </w:pPr>
            <w:r w:rsidRPr="00445504">
              <w:rPr>
                <w:rFonts w:ascii="Arial" w:eastAsia="Times New Roman" w:hAnsi="Arial" w:cs="Arial"/>
                <w:b/>
                <w:bCs/>
                <w:color w:val="000000"/>
                <w:kern w:val="0"/>
                <w:sz w:val="16"/>
                <w:szCs w:val="16"/>
                <w:lang w:eastAsia="pt-BR"/>
                <w14:ligatures w14:val="none"/>
              </w:rPr>
              <w:t> </w:t>
            </w:r>
          </w:p>
        </w:tc>
        <w:tc>
          <w:tcPr>
            <w:tcW w:w="585" w:type="pct"/>
            <w:tcBorders>
              <w:top w:val="nil"/>
              <w:left w:val="nil"/>
              <w:bottom w:val="single" w:sz="4" w:space="0" w:color="auto"/>
              <w:right w:val="nil"/>
            </w:tcBorders>
            <w:shd w:val="clear" w:color="000000" w:fill="D9D9D9"/>
            <w:noWrap/>
            <w:vAlign w:val="bottom"/>
            <w:hideMark/>
          </w:tcPr>
          <w:p w14:paraId="71C4025C" w14:textId="77777777" w:rsidR="00445504" w:rsidRPr="00445504" w:rsidRDefault="00445504" w:rsidP="00445504">
            <w:pPr>
              <w:spacing w:after="0" w:line="240" w:lineRule="auto"/>
              <w:jc w:val="right"/>
              <w:rPr>
                <w:rFonts w:ascii="Arial" w:eastAsia="Times New Roman" w:hAnsi="Arial" w:cs="Arial"/>
                <w:color w:val="000000"/>
                <w:kern w:val="0"/>
                <w:sz w:val="16"/>
                <w:szCs w:val="16"/>
                <w:lang w:eastAsia="pt-BR"/>
                <w14:ligatures w14:val="none"/>
              </w:rPr>
            </w:pPr>
            <w:r w:rsidRPr="00445504">
              <w:rPr>
                <w:rFonts w:ascii="Arial" w:eastAsia="Times New Roman" w:hAnsi="Arial" w:cs="Arial"/>
                <w:color w:val="000000"/>
                <w:kern w:val="0"/>
                <w:sz w:val="16"/>
                <w:szCs w:val="16"/>
                <w:lang w:eastAsia="pt-BR"/>
                <w14:ligatures w14:val="none"/>
              </w:rPr>
              <w:t> </w:t>
            </w:r>
          </w:p>
        </w:tc>
        <w:tc>
          <w:tcPr>
            <w:tcW w:w="744" w:type="pct"/>
            <w:tcBorders>
              <w:top w:val="single" w:sz="4" w:space="0" w:color="auto"/>
              <w:left w:val="nil"/>
              <w:bottom w:val="single" w:sz="4" w:space="0" w:color="auto"/>
              <w:right w:val="single" w:sz="4" w:space="0" w:color="auto"/>
            </w:tcBorders>
            <w:shd w:val="clear" w:color="000000" w:fill="D9D9D9"/>
            <w:noWrap/>
            <w:vAlign w:val="bottom"/>
            <w:hideMark/>
          </w:tcPr>
          <w:p w14:paraId="079B8247" w14:textId="77777777" w:rsidR="00445504" w:rsidRPr="00445504" w:rsidRDefault="00445504" w:rsidP="00445504">
            <w:pPr>
              <w:spacing w:after="0" w:line="240" w:lineRule="auto"/>
              <w:jc w:val="right"/>
              <w:rPr>
                <w:rFonts w:ascii="Arial" w:eastAsia="Times New Roman" w:hAnsi="Arial" w:cs="Arial"/>
                <w:color w:val="000000"/>
                <w:kern w:val="0"/>
                <w:sz w:val="16"/>
                <w:szCs w:val="16"/>
                <w:lang w:eastAsia="pt-BR"/>
                <w14:ligatures w14:val="none"/>
              </w:rPr>
            </w:pPr>
            <w:r w:rsidRPr="00445504">
              <w:rPr>
                <w:rFonts w:ascii="Arial" w:eastAsia="Times New Roman" w:hAnsi="Arial" w:cs="Arial"/>
                <w:color w:val="000000"/>
                <w:kern w:val="0"/>
                <w:sz w:val="16"/>
                <w:szCs w:val="16"/>
                <w:lang w:eastAsia="pt-BR"/>
                <w14:ligatures w14:val="none"/>
              </w:rPr>
              <w:t> </w:t>
            </w:r>
          </w:p>
        </w:tc>
        <w:tc>
          <w:tcPr>
            <w:tcW w:w="585" w:type="pct"/>
            <w:tcBorders>
              <w:top w:val="nil"/>
              <w:left w:val="single" w:sz="4" w:space="0" w:color="auto"/>
              <w:bottom w:val="single" w:sz="4" w:space="0" w:color="auto"/>
              <w:right w:val="single" w:sz="4" w:space="0" w:color="auto"/>
            </w:tcBorders>
            <w:shd w:val="clear" w:color="auto" w:fill="auto"/>
            <w:noWrap/>
            <w:vAlign w:val="bottom"/>
            <w:hideMark/>
          </w:tcPr>
          <w:p w14:paraId="73E1A532" w14:textId="77777777" w:rsidR="00445504" w:rsidRPr="00445504" w:rsidRDefault="00445504" w:rsidP="00445504">
            <w:pPr>
              <w:spacing w:after="0" w:line="240" w:lineRule="auto"/>
              <w:jc w:val="right"/>
              <w:rPr>
                <w:rFonts w:ascii="Arial" w:eastAsia="Times New Roman" w:hAnsi="Arial" w:cs="Arial"/>
                <w:b/>
                <w:bCs/>
                <w:color w:val="000000"/>
                <w:kern w:val="0"/>
                <w:sz w:val="16"/>
                <w:szCs w:val="16"/>
                <w:lang w:eastAsia="pt-BR"/>
                <w14:ligatures w14:val="none"/>
              </w:rPr>
            </w:pPr>
            <w:r w:rsidRPr="00445504">
              <w:rPr>
                <w:rFonts w:ascii="Arial" w:eastAsia="Times New Roman" w:hAnsi="Arial" w:cs="Arial"/>
                <w:b/>
                <w:bCs/>
                <w:color w:val="000000"/>
                <w:kern w:val="0"/>
                <w:sz w:val="16"/>
                <w:szCs w:val="16"/>
                <w:lang w:eastAsia="pt-BR"/>
                <w14:ligatures w14:val="none"/>
              </w:rPr>
              <w:t xml:space="preserve">         3.598 </w:t>
            </w:r>
          </w:p>
        </w:tc>
      </w:tr>
    </w:tbl>
    <w:p w14:paraId="6315733B" w14:textId="77777777" w:rsidR="00445504" w:rsidRPr="00445504" w:rsidRDefault="00445504" w:rsidP="007A23F8">
      <w:pPr>
        <w:autoSpaceDE w:val="0"/>
        <w:autoSpaceDN w:val="0"/>
        <w:adjustRightInd w:val="0"/>
        <w:spacing w:after="0" w:line="240" w:lineRule="auto"/>
        <w:jc w:val="both"/>
        <w:rPr>
          <w:rFonts w:ascii="Calibri" w:eastAsia="Times New Roman" w:hAnsi="Calibri" w:cs="Calibri"/>
          <w:iCs/>
          <w:color w:val="002060"/>
          <w:kern w:val="0"/>
          <w14:ligatures w14:val="none"/>
        </w:rPr>
      </w:pPr>
      <w:r w:rsidRPr="00445504">
        <w:rPr>
          <w:rFonts w:ascii="Calibri" w:eastAsia="Times New Roman" w:hAnsi="Calibri" w:cs="Calibri"/>
          <w:iCs/>
          <w:color w:val="002060"/>
          <w:kern w:val="0"/>
          <w14:ligatures w14:val="none"/>
        </w:rPr>
        <w:t>(i) Valor excluído da base de cálculo está relacionado a operações de permutas não monetárias realizadas entre a Telebras e seus parceiros.</w:t>
      </w:r>
    </w:p>
    <w:p w14:paraId="2E7805FB" w14:textId="77777777" w:rsidR="00445504" w:rsidRDefault="00445504" w:rsidP="007A23F8">
      <w:pPr>
        <w:autoSpaceDE w:val="0"/>
        <w:autoSpaceDN w:val="0"/>
        <w:adjustRightInd w:val="0"/>
        <w:spacing w:after="0" w:line="240" w:lineRule="auto"/>
        <w:jc w:val="both"/>
        <w:rPr>
          <w:rFonts w:ascii="Calibri" w:eastAsia="Times New Roman" w:hAnsi="Calibri" w:cs="Calibri"/>
          <w:iCs/>
          <w:color w:val="002060"/>
          <w:kern w:val="0"/>
          <w14:ligatures w14:val="none"/>
        </w:rPr>
      </w:pPr>
      <w:r w:rsidRPr="00445504">
        <w:rPr>
          <w:rFonts w:ascii="Calibri" w:eastAsia="Times New Roman" w:hAnsi="Calibri" w:cs="Calibri"/>
          <w:iCs/>
          <w:color w:val="002060"/>
          <w:kern w:val="0"/>
          <w14:ligatures w14:val="none"/>
        </w:rPr>
        <w:t>(</w:t>
      </w:r>
      <w:proofErr w:type="spellStart"/>
      <w:r w:rsidRPr="00445504">
        <w:rPr>
          <w:rFonts w:ascii="Calibri" w:eastAsia="Times New Roman" w:hAnsi="Calibri" w:cs="Calibri"/>
          <w:iCs/>
          <w:color w:val="002060"/>
          <w:kern w:val="0"/>
          <w14:ligatures w14:val="none"/>
        </w:rPr>
        <w:t>ii</w:t>
      </w:r>
      <w:proofErr w:type="spellEnd"/>
      <w:r w:rsidRPr="00445504">
        <w:rPr>
          <w:rFonts w:ascii="Calibri" w:eastAsia="Times New Roman" w:hAnsi="Calibri" w:cs="Calibri"/>
          <w:iCs/>
          <w:color w:val="002060"/>
          <w:kern w:val="0"/>
          <w14:ligatures w14:val="none"/>
        </w:rPr>
        <w:t xml:space="preserve">) Valor referente aos contratos firmados com o Governo Federal e com o parceiro </w:t>
      </w:r>
      <w:proofErr w:type="spellStart"/>
      <w:r w:rsidRPr="00445504">
        <w:rPr>
          <w:rFonts w:ascii="Calibri" w:eastAsia="Times New Roman" w:hAnsi="Calibri" w:cs="Calibri"/>
          <w:iCs/>
          <w:color w:val="002060"/>
          <w:kern w:val="0"/>
          <w14:ligatures w14:val="none"/>
        </w:rPr>
        <w:t>Viasat</w:t>
      </w:r>
      <w:proofErr w:type="spellEnd"/>
      <w:r w:rsidRPr="00445504">
        <w:rPr>
          <w:rFonts w:ascii="Calibri" w:eastAsia="Times New Roman" w:hAnsi="Calibri" w:cs="Calibri"/>
          <w:iCs/>
          <w:color w:val="002060"/>
          <w:kern w:val="0"/>
          <w14:ligatures w14:val="none"/>
        </w:rPr>
        <w:t xml:space="preserve">. Esses clientes foram excluídos da base de cálculo da PECLD, uma vez que não apresentam histórico de inadimplência para com a Telebras. </w:t>
      </w:r>
    </w:p>
    <w:p w14:paraId="28388506" w14:textId="4AA170FA" w:rsidR="00445504" w:rsidRPr="00445504" w:rsidRDefault="00445504" w:rsidP="007A23F8">
      <w:pPr>
        <w:autoSpaceDE w:val="0"/>
        <w:autoSpaceDN w:val="0"/>
        <w:adjustRightInd w:val="0"/>
        <w:spacing w:after="0" w:line="240" w:lineRule="auto"/>
        <w:jc w:val="both"/>
        <w:rPr>
          <w:rFonts w:ascii="Calibri" w:eastAsia="Times New Roman" w:hAnsi="Calibri" w:cs="Calibri"/>
          <w:iCs/>
          <w:color w:val="002060"/>
          <w:kern w:val="0"/>
          <w14:ligatures w14:val="none"/>
        </w:rPr>
      </w:pPr>
      <w:r w:rsidRPr="00445504">
        <w:rPr>
          <w:rFonts w:ascii="Calibri" w:eastAsia="Times New Roman" w:hAnsi="Calibri" w:cs="Calibri"/>
          <w:iCs/>
          <w:color w:val="002060"/>
          <w:kern w:val="0"/>
          <w14:ligatures w14:val="none"/>
        </w:rPr>
        <w:t xml:space="preserve">A Administração entende que o valor constituído é suficiente para cobrir possíveis perdas no recebimento dos créditos decorrentes da exploração das atividades. </w:t>
      </w:r>
    </w:p>
    <w:p w14:paraId="0268A6A4" w14:textId="77777777" w:rsidR="00445504" w:rsidRPr="00445504" w:rsidRDefault="00445504" w:rsidP="007A23F8">
      <w:pPr>
        <w:autoSpaceDE w:val="0"/>
        <w:autoSpaceDN w:val="0"/>
        <w:adjustRightInd w:val="0"/>
        <w:spacing w:after="0" w:line="240" w:lineRule="auto"/>
        <w:jc w:val="both"/>
        <w:rPr>
          <w:rFonts w:ascii="Calibri" w:eastAsia="Times New Roman" w:hAnsi="Calibri" w:cs="Calibri"/>
          <w:iCs/>
          <w:color w:val="002060"/>
          <w:kern w:val="0"/>
          <w14:ligatures w14:val="none"/>
        </w:rPr>
      </w:pPr>
      <w:r w:rsidRPr="00445504">
        <w:rPr>
          <w:rFonts w:ascii="Calibri" w:eastAsia="Times New Roman" w:hAnsi="Calibri" w:cs="Calibri"/>
          <w:iCs/>
          <w:color w:val="002060"/>
          <w:kern w:val="0"/>
          <w14:ligatures w14:val="none"/>
        </w:rPr>
        <w:t xml:space="preserve">A movimentação das perdas estimadas com créditos de liquidação duvidosa, no exercício de 2023, é apresentada no quadro a seguir: </w:t>
      </w:r>
    </w:p>
    <w:tbl>
      <w:tblPr>
        <w:tblW w:w="5000" w:type="pct"/>
        <w:tblCellMar>
          <w:left w:w="70" w:type="dxa"/>
          <w:right w:w="70" w:type="dxa"/>
        </w:tblCellMar>
        <w:tblLook w:val="04A0" w:firstRow="1" w:lastRow="0" w:firstColumn="1" w:lastColumn="0" w:noHBand="0" w:noVBand="1"/>
      </w:tblPr>
      <w:tblGrid>
        <w:gridCol w:w="8411"/>
        <w:gridCol w:w="1360"/>
      </w:tblGrid>
      <w:tr w:rsidR="00445504" w:rsidRPr="00445504" w14:paraId="71FF28CB" w14:textId="77777777" w:rsidTr="00446A14">
        <w:trPr>
          <w:trHeight w:val="238"/>
        </w:trPr>
        <w:tc>
          <w:tcPr>
            <w:tcW w:w="4304" w:type="pct"/>
            <w:tcBorders>
              <w:top w:val="single" w:sz="4" w:space="0" w:color="auto"/>
              <w:left w:val="single" w:sz="4" w:space="0" w:color="auto"/>
              <w:bottom w:val="single" w:sz="4" w:space="0" w:color="auto"/>
              <w:right w:val="nil"/>
            </w:tcBorders>
            <w:shd w:val="clear" w:color="auto" w:fill="auto"/>
            <w:noWrap/>
            <w:vAlign w:val="bottom"/>
            <w:hideMark/>
          </w:tcPr>
          <w:p w14:paraId="0B67E5E4" w14:textId="77777777" w:rsidR="00445504" w:rsidRPr="00445504" w:rsidRDefault="00445504" w:rsidP="00445504">
            <w:pPr>
              <w:spacing w:after="0" w:line="240" w:lineRule="auto"/>
              <w:rPr>
                <w:rFonts w:ascii="Arial" w:eastAsia="Times New Roman" w:hAnsi="Arial" w:cs="Arial"/>
                <w:b/>
                <w:bCs/>
                <w:color w:val="000000"/>
                <w:kern w:val="0"/>
                <w:sz w:val="18"/>
                <w:szCs w:val="18"/>
                <w:lang w:eastAsia="pt-BR"/>
                <w14:ligatures w14:val="none"/>
              </w:rPr>
            </w:pPr>
            <w:r w:rsidRPr="00445504">
              <w:rPr>
                <w:rFonts w:ascii="Arial" w:eastAsia="Times New Roman" w:hAnsi="Arial" w:cs="Arial"/>
                <w:b/>
                <w:bCs/>
                <w:color w:val="000000"/>
                <w:kern w:val="0"/>
                <w:sz w:val="18"/>
                <w:szCs w:val="18"/>
                <w:lang w:eastAsia="pt-BR"/>
                <w14:ligatures w14:val="none"/>
              </w:rPr>
              <w:t>Saldo em 31 de dezembro de 2022</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B03D7" w14:textId="77777777" w:rsidR="00445504" w:rsidRPr="00445504" w:rsidRDefault="00445504" w:rsidP="00445504">
            <w:pPr>
              <w:spacing w:after="0" w:line="240" w:lineRule="auto"/>
              <w:jc w:val="right"/>
              <w:rPr>
                <w:rFonts w:ascii="Arial" w:eastAsia="Times New Roman" w:hAnsi="Arial" w:cs="Arial"/>
                <w:b/>
                <w:bCs/>
                <w:color w:val="000000"/>
                <w:kern w:val="0"/>
                <w:sz w:val="18"/>
                <w:szCs w:val="18"/>
                <w:lang w:eastAsia="pt-BR"/>
                <w14:ligatures w14:val="none"/>
              </w:rPr>
            </w:pPr>
            <w:r w:rsidRPr="00445504">
              <w:rPr>
                <w:rFonts w:ascii="Arial" w:eastAsia="Times New Roman" w:hAnsi="Arial" w:cs="Arial"/>
                <w:b/>
                <w:bCs/>
                <w:color w:val="000000"/>
                <w:kern w:val="0"/>
                <w:sz w:val="18"/>
                <w:szCs w:val="18"/>
                <w:lang w:eastAsia="pt-BR"/>
                <w14:ligatures w14:val="none"/>
              </w:rPr>
              <w:t xml:space="preserve">        3.848 </w:t>
            </w:r>
          </w:p>
        </w:tc>
      </w:tr>
      <w:tr w:rsidR="00445504" w:rsidRPr="00445504" w14:paraId="790377EB" w14:textId="77777777" w:rsidTr="00446A14">
        <w:trPr>
          <w:trHeight w:val="238"/>
        </w:trPr>
        <w:tc>
          <w:tcPr>
            <w:tcW w:w="4304" w:type="pct"/>
            <w:tcBorders>
              <w:top w:val="nil"/>
              <w:left w:val="single" w:sz="4" w:space="0" w:color="auto"/>
              <w:bottom w:val="single" w:sz="4" w:space="0" w:color="auto"/>
              <w:right w:val="nil"/>
            </w:tcBorders>
            <w:shd w:val="clear" w:color="auto" w:fill="auto"/>
            <w:noWrap/>
            <w:vAlign w:val="bottom"/>
            <w:hideMark/>
          </w:tcPr>
          <w:p w14:paraId="64CCDDD8" w14:textId="77777777" w:rsidR="00445504" w:rsidRPr="00445504" w:rsidRDefault="00445504" w:rsidP="00445504">
            <w:pPr>
              <w:spacing w:after="0" w:line="240" w:lineRule="auto"/>
              <w:rPr>
                <w:rFonts w:ascii="Arial" w:eastAsia="Times New Roman" w:hAnsi="Arial" w:cs="Arial"/>
                <w:color w:val="000000"/>
                <w:kern w:val="0"/>
                <w:sz w:val="18"/>
                <w:szCs w:val="18"/>
                <w:lang w:eastAsia="pt-BR"/>
                <w14:ligatures w14:val="none"/>
              </w:rPr>
            </w:pPr>
            <w:r w:rsidRPr="00445504">
              <w:rPr>
                <w:rFonts w:ascii="Arial" w:eastAsia="Times New Roman" w:hAnsi="Arial" w:cs="Arial"/>
                <w:color w:val="000000"/>
                <w:kern w:val="0"/>
                <w:sz w:val="18"/>
                <w:szCs w:val="18"/>
                <w:lang w:eastAsia="pt-BR"/>
                <w14:ligatures w14:val="none"/>
              </w:rPr>
              <w:t>Constituição de PECLD no período</w:t>
            </w:r>
          </w:p>
        </w:tc>
        <w:tc>
          <w:tcPr>
            <w:tcW w:w="696" w:type="pct"/>
            <w:tcBorders>
              <w:top w:val="nil"/>
              <w:left w:val="single" w:sz="4" w:space="0" w:color="auto"/>
              <w:bottom w:val="single" w:sz="4" w:space="0" w:color="auto"/>
              <w:right w:val="single" w:sz="4" w:space="0" w:color="auto"/>
            </w:tcBorders>
            <w:shd w:val="clear" w:color="auto" w:fill="auto"/>
            <w:noWrap/>
            <w:vAlign w:val="center"/>
            <w:hideMark/>
          </w:tcPr>
          <w:p w14:paraId="2267891A" w14:textId="77777777" w:rsidR="00445504" w:rsidRPr="00445504" w:rsidRDefault="00445504" w:rsidP="00445504">
            <w:pPr>
              <w:spacing w:after="0" w:line="240" w:lineRule="auto"/>
              <w:jc w:val="right"/>
              <w:rPr>
                <w:rFonts w:ascii="Arial" w:eastAsia="Times New Roman" w:hAnsi="Arial" w:cs="Arial"/>
                <w:color w:val="000000"/>
                <w:kern w:val="0"/>
                <w:sz w:val="18"/>
                <w:szCs w:val="18"/>
                <w:lang w:eastAsia="pt-BR"/>
                <w14:ligatures w14:val="none"/>
              </w:rPr>
            </w:pPr>
            <w:r w:rsidRPr="00445504">
              <w:rPr>
                <w:rFonts w:ascii="Arial" w:eastAsia="Times New Roman" w:hAnsi="Arial" w:cs="Arial"/>
                <w:color w:val="000000"/>
                <w:kern w:val="0"/>
                <w:sz w:val="18"/>
                <w:szCs w:val="18"/>
                <w:lang w:eastAsia="pt-BR"/>
                <w14:ligatures w14:val="none"/>
              </w:rPr>
              <w:t xml:space="preserve">        8.748 </w:t>
            </w:r>
          </w:p>
        </w:tc>
      </w:tr>
      <w:tr w:rsidR="00445504" w:rsidRPr="00445504" w14:paraId="46960771" w14:textId="77777777" w:rsidTr="00446A14">
        <w:trPr>
          <w:trHeight w:val="238"/>
        </w:trPr>
        <w:tc>
          <w:tcPr>
            <w:tcW w:w="4304" w:type="pct"/>
            <w:tcBorders>
              <w:top w:val="nil"/>
              <w:left w:val="single" w:sz="4" w:space="0" w:color="auto"/>
              <w:bottom w:val="single" w:sz="4" w:space="0" w:color="auto"/>
              <w:right w:val="nil"/>
            </w:tcBorders>
            <w:shd w:val="clear" w:color="auto" w:fill="auto"/>
            <w:noWrap/>
            <w:vAlign w:val="bottom"/>
            <w:hideMark/>
          </w:tcPr>
          <w:p w14:paraId="151C6B88" w14:textId="77777777" w:rsidR="00445504" w:rsidRPr="00445504" w:rsidRDefault="00445504" w:rsidP="00445504">
            <w:pPr>
              <w:spacing w:after="0" w:line="240" w:lineRule="auto"/>
              <w:rPr>
                <w:rFonts w:ascii="Arial" w:eastAsia="Times New Roman" w:hAnsi="Arial" w:cs="Arial"/>
                <w:color w:val="000000"/>
                <w:kern w:val="0"/>
                <w:sz w:val="18"/>
                <w:szCs w:val="18"/>
                <w:lang w:eastAsia="pt-BR"/>
                <w14:ligatures w14:val="none"/>
              </w:rPr>
            </w:pPr>
            <w:r w:rsidRPr="00445504">
              <w:rPr>
                <w:rFonts w:ascii="Arial" w:eastAsia="Times New Roman" w:hAnsi="Arial" w:cs="Arial"/>
                <w:color w:val="000000"/>
                <w:kern w:val="0"/>
                <w:sz w:val="18"/>
                <w:szCs w:val="18"/>
                <w:lang w:eastAsia="pt-BR"/>
                <w14:ligatures w14:val="none"/>
              </w:rPr>
              <w:t>Reversões de perdas no período</w:t>
            </w:r>
          </w:p>
        </w:tc>
        <w:tc>
          <w:tcPr>
            <w:tcW w:w="696" w:type="pct"/>
            <w:tcBorders>
              <w:top w:val="nil"/>
              <w:left w:val="single" w:sz="4" w:space="0" w:color="auto"/>
              <w:bottom w:val="single" w:sz="4" w:space="0" w:color="auto"/>
              <w:right w:val="single" w:sz="4" w:space="0" w:color="auto"/>
            </w:tcBorders>
            <w:shd w:val="clear" w:color="auto" w:fill="auto"/>
            <w:noWrap/>
            <w:vAlign w:val="center"/>
            <w:hideMark/>
          </w:tcPr>
          <w:p w14:paraId="7E560F4D" w14:textId="77777777" w:rsidR="00445504" w:rsidRPr="00445504" w:rsidRDefault="00445504" w:rsidP="00445504">
            <w:pPr>
              <w:spacing w:after="0" w:line="240" w:lineRule="auto"/>
              <w:jc w:val="right"/>
              <w:rPr>
                <w:rFonts w:ascii="Arial" w:eastAsia="Times New Roman" w:hAnsi="Arial" w:cs="Arial"/>
                <w:color w:val="000000"/>
                <w:kern w:val="0"/>
                <w:sz w:val="18"/>
                <w:szCs w:val="18"/>
                <w:lang w:eastAsia="pt-BR"/>
                <w14:ligatures w14:val="none"/>
              </w:rPr>
            </w:pPr>
            <w:r w:rsidRPr="00445504">
              <w:rPr>
                <w:rFonts w:ascii="Arial" w:eastAsia="Times New Roman" w:hAnsi="Arial" w:cs="Arial"/>
                <w:color w:val="000000"/>
                <w:kern w:val="0"/>
                <w:sz w:val="18"/>
                <w:szCs w:val="18"/>
                <w:lang w:eastAsia="pt-BR"/>
                <w14:ligatures w14:val="none"/>
              </w:rPr>
              <w:t xml:space="preserve">      (7.434)</w:t>
            </w:r>
          </w:p>
        </w:tc>
      </w:tr>
      <w:tr w:rsidR="00445504" w:rsidRPr="00445504" w14:paraId="70D44141" w14:textId="77777777" w:rsidTr="00446A14">
        <w:trPr>
          <w:trHeight w:val="238"/>
        </w:trPr>
        <w:tc>
          <w:tcPr>
            <w:tcW w:w="4304" w:type="pct"/>
            <w:tcBorders>
              <w:top w:val="nil"/>
              <w:left w:val="single" w:sz="4" w:space="0" w:color="auto"/>
              <w:bottom w:val="single" w:sz="4" w:space="0" w:color="auto"/>
              <w:right w:val="nil"/>
            </w:tcBorders>
            <w:shd w:val="clear" w:color="auto" w:fill="auto"/>
            <w:noWrap/>
            <w:vAlign w:val="bottom"/>
            <w:hideMark/>
          </w:tcPr>
          <w:p w14:paraId="04A8474E" w14:textId="77777777" w:rsidR="00445504" w:rsidRPr="00445504" w:rsidRDefault="00445504" w:rsidP="00445504">
            <w:pPr>
              <w:spacing w:after="0" w:line="240" w:lineRule="auto"/>
              <w:rPr>
                <w:rFonts w:ascii="Arial" w:eastAsia="Times New Roman" w:hAnsi="Arial" w:cs="Arial"/>
                <w:color w:val="000000"/>
                <w:kern w:val="0"/>
                <w:sz w:val="18"/>
                <w:szCs w:val="18"/>
                <w:lang w:eastAsia="pt-BR"/>
                <w14:ligatures w14:val="none"/>
              </w:rPr>
            </w:pPr>
            <w:r w:rsidRPr="00445504">
              <w:rPr>
                <w:rFonts w:ascii="Arial" w:eastAsia="Times New Roman" w:hAnsi="Arial" w:cs="Arial"/>
                <w:color w:val="000000"/>
                <w:kern w:val="0"/>
                <w:sz w:val="18"/>
                <w:szCs w:val="18"/>
                <w:lang w:eastAsia="pt-BR"/>
                <w14:ligatures w14:val="none"/>
              </w:rPr>
              <w:t>Baixa de contas a receber pelo critério de perdas efetivas</w:t>
            </w:r>
          </w:p>
        </w:tc>
        <w:tc>
          <w:tcPr>
            <w:tcW w:w="696" w:type="pct"/>
            <w:tcBorders>
              <w:top w:val="nil"/>
              <w:left w:val="single" w:sz="4" w:space="0" w:color="auto"/>
              <w:bottom w:val="single" w:sz="4" w:space="0" w:color="auto"/>
              <w:right w:val="single" w:sz="4" w:space="0" w:color="auto"/>
            </w:tcBorders>
            <w:shd w:val="clear" w:color="auto" w:fill="auto"/>
            <w:noWrap/>
            <w:vAlign w:val="center"/>
            <w:hideMark/>
          </w:tcPr>
          <w:p w14:paraId="46C4393A" w14:textId="77777777" w:rsidR="00445504" w:rsidRPr="00445504" w:rsidRDefault="00445504" w:rsidP="00445504">
            <w:pPr>
              <w:spacing w:after="0" w:line="240" w:lineRule="auto"/>
              <w:jc w:val="right"/>
              <w:rPr>
                <w:rFonts w:ascii="Arial" w:eastAsia="Times New Roman" w:hAnsi="Arial" w:cs="Arial"/>
                <w:color w:val="000000"/>
                <w:kern w:val="0"/>
                <w:sz w:val="18"/>
                <w:szCs w:val="18"/>
                <w:lang w:eastAsia="pt-BR"/>
                <w14:ligatures w14:val="none"/>
              </w:rPr>
            </w:pPr>
            <w:r w:rsidRPr="00445504">
              <w:rPr>
                <w:rFonts w:ascii="Arial" w:eastAsia="Times New Roman" w:hAnsi="Arial" w:cs="Arial"/>
                <w:color w:val="000000"/>
                <w:kern w:val="0"/>
                <w:sz w:val="18"/>
                <w:szCs w:val="18"/>
                <w:lang w:eastAsia="pt-BR"/>
                <w14:ligatures w14:val="none"/>
              </w:rPr>
              <w:t xml:space="preserve">      (1.564)</w:t>
            </w:r>
          </w:p>
        </w:tc>
      </w:tr>
      <w:tr w:rsidR="00445504" w:rsidRPr="00445504" w14:paraId="30A926CD" w14:textId="77777777" w:rsidTr="00446A14">
        <w:trPr>
          <w:trHeight w:val="238"/>
        </w:trPr>
        <w:tc>
          <w:tcPr>
            <w:tcW w:w="4304" w:type="pct"/>
            <w:tcBorders>
              <w:top w:val="nil"/>
              <w:left w:val="single" w:sz="4" w:space="0" w:color="auto"/>
              <w:bottom w:val="single" w:sz="4" w:space="0" w:color="auto"/>
              <w:right w:val="nil"/>
            </w:tcBorders>
            <w:shd w:val="clear" w:color="auto" w:fill="auto"/>
            <w:noWrap/>
            <w:vAlign w:val="bottom"/>
            <w:hideMark/>
          </w:tcPr>
          <w:p w14:paraId="19D85CFE" w14:textId="77777777" w:rsidR="00445504" w:rsidRPr="00445504" w:rsidRDefault="00445504" w:rsidP="00445504">
            <w:pPr>
              <w:spacing w:after="0" w:line="240" w:lineRule="auto"/>
              <w:rPr>
                <w:rFonts w:ascii="Arial" w:eastAsia="Times New Roman" w:hAnsi="Arial" w:cs="Arial"/>
                <w:b/>
                <w:bCs/>
                <w:color w:val="000000"/>
                <w:kern w:val="0"/>
                <w:sz w:val="18"/>
                <w:szCs w:val="18"/>
                <w:lang w:eastAsia="pt-BR"/>
                <w14:ligatures w14:val="none"/>
              </w:rPr>
            </w:pPr>
            <w:r w:rsidRPr="00445504">
              <w:rPr>
                <w:rFonts w:ascii="Arial" w:eastAsia="Times New Roman" w:hAnsi="Arial" w:cs="Arial"/>
                <w:b/>
                <w:bCs/>
                <w:color w:val="000000"/>
                <w:kern w:val="0"/>
                <w:sz w:val="18"/>
                <w:szCs w:val="18"/>
                <w:lang w:eastAsia="pt-BR"/>
                <w14:ligatures w14:val="none"/>
              </w:rPr>
              <w:t>Saldo em 31 de dezembro de 2023</w:t>
            </w:r>
          </w:p>
        </w:tc>
        <w:tc>
          <w:tcPr>
            <w:tcW w:w="696" w:type="pct"/>
            <w:tcBorders>
              <w:top w:val="nil"/>
              <w:left w:val="single" w:sz="4" w:space="0" w:color="auto"/>
              <w:bottom w:val="single" w:sz="4" w:space="0" w:color="auto"/>
              <w:right w:val="single" w:sz="4" w:space="0" w:color="auto"/>
            </w:tcBorders>
            <w:shd w:val="clear" w:color="auto" w:fill="auto"/>
            <w:noWrap/>
            <w:vAlign w:val="center"/>
            <w:hideMark/>
          </w:tcPr>
          <w:p w14:paraId="1C7431DA" w14:textId="77777777" w:rsidR="00445504" w:rsidRPr="00445504" w:rsidRDefault="00445504" w:rsidP="00445504">
            <w:pPr>
              <w:spacing w:after="0" w:line="240" w:lineRule="auto"/>
              <w:jc w:val="right"/>
              <w:rPr>
                <w:rFonts w:ascii="Arial" w:eastAsia="Times New Roman" w:hAnsi="Arial" w:cs="Arial"/>
                <w:b/>
                <w:bCs/>
                <w:color w:val="000000"/>
                <w:kern w:val="0"/>
                <w:sz w:val="18"/>
                <w:szCs w:val="18"/>
                <w:lang w:eastAsia="pt-BR"/>
                <w14:ligatures w14:val="none"/>
              </w:rPr>
            </w:pPr>
            <w:r w:rsidRPr="00445504">
              <w:rPr>
                <w:rFonts w:ascii="Arial" w:eastAsia="Times New Roman" w:hAnsi="Arial" w:cs="Arial"/>
                <w:b/>
                <w:bCs/>
                <w:color w:val="000000"/>
                <w:kern w:val="0"/>
                <w:sz w:val="18"/>
                <w:szCs w:val="18"/>
                <w:lang w:eastAsia="pt-BR"/>
                <w14:ligatures w14:val="none"/>
              </w:rPr>
              <w:t xml:space="preserve">        3.598 </w:t>
            </w:r>
          </w:p>
        </w:tc>
      </w:tr>
    </w:tbl>
    <w:p w14:paraId="59B15696" w14:textId="0AB766FB" w:rsidR="00445504" w:rsidRDefault="00445504" w:rsidP="00445504">
      <w:pPr>
        <w:autoSpaceDE w:val="0"/>
        <w:autoSpaceDN w:val="0"/>
        <w:adjustRightInd w:val="0"/>
        <w:spacing w:after="0" w:line="276"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7. </w:t>
      </w:r>
      <w:r w:rsidRPr="00445504">
        <w:rPr>
          <w:rFonts w:ascii="Calibri" w:eastAsia="Times New Roman" w:hAnsi="Calibri" w:cs="Calibri"/>
          <w:b/>
          <w:bCs/>
          <w:iCs/>
          <w:color w:val="002060"/>
          <w:kern w:val="0"/>
          <w14:ligatures w14:val="none"/>
        </w:rPr>
        <w:t>TRIBUTOS A COMPENSAR/RECUPERAR</w:t>
      </w:r>
    </w:p>
    <w:tbl>
      <w:tblPr>
        <w:tblW w:w="5000" w:type="pct"/>
        <w:tblCellMar>
          <w:left w:w="70" w:type="dxa"/>
          <w:right w:w="70" w:type="dxa"/>
        </w:tblCellMar>
        <w:tblLook w:val="04A0" w:firstRow="1" w:lastRow="0" w:firstColumn="1" w:lastColumn="0" w:noHBand="0" w:noVBand="1"/>
      </w:tblPr>
      <w:tblGrid>
        <w:gridCol w:w="7011"/>
        <w:gridCol w:w="1376"/>
        <w:gridCol w:w="1374"/>
      </w:tblGrid>
      <w:tr w:rsidR="00445504" w:rsidRPr="00445504" w14:paraId="28BBED4F" w14:textId="77777777" w:rsidTr="00446A14">
        <w:trPr>
          <w:trHeight w:val="238"/>
          <w:tblHeader/>
        </w:trPr>
        <w:tc>
          <w:tcPr>
            <w:tcW w:w="3591" w:type="pct"/>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114D345A" w14:textId="77777777" w:rsidR="00445504" w:rsidRPr="00445504" w:rsidRDefault="00445504" w:rsidP="00445504">
            <w:pPr>
              <w:spacing w:after="0" w:line="240" w:lineRule="auto"/>
              <w:rPr>
                <w:rFonts w:ascii="Arial" w:eastAsia="Times New Roman" w:hAnsi="Arial" w:cs="Arial"/>
                <w:b/>
                <w:bCs/>
                <w:color w:val="000000"/>
                <w:kern w:val="0"/>
                <w:sz w:val="18"/>
                <w:szCs w:val="18"/>
                <w:lang w:eastAsia="pt-BR"/>
                <w14:ligatures w14:val="none"/>
              </w:rPr>
            </w:pPr>
            <w:r w:rsidRPr="00445504">
              <w:rPr>
                <w:rFonts w:ascii="Arial" w:eastAsia="Times New Roman" w:hAnsi="Arial" w:cs="Arial"/>
                <w:b/>
                <w:bCs/>
                <w:color w:val="000000"/>
                <w:kern w:val="0"/>
                <w:sz w:val="18"/>
                <w:szCs w:val="18"/>
                <w:lang w:eastAsia="pt-BR"/>
                <w14:ligatures w14:val="none"/>
              </w:rPr>
              <w:t>Composição: </w:t>
            </w:r>
          </w:p>
        </w:tc>
        <w:tc>
          <w:tcPr>
            <w:tcW w:w="705" w:type="pct"/>
            <w:tcBorders>
              <w:top w:val="single" w:sz="8" w:space="0" w:color="auto"/>
              <w:left w:val="nil"/>
              <w:bottom w:val="single" w:sz="8" w:space="0" w:color="auto"/>
              <w:right w:val="single" w:sz="8" w:space="0" w:color="auto"/>
            </w:tcBorders>
            <w:shd w:val="clear" w:color="auto" w:fill="auto"/>
            <w:vAlign w:val="center"/>
            <w:hideMark/>
          </w:tcPr>
          <w:p w14:paraId="59DE2B8C" w14:textId="77777777" w:rsidR="00445504" w:rsidRPr="00445504" w:rsidRDefault="00445504" w:rsidP="00445504">
            <w:pPr>
              <w:spacing w:after="0" w:line="240" w:lineRule="auto"/>
              <w:jc w:val="center"/>
              <w:rPr>
                <w:rFonts w:ascii="Arial" w:eastAsia="Times New Roman" w:hAnsi="Arial" w:cs="Arial"/>
                <w:b/>
                <w:bCs/>
                <w:color w:val="000000"/>
                <w:kern w:val="0"/>
                <w:sz w:val="18"/>
                <w:szCs w:val="18"/>
                <w:lang w:eastAsia="pt-BR"/>
                <w14:ligatures w14:val="none"/>
              </w:rPr>
            </w:pPr>
            <w:r w:rsidRPr="00445504">
              <w:rPr>
                <w:rFonts w:ascii="Arial" w:eastAsia="Times New Roman" w:hAnsi="Arial" w:cs="Arial"/>
                <w:b/>
                <w:bCs/>
                <w:color w:val="000000"/>
                <w:kern w:val="0"/>
                <w:sz w:val="18"/>
                <w:szCs w:val="18"/>
                <w14:ligatures w14:val="none"/>
              </w:rPr>
              <w:t>31/12/2023</w:t>
            </w:r>
          </w:p>
        </w:tc>
        <w:tc>
          <w:tcPr>
            <w:tcW w:w="704" w:type="pct"/>
            <w:tcBorders>
              <w:top w:val="single" w:sz="8" w:space="0" w:color="auto"/>
              <w:left w:val="nil"/>
              <w:bottom w:val="single" w:sz="8" w:space="0" w:color="auto"/>
              <w:right w:val="single" w:sz="8" w:space="0" w:color="auto"/>
            </w:tcBorders>
            <w:shd w:val="clear" w:color="auto" w:fill="auto"/>
            <w:vAlign w:val="center"/>
            <w:hideMark/>
          </w:tcPr>
          <w:p w14:paraId="3B39854F" w14:textId="77777777" w:rsidR="00445504" w:rsidRPr="00445504" w:rsidRDefault="00445504" w:rsidP="00445504">
            <w:pPr>
              <w:spacing w:after="0" w:line="240" w:lineRule="auto"/>
              <w:jc w:val="center"/>
              <w:rPr>
                <w:rFonts w:ascii="Arial" w:eastAsia="Times New Roman" w:hAnsi="Arial" w:cs="Arial"/>
                <w:b/>
                <w:bCs/>
                <w:color w:val="000000"/>
                <w:kern w:val="0"/>
                <w:sz w:val="18"/>
                <w:szCs w:val="18"/>
                <w:lang w:eastAsia="pt-BR"/>
                <w14:ligatures w14:val="none"/>
              </w:rPr>
            </w:pPr>
            <w:r w:rsidRPr="00445504">
              <w:rPr>
                <w:rFonts w:ascii="Arial" w:eastAsia="Times New Roman" w:hAnsi="Arial" w:cs="Arial"/>
                <w:b/>
                <w:bCs/>
                <w:color w:val="000000"/>
                <w:kern w:val="0"/>
                <w:sz w:val="18"/>
                <w:szCs w:val="18"/>
                <w14:ligatures w14:val="none"/>
              </w:rPr>
              <w:t>31/12/2022</w:t>
            </w:r>
          </w:p>
        </w:tc>
      </w:tr>
      <w:tr w:rsidR="00445504" w:rsidRPr="00445504" w14:paraId="6F0CF0BB" w14:textId="77777777" w:rsidTr="00446A14">
        <w:trPr>
          <w:trHeight w:val="238"/>
        </w:trPr>
        <w:tc>
          <w:tcPr>
            <w:tcW w:w="3591" w:type="pct"/>
            <w:tcBorders>
              <w:top w:val="nil"/>
              <w:left w:val="single" w:sz="8" w:space="0" w:color="auto"/>
              <w:bottom w:val="single" w:sz="8" w:space="0" w:color="auto"/>
              <w:right w:val="single" w:sz="8" w:space="0" w:color="auto"/>
            </w:tcBorders>
            <w:shd w:val="clear" w:color="auto" w:fill="auto"/>
            <w:vAlign w:val="center"/>
            <w:hideMark/>
          </w:tcPr>
          <w:p w14:paraId="4C8BBFB9" w14:textId="77777777" w:rsidR="00445504" w:rsidRPr="00445504" w:rsidRDefault="00445504" w:rsidP="00445504">
            <w:pPr>
              <w:spacing w:after="0" w:line="240" w:lineRule="auto"/>
              <w:rPr>
                <w:rFonts w:ascii="Arial" w:eastAsia="Times New Roman" w:hAnsi="Arial" w:cs="Arial"/>
                <w:color w:val="000000"/>
                <w:kern w:val="0"/>
                <w:sz w:val="18"/>
                <w:szCs w:val="18"/>
                <w:lang w:eastAsia="pt-BR"/>
                <w14:ligatures w14:val="none"/>
              </w:rPr>
            </w:pPr>
            <w:r w:rsidRPr="00445504">
              <w:rPr>
                <w:rFonts w:ascii="Arial" w:eastAsia="Times New Roman" w:hAnsi="Arial" w:cs="Arial"/>
                <w:color w:val="000000"/>
                <w:kern w:val="0"/>
                <w:sz w:val="18"/>
                <w:szCs w:val="18"/>
                <w:lang w:eastAsia="pt-BR"/>
                <w14:ligatures w14:val="none"/>
              </w:rPr>
              <w:t xml:space="preserve">Imposto de Renda a Recuperar/Compensar </w:t>
            </w:r>
          </w:p>
        </w:tc>
        <w:tc>
          <w:tcPr>
            <w:tcW w:w="705" w:type="pct"/>
            <w:tcBorders>
              <w:top w:val="nil"/>
              <w:left w:val="nil"/>
              <w:bottom w:val="single" w:sz="8" w:space="0" w:color="auto"/>
              <w:right w:val="single" w:sz="8" w:space="0" w:color="auto"/>
            </w:tcBorders>
            <w:shd w:val="clear" w:color="auto" w:fill="auto"/>
            <w:noWrap/>
            <w:vAlign w:val="center"/>
            <w:hideMark/>
          </w:tcPr>
          <w:p w14:paraId="2846F5C0" w14:textId="77777777" w:rsidR="00445504" w:rsidRPr="00445504" w:rsidRDefault="00445504" w:rsidP="00445504">
            <w:pPr>
              <w:spacing w:after="0" w:line="240" w:lineRule="auto"/>
              <w:jc w:val="right"/>
              <w:rPr>
                <w:rFonts w:ascii="Arial" w:eastAsia="Times New Roman" w:hAnsi="Arial" w:cs="Arial"/>
                <w:color w:val="000000"/>
                <w:kern w:val="0"/>
                <w:sz w:val="18"/>
                <w:szCs w:val="18"/>
                <w:lang w:eastAsia="pt-BR"/>
                <w14:ligatures w14:val="none"/>
              </w:rPr>
            </w:pPr>
            <w:r w:rsidRPr="00445504">
              <w:rPr>
                <w:rFonts w:ascii="Arial" w:eastAsia="Times New Roman" w:hAnsi="Arial" w:cs="Arial"/>
                <w:color w:val="000000"/>
                <w:kern w:val="0"/>
                <w:sz w:val="18"/>
                <w:szCs w:val="18"/>
                <w:lang w:eastAsia="pt-BR"/>
                <w14:ligatures w14:val="none"/>
              </w:rPr>
              <w:t xml:space="preserve">       86.411 </w:t>
            </w:r>
          </w:p>
        </w:tc>
        <w:tc>
          <w:tcPr>
            <w:tcW w:w="704" w:type="pct"/>
            <w:tcBorders>
              <w:top w:val="nil"/>
              <w:left w:val="nil"/>
              <w:bottom w:val="single" w:sz="8" w:space="0" w:color="auto"/>
              <w:right w:val="single" w:sz="8" w:space="0" w:color="auto"/>
            </w:tcBorders>
            <w:shd w:val="clear" w:color="auto" w:fill="auto"/>
            <w:noWrap/>
            <w:vAlign w:val="center"/>
            <w:hideMark/>
          </w:tcPr>
          <w:p w14:paraId="454E7C8C" w14:textId="77777777" w:rsidR="00445504" w:rsidRPr="00445504" w:rsidRDefault="00445504" w:rsidP="00445504">
            <w:pPr>
              <w:spacing w:after="0" w:line="240" w:lineRule="auto"/>
              <w:jc w:val="right"/>
              <w:rPr>
                <w:rFonts w:ascii="Arial" w:eastAsia="Times New Roman" w:hAnsi="Arial" w:cs="Arial"/>
                <w:color w:val="000000"/>
                <w:kern w:val="0"/>
                <w:sz w:val="18"/>
                <w:szCs w:val="18"/>
                <w:lang w:eastAsia="pt-BR"/>
                <w14:ligatures w14:val="none"/>
              </w:rPr>
            </w:pPr>
            <w:r w:rsidRPr="00445504">
              <w:rPr>
                <w:rFonts w:ascii="Arial" w:eastAsia="Times New Roman" w:hAnsi="Arial" w:cs="Arial"/>
                <w:color w:val="000000"/>
                <w:kern w:val="0"/>
                <w:sz w:val="18"/>
                <w:szCs w:val="18"/>
                <w:lang w:eastAsia="pt-BR"/>
                <w14:ligatures w14:val="none"/>
              </w:rPr>
              <w:t xml:space="preserve">       66.299 </w:t>
            </w:r>
          </w:p>
        </w:tc>
      </w:tr>
      <w:tr w:rsidR="00445504" w:rsidRPr="00445504" w14:paraId="3A93CECD" w14:textId="77777777" w:rsidTr="00446A14">
        <w:trPr>
          <w:trHeight w:val="238"/>
        </w:trPr>
        <w:tc>
          <w:tcPr>
            <w:tcW w:w="3591" w:type="pct"/>
            <w:tcBorders>
              <w:top w:val="nil"/>
              <w:left w:val="single" w:sz="8" w:space="0" w:color="auto"/>
              <w:bottom w:val="single" w:sz="8" w:space="0" w:color="auto"/>
              <w:right w:val="single" w:sz="8" w:space="0" w:color="auto"/>
            </w:tcBorders>
            <w:shd w:val="clear" w:color="auto" w:fill="auto"/>
            <w:noWrap/>
            <w:vAlign w:val="center"/>
            <w:hideMark/>
          </w:tcPr>
          <w:p w14:paraId="5E7C2906" w14:textId="77777777" w:rsidR="00445504" w:rsidRPr="00445504" w:rsidRDefault="00445504" w:rsidP="00445504">
            <w:pPr>
              <w:spacing w:after="0" w:line="240" w:lineRule="auto"/>
              <w:rPr>
                <w:rFonts w:ascii="Arial" w:eastAsia="Times New Roman" w:hAnsi="Arial" w:cs="Arial"/>
                <w:color w:val="000000"/>
                <w:kern w:val="0"/>
                <w:sz w:val="18"/>
                <w:szCs w:val="18"/>
                <w:lang w:eastAsia="pt-BR"/>
                <w14:ligatures w14:val="none"/>
              </w:rPr>
            </w:pPr>
            <w:r w:rsidRPr="00445504">
              <w:rPr>
                <w:rFonts w:ascii="Arial" w:eastAsia="Times New Roman" w:hAnsi="Arial" w:cs="Arial"/>
                <w:color w:val="000000"/>
                <w:kern w:val="0"/>
                <w:sz w:val="18"/>
                <w:szCs w:val="18"/>
                <w:lang w:eastAsia="pt-BR"/>
                <w14:ligatures w14:val="none"/>
              </w:rPr>
              <w:t xml:space="preserve">Contribuição para o Financiamento da Seguridade Social – </w:t>
            </w:r>
            <w:proofErr w:type="spellStart"/>
            <w:r w:rsidRPr="00445504">
              <w:rPr>
                <w:rFonts w:ascii="Arial" w:eastAsia="Times New Roman" w:hAnsi="Arial" w:cs="Arial"/>
                <w:color w:val="000000"/>
                <w:kern w:val="0"/>
                <w:sz w:val="18"/>
                <w:szCs w:val="18"/>
                <w:lang w:eastAsia="pt-BR"/>
                <w14:ligatures w14:val="none"/>
              </w:rPr>
              <w:t>Cofins</w:t>
            </w:r>
            <w:proofErr w:type="spellEnd"/>
          </w:p>
        </w:tc>
        <w:tc>
          <w:tcPr>
            <w:tcW w:w="705" w:type="pct"/>
            <w:tcBorders>
              <w:top w:val="nil"/>
              <w:left w:val="nil"/>
              <w:bottom w:val="single" w:sz="8" w:space="0" w:color="auto"/>
              <w:right w:val="single" w:sz="8" w:space="0" w:color="auto"/>
            </w:tcBorders>
            <w:shd w:val="clear" w:color="auto" w:fill="auto"/>
            <w:noWrap/>
            <w:vAlign w:val="center"/>
            <w:hideMark/>
          </w:tcPr>
          <w:p w14:paraId="5C3EA504" w14:textId="77777777" w:rsidR="00445504" w:rsidRPr="00445504" w:rsidRDefault="00445504" w:rsidP="00445504">
            <w:pPr>
              <w:spacing w:after="0" w:line="240" w:lineRule="auto"/>
              <w:jc w:val="right"/>
              <w:rPr>
                <w:rFonts w:ascii="Arial" w:eastAsia="Times New Roman" w:hAnsi="Arial" w:cs="Arial"/>
                <w:color w:val="000000"/>
                <w:kern w:val="0"/>
                <w:sz w:val="18"/>
                <w:szCs w:val="18"/>
                <w:lang w:eastAsia="pt-BR"/>
                <w14:ligatures w14:val="none"/>
              </w:rPr>
            </w:pPr>
            <w:r w:rsidRPr="00445504">
              <w:rPr>
                <w:rFonts w:ascii="Arial" w:eastAsia="Times New Roman" w:hAnsi="Arial" w:cs="Arial"/>
                <w:color w:val="000000"/>
                <w:kern w:val="0"/>
                <w:sz w:val="18"/>
                <w:szCs w:val="18"/>
                <w:lang w:eastAsia="pt-BR"/>
                <w14:ligatures w14:val="none"/>
              </w:rPr>
              <w:t xml:space="preserve">       39.458 </w:t>
            </w:r>
          </w:p>
        </w:tc>
        <w:tc>
          <w:tcPr>
            <w:tcW w:w="704" w:type="pct"/>
            <w:tcBorders>
              <w:top w:val="nil"/>
              <w:left w:val="nil"/>
              <w:bottom w:val="single" w:sz="8" w:space="0" w:color="auto"/>
              <w:right w:val="single" w:sz="8" w:space="0" w:color="auto"/>
            </w:tcBorders>
            <w:shd w:val="clear" w:color="auto" w:fill="auto"/>
            <w:noWrap/>
            <w:vAlign w:val="center"/>
            <w:hideMark/>
          </w:tcPr>
          <w:p w14:paraId="6A4D827C" w14:textId="77777777" w:rsidR="00445504" w:rsidRPr="00445504" w:rsidRDefault="00445504" w:rsidP="00445504">
            <w:pPr>
              <w:spacing w:after="0" w:line="240" w:lineRule="auto"/>
              <w:jc w:val="right"/>
              <w:rPr>
                <w:rFonts w:ascii="Arial" w:eastAsia="Times New Roman" w:hAnsi="Arial" w:cs="Arial"/>
                <w:color w:val="000000"/>
                <w:kern w:val="0"/>
                <w:sz w:val="18"/>
                <w:szCs w:val="18"/>
                <w:lang w:eastAsia="pt-BR"/>
                <w14:ligatures w14:val="none"/>
              </w:rPr>
            </w:pPr>
            <w:r w:rsidRPr="00445504">
              <w:rPr>
                <w:rFonts w:ascii="Arial" w:eastAsia="Times New Roman" w:hAnsi="Arial" w:cs="Arial"/>
                <w:color w:val="000000"/>
                <w:kern w:val="0"/>
                <w:sz w:val="18"/>
                <w:szCs w:val="18"/>
                <w:lang w:eastAsia="pt-BR"/>
                <w14:ligatures w14:val="none"/>
              </w:rPr>
              <w:t xml:space="preserve">       38.216 </w:t>
            </w:r>
          </w:p>
        </w:tc>
      </w:tr>
      <w:tr w:rsidR="00445504" w:rsidRPr="00445504" w14:paraId="4B9E35BC" w14:textId="77777777" w:rsidTr="00446A14">
        <w:trPr>
          <w:trHeight w:val="238"/>
        </w:trPr>
        <w:tc>
          <w:tcPr>
            <w:tcW w:w="3591" w:type="pct"/>
            <w:tcBorders>
              <w:top w:val="nil"/>
              <w:left w:val="single" w:sz="8" w:space="0" w:color="auto"/>
              <w:bottom w:val="single" w:sz="8" w:space="0" w:color="auto"/>
              <w:right w:val="single" w:sz="8" w:space="0" w:color="auto"/>
            </w:tcBorders>
            <w:shd w:val="clear" w:color="auto" w:fill="auto"/>
            <w:vAlign w:val="center"/>
            <w:hideMark/>
          </w:tcPr>
          <w:p w14:paraId="53715CB2" w14:textId="77777777" w:rsidR="00445504" w:rsidRPr="00445504" w:rsidRDefault="00445504" w:rsidP="00445504">
            <w:pPr>
              <w:spacing w:after="0" w:line="240" w:lineRule="auto"/>
              <w:rPr>
                <w:rFonts w:ascii="Arial" w:eastAsia="Times New Roman" w:hAnsi="Arial" w:cs="Arial"/>
                <w:color w:val="000000"/>
                <w:kern w:val="0"/>
                <w:sz w:val="18"/>
                <w:szCs w:val="18"/>
                <w:lang w:eastAsia="pt-BR"/>
                <w14:ligatures w14:val="none"/>
              </w:rPr>
            </w:pPr>
            <w:r w:rsidRPr="00445504">
              <w:rPr>
                <w:rFonts w:ascii="Arial" w:eastAsia="Times New Roman" w:hAnsi="Arial" w:cs="Arial"/>
                <w:color w:val="000000"/>
                <w:kern w:val="0"/>
                <w:sz w:val="18"/>
                <w:szCs w:val="18"/>
                <w:lang w:eastAsia="pt-BR"/>
                <w14:ligatures w14:val="none"/>
              </w:rPr>
              <w:t xml:space="preserve">Programa de Integração Social - PIS </w:t>
            </w:r>
          </w:p>
        </w:tc>
        <w:tc>
          <w:tcPr>
            <w:tcW w:w="705" w:type="pct"/>
            <w:tcBorders>
              <w:top w:val="nil"/>
              <w:left w:val="nil"/>
              <w:bottom w:val="single" w:sz="8" w:space="0" w:color="auto"/>
              <w:right w:val="single" w:sz="8" w:space="0" w:color="auto"/>
            </w:tcBorders>
            <w:shd w:val="clear" w:color="auto" w:fill="auto"/>
            <w:noWrap/>
            <w:vAlign w:val="center"/>
            <w:hideMark/>
          </w:tcPr>
          <w:p w14:paraId="3EFE0AC8" w14:textId="77777777" w:rsidR="00445504" w:rsidRPr="00445504" w:rsidRDefault="00445504" w:rsidP="00445504">
            <w:pPr>
              <w:spacing w:after="0" w:line="240" w:lineRule="auto"/>
              <w:jc w:val="right"/>
              <w:rPr>
                <w:rFonts w:ascii="Arial" w:eastAsia="Times New Roman" w:hAnsi="Arial" w:cs="Arial"/>
                <w:color w:val="000000"/>
                <w:kern w:val="0"/>
                <w:sz w:val="18"/>
                <w:szCs w:val="18"/>
                <w:lang w:eastAsia="pt-BR"/>
                <w14:ligatures w14:val="none"/>
              </w:rPr>
            </w:pPr>
            <w:r w:rsidRPr="00445504">
              <w:rPr>
                <w:rFonts w:ascii="Arial" w:eastAsia="Times New Roman" w:hAnsi="Arial" w:cs="Arial"/>
                <w:color w:val="000000"/>
                <w:kern w:val="0"/>
                <w:sz w:val="18"/>
                <w:szCs w:val="18"/>
                <w:lang w:eastAsia="pt-BR"/>
                <w14:ligatures w14:val="none"/>
              </w:rPr>
              <w:t xml:space="preserve">          8.335 </w:t>
            </w:r>
          </w:p>
        </w:tc>
        <w:tc>
          <w:tcPr>
            <w:tcW w:w="704" w:type="pct"/>
            <w:tcBorders>
              <w:top w:val="nil"/>
              <w:left w:val="nil"/>
              <w:bottom w:val="single" w:sz="8" w:space="0" w:color="auto"/>
              <w:right w:val="single" w:sz="8" w:space="0" w:color="auto"/>
            </w:tcBorders>
            <w:shd w:val="clear" w:color="auto" w:fill="auto"/>
            <w:noWrap/>
            <w:vAlign w:val="center"/>
            <w:hideMark/>
          </w:tcPr>
          <w:p w14:paraId="32F066A2" w14:textId="77777777" w:rsidR="00445504" w:rsidRPr="00445504" w:rsidRDefault="00445504" w:rsidP="00445504">
            <w:pPr>
              <w:spacing w:after="0" w:line="240" w:lineRule="auto"/>
              <w:jc w:val="right"/>
              <w:rPr>
                <w:rFonts w:ascii="Arial" w:eastAsia="Times New Roman" w:hAnsi="Arial" w:cs="Arial"/>
                <w:color w:val="000000"/>
                <w:kern w:val="0"/>
                <w:sz w:val="18"/>
                <w:szCs w:val="18"/>
                <w:lang w:eastAsia="pt-BR"/>
                <w14:ligatures w14:val="none"/>
              </w:rPr>
            </w:pPr>
            <w:r w:rsidRPr="00445504">
              <w:rPr>
                <w:rFonts w:ascii="Arial" w:eastAsia="Times New Roman" w:hAnsi="Arial" w:cs="Arial"/>
                <w:color w:val="000000"/>
                <w:kern w:val="0"/>
                <w:sz w:val="18"/>
                <w:szCs w:val="18"/>
                <w:lang w:eastAsia="pt-BR"/>
                <w14:ligatures w14:val="none"/>
              </w:rPr>
              <w:t xml:space="preserve">          8.322 </w:t>
            </w:r>
          </w:p>
        </w:tc>
      </w:tr>
      <w:tr w:rsidR="00445504" w:rsidRPr="00445504" w14:paraId="36F0B8E3" w14:textId="77777777" w:rsidTr="00446A14">
        <w:trPr>
          <w:trHeight w:val="238"/>
        </w:trPr>
        <w:tc>
          <w:tcPr>
            <w:tcW w:w="3591" w:type="pct"/>
            <w:tcBorders>
              <w:top w:val="nil"/>
              <w:left w:val="single" w:sz="8" w:space="0" w:color="auto"/>
              <w:bottom w:val="single" w:sz="8" w:space="0" w:color="auto"/>
              <w:right w:val="single" w:sz="8" w:space="0" w:color="auto"/>
            </w:tcBorders>
            <w:shd w:val="clear" w:color="auto" w:fill="auto"/>
            <w:vAlign w:val="center"/>
            <w:hideMark/>
          </w:tcPr>
          <w:p w14:paraId="0F8041D2" w14:textId="77777777" w:rsidR="00445504" w:rsidRPr="00445504" w:rsidRDefault="00445504" w:rsidP="00445504">
            <w:pPr>
              <w:spacing w:after="0" w:line="240" w:lineRule="auto"/>
              <w:rPr>
                <w:rFonts w:ascii="Arial" w:eastAsia="Times New Roman" w:hAnsi="Arial" w:cs="Arial"/>
                <w:color w:val="000000"/>
                <w:kern w:val="0"/>
                <w:sz w:val="18"/>
                <w:szCs w:val="18"/>
                <w:lang w:eastAsia="pt-BR"/>
                <w14:ligatures w14:val="none"/>
              </w:rPr>
            </w:pPr>
            <w:r w:rsidRPr="00445504">
              <w:rPr>
                <w:rFonts w:ascii="Arial" w:eastAsia="Times New Roman" w:hAnsi="Arial" w:cs="Arial"/>
                <w:color w:val="000000"/>
                <w:kern w:val="0"/>
                <w:sz w:val="18"/>
                <w:szCs w:val="18"/>
                <w:lang w:eastAsia="pt-BR"/>
                <w14:ligatures w14:val="none"/>
              </w:rPr>
              <w:t>Contribuição Social sobre Lucro Líquido</w:t>
            </w:r>
          </w:p>
        </w:tc>
        <w:tc>
          <w:tcPr>
            <w:tcW w:w="705" w:type="pct"/>
            <w:tcBorders>
              <w:top w:val="nil"/>
              <w:left w:val="nil"/>
              <w:bottom w:val="single" w:sz="8" w:space="0" w:color="auto"/>
              <w:right w:val="single" w:sz="8" w:space="0" w:color="auto"/>
            </w:tcBorders>
            <w:shd w:val="clear" w:color="auto" w:fill="auto"/>
            <w:noWrap/>
            <w:vAlign w:val="center"/>
            <w:hideMark/>
          </w:tcPr>
          <w:p w14:paraId="4669C492" w14:textId="77777777" w:rsidR="00445504" w:rsidRPr="00445504" w:rsidRDefault="00445504" w:rsidP="00445504">
            <w:pPr>
              <w:spacing w:after="0" w:line="240" w:lineRule="auto"/>
              <w:jc w:val="right"/>
              <w:rPr>
                <w:rFonts w:ascii="Arial" w:eastAsia="Times New Roman" w:hAnsi="Arial" w:cs="Arial"/>
                <w:color w:val="000000"/>
                <w:kern w:val="0"/>
                <w:sz w:val="18"/>
                <w:szCs w:val="18"/>
                <w:lang w:eastAsia="pt-BR"/>
                <w14:ligatures w14:val="none"/>
              </w:rPr>
            </w:pPr>
            <w:r w:rsidRPr="00445504">
              <w:rPr>
                <w:rFonts w:ascii="Arial" w:eastAsia="Times New Roman" w:hAnsi="Arial" w:cs="Arial"/>
                <w:color w:val="000000"/>
                <w:kern w:val="0"/>
                <w:sz w:val="18"/>
                <w:szCs w:val="18"/>
                <w:lang w:eastAsia="pt-BR"/>
                <w14:ligatures w14:val="none"/>
              </w:rPr>
              <w:t xml:space="preserve">          6.182 </w:t>
            </w:r>
          </w:p>
        </w:tc>
        <w:tc>
          <w:tcPr>
            <w:tcW w:w="704" w:type="pct"/>
            <w:tcBorders>
              <w:top w:val="nil"/>
              <w:left w:val="nil"/>
              <w:bottom w:val="single" w:sz="8" w:space="0" w:color="auto"/>
              <w:right w:val="single" w:sz="8" w:space="0" w:color="auto"/>
            </w:tcBorders>
            <w:shd w:val="clear" w:color="auto" w:fill="auto"/>
            <w:noWrap/>
            <w:vAlign w:val="center"/>
            <w:hideMark/>
          </w:tcPr>
          <w:p w14:paraId="62A6E01E" w14:textId="77777777" w:rsidR="00445504" w:rsidRPr="00445504" w:rsidRDefault="00445504" w:rsidP="00445504">
            <w:pPr>
              <w:spacing w:after="0" w:line="240" w:lineRule="auto"/>
              <w:jc w:val="right"/>
              <w:rPr>
                <w:rFonts w:ascii="Arial" w:eastAsia="Times New Roman" w:hAnsi="Arial" w:cs="Arial"/>
                <w:color w:val="000000"/>
                <w:kern w:val="0"/>
                <w:sz w:val="18"/>
                <w:szCs w:val="18"/>
                <w:lang w:eastAsia="pt-BR"/>
                <w14:ligatures w14:val="none"/>
              </w:rPr>
            </w:pPr>
            <w:r w:rsidRPr="00445504">
              <w:rPr>
                <w:rFonts w:ascii="Arial" w:eastAsia="Times New Roman" w:hAnsi="Arial" w:cs="Arial"/>
                <w:color w:val="000000"/>
                <w:kern w:val="0"/>
                <w:sz w:val="18"/>
                <w:szCs w:val="18"/>
                <w:lang w:eastAsia="pt-BR"/>
                <w14:ligatures w14:val="none"/>
              </w:rPr>
              <w:t xml:space="preserve">       10.993 </w:t>
            </w:r>
          </w:p>
        </w:tc>
      </w:tr>
      <w:tr w:rsidR="00445504" w:rsidRPr="00445504" w14:paraId="1090DABD" w14:textId="77777777" w:rsidTr="00446A14">
        <w:trPr>
          <w:trHeight w:val="238"/>
        </w:trPr>
        <w:tc>
          <w:tcPr>
            <w:tcW w:w="3591" w:type="pct"/>
            <w:tcBorders>
              <w:top w:val="nil"/>
              <w:left w:val="single" w:sz="8" w:space="0" w:color="auto"/>
              <w:bottom w:val="single" w:sz="8" w:space="0" w:color="auto"/>
              <w:right w:val="single" w:sz="8" w:space="0" w:color="auto"/>
            </w:tcBorders>
            <w:shd w:val="clear" w:color="auto" w:fill="auto"/>
            <w:vAlign w:val="center"/>
            <w:hideMark/>
          </w:tcPr>
          <w:p w14:paraId="4BF1BC13" w14:textId="77777777" w:rsidR="00445504" w:rsidRPr="00445504" w:rsidRDefault="00445504" w:rsidP="00445504">
            <w:pPr>
              <w:spacing w:after="0" w:line="240" w:lineRule="auto"/>
              <w:rPr>
                <w:rFonts w:ascii="Arial" w:eastAsia="Times New Roman" w:hAnsi="Arial" w:cs="Arial"/>
                <w:color w:val="000000"/>
                <w:kern w:val="0"/>
                <w:sz w:val="18"/>
                <w:szCs w:val="18"/>
                <w:lang w:eastAsia="pt-BR"/>
                <w14:ligatures w14:val="none"/>
              </w:rPr>
            </w:pPr>
            <w:r w:rsidRPr="00445504">
              <w:rPr>
                <w:rFonts w:ascii="Arial" w:eastAsia="Times New Roman" w:hAnsi="Arial" w:cs="Arial"/>
                <w:color w:val="000000"/>
                <w:kern w:val="0"/>
                <w:sz w:val="18"/>
                <w:szCs w:val="18"/>
                <w:lang w:eastAsia="pt-BR"/>
                <w14:ligatures w14:val="none"/>
              </w:rPr>
              <w:t>Instituto Nacional de Previdência Social – INSS</w:t>
            </w:r>
          </w:p>
        </w:tc>
        <w:tc>
          <w:tcPr>
            <w:tcW w:w="705" w:type="pct"/>
            <w:tcBorders>
              <w:top w:val="nil"/>
              <w:left w:val="nil"/>
              <w:bottom w:val="single" w:sz="8" w:space="0" w:color="auto"/>
              <w:right w:val="single" w:sz="8" w:space="0" w:color="auto"/>
            </w:tcBorders>
            <w:shd w:val="clear" w:color="auto" w:fill="auto"/>
            <w:noWrap/>
            <w:vAlign w:val="center"/>
            <w:hideMark/>
          </w:tcPr>
          <w:p w14:paraId="13C8F60D" w14:textId="77777777" w:rsidR="00445504" w:rsidRPr="00445504" w:rsidRDefault="00445504" w:rsidP="00445504">
            <w:pPr>
              <w:spacing w:after="0" w:line="240" w:lineRule="auto"/>
              <w:jc w:val="right"/>
              <w:rPr>
                <w:rFonts w:ascii="Arial" w:eastAsia="Times New Roman" w:hAnsi="Arial" w:cs="Arial"/>
                <w:color w:val="000000"/>
                <w:kern w:val="0"/>
                <w:sz w:val="18"/>
                <w:szCs w:val="18"/>
                <w:lang w:eastAsia="pt-BR"/>
                <w14:ligatures w14:val="none"/>
              </w:rPr>
            </w:pPr>
            <w:r w:rsidRPr="00445504">
              <w:rPr>
                <w:rFonts w:ascii="Arial" w:eastAsia="Times New Roman" w:hAnsi="Arial" w:cs="Arial"/>
                <w:color w:val="000000"/>
                <w:kern w:val="0"/>
                <w:sz w:val="18"/>
                <w:szCs w:val="18"/>
                <w:lang w:eastAsia="pt-BR"/>
                <w14:ligatures w14:val="none"/>
              </w:rPr>
              <w:t xml:space="preserve">               28 </w:t>
            </w:r>
          </w:p>
        </w:tc>
        <w:tc>
          <w:tcPr>
            <w:tcW w:w="704" w:type="pct"/>
            <w:tcBorders>
              <w:top w:val="nil"/>
              <w:left w:val="nil"/>
              <w:bottom w:val="single" w:sz="8" w:space="0" w:color="auto"/>
              <w:right w:val="single" w:sz="8" w:space="0" w:color="auto"/>
            </w:tcBorders>
            <w:shd w:val="clear" w:color="auto" w:fill="auto"/>
            <w:noWrap/>
            <w:vAlign w:val="center"/>
            <w:hideMark/>
          </w:tcPr>
          <w:p w14:paraId="1F941FB3" w14:textId="77777777" w:rsidR="00445504" w:rsidRPr="00445504" w:rsidRDefault="00445504" w:rsidP="00445504">
            <w:pPr>
              <w:spacing w:after="0" w:line="240" w:lineRule="auto"/>
              <w:jc w:val="right"/>
              <w:rPr>
                <w:rFonts w:ascii="Arial" w:eastAsia="Times New Roman" w:hAnsi="Arial" w:cs="Arial"/>
                <w:color w:val="000000"/>
                <w:kern w:val="0"/>
                <w:sz w:val="18"/>
                <w:szCs w:val="18"/>
                <w:lang w:eastAsia="pt-BR"/>
                <w14:ligatures w14:val="none"/>
              </w:rPr>
            </w:pPr>
            <w:r w:rsidRPr="00445504">
              <w:rPr>
                <w:rFonts w:ascii="Arial" w:eastAsia="Times New Roman" w:hAnsi="Arial" w:cs="Arial"/>
                <w:color w:val="000000"/>
                <w:kern w:val="0"/>
                <w:sz w:val="18"/>
                <w:szCs w:val="18"/>
                <w:lang w:eastAsia="pt-BR"/>
                <w14:ligatures w14:val="none"/>
              </w:rPr>
              <w:t xml:space="preserve">               28 </w:t>
            </w:r>
          </w:p>
        </w:tc>
      </w:tr>
      <w:tr w:rsidR="00445504" w:rsidRPr="00445504" w14:paraId="64BD36E2" w14:textId="77777777" w:rsidTr="00446A14">
        <w:trPr>
          <w:trHeight w:val="238"/>
        </w:trPr>
        <w:tc>
          <w:tcPr>
            <w:tcW w:w="3591" w:type="pct"/>
            <w:tcBorders>
              <w:top w:val="nil"/>
              <w:left w:val="single" w:sz="8" w:space="0" w:color="auto"/>
              <w:bottom w:val="single" w:sz="8" w:space="0" w:color="auto"/>
              <w:right w:val="single" w:sz="8" w:space="0" w:color="auto"/>
            </w:tcBorders>
            <w:shd w:val="clear" w:color="auto" w:fill="auto"/>
            <w:noWrap/>
            <w:vAlign w:val="center"/>
            <w:hideMark/>
          </w:tcPr>
          <w:p w14:paraId="20244DCB" w14:textId="77777777" w:rsidR="00445504" w:rsidRPr="00445504" w:rsidRDefault="00445504" w:rsidP="00445504">
            <w:pPr>
              <w:spacing w:after="0" w:line="240" w:lineRule="auto"/>
              <w:rPr>
                <w:rFonts w:ascii="Arial" w:eastAsia="Times New Roman" w:hAnsi="Arial" w:cs="Arial"/>
                <w:b/>
                <w:bCs/>
                <w:color w:val="000000"/>
                <w:kern w:val="0"/>
                <w:sz w:val="18"/>
                <w:szCs w:val="18"/>
                <w:lang w:eastAsia="pt-BR"/>
                <w14:ligatures w14:val="none"/>
              </w:rPr>
            </w:pPr>
            <w:r w:rsidRPr="00445504">
              <w:rPr>
                <w:rFonts w:ascii="Arial" w:eastAsia="Times New Roman" w:hAnsi="Arial" w:cs="Arial"/>
                <w:b/>
                <w:bCs/>
                <w:color w:val="000000"/>
                <w:kern w:val="0"/>
                <w:sz w:val="18"/>
                <w:szCs w:val="18"/>
                <w:lang w:eastAsia="pt-BR"/>
                <w14:ligatures w14:val="none"/>
              </w:rPr>
              <w:t>Tributos Federais:</w:t>
            </w:r>
          </w:p>
        </w:tc>
        <w:tc>
          <w:tcPr>
            <w:tcW w:w="705" w:type="pct"/>
            <w:tcBorders>
              <w:top w:val="nil"/>
              <w:left w:val="nil"/>
              <w:bottom w:val="single" w:sz="8" w:space="0" w:color="auto"/>
              <w:right w:val="single" w:sz="8" w:space="0" w:color="auto"/>
            </w:tcBorders>
            <w:shd w:val="clear" w:color="auto" w:fill="auto"/>
            <w:noWrap/>
            <w:vAlign w:val="center"/>
            <w:hideMark/>
          </w:tcPr>
          <w:p w14:paraId="2BC92303" w14:textId="77777777" w:rsidR="00445504" w:rsidRPr="00445504" w:rsidRDefault="00445504" w:rsidP="00445504">
            <w:pPr>
              <w:spacing w:after="0" w:line="240" w:lineRule="auto"/>
              <w:jc w:val="right"/>
              <w:rPr>
                <w:rFonts w:ascii="Arial" w:eastAsia="Times New Roman" w:hAnsi="Arial" w:cs="Arial"/>
                <w:b/>
                <w:bCs/>
                <w:color w:val="000000"/>
                <w:kern w:val="0"/>
                <w:sz w:val="18"/>
                <w:szCs w:val="18"/>
                <w:lang w:eastAsia="pt-BR"/>
                <w14:ligatures w14:val="none"/>
              </w:rPr>
            </w:pPr>
            <w:r w:rsidRPr="00445504">
              <w:rPr>
                <w:rFonts w:ascii="Arial" w:eastAsia="Times New Roman" w:hAnsi="Arial" w:cs="Arial"/>
                <w:b/>
                <w:bCs/>
                <w:color w:val="000000"/>
                <w:kern w:val="0"/>
                <w:sz w:val="18"/>
                <w:szCs w:val="18"/>
                <w:lang w:eastAsia="pt-BR"/>
                <w14:ligatures w14:val="none"/>
              </w:rPr>
              <w:t xml:space="preserve">     140.414 </w:t>
            </w:r>
          </w:p>
        </w:tc>
        <w:tc>
          <w:tcPr>
            <w:tcW w:w="704" w:type="pct"/>
            <w:tcBorders>
              <w:top w:val="nil"/>
              <w:left w:val="nil"/>
              <w:bottom w:val="single" w:sz="8" w:space="0" w:color="auto"/>
              <w:right w:val="single" w:sz="8" w:space="0" w:color="auto"/>
            </w:tcBorders>
            <w:shd w:val="clear" w:color="auto" w:fill="auto"/>
            <w:noWrap/>
            <w:vAlign w:val="center"/>
            <w:hideMark/>
          </w:tcPr>
          <w:p w14:paraId="5E5101C1" w14:textId="77777777" w:rsidR="00445504" w:rsidRPr="00445504" w:rsidRDefault="00445504" w:rsidP="00445504">
            <w:pPr>
              <w:spacing w:after="0" w:line="240" w:lineRule="auto"/>
              <w:jc w:val="right"/>
              <w:rPr>
                <w:rFonts w:ascii="Arial" w:eastAsia="Times New Roman" w:hAnsi="Arial" w:cs="Arial"/>
                <w:b/>
                <w:bCs/>
                <w:color w:val="000000"/>
                <w:kern w:val="0"/>
                <w:sz w:val="18"/>
                <w:szCs w:val="18"/>
                <w:lang w:eastAsia="pt-BR"/>
                <w14:ligatures w14:val="none"/>
              </w:rPr>
            </w:pPr>
            <w:r w:rsidRPr="00445504">
              <w:rPr>
                <w:rFonts w:ascii="Arial" w:eastAsia="Times New Roman" w:hAnsi="Arial" w:cs="Arial"/>
                <w:b/>
                <w:bCs/>
                <w:color w:val="000000"/>
                <w:kern w:val="0"/>
                <w:sz w:val="18"/>
                <w:szCs w:val="18"/>
                <w:lang w:eastAsia="pt-BR"/>
                <w14:ligatures w14:val="none"/>
              </w:rPr>
              <w:t xml:space="preserve">     123.858 </w:t>
            </w:r>
          </w:p>
        </w:tc>
      </w:tr>
      <w:tr w:rsidR="00445504" w:rsidRPr="00445504" w14:paraId="136DCC35" w14:textId="77777777" w:rsidTr="00446A14">
        <w:trPr>
          <w:trHeight w:val="238"/>
        </w:trPr>
        <w:tc>
          <w:tcPr>
            <w:tcW w:w="3591" w:type="pct"/>
            <w:tcBorders>
              <w:top w:val="nil"/>
              <w:left w:val="single" w:sz="8" w:space="0" w:color="auto"/>
              <w:bottom w:val="single" w:sz="8" w:space="0" w:color="auto"/>
              <w:right w:val="single" w:sz="8" w:space="0" w:color="auto"/>
            </w:tcBorders>
            <w:shd w:val="clear" w:color="auto" w:fill="auto"/>
            <w:vAlign w:val="center"/>
            <w:hideMark/>
          </w:tcPr>
          <w:p w14:paraId="49EF59E9" w14:textId="77777777" w:rsidR="00445504" w:rsidRPr="00445504" w:rsidRDefault="00445504" w:rsidP="00445504">
            <w:pPr>
              <w:spacing w:after="0" w:line="240" w:lineRule="auto"/>
              <w:rPr>
                <w:rFonts w:ascii="Arial" w:eastAsia="Times New Roman" w:hAnsi="Arial" w:cs="Arial"/>
                <w:color w:val="000000"/>
                <w:kern w:val="0"/>
                <w:sz w:val="18"/>
                <w:szCs w:val="18"/>
                <w:lang w:eastAsia="pt-BR"/>
                <w14:ligatures w14:val="none"/>
              </w:rPr>
            </w:pPr>
            <w:r w:rsidRPr="00445504">
              <w:rPr>
                <w:rFonts w:ascii="Arial" w:eastAsia="Times New Roman" w:hAnsi="Arial" w:cs="Arial"/>
                <w:color w:val="000000"/>
                <w:kern w:val="0"/>
                <w:sz w:val="18"/>
                <w:szCs w:val="18"/>
                <w:lang w:eastAsia="pt-BR"/>
                <w14:ligatures w14:val="none"/>
              </w:rPr>
              <w:t>ICMS a Recuperar</w:t>
            </w:r>
          </w:p>
        </w:tc>
        <w:tc>
          <w:tcPr>
            <w:tcW w:w="705" w:type="pct"/>
            <w:tcBorders>
              <w:top w:val="nil"/>
              <w:left w:val="nil"/>
              <w:bottom w:val="single" w:sz="8" w:space="0" w:color="auto"/>
              <w:right w:val="single" w:sz="8" w:space="0" w:color="auto"/>
            </w:tcBorders>
            <w:shd w:val="clear" w:color="auto" w:fill="auto"/>
            <w:noWrap/>
            <w:vAlign w:val="center"/>
            <w:hideMark/>
          </w:tcPr>
          <w:p w14:paraId="7E59295D" w14:textId="77777777" w:rsidR="00445504" w:rsidRPr="00445504" w:rsidRDefault="00445504" w:rsidP="00445504">
            <w:pPr>
              <w:spacing w:after="0" w:line="240" w:lineRule="auto"/>
              <w:jc w:val="right"/>
              <w:rPr>
                <w:rFonts w:ascii="Arial" w:eastAsia="Times New Roman" w:hAnsi="Arial" w:cs="Arial"/>
                <w:color w:val="000000"/>
                <w:kern w:val="0"/>
                <w:sz w:val="18"/>
                <w:szCs w:val="18"/>
                <w:lang w:eastAsia="pt-BR"/>
                <w14:ligatures w14:val="none"/>
              </w:rPr>
            </w:pPr>
            <w:r w:rsidRPr="00445504">
              <w:rPr>
                <w:rFonts w:ascii="Arial" w:eastAsia="Times New Roman" w:hAnsi="Arial" w:cs="Arial"/>
                <w:color w:val="000000"/>
                <w:kern w:val="0"/>
                <w:sz w:val="18"/>
                <w:szCs w:val="18"/>
                <w:lang w:eastAsia="pt-BR"/>
                <w14:ligatures w14:val="none"/>
              </w:rPr>
              <w:t xml:space="preserve">       48.724 </w:t>
            </w:r>
          </w:p>
        </w:tc>
        <w:tc>
          <w:tcPr>
            <w:tcW w:w="704" w:type="pct"/>
            <w:tcBorders>
              <w:top w:val="nil"/>
              <w:left w:val="nil"/>
              <w:bottom w:val="single" w:sz="8" w:space="0" w:color="auto"/>
              <w:right w:val="single" w:sz="8" w:space="0" w:color="auto"/>
            </w:tcBorders>
            <w:shd w:val="clear" w:color="auto" w:fill="auto"/>
            <w:noWrap/>
            <w:vAlign w:val="center"/>
            <w:hideMark/>
          </w:tcPr>
          <w:p w14:paraId="3D94E04D" w14:textId="77777777" w:rsidR="00445504" w:rsidRPr="00445504" w:rsidRDefault="00445504" w:rsidP="00445504">
            <w:pPr>
              <w:spacing w:after="0" w:line="240" w:lineRule="auto"/>
              <w:jc w:val="right"/>
              <w:rPr>
                <w:rFonts w:ascii="Arial" w:eastAsia="Times New Roman" w:hAnsi="Arial" w:cs="Arial"/>
                <w:color w:val="000000"/>
                <w:kern w:val="0"/>
                <w:sz w:val="18"/>
                <w:szCs w:val="18"/>
                <w:lang w:eastAsia="pt-BR"/>
                <w14:ligatures w14:val="none"/>
              </w:rPr>
            </w:pPr>
            <w:r w:rsidRPr="00445504">
              <w:rPr>
                <w:rFonts w:ascii="Arial" w:eastAsia="Times New Roman" w:hAnsi="Arial" w:cs="Arial"/>
                <w:color w:val="000000"/>
                <w:kern w:val="0"/>
                <w:sz w:val="18"/>
                <w:szCs w:val="18"/>
                <w:lang w:eastAsia="pt-BR"/>
                <w14:ligatures w14:val="none"/>
              </w:rPr>
              <w:t xml:space="preserve">       54.456 </w:t>
            </w:r>
          </w:p>
        </w:tc>
      </w:tr>
      <w:tr w:rsidR="00445504" w:rsidRPr="00445504" w14:paraId="6F1AF4B5" w14:textId="77777777" w:rsidTr="00446A14">
        <w:trPr>
          <w:trHeight w:val="238"/>
        </w:trPr>
        <w:tc>
          <w:tcPr>
            <w:tcW w:w="3591" w:type="pct"/>
            <w:tcBorders>
              <w:top w:val="nil"/>
              <w:left w:val="single" w:sz="8" w:space="0" w:color="auto"/>
              <w:bottom w:val="single" w:sz="8" w:space="0" w:color="auto"/>
              <w:right w:val="single" w:sz="8" w:space="0" w:color="auto"/>
            </w:tcBorders>
            <w:shd w:val="clear" w:color="auto" w:fill="auto"/>
            <w:noWrap/>
            <w:vAlign w:val="center"/>
            <w:hideMark/>
          </w:tcPr>
          <w:p w14:paraId="763FC5BF" w14:textId="77777777" w:rsidR="00445504" w:rsidRPr="00445504" w:rsidRDefault="00445504" w:rsidP="00445504">
            <w:pPr>
              <w:spacing w:after="0" w:line="240" w:lineRule="auto"/>
              <w:rPr>
                <w:rFonts w:ascii="Arial" w:eastAsia="Times New Roman" w:hAnsi="Arial" w:cs="Arial"/>
                <w:b/>
                <w:bCs/>
                <w:color w:val="000000"/>
                <w:kern w:val="0"/>
                <w:sz w:val="18"/>
                <w:szCs w:val="18"/>
                <w:lang w:eastAsia="pt-BR"/>
                <w14:ligatures w14:val="none"/>
              </w:rPr>
            </w:pPr>
            <w:r w:rsidRPr="00445504">
              <w:rPr>
                <w:rFonts w:ascii="Arial" w:eastAsia="Times New Roman" w:hAnsi="Arial" w:cs="Arial"/>
                <w:b/>
                <w:bCs/>
                <w:color w:val="000000"/>
                <w:kern w:val="0"/>
                <w:sz w:val="18"/>
                <w:szCs w:val="18"/>
                <w:lang w:eastAsia="pt-BR"/>
                <w14:ligatures w14:val="none"/>
              </w:rPr>
              <w:t>Tributos Estaduais:</w:t>
            </w:r>
          </w:p>
        </w:tc>
        <w:tc>
          <w:tcPr>
            <w:tcW w:w="705" w:type="pct"/>
            <w:tcBorders>
              <w:top w:val="nil"/>
              <w:left w:val="nil"/>
              <w:bottom w:val="single" w:sz="8" w:space="0" w:color="auto"/>
              <w:right w:val="single" w:sz="8" w:space="0" w:color="auto"/>
            </w:tcBorders>
            <w:shd w:val="clear" w:color="auto" w:fill="auto"/>
            <w:noWrap/>
            <w:vAlign w:val="center"/>
            <w:hideMark/>
          </w:tcPr>
          <w:p w14:paraId="07922EF2" w14:textId="77777777" w:rsidR="00445504" w:rsidRPr="00445504" w:rsidRDefault="00445504" w:rsidP="00445504">
            <w:pPr>
              <w:spacing w:after="0" w:line="240" w:lineRule="auto"/>
              <w:jc w:val="right"/>
              <w:rPr>
                <w:rFonts w:ascii="Arial" w:eastAsia="Times New Roman" w:hAnsi="Arial" w:cs="Arial"/>
                <w:b/>
                <w:bCs/>
                <w:color w:val="000000"/>
                <w:kern w:val="0"/>
                <w:sz w:val="18"/>
                <w:szCs w:val="18"/>
                <w:lang w:eastAsia="pt-BR"/>
                <w14:ligatures w14:val="none"/>
              </w:rPr>
            </w:pPr>
            <w:r w:rsidRPr="00445504">
              <w:rPr>
                <w:rFonts w:ascii="Arial" w:eastAsia="Times New Roman" w:hAnsi="Arial" w:cs="Arial"/>
                <w:b/>
                <w:bCs/>
                <w:color w:val="000000"/>
                <w:kern w:val="0"/>
                <w:sz w:val="18"/>
                <w:szCs w:val="18"/>
                <w:lang w:eastAsia="pt-BR"/>
                <w14:ligatures w14:val="none"/>
              </w:rPr>
              <w:t xml:space="preserve">       48.724 </w:t>
            </w:r>
          </w:p>
        </w:tc>
        <w:tc>
          <w:tcPr>
            <w:tcW w:w="704" w:type="pct"/>
            <w:tcBorders>
              <w:top w:val="nil"/>
              <w:left w:val="nil"/>
              <w:bottom w:val="single" w:sz="8" w:space="0" w:color="auto"/>
              <w:right w:val="single" w:sz="8" w:space="0" w:color="auto"/>
            </w:tcBorders>
            <w:shd w:val="clear" w:color="auto" w:fill="auto"/>
            <w:noWrap/>
            <w:vAlign w:val="center"/>
            <w:hideMark/>
          </w:tcPr>
          <w:p w14:paraId="0E1FA573" w14:textId="77777777" w:rsidR="00445504" w:rsidRPr="00445504" w:rsidRDefault="00445504" w:rsidP="00445504">
            <w:pPr>
              <w:spacing w:after="0" w:line="240" w:lineRule="auto"/>
              <w:jc w:val="right"/>
              <w:rPr>
                <w:rFonts w:ascii="Arial" w:eastAsia="Times New Roman" w:hAnsi="Arial" w:cs="Arial"/>
                <w:b/>
                <w:bCs/>
                <w:color w:val="000000"/>
                <w:kern w:val="0"/>
                <w:sz w:val="18"/>
                <w:szCs w:val="18"/>
                <w:lang w:eastAsia="pt-BR"/>
                <w14:ligatures w14:val="none"/>
              </w:rPr>
            </w:pPr>
            <w:r w:rsidRPr="00445504">
              <w:rPr>
                <w:rFonts w:ascii="Arial" w:eastAsia="Times New Roman" w:hAnsi="Arial" w:cs="Arial"/>
                <w:b/>
                <w:bCs/>
                <w:color w:val="000000"/>
                <w:kern w:val="0"/>
                <w:sz w:val="18"/>
                <w:szCs w:val="18"/>
                <w:lang w:eastAsia="pt-BR"/>
                <w14:ligatures w14:val="none"/>
              </w:rPr>
              <w:t xml:space="preserve">       54.456 </w:t>
            </w:r>
          </w:p>
        </w:tc>
      </w:tr>
      <w:tr w:rsidR="00445504" w:rsidRPr="00445504" w14:paraId="65EE8042" w14:textId="77777777" w:rsidTr="00446A14">
        <w:trPr>
          <w:trHeight w:val="238"/>
        </w:trPr>
        <w:tc>
          <w:tcPr>
            <w:tcW w:w="3591" w:type="pct"/>
            <w:tcBorders>
              <w:top w:val="nil"/>
              <w:left w:val="single" w:sz="8" w:space="0" w:color="auto"/>
              <w:bottom w:val="single" w:sz="8" w:space="0" w:color="auto"/>
              <w:right w:val="single" w:sz="8" w:space="0" w:color="auto"/>
            </w:tcBorders>
            <w:shd w:val="clear" w:color="auto" w:fill="auto"/>
            <w:noWrap/>
            <w:vAlign w:val="center"/>
            <w:hideMark/>
          </w:tcPr>
          <w:p w14:paraId="782AABFA" w14:textId="77777777" w:rsidR="00445504" w:rsidRPr="00445504" w:rsidRDefault="00445504" w:rsidP="00445504">
            <w:pPr>
              <w:spacing w:after="0" w:line="240" w:lineRule="auto"/>
              <w:rPr>
                <w:rFonts w:ascii="Arial" w:eastAsia="Times New Roman" w:hAnsi="Arial" w:cs="Arial"/>
                <w:color w:val="000000"/>
                <w:kern w:val="0"/>
                <w:sz w:val="16"/>
                <w:szCs w:val="16"/>
                <w:lang w:eastAsia="pt-BR"/>
                <w14:ligatures w14:val="none"/>
              </w:rPr>
            </w:pPr>
            <w:r w:rsidRPr="00445504">
              <w:rPr>
                <w:rFonts w:ascii="Arial" w:eastAsia="Times New Roman" w:hAnsi="Arial" w:cs="Arial"/>
                <w:color w:val="000000"/>
                <w:kern w:val="0"/>
                <w:sz w:val="16"/>
                <w:szCs w:val="16"/>
                <w:lang w:eastAsia="pt-BR"/>
                <w14:ligatures w14:val="none"/>
              </w:rPr>
              <w:t>ISS</w:t>
            </w:r>
          </w:p>
        </w:tc>
        <w:tc>
          <w:tcPr>
            <w:tcW w:w="705" w:type="pct"/>
            <w:tcBorders>
              <w:top w:val="nil"/>
              <w:left w:val="nil"/>
              <w:bottom w:val="single" w:sz="8" w:space="0" w:color="auto"/>
              <w:right w:val="single" w:sz="8" w:space="0" w:color="auto"/>
            </w:tcBorders>
            <w:shd w:val="clear" w:color="auto" w:fill="auto"/>
            <w:noWrap/>
            <w:vAlign w:val="center"/>
            <w:hideMark/>
          </w:tcPr>
          <w:p w14:paraId="18148923" w14:textId="77777777" w:rsidR="00445504" w:rsidRPr="00445504" w:rsidRDefault="00445504" w:rsidP="00445504">
            <w:pPr>
              <w:spacing w:after="0" w:line="240" w:lineRule="auto"/>
              <w:jc w:val="right"/>
              <w:rPr>
                <w:rFonts w:ascii="Arial" w:eastAsia="Times New Roman" w:hAnsi="Arial" w:cs="Arial"/>
                <w:color w:val="000000"/>
                <w:kern w:val="0"/>
                <w:sz w:val="18"/>
                <w:szCs w:val="18"/>
                <w:lang w:eastAsia="pt-BR"/>
                <w14:ligatures w14:val="none"/>
              </w:rPr>
            </w:pPr>
            <w:r w:rsidRPr="00445504">
              <w:rPr>
                <w:rFonts w:ascii="Arial" w:eastAsia="Times New Roman" w:hAnsi="Arial" w:cs="Arial"/>
                <w:color w:val="000000"/>
                <w:kern w:val="0"/>
                <w:sz w:val="18"/>
                <w:szCs w:val="18"/>
                <w:lang w:eastAsia="pt-BR"/>
                <w14:ligatures w14:val="none"/>
              </w:rPr>
              <w:t xml:space="preserve">               97 </w:t>
            </w:r>
          </w:p>
        </w:tc>
        <w:tc>
          <w:tcPr>
            <w:tcW w:w="704" w:type="pct"/>
            <w:tcBorders>
              <w:top w:val="nil"/>
              <w:left w:val="nil"/>
              <w:bottom w:val="single" w:sz="8" w:space="0" w:color="auto"/>
              <w:right w:val="single" w:sz="8" w:space="0" w:color="auto"/>
            </w:tcBorders>
            <w:shd w:val="clear" w:color="auto" w:fill="auto"/>
            <w:noWrap/>
            <w:vAlign w:val="center"/>
            <w:hideMark/>
          </w:tcPr>
          <w:p w14:paraId="66DDCC2B" w14:textId="77777777" w:rsidR="00445504" w:rsidRPr="00445504" w:rsidRDefault="00445504" w:rsidP="00445504">
            <w:pPr>
              <w:spacing w:after="0" w:line="240" w:lineRule="auto"/>
              <w:jc w:val="right"/>
              <w:rPr>
                <w:rFonts w:ascii="Calibri" w:eastAsia="Times New Roman" w:hAnsi="Calibri" w:cs="Calibri"/>
                <w:color w:val="000000"/>
                <w:kern w:val="0"/>
                <w:lang w:eastAsia="pt-BR"/>
                <w14:ligatures w14:val="none"/>
              </w:rPr>
            </w:pPr>
            <w:r w:rsidRPr="00445504">
              <w:rPr>
                <w:rFonts w:ascii="Calibri" w:eastAsia="Times New Roman" w:hAnsi="Calibri" w:cs="Calibri"/>
                <w:color w:val="000000"/>
                <w:kern w:val="0"/>
                <w:lang w:eastAsia="pt-BR"/>
                <w14:ligatures w14:val="none"/>
              </w:rPr>
              <w:t xml:space="preserve">                -    </w:t>
            </w:r>
          </w:p>
        </w:tc>
      </w:tr>
      <w:tr w:rsidR="00445504" w:rsidRPr="00445504" w14:paraId="0F4DB740" w14:textId="77777777" w:rsidTr="00446A14">
        <w:trPr>
          <w:trHeight w:val="238"/>
        </w:trPr>
        <w:tc>
          <w:tcPr>
            <w:tcW w:w="3591" w:type="pct"/>
            <w:tcBorders>
              <w:top w:val="nil"/>
              <w:left w:val="single" w:sz="8" w:space="0" w:color="auto"/>
              <w:bottom w:val="single" w:sz="8" w:space="0" w:color="auto"/>
              <w:right w:val="single" w:sz="8" w:space="0" w:color="auto"/>
            </w:tcBorders>
            <w:shd w:val="clear" w:color="auto" w:fill="auto"/>
            <w:noWrap/>
            <w:vAlign w:val="center"/>
            <w:hideMark/>
          </w:tcPr>
          <w:p w14:paraId="09BB60BC" w14:textId="77777777" w:rsidR="00445504" w:rsidRPr="00445504" w:rsidRDefault="00445504" w:rsidP="00445504">
            <w:pPr>
              <w:spacing w:after="0" w:line="240" w:lineRule="auto"/>
              <w:rPr>
                <w:rFonts w:ascii="Arial" w:eastAsia="Times New Roman" w:hAnsi="Arial" w:cs="Arial"/>
                <w:b/>
                <w:bCs/>
                <w:color w:val="000000"/>
                <w:kern w:val="0"/>
                <w:sz w:val="18"/>
                <w:szCs w:val="18"/>
                <w:lang w:eastAsia="pt-BR"/>
                <w14:ligatures w14:val="none"/>
              </w:rPr>
            </w:pPr>
            <w:r w:rsidRPr="00445504">
              <w:rPr>
                <w:rFonts w:ascii="Arial" w:eastAsia="Times New Roman" w:hAnsi="Arial" w:cs="Arial"/>
                <w:b/>
                <w:bCs/>
                <w:color w:val="000000"/>
                <w:kern w:val="0"/>
                <w:sz w:val="18"/>
                <w:szCs w:val="18"/>
                <w:lang w:eastAsia="pt-BR"/>
                <w14:ligatures w14:val="none"/>
              </w:rPr>
              <w:t>Tributos Municipais</w:t>
            </w:r>
          </w:p>
        </w:tc>
        <w:tc>
          <w:tcPr>
            <w:tcW w:w="705" w:type="pct"/>
            <w:tcBorders>
              <w:top w:val="nil"/>
              <w:left w:val="nil"/>
              <w:bottom w:val="single" w:sz="8" w:space="0" w:color="auto"/>
              <w:right w:val="single" w:sz="8" w:space="0" w:color="auto"/>
            </w:tcBorders>
            <w:shd w:val="clear" w:color="auto" w:fill="auto"/>
            <w:noWrap/>
            <w:vAlign w:val="center"/>
            <w:hideMark/>
          </w:tcPr>
          <w:p w14:paraId="747AD054" w14:textId="77777777" w:rsidR="00445504" w:rsidRPr="00445504" w:rsidRDefault="00445504" w:rsidP="00445504">
            <w:pPr>
              <w:spacing w:after="0" w:line="240" w:lineRule="auto"/>
              <w:jc w:val="right"/>
              <w:rPr>
                <w:rFonts w:ascii="Arial" w:eastAsia="Times New Roman" w:hAnsi="Arial" w:cs="Arial"/>
                <w:b/>
                <w:bCs/>
                <w:color w:val="000000"/>
                <w:kern w:val="0"/>
                <w:sz w:val="18"/>
                <w:szCs w:val="18"/>
                <w:lang w:eastAsia="pt-BR"/>
                <w14:ligatures w14:val="none"/>
              </w:rPr>
            </w:pPr>
            <w:r w:rsidRPr="00445504">
              <w:rPr>
                <w:rFonts w:ascii="Arial" w:eastAsia="Times New Roman" w:hAnsi="Arial" w:cs="Arial"/>
                <w:b/>
                <w:bCs/>
                <w:color w:val="000000"/>
                <w:kern w:val="0"/>
                <w:sz w:val="18"/>
                <w:szCs w:val="18"/>
                <w:lang w:eastAsia="pt-BR"/>
                <w14:ligatures w14:val="none"/>
              </w:rPr>
              <w:t xml:space="preserve">               97 </w:t>
            </w:r>
          </w:p>
        </w:tc>
        <w:tc>
          <w:tcPr>
            <w:tcW w:w="704" w:type="pct"/>
            <w:tcBorders>
              <w:top w:val="nil"/>
              <w:left w:val="nil"/>
              <w:bottom w:val="single" w:sz="8" w:space="0" w:color="auto"/>
              <w:right w:val="single" w:sz="8" w:space="0" w:color="auto"/>
            </w:tcBorders>
            <w:shd w:val="clear" w:color="auto" w:fill="auto"/>
            <w:noWrap/>
            <w:vAlign w:val="center"/>
            <w:hideMark/>
          </w:tcPr>
          <w:p w14:paraId="26972406" w14:textId="77777777" w:rsidR="00445504" w:rsidRPr="00445504" w:rsidRDefault="00445504" w:rsidP="00445504">
            <w:pPr>
              <w:spacing w:after="0" w:line="240" w:lineRule="auto"/>
              <w:jc w:val="right"/>
              <w:rPr>
                <w:rFonts w:ascii="Calibri" w:eastAsia="Times New Roman" w:hAnsi="Calibri" w:cs="Calibri"/>
                <w:color w:val="000000"/>
                <w:kern w:val="0"/>
                <w:lang w:eastAsia="pt-BR"/>
                <w14:ligatures w14:val="none"/>
              </w:rPr>
            </w:pPr>
            <w:r w:rsidRPr="00445504">
              <w:rPr>
                <w:rFonts w:ascii="Calibri" w:eastAsia="Times New Roman" w:hAnsi="Calibri" w:cs="Calibri"/>
                <w:color w:val="000000"/>
                <w:kern w:val="0"/>
                <w:lang w:eastAsia="pt-BR"/>
                <w14:ligatures w14:val="none"/>
              </w:rPr>
              <w:t xml:space="preserve">                -    </w:t>
            </w:r>
          </w:p>
        </w:tc>
      </w:tr>
      <w:tr w:rsidR="00445504" w:rsidRPr="00445504" w14:paraId="79095C15" w14:textId="77777777" w:rsidTr="00446A14">
        <w:trPr>
          <w:trHeight w:val="238"/>
        </w:trPr>
        <w:tc>
          <w:tcPr>
            <w:tcW w:w="3591" w:type="pct"/>
            <w:tcBorders>
              <w:top w:val="nil"/>
              <w:left w:val="single" w:sz="8" w:space="0" w:color="auto"/>
              <w:bottom w:val="single" w:sz="8" w:space="0" w:color="auto"/>
              <w:right w:val="single" w:sz="8" w:space="0" w:color="auto"/>
            </w:tcBorders>
            <w:shd w:val="clear" w:color="auto" w:fill="auto"/>
            <w:vAlign w:val="center"/>
            <w:hideMark/>
          </w:tcPr>
          <w:p w14:paraId="337BC727" w14:textId="77777777" w:rsidR="00445504" w:rsidRPr="00445504" w:rsidRDefault="00445504" w:rsidP="00445504">
            <w:pPr>
              <w:spacing w:after="0" w:line="240" w:lineRule="auto"/>
              <w:rPr>
                <w:rFonts w:ascii="Arial" w:eastAsia="Times New Roman" w:hAnsi="Arial" w:cs="Arial"/>
                <w:b/>
                <w:bCs/>
                <w:color w:val="000000"/>
                <w:kern w:val="0"/>
                <w:sz w:val="18"/>
                <w:szCs w:val="18"/>
                <w:lang w:eastAsia="pt-BR"/>
                <w14:ligatures w14:val="none"/>
              </w:rPr>
            </w:pPr>
            <w:r w:rsidRPr="00445504">
              <w:rPr>
                <w:rFonts w:ascii="Arial" w:eastAsia="Times New Roman" w:hAnsi="Arial" w:cs="Arial"/>
                <w:b/>
                <w:bCs/>
                <w:color w:val="000000"/>
                <w:kern w:val="0"/>
                <w:sz w:val="18"/>
                <w:szCs w:val="18"/>
                <w:lang w:eastAsia="pt-BR"/>
                <w14:ligatures w14:val="none"/>
              </w:rPr>
              <w:t>Total</w:t>
            </w:r>
          </w:p>
        </w:tc>
        <w:tc>
          <w:tcPr>
            <w:tcW w:w="705" w:type="pct"/>
            <w:tcBorders>
              <w:top w:val="nil"/>
              <w:left w:val="nil"/>
              <w:bottom w:val="single" w:sz="8" w:space="0" w:color="auto"/>
              <w:right w:val="single" w:sz="8" w:space="0" w:color="auto"/>
            </w:tcBorders>
            <w:shd w:val="clear" w:color="auto" w:fill="auto"/>
            <w:noWrap/>
            <w:vAlign w:val="center"/>
            <w:hideMark/>
          </w:tcPr>
          <w:p w14:paraId="2E93DFC9" w14:textId="77777777" w:rsidR="00445504" w:rsidRPr="00445504" w:rsidRDefault="00445504" w:rsidP="00445504">
            <w:pPr>
              <w:spacing w:after="0" w:line="240" w:lineRule="auto"/>
              <w:jc w:val="right"/>
              <w:rPr>
                <w:rFonts w:ascii="Arial" w:eastAsia="Times New Roman" w:hAnsi="Arial" w:cs="Arial"/>
                <w:b/>
                <w:bCs/>
                <w:color w:val="000000"/>
                <w:kern w:val="0"/>
                <w:sz w:val="18"/>
                <w:szCs w:val="18"/>
                <w:lang w:eastAsia="pt-BR"/>
                <w14:ligatures w14:val="none"/>
              </w:rPr>
            </w:pPr>
            <w:r w:rsidRPr="00445504">
              <w:rPr>
                <w:rFonts w:ascii="Arial" w:eastAsia="Times New Roman" w:hAnsi="Arial" w:cs="Arial"/>
                <w:b/>
                <w:bCs/>
                <w:color w:val="000000"/>
                <w:kern w:val="0"/>
                <w:sz w:val="18"/>
                <w:szCs w:val="18"/>
                <w:lang w:eastAsia="pt-BR"/>
                <w14:ligatures w14:val="none"/>
              </w:rPr>
              <w:t xml:space="preserve">     189.235 </w:t>
            </w:r>
          </w:p>
        </w:tc>
        <w:tc>
          <w:tcPr>
            <w:tcW w:w="704" w:type="pct"/>
            <w:tcBorders>
              <w:top w:val="nil"/>
              <w:left w:val="nil"/>
              <w:bottom w:val="single" w:sz="8" w:space="0" w:color="auto"/>
              <w:right w:val="single" w:sz="8" w:space="0" w:color="auto"/>
            </w:tcBorders>
            <w:shd w:val="clear" w:color="auto" w:fill="auto"/>
            <w:noWrap/>
            <w:vAlign w:val="center"/>
            <w:hideMark/>
          </w:tcPr>
          <w:p w14:paraId="79FCF9D5" w14:textId="77777777" w:rsidR="00445504" w:rsidRPr="00445504" w:rsidRDefault="00445504" w:rsidP="00445504">
            <w:pPr>
              <w:spacing w:after="0" w:line="240" w:lineRule="auto"/>
              <w:jc w:val="right"/>
              <w:rPr>
                <w:rFonts w:ascii="Arial" w:eastAsia="Times New Roman" w:hAnsi="Arial" w:cs="Arial"/>
                <w:b/>
                <w:bCs/>
                <w:color w:val="000000"/>
                <w:kern w:val="0"/>
                <w:sz w:val="18"/>
                <w:szCs w:val="18"/>
                <w:lang w:eastAsia="pt-BR"/>
                <w14:ligatures w14:val="none"/>
              </w:rPr>
            </w:pPr>
            <w:r w:rsidRPr="00445504">
              <w:rPr>
                <w:rFonts w:ascii="Arial" w:eastAsia="Times New Roman" w:hAnsi="Arial" w:cs="Arial"/>
                <w:b/>
                <w:bCs/>
                <w:color w:val="000000"/>
                <w:kern w:val="0"/>
                <w:sz w:val="18"/>
                <w:szCs w:val="18"/>
                <w:lang w:eastAsia="pt-BR"/>
                <w14:ligatures w14:val="none"/>
              </w:rPr>
              <w:t xml:space="preserve">     178.314 </w:t>
            </w:r>
          </w:p>
        </w:tc>
      </w:tr>
      <w:tr w:rsidR="00445504" w:rsidRPr="00445504" w14:paraId="6FDB3B2A" w14:textId="77777777" w:rsidTr="00446A14">
        <w:trPr>
          <w:trHeight w:val="238"/>
        </w:trPr>
        <w:tc>
          <w:tcPr>
            <w:tcW w:w="3591" w:type="pct"/>
            <w:tcBorders>
              <w:top w:val="nil"/>
              <w:left w:val="single" w:sz="8" w:space="0" w:color="auto"/>
              <w:bottom w:val="single" w:sz="8" w:space="0" w:color="auto"/>
              <w:right w:val="single" w:sz="8" w:space="0" w:color="auto"/>
            </w:tcBorders>
            <w:shd w:val="clear" w:color="auto" w:fill="auto"/>
            <w:vAlign w:val="center"/>
            <w:hideMark/>
          </w:tcPr>
          <w:p w14:paraId="771E8DA2" w14:textId="77777777" w:rsidR="00445504" w:rsidRPr="00445504" w:rsidRDefault="00445504" w:rsidP="00445504">
            <w:pPr>
              <w:spacing w:after="0" w:line="240" w:lineRule="auto"/>
              <w:rPr>
                <w:rFonts w:ascii="Arial" w:eastAsia="Times New Roman" w:hAnsi="Arial" w:cs="Arial"/>
                <w:b/>
                <w:bCs/>
                <w:color w:val="000000"/>
                <w:kern w:val="0"/>
                <w:sz w:val="18"/>
                <w:szCs w:val="18"/>
                <w:lang w:eastAsia="pt-BR"/>
                <w14:ligatures w14:val="none"/>
              </w:rPr>
            </w:pPr>
            <w:r w:rsidRPr="00445504">
              <w:rPr>
                <w:rFonts w:ascii="Arial" w:eastAsia="Times New Roman" w:hAnsi="Arial" w:cs="Arial"/>
                <w:b/>
                <w:bCs/>
                <w:color w:val="000000"/>
                <w:kern w:val="0"/>
                <w:sz w:val="18"/>
                <w:szCs w:val="18"/>
                <w:lang w:eastAsia="pt-BR"/>
                <w14:ligatures w14:val="none"/>
              </w:rPr>
              <w:t>Circulante</w:t>
            </w:r>
          </w:p>
        </w:tc>
        <w:tc>
          <w:tcPr>
            <w:tcW w:w="705" w:type="pct"/>
            <w:tcBorders>
              <w:top w:val="nil"/>
              <w:left w:val="nil"/>
              <w:bottom w:val="single" w:sz="8" w:space="0" w:color="auto"/>
              <w:right w:val="single" w:sz="8" w:space="0" w:color="auto"/>
            </w:tcBorders>
            <w:shd w:val="clear" w:color="auto" w:fill="auto"/>
            <w:noWrap/>
            <w:vAlign w:val="center"/>
            <w:hideMark/>
          </w:tcPr>
          <w:p w14:paraId="6A2C715E" w14:textId="77777777" w:rsidR="00445504" w:rsidRPr="00445504" w:rsidRDefault="00445504" w:rsidP="00445504">
            <w:pPr>
              <w:spacing w:after="0" w:line="240" w:lineRule="auto"/>
              <w:jc w:val="right"/>
              <w:rPr>
                <w:rFonts w:ascii="Arial" w:eastAsia="Times New Roman" w:hAnsi="Arial" w:cs="Arial"/>
                <w:b/>
                <w:bCs/>
                <w:color w:val="000000"/>
                <w:kern w:val="0"/>
                <w:sz w:val="18"/>
                <w:szCs w:val="18"/>
                <w:lang w:eastAsia="pt-BR"/>
                <w14:ligatures w14:val="none"/>
              </w:rPr>
            </w:pPr>
            <w:r w:rsidRPr="00445504">
              <w:rPr>
                <w:rFonts w:ascii="Arial" w:eastAsia="Times New Roman" w:hAnsi="Arial" w:cs="Arial"/>
                <w:b/>
                <w:bCs/>
                <w:color w:val="000000"/>
                <w:kern w:val="0"/>
                <w:sz w:val="18"/>
                <w:szCs w:val="18"/>
                <w:lang w:eastAsia="pt-BR"/>
                <w14:ligatures w14:val="none"/>
              </w:rPr>
              <w:t xml:space="preserve">     177.601 </w:t>
            </w:r>
          </w:p>
        </w:tc>
        <w:tc>
          <w:tcPr>
            <w:tcW w:w="704" w:type="pct"/>
            <w:tcBorders>
              <w:top w:val="nil"/>
              <w:left w:val="nil"/>
              <w:bottom w:val="single" w:sz="8" w:space="0" w:color="auto"/>
              <w:right w:val="single" w:sz="8" w:space="0" w:color="auto"/>
            </w:tcBorders>
            <w:shd w:val="clear" w:color="auto" w:fill="auto"/>
            <w:noWrap/>
            <w:vAlign w:val="center"/>
            <w:hideMark/>
          </w:tcPr>
          <w:p w14:paraId="4606042E" w14:textId="77777777" w:rsidR="00445504" w:rsidRPr="00445504" w:rsidRDefault="00445504" w:rsidP="00445504">
            <w:pPr>
              <w:spacing w:after="0" w:line="240" w:lineRule="auto"/>
              <w:jc w:val="right"/>
              <w:rPr>
                <w:rFonts w:ascii="Arial" w:eastAsia="Times New Roman" w:hAnsi="Arial" w:cs="Arial"/>
                <w:b/>
                <w:bCs/>
                <w:color w:val="000000"/>
                <w:kern w:val="0"/>
                <w:sz w:val="18"/>
                <w:szCs w:val="18"/>
                <w:lang w:eastAsia="pt-BR"/>
                <w14:ligatures w14:val="none"/>
              </w:rPr>
            </w:pPr>
            <w:r w:rsidRPr="00445504">
              <w:rPr>
                <w:rFonts w:ascii="Arial" w:eastAsia="Times New Roman" w:hAnsi="Arial" w:cs="Arial"/>
                <w:b/>
                <w:bCs/>
                <w:color w:val="000000"/>
                <w:kern w:val="0"/>
                <w:sz w:val="18"/>
                <w:szCs w:val="18"/>
                <w:lang w:eastAsia="pt-BR"/>
                <w14:ligatures w14:val="none"/>
              </w:rPr>
              <w:t xml:space="preserve">     169.089 </w:t>
            </w:r>
          </w:p>
        </w:tc>
      </w:tr>
      <w:tr w:rsidR="00445504" w:rsidRPr="00445504" w14:paraId="5C467823" w14:textId="77777777" w:rsidTr="00446A14">
        <w:trPr>
          <w:trHeight w:val="238"/>
        </w:trPr>
        <w:tc>
          <w:tcPr>
            <w:tcW w:w="3591" w:type="pct"/>
            <w:tcBorders>
              <w:top w:val="nil"/>
              <w:left w:val="single" w:sz="8" w:space="0" w:color="auto"/>
              <w:bottom w:val="single" w:sz="8" w:space="0" w:color="auto"/>
              <w:right w:val="single" w:sz="8" w:space="0" w:color="auto"/>
            </w:tcBorders>
            <w:shd w:val="clear" w:color="auto" w:fill="auto"/>
            <w:vAlign w:val="center"/>
            <w:hideMark/>
          </w:tcPr>
          <w:p w14:paraId="4879AE06" w14:textId="77777777" w:rsidR="00445504" w:rsidRPr="00445504" w:rsidRDefault="00445504" w:rsidP="00445504">
            <w:pPr>
              <w:spacing w:after="0" w:line="240" w:lineRule="auto"/>
              <w:rPr>
                <w:rFonts w:ascii="Arial" w:eastAsia="Times New Roman" w:hAnsi="Arial" w:cs="Arial"/>
                <w:b/>
                <w:bCs/>
                <w:color w:val="000000"/>
                <w:kern w:val="0"/>
                <w:sz w:val="18"/>
                <w:szCs w:val="18"/>
                <w:lang w:eastAsia="pt-BR"/>
                <w14:ligatures w14:val="none"/>
              </w:rPr>
            </w:pPr>
            <w:r w:rsidRPr="00445504">
              <w:rPr>
                <w:rFonts w:ascii="Arial" w:eastAsia="Times New Roman" w:hAnsi="Arial" w:cs="Arial"/>
                <w:b/>
                <w:bCs/>
                <w:color w:val="000000"/>
                <w:kern w:val="0"/>
                <w:sz w:val="18"/>
                <w:szCs w:val="18"/>
                <w:lang w:eastAsia="pt-BR"/>
                <w14:ligatures w14:val="none"/>
              </w:rPr>
              <w:t>Não Circulante</w:t>
            </w:r>
          </w:p>
        </w:tc>
        <w:tc>
          <w:tcPr>
            <w:tcW w:w="705" w:type="pct"/>
            <w:tcBorders>
              <w:top w:val="nil"/>
              <w:left w:val="nil"/>
              <w:bottom w:val="single" w:sz="8" w:space="0" w:color="auto"/>
              <w:right w:val="single" w:sz="8" w:space="0" w:color="auto"/>
            </w:tcBorders>
            <w:shd w:val="clear" w:color="auto" w:fill="auto"/>
            <w:noWrap/>
            <w:vAlign w:val="center"/>
            <w:hideMark/>
          </w:tcPr>
          <w:p w14:paraId="7F15E814" w14:textId="77777777" w:rsidR="00445504" w:rsidRPr="00445504" w:rsidRDefault="00445504" w:rsidP="00445504">
            <w:pPr>
              <w:spacing w:after="0" w:line="240" w:lineRule="auto"/>
              <w:jc w:val="right"/>
              <w:rPr>
                <w:rFonts w:ascii="Arial" w:eastAsia="Times New Roman" w:hAnsi="Arial" w:cs="Arial"/>
                <w:b/>
                <w:bCs/>
                <w:color w:val="000000"/>
                <w:kern w:val="0"/>
                <w:sz w:val="18"/>
                <w:szCs w:val="18"/>
                <w:lang w:eastAsia="pt-BR"/>
                <w14:ligatures w14:val="none"/>
              </w:rPr>
            </w:pPr>
            <w:r w:rsidRPr="00445504">
              <w:rPr>
                <w:rFonts w:ascii="Arial" w:eastAsia="Times New Roman" w:hAnsi="Arial" w:cs="Arial"/>
                <w:b/>
                <w:bCs/>
                <w:color w:val="000000"/>
                <w:kern w:val="0"/>
                <w:sz w:val="18"/>
                <w:szCs w:val="18"/>
                <w:lang w:eastAsia="pt-BR"/>
                <w14:ligatures w14:val="none"/>
              </w:rPr>
              <w:t xml:space="preserve">       11.634 </w:t>
            </w:r>
          </w:p>
        </w:tc>
        <w:tc>
          <w:tcPr>
            <w:tcW w:w="704" w:type="pct"/>
            <w:tcBorders>
              <w:top w:val="nil"/>
              <w:left w:val="nil"/>
              <w:bottom w:val="single" w:sz="8" w:space="0" w:color="auto"/>
              <w:right w:val="single" w:sz="8" w:space="0" w:color="auto"/>
            </w:tcBorders>
            <w:shd w:val="clear" w:color="auto" w:fill="auto"/>
            <w:noWrap/>
            <w:vAlign w:val="center"/>
            <w:hideMark/>
          </w:tcPr>
          <w:p w14:paraId="0675478C" w14:textId="77777777" w:rsidR="00445504" w:rsidRPr="00445504" w:rsidRDefault="00445504" w:rsidP="00445504">
            <w:pPr>
              <w:spacing w:after="0" w:line="240" w:lineRule="auto"/>
              <w:jc w:val="right"/>
              <w:rPr>
                <w:rFonts w:ascii="Arial" w:eastAsia="Times New Roman" w:hAnsi="Arial" w:cs="Arial"/>
                <w:b/>
                <w:bCs/>
                <w:color w:val="000000"/>
                <w:kern w:val="0"/>
                <w:sz w:val="18"/>
                <w:szCs w:val="18"/>
                <w:lang w:eastAsia="pt-BR"/>
                <w14:ligatures w14:val="none"/>
              </w:rPr>
            </w:pPr>
            <w:r w:rsidRPr="00445504">
              <w:rPr>
                <w:rFonts w:ascii="Arial" w:eastAsia="Times New Roman" w:hAnsi="Arial" w:cs="Arial"/>
                <w:b/>
                <w:bCs/>
                <w:color w:val="000000"/>
                <w:kern w:val="0"/>
                <w:sz w:val="18"/>
                <w:szCs w:val="18"/>
                <w:lang w:eastAsia="pt-BR"/>
                <w14:ligatures w14:val="none"/>
              </w:rPr>
              <w:t xml:space="preserve">          9.225 </w:t>
            </w:r>
          </w:p>
        </w:tc>
      </w:tr>
    </w:tbl>
    <w:p w14:paraId="5763F87E" w14:textId="69DD54CF" w:rsidR="007C6A41" w:rsidRPr="007C6A41" w:rsidRDefault="007C6A41" w:rsidP="007C6A41">
      <w:pPr>
        <w:autoSpaceDE w:val="0"/>
        <w:autoSpaceDN w:val="0"/>
        <w:adjustRightInd w:val="0"/>
        <w:spacing w:after="0" w:line="276"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7.1. </w:t>
      </w:r>
      <w:r w:rsidRPr="007C6A41">
        <w:rPr>
          <w:rFonts w:ascii="Calibri" w:eastAsia="Times New Roman" w:hAnsi="Calibri" w:cs="Calibri"/>
          <w:b/>
          <w:bCs/>
          <w:iCs/>
          <w:color w:val="002060"/>
          <w:kern w:val="0"/>
          <w14:ligatures w14:val="none"/>
        </w:rPr>
        <w:t>Movimentação do período</w:t>
      </w:r>
    </w:p>
    <w:p w14:paraId="20AC6C92" w14:textId="2FD79D50" w:rsidR="007C6A41" w:rsidRPr="007C6A41" w:rsidRDefault="007C6A41" w:rsidP="007C6A41">
      <w:pPr>
        <w:autoSpaceDE w:val="0"/>
        <w:autoSpaceDN w:val="0"/>
        <w:adjustRightInd w:val="0"/>
        <w:spacing w:after="0" w:line="276" w:lineRule="auto"/>
        <w:jc w:val="both"/>
        <w:rPr>
          <w:rFonts w:ascii="Calibri" w:eastAsia="Times New Roman" w:hAnsi="Calibri" w:cs="Calibri"/>
          <w:iCs/>
          <w:color w:val="002060"/>
          <w:kern w:val="0"/>
          <w14:ligatures w14:val="none"/>
        </w:rPr>
      </w:pPr>
      <w:r w:rsidRPr="007C6A41">
        <w:rPr>
          <w:rFonts w:ascii="Calibri" w:eastAsia="Times New Roman" w:hAnsi="Calibri" w:cs="Calibri"/>
          <w:iCs/>
          <w:color w:val="002060"/>
          <w:kern w:val="0"/>
          <w14:ligatures w14:val="none"/>
        </w:rPr>
        <w:t>O quadro a seguir apresenta a movimentação dos tributos a compensar e/ou a recuperar no exercício de 2023.</w:t>
      </w:r>
    </w:p>
    <w:tbl>
      <w:tblPr>
        <w:tblW w:w="5000" w:type="pct"/>
        <w:tblCellMar>
          <w:left w:w="70" w:type="dxa"/>
          <w:right w:w="70" w:type="dxa"/>
        </w:tblCellMar>
        <w:tblLook w:val="04A0" w:firstRow="1" w:lastRow="0" w:firstColumn="1" w:lastColumn="0" w:noHBand="0" w:noVBand="1"/>
      </w:tblPr>
      <w:tblGrid>
        <w:gridCol w:w="1945"/>
        <w:gridCol w:w="866"/>
        <w:gridCol w:w="866"/>
        <w:gridCol w:w="866"/>
        <w:gridCol w:w="867"/>
        <w:gridCol w:w="867"/>
        <w:gridCol w:w="867"/>
        <w:gridCol w:w="867"/>
        <w:gridCol w:w="867"/>
        <w:gridCol w:w="883"/>
      </w:tblGrid>
      <w:tr w:rsidR="007C6A41" w:rsidRPr="007C6A41" w14:paraId="3415F673" w14:textId="77777777" w:rsidTr="00446A14">
        <w:trPr>
          <w:trHeight w:val="238"/>
          <w:tblHeader/>
        </w:trPr>
        <w:tc>
          <w:tcPr>
            <w:tcW w:w="996"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085FCB2B" w14:textId="77777777" w:rsidR="007C6A41" w:rsidRPr="007C6A41" w:rsidRDefault="007C6A41" w:rsidP="007C6A41">
            <w:pPr>
              <w:spacing w:after="0" w:line="240" w:lineRule="auto"/>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Natureza/Tributo</w:t>
            </w:r>
          </w:p>
        </w:tc>
        <w:tc>
          <w:tcPr>
            <w:tcW w:w="44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E01DD94" w14:textId="77777777" w:rsidR="007C6A41" w:rsidRPr="007C6A41" w:rsidRDefault="007C6A41" w:rsidP="007C6A41">
            <w:pPr>
              <w:spacing w:after="0" w:line="240" w:lineRule="auto"/>
              <w:jc w:val="center"/>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 xml:space="preserve"> Saldo em 31 de dezembro de 2022 </w:t>
            </w:r>
          </w:p>
        </w:tc>
        <w:tc>
          <w:tcPr>
            <w:tcW w:w="3108" w:type="pct"/>
            <w:gridSpan w:val="7"/>
            <w:tcBorders>
              <w:top w:val="single" w:sz="8" w:space="0" w:color="auto"/>
              <w:left w:val="nil"/>
              <w:bottom w:val="single" w:sz="8" w:space="0" w:color="auto"/>
              <w:right w:val="single" w:sz="8" w:space="0" w:color="000000"/>
            </w:tcBorders>
            <w:shd w:val="clear" w:color="auto" w:fill="auto"/>
            <w:noWrap/>
            <w:vAlign w:val="center"/>
            <w:hideMark/>
          </w:tcPr>
          <w:p w14:paraId="089E5002" w14:textId="77777777" w:rsidR="007C6A41" w:rsidRPr="007C6A41" w:rsidRDefault="007C6A41" w:rsidP="007C6A41">
            <w:pPr>
              <w:spacing w:after="0" w:line="240" w:lineRule="auto"/>
              <w:jc w:val="center"/>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Ocorrências no Período </w:t>
            </w:r>
          </w:p>
        </w:tc>
        <w:tc>
          <w:tcPr>
            <w:tcW w:w="452" w:type="pct"/>
            <w:vMerge w:val="restart"/>
            <w:tcBorders>
              <w:top w:val="single" w:sz="8" w:space="0" w:color="auto"/>
              <w:left w:val="nil"/>
              <w:bottom w:val="single" w:sz="8" w:space="0" w:color="000000"/>
              <w:right w:val="single" w:sz="8" w:space="0" w:color="auto"/>
            </w:tcBorders>
            <w:shd w:val="clear" w:color="auto" w:fill="auto"/>
            <w:vAlign w:val="center"/>
            <w:hideMark/>
          </w:tcPr>
          <w:p w14:paraId="3C701D04" w14:textId="77777777" w:rsidR="007C6A41" w:rsidRPr="007C6A41" w:rsidRDefault="007C6A41" w:rsidP="007C6A41">
            <w:pPr>
              <w:spacing w:after="0" w:line="240" w:lineRule="auto"/>
              <w:jc w:val="center"/>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 xml:space="preserve">Saldo em 31 de </w:t>
            </w:r>
            <w:proofErr w:type="gramStart"/>
            <w:r w:rsidRPr="007C6A41">
              <w:rPr>
                <w:rFonts w:ascii="Arial" w:eastAsia="Times New Roman" w:hAnsi="Arial" w:cs="Arial"/>
                <w:b/>
                <w:bCs/>
                <w:color w:val="000000"/>
                <w:kern w:val="0"/>
                <w:sz w:val="10"/>
                <w:szCs w:val="10"/>
                <w:lang w:eastAsia="pt-BR"/>
                <w14:ligatures w14:val="none"/>
              </w:rPr>
              <w:t>Dezembro</w:t>
            </w:r>
            <w:proofErr w:type="gramEnd"/>
            <w:r w:rsidRPr="007C6A41">
              <w:rPr>
                <w:rFonts w:ascii="Arial" w:eastAsia="Times New Roman" w:hAnsi="Arial" w:cs="Arial"/>
                <w:b/>
                <w:bCs/>
                <w:color w:val="000000"/>
                <w:kern w:val="0"/>
                <w:sz w:val="10"/>
                <w:szCs w:val="10"/>
                <w:lang w:eastAsia="pt-BR"/>
                <w14:ligatures w14:val="none"/>
              </w:rPr>
              <w:t xml:space="preserve"> de 2023</w:t>
            </w:r>
          </w:p>
        </w:tc>
      </w:tr>
      <w:tr w:rsidR="007C6A41" w:rsidRPr="007C6A41" w14:paraId="49A1F4CD" w14:textId="77777777" w:rsidTr="00446A14">
        <w:trPr>
          <w:trHeight w:val="238"/>
          <w:tblHeader/>
        </w:trPr>
        <w:tc>
          <w:tcPr>
            <w:tcW w:w="996" w:type="pct"/>
            <w:vMerge/>
            <w:tcBorders>
              <w:top w:val="single" w:sz="8" w:space="0" w:color="auto"/>
              <w:left w:val="single" w:sz="8" w:space="0" w:color="auto"/>
              <w:bottom w:val="single" w:sz="8" w:space="0" w:color="000000"/>
              <w:right w:val="single" w:sz="8" w:space="0" w:color="auto"/>
            </w:tcBorders>
            <w:vAlign w:val="center"/>
            <w:hideMark/>
          </w:tcPr>
          <w:p w14:paraId="499C6501" w14:textId="77777777" w:rsidR="007C6A41" w:rsidRPr="007C6A41" w:rsidRDefault="007C6A41" w:rsidP="007C6A41">
            <w:pPr>
              <w:spacing w:after="0" w:line="240" w:lineRule="auto"/>
              <w:rPr>
                <w:rFonts w:ascii="Arial" w:eastAsia="Times New Roman" w:hAnsi="Arial" w:cs="Arial"/>
                <w:b/>
                <w:bCs/>
                <w:color w:val="000000"/>
                <w:kern w:val="0"/>
                <w:sz w:val="10"/>
                <w:szCs w:val="10"/>
                <w:lang w:eastAsia="pt-BR"/>
                <w14:ligatures w14:val="none"/>
              </w:rPr>
            </w:pPr>
          </w:p>
        </w:tc>
        <w:tc>
          <w:tcPr>
            <w:tcW w:w="444" w:type="pct"/>
            <w:vMerge/>
            <w:tcBorders>
              <w:top w:val="single" w:sz="8" w:space="0" w:color="auto"/>
              <w:left w:val="single" w:sz="8" w:space="0" w:color="auto"/>
              <w:bottom w:val="single" w:sz="8" w:space="0" w:color="000000"/>
              <w:right w:val="single" w:sz="8" w:space="0" w:color="auto"/>
            </w:tcBorders>
            <w:vAlign w:val="center"/>
            <w:hideMark/>
          </w:tcPr>
          <w:p w14:paraId="0FDBBF4B" w14:textId="77777777" w:rsidR="007C6A41" w:rsidRPr="007C6A41" w:rsidRDefault="007C6A41" w:rsidP="007C6A41">
            <w:pPr>
              <w:spacing w:after="0" w:line="240" w:lineRule="auto"/>
              <w:rPr>
                <w:rFonts w:ascii="Arial" w:eastAsia="Times New Roman" w:hAnsi="Arial" w:cs="Arial"/>
                <w:b/>
                <w:bCs/>
                <w:color w:val="000000"/>
                <w:kern w:val="0"/>
                <w:sz w:val="10"/>
                <w:szCs w:val="10"/>
                <w:lang w:eastAsia="pt-BR"/>
                <w14:ligatures w14:val="none"/>
              </w:rPr>
            </w:pPr>
          </w:p>
        </w:tc>
        <w:tc>
          <w:tcPr>
            <w:tcW w:w="444" w:type="pct"/>
            <w:vMerge w:val="restart"/>
            <w:tcBorders>
              <w:top w:val="nil"/>
              <w:left w:val="single" w:sz="8" w:space="0" w:color="auto"/>
              <w:bottom w:val="single" w:sz="8" w:space="0" w:color="000000"/>
              <w:right w:val="single" w:sz="8" w:space="0" w:color="auto"/>
            </w:tcBorders>
            <w:shd w:val="clear" w:color="auto" w:fill="auto"/>
            <w:vAlign w:val="center"/>
            <w:hideMark/>
          </w:tcPr>
          <w:p w14:paraId="7C46513F" w14:textId="77777777" w:rsidR="007C6A41" w:rsidRPr="007C6A41" w:rsidRDefault="007C6A41" w:rsidP="007C6A41">
            <w:pPr>
              <w:spacing w:after="0" w:line="240" w:lineRule="auto"/>
              <w:jc w:val="center"/>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Adições / Retenções</w:t>
            </w:r>
          </w:p>
        </w:tc>
        <w:tc>
          <w:tcPr>
            <w:tcW w:w="444" w:type="pct"/>
            <w:tcBorders>
              <w:top w:val="nil"/>
              <w:left w:val="nil"/>
              <w:bottom w:val="nil"/>
              <w:right w:val="single" w:sz="8" w:space="0" w:color="auto"/>
            </w:tcBorders>
            <w:shd w:val="clear" w:color="auto" w:fill="auto"/>
            <w:vAlign w:val="center"/>
            <w:hideMark/>
          </w:tcPr>
          <w:p w14:paraId="30A7D626" w14:textId="77777777" w:rsidR="007C6A41" w:rsidRPr="007C6A41" w:rsidRDefault="007C6A41" w:rsidP="007C6A41">
            <w:pPr>
              <w:spacing w:after="0" w:line="240" w:lineRule="auto"/>
              <w:jc w:val="center"/>
              <w:rPr>
                <w:rFonts w:ascii="Arial" w:eastAsia="Times New Roman" w:hAnsi="Arial" w:cs="Arial"/>
                <w:b/>
                <w:bCs/>
                <w:color w:val="000000"/>
                <w:kern w:val="0"/>
                <w:sz w:val="10"/>
                <w:szCs w:val="10"/>
                <w:lang w:eastAsia="pt-BR"/>
                <w14:ligatures w14:val="none"/>
              </w:rPr>
            </w:pPr>
            <w:proofErr w:type="spellStart"/>
            <w:r w:rsidRPr="007C6A41">
              <w:rPr>
                <w:rFonts w:ascii="Arial" w:eastAsia="Times New Roman" w:hAnsi="Arial" w:cs="Arial"/>
                <w:b/>
                <w:bCs/>
                <w:color w:val="000000"/>
                <w:kern w:val="0"/>
                <w:sz w:val="10"/>
                <w:szCs w:val="10"/>
                <w:lang w:eastAsia="pt-BR"/>
                <w14:ligatures w14:val="none"/>
              </w:rPr>
              <w:t>Transfe</w:t>
            </w:r>
            <w:proofErr w:type="spellEnd"/>
            <w:r w:rsidRPr="007C6A41">
              <w:rPr>
                <w:rFonts w:ascii="Arial" w:eastAsia="Times New Roman" w:hAnsi="Arial" w:cs="Arial"/>
                <w:b/>
                <w:bCs/>
                <w:color w:val="000000"/>
                <w:kern w:val="0"/>
                <w:sz w:val="10"/>
                <w:szCs w:val="10"/>
                <w:lang w:eastAsia="pt-BR"/>
                <w14:ligatures w14:val="none"/>
              </w:rPr>
              <w:t>-</w:t>
            </w:r>
          </w:p>
        </w:tc>
        <w:tc>
          <w:tcPr>
            <w:tcW w:w="444" w:type="pct"/>
            <w:vMerge w:val="restart"/>
            <w:tcBorders>
              <w:top w:val="nil"/>
              <w:left w:val="single" w:sz="8" w:space="0" w:color="auto"/>
              <w:bottom w:val="single" w:sz="8" w:space="0" w:color="000000"/>
              <w:right w:val="single" w:sz="8" w:space="0" w:color="auto"/>
            </w:tcBorders>
            <w:shd w:val="clear" w:color="auto" w:fill="auto"/>
            <w:vAlign w:val="center"/>
            <w:hideMark/>
          </w:tcPr>
          <w:p w14:paraId="31CF37D0" w14:textId="77777777" w:rsidR="007C6A41" w:rsidRPr="007C6A41" w:rsidRDefault="007C6A41" w:rsidP="007C6A41">
            <w:pPr>
              <w:spacing w:after="0" w:line="240" w:lineRule="auto"/>
              <w:jc w:val="center"/>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Restituições</w:t>
            </w:r>
          </w:p>
        </w:tc>
        <w:tc>
          <w:tcPr>
            <w:tcW w:w="444" w:type="pct"/>
            <w:vMerge w:val="restart"/>
            <w:tcBorders>
              <w:top w:val="nil"/>
              <w:left w:val="single" w:sz="8" w:space="0" w:color="auto"/>
              <w:bottom w:val="single" w:sz="8" w:space="0" w:color="000000"/>
              <w:right w:val="single" w:sz="8" w:space="0" w:color="auto"/>
            </w:tcBorders>
            <w:shd w:val="clear" w:color="auto" w:fill="auto"/>
            <w:vAlign w:val="center"/>
            <w:hideMark/>
          </w:tcPr>
          <w:p w14:paraId="759CEF64" w14:textId="77777777" w:rsidR="007C6A41" w:rsidRPr="007C6A41" w:rsidRDefault="007C6A41" w:rsidP="007C6A41">
            <w:pPr>
              <w:spacing w:after="0" w:line="240" w:lineRule="auto"/>
              <w:jc w:val="center"/>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Pagamentos Antecipados</w:t>
            </w:r>
          </w:p>
        </w:tc>
        <w:tc>
          <w:tcPr>
            <w:tcW w:w="444" w:type="pct"/>
            <w:vMerge w:val="restart"/>
            <w:tcBorders>
              <w:top w:val="nil"/>
              <w:left w:val="single" w:sz="8" w:space="0" w:color="auto"/>
              <w:bottom w:val="single" w:sz="8" w:space="0" w:color="000000"/>
              <w:right w:val="single" w:sz="8" w:space="0" w:color="auto"/>
            </w:tcBorders>
            <w:shd w:val="clear" w:color="auto" w:fill="auto"/>
            <w:vAlign w:val="center"/>
            <w:hideMark/>
          </w:tcPr>
          <w:p w14:paraId="2098BE73" w14:textId="77777777" w:rsidR="007C6A41" w:rsidRPr="007C6A41" w:rsidRDefault="007C6A41" w:rsidP="007C6A41">
            <w:pPr>
              <w:spacing w:after="0" w:line="240" w:lineRule="auto"/>
              <w:jc w:val="center"/>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Compensações de Pagamentos</w:t>
            </w:r>
          </w:p>
        </w:tc>
        <w:tc>
          <w:tcPr>
            <w:tcW w:w="444" w:type="pct"/>
            <w:vMerge w:val="restart"/>
            <w:tcBorders>
              <w:top w:val="nil"/>
              <w:left w:val="single" w:sz="8" w:space="0" w:color="auto"/>
              <w:bottom w:val="single" w:sz="8" w:space="0" w:color="000000"/>
              <w:right w:val="single" w:sz="8" w:space="0" w:color="auto"/>
            </w:tcBorders>
            <w:shd w:val="clear" w:color="auto" w:fill="auto"/>
            <w:vAlign w:val="center"/>
            <w:hideMark/>
          </w:tcPr>
          <w:p w14:paraId="1ECF03A4" w14:textId="77777777" w:rsidR="007C6A41" w:rsidRPr="007C6A41" w:rsidRDefault="007C6A41" w:rsidP="007C6A41">
            <w:pPr>
              <w:spacing w:after="0" w:line="240" w:lineRule="auto"/>
              <w:jc w:val="center"/>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Atualização Monetária</w:t>
            </w:r>
          </w:p>
        </w:tc>
        <w:tc>
          <w:tcPr>
            <w:tcW w:w="444" w:type="pct"/>
            <w:vMerge w:val="restart"/>
            <w:tcBorders>
              <w:top w:val="nil"/>
              <w:left w:val="single" w:sz="8" w:space="0" w:color="auto"/>
              <w:bottom w:val="single" w:sz="8" w:space="0" w:color="000000"/>
              <w:right w:val="single" w:sz="8" w:space="0" w:color="auto"/>
            </w:tcBorders>
            <w:shd w:val="clear" w:color="auto" w:fill="auto"/>
            <w:vAlign w:val="center"/>
            <w:hideMark/>
          </w:tcPr>
          <w:p w14:paraId="06CB7775" w14:textId="77777777" w:rsidR="007C6A41" w:rsidRPr="007C6A41" w:rsidRDefault="007C6A41" w:rsidP="007C6A41">
            <w:pPr>
              <w:spacing w:after="0" w:line="240" w:lineRule="auto"/>
              <w:jc w:val="center"/>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Baixa para Resultado</w:t>
            </w:r>
          </w:p>
        </w:tc>
        <w:tc>
          <w:tcPr>
            <w:tcW w:w="452" w:type="pct"/>
            <w:vMerge/>
            <w:tcBorders>
              <w:top w:val="single" w:sz="8" w:space="0" w:color="auto"/>
              <w:left w:val="nil"/>
              <w:bottom w:val="single" w:sz="8" w:space="0" w:color="000000"/>
              <w:right w:val="single" w:sz="8" w:space="0" w:color="auto"/>
            </w:tcBorders>
            <w:vAlign w:val="center"/>
            <w:hideMark/>
          </w:tcPr>
          <w:p w14:paraId="46B284EB" w14:textId="77777777" w:rsidR="007C6A41" w:rsidRPr="007C6A41" w:rsidRDefault="007C6A41" w:rsidP="007C6A41">
            <w:pPr>
              <w:spacing w:after="0" w:line="240" w:lineRule="auto"/>
              <w:rPr>
                <w:rFonts w:ascii="Arial" w:eastAsia="Times New Roman" w:hAnsi="Arial" w:cs="Arial"/>
                <w:b/>
                <w:bCs/>
                <w:color w:val="000000"/>
                <w:kern w:val="0"/>
                <w:sz w:val="10"/>
                <w:szCs w:val="10"/>
                <w:lang w:eastAsia="pt-BR"/>
                <w14:ligatures w14:val="none"/>
              </w:rPr>
            </w:pPr>
          </w:p>
        </w:tc>
      </w:tr>
      <w:tr w:rsidR="007C6A41" w:rsidRPr="007C6A41" w14:paraId="2D8B7FA4" w14:textId="77777777" w:rsidTr="00446A14">
        <w:trPr>
          <w:trHeight w:val="238"/>
          <w:tblHeader/>
        </w:trPr>
        <w:tc>
          <w:tcPr>
            <w:tcW w:w="996" w:type="pct"/>
            <w:vMerge/>
            <w:tcBorders>
              <w:top w:val="single" w:sz="8" w:space="0" w:color="auto"/>
              <w:left w:val="single" w:sz="8" w:space="0" w:color="auto"/>
              <w:bottom w:val="single" w:sz="8" w:space="0" w:color="000000"/>
              <w:right w:val="single" w:sz="8" w:space="0" w:color="auto"/>
            </w:tcBorders>
            <w:vAlign w:val="center"/>
            <w:hideMark/>
          </w:tcPr>
          <w:p w14:paraId="6539369C" w14:textId="77777777" w:rsidR="007C6A41" w:rsidRPr="007C6A41" w:rsidRDefault="007C6A41" w:rsidP="007C6A41">
            <w:pPr>
              <w:spacing w:after="0" w:line="240" w:lineRule="auto"/>
              <w:rPr>
                <w:rFonts w:ascii="Arial" w:eastAsia="Times New Roman" w:hAnsi="Arial" w:cs="Arial"/>
                <w:b/>
                <w:bCs/>
                <w:color w:val="000000"/>
                <w:kern w:val="0"/>
                <w:sz w:val="10"/>
                <w:szCs w:val="10"/>
                <w:lang w:eastAsia="pt-BR"/>
                <w14:ligatures w14:val="none"/>
              </w:rPr>
            </w:pPr>
          </w:p>
        </w:tc>
        <w:tc>
          <w:tcPr>
            <w:tcW w:w="444" w:type="pct"/>
            <w:vMerge/>
            <w:tcBorders>
              <w:top w:val="single" w:sz="8" w:space="0" w:color="auto"/>
              <w:left w:val="single" w:sz="8" w:space="0" w:color="auto"/>
              <w:bottom w:val="single" w:sz="8" w:space="0" w:color="000000"/>
              <w:right w:val="single" w:sz="8" w:space="0" w:color="auto"/>
            </w:tcBorders>
            <w:vAlign w:val="center"/>
            <w:hideMark/>
          </w:tcPr>
          <w:p w14:paraId="5EF0EC37" w14:textId="77777777" w:rsidR="007C6A41" w:rsidRPr="007C6A41" w:rsidRDefault="007C6A41" w:rsidP="007C6A41">
            <w:pPr>
              <w:spacing w:after="0" w:line="240" w:lineRule="auto"/>
              <w:rPr>
                <w:rFonts w:ascii="Arial" w:eastAsia="Times New Roman" w:hAnsi="Arial" w:cs="Arial"/>
                <w:b/>
                <w:bCs/>
                <w:color w:val="000000"/>
                <w:kern w:val="0"/>
                <w:sz w:val="10"/>
                <w:szCs w:val="10"/>
                <w:lang w:eastAsia="pt-BR"/>
                <w14:ligatures w14:val="none"/>
              </w:rPr>
            </w:pPr>
          </w:p>
        </w:tc>
        <w:tc>
          <w:tcPr>
            <w:tcW w:w="444" w:type="pct"/>
            <w:vMerge/>
            <w:tcBorders>
              <w:top w:val="nil"/>
              <w:left w:val="single" w:sz="8" w:space="0" w:color="auto"/>
              <w:bottom w:val="single" w:sz="8" w:space="0" w:color="000000"/>
              <w:right w:val="single" w:sz="8" w:space="0" w:color="auto"/>
            </w:tcBorders>
            <w:vAlign w:val="center"/>
            <w:hideMark/>
          </w:tcPr>
          <w:p w14:paraId="5BA2E93F" w14:textId="77777777" w:rsidR="007C6A41" w:rsidRPr="007C6A41" w:rsidRDefault="007C6A41" w:rsidP="007C6A41">
            <w:pPr>
              <w:spacing w:after="0" w:line="240" w:lineRule="auto"/>
              <w:rPr>
                <w:rFonts w:ascii="Arial" w:eastAsia="Times New Roman" w:hAnsi="Arial" w:cs="Arial"/>
                <w:b/>
                <w:bCs/>
                <w:color w:val="000000"/>
                <w:kern w:val="0"/>
                <w:sz w:val="10"/>
                <w:szCs w:val="10"/>
                <w:lang w:eastAsia="pt-BR"/>
                <w14:ligatures w14:val="none"/>
              </w:rPr>
            </w:pPr>
          </w:p>
        </w:tc>
        <w:tc>
          <w:tcPr>
            <w:tcW w:w="444" w:type="pct"/>
            <w:tcBorders>
              <w:top w:val="nil"/>
              <w:left w:val="nil"/>
              <w:bottom w:val="single" w:sz="8" w:space="0" w:color="000000"/>
              <w:right w:val="single" w:sz="8" w:space="0" w:color="auto"/>
            </w:tcBorders>
            <w:shd w:val="clear" w:color="auto" w:fill="auto"/>
            <w:vAlign w:val="center"/>
            <w:hideMark/>
          </w:tcPr>
          <w:p w14:paraId="13DB0BFA" w14:textId="77777777" w:rsidR="007C6A41" w:rsidRPr="007C6A41" w:rsidRDefault="007C6A41" w:rsidP="007C6A41">
            <w:pPr>
              <w:spacing w:after="0" w:line="240" w:lineRule="auto"/>
              <w:jc w:val="center"/>
              <w:rPr>
                <w:rFonts w:ascii="Arial" w:eastAsia="Times New Roman" w:hAnsi="Arial" w:cs="Arial"/>
                <w:b/>
                <w:bCs/>
                <w:color w:val="000000"/>
                <w:kern w:val="0"/>
                <w:sz w:val="10"/>
                <w:szCs w:val="10"/>
                <w:lang w:eastAsia="pt-BR"/>
                <w14:ligatures w14:val="none"/>
              </w:rPr>
            </w:pPr>
            <w:proofErr w:type="spellStart"/>
            <w:r w:rsidRPr="007C6A41">
              <w:rPr>
                <w:rFonts w:ascii="Arial" w:eastAsia="Times New Roman" w:hAnsi="Arial" w:cs="Arial"/>
                <w:b/>
                <w:bCs/>
                <w:color w:val="000000"/>
                <w:kern w:val="0"/>
                <w:sz w:val="10"/>
                <w:szCs w:val="10"/>
                <w:lang w:eastAsia="pt-BR"/>
                <w14:ligatures w14:val="none"/>
              </w:rPr>
              <w:t>rências</w:t>
            </w:r>
            <w:proofErr w:type="spellEnd"/>
          </w:p>
        </w:tc>
        <w:tc>
          <w:tcPr>
            <w:tcW w:w="444" w:type="pct"/>
            <w:vMerge/>
            <w:tcBorders>
              <w:top w:val="nil"/>
              <w:left w:val="single" w:sz="8" w:space="0" w:color="auto"/>
              <w:bottom w:val="single" w:sz="8" w:space="0" w:color="000000"/>
              <w:right w:val="single" w:sz="8" w:space="0" w:color="auto"/>
            </w:tcBorders>
            <w:vAlign w:val="center"/>
            <w:hideMark/>
          </w:tcPr>
          <w:p w14:paraId="5567337C" w14:textId="77777777" w:rsidR="007C6A41" w:rsidRPr="007C6A41" w:rsidRDefault="007C6A41" w:rsidP="007C6A41">
            <w:pPr>
              <w:spacing w:after="0" w:line="240" w:lineRule="auto"/>
              <w:rPr>
                <w:rFonts w:ascii="Arial" w:eastAsia="Times New Roman" w:hAnsi="Arial" w:cs="Arial"/>
                <w:b/>
                <w:bCs/>
                <w:color w:val="000000"/>
                <w:kern w:val="0"/>
                <w:sz w:val="10"/>
                <w:szCs w:val="10"/>
                <w:lang w:eastAsia="pt-BR"/>
                <w14:ligatures w14:val="none"/>
              </w:rPr>
            </w:pPr>
          </w:p>
        </w:tc>
        <w:tc>
          <w:tcPr>
            <w:tcW w:w="444" w:type="pct"/>
            <w:vMerge/>
            <w:tcBorders>
              <w:top w:val="nil"/>
              <w:left w:val="single" w:sz="8" w:space="0" w:color="auto"/>
              <w:bottom w:val="single" w:sz="8" w:space="0" w:color="000000"/>
              <w:right w:val="single" w:sz="8" w:space="0" w:color="auto"/>
            </w:tcBorders>
            <w:vAlign w:val="center"/>
            <w:hideMark/>
          </w:tcPr>
          <w:p w14:paraId="732F08B1" w14:textId="77777777" w:rsidR="007C6A41" w:rsidRPr="007C6A41" w:rsidRDefault="007C6A41" w:rsidP="007C6A41">
            <w:pPr>
              <w:spacing w:after="0" w:line="240" w:lineRule="auto"/>
              <w:rPr>
                <w:rFonts w:ascii="Arial" w:eastAsia="Times New Roman" w:hAnsi="Arial" w:cs="Arial"/>
                <w:b/>
                <w:bCs/>
                <w:color w:val="000000"/>
                <w:kern w:val="0"/>
                <w:sz w:val="10"/>
                <w:szCs w:val="10"/>
                <w:lang w:eastAsia="pt-BR"/>
                <w14:ligatures w14:val="none"/>
              </w:rPr>
            </w:pPr>
          </w:p>
        </w:tc>
        <w:tc>
          <w:tcPr>
            <w:tcW w:w="444" w:type="pct"/>
            <w:vMerge/>
            <w:tcBorders>
              <w:top w:val="nil"/>
              <w:left w:val="single" w:sz="8" w:space="0" w:color="auto"/>
              <w:bottom w:val="single" w:sz="8" w:space="0" w:color="000000"/>
              <w:right w:val="single" w:sz="8" w:space="0" w:color="auto"/>
            </w:tcBorders>
            <w:vAlign w:val="center"/>
            <w:hideMark/>
          </w:tcPr>
          <w:p w14:paraId="6E6D56AC" w14:textId="77777777" w:rsidR="007C6A41" w:rsidRPr="007C6A41" w:rsidRDefault="007C6A41" w:rsidP="007C6A41">
            <w:pPr>
              <w:spacing w:after="0" w:line="240" w:lineRule="auto"/>
              <w:rPr>
                <w:rFonts w:ascii="Arial" w:eastAsia="Times New Roman" w:hAnsi="Arial" w:cs="Arial"/>
                <w:b/>
                <w:bCs/>
                <w:color w:val="000000"/>
                <w:kern w:val="0"/>
                <w:sz w:val="10"/>
                <w:szCs w:val="10"/>
                <w:lang w:eastAsia="pt-BR"/>
                <w14:ligatures w14:val="none"/>
              </w:rPr>
            </w:pPr>
          </w:p>
        </w:tc>
        <w:tc>
          <w:tcPr>
            <w:tcW w:w="444" w:type="pct"/>
            <w:vMerge/>
            <w:tcBorders>
              <w:top w:val="nil"/>
              <w:left w:val="single" w:sz="8" w:space="0" w:color="auto"/>
              <w:bottom w:val="single" w:sz="8" w:space="0" w:color="000000"/>
              <w:right w:val="single" w:sz="8" w:space="0" w:color="auto"/>
            </w:tcBorders>
            <w:vAlign w:val="center"/>
            <w:hideMark/>
          </w:tcPr>
          <w:p w14:paraId="73A305BC" w14:textId="77777777" w:rsidR="007C6A41" w:rsidRPr="007C6A41" w:rsidRDefault="007C6A41" w:rsidP="007C6A41">
            <w:pPr>
              <w:spacing w:after="0" w:line="240" w:lineRule="auto"/>
              <w:rPr>
                <w:rFonts w:ascii="Arial" w:eastAsia="Times New Roman" w:hAnsi="Arial" w:cs="Arial"/>
                <w:b/>
                <w:bCs/>
                <w:color w:val="000000"/>
                <w:kern w:val="0"/>
                <w:sz w:val="10"/>
                <w:szCs w:val="10"/>
                <w:lang w:eastAsia="pt-BR"/>
                <w14:ligatures w14:val="none"/>
              </w:rPr>
            </w:pPr>
          </w:p>
        </w:tc>
        <w:tc>
          <w:tcPr>
            <w:tcW w:w="444" w:type="pct"/>
            <w:vMerge/>
            <w:tcBorders>
              <w:top w:val="nil"/>
              <w:left w:val="single" w:sz="8" w:space="0" w:color="auto"/>
              <w:bottom w:val="single" w:sz="8" w:space="0" w:color="000000"/>
              <w:right w:val="single" w:sz="8" w:space="0" w:color="auto"/>
            </w:tcBorders>
            <w:vAlign w:val="center"/>
            <w:hideMark/>
          </w:tcPr>
          <w:p w14:paraId="501FE3E0" w14:textId="77777777" w:rsidR="007C6A41" w:rsidRPr="007C6A41" w:rsidRDefault="007C6A41" w:rsidP="007C6A41">
            <w:pPr>
              <w:spacing w:after="0" w:line="240" w:lineRule="auto"/>
              <w:rPr>
                <w:rFonts w:ascii="Arial" w:eastAsia="Times New Roman" w:hAnsi="Arial" w:cs="Arial"/>
                <w:b/>
                <w:bCs/>
                <w:color w:val="000000"/>
                <w:kern w:val="0"/>
                <w:sz w:val="10"/>
                <w:szCs w:val="10"/>
                <w:lang w:eastAsia="pt-BR"/>
                <w14:ligatures w14:val="none"/>
              </w:rPr>
            </w:pPr>
          </w:p>
        </w:tc>
        <w:tc>
          <w:tcPr>
            <w:tcW w:w="452" w:type="pct"/>
            <w:vMerge/>
            <w:tcBorders>
              <w:top w:val="single" w:sz="8" w:space="0" w:color="auto"/>
              <w:left w:val="nil"/>
              <w:bottom w:val="single" w:sz="8" w:space="0" w:color="000000"/>
              <w:right w:val="single" w:sz="8" w:space="0" w:color="auto"/>
            </w:tcBorders>
            <w:vAlign w:val="center"/>
            <w:hideMark/>
          </w:tcPr>
          <w:p w14:paraId="7275D579" w14:textId="77777777" w:rsidR="007C6A41" w:rsidRPr="007C6A41" w:rsidRDefault="007C6A41" w:rsidP="007C6A41">
            <w:pPr>
              <w:spacing w:after="0" w:line="240" w:lineRule="auto"/>
              <w:rPr>
                <w:rFonts w:ascii="Arial" w:eastAsia="Times New Roman" w:hAnsi="Arial" w:cs="Arial"/>
                <w:b/>
                <w:bCs/>
                <w:color w:val="000000"/>
                <w:kern w:val="0"/>
                <w:sz w:val="10"/>
                <w:szCs w:val="10"/>
                <w:lang w:eastAsia="pt-BR"/>
                <w14:ligatures w14:val="none"/>
              </w:rPr>
            </w:pPr>
          </w:p>
        </w:tc>
      </w:tr>
      <w:tr w:rsidR="007C6A41" w:rsidRPr="007C6A41" w14:paraId="4CE504C8" w14:textId="77777777" w:rsidTr="00446A14">
        <w:trPr>
          <w:trHeight w:val="238"/>
        </w:trPr>
        <w:tc>
          <w:tcPr>
            <w:tcW w:w="996" w:type="pct"/>
            <w:tcBorders>
              <w:top w:val="nil"/>
              <w:left w:val="single" w:sz="8" w:space="0" w:color="auto"/>
              <w:bottom w:val="single" w:sz="8" w:space="0" w:color="auto"/>
              <w:right w:val="single" w:sz="8" w:space="0" w:color="auto"/>
            </w:tcBorders>
            <w:shd w:val="clear" w:color="auto" w:fill="auto"/>
            <w:noWrap/>
            <w:vAlign w:val="center"/>
            <w:hideMark/>
          </w:tcPr>
          <w:p w14:paraId="5BAC73A5" w14:textId="77777777" w:rsidR="007C6A41" w:rsidRPr="007C6A41" w:rsidRDefault="007C6A41" w:rsidP="007C6A41">
            <w:pPr>
              <w:spacing w:after="0" w:line="240" w:lineRule="auto"/>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Pagamento a maior ou Indevido</w:t>
            </w:r>
          </w:p>
        </w:tc>
        <w:tc>
          <w:tcPr>
            <w:tcW w:w="444" w:type="pct"/>
            <w:tcBorders>
              <w:top w:val="nil"/>
              <w:left w:val="nil"/>
              <w:bottom w:val="single" w:sz="8" w:space="0" w:color="auto"/>
              <w:right w:val="single" w:sz="8" w:space="0" w:color="auto"/>
            </w:tcBorders>
            <w:shd w:val="clear" w:color="auto" w:fill="auto"/>
            <w:noWrap/>
            <w:vAlign w:val="center"/>
            <w:hideMark/>
          </w:tcPr>
          <w:p w14:paraId="01DD5C35"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9</w:t>
            </w:r>
          </w:p>
        </w:tc>
        <w:tc>
          <w:tcPr>
            <w:tcW w:w="444" w:type="pct"/>
            <w:tcBorders>
              <w:top w:val="nil"/>
              <w:left w:val="nil"/>
              <w:bottom w:val="single" w:sz="8" w:space="0" w:color="auto"/>
              <w:right w:val="single" w:sz="8" w:space="0" w:color="auto"/>
            </w:tcBorders>
            <w:shd w:val="clear" w:color="auto" w:fill="auto"/>
            <w:noWrap/>
            <w:vAlign w:val="center"/>
            <w:hideMark/>
          </w:tcPr>
          <w:p w14:paraId="242719DF"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0B1857D5"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3FEE4C5D"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33F4584A"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3FEBD3D1"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(1)</w:t>
            </w:r>
          </w:p>
        </w:tc>
        <w:tc>
          <w:tcPr>
            <w:tcW w:w="444" w:type="pct"/>
            <w:tcBorders>
              <w:top w:val="nil"/>
              <w:left w:val="nil"/>
              <w:bottom w:val="single" w:sz="8" w:space="0" w:color="auto"/>
              <w:right w:val="single" w:sz="8" w:space="0" w:color="auto"/>
            </w:tcBorders>
            <w:shd w:val="clear" w:color="auto" w:fill="auto"/>
            <w:noWrap/>
            <w:vAlign w:val="center"/>
            <w:hideMark/>
          </w:tcPr>
          <w:p w14:paraId="5529D6F6"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1</w:t>
            </w:r>
          </w:p>
        </w:tc>
        <w:tc>
          <w:tcPr>
            <w:tcW w:w="444" w:type="pct"/>
            <w:tcBorders>
              <w:top w:val="nil"/>
              <w:left w:val="nil"/>
              <w:bottom w:val="single" w:sz="8" w:space="0" w:color="auto"/>
              <w:right w:val="single" w:sz="8" w:space="0" w:color="auto"/>
            </w:tcBorders>
            <w:shd w:val="clear" w:color="auto" w:fill="auto"/>
            <w:noWrap/>
            <w:vAlign w:val="center"/>
            <w:hideMark/>
          </w:tcPr>
          <w:p w14:paraId="412873A2"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52" w:type="pct"/>
            <w:tcBorders>
              <w:top w:val="nil"/>
              <w:left w:val="nil"/>
              <w:bottom w:val="single" w:sz="8" w:space="0" w:color="auto"/>
              <w:right w:val="single" w:sz="8" w:space="0" w:color="auto"/>
            </w:tcBorders>
            <w:shd w:val="clear" w:color="auto" w:fill="auto"/>
            <w:noWrap/>
            <w:vAlign w:val="center"/>
            <w:hideMark/>
          </w:tcPr>
          <w:p w14:paraId="47E8E6A4"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9</w:t>
            </w:r>
          </w:p>
        </w:tc>
      </w:tr>
      <w:tr w:rsidR="007C6A41" w:rsidRPr="007C6A41" w14:paraId="5E81A261" w14:textId="77777777" w:rsidTr="00446A14">
        <w:trPr>
          <w:trHeight w:val="238"/>
        </w:trPr>
        <w:tc>
          <w:tcPr>
            <w:tcW w:w="996" w:type="pct"/>
            <w:tcBorders>
              <w:top w:val="nil"/>
              <w:left w:val="single" w:sz="8" w:space="0" w:color="auto"/>
              <w:bottom w:val="single" w:sz="8" w:space="0" w:color="auto"/>
              <w:right w:val="single" w:sz="8" w:space="0" w:color="auto"/>
            </w:tcBorders>
            <w:shd w:val="clear" w:color="auto" w:fill="auto"/>
            <w:noWrap/>
            <w:vAlign w:val="center"/>
            <w:hideMark/>
          </w:tcPr>
          <w:p w14:paraId="08F55962" w14:textId="77777777" w:rsidR="007C6A41" w:rsidRPr="007C6A41" w:rsidRDefault="007C6A41" w:rsidP="007C6A41">
            <w:pPr>
              <w:spacing w:after="0" w:line="240" w:lineRule="auto"/>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Retenções de Órgãos Públicos</w:t>
            </w:r>
          </w:p>
        </w:tc>
        <w:tc>
          <w:tcPr>
            <w:tcW w:w="444" w:type="pct"/>
            <w:tcBorders>
              <w:top w:val="nil"/>
              <w:left w:val="nil"/>
              <w:bottom w:val="single" w:sz="8" w:space="0" w:color="auto"/>
              <w:right w:val="single" w:sz="8" w:space="0" w:color="auto"/>
            </w:tcBorders>
            <w:shd w:val="clear" w:color="auto" w:fill="auto"/>
            <w:noWrap/>
            <w:vAlign w:val="center"/>
            <w:hideMark/>
          </w:tcPr>
          <w:p w14:paraId="4772A738"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12.346</w:t>
            </w:r>
          </w:p>
        </w:tc>
        <w:tc>
          <w:tcPr>
            <w:tcW w:w="444" w:type="pct"/>
            <w:tcBorders>
              <w:top w:val="nil"/>
              <w:left w:val="nil"/>
              <w:bottom w:val="single" w:sz="8" w:space="0" w:color="auto"/>
              <w:right w:val="single" w:sz="8" w:space="0" w:color="auto"/>
            </w:tcBorders>
            <w:shd w:val="clear" w:color="auto" w:fill="auto"/>
            <w:noWrap/>
            <w:vAlign w:val="center"/>
            <w:hideMark/>
          </w:tcPr>
          <w:p w14:paraId="1485E60A"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10.919</w:t>
            </w:r>
          </w:p>
        </w:tc>
        <w:tc>
          <w:tcPr>
            <w:tcW w:w="444" w:type="pct"/>
            <w:tcBorders>
              <w:top w:val="nil"/>
              <w:left w:val="nil"/>
              <w:bottom w:val="single" w:sz="8" w:space="0" w:color="auto"/>
              <w:right w:val="single" w:sz="8" w:space="0" w:color="auto"/>
            </w:tcBorders>
            <w:shd w:val="clear" w:color="auto" w:fill="auto"/>
            <w:noWrap/>
            <w:vAlign w:val="center"/>
            <w:hideMark/>
          </w:tcPr>
          <w:p w14:paraId="6FD6C72D"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(12.347)</w:t>
            </w:r>
          </w:p>
        </w:tc>
        <w:tc>
          <w:tcPr>
            <w:tcW w:w="444" w:type="pct"/>
            <w:tcBorders>
              <w:top w:val="nil"/>
              <w:left w:val="nil"/>
              <w:bottom w:val="single" w:sz="8" w:space="0" w:color="auto"/>
              <w:right w:val="single" w:sz="8" w:space="0" w:color="auto"/>
            </w:tcBorders>
            <w:shd w:val="clear" w:color="auto" w:fill="auto"/>
            <w:noWrap/>
            <w:vAlign w:val="center"/>
            <w:hideMark/>
          </w:tcPr>
          <w:p w14:paraId="1DA3F65F"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362F5914"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51792171"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2F04C956"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65ACC78D"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52" w:type="pct"/>
            <w:tcBorders>
              <w:top w:val="nil"/>
              <w:left w:val="nil"/>
              <w:bottom w:val="single" w:sz="8" w:space="0" w:color="auto"/>
              <w:right w:val="single" w:sz="8" w:space="0" w:color="auto"/>
            </w:tcBorders>
            <w:shd w:val="clear" w:color="auto" w:fill="auto"/>
            <w:noWrap/>
            <w:vAlign w:val="center"/>
            <w:hideMark/>
          </w:tcPr>
          <w:p w14:paraId="307047DC"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10.918</w:t>
            </w:r>
          </w:p>
        </w:tc>
      </w:tr>
      <w:tr w:rsidR="007C6A41" w:rsidRPr="007C6A41" w14:paraId="138F3734" w14:textId="77777777" w:rsidTr="00446A14">
        <w:trPr>
          <w:trHeight w:val="238"/>
        </w:trPr>
        <w:tc>
          <w:tcPr>
            <w:tcW w:w="996" w:type="pct"/>
            <w:tcBorders>
              <w:top w:val="nil"/>
              <w:left w:val="single" w:sz="8" w:space="0" w:color="auto"/>
              <w:bottom w:val="single" w:sz="8" w:space="0" w:color="auto"/>
              <w:right w:val="single" w:sz="8" w:space="0" w:color="auto"/>
            </w:tcBorders>
            <w:shd w:val="clear" w:color="auto" w:fill="auto"/>
            <w:noWrap/>
            <w:vAlign w:val="center"/>
            <w:hideMark/>
          </w:tcPr>
          <w:p w14:paraId="2E3F4CD0" w14:textId="77777777" w:rsidR="007C6A41" w:rsidRPr="007C6A41" w:rsidRDefault="007C6A41" w:rsidP="007C6A41">
            <w:pPr>
              <w:spacing w:after="0" w:line="240" w:lineRule="auto"/>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Pagamento de IRPJ - Estimativa</w:t>
            </w:r>
          </w:p>
        </w:tc>
        <w:tc>
          <w:tcPr>
            <w:tcW w:w="444" w:type="pct"/>
            <w:tcBorders>
              <w:top w:val="nil"/>
              <w:left w:val="nil"/>
              <w:bottom w:val="single" w:sz="8" w:space="0" w:color="auto"/>
              <w:right w:val="single" w:sz="8" w:space="0" w:color="auto"/>
            </w:tcBorders>
            <w:shd w:val="clear" w:color="auto" w:fill="auto"/>
            <w:noWrap/>
            <w:vAlign w:val="center"/>
            <w:hideMark/>
          </w:tcPr>
          <w:p w14:paraId="4D729EC7"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4142229E"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4.422</w:t>
            </w:r>
          </w:p>
        </w:tc>
        <w:tc>
          <w:tcPr>
            <w:tcW w:w="444" w:type="pct"/>
            <w:tcBorders>
              <w:top w:val="nil"/>
              <w:left w:val="nil"/>
              <w:bottom w:val="single" w:sz="8" w:space="0" w:color="auto"/>
              <w:right w:val="single" w:sz="8" w:space="0" w:color="auto"/>
            </w:tcBorders>
            <w:shd w:val="clear" w:color="auto" w:fill="auto"/>
            <w:noWrap/>
            <w:vAlign w:val="center"/>
            <w:hideMark/>
          </w:tcPr>
          <w:p w14:paraId="2136D793"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4FF8E384"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1A3D12E0"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3409DFA3"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79D535E5"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03818F8D"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52" w:type="pct"/>
            <w:tcBorders>
              <w:top w:val="nil"/>
              <w:left w:val="nil"/>
              <w:bottom w:val="single" w:sz="8" w:space="0" w:color="auto"/>
              <w:right w:val="single" w:sz="8" w:space="0" w:color="auto"/>
            </w:tcBorders>
            <w:shd w:val="clear" w:color="auto" w:fill="auto"/>
            <w:noWrap/>
            <w:vAlign w:val="center"/>
            <w:hideMark/>
          </w:tcPr>
          <w:p w14:paraId="1C6CC35B"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4.422</w:t>
            </w:r>
          </w:p>
        </w:tc>
      </w:tr>
      <w:tr w:rsidR="007C6A41" w:rsidRPr="007C6A41" w14:paraId="3C5708AD" w14:textId="77777777" w:rsidTr="00446A14">
        <w:trPr>
          <w:trHeight w:val="238"/>
        </w:trPr>
        <w:tc>
          <w:tcPr>
            <w:tcW w:w="996" w:type="pct"/>
            <w:tcBorders>
              <w:top w:val="nil"/>
              <w:left w:val="single" w:sz="8" w:space="0" w:color="auto"/>
              <w:bottom w:val="single" w:sz="8" w:space="0" w:color="auto"/>
              <w:right w:val="single" w:sz="8" w:space="0" w:color="auto"/>
            </w:tcBorders>
            <w:shd w:val="clear" w:color="auto" w:fill="auto"/>
            <w:noWrap/>
            <w:vAlign w:val="center"/>
            <w:hideMark/>
          </w:tcPr>
          <w:p w14:paraId="784581C1" w14:textId="77777777" w:rsidR="007C6A41" w:rsidRPr="007C6A41" w:rsidRDefault="007C6A41" w:rsidP="007C6A41">
            <w:pPr>
              <w:spacing w:after="0" w:line="240" w:lineRule="auto"/>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Retenções sobre Rendimentos de Aplicações Financeiras</w:t>
            </w:r>
          </w:p>
        </w:tc>
        <w:tc>
          <w:tcPr>
            <w:tcW w:w="444" w:type="pct"/>
            <w:tcBorders>
              <w:top w:val="nil"/>
              <w:left w:val="nil"/>
              <w:bottom w:val="single" w:sz="8" w:space="0" w:color="auto"/>
              <w:right w:val="single" w:sz="8" w:space="0" w:color="auto"/>
            </w:tcBorders>
            <w:shd w:val="clear" w:color="auto" w:fill="auto"/>
            <w:noWrap/>
            <w:vAlign w:val="center"/>
            <w:hideMark/>
          </w:tcPr>
          <w:p w14:paraId="1D8FCE57"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23.534</w:t>
            </w:r>
          </w:p>
        </w:tc>
        <w:tc>
          <w:tcPr>
            <w:tcW w:w="444" w:type="pct"/>
            <w:tcBorders>
              <w:top w:val="nil"/>
              <w:left w:val="nil"/>
              <w:bottom w:val="single" w:sz="8" w:space="0" w:color="auto"/>
              <w:right w:val="single" w:sz="8" w:space="0" w:color="auto"/>
            </w:tcBorders>
            <w:shd w:val="clear" w:color="auto" w:fill="auto"/>
            <w:noWrap/>
            <w:vAlign w:val="center"/>
            <w:hideMark/>
          </w:tcPr>
          <w:p w14:paraId="30EB9195"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30.394</w:t>
            </w:r>
          </w:p>
        </w:tc>
        <w:tc>
          <w:tcPr>
            <w:tcW w:w="444" w:type="pct"/>
            <w:tcBorders>
              <w:top w:val="nil"/>
              <w:left w:val="nil"/>
              <w:bottom w:val="single" w:sz="8" w:space="0" w:color="auto"/>
              <w:right w:val="single" w:sz="8" w:space="0" w:color="auto"/>
            </w:tcBorders>
            <w:shd w:val="clear" w:color="auto" w:fill="auto"/>
            <w:noWrap/>
            <w:vAlign w:val="center"/>
            <w:hideMark/>
          </w:tcPr>
          <w:p w14:paraId="583CE0E3"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(20.504)</w:t>
            </w:r>
          </w:p>
        </w:tc>
        <w:tc>
          <w:tcPr>
            <w:tcW w:w="444" w:type="pct"/>
            <w:tcBorders>
              <w:top w:val="nil"/>
              <w:left w:val="nil"/>
              <w:bottom w:val="single" w:sz="8" w:space="0" w:color="auto"/>
              <w:right w:val="single" w:sz="8" w:space="0" w:color="auto"/>
            </w:tcBorders>
            <w:shd w:val="clear" w:color="auto" w:fill="auto"/>
            <w:noWrap/>
            <w:vAlign w:val="center"/>
            <w:hideMark/>
          </w:tcPr>
          <w:p w14:paraId="328C438D"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4A083EF4"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39640277"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4CBF5151"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629F7235"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52" w:type="pct"/>
            <w:tcBorders>
              <w:top w:val="nil"/>
              <w:left w:val="nil"/>
              <w:bottom w:val="single" w:sz="8" w:space="0" w:color="auto"/>
              <w:right w:val="single" w:sz="8" w:space="0" w:color="auto"/>
            </w:tcBorders>
            <w:shd w:val="clear" w:color="auto" w:fill="auto"/>
            <w:noWrap/>
            <w:vAlign w:val="center"/>
            <w:hideMark/>
          </w:tcPr>
          <w:p w14:paraId="19ED36AB"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33.424</w:t>
            </w:r>
          </w:p>
        </w:tc>
      </w:tr>
      <w:tr w:rsidR="007C6A41" w:rsidRPr="007C6A41" w14:paraId="023244FC" w14:textId="77777777" w:rsidTr="00446A14">
        <w:trPr>
          <w:trHeight w:val="238"/>
        </w:trPr>
        <w:tc>
          <w:tcPr>
            <w:tcW w:w="996" w:type="pct"/>
            <w:tcBorders>
              <w:top w:val="nil"/>
              <w:left w:val="single" w:sz="8" w:space="0" w:color="auto"/>
              <w:bottom w:val="single" w:sz="8" w:space="0" w:color="auto"/>
              <w:right w:val="single" w:sz="8" w:space="0" w:color="auto"/>
            </w:tcBorders>
            <w:shd w:val="clear" w:color="auto" w:fill="auto"/>
            <w:noWrap/>
            <w:vAlign w:val="center"/>
            <w:hideMark/>
          </w:tcPr>
          <w:p w14:paraId="71F4A46B" w14:textId="77777777" w:rsidR="007C6A41" w:rsidRPr="007C6A41" w:rsidRDefault="007C6A41" w:rsidP="007C6A41">
            <w:pPr>
              <w:spacing w:after="0" w:line="240" w:lineRule="auto"/>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Saldo Negativo a Compensar/Restituir</w:t>
            </w:r>
          </w:p>
        </w:tc>
        <w:tc>
          <w:tcPr>
            <w:tcW w:w="444" w:type="pct"/>
            <w:tcBorders>
              <w:top w:val="nil"/>
              <w:left w:val="nil"/>
              <w:bottom w:val="single" w:sz="8" w:space="0" w:color="auto"/>
              <w:right w:val="single" w:sz="8" w:space="0" w:color="auto"/>
            </w:tcBorders>
            <w:shd w:val="clear" w:color="auto" w:fill="auto"/>
            <w:noWrap/>
            <w:vAlign w:val="center"/>
            <w:hideMark/>
          </w:tcPr>
          <w:p w14:paraId="51549954"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30.411</w:t>
            </w:r>
          </w:p>
        </w:tc>
        <w:tc>
          <w:tcPr>
            <w:tcW w:w="444" w:type="pct"/>
            <w:tcBorders>
              <w:top w:val="nil"/>
              <w:left w:val="nil"/>
              <w:bottom w:val="single" w:sz="8" w:space="0" w:color="auto"/>
              <w:right w:val="single" w:sz="8" w:space="0" w:color="auto"/>
            </w:tcBorders>
            <w:shd w:val="clear" w:color="auto" w:fill="auto"/>
            <w:noWrap/>
            <w:vAlign w:val="center"/>
            <w:hideMark/>
          </w:tcPr>
          <w:p w14:paraId="358AFA1E"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49</w:t>
            </w:r>
          </w:p>
        </w:tc>
        <w:tc>
          <w:tcPr>
            <w:tcW w:w="444" w:type="pct"/>
            <w:tcBorders>
              <w:top w:val="nil"/>
              <w:left w:val="nil"/>
              <w:bottom w:val="single" w:sz="8" w:space="0" w:color="auto"/>
              <w:right w:val="single" w:sz="8" w:space="0" w:color="auto"/>
            </w:tcBorders>
            <w:shd w:val="clear" w:color="auto" w:fill="auto"/>
            <w:noWrap/>
            <w:vAlign w:val="center"/>
            <w:hideMark/>
          </w:tcPr>
          <w:p w14:paraId="2FAA1921"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32.851</w:t>
            </w:r>
          </w:p>
        </w:tc>
        <w:tc>
          <w:tcPr>
            <w:tcW w:w="444" w:type="pct"/>
            <w:tcBorders>
              <w:top w:val="nil"/>
              <w:left w:val="nil"/>
              <w:bottom w:val="single" w:sz="8" w:space="0" w:color="auto"/>
              <w:right w:val="single" w:sz="8" w:space="0" w:color="auto"/>
            </w:tcBorders>
            <w:shd w:val="clear" w:color="auto" w:fill="auto"/>
            <w:noWrap/>
            <w:vAlign w:val="center"/>
            <w:hideMark/>
          </w:tcPr>
          <w:p w14:paraId="2B92E4BA"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(23.415)</w:t>
            </w:r>
          </w:p>
        </w:tc>
        <w:tc>
          <w:tcPr>
            <w:tcW w:w="444" w:type="pct"/>
            <w:tcBorders>
              <w:top w:val="nil"/>
              <w:left w:val="nil"/>
              <w:bottom w:val="single" w:sz="8" w:space="0" w:color="auto"/>
              <w:right w:val="single" w:sz="8" w:space="0" w:color="auto"/>
            </w:tcBorders>
            <w:shd w:val="clear" w:color="auto" w:fill="auto"/>
            <w:noWrap/>
            <w:vAlign w:val="center"/>
            <w:hideMark/>
          </w:tcPr>
          <w:p w14:paraId="3D5D6FF7"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449D19A4"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(8.563)</w:t>
            </w:r>
          </w:p>
        </w:tc>
        <w:tc>
          <w:tcPr>
            <w:tcW w:w="444" w:type="pct"/>
            <w:tcBorders>
              <w:top w:val="nil"/>
              <w:left w:val="nil"/>
              <w:bottom w:val="single" w:sz="8" w:space="0" w:color="auto"/>
              <w:right w:val="single" w:sz="8" w:space="0" w:color="auto"/>
            </w:tcBorders>
            <w:shd w:val="clear" w:color="auto" w:fill="auto"/>
            <w:noWrap/>
            <w:vAlign w:val="center"/>
            <w:hideMark/>
          </w:tcPr>
          <w:p w14:paraId="59ED8A49"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6.306</w:t>
            </w:r>
          </w:p>
        </w:tc>
        <w:tc>
          <w:tcPr>
            <w:tcW w:w="444" w:type="pct"/>
            <w:tcBorders>
              <w:top w:val="nil"/>
              <w:left w:val="nil"/>
              <w:bottom w:val="single" w:sz="8" w:space="0" w:color="auto"/>
              <w:right w:val="single" w:sz="8" w:space="0" w:color="auto"/>
            </w:tcBorders>
            <w:shd w:val="clear" w:color="auto" w:fill="auto"/>
            <w:noWrap/>
            <w:vAlign w:val="center"/>
            <w:hideMark/>
          </w:tcPr>
          <w:p w14:paraId="08DEE6F8"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52" w:type="pct"/>
            <w:tcBorders>
              <w:top w:val="nil"/>
              <w:left w:val="nil"/>
              <w:bottom w:val="single" w:sz="8" w:space="0" w:color="auto"/>
              <w:right w:val="single" w:sz="8" w:space="0" w:color="auto"/>
            </w:tcBorders>
            <w:shd w:val="clear" w:color="auto" w:fill="auto"/>
            <w:noWrap/>
            <w:vAlign w:val="center"/>
            <w:hideMark/>
          </w:tcPr>
          <w:p w14:paraId="6A4F6067"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37.639</w:t>
            </w:r>
          </w:p>
        </w:tc>
      </w:tr>
      <w:tr w:rsidR="007C6A41" w:rsidRPr="007C6A41" w14:paraId="5FFFE56A" w14:textId="77777777" w:rsidTr="00446A14">
        <w:trPr>
          <w:trHeight w:val="238"/>
        </w:trPr>
        <w:tc>
          <w:tcPr>
            <w:tcW w:w="996" w:type="pct"/>
            <w:tcBorders>
              <w:top w:val="nil"/>
              <w:left w:val="single" w:sz="8" w:space="0" w:color="auto"/>
              <w:bottom w:val="single" w:sz="8" w:space="0" w:color="auto"/>
              <w:right w:val="single" w:sz="8" w:space="0" w:color="auto"/>
            </w:tcBorders>
            <w:shd w:val="clear" w:color="auto" w:fill="auto"/>
            <w:noWrap/>
            <w:vAlign w:val="center"/>
            <w:hideMark/>
          </w:tcPr>
          <w:p w14:paraId="5D8D2ACC" w14:textId="77777777" w:rsidR="007C6A41" w:rsidRPr="007C6A41" w:rsidRDefault="007C6A41" w:rsidP="007C6A41">
            <w:pPr>
              <w:spacing w:after="0" w:line="240" w:lineRule="auto"/>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lastRenderedPageBreak/>
              <w:t>Prejuízos Fiscais a Recuperar</w:t>
            </w:r>
          </w:p>
        </w:tc>
        <w:tc>
          <w:tcPr>
            <w:tcW w:w="444" w:type="pct"/>
            <w:tcBorders>
              <w:top w:val="nil"/>
              <w:left w:val="nil"/>
              <w:bottom w:val="single" w:sz="8" w:space="0" w:color="auto"/>
              <w:right w:val="single" w:sz="8" w:space="0" w:color="auto"/>
            </w:tcBorders>
            <w:shd w:val="clear" w:color="auto" w:fill="auto"/>
            <w:noWrap/>
            <w:vAlign w:val="center"/>
            <w:hideMark/>
          </w:tcPr>
          <w:p w14:paraId="0BAFB73F"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135.547</w:t>
            </w:r>
          </w:p>
        </w:tc>
        <w:tc>
          <w:tcPr>
            <w:tcW w:w="444" w:type="pct"/>
            <w:tcBorders>
              <w:top w:val="nil"/>
              <w:left w:val="nil"/>
              <w:bottom w:val="single" w:sz="8" w:space="0" w:color="auto"/>
              <w:right w:val="single" w:sz="8" w:space="0" w:color="auto"/>
            </w:tcBorders>
            <w:shd w:val="clear" w:color="auto" w:fill="auto"/>
            <w:noWrap/>
            <w:vAlign w:val="center"/>
            <w:hideMark/>
          </w:tcPr>
          <w:p w14:paraId="6F159BEA"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2B0B4A68"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6B324EEC"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040A9718"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255321CD"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01448427"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3C8E7501"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52" w:type="pct"/>
            <w:tcBorders>
              <w:top w:val="nil"/>
              <w:left w:val="nil"/>
              <w:bottom w:val="single" w:sz="8" w:space="0" w:color="auto"/>
              <w:right w:val="single" w:sz="8" w:space="0" w:color="auto"/>
            </w:tcBorders>
            <w:shd w:val="clear" w:color="auto" w:fill="auto"/>
            <w:noWrap/>
            <w:vAlign w:val="center"/>
            <w:hideMark/>
          </w:tcPr>
          <w:p w14:paraId="402B80FB"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135.547</w:t>
            </w:r>
          </w:p>
        </w:tc>
      </w:tr>
      <w:tr w:rsidR="007C6A41" w:rsidRPr="007C6A41" w14:paraId="76DFFF41" w14:textId="77777777" w:rsidTr="00446A14">
        <w:trPr>
          <w:trHeight w:val="238"/>
        </w:trPr>
        <w:tc>
          <w:tcPr>
            <w:tcW w:w="996" w:type="pct"/>
            <w:tcBorders>
              <w:top w:val="nil"/>
              <w:left w:val="single" w:sz="8" w:space="0" w:color="auto"/>
              <w:bottom w:val="single" w:sz="8" w:space="0" w:color="auto"/>
              <w:right w:val="single" w:sz="8" w:space="0" w:color="auto"/>
            </w:tcBorders>
            <w:shd w:val="clear" w:color="auto" w:fill="auto"/>
            <w:noWrap/>
            <w:vAlign w:val="center"/>
            <w:hideMark/>
          </w:tcPr>
          <w:p w14:paraId="7710F13D" w14:textId="77777777" w:rsidR="007C6A41" w:rsidRPr="007C6A41" w:rsidRDefault="007C6A41" w:rsidP="007C6A41">
            <w:pPr>
              <w:spacing w:after="0" w:line="240" w:lineRule="auto"/>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Diferenças Temporárias</w:t>
            </w:r>
          </w:p>
        </w:tc>
        <w:tc>
          <w:tcPr>
            <w:tcW w:w="444" w:type="pct"/>
            <w:tcBorders>
              <w:top w:val="nil"/>
              <w:left w:val="nil"/>
              <w:bottom w:val="single" w:sz="8" w:space="0" w:color="auto"/>
              <w:right w:val="single" w:sz="8" w:space="0" w:color="auto"/>
            </w:tcBorders>
            <w:shd w:val="clear" w:color="auto" w:fill="auto"/>
            <w:noWrap/>
            <w:vAlign w:val="center"/>
            <w:hideMark/>
          </w:tcPr>
          <w:p w14:paraId="6003BA47"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36.715</w:t>
            </w:r>
          </w:p>
        </w:tc>
        <w:tc>
          <w:tcPr>
            <w:tcW w:w="444" w:type="pct"/>
            <w:tcBorders>
              <w:top w:val="nil"/>
              <w:left w:val="nil"/>
              <w:bottom w:val="single" w:sz="8" w:space="0" w:color="auto"/>
              <w:right w:val="single" w:sz="8" w:space="0" w:color="auto"/>
            </w:tcBorders>
            <w:shd w:val="clear" w:color="auto" w:fill="auto"/>
            <w:noWrap/>
            <w:vAlign w:val="center"/>
            <w:hideMark/>
          </w:tcPr>
          <w:p w14:paraId="0A0E1F38"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5AD0709F"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097D7655"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2D3143F1"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56083CB5"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150DC286"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4BEC4F31"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52" w:type="pct"/>
            <w:tcBorders>
              <w:top w:val="nil"/>
              <w:left w:val="nil"/>
              <w:bottom w:val="single" w:sz="8" w:space="0" w:color="auto"/>
              <w:right w:val="single" w:sz="8" w:space="0" w:color="auto"/>
            </w:tcBorders>
            <w:shd w:val="clear" w:color="auto" w:fill="auto"/>
            <w:noWrap/>
            <w:vAlign w:val="center"/>
            <w:hideMark/>
          </w:tcPr>
          <w:p w14:paraId="43A6F3B3"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36.715</w:t>
            </w:r>
          </w:p>
        </w:tc>
      </w:tr>
      <w:tr w:rsidR="007C6A41" w:rsidRPr="007C6A41" w14:paraId="3BB79DF8" w14:textId="77777777" w:rsidTr="00446A14">
        <w:trPr>
          <w:trHeight w:val="238"/>
        </w:trPr>
        <w:tc>
          <w:tcPr>
            <w:tcW w:w="996" w:type="pct"/>
            <w:tcBorders>
              <w:top w:val="nil"/>
              <w:left w:val="single" w:sz="8" w:space="0" w:color="auto"/>
              <w:bottom w:val="single" w:sz="8" w:space="0" w:color="auto"/>
              <w:right w:val="single" w:sz="8" w:space="0" w:color="auto"/>
            </w:tcBorders>
            <w:shd w:val="clear" w:color="auto" w:fill="auto"/>
            <w:noWrap/>
            <w:vAlign w:val="center"/>
            <w:hideMark/>
          </w:tcPr>
          <w:p w14:paraId="0A5049AB" w14:textId="77777777" w:rsidR="007C6A41" w:rsidRPr="007C6A41" w:rsidRDefault="007C6A41" w:rsidP="007C6A41">
            <w:pPr>
              <w:spacing w:after="0" w:line="240" w:lineRule="auto"/>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Provisão para Perdas - Prejuízos Fiscais e Diferenças Temporárias</w:t>
            </w:r>
          </w:p>
        </w:tc>
        <w:tc>
          <w:tcPr>
            <w:tcW w:w="444" w:type="pct"/>
            <w:tcBorders>
              <w:top w:val="nil"/>
              <w:left w:val="nil"/>
              <w:bottom w:val="single" w:sz="8" w:space="0" w:color="auto"/>
              <w:right w:val="single" w:sz="8" w:space="0" w:color="auto"/>
            </w:tcBorders>
            <w:shd w:val="clear" w:color="auto" w:fill="auto"/>
            <w:noWrap/>
            <w:vAlign w:val="center"/>
            <w:hideMark/>
          </w:tcPr>
          <w:p w14:paraId="4526CBB6"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(172.263)</w:t>
            </w:r>
          </w:p>
        </w:tc>
        <w:tc>
          <w:tcPr>
            <w:tcW w:w="444" w:type="pct"/>
            <w:tcBorders>
              <w:top w:val="nil"/>
              <w:left w:val="nil"/>
              <w:bottom w:val="single" w:sz="8" w:space="0" w:color="auto"/>
              <w:right w:val="single" w:sz="8" w:space="0" w:color="auto"/>
            </w:tcBorders>
            <w:shd w:val="clear" w:color="auto" w:fill="auto"/>
            <w:noWrap/>
            <w:vAlign w:val="center"/>
            <w:hideMark/>
          </w:tcPr>
          <w:p w14:paraId="7C61CD7F"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4F156CCF"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03FC1BCB"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79C2DF02"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43F24CA2"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4172B4E6"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6892B16C"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52" w:type="pct"/>
            <w:tcBorders>
              <w:top w:val="nil"/>
              <w:left w:val="nil"/>
              <w:bottom w:val="single" w:sz="8" w:space="0" w:color="auto"/>
              <w:right w:val="single" w:sz="8" w:space="0" w:color="auto"/>
            </w:tcBorders>
            <w:shd w:val="clear" w:color="auto" w:fill="auto"/>
            <w:noWrap/>
            <w:vAlign w:val="center"/>
            <w:hideMark/>
          </w:tcPr>
          <w:p w14:paraId="5EAD5C37"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(172.263)</w:t>
            </w:r>
          </w:p>
        </w:tc>
      </w:tr>
      <w:tr w:rsidR="007C6A41" w:rsidRPr="007C6A41" w14:paraId="00AF1F5B" w14:textId="77777777" w:rsidTr="00446A14">
        <w:trPr>
          <w:trHeight w:val="238"/>
        </w:trPr>
        <w:tc>
          <w:tcPr>
            <w:tcW w:w="996" w:type="pct"/>
            <w:tcBorders>
              <w:top w:val="nil"/>
              <w:left w:val="single" w:sz="8" w:space="0" w:color="auto"/>
              <w:bottom w:val="single" w:sz="8" w:space="0" w:color="auto"/>
              <w:right w:val="single" w:sz="8" w:space="0" w:color="auto"/>
            </w:tcBorders>
            <w:shd w:val="clear" w:color="auto" w:fill="auto"/>
            <w:noWrap/>
            <w:vAlign w:val="center"/>
            <w:hideMark/>
          </w:tcPr>
          <w:p w14:paraId="0E3413D4" w14:textId="77777777" w:rsidR="007C6A41" w:rsidRPr="007C6A41" w:rsidRDefault="007C6A41" w:rsidP="007C6A41">
            <w:pPr>
              <w:spacing w:after="0" w:line="240" w:lineRule="auto"/>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Subtotal - Imposto de Renda</w:t>
            </w:r>
          </w:p>
        </w:tc>
        <w:tc>
          <w:tcPr>
            <w:tcW w:w="444" w:type="pct"/>
            <w:tcBorders>
              <w:top w:val="nil"/>
              <w:left w:val="nil"/>
              <w:bottom w:val="single" w:sz="8" w:space="0" w:color="auto"/>
              <w:right w:val="single" w:sz="8" w:space="0" w:color="auto"/>
            </w:tcBorders>
            <w:shd w:val="clear" w:color="auto" w:fill="auto"/>
            <w:noWrap/>
            <w:vAlign w:val="center"/>
            <w:hideMark/>
          </w:tcPr>
          <w:p w14:paraId="7EE97298"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66.299</w:t>
            </w:r>
          </w:p>
        </w:tc>
        <w:tc>
          <w:tcPr>
            <w:tcW w:w="444" w:type="pct"/>
            <w:tcBorders>
              <w:top w:val="nil"/>
              <w:left w:val="nil"/>
              <w:bottom w:val="single" w:sz="8" w:space="0" w:color="auto"/>
              <w:right w:val="single" w:sz="8" w:space="0" w:color="auto"/>
            </w:tcBorders>
            <w:shd w:val="clear" w:color="auto" w:fill="auto"/>
            <w:noWrap/>
            <w:vAlign w:val="center"/>
            <w:hideMark/>
          </w:tcPr>
          <w:p w14:paraId="5CDE3577"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45.784</w:t>
            </w:r>
          </w:p>
        </w:tc>
        <w:tc>
          <w:tcPr>
            <w:tcW w:w="444" w:type="pct"/>
            <w:tcBorders>
              <w:top w:val="nil"/>
              <w:left w:val="nil"/>
              <w:bottom w:val="single" w:sz="8" w:space="0" w:color="auto"/>
              <w:right w:val="single" w:sz="8" w:space="0" w:color="auto"/>
            </w:tcBorders>
            <w:shd w:val="clear" w:color="auto" w:fill="auto"/>
            <w:noWrap/>
            <w:vAlign w:val="center"/>
            <w:hideMark/>
          </w:tcPr>
          <w:p w14:paraId="53B606FF"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09374CA4"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(23.415)</w:t>
            </w:r>
          </w:p>
        </w:tc>
        <w:tc>
          <w:tcPr>
            <w:tcW w:w="444" w:type="pct"/>
            <w:tcBorders>
              <w:top w:val="nil"/>
              <w:left w:val="nil"/>
              <w:bottom w:val="single" w:sz="8" w:space="0" w:color="auto"/>
              <w:right w:val="single" w:sz="8" w:space="0" w:color="auto"/>
            </w:tcBorders>
            <w:shd w:val="clear" w:color="auto" w:fill="auto"/>
            <w:noWrap/>
            <w:vAlign w:val="center"/>
            <w:hideMark/>
          </w:tcPr>
          <w:p w14:paraId="2983E78D"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4456DA00"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(8.564)</w:t>
            </w:r>
          </w:p>
        </w:tc>
        <w:tc>
          <w:tcPr>
            <w:tcW w:w="444" w:type="pct"/>
            <w:tcBorders>
              <w:top w:val="nil"/>
              <w:left w:val="nil"/>
              <w:bottom w:val="single" w:sz="8" w:space="0" w:color="auto"/>
              <w:right w:val="single" w:sz="8" w:space="0" w:color="auto"/>
            </w:tcBorders>
            <w:shd w:val="clear" w:color="auto" w:fill="auto"/>
            <w:noWrap/>
            <w:vAlign w:val="center"/>
            <w:hideMark/>
          </w:tcPr>
          <w:p w14:paraId="52F5FA4E"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6.307</w:t>
            </w:r>
          </w:p>
        </w:tc>
        <w:tc>
          <w:tcPr>
            <w:tcW w:w="444" w:type="pct"/>
            <w:tcBorders>
              <w:top w:val="nil"/>
              <w:left w:val="nil"/>
              <w:bottom w:val="single" w:sz="8" w:space="0" w:color="auto"/>
              <w:right w:val="single" w:sz="8" w:space="0" w:color="auto"/>
            </w:tcBorders>
            <w:shd w:val="clear" w:color="auto" w:fill="auto"/>
            <w:noWrap/>
            <w:vAlign w:val="center"/>
            <w:hideMark/>
          </w:tcPr>
          <w:p w14:paraId="4190670A"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 xml:space="preserve">                           - </w:t>
            </w:r>
          </w:p>
        </w:tc>
        <w:tc>
          <w:tcPr>
            <w:tcW w:w="452" w:type="pct"/>
            <w:tcBorders>
              <w:top w:val="nil"/>
              <w:left w:val="nil"/>
              <w:bottom w:val="single" w:sz="8" w:space="0" w:color="auto"/>
              <w:right w:val="single" w:sz="8" w:space="0" w:color="auto"/>
            </w:tcBorders>
            <w:shd w:val="clear" w:color="auto" w:fill="auto"/>
            <w:noWrap/>
            <w:vAlign w:val="center"/>
            <w:hideMark/>
          </w:tcPr>
          <w:p w14:paraId="5BCDC944"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86.411</w:t>
            </w:r>
          </w:p>
        </w:tc>
      </w:tr>
      <w:tr w:rsidR="007C6A41" w:rsidRPr="007C6A41" w14:paraId="7761A7D1" w14:textId="77777777" w:rsidTr="00446A14">
        <w:trPr>
          <w:trHeight w:val="238"/>
        </w:trPr>
        <w:tc>
          <w:tcPr>
            <w:tcW w:w="996" w:type="pct"/>
            <w:tcBorders>
              <w:top w:val="nil"/>
              <w:left w:val="single" w:sz="8" w:space="0" w:color="auto"/>
              <w:bottom w:val="single" w:sz="8" w:space="0" w:color="auto"/>
              <w:right w:val="single" w:sz="8" w:space="0" w:color="auto"/>
            </w:tcBorders>
            <w:shd w:val="clear" w:color="auto" w:fill="auto"/>
            <w:noWrap/>
            <w:vAlign w:val="center"/>
            <w:hideMark/>
          </w:tcPr>
          <w:p w14:paraId="59529DE1" w14:textId="77777777" w:rsidR="007C6A41" w:rsidRPr="007C6A41" w:rsidRDefault="007C6A41" w:rsidP="007C6A41">
            <w:pPr>
              <w:spacing w:after="0" w:line="240" w:lineRule="auto"/>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Retenções de Órgãos Públicos</w:t>
            </w:r>
          </w:p>
        </w:tc>
        <w:tc>
          <w:tcPr>
            <w:tcW w:w="444" w:type="pct"/>
            <w:tcBorders>
              <w:top w:val="nil"/>
              <w:left w:val="nil"/>
              <w:bottom w:val="single" w:sz="8" w:space="0" w:color="auto"/>
              <w:right w:val="single" w:sz="8" w:space="0" w:color="auto"/>
            </w:tcBorders>
            <w:shd w:val="clear" w:color="auto" w:fill="auto"/>
            <w:noWrap/>
            <w:vAlign w:val="center"/>
            <w:hideMark/>
          </w:tcPr>
          <w:p w14:paraId="517FA6F1"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2.580</w:t>
            </w:r>
          </w:p>
        </w:tc>
        <w:tc>
          <w:tcPr>
            <w:tcW w:w="444" w:type="pct"/>
            <w:tcBorders>
              <w:top w:val="nil"/>
              <w:left w:val="nil"/>
              <w:bottom w:val="single" w:sz="8" w:space="0" w:color="auto"/>
              <w:right w:val="single" w:sz="8" w:space="0" w:color="auto"/>
            </w:tcBorders>
            <w:shd w:val="clear" w:color="auto" w:fill="auto"/>
            <w:noWrap/>
            <w:vAlign w:val="center"/>
            <w:hideMark/>
          </w:tcPr>
          <w:p w14:paraId="29344790"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1.595</w:t>
            </w:r>
          </w:p>
        </w:tc>
        <w:tc>
          <w:tcPr>
            <w:tcW w:w="444" w:type="pct"/>
            <w:tcBorders>
              <w:top w:val="nil"/>
              <w:left w:val="nil"/>
              <w:bottom w:val="single" w:sz="8" w:space="0" w:color="auto"/>
              <w:right w:val="single" w:sz="8" w:space="0" w:color="auto"/>
            </w:tcBorders>
            <w:shd w:val="clear" w:color="auto" w:fill="auto"/>
            <w:noWrap/>
            <w:vAlign w:val="center"/>
            <w:hideMark/>
          </w:tcPr>
          <w:p w14:paraId="55AA3B40"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7EAFDB37"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3B79CC6F"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4AA4971D"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274616BE"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46E33D62"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52" w:type="pct"/>
            <w:tcBorders>
              <w:top w:val="nil"/>
              <w:left w:val="nil"/>
              <w:bottom w:val="single" w:sz="8" w:space="0" w:color="auto"/>
              <w:right w:val="single" w:sz="8" w:space="0" w:color="auto"/>
            </w:tcBorders>
            <w:shd w:val="clear" w:color="auto" w:fill="auto"/>
            <w:noWrap/>
            <w:vAlign w:val="center"/>
            <w:hideMark/>
          </w:tcPr>
          <w:p w14:paraId="16B6A196"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4.175</w:t>
            </w:r>
          </w:p>
        </w:tc>
      </w:tr>
      <w:tr w:rsidR="007C6A41" w:rsidRPr="007C6A41" w14:paraId="3830ECBF" w14:textId="77777777" w:rsidTr="00446A14">
        <w:trPr>
          <w:trHeight w:val="238"/>
        </w:trPr>
        <w:tc>
          <w:tcPr>
            <w:tcW w:w="996" w:type="pct"/>
            <w:tcBorders>
              <w:top w:val="nil"/>
              <w:left w:val="single" w:sz="8" w:space="0" w:color="auto"/>
              <w:bottom w:val="single" w:sz="8" w:space="0" w:color="auto"/>
              <w:right w:val="single" w:sz="8" w:space="0" w:color="auto"/>
            </w:tcBorders>
            <w:shd w:val="clear" w:color="auto" w:fill="auto"/>
            <w:noWrap/>
            <w:vAlign w:val="center"/>
            <w:hideMark/>
          </w:tcPr>
          <w:p w14:paraId="78700332" w14:textId="77777777" w:rsidR="007C6A41" w:rsidRPr="007C6A41" w:rsidRDefault="007C6A41" w:rsidP="007C6A41">
            <w:pPr>
              <w:spacing w:after="0" w:line="240" w:lineRule="auto"/>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Pagamento de CSLL - Estimativa</w:t>
            </w:r>
          </w:p>
        </w:tc>
        <w:tc>
          <w:tcPr>
            <w:tcW w:w="444" w:type="pct"/>
            <w:tcBorders>
              <w:top w:val="nil"/>
              <w:left w:val="nil"/>
              <w:bottom w:val="single" w:sz="8" w:space="0" w:color="auto"/>
              <w:right w:val="single" w:sz="8" w:space="0" w:color="auto"/>
            </w:tcBorders>
            <w:shd w:val="clear" w:color="auto" w:fill="auto"/>
            <w:noWrap/>
            <w:vAlign w:val="center"/>
            <w:hideMark/>
          </w:tcPr>
          <w:p w14:paraId="7C37822E"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788A2A00"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2.268</w:t>
            </w:r>
          </w:p>
        </w:tc>
        <w:tc>
          <w:tcPr>
            <w:tcW w:w="444" w:type="pct"/>
            <w:tcBorders>
              <w:top w:val="nil"/>
              <w:left w:val="nil"/>
              <w:bottom w:val="single" w:sz="8" w:space="0" w:color="auto"/>
              <w:right w:val="single" w:sz="8" w:space="0" w:color="auto"/>
            </w:tcBorders>
            <w:shd w:val="clear" w:color="auto" w:fill="auto"/>
            <w:noWrap/>
            <w:vAlign w:val="center"/>
            <w:hideMark/>
          </w:tcPr>
          <w:p w14:paraId="677A359D"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(2.580)</w:t>
            </w:r>
          </w:p>
        </w:tc>
        <w:tc>
          <w:tcPr>
            <w:tcW w:w="444" w:type="pct"/>
            <w:tcBorders>
              <w:top w:val="nil"/>
              <w:left w:val="nil"/>
              <w:bottom w:val="single" w:sz="8" w:space="0" w:color="auto"/>
              <w:right w:val="single" w:sz="8" w:space="0" w:color="auto"/>
            </w:tcBorders>
            <w:shd w:val="clear" w:color="auto" w:fill="auto"/>
            <w:noWrap/>
            <w:vAlign w:val="center"/>
            <w:hideMark/>
          </w:tcPr>
          <w:p w14:paraId="5667AC5D"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624C4DF0"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2456EE72"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3606415D"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29065E3C"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52" w:type="pct"/>
            <w:tcBorders>
              <w:top w:val="nil"/>
              <w:left w:val="nil"/>
              <w:bottom w:val="single" w:sz="8" w:space="0" w:color="auto"/>
              <w:right w:val="single" w:sz="8" w:space="0" w:color="auto"/>
            </w:tcBorders>
            <w:shd w:val="clear" w:color="auto" w:fill="auto"/>
            <w:noWrap/>
            <w:vAlign w:val="center"/>
            <w:hideMark/>
          </w:tcPr>
          <w:p w14:paraId="7459E847"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(312)</w:t>
            </w:r>
          </w:p>
        </w:tc>
      </w:tr>
      <w:tr w:rsidR="007C6A41" w:rsidRPr="007C6A41" w14:paraId="75899F4E" w14:textId="77777777" w:rsidTr="00446A14">
        <w:trPr>
          <w:trHeight w:val="238"/>
        </w:trPr>
        <w:tc>
          <w:tcPr>
            <w:tcW w:w="996" w:type="pct"/>
            <w:tcBorders>
              <w:top w:val="nil"/>
              <w:left w:val="single" w:sz="8" w:space="0" w:color="auto"/>
              <w:bottom w:val="single" w:sz="8" w:space="0" w:color="auto"/>
              <w:right w:val="single" w:sz="8" w:space="0" w:color="auto"/>
            </w:tcBorders>
            <w:shd w:val="clear" w:color="auto" w:fill="auto"/>
            <w:noWrap/>
            <w:vAlign w:val="center"/>
            <w:hideMark/>
          </w:tcPr>
          <w:p w14:paraId="47F72617" w14:textId="77777777" w:rsidR="007C6A41" w:rsidRPr="007C6A41" w:rsidRDefault="007C6A41" w:rsidP="007C6A41">
            <w:pPr>
              <w:spacing w:after="0" w:line="240" w:lineRule="auto"/>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Saldo Negativo a Compensar/Restituir</w:t>
            </w:r>
          </w:p>
        </w:tc>
        <w:tc>
          <w:tcPr>
            <w:tcW w:w="444" w:type="pct"/>
            <w:tcBorders>
              <w:top w:val="nil"/>
              <w:left w:val="nil"/>
              <w:bottom w:val="single" w:sz="8" w:space="0" w:color="auto"/>
              <w:right w:val="single" w:sz="8" w:space="0" w:color="auto"/>
            </w:tcBorders>
            <w:shd w:val="clear" w:color="auto" w:fill="auto"/>
            <w:noWrap/>
            <w:vAlign w:val="center"/>
            <w:hideMark/>
          </w:tcPr>
          <w:p w14:paraId="6F7D1DDD"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8.413</w:t>
            </w:r>
          </w:p>
        </w:tc>
        <w:tc>
          <w:tcPr>
            <w:tcW w:w="444" w:type="pct"/>
            <w:tcBorders>
              <w:top w:val="nil"/>
              <w:left w:val="nil"/>
              <w:bottom w:val="single" w:sz="8" w:space="0" w:color="auto"/>
              <w:right w:val="single" w:sz="8" w:space="0" w:color="auto"/>
            </w:tcBorders>
            <w:shd w:val="clear" w:color="auto" w:fill="auto"/>
            <w:noWrap/>
            <w:vAlign w:val="center"/>
            <w:hideMark/>
          </w:tcPr>
          <w:p w14:paraId="2DEF9B80"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(38)</w:t>
            </w:r>
          </w:p>
        </w:tc>
        <w:tc>
          <w:tcPr>
            <w:tcW w:w="444" w:type="pct"/>
            <w:tcBorders>
              <w:top w:val="nil"/>
              <w:left w:val="nil"/>
              <w:bottom w:val="single" w:sz="8" w:space="0" w:color="auto"/>
              <w:right w:val="single" w:sz="8" w:space="0" w:color="auto"/>
            </w:tcBorders>
            <w:shd w:val="clear" w:color="auto" w:fill="auto"/>
            <w:noWrap/>
            <w:vAlign w:val="center"/>
            <w:hideMark/>
          </w:tcPr>
          <w:p w14:paraId="5C2D4CD9"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2.580</w:t>
            </w:r>
          </w:p>
        </w:tc>
        <w:tc>
          <w:tcPr>
            <w:tcW w:w="444" w:type="pct"/>
            <w:tcBorders>
              <w:top w:val="nil"/>
              <w:left w:val="nil"/>
              <w:bottom w:val="single" w:sz="8" w:space="0" w:color="auto"/>
              <w:right w:val="single" w:sz="8" w:space="0" w:color="auto"/>
            </w:tcBorders>
            <w:shd w:val="clear" w:color="auto" w:fill="auto"/>
            <w:noWrap/>
            <w:vAlign w:val="center"/>
            <w:hideMark/>
          </w:tcPr>
          <w:p w14:paraId="50EA0862"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(6.005)</w:t>
            </w:r>
          </w:p>
        </w:tc>
        <w:tc>
          <w:tcPr>
            <w:tcW w:w="444" w:type="pct"/>
            <w:tcBorders>
              <w:top w:val="nil"/>
              <w:left w:val="nil"/>
              <w:bottom w:val="single" w:sz="8" w:space="0" w:color="auto"/>
              <w:right w:val="single" w:sz="8" w:space="0" w:color="auto"/>
            </w:tcBorders>
            <w:shd w:val="clear" w:color="auto" w:fill="auto"/>
            <w:noWrap/>
            <w:vAlign w:val="center"/>
            <w:hideMark/>
          </w:tcPr>
          <w:p w14:paraId="3D50727D"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52450BE9"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(3.713)</w:t>
            </w:r>
          </w:p>
        </w:tc>
        <w:tc>
          <w:tcPr>
            <w:tcW w:w="444" w:type="pct"/>
            <w:tcBorders>
              <w:top w:val="nil"/>
              <w:left w:val="nil"/>
              <w:bottom w:val="single" w:sz="8" w:space="0" w:color="auto"/>
              <w:right w:val="single" w:sz="8" w:space="0" w:color="auto"/>
            </w:tcBorders>
            <w:shd w:val="clear" w:color="auto" w:fill="auto"/>
            <w:noWrap/>
            <w:vAlign w:val="center"/>
            <w:hideMark/>
          </w:tcPr>
          <w:p w14:paraId="3DE6D611"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1.082</w:t>
            </w:r>
          </w:p>
        </w:tc>
        <w:tc>
          <w:tcPr>
            <w:tcW w:w="444" w:type="pct"/>
            <w:tcBorders>
              <w:top w:val="nil"/>
              <w:left w:val="nil"/>
              <w:bottom w:val="single" w:sz="8" w:space="0" w:color="auto"/>
              <w:right w:val="single" w:sz="8" w:space="0" w:color="auto"/>
            </w:tcBorders>
            <w:shd w:val="clear" w:color="auto" w:fill="auto"/>
            <w:noWrap/>
            <w:vAlign w:val="center"/>
            <w:hideMark/>
          </w:tcPr>
          <w:p w14:paraId="5BAF1DA5"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52" w:type="pct"/>
            <w:tcBorders>
              <w:top w:val="nil"/>
              <w:left w:val="nil"/>
              <w:bottom w:val="single" w:sz="8" w:space="0" w:color="auto"/>
              <w:right w:val="single" w:sz="8" w:space="0" w:color="auto"/>
            </w:tcBorders>
            <w:shd w:val="clear" w:color="auto" w:fill="auto"/>
            <w:noWrap/>
            <w:vAlign w:val="center"/>
            <w:hideMark/>
          </w:tcPr>
          <w:p w14:paraId="68112A1E"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2.319</w:t>
            </w:r>
          </w:p>
        </w:tc>
      </w:tr>
      <w:tr w:rsidR="007C6A41" w:rsidRPr="007C6A41" w14:paraId="433FD47F" w14:textId="77777777" w:rsidTr="00446A14">
        <w:trPr>
          <w:trHeight w:val="238"/>
        </w:trPr>
        <w:tc>
          <w:tcPr>
            <w:tcW w:w="996" w:type="pct"/>
            <w:tcBorders>
              <w:top w:val="nil"/>
              <w:left w:val="single" w:sz="8" w:space="0" w:color="auto"/>
              <w:bottom w:val="single" w:sz="8" w:space="0" w:color="auto"/>
              <w:right w:val="single" w:sz="8" w:space="0" w:color="auto"/>
            </w:tcBorders>
            <w:shd w:val="clear" w:color="auto" w:fill="auto"/>
            <w:noWrap/>
            <w:vAlign w:val="center"/>
            <w:hideMark/>
          </w:tcPr>
          <w:p w14:paraId="3BB16E72" w14:textId="77777777" w:rsidR="007C6A41" w:rsidRPr="007C6A41" w:rsidRDefault="007C6A41" w:rsidP="007C6A41">
            <w:pPr>
              <w:spacing w:after="0" w:line="240" w:lineRule="auto"/>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Base Negativa de CSLL</w:t>
            </w:r>
          </w:p>
        </w:tc>
        <w:tc>
          <w:tcPr>
            <w:tcW w:w="444" w:type="pct"/>
            <w:tcBorders>
              <w:top w:val="nil"/>
              <w:left w:val="nil"/>
              <w:bottom w:val="single" w:sz="8" w:space="0" w:color="auto"/>
              <w:right w:val="single" w:sz="8" w:space="0" w:color="auto"/>
            </w:tcBorders>
            <w:shd w:val="clear" w:color="auto" w:fill="auto"/>
            <w:noWrap/>
            <w:vAlign w:val="center"/>
            <w:hideMark/>
          </w:tcPr>
          <w:p w14:paraId="20E6CFAD"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48.797</w:t>
            </w:r>
          </w:p>
        </w:tc>
        <w:tc>
          <w:tcPr>
            <w:tcW w:w="444" w:type="pct"/>
            <w:tcBorders>
              <w:top w:val="nil"/>
              <w:left w:val="nil"/>
              <w:bottom w:val="single" w:sz="8" w:space="0" w:color="auto"/>
              <w:right w:val="single" w:sz="8" w:space="0" w:color="auto"/>
            </w:tcBorders>
            <w:shd w:val="clear" w:color="auto" w:fill="auto"/>
            <w:noWrap/>
            <w:vAlign w:val="center"/>
            <w:hideMark/>
          </w:tcPr>
          <w:p w14:paraId="51B9E588"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63A76965"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2883437A"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4EC0557E"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439CA920"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6C110F1B"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657D80E2"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52" w:type="pct"/>
            <w:tcBorders>
              <w:top w:val="nil"/>
              <w:left w:val="nil"/>
              <w:bottom w:val="single" w:sz="8" w:space="0" w:color="auto"/>
              <w:right w:val="single" w:sz="8" w:space="0" w:color="auto"/>
            </w:tcBorders>
            <w:shd w:val="clear" w:color="auto" w:fill="auto"/>
            <w:noWrap/>
            <w:vAlign w:val="center"/>
            <w:hideMark/>
          </w:tcPr>
          <w:p w14:paraId="1AC64488"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48.797</w:t>
            </w:r>
          </w:p>
        </w:tc>
      </w:tr>
      <w:tr w:rsidR="007C6A41" w:rsidRPr="007C6A41" w14:paraId="6E24DD95" w14:textId="77777777" w:rsidTr="00446A14">
        <w:trPr>
          <w:trHeight w:val="238"/>
        </w:trPr>
        <w:tc>
          <w:tcPr>
            <w:tcW w:w="996" w:type="pct"/>
            <w:tcBorders>
              <w:top w:val="nil"/>
              <w:left w:val="single" w:sz="8" w:space="0" w:color="auto"/>
              <w:bottom w:val="single" w:sz="8" w:space="0" w:color="auto"/>
              <w:right w:val="single" w:sz="8" w:space="0" w:color="auto"/>
            </w:tcBorders>
            <w:shd w:val="clear" w:color="auto" w:fill="auto"/>
            <w:noWrap/>
            <w:vAlign w:val="center"/>
            <w:hideMark/>
          </w:tcPr>
          <w:p w14:paraId="02C7E3BB" w14:textId="77777777" w:rsidR="007C6A41" w:rsidRPr="007C6A41" w:rsidRDefault="007C6A41" w:rsidP="007C6A41">
            <w:pPr>
              <w:spacing w:after="0" w:line="240" w:lineRule="auto"/>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Diferenças Temporárias</w:t>
            </w:r>
          </w:p>
        </w:tc>
        <w:tc>
          <w:tcPr>
            <w:tcW w:w="444" w:type="pct"/>
            <w:tcBorders>
              <w:top w:val="nil"/>
              <w:left w:val="nil"/>
              <w:bottom w:val="single" w:sz="8" w:space="0" w:color="auto"/>
              <w:right w:val="single" w:sz="8" w:space="0" w:color="auto"/>
            </w:tcBorders>
            <w:shd w:val="clear" w:color="auto" w:fill="auto"/>
            <w:noWrap/>
            <w:vAlign w:val="center"/>
            <w:hideMark/>
          </w:tcPr>
          <w:p w14:paraId="49783D5F"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13.218</w:t>
            </w:r>
          </w:p>
        </w:tc>
        <w:tc>
          <w:tcPr>
            <w:tcW w:w="444" w:type="pct"/>
            <w:tcBorders>
              <w:top w:val="nil"/>
              <w:left w:val="nil"/>
              <w:bottom w:val="single" w:sz="8" w:space="0" w:color="auto"/>
              <w:right w:val="single" w:sz="8" w:space="0" w:color="auto"/>
            </w:tcBorders>
            <w:shd w:val="clear" w:color="auto" w:fill="auto"/>
            <w:noWrap/>
            <w:vAlign w:val="center"/>
            <w:hideMark/>
          </w:tcPr>
          <w:p w14:paraId="24D74773"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71DCBA66"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3BE7E107"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49B09AB1"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172B4747"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725A3380"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0976A4FF"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52" w:type="pct"/>
            <w:tcBorders>
              <w:top w:val="nil"/>
              <w:left w:val="nil"/>
              <w:bottom w:val="single" w:sz="8" w:space="0" w:color="auto"/>
              <w:right w:val="single" w:sz="8" w:space="0" w:color="auto"/>
            </w:tcBorders>
            <w:shd w:val="clear" w:color="auto" w:fill="auto"/>
            <w:noWrap/>
            <w:vAlign w:val="center"/>
            <w:hideMark/>
          </w:tcPr>
          <w:p w14:paraId="27A488E7"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13.218</w:t>
            </w:r>
          </w:p>
        </w:tc>
      </w:tr>
      <w:tr w:rsidR="007C6A41" w:rsidRPr="007C6A41" w14:paraId="542986D1" w14:textId="77777777" w:rsidTr="00446A14">
        <w:trPr>
          <w:trHeight w:val="238"/>
        </w:trPr>
        <w:tc>
          <w:tcPr>
            <w:tcW w:w="996" w:type="pct"/>
            <w:tcBorders>
              <w:top w:val="nil"/>
              <w:left w:val="single" w:sz="8" w:space="0" w:color="auto"/>
              <w:bottom w:val="single" w:sz="8" w:space="0" w:color="auto"/>
              <w:right w:val="single" w:sz="8" w:space="0" w:color="auto"/>
            </w:tcBorders>
            <w:shd w:val="clear" w:color="auto" w:fill="auto"/>
            <w:vAlign w:val="center"/>
            <w:hideMark/>
          </w:tcPr>
          <w:p w14:paraId="17558AE7" w14:textId="77777777" w:rsidR="007C6A41" w:rsidRPr="007C6A41" w:rsidRDefault="007C6A41" w:rsidP="007C6A41">
            <w:pPr>
              <w:spacing w:after="0" w:line="240" w:lineRule="auto"/>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Provisão para Perdas - Base Negativa CSLL e Diferenças Temporárias</w:t>
            </w:r>
          </w:p>
        </w:tc>
        <w:tc>
          <w:tcPr>
            <w:tcW w:w="444" w:type="pct"/>
            <w:tcBorders>
              <w:top w:val="nil"/>
              <w:left w:val="nil"/>
              <w:bottom w:val="single" w:sz="8" w:space="0" w:color="auto"/>
              <w:right w:val="single" w:sz="8" w:space="0" w:color="auto"/>
            </w:tcBorders>
            <w:shd w:val="clear" w:color="auto" w:fill="auto"/>
            <w:noWrap/>
            <w:vAlign w:val="center"/>
            <w:hideMark/>
          </w:tcPr>
          <w:p w14:paraId="47BE7771"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(62.015)</w:t>
            </w:r>
          </w:p>
        </w:tc>
        <w:tc>
          <w:tcPr>
            <w:tcW w:w="444" w:type="pct"/>
            <w:tcBorders>
              <w:top w:val="nil"/>
              <w:left w:val="nil"/>
              <w:bottom w:val="single" w:sz="8" w:space="0" w:color="auto"/>
              <w:right w:val="single" w:sz="8" w:space="0" w:color="auto"/>
            </w:tcBorders>
            <w:shd w:val="clear" w:color="auto" w:fill="auto"/>
            <w:noWrap/>
            <w:vAlign w:val="center"/>
            <w:hideMark/>
          </w:tcPr>
          <w:p w14:paraId="70F8F461"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19C40E46"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11644F9A"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504E74F3"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6CE97C58"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545435A7"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3D9B20E8"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52" w:type="pct"/>
            <w:tcBorders>
              <w:top w:val="nil"/>
              <w:left w:val="nil"/>
              <w:bottom w:val="single" w:sz="8" w:space="0" w:color="auto"/>
              <w:right w:val="single" w:sz="8" w:space="0" w:color="auto"/>
            </w:tcBorders>
            <w:shd w:val="clear" w:color="auto" w:fill="auto"/>
            <w:noWrap/>
            <w:vAlign w:val="center"/>
            <w:hideMark/>
          </w:tcPr>
          <w:p w14:paraId="034A4AF0"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(62.015)</w:t>
            </w:r>
          </w:p>
        </w:tc>
      </w:tr>
      <w:tr w:rsidR="007C6A41" w:rsidRPr="007C6A41" w14:paraId="72ABC3DC" w14:textId="77777777" w:rsidTr="00446A14">
        <w:trPr>
          <w:trHeight w:val="238"/>
        </w:trPr>
        <w:tc>
          <w:tcPr>
            <w:tcW w:w="996" w:type="pct"/>
            <w:tcBorders>
              <w:top w:val="nil"/>
              <w:left w:val="single" w:sz="8" w:space="0" w:color="auto"/>
              <w:bottom w:val="single" w:sz="8" w:space="0" w:color="auto"/>
              <w:right w:val="single" w:sz="8" w:space="0" w:color="auto"/>
            </w:tcBorders>
            <w:shd w:val="clear" w:color="auto" w:fill="auto"/>
            <w:noWrap/>
            <w:vAlign w:val="center"/>
            <w:hideMark/>
          </w:tcPr>
          <w:p w14:paraId="5825F185" w14:textId="77777777" w:rsidR="007C6A41" w:rsidRPr="007C6A41" w:rsidRDefault="007C6A41" w:rsidP="007C6A41">
            <w:pPr>
              <w:spacing w:after="0" w:line="240" w:lineRule="auto"/>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Subtotal - Contribuição Social sobre o Lucro Líquido</w:t>
            </w:r>
          </w:p>
        </w:tc>
        <w:tc>
          <w:tcPr>
            <w:tcW w:w="444" w:type="pct"/>
            <w:tcBorders>
              <w:top w:val="nil"/>
              <w:left w:val="nil"/>
              <w:bottom w:val="single" w:sz="8" w:space="0" w:color="auto"/>
              <w:right w:val="single" w:sz="8" w:space="0" w:color="auto"/>
            </w:tcBorders>
            <w:shd w:val="clear" w:color="auto" w:fill="auto"/>
            <w:noWrap/>
            <w:vAlign w:val="center"/>
            <w:hideMark/>
          </w:tcPr>
          <w:p w14:paraId="42AF53E2"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10.993</w:t>
            </w:r>
          </w:p>
        </w:tc>
        <w:tc>
          <w:tcPr>
            <w:tcW w:w="444" w:type="pct"/>
            <w:tcBorders>
              <w:top w:val="nil"/>
              <w:left w:val="nil"/>
              <w:bottom w:val="single" w:sz="8" w:space="0" w:color="auto"/>
              <w:right w:val="single" w:sz="8" w:space="0" w:color="auto"/>
            </w:tcBorders>
            <w:shd w:val="clear" w:color="auto" w:fill="auto"/>
            <w:noWrap/>
            <w:vAlign w:val="center"/>
            <w:hideMark/>
          </w:tcPr>
          <w:p w14:paraId="5B31D366"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3.825</w:t>
            </w:r>
          </w:p>
        </w:tc>
        <w:tc>
          <w:tcPr>
            <w:tcW w:w="444" w:type="pct"/>
            <w:tcBorders>
              <w:top w:val="nil"/>
              <w:left w:val="nil"/>
              <w:bottom w:val="single" w:sz="8" w:space="0" w:color="auto"/>
              <w:right w:val="single" w:sz="8" w:space="0" w:color="auto"/>
            </w:tcBorders>
            <w:shd w:val="clear" w:color="auto" w:fill="auto"/>
            <w:noWrap/>
            <w:vAlign w:val="center"/>
            <w:hideMark/>
          </w:tcPr>
          <w:p w14:paraId="2187E924"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7607D1EE"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(6.005)</w:t>
            </w:r>
          </w:p>
        </w:tc>
        <w:tc>
          <w:tcPr>
            <w:tcW w:w="444" w:type="pct"/>
            <w:tcBorders>
              <w:top w:val="nil"/>
              <w:left w:val="nil"/>
              <w:bottom w:val="single" w:sz="8" w:space="0" w:color="auto"/>
              <w:right w:val="single" w:sz="8" w:space="0" w:color="auto"/>
            </w:tcBorders>
            <w:shd w:val="clear" w:color="auto" w:fill="auto"/>
            <w:noWrap/>
            <w:vAlign w:val="center"/>
            <w:hideMark/>
          </w:tcPr>
          <w:p w14:paraId="250D9F15"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169CB9C7"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(3.713)</w:t>
            </w:r>
          </w:p>
        </w:tc>
        <w:tc>
          <w:tcPr>
            <w:tcW w:w="444" w:type="pct"/>
            <w:tcBorders>
              <w:top w:val="nil"/>
              <w:left w:val="nil"/>
              <w:bottom w:val="single" w:sz="8" w:space="0" w:color="auto"/>
              <w:right w:val="single" w:sz="8" w:space="0" w:color="auto"/>
            </w:tcBorders>
            <w:shd w:val="clear" w:color="auto" w:fill="auto"/>
            <w:noWrap/>
            <w:vAlign w:val="center"/>
            <w:hideMark/>
          </w:tcPr>
          <w:p w14:paraId="158FD645"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1.082</w:t>
            </w:r>
          </w:p>
        </w:tc>
        <w:tc>
          <w:tcPr>
            <w:tcW w:w="444" w:type="pct"/>
            <w:tcBorders>
              <w:top w:val="nil"/>
              <w:left w:val="nil"/>
              <w:bottom w:val="single" w:sz="8" w:space="0" w:color="auto"/>
              <w:right w:val="single" w:sz="8" w:space="0" w:color="auto"/>
            </w:tcBorders>
            <w:shd w:val="clear" w:color="auto" w:fill="auto"/>
            <w:noWrap/>
            <w:vAlign w:val="center"/>
            <w:hideMark/>
          </w:tcPr>
          <w:p w14:paraId="4A1BD9C6"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 xml:space="preserve">                           - </w:t>
            </w:r>
          </w:p>
        </w:tc>
        <w:tc>
          <w:tcPr>
            <w:tcW w:w="452" w:type="pct"/>
            <w:tcBorders>
              <w:top w:val="nil"/>
              <w:left w:val="nil"/>
              <w:bottom w:val="single" w:sz="8" w:space="0" w:color="auto"/>
              <w:right w:val="single" w:sz="8" w:space="0" w:color="auto"/>
            </w:tcBorders>
            <w:shd w:val="clear" w:color="auto" w:fill="auto"/>
            <w:noWrap/>
            <w:vAlign w:val="center"/>
            <w:hideMark/>
          </w:tcPr>
          <w:p w14:paraId="297E706D"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6.182</w:t>
            </w:r>
          </w:p>
        </w:tc>
      </w:tr>
      <w:tr w:rsidR="007C6A41" w:rsidRPr="007C6A41" w14:paraId="544349AA" w14:textId="77777777" w:rsidTr="00446A14">
        <w:trPr>
          <w:trHeight w:val="238"/>
        </w:trPr>
        <w:tc>
          <w:tcPr>
            <w:tcW w:w="996" w:type="pct"/>
            <w:tcBorders>
              <w:top w:val="nil"/>
              <w:left w:val="single" w:sz="8" w:space="0" w:color="auto"/>
              <w:bottom w:val="single" w:sz="8" w:space="0" w:color="auto"/>
              <w:right w:val="single" w:sz="8" w:space="0" w:color="auto"/>
            </w:tcBorders>
            <w:shd w:val="clear" w:color="auto" w:fill="auto"/>
            <w:noWrap/>
            <w:vAlign w:val="center"/>
            <w:hideMark/>
          </w:tcPr>
          <w:p w14:paraId="4285CCF4" w14:textId="77777777" w:rsidR="007C6A41" w:rsidRPr="007C6A41" w:rsidRDefault="007C6A41" w:rsidP="007C6A41">
            <w:pPr>
              <w:spacing w:after="0" w:line="240" w:lineRule="auto"/>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Pagamento a maior ou Indevido</w:t>
            </w:r>
          </w:p>
        </w:tc>
        <w:tc>
          <w:tcPr>
            <w:tcW w:w="444" w:type="pct"/>
            <w:tcBorders>
              <w:top w:val="nil"/>
              <w:left w:val="nil"/>
              <w:bottom w:val="single" w:sz="8" w:space="0" w:color="auto"/>
              <w:right w:val="single" w:sz="8" w:space="0" w:color="auto"/>
            </w:tcBorders>
            <w:shd w:val="clear" w:color="auto" w:fill="auto"/>
            <w:noWrap/>
            <w:vAlign w:val="center"/>
            <w:hideMark/>
          </w:tcPr>
          <w:p w14:paraId="22147433"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144</w:t>
            </w:r>
          </w:p>
        </w:tc>
        <w:tc>
          <w:tcPr>
            <w:tcW w:w="444" w:type="pct"/>
            <w:tcBorders>
              <w:top w:val="nil"/>
              <w:left w:val="nil"/>
              <w:bottom w:val="single" w:sz="8" w:space="0" w:color="auto"/>
              <w:right w:val="single" w:sz="8" w:space="0" w:color="auto"/>
            </w:tcBorders>
            <w:shd w:val="clear" w:color="auto" w:fill="auto"/>
            <w:noWrap/>
            <w:vAlign w:val="center"/>
            <w:hideMark/>
          </w:tcPr>
          <w:p w14:paraId="05BA8DEA"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(144)</w:t>
            </w:r>
          </w:p>
        </w:tc>
        <w:tc>
          <w:tcPr>
            <w:tcW w:w="444" w:type="pct"/>
            <w:tcBorders>
              <w:top w:val="nil"/>
              <w:left w:val="nil"/>
              <w:bottom w:val="single" w:sz="8" w:space="0" w:color="auto"/>
              <w:right w:val="single" w:sz="8" w:space="0" w:color="auto"/>
            </w:tcBorders>
            <w:shd w:val="clear" w:color="auto" w:fill="auto"/>
            <w:noWrap/>
            <w:vAlign w:val="center"/>
            <w:hideMark/>
          </w:tcPr>
          <w:p w14:paraId="60E30520"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00488288"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78C45014"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1E4103B5"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3F3802F5"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62D6406D"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52" w:type="pct"/>
            <w:tcBorders>
              <w:top w:val="nil"/>
              <w:left w:val="nil"/>
              <w:bottom w:val="single" w:sz="8" w:space="0" w:color="auto"/>
              <w:right w:val="single" w:sz="8" w:space="0" w:color="auto"/>
            </w:tcBorders>
            <w:shd w:val="clear" w:color="auto" w:fill="auto"/>
            <w:noWrap/>
            <w:vAlign w:val="center"/>
            <w:hideMark/>
          </w:tcPr>
          <w:p w14:paraId="5072841E"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r>
      <w:tr w:rsidR="007C6A41" w:rsidRPr="007C6A41" w14:paraId="0C188896" w14:textId="77777777" w:rsidTr="00446A14">
        <w:trPr>
          <w:trHeight w:val="238"/>
        </w:trPr>
        <w:tc>
          <w:tcPr>
            <w:tcW w:w="996" w:type="pct"/>
            <w:tcBorders>
              <w:top w:val="nil"/>
              <w:left w:val="single" w:sz="8" w:space="0" w:color="auto"/>
              <w:bottom w:val="single" w:sz="8" w:space="0" w:color="auto"/>
              <w:right w:val="single" w:sz="8" w:space="0" w:color="auto"/>
            </w:tcBorders>
            <w:shd w:val="clear" w:color="auto" w:fill="auto"/>
            <w:noWrap/>
            <w:vAlign w:val="center"/>
            <w:hideMark/>
          </w:tcPr>
          <w:p w14:paraId="346DE5A3" w14:textId="77777777" w:rsidR="007C6A41" w:rsidRPr="007C6A41" w:rsidRDefault="007C6A41" w:rsidP="007C6A41">
            <w:pPr>
              <w:spacing w:after="0" w:line="240" w:lineRule="auto"/>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Retenções de Órgãos Públicos</w:t>
            </w:r>
          </w:p>
        </w:tc>
        <w:tc>
          <w:tcPr>
            <w:tcW w:w="444" w:type="pct"/>
            <w:tcBorders>
              <w:top w:val="nil"/>
              <w:left w:val="nil"/>
              <w:bottom w:val="single" w:sz="8" w:space="0" w:color="auto"/>
              <w:right w:val="single" w:sz="8" w:space="0" w:color="auto"/>
            </w:tcBorders>
            <w:shd w:val="clear" w:color="auto" w:fill="auto"/>
            <w:noWrap/>
            <w:vAlign w:val="center"/>
            <w:hideMark/>
          </w:tcPr>
          <w:p w14:paraId="770F60C0"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8.178</w:t>
            </w:r>
          </w:p>
        </w:tc>
        <w:tc>
          <w:tcPr>
            <w:tcW w:w="444" w:type="pct"/>
            <w:tcBorders>
              <w:top w:val="nil"/>
              <w:left w:val="nil"/>
              <w:bottom w:val="single" w:sz="8" w:space="0" w:color="auto"/>
              <w:right w:val="single" w:sz="8" w:space="0" w:color="auto"/>
            </w:tcBorders>
            <w:shd w:val="clear" w:color="auto" w:fill="auto"/>
            <w:noWrap/>
            <w:vAlign w:val="center"/>
            <w:hideMark/>
          </w:tcPr>
          <w:p w14:paraId="23FF8AFB"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214</w:t>
            </w:r>
          </w:p>
        </w:tc>
        <w:tc>
          <w:tcPr>
            <w:tcW w:w="444" w:type="pct"/>
            <w:tcBorders>
              <w:top w:val="nil"/>
              <w:left w:val="nil"/>
              <w:bottom w:val="single" w:sz="8" w:space="0" w:color="auto"/>
              <w:right w:val="single" w:sz="8" w:space="0" w:color="auto"/>
            </w:tcBorders>
            <w:shd w:val="clear" w:color="auto" w:fill="auto"/>
            <w:noWrap/>
            <w:vAlign w:val="center"/>
            <w:hideMark/>
          </w:tcPr>
          <w:p w14:paraId="1D8381F2"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591CF4AF"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46E3BA43"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296D6A44"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(762)</w:t>
            </w:r>
          </w:p>
        </w:tc>
        <w:tc>
          <w:tcPr>
            <w:tcW w:w="444" w:type="pct"/>
            <w:tcBorders>
              <w:top w:val="nil"/>
              <w:left w:val="nil"/>
              <w:bottom w:val="single" w:sz="8" w:space="0" w:color="auto"/>
              <w:right w:val="single" w:sz="8" w:space="0" w:color="auto"/>
            </w:tcBorders>
            <w:shd w:val="clear" w:color="auto" w:fill="auto"/>
            <w:noWrap/>
            <w:vAlign w:val="center"/>
            <w:hideMark/>
          </w:tcPr>
          <w:p w14:paraId="659288F2"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942</w:t>
            </w:r>
          </w:p>
        </w:tc>
        <w:tc>
          <w:tcPr>
            <w:tcW w:w="444" w:type="pct"/>
            <w:tcBorders>
              <w:top w:val="nil"/>
              <w:left w:val="nil"/>
              <w:bottom w:val="single" w:sz="8" w:space="0" w:color="auto"/>
              <w:right w:val="single" w:sz="8" w:space="0" w:color="auto"/>
            </w:tcBorders>
            <w:shd w:val="clear" w:color="auto" w:fill="auto"/>
            <w:noWrap/>
            <w:vAlign w:val="center"/>
            <w:hideMark/>
          </w:tcPr>
          <w:p w14:paraId="419C8860"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(28)</w:t>
            </w:r>
          </w:p>
        </w:tc>
        <w:tc>
          <w:tcPr>
            <w:tcW w:w="452" w:type="pct"/>
            <w:tcBorders>
              <w:top w:val="nil"/>
              <w:left w:val="nil"/>
              <w:bottom w:val="single" w:sz="8" w:space="0" w:color="auto"/>
              <w:right w:val="single" w:sz="8" w:space="0" w:color="auto"/>
            </w:tcBorders>
            <w:shd w:val="clear" w:color="auto" w:fill="auto"/>
            <w:noWrap/>
            <w:vAlign w:val="center"/>
            <w:hideMark/>
          </w:tcPr>
          <w:p w14:paraId="2D28AA43"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8.544</w:t>
            </w:r>
          </w:p>
        </w:tc>
      </w:tr>
      <w:tr w:rsidR="007C6A41" w:rsidRPr="007C6A41" w14:paraId="226679E2" w14:textId="77777777" w:rsidTr="00446A14">
        <w:trPr>
          <w:trHeight w:val="238"/>
        </w:trPr>
        <w:tc>
          <w:tcPr>
            <w:tcW w:w="996" w:type="pct"/>
            <w:tcBorders>
              <w:top w:val="nil"/>
              <w:left w:val="single" w:sz="8" w:space="0" w:color="auto"/>
              <w:bottom w:val="single" w:sz="8" w:space="0" w:color="auto"/>
              <w:right w:val="single" w:sz="8" w:space="0" w:color="auto"/>
            </w:tcBorders>
            <w:shd w:val="clear" w:color="auto" w:fill="auto"/>
            <w:noWrap/>
            <w:vAlign w:val="center"/>
            <w:hideMark/>
          </w:tcPr>
          <w:p w14:paraId="243C9778" w14:textId="77777777" w:rsidR="007C6A41" w:rsidRPr="007C6A41" w:rsidRDefault="007C6A41" w:rsidP="007C6A41">
            <w:pPr>
              <w:spacing w:after="0" w:line="240" w:lineRule="auto"/>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Retenções sobre Serviços</w:t>
            </w:r>
          </w:p>
        </w:tc>
        <w:tc>
          <w:tcPr>
            <w:tcW w:w="444" w:type="pct"/>
            <w:tcBorders>
              <w:top w:val="nil"/>
              <w:left w:val="nil"/>
              <w:bottom w:val="single" w:sz="8" w:space="0" w:color="auto"/>
              <w:right w:val="single" w:sz="8" w:space="0" w:color="auto"/>
            </w:tcBorders>
            <w:shd w:val="clear" w:color="auto" w:fill="auto"/>
            <w:noWrap/>
            <w:vAlign w:val="center"/>
            <w:hideMark/>
          </w:tcPr>
          <w:p w14:paraId="438B9A2E"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5DA6AA68"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314</w:t>
            </w:r>
          </w:p>
        </w:tc>
        <w:tc>
          <w:tcPr>
            <w:tcW w:w="444" w:type="pct"/>
            <w:tcBorders>
              <w:top w:val="nil"/>
              <w:left w:val="nil"/>
              <w:bottom w:val="single" w:sz="8" w:space="0" w:color="auto"/>
              <w:right w:val="single" w:sz="8" w:space="0" w:color="auto"/>
            </w:tcBorders>
            <w:shd w:val="clear" w:color="auto" w:fill="auto"/>
            <w:noWrap/>
            <w:vAlign w:val="center"/>
            <w:hideMark/>
          </w:tcPr>
          <w:p w14:paraId="5DE42D7F"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15B2598D"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762225B9"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170E308E"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(373)</w:t>
            </w:r>
          </w:p>
        </w:tc>
        <w:tc>
          <w:tcPr>
            <w:tcW w:w="444" w:type="pct"/>
            <w:tcBorders>
              <w:top w:val="nil"/>
              <w:left w:val="nil"/>
              <w:bottom w:val="single" w:sz="8" w:space="0" w:color="auto"/>
              <w:right w:val="single" w:sz="8" w:space="0" w:color="auto"/>
            </w:tcBorders>
            <w:shd w:val="clear" w:color="auto" w:fill="auto"/>
            <w:noWrap/>
            <w:vAlign w:val="center"/>
            <w:hideMark/>
          </w:tcPr>
          <w:p w14:paraId="1669854A"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692B2938"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52" w:type="pct"/>
            <w:tcBorders>
              <w:top w:val="nil"/>
              <w:left w:val="nil"/>
              <w:bottom w:val="single" w:sz="8" w:space="0" w:color="auto"/>
              <w:right w:val="single" w:sz="8" w:space="0" w:color="auto"/>
            </w:tcBorders>
            <w:shd w:val="clear" w:color="auto" w:fill="auto"/>
            <w:noWrap/>
            <w:vAlign w:val="center"/>
            <w:hideMark/>
          </w:tcPr>
          <w:p w14:paraId="37D9322B"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(59)</w:t>
            </w:r>
          </w:p>
        </w:tc>
      </w:tr>
      <w:tr w:rsidR="007C6A41" w:rsidRPr="007C6A41" w14:paraId="11CDC78D" w14:textId="77777777" w:rsidTr="00446A14">
        <w:trPr>
          <w:trHeight w:val="238"/>
        </w:trPr>
        <w:tc>
          <w:tcPr>
            <w:tcW w:w="996" w:type="pct"/>
            <w:tcBorders>
              <w:top w:val="nil"/>
              <w:left w:val="single" w:sz="8" w:space="0" w:color="auto"/>
              <w:bottom w:val="single" w:sz="8" w:space="0" w:color="auto"/>
              <w:right w:val="single" w:sz="8" w:space="0" w:color="auto"/>
            </w:tcBorders>
            <w:shd w:val="clear" w:color="auto" w:fill="auto"/>
            <w:noWrap/>
            <w:vAlign w:val="center"/>
            <w:hideMark/>
          </w:tcPr>
          <w:p w14:paraId="505E99E8" w14:textId="77777777" w:rsidR="007C6A41" w:rsidRPr="007C6A41" w:rsidRDefault="007C6A41" w:rsidP="007C6A41">
            <w:pPr>
              <w:spacing w:after="0" w:line="240" w:lineRule="auto"/>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Retenções sobre Ativo Imobilizado</w:t>
            </w:r>
          </w:p>
        </w:tc>
        <w:tc>
          <w:tcPr>
            <w:tcW w:w="444" w:type="pct"/>
            <w:tcBorders>
              <w:top w:val="nil"/>
              <w:left w:val="nil"/>
              <w:bottom w:val="single" w:sz="8" w:space="0" w:color="auto"/>
              <w:right w:val="single" w:sz="8" w:space="0" w:color="auto"/>
            </w:tcBorders>
            <w:shd w:val="clear" w:color="auto" w:fill="auto"/>
            <w:noWrap/>
            <w:vAlign w:val="center"/>
            <w:hideMark/>
          </w:tcPr>
          <w:p w14:paraId="58434C12"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28CA32DF"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370</w:t>
            </w:r>
          </w:p>
        </w:tc>
        <w:tc>
          <w:tcPr>
            <w:tcW w:w="444" w:type="pct"/>
            <w:tcBorders>
              <w:top w:val="nil"/>
              <w:left w:val="nil"/>
              <w:bottom w:val="single" w:sz="8" w:space="0" w:color="auto"/>
              <w:right w:val="single" w:sz="8" w:space="0" w:color="auto"/>
            </w:tcBorders>
            <w:shd w:val="clear" w:color="auto" w:fill="auto"/>
            <w:noWrap/>
            <w:vAlign w:val="center"/>
            <w:hideMark/>
          </w:tcPr>
          <w:p w14:paraId="700E50CD"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703EC6B9"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335AA9F5"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3836F47F"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(520)</w:t>
            </w:r>
          </w:p>
        </w:tc>
        <w:tc>
          <w:tcPr>
            <w:tcW w:w="444" w:type="pct"/>
            <w:tcBorders>
              <w:top w:val="nil"/>
              <w:left w:val="nil"/>
              <w:bottom w:val="single" w:sz="8" w:space="0" w:color="auto"/>
              <w:right w:val="single" w:sz="8" w:space="0" w:color="auto"/>
            </w:tcBorders>
            <w:shd w:val="clear" w:color="auto" w:fill="auto"/>
            <w:noWrap/>
            <w:vAlign w:val="center"/>
            <w:hideMark/>
          </w:tcPr>
          <w:p w14:paraId="2F4E7378"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6FB0996F"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52" w:type="pct"/>
            <w:tcBorders>
              <w:top w:val="nil"/>
              <w:left w:val="nil"/>
              <w:bottom w:val="single" w:sz="8" w:space="0" w:color="auto"/>
              <w:right w:val="single" w:sz="8" w:space="0" w:color="auto"/>
            </w:tcBorders>
            <w:shd w:val="clear" w:color="auto" w:fill="auto"/>
            <w:noWrap/>
            <w:vAlign w:val="center"/>
            <w:hideMark/>
          </w:tcPr>
          <w:p w14:paraId="64FB252B"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(150)</w:t>
            </w:r>
          </w:p>
        </w:tc>
      </w:tr>
      <w:tr w:rsidR="007C6A41" w:rsidRPr="007C6A41" w14:paraId="39907570" w14:textId="77777777" w:rsidTr="00446A14">
        <w:trPr>
          <w:trHeight w:val="238"/>
        </w:trPr>
        <w:tc>
          <w:tcPr>
            <w:tcW w:w="996" w:type="pct"/>
            <w:tcBorders>
              <w:top w:val="nil"/>
              <w:left w:val="single" w:sz="8" w:space="0" w:color="auto"/>
              <w:bottom w:val="single" w:sz="8" w:space="0" w:color="auto"/>
              <w:right w:val="single" w:sz="8" w:space="0" w:color="auto"/>
            </w:tcBorders>
            <w:shd w:val="clear" w:color="auto" w:fill="auto"/>
            <w:noWrap/>
            <w:vAlign w:val="center"/>
            <w:hideMark/>
          </w:tcPr>
          <w:p w14:paraId="1E6D3967" w14:textId="77777777" w:rsidR="007C6A41" w:rsidRPr="007C6A41" w:rsidRDefault="007C6A41" w:rsidP="007C6A41">
            <w:pPr>
              <w:spacing w:after="0" w:line="240" w:lineRule="auto"/>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Subtotal - PIS</w:t>
            </w:r>
          </w:p>
        </w:tc>
        <w:tc>
          <w:tcPr>
            <w:tcW w:w="444" w:type="pct"/>
            <w:tcBorders>
              <w:top w:val="nil"/>
              <w:left w:val="nil"/>
              <w:bottom w:val="single" w:sz="8" w:space="0" w:color="auto"/>
              <w:right w:val="single" w:sz="8" w:space="0" w:color="auto"/>
            </w:tcBorders>
            <w:shd w:val="clear" w:color="auto" w:fill="auto"/>
            <w:noWrap/>
            <w:vAlign w:val="center"/>
            <w:hideMark/>
          </w:tcPr>
          <w:p w14:paraId="5F3FDB57"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8.322</w:t>
            </w:r>
          </w:p>
        </w:tc>
        <w:tc>
          <w:tcPr>
            <w:tcW w:w="444" w:type="pct"/>
            <w:tcBorders>
              <w:top w:val="nil"/>
              <w:left w:val="nil"/>
              <w:bottom w:val="single" w:sz="8" w:space="0" w:color="auto"/>
              <w:right w:val="single" w:sz="8" w:space="0" w:color="auto"/>
            </w:tcBorders>
            <w:shd w:val="clear" w:color="auto" w:fill="auto"/>
            <w:noWrap/>
            <w:vAlign w:val="center"/>
            <w:hideMark/>
          </w:tcPr>
          <w:p w14:paraId="2FCE77EA"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754</w:t>
            </w:r>
          </w:p>
        </w:tc>
        <w:tc>
          <w:tcPr>
            <w:tcW w:w="444" w:type="pct"/>
            <w:tcBorders>
              <w:top w:val="nil"/>
              <w:left w:val="nil"/>
              <w:bottom w:val="single" w:sz="8" w:space="0" w:color="auto"/>
              <w:right w:val="single" w:sz="8" w:space="0" w:color="auto"/>
            </w:tcBorders>
            <w:shd w:val="clear" w:color="auto" w:fill="auto"/>
            <w:noWrap/>
            <w:vAlign w:val="center"/>
            <w:hideMark/>
          </w:tcPr>
          <w:p w14:paraId="1EDB27A6"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588CC466"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2B5766A1"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530905B4"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(1.655)</w:t>
            </w:r>
          </w:p>
        </w:tc>
        <w:tc>
          <w:tcPr>
            <w:tcW w:w="444" w:type="pct"/>
            <w:tcBorders>
              <w:top w:val="nil"/>
              <w:left w:val="nil"/>
              <w:bottom w:val="single" w:sz="8" w:space="0" w:color="auto"/>
              <w:right w:val="single" w:sz="8" w:space="0" w:color="auto"/>
            </w:tcBorders>
            <w:shd w:val="clear" w:color="auto" w:fill="auto"/>
            <w:noWrap/>
            <w:vAlign w:val="center"/>
            <w:hideMark/>
          </w:tcPr>
          <w:p w14:paraId="1C2CB4B7"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942</w:t>
            </w:r>
          </w:p>
        </w:tc>
        <w:tc>
          <w:tcPr>
            <w:tcW w:w="444" w:type="pct"/>
            <w:tcBorders>
              <w:top w:val="nil"/>
              <w:left w:val="nil"/>
              <w:bottom w:val="single" w:sz="8" w:space="0" w:color="auto"/>
              <w:right w:val="single" w:sz="8" w:space="0" w:color="auto"/>
            </w:tcBorders>
            <w:shd w:val="clear" w:color="auto" w:fill="auto"/>
            <w:noWrap/>
            <w:vAlign w:val="center"/>
            <w:hideMark/>
          </w:tcPr>
          <w:p w14:paraId="7A1DA0A7"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(28)</w:t>
            </w:r>
          </w:p>
        </w:tc>
        <w:tc>
          <w:tcPr>
            <w:tcW w:w="452" w:type="pct"/>
            <w:tcBorders>
              <w:top w:val="nil"/>
              <w:left w:val="nil"/>
              <w:bottom w:val="single" w:sz="8" w:space="0" w:color="auto"/>
              <w:right w:val="single" w:sz="8" w:space="0" w:color="auto"/>
            </w:tcBorders>
            <w:shd w:val="clear" w:color="auto" w:fill="auto"/>
            <w:noWrap/>
            <w:vAlign w:val="center"/>
            <w:hideMark/>
          </w:tcPr>
          <w:p w14:paraId="5DA90E24"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8.335</w:t>
            </w:r>
          </w:p>
        </w:tc>
      </w:tr>
      <w:tr w:rsidR="007C6A41" w:rsidRPr="007C6A41" w14:paraId="710F3E1F" w14:textId="77777777" w:rsidTr="00446A14">
        <w:trPr>
          <w:trHeight w:val="238"/>
        </w:trPr>
        <w:tc>
          <w:tcPr>
            <w:tcW w:w="996" w:type="pct"/>
            <w:tcBorders>
              <w:top w:val="nil"/>
              <w:left w:val="single" w:sz="8" w:space="0" w:color="auto"/>
              <w:bottom w:val="single" w:sz="8" w:space="0" w:color="auto"/>
              <w:right w:val="single" w:sz="8" w:space="0" w:color="auto"/>
            </w:tcBorders>
            <w:shd w:val="clear" w:color="auto" w:fill="auto"/>
            <w:noWrap/>
            <w:vAlign w:val="center"/>
            <w:hideMark/>
          </w:tcPr>
          <w:p w14:paraId="75F614EA" w14:textId="77777777" w:rsidR="007C6A41" w:rsidRPr="007C6A41" w:rsidRDefault="007C6A41" w:rsidP="007C6A41">
            <w:pPr>
              <w:spacing w:after="0" w:line="240" w:lineRule="auto"/>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Pagamento a maior ou Indevido</w:t>
            </w:r>
          </w:p>
        </w:tc>
        <w:tc>
          <w:tcPr>
            <w:tcW w:w="444" w:type="pct"/>
            <w:tcBorders>
              <w:top w:val="nil"/>
              <w:left w:val="nil"/>
              <w:bottom w:val="single" w:sz="8" w:space="0" w:color="auto"/>
              <w:right w:val="single" w:sz="8" w:space="0" w:color="auto"/>
            </w:tcBorders>
            <w:shd w:val="clear" w:color="auto" w:fill="auto"/>
            <w:noWrap/>
            <w:vAlign w:val="center"/>
            <w:hideMark/>
          </w:tcPr>
          <w:p w14:paraId="7C8D3CEE"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665</w:t>
            </w:r>
          </w:p>
        </w:tc>
        <w:tc>
          <w:tcPr>
            <w:tcW w:w="444" w:type="pct"/>
            <w:tcBorders>
              <w:top w:val="nil"/>
              <w:left w:val="nil"/>
              <w:bottom w:val="single" w:sz="8" w:space="0" w:color="auto"/>
              <w:right w:val="single" w:sz="8" w:space="0" w:color="auto"/>
            </w:tcBorders>
            <w:shd w:val="clear" w:color="auto" w:fill="auto"/>
            <w:noWrap/>
            <w:vAlign w:val="center"/>
            <w:hideMark/>
          </w:tcPr>
          <w:p w14:paraId="51677444"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(664)</w:t>
            </w:r>
          </w:p>
        </w:tc>
        <w:tc>
          <w:tcPr>
            <w:tcW w:w="444" w:type="pct"/>
            <w:tcBorders>
              <w:top w:val="nil"/>
              <w:left w:val="nil"/>
              <w:bottom w:val="single" w:sz="8" w:space="0" w:color="auto"/>
              <w:right w:val="single" w:sz="8" w:space="0" w:color="auto"/>
            </w:tcBorders>
            <w:shd w:val="clear" w:color="auto" w:fill="auto"/>
            <w:noWrap/>
            <w:vAlign w:val="center"/>
            <w:hideMark/>
          </w:tcPr>
          <w:p w14:paraId="08E42DA6"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34B7DDB9"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0CC1C053"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7FFBF9E1"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00AE22C1"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3377FCE3"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52" w:type="pct"/>
            <w:tcBorders>
              <w:top w:val="nil"/>
              <w:left w:val="nil"/>
              <w:bottom w:val="single" w:sz="8" w:space="0" w:color="auto"/>
              <w:right w:val="single" w:sz="8" w:space="0" w:color="auto"/>
            </w:tcBorders>
            <w:shd w:val="clear" w:color="auto" w:fill="auto"/>
            <w:noWrap/>
            <w:vAlign w:val="center"/>
            <w:hideMark/>
          </w:tcPr>
          <w:p w14:paraId="1D2D61D7"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1</w:t>
            </w:r>
          </w:p>
        </w:tc>
      </w:tr>
      <w:tr w:rsidR="007C6A41" w:rsidRPr="007C6A41" w14:paraId="0EDEEEA4" w14:textId="77777777" w:rsidTr="00446A14">
        <w:trPr>
          <w:trHeight w:val="238"/>
        </w:trPr>
        <w:tc>
          <w:tcPr>
            <w:tcW w:w="996" w:type="pct"/>
            <w:tcBorders>
              <w:top w:val="nil"/>
              <w:left w:val="single" w:sz="8" w:space="0" w:color="auto"/>
              <w:bottom w:val="single" w:sz="8" w:space="0" w:color="auto"/>
              <w:right w:val="single" w:sz="8" w:space="0" w:color="auto"/>
            </w:tcBorders>
            <w:shd w:val="clear" w:color="auto" w:fill="auto"/>
            <w:noWrap/>
            <w:vAlign w:val="center"/>
            <w:hideMark/>
          </w:tcPr>
          <w:p w14:paraId="70CF189E" w14:textId="77777777" w:rsidR="007C6A41" w:rsidRPr="007C6A41" w:rsidRDefault="007C6A41" w:rsidP="007C6A41">
            <w:pPr>
              <w:spacing w:after="0" w:line="240" w:lineRule="auto"/>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Retenções de Órgãos Públicos</w:t>
            </w:r>
          </w:p>
        </w:tc>
        <w:tc>
          <w:tcPr>
            <w:tcW w:w="444" w:type="pct"/>
            <w:tcBorders>
              <w:top w:val="nil"/>
              <w:left w:val="nil"/>
              <w:bottom w:val="single" w:sz="8" w:space="0" w:color="auto"/>
              <w:right w:val="single" w:sz="8" w:space="0" w:color="auto"/>
            </w:tcBorders>
            <w:shd w:val="clear" w:color="auto" w:fill="auto"/>
            <w:noWrap/>
            <w:vAlign w:val="center"/>
            <w:hideMark/>
          </w:tcPr>
          <w:p w14:paraId="53F05677"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37.551</w:t>
            </w:r>
          </w:p>
        </w:tc>
        <w:tc>
          <w:tcPr>
            <w:tcW w:w="444" w:type="pct"/>
            <w:tcBorders>
              <w:top w:val="nil"/>
              <w:left w:val="nil"/>
              <w:bottom w:val="single" w:sz="8" w:space="0" w:color="auto"/>
              <w:right w:val="single" w:sz="8" w:space="0" w:color="auto"/>
            </w:tcBorders>
            <w:shd w:val="clear" w:color="auto" w:fill="auto"/>
            <w:noWrap/>
            <w:vAlign w:val="center"/>
            <w:hideMark/>
          </w:tcPr>
          <w:p w14:paraId="4631F0D1"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894</w:t>
            </w:r>
          </w:p>
        </w:tc>
        <w:tc>
          <w:tcPr>
            <w:tcW w:w="444" w:type="pct"/>
            <w:tcBorders>
              <w:top w:val="nil"/>
              <w:left w:val="nil"/>
              <w:bottom w:val="single" w:sz="8" w:space="0" w:color="auto"/>
              <w:right w:val="single" w:sz="8" w:space="0" w:color="auto"/>
            </w:tcBorders>
            <w:shd w:val="clear" w:color="auto" w:fill="auto"/>
            <w:noWrap/>
            <w:vAlign w:val="center"/>
            <w:hideMark/>
          </w:tcPr>
          <w:p w14:paraId="04F056C0"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133CA88B"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191A9718"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2C2328D8"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(3.417)</w:t>
            </w:r>
          </w:p>
        </w:tc>
        <w:tc>
          <w:tcPr>
            <w:tcW w:w="444" w:type="pct"/>
            <w:tcBorders>
              <w:top w:val="nil"/>
              <w:left w:val="nil"/>
              <w:bottom w:val="single" w:sz="8" w:space="0" w:color="auto"/>
              <w:right w:val="single" w:sz="8" w:space="0" w:color="auto"/>
            </w:tcBorders>
            <w:shd w:val="clear" w:color="auto" w:fill="auto"/>
            <w:noWrap/>
            <w:vAlign w:val="center"/>
            <w:hideMark/>
          </w:tcPr>
          <w:p w14:paraId="5BE2B7FD"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4.348</w:t>
            </w:r>
          </w:p>
        </w:tc>
        <w:tc>
          <w:tcPr>
            <w:tcW w:w="444" w:type="pct"/>
            <w:tcBorders>
              <w:top w:val="nil"/>
              <w:left w:val="nil"/>
              <w:bottom w:val="single" w:sz="8" w:space="0" w:color="auto"/>
              <w:right w:val="single" w:sz="8" w:space="0" w:color="auto"/>
            </w:tcBorders>
            <w:shd w:val="clear" w:color="auto" w:fill="auto"/>
            <w:noWrap/>
            <w:vAlign w:val="center"/>
            <w:hideMark/>
          </w:tcPr>
          <w:p w14:paraId="23B956BA"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(129)</w:t>
            </w:r>
          </w:p>
        </w:tc>
        <w:tc>
          <w:tcPr>
            <w:tcW w:w="452" w:type="pct"/>
            <w:tcBorders>
              <w:top w:val="nil"/>
              <w:left w:val="nil"/>
              <w:bottom w:val="single" w:sz="8" w:space="0" w:color="auto"/>
              <w:right w:val="single" w:sz="8" w:space="0" w:color="auto"/>
            </w:tcBorders>
            <w:shd w:val="clear" w:color="auto" w:fill="auto"/>
            <w:noWrap/>
            <w:vAlign w:val="center"/>
            <w:hideMark/>
          </w:tcPr>
          <w:p w14:paraId="1840F40A"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39.247</w:t>
            </w:r>
          </w:p>
        </w:tc>
      </w:tr>
      <w:tr w:rsidR="007C6A41" w:rsidRPr="007C6A41" w14:paraId="51B7E5E9" w14:textId="77777777" w:rsidTr="00446A14">
        <w:trPr>
          <w:trHeight w:val="238"/>
        </w:trPr>
        <w:tc>
          <w:tcPr>
            <w:tcW w:w="996" w:type="pct"/>
            <w:tcBorders>
              <w:top w:val="nil"/>
              <w:left w:val="single" w:sz="8" w:space="0" w:color="auto"/>
              <w:bottom w:val="single" w:sz="8" w:space="0" w:color="auto"/>
              <w:right w:val="single" w:sz="8" w:space="0" w:color="auto"/>
            </w:tcBorders>
            <w:shd w:val="clear" w:color="auto" w:fill="auto"/>
            <w:noWrap/>
            <w:vAlign w:val="center"/>
            <w:hideMark/>
          </w:tcPr>
          <w:p w14:paraId="1975B63D" w14:textId="77777777" w:rsidR="007C6A41" w:rsidRPr="007C6A41" w:rsidRDefault="007C6A41" w:rsidP="007C6A41">
            <w:pPr>
              <w:spacing w:after="0" w:line="240" w:lineRule="auto"/>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Retenções sobre Serviços</w:t>
            </w:r>
          </w:p>
        </w:tc>
        <w:tc>
          <w:tcPr>
            <w:tcW w:w="444" w:type="pct"/>
            <w:tcBorders>
              <w:top w:val="nil"/>
              <w:left w:val="nil"/>
              <w:bottom w:val="single" w:sz="8" w:space="0" w:color="auto"/>
              <w:right w:val="single" w:sz="8" w:space="0" w:color="auto"/>
            </w:tcBorders>
            <w:shd w:val="clear" w:color="auto" w:fill="auto"/>
            <w:noWrap/>
            <w:vAlign w:val="center"/>
            <w:hideMark/>
          </w:tcPr>
          <w:p w14:paraId="53DCFF87"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6043AED0"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1.526</w:t>
            </w:r>
          </w:p>
        </w:tc>
        <w:tc>
          <w:tcPr>
            <w:tcW w:w="444" w:type="pct"/>
            <w:tcBorders>
              <w:top w:val="nil"/>
              <w:left w:val="nil"/>
              <w:bottom w:val="single" w:sz="8" w:space="0" w:color="auto"/>
              <w:right w:val="single" w:sz="8" w:space="0" w:color="auto"/>
            </w:tcBorders>
            <w:shd w:val="clear" w:color="auto" w:fill="auto"/>
            <w:noWrap/>
            <w:vAlign w:val="center"/>
            <w:hideMark/>
          </w:tcPr>
          <w:p w14:paraId="1F965A6D"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6617BA8C"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375C7A7B"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71D3908E"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(1.467)</w:t>
            </w:r>
          </w:p>
        </w:tc>
        <w:tc>
          <w:tcPr>
            <w:tcW w:w="444" w:type="pct"/>
            <w:tcBorders>
              <w:top w:val="nil"/>
              <w:left w:val="nil"/>
              <w:bottom w:val="single" w:sz="8" w:space="0" w:color="auto"/>
              <w:right w:val="single" w:sz="8" w:space="0" w:color="auto"/>
            </w:tcBorders>
            <w:shd w:val="clear" w:color="auto" w:fill="auto"/>
            <w:noWrap/>
            <w:vAlign w:val="center"/>
            <w:hideMark/>
          </w:tcPr>
          <w:p w14:paraId="5C5D898D"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0B72CAB4"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52" w:type="pct"/>
            <w:tcBorders>
              <w:top w:val="nil"/>
              <w:left w:val="nil"/>
              <w:bottom w:val="single" w:sz="8" w:space="0" w:color="auto"/>
              <w:right w:val="single" w:sz="8" w:space="0" w:color="auto"/>
            </w:tcBorders>
            <w:shd w:val="clear" w:color="auto" w:fill="auto"/>
            <w:noWrap/>
            <w:vAlign w:val="center"/>
            <w:hideMark/>
          </w:tcPr>
          <w:p w14:paraId="4DD7251F"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59</w:t>
            </w:r>
          </w:p>
        </w:tc>
      </w:tr>
      <w:tr w:rsidR="007C6A41" w:rsidRPr="007C6A41" w14:paraId="779610D9" w14:textId="77777777" w:rsidTr="00446A14">
        <w:trPr>
          <w:trHeight w:val="238"/>
        </w:trPr>
        <w:tc>
          <w:tcPr>
            <w:tcW w:w="996" w:type="pct"/>
            <w:tcBorders>
              <w:top w:val="nil"/>
              <w:left w:val="single" w:sz="8" w:space="0" w:color="auto"/>
              <w:bottom w:val="single" w:sz="8" w:space="0" w:color="auto"/>
              <w:right w:val="single" w:sz="8" w:space="0" w:color="auto"/>
            </w:tcBorders>
            <w:shd w:val="clear" w:color="auto" w:fill="auto"/>
            <w:noWrap/>
            <w:vAlign w:val="center"/>
            <w:hideMark/>
          </w:tcPr>
          <w:p w14:paraId="16FBF8B5" w14:textId="77777777" w:rsidR="007C6A41" w:rsidRPr="007C6A41" w:rsidRDefault="007C6A41" w:rsidP="007C6A41">
            <w:pPr>
              <w:spacing w:after="0" w:line="240" w:lineRule="auto"/>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Retenções sobre Ativo Imobilizado</w:t>
            </w:r>
          </w:p>
        </w:tc>
        <w:tc>
          <w:tcPr>
            <w:tcW w:w="444" w:type="pct"/>
            <w:tcBorders>
              <w:top w:val="nil"/>
              <w:left w:val="nil"/>
              <w:bottom w:val="single" w:sz="8" w:space="0" w:color="auto"/>
              <w:right w:val="single" w:sz="8" w:space="0" w:color="auto"/>
            </w:tcBorders>
            <w:shd w:val="clear" w:color="auto" w:fill="auto"/>
            <w:noWrap/>
            <w:vAlign w:val="center"/>
            <w:hideMark/>
          </w:tcPr>
          <w:p w14:paraId="5B810228"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7F3CA087"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2.362</w:t>
            </w:r>
          </w:p>
        </w:tc>
        <w:tc>
          <w:tcPr>
            <w:tcW w:w="444" w:type="pct"/>
            <w:tcBorders>
              <w:top w:val="nil"/>
              <w:left w:val="nil"/>
              <w:bottom w:val="single" w:sz="8" w:space="0" w:color="auto"/>
              <w:right w:val="single" w:sz="8" w:space="0" w:color="auto"/>
            </w:tcBorders>
            <w:shd w:val="clear" w:color="auto" w:fill="auto"/>
            <w:noWrap/>
            <w:vAlign w:val="center"/>
            <w:hideMark/>
          </w:tcPr>
          <w:p w14:paraId="53E75FBD"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6E50C9DF"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2C5D65A7"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1611720A"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(2.211)</w:t>
            </w:r>
          </w:p>
        </w:tc>
        <w:tc>
          <w:tcPr>
            <w:tcW w:w="444" w:type="pct"/>
            <w:tcBorders>
              <w:top w:val="nil"/>
              <w:left w:val="nil"/>
              <w:bottom w:val="single" w:sz="8" w:space="0" w:color="auto"/>
              <w:right w:val="single" w:sz="8" w:space="0" w:color="auto"/>
            </w:tcBorders>
            <w:shd w:val="clear" w:color="auto" w:fill="auto"/>
            <w:noWrap/>
            <w:vAlign w:val="center"/>
            <w:hideMark/>
          </w:tcPr>
          <w:p w14:paraId="3650B037"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50850BDD"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52" w:type="pct"/>
            <w:tcBorders>
              <w:top w:val="nil"/>
              <w:left w:val="nil"/>
              <w:bottom w:val="single" w:sz="8" w:space="0" w:color="auto"/>
              <w:right w:val="single" w:sz="8" w:space="0" w:color="auto"/>
            </w:tcBorders>
            <w:shd w:val="clear" w:color="auto" w:fill="auto"/>
            <w:noWrap/>
            <w:vAlign w:val="center"/>
            <w:hideMark/>
          </w:tcPr>
          <w:p w14:paraId="1B250DFB"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151</w:t>
            </w:r>
          </w:p>
        </w:tc>
      </w:tr>
      <w:tr w:rsidR="007C6A41" w:rsidRPr="007C6A41" w14:paraId="0539879E" w14:textId="77777777" w:rsidTr="00446A14">
        <w:trPr>
          <w:trHeight w:val="238"/>
        </w:trPr>
        <w:tc>
          <w:tcPr>
            <w:tcW w:w="996" w:type="pct"/>
            <w:tcBorders>
              <w:top w:val="nil"/>
              <w:left w:val="single" w:sz="8" w:space="0" w:color="auto"/>
              <w:bottom w:val="single" w:sz="8" w:space="0" w:color="auto"/>
              <w:right w:val="single" w:sz="8" w:space="0" w:color="auto"/>
            </w:tcBorders>
            <w:shd w:val="clear" w:color="auto" w:fill="auto"/>
            <w:noWrap/>
            <w:vAlign w:val="center"/>
            <w:hideMark/>
          </w:tcPr>
          <w:p w14:paraId="53115DA6" w14:textId="77777777" w:rsidR="007C6A41" w:rsidRPr="007C6A41" w:rsidRDefault="007C6A41" w:rsidP="007C6A41">
            <w:pPr>
              <w:spacing w:after="0" w:line="240" w:lineRule="auto"/>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Subtotal - COFINS</w:t>
            </w:r>
          </w:p>
        </w:tc>
        <w:tc>
          <w:tcPr>
            <w:tcW w:w="444" w:type="pct"/>
            <w:tcBorders>
              <w:top w:val="nil"/>
              <w:left w:val="nil"/>
              <w:bottom w:val="single" w:sz="8" w:space="0" w:color="auto"/>
              <w:right w:val="single" w:sz="8" w:space="0" w:color="auto"/>
            </w:tcBorders>
            <w:shd w:val="clear" w:color="auto" w:fill="auto"/>
            <w:noWrap/>
            <w:vAlign w:val="center"/>
            <w:hideMark/>
          </w:tcPr>
          <w:p w14:paraId="5C429D38"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38.216</w:t>
            </w:r>
          </w:p>
        </w:tc>
        <w:tc>
          <w:tcPr>
            <w:tcW w:w="444" w:type="pct"/>
            <w:tcBorders>
              <w:top w:val="nil"/>
              <w:left w:val="nil"/>
              <w:bottom w:val="single" w:sz="8" w:space="0" w:color="auto"/>
              <w:right w:val="single" w:sz="8" w:space="0" w:color="auto"/>
            </w:tcBorders>
            <w:shd w:val="clear" w:color="auto" w:fill="auto"/>
            <w:noWrap/>
            <w:vAlign w:val="center"/>
            <w:hideMark/>
          </w:tcPr>
          <w:p w14:paraId="0296471D"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4.118</w:t>
            </w:r>
          </w:p>
        </w:tc>
        <w:tc>
          <w:tcPr>
            <w:tcW w:w="444" w:type="pct"/>
            <w:tcBorders>
              <w:top w:val="nil"/>
              <w:left w:val="nil"/>
              <w:bottom w:val="single" w:sz="8" w:space="0" w:color="auto"/>
              <w:right w:val="single" w:sz="8" w:space="0" w:color="auto"/>
            </w:tcBorders>
            <w:shd w:val="clear" w:color="auto" w:fill="auto"/>
            <w:noWrap/>
            <w:vAlign w:val="center"/>
            <w:hideMark/>
          </w:tcPr>
          <w:p w14:paraId="5A32C7E0"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692AB9E3"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272A1E52"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15D9F600"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(7.095)</w:t>
            </w:r>
          </w:p>
        </w:tc>
        <w:tc>
          <w:tcPr>
            <w:tcW w:w="444" w:type="pct"/>
            <w:tcBorders>
              <w:top w:val="nil"/>
              <w:left w:val="nil"/>
              <w:bottom w:val="single" w:sz="8" w:space="0" w:color="auto"/>
              <w:right w:val="single" w:sz="8" w:space="0" w:color="auto"/>
            </w:tcBorders>
            <w:shd w:val="clear" w:color="auto" w:fill="auto"/>
            <w:noWrap/>
            <w:vAlign w:val="center"/>
            <w:hideMark/>
          </w:tcPr>
          <w:p w14:paraId="65BF190B"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4.348</w:t>
            </w:r>
          </w:p>
        </w:tc>
        <w:tc>
          <w:tcPr>
            <w:tcW w:w="444" w:type="pct"/>
            <w:tcBorders>
              <w:top w:val="nil"/>
              <w:left w:val="nil"/>
              <w:bottom w:val="single" w:sz="8" w:space="0" w:color="auto"/>
              <w:right w:val="single" w:sz="8" w:space="0" w:color="auto"/>
            </w:tcBorders>
            <w:shd w:val="clear" w:color="auto" w:fill="auto"/>
            <w:noWrap/>
            <w:vAlign w:val="center"/>
            <w:hideMark/>
          </w:tcPr>
          <w:p w14:paraId="6F3099ED"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(129)</w:t>
            </w:r>
          </w:p>
        </w:tc>
        <w:tc>
          <w:tcPr>
            <w:tcW w:w="452" w:type="pct"/>
            <w:tcBorders>
              <w:top w:val="nil"/>
              <w:left w:val="nil"/>
              <w:bottom w:val="single" w:sz="8" w:space="0" w:color="auto"/>
              <w:right w:val="single" w:sz="8" w:space="0" w:color="auto"/>
            </w:tcBorders>
            <w:shd w:val="clear" w:color="auto" w:fill="auto"/>
            <w:noWrap/>
            <w:vAlign w:val="center"/>
            <w:hideMark/>
          </w:tcPr>
          <w:p w14:paraId="368E1E9F"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39.458</w:t>
            </w:r>
          </w:p>
        </w:tc>
      </w:tr>
      <w:tr w:rsidR="007C6A41" w:rsidRPr="007C6A41" w14:paraId="602123D8" w14:textId="77777777" w:rsidTr="00446A14">
        <w:trPr>
          <w:trHeight w:val="238"/>
        </w:trPr>
        <w:tc>
          <w:tcPr>
            <w:tcW w:w="996" w:type="pct"/>
            <w:tcBorders>
              <w:top w:val="nil"/>
              <w:left w:val="single" w:sz="8" w:space="0" w:color="auto"/>
              <w:bottom w:val="single" w:sz="8" w:space="0" w:color="auto"/>
              <w:right w:val="single" w:sz="8" w:space="0" w:color="auto"/>
            </w:tcBorders>
            <w:shd w:val="clear" w:color="auto" w:fill="auto"/>
            <w:noWrap/>
            <w:vAlign w:val="center"/>
            <w:hideMark/>
          </w:tcPr>
          <w:p w14:paraId="0B146150" w14:textId="77777777" w:rsidR="007C6A41" w:rsidRPr="007C6A41" w:rsidRDefault="007C6A41" w:rsidP="007C6A41">
            <w:pPr>
              <w:spacing w:after="0" w:line="240" w:lineRule="auto"/>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Retenções de Órgãos Públicos</w:t>
            </w:r>
          </w:p>
        </w:tc>
        <w:tc>
          <w:tcPr>
            <w:tcW w:w="444" w:type="pct"/>
            <w:tcBorders>
              <w:top w:val="nil"/>
              <w:left w:val="nil"/>
              <w:bottom w:val="single" w:sz="8" w:space="0" w:color="auto"/>
              <w:right w:val="single" w:sz="8" w:space="0" w:color="auto"/>
            </w:tcBorders>
            <w:shd w:val="clear" w:color="auto" w:fill="auto"/>
            <w:noWrap/>
            <w:vAlign w:val="center"/>
            <w:hideMark/>
          </w:tcPr>
          <w:p w14:paraId="27E5F449"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3BD94D2A"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97</w:t>
            </w:r>
          </w:p>
        </w:tc>
        <w:tc>
          <w:tcPr>
            <w:tcW w:w="444" w:type="pct"/>
            <w:tcBorders>
              <w:top w:val="nil"/>
              <w:left w:val="nil"/>
              <w:bottom w:val="single" w:sz="8" w:space="0" w:color="auto"/>
              <w:right w:val="single" w:sz="8" w:space="0" w:color="auto"/>
            </w:tcBorders>
            <w:shd w:val="clear" w:color="auto" w:fill="auto"/>
            <w:noWrap/>
            <w:vAlign w:val="center"/>
            <w:hideMark/>
          </w:tcPr>
          <w:p w14:paraId="1A722A63"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28D0E18C"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70697992"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1969BB58"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0844E8A1"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569D0ACE"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52" w:type="pct"/>
            <w:tcBorders>
              <w:top w:val="nil"/>
              <w:left w:val="nil"/>
              <w:bottom w:val="single" w:sz="8" w:space="0" w:color="auto"/>
              <w:right w:val="single" w:sz="8" w:space="0" w:color="auto"/>
            </w:tcBorders>
            <w:shd w:val="clear" w:color="auto" w:fill="auto"/>
            <w:noWrap/>
            <w:vAlign w:val="center"/>
            <w:hideMark/>
          </w:tcPr>
          <w:p w14:paraId="61B46204"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97</w:t>
            </w:r>
          </w:p>
        </w:tc>
      </w:tr>
      <w:tr w:rsidR="007C6A41" w:rsidRPr="007C6A41" w14:paraId="48CD4849" w14:textId="77777777" w:rsidTr="00446A14">
        <w:trPr>
          <w:trHeight w:val="238"/>
        </w:trPr>
        <w:tc>
          <w:tcPr>
            <w:tcW w:w="996" w:type="pct"/>
            <w:tcBorders>
              <w:top w:val="nil"/>
              <w:left w:val="single" w:sz="8" w:space="0" w:color="auto"/>
              <w:bottom w:val="single" w:sz="8" w:space="0" w:color="auto"/>
              <w:right w:val="single" w:sz="8" w:space="0" w:color="auto"/>
            </w:tcBorders>
            <w:shd w:val="clear" w:color="auto" w:fill="auto"/>
            <w:noWrap/>
            <w:vAlign w:val="center"/>
            <w:hideMark/>
          </w:tcPr>
          <w:p w14:paraId="726900FD" w14:textId="77777777" w:rsidR="007C6A41" w:rsidRPr="007C6A41" w:rsidRDefault="007C6A41" w:rsidP="007C6A41">
            <w:pPr>
              <w:spacing w:after="0" w:line="240" w:lineRule="auto"/>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Subtotal - ISS</w:t>
            </w:r>
          </w:p>
        </w:tc>
        <w:tc>
          <w:tcPr>
            <w:tcW w:w="444" w:type="pct"/>
            <w:tcBorders>
              <w:top w:val="nil"/>
              <w:left w:val="nil"/>
              <w:bottom w:val="single" w:sz="8" w:space="0" w:color="auto"/>
              <w:right w:val="single" w:sz="8" w:space="0" w:color="auto"/>
            </w:tcBorders>
            <w:shd w:val="clear" w:color="auto" w:fill="auto"/>
            <w:noWrap/>
            <w:vAlign w:val="center"/>
            <w:hideMark/>
          </w:tcPr>
          <w:p w14:paraId="4157DCDA"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62C0633F"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97</w:t>
            </w:r>
          </w:p>
        </w:tc>
        <w:tc>
          <w:tcPr>
            <w:tcW w:w="444" w:type="pct"/>
            <w:tcBorders>
              <w:top w:val="nil"/>
              <w:left w:val="nil"/>
              <w:bottom w:val="single" w:sz="8" w:space="0" w:color="auto"/>
              <w:right w:val="single" w:sz="8" w:space="0" w:color="auto"/>
            </w:tcBorders>
            <w:shd w:val="clear" w:color="auto" w:fill="auto"/>
            <w:noWrap/>
            <w:vAlign w:val="center"/>
            <w:hideMark/>
          </w:tcPr>
          <w:p w14:paraId="09AC4FBE"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327BD60F"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53CFD377"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66F06A26"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30251F8E"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1B3845B5"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 xml:space="preserve">                           - </w:t>
            </w:r>
          </w:p>
        </w:tc>
        <w:tc>
          <w:tcPr>
            <w:tcW w:w="452" w:type="pct"/>
            <w:tcBorders>
              <w:top w:val="nil"/>
              <w:left w:val="nil"/>
              <w:bottom w:val="single" w:sz="8" w:space="0" w:color="auto"/>
              <w:right w:val="single" w:sz="8" w:space="0" w:color="auto"/>
            </w:tcBorders>
            <w:shd w:val="clear" w:color="auto" w:fill="auto"/>
            <w:noWrap/>
            <w:vAlign w:val="center"/>
            <w:hideMark/>
          </w:tcPr>
          <w:p w14:paraId="58D6F04B"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97</w:t>
            </w:r>
          </w:p>
        </w:tc>
      </w:tr>
      <w:tr w:rsidR="007C6A41" w:rsidRPr="007C6A41" w14:paraId="7476DF80" w14:textId="77777777" w:rsidTr="00446A14">
        <w:trPr>
          <w:trHeight w:val="238"/>
        </w:trPr>
        <w:tc>
          <w:tcPr>
            <w:tcW w:w="996" w:type="pct"/>
            <w:tcBorders>
              <w:top w:val="nil"/>
              <w:left w:val="single" w:sz="8" w:space="0" w:color="auto"/>
              <w:bottom w:val="single" w:sz="8" w:space="0" w:color="auto"/>
              <w:right w:val="single" w:sz="8" w:space="0" w:color="auto"/>
            </w:tcBorders>
            <w:shd w:val="clear" w:color="auto" w:fill="auto"/>
            <w:noWrap/>
            <w:vAlign w:val="center"/>
            <w:hideMark/>
          </w:tcPr>
          <w:p w14:paraId="065AE699" w14:textId="77777777" w:rsidR="007C6A41" w:rsidRPr="007C6A41" w:rsidRDefault="007C6A41" w:rsidP="007C6A41">
            <w:pPr>
              <w:spacing w:after="0" w:line="240" w:lineRule="auto"/>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Pagamento a maior ou Indevido</w:t>
            </w:r>
          </w:p>
        </w:tc>
        <w:tc>
          <w:tcPr>
            <w:tcW w:w="444" w:type="pct"/>
            <w:tcBorders>
              <w:top w:val="nil"/>
              <w:left w:val="nil"/>
              <w:bottom w:val="single" w:sz="8" w:space="0" w:color="auto"/>
              <w:right w:val="single" w:sz="8" w:space="0" w:color="auto"/>
            </w:tcBorders>
            <w:shd w:val="clear" w:color="auto" w:fill="auto"/>
            <w:noWrap/>
            <w:vAlign w:val="center"/>
            <w:hideMark/>
          </w:tcPr>
          <w:p w14:paraId="684D3965"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28</w:t>
            </w:r>
          </w:p>
        </w:tc>
        <w:tc>
          <w:tcPr>
            <w:tcW w:w="444" w:type="pct"/>
            <w:tcBorders>
              <w:top w:val="nil"/>
              <w:left w:val="nil"/>
              <w:bottom w:val="single" w:sz="8" w:space="0" w:color="auto"/>
              <w:right w:val="single" w:sz="8" w:space="0" w:color="auto"/>
            </w:tcBorders>
            <w:shd w:val="clear" w:color="auto" w:fill="auto"/>
            <w:noWrap/>
            <w:vAlign w:val="center"/>
            <w:hideMark/>
          </w:tcPr>
          <w:p w14:paraId="759FD245"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0F52A791"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70F31AF2"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395DBBBD"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5BF80505"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54E575F8"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01EB8D2E"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52" w:type="pct"/>
            <w:tcBorders>
              <w:top w:val="nil"/>
              <w:left w:val="nil"/>
              <w:bottom w:val="single" w:sz="8" w:space="0" w:color="auto"/>
              <w:right w:val="single" w:sz="8" w:space="0" w:color="auto"/>
            </w:tcBorders>
            <w:shd w:val="clear" w:color="auto" w:fill="auto"/>
            <w:noWrap/>
            <w:vAlign w:val="center"/>
            <w:hideMark/>
          </w:tcPr>
          <w:p w14:paraId="4493C845"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28</w:t>
            </w:r>
          </w:p>
        </w:tc>
      </w:tr>
      <w:tr w:rsidR="007C6A41" w:rsidRPr="007C6A41" w14:paraId="7B136898" w14:textId="77777777" w:rsidTr="00446A14">
        <w:trPr>
          <w:trHeight w:val="238"/>
        </w:trPr>
        <w:tc>
          <w:tcPr>
            <w:tcW w:w="996" w:type="pct"/>
            <w:tcBorders>
              <w:top w:val="nil"/>
              <w:left w:val="single" w:sz="8" w:space="0" w:color="auto"/>
              <w:bottom w:val="single" w:sz="8" w:space="0" w:color="auto"/>
              <w:right w:val="single" w:sz="8" w:space="0" w:color="auto"/>
            </w:tcBorders>
            <w:shd w:val="clear" w:color="auto" w:fill="auto"/>
            <w:noWrap/>
            <w:vAlign w:val="center"/>
            <w:hideMark/>
          </w:tcPr>
          <w:p w14:paraId="0F691994" w14:textId="77777777" w:rsidR="007C6A41" w:rsidRPr="007C6A41" w:rsidRDefault="007C6A41" w:rsidP="007C6A41">
            <w:pPr>
              <w:spacing w:after="0" w:line="240" w:lineRule="auto"/>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Subtotal - INSS</w:t>
            </w:r>
          </w:p>
        </w:tc>
        <w:tc>
          <w:tcPr>
            <w:tcW w:w="444" w:type="pct"/>
            <w:tcBorders>
              <w:top w:val="nil"/>
              <w:left w:val="nil"/>
              <w:bottom w:val="single" w:sz="8" w:space="0" w:color="auto"/>
              <w:right w:val="single" w:sz="8" w:space="0" w:color="auto"/>
            </w:tcBorders>
            <w:shd w:val="clear" w:color="auto" w:fill="auto"/>
            <w:noWrap/>
            <w:vAlign w:val="center"/>
            <w:hideMark/>
          </w:tcPr>
          <w:p w14:paraId="4E0701C8"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28</w:t>
            </w:r>
          </w:p>
        </w:tc>
        <w:tc>
          <w:tcPr>
            <w:tcW w:w="444" w:type="pct"/>
            <w:tcBorders>
              <w:top w:val="nil"/>
              <w:left w:val="nil"/>
              <w:bottom w:val="single" w:sz="8" w:space="0" w:color="auto"/>
              <w:right w:val="single" w:sz="8" w:space="0" w:color="auto"/>
            </w:tcBorders>
            <w:shd w:val="clear" w:color="auto" w:fill="auto"/>
            <w:noWrap/>
            <w:vAlign w:val="center"/>
            <w:hideMark/>
          </w:tcPr>
          <w:p w14:paraId="7DDC2647"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01B55CB8"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25B2BA1D"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549AB803"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4E9234E3"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5A03D496"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5FFF5C73"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 xml:space="preserve">                           - </w:t>
            </w:r>
          </w:p>
        </w:tc>
        <w:tc>
          <w:tcPr>
            <w:tcW w:w="452" w:type="pct"/>
            <w:tcBorders>
              <w:top w:val="nil"/>
              <w:left w:val="nil"/>
              <w:bottom w:val="single" w:sz="8" w:space="0" w:color="auto"/>
              <w:right w:val="single" w:sz="8" w:space="0" w:color="auto"/>
            </w:tcBorders>
            <w:shd w:val="clear" w:color="auto" w:fill="auto"/>
            <w:noWrap/>
            <w:vAlign w:val="center"/>
            <w:hideMark/>
          </w:tcPr>
          <w:p w14:paraId="628A9F70"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28</w:t>
            </w:r>
          </w:p>
        </w:tc>
      </w:tr>
      <w:tr w:rsidR="007C6A41" w:rsidRPr="007C6A41" w14:paraId="2234E403" w14:textId="77777777" w:rsidTr="00446A14">
        <w:trPr>
          <w:trHeight w:val="238"/>
        </w:trPr>
        <w:tc>
          <w:tcPr>
            <w:tcW w:w="996" w:type="pct"/>
            <w:tcBorders>
              <w:top w:val="nil"/>
              <w:left w:val="single" w:sz="8" w:space="0" w:color="auto"/>
              <w:bottom w:val="single" w:sz="8" w:space="0" w:color="auto"/>
              <w:right w:val="single" w:sz="8" w:space="0" w:color="auto"/>
            </w:tcBorders>
            <w:shd w:val="clear" w:color="auto" w:fill="auto"/>
            <w:noWrap/>
            <w:vAlign w:val="center"/>
            <w:hideMark/>
          </w:tcPr>
          <w:p w14:paraId="32A0986A" w14:textId="77777777" w:rsidR="007C6A41" w:rsidRPr="007C6A41" w:rsidRDefault="007C6A41" w:rsidP="007C6A41">
            <w:pPr>
              <w:spacing w:after="0" w:line="240" w:lineRule="auto"/>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Pagamento a maior ou Indevido</w:t>
            </w:r>
          </w:p>
        </w:tc>
        <w:tc>
          <w:tcPr>
            <w:tcW w:w="444" w:type="pct"/>
            <w:tcBorders>
              <w:top w:val="nil"/>
              <w:left w:val="nil"/>
              <w:bottom w:val="single" w:sz="8" w:space="0" w:color="auto"/>
              <w:right w:val="single" w:sz="8" w:space="0" w:color="auto"/>
            </w:tcBorders>
            <w:shd w:val="clear" w:color="auto" w:fill="auto"/>
            <w:noWrap/>
            <w:vAlign w:val="center"/>
            <w:hideMark/>
          </w:tcPr>
          <w:p w14:paraId="5603E476"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3.865</w:t>
            </w:r>
          </w:p>
        </w:tc>
        <w:tc>
          <w:tcPr>
            <w:tcW w:w="444" w:type="pct"/>
            <w:tcBorders>
              <w:top w:val="nil"/>
              <w:left w:val="nil"/>
              <w:bottom w:val="single" w:sz="8" w:space="0" w:color="auto"/>
              <w:right w:val="single" w:sz="8" w:space="0" w:color="auto"/>
            </w:tcBorders>
            <w:shd w:val="clear" w:color="auto" w:fill="auto"/>
            <w:noWrap/>
            <w:vAlign w:val="center"/>
            <w:hideMark/>
          </w:tcPr>
          <w:p w14:paraId="6E60676B"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(809)</w:t>
            </w:r>
          </w:p>
        </w:tc>
        <w:tc>
          <w:tcPr>
            <w:tcW w:w="444" w:type="pct"/>
            <w:tcBorders>
              <w:top w:val="nil"/>
              <w:left w:val="nil"/>
              <w:bottom w:val="single" w:sz="8" w:space="0" w:color="auto"/>
              <w:right w:val="single" w:sz="8" w:space="0" w:color="auto"/>
            </w:tcBorders>
            <w:shd w:val="clear" w:color="auto" w:fill="auto"/>
            <w:noWrap/>
            <w:vAlign w:val="center"/>
            <w:hideMark/>
          </w:tcPr>
          <w:p w14:paraId="036C6AF0"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714F1E6D"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034F2001"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0D8B8921"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3D186466"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6BD06A61"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(2.243)</w:t>
            </w:r>
          </w:p>
        </w:tc>
        <w:tc>
          <w:tcPr>
            <w:tcW w:w="452" w:type="pct"/>
            <w:tcBorders>
              <w:top w:val="nil"/>
              <w:left w:val="nil"/>
              <w:bottom w:val="single" w:sz="8" w:space="0" w:color="auto"/>
              <w:right w:val="single" w:sz="8" w:space="0" w:color="auto"/>
            </w:tcBorders>
            <w:shd w:val="clear" w:color="auto" w:fill="auto"/>
            <w:noWrap/>
            <w:vAlign w:val="center"/>
            <w:hideMark/>
          </w:tcPr>
          <w:p w14:paraId="358DF676"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813</w:t>
            </w:r>
          </w:p>
        </w:tc>
      </w:tr>
      <w:tr w:rsidR="007C6A41" w:rsidRPr="007C6A41" w14:paraId="5B28175D" w14:textId="77777777" w:rsidTr="00446A14">
        <w:trPr>
          <w:trHeight w:val="238"/>
        </w:trPr>
        <w:tc>
          <w:tcPr>
            <w:tcW w:w="996" w:type="pct"/>
            <w:tcBorders>
              <w:top w:val="nil"/>
              <w:left w:val="single" w:sz="8" w:space="0" w:color="auto"/>
              <w:bottom w:val="single" w:sz="8" w:space="0" w:color="auto"/>
              <w:right w:val="single" w:sz="8" w:space="0" w:color="auto"/>
            </w:tcBorders>
            <w:shd w:val="clear" w:color="auto" w:fill="auto"/>
            <w:noWrap/>
            <w:vAlign w:val="center"/>
            <w:hideMark/>
          </w:tcPr>
          <w:p w14:paraId="621C0414" w14:textId="77777777" w:rsidR="007C6A41" w:rsidRPr="007C6A41" w:rsidRDefault="007C6A41" w:rsidP="007C6A41">
            <w:pPr>
              <w:spacing w:after="0" w:line="240" w:lineRule="auto"/>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Pagamento Antecipado</w:t>
            </w:r>
          </w:p>
        </w:tc>
        <w:tc>
          <w:tcPr>
            <w:tcW w:w="444" w:type="pct"/>
            <w:tcBorders>
              <w:top w:val="nil"/>
              <w:left w:val="nil"/>
              <w:bottom w:val="single" w:sz="8" w:space="0" w:color="auto"/>
              <w:right w:val="single" w:sz="8" w:space="0" w:color="auto"/>
            </w:tcBorders>
            <w:shd w:val="clear" w:color="auto" w:fill="auto"/>
            <w:noWrap/>
            <w:vAlign w:val="center"/>
            <w:hideMark/>
          </w:tcPr>
          <w:p w14:paraId="67D56DEC"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01E6DDD7"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10D93230"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77670DF0"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478EB15D"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5</w:t>
            </w:r>
          </w:p>
        </w:tc>
        <w:tc>
          <w:tcPr>
            <w:tcW w:w="444" w:type="pct"/>
            <w:tcBorders>
              <w:top w:val="nil"/>
              <w:left w:val="nil"/>
              <w:bottom w:val="single" w:sz="8" w:space="0" w:color="auto"/>
              <w:right w:val="single" w:sz="8" w:space="0" w:color="auto"/>
            </w:tcBorders>
            <w:shd w:val="clear" w:color="auto" w:fill="auto"/>
            <w:noWrap/>
            <w:vAlign w:val="center"/>
            <w:hideMark/>
          </w:tcPr>
          <w:p w14:paraId="48371C52"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(5)</w:t>
            </w:r>
          </w:p>
        </w:tc>
        <w:tc>
          <w:tcPr>
            <w:tcW w:w="444" w:type="pct"/>
            <w:tcBorders>
              <w:top w:val="nil"/>
              <w:left w:val="nil"/>
              <w:bottom w:val="single" w:sz="8" w:space="0" w:color="auto"/>
              <w:right w:val="single" w:sz="8" w:space="0" w:color="auto"/>
            </w:tcBorders>
            <w:shd w:val="clear" w:color="auto" w:fill="auto"/>
            <w:noWrap/>
            <w:vAlign w:val="center"/>
            <w:hideMark/>
          </w:tcPr>
          <w:p w14:paraId="05463FF9"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7310E030"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52" w:type="pct"/>
            <w:tcBorders>
              <w:top w:val="nil"/>
              <w:left w:val="nil"/>
              <w:bottom w:val="single" w:sz="8" w:space="0" w:color="auto"/>
              <w:right w:val="single" w:sz="8" w:space="0" w:color="auto"/>
            </w:tcBorders>
            <w:shd w:val="clear" w:color="auto" w:fill="auto"/>
            <w:noWrap/>
            <w:vAlign w:val="center"/>
            <w:hideMark/>
          </w:tcPr>
          <w:p w14:paraId="69757C22"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r>
      <w:tr w:rsidR="007C6A41" w:rsidRPr="007C6A41" w14:paraId="46329E31" w14:textId="77777777" w:rsidTr="00446A14">
        <w:trPr>
          <w:trHeight w:val="238"/>
        </w:trPr>
        <w:tc>
          <w:tcPr>
            <w:tcW w:w="996" w:type="pct"/>
            <w:tcBorders>
              <w:top w:val="nil"/>
              <w:left w:val="single" w:sz="8" w:space="0" w:color="auto"/>
              <w:bottom w:val="single" w:sz="8" w:space="0" w:color="auto"/>
              <w:right w:val="single" w:sz="8" w:space="0" w:color="auto"/>
            </w:tcBorders>
            <w:shd w:val="clear" w:color="auto" w:fill="auto"/>
            <w:noWrap/>
            <w:vAlign w:val="center"/>
            <w:hideMark/>
          </w:tcPr>
          <w:p w14:paraId="2C154405" w14:textId="77777777" w:rsidR="007C6A41" w:rsidRPr="007C6A41" w:rsidRDefault="007C6A41" w:rsidP="007C6A41">
            <w:pPr>
              <w:spacing w:after="0" w:line="240" w:lineRule="auto"/>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Créditos sobre Compras - Serviços de Telecom</w:t>
            </w:r>
          </w:p>
        </w:tc>
        <w:tc>
          <w:tcPr>
            <w:tcW w:w="444" w:type="pct"/>
            <w:tcBorders>
              <w:top w:val="nil"/>
              <w:left w:val="nil"/>
              <w:bottom w:val="single" w:sz="8" w:space="0" w:color="auto"/>
              <w:right w:val="single" w:sz="8" w:space="0" w:color="auto"/>
            </w:tcBorders>
            <w:shd w:val="clear" w:color="auto" w:fill="auto"/>
            <w:noWrap/>
            <w:vAlign w:val="center"/>
            <w:hideMark/>
          </w:tcPr>
          <w:p w14:paraId="46DF499C"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14.549</w:t>
            </w:r>
          </w:p>
        </w:tc>
        <w:tc>
          <w:tcPr>
            <w:tcW w:w="444" w:type="pct"/>
            <w:tcBorders>
              <w:top w:val="nil"/>
              <w:left w:val="nil"/>
              <w:bottom w:val="single" w:sz="8" w:space="0" w:color="auto"/>
              <w:right w:val="single" w:sz="8" w:space="0" w:color="auto"/>
            </w:tcBorders>
            <w:shd w:val="clear" w:color="auto" w:fill="auto"/>
            <w:noWrap/>
            <w:vAlign w:val="center"/>
            <w:hideMark/>
          </w:tcPr>
          <w:p w14:paraId="7F17BEAF"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9.485</w:t>
            </w:r>
          </w:p>
        </w:tc>
        <w:tc>
          <w:tcPr>
            <w:tcW w:w="444" w:type="pct"/>
            <w:tcBorders>
              <w:top w:val="nil"/>
              <w:left w:val="nil"/>
              <w:bottom w:val="single" w:sz="8" w:space="0" w:color="auto"/>
              <w:right w:val="single" w:sz="8" w:space="0" w:color="auto"/>
            </w:tcBorders>
            <w:shd w:val="clear" w:color="auto" w:fill="auto"/>
            <w:noWrap/>
            <w:vAlign w:val="center"/>
            <w:hideMark/>
          </w:tcPr>
          <w:p w14:paraId="4CFB37AF"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5C941501"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37F6BECD"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1002867B"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(9.552)</w:t>
            </w:r>
          </w:p>
        </w:tc>
        <w:tc>
          <w:tcPr>
            <w:tcW w:w="444" w:type="pct"/>
            <w:tcBorders>
              <w:top w:val="nil"/>
              <w:left w:val="nil"/>
              <w:bottom w:val="single" w:sz="8" w:space="0" w:color="auto"/>
              <w:right w:val="single" w:sz="8" w:space="0" w:color="auto"/>
            </w:tcBorders>
            <w:shd w:val="clear" w:color="auto" w:fill="auto"/>
            <w:noWrap/>
            <w:vAlign w:val="center"/>
            <w:hideMark/>
          </w:tcPr>
          <w:p w14:paraId="4BEDE583"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008AC1B6"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(3)</w:t>
            </w:r>
          </w:p>
        </w:tc>
        <w:tc>
          <w:tcPr>
            <w:tcW w:w="452" w:type="pct"/>
            <w:tcBorders>
              <w:top w:val="nil"/>
              <w:left w:val="nil"/>
              <w:bottom w:val="single" w:sz="8" w:space="0" w:color="auto"/>
              <w:right w:val="single" w:sz="8" w:space="0" w:color="auto"/>
            </w:tcBorders>
            <w:shd w:val="clear" w:color="auto" w:fill="auto"/>
            <w:noWrap/>
            <w:vAlign w:val="center"/>
            <w:hideMark/>
          </w:tcPr>
          <w:p w14:paraId="663624E7"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14.479</w:t>
            </w:r>
          </w:p>
        </w:tc>
      </w:tr>
      <w:tr w:rsidR="007C6A41" w:rsidRPr="007C6A41" w14:paraId="5FEA2261" w14:textId="77777777" w:rsidTr="00446A14">
        <w:trPr>
          <w:trHeight w:val="238"/>
        </w:trPr>
        <w:tc>
          <w:tcPr>
            <w:tcW w:w="996" w:type="pct"/>
            <w:tcBorders>
              <w:top w:val="nil"/>
              <w:left w:val="single" w:sz="8" w:space="0" w:color="auto"/>
              <w:bottom w:val="single" w:sz="8" w:space="0" w:color="auto"/>
              <w:right w:val="single" w:sz="8" w:space="0" w:color="auto"/>
            </w:tcBorders>
            <w:shd w:val="clear" w:color="auto" w:fill="auto"/>
            <w:noWrap/>
            <w:vAlign w:val="center"/>
            <w:hideMark/>
          </w:tcPr>
          <w:p w14:paraId="1EEB8ECD" w14:textId="77777777" w:rsidR="007C6A41" w:rsidRPr="007C6A41" w:rsidRDefault="007C6A41" w:rsidP="007C6A41">
            <w:pPr>
              <w:spacing w:after="0" w:line="240" w:lineRule="auto"/>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Crédito de Energia Elétrica</w:t>
            </w:r>
          </w:p>
        </w:tc>
        <w:tc>
          <w:tcPr>
            <w:tcW w:w="444" w:type="pct"/>
            <w:tcBorders>
              <w:top w:val="nil"/>
              <w:left w:val="nil"/>
              <w:bottom w:val="single" w:sz="8" w:space="0" w:color="auto"/>
              <w:right w:val="single" w:sz="8" w:space="0" w:color="auto"/>
            </w:tcBorders>
            <w:shd w:val="clear" w:color="auto" w:fill="auto"/>
            <w:noWrap/>
            <w:vAlign w:val="center"/>
            <w:hideMark/>
          </w:tcPr>
          <w:p w14:paraId="4DD20F83"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0EA9E18B"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372</w:t>
            </w:r>
          </w:p>
        </w:tc>
        <w:tc>
          <w:tcPr>
            <w:tcW w:w="444" w:type="pct"/>
            <w:tcBorders>
              <w:top w:val="nil"/>
              <w:left w:val="nil"/>
              <w:bottom w:val="single" w:sz="8" w:space="0" w:color="auto"/>
              <w:right w:val="single" w:sz="8" w:space="0" w:color="auto"/>
            </w:tcBorders>
            <w:shd w:val="clear" w:color="auto" w:fill="auto"/>
            <w:noWrap/>
            <w:vAlign w:val="center"/>
            <w:hideMark/>
          </w:tcPr>
          <w:p w14:paraId="263E59E1"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410AD20C"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5728F0DF"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58AD8509"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13D584F0"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0159966D"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(61)</w:t>
            </w:r>
          </w:p>
        </w:tc>
        <w:tc>
          <w:tcPr>
            <w:tcW w:w="452" w:type="pct"/>
            <w:tcBorders>
              <w:top w:val="nil"/>
              <w:left w:val="nil"/>
              <w:bottom w:val="single" w:sz="8" w:space="0" w:color="auto"/>
              <w:right w:val="single" w:sz="8" w:space="0" w:color="auto"/>
            </w:tcBorders>
            <w:shd w:val="clear" w:color="auto" w:fill="auto"/>
            <w:noWrap/>
            <w:vAlign w:val="center"/>
            <w:hideMark/>
          </w:tcPr>
          <w:p w14:paraId="64EC7FA7"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311</w:t>
            </w:r>
          </w:p>
        </w:tc>
      </w:tr>
      <w:tr w:rsidR="007C6A41" w:rsidRPr="007C6A41" w14:paraId="3C4E3C12" w14:textId="77777777" w:rsidTr="00446A14">
        <w:trPr>
          <w:trHeight w:val="238"/>
        </w:trPr>
        <w:tc>
          <w:tcPr>
            <w:tcW w:w="996" w:type="pct"/>
            <w:tcBorders>
              <w:top w:val="nil"/>
              <w:left w:val="single" w:sz="8" w:space="0" w:color="auto"/>
              <w:bottom w:val="single" w:sz="8" w:space="0" w:color="auto"/>
              <w:right w:val="single" w:sz="8" w:space="0" w:color="auto"/>
            </w:tcBorders>
            <w:shd w:val="clear" w:color="auto" w:fill="auto"/>
            <w:noWrap/>
            <w:vAlign w:val="center"/>
            <w:hideMark/>
          </w:tcPr>
          <w:p w14:paraId="3435BA15" w14:textId="77777777" w:rsidR="007C6A41" w:rsidRPr="007C6A41" w:rsidRDefault="007C6A41" w:rsidP="007C6A41">
            <w:pPr>
              <w:spacing w:after="0" w:line="240" w:lineRule="auto"/>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Sobre Aquisições do Imobilizado</w:t>
            </w:r>
          </w:p>
        </w:tc>
        <w:tc>
          <w:tcPr>
            <w:tcW w:w="444" w:type="pct"/>
            <w:tcBorders>
              <w:top w:val="nil"/>
              <w:left w:val="nil"/>
              <w:bottom w:val="single" w:sz="8" w:space="0" w:color="auto"/>
              <w:right w:val="single" w:sz="8" w:space="0" w:color="auto"/>
            </w:tcBorders>
            <w:shd w:val="clear" w:color="auto" w:fill="auto"/>
            <w:noWrap/>
            <w:vAlign w:val="center"/>
            <w:hideMark/>
          </w:tcPr>
          <w:p w14:paraId="0C307F1D"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35.904</w:t>
            </w:r>
          </w:p>
        </w:tc>
        <w:tc>
          <w:tcPr>
            <w:tcW w:w="444" w:type="pct"/>
            <w:tcBorders>
              <w:top w:val="nil"/>
              <w:left w:val="nil"/>
              <w:bottom w:val="single" w:sz="8" w:space="0" w:color="auto"/>
              <w:right w:val="single" w:sz="8" w:space="0" w:color="auto"/>
            </w:tcBorders>
            <w:shd w:val="clear" w:color="auto" w:fill="auto"/>
            <w:noWrap/>
            <w:vAlign w:val="center"/>
            <w:hideMark/>
          </w:tcPr>
          <w:p w14:paraId="3B8939F3"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11.167</w:t>
            </w:r>
          </w:p>
        </w:tc>
        <w:tc>
          <w:tcPr>
            <w:tcW w:w="444" w:type="pct"/>
            <w:tcBorders>
              <w:top w:val="nil"/>
              <w:left w:val="nil"/>
              <w:bottom w:val="single" w:sz="8" w:space="0" w:color="auto"/>
              <w:right w:val="single" w:sz="8" w:space="0" w:color="auto"/>
            </w:tcBorders>
            <w:shd w:val="clear" w:color="auto" w:fill="auto"/>
            <w:noWrap/>
            <w:vAlign w:val="center"/>
            <w:hideMark/>
          </w:tcPr>
          <w:p w14:paraId="1A8104E2"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(337)</w:t>
            </w:r>
          </w:p>
        </w:tc>
        <w:tc>
          <w:tcPr>
            <w:tcW w:w="444" w:type="pct"/>
            <w:tcBorders>
              <w:top w:val="nil"/>
              <w:left w:val="nil"/>
              <w:bottom w:val="single" w:sz="8" w:space="0" w:color="auto"/>
              <w:right w:val="single" w:sz="8" w:space="0" w:color="auto"/>
            </w:tcBorders>
            <w:shd w:val="clear" w:color="auto" w:fill="auto"/>
            <w:noWrap/>
            <w:vAlign w:val="center"/>
            <w:hideMark/>
          </w:tcPr>
          <w:p w14:paraId="62A51144"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71943C43"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5ED8B905"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(7.904)</w:t>
            </w:r>
          </w:p>
        </w:tc>
        <w:tc>
          <w:tcPr>
            <w:tcW w:w="444" w:type="pct"/>
            <w:tcBorders>
              <w:top w:val="nil"/>
              <w:left w:val="nil"/>
              <w:bottom w:val="single" w:sz="8" w:space="0" w:color="auto"/>
              <w:right w:val="single" w:sz="8" w:space="0" w:color="auto"/>
            </w:tcBorders>
            <w:shd w:val="clear" w:color="auto" w:fill="auto"/>
            <w:noWrap/>
            <w:vAlign w:val="center"/>
            <w:hideMark/>
          </w:tcPr>
          <w:p w14:paraId="3B3ED733"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74D285F5"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(5.806)</w:t>
            </w:r>
          </w:p>
        </w:tc>
        <w:tc>
          <w:tcPr>
            <w:tcW w:w="452" w:type="pct"/>
            <w:tcBorders>
              <w:top w:val="nil"/>
              <w:left w:val="nil"/>
              <w:bottom w:val="single" w:sz="8" w:space="0" w:color="auto"/>
              <w:right w:val="single" w:sz="8" w:space="0" w:color="auto"/>
            </w:tcBorders>
            <w:shd w:val="clear" w:color="auto" w:fill="auto"/>
            <w:noWrap/>
            <w:vAlign w:val="center"/>
            <w:hideMark/>
          </w:tcPr>
          <w:p w14:paraId="4B69FE51"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33.024</w:t>
            </w:r>
          </w:p>
        </w:tc>
      </w:tr>
      <w:tr w:rsidR="007C6A41" w:rsidRPr="007C6A41" w14:paraId="1D2B25CB" w14:textId="77777777" w:rsidTr="00446A14">
        <w:trPr>
          <w:trHeight w:val="238"/>
        </w:trPr>
        <w:tc>
          <w:tcPr>
            <w:tcW w:w="996" w:type="pct"/>
            <w:tcBorders>
              <w:top w:val="nil"/>
              <w:left w:val="single" w:sz="8" w:space="0" w:color="auto"/>
              <w:bottom w:val="single" w:sz="8" w:space="0" w:color="auto"/>
              <w:right w:val="single" w:sz="8" w:space="0" w:color="auto"/>
            </w:tcBorders>
            <w:shd w:val="clear" w:color="auto" w:fill="auto"/>
            <w:noWrap/>
            <w:vAlign w:val="center"/>
            <w:hideMark/>
          </w:tcPr>
          <w:p w14:paraId="206365CB" w14:textId="77777777" w:rsidR="007C6A41" w:rsidRPr="007C6A41" w:rsidRDefault="007C6A41" w:rsidP="007C6A41">
            <w:pPr>
              <w:spacing w:after="0" w:line="240" w:lineRule="auto"/>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Outras - Operações</w:t>
            </w:r>
          </w:p>
        </w:tc>
        <w:tc>
          <w:tcPr>
            <w:tcW w:w="444" w:type="pct"/>
            <w:tcBorders>
              <w:top w:val="nil"/>
              <w:left w:val="nil"/>
              <w:bottom w:val="single" w:sz="8" w:space="0" w:color="auto"/>
              <w:right w:val="single" w:sz="8" w:space="0" w:color="auto"/>
            </w:tcBorders>
            <w:shd w:val="clear" w:color="auto" w:fill="auto"/>
            <w:noWrap/>
            <w:vAlign w:val="center"/>
            <w:hideMark/>
          </w:tcPr>
          <w:p w14:paraId="2044DBC3"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138</w:t>
            </w:r>
          </w:p>
        </w:tc>
        <w:tc>
          <w:tcPr>
            <w:tcW w:w="444" w:type="pct"/>
            <w:tcBorders>
              <w:top w:val="nil"/>
              <w:left w:val="nil"/>
              <w:bottom w:val="single" w:sz="8" w:space="0" w:color="auto"/>
              <w:right w:val="single" w:sz="8" w:space="0" w:color="auto"/>
            </w:tcBorders>
            <w:shd w:val="clear" w:color="auto" w:fill="auto"/>
            <w:noWrap/>
            <w:vAlign w:val="center"/>
            <w:hideMark/>
          </w:tcPr>
          <w:p w14:paraId="0CAF9877"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(4)</w:t>
            </w:r>
          </w:p>
        </w:tc>
        <w:tc>
          <w:tcPr>
            <w:tcW w:w="444" w:type="pct"/>
            <w:tcBorders>
              <w:top w:val="nil"/>
              <w:left w:val="nil"/>
              <w:bottom w:val="single" w:sz="8" w:space="0" w:color="auto"/>
              <w:right w:val="single" w:sz="8" w:space="0" w:color="auto"/>
            </w:tcBorders>
            <w:shd w:val="clear" w:color="auto" w:fill="auto"/>
            <w:noWrap/>
            <w:vAlign w:val="center"/>
            <w:hideMark/>
          </w:tcPr>
          <w:p w14:paraId="4778D1CA"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011513F2"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20AACB0F"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533CD55E"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5FD25119"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227E1B6D"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(37)</w:t>
            </w:r>
          </w:p>
        </w:tc>
        <w:tc>
          <w:tcPr>
            <w:tcW w:w="452" w:type="pct"/>
            <w:tcBorders>
              <w:top w:val="nil"/>
              <w:left w:val="nil"/>
              <w:bottom w:val="single" w:sz="8" w:space="0" w:color="auto"/>
              <w:right w:val="single" w:sz="8" w:space="0" w:color="auto"/>
            </w:tcBorders>
            <w:shd w:val="clear" w:color="auto" w:fill="auto"/>
            <w:noWrap/>
            <w:vAlign w:val="center"/>
            <w:hideMark/>
          </w:tcPr>
          <w:p w14:paraId="5AEEFB4A" w14:textId="77777777" w:rsidR="007C6A41" w:rsidRPr="007C6A41" w:rsidRDefault="007C6A41" w:rsidP="007C6A41">
            <w:pPr>
              <w:spacing w:after="0" w:line="240" w:lineRule="auto"/>
              <w:jc w:val="right"/>
              <w:rPr>
                <w:rFonts w:ascii="Arial" w:eastAsia="Times New Roman" w:hAnsi="Arial" w:cs="Arial"/>
                <w:color w:val="000000"/>
                <w:kern w:val="0"/>
                <w:sz w:val="10"/>
                <w:szCs w:val="10"/>
                <w:lang w:eastAsia="pt-BR"/>
                <w14:ligatures w14:val="none"/>
              </w:rPr>
            </w:pPr>
            <w:r w:rsidRPr="007C6A41">
              <w:rPr>
                <w:rFonts w:ascii="Arial" w:eastAsia="Times New Roman" w:hAnsi="Arial" w:cs="Arial"/>
                <w:color w:val="000000"/>
                <w:kern w:val="0"/>
                <w:sz w:val="10"/>
                <w:szCs w:val="10"/>
                <w:lang w:eastAsia="pt-BR"/>
                <w14:ligatures w14:val="none"/>
              </w:rPr>
              <w:t>97</w:t>
            </w:r>
          </w:p>
        </w:tc>
      </w:tr>
      <w:tr w:rsidR="007C6A41" w:rsidRPr="007C6A41" w14:paraId="6C143D86" w14:textId="77777777" w:rsidTr="00446A14">
        <w:trPr>
          <w:trHeight w:val="238"/>
        </w:trPr>
        <w:tc>
          <w:tcPr>
            <w:tcW w:w="996" w:type="pct"/>
            <w:tcBorders>
              <w:top w:val="nil"/>
              <w:left w:val="single" w:sz="8" w:space="0" w:color="auto"/>
              <w:bottom w:val="single" w:sz="8" w:space="0" w:color="auto"/>
              <w:right w:val="single" w:sz="8" w:space="0" w:color="auto"/>
            </w:tcBorders>
            <w:shd w:val="clear" w:color="auto" w:fill="auto"/>
            <w:noWrap/>
            <w:vAlign w:val="center"/>
            <w:hideMark/>
          </w:tcPr>
          <w:p w14:paraId="1B55A368" w14:textId="77777777" w:rsidR="007C6A41" w:rsidRPr="007C6A41" w:rsidRDefault="007C6A41" w:rsidP="007C6A41">
            <w:pPr>
              <w:spacing w:after="0" w:line="240" w:lineRule="auto"/>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Subtotal - ICMS</w:t>
            </w:r>
          </w:p>
        </w:tc>
        <w:tc>
          <w:tcPr>
            <w:tcW w:w="444" w:type="pct"/>
            <w:tcBorders>
              <w:top w:val="nil"/>
              <w:left w:val="nil"/>
              <w:bottom w:val="single" w:sz="8" w:space="0" w:color="auto"/>
              <w:right w:val="single" w:sz="8" w:space="0" w:color="auto"/>
            </w:tcBorders>
            <w:shd w:val="clear" w:color="auto" w:fill="auto"/>
            <w:noWrap/>
            <w:vAlign w:val="center"/>
            <w:hideMark/>
          </w:tcPr>
          <w:p w14:paraId="3F6A8B46"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54.456</w:t>
            </w:r>
          </w:p>
        </w:tc>
        <w:tc>
          <w:tcPr>
            <w:tcW w:w="444" w:type="pct"/>
            <w:tcBorders>
              <w:top w:val="nil"/>
              <w:left w:val="nil"/>
              <w:bottom w:val="single" w:sz="8" w:space="0" w:color="auto"/>
              <w:right w:val="single" w:sz="8" w:space="0" w:color="auto"/>
            </w:tcBorders>
            <w:shd w:val="clear" w:color="auto" w:fill="auto"/>
            <w:noWrap/>
            <w:vAlign w:val="center"/>
            <w:hideMark/>
          </w:tcPr>
          <w:p w14:paraId="756DC2A2"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20.211</w:t>
            </w:r>
          </w:p>
        </w:tc>
        <w:tc>
          <w:tcPr>
            <w:tcW w:w="444" w:type="pct"/>
            <w:tcBorders>
              <w:top w:val="nil"/>
              <w:left w:val="nil"/>
              <w:bottom w:val="single" w:sz="8" w:space="0" w:color="auto"/>
              <w:right w:val="single" w:sz="8" w:space="0" w:color="auto"/>
            </w:tcBorders>
            <w:shd w:val="clear" w:color="auto" w:fill="auto"/>
            <w:noWrap/>
            <w:vAlign w:val="center"/>
            <w:hideMark/>
          </w:tcPr>
          <w:p w14:paraId="0ED0C8A0"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(337)</w:t>
            </w:r>
          </w:p>
        </w:tc>
        <w:tc>
          <w:tcPr>
            <w:tcW w:w="444" w:type="pct"/>
            <w:tcBorders>
              <w:top w:val="nil"/>
              <w:left w:val="nil"/>
              <w:bottom w:val="single" w:sz="8" w:space="0" w:color="auto"/>
              <w:right w:val="single" w:sz="8" w:space="0" w:color="auto"/>
            </w:tcBorders>
            <w:shd w:val="clear" w:color="auto" w:fill="auto"/>
            <w:noWrap/>
            <w:vAlign w:val="center"/>
            <w:hideMark/>
          </w:tcPr>
          <w:p w14:paraId="7AAD5AB1"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677D3DD2"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5</w:t>
            </w:r>
          </w:p>
        </w:tc>
        <w:tc>
          <w:tcPr>
            <w:tcW w:w="444" w:type="pct"/>
            <w:tcBorders>
              <w:top w:val="nil"/>
              <w:left w:val="nil"/>
              <w:bottom w:val="single" w:sz="8" w:space="0" w:color="auto"/>
              <w:right w:val="single" w:sz="8" w:space="0" w:color="auto"/>
            </w:tcBorders>
            <w:shd w:val="clear" w:color="auto" w:fill="auto"/>
            <w:noWrap/>
            <w:vAlign w:val="center"/>
            <w:hideMark/>
          </w:tcPr>
          <w:p w14:paraId="4AB99581"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(17.461)</w:t>
            </w:r>
          </w:p>
        </w:tc>
        <w:tc>
          <w:tcPr>
            <w:tcW w:w="444" w:type="pct"/>
            <w:tcBorders>
              <w:top w:val="nil"/>
              <w:left w:val="nil"/>
              <w:bottom w:val="single" w:sz="8" w:space="0" w:color="auto"/>
              <w:right w:val="single" w:sz="8" w:space="0" w:color="auto"/>
            </w:tcBorders>
            <w:shd w:val="clear" w:color="auto" w:fill="auto"/>
            <w:noWrap/>
            <w:vAlign w:val="center"/>
            <w:hideMark/>
          </w:tcPr>
          <w:p w14:paraId="4CA94523"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 xml:space="preserve">                           - </w:t>
            </w:r>
          </w:p>
        </w:tc>
        <w:tc>
          <w:tcPr>
            <w:tcW w:w="444" w:type="pct"/>
            <w:tcBorders>
              <w:top w:val="nil"/>
              <w:left w:val="nil"/>
              <w:bottom w:val="single" w:sz="8" w:space="0" w:color="auto"/>
              <w:right w:val="single" w:sz="8" w:space="0" w:color="auto"/>
            </w:tcBorders>
            <w:shd w:val="clear" w:color="auto" w:fill="auto"/>
            <w:noWrap/>
            <w:vAlign w:val="center"/>
            <w:hideMark/>
          </w:tcPr>
          <w:p w14:paraId="14CE304D"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(8.150)</w:t>
            </w:r>
          </w:p>
        </w:tc>
        <w:tc>
          <w:tcPr>
            <w:tcW w:w="452" w:type="pct"/>
            <w:tcBorders>
              <w:top w:val="nil"/>
              <w:left w:val="nil"/>
              <w:bottom w:val="single" w:sz="8" w:space="0" w:color="auto"/>
              <w:right w:val="single" w:sz="8" w:space="0" w:color="auto"/>
            </w:tcBorders>
            <w:shd w:val="clear" w:color="auto" w:fill="auto"/>
            <w:noWrap/>
            <w:vAlign w:val="center"/>
            <w:hideMark/>
          </w:tcPr>
          <w:p w14:paraId="451FB29E"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48.724</w:t>
            </w:r>
          </w:p>
        </w:tc>
      </w:tr>
      <w:tr w:rsidR="007C6A41" w:rsidRPr="007C6A41" w14:paraId="1952DA0C" w14:textId="77777777" w:rsidTr="00446A14">
        <w:trPr>
          <w:trHeight w:val="238"/>
        </w:trPr>
        <w:tc>
          <w:tcPr>
            <w:tcW w:w="996" w:type="pct"/>
            <w:tcBorders>
              <w:top w:val="nil"/>
              <w:left w:val="single" w:sz="8" w:space="0" w:color="auto"/>
              <w:bottom w:val="single" w:sz="8" w:space="0" w:color="auto"/>
              <w:right w:val="single" w:sz="8" w:space="0" w:color="auto"/>
            </w:tcBorders>
            <w:shd w:val="clear" w:color="auto" w:fill="auto"/>
            <w:noWrap/>
            <w:vAlign w:val="center"/>
            <w:hideMark/>
          </w:tcPr>
          <w:p w14:paraId="5F892D9F" w14:textId="77777777" w:rsidR="007C6A41" w:rsidRPr="007C6A41" w:rsidRDefault="007C6A41" w:rsidP="007C6A41">
            <w:pPr>
              <w:spacing w:after="0" w:line="240" w:lineRule="auto"/>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TOTAL</w:t>
            </w:r>
          </w:p>
        </w:tc>
        <w:tc>
          <w:tcPr>
            <w:tcW w:w="444" w:type="pct"/>
            <w:tcBorders>
              <w:top w:val="nil"/>
              <w:left w:val="nil"/>
              <w:bottom w:val="single" w:sz="8" w:space="0" w:color="auto"/>
              <w:right w:val="single" w:sz="8" w:space="0" w:color="auto"/>
            </w:tcBorders>
            <w:shd w:val="clear" w:color="auto" w:fill="auto"/>
            <w:noWrap/>
            <w:vAlign w:val="center"/>
            <w:hideMark/>
          </w:tcPr>
          <w:p w14:paraId="2CA814FD"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178.314</w:t>
            </w:r>
          </w:p>
        </w:tc>
        <w:tc>
          <w:tcPr>
            <w:tcW w:w="444" w:type="pct"/>
            <w:tcBorders>
              <w:top w:val="nil"/>
              <w:left w:val="nil"/>
              <w:bottom w:val="single" w:sz="8" w:space="0" w:color="auto"/>
              <w:right w:val="single" w:sz="8" w:space="0" w:color="auto"/>
            </w:tcBorders>
            <w:shd w:val="clear" w:color="auto" w:fill="auto"/>
            <w:noWrap/>
            <w:vAlign w:val="center"/>
            <w:hideMark/>
          </w:tcPr>
          <w:p w14:paraId="4739FAC9"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74.789</w:t>
            </w:r>
          </w:p>
        </w:tc>
        <w:tc>
          <w:tcPr>
            <w:tcW w:w="444" w:type="pct"/>
            <w:tcBorders>
              <w:top w:val="nil"/>
              <w:left w:val="nil"/>
              <w:bottom w:val="single" w:sz="8" w:space="0" w:color="auto"/>
              <w:right w:val="single" w:sz="8" w:space="0" w:color="auto"/>
            </w:tcBorders>
            <w:shd w:val="clear" w:color="auto" w:fill="auto"/>
            <w:noWrap/>
            <w:vAlign w:val="center"/>
            <w:hideMark/>
          </w:tcPr>
          <w:p w14:paraId="1656D8CC"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(337)</w:t>
            </w:r>
          </w:p>
        </w:tc>
        <w:tc>
          <w:tcPr>
            <w:tcW w:w="444" w:type="pct"/>
            <w:tcBorders>
              <w:top w:val="nil"/>
              <w:left w:val="nil"/>
              <w:bottom w:val="single" w:sz="8" w:space="0" w:color="auto"/>
              <w:right w:val="single" w:sz="8" w:space="0" w:color="auto"/>
            </w:tcBorders>
            <w:shd w:val="clear" w:color="auto" w:fill="auto"/>
            <w:noWrap/>
            <w:vAlign w:val="center"/>
            <w:hideMark/>
          </w:tcPr>
          <w:p w14:paraId="1CC7D38B"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(29.420)</w:t>
            </w:r>
          </w:p>
        </w:tc>
        <w:tc>
          <w:tcPr>
            <w:tcW w:w="444" w:type="pct"/>
            <w:tcBorders>
              <w:top w:val="nil"/>
              <w:left w:val="nil"/>
              <w:bottom w:val="single" w:sz="8" w:space="0" w:color="auto"/>
              <w:right w:val="single" w:sz="8" w:space="0" w:color="auto"/>
            </w:tcBorders>
            <w:shd w:val="clear" w:color="auto" w:fill="auto"/>
            <w:noWrap/>
            <w:vAlign w:val="center"/>
            <w:hideMark/>
          </w:tcPr>
          <w:p w14:paraId="390B2F46"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5</w:t>
            </w:r>
          </w:p>
        </w:tc>
        <w:tc>
          <w:tcPr>
            <w:tcW w:w="444" w:type="pct"/>
            <w:tcBorders>
              <w:top w:val="nil"/>
              <w:left w:val="nil"/>
              <w:bottom w:val="single" w:sz="8" w:space="0" w:color="auto"/>
              <w:right w:val="single" w:sz="8" w:space="0" w:color="auto"/>
            </w:tcBorders>
            <w:shd w:val="clear" w:color="auto" w:fill="auto"/>
            <w:noWrap/>
            <w:vAlign w:val="center"/>
            <w:hideMark/>
          </w:tcPr>
          <w:p w14:paraId="7D21579C"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(38.488)</w:t>
            </w:r>
          </w:p>
        </w:tc>
        <w:tc>
          <w:tcPr>
            <w:tcW w:w="444" w:type="pct"/>
            <w:tcBorders>
              <w:top w:val="nil"/>
              <w:left w:val="nil"/>
              <w:bottom w:val="single" w:sz="8" w:space="0" w:color="auto"/>
              <w:right w:val="single" w:sz="8" w:space="0" w:color="auto"/>
            </w:tcBorders>
            <w:shd w:val="clear" w:color="auto" w:fill="auto"/>
            <w:noWrap/>
            <w:vAlign w:val="center"/>
            <w:hideMark/>
          </w:tcPr>
          <w:p w14:paraId="032AEAF2"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12.679</w:t>
            </w:r>
          </w:p>
        </w:tc>
        <w:tc>
          <w:tcPr>
            <w:tcW w:w="444" w:type="pct"/>
            <w:tcBorders>
              <w:top w:val="nil"/>
              <w:left w:val="nil"/>
              <w:bottom w:val="single" w:sz="8" w:space="0" w:color="auto"/>
              <w:right w:val="single" w:sz="8" w:space="0" w:color="auto"/>
            </w:tcBorders>
            <w:shd w:val="clear" w:color="auto" w:fill="auto"/>
            <w:noWrap/>
            <w:vAlign w:val="center"/>
            <w:hideMark/>
          </w:tcPr>
          <w:p w14:paraId="2083EF5A"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(8.307)</w:t>
            </w:r>
          </w:p>
        </w:tc>
        <w:tc>
          <w:tcPr>
            <w:tcW w:w="452" w:type="pct"/>
            <w:tcBorders>
              <w:top w:val="nil"/>
              <w:left w:val="nil"/>
              <w:bottom w:val="single" w:sz="8" w:space="0" w:color="auto"/>
              <w:right w:val="single" w:sz="8" w:space="0" w:color="auto"/>
            </w:tcBorders>
            <w:shd w:val="clear" w:color="auto" w:fill="auto"/>
            <w:noWrap/>
            <w:vAlign w:val="center"/>
            <w:hideMark/>
          </w:tcPr>
          <w:p w14:paraId="00821456" w14:textId="77777777" w:rsidR="007C6A41" w:rsidRPr="007C6A41" w:rsidRDefault="007C6A41" w:rsidP="007C6A41">
            <w:pPr>
              <w:spacing w:after="0" w:line="240" w:lineRule="auto"/>
              <w:jc w:val="right"/>
              <w:rPr>
                <w:rFonts w:ascii="Arial" w:eastAsia="Times New Roman" w:hAnsi="Arial" w:cs="Arial"/>
                <w:b/>
                <w:bCs/>
                <w:color w:val="000000"/>
                <w:kern w:val="0"/>
                <w:sz w:val="10"/>
                <w:szCs w:val="10"/>
                <w:lang w:eastAsia="pt-BR"/>
                <w14:ligatures w14:val="none"/>
              </w:rPr>
            </w:pPr>
            <w:r w:rsidRPr="007C6A41">
              <w:rPr>
                <w:rFonts w:ascii="Arial" w:eastAsia="Times New Roman" w:hAnsi="Arial" w:cs="Arial"/>
                <w:b/>
                <w:bCs/>
                <w:color w:val="000000"/>
                <w:kern w:val="0"/>
                <w:sz w:val="10"/>
                <w:szCs w:val="10"/>
                <w:lang w:eastAsia="pt-BR"/>
                <w14:ligatures w14:val="none"/>
              </w:rPr>
              <w:t>189.235</w:t>
            </w:r>
          </w:p>
        </w:tc>
      </w:tr>
    </w:tbl>
    <w:p w14:paraId="14E2136A" w14:textId="342922D8" w:rsidR="007C6A41" w:rsidRPr="007C6A41" w:rsidRDefault="007C6A41" w:rsidP="007A23F8">
      <w:pPr>
        <w:autoSpaceDE w:val="0"/>
        <w:autoSpaceDN w:val="0"/>
        <w:adjustRightInd w:val="0"/>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7.2. </w:t>
      </w:r>
      <w:r w:rsidRPr="007C6A41">
        <w:rPr>
          <w:rFonts w:ascii="Calibri" w:eastAsia="Times New Roman" w:hAnsi="Calibri" w:cs="Calibri"/>
          <w:b/>
          <w:bCs/>
          <w:iCs/>
          <w:color w:val="002060"/>
          <w:kern w:val="0"/>
          <w14:ligatures w14:val="none"/>
        </w:rPr>
        <w:t>Imposto de Renda e Contribuição Social Sobre o Lucro Líquido</w:t>
      </w:r>
    </w:p>
    <w:p w14:paraId="400F8753" w14:textId="77777777" w:rsidR="007C6A41" w:rsidRDefault="007C6A41" w:rsidP="007A23F8">
      <w:pPr>
        <w:autoSpaceDE w:val="0"/>
        <w:autoSpaceDN w:val="0"/>
        <w:adjustRightInd w:val="0"/>
        <w:spacing w:after="0" w:line="240" w:lineRule="auto"/>
        <w:jc w:val="both"/>
        <w:rPr>
          <w:rFonts w:ascii="Calibri" w:eastAsia="Times New Roman" w:hAnsi="Calibri" w:cs="Calibri"/>
          <w:iCs/>
          <w:color w:val="002060"/>
          <w:kern w:val="0"/>
          <w14:ligatures w14:val="none"/>
        </w:rPr>
      </w:pPr>
      <w:r w:rsidRPr="007C6A41">
        <w:rPr>
          <w:rFonts w:ascii="Calibri" w:eastAsia="Times New Roman" w:hAnsi="Calibri" w:cs="Calibri"/>
          <w:iCs/>
          <w:color w:val="002060"/>
          <w:kern w:val="0"/>
          <w14:ligatures w14:val="none"/>
        </w:rPr>
        <w:t>O Imposto de Renda e a Contribuição Social do exercício corrente são calculados com base nas alíquotas de 15%, acrescida de 10% sobre o lucro tributável que exceder a R$ 240 para o Imposto de Renda e de 9% sobre o lucro tributável para a Contribuição Social, e consideram a compensação de prejuízos fiscais e base negativa de Contribuição Social limitada a 30% do lucro real. A opção de tributação da Companhia é o lucro real anual com antecipações mensais.</w:t>
      </w:r>
    </w:p>
    <w:tbl>
      <w:tblPr>
        <w:tblW w:w="5000" w:type="pct"/>
        <w:tblCellMar>
          <w:left w:w="70" w:type="dxa"/>
          <w:right w:w="70" w:type="dxa"/>
        </w:tblCellMar>
        <w:tblLook w:val="04A0" w:firstRow="1" w:lastRow="0" w:firstColumn="1" w:lastColumn="0" w:noHBand="0" w:noVBand="1"/>
      </w:tblPr>
      <w:tblGrid>
        <w:gridCol w:w="4815"/>
        <w:gridCol w:w="1276"/>
        <w:gridCol w:w="1276"/>
        <w:gridCol w:w="1276"/>
        <w:gridCol w:w="1128"/>
      </w:tblGrid>
      <w:tr w:rsidR="007C6A41" w:rsidRPr="007C6A41" w14:paraId="064A5FAC" w14:textId="77777777" w:rsidTr="00446A14">
        <w:trPr>
          <w:trHeight w:val="238"/>
          <w:tblHeader/>
        </w:trPr>
        <w:tc>
          <w:tcPr>
            <w:tcW w:w="246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7417792" w14:textId="77777777" w:rsidR="007C6A41" w:rsidRPr="007C6A41" w:rsidRDefault="007C6A41" w:rsidP="007C6A41">
            <w:pPr>
              <w:spacing w:after="0" w:line="240" w:lineRule="auto"/>
              <w:rPr>
                <w:rFonts w:ascii="Arial" w:eastAsia="Times New Roman" w:hAnsi="Arial" w:cs="Arial"/>
                <w:b/>
                <w:bCs/>
                <w:color w:val="000000"/>
                <w:kern w:val="0"/>
                <w:sz w:val="16"/>
                <w:szCs w:val="16"/>
                <w:lang w:eastAsia="pt-BR"/>
                <w14:ligatures w14:val="none"/>
              </w:rPr>
            </w:pPr>
            <w:r w:rsidRPr="007C6A41">
              <w:rPr>
                <w:rFonts w:ascii="Arial" w:eastAsia="Times New Roman" w:hAnsi="Arial" w:cs="Arial"/>
                <w:b/>
                <w:bCs/>
                <w:color w:val="000000"/>
                <w:kern w:val="0"/>
                <w:sz w:val="16"/>
                <w:szCs w:val="16"/>
                <w:lang w:eastAsia="pt-BR"/>
                <w14:ligatures w14:val="none"/>
              </w:rPr>
              <w:t>Composição:</w:t>
            </w:r>
          </w:p>
        </w:tc>
        <w:tc>
          <w:tcPr>
            <w:tcW w:w="1306" w:type="pct"/>
            <w:gridSpan w:val="2"/>
            <w:tcBorders>
              <w:top w:val="single" w:sz="4" w:space="0" w:color="auto"/>
              <w:left w:val="nil"/>
              <w:bottom w:val="single" w:sz="4" w:space="0" w:color="auto"/>
              <w:right w:val="single" w:sz="4" w:space="0" w:color="auto"/>
            </w:tcBorders>
            <w:shd w:val="clear" w:color="auto" w:fill="auto"/>
            <w:vAlign w:val="center"/>
            <w:hideMark/>
          </w:tcPr>
          <w:p w14:paraId="059512F4" w14:textId="77777777" w:rsidR="007C6A41" w:rsidRPr="007C6A41" w:rsidRDefault="007C6A41" w:rsidP="007C6A41">
            <w:pPr>
              <w:spacing w:after="0" w:line="240" w:lineRule="auto"/>
              <w:jc w:val="center"/>
              <w:rPr>
                <w:rFonts w:ascii="Arial" w:eastAsia="Times New Roman" w:hAnsi="Arial" w:cs="Arial"/>
                <w:b/>
                <w:bCs/>
                <w:color w:val="000000"/>
                <w:kern w:val="0"/>
                <w:sz w:val="16"/>
                <w:szCs w:val="16"/>
                <w:lang w:eastAsia="pt-BR"/>
                <w14:ligatures w14:val="none"/>
              </w:rPr>
            </w:pPr>
            <w:r w:rsidRPr="007C6A41">
              <w:rPr>
                <w:rFonts w:ascii="Arial" w:eastAsia="Times New Roman" w:hAnsi="Arial" w:cs="Arial"/>
                <w:b/>
                <w:bCs/>
                <w:color w:val="000000"/>
                <w:kern w:val="0"/>
                <w:sz w:val="16"/>
                <w:szCs w:val="16"/>
                <w:lang w:eastAsia="pt-BR"/>
                <w14:ligatures w14:val="none"/>
              </w:rPr>
              <w:t>31/12/2023</w:t>
            </w:r>
          </w:p>
        </w:tc>
        <w:tc>
          <w:tcPr>
            <w:tcW w:w="1230" w:type="pct"/>
            <w:gridSpan w:val="2"/>
            <w:tcBorders>
              <w:top w:val="single" w:sz="4" w:space="0" w:color="auto"/>
              <w:left w:val="nil"/>
              <w:bottom w:val="single" w:sz="4" w:space="0" w:color="auto"/>
              <w:right w:val="single" w:sz="4" w:space="0" w:color="auto"/>
            </w:tcBorders>
            <w:shd w:val="clear" w:color="auto" w:fill="auto"/>
            <w:vAlign w:val="center"/>
            <w:hideMark/>
          </w:tcPr>
          <w:p w14:paraId="4304D83B" w14:textId="77777777" w:rsidR="007C6A41" w:rsidRPr="007C6A41" w:rsidRDefault="007C6A41" w:rsidP="007C6A41">
            <w:pPr>
              <w:spacing w:after="0" w:line="240" w:lineRule="auto"/>
              <w:jc w:val="center"/>
              <w:rPr>
                <w:rFonts w:ascii="Arial" w:eastAsia="Times New Roman" w:hAnsi="Arial" w:cs="Arial"/>
                <w:b/>
                <w:bCs/>
                <w:color w:val="000000"/>
                <w:kern w:val="0"/>
                <w:sz w:val="16"/>
                <w:szCs w:val="16"/>
                <w:lang w:eastAsia="pt-BR"/>
                <w14:ligatures w14:val="none"/>
              </w:rPr>
            </w:pPr>
            <w:r w:rsidRPr="007C6A41">
              <w:rPr>
                <w:rFonts w:ascii="Arial" w:eastAsia="Times New Roman" w:hAnsi="Arial" w:cs="Arial"/>
                <w:b/>
                <w:bCs/>
                <w:color w:val="000000"/>
                <w:kern w:val="0"/>
                <w:sz w:val="16"/>
                <w:szCs w:val="16"/>
                <w:lang w:eastAsia="pt-BR"/>
                <w14:ligatures w14:val="none"/>
              </w:rPr>
              <w:t>31/12/2022</w:t>
            </w:r>
          </w:p>
          <w:p w14:paraId="2BE8351D" w14:textId="77777777" w:rsidR="007C6A41" w:rsidRPr="007C6A41" w:rsidRDefault="007C6A41" w:rsidP="007C6A41">
            <w:pPr>
              <w:spacing w:after="0" w:line="240" w:lineRule="auto"/>
              <w:jc w:val="center"/>
              <w:rPr>
                <w:rFonts w:ascii="Arial" w:eastAsia="Times New Roman" w:hAnsi="Arial" w:cs="Arial"/>
                <w:b/>
                <w:bCs/>
                <w:color w:val="000000"/>
                <w:kern w:val="0"/>
                <w:sz w:val="16"/>
                <w:szCs w:val="16"/>
                <w:lang w:eastAsia="pt-BR"/>
                <w14:ligatures w14:val="none"/>
              </w:rPr>
            </w:pPr>
            <w:r w:rsidRPr="007C6A41">
              <w:rPr>
                <w:rFonts w:ascii="Arial" w:eastAsia="Times New Roman" w:hAnsi="Arial" w:cs="Arial"/>
                <w:b/>
                <w:bCs/>
                <w:color w:val="000000"/>
                <w:kern w:val="0"/>
                <w:sz w:val="16"/>
                <w:szCs w:val="16"/>
                <w:lang w:eastAsia="pt-BR"/>
                <w14:ligatures w14:val="none"/>
              </w:rPr>
              <w:t>Reapresentado</w:t>
            </w:r>
          </w:p>
        </w:tc>
      </w:tr>
      <w:tr w:rsidR="007C6A41" w:rsidRPr="007C6A41" w14:paraId="4BFD8467" w14:textId="77777777" w:rsidTr="00446A14">
        <w:trPr>
          <w:trHeight w:val="238"/>
          <w:tblHeader/>
        </w:trPr>
        <w:tc>
          <w:tcPr>
            <w:tcW w:w="2464" w:type="pct"/>
            <w:vMerge/>
            <w:tcBorders>
              <w:top w:val="single" w:sz="4" w:space="0" w:color="auto"/>
              <w:left w:val="single" w:sz="4" w:space="0" w:color="auto"/>
              <w:bottom w:val="single" w:sz="4" w:space="0" w:color="auto"/>
              <w:right w:val="single" w:sz="4" w:space="0" w:color="auto"/>
            </w:tcBorders>
            <w:vAlign w:val="center"/>
            <w:hideMark/>
          </w:tcPr>
          <w:p w14:paraId="6E44FD8F" w14:textId="77777777" w:rsidR="007C6A41" w:rsidRPr="007C6A41" w:rsidRDefault="007C6A41" w:rsidP="007C6A41">
            <w:pPr>
              <w:spacing w:after="0" w:line="240" w:lineRule="auto"/>
              <w:rPr>
                <w:rFonts w:ascii="Arial" w:eastAsia="Times New Roman" w:hAnsi="Arial" w:cs="Arial"/>
                <w:b/>
                <w:bCs/>
                <w:color w:val="000000"/>
                <w:kern w:val="0"/>
                <w:sz w:val="16"/>
                <w:szCs w:val="16"/>
                <w:lang w:eastAsia="pt-BR"/>
                <w14:ligatures w14:val="none"/>
              </w:rPr>
            </w:pPr>
          </w:p>
        </w:tc>
        <w:tc>
          <w:tcPr>
            <w:tcW w:w="653" w:type="pct"/>
            <w:tcBorders>
              <w:top w:val="nil"/>
              <w:left w:val="nil"/>
              <w:bottom w:val="single" w:sz="4" w:space="0" w:color="auto"/>
              <w:right w:val="single" w:sz="4" w:space="0" w:color="auto"/>
            </w:tcBorders>
            <w:shd w:val="clear" w:color="auto" w:fill="auto"/>
            <w:vAlign w:val="center"/>
            <w:hideMark/>
          </w:tcPr>
          <w:p w14:paraId="67C03A01" w14:textId="77777777" w:rsidR="007C6A41" w:rsidRPr="007C6A41" w:rsidRDefault="007C6A41" w:rsidP="007C6A41">
            <w:pPr>
              <w:spacing w:after="0" w:line="240" w:lineRule="auto"/>
              <w:jc w:val="center"/>
              <w:rPr>
                <w:rFonts w:ascii="Arial" w:eastAsia="Times New Roman" w:hAnsi="Arial" w:cs="Arial"/>
                <w:b/>
                <w:bCs/>
                <w:color w:val="000000"/>
                <w:kern w:val="0"/>
                <w:sz w:val="16"/>
                <w:szCs w:val="16"/>
                <w:lang w:eastAsia="pt-BR"/>
                <w14:ligatures w14:val="none"/>
              </w:rPr>
            </w:pPr>
            <w:r w:rsidRPr="007C6A41">
              <w:rPr>
                <w:rFonts w:ascii="Arial" w:eastAsia="Times New Roman" w:hAnsi="Arial" w:cs="Arial"/>
                <w:b/>
                <w:bCs/>
                <w:color w:val="000000"/>
                <w:kern w:val="0"/>
                <w:sz w:val="16"/>
                <w:szCs w:val="16"/>
                <w:lang w:eastAsia="pt-BR"/>
                <w14:ligatures w14:val="none"/>
              </w:rPr>
              <w:t>Imposto de Renda</w:t>
            </w:r>
          </w:p>
        </w:tc>
        <w:tc>
          <w:tcPr>
            <w:tcW w:w="653" w:type="pct"/>
            <w:tcBorders>
              <w:top w:val="nil"/>
              <w:left w:val="nil"/>
              <w:bottom w:val="single" w:sz="4" w:space="0" w:color="auto"/>
              <w:right w:val="single" w:sz="4" w:space="0" w:color="auto"/>
            </w:tcBorders>
            <w:shd w:val="clear" w:color="auto" w:fill="auto"/>
            <w:vAlign w:val="center"/>
            <w:hideMark/>
          </w:tcPr>
          <w:p w14:paraId="547E174C" w14:textId="77777777" w:rsidR="007C6A41" w:rsidRPr="007C6A41" w:rsidRDefault="007C6A41" w:rsidP="007C6A41">
            <w:pPr>
              <w:spacing w:after="0" w:line="240" w:lineRule="auto"/>
              <w:jc w:val="center"/>
              <w:rPr>
                <w:rFonts w:ascii="Arial" w:eastAsia="Times New Roman" w:hAnsi="Arial" w:cs="Arial"/>
                <w:b/>
                <w:bCs/>
                <w:color w:val="000000"/>
                <w:kern w:val="0"/>
                <w:sz w:val="16"/>
                <w:szCs w:val="16"/>
                <w:lang w:eastAsia="pt-BR"/>
                <w14:ligatures w14:val="none"/>
              </w:rPr>
            </w:pPr>
            <w:r w:rsidRPr="007C6A41">
              <w:rPr>
                <w:rFonts w:ascii="Arial" w:eastAsia="Times New Roman" w:hAnsi="Arial" w:cs="Arial"/>
                <w:b/>
                <w:bCs/>
                <w:color w:val="000000"/>
                <w:kern w:val="0"/>
                <w:sz w:val="16"/>
                <w:szCs w:val="16"/>
                <w:lang w:eastAsia="pt-BR"/>
                <w14:ligatures w14:val="none"/>
              </w:rPr>
              <w:t>Contribuição Social</w:t>
            </w:r>
          </w:p>
        </w:tc>
        <w:tc>
          <w:tcPr>
            <w:tcW w:w="653" w:type="pct"/>
            <w:tcBorders>
              <w:top w:val="nil"/>
              <w:left w:val="nil"/>
              <w:bottom w:val="single" w:sz="4" w:space="0" w:color="auto"/>
              <w:right w:val="single" w:sz="4" w:space="0" w:color="auto"/>
            </w:tcBorders>
            <w:shd w:val="clear" w:color="auto" w:fill="auto"/>
            <w:vAlign w:val="center"/>
            <w:hideMark/>
          </w:tcPr>
          <w:p w14:paraId="04509DC6" w14:textId="77777777" w:rsidR="007C6A41" w:rsidRPr="007C6A41" w:rsidRDefault="007C6A41" w:rsidP="007C6A41">
            <w:pPr>
              <w:spacing w:after="0" w:line="240" w:lineRule="auto"/>
              <w:jc w:val="center"/>
              <w:rPr>
                <w:rFonts w:ascii="Arial" w:eastAsia="Times New Roman" w:hAnsi="Arial" w:cs="Arial"/>
                <w:b/>
                <w:bCs/>
                <w:color w:val="000000"/>
                <w:kern w:val="0"/>
                <w:sz w:val="16"/>
                <w:szCs w:val="16"/>
                <w:lang w:eastAsia="pt-BR"/>
                <w14:ligatures w14:val="none"/>
              </w:rPr>
            </w:pPr>
            <w:r w:rsidRPr="007C6A41">
              <w:rPr>
                <w:rFonts w:ascii="Arial" w:eastAsia="Times New Roman" w:hAnsi="Arial" w:cs="Arial"/>
                <w:b/>
                <w:bCs/>
                <w:color w:val="000000"/>
                <w:kern w:val="0"/>
                <w:sz w:val="16"/>
                <w:szCs w:val="16"/>
                <w:lang w:eastAsia="pt-BR"/>
                <w14:ligatures w14:val="none"/>
              </w:rPr>
              <w:t>Imposto de Renda</w:t>
            </w:r>
          </w:p>
        </w:tc>
        <w:tc>
          <w:tcPr>
            <w:tcW w:w="577" w:type="pct"/>
            <w:tcBorders>
              <w:top w:val="nil"/>
              <w:left w:val="nil"/>
              <w:bottom w:val="single" w:sz="4" w:space="0" w:color="auto"/>
              <w:right w:val="single" w:sz="4" w:space="0" w:color="auto"/>
            </w:tcBorders>
            <w:shd w:val="clear" w:color="auto" w:fill="auto"/>
            <w:vAlign w:val="center"/>
            <w:hideMark/>
          </w:tcPr>
          <w:p w14:paraId="23C15C45" w14:textId="77777777" w:rsidR="007C6A41" w:rsidRPr="007C6A41" w:rsidRDefault="007C6A41" w:rsidP="007C6A41">
            <w:pPr>
              <w:spacing w:after="0" w:line="240" w:lineRule="auto"/>
              <w:jc w:val="center"/>
              <w:rPr>
                <w:rFonts w:ascii="Arial" w:eastAsia="Times New Roman" w:hAnsi="Arial" w:cs="Arial"/>
                <w:b/>
                <w:bCs/>
                <w:color w:val="000000"/>
                <w:kern w:val="0"/>
                <w:sz w:val="16"/>
                <w:szCs w:val="16"/>
                <w:lang w:eastAsia="pt-BR"/>
                <w14:ligatures w14:val="none"/>
              </w:rPr>
            </w:pPr>
            <w:r w:rsidRPr="007C6A41">
              <w:rPr>
                <w:rFonts w:ascii="Arial" w:eastAsia="Times New Roman" w:hAnsi="Arial" w:cs="Arial"/>
                <w:b/>
                <w:bCs/>
                <w:color w:val="000000"/>
                <w:kern w:val="0"/>
                <w:sz w:val="16"/>
                <w:szCs w:val="16"/>
                <w:lang w:eastAsia="pt-BR"/>
                <w14:ligatures w14:val="none"/>
              </w:rPr>
              <w:t>Contribuição Social</w:t>
            </w:r>
          </w:p>
        </w:tc>
      </w:tr>
      <w:tr w:rsidR="007C6A41" w:rsidRPr="007C6A41" w14:paraId="4263B228" w14:textId="77777777" w:rsidTr="00446A14">
        <w:trPr>
          <w:trHeight w:val="238"/>
        </w:trPr>
        <w:tc>
          <w:tcPr>
            <w:tcW w:w="2464" w:type="pct"/>
            <w:tcBorders>
              <w:top w:val="nil"/>
              <w:left w:val="single" w:sz="4" w:space="0" w:color="auto"/>
              <w:bottom w:val="single" w:sz="4" w:space="0" w:color="auto"/>
              <w:right w:val="single" w:sz="4" w:space="0" w:color="auto"/>
            </w:tcBorders>
            <w:shd w:val="clear" w:color="auto" w:fill="auto"/>
            <w:vAlign w:val="center"/>
            <w:hideMark/>
          </w:tcPr>
          <w:p w14:paraId="57CD4C3E" w14:textId="77777777" w:rsidR="007C6A41" w:rsidRPr="007C6A41" w:rsidRDefault="007C6A41" w:rsidP="007C6A41">
            <w:pPr>
              <w:spacing w:after="0" w:line="240" w:lineRule="auto"/>
              <w:rPr>
                <w:rFonts w:ascii="Arial" w:eastAsia="Times New Roman" w:hAnsi="Arial" w:cs="Arial"/>
                <w:b/>
                <w:bCs/>
                <w:color w:val="000000"/>
                <w:kern w:val="0"/>
                <w:sz w:val="16"/>
                <w:szCs w:val="16"/>
                <w:lang w:eastAsia="pt-BR"/>
                <w14:ligatures w14:val="none"/>
              </w:rPr>
            </w:pPr>
            <w:r w:rsidRPr="007C6A41">
              <w:rPr>
                <w:rFonts w:ascii="Arial" w:eastAsia="Times New Roman" w:hAnsi="Arial" w:cs="Arial"/>
                <w:b/>
                <w:bCs/>
                <w:color w:val="000000"/>
                <w:kern w:val="0"/>
                <w:sz w:val="16"/>
                <w:szCs w:val="16"/>
                <w:lang w:eastAsia="pt-BR"/>
                <w14:ligatures w14:val="none"/>
              </w:rPr>
              <w:t>Resultado contábil antes do IRPJ e da CSLL</w:t>
            </w:r>
          </w:p>
        </w:tc>
        <w:tc>
          <w:tcPr>
            <w:tcW w:w="653" w:type="pct"/>
            <w:tcBorders>
              <w:top w:val="nil"/>
              <w:left w:val="nil"/>
              <w:bottom w:val="single" w:sz="4" w:space="0" w:color="auto"/>
              <w:right w:val="single" w:sz="4" w:space="0" w:color="auto"/>
            </w:tcBorders>
            <w:shd w:val="clear" w:color="auto" w:fill="auto"/>
            <w:vAlign w:val="center"/>
            <w:hideMark/>
          </w:tcPr>
          <w:p w14:paraId="79F2C4C8" w14:textId="77777777" w:rsidR="007C6A41" w:rsidRPr="007C6A41" w:rsidRDefault="007C6A41" w:rsidP="007C6A41">
            <w:pPr>
              <w:spacing w:after="0" w:line="240" w:lineRule="auto"/>
              <w:jc w:val="right"/>
              <w:rPr>
                <w:rFonts w:ascii="Arial" w:eastAsia="Times New Roman" w:hAnsi="Arial" w:cs="Arial"/>
                <w:b/>
                <w:bCs/>
                <w:color w:val="000000"/>
                <w:kern w:val="0"/>
                <w:sz w:val="16"/>
                <w:szCs w:val="16"/>
                <w:lang w:eastAsia="pt-BR"/>
                <w14:ligatures w14:val="none"/>
              </w:rPr>
            </w:pPr>
            <w:r w:rsidRPr="007C6A41">
              <w:rPr>
                <w:rFonts w:ascii="Arial" w:eastAsia="Times New Roman" w:hAnsi="Arial" w:cs="Arial"/>
                <w:b/>
                <w:bCs/>
                <w:color w:val="000000"/>
                <w:kern w:val="0"/>
                <w:sz w:val="16"/>
                <w:szCs w:val="16"/>
                <w:lang w:eastAsia="pt-BR"/>
                <w14:ligatures w14:val="none"/>
              </w:rPr>
              <w:t xml:space="preserve">     (127.357)</w:t>
            </w:r>
          </w:p>
        </w:tc>
        <w:tc>
          <w:tcPr>
            <w:tcW w:w="653" w:type="pct"/>
            <w:tcBorders>
              <w:top w:val="nil"/>
              <w:left w:val="nil"/>
              <w:bottom w:val="single" w:sz="4" w:space="0" w:color="auto"/>
              <w:right w:val="single" w:sz="4" w:space="0" w:color="auto"/>
            </w:tcBorders>
            <w:shd w:val="clear" w:color="auto" w:fill="auto"/>
            <w:vAlign w:val="center"/>
            <w:hideMark/>
          </w:tcPr>
          <w:p w14:paraId="717419D3" w14:textId="77777777" w:rsidR="007C6A41" w:rsidRPr="007C6A41" w:rsidRDefault="007C6A41" w:rsidP="007C6A41">
            <w:pPr>
              <w:spacing w:after="0" w:line="240" w:lineRule="auto"/>
              <w:jc w:val="right"/>
              <w:rPr>
                <w:rFonts w:ascii="Arial" w:eastAsia="Times New Roman" w:hAnsi="Arial" w:cs="Arial"/>
                <w:b/>
                <w:bCs/>
                <w:color w:val="000000"/>
                <w:kern w:val="0"/>
                <w:sz w:val="16"/>
                <w:szCs w:val="16"/>
                <w:lang w:eastAsia="pt-BR"/>
                <w14:ligatures w14:val="none"/>
              </w:rPr>
            </w:pPr>
            <w:r w:rsidRPr="007C6A41">
              <w:rPr>
                <w:rFonts w:ascii="Arial" w:eastAsia="Times New Roman" w:hAnsi="Arial" w:cs="Arial"/>
                <w:b/>
                <w:bCs/>
                <w:color w:val="000000"/>
                <w:kern w:val="0"/>
                <w:sz w:val="16"/>
                <w:szCs w:val="16"/>
                <w:lang w:eastAsia="pt-BR"/>
                <w14:ligatures w14:val="none"/>
              </w:rPr>
              <w:t xml:space="preserve">     (127.357)</w:t>
            </w:r>
          </w:p>
        </w:tc>
        <w:tc>
          <w:tcPr>
            <w:tcW w:w="653" w:type="pct"/>
            <w:tcBorders>
              <w:top w:val="nil"/>
              <w:left w:val="nil"/>
              <w:bottom w:val="single" w:sz="4" w:space="0" w:color="auto"/>
              <w:right w:val="single" w:sz="4" w:space="0" w:color="auto"/>
            </w:tcBorders>
            <w:shd w:val="clear" w:color="auto" w:fill="auto"/>
            <w:vAlign w:val="center"/>
            <w:hideMark/>
          </w:tcPr>
          <w:p w14:paraId="0E0FA685" w14:textId="77777777" w:rsidR="007C6A41" w:rsidRPr="007C6A41" w:rsidRDefault="007C6A41" w:rsidP="007C6A41">
            <w:pPr>
              <w:spacing w:after="0" w:line="240" w:lineRule="auto"/>
              <w:jc w:val="right"/>
              <w:rPr>
                <w:rFonts w:ascii="Arial" w:eastAsia="Times New Roman" w:hAnsi="Arial" w:cs="Arial"/>
                <w:b/>
                <w:bCs/>
                <w:color w:val="000000"/>
                <w:kern w:val="0"/>
                <w:sz w:val="16"/>
                <w:szCs w:val="16"/>
                <w:lang w:eastAsia="pt-BR"/>
                <w14:ligatures w14:val="none"/>
              </w:rPr>
            </w:pPr>
            <w:r w:rsidRPr="007C6A41">
              <w:rPr>
                <w:rFonts w:ascii="Arial" w:eastAsia="Times New Roman" w:hAnsi="Arial" w:cs="Arial"/>
                <w:b/>
                <w:bCs/>
                <w:color w:val="000000"/>
                <w:kern w:val="0"/>
                <w:sz w:val="16"/>
                <w:szCs w:val="16"/>
                <w:lang w:eastAsia="pt-BR"/>
                <w14:ligatures w14:val="none"/>
              </w:rPr>
              <w:t xml:space="preserve">     (168.459)</w:t>
            </w:r>
          </w:p>
        </w:tc>
        <w:tc>
          <w:tcPr>
            <w:tcW w:w="577" w:type="pct"/>
            <w:tcBorders>
              <w:top w:val="nil"/>
              <w:left w:val="nil"/>
              <w:bottom w:val="single" w:sz="4" w:space="0" w:color="auto"/>
              <w:right w:val="single" w:sz="4" w:space="0" w:color="auto"/>
            </w:tcBorders>
            <w:shd w:val="clear" w:color="auto" w:fill="auto"/>
            <w:vAlign w:val="center"/>
            <w:hideMark/>
          </w:tcPr>
          <w:p w14:paraId="09740154" w14:textId="77777777" w:rsidR="007C6A41" w:rsidRPr="007C6A41" w:rsidRDefault="007C6A41" w:rsidP="007C6A41">
            <w:pPr>
              <w:spacing w:after="0" w:line="240" w:lineRule="auto"/>
              <w:jc w:val="right"/>
              <w:rPr>
                <w:rFonts w:ascii="Arial" w:eastAsia="Times New Roman" w:hAnsi="Arial" w:cs="Arial"/>
                <w:b/>
                <w:bCs/>
                <w:color w:val="000000"/>
                <w:kern w:val="0"/>
                <w:sz w:val="16"/>
                <w:szCs w:val="16"/>
                <w:lang w:eastAsia="pt-BR"/>
                <w14:ligatures w14:val="none"/>
              </w:rPr>
            </w:pPr>
            <w:r w:rsidRPr="007C6A41">
              <w:rPr>
                <w:rFonts w:ascii="Arial" w:eastAsia="Times New Roman" w:hAnsi="Arial" w:cs="Arial"/>
                <w:b/>
                <w:bCs/>
                <w:color w:val="000000"/>
                <w:kern w:val="0"/>
                <w:sz w:val="16"/>
                <w:szCs w:val="16"/>
                <w:lang w:eastAsia="pt-BR"/>
                <w14:ligatures w14:val="none"/>
              </w:rPr>
              <w:t xml:space="preserve">     (168.459)</w:t>
            </w:r>
          </w:p>
        </w:tc>
      </w:tr>
      <w:tr w:rsidR="007C6A41" w:rsidRPr="007C6A41" w14:paraId="6C468E23" w14:textId="77777777" w:rsidTr="00446A14">
        <w:trPr>
          <w:trHeight w:val="238"/>
        </w:trPr>
        <w:tc>
          <w:tcPr>
            <w:tcW w:w="2464" w:type="pct"/>
            <w:tcBorders>
              <w:top w:val="nil"/>
              <w:left w:val="single" w:sz="4" w:space="0" w:color="auto"/>
              <w:bottom w:val="single" w:sz="4" w:space="0" w:color="auto"/>
              <w:right w:val="single" w:sz="4" w:space="0" w:color="auto"/>
            </w:tcBorders>
            <w:shd w:val="clear" w:color="auto" w:fill="auto"/>
            <w:vAlign w:val="center"/>
            <w:hideMark/>
          </w:tcPr>
          <w:p w14:paraId="05B67CAE" w14:textId="77777777" w:rsidR="007C6A41" w:rsidRPr="007C6A41" w:rsidRDefault="007C6A41" w:rsidP="007C6A41">
            <w:pPr>
              <w:spacing w:after="0" w:line="240" w:lineRule="auto"/>
              <w:rPr>
                <w:rFonts w:ascii="Arial" w:eastAsia="Times New Roman" w:hAnsi="Arial" w:cs="Arial"/>
                <w:b/>
                <w:bCs/>
                <w:color w:val="000000"/>
                <w:kern w:val="0"/>
                <w:sz w:val="16"/>
                <w:szCs w:val="16"/>
                <w:lang w:eastAsia="pt-BR"/>
                <w14:ligatures w14:val="none"/>
              </w:rPr>
            </w:pPr>
            <w:r w:rsidRPr="007C6A41">
              <w:rPr>
                <w:rFonts w:ascii="Arial" w:eastAsia="Times New Roman" w:hAnsi="Arial" w:cs="Arial"/>
                <w:b/>
                <w:bCs/>
                <w:color w:val="000000"/>
                <w:kern w:val="0"/>
                <w:sz w:val="16"/>
                <w:szCs w:val="16"/>
                <w:lang w:eastAsia="pt-BR"/>
                <w14:ligatures w14:val="none"/>
              </w:rPr>
              <w:t>Adições/(Exclusões) Permanentes:</w:t>
            </w:r>
          </w:p>
        </w:tc>
        <w:tc>
          <w:tcPr>
            <w:tcW w:w="653" w:type="pct"/>
            <w:tcBorders>
              <w:top w:val="nil"/>
              <w:left w:val="nil"/>
              <w:bottom w:val="single" w:sz="4" w:space="0" w:color="auto"/>
              <w:right w:val="single" w:sz="4" w:space="0" w:color="auto"/>
            </w:tcBorders>
            <w:shd w:val="clear" w:color="auto" w:fill="auto"/>
            <w:vAlign w:val="center"/>
            <w:hideMark/>
          </w:tcPr>
          <w:p w14:paraId="44D9D203" w14:textId="77777777" w:rsidR="007C6A41" w:rsidRPr="007C6A41" w:rsidRDefault="007C6A41" w:rsidP="007C6A41">
            <w:pPr>
              <w:spacing w:after="0" w:line="240" w:lineRule="auto"/>
              <w:jc w:val="right"/>
              <w:rPr>
                <w:rFonts w:ascii="Arial" w:eastAsia="Times New Roman" w:hAnsi="Arial" w:cs="Arial"/>
                <w:b/>
                <w:bCs/>
                <w:color w:val="000000"/>
                <w:kern w:val="0"/>
                <w:sz w:val="16"/>
                <w:szCs w:val="16"/>
                <w:lang w:eastAsia="pt-BR"/>
                <w14:ligatures w14:val="none"/>
              </w:rPr>
            </w:pPr>
            <w:r w:rsidRPr="007C6A41">
              <w:rPr>
                <w:rFonts w:ascii="Arial" w:eastAsia="Times New Roman" w:hAnsi="Arial" w:cs="Arial"/>
                <w:b/>
                <w:bCs/>
                <w:color w:val="000000"/>
                <w:kern w:val="0"/>
                <w:sz w:val="16"/>
                <w:szCs w:val="16"/>
                <w:lang w:eastAsia="pt-BR"/>
                <w14:ligatures w14:val="none"/>
              </w:rPr>
              <w:t xml:space="preserve">         (5.651)</w:t>
            </w:r>
          </w:p>
        </w:tc>
        <w:tc>
          <w:tcPr>
            <w:tcW w:w="653" w:type="pct"/>
            <w:tcBorders>
              <w:top w:val="nil"/>
              <w:left w:val="nil"/>
              <w:bottom w:val="single" w:sz="4" w:space="0" w:color="auto"/>
              <w:right w:val="single" w:sz="4" w:space="0" w:color="auto"/>
            </w:tcBorders>
            <w:shd w:val="clear" w:color="auto" w:fill="auto"/>
            <w:vAlign w:val="center"/>
            <w:hideMark/>
          </w:tcPr>
          <w:p w14:paraId="735A9CC5" w14:textId="77777777" w:rsidR="007C6A41" w:rsidRPr="007C6A41" w:rsidRDefault="007C6A41" w:rsidP="007C6A41">
            <w:pPr>
              <w:spacing w:after="0" w:line="240" w:lineRule="auto"/>
              <w:jc w:val="right"/>
              <w:rPr>
                <w:rFonts w:ascii="Arial" w:eastAsia="Times New Roman" w:hAnsi="Arial" w:cs="Arial"/>
                <w:b/>
                <w:bCs/>
                <w:color w:val="000000"/>
                <w:kern w:val="0"/>
                <w:sz w:val="16"/>
                <w:szCs w:val="16"/>
                <w:lang w:eastAsia="pt-BR"/>
                <w14:ligatures w14:val="none"/>
              </w:rPr>
            </w:pPr>
            <w:r w:rsidRPr="007C6A41">
              <w:rPr>
                <w:rFonts w:ascii="Arial" w:eastAsia="Times New Roman" w:hAnsi="Arial" w:cs="Arial"/>
                <w:b/>
                <w:bCs/>
                <w:color w:val="000000"/>
                <w:kern w:val="0"/>
                <w:sz w:val="16"/>
                <w:szCs w:val="16"/>
                <w:lang w:eastAsia="pt-BR"/>
                <w14:ligatures w14:val="none"/>
              </w:rPr>
              <w:t xml:space="preserve">         (5.651)</w:t>
            </w:r>
          </w:p>
        </w:tc>
        <w:tc>
          <w:tcPr>
            <w:tcW w:w="653" w:type="pct"/>
            <w:tcBorders>
              <w:top w:val="nil"/>
              <w:left w:val="nil"/>
              <w:bottom w:val="single" w:sz="4" w:space="0" w:color="auto"/>
              <w:right w:val="single" w:sz="4" w:space="0" w:color="auto"/>
            </w:tcBorders>
            <w:shd w:val="clear" w:color="auto" w:fill="auto"/>
            <w:vAlign w:val="center"/>
            <w:hideMark/>
          </w:tcPr>
          <w:p w14:paraId="763D300B" w14:textId="77777777" w:rsidR="007C6A41" w:rsidRPr="007C6A41" w:rsidRDefault="007C6A41" w:rsidP="007C6A41">
            <w:pPr>
              <w:spacing w:after="0" w:line="240" w:lineRule="auto"/>
              <w:jc w:val="right"/>
              <w:rPr>
                <w:rFonts w:ascii="Arial" w:eastAsia="Times New Roman" w:hAnsi="Arial" w:cs="Arial"/>
                <w:b/>
                <w:bCs/>
                <w:color w:val="000000"/>
                <w:kern w:val="0"/>
                <w:sz w:val="16"/>
                <w:szCs w:val="16"/>
                <w:lang w:eastAsia="pt-BR"/>
                <w14:ligatures w14:val="none"/>
              </w:rPr>
            </w:pPr>
            <w:r w:rsidRPr="007C6A41">
              <w:rPr>
                <w:rFonts w:ascii="Arial" w:eastAsia="Times New Roman" w:hAnsi="Arial" w:cs="Arial"/>
                <w:b/>
                <w:bCs/>
                <w:color w:val="000000"/>
                <w:kern w:val="0"/>
                <w:sz w:val="16"/>
                <w:szCs w:val="16"/>
                <w:lang w:eastAsia="pt-BR"/>
                <w14:ligatures w14:val="none"/>
              </w:rPr>
              <w:t xml:space="preserve">       (19.111)</w:t>
            </w:r>
          </w:p>
        </w:tc>
        <w:tc>
          <w:tcPr>
            <w:tcW w:w="577" w:type="pct"/>
            <w:tcBorders>
              <w:top w:val="nil"/>
              <w:left w:val="nil"/>
              <w:bottom w:val="single" w:sz="4" w:space="0" w:color="auto"/>
              <w:right w:val="single" w:sz="4" w:space="0" w:color="auto"/>
            </w:tcBorders>
            <w:shd w:val="clear" w:color="auto" w:fill="auto"/>
            <w:vAlign w:val="center"/>
            <w:hideMark/>
          </w:tcPr>
          <w:p w14:paraId="24690737" w14:textId="77777777" w:rsidR="007C6A41" w:rsidRPr="007C6A41" w:rsidRDefault="007C6A41" w:rsidP="007C6A41">
            <w:pPr>
              <w:spacing w:after="0" w:line="240" w:lineRule="auto"/>
              <w:jc w:val="right"/>
              <w:rPr>
                <w:rFonts w:ascii="Arial" w:eastAsia="Times New Roman" w:hAnsi="Arial" w:cs="Arial"/>
                <w:b/>
                <w:bCs/>
                <w:color w:val="000000"/>
                <w:kern w:val="0"/>
                <w:sz w:val="16"/>
                <w:szCs w:val="16"/>
                <w:lang w:eastAsia="pt-BR"/>
                <w14:ligatures w14:val="none"/>
              </w:rPr>
            </w:pPr>
            <w:r w:rsidRPr="007C6A41">
              <w:rPr>
                <w:rFonts w:ascii="Arial" w:eastAsia="Times New Roman" w:hAnsi="Arial" w:cs="Arial"/>
                <w:b/>
                <w:bCs/>
                <w:color w:val="000000"/>
                <w:kern w:val="0"/>
                <w:sz w:val="16"/>
                <w:szCs w:val="16"/>
                <w:lang w:eastAsia="pt-BR"/>
                <w14:ligatures w14:val="none"/>
              </w:rPr>
              <w:t xml:space="preserve">       (19.111)</w:t>
            </w:r>
          </w:p>
        </w:tc>
      </w:tr>
      <w:tr w:rsidR="007C6A41" w:rsidRPr="007C6A41" w14:paraId="6D0012DC" w14:textId="77777777" w:rsidTr="00446A14">
        <w:trPr>
          <w:trHeight w:val="238"/>
        </w:trPr>
        <w:tc>
          <w:tcPr>
            <w:tcW w:w="2464" w:type="pct"/>
            <w:tcBorders>
              <w:top w:val="nil"/>
              <w:left w:val="single" w:sz="4" w:space="0" w:color="auto"/>
              <w:bottom w:val="single" w:sz="4" w:space="0" w:color="auto"/>
              <w:right w:val="single" w:sz="4" w:space="0" w:color="auto"/>
            </w:tcBorders>
            <w:shd w:val="clear" w:color="auto" w:fill="auto"/>
            <w:vAlign w:val="center"/>
            <w:hideMark/>
          </w:tcPr>
          <w:p w14:paraId="69C7C7A7" w14:textId="77777777" w:rsidR="007C6A41" w:rsidRPr="007C6A41" w:rsidRDefault="007C6A41" w:rsidP="007C6A41">
            <w:pPr>
              <w:spacing w:after="0" w:line="240" w:lineRule="auto"/>
              <w:rPr>
                <w:rFonts w:ascii="Arial" w:eastAsia="Times New Roman" w:hAnsi="Arial" w:cs="Arial"/>
                <w:b/>
                <w:bCs/>
                <w:color w:val="000000"/>
                <w:kern w:val="0"/>
                <w:sz w:val="16"/>
                <w:szCs w:val="16"/>
                <w:lang w:eastAsia="pt-BR"/>
                <w14:ligatures w14:val="none"/>
              </w:rPr>
            </w:pPr>
            <w:r w:rsidRPr="007C6A41">
              <w:rPr>
                <w:rFonts w:ascii="Arial" w:eastAsia="Times New Roman" w:hAnsi="Arial" w:cs="Arial"/>
                <w:b/>
                <w:bCs/>
                <w:color w:val="000000"/>
                <w:kern w:val="0"/>
                <w:sz w:val="16"/>
                <w:szCs w:val="16"/>
                <w:lang w:eastAsia="pt-BR"/>
                <w14:ligatures w14:val="none"/>
              </w:rPr>
              <w:t>Adições permanentes</w:t>
            </w:r>
          </w:p>
        </w:tc>
        <w:tc>
          <w:tcPr>
            <w:tcW w:w="653" w:type="pct"/>
            <w:tcBorders>
              <w:top w:val="nil"/>
              <w:left w:val="nil"/>
              <w:bottom w:val="single" w:sz="4" w:space="0" w:color="auto"/>
              <w:right w:val="single" w:sz="4" w:space="0" w:color="auto"/>
            </w:tcBorders>
            <w:shd w:val="clear" w:color="auto" w:fill="auto"/>
            <w:vAlign w:val="center"/>
            <w:hideMark/>
          </w:tcPr>
          <w:p w14:paraId="30434416" w14:textId="77777777" w:rsidR="007C6A41" w:rsidRPr="007C6A41" w:rsidRDefault="007C6A41" w:rsidP="007C6A41">
            <w:pPr>
              <w:spacing w:after="0" w:line="240" w:lineRule="auto"/>
              <w:jc w:val="right"/>
              <w:rPr>
                <w:rFonts w:ascii="Arial" w:eastAsia="Times New Roman" w:hAnsi="Arial" w:cs="Arial"/>
                <w:b/>
                <w:bCs/>
                <w:color w:val="000000"/>
                <w:kern w:val="0"/>
                <w:sz w:val="16"/>
                <w:szCs w:val="16"/>
                <w:lang w:eastAsia="pt-BR"/>
                <w14:ligatures w14:val="none"/>
              </w:rPr>
            </w:pPr>
            <w:r w:rsidRPr="007C6A41">
              <w:rPr>
                <w:rFonts w:ascii="Arial" w:eastAsia="Times New Roman" w:hAnsi="Arial" w:cs="Arial"/>
                <w:b/>
                <w:bCs/>
                <w:color w:val="000000"/>
                <w:kern w:val="0"/>
                <w:sz w:val="16"/>
                <w:szCs w:val="16"/>
                <w:lang w:eastAsia="pt-BR"/>
                <w14:ligatures w14:val="none"/>
              </w:rPr>
              <w:t xml:space="preserve">           8.617 </w:t>
            </w:r>
          </w:p>
        </w:tc>
        <w:tc>
          <w:tcPr>
            <w:tcW w:w="653" w:type="pct"/>
            <w:tcBorders>
              <w:top w:val="nil"/>
              <w:left w:val="nil"/>
              <w:bottom w:val="single" w:sz="4" w:space="0" w:color="auto"/>
              <w:right w:val="single" w:sz="4" w:space="0" w:color="auto"/>
            </w:tcBorders>
            <w:shd w:val="clear" w:color="auto" w:fill="auto"/>
            <w:vAlign w:val="center"/>
            <w:hideMark/>
          </w:tcPr>
          <w:p w14:paraId="1F97C17B" w14:textId="77777777" w:rsidR="007C6A41" w:rsidRPr="007C6A41" w:rsidRDefault="007C6A41" w:rsidP="007C6A41">
            <w:pPr>
              <w:spacing w:after="0" w:line="240" w:lineRule="auto"/>
              <w:jc w:val="right"/>
              <w:rPr>
                <w:rFonts w:ascii="Arial" w:eastAsia="Times New Roman" w:hAnsi="Arial" w:cs="Arial"/>
                <w:b/>
                <w:bCs/>
                <w:color w:val="000000"/>
                <w:kern w:val="0"/>
                <w:sz w:val="16"/>
                <w:szCs w:val="16"/>
                <w:lang w:eastAsia="pt-BR"/>
                <w14:ligatures w14:val="none"/>
              </w:rPr>
            </w:pPr>
            <w:r w:rsidRPr="007C6A41">
              <w:rPr>
                <w:rFonts w:ascii="Arial" w:eastAsia="Times New Roman" w:hAnsi="Arial" w:cs="Arial"/>
                <w:b/>
                <w:bCs/>
                <w:color w:val="000000"/>
                <w:kern w:val="0"/>
                <w:sz w:val="16"/>
                <w:szCs w:val="16"/>
                <w:lang w:eastAsia="pt-BR"/>
                <w14:ligatures w14:val="none"/>
              </w:rPr>
              <w:t xml:space="preserve">           8.617 </w:t>
            </w:r>
          </w:p>
        </w:tc>
        <w:tc>
          <w:tcPr>
            <w:tcW w:w="653" w:type="pct"/>
            <w:tcBorders>
              <w:top w:val="nil"/>
              <w:left w:val="nil"/>
              <w:bottom w:val="single" w:sz="4" w:space="0" w:color="auto"/>
              <w:right w:val="single" w:sz="4" w:space="0" w:color="auto"/>
            </w:tcBorders>
            <w:shd w:val="clear" w:color="auto" w:fill="auto"/>
            <w:vAlign w:val="center"/>
            <w:hideMark/>
          </w:tcPr>
          <w:p w14:paraId="1BE65C16" w14:textId="77777777" w:rsidR="007C6A41" w:rsidRPr="007C6A41" w:rsidRDefault="007C6A41" w:rsidP="007C6A41">
            <w:pPr>
              <w:spacing w:after="0" w:line="240" w:lineRule="auto"/>
              <w:jc w:val="right"/>
              <w:rPr>
                <w:rFonts w:ascii="Arial" w:eastAsia="Times New Roman" w:hAnsi="Arial" w:cs="Arial"/>
                <w:b/>
                <w:bCs/>
                <w:color w:val="000000"/>
                <w:kern w:val="0"/>
                <w:sz w:val="16"/>
                <w:szCs w:val="16"/>
                <w:lang w:eastAsia="pt-BR"/>
                <w14:ligatures w14:val="none"/>
              </w:rPr>
            </w:pPr>
            <w:r w:rsidRPr="007C6A41">
              <w:rPr>
                <w:rFonts w:ascii="Arial" w:eastAsia="Times New Roman" w:hAnsi="Arial" w:cs="Arial"/>
                <w:b/>
                <w:bCs/>
                <w:color w:val="000000"/>
                <w:kern w:val="0"/>
                <w:sz w:val="16"/>
                <w:szCs w:val="16"/>
                <w:lang w:eastAsia="pt-BR"/>
                <w14:ligatures w14:val="none"/>
              </w:rPr>
              <w:t xml:space="preserve">         12.879 </w:t>
            </w:r>
          </w:p>
        </w:tc>
        <w:tc>
          <w:tcPr>
            <w:tcW w:w="577" w:type="pct"/>
            <w:tcBorders>
              <w:top w:val="nil"/>
              <w:left w:val="nil"/>
              <w:bottom w:val="single" w:sz="4" w:space="0" w:color="auto"/>
              <w:right w:val="single" w:sz="4" w:space="0" w:color="auto"/>
            </w:tcBorders>
            <w:shd w:val="clear" w:color="auto" w:fill="auto"/>
            <w:vAlign w:val="center"/>
            <w:hideMark/>
          </w:tcPr>
          <w:p w14:paraId="6F6767A5" w14:textId="77777777" w:rsidR="007C6A41" w:rsidRPr="007C6A41" w:rsidRDefault="007C6A41" w:rsidP="007C6A41">
            <w:pPr>
              <w:spacing w:after="0" w:line="240" w:lineRule="auto"/>
              <w:jc w:val="right"/>
              <w:rPr>
                <w:rFonts w:ascii="Arial" w:eastAsia="Times New Roman" w:hAnsi="Arial" w:cs="Arial"/>
                <w:b/>
                <w:bCs/>
                <w:color w:val="000000"/>
                <w:kern w:val="0"/>
                <w:sz w:val="16"/>
                <w:szCs w:val="16"/>
                <w:lang w:eastAsia="pt-BR"/>
                <w14:ligatures w14:val="none"/>
              </w:rPr>
            </w:pPr>
            <w:r w:rsidRPr="007C6A41">
              <w:rPr>
                <w:rFonts w:ascii="Arial" w:eastAsia="Times New Roman" w:hAnsi="Arial" w:cs="Arial"/>
                <w:b/>
                <w:bCs/>
                <w:color w:val="000000"/>
                <w:kern w:val="0"/>
                <w:sz w:val="16"/>
                <w:szCs w:val="16"/>
                <w:lang w:eastAsia="pt-BR"/>
                <w14:ligatures w14:val="none"/>
              </w:rPr>
              <w:t xml:space="preserve">         12.879 </w:t>
            </w:r>
          </w:p>
        </w:tc>
      </w:tr>
      <w:tr w:rsidR="007C6A41" w:rsidRPr="007C6A41" w14:paraId="367DAD73" w14:textId="77777777" w:rsidTr="00446A14">
        <w:trPr>
          <w:trHeight w:val="238"/>
        </w:trPr>
        <w:tc>
          <w:tcPr>
            <w:tcW w:w="2464" w:type="pct"/>
            <w:tcBorders>
              <w:top w:val="nil"/>
              <w:left w:val="single" w:sz="4" w:space="0" w:color="auto"/>
              <w:bottom w:val="single" w:sz="4" w:space="0" w:color="auto"/>
              <w:right w:val="single" w:sz="4" w:space="0" w:color="auto"/>
            </w:tcBorders>
            <w:shd w:val="clear" w:color="auto" w:fill="auto"/>
            <w:vAlign w:val="center"/>
            <w:hideMark/>
          </w:tcPr>
          <w:p w14:paraId="36E06DBF" w14:textId="77777777" w:rsidR="007C6A41" w:rsidRPr="007C6A41" w:rsidRDefault="007C6A41" w:rsidP="007C6A41">
            <w:pPr>
              <w:spacing w:after="0" w:line="240" w:lineRule="auto"/>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Resultado Negativo de Equivalência Patrimonial</w:t>
            </w:r>
          </w:p>
        </w:tc>
        <w:tc>
          <w:tcPr>
            <w:tcW w:w="653" w:type="pct"/>
            <w:tcBorders>
              <w:top w:val="nil"/>
              <w:left w:val="nil"/>
              <w:bottom w:val="single" w:sz="4" w:space="0" w:color="auto"/>
              <w:right w:val="single" w:sz="4" w:space="0" w:color="auto"/>
            </w:tcBorders>
            <w:shd w:val="clear" w:color="auto" w:fill="auto"/>
            <w:vAlign w:val="center"/>
            <w:hideMark/>
          </w:tcPr>
          <w:p w14:paraId="5ADEFA8C"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2.254 </w:t>
            </w:r>
          </w:p>
        </w:tc>
        <w:tc>
          <w:tcPr>
            <w:tcW w:w="653" w:type="pct"/>
            <w:tcBorders>
              <w:top w:val="nil"/>
              <w:left w:val="nil"/>
              <w:bottom w:val="single" w:sz="4" w:space="0" w:color="auto"/>
              <w:right w:val="single" w:sz="4" w:space="0" w:color="auto"/>
            </w:tcBorders>
            <w:shd w:val="clear" w:color="auto" w:fill="auto"/>
            <w:vAlign w:val="center"/>
            <w:hideMark/>
          </w:tcPr>
          <w:p w14:paraId="373EB59C"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2.254 </w:t>
            </w:r>
          </w:p>
        </w:tc>
        <w:tc>
          <w:tcPr>
            <w:tcW w:w="653" w:type="pct"/>
            <w:tcBorders>
              <w:top w:val="nil"/>
              <w:left w:val="nil"/>
              <w:bottom w:val="single" w:sz="4" w:space="0" w:color="auto"/>
              <w:right w:val="single" w:sz="4" w:space="0" w:color="auto"/>
            </w:tcBorders>
            <w:shd w:val="clear" w:color="auto" w:fill="auto"/>
            <w:vAlign w:val="center"/>
            <w:hideMark/>
          </w:tcPr>
          <w:p w14:paraId="7BC9F8F6"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6.500 </w:t>
            </w:r>
          </w:p>
        </w:tc>
        <w:tc>
          <w:tcPr>
            <w:tcW w:w="577" w:type="pct"/>
            <w:tcBorders>
              <w:top w:val="nil"/>
              <w:left w:val="nil"/>
              <w:bottom w:val="single" w:sz="4" w:space="0" w:color="auto"/>
              <w:right w:val="single" w:sz="4" w:space="0" w:color="auto"/>
            </w:tcBorders>
            <w:shd w:val="clear" w:color="auto" w:fill="auto"/>
            <w:vAlign w:val="center"/>
            <w:hideMark/>
          </w:tcPr>
          <w:p w14:paraId="0E60E6AA"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6.500 </w:t>
            </w:r>
          </w:p>
        </w:tc>
      </w:tr>
      <w:tr w:rsidR="007C6A41" w:rsidRPr="007C6A41" w14:paraId="457CF4AF" w14:textId="77777777" w:rsidTr="00446A14">
        <w:trPr>
          <w:trHeight w:val="238"/>
        </w:trPr>
        <w:tc>
          <w:tcPr>
            <w:tcW w:w="2464" w:type="pct"/>
            <w:tcBorders>
              <w:top w:val="nil"/>
              <w:left w:val="single" w:sz="4" w:space="0" w:color="auto"/>
              <w:bottom w:val="single" w:sz="4" w:space="0" w:color="auto"/>
              <w:right w:val="single" w:sz="4" w:space="0" w:color="auto"/>
            </w:tcBorders>
            <w:shd w:val="clear" w:color="auto" w:fill="auto"/>
            <w:vAlign w:val="center"/>
            <w:hideMark/>
          </w:tcPr>
          <w:p w14:paraId="0E73D645" w14:textId="77777777" w:rsidR="007C6A41" w:rsidRPr="007C6A41" w:rsidRDefault="007C6A41" w:rsidP="007C6A41">
            <w:pPr>
              <w:spacing w:after="0" w:line="240" w:lineRule="auto"/>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Depreciação - Arrendamento Mercantil (Direito de Uso)</w:t>
            </w:r>
          </w:p>
        </w:tc>
        <w:tc>
          <w:tcPr>
            <w:tcW w:w="653" w:type="pct"/>
            <w:tcBorders>
              <w:top w:val="nil"/>
              <w:left w:val="nil"/>
              <w:bottom w:val="single" w:sz="4" w:space="0" w:color="auto"/>
              <w:right w:val="single" w:sz="4" w:space="0" w:color="auto"/>
            </w:tcBorders>
            <w:shd w:val="clear" w:color="auto" w:fill="auto"/>
            <w:vAlign w:val="center"/>
            <w:hideMark/>
          </w:tcPr>
          <w:p w14:paraId="0CEFBF1B"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5.175 </w:t>
            </w:r>
          </w:p>
        </w:tc>
        <w:tc>
          <w:tcPr>
            <w:tcW w:w="653" w:type="pct"/>
            <w:tcBorders>
              <w:top w:val="nil"/>
              <w:left w:val="nil"/>
              <w:bottom w:val="single" w:sz="4" w:space="0" w:color="auto"/>
              <w:right w:val="single" w:sz="4" w:space="0" w:color="auto"/>
            </w:tcBorders>
            <w:shd w:val="clear" w:color="auto" w:fill="auto"/>
            <w:vAlign w:val="center"/>
            <w:hideMark/>
          </w:tcPr>
          <w:p w14:paraId="64831E76"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5.175 </w:t>
            </w:r>
          </w:p>
        </w:tc>
        <w:tc>
          <w:tcPr>
            <w:tcW w:w="653" w:type="pct"/>
            <w:tcBorders>
              <w:top w:val="nil"/>
              <w:left w:val="nil"/>
              <w:bottom w:val="single" w:sz="4" w:space="0" w:color="auto"/>
              <w:right w:val="single" w:sz="4" w:space="0" w:color="auto"/>
            </w:tcBorders>
            <w:shd w:val="clear" w:color="auto" w:fill="auto"/>
            <w:vAlign w:val="center"/>
            <w:hideMark/>
          </w:tcPr>
          <w:p w14:paraId="153482CA"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5.006 </w:t>
            </w:r>
          </w:p>
        </w:tc>
        <w:tc>
          <w:tcPr>
            <w:tcW w:w="577" w:type="pct"/>
            <w:tcBorders>
              <w:top w:val="nil"/>
              <w:left w:val="nil"/>
              <w:bottom w:val="single" w:sz="4" w:space="0" w:color="auto"/>
              <w:right w:val="single" w:sz="4" w:space="0" w:color="auto"/>
            </w:tcBorders>
            <w:shd w:val="clear" w:color="auto" w:fill="auto"/>
            <w:vAlign w:val="center"/>
            <w:hideMark/>
          </w:tcPr>
          <w:p w14:paraId="1A8A44C5"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5.006 </w:t>
            </w:r>
          </w:p>
        </w:tc>
      </w:tr>
      <w:tr w:rsidR="007C6A41" w:rsidRPr="007C6A41" w14:paraId="6A9D8E05" w14:textId="77777777" w:rsidTr="00446A14">
        <w:trPr>
          <w:trHeight w:val="238"/>
        </w:trPr>
        <w:tc>
          <w:tcPr>
            <w:tcW w:w="2464" w:type="pct"/>
            <w:tcBorders>
              <w:top w:val="nil"/>
              <w:left w:val="single" w:sz="4" w:space="0" w:color="auto"/>
              <w:bottom w:val="single" w:sz="4" w:space="0" w:color="auto"/>
              <w:right w:val="single" w:sz="4" w:space="0" w:color="auto"/>
            </w:tcBorders>
            <w:shd w:val="clear" w:color="auto" w:fill="auto"/>
            <w:vAlign w:val="center"/>
            <w:hideMark/>
          </w:tcPr>
          <w:p w14:paraId="65C3C37A" w14:textId="77777777" w:rsidR="007C6A41" w:rsidRPr="007C6A41" w:rsidRDefault="007C6A41" w:rsidP="007C6A41">
            <w:pPr>
              <w:spacing w:after="0" w:line="240" w:lineRule="auto"/>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Despesas Financeiras </w:t>
            </w:r>
            <w:proofErr w:type="spellStart"/>
            <w:r w:rsidRPr="007C6A41">
              <w:rPr>
                <w:rFonts w:ascii="Arial" w:eastAsia="Times New Roman" w:hAnsi="Arial" w:cs="Arial"/>
                <w:color w:val="000000"/>
                <w:kern w:val="0"/>
                <w:sz w:val="16"/>
                <w:szCs w:val="16"/>
                <w:lang w:eastAsia="pt-BR"/>
                <w14:ligatures w14:val="none"/>
              </w:rPr>
              <w:t>Arrend</w:t>
            </w:r>
            <w:proofErr w:type="spellEnd"/>
            <w:r w:rsidRPr="007C6A41">
              <w:rPr>
                <w:rFonts w:ascii="Arial" w:eastAsia="Times New Roman" w:hAnsi="Arial" w:cs="Arial"/>
                <w:color w:val="000000"/>
                <w:kern w:val="0"/>
                <w:sz w:val="16"/>
                <w:szCs w:val="16"/>
                <w:lang w:eastAsia="pt-BR"/>
                <w14:ligatures w14:val="none"/>
              </w:rPr>
              <w:t>. Mercantil (Direito de Uso)</w:t>
            </w:r>
          </w:p>
        </w:tc>
        <w:tc>
          <w:tcPr>
            <w:tcW w:w="653" w:type="pct"/>
            <w:tcBorders>
              <w:top w:val="nil"/>
              <w:left w:val="nil"/>
              <w:bottom w:val="single" w:sz="4" w:space="0" w:color="auto"/>
              <w:right w:val="single" w:sz="4" w:space="0" w:color="auto"/>
            </w:tcBorders>
            <w:shd w:val="clear" w:color="auto" w:fill="auto"/>
            <w:vAlign w:val="center"/>
            <w:hideMark/>
          </w:tcPr>
          <w:p w14:paraId="222EFA5C"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1.034 </w:t>
            </w:r>
          </w:p>
        </w:tc>
        <w:tc>
          <w:tcPr>
            <w:tcW w:w="653" w:type="pct"/>
            <w:tcBorders>
              <w:top w:val="nil"/>
              <w:left w:val="nil"/>
              <w:bottom w:val="single" w:sz="4" w:space="0" w:color="auto"/>
              <w:right w:val="single" w:sz="4" w:space="0" w:color="auto"/>
            </w:tcBorders>
            <w:shd w:val="clear" w:color="auto" w:fill="auto"/>
            <w:vAlign w:val="center"/>
            <w:hideMark/>
          </w:tcPr>
          <w:p w14:paraId="7F47697E"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1.034 </w:t>
            </w:r>
          </w:p>
        </w:tc>
        <w:tc>
          <w:tcPr>
            <w:tcW w:w="653" w:type="pct"/>
            <w:tcBorders>
              <w:top w:val="nil"/>
              <w:left w:val="nil"/>
              <w:bottom w:val="single" w:sz="4" w:space="0" w:color="auto"/>
              <w:right w:val="single" w:sz="4" w:space="0" w:color="auto"/>
            </w:tcBorders>
            <w:shd w:val="clear" w:color="auto" w:fill="auto"/>
            <w:vAlign w:val="center"/>
            <w:hideMark/>
          </w:tcPr>
          <w:p w14:paraId="71A71150"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938 </w:t>
            </w:r>
          </w:p>
        </w:tc>
        <w:tc>
          <w:tcPr>
            <w:tcW w:w="577" w:type="pct"/>
            <w:tcBorders>
              <w:top w:val="nil"/>
              <w:left w:val="nil"/>
              <w:bottom w:val="single" w:sz="4" w:space="0" w:color="auto"/>
              <w:right w:val="single" w:sz="4" w:space="0" w:color="auto"/>
            </w:tcBorders>
            <w:shd w:val="clear" w:color="auto" w:fill="auto"/>
            <w:vAlign w:val="center"/>
            <w:hideMark/>
          </w:tcPr>
          <w:p w14:paraId="315024B9"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938 </w:t>
            </w:r>
          </w:p>
        </w:tc>
      </w:tr>
      <w:tr w:rsidR="007C6A41" w:rsidRPr="007C6A41" w14:paraId="4DA838C2" w14:textId="77777777" w:rsidTr="00446A14">
        <w:trPr>
          <w:trHeight w:val="238"/>
        </w:trPr>
        <w:tc>
          <w:tcPr>
            <w:tcW w:w="2464" w:type="pct"/>
            <w:tcBorders>
              <w:top w:val="nil"/>
              <w:left w:val="single" w:sz="4" w:space="0" w:color="auto"/>
              <w:bottom w:val="single" w:sz="4" w:space="0" w:color="auto"/>
              <w:right w:val="single" w:sz="4" w:space="0" w:color="auto"/>
            </w:tcBorders>
            <w:shd w:val="clear" w:color="auto" w:fill="auto"/>
            <w:vAlign w:val="center"/>
            <w:hideMark/>
          </w:tcPr>
          <w:p w14:paraId="395E343A" w14:textId="77777777" w:rsidR="007C6A41" w:rsidRPr="007C6A41" w:rsidRDefault="007C6A41" w:rsidP="007C6A41">
            <w:pPr>
              <w:spacing w:after="0" w:line="240" w:lineRule="auto"/>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Outras Adições</w:t>
            </w:r>
          </w:p>
        </w:tc>
        <w:tc>
          <w:tcPr>
            <w:tcW w:w="653" w:type="pct"/>
            <w:tcBorders>
              <w:top w:val="nil"/>
              <w:left w:val="nil"/>
              <w:bottom w:val="single" w:sz="4" w:space="0" w:color="auto"/>
              <w:right w:val="single" w:sz="4" w:space="0" w:color="auto"/>
            </w:tcBorders>
            <w:shd w:val="clear" w:color="auto" w:fill="auto"/>
            <w:vAlign w:val="center"/>
            <w:hideMark/>
          </w:tcPr>
          <w:p w14:paraId="6E0669D0"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154 </w:t>
            </w:r>
          </w:p>
        </w:tc>
        <w:tc>
          <w:tcPr>
            <w:tcW w:w="653" w:type="pct"/>
            <w:tcBorders>
              <w:top w:val="nil"/>
              <w:left w:val="nil"/>
              <w:bottom w:val="single" w:sz="4" w:space="0" w:color="auto"/>
              <w:right w:val="single" w:sz="4" w:space="0" w:color="auto"/>
            </w:tcBorders>
            <w:shd w:val="clear" w:color="auto" w:fill="auto"/>
            <w:vAlign w:val="center"/>
            <w:hideMark/>
          </w:tcPr>
          <w:p w14:paraId="07163B1D"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154 </w:t>
            </w:r>
          </w:p>
        </w:tc>
        <w:tc>
          <w:tcPr>
            <w:tcW w:w="653" w:type="pct"/>
            <w:tcBorders>
              <w:top w:val="nil"/>
              <w:left w:val="nil"/>
              <w:bottom w:val="single" w:sz="4" w:space="0" w:color="auto"/>
              <w:right w:val="single" w:sz="4" w:space="0" w:color="auto"/>
            </w:tcBorders>
            <w:shd w:val="clear" w:color="auto" w:fill="auto"/>
            <w:vAlign w:val="center"/>
            <w:hideMark/>
          </w:tcPr>
          <w:p w14:paraId="7AE68666"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435 </w:t>
            </w:r>
          </w:p>
        </w:tc>
        <w:tc>
          <w:tcPr>
            <w:tcW w:w="577" w:type="pct"/>
            <w:tcBorders>
              <w:top w:val="nil"/>
              <w:left w:val="nil"/>
              <w:bottom w:val="single" w:sz="4" w:space="0" w:color="auto"/>
              <w:right w:val="single" w:sz="4" w:space="0" w:color="auto"/>
            </w:tcBorders>
            <w:shd w:val="clear" w:color="auto" w:fill="auto"/>
            <w:vAlign w:val="center"/>
            <w:hideMark/>
          </w:tcPr>
          <w:p w14:paraId="78BEE01A"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435 </w:t>
            </w:r>
          </w:p>
        </w:tc>
      </w:tr>
      <w:tr w:rsidR="007C6A41" w:rsidRPr="007C6A41" w14:paraId="078BDDCD" w14:textId="77777777" w:rsidTr="00446A14">
        <w:trPr>
          <w:trHeight w:val="238"/>
        </w:trPr>
        <w:tc>
          <w:tcPr>
            <w:tcW w:w="2464" w:type="pct"/>
            <w:tcBorders>
              <w:top w:val="nil"/>
              <w:left w:val="single" w:sz="4" w:space="0" w:color="auto"/>
              <w:bottom w:val="single" w:sz="4" w:space="0" w:color="auto"/>
              <w:right w:val="single" w:sz="4" w:space="0" w:color="auto"/>
            </w:tcBorders>
            <w:shd w:val="clear" w:color="auto" w:fill="auto"/>
            <w:vAlign w:val="center"/>
            <w:hideMark/>
          </w:tcPr>
          <w:p w14:paraId="4996594C" w14:textId="77777777" w:rsidR="007C6A41" w:rsidRPr="007C6A41" w:rsidRDefault="007C6A41" w:rsidP="007C6A41">
            <w:pPr>
              <w:spacing w:after="0" w:line="240" w:lineRule="auto"/>
              <w:rPr>
                <w:rFonts w:ascii="Arial" w:eastAsia="Times New Roman" w:hAnsi="Arial" w:cs="Arial"/>
                <w:b/>
                <w:bCs/>
                <w:color w:val="000000"/>
                <w:kern w:val="0"/>
                <w:sz w:val="16"/>
                <w:szCs w:val="16"/>
                <w:lang w:eastAsia="pt-BR"/>
                <w14:ligatures w14:val="none"/>
              </w:rPr>
            </w:pPr>
            <w:r w:rsidRPr="007C6A41">
              <w:rPr>
                <w:rFonts w:ascii="Arial" w:eastAsia="Times New Roman" w:hAnsi="Arial" w:cs="Arial"/>
                <w:b/>
                <w:bCs/>
                <w:color w:val="000000"/>
                <w:kern w:val="0"/>
                <w:sz w:val="16"/>
                <w:szCs w:val="16"/>
                <w:lang w:eastAsia="pt-BR"/>
                <w14:ligatures w14:val="none"/>
              </w:rPr>
              <w:t>Exclusões permanentes</w:t>
            </w:r>
          </w:p>
        </w:tc>
        <w:tc>
          <w:tcPr>
            <w:tcW w:w="653" w:type="pct"/>
            <w:tcBorders>
              <w:top w:val="nil"/>
              <w:left w:val="nil"/>
              <w:bottom w:val="single" w:sz="4" w:space="0" w:color="auto"/>
              <w:right w:val="single" w:sz="4" w:space="0" w:color="auto"/>
            </w:tcBorders>
            <w:shd w:val="clear" w:color="auto" w:fill="auto"/>
            <w:vAlign w:val="center"/>
            <w:hideMark/>
          </w:tcPr>
          <w:p w14:paraId="27EC84E3" w14:textId="77777777" w:rsidR="007C6A41" w:rsidRPr="007C6A41" w:rsidRDefault="007C6A41" w:rsidP="007C6A41">
            <w:pPr>
              <w:spacing w:after="0" w:line="240" w:lineRule="auto"/>
              <w:jc w:val="right"/>
              <w:rPr>
                <w:rFonts w:ascii="Arial" w:eastAsia="Times New Roman" w:hAnsi="Arial" w:cs="Arial"/>
                <w:b/>
                <w:bCs/>
                <w:color w:val="000000"/>
                <w:kern w:val="0"/>
                <w:sz w:val="16"/>
                <w:szCs w:val="16"/>
                <w:lang w:eastAsia="pt-BR"/>
                <w14:ligatures w14:val="none"/>
              </w:rPr>
            </w:pPr>
            <w:r w:rsidRPr="007C6A41">
              <w:rPr>
                <w:rFonts w:ascii="Arial" w:eastAsia="Times New Roman" w:hAnsi="Arial" w:cs="Arial"/>
                <w:b/>
                <w:bCs/>
                <w:color w:val="000000"/>
                <w:kern w:val="0"/>
                <w:sz w:val="16"/>
                <w:szCs w:val="16"/>
                <w:lang w:eastAsia="pt-BR"/>
                <w14:ligatures w14:val="none"/>
              </w:rPr>
              <w:t xml:space="preserve">       (14.268)</w:t>
            </w:r>
          </w:p>
        </w:tc>
        <w:tc>
          <w:tcPr>
            <w:tcW w:w="653" w:type="pct"/>
            <w:tcBorders>
              <w:top w:val="nil"/>
              <w:left w:val="nil"/>
              <w:bottom w:val="single" w:sz="4" w:space="0" w:color="auto"/>
              <w:right w:val="single" w:sz="4" w:space="0" w:color="auto"/>
            </w:tcBorders>
            <w:shd w:val="clear" w:color="auto" w:fill="auto"/>
            <w:vAlign w:val="center"/>
            <w:hideMark/>
          </w:tcPr>
          <w:p w14:paraId="37B2CEDC" w14:textId="77777777" w:rsidR="007C6A41" w:rsidRPr="007C6A41" w:rsidRDefault="007C6A41" w:rsidP="007C6A41">
            <w:pPr>
              <w:spacing w:after="0" w:line="240" w:lineRule="auto"/>
              <w:jc w:val="right"/>
              <w:rPr>
                <w:rFonts w:ascii="Arial" w:eastAsia="Times New Roman" w:hAnsi="Arial" w:cs="Arial"/>
                <w:b/>
                <w:bCs/>
                <w:color w:val="000000"/>
                <w:kern w:val="0"/>
                <w:sz w:val="16"/>
                <w:szCs w:val="16"/>
                <w:lang w:eastAsia="pt-BR"/>
                <w14:ligatures w14:val="none"/>
              </w:rPr>
            </w:pPr>
            <w:r w:rsidRPr="007C6A41">
              <w:rPr>
                <w:rFonts w:ascii="Arial" w:eastAsia="Times New Roman" w:hAnsi="Arial" w:cs="Arial"/>
                <w:b/>
                <w:bCs/>
                <w:color w:val="000000"/>
                <w:kern w:val="0"/>
                <w:sz w:val="16"/>
                <w:szCs w:val="16"/>
                <w:lang w:eastAsia="pt-BR"/>
                <w14:ligatures w14:val="none"/>
              </w:rPr>
              <w:t xml:space="preserve">       (14.268)</w:t>
            </w:r>
          </w:p>
        </w:tc>
        <w:tc>
          <w:tcPr>
            <w:tcW w:w="653" w:type="pct"/>
            <w:tcBorders>
              <w:top w:val="nil"/>
              <w:left w:val="nil"/>
              <w:bottom w:val="single" w:sz="4" w:space="0" w:color="auto"/>
              <w:right w:val="single" w:sz="4" w:space="0" w:color="auto"/>
            </w:tcBorders>
            <w:shd w:val="clear" w:color="auto" w:fill="auto"/>
            <w:vAlign w:val="center"/>
            <w:hideMark/>
          </w:tcPr>
          <w:p w14:paraId="61B691F4" w14:textId="77777777" w:rsidR="007C6A41" w:rsidRPr="007C6A41" w:rsidRDefault="007C6A41" w:rsidP="007C6A41">
            <w:pPr>
              <w:spacing w:after="0" w:line="240" w:lineRule="auto"/>
              <w:jc w:val="right"/>
              <w:rPr>
                <w:rFonts w:ascii="Arial" w:eastAsia="Times New Roman" w:hAnsi="Arial" w:cs="Arial"/>
                <w:b/>
                <w:bCs/>
                <w:color w:val="000000"/>
                <w:kern w:val="0"/>
                <w:sz w:val="16"/>
                <w:szCs w:val="16"/>
                <w:lang w:eastAsia="pt-BR"/>
                <w14:ligatures w14:val="none"/>
              </w:rPr>
            </w:pPr>
            <w:r w:rsidRPr="007C6A41">
              <w:rPr>
                <w:rFonts w:ascii="Arial" w:eastAsia="Times New Roman" w:hAnsi="Arial" w:cs="Arial"/>
                <w:b/>
                <w:bCs/>
                <w:color w:val="000000"/>
                <w:kern w:val="0"/>
                <w:sz w:val="16"/>
                <w:szCs w:val="16"/>
                <w:lang w:eastAsia="pt-BR"/>
                <w14:ligatures w14:val="none"/>
              </w:rPr>
              <w:t xml:space="preserve">       (31.990)</w:t>
            </w:r>
          </w:p>
        </w:tc>
        <w:tc>
          <w:tcPr>
            <w:tcW w:w="577" w:type="pct"/>
            <w:tcBorders>
              <w:top w:val="nil"/>
              <w:left w:val="nil"/>
              <w:bottom w:val="single" w:sz="4" w:space="0" w:color="auto"/>
              <w:right w:val="single" w:sz="4" w:space="0" w:color="auto"/>
            </w:tcBorders>
            <w:shd w:val="clear" w:color="auto" w:fill="auto"/>
            <w:vAlign w:val="center"/>
            <w:hideMark/>
          </w:tcPr>
          <w:p w14:paraId="340A3B26" w14:textId="77777777" w:rsidR="007C6A41" w:rsidRPr="007C6A41" w:rsidRDefault="007C6A41" w:rsidP="007C6A41">
            <w:pPr>
              <w:spacing w:after="0" w:line="240" w:lineRule="auto"/>
              <w:jc w:val="right"/>
              <w:rPr>
                <w:rFonts w:ascii="Arial" w:eastAsia="Times New Roman" w:hAnsi="Arial" w:cs="Arial"/>
                <w:b/>
                <w:bCs/>
                <w:color w:val="000000"/>
                <w:kern w:val="0"/>
                <w:sz w:val="16"/>
                <w:szCs w:val="16"/>
                <w:lang w:eastAsia="pt-BR"/>
                <w14:ligatures w14:val="none"/>
              </w:rPr>
            </w:pPr>
            <w:r w:rsidRPr="007C6A41">
              <w:rPr>
                <w:rFonts w:ascii="Arial" w:eastAsia="Times New Roman" w:hAnsi="Arial" w:cs="Arial"/>
                <w:b/>
                <w:bCs/>
                <w:color w:val="000000"/>
                <w:kern w:val="0"/>
                <w:sz w:val="16"/>
                <w:szCs w:val="16"/>
                <w:lang w:eastAsia="pt-BR"/>
                <w14:ligatures w14:val="none"/>
              </w:rPr>
              <w:t xml:space="preserve">       (31.990)</w:t>
            </w:r>
          </w:p>
        </w:tc>
      </w:tr>
      <w:tr w:rsidR="007C6A41" w:rsidRPr="007C6A41" w14:paraId="2BEF00C9" w14:textId="77777777" w:rsidTr="00446A14">
        <w:trPr>
          <w:trHeight w:val="238"/>
        </w:trPr>
        <w:tc>
          <w:tcPr>
            <w:tcW w:w="2464" w:type="pct"/>
            <w:tcBorders>
              <w:top w:val="nil"/>
              <w:left w:val="single" w:sz="4" w:space="0" w:color="auto"/>
              <w:bottom w:val="single" w:sz="4" w:space="0" w:color="auto"/>
              <w:right w:val="single" w:sz="4" w:space="0" w:color="auto"/>
            </w:tcBorders>
            <w:shd w:val="clear" w:color="auto" w:fill="auto"/>
            <w:vAlign w:val="center"/>
            <w:hideMark/>
          </w:tcPr>
          <w:p w14:paraId="1BC8AF68" w14:textId="77777777" w:rsidR="007C6A41" w:rsidRPr="007C6A41" w:rsidRDefault="007C6A41" w:rsidP="007C6A41">
            <w:pPr>
              <w:spacing w:after="0" w:line="240" w:lineRule="auto"/>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Provisão p/ Riscos Trabalhistas, Cíveis e Fiscais</w:t>
            </w:r>
          </w:p>
        </w:tc>
        <w:tc>
          <w:tcPr>
            <w:tcW w:w="653" w:type="pct"/>
            <w:tcBorders>
              <w:top w:val="nil"/>
              <w:left w:val="nil"/>
              <w:bottom w:val="single" w:sz="4" w:space="0" w:color="auto"/>
              <w:right w:val="single" w:sz="4" w:space="0" w:color="auto"/>
            </w:tcBorders>
            <w:shd w:val="clear" w:color="auto" w:fill="auto"/>
            <w:vAlign w:val="center"/>
            <w:hideMark/>
          </w:tcPr>
          <w:p w14:paraId="7CFDE984"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(3.489)</w:t>
            </w:r>
          </w:p>
        </w:tc>
        <w:tc>
          <w:tcPr>
            <w:tcW w:w="653" w:type="pct"/>
            <w:tcBorders>
              <w:top w:val="nil"/>
              <w:left w:val="nil"/>
              <w:bottom w:val="single" w:sz="4" w:space="0" w:color="auto"/>
              <w:right w:val="single" w:sz="4" w:space="0" w:color="auto"/>
            </w:tcBorders>
            <w:shd w:val="clear" w:color="auto" w:fill="auto"/>
            <w:vAlign w:val="center"/>
            <w:hideMark/>
          </w:tcPr>
          <w:p w14:paraId="33F46AC2"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(3.489)</w:t>
            </w:r>
          </w:p>
        </w:tc>
        <w:tc>
          <w:tcPr>
            <w:tcW w:w="653" w:type="pct"/>
            <w:tcBorders>
              <w:top w:val="nil"/>
              <w:left w:val="nil"/>
              <w:bottom w:val="single" w:sz="4" w:space="0" w:color="auto"/>
              <w:right w:val="single" w:sz="4" w:space="0" w:color="auto"/>
            </w:tcBorders>
            <w:shd w:val="clear" w:color="auto" w:fill="auto"/>
            <w:vAlign w:val="center"/>
            <w:hideMark/>
          </w:tcPr>
          <w:p w14:paraId="42B06D6B"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(2.063)</w:t>
            </w:r>
          </w:p>
        </w:tc>
        <w:tc>
          <w:tcPr>
            <w:tcW w:w="577" w:type="pct"/>
            <w:tcBorders>
              <w:top w:val="nil"/>
              <w:left w:val="nil"/>
              <w:bottom w:val="single" w:sz="4" w:space="0" w:color="auto"/>
              <w:right w:val="single" w:sz="4" w:space="0" w:color="auto"/>
            </w:tcBorders>
            <w:shd w:val="clear" w:color="auto" w:fill="auto"/>
            <w:vAlign w:val="center"/>
            <w:hideMark/>
          </w:tcPr>
          <w:p w14:paraId="05626CA7"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(2.063)</w:t>
            </w:r>
          </w:p>
        </w:tc>
      </w:tr>
      <w:tr w:rsidR="007C6A41" w:rsidRPr="007C6A41" w14:paraId="40E2B7CB" w14:textId="77777777" w:rsidTr="00446A14">
        <w:trPr>
          <w:trHeight w:val="238"/>
        </w:trPr>
        <w:tc>
          <w:tcPr>
            <w:tcW w:w="2464" w:type="pct"/>
            <w:tcBorders>
              <w:top w:val="nil"/>
              <w:left w:val="single" w:sz="4" w:space="0" w:color="auto"/>
              <w:bottom w:val="single" w:sz="4" w:space="0" w:color="auto"/>
              <w:right w:val="single" w:sz="4" w:space="0" w:color="auto"/>
            </w:tcBorders>
            <w:shd w:val="clear" w:color="auto" w:fill="auto"/>
            <w:vAlign w:val="center"/>
            <w:hideMark/>
          </w:tcPr>
          <w:p w14:paraId="0AFDE8C1" w14:textId="77777777" w:rsidR="007C6A41" w:rsidRPr="007C6A41" w:rsidRDefault="007C6A41" w:rsidP="007C6A41">
            <w:pPr>
              <w:spacing w:after="0" w:line="240" w:lineRule="auto"/>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Dividendos Recebidos/Juros sobre Capital Próprio Recebidos</w:t>
            </w:r>
          </w:p>
        </w:tc>
        <w:tc>
          <w:tcPr>
            <w:tcW w:w="653" w:type="pct"/>
            <w:tcBorders>
              <w:top w:val="nil"/>
              <w:left w:val="nil"/>
              <w:bottom w:val="single" w:sz="4" w:space="0" w:color="auto"/>
              <w:right w:val="single" w:sz="4" w:space="0" w:color="auto"/>
            </w:tcBorders>
            <w:shd w:val="clear" w:color="auto" w:fill="auto"/>
            <w:vAlign w:val="center"/>
            <w:hideMark/>
          </w:tcPr>
          <w:p w14:paraId="49D6DD66"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   </w:t>
            </w:r>
          </w:p>
        </w:tc>
        <w:tc>
          <w:tcPr>
            <w:tcW w:w="653" w:type="pct"/>
            <w:tcBorders>
              <w:top w:val="nil"/>
              <w:left w:val="nil"/>
              <w:bottom w:val="single" w:sz="4" w:space="0" w:color="auto"/>
              <w:right w:val="single" w:sz="4" w:space="0" w:color="auto"/>
            </w:tcBorders>
            <w:shd w:val="clear" w:color="auto" w:fill="auto"/>
            <w:vAlign w:val="center"/>
            <w:hideMark/>
          </w:tcPr>
          <w:p w14:paraId="52F86F1D"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   </w:t>
            </w:r>
          </w:p>
        </w:tc>
        <w:tc>
          <w:tcPr>
            <w:tcW w:w="653" w:type="pct"/>
            <w:tcBorders>
              <w:top w:val="nil"/>
              <w:left w:val="nil"/>
              <w:bottom w:val="single" w:sz="4" w:space="0" w:color="auto"/>
              <w:right w:val="single" w:sz="4" w:space="0" w:color="auto"/>
            </w:tcBorders>
            <w:shd w:val="clear" w:color="auto" w:fill="auto"/>
            <w:vAlign w:val="center"/>
            <w:hideMark/>
          </w:tcPr>
          <w:p w14:paraId="1FCB9C4E"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(63)</w:t>
            </w:r>
          </w:p>
        </w:tc>
        <w:tc>
          <w:tcPr>
            <w:tcW w:w="577" w:type="pct"/>
            <w:tcBorders>
              <w:top w:val="nil"/>
              <w:left w:val="nil"/>
              <w:bottom w:val="single" w:sz="4" w:space="0" w:color="auto"/>
              <w:right w:val="single" w:sz="4" w:space="0" w:color="auto"/>
            </w:tcBorders>
            <w:shd w:val="clear" w:color="auto" w:fill="auto"/>
            <w:vAlign w:val="center"/>
            <w:hideMark/>
          </w:tcPr>
          <w:p w14:paraId="61381DF9"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(63)</w:t>
            </w:r>
          </w:p>
        </w:tc>
      </w:tr>
      <w:tr w:rsidR="007C6A41" w:rsidRPr="007C6A41" w14:paraId="42FD53EF" w14:textId="77777777" w:rsidTr="00446A14">
        <w:trPr>
          <w:trHeight w:val="238"/>
        </w:trPr>
        <w:tc>
          <w:tcPr>
            <w:tcW w:w="2464" w:type="pct"/>
            <w:tcBorders>
              <w:top w:val="nil"/>
              <w:left w:val="single" w:sz="4" w:space="0" w:color="auto"/>
              <w:bottom w:val="single" w:sz="4" w:space="0" w:color="auto"/>
              <w:right w:val="single" w:sz="4" w:space="0" w:color="auto"/>
            </w:tcBorders>
            <w:shd w:val="clear" w:color="auto" w:fill="auto"/>
            <w:vAlign w:val="center"/>
            <w:hideMark/>
          </w:tcPr>
          <w:p w14:paraId="54B1B485" w14:textId="77777777" w:rsidR="007C6A41" w:rsidRPr="007C6A41" w:rsidRDefault="007C6A41" w:rsidP="007C6A41">
            <w:pPr>
              <w:spacing w:after="0" w:line="240" w:lineRule="auto"/>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lastRenderedPageBreak/>
              <w:t xml:space="preserve">   Recuperações de Baixas de Contas a Receber</w:t>
            </w:r>
          </w:p>
        </w:tc>
        <w:tc>
          <w:tcPr>
            <w:tcW w:w="653" w:type="pct"/>
            <w:tcBorders>
              <w:top w:val="nil"/>
              <w:left w:val="nil"/>
              <w:bottom w:val="single" w:sz="4" w:space="0" w:color="auto"/>
              <w:right w:val="single" w:sz="4" w:space="0" w:color="auto"/>
            </w:tcBorders>
            <w:shd w:val="clear" w:color="auto" w:fill="auto"/>
            <w:vAlign w:val="center"/>
            <w:hideMark/>
          </w:tcPr>
          <w:p w14:paraId="406740FC"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   </w:t>
            </w:r>
          </w:p>
        </w:tc>
        <w:tc>
          <w:tcPr>
            <w:tcW w:w="653" w:type="pct"/>
            <w:tcBorders>
              <w:top w:val="nil"/>
              <w:left w:val="nil"/>
              <w:bottom w:val="single" w:sz="4" w:space="0" w:color="auto"/>
              <w:right w:val="single" w:sz="4" w:space="0" w:color="auto"/>
            </w:tcBorders>
            <w:shd w:val="clear" w:color="auto" w:fill="auto"/>
            <w:vAlign w:val="center"/>
            <w:hideMark/>
          </w:tcPr>
          <w:p w14:paraId="5434E840"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   </w:t>
            </w:r>
          </w:p>
        </w:tc>
        <w:tc>
          <w:tcPr>
            <w:tcW w:w="653" w:type="pct"/>
            <w:tcBorders>
              <w:top w:val="nil"/>
              <w:left w:val="nil"/>
              <w:bottom w:val="single" w:sz="4" w:space="0" w:color="auto"/>
              <w:right w:val="single" w:sz="4" w:space="0" w:color="auto"/>
            </w:tcBorders>
            <w:shd w:val="clear" w:color="auto" w:fill="auto"/>
            <w:vAlign w:val="center"/>
            <w:hideMark/>
          </w:tcPr>
          <w:p w14:paraId="0CBEBDE3"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(125)</w:t>
            </w:r>
          </w:p>
        </w:tc>
        <w:tc>
          <w:tcPr>
            <w:tcW w:w="577" w:type="pct"/>
            <w:tcBorders>
              <w:top w:val="nil"/>
              <w:left w:val="nil"/>
              <w:bottom w:val="single" w:sz="4" w:space="0" w:color="auto"/>
              <w:right w:val="single" w:sz="4" w:space="0" w:color="auto"/>
            </w:tcBorders>
            <w:shd w:val="clear" w:color="auto" w:fill="auto"/>
            <w:vAlign w:val="center"/>
            <w:hideMark/>
          </w:tcPr>
          <w:p w14:paraId="0C8770C1"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(125)</w:t>
            </w:r>
          </w:p>
        </w:tc>
      </w:tr>
      <w:tr w:rsidR="007C6A41" w:rsidRPr="007C6A41" w14:paraId="1763E6D3" w14:textId="77777777" w:rsidTr="00446A14">
        <w:trPr>
          <w:trHeight w:val="238"/>
        </w:trPr>
        <w:tc>
          <w:tcPr>
            <w:tcW w:w="2464" w:type="pct"/>
            <w:tcBorders>
              <w:top w:val="nil"/>
              <w:left w:val="single" w:sz="4" w:space="0" w:color="auto"/>
              <w:bottom w:val="single" w:sz="4" w:space="0" w:color="auto"/>
              <w:right w:val="single" w:sz="4" w:space="0" w:color="auto"/>
            </w:tcBorders>
            <w:shd w:val="clear" w:color="auto" w:fill="auto"/>
            <w:vAlign w:val="center"/>
            <w:hideMark/>
          </w:tcPr>
          <w:p w14:paraId="0B89DE08" w14:textId="77777777" w:rsidR="007C6A41" w:rsidRPr="007C6A41" w:rsidRDefault="007C6A41" w:rsidP="007C6A41">
            <w:pPr>
              <w:spacing w:after="0" w:line="240" w:lineRule="auto"/>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Baixas por Perdas Efetivas com Contas a Receber</w:t>
            </w:r>
          </w:p>
        </w:tc>
        <w:tc>
          <w:tcPr>
            <w:tcW w:w="653" w:type="pct"/>
            <w:tcBorders>
              <w:top w:val="nil"/>
              <w:left w:val="nil"/>
              <w:bottom w:val="single" w:sz="4" w:space="0" w:color="auto"/>
              <w:right w:val="single" w:sz="4" w:space="0" w:color="auto"/>
            </w:tcBorders>
            <w:shd w:val="clear" w:color="auto" w:fill="auto"/>
            <w:vAlign w:val="center"/>
            <w:hideMark/>
          </w:tcPr>
          <w:p w14:paraId="43178317"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(1.565)</w:t>
            </w:r>
          </w:p>
        </w:tc>
        <w:tc>
          <w:tcPr>
            <w:tcW w:w="653" w:type="pct"/>
            <w:tcBorders>
              <w:top w:val="nil"/>
              <w:left w:val="nil"/>
              <w:bottom w:val="single" w:sz="4" w:space="0" w:color="auto"/>
              <w:right w:val="single" w:sz="4" w:space="0" w:color="auto"/>
            </w:tcBorders>
            <w:shd w:val="clear" w:color="auto" w:fill="auto"/>
            <w:vAlign w:val="center"/>
            <w:hideMark/>
          </w:tcPr>
          <w:p w14:paraId="780CED4F"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(1.565)</w:t>
            </w:r>
          </w:p>
        </w:tc>
        <w:tc>
          <w:tcPr>
            <w:tcW w:w="653" w:type="pct"/>
            <w:tcBorders>
              <w:top w:val="nil"/>
              <w:left w:val="nil"/>
              <w:bottom w:val="single" w:sz="4" w:space="0" w:color="auto"/>
              <w:right w:val="single" w:sz="4" w:space="0" w:color="auto"/>
            </w:tcBorders>
            <w:shd w:val="clear" w:color="auto" w:fill="auto"/>
            <w:vAlign w:val="center"/>
            <w:hideMark/>
          </w:tcPr>
          <w:p w14:paraId="22F8D561"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(22.437)</w:t>
            </w:r>
          </w:p>
        </w:tc>
        <w:tc>
          <w:tcPr>
            <w:tcW w:w="577" w:type="pct"/>
            <w:tcBorders>
              <w:top w:val="nil"/>
              <w:left w:val="nil"/>
              <w:bottom w:val="single" w:sz="4" w:space="0" w:color="auto"/>
              <w:right w:val="single" w:sz="4" w:space="0" w:color="auto"/>
            </w:tcBorders>
            <w:shd w:val="clear" w:color="auto" w:fill="auto"/>
            <w:vAlign w:val="center"/>
            <w:hideMark/>
          </w:tcPr>
          <w:p w14:paraId="3F1EB072"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(22.437)</w:t>
            </w:r>
          </w:p>
        </w:tc>
      </w:tr>
      <w:tr w:rsidR="007C6A41" w:rsidRPr="007C6A41" w14:paraId="78861599" w14:textId="77777777" w:rsidTr="00446A14">
        <w:trPr>
          <w:trHeight w:val="238"/>
        </w:trPr>
        <w:tc>
          <w:tcPr>
            <w:tcW w:w="2464" w:type="pct"/>
            <w:tcBorders>
              <w:top w:val="nil"/>
              <w:left w:val="single" w:sz="4" w:space="0" w:color="auto"/>
              <w:bottom w:val="single" w:sz="4" w:space="0" w:color="auto"/>
              <w:right w:val="single" w:sz="4" w:space="0" w:color="auto"/>
            </w:tcBorders>
            <w:shd w:val="clear" w:color="auto" w:fill="auto"/>
            <w:vAlign w:val="center"/>
            <w:hideMark/>
          </w:tcPr>
          <w:p w14:paraId="6E9AE538" w14:textId="77777777" w:rsidR="007C6A41" w:rsidRPr="007C6A41" w:rsidRDefault="007C6A41" w:rsidP="007C6A41">
            <w:pPr>
              <w:spacing w:after="0" w:line="240" w:lineRule="auto"/>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Pagamento Contraprestação </w:t>
            </w:r>
            <w:proofErr w:type="spellStart"/>
            <w:r w:rsidRPr="007C6A41">
              <w:rPr>
                <w:rFonts w:ascii="Arial" w:eastAsia="Times New Roman" w:hAnsi="Arial" w:cs="Arial"/>
                <w:color w:val="000000"/>
                <w:kern w:val="0"/>
                <w:sz w:val="16"/>
                <w:szCs w:val="16"/>
                <w:lang w:eastAsia="pt-BR"/>
                <w14:ligatures w14:val="none"/>
              </w:rPr>
              <w:t>Arrend</w:t>
            </w:r>
            <w:proofErr w:type="spellEnd"/>
            <w:r w:rsidRPr="007C6A41">
              <w:rPr>
                <w:rFonts w:ascii="Arial" w:eastAsia="Times New Roman" w:hAnsi="Arial" w:cs="Arial"/>
                <w:color w:val="000000"/>
                <w:kern w:val="0"/>
                <w:sz w:val="16"/>
                <w:szCs w:val="16"/>
                <w:lang w:eastAsia="pt-BR"/>
                <w14:ligatures w14:val="none"/>
              </w:rPr>
              <w:t xml:space="preserve">. </w:t>
            </w:r>
            <w:proofErr w:type="gramStart"/>
            <w:r w:rsidRPr="007C6A41">
              <w:rPr>
                <w:rFonts w:ascii="Arial" w:eastAsia="Times New Roman" w:hAnsi="Arial" w:cs="Arial"/>
                <w:color w:val="000000"/>
                <w:kern w:val="0"/>
                <w:sz w:val="16"/>
                <w:szCs w:val="16"/>
                <w:lang w:eastAsia="pt-BR"/>
                <w14:ligatures w14:val="none"/>
              </w:rPr>
              <w:t>Mercantil  (</w:t>
            </w:r>
            <w:proofErr w:type="gramEnd"/>
            <w:r w:rsidRPr="007C6A41">
              <w:rPr>
                <w:rFonts w:ascii="Arial" w:eastAsia="Times New Roman" w:hAnsi="Arial" w:cs="Arial"/>
                <w:color w:val="000000"/>
                <w:kern w:val="0"/>
                <w:sz w:val="16"/>
                <w:szCs w:val="16"/>
                <w:lang w:eastAsia="pt-BR"/>
                <w14:ligatures w14:val="none"/>
              </w:rPr>
              <w:t>Direito de Uso)</w:t>
            </w:r>
          </w:p>
        </w:tc>
        <w:tc>
          <w:tcPr>
            <w:tcW w:w="653" w:type="pct"/>
            <w:tcBorders>
              <w:top w:val="nil"/>
              <w:left w:val="nil"/>
              <w:bottom w:val="single" w:sz="4" w:space="0" w:color="auto"/>
              <w:right w:val="single" w:sz="4" w:space="0" w:color="auto"/>
            </w:tcBorders>
            <w:shd w:val="clear" w:color="auto" w:fill="auto"/>
            <w:vAlign w:val="center"/>
            <w:hideMark/>
          </w:tcPr>
          <w:p w14:paraId="47589ADE"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(5.739)</w:t>
            </w:r>
          </w:p>
        </w:tc>
        <w:tc>
          <w:tcPr>
            <w:tcW w:w="653" w:type="pct"/>
            <w:tcBorders>
              <w:top w:val="nil"/>
              <w:left w:val="nil"/>
              <w:bottom w:val="single" w:sz="4" w:space="0" w:color="auto"/>
              <w:right w:val="single" w:sz="4" w:space="0" w:color="auto"/>
            </w:tcBorders>
            <w:shd w:val="clear" w:color="auto" w:fill="auto"/>
            <w:vAlign w:val="center"/>
            <w:hideMark/>
          </w:tcPr>
          <w:p w14:paraId="2D3A0480"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(5.739)</w:t>
            </w:r>
          </w:p>
        </w:tc>
        <w:tc>
          <w:tcPr>
            <w:tcW w:w="653" w:type="pct"/>
            <w:tcBorders>
              <w:top w:val="nil"/>
              <w:left w:val="nil"/>
              <w:bottom w:val="single" w:sz="4" w:space="0" w:color="auto"/>
              <w:right w:val="single" w:sz="4" w:space="0" w:color="auto"/>
            </w:tcBorders>
            <w:shd w:val="clear" w:color="auto" w:fill="auto"/>
            <w:vAlign w:val="center"/>
            <w:hideMark/>
          </w:tcPr>
          <w:p w14:paraId="25CB71C7"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(5.771)</w:t>
            </w:r>
          </w:p>
        </w:tc>
        <w:tc>
          <w:tcPr>
            <w:tcW w:w="577" w:type="pct"/>
            <w:tcBorders>
              <w:top w:val="nil"/>
              <w:left w:val="nil"/>
              <w:bottom w:val="single" w:sz="4" w:space="0" w:color="auto"/>
              <w:right w:val="single" w:sz="4" w:space="0" w:color="auto"/>
            </w:tcBorders>
            <w:shd w:val="clear" w:color="auto" w:fill="auto"/>
            <w:vAlign w:val="center"/>
            <w:hideMark/>
          </w:tcPr>
          <w:p w14:paraId="08D89984"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(5.771)</w:t>
            </w:r>
          </w:p>
        </w:tc>
      </w:tr>
      <w:tr w:rsidR="007C6A41" w:rsidRPr="007C6A41" w14:paraId="42A2A504" w14:textId="77777777" w:rsidTr="00446A14">
        <w:trPr>
          <w:trHeight w:val="238"/>
        </w:trPr>
        <w:tc>
          <w:tcPr>
            <w:tcW w:w="2464" w:type="pct"/>
            <w:tcBorders>
              <w:top w:val="nil"/>
              <w:left w:val="single" w:sz="4" w:space="0" w:color="auto"/>
              <w:bottom w:val="single" w:sz="4" w:space="0" w:color="auto"/>
              <w:right w:val="single" w:sz="4" w:space="0" w:color="auto"/>
            </w:tcBorders>
            <w:shd w:val="clear" w:color="auto" w:fill="auto"/>
            <w:vAlign w:val="center"/>
            <w:hideMark/>
          </w:tcPr>
          <w:p w14:paraId="4AF774B5" w14:textId="77777777" w:rsidR="007C6A41" w:rsidRPr="007C6A41" w:rsidRDefault="007C6A41" w:rsidP="007C6A41">
            <w:pPr>
              <w:spacing w:after="0" w:line="240" w:lineRule="auto"/>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Baixa de Provisão para PISP por Pagamento</w:t>
            </w:r>
          </w:p>
        </w:tc>
        <w:tc>
          <w:tcPr>
            <w:tcW w:w="653" w:type="pct"/>
            <w:tcBorders>
              <w:top w:val="nil"/>
              <w:left w:val="nil"/>
              <w:bottom w:val="single" w:sz="4" w:space="0" w:color="auto"/>
              <w:right w:val="single" w:sz="4" w:space="0" w:color="auto"/>
            </w:tcBorders>
            <w:shd w:val="clear" w:color="auto" w:fill="auto"/>
            <w:vAlign w:val="center"/>
            <w:hideMark/>
          </w:tcPr>
          <w:p w14:paraId="124533C6"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(3.475)</w:t>
            </w:r>
          </w:p>
        </w:tc>
        <w:tc>
          <w:tcPr>
            <w:tcW w:w="653" w:type="pct"/>
            <w:tcBorders>
              <w:top w:val="nil"/>
              <w:left w:val="nil"/>
              <w:bottom w:val="single" w:sz="4" w:space="0" w:color="auto"/>
              <w:right w:val="single" w:sz="4" w:space="0" w:color="auto"/>
            </w:tcBorders>
            <w:shd w:val="clear" w:color="auto" w:fill="auto"/>
            <w:vAlign w:val="center"/>
            <w:hideMark/>
          </w:tcPr>
          <w:p w14:paraId="03DFFB9D"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(3.475)</w:t>
            </w:r>
          </w:p>
        </w:tc>
        <w:tc>
          <w:tcPr>
            <w:tcW w:w="653" w:type="pct"/>
            <w:tcBorders>
              <w:top w:val="nil"/>
              <w:left w:val="nil"/>
              <w:bottom w:val="single" w:sz="4" w:space="0" w:color="auto"/>
              <w:right w:val="single" w:sz="4" w:space="0" w:color="auto"/>
            </w:tcBorders>
            <w:shd w:val="clear" w:color="auto" w:fill="auto"/>
            <w:vAlign w:val="center"/>
            <w:hideMark/>
          </w:tcPr>
          <w:p w14:paraId="42C470DB"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(1.531)</w:t>
            </w:r>
          </w:p>
        </w:tc>
        <w:tc>
          <w:tcPr>
            <w:tcW w:w="577" w:type="pct"/>
            <w:tcBorders>
              <w:top w:val="nil"/>
              <w:left w:val="nil"/>
              <w:bottom w:val="single" w:sz="4" w:space="0" w:color="auto"/>
              <w:right w:val="single" w:sz="4" w:space="0" w:color="auto"/>
            </w:tcBorders>
            <w:shd w:val="clear" w:color="auto" w:fill="auto"/>
            <w:vAlign w:val="center"/>
            <w:hideMark/>
          </w:tcPr>
          <w:p w14:paraId="052A4B97"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(1.531)</w:t>
            </w:r>
          </w:p>
        </w:tc>
      </w:tr>
      <w:tr w:rsidR="007C6A41" w:rsidRPr="007C6A41" w14:paraId="75455A17" w14:textId="77777777" w:rsidTr="00446A14">
        <w:trPr>
          <w:trHeight w:val="238"/>
        </w:trPr>
        <w:tc>
          <w:tcPr>
            <w:tcW w:w="2464" w:type="pct"/>
            <w:tcBorders>
              <w:top w:val="nil"/>
              <w:left w:val="single" w:sz="4" w:space="0" w:color="auto"/>
              <w:bottom w:val="single" w:sz="4" w:space="0" w:color="auto"/>
              <w:right w:val="single" w:sz="4" w:space="0" w:color="auto"/>
            </w:tcBorders>
            <w:shd w:val="clear" w:color="auto" w:fill="auto"/>
            <w:vAlign w:val="center"/>
            <w:hideMark/>
          </w:tcPr>
          <w:p w14:paraId="74A15707" w14:textId="77777777" w:rsidR="007C6A41" w:rsidRPr="007C6A41" w:rsidRDefault="007C6A41" w:rsidP="007C6A41">
            <w:pPr>
              <w:spacing w:after="0" w:line="240" w:lineRule="auto"/>
              <w:rPr>
                <w:rFonts w:ascii="Arial" w:eastAsia="Times New Roman" w:hAnsi="Arial" w:cs="Arial"/>
                <w:b/>
                <w:bCs/>
                <w:color w:val="000000"/>
                <w:kern w:val="0"/>
                <w:sz w:val="16"/>
                <w:szCs w:val="16"/>
                <w:lang w:eastAsia="pt-BR"/>
                <w14:ligatures w14:val="none"/>
              </w:rPr>
            </w:pPr>
            <w:r w:rsidRPr="007C6A41">
              <w:rPr>
                <w:rFonts w:ascii="Arial" w:eastAsia="Times New Roman" w:hAnsi="Arial" w:cs="Arial"/>
                <w:b/>
                <w:bCs/>
                <w:color w:val="000000"/>
                <w:kern w:val="0"/>
                <w:sz w:val="16"/>
                <w:szCs w:val="16"/>
                <w:lang w:eastAsia="pt-BR"/>
                <w14:ligatures w14:val="none"/>
              </w:rPr>
              <w:t>Adições/(Exclusões) Temporárias:</w:t>
            </w:r>
          </w:p>
        </w:tc>
        <w:tc>
          <w:tcPr>
            <w:tcW w:w="653" w:type="pct"/>
            <w:tcBorders>
              <w:top w:val="nil"/>
              <w:left w:val="nil"/>
              <w:bottom w:val="single" w:sz="4" w:space="0" w:color="auto"/>
              <w:right w:val="single" w:sz="4" w:space="0" w:color="auto"/>
            </w:tcBorders>
            <w:shd w:val="clear" w:color="auto" w:fill="auto"/>
            <w:vAlign w:val="center"/>
            <w:hideMark/>
          </w:tcPr>
          <w:p w14:paraId="6C9499CE" w14:textId="77777777" w:rsidR="007C6A41" w:rsidRPr="007C6A41" w:rsidRDefault="007C6A41" w:rsidP="007C6A41">
            <w:pPr>
              <w:spacing w:after="0" w:line="240" w:lineRule="auto"/>
              <w:jc w:val="right"/>
              <w:rPr>
                <w:rFonts w:ascii="Arial" w:eastAsia="Times New Roman" w:hAnsi="Arial" w:cs="Arial"/>
                <w:b/>
                <w:bCs/>
                <w:color w:val="000000"/>
                <w:kern w:val="0"/>
                <w:sz w:val="16"/>
                <w:szCs w:val="16"/>
                <w:lang w:eastAsia="pt-BR"/>
                <w14:ligatures w14:val="none"/>
              </w:rPr>
            </w:pPr>
            <w:r w:rsidRPr="007C6A41">
              <w:rPr>
                <w:rFonts w:ascii="Arial" w:eastAsia="Times New Roman" w:hAnsi="Arial" w:cs="Arial"/>
                <w:b/>
                <w:bCs/>
                <w:color w:val="000000"/>
                <w:kern w:val="0"/>
                <w:sz w:val="16"/>
                <w:szCs w:val="16"/>
                <w:lang w:eastAsia="pt-BR"/>
                <w14:ligatures w14:val="none"/>
              </w:rPr>
              <w:t xml:space="preserve">         10.760 </w:t>
            </w:r>
          </w:p>
        </w:tc>
        <w:tc>
          <w:tcPr>
            <w:tcW w:w="653" w:type="pct"/>
            <w:tcBorders>
              <w:top w:val="nil"/>
              <w:left w:val="nil"/>
              <w:bottom w:val="single" w:sz="4" w:space="0" w:color="auto"/>
              <w:right w:val="single" w:sz="4" w:space="0" w:color="auto"/>
            </w:tcBorders>
            <w:shd w:val="clear" w:color="auto" w:fill="auto"/>
            <w:vAlign w:val="center"/>
            <w:hideMark/>
          </w:tcPr>
          <w:p w14:paraId="1BDD7431" w14:textId="77777777" w:rsidR="007C6A41" w:rsidRPr="007C6A41" w:rsidRDefault="007C6A41" w:rsidP="007C6A41">
            <w:pPr>
              <w:spacing w:after="0" w:line="240" w:lineRule="auto"/>
              <w:jc w:val="right"/>
              <w:rPr>
                <w:rFonts w:ascii="Arial" w:eastAsia="Times New Roman" w:hAnsi="Arial" w:cs="Arial"/>
                <w:b/>
                <w:bCs/>
                <w:color w:val="000000"/>
                <w:kern w:val="0"/>
                <w:sz w:val="16"/>
                <w:szCs w:val="16"/>
                <w:lang w:eastAsia="pt-BR"/>
                <w14:ligatures w14:val="none"/>
              </w:rPr>
            </w:pPr>
            <w:r w:rsidRPr="007C6A41">
              <w:rPr>
                <w:rFonts w:ascii="Arial" w:eastAsia="Times New Roman" w:hAnsi="Arial" w:cs="Arial"/>
                <w:b/>
                <w:bCs/>
                <w:color w:val="000000"/>
                <w:kern w:val="0"/>
                <w:sz w:val="16"/>
                <w:szCs w:val="16"/>
                <w:lang w:eastAsia="pt-BR"/>
                <w14:ligatures w14:val="none"/>
              </w:rPr>
              <w:t xml:space="preserve">         10.760 </w:t>
            </w:r>
          </w:p>
        </w:tc>
        <w:tc>
          <w:tcPr>
            <w:tcW w:w="653" w:type="pct"/>
            <w:tcBorders>
              <w:top w:val="nil"/>
              <w:left w:val="nil"/>
              <w:bottom w:val="single" w:sz="4" w:space="0" w:color="auto"/>
              <w:right w:val="single" w:sz="4" w:space="0" w:color="auto"/>
            </w:tcBorders>
            <w:shd w:val="clear" w:color="auto" w:fill="auto"/>
            <w:vAlign w:val="center"/>
            <w:hideMark/>
          </w:tcPr>
          <w:p w14:paraId="19BF3520" w14:textId="77777777" w:rsidR="007C6A41" w:rsidRPr="007C6A41" w:rsidRDefault="007C6A41" w:rsidP="007C6A41">
            <w:pPr>
              <w:spacing w:after="0" w:line="240" w:lineRule="auto"/>
              <w:jc w:val="right"/>
              <w:rPr>
                <w:rFonts w:ascii="Arial" w:eastAsia="Times New Roman" w:hAnsi="Arial" w:cs="Arial"/>
                <w:b/>
                <w:bCs/>
                <w:color w:val="000000"/>
                <w:kern w:val="0"/>
                <w:sz w:val="16"/>
                <w:szCs w:val="16"/>
                <w:lang w:eastAsia="pt-BR"/>
                <w14:ligatures w14:val="none"/>
              </w:rPr>
            </w:pPr>
            <w:r w:rsidRPr="007C6A41">
              <w:rPr>
                <w:rFonts w:ascii="Arial" w:eastAsia="Times New Roman" w:hAnsi="Arial" w:cs="Arial"/>
                <w:b/>
                <w:bCs/>
                <w:color w:val="000000"/>
                <w:kern w:val="0"/>
                <w:sz w:val="16"/>
                <w:szCs w:val="16"/>
                <w:lang w:eastAsia="pt-BR"/>
                <w14:ligatures w14:val="none"/>
              </w:rPr>
              <w:t xml:space="preserve">         20.517 </w:t>
            </w:r>
          </w:p>
        </w:tc>
        <w:tc>
          <w:tcPr>
            <w:tcW w:w="577" w:type="pct"/>
            <w:tcBorders>
              <w:top w:val="nil"/>
              <w:left w:val="nil"/>
              <w:bottom w:val="single" w:sz="4" w:space="0" w:color="auto"/>
              <w:right w:val="single" w:sz="4" w:space="0" w:color="auto"/>
            </w:tcBorders>
            <w:shd w:val="clear" w:color="auto" w:fill="auto"/>
            <w:vAlign w:val="center"/>
            <w:hideMark/>
          </w:tcPr>
          <w:p w14:paraId="5765BE60" w14:textId="77777777" w:rsidR="007C6A41" w:rsidRPr="007C6A41" w:rsidRDefault="007C6A41" w:rsidP="007C6A41">
            <w:pPr>
              <w:spacing w:after="0" w:line="240" w:lineRule="auto"/>
              <w:jc w:val="right"/>
              <w:rPr>
                <w:rFonts w:ascii="Arial" w:eastAsia="Times New Roman" w:hAnsi="Arial" w:cs="Arial"/>
                <w:b/>
                <w:bCs/>
                <w:color w:val="000000"/>
                <w:kern w:val="0"/>
                <w:sz w:val="16"/>
                <w:szCs w:val="16"/>
                <w:lang w:eastAsia="pt-BR"/>
                <w14:ligatures w14:val="none"/>
              </w:rPr>
            </w:pPr>
            <w:r w:rsidRPr="007C6A41">
              <w:rPr>
                <w:rFonts w:ascii="Arial" w:eastAsia="Times New Roman" w:hAnsi="Arial" w:cs="Arial"/>
                <w:b/>
                <w:bCs/>
                <w:color w:val="000000"/>
                <w:kern w:val="0"/>
                <w:sz w:val="16"/>
                <w:szCs w:val="16"/>
                <w:lang w:eastAsia="pt-BR"/>
                <w14:ligatures w14:val="none"/>
              </w:rPr>
              <w:t xml:space="preserve">         20.517 </w:t>
            </w:r>
          </w:p>
        </w:tc>
      </w:tr>
      <w:tr w:rsidR="007C6A41" w:rsidRPr="007C6A41" w14:paraId="597F6451" w14:textId="77777777" w:rsidTr="00446A14">
        <w:trPr>
          <w:trHeight w:val="238"/>
        </w:trPr>
        <w:tc>
          <w:tcPr>
            <w:tcW w:w="2464" w:type="pct"/>
            <w:tcBorders>
              <w:top w:val="nil"/>
              <w:left w:val="single" w:sz="4" w:space="0" w:color="auto"/>
              <w:bottom w:val="single" w:sz="4" w:space="0" w:color="auto"/>
              <w:right w:val="single" w:sz="4" w:space="0" w:color="auto"/>
            </w:tcBorders>
            <w:shd w:val="clear" w:color="auto" w:fill="auto"/>
            <w:vAlign w:val="center"/>
            <w:hideMark/>
          </w:tcPr>
          <w:p w14:paraId="009E0FCF" w14:textId="77777777" w:rsidR="007C6A41" w:rsidRPr="007C6A41" w:rsidRDefault="007C6A41" w:rsidP="007C6A41">
            <w:pPr>
              <w:spacing w:after="0" w:line="240" w:lineRule="auto"/>
              <w:rPr>
                <w:rFonts w:ascii="Arial" w:eastAsia="Times New Roman" w:hAnsi="Arial" w:cs="Arial"/>
                <w:b/>
                <w:bCs/>
                <w:color w:val="000000"/>
                <w:kern w:val="0"/>
                <w:sz w:val="16"/>
                <w:szCs w:val="16"/>
                <w:lang w:eastAsia="pt-BR"/>
                <w14:ligatures w14:val="none"/>
              </w:rPr>
            </w:pPr>
            <w:r w:rsidRPr="007C6A41">
              <w:rPr>
                <w:rFonts w:ascii="Arial" w:eastAsia="Times New Roman" w:hAnsi="Arial" w:cs="Arial"/>
                <w:b/>
                <w:bCs/>
                <w:color w:val="000000"/>
                <w:kern w:val="0"/>
                <w:sz w:val="16"/>
                <w:szCs w:val="16"/>
                <w:lang w:eastAsia="pt-BR"/>
                <w14:ligatures w14:val="none"/>
              </w:rPr>
              <w:t>Adições temporárias:</w:t>
            </w:r>
          </w:p>
        </w:tc>
        <w:tc>
          <w:tcPr>
            <w:tcW w:w="653" w:type="pct"/>
            <w:tcBorders>
              <w:top w:val="nil"/>
              <w:left w:val="nil"/>
              <w:bottom w:val="single" w:sz="4" w:space="0" w:color="auto"/>
              <w:right w:val="single" w:sz="4" w:space="0" w:color="auto"/>
            </w:tcBorders>
            <w:shd w:val="clear" w:color="auto" w:fill="auto"/>
            <w:vAlign w:val="center"/>
            <w:hideMark/>
          </w:tcPr>
          <w:p w14:paraId="4AD11798" w14:textId="77777777" w:rsidR="007C6A41" w:rsidRPr="007C6A41" w:rsidRDefault="007C6A41" w:rsidP="007C6A41">
            <w:pPr>
              <w:spacing w:after="0" w:line="240" w:lineRule="auto"/>
              <w:jc w:val="right"/>
              <w:rPr>
                <w:rFonts w:ascii="Arial" w:eastAsia="Times New Roman" w:hAnsi="Arial" w:cs="Arial"/>
                <w:b/>
                <w:bCs/>
                <w:color w:val="000000"/>
                <w:kern w:val="0"/>
                <w:sz w:val="16"/>
                <w:szCs w:val="16"/>
                <w:lang w:eastAsia="pt-BR"/>
                <w14:ligatures w14:val="none"/>
              </w:rPr>
            </w:pPr>
            <w:r w:rsidRPr="007C6A41">
              <w:rPr>
                <w:rFonts w:ascii="Arial" w:eastAsia="Times New Roman" w:hAnsi="Arial" w:cs="Arial"/>
                <w:b/>
                <w:bCs/>
                <w:color w:val="000000"/>
                <w:kern w:val="0"/>
                <w:sz w:val="16"/>
                <w:szCs w:val="16"/>
                <w:lang w:eastAsia="pt-BR"/>
                <w14:ligatures w14:val="none"/>
              </w:rPr>
              <w:t xml:space="preserve">         27.683 </w:t>
            </w:r>
          </w:p>
        </w:tc>
        <w:tc>
          <w:tcPr>
            <w:tcW w:w="653" w:type="pct"/>
            <w:tcBorders>
              <w:top w:val="nil"/>
              <w:left w:val="nil"/>
              <w:bottom w:val="single" w:sz="4" w:space="0" w:color="auto"/>
              <w:right w:val="single" w:sz="4" w:space="0" w:color="auto"/>
            </w:tcBorders>
            <w:shd w:val="clear" w:color="auto" w:fill="auto"/>
            <w:vAlign w:val="center"/>
            <w:hideMark/>
          </w:tcPr>
          <w:p w14:paraId="5283002E" w14:textId="77777777" w:rsidR="007C6A41" w:rsidRPr="007C6A41" w:rsidRDefault="007C6A41" w:rsidP="007C6A41">
            <w:pPr>
              <w:spacing w:after="0" w:line="240" w:lineRule="auto"/>
              <w:jc w:val="right"/>
              <w:rPr>
                <w:rFonts w:ascii="Arial" w:eastAsia="Times New Roman" w:hAnsi="Arial" w:cs="Arial"/>
                <w:b/>
                <w:bCs/>
                <w:color w:val="000000"/>
                <w:kern w:val="0"/>
                <w:sz w:val="16"/>
                <w:szCs w:val="16"/>
                <w:lang w:eastAsia="pt-BR"/>
                <w14:ligatures w14:val="none"/>
              </w:rPr>
            </w:pPr>
            <w:r w:rsidRPr="007C6A41">
              <w:rPr>
                <w:rFonts w:ascii="Arial" w:eastAsia="Times New Roman" w:hAnsi="Arial" w:cs="Arial"/>
                <w:b/>
                <w:bCs/>
                <w:color w:val="000000"/>
                <w:kern w:val="0"/>
                <w:sz w:val="16"/>
                <w:szCs w:val="16"/>
                <w:lang w:eastAsia="pt-BR"/>
                <w14:ligatures w14:val="none"/>
              </w:rPr>
              <w:t xml:space="preserve">         27.683 </w:t>
            </w:r>
          </w:p>
        </w:tc>
        <w:tc>
          <w:tcPr>
            <w:tcW w:w="653" w:type="pct"/>
            <w:tcBorders>
              <w:top w:val="nil"/>
              <w:left w:val="nil"/>
              <w:bottom w:val="single" w:sz="4" w:space="0" w:color="auto"/>
              <w:right w:val="single" w:sz="4" w:space="0" w:color="auto"/>
            </w:tcBorders>
            <w:shd w:val="clear" w:color="auto" w:fill="auto"/>
            <w:vAlign w:val="center"/>
            <w:hideMark/>
          </w:tcPr>
          <w:p w14:paraId="06AAC17A" w14:textId="77777777" w:rsidR="007C6A41" w:rsidRPr="007C6A41" w:rsidRDefault="007C6A41" w:rsidP="007C6A41">
            <w:pPr>
              <w:spacing w:after="0" w:line="240" w:lineRule="auto"/>
              <w:jc w:val="right"/>
              <w:rPr>
                <w:rFonts w:ascii="Arial" w:eastAsia="Times New Roman" w:hAnsi="Arial" w:cs="Arial"/>
                <w:b/>
                <w:bCs/>
                <w:color w:val="000000"/>
                <w:kern w:val="0"/>
                <w:sz w:val="16"/>
                <w:szCs w:val="16"/>
                <w:lang w:eastAsia="pt-BR"/>
                <w14:ligatures w14:val="none"/>
              </w:rPr>
            </w:pPr>
            <w:r w:rsidRPr="007C6A41">
              <w:rPr>
                <w:rFonts w:ascii="Arial" w:eastAsia="Times New Roman" w:hAnsi="Arial" w:cs="Arial"/>
                <w:b/>
                <w:bCs/>
                <w:color w:val="000000"/>
                <w:kern w:val="0"/>
                <w:sz w:val="16"/>
                <w:szCs w:val="16"/>
                <w:lang w:eastAsia="pt-BR"/>
                <w14:ligatures w14:val="none"/>
              </w:rPr>
              <w:t xml:space="preserve">         36.574 </w:t>
            </w:r>
          </w:p>
        </w:tc>
        <w:tc>
          <w:tcPr>
            <w:tcW w:w="577" w:type="pct"/>
            <w:tcBorders>
              <w:top w:val="nil"/>
              <w:left w:val="nil"/>
              <w:bottom w:val="single" w:sz="4" w:space="0" w:color="auto"/>
              <w:right w:val="single" w:sz="4" w:space="0" w:color="auto"/>
            </w:tcBorders>
            <w:shd w:val="clear" w:color="auto" w:fill="auto"/>
            <w:vAlign w:val="center"/>
            <w:hideMark/>
          </w:tcPr>
          <w:p w14:paraId="5FCD13D9" w14:textId="77777777" w:rsidR="007C6A41" w:rsidRPr="007C6A41" w:rsidRDefault="007C6A41" w:rsidP="007C6A41">
            <w:pPr>
              <w:spacing w:after="0" w:line="240" w:lineRule="auto"/>
              <w:jc w:val="right"/>
              <w:rPr>
                <w:rFonts w:ascii="Arial" w:eastAsia="Times New Roman" w:hAnsi="Arial" w:cs="Arial"/>
                <w:b/>
                <w:bCs/>
                <w:color w:val="000000"/>
                <w:kern w:val="0"/>
                <w:sz w:val="16"/>
                <w:szCs w:val="16"/>
                <w:lang w:eastAsia="pt-BR"/>
                <w14:ligatures w14:val="none"/>
              </w:rPr>
            </w:pPr>
            <w:r w:rsidRPr="007C6A41">
              <w:rPr>
                <w:rFonts w:ascii="Arial" w:eastAsia="Times New Roman" w:hAnsi="Arial" w:cs="Arial"/>
                <w:b/>
                <w:bCs/>
                <w:color w:val="000000"/>
                <w:kern w:val="0"/>
                <w:sz w:val="16"/>
                <w:szCs w:val="16"/>
                <w:lang w:eastAsia="pt-BR"/>
                <w14:ligatures w14:val="none"/>
              </w:rPr>
              <w:t xml:space="preserve">         36.574 </w:t>
            </w:r>
          </w:p>
        </w:tc>
      </w:tr>
      <w:tr w:rsidR="007C6A41" w:rsidRPr="007C6A41" w14:paraId="385F9537" w14:textId="77777777" w:rsidTr="00446A14">
        <w:trPr>
          <w:trHeight w:val="238"/>
        </w:trPr>
        <w:tc>
          <w:tcPr>
            <w:tcW w:w="2464" w:type="pct"/>
            <w:tcBorders>
              <w:top w:val="nil"/>
              <w:left w:val="single" w:sz="4" w:space="0" w:color="auto"/>
              <w:bottom w:val="single" w:sz="4" w:space="0" w:color="auto"/>
              <w:right w:val="single" w:sz="4" w:space="0" w:color="auto"/>
            </w:tcBorders>
            <w:shd w:val="clear" w:color="auto" w:fill="auto"/>
            <w:vAlign w:val="center"/>
            <w:hideMark/>
          </w:tcPr>
          <w:p w14:paraId="07385444" w14:textId="77777777" w:rsidR="007C6A41" w:rsidRPr="007C6A41" w:rsidRDefault="007C6A41" w:rsidP="007C6A41">
            <w:pPr>
              <w:spacing w:after="0" w:line="240" w:lineRule="auto"/>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Provisão p/ Riscos Trabalhistas, Cíveis e Fiscais</w:t>
            </w:r>
          </w:p>
        </w:tc>
        <w:tc>
          <w:tcPr>
            <w:tcW w:w="653" w:type="pct"/>
            <w:tcBorders>
              <w:top w:val="nil"/>
              <w:left w:val="nil"/>
              <w:bottom w:val="single" w:sz="4" w:space="0" w:color="auto"/>
              <w:right w:val="single" w:sz="4" w:space="0" w:color="auto"/>
            </w:tcBorders>
            <w:shd w:val="clear" w:color="auto" w:fill="auto"/>
            <w:vAlign w:val="center"/>
            <w:hideMark/>
          </w:tcPr>
          <w:p w14:paraId="17056A34"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7.737 </w:t>
            </w:r>
          </w:p>
        </w:tc>
        <w:tc>
          <w:tcPr>
            <w:tcW w:w="653" w:type="pct"/>
            <w:tcBorders>
              <w:top w:val="nil"/>
              <w:left w:val="nil"/>
              <w:bottom w:val="single" w:sz="4" w:space="0" w:color="auto"/>
              <w:right w:val="single" w:sz="4" w:space="0" w:color="auto"/>
            </w:tcBorders>
            <w:shd w:val="clear" w:color="auto" w:fill="auto"/>
            <w:vAlign w:val="center"/>
            <w:hideMark/>
          </w:tcPr>
          <w:p w14:paraId="45C81AE4"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7.737 </w:t>
            </w:r>
          </w:p>
        </w:tc>
        <w:tc>
          <w:tcPr>
            <w:tcW w:w="653" w:type="pct"/>
            <w:tcBorders>
              <w:top w:val="nil"/>
              <w:left w:val="nil"/>
              <w:bottom w:val="single" w:sz="4" w:space="0" w:color="auto"/>
              <w:right w:val="single" w:sz="4" w:space="0" w:color="auto"/>
            </w:tcBorders>
            <w:shd w:val="clear" w:color="auto" w:fill="auto"/>
            <w:vAlign w:val="center"/>
            <w:hideMark/>
          </w:tcPr>
          <w:p w14:paraId="28BC7A0A"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12.732 </w:t>
            </w:r>
          </w:p>
        </w:tc>
        <w:tc>
          <w:tcPr>
            <w:tcW w:w="577" w:type="pct"/>
            <w:tcBorders>
              <w:top w:val="nil"/>
              <w:left w:val="nil"/>
              <w:bottom w:val="single" w:sz="4" w:space="0" w:color="auto"/>
              <w:right w:val="single" w:sz="4" w:space="0" w:color="auto"/>
            </w:tcBorders>
            <w:shd w:val="clear" w:color="auto" w:fill="auto"/>
            <w:vAlign w:val="center"/>
            <w:hideMark/>
          </w:tcPr>
          <w:p w14:paraId="61A2A9F9"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12.732 </w:t>
            </w:r>
          </w:p>
        </w:tc>
      </w:tr>
      <w:tr w:rsidR="007C6A41" w:rsidRPr="007C6A41" w14:paraId="4F7912DE" w14:textId="77777777" w:rsidTr="00446A14">
        <w:trPr>
          <w:trHeight w:val="238"/>
        </w:trPr>
        <w:tc>
          <w:tcPr>
            <w:tcW w:w="2464" w:type="pct"/>
            <w:tcBorders>
              <w:top w:val="nil"/>
              <w:left w:val="single" w:sz="4" w:space="0" w:color="auto"/>
              <w:bottom w:val="single" w:sz="4" w:space="0" w:color="auto"/>
              <w:right w:val="single" w:sz="4" w:space="0" w:color="auto"/>
            </w:tcBorders>
            <w:shd w:val="clear" w:color="auto" w:fill="auto"/>
            <w:vAlign w:val="center"/>
            <w:hideMark/>
          </w:tcPr>
          <w:p w14:paraId="45EC3E10" w14:textId="77777777" w:rsidR="007C6A41" w:rsidRPr="007C6A41" w:rsidRDefault="007C6A41" w:rsidP="007C6A41">
            <w:pPr>
              <w:spacing w:after="0" w:line="240" w:lineRule="auto"/>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Provisão Programa de Indenização por Serviços Prestados</w:t>
            </w:r>
          </w:p>
        </w:tc>
        <w:tc>
          <w:tcPr>
            <w:tcW w:w="653" w:type="pct"/>
            <w:tcBorders>
              <w:top w:val="nil"/>
              <w:left w:val="nil"/>
              <w:bottom w:val="single" w:sz="4" w:space="0" w:color="auto"/>
              <w:right w:val="single" w:sz="4" w:space="0" w:color="auto"/>
            </w:tcBorders>
            <w:shd w:val="clear" w:color="auto" w:fill="auto"/>
            <w:vAlign w:val="center"/>
            <w:hideMark/>
          </w:tcPr>
          <w:p w14:paraId="1315D8E9"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1.494 </w:t>
            </w:r>
          </w:p>
        </w:tc>
        <w:tc>
          <w:tcPr>
            <w:tcW w:w="653" w:type="pct"/>
            <w:tcBorders>
              <w:top w:val="nil"/>
              <w:left w:val="nil"/>
              <w:bottom w:val="single" w:sz="4" w:space="0" w:color="auto"/>
              <w:right w:val="single" w:sz="4" w:space="0" w:color="auto"/>
            </w:tcBorders>
            <w:shd w:val="clear" w:color="auto" w:fill="auto"/>
            <w:vAlign w:val="center"/>
            <w:hideMark/>
          </w:tcPr>
          <w:p w14:paraId="482F281A"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1.494 </w:t>
            </w:r>
          </w:p>
        </w:tc>
        <w:tc>
          <w:tcPr>
            <w:tcW w:w="653" w:type="pct"/>
            <w:tcBorders>
              <w:top w:val="nil"/>
              <w:left w:val="nil"/>
              <w:bottom w:val="single" w:sz="4" w:space="0" w:color="auto"/>
              <w:right w:val="single" w:sz="4" w:space="0" w:color="auto"/>
            </w:tcBorders>
            <w:shd w:val="clear" w:color="auto" w:fill="auto"/>
            <w:vAlign w:val="center"/>
            <w:hideMark/>
          </w:tcPr>
          <w:p w14:paraId="542255E5"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2.332 </w:t>
            </w:r>
          </w:p>
        </w:tc>
        <w:tc>
          <w:tcPr>
            <w:tcW w:w="577" w:type="pct"/>
            <w:tcBorders>
              <w:top w:val="nil"/>
              <w:left w:val="nil"/>
              <w:bottom w:val="single" w:sz="4" w:space="0" w:color="auto"/>
              <w:right w:val="single" w:sz="4" w:space="0" w:color="auto"/>
            </w:tcBorders>
            <w:shd w:val="clear" w:color="auto" w:fill="auto"/>
            <w:vAlign w:val="center"/>
            <w:hideMark/>
          </w:tcPr>
          <w:p w14:paraId="444613F9"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2.332 </w:t>
            </w:r>
          </w:p>
        </w:tc>
      </w:tr>
      <w:tr w:rsidR="007C6A41" w:rsidRPr="007C6A41" w14:paraId="787BDC50" w14:textId="77777777" w:rsidTr="00446A14">
        <w:trPr>
          <w:trHeight w:val="238"/>
        </w:trPr>
        <w:tc>
          <w:tcPr>
            <w:tcW w:w="2464" w:type="pct"/>
            <w:tcBorders>
              <w:top w:val="nil"/>
              <w:left w:val="single" w:sz="4" w:space="0" w:color="auto"/>
              <w:bottom w:val="single" w:sz="4" w:space="0" w:color="auto"/>
              <w:right w:val="single" w:sz="4" w:space="0" w:color="auto"/>
            </w:tcBorders>
            <w:shd w:val="clear" w:color="auto" w:fill="auto"/>
            <w:vAlign w:val="center"/>
            <w:hideMark/>
          </w:tcPr>
          <w:p w14:paraId="72D5BF90" w14:textId="77777777" w:rsidR="007C6A41" w:rsidRPr="007C6A41" w:rsidRDefault="007C6A41" w:rsidP="007C6A41">
            <w:pPr>
              <w:spacing w:after="0" w:line="240" w:lineRule="auto"/>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Perda Estimada c/ Crédito de Liquidação Duvidosa</w:t>
            </w:r>
          </w:p>
        </w:tc>
        <w:tc>
          <w:tcPr>
            <w:tcW w:w="653" w:type="pct"/>
            <w:tcBorders>
              <w:top w:val="nil"/>
              <w:left w:val="nil"/>
              <w:bottom w:val="single" w:sz="4" w:space="0" w:color="auto"/>
              <w:right w:val="single" w:sz="4" w:space="0" w:color="auto"/>
            </w:tcBorders>
            <w:shd w:val="clear" w:color="auto" w:fill="auto"/>
            <w:vAlign w:val="center"/>
            <w:hideMark/>
          </w:tcPr>
          <w:p w14:paraId="0D22ED41"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8.748 </w:t>
            </w:r>
          </w:p>
        </w:tc>
        <w:tc>
          <w:tcPr>
            <w:tcW w:w="653" w:type="pct"/>
            <w:tcBorders>
              <w:top w:val="nil"/>
              <w:left w:val="nil"/>
              <w:bottom w:val="single" w:sz="4" w:space="0" w:color="auto"/>
              <w:right w:val="single" w:sz="4" w:space="0" w:color="auto"/>
            </w:tcBorders>
            <w:shd w:val="clear" w:color="auto" w:fill="auto"/>
            <w:vAlign w:val="center"/>
            <w:hideMark/>
          </w:tcPr>
          <w:p w14:paraId="0FF4867F"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8.748 </w:t>
            </w:r>
          </w:p>
        </w:tc>
        <w:tc>
          <w:tcPr>
            <w:tcW w:w="653" w:type="pct"/>
            <w:tcBorders>
              <w:top w:val="nil"/>
              <w:left w:val="nil"/>
              <w:bottom w:val="single" w:sz="4" w:space="0" w:color="auto"/>
              <w:right w:val="single" w:sz="4" w:space="0" w:color="auto"/>
            </w:tcBorders>
            <w:shd w:val="clear" w:color="auto" w:fill="auto"/>
            <w:vAlign w:val="center"/>
            <w:hideMark/>
          </w:tcPr>
          <w:p w14:paraId="32D86C3C"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6.465 </w:t>
            </w:r>
          </w:p>
        </w:tc>
        <w:tc>
          <w:tcPr>
            <w:tcW w:w="577" w:type="pct"/>
            <w:tcBorders>
              <w:top w:val="nil"/>
              <w:left w:val="nil"/>
              <w:bottom w:val="single" w:sz="4" w:space="0" w:color="auto"/>
              <w:right w:val="single" w:sz="4" w:space="0" w:color="auto"/>
            </w:tcBorders>
            <w:shd w:val="clear" w:color="auto" w:fill="auto"/>
            <w:vAlign w:val="center"/>
            <w:hideMark/>
          </w:tcPr>
          <w:p w14:paraId="33BD192F"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6.465 </w:t>
            </w:r>
          </w:p>
        </w:tc>
      </w:tr>
      <w:tr w:rsidR="007C6A41" w:rsidRPr="007C6A41" w14:paraId="172AEA75" w14:textId="77777777" w:rsidTr="00446A14">
        <w:trPr>
          <w:trHeight w:val="238"/>
        </w:trPr>
        <w:tc>
          <w:tcPr>
            <w:tcW w:w="2464" w:type="pct"/>
            <w:tcBorders>
              <w:top w:val="nil"/>
              <w:left w:val="single" w:sz="4" w:space="0" w:color="auto"/>
              <w:bottom w:val="single" w:sz="4" w:space="0" w:color="auto"/>
              <w:right w:val="single" w:sz="4" w:space="0" w:color="auto"/>
            </w:tcBorders>
            <w:shd w:val="clear" w:color="auto" w:fill="auto"/>
            <w:vAlign w:val="center"/>
            <w:hideMark/>
          </w:tcPr>
          <w:p w14:paraId="42BFEAC3" w14:textId="77777777" w:rsidR="007C6A41" w:rsidRPr="007C6A41" w:rsidRDefault="007C6A41" w:rsidP="007C6A41">
            <w:pPr>
              <w:spacing w:after="0" w:line="240" w:lineRule="auto"/>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Provisões – Custeios</w:t>
            </w:r>
          </w:p>
        </w:tc>
        <w:tc>
          <w:tcPr>
            <w:tcW w:w="653" w:type="pct"/>
            <w:tcBorders>
              <w:top w:val="nil"/>
              <w:left w:val="nil"/>
              <w:bottom w:val="single" w:sz="4" w:space="0" w:color="auto"/>
              <w:right w:val="single" w:sz="4" w:space="0" w:color="auto"/>
            </w:tcBorders>
            <w:shd w:val="clear" w:color="auto" w:fill="auto"/>
            <w:vAlign w:val="center"/>
            <w:hideMark/>
          </w:tcPr>
          <w:p w14:paraId="579E24DD"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9.704 </w:t>
            </w:r>
          </w:p>
        </w:tc>
        <w:tc>
          <w:tcPr>
            <w:tcW w:w="653" w:type="pct"/>
            <w:tcBorders>
              <w:top w:val="nil"/>
              <w:left w:val="nil"/>
              <w:bottom w:val="single" w:sz="4" w:space="0" w:color="auto"/>
              <w:right w:val="single" w:sz="4" w:space="0" w:color="auto"/>
            </w:tcBorders>
            <w:shd w:val="clear" w:color="auto" w:fill="auto"/>
            <w:vAlign w:val="center"/>
            <w:hideMark/>
          </w:tcPr>
          <w:p w14:paraId="68F90CF2"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9.704 </w:t>
            </w:r>
          </w:p>
        </w:tc>
        <w:tc>
          <w:tcPr>
            <w:tcW w:w="653" w:type="pct"/>
            <w:tcBorders>
              <w:top w:val="nil"/>
              <w:left w:val="nil"/>
              <w:bottom w:val="single" w:sz="4" w:space="0" w:color="auto"/>
              <w:right w:val="single" w:sz="4" w:space="0" w:color="auto"/>
            </w:tcBorders>
            <w:shd w:val="clear" w:color="auto" w:fill="auto"/>
            <w:vAlign w:val="center"/>
            <w:hideMark/>
          </w:tcPr>
          <w:p w14:paraId="357297E0"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15.045 </w:t>
            </w:r>
          </w:p>
        </w:tc>
        <w:tc>
          <w:tcPr>
            <w:tcW w:w="577" w:type="pct"/>
            <w:tcBorders>
              <w:top w:val="nil"/>
              <w:left w:val="nil"/>
              <w:bottom w:val="single" w:sz="4" w:space="0" w:color="auto"/>
              <w:right w:val="single" w:sz="4" w:space="0" w:color="auto"/>
            </w:tcBorders>
            <w:shd w:val="clear" w:color="auto" w:fill="auto"/>
            <w:vAlign w:val="center"/>
            <w:hideMark/>
          </w:tcPr>
          <w:p w14:paraId="08393ECD"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15.045 </w:t>
            </w:r>
          </w:p>
        </w:tc>
      </w:tr>
      <w:tr w:rsidR="007C6A41" w:rsidRPr="007C6A41" w14:paraId="16BE0988" w14:textId="77777777" w:rsidTr="00446A14">
        <w:trPr>
          <w:trHeight w:val="238"/>
        </w:trPr>
        <w:tc>
          <w:tcPr>
            <w:tcW w:w="2464" w:type="pct"/>
            <w:tcBorders>
              <w:top w:val="nil"/>
              <w:left w:val="single" w:sz="4" w:space="0" w:color="auto"/>
              <w:bottom w:val="single" w:sz="4" w:space="0" w:color="auto"/>
              <w:right w:val="single" w:sz="4" w:space="0" w:color="auto"/>
            </w:tcBorders>
            <w:shd w:val="clear" w:color="auto" w:fill="auto"/>
            <w:vAlign w:val="center"/>
            <w:hideMark/>
          </w:tcPr>
          <w:p w14:paraId="647155E1" w14:textId="77777777" w:rsidR="007C6A41" w:rsidRPr="007C6A41" w:rsidRDefault="007C6A41" w:rsidP="007C6A41">
            <w:pPr>
              <w:spacing w:after="0" w:line="240" w:lineRule="auto"/>
              <w:rPr>
                <w:rFonts w:ascii="Arial" w:eastAsia="Times New Roman" w:hAnsi="Arial" w:cs="Arial"/>
                <w:b/>
                <w:bCs/>
                <w:color w:val="000000"/>
                <w:kern w:val="0"/>
                <w:sz w:val="16"/>
                <w:szCs w:val="16"/>
                <w:lang w:eastAsia="pt-BR"/>
                <w14:ligatures w14:val="none"/>
              </w:rPr>
            </w:pPr>
            <w:r w:rsidRPr="007C6A41">
              <w:rPr>
                <w:rFonts w:ascii="Arial" w:eastAsia="Times New Roman" w:hAnsi="Arial" w:cs="Arial"/>
                <w:b/>
                <w:bCs/>
                <w:color w:val="000000"/>
                <w:kern w:val="0"/>
                <w:sz w:val="16"/>
                <w:szCs w:val="16"/>
                <w:lang w:eastAsia="pt-BR"/>
                <w14:ligatures w14:val="none"/>
              </w:rPr>
              <w:t>Exclusões temporárias:</w:t>
            </w:r>
          </w:p>
        </w:tc>
        <w:tc>
          <w:tcPr>
            <w:tcW w:w="653" w:type="pct"/>
            <w:tcBorders>
              <w:top w:val="nil"/>
              <w:left w:val="nil"/>
              <w:bottom w:val="single" w:sz="4" w:space="0" w:color="auto"/>
              <w:right w:val="single" w:sz="4" w:space="0" w:color="auto"/>
            </w:tcBorders>
            <w:shd w:val="clear" w:color="auto" w:fill="auto"/>
            <w:vAlign w:val="center"/>
            <w:hideMark/>
          </w:tcPr>
          <w:p w14:paraId="6AF88E99" w14:textId="77777777" w:rsidR="007C6A41" w:rsidRPr="007C6A41" w:rsidRDefault="007C6A41" w:rsidP="007C6A41">
            <w:pPr>
              <w:spacing w:after="0" w:line="240" w:lineRule="auto"/>
              <w:jc w:val="right"/>
              <w:rPr>
                <w:rFonts w:ascii="Arial" w:eastAsia="Times New Roman" w:hAnsi="Arial" w:cs="Arial"/>
                <w:b/>
                <w:bCs/>
                <w:color w:val="000000"/>
                <w:kern w:val="0"/>
                <w:sz w:val="16"/>
                <w:szCs w:val="16"/>
                <w:lang w:eastAsia="pt-BR"/>
                <w14:ligatures w14:val="none"/>
              </w:rPr>
            </w:pPr>
            <w:r w:rsidRPr="007C6A41">
              <w:rPr>
                <w:rFonts w:ascii="Arial" w:eastAsia="Times New Roman" w:hAnsi="Arial" w:cs="Arial"/>
                <w:b/>
                <w:bCs/>
                <w:color w:val="000000"/>
                <w:kern w:val="0"/>
                <w:sz w:val="16"/>
                <w:szCs w:val="16"/>
                <w:lang w:eastAsia="pt-BR"/>
                <w14:ligatures w14:val="none"/>
              </w:rPr>
              <w:t xml:space="preserve">       (16.923)</w:t>
            </w:r>
          </w:p>
        </w:tc>
        <w:tc>
          <w:tcPr>
            <w:tcW w:w="653" w:type="pct"/>
            <w:tcBorders>
              <w:top w:val="nil"/>
              <w:left w:val="nil"/>
              <w:bottom w:val="single" w:sz="4" w:space="0" w:color="auto"/>
              <w:right w:val="single" w:sz="4" w:space="0" w:color="auto"/>
            </w:tcBorders>
            <w:shd w:val="clear" w:color="auto" w:fill="auto"/>
            <w:vAlign w:val="center"/>
            <w:hideMark/>
          </w:tcPr>
          <w:p w14:paraId="5C837911" w14:textId="77777777" w:rsidR="007C6A41" w:rsidRPr="007C6A41" w:rsidRDefault="007C6A41" w:rsidP="007C6A41">
            <w:pPr>
              <w:spacing w:after="0" w:line="240" w:lineRule="auto"/>
              <w:jc w:val="right"/>
              <w:rPr>
                <w:rFonts w:ascii="Arial" w:eastAsia="Times New Roman" w:hAnsi="Arial" w:cs="Arial"/>
                <w:b/>
                <w:bCs/>
                <w:color w:val="000000"/>
                <w:kern w:val="0"/>
                <w:sz w:val="16"/>
                <w:szCs w:val="16"/>
                <w:lang w:eastAsia="pt-BR"/>
                <w14:ligatures w14:val="none"/>
              </w:rPr>
            </w:pPr>
            <w:r w:rsidRPr="007C6A41">
              <w:rPr>
                <w:rFonts w:ascii="Arial" w:eastAsia="Times New Roman" w:hAnsi="Arial" w:cs="Arial"/>
                <w:b/>
                <w:bCs/>
                <w:color w:val="000000"/>
                <w:kern w:val="0"/>
                <w:sz w:val="16"/>
                <w:szCs w:val="16"/>
                <w:lang w:eastAsia="pt-BR"/>
                <w14:ligatures w14:val="none"/>
              </w:rPr>
              <w:t xml:space="preserve">       (16.923)</w:t>
            </w:r>
          </w:p>
        </w:tc>
        <w:tc>
          <w:tcPr>
            <w:tcW w:w="653" w:type="pct"/>
            <w:tcBorders>
              <w:top w:val="nil"/>
              <w:left w:val="nil"/>
              <w:bottom w:val="single" w:sz="4" w:space="0" w:color="auto"/>
              <w:right w:val="single" w:sz="4" w:space="0" w:color="auto"/>
            </w:tcBorders>
            <w:shd w:val="clear" w:color="auto" w:fill="auto"/>
            <w:vAlign w:val="center"/>
            <w:hideMark/>
          </w:tcPr>
          <w:p w14:paraId="3AC87A30" w14:textId="77777777" w:rsidR="007C6A41" w:rsidRPr="007C6A41" w:rsidRDefault="007C6A41" w:rsidP="007C6A41">
            <w:pPr>
              <w:spacing w:after="0" w:line="240" w:lineRule="auto"/>
              <w:jc w:val="right"/>
              <w:rPr>
                <w:rFonts w:ascii="Arial" w:eastAsia="Times New Roman" w:hAnsi="Arial" w:cs="Arial"/>
                <w:b/>
                <w:bCs/>
                <w:color w:val="000000"/>
                <w:kern w:val="0"/>
                <w:sz w:val="16"/>
                <w:szCs w:val="16"/>
                <w:lang w:eastAsia="pt-BR"/>
                <w14:ligatures w14:val="none"/>
              </w:rPr>
            </w:pPr>
            <w:r w:rsidRPr="007C6A41">
              <w:rPr>
                <w:rFonts w:ascii="Arial" w:eastAsia="Times New Roman" w:hAnsi="Arial" w:cs="Arial"/>
                <w:b/>
                <w:bCs/>
                <w:color w:val="000000"/>
                <w:kern w:val="0"/>
                <w:sz w:val="16"/>
                <w:szCs w:val="16"/>
                <w:lang w:eastAsia="pt-BR"/>
                <w14:ligatures w14:val="none"/>
              </w:rPr>
              <w:t xml:space="preserve">       (16.057)</w:t>
            </w:r>
          </w:p>
        </w:tc>
        <w:tc>
          <w:tcPr>
            <w:tcW w:w="577" w:type="pct"/>
            <w:tcBorders>
              <w:top w:val="nil"/>
              <w:left w:val="nil"/>
              <w:bottom w:val="single" w:sz="4" w:space="0" w:color="auto"/>
              <w:right w:val="single" w:sz="4" w:space="0" w:color="auto"/>
            </w:tcBorders>
            <w:shd w:val="clear" w:color="auto" w:fill="auto"/>
            <w:vAlign w:val="center"/>
            <w:hideMark/>
          </w:tcPr>
          <w:p w14:paraId="38044454" w14:textId="77777777" w:rsidR="007C6A41" w:rsidRPr="007C6A41" w:rsidRDefault="007C6A41" w:rsidP="007C6A41">
            <w:pPr>
              <w:spacing w:after="0" w:line="240" w:lineRule="auto"/>
              <w:jc w:val="right"/>
              <w:rPr>
                <w:rFonts w:ascii="Arial" w:eastAsia="Times New Roman" w:hAnsi="Arial" w:cs="Arial"/>
                <w:b/>
                <w:bCs/>
                <w:color w:val="000000"/>
                <w:kern w:val="0"/>
                <w:sz w:val="16"/>
                <w:szCs w:val="16"/>
                <w:lang w:eastAsia="pt-BR"/>
                <w14:ligatures w14:val="none"/>
              </w:rPr>
            </w:pPr>
            <w:r w:rsidRPr="007C6A41">
              <w:rPr>
                <w:rFonts w:ascii="Arial" w:eastAsia="Times New Roman" w:hAnsi="Arial" w:cs="Arial"/>
                <w:b/>
                <w:bCs/>
                <w:color w:val="000000"/>
                <w:kern w:val="0"/>
                <w:sz w:val="16"/>
                <w:szCs w:val="16"/>
                <w:lang w:eastAsia="pt-BR"/>
                <w14:ligatures w14:val="none"/>
              </w:rPr>
              <w:t xml:space="preserve">       (16.057)</w:t>
            </w:r>
          </w:p>
        </w:tc>
      </w:tr>
      <w:tr w:rsidR="007C6A41" w:rsidRPr="007C6A41" w14:paraId="2A33ADB5" w14:textId="77777777" w:rsidTr="00446A14">
        <w:trPr>
          <w:trHeight w:val="238"/>
        </w:trPr>
        <w:tc>
          <w:tcPr>
            <w:tcW w:w="2464" w:type="pct"/>
            <w:tcBorders>
              <w:top w:val="nil"/>
              <w:left w:val="single" w:sz="4" w:space="0" w:color="auto"/>
              <w:bottom w:val="single" w:sz="4" w:space="0" w:color="auto"/>
              <w:right w:val="single" w:sz="4" w:space="0" w:color="auto"/>
            </w:tcBorders>
            <w:shd w:val="clear" w:color="auto" w:fill="auto"/>
            <w:vAlign w:val="center"/>
            <w:hideMark/>
          </w:tcPr>
          <w:p w14:paraId="13807708" w14:textId="77777777" w:rsidR="007C6A41" w:rsidRPr="007C6A41" w:rsidRDefault="007C6A41" w:rsidP="007C6A41">
            <w:pPr>
              <w:spacing w:after="0" w:line="240" w:lineRule="auto"/>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Reversão de prov. p/ Riscos Trabalhistas, Cíveis e Fiscais</w:t>
            </w:r>
          </w:p>
        </w:tc>
        <w:tc>
          <w:tcPr>
            <w:tcW w:w="653" w:type="pct"/>
            <w:tcBorders>
              <w:top w:val="nil"/>
              <w:left w:val="nil"/>
              <w:bottom w:val="single" w:sz="4" w:space="0" w:color="auto"/>
              <w:right w:val="single" w:sz="4" w:space="0" w:color="auto"/>
            </w:tcBorders>
            <w:shd w:val="clear" w:color="auto" w:fill="auto"/>
            <w:vAlign w:val="center"/>
            <w:hideMark/>
          </w:tcPr>
          <w:p w14:paraId="42633277"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(9.213)</w:t>
            </w:r>
          </w:p>
        </w:tc>
        <w:tc>
          <w:tcPr>
            <w:tcW w:w="653" w:type="pct"/>
            <w:tcBorders>
              <w:top w:val="nil"/>
              <w:left w:val="nil"/>
              <w:bottom w:val="single" w:sz="4" w:space="0" w:color="auto"/>
              <w:right w:val="single" w:sz="4" w:space="0" w:color="auto"/>
            </w:tcBorders>
            <w:shd w:val="clear" w:color="auto" w:fill="auto"/>
            <w:vAlign w:val="center"/>
            <w:hideMark/>
          </w:tcPr>
          <w:p w14:paraId="7293E0C9"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(9.213)</w:t>
            </w:r>
          </w:p>
        </w:tc>
        <w:tc>
          <w:tcPr>
            <w:tcW w:w="653" w:type="pct"/>
            <w:tcBorders>
              <w:top w:val="nil"/>
              <w:left w:val="nil"/>
              <w:bottom w:val="single" w:sz="4" w:space="0" w:color="auto"/>
              <w:right w:val="single" w:sz="4" w:space="0" w:color="auto"/>
            </w:tcBorders>
            <w:shd w:val="clear" w:color="auto" w:fill="auto"/>
            <w:vAlign w:val="center"/>
            <w:hideMark/>
          </w:tcPr>
          <w:p w14:paraId="2E236BE4"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(8.550)</w:t>
            </w:r>
          </w:p>
        </w:tc>
        <w:tc>
          <w:tcPr>
            <w:tcW w:w="577" w:type="pct"/>
            <w:tcBorders>
              <w:top w:val="nil"/>
              <w:left w:val="nil"/>
              <w:bottom w:val="single" w:sz="4" w:space="0" w:color="auto"/>
              <w:right w:val="single" w:sz="4" w:space="0" w:color="auto"/>
            </w:tcBorders>
            <w:shd w:val="clear" w:color="auto" w:fill="auto"/>
            <w:vAlign w:val="center"/>
            <w:hideMark/>
          </w:tcPr>
          <w:p w14:paraId="1FEEE0D2"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(8.550)</w:t>
            </w:r>
          </w:p>
        </w:tc>
      </w:tr>
      <w:tr w:rsidR="007C6A41" w:rsidRPr="007C6A41" w14:paraId="44F6F45B" w14:textId="77777777" w:rsidTr="00446A14">
        <w:trPr>
          <w:trHeight w:val="238"/>
        </w:trPr>
        <w:tc>
          <w:tcPr>
            <w:tcW w:w="2464" w:type="pct"/>
            <w:tcBorders>
              <w:top w:val="nil"/>
              <w:left w:val="single" w:sz="4" w:space="0" w:color="auto"/>
              <w:bottom w:val="single" w:sz="4" w:space="0" w:color="auto"/>
              <w:right w:val="single" w:sz="4" w:space="0" w:color="auto"/>
            </w:tcBorders>
            <w:shd w:val="clear" w:color="auto" w:fill="auto"/>
            <w:vAlign w:val="center"/>
            <w:hideMark/>
          </w:tcPr>
          <w:p w14:paraId="1B9BD54B" w14:textId="77777777" w:rsidR="007C6A41" w:rsidRPr="007C6A41" w:rsidRDefault="007C6A41" w:rsidP="007C6A41">
            <w:pPr>
              <w:spacing w:after="0" w:line="240" w:lineRule="auto"/>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Reversão de Perda Estimada c/ Crédito de Liquidação Duvidosa</w:t>
            </w:r>
          </w:p>
        </w:tc>
        <w:tc>
          <w:tcPr>
            <w:tcW w:w="653" w:type="pct"/>
            <w:tcBorders>
              <w:top w:val="nil"/>
              <w:left w:val="nil"/>
              <w:bottom w:val="single" w:sz="4" w:space="0" w:color="auto"/>
              <w:right w:val="single" w:sz="4" w:space="0" w:color="auto"/>
            </w:tcBorders>
            <w:shd w:val="clear" w:color="auto" w:fill="auto"/>
            <w:vAlign w:val="center"/>
            <w:hideMark/>
          </w:tcPr>
          <w:p w14:paraId="44525E3C"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(7.434)</w:t>
            </w:r>
          </w:p>
        </w:tc>
        <w:tc>
          <w:tcPr>
            <w:tcW w:w="653" w:type="pct"/>
            <w:tcBorders>
              <w:top w:val="nil"/>
              <w:left w:val="nil"/>
              <w:bottom w:val="single" w:sz="4" w:space="0" w:color="auto"/>
              <w:right w:val="single" w:sz="4" w:space="0" w:color="auto"/>
            </w:tcBorders>
            <w:shd w:val="clear" w:color="auto" w:fill="auto"/>
            <w:vAlign w:val="center"/>
            <w:hideMark/>
          </w:tcPr>
          <w:p w14:paraId="26F60249"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(7.434)</w:t>
            </w:r>
          </w:p>
        </w:tc>
        <w:tc>
          <w:tcPr>
            <w:tcW w:w="653" w:type="pct"/>
            <w:tcBorders>
              <w:top w:val="nil"/>
              <w:left w:val="nil"/>
              <w:bottom w:val="single" w:sz="4" w:space="0" w:color="auto"/>
              <w:right w:val="single" w:sz="4" w:space="0" w:color="auto"/>
            </w:tcBorders>
            <w:shd w:val="clear" w:color="auto" w:fill="auto"/>
            <w:vAlign w:val="center"/>
            <w:hideMark/>
          </w:tcPr>
          <w:p w14:paraId="46C25FDE"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(7.507)</w:t>
            </w:r>
          </w:p>
        </w:tc>
        <w:tc>
          <w:tcPr>
            <w:tcW w:w="577" w:type="pct"/>
            <w:tcBorders>
              <w:top w:val="nil"/>
              <w:left w:val="nil"/>
              <w:bottom w:val="single" w:sz="4" w:space="0" w:color="auto"/>
              <w:right w:val="single" w:sz="4" w:space="0" w:color="auto"/>
            </w:tcBorders>
            <w:shd w:val="clear" w:color="auto" w:fill="auto"/>
            <w:vAlign w:val="center"/>
            <w:hideMark/>
          </w:tcPr>
          <w:p w14:paraId="29E4AE14"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(7.507)</w:t>
            </w:r>
          </w:p>
        </w:tc>
      </w:tr>
      <w:tr w:rsidR="007C6A41" w:rsidRPr="007C6A41" w14:paraId="5D507ABD" w14:textId="77777777" w:rsidTr="00446A14">
        <w:trPr>
          <w:trHeight w:val="238"/>
        </w:trPr>
        <w:tc>
          <w:tcPr>
            <w:tcW w:w="2464" w:type="pct"/>
            <w:tcBorders>
              <w:top w:val="nil"/>
              <w:left w:val="single" w:sz="4" w:space="0" w:color="auto"/>
              <w:bottom w:val="single" w:sz="4" w:space="0" w:color="auto"/>
              <w:right w:val="single" w:sz="4" w:space="0" w:color="auto"/>
            </w:tcBorders>
            <w:shd w:val="clear" w:color="auto" w:fill="auto"/>
            <w:vAlign w:val="center"/>
            <w:hideMark/>
          </w:tcPr>
          <w:p w14:paraId="51091EA6" w14:textId="77777777" w:rsidR="007C6A41" w:rsidRPr="007C6A41" w:rsidRDefault="007C6A41" w:rsidP="007C6A41">
            <w:pPr>
              <w:spacing w:after="0" w:line="240" w:lineRule="auto"/>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Reversão de Provisão sobre Tributos Municipais</w:t>
            </w:r>
          </w:p>
        </w:tc>
        <w:tc>
          <w:tcPr>
            <w:tcW w:w="653" w:type="pct"/>
            <w:tcBorders>
              <w:top w:val="nil"/>
              <w:left w:val="nil"/>
              <w:bottom w:val="single" w:sz="4" w:space="0" w:color="auto"/>
              <w:right w:val="single" w:sz="4" w:space="0" w:color="auto"/>
            </w:tcBorders>
            <w:shd w:val="clear" w:color="auto" w:fill="auto"/>
            <w:vAlign w:val="center"/>
            <w:hideMark/>
          </w:tcPr>
          <w:p w14:paraId="65E9AD1B"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(276)</w:t>
            </w:r>
          </w:p>
        </w:tc>
        <w:tc>
          <w:tcPr>
            <w:tcW w:w="653" w:type="pct"/>
            <w:tcBorders>
              <w:top w:val="nil"/>
              <w:left w:val="nil"/>
              <w:bottom w:val="single" w:sz="4" w:space="0" w:color="auto"/>
              <w:right w:val="single" w:sz="4" w:space="0" w:color="auto"/>
            </w:tcBorders>
            <w:shd w:val="clear" w:color="auto" w:fill="auto"/>
            <w:vAlign w:val="center"/>
            <w:hideMark/>
          </w:tcPr>
          <w:p w14:paraId="50A2C6BD"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(276)</w:t>
            </w:r>
          </w:p>
        </w:tc>
        <w:tc>
          <w:tcPr>
            <w:tcW w:w="653" w:type="pct"/>
            <w:tcBorders>
              <w:top w:val="nil"/>
              <w:left w:val="nil"/>
              <w:bottom w:val="single" w:sz="4" w:space="0" w:color="auto"/>
              <w:right w:val="single" w:sz="4" w:space="0" w:color="auto"/>
            </w:tcBorders>
            <w:shd w:val="clear" w:color="auto" w:fill="auto"/>
            <w:vAlign w:val="center"/>
            <w:hideMark/>
          </w:tcPr>
          <w:p w14:paraId="0FAF2A03"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   </w:t>
            </w:r>
          </w:p>
        </w:tc>
        <w:tc>
          <w:tcPr>
            <w:tcW w:w="577" w:type="pct"/>
            <w:tcBorders>
              <w:top w:val="nil"/>
              <w:left w:val="nil"/>
              <w:bottom w:val="single" w:sz="4" w:space="0" w:color="auto"/>
              <w:right w:val="single" w:sz="4" w:space="0" w:color="auto"/>
            </w:tcBorders>
            <w:shd w:val="clear" w:color="auto" w:fill="auto"/>
            <w:vAlign w:val="center"/>
            <w:hideMark/>
          </w:tcPr>
          <w:p w14:paraId="4DEB7767" w14:textId="77777777" w:rsidR="007C6A41" w:rsidRPr="007C6A41" w:rsidRDefault="007C6A41" w:rsidP="007C6A41">
            <w:pPr>
              <w:spacing w:after="0" w:line="240" w:lineRule="auto"/>
              <w:jc w:val="right"/>
              <w:rPr>
                <w:rFonts w:ascii="Arial" w:eastAsia="Times New Roman" w:hAnsi="Arial" w:cs="Arial"/>
                <w:color w:val="000000"/>
                <w:kern w:val="0"/>
                <w:sz w:val="16"/>
                <w:szCs w:val="16"/>
                <w:lang w:eastAsia="pt-BR"/>
                <w14:ligatures w14:val="none"/>
              </w:rPr>
            </w:pPr>
            <w:r w:rsidRPr="007C6A41">
              <w:rPr>
                <w:rFonts w:ascii="Arial" w:eastAsia="Times New Roman" w:hAnsi="Arial" w:cs="Arial"/>
                <w:color w:val="000000"/>
                <w:kern w:val="0"/>
                <w:sz w:val="16"/>
                <w:szCs w:val="16"/>
                <w:lang w:eastAsia="pt-BR"/>
                <w14:ligatures w14:val="none"/>
              </w:rPr>
              <w:t xml:space="preserve">                  -   </w:t>
            </w:r>
          </w:p>
        </w:tc>
      </w:tr>
      <w:tr w:rsidR="007C6A41" w:rsidRPr="007C6A41" w14:paraId="79BCDF7A" w14:textId="77777777" w:rsidTr="00446A14">
        <w:trPr>
          <w:trHeight w:val="238"/>
        </w:trPr>
        <w:tc>
          <w:tcPr>
            <w:tcW w:w="2464" w:type="pct"/>
            <w:tcBorders>
              <w:top w:val="nil"/>
              <w:left w:val="single" w:sz="4" w:space="0" w:color="auto"/>
              <w:bottom w:val="single" w:sz="4" w:space="0" w:color="auto"/>
              <w:right w:val="single" w:sz="4" w:space="0" w:color="auto"/>
            </w:tcBorders>
            <w:shd w:val="clear" w:color="auto" w:fill="auto"/>
            <w:vAlign w:val="center"/>
            <w:hideMark/>
          </w:tcPr>
          <w:p w14:paraId="73819A12" w14:textId="77777777" w:rsidR="007C6A41" w:rsidRPr="007C6A41" w:rsidRDefault="007C6A41" w:rsidP="007C6A41">
            <w:pPr>
              <w:spacing w:after="0" w:line="240" w:lineRule="auto"/>
              <w:rPr>
                <w:rFonts w:ascii="Arial" w:eastAsia="Times New Roman" w:hAnsi="Arial" w:cs="Arial"/>
                <w:b/>
                <w:bCs/>
                <w:color w:val="000000"/>
                <w:kern w:val="0"/>
                <w:sz w:val="16"/>
                <w:szCs w:val="16"/>
                <w:lang w:eastAsia="pt-BR"/>
                <w14:ligatures w14:val="none"/>
              </w:rPr>
            </w:pPr>
            <w:r w:rsidRPr="007C6A41">
              <w:rPr>
                <w:rFonts w:ascii="Arial" w:eastAsia="Times New Roman" w:hAnsi="Arial" w:cs="Arial"/>
                <w:b/>
                <w:bCs/>
                <w:color w:val="000000"/>
                <w:kern w:val="0"/>
                <w:sz w:val="16"/>
                <w:szCs w:val="16"/>
                <w:lang w:eastAsia="pt-BR"/>
                <w14:ligatures w14:val="none"/>
              </w:rPr>
              <w:t>Prejuízo Fiscal e Base de Cálculo Negativa</w:t>
            </w:r>
          </w:p>
        </w:tc>
        <w:tc>
          <w:tcPr>
            <w:tcW w:w="653" w:type="pct"/>
            <w:tcBorders>
              <w:top w:val="nil"/>
              <w:left w:val="nil"/>
              <w:bottom w:val="single" w:sz="4" w:space="0" w:color="auto"/>
              <w:right w:val="single" w:sz="4" w:space="0" w:color="auto"/>
            </w:tcBorders>
            <w:shd w:val="clear" w:color="auto" w:fill="auto"/>
            <w:vAlign w:val="center"/>
            <w:hideMark/>
          </w:tcPr>
          <w:p w14:paraId="4E009694" w14:textId="77777777" w:rsidR="007C6A41" w:rsidRPr="007C6A41" w:rsidRDefault="007C6A41" w:rsidP="007C6A41">
            <w:pPr>
              <w:spacing w:after="0" w:line="240" w:lineRule="auto"/>
              <w:jc w:val="right"/>
              <w:rPr>
                <w:rFonts w:ascii="Arial" w:eastAsia="Times New Roman" w:hAnsi="Arial" w:cs="Arial"/>
                <w:b/>
                <w:bCs/>
                <w:color w:val="000000"/>
                <w:kern w:val="0"/>
                <w:sz w:val="16"/>
                <w:szCs w:val="16"/>
                <w:lang w:eastAsia="pt-BR"/>
                <w14:ligatures w14:val="none"/>
              </w:rPr>
            </w:pPr>
            <w:r w:rsidRPr="007C6A41">
              <w:rPr>
                <w:rFonts w:ascii="Arial" w:eastAsia="Times New Roman" w:hAnsi="Arial" w:cs="Arial"/>
                <w:b/>
                <w:bCs/>
                <w:color w:val="000000"/>
                <w:kern w:val="0"/>
                <w:sz w:val="16"/>
                <w:szCs w:val="16"/>
                <w:lang w:eastAsia="pt-BR"/>
                <w14:ligatures w14:val="none"/>
              </w:rPr>
              <w:t xml:space="preserve">     (122.248)</w:t>
            </w:r>
          </w:p>
        </w:tc>
        <w:tc>
          <w:tcPr>
            <w:tcW w:w="653" w:type="pct"/>
            <w:tcBorders>
              <w:top w:val="nil"/>
              <w:left w:val="nil"/>
              <w:bottom w:val="single" w:sz="4" w:space="0" w:color="auto"/>
              <w:right w:val="single" w:sz="4" w:space="0" w:color="auto"/>
            </w:tcBorders>
            <w:shd w:val="clear" w:color="auto" w:fill="auto"/>
            <w:vAlign w:val="center"/>
            <w:hideMark/>
          </w:tcPr>
          <w:p w14:paraId="079D974B" w14:textId="77777777" w:rsidR="007C6A41" w:rsidRPr="007C6A41" w:rsidRDefault="007C6A41" w:rsidP="007C6A41">
            <w:pPr>
              <w:spacing w:after="0" w:line="240" w:lineRule="auto"/>
              <w:jc w:val="right"/>
              <w:rPr>
                <w:rFonts w:ascii="Arial" w:eastAsia="Times New Roman" w:hAnsi="Arial" w:cs="Arial"/>
                <w:b/>
                <w:bCs/>
                <w:color w:val="000000"/>
                <w:kern w:val="0"/>
                <w:sz w:val="16"/>
                <w:szCs w:val="16"/>
                <w:lang w:eastAsia="pt-BR"/>
                <w14:ligatures w14:val="none"/>
              </w:rPr>
            </w:pPr>
            <w:r w:rsidRPr="007C6A41">
              <w:rPr>
                <w:rFonts w:ascii="Arial" w:eastAsia="Times New Roman" w:hAnsi="Arial" w:cs="Arial"/>
                <w:b/>
                <w:bCs/>
                <w:color w:val="000000"/>
                <w:kern w:val="0"/>
                <w:sz w:val="16"/>
                <w:szCs w:val="16"/>
                <w:lang w:eastAsia="pt-BR"/>
                <w14:ligatures w14:val="none"/>
              </w:rPr>
              <w:t xml:space="preserve">     (122.248)</w:t>
            </w:r>
          </w:p>
        </w:tc>
        <w:tc>
          <w:tcPr>
            <w:tcW w:w="653" w:type="pct"/>
            <w:tcBorders>
              <w:top w:val="nil"/>
              <w:left w:val="nil"/>
              <w:bottom w:val="single" w:sz="4" w:space="0" w:color="auto"/>
              <w:right w:val="single" w:sz="4" w:space="0" w:color="auto"/>
            </w:tcBorders>
            <w:shd w:val="clear" w:color="auto" w:fill="auto"/>
            <w:vAlign w:val="center"/>
            <w:hideMark/>
          </w:tcPr>
          <w:p w14:paraId="43C1BE76" w14:textId="77777777" w:rsidR="007C6A41" w:rsidRPr="007C6A41" w:rsidRDefault="007C6A41" w:rsidP="007C6A41">
            <w:pPr>
              <w:spacing w:after="0" w:line="240" w:lineRule="auto"/>
              <w:jc w:val="right"/>
              <w:rPr>
                <w:rFonts w:ascii="Arial" w:eastAsia="Times New Roman" w:hAnsi="Arial" w:cs="Arial"/>
                <w:b/>
                <w:bCs/>
                <w:color w:val="000000"/>
                <w:kern w:val="0"/>
                <w:sz w:val="16"/>
                <w:szCs w:val="16"/>
                <w:lang w:eastAsia="pt-BR"/>
                <w14:ligatures w14:val="none"/>
              </w:rPr>
            </w:pPr>
            <w:r w:rsidRPr="007C6A41">
              <w:rPr>
                <w:rFonts w:ascii="Arial" w:eastAsia="Times New Roman" w:hAnsi="Arial" w:cs="Arial"/>
                <w:b/>
                <w:bCs/>
                <w:color w:val="000000"/>
                <w:kern w:val="0"/>
                <w:sz w:val="16"/>
                <w:szCs w:val="16"/>
                <w:lang w:eastAsia="pt-BR"/>
                <w14:ligatures w14:val="none"/>
              </w:rPr>
              <w:t xml:space="preserve">     (167.053)</w:t>
            </w:r>
          </w:p>
        </w:tc>
        <w:tc>
          <w:tcPr>
            <w:tcW w:w="577" w:type="pct"/>
            <w:tcBorders>
              <w:top w:val="nil"/>
              <w:left w:val="nil"/>
              <w:bottom w:val="single" w:sz="4" w:space="0" w:color="auto"/>
              <w:right w:val="single" w:sz="4" w:space="0" w:color="auto"/>
            </w:tcBorders>
            <w:shd w:val="clear" w:color="auto" w:fill="auto"/>
            <w:vAlign w:val="center"/>
            <w:hideMark/>
          </w:tcPr>
          <w:p w14:paraId="7AB480C4" w14:textId="77777777" w:rsidR="007C6A41" w:rsidRPr="007C6A41" w:rsidRDefault="007C6A41" w:rsidP="007C6A41">
            <w:pPr>
              <w:spacing w:after="0" w:line="240" w:lineRule="auto"/>
              <w:jc w:val="right"/>
              <w:rPr>
                <w:rFonts w:ascii="Arial" w:eastAsia="Times New Roman" w:hAnsi="Arial" w:cs="Arial"/>
                <w:b/>
                <w:bCs/>
                <w:color w:val="000000"/>
                <w:kern w:val="0"/>
                <w:sz w:val="16"/>
                <w:szCs w:val="16"/>
                <w:lang w:eastAsia="pt-BR"/>
                <w14:ligatures w14:val="none"/>
              </w:rPr>
            </w:pPr>
            <w:r w:rsidRPr="007C6A41">
              <w:rPr>
                <w:rFonts w:ascii="Arial" w:eastAsia="Times New Roman" w:hAnsi="Arial" w:cs="Arial"/>
                <w:b/>
                <w:bCs/>
                <w:color w:val="000000"/>
                <w:kern w:val="0"/>
                <w:sz w:val="16"/>
                <w:szCs w:val="16"/>
                <w:lang w:eastAsia="pt-BR"/>
                <w14:ligatures w14:val="none"/>
              </w:rPr>
              <w:t xml:space="preserve">     (167.053)</w:t>
            </w:r>
          </w:p>
        </w:tc>
      </w:tr>
    </w:tbl>
    <w:p w14:paraId="590B4290" w14:textId="374CC071" w:rsidR="007C6A41" w:rsidRPr="007C6A41" w:rsidRDefault="007C6A41" w:rsidP="007A23F8">
      <w:pPr>
        <w:autoSpaceDE w:val="0"/>
        <w:autoSpaceDN w:val="0"/>
        <w:adjustRightInd w:val="0"/>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7.3. </w:t>
      </w:r>
      <w:r w:rsidRPr="007C6A41">
        <w:rPr>
          <w:rFonts w:ascii="Calibri" w:eastAsia="Times New Roman" w:hAnsi="Calibri" w:cs="Calibri"/>
          <w:b/>
          <w:bCs/>
          <w:iCs/>
          <w:color w:val="002060"/>
          <w:kern w:val="0"/>
          <w14:ligatures w14:val="none"/>
        </w:rPr>
        <w:t>Créditos fiscais diferidos e não registrados</w:t>
      </w:r>
    </w:p>
    <w:p w14:paraId="0CA718C1" w14:textId="77777777" w:rsidR="007C6A41" w:rsidRPr="007C6A41" w:rsidRDefault="007C6A41" w:rsidP="007A23F8">
      <w:pPr>
        <w:autoSpaceDE w:val="0"/>
        <w:autoSpaceDN w:val="0"/>
        <w:adjustRightInd w:val="0"/>
        <w:spacing w:after="0" w:line="240" w:lineRule="auto"/>
        <w:jc w:val="both"/>
        <w:rPr>
          <w:rFonts w:ascii="Calibri" w:eastAsia="Times New Roman" w:hAnsi="Calibri" w:cs="Calibri"/>
          <w:bCs/>
          <w:iCs/>
          <w:color w:val="002060"/>
          <w:kern w:val="0"/>
          <w14:ligatures w14:val="none"/>
        </w:rPr>
      </w:pPr>
      <w:r w:rsidRPr="007C6A41">
        <w:rPr>
          <w:rFonts w:ascii="Calibri" w:eastAsia="Times New Roman" w:hAnsi="Calibri" w:cs="Calibri"/>
          <w:iCs/>
          <w:color w:val="002060"/>
          <w:kern w:val="0"/>
          <w14:ligatures w14:val="none"/>
        </w:rPr>
        <w:t xml:space="preserve">A Companhia não registra os efeitos dos ativos fiscais diferidos de Imposto de Renda e Contribuição Social sobre o Lucro líquido, decorrentes de diferenças temporárias, prejuízos fiscais e resultado ajustado negativo de Contribuição Social Sobre o Lucro Líquido, </w:t>
      </w:r>
      <w:r w:rsidRPr="007C6A41">
        <w:rPr>
          <w:rFonts w:ascii="Calibri" w:eastAsia="Times New Roman" w:hAnsi="Calibri" w:cs="Calibri"/>
          <w:bCs/>
          <w:iCs/>
          <w:color w:val="002060"/>
          <w:kern w:val="0"/>
          <w14:ligatures w14:val="none"/>
        </w:rPr>
        <w:t>até que passe a apresentar lucro tributável sustentável. No quadro a seguir são apresentados os valores dos ativos fiscais diferidos em 31 de dezembro de 2023 e 31 de dezembro de 2022:</w:t>
      </w:r>
    </w:p>
    <w:tbl>
      <w:tblPr>
        <w:tblW w:w="5000" w:type="pct"/>
        <w:tblLayout w:type="fixed"/>
        <w:tblCellMar>
          <w:left w:w="70" w:type="dxa"/>
          <w:right w:w="70" w:type="dxa"/>
        </w:tblCellMar>
        <w:tblLook w:val="04A0" w:firstRow="1" w:lastRow="0" w:firstColumn="1" w:lastColumn="0" w:noHBand="0" w:noVBand="1"/>
      </w:tblPr>
      <w:tblGrid>
        <w:gridCol w:w="4963"/>
        <w:gridCol w:w="1131"/>
        <w:gridCol w:w="1276"/>
        <w:gridCol w:w="1135"/>
        <w:gridCol w:w="1266"/>
      </w:tblGrid>
      <w:tr w:rsidR="007C6A41" w:rsidRPr="007C6A41" w14:paraId="24631B32" w14:textId="77777777" w:rsidTr="007C6A41">
        <w:trPr>
          <w:trHeight w:val="238"/>
          <w:tblHeader/>
        </w:trPr>
        <w:tc>
          <w:tcPr>
            <w:tcW w:w="2539"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2B22F6F9" w14:textId="77777777" w:rsidR="007C6A41" w:rsidRPr="007C6A41" w:rsidRDefault="007C6A41" w:rsidP="007C6A41">
            <w:pPr>
              <w:spacing w:after="0" w:line="240" w:lineRule="auto"/>
              <w:rPr>
                <w:rFonts w:ascii="Arial" w:eastAsia="Times New Roman" w:hAnsi="Arial" w:cs="Arial"/>
                <w:b/>
                <w:bCs/>
                <w:color w:val="000000"/>
                <w:kern w:val="0"/>
                <w:sz w:val="18"/>
                <w:szCs w:val="18"/>
                <w:lang w:eastAsia="pt-BR"/>
                <w14:ligatures w14:val="none"/>
              </w:rPr>
            </w:pPr>
            <w:r w:rsidRPr="007C6A41">
              <w:rPr>
                <w:rFonts w:ascii="Arial" w:eastAsia="Times New Roman" w:hAnsi="Arial" w:cs="Arial"/>
                <w:b/>
                <w:bCs/>
                <w:color w:val="000000"/>
                <w:kern w:val="0"/>
                <w:sz w:val="18"/>
                <w:szCs w:val="18"/>
                <w:lang w:eastAsia="pt-BR"/>
                <w14:ligatures w14:val="none"/>
              </w:rPr>
              <w:t>Composição:</w:t>
            </w:r>
          </w:p>
        </w:tc>
        <w:tc>
          <w:tcPr>
            <w:tcW w:w="123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97FAD" w14:textId="77777777" w:rsidR="007C6A41" w:rsidRPr="007C6A41" w:rsidRDefault="007C6A41" w:rsidP="007C6A41">
            <w:pPr>
              <w:spacing w:after="0" w:line="240" w:lineRule="auto"/>
              <w:jc w:val="center"/>
              <w:rPr>
                <w:rFonts w:ascii="Arial" w:eastAsia="Times New Roman" w:hAnsi="Arial" w:cs="Arial"/>
                <w:b/>
                <w:bCs/>
                <w:color w:val="000000"/>
                <w:kern w:val="0"/>
                <w:sz w:val="18"/>
                <w:szCs w:val="18"/>
                <w:lang w:eastAsia="pt-BR"/>
                <w14:ligatures w14:val="none"/>
              </w:rPr>
            </w:pPr>
            <w:r w:rsidRPr="007C6A41">
              <w:rPr>
                <w:rFonts w:ascii="Arial" w:eastAsia="Times New Roman" w:hAnsi="Arial" w:cs="Arial"/>
                <w:b/>
                <w:bCs/>
                <w:color w:val="000000"/>
                <w:kern w:val="0"/>
                <w:sz w:val="18"/>
                <w:szCs w:val="18"/>
                <w:lang w:eastAsia="pt-BR"/>
                <w14:ligatures w14:val="none"/>
              </w:rPr>
              <w:t>Imposto de Renda (25%)</w:t>
            </w:r>
          </w:p>
        </w:tc>
        <w:tc>
          <w:tcPr>
            <w:tcW w:w="1230" w:type="pct"/>
            <w:gridSpan w:val="2"/>
            <w:tcBorders>
              <w:top w:val="single" w:sz="4" w:space="0" w:color="auto"/>
              <w:left w:val="nil"/>
              <w:bottom w:val="single" w:sz="4" w:space="0" w:color="auto"/>
              <w:right w:val="single" w:sz="4" w:space="0" w:color="auto"/>
            </w:tcBorders>
            <w:shd w:val="clear" w:color="auto" w:fill="auto"/>
            <w:noWrap/>
            <w:vAlign w:val="bottom"/>
            <w:hideMark/>
          </w:tcPr>
          <w:p w14:paraId="25540C28" w14:textId="77777777" w:rsidR="007C6A41" w:rsidRPr="007C6A41" w:rsidRDefault="007C6A41" w:rsidP="007C6A41">
            <w:pPr>
              <w:spacing w:after="0" w:line="240" w:lineRule="auto"/>
              <w:jc w:val="center"/>
              <w:rPr>
                <w:rFonts w:ascii="Arial" w:eastAsia="Times New Roman" w:hAnsi="Arial" w:cs="Arial"/>
                <w:b/>
                <w:bCs/>
                <w:color w:val="000000"/>
                <w:kern w:val="0"/>
                <w:sz w:val="18"/>
                <w:szCs w:val="18"/>
                <w:lang w:eastAsia="pt-BR"/>
                <w14:ligatures w14:val="none"/>
              </w:rPr>
            </w:pPr>
            <w:r w:rsidRPr="007C6A41">
              <w:rPr>
                <w:rFonts w:ascii="Arial" w:eastAsia="Times New Roman" w:hAnsi="Arial" w:cs="Arial"/>
                <w:b/>
                <w:bCs/>
                <w:color w:val="000000"/>
                <w:kern w:val="0"/>
                <w:sz w:val="18"/>
                <w:szCs w:val="18"/>
                <w:lang w:eastAsia="pt-BR"/>
                <w14:ligatures w14:val="none"/>
              </w:rPr>
              <w:t>Contribuição Social (9%)</w:t>
            </w:r>
          </w:p>
        </w:tc>
      </w:tr>
      <w:tr w:rsidR="007C6A41" w:rsidRPr="007C6A41" w14:paraId="322F21A0" w14:textId="77777777" w:rsidTr="007C6A41">
        <w:trPr>
          <w:trHeight w:val="238"/>
          <w:tblHeader/>
        </w:trPr>
        <w:tc>
          <w:tcPr>
            <w:tcW w:w="2539" w:type="pct"/>
            <w:vMerge/>
            <w:tcBorders>
              <w:top w:val="single" w:sz="4" w:space="0" w:color="auto"/>
              <w:left w:val="single" w:sz="4" w:space="0" w:color="auto"/>
              <w:bottom w:val="single" w:sz="4" w:space="0" w:color="000000"/>
              <w:right w:val="single" w:sz="4" w:space="0" w:color="auto"/>
            </w:tcBorders>
            <w:vAlign w:val="center"/>
            <w:hideMark/>
          </w:tcPr>
          <w:p w14:paraId="09171DA4" w14:textId="77777777" w:rsidR="007C6A41" w:rsidRPr="007C6A41" w:rsidRDefault="007C6A41" w:rsidP="007C6A41">
            <w:pPr>
              <w:spacing w:after="0" w:line="240" w:lineRule="auto"/>
              <w:rPr>
                <w:rFonts w:ascii="Arial" w:eastAsia="Times New Roman" w:hAnsi="Arial" w:cs="Arial"/>
                <w:b/>
                <w:bCs/>
                <w:color w:val="000000"/>
                <w:kern w:val="0"/>
                <w:sz w:val="18"/>
                <w:szCs w:val="18"/>
                <w:lang w:eastAsia="pt-BR"/>
                <w14:ligatures w14:val="none"/>
              </w:rPr>
            </w:pPr>
          </w:p>
        </w:tc>
        <w:tc>
          <w:tcPr>
            <w:tcW w:w="579" w:type="pct"/>
            <w:tcBorders>
              <w:top w:val="nil"/>
              <w:left w:val="single" w:sz="4" w:space="0" w:color="auto"/>
              <w:bottom w:val="single" w:sz="4" w:space="0" w:color="auto"/>
              <w:right w:val="single" w:sz="4" w:space="0" w:color="auto"/>
            </w:tcBorders>
            <w:shd w:val="clear" w:color="auto" w:fill="auto"/>
            <w:noWrap/>
            <w:vAlign w:val="bottom"/>
            <w:hideMark/>
          </w:tcPr>
          <w:p w14:paraId="56D8D333" w14:textId="77777777" w:rsidR="007C6A41" w:rsidRPr="007C6A41" w:rsidRDefault="007C6A41" w:rsidP="007C6A41">
            <w:pPr>
              <w:spacing w:after="0" w:line="240" w:lineRule="auto"/>
              <w:jc w:val="center"/>
              <w:rPr>
                <w:rFonts w:ascii="Arial" w:eastAsia="Times New Roman" w:hAnsi="Arial" w:cs="Arial"/>
                <w:b/>
                <w:bCs/>
                <w:color w:val="000000"/>
                <w:kern w:val="0"/>
                <w:sz w:val="18"/>
                <w:szCs w:val="18"/>
                <w:lang w:eastAsia="pt-BR"/>
                <w14:ligatures w14:val="none"/>
              </w:rPr>
            </w:pPr>
            <w:r w:rsidRPr="007C6A41">
              <w:rPr>
                <w:rFonts w:ascii="Arial" w:eastAsia="Times New Roman" w:hAnsi="Arial" w:cs="Arial"/>
                <w:b/>
                <w:bCs/>
                <w:color w:val="000000"/>
                <w:kern w:val="0"/>
                <w:sz w:val="18"/>
                <w:szCs w:val="18"/>
                <w:lang w:eastAsia="pt-BR"/>
                <w14:ligatures w14:val="none"/>
              </w:rPr>
              <w:t>31/12/2023</w:t>
            </w:r>
          </w:p>
        </w:tc>
        <w:tc>
          <w:tcPr>
            <w:tcW w:w="653" w:type="pct"/>
            <w:tcBorders>
              <w:top w:val="nil"/>
              <w:left w:val="nil"/>
              <w:bottom w:val="single" w:sz="4" w:space="0" w:color="auto"/>
              <w:right w:val="single" w:sz="4" w:space="0" w:color="auto"/>
            </w:tcBorders>
            <w:shd w:val="clear" w:color="auto" w:fill="auto"/>
            <w:noWrap/>
            <w:vAlign w:val="bottom"/>
            <w:hideMark/>
          </w:tcPr>
          <w:p w14:paraId="572B3553" w14:textId="77777777" w:rsidR="007C6A41" w:rsidRPr="007C6A41" w:rsidRDefault="007C6A41" w:rsidP="007C6A41">
            <w:pPr>
              <w:spacing w:after="0" w:line="240" w:lineRule="auto"/>
              <w:jc w:val="center"/>
              <w:rPr>
                <w:rFonts w:ascii="Arial" w:eastAsia="Times New Roman" w:hAnsi="Arial" w:cs="Arial"/>
                <w:b/>
                <w:bCs/>
                <w:color w:val="000000"/>
                <w:kern w:val="0"/>
                <w:sz w:val="18"/>
                <w:szCs w:val="18"/>
                <w:lang w:eastAsia="pt-BR"/>
                <w14:ligatures w14:val="none"/>
              </w:rPr>
            </w:pPr>
            <w:r w:rsidRPr="007C6A41">
              <w:rPr>
                <w:rFonts w:ascii="Arial" w:eastAsia="Times New Roman" w:hAnsi="Arial" w:cs="Arial"/>
                <w:b/>
                <w:bCs/>
                <w:color w:val="000000"/>
                <w:kern w:val="0"/>
                <w:sz w:val="18"/>
                <w:szCs w:val="18"/>
                <w:lang w:eastAsia="pt-BR"/>
                <w14:ligatures w14:val="none"/>
              </w:rPr>
              <w:t xml:space="preserve">31/12/2022 </w:t>
            </w:r>
            <w:r w:rsidRPr="007C6A41">
              <w:rPr>
                <w:rFonts w:ascii="Arial" w:eastAsia="Times New Roman" w:hAnsi="Arial" w:cs="Arial"/>
                <w:b/>
                <w:bCs/>
                <w:color w:val="000000"/>
                <w:kern w:val="0"/>
                <w:sz w:val="14"/>
                <w:szCs w:val="14"/>
                <w:lang w:eastAsia="pt-BR"/>
                <w14:ligatures w14:val="none"/>
              </w:rPr>
              <w:t>Reapresentado</w:t>
            </w:r>
          </w:p>
        </w:tc>
        <w:tc>
          <w:tcPr>
            <w:tcW w:w="581" w:type="pct"/>
            <w:tcBorders>
              <w:top w:val="nil"/>
              <w:left w:val="nil"/>
              <w:bottom w:val="single" w:sz="4" w:space="0" w:color="auto"/>
              <w:right w:val="single" w:sz="4" w:space="0" w:color="auto"/>
            </w:tcBorders>
            <w:shd w:val="clear" w:color="auto" w:fill="auto"/>
            <w:noWrap/>
            <w:vAlign w:val="bottom"/>
            <w:hideMark/>
          </w:tcPr>
          <w:p w14:paraId="2FA99D46" w14:textId="77777777" w:rsidR="007C6A41" w:rsidRPr="007C6A41" w:rsidRDefault="007C6A41" w:rsidP="007C6A41">
            <w:pPr>
              <w:spacing w:after="0" w:line="240" w:lineRule="auto"/>
              <w:jc w:val="center"/>
              <w:rPr>
                <w:rFonts w:ascii="Arial" w:eastAsia="Times New Roman" w:hAnsi="Arial" w:cs="Arial"/>
                <w:b/>
                <w:bCs/>
                <w:color w:val="000000"/>
                <w:kern w:val="0"/>
                <w:sz w:val="18"/>
                <w:szCs w:val="18"/>
                <w:lang w:eastAsia="pt-BR"/>
                <w14:ligatures w14:val="none"/>
              </w:rPr>
            </w:pPr>
            <w:r w:rsidRPr="007C6A41">
              <w:rPr>
                <w:rFonts w:ascii="Arial" w:eastAsia="Times New Roman" w:hAnsi="Arial" w:cs="Arial"/>
                <w:b/>
                <w:bCs/>
                <w:color w:val="000000"/>
                <w:kern w:val="0"/>
                <w:sz w:val="18"/>
                <w:szCs w:val="18"/>
                <w:lang w:eastAsia="pt-BR"/>
                <w14:ligatures w14:val="none"/>
              </w:rPr>
              <w:t>31/12/2023</w:t>
            </w:r>
          </w:p>
        </w:tc>
        <w:tc>
          <w:tcPr>
            <w:tcW w:w="649" w:type="pct"/>
            <w:tcBorders>
              <w:top w:val="nil"/>
              <w:left w:val="nil"/>
              <w:bottom w:val="single" w:sz="4" w:space="0" w:color="auto"/>
              <w:right w:val="single" w:sz="4" w:space="0" w:color="auto"/>
            </w:tcBorders>
            <w:shd w:val="clear" w:color="auto" w:fill="auto"/>
            <w:noWrap/>
            <w:vAlign w:val="bottom"/>
            <w:hideMark/>
          </w:tcPr>
          <w:p w14:paraId="19036464" w14:textId="77777777" w:rsidR="007C6A41" w:rsidRPr="007C6A41" w:rsidRDefault="007C6A41" w:rsidP="007C6A41">
            <w:pPr>
              <w:spacing w:after="0" w:line="240" w:lineRule="auto"/>
              <w:jc w:val="center"/>
              <w:rPr>
                <w:rFonts w:ascii="Arial" w:eastAsia="Times New Roman" w:hAnsi="Arial" w:cs="Arial"/>
                <w:b/>
                <w:bCs/>
                <w:color w:val="000000"/>
                <w:kern w:val="0"/>
                <w:sz w:val="18"/>
                <w:szCs w:val="18"/>
                <w:lang w:eastAsia="pt-BR"/>
                <w14:ligatures w14:val="none"/>
              </w:rPr>
            </w:pPr>
            <w:r w:rsidRPr="007C6A41">
              <w:rPr>
                <w:rFonts w:ascii="Arial" w:eastAsia="Times New Roman" w:hAnsi="Arial" w:cs="Arial"/>
                <w:b/>
                <w:bCs/>
                <w:color w:val="000000"/>
                <w:kern w:val="0"/>
                <w:sz w:val="18"/>
                <w:szCs w:val="18"/>
                <w:lang w:eastAsia="pt-BR"/>
                <w14:ligatures w14:val="none"/>
              </w:rPr>
              <w:t xml:space="preserve">31/12/2022 </w:t>
            </w:r>
            <w:r w:rsidRPr="007C6A41">
              <w:rPr>
                <w:rFonts w:ascii="Arial" w:eastAsia="Times New Roman" w:hAnsi="Arial" w:cs="Arial"/>
                <w:b/>
                <w:bCs/>
                <w:color w:val="000000"/>
                <w:kern w:val="0"/>
                <w:sz w:val="14"/>
                <w:szCs w:val="14"/>
                <w:lang w:eastAsia="pt-BR"/>
                <w14:ligatures w14:val="none"/>
              </w:rPr>
              <w:t>Reapresentado</w:t>
            </w:r>
          </w:p>
        </w:tc>
      </w:tr>
      <w:tr w:rsidR="007C6A41" w:rsidRPr="007C6A41" w14:paraId="41CD64B6" w14:textId="77777777" w:rsidTr="007C6A41">
        <w:trPr>
          <w:trHeight w:val="238"/>
        </w:trPr>
        <w:tc>
          <w:tcPr>
            <w:tcW w:w="25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29D409" w14:textId="77777777" w:rsidR="007C6A41" w:rsidRPr="007C6A41" w:rsidRDefault="007C6A41" w:rsidP="007C6A41">
            <w:pPr>
              <w:spacing w:after="0" w:line="240" w:lineRule="auto"/>
              <w:rPr>
                <w:rFonts w:ascii="Arial" w:eastAsia="Times New Roman" w:hAnsi="Arial" w:cs="Arial"/>
                <w:color w:val="000000"/>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Provisão p/ Riscos Trabalhistas, Cíveis e Fiscais</w:t>
            </w:r>
          </w:p>
        </w:tc>
        <w:tc>
          <w:tcPr>
            <w:tcW w:w="579" w:type="pct"/>
            <w:tcBorders>
              <w:top w:val="nil"/>
              <w:left w:val="nil"/>
              <w:bottom w:val="single" w:sz="4" w:space="0" w:color="auto"/>
              <w:right w:val="single" w:sz="4" w:space="0" w:color="auto"/>
            </w:tcBorders>
            <w:shd w:val="clear" w:color="auto" w:fill="auto"/>
            <w:noWrap/>
            <w:vAlign w:val="bottom"/>
            <w:hideMark/>
          </w:tcPr>
          <w:p w14:paraId="40B8401A" w14:textId="77777777" w:rsidR="007C6A41" w:rsidRPr="007C6A41" w:rsidRDefault="007C6A41" w:rsidP="007C6A41">
            <w:pPr>
              <w:spacing w:after="0" w:line="240" w:lineRule="auto"/>
              <w:jc w:val="right"/>
              <w:rPr>
                <w:rFonts w:ascii="Arial" w:eastAsia="Times New Roman" w:hAnsi="Arial" w:cs="Arial"/>
                <w:color w:val="000000"/>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14.721</w:t>
            </w:r>
          </w:p>
        </w:tc>
        <w:tc>
          <w:tcPr>
            <w:tcW w:w="653" w:type="pct"/>
            <w:tcBorders>
              <w:top w:val="nil"/>
              <w:left w:val="nil"/>
              <w:bottom w:val="single" w:sz="4" w:space="0" w:color="auto"/>
              <w:right w:val="single" w:sz="4" w:space="0" w:color="auto"/>
            </w:tcBorders>
            <w:shd w:val="clear" w:color="auto" w:fill="auto"/>
            <w:noWrap/>
            <w:vAlign w:val="bottom"/>
            <w:hideMark/>
          </w:tcPr>
          <w:p w14:paraId="777FEF52" w14:textId="77777777" w:rsidR="007C6A41" w:rsidRPr="007C6A41" w:rsidRDefault="007C6A41" w:rsidP="007C6A41">
            <w:pPr>
              <w:spacing w:after="0" w:line="240" w:lineRule="auto"/>
              <w:jc w:val="right"/>
              <w:rPr>
                <w:rFonts w:ascii="Arial" w:eastAsia="Times New Roman" w:hAnsi="Arial" w:cs="Arial"/>
                <w:color w:val="000000"/>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15.963</w:t>
            </w:r>
          </w:p>
        </w:tc>
        <w:tc>
          <w:tcPr>
            <w:tcW w:w="581" w:type="pct"/>
            <w:tcBorders>
              <w:top w:val="nil"/>
              <w:left w:val="nil"/>
              <w:bottom w:val="single" w:sz="4" w:space="0" w:color="auto"/>
              <w:right w:val="single" w:sz="4" w:space="0" w:color="auto"/>
            </w:tcBorders>
            <w:shd w:val="clear" w:color="auto" w:fill="auto"/>
            <w:noWrap/>
            <w:vAlign w:val="bottom"/>
            <w:hideMark/>
          </w:tcPr>
          <w:p w14:paraId="020D20BE" w14:textId="77777777" w:rsidR="007C6A41" w:rsidRPr="007C6A41" w:rsidRDefault="007C6A41" w:rsidP="007C6A41">
            <w:pPr>
              <w:spacing w:after="0" w:line="240" w:lineRule="auto"/>
              <w:jc w:val="right"/>
              <w:rPr>
                <w:rFonts w:ascii="Arial" w:eastAsia="Times New Roman" w:hAnsi="Arial" w:cs="Arial"/>
                <w:color w:val="000000"/>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5.300</w:t>
            </w:r>
          </w:p>
        </w:tc>
        <w:tc>
          <w:tcPr>
            <w:tcW w:w="649" w:type="pct"/>
            <w:tcBorders>
              <w:top w:val="nil"/>
              <w:left w:val="nil"/>
              <w:bottom w:val="single" w:sz="4" w:space="0" w:color="auto"/>
              <w:right w:val="single" w:sz="4" w:space="0" w:color="auto"/>
            </w:tcBorders>
            <w:shd w:val="clear" w:color="auto" w:fill="auto"/>
            <w:noWrap/>
            <w:vAlign w:val="bottom"/>
            <w:hideMark/>
          </w:tcPr>
          <w:p w14:paraId="4CADC78E" w14:textId="77777777" w:rsidR="007C6A41" w:rsidRPr="007C6A41" w:rsidRDefault="007C6A41" w:rsidP="007C6A41">
            <w:pPr>
              <w:spacing w:after="0" w:line="240" w:lineRule="auto"/>
              <w:jc w:val="right"/>
              <w:rPr>
                <w:rFonts w:ascii="Arial" w:eastAsia="Times New Roman" w:hAnsi="Arial" w:cs="Arial"/>
                <w:color w:val="000000"/>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5.747</w:t>
            </w:r>
          </w:p>
        </w:tc>
      </w:tr>
      <w:tr w:rsidR="007C6A41" w:rsidRPr="007C6A41" w14:paraId="023176EE" w14:textId="77777777" w:rsidTr="007C6A41">
        <w:trPr>
          <w:trHeight w:val="238"/>
        </w:trPr>
        <w:tc>
          <w:tcPr>
            <w:tcW w:w="2539" w:type="pct"/>
            <w:tcBorders>
              <w:top w:val="nil"/>
              <w:left w:val="single" w:sz="4" w:space="0" w:color="auto"/>
              <w:bottom w:val="single" w:sz="4" w:space="0" w:color="auto"/>
              <w:right w:val="single" w:sz="4" w:space="0" w:color="auto"/>
            </w:tcBorders>
            <w:shd w:val="clear" w:color="auto" w:fill="auto"/>
            <w:vAlign w:val="center"/>
            <w:hideMark/>
          </w:tcPr>
          <w:p w14:paraId="7F9D6797" w14:textId="77777777" w:rsidR="007C6A41" w:rsidRPr="007C6A41" w:rsidRDefault="007C6A41" w:rsidP="007C6A41">
            <w:pPr>
              <w:spacing w:after="0" w:line="240" w:lineRule="auto"/>
              <w:rPr>
                <w:rFonts w:ascii="Arial" w:eastAsia="Times New Roman" w:hAnsi="Arial" w:cs="Arial"/>
                <w:color w:val="000000"/>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Perda Estimada c/ Crédito de Liquidação Duvidosa</w:t>
            </w:r>
          </w:p>
        </w:tc>
        <w:tc>
          <w:tcPr>
            <w:tcW w:w="579" w:type="pct"/>
            <w:tcBorders>
              <w:top w:val="nil"/>
              <w:left w:val="nil"/>
              <w:bottom w:val="single" w:sz="4" w:space="0" w:color="auto"/>
              <w:right w:val="single" w:sz="4" w:space="0" w:color="auto"/>
            </w:tcBorders>
            <w:shd w:val="clear" w:color="auto" w:fill="auto"/>
            <w:noWrap/>
            <w:vAlign w:val="bottom"/>
            <w:hideMark/>
          </w:tcPr>
          <w:p w14:paraId="549C0503" w14:textId="77777777" w:rsidR="007C6A41" w:rsidRPr="007C6A41" w:rsidRDefault="007C6A41" w:rsidP="007C6A41">
            <w:pPr>
              <w:spacing w:after="0" w:line="240" w:lineRule="auto"/>
              <w:jc w:val="right"/>
              <w:rPr>
                <w:rFonts w:ascii="Arial" w:eastAsia="Times New Roman" w:hAnsi="Arial" w:cs="Arial"/>
                <w:color w:val="000000"/>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899</w:t>
            </w:r>
          </w:p>
        </w:tc>
        <w:tc>
          <w:tcPr>
            <w:tcW w:w="653" w:type="pct"/>
            <w:tcBorders>
              <w:top w:val="nil"/>
              <w:left w:val="nil"/>
              <w:bottom w:val="single" w:sz="4" w:space="0" w:color="auto"/>
              <w:right w:val="single" w:sz="4" w:space="0" w:color="auto"/>
            </w:tcBorders>
            <w:shd w:val="clear" w:color="auto" w:fill="auto"/>
            <w:noWrap/>
            <w:vAlign w:val="bottom"/>
            <w:hideMark/>
          </w:tcPr>
          <w:p w14:paraId="0079395B" w14:textId="77777777" w:rsidR="007C6A41" w:rsidRPr="007C6A41" w:rsidRDefault="007C6A41" w:rsidP="007C6A41">
            <w:pPr>
              <w:spacing w:after="0" w:line="240" w:lineRule="auto"/>
              <w:jc w:val="right"/>
              <w:rPr>
                <w:rFonts w:ascii="Arial" w:eastAsia="Times New Roman" w:hAnsi="Arial" w:cs="Arial"/>
                <w:color w:val="000000"/>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8.448</w:t>
            </w:r>
          </w:p>
        </w:tc>
        <w:tc>
          <w:tcPr>
            <w:tcW w:w="581" w:type="pct"/>
            <w:tcBorders>
              <w:top w:val="nil"/>
              <w:left w:val="nil"/>
              <w:bottom w:val="single" w:sz="4" w:space="0" w:color="auto"/>
              <w:right w:val="single" w:sz="4" w:space="0" w:color="auto"/>
            </w:tcBorders>
            <w:shd w:val="clear" w:color="auto" w:fill="auto"/>
            <w:noWrap/>
            <w:vAlign w:val="bottom"/>
            <w:hideMark/>
          </w:tcPr>
          <w:p w14:paraId="459A15CD" w14:textId="77777777" w:rsidR="007C6A41" w:rsidRPr="007C6A41" w:rsidRDefault="007C6A41" w:rsidP="007C6A41">
            <w:pPr>
              <w:spacing w:after="0" w:line="240" w:lineRule="auto"/>
              <w:jc w:val="right"/>
              <w:rPr>
                <w:rFonts w:ascii="Arial" w:eastAsia="Times New Roman" w:hAnsi="Arial" w:cs="Arial"/>
                <w:color w:val="000000"/>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324</w:t>
            </w:r>
          </w:p>
        </w:tc>
        <w:tc>
          <w:tcPr>
            <w:tcW w:w="649" w:type="pct"/>
            <w:tcBorders>
              <w:top w:val="nil"/>
              <w:left w:val="nil"/>
              <w:bottom w:val="single" w:sz="4" w:space="0" w:color="auto"/>
              <w:right w:val="single" w:sz="4" w:space="0" w:color="auto"/>
            </w:tcBorders>
            <w:shd w:val="clear" w:color="auto" w:fill="auto"/>
            <w:noWrap/>
            <w:vAlign w:val="bottom"/>
            <w:hideMark/>
          </w:tcPr>
          <w:p w14:paraId="434326BA" w14:textId="77777777" w:rsidR="007C6A41" w:rsidRPr="007C6A41" w:rsidRDefault="007C6A41" w:rsidP="007C6A41">
            <w:pPr>
              <w:spacing w:after="0" w:line="240" w:lineRule="auto"/>
              <w:jc w:val="right"/>
              <w:rPr>
                <w:rFonts w:ascii="Arial" w:eastAsia="Times New Roman" w:hAnsi="Arial" w:cs="Arial"/>
                <w:color w:val="000000"/>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3.041</w:t>
            </w:r>
          </w:p>
        </w:tc>
      </w:tr>
      <w:tr w:rsidR="007C6A41" w:rsidRPr="007C6A41" w14:paraId="433107A9" w14:textId="77777777" w:rsidTr="007C6A41">
        <w:trPr>
          <w:trHeight w:val="238"/>
        </w:trPr>
        <w:tc>
          <w:tcPr>
            <w:tcW w:w="2539" w:type="pct"/>
            <w:tcBorders>
              <w:top w:val="nil"/>
              <w:left w:val="single" w:sz="4" w:space="0" w:color="auto"/>
              <w:bottom w:val="single" w:sz="4" w:space="0" w:color="auto"/>
              <w:right w:val="single" w:sz="4" w:space="0" w:color="auto"/>
            </w:tcBorders>
            <w:shd w:val="clear" w:color="auto" w:fill="auto"/>
            <w:vAlign w:val="center"/>
            <w:hideMark/>
          </w:tcPr>
          <w:p w14:paraId="3EAC3545" w14:textId="77777777" w:rsidR="007C6A41" w:rsidRPr="007C6A41" w:rsidRDefault="007C6A41" w:rsidP="007C6A41">
            <w:pPr>
              <w:spacing w:after="0" w:line="240" w:lineRule="auto"/>
              <w:rPr>
                <w:rFonts w:ascii="Arial" w:eastAsia="Times New Roman" w:hAnsi="Arial" w:cs="Arial"/>
                <w:color w:val="000000"/>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Provisão o Programa por Serviços Prestados - PISP</w:t>
            </w:r>
          </w:p>
        </w:tc>
        <w:tc>
          <w:tcPr>
            <w:tcW w:w="579" w:type="pct"/>
            <w:tcBorders>
              <w:top w:val="nil"/>
              <w:left w:val="nil"/>
              <w:bottom w:val="single" w:sz="4" w:space="0" w:color="auto"/>
              <w:right w:val="single" w:sz="4" w:space="0" w:color="auto"/>
            </w:tcBorders>
            <w:shd w:val="clear" w:color="auto" w:fill="auto"/>
            <w:noWrap/>
            <w:vAlign w:val="bottom"/>
            <w:hideMark/>
          </w:tcPr>
          <w:p w14:paraId="6F84635E" w14:textId="77777777" w:rsidR="007C6A41" w:rsidRPr="007C6A41" w:rsidRDefault="007C6A41" w:rsidP="007C6A41">
            <w:pPr>
              <w:spacing w:after="0" w:line="240" w:lineRule="auto"/>
              <w:jc w:val="right"/>
              <w:rPr>
                <w:rFonts w:ascii="Arial" w:eastAsia="Times New Roman" w:hAnsi="Arial" w:cs="Arial"/>
                <w:color w:val="000000"/>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5.919</w:t>
            </w:r>
          </w:p>
        </w:tc>
        <w:tc>
          <w:tcPr>
            <w:tcW w:w="653" w:type="pct"/>
            <w:tcBorders>
              <w:top w:val="nil"/>
              <w:left w:val="nil"/>
              <w:bottom w:val="single" w:sz="4" w:space="0" w:color="auto"/>
              <w:right w:val="single" w:sz="4" w:space="0" w:color="auto"/>
            </w:tcBorders>
            <w:shd w:val="clear" w:color="auto" w:fill="auto"/>
            <w:noWrap/>
            <w:vAlign w:val="bottom"/>
            <w:hideMark/>
          </w:tcPr>
          <w:p w14:paraId="44E5130C" w14:textId="77777777" w:rsidR="007C6A41" w:rsidRPr="007C6A41" w:rsidRDefault="007C6A41" w:rsidP="007C6A41">
            <w:pPr>
              <w:spacing w:after="0" w:line="240" w:lineRule="auto"/>
              <w:jc w:val="right"/>
              <w:rPr>
                <w:rFonts w:ascii="Arial" w:eastAsia="Times New Roman" w:hAnsi="Arial" w:cs="Arial"/>
                <w:color w:val="000000"/>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6.797</w:t>
            </w:r>
          </w:p>
        </w:tc>
        <w:tc>
          <w:tcPr>
            <w:tcW w:w="581" w:type="pct"/>
            <w:tcBorders>
              <w:top w:val="nil"/>
              <w:left w:val="nil"/>
              <w:bottom w:val="single" w:sz="4" w:space="0" w:color="auto"/>
              <w:right w:val="single" w:sz="4" w:space="0" w:color="auto"/>
            </w:tcBorders>
            <w:shd w:val="clear" w:color="auto" w:fill="auto"/>
            <w:noWrap/>
            <w:vAlign w:val="bottom"/>
            <w:hideMark/>
          </w:tcPr>
          <w:p w14:paraId="23187D9E" w14:textId="77777777" w:rsidR="007C6A41" w:rsidRPr="007C6A41" w:rsidRDefault="007C6A41" w:rsidP="007C6A41">
            <w:pPr>
              <w:spacing w:after="0" w:line="240" w:lineRule="auto"/>
              <w:jc w:val="right"/>
              <w:rPr>
                <w:rFonts w:ascii="Arial" w:eastAsia="Times New Roman" w:hAnsi="Arial" w:cs="Arial"/>
                <w:color w:val="000000"/>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2.131</w:t>
            </w:r>
          </w:p>
        </w:tc>
        <w:tc>
          <w:tcPr>
            <w:tcW w:w="649" w:type="pct"/>
            <w:tcBorders>
              <w:top w:val="nil"/>
              <w:left w:val="nil"/>
              <w:bottom w:val="single" w:sz="4" w:space="0" w:color="auto"/>
              <w:right w:val="single" w:sz="4" w:space="0" w:color="auto"/>
            </w:tcBorders>
            <w:shd w:val="clear" w:color="auto" w:fill="auto"/>
            <w:noWrap/>
            <w:vAlign w:val="bottom"/>
            <w:hideMark/>
          </w:tcPr>
          <w:p w14:paraId="7D97CA18" w14:textId="77777777" w:rsidR="007C6A41" w:rsidRPr="007C6A41" w:rsidRDefault="007C6A41" w:rsidP="007C6A41">
            <w:pPr>
              <w:spacing w:after="0" w:line="240" w:lineRule="auto"/>
              <w:jc w:val="right"/>
              <w:rPr>
                <w:rFonts w:ascii="Arial" w:eastAsia="Times New Roman" w:hAnsi="Arial" w:cs="Arial"/>
                <w:color w:val="000000"/>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2.447</w:t>
            </w:r>
          </w:p>
        </w:tc>
      </w:tr>
      <w:tr w:rsidR="007C6A41" w:rsidRPr="007C6A41" w14:paraId="78452674" w14:textId="77777777" w:rsidTr="007C6A41">
        <w:trPr>
          <w:trHeight w:val="238"/>
        </w:trPr>
        <w:tc>
          <w:tcPr>
            <w:tcW w:w="2539" w:type="pct"/>
            <w:tcBorders>
              <w:top w:val="nil"/>
              <w:left w:val="single" w:sz="4" w:space="0" w:color="auto"/>
              <w:bottom w:val="single" w:sz="4" w:space="0" w:color="auto"/>
              <w:right w:val="single" w:sz="4" w:space="0" w:color="auto"/>
            </w:tcBorders>
            <w:shd w:val="clear" w:color="auto" w:fill="auto"/>
            <w:vAlign w:val="center"/>
            <w:hideMark/>
          </w:tcPr>
          <w:p w14:paraId="4AFFAB7F" w14:textId="77777777" w:rsidR="007C6A41" w:rsidRPr="007C6A41" w:rsidRDefault="007C6A41" w:rsidP="007C6A41">
            <w:pPr>
              <w:spacing w:after="0" w:line="240" w:lineRule="auto"/>
              <w:rPr>
                <w:rFonts w:ascii="Arial" w:eastAsia="Times New Roman" w:hAnsi="Arial" w:cs="Arial"/>
                <w:color w:val="000000"/>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Provisões - Custeio</w:t>
            </w:r>
          </w:p>
        </w:tc>
        <w:tc>
          <w:tcPr>
            <w:tcW w:w="579" w:type="pct"/>
            <w:tcBorders>
              <w:top w:val="nil"/>
              <w:left w:val="nil"/>
              <w:bottom w:val="single" w:sz="4" w:space="0" w:color="auto"/>
              <w:right w:val="single" w:sz="4" w:space="0" w:color="auto"/>
            </w:tcBorders>
            <w:shd w:val="clear" w:color="auto" w:fill="auto"/>
            <w:noWrap/>
            <w:vAlign w:val="bottom"/>
            <w:hideMark/>
          </w:tcPr>
          <w:p w14:paraId="4D62FD74" w14:textId="77777777" w:rsidR="007C6A41" w:rsidRPr="007C6A41" w:rsidRDefault="007C6A41" w:rsidP="007C6A41">
            <w:pPr>
              <w:spacing w:after="0" w:line="240" w:lineRule="auto"/>
              <w:jc w:val="right"/>
              <w:rPr>
                <w:rFonts w:ascii="Arial" w:eastAsia="Times New Roman" w:hAnsi="Arial" w:cs="Arial"/>
                <w:color w:val="000000"/>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14.969</w:t>
            </w:r>
          </w:p>
        </w:tc>
        <w:tc>
          <w:tcPr>
            <w:tcW w:w="653" w:type="pct"/>
            <w:tcBorders>
              <w:top w:val="nil"/>
              <w:left w:val="nil"/>
              <w:bottom w:val="single" w:sz="4" w:space="0" w:color="auto"/>
              <w:right w:val="single" w:sz="4" w:space="0" w:color="auto"/>
            </w:tcBorders>
            <w:shd w:val="clear" w:color="auto" w:fill="auto"/>
            <w:noWrap/>
            <w:vAlign w:val="bottom"/>
            <w:hideMark/>
          </w:tcPr>
          <w:p w14:paraId="69A22E91" w14:textId="77777777" w:rsidR="007C6A41" w:rsidRPr="007C6A41" w:rsidRDefault="007C6A41" w:rsidP="007C6A41">
            <w:pPr>
              <w:spacing w:after="0" w:line="240" w:lineRule="auto"/>
              <w:jc w:val="right"/>
              <w:rPr>
                <w:rFonts w:ascii="Arial" w:eastAsia="Times New Roman" w:hAnsi="Arial" w:cs="Arial"/>
                <w:color w:val="000000"/>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12.543</w:t>
            </w:r>
          </w:p>
        </w:tc>
        <w:tc>
          <w:tcPr>
            <w:tcW w:w="581" w:type="pct"/>
            <w:tcBorders>
              <w:top w:val="nil"/>
              <w:left w:val="nil"/>
              <w:bottom w:val="single" w:sz="4" w:space="0" w:color="auto"/>
              <w:right w:val="single" w:sz="4" w:space="0" w:color="auto"/>
            </w:tcBorders>
            <w:shd w:val="clear" w:color="auto" w:fill="auto"/>
            <w:noWrap/>
            <w:vAlign w:val="bottom"/>
            <w:hideMark/>
          </w:tcPr>
          <w:p w14:paraId="0DE1724E" w14:textId="77777777" w:rsidR="007C6A41" w:rsidRPr="007C6A41" w:rsidRDefault="007C6A41" w:rsidP="007C6A41">
            <w:pPr>
              <w:spacing w:after="0" w:line="240" w:lineRule="auto"/>
              <w:jc w:val="right"/>
              <w:rPr>
                <w:rFonts w:ascii="Arial" w:eastAsia="Times New Roman" w:hAnsi="Arial" w:cs="Arial"/>
                <w:color w:val="000000"/>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5.389</w:t>
            </w:r>
          </w:p>
        </w:tc>
        <w:tc>
          <w:tcPr>
            <w:tcW w:w="649" w:type="pct"/>
            <w:tcBorders>
              <w:top w:val="nil"/>
              <w:left w:val="nil"/>
              <w:bottom w:val="single" w:sz="4" w:space="0" w:color="auto"/>
              <w:right w:val="single" w:sz="4" w:space="0" w:color="auto"/>
            </w:tcBorders>
            <w:shd w:val="clear" w:color="auto" w:fill="auto"/>
            <w:noWrap/>
            <w:vAlign w:val="bottom"/>
            <w:hideMark/>
          </w:tcPr>
          <w:p w14:paraId="1CEAD6F5" w14:textId="77777777" w:rsidR="007C6A41" w:rsidRPr="007C6A41" w:rsidRDefault="007C6A41" w:rsidP="007C6A41">
            <w:pPr>
              <w:spacing w:after="0" w:line="240" w:lineRule="auto"/>
              <w:jc w:val="right"/>
              <w:rPr>
                <w:rFonts w:ascii="Arial" w:eastAsia="Times New Roman" w:hAnsi="Arial" w:cs="Arial"/>
                <w:color w:val="000000"/>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4.516</w:t>
            </w:r>
          </w:p>
        </w:tc>
      </w:tr>
      <w:tr w:rsidR="007C6A41" w:rsidRPr="007C6A41" w14:paraId="32D25F54" w14:textId="77777777" w:rsidTr="007C6A41">
        <w:trPr>
          <w:trHeight w:val="238"/>
        </w:trPr>
        <w:tc>
          <w:tcPr>
            <w:tcW w:w="2539" w:type="pct"/>
            <w:tcBorders>
              <w:top w:val="nil"/>
              <w:left w:val="single" w:sz="4" w:space="0" w:color="auto"/>
              <w:bottom w:val="single" w:sz="4" w:space="0" w:color="auto"/>
              <w:right w:val="single" w:sz="4" w:space="0" w:color="auto"/>
            </w:tcBorders>
            <w:shd w:val="clear" w:color="auto" w:fill="auto"/>
            <w:vAlign w:val="center"/>
            <w:hideMark/>
          </w:tcPr>
          <w:p w14:paraId="0FE12BDA" w14:textId="77777777" w:rsidR="007C6A41" w:rsidRPr="007C6A41" w:rsidRDefault="007C6A41" w:rsidP="007C6A41">
            <w:pPr>
              <w:spacing w:after="0" w:line="240" w:lineRule="auto"/>
              <w:rPr>
                <w:rFonts w:ascii="Arial" w:eastAsia="Times New Roman" w:hAnsi="Arial" w:cs="Arial"/>
                <w:color w:val="000000"/>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Prejuízo fiscal/Resultado Ajustado Negativo de CSLL</w:t>
            </w:r>
          </w:p>
        </w:tc>
        <w:tc>
          <w:tcPr>
            <w:tcW w:w="579" w:type="pct"/>
            <w:tcBorders>
              <w:top w:val="nil"/>
              <w:left w:val="nil"/>
              <w:bottom w:val="single" w:sz="4" w:space="0" w:color="auto"/>
              <w:right w:val="single" w:sz="4" w:space="0" w:color="auto"/>
            </w:tcBorders>
            <w:shd w:val="clear" w:color="auto" w:fill="auto"/>
            <w:noWrap/>
            <w:vAlign w:val="bottom"/>
            <w:hideMark/>
          </w:tcPr>
          <w:p w14:paraId="4C5BF97A" w14:textId="77777777" w:rsidR="007C6A41" w:rsidRPr="007C6A41" w:rsidRDefault="007C6A41" w:rsidP="007C6A41">
            <w:pPr>
              <w:spacing w:after="0" w:line="240" w:lineRule="auto"/>
              <w:jc w:val="right"/>
              <w:rPr>
                <w:rFonts w:ascii="Arial" w:eastAsia="Times New Roman" w:hAnsi="Arial" w:cs="Arial"/>
                <w:color w:val="000000"/>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653.165</w:t>
            </w:r>
          </w:p>
        </w:tc>
        <w:tc>
          <w:tcPr>
            <w:tcW w:w="653" w:type="pct"/>
            <w:tcBorders>
              <w:top w:val="nil"/>
              <w:left w:val="nil"/>
              <w:bottom w:val="single" w:sz="4" w:space="0" w:color="auto"/>
              <w:right w:val="single" w:sz="4" w:space="0" w:color="auto"/>
            </w:tcBorders>
            <w:shd w:val="clear" w:color="auto" w:fill="auto"/>
            <w:noWrap/>
            <w:vAlign w:val="bottom"/>
            <w:hideMark/>
          </w:tcPr>
          <w:p w14:paraId="7F7E8865" w14:textId="77777777" w:rsidR="007C6A41" w:rsidRPr="007C6A41" w:rsidRDefault="007C6A41" w:rsidP="007C6A41">
            <w:pPr>
              <w:spacing w:after="0" w:line="240" w:lineRule="auto"/>
              <w:jc w:val="right"/>
              <w:rPr>
                <w:rFonts w:ascii="Arial" w:eastAsia="Times New Roman" w:hAnsi="Arial" w:cs="Arial"/>
                <w:color w:val="000000"/>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622.603</w:t>
            </w:r>
          </w:p>
        </w:tc>
        <w:tc>
          <w:tcPr>
            <w:tcW w:w="581" w:type="pct"/>
            <w:tcBorders>
              <w:top w:val="nil"/>
              <w:left w:val="nil"/>
              <w:bottom w:val="single" w:sz="4" w:space="0" w:color="auto"/>
              <w:right w:val="single" w:sz="4" w:space="0" w:color="auto"/>
            </w:tcBorders>
            <w:shd w:val="clear" w:color="auto" w:fill="auto"/>
            <w:noWrap/>
            <w:vAlign w:val="bottom"/>
            <w:hideMark/>
          </w:tcPr>
          <w:p w14:paraId="34438B0B" w14:textId="77777777" w:rsidR="007C6A41" w:rsidRPr="007C6A41" w:rsidRDefault="007C6A41" w:rsidP="007C6A41">
            <w:pPr>
              <w:spacing w:after="0" w:line="240" w:lineRule="auto"/>
              <w:jc w:val="right"/>
              <w:rPr>
                <w:rFonts w:ascii="Arial" w:eastAsia="Times New Roman" w:hAnsi="Arial" w:cs="Arial"/>
                <w:color w:val="000000"/>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233.117</w:t>
            </w:r>
          </w:p>
        </w:tc>
        <w:tc>
          <w:tcPr>
            <w:tcW w:w="649" w:type="pct"/>
            <w:tcBorders>
              <w:top w:val="nil"/>
              <w:left w:val="nil"/>
              <w:bottom w:val="single" w:sz="4" w:space="0" w:color="auto"/>
              <w:right w:val="single" w:sz="4" w:space="0" w:color="auto"/>
            </w:tcBorders>
            <w:shd w:val="clear" w:color="auto" w:fill="auto"/>
            <w:noWrap/>
            <w:vAlign w:val="bottom"/>
            <w:hideMark/>
          </w:tcPr>
          <w:p w14:paraId="1E3A04AF" w14:textId="77777777" w:rsidR="007C6A41" w:rsidRPr="007C6A41" w:rsidRDefault="007C6A41" w:rsidP="007C6A41">
            <w:pPr>
              <w:spacing w:after="0" w:line="240" w:lineRule="auto"/>
              <w:jc w:val="right"/>
              <w:rPr>
                <w:rFonts w:ascii="Arial" w:eastAsia="Times New Roman" w:hAnsi="Arial" w:cs="Arial"/>
                <w:color w:val="000000"/>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222.115</w:t>
            </w:r>
          </w:p>
        </w:tc>
      </w:tr>
      <w:tr w:rsidR="007C6A41" w:rsidRPr="007C6A41" w14:paraId="4A1CCEF6" w14:textId="77777777" w:rsidTr="007C6A41">
        <w:trPr>
          <w:trHeight w:val="238"/>
        </w:trPr>
        <w:tc>
          <w:tcPr>
            <w:tcW w:w="2539" w:type="pct"/>
            <w:tcBorders>
              <w:top w:val="nil"/>
              <w:left w:val="single" w:sz="4" w:space="0" w:color="auto"/>
              <w:bottom w:val="single" w:sz="4" w:space="0" w:color="auto"/>
              <w:right w:val="single" w:sz="4" w:space="0" w:color="auto"/>
            </w:tcBorders>
            <w:shd w:val="clear" w:color="auto" w:fill="auto"/>
            <w:noWrap/>
            <w:vAlign w:val="bottom"/>
            <w:hideMark/>
          </w:tcPr>
          <w:p w14:paraId="4B9FE45E" w14:textId="77777777" w:rsidR="007C6A41" w:rsidRPr="007C6A41" w:rsidRDefault="007C6A41" w:rsidP="007C6A41">
            <w:pPr>
              <w:spacing w:after="0" w:line="240" w:lineRule="auto"/>
              <w:rPr>
                <w:rFonts w:ascii="Arial" w:eastAsia="Times New Roman" w:hAnsi="Arial" w:cs="Arial"/>
                <w:b/>
                <w:bCs/>
                <w:color w:val="000000"/>
                <w:kern w:val="0"/>
                <w:sz w:val="18"/>
                <w:szCs w:val="18"/>
                <w:lang w:eastAsia="pt-BR"/>
                <w14:ligatures w14:val="none"/>
              </w:rPr>
            </w:pPr>
            <w:r w:rsidRPr="007C6A41">
              <w:rPr>
                <w:rFonts w:ascii="Arial" w:eastAsia="Times New Roman" w:hAnsi="Arial" w:cs="Arial"/>
                <w:b/>
                <w:bCs/>
                <w:color w:val="000000"/>
                <w:kern w:val="0"/>
                <w:sz w:val="18"/>
                <w:szCs w:val="18"/>
                <w:lang w:eastAsia="pt-BR"/>
                <w14:ligatures w14:val="none"/>
              </w:rPr>
              <w:t>Total</w:t>
            </w:r>
          </w:p>
        </w:tc>
        <w:tc>
          <w:tcPr>
            <w:tcW w:w="579" w:type="pct"/>
            <w:tcBorders>
              <w:top w:val="nil"/>
              <w:left w:val="nil"/>
              <w:bottom w:val="single" w:sz="4" w:space="0" w:color="auto"/>
              <w:right w:val="single" w:sz="4" w:space="0" w:color="auto"/>
            </w:tcBorders>
            <w:shd w:val="clear" w:color="auto" w:fill="auto"/>
            <w:noWrap/>
            <w:vAlign w:val="bottom"/>
            <w:hideMark/>
          </w:tcPr>
          <w:p w14:paraId="5008D598" w14:textId="77777777" w:rsidR="007C6A41" w:rsidRPr="007C6A41" w:rsidRDefault="007C6A41" w:rsidP="007C6A41">
            <w:pPr>
              <w:spacing w:after="0" w:line="240" w:lineRule="auto"/>
              <w:jc w:val="right"/>
              <w:rPr>
                <w:rFonts w:ascii="Arial" w:eastAsia="Times New Roman" w:hAnsi="Arial" w:cs="Arial"/>
                <w:b/>
                <w:bCs/>
                <w:color w:val="000000"/>
                <w:kern w:val="0"/>
                <w:sz w:val="18"/>
                <w:szCs w:val="18"/>
                <w:lang w:eastAsia="pt-BR"/>
                <w14:ligatures w14:val="none"/>
              </w:rPr>
            </w:pPr>
            <w:r w:rsidRPr="007C6A41">
              <w:rPr>
                <w:rFonts w:ascii="Arial" w:eastAsia="Times New Roman" w:hAnsi="Arial" w:cs="Arial"/>
                <w:b/>
                <w:bCs/>
                <w:color w:val="000000"/>
                <w:kern w:val="0"/>
                <w:sz w:val="18"/>
                <w:szCs w:val="18"/>
                <w:lang w:eastAsia="pt-BR"/>
                <w14:ligatures w14:val="none"/>
              </w:rPr>
              <w:t>689.673</w:t>
            </w:r>
          </w:p>
        </w:tc>
        <w:tc>
          <w:tcPr>
            <w:tcW w:w="653" w:type="pct"/>
            <w:tcBorders>
              <w:top w:val="nil"/>
              <w:left w:val="nil"/>
              <w:bottom w:val="single" w:sz="4" w:space="0" w:color="auto"/>
              <w:right w:val="single" w:sz="4" w:space="0" w:color="auto"/>
            </w:tcBorders>
            <w:shd w:val="clear" w:color="auto" w:fill="auto"/>
            <w:noWrap/>
            <w:vAlign w:val="bottom"/>
            <w:hideMark/>
          </w:tcPr>
          <w:p w14:paraId="7DF71430" w14:textId="77777777" w:rsidR="007C6A41" w:rsidRPr="007C6A41" w:rsidRDefault="007C6A41" w:rsidP="007C6A41">
            <w:pPr>
              <w:spacing w:after="0" w:line="240" w:lineRule="auto"/>
              <w:jc w:val="right"/>
              <w:rPr>
                <w:rFonts w:ascii="Arial" w:eastAsia="Times New Roman" w:hAnsi="Arial" w:cs="Arial"/>
                <w:b/>
                <w:bCs/>
                <w:color w:val="000000"/>
                <w:kern w:val="0"/>
                <w:sz w:val="18"/>
                <w:szCs w:val="18"/>
                <w:lang w:eastAsia="pt-BR"/>
                <w14:ligatures w14:val="none"/>
              </w:rPr>
            </w:pPr>
            <w:r w:rsidRPr="007C6A41">
              <w:rPr>
                <w:rFonts w:ascii="Arial" w:eastAsia="Times New Roman" w:hAnsi="Arial" w:cs="Arial"/>
                <w:b/>
                <w:bCs/>
                <w:color w:val="000000"/>
                <w:kern w:val="0"/>
                <w:sz w:val="18"/>
                <w:szCs w:val="18"/>
                <w:lang w:eastAsia="pt-BR"/>
                <w14:ligatures w14:val="none"/>
              </w:rPr>
              <w:t>666.354</w:t>
            </w:r>
          </w:p>
        </w:tc>
        <w:tc>
          <w:tcPr>
            <w:tcW w:w="581" w:type="pct"/>
            <w:tcBorders>
              <w:top w:val="nil"/>
              <w:left w:val="nil"/>
              <w:bottom w:val="single" w:sz="4" w:space="0" w:color="auto"/>
              <w:right w:val="single" w:sz="4" w:space="0" w:color="auto"/>
            </w:tcBorders>
            <w:shd w:val="clear" w:color="auto" w:fill="auto"/>
            <w:noWrap/>
            <w:vAlign w:val="bottom"/>
            <w:hideMark/>
          </w:tcPr>
          <w:p w14:paraId="0ACE6BD4" w14:textId="77777777" w:rsidR="007C6A41" w:rsidRPr="007C6A41" w:rsidRDefault="007C6A41" w:rsidP="007C6A41">
            <w:pPr>
              <w:spacing w:after="0" w:line="240" w:lineRule="auto"/>
              <w:jc w:val="right"/>
              <w:rPr>
                <w:rFonts w:ascii="Arial" w:eastAsia="Times New Roman" w:hAnsi="Arial" w:cs="Arial"/>
                <w:b/>
                <w:bCs/>
                <w:color w:val="000000"/>
                <w:kern w:val="0"/>
                <w:sz w:val="18"/>
                <w:szCs w:val="18"/>
                <w:lang w:eastAsia="pt-BR"/>
                <w14:ligatures w14:val="none"/>
              </w:rPr>
            </w:pPr>
            <w:r w:rsidRPr="007C6A41">
              <w:rPr>
                <w:rFonts w:ascii="Arial" w:eastAsia="Times New Roman" w:hAnsi="Arial" w:cs="Arial"/>
                <w:b/>
                <w:bCs/>
                <w:color w:val="000000"/>
                <w:kern w:val="0"/>
                <w:sz w:val="18"/>
                <w:szCs w:val="18"/>
                <w:lang w:eastAsia="pt-BR"/>
                <w14:ligatures w14:val="none"/>
              </w:rPr>
              <w:t>246.261</w:t>
            </w:r>
          </w:p>
        </w:tc>
        <w:tc>
          <w:tcPr>
            <w:tcW w:w="649" w:type="pct"/>
            <w:tcBorders>
              <w:top w:val="nil"/>
              <w:left w:val="nil"/>
              <w:bottom w:val="single" w:sz="4" w:space="0" w:color="auto"/>
              <w:right w:val="single" w:sz="4" w:space="0" w:color="auto"/>
            </w:tcBorders>
            <w:shd w:val="clear" w:color="auto" w:fill="auto"/>
            <w:noWrap/>
            <w:vAlign w:val="bottom"/>
            <w:hideMark/>
          </w:tcPr>
          <w:p w14:paraId="2C0B5731" w14:textId="77777777" w:rsidR="007C6A41" w:rsidRPr="007C6A41" w:rsidRDefault="007C6A41" w:rsidP="007C6A41">
            <w:pPr>
              <w:spacing w:after="0" w:line="240" w:lineRule="auto"/>
              <w:jc w:val="right"/>
              <w:rPr>
                <w:rFonts w:ascii="Arial" w:eastAsia="Times New Roman" w:hAnsi="Arial" w:cs="Arial"/>
                <w:b/>
                <w:bCs/>
                <w:color w:val="000000"/>
                <w:kern w:val="0"/>
                <w:sz w:val="18"/>
                <w:szCs w:val="18"/>
                <w:lang w:eastAsia="pt-BR"/>
                <w14:ligatures w14:val="none"/>
              </w:rPr>
            </w:pPr>
            <w:r w:rsidRPr="007C6A41">
              <w:rPr>
                <w:rFonts w:ascii="Arial" w:eastAsia="Times New Roman" w:hAnsi="Arial" w:cs="Arial"/>
                <w:b/>
                <w:bCs/>
                <w:color w:val="000000"/>
                <w:kern w:val="0"/>
                <w:sz w:val="18"/>
                <w:szCs w:val="18"/>
                <w:lang w:eastAsia="pt-BR"/>
                <w14:ligatures w14:val="none"/>
              </w:rPr>
              <w:t>237.866</w:t>
            </w:r>
          </w:p>
        </w:tc>
      </w:tr>
    </w:tbl>
    <w:p w14:paraId="57C20FCB" w14:textId="77777777" w:rsidR="007C6A41" w:rsidRPr="007C6A41" w:rsidRDefault="007C6A41" w:rsidP="007A23F8">
      <w:pPr>
        <w:autoSpaceDE w:val="0"/>
        <w:autoSpaceDN w:val="0"/>
        <w:adjustRightInd w:val="0"/>
        <w:spacing w:after="0" w:line="240" w:lineRule="auto"/>
        <w:jc w:val="both"/>
        <w:rPr>
          <w:rFonts w:ascii="Calibri" w:eastAsia="Times New Roman" w:hAnsi="Calibri" w:cs="Calibri"/>
          <w:iCs/>
          <w:color w:val="002060"/>
          <w:kern w:val="0"/>
          <w14:ligatures w14:val="none"/>
        </w:rPr>
      </w:pPr>
      <w:r w:rsidRPr="007C6A41">
        <w:rPr>
          <w:rFonts w:ascii="Calibri" w:eastAsia="Times New Roman" w:hAnsi="Calibri" w:cs="Calibri"/>
          <w:iCs/>
          <w:color w:val="002060"/>
          <w:kern w:val="0"/>
          <w14:ligatures w14:val="none"/>
        </w:rPr>
        <w:t xml:space="preserve">De acordo com a legislação vigente, a compensação dos prejuízos fiscais relativos ao Imposto de Renda e o resultado ajustado negativo da Contribuição Social sobre o Lucro Líquido está limitada a 30% (trinta por cento) do lucro tributável. </w:t>
      </w:r>
    </w:p>
    <w:p w14:paraId="47167B4C" w14:textId="5E1E0245" w:rsidR="007C6A41" w:rsidRPr="007C6A41" w:rsidRDefault="007C6A41" w:rsidP="007A23F8">
      <w:pPr>
        <w:autoSpaceDE w:val="0"/>
        <w:autoSpaceDN w:val="0"/>
        <w:adjustRightInd w:val="0"/>
        <w:spacing w:after="0" w:line="240" w:lineRule="auto"/>
        <w:jc w:val="both"/>
        <w:rPr>
          <w:rFonts w:ascii="Calibri" w:eastAsia="Times New Roman" w:hAnsi="Calibri" w:cs="Calibri"/>
          <w:b/>
          <w:bCs/>
          <w:iCs/>
          <w:color w:val="002060"/>
          <w:kern w:val="0"/>
          <w14:ligatures w14:val="none"/>
        </w:rPr>
      </w:pPr>
      <w:bookmarkStart w:id="390" w:name="_Hlk95385511"/>
      <w:r>
        <w:rPr>
          <w:rFonts w:ascii="Calibri" w:eastAsia="Times New Roman" w:hAnsi="Calibri" w:cs="Calibri"/>
          <w:b/>
          <w:bCs/>
          <w:iCs/>
          <w:color w:val="002060"/>
          <w:kern w:val="0"/>
          <w14:ligatures w14:val="none"/>
        </w:rPr>
        <w:t xml:space="preserve">7.4. </w:t>
      </w:r>
      <w:r w:rsidRPr="007C6A41">
        <w:rPr>
          <w:rFonts w:ascii="Calibri" w:eastAsia="Times New Roman" w:hAnsi="Calibri" w:cs="Calibri"/>
          <w:b/>
          <w:bCs/>
          <w:iCs/>
          <w:color w:val="002060"/>
          <w:kern w:val="0"/>
          <w14:ligatures w14:val="none"/>
        </w:rPr>
        <w:t xml:space="preserve">Exclusão do ICMS da base de cálculo do PIS e </w:t>
      </w:r>
      <w:proofErr w:type="spellStart"/>
      <w:r w:rsidRPr="007C6A41">
        <w:rPr>
          <w:rFonts w:ascii="Calibri" w:eastAsia="Times New Roman" w:hAnsi="Calibri" w:cs="Calibri"/>
          <w:b/>
          <w:bCs/>
          <w:iCs/>
          <w:color w:val="002060"/>
          <w:kern w:val="0"/>
          <w14:ligatures w14:val="none"/>
        </w:rPr>
        <w:t>Cofins</w:t>
      </w:r>
      <w:proofErr w:type="spellEnd"/>
    </w:p>
    <w:p w14:paraId="3AAF069B" w14:textId="77777777" w:rsidR="007C6A41" w:rsidRPr="007C6A41" w:rsidRDefault="007C6A41" w:rsidP="007A23F8">
      <w:pPr>
        <w:autoSpaceDE w:val="0"/>
        <w:autoSpaceDN w:val="0"/>
        <w:adjustRightInd w:val="0"/>
        <w:spacing w:after="0" w:line="240" w:lineRule="auto"/>
        <w:jc w:val="both"/>
        <w:rPr>
          <w:rFonts w:ascii="Calibri" w:eastAsia="Times New Roman" w:hAnsi="Calibri" w:cs="Calibri"/>
          <w:iCs/>
          <w:color w:val="002060"/>
          <w:kern w:val="0"/>
          <w14:ligatures w14:val="none"/>
        </w:rPr>
      </w:pPr>
      <w:r w:rsidRPr="007C6A41">
        <w:rPr>
          <w:rFonts w:ascii="Calibri" w:eastAsia="Times New Roman" w:hAnsi="Calibri" w:cs="Calibri"/>
          <w:iCs/>
          <w:color w:val="002060"/>
          <w:kern w:val="0"/>
          <w14:ligatures w14:val="none"/>
        </w:rPr>
        <w:t>A Telebras, acompanhando as discussões em torno da inconstitucionalidade da inclusão do ICMS na base de cálculo de PIS/</w:t>
      </w:r>
      <w:proofErr w:type="spellStart"/>
      <w:r w:rsidRPr="007C6A41">
        <w:rPr>
          <w:rFonts w:ascii="Calibri" w:eastAsia="Times New Roman" w:hAnsi="Calibri" w:cs="Calibri"/>
          <w:iCs/>
          <w:color w:val="002060"/>
          <w:kern w:val="0"/>
          <w14:ligatures w14:val="none"/>
        </w:rPr>
        <w:t>Cofins</w:t>
      </w:r>
      <w:proofErr w:type="spellEnd"/>
      <w:r w:rsidRPr="007C6A41">
        <w:rPr>
          <w:rFonts w:ascii="Calibri" w:eastAsia="Times New Roman" w:hAnsi="Calibri" w:cs="Calibri"/>
          <w:iCs/>
          <w:color w:val="002060"/>
          <w:kern w:val="0"/>
          <w14:ligatures w14:val="none"/>
        </w:rPr>
        <w:t xml:space="preserve">, discutida no Supremo Tribunal Federal em sede de repercussão geral, RE 574.706,  ajuizou ação de rito comum ordinário, em face da Fazenda Nacional, para que fosse declarada a inexistência de relação jurídica obrigacional tributária da Telebras de recolher PIS e </w:t>
      </w:r>
      <w:proofErr w:type="spellStart"/>
      <w:r w:rsidRPr="007C6A41">
        <w:rPr>
          <w:rFonts w:ascii="Calibri" w:eastAsia="Times New Roman" w:hAnsi="Calibri" w:cs="Calibri"/>
          <w:iCs/>
          <w:color w:val="002060"/>
          <w:kern w:val="0"/>
          <w14:ligatures w14:val="none"/>
        </w:rPr>
        <w:t>Cofins</w:t>
      </w:r>
      <w:proofErr w:type="spellEnd"/>
      <w:r w:rsidRPr="007C6A41">
        <w:rPr>
          <w:rFonts w:ascii="Calibri" w:eastAsia="Times New Roman" w:hAnsi="Calibri" w:cs="Calibri"/>
          <w:iCs/>
          <w:color w:val="002060"/>
          <w:kern w:val="0"/>
          <w14:ligatures w14:val="none"/>
        </w:rPr>
        <w:t xml:space="preserve"> sobre os valores de ICMS, desobrigando-se ao recolhimento das referidas contribuições sobre o imposto estadual. Pleiteou, ainda, a restituição e a compensação dos pagamentos efetuados indevidamente nos últimos 05 (cinco) anos, devidamente atualizados/corrigidos pela taxa Selic.</w:t>
      </w:r>
    </w:p>
    <w:p w14:paraId="14D7964F" w14:textId="4049E8F5" w:rsidR="007C6A41" w:rsidRPr="007C6A41" w:rsidRDefault="007C6A41" w:rsidP="007A23F8">
      <w:pPr>
        <w:autoSpaceDE w:val="0"/>
        <w:autoSpaceDN w:val="0"/>
        <w:adjustRightInd w:val="0"/>
        <w:spacing w:after="0" w:line="240" w:lineRule="auto"/>
        <w:jc w:val="both"/>
        <w:rPr>
          <w:rFonts w:ascii="Calibri" w:eastAsia="Times New Roman" w:hAnsi="Calibri" w:cs="Calibri"/>
          <w:iCs/>
          <w:color w:val="002060"/>
          <w:kern w:val="0"/>
          <w14:ligatures w14:val="none"/>
        </w:rPr>
      </w:pPr>
      <w:r w:rsidRPr="007C6A41">
        <w:rPr>
          <w:rFonts w:ascii="Calibri" w:eastAsia="Times New Roman" w:hAnsi="Calibri" w:cs="Calibri"/>
          <w:iCs/>
          <w:color w:val="002060"/>
          <w:kern w:val="0"/>
          <w14:ligatures w14:val="none"/>
        </w:rPr>
        <w:t> O processo foi distribuído para a 3ª Vara Federal Cível da Seção Judiciária do Distrito Federal, sob nº </w:t>
      </w:r>
      <w:hyperlink r:id="rId57" w:history="1">
        <w:r w:rsidRPr="007C6A41">
          <w:rPr>
            <w:rStyle w:val="Hyperlink"/>
            <w:rFonts w:ascii="Calibri" w:eastAsia="Times New Roman" w:hAnsi="Calibri" w:cs="Calibri"/>
            <w:iCs/>
            <w:kern w:val="0"/>
            <w14:ligatures w14:val="none"/>
          </w:rPr>
          <w:t>1010276-63.2018.4.01</w:t>
        </w:r>
      </w:hyperlink>
      <w:r w:rsidRPr="007C6A41">
        <w:rPr>
          <w:rFonts w:ascii="Calibri" w:eastAsia="Times New Roman" w:hAnsi="Calibri" w:cs="Calibri"/>
          <w:iCs/>
          <w:color w:val="002060"/>
          <w:kern w:val="0"/>
          <w14:ligatures w14:val="none"/>
        </w:rPr>
        <w:t>.3400.</w:t>
      </w:r>
    </w:p>
    <w:p w14:paraId="0C030F6A" w14:textId="77777777" w:rsidR="007C6A41" w:rsidRPr="007C6A41" w:rsidRDefault="007C6A41" w:rsidP="007A23F8">
      <w:pPr>
        <w:autoSpaceDE w:val="0"/>
        <w:autoSpaceDN w:val="0"/>
        <w:adjustRightInd w:val="0"/>
        <w:spacing w:after="0" w:line="240" w:lineRule="auto"/>
        <w:jc w:val="both"/>
        <w:rPr>
          <w:rFonts w:ascii="Calibri" w:eastAsia="Times New Roman" w:hAnsi="Calibri" w:cs="Calibri"/>
          <w:iCs/>
          <w:color w:val="002060"/>
          <w:kern w:val="0"/>
          <w14:ligatures w14:val="none"/>
        </w:rPr>
      </w:pPr>
      <w:r w:rsidRPr="007C6A41">
        <w:rPr>
          <w:rFonts w:ascii="Calibri" w:eastAsia="Times New Roman" w:hAnsi="Calibri" w:cs="Calibri"/>
          <w:iCs/>
          <w:color w:val="002060"/>
          <w:kern w:val="0"/>
          <w14:ligatures w14:val="none"/>
        </w:rPr>
        <w:t xml:space="preserve">Foi proferida sentença favorável à Telebras, na qual foram julgados procedentes os pedidos para declarar a inexistência de relação jurídico-tributária que autorize a incidência do ICMS na base de cálculo do PIS e da </w:t>
      </w:r>
      <w:proofErr w:type="spellStart"/>
      <w:r w:rsidRPr="007C6A41">
        <w:rPr>
          <w:rFonts w:ascii="Calibri" w:eastAsia="Times New Roman" w:hAnsi="Calibri" w:cs="Calibri"/>
          <w:iCs/>
          <w:color w:val="002060"/>
          <w:kern w:val="0"/>
          <w14:ligatures w14:val="none"/>
        </w:rPr>
        <w:t>Cofins</w:t>
      </w:r>
      <w:proofErr w:type="spellEnd"/>
      <w:r w:rsidRPr="007C6A41">
        <w:rPr>
          <w:rFonts w:ascii="Calibri" w:eastAsia="Times New Roman" w:hAnsi="Calibri" w:cs="Calibri"/>
          <w:iCs/>
          <w:color w:val="002060"/>
          <w:kern w:val="0"/>
          <w14:ligatures w14:val="none"/>
        </w:rPr>
        <w:t>, assim como para condenar a Fazenda Nacional a restituir, via compensação ou repetição, os valores indevidamente recolhidos a esse título nos 05 (cinco) anos que antecedem o ajuizamento da ação. Salienta-se que os juros de mora e a correção monetária tomarão como índice exclusivo a taxa Selic, que deve incidir a partir da data de cada pagamento indevido.</w:t>
      </w:r>
    </w:p>
    <w:p w14:paraId="15A7EC27" w14:textId="4FE34C0E" w:rsidR="007C6A41" w:rsidRPr="007C6A41" w:rsidRDefault="007C6A41" w:rsidP="007A23F8">
      <w:pPr>
        <w:autoSpaceDE w:val="0"/>
        <w:autoSpaceDN w:val="0"/>
        <w:adjustRightInd w:val="0"/>
        <w:spacing w:after="0" w:line="240" w:lineRule="auto"/>
        <w:jc w:val="both"/>
        <w:rPr>
          <w:rFonts w:ascii="Calibri" w:eastAsia="Times New Roman" w:hAnsi="Calibri" w:cs="Calibri"/>
          <w:iCs/>
          <w:color w:val="002060"/>
          <w:kern w:val="0"/>
          <w14:ligatures w14:val="none"/>
        </w:rPr>
      </w:pPr>
      <w:r w:rsidRPr="007C6A41">
        <w:rPr>
          <w:rFonts w:ascii="Calibri" w:eastAsia="Times New Roman" w:hAnsi="Calibri" w:cs="Calibri"/>
          <w:iCs/>
          <w:color w:val="002060"/>
          <w:kern w:val="0"/>
          <w14:ligatures w14:val="none"/>
        </w:rPr>
        <w:t xml:space="preserve"> A Fazenda Nacional apelou e o processo foi remetido para o TRF da 1ª Região, no qual foi distribuído para a 8ª Turma, Relator Desembargador Federal </w:t>
      </w:r>
      <w:proofErr w:type="spellStart"/>
      <w:r w:rsidRPr="007C6A41">
        <w:rPr>
          <w:rFonts w:ascii="Calibri" w:eastAsia="Times New Roman" w:hAnsi="Calibri" w:cs="Calibri"/>
          <w:iCs/>
          <w:color w:val="002060"/>
          <w:kern w:val="0"/>
          <w14:ligatures w14:val="none"/>
        </w:rPr>
        <w:t>Novély</w:t>
      </w:r>
      <w:proofErr w:type="spellEnd"/>
      <w:r w:rsidRPr="007C6A41">
        <w:rPr>
          <w:rFonts w:ascii="Calibri" w:eastAsia="Times New Roman" w:hAnsi="Calibri" w:cs="Calibri"/>
          <w:iCs/>
          <w:color w:val="002060"/>
          <w:kern w:val="0"/>
          <w14:ligatures w14:val="none"/>
        </w:rPr>
        <w:t xml:space="preserve"> Vilanova.</w:t>
      </w:r>
    </w:p>
    <w:p w14:paraId="3E846307" w14:textId="5DE98ED9" w:rsidR="007C6A41" w:rsidRPr="007C6A41" w:rsidRDefault="007C6A41" w:rsidP="007A23F8">
      <w:pPr>
        <w:autoSpaceDE w:val="0"/>
        <w:autoSpaceDN w:val="0"/>
        <w:adjustRightInd w:val="0"/>
        <w:spacing w:after="0" w:line="240" w:lineRule="auto"/>
        <w:jc w:val="both"/>
        <w:rPr>
          <w:rFonts w:ascii="Calibri" w:eastAsia="Times New Roman" w:hAnsi="Calibri" w:cs="Calibri"/>
          <w:iCs/>
          <w:color w:val="002060"/>
          <w:kern w:val="0"/>
          <w14:ligatures w14:val="none"/>
        </w:rPr>
      </w:pPr>
      <w:r w:rsidRPr="007C6A41">
        <w:rPr>
          <w:rFonts w:ascii="Calibri" w:eastAsia="Times New Roman" w:hAnsi="Calibri" w:cs="Calibri"/>
          <w:iCs/>
          <w:color w:val="002060"/>
          <w:kern w:val="0"/>
          <w14:ligatures w14:val="none"/>
        </w:rPr>
        <w:lastRenderedPageBreak/>
        <w:t> O processo teve decisão monocrática, no qual o Relator deu provimento parcial à apelação da Fazenda Nacional para que: (i) a repetição/compensação do indébito (ICMS destacado na nota fiscal) se proceda a partir de 15 de março de 2017; e (</w:t>
      </w:r>
      <w:proofErr w:type="spellStart"/>
      <w:r w:rsidRPr="007C6A41">
        <w:rPr>
          <w:rFonts w:ascii="Calibri" w:eastAsia="Times New Roman" w:hAnsi="Calibri" w:cs="Calibri"/>
          <w:iCs/>
          <w:color w:val="002060"/>
          <w:kern w:val="0"/>
          <w14:ligatures w14:val="none"/>
        </w:rPr>
        <w:t>ii</w:t>
      </w:r>
      <w:proofErr w:type="spellEnd"/>
      <w:r w:rsidRPr="007C6A41">
        <w:rPr>
          <w:rFonts w:ascii="Calibri" w:eastAsia="Times New Roman" w:hAnsi="Calibri" w:cs="Calibri"/>
          <w:iCs/>
          <w:color w:val="002060"/>
          <w:kern w:val="0"/>
          <w14:ligatures w14:val="none"/>
        </w:rPr>
        <w:t>) a compensação do indébito observe a lei vigente na data em que for efetivada, após o trânsito em julgado. A decisão do Relator seguiu a modulação dos efeitos do julgado definido pelo Supremo Tribunal Federal no julgamento dos Embargos de Declaração do RE nº 574.706-PR. A decisão do TRF1ª Região transitou em julgado. O processo retornou à 3ª Vara Federal de Brasília – Seção Judiciária do Distrito Federal.</w:t>
      </w:r>
    </w:p>
    <w:p w14:paraId="310F765C" w14:textId="641A0BE6" w:rsidR="007C6A41" w:rsidRPr="007C6A41" w:rsidRDefault="007C6A41" w:rsidP="007A23F8">
      <w:pPr>
        <w:autoSpaceDE w:val="0"/>
        <w:autoSpaceDN w:val="0"/>
        <w:adjustRightInd w:val="0"/>
        <w:spacing w:after="0" w:line="240" w:lineRule="auto"/>
        <w:jc w:val="both"/>
        <w:rPr>
          <w:rFonts w:ascii="Calibri" w:eastAsia="Times New Roman" w:hAnsi="Calibri" w:cs="Calibri"/>
          <w:iCs/>
          <w:color w:val="002060"/>
          <w:kern w:val="0"/>
          <w14:ligatures w14:val="none"/>
        </w:rPr>
      </w:pPr>
      <w:r w:rsidRPr="007C6A41">
        <w:rPr>
          <w:rFonts w:ascii="Calibri" w:eastAsia="Times New Roman" w:hAnsi="Calibri" w:cs="Calibri"/>
          <w:iCs/>
          <w:color w:val="002060"/>
          <w:kern w:val="0"/>
          <w14:ligatures w14:val="none"/>
        </w:rPr>
        <w:t xml:space="preserve"> A Telebras realizou o levantamento dos valores a que tem direito de se creditar e fez o reconhecimento contábil desse crédito. O montante atualizado monetariamente até 31 de dezembro de 2023 é de R$ 13.193, sendo R$ 2.350 para o PIS e R$ 10.843 para a </w:t>
      </w:r>
      <w:proofErr w:type="spellStart"/>
      <w:r w:rsidRPr="007C6A41">
        <w:rPr>
          <w:rFonts w:ascii="Calibri" w:eastAsia="Times New Roman" w:hAnsi="Calibri" w:cs="Calibri"/>
          <w:iCs/>
          <w:color w:val="002060"/>
          <w:kern w:val="0"/>
          <w14:ligatures w14:val="none"/>
        </w:rPr>
        <w:t>Cofins</w:t>
      </w:r>
      <w:proofErr w:type="spellEnd"/>
      <w:r w:rsidRPr="007C6A41">
        <w:rPr>
          <w:rFonts w:ascii="Calibri" w:eastAsia="Times New Roman" w:hAnsi="Calibri" w:cs="Calibri"/>
          <w:iCs/>
          <w:color w:val="002060"/>
          <w:kern w:val="0"/>
          <w14:ligatures w14:val="none"/>
        </w:rPr>
        <w:t>.</w:t>
      </w:r>
    </w:p>
    <w:p w14:paraId="5E075DBD" w14:textId="77777777" w:rsidR="007C6A41" w:rsidRPr="007C6A41" w:rsidRDefault="007C6A41" w:rsidP="007A23F8">
      <w:pPr>
        <w:autoSpaceDE w:val="0"/>
        <w:autoSpaceDN w:val="0"/>
        <w:adjustRightInd w:val="0"/>
        <w:spacing w:after="0" w:line="240" w:lineRule="auto"/>
        <w:jc w:val="both"/>
        <w:rPr>
          <w:rFonts w:ascii="Calibri" w:eastAsia="Times New Roman" w:hAnsi="Calibri" w:cs="Calibri"/>
          <w:iCs/>
          <w:color w:val="002060"/>
          <w:kern w:val="0"/>
          <w14:ligatures w14:val="none"/>
        </w:rPr>
      </w:pPr>
      <w:r w:rsidRPr="007C6A41">
        <w:rPr>
          <w:rFonts w:ascii="Calibri" w:eastAsia="Times New Roman" w:hAnsi="Calibri" w:cs="Calibri"/>
          <w:iCs/>
          <w:color w:val="002060"/>
          <w:kern w:val="0"/>
          <w14:ligatures w14:val="none"/>
        </w:rPr>
        <w:t xml:space="preserve">Com a devolução do processo à Primeira Instância, a Telebras propôs o cumprimento de sentença, nos termos dos artigos 534 e seguintes do Código de Processo Civil, baseado nos valores levantados.  </w:t>
      </w:r>
    </w:p>
    <w:p w14:paraId="5BA40888" w14:textId="77777777" w:rsidR="007C6A41" w:rsidRPr="007C6A41" w:rsidRDefault="007C6A41" w:rsidP="007A23F8">
      <w:pPr>
        <w:autoSpaceDE w:val="0"/>
        <w:autoSpaceDN w:val="0"/>
        <w:adjustRightInd w:val="0"/>
        <w:spacing w:after="0" w:line="240" w:lineRule="auto"/>
        <w:jc w:val="both"/>
        <w:rPr>
          <w:rFonts w:ascii="Calibri" w:eastAsia="Times New Roman" w:hAnsi="Calibri" w:cs="Calibri"/>
          <w:iCs/>
          <w:color w:val="002060"/>
          <w:kern w:val="0"/>
          <w14:ligatures w14:val="none"/>
        </w:rPr>
      </w:pPr>
      <w:r w:rsidRPr="007C6A41">
        <w:rPr>
          <w:rFonts w:ascii="Calibri" w:eastAsia="Times New Roman" w:hAnsi="Calibri" w:cs="Calibri"/>
          <w:iCs/>
          <w:color w:val="002060"/>
          <w:kern w:val="0"/>
          <w14:ligatures w14:val="none"/>
        </w:rPr>
        <w:t xml:space="preserve">A União (Fazenda Nacional) apresentou impugnação ao cumprimento de sentença. </w:t>
      </w:r>
      <w:bookmarkEnd w:id="390"/>
      <w:r w:rsidRPr="007C6A41">
        <w:rPr>
          <w:rFonts w:ascii="Calibri" w:eastAsia="Times New Roman" w:hAnsi="Calibri" w:cs="Calibri"/>
          <w:iCs/>
          <w:color w:val="002060"/>
          <w:kern w:val="0"/>
          <w14:ligatures w14:val="none"/>
        </w:rPr>
        <w:t>A Telebras manifestou-se quanto à impugnação apresentada e está aguardando a decisão judicial. </w:t>
      </w:r>
    </w:p>
    <w:p w14:paraId="49A7399D" w14:textId="77777777" w:rsidR="007C6A41" w:rsidRDefault="007C6A41" w:rsidP="007A23F8">
      <w:pPr>
        <w:autoSpaceDE w:val="0"/>
        <w:autoSpaceDN w:val="0"/>
        <w:adjustRightInd w:val="0"/>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8. </w:t>
      </w:r>
      <w:r w:rsidRPr="007C6A41">
        <w:rPr>
          <w:rFonts w:ascii="Calibri" w:eastAsia="Times New Roman" w:hAnsi="Calibri" w:cs="Calibri"/>
          <w:b/>
          <w:bCs/>
          <w:iCs/>
          <w:color w:val="002060"/>
          <w:kern w:val="0"/>
          <w14:ligatures w14:val="none"/>
        </w:rPr>
        <w:t>DEPÓSITOS JUDICIAIS</w:t>
      </w:r>
    </w:p>
    <w:p w14:paraId="3F2C7E4A" w14:textId="6A1884B0" w:rsidR="007C6A41" w:rsidRPr="007C6A41" w:rsidRDefault="007C6A41" w:rsidP="007A23F8">
      <w:pPr>
        <w:autoSpaceDE w:val="0"/>
        <w:autoSpaceDN w:val="0"/>
        <w:adjustRightInd w:val="0"/>
        <w:spacing w:after="0" w:line="240" w:lineRule="auto"/>
        <w:jc w:val="both"/>
        <w:rPr>
          <w:rFonts w:ascii="Calibri" w:eastAsia="Times New Roman" w:hAnsi="Calibri" w:cs="Calibri"/>
          <w:b/>
          <w:bCs/>
          <w:iCs/>
          <w:color w:val="002060"/>
          <w:kern w:val="0"/>
          <w14:ligatures w14:val="none"/>
        </w:rPr>
      </w:pPr>
      <w:r w:rsidRPr="007C6A41">
        <w:rPr>
          <w:rFonts w:ascii="Calibri" w:eastAsia="Times New Roman" w:hAnsi="Calibri" w:cs="Calibri"/>
          <w:iCs/>
          <w:color w:val="002060"/>
          <w:kern w:val="0"/>
          <w14:ligatures w14:val="none"/>
        </w:rPr>
        <w:t>A Companhia possui depósitos judiciais vinculados a processos cíveis, trabalhistas, tributários e societários. A composição dos depósitos judiciais vinculados e não vinculados às provisões para riscos prováveis está assim distribuída:</w:t>
      </w:r>
    </w:p>
    <w:tbl>
      <w:tblPr>
        <w:tblW w:w="5007" w:type="pct"/>
        <w:tblCellMar>
          <w:left w:w="70" w:type="dxa"/>
          <w:right w:w="70" w:type="dxa"/>
        </w:tblCellMar>
        <w:tblLook w:val="04A0" w:firstRow="1" w:lastRow="0" w:firstColumn="1" w:lastColumn="0" w:noHBand="0" w:noVBand="1"/>
      </w:tblPr>
      <w:tblGrid>
        <w:gridCol w:w="2930"/>
        <w:gridCol w:w="1168"/>
        <w:gridCol w:w="1170"/>
        <w:gridCol w:w="1176"/>
        <w:gridCol w:w="1157"/>
        <w:gridCol w:w="1115"/>
        <w:gridCol w:w="1069"/>
      </w:tblGrid>
      <w:tr w:rsidR="007C6A41" w:rsidRPr="007C6A41" w14:paraId="61CDE742" w14:textId="77777777" w:rsidTr="00446A14">
        <w:trPr>
          <w:trHeight w:val="240"/>
          <w:tblHeader/>
        </w:trPr>
        <w:tc>
          <w:tcPr>
            <w:tcW w:w="1497"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33F7B80" w14:textId="77777777" w:rsidR="007C6A41" w:rsidRPr="007C6A41" w:rsidRDefault="007C6A41" w:rsidP="007C6A41">
            <w:pPr>
              <w:spacing w:after="0" w:line="240" w:lineRule="auto"/>
              <w:rPr>
                <w:rFonts w:ascii="Arial" w:eastAsia="Times New Roman" w:hAnsi="Arial" w:cs="Arial"/>
                <w:kern w:val="0"/>
                <w:sz w:val="18"/>
                <w:szCs w:val="18"/>
                <w:lang w:eastAsia="pt-BR"/>
                <w14:ligatures w14:val="none"/>
              </w:rPr>
            </w:pPr>
            <w:r w:rsidRPr="007C6A41">
              <w:rPr>
                <w:rFonts w:ascii="Arial" w:eastAsia="Times New Roman" w:hAnsi="Arial" w:cs="Arial"/>
                <w:kern w:val="0"/>
                <w:sz w:val="18"/>
                <w:szCs w:val="18"/>
                <w:lang w:eastAsia="pt-BR"/>
                <w14:ligatures w14:val="none"/>
              </w:rPr>
              <w:t>Natureza:</w:t>
            </w:r>
          </w:p>
        </w:tc>
        <w:tc>
          <w:tcPr>
            <w:tcW w:w="1796" w:type="pct"/>
            <w:gridSpan w:val="3"/>
            <w:tcBorders>
              <w:top w:val="single" w:sz="4" w:space="0" w:color="auto"/>
              <w:left w:val="nil"/>
              <w:bottom w:val="single" w:sz="4" w:space="0" w:color="auto"/>
              <w:right w:val="single" w:sz="4" w:space="0" w:color="auto"/>
            </w:tcBorders>
            <w:shd w:val="clear" w:color="auto" w:fill="auto"/>
            <w:noWrap/>
            <w:vAlign w:val="center"/>
            <w:hideMark/>
          </w:tcPr>
          <w:p w14:paraId="3571903A" w14:textId="77777777" w:rsidR="007C6A41" w:rsidRPr="007C6A41" w:rsidRDefault="007C6A41" w:rsidP="007C6A41">
            <w:pPr>
              <w:spacing w:after="0" w:line="240" w:lineRule="auto"/>
              <w:jc w:val="center"/>
              <w:rPr>
                <w:rFonts w:ascii="Arial" w:eastAsia="Times New Roman" w:hAnsi="Arial" w:cs="Arial"/>
                <w:b/>
                <w:bCs/>
                <w:kern w:val="0"/>
                <w:sz w:val="18"/>
                <w:szCs w:val="18"/>
                <w:lang w:eastAsia="pt-BR"/>
                <w14:ligatures w14:val="none"/>
              </w:rPr>
            </w:pPr>
            <w:r w:rsidRPr="007C6A41">
              <w:rPr>
                <w:rFonts w:ascii="Arial" w:eastAsia="Times New Roman" w:hAnsi="Arial" w:cs="Arial"/>
                <w:b/>
                <w:bCs/>
                <w:kern w:val="0"/>
                <w:sz w:val="18"/>
                <w:szCs w:val="18"/>
                <w:lang w:eastAsia="pt-BR"/>
                <w14:ligatures w14:val="none"/>
              </w:rPr>
              <w:t>31/12/2023</w:t>
            </w:r>
          </w:p>
        </w:tc>
        <w:tc>
          <w:tcPr>
            <w:tcW w:w="1707" w:type="pct"/>
            <w:gridSpan w:val="3"/>
            <w:tcBorders>
              <w:top w:val="single" w:sz="4" w:space="0" w:color="auto"/>
              <w:left w:val="nil"/>
              <w:bottom w:val="single" w:sz="4" w:space="0" w:color="auto"/>
              <w:right w:val="single" w:sz="4" w:space="0" w:color="auto"/>
            </w:tcBorders>
            <w:shd w:val="clear" w:color="auto" w:fill="auto"/>
            <w:noWrap/>
            <w:vAlign w:val="center"/>
            <w:hideMark/>
          </w:tcPr>
          <w:p w14:paraId="60B6D9C9" w14:textId="77777777" w:rsidR="007C6A41" w:rsidRPr="007C6A41" w:rsidRDefault="007C6A41" w:rsidP="007C6A41">
            <w:pPr>
              <w:spacing w:after="0" w:line="240" w:lineRule="auto"/>
              <w:jc w:val="center"/>
              <w:rPr>
                <w:rFonts w:ascii="Arial" w:eastAsia="Times New Roman" w:hAnsi="Arial" w:cs="Arial"/>
                <w:b/>
                <w:bCs/>
                <w:kern w:val="0"/>
                <w:sz w:val="18"/>
                <w:szCs w:val="18"/>
                <w:lang w:eastAsia="pt-BR"/>
                <w14:ligatures w14:val="none"/>
              </w:rPr>
            </w:pPr>
            <w:r w:rsidRPr="007C6A41">
              <w:rPr>
                <w:rFonts w:ascii="Arial" w:eastAsia="Times New Roman" w:hAnsi="Arial" w:cs="Arial"/>
                <w:b/>
                <w:bCs/>
                <w:kern w:val="0"/>
                <w:sz w:val="18"/>
                <w:szCs w:val="18"/>
                <w:lang w:eastAsia="pt-BR"/>
                <w14:ligatures w14:val="none"/>
              </w:rPr>
              <w:t>31/12/2022</w:t>
            </w:r>
          </w:p>
        </w:tc>
      </w:tr>
      <w:tr w:rsidR="007C6A41" w:rsidRPr="007C6A41" w14:paraId="154C009F" w14:textId="77777777" w:rsidTr="00446A14">
        <w:trPr>
          <w:trHeight w:val="240"/>
          <w:tblHeader/>
        </w:trPr>
        <w:tc>
          <w:tcPr>
            <w:tcW w:w="1497" w:type="pct"/>
            <w:vMerge/>
            <w:tcBorders>
              <w:top w:val="single" w:sz="4" w:space="0" w:color="auto"/>
              <w:left w:val="single" w:sz="4" w:space="0" w:color="auto"/>
              <w:bottom w:val="single" w:sz="4" w:space="0" w:color="auto"/>
              <w:right w:val="single" w:sz="4" w:space="0" w:color="auto"/>
            </w:tcBorders>
            <w:vAlign w:val="center"/>
            <w:hideMark/>
          </w:tcPr>
          <w:p w14:paraId="332DB6C1" w14:textId="77777777" w:rsidR="007C6A41" w:rsidRPr="007C6A41" w:rsidRDefault="007C6A41" w:rsidP="007C6A41">
            <w:pPr>
              <w:spacing w:after="0" w:line="240" w:lineRule="auto"/>
              <w:rPr>
                <w:rFonts w:ascii="Arial" w:eastAsia="Times New Roman" w:hAnsi="Arial" w:cs="Arial"/>
                <w:kern w:val="0"/>
                <w:sz w:val="18"/>
                <w:szCs w:val="18"/>
                <w:lang w:eastAsia="pt-BR"/>
                <w14:ligatures w14:val="none"/>
              </w:rPr>
            </w:pPr>
          </w:p>
        </w:tc>
        <w:tc>
          <w:tcPr>
            <w:tcW w:w="597" w:type="pct"/>
            <w:tcBorders>
              <w:top w:val="nil"/>
              <w:left w:val="nil"/>
              <w:bottom w:val="single" w:sz="4" w:space="0" w:color="auto"/>
              <w:right w:val="single" w:sz="4" w:space="0" w:color="auto"/>
            </w:tcBorders>
            <w:shd w:val="clear" w:color="auto" w:fill="auto"/>
            <w:vAlign w:val="center"/>
            <w:hideMark/>
          </w:tcPr>
          <w:p w14:paraId="7BC8D38A" w14:textId="77777777" w:rsidR="007C6A41" w:rsidRPr="007C6A41" w:rsidRDefault="007C6A41" w:rsidP="007C6A41">
            <w:pPr>
              <w:spacing w:after="0" w:line="240" w:lineRule="auto"/>
              <w:jc w:val="center"/>
              <w:rPr>
                <w:rFonts w:ascii="Arial" w:eastAsia="Times New Roman" w:hAnsi="Arial" w:cs="Arial"/>
                <w:b/>
                <w:bCs/>
                <w:kern w:val="0"/>
                <w:sz w:val="18"/>
                <w:szCs w:val="18"/>
                <w:lang w:eastAsia="pt-BR"/>
                <w14:ligatures w14:val="none"/>
              </w:rPr>
            </w:pPr>
            <w:r w:rsidRPr="007C6A41">
              <w:rPr>
                <w:rFonts w:ascii="Arial" w:eastAsia="Times New Roman" w:hAnsi="Arial" w:cs="Arial"/>
                <w:b/>
                <w:bCs/>
                <w:kern w:val="0"/>
                <w:sz w:val="18"/>
                <w:szCs w:val="18"/>
                <w:lang w:eastAsia="pt-BR"/>
                <w14:ligatures w14:val="none"/>
              </w:rPr>
              <w:t>Vinculados</w:t>
            </w:r>
          </w:p>
        </w:tc>
        <w:tc>
          <w:tcPr>
            <w:tcW w:w="598" w:type="pct"/>
            <w:tcBorders>
              <w:top w:val="nil"/>
              <w:left w:val="nil"/>
              <w:bottom w:val="single" w:sz="4" w:space="0" w:color="auto"/>
              <w:right w:val="single" w:sz="4" w:space="0" w:color="auto"/>
            </w:tcBorders>
            <w:shd w:val="clear" w:color="auto" w:fill="auto"/>
            <w:vAlign w:val="center"/>
            <w:hideMark/>
          </w:tcPr>
          <w:p w14:paraId="626855A2" w14:textId="77777777" w:rsidR="007C6A41" w:rsidRPr="007C6A41" w:rsidRDefault="007C6A41" w:rsidP="007C6A41">
            <w:pPr>
              <w:spacing w:after="0" w:line="240" w:lineRule="auto"/>
              <w:jc w:val="center"/>
              <w:rPr>
                <w:rFonts w:ascii="Arial" w:eastAsia="Times New Roman" w:hAnsi="Arial" w:cs="Arial"/>
                <w:b/>
                <w:bCs/>
                <w:kern w:val="0"/>
                <w:sz w:val="18"/>
                <w:szCs w:val="18"/>
                <w:lang w:eastAsia="pt-BR"/>
                <w14:ligatures w14:val="none"/>
              </w:rPr>
            </w:pPr>
            <w:r w:rsidRPr="007C6A41">
              <w:rPr>
                <w:rFonts w:ascii="Arial" w:eastAsia="Times New Roman" w:hAnsi="Arial" w:cs="Arial"/>
                <w:b/>
                <w:bCs/>
                <w:kern w:val="0"/>
                <w:sz w:val="18"/>
                <w:szCs w:val="18"/>
                <w:lang w:eastAsia="pt-BR"/>
                <w14:ligatures w14:val="none"/>
              </w:rPr>
              <w:t>Não Vinculados</w:t>
            </w:r>
          </w:p>
        </w:tc>
        <w:tc>
          <w:tcPr>
            <w:tcW w:w="601" w:type="pct"/>
            <w:tcBorders>
              <w:top w:val="nil"/>
              <w:left w:val="nil"/>
              <w:bottom w:val="single" w:sz="4" w:space="0" w:color="auto"/>
              <w:right w:val="single" w:sz="4" w:space="0" w:color="auto"/>
            </w:tcBorders>
            <w:shd w:val="clear" w:color="auto" w:fill="auto"/>
            <w:vAlign w:val="center"/>
            <w:hideMark/>
          </w:tcPr>
          <w:p w14:paraId="57AA1578" w14:textId="77777777" w:rsidR="007C6A41" w:rsidRPr="007C6A41" w:rsidRDefault="007C6A41" w:rsidP="007C6A41">
            <w:pPr>
              <w:spacing w:after="0" w:line="240" w:lineRule="auto"/>
              <w:jc w:val="center"/>
              <w:rPr>
                <w:rFonts w:ascii="Arial" w:eastAsia="Times New Roman" w:hAnsi="Arial" w:cs="Arial"/>
                <w:b/>
                <w:bCs/>
                <w:kern w:val="0"/>
                <w:sz w:val="18"/>
                <w:szCs w:val="18"/>
                <w:lang w:eastAsia="pt-BR"/>
                <w14:ligatures w14:val="none"/>
              </w:rPr>
            </w:pPr>
            <w:r w:rsidRPr="007C6A41">
              <w:rPr>
                <w:rFonts w:ascii="Arial" w:eastAsia="Times New Roman" w:hAnsi="Arial" w:cs="Arial"/>
                <w:b/>
                <w:bCs/>
                <w:kern w:val="0"/>
                <w:sz w:val="18"/>
                <w:szCs w:val="18"/>
                <w:lang w:eastAsia="pt-BR"/>
                <w14:ligatures w14:val="none"/>
              </w:rPr>
              <w:t>Vinculados</w:t>
            </w:r>
          </w:p>
        </w:tc>
        <w:tc>
          <w:tcPr>
            <w:tcW w:w="591" w:type="pct"/>
            <w:tcBorders>
              <w:top w:val="nil"/>
              <w:left w:val="nil"/>
              <w:bottom w:val="single" w:sz="4" w:space="0" w:color="auto"/>
              <w:right w:val="single" w:sz="4" w:space="0" w:color="auto"/>
            </w:tcBorders>
            <w:shd w:val="clear" w:color="auto" w:fill="auto"/>
            <w:vAlign w:val="center"/>
            <w:hideMark/>
          </w:tcPr>
          <w:p w14:paraId="330692D5" w14:textId="77777777" w:rsidR="007C6A41" w:rsidRPr="007C6A41" w:rsidRDefault="007C6A41" w:rsidP="007C6A41">
            <w:pPr>
              <w:spacing w:after="0" w:line="240" w:lineRule="auto"/>
              <w:jc w:val="center"/>
              <w:rPr>
                <w:rFonts w:ascii="Arial" w:eastAsia="Times New Roman" w:hAnsi="Arial" w:cs="Arial"/>
                <w:b/>
                <w:bCs/>
                <w:kern w:val="0"/>
                <w:sz w:val="18"/>
                <w:szCs w:val="18"/>
                <w:lang w:eastAsia="pt-BR"/>
                <w14:ligatures w14:val="none"/>
              </w:rPr>
            </w:pPr>
            <w:r w:rsidRPr="007C6A41">
              <w:rPr>
                <w:rFonts w:ascii="Arial" w:eastAsia="Times New Roman" w:hAnsi="Arial" w:cs="Arial"/>
                <w:b/>
                <w:bCs/>
                <w:kern w:val="0"/>
                <w:sz w:val="18"/>
                <w:szCs w:val="18"/>
                <w:lang w:eastAsia="pt-BR"/>
                <w14:ligatures w14:val="none"/>
              </w:rPr>
              <w:t>Vinculados</w:t>
            </w:r>
          </w:p>
        </w:tc>
        <w:tc>
          <w:tcPr>
            <w:tcW w:w="570" w:type="pct"/>
            <w:tcBorders>
              <w:top w:val="nil"/>
              <w:left w:val="nil"/>
              <w:bottom w:val="single" w:sz="4" w:space="0" w:color="auto"/>
              <w:right w:val="single" w:sz="4" w:space="0" w:color="auto"/>
            </w:tcBorders>
            <w:shd w:val="clear" w:color="auto" w:fill="auto"/>
            <w:vAlign w:val="center"/>
            <w:hideMark/>
          </w:tcPr>
          <w:p w14:paraId="1E3BC0FC" w14:textId="77777777" w:rsidR="007C6A41" w:rsidRPr="007C6A41" w:rsidRDefault="007C6A41" w:rsidP="007C6A41">
            <w:pPr>
              <w:spacing w:after="0" w:line="240" w:lineRule="auto"/>
              <w:jc w:val="center"/>
              <w:rPr>
                <w:rFonts w:ascii="Arial" w:eastAsia="Times New Roman" w:hAnsi="Arial" w:cs="Arial"/>
                <w:b/>
                <w:bCs/>
                <w:kern w:val="0"/>
                <w:sz w:val="18"/>
                <w:szCs w:val="18"/>
                <w:lang w:eastAsia="pt-BR"/>
                <w14:ligatures w14:val="none"/>
              </w:rPr>
            </w:pPr>
            <w:r w:rsidRPr="007C6A41">
              <w:rPr>
                <w:rFonts w:ascii="Arial" w:eastAsia="Times New Roman" w:hAnsi="Arial" w:cs="Arial"/>
                <w:b/>
                <w:bCs/>
                <w:kern w:val="0"/>
                <w:sz w:val="18"/>
                <w:szCs w:val="18"/>
                <w:lang w:eastAsia="pt-BR"/>
                <w14:ligatures w14:val="none"/>
              </w:rPr>
              <w:t>Não vinculados</w:t>
            </w:r>
          </w:p>
        </w:tc>
        <w:tc>
          <w:tcPr>
            <w:tcW w:w="546" w:type="pct"/>
            <w:tcBorders>
              <w:top w:val="nil"/>
              <w:left w:val="nil"/>
              <w:bottom w:val="single" w:sz="4" w:space="0" w:color="auto"/>
              <w:right w:val="single" w:sz="4" w:space="0" w:color="auto"/>
            </w:tcBorders>
            <w:shd w:val="clear" w:color="auto" w:fill="auto"/>
            <w:vAlign w:val="center"/>
            <w:hideMark/>
          </w:tcPr>
          <w:p w14:paraId="75674196" w14:textId="77777777" w:rsidR="007C6A41" w:rsidRPr="007C6A41" w:rsidRDefault="007C6A41" w:rsidP="007C6A41">
            <w:pPr>
              <w:spacing w:after="0" w:line="240" w:lineRule="auto"/>
              <w:jc w:val="center"/>
              <w:rPr>
                <w:rFonts w:ascii="Arial" w:eastAsia="Times New Roman" w:hAnsi="Arial" w:cs="Arial"/>
                <w:b/>
                <w:bCs/>
                <w:kern w:val="0"/>
                <w:sz w:val="18"/>
                <w:szCs w:val="18"/>
                <w:lang w:eastAsia="pt-BR"/>
                <w14:ligatures w14:val="none"/>
              </w:rPr>
            </w:pPr>
            <w:r w:rsidRPr="007C6A41">
              <w:rPr>
                <w:rFonts w:ascii="Arial" w:eastAsia="Times New Roman" w:hAnsi="Arial" w:cs="Arial"/>
                <w:b/>
                <w:bCs/>
                <w:kern w:val="0"/>
                <w:sz w:val="18"/>
                <w:szCs w:val="18"/>
                <w:lang w:eastAsia="pt-BR"/>
                <w14:ligatures w14:val="none"/>
              </w:rPr>
              <w:t>Total</w:t>
            </w:r>
          </w:p>
        </w:tc>
      </w:tr>
      <w:tr w:rsidR="007C6A41" w:rsidRPr="007C6A41" w14:paraId="4D110EA3" w14:textId="77777777" w:rsidTr="00446A14">
        <w:trPr>
          <w:trHeight w:val="240"/>
        </w:trPr>
        <w:tc>
          <w:tcPr>
            <w:tcW w:w="1497" w:type="pct"/>
            <w:tcBorders>
              <w:top w:val="nil"/>
              <w:left w:val="single" w:sz="4" w:space="0" w:color="auto"/>
              <w:bottom w:val="single" w:sz="4" w:space="0" w:color="auto"/>
              <w:right w:val="single" w:sz="4" w:space="0" w:color="auto"/>
            </w:tcBorders>
            <w:shd w:val="clear" w:color="auto" w:fill="auto"/>
            <w:noWrap/>
            <w:vAlign w:val="center"/>
            <w:hideMark/>
          </w:tcPr>
          <w:p w14:paraId="1FC0813F" w14:textId="77777777" w:rsidR="007C6A41" w:rsidRPr="007C6A41" w:rsidRDefault="007C6A41" w:rsidP="007C6A41">
            <w:pPr>
              <w:spacing w:after="0" w:line="240" w:lineRule="auto"/>
              <w:rPr>
                <w:rFonts w:ascii="Arial" w:eastAsia="Times New Roman" w:hAnsi="Arial" w:cs="Arial"/>
                <w:kern w:val="0"/>
                <w:sz w:val="18"/>
                <w:szCs w:val="18"/>
                <w:lang w:eastAsia="pt-BR"/>
                <w14:ligatures w14:val="none"/>
              </w:rPr>
            </w:pPr>
            <w:r w:rsidRPr="007C6A41">
              <w:rPr>
                <w:rFonts w:ascii="Arial" w:eastAsia="Times New Roman" w:hAnsi="Arial" w:cs="Arial"/>
                <w:kern w:val="0"/>
                <w:sz w:val="18"/>
                <w:szCs w:val="18"/>
                <w:lang w:eastAsia="pt-BR"/>
                <w14:ligatures w14:val="none"/>
              </w:rPr>
              <w:t> </w:t>
            </w:r>
          </w:p>
        </w:tc>
        <w:tc>
          <w:tcPr>
            <w:tcW w:w="597" w:type="pct"/>
            <w:tcBorders>
              <w:top w:val="nil"/>
              <w:left w:val="nil"/>
              <w:bottom w:val="single" w:sz="4" w:space="0" w:color="auto"/>
              <w:right w:val="single" w:sz="4" w:space="0" w:color="auto"/>
            </w:tcBorders>
            <w:shd w:val="clear" w:color="auto" w:fill="auto"/>
            <w:noWrap/>
            <w:vAlign w:val="center"/>
            <w:hideMark/>
          </w:tcPr>
          <w:p w14:paraId="372B0B2E" w14:textId="77777777" w:rsidR="007C6A41" w:rsidRPr="007C6A41" w:rsidRDefault="007C6A41" w:rsidP="007C6A41">
            <w:pPr>
              <w:spacing w:after="0" w:line="240" w:lineRule="auto"/>
              <w:jc w:val="center"/>
              <w:rPr>
                <w:rFonts w:ascii="Arial" w:eastAsia="Times New Roman" w:hAnsi="Arial" w:cs="Arial"/>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(A)</w:t>
            </w:r>
          </w:p>
        </w:tc>
        <w:tc>
          <w:tcPr>
            <w:tcW w:w="598" w:type="pct"/>
            <w:tcBorders>
              <w:top w:val="nil"/>
              <w:left w:val="nil"/>
              <w:bottom w:val="single" w:sz="4" w:space="0" w:color="auto"/>
              <w:right w:val="single" w:sz="4" w:space="0" w:color="auto"/>
            </w:tcBorders>
            <w:shd w:val="clear" w:color="auto" w:fill="auto"/>
            <w:noWrap/>
            <w:vAlign w:val="center"/>
            <w:hideMark/>
          </w:tcPr>
          <w:p w14:paraId="0958AD85" w14:textId="77777777" w:rsidR="007C6A41" w:rsidRPr="007C6A41" w:rsidRDefault="007C6A41" w:rsidP="007C6A41">
            <w:pPr>
              <w:spacing w:after="0" w:line="240" w:lineRule="auto"/>
              <w:jc w:val="center"/>
              <w:rPr>
                <w:rFonts w:ascii="Arial" w:eastAsia="Times New Roman" w:hAnsi="Arial" w:cs="Arial"/>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(B)</w:t>
            </w:r>
          </w:p>
        </w:tc>
        <w:tc>
          <w:tcPr>
            <w:tcW w:w="601" w:type="pct"/>
            <w:tcBorders>
              <w:top w:val="nil"/>
              <w:left w:val="nil"/>
              <w:bottom w:val="single" w:sz="4" w:space="0" w:color="auto"/>
              <w:right w:val="single" w:sz="4" w:space="0" w:color="auto"/>
            </w:tcBorders>
            <w:shd w:val="clear" w:color="auto" w:fill="auto"/>
            <w:noWrap/>
            <w:vAlign w:val="center"/>
            <w:hideMark/>
          </w:tcPr>
          <w:p w14:paraId="2A057792" w14:textId="77777777" w:rsidR="007C6A41" w:rsidRPr="007C6A41" w:rsidRDefault="007C6A41" w:rsidP="007C6A41">
            <w:pPr>
              <w:spacing w:after="0" w:line="240" w:lineRule="auto"/>
              <w:jc w:val="center"/>
              <w:rPr>
                <w:rFonts w:ascii="Arial" w:eastAsia="Times New Roman" w:hAnsi="Arial" w:cs="Arial"/>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(A+B)</w:t>
            </w:r>
          </w:p>
        </w:tc>
        <w:tc>
          <w:tcPr>
            <w:tcW w:w="591" w:type="pct"/>
            <w:tcBorders>
              <w:top w:val="nil"/>
              <w:left w:val="nil"/>
              <w:bottom w:val="single" w:sz="4" w:space="0" w:color="auto"/>
              <w:right w:val="single" w:sz="4" w:space="0" w:color="auto"/>
            </w:tcBorders>
            <w:shd w:val="clear" w:color="auto" w:fill="auto"/>
            <w:noWrap/>
            <w:vAlign w:val="center"/>
            <w:hideMark/>
          </w:tcPr>
          <w:p w14:paraId="2EC8F4FB" w14:textId="77777777" w:rsidR="007C6A41" w:rsidRPr="007C6A41" w:rsidRDefault="007C6A41" w:rsidP="007C6A41">
            <w:pPr>
              <w:spacing w:after="0" w:line="240" w:lineRule="auto"/>
              <w:jc w:val="center"/>
              <w:rPr>
                <w:rFonts w:ascii="Arial" w:eastAsia="Times New Roman" w:hAnsi="Arial" w:cs="Arial"/>
                <w:kern w:val="0"/>
                <w:sz w:val="18"/>
                <w:szCs w:val="18"/>
                <w:lang w:eastAsia="pt-BR"/>
                <w14:ligatures w14:val="none"/>
              </w:rPr>
            </w:pPr>
            <w:r w:rsidRPr="007C6A41">
              <w:rPr>
                <w:rFonts w:ascii="Arial" w:eastAsia="Times New Roman" w:hAnsi="Arial" w:cs="Arial"/>
                <w:kern w:val="0"/>
                <w:sz w:val="18"/>
                <w:szCs w:val="18"/>
                <w:lang w:eastAsia="pt-BR"/>
                <w14:ligatures w14:val="none"/>
              </w:rPr>
              <w:t>(A)</w:t>
            </w:r>
          </w:p>
        </w:tc>
        <w:tc>
          <w:tcPr>
            <w:tcW w:w="570" w:type="pct"/>
            <w:tcBorders>
              <w:top w:val="nil"/>
              <w:left w:val="nil"/>
              <w:bottom w:val="single" w:sz="4" w:space="0" w:color="auto"/>
              <w:right w:val="single" w:sz="4" w:space="0" w:color="auto"/>
            </w:tcBorders>
            <w:shd w:val="clear" w:color="auto" w:fill="auto"/>
            <w:noWrap/>
            <w:vAlign w:val="center"/>
            <w:hideMark/>
          </w:tcPr>
          <w:p w14:paraId="6E6B0BF6" w14:textId="77777777" w:rsidR="007C6A41" w:rsidRPr="007C6A41" w:rsidRDefault="007C6A41" w:rsidP="007C6A41">
            <w:pPr>
              <w:spacing w:after="0" w:line="240" w:lineRule="auto"/>
              <w:jc w:val="center"/>
              <w:rPr>
                <w:rFonts w:ascii="Arial" w:eastAsia="Times New Roman" w:hAnsi="Arial" w:cs="Arial"/>
                <w:kern w:val="0"/>
                <w:sz w:val="18"/>
                <w:szCs w:val="18"/>
                <w:lang w:eastAsia="pt-BR"/>
                <w14:ligatures w14:val="none"/>
              </w:rPr>
            </w:pPr>
            <w:r w:rsidRPr="007C6A41">
              <w:rPr>
                <w:rFonts w:ascii="Arial" w:eastAsia="Times New Roman" w:hAnsi="Arial" w:cs="Arial"/>
                <w:kern w:val="0"/>
                <w:sz w:val="18"/>
                <w:szCs w:val="18"/>
                <w:lang w:eastAsia="pt-BR"/>
                <w14:ligatures w14:val="none"/>
              </w:rPr>
              <w:t>(B)</w:t>
            </w:r>
          </w:p>
        </w:tc>
        <w:tc>
          <w:tcPr>
            <w:tcW w:w="546" w:type="pct"/>
            <w:tcBorders>
              <w:top w:val="nil"/>
              <w:left w:val="nil"/>
              <w:bottom w:val="single" w:sz="4" w:space="0" w:color="auto"/>
              <w:right w:val="single" w:sz="4" w:space="0" w:color="auto"/>
            </w:tcBorders>
            <w:shd w:val="clear" w:color="auto" w:fill="auto"/>
            <w:noWrap/>
            <w:vAlign w:val="center"/>
            <w:hideMark/>
          </w:tcPr>
          <w:p w14:paraId="1BB6C0D9" w14:textId="77777777" w:rsidR="007C6A41" w:rsidRPr="007C6A41" w:rsidRDefault="007C6A41" w:rsidP="007C6A41">
            <w:pPr>
              <w:spacing w:after="0" w:line="240" w:lineRule="auto"/>
              <w:jc w:val="center"/>
              <w:rPr>
                <w:rFonts w:ascii="Arial" w:eastAsia="Times New Roman" w:hAnsi="Arial" w:cs="Arial"/>
                <w:kern w:val="0"/>
                <w:sz w:val="18"/>
                <w:szCs w:val="18"/>
                <w:lang w:eastAsia="pt-BR"/>
                <w14:ligatures w14:val="none"/>
              </w:rPr>
            </w:pPr>
            <w:r w:rsidRPr="007C6A41">
              <w:rPr>
                <w:rFonts w:ascii="Arial" w:eastAsia="Times New Roman" w:hAnsi="Arial" w:cs="Arial"/>
                <w:kern w:val="0"/>
                <w:sz w:val="18"/>
                <w:szCs w:val="18"/>
                <w:lang w:eastAsia="pt-BR"/>
                <w14:ligatures w14:val="none"/>
              </w:rPr>
              <w:t>(A+B)</w:t>
            </w:r>
          </w:p>
        </w:tc>
      </w:tr>
      <w:tr w:rsidR="007C6A41" w:rsidRPr="007C6A41" w14:paraId="77D415DC" w14:textId="77777777" w:rsidTr="00446A14">
        <w:trPr>
          <w:trHeight w:val="240"/>
        </w:trPr>
        <w:tc>
          <w:tcPr>
            <w:tcW w:w="1497" w:type="pct"/>
            <w:tcBorders>
              <w:top w:val="nil"/>
              <w:left w:val="single" w:sz="4" w:space="0" w:color="auto"/>
              <w:bottom w:val="single" w:sz="4" w:space="0" w:color="auto"/>
              <w:right w:val="single" w:sz="4" w:space="0" w:color="auto"/>
            </w:tcBorders>
            <w:shd w:val="clear" w:color="auto" w:fill="auto"/>
            <w:noWrap/>
            <w:vAlign w:val="center"/>
            <w:hideMark/>
          </w:tcPr>
          <w:p w14:paraId="226B59D6" w14:textId="77777777" w:rsidR="007C6A41" w:rsidRPr="007C6A41" w:rsidRDefault="007C6A41" w:rsidP="007C6A41">
            <w:pPr>
              <w:spacing w:after="0" w:line="240" w:lineRule="auto"/>
              <w:rPr>
                <w:rFonts w:ascii="Arial" w:eastAsia="Times New Roman" w:hAnsi="Arial" w:cs="Arial"/>
                <w:kern w:val="0"/>
                <w:sz w:val="18"/>
                <w:szCs w:val="18"/>
                <w:lang w:eastAsia="pt-BR"/>
                <w14:ligatures w14:val="none"/>
              </w:rPr>
            </w:pPr>
            <w:r w:rsidRPr="007C6A41">
              <w:rPr>
                <w:rFonts w:ascii="Arial" w:eastAsia="Times New Roman" w:hAnsi="Arial" w:cs="Arial"/>
                <w:kern w:val="0"/>
                <w:sz w:val="18"/>
                <w:szCs w:val="18"/>
                <w:lang w:eastAsia="pt-BR"/>
                <w14:ligatures w14:val="none"/>
              </w:rPr>
              <w:t>Cível/Societário</w:t>
            </w:r>
          </w:p>
        </w:tc>
        <w:tc>
          <w:tcPr>
            <w:tcW w:w="597" w:type="pct"/>
            <w:tcBorders>
              <w:top w:val="nil"/>
              <w:left w:val="nil"/>
              <w:bottom w:val="single" w:sz="4" w:space="0" w:color="auto"/>
              <w:right w:val="single" w:sz="4" w:space="0" w:color="auto"/>
            </w:tcBorders>
            <w:shd w:val="clear" w:color="auto" w:fill="auto"/>
            <w:noWrap/>
            <w:vAlign w:val="center"/>
          </w:tcPr>
          <w:p w14:paraId="0B621953" w14:textId="77777777" w:rsidR="007C6A41" w:rsidRPr="007C6A41" w:rsidRDefault="007C6A41" w:rsidP="007C6A41">
            <w:pPr>
              <w:spacing w:after="0" w:line="240" w:lineRule="auto"/>
              <w:jc w:val="right"/>
              <w:rPr>
                <w:rFonts w:ascii="Arial" w:eastAsia="Times New Roman" w:hAnsi="Arial" w:cs="Arial"/>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2.041</w:t>
            </w:r>
          </w:p>
        </w:tc>
        <w:tc>
          <w:tcPr>
            <w:tcW w:w="598" w:type="pct"/>
            <w:tcBorders>
              <w:top w:val="nil"/>
              <w:left w:val="nil"/>
              <w:bottom w:val="single" w:sz="4" w:space="0" w:color="auto"/>
              <w:right w:val="single" w:sz="4" w:space="0" w:color="auto"/>
            </w:tcBorders>
            <w:shd w:val="clear" w:color="auto" w:fill="auto"/>
            <w:noWrap/>
            <w:vAlign w:val="center"/>
          </w:tcPr>
          <w:p w14:paraId="4D722991" w14:textId="77777777" w:rsidR="007C6A41" w:rsidRPr="007C6A41" w:rsidRDefault="007C6A41" w:rsidP="007C6A41">
            <w:pPr>
              <w:spacing w:after="0" w:line="240" w:lineRule="auto"/>
              <w:jc w:val="right"/>
              <w:rPr>
                <w:rFonts w:ascii="Arial" w:eastAsia="Times New Roman" w:hAnsi="Arial" w:cs="Arial"/>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47.122</w:t>
            </w:r>
          </w:p>
        </w:tc>
        <w:tc>
          <w:tcPr>
            <w:tcW w:w="601" w:type="pct"/>
            <w:tcBorders>
              <w:top w:val="nil"/>
              <w:left w:val="nil"/>
              <w:bottom w:val="single" w:sz="4" w:space="0" w:color="auto"/>
              <w:right w:val="single" w:sz="4" w:space="0" w:color="auto"/>
            </w:tcBorders>
            <w:shd w:val="clear" w:color="auto" w:fill="auto"/>
            <w:noWrap/>
            <w:vAlign w:val="center"/>
          </w:tcPr>
          <w:p w14:paraId="2FB18428" w14:textId="77777777" w:rsidR="007C6A41" w:rsidRPr="007C6A41" w:rsidRDefault="007C6A41" w:rsidP="007C6A41">
            <w:pPr>
              <w:spacing w:after="0" w:line="240" w:lineRule="auto"/>
              <w:jc w:val="right"/>
              <w:rPr>
                <w:rFonts w:ascii="Arial" w:eastAsia="Times New Roman" w:hAnsi="Arial" w:cs="Arial"/>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49.163</w:t>
            </w:r>
          </w:p>
        </w:tc>
        <w:tc>
          <w:tcPr>
            <w:tcW w:w="591" w:type="pct"/>
            <w:tcBorders>
              <w:top w:val="nil"/>
              <w:left w:val="nil"/>
              <w:bottom w:val="single" w:sz="4" w:space="0" w:color="auto"/>
              <w:right w:val="single" w:sz="4" w:space="0" w:color="auto"/>
            </w:tcBorders>
            <w:shd w:val="clear" w:color="auto" w:fill="auto"/>
            <w:noWrap/>
            <w:vAlign w:val="center"/>
            <w:hideMark/>
          </w:tcPr>
          <w:p w14:paraId="4827BC43" w14:textId="77777777" w:rsidR="007C6A41" w:rsidRPr="007C6A41" w:rsidRDefault="007C6A41" w:rsidP="007C6A41">
            <w:pPr>
              <w:spacing w:after="0" w:line="240" w:lineRule="auto"/>
              <w:jc w:val="right"/>
              <w:rPr>
                <w:rFonts w:ascii="Arial" w:eastAsia="Times New Roman" w:hAnsi="Arial" w:cs="Arial"/>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1.726</w:t>
            </w:r>
          </w:p>
        </w:tc>
        <w:tc>
          <w:tcPr>
            <w:tcW w:w="570" w:type="pct"/>
            <w:tcBorders>
              <w:top w:val="nil"/>
              <w:left w:val="nil"/>
              <w:bottom w:val="single" w:sz="4" w:space="0" w:color="auto"/>
              <w:right w:val="single" w:sz="4" w:space="0" w:color="auto"/>
            </w:tcBorders>
            <w:shd w:val="clear" w:color="auto" w:fill="auto"/>
            <w:noWrap/>
            <w:vAlign w:val="center"/>
            <w:hideMark/>
          </w:tcPr>
          <w:p w14:paraId="376E25FD" w14:textId="77777777" w:rsidR="007C6A41" w:rsidRPr="007C6A41" w:rsidRDefault="007C6A41" w:rsidP="007C6A41">
            <w:pPr>
              <w:spacing w:after="0" w:line="240" w:lineRule="auto"/>
              <w:jc w:val="right"/>
              <w:rPr>
                <w:rFonts w:ascii="Arial" w:eastAsia="Times New Roman" w:hAnsi="Arial" w:cs="Arial"/>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44.078</w:t>
            </w:r>
          </w:p>
        </w:tc>
        <w:tc>
          <w:tcPr>
            <w:tcW w:w="546" w:type="pct"/>
            <w:tcBorders>
              <w:top w:val="nil"/>
              <w:left w:val="nil"/>
              <w:bottom w:val="single" w:sz="4" w:space="0" w:color="auto"/>
              <w:right w:val="single" w:sz="4" w:space="0" w:color="auto"/>
            </w:tcBorders>
            <w:shd w:val="clear" w:color="auto" w:fill="auto"/>
            <w:noWrap/>
            <w:vAlign w:val="center"/>
            <w:hideMark/>
          </w:tcPr>
          <w:p w14:paraId="17B437F9" w14:textId="77777777" w:rsidR="007C6A41" w:rsidRPr="007C6A41" w:rsidRDefault="007C6A41" w:rsidP="007C6A41">
            <w:pPr>
              <w:spacing w:after="0" w:line="240" w:lineRule="auto"/>
              <w:jc w:val="right"/>
              <w:rPr>
                <w:rFonts w:ascii="Arial" w:eastAsia="Times New Roman" w:hAnsi="Arial" w:cs="Arial"/>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45.804</w:t>
            </w:r>
          </w:p>
        </w:tc>
      </w:tr>
      <w:tr w:rsidR="007C6A41" w:rsidRPr="007C6A41" w14:paraId="5A9C4EBD" w14:textId="77777777" w:rsidTr="00446A14">
        <w:trPr>
          <w:trHeight w:val="240"/>
        </w:trPr>
        <w:tc>
          <w:tcPr>
            <w:tcW w:w="1497" w:type="pct"/>
            <w:tcBorders>
              <w:top w:val="nil"/>
              <w:left w:val="single" w:sz="4" w:space="0" w:color="auto"/>
              <w:bottom w:val="single" w:sz="4" w:space="0" w:color="auto"/>
              <w:right w:val="single" w:sz="4" w:space="0" w:color="auto"/>
            </w:tcBorders>
            <w:shd w:val="clear" w:color="auto" w:fill="auto"/>
            <w:noWrap/>
            <w:vAlign w:val="center"/>
            <w:hideMark/>
          </w:tcPr>
          <w:p w14:paraId="1E5780ED" w14:textId="77777777" w:rsidR="007C6A41" w:rsidRPr="007C6A41" w:rsidRDefault="007C6A41" w:rsidP="007C6A41">
            <w:pPr>
              <w:spacing w:after="0" w:line="240" w:lineRule="auto"/>
              <w:rPr>
                <w:rFonts w:ascii="Arial" w:eastAsia="Times New Roman" w:hAnsi="Arial" w:cs="Arial"/>
                <w:kern w:val="0"/>
                <w:sz w:val="18"/>
                <w:szCs w:val="18"/>
                <w:lang w:eastAsia="pt-BR"/>
                <w14:ligatures w14:val="none"/>
              </w:rPr>
            </w:pPr>
            <w:r w:rsidRPr="007C6A41">
              <w:rPr>
                <w:rFonts w:ascii="Arial" w:eastAsia="Times New Roman" w:hAnsi="Arial" w:cs="Arial"/>
                <w:kern w:val="0"/>
                <w:sz w:val="18"/>
                <w:szCs w:val="18"/>
                <w:lang w:eastAsia="pt-BR"/>
                <w14:ligatures w14:val="none"/>
              </w:rPr>
              <w:t>Trabalhista</w:t>
            </w:r>
          </w:p>
        </w:tc>
        <w:tc>
          <w:tcPr>
            <w:tcW w:w="597" w:type="pct"/>
            <w:tcBorders>
              <w:top w:val="nil"/>
              <w:left w:val="nil"/>
              <w:bottom w:val="single" w:sz="4" w:space="0" w:color="auto"/>
              <w:right w:val="single" w:sz="4" w:space="0" w:color="auto"/>
            </w:tcBorders>
            <w:shd w:val="clear" w:color="auto" w:fill="auto"/>
            <w:noWrap/>
            <w:vAlign w:val="center"/>
          </w:tcPr>
          <w:p w14:paraId="1DF9BC12" w14:textId="77777777" w:rsidR="007C6A41" w:rsidRPr="007C6A41" w:rsidRDefault="007C6A41" w:rsidP="007C6A41">
            <w:pPr>
              <w:spacing w:after="0" w:line="240" w:lineRule="auto"/>
              <w:jc w:val="right"/>
              <w:rPr>
                <w:rFonts w:ascii="Arial" w:eastAsia="Times New Roman" w:hAnsi="Arial" w:cs="Arial"/>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919</w:t>
            </w:r>
          </w:p>
        </w:tc>
        <w:tc>
          <w:tcPr>
            <w:tcW w:w="598" w:type="pct"/>
            <w:tcBorders>
              <w:top w:val="nil"/>
              <w:left w:val="nil"/>
              <w:bottom w:val="single" w:sz="4" w:space="0" w:color="auto"/>
              <w:right w:val="single" w:sz="4" w:space="0" w:color="auto"/>
            </w:tcBorders>
            <w:shd w:val="clear" w:color="auto" w:fill="auto"/>
            <w:noWrap/>
            <w:vAlign w:val="center"/>
          </w:tcPr>
          <w:p w14:paraId="10B0CC51" w14:textId="77777777" w:rsidR="007C6A41" w:rsidRPr="007C6A41" w:rsidRDefault="007C6A41" w:rsidP="007C6A41">
            <w:pPr>
              <w:spacing w:after="0" w:line="240" w:lineRule="auto"/>
              <w:jc w:val="right"/>
              <w:rPr>
                <w:rFonts w:ascii="Arial" w:eastAsia="Times New Roman" w:hAnsi="Arial" w:cs="Arial"/>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173</w:t>
            </w:r>
          </w:p>
        </w:tc>
        <w:tc>
          <w:tcPr>
            <w:tcW w:w="601" w:type="pct"/>
            <w:tcBorders>
              <w:top w:val="nil"/>
              <w:left w:val="nil"/>
              <w:bottom w:val="single" w:sz="4" w:space="0" w:color="auto"/>
              <w:right w:val="single" w:sz="4" w:space="0" w:color="auto"/>
            </w:tcBorders>
            <w:shd w:val="clear" w:color="auto" w:fill="auto"/>
            <w:noWrap/>
            <w:vAlign w:val="center"/>
          </w:tcPr>
          <w:p w14:paraId="699B07BB" w14:textId="77777777" w:rsidR="007C6A41" w:rsidRPr="007C6A41" w:rsidRDefault="007C6A41" w:rsidP="007C6A41">
            <w:pPr>
              <w:spacing w:after="0" w:line="240" w:lineRule="auto"/>
              <w:jc w:val="right"/>
              <w:rPr>
                <w:rFonts w:ascii="Arial" w:eastAsia="Times New Roman" w:hAnsi="Arial" w:cs="Arial"/>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1.092</w:t>
            </w:r>
          </w:p>
        </w:tc>
        <w:tc>
          <w:tcPr>
            <w:tcW w:w="591" w:type="pct"/>
            <w:tcBorders>
              <w:top w:val="nil"/>
              <w:left w:val="nil"/>
              <w:bottom w:val="single" w:sz="4" w:space="0" w:color="auto"/>
              <w:right w:val="single" w:sz="4" w:space="0" w:color="auto"/>
            </w:tcBorders>
            <w:shd w:val="clear" w:color="auto" w:fill="auto"/>
            <w:noWrap/>
            <w:vAlign w:val="center"/>
            <w:hideMark/>
          </w:tcPr>
          <w:p w14:paraId="7B8475A2" w14:textId="77777777" w:rsidR="007C6A41" w:rsidRPr="007C6A41" w:rsidRDefault="007C6A41" w:rsidP="007C6A41">
            <w:pPr>
              <w:spacing w:after="0" w:line="240" w:lineRule="auto"/>
              <w:jc w:val="right"/>
              <w:rPr>
                <w:rFonts w:ascii="Arial" w:eastAsia="Times New Roman" w:hAnsi="Arial" w:cs="Arial"/>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1.176</w:t>
            </w:r>
          </w:p>
        </w:tc>
        <w:tc>
          <w:tcPr>
            <w:tcW w:w="570" w:type="pct"/>
            <w:tcBorders>
              <w:top w:val="nil"/>
              <w:left w:val="nil"/>
              <w:bottom w:val="single" w:sz="4" w:space="0" w:color="auto"/>
              <w:right w:val="single" w:sz="4" w:space="0" w:color="auto"/>
            </w:tcBorders>
            <w:shd w:val="clear" w:color="auto" w:fill="auto"/>
            <w:noWrap/>
            <w:vAlign w:val="center"/>
            <w:hideMark/>
          </w:tcPr>
          <w:p w14:paraId="23A1CCDA" w14:textId="77777777" w:rsidR="007C6A41" w:rsidRPr="007C6A41" w:rsidRDefault="007C6A41" w:rsidP="007C6A41">
            <w:pPr>
              <w:spacing w:after="0" w:line="240" w:lineRule="auto"/>
              <w:jc w:val="right"/>
              <w:rPr>
                <w:rFonts w:ascii="Arial" w:eastAsia="Times New Roman" w:hAnsi="Arial" w:cs="Arial"/>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159</w:t>
            </w:r>
          </w:p>
        </w:tc>
        <w:tc>
          <w:tcPr>
            <w:tcW w:w="546" w:type="pct"/>
            <w:tcBorders>
              <w:top w:val="nil"/>
              <w:left w:val="nil"/>
              <w:bottom w:val="single" w:sz="4" w:space="0" w:color="auto"/>
              <w:right w:val="single" w:sz="4" w:space="0" w:color="auto"/>
            </w:tcBorders>
            <w:shd w:val="clear" w:color="auto" w:fill="auto"/>
            <w:noWrap/>
            <w:vAlign w:val="center"/>
            <w:hideMark/>
          </w:tcPr>
          <w:p w14:paraId="113C8A8F" w14:textId="77777777" w:rsidR="007C6A41" w:rsidRPr="007C6A41" w:rsidRDefault="007C6A41" w:rsidP="007C6A41">
            <w:pPr>
              <w:spacing w:after="0" w:line="240" w:lineRule="auto"/>
              <w:jc w:val="right"/>
              <w:rPr>
                <w:rFonts w:ascii="Arial" w:eastAsia="Times New Roman" w:hAnsi="Arial" w:cs="Arial"/>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1.335</w:t>
            </w:r>
          </w:p>
        </w:tc>
      </w:tr>
      <w:tr w:rsidR="007C6A41" w:rsidRPr="007C6A41" w14:paraId="45E5AF86" w14:textId="77777777" w:rsidTr="00446A14">
        <w:trPr>
          <w:trHeight w:val="240"/>
        </w:trPr>
        <w:tc>
          <w:tcPr>
            <w:tcW w:w="1497" w:type="pct"/>
            <w:tcBorders>
              <w:top w:val="nil"/>
              <w:left w:val="single" w:sz="4" w:space="0" w:color="auto"/>
              <w:bottom w:val="single" w:sz="4" w:space="0" w:color="auto"/>
              <w:right w:val="single" w:sz="4" w:space="0" w:color="auto"/>
            </w:tcBorders>
            <w:shd w:val="clear" w:color="auto" w:fill="auto"/>
            <w:noWrap/>
            <w:vAlign w:val="center"/>
            <w:hideMark/>
          </w:tcPr>
          <w:p w14:paraId="39858ABE" w14:textId="77777777" w:rsidR="007C6A41" w:rsidRPr="007C6A41" w:rsidRDefault="007C6A41" w:rsidP="007C6A41">
            <w:pPr>
              <w:spacing w:after="0" w:line="240" w:lineRule="auto"/>
              <w:rPr>
                <w:rFonts w:ascii="Arial" w:eastAsia="Times New Roman" w:hAnsi="Arial" w:cs="Arial"/>
                <w:color w:val="000000"/>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Tributária</w:t>
            </w:r>
          </w:p>
        </w:tc>
        <w:tc>
          <w:tcPr>
            <w:tcW w:w="597" w:type="pct"/>
            <w:tcBorders>
              <w:top w:val="nil"/>
              <w:left w:val="nil"/>
              <w:bottom w:val="single" w:sz="4" w:space="0" w:color="auto"/>
              <w:right w:val="single" w:sz="4" w:space="0" w:color="auto"/>
            </w:tcBorders>
            <w:shd w:val="clear" w:color="auto" w:fill="auto"/>
            <w:noWrap/>
            <w:vAlign w:val="center"/>
          </w:tcPr>
          <w:p w14:paraId="53286BF2" w14:textId="77777777" w:rsidR="007C6A41" w:rsidRPr="007C6A41" w:rsidRDefault="007C6A41" w:rsidP="007C6A41">
            <w:pPr>
              <w:spacing w:after="0" w:line="240" w:lineRule="auto"/>
              <w:jc w:val="right"/>
              <w:rPr>
                <w:rFonts w:ascii="Arial" w:eastAsia="Times New Roman" w:hAnsi="Arial" w:cs="Arial"/>
                <w:color w:val="000000"/>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530</w:t>
            </w:r>
          </w:p>
        </w:tc>
        <w:tc>
          <w:tcPr>
            <w:tcW w:w="598" w:type="pct"/>
            <w:tcBorders>
              <w:top w:val="nil"/>
              <w:left w:val="nil"/>
              <w:bottom w:val="single" w:sz="4" w:space="0" w:color="auto"/>
              <w:right w:val="single" w:sz="4" w:space="0" w:color="auto"/>
            </w:tcBorders>
            <w:shd w:val="clear" w:color="auto" w:fill="auto"/>
            <w:noWrap/>
            <w:vAlign w:val="center"/>
          </w:tcPr>
          <w:p w14:paraId="50C20359" w14:textId="77777777" w:rsidR="007C6A41" w:rsidRPr="007C6A41" w:rsidRDefault="007C6A41" w:rsidP="007C6A41">
            <w:pPr>
              <w:spacing w:after="0" w:line="240" w:lineRule="auto"/>
              <w:jc w:val="right"/>
              <w:rPr>
                <w:rFonts w:ascii="Arial" w:eastAsia="Times New Roman" w:hAnsi="Arial" w:cs="Arial"/>
                <w:color w:val="000000"/>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1.660</w:t>
            </w:r>
          </w:p>
        </w:tc>
        <w:tc>
          <w:tcPr>
            <w:tcW w:w="601" w:type="pct"/>
            <w:tcBorders>
              <w:top w:val="nil"/>
              <w:left w:val="nil"/>
              <w:bottom w:val="single" w:sz="4" w:space="0" w:color="auto"/>
              <w:right w:val="single" w:sz="4" w:space="0" w:color="auto"/>
            </w:tcBorders>
            <w:shd w:val="clear" w:color="auto" w:fill="auto"/>
            <w:noWrap/>
            <w:vAlign w:val="center"/>
          </w:tcPr>
          <w:p w14:paraId="3E073E68" w14:textId="77777777" w:rsidR="007C6A41" w:rsidRPr="007C6A41" w:rsidRDefault="007C6A41" w:rsidP="007C6A41">
            <w:pPr>
              <w:spacing w:after="0" w:line="240" w:lineRule="auto"/>
              <w:jc w:val="right"/>
              <w:rPr>
                <w:rFonts w:ascii="Arial" w:eastAsia="Times New Roman" w:hAnsi="Arial" w:cs="Arial"/>
                <w:color w:val="000000"/>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2.190</w:t>
            </w:r>
          </w:p>
        </w:tc>
        <w:tc>
          <w:tcPr>
            <w:tcW w:w="591" w:type="pct"/>
            <w:tcBorders>
              <w:top w:val="nil"/>
              <w:left w:val="nil"/>
              <w:bottom w:val="single" w:sz="4" w:space="0" w:color="auto"/>
              <w:right w:val="single" w:sz="4" w:space="0" w:color="auto"/>
            </w:tcBorders>
            <w:shd w:val="clear" w:color="auto" w:fill="auto"/>
            <w:noWrap/>
            <w:vAlign w:val="center"/>
            <w:hideMark/>
          </w:tcPr>
          <w:p w14:paraId="36F1E3CA" w14:textId="77777777" w:rsidR="007C6A41" w:rsidRPr="007C6A41" w:rsidRDefault="007C6A41" w:rsidP="007C6A41">
            <w:pPr>
              <w:spacing w:after="0" w:line="240" w:lineRule="auto"/>
              <w:jc w:val="right"/>
              <w:rPr>
                <w:rFonts w:ascii="Arial" w:eastAsia="Times New Roman" w:hAnsi="Arial" w:cs="Arial"/>
                <w:color w:val="000000"/>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479</w:t>
            </w:r>
          </w:p>
        </w:tc>
        <w:tc>
          <w:tcPr>
            <w:tcW w:w="570" w:type="pct"/>
            <w:tcBorders>
              <w:top w:val="nil"/>
              <w:left w:val="nil"/>
              <w:bottom w:val="single" w:sz="4" w:space="0" w:color="auto"/>
              <w:right w:val="single" w:sz="4" w:space="0" w:color="auto"/>
            </w:tcBorders>
            <w:shd w:val="clear" w:color="auto" w:fill="auto"/>
            <w:noWrap/>
            <w:vAlign w:val="center"/>
            <w:hideMark/>
          </w:tcPr>
          <w:p w14:paraId="78BC8536" w14:textId="77777777" w:rsidR="007C6A41" w:rsidRPr="007C6A41" w:rsidRDefault="007C6A41" w:rsidP="007C6A41">
            <w:pPr>
              <w:spacing w:after="0" w:line="240" w:lineRule="auto"/>
              <w:jc w:val="right"/>
              <w:rPr>
                <w:rFonts w:ascii="Arial" w:eastAsia="Times New Roman" w:hAnsi="Arial" w:cs="Arial"/>
                <w:color w:val="000000"/>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807</w:t>
            </w:r>
          </w:p>
        </w:tc>
        <w:tc>
          <w:tcPr>
            <w:tcW w:w="546" w:type="pct"/>
            <w:tcBorders>
              <w:top w:val="nil"/>
              <w:left w:val="nil"/>
              <w:bottom w:val="single" w:sz="4" w:space="0" w:color="auto"/>
              <w:right w:val="single" w:sz="4" w:space="0" w:color="auto"/>
            </w:tcBorders>
            <w:shd w:val="clear" w:color="auto" w:fill="auto"/>
            <w:noWrap/>
            <w:vAlign w:val="center"/>
            <w:hideMark/>
          </w:tcPr>
          <w:p w14:paraId="734F57BC" w14:textId="77777777" w:rsidR="007C6A41" w:rsidRPr="007C6A41" w:rsidRDefault="007C6A41" w:rsidP="007C6A41">
            <w:pPr>
              <w:spacing w:after="0" w:line="240" w:lineRule="auto"/>
              <w:jc w:val="right"/>
              <w:rPr>
                <w:rFonts w:ascii="Arial" w:eastAsia="Times New Roman" w:hAnsi="Arial" w:cs="Arial"/>
                <w:color w:val="000000"/>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1.286</w:t>
            </w:r>
          </w:p>
        </w:tc>
      </w:tr>
      <w:tr w:rsidR="007C6A41" w:rsidRPr="007C6A41" w14:paraId="76576948" w14:textId="77777777" w:rsidTr="00446A14">
        <w:trPr>
          <w:trHeight w:val="240"/>
        </w:trPr>
        <w:tc>
          <w:tcPr>
            <w:tcW w:w="1497" w:type="pct"/>
            <w:tcBorders>
              <w:top w:val="nil"/>
              <w:left w:val="single" w:sz="4" w:space="0" w:color="auto"/>
              <w:bottom w:val="single" w:sz="4" w:space="0" w:color="auto"/>
              <w:right w:val="single" w:sz="4" w:space="0" w:color="auto"/>
            </w:tcBorders>
            <w:shd w:val="clear" w:color="auto" w:fill="auto"/>
            <w:noWrap/>
            <w:vAlign w:val="center"/>
            <w:hideMark/>
          </w:tcPr>
          <w:p w14:paraId="178B74A2" w14:textId="77777777" w:rsidR="007C6A41" w:rsidRPr="007C6A41" w:rsidRDefault="007C6A41" w:rsidP="007C6A41">
            <w:pPr>
              <w:spacing w:after="0" w:line="240" w:lineRule="auto"/>
              <w:rPr>
                <w:rFonts w:ascii="Arial" w:eastAsia="Times New Roman" w:hAnsi="Arial" w:cs="Arial"/>
                <w:b/>
                <w:bCs/>
                <w:color w:val="000000"/>
                <w:kern w:val="0"/>
                <w:sz w:val="18"/>
                <w:szCs w:val="18"/>
                <w:lang w:eastAsia="pt-BR"/>
                <w14:ligatures w14:val="none"/>
              </w:rPr>
            </w:pPr>
            <w:r w:rsidRPr="007C6A41">
              <w:rPr>
                <w:rFonts w:ascii="Arial" w:eastAsia="Times New Roman" w:hAnsi="Arial" w:cs="Arial"/>
                <w:b/>
                <w:bCs/>
                <w:color w:val="000000"/>
                <w:kern w:val="0"/>
                <w:sz w:val="18"/>
                <w:szCs w:val="18"/>
                <w:lang w:eastAsia="pt-BR"/>
                <w14:ligatures w14:val="none"/>
              </w:rPr>
              <w:t>Total</w:t>
            </w:r>
          </w:p>
        </w:tc>
        <w:tc>
          <w:tcPr>
            <w:tcW w:w="597" w:type="pct"/>
            <w:tcBorders>
              <w:top w:val="nil"/>
              <w:left w:val="nil"/>
              <w:bottom w:val="single" w:sz="4" w:space="0" w:color="auto"/>
              <w:right w:val="single" w:sz="4" w:space="0" w:color="auto"/>
            </w:tcBorders>
            <w:shd w:val="clear" w:color="auto" w:fill="auto"/>
            <w:noWrap/>
            <w:vAlign w:val="center"/>
          </w:tcPr>
          <w:p w14:paraId="5C06333B" w14:textId="77777777" w:rsidR="007C6A41" w:rsidRPr="007C6A41" w:rsidRDefault="007C6A41" w:rsidP="007C6A41">
            <w:pPr>
              <w:spacing w:after="0" w:line="240" w:lineRule="auto"/>
              <w:jc w:val="right"/>
              <w:rPr>
                <w:rFonts w:ascii="Arial" w:eastAsia="Times New Roman" w:hAnsi="Arial" w:cs="Arial"/>
                <w:b/>
                <w:bCs/>
                <w:color w:val="000000"/>
                <w:kern w:val="0"/>
                <w:sz w:val="18"/>
                <w:szCs w:val="18"/>
                <w:lang w:eastAsia="pt-BR"/>
                <w14:ligatures w14:val="none"/>
              </w:rPr>
            </w:pPr>
            <w:r w:rsidRPr="007C6A41">
              <w:rPr>
                <w:rFonts w:ascii="Arial" w:eastAsia="Times New Roman" w:hAnsi="Arial" w:cs="Arial"/>
                <w:b/>
                <w:bCs/>
                <w:color w:val="000000"/>
                <w:kern w:val="0"/>
                <w:sz w:val="18"/>
                <w:szCs w:val="18"/>
                <w:lang w:eastAsia="pt-BR"/>
                <w14:ligatures w14:val="none"/>
              </w:rPr>
              <w:t>3.490</w:t>
            </w:r>
          </w:p>
        </w:tc>
        <w:tc>
          <w:tcPr>
            <w:tcW w:w="598" w:type="pct"/>
            <w:tcBorders>
              <w:top w:val="nil"/>
              <w:left w:val="nil"/>
              <w:bottom w:val="single" w:sz="4" w:space="0" w:color="auto"/>
              <w:right w:val="single" w:sz="4" w:space="0" w:color="auto"/>
            </w:tcBorders>
            <w:shd w:val="clear" w:color="auto" w:fill="auto"/>
            <w:noWrap/>
            <w:vAlign w:val="center"/>
          </w:tcPr>
          <w:p w14:paraId="74E84A1A" w14:textId="77777777" w:rsidR="007C6A41" w:rsidRPr="007C6A41" w:rsidRDefault="007C6A41" w:rsidP="007C6A41">
            <w:pPr>
              <w:spacing w:after="0" w:line="240" w:lineRule="auto"/>
              <w:jc w:val="right"/>
              <w:rPr>
                <w:rFonts w:ascii="Arial" w:eastAsia="Times New Roman" w:hAnsi="Arial" w:cs="Arial"/>
                <w:b/>
                <w:bCs/>
                <w:color w:val="000000"/>
                <w:kern w:val="0"/>
                <w:sz w:val="18"/>
                <w:szCs w:val="18"/>
                <w:lang w:eastAsia="pt-BR"/>
                <w14:ligatures w14:val="none"/>
              </w:rPr>
            </w:pPr>
            <w:r w:rsidRPr="007C6A41">
              <w:rPr>
                <w:rFonts w:ascii="Arial" w:eastAsia="Times New Roman" w:hAnsi="Arial" w:cs="Arial"/>
                <w:b/>
                <w:bCs/>
                <w:color w:val="000000"/>
                <w:kern w:val="0"/>
                <w:sz w:val="18"/>
                <w:szCs w:val="18"/>
                <w:lang w:eastAsia="pt-BR"/>
                <w14:ligatures w14:val="none"/>
              </w:rPr>
              <w:t>48.955</w:t>
            </w:r>
          </w:p>
        </w:tc>
        <w:tc>
          <w:tcPr>
            <w:tcW w:w="601" w:type="pct"/>
            <w:tcBorders>
              <w:top w:val="nil"/>
              <w:left w:val="nil"/>
              <w:bottom w:val="single" w:sz="4" w:space="0" w:color="auto"/>
              <w:right w:val="single" w:sz="4" w:space="0" w:color="auto"/>
            </w:tcBorders>
            <w:shd w:val="clear" w:color="auto" w:fill="auto"/>
            <w:noWrap/>
            <w:vAlign w:val="center"/>
          </w:tcPr>
          <w:p w14:paraId="0E6FC853" w14:textId="77777777" w:rsidR="007C6A41" w:rsidRPr="007C6A41" w:rsidRDefault="007C6A41" w:rsidP="007C6A41">
            <w:pPr>
              <w:spacing w:after="0" w:line="240" w:lineRule="auto"/>
              <w:jc w:val="right"/>
              <w:rPr>
                <w:rFonts w:ascii="Arial" w:eastAsia="Times New Roman" w:hAnsi="Arial" w:cs="Arial"/>
                <w:b/>
                <w:bCs/>
                <w:color w:val="000000"/>
                <w:kern w:val="0"/>
                <w:sz w:val="18"/>
                <w:szCs w:val="18"/>
                <w:lang w:eastAsia="pt-BR"/>
                <w14:ligatures w14:val="none"/>
              </w:rPr>
            </w:pPr>
            <w:r w:rsidRPr="007C6A41">
              <w:rPr>
                <w:rFonts w:ascii="Arial" w:eastAsia="Times New Roman" w:hAnsi="Arial" w:cs="Arial"/>
                <w:b/>
                <w:bCs/>
                <w:color w:val="000000"/>
                <w:kern w:val="0"/>
                <w:sz w:val="18"/>
                <w:szCs w:val="18"/>
                <w:lang w:eastAsia="pt-BR"/>
                <w14:ligatures w14:val="none"/>
              </w:rPr>
              <w:t>52.445</w:t>
            </w:r>
          </w:p>
        </w:tc>
        <w:tc>
          <w:tcPr>
            <w:tcW w:w="591" w:type="pct"/>
            <w:tcBorders>
              <w:top w:val="nil"/>
              <w:left w:val="nil"/>
              <w:bottom w:val="single" w:sz="4" w:space="0" w:color="auto"/>
              <w:right w:val="single" w:sz="4" w:space="0" w:color="auto"/>
            </w:tcBorders>
            <w:shd w:val="clear" w:color="auto" w:fill="auto"/>
            <w:noWrap/>
            <w:vAlign w:val="center"/>
            <w:hideMark/>
          </w:tcPr>
          <w:p w14:paraId="7164DBCF" w14:textId="77777777" w:rsidR="007C6A41" w:rsidRPr="007C6A41" w:rsidRDefault="007C6A41" w:rsidP="007C6A41">
            <w:pPr>
              <w:spacing w:after="0" w:line="240" w:lineRule="auto"/>
              <w:jc w:val="right"/>
              <w:rPr>
                <w:rFonts w:ascii="Arial" w:eastAsia="Times New Roman" w:hAnsi="Arial" w:cs="Arial"/>
                <w:b/>
                <w:bCs/>
                <w:color w:val="000000"/>
                <w:kern w:val="0"/>
                <w:sz w:val="18"/>
                <w:szCs w:val="18"/>
                <w:lang w:eastAsia="pt-BR"/>
                <w14:ligatures w14:val="none"/>
              </w:rPr>
            </w:pPr>
            <w:r w:rsidRPr="007C6A41">
              <w:rPr>
                <w:rFonts w:ascii="Arial" w:eastAsia="Times New Roman" w:hAnsi="Arial" w:cs="Arial"/>
                <w:b/>
                <w:bCs/>
                <w:color w:val="000000"/>
                <w:kern w:val="0"/>
                <w:sz w:val="18"/>
                <w:szCs w:val="18"/>
                <w:lang w:eastAsia="pt-BR"/>
                <w14:ligatures w14:val="none"/>
              </w:rPr>
              <w:t>3.381</w:t>
            </w:r>
          </w:p>
        </w:tc>
        <w:tc>
          <w:tcPr>
            <w:tcW w:w="570" w:type="pct"/>
            <w:tcBorders>
              <w:top w:val="nil"/>
              <w:left w:val="nil"/>
              <w:bottom w:val="single" w:sz="4" w:space="0" w:color="auto"/>
              <w:right w:val="single" w:sz="4" w:space="0" w:color="auto"/>
            </w:tcBorders>
            <w:shd w:val="clear" w:color="auto" w:fill="auto"/>
            <w:noWrap/>
            <w:vAlign w:val="center"/>
            <w:hideMark/>
          </w:tcPr>
          <w:p w14:paraId="4551953A" w14:textId="77777777" w:rsidR="007C6A41" w:rsidRPr="007C6A41" w:rsidRDefault="007C6A41" w:rsidP="007C6A41">
            <w:pPr>
              <w:spacing w:after="0" w:line="240" w:lineRule="auto"/>
              <w:jc w:val="right"/>
              <w:rPr>
                <w:rFonts w:ascii="Arial" w:eastAsia="Times New Roman" w:hAnsi="Arial" w:cs="Arial"/>
                <w:b/>
                <w:bCs/>
                <w:color w:val="000000"/>
                <w:kern w:val="0"/>
                <w:sz w:val="18"/>
                <w:szCs w:val="18"/>
                <w:lang w:eastAsia="pt-BR"/>
                <w14:ligatures w14:val="none"/>
              </w:rPr>
            </w:pPr>
            <w:r w:rsidRPr="007C6A41">
              <w:rPr>
                <w:rFonts w:ascii="Arial" w:eastAsia="Times New Roman" w:hAnsi="Arial" w:cs="Arial"/>
                <w:b/>
                <w:bCs/>
                <w:color w:val="000000"/>
                <w:kern w:val="0"/>
                <w:sz w:val="18"/>
                <w:szCs w:val="18"/>
                <w:lang w:eastAsia="pt-BR"/>
                <w14:ligatures w14:val="none"/>
              </w:rPr>
              <w:t>45.044</w:t>
            </w:r>
          </w:p>
        </w:tc>
        <w:tc>
          <w:tcPr>
            <w:tcW w:w="546" w:type="pct"/>
            <w:tcBorders>
              <w:top w:val="nil"/>
              <w:left w:val="nil"/>
              <w:bottom w:val="single" w:sz="4" w:space="0" w:color="auto"/>
              <w:right w:val="single" w:sz="4" w:space="0" w:color="auto"/>
            </w:tcBorders>
            <w:shd w:val="clear" w:color="auto" w:fill="auto"/>
            <w:noWrap/>
            <w:vAlign w:val="center"/>
            <w:hideMark/>
          </w:tcPr>
          <w:p w14:paraId="65D6A3D1" w14:textId="77777777" w:rsidR="007C6A41" w:rsidRPr="007C6A41" w:rsidRDefault="007C6A41" w:rsidP="007C6A41">
            <w:pPr>
              <w:spacing w:after="0" w:line="240" w:lineRule="auto"/>
              <w:jc w:val="right"/>
              <w:rPr>
                <w:rFonts w:ascii="Arial" w:eastAsia="Times New Roman" w:hAnsi="Arial" w:cs="Arial"/>
                <w:b/>
                <w:bCs/>
                <w:color w:val="000000"/>
                <w:kern w:val="0"/>
                <w:sz w:val="18"/>
                <w:szCs w:val="18"/>
                <w:lang w:eastAsia="pt-BR"/>
                <w14:ligatures w14:val="none"/>
              </w:rPr>
            </w:pPr>
            <w:r w:rsidRPr="007C6A41">
              <w:rPr>
                <w:rFonts w:ascii="Arial" w:eastAsia="Times New Roman" w:hAnsi="Arial" w:cs="Arial"/>
                <w:b/>
                <w:bCs/>
                <w:color w:val="000000"/>
                <w:kern w:val="0"/>
                <w:sz w:val="18"/>
                <w:szCs w:val="18"/>
                <w:lang w:eastAsia="pt-BR"/>
                <w14:ligatures w14:val="none"/>
              </w:rPr>
              <w:t>48.425</w:t>
            </w:r>
          </w:p>
        </w:tc>
      </w:tr>
      <w:tr w:rsidR="007C6A41" w:rsidRPr="007C6A41" w14:paraId="6B201A41" w14:textId="77777777" w:rsidTr="00446A14">
        <w:trPr>
          <w:trHeight w:val="240"/>
        </w:trPr>
        <w:tc>
          <w:tcPr>
            <w:tcW w:w="1497" w:type="pct"/>
            <w:tcBorders>
              <w:top w:val="nil"/>
              <w:left w:val="single" w:sz="4" w:space="0" w:color="auto"/>
              <w:bottom w:val="single" w:sz="4" w:space="0" w:color="auto"/>
              <w:right w:val="single" w:sz="4" w:space="0" w:color="auto"/>
            </w:tcBorders>
            <w:shd w:val="clear" w:color="auto" w:fill="auto"/>
            <w:noWrap/>
            <w:vAlign w:val="center"/>
            <w:hideMark/>
          </w:tcPr>
          <w:p w14:paraId="126EDFA0" w14:textId="77777777" w:rsidR="007C6A41" w:rsidRPr="007C6A41" w:rsidRDefault="007C6A41" w:rsidP="007C6A41">
            <w:pPr>
              <w:spacing w:after="0" w:line="240" w:lineRule="auto"/>
              <w:rPr>
                <w:rFonts w:ascii="Arial" w:eastAsia="Times New Roman" w:hAnsi="Arial" w:cs="Arial"/>
                <w:b/>
                <w:bCs/>
                <w:color w:val="000000"/>
                <w:kern w:val="0"/>
                <w:sz w:val="18"/>
                <w:szCs w:val="18"/>
                <w:lang w:eastAsia="pt-BR"/>
                <w14:ligatures w14:val="none"/>
              </w:rPr>
            </w:pPr>
            <w:r w:rsidRPr="007C6A41">
              <w:rPr>
                <w:rFonts w:ascii="Arial" w:eastAsia="Times New Roman" w:hAnsi="Arial" w:cs="Arial"/>
                <w:b/>
                <w:bCs/>
                <w:color w:val="000000"/>
                <w:kern w:val="0"/>
                <w:sz w:val="18"/>
                <w:szCs w:val="18"/>
                <w:lang w:eastAsia="pt-BR"/>
                <w14:ligatures w14:val="none"/>
              </w:rPr>
              <w:t xml:space="preserve">Circulante </w:t>
            </w:r>
          </w:p>
        </w:tc>
        <w:tc>
          <w:tcPr>
            <w:tcW w:w="597" w:type="pct"/>
            <w:tcBorders>
              <w:top w:val="nil"/>
              <w:left w:val="nil"/>
              <w:bottom w:val="single" w:sz="4" w:space="0" w:color="auto"/>
              <w:right w:val="single" w:sz="4" w:space="0" w:color="auto"/>
            </w:tcBorders>
            <w:shd w:val="clear" w:color="auto" w:fill="auto"/>
            <w:vAlign w:val="center"/>
          </w:tcPr>
          <w:p w14:paraId="4285C954" w14:textId="77777777" w:rsidR="007C6A41" w:rsidRPr="007C6A41" w:rsidRDefault="007C6A41" w:rsidP="007C6A41">
            <w:pPr>
              <w:spacing w:after="0" w:line="240" w:lineRule="auto"/>
              <w:jc w:val="right"/>
              <w:rPr>
                <w:rFonts w:ascii="Arial" w:eastAsia="Times New Roman" w:hAnsi="Arial" w:cs="Arial"/>
                <w:b/>
                <w:bCs/>
                <w:color w:val="000000"/>
                <w:kern w:val="0"/>
                <w:sz w:val="18"/>
                <w:szCs w:val="18"/>
                <w:lang w:eastAsia="pt-BR"/>
                <w14:ligatures w14:val="none"/>
              </w:rPr>
            </w:pPr>
            <w:r w:rsidRPr="007C6A41">
              <w:rPr>
                <w:rFonts w:ascii="Arial" w:eastAsia="Times New Roman" w:hAnsi="Arial" w:cs="Arial"/>
                <w:b/>
                <w:bCs/>
                <w:color w:val="000000"/>
                <w:kern w:val="0"/>
                <w:sz w:val="18"/>
                <w:szCs w:val="18"/>
                <w:lang w:eastAsia="pt-BR"/>
                <w14:ligatures w14:val="none"/>
              </w:rPr>
              <w:t>1.491</w:t>
            </w:r>
          </w:p>
        </w:tc>
        <w:tc>
          <w:tcPr>
            <w:tcW w:w="598" w:type="pct"/>
            <w:tcBorders>
              <w:top w:val="nil"/>
              <w:left w:val="nil"/>
              <w:bottom w:val="single" w:sz="4" w:space="0" w:color="auto"/>
              <w:right w:val="single" w:sz="4" w:space="0" w:color="auto"/>
            </w:tcBorders>
            <w:shd w:val="clear" w:color="auto" w:fill="auto"/>
            <w:vAlign w:val="center"/>
          </w:tcPr>
          <w:p w14:paraId="21896AF1" w14:textId="77777777" w:rsidR="007C6A41" w:rsidRPr="007C6A41" w:rsidRDefault="007C6A41" w:rsidP="007C6A41">
            <w:pPr>
              <w:spacing w:after="0" w:line="240" w:lineRule="auto"/>
              <w:jc w:val="right"/>
              <w:rPr>
                <w:rFonts w:ascii="Arial" w:eastAsia="Times New Roman" w:hAnsi="Arial" w:cs="Arial"/>
                <w:b/>
                <w:bCs/>
                <w:color w:val="000000"/>
                <w:kern w:val="0"/>
                <w:sz w:val="18"/>
                <w:szCs w:val="18"/>
                <w:lang w:eastAsia="pt-BR"/>
                <w14:ligatures w14:val="none"/>
              </w:rPr>
            </w:pPr>
            <w:r w:rsidRPr="007C6A41">
              <w:rPr>
                <w:rFonts w:ascii="Arial" w:eastAsia="Times New Roman" w:hAnsi="Arial" w:cs="Arial"/>
                <w:b/>
                <w:bCs/>
                <w:color w:val="000000"/>
                <w:kern w:val="0"/>
                <w:sz w:val="18"/>
                <w:szCs w:val="18"/>
                <w:lang w:eastAsia="pt-BR"/>
                <w14:ligatures w14:val="none"/>
              </w:rPr>
              <w:t>5.412</w:t>
            </w:r>
          </w:p>
        </w:tc>
        <w:tc>
          <w:tcPr>
            <w:tcW w:w="601" w:type="pct"/>
            <w:tcBorders>
              <w:top w:val="nil"/>
              <w:left w:val="nil"/>
              <w:bottom w:val="single" w:sz="4" w:space="0" w:color="auto"/>
              <w:right w:val="single" w:sz="4" w:space="0" w:color="auto"/>
            </w:tcBorders>
            <w:shd w:val="clear" w:color="auto" w:fill="auto"/>
            <w:noWrap/>
            <w:vAlign w:val="center"/>
          </w:tcPr>
          <w:p w14:paraId="2FD867B5" w14:textId="77777777" w:rsidR="007C6A41" w:rsidRPr="007C6A41" w:rsidRDefault="007C6A41" w:rsidP="007C6A41">
            <w:pPr>
              <w:spacing w:after="0" w:line="240" w:lineRule="auto"/>
              <w:jc w:val="right"/>
              <w:rPr>
                <w:rFonts w:ascii="Arial" w:eastAsia="Times New Roman" w:hAnsi="Arial" w:cs="Arial"/>
                <w:b/>
                <w:bCs/>
                <w:color w:val="000000"/>
                <w:kern w:val="0"/>
                <w:sz w:val="18"/>
                <w:szCs w:val="18"/>
                <w:lang w:eastAsia="pt-BR"/>
                <w14:ligatures w14:val="none"/>
              </w:rPr>
            </w:pPr>
            <w:r w:rsidRPr="007C6A41">
              <w:rPr>
                <w:rFonts w:ascii="Arial" w:eastAsia="Times New Roman" w:hAnsi="Arial" w:cs="Arial"/>
                <w:b/>
                <w:bCs/>
                <w:color w:val="000000"/>
                <w:kern w:val="0"/>
                <w:sz w:val="18"/>
                <w:szCs w:val="18"/>
                <w:lang w:eastAsia="pt-BR"/>
                <w14:ligatures w14:val="none"/>
              </w:rPr>
              <w:t>6.903</w:t>
            </w:r>
          </w:p>
        </w:tc>
        <w:tc>
          <w:tcPr>
            <w:tcW w:w="591" w:type="pct"/>
            <w:tcBorders>
              <w:top w:val="nil"/>
              <w:left w:val="nil"/>
              <w:bottom w:val="single" w:sz="4" w:space="0" w:color="auto"/>
              <w:right w:val="single" w:sz="4" w:space="0" w:color="auto"/>
            </w:tcBorders>
            <w:shd w:val="clear" w:color="auto" w:fill="auto"/>
            <w:vAlign w:val="center"/>
            <w:hideMark/>
          </w:tcPr>
          <w:p w14:paraId="1C0F6186" w14:textId="77777777" w:rsidR="007C6A41" w:rsidRPr="007C6A41" w:rsidRDefault="007C6A41" w:rsidP="007C6A41">
            <w:pPr>
              <w:spacing w:after="0" w:line="240" w:lineRule="auto"/>
              <w:jc w:val="right"/>
              <w:rPr>
                <w:rFonts w:ascii="Arial" w:eastAsia="Times New Roman" w:hAnsi="Arial" w:cs="Arial"/>
                <w:b/>
                <w:bCs/>
                <w:color w:val="000000"/>
                <w:kern w:val="0"/>
                <w:sz w:val="18"/>
                <w:szCs w:val="18"/>
                <w:lang w:eastAsia="pt-BR"/>
                <w14:ligatures w14:val="none"/>
              </w:rPr>
            </w:pPr>
            <w:r w:rsidRPr="007C6A41">
              <w:rPr>
                <w:rFonts w:ascii="Arial" w:eastAsia="Times New Roman" w:hAnsi="Arial" w:cs="Arial"/>
                <w:b/>
                <w:bCs/>
                <w:color w:val="000000"/>
                <w:kern w:val="0"/>
                <w:sz w:val="18"/>
                <w:szCs w:val="18"/>
                <w:lang w:eastAsia="pt-BR"/>
                <w14:ligatures w14:val="none"/>
              </w:rPr>
              <w:t>1.635</w:t>
            </w:r>
          </w:p>
        </w:tc>
        <w:tc>
          <w:tcPr>
            <w:tcW w:w="570" w:type="pct"/>
            <w:tcBorders>
              <w:top w:val="nil"/>
              <w:left w:val="nil"/>
              <w:bottom w:val="single" w:sz="4" w:space="0" w:color="auto"/>
              <w:right w:val="single" w:sz="4" w:space="0" w:color="auto"/>
            </w:tcBorders>
            <w:shd w:val="clear" w:color="auto" w:fill="auto"/>
            <w:vAlign w:val="center"/>
            <w:hideMark/>
          </w:tcPr>
          <w:p w14:paraId="151D1232" w14:textId="77777777" w:rsidR="007C6A41" w:rsidRPr="007C6A41" w:rsidRDefault="007C6A41" w:rsidP="007C6A41">
            <w:pPr>
              <w:spacing w:after="0" w:line="240" w:lineRule="auto"/>
              <w:jc w:val="right"/>
              <w:rPr>
                <w:rFonts w:ascii="Arial" w:eastAsia="Times New Roman" w:hAnsi="Arial" w:cs="Arial"/>
                <w:b/>
                <w:bCs/>
                <w:color w:val="000000"/>
                <w:kern w:val="0"/>
                <w:sz w:val="18"/>
                <w:szCs w:val="18"/>
                <w:lang w:eastAsia="pt-BR"/>
                <w14:ligatures w14:val="none"/>
              </w:rPr>
            </w:pPr>
            <w:r w:rsidRPr="007C6A41">
              <w:rPr>
                <w:rFonts w:ascii="Arial" w:eastAsia="Times New Roman" w:hAnsi="Arial" w:cs="Arial"/>
                <w:b/>
                <w:bCs/>
                <w:color w:val="000000"/>
                <w:kern w:val="0"/>
                <w:sz w:val="18"/>
                <w:szCs w:val="18"/>
                <w:lang w:eastAsia="pt-BR"/>
                <w14:ligatures w14:val="none"/>
              </w:rPr>
              <w:t>5.479</w:t>
            </w:r>
          </w:p>
        </w:tc>
        <w:tc>
          <w:tcPr>
            <w:tcW w:w="546" w:type="pct"/>
            <w:tcBorders>
              <w:top w:val="nil"/>
              <w:left w:val="nil"/>
              <w:bottom w:val="single" w:sz="4" w:space="0" w:color="auto"/>
              <w:right w:val="single" w:sz="4" w:space="0" w:color="auto"/>
            </w:tcBorders>
            <w:shd w:val="clear" w:color="auto" w:fill="auto"/>
            <w:noWrap/>
            <w:vAlign w:val="center"/>
            <w:hideMark/>
          </w:tcPr>
          <w:p w14:paraId="174FCAB4" w14:textId="77777777" w:rsidR="007C6A41" w:rsidRPr="007C6A41" w:rsidRDefault="007C6A41" w:rsidP="007C6A41">
            <w:pPr>
              <w:spacing w:after="0" w:line="240" w:lineRule="auto"/>
              <w:jc w:val="right"/>
              <w:rPr>
                <w:rFonts w:ascii="Arial" w:eastAsia="Times New Roman" w:hAnsi="Arial" w:cs="Arial"/>
                <w:b/>
                <w:bCs/>
                <w:color w:val="000000"/>
                <w:kern w:val="0"/>
                <w:sz w:val="18"/>
                <w:szCs w:val="18"/>
                <w:lang w:eastAsia="pt-BR"/>
                <w14:ligatures w14:val="none"/>
              </w:rPr>
            </w:pPr>
            <w:r w:rsidRPr="007C6A41">
              <w:rPr>
                <w:rFonts w:ascii="Arial" w:eastAsia="Times New Roman" w:hAnsi="Arial" w:cs="Arial"/>
                <w:b/>
                <w:bCs/>
                <w:color w:val="000000"/>
                <w:kern w:val="0"/>
                <w:sz w:val="18"/>
                <w:szCs w:val="18"/>
                <w:lang w:eastAsia="pt-BR"/>
                <w14:ligatures w14:val="none"/>
              </w:rPr>
              <w:t>7.114</w:t>
            </w:r>
          </w:p>
        </w:tc>
      </w:tr>
      <w:tr w:rsidR="007C6A41" w:rsidRPr="007C6A41" w14:paraId="543F5FC5" w14:textId="77777777" w:rsidTr="00446A14">
        <w:trPr>
          <w:trHeight w:val="240"/>
        </w:trPr>
        <w:tc>
          <w:tcPr>
            <w:tcW w:w="1497" w:type="pct"/>
            <w:tcBorders>
              <w:top w:val="nil"/>
              <w:left w:val="single" w:sz="4" w:space="0" w:color="auto"/>
              <w:bottom w:val="single" w:sz="4" w:space="0" w:color="auto"/>
              <w:right w:val="single" w:sz="4" w:space="0" w:color="auto"/>
            </w:tcBorders>
            <w:shd w:val="clear" w:color="auto" w:fill="auto"/>
            <w:noWrap/>
            <w:vAlign w:val="center"/>
            <w:hideMark/>
          </w:tcPr>
          <w:p w14:paraId="499C18AA" w14:textId="77777777" w:rsidR="007C6A41" w:rsidRPr="007C6A41" w:rsidRDefault="007C6A41" w:rsidP="007C6A41">
            <w:pPr>
              <w:spacing w:after="0" w:line="240" w:lineRule="auto"/>
              <w:rPr>
                <w:rFonts w:ascii="Arial" w:eastAsia="Times New Roman" w:hAnsi="Arial" w:cs="Arial"/>
                <w:b/>
                <w:bCs/>
                <w:color w:val="000000"/>
                <w:kern w:val="0"/>
                <w:sz w:val="18"/>
                <w:szCs w:val="18"/>
                <w:lang w:eastAsia="pt-BR"/>
                <w14:ligatures w14:val="none"/>
              </w:rPr>
            </w:pPr>
            <w:r w:rsidRPr="007C6A41">
              <w:rPr>
                <w:rFonts w:ascii="Arial" w:eastAsia="Times New Roman" w:hAnsi="Arial" w:cs="Arial"/>
                <w:b/>
                <w:bCs/>
                <w:color w:val="000000"/>
                <w:kern w:val="0"/>
                <w:sz w:val="18"/>
                <w:szCs w:val="18"/>
                <w:lang w:eastAsia="pt-BR"/>
                <w14:ligatures w14:val="none"/>
              </w:rPr>
              <w:t>Não Circulante</w:t>
            </w:r>
          </w:p>
        </w:tc>
        <w:tc>
          <w:tcPr>
            <w:tcW w:w="597" w:type="pct"/>
            <w:tcBorders>
              <w:top w:val="nil"/>
              <w:left w:val="nil"/>
              <w:bottom w:val="single" w:sz="4" w:space="0" w:color="auto"/>
              <w:right w:val="single" w:sz="4" w:space="0" w:color="auto"/>
            </w:tcBorders>
            <w:shd w:val="clear" w:color="auto" w:fill="auto"/>
            <w:vAlign w:val="center"/>
          </w:tcPr>
          <w:p w14:paraId="046AFEB7" w14:textId="77777777" w:rsidR="007C6A41" w:rsidRPr="007C6A41" w:rsidRDefault="007C6A41" w:rsidP="007C6A41">
            <w:pPr>
              <w:spacing w:after="0" w:line="240" w:lineRule="auto"/>
              <w:jc w:val="right"/>
              <w:rPr>
                <w:rFonts w:ascii="Arial" w:eastAsia="Times New Roman" w:hAnsi="Arial" w:cs="Arial"/>
                <w:b/>
                <w:bCs/>
                <w:color w:val="000000"/>
                <w:kern w:val="0"/>
                <w:sz w:val="18"/>
                <w:szCs w:val="18"/>
                <w:lang w:eastAsia="pt-BR"/>
                <w14:ligatures w14:val="none"/>
              </w:rPr>
            </w:pPr>
            <w:r w:rsidRPr="007C6A41">
              <w:rPr>
                <w:rFonts w:ascii="Arial" w:eastAsia="Times New Roman" w:hAnsi="Arial" w:cs="Arial"/>
                <w:b/>
                <w:bCs/>
                <w:color w:val="000000"/>
                <w:kern w:val="0"/>
                <w:sz w:val="18"/>
                <w:szCs w:val="18"/>
                <w:lang w:eastAsia="pt-BR"/>
                <w14:ligatures w14:val="none"/>
              </w:rPr>
              <w:t>1.999</w:t>
            </w:r>
          </w:p>
        </w:tc>
        <w:tc>
          <w:tcPr>
            <w:tcW w:w="598" w:type="pct"/>
            <w:tcBorders>
              <w:top w:val="nil"/>
              <w:left w:val="nil"/>
              <w:bottom w:val="single" w:sz="4" w:space="0" w:color="auto"/>
              <w:right w:val="single" w:sz="4" w:space="0" w:color="auto"/>
            </w:tcBorders>
            <w:shd w:val="clear" w:color="auto" w:fill="auto"/>
            <w:vAlign w:val="center"/>
          </w:tcPr>
          <w:p w14:paraId="17BA5480" w14:textId="77777777" w:rsidR="007C6A41" w:rsidRPr="007C6A41" w:rsidRDefault="007C6A41" w:rsidP="007C6A41">
            <w:pPr>
              <w:spacing w:after="0" w:line="240" w:lineRule="auto"/>
              <w:jc w:val="right"/>
              <w:rPr>
                <w:rFonts w:ascii="Arial" w:eastAsia="Times New Roman" w:hAnsi="Arial" w:cs="Arial"/>
                <w:b/>
                <w:bCs/>
                <w:color w:val="000000"/>
                <w:kern w:val="0"/>
                <w:sz w:val="18"/>
                <w:szCs w:val="18"/>
                <w:lang w:eastAsia="pt-BR"/>
                <w14:ligatures w14:val="none"/>
              </w:rPr>
            </w:pPr>
            <w:r w:rsidRPr="007C6A41">
              <w:rPr>
                <w:rFonts w:ascii="Arial" w:eastAsia="Times New Roman" w:hAnsi="Arial" w:cs="Arial"/>
                <w:b/>
                <w:bCs/>
                <w:color w:val="000000"/>
                <w:kern w:val="0"/>
                <w:sz w:val="18"/>
                <w:szCs w:val="18"/>
                <w:lang w:eastAsia="pt-BR"/>
                <w14:ligatures w14:val="none"/>
              </w:rPr>
              <w:t>43.543</w:t>
            </w:r>
          </w:p>
        </w:tc>
        <w:tc>
          <w:tcPr>
            <w:tcW w:w="601" w:type="pct"/>
            <w:tcBorders>
              <w:top w:val="nil"/>
              <w:left w:val="nil"/>
              <w:bottom w:val="single" w:sz="4" w:space="0" w:color="auto"/>
              <w:right w:val="single" w:sz="4" w:space="0" w:color="auto"/>
            </w:tcBorders>
            <w:shd w:val="clear" w:color="auto" w:fill="auto"/>
            <w:noWrap/>
            <w:vAlign w:val="center"/>
          </w:tcPr>
          <w:p w14:paraId="624877CF" w14:textId="77777777" w:rsidR="007C6A41" w:rsidRPr="007C6A41" w:rsidRDefault="007C6A41" w:rsidP="007C6A41">
            <w:pPr>
              <w:spacing w:after="0" w:line="240" w:lineRule="auto"/>
              <w:jc w:val="right"/>
              <w:rPr>
                <w:rFonts w:ascii="Arial" w:eastAsia="Times New Roman" w:hAnsi="Arial" w:cs="Arial"/>
                <w:b/>
                <w:bCs/>
                <w:color w:val="000000"/>
                <w:kern w:val="0"/>
                <w:sz w:val="18"/>
                <w:szCs w:val="18"/>
                <w:lang w:eastAsia="pt-BR"/>
                <w14:ligatures w14:val="none"/>
              </w:rPr>
            </w:pPr>
            <w:r w:rsidRPr="007C6A41">
              <w:rPr>
                <w:rFonts w:ascii="Arial" w:eastAsia="Times New Roman" w:hAnsi="Arial" w:cs="Arial"/>
                <w:b/>
                <w:bCs/>
                <w:color w:val="000000"/>
                <w:kern w:val="0"/>
                <w:sz w:val="18"/>
                <w:szCs w:val="18"/>
                <w:lang w:eastAsia="pt-BR"/>
                <w14:ligatures w14:val="none"/>
              </w:rPr>
              <w:t>45.542</w:t>
            </w:r>
          </w:p>
        </w:tc>
        <w:tc>
          <w:tcPr>
            <w:tcW w:w="591" w:type="pct"/>
            <w:tcBorders>
              <w:top w:val="nil"/>
              <w:left w:val="nil"/>
              <w:bottom w:val="single" w:sz="4" w:space="0" w:color="auto"/>
              <w:right w:val="single" w:sz="4" w:space="0" w:color="auto"/>
            </w:tcBorders>
            <w:shd w:val="clear" w:color="auto" w:fill="auto"/>
            <w:vAlign w:val="center"/>
            <w:hideMark/>
          </w:tcPr>
          <w:p w14:paraId="11291AB7" w14:textId="77777777" w:rsidR="007C6A41" w:rsidRPr="007C6A41" w:rsidRDefault="007C6A41" w:rsidP="007C6A41">
            <w:pPr>
              <w:spacing w:after="0" w:line="240" w:lineRule="auto"/>
              <w:jc w:val="right"/>
              <w:rPr>
                <w:rFonts w:ascii="Arial" w:eastAsia="Times New Roman" w:hAnsi="Arial" w:cs="Arial"/>
                <w:b/>
                <w:bCs/>
                <w:color w:val="000000"/>
                <w:kern w:val="0"/>
                <w:sz w:val="18"/>
                <w:szCs w:val="18"/>
                <w:lang w:eastAsia="pt-BR"/>
                <w14:ligatures w14:val="none"/>
              </w:rPr>
            </w:pPr>
            <w:r w:rsidRPr="007C6A41">
              <w:rPr>
                <w:rFonts w:ascii="Arial" w:eastAsia="Times New Roman" w:hAnsi="Arial" w:cs="Arial"/>
                <w:b/>
                <w:bCs/>
                <w:color w:val="000000"/>
                <w:kern w:val="0"/>
                <w:sz w:val="18"/>
                <w:szCs w:val="18"/>
                <w:lang w:eastAsia="pt-BR"/>
                <w14:ligatures w14:val="none"/>
              </w:rPr>
              <w:t>1.746</w:t>
            </w:r>
          </w:p>
        </w:tc>
        <w:tc>
          <w:tcPr>
            <w:tcW w:w="570" w:type="pct"/>
            <w:tcBorders>
              <w:top w:val="nil"/>
              <w:left w:val="nil"/>
              <w:bottom w:val="single" w:sz="4" w:space="0" w:color="auto"/>
              <w:right w:val="single" w:sz="4" w:space="0" w:color="auto"/>
            </w:tcBorders>
            <w:shd w:val="clear" w:color="auto" w:fill="auto"/>
            <w:vAlign w:val="center"/>
            <w:hideMark/>
          </w:tcPr>
          <w:p w14:paraId="70F2A223" w14:textId="77777777" w:rsidR="007C6A41" w:rsidRPr="007C6A41" w:rsidRDefault="007C6A41" w:rsidP="007C6A41">
            <w:pPr>
              <w:spacing w:after="0" w:line="240" w:lineRule="auto"/>
              <w:jc w:val="right"/>
              <w:rPr>
                <w:rFonts w:ascii="Arial" w:eastAsia="Times New Roman" w:hAnsi="Arial" w:cs="Arial"/>
                <w:b/>
                <w:bCs/>
                <w:color w:val="000000"/>
                <w:kern w:val="0"/>
                <w:sz w:val="18"/>
                <w:szCs w:val="18"/>
                <w:lang w:eastAsia="pt-BR"/>
                <w14:ligatures w14:val="none"/>
              </w:rPr>
            </w:pPr>
            <w:r w:rsidRPr="007C6A41">
              <w:rPr>
                <w:rFonts w:ascii="Arial" w:eastAsia="Times New Roman" w:hAnsi="Arial" w:cs="Arial"/>
                <w:b/>
                <w:bCs/>
                <w:color w:val="000000"/>
                <w:kern w:val="0"/>
                <w:sz w:val="18"/>
                <w:szCs w:val="18"/>
                <w:lang w:eastAsia="pt-BR"/>
                <w14:ligatures w14:val="none"/>
              </w:rPr>
              <w:t>39.565</w:t>
            </w:r>
          </w:p>
        </w:tc>
        <w:tc>
          <w:tcPr>
            <w:tcW w:w="546" w:type="pct"/>
            <w:tcBorders>
              <w:top w:val="nil"/>
              <w:left w:val="nil"/>
              <w:bottom w:val="single" w:sz="4" w:space="0" w:color="auto"/>
              <w:right w:val="single" w:sz="4" w:space="0" w:color="auto"/>
            </w:tcBorders>
            <w:shd w:val="clear" w:color="auto" w:fill="auto"/>
            <w:noWrap/>
            <w:vAlign w:val="center"/>
            <w:hideMark/>
          </w:tcPr>
          <w:p w14:paraId="274319BE" w14:textId="77777777" w:rsidR="007C6A41" w:rsidRPr="007C6A41" w:rsidRDefault="007C6A41" w:rsidP="007C6A41">
            <w:pPr>
              <w:spacing w:after="0" w:line="240" w:lineRule="auto"/>
              <w:jc w:val="right"/>
              <w:rPr>
                <w:rFonts w:ascii="Arial" w:eastAsia="Times New Roman" w:hAnsi="Arial" w:cs="Arial"/>
                <w:b/>
                <w:bCs/>
                <w:color w:val="000000"/>
                <w:kern w:val="0"/>
                <w:sz w:val="18"/>
                <w:szCs w:val="18"/>
                <w:lang w:eastAsia="pt-BR"/>
                <w14:ligatures w14:val="none"/>
              </w:rPr>
            </w:pPr>
            <w:r w:rsidRPr="007C6A41">
              <w:rPr>
                <w:rFonts w:ascii="Arial" w:eastAsia="Times New Roman" w:hAnsi="Arial" w:cs="Arial"/>
                <w:b/>
                <w:bCs/>
                <w:color w:val="000000"/>
                <w:kern w:val="0"/>
                <w:sz w:val="18"/>
                <w:szCs w:val="18"/>
                <w:lang w:eastAsia="pt-BR"/>
                <w14:ligatures w14:val="none"/>
              </w:rPr>
              <w:t>41.311</w:t>
            </w:r>
          </w:p>
        </w:tc>
      </w:tr>
    </w:tbl>
    <w:p w14:paraId="0C0E5861" w14:textId="02F59B25" w:rsidR="007C6A41" w:rsidRPr="007C6A41" w:rsidRDefault="007C6A41" w:rsidP="007C6A41">
      <w:pPr>
        <w:autoSpaceDE w:val="0"/>
        <w:autoSpaceDN w:val="0"/>
        <w:adjustRightInd w:val="0"/>
        <w:spacing w:after="0" w:line="276"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8.1. </w:t>
      </w:r>
      <w:r w:rsidRPr="007C6A41">
        <w:rPr>
          <w:rFonts w:ascii="Calibri" w:eastAsia="Times New Roman" w:hAnsi="Calibri" w:cs="Calibri"/>
          <w:b/>
          <w:bCs/>
          <w:iCs/>
          <w:color w:val="002060"/>
          <w:kern w:val="0"/>
          <w14:ligatures w14:val="none"/>
        </w:rPr>
        <w:t>Movimentação dos depostos judiciais</w:t>
      </w:r>
    </w:p>
    <w:p w14:paraId="38469E97" w14:textId="77777777" w:rsidR="007C6A41" w:rsidRPr="007C6A41" w:rsidRDefault="007C6A41" w:rsidP="007C6A41">
      <w:pPr>
        <w:autoSpaceDE w:val="0"/>
        <w:autoSpaceDN w:val="0"/>
        <w:adjustRightInd w:val="0"/>
        <w:spacing w:after="0" w:line="276" w:lineRule="auto"/>
        <w:jc w:val="both"/>
        <w:rPr>
          <w:rFonts w:ascii="Calibri" w:eastAsia="Times New Roman" w:hAnsi="Calibri" w:cs="Calibri"/>
          <w:iCs/>
          <w:color w:val="002060"/>
          <w:kern w:val="0"/>
          <w14:ligatures w14:val="none"/>
        </w:rPr>
      </w:pPr>
      <w:r w:rsidRPr="007C6A41">
        <w:rPr>
          <w:rFonts w:ascii="Calibri" w:eastAsia="Times New Roman" w:hAnsi="Calibri" w:cs="Calibri"/>
          <w:iCs/>
          <w:color w:val="002060"/>
          <w:kern w:val="0"/>
          <w14:ligatures w14:val="none"/>
        </w:rPr>
        <w:t>A movimentação dos depósitos judiciais no exercício de 2023, está apresentada a seguir:</w:t>
      </w:r>
    </w:p>
    <w:tbl>
      <w:tblPr>
        <w:tblW w:w="5000" w:type="pct"/>
        <w:tblCellMar>
          <w:left w:w="70" w:type="dxa"/>
          <w:right w:w="70" w:type="dxa"/>
        </w:tblCellMar>
        <w:tblLook w:val="04A0" w:firstRow="1" w:lastRow="0" w:firstColumn="1" w:lastColumn="0" w:noHBand="0" w:noVBand="1"/>
      </w:tblPr>
      <w:tblGrid>
        <w:gridCol w:w="8400"/>
        <w:gridCol w:w="1361"/>
      </w:tblGrid>
      <w:tr w:rsidR="007C6A41" w:rsidRPr="007C6A41" w14:paraId="52801BF6" w14:textId="77777777" w:rsidTr="00446A14">
        <w:trPr>
          <w:trHeight w:val="238"/>
        </w:trPr>
        <w:tc>
          <w:tcPr>
            <w:tcW w:w="430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C392D0" w14:textId="77777777" w:rsidR="007C6A41" w:rsidRPr="007C6A41" w:rsidRDefault="007C6A41" w:rsidP="007C6A41">
            <w:pPr>
              <w:spacing w:after="0" w:line="240" w:lineRule="auto"/>
              <w:rPr>
                <w:rFonts w:ascii="Arial" w:eastAsia="Times New Roman" w:hAnsi="Arial" w:cs="Arial"/>
                <w:b/>
                <w:bCs/>
                <w:color w:val="000000"/>
                <w:kern w:val="0"/>
                <w:sz w:val="18"/>
                <w:szCs w:val="18"/>
                <w:lang w:eastAsia="pt-BR"/>
                <w14:ligatures w14:val="none"/>
              </w:rPr>
            </w:pPr>
            <w:r w:rsidRPr="007C6A41">
              <w:rPr>
                <w:rFonts w:ascii="Arial" w:eastAsia="Times New Roman" w:hAnsi="Arial" w:cs="Arial"/>
                <w:b/>
                <w:bCs/>
                <w:color w:val="000000"/>
                <w:kern w:val="0"/>
                <w:sz w:val="18"/>
                <w:szCs w:val="18"/>
                <w:lang w:eastAsia="pt-BR"/>
                <w14:ligatures w14:val="none"/>
              </w:rPr>
              <w:t>Saldo em 31 de dezembro de 2022</w:t>
            </w:r>
          </w:p>
        </w:tc>
        <w:tc>
          <w:tcPr>
            <w:tcW w:w="697" w:type="pct"/>
            <w:tcBorders>
              <w:top w:val="single" w:sz="8" w:space="0" w:color="auto"/>
              <w:left w:val="nil"/>
              <w:bottom w:val="single" w:sz="8" w:space="0" w:color="auto"/>
              <w:right w:val="single" w:sz="8" w:space="0" w:color="auto"/>
            </w:tcBorders>
            <w:shd w:val="clear" w:color="auto" w:fill="auto"/>
            <w:noWrap/>
            <w:vAlign w:val="center"/>
            <w:hideMark/>
          </w:tcPr>
          <w:p w14:paraId="1DE4182C" w14:textId="77777777" w:rsidR="007C6A41" w:rsidRPr="007C6A41" w:rsidRDefault="007C6A41" w:rsidP="007C6A41">
            <w:pPr>
              <w:spacing w:after="0" w:line="240" w:lineRule="auto"/>
              <w:jc w:val="right"/>
              <w:rPr>
                <w:rFonts w:ascii="Arial" w:eastAsia="Times New Roman" w:hAnsi="Arial" w:cs="Arial"/>
                <w:b/>
                <w:bCs/>
                <w:color w:val="000000"/>
                <w:kern w:val="0"/>
                <w:sz w:val="18"/>
                <w:szCs w:val="18"/>
                <w:lang w:eastAsia="pt-BR"/>
                <w14:ligatures w14:val="none"/>
              </w:rPr>
            </w:pPr>
            <w:r w:rsidRPr="007C6A41">
              <w:rPr>
                <w:rFonts w:ascii="Arial" w:eastAsia="Times New Roman" w:hAnsi="Arial" w:cs="Arial"/>
                <w:b/>
                <w:bCs/>
                <w:color w:val="000000"/>
                <w:kern w:val="0"/>
                <w:sz w:val="18"/>
                <w:szCs w:val="18"/>
                <w:lang w:eastAsia="pt-BR"/>
                <w14:ligatures w14:val="none"/>
              </w:rPr>
              <w:t xml:space="preserve">       48.425 </w:t>
            </w:r>
          </w:p>
        </w:tc>
      </w:tr>
      <w:tr w:rsidR="007C6A41" w:rsidRPr="007C6A41" w14:paraId="0E1DEF36" w14:textId="77777777" w:rsidTr="00446A14">
        <w:trPr>
          <w:trHeight w:val="238"/>
        </w:trPr>
        <w:tc>
          <w:tcPr>
            <w:tcW w:w="4303" w:type="pct"/>
            <w:tcBorders>
              <w:top w:val="nil"/>
              <w:left w:val="single" w:sz="8" w:space="0" w:color="auto"/>
              <w:bottom w:val="single" w:sz="8" w:space="0" w:color="auto"/>
              <w:right w:val="single" w:sz="8" w:space="0" w:color="auto"/>
            </w:tcBorders>
            <w:shd w:val="clear" w:color="auto" w:fill="auto"/>
            <w:noWrap/>
            <w:vAlign w:val="center"/>
            <w:hideMark/>
          </w:tcPr>
          <w:p w14:paraId="17BD8D41" w14:textId="77777777" w:rsidR="007C6A41" w:rsidRPr="007C6A41" w:rsidRDefault="007C6A41" w:rsidP="007C6A41">
            <w:pPr>
              <w:spacing w:after="0" w:line="240" w:lineRule="auto"/>
              <w:rPr>
                <w:rFonts w:ascii="Arial" w:eastAsia="Times New Roman" w:hAnsi="Arial" w:cs="Arial"/>
                <w:color w:val="000000"/>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 xml:space="preserve">Adições </w:t>
            </w:r>
          </w:p>
        </w:tc>
        <w:tc>
          <w:tcPr>
            <w:tcW w:w="697" w:type="pct"/>
            <w:tcBorders>
              <w:top w:val="nil"/>
              <w:left w:val="nil"/>
              <w:bottom w:val="single" w:sz="8" w:space="0" w:color="auto"/>
              <w:right w:val="single" w:sz="8" w:space="0" w:color="auto"/>
            </w:tcBorders>
            <w:shd w:val="clear" w:color="auto" w:fill="auto"/>
            <w:noWrap/>
            <w:vAlign w:val="center"/>
            <w:hideMark/>
          </w:tcPr>
          <w:p w14:paraId="5DE0A4C5" w14:textId="77777777" w:rsidR="007C6A41" w:rsidRPr="007C6A41" w:rsidRDefault="007C6A41" w:rsidP="007C6A41">
            <w:pPr>
              <w:spacing w:after="0" w:line="240" w:lineRule="auto"/>
              <w:jc w:val="right"/>
              <w:rPr>
                <w:rFonts w:ascii="Arial" w:eastAsia="Times New Roman" w:hAnsi="Arial" w:cs="Arial"/>
                <w:color w:val="000000"/>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 xml:space="preserve">          1.208 </w:t>
            </w:r>
          </w:p>
        </w:tc>
      </w:tr>
      <w:tr w:rsidR="007C6A41" w:rsidRPr="007C6A41" w14:paraId="48F2B147" w14:textId="77777777" w:rsidTr="00446A14">
        <w:trPr>
          <w:trHeight w:val="238"/>
        </w:trPr>
        <w:tc>
          <w:tcPr>
            <w:tcW w:w="4303" w:type="pct"/>
            <w:tcBorders>
              <w:top w:val="nil"/>
              <w:left w:val="single" w:sz="8" w:space="0" w:color="auto"/>
              <w:bottom w:val="single" w:sz="8" w:space="0" w:color="auto"/>
              <w:right w:val="single" w:sz="8" w:space="0" w:color="auto"/>
            </w:tcBorders>
            <w:shd w:val="clear" w:color="auto" w:fill="auto"/>
            <w:noWrap/>
            <w:vAlign w:val="center"/>
            <w:hideMark/>
          </w:tcPr>
          <w:p w14:paraId="2D6EB5B2" w14:textId="77777777" w:rsidR="007C6A41" w:rsidRPr="007C6A41" w:rsidRDefault="007C6A41" w:rsidP="007C6A41">
            <w:pPr>
              <w:spacing w:after="0" w:line="240" w:lineRule="auto"/>
              <w:rPr>
                <w:rFonts w:ascii="Arial" w:eastAsia="Times New Roman" w:hAnsi="Arial" w:cs="Arial"/>
                <w:color w:val="000000"/>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Baixas por Decisão Favorável à Telebras</w:t>
            </w:r>
          </w:p>
        </w:tc>
        <w:tc>
          <w:tcPr>
            <w:tcW w:w="697" w:type="pct"/>
            <w:tcBorders>
              <w:top w:val="nil"/>
              <w:left w:val="nil"/>
              <w:bottom w:val="single" w:sz="8" w:space="0" w:color="auto"/>
              <w:right w:val="single" w:sz="8" w:space="0" w:color="auto"/>
            </w:tcBorders>
            <w:shd w:val="clear" w:color="auto" w:fill="auto"/>
            <w:noWrap/>
            <w:vAlign w:val="center"/>
            <w:hideMark/>
          </w:tcPr>
          <w:p w14:paraId="0B3D47A8" w14:textId="77777777" w:rsidR="007C6A41" w:rsidRPr="007C6A41" w:rsidRDefault="007C6A41" w:rsidP="007C6A41">
            <w:pPr>
              <w:spacing w:after="0" w:line="240" w:lineRule="auto"/>
              <w:jc w:val="right"/>
              <w:rPr>
                <w:rFonts w:ascii="Arial" w:eastAsia="Times New Roman" w:hAnsi="Arial" w:cs="Arial"/>
                <w:color w:val="000000"/>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 xml:space="preserve">        (1.330)</w:t>
            </w:r>
          </w:p>
        </w:tc>
      </w:tr>
      <w:tr w:rsidR="007C6A41" w:rsidRPr="007C6A41" w14:paraId="4B0244C0" w14:textId="77777777" w:rsidTr="00446A14">
        <w:trPr>
          <w:trHeight w:val="238"/>
        </w:trPr>
        <w:tc>
          <w:tcPr>
            <w:tcW w:w="4303" w:type="pct"/>
            <w:tcBorders>
              <w:top w:val="nil"/>
              <w:left w:val="single" w:sz="8" w:space="0" w:color="auto"/>
              <w:bottom w:val="single" w:sz="8" w:space="0" w:color="auto"/>
              <w:right w:val="single" w:sz="8" w:space="0" w:color="auto"/>
            </w:tcBorders>
            <w:shd w:val="clear" w:color="auto" w:fill="auto"/>
            <w:noWrap/>
            <w:vAlign w:val="center"/>
            <w:hideMark/>
          </w:tcPr>
          <w:p w14:paraId="2187C1F1" w14:textId="77777777" w:rsidR="007C6A41" w:rsidRPr="007C6A41" w:rsidRDefault="007C6A41" w:rsidP="007C6A41">
            <w:pPr>
              <w:spacing w:after="0" w:line="240" w:lineRule="auto"/>
              <w:rPr>
                <w:rFonts w:ascii="Arial" w:eastAsia="Times New Roman" w:hAnsi="Arial" w:cs="Arial"/>
                <w:color w:val="000000"/>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Atualização Monetária</w:t>
            </w:r>
          </w:p>
        </w:tc>
        <w:tc>
          <w:tcPr>
            <w:tcW w:w="697" w:type="pct"/>
            <w:tcBorders>
              <w:top w:val="nil"/>
              <w:left w:val="nil"/>
              <w:bottom w:val="single" w:sz="8" w:space="0" w:color="auto"/>
              <w:right w:val="single" w:sz="8" w:space="0" w:color="auto"/>
            </w:tcBorders>
            <w:shd w:val="clear" w:color="auto" w:fill="auto"/>
            <w:noWrap/>
            <w:vAlign w:val="center"/>
            <w:hideMark/>
          </w:tcPr>
          <w:p w14:paraId="70280986" w14:textId="77777777" w:rsidR="007C6A41" w:rsidRPr="007C6A41" w:rsidRDefault="007C6A41" w:rsidP="007C6A41">
            <w:pPr>
              <w:spacing w:after="0" w:line="240" w:lineRule="auto"/>
              <w:jc w:val="right"/>
              <w:rPr>
                <w:rFonts w:ascii="Arial" w:eastAsia="Times New Roman" w:hAnsi="Arial" w:cs="Arial"/>
                <w:color w:val="000000"/>
                <w:kern w:val="0"/>
                <w:sz w:val="18"/>
                <w:szCs w:val="18"/>
                <w:lang w:eastAsia="pt-BR"/>
                <w14:ligatures w14:val="none"/>
              </w:rPr>
            </w:pPr>
            <w:r w:rsidRPr="007C6A41">
              <w:rPr>
                <w:rFonts w:ascii="Arial" w:eastAsia="Times New Roman" w:hAnsi="Arial" w:cs="Arial"/>
                <w:color w:val="000000"/>
                <w:kern w:val="0"/>
                <w:sz w:val="18"/>
                <w:szCs w:val="18"/>
                <w:lang w:eastAsia="pt-BR"/>
                <w14:ligatures w14:val="none"/>
              </w:rPr>
              <w:t xml:space="preserve">          4.142 </w:t>
            </w:r>
          </w:p>
        </w:tc>
      </w:tr>
      <w:tr w:rsidR="007C6A41" w:rsidRPr="007C6A41" w14:paraId="1CED9DBA" w14:textId="77777777" w:rsidTr="00446A14">
        <w:trPr>
          <w:trHeight w:val="238"/>
        </w:trPr>
        <w:tc>
          <w:tcPr>
            <w:tcW w:w="4303" w:type="pct"/>
            <w:tcBorders>
              <w:top w:val="nil"/>
              <w:left w:val="single" w:sz="8" w:space="0" w:color="auto"/>
              <w:bottom w:val="single" w:sz="8" w:space="0" w:color="auto"/>
              <w:right w:val="single" w:sz="8" w:space="0" w:color="auto"/>
            </w:tcBorders>
            <w:shd w:val="clear" w:color="auto" w:fill="auto"/>
            <w:noWrap/>
            <w:vAlign w:val="center"/>
            <w:hideMark/>
          </w:tcPr>
          <w:p w14:paraId="31146952" w14:textId="77777777" w:rsidR="007C6A41" w:rsidRPr="007C6A41" w:rsidRDefault="007C6A41" w:rsidP="007C6A41">
            <w:pPr>
              <w:spacing w:after="0" w:line="240" w:lineRule="auto"/>
              <w:rPr>
                <w:rFonts w:ascii="Arial" w:eastAsia="Times New Roman" w:hAnsi="Arial" w:cs="Arial"/>
                <w:b/>
                <w:bCs/>
                <w:color w:val="000000"/>
                <w:kern w:val="0"/>
                <w:sz w:val="18"/>
                <w:szCs w:val="18"/>
                <w:lang w:eastAsia="pt-BR"/>
                <w14:ligatures w14:val="none"/>
              </w:rPr>
            </w:pPr>
            <w:r w:rsidRPr="007C6A41">
              <w:rPr>
                <w:rFonts w:ascii="Arial" w:eastAsia="Times New Roman" w:hAnsi="Arial" w:cs="Arial"/>
                <w:b/>
                <w:bCs/>
                <w:color w:val="000000"/>
                <w:kern w:val="0"/>
                <w:sz w:val="18"/>
                <w:szCs w:val="18"/>
                <w:lang w:eastAsia="pt-BR"/>
                <w14:ligatures w14:val="none"/>
              </w:rPr>
              <w:t>Saldo em 31 de dezembro de 2023</w:t>
            </w:r>
          </w:p>
        </w:tc>
        <w:tc>
          <w:tcPr>
            <w:tcW w:w="697" w:type="pct"/>
            <w:tcBorders>
              <w:top w:val="nil"/>
              <w:left w:val="nil"/>
              <w:bottom w:val="single" w:sz="8" w:space="0" w:color="auto"/>
              <w:right w:val="single" w:sz="8" w:space="0" w:color="auto"/>
            </w:tcBorders>
            <w:shd w:val="clear" w:color="auto" w:fill="auto"/>
            <w:noWrap/>
            <w:vAlign w:val="center"/>
            <w:hideMark/>
          </w:tcPr>
          <w:p w14:paraId="77193405" w14:textId="77777777" w:rsidR="007C6A41" w:rsidRPr="007C6A41" w:rsidRDefault="007C6A41" w:rsidP="007C6A41">
            <w:pPr>
              <w:spacing w:after="0" w:line="240" w:lineRule="auto"/>
              <w:jc w:val="right"/>
              <w:rPr>
                <w:rFonts w:ascii="Arial" w:eastAsia="Times New Roman" w:hAnsi="Arial" w:cs="Arial"/>
                <w:b/>
                <w:bCs/>
                <w:color w:val="000000"/>
                <w:kern w:val="0"/>
                <w:sz w:val="18"/>
                <w:szCs w:val="18"/>
                <w:lang w:eastAsia="pt-BR"/>
                <w14:ligatures w14:val="none"/>
              </w:rPr>
            </w:pPr>
            <w:r w:rsidRPr="007C6A41">
              <w:rPr>
                <w:rFonts w:ascii="Arial" w:eastAsia="Times New Roman" w:hAnsi="Arial" w:cs="Arial"/>
                <w:b/>
                <w:bCs/>
                <w:color w:val="000000"/>
                <w:kern w:val="0"/>
                <w:sz w:val="18"/>
                <w:szCs w:val="18"/>
                <w:lang w:eastAsia="pt-BR"/>
                <w14:ligatures w14:val="none"/>
              </w:rPr>
              <w:t xml:space="preserve">       52.445 </w:t>
            </w:r>
          </w:p>
        </w:tc>
      </w:tr>
    </w:tbl>
    <w:p w14:paraId="2AA01A68" w14:textId="77777777" w:rsidR="00BD22FA" w:rsidRPr="00BD22FA" w:rsidRDefault="00BD22FA" w:rsidP="007A23F8">
      <w:pPr>
        <w:autoSpaceDE w:val="0"/>
        <w:autoSpaceDN w:val="0"/>
        <w:adjustRightInd w:val="0"/>
        <w:spacing w:after="0" w:line="240" w:lineRule="auto"/>
        <w:jc w:val="both"/>
        <w:rPr>
          <w:rFonts w:ascii="Calibri" w:eastAsia="Times New Roman" w:hAnsi="Calibri" w:cs="Calibri"/>
          <w:iCs/>
          <w:color w:val="002060"/>
          <w:kern w:val="0"/>
          <w14:ligatures w14:val="none"/>
        </w:rPr>
      </w:pPr>
      <w:r w:rsidRPr="00BD22FA">
        <w:rPr>
          <w:rFonts w:ascii="Calibri" w:eastAsia="Times New Roman" w:hAnsi="Calibri" w:cs="Calibri"/>
          <w:iCs/>
          <w:color w:val="002060"/>
          <w:kern w:val="0"/>
          <w14:ligatures w14:val="none"/>
        </w:rPr>
        <w:t xml:space="preserve">Os depósitos judiciais e extrajudiciais não vinculados a itens de provisões para riscos prováveis referem-se a diversos processos em que a Telebras figura como ré ou autora. </w:t>
      </w:r>
    </w:p>
    <w:p w14:paraId="3DEAA1A8" w14:textId="77777777" w:rsidR="00BD22FA" w:rsidRPr="00BD22FA" w:rsidRDefault="00BD22FA" w:rsidP="007A23F8">
      <w:pPr>
        <w:autoSpaceDE w:val="0"/>
        <w:autoSpaceDN w:val="0"/>
        <w:adjustRightInd w:val="0"/>
        <w:spacing w:after="0" w:line="240" w:lineRule="auto"/>
        <w:jc w:val="both"/>
        <w:rPr>
          <w:rFonts w:ascii="Calibri" w:eastAsia="Times New Roman" w:hAnsi="Calibri" w:cs="Calibri"/>
          <w:iCs/>
          <w:color w:val="002060"/>
          <w:kern w:val="0"/>
          <w14:ligatures w14:val="none"/>
        </w:rPr>
      </w:pPr>
      <w:r w:rsidRPr="00BD22FA">
        <w:rPr>
          <w:rFonts w:ascii="Calibri" w:eastAsia="Times New Roman" w:hAnsi="Calibri" w:cs="Calibri"/>
          <w:iCs/>
          <w:color w:val="002060"/>
          <w:kern w:val="0"/>
          <w14:ligatures w14:val="none"/>
        </w:rPr>
        <w:t>Do total de R$ 48.955 dos depósitos não vinculados em 31 de dezembro de 2023, R$ 41.620 (R$ 21.005 corresponde ao valor original, quando do acordo parcial com a Previ) refere-se a depósito realizado em litígio com a Previ, que foi parcialmente firmado e que gerou um valor controverso em relação ao total para liquidação do processo. A Telebras entendeu, na época, que o valor cobrado pela Previ era superior àquele que ela entendia como correto. Assim, efetuou um depósito judicial que corresponde à diferença apurada (R$ 21.005) e avaliou o risco de perda da ação como remota.</w:t>
      </w:r>
    </w:p>
    <w:p w14:paraId="13F1BCED" w14:textId="4339D984" w:rsidR="00BD22FA" w:rsidRPr="00BD22FA" w:rsidRDefault="00BD22FA" w:rsidP="007A23F8">
      <w:pPr>
        <w:autoSpaceDE w:val="0"/>
        <w:autoSpaceDN w:val="0"/>
        <w:adjustRightInd w:val="0"/>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9. </w:t>
      </w:r>
      <w:r w:rsidRPr="00BD22FA">
        <w:rPr>
          <w:rFonts w:ascii="Calibri" w:eastAsia="Times New Roman" w:hAnsi="Calibri" w:cs="Calibri"/>
          <w:b/>
          <w:bCs/>
          <w:iCs/>
          <w:color w:val="002060"/>
          <w:kern w:val="0"/>
          <w14:ligatures w14:val="none"/>
        </w:rPr>
        <w:t>SUPERÁVIT DO PLANO DE PREVIDÊNCIA PBS-A</w:t>
      </w:r>
    </w:p>
    <w:p w14:paraId="08E7EA63" w14:textId="77777777" w:rsidR="00BD22FA" w:rsidRPr="00BD22FA" w:rsidRDefault="00BD22FA" w:rsidP="007A23F8">
      <w:pPr>
        <w:autoSpaceDE w:val="0"/>
        <w:autoSpaceDN w:val="0"/>
        <w:adjustRightInd w:val="0"/>
        <w:spacing w:after="0" w:line="240" w:lineRule="auto"/>
        <w:jc w:val="both"/>
        <w:rPr>
          <w:rFonts w:ascii="Calibri" w:eastAsia="Times New Roman" w:hAnsi="Calibri" w:cs="Calibri"/>
          <w:iCs/>
          <w:color w:val="002060"/>
          <w:kern w:val="0"/>
          <w14:ligatures w14:val="none"/>
        </w:rPr>
      </w:pPr>
      <w:r w:rsidRPr="00BD22FA">
        <w:rPr>
          <w:rFonts w:ascii="Calibri" w:eastAsia="Times New Roman" w:hAnsi="Calibri" w:cs="Calibri"/>
          <w:iCs/>
          <w:color w:val="002060"/>
          <w:kern w:val="0"/>
          <w14:ligatures w14:val="none"/>
        </w:rPr>
        <w:t xml:space="preserve">No exercício de 2023, a Superintendência Nacional de Previdência Complementar – PREVIC, aprovou a distribuição dos superávits dos planos de Benefícios PBS-A e PBS-Telebras, que são patrocinados pela Telebras e outras Companhias que foram criadas a partir do processo de privatização do Sistema Telebras. A parte dos superávits destinadas à Telebras foi de R$ 26.491 para o plano PBS-A e R$ 7.421 para o plano PBS-Telebras e serão repassados pela administradora dos planos (SISTEL) em 36 (trinta e seis) parcelas mensais e serão corrigidas com base na rentabilidade da cota do plano. </w:t>
      </w:r>
    </w:p>
    <w:p w14:paraId="57CE6E64" w14:textId="77777777" w:rsidR="00BD22FA" w:rsidRPr="00BD22FA" w:rsidRDefault="00BD22FA" w:rsidP="007A23F8">
      <w:pPr>
        <w:autoSpaceDE w:val="0"/>
        <w:autoSpaceDN w:val="0"/>
        <w:adjustRightInd w:val="0"/>
        <w:spacing w:after="0" w:line="240" w:lineRule="auto"/>
        <w:jc w:val="both"/>
        <w:rPr>
          <w:rFonts w:ascii="Calibri" w:eastAsia="Times New Roman" w:hAnsi="Calibri" w:cs="Calibri"/>
          <w:iCs/>
          <w:color w:val="002060"/>
          <w:kern w:val="0"/>
          <w14:ligatures w14:val="none"/>
        </w:rPr>
      </w:pPr>
      <w:r w:rsidRPr="00BD22FA">
        <w:rPr>
          <w:rFonts w:ascii="Calibri" w:eastAsia="Times New Roman" w:hAnsi="Calibri" w:cs="Calibri"/>
          <w:iCs/>
          <w:color w:val="002060"/>
          <w:kern w:val="0"/>
          <w14:ligatures w14:val="none"/>
        </w:rPr>
        <w:t>A movimentação dos recursos a receber relativos aos superávits dos planos no exercício de 2023 está apresentada no quadro a seguir:</w:t>
      </w:r>
    </w:p>
    <w:tbl>
      <w:tblPr>
        <w:tblW w:w="5000" w:type="pct"/>
        <w:tblCellMar>
          <w:left w:w="70" w:type="dxa"/>
          <w:right w:w="70" w:type="dxa"/>
        </w:tblCellMar>
        <w:tblLook w:val="04A0" w:firstRow="1" w:lastRow="0" w:firstColumn="1" w:lastColumn="0" w:noHBand="0" w:noVBand="1"/>
      </w:tblPr>
      <w:tblGrid>
        <w:gridCol w:w="5704"/>
        <w:gridCol w:w="1548"/>
        <w:gridCol w:w="1407"/>
        <w:gridCol w:w="1112"/>
      </w:tblGrid>
      <w:tr w:rsidR="00BD22FA" w:rsidRPr="00BD22FA" w14:paraId="5E0A3396" w14:textId="77777777" w:rsidTr="00BD22FA">
        <w:trPr>
          <w:trHeight w:val="238"/>
          <w:tblHeader/>
        </w:trPr>
        <w:tc>
          <w:tcPr>
            <w:tcW w:w="2919"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4DF72214" w14:textId="77777777" w:rsidR="00BD22FA" w:rsidRPr="00BD22FA" w:rsidRDefault="00BD22FA" w:rsidP="00BD22FA">
            <w:pPr>
              <w:spacing w:after="0" w:line="240" w:lineRule="auto"/>
              <w:rPr>
                <w:rFonts w:ascii="Arial" w:eastAsia="Times New Roman" w:hAnsi="Arial" w:cs="Arial"/>
                <w:b/>
                <w:bCs/>
                <w:color w:val="000000"/>
                <w:kern w:val="0"/>
                <w:sz w:val="18"/>
                <w:szCs w:val="18"/>
                <w:lang w:eastAsia="pt-BR"/>
                <w14:ligatures w14:val="none"/>
              </w:rPr>
            </w:pPr>
            <w:r w:rsidRPr="00BD22FA">
              <w:rPr>
                <w:rFonts w:ascii="Arial" w:eastAsia="Times New Roman" w:hAnsi="Arial" w:cs="Arial"/>
                <w:b/>
                <w:bCs/>
                <w:color w:val="000000"/>
                <w:kern w:val="0"/>
                <w:sz w:val="18"/>
                <w:szCs w:val="18"/>
                <w:lang w:eastAsia="pt-BR"/>
                <w14:ligatures w14:val="none"/>
              </w:rPr>
              <w:t>Composição:</w:t>
            </w:r>
          </w:p>
        </w:tc>
        <w:tc>
          <w:tcPr>
            <w:tcW w:w="792" w:type="pct"/>
            <w:tcBorders>
              <w:top w:val="single" w:sz="4" w:space="0" w:color="auto"/>
              <w:left w:val="nil"/>
              <w:bottom w:val="single" w:sz="4" w:space="0" w:color="auto"/>
              <w:right w:val="single" w:sz="4" w:space="0" w:color="auto"/>
            </w:tcBorders>
            <w:shd w:val="clear" w:color="auto" w:fill="auto"/>
            <w:noWrap/>
            <w:vAlign w:val="bottom"/>
            <w:hideMark/>
          </w:tcPr>
          <w:p w14:paraId="1CE34504" w14:textId="77777777" w:rsidR="00BD22FA" w:rsidRPr="00BD22FA" w:rsidRDefault="00BD22FA" w:rsidP="00BD22FA">
            <w:pPr>
              <w:spacing w:after="0" w:line="240" w:lineRule="auto"/>
              <w:jc w:val="center"/>
              <w:rPr>
                <w:rFonts w:ascii="Arial" w:eastAsia="Times New Roman" w:hAnsi="Arial" w:cs="Arial"/>
                <w:b/>
                <w:bCs/>
                <w:color w:val="000000"/>
                <w:kern w:val="0"/>
                <w:sz w:val="18"/>
                <w:szCs w:val="18"/>
                <w:lang w:eastAsia="pt-BR"/>
                <w14:ligatures w14:val="none"/>
              </w:rPr>
            </w:pPr>
            <w:r w:rsidRPr="00BD22FA">
              <w:rPr>
                <w:rFonts w:ascii="Arial" w:eastAsia="Times New Roman" w:hAnsi="Arial" w:cs="Arial"/>
                <w:b/>
                <w:bCs/>
                <w:color w:val="000000"/>
                <w:kern w:val="0"/>
                <w:sz w:val="18"/>
                <w:szCs w:val="18"/>
                <w:lang w:eastAsia="pt-BR"/>
                <w14:ligatures w14:val="none"/>
              </w:rPr>
              <w:t>PBS-A</w:t>
            </w:r>
          </w:p>
        </w:tc>
        <w:tc>
          <w:tcPr>
            <w:tcW w:w="720" w:type="pct"/>
            <w:tcBorders>
              <w:top w:val="single" w:sz="4" w:space="0" w:color="auto"/>
              <w:left w:val="nil"/>
              <w:bottom w:val="single" w:sz="4" w:space="0" w:color="auto"/>
              <w:right w:val="single" w:sz="4" w:space="0" w:color="auto"/>
            </w:tcBorders>
            <w:shd w:val="clear" w:color="auto" w:fill="auto"/>
            <w:noWrap/>
            <w:vAlign w:val="bottom"/>
            <w:hideMark/>
          </w:tcPr>
          <w:p w14:paraId="55DB6592" w14:textId="77777777" w:rsidR="00BD22FA" w:rsidRPr="00BD22FA" w:rsidRDefault="00BD22FA" w:rsidP="00BD22FA">
            <w:pPr>
              <w:spacing w:after="0" w:line="240" w:lineRule="auto"/>
              <w:jc w:val="center"/>
              <w:rPr>
                <w:rFonts w:ascii="Arial" w:eastAsia="Times New Roman" w:hAnsi="Arial" w:cs="Arial"/>
                <w:b/>
                <w:bCs/>
                <w:color w:val="000000"/>
                <w:kern w:val="0"/>
                <w:sz w:val="18"/>
                <w:szCs w:val="18"/>
                <w:lang w:eastAsia="pt-BR"/>
                <w14:ligatures w14:val="none"/>
              </w:rPr>
            </w:pPr>
            <w:r w:rsidRPr="00BD22FA">
              <w:rPr>
                <w:rFonts w:ascii="Arial" w:eastAsia="Times New Roman" w:hAnsi="Arial" w:cs="Arial"/>
                <w:b/>
                <w:bCs/>
                <w:color w:val="000000"/>
                <w:kern w:val="0"/>
                <w:sz w:val="18"/>
                <w:szCs w:val="18"/>
                <w:lang w:eastAsia="pt-BR"/>
                <w14:ligatures w14:val="none"/>
              </w:rPr>
              <w:t>PBS-Telebras</w:t>
            </w:r>
          </w:p>
        </w:tc>
        <w:tc>
          <w:tcPr>
            <w:tcW w:w="569" w:type="pct"/>
            <w:tcBorders>
              <w:top w:val="single" w:sz="4" w:space="0" w:color="auto"/>
              <w:left w:val="nil"/>
              <w:bottom w:val="single" w:sz="4" w:space="0" w:color="auto"/>
              <w:right w:val="single" w:sz="4" w:space="0" w:color="auto"/>
            </w:tcBorders>
            <w:shd w:val="clear" w:color="auto" w:fill="auto"/>
            <w:noWrap/>
            <w:vAlign w:val="bottom"/>
            <w:hideMark/>
          </w:tcPr>
          <w:p w14:paraId="5CD477F1" w14:textId="77777777" w:rsidR="00BD22FA" w:rsidRPr="00BD22FA" w:rsidRDefault="00BD22FA" w:rsidP="00BD22FA">
            <w:pPr>
              <w:spacing w:after="0" w:line="240" w:lineRule="auto"/>
              <w:jc w:val="center"/>
              <w:rPr>
                <w:rFonts w:ascii="Arial" w:eastAsia="Times New Roman" w:hAnsi="Arial" w:cs="Arial"/>
                <w:b/>
                <w:bCs/>
                <w:color w:val="000000"/>
                <w:kern w:val="0"/>
                <w:sz w:val="18"/>
                <w:szCs w:val="18"/>
                <w:lang w:eastAsia="pt-BR"/>
                <w14:ligatures w14:val="none"/>
              </w:rPr>
            </w:pPr>
            <w:r w:rsidRPr="00BD22FA">
              <w:rPr>
                <w:rFonts w:ascii="Arial" w:eastAsia="Times New Roman" w:hAnsi="Arial" w:cs="Arial"/>
                <w:b/>
                <w:bCs/>
                <w:color w:val="000000"/>
                <w:kern w:val="0"/>
                <w:sz w:val="18"/>
                <w:szCs w:val="18"/>
                <w:lang w:eastAsia="pt-BR"/>
                <w14:ligatures w14:val="none"/>
              </w:rPr>
              <w:t>Total</w:t>
            </w:r>
          </w:p>
        </w:tc>
      </w:tr>
      <w:tr w:rsidR="00BD22FA" w:rsidRPr="00BD22FA" w14:paraId="142A3A17" w14:textId="77777777" w:rsidTr="00BD22FA">
        <w:trPr>
          <w:trHeight w:val="238"/>
        </w:trPr>
        <w:tc>
          <w:tcPr>
            <w:tcW w:w="2919" w:type="pct"/>
            <w:tcBorders>
              <w:top w:val="nil"/>
              <w:left w:val="single" w:sz="4" w:space="0" w:color="auto"/>
              <w:bottom w:val="single" w:sz="4" w:space="0" w:color="auto"/>
              <w:right w:val="single" w:sz="4" w:space="0" w:color="auto"/>
            </w:tcBorders>
            <w:shd w:val="clear" w:color="auto" w:fill="auto"/>
            <w:noWrap/>
            <w:vAlign w:val="center"/>
            <w:hideMark/>
          </w:tcPr>
          <w:p w14:paraId="4869F5EE" w14:textId="77777777" w:rsidR="00BD22FA" w:rsidRPr="00BD22FA" w:rsidRDefault="00BD22FA" w:rsidP="00BD22FA">
            <w:pPr>
              <w:spacing w:after="0" w:line="240" w:lineRule="auto"/>
              <w:rPr>
                <w:rFonts w:ascii="Arial" w:eastAsia="Times New Roman" w:hAnsi="Arial" w:cs="Arial"/>
                <w:b/>
                <w:bCs/>
                <w:color w:val="000000"/>
                <w:kern w:val="0"/>
                <w:sz w:val="18"/>
                <w:szCs w:val="18"/>
                <w:lang w:eastAsia="pt-BR"/>
                <w14:ligatures w14:val="none"/>
              </w:rPr>
            </w:pPr>
            <w:r w:rsidRPr="00BD22FA">
              <w:rPr>
                <w:rFonts w:ascii="Arial" w:eastAsia="Times New Roman" w:hAnsi="Arial" w:cs="Arial"/>
                <w:b/>
                <w:bCs/>
                <w:color w:val="000000"/>
                <w:kern w:val="0"/>
                <w:sz w:val="18"/>
                <w:szCs w:val="18"/>
                <w:lang w:eastAsia="pt-BR"/>
                <w14:ligatures w14:val="none"/>
              </w:rPr>
              <w:t>Saldos Iniciais Reconhecidos no exercício de 2023</w:t>
            </w:r>
          </w:p>
        </w:tc>
        <w:tc>
          <w:tcPr>
            <w:tcW w:w="792" w:type="pct"/>
            <w:tcBorders>
              <w:top w:val="nil"/>
              <w:left w:val="nil"/>
              <w:bottom w:val="single" w:sz="4" w:space="0" w:color="auto"/>
              <w:right w:val="single" w:sz="4" w:space="0" w:color="auto"/>
            </w:tcBorders>
            <w:shd w:val="clear" w:color="auto" w:fill="auto"/>
            <w:noWrap/>
            <w:vAlign w:val="center"/>
            <w:hideMark/>
          </w:tcPr>
          <w:p w14:paraId="240C8FA4" w14:textId="77777777" w:rsidR="00BD22FA" w:rsidRPr="00BD22FA" w:rsidRDefault="00BD22FA" w:rsidP="00BD22FA">
            <w:pPr>
              <w:spacing w:after="0" w:line="240" w:lineRule="auto"/>
              <w:jc w:val="right"/>
              <w:rPr>
                <w:rFonts w:ascii="Arial" w:eastAsia="Times New Roman" w:hAnsi="Arial" w:cs="Arial"/>
                <w:b/>
                <w:bCs/>
                <w:color w:val="000000"/>
                <w:kern w:val="0"/>
                <w:sz w:val="18"/>
                <w:szCs w:val="18"/>
                <w:lang w:eastAsia="pt-BR"/>
                <w14:ligatures w14:val="none"/>
              </w:rPr>
            </w:pPr>
            <w:r w:rsidRPr="00BD22FA">
              <w:rPr>
                <w:rFonts w:ascii="Arial" w:eastAsia="Times New Roman" w:hAnsi="Arial" w:cs="Arial"/>
                <w:b/>
                <w:bCs/>
                <w:color w:val="000000"/>
                <w:kern w:val="0"/>
                <w:sz w:val="18"/>
                <w:szCs w:val="18"/>
                <w:lang w:eastAsia="pt-BR"/>
                <w14:ligatures w14:val="none"/>
              </w:rPr>
              <w:t xml:space="preserve">                26.491 </w:t>
            </w:r>
          </w:p>
        </w:tc>
        <w:tc>
          <w:tcPr>
            <w:tcW w:w="720" w:type="pct"/>
            <w:tcBorders>
              <w:top w:val="nil"/>
              <w:left w:val="nil"/>
              <w:bottom w:val="single" w:sz="4" w:space="0" w:color="auto"/>
              <w:right w:val="single" w:sz="4" w:space="0" w:color="auto"/>
            </w:tcBorders>
            <w:shd w:val="clear" w:color="auto" w:fill="auto"/>
            <w:noWrap/>
            <w:vAlign w:val="bottom"/>
            <w:hideMark/>
          </w:tcPr>
          <w:p w14:paraId="10EF5ACD" w14:textId="77777777" w:rsidR="00BD22FA" w:rsidRPr="00BD22FA" w:rsidRDefault="00BD22FA" w:rsidP="00BD22FA">
            <w:pPr>
              <w:spacing w:after="0" w:line="240" w:lineRule="auto"/>
              <w:jc w:val="right"/>
              <w:rPr>
                <w:rFonts w:ascii="Arial" w:eastAsia="Times New Roman" w:hAnsi="Arial" w:cs="Arial"/>
                <w:color w:val="000000"/>
                <w:kern w:val="0"/>
                <w:sz w:val="18"/>
                <w:szCs w:val="18"/>
                <w:lang w:eastAsia="pt-BR"/>
                <w14:ligatures w14:val="none"/>
              </w:rPr>
            </w:pPr>
            <w:r w:rsidRPr="00BD22FA">
              <w:rPr>
                <w:rFonts w:ascii="Arial" w:eastAsia="Times New Roman" w:hAnsi="Arial" w:cs="Arial"/>
                <w:color w:val="000000"/>
                <w:kern w:val="0"/>
                <w:sz w:val="18"/>
                <w:szCs w:val="18"/>
                <w:lang w:eastAsia="pt-BR"/>
                <w14:ligatures w14:val="none"/>
              </w:rPr>
              <w:t xml:space="preserve">               7.421 </w:t>
            </w:r>
          </w:p>
        </w:tc>
        <w:tc>
          <w:tcPr>
            <w:tcW w:w="569" w:type="pct"/>
            <w:tcBorders>
              <w:top w:val="nil"/>
              <w:left w:val="nil"/>
              <w:bottom w:val="single" w:sz="4" w:space="0" w:color="auto"/>
              <w:right w:val="single" w:sz="4" w:space="0" w:color="auto"/>
            </w:tcBorders>
            <w:shd w:val="clear" w:color="auto" w:fill="auto"/>
            <w:noWrap/>
            <w:vAlign w:val="bottom"/>
            <w:hideMark/>
          </w:tcPr>
          <w:p w14:paraId="497B243E" w14:textId="77777777" w:rsidR="00BD22FA" w:rsidRPr="00BD22FA" w:rsidRDefault="00BD22FA" w:rsidP="00BD22FA">
            <w:pPr>
              <w:spacing w:after="0" w:line="240" w:lineRule="auto"/>
              <w:jc w:val="right"/>
              <w:rPr>
                <w:rFonts w:ascii="Arial" w:eastAsia="Times New Roman" w:hAnsi="Arial" w:cs="Arial"/>
                <w:color w:val="000000"/>
                <w:kern w:val="0"/>
                <w:sz w:val="18"/>
                <w:szCs w:val="18"/>
                <w:lang w:eastAsia="pt-BR"/>
                <w14:ligatures w14:val="none"/>
              </w:rPr>
            </w:pPr>
            <w:r w:rsidRPr="00BD22FA">
              <w:rPr>
                <w:rFonts w:ascii="Arial" w:eastAsia="Times New Roman" w:hAnsi="Arial" w:cs="Arial"/>
                <w:color w:val="000000"/>
                <w:kern w:val="0"/>
                <w:sz w:val="18"/>
                <w:szCs w:val="18"/>
                <w:lang w:eastAsia="pt-BR"/>
                <w14:ligatures w14:val="none"/>
              </w:rPr>
              <w:t xml:space="preserve">       33.912 </w:t>
            </w:r>
          </w:p>
        </w:tc>
      </w:tr>
      <w:tr w:rsidR="00BD22FA" w:rsidRPr="00BD22FA" w14:paraId="773C71F3" w14:textId="77777777" w:rsidTr="00BD22FA">
        <w:trPr>
          <w:trHeight w:val="238"/>
        </w:trPr>
        <w:tc>
          <w:tcPr>
            <w:tcW w:w="2919" w:type="pct"/>
            <w:tcBorders>
              <w:top w:val="nil"/>
              <w:left w:val="single" w:sz="4" w:space="0" w:color="auto"/>
              <w:bottom w:val="single" w:sz="4" w:space="0" w:color="auto"/>
              <w:right w:val="single" w:sz="4" w:space="0" w:color="auto"/>
            </w:tcBorders>
            <w:shd w:val="clear" w:color="auto" w:fill="auto"/>
            <w:noWrap/>
            <w:vAlign w:val="center"/>
            <w:hideMark/>
          </w:tcPr>
          <w:p w14:paraId="3303367C" w14:textId="77777777" w:rsidR="00BD22FA" w:rsidRPr="00BD22FA" w:rsidRDefault="00BD22FA" w:rsidP="00BD22FA">
            <w:pPr>
              <w:spacing w:after="0" w:line="240" w:lineRule="auto"/>
              <w:rPr>
                <w:rFonts w:ascii="Arial" w:eastAsia="Times New Roman" w:hAnsi="Arial" w:cs="Arial"/>
                <w:color w:val="000000"/>
                <w:kern w:val="0"/>
                <w:sz w:val="18"/>
                <w:szCs w:val="18"/>
                <w:lang w:eastAsia="pt-BR"/>
                <w14:ligatures w14:val="none"/>
              </w:rPr>
            </w:pPr>
            <w:r w:rsidRPr="00BD22FA">
              <w:rPr>
                <w:rFonts w:ascii="Arial" w:eastAsia="Times New Roman" w:hAnsi="Arial" w:cs="Arial"/>
                <w:color w:val="000000"/>
                <w:kern w:val="0"/>
                <w:sz w:val="18"/>
                <w:szCs w:val="18"/>
                <w:lang w:eastAsia="pt-BR"/>
                <w14:ligatures w14:val="none"/>
              </w:rPr>
              <w:lastRenderedPageBreak/>
              <w:t xml:space="preserve"> Atualização Monetária </w:t>
            </w:r>
          </w:p>
        </w:tc>
        <w:tc>
          <w:tcPr>
            <w:tcW w:w="792" w:type="pct"/>
            <w:tcBorders>
              <w:top w:val="nil"/>
              <w:left w:val="nil"/>
              <w:bottom w:val="single" w:sz="4" w:space="0" w:color="auto"/>
              <w:right w:val="single" w:sz="4" w:space="0" w:color="auto"/>
            </w:tcBorders>
            <w:shd w:val="clear" w:color="auto" w:fill="auto"/>
            <w:noWrap/>
            <w:vAlign w:val="center"/>
            <w:hideMark/>
          </w:tcPr>
          <w:p w14:paraId="1D4DFA62" w14:textId="77777777" w:rsidR="00BD22FA" w:rsidRPr="00BD22FA" w:rsidRDefault="00BD22FA" w:rsidP="00BD22FA">
            <w:pPr>
              <w:spacing w:after="0" w:line="240" w:lineRule="auto"/>
              <w:jc w:val="right"/>
              <w:rPr>
                <w:rFonts w:ascii="Arial" w:eastAsia="Times New Roman" w:hAnsi="Arial" w:cs="Arial"/>
                <w:color w:val="000000"/>
                <w:kern w:val="0"/>
                <w:sz w:val="18"/>
                <w:szCs w:val="18"/>
                <w:lang w:eastAsia="pt-BR"/>
                <w14:ligatures w14:val="none"/>
              </w:rPr>
            </w:pPr>
            <w:r w:rsidRPr="00BD22FA">
              <w:rPr>
                <w:rFonts w:ascii="Arial" w:eastAsia="Times New Roman" w:hAnsi="Arial" w:cs="Arial"/>
                <w:color w:val="000000"/>
                <w:kern w:val="0"/>
                <w:sz w:val="18"/>
                <w:szCs w:val="18"/>
                <w:lang w:eastAsia="pt-BR"/>
                <w14:ligatures w14:val="none"/>
              </w:rPr>
              <w:t xml:space="preserve">                  1.438 </w:t>
            </w:r>
          </w:p>
        </w:tc>
        <w:tc>
          <w:tcPr>
            <w:tcW w:w="720" w:type="pct"/>
            <w:tcBorders>
              <w:top w:val="nil"/>
              <w:left w:val="nil"/>
              <w:bottom w:val="single" w:sz="4" w:space="0" w:color="auto"/>
              <w:right w:val="single" w:sz="4" w:space="0" w:color="auto"/>
            </w:tcBorders>
            <w:shd w:val="clear" w:color="auto" w:fill="auto"/>
            <w:noWrap/>
            <w:vAlign w:val="bottom"/>
            <w:hideMark/>
          </w:tcPr>
          <w:p w14:paraId="538B3214" w14:textId="77777777" w:rsidR="00BD22FA" w:rsidRPr="00BD22FA" w:rsidRDefault="00BD22FA" w:rsidP="00BD22FA">
            <w:pPr>
              <w:spacing w:after="0" w:line="240" w:lineRule="auto"/>
              <w:jc w:val="right"/>
              <w:rPr>
                <w:rFonts w:ascii="Arial" w:eastAsia="Times New Roman" w:hAnsi="Arial" w:cs="Arial"/>
                <w:color w:val="000000"/>
                <w:kern w:val="0"/>
                <w:sz w:val="18"/>
                <w:szCs w:val="18"/>
                <w:lang w:eastAsia="pt-BR"/>
                <w14:ligatures w14:val="none"/>
              </w:rPr>
            </w:pPr>
            <w:r w:rsidRPr="00BD22FA">
              <w:rPr>
                <w:rFonts w:ascii="Arial" w:eastAsia="Times New Roman" w:hAnsi="Arial" w:cs="Arial"/>
                <w:color w:val="000000"/>
                <w:kern w:val="0"/>
                <w:sz w:val="18"/>
                <w:szCs w:val="18"/>
                <w:lang w:eastAsia="pt-BR"/>
                <w14:ligatures w14:val="none"/>
              </w:rPr>
              <w:t xml:space="preserve">                  -      </w:t>
            </w:r>
          </w:p>
        </w:tc>
        <w:tc>
          <w:tcPr>
            <w:tcW w:w="569" w:type="pct"/>
            <w:tcBorders>
              <w:top w:val="nil"/>
              <w:left w:val="nil"/>
              <w:bottom w:val="single" w:sz="4" w:space="0" w:color="auto"/>
              <w:right w:val="single" w:sz="4" w:space="0" w:color="auto"/>
            </w:tcBorders>
            <w:shd w:val="clear" w:color="auto" w:fill="auto"/>
            <w:noWrap/>
            <w:vAlign w:val="bottom"/>
            <w:hideMark/>
          </w:tcPr>
          <w:p w14:paraId="1E0D171D" w14:textId="77777777" w:rsidR="00BD22FA" w:rsidRPr="00BD22FA" w:rsidRDefault="00BD22FA" w:rsidP="00BD22FA">
            <w:pPr>
              <w:spacing w:after="0" w:line="240" w:lineRule="auto"/>
              <w:jc w:val="right"/>
              <w:rPr>
                <w:rFonts w:ascii="Arial" w:eastAsia="Times New Roman" w:hAnsi="Arial" w:cs="Arial"/>
                <w:color w:val="000000"/>
                <w:kern w:val="0"/>
                <w:sz w:val="18"/>
                <w:szCs w:val="18"/>
                <w:lang w:eastAsia="pt-BR"/>
                <w14:ligatures w14:val="none"/>
              </w:rPr>
            </w:pPr>
            <w:r w:rsidRPr="00BD22FA">
              <w:rPr>
                <w:rFonts w:ascii="Arial" w:eastAsia="Times New Roman" w:hAnsi="Arial" w:cs="Arial"/>
                <w:color w:val="000000"/>
                <w:kern w:val="0"/>
                <w:sz w:val="18"/>
                <w:szCs w:val="18"/>
                <w:lang w:eastAsia="pt-BR"/>
                <w14:ligatures w14:val="none"/>
              </w:rPr>
              <w:t xml:space="preserve">         1.438 </w:t>
            </w:r>
          </w:p>
        </w:tc>
      </w:tr>
      <w:tr w:rsidR="00BD22FA" w:rsidRPr="00BD22FA" w14:paraId="2D49AF20" w14:textId="77777777" w:rsidTr="00BD22FA">
        <w:trPr>
          <w:trHeight w:val="238"/>
        </w:trPr>
        <w:tc>
          <w:tcPr>
            <w:tcW w:w="2919" w:type="pct"/>
            <w:tcBorders>
              <w:top w:val="nil"/>
              <w:left w:val="single" w:sz="4" w:space="0" w:color="auto"/>
              <w:bottom w:val="single" w:sz="4" w:space="0" w:color="auto"/>
              <w:right w:val="single" w:sz="4" w:space="0" w:color="auto"/>
            </w:tcBorders>
            <w:shd w:val="clear" w:color="auto" w:fill="auto"/>
            <w:noWrap/>
            <w:vAlign w:val="center"/>
            <w:hideMark/>
          </w:tcPr>
          <w:p w14:paraId="64EC5CE1" w14:textId="77777777" w:rsidR="00BD22FA" w:rsidRPr="00BD22FA" w:rsidRDefault="00BD22FA" w:rsidP="00BD22FA">
            <w:pPr>
              <w:spacing w:after="0" w:line="240" w:lineRule="auto"/>
              <w:rPr>
                <w:rFonts w:ascii="Arial" w:eastAsia="Times New Roman" w:hAnsi="Arial" w:cs="Arial"/>
                <w:color w:val="000000"/>
                <w:kern w:val="0"/>
                <w:sz w:val="18"/>
                <w:szCs w:val="18"/>
                <w:lang w:eastAsia="pt-BR"/>
                <w14:ligatures w14:val="none"/>
              </w:rPr>
            </w:pPr>
            <w:r w:rsidRPr="00BD22FA">
              <w:rPr>
                <w:rFonts w:ascii="Arial" w:eastAsia="Times New Roman" w:hAnsi="Arial" w:cs="Arial"/>
                <w:color w:val="000000"/>
                <w:kern w:val="0"/>
                <w:sz w:val="18"/>
                <w:szCs w:val="18"/>
                <w:lang w:eastAsia="pt-BR"/>
                <w14:ligatures w14:val="none"/>
              </w:rPr>
              <w:t xml:space="preserve"> Recebimentos no Período </w:t>
            </w:r>
          </w:p>
        </w:tc>
        <w:tc>
          <w:tcPr>
            <w:tcW w:w="792" w:type="pct"/>
            <w:tcBorders>
              <w:top w:val="nil"/>
              <w:left w:val="nil"/>
              <w:bottom w:val="single" w:sz="4" w:space="0" w:color="auto"/>
              <w:right w:val="single" w:sz="4" w:space="0" w:color="auto"/>
            </w:tcBorders>
            <w:shd w:val="clear" w:color="auto" w:fill="auto"/>
            <w:noWrap/>
            <w:vAlign w:val="center"/>
            <w:hideMark/>
          </w:tcPr>
          <w:p w14:paraId="5AB40944" w14:textId="77777777" w:rsidR="00BD22FA" w:rsidRPr="00BD22FA" w:rsidRDefault="00BD22FA" w:rsidP="00BD22FA">
            <w:pPr>
              <w:spacing w:after="0" w:line="240" w:lineRule="auto"/>
              <w:jc w:val="right"/>
              <w:rPr>
                <w:rFonts w:ascii="Arial" w:eastAsia="Times New Roman" w:hAnsi="Arial" w:cs="Arial"/>
                <w:color w:val="000000"/>
                <w:kern w:val="0"/>
                <w:sz w:val="18"/>
                <w:szCs w:val="18"/>
                <w:lang w:eastAsia="pt-BR"/>
                <w14:ligatures w14:val="none"/>
              </w:rPr>
            </w:pPr>
            <w:r w:rsidRPr="00BD22FA">
              <w:rPr>
                <w:rFonts w:ascii="Arial" w:eastAsia="Times New Roman" w:hAnsi="Arial" w:cs="Arial"/>
                <w:color w:val="000000"/>
                <w:kern w:val="0"/>
                <w:sz w:val="18"/>
                <w:szCs w:val="18"/>
                <w:lang w:eastAsia="pt-BR"/>
                <w14:ligatures w14:val="none"/>
              </w:rPr>
              <w:t xml:space="preserve">                (7.148)</w:t>
            </w:r>
          </w:p>
        </w:tc>
        <w:tc>
          <w:tcPr>
            <w:tcW w:w="720" w:type="pct"/>
            <w:tcBorders>
              <w:top w:val="nil"/>
              <w:left w:val="nil"/>
              <w:bottom w:val="single" w:sz="4" w:space="0" w:color="auto"/>
              <w:right w:val="single" w:sz="4" w:space="0" w:color="auto"/>
            </w:tcBorders>
            <w:shd w:val="clear" w:color="auto" w:fill="auto"/>
            <w:noWrap/>
            <w:vAlign w:val="bottom"/>
            <w:hideMark/>
          </w:tcPr>
          <w:p w14:paraId="47D45443" w14:textId="77777777" w:rsidR="00BD22FA" w:rsidRPr="00BD22FA" w:rsidRDefault="00BD22FA" w:rsidP="00BD22FA">
            <w:pPr>
              <w:spacing w:after="0" w:line="240" w:lineRule="auto"/>
              <w:jc w:val="right"/>
              <w:rPr>
                <w:rFonts w:ascii="Arial" w:eastAsia="Times New Roman" w:hAnsi="Arial" w:cs="Arial"/>
                <w:color w:val="000000"/>
                <w:kern w:val="0"/>
                <w:sz w:val="18"/>
                <w:szCs w:val="18"/>
                <w:lang w:eastAsia="pt-BR"/>
                <w14:ligatures w14:val="none"/>
              </w:rPr>
            </w:pPr>
            <w:r w:rsidRPr="00BD22FA">
              <w:rPr>
                <w:rFonts w:ascii="Arial" w:eastAsia="Times New Roman" w:hAnsi="Arial" w:cs="Arial"/>
                <w:color w:val="000000"/>
                <w:kern w:val="0"/>
                <w:sz w:val="18"/>
                <w:szCs w:val="18"/>
                <w:lang w:eastAsia="pt-BR"/>
                <w14:ligatures w14:val="none"/>
              </w:rPr>
              <w:t xml:space="preserve">                (206)</w:t>
            </w:r>
          </w:p>
        </w:tc>
        <w:tc>
          <w:tcPr>
            <w:tcW w:w="569" w:type="pct"/>
            <w:tcBorders>
              <w:top w:val="nil"/>
              <w:left w:val="nil"/>
              <w:bottom w:val="single" w:sz="4" w:space="0" w:color="auto"/>
              <w:right w:val="single" w:sz="4" w:space="0" w:color="auto"/>
            </w:tcBorders>
            <w:shd w:val="clear" w:color="auto" w:fill="auto"/>
            <w:noWrap/>
            <w:vAlign w:val="bottom"/>
            <w:hideMark/>
          </w:tcPr>
          <w:p w14:paraId="37B17105" w14:textId="77777777" w:rsidR="00BD22FA" w:rsidRPr="00BD22FA" w:rsidRDefault="00BD22FA" w:rsidP="00BD22FA">
            <w:pPr>
              <w:spacing w:after="0" w:line="240" w:lineRule="auto"/>
              <w:jc w:val="right"/>
              <w:rPr>
                <w:rFonts w:ascii="Arial" w:eastAsia="Times New Roman" w:hAnsi="Arial" w:cs="Arial"/>
                <w:color w:val="000000"/>
                <w:kern w:val="0"/>
                <w:sz w:val="18"/>
                <w:szCs w:val="18"/>
                <w:lang w:eastAsia="pt-BR"/>
                <w14:ligatures w14:val="none"/>
              </w:rPr>
            </w:pPr>
            <w:r w:rsidRPr="00BD22FA">
              <w:rPr>
                <w:rFonts w:ascii="Arial" w:eastAsia="Times New Roman" w:hAnsi="Arial" w:cs="Arial"/>
                <w:color w:val="000000"/>
                <w:kern w:val="0"/>
                <w:sz w:val="18"/>
                <w:szCs w:val="18"/>
                <w:lang w:eastAsia="pt-BR"/>
                <w14:ligatures w14:val="none"/>
              </w:rPr>
              <w:t xml:space="preserve">        (7.354)</w:t>
            </w:r>
          </w:p>
        </w:tc>
      </w:tr>
      <w:tr w:rsidR="00BD22FA" w:rsidRPr="00BD22FA" w14:paraId="20CEFAE6" w14:textId="77777777" w:rsidTr="00BD22FA">
        <w:trPr>
          <w:trHeight w:val="238"/>
        </w:trPr>
        <w:tc>
          <w:tcPr>
            <w:tcW w:w="2919" w:type="pct"/>
            <w:tcBorders>
              <w:top w:val="nil"/>
              <w:left w:val="single" w:sz="4" w:space="0" w:color="auto"/>
              <w:bottom w:val="single" w:sz="4" w:space="0" w:color="auto"/>
              <w:right w:val="single" w:sz="4" w:space="0" w:color="auto"/>
            </w:tcBorders>
            <w:shd w:val="clear" w:color="auto" w:fill="auto"/>
            <w:noWrap/>
            <w:vAlign w:val="center"/>
            <w:hideMark/>
          </w:tcPr>
          <w:p w14:paraId="7ED01E16" w14:textId="77777777" w:rsidR="00BD22FA" w:rsidRPr="00BD22FA" w:rsidRDefault="00BD22FA" w:rsidP="00BD22FA">
            <w:pPr>
              <w:spacing w:after="0" w:line="240" w:lineRule="auto"/>
              <w:rPr>
                <w:rFonts w:ascii="Arial" w:eastAsia="Times New Roman" w:hAnsi="Arial" w:cs="Arial"/>
                <w:b/>
                <w:bCs/>
                <w:color w:val="000000"/>
                <w:kern w:val="0"/>
                <w:sz w:val="18"/>
                <w:szCs w:val="18"/>
                <w:lang w:eastAsia="pt-BR"/>
                <w14:ligatures w14:val="none"/>
              </w:rPr>
            </w:pPr>
            <w:r w:rsidRPr="00BD22FA">
              <w:rPr>
                <w:rFonts w:ascii="Arial" w:eastAsia="Times New Roman" w:hAnsi="Arial" w:cs="Arial"/>
                <w:b/>
                <w:bCs/>
                <w:color w:val="000000"/>
                <w:kern w:val="0"/>
                <w:sz w:val="18"/>
                <w:szCs w:val="18"/>
                <w:lang w:eastAsia="pt-BR"/>
                <w14:ligatures w14:val="none"/>
              </w:rPr>
              <w:t xml:space="preserve"> Saldo em 31 de dezembro de 2023</w:t>
            </w:r>
          </w:p>
        </w:tc>
        <w:tc>
          <w:tcPr>
            <w:tcW w:w="792" w:type="pct"/>
            <w:tcBorders>
              <w:top w:val="nil"/>
              <w:left w:val="nil"/>
              <w:bottom w:val="single" w:sz="4" w:space="0" w:color="auto"/>
              <w:right w:val="single" w:sz="4" w:space="0" w:color="auto"/>
            </w:tcBorders>
            <w:shd w:val="clear" w:color="auto" w:fill="auto"/>
            <w:noWrap/>
            <w:vAlign w:val="center"/>
            <w:hideMark/>
          </w:tcPr>
          <w:p w14:paraId="111F2C6E" w14:textId="77777777" w:rsidR="00BD22FA" w:rsidRPr="00BD22FA" w:rsidRDefault="00BD22FA" w:rsidP="00BD22FA">
            <w:pPr>
              <w:spacing w:after="0" w:line="240" w:lineRule="auto"/>
              <w:jc w:val="right"/>
              <w:rPr>
                <w:rFonts w:ascii="Arial" w:eastAsia="Times New Roman" w:hAnsi="Arial" w:cs="Arial"/>
                <w:b/>
                <w:bCs/>
                <w:color w:val="000000"/>
                <w:kern w:val="0"/>
                <w:sz w:val="18"/>
                <w:szCs w:val="18"/>
                <w:lang w:eastAsia="pt-BR"/>
                <w14:ligatures w14:val="none"/>
              </w:rPr>
            </w:pPr>
            <w:r w:rsidRPr="00BD22FA">
              <w:rPr>
                <w:rFonts w:ascii="Arial" w:eastAsia="Times New Roman" w:hAnsi="Arial" w:cs="Arial"/>
                <w:b/>
                <w:bCs/>
                <w:color w:val="000000"/>
                <w:kern w:val="0"/>
                <w:sz w:val="18"/>
                <w:szCs w:val="18"/>
                <w14:ligatures w14:val="none"/>
              </w:rPr>
              <w:t xml:space="preserve">                20.781 </w:t>
            </w:r>
          </w:p>
        </w:tc>
        <w:tc>
          <w:tcPr>
            <w:tcW w:w="720" w:type="pct"/>
            <w:tcBorders>
              <w:top w:val="nil"/>
              <w:left w:val="nil"/>
              <w:bottom w:val="single" w:sz="4" w:space="0" w:color="auto"/>
              <w:right w:val="single" w:sz="4" w:space="0" w:color="auto"/>
            </w:tcBorders>
            <w:shd w:val="clear" w:color="auto" w:fill="auto"/>
            <w:noWrap/>
            <w:vAlign w:val="center"/>
            <w:hideMark/>
          </w:tcPr>
          <w:p w14:paraId="73F823F1" w14:textId="77777777" w:rsidR="00BD22FA" w:rsidRPr="00BD22FA" w:rsidRDefault="00BD22FA" w:rsidP="00BD22FA">
            <w:pPr>
              <w:spacing w:after="0" w:line="240" w:lineRule="auto"/>
              <w:jc w:val="right"/>
              <w:rPr>
                <w:rFonts w:ascii="Arial" w:eastAsia="Times New Roman" w:hAnsi="Arial" w:cs="Arial"/>
                <w:b/>
                <w:bCs/>
                <w:color w:val="000000"/>
                <w:kern w:val="0"/>
                <w:sz w:val="18"/>
                <w:szCs w:val="18"/>
                <w:lang w:eastAsia="pt-BR"/>
                <w14:ligatures w14:val="none"/>
              </w:rPr>
            </w:pPr>
            <w:r w:rsidRPr="00BD22FA">
              <w:rPr>
                <w:rFonts w:ascii="Arial" w:eastAsia="Times New Roman" w:hAnsi="Arial" w:cs="Arial"/>
                <w:b/>
                <w:bCs/>
                <w:color w:val="000000"/>
                <w:kern w:val="0"/>
                <w:sz w:val="18"/>
                <w:szCs w:val="18"/>
                <w:lang w:eastAsia="pt-BR"/>
                <w14:ligatures w14:val="none"/>
              </w:rPr>
              <w:t xml:space="preserve">               7.215 </w:t>
            </w:r>
          </w:p>
        </w:tc>
        <w:tc>
          <w:tcPr>
            <w:tcW w:w="569" w:type="pct"/>
            <w:tcBorders>
              <w:top w:val="nil"/>
              <w:left w:val="nil"/>
              <w:bottom w:val="single" w:sz="4" w:space="0" w:color="auto"/>
              <w:right w:val="single" w:sz="4" w:space="0" w:color="auto"/>
            </w:tcBorders>
            <w:shd w:val="clear" w:color="auto" w:fill="auto"/>
            <w:noWrap/>
            <w:vAlign w:val="center"/>
            <w:hideMark/>
          </w:tcPr>
          <w:p w14:paraId="1187C64C" w14:textId="77777777" w:rsidR="00BD22FA" w:rsidRPr="00BD22FA" w:rsidRDefault="00BD22FA" w:rsidP="00BD22FA">
            <w:pPr>
              <w:spacing w:after="0" w:line="240" w:lineRule="auto"/>
              <w:jc w:val="right"/>
              <w:rPr>
                <w:rFonts w:ascii="Arial" w:eastAsia="Times New Roman" w:hAnsi="Arial" w:cs="Arial"/>
                <w:b/>
                <w:bCs/>
                <w:color w:val="000000"/>
                <w:kern w:val="0"/>
                <w:sz w:val="18"/>
                <w:szCs w:val="18"/>
                <w:lang w:eastAsia="pt-BR"/>
                <w14:ligatures w14:val="none"/>
              </w:rPr>
            </w:pPr>
            <w:r w:rsidRPr="00BD22FA">
              <w:rPr>
                <w:rFonts w:ascii="Arial" w:eastAsia="Times New Roman" w:hAnsi="Arial" w:cs="Arial"/>
                <w:b/>
                <w:bCs/>
                <w:color w:val="000000"/>
                <w:kern w:val="0"/>
                <w:sz w:val="18"/>
                <w:szCs w:val="18"/>
                <w:lang w:eastAsia="pt-BR"/>
                <w14:ligatures w14:val="none"/>
              </w:rPr>
              <w:t xml:space="preserve">       27.996 </w:t>
            </w:r>
          </w:p>
        </w:tc>
      </w:tr>
      <w:tr w:rsidR="00BD22FA" w:rsidRPr="00BD22FA" w14:paraId="59604718" w14:textId="77777777" w:rsidTr="00BD22FA">
        <w:trPr>
          <w:trHeight w:val="238"/>
        </w:trPr>
        <w:tc>
          <w:tcPr>
            <w:tcW w:w="2919" w:type="pct"/>
            <w:tcBorders>
              <w:top w:val="nil"/>
              <w:left w:val="single" w:sz="4" w:space="0" w:color="auto"/>
              <w:bottom w:val="single" w:sz="4" w:space="0" w:color="auto"/>
              <w:right w:val="single" w:sz="4" w:space="0" w:color="auto"/>
            </w:tcBorders>
            <w:shd w:val="clear" w:color="auto" w:fill="auto"/>
            <w:noWrap/>
            <w:vAlign w:val="center"/>
            <w:hideMark/>
          </w:tcPr>
          <w:p w14:paraId="3F7C0041" w14:textId="77777777" w:rsidR="00BD22FA" w:rsidRPr="00BD22FA" w:rsidRDefault="00BD22FA" w:rsidP="00BD22FA">
            <w:pPr>
              <w:spacing w:after="0" w:line="240" w:lineRule="auto"/>
              <w:rPr>
                <w:rFonts w:ascii="Arial" w:eastAsia="Times New Roman" w:hAnsi="Arial" w:cs="Arial"/>
                <w:b/>
                <w:bCs/>
                <w:color w:val="000000"/>
                <w:kern w:val="0"/>
                <w:sz w:val="18"/>
                <w:szCs w:val="18"/>
                <w:lang w:eastAsia="pt-BR"/>
                <w14:ligatures w14:val="none"/>
              </w:rPr>
            </w:pPr>
            <w:r w:rsidRPr="00BD22FA">
              <w:rPr>
                <w:rFonts w:ascii="Arial" w:eastAsia="Times New Roman" w:hAnsi="Arial" w:cs="Arial"/>
                <w:b/>
                <w:bCs/>
                <w:color w:val="000000"/>
                <w:kern w:val="0"/>
                <w:sz w:val="18"/>
                <w:szCs w:val="18"/>
                <w:lang w:eastAsia="pt-BR"/>
                <w14:ligatures w14:val="none"/>
              </w:rPr>
              <w:t xml:space="preserve"> Circulante </w:t>
            </w:r>
          </w:p>
        </w:tc>
        <w:tc>
          <w:tcPr>
            <w:tcW w:w="792" w:type="pct"/>
            <w:tcBorders>
              <w:top w:val="nil"/>
              <w:left w:val="nil"/>
              <w:bottom w:val="single" w:sz="4" w:space="0" w:color="auto"/>
              <w:right w:val="single" w:sz="4" w:space="0" w:color="auto"/>
            </w:tcBorders>
            <w:shd w:val="clear" w:color="auto" w:fill="auto"/>
            <w:noWrap/>
            <w:vAlign w:val="center"/>
            <w:hideMark/>
          </w:tcPr>
          <w:p w14:paraId="13228805" w14:textId="77777777" w:rsidR="00BD22FA" w:rsidRPr="00BD22FA" w:rsidRDefault="00BD22FA" w:rsidP="00BD22FA">
            <w:pPr>
              <w:spacing w:after="0" w:line="240" w:lineRule="auto"/>
              <w:jc w:val="right"/>
              <w:rPr>
                <w:rFonts w:ascii="Arial" w:eastAsia="Times New Roman" w:hAnsi="Arial" w:cs="Arial"/>
                <w:b/>
                <w:bCs/>
                <w:color w:val="000000"/>
                <w:kern w:val="0"/>
                <w:sz w:val="18"/>
                <w:szCs w:val="18"/>
                <w:lang w:eastAsia="pt-BR"/>
                <w14:ligatures w14:val="none"/>
              </w:rPr>
            </w:pPr>
            <w:r w:rsidRPr="00BD22FA">
              <w:rPr>
                <w:rFonts w:ascii="Arial" w:eastAsia="Times New Roman" w:hAnsi="Arial" w:cs="Arial"/>
                <w:b/>
                <w:bCs/>
                <w:color w:val="000000"/>
                <w:kern w:val="0"/>
                <w:sz w:val="18"/>
                <w:szCs w:val="18"/>
                <w:lang w:eastAsia="pt-BR"/>
                <w14:ligatures w14:val="none"/>
              </w:rPr>
              <w:t xml:space="preserve">                  9.796 </w:t>
            </w:r>
          </w:p>
        </w:tc>
        <w:tc>
          <w:tcPr>
            <w:tcW w:w="720" w:type="pct"/>
            <w:tcBorders>
              <w:top w:val="nil"/>
              <w:left w:val="nil"/>
              <w:bottom w:val="single" w:sz="4" w:space="0" w:color="auto"/>
              <w:right w:val="single" w:sz="4" w:space="0" w:color="auto"/>
            </w:tcBorders>
            <w:shd w:val="clear" w:color="auto" w:fill="auto"/>
            <w:noWrap/>
            <w:vAlign w:val="bottom"/>
            <w:hideMark/>
          </w:tcPr>
          <w:p w14:paraId="2EC8E974" w14:textId="77777777" w:rsidR="00BD22FA" w:rsidRPr="00BD22FA" w:rsidRDefault="00BD22FA" w:rsidP="00BD22FA">
            <w:pPr>
              <w:spacing w:after="0" w:line="240" w:lineRule="auto"/>
              <w:jc w:val="right"/>
              <w:rPr>
                <w:rFonts w:ascii="Arial" w:eastAsia="Times New Roman" w:hAnsi="Arial" w:cs="Arial"/>
                <w:b/>
                <w:bCs/>
                <w:color w:val="000000"/>
                <w:kern w:val="0"/>
                <w:sz w:val="18"/>
                <w:szCs w:val="18"/>
                <w:lang w:eastAsia="pt-BR"/>
                <w14:ligatures w14:val="none"/>
              </w:rPr>
            </w:pPr>
            <w:r w:rsidRPr="00BD22FA">
              <w:rPr>
                <w:rFonts w:ascii="Arial" w:eastAsia="Times New Roman" w:hAnsi="Arial" w:cs="Arial"/>
                <w:b/>
                <w:bCs/>
                <w:color w:val="000000"/>
                <w:kern w:val="0"/>
                <w:sz w:val="18"/>
                <w:szCs w:val="18"/>
                <w:lang w:eastAsia="pt-BR"/>
                <w14:ligatures w14:val="none"/>
              </w:rPr>
              <w:t xml:space="preserve">               2.474 </w:t>
            </w:r>
          </w:p>
        </w:tc>
        <w:tc>
          <w:tcPr>
            <w:tcW w:w="569" w:type="pct"/>
            <w:tcBorders>
              <w:top w:val="nil"/>
              <w:left w:val="nil"/>
              <w:bottom w:val="single" w:sz="4" w:space="0" w:color="auto"/>
              <w:right w:val="single" w:sz="4" w:space="0" w:color="auto"/>
            </w:tcBorders>
            <w:shd w:val="clear" w:color="auto" w:fill="auto"/>
            <w:noWrap/>
            <w:vAlign w:val="bottom"/>
            <w:hideMark/>
          </w:tcPr>
          <w:p w14:paraId="6CB0E579" w14:textId="77777777" w:rsidR="00BD22FA" w:rsidRPr="00BD22FA" w:rsidRDefault="00BD22FA" w:rsidP="00BD22FA">
            <w:pPr>
              <w:spacing w:after="0" w:line="240" w:lineRule="auto"/>
              <w:jc w:val="right"/>
              <w:rPr>
                <w:rFonts w:ascii="Arial" w:eastAsia="Times New Roman" w:hAnsi="Arial" w:cs="Arial"/>
                <w:b/>
                <w:bCs/>
                <w:color w:val="000000"/>
                <w:kern w:val="0"/>
                <w:sz w:val="18"/>
                <w:szCs w:val="18"/>
                <w:lang w:eastAsia="pt-BR"/>
                <w14:ligatures w14:val="none"/>
              </w:rPr>
            </w:pPr>
            <w:r w:rsidRPr="00BD22FA">
              <w:rPr>
                <w:rFonts w:ascii="Arial" w:eastAsia="Times New Roman" w:hAnsi="Arial" w:cs="Arial"/>
                <w:b/>
                <w:bCs/>
                <w:color w:val="000000"/>
                <w:kern w:val="0"/>
                <w:sz w:val="18"/>
                <w:szCs w:val="18"/>
                <w:lang w:eastAsia="pt-BR"/>
                <w14:ligatures w14:val="none"/>
              </w:rPr>
              <w:t xml:space="preserve">       12.270 </w:t>
            </w:r>
          </w:p>
        </w:tc>
      </w:tr>
      <w:tr w:rsidR="00BD22FA" w:rsidRPr="00BD22FA" w14:paraId="4C6AA8C3" w14:textId="77777777" w:rsidTr="00BD22FA">
        <w:trPr>
          <w:trHeight w:val="238"/>
        </w:trPr>
        <w:tc>
          <w:tcPr>
            <w:tcW w:w="2919" w:type="pct"/>
            <w:tcBorders>
              <w:top w:val="nil"/>
              <w:left w:val="single" w:sz="4" w:space="0" w:color="auto"/>
              <w:bottom w:val="single" w:sz="4" w:space="0" w:color="auto"/>
              <w:right w:val="single" w:sz="4" w:space="0" w:color="auto"/>
            </w:tcBorders>
            <w:shd w:val="clear" w:color="auto" w:fill="auto"/>
            <w:noWrap/>
            <w:vAlign w:val="center"/>
            <w:hideMark/>
          </w:tcPr>
          <w:p w14:paraId="5D945289" w14:textId="77777777" w:rsidR="00BD22FA" w:rsidRPr="00BD22FA" w:rsidRDefault="00BD22FA" w:rsidP="00BD22FA">
            <w:pPr>
              <w:spacing w:after="0" w:line="240" w:lineRule="auto"/>
              <w:rPr>
                <w:rFonts w:ascii="Arial" w:eastAsia="Times New Roman" w:hAnsi="Arial" w:cs="Arial"/>
                <w:b/>
                <w:bCs/>
                <w:color w:val="000000"/>
                <w:kern w:val="0"/>
                <w:sz w:val="18"/>
                <w:szCs w:val="18"/>
                <w:lang w:eastAsia="pt-BR"/>
                <w14:ligatures w14:val="none"/>
              </w:rPr>
            </w:pPr>
            <w:r w:rsidRPr="00BD22FA">
              <w:rPr>
                <w:rFonts w:ascii="Arial" w:eastAsia="Times New Roman" w:hAnsi="Arial" w:cs="Arial"/>
                <w:b/>
                <w:bCs/>
                <w:color w:val="000000"/>
                <w:kern w:val="0"/>
                <w:sz w:val="18"/>
                <w:szCs w:val="18"/>
                <w:lang w:eastAsia="pt-BR"/>
                <w14:ligatures w14:val="none"/>
              </w:rPr>
              <w:t xml:space="preserve"> Não Circulante </w:t>
            </w:r>
          </w:p>
        </w:tc>
        <w:tc>
          <w:tcPr>
            <w:tcW w:w="792" w:type="pct"/>
            <w:tcBorders>
              <w:top w:val="nil"/>
              <w:left w:val="nil"/>
              <w:bottom w:val="single" w:sz="4" w:space="0" w:color="auto"/>
              <w:right w:val="single" w:sz="4" w:space="0" w:color="auto"/>
            </w:tcBorders>
            <w:shd w:val="clear" w:color="auto" w:fill="auto"/>
            <w:noWrap/>
            <w:vAlign w:val="center"/>
            <w:hideMark/>
          </w:tcPr>
          <w:p w14:paraId="1E2F446A" w14:textId="77777777" w:rsidR="00BD22FA" w:rsidRPr="00BD22FA" w:rsidRDefault="00BD22FA" w:rsidP="00BD22FA">
            <w:pPr>
              <w:spacing w:after="0" w:line="240" w:lineRule="auto"/>
              <w:jc w:val="right"/>
              <w:rPr>
                <w:rFonts w:ascii="Arial" w:eastAsia="Times New Roman" w:hAnsi="Arial" w:cs="Arial"/>
                <w:b/>
                <w:bCs/>
                <w:color w:val="000000"/>
                <w:kern w:val="0"/>
                <w:sz w:val="18"/>
                <w:szCs w:val="18"/>
                <w:lang w:eastAsia="pt-BR"/>
                <w14:ligatures w14:val="none"/>
              </w:rPr>
            </w:pPr>
            <w:r w:rsidRPr="00BD22FA">
              <w:rPr>
                <w:rFonts w:ascii="Arial" w:eastAsia="Times New Roman" w:hAnsi="Arial" w:cs="Arial"/>
                <w:b/>
                <w:bCs/>
                <w:color w:val="000000"/>
                <w:kern w:val="0"/>
                <w:sz w:val="18"/>
                <w:szCs w:val="18"/>
                <w:lang w:eastAsia="pt-BR"/>
                <w14:ligatures w14:val="none"/>
              </w:rPr>
              <w:t xml:space="preserve">                10.985 </w:t>
            </w:r>
          </w:p>
        </w:tc>
        <w:tc>
          <w:tcPr>
            <w:tcW w:w="720" w:type="pct"/>
            <w:tcBorders>
              <w:top w:val="nil"/>
              <w:left w:val="nil"/>
              <w:bottom w:val="single" w:sz="4" w:space="0" w:color="auto"/>
              <w:right w:val="single" w:sz="4" w:space="0" w:color="auto"/>
            </w:tcBorders>
            <w:shd w:val="clear" w:color="auto" w:fill="auto"/>
            <w:noWrap/>
            <w:vAlign w:val="bottom"/>
            <w:hideMark/>
          </w:tcPr>
          <w:p w14:paraId="1660468A" w14:textId="77777777" w:rsidR="00BD22FA" w:rsidRPr="00BD22FA" w:rsidRDefault="00BD22FA" w:rsidP="00BD22FA">
            <w:pPr>
              <w:spacing w:after="0" w:line="240" w:lineRule="auto"/>
              <w:jc w:val="right"/>
              <w:rPr>
                <w:rFonts w:ascii="Arial" w:eastAsia="Times New Roman" w:hAnsi="Arial" w:cs="Arial"/>
                <w:b/>
                <w:bCs/>
                <w:color w:val="000000"/>
                <w:kern w:val="0"/>
                <w:sz w:val="18"/>
                <w:szCs w:val="18"/>
                <w:lang w:eastAsia="pt-BR"/>
                <w14:ligatures w14:val="none"/>
              </w:rPr>
            </w:pPr>
            <w:r w:rsidRPr="00BD22FA">
              <w:rPr>
                <w:rFonts w:ascii="Arial" w:eastAsia="Times New Roman" w:hAnsi="Arial" w:cs="Arial"/>
                <w:b/>
                <w:bCs/>
                <w:color w:val="000000"/>
                <w:kern w:val="0"/>
                <w:sz w:val="18"/>
                <w:szCs w:val="18"/>
                <w:lang w:eastAsia="pt-BR"/>
                <w14:ligatures w14:val="none"/>
              </w:rPr>
              <w:t xml:space="preserve">               4.741 </w:t>
            </w:r>
          </w:p>
        </w:tc>
        <w:tc>
          <w:tcPr>
            <w:tcW w:w="569" w:type="pct"/>
            <w:tcBorders>
              <w:top w:val="nil"/>
              <w:left w:val="nil"/>
              <w:bottom w:val="single" w:sz="4" w:space="0" w:color="auto"/>
              <w:right w:val="single" w:sz="4" w:space="0" w:color="auto"/>
            </w:tcBorders>
            <w:shd w:val="clear" w:color="auto" w:fill="auto"/>
            <w:noWrap/>
            <w:vAlign w:val="bottom"/>
            <w:hideMark/>
          </w:tcPr>
          <w:p w14:paraId="067EE02C" w14:textId="77777777" w:rsidR="00BD22FA" w:rsidRPr="00BD22FA" w:rsidRDefault="00BD22FA" w:rsidP="00BD22FA">
            <w:pPr>
              <w:spacing w:after="0" w:line="240" w:lineRule="auto"/>
              <w:jc w:val="right"/>
              <w:rPr>
                <w:rFonts w:ascii="Arial" w:eastAsia="Times New Roman" w:hAnsi="Arial" w:cs="Arial"/>
                <w:b/>
                <w:bCs/>
                <w:color w:val="000000"/>
                <w:kern w:val="0"/>
                <w:sz w:val="18"/>
                <w:szCs w:val="18"/>
                <w:lang w:eastAsia="pt-BR"/>
                <w14:ligatures w14:val="none"/>
              </w:rPr>
            </w:pPr>
            <w:r w:rsidRPr="00BD22FA">
              <w:rPr>
                <w:rFonts w:ascii="Arial" w:eastAsia="Times New Roman" w:hAnsi="Arial" w:cs="Arial"/>
                <w:b/>
                <w:bCs/>
                <w:color w:val="000000"/>
                <w:kern w:val="0"/>
                <w:sz w:val="18"/>
                <w:szCs w:val="18"/>
                <w:lang w:eastAsia="pt-BR"/>
                <w14:ligatures w14:val="none"/>
              </w:rPr>
              <w:t xml:space="preserve">       15.726 </w:t>
            </w:r>
          </w:p>
        </w:tc>
      </w:tr>
    </w:tbl>
    <w:p w14:paraId="1801B13B" w14:textId="365E967B" w:rsidR="00BD22FA" w:rsidRPr="00BD22FA" w:rsidRDefault="00BD22FA" w:rsidP="007A23F8">
      <w:pPr>
        <w:autoSpaceDE w:val="0"/>
        <w:autoSpaceDN w:val="0"/>
        <w:adjustRightInd w:val="0"/>
        <w:spacing w:after="0" w:line="240" w:lineRule="auto"/>
        <w:jc w:val="both"/>
        <w:rPr>
          <w:rFonts w:ascii="Calibri" w:eastAsia="Times New Roman" w:hAnsi="Calibri" w:cs="Calibri"/>
          <w:b/>
          <w:bCs/>
          <w:iCs/>
          <w:color w:val="002060"/>
          <w:kern w:val="0"/>
          <w14:ligatures w14:val="none"/>
        </w:rPr>
      </w:pPr>
      <w:bookmarkStart w:id="391" w:name="_Toc491337717"/>
      <w:r>
        <w:rPr>
          <w:rFonts w:ascii="Calibri" w:eastAsia="Times New Roman" w:hAnsi="Calibri" w:cs="Calibri"/>
          <w:b/>
          <w:bCs/>
          <w:iCs/>
          <w:color w:val="002060"/>
          <w:kern w:val="0"/>
          <w14:ligatures w14:val="none"/>
        </w:rPr>
        <w:t xml:space="preserve">10. </w:t>
      </w:r>
      <w:r w:rsidRPr="00BD22FA">
        <w:rPr>
          <w:rFonts w:ascii="Calibri" w:eastAsia="Times New Roman" w:hAnsi="Calibri" w:cs="Calibri"/>
          <w:b/>
          <w:bCs/>
          <w:iCs/>
          <w:color w:val="002060"/>
          <w:kern w:val="0"/>
          <w14:ligatures w14:val="none"/>
        </w:rPr>
        <w:t>OUTROS ATIVOS REALIZÁVEIS</w:t>
      </w:r>
      <w:bookmarkEnd w:id="391"/>
    </w:p>
    <w:p w14:paraId="4E76E0AF" w14:textId="30015776" w:rsidR="00BD22FA" w:rsidRPr="00BD22FA" w:rsidRDefault="00BD22FA" w:rsidP="007A23F8">
      <w:pPr>
        <w:autoSpaceDE w:val="0"/>
        <w:autoSpaceDN w:val="0"/>
        <w:adjustRightInd w:val="0"/>
        <w:spacing w:after="0" w:line="240" w:lineRule="auto"/>
        <w:jc w:val="both"/>
        <w:rPr>
          <w:rFonts w:ascii="Calibri" w:eastAsia="Times New Roman" w:hAnsi="Calibri" w:cs="Calibri"/>
          <w:b/>
          <w:bCs/>
          <w:iCs/>
          <w:color w:val="002060"/>
          <w:kern w:val="0"/>
          <w14:ligatures w14:val="none"/>
        </w:rPr>
      </w:pPr>
      <w:bookmarkStart w:id="392" w:name="_Toc491337718"/>
      <w:r w:rsidRPr="00BD22FA">
        <w:rPr>
          <w:rFonts w:ascii="Calibri" w:eastAsia="Times New Roman" w:hAnsi="Calibri" w:cs="Calibri"/>
          <w:b/>
          <w:bCs/>
          <w:iCs/>
          <w:color w:val="002060"/>
          <w:kern w:val="0"/>
          <w14:ligatures w14:val="none"/>
        </w:rPr>
        <w:t>10.1. Valores a receber de colaboradores cedidos</w:t>
      </w:r>
      <w:bookmarkEnd w:id="392"/>
    </w:p>
    <w:p w14:paraId="44ED4EA3" w14:textId="77777777" w:rsidR="00BD22FA" w:rsidRPr="00BD22FA" w:rsidRDefault="00BD22FA" w:rsidP="007A23F8">
      <w:pPr>
        <w:autoSpaceDE w:val="0"/>
        <w:autoSpaceDN w:val="0"/>
        <w:adjustRightInd w:val="0"/>
        <w:spacing w:after="0" w:line="240" w:lineRule="auto"/>
        <w:jc w:val="both"/>
        <w:rPr>
          <w:rFonts w:ascii="Calibri" w:eastAsia="Times New Roman" w:hAnsi="Calibri" w:cs="Calibri"/>
          <w:iCs/>
          <w:color w:val="002060"/>
          <w:kern w:val="0"/>
          <w14:ligatures w14:val="none"/>
        </w:rPr>
      </w:pPr>
      <w:r w:rsidRPr="00BD22FA">
        <w:rPr>
          <w:rFonts w:ascii="Calibri" w:eastAsia="Times New Roman" w:hAnsi="Calibri" w:cs="Calibri"/>
          <w:iCs/>
          <w:color w:val="002060"/>
          <w:kern w:val="0"/>
          <w14:ligatures w14:val="none"/>
        </w:rPr>
        <w:t xml:space="preserve">A Companhia possui Colaboradores cedidos à Agência Nacional de Telecomunicações (ANATEL) e a outros Órgãos Governamentais. Os valores a receber referem-se a salários e respectivos encargos e benefícios sociais, inclusive provisões de férias e 13º salários. </w:t>
      </w:r>
    </w:p>
    <w:p w14:paraId="0090B058" w14:textId="77777777" w:rsidR="00BD22FA" w:rsidRDefault="00BD22FA" w:rsidP="007A23F8">
      <w:pPr>
        <w:autoSpaceDE w:val="0"/>
        <w:autoSpaceDN w:val="0"/>
        <w:adjustRightInd w:val="0"/>
        <w:spacing w:after="0" w:line="240" w:lineRule="auto"/>
        <w:jc w:val="both"/>
        <w:rPr>
          <w:rFonts w:ascii="Calibri" w:eastAsia="Times New Roman" w:hAnsi="Calibri" w:cs="Calibri"/>
          <w:iCs/>
          <w:color w:val="002060"/>
          <w:kern w:val="0"/>
          <w14:ligatures w14:val="none"/>
        </w:rPr>
      </w:pPr>
      <w:r w:rsidRPr="00BD22FA">
        <w:rPr>
          <w:rFonts w:ascii="Calibri" w:eastAsia="Times New Roman" w:hAnsi="Calibri" w:cs="Calibri"/>
          <w:iCs/>
          <w:color w:val="002060"/>
          <w:kern w:val="0"/>
          <w14:ligatures w14:val="none"/>
        </w:rPr>
        <w:t>Em 31 de dezembro de 2023 e 31 de dezembro de 2022, os valores a receber referentes à cessão de Colaboradores da Telebras às entidades governamentais estão apresentados no quadro a seguir:</w:t>
      </w:r>
    </w:p>
    <w:tbl>
      <w:tblPr>
        <w:tblW w:w="5000" w:type="pct"/>
        <w:tblCellMar>
          <w:left w:w="70" w:type="dxa"/>
          <w:right w:w="70" w:type="dxa"/>
        </w:tblCellMar>
        <w:tblLook w:val="04A0" w:firstRow="1" w:lastRow="0" w:firstColumn="1" w:lastColumn="0" w:noHBand="0" w:noVBand="1"/>
      </w:tblPr>
      <w:tblGrid>
        <w:gridCol w:w="7094"/>
        <w:gridCol w:w="1273"/>
        <w:gridCol w:w="1394"/>
      </w:tblGrid>
      <w:tr w:rsidR="00BD22FA" w:rsidRPr="00BD22FA" w14:paraId="39E86598" w14:textId="77777777" w:rsidTr="00446A14">
        <w:trPr>
          <w:trHeight w:val="238"/>
        </w:trPr>
        <w:tc>
          <w:tcPr>
            <w:tcW w:w="3634" w:type="pct"/>
            <w:tcBorders>
              <w:top w:val="single" w:sz="8" w:space="0" w:color="auto"/>
              <w:left w:val="single" w:sz="8" w:space="0" w:color="auto"/>
              <w:bottom w:val="single" w:sz="8" w:space="0" w:color="auto"/>
              <w:right w:val="single" w:sz="8" w:space="0" w:color="auto"/>
            </w:tcBorders>
            <w:shd w:val="clear" w:color="000000" w:fill="C0C0C0"/>
            <w:vAlign w:val="center"/>
            <w:hideMark/>
          </w:tcPr>
          <w:p w14:paraId="47BA3BC6" w14:textId="77777777" w:rsidR="00BD22FA" w:rsidRPr="00BD22FA" w:rsidRDefault="00BD22FA" w:rsidP="00BD22FA">
            <w:pPr>
              <w:spacing w:after="0" w:line="240" w:lineRule="auto"/>
              <w:rPr>
                <w:rFonts w:ascii="Arial" w:eastAsia="Times New Roman" w:hAnsi="Arial" w:cs="Arial"/>
                <w:b/>
                <w:bCs/>
                <w:color w:val="000000"/>
                <w:kern w:val="0"/>
                <w:sz w:val="18"/>
                <w:szCs w:val="18"/>
                <w:lang w:eastAsia="pt-BR"/>
                <w14:ligatures w14:val="none"/>
              </w:rPr>
            </w:pPr>
            <w:r w:rsidRPr="00BD22FA">
              <w:rPr>
                <w:rFonts w:ascii="Arial" w:eastAsia="Times New Roman" w:hAnsi="Arial" w:cs="Arial"/>
                <w:b/>
                <w:bCs/>
                <w:color w:val="000000"/>
                <w:kern w:val="0"/>
                <w:sz w:val="18"/>
                <w:szCs w:val="18"/>
                <w14:ligatures w14:val="none"/>
              </w:rPr>
              <w:t>Órgãos/Entidades: </w:t>
            </w:r>
          </w:p>
        </w:tc>
        <w:tc>
          <w:tcPr>
            <w:tcW w:w="652" w:type="pct"/>
            <w:tcBorders>
              <w:top w:val="single" w:sz="8" w:space="0" w:color="auto"/>
              <w:left w:val="nil"/>
              <w:bottom w:val="single" w:sz="8" w:space="0" w:color="auto"/>
              <w:right w:val="single" w:sz="8" w:space="0" w:color="auto"/>
            </w:tcBorders>
            <w:shd w:val="clear" w:color="auto" w:fill="auto"/>
            <w:vAlign w:val="center"/>
            <w:hideMark/>
          </w:tcPr>
          <w:p w14:paraId="4E93ED33" w14:textId="77777777" w:rsidR="00BD22FA" w:rsidRPr="00BD22FA" w:rsidRDefault="00BD22FA" w:rsidP="00BD22FA">
            <w:pPr>
              <w:spacing w:after="0" w:line="240" w:lineRule="auto"/>
              <w:jc w:val="center"/>
              <w:rPr>
                <w:rFonts w:ascii="Arial" w:eastAsia="Times New Roman" w:hAnsi="Arial" w:cs="Arial"/>
                <w:b/>
                <w:bCs/>
                <w:color w:val="000000"/>
                <w:kern w:val="0"/>
                <w:sz w:val="18"/>
                <w:szCs w:val="18"/>
                <w:lang w:eastAsia="pt-BR"/>
                <w14:ligatures w14:val="none"/>
              </w:rPr>
            </w:pPr>
            <w:r w:rsidRPr="00BD22FA">
              <w:rPr>
                <w:rFonts w:ascii="Arial" w:eastAsia="Times New Roman" w:hAnsi="Arial" w:cs="Arial"/>
                <w:b/>
                <w:bCs/>
                <w:color w:val="000000"/>
                <w:kern w:val="0"/>
                <w:sz w:val="18"/>
                <w:szCs w:val="18"/>
                <w14:ligatures w14:val="none"/>
              </w:rPr>
              <w:t>31/12/2023</w:t>
            </w:r>
          </w:p>
        </w:tc>
        <w:tc>
          <w:tcPr>
            <w:tcW w:w="714" w:type="pct"/>
            <w:tcBorders>
              <w:top w:val="single" w:sz="8" w:space="0" w:color="auto"/>
              <w:left w:val="nil"/>
              <w:bottom w:val="single" w:sz="8" w:space="0" w:color="auto"/>
              <w:right w:val="single" w:sz="8" w:space="0" w:color="auto"/>
            </w:tcBorders>
            <w:shd w:val="clear" w:color="auto" w:fill="auto"/>
            <w:noWrap/>
            <w:vAlign w:val="center"/>
            <w:hideMark/>
          </w:tcPr>
          <w:p w14:paraId="1BFFA84D" w14:textId="77777777" w:rsidR="00BD22FA" w:rsidRPr="00BD22FA" w:rsidRDefault="00BD22FA" w:rsidP="00BD22FA">
            <w:pPr>
              <w:spacing w:after="0" w:line="240" w:lineRule="auto"/>
              <w:jc w:val="center"/>
              <w:rPr>
                <w:rFonts w:ascii="Arial" w:eastAsia="Times New Roman" w:hAnsi="Arial" w:cs="Arial"/>
                <w:b/>
                <w:bCs/>
                <w:color w:val="000000"/>
                <w:kern w:val="0"/>
                <w:sz w:val="18"/>
                <w:szCs w:val="18"/>
                <w:lang w:eastAsia="pt-BR"/>
                <w14:ligatures w14:val="none"/>
              </w:rPr>
            </w:pPr>
            <w:r w:rsidRPr="00BD22FA">
              <w:rPr>
                <w:rFonts w:ascii="Arial" w:eastAsia="Times New Roman" w:hAnsi="Arial" w:cs="Arial"/>
                <w:b/>
                <w:bCs/>
                <w:color w:val="000000"/>
                <w:kern w:val="0"/>
                <w:sz w:val="18"/>
                <w:szCs w:val="18"/>
                <w:lang w:eastAsia="pt-BR"/>
                <w14:ligatures w14:val="none"/>
              </w:rPr>
              <w:t>31/12/2022</w:t>
            </w:r>
          </w:p>
        </w:tc>
      </w:tr>
      <w:tr w:rsidR="00BD22FA" w:rsidRPr="00BD22FA" w14:paraId="264F2FE3" w14:textId="77777777" w:rsidTr="00446A14">
        <w:trPr>
          <w:trHeight w:val="238"/>
        </w:trPr>
        <w:tc>
          <w:tcPr>
            <w:tcW w:w="3634" w:type="pct"/>
            <w:tcBorders>
              <w:top w:val="nil"/>
              <w:left w:val="single" w:sz="8" w:space="0" w:color="auto"/>
              <w:bottom w:val="single" w:sz="8" w:space="0" w:color="auto"/>
              <w:right w:val="single" w:sz="8" w:space="0" w:color="auto"/>
            </w:tcBorders>
            <w:shd w:val="clear" w:color="auto" w:fill="auto"/>
            <w:vAlign w:val="center"/>
            <w:hideMark/>
          </w:tcPr>
          <w:p w14:paraId="238E46F8" w14:textId="77777777" w:rsidR="00BD22FA" w:rsidRPr="00BD22FA" w:rsidRDefault="00BD22FA" w:rsidP="00BD22FA">
            <w:pPr>
              <w:spacing w:after="0" w:line="240" w:lineRule="auto"/>
              <w:rPr>
                <w:rFonts w:ascii="Arial" w:eastAsia="Times New Roman" w:hAnsi="Arial" w:cs="Arial"/>
                <w:color w:val="000000"/>
                <w:kern w:val="0"/>
                <w:sz w:val="18"/>
                <w:szCs w:val="18"/>
                <w:lang w:eastAsia="pt-BR"/>
                <w14:ligatures w14:val="none"/>
              </w:rPr>
            </w:pPr>
            <w:r w:rsidRPr="00BD22FA">
              <w:rPr>
                <w:rFonts w:ascii="Arial" w:eastAsia="Times New Roman" w:hAnsi="Arial" w:cs="Arial"/>
                <w:color w:val="000000"/>
                <w:kern w:val="0"/>
                <w:sz w:val="18"/>
                <w:szCs w:val="18"/>
                <w14:ligatures w14:val="none"/>
              </w:rPr>
              <w:t>Órgãos Governamentais</w:t>
            </w:r>
          </w:p>
        </w:tc>
        <w:tc>
          <w:tcPr>
            <w:tcW w:w="652" w:type="pct"/>
            <w:tcBorders>
              <w:top w:val="nil"/>
              <w:left w:val="nil"/>
              <w:bottom w:val="single" w:sz="8" w:space="0" w:color="auto"/>
              <w:right w:val="single" w:sz="8" w:space="0" w:color="auto"/>
            </w:tcBorders>
            <w:shd w:val="clear" w:color="auto" w:fill="auto"/>
            <w:vAlign w:val="center"/>
            <w:hideMark/>
          </w:tcPr>
          <w:p w14:paraId="24456E43" w14:textId="77777777" w:rsidR="00BD22FA" w:rsidRPr="00BD22FA" w:rsidRDefault="00BD22FA" w:rsidP="00BD22FA">
            <w:pPr>
              <w:spacing w:after="0" w:line="240" w:lineRule="auto"/>
              <w:jc w:val="right"/>
              <w:rPr>
                <w:rFonts w:ascii="Arial" w:eastAsia="Times New Roman" w:hAnsi="Arial" w:cs="Arial"/>
                <w:color w:val="000000"/>
                <w:kern w:val="0"/>
                <w:sz w:val="18"/>
                <w:szCs w:val="18"/>
                <w:lang w:eastAsia="pt-BR"/>
                <w14:ligatures w14:val="none"/>
              </w:rPr>
            </w:pPr>
            <w:r w:rsidRPr="00BD22FA">
              <w:rPr>
                <w:rFonts w:ascii="Arial" w:eastAsia="Times New Roman" w:hAnsi="Arial" w:cs="Arial"/>
                <w:color w:val="000000"/>
                <w:kern w:val="0"/>
                <w:sz w:val="18"/>
                <w:szCs w:val="18"/>
                <w14:ligatures w14:val="none"/>
              </w:rPr>
              <w:t xml:space="preserve">          1.945 </w:t>
            </w:r>
          </w:p>
        </w:tc>
        <w:tc>
          <w:tcPr>
            <w:tcW w:w="714" w:type="pct"/>
            <w:tcBorders>
              <w:top w:val="nil"/>
              <w:left w:val="nil"/>
              <w:bottom w:val="single" w:sz="8" w:space="0" w:color="auto"/>
              <w:right w:val="single" w:sz="8" w:space="0" w:color="auto"/>
            </w:tcBorders>
            <w:shd w:val="clear" w:color="auto" w:fill="auto"/>
            <w:noWrap/>
            <w:vAlign w:val="center"/>
            <w:hideMark/>
          </w:tcPr>
          <w:p w14:paraId="16A3D5D6" w14:textId="77777777" w:rsidR="00BD22FA" w:rsidRPr="00BD22FA" w:rsidRDefault="00BD22FA" w:rsidP="00BD22FA">
            <w:pPr>
              <w:spacing w:after="0" w:line="240" w:lineRule="auto"/>
              <w:jc w:val="right"/>
              <w:rPr>
                <w:rFonts w:ascii="Arial" w:eastAsia="Times New Roman" w:hAnsi="Arial" w:cs="Arial"/>
                <w:color w:val="000000"/>
                <w:kern w:val="0"/>
                <w:sz w:val="18"/>
                <w:szCs w:val="18"/>
                <w:lang w:eastAsia="pt-BR"/>
                <w14:ligatures w14:val="none"/>
              </w:rPr>
            </w:pPr>
            <w:r w:rsidRPr="00BD22FA">
              <w:rPr>
                <w:rFonts w:ascii="Arial" w:eastAsia="Times New Roman" w:hAnsi="Arial" w:cs="Arial"/>
                <w:color w:val="000000"/>
                <w:kern w:val="0"/>
                <w:sz w:val="18"/>
                <w:szCs w:val="18"/>
                <w14:ligatures w14:val="none"/>
              </w:rPr>
              <w:t xml:space="preserve">          1.945 </w:t>
            </w:r>
          </w:p>
        </w:tc>
      </w:tr>
      <w:tr w:rsidR="00BD22FA" w:rsidRPr="00BD22FA" w14:paraId="395F9105" w14:textId="77777777" w:rsidTr="00446A14">
        <w:trPr>
          <w:trHeight w:val="238"/>
        </w:trPr>
        <w:tc>
          <w:tcPr>
            <w:tcW w:w="3634" w:type="pct"/>
            <w:tcBorders>
              <w:top w:val="nil"/>
              <w:left w:val="single" w:sz="8" w:space="0" w:color="auto"/>
              <w:bottom w:val="single" w:sz="8" w:space="0" w:color="auto"/>
              <w:right w:val="single" w:sz="8" w:space="0" w:color="auto"/>
            </w:tcBorders>
            <w:shd w:val="clear" w:color="auto" w:fill="auto"/>
            <w:vAlign w:val="center"/>
            <w:hideMark/>
          </w:tcPr>
          <w:p w14:paraId="46ECD355" w14:textId="77777777" w:rsidR="00BD22FA" w:rsidRPr="00BD22FA" w:rsidRDefault="00BD22FA" w:rsidP="00BD22FA">
            <w:pPr>
              <w:spacing w:after="0" w:line="240" w:lineRule="auto"/>
              <w:rPr>
                <w:rFonts w:ascii="Arial" w:eastAsia="Times New Roman" w:hAnsi="Arial" w:cs="Arial"/>
                <w:b/>
                <w:bCs/>
                <w:color w:val="000000"/>
                <w:kern w:val="0"/>
                <w:sz w:val="18"/>
                <w:szCs w:val="18"/>
                <w:lang w:eastAsia="pt-BR"/>
                <w14:ligatures w14:val="none"/>
              </w:rPr>
            </w:pPr>
            <w:r w:rsidRPr="00BD22FA">
              <w:rPr>
                <w:rFonts w:ascii="Arial" w:eastAsia="Times New Roman" w:hAnsi="Arial" w:cs="Arial"/>
                <w:b/>
                <w:bCs/>
                <w:color w:val="000000"/>
                <w:kern w:val="0"/>
                <w:sz w:val="18"/>
                <w:szCs w:val="18"/>
                <w14:ligatures w14:val="none"/>
              </w:rPr>
              <w:t>Total</w:t>
            </w:r>
          </w:p>
        </w:tc>
        <w:tc>
          <w:tcPr>
            <w:tcW w:w="652" w:type="pct"/>
            <w:tcBorders>
              <w:top w:val="nil"/>
              <w:left w:val="nil"/>
              <w:bottom w:val="single" w:sz="8" w:space="0" w:color="auto"/>
              <w:right w:val="single" w:sz="8" w:space="0" w:color="auto"/>
            </w:tcBorders>
            <w:shd w:val="clear" w:color="auto" w:fill="auto"/>
            <w:vAlign w:val="center"/>
            <w:hideMark/>
          </w:tcPr>
          <w:p w14:paraId="067442BE" w14:textId="77777777" w:rsidR="00BD22FA" w:rsidRPr="00BD22FA" w:rsidRDefault="00BD22FA" w:rsidP="00BD22FA">
            <w:pPr>
              <w:spacing w:after="0" w:line="240" w:lineRule="auto"/>
              <w:jc w:val="right"/>
              <w:rPr>
                <w:rFonts w:ascii="Arial" w:eastAsia="Times New Roman" w:hAnsi="Arial" w:cs="Arial"/>
                <w:b/>
                <w:bCs/>
                <w:color w:val="000000"/>
                <w:kern w:val="0"/>
                <w:sz w:val="18"/>
                <w:szCs w:val="18"/>
                <w:lang w:eastAsia="pt-BR"/>
                <w14:ligatures w14:val="none"/>
              </w:rPr>
            </w:pPr>
            <w:r w:rsidRPr="00BD22FA">
              <w:rPr>
                <w:rFonts w:ascii="Arial" w:eastAsia="Times New Roman" w:hAnsi="Arial" w:cs="Arial"/>
                <w:b/>
                <w:bCs/>
                <w:color w:val="000000"/>
                <w:kern w:val="0"/>
                <w:sz w:val="18"/>
                <w:szCs w:val="18"/>
                <w14:ligatures w14:val="none"/>
              </w:rPr>
              <w:t xml:space="preserve">          1.945 </w:t>
            </w:r>
          </w:p>
        </w:tc>
        <w:tc>
          <w:tcPr>
            <w:tcW w:w="714" w:type="pct"/>
            <w:tcBorders>
              <w:top w:val="nil"/>
              <w:left w:val="nil"/>
              <w:bottom w:val="single" w:sz="8" w:space="0" w:color="auto"/>
              <w:right w:val="single" w:sz="8" w:space="0" w:color="auto"/>
            </w:tcBorders>
            <w:shd w:val="clear" w:color="auto" w:fill="auto"/>
            <w:noWrap/>
            <w:vAlign w:val="center"/>
            <w:hideMark/>
          </w:tcPr>
          <w:p w14:paraId="353124DA" w14:textId="77777777" w:rsidR="00BD22FA" w:rsidRPr="00BD22FA" w:rsidRDefault="00BD22FA" w:rsidP="00BD22FA">
            <w:pPr>
              <w:spacing w:after="0" w:line="240" w:lineRule="auto"/>
              <w:jc w:val="right"/>
              <w:rPr>
                <w:rFonts w:ascii="Arial" w:eastAsia="Times New Roman" w:hAnsi="Arial" w:cs="Arial"/>
                <w:b/>
                <w:bCs/>
                <w:color w:val="000000"/>
                <w:kern w:val="0"/>
                <w:sz w:val="18"/>
                <w:szCs w:val="18"/>
                <w:lang w:eastAsia="pt-BR"/>
                <w14:ligatures w14:val="none"/>
              </w:rPr>
            </w:pPr>
            <w:r w:rsidRPr="00BD22FA">
              <w:rPr>
                <w:rFonts w:ascii="Arial" w:eastAsia="Times New Roman" w:hAnsi="Arial" w:cs="Arial"/>
                <w:b/>
                <w:bCs/>
                <w:color w:val="000000"/>
                <w:kern w:val="0"/>
                <w:sz w:val="18"/>
                <w:szCs w:val="18"/>
                <w14:ligatures w14:val="none"/>
              </w:rPr>
              <w:t xml:space="preserve">          1.945 </w:t>
            </w:r>
          </w:p>
        </w:tc>
      </w:tr>
      <w:tr w:rsidR="00BD22FA" w:rsidRPr="00BD22FA" w14:paraId="2658D991" w14:textId="77777777" w:rsidTr="00446A14">
        <w:trPr>
          <w:trHeight w:val="238"/>
        </w:trPr>
        <w:tc>
          <w:tcPr>
            <w:tcW w:w="3634" w:type="pct"/>
            <w:tcBorders>
              <w:top w:val="nil"/>
              <w:left w:val="single" w:sz="8" w:space="0" w:color="auto"/>
              <w:bottom w:val="single" w:sz="8" w:space="0" w:color="auto"/>
              <w:right w:val="single" w:sz="8" w:space="0" w:color="auto"/>
            </w:tcBorders>
            <w:shd w:val="clear" w:color="auto" w:fill="auto"/>
            <w:vAlign w:val="center"/>
            <w:hideMark/>
          </w:tcPr>
          <w:p w14:paraId="224B2DC8" w14:textId="77777777" w:rsidR="00BD22FA" w:rsidRPr="00BD22FA" w:rsidRDefault="00BD22FA" w:rsidP="00BD22FA">
            <w:pPr>
              <w:spacing w:after="0" w:line="240" w:lineRule="auto"/>
              <w:rPr>
                <w:rFonts w:ascii="Arial" w:eastAsia="Times New Roman" w:hAnsi="Arial" w:cs="Arial"/>
                <w:b/>
                <w:bCs/>
                <w:color w:val="000000"/>
                <w:kern w:val="0"/>
                <w:sz w:val="18"/>
                <w:szCs w:val="18"/>
                <w:lang w:eastAsia="pt-BR"/>
                <w14:ligatures w14:val="none"/>
              </w:rPr>
            </w:pPr>
            <w:r w:rsidRPr="00BD22FA">
              <w:rPr>
                <w:rFonts w:ascii="Arial" w:eastAsia="Times New Roman" w:hAnsi="Arial" w:cs="Arial"/>
                <w:b/>
                <w:bCs/>
                <w:color w:val="000000"/>
                <w:kern w:val="0"/>
                <w:sz w:val="18"/>
                <w:szCs w:val="18"/>
                <w14:ligatures w14:val="none"/>
              </w:rPr>
              <w:t>Circulante</w:t>
            </w:r>
          </w:p>
        </w:tc>
        <w:tc>
          <w:tcPr>
            <w:tcW w:w="652" w:type="pct"/>
            <w:tcBorders>
              <w:top w:val="nil"/>
              <w:left w:val="nil"/>
              <w:bottom w:val="single" w:sz="8" w:space="0" w:color="auto"/>
              <w:right w:val="single" w:sz="8" w:space="0" w:color="auto"/>
            </w:tcBorders>
            <w:shd w:val="clear" w:color="auto" w:fill="auto"/>
            <w:vAlign w:val="center"/>
            <w:hideMark/>
          </w:tcPr>
          <w:p w14:paraId="392817A4" w14:textId="77777777" w:rsidR="00BD22FA" w:rsidRPr="00BD22FA" w:rsidRDefault="00BD22FA" w:rsidP="00BD22FA">
            <w:pPr>
              <w:spacing w:after="0" w:line="240" w:lineRule="auto"/>
              <w:jc w:val="right"/>
              <w:rPr>
                <w:rFonts w:ascii="Arial" w:eastAsia="Times New Roman" w:hAnsi="Arial" w:cs="Arial"/>
                <w:b/>
                <w:bCs/>
                <w:color w:val="000000"/>
                <w:kern w:val="0"/>
                <w:sz w:val="18"/>
                <w:szCs w:val="18"/>
                <w:lang w:eastAsia="pt-BR"/>
                <w14:ligatures w14:val="none"/>
              </w:rPr>
            </w:pPr>
            <w:r w:rsidRPr="00BD22FA">
              <w:rPr>
                <w:rFonts w:ascii="Arial" w:eastAsia="Times New Roman" w:hAnsi="Arial" w:cs="Arial"/>
                <w:b/>
                <w:bCs/>
                <w:color w:val="000000"/>
                <w:kern w:val="0"/>
                <w:sz w:val="18"/>
                <w:szCs w:val="18"/>
                <w14:ligatures w14:val="none"/>
              </w:rPr>
              <w:t xml:space="preserve">          1.945 </w:t>
            </w:r>
          </w:p>
        </w:tc>
        <w:tc>
          <w:tcPr>
            <w:tcW w:w="714" w:type="pct"/>
            <w:tcBorders>
              <w:top w:val="nil"/>
              <w:left w:val="nil"/>
              <w:bottom w:val="single" w:sz="8" w:space="0" w:color="auto"/>
              <w:right w:val="single" w:sz="8" w:space="0" w:color="auto"/>
            </w:tcBorders>
            <w:shd w:val="clear" w:color="auto" w:fill="auto"/>
            <w:noWrap/>
            <w:vAlign w:val="center"/>
            <w:hideMark/>
          </w:tcPr>
          <w:p w14:paraId="521FBB14" w14:textId="77777777" w:rsidR="00BD22FA" w:rsidRPr="00BD22FA" w:rsidRDefault="00BD22FA" w:rsidP="00BD22FA">
            <w:pPr>
              <w:spacing w:after="0" w:line="240" w:lineRule="auto"/>
              <w:jc w:val="right"/>
              <w:rPr>
                <w:rFonts w:ascii="Arial" w:eastAsia="Times New Roman" w:hAnsi="Arial" w:cs="Arial"/>
                <w:b/>
                <w:bCs/>
                <w:color w:val="000000"/>
                <w:kern w:val="0"/>
                <w:sz w:val="18"/>
                <w:szCs w:val="18"/>
                <w:lang w:eastAsia="pt-BR"/>
                <w14:ligatures w14:val="none"/>
              </w:rPr>
            </w:pPr>
            <w:r w:rsidRPr="00BD22FA">
              <w:rPr>
                <w:rFonts w:ascii="Arial" w:eastAsia="Times New Roman" w:hAnsi="Arial" w:cs="Arial"/>
                <w:b/>
                <w:bCs/>
                <w:color w:val="000000"/>
                <w:kern w:val="0"/>
                <w:sz w:val="18"/>
                <w:szCs w:val="18"/>
                <w14:ligatures w14:val="none"/>
              </w:rPr>
              <w:t xml:space="preserve">          1.945 </w:t>
            </w:r>
          </w:p>
        </w:tc>
      </w:tr>
    </w:tbl>
    <w:p w14:paraId="0C61A07C" w14:textId="2E3B5A6D" w:rsidR="00BD22FA" w:rsidRDefault="00BD22FA" w:rsidP="00BD22FA">
      <w:pPr>
        <w:autoSpaceDE w:val="0"/>
        <w:autoSpaceDN w:val="0"/>
        <w:adjustRightInd w:val="0"/>
        <w:spacing w:after="0" w:line="276" w:lineRule="auto"/>
        <w:jc w:val="both"/>
        <w:rPr>
          <w:rFonts w:ascii="Calibri" w:eastAsia="Times New Roman" w:hAnsi="Calibri" w:cs="Calibri"/>
          <w:b/>
          <w:bCs/>
          <w:iCs/>
          <w:color w:val="002060"/>
          <w:kern w:val="0"/>
          <w14:ligatures w14:val="none"/>
        </w:rPr>
      </w:pPr>
      <w:bookmarkStart w:id="393" w:name="_Toc491337719"/>
      <w:r>
        <w:rPr>
          <w:rFonts w:ascii="Calibri" w:eastAsia="Times New Roman" w:hAnsi="Calibri" w:cs="Calibri"/>
          <w:b/>
          <w:bCs/>
          <w:iCs/>
          <w:color w:val="002060"/>
          <w:kern w:val="0"/>
          <w14:ligatures w14:val="none"/>
        </w:rPr>
        <w:t xml:space="preserve">10.2. </w:t>
      </w:r>
      <w:r w:rsidRPr="00BD22FA">
        <w:rPr>
          <w:rFonts w:ascii="Calibri" w:eastAsia="Times New Roman" w:hAnsi="Calibri" w:cs="Calibri"/>
          <w:b/>
          <w:bCs/>
          <w:iCs/>
          <w:color w:val="002060"/>
          <w:kern w:val="0"/>
          <w14:ligatures w14:val="none"/>
        </w:rPr>
        <w:t>Outros ativos realizáveis</w:t>
      </w:r>
      <w:bookmarkEnd w:id="393"/>
    </w:p>
    <w:tbl>
      <w:tblPr>
        <w:tblW w:w="5000" w:type="pct"/>
        <w:tblCellMar>
          <w:left w:w="70" w:type="dxa"/>
          <w:right w:w="70" w:type="dxa"/>
        </w:tblCellMar>
        <w:tblLook w:val="04A0" w:firstRow="1" w:lastRow="0" w:firstColumn="1" w:lastColumn="0" w:noHBand="0" w:noVBand="1"/>
      </w:tblPr>
      <w:tblGrid>
        <w:gridCol w:w="6433"/>
        <w:gridCol w:w="1741"/>
        <w:gridCol w:w="1587"/>
      </w:tblGrid>
      <w:tr w:rsidR="00BD22FA" w:rsidRPr="00BD22FA" w14:paraId="06ABE80D" w14:textId="77777777" w:rsidTr="00446A14">
        <w:trPr>
          <w:trHeight w:val="238"/>
          <w:tblHeader/>
        </w:trPr>
        <w:tc>
          <w:tcPr>
            <w:tcW w:w="3295" w:type="pct"/>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6E975C04" w14:textId="77777777" w:rsidR="00BD22FA" w:rsidRPr="00BD22FA" w:rsidRDefault="00BD22FA" w:rsidP="00BD22FA">
            <w:pPr>
              <w:spacing w:after="0" w:line="240" w:lineRule="auto"/>
              <w:rPr>
                <w:rFonts w:ascii="Arial" w:eastAsia="Times New Roman" w:hAnsi="Arial" w:cs="Arial"/>
                <w:b/>
                <w:bCs/>
                <w:color w:val="000000"/>
                <w:kern w:val="0"/>
                <w:sz w:val="18"/>
                <w:szCs w:val="18"/>
                <w:lang w:eastAsia="pt-BR"/>
                <w14:ligatures w14:val="none"/>
              </w:rPr>
            </w:pPr>
            <w:r w:rsidRPr="00BD22FA">
              <w:rPr>
                <w:rFonts w:ascii="Arial" w:eastAsia="Times New Roman" w:hAnsi="Arial" w:cs="Arial"/>
                <w:b/>
                <w:bCs/>
                <w:color w:val="000000"/>
                <w:kern w:val="0"/>
                <w:sz w:val="18"/>
                <w:szCs w:val="18"/>
                <w:lang w:eastAsia="pt-BR"/>
                <w14:ligatures w14:val="none"/>
              </w:rPr>
              <w:t>Composição: </w:t>
            </w:r>
          </w:p>
        </w:tc>
        <w:tc>
          <w:tcPr>
            <w:tcW w:w="892" w:type="pct"/>
            <w:tcBorders>
              <w:top w:val="single" w:sz="8" w:space="0" w:color="auto"/>
              <w:left w:val="nil"/>
              <w:bottom w:val="single" w:sz="8" w:space="0" w:color="auto"/>
              <w:right w:val="single" w:sz="8" w:space="0" w:color="auto"/>
            </w:tcBorders>
            <w:shd w:val="clear" w:color="auto" w:fill="auto"/>
            <w:vAlign w:val="center"/>
            <w:hideMark/>
          </w:tcPr>
          <w:p w14:paraId="3FB1F0D3" w14:textId="77777777" w:rsidR="00BD22FA" w:rsidRPr="00BD22FA" w:rsidRDefault="00BD22FA" w:rsidP="00BD22FA">
            <w:pPr>
              <w:spacing w:after="0" w:line="240" w:lineRule="auto"/>
              <w:jc w:val="center"/>
              <w:rPr>
                <w:rFonts w:ascii="Arial" w:eastAsia="Times New Roman" w:hAnsi="Arial" w:cs="Arial"/>
                <w:b/>
                <w:bCs/>
                <w:color w:val="000000"/>
                <w:kern w:val="0"/>
                <w:sz w:val="18"/>
                <w:szCs w:val="18"/>
                <w:lang w:eastAsia="pt-BR"/>
                <w14:ligatures w14:val="none"/>
              </w:rPr>
            </w:pPr>
            <w:r w:rsidRPr="00BD22FA">
              <w:rPr>
                <w:rFonts w:ascii="Arial" w:eastAsia="Times New Roman" w:hAnsi="Arial" w:cs="Arial"/>
                <w:b/>
                <w:bCs/>
                <w:color w:val="000000"/>
                <w:kern w:val="0"/>
                <w:sz w:val="18"/>
                <w:szCs w:val="18"/>
                <w:lang w:eastAsia="pt-BR"/>
                <w14:ligatures w14:val="none"/>
              </w:rPr>
              <w:t>31/12/2023</w:t>
            </w:r>
          </w:p>
        </w:tc>
        <w:tc>
          <w:tcPr>
            <w:tcW w:w="813" w:type="pct"/>
            <w:tcBorders>
              <w:top w:val="single" w:sz="8" w:space="0" w:color="auto"/>
              <w:left w:val="nil"/>
              <w:bottom w:val="single" w:sz="8" w:space="0" w:color="auto"/>
              <w:right w:val="single" w:sz="8" w:space="0" w:color="auto"/>
            </w:tcBorders>
            <w:shd w:val="clear" w:color="auto" w:fill="auto"/>
            <w:vAlign w:val="center"/>
            <w:hideMark/>
          </w:tcPr>
          <w:p w14:paraId="2870B3BB" w14:textId="77777777" w:rsidR="00BD22FA" w:rsidRPr="00BD22FA" w:rsidRDefault="00BD22FA" w:rsidP="00BD22FA">
            <w:pPr>
              <w:spacing w:after="0" w:line="240" w:lineRule="auto"/>
              <w:jc w:val="center"/>
              <w:rPr>
                <w:rFonts w:ascii="Arial" w:eastAsia="Times New Roman" w:hAnsi="Arial" w:cs="Arial"/>
                <w:b/>
                <w:bCs/>
                <w:color w:val="000000"/>
                <w:kern w:val="0"/>
                <w:sz w:val="18"/>
                <w:szCs w:val="18"/>
                <w:lang w:eastAsia="pt-BR"/>
                <w14:ligatures w14:val="none"/>
              </w:rPr>
            </w:pPr>
            <w:r w:rsidRPr="00BD22FA">
              <w:rPr>
                <w:rFonts w:ascii="Arial" w:eastAsia="Times New Roman" w:hAnsi="Arial" w:cs="Arial"/>
                <w:b/>
                <w:bCs/>
                <w:color w:val="000000"/>
                <w:kern w:val="0"/>
                <w:sz w:val="18"/>
                <w:szCs w:val="18"/>
                <w:lang w:eastAsia="pt-BR"/>
                <w14:ligatures w14:val="none"/>
              </w:rPr>
              <w:t>31/12/2022</w:t>
            </w:r>
          </w:p>
        </w:tc>
      </w:tr>
      <w:tr w:rsidR="00BD22FA" w:rsidRPr="00BD22FA" w14:paraId="78F3AD9E" w14:textId="77777777" w:rsidTr="00446A14">
        <w:trPr>
          <w:trHeight w:val="238"/>
        </w:trPr>
        <w:tc>
          <w:tcPr>
            <w:tcW w:w="3295" w:type="pct"/>
            <w:tcBorders>
              <w:top w:val="nil"/>
              <w:left w:val="single" w:sz="8" w:space="0" w:color="auto"/>
              <w:bottom w:val="single" w:sz="8" w:space="0" w:color="auto"/>
              <w:right w:val="single" w:sz="8" w:space="0" w:color="auto"/>
            </w:tcBorders>
            <w:shd w:val="clear" w:color="auto" w:fill="auto"/>
            <w:noWrap/>
            <w:vAlign w:val="center"/>
            <w:hideMark/>
          </w:tcPr>
          <w:p w14:paraId="0BF1E968" w14:textId="77777777" w:rsidR="00BD22FA" w:rsidRPr="00BD22FA" w:rsidRDefault="00BD22FA" w:rsidP="00BD22FA">
            <w:pPr>
              <w:spacing w:after="0" w:line="240" w:lineRule="auto"/>
              <w:rPr>
                <w:rFonts w:ascii="Arial" w:eastAsia="Times New Roman" w:hAnsi="Arial" w:cs="Arial"/>
                <w:color w:val="000000"/>
                <w:kern w:val="0"/>
                <w:sz w:val="18"/>
                <w:szCs w:val="18"/>
                <w:lang w:eastAsia="pt-BR"/>
                <w14:ligatures w14:val="none"/>
              </w:rPr>
            </w:pPr>
            <w:r w:rsidRPr="00BD22FA">
              <w:rPr>
                <w:rFonts w:ascii="Arial" w:eastAsia="Times New Roman" w:hAnsi="Arial" w:cs="Arial"/>
                <w:color w:val="000000"/>
                <w:kern w:val="0"/>
                <w:sz w:val="18"/>
                <w:szCs w:val="18"/>
                <w:lang w:eastAsia="pt-BR"/>
                <w14:ligatures w14:val="none"/>
              </w:rPr>
              <w:t>Adiantamento a Fornecedores de Operação e Manutenção (i)</w:t>
            </w:r>
          </w:p>
        </w:tc>
        <w:tc>
          <w:tcPr>
            <w:tcW w:w="892" w:type="pct"/>
            <w:tcBorders>
              <w:top w:val="nil"/>
              <w:left w:val="nil"/>
              <w:bottom w:val="single" w:sz="8" w:space="0" w:color="auto"/>
              <w:right w:val="single" w:sz="8" w:space="0" w:color="auto"/>
            </w:tcBorders>
            <w:shd w:val="clear" w:color="auto" w:fill="auto"/>
            <w:noWrap/>
            <w:vAlign w:val="center"/>
            <w:hideMark/>
          </w:tcPr>
          <w:p w14:paraId="5A93F47A" w14:textId="77777777" w:rsidR="00BD22FA" w:rsidRPr="00BD22FA" w:rsidRDefault="00BD22FA" w:rsidP="00BD22FA">
            <w:pPr>
              <w:spacing w:after="0" w:line="240" w:lineRule="auto"/>
              <w:jc w:val="right"/>
              <w:rPr>
                <w:rFonts w:ascii="Arial" w:eastAsia="Times New Roman" w:hAnsi="Arial" w:cs="Arial"/>
                <w:color w:val="000000"/>
                <w:kern w:val="0"/>
                <w:sz w:val="18"/>
                <w:szCs w:val="18"/>
                <w:lang w:eastAsia="pt-BR"/>
                <w14:ligatures w14:val="none"/>
              </w:rPr>
            </w:pPr>
            <w:r w:rsidRPr="00BD22FA">
              <w:rPr>
                <w:rFonts w:ascii="Arial" w:eastAsia="Times New Roman" w:hAnsi="Arial" w:cs="Arial"/>
                <w:color w:val="000000"/>
                <w:kern w:val="0"/>
                <w:sz w:val="18"/>
                <w:szCs w:val="18"/>
                <w:lang w:eastAsia="pt-BR"/>
                <w14:ligatures w14:val="none"/>
              </w:rPr>
              <w:t>24.409</w:t>
            </w:r>
          </w:p>
        </w:tc>
        <w:tc>
          <w:tcPr>
            <w:tcW w:w="813" w:type="pct"/>
            <w:tcBorders>
              <w:top w:val="nil"/>
              <w:left w:val="nil"/>
              <w:bottom w:val="single" w:sz="8" w:space="0" w:color="auto"/>
              <w:right w:val="single" w:sz="8" w:space="0" w:color="auto"/>
            </w:tcBorders>
            <w:shd w:val="clear" w:color="auto" w:fill="auto"/>
            <w:noWrap/>
            <w:vAlign w:val="center"/>
            <w:hideMark/>
          </w:tcPr>
          <w:p w14:paraId="7916C0E9" w14:textId="77777777" w:rsidR="00BD22FA" w:rsidRPr="00BD22FA" w:rsidRDefault="00BD22FA" w:rsidP="00BD22FA">
            <w:pPr>
              <w:spacing w:after="0" w:line="240" w:lineRule="auto"/>
              <w:jc w:val="right"/>
              <w:rPr>
                <w:rFonts w:ascii="Arial" w:eastAsia="Times New Roman" w:hAnsi="Arial" w:cs="Arial"/>
                <w:color w:val="000000"/>
                <w:kern w:val="0"/>
                <w:sz w:val="18"/>
                <w:szCs w:val="18"/>
                <w:lang w:eastAsia="pt-BR"/>
                <w14:ligatures w14:val="none"/>
              </w:rPr>
            </w:pPr>
            <w:r w:rsidRPr="00BD22FA">
              <w:rPr>
                <w:rFonts w:ascii="Arial" w:eastAsia="Times New Roman" w:hAnsi="Arial" w:cs="Arial"/>
                <w:color w:val="000000"/>
                <w:kern w:val="0"/>
                <w:sz w:val="18"/>
                <w:szCs w:val="18"/>
                <w:lang w:eastAsia="pt-BR"/>
                <w14:ligatures w14:val="none"/>
              </w:rPr>
              <w:t>30.123</w:t>
            </w:r>
          </w:p>
        </w:tc>
      </w:tr>
      <w:tr w:rsidR="00BD22FA" w:rsidRPr="00BD22FA" w14:paraId="6C25A366" w14:textId="77777777" w:rsidTr="00446A14">
        <w:trPr>
          <w:trHeight w:val="238"/>
        </w:trPr>
        <w:tc>
          <w:tcPr>
            <w:tcW w:w="3295" w:type="pct"/>
            <w:tcBorders>
              <w:top w:val="nil"/>
              <w:left w:val="single" w:sz="8" w:space="0" w:color="auto"/>
              <w:bottom w:val="single" w:sz="8" w:space="0" w:color="auto"/>
              <w:right w:val="single" w:sz="8" w:space="0" w:color="auto"/>
            </w:tcBorders>
            <w:shd w:val="clear" w:color="auto" w:fill="auto"/>
            <w:noWrap/>
            <w:vAlign w:val="center"/>
            <w:hideMark/>
          </w:tcPr>
          <w:p w14:paraId="375873B8" w14:textId="77777777" w:rsidR="00BD22FA" w:rsidRPr="00BD22FA" w:rsidRDefault="00BD22FA" w:rsidP="00BD22FA">
            <w:pPr>
              <w:spacing w:after="0" w:line="240" w:lineRule="auto"/>
              <w:rPr>
                <w:rFonts w:ascii="Arial" w:eastAsia="Times New Roman" w:hAnsi="Arial" w:cs="Arial"/>
                <w:color w:val="000000"/>
                <w:kern w:val="0"/>
                <w:sz w:val="18"/>
                <w:szCs w:val="18"/>
                <w:lang w:eastAsia="pt-BR"/>
                <w14:ligatures w14:val="none"/>
              </w:rPr>
            </w:pPr>
            <w:r w:rsidRPr="00BD22FA">
              <w:rPr>
                <w:rFonts w:ascii="Arial" w:eastAsia="Times New Roman" w:hAnsi="Arial" w:cs="Arial"/>
                <w:color w:val="000000"/>
                <w:kern w:val="0"/>
                <w:sz w:val="18"/>
                <w:szCs w:val="18"/>
                <w:lang w:eastAsia="pt-BR"/>
                <w14:ligatures w14:val="none"/>
              </w:rPr>
              <w:t>Despesas Pagas Antecipadamente</w:t>
            </w:r>
          </w:p>
        </w:tc>
        <w:tc>
          <w:tcPr>
            <w:tcW w:w="892" w:type="pct"/>
            <w:tcBorders>
              <w:top w:val="nil"/>
              <w:left w:val="nil"/>
              <w:bottom w:val="single" w:sz="8" w:space="0" w:color="auto"/>
              <w:right w:val="single" w:sz="8" w:space="0" w:color="auto"/>
            </w:tcBorders>
            <w:shd w:val="clear" w:color="auto" w:fill="auto"/>
            <w:noWrap/>
            <w:vAlign w:val="center"/>
            <w:hideMark/>
          </w:tcPr>
          <w:p w14:paraId="575C3448" w14:textId="77777777" w:rsidR="00BD22FA" w:rsidRPr="00BD22FA" w:rsidRDefault="00BD22FA" w:rsidP="00BD22FA">
            <w:pPr>
              <w:spacing w:after="0" w:line="240" w:lineRule="auto"/>
              <w:jc w:val="right"/>
              <w:rPr>
                <w:rFonts w:ascii="Arial" w:eastAsia="Times New Roman" w:hAnsi="Arial" w:cs="Arial"/>
                <w:color w:val="000000"/>
                <w:kern w:val="0"/>
                <w:sz w:val="18"/>
                <w:szCs w:val="18"/>
                <w:lang w:eastAsia="pt-BR"/>
                <w14:ligatures w14:val="none"/>
              </w:rPr>
            </w:pPr>
            <w:r w:rsidRPr="00BD22FA">
              <w:rPr>
                <w:rFonts w:ascii="Arial" w:eastAsia="Times New Roman" w:hAnsi="Arial" w:cs="Arial"/>
                <w:color w:val="000000"/>
                <w:kern w:val="0"/>
                <w:sz w:val="18"/>
                <w:szCs w:val="18"/>
                <w:lang w:eastAsia="pt-BR"/>
                <w14:ligatures w14:val="none"/>
              </w:rPr>
              <w:t>18.882</w:t>
            </w:r>
          </w:p>
        </w:tc>
        <w:tc>
          <w:tcPr>
            <w:tcW w:w="813" w:type="pct"/>
            <w:tcBorders>
              <w:top w:val="nil"/>
              <w:left w:val="nil"/>
              <w:bottom w:val="single" w:sz="8" w:space="0" w:color="auto"/>
              <w:right w:val="single" w:sz="8" w:space="0" w:color="auto"/>
            </w:tcBorders>
            <w:shd w:val="clear" w:color="auto" w:fill="auto"/>
            <w:noWrap/>
            <w:vAlign w:val="center"/>
            <w:hideMark/>
          </w:tcPr>
          <w:p w14:paraId="074E9137" w14:textId="77777777" w:rsidR="00BD22FA" w:rsidRPr="00BD22FA" w:rsidRDefault="00BD22FA" w:rsidP="00BD22FA">
            <w:pPr>
              <w:spacing w:after="0" w:line="240" w:lineRule="auto"/>
              <w:jc w:val="right"/>
              <w:rPr>
                <w:rFonts w:ascii="Arial" w:eastAsia="Times New Roman" w:hAnsi="Arial" w:cs="Arial"/>
                <w:color w:val="000000"/>
                <w:kern w:val="0"/>
                <w:sz w:val="18"/>
                <w:szCs w:val="18"/>
                <w:lang w:eastAsia="pt-BR"/>
                <w14:ligatures w14:val="none"/>
              </w:rPr>
            </w:pPr>
            <w:r w:rsidRPr="00BD22FA">
              <w:rPr>
                <w:rFonts w:ascii="Arial" w:eastAsia="Times New Roman" w:hAnsi="Arial" w:cs="Arial"/>
                <w:color w:val="000000"/>
                <w:kern w:val="0"/>
                <w:sz w:val="18"/>
                <w:szCs w:val="18"/>
                <w:lang w:eastAsia="pt-BR"/>
                <w14:ligatures w14:val="none"/>
              </w:rPr>
              <w:t>17.274</w:t>
            </w:r>
          </w:p>
        </w:tc>
      </w:tr>
      <w:tr w:rsidR="00BD22FA" w:rsidRPr="00BD22FA" w14:paraId="44662584" w14:textId="77777777" w:rsidTr="00446A14">
        <w:trPr>
          <w:trHeight w:val="238"/>
        </w:trPr>
        <w:tc>
          <w:tcPr>
            <w:tcW w:w="3295" w:type="pct"/>
            <w:tcBorders>
              <w:top w:val="nil"/>
              <w:left w:val="single" w:sz="8" w:space="0" w:color="auto"/>
              <w:bottom w:val="single" w:sz="8" w:space="0" w:color="auto"/>
              <w:right w:val="single" w:sz="8" w:space="0" w:color="auto"/>
            </w:tcBorders>
            <w:shd w:val="clear" w:color="auto" w:fill="auto"/>
            <w:noWrap/>
            <w:vAlign w:val="center"/>
            <w:hideMark/>
          </w:tcPr>
          <w:p w14:paraId="7AFA77A3" w14:textId="77777777" w:rsidR="00BD22FA" w:rsidRPr="00BD22FA" w:rsidRDefault="00BD22FA" w:rsidP="00BD22FA">
            <w:pPr>
              <w:spacing w:after="0" w:line="240" w:lineRule="auto"/>
              <w:rPr>
                <w:rFonts w:ascii="Arial" w:eastAsia="Times New Roman" w:hAnsi="Arial" w:cs="Arial"/>
                <w:color w:val="000000"/>
                <w:kern w:val="0"/>
                <w:sz w:val="18"/>
                <w:szCs w:val="18"/>
                <w:lang w:eastAsia="pt-BR"/>
                <w14:ligatures w14:val="none"/>
              </w:rPr>
            </w:pPr>
            <w:r w:rsidRPr="00BD22FA">
              <w:rPr>
                <w:rFonts w:ascii="Arial" w:eastAsia="Times New Roman" w:hAnsi="Arial" w:cs="Arial"/>
                <w:color w:val="000000"/>
                <w:kern w:val="0"/>
                <w:sz w:val="18"/>
                <w:szCs w:val="18"/>
                <w:lang w:eastAsia="pt-BR"/>
                <w14:ligatures w14:val="none"/>
              </w:rPr>
              <w:t xml:space="preserve">Cauções e Retenções </w:t>
            </w:r>
          </w:p>
        </w:tc>
        <w:tc>
          <w:tcPr>
            <w:tcW w:w="892" w:type="pct"/>
            <w:tcBorders>
              <w:top w:val="nil"/>
              <w:left w:val="nil"/>
              <w:bottom w:val="single" w:sz="8" w:space="0" w:color="auto"/>
              <w:right w:val="single" w:sz="8" w:space="0" w:color="auto"/>
            </w:tcBorders>
            <w:shd w:val="clear" w:color="auto" w:fill="auto"/>
            <w:noWrap/>
            <w:vAlign w:val="center"/>
            <w:hideMark/>
          </w:tcPr>
          <w:p w14:paraId="75CCA485" w14:textId="77777777" w:rsidR="00BD22FA" w:rsidRPr="00BD22FA" w:rsidRDefault="00BD22FA" w:rsidP="00BD22FA">
            <w:pPr>
              <w:spacing w:after="0" w:line="240" w:lineRule="auto"/>
              <w:jc w:val="right"/>
              <w:rPr>
                <w:rFonts w:ascii="Arial" w:eastAsia="Times New Roman" w:hAnsi="Arial" w:cs="Arial"/>
                <w:color w:val="000000"/>
                <w:kern w:val="0"/>
                <w:sz w:val="18"/>
                <w:szCs w:val="18"/>
                <w:lang w:eastAsia="pt-BR"/>
                <w14:ligatures w14:val="none"/>
              </w:rPr>
            </w:pPr>
            <w:r w:rsidRPr="00BD22FA">
              <w:rPr>
                <w:rFonts w:ascii="Arial" w:eastAsia="Times New Roman" w:hAnsi="Arial" w:cs="Arial"/>
                <w:color w:val="000000"/>
                <w:kern w:val="0"/>
                <w:sz w:val="18"/>
                <w:szCs w:val="18"/>
                <w:lang w:eastAsia="pt-BR"/>
                <w14:ligatures w14:val="none"/>
              </w:rPr>
              <w:t>3.320</w:t>
            </w:r>
          </w:p>
        </w:tc>
        <w:tc>
          <w:tcPr>
            <w:tcW w:w="813" w:type="pct"/>
            <w:tcBorders>
              <w:top w:val="nil"/>
              <w:left w:val="nil"/>
              <w:bottom w:val="single" w:sz="8" w:space="0" w:color="auto"/>
              <w:right w:val="single" w:sz="8" w:space="0" w:color="auto"/>
            </w:tcBorders>
            <w:shd w:val="clear" w:color="auto" w:fill="auto"/>
            <w:noWrap/>
            <w:vAlign w:val="center"/>
            <w:hideMark/>
          </w:tcPr>
          <w:p w14:paraId="46D06958" w14:textId="77777777" w:rsidR="00BD22FA" w:rsidRPr="00BD22FA" w:rsidRDefault="00BD22FA" w:rsidP="00BD22FA">
            <w:pPr>
              <w:spacing w:after="0" w:line="240" w:lineRule="auto"/>
              <w:jc w:val="right"/>
              <w:rPr>
                <w:rFonts w:ascii="Arial" w:eastAsia="Times New Roman" w:hAnsi="Arial" w:cs="Arial"/>
                <w:color w:val="000000"/>
                <w:kern w:val="0"/>
                <w:sz w:val="18"/>
                <w:szCs w:val="18"/>
                <w:lang w:eastAsia="pt-BR"/>
                <w14:ligatures w14:val="none"/>
              </w:rPr>
            </w:pPr>
            <w:r w:rsidRPr="00BD22FA">
              <w:rPr>
                <w:rFonts w:ascii="Arial" w:eastAsia="Times New Roman" w:hAnsi="Arial" w:cs="Arial"/>
                <w:color w:val="000000"/>
                <w:kern w:val="0"/>
                <w:sz w:val="18"/>
                <w:szCs w:val="18"/>
                <w:lang w:eastAsia="pt-BR"/>
                <w14:ligatures w14:val="none"/>
              </w:rPr>
              <w:t>3.667</w:t>
            </w:r>
          </w:p>
        </w:tc>
      </w:tr>
      <w:tr w:rsidR="00BD22FA" w:rsidRPr="00BD22FA" w14:paraId="080D7CF1" w14:textId="77777777" w:rsidTr="00446A14">
        <w:trPr>
          <w:trHeight w:val="238"/>
        </w:trPr>
        <w:tc>
          <w:tcPr>
            <w:tcW w:w="3295" w:type="pct"/>
            <w:tcBorders>
              <w:top w:val="nil"/>
              <w:left w:val="single" w:sz="8" w:space="0" w:color="auto"/>
              <w:bottom w:val="single" w:sz="8" w:space="0" w:color="auto"/>
              <w:right w:val="single" w:sz="8" w:space="0" w:color="auto"/>
            </w:tcBorders>
            <w:shd w:val="clear" w:color="auto" w:fill="auto"/>
            <w:noWrap/>
            <w:vAlign w:val="center"/>
            <w:hideMark/>
          </w:tcPr>
          <w:p w14:paraId="1DBA1CE9" w14:textId="77777777" w:rsidR="00BD22FA" w:rsidRPr="00BD22FA" w:rsidRDefault="00BD22FA" w:rsidP="00BD22FA">
            <w:pPr>
              <w:spacing w:after="0" w:line="240" w:lineRule="auto"/>
              <w:rPr>
                <w:rFonts w:ascii="Arial" w:eastAsia="Times New Roman" w:hAnsi="Arial" w:cs="Arial"/>
                <w:color w:val="000000"/>
                <w:kern w:val="0"/>
                <w:sz w:val="18"/>
                <w:szCs w:val="18"/>
                <w:lang w:eastAsia="pt-BR"/>
                <w14:ligatures w14:val="none"/>
              </w:rPr>
            </w:pPr>
            <w:r w:rsidRPr="00BD22FA">
              <w:rPr>
                <w:rFonts w:ascii="Arial" w:eastAsia="Times New Roman" w:hAnsi="Arial" w:cs="Arial"/>
                <w:color w:val="000000"/>
                <w:kern w:val="0"/>
                <w:sz w:val="18"/>
                <w:szCs w:val="18"/>
                <w:lang w:eastAsia="pt-BR"/>
                <w14:ligatures w14:val="none"/>
              </w:rPr>
              <w:t>Tributos Retidos e Recolhidos a Recuperar de Clientes</w:t>
            </w:r>
          </w:p>
        </w:tc>
        <w:tc>
          <w:tcPr>
            <w:tcW w:w="892" w:type="pct"/>
            <w:tcBorders>
              <w:top w:val="nil"/>
              <w:left w:val="nil"/>
              <w:bottom w:val="single" w:sz="8" w:space="0" w:color="auto"/>
              <w:right w:val="single" w:sz="8" w:space="0" w:color="auto"/>
            </w:tcBorders>
            <w:shd w:val="clear" w:color="auto" w:fill="auto"/>
            <w:noWrap/>
            <w:vAlign w:val="center"/>
            <w:hideMark/>
          </w:tcPr>
          <w:p w14:paraId="07F3D5F6" w14:textId="77777777" w:rsidR="00BD22FA" w:rsidRPr="00BD22FA" w:rsidRDefault="00BD22FA" w:rsidP="00BD22FA">
            <w:pPr>
              <w:spacing w:after="0" w:line="240" w:lineRule="auto"/>
              <w:jc w:val="right"/>
              <w:rPr>
                <w:rFonts w:ascii="Arial" w:eastAsia="Times New Roman" w:hAnsi="Arial" w:cs="Arial"/>
                <w:color w:val="000000"/>
                <w:kern w:val="0"/>
                <w:sz w:val="18"/>
                <w:szCs w:val="18"/>
                <w:lang w:eastAsia="pt-BR"/>
                <w14:ligatures w14:val="none"/>
              </w:rPr>
            </w:pPr>
            <w:r w:rsidRPr="00BD22FA">
              <w:rPr>
                <w:rFonts w:ascii="Arial" w:eastAsia="Times New Roman" w:hAnsi="Arial" w:cs="Arial"/>
                <w:color w:val="000000"/>
                <w:kern w:val="0"/>
                <w:sz w:val="18"/>
                <w:szCs w:val="18"/>
                <w:lang w:eastAsia="pt-BR"/>
                <w14:ligatures w14:val="none"/>
              </w:rPr>
              <w:t>2.440</w:t>
            </w:r>
          </w:p>
        </w:tc>
        <w:tc>
          <w:tcPr>
            <w:tcW w:w="813" w:type="pct"/>
            <w:tcBorders>
              <w:top w:val="nil"/>
              <w:left w:val="nil"/>
              <w:bottom w:val="single" w:sz="8" w:space="0" w:color="auto"/>
              <w:right w:val="single" w:sz="8" w:space="0" w:color="auto"/>
            </w:tcBorders>
            <w:shd w:val="clear" w:color="auto" w:fill="auto"/>
            <w:noWrap/>
            <w:vAlign w:val="center"/>
            <w:hideMark/>
          </w:tcPr>
          <w:p w14:paraId="30640480" w14:textId="77777777" w:rsidR="00BD22FA" w:rsidRPr="00BD22FA" w:rsidRDefault="00BD22FA" w:rsidP="00BD22FA">
            <w:pPr>
              <w:spacing w:after="0" w:line="240" w:lineRule="auto"/>
              <w:jc w:val="right"/>
              <w:rPr>
                <w:rFonts w:ascii="Arial" w:eastAsia="Times New Roman" w:hAnsi="Arial" w:cs="Arial"/>
                <w:color w:val="000000"/>
                <w:kern w:val="0"/>
                <w:sz w:val="18"/>
                <w:szCs w:val="18"/>
                <w:lang w:eastAsia="pt-BR"/>
                <w14:ligatures w14:val="none"/>
              </w:rPr>
            </w:pPr>
            <w:r w:rsidRPr="00BD22FA">
              <w:rPr>
                <w:rFonts w:ascii="Arial" w:eastAsia="Times New Roman" w:hAnsi="Arial" w:cs="Arial"/>
                <w:color w:val="000000"/>
                <w:kern w:val="0"/>
                <w:sz w:val="18"/>
                <w:szCs w:val="18"/>
                <w:lang w:eastAsia="pt-BR"/>
                <w14:ligatures w14:val="none"/>
              </w:rPr>
              <w:t>6.034</w:t>
            </w:r>
          </w:p>
        </w:tc>
      </w:tr>
      <w:tr w:rsidR="00BD22FA" w:rsidRPr="00BD22FA" w14:paraId="33C48DAE" w14:textId="77777777" w:rsidTr="00446A14">
        <w:trPr>
          <w:trHeight w:val="238"/>
        </w:trPr>
        <w:tc>
          <w:tcPr>
            <w:tcW w:w="3295" w:type="pct"/>
            <w:tcBorders>
              <w:top w:val="nil"/>
              <w:left w:val="single" w:sz="8" w:space="0" w:color="auto"/>
              <w:bottom w:val="single" w:sz="8" w:space="0" w:color="auto"/>
              <w:right w:val="single" w:sz="8" w:space="0" w:color="auto"/>
            </w:tcBorders>
            <w:shd w:val="clear" w:color="auto" w:fill="auto"/>
            <w:noWrap/>
            <w:vAlign w:val="center"/>
            <w:hideMark/>
          </w:tcPr>
          <w:p w14:paraId="087EE63F" w14:textId="77777777" w:rsidR="00BD22FA" w:rsidRPr="00BD22FA" w:rsidRDefault="00BD22FA" w:rsidP="00BD22FA">
            <w:pPr>
              <w:spacing w:after="0" w:line="240" w:lineRule="auto"/>
              <w:rPr>
                <w:rFonts w:ascii="Arial" w:eastAsia="Times New Roman" w:hAnsi="Arial" w:cs="Arial"/>
                <w:color w:val="000000"/>
                <w:kern w:val="0"/>
                <w:sz w:val="18"/>
                <w:szCs w:val="18"/>
                <w:lang w:eastAsia="pt-BR"/>
                <w14:ligatures w14:val="none"/>
              </w:rPr>
            </w:pPr>
            <w:r w:rsidRPr="00BD22FA">
              <w:rPr>
                <w:rFonts w:ascii="Arial" w:eastAsia="Times New Roman" w:hAnsi="Arial" w:cs="Arial"/>
                <w:color w:val="000000"/>
                <w:kern w:val="0"/>
                <w:sz w:val="18"/>
                <w:szCs w:val="18"/>
                <w:lang w:eastAsia="pt-BR"/>
                <w14:ligatures w14:val="none"/>
              </w:rPr>
              <w:t>Adiantamento a Empregados</w:t>
            </w:r>
          </w:p>
        </w:tc>
        <w:tc>
          <w:tcPr>
            <w:tcW w:w="892" w:type="pct"/>
            <w:tcBorders>
              <w:top w:val="nil"/>
              <w:left w:val="nil"/>
              <w:bottom w:val="single" w:sz="8" w:space="0" w:color="auto"/>
              <w:right w:val="single" w:sz="8" w:space="0" w:color="auto"/>
            </w:tcBorders>
            <w:shd w:val="clear" w:color="auto" w:fill="auto"/>
            <w:noWrap/>
            <w:vAlign w:val="center"/>
            <w:hideMark/>
          </w:tcPr>
          <w:p w14:paraId="0753B750" w14:textId="77777777" w:rsidR="00BD22FA" w:rsidRPr="00BD22FA" w:rsidRDefault="00BD22FA" w:rsidP="00BD22FA">
            <w:pPr>
              <w:spacing w:after="0" w:line="240" w:lineRule="auto"/>
              <w:jc w:val="right"/>
              <w:rPr>
                <w:rFonts w:ascii="Arial" w:eastAsia="Times New Roman" w:hAnsi="Arial" w:cs="Arial"/>
                <w:color w:val="000000"/>
                <w:kern w:val="0"/>
                <w:sz w:val="18"/>
                <w:szCs w:val="18"/>
                <w:lang w:eastAsia="pt-BR"/>
                <w14:ligatures w14:val="none"/>
              </w:rPr>
            </w:pPr>
            <w:r w:rsidRPr="00BD22FA">
              <w:rPr>
                <w:rFonts w:ascii="Arial" w:eastAsia="Times New Roman" w:hAnsi="Arial" w:cs="Arial"/>
                <w:color w:val="000000"/>
                <w:kern w:val="0"/>
                <w:sz w:val="18"/>
                <w:szCs w:val="18"/>
                <w:lang w:eastAsia="pt-BR"/>
                <w14:ligatures w14:val="none"/>
              </w:rPr>
              <w:t>1.542</w:t>
            </w:r>
          </w:p>
        </w:tc>
        <w:tc>
          <w:tcPr>
            <w:tcW w:w="813" w:type="pct"/>
            <w:tcBorders>
              <w:top w:val="nil"/>
              <w:left w:val="nil"/>
              <w:bottom w:val="single" w:sz="8" w:space="0" w:color="auto"/>
              <w:right w:val="single" w:sz="8" w:space="0" w:color="auto"/>
            </w:tcBorders>
            <w:shd w:val="clear" w:color="auto" w:fill="auto"/>
            <w:noWrap/>
            <w:vAlign w:val="center"/>
            <w:hideMark/>
          </w:tcPr>
          <w:p w14:paraId="31AC22EC" w14:textId="77777777" w:rsidR="00BD22FA" w:rsidRPr="00BD22FA" w:rsidRDefault="00BD22FA" w:rsidP="00BD22FA">
            <w:pPr>
              <w:spacing w:after="0" w:line="240" w:lineRule="auto"/>
              <w:jc w:val="right"/>
              <w:rPr>
                <w:rFonts w:ascii="Arial" w:eastAsia="Times New Roman" w:hAnsi="Arial" w:cs="Arial"/>
                <w:color w:val="000000"/>
                <w:kern w:val="0"/>
                <w:sz w:val="18"/>
                <w:szCs w:val="18"/>
                <w:lang w:eastAsia="pt-BR"/>
                <w14:ligatures w14:val="none"/>
              </w:rPr>
            </w:pPr>
            <w:r w:rsidRPr="00BD22FA">
              <w:rPr>
                <w:rFonts w:ascii="Arial" w:eastAsia="Times New Roman" w:hAnsi="Arial" w:cs="Arial"/>
                <w:color w:val="000000"/>
                <w:kern w:val="0"/>
                <w:sz w:val="18"/>
                <w:szCs w:val="18"/>
                <w:lang w:eastAsia="pt-BR"/>
                <w14:ligatures w14:val="none"/>
              </w:rPr>
              <w:t>1.337</w:t>
            </w:r>
          </w:p>
        </w:tc>
      </w:tr>
      <w:tr w:rsidR="00BD22FA" w:rsidRPr="00BD22FA" w14:paraId="65958D85" w14:textId="77777777" w:rsidTr="00446A14">
        <w:trPr>
          <w:trHeight w:val="238"/>
        </w:trPr>
        <w:tc>
          <w:tcPr>
            <w:tcW w:w="3295" w:type="pct"/>
            <w:tcBorders>
              <w:top w:val="nil"/>
              <w:left w:val="single" w:sz="8" w:space="0" w:color="auto"/>
              <w:bottom w:val="single" w:sz="8" w:space="0" w:color="auto"/>
              <w:right w:val="single" w:sz="8" w:space="0" w:color="auto"/>
            </w:tcBorders>
            <w:shd w:val="clear" w:color="auto" w:fill="auto"/>
            <w:noWrap/>
            <w:vAlign w:val="center"/>
            <w:hideMark/>
          </w:tcPr>
          <w:p w14:paraId="167C0CCD" w14:textId="77777777" w:rsidR="00BD22FA" w:rsidRPr="00BD22FA" w:rsidRDefault="00BD22FA" w:rsidP="00BD22FA">
            <w:pPr>
              <w:spacing w:after="0" w:line="240" w:lineRule="auto"/>
              <w:rPr>
                <w:rFonts w:ascii="Arial" w:eastAsia="Times New Roman" w:hAnsi="Arial" w:cs="Arial"/>
                <w:color w:val="000000"/>
                <w:kern w:val="0"/>
                <w:sz w:val="18"/>
                <w:szCs w:val="18"/>
                <w:lang w:eastAsia="pt-BR"/>
                <w14:ligatures w14:val="none"/>
              </w:rPr>
            </w:pPr>
            <w:r w:rsidRPr="00BD22FA">
              <w:rPr>
                <w:rFonts w:ascii="Arial" w:eastAsia="Times New Roman" w:hAnsi="Arial" w:cs="Arial"/>
                <w:color w:val="000000"/>
                <w:kern w:val="0"/>
                <w:sz w:val="18"/>
                <w:szCs w:val="18"/>
                <w:lang w:eastAsia="pt-BR"/>
                <w14:ligatures w14:val="none"/>
              </w:rPr>
              <w:t>Glosas sobre Serviços a Recuperar de Clientes (</w:t>
            </w:r>
            <w:proofErr w:type="spellStart"/>
            <w:r w:rsidRPr="00BD22FA">
              <w:rPr>
                <w:rFonts w:ascii="Arial" w:eastAsia="Times New Roman" w:hAnsi="Arial" w:cs="Arial"/>
                <w:color w:val="000000"/>
                <w:kern w:val="0"/>
                <w:sz w:val="18"/>
                <w:szCs w:val="18"/>
                <w:lang w:eastAsia="pt-BR"/>
                <w14:ligatures w14:val="none"/>
              </w:rPr>
              <w:t>ii</w:t>
            </w:r>
            <w:proofErr w:type="spellEnd"/>
            <w:r w:rsidRPr="00BD22FA">
              <w:rPr>
                <w:rFonts w:ascii="Arial" w:eastAsia="Times New Roman" w:hAnsi="Arial" w:cs="Arial"/>
                <w:color w:val="000000"/>
                <w:kern w:val="0"/>
                <w:sz w:val="18"/>
                <w:szCs w:val="18"/>
                <w:lang w:eastAsia="pt-BR"/>
                <w14:ligatures w14:val="none"/>
              </w:rPr>
              <w:t>)</w:t>
            </w:r>
          </w:p>
        </w:tc>
        <w:tc>
          <w:tcPr>
            <w:tcW w:w="892" w:type="pct"/>
            <w:tcBorders>
              <w:top w:val="nil"/>
              <w:left w:val="nil"/>
              <w:bottom w:val="single" w:sz="8" w:space="0" w:color="auto"/>
              <w:right w:val="single" w:sz="8" w:space="0" w:color="auto"/>
            </w:tcBorders>
            <w:shd w:val="clear" w:color="auto" w:fill="auto"/>
            <w:noWrap/>
            <w:vAlign w:val="center"/>
            <w:hideMark/>
          </w:tcPr>
          <w:p w14:paraId="3003DDFB" w14:textId="77777777" w:rsidR="00BD22FA" w:rsidRPr="00BD22FA" w:rsidRDefault="00BD22FA" w:rsidP="00BD22FA">
            <w:pPr>
              <w:spacing w:after="0" w:line="240" w:lineRule="auto"/>
              <w:jc w:val="right"/>
              <w:rPr>
                <w:rFonts w:ascii="Arial" w:eastAsia="Times New Roman" w:hAnsi="Arial" w:cs="Arial"/>
                <w:color w:val="000000"/>
                <w:kern w:val="0"/>
                <w:sz w:val="18"/>
                <w:szCs w:val="18"/>
                <w:lang w:eastAsia="pt-BR"/>
                <w14:ligatures w14:val="none"/>
              </w:rPr>
            </w:pPr>
            <w:r w:rsidRPr="00BD22FA">
              <w:rPr>
                <w:rFonts w:ascii="Arial" w:eastAsia="Times New Roman" w:hAnsi="Arial" w:cs="Arial"/>
                <w:color w:val="000000"/>
                <w:kern w:val="0"/>
                <w:sz w:val="18"/>
                <w:szCs w:val="18"/>
                <w:lang w:eastAsia="pt-BR"/>
                <w14:ligatures w14:val="none"/>
              </w:rPr>
              <w:t>505</w:t>
            </w:r>
          </w:p>
        </w:tc>
        <w:tc>
          <w:tcPr>
            <w:tcW w:w="813" w:type="pct"/>
            <w:tcBorders>
              <w:top w:val="nil"/>
              <w:left w:val="nil"/>
              <w:bottom w:val="single" w:sz="8" w:space="0" w:color="auto"/>
              <w:right w:val="single" w:sz="8" w:space="0" w:color="auto"/>
            </w:tcBorders>
            <w:shd w:val="clear" w:color="auto" w:fill="auto"/>
            <w:noWrap/>
            <w:vAlign w:val="center"/>
            <w:hideMark/>
          </w:tcPr>
          <w:p w14:paraId="1F67A0EE" w14:textId="77777777" w:rsidR="00BD22FA" w:rsidRPr="00BD22FA" w:rsidRDefault="00BD22FA" w:rsidP="00BD22FA">
            <w:pPr>
              <w:spacing w:after="0" w:line="240" w:lineRule="auto"/>
              <w:jc w:val="right"/>
              <w:rPr>
                <w:rFonts w:ascii="Arial" w:eastAsia="Times New Roman" w:hAnsi="Arial" w:cs="Arial"/>
                <w:color w:val="000000"/>
                <w:kern w:val="0"/>
                <w:sz w:val="18"/>
                <w:szCs w:val="18"/>
                <w:lang w:eastAsia="pt-BR"/>
                <w14:ligatures w14:val="none"/>
              </w:rPr>
            </w:pPr>
            <w:r w:rsidRPr="00BD22FA">
              <w:rPr>
                <w:rFonts w:ascii="Arial" w:eastAsia="Times New Roman" w:hAnsi="Arial" w:cs="Arial"/>
                <w:color w:val="000000"/>
                <w:kern w:val="0"/>
                <w:sz w:val="18"/>
                <w:szCs w:val="18"/>
                <w:lang w:eastAsia="pt-BR"/>
                <w14:ligatures w14:val="none"/>
              </w:rPr>
              <w:t>35.156</w:t>
            </w:r>
          </w:p>
        </w:tc>
      </w:tr>
      <w:tr w:rsidR="00BD22FA" w:rsidRPr="00BD22FA" w14:paraId="4DBAAC63" w14:textId="77777777" w:rsidTr="00446A14">
        <w:trPr>
          <w:trHeight w:val="238"/>
        </w:trPr>
        <w:tc>
          <w:tcPr>
            <w:tcW w:w="3295" w:type="pct"/>
            <w:tcBorders>
              <w:top w:val="nil"/>
              <w:left w:val="single" w:sz="8" w:space="0" w:color="auto"/>
              <w:bottom w:val="single" w:sz="8" w:space="0" w:color="auto"/>
              <w:right w:val="single" w:sz="8" w:space="0" w:color="auto"/>
            </w:tcBorders>
            <w:shd w:val="clear" w:color="auto" w:fill="auto"/>
            <w:noWrap/>
            <w:vAlign w:val="center"/>
            <w:hideMark/>
          </w:tcPr>
          <w:p w14:paraId="356316F6" w14:textId="77777777" w:rsidR="00BD22FA" w:rsidRPr="00BD22FA" w:rsidRDefault="00BD22FA" w:rsidP="00BD22FA">
            <w:pPr>
              <w:spacing w:after="0" w:line="240" w:lineRule="auto"/>
              <w:rPr>
                <w:rFonts w:ascii="Arial" w:eastAsia="Times New Roman" w:hAnsi="Arial" w:cs="Arial"/>
                <w:color w:val="000000"/>
                <w:kern w:val="0"/>
                <w:sz w:val="18"/>
                <w:szCs w:val="18"/>
                <w:lang w:eastAsia="pt-BR"/>
                <w14:ligatures w14:val="none"/>
              </w:rPr>
            </w:pPr>
            <w:r w:rsidRPr="00BD22FA">
              <w:rPr>
                <w:rFonts w:ascii="Arial" w:eastAsia="Times New Roman" w:hAnsi="Arial" w:cs="Arial"/>
                <w:color w:val="000000"/>
                <w:kern w:val="0"/>
                <w:sz w:val="18"/>
                <w:szCs w:val="18"/>
                <w:lang w:eastAsia="pt-BR"/>
                <w14:ligatures w14:val="none"/>
              </w:rPr>
              <w:t>Estoques de Materiais de Consumo</w:t>
            </w:r>
          </w:p>
        </w:tc>
        <w:tc>
          <w:tcPr>
            <w:tcW w:w="892" w:type="pct"/>
            <w:tcBorders>
              <w:top w:val="nil"/>
              <w:left w:val="nil"/>
              <w:bottom w:val="single" w:sz="8" w:space="0" w:color="auto"/>
              <w:right w:val="single" w:sz="8" w:space="0" w:color="auto"/>
            </w:tcBorders>
            <w:shd w:val="clear" w:color="auto" w:fill="auto"/>
            <w:noWrap/>
            <w:vAlign w:val="center"/>
            <w:hideMark/>
          </w:tcPr>
          <w:p w14:paraId="3574A792" w14:textId="77777777" w:rsidR="00BD22FA" w:rsidRPr="00BD22FA" w:rsidRDefault="00BD22FA" w:rsidP="00BD22FA">
            <w:pPr>
              <w:spacing w:after="0" w:line="240" w:lineRule="auto"/>
              <w:jc w:val="right"/>
              <w:rPr>
                <w:rFonts w:ascii="Arial" w:eastAsia="Times New Roman" w:hAnsi="Arial" w:cs="Arial"/>
                <w:color w:val="000000"/>
                <w:kern w:val="0"/>
                <w:sz w:val="18"/>
                <w:szCs w:val="18"/>
                <w:lang w:eastAsia="pt-BR"/>
                <w14:ligatures w14:val="none"/>
              </w:rPr>
            </w:pPr>
            <w:r w:rsidRPr="00BD22FA">
              <w:rPr>
                <w:rFonts w:ascii="Arial" w:eastAsia="Times New Roman" w:hAnsi="Arial" w:cs="Arial"/>
                <w:color w:val="000000"/>
                <w:kern w:val="0"/>
                <w:sz w:val="18"/>
                <w:szCs w:val="18"/>
                <w:lang w:eastAsia="pt-BR"/>
                <w14:ligatures w14:val="none"/>
              </w:rPr>
              <w:t>37</w:t>
            </w:r>
          </w:p>
        </w:tc>
        <w:tc>
          <w:tcPr>
            <w:tcW w:w="813" w:type="pct"/>
            <w:tcBorders>
              <w:top w:val="nil"/>
              <w:left w:val="nil"/>
              <w:bottom w:val="single" w:sz="8" w:space="0" w:color="auto"/>
              <w:right w:val="single" w:sz="8" w:space="0" w:color="auto"/>
            </w:tcBorders>
            <w:shd w:val="clear" w:color="auto" w:fill="auto"/>
            <w:noWrap/>
            <w:vAlign w:val="center"/>
            <w:hideMark/>
          </w:tcPr>
          <w:p w14:paraId="574D5B76" w14:textId="77777777" w:rsidR="00BD22FA" w:rsidRPr="00BD22FA" w:rsidRDefault="00BD22FA" w:rsidP="00BD22FA">
            <w:pPr>
              <w:spacing w:after="0" w:line="240" w:lineRule="auto"/>
              <w:jc w:val="right"/>
              <w:rPr>
                <w:rFonts w:ascii="Arial" w:eastAsia="Times New Roman" w:hAnsi="Arial" w:cs="Arial"/>
                <w:color w:val="000000"/>
                <w:kern w:val="0"/>
                <w:sz w:val="18"/>
                <w:szCs w:val="18"/>
                <w:lang w:eastAsia="pt-BR"/>
                <w14:ligatures w14:val="none"/>
              </w:rPr>
            </w:pPr>
            <w:r w:rsidRPr="00BD22FA">
              <w:rPr>
                <w:rFonts w:ascii="Arial" w:eastAsia="Times New Roman" w:hAnsi="Arial" w:cs="Arial"/>
                <w:color w:val="000000"/>
                <w:kern w:val="0"/>
                <w:sz w:val="18"/>
                <w:szCs w:val="18"/>
                <w:lang w:eastAsia="pt-BR"/>
                <w14:ligatures w14:val="none"/>
              </w:rPr>
              <w:t>47</w:t>
            </w:r>
          </w:p>
        </w:tc>
      </w:tr>
      <w:tr w:rsidR="00BD22FA" w:rsidRPr="00BD22FA" w14:paraId="173C2E50" w14:textId="77777777" w:rsidTr="00446A14">
        <w:trPr>
          <w:trHeight w:val="238"/>
        </w:trPr>
        <w:tc>
          <w:tcPr>
            <w:tcW w:w="3295" w:type="pct"/>
            <w:tcBorders>
              <w:top w:val="nil"/>
              <w:left w:val="single" w:sz="8" w:space="0" w:color="auto"/>
              <w:bottom w:val="single" w:sz="8" w:space="0" w:color="auto"/>
              <w:right w:val="single" w:sz="8" w:space="0" w:color="auto"/>
            </w:tcBorders>
            <w:shd w:val="clear" w:color="auto" w:fill="auto"/>
            <w:noWrap/>
            <w:vAlign w:val="center"/>
            <w:hideMark/>
          </w:tcPr>
          <w:p w14:paraId="0D7428BC" w14:textId="77777777" w:rsidR="00BD22FA" w:rsidRPr="00BD22FA" w:rsidRDefault="00BD22FA" w:rsidP="00BD22FA">
            <w:pPr>
              <w:spacing w:after="0" w:line="240" w:lineRule="auto"/>
              <w:rPr>
                <w:rFonts w:ascii="Arial" w:eastAsia="Times New Roman" w:hAnsi="Arial" w:cs="Arial"/>
                <w:color w:val="000000"/>
                <w:kern w:val="0"/>
                <w:sz w:val="18"/>
                <w:szCs w:val="18"/>
                <w:lang w:eastAsia="pt-BR"/>
                <w14:ligatures w14:val="none"/>
              </w:rPr>
            </w:pPr>
            <w:r w:rsidRPr="00BD22FA">
              <w:rPr>
                <w:rFonts w:ascii="Arial" w:eastAsia="Times New Roman" w:hAnsi="Arial" w:cs="Arial"/>
                <w:color w:val="000000"/>
                <w:kern w:val="0"/>
                <w:sz w:val="18"/>
                <w:szCs w:val="18"/>
                <w:lang w:eastAsia="pt-BR"/>
                <w14:ligatures w14:val="none"/>
              </w:rPr>
              <w:t>Outros</w:t>
            </w:r>
          </w:p>
        </w:tc>
        <w:tc>
          <w:tcPr>
            <w:tcW w:w="892" w:type="pct"/>
            <w:tcBorders>
              <w:top w:val="nil"/>
              <w:left w:val="nil"/>
              <w:bottom w:val="single" w:sz="8" w:space="0" w:color="auto"/>
              <w:right w:val="single" w:sz="8" w:space="0" w:color="auto"/>
            </w:tcBorders>
            <w:shd w:val="clear" w:color="auto" w:fill="auto"/>
            <w:noWrap/>
            <w:vAlign w:val="center"/>
            <w:hideMark/>
          </w:tcPr>
          <w:p w14:paraId="3C4B74D0" w14:textId="77777777" w:rsidR="00BD22FA" w:rsidRPr="00BD22FA" w:rsidRDefault="00BD22FA" w:rsidP="00BD22FA">
            <w:pPr>
              <w:spacing w:after="0" w:line="240" w:lineRule="auto"/>
              <w:jc w:val="right"/>
              <w:rPr>
                <w:rFonts w:ascii="Arial" w:eastAsia="Times New Roman" w:hAnsi="Arial" w:cs="Arial"/>
                <w:color w:val="000000"/>
                <w:kern w:val="0"/>
                <w:sz w:val="18"/>
                <w:szCs w:val="18"/>
                <w:lang w:eastAsia="pt-BR"/>
                <w14:ligatures w14:val="none"/>
              </w:rPr>
            </w:pPr>
            <w:r w:rsidRPr="00BD22FA">
              <w:rPr>
                <w:rFonts w:ascii="Arial" w:eastAsia="Times New Roman" w:hAnsi="Arial" w:cs="Arial"/>
                <w:color w:val="000000"/>
                <w:kern w:val="0"/>
                <w:sz w:val="18"/>
                <w:szCs w:val="18"/>
                <w:lang w:eastAsia="pt-BR"/>
                <w14:ligatures w14:val="none"/>
              </w:rPr>
              <w:t>115</w:t>
            </w:r>
          </w:p>
        </w:tc>
        <w:tc>
          <w:tcPr>
            <w:tcW w:w="813" w:type="pct"/>
            <w:tcBorders>
              <w:top w:val="nil"/>
              <w:left w:val="nil"/>
              <w:bottom w:val="single" w:sz="8" w:space="0" w:color="auto"/>
              <w:right w:val="single" w:sz="8" w:space="0" w:color="auto"/>
            </w:tcBorders>
            <w:shd w:val="clear" w:color="auto" w:fill="auto"/>
            <w:noWrap/>
            <w:vAlign w:val="center"/>
            <w:hideMark/>
          </w:tcPr>
          <w:p w14:paraId="35CD121A" w14:textId="77777777" w:rsidR="00BD22FA" w:rsidRPr="00BD22FA" w:rsidRDefault="00BD22FA" w:rsidP="00BD22FA">
            <w:pPr>
              <w:spacing w:after="0" w:line="240" w:lineRule="auto"/>
              <w:jc w:val="right"/>
              <w:rPr>
                <w:rFonts w:ascii="Arial" w:eastAsia="Times New Roman" w:hAnsi="Arial" w:cs="Arial"/>
                <w:color w:val="000000"/>
                <w:kern w:val="0"/>
                <w:sz w:val="18"/>
                <w:szCs w:val="18"/>
                <w:lang w:eastAsia="pt-BR"/>
                <w14:ligatures w14:val="none"/>
              </w:rPr>
            </w:pPr>
            <w:r w:rsidRPr="00BD22FA">
              <w:rPr>
                <w:rFonts w:ascii="Arial" w:eastAsia="Times New Roman" w:hAnsi="Arial" w:cs="Arial"/>
                <w:color w:val="000000"/>
                <w:kern w:val="0"/>
                <w:sz w:val="18"/>
                <w:szCs w:val="18"/>
                <w:lang w:eastAsia="pt-BR"/>
                <w14:ligatures w14:val="none"/>
              </w:rPr>
              <w:t>34</w:t>
            </w:r>
          </w:p>
        </w:tc>
      </w:tr>
      <w:tr w:rsidR="00BD22FA" w:rsidRPr="00BD22FA" w14:paraId="2D7C8554" w14:textId="77777777" w:rsidTr="00446A14">
        <w:trPr>
          <w:trHeight w:val="238"/>
        </w:trPr>
        <w:tc>
          <w:tcPr>
            <w:tcW w:w="3295" w:type="pct"/>
            <w:tcBorders>
              <w:top w:val="nil"/>
              <w:left w:val="single" w:sz="8" w:space="0" w:color="auto"/>
              <w:bottom w:val="single" w:sz="8" w:space="0" w:color="auto"/>
              <w:right w:val="single" w:sz="8" w:space="0" w:color="auto"/>
            </w:tcBorders>
            <w:shd w:val="clear" w:color="auto" w:fill="auto"/>
            <w:noWrap/>
            <w:vAlign w:val="center"/>
            <w:hideMark/>
          </w:tcPr>
          <w:p w14:paraId="7AC975BF" w14:textId="77777777" w:rsidR="00BD22FA" w:rsidRPr="00BD22FA" w:rsidRDefault="00BD22FA" w:rsidP="00BD22FA">
            <w:pPr>
              <w:spacing w:after="0" w:line="240" w:lineRule="auto"/>
              <w:rPr>
                <w:rFonts w:ascii="Arial" w:eastAsia="Times New Roman" w:hAnsi="Arial" w:cs="Arial"/>
                <w:b/>
                <w:bCs/>
                <w:color w:val="000000"/>
                <w:kern w:val="0"/>
                <w:sz w:val="18"/>
                <w:szCs w:val="18"/>
                <w:lang w:eastAsia="pt-BR"/>
                <w14:ligatures w14:val="none"/>
              </w:rPr>
            </w:pPr>
            <w:r w:rsidRPr="00BD22FA">
              <w:rPr>
                <w:rFonts w:ascii="Arial" w:eastAsia="Times New Roman" w:hAnsi="Arial" w:cs="Arial"/>
                <w:b/>
                <w:bCs/>
                <w:color w:val="000000"/>
                <w:kern w:val="0"/>
                <w:sz w:val="18"/>
                <w:szCs w:val="18"/>
                <w:lang w:eastAsia="pt-BR"/>
                <w14:ligatures w14:val="none"/>
              </w:rPr>
              <w:t>Total</w:t>
            </w:r>
          </w:p>
        </w:tc>
        <w:tc>
          <w:tcPr>
            <w:tcW w:w="892" w:type="pct"/>
            <w:tcBorders>
              <w:top w:val="nil"/>
              <w:left w:val="nil"/>
              <w:bottom w:val="single" w:sz="8" w:space="0" w:color="auto"/>
              <w:right w:val="single" w:sz="8" w:space="0" w:color="auto"/>
            </w:tcBorders>
            <w:shd w:val="clear" w:color="auto" w:fill="auto"/>
            <w:noWrap/>
            <w:vAlign w:val="center"/>
            <w:hideMark/>
          </w:tcPr>
          <w:p w14:paraId="1DB7138E" w14:textId="77777777" w:rsidR="00BD22FA" w:rsidRPr="00BD22FA" w:rsidRDefault="00BD22FA" w:rsidP="00BD22FA">
            <w:pPr>
              <w:spacing w:after="0" w:line="240" w:lineRule="auto"/>
              <w:jc w:val="right"/>
              <w:rPr>
                <w:rFonts w:ascii="Arial" w:eastAsia="Times New Roman" w:hAnsi="Arial" w:cs="Arial"/>
                <w:b/>
                <w:bCs/>
                <w:color w:val="000000"/>
                <w:kern w:val="0"/>
                <w:sz w:val="18"/>
                <w:szCs w:val="18"/>
                <w:lang w:eastAsia="pt-BR"/>
                <w14:ligatures w14:val="none"/>
              </w:rPr>
            </w:pPr>
            <w:r w:rsidRPr="00BD22FA">
              <w:rPr>
                <w:rFonts w:ascii="Arial" w:eastAsia="Times New Roman" w:hAnsi="Arial" w:cs="Arial"/>
                <w:b/>
                <w:bCs/>
                <w:color w:val="000000"/>
                <w:kern w:val="0"/>
                <w:sz w:val="18"/>
                <w:szCs w:val="18"/>
                <w:lang w:eastAsia="pt-BR"/>
                <w14:ligatures w14:val="none"/>
              </w:rPr>
              <w:t>51.250</w:t>
            </w:r>
          </w:p>
        </w:tc>
        <w:tc>
          <w:tcPr>
            <w:tcW w:w="813" w:type="pct"/>
            <w:tcBorders>
              <w:top w:val="nil"/>
              <w:left w:val="nil"/>
              <w:bottom w:val="single" w:sz="8" w:space="0" w:color="auto"/>
              <w:right w:val="single" w:sz="8" w:space="0" w:color="auto"/>
            </w:tcBorders>
            <w:shd w:val="clear" w:color="auto" w:fill="auto"/>
            <w:noWrap/>
            <w:vAlign w:val="center"/>
            <w:hideMark/>
          </w:tcPr>
          <w:p w14:paraId="1375E91C" w14:textId="77777777" w:rsidR="00BD22FA" w:rsidRPr="00BD22FA" w:rsidRDefault="00BD22FA" w:rsidP="00BD22FA">
            <w:pPr>
              <w:spacing w:after="0" w:line="240" w:lineRule="auto"/>
              <w:jc w:val="right"/>
              <w:rPr>
                <w:rFonts w:ascii="Arial" w:eastAsia="Times New Roman" w:hAnsi="Arial" w:cs="Arial"/>
                <w:b/>
                <w:bCs/>
                <w:color w:val="000000"/>
                <w:kern w:val="0"/>
                <w:sz w:val="18"/>
                <w:szCs w:val="18"/>
                <w:lang w:eastAsia="pt-BR"/>
                <w14:ligatures w14:val="none"/>
              </w:rPr>
            </w:pPr>
            <w:r w:rsidRPr="00BD22FA">
              <w:rPr>
                <w:rFonts w:ascii="Arial" w:eastAsia="Times New Roman" w:hAnsi="Arial" w:cs="Arial"/>
                <w:b/>
                <w:bCs/>
                <w:color w:val="000000"/>
                <w:kern w:val="0"/>
                <w:sz w:val="18"/>
                <w:szCs w:val="18"/>
                <w:lang w:eastAsia="pt-BR"/>
                <w14:ligatures w14:val="none"/>
              </w:rPr>
              <w:t>93.672</w:t>
            </w:r>
          </w:p>
        </w:tc>
      </w:tr>
      <w:tr w:rsidR="00BD22FA" w:rsidRPr="00BD22FA" w14:paraId="3FEE8F06" w14:textId="77777777" w:rsidTr="00446A14">
        <w:trPr>
          <w:trHeight w:val="238"/>
        </w:trPr>
        <w:tc>
          <w:tcPr>
            <w:tcW w:w="3295" w:type="pct"/>
            <w:tcBorders>
              <w:top w:val="nil"/>
              <w:left w:val="single" w:sz="8" w:space="0" w:color="auto"/>
              <w:bottom w:val="single" w:sz="8" w:space="0" w:color="auto"/>
              <w:right w:val="single" w:sz="8" w:space="0" w:color="auto"/>
            </w:tcBorders>
            <w:shd w:val="clear" w:color="auto" w:fill="auto"/>
            <w:noWrap/>
            <w:vAlign w:val="center"/>
            <w:hideMark/>
          </w:tcPr>
          <w:p w14:paraId="1D13BD29" w14:textId="77777777" w:rsidR="00BD22FA" w:rsidRPr="00BD22FA" w:rsidRDefault="00BD22FA" w:rsidP="00BD22FA">
            <w:pPr>
              <w:spacing w:after="0" w:line="240" w:lineRule="auto"/>
              <w:rPr>
                <w:rFonts w:ascii="Arial" w:eastAsia="Times New Roman" w:hAnsi="Arial" w:cs="Arial"/>
                <w:b/>
                <w:bCs/>
                <w:color w:val="000000"/>
                <w:kern w:val="0"/>
                <w:sz w:val="18"/>
                <w:szCs w:val="18"/>
                <w:lang w:eastAsia="pt-BR"/>
                <w14:ligatures w14:val="none"/>
              </w:rPr>
            </w:pPr>
            <w:r w:rsidRPr="00BD22FA">
              <w:rPr>
                <w:rFonts w:ascii="Arial" w:eastAsia="Times New Roman" w:hAnsi="Arial" w:cs="Arial"/>
                <w:b/>
                <w:bCs/>
                <w:color w:val="000000"/>
                <w:kern w:val="0"/>
                <w:sz w:val="18"/>
                <w:szCs w:val="18"/>
                <w:lang w:eastAsia="pt-BR"/>
                <w14:ligatures w14:val="none"/>
              </w:rPr>
              <w:t>Circulante</w:t>
            </w:r>
          </w:p>
        </w:tc>
        <w:tc>
          <w:tcPr>
            <w:tcW w:w="892" w:type="pct"/>
            <w:tcBorders>
              <w:top w:val="nil"/>
              <w:left w:val="nil"/>
              <w:bottom w:val="single" w:sz="8" w:space="0" w:color="auto"/>
              <w:right w:val="single" w:sz="8" w:space="0" w:color="auto"/>
            </w:tcBorders>
            <w:shd w:val="clear" w:color="auto" w:fill="auto"/>
            <w:noWrap/>
            <w:vAlign w:val="center"/>
            <w:hideMark/>
          </w:tcPr>
          <w:p w14:paraId="194C98FA" w14:textId="77777777" w:rsidR="00BD22FA" w:rsidRPr="00BD22FA" w:rsidRDefault="00BD22FA" w:rsidP="00BD22FA">
            <w:pPr>
              <w:spacing w:after="0" w:line="240" w:lineRule="auto"/>
              <w:jc w:val="right"/>
              <w:rPr>
                <w:rFonts w:ascii="Arial" w:eastAsia="Times New Roman" w:hAnsi="Arial" w:cs="Arial"/>
                <w:b/>
                <w:bCs/>
                <w:color w:val="000000"/>
                <w:kern w:val="0"/>
                <w:sz w:val="18"/>
                <w:szCs w:val="18"/>
                <w:lang w:eastAsia="pt-BR"/>
                <w14:ligatures w14:val="none"/>
              </w:rPr>
            </w:pPr>
            <w:r w:rsidRPr="00BD22FA">
              <w:rPr>
                <w:rFonts w:ascii="Arial" w:eastAsia="Times New Roman" w:hAnsi="Arial" w:cs="Arial"/>
                <w:b/>
                <w:bCs/>
                <w:color w:val="000000"/>
                <w:kern w:val="0"/>
                <w:sz w:val="18"/>
                <w:szCs w:val="18"/>
                <w:lang w:eastAsia="pt-BR"/>
                <w14:ligatures w14:val="none"/>
              </w:rPr>
              <w:t>28.681</w:t>
            </w:r>
          </w:p>
        </w:tc>
        <w:tc>
          <w:tcPr>
            <w:tcW w:w="813" w:type="pct"/>
            <w:tcBorders>
              <w:top w:val="nil"/>
              <w:left w:val="nil"/>
              <w:bottom w:val="single" w:sz="8" w:space="0" w:color="auto"/>
              <w:right w:val="single" w:sz="8" w:space="0" w:color="auto"/>
            </w:tcBorders>
            <w:shd w:val="clear" w:color="auto" w:fill="auto"/>
            <w:noWrap/>
            <w:vAlign w:val="center"/>
            <w:hideMark/>
          </w:tcPr>
          <w:p w14:paraId="2A956273" w14:textId="77777777" w:rsidR="00BD22FA" w:rsidRPr="00BD22FA" w:rsidRDefault="00BD22FA" w:rsidP="00BD22FA">
            <w:pPr>
              <w:spacing w:after="0" w:line="240" w:lineRule="auto"/>
              <w:jc w:val="right"/>
              <w:rPr>
                <w:rFonts w:ascii="Arial" w:eastAsia="Times New Roman" w:hAnsi="Arial" w:cs="Arial"/>
                <w:b/>
                <w:bCs/>
                <w:color w:val="000000"/>
                <w:kern w:val="0"/>
                <w:sz w:val="18"/>
                <w:szCs w:val="18"/>
                <w:lang w:eastAsia="pt-BR"/>
                <w14:ligatures w14:val="none"/>
              </w:rPr>
            </w:pPr>
            <w:r w:rsidRPr="00BD22FA">
              <w:rPr>
                <w:rFonts w:ascii="Arial" w:eastAsia="Times New Roman" w:hAnsi="Arial" w:cs="Arial"/>
                <w:b/>
                <w:bCs/>
                <w:color w:val="000000"/>
                <w:kern w:val="0"/>
                <w:sz w:val="18"/>
                <w:szCs w:val="18"/>
                <w:lang w:eastAsia="pt-BR"/>
                <w14:ligatures w14:val="none"/>
              </w:rPr>
              <w:t>69.730</w:t>
            </w:r>
          </w:p>
        </w:tc>
      </w:tr>
      <w:tr w:rsidR="00BD22FA" w:rsidRPr="00BD22FA" w14:paraId="2A4C4B41" w14:textId="77777777" w:rsidTr="00446A14">
        <w:trPr>
          <w:trHeight w:val="238"/>
        </w:trPr>
        <w:tc>
          <w:tcPr>
            <w:tcW w:w="3295" w:type="pct"/>
            <w:tcBorders>
              <w:top w:val="nil"/>
              <w:left w:val="single" w:sz="8" w:space="0" w:color="auto"/>
              <w:bottom w:val="single" w:sz="8" w:space="0" w:color="auto"/>
              <w:right w:val="single" w:sz="8" w:space="0" w:color="auto"/>
            </w:tcBorders>
            <w:shd w:val="clear" w:color="auto" w:fill="auto"/>
            <w:noWrap/>
            <w:vAlign w:val="center"/>
            <w:hideMark/>
          </w:tcPr>
          <w:p w14:paraId="3DF1AA54" w14:textId="77777777" w:rsidR="00BD22FA" w:rsidRPr="00BD22FA" w:rsidRDefault="00BD22FA" w:rsidP="00BD22FA">
            <w:pPr>
              <w:spacing w:after="0" w:line="240" w:lineRule="auto"/>
              <w:rPr>
                <w:rFonts w:ascii="Arial" w:eastAsia="Times New Roman" w:hAnsi="Arial" w:cs="Arial"/>
                <w:b/>
                <w:bCs/>
                <w:color w:val="000000"/>
                <w:kern w:val="0"/>
                <w:sz w:val="18"/>
                <w:szCs w:val="18"/>
                <w:lang w:eastAsia="pt-BR"/>
                <w14:ligatures w14:val="none"/>
              </w:rPr>
            </w:pPr>
            <w:r w:rsidRPr="00BD22FA">
              <w:rPr>
                <w:rFonts w:ascii="Arial" w:eastAsia="Times New Roman" w:hAnsi="Arial" w:cs="Arial"/>
                <w:b/>
                <w:bCs/>
                <w:color w:val="000000"/>
                <w:kern w:val="0"/>
                <w:sz w:val="18"/>
                <w:szCs w:val="18"/>
                <w:lang w:eastAsia="pt-BR"/>
                <w14:ligatures w14:val="none"/>
              </w:rPr>
              <w:t>Não Circulante</w:t>
            </w:r>
          </w:p>
        </w:tc>
        <w:tc>
          <w:tcPr>
            <w:tcW w:w="892" w:type="pct"/>
            <w:tcBorders>
              <w:top w:val="nil"/>
              <w:left w:val="nil"/>
              <w:bottom w:val="single" w:sz="8" w:space="0" w:color="auto"/>
              <w:right w:val="single" w:sz="8" w:space="0" w:color="auto"/>
            </w:tcBorders>
            <w:shd w:val="clear" w:color="auto" w:fill="auto"/>
            <w:noWrap/>
            <w:vAlign w:val="center"/>
            <w:hideMark/>
          </w:tcPr>
          <w:p w14:paraId="7B20277D" w14:textId="77777777" w:rsidR="00BD22FA" w:rsidRPr="00BD22FA" w:rsidRDefault="00BD22FA" w:rsidP="00BD22FA">
            <w:pPr>
              <w:spacing w:after="0" w:line="240" w:lineRule="auto"/>
              <w:jc w:val="right"/>
              <w:rPr>
                <w:rFonts w:ascii="Arial" w:eastAsia="Times New Roman" w:hAnsi="Arial" w:cs="Arial"/>
                <w:b/>
                <w:bCs/>
                <w:color w:val="000000"/>
                <w:kern w:val="0"/>
                <w:sz w:val="18"/>
                <w:szCs w:val="18"/>
                <w:lang w:eastAsia="pt-BR"/>
                <w14:ligatures w14:val="none"/>
              </w:rPr>
            </w:pPr>
            <w:r w:rsidRPr="00BD22FA">
              <w:rPr>
                <w:rFonts w:ascii="Arial" w:eastAsia="Times New Roman" w:hAnsi="Arial" w:cs="Arial"/>
                <w:b/>
                <w:bCs/>
                <w:color w:val="000000"/>
                <w:kern w:val="0"/>
                <w:sz w:val="18"/>
                <w:szCs w:val="18"/>
                <w:lang w:eastAsia="pt-BR"/>
                <w14:ligatures w14:val="none"/>
              </w:rPr>
              <w:t>22.569</w:t>
            </w:r>
          </w:p>
        </w:tc>
        <w:tc>
          <w:tcPr>
            <w:tcW w:w="813" w:type="pct"/>
            <w:tcBorders>
              <w:top w:val="nil"/>
              <w:left w:val="nil"/>
              <w:bottom w:val="single" w:sz="8" w:space="0" w:color="auto"/>
              <w:right w:val="single" w:sz="8" w:space="0" w:color="auto"/>
            </w:tcBorders>
            <w:shd w:val="clear" w:color="auto" w:fill="auto"/>
            <w:noWrap/>
            <w:vAlign w:val="center"/>
            <w:hideMark/>
          </w:tcPr>
          <w:p w14:paraId="1B97D17C" w14:textId="77777777" w:rsidR="00BD22FA" w:rsidRPr="00BD22FA" w:rsidRDefault="00BD22FA" w:rsidP="00BD22FA">
            <w:pPr>
              <w:spacing w:after="0" w:line="240" w:lineRule="auto"/>
              <w:jc w:val="right"/>
              <w:rPr>
                <w:rFonts w:ascii="Arial" w:eastAsia="Times New Roman" w:hAnsi="Arial" w:cs="Arial"/>
                <w:b/>
                <w:bCs/>
                <w:color w:val="000000"/>
                <w:kern w:val="0"/>
                <w:sz w:val="18"/>
                <w:szCs w:val="18"/>
                <w:lang w:eastAsia="pt-BR"/>
                <w14:ligatures w14:val="none"/>
              </w:rPr>
            </w:pPr>
            <w:r w:rsidRPr="00BD22FA">
              <w:rPr>
                <w:rFonts w:ascii="Arial" w:eastAsia="Times New Roman" w:hAnsi="Arial" w:cs="Arial"/>
                <w:b/>
                <w:bCs/>
                <w:color w:val="000000"/>
                <w:kern w:val="0"/>
                <w:sz w:val="18"/>
                <w:szCs w:val="18"/>
                <w:lang w:eastAsia="pt-BR"/>
                <w14:ligatures w14:val="none"/>
              </w:rPr>
              <w:t>23.942</w:t>
            </w:r>
          </w:p>
        </w:tc>
      </w:tr>
    </w:tbl>
    <w:p w14:paraId="73727042" w14:textId="77777777" w:rsidR="00BD22FA" w:rsidRPr="00BD22FA" w:rsidRDefault="00BD22FA" w:rsidP="007A23F8">
      <w:pPr>
        <w:autoSpaceDE w:val="0"/>
        <w:autoSpaceDN w:val="0"/>
        <w:adjustRightInd w:val="0"/>
        <w:spacing w:after="0" w:line="240" w:lineRule="auto"/>
        <w:jc w:val="both"/>
        <w:rPr>
          <w:rFonts w:ascii="Calibri" w:eastAsia="Times New Roman" w:hAnsi="Calibri" w:cs="Calibri"/>
          <w:iCs/>
          <w:color w:val="002060"/>
          <w:kern w:val="0"/>
          <w14:ligatures w14:val="none"/>
        </w:rPr>
      </w:pPr>
      <w:r w:rsidRPr="00BD22FA">
        <w:rPr>
          <w:rFonts w:ascii="Calibri" w:eastAsia="Times New Roman" w:hAnsi="Calibri" w:cs="Calibri"/>
          <w:iCs/>
          <w:color w:val="002060"/>
          <w:kern w:val="0"/>
          <w14:ligatures w14:val="none"/>
        </w:rPr>
        <w:t xml:space="preserve">(i) Inclui o valor de R$ 23.810 (R$ 29.524 em 31 de dezembro de 2022) correspondente ao adiantamento realizado à empresa </w:t>
      </w:r>
      <w:proofErr w:type="spellStart"/>
      <w:r w:rsidRPr="00BD22FA">
        <w:rPr>
          <w:rFonts w:ascii="Calibri" w:eastAsia="Times New Roman" w:hAnsi="Calibri" w:cs="Calibri"/>
          <w:iCs/>
          <w:color w:val="002060"/>
          <w:kern w:val="0"/>
          <w14:ligatures w14:val="none"/>
        </w:rPr>
        <w:t>Viasat</w:t>
      </w:r>
      <w:proofErr w:type="spellEnd"/>
      <w:r w:rsidRPr="00BD22FA">
        <w:rPr>
          <w:rFonts w:ascii="Calibri" w:eastAsia="Times New Roman" w:hAnsi="Calibri" w:cs="Calibri"/>
          <w:iCs/>
          <w:color w:val="002060"/>
          <w:kern w:val="0"/>
          <w14:ligatures w14:val="none"/>
        </w:rPr>
        <w:t xml:space="preserve"> Brasil Serviços de Comunicação Ltda (subsidiária da </w:t>
      </w:r>
      <w:proofErr w:type="spellStart"/>
      <w:r w:rsidRPr="00BD22FA">
        <w:rPr>
          <w:rFonts w:ascii="Calibri" w:eastAsia="Times New Roman" w:hAnsi="Calibri" w:cs="Calibri"/>
          <w:iCs/>
          <w:color w:val="002060"/>
          <w:kern w:val="0"/>
          <w14:ligatures w14:val="none"/>
        </w:rPr>
        <w:t>Viasat</w:t>
      </w:r>
      <w:proofErr w:type="spellEnd"/>
      <w:r w:rsidRPr="00BD22FA">
        <w:rPr>
          <w:rFonts w:ascii="Calibri" w:eastAsia="Times New Roman" w:hAnsi="Calibri" w:cs="Calibri"/>
          <w:iCs/>
          <w:color w:val="002060"/>
          <w:kern w:val="0"/>
          <w14:ligatures w14:val="none"/>
        </w:rPr>
        <w:t xml:space="preserve"> Inc.), cujo objetivo foi o de acelerar o início da prestação dos serviços em banda larga, conforme acordo contratual firmado entre a Telebras e a </w:t>
      </w:r>
      <w:proofErr w:type="spellStart"/>
      <w:r w:rsidRPr="00BD22FA">
        <w:rPr>
          <w:rFonts w:ascii="Calibri" w:eastAsia="Times New Roman" w:hAnsi="Calibri" w:cs="Calibri"/>
          <w:iCs/>
          <w:color w:val="002060"/>
          <w:kern w:val="0"/>
          <w14:ligatures w14:val="none"/>
        </w:rPr>
        <w:t>Viasat</w:t>
      </w:r>
      <w:proofErr w:type="spellEnd"/>
      <w:r w:rsidRPr="00BD22FA">
        <w:rPr>
          <w:rFonts w:ascii="Calibri" w:eastAsia="Times New Roman" w:hAnsi="Calibri" w:cs="Calibri"/>
          <w:iCs/>
          <w:color w:val="002060"/>
          <w:kern w:val="0"/>
          <w14:ligatures w14:val="none"/>
        </w:rPr>
        <w:t xml:space="preserve">. </w:t>
      </w:r>
    </w:p>
    <w:p w14:paraId="0A677338" w14:textId="77777777" w:rsidR="00BD22FA" w:rsidRPr="00BD22FA" w:rsidRDefault="00BD22FA" w:rsidP="007A23F8">
      <w:pPr>
        <w:autoSpaceDE w:val="0"/>
        <w:autoSpaceDN w:val="0"/>
        <w:adjustRightInd w:val="0"/>
        <w:spacing w:after="0" w:line="240" w:lineRule="auto"/>
        <w:jc w:val="both"/>
        <w:rPr>
          <w:rFonts w:ascii="Calibri" w:eastAsia="Times New Roman" w:hAnsi="Calibri" w:cs="Calibri"/>
          <w:iCs/>
          <w:color w:val="002060"/>
          <w:kern w:val="0"/>
          <w14:ligatures w14:val="none"/>
        </w:rPr>
      </w:pPr>
      <w:proofErr w:type="spellStart"/>
      <w:r w:rsidRPr="00BD22FA">
        <w:rPr>
          <w:rFonts w:ascii="Calibri" w:eastAsia="Times New Roman" w:hAnsi="Calibri" w:cs="Calibri"/>
          <w:iCs/>
          <w:color w:val="002060"/>
          <w:kern w:val="0"/>
          <w14:ligatures w14:val="none"/>
        </w:rPr>
        <w:t>ii</w:t>
      </w:r>
      <w:proofErr w:type="spellEnd"/>
      <w:r w:rsidRPr="00BD22FA">
        <w:rPr>
          <w:rFonts w:ascii="Calibri" w:eastAsia="Times New Roman" w:hAnsi="Calibri" w:cs="Calibri"/>
          <w:iCs/>
          <w:color w:val="002060"/>
          <w:kern w:val="0"/>
          <w14:ligatures w14:val="none"/>
        </w:rPr>
        <w:t>)  No exercício de 2023, foi realizada à baixa dos valores relativos às glosas relacionadas às multas aplicadas pela Dataprev, conforme contrato de prestação de serviços. O montante baixado para o resultado do exercício foi de R$ 39.396. A Telebras vinha mantendo conversações com a Dataprev no sentido de reverter essas multas, mas não teve sucesso, dessa forma, realizou-se a baixa para o resultado do período.</w:t>
      </w:r>
    </w:p>
    <w:p w14:paraId="6C4305BE" w14:textId="5D209585" w:rsidR="00BD22FA" w:rsidRPr="00BD22FA" w:rsidRDefault="00BD22FA" w:rsidP="007A23F8">
      <w:pPr>
        <w:autoSpaceDE w:val="0"/>
        <w:autoSpaceDN w:val="0"/>
        <w:adjustRightInd w:val="0"/>
        <w:spacing w:after="0" w:line="240" w:lineRule="auto"/>
        <w:jc w:val="both"/>
        <w:rPr>
          <w:rFonts w:ascii="Calibri" w:eastAsia="Times New Roman" w:hAnsi="Calibri" w:cs="Calibri"/>
          <w:b/>
          <w:bCs/>
          <w:iCs/>
          <w:color w:val="002060"/>
          <w:kern w:val="0"/>
          <w14:ligatures w14:val="none"/>
        </w:rPr>
      </w:pPr>
      <w:bookmarkStart w:id="394" w:name="_Toc491337720"/>
      <w:r>
        <w:rPr>
          <w:rFonts w:ascii="Calibri" w:eastAsia="Times New Roman" w:hAnsi="Calibri" w:cs="Calibri"/>
          <w:b/>
          <w:bCs/>
          <w:iCs/>
          <w:color w:val="002060"/>
          <w:kern w:val="0"/>
          <w14:ligatures w14:val="none"/>
        </w:rPr>
        <w:t xml:space="preserve">11. </w:t>
      </w:r>
      <w:r w:rsidRPr="00BD22FA">
        <w:rPr>
          <w:rFonts w:ascii="Calibri" w:eastAsia="Times New Roman" w:hAnsi="Calibri" w:cs="Calibri"/>
          <w:b/>
          <w:bCs/>
          <w:iCs/>
          <w:color w:val="002060"/>
          <w:kern w:val="0"/>
          <w14:ligatures w14:val="none"/>
        </w:rPr>
        <w:t>DIVIDENDOS A RECEBER</w:t>
      </w:r>
      <w:bookmarkEnd w:id="394"/>
    </w:p>
    <w:p w14:paraId="548F65B8" w14:textId="77777777" w:rsidR="00BD22FA" w:rsidRPr="00BD22FA" w:rsidRDefault="00BD22FA" w:rsidP="007A23F8">
      <w:pPr>
        <w:autoSpaceDE w:val="0"/>
        <w:autoSpaceDN w:val="0"/>
        <w:adjustRightInd w:val="0"/>
        <w:spacing w:after="0" w:line="240" w:lineRule="auto"/>
        <w:jc w:val="both"/>
        <w:rPr>
          <w:rFonts w:ascii="Calibri" w:eastAsia="Times New Roman" w:hAnsi="Calibri" w:cs="Calibri"/>
          <w:iCs/>
          <w:color w:val="002060"/>
          <w:kern w:val="0"/>
          <w14:ligatures w14:val="none"/>
        </w:rPr>
      </w:pPr>
      <w:r w:rsidRPr="00BD22FA">
        <w:rPr>
          <w:rFonts w:ascii="Calibri" w:eastAsia="Times New Roman" w:hAnsi="Calibri" w:cs="Calibri"/>
          <w:iCs/>
          <w:color w:val="002060"/>
          <w:kern w:val="0"/>
          <w14:ligatures w14:val="none"/>
        </w:rPr>
        <w:t xml:space="preserve">Em 31 de dezembro de 2023, a Companhia tinha reconhecido direitos a receber de dividendos declarados pela coligada VISIONA no montante de R$ 5.456 (R$ 5.456 em dezembro de 2022). </w:t>
      </w:r>
    </w:p>
    <w:p w14:paraId="18361B08" w14:textId="7FA58337" w:rsidR="00BD22FA" w:rsidRDefault="00411455" w:rsidP="007A23F8">
      <w:pPr>
        <w:autoSpaceDE w:val="0"/>
        <w:autoSpaceDN w:val="0"/>
        <w:adjustRightInd w:val="0"/>
        <w:spacing w:after="0" w:line="240" w:lineRule="auto"/>
        <w:jc w:val="both"/>
        <w:rPr>
          <w:rFonts w:ascii="Calibri" w:eastAsia="Times New Roman" w:hAnsi="Calibri" w:cs="Calibri"/>
          <w:b/>
          <w:bCs/>
          <w:iCs/>
          <w:color w:val="002060"/>
          <w:kern w:val="0"/>
          <w14:ligatures w14:val="none"/>
        </w:rPr>
      </w:pPr>
      <w:bookmarkStart w:id="395" w:name="_Toc491337721"/>
      <w:r>
        <w:rPr>
          <w:rFonts w:ascii="Calibri" w:eastAsia="Times New Roman" w:hAnsi="Calibri" w:cs="Calibri"/>
          <w:b/>
          <w:bCs/>
          <w:iCs/>
          <w:color w:val="002060"/>
          <w:kern w:val="0"/>
          <w14:ligatures w14:val="none"/>
        </w:rPr>
        <w:t xml:space="preserve">12. </w:t>
      </w:r>
      <w:r w:rsidR="00BD22FA" w:rsidRPr="00BD22FA">
        <w:rPr>
          <w:rFonts w:ascii="Calibri" w:eastAsia="Times New Roman" w:hAnsi="Calibri" w:cs="Calibri"/>
          <w:b/>
          <w:bCs/>
          <w:iCs/>
          <w:color w:val="002060"/>
          <w:kern w:val="0"/>
          <w14:ligatures w14:val="none"/>
        </w:rPr>
        <w:t>APLICAÇÕES FINANCEIRAS</w:t>
      </w:r>
      <w:bookmarkEnd w:id="395"/>
    </w:p>
    <w:tbl>
      <w:tblPr>
        <w:tblW w:w="5000" w:type="pct"/>
        <w:tblCellMar>
          <w:left w:w="70" w:type="dxa"/>
          <w:right w:w="70" w:type="dxa"/>
        </w:tblCellMar>
        <w:tblLook w:val="04A0" w:firstRow="1" w:lastRow="0" w:firstColumn="1" w:lastColumn="0" w:noHBand="0" w:noVBand="1"/>
      </w:tblPr>
      <w:tblGrid>
        <w:gridCol w:w="6807"/>
        <w:gridCol w:w="1464"/>
        <w:gridCol w:w="1490"/>
      </w:tblGrid>
      <w:tr w:rsidR="00411455" w:rsidRPr="00411455" w14:paraId="583F01A7" w14:textId="77777777" w:rsidTr="00446A14">
        <w:trPr>
          <w:trHeight w:val="238"/>
          <w:tblHeader/>
        </w:trPr>
        <w:tc>
          <w:tcPr>
            <w:tcW w:w="3487" w:type="pct"/>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6FC2CFE3" w14:textId="77777777" w:rsidR="00411455" w:rsidRPr="00411455" w:rsidRDefault="00411455" w:rsidP="00411455">
            <w:pPr>
              <w:spacing w:after="0" w:line="240" w:lineRule="auto"/>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Composição:</w:t>
            </w:r>
          </w:p>
        </w:tc>
        <w:tc>
          <w:tcPr>
            <w:tcW w:w="750" w:type="pct"/>
            <w:tcBorders>
              <w:top w:val="single" w:sz="8" w:space="0" w:color="auto"/>
              <w:left w:val="nil"/>
              <w:bottom w:val="single" w:sz="8" w:space="0" w:color="auto"/>
              <w:right w:val="single" w:sz="8" w:space="0" w:color="auto"/>
            </w:tcBorders>
            <w:shd w:val="clear" w:color="auto" w:fill="auto"/>
            <w:noWrap/>
            <w:vAlign w:val="center"/>
            <w:hideMark/>
          </w:tcPr>
          <w:p w14:paraId="1FAE240A" w14:textId="77777777" w:rsidR="00411455" w:rsidRPr="00411455" w:rsidRDefault="00411455" w:rsidP="00411455">
            <w:pPr>
              <w:spacing w:after="0" w:line="240" w:lineRule="auto"/>
              <w:jc w:val="center"/>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14:ligatures w14:val="none"/>
              </w:rPr>
              <w:t>31/12/2023</w:t>
            </w:r>
          </w:p>
        </w:tc>
        <w:tc>
          <w:tcPr>
            <w:tcW w:w="763" w:type="pct"/>
            <w:tcBorders>
              <w:top w:val="single" w:sz="8" w:space="0" w:color="auto"/>
              <w:left w:val="nil"/>
              <w:bottom w:val="single" w:sz="8" w:space="0" w:color="auto"/>
              <w:right w:val="single" w:sz="8" w:space="0" w:color="auto"/>
            </w:tcBorders>
            <w:shd w:val="clear" w:color="auto" w:fill="auto"/>
            <w:noWrap/>
            <w:vAlign w:val="center"/>
            <w:hideMark/>
          </w:tcPr>
          <w:p w14:paraId="76A94EC0" w14:textId="77777777" w:rsidR="00411455" w:rsidRPr="00411455" w:rsidRDefault="00411455" w:rsidP="00411455">
            <w:pPr>
              <w:spacing w:after="0" w:line="240" w:lineRule="auto"/>
              <w:jc w:val="center"/>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14:ligatures w14:val="none"/>
              </w:rPr>
              <w:t>31/12/2022</w:t>
            </w:r>
          </w:p>
        </w:tc>
      </w:tr>
      <w:tr w:rsidR="00411455" w:rsidRPr="00411455" w14:paraId="52120262" w14:textId="77777777" w:rsidTr="00446A14">
        <w:trPr>
          <w:trHeight w:val="238"/>
        </w:trPr>
        <w:tc>
          <w:tcPr>
            <w:tcW w:w="3487" w:type="pct"/>
            <w:tcBorders>
              <w:top w:val="nil"/>
              <w:left w:val="single" w:sz="8" w:space="0" w:color="auto"/>
              <w:bottom w:val="single" w:sz="8" w:space="0" w:color="auto"/>
              <w:right w:val="single" w:sz="8" w:space="0" w:color="auto"/>
            </w:tcBorders>
            <w:shd w:val="clear" w:color="auto" w:fill="auto"/>
            <w:noWrap/>
            <w:vAlign w:val="center"/>
            <w:hideMark/>
          </w:tcPr>
          <w:p w14:paraId="042F3EB6" w14:textId="77777777" w:rsidR="00411455" w:rsidRPr="00411455" w:rsidRDefault="00411455" w:rsidP="00411455">
            <w:pPr>
              <w:spacing w:after="0" w:line="240" w:lineRule="auto"/>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Fundo Caixa Extramercado Comum IRFM-1 (</w:t>
            </w:r>
            <w:proofErr w:type="spellStart"/>
            <w:r w:rsidRPr="00411455">
              <w:rPr>
                <w:rFonts w:ascii="Arial" w:eastAsia="Times New Roman" w:hAnsi="Arial" w:cs="Arial"/>
                <w:color w:val="000000"/>
                <w:kern w:val="0"/>
                <w:sz w:val="18"/>
                <w:szCs w:val="18"/>
                <w:lang w:eastAsia="pt-BR"/>
                <w14:ligatures w14:val="none"/>
              </w:rPr>
              <w:t>iv</w:t>
            </w:r>
            <w:proofErr w:type="spellEnd"/>
            <w:r w:rsidRPr="00411455">
              <w:rPr>
                <w:rFonts w:ascii="Arial" w:eastAsia="Times New Roman" w:hAnsi="Arial" w:cs="Arial"/>
                <w:color w:val="000000"/>
                <w:kern w:val="0"/>
                <w:sz w:val="18"/>
                <w:szCs w:val="18"/>
                <w:lang w:eastAsia="pt-BR"/>
                <w14:ligatures w14:val="none"/>
              </w:rPr>
              <w:t>)</w:t>
            </w:r>
          </w:p>
        </w:tc>
        <w:tc>
          <w:tcPr>
            <w:tcW w:w="750" w:type="pct"/>
            <w:tcBorders>
              <w:top w:val="nil"/>
              <w:left w:val="nil"/>
              <w:bottom w:val="single" w:sz="8" w:space="0" w:color="auto"/>
              <w:right w:val="single" w:sz="8" w:space="0" w:color="auto"/>
            </w:tcBorders>
            <w:shd w:val="clear" w:color="auto" w:fill="auto"/>
            <w:noWrap/>
            <w:vAlign w:val="center"/>
            <w:hideMark/>
          </w:tcPr>
          <w:p w14:paraId="238573D5"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xml:space="preserve">            412.234 </w:t>
            </w:r>
          </w:p>
        </w:tc>
        <w:tc>
          <w:tcPr>
            <w:tcW w:w="763" w:type="pct"/>
            <w:tcBorders>
              <w:top w:val="nil"/>
              <w:left w:val="nil"/>
              <w:bottom w:val="single" w:sz="8" w:space="0" w:color="auto"/>
              <w:right w:val="single" w:sz="8" w:space="0" w:color="auto"/>
            </w:tcBorders>
            <w:shd w:val="clear" w:color="auto" w:fill="auto"/>
            <w:noWrap/>
            <w:vAlign w:val="center"/>
            <w:hideMark/>
          </w:tcPr>
          <w:p w14:paraId="51B97032"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412.234</w:t>
            </w:r>
          </w:p>
        </w:tc>
      </w:tr>
      <w:tr w:rsidR="00411455" w:rsidRPr="00411455" w14:paraId="09C625D8" w14:textId="77777777" w:rsidTr="00446A14">
        <w:trPr>
          <w:trHeight w:val="238"/>
        </w:trPr>
        <w:tc>
          <w:tcPr>
            <w:tcW w:w="3487" w:type="pct"/>
            <w:tcBorders>
              <w:top w:val="nil"/>
              <w:left w:val="single" w:sz="8" w:space="0" w:color="auto"/>
              <w:bottom w:val="single" w:sz="8" w:space="0" w:color="auto"/>
              <w:right w:val="single" w:sz="8" w:space="0" w:color="auto"/>
            </w:tcBorders>
            <w:shd w:val="clear" w:color="auto" w:fill="auto"/>
            <w:noWrap/>
            <w:vAlign w:val="center"/>
            <w:hideMark/>
          </w:tcPr>
          <w:p w14:paraId="17F249BD" w14:textId="77777777" w:rsidR="00411455" w:rsidRPr="00411455" w:rsidRDefault="00411455" w:rsidP="00411455">
            <w:pPr>
              <w:spacing w:after="0" w:line="240" w:lineRule="auto"/>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BB Extramercado FAE2 FI (</w:t>
            </w:r>
            <w:proofErr w:type="spellStart"/>
            <w:r w:rsidRPr="00411455">
              <w:rPr>
                <w:rFonts w:ascii="Arial" w:eastAsia="Times New Roman" w:hAnsi="Arial" w:cs="Arial"/>
                <w:color w:val="000000"/>
                <w:kern w:val="0"/>
                <w:sz w:val="18"/>
                <w:szCs w:val="18"/>
                <w:lang w:eastAsia="pt-BR"/>
                <w14:ligatures w14:val="none"/>
              </w:rPr>
              <w:t>iv</w:t>
            </w:r>
            <w:proofErr w:type="spellEnd"/>
            <w:r w:rsidRPr="00411455">
              <w:rPr>
                <w:rFonts w:ascii="Arial" w:eastAsia="Times New Roman" w:hAnsi="Arial" w:cs="Arial"/>
                <w:color w:val="000000"/>
                <w:kern w:val="0"/>
                <w:sz w:val="18"/>
                <w:szCs w:val="18"/>
                <w:lang w:eastAsia="pt-BR"/>
                <w14:ligatures w14:val="none"/>
              </w:rPr>
              <w:t>)</w:t>
            </w:r>
          </w:p>
        </w:tc>
        <w:tc>
          <w:tcPr>
            <w:tcW w:w="750" w:type="pct"/>
            <w:tcBorders>
              <w:top w:val="nil"/>
              <w:left w:val="nil"/>
              <w:bottom w:val="single" w:sz="8" w:space="0" w:color="auto"/>
              <w:right w:val="single" w:sz="8" w:space="0" w:color="auto"/>
            </w:tcBorders>
            <w:shd w:val="clear" w:color="auto" w:fill="auto"/>
            <w:noWrap/>
            <w:vAlign w:val="center"/>
            <w:hideMark/>
          </w:tcPr>
          <w:p w14:paraId="45038CDC"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xml:space="preserve">            410.118 </w:t>
            </w:r>
          </w:p>
        </w:tc>
        <w:tc>
          <w:tcPr>
            <w:tcW w:w="763" w:type="pct"/>
            <w:tcBorders>
              <w:top w:val="nil"/>
              <w:left w:val="nil"/>
              <w:bottom w:val="single" w:sz="8" w:space="0" w:color="auto"/>
              <w:right w:val="single" w:sz="8" w:space="0" w:color="auto"/>
            </w:tcBorders>
            <w:shd w:val="clear" w:color="auto" w:fill="auto"/>
            <w:noWrap/>
            <w:vAlign w:val="center"/>
            <w:hideMark/>
          </w:tcPr>
          <w:p w14:paraId="343FAC6A"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410.118</w:t>
            </w:r>
          </w:p>
        </w:tc>
      </w:tr>
      <w:tr w:rsidR="00411455" w:rsidRPr="00411455" w14:paraId="06445238" w14:textId="77777777" w:rsidTr="00446A14">
        <w:trPr>
          <w:trHeight w:val="238"/>
        </w:trPr>
        <w:tc>
          <w:tcPr>
            <w:tcW w:w="3487" w:type="pct"/>
            <w:tcBorders>
              <w:top w:val="nil"/>
              <w:left w:val="single" w:sz="8" w:space="0" w:color="auto"/>
              <w:bottom w:val="single" w:sz="8" w:space="0" w:color="auto"/>
              <w:right w:val="single" w:sz="8" w:space="0" w:color="auto"/>
            </w:tcBorders>
            <w:shd w:val="clear" w:color="auto" w:fill="auto"/>
            <w:noWrap/>
            <w:vAlign w:val="center"/>
            <w:hideMark/>
          </w:tcPr>
          <w:p w14:paraId="11A67FF3" w14:textId="77777777" w:rsidR="00411455" w:rsidRPr="00411455" w:rsidRDefault="00411455" w:rsidP="00411455">
            <w:pPr>
              <w:spacing w:after="0" w:line="240" w:lineRule="auto"/>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Fundo BB Referenciado DI LP Corporativo 600 mil (i)</w:t>
            </w:r>
          </w:p>
        </w:tc>
        <w:tc>
          <w:tcPr>
            <w:tcW w:w="750" w:type="pct"/>
            <w:tcBorders>
              <w:top w:val="nil"/>
              <w:left w:val="nil"/>
              <w:bottom w:val="single" w:sz="8" w:space="0" w:color="auto"/>
              <w:right w:val="single" w:sz="8" w:space="0" w:color="auto"/>
            </w:tcBorders>
            <w:shd w:val="clear" w:color="auto" w:fill="auto"/>
            <w:noWrap/>
            <w:vAlign w:val="center"/>
            <w:hideMark/>
          </w:tcPr>
          <w:p w14:paraId="3B8754C2"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xml:space="preserve">              41.566 </w:t>
            </w:r>
          </w:p>
        </w:tc>
        <w:tc>
          <w:tcPr>
            <w:tcW w:w="763" w:type="pct"/>
            <w:tcBorders>
              <w:top w:val="nil"/>
              <w:left w:val="nil"/>
              <w:bottom w:val="single" w:sz="8" w:space="0" w:color="auto"/>
              <w:right w:val="single" w:sz="8" w:space="0" w:color="auto"/>
            </w:tcBorders>
            <w:shd w:val="clear" w:color="auto" w:fill="auto"/>
            <w:noWrap/>
            <w:vAlign w:val="center"/>
            <w:hideMark/>
          </w:tcPr>
          <w:p w14:paraId="51CB7B41"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37.565</w:t>
            </w:r>
          </w:p>
        </w:tc>
      </w:tr>
      <w:tr w:rsidR="00411455" w:rsidRPr="00411455" w14:paraId="2F8E9456" w14:textId="77777777" w:rsidTr="00446A14">
        <w:trPr>
          <w:trHeight w:val="238"/>
        </w:trPr>
        <w:tc>
          <w:tcPr>
            <w:tcW w:w="3487" w:type="pct"/>
            <w:tcBorders>
              <w:top w:val="nil"/>
              <w:left w:val="single" w:sz="8" w:space="0" w:color="auto"/>
              <w:bottom w:val="single" w:sz="8" w:space="0" w:color="auto"/>
              <w:right w:val="single" w:sz="8" w:space="0" w:color="auto"/>
            </w:tcBorders>
            <w:shd w:val="clear" w:color="auto" w:fill="auto"/>
            <w:noWrap/>
            <w:vAlign w:val="center"/>
            <w:hideMark/>
          </w:tcPr>
          <w:p w14:paraId="0612ED83" w14:textId="77777777" w:rsidR="00411455" w:rsidRPr="00411455" w:rsidRDefault="00411455" w:rsidP="00411455">
            <w:pPr>
              <w:spacing w:after="0" w:line="240" w:lineRule="auto"/>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Fundo BB Extramercado FAE FI RF (</w:t>
            </w:r>
            <w:proofErr w:type="spellStart"/>
            <w:r w:rsidRPr="00411455">
              <w:rPr>
                <w:rFonts w:ascii="Arial" w:eastAsia="Times New Roman" w:hAnsi="Arial" w:cs="Arial"/>
                <w:color w:val="000000"/>
                <w:kern w:val="0"/>
                <w:sz w:val="18"/>
                <w:szCs w:val="18"/>
                <w:lang w:eastAsia="pt-BR"/>
                <w14:ligatures w14:val="none"/>
              </w:rPr>
              <w:t>ii</w:t>
            </w:r>
            <w:proofErr w:type="spellEnd"/>
            <w:r w:rsidRPr="00411455">
              <w:rPr>
                <w:rFonts w:ascii="Arial" w:eastAsia="Times New Roman" w:hAnsi="Arial" w:cs="Arial"/>
                <w:color w:val="000000"/>
                <w:kern w:val="0"/>
                <w:sz w:val="18"/>
                <w:szCs w:val="18"/>
                <w:lang w:eastAsia="pt-BR"/>
                <w14:ligatures w14:val="none"/>
              </w:rPr>
              <w:t>)</w:t>
            </w:r>
          </w:p>
        </w:tc>
        <w:tc>
          <w:tcPr>
            <w:tcW w:w="750" w:type="pct"/>
            <w:tcBorders>
              <w:top w:val="nil"/>
              <w:left w:val="nil"/>
              <w:bottom w:val="single" w:sz="8" w:space="0" w:color="auto"/>
              <w:right w:val="single" w:sz="8" w:space="0" w:color="auto"/>
            </w:tcBorders>
            <w:shd w:val="clear" w:color="auto" w:fill="auto"/>
            <w:noWrap/>
            <w:vAlign w:val="center"/>
            <w:hideMark/>
          </w:tcPr>
          <w:p w14:paraId="1F2E72CA"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xml:space="preserve">              36.410 </w:t>
            </w:r>
          </w:p>
        </w:tc>
        <w:tc>
          <w:tcPr>
            <w:tcW w:w="763" w:type="pct"/>
            <w:tcBorders>
              <w:top w:val="nil"/>
              <w:left w:val="nil"/>
              <w:bottom w:val="single" w:sz="8" w:space="0" w:color="auto"/>
              <w:right w:val="single" w:sz="8" w:space="0" w:color="auto"/>
            </w:tcBorders>
            <w:shd w:val="clear" w:color="auto" w:fill="auto"/>
            <w:noWrap/>
            <w:vAlign w:val="center"/>
            <w:hideMark/>
          </w:tcPr>
          <w:p w14:paraId="53F66BB3"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32.969</w:t>
            </w:r>
          </w:p>
        </w:tc>
      </w:tr>
      <w:tr w:rsidR="00411455" w:rsidRPr="00411455" w14:paraId="75B9E1A2" w14:textId="77777777" w:rsidTr="00446A14">
        <w:trPr>
          <w:trHeight w:val="238"/>
        </w:trPr>
        <w:tc>
          <w:tcPr>
            <w:tcW w:w="3487" w:type="pct"/>
            <w:tcBorders>
              <w:top w:val="nil"/>
              <w:left w:val="single" w:sz="8" w:space="0" w:color="auto"/>
              <w:bottom w:val="single" w:sz="8" w:space="0" w:color="auto"/>
              <w:right w:val="single" w:sz="8" w:space="0" w:color="auto"/>
            </w:tcBorders>
            <w:shd w:val="clear" w:color="auto" w:fill="auto"/>
            <w:noWrap/>
            <w:vAlign w:val="center"/>
            <w:hideMark/>
          </w:tcPr>
          <w:p w14:paraId="0BDD66B6" w14:textId="77777777" w:rsidR="00411455" w:rsidRPr="00411455" w:rsidRDefault="00411455" w:rsidP="00411455">
            <w:pPr>
              <w:spacing w:after="0" w:line="240" w:lineRule="auto"/>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Aplicações em Ações e Fundo de Investimentos (</w:t>
            </w:r>
            <w:proofErr w:type="spellStart"/>
            <w:r w:rsidRPr="00411455">
              <w:rPr>
                <w:rFonts w:ascii="Arial" w:eastAsia="Times New Roman" w:hAnsi="Arial" w:cs="Arial"/>
                <w:color w:val="000000"/>
                <w:kern w:val="0"/>
                <w:sz w:val="18"/>
                <w:szCs w:val="18"/>
                <w:lang w:eastAsia="pt-BR"/>
                <w14:ligatures w14:val="none"/>
              </w:rPr>
              <w:t>iii</w:t>
            </w:r>
            <w:proofErr w:type="spellEnd"/>
            <w:r w:rsidRPr="00411455">
              <w:rPr>
                <w:rFonts w:ascii="Arial" w:eastAsia="Times New Roman" w:hAnsi="Arial" w:cs="Arial"/>
                <w:color w:val="000000"/>
                <w:kern w:val="0"/>
                <w:sz w:val="18"/>
                <w:szCs w:val="18"/>
                <w:lang w:eastAsia="pt-BR"/>
                <w14:ligatures w14:val="none"/>
              </w:rPr>
              <w:t>)</w:t>
            </w:r>
          </w:p>
        </w:tc>
        <w:tc>
          <w:tcPr>
            <w:tcW w:w="750" w:type="pct"/>
            <w:tcBorders>
              <w:top w:val="nil"/>
              <w:left w:val="nil"/>
              <w:bottom w:val="single" w:sz="8" w:space="0" w:color="auto"/>
              <w:right w:val="single" w:sz="8" w:space="0" w:color="auto"/>
            </w:tcBorders>
            <w:shd w:val="clear" w:color="auto" w:fill="auto"/>
            <w:noWrap/>
            <w:vAlign w:val="center"/>
            <w:hideMark/>
          </w:tcPr>
          <w:p w14:paraId="47BA01D3"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xml:space="preserve">                2.706 </w:t>
            </w:r>
          </w:p>
        </w:tc>
        <w:tc>
          <w:tcPr>
            <w:tcW w:w="763" w:type="pct"/>
            <w:tcBorders>
              <w:top w:val="nil"/>
              <w:left w:val="nil"/>
              <w:bottom w:val="single" w:sz="8" w:space="0" w:color="auto"/>
              <w:right w:val="single" w:sz="8" w:space="0" w:color="auto"/>
            </w:tcBorders>
            <w:shd w:val="clear" w:color="auto" w:fill="auto"/>
            <w:noWrap/>
            <w:vAlign w:val="center"/>
            <w:hideMark/>
          </w:tcPr>
          <w:p w14:paraId="45E4CDD9"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1.945</w:t>
            </w:r>
          </w:p>
        </w:tc>
      </w:tr>
      <w:tr w:rsidR="00411455" w:rsidRPr="00411455" w14:paraId="4E2CC3F5" w14:textId="77777777" w:rsidTr="00446A14">
        <w:trPr>
          <w:trHeight w:val="238"/>
        </w:trPr>
        <w:tc>
          <w:tcPr>
            <w:tcW w:w="3487" w:type="pct"/>
            <w:tcBorders>
              <w:top w:val="nil"/>
              <w:left w:val="single" w:sz="8" w:space="0" w:color="auto"/>
              <w:bottom w:val="single" w:sz="8" w:space="0" w:color="auto"/>
              <w:right w:val="single" w:sz="8" w:space="0" w:color="auto"/>
            </w:tcBorders>
            <w:shd w:val="clear" w:color="auto" w:fill="auto"/>
            <w:noWrap/>
            <w:vAlign w:val="center"/>
            <w:hideMark/>
          </w:tcPr>
          <w:p w14:paraId="771201F4" w14:textId="77777777" w:rsidR="00411455" w:rsidRPr="00411455" w:rsidRDefault="00411455" w:rsidP="00411455">
            <w:pPr>
              <w:spacing w:after="0" w:line="240" w:lineRule="auto"/>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Total</w:t>
            </w:r>
          </w:p>
        </w:tc>
        <w:tc>
          <w:tcPr>
            <w:tcW w:w="750" w:type="pct"/>
            <w:tcBorders>
              <w:top w:val="nil"/>
              <w:left w:val="nil"/>
              <w:bottom w:val="single" w:sz="8" w:space="0" w:color="auto"/>
              <w:right w:val="single" w:sz="8" w:space="0" w:color="auto"/>
            </w:tcBorders>
            <w:shd w:val="clear" w:color="auto" w:fill="auto"/>
            <w:noWrap/>
            <w:vAlign w:val="center"/>
            <w:hideMark/>
          </w:tcPr>
          <w:p w14:paraId="08E1E275" w14:textId="77777777" w:rsidR="00411455" w:rsidRPr="00411455" w:rsidRDefault="00411455" w:rsidP="00411455">
            <w:pPr>
              <w:spacing w:after="0" w:line="240" w:lineRule="auto"/>
              <w:jc w:val="right"/>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 xml:space="preserve">            903.034 </w:t>
            </w:r>
          </w:p>
        </w:tc>
        <w:tc>
          <w:tcPr>
            <w:tcW w:w="763" w:type="pct"/>
            <w:tcBorders>
              <w:top w:val="nil"/>
              <w:left w:val="nil"/>
              <w:bottom w:val="single" w:sz="8" w:space="0" w:color="auto"/>
              <w:right w:val="single" w:sz="8" w:space="0" w:color="auto"/>
            </w:tcBorders>
            <w:shd w:val="clear" w:color="auto" w:fill="auto"/>
            <w:noWrap/>
            <w:vAlign w:val="center"/>
            <w:hideMark/>
          </w:tcPr>
          <w:p w14:paraId="5CB95CDF" w14:textId="77777777" w:rsidR="00411455" w:rsidRPr="00411455" w:rsidRDefault="00411455" w:rsidP="00411455">
            <w:pPr>
              <w:spacing w:after="0" w:line="240" w:lineRule="auto"/>
              <w:jc w:val="right"/>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894.831</w:t>
            </w:r>
          </w:p>
        </w:tc>
      </w:tr>
      <w:tr w:rsidR="00411455" w:rsidRPr="00411455" w14:paraId="006EEDC6" w14:textId="77777777" w:rsidTr="00446A14">
        <w:trPr>
          <w:trHeight w:val="238"/>
        </w:trPr>
        <w:tc>
          <w:tcPr>
            <w:tcW w:w="3487" w:type="pct"/>
            <w:tcBorders>
              <w:top w:val="nil"/>
              <w:left w:val="single" w:sz="8" w:space="0" w:color="auto"/>
              <w:bottom w:val="single" w:sz="8" w:space="0" w:color="auto"/>
              <w:right w:val="single" w:sz="8" w:space="0" w:color="auto"/>
            </w:tcBorders>
            <w:shd w:val="clear" w:color="auto" w:fill="auto"/>
            <w:noWrap/>
            <w:vAlign w:val="center"/>
            <w:hideMark/>
          </w:tcPr>
          <w:p w14:paraId="26666BE4" w14:textId="77777777" w:rsidR="00411455" w:rsidRPr="00411455" w:rsidRDefault="00411455" w:rsidP="00411455">
            <w:pPr>
              <w:spacing w:after="0" w:line="240" w:lineRule="auto"/>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Circulante</w:t>
            </w:r>
          </w:p>
        </w:tc>
        <w:tc>
          <w:tcPr>
            <w:tcW w:w="750" w:type="pct"/>
            <w:tcBorders>
              <w:top w:val="nil"/>
              <w:left w:val="nil"/>
              <w:bottom w:val="single" w:sz="8" w:space="0" w:color="auto"/>
              <w:right w:val="single" w:sz="8" w:space="0" w:color="auto"/>
            </w:tcBorders>
            <w:shd w:val="clear" w:color="auto" w:fill="auto"/>
            <w:noWrap/>
            <w:vAlign w:val="center"/>
            <w:hideMark/>
          </w:tcPr>
          <w:p w14:paraId="4245D428" w14:textId="77777777" w:rsidR="00411455" w:rsidRPr="00411455" w:rsidRDefault="00411455" w:rsidP="00411455">
            <w:pPr>
              <w:spacing w:after="0" w:line="240" w:lineRule="auto"/>
              <w:jc w:val="right"/>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 xml:space="preserve">            822.352 </w:t>
            </w:r>
          </w:p>
        </w:tc>
        <w:tc>
          <w:tcPr>
            <w:tcW w:w="763" w:type="pct"/>
            <w:tcBorders>
              <w:top w:val="nil"/>
              <w:left w:val="nil"/>
              <w:bottom w:val="single" w:sz="8" w:space="0" w:color="auto"/>
              <w:right w:val="single" w:sz="8" w:space="0" w:color="auto"/>
            </w:tcBorders>
            <w:shd w:val="clear" w:color="auto" w:fill="auto"/>
            <w:noWrap/>
            <w:vAlign w:val="center"/>
            <w:hideMark/>
          </w:tcPr>
          <w:p w14:paraId="0BE8E391" w14:textId="77777777" w:rsidR="00411455" w:rsidRPr="00411455" w:rsidRDefault="00411455" w:rsidP="00411455">
            <w:pPr>
              <w:spacing w:after="0" w:line="240" w:lineRule="auto"/>
              <w:jc w:val="right"/>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822.352</w:t>
            </w:r>
          </w:p>
        </w:tc>
      </w:tr>
      <w:tr w:rsidR="00411455" w:rsidRPr="00411455" w14:paraId="7568A02F" w14:textId="77777777" w:rsidTr="00446A14">
        <w:trPr>
          <w:trHeight w:val="238"/>
        </w:trPr>
        <w:tc>
          <w:tcPr>
            <w:tcW w:w="3487" w:type="pct"/>
            <w:tcBorders>
              <w:top w:val="nil"/>
              <w:left w:val="single" w:sz="8" w:space="0" w:color="auto"/>
              <w:bottom w:val="single" w:sz="8" w:space="0" w:color="auto"/>
              <w:right w:val="single" w:sz="8" w:space="0" w:color="auto"/>
            </w:tcBorders>
            <w:shd w:val="clear" w:color="auto" w:fill="auto"/>
            <w:noWrap/>
            <w:vAlign w:val="center"/>
            <w:hideMark/>
          </w:tcPr>
          <w:p w14:paraId="3AA46BF8" w14:textId="77777777" w:rsidR="00411455" w:rsidRPr="00411455" w:rsidRDefault="00411455" w:rsidP="00411455">
            <w:pPr>
              <w:spacing w:after="0" w:line="240" w:lineRule="auto"/>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Não Circulante</w:t>
            </w:r>
          </w:p>
        </w:tc>
        <w:tc>
          <w:tcPr>
            <w:tcW w:w="750" w:type="pct"/>
            <w:tcBorders>
              <w:top w:val="nil"/>
              <w:left w:val="nil"/>
              <w:bottom w:val="single" w:sz="8" w:space="0" w:color="auto"/>
              <w:right w:val="single" w:sz="8" w:space="0" w:color="auto"/>
            </w:tcBorders>
            <w:shd w:val="clear" w:color="auto" w:fill="auto"/>
            <w:noWrap/>
            <w:vAlign w:val="center"/>
            <w:hideMark/>
          </w:tcPr>
          <w:p w14:paraId="50CED4EC" w14:textId="77777777" w:rsidR="00411455" w:rsidRPr="00411455" w:rsidRDefault="00411455" w:rsidP="00411455">
            <w:pPr>
              <w:spacing w:after="0" w:line="240" w:lineRule="auto"/>
              <w:jc w:val="right"/>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 xml:space="preserve">              80.682 </w:t>
            </w:r>
          </w:p>
        </w:tc>
        <w:tc>
          <w:tcPr>
            <w:tcW w:w="763" w:type="pct"/>
            <w:tcBorders>
              <w:top w:val="nil"/>
              <w:left w:val="nil"/>
              <w:bottom w:val="single" w:sz="8" w:space="0" w:color="auto"/>
              <w:right w:val="single" w:sz="8" w:space="0" w:color="auto"/>
            </w:tcBorders>
            <w:shd w:val="clear" w:color="auto" w:fill="auto"/>
            <w:noWrap/>
            <w:vAlign w:val="center"/>
            <w:hideMark/>
          </w:tcPr>
          <w:p w14:paraId="29CB4025" w14:textId="77777777" w:rsidR="00411455" w:rsidRPr="00411455" w:rsidRDefault="00411455" w:rsidP="00411455">
            <w:pPr>
              <w:spacing w:after="0" w:line="240" w:lineRule="auto"/>
              <w:jc w:val="right"/>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72.479</w:t>
            </w:r>
          </w:p>
        </w:tc>
      </w:tr>
    </w:tbl>
    <w:p w14:paraId="562A2476" w14:textId="77777777" w:rsidR="00411455" w:rsidRPr="00411455" w:rsidRDefault="00411455" w:rsidP="007A23F8">
      <w:pPr>
        <w:autoSpaceDE w:val="0"/>
        <w:autoSpaceDN w:val="0"/>
        <w:adjustRightInd w:val="0"/>
        <w:spacing w:after="0" w:line="240" w:lineRule="auto"/>
        <w:jc w:val="both"/>
        <w:rPr>
          <w:rFonts w:ascii="Calibri" w:eastAsia="Times New Roman" w:hAnsi="Calibri" w:cs="Calibri"/>
          <w:iCs/>
          <w:color w:val="002060"/>
          <w:kern w:val="0"/>
          <w14:ligatures w14:val="none"/>
        </w:rPr>
      </w:pPr>
      <w:r w:rsidRPr="00411455">
        <w:rPr>
          <w:rFonts w:ascii="Calibri" w:eastAsia="Times New Roman" w:hAnsi="Calibri" w:cs="Calibri"/>
          <w:iCs/>
          <w:color w:val="002060"/>
          <w:kern w:val="0"/>
          <w14:ligatures w14:val="none"/>
        </w:rPr>
        <w:t xml:space="preserve">(i) A Telebras realizou aplicação em Fundo de Investimento de Renda Fixa com remuneração atrelada à taxa do CDI, como garantia da Transação Parcial firmada com a Caixa de Previdência dos Funcionários do Banco do Brasil (PREVI), em função de ação judicial com sentença transitada em julgado. (Nota Explicativa 22) </w:t>
      </w:r>
    </w:p>
    <w:p w14:paraId="20EDD154" w14:textId="77777777" w:rsidR="00411455" w:rsidRPr="00411455" w:rsidRDefault="00411455" w:rsidP="007A23F8">
      <w:pPr>
        <w:autoSpaceDE w:val="0"/>
        <w:autoSpaceDN w:val="0"/>
        <w:adjustRightInd w:val="0"/>
        <w:spacing w:after="0" w:line="240" w:lineRule="auto"/>
        <w:jc w:val="both"/>
        <w:rPr>
          <w:rFonts w:ascii="Calibri" w:eastAsia="Times New Roman" w:hAnsi="Calibri" w:cs="Calibri"/>
          <w:iCs/>
          <w:color w:val="002060"/>
          <w:kern w:val="0"/>
          <w14:ligatures w14:val="none"/>
        </w:rPr>
      </w:pPr>
      <w:r w:rsidRPr="00411455">
        <w:rPr>
          <w:rFonts w:ascii="Calibri" w:eastAsia="Times New Roman" w:hAnsi="Calibri" w:cs="Calibri"/>
          <w:iCs/>
          <w:color w:val="002060"/>
          <w:kern w:val="0"/>
          <w14:ligatures w14:val="none"/>
        </w:rPr>
        <w:lastRenderedPageBreak/>
        <w:t>(</w:t>
      </w:r>
      <w:proofErr w:type="spellStart"/>
      <w:r w:rsidRPr="00411455">
        <w:rPr>
          <w:rFonts w:ascii="Calibri" w:eastAsia="Times New Roman" w:hAnsi="Calibri" w:cs="Calibri"/>
          <w:iCs/>
          <w:color w:val="002060"/>
          <w:kern w:val="0"/>
          <w14:ligatures w14:val="none"/>
        </w:rPr>
        <w:t>ii</w:t>
      </w:r>
      <w:proofErr w:type="spellEnd"/>
      <w:r w:rsidRPr="00411455">
        <w:rPr>
          <w:rFonts w:ascii="Calibri" w:eastAsia="Times New Roman" w:hAnsi="Calibri" w:cs="Calibri"/>
          <w:iCs/>
          <w:color w:val="002060"/>
          <w:kern w:val="0"/>
          <w14:ligatures w14:val="none"/>
        </w:rPr>
        <w:t>) Aplicação financeira realizada no Banco do Brasil S.A no fundo investimento BB – Extramercado FAE FI RF, de acordo com a Resolução nº 3.284/2005 (alterada pela Resolução nº 4034/2011), do Banco Central do Brasil. A aplicação neste fundo tem prazo indeterminado e está vinculada ao mecanismo de garantia da operação de crédito com a FINEP até a liquidação da obrigação. A remuneração está atrelada ao índice IMA-B. (Nota Explicativa 24.1)</w:t>
      </w:r>
    </w:p>
    <w:p w14:paraId="660B0D51" w14:textId="77777777" w:rsidR="00411455" w:rsidRDefault="00411455" w:rsidP="007A23F8">
      <w:pPr>
        <w:autoSpaceDE w:val="0"/>
        <w:autoSpaceDN w:val="0"/>
        <w:adjustRightInd w:val="0"/>
        <w:spacing w:after="0" w:line="240" w:lineRule="auto"/>
        <w:jc w:val="both"/>
        <w:rPr>
          <w:rFonts w:ascii="Calibri" w:eastAsia="Times New Roman" w:hAnsi="Calibri" w:cs="Calibri"/>
          <w:iCs/>
          <w:color w:val="002060"/>
          <w:kern w:val="0"/>
          <w14:ligatures w14:val="none"/>
        </w:rPr>
      </w:pPr>
      <w:r w:rsidRPr="00411455">
        <w:rPr>
          <w:rFonts w:ascii="Calibri" w:eastAsia="Times New Roman" w:hAnsi="Calibri" w:cs="Calibri"/>
          <w:iCs/>
          <w:color w:val="002060"/>
          <w:kern w:val="0"/>
          <w14:ligatures w14:val="none"/>
        </w:rPr>
        <w:t>(</w:t>
      </w:r>
      <w:proofErr w:type="spellStart"/>
      <w:r w:rsidRPr="00411455">
        <w:rPr>
          <w:rFonts w:ascii="Calibri" w:eastAsia="Times New Roman" w:hAnsi="Calibri" w:cs="Calibri"/>
          <w:iCs/>
          <w:color w:val="002060"/>
          <w:kern w:val="0"/>
          <w14:ligatures w14:val="none"/>
        </w:rPr>
        <w:t>iii</w:t>
      </w:r>
      <w:proofErr w:type="spellEnd"/>
      <w:r w:rsidRPr="00411455">
        <w:rPr>
          <w:rFonts w:ascii="Calibri" w:eastAsia="Times New Roman" w:hAnsi="Calibri" w:cs="Calibri"/>
          <w:iCs/>
          <w:color w:val="002060"/>
          <w:kern w:val="0"/>
          <w14:ligatures w14:val="none"/>
        </w:rPr>
        <w:t xml:space="preserve">)  Representa investimentos em títulos mobiliários (ações) de empresas de telecomunicações e no Fundo de Investimento na Amazônia (FINAM) e que são negociados na Bolsa de Valores - Bovespa. Estes investimentos estão classificados como instrumentos financeiros na categoria de valor justo por meio de outros resultados abrangentes. </w:t>
      </w:r>
    </w:p>
    <w:p w14:paraId="10A013AC" w14:textId="37D44941" w:rsidR="00411455" w:rsidRPr="00411455" w:rsidRDefault="00411455" w:rsidP="007A23F8">
      <w:pPr>
        <w:autoSpaceDE w:val="0"/>
        <w:autoSpaceDN w:val="0"/>
        <w:adjustRightInd w:val="0"/>
        <w:spacing w:after="0" w:line="240" w:lineRule="auto"/>
        <w:jc w:val="both"/>
        <w:rPr>
          <w:rFonts w:ascii="Calibri" w:eastAsia="Times New Roman" w:hAnsi="Calibri" w:cs="Calibri"/>
          <w:iCs/>
          <w:color w:val="002060"/>
          <w:kern w:val="0"/>
          <w14:ligatures w14:val="none"/>
        </w:rPr>
      </w:pPr>
      <w:r w:rsidRPr="00411455">
        <w:rPr>
          <w:rFonts w:ascii="Calibri" w:eastAsia="Times New Roman" w:hAnsi="Calibri" w:cs="Calibri"/>
          <w:iCs/>
          <w:color w:val="002060"/>
          <w:kern w:val="0"/>
          <w14:ligatures w14:val="none"/>
        </w:rPr>
        <w:t>(</w:t>
      </w:r>
      <w:proofErr w:type="spellStart"/>
      <w:r w:rsidRPr="00411455">
        <w:rPr>
          <w:rFonts w:ascii="Calibri" w:eastAsia="Times New Roman" w:hAnsi="Calibri" w:cs="Calibri"/>
          <w:iCs/>
          <w:color w:val="002060"/>
          <w:kern w:val="0"/>
          <w14:ligatures w14:val="none"/>
        </w:rPr>
        <w:t>iv</w:t>
      </w:r>
      <w:proofErr w:type="spellEnd"/>
      <w:r w:rsidRPr="00411455">
        <w:rPr>
          <w:rFonts w:ascii="Calibri" w:eastAsia="Times New Roman" w:hAnsi="Calibri" w:cs="Calibri"/>
          <w:iCs/>
          <w:color w:val="002060"/>
          <w:kern w:val="0"/>
          <w14:ligatures w14:val="none"/>
        </w:rPr>
        <w:t xml:space="preserve">) Em dezembro de 2019, a União destinou à Companhia o montante de R$ 822.352, na forma de Adiantamento para Futuro Aumento de Capital (AFAC), conforme a Lei Orçamentária Anual (LOA) então vigente. Esse recurso vem sendo utilizado para realização de investimentos de acordo com as especificações da LOA, aprovada para o exercício de 2023. </w:t>
      </w:r>
    </w:p>
    <w:p w14:paraId="15E619E8" w14:textId="3E113137" w:rsidR="00411455" w:rsidRPr="00411455" w:rsidRDefault="00411455" w:rsidP="007A23F8">
      <w:pPr>
        <w:autoSpaceDE w:val="0"/>
        <w:autoSpaceDN w:val="0"/>
        <w:adjustRightInd w:val="0"/>
        <w:spacing w:after="0" w:line="240" w:lineRule="auto"/>
        <w:jc w:val="both"/>
        <w:rPr>
          <w:rFonts w:ascii="Calibri" w:eastAsia="Times New Roman" w:hAnsi="Calibri" w:cs="Calibri"/>
          <w:b/>
          <w:bCs/>
          <w:iCs/>
          <w:color w:val="002060"/>
          <w:kern w:val="0"/>
          <w14:ligatures w14:val="none"/>
        </w:rPr>
      </w:pPr>
      <w:bookmarkStart w:id="396" w:name="_Toc491337722"/>
      <w:r>
        <w:rPr>
          <w:rFonts w:ascii="Calibri" w:eastAsia="Times New Roman" w:hAnsi="Calibri" w:cs="Calibri"/>
          <w:b/>
          <w:bCs/>
          <w:iCs/>
          <w:color w:val="002060"/>
          <w:kern w:val="0"/>
          <w14:ligatures w14:val="none"/>
        </w:rPr>
        <w:t xml:space="preserve">13. </w:t>
      </w:r>
      <w:r w:rsidRPr="00411455">
        <w:rPr>
          <w:rFonts w:ascii="Calibri" w:eastAsia="Times New Roman" w:hAnsi="Calibri" w:cs="Calibri"/>
          <w:b/>
          <w:bCs/>
          <w:iCs/>
          <w:color w:val="002060"/>
          <w:kern w:val="0"/>
          <w14:ligatures w14:val="none"/>
        </w:rPr>
        <w:t>INVESTIMENTOS</w:t>
      </w:r>
      <w:bookmarkEnd w:id="396"/>
    </w:p>
    <w:p w14:paraId="4041FF5F" w14:textId="221C7D24" w:rsidR="00411455" w:rsidRPr="00411455" w:rsidRDefault="00411455" w:rsidP="007A23F8">
      <w:pPr>
        <w:autoSpaceDE w:val="0"/>
        <w:autoSpaceDN w:val="0"/>
        <w:adjustRightInd w:val="0"/>
        <w:spacing w:after="0" w:line="240" w:lineRule="auto"/>
        <w:jc w:val="both"/>
        <w:rPr>
          <w:rFonts w:ascii="Calibri" w:eastAsia="Times New Roman" w:hAnsi="Calibri" w:cs="Calibri"/>
          <w:b/>
          <w:bCs/>
          <w:iCs/>
          <w:color w:val="002060"/>
          <w:kern w:val="0"/>
          <w14:ligatures w14:val="none"/>
        </w:rPr>
      </w:pPr>
      <w:bookmarkStart w:id="397" w:name="_Toc491337723"/>
      <w:r>
        <w:rPr>
          <w:rFonts w:ascii="Calibri" w:eastAsia="Times New Roman" w:hAnsi="Calibri" w:cs="Calibri"/>
          <w:b/>
          <w:bCs/>
          <w:iCs/>
          <w:color w:val="002060"/>
          <w:kern w:val="0"/>
          <w14:ligatures w14:val="none"/>
        </w:rPr>
        <w:t xml:space="preserve">13.1. </w:t>
      </w:r>
      <w:r w:rsidRPr="00411455">
        <w:rPr>
          <w:rFonts w:ascii="Calibri" w:eastAsia="Times New Roman" w:hAnsi="Calibri" w:cs="Calibri"/>
          <w:b/>
          <w:bCs/>
          <w:iCs/>
          <w:color w:val="002060"/>
          <w:kern w:val="0"/>
          <w14:ligatures w14:val="none"/>
        </w:rPr>
        <w:t>Informações das investidas</w:t>
      </w:r>
      <w:bookmarkEnd w:id="397"/>
    </w:p>
    <w:p w14:paraId="69436C9B" w14:textId="77777777" w:rsidR="00411455" w:rsidRPr="00411455" w:rsidRDefault="00411455" w:rsidP="007A23F8">
      <w:pPr>
        <w:autoSpaceDE w:val="0"/>
        <w:autoSpaceDN w:val="0"/>
        <w:adjustRightInd w:val="0"/>
        <w:spacing w:after="0" w:line="240" w:lineRule="auto"/>
        <w:jc w:val="both"/>
        <w:rPr>
          <w:rFonts w:ascii="Calibri" w:eastAsia="Times New Roman" w:hAnsi="Calibri" w:cs="Calibri"/>
          <w:iCs/>
          <w:color w:val="002060"/>
          <w:kern w:val="0"/>
          <w14:ligatures w14:val="none"/>
        </w:rPr>
      </w:pPr>
      <w:r w:rsidRPr="00411455">
        <w:rPr>
          <w:rFonts w:ascii="Calibri" w:eastAsia="Times New Roman" w:hAnsi="Calibri" w:cs="Calibri"/>
          <w:iCs/>
          <w:color w:val="002060"/>
          <w:kern w:val="0"/>
          <w14:ligatures w14:val="none"/>
        </w:rPr>
        <w:t>A Companhia detém participação societária na coligada, cujas informações são apresentadas a seguir:</w:t>
      </w:r>
    </w:p>
    <w:p w14:paraId="534A4E0B" w14:textId="77777777" w:rsidR="00411455" w:rsidRPr="00411455" w:rsidRDefault="00411455" w:rsidP="007A23F8">
      <w:pPr>
        <w:autoSpaceDE w:val="0"/>
        <w:autoSpaceDN w:val="0"/>
        <w:adjustRightInd w:val="0"/>
        <w:spacing w:after="0" w:line="240" w:lineRule="auto"/>
        <w:jc w:val="both"/>
        <w:rPr>
          <w:rFonts w:ascii="Calibri" w:eastAsia="Times New Roman" w:hAnsi="Calibri" w:cs="Calibri"/>
          <w:iCs/>
          <w:color w:val="002060"/>
          <w:kern w:val="0"/>
          <w14:ligatures w14:val="none"/>
        </w:rPr>
      </w:pPr>
      <w:r w:rsidRPr="00411455">
        <w:rPr>
          <w:rFonts w:ascii="Calibri" w:eastAsia="Times New Roman" w:hAnsi="Calibri" w:cs="Calibri"/>
          <w:b/>
          <w:bCs/>
          <w:iCs/>
          <w:color w:val="002060"/>
          <w:kern w:val="0"/>
          <w14:ligatures w14:val="none"/>
        </w:rPr>
        <w:t xml:space="preserve">VISIONA TECNOLOGIA ESPACIAL S.A. </w:t>
      </w:r>
      <w:r w:rsidRPr="00411455">
        <w:rPr>
          <w:rFonts w:ascii="Calibri" w:eastAsia="Times New Roman" w:hAnsi="Calibri" w:cs="Calibri"/>
          <w:iCs/>
          <w:color w:val="002060"/>
          <w:kern w:val="0"/>
          <w14:ligatures w14:val="none"/>
        </w:rPr>
        <w:t xml:space="preserve">(“VISIONA” ou Coligada), constituída em 14 de junho de 2011, com sede na cidade de São José dos Campos, Estado de São Paulo, Brasil, tem por objeto atuar, no Brasil ou no exterior, nas atividades de pesquisa, especificação, projeto, desenvolvimento, certificação, fabricação, prestação de serviços de manutenção, de engenharia, modernização, seleção e contratação de fornecedores, integração, logística, treinamento, operação, comercialização, locação, importação e exportação de satélites, estações de terra e outros equipamentos e sistemas aeroespaciais, voltados, inclusive, para atividades relacionadas ao atendimento das necessidades do Governo Federal relativas ao plano de desenvolvimento de satélite brasileiro, em especial no âmbito do Programa Nacional de Banda Larga – PNBL, e à comunicação estratégica de defesa e governamental, no âmbito da Estratégia Nacional de Defesa, assim como o suporte logístico contratado para as atividades mencionadas. </w:t>
      </w:r>
    </w:p>
    <w:p w14:paraId="64A0E81E" w14:textId="77777777" w:rsidR="00411455" w:rsidRPr="00411455" w:rsidRDefault="00411455" w:rsidP="007A23F8">
      <w:pPr>
        <w:autoSpaceDE w:val="0"/>
        <w:autoSpaceDN w:val="0"/>
        <w:adjustRightInd w:val="0"/>
        <w:spacing w:after="0" w:line="240" w:lineRule="auto"/>
        <w:jc w:val="both"/>
        <w:rPr>
          <w:rFonts w:ascii="Calibri" w:eastAsia="Times New Roman" w:hAnsi="Calibri" w:cs="Calibri"/>
          <w:iCs/>
          <w:color w:val="002060"/>
          <w:kern w:val="0"/>
          <w14:ligatures w14:val="none"/>
        </w:rPr>
        <w:sectPr w:rsidR="00411455" w:rsidRPr="00411455" w:rsidSect="00411455">
          <w:footerReference w:type="default" r:id="rId58"/>
          <w:type w:val="continuous"/>
          <w:pgSz w:w="11906" w:h="16838" w:code="9"/>
          <w:pgMar w:top="848" w:right="849" w:bottom="993" w:left="1276" w:header="850" w:footer="907" w:gutter="0"/>
          <w:cols w:space="708"/>
          <w:docGrid w:linePitch="360"/>
        </w:sectPr>
      </w:pPr>
    </w:p>
    <w:p w14:paraId="69C25D38" w14:textId="77777777" w:rsidR="00411455" w:rsidRPr="00411455" w:rsidRDefault="00411455" w:rsidP="007A23F8">
      <w:pPr>
        <w:autoSpaceDE w:val="0"/>
        <w:autoSpaceDN w:val="0"/>
        <w:adjustRightInd w:val="0"/>
        <w:spacing w:after="0" w:line="240" w:lineRule="auto"/>
        <w:jc w:val="both"/>
        <w:rPr>
          <w:rFonts w:ascii="Calibri" w:eastAsia="Times New Roman" w:hAnsi="Calibri" w:cs="Calibri"/>
          <w:iCs/>
          <w:color w:val="002060"/>
          <w:kern w:val="0"/>
          <w14:ligatures w14:val="none"/>
        </w:rPr>
      </w:pPr>
      <w:r w:rsidRPr="00411455">
        <w:rPr>
          <w:rFonts w:ascii="Calibri" w:eastAsia="Times New Roman" w:hAnsi="Calibri" w:cs="Calibri"/>
          <w:iCs/>
          <w:color w:val="002060"/>
          <w:kern w:val="0"/>
          <w14:ligatures w14:val="none"/>
        </w:rPr>
        <w:t>A coligada tem como acionistas as empresas Embraer Defesa e Segurança Participações S.A, que detém 51% do capital social e a Telecomunicações Brasileiras S.A com 49% do capital social. O controle da VISIONA é exercido pela Embraer Defesa e Segurança Participações S.A.</w:t>
      </w:r>
    </w:p>
    <w:p w14:paraId="04B94273" w14:textId="77777777" w:rsidR="00411455" w:rsidRPr="00411455" w:rsidRDefault="00411455" w:rsidP="007A23F8">
      <w:pPr>
        <w:autoSpaceDE w:val="0"/>
        <w:autoSpaceDN w:val="0"/>
        <w:adjustRightInd w:val="0"/>
        <w:spacing w:after="0" w:line="240" w:lineRule="auto"/>
        <w:jc w:val="both"/>
        <w:rPr>
          <w:rFonts w:ascii="Calibri" w:eastAsia="Times New Roman" w:hAnsi="Calibri" w:cs="Calibri"/>
          <w:iCs/>
          <w:color w:val="002060"/>
          <w:kern w:val="0"/>
          <w14:ligatures w14:val="none"/>
        </w:rPr>
      </w:pPr>
      <w:r w:rsidRPr="00411455">
        <w:rPr>
          <w:rFonts w:ascii="Calibri" w:eastAsia="Times New Roman" w:hAnsi="Calibri" w:cs="Calibri"/>
          <w:iCs/>
          <w:color w:val="002060"/>
          <w:kern w:val="0"/>
          <w14:ligatures w14:val="none"/>
        </w:rPr>
        <w:t>Em 31 de dezembro de 2023 e dezembro de 2022, o capital social da coligada é de R$ 75.000, com um total de 75.000.000 de ações ordinárias emitidas. Deste montante, a Telebras detém 36.750.000 de ações.</w:t>
      </w:r>
    </w:p>
    <w:p w14:paraId="1D3AEFD5" w14:textId="0800D9A5" w:rsidR="00411455" w:rsidRDefault="00411455" w:rsidP="007A23F8">
      <w:pPr>
        <w:autoSpaceDE w:val="0"/>
        <w:autoSpaceDN w:val="0"/>
        <w:adjustRightInd w:val="0"/>
        <w:spacing w:after="0" w:line="240" w:lineRule="auto"/>
        <w:jc w:val="both"/>
        <w:rPr>
          <w:rFonts w:ascii="Calibri" w:eastAsia="Times New Roman" w:hAnsi="Calibri" w:cs="Calibri"/>
          <w:b/>
          <w:bCs/>
          <w:iCs/>
          <w:color w:val="002060"/>
          <w:kern w:val="0"/>
          <w14:ligatures w14:val="none"/>
        </w:rPr>
      </w:pPr>
      <w:bookmarkStart w:id="398" w:name="_Toc491337726"/>
      <w:r>
        <w:rPr>
          <w:rFonts w:ascii="Calibri" w:eastAsia="Times New Roman" w:hAnsi="Calibri" w:cs="Calibri"/>
          <w:b/>
          <w:bCs/>
          <w:iCs/>
          <w:color w:val="002060"/>
          <w:kern w:val="0"/>
          <w14:ligatures w14:val="none"/>
        </w:rPr>
        <w:t xml:space="preserve">13.2. </w:t>
      </w:r>
      <w:r w:rsidRPr="00411455">
        <w:rPr>
          <w:rFonts w:ascii="Calibri" w:eastAsia="Times New Roman" w:hAnsi="Calibri" w:cs="Calibri"/>
          <w:b/>
          <w:bCs/>
          <w:iCs/>
          <w:color w:val="002060"/>
          <w:kern w:val="0"/>
          <w14:ligatures w14:val="none"/>
        </w:rPr>
        <w:t>Investimentos avaliados pelo método de equivalência patrimonial</w:t>
      </w:r>
      <w:bookmarkEnd w:id="398"/>
    </w:p>
    <w:tbl>
      <w:tblPr>
        <w:tblW w:w="5005" w:type="pct"/>
        <w:tblCellMar>
          <w:left w:w="70" w:type="dxa"/>
          <w:right w:w="70" w:type="dxa"/>
        </w:tblCellMar>
        <w:tblLook w:val="04A0" w:firstRow="1" w:lastRow="0" w:firstColumn="1" w:lastColumn="0" w:noHBand="0" w:noVBand="1"/>
      </w:tblPr>
      <w:tblGrid>
        <w:gridCol w:w="2503"/>
        <w:gridCol w:w="1145"/>
        <w:gridCol w:w="989"/>
        <w:gridCol w:w="1108"/>
        <w:gridCol w:w="1108"/>
        <w:gridCol w:w="1016"/>
        <w:gridCol w:w="952"/>
        <w:gridCol w:w="950"/>
      </w:tblGrid>
      <w:tr w:rsidR="00411455" w:rsidRPr="00411455" w14:paraId="6670F422" w14:textId="77777777" w:rsidTr="00446A14">
        <w:trPr>
          <w:trHeight w:val="264"/>
        </w:trPr>
        <w:tc>
          <w:tcPr>
            <w:tcW w:w="1281"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48F5EF22" w14:textId="77777777" w:rsidR="00411455" w:rsidRPr="00411455" w:rsidRDefault="00411455" w:rsidP="00411455">
            <w:pPr>
              <w:spacing w:after="0" w:line="240" w:lineRule="auto"/>
              <w:rPr>
                <w:rFonts w:ascii="Arial" w:eastAsia="Times New Roman" w:hAnsi="Arial" w:cs="Arial"/>
                <w:b/>
                <w:bCs/>
                <w:color w:val="000000"/>
                <w:kern w:val="0"/>
                <w:sz w:val="16"/>
                <w:szCs w:val="16"/>
                <w:lang w:eastAsia="pt-BR"/>
                <w14:ligatures w14:val="none"/>
              </w:rPr>
            </w:pPr>
            <w:r w:rsidRPr="00411455">
              <w:rPr>
                <w:rFonts w:ascii="Arial" w:eastAsia="Times New Roman" w:hAnsi="Arial" w:cs="Arial"/>
                <w:b/>
                <w:bCs/>
                <w:color w:val="000000"/>
                <w:kern w:val="0"/>
                <w:sz w:val="16"/>
                <w:szCs w:val="16"/>
                <w:lang w:eastAsia="pt-BR"/>
                <w14:ligatures w14:val="none"/>
              </w:rPr>
              <w:t>Investida:</w:t>
            </w:r>
          </w:p>
        </w:tc>
        <w:tc>
          <w:tcPr>
            <w:tcW w:w="58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DE3D1DB" w14:textId="77777777" w:rsidR="00411455" w:rsidRPr="00411455" w:rsidRDefault="00411455" w:rsidP="00411455">
            <w:pPr>
              <w:spacing w:after="0" w:line="240" w:lineRule="auto"/>
              <w:jc w:val="center"/>
              <w:rPr>
                <w:rFonts w:ascii="Arial" w:eastAsia="Times New Roman" w:hAnsi="Arial" w:cs="Arial"/>
                <w:b/>
                <w:bCs/>
                <w:color w:val="000000"/>
                <w:kern w:val="0"/>
                <w:sz w:val="16"/>
                <w:szCs w:val="16"/>
                <w:lang w:eastAsia="pt-BR"/>
                <w14:ligatures w14:val="none"/>
              </w:rPr>
            </w:pPr>
            <w:r w:rsidRPr="00411455">
              <w:rPr>
                <w:rFonts w:ascii="Arial" w:eastAsia="Times New Roman" w:hAnsi="Arial" w:cs="Arial"/>
                <w:b/>
                <w:bCs/>
                <w:color w:val="000000"/>
                <w:kern w:val="0"/>
                <w:sz w:val="16"/>
                <w:szCs w:val="16"/>
                <w:lang w:eastAsia="pt-BR"/>
                <w14:ligatures w14:val="none"/>
              </w:rPr>
              <w:t xml:space="preserve"> Capital Social Integralizado </w:t>
            </w:r>
          </w:p>
        </w:tc>
        <w:tc>
          <w:tcPr>
            <w:tcW w:w="50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7F6849E" w14:textId="77777777" w:rsidR="00411455" w:rsidRPr="00411455" w:rsidRDefault="00411455" w:rsidP="00411455">
            <w:pPr>
              <w:spacing w:after="0" w:line="240" w:lineRule="auto"/>
              <w:jc w:val="center"/>
              <w:rPr>
                <w:rFonts w:ascii="Arial" w:eastAsia="Times New Roman" w:hAnsi="Arial" w:cs="Arial"/>
                <w:b/>
                <w:bCs/>
                <w:color w:val="000000"/>
                <w:kern w:val="0"/>
                <w:sz w:val="16"/>
                <w:szCs w:val="16"/>
                <w:lang w:eastAsia="pt-BR"/>
                <w14:ligatures w14:val="none"/>
              </w:rPr>
            </w:pPr>
            <w:r w:rsidRPr="00411455">
              <w:rPr>
                <w:rFonts w:ascii="Arial" w:eastAsia="Times New Roman" w:hAnsi="Arial" w:cs="Arial"/>
                <w:b/>
                <w:bCs/>
                <w:color w:val="000000"/>
                <w:kern w:val="0"/>
                <w:sz w:val="16"/>
                <w:szCs w:val="16"/>
                <w:lang w:eastAsia="pt-BR"/>
                <w14:ligatures w14:val="none"/>
              </w:rPr>
              <w:t xml:space="preserve"> Patrimônio Líquido </w:t>
            </w:r>
          </w:p>
        </w:tc>
        <w:tc>
          <w:tcPr>
            <w:tcW w:w="56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4A74DE" w14:textId="77777777" w:rsidR="00411455" w:rsidRPr="00411455" w:rsidRDefault="00411455" w:rsidP="00411455">
            <w:pPr>
              <w:spacing w:after="0" w:line="240" w:lineRule="auto"/>
              <w:jc w:val="center"/>
              <w:rPr>
                <w:rFonts w:ascii="Arial" w:eastAsia="Times New Roman" w:hAnsi="Arial" w:cs="Arial"/>
                <w:b/>
                <w:bCs/>
                <w:color w:val="000000"/>
                <w:kern w:val="0"/>
                <w:sz w:val="16"/>
                <w:szCs w:val="16"/>
                <w:lang w:eastAsia="pt-BR"/>
                <w14:ligatures w14:val="none"/>
              </w:rPr>
            </w:pPr>
            <w:r w:rsidRPr="00411455">
              <w:rPr>
                <w:rFonts w:ascii="Arial" w:eastAsia="Times New Roman" w:hAnsi="Arial" w:cs="Arial"/>
                <w:b/>
                <w:bCs/>
                <w:color w:val="000000"/>
                <w:kern w:val="0"/>
                <w:sz w:val="16"/>
                <w:szCs w:val="16"/>
                <w:lang w:eastAsia="pt-BR"/>
                <w14:ligatures w14:val="none"/>
              </w:rPr>
              <w:t xml:space="preserve"> Participação no Capital Social (%) </w:t>
            </w:r>
          </w:p>
        </w:tc>
        <w:tc>
          <w:tcPr>
            <w:tcW w:w="56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E724FD3" w14:textId="77777777" w:rsidR="00411455" w:rsidRPr="00411455" w:rsidRDefault="00411455" w:rsidP="00411455">
            <w:pPr>
              <w:spacing w:after="0" w:line="240" w:lineRule="auto"/>
              <w:jc w:val="center"/>
              <w:rPr>
                <w:rFonts w:ascii="Arial" w:eastAsia="Times New Roman" w:hAnsi="Arial" w:cs="Arial"/>
                <w:b/>
                <w:bCs/>
                <w:color w:val="000000"/>
                <w:kern w:val="0"/>
                <w:sz w:val="16"/>
                <w:szCs w:val="16"/>
                <w:lang w:eastAsia="pt-BR"/>
                <w14:ligatures w14:val="none"/>
              </w:rPr>
            </w:pPr>
            <w:r w:rsidRPr="00411455">
              <w:rPr>
                <w:rFonts w:ascii="Arial" w:eastAsia="Times New Roman" w:hAnsi="Arial" w:cs="Arial"/>
                <w:b/>
                <w:bCs/>
                <w:color w:val="000000"/>
                <w:kern w:val="0"/>
                <w:sz w:val="16"/>
                <w:szCs w:val="16"/>
                <w:lang w:eastAsia="pt-BR"/>
                <w14:ligatures w14:val="none"/>
              </w:rPr>
              <w:t xml:space="preserve"> Participação nas Ações Ordinárias (%) </w:t>
            </w:r>
          </w:p>
        </w:tc>
        <w:tc>
          <w:tcPr>
            <w:tcW w:w="52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26D300F" w14:textId="77777777" w:rsidR="00411455" w:rsidRPr="00411455" w:rsidRDefault="00411455" w:rsidP="00411455">
            <w:pPr>
              <w:spacing w:after="0" w:line="240" w:lineRule="auto"/>
              <w:jc w:val="center"/>
              <w:rPr>
                <w:rFonts w:ascii="Arial" w:eastAsia="Times New Roman" w:hAnsi="Arial" w:cs="Arial"/>
                <w:b/>
                <w:bCs/>
                <w:color w:val="000000"/>
                <w:kern w:val="0"/>
                <w:sz w:val="16"/>
                <w:szCs w:val="16"/>
                <w:lang w:eastAsia="pt-BR"/>
                <w14:ligatures w14:val="none"/>
              </w:rPr>
            </w:pPr>
            <w:r w:rsidRPr="00411455">
              <w:rPr>
                <w:rFonts w:ascii="Arial" w:eastAsia="Times New Roman" w:hAnsi="Arial" w:cs="Arial"/>
                <w:b/>
                <w:bCs/>
                <w:color w:val="000000"/>
                <w:kern w:val="0"/>
                <w:sz w:val="16"/>
                <w:szCs w:val="16"/>
                <w:lang w:eastAsia="pt-BR"/>
                <w14:ligatures w14:val="none"/>
              </w:rPr>
              <w:t xml:space="preserve"> Número de Ações Detidas pela TELEBRAS</w:t>
            </w:r>
          </w:p>
        </w:tc>
        <w:tc>
          <w:tcPr>
            <w:tcW w:w="973"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1D9AA8F" w14:textId="77777777" w:rsidR="00411455" w:rsidRPr="00411455" w:rsidRDefault="00411455" w:rsidP="00411455">
            <w:pPr>
              <w:spacing w:after="0" w:line="240" w:lineRule="auto"/>
              <w:jc w:val="center"/>
              <w:rPr>
                <w:rFonts w:ascii="Arial" w:eastAsia="Times New Roman" w:hAnsi="Arial" w:cs="Arial"/>
                <w:b/>
                <w:bCs/>
                <w:color w:val="000000"/>
                <w:kern w:val="0"/>
                <w:sz w:val="16"/>
                <w:szCs w:val="16"/>
                <w:lang w:eastAsia="pt-BR"/>
                <w14:ligatures w14:val="none"/>
              </w:rPr>
            </w:pPr>
            <w:r w:rsidRPr="00411455">
              <w:rPr>
                <w:rFonts w:ascii="Arial" w:eastAsia="Times New Roman" w:hAnsi="Arial" w:cs="Arial"/>
                <w:b/>
                <w:bCs/>
                <w:color w:val="000000"/>
                <w:kern w:val="0"/>
                <w:sz w:val="16"/>
                <w:szCs w:val="16"/>
                <w:lang w:eastAsia="pt-BR"/>
                <w14:ligatures w14:val="none"/>
              </w:rPr>
              <w:t>Valor Contábil</w:t>
            </w:r>
          </w:p>
        </w:tc>
      </w:tr>
      <w:tr w:rsidR="00411455" w:rsidRPr="00411455" w14:paraId="3EC024F9" w14:textId="77777777" w:rsidTr="00446A14">
        <w:trPr>
          <w:trHeight w:val="264"/>
        </w:trPr>
        <w:tc>
          <w:tcPr>
            <w:tcW w:w="1281" w:type="pct"/>
            <w:vMerge/>
            <w:tcBorders>
              <w:top w:val="single" w:sz="8" w:space="0" w:color="auto"/>
              <w:left w:val="single" w:sz="8" w:space="0" w:color="auto"/>
              <w:bottom w:val="single" w:sz="8" w:space="0" w:color="000000"/>
              <w:right w:val="single" w:sz="8" w:space="0" w:color="auto"/>
            </w:tcBorders>
            <w:vAlign w:val="center"/>
            <w:hideMark/>
          </w:tcPr>
          <w:p w14:paraId="1652A16F" w14:textId="77777777" w:rsidR="00411455" w:rsidRPr="00411455" w:rsidRDefault="00411455" w:rsidP="00411455">
            <w:pPr>
              <w:spacing w:after="0" w:line="240" w:lineRule="auto"/>
              <w:rPr>
                <w:rFonts w:ascii="Arial" w:eastAsia="Times New Roman" w:hAnsi="Arial" w:cs="Arial"/>
                <w:b/>
                <w:bCs/>
                <w:color w:val="000000"/>
                <w:kern w:val="0"/>
                <w:sz w:val="16"/>
                <w:szCs w:val="16"/>
                <w:lang w:eastAsia="pt-BR"/>
                <w14:ligatures w14:val="none"/>
              </w:rPr>
            </w:pPr>
          </w:p>
        </w:tc>
        <w:tc>
          <w:tcPr>
            <w:tcW w:w="586" w:type="pct"/>
            <w:vMerge/>
            <w:tcBorders>
              <w:top w:val="single" w:sz="8" w:space="0" w:color="auto"/>
              <w:left w:val="single" w:sz="8" w:space="0" w:color="auto"/>
              <w:bottom w:val="single" w:sz="8" w:space="0" w:color="000000"/>
              <w:right w:val="single" w:sz="8" w:space="0" w:color="auto"/>
            </w:tcBorders>
            <w:vAlign w:val="center"/>
            <w:hideMark/>
          </w:tcPr>
          <w:p w14:paraId="7B07D412" w14:textId="77777777" w:rsidR="00411455" w:rsidRPr="00411455" w:rsidRDefault="00411455" w:rsidP="00411455">
            <w:pPr>
              <w:spacing w:after="0" w:line="240" w:lineRule="auto"/>
              <w:rPr>
                <w:rFonts w:ascii="Arial" w:eastAsia="Times New Roman" w:hAnsi="Arial" w:cs="Arial"/>
                <w:b/>
                <w:bCs/>
                <w:color w:val="000000"/>
                <w:kern w:val="0"/>
                <w:sz w:val="16"/>
                <w:szCs w:val="16"/>
                <w:lang w:eastAsia="pt-BR"/>
                <w14:ligatures w14:val="none"/>
              </w:rPr>
            </w:pPr>
          </w:p>
        </w:tc>
        <w:tc>
          <w:tcPr>
            <w:tcW w:w="506" w:type="pct"/>
            <w:vMerge/>
            <w:tcBorders>
              <w:top w:val="single" w:sz="8" w:space="0" w:color="auto"/>
              <w:left w:val="single" w:sz="8" w:space="0" w:color="auto"/>
              <w:bottom w:val="single" w:sz="8" w:space="0" w:color="000000"/>
              <w:right w:val="single" w:sz="8" w:space="0" w:color="auto"/>
            </w:tcBorders>
            <w:vAlign w:val="center"/>
            <w:hideMark/>
          </w:tcPr>
          <w:p w14:paraId="765FB1F1" w14:textId="77777777" w:rsidR="00411455" w:rsidRPr="00411455" w:rsidRDefault="00411455" w:rsidP="00411455">
            <w:pPr>
              <w:spacing w:after="0" w:line="240" w:lineRule="auto"/>
              <w:rPr>
                <w:rFonts w:ascii="Arial" w:eastAsia="Times New Roman" w:hAnsi="Arial" w:cs="Arial"/>
                <w:b/>
                <w:bCs/>
                <w:color w:val="000000"/>
                <w:kern w:val="0"/>
                <w:sz w:val="16"/>
                <w:szCs w:val="16"/>
                <w:lang w:eastAsia="pt-BR"/>
                <w14:ligatures w14:val="none"/>
              </w:rPr>
            </w:pPr>
          </w:p>
        </w:tc>
        <w:tc>
          <w:tcPr>
            <w:tcW w:w="567" w:type="pct"/>
            <w:vMerge/>
            <w:tcBorders>
              <w:top w:val="single" w:sz="8" w:space="0" w:color="auto"/>
              <w:left w:val="single" w:sz="8" w:space="0" w:color="auto"/>
              <w:bottom w:val="single" w:sz="8" w:space="0" w:color="000000"/>
              <w:right w:val="single" w:sz="8" w:space="0" w:color="auto"/>
            </w:tcBorders>
            <w:vAlign w:val="center"/>
            <w:hideMark/>
          </w:tcPr>
          <w:p w14:paraId="503A710C" w14:textId="77777777" w:rsidR="00411455" w:rsidRPr="00411455" w:rsidRDefault="00411455" w:rsidP="00411455">
            <w:pPr>
              <w:spacing w:after="0" w:line="240" w:lineRule="auto"/>
              <w:rPr>
                <w:rFonts w:ascii="Arial" w:eastAsia="Times New Roman" w:hAnsi="Arial" w:cs="Arial"/>
                <w:b/>
                <w:bCs/>
                <w:color w:val="000000"/>
                <w:kern w:val="0"/>
                <w:sz w:val="16"/>
                <w:szCs w:val="16"/>
                <w:lang w:eastAsia="pt-BR"/>
                <w14:ligatures w14:val="none"/>
              </w:rPr>
            </w:pPr>
          </w:p>
        </w:tc>
        <w:tc>
          <w:tcPr>
            <w:tcW w:w="567" w:type="pct"/>
            <w:vMerge/>
            <w:tcBorders>
              <w:top w:val="single" w:sz="8" w:space="0" w:color="auto"/>
              <w:left w:val="single" w:sz="8" w:space="0" w:color="auto"/>
              <w:bottom w:val="single" w:sz="8" w:space="0" w:color="000000"/>
              <w:right w:val="single" w:sz="8" w:space="0" w:color="auto"/>
            </w:tcBorders>
            <w:vAlign w:val="center"/>
            <w:hideMark/>
          </w:tcPr>
          <w:p w14:paraId="6D0FB4FF" w14:textId="77777777" w:rsidR="00411455" w:rsidRPr="00411455" w:rsidRDefault="00411455" w:rsidP="00411455">
            <w:pPr>
              <w:spacing w:after="0" w:line="240" w:lineRule="auto"/>
              <w:rPr>
                <w:rFonts w:ascii="Arial" w:eastAsia="Times New Roman" w:hAnsi="Arial" w:cs="Arial"/>
                <w:b/>
                <w:bCs/>
                <w:color w:val="000000"/>
                <w:kern w:val="0"/>
                <w:sz w:val="16"/>
                <w:szCs w:val="16"/>
                <w:lang w:eastAsia="pt-BR"/>
                <w14:ligatures w14:val="none"/>
              </w:rPr>
            </w:pPr>
          </w:p>
        </w:tc>
        <w:tc>
          <w:tcPr>
            <w:tcW w:w="520" w:type="pct"/>
            <w:vMerge/>
            <w:tcBorders>
              <w:top w:val="single" w:sz="8" w:space="0" w:color="auto"/>
              <w:left w:val="single" w:sz="8" w:space="0" w:color="auto"/>
              <w:bottom w:val="single" w:sz="8" w:space="0" w:color="000000"/>
              <w:right w:val="single" w:sz="8" w:space="0" w:color="auto"/>
            </w:tcBorders>
            <w:vAlign w:val="center"/>
            <w:hideMark/>
          </w:tcPr>
          <w:p w14:paraId="0E9F7A19" w14:textId="77777777" w:rsidR="00411455" w:rsidRPr="00411455" w:rsidRDefault="00411455" w:rsidP="00411455">
            <w:pPr>
              <w:spacing w:after="0" w:line="240" w:lineRule="auto"/>
              <w:rPr>
                <w:rFonts w:ascii="Arial" w:eastAsia="Times New Roman" w:hAnsi="Arial" w:cs="Arial"/>
                <w:b/>
                <w:bCs/>
                <w:color w:val="000000"/>
                <w:kern w:val="0"/>
                <w:sz w:val="16"/>
                <w:szCs w:val="16"/>
                <w:lang w:eastAsia="pt-BR"/>
                <w14:ligatures w14:val="none"/>
              </w:rPr>
            </w:pPr>
          </w:p>
        </w:tc>
        <w:tc>
          <w:tcPr>
            <w:tcW w:w="487" w:type="pct"/>
            <w:tcBorders>
              <w:top w:val="nil"/>
              <w:left w:val="nil"/>
              <w:bottom w:val="single" w:sz="8" w:space="0" w:color="auto"/>
              <w:right w:val="single" w:sz="8" w:space="0" w:color="auto"/>
            </w:tcBorders>
            <w:shd w:val="clear" w:color="auto" w:fill="auto"/>
            <w:noWrap/>
            <w:vAlign w:val="center"/>
            <w:hideMark/>
          </w:tcPr>
          <w:p w14:paraId="171BD472" w14:textId="77777777" w:rsidR="00411455" w:rsidRPr="00411455" w:rsidRDefault="00411455" w:rsidP="00411455">
            <w:pPr>
              <w:spacing w:after="0" w:line="240" w:lineRule="auto"/>
              <w:jc w:val="center"/>
              <w:rPr>
                <w:rFonts w:ascii="Arial" w:eastAsia="Times New Roman" w:hAnsi="Arial" w:cs="Arial"/>
                <w:b/>
                <w:bCs/>
                <w:color w:val="000000"/>
                <w:kern w:val="0"/>
                <w:sz w:val="16"/>
                <w:szCs w:val="16"/>
                <w:lang w:eastAsia="pt-BR"/>
                <w14:ligatures w14:val="none"/>
              </w:rPr>
            </w:pPr>
            <w:r w:rsidRPr="00411455">
              <w:rPr>
                <w:rFonts w:ascii="Arial" w:eastAsia="Times New Roman" w:hAnsi="Arial" w:cs="Arial"/>
                <w:b/>
                <w:bCs/>
                <w:color w:val="000000"/>
                <w:kern w:val="0"/>
                <w:sz w:val="16"/>
                <w:szCs w:val="16"/>
                <w:lang w:eastAsia="pt-BR"/>
                <w14:ligatures w14:val="none"/>
              </w:rPr>
              <w:t>31/12/2023</w:t>
            </w:r>
          </w:p>
        </w:tc>
        <w:tc>
          <w:tcPr>
            <w:tcW w:w="486" w:type="pct"/>
            <w:tcBorders>
              <w:top w:val="nil"/>
              <w:left w:val="nil"/>
              <w:bottom w:val="single" w:sz="8" w:space="0" w:color="auto"/>
              <w:right w:val="single" w:sz="8" w:space="0" w:color="auto"/>
            </w:tcBorders>
            <w:shd w:val="clear" w:color="auto" w:fill="auto"/>
            <w:noWrap/>
            <w:vAlign w:val="center"/>
            <w:hideMark/>
          </w:tcPr>
          <w:p w14:paraId="21B1D835" w14:textId="77777777" w:rsidR="00411455" w:rsidRPr="00411455" w:rsidRDefault="00411455" w:rsidP="00411455">
            <w:pPr>
              <w:spacing w:after="0" w:line="240" w:lineRule="auto"/>
              <w:jc w:val="center"/>
              <w:rPr>
                <w:rFonts w:ascii="Arial" w:eastAsia="Times New Roman" w:hAnsi="Arial" w:cs="Arial"/>
                <w:b/>
                <w:bCs/>
                <w:color w:val="000000"/>
                <w:kern w:val="0"/>
                <w:sz w:val="16"/>
                <w:szCs w:val="16"/>
                <w:lang w:eastAsia="pt-BR"/>
                <w14:ligatures w14:val="none"/>
              </w:rPr>
            </w:pPr>
            <w:r w:rsidRPr="00411455">
              <w:rPr>
                <w:rFonts w:ascii="Arial" w:eastAsia="Times New Roman" w:hAnsi="Arial" w:cs="Arial"/>
                <w:b/>
                <w:bCs/>
                <w:color w:val="000000"/>
                <w:kern w:val="0"/>
                <w:sz w:val="16"/>
                <w:szCs w:val="16"/>
                <w:lang w:eastAsia="pt-BR"/>
                <w14:ligatures w14:val="none"/>
              </w:rPr>
              <w:t>31/12/2022</w:t>
            </w:r>
          </w:p>
        </w:tc>
      </w:tr>
      <w:tr w:rsidR="00411455" w:rsidRPr="00411455" w14:paraId="264F2EAF" w14:textId="77777777" w:rsidTr="00446A14">
        <w:trPr>
          <w:trHeight w:val="264"/>
        </w:trPr>
        <w:tc>
          <w:tcPr>
            <w:tcW w:w="1281" w:type="pct"/>
            <w:tcBorders>
              <w:top w:val="nil"/>
              <w:left w:val="single" w:sz="8" w:space="0" w:color="auto"/>
              <w:bottom w:val="single" w:sz="8" w:space="0" w:color="auto"/>
              <w:right w:val="single" w:sz="8" w:space="0" w:color="auto"/>
            </w:tcBorders>
            <w:shd w:val="clear" w:color="auto" w:fill="auto"/>
            <w:noWrap/>
            <w:vAlign w:val="center"/>
            <w:hideMark/>
          </w:tcPr>
          <w:p w14:paraId="6C573561" w14:textId="77777777" w:rsidR="00411455" w:rsidRPr="00411455" w:rsidRDefault="00411455" w:rsidP="00411455">
            <w:pPr>
              <w:spacing w:after="0" w:line="240" w:lineRule="auto"/>
              <w:rPr>
                <w:rFonts w:ascii="Arial" w:eastAsia="Times New Roman" w:hAnsi="Arial" w:cs="Arial"/>
                <w:color w:val="000000"/>
                <w:kern w:val="0"/>
                <w:sz w:val="16"/>
                <w:szCs w:val="16"/>
                <w:lang w:eastAsia="pt-BR"/>
                <w14:ligatures w14:val="none"/>
              </w:rPr>
            </w:pPr>
            <w:r w:rsidRPr="00411455">
              <w:rPr>
                <w:rFonts w:ascii="Arial" w:eastAsia="Times New Roman" w:hAnsi="Arial" w:cs="Arial"/>
                <w:color w:val="000000"/>
                <w:kern w:val="0"/>
                <w:sz w:val="16"/>
                <w:szCs w:val="16"/>
                <w:lang w:eastAsia="pt-BR"/>
                <w14:ligatures w14:val="none"/>
              </w:rPr>
              <w:t xml:space="preserve">Visiona Tecnologia Espacial </w:t>
            </w:r>
            <w:proofErr w:type="gramStart"/>
            <w:r w:rsidRPr="00411455">
              <w:rPr>
                <w:rFonts w:ascii="Arial" w:eastAsia="Times New Roman" w:hAnsi="Arial" w:cs="Arial"/>
                <w:color w:val="000000"/>
                <w:kern w:val="0"/>
                <w:sz w:val="16"/>
                <w:szCs w:val="16"/>
                <w:lang w:eastAsia="pt-BR"/>
                <w14:ligatures w14:val="none"/>
              </w:rPr>
              <w:t>S.A</w:t>
            </w:r>
            <w:proofErr w:type="gramEnd"/>
          </w:p>
        </w:tc>
        <w:tc>
          <w:tcPr>
            <w:tcW w:w="586" w:type="pct"/>
            <w:tcBorders>
              <w:top w:val="nil"/>
              <w:left w:val="nil"/>
              <w:bottom w:val="single" w:sz="8" w:space="0" w:color="auto"/>
              <w:right w:val="single" w:sz="8" w:space="0" w:color="auto"/>
            </w:tcBorders>
            <w:shd w:val="clear" w:color="auto" w:fill="auto"/>
            <w:noWrap/>
            <w:vAlign w:val="center"/>
            <w:hideMark/>
          </w:tcPr>
          <w:p w14:paraId="68A7AAAB" w14:textId="77777777" w:rsidR="00411455" w:rsidRPr="00411455" w:rsidRDefault="00411455" w:rsidP="00411455">
            <w:pPr>
              <w:spacing w:after="0" w:line="240" w:lineRule="auto"/>
              <w:jc w:val="right"/>
              <w:rPr>
                <w:rFonts w:ascii="Arial" w:eastAsia="Times New Roman" w:hAnsi="Arial" w:cs="Arial"/>
                <w:color w:val="000000"/>
                <w:kern w:val="0"/>
                <w:sz w:val="16"/>
                <w:szCs w:val="16"/>
                <w:lang w:eastAsia="pt-BR"/>
                <w14:ligatures w14:val="none"/>
              </w:rPr>
            </w:pPr>
            <w:r w:rsidRPr="00411455">
              <w:rPr>
                <w:rFonts w:ascii="Arial" w:eastAsia="Times New Roman" w:hAnsi="Arial" w:cs="Arial"/>
                <w:color w:val="000000"/>
                <w:kern w:val="0"/>
                <w:sz w:val="16"/>
                <w:szCs w:val="16"/>
                <w:lang w:eastAsia="pt-BR"/>
                <w14:ligatures w14:val="none"/>
              </w:rPr>
              <w:t>75.000</w:t>
            </w:r>
          </w:p>
        </w:tc>
        <w:tc>
          <w:tcPr>
            <w:tcW w:w="506" w:type="pct"/>
            <w:tcBorders>
              <w:top w:val="nil"/>
              <w:left w:val="nil"/>
              <w:bottom w:val="single" w:sz="8" w:space="0" w:color="auto"/>
              <w:right w:val="single" w:sz="8" w:space="0" w:color="auto"/>
            </w:tcBorders>
            <w:shd w:val="clear" w:color="auto" w:fill="auto"/>
            <w:noWrap/>
            <w:vAlign w:val="center"/>
            <w:hideMark/>
          </w:tcPr>
          <w:p w14:paraId="034B59A3" w14:textId="77777777" w:rsidR="00411455" w:rsidRPr="00411455" w:rsidRDefault="00411455" w:rsidP="00411455">
            <w:pPr>
              <w:spacing w:after="0" w:line="240" w:lineRule="auto"/>
              <w:jc w:val="right"/>
              <w:rPr>
                <w:rFonts w:ascii="Arial" w:eastAsia="Times New Roman" w:hAnsi="Arial" w:cs="Arial"/>
                <w:color w:val="000000"/>
                <w:kern w:val="0"/>
                <w:sz w:val="16"/>
                <w:szCs w:val="16"/>
                <w:lang w:eastAsia="pt-BR"/>
                <w14:ligatures w14:val="none"/>
              </w:rPr>
            </w:pPr>
            <w:r w:rsidRPr="00411455">
              <w:rPr>
                <w:rFonts w:ascii="Arial" w:eastAsia="Times New Roman" w:hAnsi="Arial" w:cs="Arial"/>
                <w:color w:val="000000"/>
                <w:kern w:val="0"/>
                <w:sz w:val="16"/>
                <w:szCs w:val="16"/>
                <w:lang w:eastAsia="pt-BR"/>
                <w14:ligatures w14:val="none"/>
              </w:rPr>
              <w:t>143.029</w:t>
            </w:r>
          </w:p>
        </w:tc>
        <w:tc>
          <w:tcPr>
            <w:tcW w:w="567" w:type="pct"/>
            <w:tcBorders>
              <w:top w:val="nil"/>
              <w:left w:val="nil"/>
              <w:bottom w:val="single" w:sz="8" w:space="0" w:color="auto"/>
              <w:right w:val="single" w:sz="8" w:space="0" w:color="auto"/>
            </w:tcBorders>
            <w:shd w:val="clear" w:color="auto" w:fill="auto"/>
            <w:noWrap/>
            <w:vAlign w:val="center"/>
            <w:hideMark/>
          </w:tcPr>
          <w:p w14:paraId="7CBA6AD3" w14:textId="77777777" w:rsidR="00411455" w:rsidRPr="00411455" w:rsidRDefault="00411455" w:rsidP="00411455">
            <w:pPr>
              <w:spacing w:after="0" w:line="240" w:lineRule="auto"/>
              <w:jc w:val="right"/>
              <w:rPr>
                <w:rFonts w:ascii="Arial" w:eastAsia="Times New Roman" w:hAnsi="Arial" w:cs="Arial"/>
                <w:color w:val="000000"/>
                <w:kern w:val="0"/>
                <w:sz w:val="16"/>
                <w:szCs w:val="16"/>
                <w:lang w:eastAsia="pt-BR"/>
                <w14:ligatures w14:val="none"/>
              </w:rPr>
            </w:pPr>
            <w:r w:rsidRPr="00411455">
              <w:rPr>
                <w:rFonts w:ascii="Arial" w:eastAsia="Times New Roman" w:hAnsi="Arial" w:cs="Arial"/>
                <w:color w:val="000000"/>
                <w:kern w:val="0"/>
                <w:sz w:val="16"/>
                <w:szCs w:val="16"/>
                <w:lang w:eastAsia="pt-BR"/>
                <w14:ligatures w14:val="none"/>
              </w:rPr>
              <w:t>49,00</w:t>
            </w:r>
          </w:p>
        </w:tc>
        <w:tc>
          <w:tcPr>
            <w:tcW w:w="567" w:type="pct"/>
            <w:tcBorders>
              <w:top w:val="nil"/>
              <w:left w:val="nil"/>
              <w:bottom w:val="single" w:sz="8" w:space="0" w:color="auto"/>
              <w:right w:val="single" w:sz="8" w:space="0" w:color="auto"/>
            </w:tcBorders>
            <w:shd w:val="clear" w:color="auto" w:fill="auto"/>
            <w:noWrap/>
            <w:vAlign w:val="center"/>
            <w:hideMark/>
          </w:tcPr>
          <w:p w14:paraId="16A10BBB" w14:textId="77777777" w:rsidR="00411455" w:rsidRPr="00411455" w:rsidRDefault="00411455" w:rsidP="00411455">
            <w:pPr>
              <w:spacing w:after="0" w:line="240" w:lineRule="auto"/>
              <w:jc w:val="right"/>
              <w:rPr>
                <w:rFonts w:ascii="Arial" w:eastAsia="Times New Roman" w:hAnsi="Arial" w:cs="Arial"/>
                <w:color w:val="000000"/>
                <w:kern w:val="0"/>
                <w:sz w:val="16"/>
                <w:szCs w:val="16"/>
                <w:lang w:eastAsia="pt-BR"/>
                <w14:ligatures w14:val="none"/>
              </w:rPr>
            </w:pPr>
            <w:r w:rsidRPr="00411455">
              <w:rPr>
                <w:rFonts w:ascii="Arial" w:eastAsia="Times New Roman" w:hAnsi="Arial" w:cs="Arial"/>
                <w:color w:val="000000"/>
                <w:kern w:val="0"/>
                <w:sz w:val="16"/>
                <w:szCs w:val="16"/>
                <w:lang w:eastAsia="pt-BR"/>
                <w14:ligatures w14:val="none"/>
              </w:rPr>
              <w:t>49,00</w:t>
            </w:r>
          </w:p>
        </w:tc>
        <w:tc>
          <w:tcPr>
            <w:tcW w:w="520" w:type="pct"/>
            <w:tcBorders>
              <w:top w:val="nil"/>
              <w:left w:val="nil"/>
              <w:bottom w:val="single" w:sz="8" w:space="0" w:color="auto"/>
              <w:right w:val="single" w:sz="8" w:space="0" w:color="auto"/>
            </w:tcBorders>
            <w:shd w:val="clear" w:color="auto" w:fill="auto"/>
            <w:noWrap/>
            <w:vAlign w:val="center"/>
            <w:hideMark/>
          </w:tcPr>
          <w:p w14:paraId="3B4BBEB4" w14:textId="77777777" w:rsidR="00411455" w:rsidRPr="00411455" w:rsidRDefault="00411455" w:rsidP="00411455">
            <w:pPr>
              <w:spacing w:after="0" w:line="240" w:lineRule="auto"/>
              <w:jc w:val="right"/>
              <w:rPr>
                <w:rFonts w:ascii="Arial" w:eastAsia="Times New Roman" w:hAnsi="Arial" w:cs="Arial"/>
                <w:color w:val="000000"/>
                <w:kern w:val="0"/>
                <w:sz w:val="16"/>
                <w:szCs w:val="16"/>
                <w:lang w:eastAsia="pt-BR"/>
                <w14:ligatures w14:val="none"/>
              </w:rPr>
            </w:pPr>
            <w:r w:rsidRPr="00411455">
              <w:rPr>
                <w:rFonts w:ascii="Arial" w:eastAsia="Times New Roman" w:hAnsi="Arial" w:cs="Arial"/>
                <w:color w:val="000000"/>
                <w:kern w:val="0"/>
                <w:sz w:val="16"/>
                <w:szCs w:val="16"/>
                <w:lang w:eastAsia="pt-BR"/>
                <w14:ligatures w14:val="none"/>
              </w:rPr>
              <w:t>36.750.000</w:t>
            </w:r>
          </w:p>
        </w:tc>
        <w:tc>
          <w:tcPr>
            <w:tcW w:w="487" w:type="pct"/>
            <w:tcBorders>
              <w:top w:val="nil"/>
              <w:left w:val="nil"/>
              <w:bottom w:val="single" w:sz="8" w:space="0" w:color="auto"/>
              <w:right w:val="single" w:sz="8" w:space="0" w:color="auto"/>
            </w:tcBorders>
            <w:shd w:val="clear" w:color="auto" w:fill="auto"/>
            <w:noWrap/>
            <w:vAlign w:val="center"/>
            <w:hideMark/>
          </w:tcPr>
          <w:p w14:paraId="63DFDAF3" w14:textId="77777777" w:rsidR="00411455" w:rsidRPr="00411455" w:rsidRDefault="00411455" w:rsidP="00411455">
            <w:pPr>
              <w:spacing w:after="0" w:line="240" w:lineRule="auto"/>
              <w:jc w:val="right"/>
              <w:rPr>
                <w:rFonts w:ascii="Arial" w:eastAsia="Times New Roman" w:hAnsi="Arial" w:cs="Arial"/>
                <w:color w:val="000000"/>
                <w:kern w:val="0"/>
                <w:sz w:val="16"/>
                <w:szCs w:val="16"/>
                <w:lang w:eastAsia="pt-BR"/>
                <w14:ligatures w14:val="none"/>
              </w:rPr>
            </w:pPr>
            <w:r w:rsidRPr="00411455">
              <w:rPr>
                <w:rFonts w:ascii="Arial" w:eastAsia="Times New Roman" w:hAnsi="Arial" w:cs="Arial"/>
                <w:color w:val="000000"/>
                <w:kern w:val="0"/>
                <w:sz w:val="16"/>
                <w:szCs w:val="16"/>
                <w:lang w:eastAsia="pt-BR"/>
                <w14:ligatures w14:val="none"/>
              </w:rPr>
              <w:t>70.084</w:t>
            </w:r>
          </w:p>
        </w:tc>
        <w:tc>
          <w:tcPr>
            <w:tcW w:w="486" w:type="pct"/>
            <w:tcBorders>
              <w:top w:val="nil"/>
              <w:left w:val="nil"/>
              <w:bottom w:val="single" w:sz="8" w:space="0" w:color="auto"/>
              <w:right w:val="single" w:sz="8" w:space="0" w:color="auto"/>
            </w:tcBorders>
            <w:shd w:val="clear" w:color="auto" w:fill="auto"/>
            <w:noWrap/>
            <w:vAlign w:val="center"/>
            <w:hideMark/>
          </w:tcPr>
          <w:p w14:paraId="1DDF9B22" w14:textId="77777777" w:rsidR="00411455" w:rsidRPr="00411455" w:rsidRDefault="00411455" w:rsidP="00411455">
            <w:pPr>
              <w:spacing w:after="0" w:line="240" w:lineRule="auto"/>
              <w:jc w:val="right"/>
              <w:rPr>
                <w:rFonts w:ascii="Arial" w:eastAsia="Times New Roman" w:hAnsi="Arial" w:cs="Arial"/>
                <w:color w:val="000000"/>
                <w:kern w:val="0"/>
                <w:sz w:val="16"/>
                <w:szCs w:val="16"/>
                <w:lang w:eastAsia="pt-BR"/>
                <w14:ligatures w14:val="none"/>
              </w:rPr>
            </w:pPr>
            <w:r w:rsidRPr="00411455">
              <w:rPr>
                <w:rFonts w:ascii="Arial" w:eastAsia="Times New Roman" w:hAnsi="Arial" w:cs="Arial"/>
                <w:color w:val="000000"/>
                <w:kern w:val="0"/>
                <w:sz w:val="16"/>
                <w:szCs w:val="16"/>
                <w:lang w:eastAsia="pt-BR"/>
                <w14:ligatures w14:val="none"/>
              </w:rPr>
              <w:t>75.195</w:t>
            </w:r>
          </w:p>
        </w:tc>
      </w:tr>
      <w:tr w:rsidR="00411455" w:rsidRPr="00411455" w14:paraId="4FDEABE7" w14:textId="77777777" w:rsidTr="00446A14">
        <w:trPr>
          <w:trHeight w:val="264"/>
        </w:trPr>
        <w:tc>
          <w:tcPr>
            <w:tcW w:w="1281" w:type="pct"/>
            <w:tcBorders>
              <w:top w:val="nil"/>
              <w:left w:val="single" w:sz="8" w:space="0" w:color="auto"/>
              <w:bottom w:val="single" w:sz="8" w:space="0" w:color="auto"/>
              <w:right w:val="single" w:sz="8" w:space="0" w:color="auto"/>
            </w:tcBorders>
            <w:shd w:val="clear" w:color="auto" w:fill="auto"/>
            <w:noWrap/>
            <w:vAlign w:val="center"/>
            <w:hideMark/>
          </w:tcPr>
          <w:p w14:paraId="46BEC66B" w14:textId="77777777" w:rsidR="00411455" w:rsidRPr="00411455" w:rsidRDefault="00411455" w:rsidP="00411455">
            <w:pPr>
              <w:spacing w:after="0" w:line="240" w:lineRule="auto"/>
              <w:rPr>
                <w:rFonts w:ascii="Arial" w:eastAsia="Times New Roman" w:hAnsi="Arial" w:cs="Arial"/>
                <w:b/>
                <w:bCs/>
                <w:color w:val="000000"/>
                <w:kern w:val="0"/>
                <w:sz w:val="16"/>
                <w:szCs w:val="16"/>
                <w:lang w:eastAsia="pt-BR"/>
                <w14:ligatures w14:val="none"/>
              </w:rPr>
            </w:pPr>
            <w:r w:rsidRPr="00411455">
              <w:rPr>
                <w:rFonts w:ascii="Arial" w:eastAsia="Times New Roman" w:hAnsi="Arial" w:cs="Arial"/>
                <w:b/>
                <w:bCs/>
                <w:color w:val="000000"/>
                <w:kern w:val="0"/>
                <w:sz w:val="16"/>
                <w:szCs w:val="16"/>
                <w:lang w:eastAsia="pt-BR"/>
                <w14:ligatures w14:val="none"/>
              </w:rPr>
              <w:t>Total</w:t>
            </w:r>
          </w:p>
        </w:tc>
        <w:tc>
          <w:tcPr>
            <w:tcW w:w="586" w:type="pct"/>
            <w:tcBorders>
              <w:top w:val="nil"/>
              <w:left w:val="nil"/>
              <w:bottom w:val="single" w:sz="8" w:space="0" w:color="auto"/>
              <w:right w:val="single" w:sz="8" w:space="0" w:color="auto"/>
            </w:tcBorders>
            <w:shd w:val="clear" w:color="000000" w:fill="D9D9D9"/>
            <w:noWrap/>
            <w:vAlign w:val="center"/>
            <w:hideMark/>
          </w:tcPr>
          <w:p w14:paraId="1FCEBE5B" w14:textId="77777777" w:rsidR="00411455" w:rsidRPr="00411455" w:rsidRDefault="00411455" w:rsidP="00411455">
            <w:pPr>
              <w:spacing w:after="0" w:line="240" w:lineRule="auto"/>
              <w:jc w:val="right"/>
              <w:rPr>
                <w:rFonts w:ascii="Arial" w:eastAsia="Times New Roman" w:hAnsi="Arial" w:cs="Arial"/>
                <w:color w:val="000000"/>
                <w:kern w:val="0"/>
                <w:sz w:val="16"/>
                <w:szCs w:val="16"/>
                <w:lang w:eastAsia="pt-BR"/>
                <w14:ligatures w14:val="none"/>
              </w:rPr>
            </w:pPr>
            <w:r w:rsidRPr="00411455">
              <w:rPr>
                <w:rFonts w:ascii="Arial" w:eastAsia="Times New Roman" w:hAnsi="Arial" w:cs="Arial"/>
                <w:color w:val="000000"/>
                <w:kern w:val="0"/>
                <w:sz w:val="16"/>
                <w:szCs w:val="16"/>
                <w:lang w:eastAsia="pt-BR"/>
                <w14:ligatures w14:val="none"/>
              </w:rPr>
              <w:t> </w:t>
            </w:r>
          </w:p>
        </w:tc>
        <w:tc>
          <w:tcPr>
            <w:tcW w:w="506" w:type="pct"/>
            <w:tcBorders>
              <w:top w:val="nil"/>
              <w:left w:val="nil"/>
              <w:bottom w:val="single" w:sz="8" w:space="0" w:color="auto"/>
              <w:right w:val="single" w:sz="8" w:space="0" w:color="auto"/>
            </w:tcBorders>
            <w:shd w:val="clear" w:color="000000" w:fill="D9D9D9"/>
            <w:noWrap/>
            <w:vAlign w:val="center"/>
            <w:hideMark/>
          </w:tcPr>
          <w:p w14:paraId="59696779" w14:textId="77777777" w:rsidR="00411455" w:rsidRPr="00411455" w:rsidRDefault="00411455" w:rsidP="00411455">
            <w:pPr>
              <w:spacing w:after="0" w:line="240" w:lineRule="auto"/>
              <w:jc w:val="right"/>
              <w:rPr>
                <w:rFonts w:ascii="Arial" w:eastAsia="Times New Roman" w:hAnsi="Arial" w:cs="Arial"/>
                <w:color w:val="000000"/>
                <w:kern w:val="0"/>
                <w:sz w:val="16"/>
                <w:szCs w:val="16"/>
                <w:lang w:eastAsia="pt-BR"/>
                <w14:ligatures w14:val="none"/>
              </w:rPr>
            </w:pPr>
            <w:r w:rsidRPr="00411455">
              <w:rPr>
                <w:rFonts w:ascii="Arial" w:eastAsia="Times New Roman" w:hAnsi="Arial" w:cs="Arial"/>
                <w:color w:val="000000"/>
                <w:kern w:val="0"/>
                <w:sz w:val="16"/>
                <w:szCs w:val="16"/>
                <w:lang w:eastAsia="pt-BR"/>
                <w14:ligatures w14:val="none"/>
              </w:rPr>
              <w:t> </w:t>
            </w:r>
          </w:p>
        </w:tc>
        <w:tc>
          <w:tcPr>
            <w:tcW w:w="567" w:type="pct"/>
            <w:tcBorders>
              <w:top w:val="nil"/>
              <w:left w:val="nil"/>
              <w:bottom w:val="single" w:sz="8" w:space="0" w:color="auto"/>
              <w:right w:val="single" w:sz="8" w:space="0" w:color="auto"/>
            </w:tcBorders>
            <w:shd w:val="clear" w:color="000000" w:fill="D9D9D9"/>
            <w:noWrap/>
            <w:vAlign w:val="center"/>
            <w:hideMark/>
          </w:tcPr>
          <w:p w14:paraId="3BB3728F" w14:textId="77777777" w:rsidR="00411455" w:rsidRPr="00411455" w:rsidRDefault="00411455" w:rsidP="00411455">
            <w:pPr>
              <w:spacing w:after="0" w:line="240" w:lineRule="auto"/>
              <w:jc w:val="right"/>
              <w:rPr>
                <w:rFonts w:ascii="Arial" w:eastAsia="Times New Roman" w:hAnsi="Arial" w:cs="Arial"/>
                <w:color w:val="000000"/>
                <w:kern w:val="0"/>
                <w:sz w:val="16"/>
                <w:szCs w:val="16"/>
                <w:lang w:eastAsia="pt-BR"/>
                <w14:ligatures w14:val="none"/>
              </w:rPr>
            </w:pPr>
            <w:r w:rsidRPr="00411455">
              <w:rPr>
                <w:rFonts w:ascii="Arial" w:eastAsia="Times New Roman" w:hAnsi="Arial" w:cs="Arial"/>
                <w:color w:val="000000"/>
                <w:kern w:val="0"/>
                <w:sz w:val="16"/>
                <w:szCs w:val="16"/>
                <w:lang w:eastAsia="pt-BR"/>
                <w14:ligatures w14:val="none"/>
              </w:rPr>
              <w:t> </w:t>
            </w:r>
          </w:p>
        </w:tc>
        <w:tc>
          <w:tcPr>
            <w:tcW w:w="567" w:type="pct"/>
            <w:tcBorders>
              <w:top w:val="nil"/>
              <w:left w:val="nil"/>
              <w:bottom w:val="single" w:sz="8" w:space="0" w:color="auto"/>
              <w:right w:val="single" w:sz="8" w:space="0" w:color="auto"/>
            </w:tcBorders>
            <w:shd w:val="clear" w:color="000000" w:fill="D9D9D9"/>
            <w:noWrap/>
            <w:vAlign w:val="center"/>
            <w:hideMark/>
          </w:tcPr>
          <w:p w14:paraId="6E3EBD79" w14:textId="77777777" w:rsidR="00411455" w:rsidRPr="00411455" w:rsidRDefault="00411455" w:rsidP="00411455">
            <w:pPr>
              <w:spacing w:after="0" w:line="240" w:lineRule="auto"/>
              <w:jc w:val="right"/>
              <w:rPr>
                <w:rFonts w:ascii="Arial" w:eastAsia="Times New Roman" w:hAnsi="Arial" w:cs="Arial"/>
                <w:color w:val="000000"/>
                <w:kern w:val="0"/>
                <w:sz w:val="16"/>
                <w:szCs w:val="16"/>
                <w:lang w:eastAsia="pt-BR"/>
                <w14:ligatures w14:val="none"/>
              </w:rPr>
            </w:pPr>
            <w:r w:rsidRPr="00411455">
              <w:rPr>
                <w:rFonts w:ascii="Arial" w:eastAsia="Times New Roman" w:hAnsi="Arial" w:cs="Arial"/>
                <w:color w:val="000000"/>
                <w:kern w:val="0"/>
                <w:sz w:val="16"/>
                <w:szCs w:val="16"/>
                <w:lang w:eastAsia="pt-BR"/>
                <w14:ligatures w14:val="none"/>
              </w:rPr>
              <w:t> </w:t>
            </w:r>
          </w:p>
        </w:tc>
        <w:tc>
          <w:tcPr>
            <w:tcW w:w="520" w:type="pct"/>
            <w:tcBorders>
              <w:top w:val="nil"/>
              <w:left w:val="nil"/>
              <w:bottom w:val="single" w:sz="8" w:space="0" w:color="auto"/>
              <w:right w:val="single" w:sz="8" w:space="0" w:color="auto"/>
            </w:tcBorders>
            <w:shd w:val="clear" w:color="000000" w:fill="D9D9D9"/>
            <w:noWrap/>
            <w:vAlign w:val="center"/>
            <w:hideMark/>
          </w:tcPr>
          <w:p w14:paraId="77F7CFE0" w14:textId="77777777" w:rsidR="00411455" w:rsidRPr="00411455" w:rsidRDefault="00411455" w:rsidP="00411455">
            <w:pPr>
              <w:spacing w:after="0" w:line="240" w:lineRule="auto"/>
              <w:jc w:val="right"/>
              <w:rPr>
                <w:rFonts w:ascii="Arial" w:eastAsia="Times New Roman" w:hAnsi="Arial" w:cs="Arial"/>
                <w:color w:val="000000"/>
                <w:kern w:val="0"/>
                <w:sz w:val="16"/>
                <w:szCs w:val="16"/>
                <w:lang w:eastAsia="pt-BR"/>
                <w14:ligatures w14:val="none"/>
              </w:rPr>
            </w:pPr>
            <w:r w:rsidRPr="00411455">
              <w:rPr>
                <w:rFonts w:ascii="Arial" w:eastAsia="Times New Roman" w:hAnsi="Arial" w:cs="Arial"/>
                <w:color w:val="000000"/>
                <w:kern w:val="0"/>
                <w:sz w:val="16"/>
                <w:szCs w:val="16"/>
                <w:lang w:eastAsia="pt-BR"/>
                <w14:ligatures w14:val="none"/>
              </w:rPr>
              <w:t> </w:t>
            </w:r>
          </w:p>
        </w:tc>
        <w:tc>
          <w:tcPr>
            <w:tcW w:w="487" w:type="pct"/>
            <w:tcBorders>
              <w:top w:val="nil"/>
              <w:left w:val="nil"/>
              <w:bottom w:val="single" w:sz="8" w:space="0" w:color="auto"/>
              <w:right w:val="single" w:sz="8" w:space="0" w:color="auto"/>
            </w:tcBorders>
            <w:shd w:val="clear" w:color="auto" w:fill="auto"/>
            <w:noWrap/>
            <w:vAlign w:val="center"/>
            <w:hideMark/>
          </w:tcPr>
          <w:p w14:paraId="78EECD91" w14:textId="77777777" w:rsidR="00411455" w:rsidRPr="00411455" w:rsidRDefault="00411455" w:rsidP="00411455">
            <w:pPr>
              <w:spacing w:after="0" w:line="240" w:lineRule="auto"/>
              <w:jc w:val="right"/>
              <w:rPr>
                <w:rFonts w:ascii="Arial" w:eastAsia="Times New Roman" w:hAnsi="Arial" w:cs="Arial"/>
                <w:b/>
                <w:bCs/>
                <w:color w:val="000000"/>
                <w:kern w:val="0"/>
                <w:sz w:val="16"/>
                <w:szCs w:val="16"/>
                <w:lang w:eastAsia="pt-BR"/>
                <w14:ligatures w14:val="none"/>
              </w:rPr>
            </w:pPr>
            <w:r w:rsidRPr="00411455">
              <w:rPr>
                <w:rFonts w:ascii="Arial" w:eastAsia="Times New Roman" w:hAnsi="Arial" w:cs="Arial"/>
                <w:b/>
                <w:bCs/>
                <w:color w:val="000000"/>
                <w:kern w:val="0"/>
                <w:sz w:val="16"/>
                <w:szCs w:val="16"/>
                <w:lang w:eastAsia="pt-BR"/>
                <w14:ligatures w14:val="none"/>
              </w:rPr>
              <w:t>70.084</w:t>
            </w:r>
          </w:p>
        </w:tc>
        <w:tc>
          <w:tcPr>
            <w:tcW w:w="486" w:type="pct"/>
            <w:tcBorders>
              <w:top w:val="nil"/>
              <w:left w:val="nil"/>
              <w:bottom w:val="single" w:sz="8" w:space="0" w:color="auto"/>
              <w:right w:val="single" w:sz="8" w:space="0" w:color="auto"/>
            </w:tcBorders>
            <w:shd w:val="clear" w:color="auto" w:fill="auto"/>
            <w:noWrap/>
            <w:vAlign w:val="center"/>
            <w:hideMark/>
          </w:tcPr>
          <w:p w14:paraId="7C5123FD" w14:textId="77777777" w:rsidR="00411455" w:rsidRPr="00411455" w:rsidRDefault="00411455" w:rsidP="00411455">
            <w:pPr>
              <w:spacing w:after="0" w:line="240" w:lineRule="auto"/>
              <w:jc w:val="right"/>
              <w:rPr>
                <w:rFonts w:ascii="Arial" w:eastAsia="Times New Roman" w:hAnsi="Arial" w:cs="Arial"/>
                <w:b/>
                <w:bCs/>
                <w:color w:val="000000"/>
                <w:kern w:val="0"/>
                <w:sz w:val="16"/>
                <w:szCs w:val="16"/>
                <w:lang w:eastAsia="pt-BR"/>
                <w14:ligatures w14:val="none"/>
              </w:rPr>
            </w:pPr>
            <w:r w:rsidRPr="00411455">
              <w:rPr>
                <w:rFonts w:ascii="Arial" w:eastAsia="Times New Roman" w:hAnsi="Arial" w:cs="Arial"/>
                <w:b/>
                <w:bCs/>
                <w:color w:val="000000"/>
                <w:kern w:val="0"/>
                <w:sz w:val="16"/>
                <w:szCs w:val="16"/>
                <w:lang w:eastAsia="pt-BR"/>
                <w14:ligatures w14:val="none"/>
              </w:rPr>
              <w:t>75.195</w:t>
            </w:r>
          </w:p>
        </w:tc>
      </w:tr>
    </w:tbl>
    <w:p w14:paraId="7E5F3D83" w14:textId="3D588753" w:rsidR="00411455" w:rsidRDefault="00411455" w:rsidP="00411455">
      <w:pPr>
        <w:autoSpaceDE w:val="0"/>
        <w:autoSpaceDN w:val="0"/>
        <w:adjustRightInd w:val="0"/>
        <w:spacing w:after="0" w:line="276"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13.3. </w:t>
      </w:r>
      <w:r w:rsidRPr="00411455">
        <w:rPr>
          <w:rFonts w:ascii="Calibri" w:eastAsia="Times New Roman" w:hAnsi="Calibri" w:cs="Calibri"/>
          <w:b/>
          <w:bCs/>
          <w:iCs/>
          <w:color w:val="002060"/>
          <w:kern w:val="0"/>
          <w14:ligatures w14:val="none"/>
        </w:rPr>
        <w:t>Informações econômicas e financeiras resumidas</w:t>
      </w:r>
    </w:p>
    <w:tbl>
      <w:tblPr>
        <w:tblW w:w="5000" w:type="pct"/>
        <w:tblCellMar>
          <w:left w:w="70" w:type="dxa"/>
          <w:right w:w="70" w:type="dxa"/>
        </w:tblCellMar>
        <w:tblLook w:val="04A0" w:firstRow="1" w:lastRow="0" w:firstColumn="1" w:lastColumn="0" w:noHBand="0" w:noVBand="1"/>
      </w:tblPr>
      <w:tblGrid>
        <w:gridCol w:w="3867"/>
        <w:gridCol w:w="1045"/>
        <w:gridCol w:w="954"/>
        <w:gridCol w:w="782"/>
        <w:gridCol w:w="1079"/>
        <w:gridCol w:w="985"/>
        <w:gridCol w:w="1059"/>
      </w:tblGrid>
      <w:tr w:rsidR="00411455" w:rsidRPr="00411455" w14:paraId="602C44A9" w14:textId="77777777" w:rsidTr="00446A14">
        <w:trPr>
          <w:trHeight w:val="255"/>
        </w:trPr>
        <w:tc>
          <w:tcPr>
            <w:tcW w:w="197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451395E" w14:textId="77777777" w:rsidR="00411455" w:rsidRPr="00411455" w:rsidRDefault="00411455" w:rsidP="00411455">
            <w:pPr>
              <w:spacing w:after="0" w:line="240" w:lineRule="auto"/>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Investida:</w:t>
            </w:r>
          </w:p>
        </w:tc>
        <w:tc>
          <w:tcPr>
            <w:tcW w:w="1423" w:type="pct"/>
            <w:gridSpan w:val="3"/>
            <w:tcBorders>
              <w:top w:val="single" w:sz="4" w:space="0" w:color="auto"/>
              <w:left w:val="nil"/>
              <w:bottom w:val="single" w:sz="4" w:space="0" w:color="auto"/>
              <w:right w:val="single" w:sz="4" w:space="0" w:color="auto"/>
            </w:tcBorders>
            <w:shd w:val="clear" w:color="auto" w:fill="auto"/>
            <w:noWrap/>
            <w:vAlign w:val="center"/>
            <w:hideMark/>
          </w:tcPr>
          <w:p w14:paraId="3B128EF6" w14:textId="77777777" w:rsidR="00411455" w:rsidRPr="00411455" w:rsidRDefault="00411455" w:rsidP="00411455">
            <w:pPr>
              <w:spacing w:after="0" w:line="240" w:lineRule="auto"/>
              <w:jc w:val="center"/>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31/12/2023</w:t>
            </w:r>
          </w:p>
        </w:tc>
        <w:tc>
          <w:tcPr>
            <w:tcW w:w="1598" w:type="pct"/>
            <w:gridSpan w:val="3"/>
            <w:tcBorders>
              <w:top w:val="single" w:sz="4" w:space="0" w:color="auto"/>
              <w:left w:val="nil"/>
              <w:bottom w:val="single" w:sz="4" w:space="0" w:color="auto"/>
              <w:right w:val="single" w:sz="4" w:space="0" w:color="auto"/>
            </w:tcBorders>
            <w:shd w:val="clear" w:color="auto" w:fill="auto"/>
            <w:noWrap/>
            <w:vAlign w:val="center"/>
            <w:hideMark/>
          </w:tcPr>
          <w:p w14:paraId="5203359A" w14:textId="77777777" w:rsidR="00411455" w:rsidRPr="00411455" w:rsidRDefault="00411455" w:rsidP="00411455">
            <w:pPr>
              <w:spacing w:after="0" w:line="240" w:lineRule="auto"/>
              <w:jc w:val="center"/>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31/12/2022</w:t>
            </w:r>
          </w:p>
        </w:tc>
      </w:tr>
      <w:tr w:rsidR="00411455" w:rsidRPr="00411455" w14:paraId="19713602" w14:textId="77777777" w:rsidTr="00411455">
        <w:trPr>
          <w:trHeight w:val="480"/>
        </w:trPr>
        <w:tc>
          <w:tcPr>
            <w:tcW w:w="1979" w:type="pct"/>
            <w:vMerge/>
            <w:tcBorders>
              <w:top w:val="single" w:sz="4" w:space="0" w:color="auto"/>
              <w:left w:val="single" w:sz="4" w:space="0" w:color="auto"/>
              <w:bottom w:val="single" w:sz="4" w:space="0" w:color="auto"/>
              <w:right w:val="single" w:sz="4" w:space="0" w:color="auto"/>
            </w:tcBorders>
            <w:vAlign w:val="center"/>
            <w:hideMark/>
          </w:tcPr>
          <w:p w14:paraId="1D5300EE" w14:textId="77777777" w:rsidR="00411455" w:rsidRPr="00411455" w:rsidRDefault="00411455" w:rsidP="00411455">
            <w:pPr>
              <w:spacing w:after="0" w:line="240" w:lineRule="auto"/>
              <w:rPr>
                <w:rFonts w:ascii="Arial" w:eastAsia="Times New Roman" w:hAnsi="Arial" w:cs="Arial"/>
                <w:b/>
                <w:bCs/>
                <w:color w:val="000000"/>
                <w:kern w:val="0"/>
                <w:sz w:val="18"/>
                <w:szCs w:val="18"/>
                <w:lang w:eastAsia="pt-BR"/>
                <w14:ligatures w14:val="none"/>
              </w:rPr>
            </w:pPr>
          </w:p>
        </w:tc>
        <w:tc>
          <w:tcPr>
            <w:tcW w:w="535" w:type="pct"/>
            <w:tcBorders>
              <w:top w:val="nil"/>
              <w:left w:val="nil"/>
              <w:bottom w:val="single" w:sz="4" w:space="0" w:color="auto"/>
              <w:right w:val="single" w:sz="4" w:space="0" w:color="auto"/>
            </w:tcBorders>
            <w:shd w:val="clear" w:color="auto" w:fill="auto"/>
            <w:vAlign w:val="center"/>
            <w:hideMark/>
          </w:tcPr>
          <w:p w14:paraId="145775C4" w14:textId="77777777" w:rsidR="00411455" w:rsidRPr="00411455" w:rsidRDefault="00411455" w:rsidP="00411455">
            <w:pPr>
              <w:spacing w:after="0" w:line="240" w:lineRule="auto"/>
              <w:jc w:val="center"/>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Ativo</w:t>
            </w:r>
          </w:p>
        </w:tc>
        <w:tc>
          <w:tcPr>
            <w:tcW w:w="488" w:type="pct"/>
            <w:tcBorders>
              <w:top w:val="nil"/>
              <w:left w:val="nil"/>
              <w:bottom w:val="single" w:sz="4" w:space="0" w:color="auto"/>
              <w:right w:val="single" w:sz="4" w:space="0" w:color="auto"/>
            </w:tcBorders>
            <w:shd w:val="clear" w:color="auto" w:fill="auto"/>
            <w:vAlign w:val="center"/>
            <w:hideMark/>
          </w:tcPr>
          <w:p w14:paraId="7A4DA8BB" w14:textId="77777777" w:rsidR="00411455" w:rsidRPr="00411455" w:rsidRDefault="00411455" w:rsidP="00411455">
            <w:pPr>
              <w:spacing w:after="0" w:line="240" w:lineRule="auto"/>
              <w:jc w:val="center"/>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Passivo Exigível</w:t>
            </w:r>
          </w:p>
        </w:tc>
        <w:tc>
          <w:tcPr>
            <w:tcW w:w="400" w:type="pct"/>
            <w:tcBorders>
              <w:top w:val="nil"/>
              <w:left w:val="nil"/>
              <w:bottom w:val="single" w:sz="4" w:space="0" w:color="auto"/>
              <w:right w:val="single" w:sz="4" w:space="0" w:color="auto"/>
            </w:tcBorders>
            <w:shd w:val="clear" w:color="auto" w:fill="auto"/>
            <w:vAlign w:val="center"/>
            <w:hideMark/>
          </w:tcPr>
          <w:p w14:paraId="104F078C" w14:textId="77777777" w:rsidR="00411455" w:rsidRPr="00411455" w:rsidRDefault="00411455" w:rsidP="00411455">
            <w:pPr>
              <w:spacing w:after="0" w:line="240" w:lineRule="auto"/>
              <w:jc w:val="center"/>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Receita Líquida</w:t>
            </w:r>
          </w:p>
        </w:tc>
        <w:tc>
          <w:tcPr>
            <w:tcW w:w="552" w:type="pct"/>
            <w:tcBorders>
              <w:top w:val="nil"/>
              <w:left w:val="nil"/>
              <w:bottom w:val="single" w:sz="4" w:space="0" w:color="auto"/>
              <w:right w:val="single" w:sz="4" w:space="0" w:color="auto"/>
            </w:tcBorders>
            <w:shd w:val="clear" w:color="auto" w:fill="auto"/>
            <w:vAlign w:val="center"/>
            <w:hideMark/>
          </w:tcPr>
          <w:p w14:paraId="42E131D8" w14:textId="77777777" w:rsidR="00411455" w:rsidRPr="00411455" w:rsidRDefault="00411455" w:rsidP="00411455">
            <w:pPr>
              <w:spacing w:after="0" w:line="240" w:lineRule="auto"/>
              <w:jc w:val="center"/>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Ativo</w:t>
            </w:r>
          </w:p>
        </w:tc>
        <w:tc>
          <w:tcPr>
            <w:tcW w:w="504" w:type="pct"/>
            <w:tcBorders>
              <w:top w:val="nil"/>
              <w:left w:val="nil"/>
              <w:bottom w:val="single" w:sz="4" w:space="0" w:color="auto"/>
              <w:right w:val="single" w:sz="4" w:space="0" w:color="auto"/>
            </w:tcBorders>
            <w:shd w:val="clear" w:color="auto" w:fill="auto"/>
            <w:vAlign w:val="center"/>
            <w:hideMark/>
          </w:tcPr>
          <w:p w14:paraId="5441F6D8" w14:textId="77777777" w:rsidR="00411455" w:rsidRPr="00411455" w:rsidRDefault="00411455" w:rsidP="00411455">
            <w:pPr>
              <w:spacing w:after="0" w:line="240" w:lineRule="auto"/>
              <w:jc w:val="center"/>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Passivo Exigível</w:t>
            </w:r>
          </w:p>
        </w:tc>
        <w:tc>
          <w:tcPr>
            <w:tcW w:w="542" w:type="pct"/>
            <w:tcBorders>
              <w:top w:val="nil"/>
              <w:left w:val="nil"/>
              <w:bottom w:val="single" w:sz="4" w:space="0" w:color="auto"/>
              <w:right w:val="single" w:sz="4" w:space="0" w:color="auto"/>
            </w:tcBorders>
            <w:shd w:val="clear" w:color="auto" w:fill="auto"/>
            <w:vAlign w:val="center"/>
            <w:hideMark/>
          </w:tcPr>
          <w:p w14:paraId="01A7B256" w14:textId="77777777" w:rsidR="00411455" w:rsidRPr="00411455" w:rsidRDefault="00411455" w:rsidP="00411455">
            <w:pPr>
              <w:spacing w:after="0" w:line="240" w:lineRule="auto"/>
              <w:jc w:val="center"/>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Receita Líquida</w:t>
            </w:r>
          </w:p>
        </w:tc>
      </w:tr>
      <w:tr w:rsidR="00411455" w:rsidRPr="00411455" w14:paraId="378ABADD" w14:textId="77777777" w:rsidTr="00411455">
        <w:trPr>
          <w:trHeight w:val="255"/>
        </w:trPr>
        <w:tc>
          <w:tcPr>
            <w:tcW w:w="1979" w:type="pct"/>
            <w:tcBorders>
              <w:top w:val="nil"/>
              <w:left w:val="single" w:sz="4" w:space="0" w:color="auto"/>
              <w:bottom w:val="single" w:sz="4" w:space="0" w:color="auto"/>
              <w:right w:val="single" w:sz="4" w:space="0" w:color="auto"/>
            </w:tcBorders>
            <w:shd w:val="clear" w:color="auto" w:fill="auto"/>
            <w:noWrap/>
            <w:vAlign w:val="center"/>
            <w:hideMark/>
          </w:tcPr>
          <w:p w14:paraId="27319703" w14:textId="77777777" w:rsidR="00411455" w:rsidRPr="00411455" w:rsidRDefault="00411455" w:rsidP="00411455">
            <w:pPr>
              <w:spacing w:after="0" w:line="240" w:lineRule="auto"/>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xml:space="preserve">Visiona Tecnologia Espacial </w:t>
            </w:r>
            <w:proofErr w:type="gramStart"/>
            <w:r w:rsidRPr="00411455">
              <w:rPr>
                <w:rFonts w:ascii="Arial" w:eastAsia="Times New Roman" w:hAnsi="Arial" w:cs="Arial"/>
                <w:color w:val="000000"/>
                <w:kern w:val="0"/>
                <w:sz w:val="18"/>
                <w:szCs w:val="18"/>
                <w:lang w:eastAsia="pt-BR"/>
                <w14:ligatures w14:val="none"/>
              </w:rPr>
              <w:t>S.A</w:t>
            </w:r>
            <w:proofErr w:type="gramEnd"/>
          </w:p>
        </w:tc>
        <w:tc>
          <w:tcPr>
            <w:tcW w:w="535" w:type="pct"/>
            <w:tcBorders>
              <w:top w:val="nil"/>
              <w:left w:val="nil"/>
              <w:bottom w:val="single" w:sz="4" w:space="0" w:color="auto"/>
              <w:right w:val="single" w:sz="4" w:space="0" w:color="auto"/>
            </w:tcBorders>
            <w:shd w:val="clear" w:color="auto" w:fill="auto"/>
            <w:noWrap/>
            <w:vAlign w:val="center"/>
            <w:hideMark/>
          </w:tcPr>
          <w:p w14:paraId="347B1A7B"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226.023</w:t>
            </w:r>
          </w:p>
        </w:tc>
        <w:tc>
          <w:tcPr>
            <w:tcW w:w="488" w:type="pct"/>
            <w:tcBorders>
              <w:top w:val="nil"/>
              <w:left w:val="nil"/>
              <w:bottom w:val="single" w:sz="4" w:space="0" w:color="auto"/>
              <w:right w:val="single" w:sz="4" w:space="0" w:color="auto"/>
            </w:tcBorders>
            <w:shd w:val="clear" w:color="auto" w:fill="auto"/>
            <w:noWrap/>
            <w:vAlign w:val="center"/>
            <w:hideMark/>
          </w:tcPr>
          <w:p w14:paraId="71B3AE58"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82.994</w:t>
            </w:r>
          </w:p>
        </w:tc>
        <w:tc>
          <w:tcPr>
            <w:tcW w:w="400" w:type="pct"/>
            <w:tcBorders>
              <w:top w:val="nil"/>
              <w:left w:val="nil"/>
              <w:bottom w:val="single" w:sz="4" w:space="0" w:color="auto"/>
              <w:right w:val="single" w:sz="4" w:space="0" w:color="auto"/>
            </w:tcBorders>
            <w:shd w:val="clear" w:color="auto" w:fill="auto"/>
            <w:noWrap/>
            <w:vAlign w:val="center"/>
            <w:hideMark/>
          </w:tcPr>
          <w:p w14:paraId="15345D5F"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10.224</w:t>
            </w:r>
          </w:p>
        </w:tc>
        <w:tc>
          <w:tcPr>
            <w:tcW w:w="552" w:type="pct"/>
            <w:tcBorders>
              <w:top w:val="nil"/>
              <w:left w:val="nil"/>
              <w:bottom w:val="single" w:sz="4" w:space="0" w:color="auto"/>
              <w:right w:val="single" w:sz="4" w:space="0" w:color="auto"/>
            </w:tcBorders>
            <w:shd w:val="clear" w:color="auto" w:fill="auto"/>
            <w:noWrap/>
            <w:vAlign w:val="center"/>
            <w:hideMark/>
          </w:tcPr>
          <w:p w14:paraId="14EEB6E4"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172.463</w:t>
            </w:r>
          </w:p>
        </w:tc>
        <w:tc>
          <w:tcPr>
            <w:tcW w:w="504" w:type="pct"/>
            <w:tcBorders>
              <w:top w:val="nil"/>
              <w:left w:val="nil"/>
              <w:bottom w:val="single" w:sz="4" w:space="0" w:color="auto"/>
              <w:right w:val="single" w:sz="4" w:space="0" w:color="auto"/>
            </w:tcBorders>
            <w:shd w:val="clear" w:color="auto" w:fill="auto"/>
            <w:noWrap/>
            <w:vAlign w:val="center"/>
            <w:hideMark/>
          </w:tcPr>
          <w:p w14:paraId="24EB1735"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19.004</w:t>
            </w:r>
          </w:p>
        </w:tc>
        <w:tc>
          <w:tcPr>
            <w:tcW w:w="542" w:type="pct"/>
            <w:tcBorders>
              <w:top w:val="nil"/>
              <w:left w:val="nil"/>
              <w:bottom w:val="single" w:sz="4" w:space="0" w:color="auto"/>
              <w:right w:val="single" w:sz="4" w:space="0" w:color="auto"/>
            </w:tcBorders>
            <w:shd w:val="clear" w:color="auto" w:fill="auto"/>
            <w:noWrap/>
            <w:vAlign w:val="center"/>
            <w:hideMark/>
          </w:tcPr>
          <w:p w14:paraId="69E5FF94"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11.476</w:t>
            </w:r>
          </w:p>
        </w:tc>
      </w:tr>
    </w:tbl>
    <w:p w14:paraId="104E713A" w14:textId="3DCE48ED" w:rsidR="00411455" w:rsidRPr="00411455" w:rsidRDefault="00411455" w:rsidP="00411455">
      <w:pPr>
        <w:autoSpaceDE w:val="0"/>
        <w:autoSpaceDN w:val="0"/>
        <w:adjustRightInd w:val="0"/>
        <w:spacing w:after="0" w:line="276"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13.4. </w:t>
      </w:r>
      <w:r w:rsidRPr="00411455">
        <w:rPr>
          <w:rFonts w:ascii="Calibri" w:eastAsia="Times New Roman" w:hAnsi="Calibri" w:cs="Calibri"/>
          <w:b/>
          <w:bCs/>
          <w:iCs/>
          <w:color w:val="002060"/>
          <w:kern w:val="0"/>
          <w14:ligatures w14:val="none"/>
        </w:rPr>
        <w:t>Informações econômicas e financeiras resumidas</w:t>
      </w:r>
    </w:p>
    <w:tbl>
      <w:tblPr>
        <w:tblW w:w="5000" w:type="pct"/>
        <w:tblCellMar>
          <w:left w:w="70" w:type="dxa"/>
          <w:right w:w="70" w:type="dxa"/>
        </w:tblCellMar>
        <w:tblLook w:val="04A0" w:firstRow="1" w:lastRow="0" w:firstColumn="1" w:lastColumn="0" w:noHBand="0" w:noVBand="1"/>
      </w:tblPr>
      <w:tblGrid>
        <w:gridCol w:w="2732"/>
        <w:gridCol w:w="1653"/>
        <w:gridCol w:w="1850"/>
        <w:gridCol w:w="1552"/>
        <w:gridCol w:w="1974"/>
      </w:tblGrid>
      <w:tr w:rsidR="00411455" w:rsidRPr="00411455" w14:paraId="22959F9F" w14:textId="77777777" w:rsidTr="00446A14">
        <w:trPr>
          <w:trHeight w:val="238"/>
        </w:trPr>
        <w:tc>
          <w:tcPr>
            <w:tcW w:w="1399"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765533F" w14:textId="77777777" w:rsidR="00411455" w:rsidRPr="00411455" w:rsidRDefault="00411455" w:rsidP="00411455">
            <w:pPr>
              <w:spacing w:after="0" w:line="240" w:lineRule="auto"/>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Investida:</w:t>
            </w:r>
          </w:p>
        </w:tc>
        <w:tc>
          <w:tcPr>
            <w:tcW w:w="1794"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5373B1A" w14:textId="77777777" w:rsidR="00411455" w:rsidRPr="00411455" w:rsidRDefault="00411455" w:rsidP="00411455">
            <w:pPr>
              <w:spacing w:after="0" w:line="240" w:lineRule="auto"/>
              <w:jc w:val="center"/>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31/12/2023</w:t>
            </w:r>
          </w:p>
        </w:tc>
        <w:tc>
          <w:tcPr>
            <w:tcW w:w="1806"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2E33C85" w14:textId="77777777" w:rsidR="00411455" w:rsidRPr="00411455" w:rsidRDefault="00411455" w:rsidP="00411455">
            <w:pPr>
              <w:spacing w:after="0" w:line="240" w:lineRule="auto"/>
              <w:jc w:val="center"/>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31/12/2022</w:t>
            </w:r>
          </w:p>
        </w:tc>
      </w:tr>
      <w:tr w:rsidR="00411455" w:rsidRPr="00411455" w14:paraId="7CFDD7C8" w14:textId="77777777" w:rsidTr="00446A14">
        <w:trPr>
          <w:trHeight w:val="238"/>
        </w:trPr>
        <w:tc>
          <w:tcPr>
            <w:tcW w:w="1399" w:type="pct"/>
            <w:vMerge/>
            <w:tcBorders>
              <w:top w:val="single" w:sz="8" w:space="0" w:color="auto"/>
              <w:left w:val="single" w:sz="8" w:space="0" w:color="auto"/>
              <w:bottom w:val="single" w:sz="8" w:space="0" w:color="000000"/>
              <w:right w:val="single" w:sz="8" w:space="0" w:color="auto"/>
            </w:tcBorders>
            <w:vAlign w:val="center"/>
            <w:hideMark/>
          </w:tcPr>
          <w:p w14:paraId="6119606A" w14:textId="77777777" w:rsidR="00411455" w:rsidRPr="00411455" w:rsidRDefault="00411455" w:rsidP="00411455">
            <w:pPr>
              <w:spacing w:after="0" w:line="240" w:lineRule="auto"/>
              <w:rPr>
                <w:rFonts w:ascii="Arial" w:eastAsia="Times New Roman" w:hAnsi="Arial" w:cs="Arial"/>
                <w:b/>
                <w:bCs/>
                <w:color w:val="000000"/>
                <w:kern w:val="0"/>
                <w:sz w:val="18"/>
                <w:szCs w:val="18"/>
                <w:lang w:eastAsia="pt-BR"/>
                <w14:ligatures w14:val="none"/>
              </w:rPr>
            </w:pPr>
          </w:p>
        </w:tc>
        <w:tc>
          <w:tcPr>
            <w:tcW w:w="847" w:type="pct"/>
            <w:tcBorders>
              <w:top w:val="nil"/>
              <w:left w:val="nil"/>
              <w:bottom w:val="single" w:sz="8" w:space="0" w:color="auto"/>
              <w:right w:val="single" w:sz="8" w:space="0" w:color="auto"/>
            </w:tcBorders>
            <w:shd w:val="clear" w:color="auto" w:fill="auto"/>
            <w:vAlign w:val="center"/>
            <w:hideMark/>
          </w:tcPr>
          <w:p w14:paraId="2594B18E" w14:textId="77777777" w:rsidR="00411455" w:rsidRPr="00411455" w:rsidRDefault="00411455" w:rsidP="00411455">
            <w:pPr>
              <w:spacing w:after="0" w:line="240" w:lineRule="auto"/>
              <w:jc w:val="center"/>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 xml:space="preserve"> Prejuízo Líquido do Exercício</w:t>
            </w:r>
          </w:p>
        </w:tc>
        <w:tc>
          <w:tcPr>
            <w:tcW w:w="948" w:type="pct"/>
            <w:tcBorders>
              <w:top w:val="nil"/>
              <w:left w:val="nil"/>
              <w:bottom w:val="single" w:sz="8" w:space="0" w:color="auto"/>
              <w:right w:val="single" w:sz="8" w:space="0" w:color="auto"/>
            </w:tcBorders>
            <w:shd w:val="clear" w:color="auto" w:fill="auto"/>
            <w:vAlign w:val="center"/>
            <w:hideMark/>
          </w:tcPr>
          <w:p w14:paraId="546C4F67" w14:textId="77777777" w:rsidR="00411455" w:rsidRPr="00411455" w:rsidRDefault="00411455" w:rsidP="00411455">
            <w:pPr>
              <w:spacing w:after="0" w:line="240" w:lineRule="auto"/>
              <w:jc w:val="center"/>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 xml:space="preserve"> Resultado de Equivalência Patrimonial </w:t>
            </w:r>
          </w:p>
        </w:tc>
        <w:tc>
          <w:tcPr>
            <w:tcW w:w="795" w:type="pct"/>
            <w:tcBorders>
              <w:top w:val="nil"/>
              <w:left w:val="nil"/>
              <w:bottom w:val="single" w:sz="8" w:space="0" w:color="auto"/>
              <w:right w:val="single" w:sz="8" w:space="0" w:color="auto"/>
            </w:tcBorders>
            <w:shd w:val="clear" w:color="auto" w:fill="auto"/>
            <w:vAlign w:val="center"/>
            <w:hideMark/>
          </w:tcPr>
          <w:p w14:paraId="5A2F12CF" w14:textId="77777777" w:rsidR="00411455" w:rsidRPr="00411455" w:rsidRDefault="00411455" w:rsidP="00411455">
            <w:pPr>
              <w:spacing w:after="0" w:line="240" w:lineRule="auto"/>
              <w:jc w:val="center"/>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Prejuízo Líquido do Exercício</w:t>
            </w:r>
          </w:p>
        </w:tc>
        <w:tc>
          <w:tcPr>
            <w:tcW w:w="1011" w:type="pct"/>
            <w:tcBorders>
              <w:top w:val="nil"/>
              <w:left w:val="nil"/>
              <w:bottom w:val="single" w:sz="8" w:space="0" w:color="auto"/>
              <w:right w:val="single" w:sz="8" w:space="0" w:color="auto"/>
            </w:tcBorders>
            <w:shd w:val="clear" w:color="auto" w:fill="auto"/>
            <w:vAlign w:val="center"/>
            <w:hideMark/>
          </w:tcPr>
          <w:p w14:paraId="5AF17AB8" w14:textId="77777777" w:rsidR="00411455" w:rsidRPr="00411455" w:rsidRDefault="00411455" w:rsidP="00411455">
            <w:pPr>
              <w:spacing w:after="0" w:line="240" w:lineRule="auto"/>
              <w:jc w:val="center"/>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 xml:space="preserve"> Resultado de Equivalência Patrimonial </w:t>
            </w:r>
          </w:p>
        </w:tc>
      </w:tr>
      <w:tr w:rsidR="00411455" w:rsidRPr="00411455" w14:paraId="273C2299" w14:textId="77777777" w:rsidTr="00446A14">
        <w:trPr>
          <w:trHeight w:val="238"/>
        </w:trPr>
        <w:tc>
          <w:tcPr>
            <w:tcW w:w="1399" w:type="pct"/>
            <w:tcBorders>
              <w:top w:val="nil"/>
              <w:left w:val="single" w:sz="8" w:space="0" w:color="auto"/>
              <w:bottom w:val="single" w:sz="8" w:space="0" w:color="auto"/>
              <w:right w:val="single" w:sz="8" w:space="0" w:color="auto"/>
            </w:tcBorders>
            <w:shd w:val="clear" w:color="auto" w:fill="auto"/>
            <w:noWrap/>
            <w:vAlign w:val="center"/>
            <w:hideMark/>
          </w:tcPr>
          <w:p w14:paraId="314C05EC" w14:textId="77777777" w:rsidR="00411455" w:rsidRPr="00411455" w:rsidRDefault="00411455" w:rsidP="00411455">
            <w:pPr>
              <w:spacing w:after="0" w:line="240" w:lineRule="auto"/>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xml:space="preserve">Visiona Tecnologia Espacial </w:t>
            </w:r>
            <w:proofErr w:type="gramStart"/>
            <w:r w:rsidRPr="00411455">
              <w:rPr>
                <w:rFonts w:ascii="Arial" w:eastAsia="Times New Roman" w:hAnsi="Arial" w:cs="Arial"/>
                <w:color w:val="000000"/>
                <w:kern w:val="0"/>
                <w:sz w:val="18"/>
                <w:szCs w:val="18"/>
                <w:lang w:eastAsia="pt-BR"/>
                <w14:ligatures w14:val="none"/>
              </w:rPr>
              <w:t>S.A</w:t>
            </w:r>
            <w:proofErr w:type="gramEnd"/>
          </w:p>
        </w:tc>
        <w:tc>
          <w:tcPr>
            <w:tcW w:w="847" w:type="pct"/>
            <w:tcBorders>
              <w:top w:val="nil"/>
              <w:left w:val="nil"/>
              <w:bottom w:val="single" w:sz="8" w:space="0" w:color="auto"/>
              <w:right w:val="single" w:sz="8" w:space="0" w:color="auto"/>
            </w:tcBorders>
            <w:shd w:val="clear" w:color="auto" w:fill="auto"/>
            <w:noWrap/>
            <w:vAlign w:val="center"/>
            <w:hideMark/>
          </w:tcPr>
          <w:p w14:paraId="4C8C08B9"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xml:space="preserve">               (4.600)</w:t>
            </w:r>
          </w:p>
        </w:tc>
        <w:tc>
          <w:tcPr>
            <w:tcW w:w="948" w:type="pct"/>
            <w:tcBorders>
              <w:top w:val="nil"/>
              <w:left w:val="nil"/>
              <w:bottom w:val="single" w:sz="8" w:space="0" w:color="auto"/>
              <w:right w:val="single" w:sz="8" w:space="0" w:color="auto"/>
            </w:tcBorders>
            <w:shd w:val="clear" w:color="auto" w:fill="auto"/>
            <w:noWrap/>
            <w:vAlign w:val="center"/>
            <w:hideMark/>
          </w:tcPr>
          <w:p w14:paraId="333780D1"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xml:space="preserve">            (2.254)</w:t>
            </w:r>
          </w:p>
        </w:tc>
        <w:tc>
          <w:tcPr>
            <w:tcW w:w="795" w:type="pct"/>
            <w:tcBorders>
              <w:top w:val="nil"/>
              <w:left w:val="nil"/>
              <w:bottom w:val="single" w:sz="8" w:space="0" w:color="auto"/>
              <w:right w:val="single" w:sz="8" w:space="0" w:color="auto"/>
            </w:tcBorders>
            <w:shd w:val="clear" w:color="auto" w:fill="auto"/>
            <w:noWrap/>
            <w:vAlign w:val="center"/>
            <w:hideMark/>
          </w:tcPr>
          <w:p w14:paraId="7355A312"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xml:space="preserve">          (13.140)</w:t>
            </w:r>
          </w:p>
        </w:tc>
        <w:tc>
          <w:tcPr>
            <w:tcW w:w="1011" w:type="pct"/>
            <w:tcBorders>
              <w:top w:val="nil"/>
              <w:left w:val="nil"/>
              <w:bottom w:val="single" w:sz="8" w:space="0" w:color="auto"/>
              <w:right w:val="single" w:sz="8" w:space="0" w:color="auto"/>
            </w:tcBorders>
            <w:shd w:val="clear" w:color="auto" w:fill="auto"/>
            <w:noWrap/>
            <w:vAlign w:val="center"/>
            <w:hideMark/>
          </w:tcPr>
          <w:p w14:paraId="375DDEE1"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xml:space="preserve">         (6.500)</w:t>
            </w:r>
          </w:p>
        </w:tc>
      </w:tr>
    </w:tbl>
    <w:p w14:paraId="7314E990" w14:textId="273F1192" w:rsidR="00411455" w:rsidRDefault="00411455" w:rsidP="00411455">
      <w:pPr>
        <w:autoSpaceDE w:val="0"/>
        <w:autoSpaceDN w:val="0"/>
        <w:adjustRightInd w:val="0"/>
        <w:spacing w:after="0" w:line="276" w:lineRule="auto"/>
        <w:jc w:val="both"/>
        <w:rPr>
          <w:rFonts w:ascii="Calibri" w:eastAsia="Times New Roman" w:hAnsi="Calibri" w:cs="Calibri"/>
          <w:b/>
          <w:bCs/>
          <w:iCs/>
          <w:color w:val="002060"/>
          <w:kern w:val="0"/>
          <w14:ligatures w14:val="none"/>
        </w:rPr>
      </w:pPr>
      <w:bookmarkStart w:id="399" w:name="_Toc491337729"/>
      <w:r>
        <w:rPr>
          <w:rFonts w:ascii="Calibri" w:eastAsia="Times New Roman" w:hAnsi="Calibri" w:cs="Calibri"/>
          <w:b/>
          <w:bCs/>
          <w:iCs/>
          <w:color w:val="002060"/>
          <w:kern w:val="0"/>
          <w14:ligatures w14:val="none"/>
        </w:rPr>
        <w:t xml:space="preserve">13.5. </w:t>
      </w:r>
      <w:r w:rsidRPr="00411455">
        <w:rPr>
          <w:rFonts w:ascii="Calibri" w:eastAsia="Times New Roman" w:hAnsi="Calibri" w:cs="Calibri"/>
          <w:b/>
          <w:bCs/>
          <w:iCs/>
          <w:color w:val="002060"/>
          <w:kern w:val="0"/>
          <w14:ligatures w14:val="none"/>
        </w:rPr>
        <w:t>Movimentação dos investimentos avaliados pelo método de equivalência patrimonial</w:t>
      </w:r>
      <w:bookmarkEnd w:id="399"/>
    </w:p>
    <w:tbl>
      <w:tblPr>
        <w:tblW w:w="5000" w:type="pct"/>
        <w:tblCellMar>
          <w:left w:w="70" w:type="dxa"/>
          <w:right w:w="70" w:type="dxa"/>
        </w:tblCellMar>
        <w:tblLook w:val="04A0" w:firstRow="1" w:lastRow="0" w:firstColumn="1" w:lastColumn="0" w:noHBand="0" w:noVBand="1"/>
      </w:tblPr>
      <w:tblGrid>
        <w:gridCol w:w="7912"/>
        <w:gridCol w:w="1849"/>
      </w:tblGrid>
      <w:tr w:rsidR="00411455" w:rsidRPr="00411455" w14:paraId="4276D328" w14:textId="77777777" w:rsidTr="00446A14">
        <w:trPr>
          <w:trHeight w:val="238"/>
          <w:tblHeader/>
        </w:trPr>
        <w:tc>
          <w:tcPr>
            <w:tcW w:w="4053"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51143E9E" w14:textId="77777777" w:rsidR="00411455" w:rsidRPr="00411455" w:rsidRDefault="00411455" w:rsidP="00411455">
            <w:pPr>
              <w:spacing w:after="0" w:line="240" w:lineRule="auto"/>
              <w:rPr>
                <w:rFonts w:ascii="Calibri" w:eastAsia="Times New Roman" w:hAnsi="Calibri" w:cs="Calibri"/>
                <w:color w:val="000000"/>
                <w:kern w:val="0"/>
                <w:sz w:val="18"/>
                <w:szCs w:val="18"/>
                <w:lang w:eastAsia="pt-BR"/>
                <w14:ligatures w14:val="none"/>
              </w:rPr>
            </w:pPr>
            <w:r w:rsidRPr="00411455">
              <w:rPr>
                <w:rFonts w:ascii="Calibri" w:eastAsia="Times New Roman" w:hAnsi="Calibri" w:cs="Calibri"/>
                <w:color w:val="000000"/>
                <w:kern w:val="0"/>
                <w:sz w:val="18"/>
                <w:szCs w:val="18"/>
                <w:lang w:eastAsia="pt-BR"/>
                <w14:ligatures w14:val="none"/>
              </w:rPr>
              <w:t> </w:t>
            </w:r>
            <w:r w:rsidRPr="00411455">
              <w:rPr>
                <w:rFonts w:ascii="Arial" w:eastAsia="Times New Roman" w:hAnsi="Arial" w:cs="Arial"/>
                <w:b/>
                <w:bCs/>
                <w:color w:val="000000"/>
                <w:kern w:val="0"/>
                <w:sz w:val="18"/>
                <w:szCs w:val="18"/>
                <w:lang w:eastAsia="pt-BR"/>
                <w14:ligatures w14:val="none"/>
              </w:rPr>
              <w:t>Composição:</w:t>
            </w:r>
          </w:p>
        </w:tc>
        <w:tc>
          <w:tcPr>
            <w:tcW w:w="947" w:type="pct"/>
            <w:tcBorders>
              <w:top w:val="single" w:sz="8" w:space="0" w:color="auto"/>
              <w:left w:val="nil"/>
              <w:bottom w:val="single" w:sz="8" w:space="0" w:color="auto"/>
              <w:right w:val="single" w:sz="8" w:space="0" w:color="auto"/>
            </w:tcBorders>
            <w:shd w:val="clear" w:color="auto" w:fill="auto"/>
            <w:vAlign w:val="center"/>
            <w:hideMark/>
          </w:tcPr>
          <w:p w14:paraId="10B31D46" w14:textId="77777777" w:rsidR="00411455" w:rsidRPr="00411455" w:rsidRDefault="00411455" w:rsidP="00411455">
            <w:pPr>
              <w:spacing w:after="0" w:line="240" w:lineRule="auto"/>
              <w:jc w:val="center"/>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Valores</w:t>
            </w:r>
          </w:p>
        </w:tc>
      </w:tr>
      <w:tr w:rsidR="00411455" w:rsidRPr="00411455" w14:paraId="5569B176" w14:textId="77777777" w:rsidTr="00446A14">
        <w:trPr>
          <w:trHeight w:val="238"/>
        </w:trPr>
        <w:tc>
          <w:tcPr>
            <w:tcW w:w="4053" w:type="pct"/>
            <w:tcBorders>
              <w:top w:val="nil"/>
              <w:left w:val="single" w:sz="8" w:space="0" w:color="auto"/>
              <w:bottom w:val="single" w:sz="8" w:space="0" w:color="auto"/>
              <w:right w:val="single" w:sz="8" w:space="0" w:color="auto"/>
            </w:tcBorders>
            <w:shd w:val="clear" w:color="auto" w:fill="auto"/>
            <w:noWrap/>
            <w:vAlign w:val="center"/>
            <w:hideMark/>
          </w:tcPr>
          <w:p w14:paraId="638F7F5E" w14:textId="77777777" w:rsidR="00411455" w:rsidRPr="00411455" w:rsidRDefault="00411455" w:rsidP="00411455">
            <w:pPr>
              <w:spacing w:after="0" w:line="240" w:lineRule="auto"/>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Saldo em 31 de dezembro de 2022</w:t>
            </w:r>
          </w:p>
        </w:tc>
        <w:tc>
          <w:tcPr>
            <w:tcW w:w="947" w:type="pct"/>
            <w:tcBorders>
              <w:top w:val="nil"/>
              <w:left w:val="nil"/>
              <w:bottom w:val="single" w:sz="8" w:space="0" w:color="auto"/>
              <w:right w:val="single" w:sz="8" w:space="0" w:color="auto"/>
            </w:tcBorders>
            <w:shd w:val="clear" w:color="auto" w:fill="auto"/>
            <w:noWrap/>
            <w:vAlign w:val="center"/>
            <w:hideMark/>
          </w:tcPr>
          <w:p w14:paraId="13163130" w14:textId="77777777" w:rsidR="00411455" w:rsidRPr="00411455" w:rsidRDefault="00411455" w:rsidP="00411455">
            <w:pPr>
              <w:spacing w:after="0" w:line="240" w:lineRule="auto"/>
              <w:jc w:val="right"/>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 xml:space="preserve">              75.195 </w:t>
            </w:r>
          </w:p>
        </w:tc>
      </w:tr>
      <w:tr w:rsidR="00411455" w:rsidRPr="00411455" w14:paraId="1C50A3F5" w14:textId="77777777" w:rsidTr="00446A14">
        <w:trPr>
          <w:trHeight w:val="238"/>
        </w:trPr>
        <w:tc>
          <w:tcPr>
            <w:tcW w:w="4053" w:type="pct"/>
            <w:tcBorders>
              <w:top w:val="nil"/>
              <w:left w:val="single" w:sz="8" w:space="0" w:color="auto"/>
              <w:bottom w:val="single" w:sz="8" w:space="0" w:color="auto"/>
              <w:right w:val="single" w:sz="8" w:space="0" w:color="auto"/>
            </w:tcBorders>
            <w:shd w:val="clear" w:color="auto" w:fill="auto"/>
            <w:vAlign w:val="center"/>
            <w:hideMark/>
          </w:tcPr>
          <w:p w14:paraId="52C9F074" w14:textId="77777777" w:rsidR="00411455" w:rsidRPr="00411455" w:rsidRDefault="00411455" w:rsidP="00411455">
            <w:pPr>
              <w:spacing w:after="0" w:line="240" w:lineRule="auto"/>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xml:space="preserve"> Resultado de Equivalência Patrimonial do Período</w:t>
            </w:r>
          </w:p>
        </w:tc>
        <w:tc>
          <w:tcPr>
            <w:tcW w:w="947" w:type="pct"/>
            <w:tcBorders>
              <w:top w:val="nil"/>
              <w:left w:val="nil"/>
              <w:bottom w:val="single" w:sz="8" w:space="0" w:color="auto"/>
              <w:right w:val="single" w:sz="8" w:space="0" w:color="auto"/>
            </w:tcBorders>
            <w:shd w:val="clear" w:color="auto" w:fill="auto"/>
            <w:noWrap/>
            <w:vAlign w:val="center"/>
            <w:hideMark/>
          </w:tcPr>
          <w:p w14:paraId="281A8442"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xml:space="preserve">               (2.254)</w:t>
            </w:r>
          </w:p>
        </w:tc>
      </w:tr>
      <w:tr w:rsidR="00411455" w:rsidRPr="00411455" w14:paraId="67C9072B" w14:textId="77777777" w:rsidTr="00446A14">
        <w:trPr>
          <w:trHeight w:val="238"/>
        </w:trPr>
        <w:tc>
          <w:tcPr>
            <w:tcW w:w="4053" w:type="pct"/>
            <w:tcBorders>
              <w:top w:val="nil"/>
              <w:left w:val="single" w:sz="8" w:space="0" w:color="auto"/>
              <w:bottom w:val="single" w:sz="8" w:space="0" w:color="auto"/>
              <w:right w:val="single" w:sz="8" w:space="0" w:color="auto"/>
            </w:tcBorders>
            <w:shd w:val="clear" w:color="auto" w:fill="auto"/>
            <w:noWrap/>
            <w:vAlign w:val="center"/>
            <w:hideMark/>
          </w:tcPr>
          <w:p w14:paraId="5CAEA885" w14:textId="77777777" w:rsidR="00411455" w:rsidRPr="00411455" w:rsidRDefault="00411455" w:rsidP="00411455">
            <w:pPr>
              <w:spacing w:after="0" w:line="240" w:lineRule="auto"/>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xml:space="preserve"> Equivalência Patrimonial Reflexa - PL de Coligadas</w:t>
            </w:r>
          </w:p>
        </w:tc>
        <w:tc>
          <w:tcPr>
            <w:tcW w:w="947" w:type="pct"/>
            <w:tcBorders>
              <w:top w:val="nil"/>
              <w:left w:val="nil"/>
              <w:bottom w:val="single" w:sz="8" w:space="0" w:color="auto"/>
              <w:right w:val="single" w:sz="8" w:space="0" w:color="auto"/>
            </w:tcBorders>
            <w:shd w:val="clear" w:color="auto" w:fill="auto"/>
            <w:noWrap/>
            <w:vAlign w:val="center"/>
            <w:hideMark/>
          </w:tcPr>
          <w:p w14:paraId="3383F133"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xml:space="preserve">               (2.857)</w:t>
            </w:r>
          </w:p>
        </w:tc>
      </w:tr>
      <w:tr w:rsidR="00411455" w:rsidRPr="00411455" w14:paraId="7BC45914" w14:textId="77777777" w:rsidTr="00446A14">
        <w:trPr>
          <w:trHeight w:val="238"/>
        </w:trPr>
        <w:tc>
          <w:tcPr>
            <w:tcW w:w="4053" w:type="pct"/>
            <w:tcBorders>
              <w:top w:val="nil"/>
              <w:left w:val="single" w:sz="8" w:space="0" w:color="auto"/>
              <w:bottom w:val="single" w:sz="8" w:space="0" w:color="auto"/>
              <w:right w:val="single" w:sz="8" w:space="0" w:color="auto"/>
            </w:tcBorders>
            <w:shd w:val="clear" w:color="auto" w:fill="auto"/>
            <w:noWrap/>
            <w:vAlign w:val="center"/>
            <w:hideMark/>
          </w:tcPr>
          <w:p w14:paraId="2624EE10" w14:textId="77777777" w:rsidR="00411455" w:rsidRPr="00411455" w:rsidRDefault="00411455" w:rsidP="00411455">
            <w:pPr>
              <w:spacing w:after="0" w:line="240" w:lineRule="auto"/>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lastRenderedPageBreak/>
              <w:t>Saldo em 31 de dezembro de 2023</w:t>
            </w:r>
          </w:p>
        </w:tc>
        <w:tc>
          <w:tcPr>
            <w:tcW w:w="947" w:type="pct"/>
            <w:tcBorders>
              <w:top w:val="nil"/>
              <w:left w:val="nil"/>
              <w:bottom w:val="single" w:sz="8" w:space="0" w:color="auto"/>
              <w:right w:val="single" w:sz="8" w:space="0" w:color="auto"/>
            </w:tcBorders>
            <w:shd w:val="clear" w:color="auto" w:fill="auto"/>
            <w:noWrap/>
            <w:vAlign w:val="center"/>
            <w:hideMark/>
          </w:tcPr>
          <w:p w14:paraId="71CDB5CC" w14:textId="77777777" w:rsidR="00411455" w:rsidRPr="00411455" w:rsidRDefault="00411455" w:rsidP="00411455">
            <w:pPr>
              <w:spacing w:after="0" w:line="240" w:lineRule="auto"/>
              <w:jc w:val="right"/>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 xml:space="preserve">              70.084 </w:t>
            </w:r>
          </w:p>
        </w:tc>
      </w:tr>
    </w:tbl>
    <w:p w14:paraId="1F74635F" w14:textId="5AC6B01D" w:rsidR="00411455" w:rsidRPr="00411455" w:rsidRDefault="00411455" w:rsidP="007A23F8">
      <w:pPr>
        <w:autoSpaceDE w:val="0"/>
        <w:autoSpaceDN w:val="0"/>
        <w:adjustRightInd w:val="0"/>
        <w:spacing w:after="0" w:line="240" w:lineRule="auto"/>
        <w:jc w:val="both"/>
        <w:rPr>
          <w:rFonts w:ascii="Calibri" w:eastAsia="Times New Roman" w:hAnsi="Calibri" w:cs="Calibri"/>
          <w:b/>
          <w:bCs/>
          <w:iCs/>
          <w:color w:val="002060"/>
          <w:kern w:val="0"/>
          <w14:ligatures w14:val="none"/>
        </w:rPr>
      </w:pPr>
      <w:bookmarkStart w:id="400" w:name="_Toc491337730"/>
      <w:r>
        <w:rPr>
          <w:rFonts w:ascii="Calibri" w:eastAsia="Times New Roman" w:hAnsi="Calibri" w:cs="Calibri"/>
          <w:b/>
          <w:bCs/>
          <w:iCs/>
          <w:color w:val="002060"/>
          <w:kern w:val="0"/>
          <w14:ligatures w14:val="none"/>
        </w:rPr>
        <w:t xml:space="preserve">13.6. </w:t>
      </w:r>
      <w:r w:rsidRPr="00411455">
        <w:rPr>
          <w:rFonts w:ascii="Calibri" w:eastAsia="Times New Roman" w:hAnsi="Calibri" w:cs="Calibri"/>
          <w:b/>
          <w:bCs/>
          <w:iCs/>
          <w:color w:val="002060"/>
          <w:kern w:val="0"/>
          <w14:ligatures w14:val="none"/>
        </w:rPr>
        <w:t>Informações contábeis das coligadas</w:t>
      </w:r>
      <w:bookmarkEnd w:id="400"/>
    </w:p>
    <w:p w14:paraId="73C27D7B" w14:textId="57B6CB8F" w:rsidR="00411455" w:rsidRDefault="00411455" w:rsidP="007A23F8">
      <w:pPr>
        <w:autoSpaceDE w:val="0"/>
        <w:autoSpaceDN w:val="0"/>
        <w:adjustRightInd w:val="0"/>
        <w:spacing w:after="0" w:line="240" w:lineRule="auto"/>
        <w:jc w:val="both"/>
        <w:rPr>
          <w:rFonts w:ascii="Calibri" w:eastAsia="Times New Roman" w:hAnsi="Calibri" w:cs="Calibri"/>
          <w:b/>
          <w:bCs/>
          <w:iCs/>
          <w:color w:val="002060"/>
          <w:kern w:val="0"/>
          <w14:ligatures w14:val="none"/>
        </w:rPr>
      </w:pPr>
      <w:bookmarkStart w:id="401" w:name="_Toc491337731"/>
      <w:r>
        <w:rPr>
          <w:rFonts w:ascii="Calibri" w:eastAsia="Times New Roman" w:hAnsi="Calibri" w:cs="Calibri"/>
          <w:b/>
          <w:bCs/>
          <w:iCs/>
          <w:color w:val="002060"/>
          <w:kern w:val="0"/>
          <w14:ligatures w14:val="none"/>
        </w:rPr>
        <w:t xml:space="preserve">13.6.1. </w:t>
      </w:r>
      <w:r w:rsidRPr="00411455">
        <w:rPr>
          <w:rFonts w:ascii="Calibri" w:eastAsia="Times New Roman" w:hAnsi="Calibri" w:cs="Calibri"/>
          <w:b/>
          <w:bCs/>
          <w:iCs/>
          <w:color w:val="002060"/>
          <w:kern w:val="0"/>
          <w14:ligatures w14:val="none"/>
        </w:rPr>
        <w:t>Visiona Tecnologia Espacial S.A</w:t>
      </w:r>
      <w:bookmarkEnd w:id="401"/>
    </w:p>
    <w:tbl>
      <w:tblPr>
        <w:tblW w:w="5000" w:type="pct"/>
        <w:tblCellMar>
          <w:left w:w="70" w:type="dxa"/>
          <w:right w:w="70" w:type="dxa"/>
        </w:tblCellMar>
        <w:tblLook w:val="04A0" w:firstRow="1" w:lastRow="0" w:firstColumn="1" w:lastColumn="0" w:noHBand="0" w:noVBand="1"/>
      </w:tblPr>
      <w:tblGrid>
        <w:gridCol w:w="6431"/>
        <w:gridCol w:w="1743"/>
        <w:gridCol w:w="1587"/>
      </w:tblGrid>
      <w:tr w:rsidR="00411455" w:rsidRPr="00411455" w14:paraId="192776AC" w14:textId="77777777" w:rsidTr="00446A14">
        <w:trPr>
          <w:trHeight w:val="238"/>
          <w:tblHeader/>
        </w:trPr>
        <w:tc>
          <w:tcPr>
            <w:tcW w:w="3294" w:type="pct"/>
            <w:tcBorders>
              <w:top w:val="single" w:sz="8" w:space="0" w:color="auto"/>
              <w:left w:val="single" w:sz="8" w:space="0" w:color="auto"/>
              <w:bottom w:val="nil"/>
              <w:right w:val="single" w:sz="8" w:space="0" w:color="auto"/>
            </w:tcBorders>
            <w:shd w:val="clear" w:color="000000" w:fill="D9D9D9"/>
            <w:noWrap/>
            <w:vAlign w:val="center"/>
            <w:hideMark/>
          </w:tcPr>
          <w:p w14:paraId="627E2E08" w14:textId="77777777" w:rsidR="00411455" w:rsidRPr="00411455" w:rsidRDefault="00411455" w:rsidP="00411455">
            <w:pPr>
              <w:spacing w:after="0" w:line="240" w:lineRule="auto"/>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w:t>
            </w:r>
            <w:r w:rsidRPr="00411455">
              <w:rPr>
                <w:rFonts w:ascii="Arial" w:eastAsia="Times New Roman" w:hAnsi="Arial" w:cs="Arial"/>
                <w:b/>
                <w:bCs/>
                <w:color w:val="000000"/>
                <w:kern w:val="0"/>
                <w:sz w:val="18"/>
                <w:szCs w:val="18"/>
                <w:lang w:eastAsia="pt-BR"/>
                <w14:ligatures w14:val="none"/>
              </w:rPr>
              <w:t xml:space="preserve">Balanço Patrimonial </w:t>
            </w:r>
          </w:p>
        </w:tc>
        <w:tc>
          <w:tcPr>
            <w:tcW w:w="893" w:type="pct"/>
            <w:tcBorders>
              <w:top w:val="single" w:sz="8" w:space="0" w:color="auto"/>
              <w:left w:val="nil"/>
              <w:bottom w:val="single" w:sz="8" w:space="0" w:color="auto"/>
              <w:right w:val="single" w:sz="8" w:space="0" w:color="auto"/>
            </w:tcBorders>
            <w:shd w:val="clear" w:color="auto" w:fill="auto"/>
            <w:noWrap/>
            <w:vAlign w:val="center"/>
            <w:hideMark/>
          </w:tcPr>
          <w:p w14:paraId="1DB8C4EC" w14:textId="77777777" w:rsidR="00411455" w:rsidRPr="00411455" w:rsidRDefault="00411455" w:rsidP="00411455">
            <w:pPr>
              <w:spacing w:after="0" w:line="240" w:lineRule="auto"/>
              <w:jc w:val="center"/>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14:ligatures w14:val="none"/>
              </w:rPr>
              <w:t>31/12/2023</w:t>
            </w:r>
          </w:p>
        </w:tc>
        <w:tc>
          <w:tcPr>
            <w:tcW w:w="813" w:type="pct"/>
            <w:tcBorders>
              <w:top w:val="single" w:sz="8" w:space="0" w:color="auto"/>
              <w:left w:val="nil"/>
              <w:bottom w:val="single" w:sz="8" w:space="0" w:color="auto"/>
              <w:right w:val="single" w:sz="8" w:space="0" w:color="auto"/>
            </w:tcBorders>
            <w:shd w:val="clear" w:color="auto" w:fill="auto"/>
            <w:noWrap/>
            <w:vAlign w:val="center"/>
            <w:hideMark/>
          </w:tcPr>
          <w:p w14:paraId="5467474F" w14:textId="77777777" w:rsidR="00411455" w:rsidRPr="00411455" w:rsidRDefault="00411455" w:rsidP="00411455">
            <w:pPr>
              <w:spacing w:after="0" w:line="240" w:lineRule="auto"/>
              <w:jc w:val="center"/>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14:ligatures w14:val="none"/>
              </w:rPr>
              <w:t>31/12/2022</w:t>
            </w:r>
          </w:p>
        </w:tc>
      </w:tr>
      <w:tr w:rsidR="00411455" w:rsidRPr="00411455" w14:paraId="03AE0162" w14:textId="77777777" w:rsidTr="00446A14">
        <w:trPr>
          <w:trHeight w:val="238"/>
          <w:tblHeader/>
        </w:trPr>
        <w:tc>
          <w:tcPr>
            <w:tcW w:w="329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005737" w14:textId="77777777" w:rsidR="00411455" w:rsidRPr="00411455" w:rsidRDefault="00411455" w:rsidP="00411455">
            <w:pPr>
              <w:spacing w:after="0" w:line="240" w:lineRule="auto"/>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 xml:space="preserve">Ativo </w:t>
            </w:r>
          </w:p>
        </w:tc>
        <w:tc>
          <w:tcPr>
            <w:tcW w:w="893" w:type="pct"/>
            <w:tcBorders>
              <w:top w:val="nil"/>
              <w:left w:val="nil"/>
              <w:bottom w:val="single" w:sz="8" w:space="0" w:color="auto"/>
              <w:right w:val="single" w:sz="8" w:space="0" w:color="auto"/>
            </w:tcBorders>
            <w:shd w:val="clear" w:color="auto" w:fill="auto"/>
            <w:noWrap/>
            <w:vAlign w:val="center"/>
            <w:hideMark/>
          </w:tcPr>
          <w:p w14:paraId="1A1E8B56" w14:textId="77777777" w:rsidR="00411455" w:rsidRPr="00411455" w:rsidRDefault="00411455" w:rsidP="00411455">
            <w:pPr>
              <w:spacing w:after="0" w:line="240" w:lineRule="auto"/>
              <w:jc w:val="right"/>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 </w:t>
            </w:r>
          </w:p>
        </w:tc>
        <w:tc>
          <w:tcPr>
            <w:tcW w:w="813" w:type="pct"/>
            <w:tcBorders>
              <w:top w:val="nil"/>
              <w:left w:val="nil"/>
              <w:bottom w:val="single" w:sz="8" w:space="0" w:color="auto"/>
              <w:right w:val="single" w:sz="8" w:space="0" w:color="auto"/>
            </w:tcBorders>
            <w:shd w:val="clear" w:color="auto" w:fill="auto"/>
            <w:noWrap/>
            <w:vAlign w:val="center"/>
            <w:hideMark/>
          </w:tcPr>
          <w:p w14:paraId="20D4181E" w14:textId="77777777" w:rsidR="00411455" w:rsidRPr="00411455" w:rsidRDefault="00411455" w:rsidP="00411455">
            <w:pPr>
              <w:spacing w:after="0" w:line="240" w:lineRule="auto"/>
              <w:jc w:val="right"/>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 </w:t>
            </w:r>
          </w:p>
        </w:tc>
      </w:tr>
      <w:tr w:rsidR="00411455" w:rsidRPr="00411455" w14:paraId="097F8D5C" w14:textId="77777777" w:rsidTr="00446A14">
        <w:trPr>
          <w:trHeight w:val="238"/>
          <w:tblHeader/>
        </w:trPr>
        <w:tc>
          <w:tcPr>
            <w:tcW w:w="3294" w:type="pct"/>
            <w:tcBorders>
              <w:top w:val="nil"/>
              <w:left w:val="single" w:sz="8" w:space="0" w:color="auto"/>
              <w:bottom w:val="single" w:sz="8" w:space="0" w:color="auto"/>
              <w:right w:val="single" w:sz="8" w:space="0" w:color="auto"/>
            </w:tcBorders>
            <w:shd w:val="clear" w:color="auto" w:fill="auto"/>
            <w:noWrap/>
            <w:vAlign w:val="center"/>
            <w:hideMark/>
          </w:tcPr>
          <w:p w14:paraId="4577AED8" w14:textId="77777777" w:rsidR="00411455" w:rsidRPr="00411455" w:rsidRDefault="00411455" w:rsidP="00411455">
            <w:pPr>
              <w:spacing w:after="0" w:line="240" w:lineRule="auto"/>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Circulante</w:t>
            </w:r>
          </w:p>
        </w:tc>
        <w:tc>
          <w:tcPr>
            <w:tcW w:w="893" w:type="pct"/>
            <w:tcBorders>
              <w:top w:val="nil"/>
              <w:left w:val="nil"/>
              <w:bottom w:val="single" w:sz="8" w:space="0" w:color="auto"/>
              <w:right w:val="single" w:sz="8" w:space="0" w:color="auto"/>
            </w:tcBorders>
            <w:shd w:val="clear" w:color="auto" w:fill="auto"/>
            <w:noWrap/>
            <w:vAlign w:val="center"/>
            <w:hideMark/>
          </w:tcPr>
          <w:p w14:paraId="1B7B6EAF" w14:textId="77777777" w:rsidR="00411455" w:rsidRPr="00411455" w:rsidRDefault="00411455" w:rsidP="00411455">
            <w:pPr>
              <w:spacing w:after="0" w:line="240" w:lineRule="auto"/>
              <w:jc w:val="right"/>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143.569</w:t>
            </w:r>
          </w:p>
        </w:tc>
        <w:tc>
          <w:tcPr>
            <w:tcW w:w="813" w:type="pct"/>
            <w:tcBorders>
              <w:top w:val="nil"/>
              <w:left w:val="nil"/>
              <w:bottom w:val="single" w:sz="8" w:space="0" w:color="auto"/>
              <w:right w:val="single" w:sz="8" w:space="0" w:color="auto"/>
            </w:tcBorders>
            <w:shd w:val="clear" w:color="auto" w:fill="auto"/>
            <w:noWrap/>
            <w:vAlign w:val="center"/>
            <w:hideMark/>
          </w:tcPr>
          <w:p w14:paraId="6951FDB9" w14:textId="77777777" w:rsidR="00411455" w:rsidRPr="00411455" w:rsidRDefault="00411455" w:rsidP="00411455">
            <w:pPr>
              <w:spacing w:after="0" w:line="240" w:lineRule="auto"/>
              <w:jc w:val="right"/>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 xml:space="preserve">           91.268 </w:t>
            </w:r>
          </w:p>
        </w:tc>
      </w:tr>
      <w:tr w:rsidR="00411455" w:rsidRPr="00411455" w14:paraId="4EF3BEBB" w14:textId="77777777" w:rsidTr="00446A14">
        <w:trPr>
          <w:trHeight w:val="238"/>
          <w:tblHeader/>
        </w:trPr>
        <w:tc>
          <w:tcPr>
            <w:tcW w:w="3294" w:type="pct"/>
            <w:tcBorders>
              <w:top w:val="nil"/>
              <w:left w:val="single" w:sz="8" w:space="0" w:color="auto"/>
              <w:bottom w:val="single" w:sz="8" w:space="0" w:color="auto"/>
              <w:right w:val="single" w:sz="8" w:space="0" w:color="auto"/>
            </w:tcBorders>
            <w:shd w:val="clear" w:color="auto" w:fill="auto"/>
            <w:noWrap/>
            <w:vAlign w:val="center"/>
            <w:hideMark/>
          </w:tcPr>
          <w:p w14:paraId="7D5EAC27" w14:textId="77777777" w:rsidR="00411455" w:rsidRPr="00411455" w:rsidRDefault="00411455" w:rsidP="00411455">
            <w:pPr>
              <w:spacing w:after="0" w:line="240" w:lineRule="auto"/>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Não Circulante</w:t>
            </w:r>
          </w:p>
        </w:tc>
        <w:tc>
          <w:tcPr>
            <w:tcW w:w="893" w:type="pct"/>
            <w:tcBorders>
              <w:top w:val="nil"/>
              <w:left w:val="nil"/>
              <w:bottom w:val="single" w:sz="8" w:space="0" w:color="auto"/>
              <w:right w:val="single" w:sz="8" w:space="0" w:color="auto"/>
            </w:tcBorders>
            <w:shd w:val="clear" w:color="auto" w:fill="auto"/>
            <w:noWrap/>
            <w:vAlign w:val="center"/>
            <w:hideMark/>
          </w:tcPr>
          <w:p w14:paraId="33FF5B0A" w14:textId="77777777" w:rsidR="00411455" w:rsidRPr="00411455" w:rsidRDefault="00411455" w:rsidP="00411455">
            <w:pPr>
              <w:spacing w:after="0" w:line="240" w:lineRule="auto"/>
              <w:jc w:val="right"/>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82.454</w:t>
            </w:r>
          </w:p>
        </w:tc>
        <w:tc>
          <w:tcPr>
            <w:tcW w:w="813" w:type="pct"/>
            <w:tcBorders>
              <w:top w:val="nil"/>
              <w:left w:val="nil"/>
              <w:bottom w:val="single" w:sz="8" w:space="0" w:color="auto"/>
              <w:right w:val="single" w:sz="8" w:space="0" w:color="auto"/>
            </w:tcBorders>
            <w:shd w:val="clear" w:color="auto" w:fill="auto"/>
            <w:noWrap/>
            <w:vAlign w:val="center"/>
            <w:hideMark/>
          </w:tcPr>
          <w:p w14:paraId="665466AC" w14:textId="77777777" w:rsidR="00411455" w:rsidRPr="00411455" w:rsidRDefault="00411455" w:rsidP="00411455">
            <w:pPr>
              <w:spacing w:after="0" w:line="240" w:lineRule="auto"/>
              <w:jc w:val="right"/>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 xml:space="preserve">           81.195 </w:t>
            </w:r>
          </w:p>
        </w:tc>
      </w:tr>
      <w:tr w:rsidR="00411455" w:rsidRPr="00411455" w14:paraId="07E14346" w14:textId="77777777" w:rsidTr="00446A14">
        <w:trPr>
          <w:trHeight w:val="238"/>
          <w:tblHeader/>
        </w:trPr>
        <w:tc>
          <w:tcPr>
            <w:tcW w:w="3294" w:type="pct"/>
            <w:tcBorders>
              <w:top w:val="nil"/>
              <w:left w:val="single" w:sz="8" w:space="0" w:color="auto"/>
              <w:bottom w:val="single" w:sz="8" w:space="0" w:color="auto"/>
              <w:right w:val="single" w:sz="8" w:space="0" w:color="auto"/>
            </w:tcBorders>
            <w:shd w:val="clear" w:color="auto" w:fill="auto"/>
            <w:noWrap/>
            <w:vAlign w:val="center"/>
            <w:hideMark/>
          </w:tcPr>
          <w:p w14:paraId="77E8FB80" w14:textId="77777777" w:rsidR="00411455" w:rsidRPr="00411455" w:rsidRDefault="00411455" w:rsidP="00411455">
            <w:pPr>
              <w:spacing w:after="0" w:line="240" w:lineRule="auto"/>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xml:space="preserve"> Realizável a Longo Prazo</w:t>
            </w:r>
          </w:p>
        </w:tc>
        <w:tc>
          <w:tcPr>
            <w:tcW w:w="893" w:type="pct"/>
            <w:tcBorders>
              <w:top w:val="nil"/>
              <w:left w:val="nil"/>
              <w:bottom w:val="single" w:sz="8" w:space="0" w:color="auto"/>
              <w:right w:val="single" w:sz="8" w:space="0" w:color="auto"/>
            </w:tcBorders>
            <w:shd w:val="clear" w:color="auto" w:fill="auto"/>
            <w:noWrap/>
            <w:vAlign w:val="center"/>
            <w:hideMark/>
          </w:tcPr>
          <w:p w14:paraId="40054919"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265</w:t>
            </w:r>
          </w:p>
        </w:tc>
        <w:tc>
          <w:tcPr>
            <w:tcW w:w="813" w:type="pct"/>
            <w:tcBorders>
              <w:top w:val="nil"/>
              <w:left w:val="nil"/>
              <w:bottom w:val="single" w:sz="8" w:space="0" w:color="auto"/>
              <w:right w:val="single" w:sz="8" w:space="0" w:color="auto"/>
            </w:tcBorders>
            <w:shd w:val="clear" w:color="auto" w:fill="auto"/>
            <w:noWrap/>
            <w:vAlign w:val="center"/>
            <w:hideMark/>
          </w:tcPr>
          <w:p w14:paraId="25D217A1"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xml:space="preserve">                 218 </w:t>
            </w:r>
          </w:p>
        </w:tc>
      </w:tr>
      <w:tr w:rsidR="00411455" w:rsidRPr="00411455" w14:paraId="2FB50459" w14:textId="77777777" w:rsidTr="00446A14">
        <w:trPr>
          <w:trHeight w:val="238"/>
          <w:tblHeader/>
        </w:trPr>
        <w:tc>
          <w:tcPr>
            <w:tcW w:w="3294" w:type="pct"/>
            <w:tcBorders>
              <w:top w:val="nil"/>
              <w:left w:val="single" w:sz="8" w:space="0" w:color="auto"/>
              <w:bottom w:val="single" w:sz="8" w:space="0" w:color="auto"/>
              <w:right w:val="single" w:sz="8" w:space="0" w:color="auto"/>
            </w:tcBorders>
            <w:shd w:val="clear" w:color="auto" w:fill="auto"/>
            <w:noWrap/>
            <w:vAlign w:val="center"/>
            <w:hideMark/>
          </w:tcPr>
          <w:p w14:paraId="67DE885A" w14:textId="77777777" w:rsidR="00411455" w:rsidRPr="00411455" w:rsidRDefault="00411455" w:rsidP="00411455">
            <w:pPr>
              <w:spacing w:after="0" w:line="240" w:lineRule="auto"/>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xml:space="preserve"> Investimento</w:t>
            </w:r>
          </w:p>
        </w:tc>
        <w:tc>
          <w:tcPr>
            <w:tcW w:w="893" w:type="pct"/>
            <w:tcBorders>
              <w:top w:val="nil"/>
              <w:left w:val="nil"/>
              <w:bottom w:val="single" w:sz="8" w:space="0" w:color="auto"/>
              <w:right w:val="single" w:sz="8" w:space="0" w:color="auto"/>
            </w:tcBorders>
            <w:shd w:val="clear" w:color="auto" w:fill="auto"/>
            <w:noWrap/>
            <w:vAlign w:val="center"/>
            <w:hideMark/>
          </w:tcPr>
          <w:p w14:paraId="5F21E02D"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77.936</w:t>
            </w:r>
          </w:p>
        </w:tc>
        <w:tc>
          <w:tcPr>
            <w:tcW w:w="813" w:type="pct"/>
            <w:tcBorders>
              <w:top w:val="nil"/>
              <w:left w:val="nil"/>
              <w:bottom w:val="single" w:sz="8" w:space="0" w:color="auto"/>
              <w:right w:val="single" w:sz="8" w:space="0" w:color="auto"/>
            </w:tcBorders>
            <w:shd w:val="clear" w:color="auto" w:fill="auto"/>
            <w:noWrap/>
            <w:vAlign w:val="center"/>
            <w:hideMark/>
          </w:tcPr>
          <w:p w14:paraId="31A20560"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xml:space="preserve">           78.609 </w:t>
            </w:r>
          </w:p>
        </w:tc>
      </w:tr>
      <w:tr w:rsidR="00411455" w:rsidRPr="00411455" w14:paraId="697FF90C" w14:textId="77777777" w:rsidTr="00446A14">
        <w:trPr>
          <w:trHeight w:val="238"/>
          <w:tblHeader/>
        </w:trPr>
        <w:tc>
          <w:tcPr>
            <w:tcW w:w="3294" w:type="pct"/>
            <w:tcBorders>
              <w:top w:val="nil"/>
              <w:left w:val="single" w:sz="8" w:space="0" w:color="auto"/>
              <w:bottom w:val="single" w:sz="8" w:space="0" w:color="auto"/>
              <w:right w:val="single" w:sz="8" w:space="0" w:color="auto"/>
            </w:tcBorders>
            <w:shd w:val="clear" w:color="auto" w:fill="auto"/>
            <w:noWrap/>
            <w:vAlign w:val="center"/>
            <w:hideMark/>
          </w:tcPr>
          <w:p w14:paraId="4E74A751" w14:textId="77777777" w:rsidR="00411455" w:rsidRPr="00411455" w:rsidRDefault="00411455" w:rsidP="00411455">
            <w:pPr>
              <w:spacing w:after="0" w:line="240" w:lineRule="auto"/>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xml:space="preserve"> Imobilizado</w:t>
            </w:r>
          </w:p>
        </w:tc>
        <w:tc>
          <w:tcPr>
            <w:tcW w:w="893" w:type="pct"/>
            <w:tcBorders>
              <w:top w:val="nil"/>
              <w:left w:val="nil"/>
              <w:bottom w:val="single" w:sz="8" w:space="0" w:color="auto"/>
              <w:right w:val="single" w:sz="8" w:space="0" w:color="auto"/>
            </w:tcBorders>
            <w:shd w:val="clear" w:color="auto" w:fill="auto"/>
            <w:noWrap/>
            <w:vAlign w:val="center"/>
            <w:hideMark/>
          </w:tcPr>
          <w:p w14:paraId="6C43B839"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2.043</w:t>
            </w:r>
          </w:p>
        </w:tc>
        <w:tc>
          <w:tcPr>
            <w:tcW w:w="813" w:type="pct"/>
            <w:tcBorders>
              <w:top w:val="nil"/>
              <w:left w:val="nil"/>
              <w:bottom w:val="single" w:sz="8" w:space="0" w:color="auto"/>
              <w:right w:val="single" w:sz="8" w:space="0" w:color="auto"/>
            </w:tcBorders>
            <w:shd w:val="clear" w:color="auto" w:fill="auto"/>
            <w:noWrap/>
            <w:vAlign w:val="center"/>
            <w:hideMark/>
          </w:tcPr>
          <w:p w14:paraId="7CFF4ED3"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xml:space="preserve">              2.299 </w:t>
            </w:r>
          </w:p>
        </w:tc>
      </w:tr>
      <w:tr w:rsidR="00411455" w:rsidRPr="00411455" w14:paraId="44B07F19" w14:textId="77777777" w:rsidTr="00446A14">
        <w:trPr>
          <w:trHeight w:val="238"/>
          <w:tblHeader/>
        </w:trPr>
        <w:tc>
          <w:tcPr>
            <w:tcW w:w="3294" w:type="pct"/>
            <w:tcBorders>
              <w:top w:val="nil"/>
              <w:left w:val="single" w:sz="8" w:space="0" w:color="auto"/>
              <w:bottom w:val="single" w:sz="8" w:space="0" w:color="auto"/>
              <w:right w:val="single" w:sz="8" w:space="0" w:color="auto"/>
            </w:tcBorders>
            <w:shd w:val="clear" w:color="auto" w:fill="auto"/>
            <w:noWrap/>
            <w:vAlign w:val="center"/>
            <w:hideMark/>
          </w:tcPr>
          <w:p w14:paraId="6D824010" w14:textId="77777777" w:rsidR="00411455" w:rsidRPr="00411455" w:rsidRDefault="00411455" w:rsidP="00411455">
            <w:pPr>
              <w:spacing w:after="0" w:line="240" w:lineRule="auto"/>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xml:space="preserve"> Intangível</w:t>
            </w:r>
          </w:p>
        </w:tc>
        <w:tc>
          <w:tcPr>
            <w:tcW w:w="893" w:type="pct"/>
            <w:tcBorders>
              <w:top w:val="nil"/>
              <w:left w:val="nil"/>
              <w:bottom w:val="single" w:sz="8" w:space="0" w:color="auto"/>
              <w:right w:val="single" w:sz="8" w:space="0" w:color="auto"/>
            </w:tcBorders>
            <w:shd w:val="clear" w:color="auto" w:fill="auto"/>
            <w:noWrap/>
            <w:vAlign w:val="center"/>
            <w:hideMark/>
          </w:tcPr>
          <w:p w14:paraId="38E08592"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2.210</w:t>
            </w:r>
          </w:p>
        </w:tc>
        <w:tc>
          <w:tcPr>
            <w:tcW w:w="813" w:type="pct"/>
            <w:tcBorders>
              <w:top w:val="nil"/>
              <w:left w:val="nil"/>
              <w:bottom w:val="single" w:sz="8" w:space="0" w:color="auto"/>
              <w:right w:val="single" w:sz="8" w:space="0" w:color="auto"/>
            </w:tcBorders>
            <w:shd w:val="clear" w:color="auto" w:fill="auto"/>
            <w:noWrap/>
            <w:vAlign w:val="center"/>
            <w:hideMark/>
          </w:tcPr>
          <w:p w14:paraId="18711147"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xml:space="preserve">                   69 </w:t>
            </w:r>
          </w:p>
        </w:tc>
      </w:tr>
      <w:tr w:rsidR="00411455" w:rsidRPr="00411455" w14:paraId="136E0192" w14:textId="77777777" w:rsidTr="00446A14">
        <w:trPr>
          <w:trHeight w:val="238"/>
          <w:tblHeader/>
        </w:trPr>
        <w:tc>
          <w:tcPr>
            <w:tcW w:w="3294" w:type="pct"/>
            <w:tcBorders>
              <w:top w:val="nil"/>
              <w:left w:val="single" w:sz="8" w:space="0" w:color="auto"/>
              <w:bottom w:val="single" w:sz="8" w:space="0" w:color="auto"/>
              <w:right w:val="single" w:sz="8" w:space="0" w:color="auto"/>
            </w:tcBorders>
            <w:shd w:val="clear" w:color="auto" w:fill="auto"/>
            <w:noWrap/>
            <w:vAlign w:val="center"/>
            <w:hideMark/>
          </w:tcPr>
          <w:p w14:paraId="4208C5A9" w14:textId="77777777" w:rsidR="00411455" w:rsidRPr="00411455" w:rsidRDefault="00411455" w:rsidP="00411455">
            <w:pPr>
              <w:spacing w:after="0" w:line="240" w:lineRule="auto"/>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Total</w:t>
            </w:r>
          </w:p>
        </w:tc>
        <w:tc>
          <w:tcPr>
            <w:tcW w:w="893" w:type="pct"/>
            <w:tcBorders>
              <w:top w:val="nil"/>
              <w:left w:val="nil"/>
              <w:bottom w:val="single" w:sz="8" w:space="0" w:color="auto"/>
              <w:right w:val="single" w:sz="8" w:space="0" w:color="auto"/>
            </w:tcBorders>
            <w:shd w:val="clear" w:color="auto" w:fill="auto"/>
            <w:noWrap/>
            <w:vAlign w:val="center"/>
            <w:hideMark/>
          </w:tcPr>
          <w:p w14:paraId="6593CD98" w14:textId="77777777" w:rsidR="00411455" w:rsidRPr="00411455" w:rsidRDefault="00411455" w:rsidP="00411455">
            <w:pPr>
              <w:spacing w:after="0" w:line="240" w:lineRule="auto"/>
              <w:jc w:val="right"/>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226.023</w:t>
            </w:r>
          </w:p>
        </w:tc>
        <w:tc>
          <w:tcPr>
            <w:tcW w:w="813" w:type="pct"/>
            <w:tcBorders>
              <w:top w:val="nil"/>
              <w:left w:val="nil"/>
              <w:bottom w:val="single" w:sz="8" w:space="0" w:color="auto"/>
              <w:right w:val="single" w:sz="8" w:space="0" w:color="auto"/>
            </w:tcBorders>
            <w:shd w:val="clear" w:color="auto" w:fill="auto"/>
            <w:noWrap/>
            <w:vAlign w:val="center"/>
            <w:hideMark/>
          </w:tcPr>
          <w:p w14:paraId="72431AF4" w14:textId="77777777" w:rsidR="00411455" w:rsidRPr="00411455" w:rsidRDefault="00411455" w:rsidP="00411455">
            <w:pPr>
              <w:spacing w:after="0" w:line="240" w:lineRule="auto"/>
              <w:jc w:val="right"/>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 xml:space="preserve">         172.463 </w:t>
            </w:r>
          </w:p>
        </w:tc>
      </w:tr>
      <w:tr w:rsidR="00411455" w:rsidRPr="00411455" w14:paraId="5D399BEA" w14:textId="77777777" w:rsidTr="00446A14">
        <w:trPr>
          <w:trHeight w:val="238"/>
          <w:tblHeader/>
        </w:trPr>
        <w:tc>
          <w:tcPr>
            <w:tcW w:w="3294" w:type="pct"/>
            <w:tcBorders>
              <w:top w:val="nil"/>
              <w:left w:val="single" w:sz="8" w:space="0" w:color="auto"/>
              <w:bottom w:val="single" w:sz="8" w:space="0" w:color="auto"/>
              <w:right w:val="single" w:sz="8" w:space="0" w:color="auto"/>
            </w:tcBorders>
            <w:shd w:val="clear" w:color="auto" w:fill="auto"/>
            <w:noWrap/>
            <w:vAlign w:val="center"/>
            <w:hideMark/>
          </w:tcPr>
          <w:p w14:paraId="7E3F0C7C" w14:textId="77777777" w:rsidR="00411455" w:rsidRPr="00411455" w:rsidRDefault="00411455" w:rsidP="00411455">
            <w:pPr>
              <w:spacing w:after="0" w:line="240" w:lineRule="auto"/>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Passivo</w:t>
            </w:r>
          </w:p>
        </w:tc>
        <w:tc>
          <w:tcPr>
            <w:tcW w:w="893" w:type="pct"/>
            <w:tcBorders>
              <w:top w:val="nil"/>
              <w:left w:val="nil"/>
              <w:bottom w:val="single" w:sz="8" w:space="0" w:color="auto"/>
              <w:right w:val="single" w:sz="8" w:space="0" w:color="auto"/>
            </w:tcBorders>
            <w:shd w:val="clear" w:color="auto" w:fill="auto"/>
            <w:noWrap/>
            <w:vAlign w:val="center"/>
            <w:hideMark/>
          </w:tcPr>
          <w:p w14:paraId="53CEF811"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w:t>
            </w:r>
          </w:p>
        </w:tc>
        <w:tc>
          <w:tcPr>
            <w:tcW w:w="813" w:type="pct"/>
            <w:tcBorders>
              <w:top w:val="nil"/>
              <w:left w:val="nil"/>
              <w:bottom w:val="single" w:sz="8" w:space="0" w:color="auto"/>
              <w:right w:val="single" w:sz="8" w:space="0" w:color="auto"/>
            </w:tcBorders>
            <w:shd w:val="clear" w:color="auto" w:fill="auto"/>
            <w:noWrap/>
            <w:vAlign w:val="center"/>
            <w:hideMark/>
          </w:tcPr>
          <w:p w14:paraId="460F8A4E"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w:t>
            </w:r>
          </w:p>
        </w:tc>
      </w:tr>
      <w:tr w:rsidR="00411455" w:rsidRPr="00411455" w14:paraId="26796B71" w14:textId="77777777" w:rsidTr="00446A14">
        <w:trPr>
          <w:trHeight w:val="238"/>
          <w:tblHeader/>
        </w:trPr>
        <w:tc>
          <w:tcPr>
            <w:tcW w:w="3294" w:type="pct"/>
            <w:tcBorders>
              <w:top w:val="nil"/>
              <w:left w:val="single" w:sz="8" w:space="0" w:color="auto"/>
              <w:bottom w:val="single" w:sz="8" w:space="0" w:color="auto"/>
              <w:right w:val="single" w:sz="8" w:space="0" w:color="auto"/>
            </w:tcBorders>
            <w:shd w:val="clear" w:color="auto" w:fill="auto"/>
            <w:noWrap/>
            <w:vAlign w:val="center"/>
            <w:hideMark/>
          </w:tcPr>
          <w:p w14:paraId="061F4816" w14:textId="77777777" w:rsidR="00411455" w:rsidRPr="00411455" w:rsidRDefault="00411455" w:rsidP="00411455">
            <w:pPr>
              <w:spacing w:after="0" w:line="240" w:lineRule="auto"/>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Circulante</w:t>
            </w:r>
          </w:p>
        </w:tc>
        <w:tc>
          <w:tcPr>
            <w:tcW w:w="893" w:type="pct"/>
            <w:tcBorders>
              <w:top w:val="nil"/>
              <w:left w:val="nil"/>
              <w:bottom w:val="single" w:sz="8" w:space="0" w:color="auto"/>
              <w:right w:val="single" w:sz="8" w:space="0" w:color="auto"/>
            </w:tcBorders>
            <w:shd w:val="clear" w:color="auto" w:fill="auto"/>
            <w:noWrap/>
            <w:vAlign w:val="center"/>
            <w:hideMark/>
          </w:tcPr>
          <w:p w14:paraId="791D32EE"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70.284</w:t>
            </w:r>
          </w:p>
        </w:tc>
        <w:tc>
          <w:tcPr>
            <w:tcW w:w="813" w:type="pct"/>
            <w:tcBorders>
              <w:top w:val="nil"/>
              <w:left w:val="nil"/>
              <w:bottom w:val="single" w:sz="8" w:space="0" w:color="auto"/>
              <w:right w:val="single" w:sz="8" w:space="0" w:color="auto"/>
            </w:tcBorders>
            <w:shd w:val="clear" w:color="auto" w:fill="auto"/>
            <w:noWrap/>
            <w:vAlign w:val="center"/>
            <w:hideMark/>
          </w:tcPr>
          <w:p w14:paraId="7037C47A"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xml:space="preserve">              7.099 </w:t>
            </w:r>
          </w:p>
        </w:tc>
      </w:tr>
      <w:tr w:rsidR="00411455" w:rsidRPr="00411455" w14:paraId="6A69622A" w14:textId="77777777" w:rsidTr="00446A14">
        <w:trPr>
          <w:trHeight w:val="238"/>
          <w:tblHeader/>
        </w:trPr>
        <w:tc>
          <w:tcPr>
            <w:tcW w:w="3294" w:type="pct"/>
            <w:tcBorders>
              <w:top w:val="nil"/>
              <w:left w:val="single" w:sz="8" w:space="0" w:color="auto"/>
              <w:bottom w:val="single" w:sz="8" w:space="0" w:color="auto"/>
              <w:right w:val="single" w:sz="8" w:space="0" w:color="auto"/>
            </w:tcBorders>
            <w:shd w:val="clear" w:color="auto" w:fill="auto"/>
            <w:noWrap/>
            <w:vAlign w:val="center"/>
            <w:hideMark/>
          </w:tcPr>
          <w:p w14:paraId="1B1B8FEA" w14:textId="77777777" w:rsidR="00411455" w:rsidRPr="00411455" w:rsidRDefault="00411455" w:rsidP="00411455">
            <w:pPr>
              <w:spacing w:after="0" w:line="240" w:lineRule="auto"/>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Não Circulante</w:t>
            </w:r>
          </w:p>
        </w:tc>
        <w:tc>
          <w:tcPr>
            <w:tcW w:w="893" w:type="pct"/>
            <w:tcBorders>
              <w:top w:val="nil"/>
              <w:left w:val="nil"/>
              <w:bottom w:val="single" w:sz="8" w:space="0" w:color="auto"/>
              <w:right w:val="single" w:sz="8" w:space="0" w:color="auto"/>
            </w:tcBorders>
            <w:shd w:val="clear" w:color="auto" w:fill="auto"/>
            <w:noWrap/>
            <w:vAlign w:val="center"/>
            <w:hideMark/>
          </w:tcPr>
          <w:p w14:paraId="0B6CD0E3"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12.710</w:t>
            </w:r>
          </w:p>
        </w:tc>
        <w:tc>
          <w:tcPr>
            <w:tcW w:w="813" w:type="pct"/>
            <w:tcBorders>
              <w:top w:val="nil"/>
              <w:left w:val="nil"/>
              <w:bottom w:val="single" w:sz="8" w:space="0" w:color="auto"/>
              <w:right w:val="single" w:sz="8" w:space="0" w:color="auto"/>
            </w:tcBorders>
            <w:shd w:val="clear" w:color="auto" w:fill="auto"/>
            <w:noWrap/>
            <w:vAlign w:val="center"/>
            <w:hideMark/>
          </w:tcPr>
          <w:p w14:paraId="689655E0"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xml:space="preserve">           11.905 </w:t>
            </w:r>
          </w:p>
        </w:tc>
      </w:tr>
      <w:tr w:rsidR="00411455" w:rsidRPr="00411455" w14:paraId="3E6C27B7" w14:textId="77777777" w:rsidTr="00446A14">
        <w:trPr>
          <w:trHeight w:val="238"/>
          <w:tblHeader/>
        </w:trPr>
        <w:tc>
          <w:tcPr>
            <w:tcW w:w="3294" w:type="pct"/>
            <w:tcBorders>
              <w:top w:val="nil"/>
              <w:left w:val="single" w:sz="8" w:space="0" w:color="auto"/>
              <w:bottom w:val="single" w:sz="8" w:space="0" w:color="auto"/>
              <w:right w:val="single" w:sz="8" w:space="0" w:color="auto"/>
            </w:tcBorders>
            <w:shd w:val="clear" w:color="auto" w:fill="auto"/>
            <w:noWrap/>
            <w:vAlign w:val="center"/>
            <w:hideMark/>
          </w:tcPr>
          <w:p w14:paraId="67E7E5C2" w14:textId="77777777" w:rsidR="00411455" w:rsidRPr="00411455" w:rsidRDefault="00411455" w:rsidP="00411455">
            <w:pPr>
              <w:spacing w:after="0" w:line="240" w:lineRule="auto"/>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Patrimônio Líquido</w:t>
            </w:r>
          </w:p>
        </w:tc>
        <w:tc>
          <w:tcPr>
            <w:tcW w:w="893" w:type="pct"/>
            <w:tcBorders>
              <w:top w:val="nil"/>
              <w:left w:val="nil"/>
              <w:bottom w:val="single" w:sz="8" w:space="0" w:color="auto"/>
              <w:right w:val="single" w:sz="8" w:space="0" w:color="auto"/>
            </w:tcBorders>
            <w:shd w:val="clear" w:color="auto" w:fill="auto"/>
            <w:noWrap/>
            <w:vAlign w:val="center"/>
            <w:hideMark/>
          </w:tcPr>
          <w:p w14:paraId="46663106"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143.029</w:t>
            </w:r>
          </w:p>
        </w:tc>
        <w:tc>
          <w:tcPr>
            <w:tcW w:w="813" w:type="pct"/>
            <w:tcBorders>
              <w:top w:val="nil"/>
              <w:left w:val="nil"/>
              <w:bottom w:val="single" w:sz="8" w:space="0" w:color="auto"/>
              <w:right w:val="single" w:sz="8" w:space="0" w:color="auto"/>
            </w:tcBorders>
            <w:shd w:val="clear" w:color="auto" w:fill="auto"/>
            <w:noWrap/>
            <w:vAlign w:val="center"/>
            <w:hideMark/>
          </w:tcPr>
          <w:p w14:paraId="59737C15"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xml:space="preserve">         153.459 </w:t>
            </w:r>
          </w:p>
        </w:tc>
      </w:tr>
      <w:tr w:rsidR="00411455" w:rsidRPr="00411455" w14:paraId="3D041DC7" w14:textId="77777777" w:rsidTr="00446A14">
        <w:trPr>
          <w:trHeight w:val="238"/>
          <w:tblHeader/>
        </w:trPr>
        <w:tc>
          <w:tcPr>
            <w:tcW w:w="3294" w:type="pct"/>
            <w:tcBorders>
              <w:top w:val="nil"/>
              <w:left w:val="single" w:sz="8" w:space="0" w:color="auto"/>
              <w:bottom w:val="single" w:sz="8" w:space="0" w:color="auto"/>
              <w:right w:val="single" w:sz="8" w:space="0" w:color="auto"/>
            </w:tcBorders>
            <w:shd w:val="clear" w:color="auto" w:fill="auto"/>
            <w:noWrap/>
            <w:vAlign w:val="center"/>
            <w:hideMark/>
          </w:tcPr>
          <w:p w14:paraId="563C7B82" w14:textId="77777777" w:rsidR="00411455" w:rsidRPr="00411455" w:rsidRDefault="00411455" w:rsidP="00411455">
            <w:pPr>
              <w:spacing w:after="0" w:line="240" w:lineRule="auto"/>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Total</w:t>
            </w:r>
          </w:p>
        </w:tc>
        <w:tc>
          <w:tcPr>
            <w:tcW w:w="893" w:type="pct"/>
            <w:tcBorders>
              <w:top w:val="nil"/>
              <w:left w:val="nil"/>
              <w:bottom w:val="single" w:sz="8" w:space="0" w:color="auto"/>
              <w:right w:val="single" w:sz="8" w:space="0" w:color="auto"/>
            </w:tcBorders>
            <w:shd w:val="clear" w:color="auto" w:fill="auto"/>
            <w:noWrap/>
            <w:vAlign w:val="center"/>
            <w:hideMark/>
          </w:tcPr>
          <w:p w14:paraId="695B16DF" w14:textId="77777777" w:rsidR="00411455" w:rsidRPr="00411455" w:rsidRDefault="00411455" w:rsidP="00411455">
            <w:pPr>
              <w:spacing w:after="0" w:line="240" w:lineRule="auto"/>
              <w:jc w:val="right"/>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226.023</w:t>
            </w:r>
          </w:p>
        </w:tc>
        <w:tc>
          <w:tcPr>
            <w:tcW w:w="813" w:type="pct"/>
            <w:tcBorders>
              <w:top w:val="nil"/>
              <w:left w:val="nil"/>
              <w:bottom w:val="single" w:sz="8" w:space="0" w:color="auto"/>
              <w:right w:val="single" w:sz="8" w:space="0" w:color="auto"/>
            </w:tcBorders>
            <w:shd w:val="clear" w:color="auto" w:fill="auto"/>
            <w:noWrap/>
            <w:vAlign w:val="center"/>
            <w:hideMark/>
          </w:tcPr>
          <w:p w14:paraId="66895163" w14:textId="77777777" w:rsidR="00411455" w:rsidRPr="00411455" w:rsidRDefault="00411455" w:rsidP="00411455">
            <w:pPr>
              <w:spacing w:after="0" w:line="240" w:lineRule="auto"/>
              <w:jc w:val="right"/>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 xml:space="preserve">         172.463 </w:t>
            </w:r>
          </w:p>
        </w:tc>
      </w:tr>
    </w:tbl>
    <w:p w14:paraId="6CEF1645" w14:textId="77777777" w:rsidR="00411455" w:rsidRDefault="00411455" w:rsidP="00411455">
      <w:pPr>
        <w:autoSpaceDE w:val="0"/>
        <w:autoSpaceDN w:val="0"/>
        <w:adjustRightInd w:val="0"/>
        <w:spacing w:after="0" w:line="276" w:lineRule="auto"/>
        <w:jc w:val="both"/>
        <w:rPr>
          <w:rFonts w:ascii="Calibri" w:eastAsia="Times New Roman" w:hAnsi="Calibri" w:cs="Calibri"/>
          <w:b/>
          <w:bCs/>
          <w:iCs/>
          <w:color w:val="002060"/>
          <w:kern w:val="0"/>
          <w14:ligatures w14:val="none"/>
        </w:rPr>
      </w:pPr>
    </w:p>
    <w:tbl>
      <w:tblPr>
        <w:tblW w:w="5000" w:type="pct"/>
        <w:tblCellMar>
          <w:left w:w="70" w:type="dxa"/>
          <w:right w:w="70" w:type="dxa"/>
        </w:tblCellMar>
        <w:tblLook w:val="04A0" w:firstRow="1" w:lastRow="0" w:firstColumn="1" w:lastColumn="0" w:noHBand="0" w:noVBand="1"/>
      </w:tblPr>
      <w:tblGrid>
        <w:gridCol w:w="6421"/>
        <w:gridCol w:w="1755"/>
        <w:gridCol w:w="1585"/>
      </w:tblGrid>
      <w:tr w:rsidR="00411455" w:rsidRPr="00411455" w14:paraId="747A6156" w14:textId="77777777" w:rsidTr="00446A14">
        <w:trPr>
          <w:trHeight w:val="238"/>
          <w:tblHeader/>
        </w:trPr>
        <w:tc>
          <w:tcPr>
            <w:tcW w:w="3289" w:type="pct"/>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291BDB50" w14:textId="77777777" w:rsidR="00411455" w:rsidRPr="00411455" w:rsidRDefault="00411455" w:rsidP="00411455">
            <w:pPr>
              <w:spacing w:after="0" w:line="240" w:lineRule="auto"/>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Demonstração do Resultado do Exercício</w:t>
            </w:r>
          </w:p>
        </w:tc>
        <w:tc>
          <w:tcPr>
            <w:tcW w:w="899" w:type="pct"/>
            <w:tcBorders>
              <w:top w:val="single" w:sz="8" w:space="0" w:color="auto"/>
              <w:left w:val="nil"/>
              <w:bottom w:val="single" w:sz="8" w:space="0" w:color="auto"/>
              <w:right w:val="single" w:sz="8" w:space="0" w:color="auto"/>
            </w:tcBorders>
            <w:shd w:val="clear" w:color="auto" w:fill="auto"/>
            <w:noWrap/>
            <w:vAlign w:val="center"/>
            <w:hideMark/>
          </w:tcPr>
          <w:p w14:paraId="2CB94443" w14:textId="77777777" w:rsidR="00411455" w:rsidRPr="00411455" w:rsidRDefault="00411455" w:rsidP="00411455">
            <w:pPr>
              <w:spacing w:after="0" w:line="240" w:lineRule="auto"/>
              <w:jc w:val="center"/>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31/12/2023</w:t>
            </w:r>
          </w:p>
        </w:tc>
        <w:tc>
          <w:tcPr>
            <w:tcW w:w="812" w:type="pct"/>
            <w:tcBorders>
              <w:top w:val="single" w:sz="8" w:space="0" w:color="auto"/>
              <w:left w:val="nil"/>
              <w:bottom w:val="single" w:sz="8" w:space="0" w:color="auto"/>
              <w:right w:val="single" w:sz="8" w:space="0" w:color="auto"/>
            </w:tcBorders>
            <w:shd w:val="clear" w:color="auto" w:fill="auto"/>
            <w:noWrap/>
            <w:vAlign w:val="center"/>
            <w:hideMark/>
          </w:tcPr>
          <w:p w14:paraId="5A7C7AA8" w14:textId="77777777" w:rsidR="00411455" w:rsidRPr="00411455" w:rsidRDefault="00411455" w:rsidP="00411455">
            <w:pPr>
              <w:spacing w:after="0" w:line="240" w:lineRule="auto"/>
              <w:jc w:val="center"/>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31/12/2022</w:t>
            </w:r>
          </w:p>
        </w:tc>
      </w:tr>
      <w:tr w:rsidR="00411455" w:rsidRPr="00411455" w14:paraId="409E107E" w14:textId="77777777" w:rsidTr="00446A14">
        <w:trPr>
          <w:trHeight w:val="238"/>
        </w:trPr>
        <w:tc>
          <w:tcPr>
            <w:tcW w:w="3289" w:type="pct"/>
            <w:tcBorders>
              <w:top w:val="nil"/>
              <w:left w:val="single" w:sz="8" w:space="0" w:color="auto"/>
              <w:bottom w:val="single" w:sz="8" w:space="0" w:color="auto"/>
              <w:right w:val="single" w:sz="8" w:space="0" w:color="auto"/>
            </w:tcBorders>
            <w:shd w:val="clear" w:color="auto" w:fill="auto"/>
            <w:noWrap/>
            <w:vAlign w:val="center"/>
            <w:hideMark/>
          </w:tcPr>
          <w:p w14:paraId="15F50613" w14:textId="77777777" w:rsidR="00411455" w:rsidRPr="00411455" w:rsidRDefault="00411455" w:rsidP="00411455">
            <w:pPr>
              <w:spacing w:after="0" w:line="240" w:lineRule="auto"/>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Receita Operacional Líquida</w:t>
            </w:r>
          </w:p>
        </w:tc>
        <w:tc>
          <w:tcPr>
            <w:tcW w:w="899" w:type="pct"/>
            <w:tcBorders>
              <w:top w:val="nil"/>
              <w:left w:val="nil"/>
              <w:bottom w:val="single" w:sz="8" w:space="0" w:color="auto"/>
              <w:right w:val="single" w:sz="8" w:space="0" w:color="auto"/>
            </w:tcBorders>
            <w:shd w:val="clear" w:color="auto" w:fill="auto"/>
            <w:noWrap/>
            <w:vAlign w:val="center"/>
            <w:hideMark/>
          </w:tcPr>
          <w:p w14:paraId="73F6B4AE"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xml:space="preserve">              10.224 </w:t>
            </w:r>
          </w:p>
        </w:tc>
        <w:tc>
          <w:tcPr>
            <w:tcW w:w="812" w:type="pct"/>
            <w:tcBorders>
              <w:top w:val="nil"/>
              <w:left w:val="nil"/>
              <w:bottom w:val="single" w:sz="8" w:space="0" w:color="auto"/>
              <w:right w:val="single" w:sz="8" w:space="0" w:color="auto"/>
            </w:tcBorders>
            <w:shd w:val="clear" w:color="auto" w:fill="auto"/>
            <w:noWrap/>
            <w:vAlign w:val="center"/>
            <w:hideMark/>
          </w:tcPr>
          <w:p w14:paraId="5A7E76BD" w14:textId="77777777" w:rsidR="00411455" w:rsidRPr="00411455" w:rsidRDefault="00411455" w:rsidP="00411455">
            <w:pPr>
              <w:spacing w:after="0" w:line="240" w:lineRule="auto"/>
              <w:jc w:val="right"/>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 xml:space="preserve">           11.476 </w:t>
            </w:r>
          </w:p>
        </w:tc>
      </w:tr>
      <w:tr w:rsidR="00411455" w:rsidRPr="00411455" w14:paraId="19D7AEB8" w14:textId="77777777" w:rsidTr="00446A14">
        <w:trPr>
          <w:trHeight w:val="238"/>
        </w:trPr>
        <w:tc>
          <w:tcPr>
            <w:tcW w:w="3289" w:type="pct"/>
            <w:tcBorders>
              <w:top w:val="nil"/>
              <w:left w:val="single" w:sz="8" w:space="0" w:color="auto"/>
              <w:bottom w:val="single" w:sz="8" w:space="0" w:color="auto"/>
              <w:right w:val="single" w:sz="8" w:space="0" w:color="auto"/>
            </w:tcBorders>
            <w:shd w:val="clear" w:color="auto" w:fill="auto"/>
            <w:noWrap/>
            <w:vAlign w:val="center"/>
            <w:hideMark/>
          </w:tcPr>
          <w:p w14:paraId="0AEB97D4" w14:textId="77777777" w:rsidR="00411455" w:rsidRPr="00411455" w:rsidRDefault="00411455" w:rsidP="00411455">
            <w:pPr>
              <w:spacing w:after="0" w:line="240" w:lineRule="auto"/>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Custo dos Produtos Vendidos e Serviços Prestados</w:t>
            </w:r>
          </w:p>
        </w:tc>
        <w:tc>
          <w:tcPr>
            <w:tcW w:w="899" w:type="pct"/>
            <w:tcBorders>
              <w:top w:val="nil"/>
              <w:left w:val="nil"/>
              <w:bottom w:val="single" w:sz="8" w:space="0" w:color="auto"/>
              <w:right w:val="single" w:sz="8" w:space="0" w:color="auto"/>
            </w:tcBorders>
            <w:shd w:val="clear" w:color="auto" w:fill="auto"/>
            <w:noWrap/>
            <w:vAlign w:val="center"/>
            <w:hideMark/>
          </w:tcPr>
          <w:p w14:paraId="0B2C62A1"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xml:space="preserve">               (7.215)</w:t>
            </w:r>
          </w:p>
        </w:tc>
        <w:tc>
          <w:tcPr>
            <w:tcW w:w="812" w:type="pct"/>
            <w:tcBorders>
              <w:top w:val="nil"/>
              <w:left w:val="nil"/>
              <w:bottom w:val="single" w:sz="8" w:space="0" w:color="auto"/>
              <w:right w:val="single" w:sz="8" w:space="0" w:color="auto"/>
            </w:tcBorders>
            <w:shd w:val="clear" w:color="auto" w:fill="auto"/>
            <w:noWrap/>
            <w:vAlign w:val="center"/>
            <w:hideMark/>
          </w:tcPr>
          <w:p w14:paraId="40D08052"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xml:space="preserve">            (9.042)</w:t>
            </w:r>
          </w:p>
        </w:tc>
      </w:tr>
      <w:tr w:rsidR="00411455" w:rsidRPr="00411455" w14:paraId="2DD345C1" w14:textId="77777777" w:rsidTr="00446A14">
        <w:trPr>
          <w:trHeight w:val="238"/>
        </w:trPr>
        <w:tc>
          <w:tcPr>
            <w:tcW w:w="3289" w:type="pct"/>
            <w:tcBorders>
              <w:top w:val="nil"/>
              <w:left w:val="single" w:sz="8" w:space="0" w:color="auto"/>
              <w:bottom w:val="single" w:sz="8" w:space="0" w:color="auto"/>
              <w:right w:val="single" w:sz="8" w:space="0" w:color="auto"/>
            </w:tcBorders>
            <w:shd w:val="clear" w:color="auto" w:fill="auto"/>
            <w:noWrap/>
            <w:vAlign w:val="center"/>
            <w:hideMark/>
          </w:tcPr>
          <w:p w14:paraId="02569606" w14:textId="77777777" w:rsidR="00411455" w:rsidRPr="00411455" w:rsidRDefault="00411455" w:rsidP="00411455">
            <w:pPr>
              <w:spacing w:after="0" w:line="240" w:lineRule="auto"/>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Lucro Bruto</w:t>
            </w:r>
          </w:p>
        </w:tc>
        <w:tc>
          <w:tcPr>
            <w:tcW w:w="899" w:type="pct"/>
            <w:tcBorders>
              <w:top w:val="nil"/>
              <w:left w:val="nil"/>
              <w:bottom w:val="single" w:sz="8" w:space="0" w:color="auto"/>
              <w:right w:val="single" w:sz="8" w:space="0" w:color="auto"/>
            </w:tcBorders>
            <w:shd w:val="clear" w:color="auto" w:fill="auto"/>
            <w:noWrap/>
            <w:vAlign w:val="center"/>
            <w:hideMark/>
          </w:tcPr>
          <w:p w14:paraId="4EC61B1A" w14:textId="77777777" w:rsidR="00411455" w:rsidRPr="00411455" w:rsidRDefault="00411455" w:rsidP="00411455">
            <w:pPr>
              <w:spacing w:after="0" w:line="240" w:lineRule="auto"/>
              <w:jc w:val="right"/>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 xml:space="preserve">                3.009 </w:t>
            </w:r>
          </w:p>
        </w:tc>
        <w:tc>
          <w:tcPr>
            <w:tcW w:w="812" w:type="pct"/>
            <w:tcBorders>
              <w:top w:val="nil"/>
              <w:left w:val="nil"/>
              <w:bottom w:val="single" w:sz="8" w:space="0" w:color="auto"/>
              <w:right w:val="single" w:sz="8" w:space="0" w:color="auto"/>
            </w:tcBorders>
            <w:shd w:val="clear" w:color="auto" w:fill="auto"/>
            <w:noWrap/>
            <w:vAlign w:val="center"/>
            <w:hideMark/>
          </w:tcPr>
          <w:p w14:paraId="210A93C2" w14:textId="77777777" w:rsidR="00411455" w:rsidRPr="00411455" w:rsidRDefault="00411455" w:rsidP="00411455">
            <w:pPr>
              <w:spacing w:after="0" w:line="240" w:lineRule="auto"/>
              <w:jc w:val="right"/>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 xml:space="preserve">              2.434 </w:t>
            </w:r>
          </w:p>
        </w:tc>
      </w:tr>
      <w:tr w:rsidR="00411455" w:rsidRPr="00411455" w14:paraId="0B48A50B" w14:textId="77777777" w:rsidTr="00446A14">
        <w:trPr>
          <w:trHeight w:val="238"/>
        </w:trPr>
        <w:tc>
          <w:tcPr>
            <w:tcW w:w="3289" w:type="pct"/>
            <w:tcBorders>
              <w:top w:val="nil"/>
              <w:left w:val="single" w:sz="8" w:space="0" w:color="auto"/>
              <w:bottom w:val="single" w:sz="8" w:space="0" w:color="auto"/>
              <w:right w:val="single" w:sz="8" w:space="0" w:color="auto"/>
            </w:tcBorders>
            <w:shd w:val="clear" w:color="auto" w:fill="auto"/>
            <w:noWrap/>
            <w:vAlign w:val="center"/>
            <w:hideMark/>
          </w:tcPr>
          <w:p w14:paraId="1D27D382" w14:textId="77777777" w:rsidR="00411455" w:rsidRPr="00411455" w:rsidRDefault="00411455" w:rsidP="00411455">
            <w:pPr>
              <w:spacing w:after="0" w:line="240" w:lineRule="auto"/>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Despesas Operacionais</w:t>
            </w:r>
          </w:p>
        </w:tc>
        <w:tc>
          <w:tcPr>
            <w:tcW w:w="899" w:type="pct"/>
            <w:tcBorders>
              <w:top w:val="nil"/>
              <w:left w:val="nil"/>
              <w:bottom w:val="single" w:sz="8" w:space="0" w:color="auto"/>
              <w:right w:val="single" w:sz="8" w:space="0" w:color="auto"/>
            </w:tcBorders>
            <w:shd w:val="clear" w:color="auto" w:fill="auto"/>
            <w:noWrap/>
            <w:vAlign w:val="center"/>
            <w:hideMark/>
          </w:tcPr>
          <w:p w14:paraId="1BE9E644"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xml:space="preserve">            (13.162)</w:t>
            </w:r>
          </w:p>
        </w:tc>
        <w:tc>
          <w:tcPr>
            <w:tcW w:w="812" w:type="pct"/>
            <w:tcBorders>
              <w:top w:val="nil"/>
              <w:left w:val="nil"/>
              <w:bottom w:val="single" w:sz="8" w:space="0" w:color="auto"/>
              <w:right w:val="single" w:sz="8" w:space="0" w:color="auto"/>
            </w:tcBorders>
            <w:shd w:val="clear" w:color="auto" w:fill="auto"/>
            <w:noWrap/>
            <w:vAlign w:val="center"/>
            <w:hideMark/>
          </w:tcPr>
          <w:p w14:paraId="77336F7A"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xml:space="preserve">          (12.573)</w:t>
            </w:r>
          </w:p>
        </w:tc>
      </w:tr>
      <w:tr w:rsidR="00411455" w:rsidRPr="00411455" w14:paraId="2157691C" w14:textId="77777777" w:rsidTr="00446A14">
        <w:trPr>
          <w:trHeight w:val="238"/>
        </w:trPr>
        <w:tc>
          <w:tcPr>
            <w:tcW w:w="3289" w:type="pct"/>
            <w:tcBorders>
              <w:top w:val="nil"/>
              <w:left w:val="single" w:sz="8" w:space="0" w:color="auto"/>
              <w:bottom w:val="single" w:sz="8" w:space="0" w:color="auto"/>
              <w:right w:val="single" w:sz="8" w:space="0" w:color="auto"/>
            </w:tcBorders>
            <w:shd w:val="clear" w:color="auto" w:fill="auto"/>
            <w:noWrap/>
            <w:vAlign w:val="center"/>
            <w:hideMark/>
          </w:tcPr>
          <w:p w14:paraId="7CF04513" w14:textId="77777777" w:rsidR="00411455" w:rsidRPr="00411455" w:rsidRDefault="00411455" w:rsidP="00411455">
            <w:pPr>
              <w:spacing w:after="0" w:line="240" w:lineRule="auto"/>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Outras Receitas (Despesas) Operacionais</w:t>
            </w:r>
          </w:p>
        </w:tc>
        <w:tc>
          <w:tcPr>
            <w:tcW w:w="899" w:type="pct"/>
            <w:tcBorders>
              <w:top w:val="nil"/>
              <w:left w:val="nil"/>
              <w:bottom w:val="single" w:sz="8" w:space="0" w:color="auto"/>
              <w:right w:val="single" w:sz="8" w:space="0" w:color="auto"/>
            </w:tcBorders>
            <w:shd w:val="clear" w:color="auto" w:fill="auto"/>
            <w:noWrap/>
            <w:vAlign w:val="center"/>
            <w:hideMark/>
          </w:tcPr>
          <w:p w14:paraId="2896DEF1"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xml:space="preserve">               (9.113)</w:t>
            </w:r>
          </w:p>
        </w:tc>
        <w:tc>
          <w:tcPr>
            <w:tcW w:w="812" w:type="pct"/>
            <w:tcBorders>
              <w:top w:val="nil"/>
              <w:left w:val="nil"/>
              <w:bottom w:val="single" w:sz="8" w:space="0" w:color="auto"/>
              <w:right w:val="single" w:sz="8" w:space="0" w:color="auto"/>
            </w:tcBorders>
            <w:shd w:val="clear" w:color="auto" w:fill="auto"/>
            <w:noWrap/>
            <w:vAlign w:val="center"/>
            <w:hideMark/>
          </w:tcPr>
          <w:p w14:paraId="3EF392E6"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xml:space="preserve">          (15.146)</w:t>
            </w:r>
          </w:p>
        </w:tc>
      </w:tr>
      <w:tr w:rsidR="00411455" w:rsidRPr="00411455" w14:paraId="528583C1" w14:textId="77777777" w:rsidTr="00446A14">
        <w:trPr>
          <w:trHeight w:val="238"/>
        </w:trPr>
        <w:tc>
          <w:tcPr>
            <w:tcW w:w="3289" w:type="pct"/>
            <w:tcBorders>
              <w:top w:val="nil"/>
              <w:left w:val="single" w:sz="8" w:space="0" w:color="auto"/>
              <w:bottom w:val="single" w:sz="8" w:space="0" w:color="auto"/>
              <w:right w:val="single" w:sz="8" w:space="0" w:color="auto"/>
            </w:tcBorders>
            <w:shd w:val="clear" w:color="auto" w:fill="auto"/>
            <w:noWrap/>
            <w:vAlign w:val="center"/>
            <w:hideMark/>
          </w:tcPr>
          <w:p w14:paraId="31680BB3" w14:textId="77777777" w:rsidR="00411455" w:rsidRPr="00411455" w:rsidRDefault="00411455" w:rsidP="00411455">
            <w:pPr>
              <w:spacing w:after="0" w:line="240" w:lineRule="auto"/>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Equivalência Patrimonial</w:t>
            </w:r>
          </w:p>
        </w:tc>
        <w:tc>
          <w:tcPr>
            <w:tcW w:w="899" w:type="pct"/>
            <w:tcBorders>
              <w:top w:val="nil"/>
              <w:left w:val="nil"/>
              <w:bottom w:val="single" w:sz="8" w:space="0" w:color="auto"/>
              <w:right w:val="single" w:sz="8" w:space="0" w:color="auto"/>
            </w:tcBorders>
            <w:shd w:val="clear" w:color="auto" w:fill="auto"/>
            <w:noWrap/>
            <w:vAlign w:val="center"/>
            <w:hideMark/>
          </w:tcPr>
          <w:p w14:paraId="7F95922A"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xml:space="preserve">                5.157 </w:t>
            </w:r>
          </w:p>
        </w:tc>
        <w:tc>
          <w:tcPr>
            <w:tcW w:w="812" w:type="pct"/>
            <w:tcBorders>
              <w:top w:val="nil"/>
              <w:left w:val="nil"/>
              <w:bottom w:val="single" w:sz="8" w:space="0" w:color="auto"/>
              <w:right w:val="single" w:sz="8" w:space="0" w:color="auto"/>
            </w:tcBorders>
            <w:shd w:val="clear" w:color="auto" w:fill="auto"/>
            <w:noWrap/>
            <w:vAlign w:val="center"/>
            <w:hideMark/>
          </w:tcPr>
          <w:p w14:paraId="281541AE"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xml:space="preserve">              4.021 </w:t>
            </w:r>
          </w:p>
        </w:tc>
      </w:tr>
      <w:tr w:rsidR="00411455" w:rsidRPr="00411455" w14:paraId="0D3E9352" w14:textId="77777777" w:rsidTr="00446A14">
        <w:trPr>
          <w:trHeight w:val="238"/>
        </w:trPr>
        <w:tc>
          <w:tcPr>
            <w:tcW w:w="3289" w:type="pct"/>
            <w:tcBorders>
              <w:top w:val="nil"/>
              <w:left w:val="single" w:sz="8" w:space="0" w:color="auto"/>
              <w:bottom w:val="single" w:sz="8" w:space="0" w:color="auto"/>
              <w:right w:val="single" w:sz="8" w:space="0" w:color="auto"/>
            </w:tcBorders>
            <w:shd w:val="clear" w:color="auto" w:fill="auto"/>
            <w:noWrap/>
            <w:vAlign w:val="center"/>
            <w:hideMark/>
          </w:tcPr>
          <w:p w14:paraId="671C7141" w14:textId="77777777" w:rsidR="00411455" w:rsidRPr="00411455" w:rsidRDefault="00411455" w:rsidP="00411455">
            <w:pPr>
              <w:spacing w:after="0" w:line="240" w:lineRule="auto"/>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Resultado antes do Resultado Financeiro</w:t>
            </w:r>
          </w:p>
        </w:tc>
        <w:tc>
          <w:tcPr>
            <w:tcW w:w="899" w:type="pct"/>
            <w:tcBorders>
              <w:top w:val="nil"/>
              <w:left w:val="nil"/>
              <w:bottom w:val="single" w:sz="8" w:space="0" w:color="auto"/>
              <w:right w:val="single" w:sz="8" w:space="0" w:color="auto"/>
            </w:tcBorders>
            <w:shd w:val="clear" w:color="auto" w:fill="auto"/>
            <w:noWrap/>
            <w:vAlign w:val="center"/>
            <w:hideMark/>
          </w:tcPr>
          <w:p w14:paraId="4931CB44" w14:textId="77777777" w:rsidR="00411455" w:rsidRPr="00411455" w:rsidRDefault="00411455" w:rsidP="00411455">
            <w:pPr>
              <w:spacing w:after="0" w:line="240" w:lineRule="auto"/>
              <w:jc w:val="right"/>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 xml:space="preserve">            (14.109)</w:t>
            </w:r>
          </w:p>
        </w:tc>
        <w:tc>
          <w:tcPr>
            <w:tcW w:w="812" w:type="pct"/>
            <w:tcBorders>
              <w:top w:val="nil"/>
              <w:left w:val="nil"/>
              <w:bottom w:val="single" w:sz="8" w:space="0" w:color="auto"/>
              <w:right w:val="single" w:sz="8" w:space="0" w:color="auto"/>
            </w:tcBorders>
            <w:shd w:val="clear" w:color="auto" w:fill="auto"/>
            <w:noWrap/>
            <w:vAlign w:val="center"/>
            <w:hideMark/>
          </w:tcPr>
          <w:p w14:paraId="164FC4D3" w14:textId="77777777" w:rsidR="00411455" w:rsidRPr="00411455" w:rsidRDefault="00411455" w:rsidP="00411455">
            <w:pPr>
              <w:spacing w:after="0" w:line="240" w:lineRule="auto"/>
              <w:jc w:val="right"/>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 xml:space="preserve">          (21.264)</w:t>
            </w:r>
          </w:p>
        </w:tc>
      </w:tr>
      <w:tr w:rsidR="00411455" w:rsidRPr="00411455" w14:paraId="138B2796" w14:textId="77777777" w:rsidTr="00446A14">
        <w:trPr>
          <w:trHeight w:val="238"/>
        </w:trPr>
        <w:tc>
          <w:tcPr>
            <w:tcW w:w="3289" w:type="pct"/>
            <w:tcBorders>
              <w:top w:val="nil"/>
              <w:left w:val="single" w:sz="8" w:space="0" w:color="auto"/>
              <w:bottom w:val="single" w:sz="8" w:space="0" w:color="auto"/>
              <w:right w:val="single" w:sz="8" w:space="0" w:color="auto"/>
            </w:tcBorders>
            <w:shd w:val="clear" w:color="auto" w:fill="auto"/>
            <w:noWrap/>
            <w:vAlign w:val="center"/>
            <w:hideMark/>
          </w:tcPr>
          <w:p w14:paraId="34A65AE6" w14:textId="77777777" w:rsidR="00411455" w:rsidRPr="00411455" w:rsidRDefault="00411455" w:rsidP="00411455">
            <w:pPr>
              <w:spacing w:after="0" w:line="240" w:lineRule="auto"/>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Resultado Financeiro</w:t>
            </w:r>
          </w:p>
        </w:tc>
        <w:tc>
          <w:tcPr>
            <w:tcW w:w="899" w:type="pct"/>
            <w:tcBorders>
              <w:top w:val="nil"/>
              <w:left w:val="nil"/>
              <w:bottom w:val="single" w:sz="8" w:space="0" w:color="auto"/>
              <w:right w:val="single" w:sz="8" w:space="0" w:color="auto"/>
            </w:tcBorders>
            <w:shd w:val="clear" w:color="auto" w:fill="auto"/>
            <w:noWrap/>
            <w:vAlign w:val="center"/>
            <w:hideMark/>
          </w:tcPr>
          <w:p w14:paraId="6CFA068A"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xml:space="preserve">                9.504 </w:t>
            </w:r>
          </w:p>
        </w:tc>
        <w:tc>
          <w:tcPr>
            <w:tcW w:w="812" w:type="pct"/>
            <w:tcBorders>
              <w:top w:val="nil"/>
              <w:left w:val="nil"/>
              <w:bottom w:val="single" w:sz="8" w:space="0" w:color="auto"/>
              <w:right w:val="single" w:sz="8" w:space="0" w:color="auto"/>
            </w:tcBorders>
            <w:shd w:val="clear" w:color="auto" w:fill="auto"/>
            <w:noWrap/>
            <w:vAlign w:val="center"/>
            <w:hideMark/>
          </w:tcPr>
          <w:p w14:paraId="4ED9C5EE"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xml:space="preserve">              8.124 </w:t>
            </w:r>
          </w:p>
        </w:tc>
      </w:tr>
      <w:tr w:rsidR="00411455" w:rsidRPr="00411455" w14:paraId="63DFF398" w14:textId="77777777" w:rsidTr="00446A14">
        <w:trPr>
          <w:trHeight w:val="238"/>
        </w:trPr>
        <w:tc>
          <w:tcPr>
            <w:tcW w:w="3289" w:type="pct"/>
            <w:tcBorders>
              <w:top w:val="nil"/>
              <w:left w:val="single" w:sz="8" w:space="0" w:color="auto"/>
              <w:bottom w:val="single" w:sz="8" w:space="0" w:color="auto"/>
              <w:right w:val="single" w:sz="8" w:space="0" w:color="auto"/>
            </w:tcBorders>
            <w:shd w:val="clear" w:color="auto" w:fill="auto"/>
            <w:noWrap/>
            <w:vAlign w:val="center"/>
            <w:hideMark/>
          </w:tcPr>
          <w:p w14:paraId="5C7A5D16" w14:textId="77777777" w:rsidR="00411455" w:rsidRPr="00411455" w:rsidRDefault="00411455" w:rsidP="00411455">
            <w:pPr>
              <w:spacing w:after="0" w:line="240" w:lineRule="auto"/>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Resultado Antes dos Tributos</w:t>
            </w:r>
          </w:p>
        </w:tc>
        <w:tc>
          <w:tcPr>
            <w:tcW w:w="899" w:type="pct"/>
            <w:tcBorders>
              <w:top w:val="nil"/>
              <w:left w:val="nil"/>
              <w:bottom w:val="single" w:sz="8" w:space="0" w:color="auto"/>
              <w:right w:val="single" w:sz="8" w:space="0" w:color="auto"/>
            </w:tcBorders>
            <w:shd w:val="clear" w:color="auto" w:fill="auto"/>
            <w:noWrap/>
            <w:vAlign w:val="center"/>
            <w:hideMark/>
          </w:tcPr>
          <w:p w14:paraId="5D520CA7" w14:textId="77777777" w:rsidR="00411455" w:rsidRPr="00411455" w:rsidRDefault="00411455" w:rsidP="00411455">
            <w:pPr>
              <w:spacing w:after="0" w:line="240" w:lineRule="auto"/>
              <w:jc w:val="right"/>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 xml:space="preserve">               (4.605)</w:t>
            </w:r>
          </w:p>
        </w:tc>
        <w:tc>
          <w:tcPr>
            <w:tcW w:w="812" w:type="pct"/>
            <w:tcBorders>
              <w:top w:val="nil"/>
              <w:left w:val="nil"/>
              <w:bottom w:val="single" w:sz="8" w:space="0" w:color="auto"/>
              <w:right w:val="single" w:sz="8" w:space="0" w:color="auto"/>
            </w:tcBorders>
            <w:shd w:val="clear" w:color="auto" w:fill="auto"/>
            <w:noWrap/>
            <w:vAlign w:val="center"/>
            <w:hideMark/>
          </w:tcPr>
          <w:p w14:paraId="2FBC3F95" w14:textId="77777777" w:rsidR="00411455" w:rsidRPr="00411455" w:rsidRDefault="00411455" w:rsidP="00411455">
            <w:pPr>
              <w:spacing w:after="0" w:line="240" w:lineRule="auto"/>
              <w:jc w:val="right"/>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 xml:space="preserve">          (13.140)</w:t>
            </w:r>
          </w:p>
        </w:tc>
      </w:tr>
      <w:tr w:rsidR="00411455" w:rsidRPr="00411455" w14:paraId="05CC2886" w14:textId="77777777" w:rsidTr="00446A14">
        <w:trPr>
          <w:trHeight w:val="238"/>
        </w:trPr>
        <w:tc>
          <w:tcPr>
            <w:tcW w:w="3289" w:type="pct"/>
            <w:tcBorders>
              <w:top w:val="nil"/>
              <w:left w:val="single" w:sz="8" w:space="0" w:color="auto"/>
              <w:bottom w:val="single" w:sz="8" w:space="0" w:color="auto"/>
              <w:right w:val="single" w:sz="8" w:space="0" w:color="auto"/>
            </w:tcBorders>
            <w:shd w:val="clear" w:color="auto" w:fill="auto"/>
            <w:noWrap/>
            <w:vAlign w:val="center"/>
            <w:hideMark/>
          </w:tcPr>
          <w:p w14:paraId="2190FE77" w14:textId="77777777" w:rsidR="00411455" w:rsidRPr="00411455" w:rsidRDefault="00411455" w:rsidP="00411455">
            <w:pPr>
              <w:spacing w:after="0" w:line="240" w:lineRule="auto"/>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IRPJ / CSLL</w:t>
            </w:r>
          </w:p>
        </w:tc>
        <w:tc>
          <w:tcPr>
            <w:tcW w:w="899" w:type="pct"/>
            <w:tcBorders>
              <w:top w:val="nil"/>
              <w:left w:val="nil"/>
              <w:bottom w:val="single" w:sz="8" w:space="0" w:color="auto"/>
              <w:right w:val="single" w:sz="8" w:space="0" w:color="auto"/>
            </w:tcBorders>
            <w:shd w:val="clear" w:color="auto" w:fill="auto"/>
            <w:noWrap/>
            <w:vAlign w:val="center"/>
            <w:hideMark/>
          </w:tcPr>
          <w:p w14:paraId="527ED274"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xml:space="preserve">                        5 </w:t>
            </w:r>
          </w:p>
        </w:tc>
        <w:tc>
          <w:tcPr>
            <w:tcW w:w="812" w:type="pct"/>
            <w:tcBorders>
              <w:top w:val="nil"/>
              <w:left w:val="nil"/>
              <w:bottom w:val="single" w:sz="8" w:space="0" w:color="auto"/>
              <w:right w:val="single" w:sz="8" w:space="0" w:color="auto"/>
            </w:tcBorders>
            <w:shd w:val="clear" w:color="auto" w:fill="auto"/>
            <w:noWrap/>
            <w:vAlign w:val="center"/>
            <w:hideMark/>
          </w:tcPr>
          <w:p w14:paraId="665C80F5"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xml:space="preserve">                 -      </w:t>
            </w:r>
          </w:p>
        </w:tc>
      </w:tr>
      <w:tr w:rsidR="00411455" w:rsidRPr="00411455" w14:paraId="6C3ECFA4" w14:textId="77777777" w:rsidTr="00446A14">
        <w:trPr>
          <w:trHeight w:val="238"/>
        </w:trPr>
        <w:tc>
          <w:tcPr>
            <w:tcW w:w="3289" w:type="pct"/>
            <w:tcBorders>
              <w:top w:val="nil"/>
              <w:left w:val="single" w:sz="8" w:space="0" w:color="auto"/>
              <w:bottom w:val="single" w:sz="8" w:space="0" w:color="auto"/>
              <w:right w:val="single" w:sz="8" w:space="0" w:color="auto"/>
            </w:tcBorders>
            <w:shd w:val="clear" w:color="auto" w:fill="auto"/>
            <w:noWrap/>
            <w:vAlign w:val="center"/>
            <w:hideMark/>
          </w:tcPr>
          <w:p w14:paraId="043B5747" w14:textId="77777777" w:rsidR="00411455" w:rsidRPr="00411455" w:rsidRDefault="00411455" w:rsidP="00411455">
            <w:pPr>
              <w:spacing w:after="0" w:line="240" w:lineRule="auto"/>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Prejuízo Líquido do Período</w:t>
            </w:r>
          </w:p>
        </w:tc>
        <w:tc>
          <w:tcPr>
            <w:tcW w:w="899" w:type="pct"/>
            <w:tcBorders>
              <w:top w:val="nil"/>
              <w:left w:val="nil"/>
              <w:bottom w:val="single" w:sz="8" w:space="0" w:color="auto"/>
              <w:right w:val="single" w:sz="8" w:space="0" w:color="auto"/>
            </w:tcBorders>
            <w:shd w:val="clear" w:color="auto" w:fill="auto"/>
            <w:noWrap/>
            <w:vAlign w:val="center"/>
            <w:hideMark/>
          </w:tcPr>
          <w:p w14:paraId="738FF3EA" w14:textId="77777777" w:rsidR="00411455" w:rsidRPr="00411455" w:rsidRDefault="00411455" w:rsidP="00411455">
            <w:pPr>
              <w:spacing w:after="0" w:line="240" w:lineRule="auto"/>
              <w:jc w:val="right"/>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 xml:space="preserve">               (4.600)</w:t>
            </w:r>
          </w:p>
        </w:tc>
        <w:tc>
          <w:tcPr>
            <w:tcW w:w="812" w:type="pct"/>
            <w:tcBorders>
              <w:top w:val="nil"/>
              <w:left w:val="nil"/>
              <w:bottom w:val="single" w:sz="8" w:space="0" w:color="auto"/>
              <w:right w:val="single" w:sz="8" w:space="0" w:color="auto"/>
            </w:tcBorders>
            <w:shd w:val="clear" w:color="auto" w:fill="auto"/>
            <w:noWrap/>
            <w:vAlign w:val="center"/>
            <w:hideMark/>
          </w:tcPr>
          <w:p w14:paraId="748D4FE4" w14:textId="77777777" w:rsidR="00411455" w:rsidRPr="00411455" w:rsidRDefault="00411455" w:rsidP="00411455">
            <w:pPr>
              <w:spacing w:after="0" w:line="240" w:lineRule="auto"/>
              <w:jc w:val="right"/>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 xml:space="preserve">          (13.140)</w:t>
            </w:r>
          </w:p>
        </w:tc>
      </w:tr>
    </w:tbl>
    <w:p w14:paraId="5E84CC62" w14:textId="409F02D4" w:rsidR="00411455" w:rsidRPr="00411455" w:rsidRDefault="00411455" w:rsidP="007A23F8">
      <w:pPr>
        <w:autoSpaceDE w:val="0"/>
        <w:autoSpaceDN w:val="0"/>
        <w:adjustRightInd w:val="0"/>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14. </w:t>
      </w:r>
      <w:r w:rsidRPr="00411455">
        <w:rPr>
          <w:rFonts w:ascii="Calibri" w:eastAsia="Times New Roman" w:hAnsi="Calibri" w:cs="Calibri"/>
          <w:b/>
          <w:bCs/>
          <w:iCs/>
          <w:color w:val="002060"/>
          <w:kern w:val="0"/>
          <w14:ligatures w14:val="none"/>
        </w:rPr>
        <w:t>IMOBILIZADO</w:t>
      </w:r>
    </w:p>
    <w:p w14:paraId="030C26EB" w14:textId="77777777" w:rsidR="00411455" w:rsidRPr="00411455" w:rsidRDefault="00411455" w:rsidP="007A23F8">
      <w:pPr>
        <w:autoSpaceDE w:val="0"/>
        <w:autoSpaceDN w:val="0"/>
        <w:adjustRightInd w:val="0"/>
        <w:spacing w:after="0" w:line="240" w:lineRule="auto"/>
        <w:jc w:val="both"/>
        <w:rPr>
          <w:rFonts w:ascii="Calibri" w:eastAsia="Times New Roman" w:hAnsi="Calibri" w:cs="Calibri"/>
          <w:iCs/>
          <w:color w:val="002060"/>
          <w:kern w:val="0"/>
          <w14:ligatures w14:val="none"/>
        </w:rPr>
      </w:pPr>
      <w:r w:rsidRPr="00411455">
        <w:rPr>
          <w:rFonts w:ascii="Calibri" w:eastAsia="Times New Roman" w:hAnsi="Calibri" w:cs="Calibri"/>
          <w:iCs/>
          <w:color w:val="002060"/>
          <w:kern w:val="0"/>
          <w14:ligatures w14:val="none"/>
        </w:rPr>
        <w:t xml:space="preserve">No imobilizado estão os bens destinados à manutenção das atividades da Telebras e registrados ao custo de aquisição, deduzidos das respectivas depreciações calculadas pelo método linear, mediante aplicação de taxas que consideram a vida útil econômica dos bens e de provisão para redução ao valor recuperável quando houver indicação de que o valor contábil dos bens esteja superior ao valor de recuperação. O valor contábil do imobilizado em 31 de dezembro de 2023 era de R$ 2.121.373 (R$ 2.253.712 em 31 de dezembro de 2022). </w:t>
      </w:r>
    </w:p>
    <w:p w14:paraId="516471ED" w14:textId="77777777" w:rsidR="00411455" w:rsidRPr="00411455" w:rsidRDefault="00411455" w:rsidP="007A23F8">
      <w:pPr>
        <w:autoSpaceDE w:val="0"/>
        <w:autoSpaceDN w:val="0"/>
        <w:adjustRightInd w:val="0"/>
        <w:spacing w:after="0" w:line="240" w:lineRule="auto"/>
        <w:jc w:val="both"/>
        <w:rPr>
          <w:rFonts w:ascii="Calibri" w:eastAsia="Times New Roman" w:hAnsi="Calibri" w:cs="Calibri"/>
          <w:iCs/>
          <w:color w:val="002060"/>
          <w:kern w:val="0"/>
          <w14:ligatures w14:val="none"/>
        </w:rPr>
      </w:pPr>
      <w:r w:rsidRPr="00411455">
        <w:rPr>
          <w:rFonts w:ascii="Calibri" w:eastAsia="Times New Roman" w:hAnsi="Calibri" w:cs="Calibri"/>
          <w:iCs/>
          <w:color w:val="002060"/>
          <w:kern w:val="0"/>
          <w14:ligatures w14:val="none"/>
        </w:rPr>
        <w:t>Em 31 de dezembro de 2023, os ativos da Companhia não apresentavam indícios de perdas ao valor recuperável (</w:t>
      </w:r>
      <w:proofErr w:type="spellStart"/>
      <w:r w:rsidRPr="00411455">
        <w:rPr>
          <w:rFonts w:ascii="Calibri" w:eastAsia="Times New Roman" w:hAnsi="Calibri" w:cs="Calibri"/>
          <w:i/>
          <w:iCs/>
          <w:color w:val="002060"/>
          <w:kern w:val="0"/>
          <w14:ligatures w14:val="none"/>
        </w:rPr>
        <w:t>Impairment</w:t>
      </w:r>
      <w:proofErr w:type="spellEnd"/>
      <w:r w:rsidRPr="00411455">
        <w:rPr>
          <w:rFonts w:ascii="Calibri" w:eastAsia="Times New Roman" w:hAnsi="Calibri" w:cs="Calibri"/>
          <w:iCs/>
          <w:color w:val="002060"/>
          <w:kern w:val="0"/>
          <w14:ligatures w14:val="none"/>
        </w:rPr>
        <w:t xml:space="preserve">). </w:t>
      </w:r>
    </w:p>
    <w:p w14:paraId="06F9B8F0" w14:textId="77777777" w:rsidR="00411455" w:rsidRPr="00411455" w:rsidRDefault="00411455" w:rsidP="007A23F8">
      <w:pPr>
        <w:autoSpaceDE w:val="0"/>
        <w:autoSpaceDN w:val="0"/>
        <w:adjustRightInd w:val="0"/>
        <w:spacing w:after="0" w:line="240" w:lineRule="auto"/>
        <w:jc w:val="both"/>
        <w:rPr>
          <w:rFonts w:ascii="Calibri" w:eastAsia="Times New Roman" w:hAnsi="Calibri" w:cs="Calibri"/>
          <w:iCs/>
          <w:color w:val="002060"/>
          <w:kern w:val="0"/>
          <w14:ligatures w14:val="none"/>
        </w:rPr>
      </w:pPr>
      <w:r w:rsidRPr="00411455">
        <w:rPr>
          <w:rFonts w:ascii="Calibri" w:eastAsia="Times New Roman" w:hAnsi="Calibri" w:cs="Calibri"/>
          <w:iCs/>
          <w:color w:val="002060"/>
          <w:kern w:val="0"/>
          <w14:ligatures w14:val="none"/>
        </w:rPr>
        <w:t xml:space="preserve">Os especialistas da Companhia (engenheiros), estabeleceram através de laudo, que a vida útil econômica do satélite Geoestacionário de Defesa e Comunicações Estratégicas Satélite (SGDC) é 17 (dezessete) anos a partir da entrada de operação, que ocorreu de julho de 2018. </w:t>
      </w:r>
    </w:p>
    <w:p w14:paraId="55C570BD" w14:textId="77777777" w:rsidR="00411455" w:rsidRPr="00411455" w:rsidRDefault="00411455" w:rsidP="007A23F8">
      <w:pPr>
        <w:autoSpaceDE w:val="0"/>
        <w:autoSpaceDN w:val="0"/>
        <w:adjustRightInd w:val="0"/>
        <w:spacing w:after="0" w:line="240" w:lineRule="auto"/>
        <w:jc w:val="both"/>
        <w:rPr>
          <w:rFonts w:ascii="Calibri" w:eastAsia="Times New Roman" w:hAnsi="Calibri" w:cs="Calibri"/>
          <w:iCs/>
          <w:color w:val="002060"/>
          <w:kern w:val="0"/>
          <w14:ligatures w14:val="none"/>
        </w:rPr>
      </w:pPr>
      <w:r w:rsidRPr="00411455">
        <w:rPr>
          <w:rFonts w:ascii="Calibri" w:eastAsia="Times New Roman" w:hAnsi="Calibri" w:cs="Calibri"/>
          <w:iCs/>
          <w:color w:val="002060"/>
          <w:kern w:val="0"/>
          <w14:ligatures w14:val="none"/>
        </w:rPr>
        <w:t>Em 31 de dezembro de 2023, a Companhia possuía bens do ativo imobilizado dados em garantias do contrato de financiamento junto à FINEP. O valor de liquidação dos bens dados em garantia é de R$ 64.246, conforme laudo de avaliação.</w:t>
      </w:r>
    </w:p>
    <w:p w14:paraId="402CB95D" w14:textId="77777777" w:rsidR="00411455" w:rsidRPr="00411455" w:rsidRDefault="00411455" w:rsidP="007A23F8">
      <w:pPr>
        <w:autoSpaceDE w:val="0"/>
        <w:autoSpaceDN w:val="0"/>
        <w:adjustRightInd w:val="0"/>
        <w:spacing w:after="0" w:line="240" w:lineRule="auto"/>
        <w:jc w:val="both"/>
        <w:rPr>
          <w:rFonts w:ascii="Calibri" w:eastAsia="Times New Roman" w:hAnsi="Calibri" w:cs="Calibri"/>
          <w:iCs/>
          <w:color w:val="002060"/>
          <w:kern w:val="0"/>
          <w14:ligatures w14:val="none"/>
        </w:rPr>
      </w:pPr>
      <w:r w:rsidRPr="00411455">
        <w:rPr>
          <w:rFonts w:ascii="Calibri" w:eastAsia="Times New Roman" w:hAnsi="Calibri" w:cs="Calibri"/>
          <w:iCs/>
          <w:color w:val="002060"/>
          <w:kern w:val="0"/>
          <w14:ligatures w14:val="none"/>
        </w:rPr>
        <w:t>A Companhia não possui bens dados em garantia, relativos à penhora ou aval em defesa de processos judiciais.</w:t>
      </w:r>
    </w:p>
    <w:p w14:paraId="5C17956B" w14:textId="3E66B2A4" w:rsidR="00411455" w:rsidRDefault="00411455" w:rsidP="007A23F8">
      <w:pPr>
        <w:autoSpaceDE w:val="0"/>
        <w:autoSpaceDN w:val="0"/>
        <w:adjustRightInd w:val="0"/>
        <w:spacing w:after="0" w:line="240" w:lineRule="auto"/>
        <w:jc w:val="both"/>
        <w:rPr>
          <w:rFonts w:ascii="Calibri" w:eastAsia="Times New Roman" w:hAnsi="Calibri" w:cs="Calibri"/>
          <w:b/>
          <w:bCs/>
          <w:iCs/>
          <w:color w:val="002060"/>
          <w:kern w:val="0"/>
          <w14:ligatures w14:val="none"/>
        </w:rPr>
      </w:pPr>
      <w:bookmarkStart w:id="402" w:name="_Toc491337736"/>
      <w:r>
        <w:rPr>
          <w:rFonts w:ascii="Calibri" w:eastAsia="Times New Roman" w:hAnsi="Calibri" w:cs="Calibri"/>
          <w:b/>
          <w:bCs/>
          <w:iCs/>
          <w:color w:val="002060"/>
          <w:kern w:val="0"/>
          <w14:ligatures w14:val="none"/>
        </w:rPr>
        <w:t xml:space="preserve">14.1. </w:t>
      </w:r>
      <w:r w:rsidRPr="00411455">
        <w:rPr>
          <w:rFonts w:ascii="Calibri" w:eastAsia="Times New Roman" w:hAnsi="Calibri" w:cs="Calibri"/>
          <w:b/>
          <w:bCs/>
          <w:iCs/>
          <w:color w:val="002060"/>
          <w:kern w:val="0"/>
          <w14:ligatures w14:val="none"/>
        </w:rPr>
        <w:t xml:space="preserve">Movimentação do imobilizado </w:t>
      </w:r>
      <w:bookmarkEnd w:id="402"/>
    </w:p>
    <w:tbl>
      <w:tblPr>
        <w:tblW w:w="5000" w:type="pct"/>
        <w:tblLayout w:type="fixed"/>
        <w:tblCellMar>
          <w:left w:w="70" w:type="dxa"/>
          <w:right w:w="70" w:type="dxa"/>
        </w:tblCellMar>
        <w:tblLook w:val="04A0" w:firstRow="1" w:lastRow="0" w:firstColumn="1" w:lastColumn="0" w:noHBand="0" w:noVBand="1"/>
      </w:tblPr>
      <w:tblGrid>
        <w:gridCol w:w="2156"/>
        <w:gridCol w:w="677"/>
        <w:gridCol w:w="711"/>
        <w:gridCol w:w="850"/>
        <w:gridCol w:w="664"/>
        <w:gridCol w:w="752"/>
        <w:gridCol w:w="885"/>
        <w:gridCol w:w="834"/>
        <w:gridCol w:w="692"/>
        <w:gridCol w:w="850"/>
        <w:gridCol w:w="700"/>
      </w:tblGrid>
      <w:tr w:rsidR="00411455" w:rsidRPr="00411455" w14:paraId="4DE9634B" w14:textId="77777777" w:rsidTr="00446A14">
        <w:trPr>
          <w:trHeight w:val="227"/>
          <w:tblHeader/>
        </w:trPr>
        <w:tc>
          <w:tcPr>
            <w:tcW w:w="1103"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919BB64" w14:textId="77777777" w:rsidR="00411455" w:rsidRPr="00411455" w:rsidRDefault="00411455" w:rsidP="00411455">
            <w:pPr>
              <w:spacing w:after="0" w:line="240" w:lineRule="auto"/>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Composição: </w:t>
            </w:r>
          </w:p>
        </w:tc>
        <w:tc>
          <w:tcPr>
            <w:tcW w:w="3897" w:type="pct"/>
            <w:gridSpan w:val="10"/>
            <w:tcBorders>
              <w:top w:val="single" w:sz="4" w:space="0" w:color="auto"/>
              <w:left w:val="nil"/>
              <w:bottom w:val="single" w:sz="4" w:space="0" w:color="auto"/>
              <w:right w:val="single" w:sz="4" w:space="0" w:color="auto"/>
            </w:tcBorders>
            <w:shd w:val="clear" w:color="auto" w:fill="auto"/>
            <w:noWrap/>
            <w:vAlign w:val="center"/>
            <w:hideMark/>
          </w:tcPr>
          <w:p w14:paraId="0B36BC7B" w14:textId="77777777" w:rsidR="00411455" w:rsidRPr="00411455" w:rsidRDefault="00411455" w:rsidP="00411455">
            <w:pPr>
              <w:spacing w:after="0" w:line="240" w:lineRule="auto"/>
              <w:jc w:val="center"/>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Imobilizado</w:t>
            </w:r>
          </w:p>
        </w:tc>
      </w:tr>
      <w:tr w:rsidR="00411455" w:rsidRPr="00411455" w14:paraId="21AC43DB" w14:textId="77777777" w:rsidTr="00446A14">
        <w:trPr>
          <w:trHeight w:val="227"/>
          <w:tblHeader/>
        </w:trPr>
        <w:tc>
          <w:tcPr>
            <w:tcW w:w="1103" w:type="pct"/>
            <w:vMerge/>
            <w:tcBorders>
              <w:top w:val="single" w:sz="4" w:space="0" w:color="auto"/>
              <w:left w:val="single" w:sz="4" w:space="0" w:color="auto"/>
              <w:bottom w:val="single" w:sz="4" w:space="0" w:color="auto"/>
              <w:right w:val="single" w:sz="4" w:space="0" w:color="auto"/>
            </w:tcBorders>
            <w:vAlign w:val="center"/>
            <w:hideMark/>
          </w:tcPr>
          <w:p w14:paraId="0D931F52" w14:textId="77777777" w:rsidR="00411455" w:rsidRPr="00411455" w:rsidRDefault="00411455" w:rsidP="00411455">
            <w:pPr>
              <w:spacing w:after="0" w:line="240" w:lineRule="auto"/>
              <w:rPr>
                <w:rFonts w:ascii="Arial" w:eastAsia="Times New Roman" w:hAnsi="Arial" w:cs="Arial"/>
                <w:b/>
                <w:bCs/>
                <w:color w:val="000000"/>
                <w:kern w:val="0"/>
                <w:sz w:val="10"/>
                <w:szCs w:val="10"/>
                <w:lang w:eastAsia="pt-BR"/>
                <w14:ligatures w14:val="none"/>
              </w:rPr>
            </w:pPr>
          </w:p>
        </w:tc>
        <w:tc>
          <w:tcPr>
            <w:tcW w:w="2749" w:type="pct"/>
            <w:gridSpan w:val="7"/>
            <w:tcBorders>
              <w:top w:val="single" w:sz="4" w:space="0" w:color="auto"/>
              <w:left w:val="nil"/>
              <w:bottom w:val="single" w:sz="4" w:space="0" w:color="auto"/>
              <w:right w:val="single" w:sz="4" w:space="0" w:color="auto"/>
            </w:tcBorders>
            <w:shd w:val="clear" w:color="auto" w:fill="auto"/>
            <w:noWrap/>
            <w:vAlign w:val="center"/>
            <w:hideMark/>
          </w:tcPr>
          <w:p w14:paraId="602555EB" w14:textId="77777777" w:rsidR="00411455" w:rsidRPr="00411455" w:rsidRDefault="00411455" w:rsidP="00411455">
            <w:pPr>
              <w:spacing w:after="0" w:line="240" w:lineRule="auto"/>
              <w:jc w:val="center"/>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Bens e Instalações em Serviço</w:t>
            </w:r>
          </w:p>
        </w:tc>
        <w:tc>
          <w:tcPr>
            <w:tcW w:w="354" w:type="pct"/>
            <w:vMerge w:val="restart"/>
            <w:tcBorders>
              <w:top w:val="nil"/>
              <w:left w:val="single" w:sz="4" w:space="0" w:color="auto"/>
              <w:bottom w:val="single" w:sz="4" w:space="0" w:color="auto"/>
              <w:right w:val="single" w:sz="4" w:space="0" w:color="auto"/>
            </w:tcBorders>
            <w:shd w:val="clear" w:color="auto" w:fill="auto"/>
            <w:vAlign w:val="center"/>
            <w:hideMark/>
          </w:tcPr>
          <w:p w14:paraId="135DFD01" w14:textId="77777777" w:rsidR="00411455" w:rsidRPr="00411455" w:rsidRDefault="00411455" w:rsidP="00411455">
            <w:pPr>
              <w:spacing w:after="0" w:line="240" w:lineRule="auto"/>
              <w:jc w:val="center"/>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Direito de Uso de Ativo</w:t>
            </w:r>
          </w:p>
        </w:tc>
        <w:tc>
          <w:tcPr>
            <w:tcW w:w="435" w:type="pct"/>
            <w:vMerge w:val="restart"/>
            <w:tcBorders>
              <w:top w:val="nil"/>
              <w:left w:val="single" w:sz="4" w:space="0" w:color="auto"/>
              <w:bottom w:val="single" w:sz="4" w:space="0" w:color="auto"/>
              <w:right w:val="single" w:sz="4" w:space="0" w:color="auto"/>
            </w:tcBorders>
            <w:shd w:val="clear" w:color="auto" w:fill="auto"/>
            <w:vAlign w:val="center"/>
            <w:hideMark/>
          </w:tcPr>
          <w:p w14:paraId="17BFC0AB" w14:textId="77777777" w:rsidR="00411455" w:rsidRPr="00411455" w:rsidRDefault="00411455" w:rsidP="00411455">
            <w:pPr>
              <w:spacing w:after="0" w:line="240" w:lineRule="auto"/>
              <w:jc w:val="center"/>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Imobilizado em Andamento</w:t>
            </w:r>
          </w:p>
        </w:tc>
        <w:tc>
          <w:tcPr>
            <w:tcW w:w="358" w:type="pct"/>
            <w:vMerge w:val="restart"/>
            <w:tcBorders>
              <w:top w:val="nil"/>
              <w:left w:val="single" w:sz="4" w:space="0" w:color="auto"/>
              <w:bottom w:val="single" w:sz="4" w:space="0" w:color="auto"/>
              <w:right w:val="single" w:sz="4" w:space="0" w:color="auto"/>
            </w:tcBorders>
            <w:shd w:val="clear" w:color="auto" w:fill="auto"/>
            <w:vAlign w:val="center"/>
            <w:hideMark/>
          </w:tcPr>
          <w:p w14:paraId="324F2787" w14:textId="77777777" w:rsidR="00411455" w:rsidRPr="00411455" w:rsidRDefault="00411455" w:rsidP="00411455">
            <w:pPr>
              <w:spacing w:after="0" w:line="240" w:lineRule="auto"/>
              <w:jc w:val="center"/>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Total</w:t>
            </w:r>
          </w:p>
        </w:tc>
      </w:tr>
      <w:tr w:rsidR="00411455" w:rsidRPr="00411455" w14:paraId="38CC12EA" w14:textId="77777777" w:rsidTr="00446A14">
        <w:trPr>
          <w:trHeight w:val="227"/>
          <w:tblHeader/>
        </w:trPr>
        <w:tc>
          <w:tcPr>
            <w:tcW w:w="1103" w:type="pct"/>
            <w:vMerge/>
            <w:tcBorders>
              <w:top w:val="single" w:sz="4" w:space="0" w:color="auto"/>
              <w:left w:val="single" w:sz="4" w:space="0" w:color="auto"/>
              <w:bottom w:val="single" w:sz="4" w:space="0" w:color="auto"/>
              <w:right w:val="single" w:sz="4" w:space="0" w:color="auto"/>
            </w:tcBorders>
            <w:vAlign w:val="center"/>
            <w:hideMark/>
          </w:tcPr>
          <w:p w14:paraId="68B3EBEB" w14:textId="77777777" w:rsidR="00411455" w:rsidRPr="00411455" w:rsidRDefault="00411455" w:rsidP="00411455">
            <w:pPr>
              <w:spacing w:after="0" w:line="240" w:lineRule="auto"/>
              <w:rPr>
                <w:rFonts w:ascii="Arial" w:eastAsia="Times New Roman" w:hAnsi="Arial" w:cs="Arial"/>
                <w:b/>
                <w:bCs/>
                <w:color w:val="000000"/>
                <w:kern w:val="0"/>
                <w:sz w:val="10"/>
                <w:szCs w:val="10"/>
                <w:lang w:eastAsia="pt-BR"/>
                <w14:ligatures w14:val="none"/>
              </w:rPr>
            </w:pPr>
          </w:p>
        </w:tc>
        <w:tc>
          <w:tcPr>
            <w:tcW w:w="346" w:type="pct"/>
            <w:tcBorders>
              <w:top w:val="nil"/>
              <w:left w:val="nil"/>
              <w:bottom w:val="single" w:sz="4" w:space="0" w:color="auto"/>
              <w:right w:val="single" w:sz="4" w:space="0" w:color="auto"/>
            </w:tcBorders>
            <w:shd w:val="clear" w:color="auto" w:fill="auto"/>
            <w:vAlign w:val="center"/>
            <w:hideMark/>
          </w:tcPr>
          <w:p w14:paraId="596E7B86" w14:textId="77777777" w:rsidR="00411455" w:rsidRPr="00411455" w:rsidRDefault="00411455" w:rsidP="00411455">
            <w:pPr>
              <w:spacing w:after="0" w:line="240" w:lineRule="auto"/>
              <w:jc w:val="center"/>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 xml:space="preserve">Instalações Prediais - </w:t>
            </w:r>
            <w:proofErr w:type="spellStart"/>
            <w:r w:rsidRPr="00411455">
              <w:rPr>
                <w:rFonts w:ascii="Arial" w:eastAsia="Times New Roman" w:hAnsi="Arial" w:cs="Arial"/>
                <w:b/>
                <w:bCs/>
                <w:color w:val="000000"/>
                <w:kern w:val="0"/>
                <w:sz w:val="10"/>
                <w:szCs w:val="10"/>
                <w:lang w:eastAsia="pt-BR"/>
                <w14:ligatures w14:val="none"/>
              </w:rPr>
              <w:t>Benf</w:t>
            </w:r>
            <w:proofErr w:type="spellEnd"/>
            <w:r w:rsidRPr="00411455">
              <w:rPr>
                <w:rFonts w:ascii="Arial" w:eastAsia="Times New Roman" w:hAnsi="Arial" w:cs="Arial"/>
                <w:b/>
                <w:bCs/>
                <w:color w:val="000000"/>
                <w:kern w:val="0"/>
                <w:sz w:val="10"/>
                <w:szCs w:val="10"/>
                <w:lang w:eastAsia="pt-BR"/>
                <w14:ligatures w14:val="none"/>
              </w:rPr>
              <w:t xml:space="preserve">. em </w:t>
            </w:r>
            <w:proofErr w:type="spellStart"/>
            <w:r w:rsidRPr="00411455">
              <w:rPr>
                <w:rFonts w:ascii="Arial" w:eastAsia="Times New Roman" w:hAnsi="Arial" w:cs="Arial"/>
                <w:b/>
                <w:bCs/>
                <w:color w:val="000000"/>
                <w:kern w:val="0"/>
                <w:sz w:val="10"/>
                <w:szCs w:val="10"/>
                <w:lang w:eastAsia="pt-BR"/>
                <w14:ligatures w14:val="none"/>
              </w:rPr>
              <w:t>Prop</w:t>
            </w:r>
            <w:proofErr w:type="spellEnd"/>
            <w:r w:rsidRPr="00411455">
              <w:rPr>
                <w:rFonts w:ascii="Arial" w:eastAsia="Times New Roman" w:hAnsi="Arial" w:cs="Arial"/>
                <w:b/>
                <w:bCs/>
                <w:color w:val="000000"/>
                <w:kern w:val="0"/>
                <w:sz w:val="10"/>
                <w:szCs w:val="10"/>
                <w:lang w:eastAsia="pt-BR"/>
                <w14:ligatures w14:val="none"/>
              </w:rPr>
              <w:t>. de Terceiros</w:t>
            </w:r>
          </w:p>
        </w:tc>
        <w:tc>
          <w:tcPr>
            <w:tcW w:w="364" w:type="pct"/>
            <w:tcBorders>
              <w:top w:val="nil"/>
              <w:left w:val="nil"/>
              <w:bottom w:val="single" w:sz="4" w:space="0" w:color="auto"/>
              <w:right w:val="single" w:sz="4" w:space="0" w:color="auto"/>
            </w:tcBorders>
            <w:shd w:val="clear" w:color="auto" w:fill="auto"/>
            <w:vAlign w:val="center"/>
            <w:hideMark/>
          </w:tcPr>
          <w:p w14:paraId="7E85A5C2" w14:textId="77777777" w:rsidR="00411455" w:rsidRPr="00411455" w:rsidRDefault="00411455" w:rsidP="00411455">
            <w:pPr>
              <w:spacing w:after="0" w:line="240" w:lineRule="auto"/>
              <w:jc w:val="center"/>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Mobiliário</w:t>
            </w:r>
          </w:p>
        </w:tc>
        <w:tc>
          <w:tcPr>
            <w:tcW w:w="435" w:type="pct"/>
            <w:tcBorders>
              <w:top w:val="nil"/>
              <w:left w:val="nil"/>
              <w:bottom w:val="single" w:sz="4" w:space="0" w:color="auto"/>
              <w:right w:val="single" w:sz="4" w:space="0" w:color="auto"/>
            </w:tcBorders>
            <w:shd w:val="clear" w:color="auto" w:fill="auto"/>
            <w:vAlign w:val="center"/>
            <w:hideMark/>
          </w:tcPr>
          <w:p w14:paraId="6834FAC3" w14:textId="77777777" w:rsidR="00411455" w:rsidRPr="00411455" w:rsidRDefault="00411455" w:rsidP="00411455">
            <w:pPr>
              <w:spacing w:after="0" w:line="240" w:lineRule="auto"/>
              <w:jc w:val="center"/>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Infraestrutura</w:t>
            </w:r>
          </w:p>
        </w:tc>
        <w:tc>
          <w:tcPr>
            <w:tcW w:w="340" w:type="pct"/>
            <w:tcBorders>
              <w:top w:val="nil"/>
              <w:left w:val="nil"/>
              <w:bottom w:val="single" w:sz="4" w:space="0" w:color="auto"/>
              <w:right w:val="single" w:sz="4" w:space="0" w:color="auto"/>
            </w:tcBorders>
            <w:shd w:val="clear" w:color="auto" w:fill="auto"/>
            <w:vAlign w:val="center"/>
            <w:hideMark/>
          </w:tcPr>
          <w:p w14:paraId="5384EB46" w14:textId="77777777" w:rsidR="00411455" w:rsidRPr="00411455" w:rsidRDefault="00411455" w:rsidP="00411455">
            <w:pPr>
              <w:spacing w:after="0" w:line="240" w:lineRule="auto"/>
              <w:jc w:val="center"/>
              <w:rPr>
                <w:rFonts w:ascii="Arial" w:eastAsia="Times New Roman" w:hAnsi="Arial" w:cs="Arial"/>
                <w:b/>
                <w:bCs/>
                <w:color w:val="000000"/>
                <w:kern w:val="0"/>
                <w:sz w:val="10"/>
                <w:szCs w:val="10"/>
                <w:lang w:eastAsia="pt-BR"/>
                <w14:ligatures w14:val="none"/>
              </w:rPr>
            </w:pPr>
            <w:proofErr w:type="spellStart"/>
            <w:r w:rsidRPr="00411455">
              <w:rPr>
                <w:rFonts w:ascii="Arial" w:eastAsia="Times New Roman" w:hAnsi="Arial" w:cs="Arial"/>
                <w:b/>
                <w:bCs/>
                <w:color w:val="000000"/>
                <w:kern w:val="0"/>
                <w:sz w:val="10"/>
                <w:szCs w:val="10"/>
                <w:lang w:eastAsia="pt-BR"/>
                <w14:ligatures w14:val="none"/>
              </w:rPr>
              <w:t>Equip</w:t>
            </w:r>
            <w:proofErr w:type="spellEnd"/>
            <w:r w:rsidRPr="00411455">
              <w:rPr>
                <w:rFonts w:ascii="Arial" w:eastAsia="Times New Roman" w:hAnsi="Arial" w:cs="Arial"/>
                <w:b/>
                <w:bCs/>
                <w:color w:val="000000"/>
                <w:kern w:val="0"/>
                <w:sz w:val="10"/>
                <w:szCs w:val="10"/>
                <w:lang w:eastAsia="pt-BR"/>
                <w14:ligatures w14:val="none"/>
              </w:rPr>
              <w:t>. de Data Center</w:t>
            </w:r>
          </w:p>
        </w:tc>
        <w:tc>
          <w:tcPr>
            <w:tcW w:w="385" w:type="pct"/>
            <w:tcBorders>
              <w:top w:val="nil"/>
              <w:left w:val="nil"/>
              <w:bottom w:val="single" w:sz="4" w:space="0" w:color="auto"/>
              <w:right w:val="single" w:sz="4" w:space="0" w:color="auto"/>
            </w:tcBorders>
            <w:shd w:val="clear" w:color="auto" w:fill="auto"/>
            <w:vAlign w:val="center"/>
            <w:hideMark/>
          </w:tcPr>
          <w:p w14:paraId="2D42AD81" w14:textId="77777777" w:rsidR="00411455" w:rsidRPr="00411455" w:rsidRDefault="00411455" w:rsidP="00411455">
            <w:pPr>
              <w:spacing w:after="0" w:line="240" w:lineRule="auto"/>
              <w:jc w:val="center"/>
              <w:rPr>
                <w:rFonts w:ascii="Arial" w:eastAsia="Times New Roman" w:hAnsi="Arial" w:cs="Arial"/>
                <w:b/>
                <w:bCs/>
                <w:color w:val="000000"/>
                <w:kern w:val="0"/>
                <w:sz w:val="10"/>
                <w:szCs w:val="10"/>
                <w:lang w:eastAsia="pt-BR"/>
                <w14:ligatures w14:val="none"/>
              </w:rPr>
            </w:pPr>
            <w:proofErr w:type="spellStart"/>
            <w:r w:rsidRPr="00411455">
              <w:rPr>
                <w:rFonts w:ascii="Arial" w:eastAsia="Times New Roman" w:hAnsi="Arial" w:cs="Arial"/>
                <w:b/>
                <w:bCs/>
                <w:color w:val="000000"/>
                <w:kern w:val="0"/>
                <w:sz w:val="10"/>
                <w:szCs w:val="10"/>
                <w:lang w:eastAsia="pt-BR"/>
                <w14:ligatures w14:val="none"/>
              </w:rPr>
              <w:t>Equip</w:t>
            </w:r>
            <w:proofErr w:type="spellEnd"/>
            <w:r w:rsidRPr="00411455">
              <w:rPr>
                <w:rFonts w:ascii="Arial" w:eastAsia="Times New Roman" w:hAnsi="Arial" w:cs="Arial"/>
                <w:b/>
                <w:bCs/>
                <w:color w:val="000000"/>
                <w:kern w:val="0"/>
                <w:sz w:val="10"/>
                <w:szCs w:val="10"/>
                <w:lang w:eastAsia="pt-BR"/>
                <w14:ligatures w14:val="none"/>
              </w:rPr>
              <w:t>. de Tecnologia de Informação</w:t>
            </w:r>
          </w:p>
        </w:tc>
        <w:tc>
          <w:tcPr>
            <w:tcW w:w="453" w:type="pct"/>
            <w:tcBorders>
              <w:top w:val="nil"/>
              <w:left w:val="nil"/>
              <w:bottom w:val="single" w:sz="4" w:space="0" w:color="auto"/>
              <w:right w:val="single" w:sz="4" w:space="0" w:color="auto"/>
            </w:tcBorders>
            <w:shd w:val="clear" w:color="auto" w:fill="auto"/>
            <w:vAlign w:val="center"/>
            <w:hideMark/>
          </w:tcPr>
          <w:p w14:paraId="7206F5DE" w14:textId="77777777" w:rsidR="00411455" w:rsidRPr="00411455" w:rsidRDefault="00411455" w:rsidP="00411455">
            <w:pPr>
              <w:spacing w:after="0" w:line="240" w:lineRule="auto"/>
              <w:jc w:val="center"/>
              <w:rPr>
                <w:rFonts w:ascii="Arial" w:eastAsia="Times New Roman" w:hAnsi="Arial" w:cs="Arial"/>
                <w:b/>
                <w:bCs/>
                <w:color w:val="000000"/>
                <w:kern w:val="0"/>
                <w:sz w:val="10"/>
                <w:szCs w:val="10"/>
                <w:lang w:eastAsia="pt-BR"/>
                <w14:ligatures w14:val="none"/>
              </w:rPr>
            </w:pPr>
            <w:proofErr w:type="spellStart"/>
            <w:r w:rsidRPr="00411455">
              <w:rPr>
                <w:rFonts w:ascii="Arial" w:eastAsia="Times New Roman" w:hAnsi="Arial" w:cs="Arial"/>
                <w:b/>
                <w:bCs/>
                <w:color w:val="000000"/>
                <w:kern w:val="0"/>
                <w:sz w:val="10"/>
                <w:szCs w:val="10"/>
                <w:lang w:eastAsia="pt-BR"/>
                <w14:ligatures w14:val="none"/>
              </w:rPr>
              <w:t>Equip</w:t>
            </w:r>
            <w:proofErr w:type="spellEnd"/>
            <w:r w:rsidRPr="00411455">
              <w:rPr>
                <w:rFonts w:ascii="Arial" w:eastAsia="Times New Roman" w:hAnsi="Arial" w:cs="Arial"/>
                <w:b/>
                <w:bCs/>
                <w:color w:val="000000"/>
                <w:kern w:val="0"/>
                <w:sz w:val="10"/>
                <w:szCs w:val="10"/>
                <w:lang w:eastAsia="pt-BR"/>
                <w14:ligatures w14:val="none"/>
              </w:rPr>
              <w:t>. de Transmissão / Comunicação de Dados</w:t>
            </w:r>
          </w:p>
        </w:tc>
        <w:tc>
          <w:tcPr>
            <w:tcW w:w="427" w:type="pct"/>
            <w:tcBorders>
              <w:top w:val="nil"/>
              <w:left w:val="nil"/>
              <w:bottom w:val="single" w:sz="4" w:space="0" w:color="auto"/>
              <w:right w:val="single" w:sz="4" w:space="0" w:color="auto"/>
            </w:tcBorders>
            <w:shd w:val="clear" w:color="auto" w:fill="auto"/>
            <w:vAlign w:val="center"/>
            <w:hideMark/>
          </w:tcPr>
          <w:p w14:paraId="101334D8" w14:textId="77777777" w:rsidR="00411455" w:rsidRPr="00411455" w:rsidRDefault="00411455" w:rsidP="00411455">
            <w:pPr>
              <w:spacing w:after="0" w:line="240" w:lineRule="auto"/>
              <w:jc w:val="center"/>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Outros Equipamentos</w:t>
            </w:r>
          </w:p>
        </w:tc>
        <w:tc>
          <w:tcPr>
            <w:tcW w:w="354" w:type="pct"/>
            <w:vMerge/>
            <w:tcBorders>
              <w:top w:val="nil"/>
              <w:left w:val="single" w:sz="4" w:space="0" w:color="auto"/>
              <w:bottom w:val="single" w:sz="4" w:space="0" w:color="auto"/>
              <w:right w:val="single" w:sz="4" w:space="0" w:color="auto"/>
            </w:tcBorders>
            <w:vAlign w:val="center"/>
            <w:hideMark/>
          </w:tcPr>
          <w:p w14:paraId="4BDF0B39" w14:textId="77777777" w:rsidR="00411455" w:rsidRPr="00411455" w:rsidRDefault="00411455" w:rsidP="00411455">
            <w:pPr>
              <w:spacing w:after="0" w:line="240" w:lineRule="auto"/>
              <w:rPr>
                <w:rFonts w:ascii="Arial" w:eastAsia="Times New Roman" w:hAnsi="Arial" w:cs="Arial"/>
                <w:b/>
                <w:bCs/>
                <w:color w:val="000000"/>
                <w:kern w:val="0"/>
                <w:sz w:val="10"/>
                <w:szCs w:val="10"/>
                <w:lang w:eastAsia="pt-BR"/>
                <w14:ligatures w14:val="none"/>
              </w:rPr>
            </w:pPr>
          </w:p>
        </w:tc>
        <w:tc>
          <w:tcPr>
            <w:tcW w:w="435" w:type="pct"/>
            <w:vMerge/>
            <w:tcBorders>
              <w:top w:val="nil"/>
              <w:left w:val="single" w:sz="4" w:space="0" w:color="auto"/>
              <w:bottom w:val="single" w:sz="4" w:space="0" w:color="auto"/>
              <w:right w:val="single" w:sz="4" w:space="0" w:color="auto"/>
            </w:tcBorders>
            <w:vAlign w:val="center"/>
            <w:hideMark/>
          </w:tcPr>
          <w:p w14:paraId="46BE71DB" w14:textId="77777777" w:rsidR="00411455" w:rsidRPr="00411455" w:rsidRDefault="00411455" w:rsidP="00411455">
            <w:pPr>
              <w:spacing w:after="0" w:line="240" w:lineRule="auto"/>
              <w:rPr>
                <w:rFonts w:ascii="Arial" w:eastAsia="Times New Roman" w:hAnsi="Arial" w:cs="Arial"/>
                <w:b/>
                <w:bCs/>
                <w:color w:val="000000"/>
                <w:kern w:val="0"/>
                <w:sz w:val="10"/>
                <w:szCs w:val="10"/>
                <w:lang w:eastAsia="pt-BR"/>
                <w14:ligatures w14:val="none"/>
              </w:rPr>
            </w:pPr>
          </w:p>
        </w:tc>
        <w:tc>
          <w:tcPr>
            <w:tcW w:w="358" w:type="pct"/>
            <w:vMerge/>
            <w:tcBorders>
              <w:top w:val="nil"/>
              <w:left w:val="single" w:sz="4" w:space="0" w:color="auto"/>
              <w:bottom w:val="single" w:sz="4" w:space="0" w:color="auto"/>
              <w:right w:val="single" w:sz="4" w:space="0" w:color="auto"/>
            </w:tcBorders>
            <w:vAlign w:val="center"/>
            <w:hideMark/>
          </w:tcPr>
          <w:p w14:paraId="1322CAD5" w14:textId="77777777" w:rsidR="00411455" w:rsidRPr="00411455" w:rsidRDefault="00411455" w:rsidP="00411455">
            <w:pPr>
              <w:spacing w:after="0" w:line="240" w:lineRule="auto"/>
              <w:rPr>
                <w:rFonts w:ascii="Arial" w:eastAsia="Times New Roman" w:hAnsi="Arial" w:cs="Arial"/>
                <w:b/>
                <w:bCs/>
                <w:color w:val="000000"/>
                <w:kern w:val="0"/>
                <w:sz w:val="10"/>
                <w:szCs w:val="10"/>
                <w:lang w:eastAsia="pt-BR"/>
                <w14:ligatures w14:val="none"/>
              </w:rPr>
            </w:pPr>
          </w:p>
        </w:tc>
      </w:tr>
      <w:tr w:rsidR="00411455" w:rsidRPr="00411455" w14:paraId="15A31AA6" w14:textId="77777777" w:rsidTr="00446A14">
        <w:trPr>
          <w:trHeight w:val="227"/>
        </w:trPr>
        <w:tc>
          <w:tcPr>
            <w:tcW w:w="1103" w:type="pct"/>
            <w:tcBorders>
              <w:top w:val="nil"/>
              <w:left w:val="single" w:sz="4" w:space="0" w:color="auto"/>
              <w:bottom w:val="single" w:sz="4" w:space="0" w:color="auto"/>
              <w:right w:val="single" w:sz="4" w:space="0" w:color="auto"/>
            </w:tcBorders>
            <w:shd w:val="clear" w:color="auto" w:fill="auto"/>
            <w:noWrap/>
            <w:vAlign w:val="center"/>
            <w:hideMark/>
          </w:tcPr>
          <w:p w14:paraId="07FE6411" w14:textId="77777777" w:rsidR="00411455" w:rsidRPr="00411455" w:rsidRDefault="00411455" w:rsidP="00411455">
            <w:pPr>
              <w:spacing w:after="0" w:line="240" w:lineRule="auto"/>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Custo de Aquisição</w:t>
            </w:r>
          </w:p>
        </w:tc>
        <w:tc>
          <w:tcPr>
            <w:tcW w:w="346" w:type="pct"/>
            <w:tcBorders>
              <w:top w:val="nil"/>
              <w:left w:val="nil"/>
              <w:bottom w:val="single" w:sz="4" w:space="0" w:color="auto"/>
              <w:right w:val="single" w:sz="4" w:space="0" w:color="auto"/>
            </w:tcBorders>
            <w:shd w:val="clear" w:color="auto" w:fill="auto"/>
            <w:vAlign w:val="center"/>
            <w:hideMark/>
          </w:tcPr>
          <w:p w14:paraId="45519779" w14:textId="77777777" w:rsidR="00411455" w:rsidRPr="00411455" w:rsidRDefault="00411455" w:rsidP="00411455">
            <w:pPr>
              <w:spacing w:after="0" w:line="240" w:lineRule="auto"/>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 </w:t>
            </w:r>
          </w:p>
        </w:tc>
        <w:tc>
          <w:tcPr>
            <w:tcW w:w="364" w:type="pct"/>
            <w:tcBorders>
              <w:top w:val="nil"/>
              <w:left w:val="nil"/>
              <w:bottom w:val="single" w:sz="4" w:space="0" w:color="auto"/>
              <w:right w:val="single" w:sz="4" w:space="0" w:color="auto"/>
            </w:tcBorders>
            <w:shd w:val="clear" w:color="auto" w:fill="auto"/>
            <w:vAlign w:val="center"/>
            <w:hideMark/>
          </w:tcPr>
          <w:p w14:paraId="662CD8BE" w14:textId="77777777" w:rsidR="00411455" w:rsidRPr="00411455" w:rsidRDefault="00411455" w:rsidP="00411455">
            <w:pPr>
              <w:spacing w:after="0" w:line="240" w:lineRule="auto"/>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 </w:t>
            </w:r>
          </w:p>
        </w:tc>
        <w:tc>
          <w:tcPr>
            <w:tcW w:w="435" w:type="pct"/>
            <w:tcBorders>
              <w:top w:val="nil"/>
              <w:left w:val="nil"/>
              <w:bottom w:val="single" w:sz="4" w:space="0" w:color="auto"/>
              <w:right w:val="single" w:sz="4" w:space="0" w:color="auto"/>
            </w:tcBorders>
            <w:shd w:val="clear" w:color="auto" w:fill="auto"/>
            <w:vAlign w:val="center"/>
            <w:hideMark/>
          </w:tcPr>
          <w:p w14:paraId="6183DE6B" w14:textId="77777777" w:rsidR="00411455" w:rsidRPr="00411455" w:rsidRDefault="00411455" w:rsidP="00411455">
            <w:pPr>
              <w:spacing w:after="0" w:line="240" w:lineRule="auto"/>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1AF89035" w14:textId="77777777" w:rsidR="00411455" w:rsidRPr="00411455" w:rsidRDefault="00411455" w:rsidP="00411455">
            <w:pPr>
              <w:spacing w:after="0" w:line="240" w:lineRule="auto"/>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 </w:t>
            </w:r>
          </w:p>
        </w:tc>
        <w:tc>
          <w:tcPr>
            <w:tcW w:w="385" w:type="pct"/>
            <w:tcBorders>
              <w:top w:val="nil"/>
              <w:left w:val="nil"/>
              <w:bottom w:val="single" w:sz="4" w:space="0" w:color="auto"/>
              <w:right w:val="single" w:sz="4" w:space="0" w:color="auto"/>
            </w:tcBorders>
            <w:shd w:val="clear" w:color="auto" w:fill="auto"/>
            <w:vAlign w:val="center"/>
            <w:hideMark/>
          </w:tcPr>
          <w:p w14:paraId="4CC0F2DB" w14:textId="77777777" w:rsidR="00411455" w:rsidRPr="00411455" w:rsidRDefault="00411455" w:rsidP="00411455">
            <w:pPr>
              <w:spacing w:after="0" w:line="240" w:lineRule="auto"/>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 </w:t>
            </w:r>
          </w:p>
        </w:tc>
        <w:tc>
          <w:tcPr>
            <w:tcW w:w="453" w:type="pct"/>
            <w:tcBorders>
              <w:top w:val="nil"/>
              <w:left w:val="nil"/>
              <w:bottom w:val="single" w:sz="4" w:space="0" w:color="auto"/>
              <w:right w:val="single" w:sz="4" w:space="0" w:color="auto"/>
            </w:tcBorders>
            <w:shd w:val="clear" w:color="auto" w:fill="auto"/>
            <w:vAlign w:val="center"/>
            <w:hideMark/>
          </w:tcPr>
          <w:p w14:paraId="21319ED7" w14:textId="77777777" w:rsidR="00411455" w:rsidRPr="00411455" w:rsidRDefault="00411455" w:rsidP="00411455">
            <w:pPr>
              <w:spacing w:after="0" w:line="240" w:lineRule="auto"/>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 </w:t>
            </w:r>
          </w:p>
        </w:tc>
        <w:tc>
          <w:tcPr>
            <w:tcW w:w="427" w:type="pct"/>
            <w:tcBorders>
              <w:top w:val="nil"/>
              <w:left w:val="nil"/>
              <w:bottom w:val="single" w:sz="4" w:space="0" w:color="auto"/>
              <w:right w:val="single" w:sz="4" w:space="0" w:color="auto"/>
            </w:tcBorders>
            <w:shd w:val="clear" w:color="auto" w:fill="auto"/>
            <w:vAlign w:val="center"/>
            <w:hideMark/>
          </w:tcPr>
          <w:p w14:paraId="07A76B6F" w14:textId="77777777" w:rsidR="00411455" w:rsidRPr="00411455" w:rsidRDefault="00411455" w:rsidP="00411455">
            <w:pPr>
              <w:spacing w:after="0" w:line="240" w:lineRule="auto"/>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 </w:t>
            </w:r>
          </w:p>
        </w:tc>
        <w:tc>
          <w:tcPr>
            <w:tcW w:w="354" w:type="pct"/>
            <w:tcBorders>
              <w:top w:val="nil"/>
              <w:left w:val="nil"/>
              <w:bottom w:val="single" w:sz="4" w:space="0" w:color="auto"/>
              <w:right w:val="single" w:sz="4" w:space="0" w:color="auto"/>
            </w:tcBorders>
            <w:shd w:val="clear" w:color="auto" w:fill="auto"/>
            <w:vAlign w:val="center"/>
            <w:hideMark/>
          </w:tcPr>
          <w:p w14:paraId="3CD1462F" w14:textId="77777777" w:rsidR="00411455" w:rsidRPr="00411455" w:rsidRDefault="00411455" w:rsidP="00411455">
            <w:pPr>
              <w:spacing w:after="0" w:line="240" w:lineRule="auto"/>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 </w:t>
            </w:r>
          </w:p>
        </w:tc>
        <w:tc>
          <w:tcPr>
            <w:tcW w:w="435" w:type="pct"/>
            <w:tcBorders>
              <w:top w:val="nil"/>
              <w:left w:val="nil"/>
              <w:bottom w:val="single" w:sz="4" w:space="0" w:color="auto"/>
              <w:right w:val="single" w:sz="4" w:space="0" w:color="auto"/>
            </w:tcBorders>
            <w:shd w:val="clear" w:color="auto" w:fill="auto"/>
            <w:vAlign w:val="center"/>
            <w:hideMark/>
          </w:tcPr>
          <w:p w14:paraId="437E5024" w14:textId="77777777" w:rsidR="00411455" w:rsidRPr="00411455" w:rsidRDefault="00411455" w:rsidP="00411455">
            <w:pPr>
              <w:spacing w:after="0" w:line="240" w:lineRule="auto"/>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 </w:t>
            </w:r>
          </w:p>
        </w:tc>
        <w:tc>
          <w:tcPr>
            <w:tcW w:w="358" w:type="pct"/>
            <w:tcBorders>
              <w:top w:val="nil"/>
              <w:left w:val="nil"/>
              <w:bottom w:val="single" w:sz="4" w:space="0" w:color="auto"/>
              <w:right w:val="single" w:sz="4" w:space="0" w:color="auto"/>
            </w:tcBorders>
            <w:shd w:val="clear" w:color="auto" w:fill="auto"/>
            <w:vAlign w:val="center"/>
            <w:hideMark/>
          </w:tcPr>
          <w:p w14:paraId="5FD55177" w14:textId="77777777" w:rsidR="00411455" w:rsidRPr="00411455" w:rsidRDefault="00411455" w:rsidP="00411455">
            <w:pPr>
              <w:spacing w:after="0" w:line="240" w:lineRule="auto"/>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 </w:t>
            </w:r>
          </w:p>
        </w:tc>
      </w:tr>
      <w:tr w:rsidR="00411455" w:rsidRPr="00411455" w14:paraId="7AD129A3" w14:textId="77777777" w:rsidTr="00446A14">
        <w:trPr>
          <w:trHeight w:val="227"/>
        </w:trPr>
        <w:tc>
          <w:tcPr>
            <w:tcW w:w="1103" w:type="pct"/>
            <w:tcBorders>
              <w:top w:val="nil"/>
              <w:left w:val="single" w:sz="4" w:space="0" w:color="auto"/>
              <w:bottom w:val="single" w:sz="4" w:space="0" w:color="auto"/>
              <w:right w:val="single" w:sz="4" w:space="0" w:color="auto"/>
            </w:tcBorders>
            <w:shd w:val="clear" w:color="auto" w:fill="auto"/>
            <w:noWrap/>
            <w:vAlign w:val="center"/>
            <w:hideMark/>
          </w:tcPr>
          <w:p w14:paraId="2D4212AB" w14:textId="77777777" w:rsidR="00411455" w:rsidRPr="00411455" w:rsidRDefault="00411455" w:rsidP="00411455">
            <w:pPr>
              <w:spacing w:after="0" w:line="240" w:lineRule="auto"/>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Saldo em 31 de dezembro de 2022</w:t>
            </w:r>
          </w:p>
        </w:tc>
        <w:tc>
          <w:tcPr>
            <w:tcW w:w="346" w:type="pct"/>
            <w:tcBorders>
              <w:top w:val="nil"/>
              <w:left w:val="nil"/>
              <w:bottom w:val="single" w:sz="4" w:space="0" w:color="auto"/>
              <w:right w:val="single" w:sz="4" w:space="0" w:color="auto"/>
            </w:tcBorders>
            <w:shd w:val="clear" w:color="auto" w:fill="auto"/>
            <w:noWrap/>
            <w:vAlign w:val="center"/>
            <w:hideMark/>
          </w:tcPr>
          <w:p w14:paraId="5AD30515"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286.347</w:t>
            </w:r>
          </w:p>
        </w:tc>
        <w:tc>
          <w:tcPr>
            <w:tcW w:w="364" w:type="pct"/>
            <w:tcBorders>
              <w:top w:val="nil"/>
              <w:left w:val="nil"/>
              <w:bottom w:val="single" w:sz="4" w:space="0" w:color="auto"/>
              <w:right w:val="single" w:sz="4" w:space="0" w:color="auto"/>
            </w:tcBorders>
            <w:shd w:val="clear" w:color="auto" w:fill="auto"/>
            <w:noWrap/>
            <w:vAlign w:val="center"/>
            <w:hideMark/>
          </w:tcPr>
          <w:p w14:paraId="6C76E419"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2.793</w:t>
            </w:r>
          </w:p>
        </w:tc>
        <w:tc>
          <w:tcPr>
            <w:tcW w:w="435" w:type="pct"/>
            <w:tcBorders>
              <w:top w:val="nil"/>
              <w:left w:val="nil"/>
              <w:bottom w:val="single" w:sz="4" w:space="0" w:color="auto"/>
              <w:right w:val="single" w:sz="4" w:space="0" w:color="auto"/>
            </w:tcBorders>
            <w:shd w:val="clear" w:color="auto" w:fill="auto"/>
            <w:noWrap/>
            <w:vAlign w:val="center"/>
            <w:hideMark/>
          </w:tcPr>
          <w:p w14:paraId="28197B62"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239.766</w:t>
            </w:r>
          </w:p>
        </w:tc>
        <w:tc>
          <w:tcPr>
            <w:tcW w:w="340" w:type="pct"/>
            <w:tcBorders>
              <w:top w:val="nil"/>
              <w:left w:val="nil"/>
              <w:bottom w:val="single" w:sz="4" w:space="0" w:color="auto"/>
              <w:right w:val="single" w:sz="4" w:space="0" w:color="auto"/>
            </w:tcBorders>
            <w:shd w:val="clear" w:color="auto" w:fill="auto"/>
            <w:noWrap/>
            <w:vAlign w:val="center"/>
            <w:hideMark/>
          </w:tcPr>
          <w:p w14:paraId="749F3272"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3.576</w:t>
            </w:r>
          </w:p>
        </w:tc>
        <w:tc>
          <w:tcPr>
            <w:tcW w:w="385" w:type="pct"/>
            <w:tcBorders>
              <w:top w:val="nil"/>
              <w:left w:val="nil"/>
              <w:bottom w:val="single" w:sz="4" w:space="0" w:color="auto"/>
              <w:right w:val="single" w:sz="4" w:space="0" w:color="auto"/>
            </w:tcBorders>
            <w:shd w:val="clear" w:color="auto" w:fill="auto"/>
            <w:noWrap/>
            <w:vAlign w:val="center"/>
            <w:hideMark/>
          </w:tcPr>
          <w:p w14:paraId="1A5F2312"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17.176</w:t>
            </w:r>
          </w:p>
        </w:tc>
        <w:tc>
          <w:tcPr>
            <w:tcW w:w="453" w:type="pct"/>
            <w:tcBorders>
              <w:top w:val="nil"/>
              <w:left w:val="nil"/>
              <w:bottom w:val="single" w:sz="4" w:space="0" w:color="auto"/>
              <w:right w:val="single" w:sz="4" w:space="0" w:color="auto"/>
            </w:tcBorders>
            <w:shd w:val="clear" w:color="auto" w:fill="auto"/>
            <w:noWrap/>
            <w:vAlign w:val="center"/>
            <w:hideMark/>
          </w:tcPr>
          <w:p w14:paraId="4ED1337E"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2.700.835</w:t>
            </w:r>
          </w:p>
        </w:tc>
        <w:tc>
          <w:tcPr>
            <w:tcW w:w="427" w:type="pct"/>
            <w:tcBorders>
              <w:top w:val="nil"/>
              <w:left w:val="nil"/>
              <w:bottom w:val="single" w:sz="4" w:space="0" w:color="auto"/>
              <w:right w:val="single" w:sz="4" w:space="0" w:color="auto"/>
            </w:tcBorders>
            <w:shd w:val="clear" w:color="auto" w:fill="auto"/>
            <w:noWrap/>
            <w:vAlign w:val="center"/>
            <w:hideMark/>
          </w:tcPr>
          <w:p w14:paraId="4AB14D54"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1.156</w:t>
            </w:r>
          </w:p>
        </w:tc>
        <w:tc>
          <w:tcPr>
            <w:tcW w:w="354" w:type="pct"/>
            <w:tcBorders>
              <w:top w:val="nil"/>
              <w:left w:val="nil"/>
              <w:bottom w:val="single" w:sz="4" w:space="0" w:color="auto"/>
              <w:right w:val="single" w:sz="4" w:space="0" w:color="auto"/>
            </w:tcBorders>
            <w:shd w:val="clear" w:color="auto" w:fill="auto"/>
            <w:noWrap/>
            <w:vAlign w:val="center"/>
            <w:hideMark/>
          </w:tcPr>
          <w:p w14:paraId="0EF06037"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48.532</w:t>
            </w:r>
          </w:p>
        </w:tc>
        <w:tc>
          <w:tcPr>
            <w:tcW w:w="435" w:type="pct"/>
            <w:tcBorders>
              <w:top w:val="nil"/>
              <w:left w:val="nil"/>
              <w:bottom w:val="single" w:sz="4" w:space="0" w:color="auto"/>
              <w:right w:val="single" w:sz="4" w:space="0" w:color="auto"/>
            </w:tcBorders>
            <w:shd w:val="clear" w:color="auto" w:fill="auto"/>
            <w:noWrap/>
            <w:vAlign w:val="center"/>
            <w:hideMark/>
          </w:tcPr>
          <w:p w14:paraId="36A7E982"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138.555</w:t>
            </w:r>
          </w:p>
        </w:tc>
        <w:tc>
          <w:tcPr>
            <w:tcW w:w="358" w:type="pct"/>
            <w:tcBorders>
              <w:top w:val="nil"/>
              <w:left w:val="nil"/>
              <w:bottom w:val="single" w:sz="4" w:space="0" w:color="auto"/>
              <w:right w:val="single" w:sz="4" w:space="0" w:color="auto"/>
            </w:tcBorders>
            <w:shd w:val="clear" w:color="auto" w:fill="auto"/>
            <w:noWrap/>
            <w:vAlign w:val="center"/>
            <w:hideMark/>
          </w:tcPr>
          <w:p w14:paraId="62B5FDA9"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3.438.736</w:t>
            </w:r>
          </w:p>
        </w:tc>
      </w:tr>
      <w:tr w:rsidR="00411455" w:rsidRPr="00411455" w14:paraId="0B9B858A" w14:textId="77777777" w:rsidTr="00446A14">
        <w:trPr>
          <w:trHeight w:val="227"/>
        </w:trPr>
        <w:tc>
          <w:tcPr>
            <w:tcW w:w="1103" w:type="pct"/>
            <w:tcBorders>
              <w:top w:val="nil"/>
              <w:left w:val="single" w:sz="4" w:space="0" w:color="auto"/>
              <w:bottom w:val="single" w:sz="4" w:space="0" w:color="auto"/>
              <w:right w:val="single" w:sz="4" w:space="0" w:color="auto"/>
            </w:tcBorders>
            <w:shd w:val="clear" w:color="auto" w:fill="auto"/>
            <w:noWrap/>
            <w:vAlign w:val="center"/>
            <w:hideMark/>
          </w:tcPr>
          <w:p w14:paraId="45374BF9" w14:textId="77777777" w:rsidR="00411455" w:rsidRPr="00411455" w:rsidRDefault="00411455" w:rsidP="00411455">
            <w:pPr>
              <w:spacing w:after="0" w:line="240" w:lineRule="auto"/>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 xml:space="preserve"> Adições - CPC 6(R2) / IFRS 16</w:t>
            </w:r>
          </w:p>
        </w:tc>
        <w:tc>
          <w:tcPr>
            <w:tcW w:w="346" w:type="pct"/>
            <w:tcBorders>
              <w:top w:val="nil"/>
              <w:left w:val="nil"/>
              <w:bottom w:val="single" w:sz="4" w:space="0" w:color="auto"/>
              <w:right w:val="single" w:sz="4" w:space="0" w:color="auto"/>
            </w:tcBorders>
            <w:shd w:val="clear" w:color="auto" w:fill="auto"/>
            <w:noWrap/>
            <w:vAlign w:val="center"/>
            <w:hideMark/>
          </w:tcPr>
          <w:p w14:paraId="756A6FBD" w14:textId="77777777" w:rsidR="00411455" w:rsidRPr="00411455" w:rsidRDefault="00411455" w:rsidP="00411455">
            <w:pPr>
              <w:spacing w:after="0" w:line="240" w:lineRule="auto"/>
              <w:jc w:val="right"/>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w:t>
            </w:r>
          </w:p>
        </w:tc>
        <w:tc>
          <w:tcPr>
            <w:tcW w:w="364" w:type="pct"/>
            <w:tcBorders>
              <w:top w:val="nil"/>
              <w:left w:val="nil"/>
              <w:bottom w:val="single" w:sz="4" w:space="0" w:color="auto"/>
              <w:right w:val="single" w:sz="4" w:space="0" w:color="auto"/>
            </w:tcBorders>
            <w:shd w:val="clear" w:color="auto" w:fill="auto"/>
            <w:noWrap/>
            <w:vAlign w:val="center"/>
            <w:hideMark/>
          </w:tcPr>
          <w:p w14:paraId="0F4D8F2A" w14:textId="77777777" w:rsidR="00411455" w:rsidRPr="00411455" w:rsidRDefault="00411455" w:rsidP="00411455">
            <w:pPr>
              <w:spacing w:after="0" w:line="240" w:lineRule="auto"/>
              <w:jc w:val="right"/>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 </w:t>
            </w:r>
          </w:p>
        </w:tc>
        <w:tc>
          <w:tcPr>
            <w:tcW w:w="435" w:type="pct"/>
            <w:tcBorders>
              <w:top w:val="nil"/>
              <w:left w:val="nil"/>
              <w:bottom w:val="single" w:sz="4" w:space="0" w:color="auto"/>
              <w:right w:val="single" w:sz="4" w:space="0" w:color="auto"/>
            </w:tcBorders>
            <w:shd w:val="clear" w:color="auto" w:fill="auto"/>
            <w:noWrap/>
            <w:vAlign w:val="center"/>
            <w:hideMark/>
          </w:tcPr>
          <w:p w14:paraId="2D79E825" w14:textId="77777777" w:rsidR="00411455" w:rsidRPr="00411455" w:rsidRDefault="00411455" w:rsidP="00411455">
            <w:pPr>
              <w:spacing w:after="0" w:line="240" w:lineRule="auto"/>
              <w:jc w:val="right"/>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38CB9B86" w14:textId="77777777" w:rsidR="00411455" w:rsidRPr="00411455" w:rsidRDefault="00411455" w:rsidP="00411455">
            <w:pPr>
              <w:spacing w:after="0" w:line="240" w:lineRule="auto"/>
              <w:jc w:val="right"/>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w:t>
            </w:r>
          </w:p>
        </w:tc>
        <w:tc>
          <w:tcPr>
            <w:tcW w:w="385" w:type="pct"/>
            <w:tcBorders>
              <w:top w:val="nil"/>
              <w:left w:val="nil"/>
              <w:bottom w:val="single" w:sz="4" w:space="0" w:color="auto"/>
              <w:right w:val="single" w:sz="4" w:space="0" w:color="auto"/>
            </w:tcBorders>
            <w:shd w:val="clear" w:color="auto" w:fill="auto"/>
            <w:noWrap/>
            <w:vAlign w:val="center"/>
            <w:hideMark/>
          </w:tcPr>
          <w:p w14:paraId="761A337A" w14:textId="77777777" w:rsidR="00411455" w:rsidRPr="00411455" w:rsidRDefault="00411455" w:rsidP="00411455">
            <w:pPr>
              <w:spacing w:after="0" w:line="240" w:lineRule="auto"/>
              <w:jc w:val="right"/>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 -</w:t>
            </w:r>
          </w:p>
        </w:tc>
        <w:tc>
          <w:tcPr>
            <w:tcW w:w="453" w:type="pct"/>
            <w:tcBorders>
              <w:top w:val="nil"/>
              <w:left w:val="nil"/>
              <w:bottom w:val="single" w:sz="4" w:space="0" w:color="auto"/>
              <w:right w:val="single" w:sz="4" w:space="0" w:color="auto"/>
            </w:tcBorders>
            <w:shd w:val="clear" w:color="auto" w:fill="auto"/>
            <w:noWrap/>
            <w:vAlign w:val="center"/>
            <w:hideMark/>
          </w:tcPr>
          <w:p w14:paraId="6635BA51" w14:textId="77777777" w:rsidR="00411455" w:rsidRPr="00411455" w:rsidRDefault="00411455" w:rsidP="00411455">
            <w:pPr>
              <w:spacing w:after="0" w:line="240" w:lineRule="auto"/>
              <w:jc w:val="right"/>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w:t>
            </w:r>
          </w:p>
        </w:tc>
        <w:tc>
          <w:tcPr>
            <w:tcW w:w="427" w:type="pct"/>
            <w:tcBorders>
              <w:top w:val="nil"/>
              <w:left w:val="nil"/>
              <w:bottom w:val="single" w:sz="4" w:space="0" w:color="auto"/>
              <w:right w:val="single" w:sz="4" w:space="0" w:color="auto"/>
            </w:tcBorders>
            <w:shd w:val="clear" w:color="auto" w:fill="auto"/>
            <w:noWrap/>
            <w:vAlign w:val="center"/>
            <w:hideMark/>
          </w:tcPr>
          <w:p w14:paraId="36399DF4" w14:textId="77777777" w:rsidR="00411455" w:rsidRPr="00411455" w:rsidRDefault="00411455" w:rsidP="00411455">
            <w:pPr>
              <w:spacing w:after="0" w:line="240" w:lineRule="auto"/>
              <w:jc w:val="right"/>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w:t>
            </w:r>
          </w:p>
        </w:tc>
        <w:tc>
          <w:tcPr>
            <w:tcW w:w="354" w:type="pct"/>
            <w:tcBorders>
              <w:top w:val="nil"/>
              <w:left w:val="nil"/>
              <w:bottom w:val="single" w:sz="4" w:space="0" w:color="auto"/>
              <w:right w:val="single" w:sz="4" w:space="0" w:color="auto"/>
            </w:tcBorders>
            <w:shd w:val="clear" w:color="auto" w:fill="auto"/>
            <w:noWrap/>
            <w:vAlign w:val="center"/>
            <w:hideMark/>
          </w:tcPr>
          <w:p w14:paraId="5B6D5C07" w14:textId="77777777" w:rsidR="00411455" w:rsidRPr="00411455" w:rsidRDefault="00411455" w:rsidP="00411455">
            <w:pPr>
              <w:spacing w:after="0" w:line="240" w:lineRule="auto"/>
              <w:jc w:val="right"/>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2.674</w:t>
            </w:r>
          </w:p>
        </w:tc>
        <w:tc>
          <w:tcPr>
            <w:tcW w:w="435" w:type="pct"/>
            <w:tcBorders>
              <w:top w:val="nil"/>
              <w:left w:val="nil"/>
              <w:bottom w:val="single" w:sz="4" w:space="0" w:color="auto"/>
              <w:right w:val="single" w:sz="4" w:space="0" w:color="auto"/>
            </w:tcBorders>
            <w:shd w:val="clear" w:color="auto" w:fill="auto"/>
            <w:noWrap/>
            <w:vAlign w:val="center"/>
            <w:hideMark/>
          </w:tcPr>
          <w:p w14:paraId="0D704FD6" w14:textId="77777777" w:rsidR="00411455" w:rsidRPr="00411455" w:rsidRDefault="00411455" w:rsidP="00411455">
            <w:pPr>
              <w:spacing w:after="0" w:line="240" w:lineRule="auto"/>
              <w:jc w:val="right"/>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 </w:t>
            </w:r>
          </w:p>
        </w:tc>
        <w:tc>
          <w:tcPr>
            <w:tcW w:w="358" w:type="pct"/>
            <w:tcBorders>
              <w:top w:val="nil"/>
              <w:left w:val="nil"/>
              <w:bottom w:val="single" w:sz="4" w:space="0" w:color="auto"/>
              <w:right w:val="single" w:sz="4" w:space="0" w:color="auto"/>
            </w:tcBorders>
            <w:shd w:val="clear" w:color="auto" w:fill="auto"/>
            <w:noWrap/>
            <w:vAlign w:val="center"/>
            <w:hideMark/>
          </w:tcPr>
          <w:p w14:paraId="28B38FAC" w14:textId="77777777" w:rsidR="00411455" w:rsidRPr="00411455" w:rsidRDefault="00411455" w:rsidP="00411455">
            <w:pPr>
              <w:spacing w:after="0" w:line="240" w:lineRule="auto"/>
              <w:jc w:val="right"/>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2.674</w:t>
            </w:r>
          </w:p>
        </w:tc>
      </w:tr>
      <w:tr w:rsidR="00411455" w:rsidRPr="00411455" w14:paraId="5F939E3A" w14:textId="77777777" w:rsidTr="00446A14">
        <w:trPr>
          <w:trHeight w:val="227"/>
        </w:trPr>
        <w:tc>
          <w:tcPr>
            <w:tcW w:w="1103" w:type="pct"/>
            <w:tcBorders>
              <w:top w:val="nil"/>
              <w:left w:val="single" w:sz="4" w:space="0" w:color="auto"/>
              <w:bottom w:val="single" w:sz="4" w:space="0" w:color="auto"/>
              <w:right w:val="single" w:sz="4" w:space="0" w:color="auto"/>
            </w:tcBorders>
            <w:shd w:val="clear" w:color="auto" w:fill="auto"/>
            <w:noWrap/>
            <w:vAlign w:val="center"/>
            <w:hideMark/>
          </w:tcPr>
          <w:p w14:paraId="685EC09E" w14:textId="77777777" w:rsidR="00411455" w:rsidRPr="00411455" w:rsidRDefault="00411455" w:rsidP="00411455">
            <w:pPr>
              <w:spacing w:after="0" w:line="240" w:lineRule="auto"/>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lastRenderedPageBreak/>
              <w:t xml:space="preserve"> Aquisições/Adições</w:t>
            </w:r>
          </w:p>
        </w:tc>
        <w:tc>
          <w:tcPr>
            <w:tcW w:w="346" w:type="pct"/>
            <w:tcBorders>
              <w:top w:val="nil"/>
              <w:left w:val="nil"/>
              <w:bottom w:val="single" w:sz="4" w:space="0" w:color="auto"/>
              <w:right w:val="single" w:sz="4" w:space="0" w:color="auto"/>
            </w:tcBorders>
            <w:shd w:val="clear" w:color="auto" w:fill="auto"/>
            <w:noWrap/>
            <w:vAlign w:val="center"/>
            <w:hideMark/>
          </w:tcPr>
          <w:p w14:paraId="1610642A" w14:textId="77777777" w:rsidR="00411455" w:rsidRPr="00411455" w:rsidRDefault="00411455" w:rsidP="00411455">
            <w:pPr>
              <w:spacing w:after="0" w:line="240" w:lineRule="auto"/>
              <w:jc w:val="right"/>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w:t>
            </w:r>
          </w:p>
        </w:tc>
        <w:tc>
          <w:tcPr>
            <w:tcW w:w="364" w:type="pct"/>
            <w:tcBorders>
              <w:top w:val="nil"/>
              <w:left w:val="nil"/>
              <w:bottom w:val="single" w:sz="4" w:space="0" w:color="auto"/>
              <w:right w:val="single" w:sz="4" w:space="0" w:color="auto"/>
            </w:tcBorders>
            <w:shd w:val="clear" w:color="auto" w:fill="auto"/>
            <w:noWrap/>
            <w:vAlign w:val="center"/>
            <w:hideMark/>
          </w:tcPr>
          <w:p w14:paraId="0DDF4EEA" w14:textId="77777777" w:rsidR="00411455" w:rsidRPr="00411455" w:rsidRDefault="00411455" w:rsidP="00411455">
            <w:pPr>
              <w:spacing w:after="0" w:line="240" w:lineRule="auto"/>
              <w:jc w:val="right"/>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w:t>
            </w:r>
          </w:p>
        </w:tc>
        <w:tc>
          <w:tcPr>
            <w:tcW w:w="435" w:type="pct"/>
            <w:tcBorders>
              <w:top w:val="nil"/>
              <w:left w:val="nil"/>
              <w:bottom w:val="single" w:sz="4" w:space="0" w:color="auto"/>
              <w:right w:val="single" w:sz="4" w:space="0" w:color="auto"/>
            </w:tcBorders>
            <w:shd w:val="clear" w:color="auto" w:fill="auto"/>
            <w:noWrap/>
            <w:vAlign w:val="center"/>
            <w:hideMark/>
          </w:tcPr>
          <w:p w14:paraId="4AE32E90" w14:textId="77777777" w:rsidR="00411455" w:rsidRPr="00411455" w:rsidRDefault="00411455" w:rsidP="00411455">
            <w:pPr>
              <w:spacing w:after="0" w:line="240" w:lineRule="auto"/>
              <w:jc w:val="right"/>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w:t>
            </w:r>
          </w:p>
        </w:tc>
        <w:tc>
          <w:tcPr>
            <w:tcW w:w="340" w:type="pct"/>
            <w:tcBorders>
              <w:top w:val="nil"/>
              <w:left w:val="nil"/>
              <w:bottom w:val="single" w:sz="4" w:space="0" w:color="auto"/>
              <w:right w:val="single" w:sz="4" w:space="0" w:color="auto"/>
            </w:tcBorders>
            <w:shd w:val="clear" w:color="auto" w:fill="auto"/>
            <w:noWrap/>
            <w:vAlign w:val="center"/>
            <w:hideMark/>
          </w:tcPr>
          <w:p w14:paraId="087E3610" w14:textId="77777777" w:rsidR="00411455" w:rsidRPr="00411455" w:rsidRDefault="00411455" w:rsidP="00411455">
            <w:pPr>
              <w:spacing w:after="0" w:line="240" w:lineRule="auto"/>
              <w:jc w:val="right"/>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w:t>
            </w:r>
          </w:p>
        </w:tc>
        <w:tc>
          <w:tcPr>
            <w:tcW w:w="385" w:type="pct"/>
            <w:tcBorders>
              <w:top w:val="nil"/>
              <w:left w:val="nil"/>
              <w:bottom w:val="single" w:sz="4" w:space="0" w:color="auto"/>
              <w:right w:val="single" w:sz="4" w:space="0" w:color="auto"/>
            </w:tcBorders>
            <w:shd w:val="clear" w:color="auto" w:fill="auto"/>
            <w:noWrap/>
            <w:vAlign w:val="center"/>
            <w:hideMark/>
          </w:tcPr>
          <w:p w14:paraId="6CECBEEE" w14:textId="77777777" w:rsidR="00411455" w:rsidRPr="00411455" w:rsidRDefault="00411455" w:rsidP="00411455">
            <w:pPr>
              <w:spacing w:after="0" w:line="240" w:lineRule="auto"/>
              <w:jc w:val="right"/>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 </w:t>
            </w:r>
          </w:p>
        </w:tc>
        <w:tc>
          <w:tcPr>
            <w:tcW w:w="453" w:type="pct"/>
            <w:tcBorders>
              <w:top w:val="nil"/>
              <w:left w:val="nil"/>
              <w:bottom w:val="single" w:sz="4" w:space="0" w:color="auto"/>
              <w:right w:val="single" w:sz="4" w:space="0" w:color="auto"/>
            </w:tcBorders>
            <w:shd w:val="clear" w:color="auto" w:fill="auto"/>
            <w:noWrap/>
            <w:vAlign w:val="center"/>
            <w:hideMark/>
          </w:tcPr>
          <w:p w14:paraId="5165965D" w14:textId="77777777" w:rsidR="00411455" w:rsidRPr="00411455" w:rsidRDefault="00411455" w:rsidP="00411455">
            <w:pPr>
              <w:spacing w:after="0" w:line="240" w:lineRule="auto"/>
              <w:jc w:val="right"/>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w:t>
            </w:r>
          </w:p>
        </w:tc>
        <w:tc>
          <w:tcPr>
            <w:tcW w:w="427" w:type="pct"/>
            <w:tcBorders>
              <w:top w:val="nil"/>
              <w:left w:val="nil"/>
              <w:bottom w:val="single" w:sz="4" w:space="0" w:color="auto"/>
              <w:right w:val="single" w:sz="4" w:space="0" w:color="auto"/>
            </w:tcBorders>
            <w:shd w:val="clear" w:color="auto" w:fill="auto"/>
            <w:noWrap/>
            <w:vAlign w:val="center"/>
            <w:hideMark/>
          </w:tcPr>
          <w:p w14:paraId="414648D3" w14:textId="77777777" w:rsidR="00411455" w:rsidRPr="00411455" w:rsidRDefault="00411455" w:rsidP="00411455">
            <w:pPr>
              <w:spacing w:after="0" w:line="240" w:lineRule="auto"/>
              <w:jc w:val="right"/>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w:t>
            </w:r>
          </w:p>
        </w:tc>
        <w:tc>
          <w:tcPr>
            <w:tcW w:w="354" w:type="pct"/>
            <w:tcBorders>
              <w:top w:val="nil"/>
              <w:left w:val="nil"/>
              <w:bottom w:val="single" w:sz="4" w:space="0" w:color="auto"/>
              <w:right w:val="single" w:sz="4" w:space="0" w:color="auto"/>
            </w:tcBorders>
            <w:shd w:val="clear" w:color="auto" w:fill="auto"/>
            <w:noWrap/>
            <w:vAlign w:val="center"/>
            <w:hideMark/>
          </w:tcPr>
          <w:p w14:paraId="406494BA" w14:textId="77777777" w:rsidR="00411455" w:rsidRPr="00411455" w:rsidRDefault="00411455" w:rsidP="00411455">
            <w:pPr>
              <w:spacing w:after="0" w:line="240" w:lineRule="auto"/>
              <w:jc w:val="right"/>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w:t>
            </w:r>
          </w:p>
        </w:tc>
        <w:tc>
          <w:tcPr>
            <w:tcW w:w="435" w:type="pct"/>
            <w:tcBorders>
              <w:top w:val="nil"/>
              <w:left w:val="nil"/>
              <w:bottom w:val="single" w:sz="4" w:space="0" w:color="auto"/>
              <w:right w:val="single" w:sz="4" w:space="0" w:color="auto"/>
            </w:tcBorders>
            <w:shd w:val="clear" w:color="auto" w:fill="auto"/>
            <w:noWrap/>
            <w:vAlign w:val="center"/>
            <w:hideMark/>
          </w:tcPr>
          <w:p w14:paraId="6DAA87BF" w14:textId="77777777" w:rsidR="00411455" w:rsidRPr="00411455" w:rsidRDefault="00411455" w:rsidP="00411455">
            <w:pPr>
              <w:spacing w:after="0" w:line="240" w:lineRule="auto"/>
              <w:jc w:val="right"/>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116.702</w:t>
            </w:r>
          </w:p>
        </w:tc>
        <w:tc>
          <w:tcPr>
            <w:tcW w:w="358" w:type="pct"/>
            <w:tcBorders>
              <w:top w:val="nil"/>
              <w:left w:val="nil"/>
              <w:bottom w:val="single" w:sz="4" w:space="0" w:color="auto"/>
              <w:right w:val="single" w:sz="4" w:space="0" w:color="auto"/>
            </w:tcBorders>
            <w:shd w:val="clear" w:color="auto" w:fill="auto"/>
            <w:noWrap/>
            <w:vAlign w:val="center"/>
            <w:hideMark/>
          </w:tcPr>
          <w:p w14:paraId="4226A4F8" w14:textId="77777777" w:rsidR="00411455" w:rsidRPr="00411455" w:rsidRDefault="00411455" w:rsidP="00411455">
            <w:pPr>
              <w:spacing w:after="0" w:line="240" w:lineRule="auto"/>
              <w:jc w:val="right"/>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116.702</w:t>
            </w:r>
          </w:p>
        </w:tc>
      </w:tr>
      <w:tr w:rsidR="00411455" w:rsidRPr="00411455" w14:paraId="4CADB13B" w14:textId="77777777" w:rsidTr="00446A14">
        <w:trPr>
          <w:trHeight w:val="227"/>
        </w:trPr>
        <w:tc>
          <w:tcPr>
            <w:tcW w:w="1103" w:type="pct"/>
            <w:tcBorders>
              <w:top w:val="nil"/>
              <w:left w:val="single" w:sz="4" w:space="0" w:color="auto"/>
              <w:bottom w:val="single" w:sz="4" w:space="0" w:color="auto"/>
              <w:right w:val="single" w:sz="4" w:space="0" w:color="auto"/>
            </w:tcBorders>
            <w:shd w:val="clear" w:color="auto" w:fill="auto"/>
            <w:noWrap/>
            <w:vAlign w:val="center"/>
          </w:tcPr>
          <w:p w14:paraId="3D29F2A2" w14:textId="77777777" w:rsidR="00411455" w:rsidRPr="00411455" w:rsidRDefault="00411455" w:rsidP="00411455">
            <w:pPr>
              <w:spacing w:after="0" w:line="240" w:lineRule="auto"/>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 xml:space="preserve"> Transferências Internas no Imobilizado</w:t>
            </w:r>
          </w:p>
        </w:tc>
        <w:tc>
          <w:tcPr>
            <w:tcW w:w="346" w:type="pct"/>
            <w:tcBorders>
              <w:top w:val="nil"/>
              <w:left w:val="nil"/>
              <w:bottom w:val="single" w:sz="4" w:space="0" w:color="auto"/>
              <w:right w:val="single" w:sz="4" w:space="0" w:color="auto"/>
            </w:tcBorders>
            <w:shd w:val="clear" w:color="auto" w:fill="auto"/>
            <w:noWrap/>
            <w:vAlign w:val="center"/>
          </w:tcPr>
          <w:p w14:paraId="0D4E0958" w14:textId="77777777" w:rsidR="00411455" w:rsidRPr="00411455" w:rsidRDefault="00411455" w:rsidP="00411455">
            <w:pPr>
              <w:spacing w:after="0" w:line="240" w:lineRule="auto"/>
              <w:jc w:val="right"/>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1.033</w:t>
            </w:r>
          </w:p>
        </w:tc>
        <w:tc>
          <w:tcPr>
            <w:tcW w:w="364" w:type="pct"/>
            <w:tcBorders>
              <w:top w:val="nil"/>
              <w:left w:val="nil"/>
              <w:bottom w:val="single" w:sz="4" w:space="0" w:color="auto"/>
              <w:right w:val="single" w:sz="4" w:space="0" w:color="auto"/>
            </w:tcBorders>
            <w:shd w:val="clear" w:color="auto" w:fill="auto"/>
            <w:noWrap/>
            <w:vAlign w:val="center"/>
          </w:tcPr>
          <w:p w14:paraId="05C93C4E" w14:textId="77777777" w:rsidR="00411455" w:rsidRPr="00411455" w:rsidRDefault="00411455" w:rsidP="00411455">
            <w:pPr>
              <w:spacing w:after="0" w:line="240" w:lineRule="auto"/>
              <w:jc w:val="right"/>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317</w:t>
            </w:r>
          </w:p>
        </w:tc>
        <w:tc>
          <w:tcPr>
            <w:tcW w:w="435" w:type="pct"/>
            <w:tcBorders>
              <w:top w:val="nil"/>
              <w:left w:val="nil"/>
              <w:bottom w:val="single" w:sz="4" w:space="0" w:color="auto"/>
              <w:right w:val="single" w:sz="4" w:space="0" w:color="auto"/>
            </w:tcBorders>
            <w:shd w:val="clear" w:color="auto" w:fill="auto"/>
            <w:noWrap/>
            <w:vAlign w:val="center"/>
          </w:tcPr>
          <w:p w14:paraId="141B2CD1" w14:textId="77777777" w:rsidR="00411455" w:rsidRPr="00411455" w:rsidRDefault="00411455" w:rsidP="00411455">
            <w:pPr>
              <w:spacing w:after="0" w:line="240" w:lineRule="auto"/>
              <w:jc w:val="right"/>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59.033</w:t>
            </w:r>
          </w:p>
        </w:tc>
        <w:tc>
          <w:tcPr>
            <w:tcW w:w="340" w:type="pct"/>
            <w:tcBorders>
              <w:top w:val="nil"/>
              <w:left w:val="nil"/>
              <w:bottom w:val="single" w:sz="4" w:space="0" w:color="auto"/>
              <w:right w:val="single" w:sz="4" w:space="0" w:color="auto"/>
            </w:tcBorders>
            <w:shd w:val="clear" w:color="auto" w:fill="auto"/>
            <w:noWrap/>
            <w:vAlign w:val="center"/>
          </w:tcPr>
          <w:p w14:paraId="71931568" w14:textId="77777777" w:rsidR="00411455" w:rsidRPr="00411455" w:rsidRDefault="00411455" w:rsidP="00411455">
            <w:pPr>
              <w:spacing w:after="0" w:line="240" w:lineRule="auto"/>
              <w:jc w:val="right"/>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 xml:space="preserve">                                                         - </w:t>
            </w:r>
          </w:p>
        </w:tc>
        <w:tc>
          <w:tcPr>
            <w:tcW w:w="385" w:type="pct"/>
            <w:tcBorders>
              <w:top w:val="nil"/>
              <w:left w:val="nil"/>
              <w:bottom w:val="single" w:sz="4" w:space="0" w:color="auto"/>
              <w:right w:val="single" w:sz="4" w:space="0" w:color="auto"/>
            </w:tcBorders>
            <w:shd w:val="clear" w:color="auto" w:fill="auto"/>
            <w:noWrap/>
            <w:vAlign w:val="center"/>
          </w:tcPr>
          <w:p w14:paraId="32A91B90" w14:textId="77777777" w:rsidR="00411455" w:rsidRPr="00411455" w:rsidRDefault="00411455" w:rsidP="00411455">
            <w:pPr>
              <w:spacing w:after="0" w:line="240" w:lineRule="auto"/>
              <w:jc w:val="right"/>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6.346</w:t>
            </w:r>
          </w:p>
        </w:tc>
        <w:tc>
          <w:tcPr>
            <w:tcW w:w="453" w:type="pct"/>
            <w:tcBorders>
              <w:top w:val="nil"/>
              <w:left w:val="nil"/>
              <w:bottom w:val="single" w:sz="4" w:space="0" w:color="auto"/>
              <w:right w:val="single" w:sz="4" w:space="0" w:color="auto"/>
            </w:tcBorders>
            <w:shd w:val="clear" w:color="auto" w:fill="auto"/>
            <w:noWrap/>
            <w:vAlign w:val="center"/>
          </w:tcPr>
          <w:p w14:paraId="1C9322A1" w14:textId="77777777" w:rsidR="00411455" w:rsidRPr="00411455" w:rsidRDefault="00411455" w:rsidP="00411455">
            <w:pPr>
              <w:spacing w:after="0" w:line="240" w:lineRule="auto"/>
              <w:jc w:val="right"/>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96.509</w:t>
            </w:r>
          </w:p>
        </w:tc>
        <w:tc>
          <w:tcPr>
            <w:tcW w:w="427" w:type="pct"/>
            <w:tcBorders>
              <w:top w:val="nil"/>
              <w:left w:val="nil"/>
              <w:bottom w:val="single" w:sz="4" w:space="0" w:color="auto"/>
              <w:right w:val="single" w:sz="4" w:space="0" w:color="auto"/>
            </w:tcBorders>
            <w:shd w:val="clear" w:color="auto" w:fill="auto"/>
            <w:noWrap/>
            <w:vAlign w:val="center"/>
          </w:tcPr>
          <w:p w14:paraId="53A4409F" w14:textId="77777777" w:rsidR="00411455" w:rsidRPr="00411455" w:rsidRDefault="00411455" w:rsidP="00411455">
            <w:pPr>
              <w:spacing w:after="0" w:line="240" w:lineRule="auto"/>
              <w:jc w:val="right"/>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 xml:space="preserve">                                                         - </w:t>
            </w:r>
          </w:p>
        </w:tc>
        <w:tc>
          <w:tcPr>
            <w:tcW w:w="354" w:type="pct"/>
            <w:tcBorders>
              <w:top w:val="nil"/>
              <w:left w:val="nil"/>
              <w:bottom w:val="single" w:sz="4" w:space="0" w:color="auto"/>
              <w:right w:val="single" w:sz="4" w:space="0" w:color="auto"/>
            </w:tcBorders>
            <w:shd w:val="clear" w:color="auto" w:fill="auto"/>
            <w:noWrap/>
            <w:vAlign w:val="center"/>
          </w:tcPr>
          <w:p w14:paraId="5F4FEE33" w14:textId="77777777" w:rsidR="00411455" w:rsidRPr="00411455" w:rsidRDefault="00411455" w:rsidP="00411455">
            <w:pPr>
              <w:spacing w:after="0" w:line="240" w:lineRule="auto"/>
              <w:jc w:val="right"/>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 xml:space="preserve">                                                         - </w:t>
            </w:r>
          </w:p>
        </w:tc>
        <w:tc>
          <w:tcPr>
            <w:tcW w:w="435" w:type="pct"/>
            <w:tcBorders>
              <w:top w:val="nil"/>
              <w:left w:val="nil"/>
              <w:bottom w:val="single" w:sz="4" w:space="0" w:color="auto"/>
              <w:right w:val="single" w:sz="4" w:space="0" w:color="auto"/>
            </w:tcBorders>
            <w:shd w:val="clear" w:color="auto" w:fill="auto"/>
            <w:noWrap/>
            <w:vAlign w:val="center"/>
          </w:tcPr>
          <w:p w14:paraId="1871FD96" w14:textId="77777777" w:rsidR="00411455" w:rsidRPr="00411455" w:rsidRDefault="00411455" w:rsidP="00411455">
            <w:pPr>
              <w:spacing w:after="0" w:line="240" w:lineRule="auto"/>
              <w:jc w:val="right"/>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(163.238)</w:t>
            </w:r>
          </w:p>
        </w:tc>
        <w:tc>
          <w:tcPr>
            <w:tcW w:w="358" w:type="pct"/>
            <w:tcBorders>
              <w:top w:val="nil"/>
              <w:left w:val="nil"/>
              <w:bottom w:val="single" w:sz="4" w:space="0" w:color="auto"/>
              <w:right w:val="single" w:sz="4" w:space="0" w:color="auto"/>
            </w:tcBorders>
            <w:shd w:val="clear" w:color="auto" w:fill="auto"/>
            <w:noWrap/>
            <w:vAlign w:val="center"/>
          </w:tcPr>
          <w:p w14:paraId="681A1BE9" w14:textId="77777777" w:rsidR="00411455" w:rsidRPr="00411455" w:rsidRDefault="00411455" w:rsidP="00411455">
            <w:pPr>
              <w:spacing w:after="0" w:line="240" w:lineRule="auto"/>
              <w:jc w:val="right"/>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 xml:space="preserve">                                                         - </w:t>
            </w:r>
          </w:p>
        </w:tc>
      </w:tr>
      <w:tr w:rsidR="00411455" w:rsidRPr="00411455" w14:paraId="3FA9B857" w14:textId="77777777" w:rsidTr="00446A14">
        <w:trPr>
          <w:trHeight w:val="227"/>
        </w:trPr>
        <w:tc>
          <w:tcPr>
            <w:tcW w:w="1103" w:type="pct"/>
            <w:tcBorders>
              <w:top w:val="nil"/>
              <w:left w:val="single" w:sz="4" w:space="0" w:color="auto"/>
              <w:bottom w:val="single" w:sz="4" w:space="0" w:color="auto"/>
              <w:right w:val="single" w:sz="4" w:space="0" w:color="auto"/>
            </w:tcBorders>
            <w:shd w:val="clear" w:color="auto" w:fill="auto"/>
            <w:noWrap/>
            <w:vAlign w:val="center"/>
          </w:tcPr>
          <w:p w14:paraId="3E74FA60" w14:textId="77777777" w:rsidR="00411455" w:rsidRPr="00411455" w:rsidRDefault="00411455" w:rsidP="00411455">
            <w:pPr>
              <w:spacing w:after="0" w:line="240" w:lineRule="auto"/>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 xml:space="preserve"> Transferências para o Intangível</w:t>
            </w:r>
          </w:p>
        </w:tc>
        <w:tc>
          <w:tcPr>
            <w:tcW w:w="346" w:type="pct"/>
            <w:tcBorders>
              <w:top w:val="nil"/>
              <w:left w:val="nil"/>
              <w:bottom w:val="single" w:sz="4" w:space="0" w:color="auto"/>
              <w:right w:val="single" w:sz="4" w:space="0" w:color="auto"/>
            </w:tcBorders>
            <w:shd w:val="clear" w:color="auto" w:fill="auto"/>
            <w:noWrap/>
            <w:vAlign w:val="center"/>
          </w:tcPr>
          <w:p w14:paraId="28B61BD4"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w:t>
            </w:r>
          </w:p>
        </w:tc>
        <w:tc>
          <w:tcPr>
            <w:tcW w:w="364" w:type="pct"/>
            <w:tcBorders>
              <w:top w:val="nil"/>
              <w:left w:val="nil"/>
              <w:bottom w:val="single" w:sz="4" w:space="0" w:color="auto"/>
              <w:right w:val="single" w:sz="4" w:space="0" w:color="auto"/>
            </w:tcBorders>
            <w:shd w:val="clear" w:color="auto" w:fill="auto"/>
            <w:noWrap/>
            <w:vAlign w:val="center"/>
          </w:tcPr>
          <w:p w14:paraId="6D565D85"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w:t>
            </w:r>
          </w:p>
        </w:tc>
        <w:tc>
          <w:tcPr>
            <w:tcW w:w="435" w:type="pct"/>
            <w:tcBorders>
              <w:top w:val="nil"/>
              <w:left w:val="nil"/>
              <w:bottom w:val="single" w:sz="4" w:space="0" w:color="auto"/>
              <w:right w:val="single" w:sz="4" w:space="0" w:color="auto"/>
            </w:tcBorders>
            <w:shd w:val="clear" w:color="auto" w:fill="auto"/>
            <w:noWrap/>
            <w:vAlign w:val="center"/>
          </w:tcPr>
          <w:p w14:paraId="254E986D"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w:t>
            </w:r>
          </w:p>
        </w:tc>
        <w:tc>
          <w:tcPr>
            <w:tcW w:w="340" w:type="pct"/>
            <w:tcBorders>
              <w:top w:val="nil"/>
              <w:left w:val="nil"/>
              <w:bottom w:val="single" w:sz="4" w:space="0" w:color="auto"/>
              <w:right w:val="single" w:sz="4" w:space="0" w:color="auto"/>
            </w:tcBorders>
            <w:shd w:val="clear" w:color="auto" w:fill="auto"/>
            <w:noWrap/>
            <w:vAlign w:val="center"/>
          </w:tcPr>
          <w:p w14:paraId="533A50A8"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w:t>
            </w:r>
          </w:p>
        </w:tc>
        <w:tc>
          <w:tcPr>
            <w:tcW w:w="385" w:type="pct"/>
            <w:tcBorders>
              <w:top w:val="nil"/>
              <w:left w:val="nil"/>
              <w:bottom w:val="single" w:sz="4" w:space="0" w:color="auto"/>
              <w:right w:val="single" w:sz="4" w:space="0" w:color="auto"/>
            </w:tcBorders>
            <w:shd w:val="clear" w:color="auto" w:fill="auto"/>
            <w:noWrap/>
            <w:vAlign w:val="center"/>
          </w:tcPr>
          <w:p w14:paraId="7F352CAC"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 </w:t>
            </w:r>
          </w:p>
        </w:tc>
        <w:tc>
          <w:tcPr>
            <w:tcW w:w="453" w:type="pct"/>
            <w:tcBorders>
              <w:top w:val="nil"/>
              <w:left w:val="nil"/>
              <w:bottom w:val="single" w:sz="4" w:space="0" w:color="auto"/>
              <w:right w:val="single" w:sz="4" w:space="0" w:color="auto"/>
            </w:tcBorders>
            <w:shd w:val="clear" w:color="auto" w:fill="auto"/>
            <w:noWrap/>
            <w:vAlign w:val="center"/>
          </w:tcPr>
          <w:p w14:paraId="35FFB50D"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w:t>
            </w:r>
          </w:p>
        </w:tc>
        <w:tc>
          <w:tcPr>
            <w:tcW w:w="427" w:type="pct"/>
            <w:tcBorders>
              <w:top w:val="nil"/>
              <w:left w:val="nil"/>
              <w:bottom w:val="single" w:sz="4" w:space="0" w:color="auto"/>
              <w:right w:val="single" w:sz="4" w:space="0" w:color="auto"/>
            </w:tcBorders>
            <w:shd w:val="clear" w:color="auto" w:fill="auto"/>
            <w:noWrap/>
            <w:vAlign w:val="center"/>
          </w:tcPr>
          <w:p w14:paraId="2DD18339"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w:t>
            </w:r>
          </w:p>
        </w:tc>
        <w:tc>
          <w:tcPr>
            <w:tcW w:w="354" w:type="pct"/>
            <w:tcBorders>
              <w:top w:val="nil"/>
              <w:left w:val="nil"/>
              <w:bottom w:val="single" w:sz="4" w:space="0" w:color="auto"/>
              <w:right w:val="single" w:sz="4" w:space="0" w:color="auto"/>
            </w:tcBorders>
            <w:shd w:val="clear" w:color="auto" w:fill="auto"/>
            <w:noWrap/>
            <w:vAlign w:val="center"/>
          </w:tcPr>
          <w:p w14:paraId="59A3F0D4"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w:t>
            </w:r>
          </w:p>
        </w:tc>
        <w:tc>
          <w:tcPr>
            <w:tcW w:w="435" w:type="pct"/>
            <w:tcBorders>
              <w:top w:val="nil"/>
              <w:left w:val="nil"/>
              <w:bottom w:val="single" w:sz="4" w:space="0" w:color="auto"/>
              <w:right w:val="single" w:sz="4" w:space="0" w:color="auto"/>
            </w:tcBorders>
            <w:shd w:val="clear" w:color="auto" w:fill="auto"/>
            <w:noWrap/>
            <w:vAlign w:val="center"/>
          </w:tcPr>
          <w:p w14:paraId="015AEE07"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(5.395)</w:t>
            </w:r>
          </w:p>
        </w:tc>
        <w:tc>
          <w:tcPr>
            <w:tcW w:w="358" w:type="pct"/>
            <w:tcBorders>
              <w:top w:val="nil"/>
              <w:left w:val="nil"/>
              <w:bottom w:val="single" w:sz="4" w:space="0" w:color="auto"/>
              <w:right w:val="single" w:sz="4" w:space="0" w:color="auto"/>
            </w:tcBorders>
            <w:shd w:val="clear" w:color="auto" w:fill="auto"/>
            <w:noWrap/>
            <w:vAlign w:val="center"/>
          </w:tcPr>
          <w:p w14:paraId="186A436F"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(5.395)</w:t>
            </w:r>
          </w:p>
        </w:tc>
      </w:tr>
      <w:tr w:rsidR="00411455" w:rsidRPr="00411455" w14:paraId="3E04FD74" w14:textId="77777777" w:rsidTr="00446A14">
        <w:trPr>
          <w:trHeight w:val="227"/>
        </w:trPr>
        <w:tc>
          <w:tcPr>
            <w:tcW w:w="1103" w:type="pct"/>
            <w:tcBorders>
              <w:top w:val="nil"/>
              <w:left w:val="single" w:sz="4" w:space="0" w:color="auto"/>
              <w:bottom w:val="single" w:sz="4" w:space="0" w:color="auto"/>
              <w:right w:val="single" w:sz="4" w:space="0" w:color="auto"/>
            </w:tcBorders>
            <w:shd w:val="clear" w:color="auto" w:fill="auto"/>
            <w:noWrap/>
            <w:vAlign w:val="center"/>
          </w:tcPr>
          <w:p w14:paraId="6D11BDBA" w14:textId="77777777" w:rsidR="00411455" w:rsidRPr="00411455" w:rsidRDefault="00411455" w:rsidP="00411455">
            <w:pPr>
              <w:spacing w:after="0" w:line="240" w:lineRule="auto"/>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 xml:space="preserve"> Baixas</w:t>
            </w:r>
          </w:p>
        </w:tc>
        <w:tc>
          <w:tcPr>
            <w:tcW w:w="346" w:type="pct"/>
            <w:tcBorders>
              <w:top w:val="nil"/>
              <w:left w:val="nil"/>
              <w:bottom w:val="single" w:sz="4" w:space="0" w:color="auto"/>
              <w:right w:val="single" w:sz="4" w:space="0" w:color="auto"/>
            </w:tcBorders>
            <w:shd w:val="clear" w:color="auto" w:fill="auto"/>
            <w:noWrap/>
            <w:vAlign w:val="center"/>
          </w:tcPr>
          <w:p w14:paraId="5CA8821A"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w:t>
            </w:r>
          </w:p>
        </w:tc>
        <w:tc>
          <w:tcPr>
            <w:tcW w:w="364" w:type="pct"/>
            <w:tcBorders>
              <w:top w:val="nil"/>
              <w:left w:val="nil"/>
              <w:bottom w:val="single" w:sz="4" w:space="0" w:color="auto"/>
              <w:right w:val="single" w:sz="4" w:space="0" w:color="auto"/>
            </w:tcBorders>
            <w:shd w:val="clear" w:color="auto" w:fill="auto"/>
            <w:noWrap/>
            <w:vAlign w:val="center"/>
          </w:tcPr>
          <w:p w14:paraId="47941143"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w:t>
            </w:r>
          </w:p>
        </w:tc>
        <w:tc>
          <w:tcPr>
            <w:tcW w:w="435" w:type="pct"/>
            <w:tcBorders>
              <w:top w:val="nil"/>
              <w:left w:val="nil"/>
              <w:bottom w:val="single" w:sz="4" w:space="0" w:color="auto"/>
              <w:right w:val="single" w:sz="4" w:space="0" w:color="auto"/>
            </w:tcBorders>
            <w:shd w:val="clear" w:color="auto" w:fill="auto"/>
            <w:noWrap/>
            <w:vAlign w:val="center"/>
          </w:tcPr>
          <w:p w14:paraId="16670DCF"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w:t>
            </w:r>
          </w:p>
        </w:tc>
        <w:tc>
          <w:tcPr>
            <w:tcW w:w="340" w:type="pct"/>
            <w:tcBorders>
              <w:top w:val="nil"/>
              <w:left w:val="nil"/>
              <w:bottom w:val="single" w:sz="4" w:space="0" w:color="auto"/>
              <w:right w:val="single" w:sz="4" w:space="0" w:color="auto"/>
            </w:tcBorders>
            <w:shd w:val="clear" w:color="auto" w:fill="auto"/>
            <w:noWrap/>
            <w:vAlign w:val="center"/>
          </w:tcPr>
          <w:p w14:paraId="0A898935"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w:t>
            </w:r>
          </w:p>
        </w:tc>
        <w:tc>
          <w:tcPr>
            <w:tcW w:w="385" w:type="pct"/>
            <w:tcBorders>
              <w:top w:val="nil"/>
              <w:left w:val="nil"/>
              <w:bottom w:val="single" w:sz="4" w:space="0" w:color="auto"/>
              <w:right w:val="single" w:sz="4" w:space="0" w:color="auto"/>
            </w:tcBorders>
            <w:shd w:val="clear" w:color="auto" w:fill="auto"/>
            <w:noWrap/>
            <w:vAlign w:val="center"/>
          </w:tcPr>
          <w:p w14:paraId="596162E9"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 </w:t>
            </w:r>
          </w:p>
        </w:tc>
        <w:tc>
          <w:tcPr>
            <w:tcW w:w="453" w:type="pct"/>
            <w:tcBorders>
              <w:top w:val="nil"/>
              <w:left w:val="nil"/>
              <w:bottom w:val="single" w:sz="4" w:space="0" w:color="auto"/>
              <w:right w:val="single" w:sz="4" w:space="0" w:color="auto"/>
            </w:tcBorders>
            <w:shd w:val="clear" w:color="auto" w:fill="auto"/>
            <w:noWrap/>
            <w:vAlign w:val="center"/>
          </w:tcPr>
          <w:p w14:paraId="081C6861"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w:t>
            </w:r>
          </w:p>
        </w:tc>
        <w:tc>
          <w:tcPr>
            <w:tcW w:w="427" w:type="pct"/>
            <w:tcBorders>
              <w:top w:val="nil"/>
              <w:left w:val="nil"/>
              <w:bottom w:val="single" w:sz="4" w:space="0" w:color="auto"/>
              <w:right w:val="single" w:sz="4" w:space="0" w:color="auto"/>
            </w:tcBorders>
            <w:shd w:val="clear" w:color="auto" w:fill="auto"/>
            <w:noWrap/>
            <w:vAlign w:val="center"/>
          </w:tcPr>
          <w:p w14:paraId="44DCFBA6"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w:t>
            </w:r>
          </w:p>
        </w:tc>
        <w:tc>
          <w:tcPr>
            <w:tcW w:w="354" w:type="pct"/>
            <w:tcBorders>
              <w:top w:val="nil"/>
              <w:left w:val="nil"/>
              <w:bottom w:val="single" w:sz="4" w:space="0" w:color="auto"/>
              <w:right w:val="single" w:sz="4" w:space="0" w:color="auto"/>
            </w:tcBorders>
            <w:shd w:val="clear" w:color="auto" w:fill="auto"/>
            <w:noWrap/>
            <w:vAlign w:val="center"/>
          </w:tcPr>
          <w:p w14:paraId="6CAEE1CC"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w:t>
            </w:r>
          </w:p>
        </w:tc>
        <w:tc>
          <w:tcPr>
            <w:tcW w:w="435" w:type="pct"/>
            <w:tcBorders>
              <w:top w:val="nil"/>
              <w:left w:val="nil"/>
              <w:bottom w:val="single" w:sz="4" w:space="0" w:color="auto"/>
              <w:right w:val="single" w:sz="4" w:space="0" w:color="auto"/>
            </w:tcBorders>
            <w:shd w:val="clear" w:color="auto" w:fill="auto"/>
            <w:noWrap/>
            <w:vAlign w:val="center"/>
          </w:tcPr>
          <w:p w14:paraId="0C194ECA"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(383)</w:t>
            </w:r>
          </w:p>
        </w:tc>
        <w:tc>
          <w:tcPr>
            <w:tcW w:w="358" w:type="pct"/>
            <w:tcBorders>
              <w:top w:val="nil"/>
              <w:left w:val="nil"/>
              <w:bottom w:val="single" w:sz="4" w:space="0" w:color="auto"/>
              <w:right w:val="single" w:sz="4" w:space="0" w:color="auto"/>
            </w:tcBorders>
            <w:shd w:val="clear" w:color="auto" w:fill="auto"/>
            <w:noWrap/>
            <w:vAlign w:val="center"/>
          </w:tcPr>
          <w:p w14:paraId="41F062A4"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(383)</w:t>
            </w:r>
          </w:p>
        </w:tc>
      </w:tr>
      <w:tr w:rsidR="00411455" w:rsidRPr="00411455" w14:paraId="11D32D5E" w14:textId="77777777" w:rsidTr="00446A14">
        <w:trPr>
          <w:trHeight w:val="227"/>
        </w:trPr>
        <w:tc>
          <w:tcPr>
            <w:tcW w:w="1103" w:type="pct"/>
            <w:tcBorders>
              <w:top w:val="nil"/>
              <w:left w:val="single" w:sz="4" w:space="0" w:color="auto"/>
              <w:bottom w:val="single" w:sz="4" w:space="0" w:color="auto"/>
              <w:right w:val="single" w:sz="4" w:space="0" w:color="auto"/>
            </w:tcBorders>
            <w:shd w:val="clear" w:color="auto" w:fill="auto"/>
            <w:noWrap/>
            <w:vAlign w:val="center"/>
            <w:hideMark/>
          </w:tcPr>
          <w:p w14:paraId="607C16BE" w14:textId="77777777" w:rsidR="00411455" w:rsidRPr="00411455" w:rsidRDefault="00411455" w:rsidP="00411455">
            <w:pPr>
              <w:spacing w:after="0" w:line="240" w:lineRule="auto"/>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Saldo em 31 de dezembro de 2023</w:t>
            </w:r>
          </w:p>
        </w:tc>
        <w:tc>
          <w:tcPr>
            <w:tcW w:w="346" w:type="pct"/>
            <w:tcBorders>
              <w:top w:val="nil"/>
              <w:left w:val="nil"/>
              <w:bottom w:val="single" w:sz="4" w:space="0" w:color="auto"/>
              <w:right w:val="single" w:sz="4" w:space="0" w:color="auto"/>
            </w:tcBorders>
            <w:shd w:val="clear" w:color="auto" w:fill="auto"/>
            <w:noWrap/>
            <w:vAlign w:val="center"/>
            <w:hideMark/>
          </w:tcPr>
          <w:p w14:paraId="13815B6E"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287.380</w:t>
            </w:r>
          </w:p>
        </w:tc>
        <w:tc>
          <w:tcPr>
            <w:tcW w:w="364" w:type="pct"/>
            <w:tcBorders>
              <w:top w:val="nil"/>
              <w:left w:val="nil"/>
              <w:bottom w:val="single" w:sz="4" w:space="0" w:color="auto"/>
              <w:right w:val="single" w:sz="4" w:space="0" w:color="auto"/>
            </w:tcBorders>
            <w:shd w:val="clear" w:color="auto" w:fill="auto"/>
            <w:noWrap/>
            <w:vAlign w:val="center"/>
            <w:hideMark/>
          </w:tcPr>
          <w:p w14:paraId="649D4DB8"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3.110</w:t>
            </w:r>
          </w:p>
        </w:tc>
        <w:tc>
          <w:tcPr>
            <w:tcW w:w="435" w:type="pct"/>
            <w:tcBorders>
              <w:top w:val="nil"/>
              <w:left w:val="nil"/>
              <w:bottom w:val="single" w:sz="4" w:space="0" w:color="auto"/>
              <w:right w:val="single" w:sz="4" w:space="0" w:color="auto"/>
            </w:tcBorders>
            <w:shd w:val="clear" w:color="auto" w:fill="auto"/>
            <w:noWrap/>
            <w:vAlign w:val="center"/>
            <w:hideMark/>
          </w:tcPr>
          <w:p w14:paraId="01BB85FB"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298.799</w:t>
            </w:r>
          </w:p>
        </w:tc>
        <w:tc>
          <w:tcPr>
            <w:tcW w:w="340" w:type="pct"/>
            <w:tcBorders>
              <w:top w:val="nil"/>
              <w:left w:val="nil"/>
              <w:bottom w:val="single" w:sz="4" w:space="0" w:color="auto"/>
              <w:right w:val="single" w:sz="4" w:space="0" w:color="auto"/>
            </w:tcBorders>
            <w:shd w:val="clear" w:color="auto" w:fill="auto"/>
            <w:noWrap/>
            <w:vAlign w:val="center"/>
            <w:hideMark/>
          </w:tcPr>
          <w:p w14:paraId="120FA482"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3.576</w:t>
            </w:r>
          </w:p>
        </w:tc>
        <w:tc>
          <w:tcPr>
            <w:tcW w:w="385" w:type="pct"/>
            <w:tcBorders>
              <w:top w:val="nil"/>
              <w:left w:val="nil"/>
              <w:bottom w:val="single" w:sz="4" w:space="0" w:color="auto"/>
              <w:right w:val="single" w:sz="4" w:space="0" w:color="auto"/>
            </w:tcBorders>
            <w:shd w:val="clear" w:color="auto" w:fill="auto"/>
            <w:noWrap/>
            <w:vAlign w:val="center"/>
            <w:hideMark/>
          </w:tcPr>
          <w:p w14:paraId="7D26DD27"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23.522</w:t>
            </w:r>
          </w:p>
        </w:tc>
        <w:tc>
          <w:tcPr>
            <w:tcW w:w="453" w:type="pct"/>
            <w:tcBorders>
              <w:top w:val="nil"/>
              <w:left w:val="nil"/>
              <w:bottom w:val="single" w:sz="4" w:space="0" w:color="auto"/>
              <w:right w:val="single" w:sz="4" w:space="0" w:color="auto"/>
            </w:tcBorders>
            <w:shd w:val="clear" w:color="auto" w:fill="auto"/>
            <w:noWrap/>
            <w:vAlign w:val="center"/>
            <w:hideMark/>
          </w:tcPr>
          <w:p w14:paraId="56FF0E6A"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2.797.344</w:t>
            </w:r>
          </w:p>
        </w:tc>
        <w:tc>
          <w:tcPr>
            <w:tcW w:w="427" w:type="pct"/>
            <w:tcBorders>
              <w:top w:val="nil"/>
              <w:left w:val="nil"/>
              <w:bottom w:val="single" w:sz="4" w:space="0" w:color="auto"/>
              <w:right w:val="single" w:sz="4" w:space="0" w:color="auto"/>
            </w:tcBorders>
            <w:shd w:val="clear" w:color="auto" w:fill="auto"/>
            <w:noWrap/>
            <w:vAlign w:val="center"/>
            <w:hideMark/>
          </w:tcPr>
          <w:p w14:paraId="11D8CC0E"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1.156</w:t>
            </w:r>
          </w:p>
        </w:tc>
        <w:tc>
          <w:tcPr>
            <w:tcW w:w="354" w:type="pct"/>
            <w:tcBorders>
              <w:top w:val="nil"/>
              <w:left w:val="nil"/>
              <w:bottom w:val="single" w:sz="4" w:space="0" w:color="auto"/>
              <w:right w:val="single" w:sz="4" w:space="0" w:color="auto"/>
            </w:tcBorders>
            <w:shd w:val="clear" w:color="auto" w:fill="auto"/>
            <w:noWrap/>
            <w:vAlign w:val="center"/>
            <w:hideMark/>
          </w:tcPr>
          <w:p w14:paraId="4518FCDE"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51.206</w:t>
            </w:r>
          </w:p>
        </w:tc>
        <w:tc>
          <w:tcPr>
            <w:tcW w:w="435" w:type="pct"/>
            <w:tcBorders>
              <w:top w:val="nil"/>
              <w:left w:val="nil"/>
              <w:bottom w:val="single" w:sz="4" w:space="0" w:color="auto"/>
              <w:right w:val="single" w:sz="4" w:space="0" w:color="auto"/>
            </w:tcBorders>
            <w:shd w:val="clear" w:color="auto" w:fill="auto"/>
            <w:noWrap/>
            <w:vAlign w:val="center"/>
            <w:hideMark/>
          </w:tcPr>
          <w:p w14:paraId="6AA9AAEF"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86.241</w:t>
            </w:r>
          </w:p>
        </w:tc>
        <w:tc>
          <w:tcPr>
            <w:tcW w:w="358" w:type="pct"/>
            <w:tcBorders>
              <w:top w:val="nil"/>
              <w:left w:val="nil"/>
              <w:bottom w:val="single" w:sz="4" w:space="0" w:color="auto"/>
              <w:right w:val="single" w:sz="4" w:space="0" w:color="auto"/>
            </w:tcBorders>
            <w:shd w:val="clear" w:color="auto" w:fill="auto"/>
            <w:noWrap/>
            <w:vAlign w:val="center"/>
            <w:hideMark/>
          </w:tcPr>
          <w:p w14:paraId="0A0F8E4F"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3.552.334</w:t>
            </w:r>
          </w:p>
        </w:tc>
      </w:tr>
      <w:tr w:rsidR="00411455" w:rsidRPr="00411455" w14:paraId="21829C5A" w14:textId="77777777" w:rsidTr="00446A14">
        <w:trPr>
          <w:trHeight w:val="227"/>
        </w:trPr>
        <w:tc>
          <w:tcPr>
            <w:tcW w:w="1103" w:type="pct"/>
            <w:tcBorders>
              <w:top w:val="nil"/>
              <w:left w:val="single" w:sz="4" w:space="0" w:color="auto"/>
              <w:bottom w:val="single" w:sz="4" w:space="0" w:color="auto"/>
              <w:right w:val="single" w:sz="4" w:space="0" w:color="auto"/>
            </w:tcBorders>
            <w:shd w:val="clear" w:color="auto" w:fill="auto"/>
            <w:noWrap/>
            <w:vAlign w:val="center"/>
            <w:hideMark/>
          </w:tcPr>
          <w:p w14:paraId="6D801941" w14:textId="77777777" w:rsidR="00411455" w:rsidRPr="00411455" w:rsidRDefault="00411455" w:rsidP="00411455">
            <w:pPr>
              <w:spacing w:after="0" w:line="240" w:lineRule="auto"/>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 xml:space="preserve"> Depreciação Acumulada </w:t>
            </w:r>
          </w:p>
        </w:tc>
        <w:tc>
          <w:tcPr>
            <w:tcW w:w="346" w:type="pct"/>
            <w:tcBorders>
              <w:top w:val="nil"/>
              <w:left w:val="nil"/>
              <w:bottom w:val="single" w:sz="4" w:space="0" w:color="auto"/>
              <w:right w:val="single" w:sz="4" w:space="0" w:color="auto"/>
            </w:tcBorders>
            <w:shd w:val="clear" w:color="auto" w:fill="auto"/>
            <w:noWrap/>
            <w:vAlign w:val="center"/>
            <w:hideMark/>
          </w:tcPr>
          <w:p w14:paraId="6655D5F6"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 </w:t>
            </w:r>
          </w:p>
        </w:tc>
        <w:tc>
          <w:tcPr>
            <w:tcW w:w="364" w:type="pct"/>
            <w:tcBorders>
              <w:top w:val="nil"/>
              <w:left w:val="nil"/>
              <w:bottom w:val="single" w:sz="4" w:space="0" w:color="auto"/>
              <w:right w:val="single" w:sz="4" w:space="0" w:color="auto"/>
            </w:tcBorders>
            <w:shd w:val="clear" w:color="auto" w:fill="auto"/>
            <w:noWrap/>
            <w:vAlign w:val="center"/>
            <w:hideMark/>
          </w:tcPr>
          <w:p w14:paraId="05FE283F"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 </w:t>
            </w:r>
          </w:p>
        </w:tc>
        <w:tc>
          <w:tcPr>
            <w:tcW w:w="435" w:type="pct"/>
            <w:tcBorders>
              <w:top w:val="nil"/>
              <w:left w:val="nil"/>
              <w:bottom w:val="single" w:sz="4" w:space="0" w:color="auto"/>
              <w:right w:val="single" w:sz="4" w:space="0" w:color="auto"/>
            </w:tcBorders>
            <w:shd w:val="clear" w:color="auto" w:fill="auto"/>
            <w:noWrap/>
            <w:vAlign w:val="center"/>
            <w:hideMark/>
          </w:tcPr>
          <w:p w14:paraId="025A9F41"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 </w:t>
            </w:r>
          </w:p>
        </w:tc>
        <w:tc>
          <w:tcPr>
            <w:tcW w:w="340" w:type="pct"/>
            <w:tcBorders>
              <w:top w:val="nil"/>
              <w:left w:val="nil"/>
              <w:bottom w:val="single" w:sz="4" w:space="0" w:color="auto"/>
              <w:right w:val="single" w:sz="4" w:space="0" w:color="auto"/>
            </w:tcBorders>
            <w:shd w:val="clear" w:color="auto" w:fill="auto"/>
            <w:noWrap/>
            <w:vAlign w:val="center"/>
            <w:hideMark/>
          </w:tcPr>
          <w:p w14:paraId="699C3416" w14:textId="77777777" w:rsidR="00411455" w:rsidRPr="00411455" w:rsidRDefault="00411455" w:rsidP="00411455">
            <w:pPr>
              <w:spacing w:after="0" w:line="240" w:lineRule="auto"/>
              <w:jc w:val="right"/>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 </w:t>
            </w:r>
          </w:p>
        </w:tc>
        <w:tc>
          <w:tcPr>
            <w:tcW w:w="385" w:type="pct"/>
            <w:tcBorders>
              <w:top w:val="nil"/>
              <w:left w:val="nil"/>
              <w:bottom w:val="single" w:sz="4" w:space="0" w:color="auto"/>
              <w:right w:val="single" w:sz="4" w:space="0" w:color="auto"/>
            </w:tcBorders>
            <w:shd w:val="clear" w:color="auto" w:fill="auto"/>
            <w:noWrap/>
            <w:vAlign w:val="center"/>
            <w:hideMark/>
          </w:tcPr>
          <w:p w14:paraId="28872808"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 </w:t>
            </w:r>
          </w:p>
        </w:tc>
        <w:tc>
          <w:tcPr>
            <w:tcW w:w="453" w:type="pct"/>
            <w:tcBorders>
              <w:top w:val="nil"/>
              <w:left w:val="nil"/>
              <w:bottom w:val="single" w:sz="4" w:space="0" w:color="auto"/>
              <w:right w:val="single" w:sz="4" w:space="0" w:color="auto"/>
            </w:tcBorders>
            <w:shd w:val="clear" w:color="auto" w:fill="auto"/>
            <w:noWrap/>
            <w:vAlign w:val="center"/>
            <w:hideMark/>
          </w:tcPr>
          <w:p w14:paraId="641784EF"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 </w:t>
            </w:r>
          </w:p>
        </w:tc>
        <w:tc>
          <w:tcPr>
            <w:tcW w:w="427" w:type="pct"/>
            <w:tcBorders>
              <w:top w:val="nil"/>
              <w:left w:val="nil"/>
              <w:bottom w:val="single" w:sz="4" w:space="0" w:color="auto"/>
              <w:right w:val="single" w:sz="4" w:space="0" w:color="auto"/>
            </w:tcBorders>
            <w:shd w:val="clear" w:color="auto" w:fill="auto"/>
            <w:noWrap/>
            <w:vAlign w:val="center"/>
            <w:hideMark/>
          </w:tcPr>
          <w:p w14:paraId="7553B058"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 </w:t>
            </w:r>
          </w:p>
        </w:tc>
        <w:tc>
          <w:tcPr>
            <w:tcW w:w="354" w:type="pct"/>
            <w:tcBorders>
              <w:top w:val="nil"/>
              <w:left w:val="nil"/>
              <w:bottom w:val="single" w:sz="4" w:space="0" w:color="auto"/>
              <w:right w:val="single" w:sz="4" w:space="0" w:color="auto"/>
            </w:tcBorders>
            <w:shd w:val="clear" w:color="auto" w:fill="auto"/>
            <w:noWrap/>
            <w:vAlign w:val="center"/>
            <w:hideMark/>
          </w:tcPr>
          <w:p w14:paraId="26A112E9"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 </w:t>
            </w:r>
          </w:p>
        </w:tc>
        <w:tc>
          <w:tcPr>
            <w:tcW w:w="435" w:type="pct"/>
            <w:tcBorders>
              <w:top w:val="nil"/>
              <w:left w:val="nil"/>
              <w:bottom w:val="single" w:sz="4" w:space="0" w:color="auto"/>
              <w:right w:val="single" w:sz="4" w:space="0" w:color="auto"/>
            </w:tcBorders>
            <w:shd w:val="clear" w:color="auto" w:fill="auto"/>
            <w:noWrap/>
            <w:vAlign w:val="center"/>
            <w:hideMark/>
          </w:tcPr>
          <w:p w14:paraId="0C5F40B3"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 </w:t>
            </w:r>
          </w:p>
        </w:tc>
        <w:tc>
          <w:tcPr>
            <w:tcW w:w="358" w:type="pct"/>
            <w:tcBorders>
              <w:top w:val="nil"/>
              <w:left w:val="nil"/>
              <w:bottom w:val="single" w:sz="4" w:space="0" w:color="auto"/>
              <w:right w:val="single" w:sz="4" w:space="0" w:color="auto"/>
            </w:tcBorders>
            <w:shd w:val="clear" w:color="auto" w:fill="auto"/>
            <w:noWrap/>
            <w:vAlign w:val="center"/>
            <w:hideMark/>
          </w:tcPr>
          <w:p w14:paraId="3D41D484"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 </w:t>
            </w:r>
          </w:p>
        </w:tc>
      </w:tr>
      <w:tr w:rsidR="00411455" w:rsidRPr="00411455" w14:paraId="131367C9" w14:textId="77777777" w:rsidTr="00446A14">
        <w:trPr>
          <w:trHeight w:val="227"/>
        </w:trPr>
        <w:tc>
          <w:tcPr>
            <w:tcW w:w="1103" w:type="pct"/>
            <w:tcBorders>
              <w:top w:val="nil"/>
              <w:left w:val="single" w:sz="4" w:space="0" w:color="auto"/>
              <w:bottom w:val="single" w:sz="4" w:space="0" w:color="auto"/>
              <w:right w:val="single" w:sz="4" w:space="0" w:color="auto"/>
            </w:tcBorders>
            <w:shd w:val="clear" w:color="auto" w:fill="auto"/>
            <w:noWrap/>
            <w:vAlign w:val="center"/>
            <w:hideMark/>
          </w:tcPr>
          <w:p w14:paraId="2AB4FEB7" w14:textId="77777777" w:rsidR="00411455" w:rsidRPr="00411455" w:rsidRDefault="00411455" w:rsidP="00411455">
            <w:pPr>
              <w:spacing w:after="0" w:line="240" w:lineRule="auto"/>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Saldo em 31 de dezembro de 2022</w:t>
            </w:r>
          </w:p>
        </w:tc>
        <w:tc>
          <w:tcPr>
            <w:tcW w:w="346" w:type="pct"/>
            <w:tcBorders>
              <w:top w:val="nil"/>
              <w:left w:val="nil"/>
              <w:bottom w:val="single" w:sz="4" w:space="0" w:color="auto"/>
              <w:right w:val="single" w:sz="4" w:space="0" w:color="auto"/>
            </w:tcBorders>
            <w:shd w:val="clear" w:color="auto" w:fill="auto"/>
            <w:noWrap/>
            <w:vAlign w:val="center"/>
            <w:hideMark/>
          </w:tcPr>
          <w:p w14:paraId="7C9C7A09"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(89.228)</w:t>
            </w:r>
          </w:p>
        </w:tc>
        <w:tc>
          <w:tcPr>
            <w:tcW w:w="364" w:type="pct"/>
            <w:tcBorders>
              <w:top w:val="nil"/>
              <w:left w:val="nil"/>
              <w:bottom w:val="single" w:sz="4" w:space="0" w:color="auto"/>
              <w:right w:val="single" w:sz="4" w:space="0" w:color="auto"/>
            </w:tcBorders>
            <w:shd w:val="clear" w:color="auto" w:fill="auto"/>
            <w:noWrap/>
            <w:vAlign w:val="center"/>
            <w:hideMark/>
          </w:tcPr>
          <w:p w14:paraId="1A029705"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(2.412)</w:t>
            </w:r>
          </w:p>
        </w:tc>
        <w:tc>
          <w:tcPr>
            <w:tcW w:w="435" w:type="pct"/>
            <w:tcBorders>
              <w:top w:val="nil"/>
              <w:left w:val="nil"/>
              <w:bottom w:val="single" w:sz="4" w:space="0" w:color="auto"/>
              <w:right w:val="single" w:sz="4" w:space="0" w:color="auto"/>
            </w:tcBorders>
            <w:shd w:val="clear" w:color="auto" w:fill="auto"/>
            <w:noWrap/>
            <w:vAlign w:val="center"/>
            <w:hideMark/>
          </w:tcPr>
          <w:p w14:paraId="70685615"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(95.301)</w:t>
            </w:r>
          </w:p>
        </w:tc>
        <w:tc>
          <w:tcPr>
            <w:tcW w:w="340" w:type="pct"/>
            <w:tcBorders>
              <w:top w:val="nil"/>
              <w:left w:val="nil"/>
              <w:bottom w:val="single" w:sz="4" w:space="0" w:color="auto"/>
              <w:right w:val="single" w:sz="4" w:space="0" w:color="auto"/>
            </w:tcBorders>
            <w:shd w:val="clear" w:color="auto" w:fill="auto"/>
            <w:noWrap/>
            <w:vAlign w:val="center"/>
            <w:hideMark/>
          </w:tcPr>
          <w:p w14:paraId="6DBB5777"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(3.220)</w:t>
            </w:r>
          </w:p>
        </w:tc>
        <w:tc>
          <w:tcPr>
            <w:tcW w:w="385" w:type="pct"/>
            <w:tcBorders>
              <w:top w:val="nil"/>
              <w:left w:val="nil"/>
              <w:bottom w:val="single" w:sz="4" w:space="0" w:color="auto"/>
              <w:right w:val="single" w:sz="4" w:space="0" w:color="auto"/>
            </w:tcBorders>
            <w:shd w:val="clear" w:color="auto" w:fill="auto"/>
            <w:noWrap/>
            <w:vAlign w:val="center"/>
            <w:hideMark/>
          </w:tcPr>
          <w:p w14:paraId="4717698A"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(13.832)</w:t>
            </w:r>
          </w:p>
        </w:tc>
        <w:tc>
          <w:tcPr>
            <w:tcW w:w="453" w:type="pct"/>
            <w:tcBorders>
              <w:top w:val="nil"/>
              <w:left w:val="nil"/>
              <w:bottom w:val="single" w:sz="4" w:space="0" w:color="auto"/>
              <w:right w:val="single" w:sz="4" w:space="0" w:color="auto"/>
            </w:tcBorders>
            <w:shd w:val="clear" w:color="auto" w:fill="auto"/>
            <w:noWrap/>
            <w:vAlign w:val="center"/>
            <w:hideMark/>
          </w:tcPr>
          <w:p w14:paraId="6838AFF8"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(947.275)</w:t>
            </w:r>
          </w:p>
        </w:tc>
        <w:tc>
          <w:tcPr>
            <w:tcW w:w="427" w:type="pct"/>
            <w:tcBorders>
              <w:top w:val="nil"/>
              <w:left w:val="nil"/>
              <w:bottom w:val="single" w:sz="4" w:space="0" w:color="auto"/>
              <w:right w:val="single" w:sz="4" w:space="0" w:color="auto"/>
            </w:tcBorders>
            <w:shd w:val="clear" w:color="auto" w:fill="auto"/>
            <w:noWrap/>
            <w:vAlign w:val="center"/>
            <w:hideMark/>
          </w:tcPr>
          <w:p w14:paraId="61C398F4"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(1.156)</w:t>
            </w:r>
          </w:p>
        </w:tc>
        <w:tc>
          <w:tcPr>
            <w:tcW w:w="354" w:type="pct"/>
            <w:tcBorders>
              <w:top w:val="nil"/>
              <w:left w:val="nil"/>
              <w:bottom w:val="single" w:sz="4" w:space="0" w:color="auto"/>
              <w:right w:val="single" w:sz="4" w:space="0" w:color="auto"/>
            </w:tcBorders>
            <w:shd w:val="clear" w:color="auto" w:fill="auto"/>
            <w:noWrap/>
            <w:vAlign w:val="center"/>
            <w:hideMark/>
          </w:tcPr>
          <w:p w14:paraId="27CFBD02"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(32.600)</w:t>
            </w:r>
          </w:p>
        </w:tc>
        <w:tc>
          <w:tcPr>
            <w:tcW w:w="435" w:type="pct"/>
            <w:tcBorders>
              <w:top w:val="nil"/>
              <w:left w:val="nil"/>
              <w:bottom w:val="single" w:sz="4" w:space="0" w:color="auto"/>
              <w:right w:val="single" w:sz="4" w:space="0" w:color="auto"/>
            </w:tcBorders>
            <w:shd w:val="clear" w:color="auto" w:fill="auto"/>
            <w:noWrap/>
            <w:vAlign w:val="center"/>
            <w:hideMark/>
          </w:tcPr>
          <w:p w14:paraId="6792AC92"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 xml:space="preserve">                        -   </w:t>
            </w:r>
          </w:p>
        </w:tc>
        <w:tc>
          <w:tcPr>
            <w:tcW w:w="358" w:type="pct"/>
            <w:tcBorders>
              <w:top w:val="nil"/>
              <w:left w:val="nil"/>
              <w:bottom w:val="single" w:sz="4" w:space="0" w:color="auto"/>
              <w:right w:val="single" w:sz="4" w:space="0" w:color="auto"/>
            </w:tcBorders>
            <w:shd w:val="clear" w:color="auto" w:fill="auto"/>
            <w:noWrap/>
            <w:vAlign w:val="center"/>
            <w:hideMark/>
          </w:tcPr>
          <w:p w14:paraId="00F35BBF"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(1.185.024)</w:t>
            </w:r>
          </w:p>
        </w:tc>
      </w:tr>
      <w:tr w:rsidR="00411455" w:rsidRPr="00411455" w14:paraId="08DD93AA" w14:textId="77777777" w:rsidTr="00446A14">
        <w:trPr>
          <w:trHeight w:val="227"/>
        </w:trPr>
        <w:tc>
          <w:tcPr>
            <w:tcW w:w="1103" w:type="pct"/>
            <w:tcBorders>
              <w:top w:val="nil"/>
              <w:left w:val="single" w:sz="4" w:space="0" w:color="auto"/>
              <w:bottom w:val="single" w:sz="4" w:space="0" w:color="auto"/>
              <w:right w:val="single" w:sz="4" w:space="0" w:color="auto"/>
            </w:tcBorders>
            <w:shd w:val="clear" w:color="auto" w:fill="auto"/>
            <w:noWrap/>
            <w:vAlign w:val="center"/>
            <w:hideMark/>
          </w:tcPr>
          <w:p w14:paraId="6A8142BD" w14:textId="77777777" w:rsidR="00411455" w:rsidRPr="00411455" w:rsidRDefault="00411455" w:rsidP="00411455">
            <w:pPr>
              <w:spacing w:after="0" w:line="240" w:lineRule="auto"/>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Depreciação CPC 6 (R2) / IFRS 16</w:t>
            </w:r>
          </w:p>
        </w:tc>
        <w:tc>
          <w:tcPr>
            <w:tcW w:w="346" w:type="pct"/>
            <w:tcBorders>
              <w:top w:val="nil"/>
              <w:left w:val="nil"/>
              <w:bottom w:val="single" w:sz="4" w:space="0" w:color="auto"/>
              <w:right w:val="single" w:sz="4" w:space="0" w:color="auto"/>
            </w:tcBorders>
            <w:shd w:val="clear" w:color="auto" w:fill="auto"/>
            <w:noWrap/>
            <w:vAlign w:val="center"/>
            <w:hideMark/>
          </w:tcPr>
          <w:p w14:paraId="7BEA4541" w14:textId="77777777" w:rsidR="00411455" w:rsidRPr="00411455" w:rsidRDefault="00411455" w:rsidP="00411455">
            <w:pPr>
              <w:spacing w:after="0" w:line="240" w:lineRule="auto"/>
              <w:jc w:val="right"/>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w:t>
            </w:r>
          </w:p>
        </w:tc>
        <w:tc>
          <w:tcPr>
            <w:tcW w:w="364" w:type="pct"/>
            <w:tcBorders>
              <w:top w:val="nil"/>
              <w:left w:val="nil"/>
              <w:bottom w:val="single" w:sz="4" w:space="0" w:color="auto"/>
              <w:right w:val="single" w:sz="4" w:space="0" w:color="auto"/>
            </w:tcBorders>
            <w:shd w:val="clear" w:color="auto" w:fill="auto"/>
            <w:noWrap/>
            <w:vAlign w:val="center"/>
            <w:hideMark/>
          </w:tcPr>
          <w:p w14:paraId="656FC90B" w14:textId="77777777" w:rsidR="00411455" w:rsidRPr="00411455" w:rsidRDefault="00411455" w:rsidP="00411455">
            <w:pPr>
              <w:spacing w:after="0" w:line="240" w:lineRule="auto"/>
              <w:jc w:val="right"/>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 </w:t>
            </w:r>
          </w:p>
        </w:tc>
        <w:tc>
          <w:tcPr>
            <w:tcW w:w="435" w:type="pct"/>
            <w:tcBorders>
              <w:top w:val="nil"/>
              <w:left w:val="nil"/>
              <w:bottom w:val="single" w:sz="4" w:space="0" w:color="auto"/>
              <w:right w:val="single" w:sz="4" w:space="0" w:color="auto"/>
            </w:tcBorders>
            <w:shd w:val="clear" w:color="auto" w:fill="auto"/>
            <w:noWrap/>
            <w:vAlign w:val="center"/>
            <w:hideMark/>
          </w:tcPr>
          <w:p w14:paraId="0C80A3B6" w14:textId="77777777" w:rsidR="00411455" w:rsidRPr="00411455" w:rsidRDefault="00411455" w:rsidP="00411455">
            <w:pPr>
              <w:spacing w:after="0" w:line="240" w:lineRule="auto"/>
              <w:jc w:val="right"/>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w:t>
            </w:r>
          </w:p>
        </w:tc>
        <w:tc>
          <w:tcPr>
            <w:tcW w:w="340" w:type="pct"/>
            <w:tcBorders>
              <w:top w:val="nil"/>
              <w:left w:val="nil"/>
              <w:bottom w:val="single" w:sz="4" w:space="0" w:color="auto"/>
              <w:right w:val="single" w:sz="4" w:space="0" w:color="auto"/>
            </w:tcBorders>
            <w:shd w:val="clear" w:color="auto" w:fill="auto"/>
            <w:noWrap/>
            <w:vAlign w:val="center"/>
            <w:hideMark/>
          </w:tcPr>
          <w:p w14:paraId="3E152222" w14:textId="77777777" w:rsidR="00411455" w:rsidRPr="00411455" w:rsidRDefault="00411455" w:rsidP="00411455">
            <w:pPr>
              <w:spacing w:after="0" w:line="240" w:lineRule="auto"/>
              <w:jc w:val="right"/>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 </w:t>
            </w:r>
          </w:p>
        </w:tc>
        <w:tc>
          <w:tcPr>
            <w:tcW w:w="385" w:type="pct"/>
            <w:tcBorders>
              <w:top w:val="nil"/>
              <w:left w:val="nil"/>
              <w:bottom w:val="single" w:sz="4" w:space="0" w:color="auto"/>
              <w:right w:val="single" w:sz="4" w:space="0" w:color="auto"/>
            </w:tcBorders>
            <w:shd w:val="clear" w:color="auto" w:fill="auto"/>
            <w:noWrap/>
            <w:vAlign w:val="center"/>
            <w:hideMark/>
          </w:tcPr>
          <w:p w14:paraId="4BCB41DA" w14:textId="77777777" w:rsidR="00411455" w:rsidRPr="00411455" w:rsidRDefault="00411455" w:rsidP="00411455">
            <w:pPr>
              <w:spacing w:after="0" w:line="240" w:lineRule="auto"/>
              <w:jc w:val="right"/>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 </w:t>
            </w:r>
          </w:p>
        </w:tc>
        <w:tc>
          <w:tcPr>
            <w:tcW w:w="453" w:type="pct"/>
            <w:tcBorders>
              <w:top w:val="nil"/>
              <w:left w:val="nil"/>
              <w:bottom w:val="single" w:sz="4" w:space="0" w:color="auto"/>
              <w:right w:val="single" w:sz="4" w:space="0" w:color="auto"/>
            </w:tcBorders>
            <w:shd w:val="clear" w:color="auto" w:fill="auto"/>
            <w:noWrap/>
            <w:vAlign w:val="center"/>
            <w:hideMark/>
          </w:tcPr>
          <w:p w14:paraId="4FAA1752" w14:textId="77777777" w:rsidR="00411455" w:rsidRPr="00411455" w:rsidRDefault="00411455" w:rsidP="00411455">
            <w:pPr>
              <w:spacing w:after="0" w:line="240" w:lineRule="auto"/>
              <w:jc w:val="right"/>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 </w:t>
            </w:r>
          </w:p>
        </w:tc>
        <w:tc>
          <w:tcPr>
            <w:tcW w:w="427" w:type="pct"/>
            <w:tcBorders>
              <w:top w:val="nil"/>
              <w:left w:val="nil"/>
              <w:bottom w:val="single" w:sz="4" w:space="0" w:color="auto"/>
              <w:right w:val="single" w:sz="4" w:space="0" w:color="auto"/>
            </w:tcBorders>
            <w:shd w:val="clear" w:color="auto" w:fill="auto"/>
            <w:noWrap/>
            <w:vAlign w:val="center"/>
            <w:hideMark/>
          </w:tcPr>
          <w:p w14:paraId="4B4D776F" w14:textId="77777777" w:rsidR="00411455" w:rsidRPr="00411455" w:rsidRDefault="00411455" w:rsidP="00411455">
            <w:pPr>
              <w:spacing w:after="0" w:line="240" w:lineRule="auto"/>
              <w:jc w:val="right"/>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 </w:t>
            </w:r>
          </w:p>
        </w:tc>
        <w:tc>
          <w:tcPr>
            <w:tcW w:w="354" w:type="pct"/>
            <w:tcBorders>
              <w:top w:val="nil"/>
              <w:left w:val="nil"/>
              <w:bottom w:val="single" w:sz="4" w:space="0" w:color="auto"/>
              <w:right w:val="single" w:sz="4" w:space="0" w:color="auto"/>
            </w:tcBorders>
            <w:shd w:val="clear" w:color="auto" w:fill="auto"/>
            <w:noWrap/>
            <w:vAlign w:val="center"/>
            <w:hideMark/>
          </w:tcPr>
          <w:p w14:paraId="75EBC493" w14:textId="77777777" w:rsidR="00411455" w:rsidRPr="00411455" w:rsidRDefault="00411455" w:rsidP="00411455">
            <w:pPr>
              <w:spacing w:after="0" w:line="240" w:lineRule="auto"/>
              <w:jc w:val="right"/>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(5.375)</w:t>
            </w:r>
          </w:p>
        </w:tc>
        <w:tc>
          <w:tcPr>
            <w:tcW w:w="435" w:type="pct"/>
            <w:tcBorders>
              <w:top w:val="nil"/>
              <w:left w:val="nil"/>
              <w:bottom w:val="single" w:sz="4" w:space="0" w:color="auto"/>
              <w:right w:val="single" w:sz="4" w:space="0" w:color="auto"/>
            </w:tcBorders>
            <w:shd w:val="clear" w:color="auto" w:fill="auto"/>
            <w:noWrap/>
            <w:vAlign w:val="center"/>
            <w:hideMark/>
          </w:tcPr>
          <w:p w14:paraId="70E120C7" w14:textId="77777777" w:rsidR="00411455" w:rsidRPr="00411455" w:rsidRDefault="00411455" w:rsidP="00411455">
            <w:pPr>
              <w:spacing w:after="0" w:line="240" w:lineRule="auto"/>
              <w:jc w:val="right"/>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w:t>
            </w:r>
          </w:p>
        </w:tc>
        <w:tc>
          <w:tcPr>
            <w:tcW w:w="358" w:type="pct"/>
            <w:tcBorders>
              <w:top w:val="nil"/>
              <w:left w:val="nil"/>
              <w:bottom w:val="single" w:sz="4" w:space="0" w:color="auto"/>
              <w:right w:val="single" w:sz="4" w:space="0" w:color="auto"/>
            </w:tcBorders>
            <w:shd w:val="clear" w:color="auto" w:fill="auto"/>
            <w:noWrap/>
            <w:vAlign w:val="center"/>
            <w:hideMark/>
          </w:tcPr>
          <w:p w14:paraId="07B3695C"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(5.375)</w:t>
            </w:r>
          </w:p>
        </w:tc>
      </w:tr>
      <w:tr w:rsidR="00411455" w:rsidRPr="00411455" w14:paraId="58C44B16" w14:textId="77777777" w:rsidTr="00446A14">
        <w:trPr>
          <w:trHeight w:val="227"/>
        </w:trPr>
        <w:tc>
          <w:tcPr>
            <w:tcW w:w="1103" w:type="pct"/>
            <w:tcBorders>
              <w:top w:val="nil"/>
              <w:left w:val="single" w:sz="4" w:space="0" w:color="auto"/>
              <w:bottom w:val="single" w:sz="4" w:space="0" w:color="auto"/>
              <w:right w:val="single" w:sz="4" w:space="0" w:color="auto"/>
            </w:tcBorders>
            <w:shd w:val="clear" w:color="auto" w:fill="auto"/>
            <w:noWrap/>
            <w:vAlign w:val="center"/>
            <w:hideMark/>
          </w:tcPr>
          <w:p w14:paraId="37769ECD" w14:textId="77777777" w:rsidR="00411455" w:rsidRPr="00411455" w:rsidRDefault="00411455" w:rsidP="00411455">
            <w:pPr>
              <w:spacing w:after="0" w:line="240" w:lineRule="auto"/>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 xml:space="preserve">Depreciação e Amortização </w:t>
            </w:r>
          </w:p>
        </w:tc>
        <w:tc>
          <w:tcPr>
            <w:tcW w:w="346" w:type="pct"/>
            <w:tcBorders>
              <w:top w:val="nil"/>
              <w:left w:val="nil"/>
              <w:bottom w:val="single" w:sz="4" w:space="0" w:color="auto"/>
              <w:right w:val="single" w:sz="4" w:space="0" w:color="auto"/>
            </w:tcBorders>
            <w:shd w:val="clear" w:color="auto" w:fill="auto"/>
            <w:noWrap/>
            <w:vAlign w:val="center"/>
            <w:hideMark/>
          </w:tcPr>
          <w:p w14:paraId="5CB6E13B" w14:textId="77777777" w:rsidR="00411455" w:rsidRPr="00411455" w:rsidRDefault="00411455" w:rsidP="00411455">
            <w:pPr>
              <w:spacing w:after="0" w:line="240" w:lineRule="auto"/>
              <w:jc w:val="right"/>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(18.355)</w:t>
            </w:r>
          </w:p>
        </w:tc>
        <w:tc>
          <w:tcPr>
            <w:tcW w:w="364" w:type="pct"/>
            <w:tcBorders>
              <w:top w:val="nil"/>
              <w:left w:val="nil"/>
              <w:bottom w:val="single" w:sz="4" w:space="0" w:color="auto"/>
              <w:right w:val="single" w:sz="4" w:space="0" w:color="auto"/>
            </w:tcBorders>
            <w:shd w:val="clear" w:color="auto" w:fill="auto"/>
            <w:noWrap/>
            <w:vAlign w:val="center"/>
            <w:hideMark/>
          </w:tcPr>
          <w:p w14:paraId="6EEB8E90" w14:textId="77777777" w:rsidR="00411455" w:rsidRPr="00411455" w:rsidRDefault="00411455" w:rsidP="00411455">
            <w:pPr>
              <w:spacing w:after="0" w:line="240" w:lineRule="auto"/>
              <w:jc w:val="right"/>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(125)</w:t>
            </w:r>
          </w:p>
        </w:tc>
        <w:tc>
          <w:tcPr>
            <w:tcW w:w="435" w:type="pct"/>
            <w:tcBorders>
              <w:top w:val="nil"/>
              <w:left w:val="nil"/>
              <w:bottom w:val="single" w:sz="4" w:space="0" w:color="auto"/>
              <w:right w:val="single" w:sz="4" w:space="0" w:color="auto"/>
            </w:tcBorders>
            <w:shd w:val="clear" w:color="auto" w:fill="auto"/>
            <w:noWrap/>
            <w:vAlign w:val="center"/>
            <w:hideMark/>
          </w:tcPr>
          <w:p w14:paraId="5DC92D5C" w14:textId="77777777" w:rsidR="00411455" w:rsidRPr="00411455" w:rsidRDefault="00411455" w:rsidP="00411455">
            <w:pPr>
              <w:spacing w:after="0" w:line="240" w:lineRule="auto"/>
              <w:jc w:val="right"/>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(22.630)</w:t>
            </w:r>
          </w:p>
        </w:tc>
        <w:tc>
          <w:tcPr>
            <w:tcW w:w="340" w:type="pct"/>
            <w:tcBorders>
              <w:top w:val="nil"/>
              <w:left w:val="nil"/>
              <w:bottom w:val="single" w:sz="4" w:space="0" w:color="auto"/>
              <w:right w:val="single" w:sz="4" w:space="0" w:color="auto"/>
            </w:tcBorders>
            <w:shd w:val="clear" w:color="auto" w:fill="auto"/>
            <w:noWrap/>
            <w:vAlign w:val="center"/>
            <w:hideMark/>
          </w:tcPr>
          <w:p w14:paraId="09DE16CA" w14:textId="77777777" w:rsidR="00411455" w:rsidRPr="00411455" w:rsidRDefault="00411455" w:rsidP="00411455">
            <w:pPr>
              <w:spacing w:after="0" w:line="240" w:lineRule="auto"/>
              <w:jc w:val="right"/>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(123)</w:t>
            </w:r>
          </w:p>
        </w:tc>
        <w:tc>
          <w:tcPr>
            <w:tcW w:w="385" w:type="pct"/>
            <w:tcBorders>
              <w:top w:val="nil"/>
              <w:left w:val="nil"/>
              <w:bottom w:val="single" w:sz="4" w:space="0" w:color="auto"/>
              <w:right w:val="single" w:sz="4" w:space="0" w:color="auto"/>
            </w:tcBorders>
            <w:shd w:val="clear" w:color="auto" w:fill="auto"/>
            <w:noWrap/>
            <w:vAlign w:val="center"/>
            <w:hideMark/>
          </w:tcPr>
          <w:p w14:paraId="281CFA3B" w14:textId="77777777" w:rsidR="00411455" w:rsidRPr="00411455" w:rsidRDefault="00411455" w:rsidP="00411455">
            <w:pPr>
              <w:spacing w:after="0" w:line="240" w:lineRule="auto"/>
              <w:jc w:val="right"/>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(2.076)</w:t>
            </w:r>
          </w:p>
        </w:tc>
        <w:tc>
          <w:tcPr>
            <w:tcW w:w="453" w:type="pct"/>
            <w:tcBorders>
              <w:top w:val="nil"/>
              <w:left w:val="nil"/>
              <w:bottom w:val="single" w:sz="4" w:space="0" w:color="auto"/>
              <w:right w:val="single" w:sz="4" w:space="0" w:color="auto"/>
            </w:tcBorders>
            <w:shd w:val="clear" w:color="auto" w:fill="auto"/>
            <w:noWrap/>
            <w:vAlign w:val="center"/>
            <w:hideMark/>
          </w:tcPr>
          <w:p w14:paraId="7AB881C5" w14:textId="77777777" w:rsidR="00411455" w:rsidRPr="00411455" w:rsidRDefault="00411455" w:rsidP="00411455">
            <w:pPr>
              <w:spacing w:after="0" w:line="240" w:lineRule="auto"/>
              <w:jc w:val="right"/>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(197.253)</w:t>
            </w:r>
          </w:p>
        </w:tc>
        <w:tc>
          <w:tcPr>
            <w:tcW w:w="427" w:type="pct"/>
            <w:tcBorders>
              <w:top w:val="nil"/>
              <w:left w:val="nil"/>
              <w:bottom w:val="single" w:sz="4" w:space="0" w:color="auto"/>
              <w:right w:val="single" w:sz="4" w:space="0" w:color="auto"/>
            </w:tcBorders>
            <w:shd w:val="clear" w:color="auto" w:fill="auto"/>
            <w:noWrap/>
            <w:vAlign w:val="center"/>
            <w:hideMark/>
          </w:tcPr>
          <w:p w14:paraId="135768B1" w14:textId="77777777" w:rsidR="00411455" w:rsidRPr="00411455" w:rsidRDefault="00411455" w:rsidP="00411455">
            <w:pPr>
              <w:spacing w:after="0" w:line="240" w:lineRule="auto"/>
              <w:jc w:val="right"/>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 xml:space="preserve">                                                         - </w:t>
            </w:r>
          </w:p>
        </w:tc>
        <w:tc>
          <w:tcPr>
            <w:tcW w:w="354" w:type="pct"/>
            <w:tcBorders>
              <w:top w:val="nil"/>
              <w:left w:val="nil"/>
              <w:bottom w:val="single" w:sz="4" w:space="0" w:color="auto"/>
              <w:right w:val="single" w:sz="4" w:space="0" w:color="auto"/>
            </w:tcBorders>
            <w:shd w:val="clear" w:color="auto" w:fill="auto"/>
            <w:noWrap/>
            <w:vAlign w:val="center"/>
            <w:hideMark/>
          </w:tcPr>
          <w:p w14:paraId="1B58072D" w14:textId="77777777" w:rsidR="00411455" w:rsidRPr="00411455" w:rsidRDefault="00411455" w:rsidP="00411455">
            <w:pPr>
              <w:spacing w:after="0" w:line="240" w:lineRule="auto"/>
              <w:jc w:val="right"/>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 xml:space="preserve">                                                         - </w:t>
            </w:r>
          </w:p>
        </w:tc>
        <w:tc>
          <w:tcPr>
            <w:tcW w:w="435" w:type="pct"/>
            <w:tcBorders>
              <w:top w:val="nil"/>
              <w:left w:val="nil"/>
              <w:bottom w:val="single" w:sz="4" w:space="0" w:color="auto"/>
              <w:right w:val="single" w:sz="4" w:space="0" w:color="auto"/>
            </w:tcBorders>
            <w:shd w:val="clear" w:color="auto" w:fill="auto"/>
            <w:noWrap/>
            <w:vAlign w:val="center"/>
            <w:hideMark/>
          </w:tcPr>
          <w:p w14:paraId="1B17F7A8" w14:textId="77777777" w:rsidR="00411455" w:rsidRPr="00411455" w:rsidRDefault="00411455" w:rsidP="00411455">
            <w:pPr>
              <w:spacing w:after="0" w:line="240" w:lineRule="auto"/>
              <w:jc w:val="right"/>
              <w:rPr>
                <w:rFonts w:ascii="Arial" w:eastAsia="Times New Roman" w:hAnsi="Arial" w:cs="Arial"/>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 xml:space="preserve">                                          - </w:t>
            </w:r>
          </w:p>
        </w:tc>
        <w:tc>
          <w:tcPr>
            <w:tcW w:w="358" w:type="pct"/>
            <w:tcBorders>
              <w:top w:val="nil"/>
              <w:left w:val="nil"/>
              <w:bottom w:val="single" w:sz="4" w:space="0" w:color="auto"/>
              <w:right w:val="single" w:sz="4" w:space="0" w:color="auto"/>
            </w:tcBorders>
            <w:shd w:val="clear" w:color="auto" w:fill="auto"/>
            <w:noWrap/>
            <w:vAlign w:val="center"/>
            <w:hideMark/>
          </w:tcPr>
          <w:p w14:paraId="0184A540"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color w:val="000000"/>
                <w:kern w:val="0"/>
                <w:sz w:val="10"/>
                <w:szCs w:val="10"/>
                <w:lang w:eastAsia="pt-BR"/>
                <w14:ligatures w14:val="none"/>
              </w:rPr>
              <w:t>(240.562)</w:t>
            </w:r>
          </w:p>
        </w:tc>
      </w:tr>
      <w:tr w:rsidR="00411455" w:rsidRPr="00411455" w14:paraId="11CE56F8" w14:textId="77777777" w:rsidTr="00446A14">
        <w:trPr>
          <w:trHeight w:val="227"/>
        </w:trPr>
        <w:tc>
          <w:tcPr>
            <w:tcW w:w="1103" w:type="pct"/>
            <w:tcBorders>
              <w:top w:val="nil"/>
              <w:left w:val="single" w:sz="4" w:space="0" w:color="auto"/>
              <w:bottom w:val="single" w:sz="4" w:space="0" w:color="auto"/>
              <w:right w:val="single" w:sz="4" w:space="0" w:color="auto"/>
            </w:tcBorders>
            <w:shd w:val="clear" w:color="auto" w:fill="auto"/>
            <w:noWrap/>
            <w:vAlign w:val="center"/>
            <w:hideMark/>
          </w:tcPr>
          <w:p w14:paraId="7D8165BA" w14:textId="77777777" w:rsidR="00411455" w:rsidRPr="00411455" w:rsidRDefault="00411455" w:rsidP="00411455">
            <w:pPr>
              <w:spacing w:after="0" w:line="240" w:lineRule="auto"/>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Saldo em 31 de dezembro de 2023</w:t>
            </w:r>
          </w:p>
        </w:tc>
        <w:tc>
          <w:tcPr>
            <w:tcW w:w="346" w:type="pct"/>
            <w:tcBorders>
              <w:top w:val="nil"/>
              <w:left w:val="nil"/>
              <w:bottom w:val="single" w:sz="4" w:space="0" w:color="auto"/>
              <w:right w:val="single" w:sz="4" w:space="0" w:color="auto"/>
            </w:tcBorders>
            <w:shd w:val="clear" w:color="auto" w:fill="auto"/>
            <w:noWrap/>
            <w:vAlign w:val="center"/>
            <w:hideMark/>
          </w:tcPr>
          <w:p w14:paraId="68289AF6"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(107.583)</w:t>
            </w:r>
          </w:p>
        </w:tc>
        <w:tc>
          <w:tcPr>
            <w:tcW w:w="364" w:type="pct"/>
            <w:tcBorders>
              <w:top w:val="nil"/>
              <w:left w:val="nil"/>
              <w:bottom w:val="single" w:sz="4" w:space="0" w:color="auto"/>
              <w:right w:val="single" w:sz="4" w:space="0" w:color="auto"/>
            </w:tcBorders>
            <w:shd w:val="clear" w:color="auto" w:fill="auto"/>
            <w:noWrap/>
            <w:vAlign w:val="center"/>
            <w:hideMark/>
          </w:tcPr>
          <w:p w14:paraId="78CDBC16"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(2.537)</w:t>
            </w:r>
          </w:p>
        </w:tc>
        <w:tc>
          <w:tcPr>
            <w:tcW w:w="435" w:type="pct"/>
            <w:tcBorders>
              <w:top w:val="nil"/>
              <w:left w:val="nil"/>
              <w:bottom w:val="single" w:sz="4" w:space="0" w:color="auto"/>
              <w:right w:val="single" w:sz="4" w:space="0" w:color="auto"/>
            </w:tcBorders>
            <w:shd w:val="clear" w:color="auto" w:fill="auto"/>
            <w:noWrap/>
            <w:vAlign w:val="center"/>
            <w:hideMark/>
          </w:tcPr>
          <w:p w14:paraId="07B58757"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(117.931)</w:t>
            </w:r>
          </w:p>
        </w:tc>
        <w:tc>
          <w:tcPr>
            <w:tcW w:w="340" w:type="pct"/>
            <w:tcBorders>
              <w:top w:val="nil"/>
              <w:left w:val="nil"/>
              <w:bottom w:val="single" w:sz="4" w:space="0" w:color="auto"/>
              <w:right w:val="single" w:sz="4" w:space="0" w:color="auto"/>
            </w:tcBorders>
            <w:shd w:val="clear" w:color="auto" w:fill="auto"/>
            <w:noWrap/>
            <w:vAlign w:val="center"/>
            <w:hideMark/>
          </w:tcPr>
          <w:p w14:paraId="5A15C515"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(3.343)</w:t>
            </w:r>
          </w:p>
        </w:tc>
        <w:tc>
          <w:tcPr>
            <w:tcW w:w="385" w:type="pct"/>
            <w:tcBorders>
              <w:top w:val="nil"/>
              <w:left w:val="nil"/>
              <w:bottom w:val="single" w:sz="4" w:space="0" w:color="auto"/>
              <w:right w:val="single" w:sz="4" w:space="0" w:color="auto"/>
            </w:tcBorders>
            <w:shd w:val="clear" w:color="auto" w:fill="auto"/>
            <w:noWrap/>
            <w:vAlign w:val="center"/>
            <w:hideMark/>
          </w:tcPr>
          <w:p w14:paraId="1036A47A"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(15.908)</w:t>
            </w:r>
          </w:p>
        </w:tc>
        <w:tc>
          <w:tcPr>
            <w:tcW w:w="453" w:type="pct"/>
            <w:tcBorders>
              <w:top w:val="nil"/>
              <w:left w:val="nil"/>
              <w:bottom w:val="single" w:sz="4" w:space="0" w:color="auto"/>
              <w:right w:val="single" w:sz="4" w:space="0" w:color="auto"/>
            </w:tcBorders>
            <w:shd w:val="clear" w:color="auto" w:fill="auto"/>
            <w:noWrap/>
            <w:vAlign w:val="center"/>
            <w:hideMark/>
          </w:tcPr>
          <w:p w14:paraId="1B509ABD"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(1.144.528)</w:t>
            </w:r>
          </w:p>
        </w:tc>
        <w:tc>
          <w:tcPr>
            <w:tcW w:w="427" w:type="pct"/>
            <w:tcBorders>
              <w:top w:val="nil"/>
              <w:left w:val="nil"/>
              <w:bottom w:val="single" w:sz="4" w:space="0" w:color="auto"/>
              <w:right w:val="single" w:sz="4" w:space="0" w:color="auto"/>
            </w:tcBorders>
            <w:shd w:val="clear" w:color="auto" w:fill="auto"/>
            <w:noWrap/>
            <w:vAlign w:val="center"/>
            <w:hideMark/>
          </w:tcPr>
          <w:p w14:paraId="7E4D03E5"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(1.156)</w:t>
            </w:r>
          </w:p>
        </w:tc>
        <w:tc>
          <w:tcPr>
            <w:tcW w:w="354" w:type="pct"/>
            <w:tcBorders>
              <w:top w:val="nil"/>
              <w:left w:val="nil"/>
              <w:bottom w:val="single" w:sz="4" w:space="0" w:color="auto"/>
              <w:right w:val="single" w:sz="4" w:space="0" w:color="auto"/>
            </w:tcBorders>
            <w:shd w:val="clear" w:color="auto" w:fill="auto"/>
            <w:noWrap/>
            <w:vAlign w:val="center"/>
            <w:hideMark/>
          </w:tcPr>
          <w:p w14:paraId="6B9B7415"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(37.975)</w:t>
            </w:r>
          </w:p>
        </w:tc>
        <w:tc>
          <w:tcPr>
            <w:tcW w:w="435" w:type="pct"/>
            <w:tcBorders>
              <w:top w:val="nil"/>
              <w:left w:val="nil"/>
              <w:bottom w:val="single" w:sz="4" w:space="0" w:color="auto"/>
              <w:right w:val="single" w:sz="4" w:space="0" w:color="auto"/>
            </w:tcBorders>
            <w:shd w:val="clear" w:color="auto" w:fill="auto"/>
            <w:noWrap/>
            <w:vAlign w:val="center"/>
            <w:hideMark/>
          </w:tcPr>
          <w:p w14:paraId="45C12843"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 xml:space="preserve">                          - </w:t>
            </w:r>
          </w:p>
        </w:tc>
        <w:tc>
          <w:tcPr>
            <w:tcW w:w="358" w:type="pct"/>
            <w:tcBorders>
              <w:top w:val="nil"/>
              <w:left w:val="nil"/>
              <w:bottom w:val="single" w:sz="4" w:space="0" w:color="auto"/>
              <w:right w:val="single" w:sz="4" w:space="0" w:color="auto"/>
            </w:tcBorders>
            <w:shd w:val="clear" w:color="auto" w:fill="auto"/>
            <w:noWrap/>
            <w:vAlign w:val="center"/>
            <w:hideMark/>
          </w:tcPr>
          <w:p w14:paraId="1E327C11"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(1.430.961)</w:t>
            </w:r>
          </w:p>
        </w:tc>
      </w:tr>
      <w:tr w:rsidR="00411455" w:rsidRPr="00411455" w14:paraId="50E0F789" w14:textId="77777777" w:rsidTr="00446A14">
        <w:trPr>
          <w:trHeight w:val="227"/>
        </w:trPr>
        <w:tc>
          <w:tcPr>
            <w:tcW w:w="1103" w:type="pct"/>
            <w:tcBorders>
              <w:top w:val="nil"/>
              <w:left w:val="single" w:sz="4" w:space="0" w:color="auto"/>
              <w:bottom w:val="single" w:sz="4" w:space="0" w:color="auto"/>
              <w:right w:val="single" w:sz="4" w:space="0" w:color="auto"/>
            </w:tcBorders>
            <w:shd w:val="clear" w:color="auto" w:fill="auto"/>
            <w:noWrap/>
            <w:vAlign w:val="center"/>
            <w:hideMark/>
          </w:tcPr>
          <w:p w14:paraId="33EB23D0" w14:textId="77777777" w:rsidR="00411455" w:rsidRPr="00411455" w:rsidRDefault="00411455" w:rsidP="00411455">
            <w:pPr>
              <w:spacing w:after="0" w:line="240" w:lineRule="auto"/>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Valor Contábil em 31 de dezembro de 2023</w:t>
            </w:r>
          </w:p>
        </w:tc>
        <w:tc>
          <w:tcPr>
            <w:tcW w:w="346" w:type="pct"/>
            <w:tcBorders>
              <w:top w:val="nil"/>
              <w:left w:val="nil"/>
              <w:bottom w:val="single" w:sz="4" w:space="0" w:color="auto"/>
              <w:right w:val="single" w:sz="4" w:space="0" w:color="auto"/>
            </w:tcBorders>
            <w:shd w:val="clear" w:color="auto" w:fill="auto"/>
            <w:noWrap/>
            <w:vAlign w:val="center"/>
            <w:hideMark/>
          </w:tcPr>
          <w:p w14:paraId="5EC9B37C"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179.797</w:t>
            </w:r>
          </w:p>
        </w:tc>
        <w:tc>
          <w:tcPr>
            <w:tcW w:w="364" w:type="pct"/>
            <w:tcBorders>
              <w:top w:val="nil"/>
              <w:left w:val="nil"/>
              <w:bottom w:val="single" w:sz="4" w:space="0" w:color="auto"/>
              <w:right w:val="single" w:sz="4" w:space="0" w:color="auto"/>
            </w:tcBorders>
            <w:shd w:val="clear" w:color="auto" w:fill="auto"/>
            <w:noWrap/>
            <w:vAlign w:val="center"/>
            <w:hideMark/>
          </w:tcPr>
          <w:p w14:paraId="7AF77C7A"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573</w:t>
            </w:r>
          </w:p>
        </w:tc>
        <w:tc>
          <w:tcPr>
            <w:tcW w:w="435" w:type="pct"/>
            <w:tcBorders>
              <w:top w:val="nil"/>
              <w:left w:val="nil"/>
              <w:bottom w:val="single" w:sz="4" w:space="0" w:color="auto"/>
              <w:right w:val="single" w:sz="4" w:space="0" w:color="auto"/>
            </w:tcBorders>
            <w:shd w:val="clear" w:color="auto" w:fill="auto"/>
            <w:noWrap/>
            <w:vAlign w:val="center"/>
            <w:hideMark/>
          </w:tcPr>
          <w:p w14:paraId="036F4BC3"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180.868</w:t>
            </w:r>
          </w:p>
        </w:tc>
        <w:tc>
          <w:tcPr>
            <w:tcW w:w="340" w:type="pct"/>
            <w:tcBorders>
              <w:top w:val="nil"/>
              <w:left w:val="nil"/>
              <w:bottom w:val="single" w:sz="4" w:space="0" w:color="auto"/>
              <w:right w:val="single" w:sz="4" w:space="0" w:color="auto"/>
            </w:tcBorders>
            <w:shd w:val="clear" w:color="auto" w:fill="auto"/>
            <w:noWrap/>
            <w:vAlign w:val="center"/>
            <w:hideMark/>
          </w:tcPr>
          <w:p w14:paraId="5FBA19A2"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233</w:t>
            </w:r>
          </w:p>
        </w:tc>
        <w:tc>
          <w:tcPr>
            <w:tcW w:w="385" w:type="pct"/>
            <w:tcBorders>
              <w:top w:val="nil"/>
              <w:left w:val="nil"/>
              <w:bottom w:val="single" w:sz="4" w:space="0" w:color="auto"/>
              <w:right w:val="single" w:sz="4" w:space="0" w:color="auto"/>
            </w:tcBorders>
            <w:shd w:val="clear" w:color="auto" w:fill="auto"/>
            <w:noWrap/>
            <w:vAlign w:val="center"/>
            <w:hideMark/>
          </w:tcPr>
          <w:p w14:paraId="0176329F"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7.614</w:t>
            </w:r>
          </w:p>
        </w:tc>
        <w:tc>
          <w:tcPr>
            <w:tcW w:w="453" w:type="pct"/>
            <w:tcBorders>
              <w:top w:val="nil"/>
              <w:left w:val="nil"/>
              <w:bottom w:val="single" w:sz="4" w:space="0" w:color="auto"/>
              <w:right w:val="single" w:sz="4" w:space="0" w:color="auto"/>
            </w:tcBorders>
            <w:shd w:val="clear" w:color="auto" w:fill="auto"/>
            <w:noWrap/>
            <w:vAlign w:val="center"/>
            <w:hideMark/>
          </w:tcPr>
          <w:p w14:paraId="2E80BE47"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1.652.816</w:t>
            </w:r>
          </w:p>
        </w:tc>
        <w:tc>
          <w:tcPr>
            <w:tcW w:w="427" w:type="pct"/>
            <w:tcBorders>
              <w:top w:val="nil"/>
              <w:left w:val="nil"/>
              <w:bottom w:val="single" w:sz="4" w:space="0" w:color="auto"/>
              <w:right w:val="single" w:sz="4" w:space="0" w:color="auto"/>
            </w:tcBorders>
            <w:shd w:val="clear" w:color="auto" w:fill="auto"/>
            <w:noWrap/>
            <w:vAlign w:val="center"/>
            <w:hideMark/>
          </w:tcPr>
          <w:p w14:paraId="1C106C55"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 xml:space="preserve">                          - </w:t>
            </w:r>
          </w:p>
        </w:tc>
        <w:tc>
          <w:tcPr>
            <w:tcW w:w="354" w:type="pct"/>
            <w:tcBorders>
              <w:top w:val="nil"/>
              <w:left w:val="nil"/>
              <w:bottom w:val="single" w:sz="4" w:space="0" w:color="auto"/>
              <w:right w:val="single" w:sz="4" w:space="0" w:color="auto"/>
            </w:tcBorders>
            <w:shd w:val="clear" w:color="auto" w:fill="auto"/>
            <w:noWrap/>
            <w:vAlign w:val="center"/>
            <w:hideMark/>
          </w:tcPr>
          <w:p w14:paraId="3D18C33F"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13.231</w:t>
            </w:r>
          </w:p>
        </w:tc>
        <w:tc>
          <w:tcPr>
            <w:tcW w:w="435" w:type="pct"/>
            <w:tcBorders>
              <w:top w:val="nil"/>
              <w:left w:val="nil"/>
              <w:bottom w:val="single" w:sz="4" w:space="0" w:color="auto"/>
              <w:right w:val="single" w:sz="4" w:space="0" w:color="auto"/>
            </w:tcBorders>
            <w:shd w:val="clear" w:color="auto" w:fill="auto"/>
            <w:noWrap/>
            <w:vAlign w:val="center"/>
            <w:hideMark/>
          </w:tcPr>
          <w:p w14:paraId="7A071938"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86.241</w:t>
            </w:r>
          </w:p>
        </w:tc>
        <w:tc>
          <w:tcPr>
            <w:tcW w:w="358" w:type="pct"/>
            <w:tcBorders>
              <w:top w:val="nil"/>
              <w:left w:val="nil"/>
              <w:bottom w:val="single" w:sz="4" w:space="0" w:color="auto"/>
              <w:right w:val="single" w:sz="4" w:space="0" w:color="auto"/>
            </w:tcBorders>
            <w:shd w:val="clear" w:color="auto" w:fill="auto"/>
            <w:noWrap/>
            <w:vAlign w:val="center"/>
            <w:hideMark/>
          </w:tcPr>
          <w:p w14:paraId="7D5F6CE1"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2.121.373</w:t>
            </w:r>
          </w:p>
        </w:tc>
      </w:tr>
      <w:tr w:rsidR="00411455" w:rsidRPr="00411455" w14:paraId="0CE3CF49" w14:textId="77777777" w:rsidTr="00446A14">
        <w:trPr>
          <w:trHeight w:val="227"/>
        </w:trPr>
        <w:tc>
          <w:tcPr>
            <w:tcW w:w="1103" w:type="pct"/>
            <w:tcBorders>
              <w:top w:val="nil"/>
              <w:left w:val="single" w:sz="4" w:space="0" w:color="auto"/>
              <w:bottom w:val="single" w:sz="4" w:space="0" w:color="auto"/>
              <w:right w:val="single" w:sz="4" w:space="0" w:color="auto"/>
            </w:tcBorders>
            <w:shd w:val="clear" w:color="auto" w:fill="auto"/>
            <w:noWrap/>
            <w:vAlign w:val="center"/>
            <w:hideMark/>
          </w:tcPr>
          <w:p w14:paraId="61853017" w14:textId="77777777" w:rsidR="00411455" w:rsidRPr="00411455" w:rsidRDefault="00411455" w:rsidP="00411455">
            <w:pPr>
              <w:spacing w:after="0" w:line="240" w:lineRule="auto"/>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Valor Contábil em 31 de dezembro de 2022</w:t>
            </w:r>
          </w:p>
        </w:tc>
        <w:tc>
          <w:tcPr>
            <w:tcW w:w="346" w:type="pct"/>
            <w:tcBorders>
              <w:top w:val="nil"/>
              <w:left w:val="nil"/>
              <w:bottom w:val="single" w:sz="4" w:space="0" w:color="auto"/>
              <w:right w:val="single" w:sz="4" w:space="0" w:color="auto"/>
            </w:tcBorders>
            <w:shd w:val="clear" w:color="auto" w:fill="auto"/>
            <w:noWrap/>
            <w:vAlign w:val="center"/>
            <w:hideMark/>
          </w:tcPr>
          <w:p w14:paraId="4D92BCB8"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197.119</w:t>
            </w:r>
          </w:p>
        </w:tc>
        <w:tc>
          <w:tcPr>
            <w:tcW w:w="364" w:type="pct"/>
            <w:tcBorders>
              <w:top w:val="nil"/>
              <w:left w:val="nil"/>
              <w:bottom w:val="single" w:sz="4" w:space="0" w:color="auto"/>
              <w:right w:val="single" w:sz="4" w:space="0" w:color="auto"/>
            </w:tcBorders>
            <w:shd w:val="clear" w:color="auto" w:fill="auto"/>
            <w:noWrap/>
            <w:vAlign w:val="center"/>
            <w:hideMark/>
          </w:tcPr>
          <w:p w14:paraId="115EBAEF"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381</w:t>
            </w:r>
          </w:p>
        </w:tc>
        <w:tc>
          <w:tcPr>
            <w:tcW w:w="435" w:type="pct"/>
            <w:tcBorders>
              <w:top w:val="nil"/>
              <w:left w:val="nil"/>
              <w:bottom w:val="single" w:sz="4" w:space="0" w:color="auto"/>
              <w:right w:val="single" w:sz="4" w:space="0" w:color="auto"/>
            </w:tcBorders>
            <w:shd w:val="clear" w:color="auto" w:fill="auto"/>
            <w:noWrap/>
            <w:vAlign w:val="center"/>
            <w:hideMark/>
          </w:tcPr>
          <w:p w14:paraId="7A361F5D"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144.465</w:t>
            </w:r>
          </w:p>
        </w:tc>
        <w:tc>
          <w:tcPr>
            <w:tcW w:w="340" w:type="pct"/>
            <w:tcBorders>
              <w:top w:val="nil"/>
              <w:left w:val="nil"/>
              <w:bottom w:val="single" w:sz="4" w:space="0" w:color="auto"/>
              <w:right w:val="single" w:sz="4" w:space="0" w:color="auto"/>
            </w:tcBorders>
            <w:shd w:val="clear" w:color="auto" w:fill="auto"/>
            <w:noWrap/>
            <w:vAlign w:val="center"/>
            <w:hideMark/>
          </w:tcPr>
          <w:p w14:paraId="095E2A00"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356</w:t>
            </w:r>
          </w:p>
        </w:tc>
        <w:tc>
          <w:tcPr>
            <w:tcW w:w="385" w:type="pct"/>
            <w:tcBorders>
              <w:top w:val="nil"/>
              <w:left w:val="nil"/>
              <w:bottom w:val="single" w:sz="4" w:space="0" w:color="auto"/>
              <w:right w:val="single" w:sz="4" w:space="0" w:color="auto"/>
            </w:tcBorders>
            <w:shd w:val="clear" w:color="auto" w:fill="auto"/>
            <w:noWrap/>
            <w:vAlign w:val="center"/>
            <w:hideMark/>
          </w:tcPr>
          <w:p w14:paraId="7C7DF52C"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3.344</w:t>
            </w:r>
          </w:p>
        </w:tc>
        <w:tc>
          <w:tcPr>
            <w:tcW w:w="453" w:type="pct"/>
            <w:tcBorders>
              <w:top w:val="nil"/>
              <w:left w:val="nil"/>
              <w:bottom w:val="single" w:sz="4" w:space="0" w:color="auto"/>
              <w:right w:val="single" w:sz="4" w:space="0" w:color="auto"/>
            </w:tcBorders>
            <w:shd w:val="clear" w:color="auto" w:fill="auto"/>
            <w:noWrap/>
            <w:vAlign w:val="center"/>
            <w:hideMark/>
          </w:tcPr>
          <w:p w14:paraId="07339B83"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1.753.560</w:t>
            </w:r>
          </w:p>
        </w:tc>
        <w:tc>
          <w:tcPr>
            <w:tcW w:w="427" w:type="pct"/>
            <w:tcBorders>
              <w:top w:val="nil"/>
              <w:left w:val="nil"/>
              <w:bottom w:val="single" w:sz="4" w:space="0" w:color="auto"/>
              <w:right w:val="single" w:sz="4" w:space="0" w:color="auto"/>
            </w:tcBorders>
            <w:shd w:val="clear" w:color="auto" w:fill="auto"/>
            <w:noWrap/>
            <w:vAlign w:val="center"/>
            <w:hideMark/>
          </w:tcPr>
          <w:p w14:paraId="61E1B440"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 xml:space="preserve">                           - </w:t>
            </w:r>
          </w:p>
        </w:tc>
        <w:tc>
          <w:tcPr>
            <w:tcW w:w="354" w:type="pct"/>
            <w:tcBorders>
              <w:top w:val="nil"/>
              <w:left w:val="nil"/>
              <w:bottom w:val="single" w:sz="4" w:space="0" w:color="auto"/>
              <w:right w:val="single" w:sz="4" w:space="0" w:color="auto"/>
            </w:tcBorders>
            <w:shd w:val="clear" w:color="auto" w:fill="auto"/>
            <w:noWrap/>
            <w:vAlign w:val="center"/>
            <w:hideMark/>
          </w:tcPr>
          <w:p w14:paraId="2ACCD5EA"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15.932</w:t>
            </w:r>
          </w:p>
        </w:tc>
        <w:tc>
          <w:tcPr>
            <w:tcW w:w="435" w:type="pct"/>
            <w:tcBorders>
              <w:top w:val="nil"/>
              <w:left w:val="nil"/>
              <w:bottom w:val="single" w:sz="4" w:space="0" w:color="auto"/>
              <w:right w:val="single" w:sz="4" w:space="0" w:color="auto"/>
            </w:tcBorders>
            <w:shd w:val="clear" w:color="auto" w:fill="auto"/>
            <w:noWrap/>
            <w:vAlign w:val="center"/>
            <w:hideMark/>
          </w:tcPr>
          <w:p w14:paraId="0F37439C"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138.555</w:t>
            </w:r>
          </w:p>
        </w:tc>
        <w:tc>
          <w:tcPr>
            <w:tcW w:w="358" w:type="pct"/>
            <w:tcBorders>
              <w:top w:val="nil"/>
              <w:left w:val="nil"/>
              <w:bottom w:val="single" w:sz="4" w:space="0" w:color="auto"/>
              <w:right w:val="single" w:sz="4" w:space="0" w:color="auto"/>
            </w:tcBorders>
            <w:shd w:val="clear" w:color="auto" w:fill="auto"/>
            <w:noWrap/>
            <w:vAlign w:val="center"/>
            <w:hideMark/>
          </w:tcPr>
          <w:p w14:paraId="562963BB"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2.253.712</w:t>
            </w:r>
          </w:p>
        </w:tc>
      </w:tr>
      <w:tr w:rsidR="00411455" w:rsidRPr="00411455" w14:paraId="29EDA52E" w14:textId="77777777" w:rsidTr="00446A14">
        <w:trPr>
          <w:trHeight w:val="227"/>
        </w:trPr>
        <w:tc>
          <w:tcPr>
            <w:tcW w:w="1103" w:type="pct"/>
            <w:tcBorders>
              <w:top w:val="nil"/>
              <w:left w:val="single" w:sz="4" w:space="0" w:color="auto"/>
              <w:bottom w:val="single" w:sz="4" w:space="0" w:color="auto"/>
              <w:right w:val="single" w:sz="4" w:space="0" w:color="auto"/>
            </w:tcBorders>
            <w:shd w:val="clear" w:color="auto" w:fill="auto"/>
            <w:noWrap/>
            <w:vAlign w:val="center"/>
            <w:hideMark/>
          </w:tcPr>
          <w:p w14:paraId="1A93C889" w14:textId="77777777" w:rsidR="00411455" w:rsidRPr="00411455" w:rsidRDefault="00411455" w:rsidP="00411455">
            <w:pPr>
              <w:spacing w:after="0" w:line="240" w:lineRule="auto"/>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 xml:space="preserve">Taxa Anual de Depreciação </w:t>
            </w:r>
          </w:p>
        </w:tc>
        <w:tc>
          <w:tcPr>
            <w:tcW w:w="346" w:type="pct"/>
            <w:tcBorders>
              <w:top w:val="nil"/>
              <w:left w:val="nil"/>
              <w:bottom w:val="single" w:sz="4" w:space="0" w:color="auto"/>
              <w:right w:val="single" w:sz="4" w:space="0" w:color="auto"/>
            </w:tcBorders>
            <w:shd w:val="clear" w:color="auto" w:fill="auto"/>
            <w:noWrap/>
            <w:vAlign w:val="center"/>
            <w:hideMark/>
          </w:tcPr>
          <w:p w14:paraId="3280FF45" w14:textId="77777777" w:rsidR="00411455" w:rsidRPr="00411455" w:rsidRDefault="00411455" w:rsidP="00411455">
            <w:pPr>
              <w:spacing w:after="0" w:line="240" w:lineRule="auto"/>
              <w:jc w:val="center"/>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16,60%</w:t>
            </w:r>
          </w:p>
        </w:tc>
        <w:tc>
          <w:tcPr>
            <w:tcW w:w="364" w:type="pct"/>
            <w:tcBorders>
              <w:top w:val="nil"/>
              <w:left w:val="nil"/>
              <w:bottom w:val="single" w:sz="4" w:space="0" w:color="auto"/>
              <w:right w:val="single" w:sz="4" w:space="0" w:color="auto"/>
            </w:tcBorders>
            <w:shd w:val="clear" w:color="auto" w:fill="auto"/>
            <w:noWrap/>
            <w:vAlign w:val="center"/>
            <w:hideMark/>
          </w:tcPr>
          <w:p w14:paraId="19CDC931" w14:textId="77777777" w:rsidR="00411455" w:rsidRPr="00411455" w:rsidRDefault="00411455" w:rsidP="00411455">
            <w:pPr>
              <w:spacing w:after="0" w:line="240" w:lineRule="auto"/>
              <w:jc w:val="center"/>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10,00%</w:t>
            </w:r>
          </w:p>
        </w:tc>
        <w:tc>
          <w:tcPr>
            <w:tcW w:w="435" w:type="pct"/>
            <w:tcBorders>
              <w:top w:val="nil"/>
              <w:left w:val="nil"/>
              <w:bottom w:val="single" w:sz="4" w:space="0" w:color="auto"/>
              <w:right w:val="single" w:sz="4" w:space="0" w:color="auto"/>
            </w:tcBorders>
            <w:shd w:val="clear" w:color="auto" w:fill="auto"/>
            <w:noWrap/>
            <w:vAlign w:val="center"/>
            <w:hideMark/>
          </w:tcPr>
          <w:p w14:paraId="06AC2F73" w14:textId="77777777" w:rsidR="00411455" w:rsidRPr="00411455" w:rsidRDefault="00411455" w:rsidP="00411455">
            <w:pPr>
              <w:spacing w:after="0" w:line="240" w:lineRule="auto"/>
              <w:jc w:val="center"/>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 xml:space="preserve">De 5,0% </w:t>
            </w:r>
            <w:proofErr w:type="gramStart"/>
            <w:r w:rsidRPr="00411455">
              <w:rPr>
                <w:rFonts w:ascii="Arial" w:eastAsia="Times New Roman" w:hAnsi="Arial" w:cs="Arial"/>
                <w:b/>
                <w:bCs/>
                <w:color w:val="000000"/>
                <w:kern w:val="0"/>
                <w:sz w:val="10"/>
                <w:szCs w:val="10"/>
                <w:lang w:eastAsia="pt-BR"/>
                <w14:ligatures w14:val="none"/>
              </w:rPr>
              <w:t>a  20</w:t>
            </w:r>
            <w:proofErr w:type="gramEnd"/>
            <w:r w:rsidRPr="00411455">
              <w:rPr>
                <w:rFonts w:ascii="Arial" w:eastAsia="Times New Roman" w:hAnsi="Arial" w:cs="Arial"/>
                <w:b/>
                <w:bCs/>
                <w:color w:val="000000"/>
                <w:kern w:val="0"/>
                <w:sz w:val="10"/>
                <w:szCs w:val="10"/>
                <w:lang w:eastAsia="pt-BR"/>
                <w14:ligatures w14:val="none"/>
              </w:rPr>
              <w:t>,0%</w:t>
            </w:r>
          </w:p>
        </w:tc>
        <w:tc>
          <w:tcPr>
            <w:tcW w:w="340" w:type="pct"/>
            <w:tcBorders>
              <w:top w:val="nil"/>
              <w:left w:val="nil"/>
              <w:bottom w:val="single" w:sz="4" w:space="0" w:color="auto"/>
              <w:right w:val="single" w:sz="4" w:space="0" w:color="auto"/>
            </w:tcBorders>
            <w:shd w:val="clear" w:color="auto" w:fill="auto"/>
            <w:noWrap/>
            <w:vAlign w:val="center"/>
            <w:hideMark/>
          </w:tcPr>
          <w:p w14:paraId="16A50FAB" w14:textId="77777777" w:rsidR="00411455" w:rsidRPr="00411455" w:rsidRDefault="00411455" w:rsidP="00411455">
            <w:pPr>
              <w:spacing w:after="0" w:line="240" w:lineRule="auto"/>
              <w:jc w:val="center"/>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20,00%</w:t>
            </w:r>
          </w:p>
        </w:tc>
        <w:tc>
          <w:tcPr>
            <w:tcW w:w="385" w:type="pct"/>
            <w:tcBorders>
              <w:top w:val="nil"/>
              <w:left w:val="nil"/>
              <w:bottom w:val="single" w:sz="4" w:space="0" w:color="auto"/>
              <w:right w:val="single" w:sz="4" w:space="0" w:color="auto"/>
            </w:tcBorders>
            <w:shd w:val="clear" w:color="auto" w:fill="auto"/>
            <w:noWrap/>
            <w:vAlign w:val="center"/>
            <w:hideMark/>
          </w:tcPr>
          <w:p w14:paraId="5556D223" w14:textId="77777777" w:rsidR="00411455" w:rsidRPr="00411455" w:rsidRDefault="00411455" w:rsidP="00411455">
            <w:pPr>
              <w:spacing w:after="0" w:line="240" w:lineRule="auto"/>
              <w:jc w:val="center"/>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20,00%</w:t>
            </w:r>
          </w:p>
        </w:tc>
        <w:tc>
          <w:tcPr>
            <w:tcW w:w="453" w:type="pct"/>
            <w:tcBorders>
              <w:top w:val="nil"/>
              <w:left w:val="nil"/>
              <w:bottom w:val="single" w:sz="4" w:space="0" w:color="auto"/>
              <w:right w:val="single" w:sz="4" w:space="0" w:color="auto"/>
            </w:tcBorders>
            <w:shd w:val="clear" w:color="auto" w:fill="auto"/>
            <w:noWrap/>
            <w:vAlign w:val="center"/>
            <w:hideMark/>
          </w:tcPr>
          <w:p w14:paraId="7EC85956" w14:textId="77777777" w:rsidR="00411455" w:rsidRPr="00411455" w:rsidRDefault="00411455" w:rsidP="00411455">
            <w:pPr>
              <w:spacing w:after="0" w:line="240" w:lineRule="auto"/>
              <w:jc w:val="center"/>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De 10,0% a 20,0%</w:t>
            </w:r>
          </w:p>
        </w:tc>
        <w:tc>
          <w:tcPr>
            <w:tcW w:w="427" w:type="pct"/>
            <w:tcBorders>
              <w:top w:val="nil"/>
              <w:left w:val="nil"/>
              <w:bottom w:val="single" w:sz="4" w:space="0" w:color="auto"/>
              <w:right w:val="single" w:sz="4" w:space="0" w:color="auto"/>
            </w:tcBorders>
            <w:shd w:val="clear" w:color="auto" w:fill="auto"/>
            <w:noWrap/>
            <w:vAlign w:val="center"/>
            <w:hideMark/>
          </w:tcPr>
          <w:p w14:paraId="6718232A" w14:textId="77777777" w:rsidR="00411455" w:rsidRPr="00411455" w:rsidRDefault="00411455" w:rsidP="00411455">
            <w:pPr>
              <w:spacing w:after="0" w:line="240" w:lineRule="auto"/>
              <w:jc w:val="center"/>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20,00%</w:t>
            </w:r>
          </w:p>
        </w:tc>
        <w:tc>
          <w:tcPr>
            <w:tcW w:w="354" w:type="pct"/>
            <w:tcBorders>
              <w:top w:val="nil"/>
              <w:left w:val="nil"/>
              <w:bottom w:val="single" w:sz="4" w:space="0" w:color="auto"/>
              <w:right w:val="single" w:sz="4" w:space="0" w:color="auto"/>
            </w:tcBorders>
            <w:shd w:val="clear" w:color="auto" w:fill="auto"/>
            <w:noWrap/>
            <w:vAlign w:val="center"/>
            <w:hideMark/>
          </w:tcPr>
          <w:p w14:paraId="2409E3E4" w14:textId="77777777" w:rsidR="00411455" w:rsidRPr="00411455" w:rsidRDefault="00411455" w:rsidP="00411455">
            <w:pPr>
              <w:spacing w:after="0" w:line="240" w:lineRule="auto"/>
              <w:jc w:val="center"/>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De 6,6% a 20,0%</w:t>
            </w:r>
          </w:p>
        </w:tc>
        <w:tc>
          <w:tcPr>
            <w:tcW w:w="435" w:type="pct"/>
            <w:tcBorders>
              <w:top w:val="nil"/>
              <w:left w:val="nil"/>
              <w:bottom w:val="single" w:sz="4" w:space="0" w:color="auto"/>
              <w:right w:val="single" w:sz="4" w:space="0" w:color="auto"/>
            </w:tcBorders>
            <w:shd w:val="clear" w:color="000000" w:fill="D9D9D9"/>
            <w:noWrap/>
            <w:vAlign w:val="center"/>
            <w:hideMark/>
          </w:tcPr>
          <w:p w14:paraId="2A786F4E"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 </w:t>
            </w:r>
          </w:p>
        </w:tc>
        <w:tc>
          <w:tcPr>
            <w:tcW w:w="358" w:type="pct"/>
            <w:tcBorders>
              <w:top w:val="nil"/>
              <w:left w:val="nil"/>
              <w:bottom w:val="single" w:sz="4" w:space="0" w:color="auto"/>
              <w:right w:val="single" w:sz="4" w:space="0" w:color="auto"/>
            </w:tcBorders>
            <w:shd w:val="clear" w:color="000000" w:fill="D9D9D9"/>
            <w:noWrap/>
            <w:vAlign w:val="center"/>
            <w:hideMark/>
          </w:tcPr>
          <w:p w14:paraId="6952D621" w14:textId="77777777" w:rsidR="00411455" w:rsidRPr="00411455" w:rsidRDefault="00411455" w:rsidP="00411455">
            <w:pPr>
              <w:spacing w:after="0" w:line="240" w:lineRule="auto"/>
              <w:jc w:val="right"/>
              <w:rPr>
                <w:rFonts w:ascii="Arial" w:eastAsia="Times New Roman" w:hAnsi="Arial" w:cs="Arial"/>
                <w:b/>
                <w:bCs/>
                <w:color w:val="000000"/>
                <w:kern w:val="0"/>
                <w:sz w:val="10"/>
                <w:szCs w:val="10"/>
                <w:lang w:eastAsia="pt-BR"/>
                <w14:ligatures w14:val="none"/>
              </w:rPr>
            </w:pPr>
            <w:r w:rsidRPr="00411455">
              <w:rPr>
                <w:rFonts w:ascii="Arial" w:eastAsia="Times New Roman" w:hAnsi="Arial" w:cs="Arial"/>
                <w:b/>
                <w:bCs/>
                <w:color w:val="000000"/>
                <w:kern w:val="0"/>
                <w:sz w:val="10"/>
                <w:szCs w:val="10"/>
                <w:lang w:eastAsia="pt-BR"/>
                <w14:ligatures w14:val="none"/>
              </w:rPr>
              <w:t> </w:t>
            </w:r>
          </w:p>
        </w:tc>
      </w:tr>
    </w:tbl>
    <w:p w14:paraId="1F7585FD" w14:textId="63F75DFA" w:rsidR="00411455" w:rsidRPr="00411455" w:rsidRDefault="00411455" w:rsidP="007A23F8">
      <w:pPr>
        <w:autoSpaceDE w:val="0"/>
        <w:autoSpaceDN w:val="0"/>
        <w:adjustRightInd w:val="0"/>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14.2. </w:t>
      </w:r>
      <w:r w:rsidRPr="00411455">
        <w:rPr>
          <w:rFonts w:ascii="Calibri" w:eastAsia="Times New Roman" w:hAnsi="Calibri" w:cs="Calibri"/>
          <w:b/>
          <w:bCs/>
          <w:iCs/>
          <w:color w:val="002060"/>
          <w:kern w:val="0"/>
          <w14:ligatures w14:val="none"/>
        </w:rPr>
        <w:t>Bens totalmente depreciados</w:t>
      </w:r>
    </w:p>
    <w:p w14:paraId="328AE5E6" w14:textId="77777777" w:rsidR="00411455" w:rsidRPr="00411455" w:rsidRDefault="00411455" w:rsidP="007A23F8">
      <w:pPr>
        <w:autoSpaceDE w:val="0"/>
        <w:autoSpaceDN w:val="0"/>
        <w:adjustRightInd w:val="0"/>
        <w:spacing w:after="0" w:line="240" w:lineRule="auto"/>
        <w:jc w:val="both"/>
        <w:rPr>
          <w:rFonts w:ascii="Calibri" w:eastAsia="Times New Roman" w:hAnsi="Calibri" w:cs="Calibri"/>
          <w:iCs/>
          <w:color w:val="002060"/>
          <w:kern w:val="0"/>
          <w14:ligatures w14:val="none"/>
        </w:rPr>
      </w:pPr>
      <w:r w:rsidRPr="00411455">
        <w:rPr>
          <w:rFonts w:ascii="Calibri" w:eastAsia="Times New Roman" w:hAnsi="Calibri" w:cs="Calibri"/>
          <w:iCs/>
          <w:color w:val="002060"/>
          <w:kern w:val="0"/>
          <w14:ligatures w14:val="none"/>
        </w:rPr>
        <w:t>Em 31 de dezembro de 2023, consta registrado no imobilizado o valor de R$ 254.904 (R$ 203.292 em 31 de dezembro de 2022), referente a bens totalmente depreciados. Estes estão registrados nos seguintes grupos:</w:t>
      </w:r>
    </w:p>
    <w:tbl>
      <w:tblPr>
        <w:tblW w:w="5000" w:type="pct"/>
        <w:tblCellMar>
          <w:left w:w="70" w:type="dxa"/>
          <w:right w:w="70" w:type="dxa"/>
        </w:tblCellMar>
        <w:tblLook w:val="04A0" w:firstRow="1" w:lastRow="0" w:firstColumn="1" w:lastColumn="0" w:noHBand="0" w:noVBand="1"/>
      </w:tblPr>
      <w:tblGrid>
        <w:gridCol w:w="6791"/>
        <w:gridCol w:w="1486"/>
        <w:gridCol w:w="1484"/>
      </w:tblGrid>
      <w:tr w:rsidR="00411455" w:rsidRPr="00411455" w14:paraId="047D89E8" w14:textId="77777777" w:rsidTr="00446A14">
        <w:trPr>
          <w:trHeight w:val="238"/>
          <w:tblHeader/>
        </w:trPr>
        <w:tc>
          <w:tcPr>
            <w:tcW w:w="3479" w:type="pct"/>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4AF1EBEB" w14:textId="77777777" w:rsidR="00411455" w:rsidRPr="00411455" w:rsidRDefault="00411455" w:rsidP="00411455">
            <w:pPr>
              <w:spacing w:after="0" w:line="240" w:lineRule="auto"/>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 Ativos:</w:t>
            </w:r>
          </w:p>
        </w:tc>
        <w:tc>
          <w:tcPr>
            <w:tcW w:w="761" w:type="pct"/>
            <w:tcBorders>
              <w:top w:val="single" w:sz="8" w:space="0" w:color="auto"/>
              <w:left w:val="nil"/>
              <w:bottom w:val="single" w:sz="8" w:space="0" w:color="auto"/>
              <w:right w:val="single" w:sz="8" w:space="0" w:color="auto"/>
            </w:tcBorders>
            <w:shd w:val="clear" w:color="auto" w:fill="auto"/>
            <w:noWrap/>
            <w:vAlign w:val="center"/>
            <w:hideMark/>
          </w:tcPr>
          <w:p w14:paraId="3DF47801" w14:textId="77777777" w:rsidR="00411455" w:rsidRPr="00411455" w:rsidRDefault="00411455" w:rsidP="00411455">
            <w:pPr>
              <w:spacing w:after="0" w:line="240" w:lineRule="auto"/>
              <w:jc w:val="right"/>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31/12/2023</w:t>
            </w:r>
          </w:p>
        </w:tc>
        <w:tc>
          <w:tcPr>
            <w:tcW w:w="760" w:type="pct"/>
            <w:tcBorders>
              <w:top w:val="single" w:sz="8" w:space="0" w:color="auto"/>
              <w:left w:val="nil"/>
              <w:bottom w:val="single" w:sz="8" w:space="0" w:color="auto"/>
              <w:right w:val="single" w:sz="8" w:space="0" w:color="auto"/>
            </w:tcBorders>
            <w:shd w:val="clear" w:color="auto" w:fill="auto"/>
            <w:noWrap/>
            <w:vAlign w:val="center"/>
            <w:hideMark/>
          </w:tcPr>
          <w:p w14:paraId="66AC8BD6" w14:textId="77777777" w:rsidR="00411455" w:rsidRPr="00411455" w:rsidRDefault="00411455" w:rsidP="00411455">
            <w:pPr>
              <w:spacing w:after="0" w:line="240" w:lineRule="auto"/>
              <w:jc w:val="right"/>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31/12/2022</w:t>
            </w:r>
          </w:p>
        </w:tc>
      </w:tr>
      <w:tr w:rsidR="00411455" w:rsidRPr="00411455" w14:paraId="2859EDBC" w14:textId="77777777" w:rsidTr="00446A14">
        <w:trPr>
          <w:trHeight w:val="238"/>
        </w:trPr>
        <w:tc>
          <w:tcPr>
            <w:tcW w:w="3479" w:type="pct"/>
            <w:tcBorders>
              <w:top w:val="nil"/>
              <w:left w:val="single" w:sz="8" w:space="0" w:color="auto"/>
              <w:bottom w:val="single" w:sz="8" w:space="0" w:color="auto"/>
              <w:right w:val="single" w:sz="8" w:space="0" w:color="auto"/>
            </w:tcBorders>
            <w:shd w:val="clear" w:color="auto" w:fill="auto"/>
            <w:noWrap/>
            <w:vAlign w:val="center"/>
            <w:hideMark/>
          </w:tcPr>
          <w:p w14:paraId="5F2031BE" w14:textId="77777777" w:rsidR="00411455" w:rsidRPr="00411455" w:rsidRDefault="00411455" w:rsidP="00411455">
            <w:pPr>
              <w:spacing w:after="0" w:line="240" w:lineRule="auto"/>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Equipamentos de Transmissão e Comunicação de Dados</w:t>
            </w:r>
          </w:p>
        </w:tc>
        <w:tc>
          <w:tcPr>
            <w:tcW w:w="761" w:type="pct"/>
            <w:tcBorders>
              <w:top w:val="nil"/>
              <w:left w:val="nil"/>
              <w:bottom w:val="single" w:sz="8" w:space="0" w:color="auto"/>
              <w:right w:val="single" w:sz="8" w:space="0" w:color="auto"/>
            </w:tcBorders>
            <w:shd w:val="clear" w:color="auto" w:fill="auto"/>
            <w:noWrap/>
            <w:vAlign w:val="center"/>
            <w:hideMark/>
          </w:tcPr>
          <w:p w14:paraId="71212328"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162.266</w:t>
            </w:r>
          </w:p>
        </w:tc>
        <w:tc>
          <w:tcPr>
            <w:tcW w:w="760" w:type="pct"/>
            <w:tcBorders>
              <w:top w:val="nil"/>
              <w:left w:val="nil"/>
              <w:bottom w:val="single" w:sz="8" w:space="0" w:color="auto"/>
              <w:right w:val="single" w:sz="8" w:space="0" w:color="auto"/>
            </w:tcBorders>
            <w:shd w:val="clear" w:color="auto" w:fill="auto"/>
            <w:noWrap/>
            <w:vAlign w:val="center"/>
            <w:hideMark/>
          </w:tcPr>
          <w:p w14:paraId="1F4EAD45"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139.505</w:t>
            </w:r>
          </w:p>
        </w:tc>
      </w:tr>
      <w:tr w:rsidR="00411455" w:rsidRPr="00411455" w14:paraId="00966A5E" w14:textId="77777777" w:rsidTr="00446A14">
        <w:trPr>
          <w:trHeight w:val="238"/>
        </w:trPr>
        <w:tc>
          <w:tcPr>
            <w:tcW w:w="3479" w:type="pct"/>
            <w:tcBorders>
              <w:top w:val="nil"/>
              <w:left w:val="single" w:sz="8" w:space="0" w:color="auto"/>
              <w:bottom w:val="single" w:sz="8" w:space="0" w:color="auto"/>
              <w:right w:val="single" w:sz="8" w:space="0" w:color="auto"/>
            </w:tcBorders>
            <w:shd w:val="clear" w:color="auto" w:fill="auto"/>
            <w:noWrap/>
            <w:vAlign w:val="center"/>
            <w:hideMark/>
          </w:tcPr>
          <w:p w14:paraId="1D020B95" w14:textId="77777777" w:rsidR="00411455" w:rsidRPr="00411455" w:rsidRDefault="00411455" w:rsidP="00411455">
            <w:pPr>
              <w:spacing w:after="0" w:line="240" w:lineRule="auto"/>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Benfeitorias em Propriedade de Terceiros</w:t>
            </w:r>
          </w:p>
        </w:tc>
        <w:tc>
          <w:tcPr>
            <w:tcW w:w="761" w:type="pct"/>
            <w:tcBorders>
              <w:top w:val="nil"/>
              <w:left w:val="nil"/>
              <w:bottom w:val="single" w:sz="8" w:space="0" w:color="auto"/>
              <w:right w:val="single" w:sz="8" w:space="0" w:color="auto"/>
            </w:tcBorders>
            <w:shd w:val="clear" w:color="auto" w:fill="auto"/>
            <w:noWrap/>
            <w:vAlign w:val="center"/>
            <w:hideMark/>
          </w:tcPr>
          <w:p w14:paraId="72831523"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45.455</w:t>
            </w:r>
          </w:p>
        </w:tc>
        <w:tc>
          <w:tcPr>
            <w:tcW w:w="760" w:type="pct"/>
            <w:tcBorders>
              <w:top w:val="nil"/>
              <w:left w:val="nil"/>
              <w:bottom w:val="single" w:sz="8" w:space="0" w:color="auto"/>
              <w:right w:val="single" w:sz="8" w:space="0" w:color="auto"/>
            </w:tcBorders>
            <w:shd w:val="clear" w:color="auto" w:fill="auto"/>
            <w:noWrap/>
            <w:vAlign w:val="center"/>
            <w:hideMark/>
          </w:tcPr>
          <w:p w14:paraId="29CEE0E5"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32.676</w:t>
            </w:r>
          </w:p>
        </w:tc>
      </w:tr>
      <w:tr w:rsidR="00411455" w:rsidRPr="00411455" w14:paraId="09F67780" w14:textId="77777777" w:rsidTr="00446A14">
        <w:trPr>
          <w:trHeight w:val="238"/>
        </w:trPr>
        <w:tc>
          <w:tcPr>
            <w:tcW w:w="3479" w:type="pct"/>
            <w:tcBorders>
              <w:top w:val="nil"/>
              <w:left w:val="single" w:sz="8" w:space="0" w:color="auto"/>
              <w:bottom w:val="single" w:sz="8" w:space="0" w:color="auto"/>
              <w:right w:val="single" w:sz="8" w:space="0" w:color="auto"/>
            </w:tcBorders>
            <w:shd w:val="clear" w:color="auto" w:fill="auto"/>
            <w:noWrap/>
            <w:vAlign w:val="center"/>
            <w:hideMark/>
          </w:tcPr>
          <w:p w14:paraId="257B3BF7" w14:textId="77777777" w:rsidR="00411455" w:rsidRPr="00411455" w:rsidRDefault="00411455" w:rsidP="00411455">
            <w:pPr>
              <w:spacing w:after="0" w:line="240" w:lineRule="auto"/>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Equipamentos de Infraestrutura</w:t>
            </w:r>
          </w:p>
        </w:tc>
        <w:tc>
          <w:tcPr>
            <w:tcW w:w="761" w:type="pct"/>
            <w:tcBorders>
              <w:top w:val="nil"/>
              <w:left w:val="nil"/>
              <w:bottom w:val="single" w:sz="8" w:space="0" w:color="auto"/>
              <w:right w:val="single" w:sz="8" w:space="0" w:color="auto"/>
            </w:tcBorders>
            <w:shd w:val="clear" w:color="auto" w:fill="auto"/>
            <w:noWrap/>
            <w:vAlign w:val="center"/>
            <w:hideMark/>
          </w:tcPr>
          <w:p w14:paraId="03B845D5"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28.989</w:t>
            </w:r>
          </w:p>
        </w:tc>
        <w:tc>
          <w:tcPr>
            <w:tcW w:w="760" w:type="pct"/>
            <w:tcBorders>
              <w:top w:val="nil"/>
              <w:left w:val="nil"/>
              <w:bottom w:val="single" w:sz="8" w:space="0" w:color="auto"/>
              <w:right w:val="single" w:sz="8" w:space="0" w:color="auto"/>
            </w:tcBorders>
            <w:shd w:val="clear" w:color="auto" w:fill="auto"/>
            <w:noWrap/>
            <w:vAlign w:val="center"/>
            <w:hideMark/>
          </w:tcPr>
          <w:p w14:paraId="4F5BA5DA"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16.731</w:t>
            </w:r>
          </w:p>
        </w:tc>
      </w:tr>
      <w:tr w:rsidR="00411455" w:rsidRPr="00411455" w14:paraId="4C8EDAD8" w14:textId="77777777" w:rsidTr="00446A14">
        <w:trPr>
          <w:trHeight w:val="238"/>
        </w:trPr>
        <w:tc>
          <w:tcPr>
            <w:tcW w:w="3479" w:type="pct"/>
            <w:tcBorders>
              <w:top w:val="nil"/>
              <w:left w:val="single" w:sz="8" w:space="0" w:color="auto"/>
              <w:bottom w:val="single" w:sz="8" w:space="0" w:color="auto"/>
              <w:right w:val="single" w:sz="8" w:space="0" w:color="auto"/>
            </w:tcBorders>
            <w:shd w:val="clear" w:color="auto" w:fill="auto"/>
            <w:noWrap/>
            <w:vAlign w:val="center"/>
            <w:hideMark/>
          </w:tcPr>
          <w:p w14:paraId="4F531675" w14:textId="77777777" w:rsidR="00411455" w:rsidRPr="00411455" w:rsidRDefault="00411455" w:rsidP="00411455">
            <w:pPr>
              <w:spacing w:after="0" w:line="240" w:lineRule="auto"/>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Equipamentos de Tecnologia da Informação</w:t>
            </w:r>
          </w:p>
        </w:tc>
        <w:tc>
          <w:tcPr>
            <w:tcW w:w="761" w:type="pct"/>
            <w:tcBorders>
              <w:top w:val="nil"/>
              <w:left w:val="nil"/>
              <w:bottom w:val="single" w:sz="8" w:space="0" w:color="auto"/>
              <w:right w:val="single" w:sz="8" w:space="0" w:color="auto"/>
            </w:tcBorders>
            <w:shd w:val="clear" w:color="auto" w:fill="auto"/>
            <w:noWrap/>
            <w:vAlign w:val="center"/>
            <w:hideMark/>
          </w:tcPr>
          <w:p w14:paraId="41915FBE"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12.153</w:t>
            </w:r>
          </w:p>
        </w:tc>
        <w:tc>
          <w:tcPr>
            <w:tcW w:w="760" w:type="pct"/>
            <w:tcBorders>
              <w:top w:val="nil"/>
              <w:left w:val="nil"/>
              <w:bottom w:val="single" w:sz="8" w:space="0" w:color="auto"/>
              <w:right w:val="single" w:sz="8" w:space="0" w:color="auto"/>
            </w:tcBorders>
            <w:shd w:val="clear" w:color="auto" w:fill="auto"/>
            <w:noWrap/>
            <w:vAlign w:val="center"/>
            <w:hideMark/>
          </w:tcPr>
          <w:p w14:paraId="0112E2AE"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8.513</w:t>
            </w:r>
          </w:p>
        </w:tc>
      </w:tr>
      <w:tr w:rsidR="00411455" w:rsidRPr="00411455" w14:paraId="6E7438DF" w14:textId="77777777" w:rsidTr="00446A14">
        <w:trPr>
          <w:trHeight w:val="238"/>
        </w:trPr>
        <w:tc>
          <w:tcPr>
            <w:tcW w:w="3479" w:type="pct"/>
            <w:tcBorders>
              <w:top w:val="nil"/>
              <w:left w:val="single" w:sz="8" w:space="0" w:color="auto"/>
              <w:bottom w:val="single" w:sz="8" w:space="0" w:color="auto"/>
              <w:right w:val="single" w:sz="8" w:space="0" w:color="auto"/>
            </w:tcBorders>
            <w:shd w:val="clear" w:color="auto" w:fill="auto"/>
            <w:noWrap/>
            <w:vAlign w:val="center"/>
            <w:hideMark/>
          </w:tcPr>
          <w:p w14:paraId="1F6E5BB3" w14:textId="77777777" w:rsidR="00411455" w:rsidRPr="00411455" w:rsidRDefault="00411455" w:rsidP="00411455">
            <w:pPr>
              <w:spacing w:after="0" w:line="240" w:lineRule="auto"/>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Equipamentos Data Center</w:t>
            </w:r>
          </w:p>
        </w:tc>
        <w:tc>
          <w:tcPr>
            <w:tcW w:w="761" w:type="pct"/>
            <w:tcBorders>
              <w:top w:val="nil"/>
              <w:left w:val="nil"/>
              <w:bottom w:val="single" w:sz="8" w:space="0" w:color="auto"/>
              <w:right w:val="single" w:sz="8" w:space="0" w:color="auto"/>
            </w:tcBorders>
            <w:shd w:val="clear" w:color="auto" w:fill="auto"/>
            <w:noWrap/>
            <w:vAlign w:val="center"/>
            <w:hideMark/>
          </w:tcPr>
          <w:p w14:paraId="67C0AF0D"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2.963</w:t>
            </w:r>
          </w:p>
        </w:tc>
        <w:tc>
          <w:tcPr>
            <w:tcW w:w="760" w:type="pct"/>
            <w:tcBorders>
              <w:top w:val="nil"/>
              <w:left w:val="nil"/>
              <w:bottom w:val="single" w:sz="8" w:space="0" w:color="auto"/>
              <w:right w:val="single" w:sz="8" w:space="0" w:color="auto"/>
            </w:tcBorders>
            <w:shd w:val="clear" w:color="auto" w:fill="auto"/>
            <w:noWrap/>
            <w:vAlign w:val="center"/>
            <w:hideMark/>
          </w:tcPr>
          <w:p w14:paraId="66087B6F"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2.963</w:t>
            </w:r>
          </w:p>
        </w:tc>
      </w:tr>
      <w:tr w:rsidR="00411455" w:rsidRPr="00411455" w14:paraId="200CB047" w14:textId="77777777" w:rsidTr="00446A14">
        <w:trPr>
          <w:trHeight w:val="238"/>
        </w:trPr>
        <w:tc>
          <w:tcPr>
            <w:tcW w:w="3479" w:type="pct"/>
            <w:tcBorders>
              <w:top w:val="nil"/>
              <w:left w:val="single" w:sz="8" w:space="0" w:color="auto"/>
              <w:bottom w:val="single" w:sz="8" w:space="0" w:color="auto"/>
              <w:right w:val="single" w:sz="8" w:space="0" w:color="auto"/>
            </w:tcBorders>
            <w:shd w:val="clear" w:color="auto" w:fill="auto"/>
            <w:noWrap/>
            <w:vAlign w:val="center"/>
            <w:hideMark/>
          </w:tcPr>
          <w:p w14:paraId="7BB6C442" w14:textId="77777777" w:rsidR="00411455" w:rsidRPr="00411455" w:rsidRDefault="00411455" w:rsidP="00411455">
            <w:pPr>
              <w:spacing w:after="0" w:line="240" w:lineRule="auto"/>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Mobiliários</w:t>
            </w:r>
          </w:p>
        </w:tc>
        <w:tc>
          <w:tcPr>
            <w:tcW w:w="761" w:type="pct"/>
            <w:tcBorders>
              <w:top w:val="nil"/>
              <w:left w:val="nil"/>
              <w:bottom w:val="single" w:sz="8" w:space="0" w:color="auto"/>
              <w:right w:val="single" w:sz="8" w:space="0" w:color="auto"/>
            </w:tcBorders>
            <w:shd w:val="clear" w:color="auto" w:fill="auto"/>
            <w:noWrap/>
            <w:vAlign w:val="center"/>
            <w:hideMark/>
          </w:tcPr>
          <w:p w14:paraId="2D9424EB"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1.922</w:t>
            </w:r>
          </w:p>
        </w:tc>
        <w:tc>
          <w:tcPr>
            <w:tcW w:w="760" w:type="pct"/>
            <w:tcBorders>
              <w:top w:val="nil"/>
              <w:left w:val="nil"/>
              <w:bottom w:val="single" w:sz="8" w:space="0" w:color="auto"/>
              <w:right w:val="single" w:sz="8" w:space="0" w:color="auto"/>
            </w:tcBorders>
            <w:shd w:val="clear" w:color="auto" w:fill="auto"/>
            <w:noWrap/>
            <w:vAlign w:val="center"/>
            <w:hideMark/>
          </w:tcPr>
          <w:p w14:paraId="27591879"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1.748</w:t>
            </w:r>
          </w:p>
        </w:tc>
      </w:tr>
      <w:tr w:rsidR="00411455" w:rsidRPr="00411455" w14:paraId="2F02A1E7" w14:textId="77777777" w:rsidTr="00446A14">
        <w:trPr>
          <w:trHeight w:val="238"/>
        </w:trPr>
        <w:tc>
          <w:tcPr>
            <w:tcW w:w="3479" w:type="pct"/>
            <w:tcBorders>
              <w:top w:val="nil"/>
              <w:left w:val="single" w:sz="8" w:space="0" w:color="auto"/>
              <w:bottom w:val="single" w:sz="8" w:space="0" w:color="auto"/>
              <w:right w:val="single" w:sz="8" w:space="0" w:color="auto"/>
            </w:tcBorders>
            <w:shd w:val="clear" w:color="auto" w:fill="auto"/>
            <w:noWrap/>
            <w:vAlign w:val="center"/>
            <w:hideMark/>
          </w:tcPr>
          <w:p w14:paraId="21D350DD" w14:textId="77777777" w:rsidR="00411455" w:rsidRPr="00411455" w:rsidRDefault="00411455" w:rsidP="00411455">
            <w:pPr>
              <w:spacing w:after="0" w:line="240" w:lineRule="auto"/>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Ferramentas e Instrumentos</w:t>
            </w:r>
          </w:p>
        </w:tc>
        <w:tc>
          <w:tcPr>
            <w:tcW w:w="761" w:type="pct"/>
            <w:tcBorders>
              <w:top w:val="nil"/>
              <w:left w:val="nil"/>
              <w:bottom w:val="single" w:sz="8" w:space="0" w:color="auto"/>
              <w:right w:val="single" w:sz="8" w:space="0" w:color="auto"/>
            </w:tcBorders>
            <w:shd w:val="clear" w:color="auto" w:fill="auto"/>
            <w:noWrap/>
            <w:vAlign w:val="center"/>
            <w:hideMark/>
          </w:tcPr>
          <w:p w14:paraId="42D1E32F"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1.156</w:t>
            </w:r>
          </w:p>
        </w:tc>
        <w:tc>
          <w:tcPr>
            <w:tcW w:w="760" w:type="pct"/>
            <w:tcBorders>
              <w:top w:val="nil"/>
              <w:left w:val="nil"/>
              <w:bottom w:val="single" w:sz="8" w:space="0" w:color="auto"/>
              <w:right w:val="single" w:sz="8" w:space="0" w:color="auto"/>
            </w:tcBorders>
            <w:shd w:val="clear" w:color="auto" w:fill="auto"/>
            <w:noWrap/>
            <w:vAlign w:val="center"/>
            <w:hideMark/>
          </w:tcPr>
          <w:p w14:paraId="0905650F"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1.156</w:t>
            </w:r>
          </w:p>
        </w:tc>
      </w:tr>
      <w:tr w:rsidR="00411455" w:rsidRPr="00411455" w14:paraId="0A99C74D" w14:textId="77777777" w:rsidTr="00446A14">
        <w:trPr>
          <w:trHeight w:val="238"/>
        </w:trPr>
        <w:tc>
          <w:tcPr>
            <w:tcW w:w="3479" w:type="pct"/>
            <w:tcBorders>
              <w:top w:val="nil"/>
              <w:left w:val="single" w:sz="8" w:space="0" w:color="auto"/>
              <w:bottom w:val="single" w:sz="8" w:space="0" w:color="auto"/>
              <w:right w:val="single" w:sz="8" w:space="0" w:color="auto"/>
            </w:tcBorders>
            <w:shd w:val="clear" w:color="auto" w:fill="auto"/>
            <w:noWrap/>
            <w:vAlign w:val="center"/>
            <w:hideMark/>
          </w:tcPr>
          <w:p w14:paraId="1309F044" w14:textId="77777777" w:rsidR="00411455" w:rsidRPr="00411455" w:rsidRDefault="00411455" w:rsidP="00411455">
            <w:pPr>
              <w:spacing w:after="0" w:line="240" w:lineRule="auto"/>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Total</w:t>
            </w:r>
          </w:p>
        </w:tc>
        <w:tc>
          <w:tcPr>
            <w:tcW w:w="761" w:type="pct"/>
            <w:tcBorders>
              <w:top w:val="nil"/>
              <w:left w:val="nil"/>
              <w:bottom w:val="single" w:sz="8" w:space="0" w:color="auto"/>
              <w:right w:val="single" w:sz="8" w:space="0" w:color="auto"/>
            </w:tcBorders>
            <w:shd w:val="clear" w:color="auto" w:fill="auto"/>
            <w:noWrap/>
            <w:vAlign w:val="center"/>
            <w:hideMark/>
          </w:tcPr>
          <w:p w14:paraId="7F530FE8" w14:textId="77777777" w:rsidR="00411455" w:rsidRPr="00411455" w:rsidRDefault="00411455" w:rsidP="00411455">
            <w:pPr>
              <w:spacing w:after="0" w:line="240" w:lineRule="auto"/>
              <w:jc w:val="right"/>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254.904</w:t>
            </w:r>
          </w:p>
        </w:tc>
        <w:tc>
          <w:tcPr>
            <w:tcW w:w="760" w:type="pct"/>
            <w:tcBorders>
              <w:top w:val="nil"/>
              <w:left w:val="nil"/>
              <w:bottom w:val="single" w:sz="8" w:space="0" w:color="auto"/>
              <w:right w:val="single" w:sz="8" w:space="0" w:color="auto"/>
            </w:tcBorders>
            <w:shd w:val="clear" w:color="auto" w:fill="auto"/>
            <w:noWrap/>
            <w:vAlign w:val="center"/>
            <w:hideMark/>
          </w:tcPr>
          <w:p w14:paraId="309621C1" w14:textId="77777777" w:rsidR="00411455" w:rsidRPr="00411455" w:rsidRDefault="00411455" w:rsidP="00411455">
            <w:pPr>
              <w:spacing w:after="0" w:line="240" w:lineRule="auto"/>
              <w:jc w:val="right"/>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203.292</w:t>
            </w:r>
          </w:p>
        </w:tc>
      </w:tr>
    </w:tbl>
    <w:p w14:paraId="4E22D2C3" w14:textId="1DB92A00" w:rsidR="00411455" w:rsidRPr="00411455" w:rsidRDefault="00411455" w:rsidP="007A23F8">
      <w:pPr>
        <w:autoSpaceDE w:val="0"/>
        <w:autoSpaceDN w:val="0"/>
        <w:adjustRightInd w:val="0"/>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14.3. </w:t>
      </w:r>
      <w:r w:rsidRPr="00411455">
        <w:rPr>
          <w:rFonts w:ascii="Calibri" w:eastAsia="Times New Roman" w:hAnsi="Calibri" w:cs="Calibri"/>
          <w:b/>
          <w:bCs/>
          <w:iCs/>
          <w:color w:val="002060"/>
          <w:kern w:val="0"/>
          <w14:ligatures w14:val="none"/>
        </w:rPr>
        <w:t>Seguros</w:t>
      </w:r>
    </w:p>
    <w:p w14:paraId="749BEF75" w14:textId="77777777" w:rsidR="00411455" w:rsidRPr="00411455" w:rsidRDefault="00411455" w:rsidP="007A23F8">
      <w:pPr>
        <w:autoSpaceDE w:val="0"/>
        <w:autoSpaceDN w:val="0"/>
        <w:adjustRightInd w:val="0"/>
        <w:spacing w:after="0" w:line="240" w:lineRule="auto"/>
        <w:jc w:val="both"/>
        <w:rPr>
          <w:rFonts w:ascii="Calibri" w:eastAsia="Times New Roman" w:hAnsi="Calibri" w:cs="Calibri"/>
          <w:iCs/>
          <w:color w:val="002060"/>
          <w:kern w:val="0"/>
          <w14:ligatures w14:val="none"/>
        </w:rPr>
      </w:pPr>
      <w:r w:rsidRPr="00411455">
        <w:rPr>
          <w:rFonts w:ascii="Calibri" w:eastAsia="Times New Roman" w:hAnsi="Calibri" w:cs="Calibri"/>
          <w:iCs/>
          <w:color w:val="002060"/>
          <w:kern w:val="0"/>
          <w14:ligatures w14:val="none"/>
        </w:rPr>
        <w:t>A Telebras possui contratos de seguro e de garantia estendida para cobrir possíveis perdas que venham a ocorrer com o Satélite Geoestacionário de Defesa e Comunicações Estratégicas – SGDC, e com os equipamentos localizados em solo. As características desses contratos são apresentadas a seguir:</w:t>
      </w:r>
    </w:p>
    <w:tbl>
      <w:tblPr>
        <w:tblW w:w="5000" w:type="pct"/>
        <w:tblCellMar>
          <w:left w:w="70" w:type="dxa"/>
          <w:right w:w="70" w:type="dxa"/>
        </w:tblCellMar>
        <w:tblLook w:val="04A0" w:firstRow="1" w:lastRow="0" w:firstColumn="1" w:lastColumn="0" w:noHBand="0" w:noVBand="1"/>
      </w:tblPr>
      <w:tblGrid>
        <w:gridCol w:w="2102"/>
        <w:gridCol w:w="1685"/>
        <w:gridCol w:w="1130"/>
        <w:gridCol w:w="1236"/>
        <w:gridCol w:w="1144"/>
        <w:gridCol w:w="2464"/>
      </w:tblGrid>
      <w:tr w:rsidR="00411455" w:rsidRPr="00411455" w14:paraId="1C39339E" w14:textId="77777777" w:rsidTr="00411455">
        <w:trPr>
          <w:trHeight w:val="238"/>
        </w:trPr>
        <w:tc>
          <w:tcPr>
            <w:tcW w:w="1077"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7264F025" w14:textId="77777777" w:rsidR="00411455" w:rsidRPr="00411455" w:rsidRDefault="00411455" w:rsidP="00411455">
            <w:pPr>
              <w:spacing w:after="0" w:line="240" w:lineRule="auto"/>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 xml:space="preserve">Entidades </w:t>
            </w:r>
          </w:p>
        </w:tc>
        <w:tc>
          <w:tcPr>
            <w:tcW w:w="863" w:type="pct"/>
            <w:tcBorders>
              <w:top w:val="single" w:sz="8" w:space="0" w:color="auto"/>
              <w:left w:val="nil"/>
              <w:bottom w:val="single" w:sz="8" w:space="0" w:color="auto"/>
              <w:right w:val="single" w:sz="8" w:space="0" w:color="auto"/>
            </w:tcBorders>
            <w:shd w:val="clear" w:color="000000" w:fill="D9D9D9"/>
            <w:vAlign w:val="center"/>
            <w:hideMark/>
          </w:tcPr>
          <w:p w14:paraId="255DA88A" w14:textId="77777777" w:rsidR="00411455" w:rsidRPr="00411455" w:rsidRDefault="00411455" w:rsidP="00411455">
            <w:pPr>
              <w:spacing w:after="0" w:line="240" w:lineRule="auto"/>
              <w:jc w:val="center"/>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Natureza</w:t>
            </w:r>
          </w:p>
        </w:tc>
        <w:tc>
          <w:tcPr>
            <w:tcW w:w="579" w:type="pct"/>
            <w:tcBorders>
              <w:top w:val="single" w:sz="8" w:space="0" w:color="auto"/>
              <w:left w:val="nil"/>
              <w:bottom w:val="single" w:sz="8" w:space="0" w:color="auto"/>
              <w:right w:val="single" w:sz="8" w:space="0" w:color="auto"/>
            </w:tcBorders>
            <w:shd w:val="clear" w:color="000000" w:fill="D9D9D9"/>
            <w:vAlign w:val="center"/>
            <w:hideMark/>
          </w:tcPr>
          <w:p w14:paraId="15177B98" w14:textId="77777777" w:rsidR="00411455" w:rsidRPr="00411455" w:rsidRDefault="00411455" w:rsidP="00411455">
            <w:pPr>
              <w:spacing w:after="0" w:line="240" w:lineRule="auto"/>
              <w:jc w:val="center"/>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Valor Contratado</w:t>
            </w:r>
          </w:p>
        </w:tc>
        <w:tc>
          <w:tcPr>
            <w:tcW w:w="633" w:type="pct"/>
            <w:tcBorders>
              <w:top w:val="single" w:sz="8" w:space="0" w:color="auto"/>
              <w:left w:val="nil"/>
              <w:bottom w:val="single" w:sz="8" w:space="0" w:color="auto"/>
              <w:right w:val="single" w:sz="8" w:space="0" w:color="auto"/>
            </w:tcBorders>
            <w:shd w:val="clear" w:color="000000" w:fill="D9D9D9"/>
            <w:vAlign w:val="center"/>
            <w:hideMark/>
          </w:tcPr>
          <w:p w14:paraId="40ED384E" w14:textId="77777777" w:rsidR="00411455" w:rsidRPr="00411455" w:rsidRDefault="00411455" w:rsidP="00411455">
            <w:pPr>
              <w:spacing w:after="0" w:line="240" w:lineRule="auto"/>
              <w:jc w:val="center"/>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Valor do Prêmio</w:t>
            </w:r>
          </w:p>
        </w:tc>
        <w:tc>
          <w:tcPr>
            <w:tcW w:w="586" w:type="pct"/>
            <w:tcBorders>
              <w:top w:val="single" w:sz="8" w:space="0" w:color="auto"/>
              <w:left w:val="nil"/>
              <w:bottom w:val="single" w:sz="8" w:space="0" w:color="auto"/>
              <w:right w:val="single" w:sz="8" w:space="0" w:color="auto"/>
            </w:tcBorders>
            <w:shd w:val="clear" w:color="000000" w:fill="D9D9D9"/>
            <w:vAlign w:val="center"/>
            <w:hideMark/>
          </w:tcPr>
          <w:p w14:paraId="6795EA1E" w14:textId="77777777" w:rsidR="00411455" w:rsidRPr="00411455" w:rsidRDefault="00411455" w:rsidP="00411455">
            <w:pPr>
              <w:spacing w:after="0" w:line="240" w:lineRule="auto"/>
              <w:jc w:val="center"/>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Valor Indenizável</w:t>
            </w:r>
          </w:p>
        </w:tc>
        <w:tc>
          <w:tcPr>
            <w:tcW w:w="1262" w:type="pct"/>
            <w:tcBorders>
              <w:top w:val="single" w:sz="8" w:space="0" w:color="auto"/>
              <w:left w:val="nil"/>
              <w:bottom w:val="single" w:sz="8" w:space="0" w:color="auto"/>
              <w:right w:val="single" w:sz="8" w:space="0" w:color="auto"/>
            </w:tcBorders>
            <w:shd w:val="clear" w:color="000000" w:fill="D9D9D9"/>
            <w:vAlign w:val="center"/>
            <w:hideMark/>
          </w:tcPr>
          <w:p w14:paraId="7D435C4F" w14:textId="77777777" w:rsidR="00411455" w:rsidRPr="00411455" w:rsidRDefault="00411455" w:rsidP="00411455">
            <w:pPr>
              <w:spacing w:after="0" w:line="240" w:lineRule="auto"/>
              <w:jc w:val="center"/>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Vigência</w:t>
            </w:r>
          </w:p>
        </w:tc>
      </w:tr>
      <w:tr w:rsidR="00411455" w:rsidRPr="00411455" w14:paraId="735EE732" w14:textId="77777777" w:rsidTr="00411455">
        <w:trPr>
          <w:trHeight w:val="238"/>
        </w:trPr>
        <w:tc>
          <w:tcPr>
            <w:tcW w:w="1077" w:type="pct"/>
            <w:tcBorders>
              <w:top w:val="nil"/>
              <w:left w:val="single" w:sz="8" w:space="0" w:color="auto"/>
              <w:bottom w:val="single" w:sz="8" w:space="0" w:color="auto"/>
              <w:right w:val="single" w:sz="8" w:space="0" w:color="auto"/>
            </w:tcBorders>
            <w:shd w:val="clear" w:color="auto" w:fill="auto"/>
            <w:noWrap/>
            <w:vAlign w:val="center"/>
            <w:hideMark/>
          </w:tcPr>
          <w:p w14:paraId="597E040C" w14:textId="77777777" w:rsidR="00411455" w:rsidRPr="00411455" w:rsidRDefault="00411455" w:rsidP="00411455">
            <w:pPr>
              <w:spacing w:after="0" w:line="240" w:lineRule="auto"/>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Mapfre Seguros</w:t>
            </w:r>
          </w:p>
        </w:tc>
        <w:tc>
          <w:tcPr>
            <w:tcW w:w="863" w:type="pct"/>
            <w:tcBorders>
              <w:top w:val="nil"/>
              <w:left w:val="nil"/>
              <w:bottom w:val="single" w:sz="8" w:space="0" w:color="auto"/>
              <w:right w:val="single" w:sz="8" w:space="0" w:color="auto"/>
            </w:tcBorders>
            <w:shd w:val="clear" w:color="auto" w:fill="auto"/>
            <w:vAlign w:val="center"/>
            <w:hideMark/>
          </w:tcPr>
          <w:p w14:paraId="526E1D6B" w14:textId="77777777" w:rsidR="00411455" w:rsidRPr="00411455" w:rsidRDefault="00411455" w:rsidP="00411455">
            <w:pPr>
              <w:spacing w:after="0" w:line="240" w:lineRule="auto"/>
              <w:jc w:val="center"/>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Seguro</w:t>
            </w:r>
          </w:p>
        </w:tc>
        <w:tc>
          <w:tcPr>
            <w:tcW w:w="579" w:type="pct"/>
            <w:tcBorders>
              <w:top w:val="nil"/>
              <w:left w:val="nil"/>
              <w:bottom w:val="single" w:sz="8" w:space="0" w:color="auto"/>
              <w:right w:val="single" w:sz="8" w:space="0" w:color="auto"/>
            </w:tcBorders>
            <w:shd w:val="clear" w:color="000000" w:fill="D9D9D9"/>
            <w:noWrap/>
            <w:vAlign w:val="center"/>
            <w:hideMark/>
          </w:tcPr>
          <w:p w14:paraId="656B82A3" w14:textId="77777777" w:rsidR="00411455" w:rsidRPr="00411455" w:rsidRDefault="00411455" w:rsidP="00411455">
            <w:pPr>
              <w:spacing w:after="0" w:line="240" w:lineRule="auto"/>
              <w:rPr>
                <w:rFonts w:ascii="Calibri" w:eastAsia="Times New Roman" w:hAnsi="Calibri" w:cs="Calibri"/>
                <w:color w:val="000000"/>
                <w:kern w:val="0"/>
                <w:lang w:eastAsia="pt-BR"/>
                <w14:ligatures w14:val="none"/>
              </w:rPr>
            </w:pPr>
            <w:r w:rsidRPr="00411455">
              <w:rPr>
                <w:rFonts w:ascii="Calibri" w:eastAsia="Times New Roman" w:hAnsi="Calibri" w:cs="Calibri"/>
                <w:color w:val="000000"/>
                <w:kern w:val="0"/>
                <w:lang w:eastAsia="pt-BR"/>
                <w14:ligatures w14:val="none"/>
              </w:rPr>
              <w:t> </w:t>
            </w:r>
          </w:p>
        </w:tc>
        <w:tc>
          <w:tcPr>
            <w:tcW w:w="633" w:type="pct"/>
            <w:tcBorders>
              <w:top w:val="nil"/>
              <w:left w:val="nil"/>
              <w:bottom w:val="single" w:sz="8" w:space="0" w:color="auto"/>
              <w:right w:val="single" w:sz="8" w:space="0" w:color="auto"/>
            </w:tcBorders>
            <w:shd w:val="clear" w:color="auto" w:fill="auto"/>
            <w:noWrap/>
            <w:vAlign w:val="center"/>
            <w:hideMark/>
          </w:tcPr>
          <w:p w14:paraId="687F8F37"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6.376</w:t>
            </w:r>
          </w:p>
        </w:tc>
        <w:tc>
          <w:tcPr>
            <w:tcW w:w="586" w:type="pct"/>
            <w:tcBorders>
              <w:top w:val="nil"/>
              <w:left w:val="nil"/>
              <w:bottom w:val="single" w:sz="8" w:space="0" w:color="auto"/>
              <w:right w:val="single" w:sz="8" w:space="0" w:color="auto"/>
            </w:tcBorders>
            <w:shd w:val="clear" w:color="auto" w:fill="auto"/>
            <w:noWrap/>
            <w:vAlign w:val="center"/>
            <w:hideMark/>
          </w:tcPr>
          <w:p w14:paraId="00A60F52"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1.004.962</w:t>
            </w:r>
          </w:p>
        </w:tc>
        <w:tc>
          <w:tcPr>
            <w:tcW w:w="1262" w:type="pct"/>
            <w:tcBorders>
              <w:top w:val="nil"/>
              <w:left w:val="nil"/>
              <w:bottom w:val="single" w:sz="8" w:space="0" w:color="auto"/>
              <w:right w:val="single" w:sz="8" w:space="0" w:color="auto"/>
            </w:tcBorders>
            <w:shd w:val="clear" w:color="auto" w:fill="auto"/>
            <w:vAlign w:val="center"/>
            <w:hideMark/>
          </w:tcPr>
          <w:p w14:paraId="7DA66433"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xml:space="preserve"> 03/08/2023 a 03/08/2024 </w:t>
            </w:r>
          </w:p>
        </w:tc>
      </w:tr>
      <w:tr w:rsidR="00411455" w:rsidRPr="00411455" w14:paraId="283774FE" w14:textId="77777777" w:rsidTr="00411455">
        <w:trPr>
          <w:trHeight w:val="238"/>
        </w:trPr>
        <w:tc>
          <w:tcPr>
            <w:tcW w:w="1077" w:type="pct"/>
            <w:tcBorders>
              <w:top w:val="nil"/>
              <w:left w:val="single" w:sz="8" w:space="0" w:color="auto"/>
              <w:bottom w:val="single" w:sz="8" w:space="0" w:color="auto"/>
              <w:right w:val="single" w:sz="8" w:space="0" w:color="auto"/>
            </w:tcBorders>
            <w:shd w:val="clear" w:color="auto" w:fill="auto"/>
            <w:noWrap/>
            <w:vAlign w:val="center"/>
            <w:hideMark/>
          </w:tcPr>
          <w:p w14:paraId="1AD8597C" w14:textId="77777777" w:rsidR="00411455" w:rsidRPr="00411455" w:rsidRDefault="00411455" w:rsidP="00411455">
            <w:pPr>
              <w:spacing w:after="0" w:line="240" w:lineRule="auto"/>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Visiona Internacional BV</w:t>
            </w:r>
          </w:p>
        </w:tc>
        <w:tc>
          <w:tcPr>
            <w:tcW w:w="863" w:type="pct"/>
            <w:tcBorders>
              <w:top w:val="nil"/>
              <w:left w:val="nil"/>
              <w:bottom w:val="single" w:sz="8" w:space="0" w:color="auto"/>
              <w:right w:val="single" w:sz="8" w:space="0" w:color="auto"/>
            </w:tcBorders>
            <w:shd w:val="clear" w:color="auto" w:fill="auto"/>
            <w:vAlign w:val="center"/>
            <w:hideMark/>
          </w:tcPr>
          <w:p w14:paraId="78EDA84F" w14:textId="77777777" w:rsidR="00411455" w:rsidRPr="00411455" w:rsidRDefault="00411455" w:rsidP="00411455">
            <w:pPr>
              <w:spacing w:after="0" w:line="240" w:lineRule="auto"/>
              <w:jc w:val="center"/>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Garantia Estendida</w:t>
            </w:r>
          </w:p>
        </w:tc>
        <w:tc>
          <w:tcPr>
            <w:tcW w:w="579" w:type="pct"/>
            <w:tcBorders>
              <w:top w:val="nil"/>
              <w:left w:val="nil"/>
              <w:bottom w:val="single" w:sz="8" w:space="0" w:color="auto"/>
              <w:right w:val="single" w:sz="8" w:space="0" w:color="auto"/>
            </w:tcBorders>
            <w:shd w:val="clear" w:color="auto" w:fill="auto"/>
            <w:noWrap/>
            <w:vAlign w:val="center"/>
            <w:hideMark/>
          </w:tcPr>
          <w:p w14:paraId="505EDCBA"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15.927</w:t>
            </w:r>
          </w:p>
        </w:tc>
        <w:tc>
          <w:tcPr>
            <w:tcW w:w="633" w:type="pct"/>
            <w:tcBorders>
              <w:top w:val="nil"/>
              <w:left w:val="nil"/>
              <w:bottom w:val="single" w:sz="8" w:space="0" w:color="auto"/>
              <w:right w:val="single" w:sz="8" w:space="0" w:color="auto"/>
            </w:tcBorders>
            <w:shd w:val="clear" w:color="000000" w:fill="D9D9D9"/>
            <w:noWrap/>
            <w:vAlign w:val="center"/>
            <w:hideMark/>
          </w:tcPr>
          <w:p w14:paraId="6246B97D" w14:textId="77777777" w:rsidR="00411455" w:rsidRPr="00411455" w:rsidRDefault="00411455" w:rsidP="00411455">
            <w:pPr>
              <w:spacing w:after="0" w:line="240" w:lineRule="auto"/>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w:t>
            </w:r>
          </w:p>
        </w:tc>
        <w:tc>
          <w:tcPr>
            <w:tcW w:w="586" w:type="pct"/>
            <w:tcBorders>
              <w:top w:val="nil"/>
              <w:left w:val="nil"/>
              <w:bottom w:val="single" w:sz="8" w:space="0" w:color="auto"/>
              <w:right w:val="single" w:sz="8" w:space="0" w:color="auto"/>
            </w:tcBorders>
            <w:shd w:val="clear" w:color="000000" w:fill="D9D9D9"/>
            <w:noWrap/>
            <w:vAlign w:val="center"/>
            <w:hideMark/>
          </w:tcPr>
          <w:p w14:paraId="4E46DC28" w14:textId="77777777" w:rsidR="00411455" w:rsidRPr="00411455" w:rsidRDefault="00411455" w:rsidP="00411455">
            <w:pPr>
              <w:spacing w:after="0" w:line="240" w:lineRule="auto"/>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w:t>
            </w:r>
          </w:p>
        </w:tc>
        <w:tc>
          <w:tcPr>
            <w:tcW w:w="1262" w:type="pct"/>
            <w:tcBorders>
              <w:top w:val="nil"/>
              <w:left w:val="nil"/>
              <w:bottom w:val="single" w:sz="8" w:space="0" w:color="auto"/>
              <w:right w:val="single" w:sz="8" w:space="0" w:color="auto"/>
            </w:tcBorders>
            <w:shd w:val="clear" w:color="auto" w:fill="auto"/>
            <w:vAlign w:val="center"/>
            <w:hideMark/>
          </w:tcPr>
          <w:p w14:paraId="0F78CC04"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xml:space="preserve"> 09/12/2023 a 30/06/2025 </w:t>
            </w:r>
          </w:p>
        </w:tc>
      </w:tr>
    </w:tbl>
    <w:p w14:paraId="16A8364C" w14:textId="33DEE74B" w:rsidR="00411455" w:rsidRPr="00411455" w:rsidRDefault="00411455" w:rsidP="007A23F8">
      <w:pPr>
        <w:autoSpaceDE w:val="0"/>
        <w:autoSpaceDN w:val="0"/>
        <w:adjustRightInd w:val="0"/>
        <w:spacing w:after="0" w:line="240" w:lineRule="auto"/>
        <w:jc w:val="both"/>
        <w:rPr>
          <w:rFonts w:ascii="Calibri" w:eastAsia="Times New Roman" w:hAnsi="Calibri" w:cs="Calibri"/>
          <w:b/>
          <w:bCs/>
          <w:iCs/>
          <w:color w:val="002060"/>
          <w:kern w:val="0"/>
          <w14:ligatures w14:val="none"/>
        </w:rPr>
      </w:pPr>
      <w:bookmarkStart w:id="403" w:name="_Toc491337737"/>
      <w:r>
        <w:rPr>
          <w:rFonts w:ascii="Calibri" w:eastAsia="Times New Roman" w:hAnsi="Calibri" w:cs="Calibri"/>
          <w:b/>
          <w:bCs/>
          <w:iCs/>
          <w:color w:val="002060"/>
          <w:kern w:val="0"/>
          <w14:ligatures w14:val="none"/>
        </w:rPr>
        <w:t xml:space="preserve">15. </w:t>
      </w:r>
      <w:r w:rsidRPr="00411455">
        <w:rPr>
          <w:rFonts w:ascii="Calibri" w:eastAsia="Times New Roman" w:hAnsi="Calibri" w:cs="Calibri"/>
          <w:b/>
          <w:bCs/>
          <w:iCs/>
          <w:color w:val="002060"/>
          <w:kern w:val="0"/>
          <w14:ligatures w14:val="none"/>
        </w:rPr>
        <w:t>INTANGÍVEL</w:t>
      </w:r>
      <w:bookmarkEnd w:id="403"/>
    </w:p>
    <w:p w14:paraId="49DA6249" w14:textId="77777777" w:rsidR="00411455" w:rsidRDefault="00411455" w:rsidP="007A23F8">
      <w:pPr>
        <w:autoSpaceDE w:val="0"/>
        <w:autoSpaceDN w:val="0"/>
        <w:adjustRightInd w:val="0"/>
        <w:spacing w:after="0" w:line="240" w:lineRule="auto"/>
        <w:jc w:val="both"/>
        <w:rPr>
          <w:rFonts w:ascii="Calibri" w:eastAsia="Times New Roman" w:hAnsi="Calibri" w:cs="Calibri"/>
          <w:iCs/>
          <w:color w:val="002060"/>
          <w:kern w:val="0"/>
          <w14:ligatures w14:val="none"/>
        </w:rPr>
      </w:pPr>
      <w:r w:rsidRPr="00411455">
        <w:rPr>
          <w:rFonts w:ascii="Calibri" w:eastAsia="Times New Roman" w:hAnsi="Calibri" w:cs="Calibri"/>
          <w:iCs/>
          <w:color w:val="002060"/>
          <w:kern w:val="0"/>
          <w14:ligatures w14:val="none"/>
        </w:rPr>
        <w:t>No intangível são registrados os direitos que tenham por objeto bens incorpóreos destinados à manutenção da Companhia ou exercidos com essa finalidade, deduzidos das respectivas amortizações e da provisão para redução ao valor recuperável quando houver indicação de que os valores contábeis dos bens intangíveis estão superiores ao valor de recuperação. O valor contábil do intangível em 31 de dezembro de 2023 era de R$ 23.172 (R$ 25.381 em 31 de dezembro de 2022), conforme quadro abaixo.</w:t>
      </w:r>
    </w:p>
    <w:tbl>
      <w:tblPr>
        <w:tblW w:w="5000" w:type="pct"/>
        <w:tblCellMar>
          <w:left w:w="70" w:type="dxa"/>
          <w:right w:w="70" w:type="dxa"/>
        </w:tblCellMar>
        <w:tblLook w:val="04A0" w:firstRow="1" w:lastRow="0" w:firstColumn="1" w:lastColumn="0" w:noHBand="0" w:noVBand="1"/>
      </w:tblPr>
      <w:tblGrid>
        <w:gridCol w:w="4652"/>
        <w:gridCol w:w="1384"/>
        <w:gridCol w:w="1599"/>
        <w:gridCol w:w="1107"/>
        <w:gridCol w:w="1019"/>
      </w:tblGrid>
      <w:tr w:rsidR="007A23F8" w:rsidRPr="007A23F8" w14:paraId="40FE5895" w14:textId="77777777" w:rsidTr="00446A14">
        <w:trPr>
          <w:trHeight w:val="238"/>
          <w:tblHeader/>
        </w:trPr>
        <w:tc>
          <w:tcPr>
            <w:tcW w:w="2383"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2B4647E" w14:textId="77777777" w:rsidR="007A23F8" w:rsidRPr="007A23F8" w:rsidRDefault="007A23F8" w:rsidP="007A23F8">
            <w:pPr>
              <w:spacing w:after="0" w:line="240" w:lineRule="auto"/>
              <w:rPr>
                <w:rFonts w:ascii="Arial" w:eastAsia="Times New Roman" w:hAnsi="Arial" w:cs="Arial"/>
                <w:b/>
                <w:bCs/>
                <w:color w:val="000000"/>
                <w:kern w:val="0"/>
                <w:sz w:val="18"/>
                <w:szCs w:val="18"/>
                <w:lang w:eastAsia="pt-BR"/>
                <w14:ligatures w14:val="none"/>
              </w:rPr>
            </w:pPr>
            <w:bookmarkStart w:id="404" w:name="_Hlk162363406"/>
            <w:r w:rsidRPr="007A23F8">
              <w:rPr>
                <w:rFonts w:ascii="Arial" w:eastAsia="Times New Roman" w:hAnsi="Arial" w:cs="Arial"/>
                <w:b/>
                <w:bCs/>
                <w:color w:val="000000"/>
                <w:kern w:val="0"/>
                <w:sz w:val="18"/>
                <w:szCs w:val="18"/>
                <w:lang w:eastAsia="pt-BR"/>
                <w14:ligatures w14:val="none"/>
              </w:rPr>
              <w:t>Composição: </w:t>
            </w:r>
          </w:p>
        </w:tc>
        <w:tc>
          <w:tcPr>
            <w:tcW w:w="2617"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4D7FF59D" w14:textId="77777777" w:rsidR="007A23F8" w:rsidRPr="007A23F8" w:rsidRDefault="007A23F8" w:rsidP="007A23F8">
            <w:pPr>
              <w:spacing w:after="0" w:line="240" w:lineRule="auto"/>
              <w:jc w:val="center"/>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Intangível</w:t>
            </w:r>
          </w:p>
        </w:tc>
      </w:tr>
      <w:tr w:rsidR="007A23F8" w:rsidRPr="007A23F8" w14:paraId="72CFD43E" w14:textId="77777777" w:rsidTr="00446A14">
        <w:trPr>
          <w:trHeight w:val="238"/>
          <w:tblHeader/>
        </w:trPr>
        <w:tc>
          <w:tcPr>
            <w:tcW w:w="2383" w:type="pct"/>
            <w:vMerge/>
            <w:tcBorders>
              <w:top w:val="single" w:sz="8" w:space="0" w:color="auto"/>
              <w:left w:val="single" w:sz="8" w:space="0" w:color="auto"/>
              <w:bottom w:val="single" w:sz="8" w:space="0" w:color="000000"/>
              <w:right w:val="single" w:sz="8" w:space="0" w:color="auto"/>
            </w:tcBorders>
            <w:vAlign w:val="center"/>
            <w:hideMark/>
          </w:tcPr>
          <w:p w14:paraId="78993015" w14:textId="77777777" w:rsidR="007A23F8" w:rsidRPr="007A23F8" w:rsidRDefault="007A23F8" w:rsidP="007A23F8">
            <w:pPr>
              <w:spacing w:after="0" w:line="240" w:lineRule="auto"/>
              <w:rPr>
                <w:rFonts w:ascii="Arial" w:eastAsia="Times New Roman" w:hAnsi="Arial" w:cs="Arial"/>
                <w:b/>
                <w:bCs/>
                <w:color w:val="000000"/>
                <w:kern w:val="0"/>
                <w:sz w:val="18"/>
                <w:szCs w:val="18"/>
                <w:lang w:eastAsia="pt-BR"/>
                <w14:ligatures w14:val="none"/>
              </w:rPr>
            </w:pPr>
          </w:p>
        </w:tc>
        <w:tc>
          <w:tcPr>
            <w:tcW w:w="709" w:type="pct"/>
            <w:tcBorders>
              <w:top w:val="nil"/>
              <w:left w:val="nil"/>
              <w:bottom w:val="single" w:sz="8" w:space="0" w:color="auto"/>
              <w:right w:val="single" w:sz="8" w:space="0" w:color="auto"/>
            </w:tcBorders>
            <w:shd w:val="clear" w:color="auto" w:fill="auto"/>
            <w:vAlign w:val="center"/>
            <w:hideMark/>
          </w:tcPr>
          <w:p w14:paraId="27D67B4F" w14:textId="77777777" w:rsidR="007A23F8" w:rsidRPr="007A23F8" w:rsidRDefault="007A23F8" w:rsidP="007A23F8">
            <w:pPr>
              <w:spacing w:after="0" w:line="240" w:lineRule="auto"/>
              <w:jc w:val="center"/>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Sistemas Aplicativos</w:t>
            </w:r>
          </w:p>
        </w:tc>
        <w:tc>
          <w:tcPr>
            <w:tcW w:w="819" w:type="pct"/>
            <w:tcBorders>
              <w:top w:val="nil"/>
              <w:left w:val="nil"/>
              <w:bottom w:val="single" w:sz="8" w:space="0" w:color="auto"/>
              <w:right w:val="single" w:sz="8" w:space="0" w:color="auto"/>
            </w:tcBorders>
            <w:shd w:val="clear" w:color="auto" w:fill="auto"/>
            <w:vAlign w:val="center"/>
            <w:hideMark/>
          </w:tcPr>
          <w:p w14:paraId="6A454BE8" w14:textId="77777777" w:rsidR="007A23F8" w:rsidRPr="007A23F8" w:rsidRDefault="007A23F8" w:rsidP="007A23F8">
            <w:pPr>
              <w:spacing w:after="0" w:line="240" w:lineRule="auto"/>
              <w:jc w:val="center"/>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Direitos sobre Autorizações</w:t>
            </w:r>
          </w:p>
        </w:tc>
        <w:tc>
          <w:tcPr>
            <w:tcW w:w="567" w:type="pct"/>
            <w:tcBorders>
              <w:top w:val="nil"/>
              <w:left w:val="nil"/>
              <w:bottom w:val="single" w:sz="8" w:space="0" w:color="auto"/>
              <w:right w:val="single" w:sz="8" w:space="0" w:color="auto"/>
            </w:tcBorders>
            <w:shd w:val="clear" w:color="auto" w:fill="auto"/>
            <w:vAlign w:val="center"/>
            <w:hideMark/>
          </w:tcPr>
          <w:p w14:paraId="7F7DE4AF" w14:textId="77777777" w:rsidR="007A23F8" w:rsidRPr="007A23F8" w:rsidRDefault="007A23F8" w:rsidP="007A23F8">
            <w:pPr>
              <w:spacing w:after="0" w:line="240" w:lineRule="auto"/>
              <w:jc w:val="center"/>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Direitos de Uso</w:t>
            </w:r>
          </w:p>
        </w:tc>
        <w:tc>
          <w:tcPr>
            <w:tcW w:w="522" w:type="pct"/>
            <w:tcBorders>
              <w:top w:val="nil"/>
              <w:left w:val="nil"/>
              <w:bottom w:val="single" w:sz="8" w:space="0" w:color="auto"/>
              <w:right w:val="single" w:sz="8" w:space="0" w:color="auto"/>
            </w:tcBorders>
            <w:shd w:val="clear" w:color="auto" w:fill="auto"/>
            <w:vAlign w:val="center"/>
            <w:hideMark/>
          </w:tcPr>
          <w:p w14:paraId="1BBB12E0" w14:textId="77777777" w:rsidR="007A23F8" w:rsidRPr="007A23F8" w:rsidRDefault="007A23F8" w:rsidP="007A23F8">
            <w:pPr>
              <w:spacing w:after="0" w:line="240" w:lineRule="auto"/>
              <w:jc w:val="center"/>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Total</w:t>
            </w:r>
          </w:p>
        </w:tc>
      </w:tr>
      <w:tr w:rsidR="007A23F8" w:rsidRPr="007A23F8" w14:paraId="16425182" w14:textId="77777777" w:rsidTr="00446A14">
        <w:trPr>
          <w:trHeight w:val="238"/>
        </w:trPr>
        <w:tc>
          <w:tcPr>
            <w:tcW w:w="2383" w:type="pct"/>
            <w:tcBorders>
              <w:top w:val="nil"/>
              <w:left w:val="single" w:sz="8" w:space="0" w:color="auto"/>
              <w:bottom w:val="single" w:sz="8" w:space="0" w:color="auto"/>
              <w:right w:val="single" w:sz="8" w:space="0" w:color="auto"/>
            </w:tcBorders>
            <w:shd w:val="clear" w:color="auto" w:fill="auto"/>
            <w:noWrap/>
            <w:vAlign w:val="center"/>
            <w:hideMark/>
          </w:tcPr>
          <w:p w14:paraId="2A0E498F" w14:textId="77777777" w:rsidR="007A23F8" w:rsidRPr="007A23F8" w:rsidRDefault="007A23F8" w:rsidP="007A23F8">
            <w:pPr>
              <w:spacing w:after="0" w:line="240" w:lineRule="auto"/>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Custo de Aquisição</w:t>
            </w:r>
          </w:p>
        </w:tc>
        <w:tc>
          <w:tcPr>
            <w:tcW w:w="709" w:type="pct"/>
            <w:tcBorders>
              <w:top w:val="nil"/>
              <w:left w:val="nil"/>
              <w:bottom w:val="single" w:sz="8" w:space="0" w:color="auto"/>
              <w:right w:val="single" w:sz="8" w:space="0" w:color="auto"/>
            </w:tcBorders>
            <w:shd w:val="clear" w:color="auto" w:fill="auto"/>
            <w:vAlign w:val="center"/>
            <w:hideMark/>
          </w:tcPr>
          <w:p w14:paraId="0128B052" w14:textId="77777777" w:rsidR="007A23F8" w:rsidRPr="007A23F8" w:rsidRDefault="007A23F8" w:rsidP="007A23F8">
            <w:pPr>
              <w:spacing w:after="0" w:line="240" w:lineRule="auto"/>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 </w:t>
            </w:r>
          </w:p>
        </w:tc>
        <w:tc>
          <w:tcPr>
            <w:tcW w:w="819" w:type="pct"/>
            <w:tcBorders>
              <w:top w:val="nil"/>
              <w:left w:val="nil"/>
              <w:bottom w:val="single" w:sz="8" w:space="0" w:color="auto"/>
              <w:right w:val="single" w:sz="8" w:space="0" w:color="auto"/>
            </w:tcBorders>
            <w:shd w:val="clear" w:color="auto" w:fill="auto"/>
            <w:vAlign w:val="center"/>
            <w:hideMark/>
          </w:tcPr>
          <w:p w14:paraId="1100E434" w14:textId="77777777" w:rsidR="007A23F8" w:rsidRPr="007A23F8" w:rsidRDefault="007A23F8" w:rsidP="007A23F8">
            <w:pPr>
              <w:spacing w:after="0" w:line="240" w:lineRule="auto"/>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 </w:t>
            </w:r>
          </w:p>
        </w:tc>
        <w:tc>
          <w:tcPr>
            <w:tcW w:w="567" w:type="pct"/>
            <w:tcBorders>
              <w:top w:val="nil"/>
              <w:left w:val="nil"/>
              <w:bottom w:val="single" w:sz="8" w:space="0" w:color="auto"/>
              <w:right w:val="single" w:sz="8" w:space="0" w:color="auto"/>
            </w:tcBorders>
            <w:shd w:val="clear" w:color="auto" w:fill="auto"/>
            <w:vAlign w:val="center"/>
            <w:hideMark/>
          </w:tcPr>
          <w:p w14:paraId="6A3F4B06" w14:textId="77777777" w:rsidR="007A23F8" w:rsidRPr="007A23F8" w:rsidRDefault="007A23F8" w:rsidP="007A23F8">
            <w:pPr>
              <w:spacing w:after="0" w:line="240" w:lineRule="auto"/>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 </w:t>
            </w:r>
          </w:p>
        </w:tc>
        <w:tc>
          <w:tcPr>
            <w:tcW w:w="522" w:type="pct"/>
            <w:tcBorders>
              <w:top w:val="nil"/>
              <w:left w:val="nil"/>
              <w:bottom w:val="single" w:sz="8" w:space="0" w:color="auto"/>
              <w:right w:val="single" w:sz="8" w:space="0" w:color="auto"/>
            </w:tcBorders>
            <w:shd w:val="clear" w:color="auto" w:fill="auto"/>
            <w:vAlign w:val="center"/>
            <w:hideMark/>
          </w:tcPr>
          <w:p w14:paraId="192E0A00" w14:textId="77777777" w:rsidR="007A23F8" w:rsidRPr="007A23F8" w:rsidRDefault="007A23F8" w:rsidP="007A23F8">
            <w:pPr>
              <w:spacing w:after="0" w:line="240" w:lineRule="auto"/>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 </w:t>
            </w:r>
          </w:p>
        </w:tc>
      </w:tr>
      <w:tr w:rsidR="007A23F8" w:rsidRPr="007A23F8" w14:paraId="62D6B90C" w14:textId="77777777" w:rsidTr="00446A14">
        <w:trPr>
          <w:trHeight w:val="238"/>
        </w:trPr>
        <w:tc>
          <w:tcPr>
            <w:tcW w:w="2383" w:type="pct"/>
            <w:tcBorders>
              <w:top w:val="nil"/>
              <w:left w:val="single" w:sz="8" w:space="0" w:color="auto"/>
              <w:bottom w:val="single" w:sz="8" w:space="0" w:color="auto"/>
              <w:right w:val="single" w:sz="8" w:space="0" w:color="auto"/>
            </w:tcBorders>
            <w:shd w:val="clear" w:color="auto" w:fill="auto"/>
            <w:noWrap/>
            <w:vAlign w:val="center"/>
            <w:hideMark/>
          </w:tcPr>
          <w:p w14:paraId="093DA1DA" w14:textId="77777777" w:rsidR="007A23F8" w:rsidRPr="007A23F8" w:rsidRDefault="007A23F8" w:rsidP="007A23F8">
            <w:pPr>
              <w:spacing w:after="0" w:line="240" w:lineRule="auto"/>
              <w:rPr>
                <w:rFonts w:ascii="Arial" w:eastAsia="Times New Roman" w:hAnsi="Arial" w:cs="Arial"/>
                <w:b/>
                <w:bCs/>
                <w:color w:val="000000"/>
                <w:kern w:val="0"/>
                <w:sz w:val="16"/>
                <w:szCs w:val="16"/>
                <w:lang w:eastAsia="pt-BR"/>
                <w14:ligatures w14:val="none"/>
              </w:rPr>
            </w:pPr>
            <w:r w:rsidRPr="007A23F8">
              <w:rPr>
                <w:rFonts w:ascii="Arial" w:eastAsia="Times New Roman" w:hAnsi="Arial" w:cs="Arial"/>
                <w:b/>
                <w:bCs/>
                <w:color w:val="000000"/>
                <w:kern w:val="0"/>
                <w:sz w:val="16"/>
                <w:szCs w:val="16"/>
                <w:lang w:eastAsia="pt-BR"/>
                <w14:ligatures w14:val="none"/>
              </w:rPr>
              <w:t>Saldo em 31 de dezembro de 2022</w:t>
            </w:r>
          </w:p>
        </w:tc>
        <w:tc>
          <w:tcPr>
            <w:tcW w:w="709" w:type="pct"/>
            <w:tcBorders>
              <w:top w:val="nil"/>
              <w:left w:val="nil"/>
              <w:bottom w:val="single" w:sz="8" w:space="0" w:color="auto"/>
              <w:right w:val="single" w:sz="8" w:space="0" w:color="auto"/>
            </w:tcBorders>
            <w:shd w:val="clear" w:color="auto" w:fill="auto"/>
            <w:noWrap/>
            <w:vAlign w:val="center"/>
            <w:hideMark/>
          </w:tcPr>
          <w:p w14:paraId="1C76CF76"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14:ligatures w14:val="none"/>
              </w:rPr>
              <w:t>48.924</w:t>
            </w:r>
          </w:p>
        </w:tc>
        <w:tc>
          <w:tcPr>
            <w:tcW w:w="819" w:type="pct"/>
            <w:tcBorders>
              <w:top w:val="nil"/>
              <w:left w:val="nil"/>
              <w:bottom w:val="single" w:sz="8" w:space="0" w:color="auto"/>
              <w:right w:val="single" w:sz="8" w:space="0" w:color="auto"/>
            </w:tcBorders>
            <w:shd w:val="clear" w:color="auto" w:fill="auto"/>
            <w:noWrap/>
            <w:vAlign w:val="center"/>
            <w:hideMark/>
          </w:tcPr>
          <w:p w14:paraId="15019C3D"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14:ligatures w14:val="none"/>
              </w:rPr>
              <w:t>3.946</w:t>
            </w:r>
          </w:p>
        </w:tc>
        <w:tc>
          <w:tcPr>
            <w:tcW w:w="567" w:type="pct"/>
            <w:tcBorders>
              <w:top w:val="nil"/>
              <w:left w:val="nil"/>
              <w:bottom w:val="single" w:sz="8" w:space="0" w:color="auto"/>
              <w:right w:val="single" w:sz="8" w:space="0" w:color="auto"/>
            </w:tcBorders>
            <w:shd w:val="clear" w:color="auto" w:fill="auto"/>
            <w:noWrap/>
            <w:vAlign w:val="center"/>
            <w:hideMark/>
          </w:tcPr>
          <w:p w14:paraId="79D396BD"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14:ligatures w14:val="none"/>
              </w:rPr>
              <w:t>1.449</w:t>
            </w:r>
          </w:p>
        </w:tc>
        <w:tc>
          <w:tcPr>
            <w:tcW w:w="522" w:type="pct"/>
            <w:tcBorders>
              <w:top w:val="nil"/>
              <w:left w:val="nil"/>
              <w:bottom w:val="single" w:sz="8" w:space="0" w:color="auto"/>
              <w:right w:val="single" w:sz="8" w:space="0" w:color="auto"/>
            </w:tcBorders>
            <w:shd w:val="clear" w:color="auto" w:fill="auto"/>
            <w:noWrap/>
            <w:vAlign w:val="center"/>
            <w:hideMark/>
          </w:tcPr>
          <w:p w14:paraId="454AD4E9"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14:ligatures w14:val="none"/>
              </w:rPr>
              <w:t>54.319</w:t>
            </w:r>
          </w:p>
        </w:tc>
      </w:tr>
      <w:tr w:rsidR="007A23F8" w:rsidRPr="007A23F8" w14:paraId="436D9C68" w14:textId="77777777" w:rsidTr="00446A14">
        <w:trPr>
          <w:trHeight w:val="238"/>
        </w:trPr>
        <w:tc>
          <w:tcPr>
            <w:tcW w:w="2383" w:type="pct"/>
            <w:tcBorders>
              <w:top w:val="nil"/>
              <w:left w:val="single" w:sz="8" w:space="0" w:color="auto"/>
              <w:bottom w:val="single" w:sz="8" w:space="0" w:color="auto"/>
              <w:right w:val="single" w:sz="8" w:space="0" w:color="auto"/>
            </w:tcBorders>
            <w:shd w:val="clear" w:color="auto" w:fill="auto"/>
            <w:noWrap/>
            <w:vAlign w:val="center"/>
            <w:hideMark/>
          </w:tcPr>
          <w:p w14:paraId="6285E95C" w14:textId="77777777" w:rsidR="007A23F8" w:rsidRPr="007A23F8" w:rsidRDefault="007A23F8" w:rsidP="007A23F8">
            <w:pPr>
              <w:spacing w:after="0" w:line="240" w:lineRule="auto"/>
              <w:rPr>
                <w:rFonts w:ascii="Arial" w:eastAsia="Times New Roman" w:hAnsi="Arial" w:cs="Arial"/>
                <w:color w:val="000000"/>
                <w:kern w:val="0"/>
                <w:sz w:val="16"/>
                <w:szCs w:val="16"/>
                <w:lang w:eastAsia="pt-BR"/>
                <w14:ligatures w14:val="none"/>
              </w:rPr>
            </w:pPr>
            <w:r w:rsidRPr="007A23F8">
              <w:rPr>
                <w:rFonts w:ascii="Arial" w:eastAsia="Times New Roman" w:hAnsi="Arial" w:cs="Arial"/>
                <w:color w:val="000000"/>
                <w:kern w:val="0"/>
                <w:sz w:val="16"/>
                <w:szCs w:val="16"/>
                <w:lang w:eastAsia="pt-BR"/>
                <w14:ligatures w14:val="none"/>
              </w:rPr>
              <w:t>Transferências do Imobilizado</w:t>
            </w:r>
          </w:p>
        </w:tc>
        <w:tc>
          <w:tcPr>
            <w:tcW w:w="709" w:type="pct"/>
            <w:tcBorders>
              <w:top w:val="nil"/>
              <w:left w:val="nil"/>
              <w:bottom w:val="single" w:sz="8" w:space="0" w:color="auto"/>
              <w:right w:val="single" w:sz="8" w:space="0" w:color="auto"/>
            </w:tcBorders>
            <w:shd w:val="clear" w:color="auto" w:fill="auto"/>
            <w:noWrap/>
            <w:vAlign w:val="center"/>
            <w:hideMark/>
          </w:tcPr>
          <w:p w14:paraId="46564CC2"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5.395</w:t>
            </w:r>
          </w:p>
        </w:tc>
        <w:tc>
          <w:tcPr>
            <w:tcW w:w="819" w:type="pct"/>
            <w:tcBorders>
              <w:top w:val="nil"/>
              <w:left w:val="nil"/>
              <w:bottom w:val="single" w:sz="8" w:space="0" w:color="auto"/>
              <w:right w:val="single" w:sz="8" w:space="0" w:color="auto"/>
            </w:tcBorders>
            <w:shd w:val="clear" w:color="auto" w:fill="auto"/>
            <w:noWrap/>
            <w:vAlign w:val="center"/>
            <w:hideMark/>
          </w:tcPr>
          <w:p w14:paraId="77CB7C40"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 </w:t>
            </w:r>
          </w:p>
        </w:tc>
        <w:tc>
          <w:tcPr>
            <w:tcW w:w="567" w:type="pct"/>
            <w:tcBorders>
              <w:top w:val="nil"/>
              <w:left w:val="nil"/>
              <w:bottom w:val="single" w:sz="8" w:space="0" w:color="auto"/>
              <w:right w:val="single" w:sz="8" w:space="0" w:color="auto"/>
            </w:tcBorders>
            <w:shd w:val="clear" w:color="auto" w:fill="auto"/>
            <w:noWrap/>
            <w:vAlign w:val="center"/>
            <w:hideMark/>
          </w:tcPr>
          <w:p w14:paraId="546A91EB"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 </w:t>
            </w:r>
          </w:p>
        </w:tc>
        <w:tc>
          <w:tcPr>
            <w:tcW w:w="522" w:type="pct"/>
            <w:tcBorders>
              <w:top w:val="nil"/>
              <w:left w:val="nil"/>
              <w:bottom w:val="single" w:sz="8" w:space="0" w:color="auto"/>
              <w:right w:val="single" w:sz="8" w:space="0" w:color="auto"/>
            </w:tcBorders>
            <w:shd w:val="clear" w:color="auto" w:fill="auto"/>
            <w:noWrap/>
            <w:vAlign w:val="center"/>
            <w:hideMark/>
          </w:tcPr>
          <w:p w14:paraId="176CC927"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5.395</w:t>
            </w:r>
          </w:p>
        </w:tc>
      </w:tr>
      <w:tr w:rsidR="007A23F8" w:rsidRPr="007A23F8" w14:paraId="52C57A80" w14:textId="77777777" w:rsidTr="00446A14">
        <w:trPr>
          <w:trHeight w:val="238"/>
        </w:trPr>
        <w:tc>
          <w:tcPr>
            <w:tcW w:w="2383" w:type="pct"/>
            <w:tcBorders>
              <w:top w:val="nil"/>
              <w:left w:val="single" w:sz="8" w:space="0" w:color="auto"/>
              <w:bottom w:val="single" w:sz="8" w:space="0" w:color="auto"/>
              <w:right w:val="single" w:sz="8" w:space="0" w:color="auto"/>
            </w:tcBorders>
            <w:shd w:val="clear" w:color="auto" w:fill="auto"/>
            <w:noWrap/>
            <w:vAlign w:val="center"/>
            <w:hideMark/>
          </w:tcPr>
          <w:p w14:paraId="5F16274F" w14:textId="77777777" w:rsidR="007A23F8" w:rsidRPr="007A23F8" w:rsidRDefault="007A23F8" w:rsidP="007A23F8">
            <w:pPr>
              <w:spacing w:after="0" w:line="240" w:lineRule="auto"/>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Saldo em 31 de dezembro de 2023</w:t>
            </w:r>
          </w:p>
        </w:tc>
        <w:tc>
          <w:tcPr>
            <w:tcW w:w="709" w:type="pct"/>
            <w:tcBorders>
              <w:top w:val="nil"/>
              <w:left w:val="nil"/>
              <w:bottom w:val="single" w:sz="8" w:space="0" w:color="auto"/>
              <w:right w:val="single" w:sz="8" w:space="0" w:color="auto"/>
            </w:tcBorders>
            <w:shd w:val="clear" w:color="auto" w:fill="auto"/>
            <w:noWrap/>
            <w:vAlign w:val="center"/>
            <w:hideMark/>
          </w:tcPr>
          <w:p w14:paraId="6FEEE042"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14:ligatures w14:val="none"/>
              </w:rPr>
              <w:t>54.319</w:t>
            </w:r>
          </w:p>
        </w:tc>
        <w:tc>
          <w:tcPr>
            <w:tcW w:w="819" w:type="pct"/>
            <w:tcBorders>
              <w:top w:val="nil"/>
              <w:left w:val="nil"/>
              <w:bottom w:val="single" w:sz="8" w:space="0" w:color="auto"/>
              <w:right w:val="single" w:sz="8" w:space="0" w:color="auto"/>
            </w:tcBorders>
            <w:shd w:val="clear" w:color="auto" w:fill="auto"/>
            <w:noWrap/>
            <w:vAlign w:val="center"/>
            <w:hideMark/>
          </w:tcPr>
          <w:p w14:paraId="3A1E26A8"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14:ligatures w14:val="none"/>
              </w:rPr>
              <w:t>3.946</w:t>
            </w:r>
          </w:p>
        </w:tc>
        <w:tc>
          <w:tcPr>
            <w:tcW w:w="567" w:type="pct"/>
            <w:tcBorders>
              <w:top w:val="nil"/>
              <w:left w:val="nil"/>
              <w:bottom w:val="single" w:sz="8" w:space="0" w:color="auto"/>
              <w:right w:val="single" w:sz="8" w:space="0" w:color="auto"/>
            </w:tcBorders>
            <w:shd w:val="clear" w:color="auto" w:fill="auto"/>
            <w:noWrap/>
            <w:vAlign w:val="center"/>
            <w:hideMark/>
          </w:tcPr>
          <w:p w14:paraId="31BDDD6A"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14:ligatures w14:val="none"/>
              </w:rPr>
              <w:t>1.449</w:t>
            </w:r>
          </w:p>
        </w:tc>
        <w:tc>
          <w:tcPr>
            <w:tcW w:w="522" w:type="pct"/>
            <w:tcBorders>
              <w:top w:val="nil"/>
              <w:left w:val="nil"/>
              <w:bottom w:val="single" w:sz="8" w:space="0" w:color="auto"/>
              <w:right w:val="single" w:sz="8" w:space="0" w:color="auto"/>
            </w:tcBorders>
            <w:shd w:val="clear" w:color="auto" w:fill="auto"/>
            <w:noWrap/>
            <w:vAlign w:val="center"/>
            <w:hideMark/>
          </w:tcPr>
          <w:p w14:paraId="5BE3F1F0"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14:ligatures w14:val="none"/>
              </w:rPr>
              <w:t>59.714</w:t>
            </w:r>
          </w:p>
        </w:tc>
      </w:tr>
      <w:tr w:rsidR="007A23F8" w:rsidRPr="007A23F8" w14:paraId="413B71D3" w14:textId="77777777" w:rsidTr="00446A14">
        <w:trPr>
          <w:trHeight w:val="238"/>
        </w:trPr>
        <w:tc>
          <w:tcPr>
            <w:tcW w:w="2383" w:type="pct"/>
            <w:tcBorders>
              <w:top w:val="nil"/>
              <w:left w:val="single" w:sz="8" w:space="0" w:color="auto"/>
              <w:bottom w:val="single" w:sz="8" w:space="0" w:color="auto"/>
              <w:right w:val="single" w:sz="8" w:space="0" w:color="auto"/>
            </w:tcBorders>
            <w:shd w:val="clear" w:color="auto" w:fill="auto"/>
            <w:noWrap/>
            <w:vAlign w:val="center"/>
            <w:hideMark/>
          </w:tcPr>
          <w:p w14:paraId="7CF95311" w14:textId="77777777" w:rsidR="007A23F8" w:rsidRPr="007A23F8" w:rsidRDefault="007A23F8" w:rsidP="007A23F8">
            <w:pPr>
              <w:spacing w:after="0" w:line="240" w:lineRule="auto"/>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 xml:space="preserve">Amortização Acumulada </w:t>
            </w:r>
          </w:p>
        </w:tc>
        <w:tc>
          <w:tcPr>
            <w:tcW w:w="709" w:type="pct"/>
            <w:tcBorders>
              <w:top w:val="nil"/>
              <w:left w:val="nil"/>
              <w:bottom w:val="single" w:sz="8" w:space="0" w:color="auto"/>
              <w:right w:val="single" w:sz="8" w:space="0" w:color="auto"/>
            </w:tcBorders>
            <w:shd w:val="clear" w:color="auto" w:fill="auto"/>
            <w:noWrap/>
            <w:vAlign w:val="center"/>
            <w:hideMark/>
          </w:tcPr>
          <w:p w14:paraId="03F4B9D3" w14:textId="77777777" w:rsidR="007A23F8" w:rsidRPr="007A23F8" w:rsidRDefault="007A23F8" w:rsidP="007A23F8">
            <w:pPr>
              <w:spacing w:after="0" w:line="240" w:lineRule="auto"/>
              <w:jc w:val="right"/>
              <w:rPr>
                <w:rFonts w:ascii="Calibri" w:eastAsia="Times New Roman" w:hAnsi="Calibri" w:cs="Calibri"/>
                <w:color w:val="000000"/>
                <w:kern w:val="0"/>
                <w:sz w:val="18"/>
                <w:szCs w:val="18"/>
                <w:lang w:eastAsia="pt-BR"/>
                <w14:ligatures w14:val="none"/>
              </w:rPr>
            </w:pPr>
            <w:r w:rsidRPr="007A23F8">
              <w:rPr>
                <w:rFonts w:ascii="Calibri" w:eastAsia="Times New Roman" w:hAnsi="Calibri" w:cs="Calibri"/>
                <w:color w:val="000000"/>
                <w:kern w:val="0"/>
                <w:sz w:val="18"/>
                <w:szCs w:val="18"/>
                <w:lang w:eastAsia="pt-BR"/>
                <w14:ligatures w14:val="none"/>
              </w:rPr>
              <w:t> </w:t>
            </w:r>
          </w:p>
        </w:tc>
        <w:tc>
          <w:tcPr>
            <w:tcW w:w="819" w:type="pct"/>
            <w:tcBorders>
              <w:top w:val="nil"/>
              <w:left w:val="nil"/>
              <w:bottom w:val="single" w:sz="8" w:space="0" w:color="auto"/>
              <w:right w:val="single" w:sz="8" w:space="0" w:color="auto"/>
            </w:tcBorders>
            <w:shd w:val="clear" w:color="auto" w:fill="auto"/>
            <w:noWrap/>
            <w:vAlign w:val="center"/>
            <w:hideMark/>
          </w:tcPr>
          <w:p w14:paraId="5E8996DD" w14:textId="77777777" w:rsidR="007A23F8" w:rsidRPr="007A23F8" w:rsidRDefault="007A23F8" w:rsidP="007A23F8">
            <w:pPr>
              <w:spacing w:after="0" w:line="240" w:lineRule="auto"/>
              <w:jc w:val="right"/>
              <w:rPr>
                <w:rFonts w:ascii="Calibri" w:eastAsia="Times New Roman" w:hAnsi="Calibri" w:cs="Calibri"/>
                <w:color w:val="000000"/>
                <w:kern w:val="0"/>
                <w:sz w:val="18"/>
                <w:szCs w:val="18"/>
                <w:lang w:eastAsia="pt-BR"/>
                <w14:ligatures w14:val="none"/>
              </w:rPr>
            </w:pPr>
            <w:r w:rsidRPr="007A23F8">
              <w:rPr>
                <w:rFonts w:ascii="Calibri" w:eastAsia="Times New Roman" w:hAnsi="Calibri" w:cs="Calibri"/>
                <w:color w:val="000000"/>
                <w:kern w:val="0"/>
                <w:sz w:val="18"/>
                <w:szCs w:val="18"/>
                <w:lang w:eastAsia="pt-BR"/>
                <w14:ligatures w14:val="none"/>
              </w:rPr>
              <w:t> </w:t>
            </w:r>
          </w:p>
        </w:tc>
        <w:tc>
          <w:tcPr>
            <w:tcW w:w="567" w:type="pct"/>
            <w:tcBorders>
              <w:top w:val="nil"/>
              <w:left w:val="nil"/>
              <w:bottom w:val="single" w:sz="8" w:space="0" w:color="auto"/>
              <w:right w:val="single" w:sz="8" w:space="0" w:color="auto"/>
            </w:tcBorders>
            <w:shd w:val="clear" w:color="auto" w:fill="auto"/>
            <w:noWrap/>
            <w:vAlign w:val="center"/>
            <w:hideMark/>
          </w:tcPr>
          <w:p w14:paraId="5F6D7380" w14:textId="77777777" w:rsidR="007A23F8" w:rsidRPr="007A23F8" w:rsidRDefault="007A23F8" w:rsidP="007A23F8">
            <w:pPr>
              <w:spacing w:after="0" w:line="240" w:lineRule="auto"/>
              <w:jc w:val="right"/>
              <w:rPr>
                <w:rFonts w:ascii="Calibri" w:eastAsia="Times New Roman" w:hAnsi="Calibri" w:cs="Calibri"/>
                <w:color w:val="000000"/>
                <w:kern w:val="0"/>
                <w:sz w:val="18"/>
                <w:szCs w:val="18"/>
                <w:lang w:eastAsia="pt-BR"/>
                <w14:ligatures w14:val="none"/>
              </w:rPr>
            </w:pPr>
            <w:r w:rsidRPr="007A23F8">
              <w:rPr>
                <w:rFonts w:ascii="Calibri" w:eastAsia="Times New Roman" w:hAnsi="Calibri" w:cs="Calibri"/>
                <w:color w:val="000000"/>
                <w:kern w:val="0"/>
                <w:sz w:val="18"/>
                <w:szCs w:val="18"/>
                <w:lang w:eastAsia="pt-BR"/>
                <w14:ligatures w14:val="none"/>
              </w:rPr>
              <w:t> </w:t>
            </w:r>
          </w:p>
        </w:tc>
        <w:tc>
          <w:tcPr>
            <w:tcW w:w="522" w:type="pct"/>
            <w:tcBorders>
              <w:top w:val="nil"/>
              <w:left w:val="nil"/>
              <w:bottom w:val="single" w:sz="8" w:space="0" w:color="auto"/>
              <w:right w:val="single" w:sz="8" w:space="0" w:color="auto"/>
            </w:tcBorders>
            <w:shd w:val="clear" w:color="auto" w:fill="auto"/>
            <w:noWrap/>
            <w:vAlign w:val="center"/>
            <w:hideMark/>
          </w:tcPr>
          <w:p w14:paraId="04F4DFD4" w14:textId="77777777" w:rsidR="007A23F8" w:rsidRPr="007A23F8" w:rsidRDefault="007A23F8" w:rsidP="007A23F8">
            <w:pPr>
              <w:spacing w:after="0" w:line="240" w:lineRule="auto"/>
              <w:jc w:val="right"/>
              <w:rPr>
                <w:rFonts w:ascii="Calibri" w:eastAsia="Times New Roman" w:hAnsi="Calibri" w:cs="Calibri"/>
                <w:color w:val="000000"/>
                <w:kern w:val="0"/>
                <w:sz w:val="18"/>
                <w:szCs w:val="18"/>
                <w:lang w:eastAsia="pt-BR"/>
                <w14:ligatures w14:val="none"/>
              </w:rPr>
            </w:pPr>
            <w:r w:rsidRPr="007A23F8">
              <w:rPr>
                <w:rFonts w:ascii="Calibri" w:eastAsia="Times New Roman" w:hAnsi="Calibri" w:cs="Calibri"/>
                <w:color w:val="000000"/>
                <w:kern w:val="0"/>
                <w:sz w:val="18"/>
                <w:szCs w:val="18"/>
                <w:lang w:eastAsia="pt-BR"/>
                <w14:ligatures w14:val="none"/>
              </w:rPr>
              <w:t> </w:t>
            </w:r>
          </w:p>
        </w:tc>
      </w:tr>
      <w:tr w:rsidR="007A23F8" w:rsidRPr="007A23F8" w14:paraId="58400DAA" w14:textId="77777777" w:rsidTr="00446A14">
        <w:trPr>
          <w:trHeight w:val="238"/>
        </w:trPr>
        <w:tc>
          <w:tcPr>
            <w:tcW w:w="2383" w:type="pct"/>
            <w:tcBorders>
              <w:top w:val="nil"/>
              <w:left w:val="single" w:sz="8" w:space="0" w:color="auto"/>
              <w:bottom w:val="single" w:sz="8" w:space="0" w:color="auto"/>
              <w:right w:val="single" w:sz="8" w:space="0" w:color="auto"/>
            </w:tcBorders>
            <w:shd w:val="clear" w:color="auto" w:fill="auto"/>
            <w:noWrap/>
            <w:vAlign w:val="center"/>
            <w:hideMark/>
          </w:tcPr>
          <w:p w14:paraId="208A9321" w14:textId="77777777" w:rsidR="007A23F8" w:rsidRPr="007A23F8" w:rsidRDefault="007A23F8" w:rsidP="007A23F8">
            <w:pPr>
              <w:spacing w:after="0" w:line="240" w:lineRule="auto"/>
              <w:rPr>
                <w:rFonts w:ascii="Arial" w:eastAsia="Times New Roman" w:hAnsi="Arial" w:cs="Arial"/>
                <w:b/>
                <w:bCs/>
                <w:color w:val="000000"/>
                <w:kern w:val="0"/>
                <w:sz w:val="16"/>
                <w:szCs w:val="16"/>
                <w:lang w:eastAsia="pt-BR"/>
                <w14:ligatures w14:val="none"/>
              </w:rPr>
            </w:pPr>
            <w:r w:rsidRPr="007A23F8">
              <w:rPr>
                <w:rFonts w:ascii="Arial" w:eastAsia="Times New Roman" w:hAnsi="Arial" w:cs="Arial"/>
                <w:b/>
                <w:bCs/>
                <w:color w:val="000000"/>
                <w:kern w:val="0"/>
                <w:sz w:val="16"/>
                <w:szCs w:val="16"/>
                <w:lang w:eastAsia="pt-BR"/>
                <w14:ligatures w14:val="none"/>
              </w:rPr>
              <w:t>Saldo em 31 de dezembro de 2022</w:t>
            </w:r>
          </w:p>
        </w:tc>
        <w:tc>
          <w:tcPr>
            <w:tcW w:w="709" w:type="pct"/>
            <w:tcBorders>
              <w:top w:val="nil"/>
              <w:left w:val="nil"/>
              <w:bottom w:val="single" w:sz="8" w:space="0" w:color="auto"/>
              <w:right w:val="single" w:sz="8" w:space="0" w:color="auto"/>
            </w:tcBorders>
            <w:shd w:val="clear" w:color="auto" w:fill="auto"/>
            <w:noWrap/>
            <w:vAlign w:val="center"/>
            <w:hideMark/>
          </w:tcPr>
          <w:p w14:paraId="7F3B2CE8"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14:ligatures w14:val="none"/>
              </w:rPr>
              <w:t>(26.314)</w:t>
            </w:r>
          </w:p>
        </w:tc>
        <w:tc>
          <w:tcPr>
            <w:tcW w:w="819" w:type="pct"/>
            <w:tcBorders>
              <w:top w:val="nil"/>
              <w:left w:val="nil"/>
              <w:bottom w:val="single" w:sz="8" w:space="0" w:color="auto"/>
              <w:right w:val="single" w:sz="8" w:space="0" w:color="auto"/>
            </w:tcBorders>
            <w:shd w:val="clear" w:color="auto" w:fill="auto"/>
            <w:noWrap/>
            <w:vAlign w:val="center"/>
            <w:hideMark/>
          </w:tcPr>
          <w:p w14:paraId="1C36AAE8"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14:ligatures w14:val="none"/>
              </w:rPr>
              <w:t>(1.480)</w:t>
            </w:r>
          </w:p>
        </w:tc>
        <w:tc>
          <w:tcPr>
            <w:tcW w:w="567" w:type="pct"/>
            <w:tcBorders>
              <w:top w:val="nil"/>
              <w:left w:val="nil"/>
              <w:bottom w:val="single" w:sz="8" w:space="0" w:color="auto"/>
              <w:right w:val="single" w:sz="8" w:space="0" w:color="auto"/>
            </w:tcBorders>
            <w:shd w:val="clear" w:color="auto" w:fill="auto"/>
            <w:noWrap/>
            <w:vAlign w:val="center"/>
            <w:hideMark/>
          </w:tcPr>
          <w:p w14:paraId="78474C09"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14:ligatures w14:val="none"/>
              </w:rPr>
              <w:t>(1.144)</w:t>
            </w:r>
          </w:p>
        </w:tc>
        <w:tc>
          <w:tcPr>
            <w:tcW w:w="522" w:type="pct"/>
            <w:tcBorders>
              <w:top w:val="nil"/>
              <w:left w:val="nil"/>
              <w:bottom w:val="single" w:sz="8" w:space="0" w:color="auto"/>
              <w:right w:val="single" w:sz="8" w:space="0" w:color="auto"/>
            </w:tcBorders>
            <w:shd w:val="clear" w:color="auto" w:fill="auto"/>
            <w:noWrap/>
            <w:vAlign w:val="center"/>
            <w:hideMark/>
          </w:tcPr>
          <w:p w14:paraId="623CF997"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14:ligatures w14:val="none"/>
              </w:rPr>
              <w:t>(28.938)</w:t>
            </w:r>
          </w:p>
        </w:tc>
      </w:tr>
      <w:tr w:rsidR="007A23F8" w:rsidRPr="007A23F8" w14:paraId="6CB84E69" w14:textId="77777777" w:rsidTr="00446A14">
        <w:trPr>
          <w:trHeight w:val="238"/>
        </w:trPr>
        <w:tc>
          <w:tcPr>
            <w:tcW w:w="2383" w:type="pct"/>
            <w:tcBorders>
              <w:top w:val="nil"/>
              <w:left w:val="single" w:sz="8" w:space="0" w:color="auto"/>
              <w:bottom w:val="single" w:sz="8" w:space="0" w:color="auto"/>
              <w:right w:val="single" w:sz="8" w:space="0" w:color="auto"/>
            </w:tcBorders>
            <w:shd w:val="clear" w:color="auto" w:fill="auto"/>
            <w:noWrap/>
            <w:vAlign w:val="center"/>
            <w:hideMark/>
          </w:tcPr>
          <w:p w14:paraId="2C591D9B" w14:textId="77777777" w:rsidR="007A23F8" w:rsidRPr="007A23F8" w:rsidRDefault="007A23F8" w:rsidP="007A23F8">
            <w:pPr>
              <w:spacing w:after="0" w:line="240" w:lineRule="auto"/>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Amortização do Período</w:t>
            </w:r>
          </w:p>
        </w:tc>
        <w:tc>
          <w:tcPr>
            <w:tcW w:w="709" w:type="pct"/>
            <w:tcBorders>
              <w:top w:val="nil"/>
              <w:left w:val="nil"/>
              <w:bottom w:val="single" w:sz="8" w:space="0" w:color="auto"/>
              <w:right w:val="single" w:sz="8" w:space="0" w:color="auto"/>
            </w:tcBorders>
            <w:shd w:val="clear" w:color="auto" w:fill="auto"/>
            <w:noWrap/>
            <w:vAlign w:val="center"/>
            <w:hideMark/>
          </w:tcPr>
          <w:p w14:paraId="71D19DE5"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(6.973)</w:t>
            </w:r>
          </w:p>
        </w:tc>
        <w:tc>
          <w:tcPr>
            <w:tcW w:w="819" w:type="pct"/>
            <w:tcBorders>
              <w:top w:val="nil"/>
              <w:left w:val="nil"/>
              <w:bottom w:val="single" w:sz="8" w:space="0" w:color="auto"/>
              <w:right w:val="single" w:sz="8" w:space="0" w:color="auto"/>
            </w:tcBorders>
            <w:shd w:val="clear" w:color="auto" w:fill="auto"/>
            <w:noWrap/>
            <w:vAlign w:val="center"/>
            <w:hideMark/>
          </w:tcPr>
          <w:p w14:paraId="11A34B30"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(329)</w:t>
            </w:r>
          </w:p>
        </w:tc>
        <w:tc>
          <w:tcPr>
            <w:tcW w:w="567" w:type="pct"/>
            <w:tcBorders>
              <w:top w:val="nil"/>
              <w:left w:val="nil"/>
              <w:bottom w:val="single" w:sz="8" w:space="0" w:color="auto"/>
              <w:right w:val="single" w:sz="8" w:space="0" w:color="auto"/>
            </w:tcBorders>
            <w:shd w:val="clear" w:color="auto" w:fill="auto"/>
            <w:noWrap/>
            <w:vAlign w:val="center"/>
            <w:hideMark/>
          </w:tcPr>
          <w:p w14:paraId="4088209E"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(302)</w:t>
            </w:r>
          </w:p>
        </w:tc>
        <w:tc>
          <w:tcPr>
            <w:tcW w:w="522" w:type="pct"/>
            <w:tcBorders>
              <w:top w:val="nil"/>
              <w:left w:val="nil"/>
              <w:bottom w:val="single" w:sz="8" w:space="0" w:color="auto"/>
              <w:right w:val="single" w:sz="8" w:space="0" w:color="auto"/>
            </w:tcBorders>
            <w:shd w:val="clear" w:color="auto" w:fill="auto"/>
            <w:noWrap/>
            <w:vAlign w:val="center"/>
            <w:hideMark/>
          </w:tcPr>
          <w:p w14:paraId="41581F5F"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(7.604)</w:t>
            </w:r>
          </w:p>
        </w:tc>
      </w:tr>
      <w:tr w:rsidR="007A23F8" w:rsidRPr="007A23F8" w14:paraId="07AB5B6F" w14:textId="77777777" w:rsidTr="00446A14">
        <w:trPr>
          <w:trHeight w:val="238"/>
        </w:trPr>
        <w:tc>
          <w:tcPr>
            <w:tcW w:w="2383" w:type="pct"/>
            <w:tcBorders>
              <w:top w:val="nil"/>
              <w:left w:val="single" w:sz="8" w:space="0" w:color="auto"/>
              <w:bottom w:val="single" w:sz="8" w:space="0" w:color="auto"/>
              <w:right w:val="single" w:sz="8" w:space="0" w:color="auto"/>
            </w:tcBorders>
            <w:shd w:val="clear" w:color="auto" w:fill="auto"/>
            <w:noWrap/>
            <w:vAlign w:val="center"/>
            <w:hideMark/>
          </w:tcPr>
          <w:p w14:paraId="75A4F63F" w14:textId="77777777" w:rsidR="007A23F8" w:rsidRPr="007A23F8" w:rsidRDefault="007A23F8" w:rsidP="007A23F8">
            <w:pPr>
              <w:spacing w:after="0" w:line="240" w:lineRule="auto"/>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Saldo em 31 de dezembro de 2023</w:t>
            </w:r>
          </w:p>
        </w:tc>
        <w:tc>
          <w:tcPr>
            <w:tcW w:w="709" w:type="pct"/>
            <w:tcBorders>
              <w:top w:val="nil"/>
              <w:left w:val="nil"/>
              <w:bottom w:val="single" w:sz="8" w:space="0" w:color="auto"/>
              <w:right w:val="single" w:sz="8" w:space="0" w:color="auto"/>
            </w:tcBorders>
            <w:shd w:val="clear" w:color="auto" w:fill="auto"/>
            <w:noWrap/>
            <w:vAlign w:val="center"/>
            <w:hideMark/>
          </w:tcPr>
          <w:p w14:paraId="5487C280"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14:ligatures w14:val="none"/>
              </w:rPr>
              <w:t>(33.287)</w:t>
            </w:r>
          </w:p>
        </w:tc>
        <w:tc>
          <w:tcPr>
            <w:tcW w:w="819" w:type="pct"/>
            <w:tcBorders>
              <w:top w:val="nil"/>
              <w:left w:val="nil"/>
              <w:bottom w:val="single" w:sz="8" w:space="0" w:color="auto"/>
              <w:right w:val="single" w:sz="8" w:space="0" w:color="auto"/>
            </w:tcBorders>
            <w:shd w:val="clear" w:color="auto" w:fill="auto"/>
            <w:noWrap/>
            <w:vAlign w:val="center"/>
            <w:hideMark/>
          </w:tcPr>
          <w:p w14:paraId="773D8CD3"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14:ligatures w14:val="none"/>
              </w:rPr>
              <w:t>(1.809)</w:t>
            </w:r>
          </w:p>
        </w:tc>
        <w:tc>
          <w:tcPr>
            <w:tcW w:w="567" w:type="pct"/>
            <w:tcBorders>
              <w:top w:val="nil"/>
              <w:left w:val="nil"/>
              <w:bottom w:val="single" w:sz="8" w:space="0" w:color="auto"/>
              <w:right w:val="single" w:sz="8" w:space="0" w:color="auto"/>
            </w:tcBorders>
            <w:shd w:val="clear" w:color="auto" w:fill="auto"/>
            <w:noWrap/>
            <w:vAlign w:val="center"/>
            <w:hideMark/>
          </w:tcPr>
          <w:p w14:paraId="0F50832D"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14:ligatures w14:val="none"/>
              </w:rPr>
              <w:t>(1.446)</w:t>
            </w:r>
          </w:p>
        </w:tc>
        <w:tc>
          <w:tcPr>
            <w:tcW w:w="522" w:type="pct"/>
            <w:tcBorders>
              <w:top w:val="nil"/>
              <w:left w:val="nil"/>
              <w:bottom w:val="single" w:sz="8" w:space="0" w:color="auto"/>
              <w:right w:val="single" w:sz="8" w:space="0" w:color="auto"/>
            </w:tcBorders>
            <w:shd w:val="clear" w:color="auto" w:fill="auto"/>
            <w:noWrap/>
            <w:vAlign w:val="center"/>
            <w:hideMark/>
          </w:tcPr>
          <w:p w14:paraId="1EC50707"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14:ligatures w14:val="none"/>
              </w:rPr>
              <w:t>(36.542)</w:t>
            </w:r>
          </w:p>
        </w:tc>
      </w:tr>
      <w:tr w:rsidR="007A23F8" w:rsidRPr="007A23F8" w14:paraId="58DACD8F" w14:textId="77777777" w:rsidTr="00446A14">
        <w:trPr>
          <w:trHeight w:val="238"/>
        </w:trPr>
        <w:tc>
          <w:tcPr>
            <w:tcW w:w="2383" w:type="pct"/>
            <w:tcBorders>
              <w:top w:val="nil"/>
              <w:left w:val="single" w:sz="8" w:space="0" w:color="auto"/>
              <w:bottom w:val="single" w:sz="8" w:space="0" w:color="auto"/>
              <w:right w:val="single" w:sz="8" w:space="0" w:color="auto"/>
            </w:tcBorders>
            <w:shd w:val="clear" w:color="auto" w:fill="auto"/>
            <w:noWrap/>
            <w:vAlign w:val="center"/>
            <w:hideMark/>
          </w:tcPr>
          <w:p w14:paraId="53DF542A" w14:textId="77777777" w:rsidR="007A23F8" w:rsidRPr="007A23F8" w:rsidRDefault="007A23F8" w:rsidP="007A23F8">
            <w:pPr>
              <w:spacing w:after="0" w:line="240" w:lineRule="auto"/>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Valor Contábil em 31 de dezembro de 2023</w:t>
            </w:r>
          </w:p>
        </w:tc>
        <w:tc>
          <w:tcPr>
            <w:tcW w:w="709" w:type="pct"/>
            <w:tcBorders>
              <w:top w:val="nil"/>
              <w:left w:val="nil"/>
              <w:bottom w:val="single" w:sz="8" w:space="0" w:color="auto"/>
              <w:right w:val="single" w:sz="8" w:space="0" w:color="auto"/>
            </w:tcBorders>
            <w:shd w:val="clear" w:color="auto" w:fill="auto"/>
            <w:noWrap/>
            <w:vAlign w:val="center"/>
            <w:hideMark/>
          </w:tcPr>
          <w:p w14:paraId="39ACBADB"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14:ligatures w14:val="none"/>
              </w:rPr>
              <w:t>21.032</w:t>
            </w:r>
          </w:p>
        </w:tc>
        <w:tc>
          <w:tcPr>
            <w:tcW w:w="819" w:type="pct"/>
            <w:tcBorders>
              <w:top w:val="nil"/>
              <w:left w:val="nil"/>
              <w:bottom w:val="single" w:sz="8" w:space="0" w:color="auto"/>
              <w:right w:val="single" w:sz="8" w:space="0" w:color="auto"/>
            </w:tcBorders>
            <w:shd w:val="clear" w:color="auto" w:fill="auto"/>
            <w:noWrap/>
            <w:vAlign w:val="center"/>
            <w:hideMark/>
          </w:tcPr>
          <w:p w14:paraId="3289371B"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14:ligatures w14:val="none"/>
              </w:rPr>
              <w:t>2.137</w:t>
            </w:r>
          </w:p>
        </w:tc>
        <w:tc>
          <w:tcPr>
            <w:tcW w:w="567" w:type="pct"/>
            <w:tcBorders>
              <w:top w:val="nil"/>
              <w:left w:val="nil"/>
              <w:bottom w:val="single" w:sz="8" w:space="0" w:color="auto"/>
              <w:right w:val="single" w:sz="8" w:space="0" w:color="auto"/>
            </w:tcBorders>
            <w:shd w:val="clear" w:color="auto" w:fill="auto"/>
            <w:noWrap/>
            <w:vAlign w:val="center"/>
            <w:hideMark/>
          </w:tcPr>
          <w:p w14:paraId="5513CE97"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14:ligatures w14:val="none"/>
              </w:rPr>
              <w:t>3</w:t>
            </w:r>
          </w:p>
        </w:tc>
        <w:tc>
          <w:tcPr>
            <w:tcW w:w="522" w:type="pct"/>
            <w:tcBorders>
              <w:top w:val="nil"/>
              <w:left w:val="nil"/>
              <w:bottom w:val="single" w:sz="8" w:space="0" w:color="auto"/>
              <w:right w:val="single" w:sz="8" w:space="0" w:color="auto"/>
            </w:tcBorders>
            <w:shd w:val="clear" w:color="auto" w:fill="auto"/>
            <w:noWrap/>
            <w:vAlign w:val="center"/>
            <w:hideMark/>
          </w:tcPr>
          <w:p w14:paraId="73E95124"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23.172</w:t>
            </w:r>
          </w:p>
        </w:tc>
      </w:tr>
      <w:tr w:rsidR="007A23F8" w:rsidRPr="007A23F8" w14:paraId="7958C78B" w14:textId="77777777" w:rsidTr="00446A14">
        <w:trPr>
          <w:trHeight w:val="238"/>
        </w:trPr>
        <w:tc>
          <w:tcPr>
            <w:tcW w:w="2383" w:type="pct"/>
            <w:tcBorders>
              <w:top w:val="nil"/>
              <w:left w:val="single" w:sz="8" w:space="0" w:color="auto"/>
              <w:bottom w:val="single" w:sz="8" w:space="0" w:color="auto"/>
              <w:right w:val="single" w:sz="8" w:space="0" w:color="auto"/>
            </w:tcBorders>
            <w:shd w:val="clear" w:color="auto" w:fill="auto"/>
            <w:noWrap/>
            <w:vAlign w:val="center"/>
            <w:hideMark/>
          </w:tcPr>
          <w:p w14:paraId="5D0CCDF9" w14:textId="77777777" w:rsidR="007A23F8" w:rsidRPr="007A23F8" w:rsidRDefault="007A23F8" w:rsidP="007A23F8">
            <w:pPr>
              <w:spacing w:after="0" w:line="240" w:lineRule="auto"/>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Valor Contábil em 31 de dezembro de 2022</w:t>
            </w:r>
          </w:p>
        </w:tc>
        <w:tc>
          <w:tcPr>
            <w:tcW w:w="709" w:type="pct"/>
            <w:tcBorders>
              <w:top w:val="nil"/>
              <w:left w:val="nil"/>
              <w:bottom w:val="single" w:sz="8" w:space="0" w:color="auto"/>
              <w:right w:val="single" w:sz="8" w:space="0" w:color="auto"/>
            </w:tcBorders>
            <w:shd w:val="clear" w:color="auto" w:fill="auto"/>
            <w:noWrap/>
            <w:vAlign w:val="center"/>
            <w:hideMark/>
          </w:tcPr>
          <w:p w14:paraId="4F46C04B"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14:ligatures w14:val="none"/>
              </w:rPr>
              <w:t>22.610</w:t>
            </w:r>
          </w:p>
        </w:tc>
        <w:tc>
          <w:tcPr>
            <w:tcW w:w="819" w:type="pct"/>
            <w:tcBorders>
              <w:top w:val="nil"/>
              <w:left w:val="nil"/>
              <w:bottom w:val="single" w:sz="8" w:space="0" w:color="auto"/>
              <w:right w:val="single" w:sz="8" w:space="0" w:color="auto"/>
            </w:tcBorders>
            <w:shd w:val="clear" w:color="auto" w:fill="auto"/>
            <w:noWrap/>
            <w:vAlign w:val="center"/>
            <w:hideMark/>
          </w:tcPr>
          <w:p w14:paraId="684BDA3B"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14:ligatures w14:val="none"/>
              </w:rPr>
              <w:t>2.466</w:t>
            </w:r>
          </w:p>
        </w:tc>
        <w:tc>
          <w:tcPr>
            <w:tcW w:w="567" w:type="pct"/>
            <w:tcBorders>
              <w:top w:val="nil"/>
              <w:left w:val="nil"/>
              <w:bottom w:val="single" w:sz="8" w:space="0" w:color="auto"/>
              <w:right w:val="single" w:sz="8" w:space="0" w:color="auto"/>
            </w:tcBorders>
            <w:shd w:val="clear" w:color="auto" w:fill="auto"/>
            <w:noWrap/>
            <w:vAlign w:val="center"/>
            <w:hideMark/>
          </w:tcPr>
          <w:p w14:paraId="40FFF33C"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14:ligatures w14:val="none"/>
              </w:rPr>
              <w:t>305</w:t>
            </w:r>
          </w:p>
        </w:tc>
        <w:tc>
          <w:tcPr>
            <w:tcW w:w="522" w:type="pct"/>
            <w:tcBorders>
              <w:top w:val="nil"/>
              <w:left w:val="nil"/>
              <w:bottom w:val="single" w:sz="8" w:space="0" w:color="auto"/>
              <w:right w:val="single" w:sz="8" w:space="0" w:color="auto"/>
            </w:tcBorders>
            <w:shd w:val="clear" w:color="auto" w:fill="auto"/>
            <w:noWrap/>
            <w:vAlign w:val="center"/>
            <w:hideMark/>
          </w:tcPr>
          <w:p w14:paraId="36230A8E"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14:ligatures w14:val="none"/>
              </w:rPr>
              <w:t>25.381</w:t>
            </w:r>
          </w:p>
        </w:tc>
      </w:tr>
      <w:tr w:rsidR="007A23F8" w:rsidRPr="007A23F8" w14:paraId="0000ADA1" w14:textId="77777777" w:rsidTr="00446A14">
        <w:trPr>
          <w:trHeight w:val="238"/>
        </w:trPr>
        <w:tc>
          <w:tcPr>
            <w:tcW w:w="2383" w:type="pct"/>
            <w:tcBorders>
              <w:top w:val="nil"/>
              <w:left w:val="single" w:sz="8" w:space="0" w:color="auto"/>
              <w:bottom w:val="single" w:sz="8" w:space="0" w:color="auto"/>
              <w:right w:val="single" w:sz="8" w:space="0" w:color="auto"/>
            </w:tcBorders>
            <w:shd w:val="clear" w:color="auto" w:fill="auto"/>
            <w:noWrap/>
            <w:vAlign w:val="center"/>
            <w:hideMark/>
          </w:tcPr>
          <w:p w14:paraId="5DEC1728" w14:textId="77777777" w:rsidR="007A23F8" w:rsidRPr="007A23F8" w:rsidRDefault="007A23F8" w:rsidP="007A23F8">
            <w:pPr>
              <w:spacing w:after="0" w:line="240" w:lineRule="auto"/>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lastRenderedPageBreak/>
              <w:t>Taxa de Amortização</w:t>
            </w:r>
          </w:p>
        </w:tc>
        <w:tc>
          <w:tcPr>
            <w:tcW w:w="709" w:type="pct"/>
            <w:tcBorders>
              <w:top w:val="nil"/>
              <w:left w:val="nil"/>
              <w:bottom w:val="single" w:sz="8" w:space="0" w:color="auto"/>
              <w:right w:val="single" w:sz="8" w:space="0" w:color="auto"/>
            </w:tcBorders>
            <w:shd w:val="clear" w:color="auto" w:fill="auto"/>
            <w:noWrap/>
            <w:vAlign w:val="center"/>
            <w:hideMark/>
          </w:tcPr>
          <w:p w14:paraId="45413684"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20,00%</w:t>
            </w:r>
          </w:p>
        </w:tc>
        <w:tc>
          <w:tcPr>
            <w:tcW w:w="819" w:type="pct"/>
            <w:tcBorders>
              <w:top w:val="nil"/>
              <w:left w:val="nil"/>
              <w:bottom w:val="single" w:sz="8" w:space="0" w:color="auto"/>
              <w:right w:val="single" w:sz="8" w:space="0" w:color="auto"/>
            </w:tcBorders>
            <w:shd w:val="clear" w:color="auto" w:fill="auto"/>
            <w:noWrap/>
            <w:vAlign w:val="center"/>
            <w:hideMark/>
          </w:tcPr>
          <w:p w14:paraId="71D54FC0"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8,33%</w:t>
            </w:r>
          </w:p>
        </w:tc>
        <w:tc>
          <w:tcPr>
            <w:tcW w:w="567" w:type="pct"/>
            <w:tcBorders>
              <w:top w:val="nil"/>
              <w:left w:val="nil"/>
              <w:bottom w:val="single" w:sz="8" w:space="0" w:color="auto"/>
              <w:right w:val="single" w:sz="8" w:space="0" w:color="auto"/>
            </w:tcBorders>
            <w:shd w:val="clear" w:color="auto" w:fill="auto"/>
            <w:noWrap/>
            <w:vAlign w:val="center"/>
            <w:hideMark/>
          </w:tcPr>
          <w:p w14:paraId="1F6164E0"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20,00%</w:t>
            </w:r>
          </w:p>
        </w:tc>
        <w:tc>
          <w:tcPr>
            <w:tcW w:w="522" w:type="pct"/>
            <w:tcBorders>
              <w:top w:val="nil"/>
              <w:left w:val="nil"/>
              <w:bottom w:val="single" w:sz="8" w:space="0" w:color="auto"/>
              <w:right w:val="single" w:sz="8" w:space="0" w:color="auto"/>
            </w:tcBorders>
            <w:shd w:val="clear" w:color="000000" w:fill="D9D9D9"/>
            <w:noWrap/>
            <w:vAlign w:val="center"/>
            <w:hideMark/>
          </w:tcPr>
          <w:p w14:paraId="76679D0B" w14:textId="77777777" w:rsidR="007A23F8" w:rsidRPr="007A23F8" w:rsidRDefault="007A23F8" w:rsidP="007A23F8">
            <w:pPr>
              <w:spacing w:after="0" w:line="240" w:lineRule="auto"/>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 </w:t>
            </w:r>
          </w:p>
        </w:tc>
      </w:tr>
    </w:tbl>
    <w:bookmarkEnd w:id="404"/>
    <w:p w14:paraId="5CF85E18" w14:textId="188E6E7A" w:rsidR="00411455" w:rsidRPr="00411455" w:rsidRDefault="00411455" w:rsidP="007A23F8">
      <w:pPr>
        <w:autoSpaceDE w:val="0"/>
        <w:autoSpaceDN w:val="0"/>
        <w:adjustRightInd w:val="0"/>
        <w:spacing w:after="0" w:line="240" w:lineRule="auto"/>
        <w:jc w:val="both"/>
        <w:rPr>
          <w:rFonts w:ascii="Calibri" w:eastAsia="Times New Roman" w:hAnsi="Calibri" w:cs="Calibri"/>
          <w:iCs/>
          <w:color w:val="002060"/>
          <w:kern w:val="0"/>
          <w14:ligatures w14:val="none"/>
        </w:rPr>
      </w:pPr>
      <w:r w:rsidRPr="00411455">
        <w:rPr>
          <w:rFonts w:ascii="Calibri" w:eastAsia="Times New Roman" w:hAnsi="Calibri" w:cs="Calibri"/>
          <w:iCs/>
          <w:color w:val="002060"/>
          <w:kern w:val="0"/>
          <w14:ligatures w14:val="none"/>
        </w:rPr>
        <w:t>Em 31 de dezembro de 2023, esses ativos não apresentavam indícios de perdas ao valor recuperável (</w:t>
      </w:r>
      <w:proofErr w:type="spellStart"/>
      <w:r w:rsidRPr="00411455">
        <w:rPr>
          <w:rFonts w:ascii="Calibri" w:eastAsia="Times New Roman" w:hAnsi="Calibri" w:cs="Calibri"/>
          <w:iCs/>
          <w:color w:val="002060"/>
          <w:kern w:val="0"/>
          <w14:ligatures w14:val="none"/>
        </w:rPr>
        <w:t>Impairment</w:t>
      </w:r>
      <w:proofErr w:type="spellEnd"/>
      <w:r w:rsidRPr="00411455">
        <w:rPr>
          <w:rFonts w:ascii="Calibri" w:eastAsia="Times New Roman" w:hAnsi="Calibri" w:cs="Calibri"/>
          <w:iCs/>
          <w:color w:val="002060"/>
          <w:kern w:val="0"/>
          <w14:ligatures w14:val="none"/>
        </w:rPr>
        <w:t xml:space="preserve">). </w:t>
      </w:r>
    </w:p>
    <w:p w14:paraId="04D9D4DA" w14:textId="4776BBBD" w:rsidR="00411455" w:rsidRPr="00411455" w:rsidRDefault="00411455" w:rsidP="007A23F8">
      <w:pPr>
        <w:autoSpaceDE w:val="0"/>
        <w:autoSpaceDN w:val="0"/>
        <w:adjustRightInd w:val="0"/>
        <w:spacing w:after="0" w:line="240" w:lineRule="auto"/>
        <w:jc w:val="both"/>
        <w:rPr>
          <w:rFonts w:ascii="Calibri" w:eastAsia="Times New Roman" w:hAnsi="Calibri" w:cs="Calibri"/>
          <w:b/>
          <w:bCs/>
          <w:iCs/>
          <w:color w:val="002060"/>
          <w:kern w:val="0"/>
          <w14:ligatures w14:val="none"/>
        </w:rPr>
      </w:pPr>
      <w:bookmarkStart w:id="405" w:name="_Toc491337738"/>
      <w:r>
        <w:rPr>
          <w:rFonts w:ascii="Calibri" w:eastAsia="Times New Roman" w:hAnsi="Calibri" w:cs="Calibri"/>
          <w:b/>
          <w:bCs/>
          <w:iCs/>
          <w:color w:val="002060"/>
          <w:kern w:val="0"/>
          <w14:ligatures w14:val="none"/>
        </w:rPr>
        <w:t xml:space="preserve">16. </w:t>
      </w:r>
      <w:r w:rsidRPr="00411455">
        <w:rPr>
          <w:rFonts w:ascii="Calibri" w:eastAsia="Times New Roman" w:hAnsi="Calibri" w:cs="Calibri"/>
          <w:b/>
          <w:bCs/>
          <w:iCs/>
          <w:color w:val="002060"/>
          <w:kern w:val="0"/>
          <w14:ligatures w14:val="none"/>
        </w:rPr>
        <w:t>PESSOAL, ENCARGOS E BENEFÍCIOS SOCIAIS</w:t>
      </w:r>
      <w:bookmarkEnd w:id="405"/>
    </w:p>
    <w:p w14:paraId="021E7DCD" w14:textId="77777777" w:rsidR="00411455" w:rsidRPr="00411455" w:rsidRDefault="00411455" w:rsidP="007A23F8">
      <w:pPr>
        <w:autoSpaceDE w:val="0"/>
        <w:autoSpaceDN w:val="0"/>
        <w:adjustRightInd w:val="0"/>
        <w:spacing w:after="0" w:line="240" w:lineRule="auto"/>
        <w:jc w:val="both"/>
        <w:rPr>
          <w:rFonts w:ascii="Calibri" w:eastAsia="Times New Roman" w:hAnsi="Calibri" w:cs="Calibri"/>
          <w:iCs/>
          <w:color w:val="002060"/>
          <w:kern w:val="0"/>
          <w14:ligatures w14:val="none"/>
        </w:rPr>
      </w:pPr>
      <w:r w:rsidRPr="00411455">
        <w:rPr>
          <w:rFonts w:ascii="Calibri" w:eastAsia="Times New Roman" w:hAnsi="Calibri" w:cs="Calibri"/>
          <w:iCs/>
          <w:color w:val="002060"/>
          <w:kern w:val="0"/>
          <w14:ligatures w14:val="none"/>
        </w:rPr>
        <w:t>Nesta rubrica são registradas as obrigações com pessoal, inclusive as provisões de férias, 13º salário e dos respectivos encargos sociais, exceto os encargos tributários a recolher que estão incluídos no grupo Outras Obrigações. (Nota Explicativa 26)</w:t>
      </w:r>
    </w:p>
    <w:tbl>
      <w:tblPr>
        <w:tblW w:w="5000" w:type="pct"/>
        <w:tblCellMar>
          <w:left w:w="70" w:type="dxa"/>
          <w:right w:w="70" w:type="dxa"/>
        </w:tblCellMar>
        <w:tblLook w:val="04A0" w:firstRow="1" w:lastRow="0" w:firstColumn="1" w:lastColumn="0" w:noHBand="0" w:noVBand="1"/>
      </w:tblPr>
      <w:tblGrid>
        <w:gridCol w:w="5365"/>
        <w:gridCol w:w="2198"/>
        <w:gridCol w:w="2198"/>
      </w:tblGrid>
      <w:tr w:rsidR="00411455" w:rsidRPr="00411455" w14:paraId="453A4C42" w14:textId="77777777" w:rsidTr="00446A14">
        <w:trPr>
          <w:trHeight w:val="238"/>
          <w:tblHeader/>
        </w:trPr>
        <w:tc>
          <w:tcPr>
            <w:tcW w:w="2748" w:type="pct"/>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645F00E3" w14:textId="77777777" w:rsidR="00411455" w:rsidRPr="00411455" w:rsidRDefault="00411455" w:rsidP="00411455">
            <w:pPr>
              <w:spacing w:after="0" w:line="240" w:lineRule="auto"/>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Composição: </w:t>
            </w:r>
          </w:p>
        </w:tc>
        <w:tc>
          <w:tcPr>
            <w:tcW w:w="1126" w:type="pct"/>
            <w:tcBorders>
              <w:top w:val="single" w:sz="8" w:space="0" w:color="auto"/>
              <w:left w:val="nil"/>
              <w:bottom w:val="single" w:sz="8" w:space="0" w:color="auto"/>
              <w:right w:val="single" w:sz="8" w:space="0" w:color="auto"/>
            </w:tcBorders>
            <w:shd w:val="clear" w:color="auto" w:fill="auto"/>
            <w:noWrap/>
            <w:vAlign w:val="center"/>
            <w:hideMark/>
          </w:tcPr>
          <w:p w14:paraId="2BB20079" w14:textId="77777777" w:rsidR="00411455" w:rsidRPr="00411455" w:rsidRDefault="00411455" w:rsidP="00411455">
            <w:pPr>
              <w:spacing w:after="0" w:line="240" w:lineRule="auto"/>
              <w:jc w:val="center"/>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31/12/2023</w:t>
            </w:r>
          </w:p>
        </w:tc>
        <w:tc>
          <w:tcPr>
            <w:tcW w:w="1126" w:type="pct"/>
            <w:tcBorders>
              <w:top w:val="single" w:sz="8" w:space="0" w:color="auto"/>
              <w:left w:val="nil"/>
              <w:bottom w:val="single" w:sz="8" w:space="0" w:color="auto"/>
              <w:right w:val="single" w:sz="8" w:space="0" w:color="auto"/>
            </w:tcBorders>
            <w:shd w:val="clear" w:color="auto" w:fill="auto"/>
            <w:noWrap/>
            <w:vAlign w:val="center"/>
            <w:hideMark/>
          </w:tcPr>
          <w:p w14:paraId="66C8ED08" w14:textId="77777777" w:rsidR="00411455" w:rsidRPr="00411455" w:rsidRDefault="00411455" w:rsidP="00411455">
            <w:pPr>
              <w:spacing w:after="0" w:line="240" w:lineRule="auto"/>
              <w:jc w:val="center"/>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31/12/2022</w:t>
            </w:r>
          </w:p>
        </w:tc>
      </w:tr>
      <w:tr w:rsidR="00411455" w:rsidRPr="00411455" w14:paraId="584D6472" w14:textId="77777777" w:rsidTr="00446A14">
        <w:trPr>
          <w:trHeight w:val="238"/>
        </w:trPr>
        <w:tc>
          <w:tcPr>
            <w:tcW w:w="2748" w:type="pct"/>
            <w:tcBorders>
              <w:top w:val="nil"/>
              <w:left w:val="single" w:sz="8" w:space="0" w:color="auto"/>
              <w:bottom w:val="single" w:sz="8" w:space="0" w:color="auto"/>
              <w:right w:val="single" w:sz="8" w:space="0" w:color="auto"/>
            </w:tcBorders>
            <w:shd w:val="clear" w:color="auto" w:fill="auto"/>
            <w:noWrap/>
            <w:vAlign w:val="center"/>
            <w:hideMark/>
          </w:tcPr>
          <w:p w14:paraId="688C5F95" w14:textId="77777777" w:rsidR="00411455" w:rsidRPr="00411455" w:rsidRDefault="00411455" w:rsidP="00411455">
            <w:pPr>
              <w:spacing w:after="0" w:line="240" w:lineRule="auto"/>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Encargos Sociais a Pagar</w:t>
            </w:r>
          </w:p>
        </w:tc>
        <w:tc>
          <w:tcPr>
            <w:tcW w:w="1126" w:type="pct"/>
            <w:tcBorders>
              <w:top w:val="nil"/>
              <w:left w:val="nil"/>
              <w:bottom w:val="single" w:sz="8" w:space="0" w:color="auto"/>
              <w:right w:val="single" w:sz="8" w:space="0" w:color="auto"/>
            </w:tcBorders>
            <w:shd w:val="clear" w:color="auto" w:fill="auto"/>
            <w:noWrap/>
            <w:vAlign w:val="center"/>
            <w:hideMark/>
          </w:tcPr>
          <w:p w14:paraId="6C3BCEA3"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xml:space="preserve">      13.099 </w:t>
            </w:r>
          </w:p>
        </w:tc>
        <w:tc>
          <w:tcPr>
            <w:tcW w:w="1126" w:type="pct"/>
            <w:tcBorders>
              <w:top w:val="nil"/>
              <w:left w:val="nil"/>
              <w:bottom w:val="single" w:sz="8" w:space="0" w:color="auto"/>
              <w:right w:val="single" w:sz="8" w:space="0" w:color="auto"/>
            </w:tcBorders>
            <w:shd w:val="clear" w:color="auto" w:fill="auto"/>
            <w:noWrap/>
            <w:vAlign w:val="center"/>
            <w:hideMark/>
          </w:tcPr>
          <w:p w14:paraId="4D73388D"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xml:space="preserve">      12.405 </w:t>
            </w:r>
          </w:p>
        </w:tc>
      </w:tr>
      <w:tr w:rsidR="00411455" w:rsidRPr="00411455" w14:paraId="3FA3BC5E" w14:textId="77777777" w:rsidTr="00446A14">
        <w:trPr>
          <w:trHeight w:val="238"/>
        </w:trPr>
        <w:tc>
          <w:tcPr>
            <w:tcW w:w="2748" w:type="pct"/>
            <w:tcBorders>
              <w:top w:val="nil"/>
              <w:left w:val="single" w:sz="8" w:space="0" w:color="auto"/>
              <w:bottom w:val="single" w:sz="8" w:space="0" w:color="auto"/>
              <w:right w:val="single" w:sz="8" w:space="0" w:color="auto"/>
            </w:tcBorders>
            <w:shd w:val="clear" w:color="auto" w:fill="auto"/>
            <w:noWrap/>
            <w:vAlign w:val="center"/>
            <w:hideMark/>
          </w:tcPr>
          <w:p w14:paraId="2C13407B" w14:textId="77777777" w:rsidR="00411455" w:rsidRPr="00411455" w:rsidRDefault="00411455" w:rsidP="00411455">
            <w:pPr>
              <w:spacing w:after="0" w:line="240" w:lineRule="auto"/>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Benefícios Sociais a Pagar</w:t>
            </w:r>
          </w:p>
        </w:tc>
        <w:tc>
          <w:tcPr>
            <w:tcW w:w="1126" w:type="pct"/>
            <w:tcBorders>
              <w:top w:val="nil"/>
              <w:left w:val="nil"/>
              <w:bottom w:val="single" w:sz="8" w:space="0" w:color="auto"/>
              <w:right w:val="single" w:sz="8" w:space="0" w:color="auto"/>
            </w:tcBorders>
            <w:shd w:val="clear" w:color="auto" w:fill="auto"/>
            <w:noWrap/>
            <w:vAlign w:val="center"/>
            <w:hideMark/>
          </w:tcPr>
          <w:p w14:paraId="799D8B11"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xml:space="preserve">             10 </w:t>
            </w:r>
          </w:p>
        </w:tc>
        <w:tc>
          <w:tcPr>
            <w:tcW w:w="1126" w:type="pct"/>
            <w:tcBorders>
              <w:top w:val="nil"/>
              <w:left w:val="nil"/>
              <w:bottom w:val="single" w:sz="8" w:space="0" w:color="auto"/>
              <w:right w:val="single" w:sz="8" w:space="0" w:color="auto"/>
            </w:tcBorders>
            <w:shd w:val="clear" w:color="auto" w:fill="auto"/>
            <w:noWrap/>
            <w:vAlign w:val="center"/>
            <w:hideMark/>
          </w:tcPr>
          <w:p w14:paraId="2BED09F5"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xml:space="preserve">             10 </w:t>
            </w:r>
          </w:p>
        </w:tc>
      </w:tr>
      <w:tr w:rsidR="00411455" w:rsidRPr="00411455" w14:paraId="1981C296" w14:textId="77777777" w:rsidTr="00446A14">
        <w:trPr>
          <w:trHeight w:val="238"/>
        </w:trPr>
        <w:tc>
          <w:tcPr>
            <w:tcW w:w="2748" w:type="pct"/>
            <w:tcBorders>
              <w:top w:val="nil"/>
              <w:left w:val="single" w:sz="8" w:space="0" w:color="auto"/>
              <w:bottom w:val="single" w:sz="8" w:space="0" w:color="auto"/>
              <w:right w:val="single" w:sz="8" w:space="0" w:color="auto"/>
            </w:tcBorders>
            <w:shd w:val="clear" w:color="auto" w:fill="auto"/>
            <w:noWrap/>
            <w:vAlign w:val="center"/>
            <w:hideMark/>
          </w:tcPr>
          <w:p w14:paraId="077E3D1D" w14:textId="77777777" w:rsidR="00411455" w:rsidRPr="00411455" w:rsidRDefault="00411455" w:rsidP="00411455">
            <w:pPr>
              <w:spacing w:after="0" w:line="240" w:lineRule="auto"/>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Salários e Honorários a Pagar</w:t>
            </w:r>
          </w:p>
        </w:tc>
        <w:tc>
          <w:tcPr>
            <w:tcW w:w="1126" w:type="pct"/>
            <w:tcBorders>
              <w:top w:val="nil"/>
              <w:left w:val="nil"/>
              <w:bottom w:val="single" w:sz="8" w:space="0" w:color="auto"/>
              <w:right w:val="single" w:sz="8" w:space="0" w:color="auto"/>
            </w:tcBorders>
            <w:shd w:val="clear" w:color="auto" w:fill="auto"/>
            <w:noWrap/>
            <w:vAlign w:val="center"/>
            <w:hideMark/>
          </w:tcPr>
          <w:p w14:paraId="10FB48A5"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xml:space="preserve">               4 </w:t>
            </w:r>
          </w:p>
        </w:tc>
        <w:tc>
          <w:tcPr>
            <w:tcW w:w="1126" w:type="pct"/>
            <w:tcBorders>
              <w:top w:val="nil"/>
              <w:left w:val="nil"/>
              <w:bottom w:val="single" w:sz="8" w:space="0" w:color="auto"/>
              <w:right w:val="single" w:sz="8" w:space="0" w:color="auto"/>
            </w:tcBorders>
            <w:shd w:val="clear" w:color="auto" w:fill="auto"/>
            <w:noWrap/>
            <w:vAlign w:val="center"/>
            <w:hideMark/>
          </w:tcPr>
          <w:p w14:paraId="131EA3E2"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xml:space="preserve">               3 </w:t>
            </w:r>
          </w:p>
        </w:tc>
      </w:tr>
      <w:tr w:rsidR="00411455" w:rsidRPr="00411455" w14:paraId="55394E01" w14:textId="77777777" w:rsidTr="00446A14">
        <w:trPr>
          <w:trHeight w:val="238"/>
        </w:trPr>
        <w:tc>
          <w:tcPr>
            <w:tcW w:w="2748" w:type="pct"/>
            <w:tcBorders>
              <w:top w:val="nil"/>
              <w:left w:val="single" w:sz="8" w:space="0" w:color="auto"/>
              <w:bottom w:val="single" w:sz="8" w:space="0" w:color="auto"/>
              <w:right w:val="single" w:sz="8" w:space="0" w:color="auto"/>
            </w:tcBorders>
            <w:shd w:val="clear" w:color="auto" w:fill="auto"/>
            <w:noWrap/>
            <w:vAlign w:val="center"/>
            <w:hideMark/>
          </w:tcPr>
          <w:p w14:paraId="2212B1C9" w14:textId="77777777" w:rsidR="00411455" w:rsidRPr="00411455" w:rsidRDefault="00411455" w:rsidP="00411455">
            <w:pPr>
              <w:spacing w:after="0" w:line="240" w:lineRule="auto"/>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Mão-de-Obra Temporária</w:t>
            </w:r>
          </w:p>
        </w:tc>
        <w:tc>
          <w:tcPr>
            <w:tcW w:w="1126" w:type="pct"/>
            <w:tcBorders>
              <w:top w:val="nil"/>
              <w:left w:val="nil"/>
              <w:bottom w:val="single" w:sz="8" w:space="0" w:color="auto"/>
              <w:right w:val="single" w:sz="8" w:space="0" w:color="auto"/>
            </w:tcBorders>
            <w:shd w:val="clear" w:color="auto" w:fill="auto"/>
            <w:noWrap/>
            <w:vAlign w:val="center"/>
            <w:hideMark/>
          </w:tcPr>
          <w:p w14:paraId="423B35D3"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xml:space="preserve">               1 </w:t>
            </w:r>
          </w:p>
        </w:tc>
        <w:tc>
          <w:tcPr>
            <w:tcW w:w="1126" w:type="pct"/>
            <w:tcBorders>
              <w:top w:val="nil"/>
              <w:left w:val="nil"/>
              <w:bottom w:val="single" w:sz="8" w:space="0" w:color="auto"/>
              <w:right w:val="single" w:sz="8" w:space="0" w:color="auto"/>
            </w:tcBorders>
            <w:shd w:val="clear" w:color="auto" w:fill="auto"/>
            <w:noWrap/>
            <w:vAlign w:val="center"/>
            <w:hideMark/>
          </w:tcPr>
          <w:p w14:paraId="748CB644" w14:textId="77777777" w:rsidR="00411455" w:rsidRPr="00411455" w:rsidRDefault="00411455" w:rsidP="00411455">
            <w:pPr>
              <w:spacing w:after="0" w:line="240" w:lineRule="auto"/>
              <w:jc w:val="right"/>
              <w:rPr>
                <w:rFonts w:ascii="Arial" w:eastAsia="Times New Roman" w:hAnsi="Arial" w:cs="Arial"/>
                <w:color w:val="000000"/>
                <w:kern w:val="0"/>
                <w:sz w:val="18"/>
                <w:szCs w:val="18"/>
                <w:lang w:eastAsia="pt-BR"/>
                <w14:ligatures w14:val="none"/>
              </w:rPr>
            </w:pPr>
            <w:r w:rsidRPr="00411455">
              <w:rPr>
                <w:rFonts w:ascii="Arial" w:eastAsia="Times New Roman" w:hAnsi="Arial" w:cs="Arial"/>
                <w:color w:val="000000"/>
                <w:kern w:val="0"/>
                <w:sz w:val="18"/>
                <w:szCs w:val="18"/>
                <w:lang w:eastAsia="pt-BR"/>
                <w14:ligatures w14:val="none"/>
              </w:rPr>
              <w:t xml:space="preserve">              -   </w:t>
            </w:r>
          </w:p>
        </w:tc>
      </w:tr>
      <w:tr w:rsidR="00411455" w:rsidRPr="00411455" w14:paraId="079F49E2" w14:textId="77777777" w:rsidTr="00446A14">
        <w:trPr>
          <w:trHeight w:val="238"/>
        </w:trPr>
        <w:tc>
          <w:tcPr>
            <w:tcW w:w="2748" w:type="pct"/>
            <w:tcBorders>
              <w:top w:val="nil"/>
              <w:left w:val="single" w:sz="8" w:space="0" w:color="auto"/>
              <w:bottom w:val="single" w:sz="8" w:space="0" w:color="auto"/>
              <w:right w:val="single" w:sz="8" w:space="0" w:color="auto"/>
            </w:tcBorders>
            <w:shd w:val="clear" w:color="auto" w:fill="auto"/>
            <w:noWrap/>
            <w:vAlign w:val="center"/>
            <w:hideMark/>
          </w:tcPr>
          <w:p w14:paraId="12726D95" w14:textId="77777777" w:rsidR="00411455" w:rsidRPr="00411455" w:rsidRDefault="00411455" w:rsidP="00411455">
            <w:pPr>
              <w:spacing w:after="0" w:line="240" w:lineRule="auto"/>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Total</w:t>
            </w:r>
          </w:p>
        </w:tc>
        <w:tc>
          <w:tcPr>
            <w:tcW w:w="1126" w:type="pct"/>
            <w:tcBorders>
              <w:top w:val="nil"/>
              <w:left w:val="nil"/>
              <w:bottom w:val="single" w:sz="8" w:space="0" w:color="auto"/>
              <w:right w:val="single" w:sz="8" w:space="0" w:color="auto"/>
            </w:tcBorders>
            <w:shd w:val="clear" w:color="auto" w:fill="auto"/>
            <w:noWrap/>
            <w:vAlign w:val="center"/>
            <w:hideMark/>
          </w:tcPr>
          <w:p w14:paraId="4AE2B236" w14:textId="77777777" w:rsidR="00411455" w:rsidRPr="00411455" w:rsidRDefault="00411455" w:rsidP="00411455">
            <w:pPr>
              <w:spacing w:after="0" w:line="240" w:lineRule="auto"/>
              <w:jc w:val="right"/>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 xml:space="preserve">      13.114 </w:t>
            </w:r>
          </w:p>
        </w:tc>
        <w:tc>
          <w:tcPr>
            <w:tcW w:w="1126" w:type="pct"/>
            <w:tcBorders>
              <w:top w:val="nil"/>
              <w:left w:val="nil"/>
              <w:bottom w:val="single" w:sz="8" w:space="0" w:color="auto"/>
              <w:right w:val="single" w:sz="8" w:space="0" w:color="auto"/>
            </w:tcBorders>
            <w:shd w:val="clear" w:color="auto" w:fill="auto"/>
            <w:noWrap/>
            <w:vAlign w:val="center"/>
            <w:hideMark/>
          </w:tcPr>
          <w:p w14:paraId="75DBAD96" w14:textId="77777777" w:rsidR="00411455" w:rsidRPr="00411455" w:rsidRDefault="00411455" w:rsidP="00411455">
            <w:pPr>
              <w:spacing w:after="0" w:line="240" w:lineRule="auto"/>
              <w:jc w:val="right"/>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 xml:space="preserve">      12.418 </w:t>
            </w:r>
          </w:p>
        </w:tc>
      </w:tr>
      <w:tr w:rsidR="00411455" w:rsidRPr="00411455" w14:paraId="0F060BC2" w14:textId="77777777" w:rsidTr="00446A14">
        <w:trPr>
          <w:trHeight w:val="238"/>
        </w:trPr>
        <w:tc>
          <w:tcPr>
            <w:tcW w:w="2748" w:type="pct"/>
            <w:tcBorders>
              <w:top w:val="nil"/>
              <w:left w:val="single" w:sz="8" w:space="0" w:color="auto"/>
              <w:bottom w:val="single" w:sz="8" w:space="0" w:color="auto"/>
              <w:right w:val="single" w:sz="8" w:space="0" w:color="auto"/>
            </w:tcBorders>
            <w:shd w:val="clear" w:color="auto" w:fill="auto"/>
            <w:noWrap/>
            <w:vAlign w:val="center"/>
            <w:hideMark/>
          </w:tcPr>
          <w:p w14:paraId="04E21648" w14:textId="77777777" w:rsidR="00411455" w:rsidRPr="00411455" w:rsidRDefault="00411455" w:rsidP="00411455">
            <w:pPr>
              <w:spacing w:after="0" w:line="240" w:lineRule="auto"/>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Circulante</w:t>
            </w:r>
          </w:p>
        </w:tc>
        <w:tc>
          <w:tcPr>
            <w:tcW w:w="1126" w:type="pct"/>
            <w:tcBorders>
              <w:top w:val="nil"/>
              <w:left w:val="nil"/>
              <w:bottom w:val="single" w:sz="8" w:space="0" w:color="auto"/>
              <w:right w:val="single" w:sz="8" w:space="0" w:color="auto"/>
            </w:tcBorders>
            <w:shd w:val="clear" w:color="auto" w:fill="auto"/>
            <w:noWrap/>
            <w:vAlign w:val="center"/>
            <w:hideMark/>
          </w:tcPr>
          <w:p w14:paraId="707D7DF4" w14:textId="77777777" w:rsidR="00411455" w:rsidRPr="00411455" w:rsidRDefault="00411455" w:rsidP="00411455">
            <w:pPr>
              <w:spacing w:after="0" w:line="240" w:lineRule="auto"/>
              <w:jc w:val="right"/>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 xml:space="preserve">      13.114 </w:t>
            </w:r>
          </w:p>
        </w:tc>
        <w:tc>
          <w:tcPr>
            <w:tcW w:w="1126" w:type="pct"/>
            <w:tcBorders>
              <w:top w:val="nil"/>
              <w:left w:val="nil"/>
              <w:bottom w:val="single" w:sz="8" w:space="0" w:color="auto"/>
              <w:right w:val="single" w:sz="8" w:space="0" w:color="auto"/>
            </w:tcBorders>
            <w:shd w:val="clear" w:color="auto" w:fill="auto"/>
            <w:noWrap/>
            <w:vAlign w:val="center"/>
            <w:hideMark/>
          </w:tcPr>
          <w:p w14:paraId="1955E384" w14:textId="77777777" w:rsidR="00411455" w:rsidRPr="00411455" w:rsidRDefault="00411455" w:rsidP="00411455">
            <w:pPr>
              <w:spacing w:after="0" w:line="240" w:lineRule="auto"/>
              <w:jc w:val="right"/>
              <w:rPr>
                <w:rFonts w:ascii="Arial" w:eastAsia="Times New Roman" w:hAnsi="Arial" w:cs="Arial"/>
                <w:b/>
                <w:bCs/>
                <w:color w:val="000000"/>
                <w:kern w:val="0"/>
                <w:sz w:val="18"/>
                <w:szCs w:val="18"/>
                <w:lang w:eastAsia="pt-BR"/>
                <w14:ligatures w14:val="none"/>
              </w:rPr>
            </w:pPr>
            <w:r w:rsidRPr="00411455">
              <w:rPr>
                <w:rFonts w:ascii="Arial" w:eastAsia="Times New Roman" w:hAnsi="Arial" w:cs="Arial"/>
                <w:b/>
                <w:bCs/>
                <w:color w:val="000000"/>
                <w:kern w:val="0"/>
                <w:sz w:val="18"/>
                <w:szCs w:val="18"/>
                <w:lang w:eastAsia="pt-BR"/>
                <w14:ligatures w14:val="none"/>
              </w:rPr>
              <w:t xml:space="preserve">      12.418 </w:t>
            </w:r>
          </w:p>
        </w:tc>
      </w:tr>
    </w:tbl>
    <w:p w14:paraId="38FDC97E" w14:textId="0F983DAE" w:rsidR="007A23F8" w:rsidRPr="007A23F8" w:rsidRDefault="007A23F8" w:rsidP="007A23F8">
      <w:pPr>
        <w:autoSpaceDE w:val="0"/>
        <w:autoSpaceDN w:val="0"/>
        <w:adjustRightInd w:val="0"/>
        <w:spacing w:after="0" w:line="240" w:lineRule="auto"/>
        <w:jc w:val="both"/>
        <w:rPr>
          <w:rFonts w:ascii="Calibri" w:eastAsia="Times New Roman" w:hAnsi="Calibri" w:cs="Calibri"/>
          <w:b/>
          <w:bCs/>
          <w:iCs/>
          <w:color w:val="002060"/>
          <w:kern w:val="0"/>
          <w14:ligatures w14:val="none"/>
        </w:rPr>
      </w:pPr>
      <w:bookmarkStart w:id="406" w:name="_Toc491337739"/>
      <w:r>
        <w:rPr>
          <w:rFonts w:ascii="Calibri" w:eastAsia="Times New Roman" w:hAnsi="Calibri" w:cs="Calibri"/>
          <w:b/>
          <w:bCs/>
          <w:iCs/>
          <w:color w:val="002060"/>
          <w:kern w:val="0"/>
          <w14:ligatures w14:val="none"/>
        </w:rPr>
        <w:t xml:space="preserve">17. </w:t>
      </w:r>
      <w:r w:rsidRPr="007A23F8">
        <w:rPr>
          <w:rFonts w:ascii="Calibri" w:eastAsia="Times New Roman" w:hAnsi="Calibri" w:cs="Calibri"/>
          <w:b/>
          <w:bCs/>
          <w:iCs/>
          <w:color w:val="002060"/>
          <w:kern w:val="0"/>
          <w14:ligatures w14:val="none"/>
        </w:rPr>
        <w:t>PROVISÃO PARA PROGRAMA DE INDENIZAÇÃO POR SERVIÇOS PRESTADOS (PISP)</w:t>
      </w:r>
      <w:bookmarkEnd w:id="406"/>
    </w:p>
    <w:p w14:paraId="3F1AD873" w14:textId="77777777" w:rsidR="007A23F8" w:rsidRPr="007A23F8" w:rsidRDefault="007A23F8" w:rsidP="007A23F8">
      <w:pPr>
        <w:autoSpaceDE w:val="0"/>
        <w:autoSpaceDN w:val="0"/>
        <w:adjustRightInd w:val="0"/>
        <w:spacing w:after="0" w:line="240" w:lineRule="auto"/>
        <w:jc w:val="both"/>
        <w:rPr>
          <w:rFonts w:ascii="Calibri" w:eastAsia="Times New Roman" w:hAnsi="Calibri" w:cs="Calibri"/>
          <w:iCs/>
          <w:color w:val="002060"/>
          <w:kern w:val="0"/>
          <w14:ligatures w14:val="none"/>
        </w:rPr>
      </w:pPr>
      <w:r w:rsidRPr="007A23F8">
        <w:rPr>
          <w:rFonts w:ascii="Calibri" w:eastAsia="Times New Roman" w:hAnsi="Calibri" w:cs="Calibri"/>
          <w:iCs/>
          <w:color w:val="002060"/>
          <w:kern w:val="0"/>
          <w14:ligatures w14:val="none"/>
        </w:rPr>
        <w:t xml:space="preserve">Desde 2013, a Telebras reconheceu no passivo exigível provisão para o Programa de Indenização por Serviços Prestados (PISP). Esta provisão foi constituída para fazer frente à indenização dos colaboradores que são elegíveis para o seu recebimento quando do desligamento da Companhia. Os colaboradores elegíveis ao recebimento são aqueles que não tiveram seus vínculos empregatícios rescindidos após o processo de cisão da Telebras e que aderiram ao plano conforme prazo estabelecido à época. Em 31 de dezembro de 2023, o número de inscritos no programa totaliza 70 colaboradores e o montante provisionado é de R$ 23.676 (R$ 25.656 em 31 de dezembro de 2022). </w:t>
      </w:r>
    </w:p>
    <w:p w14:paraId="706E4712" w14:textId="77777777" w:rsidR="007A23F8" w:rsidRDefault="007A23F8" w:rsidP="007A23F8">
      <w:pPr>
        <w:autoSpaceDE w:val="0"/>
        <w:autoSpaceDN w:val="0"/>
        <w:adjustRightInd w:val="0"/>
        <w:spacing w:after="0" w:line="240" w:lineRule="auto"/>
        <w:jc w:val="both"/>
        <w:rPr>
          <w:rFonts w:ascii="Calibri" w:eastAsia="Times New Roman" w:hAnsi="Calibri" w:cs="Calibri"/>
          <w:iCs/>
          <w:color w:val="002060"/>
          <w:kern w:val="0"/>
          <w14:ligatures w14:val="none"/>
        </w:rPr>
      </w:pPr>
      <w:r w:rsidRPr="007A23F8">
        <w:rPr>
          <w:rFonts w:ascii="Calibri" w:eastAsia="Times New Roman" w:hAnsi="Calibri" w:cs="Calibri"/>
          <w:iCs/>
          <w:color w:val="002060"/>
          <w:kern w:val="0"/>
          <w14:ligatures w14:val="none"/>
        </w:rPr>
        <w:t>A movimentação do PISP no exercício de 2023 está apresentada no quadro a seguir:</w:t>
      </w:r>
    </w:p>
    <w:tbl>
      <w:tblPr>
        <w:tblW w:w="5000" w:type="pct"/>
        <w:tblCellMar>
          <w:left w:w="70" w:type="dxa"/>
          <w:right w:w="70" w:type="dxa"/>
        </w:tblCellMar>
        <w:tblLook w:val="04A0" w:firstRow="1" w:lastRow="0" w:firstColumn="1" w:lastColumn="0" w:noHBand="0" w:noVBand="1"/>
      </w:tblPr>
      <w:tblGrid>
        <w:gridCol w:w="7391"/>
        <w:gridCol w:w="2370"/>
      </w:tblGrid>
      <w:tr w:rsidR="007A23F8" w:rsidRPr="007A23F8" w14:paraId="187E0508" w14:textId="77777777" w:rsidTr="00446A14">
        <w:trPr>
          <w:trHeight w:val="238"/>
        </w:trPr>
        <w:tc>
          <w:tcPr>
            <w:tcW w:w="378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1997B9" w14:textId="77777777" w:rsidR="007A23F8" w:rsidRPr="007A23F8" w:rsidRDefault="007A23F8" w:rsidP="007A23F8">
            <w:pPr>
              <w:spacing w:after="0" w:line="240" w:lineRule="auto"/>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Saldo em 31 de dezembro de 2022</w:t>
            </w:r>
          </w:p>
        </w:tc>
        <w:tc>
          <w:tcPr>
            <w:tcW w:w="1214" w:type="pct"/>
            <w:tcBorders>
              <w:top w:val="single" w:sz="8" w:space="0" w:color="auto"/>
              <w:left w:val="nil"/>
              <w:bottom w:val="single" w:sz="8" w:space="0" w:color="auto"/>
              <w:right w:val="single" w:sz="8" w:space="0" w:color="auto"/>
            </w:tcBorders>
            <w:shd w:val="clear" w:color="auto" w:fill="auto"/>
            <w:noWrap/>
            <w:vAlign w:val="center"/>
            <w:hideMark/>
          </w:tcPr>
          <w:p w14:paraId="53DE76BD"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 xml:space="preserve">      25.656 </w:t>
            </w:r>
          </w:p>
        </w:tc>
      </w:tr>
      <w:tr w:rsidR="007A23F8" w:rsidRPr="007A23F8" w14:paraId="7F94914B" w14:textId="77777777" w:rsidTr="00446A14">
        <w:trPr>
          <w:trHeight w:val="238"/>
        </w:trPr>
        <w:tc>
          <w:tcPr>
            <w:tcW w:w="3786" w:type="pct"/>
            <w:tcBorders>
              <w:top w:val="nil"/>
              <w:left w:val="single" w:sz="8" w:space="0" w:color="auto"/>
              <w:bottom w:val="single" w:sz="8" w:space="0" w:color="auto"/>
              <w:right w:val="single" w:sz="8" w:space="0" w:color="auto"/>
            </w:tcBorders>
            <w:shd w:val="clear" w:color="auto" w:fill="auto"/>
            <w:noWrap/>
            <w:vAlign w:val="center"/>
            <w:hideMark/>
          </w:tcPr>
          <w:p w14:paraId="3593CB9D" w14:textId="77777777" w:rsidR="007A23F8" w:rsidRPr="007A23F8" w:rsidRDefault="007A23F8" w:rsidP="007A23F8">
            <w:pPr>
              <w:spacing w:after="0" w:line="240" w:lineRule="auto"/>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Atualização da Provisão no Período</w:t>
            </w:r>
          </w:p>
        </w:tc>
        <w:tc>
          <w:tcPr>
            <w:tcW w:w="1214" w:type="pct"/>
            <w:tcBorders>
              <w:top w:val="nil"/>
              <w:left w:val="nil"/>
              <w:bottom w:val="single" w:sz="8" w:space="0" w:color="auto"/>
              <w:right w:val="single" w:sz="8" w:space="0" w:color="auto"/>
            </w:tcBorders>
            <w:shd w:val="clear" w:color="auto" w:fill="auto"/>
            <w:noWrap/>
            <w:vAlign w:val="center"/>
            <w:hideMark/>
          </w:tcPr>
          <w:p w14:paraId="01F7195C"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 xml:space="preserve">        1.495 </w:t>
            </w:r>
          </w:p>
        </w:tc>
      </w:tr>
      <w:tr w:rsidR="007A23F8" w:rsidRPr="007A23F8" w14:paraId="57B49BA3" w14:textId="77777777" w:rsidTr="00446A14">
        <w:trPr>
          <w:trHeight w:val="238"/>
        </w:trPr>
        <w:tc>
          <w:tcPr>
            <w:tcW w:w="3786" w:type="pct"/>
            <w:tcBorders>
              <w:top w:val="nil"/>
              <w:left w:val="single" w:sz="8" w:space="0" w:color="auto"/>
              <w:bottom w:val="single" w:sz="8" w:space="0" w:color="auto"/>
              <w:right w:val="single" w:sz="8" w:space="0" w:color="auto"/>
            </w:tcBorders>
            <w:shd w:val="clear" w:color="auto" w:fill="auto"/>
            <w:noWrap/>
            <w:vAlign w:val="center"/>
            <w:hideMark/>
          </w:tcPr>
          <w:p w14:paraId="0196F745" w14:textId="77777777" w:rsidR="007A23F8" w:rsidRPr="007A23F8" w:rsidRDefault="007A23F8" w:rsidP="007A23F8">
            <w:pPr>
              <w:spacing w:after="0" w:line="240" w:lineRule="auto"/>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Baixas</w:t>
            </w:r>
          </w:p>
        </w:tc>
        <w:tc>
          <w:tcPr>
            <w:tcW w:w="1214" w:type="pct"/>
            <w:tcBorders>
              <w:top w:val="nil"/>
              <w:left w:val="nil"/>
              <w:bottom w:val="single" w:sz="8" w:space="0" w:color="auto"/>
              <w:right w:val="single" w:sz="8" w:space="0" w:color="auto"/>
            </w:tcBorders>
            <w:shd w:val="clear" w:color="auto" w:fill="auto"/>
            <w:noWrap/>
            <w:vAlign w:val="center"/>
            <w:hideMark/>
          </w:tcPr>
          <w:p w14:paraId="1798B06A"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 xml:space="preserve">       (3.475)</w:t>
            </w:r>
          </w:p>
        </w:tc>
      </w:tr>
      <w:tr w:rsidR="007A23F8" w:rsidRPr="007A23F8" w14:paraId="2C753246" w14:textId="77777777" w:rsidTr="00446A14">
        <w:trPr>
          <w:trHeight w:val="238"/>
        </w:trPr>
        <w:tc>
          <w:tcPr>
            <w:tcW w:w="3786" w:type="pct"/>
            <w:tcBorders>
              <w:top w:val="nil"/>
              <w:left w:val="single" w:sz="8" w:space="0" w:color="auto"/>
              <w:bottom w:val="single" w:sz="8" w:space="0" w:color="auto"/>
              <w:right w:val="single" w:sz="8" w:space="0" w:color="auto"/>
            </w:tcBorders>
            <w:shd w:val="clear" w:color="auto" w:fill="auto"/>
            <w:noWrap/>
            <w:vAlign w:val="center"/>
            <w:hideMark/>
          </w:tcPr>
          <w:p w14:paraId="46C3AC58" w14:textId="77777777" w:rsidR="007A23F8" w:rsidRPr="007A23F8" w:rsidRDefault="007A23F8" w:rsidP="007A23F8">
            <w:pPr>
              <w:spacing w:after="0" w:line="240" w:lineRule="auto"/>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Saldo em 31 de dezembro de 2023</w:t>
            </w:r>
          </w:p>
        </w:tc>
        <w:tc>
          <w:tcPr>
            <w:tcW w:w="1214" w:type="pct"/>
            <w:tcBorders>
              <w:top w:val="nil"/>
              <w:left w:val="nil"/>
              <w:bottom w:val="single" w:sz="8" w:space="0" w:color="auto"/>
              <w:right w:val="single" w:sz="8" w:space="0" w:color="auto"/>
            </w:tcBorders>
            <w:shd w:val="clear" w:color="auto" w:fill="auto"/>
            <w:noWrap/>
            <w:vAlign w:val="center"/>
            <w:hideMark/>
          </w:tcPr>
          <w:p w14:paraId="5BB79252"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 xml:space="preserve">      23.676 </w:t>
            </w:r>
          </w:p>
        </w:tc>
      </w:tr>
      <w:tr w:rsidR="007A23F8" w:rsidRPr="007A23F8" w14:paraId="344B5451" w14:textId="77777777" w:rsidTr="00446A14">
        <w:trPr>
          <w:trHeight w:val="238"/>
        </w:trPr>
        <w:tc>
          <w:tcPr>
            <w:tcW w:w="3786" w:type="pct"/>
            <w:tcBorders>
              <w:top w:val="nil"/>
              <w:left w:val="single" w:sz="8" w:space="0" w:color="auto"/>
              <w:bottom w:val="single" w:sz="8" w:space="0" w:color="auto"/>
              <w:right w:val="single" w:sz="8" w:space="0" w:color="auto"/>
            </w:tcBorders>
            <w:shd w:val="clear" w:color="auto" w:fill="auto"/>
            <w:noWrap/>
            <w:vAlign w:val="center"/>
            <w:hideMark/>
          </w:tcPr>
          <w:p w14:paraId="27168325" w14:textId="77777777" w:rsidR="007A23F8" w:rsidRPr="007A23F8" w:rsidRDefault="007A23F8" w:rsidP="007A23F8">
            <w:pPr>
              <w:spacing w:after="0" w:line="240" w:lineRule="auto"/>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Circulante</w:t>
            </w:r>
          </w:p>
        </w:tc>
        <w:tc>
          <w:tcPr>
            <w:tcW w:w="1214" w:type="pct"/>
            <w:tcBorders>
              <w:top w:val="nil"/>
              <w:left w:val="nil"/>
              <w:bottom w:val="single" w:sz="8" w:space="0" w:color="auto"/>
              <w:right w:val="single" w:sz="8" w:space="0" w:color="auto"/>
            </w:tcBorders>
            <w:shd w:val="clear" w:color="auto" w:fill="auto"/>
            <w:noWrap/>
            <w:vAlign w:val="center"/>
            <w:hideMark/>
          </w:tcPr>
          <w:p w14:paraId="25B1E282"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 xml:space="preserve">        1.766 </w:t>
            </w:r>
          </w:p>
        </w:tc>
      </w:tr>
      <w:tr w:rsidR="007A23F8" w:rsidRPr="007A23F8" w14:paraId="0802D68C" w14:textId="77777777" w:rsidTr="00446A14">
        <w:trPr>
          <w:trHeight w:val="238"/>
        </w:trPr>
        <w:tc>
          <w:tcPr>
            <w:tcW w:w="3786" w:type="pct"/>
            <w:tcBorders>
              <w:top w:val="nil"/>
              <w:left w:val="single" w:sz="8" w:space="0" w:color="auto"/>
              <w:bottom w:val="single" w:sz="8" w:space="0" w:color="auto"/>
              <w:right w:val="single" w:sz="8" w:space="0" w:color="auto"/>
            </w:tcBorders>
            <w:shd w:val="clear" w:color="auto" w:fill="auto"/>
            <w:noWrap/>
            <w:vAlign w:val="center"/>
            <w:hideMark/>
          </w:tcPr>
          <w:p w14:paraId="48EE7F04" w14:textId="77777777" w:rsidR="007A23F8" w:rsidRPr="007A23F8" w:rsidRDefault="007A23F8" w:rsidP="007A23F8">
            <w:pPr>
              <w:spacing w:after="0" w:line="240" w:lineRule="auto"/>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Não circulante</w:t>
            </w:r>
          </w:p>
        </w:tc>
        <w:tc>
          <w:tcPr>
            <w:tcW w:w="1214" w:type="pct"/>
            <w:tcBorders>
              <w:top w:val="nil"/>
              <w:left w:val="nil"/>
              <w:bottom w:val="single" w:sz="8" w:space="0" w:color="auto"/>
              <w:right w:val="single" w:sz="8" w:space="0" w:color="auto"/>
            </w:tcBorders>
            <w:shd w:val="clear" w:color="auto" w:fill="auto"/>
            <w:noWrap/>
            <w:vAlign w:val="center"/>
            <w:hideMark/>
          </w:tcPr>
          <w:p w14:paraId="008BA342"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 xml:space="preserve">      21.910 </w:t>
            </w:r>
          </w:p>
        </w:tc>
      </w:tr>
    </w:tbl>
    <w:p w14:paraId="7D29B520" w14:textId="3145D22F" w:rsidR="007A23F8" w:rsidRPr="007A23F8" w:rsidRDefault="007A23F8" w:rsidP="007A23F8">
      <w:pPr>
        <w:autoSpaceDE w:val="0"/>
        <w:autoSpaceDN w:val="0"/>
        <w:adjustRightInd w:val="0"/>
        <w:spacing w:after="0" w:line="240" w:lineRule="auto"/>
        <w:jc w:val="both"/>
        <w:rPr>
          <w:rFonts w:ascii="Calibri" w:eastAsia="Times New Roman" w:hAnsi="Calibri" w:cs="Calibri"/>
          <w:b/>
          <w:bCs/>
          <w:iCs/>
          <w:color w:val="002060"/>
          <w:kern w:val="0"/>
          <w14:ligatures w14:val="none"/>
        </w:rPr>
      </w:pPr>
      <w:bookmarkStart w:id="407" w:name="_Toc491337740"/>
      <w:r>
        <w:rPr>
          <w:rFonts w:ascii="Calibri" w:eastAsia="Times New Roman" w:hAnsi="Calibri" w:cs="Calibri"/>
          <w:b/>
          <w:bCs/>
          <w:iCs/>
          <w:color w:val="002060"/>
          <w:kern w:val="0"/>
          <w14:ligatures w14:val="none"/>
        </w:rPr>
        <w:t xml:space="preserve">18. </w:t>
      </w:r>
      <w:r w:rsidRPr="007A23F8">
        <w:rPr>
          <w:rFonts w:ascii="Calibri" w:eastAsia="Times New Roman" w:hAnsi="Calibri" w:cs="Calibri"/>
          <w:b/>
          <w:bCs/>
          <w:iCs/>
          <w:color w:val="002060"/>
          <w:kern w:val="0"/>
          <w14:ligatures w14:val="none"/>
        </w:rPr>
        <w:t>GRUPAMENTO DE AÇÕES (Leilão de frações)</w:t>
      </w:r>
      <w:bookmarkEnd w:id="407"/>
    </w:p>
    <w:p w14:paraId="2D0096FA" w14:textId="77777777" w:rsidR="007A23F8" w:rsidRPr="007A23F8" w:rsidRDefault="007A23F8" w:rsidP="007A23F8">
      <w:pPr>
        <w:autoSpaceDE w:val="0"/>
        <w:autoSpaceDN w:val="0"/>
        <w:adjustRightInd w:val="0"/>
        <w:spacing w:after="0" w:line="240" w:lineRule="auto"/>
        <w:jc w:val="both"/>
        <w:rPr>
          <w:rFonts w:ascii="Calibri" w:eastAsia="Times New Roman" w:hAnsi="Calibri" w:cs="Calibri"/>
          <w:iCs/>
          <w:color w:val="002060"/>
          <w:kern w:val="0"/>
          <w14:ligatures w14:val="none"/>
        </w:rPr>
      </w:pPr>
      <w:r w:rsidRPr="007A23F8">
        <w:rPr>
          <w:rFonts w:ascii="Calibri" w:eastAsia="Times New Roman" w:hAnsi="Calibri" w:cs="Calibri"/>
          <w:iCs/>
          <w:color w:val="002060"/>
          <w:kern w:val="0"/>
          <w14:ligatures w14:val="none"/>
        </w:rPr>
        <w:t xml:space="preserve">Representa os valores arrecadados com a realização dos leilões das frações de ações após o processo de grupamento. Em junho de 2021, a Companhia baixou R$ 13.086 relativo ao valor arrecadado no grupamento de ações realizado no ano de 2011. A baixa ocorreu devido à prescrição do direito dos acionistas objeto daquele grupamento reclamarem o valor que lhes era devido. Após a baixa, o saldo remanescente nessa rubrica se refere ao grupamento de ações realizado no ano de 2018, no montante de R$ 680. Este valor aguarda a manifestação dos acionistas que detêm o direito de receber tais valores para que o pagamento seja realizado. </w:t>
      </w:r>
    </w:p>
    <w:p w14:paraId="1E2E4CDC" w14:textId="311FB1D6" w:rsidR="007A23F8" w:rsidRDefault="007A23F8" w:rsidP="007A23F8">
      <w:pPr>
        <w:autoSpaceDE w:val="0"/>
        <w:autoSpaceDN w:val="0"/>
        <w:adjustRightInd w:val="0"/>
        <w:spacing w:after="0" w:line="240" w:lineRule="auto"/>
        <w:jc w:val="both"/>
        <w:rPr>
          <w:rFonts w:ascii="Calibri" w:eastAsia="Times New Roman" w:hAnsi="Calibri" w:cs="Calibri"/>
          <w:b/>
          <w:bCs/>
          <w:iCs/>
          <w:color w:val="002060"/>
          <w:kern w:val="0"/>
          <w14:ligatures w14:val="none"/>
        </w:rPr>
      </w:pPr>
      <w:bookmarkStart w:id="408" w:name="_Toc491337741"/>
      <w:r w:rsidRPr="007A23F8">
        <w:rPr>
          <w:rFonts w:ascii="Calibri" w:eastAsia="Times New Roman" w:hAnsi="Calibri" w:cs="Calibri"/>
          <w:b/>
          <w:bCs/>
          <w:iCs/>
          <w:color w:val="002060"/>
          <w:kern w:val="0"/>
          <w14:ligatures w14:val="none"/>
        </w:rPr>
        <w:t>19. FORNECEDORES</w:t>
      </w:r>
      <w:bookmarkEnd w:id="408"/>
    </w:p>
    <w:tbl>
      <w:tblPr>
        <w:tblW w:w="5000" w:type="pct"/>
        <w:tblCellMar>
          <w:left w:w="70" w:type="dxa"/>
          <w:right w:w="70" w:type="dxa"/>
        </w:tblCellMar>
        <w:tblLook w:val="04A0" w:firstRow="1" w:lastRow="0" w:firstColumn="1" w:lastColumn="0" w:noHBand="0" w:noVBand="1"/>
      </w:tblPr>
      <w:tblGrid>
        <w:gridCol w:w="6041"/>
        <w:gridCol w:w="1860"/>
        <w:gridCol w:w="1860"/>
      </w:tblGrid>
      <w:tr w:rsidR="007A23F8" w:rsidRPr="007A23F8" w14:paraId="31F300BE" w14:textId="77777777" w:rsidTr="00446A14">
        <w:trPr>
          <w:trHeight w:val="238"/>
          <w:tblHeader/>
        </w:trPr>
        <w:tc>
          <w:tcPr>
            <w:tcW w:w="3094" w:type="pct"/>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7ADCDBE0" w14:textId="77777777" w:rsidR="007A23F8" w:rsidRPr="007A23F8" w:rsidRDefault="007A23F8" w:rsidP="007A23F8">
            <w:pPr>
              <w:spacing w:after="0" w:line="240" w:lineRule="auto"/>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Composição: </w:t>
            </w:r>
          </w:p>
        </w:tc>
        <w:tc>
          <w:tcPr>
            <w:tcW w:w="953" w:type="pct"/>
            <w:tcBorders>
              <w:top w:val="single" w:sz="8" w:space="0" w:color="auto"/>
              <w:left w:val="nil"/>
              <w:bottom w:val="single" w:sz="8" w:space="0" w:color="auto"/>
              <w:right w:val="single" w:sz="8" w:space="0" w:color="auto"/>
            </w:tcBorders>
            <w:shd w:val="clear" w:color="auto" w:fill="auto"/>
            <w:noWrap/>
            <w:vAlign w:val="center"/>
            <w:hideMark/>
          </w:tcPr>
          <w:p w14:paraId="05EC2201" w14:textId="77777777" w:rsidR="007A23F8" w:rsidRPr="007A23F8" w:rsidRDefault="007A23F8" w:rsidP="007A23F8">
            <w:pPr>
              <w:spacing w:after="0" w:line="240" w:lineRule="auto"/>
              <w:jc w:val="center"/>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31/12/2023</w:t>
            </w:r>
          </w:p>
        </w:tc>
        <w:tc>
          <w:tcPr>
            <w:tcW w:w="953" w:type="pct"/>
            <w:tcBorders>
              <w:top w:val="single" w:sz="8" w:space="0" w:color="auto"/>
              <w:left w:val="nil"/>
              <w:bottom w:val="single" w:sz="8" w:space="0" w:color="auto"/>
              <w:right w:val="single" w:sz="8" w:space="0" w:color="auto"/>
            </w:tcBorders>
            <w:shd w:val="clear" w:color="auto" w:fill="auto"/>
            <w:noWrap/>
            <w:vAlign w:val="center"/>
            <w:hideMark/>
          </w:tcPr>
          <w:p w14:paraId="4EE13D21" w14:textId="77777777" w:rsidR="007A23F8" w:rsidRPr="007A23F8" w:rsidRDefault="007A23F8" w:rsidP="007A23F8">
            <w:pPr>
              <w:spacing w:after="0" w:line="240" w:lineRule="auto"/>
              <w:jc w:val="center"/>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31/12/2022</w:t>
            </w:r>
          </w:p>
        </w:tc>
      </w:tr>
      <w:tr w:rsidR="007A23F8" w:rsidRPr="007A23F8" w14:paraId="2A953F73" w14:textId="77777777" w:rsidTr="00446A14">
        <w:trPr>
          <w:trHeight w:val="238"/>
        </w:trPr>
        <w:tc>
          <w:tcPr>
            <w:tcW w:w="3094" w:type="pct"/>
            <w:tcBorders>
              <w:top w:val="nil"/>
              <w:left w:val="single" w:sz="8" w:space="0" w:color="auto"/>
              <w:bottom w:val="single" w:sz="8" w:space="0" w:color="auto"/>
              <w:right w:val="single" w:sz="8" w:space="0" w:color="auto"/>
            </w:tcBorders>
            <w:shd w:val="clear" w:color="auto" w:fill="auto"/>
            <w:noWrap/>
            <w:vAlign w:val="center"/>
            <w:hideMark/>
          </w:tcPr>
          <w:p w14:paraId="52704620" w14:textId="77777777" w:rsidR="007A23F8" w:rsidRPr="007A23F8" w:rsidRDefault="007A23F8" w:rsidP="007A23F8">
            <w:pPr>
              <w:spacing w:after="0" w:line="240" w:lineRule="auto"/>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Fornecedores de Operação</w:t>
            </w:r>
          </w:p>
        </w:tc>
        <w:tc>
          <w:tcPr>
            <w:tcW w:w="953" w:type="pct"/>
            <w:tcBorders>
              <w:top w:val="nil"/>
              <w:left w:val="nil"/>
              <w:bottom w:val="single" w:sz="8" w:space="0" w:color="auto"/>
              <w:right w:val="single" w:sz="8" w:space="0" w:color="auto"/>
            </w:tcBorders>
            <w:shd w:val="clear" w:color="auto" w:fill="auto"/>
            <w:noWrap/>
            <w:vAlign w:val="center"/>
            <w:hideMark/>
          </w:tcPr>
          <w:p w14:paraId="383F0FF1"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87.151</w:t>
            </w:r>
          </w:p>
        </w:tc>
        <w:tc>
          <w:tcPr>
            <w:tcW w:w="953" w:type="pct"/>
            <w:tcBorders>
              <w:top w:val="nil"/>
              <w:left w:val="nil"/>
              <w:bottom w:val="single" w:sz="8" w:space="0" w:color="auto"/>
              <w:right w:val="single" w:sz="8" w:space="0" w:color="auto"/>
            </w:tcBorders>
            <w:shd w:val="clear" w:color="auto" w:fill="auto"/>
            <w:noWrap/>
            <w:vAlign w:val="center"/>
            <w:hideMark/>
          </w:tcPr>
          <w:p w14:paraId="665373FB"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86.572</w:t>
            </w:r>
          </w:p>
        </w:tc>
      </w:tr>
      <w:tr w:rsidR="007A23F8" w:rsidRPr="007A23F8" w14:paraId="41D0579B" w14:textId="77777777" w:rsidTr="00446A14">
        <w:trPr>
          <w:trHeight w:val="238"/>
        </w:trPr>
        <w:tc>
          <w:tcPr>
            <w:tcW w:w="3094" w:type="pct"/>
            <w:tcBorders>
              <w:top w:val="nil"/>
              <w:left w:val="single" w:sz="8" w:space="0" w:color="auto"/>
              <w:bottom w:val="single" w:sz="8" w:space="0" w:color="auto"/>
              <w:right w:val="single" w:sz="8" w:space="0" w:color="auto"/>
            </w:tcBorders>
            <w:shd w:val="clear" w:color="auto" w:fill="auto"/>
            <w:noWrap/>
            <w:vAlign w:val="center"/>
            <w:hideMark/>
          </w:tcPr>
          <w:p w14:paraId="3AAFDB65" w14:textId="77777777" w:rsidR="007A23F8" w:rsidRPr="007A23F8" w:rsidRDefault="007A23F8" w:rsidP="007A23F8">
            <w:pPr>
              <w:spacing w:after="0" w:line="240" w:lineRule="auto"/>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Fornecedores de Expansão</w:t>
            </w:r>
          </w:p>
        </w:tc>
        <w:tc>
          <w:tcPr>
            <w:tcW w:w="953" w:type="pct"/>
            <w:tcBorders>
              <w:top w:val="nil"/>
              <w:left w:val="nil"/>
              <w:bottom w:val="single" w:sz="8" w:space="0" w:color="auto"/>
              <w:right w:val="single" w:sz="8" w:space="0" w:color="auto"/>
            </w:tcBorders>
            <w:shd w:val="clear" w:color="auto" w:fill="auto"/>
            <w:noWrap/>
            <w:vAlign w:val="center"/>
            <w:hideMark/>
          </w:tcPr>
          <w:p w14:paraId="07808983"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35.568</w:t>
            </w:r>
          </w:p>
        </w:tc>
        <w:tc>
          <w:tcPr>
            <w:tcW w:w="953" w:type="pct"/>
            <w:tcBorders>
              <w:top w:val="nil"/>
              <w:left w:val="nil"/>
              <w:bottom w:val="single" w:sz="8" w:space="0" w:color="auto"/>
              <w:right w:val="single" w:sz="8" w:space="0" w:color="auto"/>
            </w:tcBorders>
            <w:shd w:val="clear" w:color="auto" w:fill="auto"/>
            <w:noWrap/>
            <w:vAlign w:val="center"/>
            <w:hideMark/>
          </w:tcPr>
          <w:p w14:paraId="69281591"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20.271</w:t>
            </w:r>
          </w:p>
        </w:tc>
      </w:tr>
      <w:tr w:rsidR="007A23F8" w:rsidRPr="007A23F8" w14:paraId="3B36E45B" w14:textId="77777777" w:rsidTr="00446A14">
        <w:trPr>
          <w:trHeight w:val="238"/>
        </w:trPr>
        <w:tc>
          <w:tcPr>
            <w:tcW w:w="3094" w:type="pct"/>
            <w:tcBorders>
              <w:top w:val="nil"/>
              <w:left w:val="single" w:sz="8" w:space="0" w:color="auto"/>
              <w:bottom w:val="single" w:sz="8" w:space="0" w:color="auto"/>
              <w:right w:val="single" w:sz="8" w:space="0" w:color="auto"/>
            </w:tcBorders>
            <w:shd w:val="clear" w:color="auto" w:fill="auto"/>
            <w:noWrap/>
            <w:vAlign w:val="center"/>
            <w:hideMark/>
          </w:tcPr>
          <w:p w14:paraId="70BDBFC7" w14:textId="77777777" w:rsidR="007A23F8" w:rsidRPr="007A23F8" w:rsidRDefault="007A23F8" w:rsidP="007A23F8">
            <w:pPr>
              <w:spacing w:after="0" w:line="240" w:lineRule="auto"/>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Total</w:t>
            </w:r>
          </w:p>
        </w:tc>
        <w:tc>
          <w:tcPr>
            <w:tcW w:w="953" w:type="pct"/>
            <w:tcBorders>
              <w:top w:val="nil"/>
              <w:left w:val="nil"/>
              <w:bottom w:val="single" w:sz="8" w:space="0" w:color="auto"/>
              <w:right w:val="single" w:sz="8" w:space="0" w:color="auto"/>
            </w:tcBorders>
            <w:shd w:val="clear" w:color="auto" w:fill="auto"/>
            <w:noWrap/>
            <w:vAlign w:val="center"/>
            <w:hideMark/>
          </w:tcPr>
          <w:p w14:paraId="3A7339C4"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122.719</w:t>
            </w:r>
          </w:p>
        </w:tc>
        <w:tc>
          <w:tcPr>
            <w:tcW w:w="953" w:type="pct"/>
            <w:tcBorders>
              <w:top w:val="nil"/>
              <w:left w:val="nil"/>
              <w:bottom w:val="single" w:sz="8" w:space="0" w:color="auto"/>
              <w:right w:val="single" w:sz="8" w:space="0" w:color="auto"/>
            </w:tcBorders>
            <w:shd w:val="clear" w:color="auto" w:fill="auto"/>
            <w:noWrap/>
            <w:vAlign w:val="center"/>
            <w:hideMark/>
          </w:tcPr>
          <w:p w14:paraId="717BF36F"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106.843</w:t>
            </w:r>
          </w:p>
        </w:tc>
      </w:tr>
      <w:tr w:rsidR="007A23F8" w:rsidRPr="007A23F8" w14:paraId="69BCDADB" w14:textId="77777777" w:rsidTr="00446A14">
        <w:trPr>
          <w:trHeight w:val="238"/>
        </w:trPr>
        <w:tc>
          <w:tcPr>
            <w:tcW w:w="3094" w:type="pct"/>
            <w:tcBorders>
              <w:top w:val="nil"/>
              <w:left w:val="single" w:sz="8" w:space="0" w:color="auto"/>
              <w:bottom w:val="single" w:sz="8" w:space="0" w:color="auto"/>
              <w:right w:val="single" w:sz="8" w:space="0" w:color="auto"/>
            </w:tcBorders>
            <w:shd w:val="clear" w:color="auto" w:fill="auto"/>
            <w:noWrap/>
            <w:vAlign w:val="center"/>
            <w:hideMark/>
          </w:tcPr>
          <w:p w14:paraId="43E35ACA" w14:textId="77777777" w:rsidR="007A23F8" w:rsidRPr="007A23F8" w:rsidRDefault="007A23F8" w:rsidP="007A23F8">
            <w:pPr>
              <w:spacing w:after="0" w:line="240" w:lineRule="auto"/>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Circulante</w:t>
            </w:r>
          </w:p>
        </w:tc>
        <w:tc>
          <w:tcPr>
            <w:tcW w:w="953" w:type="pct"/>
            <w:tcBorders>
              <w:top w:val="nil"/>
              <w:left w:val="nil"/>
              <w:bottom w:val="single" w:sz="8" w:space="0" w:color="auto"/>
              <w:right w:val="single" w:sz="8" w:space="0" w:color="auto"/>
            </w:tcBorders>
            <w:shd w:val="clear" w:color="auto" w:fill="auto"/>
            <w:noWrap/>
            <w:vAlign w:val="center"/>
            <w:hideMark/>
          </w:tcPr>
          <w:p w14:paraId="041EC829"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122.719</w:t>
            </w:r>
          </w:p>
        </w:tc>
        <w:tc>
          <w:tcPr>
            <w:tcW w:w="953" w:type="pct"/>
            <w:tcBorders>
              <w:top w:val="nil"/>
              <w:left w:val="nil"/>
              <w:bottom w:val="single" w:sz="8" w:space="0" w:color="auto"/>
              <w:right w:val="single" w:sz="8" w:space="0" w:color="auto"/>
            </w:tcBorders>
            <w:shd w:val="clear" w:color="auto" w:fill="auto"/>
            <w:noWrap/>
            <w:vAlign w:val="center"/>
            <w:hideMark/>
          </w:tcPr>
          <w:p w14:paraId="2BF17907"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106.843</w:t>
            </w:r>
          </w:p>
        </w:tc>
      </w:tr>
    </w:tbl>
    <w:p w14:paraId="2744B4F5" w14:textId="38282A28" w:rsidR="007A23F8" w:rsidRDefault="007A23F8" w:rsidP="007A23F8">
      <w:pPr>
        <w:autoSpaceDE w:val="0"/>
        <w:autoSpaceDN w:val="0"/>
        <w:adjustRightInd w:val="0"/>
        <w:spacing w:after="0" w:line="276" w:lineRule="auto"/>
        <w:jc w:val="both"/>
        <w:rPr>
          <w:rFonts w:ascii="Calibri" w:eastAsia="Times New Roman" w:hAnsi="Calibri" w:cs="Calibri"/>
          <w:b/>
          <w:bCs/>
          <w:iCs/>
          <w:color w:val="002060"/>
          <w:kern w:val="0"/>
          <w14:ligatures w14:val="none"/>
        </w:rPr>
      </w:pPr>
      <w:bookmarkStart w:id="409" w:name="_Toc491337742"/>
      <w:r>
        <w:rPr>
          <w:rFonts w:ascii="Calibri" w:eastAsia="Times New Roman" w:hAnsi="Calibri" w:cs="Calibri"/>
          <w:b/>
          <w:bCs/>
          <w:iCs/>
          <w:color w:val="002060"/>
          <w:kern w:val="0"/>
          <w14:ligatures w14:val="none"/>
        </w:rPr>
        <w:t xml:space="preserve">20. </w:t>
      </w:r>
      <w:r w:rsidRPr="007A23F8">
        <w:rPr>
          <w:rFonts w:ascii="Calibri" w:eastAsia="Times New Roman" w:hAnsi="Calibri" w:cs="Calibri"/>
          <w:b/>
          <w:bCs/>
          <w:iCs/>
          <w:color w:val="002060"/>
          <w:kern w:val="0"/>
          <w14:ligatures w14:val="none"/>
        </w:rPr>
        <w:t>TRIBUTOS INDIRETOS</w:t>
      </w:r>
      <w:bookmarkEnd w:id="409"/>
    </w:p>
    <w:tbl>
      <w:tblPr>
        <w:tblW w:w="5000" w:type="pct"/>
        <w:tblCellMar>
          <w:left w:w="70" w:type="dxa"/>
          <w:right w:w="70" w:type="dxa"/>
        </w:tblCellMar>
        <w:tblLook w:val="04A0" w:firstRow="1" w:lastRow="0" w:firstColumn="1" w:lastColumn="0" w:noHBand="0" w:noVBand="1"/>
      </w:tblPr>
      <w:tblGrid>
        <w:gridCol w:w="7427"/>
        <w:gridCol w:w="1167"/>
        <w:gridCol w:w="1167"/>
      </w:tblGrid>
      <w:tr w:rsidR="007A23F8" w:rsidRPr="007A23F8" w14:paraId="0CE8CBA8" w14:textId="77777777" w:rsidTr="00446A14">
        <w:trPr>
          <w:trHeight w:val="238"/>
          <w:tblHeader/>
        </w:trPr>
        <w:tc>
          <w:tcPr>
            <w:tcW w:w="3804" w:type="pct"/>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733894E5" w14:textId="77777777" w:rsidR="007A23F8" w:rsidRPr="007A23F8" w:rsidRDefault="007A23F8" w:rsidP="007A23F8">
            <w:pPr>
              <w:spacing w:after="0" w:line="240" w:lineRule="auto"/>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Composição:  </w:t>
            </w:r>
          </w:p>
        </w:tc>
        <w:tc>
          <w:tcPr>
            <w:tcW w:w="598" w:type="pct"/>
            <w:tcBorders>
              <w:top w:val="single" w:sz="8" w:space="0" w:color="auto"/>
              <w:left w:val="nil"/>
              <w:bottom w:val="single" w:sz="8" w:space="0" w:color="auto"/>
              <w:right w:val="single" w:sz="8" w:space="0" w:color="auto"/>
            </w:tcBorders>
            <w:shd w:val="clear" w:color="auto" w:fill="auto"/>
            <w:noWrap/>
            <w:vAlign w:val="center"/>
            <w:hideMark/>
          </w:tcPr>
          <w:p w14:paraId="5CB51851" w14:textId="77777777" w:rsidR="007A23F8" w:rsidRPr="007A23F8" w:rsidRDefault="007A23F8" w:rsidP="007A23F8">
            <w:pPr>
              <w:spacing w:after="0" w:line="240" w:lineRule="auto"/>
              <w:jc w:val="center"/>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31/12/2023</w:t>
            </w:r>
          </w:p>
        </w:tc>
        <w:tc>
          <w:tcPr>
            <w:tcW w:w="598" w:type="pct"/>
            <w:tcBorders>
              <w:top w:val="single" w:sz="8" w:space="0" w:color="auto"/>
              <w:left w:val="nil"/>
              <w:bottom w:val="single" w:sz="8" w:space="0" w:color="auto"/>
              <w:right w:val="single" w:sz="8" w:space="0" w:color="auto"/>
            </w:tcBorders>
            <w:shd w:val="clear" w:color="auto" w:fill="auto"/>
            <w:noWrap/>
            <w:vAlign w:val="center"/>
            <w:hideMark/>
          </w:tcPr>
          <w:p w14:paraId="2A72B079" w14:textId="77777777" w:rsidR="007A23F8" w:rsidRPr="007A23F8" w:rsidRDefault="007A23F8" w:rsidP="007A23F8">
            <w:pPr>
              <w:spacing w:after="0" w:line="240" w:lineRule="auto"/>
              <w:jc w:val="center"/>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31/12/2022</w:t>
            </w:r>
          </w:p>
        </w:tc>
      </w:tr>
      <w:tr w:rsidR="007A23F8" w:rsidRPr="007A23F8" w14:paraId="4552FAF2" w14:textId="77777777" w:rsidTr="00446A14">
        <w:trPr>
          <w:trHeight w:val="238"/>
        </w:trPr>
        <w:tc>
          <w:tcPr>
            <w:tcW w:w="3804" w:type="pct"/>
            <w:tcBorders>
              <w:top w:val="nil"/>
              <w:left w:val="single" w:sz="8" w:space="0" w:color="auto"/>
              <w:bottom w:val="single" w:sz="8" w:space="0" w:color="auto"/>
              <w:right w:val="single" w:sz="8" w:space="0" w:color="auto"/>
            </w:tcBorders>
            <w:shd w:val="clear" w:color="auto" w:fill="auto"/>
            <w:noWrap/>
            <w:vAlign w:val="center"/>
            <w:hideMark/>
          </w:tcPr>
          <w:p w14:paraId="59D99A43" w14:textId="77777777" w:rsidR="007A23F8" w:rsidRPr="007A23F8" w:rsidRDefault="007A23F8" w:rsidP="007A23F8">
            <w:pPr>
              <w:spacing w:after="0" w:line="240" w:lineRule="auto"/>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 xml:space="preserve">Contribuição para o Financiamento da Seguridade Social – </w:t>
            </w:r>
            <w:proofErr w:type="spellStart"/>
            <w:r w:rsidRPr="007A23F8">
              <w:rPr>
                <w:rFonts w:ascii="Arial" w:eastAsia="Times New Roman" w:hAnsi="Arial" w:cs="Arial"/>
                <w:color w:val="000000"/>
                <w:kern w:val="0"/>
                <w:sz w:val="18"/>
                <w:szCs w:val="18"/>
                <w:lang w:eastAsia="pt-BR"/>
                <w14:ligatures w14:val="none"/>
              </w:rPr>
              <w:t>Cofins</w:t>
            </w:r>
            <w:proofErr w:type="spellEnd"/>
          </w:p>
        </w:tc>
        <w:tc>
          <w:tcPr>
            <w:tcW w:w="598" w:type="pct"/>
            <w:tcBorders>
              <w:top w:val="nil"/>
              <w:left w:val="nil"/>
              <w:bottom w:val="single" w:sz="8" w:space="0" w:color="auto"/>
              <w:right w:val="single" w:sz="8" w:space="0" w:color="auto"/>
            </w:tcBorders>
            <w:shd w:val="clear" w:color="auto" w:fill="auto"/>
            <w:noWrap/>
            <w:vAlign w:val="center"/>
            <w:hideMark/>
          </w:tcPr>
          <w:p w14:paraId="0BFFD8F4"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450</w:t>
            </w:r>
          </w:p>
        </w:tc>
        <w:tc>
          <w:tcPr>
            <w:tcW w:w="598" w:type="pct"/>
            <w:tcBorders>
              <w:top w:val="nil"/>
              <w:left w:val="nil"/>
              <w:bottom w:val="single" w:sz="8" w:space="0" w:color="auto"/>
              <w:right w:val="single" w:sz="8" w:space="0" w:color="auto"/>
            </w:tcBorders>
            <w:shd w:val="clear" w:color="auto" w:fill="auto"/>
            <w:noWrap/>
            <w:vAlign w:val="center"/>
            <w:hideMark/>
          </w:tcPr>
          <w:p w14:paraId="7132CF98"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90</w:t>
            </w:r>
          </w:p>
        </w:tc>
      </w:tr>
      <w:tr w:rsidR="007A23F8" w:rsidRPr="007A23F8" w14:paraId="7452B8EE" w14:textId="77777777" w:rsidTr="00446A14">
        <w:trPr>
          <w:trHeight w:val="238"/>
        </w:trPr>
        <w:tc>
          <w:tcPr>
            <w:tcW w:w="3804" w:type="pct"/>
            <w:tcBorders>
              <w:top w:val="nil"/>
              <w:left w:val="single" w:sz="8" w:space="0" w:color="auto"/>
              <w:bottom w:val="single" w:sz="8" w:space="0" w:color="auto"/>
              <w:right w:val="single" w:sz="8" w:space="0" w:color="auto"/>
            </w:tcBorders>
            <w:shd w:val="clear" w:color="auto" w:fill="auto"/>
            <w:vAlign w:val="center"/>
            <w:hideMark/>
          </w:tcPr>
          <w:p w14:paraId="1B71F227" w14:textId="77777777" w:rsidR="007A23F8" w:rsidRPr="007A23F8" w:rsidRDefault="007A23F8" w:rsidP="007A23F8">
            <w:pPr>
              <w:spacing w:after="0" w:line="240" w:lineRule="auto"/>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 xml:space="preserve">Fundo de Universalização dos Serviços de Telecomunicações – </w:t>
            </w:r>
            <w:proofErr w:type="spellStart"/>
            <w:r w:rsidRPr="007A23F8">
              <w:rPr>
                <w:rFonts w:ascii="Arial" w:eastAsia="Times New Roman" w:hAnsi="Arial" w:cs="Arial"/>
                <w:color w:val="000000"/>
                <w:kern w:val="0"/>
                <w:sz w:val="18"/>
                <w:szCs w:val="18"/>
                <w:lang w:eastAsia="pt-BR"/>
                <w14:ligatures w14:val="none"/>
              </w:rPr>
              <w:t>Fust</w:t>
            </w:r>
            <w:proofErr w:type="spellEnd"/>
          </w:p>
        </w:tc>
        <w:tc>
          <w:tcPr>
            <w:tcW w:w="598" w:type="pct"/>
            <w:tcBorders>
              <w:top w:val="nil"/>
              <w:left w:val="nil"/>
              <w:bottom w:val="single" w:sz="8" w:space="0" w:color="auto"/>
              <w:right w:val="single" w:sz="8" w:space="0" w:color="auto"/>
            </w:tcBorders>
            <w:shd w:val="clear" w:color="auto" w:fill="auto"/>
            <w:noWrap/>
            <w:vAlign w:val="center"/>
            <w:hideMark/>
          </w:tcPr>
          <w:p w14:paraId="7D638CA5"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306</w:t>
            </w:r>
          </w:p>
        </w:tc>
        <w:tc>
          <w:tcPr>
            <w:tcW w:w="598" w:type="pct"/>
            <w:tcBorders>
              <w:top w:val="nil"/>
              <w:left w:val="nil"/>
              <w:bottom w:val="single" w:sz="8" w:space="0" w:color="auto"/>
              <w:right w:val="single" w:sz="8" w:space="0" w:color="auto"/>
            </w:tcBorders>
            <w:shd w:val="clear" w:color="auto" w:fill="auto"/>
            <w:noWrap/>
            <w:vAlign w:val="center"/>
            <w:hideMark/>
          </w:tcPr>
          <w:p w14:paraId="6F1784E8"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261</w:t>
            </w:r>
          </w:p>
        </w:tc>
      </w:tr>
      <w:tr w:rsidR="007A23F8" w:rsidRPr="007A23F8" w14:paraId="66EE963D" w14:textId="77777777" w:rsidTr="00446A14">
        <w:trPr>
          <w:trHeight w:val="238"/>
        </w:trPr>
        <w:tc>
          <w:tcPr>
            <w:tcW w:w="3804" w:type="pct"/>
            <w:tcBorders>
              <w:top w:val="nil"/>
              <w:left w:val="single" w:sz="8" w:space="0" w:color="auto"/>
              <w:bottom w:val="single" w:sz="8" w:space="0" w:color="auto"/>
              <w:right w:val="single" w:sz="8" w:space="0" w:color="auto"/>
            </w:tcBorders>
            <w:shd w:val="clear" w:color="auto" w:fill="auto"/>
            <w:vAlign w:val="center"/>
            <w:hideMark/>
          </w:tcPr>
          <w:p w14:paraId="248D7E05" w14:textId="77777777" w:rsidR="007A23F8" w:rsidRPr="007A23F8" w:rsidRDefault="007A23F8" w:rsidP="007A23F8">
            <w:pPr>
              <w:spacing w:after="0" w:line="240" w:lineRule="auto"/>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Fundo para o Desenvolvimento Tecnológico das Telecomunicações – Funttel</w:t>
            </w:r>
          </w:p>
        </w:tc>
        <w:tc>
          <w:tcPr>
            <w:tcW w:w="598" w:type="pct"/>
            <w:tcBorders>
              <w:top w:val="nil"/>
              <w:left w:val="nil"/>
              <w:bottom w:val="single" w:sz="8" w:space="0" w:color="auto"/>
              <w:right w:val="single" w:sz="8" w:space="0" w:color="auto"/>
            </w:tcBorders>
            <w:shd w:val="clear" w:color="auto" w:fill="auto"/>
            <w:noWrap/>
            <w:vAlign w:val="center"/>
            <w:hideMark/>
          </w:tcPr>
          <w:p w14:paraId="63284D85"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153</w:t>
            </w:r>
          </w:p>
        </w:tc>
        <w:tc>
          <w:tcPr>
            <w:tcW w:w="598" w:type="pct"/>
            <w:tcBorders>
              <w:top w:val="nil"/>
              <w:left w:val="nil"/>
              <w:bottom w:val="single" w:sz="8" w:space="0" w:color="auto"/>
              <w:right w:val="single" w:sz="8" w:space="0" w:color="auto"/>
            </w:tcBorders>
            <w:shd w:val="clear" w:color="auto" w:fill="auto"/>
            <w:noWrap/>
            <w:vAlign w:val="center"/>
            <w:hideMark/>
          </w:tcPr>
          <w:p w14:paraId="1C32E101"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131</w:t>
            </w:r>
          </w:p>
        </w:tc>
      </w:tr>
      <w:tr w:rsidR="007A23F8" w:rsidRPr="007A23F8" w14:paraId="61273A46" w14:textId="77777777" w:rsidTr="00446A14">
        <w:trPr>
          <w:trHeight w:val="238"/>
        </w:trPr>
        <w:tc>
          <w:tcPr>
            <w:tcW w:w="3804" w:type="pct"/>
            <w:tcBorders>
              <w:top w:val="nil"/>
              <w:left w:val="single" w:sz="8" w:space="0" w:color="auto"/>
              <w:bottom w:val="single" w:sz="8" w:space="0" w:color="auto"/>
              <w:right w:val="single" w:sz="8" w:space="0" w:color="auto"/>
            </w:tcBorders>
            <w:shd w:val="clear" w:color="auto" w:fill="auto"/>
            <w:vAlign w:val="center"/>
            <w:hideMark/>
          </w:tcPr>
          <w:p w14:paraId="6A0688CF" w14:textId="77777777" w:rsidR="007A23F8" w:rsidRPr="007A23F8" w:rsidRDefault="007A23F8" w:rsidP="007A23F8">
            <w:pPr>
              <w:spacing w:after="0" w:line="240" w:lineRule="auto"/>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 xml:space="preserve">Programa de Integração Social - PIS </w:t>
            </w:r>
          </w:p>
        </w:tc>
        <w:tc>
          <w:tcPr>
            <w:tcW w:w="598" w:type="pct"/>
            <w:tcBorders>
              <w:top w:val="nil"/>
              <w:left w:val="nil"/>
              <w:bottom w:val="single" w:sz="8" w:space="0" w:color="auto"/>
              <w:right w:val="single" w:sz="8" w:space="0" w:color="auto"/>
            </w:tcBorders>
            <w:shd w:val="clear" w:color="auto" w:fill="auto"/>
            <w:noWrap/>
            <w:vAlign w:val="center"/>
            <w:hideMark/>
          </w:tcPr>
          <w:p w14:paraId="17BB678F"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98</w:t>
            </w:r>
          </w:p>
        </w:tc>
        <w:tc>
          <w:tcPr>
            <w:tcW w:w="598" w:type="pct"/>
            <w:tcBorders>
              <w:top w:val="nil"/>
              <w:left w:val="nil"/>
              <w:bottom w:val="single" w:sz="8" w:space="0" w:color="auto"/>
              <w:right w:val="single" w:sz="8" w:space="0" w:color="auto"/>
            </w:tcBorders>
            <w:shd w:val="clear" w:color="auto" w:fill="auto"/>
            <w:noWrap/>
            <w:vAlign w:val="center"/>
            <w:hideMark/>
          </w:tcPr>
          <w:p w14:paraId="0B80A42E"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19</w:t>
            </w:r>
          </w:p>
        </w:tc>
      </w:tr>
      <w:tr w:rsidR="007A23F8" w:rsidRPr="007A23F8" w14:paraId="3034DB42" w14:textId="77777777" w:rsidTr="00446A14">
        <w:trPr>
          <w:trHeight w:val="238"/>
        </w:trPr>
        <w:tc>
          <w:tcPr>
            <w:tcW w:w="3804" w:type="pct"/>
            <w:tcBorders>
              <w:top w:val="nil"/>
              <w:left w:val="single" w:sz="8" w:space="0" w:color="auto"/>
              <w:bottom w:val="single" w:sz="8" w:space="0" w:color="auto"/>
              <w:right w:val="single" w:sz="8" w:space="0" w:color="auto"/>
            </w:tcBorders>
            <w:shd w:val="clear" w:color="auto" w:fill="auto"/>
            <w:noWrap/>
            <w:vAlign w:val="center"/>
            <w:hideMark/>
          </w:tcPr>
          <w:p w14:paraId="38F366CC" w14:textId="77777777" w:rsidR="007A23F8" w:rsidRPr="007A23F8" w:rsidRDefault="007A23F8" w:rsidP="007A23F8">
            <w:pPr>
              <w:spacing w:after="0" w:line="240" w:lineRule="auto"/>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Tributos Federais</w:t>
            </w:r>
          </w:p>
        </w:tc>
        <w:tc>
          <w:tcPr>
            <w:tcW w:w="598" w:type="pct"/>
            <w:tcBorders>
              <w:top w:val="nil"/>
              <w:left w:val="nil"/>
              <w:bottom w:val="single" w:sz="8" w:space="0" w:color="auto"/>
              <w:right w:val="single" w:sz="8" w:space="0" w:color="auto"/>
            </w:tcBorders>
            <w:shd w:val="clear" w:color="auto" w:fill="auto"/>
            <w:noWrap/>
            <w:vAlign w:val="center"/>
            <w:hideMark/>
          </w:tcPr>
          <w:p w14:paraId="6CBB7201"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1.007</w:t>
            </w:r>
          </w:p>
        </w:tc>
        <w:tc>
          <w:tcPr>
            <w:tcW w:w="598" w:type="pct"/>
            <w:tcBorders>
              <w:top w:val="nil"/>
              <w:left w:val="nil"/>
              <w:bottom w:val="single" w:sz="8" w:space="0" w:color="auto"/>
              <w:right w:val="single" w:sz="8" w:space="0" w:color="auto"/>
            </w:tcBorders>
            <w:shd w:val="clear" w:color="auto" w:fill="auto"/>
            <w:noWrap/>
            <w:vAlign w:val="center"/>
            <w:hideMark/>
          </w:tcPr>
          <w:p w14:paraId="6E117EA8"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501</w:t>
            </w:r>
          </w:p>
        </w:tc>
      </w:tr>
      <w:tr w:rsidR="007A23F8" w:rsidRPr="007A23F8" w14:paraId="2930E08D" w14:textId="77777777" w:rsidTr="00446A14">
        <w:trPr>
          <w:trHeight w:val="238"/>
        </w:trPr>
        <w:tc>
          <w:tcPr>
            <w:tcW w:w="3804" w:type="pct"/>
            <w:tcBorders>
              <w:top w:val="nil"/>
              <w:left w:val="single" w:sz="8" w:space="0" w:color="auto"/>
              <w:bottom w:val="single" w:sz="8" w:space="0" w:color="auto"/>
              <w:right w:val="single" w:sz="8" w:space="0" w:color="auto"/>
            </w:tcBorders>
            <w:shd w:val="clear" w:color="auto" w:fill="auto"/>
            <w:noWrap/>
            <w:vAlign w:val="center"/>
            <w:hideMark/>
          </w:tcPr>
          <w:p w14:paraId="76CC3FED" w14:textId="77777777" w:rsidR="007A23F8" w:rsidRPr="007A23F8" w:rsidRDefault="007A23F8" w:rsidP="007A23F8">
            <w:pPr>
              <w:spacing w:after="0" w:line="240" w:lineRule="auto"/>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Imposto sobre Circulação de Mercadorias e Prestação de Serviços – ICMS</w:t>
            </w:r>
          </w:p>
        </w:tc>
        <w:tc>
          <w:tcPr>
            <w:tcW w:w="598" w:type="pct"/>
            <w:tcBorders>
              <w:top w:val="nil"/>
              <w:left w:val="nil"/>
              <w:bottom w:val="single" w:sz="8" w:space="0" w:color="auto"/>
              <w:right w:val="single" w:sz="8" w:space="0" w:color="auto"/>
            </w:tcBorders>
            <w:shd w:val="clear" w:color="auto" w:fill="auto"/>
            <w:noWrap/>
            <w:vAlign w:val="center"/>
            <w:hideMark/>
          </w:tcPr>
          <w:p w14:paraId="14BD55D8"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1.447</w:t>
            </w:r>
          </w:p>
        </w:tc>
        <w:tc>
          <w:tcPr>
            <w:tcW w:w="598" w:type="pct"/>
            <w:tcBorders>
              <w:top w:val="nil"/>
              <w:left w:val="nil"/>
              <w:bottom w:val="single" w:sz="8" w:space="0" w:color="auto"/>
              <w:right w:val="single" w:sz="8" w:space="0" w:color="auto"/>
            </w:tcBorders>
            <w:shd w:val="clear" w:color="auto" w:fill="auto"/>
            <w:noWrap/>
            <w:vAlign w:val="center"/>
            <w:hideMark/>
          </w:tcPr>
          <w:p w14:paraId="3E9304ED"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4.895</w:t>
            </w:r>
          </w:p>
        </w:tc>
      </w:tr>
      <w:tr w:rsidR="007A23F8" w:rsidRPr="007A23F8" w14:paraId="282B5097" w14:textId="77777777" w:rsidTr="00446A14">
        <w:trPr>
          <w:trHeight w:val="238"/>
        </w:trPr>
        <w:tc>
          <w:tcPr>
            <w:tcW w:w="3804" w:type="pct"/>
            <w:tcBorders>
              <w:top w:val="nil"/>
              <w:left w:val="single" w:sz="8" w:space="0" w:color="auto"/>
              <w:bottom w:val="single" w:sz="8" w:space="0" w:color="auto"/>
              <w:right w:val="single" w:sz="8" w:space="0" w:color="auto"/>
            </w:tcBorders>
            <w:shd w:val="clear" w:color="auto" w:fill="auto"/>
            <w:noWrap/>
            <w:vAlign w:val="center"/>
            <w:hideMark/>
          </w:tcPr>
          <w:p w14:paraId="53233CA4" w14:textId="77777777" w:rsidR="007A23F8" w:rsidRPr="007A23F8" w:rsidRDefault="007A23F8" w:rsidP="007A23F8">
            <w:pPr>
              <w:spacing w:after="0" w:line="240" w:lineRule="auto"/>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Tributos Estaduais</w:t>
            </w:r>
          </w:p>
        </w:tc>
        <w:tc>
          <w:tcPr>
            <w:tcW w:w="598" w:type="pct"/>
            <w:tcBorders>
              <w:top w:val="nil"/>
              <w:left w:val="nil"/>
              <w:bottom w:val="single" w:sz="8" w:space="0" w:color="auto"/>
              <w:right w:val="single" w:sz="8" w:space="0" w:color="auto"/>
            </w:tcBorders>
            <w:shd w:val="clear" w:color="auto" w:fill="auto"/>
            <w:noWrap/>
            <w:vAlign w:val="center"/>
            <w:hideMark/>
          </w:tcPr>
          <w:p w14:paraId="09DA3AFF"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1.447</w:t>
            </w:r>
          </w:p>
        </w:tc>
        <w:tc>
          <w:tcPr>
            <w:tcW w:w="598" w:type="pct"/>
            <w:tcBorders>
              <w:top w:val="nil"/>
              <w:left w:val="nil"/>
              <w:bottom w:val="single" w:sz="8" w:space="0" w:color="auto"/>
              <w:right w:val="single" w:sz="8" w:space="0" w:color="auto"/>
            </w:tcBorders>
            <w:shd w:val="clear" w:color="auto" w:fill="auto"/>
            <w:noWrap/>
            <w:vAlign w:val="center"/>
            <w:hideMark/>
          </w:tcPr>
          <w:p w14:paraId="1415ECD5"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4.895</w:t>
            </w:r>
          </w:p>
        </w:tc>
      </w:tr>
      <w:tr w:rsidR="007A23F8" w:rsidRPr="007A23F8" w14:paraId="22145704" w14:textId="77777777" w:rsidTr="00446A14">
        <w:trPr>
          <w:trHeight w:val="238"/>
        </w:trPr>
        <w:tc>
          <w:tcPr>
            <w:tcW w:w="3804" w:type="pct"/>
            <w:tcBorders>
              <w:top w:val="nil"/>
              <w:left w:val="single" w:sz="8" w:space="0" w:color="auto"/>
              <w:bottom w:val="single" w:sz="8" w:space="0" w:color="auto"/>
              <w:right w:val="single" w:sz="8" w:space="0" w:color="auto"/>
            </w:tcBorders>
            <w:shd w:val="clear" w:color="auto" w:fill="auto"/>
            <w:noWrap/>
            <w:vAlign w:val="center"/>
            <w:hideMark/>
          </w:tcPr>
          <w:p w14:paraId="20BF86F3" w14:textId="77777777" w:rsidR="007A23F8" w:rsidRPr="007A23F8" w:rsidRDefault="007A23F8" w:rsidP="007A23F8">
            <w:pPr>
              <w:spacing w:after="0" w:line="240" w:lineRule="auto"/>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lastRenderedPageBreak/>
              <w:t>Imposto Sobre Serviços de Qualquer Natureza – ISSQN</w:t>
            </w:r>
          </w:p>
        </w:tc>
        <w:tc>
          <w:tcPr>
            <w:tcW w:w="598" w:type="pct"/>
            <w:tcBorders>
              <w:top w:val="nil"/>
              <w:left w:val="nil"/>
              <w:bottom w:val="single" w:sz="8" w:space="0" w:color="auto"/>
              <w:right w:val="single" w:sz="8" w:space="0" w:color="auto"/>
            </w:tcBorders>
            <w:shd w:val="clear" w:color="auto" w:fill="auto"/>
            <w:noWrap/>
            <w:vAlign w:val="center"/>
            <w:hideMark/>
          </w:tcPr>
          <w:p w14:paraId="6EA8E6CD"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1.012</w:t>
            </w:r>
          </w:p>
        </w:tc>
        <w:tc>
          <w:tcPr>
            <w:tcW w:w="598" w:type="pct"/>
            <w:tcBorders>
              <w:top w:val="nil"/>
              <w:left w:val="nil"/>
              <w:bottom w:val="single" w:sz="8" w:space="0" w:color="auto"/>
              <w:right w:val="single" w:sz="8" w:space="0" w:color="auto"/>
            </w:tcBorders>
            <w:shd w:val="clear" w:color="auto" w:fill="auto"/>
            <w:noWrap/>
            <w:vAlign w:val="center"/>
            <w:hideMark/>
          </w:tcPr>
          <w:p w14:paraId="60AB2E19"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302</w:t>
            </w:r>
          </w:p>
        </w:tc>
      </w:tr>
      <w:tr w:rsidR="007A23F8" w:rsidRPr="007A23F8" w14:paraId="5E0498B9" w14:textId="77777777" w:rsidTr="00446A14">
        <w:trPr>
          <w:trHeight w:val="238"/>
        </w:trPr>
        <w:tc>
          <w:tcPr>
            <w:tcW w:w="3804" w:type="pct"/>
            <w:tcBorders>
              <w:top w:val="nil"/>
              <w:left w:val="single" w:sz="8" w:space="0" w:color="auto"/>
              <w:bottom w:val="single" w:sz="8" w:space="0" w:color="auto"/>
              <w:right w:val="single" w:sz="8" w:space="0" w:color="auto"/>
            </w:tcBorders>
            <w:shd w:val="clear" w:color="auto" w:fill="auto"/>
            <w:noWrap/>
            <w:vAlign w:val="center"/>
            <w:hideMark/>
          </w:tcPr>
          <w:p w14:paraId="015AF771" w14:textId="77777777" w:rsidR="007A23F8" w:rsidRPr="007A23F8" w:rsidRDefault="007A23F8" w:rsidP="007A23F8">
            <w:pPr>
              <w:spacing w:after="0" w:line="240" w:lineRule="auto"/>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Tributos Municipais</w:t>
            </w:r>
          </w:p>
        </w:tc>
        <w:tc>
          <w:tcPr>
            <w:tcW w:w="598" w:type="pct"/>
            <w:tcBorders>
              <w:top w:val="nil"/>
              <w:left w:val="nil"/>
              <w:bottom w:val="single" w:sz="8" w:space="0" w:color="auto"/>
              <w:right w:val="single" w:sz="8" w:space="0" w:color="auto"/>
            </w:tcBorders>
            <w:shd w:val="clear" w:color="auto" w:fill="auto"/>
            <w:noWrap/>
            <w:vAlign w:val="center"/>
            <w:hideMark/>
          </w:tcPr>
          <w:p w14:paraId="19D36C5D"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1.012</w:t>
            </w:r>
          </w:p>
        </w:tc>
        <w:tc>
          <w:tcPr>
            <w:tcW w:w="598" w:type="pct"/>
            <w:tcBorders>
              <w:top w:val="nil"/>
              <w:left w:val="nil"/>
              <w:bottom w:val="single" w:sz="8" w:space="0" w:color="auto"/>
              <w:right w:val="single" w:sz="8" w:space="0" w:color="auto"/>
            </w:tcBorders>
            <w:shd w:val="clear" w:color="auto" w:fill="auto"/>
            <w:noWrap/>
            <w:vAlign w:val="center"/>
            <w:hideMark/>
          </w:tcPr>
          <w:p w14:paraId="5EF0FC1C"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302</w:t>
            </w:r>
          </w:p>
        </w:tc>
      </w:tr>
      <w:tr w:rsidR="007A23F8" w:rsidRPr="007A23F8" w14:paraId="05BEA421" w14:textId="77777777" w:rsidTr="00446A14">
        <w:trPr>
          <w:trHeight w:val="238"/>
        </w:trPr>
        <w:tc>
          <w:tcPr>
            <w:tcW w:w="3804" w:type="pct"/>
            <w:tcBorders>
              <w:top w:val="nil"/>
              <w:left w:val="single" w:sz="8" w:space="0" w:color="auto"/>
              <w:bottom w:val="single" w:sz="8" w:space="0" w:color="auto"/>
              <w:right w:val="single" w:sz="8" w:space="0" w:color="auto"/>
            </w:tcBorders>
            <w:shd w:val="clear" w:color="auto" w:fill="auto"/>
            <w:vAlign w:val="center"/>
            <w:hideMark/>
          </w:tcPr>
          <w:p w14:paraId="7163CB91" w14:textId="77777777" w:rsidR="007A23F8" w:rsidRPr="007A23F8" w:rsidRDefault="007A23F8" w:rsidP="007A23F8">
            <w:pPr>
              <w:spacing w:after="0" w:line="240" w:lineRule="auto"/>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Total</w:t>
            </w:r>
          </w:p>
        </w:tc>
        <w:tc>
          <w:tcPr>
            <w:tcW w:w="598" w:type="pct"/>
            <w:tcBorders>
              <w:top w:val="nil"/>
              <w:left w:val="nil"/>
              <w:bottom w:val="single" w:sz="8" w:space="0" w:color="auto"/>
              <w:right w:val="single" w:sz="8" w:space="0" w:color="auto"/>
            </w:tcBorders>
            <w:shd w:val="clear" w:color="auto" w:fill="auto"/>
            <w:noWrap/>
            <w:vAlign w:val="center"/>
            <w:hideMark/>
          </w:tcPr>
          <w:p w14:paraId="1C857C21"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3.466</w:t>
            </w:r>
          </w:p>
        </w:tc>
        <w:tc>
          <w:tcPr>
            <w:tcW w:w="598" w:type="pct"/>
            <w:tcBorders>
              <w:top w:val="nil"/>
              <w:left w:val="nil"/>
              <w:bottom w:val="single" w:sz="8" w:space="0" w:color="auto"/>
              <w:right w:val="single" w:sz="8" w:space="0" w:color="auto"/>
            </w:tcBorders>
            <w:shd w:val="clear" w:color="auto" w:fill="auto"/>
            <w:noWrap/>
            <w:vAlign w:val="center"/>
            <w:hideMark/>
          </w:tcPr>
          <w:p w14:paraId="47F7BA9B"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5.698</w:t>
            </w:r>
          </w:p>
        </w:tc>
      </w:tr>
      <w:tr w:rsidR="007A23F8" w:rsidRPr="007A23F8" w14:paraId="3AA24680" w14:textId="77777777" w:rsidTr="00446A14">
        <w:trPr>
          <w:trHeight w:val="238"/>
        </w:trPr>
        <w:tc>
          <w:tcPr>
            <w:tcW w:w="3804" w:type="pct"/>
            <w:tcBorders>
              <w:top w:val="nil"/>
              <w:left w:val="single" w:sz="8" w:space="0" w:color="auto"/>
              <w:bottom w:val="single" w:sz="8" w:space="0" w:color="auto"/>
              <w:right w:val="single" w:sz="8" w:space="0" w:color="auto"/>
            </w:tcBorders>
            <w:shd w:val="clear" w:color="auto" w:fill="auto"/>
            <w:vAlign w:val="center"/>
            <w:hideMark/>
          </w:tcPr>
          <w:p w14:paraId="7DAB34F7" w14:textId="77777777" w:rsidR="007A23F8" w:rsidRPr="007A23F8" w:rsidRDefault="007A23F8" w:rsidP="007A23F8">
            <w:pPr>
              <w:spacing w:after="0" w:line="240" w:lineRule="auto"/>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Circulante</w:t>
            </w:r>
          </w:p>
        </w:tc>
        <w:tc>
          <w:tcPr>
            <w:tcW w:w="598" w:type="pct"/>
            <w:tcBorders>
              <w:top w:val="nil"/>
              <w:left w:val="nil"/>
              <w:bottom w:val="single" w:sz="8" w:space="0" w:color="auto"/>
              <w:right w:val="single" w:sz="8" w:space="0" w:color="auto"/>
            </w:tcBorders>
            <w:shd w:val="clear" w:color="auto" w:fill="auto"/>
            <w:noWrap/>
            <w:vAlign w:val="center"/>
            <w:hideMark/>
          </w:tcPr>
          <w:p w14:paraId="2C1BE3AA"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3.466</w:t>
            </w:r>
          </w:p>
        </w:tc>
        <w:tc>
          <w:tcPr>
            <w:tcW w:w="598" w:type="pct"/>
            <w:tcBorders>
              <w:top w:val="nil"/>
              <w:left w:val="nil"/>
              <w:bottom w:val="single" w:sz="8" w:space="0" w:color="auto"/>
              <w:right w:val="single" w:sz="8" w:space="0" w:color="auto"/>
            </w:tcBorders>
            <w:shd w:val="clear" w:color="auto" w:fill="auto"/>
            <w:noWrap/>
            <w:vAlign w:val="center"/>
            <w:hideMark/>
          </w:tcPr>
          <w:p w14:paraId="44F9B504"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5.698</w:t>
            </w:r>
          </w:p>
        </w:tc>
      </w:tr>
    </w:tbl>
    <w:p w14:paraId="3436D8E3" w14:textId="30BC2887" w:rsidR="007A23F8" w:rsidRPr="007A23F8" w:rsidRDefault="007A23F8" w:rsidP="007A23F8">
      <w:pPr>
        <w:autoSpaceDE w:val="0"/>
        <w:autoSpaceDN w:val="0"/>
        <w:adjustRightInd w:val="0"/>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21. </w:t>
      </w:r>
      <w:r w:rsidRPr="007A23F8">
        <w:rPr>
          <w:rFonts w:ascii="Calibri" w:eastAsia="Times New Roman" w:hAnsi="Calibri" w:cs="Calibri"/>
          <w:b/>
          <w:bCs/>
          <w:iCs/>
          <w:color w:val="002060"/>
          <w:kern w:val="0"/>
          <w14:ligatures w14:val="none"/>
        </w:rPr>
        <w:t>PROVISÃO PARA RISCOS TRABALHISTAS, CÍVEIS E FISCAIS</w:t>
      </w:r>
    </w:p>
    <w:p w14:paraId="13CBC952" w14:textId="77777777" w:rsidR="007A23F8" w:rsidRPr="007A23F8" w:rsidRDefault="007A23F8" w:rsidP="007A23F8">
      <w:pPr>
        <w:autoSpaceDE w:val="0"/>
        <w:autoSpaceDN w:val="0"/>
        <w:adjustRightInd w:val="0"/>
        <w:spacing w:after="0" w:line="240" w:lineRule="auto"/>
        <w:jc w:val="both"/>
        <w:rPr>
          <w:rFonts w:ascii="Calibri" w:eastAsia="Times New Roman" w:hAnsi="Calibri" w:cs="Calibri"/>
          <w:iCs/>
          <w:color w:val="002060"/>
          <w:kern w:val="0"/>
          <w14:ligatures w14:val="none"/>
        </w:rPr>
      </w:pPr>
      <w:r w:rsidRPr="007A23F8">
        <w:rPr>
          <w:rFonts w:ascii="Calibri" w:eastAsia="Times New Roman" w:hAnsi="Calibri" w:cs="Calibri"/>
          <w:iCs/>
          <w:color w:val="002060"/>
          <w:kern w:val="0"/>
          <w14:ligatures w14:val="none"/>
        </w:rPr>
        <w:t>A Companhia é parte em processos judiciais e administrativos, perante vários tribunais, oriundos do curso normal de suas operações, envolvendo questões trabalhistas, cíveis, tributárias e outros assuntos. Dessa forma, a Companhia constituiu provisões para as ações cuja expectativa de perda é considerada provável, baseada na avaliação de seus consultores jurídicos, para as quais será necessária uma saída de recursos financeiros para liquidar a obrigação, conforme segue.</w:t>
      </w:r>
    </w:p>
    <w:p w14:paraId="22464C87" w14:textId="4732B1C9" w:rsidR="007A23F8" w:rsidRPr="007A23F8" w:rsidRDefault="007A23F8" w:rsidP="007A23F8">
      <w:pPr>
        <w:autoSpaceDE w:val="0"/>
        <w:autoSpaceDN w:val="0"/>
        <w:adjustRightInd w:val="0"/>
        <w:spacing w:after="0" w:line="240" w:lineRule="auto"/>
        <w:jc w:val="both"/>
        <w:rPr>
          <w:rFonts w:ascii="Calibri" w:eastAsia="Times New Roman" w:hAnsi="Calibri" w:cs="Calibri"/>
          <w:b/>
          <w:bCs/>
          <w:iCs/>
          <w:color w:val="002060"/>
          <w:kern w:val="0"/>
          <w14:ligatures w14:val="none"/>
        </w:rPr>
      </w:pPr>
      <w:bookmarkStart w:id="410" w:name="_Toc491337744"/>
      <w:r>
        <w:rPr>
          <w:rFonts w:ascii="Calibri" w:eastAsia="Times New Roman" w:hAnsi="Calibri" w:cs="Calibri"/>
          <w:b/>
          <w:bCs/>
          <w:iCs/>
          <w:color w:val="002060"/>
          <w:kern w:val="0"/>
          <w14:ligatures w14:val="none"/>
        </w:rPr>
        <w:t xml:space="preserve">21.1. </w:t>
      </w:r>
      <w:r w:rsidRPr="007A23F8">
        <w:rPr>
          <w:rFonts w:ascii="Calibri" w:eastAsia="Times New Roman" w:hAnsi="Calibri" w:cs="Calibri"/>
          <w:b/>
          <w:bCs/>
          <w:iCs/>
          <w:color w:val="002060"/>
          <w:kern w:val="0"/>
          <w14:ligatures w14:val="none"/>
        </w:rPr>
        <w:t>Provisão para riscos prováveis</w:t>
      </w:r>
      <w:bookmarkEnd w:id="410"/>
    </w:p>
    <w:p w14:paraId="5E1D51F3" w14:textId="41CEDCC2" w:rsidR="007A23F8" w:rsidRDefault="007A23F8" w:rsidP="007A23F8">
      <w:pPr>
        <w:autoSpaceDE w:val="0"/>
        <w:autoSpaceDN w:val="0"/>
        <w:adjustRightInd w:val="0"/>
        <w:spacing w:after="0" w:line="240" w:lineRule="auto"/>
        <w:jc w:val="both"/>
        <w:rPr>
          <w:rFonts w:ascii="Calibri" w:eastAsia="Times New Roman" w:hAnsi="Calibri" w:cs="Calibri"/>
          <w:b/>
          <w:bCs/>
          <w:iCs/>
          <w:color w:val="002060"/>
          <w:kern w:val="0"/>
          <w14:ligatures w14:val="none"/>
        </w:rPr>
      </w:pPr>
      <w:bookmarkStart w:id="411" w:name="_Toc491337745"/>
      <w:r>
        <w:rPr>
          <w:rFonts w:ascii="Calibri" w:eastAsia="Times New Roman" w:hAnsi="Calibri" w:cs="Calibri"/>
          <w:b/>
          <w:bCs/>
          <w:iCs/>
          <w:color w:val="002060"/>
          <w:kern w:val="0"/>
          <w14:ligatures w14:val="none"/>
        </w:rPr>
        <w:t xml:space="preserve">21.1.1. </w:t>
      </w:r>
      <w:r w:rsidRPr="007A23F8">
        <w:rPr>
          <w:rFonts w:ascii="Calibri" w:eastAsia="Times New Roman" w:hAnsi="Calibri" w:cs="Calibri"/>
          <w:b/>
          <w:bCs/>
          <w:iCs/>
          <w:color w:val="002060"/>
          <w:kern w:val="0"/>
          <w14:ligatures w14:val="none"/>
        </w:rPr>
        <w:t>Provisão para riscos prováveis líquida de depósitos judiciais</w:t>
      </w:r>
      <w:bookmarkEnd w:id="411"/>
    </w:p>
    <w:tbl>
      <w:tblPr>
        <w:tblW w:w="5000" w:type="pct"/>
        <w:tblCellMar>
          <w:left w:w="70" w:type="dxa"/>
          <w:right w:w="70" w:type="dxa"/>
        </w:tblCellMar>
        <w:tblLook w:val="04A0" w:firstRow="1" w:lastRow="0" w:firstColumn="1" w:lastColumn="0" w:noHBand="0" w:noVBand="1"/>
      </w:tblPr>
      <w:tblGrid>
        <w:gridCol w:w="2924"/>
        <w:gridCol w:w="1281"/>
        <w:gridCol w:w="1101"/>
        <w:gridCol w:w="1062"/>
        <w:gridCol w:w="1281"/>
        <w:gridCol w:w="1101"/>
        <w:gridCol w:w="1011"/>
      </w:tblGrid>
      <w:tr w:rsidR="007A23F8" w:rsidRPr="007A23F8" w14:paraId="6C17A5E1" w14:textId="77777777" w:rsidTr="007A23F8">
        <w:trPr>
          <w:trHeight w:val="238"/>
        </w:trPr>
        <w:tc>
          <w:tcPr>
            <w:tcW w:w="1498"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1353EAA" w14:textId="77777777" w:rsidR="007A23F8" w:rsidRPr="007A23F8" w:rsidRDefault="007A23F8" w:rsidP="007A23F8">
            <w:pPr>
              <w:spacing w:after="0" w:line="240" w:lineRule="auto"/>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Natureza</w:t>
            </w:r>
          </w:p>
        </w:tc>
        <w:tc>
          <w:tcPr>
            <w:tcW w:w="1764" w:type="pct"/>
            <w:gridSpan w:val="3"/>
            <w:tcBorders>
              <w:top w:val="single" w:sz="8" w:space="0" w:color="auto"/>
              <w:left w:val="nil"/>
              <w:bottom w:val="single" w:sz="8" w:space="0" w:color="auto"/>
              <w:right w:val="single" w:sz="8" w:space="0" w:color="000000"/>
            </w:tcBorders>
            <w:shd w:val="clear" w:color="auto" w:fill="auto"/>
            <w:vAlign w:val="center"/>
            <w:hideMark/>
          </w:tcPr>
          <w:p w14:paraId="22B1E7FC" w14:textId="77777777" w:rsidR="007A23F8" w:rsidRPr="007A23F8" w:rsidRDefault="007A23F8" w:rsidP="007A23F8">
            <w:pPr>
              <w:spacing w:after="0" w:line="240" w:lineRule="auto"/>
              <w:jc w:val="center"/>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31/12/2023</w:t>
            </w:r>
          </w:p>
        </w:tc>
        <w:tc>
          <w:tcPr>
            <w:tcW w:w="1738"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1E1D7B80" w14:textId="77777777" w:rsidR="007A23F8" w:rsidRPr="007A23F8" w:rsidRDefault="007A23F8" w:rsidP="007A23F8">
            <w:pPr>
              <w:spacing w:after="0" w:line="240" w:lineRule="auto"/>
              <w:jc w:val="center"/>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31/12/2022</w:t>
            </w:r>
          </w:p>
        </w:tc>
      </w:tr>
      <w:tr w:rsidR="007A23F8" w:rsidRPr="007A23F8" w14:paraId="006D1367" w14:textId="77777777" w:rsidTr="007A23F8">
        <w:trPr>
          <w:trHeight w:val="238"/>
        </w:trPr>
        <w:tc>
          <w:tcPr>
            <w:tcW w:w="1498" w:type="pct"/>
            <w:vMerge/>
            <w:tcBorders>
              <w:top w:val="single" w:sz="8" w:space="0" w:color="auto"/>
              <w:left w:val="single" w:sz="8" w:space="0" w:color="auto"/>
              <w:bottom w:val="single" w:sz="8" w:space="0" w:color="000000"/>
              <w:right w:val="single" w:sz="8" w:space="0" w:color="auto"/>
            </w:tcBorders>
            <w:vAlign w:val="center"/>
            <w:hideMark/>
          </w:tcPr>
          <w:p w14:paraId="62439469" w14:textId="77777777" w:rsidR="007A23F8" w:rsidRPr="007A23F8" w:rsidRDefault="007A23F8" w:rsidP="007A23F8">
            <w:pPr>
              <w:spacing w:after="0" w:line="240" w:lineRule="auto"/>
              <w:rPr>
                <w:rFonts w:ascii="Arial" w:eastAsia="Times New Roman" w:hAnsi="Arial" w:cs="Arial"/>
                <w:b/>
                <w:bCs/>
                <w:color w:val="000000"/>
                <w:kern w:val="0"/>
                <w:sz w:val="18"/>
                <w:szCs w:val="18"/>
                <w:lang w:eastAsia="pt-BR"/>
                <w14:ligatures w14:val="none"/>
              </w:rPr>
            </w:pPr>
          </w:p>
        </w:tc>
        <w:tc>
          <w:tcPr>
            <w:tcW w:w="656" w:type="pct"/>
            <w:tcBorders>
              <w:top w:val="nil"/>
              <w:left w:val="nil"/>
              <w:bottom w:val="single" w:sz="8" w:space="0" w:color="auto"/>
              <w:right w:val="single" w:sz="8" w:space="0" w:color="auto"/>
            </w:tcBorders>
            <w:shd w:val="clear" w:color="auto" w:fill="auto"/>
            <w:vAlign w:val="center"/>
            <w:hideMark/>
          </w:tcPr>
          <w:p w14:paraId="55A15ABB" w14:textId="77777777" w:rsidR="007A23F8" w:rsidRPr="007A23F8" w:rsidRDefault="007A23F8" w:rsidP="007A23F8">
            <w:pPr>
              <w:spacing w:after="0" w:line="240" w:lineRule="auto"/>
              <w:jc w:val="center"/>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Valor Provisionado</w:t>
            </w:r>
          </w:p>
        </w:tc>
        <w:tc>
          <w:tcPr>
            <w:tcW w:w="564" w:type="pct"/>
            <w:tcBorders>
              <w:top w:val="nil"/>
              <w:left w:val="nil"/>
              <w:bottom w:val="single" w:sz="8" w:space="0" w:color="auto"/>
              <w:right w:val="single" w:sz="8" w:space="0" w:color="auto"/>
            </w:tcBorders>
            <w:shd w:val="clear" w:color="auto" w:fill="auto"/>
            <w:vAlign w:val="center"/>
            <w:hideMark/>
          </w:tcPr>
          <w:p w14:paraId="2A22A8ED" w14:textId="77777777" w:rsidR="007A23F8" w:rsidRPr="007A23F8" w:rsidRDefault="007A23F8" w:rsidP="007A23F8">
            <w:pPr>
              <w:spacing w:after="0" w:line="240" w:lineRule="auto"/>
              <w:jc w:val="center"/>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Depósitos Judiciais Vinculados</w:t>
            </w:r>
          </w:p>
        </w:tc>
        <w:tc>
          <w:tcPr>
            <w:tcW w:w="543" w:type="pct"/>
            <w:tcBorders>
              <w:top w:val="nil"/>
              <w:left w:val="nil"/>
              <w:bottom w:val="single" w:sz="8" w:space="0" w:color="auto"/>
              <w:right w:val="single" w:sz="8" w:space="0" w:color="auto"/>
            </w:tcBorders>
            <w:shd w:val="clear" w:color="auto" w:fill="auto"/>
            <w:vAlign w:val="center"/>
            <w:hideMark/>
          </w:tcPr>
          <w:p w14:paraId="0EB762A5" w14:textId="77777777" w:rsidR="007A23F8" w:rsidRPr="007A23F8" w:rsidRDefault="007A23F8" w:rsidP="007A23F8">
            <w:pPr>
              <w:spacing w:after="0" w:line="240" w:lineRule="auto"/>
              <w:jc w:val="center"/>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Provisão Líquida dos Depósitos</w:t>
            </w:r>
          </w:p>
        </w:tc>
        <w:tc>
          <w:tcPr>
            <w:tcW w:w="656" w:type="pct"/>
            <w:tcBorders>
              <w:top w:val="nil"/>
              <w:left w:val="nil"/>
              <w:bottom w:val="single" w:sz="8" w:space="0" w:color="auto"/>
              <w:right w:val="single" w:sz="8" w:space="0" w:color="auto"/>
            </w:tcBorders>
            <w:shd w:val="clear" w:color="auto" w:fill="auto"/>
            <w:vAlign w:val="center"/>
            <w:hideMark/>
          </w:tcPr>
          <w:p w14:paraId="2C4FFF8D" w14:textId="77777777" w:rsidR="007A23F8" w:rsidRPr="007A23F8" w:rsidRDefault="007A23F8" w:rsidP="007A23F8">
            <w:pPr>
              <w:spacing w:after="0" w:line="240" w:lineRule="auto"/>
              <w:jc w:val="center"/>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Valor Provisionado</w:t>
            </w:r>
          </w:p>
        </w:tc>
        <w:tc>
          <w:tcPr>
            <w:tcW w:w="564" w:type="pct"/>
            <w:tcBorders>
              <w:top w:val="nil"/>
              <w:left w:val="nil"/>
              <w:bottom w:val="single" w:sz="8" w:space="0" w:color="auto"/>
              <w:right w:val="single" w:sz="8" w:space="0" w:color="auto"/>
            </w:tcBorders>
            <w:shd w:val="clear" w:color="auto" w:fill="auto"/>
            <w:vAlign w:val="center"/>
            <w:hideMark/>
          </w:tcPr>
          <w:p w14:paraId="140B9320" w14:textId="77777777" w:rsidR="007A23F8" w:rsidRPr="007A23F8" w:rsidRDefault="007A23F8" w:rsidP="007A23F8">
            <w:pPr>
              <w:spacing w:after="0" w:line="240" w:lineRule="auto"/>
              <w:jc w:val="center"/>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Depósitos Judiciais Vinculados</w:t>
            </w:r>
          </w:p>
        </w:tc>
        <w:tc>
          <w:tcPr>
            <w:tcW w:w="518" w:type="pct"/>
            <w:tcBorders>
              <w:top w:val="nil"/>
              <w:left w:val="nil"/>
              <w:bottom w:val="single" w:sz="8" w:space="0" w:color="auto"/>
              <w:right w:val="single" w:sz="8" w:space="0" w:color="auto"/>
            </w:tcBorders>
            <w:shd w:val="clear" w:color="auto" w:fill="auto"/>
            <w:vAlign w:val="center"/>
            <w:hideMark/>
          </w:tcPr>
          <w:p w14:paraId="1B17F05E" w14:textId="77777777" w:rsidR="007A23F8" w:rsidRPr="007A23F8" w:rsidRDefault="007A23F8" w:rsidP="007A23F8">
            <w:pPr>
              <w:spacing w:after="0" w:line="240" w:lineRule="auto"/>
              <w:jc w:val="center"/>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Provisão Líquida dos Depósitos</w:t>
            </w:r>
          </w:p>
        </w:tc>
      </w:tr>
      <w:tr w:rsidR="007A23F8" w:rsidRPr="007A23F8" w14:paraId="60920F00" w14:textId="77777777" w:rsidTr="007A23F8">
        <w:trPr>
          <w:trHeight w:val="238"/>
        </w:trPr>
        <w:tc>
          <w:tcPr>
            <w:tcW w:w="1498" w:type="pct"/>
            <w:vMerge/>
            <w:tcBorders>
              <w:top w:val="single" w:sz="8" w:space="0" w:color="auto"/>
              <w:left w:val="single" w:sz="8" w:space="0" w:color="auto"/>
              <w:bottom w:val="single" w:sz="8" w:space="0" w:color="000000"/>
              <w:right w:val="single" w:sz="8" w:space="0" w:color="auto"/>
            </w:tcBorders>
            <w:vAlign w:val="center"/>
            <w:hideMark/>
          </w:tcPr>
          <w:p w14:paraId="738E144E" w14:textId="77777777" w:rsidR="007A23F8" w:rsidRPr="007A23F8" w:rsidRDefault="007A23F8" w:rsidP="007A23F8">
            <w:pPr>
              <w:spacing w:after="0" w:line="240" w:lineRule="auto"/>
              <w:rPr>
                <w:rFonts w:ascii="Arial" w:eastAsia="Times New Roman" w:hAnsi="Arial" w:cs="Arial"/>
                <w:b/>
                <w:bCs/>
                <w:color w:val="000000"/>
                <w:kern w:val="0"/>
                <w:sz w:val="18"/>
                <w:szCs w:val="18"/>
                <w:lang w:eastAsia="pt-BR"/>
                <w14:ligatures w14:val="none"/>
              </w:rPr>
            </w:pPr>
          </w:p>
        </w:tc>
        <w:tc>
          <w:tcPr>
            <w:tcW w:w="656" w:type="pct"/>
            <w:tcBorders>
              <w:top w:val="nil"/>
              <w:left w:val="nil"/>
              <w:bottom w:val="single" w:sz="8" w:space="0" w:color="auto"/>
              <w:right w:val="single" w:sz="8" w:space="0" w:color="auto"/>
            </w:tcBorders>
            <w:shd w:val="clear" w:color="auto" w:fill="auto"/>
            <w:noWrap/>
            <w:vAlign w:val="center"/>
            <w:hideMark/>
          </w:tcPr>
          <w:p w14:paraId="2CADF5E4" w14:textId="77777777" w:rsidR="007A23F8" w:rsidRPr="007A23F8" w:rsidRDefault="007A23F8" w:rsidP="007A23F8">
            <w:pPr>
              <w:spacing w:after="0" w:line="240" w:lineRule="auto"/>
              <w:jc w:val="center"/>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(A)</w:t>
            </w:r>
          </w:p>
        </w:tc>
        <w:tc>
          <w:tcPr>
            <w:tcW w:w="564" w:type="pct"/>
            <w:tcBorders>
              <w:top w:val="nil"/>
              <w:left w:val="nil"/>
              <w:bottom w:val="single" w:sz="8" w:space="0" w:color="auto"/>
              <w:right w:val="single" w:sz="8" w:space="0" w:color="auto"/>
            </w:tcBorders>
            <w:shd w:val="clear" w:color="auto" w:fill="auto"/>
            <w:noWrap/>
            <w:vAlign w:val="center"/>
            <w:hideMark/>
          </w:tcPr>
          <w:p w14:paraId="28BEED18" w14:textId="77777777" w:rsidR="007A23F8" w:rsidRPr="007A23F8" w:rsidRDefault="007A23F8" w:rsidP="007A23F8">
            <w:pPr>
              <w:spacing w:after="0" w:line="240" w:lineRule="auto"/>
              <w:jc w:val="center"/>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(B)</w:t>
            </w:r>
          </w:p>
        </w:tc>
        <w:tc>
          <w:tcPr>
            <w:tcW w:w="543" w:type="pct"/>
            <w:tcBorders>
              <w:top w:val="nil"/>
              <w:left w:val="nil"/>
              <w:bottom w:val="single" w:sz="8" w:space="0" w:color="auto"/>
              <w:right w:val="single" w:sz="8" w:space="0" w:color="auto"/>
            </w:tcBorders>
            <w:shd w:val="clear" w:color="auto" w:fill="auto"/>
            <w:noWrap/>
            <w:vAlign w:val="center"/>
            <w:hideMark/>
          </w:tcPr>
          <w:p w14:paraId="3F9A6D36" w14:textId="77777777" w:rsidR="007A23F8" w:rsidRPr="007A23F8" w:rsidRDefault="007A23F8" w:rsidP="007A23F8">
            <w:pPr>
              <w:spacing w:after="0" w:line="240" w:lineRule="auto"/>
              <w:jc w:val="center"/>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(A-B)</w:t>
            </w:r>
          </w:p>
        </w:tc>
        <w:tc>
          <w:tcPr>
            <w:tcW w:w="656" w:type="pct"/>
            <w:tcBorders>
              <w:top w:val="nil"/>
              <w:left w:val="nil"/>
              <w:bottom w:val="single" w:sz="8" w:space="0" w:color="auto"/>
              <w:right w:val="single" w:sz="8" w:space="0" w:color="auto"/>
            </w:tcBorders>
            <w:shd w:val="clear" w:color="auto" w:fill="auto"/>
            <w:noWrap/>
            <w:vAlign w:val="center"/>
            <w:hideMark/>
          </w:tcPr>
          <w:p w14:paraId="225C9300" w14:textId="77777777" w:rsidR="007A23F8" w:rsidRPr="007A23F8" w:rsidRDefault="007A23F8" w:rsidP="007A23F8">
            <w:pPr>
              <w:spacing w:after="0" w:line="240" w:lineRule="auto"/>
              <w:jc w:val="center"/>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(A)</w:t>
            </w:r>
          </w:p>
        </w:tc>
        <w:tc>
          <w:tcPr>
            <w:tcW w:w="564" w:type="pct"/>
            <w:tcBorders>
              <w:top w:val="nil"/>
              <w:left w:val="nil"/>
              <w:bottom w:val="single" w:sz="8" w:space="0" w:color="auto"/>
              <w:right w:val="single" w:sz="8" w:space="0" w:color="auto"/>
            </w:tcBorders>
            <w:shd w:val="clear" w:color="auto" w:fill="auto"/>
            <w:noWrap/>
            <w:vAlign w:val="center"/>
            <w:hideMark/>
          </w:tcPr>
          <w:p w14:paraId="54802D6F" w14:textId="77777777" w:rsidR="007A23F8" w:rsidRPr="007A23F8" w:rsidRDefault="007A23F8" w:rsidP="007A23F8">
            <w:pPr>
              <w:spacing w:after="0" w:line="240" w:lineRule="auto"/>
              <w:jc w:val="center"/>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(B)</w:t>
            </w:r>
          </w:p>
        </w:tc>
        <w:tc>
          <w:tcPr>
            <w:tcW w:w="518" w:type="pct"/>
            <w:tcBorders>
              <w:top w:val="nil"/>
              <w:left w:val="nil"/>
              <w:bottom w:val="single" w:sz="8" w:space="0" w:color="auto"/>
              <w:right w:val="single" w:sz="8" w:space="0" w:color="auto"/>
            </w:tcBorders>
            <w:shd w:val="clear" w:color="auto" w:fill="auto"/>
            <w:noWrap/>
            <w:vAlign w:val="center"/>
            <w:hideMark/>
          </w:tcPr>
          <w:p w14:paraId="545BCB46" w14:textId="77777777" w:rsidR="007A23F8" w:rsidRPr="007A23F8" w:rsidRDefault="007A23F8" w:rsidP="007A23F8">
            <w:pPr>
              <w:spacing w:after="0" w:line="240" w:lineRule="auto"/>
              <w:jc w:val="center"/>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(A-B)</w:t>
            </w:r>
          </w:p>
        </w:tc>
      </w:tr>
      <w:tr w:rsidR="007A23F8" w:rsidRPr="007A23F8" w14:paraId="4A7EEB6E" w14:textId="77777777" w:rsidTr="007A23F8">
        <w:trPr>
          <w:trHeight w:val="238"/>
        </w:trPr>
        <w:tc>
          <w:tcPr>
            <w:tcW w:w="1498" w:type="pct"/>
            <w:tcBorders>
              <w:top w:val="nil"/>
              <w:left w:val="single" w:sz="8" w:space="0" w:color="auto"/>
              <w:bottom w:val="single" w:sz="8" w:space="0" w:color="auto"/>
              <w:right w:val="single" w:sz="8" w:space="0" w:color="auto"/>
            </w:tcBorders>
            <w:shd w:val="clear" w:color="auto" w:fill="auto"/>
            <w:noWrap/>
            <w:vAlign w:val="center"/>
            <w:hideMark/>
          </w:tcPr>
          <w:p w14:paraId="5E565348" w14:textId="77777777" w:rsidR="007A23F8" w:rsidRPr="007A23F8" w:rsidRDefault="007A23F8" w:rsidP="007A23F8">
            <w:pPr>
              <w:spacing w:after="0" w:line="240" w:lineRule="auto"/>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Cível</w:t>
            </w:r>
          </w:p>
        </w:tc>
        <w:tc>
          <w:tcPr>
            <w:tcW w:w="656" w:type="pct"/>
            <w:tcBorders>
              <w:top w:val="nil"/>
              <w:left w:val="nil"/>
              <w:bottom w:val="single" w:sz="8" w:space="0" w:color="auto"/>
              <w:right w:val="single" w:sz="8" w:space="0" w:color="auto"/>
            </w:tcBorders>
            <w:shd w:val="clear" w:color="auto" w:fill="auto"/>
            <w:noWrap/>
            <w:vAlign w:val="center"/>
            <w:hideMark/>
          </w:tcPr>
          <w:p w14:paraId="30C5DAA8"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 xml:space="preserve">       48.649 </w:t>
            </w:r>
          </w:p>
        </w:tc>
        <w:tc>
          <w:tcPr>
            <w:tcW w:w="564" w:type="pct"/>
            <w:tcBorders>
              <w:top w:val="nil"/>
              <w:left w:val="nil"/>
              <w:bottom w:val="single" w:sz="8" w:space="0" w:color="auto"/>
              <w:right w:val="single" w:sz="8" w:space="0" w:color="auto"/>
            </w:tcBorders>
            <w:shd w:val="clear" w:color="auto" w:fill="auto"/>
            <w:noWrap/>
            <w:vAlign w:val="center"/>
            <w:hideMark/>
          </w:tcPr>
          <w:p w14:paraId="31622F48"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 xml:space="preserve">          2.041 </w:t>
            </w:r>
          </w:p>
        </w:tc>
        <w:tc>
          <w:tcPr>
            <w:tcW w:w="543" w:type="pct"/>
            <w:tcBorders>
              <w:top w:val="nil"/>
              <w:left w:val="nil"/>
              <w:bottom w:val="single" w:sz="8" w:space="0" w:color="auto"/>
              <w:right w:val="single" w:sz="8" w:space="0" w:color="auto"/>
            </w:tcBorders>
            <w:shd w:val="clear" w:color="auto" w:fill="auto"/>
            <w:noWrap/>
            <w:vAlign w:val="center"/>
            <w:hideMark/>
          </w:tcPr>
          <w:p w14:paraId="1EBCA53D"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 xml:space="preserve">      46.608 </w:t>
            </w:r>
          </w:p>
        </w:tc>
        <w:tc>
          <w:tcPr>
            <w:tcW w:w="656" w:type="pct"/>
            <w:tcBorders>
              <w:top w:val="nil"/>
              <w:left w:val="nil"/>
              <w:bottom w:val="single" w:sz="8" w:space="0" w:color="auto"/>
              <w:right w:val="single" w:sz="8" w:space="0" w:color="auto"/>
            </w:tcBorders>
            <w:shd w:val="clear" w:color="auto" w:fill="auto"/>
            <w:noWrap/>
            <w:vAlign w:val="center"/>
            <w:hideMark/>
          </w:tcPr>
          <w:p w14:paraId="461BE4F5"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 xml:space="preserve"> 49.020 </w:t>
            </w:r>
          </w:p>
        </w:tc>
        <w:tc>
          <w:tcPr>
            <w:tcW w:w="564" w:type="pct"/>
            <w:tcBorders>
              <w:top w:val="nil"/>
              <w:left w:val="nil"/>
              <w:bottom w:val="single" w:sz="8" w:space="0" w:color="auto"/>
              <w:right w:val="single" w:sz="8" w:space="0" w:color="auto"/>
            </w:tcBorders>
            <w:shd w:val="clear" w:color="auto" w:fill="auto"/>
            <w:noWrap/>
            <w:vAlign w:val="center"/>
            <w:hideMark/>
          </w:tcPr>
          <w:p w14:paraId="372B7601"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 xml:space="preserve">    1.726 </w:t>
            </w:r>
          </w:p>
        </w:tc>
        <w:tc>
          <w:tcPr>
            <w:tcW w:w="518" w:type="pct"/>
            <w:tcBorders>
              <w:top w:val="nil"/>
              <w:left w:val="nil"/>
              <w:bottom w:val="single" w:sz="8" w:space="0" w:color="auto"/>
              <w:right w:val="single" w:sz="8" w:space="0" w:color="auto"/>
            </w:tcBorders>
            <w:shd w:val="clear" w:color="auto" w:fill="auto"/>
            <w:noWrap/>
            <w:vAlign w:val="center"/>
            <w:hideMark/>
          </w:tcPr>
          <w:p w14:paraId="195AC687"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 xml:space="preserve">      47.294 </w:t>
            </w:r>
          </w:p>
        </w:tc>
      </w:tr>
      <w:tr w:rsidR="007A23F8" w:rsidRPr="007A23F8" w14:paraId="6BCF2E28" w14:textId="77777777" w:rsidTr="007A23F8">
        <w:trPr>
          <w:trHeight w:val="238"/>
        </w:trPr>
        <w:tc>
          <w:tcPr>
            <w:tcW w:w="1498" w:type="pct"/>
            <w:tcBorders>
              <w:top w:val="nil"/>
              <w:left w:val="single" w:sz="8" w:space="0" w:color="auto"/>
              <w:bottom w:val="single" w:sz="8" w:space="0" w:color="auto"/>
              <w:right w:val="single" w:sz="8" w:space="0" w:color="auto"/>
            </w:tcBorders>
            <w:shd w:val="clear" w:color="auto" w:fill="auto"/>
            <w:noWrap/>
            <w:vAlign w:val="center"/>
            <w:hideMark/>
          </w:tcPr>
          <w:p w14:paraId="021AB242" w14:textId="77777777" w:rsidR="007A23F8" w:rsidRPr="007A23F8" w:rsidRDefault="007A23F8" w:rsidP="007A23F8">
            <w:pPr>
              <w:spacing w:after="0" w:line="240" w:lineRule="auto"/>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Trabalhista</w:t>
            </w:r>
          </w:p>
        </w:tc>
        <w:tc>
          <w:tcPr>
            <w:tcW w:w="656" w:type="pct"/>
            <w:tcBorders>
              <w:top w:val="nil"/>
              <w:left w:val="nil"/>
              <w:bottom w:val="single" w:sz="8" w:space="0" w:color="auto"/>
              <w:right w:val="single" w:sz="8" w:space="0" w:color="auto"/>
            </w:tcBorders>
            <w:shd w:val="clear" w:color="auto" w:fill="auto"/>
            <w:noWrap/>
            <w:vAlign w:val="center"/>
            <w:hideMark/>
          </w:tcPr>
          <w:p w14:paraId="5535328A"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 xml:space="preserve">          9.747 </w:t>
            </w:r>
          </w:p>
        </w:tc>
        <w:tc>
          <w:tcPr>
            <w:tcW w:w="564" w:type="pct"/>
            <w:tcBorders>
              <w:top w:val="nil"/>
              <w:left w:val="nil"/>
              <w:bottom w:val="single" w:sz="8" w:space="0" w:color="auto"/>
              <w:right w:val="single" w:sz="8" w:space="0" w:color="auto"/>
            </w:tcBorders>
            <w:shd w:val="clear" w:color="auto" w:fill="auto"/>
            <w:noWrap/>
            <w:vAlign w:val="center"/>
            <w:hideMark/>
          </w:tcPr>
          <w:p w14:paraId="74E0CA8C"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 xml:space="preserve">             919 </w:t>
            </w:r>
          </w:p>
        </w:tc>
        <w:tc>
          <w:tcPr>
            <w:tcW w:w="543" w:type="pct"/>
            <w:tcBorders>
              <w:top w:val="nil"/>
              <w:left w:val="nil"/>
              <w:bottom w:val="single" w:sz="8" w:space="0" w:color="auto"/>
              <w:right w:val="single" w:sz="8" w:space="0" w:color="auto"/>
            </w:tcBorders>
            <w:shd w:val="clear" w:color="auto" w:fill="auto"/>
            <w:noWrap/>
            <w:vAlign w:val="center"/>
            <w:hideMark/>
          </w:tcPr>
          <w:p w14:paraId="6EC75BB6"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 xml:space="preserve">        8.828 </w:t>
            </w:r>
          </w:p>
        </w:tc>
        <w:tc>
          <w:tcPr>
            <w:tcW w:w="656" w:type="pct"/>
            <w:tcBorders>
              <w:top w:val="nil"/>
              <w:left w:val="nil"/>
              <w:bottom w:val="single" w:sz="8" w:space="0" w:color="auto"/>
              <w:right w:val="single" w:sz="8" w:space="0" w:color="auto"/>
            </w:tcBorders>
            <w:shd w:val="clear" w:color="auto" w:fill="auto"/>
            <w:noWrap/>
            <w:vAlign w:val="center"/>
            <w:hideMark/>
          </w:tcPr>
          <w:p w14:paraId="711642E2"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 xml:space="preserve"> 14.047 </w:t>
            </w:r>
          </w:p>
        </w:tc>
        <w:tc>
          <w:tcPr>
            <w:tcW w:w="564" w:type="pct"/>
            <w:tcBorders>
              <w:top w:val="nil"/>
              <w:left w:val="nil"/>
              <w:bottom w:val="single" w:sz="8" w:space="0" w:color="auto"/>
              <w:right w:val="single" w:sz="8" w:space="0" w:color="auto"/>
            </w:tcBorders>
            <w:shd w:val="clear" w:color="auto" w:fill="auto"/>
            <w:noWrap/>
            <w:vAlign w:val="center"/>
            <w:hideMark/>
          </w:tcPr>
          <w:p w14:paraId="7E10DC59"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 xml:space="preserve">    1.176 </w:t>
            </w:r>
          </w:p>
        </w:tc>
        <w:tc>
          <w:tcPr>
            <w:tcW w:w="518" w:type="pct"/>
            <w:tcBorders>
              <w:top w:val="nil"/>
              <w:left w:val="nil"/>
              <w:bottom w:val="single" w:sz="8" w:space="0" w:color="auto"/>
              <w:right w:val="single" w:sz="8" w:space="0" w:color="auto"/>
            </w:tcBorders>
            <w:shd w:val="clear" w:color="auto" w:fill="auto"/>
            <w:noWrap/>
            <w:vAlign w:val="center"/>
            <w:hideMark/>
          </w:tcPr>
          <w:p w14:paraId="67E23319"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 xml:space="preserve">      12.871 </w:t>
            </w:r>
          </w:p>
        </w:tc>
      </w:tr>
      <w:tr w:rsidR="007A23F8" w:rsidRPr="007A23F8" w14:paraId="403B8595" w14:textId="77777777" w:rsidTr="007A23F8">
        <w:trPr>
          <w:trHeight w:val="238"/>
        </w:trPr>
        <w:tc>
          <w:tcPr>
            <w:tcW w:w="1498" w:type="pct"/>
            <w:tcBorders>
              <w:top w:val="nil"/>
              <w:left w:val="single" w:sz="8" w:space="0" w:color="auto"/>
              <w:bottom w:val="single" w:sz="8" w:space="0" w:color="auto"/>
              <w:right w:val="single" w:sz="8" w:space="0" w:color="auto"/>
            </w:tcBorders>
            <w:shd w:val="clear" w:color="auto" w:fill="auto"/>
            <w:noWrap/>
            <w:vAlign w:val="center"/>
            <w:hideMark/>
          </w:tcPr>
          <w:p w14:paraId="062A99D7" w14:textId="77777777" w:rsidR="007A23F8" w:rsidRPr="007A23F8" w:rsidRDefault="007A23F8" w:rsidP="007A23F8">
            <w:pPr>
              <w:spacing w:after="0" w:line="240" w:lineRule="auto"/>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 xml:space="preserve">Tributária </w:t>
            </w:r>
          </w:p>
        </w:tc>
        <w:tc>
          <w:tcPr>
            <w:tcW w:w="656" w:type="pct"/>
            <w:tcBorders>
              <w:top w:val="nil"/>
              <w:left w:val="nil"/>
              <w:bottom w:val="single" w:sz="8" w:space="0" w:color="auto"/>
              <w:right w:val="single" w:sz="8" w:space="0" w:color="auto"/>
            </w:tcBorders>
            <w:shd w:val="clear" w:color="auto" w:fill="auto"/>
            <w:noWrap/>
            <w:vAlign w:val="center"/>
            <w:hideMark/>
          </w:tcPr>
          <w:p w14:paraId="2B5C7066"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 xml:space="preserve">             489 </w:t>
            </w:r>
          </w:p>
        </w:tc>
        <w:tc>
          <w:tcPr>
            <w:tcW w:w="564" w:type="pct"/>
            <w:tcBorders>
              <w:top w:val="nil"/>
              <w:left w:val="nil"/>
              <w:bottom w:val="single" w:sz="8" w:space="0" w:color="auto"/>
              <w:right w:val="single" w:sz="8" w:space="0" w:color="auto"/>
            </w:tcBorders>
            <w:shd w:val="clear" w:color="auto" w:fill="auto"/>
            <w:noWrap/>
            <w:vAlign w:val="center"/>
            <w:hideMark/>
          </w:tcPr>
          <w:p w14:paraId="1450C1BD"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 xml:space="preserve">             530 </w:t>
            </w:r>
          </w:p>
        </w:tc>
        <w:tc>
          <w:tcPr>
            <w:tcW w:w="543" w:type="pct"/>
            <w:tcBorders>
              <w:top w:val="nil"/>
              <w:left w:val="nil"/>
              <w:bottom w:val="single" w:sz="8" w:space="0" w:color="auto"/>
              <w:right w:val="single" w:sz="8" w:space="0" w:color="auto"/>
            </w:tcBorders>
            <w:shd w:val="clear" w:color="auto" w:fill="auto"/>
            <w:noWrap/>
            <w:vAlign w:val="center"/>
            <w:hideMark/>
          </w:tcPr>
          <w:p w14:paraId="79252A7A"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 xml:space="preserve">            (41)</w:t>
            </w:r>
          </w:p>
        </w:tc>
        <w:tc>
          <w:tcPr>
            <w:tcW w:w="656" w:type="pct"/>
            <w:tcBorders>
              <w:top w:val="nil"/>
              <w:left w:val="nil"/>
              <w:bottom w:val="single" w:sz="8" w:space="0" w:color="auto"/>
              <w:right w:val="single" w:sz="8" w:space="0" w:color="auto"/>
            </w:tcBorders>
            <w:shd w:val="clear" w:color="auto" w:fill="auto"/>
            <w:noWrap/>
            <w:vAlign w:val="center"/>
            <w:hideMark/>
          </w:tcPr>
          <w:p w14:paraId="21DB7AB7"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 xml:space="preserve">      783 </w:t>
            </w:r>
          </w:p>
        </w:tc>
        <w:tc>
          <w:tcPr>
            <w:tcW w:w="564" w:type="pct"/>
            <w:tcBorders>
              <w:top w:val="nil"/>
              <w:left w:val="nil"/>
              <w:bottom w:val="single" w:sz="8" w:space="0" w:color="auto"/>
              <w:right w:val="single" w:sz="8" w:space="0" w:color="auto"/>
            </w:tcBorders>
            <w:shd w:val="clear" w:color="auto" w:fill="auto"/>
            <w:noWrap/>
            <w:vAlign w:val="center"/>
            <w:hideMark/>
          </w:tcPr>
          <w:p w14:paraId="7BFF83A3"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 xml:space="preserve">       479 </w:t>
            </w:r>
          </w:p>
        </w:tc>
        <w:tc>
          <w:tcPr>
            <w:tcW w:w="518" w:type="pct"/>
            <w:tcBorders>
              <w:top w:val="nil"/>
              <w:left w:val="nil"/>
              <w:bottom w:val="single" w:sz="8" w:space="0" w:color="auto"/>
              <w:right w:val="single" w:sz="8" w:space="0" w:color="auto"/>
            </w:tcBorders>
            <w:shd w:val="clear" w:color="auto" w:fill="auto"/>
            <w:noWrap/>
            <w:vAlign w:val="center"/>
            <w:hideMark/>
          </w:tcPr>
          <w:p w14:paraId="1469F728"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 xml:space="preserve">           304 </w:t>
            </w:r>
          </w:p>
        </w:tc>
      </w:tr>
      <w:tr w:rsidR="007A23F8" w:rsidRPr="007A23F8" w14:paraId="521C705E" w14:textId="77777777" w:rsidTr="007A23F8">
        <w:trPr>
          <w:trHeight w:val="238"/>
        </w:trPr>
        <w:tc>
          <w:tcPr>
            <w:tcW w:w="1498" w:type="pct"/>
            <w:tcBorders>
              <w:top w:val="nil"/>
              <w:left w:val="single" w:sz="8" w:space="0" w:color="auto"/>
              <w:bottom w:val="single" w:sz="8" w:space="0" w:color="auto"/>
              <w:right w:val="single" w:sz="8" w:space="0" w:color="auto"/>
            </w:tcBorders>
            <w:shd w:val="clear" w:color="auto" w:fill="auto"/>
            <w:noWrap/>
            <w:vAlign w:val="center"/>
            <w:hideMark/>
          </w:tcPr>
          <w:p w14:paraId="46808CFB" w14:textId="77777777" w:rsidR="007A23F8" w:rsidRPr="007A23F8" w:rsidRDefault="007A23F8" w:rsidP="007A23F8">
            <w:pPr>
              <w:spacing w:after="0" w:line="240" w:lineRule="auto"/>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Total</w:t>
            </w:r>
          </w:p>
        </w:tc>
        <w:tc>
          <w:tcPr>
            <w:tcW w:w="656" w:type="pct"/>
            <w:tcBorders>
              <w:top w:val="nil"/>
              <w:left w:val="nil"/>
              <w:bottom w:val="single" w:sz="8" w:space="0" w:color="auto"/>
              <w:right w:val="single" w:sz="8" w:space="0" w:color="auto"/>
            </w:tcBorders>
            <w:shd w:val="clear" w:color="auto" w:fill="auto"/>
            <w:noWrap/>
            <w:vAlign w:val="center"/>
            <w:hideMark/>
          </w:tcPr>
          <w:p w14:paraId="4CAD4995"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 xml:space="preserve">       58.885 </w:t>
            </w:r>
          </w:p>
        </w:tc>
        <w:tc>
          <w:tcPr>
            <w:tcW w:w="564" w:type="pct"/>
            <w:tcBorders>
              <w:top w:val="nil"/>
              <w:left w:val="nil"/>
              <w:bottom w:val="single" w:sz="8" w:space="0" w:color="auto"/>
              <w:right w:val="single" w:sz="8" w:space="0" w:color="auto"/>
            </w:tcBorders>
            <w:shd w:val="clear" w:color="auto" w:fill="auto"/>
            <w:noWrap/>
            <w:vAlign w:val="center"/>
            <w:hideMark/>
          </w:tcPr>
          <w:p w14:paraId="2EECAF26"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 xml:space="preserve">          3.490 </w:t>
            </w:r>
          </w:p>
        </w:tc>
        <w:tc>
          <w:tcPr>
            <w:tcW w:w="543" w:type="pct"/>
            <w:tcBorders>
              <w:top w:val="nil"/>
              <w:left w:val="nil"/>
              <w:bottom w:val="single" w:sz="8" w:space="0" w:color="auto"/>
              <w:right w:val="single" w:sz="8" w:space="0" w:color="auto"/>
            </w:tcBorders>
            <w:shd w:val="clear" w:color="auto" w:fill="auto"/>
            <w:noWrap/>
            <w:vAlign w:val="center"/>
            <w:hideMark/>
          </w:tcPr>
          <w:p w14:paraId="49080C5C"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 xml:space="preserve">      55.395 </w:t>
            </w:r>
          </w:p>
        </w:tc>
        <w:tc>
          <w:tcPr>
            <w:tcW w:w="656" w:type="pct"/>
            <w:tcBorders>
              <w:top w:val="nil"/>
              <w:left w:val="nil"/>
              <w:bottom w:val="single" w:sz="8" w:space="0" w:color="auto"/>
              <w:right w:val="single" w:sz="8" w:space="0" w:color="auto"/>
            </w:tcBorders>
            <w:shd w:val="clear" w:color="auto" w:fill="auto"/>
            <w:noWrap/>
            <w:vAlign w:val="center"/>
            <w:hideMark/>
          </w:tcPr>
          <w:p w14:paraId="54CF112B"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 xml:space="preserve"> 63.850 </w:t>
            </w:r>
          </w:p>
        </w:tc>
        <w:tc>
          <w:tcPr>
            <w:tcW w:w="564" w:type="pct"/>
            <w:tcBorders>
              <w:top w:val="nil"/>
              <w:left w:val="nil"/>
              <w:bottom w:val="single" w:sz="8" w:space="0" w:color="auto"/>
              <w:right w:val="single" w:sz="8" w:space="0" w:color="auto"/>
            </w:tcBorders>
            <w:shd w:val="clear" w:color="auto" w:fill="auto"/>
            <w:noWrap/>
            <w:vAlign w:val="center"/>
            <w:hideMark/>
          </w:tcPr>
          <w:p w14:paraId="26D2801B"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 xml:space="preserve">    3.381 </w:t>
            </w:r>
          </w:p>
        </w:tc>
        <w:tc>
          <w:tcPr>
            <w:tcW w:w="518" w:type="pct"/>
            <w:tcBorders>
              <w:top w:val="nil"/>
              <w:left w:val="nil"/>
              <w:bottom w:val="single" w:sz="8" w:space="0" w:color="auto"/>
              <w:right w:val="single" w:sz="8" w:space="0" w:color="auto"/>
            </w:tcBorders>
            <w:shd w:val="clear" w:color="auto" w:fill="auto"/>
            <w:noWrap/>
            <w:vAlign w:val="center"/>
            <w:hideMark/>
          </w:tcPr>
          <w:p w14:paraId="74894B58"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 xml:space="preserve">      60.469 </w:t>
            </w:r>
          </w:p>
        </w:tc>
      </w:tr>
      <w:tr w:rsidR="007A23F8" w:rsidRPr="007A23F8" w14:paraId="64D1005B" w14:textId="77777777" w:rsidTr="007A23F8">
        <w:trPr>
          <w:trHeight w:val="238"/>
        </w:trPr>
        <w:tc>
          <w:tcPr>
            <w:tcW w:w="1498" w:type="pct"/>
            <w:tcBorders>
              <w:top w:val="nil"/>
              <w:left w:val="single" w:sz="8" w:space="0" w:color="auto"/>
              <w:bottom w:val="single" w:sz="8" w:space="0" w:color="auto"/>
              <w:right w:val="single" w:sz="8" w:space="0" w:color="auto"/>
            </w:tcBorders>
            <w:shd w:val="clear" w:color="auto" w:fill="auto"/>
            <w:noWrap/>
            <w:vAlign w:val="center"/>
            <w:hideMark/>
          </w:tcPr>
          <w:p w14:paraId="280FBAAA" w14:textId="77777777" w:rsidR="007A23F8" w:rsidRPr="007A23F8" w:rsidRDefault="007A23F8" w:rsidP="007A23F8">
            <w:pPr>
              <w:spacing w:after="0" w:line="240" w:lineRule="auto"/>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 xml:space="preserve">Circulante </w:t>
            </w:r>
          </w:p>
        </w:tc>
        <w:tc>
          <w:tcPr>
            <w:tcW w:w="656" w:type="pct"/>
            <w:tcBorders>
              <w:top w:val="nil"/>
              <w:left w:val="nil"/>
              <w:bottom w:val="single" w:sz="8" w:space="0" w:color="auto"/>
              <w:right w:val="single" w:sz="8" w:space="0" w:color="auto"/>
            </w:tcBorders>
            <w:shd w:val="clear" w:color="auto" w:fill="auto"/>
            <w:noWrap/>
            <w:vAlign w:val="center"/>
            <w:hideMark/>
          </w:tcPr>
          <w:p w14:paraId="7E78D08A"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 xml:space="preserve">          4.295 </w:t>
            </w:r>
          </w:p>
        </w:tc>
        <w:tc>
          <w:tcPr>
            <w:tcW w:w="564" w:type="pct"/>
            <w:tcBorders>
              <w:top w:val="nil"/>
              <w:left w:val="nil"/>
              <w:bottom w:val="single" w:sz="8" w:space="0" w:color="auto"/>
              <w:right w:val="single" w:sz="8" w:space="0" w:color="auto"/>
            </w:tcBorders>
            <w:shd w:val="clear" w:color="auto" w:fill="auto"/>
            <w:noWrap/>
            <w:vAlign w:val="center"/>
            <w:hideMark/>
          </w:tcPr>
          <w:p w14:paraId="7BE53497"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 xml:space="preserve">          1.491 </w:t>
            </w:r>
          </w:p>
        </w:tc>
        <w:tc>
          <w:tcPr>
            <w:tcW w:w="543" w:type="pct"/>
            <w:tcBorders>
              <w:top w:val="nil"/>
              <w:left w:val="nil"/>
              <w:bottom w:val="single" w:sz="8" w:space="0" w:color="auto"/>
              <w:right w:val="single" w:sz="8" w:space="0" w:color="auto"/>
            </w:tcBorders>
            <w:shd w:val="clear" w:color="auto" w:fill="auto"/>
            <w:noWrap/>
            <w:vAlign w:val="center"/>
            <w:hideMark/>
          </w:tcPr>
          <w:p w14:paraId="231F8BCE"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 xml:space="preserve">        2.804 </w:t>
            </w:r>
          </w:p>
        </w:tc>
        <w:tc>
          <w:tcPr>
            <w:tcW w:w="656" w:type="pct"/>
            <w:tcBorders>
              <w:top w:val="nil"/>
              <w:left w:val="nil"/>
              <w:bottom w:val="single" w:sz="8" w:space="0" w:color="auto"/>
              <w:right w:val="single" w:sz="8" w:space="0" w:color="auto"/>
            </w:tcBorders>
            <w:shd w:val="clear" w:color="auto" w:fill="auto"/>
            <w:noWrap/>
            <w:vAlign w:val="center"/>
            <w:hideMark/>
          </w:tcPr>
          <w:p w14:paraId="0C43168F"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 xml:space="preserve"> 12.565 </w:t>
            </w:r>
          </w:p>
        </w:tc>
        <w:tc>
          <w:tcPr>
            <w:tcW w:w="564" w:type="pct"/>
            <w:tcBorders>
              <w:top w:val="nil"/>
              <w:left w:val="nil"/>
              <w:bottom w:val="single" w:sz="8" w:space="0" w:color="auto"/>
              <w:right w:val="single" w:sz="8" w:space="0" w:color="auto"/>
            </w:tcBorders>
            <w:shd w:val="clear" w:color="auto" w:fill="auto"/>
            <w:noWrap/>
            <w:vAlign w:val="center"/>
            <w:hideMark/>
          </w:tcPr>
          <w:p w14:paraId="04C532AF"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 xml:space="preserve">    1.635 </w:t>
            </w:r>
          </w:p>
        </w:tc>
        <w:tc>
          <w:tcPr>
            <w:tcW w:w="518" w:type="pct"/>
            <w:tcBorders>
              <w:top w:val="nil"/>
              <w:left w:val="nil"/>
              <w:bottom w:val="single" w:sz="8" w:space="0" w:color="auto"/>
              <w:right w:val="single" w:sz="8" w:space="0" w:color="auto"/>
            </w:tcBorders>
            <w:shd w:val="clear" w:color="auto" w:fill="auto"/>
            <w:noWrap/>
            <w:vAlign w:val="center"/>
            <w:hideMark/>
          </w:tcPr>
          <w:p w14:paraId="1C362909"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 xml:space="preserve">      10.930 </w:t>
            </w:r>
          </w:p>
        </w:tc>
      </w:tr>
      <w:tr w:rsidR="007A23F8" w:rsidRPr="007A23F8" w14:paraId="5C96001F" w14:textId="77777777" w:rsidTr="007A23F8">
        <w:trPr>
          <w:trHeight w:val="238"/>
        </w:trPr>
        <w:tc>
          <w:tcPr>
            <w:tcW w:w="1498" w:type="pct"/>
            <w:tcBorders>
              <w:top w:val="nil"/>
              <w:left w:val="single" w:sz="8" w:space="0" w:color="auto"/>
              <w:bottom w:val="single" w:sz="8" w:space="0" w:color="auto"/>
              <w:right w:val="single" w:sz="8" w:space="0" w:color="auto"/>
            </w:tcBorders>
            <w:shd w:val="clear" w:color="auto" w:fill="auto"/>
            <w:noWrap/>
            <w:vAlign w:val="center"/>
            <w:hideMark/>
          </w:tcPr>
          <w:p w14:paraId="410784D7" w14:textId="77777777" w:rsidR="007A23F8" w:rsidRPr="007A23F8" w:rsidRDefault="007A23F8" w:rsidP="007A23F8">
            <w:pPr>
              <w:spacing w:after="0" w:line="240" w:lineRule="auto"/>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Não Circulante</w:t>
            </w:r>
          </w:p>
        </w:tc>
        <w:tc>
          <w:tcPr>
            <w:tcW w:w="656" w:type="pct"/>
            <w:tcBorders>
              <w:top w:val="nil"/>
              <w:left w:val="nil"/>
              <w:bottom w:val="single" w:sz="8" w:space="0" w:color="auto"/>
              <w:right w:val="single" w:sz="8" w:space="0" w:color="auto"/>
            </w:tcBorders>
            <w:shd w:val="clear" w:color="auto" w:fill="auto"/>
            <w:noWrap/>
            <w:vAlign w:val="center"/>
            <w:hideMark/>
          </w:tcPr>
          <w:p w14:paraId="58800784"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 xml:space="preserve">       54.590 </w:t>
            </w:r>
          </w:p>
        </w:tc>
        <w:tc>
          <w:tcPr>
            <w:tcW w:w="564" w:type="pct"/>
            <w:tcBorders>
              <w:top w:val="nil"/>
              <w:left w:val="nil"/>
              <w:bottom w:val="single" w:sz="8" w:space="0" w:color="auto"/>
              <w:right w:val="single" w:sz="8" w:space="0" w:color="auto"/>
            </w:tcBorders>
            <w:shd w:val="clear" w:color="auto" w:fill="auto"/>
            <w:noWrap/>
            <w:vAlign w:val="center"/>
            <w:hideMark/>
          </w:tcPr>
          <w:p w14:paraId="42AD43DF"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 xml:space="preserve">          1.999 </w:t>
            </w:r>
          </w:p>
        </w:tc>
        <w:tc>
          <w:tcPr>
            <w:tcW w:w="543" w:type="pct"/>
            <w:tcBorders>
              <w:top w:val="nil"/>
              <w:left w:val="nil"/>
              <w:bottom w:val="single" w:sz="8" w:space="0" w:color="auto"/>
              <w:right w:val="single" w:sz="8" w:space="0" w:color="auto"/>
            </w:tcBorders>
            <w:shd w:val="clear" w:color="auto" w:fill="auto"/>
            <w:noWrap/>
            <w:vAlign w:val="center"/>
            <w:hideMark/>
          </w:tcPr>
          <w:p w14:paraId="0C119197"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 xml:space="preserve">      52.591 </w:t>
            </w:r>
          </w:p>
        </w:tc>
        <w:tc>
          <w:tcPr>
            <w:tcW w:w="656" w:type="pct"/>
            <w:tcBorders>
              <w:top w:val="nil"/>
              <w:left w:val="nil"/>
              <w:bottom w:val="single" w:sz="8" w:space="0" w:color="auto"/>
              <w:right w:val="single" w:sz="8" w:space="0" w:color="auto"/>
            </w:tcBorders>
            <w:shd w:val="clear" w:color="auto" w:fill="auto"/>
            <w:noWrap/>
            <w:vAlign w:val="center"/>
            <w:hideMark/>
          </w:tcPr>
          <w:p w14:paraId="190AFD96"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 xml:space="preserve"> 51.285 </w:t>
            </w:r>
          </w:p>
        </w:tc>
        <w:tc>
          <w:tcPr>
            <w:tcW w:w="564" w:type="pct"/>
            <w:tcBorders>
              <w:top w:val="nil"/>
              <w:left w:val="nil"/>
              <w:bottom w:val="single" w:sz="8" w:space="0" w:color="auto"/>
              <w:right w:val="single" w:sz="8" w:space="0" w:color="auto"/>
            </w:tcBorders>
            <w:shd w:val="clear" w:color="auto" w:fill="auto"/>
            <w:noWrap/>
            <w:vAlign w:val="center"/>
            <w:hideMark/>
          </w:tcPr>
          <w:p w14:paraId="55AF3204"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 xml:space="preserve">    1.746 </w:t>
            </w:r>
          </w:p>
        </w:tc>
        <w:tc>
          <w:tcPr>
            <w:tcW w:w="518" w:type="pct"/>
            <w:tcBorders>
              <w:top w:val="nil"/>
              <w:left w:val="nil"/>
              <w:bottom w:val="single" w:sz="8" w:space="0" w:color="auto"/>
              <w:right w:val="single" w:sz="8" w:space="0" w:color="auto"/>
            </w:tcBorders>
            <w:shd w:val="clear" w:color="auto" w:fill="auto"/>
            <w:noWrap/>
            <w:vAlign w:val="center"/>
            <w:hideMark/>
          </w:tcPr>
          <w:p w14:paraId="3D1EAB14"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 xml:space="preserve">      49.539 </w:t>
            </w:r>
          </w:p>
        </w:tc>
      </w:tr>
    </w:tbl>
    <w:p w14:paraId="7F30D460" w14:textId="7F97CD04" w:rsidR="007A23F8" w:rsidRPr="007A23F8" w:rsidRDefault="007A23F8" w:rsidP="007A23F8">
      <w:pPr>
        <w:autoSpaceDE w:val="0"/>
        <w:autoSpaceDN w:val="0"/>
        <w:adjustRightInd w:val="0"/>
        <w:spacing w:after="0" w:line="240" w:lineRule="auto"/>
        <w:jc w:val="both"/>
        <w:rPr>
          <w:rFonts w:ascii="Calibri" w:eastAsia="Times New Roman" w:hAnsi="Calibri" w:cs="Calibri"/>
          <w:b/>
          <w:bCs/>
          <w:iCs/>
          <w:color w:val="002060"/>
          <w:kern w:val="0"/>
          <w14:ligatures w14:val="none"/>
        </w:rPr>
      </w:pPr>
      <w:bookmarkStart w:id="412" w:name="_Toc491337746"/>
      <w:r>
        <w:rPr>
          <w:rFonts w:ascii="Calibri" w:eastAsia="Times New Roman" w:hAnsi="Calibri" w:cs="Calibri"/>
          <w:b/>
          <w:bCs/>
          <w:iCs/>
          <w:color w:val="002060"/>
          <w:kern w:val="0"/>
          <w14:ligatures w14:val="none"/>
        </w:rPr>
        <w:t xml:space="preserve">21.1.2. </w:t>
      </w:r>
      <w:r w:rsidRPr="007A23F8">
        <w:rPr>
          <w:rFonts w:ascii="Calibri" w:eastAsia="Times New Roman" w:hAnsi="Calibri" w:cs="Calibri"/>
          <w:b/>
          <w:bCs/>
          <w:iCs/>
          <w:color w:val="002060"/>
          <w:kern w:val="0"/>
          <w14:ligatures w14:val="none"/>
        </w:rPr>
        <w:t>Natureza das ações judiciais</w:t>
      </w:r>
      <w:bookmarkEnd w:id="412"/>
    </w:p>
    <w:p w14:paraId="1AB1BA77" w14:textId="77777777" w:rsidR="007A23F8" w:rsidRPr="007A23F8" w:rsidRDefault="007A23F8" w:rsidP="007A23F8">
      <w:pPr>
        <w:autoSpaceDE w:val="0"/>
        <w:autoSpaceDN w:val="0"/>
        <w:adjustRightInd w:val="0"/>
        <w:spacing w:after="0" w:line="240" w:lineRule="auto"/>
        <w:jc w:val="both"/>
        <w:rPr>
          <w:rFonts w:ascii="Calibri" w:eastAsia="Times New Roman" w:hAnsi="Calibri" w:cs="Calibri"/>
          <w:iCs/>
          <w:color w:val="002060"/>
          <w:kern w:val="0"/>
          <w14:ligatures w14:val="none"/>
        </w:rPr>
      </w:pPr>
      <w:r w:rsidRPr="007A23F8">
        <w:rPr>
          <w:rFonts w:ascii="Calibri" w:eastAsia="Times New Roman" w:hAnsi="Calibri" w:cs="Calibri"/>
          <w:iCs/>
          <w:color w:val="002060"/>
          <w:kern w:val="0"/>
          <w14:ligatures w14:val="none"/>
        </w:rPr>
        <w:t>Os detalhes sobre as principais provisões para riscos prováveis de acordo com a natureza das ações são como segue, sendo a melhor expectativa dos desembolsos futuros para esses processos:</w:t>
      </w:r>
    </w:p>
    <w:tbl>
      <w:tblPr>
        <w:tblW w:w="5000" w:type="pct"/>
        <w:tblCellMar>
          <w:left w:w="70" w:type="dxa"/>
          <w:right w:w="70" w:type="dxa"/>
        </w:tblCellMar>
        <w:tblLook w:val="04A0" w:firstRow="1" w:lastRow="0" w:firstColumn="1" w:lastColumn="0" w:noHBand="0" w:noVBand="1"/>
      </w:tblPr>
      <w:tblGrid>
        <w:gridCol w:w="4709"/>
        <w:gridCol w:w="1257"/>
        <w:gridCol w:w="1269"/>
        <w:gridCol w:w="1257"/>
        <w:gridCol w:w="1269"/>
      </w:tblGrid>
      <w:tr w:rsidR="007A23F8" w:rsidRPr="007A23F8" w14:paraId="0FE1484A" w14:textId="77777777" w:rsidTr="00446A14">
        <w:trPr>
          <w:trHeight w:val="238"/>
          <w:tblHeader/>
        </w:trPr>
        <w:tc>
          <w:tcPr>
            <w:tcW w:w="2412"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1A89CA26" w14:textId="77777777" w:rsidR="007A23F8" w:rsidRPr="007A23F8" w:rsidRDefault="007A23F8" w:rsidP="007A23F8">
            <w:pPr>
              <w:spacing w:after="0" w:line="240" w:lineRule="auto"/>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Natureza/Objeto das Ações</w:t>
            </w:r>
          </w:p>
        </w:tc>
        <w:tc>
          <w:tcPr>
            <w:tcW w:w="1938" w:type="pct"/>
            <w:gridSpan w:val="3"/>
            <w:tcBorders>
              <w:top w:val="single" w:sz="8" w:space="0" w:color="auto"/>
              <w:left w:val="nil"/>
              <w:bottom w:val="single" w:sz="8" w:space="0" w:color="auto"/>
              <w:right w:val="single" w:sz="8" w:space="0" w:color="000000"/>
            </w:tcBorders>
            <w:shd w:val="clear" w:color="auto" w:fill="auto"/>
            <w:vAlign w:val="center"/>
            <w:hideMark/>
          </w:tcPr>
          <w:p w14:paraId="331CD511" w14:textId="77777777" w:rsidR="007A23F8" w:rsidRPr="007A23F8" w:rsidRDefault="007A23F8" w:rsidP="007A23F8">
            <w:pPr>
              <w:spacing w:after="0" w:line="240" w:lineRule="auto"/>
              <w:jc w:val="center"/>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31/12/2023</w:t>
            </w:r>
          </w:p>
        </w:tc>
        <w:tc>
          <w:tcPr>
            <w:tcW w:w="650" w:type="pct"/>
            <w:tcBorders>
              <w:top w:val="single" w:sz="8" w:space="0" w:color="auto"/>
              <w:left w:val="nil"/>
              <w:bottom w:val="single" w:sz="8" w:space="0" w:color="auto"/>
              <w:right w:val="single" w:sz="8" w:space="0" w:color="auto"/>
            </w:tcBorders>
            <w:shd w:val="clear" w:color="auto" w:fill="auto"/>
            <w:vAlign w:val="center"/>
            <w:hideMark/>
          </w:tcPr>
          <w:p w14:paraId="7426CF07" w14:textId="77777777" w:rsidR="007A23F8" w:rsidRPr="007A23F8" w:rsidRDefault="007A23F8" w:rsidP="007A23F8">
            <w:pPr>
              <w:spacing w:after="0" w:line="240" w:lineRule="auto"/>
              <w:jc w:val="center"/>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31/12/2022</w:t>
            </w:r>
          </w:p>
        </w:tc>
      </w:tr>
      <w:tr w:rsidR="007A23F8" w:rsidRPr="007A23F8" w14:paraId="14C2B075" w14:textId="77777777" w:rsidTr="00446A14">
        <w:trPr>
          <w:trHeight w:val="238"/>
          <w:tblHeader/>
        </w:trPr>
        <w:tc>
          <w:tcPr>
            <w:tcW w:w="2412" w:type="pct"/>
            <w:vMerge/>
            <w:tcBorders>
              <w:top w:val="single" w:sz="8" w:space="0" w:color="auto"/>
              <w:left w:val="single" w:sz="8" w:space="0" w:color="auto"/>
              <w:bottom w:val="single" w:sz="8" w:space="0" w:color="000000"/>
              <w:right w:val="single" w:sz="8" w:space="0" w:color="auto"/>
            </w:tcBorders>
            <w:vAlign w:val="center"/>
            <w:hideMark/>
          </w:tcPr>
          <w:p w14:paraId="509F0564" w14:textId="77777777" w:rsidR="007A23F8" w:rsidRPr="007A23F8" w:rsidRDefault="007A23F8" w:rsidP="007A23F8">
            <w:pPr>
              <w:spacing w:after="0" w:line="240" w:lineRule="auto"/>
              <w:rPr>
                <w:rFonts w:ascii="Arial" w:eastAsia="Times New Roman" w:hAnsi="Arial" w:cs="Arial"/>
                <w:b/>
                <w:bCs/>
                <w:color w:val="000000"/>
                <w:kern w:val="0"/>
                <w:sz w:val="18"/>
                <w:szCs w:val="18"/>
                <w:lang w:eastAsia="pt-BR"/>
                <w14:ligatures w14:val="none"/>
              </w:rPr>
            </w:pPr>
          </w:p>
        </w:tc>
        <w:tc>
          <w:tcPr>
            <w:tcW w:w="644" w:type="pct"/>
            <w:tcBorders>
              <w:top w:val="nil"/>
              <w:left w:val="nil"/>
              <w:bottom w:val="single" w:sz="8" w:space="0" w:color="auto"/>
              <w:right w:val="single" w:sz="8" w:space="0" w:color="auto"/>
            </w:tcBorders>
            <w:shd w:val="clear" w:color="auto" w:fill="auto"/>
            <w:noWrap/>
            <w:vAlign w:val="center"/>
            <w:hideMark/>
          </w:tcPr>
          <w:p w14:paraId="7F9EA43E" w14:textId="77777777" w:rsidR="007A23F8" w:rsidRPr="007A23F8" w:rsidRDefault="007A23F8" w:rsidP="007A23F8">
            <w:pPr>
              <w:spacing w:after="0" w:line="240" w:lineRule="auto"/>
              <w:jc w:val="center"/>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 xml:space="preserve"> Provisões </w:t>
            </w:r>
          </w:p>
        </w:tc>
        <w:tc>
          <w:tcPr>
            <w:tcW w:w="650" w:type="pct"/>
            <w:tcBorders>
              <w:top w:val="nil"/>
              <w:left w:val="nil"/>
              <w:bottom w:val="single" w:sz="8" w:space="0" w:color="auto"/>
              <w:right w:val="single" w:sz="8" w:space="0" w:color="auto"/>
            </w:tcBorders>
            <w:shd w:val="clear" w:color="auto" w:fill="auto"/>
            <w:vAlign w:val="center"/>
            <w:hideMark/>
          </w:tcPr>
          <w:p w14:paraId="040FD357" w14:textId="77777777" w:rsidR="007A23F8" w:rsidRPr="007A23F8" w:rsidRDefault="007A23F8" w:rsidP="007A23F8">
            <w:pPr>
              <w:spacing w:after="0" w:line="240" w:lineRule="auto"/>
              <w:jc w:val="center"/>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 xml:space="preserve"> Depósitos Judiciais</w:t>
            </w:r>
          </w:p>
        </w:tc>
        <w:tc>
          <w:tcPr>
            <w:tcW w:w="644" w:type="pct"/>
            <w:tcBorders>
              <w:top w:val="nil"/>
              <w:left w:val="nil"/>
              <w:bottom w:val="single" w:sz="8" w:space="0" w:color="auto"/>
              <w:right w:val="single" w:sz="8" w:space="0" w:color="auto"/>
            </w:tcBorders>
            <w:shd w:val="clear" w:color="auto" w:fill="auto"/>
            <w:vAlign w:val="center"/>
            <w:hideMark/>
          </w:tcPr>
          <w:p w14:paraId="6E2B6AF9" w14:textId="77777777" w:rsidR="007A23F8" w:rsidRPr="007A23F8" w:rsidRDefault="007A23F8" w:rsidP="007A23F8">
            <w:pPr>
              <w:spacing w:after="0" w:line="240" w:lineRule="auto"/>
              <w:jc w:val="center"/>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Provisões Líquidas</w:t>
            </w:r>
          </w:p>
        </w:tc>
        <w:tc>
          <w:tcPr>
            <w:tcW w:w="650" w:type="pct"/>
            <w:tcBorders>
              <w:top w:val="nil"/>
              <w:left w:val="nil"/>
              <w:bottom w:val="single" w:sz="8" w:space="0" w:color="auto"/>
              <w:right w:val="single" w:sz="8" w:space="0" w:color="auto"/>
            </w:tcBorders>
            <w:shd w:val="clear" w:color="auto" w:fill="auto"/>
            <w:vAlign w:val="center"/>
            <w:hideMark/>
          </w:tcPr>
          <w:p w14:paraId="12B3BF68" w14:textId="77777777" w:rsidR="007A23F8" w:rsidRPr="007A23F8" w:rsidRDefault="007A23F8" w:rsidP="007A23F8">
            <w:pPr>
              <w:spacing w:after="0" w:line="240" w:lineRule="auto"/>
              <w:jc w:val="center"/>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Provisão Líquida dos Depósitos Judiciais</w:t>
            </w:r>
          </w:p>
        </w:tc>
      </w:tr>
      <w:tr w:rsidR="007A23F8" w:rsidRPr="007A23F8" w14:paraId="619F8357" w14:textId="77777777" w:rsidTr="00446A14">
        <w:trPr>
          <w:trHeight w:val="238"/>
          <w:tblHeader/>
        </w:trPr>
        <w:tc>
          <w:tcPr>
            <w:tcW w:w="2412" w:type="pct"/>
            <w:vMerge/>
            <w:tcBorders>
              <w:top w:val="single" w:sz="8" w:space="0" w:color="auto"/>
              <w:left w:val="single" w:sz="8" w:space="0" w:color="auto"/>
              <w:bottom w:val="single" w:sz="8" w:space="0" w:color="000000"/>
              <w:right w:val="single" w:sz="8" w:space="0" w:color="auto"/>
            </w:tcBorders>
            <w:vAlign w:val="center"/>
            <w:hideMark/>
          </w:tcPr>
          <w:p w14:paraId="0BF82A69" w14:textId="77777777" w:rsidR="007A23F8" w:rsidRPr="007A23F8" w:rsidRDefault="007A23F8" w:rsidP="007A23F8">
            <w:pPr>
              <w:spacing w:after="0" w:line="240" w:lineRule="auto"/>
              <w:rPr>
                <w:rFonts w:ascii="Arial" w:eastAsia="Times New Roman" w:hAnsi="Arial" w:cs="Arial"/>
                <w:b/>
                <w:bCs/>
                <w:color w:val="000000"/>
                <w:kern w:val="0"/>
                <w:sz w:val="18"/>
                <w:szCs w:val="18"/>
                <w:lang w:eastAsia="pt-BR"/>
                <w14:ligatures w14:val="none"/>
              </w:rPr>
            </w:pPr>
          </w:p>
        </w:tc>
        <w:tc>
          <w:tcPr>
            <w:tcW w:w="644" w:type="pct"/>
            <w:tcBorders>
              <w:top w:val="nil"/>
              <w:left w:val="nil"/>
              <w:bottom w:val="single" w:sz="8" w:space="0" w:color="auto"/>
              <w:right w:val="single" w:sz="8" w:space="0" w:color="auto"/>
            </w:tcBorders>
            <w:shd w:val="clear" w:color="auto" w:fill="auto"/>
            <w:noWrap/>
            <w:vAlign w:val="center"/>
            <w:hideMark/>
          </w:tcPr>
          <w:p w14:paraId="4A7FB092" w14:textId="77777777" w:rsidR="007A23F8" w:rsidRPr="007A23F8" w:rsidRDefault="007A23F8" w:rsidP="007A23F8">
            <w:pPr>
              <w:spacing w:after="0" w:line="240" w:lineRule="auto"/>
              <w:jc w:val="center"/>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(A)</w:t>
            </w:r>
          </w:p>
        </w:tc>
        <w:tc>
          <w:tcPr>
            <w:tcW w:w="650" w:type="pct"/>
            <w:tcBorders>
              <w:top w:val="nil"/>
              <w:left w:val="nil"/>
              <w:bottom w:val="single" w:sz="8" w:space="0" w:color="auto"/>
              <w:right w:val="single" w:sz="8" w:space="0" w:color="auto"/>
            </w:tcBorders>
            <w:shd w:val="clear" w:color="auto" w:fill="auto"/>
            <w:noWrap/>
            <w:vAlign w:val="center"/>
            <w:hideMark/>
          </w:tcPr>
          <w:p w14:paraId="1FA5B43F" w14:textId="77777777" w:rsidR="007A23F8" w:rsidRPr="007A23F8" w:rsidRDefault="007A23F8" w:rsidP="007A23F8">
            <w:pPr>
              <w:spacing w:after="0" w:line="240" w:lineRule="auto"/>
              <w:jc w:val="center"/>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(B)</w:t>
            </w:r>
          </w:p>
        </w:tc>
        <w:tc>
          <w:tcPr>
            <w:tcW w:w="644" w:type="pct"/>
            <w:tcBorders>
              <w:top w:val="nil"/>
              <w:left w:val="nil"/>
              <w:bottom w:val="single" w:sz="8" w:space="0" w:color="auto"/>
              <w:right w:val="single" w:sz="8" w:space="0" w:color="auto"/>
            </w:tcBorders>
            <w:shd w:val="clear" w:color="auto" w:fill="auto"/>
            <w:noWrap/>
            <w:vAlign w:val="center"/>
            <w:hideMark/>
          </w:tcPr>
          <w:p w14:paraId="33009B3F" w14:textId="77777777" w:rsidR="007A23F8" w:rsidRPr="007A23F8" w:rsidRDefault="007A23F8" w:rsidP="007A23F8">
            <w:pPr>
              <w:spacing w:after="0" w:line="240" w:lineRule="auto"/>
              <w:jc w:val="center"/>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(A-B)</w:t>
            </w:r>
          </w:p>
        </w:tc>
        <w:tc>
          <w:tcPr>
            <w:tcW w:w="650" w:type="pct"/>
            <w:tcBorders>
              <w:top w:val="nil"/>
              <w:left w:val="nil"/>
              <w:bottom w:val="single" w:sz="8" w:space="0" w:color="auto"/>
              <w:right w:val="single" w:sz="8" w:space="0" w:color="auto"/>
            </w:tcBorders>
            <w:shd w:val="clear" w:color="auto" w:fill="auto"/>
            <w:vAlign w:val="center"/>
            <w:hideMark/>
          </w:tcPr>
          <w:p w14:paraId="395088DE" w14:textId="77777777" w:rsidR="007A23F8" w:rsidRPr="007A23F8" w:rsidRDefault="007A23F8" w:rsidP="007A23F8">
            <w:pPr>
              <w:spacing w:after="0" w:line="240" w:lineRule="auto"/>
              <w:jc w:val="center"/>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(Saldo)</w:t>
            </w:r>
          </w:p>
        </w:tc>
      </w:tr>
      <w:tr w:rsidR="007A23F8" w:rsidRPr="007A23F8" w14:paraId="77C307BE" w14:textId="77777777" w:rsidTr="00446A14">
        <w:trPr>
          <w:trHeight w:val="238"/>
        </w:trPr>
        <w:tc>
          <w:tcPr>
            <w:tcW w:w="2412" w:type="pct"/>
            <w:tcBorders>
              <w:top w:val="nil"/>
              <w:left w:val="single" w:sz="8" w:space="0" w:color="auto"/>
              <w:bottom w:val="single" w:sz="8" w:space="0" w:color="auto"/>
              <w:right w:val="single" w:sz="8" w:space="0" w:color="auto"/>
            </w:tcBorders>
            <w:shd w:val="clear" w:color="auto" w:fill="auto"/>
            <w:vAlign w:val="center"/>
            <w:hideMark/>
          </w:tcPr>
          <w:p w14:paraId="3F7E8084" w14:textId="77777777" w:rsidR="007A23F8" w:rsidRPr="007A23F8" w:rsidRDefault="007A23F8" w:rsidP="007A23F8">
            <w:pPr>
              <w:spacing w:after="0" w:line="240" w:lineRule="auto"/>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Cíveis</w:t>
            </w:r>
          </w:p>
        </w:tc>
        <w:tc>
          <w:tcPr>
            <w:tcW w:w="644" w:type="pct"/>
            <w:tcBorders>
              <w:top w:val="nil"/>
              <w:left w:val="nil"/>
              <w:bottom w:val="single" w:sz="8" w:space="0" w:color="auto"/>
              <w:right w:val="single" w:sz="8" w:space="0" w:color="auto"/>
            </w:tcBorders>
            <w:shd w:val="clear" w:color="auto" w:fill="auto"/>
            <w:noWrap/>
            <w:vAlign w:val="center"/>
            <w:hideMark/>
          </w:tcPr>
          <w:p w14:paraId="73150E9C"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 </w:t>
            </w:r>
          </w:p>
        </w:tc>
        <w:tc>
          <w:tcPr>
            <w:tcW w:w="650" w:type="pct"/>
            <w:tcBorders>
              <w:top w:val="nil"/>
              <w:left w:val="nil"/>
              <w:bottom w:val="single" w:sz="8" w:space="0" w:color="auto"/>
              <w:right w:val="single" w:sz="8" w:space="0" w:color="auto"/>
            </w:tcBorders>
            <w:shd w:val="clear" w:color="auto" w:fill="auto"/>
            <w:noWrap/>
            <w:vAlign w:val="center"/>
            <w:hideMark/>
          </w:tcPr>
          <w:p w14:paraId="09DE5B87"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 </w:t>
            </w:r>
          </w:p>
        </w:tc>
        <w:tc>
          <w:tcPr>
            <w:tcW w:w="644" w:type="pct"/>
            <w:tcBorders>
              <w:top w:val="nil"/>
              <w:left w:val="nil"/>
              <w:bottom w:val="single" w:sz="8" w:space="0" w:color="auto"/>
              <w:right w:val="single" w:sz="8" w:space="0" w:color="auto"/>
            </w:tcBorders>
            <w:shd w:val="clear" w:color="auto" w:fill="auto"/>
            <w:noWrap/>
            <w:vAlign w:val="center"/>
            <w:hideMark/>
          </w:tcPr>
          <w:p w14:paraId="326A1067"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 </w:t>
            </w:r>
          </w:p>
        </w:tc>
        <w:tc>
          <w:tcPr>
            <w:tcW w:w="650" w:type="pct"/>
            <w:tcBorders>
              <w:top w:val="nil"/>
              <w:left w:val="nil"/>
              <w:bottom w:val="single" w:sz="8" w:space="0" w:color="auto"/>
              <w:right w:val="single" w:sz="8" w:space="0" w:color="auto"/>
            </w:tcBorders>
            <w:shd w:val="clear" w:color="auto" w:fill="auto"/>
            <w:vAlign w:val="center"/>
            <w:hideMark/>
          </w:tcPr>
          <w:p w14:paraId="2A040866"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 </w:t>
            </w:r>
          </w:p>
        </w:tc>
      </w:tr>
      <w:tr w:rsidR="007A23F8" w:rsidRPr="007A23F8" w14:paraId="4A4AA21F" w14:textId="77777777" w:rsidTr="00446A14">
        <w:trPr>
          <w:trHeight w:val="238"/>
        </w:trPr>
        <w:tc>
          <w:tcPr>
            <w:tcW w:w="2412" w:type="pct"/>
            <w:tcBorders>
              <w:top w:val="nil"/>
              <w:left w:val="single" w:sz="8" w:space="0" w:color="auto"/>
              <w:bottom w:val="single" w:sz="8" w:space="0" w:color="auto"/>
              <w:right w:val="single" w:sz="8" w:space="0" w:color="auto"/>
            </w:tcBorders>
            <w:shd w:val="clear" w:color="auto" w:fill="auto"/>
            <w:vAlign w:val="center"/>
            <w:hideMark/>
          </w:tcPr>
          <w:p w14:paraId="100D0A4C" w14:textId="77777777" w:rsidR="007A23F8" w:rsidRPr="007A23F8" w:rsidRDefault="007A23F8" w:rsidP="007A23F8">
            <w:pPr>
              <w:spacing w:after="0" w:line="240" w:lineRule="auto"/>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Ilegalidade na Venda de Ações (fraude)</w:t>
            </w:r>
          </w:p>
        </w:tc>
        <w:tc>
          <w:tcPr>
            <w:tcW w:w="644" w:type="pct"/>
            <w:tcBorders>
              <w:top w:val="nil"/>
              <w:left w:val="nil"/>
              <w:bottom w:val="single" w:sz="8" w:space="0" w:color="auto"/>
              <w:right w:val="single" w:sz="8" w:space="0" w:color="auto"/>
            </w:tcBorders>
            <w:shd w:val="clear" w:color="auto" w:fill="auto"/>
            <w:noWrap/>
            <w:vAlign w:val="center"/>
          </w:tcPr>
          <w:p w14:paraId="5F50CC44"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403</w:t>
            </w:r>
          </w:p>
        </w:tc>
        <w:tc>
          <w:tcPr>
            <w:tcW w:w="650" w:type="pct"/>
            <w:tcBorders>
              <w:top w:val="nil"/>
              <w:left w:val="nil"/>
              <w:bottom w:val="single" w:sz="8" w:space="0" w:color="auto"/>
              <w:right w:val="single" w:sz="8" w:space="0" w:color="auto"/>
            </w:tcBorders>
            <w:shd w:val="clear" w:color="auto" w:fill="auto"/>
            <w:noWrap/>
            <w:vAlign w:val="center"/>
          </w:tcPr>
          <w:p w14:paraId="39B9318F"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85</w:t>
            </w:r>
          </w:p>
        </w:tc>
        <w:tc>
          <w:tcPr>
            <w:tcW w:w="644" w:type="pct"/>
            <w:tcBorders>
              <w:top w:val="nil"/>
              <w:left w:val="nil"/>
              <w:bottom w:val="single" w:sz="8" w:space="0" w:color="auto"/>
              <w:right w:val="single" w:sz="8" w:space="0" w:color="auto"/>
            </w:tcBorders>
            <w:shd w:val="clear" w:color="auto" w:fill="auto"/>
            <w:noWrap/>
            <w:vAlign w:val="center"/>
          </w:tcPr>
          <w:p w14:paraId="10AF0129"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318</w:t>
            </w:r>
          </w:p>
        </w:tc>
        <w:tc>
          <w:tcPr>
            <w:tcW w:w="650" w:type="pct"/>
            <w:tcBorders>
              <w:top w:val="nil"/>
              <w:left w:val="nil"/>
              <w:bottom w:val="single" w:sz="8" w:space="0" w:color="auto"/>
              <w:right w:val="single" w:sz="8" w:space="0" w:color="auto"/>
            </w:tcBorders>
            <w:shd w:val="clear" w:color="auto" w:fill="auto"/>
            <w:noWrap/>
            <w:vAlign w:val="center"/>
            <w:hideMark/>
          </w:tcPr>
          <w:p w14:paraId="24CC3CF1"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327</w:t>
            </w:r>
          </w:p>
        </w:tc>
      </w:tr>
      <w:tr w:rsidR="007A23F8" w:rsidRPr="007A23F8" w14:paraId="66D8186E" w14:textId="77777777" w:rsidTr="00446A14">
        <w:trPr>
          <w:trHeight w:val="238"/>
        </w:trPr>
        <w:tc>
          <w:tcPr>
            <w:tcW w:w="2412" w:type="pct"/>
            <w:tcBorders>
              <w:top w:val="nil"/>
              <w:left w:val="single" w:sz="8" w:space="0" w:color="auto"/>
              <w:bottom w:val="single" w:sz="8" w:space="0" w:color="auto"/>
              <w:right w:val="single" w:sz="8" w:space="0" w:color="auto"/>
            </w:tcBorders>
            <w:shd w:val="clear" w:color="auto" w:fill="auto"/>
            <w:vAlign w:val="center"/>
            <w:hideMark/>
          </w:tcPr>
          <w:p w14:paraId="2C3A5E6C" w14:textId="77777777" w:rsidR="007A23F8" w:rsidRPr="007A23F8" w:rsidRDefault="007A23F8" w:rsidP="007A23F8">
            <w:pPr>
              <w:spacing w:after="0" w:line="240" w:lineRule="auto"/>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 xml:space="preserve">Dividendos sobre o Capital da TELEBRÁS </w:t>
            </w:r>
          </w:p>
        </w:tc>
        <w:tc>
          <w:tcPr>
            <w:tcW w:w="644" w:type="pct"/>
            <w:tcBorders>
              <w:top w:val="nil"/>
              <w:left w:val="nil"/>
              <w:bottom w:val="single" w:sz="8" w:space="0" w:color="auto"/>
              <w:right w:val="single" w:sz="8" w:space="0" w:color="auto"/>
            </w:tcBorders>
            <w:shd w:val="clear" w:color="auto" w:fill="auto"/>
            <w:noWrap/>
            <w:vAlign w:val="center"/>
          </w:tcPr>
          <w:p w14:paraId="564522EF"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37.570</w:t>
            </w:r>
          </w:p>
        </w:tc>
        <w:tc>
          <w:tcPr>
            <w:tcW w:w="650" w:type="pct"/>
            <w:tcBorders>
              <w:top w:val="nil"/>
              <w:left w:val="nil"/>
              <w:bottom w:val="single" w:sz="8" w:space="0" w:color="auto"/>
              <w:right w:val="single" w:sz="8" w:space="0" w:color="auto"/>
            </w:tcBorders>
            <w:shd w:val="clear" w:color="auto" w:fill="auto"/>
            <w:noWrap/>
            <w:vAlign w:val="center"/>
          </w:tcPr>
          <w:p w14:paraId="355A1287"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0</w:t>
            </w:r>
          </w:p>
        </w:tc>
        <w:tc>
          <w:tcPr>
            <w:tcW w:w="644" w:type="pct"/>
            <w:tcBorders>
              <w:top w:val="nil"/>
              <w:left w:val="nil"/>
              <w:bottom w:val="single" w:sz="8" w:space="0" w:color="auto"/>
              <w:right w:val="single" w:sz="8" w:space="0" w:color="auto"/>
            </w:tcBorders>
            <w:shd w:val="clear" w:color="auto" w:fill="auto"/>
            <w:noWrap/>
            <w:vAlign w:val="center"/>
          </w:tcPr>
          <w:p w14:paraId="5B858781"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37.570</w:t>
            </w:r>
          </w:p>
        </w:tc>
        <w:tc>
          <w:tcPr>
            <w:tcW w:w="650" w:type="pct"/>
            <w:tcBorders>
              <w:top w:val="nil"/>
              <w:left w:val="nil"/>
              <w:bottom w:val="single" w:sz="8" w:space="0" w:color="auto"/>
              <w:right w:val="single" w:sz="8" w:space="0" w:color="auto"/>
            </w:tcBorders>
            <w:shd w:val="clear" w:color="auto" w:fill="auto"/>
            <w:noWrap/>
            <w:vAlign w:val="center"/>
            <w:hideMark/>
          </w:tcPr>
          <w:p w14:paraId="2CAC3E20"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34.028</w:t>
            </w:r>
          </w:p>
        </w:tc>
      </w:tr>
      <w:tr w:rsidR="007A23F8" w:rsidRPr="007A23F8" w14:paraId="247C4FA3" w14:textId="77777777" w:rsidTr="00446A14">
        <w:trPr>
          <w:trHeight w:val="238"/>
        </w:trPr>
        <w:tc>
          <w:tcPr>
            <w:tcW w:w="2412" w:type="pct"/>
            <w:tcBorders>
              <w:top w:val="nil"/>
              <w:left w:val="single" w:sz="8" w:space="0" w:color="auto"/>
              <w:bottom w:val="single" w:sz="8" w:space="0" w:color="auto"/>
              <w:right w:val="single" w:sz="8" w:space="0" w:color="auto"/>
            </w:tcBorders>
            <w:shd w:val="clear" w:color="auto" w:fill="auto"/>
            <w:vAlign w:val="center"/>
            <w:hideMark/>
          </w:tcPr>
          <w:p w14:paraId="0B2E26C1" w14:textId="77777777" w:rsidR="007A23F8" w:rsidRPr="007A23F8" w:rsidRDefault="007A23F8" w:rsidP="007A23F8">
            <w:pPr>
              <w:spacing w:after="0" w:line="240" w:lineRule="auto"/>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Diferença de Ações (inclusive Conversão de Debêntures)</w:t>
            </w:r>
          </w:p>
        </w:tc>
        <w:tc>
          <w:tcPr>
            <w:tcW w:w="644" w:type="pct"/>
            <w:tcBorders>
              <w:top w:val="nil"/>
              <w:left w:val="nil"/>
              <w:bottom w:val="single" w:sz="8" w:space="0" w:color="auto"/>
              <w:right w:val="single" w:sz="8" w:space="0" w:color="auto"/>
            </w:tcBorders>
            <w:shd w:val="clear" w:color="auto" w:fill="auto"/>
            <w:noWrap/>
            <w:vAlign w:val="center"/>
          </w:tcPr>
          <w:p w14:paraId="04917815"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4.543</w:t>
            </w:r>
          </w:p>
        </w:tc>
        <w:tc>
          <w:tcPr>
            <w:tcW w:w="650" w:type="pct"/>
            <w:tcBorders>
              <w:top w:val="nil"/>
              <w:left w:val="nil"/>
              <w:bottom w:val="single" w:sz="8" w:space="0" w:color="auto"/>
              <w:right w:val="single" w:sz="8" w:space="0" w:color="auto"/>
            </w:tcBorders>
            <w:shd w:val="clear" w:color="auto" w:fill="auto"/>
            <w:noWrap/>
            <w:vAlign w:val="center"/>
          </w:tcPr>
          <w:p w14:paraId="5BB8796C"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145</w:t>
            </w:r>
          </w:p>
        </w:tc>
        <w:tc>
          <w:tcPr>
            <w:tcW w:w="644" w:type="pct"/>
            <w:tcBorders>
              <w:top w:val="nil"/>
              <w:left w:val="nil"/>
              <w:bottom w:val="single" w:sz="8" w:space="0" w:color="auto"/>
              <w:right w:val="single" w:sz="8" w:space="0" w:color="auto"/>
            </w:tcBorders>
            <w:shd w:val="clear" w:color="auto" w:fill="auto"/>
            <w:noWrap/>
            <w:vAlign w:val="center"/>
          </w:tcPr>
          <w:p w14:paraId="4F16FC20"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4.398</w:t>
            </w:r>
          </w:p>
        </w:tc>
        <w:tc>
          <w:tcPr>
            <w:tcW w:w="650" w:type="pct"/>
            <w:tcBorders>
              <w:top w:val="nil"/>
              <w:left w:val="nil"/>
              <w:bottom w:val="single" w:sz="8" w:space="0" w:color="auto"/>
              <w:right w:val="single" w:sz="8" w:space="0" w:color="auto"/>
            </w:tcBorders>
            <w:shd w:val="clear" w:color="auto" w:fill="auto"/>
            <w:noWrap/>
            <w:vAlign w:val="center"/>
            <w:hideMark/>
          </w:tcPr>
          <w:p w14:paraId="3FD333F0"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4.225</w:t>
            </w:r>
          </w:p>
        </w:tc>
      </w:tr>
      <w:tr w:rsidR="007A23F8" w:rsidRPr="007A23F8" w14:paraId="3A0C3FA1" w14:textId="77777777" w:rsidTr="00446A14">
        <w:trPr>
          <w:trHeight w:val="238"/>
        </w:trPr>
        <w:tc>
          <w:tcPr>
            <w:tcW w:w="2412" w:type="pct"/>
            <w:tcBorders>
              <w:top w:val="nil"/>
              <w:left w:val="single" w:sz="8" w:space="0" w:color="auto"/>
              <w:bottom w:val="single" w:sz="8" w:space="0" w:color="auto"/>
              <w:right w:val="single" w:sz="8" w:space="0" w:color="auto"/>
            </w:tcBorders>
            <w:shd w:val="clear" w:color="auto" w:fill="auto"/>
            <w:vAlign w:val="center"/>
            <w:hideMark/>
          </w:tcPr>
          <w:p w14:paraId="5007E4B3" w14:textId="77777777" w:rsidR="007A23F8" w:rsidRPr="007A23F8" w:rsidRDefault="007A23F8" w:rsidP="007A23F8">
            <w:pPr>
              <w:spacing w:after="0" w:line="240" w:lineRule="auto"/>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Outros Processos</w:t>
            </w:r>
          </w:p>
        </w:tc>
        <w:tc>
          <w:tcPr>
            <w:tcW w:w="644" w:type="pct"/>
            <w:tcBorders>
              <w:top w:val="nil"/>
              <w:left w:val="nil"/>
              <w:bottom w:val="single" w:sz="8" w:space="0" w:color="auto"/>
              <w:right w:val="single" w:sz="8" w:space="0" w:color="auto"/>
            </w:tcBorders>
            <w:shd w:val="clear" w:color="auto" w:fill="auto"/>
            <w:noWrap/>
            <w:vAlign w:val="center"/>
          </w:tcPr>
          <w:p w14:paraId="59DD819D"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6.133</w:t>
            </w:r>
          </w:p>
        </w:tc>
        <w:tc>
          <w:tcPr>
            <w:tcW w:w="650" w:type="pct"/>
            <w:tcBorders>
              <w:top w:val="nil"/>
              <w:left w:val="nil"/>
              <w:bottom w:val="single" w:sz="8" w:space="0" w:color="auto"/>
              <w:right w:val="single" w:sz="8" w:space="0" w:color="auto"/>
            </w:tcBorders>
            <w:shd w:val="clear" w:color="auto" w:fill="auto"/>
            <w:noWrap/>
            <w:vAlign w:val="center"/>
          </w:tcPr>
          <w:p w14:paraId="21C25507"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1.811</w:t>
            </w:r>
          </w:p>
        </w:tc>
        <w:tc>
          <w:tcPr>
            <w:tcW w:w="644" w:type="pct"/>
            <w:tcBorders>
              <w:top w:val="nil"/>
              <w:left w:val="nil"/>
              <w:bottom w:val="single" w:sz="8" w:space="0" w:color="auto"/>
              <w:right w:val="single" w:sz="8" w:space="0" w:color="auto"/>
            </w:tcBorders>
            <w:shd w:val="clear" w:color="auto" w:fill="auto"/>
            <w:noWrap/>
            <w:vAlign w:val="center"/>
          </w:tcPr>
          <w:p w14:paraId="3744C416"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4.322</w:t>
            </w:r>
          </w:p>
        </w:tc>
        <w:tc>
          <w:tcPr>
            <w:tcW w:w="650" w:type="pct"/>
            <w:tcBorders>
              <w:top w:val="nil"/>
              <w:left w:val="nil"/>
              <w:bottom w:val="single" w:sz="8" w:space="0" w:color="auto"/>
              <w:right w:val="single" w:sz="8" w:space="0" w:color="auto"/>
            </w:tcBorders>
            <w:shd w:val="clear" w:color="auto" w:fill="auto"/>
            <w:noWrap/>
            <w:vAlign w:val="center"/>
            <w:hideMark/>
          </w:tcPr>
          <w:p w14:paraId="642351F6"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8.714</w:t>
            </w:r>
          </w:p>
        </w:tc>
      </w:tr>
      <w:tr w:rsidR="007A23F8" w:rsidRPr="007A23F8" w14:paraId="76125675" w14:textId="77777777" w:rsidTr="00446A14">
        <w:trPr>
          <w:trHeight w:val="238"/>
        </w:trPr>
        <w:tc>
          <w:tcPr>
            <w:tcW w:w="2412" w:type="pct"/>
            <w:tcBorders>
              <w:top w:val="nil"/>
              <w:left w:val="single" w:sz="8" w:space="0" w:color="auto"/>
              <w:bottom w:val="single" w:sz="8" w:space="0" w:color="auto"/>
              <w:right w:val="single" w:sz="8" w:space="0" w:color="auto"/>
            </w:tcBorders>
            <w:shd w:val="clear" w:color="auto" w:fill="auto"/>
            <w:vAlign w:val="center"/>
            <w:hideMark/>
          </w:tcPr>
          <w:p w14:paraId="02F1E799" w14:textId="77777777" w:rsidR="007A23F8" w:rsidRPr="007A23F8" w:rsidRDefault="007A23F8" w:rsidP="007A23F8">
            <w:pPr>
              <w:spacing w:after="0" w:line="240" w:lineRule="auto"/>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Total</w:t>
            </w:r>
          </w:p>
        </w:tc>
        <w:tc>
          <w:tcPr>
            <w:tcW w:w="644" w:type="pct"/>
            <w:tcBorders>
              <w:top w:val="nil"/>
              <w:left w:val="nil"/>
              <w:bottom w:val="single" w:sz="8" w:space="0" w:color="auto"/>
              <w:right w:val="single" w:sz="8" w:space="0" w:color="auto"/>
            </w:tcBorders>
            <w:shd w:val="clear" w:color="auto" w:fill="auto"/>
            <w:noWrap/>
            <w:vAlign w:val="center"/>
          </w:tcPr>
          <w:p w14:paraId="154E7F79"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48.649</w:t>
            </w:r>
          </w:p>
        </w:tc>
        <w:tc>
          <w:tcPr>
            <w:tcW w:w="650" w:type="pct"/>
            <w:tcBorders>
              <w:top w:val="nil"/>
              <w:left w:val="nil"/>
              <w:bottom w:val="single" w:sz="8" w:space="0" w:color="auto"/>
              <w:right w:val="single" w:sz="8" w:space="0" w:color="auto"/>
            </w:tcBorders>
            <w:shd w:val="clear" w:color="auto" w:fill="auto"/>
            <w:noWrap/>
            <w:vAlign w:val="center"/>
          </w:tcPr>
          <w:p w14:paraId="7F7D02D9"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2.041</w:t>
            </w:r>
          </w:p>
        </w:tc>
        <w:tc>
          <w:tcPr>
            <w:tcW w:w="644" w:type="pct"/>
            <w:tcBorders>
              <w:top w:val="nil"/>
              <w:left w:val="nil"/>
              <w:bottom w:val="single" w:sz="8" w:space="0" w:color="auto"/>
              <w:right w:val="single" w:sz="8" w:space="0" w:color="auto"/>
            </w:tcBorders>
            <w:shd w:val="clear" w:color="auto" w:fill="auto"/>
            <w:noWrap/>
            <w:vAlign w:val="center"/>
          </w:tcPr>
          <w:p w14:paraId="79E33105"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46.608</w:t>
            </w:r>
          </w:p>
        </w:tc>
        <w:tc>
          <w:tcPr>
            <w:tcW w:w="650" w:type="pct"/>
            <w:tcBorders>
              <w:top w:val="nil"/>
              <w:left w:val="nil"/>
              <w:bottom w:val="single" w:sz="8" w:space="0" w:color="auto"/>
              <w:right w:val="single" w:sz="8" w:space="0" w:color="auto"/>
            </w:tcBorders>
            <w:shd w:val="clear" w:color="auto" w:fill="auto"/>
            <w:noWrap/>
            <w:vAlign w:val="center"/>
            <w:hideMark/>
          </w:tcPr>
          <w:p w14:paraId="1BDC8621"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47.294</w:t>
            </w:r>
          </w:p>
        </w:tc>
      </w:tr>
      <w:tr w:rsidR="007A23F8" w:rsidRPr="007A23F8" w14:paraId="10C093C9" w14:textId="77777777" w:rsidTr="00446A14">
        <w:trPr>
          <w:trHeight w:val="238"/>
        </w:trPr>
        <w:tc>
          <w:tcPr>
            <w:tcW w:w="2412" w:type="pct"/>
            <w:tcBorders>
              <w:top w:val="nil"/>
              <w:left w:val="single" w:sz="8" w:space="0" w:color="auto"/>
              <w:bottom w:val="single" w:sz="8" w:space="0" w:color="auto"/>
              <w:right w:val="single" w:sz="8" w:space="0" w:color="auto"/>
            </w:tcBorders>
            <w:shd w:val="clear" w:color="auto" w:fill="auto"/>
            <w:vAlign w:val="center"/>
            <w:hideMark/>
          </w:tcPr>
          <w:p w14:paraId="388BC8BB" w14:textId="77777777" w:rsidR="007A23F8" w:rsidRPr="007A23F8" w:rsidRDefault="007A23F8" w:rsidP="007A23F8">
            <w:pPr>
              <w:spacing w:after="0" w:line="240" w:lineRule="auto"/>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Trabalhistas</w:t>
            </w:r>
          </w:p>
        </w:tc>
        <w:tc>
          <w:tcPr>
            <w:tcW w:w="644" w:type="pct"/>
            <w:tcBorders>
              <w:top w:val="nil"/>
              <w:left w:val="nil"/>
              <w:bottom w:val="single" w:sz="8" w:space="0" w:color="auto"/>
              <w:right w:val="single" w:sz="8" w:space="0" w:color="auto"/>
            </w:tcBorders>
            <w:shd w:val="clear" w:color="auto" w:fill="auto"/>
            <w:noWrap/>
            <w:vAlign w:val="center"/>
          </w:tcPr>
          <w:p w14:paraId="65A07C15"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p>
        </w:tc>
        <w:tc>
          <w:tcPr>
            <w:tcW w:w="650" w:type="pct"/>
            <w:tcBorders>
              <w:top w:val="nil"/>
              <w:left w:val="nil"/>
              <w:bottom w:val="single" w:sz="8" w:space="0" w:color="auto"/>
              <w:right w:val="single" w:sz="8" w:space="0" w:color="auto"/>
            </w:tcBorders>
            <w:shd w:val="clear" w:color="auto" w:fill="auto"/>
            <w:noWrap/>
            <w:vAlign w:val="center"/>
          </w:tcPr>
          <w:p w14:paraId="58C51CC6"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p>
        </w:tc>
        <w:tc>
          <w:tcPr>
            <w:tcW w:w="644" w:type="pct"/>
            <w:tcBorders>
              <w:top w:val="nil"/>
              <w:left w:val="nil"/>
              <w:bottom w:val="single" w:sz="8" w:space="0" w:color="auto"/>
              <w:right w:val="single" w:sz="8" w:space="0" w:color="auto"/>
            </w:tcBorders>
            <w:shd w:val="clear" w:color="auto" w:fill="auto"/>
            <w:noWrap/>
            <w:vAlign w:val="center"/>
          </w:tcPr>
          <w:p w14:paraId="1CEDCE65"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p>
        </w:tc>
        <w:tc>
          <w:tcPr>
            <w:tcW w:w="650" w:type="pct"/>
            <w:tcBorders>
              <w:top w:val="nil"/>
              <w:left w:val="nil"/>
              <w:bottom w:val="single" w:sz="8" w:space="0" w:color="auto"/>
              <w:right w:val="single" w:sz="8" w:space="0" w:color="auto"/>
            </w:tcBorders>
            <w:shd w:val="clear" w:color="auto" w:fill="auto"/>
            <w:vAlign w:val="center"/>
            <w:hideMark/>
          </w:tcPr>
          <w:p w14:paraId="6A13B2D5"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p>
        </w:tc>
      </w:tr>
      <w:tr w:rsidR="007A23F8" w:rsidRPr="007A23F8" w14:paraId="30A1B017" w14:textId="77777777" w:rsidTr="00446A14">
        <w:trPr>
          <w:trHeight w:val="238"/>
        </w:trPr>
        <w:tc>
          <w:tcPr>
            <w:tcW w:w="2412" w:type="pct"/>
            <w:tcBorders>
              <w:top w:val="nil"/>
              <w:left w:val="single" w:sz="8" w:space="0" w:color="auto"/>
              <w:bottom w:val="single" w:sz="8" w:space="0" w:color="auto"/>
              <w:right w:val="single" w:sz="8" w:space="0" w:color="auto"/>
            </w:tcBorders>
            <w:shd w:val="clear" w:color="auto" w:fill="auto"/>
            <w:vAlign w:val="center"/>
            <w:hideMark/>
          </w:tcPr>
          <w:p w14:paraId="46F249E8" w14:textId="77777777" w:rsidR="007A23F8" w:rsidRPr="007A23F8" w:rsidRDefault="007A23F8" w:rsidP="007A23F8">
            <w:pPr>
              <w:spacing w:after="0" w:line="240" w:lineRule="auto"/>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Ganhos de Produtividade</w:t>
            </w:r>
          </w:p>
        </w:tc>
        <w:tc>
          <w:tcPr>
            <w:tcW w:w="644" w:type="pct"/>
            <w:tcBorders>
              <w:top w:val="nil"/>
              <w:left w:val="nil"/>
              <w:bottom w:val="single" w:sz="8" w:space="0" w:color="auto"/>
              <w:right w:val="single" w:sz="8" w:space="0" w:color="auto"/>
            </w:tcBorders>
            <w:shd w:val="clear" w:color="auto" w:fill="auto"/>
            <w:noWrap/>
            <w:vAlign w:val="center"/>
          </w:tcPr>
          <w:p w14:paraId="580A127C"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4.003</w:t>
            </w:r>
          </w:p>
        </w:tc>
        <w:tc>
          <w:tcPr>
            <w:tcW w:w="650" w:type="pct"/>
            <w:tcBorders>
              <w:top w:val="nil"/>
              <w:left w:val="nil"/>
              <w:bottom w:val="single" w:sz="8" w:space="0" w:color="auto"/>
              <w:right w:val="single" w:sz="8" w:space="0" w:color="auto"/>
            </w:tcBorders>
            <w:shd w:val="clear" w:color="auto" w:fill="auto"/>
            <w:noWrap/>
            <w:vAlign w:val="center"/>
          </w:tcPr>
          <w:p w14:paraId="15740AA6"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42</w:t>
            </w:r>
          </w:p>
        </w:tc>
        <w:tc>
          <w:tcPr>
            <w:tcW w:w="644" w:type="pct"/>
            <w:tcBorders>
              <w:top w:val="nil"/>
              <w:left w:val="nil"/>
              <w:bottom w:val="single" w:sz="8" w:space="0" w:color="auto"/>
              <w:right w:val="single" w:sz="8" w:space="0" w:color="auto"/>
            </w:tcBorders>
            <w:shd w:val="clear" w:color="auto" w:fill="auto"/>
            <w:noWrap/>
            <w:vAlign w:val="center"/>
          </w:tcPr>
          <w:p w14:paraId="1FC92F7D"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3.961</w:t>
            </w:r>
          </w:p>
        </w:tc>
        <w:tc>
          <w:tcPr>
            <w:tcW w:w="650" w:type="pct"/>
            <w:tcBorders>
              <w:top w:val="nil"/>
              <w:left w:val="nil"/>
              <w:bottom w:val="single" w:sz="8" w:space="0" w:color="auto"/>
              <w:right w:val="single" w:sz="8" w:space="0" w:color="auto"/>
            </w:tcBorders>
            <w:shd w:val="clear" w:color="auto" w:fill="auto"/>
            <w:noWrap/>
            <w:vAlign w:val="center"/>
            <w:hideMark/>
          </w:tcPr>
          <w:p w14:paraId="042F9632"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3.666</w:t>
            </w:r>
          </w:p>
        </w:tc>
      </w:tr>
      <w:tr w:rsidR="007A23F8" w:rsidRPr="007A23F8" w14:paraId="1D02F031" w14:textId="77777777" w:rsidTr="00446A14">
        <w:trPr>
          <w:trHeight w:val="238"/>
        </w:trPr>
        <w:tc>
          <w:tcPr>
            <w:tcW w:w="2412" w:type="pct"/>
            <w:tcBorders>
              <w:top w:val="nil"/>
              <w:left w:val="single" w:sz="8" w:space="0" w:color="auto"/>
              <w:bottom w:val="single" w:sz="8" w:space="0" w:color="auto"/>
              <w:right w:val="single" w:sz="8" w:space="0" w:color="auto"/>
            </w:tcBorders>
            <w:shd w:val="clear" w:color="auto" w:fill="auto"/>
            <w:vAlign w:val="center"/>
            <w:hideMark/>
          </w:tcPr>
          <w:p w14:paraId="45ED3779" w14:textId="77777777" w:rsidR="007A23F8" w:rsidRPr="007A23F8" w:rsidRDefault="007A23F8" w:rsidP="007A23F8">
            <w:pPr>
              <w:spacing w:after="0" w:line="240" w:lineRule="auto"/>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Responsabilidade Subsidiária</w:t>
            </w:r>
          </w:p>
        </w:tc>
        <w:tc>
          <w:tcPr>
            <w:tcW w:w="644" w:type="pct"/>
            <w:tcBorders>
              <w:top w:val="nil"/>
              <w:left w:val="nil"/>
              <w:bottom w:val="single" w:sz="8" w:space="0" w:color="auto"/>
              <w:right w:val="single" w:sz="8" w:space="0" w:color="auto"/>
            </w:tcBorders>
            <w:shd w:val="clear" w:color="auto" w:fill="auto"/>
            <w:noWrap/>
            <w:vAlign w:val="center"/>
          </w:tcPr>
          <w:p w14:paraId="387603FC"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2.443</w:t>
            </w:r>
          </w:p>
        </w:tc>
        <w:tc>
          <w:tcPr>
            <w:tcW w:w="650" w:type="pct"/>
            <w:tcBorders>
              <w:top w:val="nil"/>
              <w:left w:val="nil"/>
              <w:bottom w:val="single" w:sz="8" w:space="0" w:color="auto"/>
              <w:right w:val="single" w:sz="8" w:space="0" w:color="auto"/>
            </w:tcBorders>
            <w:shd w:val="clear" w:color="auto" w:fill="auto"/>
            <w:noWrap/>
            <w:vAlign w:val="center"/>
          </w:tcPr>
          <w:p w14:paraId="2283AB06"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621</w:t>
            </w:r>
          </w:p>
        </w:tc>
        <w:tc>
          <w:tcPr>
            <w:tcW w:w="644" w:type="pct"/>
            <w:tcBorders>
              <w:top w:val="nil"/>
              <w:left w:val="nil"/>
              <w:bottom w:val="single" w:sz="8" w:space="0" w:color="auto"/>
              <w:right w:val="single" w:sz="8" w:space="0" w:color="auto"/>
            </w:tcBorders>
            <w:shd w:val="clear" w:color="auto" w:fill="auto"/>
            <w:noWrap/>
            <w:vAlign w:val="center"/>
          </w:tcPr>
          <w:p w14:paraId="3044BBCE"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1.822</w:t>
            </w:r>
          </w:p>
        </w:tc>
        <w:tc>
          <w:tcPr>
            <w:tcW w:w="650" w:type="pct"/>
            <w:tcBorders>
              <w:top w:val="nil"/>
              <w:left w:val="nil"/>
              <w:bottom w:val="single" w:sz="8" w:space="0" w:color="auto"/>
              <w:right w:val="single" w:sz="8" w:space="0" w:color="auto"/>
            </w:tcBorders>
            <w:shd w:val="clear" w:color="auto" w:fill="auto"/>
            <w:noWrap/>
            <w:vAlign w:val="center"/>
            <w:hideMark/>
          </w:tcPr>
          <w:p w14:paraId="57E59145"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1.790</w:t>
            </w:r>
          </w:p>
        </w:tc>
      </w:tr>
      <w:tr w:rsidR="007A23F8" w:rsidRPr="007A23F8" w14:paraId="4EB65997" w14:textId="77777777" w:rsidTr="00446A14">
        <w:trPr>
          <w:trHeight w:val="238"/>
        </w:trPr>
        <w:tc>
          <w:tcPr>
            <w:tcW w:w="2412" w:type="pct"/>
            <w:tcBorders>
              <w:top w:val="nil"/>
              <w:left w:val="single" w:sz="8" w:space="0" w:color="auto"/>
              <w:bottom w:val="single" w:sz="8" w:space="0" w:color="auto"/>
              <w:right w:val="single" w:sz="8" w:space="0" w:color="auto"/>
            </w:tcBorders>
            <w:shd w:val="clear" w:color="auto" w:fill="auto"/>
            <w:vAlign w:val="center"/>
            <w:hideMark/>
          </w:tcPr>
          <w:p w14:paraId="14C53F67" w14:textId="77777777" w:rsidR="007A23F8" w:rsidRPr="007A23F8" w:rsidRDefault="007A23F8" w:rsidP="007A23F8">
            <w:pPr>
              <w:spacing w:after="0" w:line="240" w:lineRule="auto"/>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Outros Processos</w:t>
            </w:r>
          </w:p>
        </w:tc>
        <w:tc>
          <w:tcPr>
            <w:tcW w:w="644" w:type="pct"/>
            <w:tcBorders>
              <w:top w:val="nil"/>
              <w:left w:val="nil"/>
              <w:bottom w:val="single" w:sz="8" w:space="0" w:color="auto"/>
              <w:right w:val="single" w:sz="8" w:space="0" w:color="auto"/>
            </w:tcBorders>
            <w:shd w:val="clear" w:color="auto" w:fill="auto"/>
            <w:noWrap/>
            <w:vAlign w:val="center"/>
          </w:tcPr>
          <w:p w14:paraId="6E1DFD59"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3.301</w:t>
            </w:r>
          </w:p>
        </w:tc>
        <w:tc>
          <w:tcPr>
            <w:tcW w:w="650" w:type="pct"/>
            <w:tcBorders>
              <w:top w:val="nil"/>
              <w:left w:val="nil"/>
              <w:bottom w:val="single" w:sz="8" w:space="0" w:color="auto"/>
              <w:right w:val="single" w:sz="8" w:space="0" w:color="auto"/>
            </w:tcBorders>
            <w:shd w:val="clear" w:color="auto" w:fill="auto"/>
            <w:noWrap/>
            <w:vAlign w:val="center"/>
          </w:tcPr>
          <w:p w14:paraId="0F8D429C"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256</w:t>
            </w:r>
          </w:p>
        </w:tc>
        <w:tc>
          <w:tcPr>
            <w:tcW w:w="644" w:type="pct"/>
            <w:tcBorders>
              <w:top w:val="nil"/>
              <w:left w:val="nil"/>
              <w:bottom w:val="single" w:sz="8" w:space="0" w:color="auto"/>
              <w:right w:val="single" w:sz="8" w:space="0" w:color="auto"/>
            </w:tcBorders>
            <w:shd w:val="clear" w:color="auto" w:fill="auto"/>
            <w:noWrap/>
            <w:vAlign w:val="center"/>
          </w:tcPr>
          <w:p w14:paraId="39411724"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3.045</w:t>
            </w:r>
          </w:p>
        </w:tc>
        <w:tc>
          <w:tcPr>
            <w:tcW w:w="650" w:type="pct"/>
            <w:tcBorders>
              <w:top w:val="nil"/>
              <w:left w:val="nil"/>
              <w:bottom w:val="single" w:sz="8" w:space="0" w:color="auto"/>
              <w:right w:val="single" w:sz="8" w:space="0" w:color="auto"/>
            </w:tcBorders>
            <w:shd w:val="clear" w:color="auto" w:fill="auto"/>
            <w:noWrap/>
            <w:vAlign w:val="center"/>
            <w:hideMark/>
          </w:tcPr>
          <w:p w14:paraId="112189F6"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7.415</w:t>
            </w:r>
          </w:p>
        </w:tc>
      </w:tr>
      <w:tr w:rsidR="007A23F8" w:rsidRPr="007A23F8" w14:paraId="44A67210" w14:textId="77777777" w:rsidTr="00446A14">
        <w:trPr>
          <w:trHeight w:val="238"/>
        </w:trPr>
        <w:tc>
          <w:tcPr>
            <w:tcW w:w="2412" w:type="pct"/>
            <w:tcBorders>
              <w:top w:val="nil"/>
              <w:left w:val="single" w:sz="8" w:space="0" w:color="auto"/>
              <w:bottom w:val="single" w:sz="8" w:space="0" w:color="auto"/>
              <w:right w:val="single" w:sz="8" w:space="0" w:color="auto"/>
            </w:tcBorders>
            <w:shd w:val="clear" w:color="auto" w:fill="auto"/>
            <w:vAlign w:val="center"/>
            <w:hideMark/>
          </w:tcPr>
          <w:p w14:paraId="4497CAAD" w14:textId="77777777" w:rsidR="007A23F8" w:rsidRPr="007A23F8" w:rsidRDefault="007A23F8" w:rsidP="007A23F8">
            <w:pPr>
              <w:spacing w:after="0" w:line="240" w:lineRule="auto"/>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Total</w:t>
            </w:r>
          </w:p>
        </w:tc>
        <w:tc>
          <w:tcPr>
            <w:tcW w:w="644" w:type="pct"/>
            <w:tcBorders>
              <w:top w:val="nil"/>
              <w:left w:val="nil"/>
              <w:bottom w:val="single" w:sz="8" w:space="0" w:color="auto"/>
              <w:right w:val="single" w:sz="8" w:space="0" w:color="auto"/>
            </w:tcBorders>
            <w:shd w:val="clear" w:color="auto" w:fill="auto"/>
            <w:noWrap/>
            <w:vAlign w:val="center"/>
          </w:tcPr>
          <w:p w14:paraId="0E471A01"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9.747</w:t>
            </w:r>
          </w:p>
        </w:tc>
        <w:tc>
          <w:tcPr>
            <w:tcW w:w="650" w:type="pct"/>
            <w:tcBorders>
              <w:top w:val="nil"/>
              <w:left w:val="nil"/>
              <w:bottom w:val="single" w:sz="8" w:space="0" w:color="auto"/>
              <w:right w:val="single" w:sz="8" w:space="0" w:color="auto"/>
            </w:tcBorders>
            <w:shd w:val="clear" w:color="auto" w:fill="auto"/>
            <w:noWrap/>
            <w:vAlign w:val="center"/>
          </w:tcPr>
          <w:p w14:paraId="58BD52F5"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919</w:t>
            </w:r>
          </w:p>
        </w:tc>
        <w:tc>
          <w:tcPr>
            <w:tcW w:w="644" w:type="pct"/>
            <w:tcBorders>
              <w:top w:val="nil"/>
              <w:left w:val="nil"/>
              <w:bottom w:val="single" w:sz="8" w:space="0" w:color="auto"/>
              <w:right w:val="single" w:sz="8" w:space="0" w:color="auto"/>
            </w:tcBorders>
            <w:shd w:val="clear" w:color="auto" w:fill="auto"/>
            <w:noWrap/>
            <w:vAlign w:val="center"/>
          </w:tcPr>
          <w:p w14:paraId="72245C7D"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8.828</w:t>
            </w:r>
          </w:p>
        </w:tc>
        <w:tc>
          <w:tcPr>
            <w:tcW w:w="650" w:type="pct"/>
            <w:tcBorders>
              <w:top w:val="nil"/>
              <w:left w:val="nil"/>
              <w:bottom w:val="single" w:sz="8" w:space="0" w:color="auto"/>
              <w:right w:val="single" w:sz="8" w:space="0" w:color="auto"/>
            </w:tcBorders>
            <w:shd w:val="clear" w:color="auto" w:fill="auto"/>
            <w:noWrap/>
            <w:vAlign w:val="center"/>
            <w:hideMark/>
          </w:tcPr>
          <w:p w14:paraId="77FD1F4B"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12.871</w:t>
            </w:r>
          </w:p>
        </w:tc>
      </w:tr>
      <w:tr w:rsidR="007A23F8" w:rsidRPr="007A23F8" w14:paraId="010828BB" w14:textId="77777777" w:rsidTr="00446A14">
        <w:trPr>
          <w:trHeight w:val="238"/>
        </w:trPr>
        <w:tc>
          <w:tcPr>
            <w:tcW w:w="2412" w:type="pct"/>
            <w:tcBorders>
              <w:top w:val="nil"/>
              <w:left w:val="single" w:sz="8" w:space="0" w:color="auto"/>
              <w:bottom w:val="single" w:sz="8" w:space="0" w:color="auto"/>
              <w:right w:val="single" w:sz="8" w:space="0" w:color="auto"/>
            </w:tcBorders>
            <w:shd w:val="clear" w:color="auto" w:fill="auto"/>
            <w:vAlign w:val="center"/>
            <w:hideMark/>
          </w:tcPr>
          <w:p w14:paraId="4072A65B" w14:textId="77777777" w:rsidR="007A23F8" w:rsidRPr="007A23F8" w:rsidRDefault="007A23F8" w:rsidP="007A23F8">
            <w:pPr>
              <w:spacing w:after="0" w:line="240" w:lineRule="auto"/>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Tributárias</w:t>
            </w:r>
          </w:p>
        </w:tc>
        <w:tc>
          <w:tcPr>
            <w:tcW w:w="644" w:type="pct"/>
            <w:tcBorders>
              <w:top w:val="nil"/>
              <w:left w:val="nil"/>
              <w:bottom w:val="single" w:sz="8" w:space="0" w:color="auto"/>
              <w:right w:val="single" w:sz="8" w:space="0" w:color="auto"/>
            </w:tcBorders>
            <w:shd w:val="clear" w:color="auto" w:fill="auto"/>
            <w:noWrap/>
            <w:vAlign w:val="center"/>
          </w:tcPr>
          <w:p w14:paraId="0964C309" w14:textId="77777777" w:rsidR="007A23F8" w:rsidRPr="007A23F8" w:rsidRDefault="007A23F8" w:rsidP="007A23F8">
            <w:pPr>
              <w:spacing w:after="0" w:line="240" w:lineRule="auto"/>
              <w:rPr>
                <w:rFonts w:ascii="Arial" w:eastAsia="Times New Roman" w:hAnsi="Arial" w:cs="Arial"/>
                <w:color w:val="000000"/>
                <w:kern w:val="0"/>
                <w:sz w:val="18"/>
                <w:szCs w:val="18"/>
                <w:lang w:eastAsia="pt-BR"/>
                <w14:ligatures w14:val="none"/>
              </w:rPr>
            </w:pPr>
          </w:p>
        </w:tc>
        <w:tc>
          <w:tcPr>
            <w:tcW w:w="650" w:type="pct"/>
            <w:tcBorders>
              <w:top w:val="nil"/>
              <w:left w:val="nil"/>
              <w:bottom w:val="single" w:sz="8" w:space="0" w:color="auto"/>
              <w:right w:val="single" w:sz="8" w:space="0" w:color="auto"/>
            </w:tcBorders>
            <w:shd w:val="clear" w:color="auto" w:fill="auto"/>
            <w:noWrap/>
            <w:vAlign w:val="center"/>
          </w:tcPr>
          <w:p w14:paraId="799AD8CD" w14:textId="77777777" w:rsidR="007A23F8" w:rsidRPr="007A23F8" w:rsidRDefault="007A23F8" w:rsidP="007A23F8">
            <w:pPr>
              <w:spacing w:after="0" w:line="240" w:lineRule="auto"/>
              <w:rPr>
                <w:rFonts w:ascii="Arial" w:eastAsia="Times New Roman" w:hAnsi="Arial" w:cs="Arial"/>
                <w:color w:val="000000"/>
                <w:kern w:val="0"/>
                <w:sz w:val="18"/>
                <w:szCs w:val="18"/>
                <w:lang w:eastAsia="pt-BR"/>
                <w14:ligatures w14:val="none"/>
              </w:rPr>
            </w:pPr>
          </w:p>
        </w:tc>
        <w:tc>
          <w:tcPr>
            <w:tcW w:w="644" w:type="pct"/>
            <w:tcBorders>
              <w:top w:val="nil"/>
              <w:left w:val="nil"/>
              <w:bottom w:val="single" w:sz="8" w:space="0" w:color="auto"/>
              <w:right w:val="single" w:sz="8" w:space="0" w:color="auto"/>
            </w:tcBorders>
            <w:shd w:val="clear" w:color="auto" w:fill="auto"/>
            <w:noWrap/>
            <w:vAlign w:val="center"/>
          </w:tcPr>
          <w:p w14:paraId="447C3AF1" w14:textId="77777777" w:rsidR="007A23F8" w:rsidRPr="007A23F8" w:rsidRDefault="007A23F8" w:rsidP="007A23F8">
            <w:pPr>
              <w:spacing w:after="0" w:line="240" w:lineRule="auto"/>
              <w:rPr>
                <w:rFonts w:ascii="Arial" w:eastAsia="Times New Roman" w:hAnsi="Arial" w:cs="Arial"/>
                <w:color w:val="000000"/>
                <w:kern w:val="0"/>
                <w:sz w:val="18"/>
                <w:szCs w:val="18"/>
                <w:lang w:eastAsia="pt-BR"/>
                <w14:ligatures w14:val="none"/>
              </w:rPr>
            </w:pPr>
          </w:p>
        </w:tc>
        <w:tc>
          <w:tcPr>
            <w:tcW w:w="650" w:type="pct"/>
            <w:tcBorders>
              <w:top w:val="nil"/>
              <w:left w:val="nil"/>
              <w:bottom w:val="single" w:sz="8" w:space="0" w:color="auto"/>
              <w:right w:val="single" w:sz="8" w:space="0" w:color="auto"/>
            </w:tcBorders>
            <w:shd w:val="clear" w:color="auto" w:fill="auto"/>
            <w:vAlign w:val="center"/>
            <w:hideMark/>
          </w:tcPr>
          <w:p w14:paraId="6CEDFCCD" w14:textId="77777777" w:rsidR="007A23F8" w:rsidRPr="007A23F8" w:rsidRDefault="007A23F8" w:rsidP="007A23F8">
            <w:pPr>
              <w:spacing w:after="0" w:line="240" w:lineRule="auto"/>
              <w:rPr>
                <w:rFonts w:ascii="Arial" w:eastAsia="Times New Roman" w:hAnsi="Arial" w:cs="Arial"/>
                <w:color w:val="000000"/>
                <w:kern w:val="0"/>
                <w:sz w:val="18"/>
                <w:szCs w:val="18"/>
                <w:lang w:eastAsia="pt-BR"/>
                <w14:ligatures w14:val="none"/>
              </w:rPr>
            </w:pPr>
          </w:p>
        </w:tc>
      </w:tr>
      <w:tr w:rsidR="007A23F8" w:rsidRPr="007A23F8" w14:paraId="7D21F080" w14:textId="77777777" w:rsidTr="00446A14">
        <w:trPr>
          <w:trHeight w:val="238"/>
        </w:trPr>
        <w:tc>
          <w:tcPr>
            <w:tcW w:w="2412" w:type="pct"/>
            <w:tcBorders>
              <w:top w:val="nil"/>
              <w:left w:val="single" w:sz="8" w:space="0" w:color="auto"/>
              <w:bottom w:val="single" w:sz="8" w:space="0" w:color="auto"/>
              <w:right w:val="single" w:sz="8" w:space="0" w:color="auto"/>
            </w:tcBorders>
            <w:shd w:val="clear" w:color="auto" w:fill="auto"/>
            <w:vAlign w:val="center"/>
            <w:hideMark/>
          </w:tcPr>
          <w:p w14:paraId="310F42E9" w14:textId="77777777" w:rsidR="007A23F8" w:rsidRPr="007A23F8" w:rsidRDefault="007A23F8" w:rsidP="007A23F8">
            <w:pPr>
              <w:spacing w:after="0" w:line="240" w:lineRule="auto"/>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Cobrança de Tributos - Receita Federal (RFB)</w:t>
            </w:r>
          </w:p>
        </w:tc>
        <w:tc>
          <w:tcPr>
            <w:tcW w:w="644" w:type="pct"/>
            <w:tcBorders>
              <w:top w:val="nil"/>
              <w:left w:val="nil"/>
              <w:bottom w:val="single" w:sz="8" w:space="0" w:color="auto"/>
              <w:right w:val="single" w:sz="8" w:space="0" w:color="auto"/>
            </w:tcBorders>
            <w:shd w:val="clear" w:color="auto" w:fill="auto"/>
            <w:noWrap/>
            <w:vAlign w:val="center"/>
          </w:tcPr>
          <w:p w14:paraId="3186A83B"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0</w:t>
            </w:r>
          </w:p>
        </w:tc>
        <w:tc>
          <w:tcPr>
            <w:tcW w:w="650" w:type="pct"/>
            <w:tcBorders>
              <w:top w:val="nil"/>
              <w:left w:val="nil"/>
              <w:bottom w:val="single" w:sz="8" w:space="0" w:color="auto"/>
              <w:right w:val="single" w:sz="8" w:space="0" w:color="auto"/>
            </w:tcBorders>
            <w:shd w:val="clear" w:color="auto" w:fill="auto"/>
            <w:noWrap/>
            <w:vAlign w:val="center"/>
          </w:tcPr>
          <w:p w14:paraId="15F0BEA2"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0</w:t>
            </w:r>
          </w:p>
        </w:tc>
        <w:tc>
          <w:tcPr>
            <w:tcW w:w="644" w:type="pct"/>
            <w:tcBorders>
              <w:top w:val="nil"/>
              <w:left w:val="nil"/>
              <w:bottom w:val="single" w:sz="8" w:space="0" w:color="auto"/>
              <w:right w:val="single" w:sz="8" w:space="0" w:color="auto"/>
            </w:tcBorders>
            <w:shd w:val="clear" w:color="auto" w:fill="auto"/>
            <w:noWrap/>
            <w:vAlign w:val="center"/>
          </w:tcPr>
          <w:p w14:paraId="4FCE0ADB"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0</w:t>
            </w:r>
          </w:p>
        </w:tc>
        <w:tc>
          <w:tcPr>
            <w:tcW w:w="650" w:type="pct"/>
            <w:tcBorders>
              <w:top w:val="nil"/>
              <w:left w:val="nil"/>
              <w:bottom w:val="single" w:sz="8" w:space="0" w:color="auto"/>
              <w:right w:val="single" w:sz="8" w:space="0" w:color="auto"/>
            </w:tcBorders>
            <w:shd w:val="clear" w:color="auto" w:fill="auto"/>
            <w:noWrap/>
            <w:vAlign w:val="center"/>
            <w:hideMark/>
          </w:tcPr>
          <w:p w14:paraId="2E834605"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3</w:t>
            </w:r>
          </w:p>
        </w:tc>
      </w:tr>
      <w:tr w:rsidR="007A23F8" w:rsidRPr="007A23F8" w14:paraId="5B3B2F71" w14:textId="77777777" w:rsidTr="00446A14">
        <w:trPr>
          <w:trHeight w:val="238"/>
        </w:trPr>
        <w:tc>
          <w:tcPr>
            <w:tcW w:w="2412" w:type="pct"/>
            <w:tcBorders>
              <w:top w:val="nil"/>
              <w:left w:val="single" w:sz="8" w:space="0" w:color="auto"/>
              <w:bottom w:val="single" w:sz="8" w:space="0" w:color="auto"/>
              <w:right w:val="single" w:sz="8" w:space="0" w:color="auto"/>
            </w:tcBorders>
            <w:shd w:val="clear" w:color="auto" w:fill="auto"/>
            <w:vAlign w:val="center"/>
            <w:hideMark/>
          </w:tcPr>
          <w:p w14:paraId="1A1451AB" w14:textId="77777777" w:rsidR="007A23F8" w:rsidRPr="007A23F8" w:rsidRDefault="007A23F8" w:rsidP="007A23F8">
            <w:pPr>
              <w:spacing w:after="0" w:line="240" w:lineRule="auto"/>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Execução Fiscal</w:t>
            </w:r>
          </w:p>
        </w:tc>
        <w:tc>
          <w:tcPr>
            <w:tcW w:w="644" w:type="pct"/>
            <w:tcBorders>
              <w:top w:val="nil"/>
              <w:left w:val="nil"/>
              <w:bottom w:val="single" w:sz="8" w:space="0" w:color="auto"/>
              <w:right w:val="single" w:sz="8" w:space="0" w:color="auto"/>
            </w:tcBorders>
            <w:shd w:val="clear" w:color="auto" w:fill="auto"/>
            <w:noWrap/>
            <w:vAlign w:val="center"/>
          </w:tcPr>
          <w:p w14:paraId="188DC7A5"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489</w:t>
            </w:r>
          </w:p>
        </w:tc>
        <w:tc>
          <w:tcPr>
            <w:tcW w:w="650" w:type="pct"/>
            <w:tcBorders>
              <w:top w:val="nil"/>
              <w:left w:val="nil"/>
              <w:bottom w:val="single" w:sz="8" w:space="0" w:color="auto"/>
              <w:right w:val="single" w:sz="8" w:space="0" w:color="auto"/>
            </w:tcBorders>
            <w:shd w:val="clear" w:color="auto" w:fill="auto"/>
            <w:noWrap/>
            <w:vAlign w:val="center"/>
          </w:tcPr>
          <w:p w14:paraId="1230B31A"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530</w:t>
            </w:r>
          </w:p>
        </w:tc>
        <w:tc>
          <w:tcPr>
            <w:tcW w:w="644" w:type="pct"/>
            <w:tcBorders>
              <w:top w:val="nil"/>
              <w:left w:val="nil"/>
              <w:bottom w:val="single" w:sz="8" w:space="0" w:color="auto"/>
              <w:right w:val="single" w:sz="8" w:space="0" w:color="auto"/>
            </w:tcBorders>
            <w:shd w:val="clear" w:color="auto" w:fill="auto"/>
            <w:noWrap/>
            <w:vAlign w:val="center"/>
          </w:tcPr>
          <w:p w14:paraId="71539BB9"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(41)</w:t>
            </w:r>
          </w:p>
        </w:tc>
        <w:tc>
          <w:tcPr>
            <w:tcW w:w="650" w:type="pct"/>
            <w:tcBorders>
              <w:top w:val="nil"/>
              <w:left w:val="nil"/>
              <w:bottom w:val="single" w:sz="8" w:space="0" w:color="auto"/>
              <w:right w:val="single" w:sz="8" w:space="0" w:color="auto"/>
            </w:tcBorders>
            <w:shd w:val="clear" w:color="auto" w:fill="auto"/>
            <w:noWrap/>
            <w:vAlign w:val="center"/>
            <w:hideMark/>
          </w:tcPr>
          <w:p w14:paraId="2F89F9A6"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301</w:t>
            </w:r>
          </w:p>
        </w:tc>
      </w:tr>
      <w:tr w:rsidR="007A23F8" w:rsidRPr="007A23F8" w14:paraId="1177936D" w14:textId="77777777" w:rsidTr="00446A14">
        <w:trPr>
          <w:trHeight w:val="238"/>
        </w:trPr>
        <w:tc>
          <w:tcPr>
            <w:tcW w:w="2412" w:type="pct"/>
            <w:tcBorders>
              <w:top w:val="nil"/>
              <w:left w:val="single" w:sz="8" w:space="0" w:color="auto"/>
              <w:bottom w:val="single" w:sz="8" w:space="0" w:color="auto"/>
              <w:right w:val="single" w:sz="8" w:space="0" w:color="auto"/>
            </w:tcBorders>
            <w:shd w:val="clear" w:color="auto" w:fill="auto"/>
            <w:vAlign w:val="center"/>
            <w:hideMark/>
          </w:tcPr>
          <w:p w14:paraId="0897EF9A" w14:textId="77777777" w:rsidR="007A23F8" w:rsidRPr="007A23F8" w:rsidRDefault="007A23F8" w:rsidP="007A23F8">
            <w:pPr>
              <w:spacing w:after="0" w:line="240" w:lineRule="auto"/>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Total</w:t>
            </w:r>
          </w:p>
        </w:tc>
        <w:tc>
          <w:tcPr>
            <w:tcW w:w="644" w:type="pct"/>
            <w:tcBorders>
              <w:top w:val="nil"/>
              <w:left w:val="nil"/>
              <w:bottom w:val="single" w:sz="8" w:space="0" w:color="auto"/>
              <w:right w:val="single" w:sz="8" w:space="0" w:color="auto"/>
            </w:tcBorders>
            <w:shd w:val="clear" w:color="auto" w:fill="auto"/>
            <w:noWrap/>
            <w:vAlign w:val="center"/>
          </w:tcPr>
          <w:p w14:paraId="47CF897D"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489</w:t>
            </w:r>
          </w:p>
        </w:tc>
        <w:tc>
          <w:tcPr>
            <w:tcW w:w="650" w:type="pct"/>
            <w:tcBorders>
              <w:top w:val="nil"/>
              <w:left w:val="nil"/>
              <w:bottom w:val="single" w:sz="8" w:space="0" w:color="auto"/>
              <w:right w:val="single" w:sz="8" w:space="0" w:color="auto"/>
            </w:tcBorders>
            <w:shd w:val="clear" w:color="auto" w:fill="auto"/>
            <w:noWrap/>
            <w:vAlign w:val="center"/>
          </w:tcPr>
          <w:p w14:paraId="7FDA5021"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530</w:t>
            </w:r>
          </w:p>
        </w:tc>
        <w:tc>
          <w:tcPr>
            <w:tcW w:w="644" w:type="pct"/>
            <w:tcBorders>
              <w:top w:val="nil"/>
              <w:left w:val="nil"/>
              <w:bottom w:val="single" w:sz="8" w:space="0" w:color="auto"/>
              <w:right w:val="single" w:sz="8" w:space="0" w:color="auto"/>
            </w:tcBorders>
            <w:shd w:val="clear" w:color="auto" w:fill="auto"/>
            <w:noWrap/>
            <w:vAlign w:val="center"/>
          </w:tcPr>
          <w:p w14:paraId="75410C61"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(41)</w:t>
            </w:r>
          </w:p>
        </w:tc>
        <w:tc>
          <w:tcPr>
            <w:tcW w:w="650" w:type="pct"/>
            <w:tcBorders>
              <w:top w:val="nil"/>
              <w:left w:val="nil"/>
              <w:bottom w:val="single" w:sz="8" w:space="0" w:color="auto"/>
              <w:right w:val="single" w:sz="8" w:space="0" w:color="auto"/>
            </w:tcBorders>
            <w:shd w:val="clear" w:color="auto" w:fill="auto"/>
            <w:noWrap/>
            <w:vAlign w:val="center"/>
            <w:hideMark/>
          </w:tcPr>
          <w:p w14:paraId="5B84D1F5"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304</w:t>
            </w:r>
          </w:p>
        </w:tc>
      </w:tr>
      <w:tr w:rsidR="007A23F8" w:rsidRPr="007A23F8" w14:paraId="6F4DFED2" w14:textId="77777777" w:rsidTr="00446A14">
        <w:trPr>
          <w:trHeight w:val="238"/>
        </w:trPr>
        <w:tc>
          <w:tcPr>
            <w:tcW w:w="2412" w:type="pct"/>
            <w:tcBorders>
              <w:top w:val="nil"/>
              <w:left w:val="single" w:sz="8" w:space="0" w:color="auto"/>
              <w:bottom w:val="single" w:sz="8" w:space="0" w:color="auto"/>
              <w:right w:val="single" w:sz="8" w:space="0" w:color="auto"/>
            </w:tcBorders>
            <w:shd w:val="clear" w:color="auto" w:fill="auto"/>
            <w:noWrap/>
            <w:vAlign w:val="center"/>
            <w:hideMark/>
          </w:tcPr>
          <w:p w14:paraId="335F73E5" w14:textId="77777777" w:rsidR="007A23F8" w:rsidRPr="007A23F8" w:rsidRDefault="007A23F8" w:rsidP="007A23F8">
            <w:pPr>
              <w:spacing w:after="0" w:line="240" w:lineRule="auto"/>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TOTAL GERAL</w:t>
            </w:r>
          </w:p>
        </w:tc>
        <w:tc>
          <w:tcPr>
            <w:tcW w:w="644" w:type="pct"/>
            <w:tcBorders>
              <w:top w:val="nil"/>
              <w:left w:val="nil"/>
              <w:bottom w:val="single" w:sz="8" w:space="0" w:color="auto"/>
              <w:right w:val="single" w:sz="8" w:space="0" w:color="auto"/>
            </w:tcBorders>
            <w:shd w:val="clear" w:color="auto" w:fill="auto"/>
            <w:noWrap/>
            <w:vAlign w:val="center"/>
          </w:tcPr>
          <w:p w14:paraId="6FEDF3FA"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58.885</w:t>
            </w:r>
          </w:p>
        </w:tc>
        <w:tc>
          <w:tcPr>
            <w:tcW w:w="650" w:type="pct"/>
            <w:tcBorders>
              <w:top w:val="nil"/>
              <w:left w:val="nil"/>
              <w:bottom w:val="single" w:sz="8" w:space="0" w:color="auto"/>
              <w:right w:val="single" w:sz="8" w:space="0" w:color="auto"/>
            </w:tcBorders>
            <w:shd w:val="clear" w:color="auto" w:fill="auto"/>
            <w:noWrap/>
            <w:vAlign w:val="center"/>
          </w:tcPr>
          <w:p w14:paraId="16B5AB38"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3.490</w:t>
            </w:r>
          </w:p>
        </w:tc>
        <w:tc>
          <w:tcPr>
            <w:tcW w:w="644" w:type="pct"/>
            <w:tcBorders>
              <w:top w:val="nil"/>
              <w:left w:val="nil"/>
              <w:bottom w:val="single" w:sz="8" w:space="0" w:color="auto"/>
              <w:right w:val="single" w:sz="8" w:space="0" w:color="auto"/>
            </w:tcBorders>
            <w:shd w:val="clear" w:color="auto" w:fill="auto"/>
            <w:noWrap/>
            <w:vAlign w:val="center"/>
          </w:tcPr>
          <w:p w14:paraId="52763E50"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55.395</w:t>
            </w:r>
          </w:p>
        </w:tc>
        <w:tc>
          <w:tcPr>
            <w:tcW w:w="650" w:type="pct"/>
            <w:tcBorders>
              <w:top w:val="nil"/>
              <w:left w:val="nil"/>
              <w:bottom w:val="single" w:sz="8" w:space="0" w:color="auto"/>
              <w:right w:val="single" w:sz="8" w:space="0" w:color="auto"/>
            </w:tcBorders>
            <w:shd w:val="clear" w:color="auto" w:fill="auto"/>
            <w:noWrap/>
            <w:vAlign w:val="center"/>
            <w:hideMark/>
          </w:tcPr>
          <w:p w14:paraId="1D415B08"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60.469</w:t>
            </w:r>
          </w:p>
        </w:tc>
      </w:tr>
      <w:tr w:rsidR="007A23F8" w:rsidRPr="007A23F8" w14:paraId="09F03248" w14:textId="77777777" w:rsidTr="00446A14">
        <w:trPr>
          <w:trHeight w:val="238"/>
        </w:trPr>
        <w:tc>
          <w:tcPr>
            <w:tcW w:w="2412" w:type="pct"/>
            <w:tcBorders>
              <w:top w:val="nil"/>
              <w:left w:val="single" w:sz="8" w:space="0" w:color="auto"/>
              <w:bottom w:val="single" w:sz="8" w:space="0" w:color="auto"/>
              <w:right w:val="single" w:sz="8" w:space="0" w:color="auto"/>
            </w:tcBorders>
            <w:shd w:val="clear" w:color="auto" w:fill="auto"/>
            <w:noWrap/>
            <w:vAlign w:val="center"/>
            <w:hideMark/>
          </w:tcPr>
          <w:p w14:paraId="1E35B1FB" w14:textId="77777777" w:rsidR="007A23F8" w:rsidRPr="007A23F8" w:rsidRDefault="007A23F8" w:rsidP="007A23F8">
            <w:pPr>
              <w:spacing w:after="0" w:line="240" w:lineRule="auto"/>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 xml:space="preserve">Circulante </w:t>
            </w:r>
          </w:p>
        </w:tc>
        <w:tc>
          <w:tcPr>
            <w:tcW w:w="644" w:type="pct"/>
            <w:tcBorders>
              <w:top w:val="nil"/>
              <w:left w:val="nil"/>
              <w:bottom w:val="single" w:sz="8" w:space="0" w:color="auto"/>
              <w:right w:val="single" w:sz="8" w:space="0" w:color="auto"/>
            </w:tcBorders>
            <w:shd w:val="clear" w:color="auto" w:fill="auto"/>
            <w:noWrap/>
            <w:vAlign w:val="center"/>
          </w:tcPr>
          <w:p w14:paraId="0CF9AF0C"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4.295</w:t>
            </w:r>
          </w:p>
        </w:tc>
        <w:tc>
          <w:tcPr>
            <w:tcW w:w="650" w:type="pct"/>
            <w:tcBorders>
              <w:top w:val="nil"/>
              <w:left w:val="nil"/>
              <w:bottom w:val="single" w:sz="8" w:space="0" w:color="auto"/>
              <w:right w:val="single" w:sz="8" w:space="0" w:color="auto"/>
            </w:tcBorders>
            <w:shd w:val="clear" w:color="auto" w:fill="auto"/>
            <w:noWrap/>
            <w:vAlign w:val="center"/>
          </w:tcPr>
          <w:p w14:paraId="61BD1010"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1.491</w:t>
            </w:r>
          </w:p>
        </w:tc>
        <w:tc>
          <w:tcPr>
            <w:tcW w:w="644" w:type="pct"/>
            <w:tcBorders>
              <w:top w:val="nil"/>
              <w:left w:val="nil"/>
              <w:bottom w:val="single" w:sz="8" w:space="0" w:color="auto"/>
              <w:right w:val="single" w:sz="8" w:space="0" w:color="auto"/>
            </w:tcBorders>
            <w:shd w:val="clear" w:color="auto" w:fill="auto"/>
            <w:noWrap/>
            <w:vAlign w:val="center"/>
          </w:tcPr>
          <w:p w14:paraId="2D1E1233"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2.804</w:t>
            </w:r>
          </w:p>
        </w:tc>
        <w:tc>
          <w:tcPr>
            <w:tcW w:w="650" w:type="pct"/>
            <w:tcBorders>
              <w:top w:val="nil"/>
              <w:left w:val="nil"/>
              <w:bottom w:val="single" w:sz="8" w:space="0" w:color="auto"/>
              <w:right w:val="single" w:sz="8" w:space="0" w:color="auto"/>
            </w:tcBorders>
            <w:shd w:val="clear" w:color="auto" w:fill="auto"/>
            <w:noWrap/>
            <w:vAlign w:val="center"/>
            <w:hideMark/>
          </w:tcPr>
          <w:p w14:paraId="75AD06F1"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10.930</w:t>
            </w:r>
          </w:p>
        </w:tc>
      </w:tr>
      <w:tr w:rsidR="007A23F8" w:rsidRPr="007A23F8" w14:paraId="59F34C7C" w14:textId="77777777" w:rsidTr="00446A14">
        <w:trPr>
          <w:trHeight w:val="238"/>
        </w:trPr>
        <w:tc>
          <w:tcPr>
            <w:tcW w:w="2412" w:type="pct"/>
            <w:tcBorders>
              <w:top w:val="nil"/>
              <w:left w:val="single" w:sz="8" w:space="0" w:color="auto"/>
              <w:bottom w:val="single" w:sz="8" w:space="0" w:color="auto"/>
              <w:right w:val="single" w:sz="8" w:space="0" w:color="auto"/>
            </w:tcBorders>
            <w:shd w:val="clear" w:color="auto" w:fill="auto"/>
            <w:noWrap/>
            <w:vAlign w:val="center"/>
            <w:hideMark/>
          </w:tcPr>
          <w:p w14:paraId="5EC5A8D4" w14:textId="77777777" w:rsidR="007A23F8" w:rsidRPr="007A23F8" w:rsidRDefault="007A23F8" w:rsidP="007A23F8">
            <w:pPr>
              <w:spacing w:after="0" w:line="240" w:lineRule="auto"/>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Não Circulante</w:t>
            </w:r>
          </w:p>
        </w:tc>
        <w:tc>
          <w:tcPr>
            <w:tcW w:w="644" w:type="pct"/>
            <w:tcBorders>
              <w:top w:val="nil"/>
              <w:left w:val="nil"/>
              <w:bottom w:val="single" w:sz="8" w:space="0" w:color="auto"/>
              <w:right w:val="single" w:sz="8" w:space="0" w:color="auto"/>
            </w:tcBorders>
            <w:shd w:val="clear" w:color="auto" w:fill="auto"/>
            <w:noWrap/>
            <w:vAlign w:val="center"/>
          </w:tcPr>
          <w:p w14:paraId="5FEAC174"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54.590</w:t>
            </w:r>
          </w:p>
        </w:tc>
        <w:tc>
          <w:tcPr>
            <w:tcW w:w="650" w:type="pct"/>
            <w:tcBorders>
              <w:top w:val="nil"/>
              <w:left w:val="nil"/>
              <w:bottom w:val="single" w:sz="8" w:space="0" w:color="auto"/>
              <w:right w:val="single" w:sz="8" w:space="0" w:color="auto"/>
            </w:tcBorders>
            <w:shd w:val="clear" w:color="auto" w:fill="auto"/>
            <w:noWrap/>
            <w:vAlign w:val="center"/>
          </w:tcPr>
          <w:p w14:paraId="4C0C6352"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1.999</w:t>
            </w:r>
          </w:p>
        </w:tc>
        <w:tc>
          <w:tcPr>
            <w:tcW w:w="644" w:type="pct"/>
            <w:tcBorders>
              <w:top w:val="nil"/>
              <w:left w:val="nil"/>
              <w:bottom w:val="single" w:sz="8" w:space="0" w:color="auto"/>
              <w:right w:val="single" w:sz="8" w:space="0" w:color="auto"/>
            </w:tcBorders>
            <w:shd w:val="clear" w:color="auto" w:fill="auto"/>
            <w:noWrap/>
            <w:vAlign w:val="center"/>
          </w:tcPr>
          <w:p w14:paraId="124B1503"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52.591</w:t>
            </w:r>
          </w:p>
        </w:tc>
        <w:tc>
          <w:tcPr>
            <w:tcW w:w="650" w:type="pct"/>
            <w:tcBorders>
              <w:top w:val="nil"/>
              <w:left w:val="nil"/>
              <w:bottom w:val="single" w:sz="8" w:space="0" w:color="auto"/>
              <w:right w:val="single" w:sz="8" w:space="0" w:color="auto"/>
            </w:tcBorders>
            <w:shd w:val="clear" w:color="auto" w:fill="auto"/>
            <w:noWrap/>
            <w:vAlign w:val="center"/>
            <w:hideMark/>
          </w:tcPr>
          <w:p w14:paraId="6571CDDC"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49.539</w:t>
            </w:r>
          </w:p>
        </w:tc>
      </w:tr>
    </w:tbl>
    <w:p w14:paraId="71F1BDF2" w14:textId="556FD48B" w:rsidR="007A23F8" w:rsidRPr="007A23F8" w:rsidRDefault="007A23F8" w:rsidP="007A23F8">
      <w:pPr>
        <w:autoSpaceDE w:val="0"/>
        <w:autoSpaceDN w:val="0"/>
        <w:adjustRightInd w:val="0"/>
        <w:spacing w:after="0" w:line="276" w:lineRule="auto"/>
        <w:jc w:val="both"/>
        <w:rPr>
          <w:rFonts w:ascii="Calibri" w:eastAsia="Times New Roman" w:hAnsi="Calibri" w:cs="Calibri"/>
          <w:b/>
          <w:bCs/>
          <w:iCs/>
          <w:color w:val="002060"/>
          <w:kern w:val="0"/>
          <w14:ligatures w14:val="none"/>
        </w:rPr>
      </w:pPr>
      <w:bookmarkStart w:id="413" w:name="_Toc491337747"/>
      <w:r>
        <w:rPr>
          <w:rFonts w:ascii="Calibri" w:eastAsia="Times New Roman" w:hAnsi="Calibri" w:cs="Calibri"/>
          <w:b/>
          <w:bCs/>
          <w:iCs/>
          <w:color w:val="002060"/>
          <w:kern w:val="0"/>
          <w14:ligatures w14:val="none"/>
        </w:rPr>
        <w:t xml:space="preserve">21.1.3. </w:t>
      </w:r>
      <w:r w:rsidRPr="007A23F8">
        <w:rPr>
          <w:rFonts w:ascii="Calibri" w:eastAsia="Times New Roman" w:hAnsi="Calibri" w:cs="Calibri"/>
          <w:b/>
          <w:bCs/>
          <w:iCs/>
          <w:color w:val="002060"/>
          <w:kern w:val="0"/>
          <w14:ligatures w14:val="none"/>
        </w:rPr>
        <w:t>Movimentação das provisões para riscos prováveis</w:t>
      </w:r>
      <w:bookmarkEnd w:id="413"/>
    </w:p>
    <w:tbl>
      <w:tblPr>
        <w:tblW w:w="5000" w:type="pct"/>
        <w:tblCellMar>
          <w:left w:w="70" w:type="dxa"/>
          <w:right w:w="70" w:type="dxa"/>
        </w:tblCellMar>
        <w:tblLook w:val="04A0" w:firstRow="1" w:lastRow="0" w:firstColumn="1" w:lastColumn="0" w:noHBand="0" w:noVBand="1"/>
      </w:tblPr>
      <w:tblGrid>
        <w:gridCol w:w="7824"/>
        <w:gridCol w:w="1937"/>
      </w:tblGrid>
      <w:tr w:rsidR="007A23F8" w:rsidRPr="007A23F8" w14:paraId="3FDB2DFF" w14:textId="77777777" w:rsidTr="00446A14">
        <w:trPr>
          <w:trHeight w:val="238"/>
        </w:trPr>
        <w:tc>
          <w:tcPr>
            <w:tcW w:w="40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C2AD8B" w14:textId="77777777" w:rsidR="007A23F8" w:rsidRPr="007A23F8" w:rsidRDefault="007A23F8" w:rsidP="007A23F8">
            <w:pPr>
              <w:spacing w:after="0" w:line="240" w:lineRule="auto"/>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Saldo em 31 de dezembro de 2022</w:t>
            </w:r>
          </w:p>
        </w:tc>
        <w:tc>
          <w:tcPr>
            <w:tcW w:w="992" w:type="pct"/>
            <w:tcBorders>
              <w:top w:val="single" w:sz="8" w:space="0" w:color="auto"/>
              <w:left w:val="nil"/>
              <w:bottom w:val="single" w:sz="8" w:space="0" w:color="auto"/>
              <w:right w:val="single" w:sz="8" w:space="0" w:color="auto"/>
            </w:tcBorders>
            <w:shd w:val="clear" w:color="auto" w:fill="auto"/>
            <w:noWrap/>
            <w:vAlign w:val="center"/>
            <w:hideMark/>
          </w:tcPr>
          <w:p w14:paraId="4888B6D7"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 xml:space="preserve">       63.850 </w:t>
            </w:r>
          </w:p>
        </w:tc>
      </w:tr>
      <w:tr w:rsidR="007A23F8" w:rsidRPr="007A23F8" w14:paraId="59A0160E" w14:textId="77777777" w:rsidTr="00446A14">
        <w:trPr>
          <w:trHeight w:val="238"/>
        </w:trPr>
        <w:tc>
          <w:tcPr>
            <w:tcW w:w="4008" w:type="pct"/>
            <w:tcBorders>
              <w:top w:val="nil"/>
              <w:left w:val="single" w:sz="8" w:space="0" w:color="auto"/>
              <w:bottom w:val="single" w:sz="8" w:space="0" w:color="auto"/>
              <w:right w:val="single" w:sz="8" w:space="0" w:color="auto"/>
            </w:tcBorders>
            <w:shd w:val="clear" w:color="auto" w:fill="auto"/>
            <w:noWrap/>
            <w:vAlign w:val="center"/>
            <w:hideMark/>
          </w:tcPr>
          <w:p w14:paraId="56806BF3" w14:textId="77777777" w:rsidR="007A23F8" w:rsidRPr="007A23F8" w:rsidRDefault="007A23F8" w:rsidP="007A23F8">
            <w:pPr>
              <w:spacing w:after="0" w:line="240" w:lineRule="auto"/>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Constituição de Provisão</w:t>
            </w:r>
          </w:p>
        </w:tc>
        <w:tc>
          <w:tcPr>
            <w:tcW w:w="992" w:type="pct"/>
            <w:tcBorders>
              <w:top w:val="nil"/>
              <w:left w:val="nil"/>
              <w:bottom w:val="single" w:sz="8" w:space="0" w:color="auto"/>
              <w:right w:val="single" w:sz="8" w:space="0" w:color="auto"/>
            </w:tcBorders>
            <w:shd w:val="clear" w:color="auto" w:fill="auto"/>
            <w:noWrap/>
            <w:vAlign w:val="center"/>
            <w:hideMark/>
          </w:tcPr>
          <w:p w14:paraId="17BA1ABA"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 xml:space="preserve">             962 </w:t>
            </w:r>
          </w:p>
        </w:tc>
      </w:tr>
      <w:tr w:rsidR="007A23F8" w:rsidRPr="007A23F8" w14:paraId="3FCDD2DD" w14:textId="77777777" w:rsidTr="00446A14">
        <w:trPr>
          <w:trHeight w:val="238"/>
        </w:trPr>
        <w:tc>
          <w:tcPr>
            <w:tcW w:w="4008" w:type="pct"/>
            <w:tcBorders>
              <w:top w:val="nil"/>
              <w:left w:val="single" w:sz="8" w:space="0" w:color="auto"/>
              <w:bottom w:val="single" w:sz="8" w:space="0" w:color="auto"/>
              <w:right w:val="single" w:sz="8" w:space="0" w:color="auto"/>
            </w:tcBorders>
            <w:shd w:val="clear" w:color="auto" w:fill="auto"/>
            <w:noWrap/>
            <w:vAlign w:val="center"/>
            <w:hideMark/>
          </w:tcPr>
          <w:p w14:paraId="6D7AF1AC" w14:textId="77777777" w:rsidR="007A23F8" w:rsidRPr="007A23F8" w:rsidRDefault="007A23F8" w:rsidP="007A23F8">
            <w:pPr>
              <w:spacing w:after="0" w:line="240" w:lineRule="auto"/>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lastRenderedPageBreak/>
              <w:t>Reversão de Provisões</w:t>
            </w:r>
          </w:p>
        </w:tc>
        <w:tc>
          <w:tcPr>
            <w:tcW w:w="992" w:type="pct"/>
            <w:tcBorders>
              <w:top w:val="nil"/>
              <w:left w:val="nil"/>
              <w:bottom w:val="single" w:sz="8" w:space="0" w:color="auto"/>
              <w:right w:val="single" w:sz="8" w:space="0" w:color="auto"/>
            </w:tcBorders>
            <w:shd w:val="clear" w:color="auto" w:fill="auto"/>
            <w:noWrap/>
            <w:vAlign w:val="center"/>
            <w:hideMark/>
          </w:tcPr>
          <w:p w14:paraId="2096447A"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 xml:space="preserve">        (9.213)</w:t>
            </w:r>
          </w:p>
        </w:tc>
      </w:tr>
      <w:tr w:rsidR="007A23F8" w:rsidRPr="007A23F8" w14:paraId="432FA97B" w14:textId="77777777" w:rsidTr="00446A14">
        <w:trPr>
          <w:trHeight w:val="238"/>
        </w:trPr>
        <w:tc>
          <w:tcPr>
            <w:tcW w:w="4008" w:type="pct"/>
            <w:tcBorders>
              <w:top w:val="nil"/>
              <w:left w:val="single" w:sz="8" w:space="0" w:color="auto"/>
              <w:bottom w:val="single" w:sz="8" w:space="0" w:color="auto"/>
              <w:right w:val="single" w:sz="8" w:space="0" w:color="auto"/>
            </w:tcBorders>
            <w:shd w:val="clear" w:color="auto" w:fill="auto"/>
            <w:noWrap/>
            <w:vAlign w:val="center"/>
            <w:hideMark/>
          </w:tcPr>
          <w:p w14:paraId="561F3A41" w14:textId="77777777" w:rsidR="007A23F8" w:rsidRPr="007A23F8" w:rsidRDefault="007A23F8" w:rsidP="007A23F8">
            <w:pPr>
              <w:spacing w:after="0" w:line="240" w:lineRule="auto"/>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Juros Incorridos</w:t>
            </w:r>
          </w:p>
        </w:tc>
        <w:tc>
          <w:tcPr>
            <w:tcW w:w="992" w:type="pct"/>
            <w:tcBorders>
              <w:top w:val="nil"/>
              <w:left w:val="nil"/>
              <w:bottom w:val="single" w:sz="8" w:space="0" w:color="auto"/>
              <w:right w:val="single" w:sz="8" w:space="0" w:color="auto"/>
            </w:tcBorders>
            <w:shd w:val="clear" w:color="auto" w:fill="auto"/>
            <w:noWrap/>
            <w:vAlign w:val="center"/>
            <w:hideMark/>
          </w:tcPr>
          <w:p w14:paraId="070AC4E1"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 xml:space="preserve">          5.037 </w:t>
            </w:r>
          </w:p>
        </w:tc>
      </w:tr>
      <w:tr w:rsidR="007A23F8" w:rsidRPr="007A23F8" w14:paraId="6CAA3B73" w14:textId="77777777" w:rsidTr="00446A14">
        <w:trPr>
          <w:trHeight w:val="238"/>
        </w:trPr>
        <w:tc>
          <w:tcPr>
            <w:tcW w:w="4008" w:type="pct"/>
            <w:tcBorders>
              <w:top w:val="nil"/>
              <w:left w:val="single" w:sz="8" w:space="0" w:color="auto"/>
              <w:bottom w:val="single" w:sz="8" w:space="0" w:color="auto"/>
              <w:right w:val="single" w:sz="8" w:space="0" w:color="auto"/>
            </w:tcBorders>
            <w:shd w:val="clear" w:color="auto" w:fill="auto"/>
            <w:noWrap/>
            <w:vAlign w:val="center"/>
            <w:hideMark/>
          </w:tcPr>
          <w:p w14:paraId="1685A0F0" w14:textId="77777777" w:rsidR="007A23F8" w:rsidRPr="007A23F8" w:rsidRDefault="007A23F8" w:rsidP="007A23F8">
            <w:pPr>
              <w:spacing w:after="0" w:line="240" w:lineRule="auto"/>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Atualização Monetária</w:t>
            </w:r>
          </w:p>
        </w:tc>
        <w:tc>
          <w:tcPr>
            <w:tcW w:w="992" w:type="pct"/>
            <w:tcBorders>
              <w:top w:val="nil"/>
              <w:left w:val="nil"/>
              <w:bottom w:val="single" w:sz="8" w:space="0" w:color="auto"/>
              <w:right w:val="single" w:sz="8" w:space="0" w:color="auto"/>
            </w:tcBorders>
            <w:shd w:val="clear" w:color="auto" w:fill="auto"/>
            <w:noWrap/>
            <w:vAlign w:val="center"/>
            <w:hideMark/>
          </w:tcPr>
          <w:p w14:paraId="1F7BD515"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 xml:space="preserve">          1.738 </w:t>
            </w:r>
          </w:p>
        </w:tc>
      </w:tr>
      <w:tr w:rsidR="007A23F8" w:rsidRPr="007A23F8" w14:paraId="568419C7" w14:textId="77777777" w:rsidTr="00446A14">
        <w:trPr>
          <w:trHeight w:val="238"/>
        </w:trPr>
        <w:tc>
          <w:tcPr>
            <w:tcW w:w="4008" w:type="pct"/>
            <w:tcBorders>
              <w:top w:val="nil"/>
              <w:left w:val="single" w:sz="8" w:space="0" w:color="auto"/>
              <w:bottom w:val="single" w:sz="8" w:space="0" w:color="auto"/>
              <w:right w:val="single" w:sz="8" w:space="0" w:color="auto"/>
            </w:tcBorders>
            <w:shd w:val="clear" w:color="auto" w:fill="auto"/>
            <w:noWrap/>
            <w:vAlign w:val="center"/>
            <w:hideMark/>
          </w:tcPr>
          <w:p w14:paraId="59B7AD27" w14:textId="77777777" w:rsidR="007A23F8" w:rsidRPr="007A23F8" w:rsidRDefault="007A23F8" w:rsidP="007A23F8">
            <w:pPr>
              <w:spacing w:after="0" w:line="240" w:lineRule="auto"/>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 xml:space="preserve">Baixas </w:t>
            </w:r>
          </w:p>
        </w:tc>
        <w:tc>
          <w:tcPr>
            <w:tcW w:w="992" w:type="pct"/>
            <w:tcBorders>
              <w:top w:val="nil"/>
              <w:left w:val="nil"/>
              <w:bottom w:val="single" w:sz="8" w:space="0" w:color="auto"/>
              <w:right w:val="single" w:sz="8" w:space="0" w:color="auto"/>
            </w:tcBorders>
            <w:shd w:val="clear" w:color="auto" w:fill="auto"/>
            <w:noWrap/>
            <w:vAlign w:val="center"/>
            <w:hideMark/>
          </w:tcPr>
          <w:p w14:paraId="767A8D1A"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 xml:space="preserve">        (3.489)</w:t>
            </w:r>
          </w:p>
        </w:tc>
      </w:tr>
      <w:tr w:rsidR="007A23F8" w:rsidRPr="007A23F8" w14:paraId="4FB1FB71" w14:textId="77777777" w:rsidTr="00446A14">
        <w:trPr>
          <w:trHeight w:val="238"/>
        </w:trPr>
        <w:tc>
          <w:tcPr>
            <w:tcW w:w="4008" w:type="pct"/>
            <w:tcBorders>
              <w:top w:val="nil"/>
              <w:left w:val="single" w:sz="8" w:space="0" w:color="auto"/>
              <w:bottom w:val="single" w:sz="8" w:space="0" w:color="auto"/>
              <w:right w:val="single" w:sz="8" w:space="0" w:color="auto"/>
            </w:tcBorders>
            <w:shd w:val="clear" w:color="auto" w:fill="auto"/>
            <w:noWrap/>
            <w:vAlign w:val="center"/>
            <w:hideMark/>
          </w:tcPr>
          <w:p w14:paraId="24DDC089" w14:textId="77777777" w:rsidR="007A23F8" w:rsidRPr="007A23F8" w:rsidRDefault="007A23F8" w:rsidP="007A23F8">
            <w:pPr>
              <w:spacing w:after="0" w:line="240" w:lineRule="auto"/>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Saldo em 31 de dezembro de 2023</w:t>
            </w:r>
          </w:p>
        </w:tc>
        <w:tc>
          <w:tcPr>
            <w:tcW w:w="992" w:type="pct"/>
            <w:tcBorders>
              <w:top w:val="nil"/>
              <w:left w:val="nil"/>
              <w:bottom w:val="single" w:sz="8" w:space="0" w:color="auto"/>
              <w:right w:val="single" w:sz="8" w:space="0" w:color="auto"/>
            </w:tcBorders>
            <w:shd w:val="clear" w:color="auto" w:fill="auto"/>
            <w:noWrap/>
            <w:vAlign w:val="center"/>
            <w:hideMark/>
          </w:tcPr>
          <w:p w14:paraId="6A30080E"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 xml:space="preserve">       58.885 </w:t>
            </w:r>
          </w:p>
        </w:tc>
      </w:tr>
    </w:tbl>
    <w:p w14:paraId="551239D6" w14:textId="77777777" w:rsidR="007A23F8" w:rsidRPr="007A23F8" w:rsidRDefault="007A23F8" w:rsidP="007A23F8">
      <w:pPr>
        <w:autoSpaceDE w:val="0"/>
        <w:autoSpaceDN w:val="0"/>
        <w:adjustRightInd w:val="0"/>
        <w:spacing w:after="0" w:line="240" w:lineRule="auto"/>
        <w:jc w:val="both"/>
        <w:rPr>
          <w:rFonts w:ascii="Calibri" w:eastAsia="Times New Roman" w:hAnsi="Calibri" w:cs="Calibri"/>
          <w:iCs/>
          <w:color w:val="002060"/>
          <w:kern w:val="0"/>
          <w14:ligatures w14:val="none"/>
        </w:rPr>
      </w:pPr>
      <w:r w:rsidRPr="007A23F8">
        <w:rPr>
          <w:rFonts w:ascii="Calibri" w:eastAsia="Times New Roman" w:hAnsi="Calibri" w:cs="Calibri"/>
          <w:iCs/>
          <w:color w:val="002060"/>
          <w:kern w:val="0"/>
          <w14:ligatures w14:val="none"/>
        </w:rPr>
        <w:t>A Administração, tendo em vista os prazos e a dinâmica dos sistemas judiciário, tributário e regulatório, acredita não ser praticável fornecer informações úteis aos usuários dessas informações contábeis a respeito do momento de eventuais saídas de caixa, bem como de qualquer possibilidade de reembolsos. A Companhia acredita que eventuais desembolsos, em excesso aos montantes provisionados, após o desfecho dos respectivos processos, não afetarão, de forma relevante, o resultado das suas operações e a posição financeira.</w:t>
      </w:r>
    </w:p>
    <w:p w14:paraId="6BB1A630" w14:textId="21DC50DD" w:rsidR="007A23F8" w:rsidRPr="007A23F8" w:rsidRDefault="007A23F8" w:rsidP="007A23F8">
      <w:pPr>
        <w:autoSpaceDE w:val="0"/>
        <w:autoSpaceDN w:val="0"/>
        <w:adjustRightInd w:val="0"/>
        <w:spacing w:after="0" w:line="240" w:lineRule="auto"/>
        <w:jc w:val="both"/>
        <w:rPr>
          <w:rFonts w:ascii="Calibri" w:eastAsia="Times New Roman" w:hAnsi="Calibri" w:cs="Calibri"/>
          <w:b/>
          <w:bCs/>
          <w:iCs/>
          <w:color w:val="002060"/>
          <w:kern w:val="0"/>
          <w14:ligatures w14:val="none"/>
        </w:rPr>
      </w:pPr>
      <w:bookmarkStart w:id="414" w:name="_Toc491337748"/>
      <w:r>
        <w:rPr>
          <w:rFonts w:ascii="Calibri" w:eastAsia="Times New Roman" w:hAnsi="Calibri" w:cs="Calibri"/>
          <w:b/>
          <w:bCs/>
          <w:iCs/>
          <w:color w:val="002060"/>
          <w:kern w:val="0"/>
          <w14:ligatures w14:val="none"/>
        </w:rPr>
        <w:t xml:space="preserve">21.2. </w:t>
      </w:r>
      <w:r w:rsidRPr="007A23F8">
        <w:rPr>
          <w:rFonts w:ascii="Calibri" w:eastAsia="Times New Roman" w:hAnsi="Calibri" w:cs="Calibri"/>
          <w:b/>
          <w:bCs/>
          <w:iCs/>
          <w:color w:val="002060"/>
          <w:kern w:val="0"/>
          <w14:ligatures w14:val="none"/>
        </w:rPr>
        <w:t>Provisão para riscos possíveis (Passivos contingentes)</w:t>
      </w:r>
      <w:bookmarkEnd w:id="414"/>
    </w:p>
    <w:p w14:paraId="7CD3D60C" w14:textId="77777777" w:rsidR="007A23F8" w:rsidRDefault="007A23F8" w:rsidP="007A23F8">
      <w:pPr>
        <w:autoSpaceDE w:val="0"/>
        <w:autoSpaceDN w:val="0"/>
        <w:adjustRightInd w:val="0"/>
        <w:spacing w:after="0" w:line="240" w:lineRule="auto"/>
        <w:jc w:val="both"/>
        <w:rPr>
          <w:rFonts w:ascii="Calibri" w:eastAsia="Times New Roman" w:hAnsi="Calibri" w:cs="Calibri"/>
          <w:iCs/>
          <w:color w:val="002060"/>
          <w:kern w:val="0"/>
          <w14:ligatures w14:val="none"/>
        </w:rPr>
      </w:pPr>
      <w:r w:rsidRPr="007A23F8">
        <w:rPr>
          <w:rFonts w:ascii="Calibri" w:eastAsia="Times New Roman" w:hAnsi="Calibri" w:cs="Calibri"/>
          <w:iCs/>
          <w:color w:val="002060"/>
          <w:kern w:val="0"/>
          <w14:ligatures w14:val="none"/>
        </w:rPr>
        <w:t>Os processos judiciais que constituem obrigações presentes, cuja saída de recursos não é provável ou que não possa ser feita uma estimativa suficientemente confiável do valor, bem como aqueles que não constituem obrigações presentes, não são reconhecidos, mas divulgados, a menos que seja remota a possibilidade de saída de recursos. Os passivos contingentes estimados para os processos judiciais em 31 de dezembro de 2023, para os quais a probabilidade de perda é considerada possível, são apresentados a seguir:</w:t>
      </w:r>
    </w:p>
    <w:tbl>
      <w:tblPr>
        <w:tblW w:w="5000" w:type="pct"/>
        <w:tblCellMar>
          <w:left w:w="70" w:type="dxa"/>
          <w:right w:w="70" w:type="dxa"/>
        </w:tblCellMar>
        <w:tblLook w:val="04A0" w:firstRow="1" w:lastRow="0" w:firstColumn="1" w:lastColumn="0" w:noHBand="0" w:noVBand="1"/>
      </w:tblPr>
      <w:tblGrid>
        <w:gridCol w:w="6505"/>
        <w:gridCol w:w="1628"/>
        <w:gridCol w:w="1628"/>
      </w:tblGrid>
      <w:tr w:rsidR="007A23F8" w:rsidRPr="007A23F8" w14:paraId="59198B21" w14:textId="77777777" w:rsidTr="00446A14">
        <w:trPr>
          <w:trHeight w:val="238"/>
        </w:trPr>
        <w:tc>
          <w:tcPr>
            <w:tcW w:w="3332"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36EFC657" w14:textId="77777777" w:rsidR="007A23F8" w:rsidRPr="007A23F8" w:rsidRDefault="007A23F8" w:rsidP="007A23F8">
            <w:pPr>
              <w:spacing w:after="0" w:line="240" w:lineRule="auto"/>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Natureza:</w:t>
            </w:r>
          </w:p>
        </w:tc>
        <w:tc>
          <w:tcPr>
            <w:tcW w:w="834" w:type="pct"/>
            <w:tcBorders>
              <w:top w:val="single" w:sz="8" w:space="0" w:color="auto"/>
              <w:left w:val="nil"/>
              <w:bottom w:val="single" w:sz="8" w:space="0" w:color="auto"/>
              <w:right w:val="single" w:sz="8" w:space="0" w:color="auto"/>
            </w:tcBorders>
            <w:shd w:val="clear" w:color="auto" w:fill="auto"/>
            <w:noWrap/>
            <w:vAlign w:val="center"/>
            <w:hideMark/>
          </w:tcPr>
          <w:p w14:paraId="2798D03F" w14:textId="77777777" w:rsidR="007A23F8" w:rsidRPr="007A23F8" w:rsidRDefault="007A23F8" w:rsidP="007A23F8">
            <w:pPr>
              <w:spacing w:after="0" w:line="240" w:lineRule="auto"/>
              <w:jc w:val="center"/>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31/12/2023</w:t>
            </w:r>
          </w:p>
        </w:tc>
        <w:tc>
          <w:tcPr>
            <w:tcW w:w="834" w:type="pct"/>
            <w:tcBorders>
              <w:top w:val="single" w:sz="8" w:space="0" w:color="auto"/>
              <w:left w:val="nil"/>
              <w:bottom w:val="single" w:sz="8" w:space="0" w:color="auto"/>
              <w:right w:val="single" w:sz="8" w:space="0" w:color="auto"/>
            </w:tcBorders>
            <w:shd w:val="clear" w:color="auto" w:fill="auto"/>
            <w:noWrap/>
            <w:vAlign w:val="center"/>
            <w:hideMark/>
          </w:tcPr>
          <w:p w14:paraId="2C79D628" w14:textId="77777777" w:rsidR="007A23F8" w:rsidRPr="007A23F8" w:rsidRDefault="007A23F8" w:rsidP="007A23F8">
            <w:pPr>
              <w:spacing w:after="0" w:line="240" w:lineRule="auto"/>
              <w:jc w:val="center"/>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31/12/2022</w:t>
            </w:r>
          </w:p>
        </w:tc>
      </w:tr>
      <w:tr w:rsidR="007A23F8" w:rsidRPr="007A23F8" w14:paraId="2ADA19E9" w14:textId="77777777" w:rsidTr="00446A14">
        <w:trPr>
          <w:trHeight w:val="238"/>
        </w:trPr>
        <w:tc>
          <w:tcPr>
            <w:tcW w:w="3332" w:type="pct"/>
            <w:tcBorders>
              <w:top w:val="nil"/>
              <w:left w:val="single" w:sz="8" w:space="0" w:color="auto"/>
              <w:bottom w:val="single" w:sz="8" w:space="0" w:color="auto"/>
              <w:right w:val="single" w:sz="8" w:space="0" w:color="auto"/>
            </w:tcBorders>
            <w:shd w:val="clear" w:color="auto" w:fill="auto"/>
            <w:vAlign w:val="center"/>
            <w:hideMark/>
          </w:tcPr>
          <w:p w14:paraId="43FB5F95" w14:textId="77777777" w:rsidR="007A23F8" w:rsidRPr="007A23F8" w:rsidRDefault="007A23F8" w:rsidP="007A23F8">
            <w:pPr>
              <w:spacing w:after="0" w:line="240" w:lineRule="auto"/>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Cível</w:t>
            </w:r>
          </w:p>
        </w:tc>
        <w:tc>
          <w:tcPr>
            <w:tcW w:w="834" w:type="pct"/>
            <w:tcBorders>
              <w:top w:val="nil"/>
              <w:left w:val="nil"/>
              <w:bottom w:val="single" w:sz="8" w:space="0" w:color="auto"/>
              <w:right w:val="single" w:sz="8" w:space="0" w:color="auto"/>
            </w:tcBorders>
            <w:shd w:val="clear" w:color="auto" w:fill="auto"/>
            <w:vAlign w:val="center"/>
            <w:hideMark/>
          </w:tcPr>
          <w:p w14:paraId="1D8EB4DE"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100.031</w:t>
            </w:r>
          </w:p>
        </w:tc>
        <w:tc>
          <w:tcPr>
            <w:tcW w:w="834" w:type="pct"/>
            <w:tcBorders>
              <w:top w:val="nil"/>
              <w:left w:val="nil"/>
              <w:bottom w:val="single" w:sz="8" w:space="0" w:color="auto"/>
              <w:right w:val="single" w:sz="8" w:space="0" w:color="auto"/>
            </w:tcBorders>
            <w:shd w:val="clear" w:color="auto" w:fill="auto"/>
            <w:vAlign w:val="center"/>
            <w:hideMark/>
          </w:tcPr>
          <w:p w14:paraId="06BD650B"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95.555</w:t>
            </w:r>
          </w:p>
        </w:tc>
      </w:tr>
      <w:tr w:rsidR="007A23F8" w:rsidRPr="007A23F8" w14:paraId="0F9AD880" w14:textId="77777777" w:rsidTr="00446A14">
        <w:trPr>
          <w:trHeight w:val="238"/>
        </w:trPr>
        <w:tc>
          <w:tcPr>
            <w:tcW w:w="3332" w:type="pct"/>
            <w:tcBorders>
              <w:top w:val="nil"/>
              <w:left w:val="single" w:sz="8" w:space="0" w:color="auto"/>
              <w:bottom w:val="single" w:sz="8" w:space="0" w:color="auto"/>
              <w:right w:val="single" w:sz="8" w:space="0" w:color="auto"/>
            </w:tcBorders>
            <w:shd w:val="clear" w:color="auto" w:fill="auto"/>
            <w:vAlign w:val="center"/>
            <w:hideMark/>
          </w:tcPr>
          <w:p w14:paraId="0C20BAFE" w14:textId="77777777" w:rsidR="007A23F8" w:rsidRPr="007A23F8" w:rsidRDefault="007A23F8" w:rsidP="007A23F8">
            <w:pPr>
              <w:spacing w:after="0" w:line="240" w:lineRule="auto"/>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Tributária</w:t>
            </w:r>
          </w:p>
        </w:tc>
        <w:tc>
          <w:tcPr>
            <w:tcW w:w="834" w:type="pct"/>
            <w:tcBorders>
              <w:top w:val="nil"/>
              <w:left w:val="nil"/>
              <w:bottom w:val="single" w:sz="8" w:space="0" w:color="auto"/>
              <w:right w:val="single" w:sz="8" w:space="0" w:color="auto"/>
            </w:tcBorders>
            <w:shd w:val="clear" w:color="auto" w:fill="auto"/>
            <w:vAlign w:val="center"/>
            <w:hideMark/>
          </w:tcPr>
          <w:p w14:paraId="5EB2505A"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25.348</w:t>
            </w:r>
          </w:p>
        </w:tc>
        <w:tc>
          <w:tcPr>
            <w:tcW w:w="834" w:type="pct"/>
            <w:tcBorders>
              <w:top w:val="nil"/>
              <w:left w:val="nil"/>
              <w:bottom w:val="single" w:sz="8" w:space="0" w:color="auto"/>
              <w:right w:val="single" w:sz="8" w:space="0" w:color="auto"/>
            </w:tcBorders>
            <w:shd w:val="clear" w:color="auto" w:fill="auto"/>
            <w:vAlign w:val="center"/>
            <w:hideMark/>
          </w:tcPr>
          <w:p w14:paraId="79C181BB"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24.003</w:t>
            </w:r>
          </w:p>
        </w:tc>
      </w:tr>
      <w:tr w:rsidR="007A23F8" w:rsidRPr="007A23F8" w14:paraId="431FAD27" w14:textId="77777777" w:rsidTr="00446A14">
        <w:trPr>
          <w:trHeight w:val="238"/>
        </w:trPr>
        <w:tc>
          <w:tcPr>
            <w:tcW w:w="3332" w:type="pct"/>
            <w:tcBorders>
              <w:top w:val="nil"/>
              <w:left w:val="single" w:sz="8" w:space="0" w:color="auto"/>
              <w:bottom w:val="single" w:sz="8" w:space="0" w:color="auto"/>
              <w:right w:val="single" w:sz="8" w:space="0" w:color="auto"/>
            </w:tcBorders>
            <w:shd w:val="clear" w:color="auto" w:fill="auto"/>
            <w:vAlign w:val="center"/>
            <w:hideMark/>
          </w:tcPr>
          <w:p w14:paraId="427059D3" w14:textId="77777777" w:rsidR="007A23F8" w:rsidRPr="007A23F8" w:rsidRDefault="007A23F8" w:rsidP="007A23F8">
            <w:pPr>
              <w:spacing w:after="0" w:line="240" w:lineRule="auto"/>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Trabalhista</w:t>
            </w:r>
          </w:p>
        </w:tc>
        <w:tc>
          <w:tcPr>
            <w:tcW w:w="834" w:type="pct"/>
            <w:tcBorders>
              <w:top w:val="nil"/>
              <w:left w:val="nil"/>
              <w:bottom w:val="single" w:sz="8" w:space="0" w:color="auto"/>
              <w:right w:val="single" w:sz="8" w:space="0" w:color="auto"/>
            </w:tcBorders>
            <w:shd w:val="clear" w:color="auto" w:fill="auto"/>
            <w:vAlign w:val="center"/>
            <w:hideMark/>
          </w:tcPr>
          <w:p w14:paraId="6B32DDC0"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769</w:t>
            </w:r>
          </w:p>
        </w:tc>
        <w:tc>
          <w:tcPr>
            <w:tcW w:w="834" w:type="pct"/>
            <w:tcBorders>
              <w:top w:val="nil"/>
              <w:left w:val="nil"/>
              <w:bottom w:val="single" w:sz="8" w:space="0" w:color="auto"/>
              <w:right w:val="single" w:sz="8" w:space="0" w:color="auto"/>
            </w:tcBorders>
            <w:shd w:val="clear" w:color="auto" w:fill="auto"/>
            <w:vAlign w:val="center"/>
            <w:hideMark/>
          </w:tcPr>
          <w:p w14:paraId="1971F062" w14:textId="77777777" w:rsidR="007A23F8" w:rsidRPr="007A23F8" w:rsidRDefault="007A23F8" w:rsidP="007A23F8">
            <w:pPr>
              <w:spacing w:after="0" w:line="240" w:lineRule="auto"/>
              <w:jc w:val="right"/>
              <w:rPr>
                <w:rFonts w:ascii="Arial" w:eastAsia="Times New Roman" w:hAnsi="Arial" w:cs="Arial"/>
                <w:color w:val="000000"/>
                <w:kern w:val="0"/>
                <w:sz w:val="18"/>
                <w:szCs w:val="18"/>
                <w:lang w:eastAsia="pt-BR"/>
                <w14:ligatures w14:val="none"/>
              </w:rPr>
            </w:pPr>
            <w:r w:rsidRPr="007A23F8">
              <w:rPr>
                <w:rFonts w:ascii="Arial" w:eastAsia="Times New Roman" w:hAnsi="Arial" w:cs="Arial"/>
                <w:color w:val="000000"/>
                <w:kern w:val="0"/>
                <w:sz w:val="18"/>
                <w:szCs w:val="18"/>
                <w:lang w:eastAsia="pt-BR"/>
                <w14:ligatures w14:val="none"/>
              </w:rPr>
              <w:t>562</w:t>
            </w:r>
          </w:p>
        </w:tc>
      </w:tr>
      <w:tr w:rsidR="007A23F8" w:rsidRPr="007A23F8" w14:paraId="706D326F" w14:textId="77777777" w:rsidTr="00446A14">
        <w:trPr>
          <w:trHeight w:val="238"/>
        </w:trPr>
        <w:tc>
          <w:tcPr>
            <w:tcW w:w="3332" w:type="pct"/>
            <w:tcBorders>
              <w:top w:val="nil"/>
              <w:left w:val="single" w:sz="8" w:space="0" w:color="auto"/>
              <w:bottom w:val="single" w:sz="8" w:space="0" w:color="auto"/>
              <w:right w:val="single" w:sz="8" w:space="0" w:color="auto"/>
            </w:tcBorders>
            <w:shd w:val="clear" w:color="auto" w:fill="auto"/>
            <w:vAlign w:val="center"/>
            <w:hideMark/>
          </w:tcPr>
          <w:p w14:paraId="31428AEF" w14:textId="77777777" w:rsidR="007A23F8" w:rsidRPr="007A23F8" w:rsidRDefault="007A23F8" w:rsidP="007A23F8">
            <w:pPr>
              <w:spacing w:after="0" w:line="240" w:lineRule="auto"/>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Total</w:t>
            </w:r>
          </w:p>
        </w:tc>
        <w:tc>
          <w:tcPr>
            <w:tcW w:w="834" w:type="pct"/>
            <w:tcBorders>
              <w:top w:val="nil"/>
              <w:left w:val="nil"/>
              <w:bottom w:val="single" w:sz="8" w:space="0" w:color="auto"/>
              <w:right w:val="single" w:sz="8" w:space="0" w:color="auto"/>
            </w:tcBorders>
            <w:shd w:val="clear" w:color="auto" w:fill="auto"/>
            <w:vAlign w:val="center"/>
            <w:hideMark/>
          </w:tcPr>
          <w:p w14:paraId="60D8BD87"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126.148</w:t>
            </w:r>
          </w:p>
        </w:tc>
        <w:tc>
          <w:tcPr>
            <w:tcW w:w="834" w:type="pct"/>
            <w:tcBorders>
              <w:top w:val="nil"/>
              <w:left w:val="nil"/>
              <w:bottom w:val="single" w:sz="8" w:space="0" w:color="auto"/>
              <w:right w:val="single" w:sz="8" w:space="0" w:color="auto"/>
            </w:tcBorders>
            <w:shd w:val="clear" w:color="auto" w:fill="auto"/>
            <w:vAlign w:val="center"/>
            <w:hideMark/>
          </w:tcPr>
          <w:p w14:paraId="75EBC18D" w14:textId="77777777" w:rsidR="007A23F8" w:rsidRPr="007A23F8" w:rsidRDefault="007A23F8" w:rsidP="007A23F8">
            <w:pPr>
              <w:spacing w:after="0" w:line="240" w:lineRule="auto"/>
              <w:jc w:val="right"/>
              <w:rPr>
                <w:rFonts w:ascii="Arial" w:eastAsia="Times New Roman" w:hAnsi="Arial" w:cs="Arial"/>
                <w:b/>
                <w:bCs/>
                <w:color w:val="000000"/>
                <w:kern w:val="0"/>
                <w:sz w:val="18"/>
                <w:szCs w:val="18"/>
                <w:lang w:eastAsia="pt-BR"/>
                <w14:ligatures w14:val="none"/>
              </w:rPr>
            </w:pPr>
            <w:r w:rsidRPr="007A23F8">
              <w:rPr>
                <w:rFonts w:ascii="Arial" w:eastAsia="Times New Roman" w:hAnsi="Arial" w:cs="Arial"/>
                <w:b/>
                <w:bCs/>
                <w:color w:val="000000"/>
                <w:kern w:val="0"/>
                <w:sz w:val="18"/>
                <w:szCs w:val="18"/>
                <w:lang w:eastAsia="pt-BR"/>
                <w14:ligatures w14:val="none"/>
              </w:rPr>
              <w:t>120.120</w:t>
            </w:r>
          </w:p>
        </w:tc>
      </w:tr>
    </w:tbl>
    <w:p w14:paraId="6C7BC1FF" w14:textId="324321EF" w:rsidR="001053EF" w:rsidRPr="001053EF" w:rsidRDefault="001053EF" w:rsidP="001053EF">
      <w:pPr>
        <w:autoSpaceDE w:val="0"/>
        <w:autoSpaceDN w:val="0"/>
        <w:adjustRightInd w:val="0"/>
        <w:spacing w:after="0" w:line="276" w:lineRule="auto"/>
        <w:jc w:val="both"/>
        <w:rPr>
          <w:rFonts w:ascii="Calibri" w:eastAsia="Times New Roman" w:hAnsi="Calibri" w:cs="Calibri"/>
          <w:b/>
          <w:bCs/>
          <w:iCs/>
          <w:color w:val="002060"/>
          <w:kern w:val="0"/>
          <w14:ligatures w14:val="none"/>
        </w:rPr>
      </w:pPr>
      <w:bookmarkStart w:id="415" w:name="_Toc491337749"/>
      <w:r>
        <w:rPr>
          <w:rFonts w:ascii="Calibri" w:eastAsia="Times New Roman" w:hAnsi="Calibri" w:cs="Calibri"/>
          <w:b/>
          <w:bCs/>
          <w:iCs/>
          <w:color w:val="002060"/>
          <w:kern w:val="0"/>
          <w14:ligatures w14:val="none"/>
        </w:rPr>
        <w:t xml:space="preserve">21.2.1. </w:t>
      </w:r>
      <w:r w:rsidRPr="001053EF">
        <w:rPr>
          <w:rFonts w:ascii="Calibri" w:eastAsia="Times New Roman" w:hAnsi="Calibri" w:cs="Calibri"/>
          <w:b/>
          <w:bCs/>
          <w:iCs/>
          <w:color w:val="002060"/>
          <w:kern w:val="0"/>
          <w14:ligatures w14:val="none"/>
        </w:rPr>
        <w:t>Natureza das ações judiciais</w:t>
      </w:r>
      <w:bookmarkEnd w:id="415"/>
    </w:p>
    <w:p w14:paraId="1B8DE93E" w14:textId="77777777" w:rsidR="001053EF" w:rsidRPr="001053EF" w:rsidRDefault="001053EF" w:rsidP="001053EF">
      <w:pPr>
        <w:autoSpaceDE w:val="0"/>
        <w:autoSpaceDN w:val="0"/>
        <w:adjustRightInd w:val="0"/>
        <w:spacing w:after="0" w:line="276" w:lineRule="auto"/>
        <w:jc w:val="both"/>
        <w:rPr>
          <w:rFonts w:ascii="Calibri" w:eastAsia="Times New Roman" w:hAnsi="Calibri" w:cs="Calibri"/>
          <w:iCs/>
          <w:color w:val="002060"/>
          <w:kern w:val="0"/>
          <w14:ligatures w14:val="none"/>
        </w:rPr>
      </w:pPr>
      <w:r w:rsidRPr="001053EF">
        <w:rPr>
          <w:rFonts w:ascii="Calibri" w:eastAsia="Times New Roman" w:hAnsi="Calibri" w:cs="Calibri"/>
          <w:iCs/>
          <w:color w:val="002060"/>
          <w:kern w:val="0"/>
          <w14:ligatures w14:val="none"/>
        </w:rPr>
        <w:t xml:space="preserve">Os detalhes sobre as principais provisões para riscos possíveis (passivos contingentes), de acordo com a natureza das ações, são como segue, sendo </w:t>
      </w:r>
      <w:proofErr w:type="spellStart"/>
      <w:r w:rsidRPr="001053EF">
        <w:rPr>
          <w:rFonts w:ascii="Calibri" w:eastAsia="Times New Roman" w:hAnsi="Calibri" w:cs="Calibri"/>
          <w:iCs/>
          <w:color w:val="002060"/>
          <w:kern w:val="0"/>
          <w14:ligatures w14:val="none"/>
        </w:rPr>
        <w:t>esta</w:t>
      </w:r>
      <w:proofErr w:type="spellEnd"/>
      <w:r w:rsidRPr="001053EF">
        <w:rPr>
          <w:rFonts w:ascii="Calibri" w:eastAsia="Times New Roman" w:hAnsi="Calibri" w:cs="Calibri"/>
          <w:iCs/>
          <w:color w:val="002060"/>
          <w:kern w:val="0"/>
          <w14:ligatures w14:val="none"/>
        </w:rPr>
        <w:t xml:space="preserve"> a melhor expectativa dos desembolsos futuros para estes processos:</w:t>
      </w:r>
    </w:p>
    <w:tbl>
      <w:tblPr>
        <w:tblW w:w="5000" w:type="pct"/>
        <w:tblCellMar>
          <w:left w:w="70" w:type="dxa"/>
          <w:right w:w="70" w:type="dxa"/>
        </w:tblCellMar>
        <w:tblLook w:val="04A0" w:firstRow="1" w:lastRow="0" w:firstColumn="1" w:lastColumn="0" w:noHBand="0" w:noVBand="1"/>
      </w:tblPr>
      <w:tblGrid>
        <w:gridCol w:w="6247"/>
        <w:gridCol w:w="1757"/>
        <w:gridCol w:w="1757"/>
      </w:tblGrid>
      <w:tr w:rsidR="001053EF" w:rsidRPr="001053EF" w14:paraId="30B3270A" w14:textId="77777777" w:rsidTr="00446A14">
        <w:trPr>
          <w:trHeight w:val="238"/>
          <w:tblHeader/>
        </w:trPr>
        <w:tc>
          <w:tcPr>
            <w:tcW w:w="3200" w:type="pct"/>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11D4C15D"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Natureza/Objeto das Ações:</w:t>
            </w:r>
          </w:p>
        </w:tc>
        <w:tc>
          <w:tcPr>
            <w:tcW w:w="900" w:type="pct"/>
            <w:tcBorders>
              <w:top w:val="single" w:sz="8" w:space="0" w:color="auto"/>
              <w:left w:val="nil"/>
              <w:bottom w:val="single" w:sz="8" w:space="0" w:color="auto"/>
              <w:right w:val="single" w:sz="8" w:space="0" w:color="auto"/>
            </w:tcBorders>
            <w:shd w:val="clear" w:color="auto" w:fill="auto"/>
            <w:vAlign w:val="center"/>
            <w:hideMark/>
          </w:tcPr>
          <w:p w14:paraId="2A0ABBC4" w14:textId="77777777" w:rsidR="001053EF" w:rsidRPr="001053EF" w:rsidRDefault="001053EF" w:rsidP="001053EF">
            <w:pPr>
              <w:spacing w:after="0" w:line="240" w:lineRule="auto"/>
              <w:jc w:val="center"/>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31/12/2023</w:t>
            </w:r>
          </w:p>
        </w:tc>
        <w:tc>
          <w:tcPr>
            <w:tcW w:w="900" w:type="pct"/>
            <w:tcBorders>
              <w:top w:val="single" w:sz="8" w:space="0" w:color="auto"/>
              <w:left w:val="nil"/>
              <w:bottom w:val="single" w:sz="8" w:space="0" w:color="auto"/>
              <w:right w:val="single" w:sz="8" w:space="0" w:color="auto"/>
            </w:tcBorders>
            <w:shd w:val="clear" w:color="auto" w:fill="auto"/>
            <w:vAlign w:val="center"/>
            <w:hideMark/>
          </w:tcPr>
          <w:p w14:paraId="78D223C5" w14:textId="77777777" w:rsidR="001053EF" w:rsidRPr="001053EF" w:rsidRDefault="001053EF" w:rsidP="001053EF">
            <w:pPr>
              <w:spacing w:after="0" w:line="240" w:lineRule="auto"/>
              <w:jc w:val="center"/>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31/12/2022</w:t>
            </w:r>
          </w:p>
        </w:tc>
      </w:tr>
      <w:tr w:rsidR="001053EF" w:rsidRPr="001053EF" w14:paraId="745485B9" w14:textId="77777777" w:rsidTr="00446A14">
        <w:trPr>
          <w:trHeight w:val="238"/>
        </w:trPr>
        <w:tc>
          <w:tcPr>
            <w:tcW w:w="3200" w:type="pct"/>
            <w:tcBorders>
              <w:top w:val="nil"/>
              <w:left w:val="single" w:sz="8" w:space="0" w:color="auto"/>
              <w:bottom w:val="single" w:sz="8" w:space="0" w:color="auto"/>
              <w:right w:val="single" w:sz="8" w:space="0" w:color="auto"/>
            </w:tcBorders>
            <w:shd w:val="clear" w:color="auto" w:fill="auto"/>
            <w:noWrap/>
            <w:vAlign w:val="center"/>
            <w:hideMark/>
          </w:tcPr>
          <w:p w14:paraId="63ED88D1"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Cíveis</w:t>
            </w:r>
          </w:p>
        </w:tc>
        <w:tc>
          <w:tcPr>
            <w:tcW w:w="900" w:type="pct"/>
            <w:tcBorders>
              <w:top w:val="nil"/>
              <w:left w:val="nil"/>
              <w:bottom w:val="single" w:sz="8" w:space="0" w:color="auto"/>
              <w:right w:val="single" w:sz="8" w:space="0" w:color="auto"/>
            </w:tcBorders>
            <w:shd w:val="clear" w:color="auto" w:fill="auto"/>
            <w:vAlign w:val="center"/>
            <w:hideMark/>
          </w:tcPr>
          <w:p w14:paraId="2AA6A021"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w:t>
            </w:r>
          </w:p>
        </w:tc>
        <w:tc>
          <w:tcPr>
            <w:tcW w:w="900" w:type="pct"/>
            <w:tcBorders>
              <w:top w:val="nil"/>
              <w:left w:val="nil"/>
              <w:bottom w:val="single" w:sz="8" w:space="0" w:color="auto"/>
              <w:right w:val="single" w:sz="8" w:space="0" w:color="auto"/>
            </w:tcBorders>
            <w:shd w:val="clear" w:color="auto" w:fill="auto"/>
            <w:vAlign w:val="center"/>
            <w:hideMark/>
          </w:tcPr>
          <w:p w14:paraId="5559E289"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w:t>
            </w:r>
          </w:p>
        </w:tc>
      </w:tr>
      <w:tr w:rsidR="001053EF" w:rsidRPr="001053EF" w14:paraId="65A0F9C3" w14:textId="77777777" w:rsidTr="00446A14">
        <w:trPr>
          <w:trHeight w:val="238"/>
        </w:trPr>
        <w:tc>
          <w:tcPr>
            <w:tcW w:w="3200" w:type="pct"/>
            <w:tcBorders>
              <w:top w:val="nil"/>
              <w:left w:val="single" w:sz="8" w:space="0" w:color="auto"/>
              <w:bottom w:val="single" w:sz="8" w:space="0" w:color="auto"/>
              <w:right w:val="single" w:sz="8" w:space="0" w:color="auto"/>
            </w:tcBorders>
            <w:shd w:val="clear" w:color="auto" w:fill="auto"/>
            <w:vAlign w:val="center"/>
            <w:hideMark/>
          </w:tcPr>
          <w:p w14:paraId="699AEFE2"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VPA´S nas Capitalizações por Contratos de Participação Financeira-PF (Autofinanciamento)</w:t>
            </w:r>
          </w:p>
        </w:tc>
        <w:tc>
          <w:tcPr>
            <w:tcW w:w="900" w:type="pct"/>
            <w:tcBorders>
              <w:top w:val="nil"/>
              <w:left w:val="nil"/>
              <w:bottom w:val="single" w:sz="8" w:space="0" w:color="auto"/>
              <w:right w:val="single" w:sz="8" w:space="0" w:color="auto"/>
            </w:tcBorders>
            <w:shd w:val="clear" w:color="auto" w:fill="auto"/>
            <w:vAlign w:val="center"/>
          </w:tcPr>
          <w:p w14:paraId="77F19DAB"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6.460</w:t>
            </w:r>
          </w:p>
        </w:tc>
        <w:tc>
          <w:tcPr>
            <w:tcW w:w="900" w:type="pct"/>
            <w:tcBorders>
              <w:top w:val="nil"/>
              <w:left w:val="nil"/>
              <w:bottom w:val="single" w:sz="8" w:space="0" w:color="auto"/>
              <w:right w:val="single" w:sz="8" w:space="0" w:color="auto"/>
            </w:tcBorders>
            <w:shd w:val="clear" w:color="auto" w:fill="auto"/>
            <w:vAlign w:val="center"/>
            <w:hideMark/>
          </w:tcPr>
          <w:p w14:paraId="0B3AB0E5"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10.630</w:t>
            </w:r>
          </w:p>
        </w:tc>
      </w:tr>
      <w:tr w:rsidR="001053EF" w:rsidRPr="001053EF" w14:paraId="10C8F045" w14:textId="77777777" w:rsidTr="00446A14">
        <w:trPr>
          <w:trHeight w:val="238"/>
        </w:trPr>
        <w:tc>
          <w:tcPr>
            <w:tcW w:w="3200" w:type="pct"/>
            <w:tcBorders>
              <w:top w:val="nil"/>
              <w:left w:val="single" w:sz="8" w:space="0" w:color="auto"/>
              <w:bottom w:val="single" w:sz="8" w:space="0" w:color="auto"/>
              <w:right w:val="single" w:sz="8" w:space="0" w:color="auto"/>
            </w:tcBorders>
            <w:shd w:val="clear" w:color="auto" w:fill="auto"/>
            <w:vAlign w:val="center"/>
            <w:hideMark/>
          </w:tcPr>
          <w:p w14:paraId="6B9A8CFF"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Ilegalidade na Venda de Ações</w:t>
            </w:r>
          </w:p>
        </w:tc>
        <w:tc>
          <w:tcPr>
            <w:tcW w:w="900" w:type="pct"/>
            <w:tcBorders>
              <w:top w:val="nil"/>
              <w:left w:val="nil"/>
              <w:bottom w:val="single" w:sz="8" w:space="0" w:color="auto"/>
              <w:right w:val="single" w:sz="8" w:space="0" w:color="auto"/>
            </w:tcBorders>
            <w:shd w:val="clear" w:color="auto" w:fill="auto"/>
            <w:vAlign w:val="center"/>
          </w:tcPr>
          <w:p w14:paraId="232006B4"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5.102</w:t>
            </w:r>
          </w:p>
        </w:tc>
        <w:tc>
          <w:tcPr>
            <w:tcW w:w="900" w:type="pct"/>
            <w:tcBorders>
              <w:top w:val="nil"/>
              <w:left w:val="nil"/>
              <w:bottom w:val="single" w:sz="8" w:space="0" w:color="auto"/>
              <w:right w:val="single" w:sz="8" w:space="0" w:color="auto"/>
            </w:tcBorders>
            <w:shd w:val="clear" w:color="auto" w:fill="auto"/>
            <w:vAlign w:val="center"/>
            <w:hideMark/>
          </w:tcPr>
          <w:p w14:paraId="1EADE8CE"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4.735</w:t>
            </w:r>
          </w:p>
        </w:tc>
      </w:tr>
      <w:tr w:rsidR="001053EF" w:rsidRPr="001053EF" w14:paraId="2C3B3934" w14:textId="77777777" w:rsidTr="00446A14">
        <w:trPr>
          <w:trHeight w:val="238"/>
        </w:trPr>
        <w:tc>
          <w:tcPr>
            <w:tcW w:w="3200" w:type="pct"/>
            <w:tcBorders>
              <w:top w:val="nil"/>
              <w:left w:val="single" w:sz="8" w:space="0" w:color="auto"/>
              <w:bottom w:val="single" w:sz="8" w:space="0" w:color="auto"/>
              <w:right w:val="single" w:sz="8" w:space="0" w:color="auto"/>
            </w:tcBorders>
            <w:shd w:val="clear" w:color="auto" w:fill="auto"/>
            <w:vAlign w:val="center"/>
            <w:hideMark/>
          </w:tcPr>
          <w:p w14:paraId="07B63AD8"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Processo de Cisão Sistema Telebras (i)</w:t>
            </w:r>
          </w:p>
        </w:tc>
        <w:tc>
          <w:tcPr>
            <w:tcW w:w="900" w:type="pct"/>
            <w:tcBorders>
              <w:top w:val="nil"/>
              <w:left w:val="nil"/>
              <w:bottom w:val="single" w:sz="8" w:space="0" w:color="auto"/>
              <w:right w:val="single" w:sz="8" w:space="0" w:color="auto"/>
            </w:tcBorders>
            <w:shd w:val="clear" w:color="auto" w:fill="auto"/>
            <w:vAlign w:val="center"/>
          </w:tcPr>
          <w:p w14:paraId="74FC37A6"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39.085</w:t>
            </w:r>
          </w:p>
        </w:tc>
        <w:tc>
          <w:tcPr>
            <w:tcW w:w="900" w:type="pct"/>
            <w:tcBorders>
              <w:top w:val="nil"/>
              <w:left w:val="nil"/>
              <w:bottom w:val="single" w:sz="8" w:space="0" w:color="auto"/>
              <w:right w:val="single" w:sz="8" w:space="0" w:color="auto"/>
            </w:tcBorders>
            <w:shd w:val="clear" w:color="auto" w:fill="auto"/>
            <w:vAlign w:val="center"/>
            <w:hideMark/>
          </w:tcPr>
          <w:p w14:paraId="0AEFCA94"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34.812</w:t>
            </w:r>
          </w:p>
        </w:tc>
      </w:tr>
      <w:tr w:rsidR="001053EF" w:rsidRPr="001053EF" w14:paraId="73564AD0" w14:textId="77777777" w:rsidTr="00446A14">
        <w:trPr>
          <w:trHeight w:val="238"/>
        </w:trPr>
        <w:tc>
          <w:tcPr>
            <w:tcW w:w="3200" w:type="pct"/>
            <w:tcBorders>
              <w:top w:val="nil"/>
              <w:left w:val="single" w:sz="8" w:space="0" w:color="auto"/>
              <w:bottom w:val="single" w:sz="8" w:space="0" w:color="auto"/>
              <w:right w:val="single" w:sz="8" w:space="0" w:color="auto"/>
            </w:tcBorders>
            <w:shd w:val="clear" w:color="auto" w:fill="auto"/>
            <w:vAlign w:val="center"/>
            <w:hideMark/>
          </w:tcPr>
          <w:p w14:paraId="770E4486"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Outros Processos (</w:t>
            </w:r>
            <w:proofErr w:type="spellStart"/>
            <w:r w:rsidRPr="001053EF">
              <w:rPr>
                <w:rFonts w:ascii="Arial" w:eastAsia="Times New Roman" w:hAnsi="Arial" w:cs="Arial"/>
                <w:color w:val="000000"/>
                <w:kern w:val="0"/>
                <w:sz w:val="18"/>
                <w:szCs w:val="18"/>
                <w:lang w:eastAsia="pt-BR"/>
                <w14:ligatures w14:val="none"/>
              </w:rPr>
              <w:t>ii</w:t>
            </w:r>
            <w:proofErr w:type="spellEnd"/>
            <w:r w:rsidRPr="001053EF">
              <w:rPr>
                <w:rFonts w:ascii="Arial" w:eastAsia="Times New Roman" w:hAnsi="Arial" w:cs="Arial"/>
                <w:color w:val="000000"/>
                <w:kern w:val="0"/>
                <w:sz w:val="18"/>
                <w:szCs w:val="18"/>
                <w:lang w:eastAsia="pt-BR"/>
                <w14:ligatures w14:val="none"/>
              </w:rPr>
              <w:t>)</w:t>
            </w:r>
          </w:p>
        </w:tc>
        <w:tc>
          <w:tcPr>
            <w:tcW w:w="900" w:type="pct"/>
            <w:tcBorders>
              <w:top w:val="nil"/>
              <w:left w:val="nil"/>
              <w:bottom w:val="single" w:sz="8" w:space="0" w:color="auto"/>
              <w:right w:val="single" w:sz="8" w:space="0" w:color="auto"/>
            </w:tcBorders>
            <w:shd w:val="clear" w:color="auto" w:fill="auto"/>
            <w:vAlign w:val="center"/>
          </w:tcPr>
          <w:p w14:paraId="7967B134"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49.384</w:t>
            </w:r>
          </w:p>
        </w:tc>
        <w:tc>
          <w:tcPr>
            <w:tcW w:w="900" w:type="pct"/>
            <w:tcBorders>
              <w:top w:val="nil"/>
              <w:left w:val="nil"/>
              <w:bottom w:val="single" w:sz="8" w:space="0" w:color="auto"/>
              <w:right w:val="single" w:sz="8" w:space="0" w:color="auto"/>
            </w:tcBorders>
            <w:shd w:val="clear" w:color="auto" w:fill="auto"/>
            <w:vAlign w:val="center"/>
            <w:hideMark/>
          </w:tcPr>
          <w:p w14:paraId="1A0600B8"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45.378</w:t>
            </w:r>
          </w:p>
        </w:tc>
      </w:tr>
      <w:tr w:rsidR="001053EF" w:rsidRPr="001053EF" w14:paraId="0D8E0392" w14:textId="77777777" w:rsidTr="00446A14">
        <w:trPr>
          <w:trHeight w:val="238"/>
        </w:trPr>
        <w:tc>
          <w:tcPr>
            <w:tcW w:w="3200" w:type="pct"/>
            <w:tcBorders>
              <w:top w:val="nil"/>
              <w:left w:val="single" w:sz="8" w:space="0" w:color="auto"/>
              <w:bottom w:val="single" w:sz="8" w:space="0" w:color="auto"/>
              <w:right w:val="single" w:sz="8" w:space="0" w:color="auto"/>
            </w:tcBorders>
            <w:shd w:val="clear" w:color="auto" w:fill="auto"/>
            <w:vAlign w:val="center"/>
            <w:hideMark/>
          </w:tcPr>
          <w:p w14:paraId="508101B3"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 xml:space="preserve">Total </w:t>
            </w:r>
          </w:p>
        </w:tc>
        <w:tc>
          <w:tcPr>
            <w:tcW w:w="900" w:type="pct"/>
            <w:tcBorders>
              <w:top w:val="nil"/>
              <w:left w:val="nil"/>
              <w:bottom w:val="single" w:sz="8" w:space="0" w:color="auto"/>
              <w:right w:val="single" w:sz="8" w:space="0" w:color="auto"/>
            </w:tcBorders>
            <w:shd w:val="clear" w:color="auto" w:fill="auto"/>
            <w:vAlign w:val="center"/>
          </w:tcPr>
          <w:p w14:paraId="002B1EDA" w14:textId="77777777" w:rsidR="001053EF" w:rsidRPr="001053EF" w:rsidRDefault="001053EF" w:rsidP="001053EF">
            <w:pPr>
              <w:spacing w:after="0" w:line="240" w:lineRule="auto"/>
              <w:jc w:val="right"/>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100.031</w:t>
            </w:r>
          </w:p>
        </w:tc>
        <w:tc>
          <w:tcPr>
            <w:tcW w:w="900" w:type="pct"/>
            <w:tcBorders>
              <w:top w:val="nil"/>
              <w:left w:val="nil"/>
              <w:bottom w:val="single" w:sz="8" w:space="0" w:color="auto"/>
              <w:right w:val="single" w:sz="8" w:space="0" w:color="auto"/>
            </w:tcBorders>
            <w:shd w:val="clear" w:color="auto" w:fill="auto"/>
            <w:vAlign w:val="center"/>
            <w:hideMark/>
          </w:tcPr>
          <w:p w14:paraId="114B371D" w14:textId="77777777" w:rsidR="001053EF" w:rsidRPr="001053EF" w:rsidRDefault="001053EF" w:rsidP="001053EF">
            <w:pPr>
              <w:spacing w:after="0" w:line="240" w:lineRule="auto"/>
              <w:jc w:val="right"/>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95.555</w:t>
            </w:r>
          </w:p>
        </w:tc>
      </w:tr>
      <w:tr w:rsidR="001053EF" w:rsidRPr="001053EF" w14:paraId="277D5506" w14:textId="77777777" w:rsidTr="00446A14">
        <w:trPr>
          <w:trHeight w:val="238"/>
        </w:trPr>
        <w:tc>
          <w:tcPr>
            <w:tcW w:w="3200" w:type="pct"/>
            <w:tcBorders>
              <w:top w:val="nil"/>
              <w:left w:val="single" w:sz="8" w:space="0" w:color="auto"/>
              <w:bottom w:val="single" w:sz="8" w:space="0" w:color="auto"/>
              <w:right w:val="single" w:sz="8" w:space="0" w:color="auto"/>
            </w:tcBorders>
            <w:shd w:val="clear" w:color="auto" w:fill="auto"/>
            <w:vAlign w:val="center"/>
            <w:hideMark/>
          </w:tcPr>
          <w:p w14:paraId="1C2BA415"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 </w:t>
            </w:r>
          </w:p>
        </w:tc>
        <w:tc>
          <w:tcPr>
            <w:tcW w:w="900" w:type="pct"/>
            <w:tcBorders>
              <w:top w:val="nil"/>
              <w:left w:val="nil"/>
              <w:bottom w:val="single" w:sz="8" w:space="0" w:color="auto"/>
              <w:right w:val="single" w:sz="8" w:space="0" w:color="auto"/>
            </w:tcBorders>
            <w:shd w:val="clear" w:color="auto" w:fill="auto"/>
            <w:vAlign w:val="center"/>
          </w:tcPr>
          <w:p w14:paraId="51426D76" w14:textId="77777777" w:rsidR="001053EF" w:rsidRPr="001053EF" w:rsidRDefault="001053EF" w:rsidP="001053EF">
            <w:pPr>
              <w:spacing w:after="0" w:line="240" w:lineRule="auto"/>
              <w:jc w:val="right"/>
              <w:rPr>
                <w:rFonts w:ascii="Arial" w:eastAsia="Times New Roman" w:hAnsi="Arial" w:cs="Arial"/>
                <w:b/>
                <w:bCs/>
                <w:color w:val="000000"/>
                <w:kern w:val="0"/>
                <w:sz w:val="18"/>
                <w:szCs w:val="18"/>
                <w:lang w:eastAsia="pt-BR"/>
                <w14:ligatures w14:val="none"/>
              </w:rPr>
            </w:pPr>
          </w:p>
        </w:tc>
        <w:tc>
          <w:tcPr>
            <w:tcW w:w="900" w:type="pct"/>
            <w:tcBorders>
              <w:top w:val="nil"/>
              <w:left w:val="nil"/>
              <w:bottom w:val="single" w:sz="8" w:space="0" w:color="auto"/>
              <w:right w:val="single" w:sz="8" w:space="0" w:color="auto"/>
            </w:tcBorders>
            <w:shd w:val="clear" w:color="auto" w:fill="auto"/>
            <w:vAlign w:val="center"/>
            <w:hideMark/>
          </w:tcPr>
          <w:p w14:paraId="7C6E1DE2" w14:textId="77777777" w:rsidR="001053EF" w:rsidRPr="001053EF" w:rsidRDefault="001053EF" w:rsidP="001053EF">
            <w:pPr>
              <w:spacing w:after="0" w:line="240" w:lineRule="auto"/>
              <w:jc w:val="right"/>
              <w:rPr>
                <w:rFonts w:ascii="Arial" w:eastAsia="Times New Roman" w:hAnsi="Arial" w:cs="Arial"/>
                <w:b/>
                <w:bCs/>
                <w:color w:val="000000"/>
                <w:kern w:val="0"/>
                <w:sz w:val="18"/>
                <w:szCs w:val="18"/>
                <w:lang w:eastAsia="pt-BR"/>
                <w14:ligatures w14:val="none"/>
              </w:rPr>
            </w:pPr>
          </w:p>
        </w:tc>
      </w:tr>
      <w:tr w:rsidR="001053EF" w:rsidRPr="001053EF" w14:paraId="6505118B" w14:textId="77777777" w:rsidTr="00446A14">
        <w:trPr>
          <w:trHeight w:val="238"/>
        </w:trPr>
        <w:tc>
          <w:tcPr>
            <w:tcW w:w="3200" w:type="pct"/>
            <w:tcBorders>
              <w:top w:val="nil"/>
              <w:left w:val="single" w:sz="8" w:space="0" w:color="auto"/>
              <w:bottom w:val="single" w:sz="8" w:space="0" w:color="auto"/>
              <w:right w:val="single" w:sz="8" w:space="0" w:color="auto"/>
            </w:tcBorders>
            <w:shd w:val="clear" w:color="auto" w:fill="auto"/>
            <w:vAlign w:val="center"/>
            <w:hideMark/>
          </w:tcPr>
          <w:p w14:paraId="0E338CA4"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Trabalhistas</w:t>
            </w:r>
          </w:p>
        </w:tc>
        <w:tc>
          <w:tcPr>
            <w:tcW w:w="900" w:type="pct"/>
            <w:tcBorders>
              <w:top w:val="nil"/>
              <w:left w:val="nil"/>
              <w:bottom w:val="single" w:sz="8" w:space="0" w:color="auto"/>
              <w:right w:val="single" w:sz="8" w:space="0" w:color="auto"/>
            </w:tcBorders>
            <w:shd w:val="clear" w:color="auto" w:fill="auto"/>
            <w:vAlign w:val="center"/>
          </w:tcPr>
          <w:p w14:paraId="6AA731AA"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p>
        </w:tc>
        <w:tc>
          <w:tcPr>
            <w:tcW w:w="900" w:type="pct"/>
            <w:tcBorders>
              <w:top w:val="nil"/>
              <w:left w:val="nil"/>
              <w:bottom w:val="single" w:sz="8" w:space="0" w:color="auto"/>
              <w:right w:val="single" w:sz="8" w:space="0" w:color="auto"/>
            </w:tcBorders>
            <w:shd w:val="clear" w:color="auto" w:fill="auto"/>
            <w:vAlign w:val="center"/>
            <w:hideMark/>
          </w:tcPr>
          <w:p w14:paraId="2B29288A"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p>
        </w:tc>
      </w:tr>
      <w:tr w:rsidR="001053EF" w:rsidRPr="001053EF" w14:paraId="01B532BC" w14:textId="77777777" w:rsidTr="00446A14">
        <w:trPr>
          <w:trHeight w:val="238"/>
        </w:trPr>
        <w:tc>
          <w:tcPr>
            <w:tcW w:w="3200" w:type="pct"/>
            <w:tcBorders>
              <w:top w:val="nil"/>
              <w:left w:val="single" w:sz="8" w:space="0" w:color="auto"/>
              <w:bottom w:val="single" w:sz="8" w:space="0" w:color="auto"/>
              <w:right w:val="single" w:sz="8" w:space="0" w:color="auto"/>
            </w:tcBorders>
            <w:shd w:val="clear" w:color="auto" w:fill="auto"/>
            <w:vAlign w:val="center"/>
            <w:hideMark/>
          </w:tcPr>
          <w:p w14:paraId="0E7EF26B"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Responsabilidade Subsidiária</w:t>
            </w:r>
          </w:p>
        </w:tc>
        <w:tc>
          <w:tcPr>
            <w:tcW w:w="900" w:type="pct"/>
            <w:tcBorders>
              <w:top w:val="nil"/>
              <w:left w:val="nil"/>
              <w:bottom w:val="single" w:sz="8" w:space="0" w:color="auto"/>
              <w:right w:val="single" w:sz="8" w:space="0" w:color="auto"/>
            </w:tcBorders>
            <w:shd w:val="clear" w:color="auto" w:fill="auto"/>
            <w:vAlign w:val="center"/>
          </w:tcPr>
          <w:p w14:paraId="37269C15"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154</w:t>
            </w:r>
          </w:p>
        </w:tc>
        <w:tc>
          <w:tcPr>
            <w:tcW w:w="900" w:type="pct"/>
            <w:tcBorders>
              <w:top w:val="nil"/>
              <w:left w:val="nil"/>
              <w:bottom w:val="single" w:sz="8" w:space="0" w:color="auto"/>
              <w:right w:val="single" w:sz="8" w:space="0" w:color="auto"/>
            </w:tcBorders>
            <w:shd w:val="clear" w:color="auto" w:fill="auto"/>
            <w:vAlign w:val="center"/>
            <w:hideMark/>
          </w:tcPr>
          <w:p w14:paraId="5F3EA7B8"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140</w:t>
            </w:r>
          </w:p>
        </w:tc>
      </w:tr>
      <w:tr w:rsidR="001053EF" w:rsidRPr="001053EF" w14:paraId="73563A12" w14:textId="77777777" w:rsidTr="00446A14">
        <w:trPr>
          <w:trHeight w:val="238"/>
        </w:trPr>
        <w:tc>
          <w:tcPr>
            <w:tcW w:w="3200" w:type="pct"/>
            <w:tcBorders>
              <w:top w:val="nil"/>
              <w:left w:val="single" w:sz="8" w:space="0" w:color="auto"/>
              <w:bottom w:val="single" w:sz="8" w:space="0" w:color="auto"/>
              <w:right w:val="single" w:sz="8" w:space="0" w:color="auto"/>
            </w:tcBorders>
            <w:shd w:val="clear" w:color="auto" w:fill="auto"/>
            <w:vAlign w:val="center"/>
            <w:hideMark/>
          </w:tcPr>
          <w:p w14:paraId="1F681790"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Progressão Salarial</w:t>
            </w:r>
          </w:p>
        </w:tc>
        <w:tc>
          <w:tcPr>
            <w:tcW w:w="900" w:type="pct"/>
            <w:tcBorders>
              <w:top w:val="nil"/>
              <w:left w:val="nil"/>
              <w:bottom w:val="single" w:sz="8" w:space="0" w:color="auto"/>
              <w:right w:val="single" w:sz="8" w:space="0" w:color="auto"/>
            </w:tcBorders>
            <w:shd w:val="clear" w:color="auto" w:fill="auto"/>
            <w:vAlign w:val="center"/>
          </w:tcPr>
          <w:p w14:paraId="775CAACE"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0</w:t>
            </w:r>
          </w:p>
        </w:tc>
        <w:tc>
          <w:tcPr>
            <w:tcW w:w="900" w:type="pct"/>
            <w:tcBorders>
              <w:top w:val="nil"/>
              <w:left w:val="nil"/>
              <w:bottom w:val="single" w:sz="8" w:space="0" w:color="auto"/>
              <w:right w:val="single" w:sz="8" w:space="0" w:color="auto"/>
            </w:tcBorders>
            <w:shd w:val="clear" w:color="auto" w:fill="auto"/>
            <w:vAlign w:val="center"/>
            <w:hideMark/>
          </w:tcPr>
          <w:p w14:paraId="39119A38"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0</w:t>
            </w:r>
          </w:p>
        </w:tc>
      </w:tr>
      <w:tr w:rsidR="001053EF" w:rsidRPr="001053EF" w14:paraId="43F06E8F" w14:textId="77777777" w:rsidTr="00446A14">
        <w:trPr>
          <w:trHeight w:val="238"/>
        </w:trPr>
        <w:tc>
          <w:tcPr>
            <w:tcW w:w="3200" w:type="pct"/>
            <w:tcBorders>
              <w:top w:val="nil"/>
              <w:left w:val="single" w:sz="8" w:space="0" w:color="auto"/>
              <w:bottom w:val="single" w:sz="8" w:space="0" w:color="auto"/>
              <w:right w:val="single" w:sz="8" w:space="0" w:color="auto"/>
            </w:tcBorders>
            <w:shd w:val="clear" w:color="auto" w:fill="auto"/>
            <w:vAlign w:val="center"/>
            <w:hideMark/>
          </w:tcPr>
          <w:p w14:paraId="4DFEBBAD"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Anistia</w:t>
            </w:r>
          </w:p>
        </w:tc>
        <w:tc>
          <w:tcPr>
            <w:tcW w:w="900" w:type="pct"/>
            <w:tcBorders>
              <w:top w:val="nil"/>
              <w:left w:val="nil"/>
              <w:bottom w:val="single" w:sz="8" w:space="0" w:color="auto"/>
              <w:right w:val="single" w:sz="8" w:space="0" w:color="auto"/>
            </w:tcBorders>
            <w:shd w:val="clear" w:color="auto" w:fill="auto"/>
            <w:vAlign w:val="center"/>
          </w:tcPr>
          <w:p w14:paraId="4072AE7E"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0</w:t>
            </w:r>
          </w:p>
        </w:tc>
        <w:tc>
          <w:tcPr>
            <w:tcW w:w="900" w:type="pct"/>
            <w:tcBorders>
              <w:top w:val="nil"/>
              <w:left w:val="nil"/>
              <w:bottom w:val="single" w:sz="8" w:space="0" w:color="auto"/>
              <w:right w:val="single" w:sz="8" w:space="0" w:color="auto"/>
            </w:tcBorders>
            <w:shd w:val="clear" w:color="auto" w:fill="auto"/>
            <w:vAlign w:val="center"/>
            <w:hideMark/>
          </w:tcPr>
          <w:p w14:paraId="0A9CFF07"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0</w:t>
            </w:r>
          </w:p>
        </w:tc>
      </w:tr>
      <w:tr w:rsidR="001053EF" w:rsidRPr="001053EF" w14:paraId="2750978D" w14:textId="77777777" w:rsidTr="00446A14">
        <w:trPr>
          <w:trHeight w:val="238"/>
        </w:trPr>
        <w:tc>
          <w:tcPr>
            <w:tcW w:w="3200" w:type="pct"/>
            <w:tcBorders>
              <w:top w:val="nil"/>
              <w:left w:val="single" w:sz="8" w:space="0" w:color="auto"/>
              <w:bottom w:val="single" w:sz="8" w:space="0" w:color="auto"/>
              <w:right w:val="single" w:sz="8" w:space="0" w:color="auto"/>
            </w:tcBorders>
            <w:shd w:val="clear" w:color="auto" w:fill="auto"/>
            <w:vAlign w:val="center"/>
            <w:hideMark/>
          </w:tcPr>
          <w:p w14:paraId="79CE3492"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Outros Processos</w:t>
            </w:r>
          </w:p>
        </w:tc>
        <w:tc>
          <w:tcPr>
            <w:tcW w:w="900" w:type="pct"/>
            <w:tcBorders>
              <w:top w:val="nil"/>
              <w:left w:val="nil"/>
              <w:bottom w:val="single" w:sz="8" w:space="0" w:color="auto"/>
              <w:right w:val="single" w:sz="8" w:space="0" w:color="auto"/>
            </w:tcBorders>
            <w:shd w:val="clear" w:color="auto" w:fill="auto"/>
            <w:vAlign w:val="center"/>
          </w:tcPr>
          <w:p w14:paraId="76C3AFF5"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615</w:t>
            </w:r>
          </w:p>
        </w:tc>
        <w:tc>
          <w:tcPr>
            <w:tcW w:w="900" w:type="pct"/>
            <w:tcBorders>
              <w:top w:val="nil"/>
              <w:left w:val="nil"/>
              <w:bottom w:val="single" w:sz="8" w:space="0" w:color="auto"/>
              <w:right w:val="single" w:sz="8" w:space="0" w:color="auto"/>
            </w:tcBorders>
            <w:shd w:val="clear" w:color="auto" w:fill="auto"/>
            <w:vAlign w:val="center"/>
            <w:hideMark/>
          </w:tcPr>
          <w:p w14:paraId="4C425200"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422</w:t>
            </w:r>
          </w:p>
        </w:tc>
      </w:tr>
      <w:tr w:rsidR="001053EF" w:rsidRPr="001053EF" w14:paraId="7A6B99B5" w14:textId="77777777" w:rsidTr="00446A14">
        <w:trPr>
          <w:trHeight w:val="238"/>
        </w:trPr>
        <w:tc>
          <w:tcPr>
            <w:tcW w:w="3200" w:type="pct"/>
            <w:tcBorders>
              <w:top w:val="nil"/>
              <w:left w:val="single" w:sz="8" w:space="0" w:color="auto"/>
              <w:bottom w:val="single" w:sz="8" w:space="0" w:color="auto"/>
              <w:right w:val="single" w:sz="8" w:space="0" w:color="auto"/>
            </w:tcBorders>
            <w:shd w:val="clear" w:color="auto" w:fill="auto"/>
            <w:vAlign w:val="center"/>
            <w:hideMark/>
          </w:tcPr>
          <w:p w14:paraId="59D2D5FC"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Total</w:t>
            </w:r>
          </w:p>
        </w:tc>
        <w:tc>
          <w:tcPr>
            <w:tcW w:w="900" w:type="pct"/>
            <w:tcBorders>
              <w:top w:val="nil"/>
              <w:left w:val="nil"/>
              <w:bottom w:val="single" w:sz="8" w:space="0" w:color="auto"/>
              <w:right w:val="single" w:sz="8" w:space="0" w:color="auto"/>
            </w:tcBorders>
            <w:shd w:val="clear" w:color="auto" w:fill="auto"/>
            <w:vAlign w:val="center"/>
          </w:tcPr>
          <w:p w14:paraId="0868159E" w14:textId="77777777" w:rsidR="001053EF" w:rsidRPr="001053EF" w:rsidRDefault="001053EF" w:rsidP="001053EF">
            <w:pPr>
              <w:spacing w:after="0" w:line="240" w:lineRule="auto"/>
              <w:jc w:val="right"/>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769</w:t>
            </w:r>
          </w:p>
        </w:tc>
        <w:tc>
          <w:tcPr>
            <w:tcW w:w="900" w:type="pct"/>
            <w:tcBorders>
              <w:top w:val="nil"/>
              <w:left w:val="nil"/>
              <w:bottom w:val="single" w:sz="8" w:space="0" w:color="auto"/>
              <w:right w:val="single" w:sz="8" w:space="0" w:color="auto"/>
            </w:tcBorders>
            <w:shd w:val="clear" w:color="auto" w:fill="auto"/>
            <w:vAlign w:val="center"/>
            <w:hideMark/>
          </w:tcPr>
          <w:p w14:paraId="1C12058C" w14:textId="77777777" w:rsidR="001053EF" w:rsidRPr="001053EF" w:rsidRDefault="001053EF" w:rsidP="001053EF">
            <w:pPr>
              <w:spacing w:after="0" w:line="240" w:lineRule="auto"/>
              <w:jc w:val="right"/>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562</w:t>
            </w:r>
          </w:p>
        </w:tc>
      </w:tr>
      <w:tr w:rsidR="001053EF" w:rsidRPr="001053EF" w14:paraId="71C7D393" w14:textId="77777777" w:rsidTr="00446A14">
        <w:trPr>
          <w:trHeight w:val="238"/>
        </w:trPr>
        <w:tc>
          <w:tcPr>
            <w:tcW w:w="3200" w:type="pct"/>
            <w:tcBorders>
              <w:top w:val="nil"/>
              <w:left w:val="single" w:sz="8" w:space="0" w:color="auto"/>
              <w:bottom w:val="single" w:sz="8" w:space="0" w:color="auto"/>
              <w:right w:val="single" w:sz="8" w:space="0" w:color="auto"/>
            </w:tcBorders>
            <w:shd w:val="clear" w:color="auto" w:fill="auto"/>
            <w:vAlign w:val="center"/>
            <w:hideMark/>
          </w:tcPr>
          <w:p w14:paraId="0CF4AA65"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 </w:t>
            </w:r>
          </w:p>
        </w:tc>
        <w:tc>
          <w:tcPr>
            <w:tcW w:w="900" w:type="pct"/>
            <w:tcBorders>
              <w:top w:val="nil"/>
              <w:left w:val="nil"/>
              <w:bottom w:val="single" w:sz="8" w:space="0" w:color="auto"/>
              <w:right w:val="single" w:sz="8" w:space="0" w:color="auto"/>
            </w:tcBorders>
            <w:shd w:val="clear" w:color="auto" w:fill="auto"/>
            <w:vAlign w:val="center"/>
          </w:tcPr>
          <w:p w14:paraId="21399F10" w14:textId="77777777" w:rsidR="001053EF" w:rsidRPr="001053EF" w:rsidRDefault="001053EF" w:rsidP="001053EF">
            <w:pPr>
              <w:spacing w:after="0" w:line="240" w:lineRule="auto"/>
              <w:jc w:val="right"/>
              <w:rPr>
                <w:rFonts w:ascii="Arial" w:eastAsia="Times New Roman" w:hAnsi="Arial" w:cs="Arial"/>
                <w:b/>
                <w:bCs/>
                <w:color w:val="000000"/>
                <w:kern w:val="0"/>
                <w:sz w:val="18"/>
                <w:szCs w:val="18"/>
                <w:lang w:eastAsia="pt-BR"/>
                <w14:ligatures w14:val="none"/>
              </w:rPr>
            </w:pPr>
          </w:p>
        </w:tc>
        <w:tc>
          <w:tcPr>
            <w:tcW w:w="900" w:type="pct"/>
            <w:tcBorders>
              <w:top w:val="nil"/>
              <w:left w:val="nil"/>
              <w:bottom w:val="single" w:sz="8" w:space="0" w:color="auto"/>
              <w:right w:val="single" w:sz="8" w:space="0" w:color="auto"/>
            </w:tcBorders>
            <w:shd w:val="clear" w:color="auto" w:fill="auto"/>
            <w:vAlign w:val="center"/>
            <w:hideMark/>
          </w:tcPr>
          <w:p w14:paraId="3A97EF65" w14:textId="77777777" w:rsidR="001053EF" w:rsidRPr="001053EF" w:rsidRDefault="001053EF" w:rsidP="001053EF">
            <w:pPr>
              <w:spacing w:after="0" w:line="240" w:lineRule="auto"/>
              <w:jc w:val="right"/>
              <w:rPr>
                <w:rFonts w:ascii="Arial" w:eastAsia="Times New Roman" w:hAnsi="Arial" w:cs="Arial"/>
                <w:b/>
                <w:bCs/>
                <w:color w:val="000000"/>
                <w:kern w:val="0"/>
                <w:sz w:val="18"/>
                <w:szCs w:val="18"/>
                <w:lang w:eastAsia="pt-BR"/>
                <w14:ligatures w14:val="none"/>
              </w:rPr>
            </w:pPr>
          </w:p>
        </w:tc>
      </w:tr>
      <w:tr w:rsidR="001053EF" w:rsidRPr="001053EF" w14:paraId="43E1E2CE" w14:textId="77777777" w:rsidTr="00446A14">
        <w:trPr>
          <w:trHeight w:val="238"/>
        </w:trPr>
        <w:tc>
          <w:tcPr>
            <w:tcW w:w="3200" w:type="pct"/>
            <w:tcBorders>
              <w:top w:val="nil"/>
              <w:left w:val="single" w:sz="8" w:space="0" w:color="auto"/>
              <w:bottom w:val="single" w:sz="8" w:space="0" w:color="auto"/>
              <w:right w:val="single" w:sz="8" w:space="0" w:color="auto"/>
            </w:tcBorders>
            <w:shd w:val="clear" w:color="auto" w:fill="auto"/>
            <w:vAlign w:val="center"/>
            <w:hideMark/>
          </w:tcPr>
          <w:p w14:paraId="1A0C9F19"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Tributárias</w:t>
            </w:r>
          </w:p>
        </w:tc>
        <w:tc>
          <w:tcPr>
            <w:tcW w:w="900" w:type="pct"/>
            <w:tcBorders>
              <w:top w:val="nil"/>
              <w:left w:val="nil"/>
              <w:bottom w:val="single" w:sz="8" w:space="0" w:color="auto"/>
              <w:right w:val="single" w:sz="8" w:space="0" w:color="auto"/>
            </w:tcBorders>
            <w:shd w:val="clear" w:color="auto" w:fill="auto"/>
            <w:vAlign w:val="center"/>
          </w:tcPr>
          <w:p w14:paraId="71403CC0"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p>
        </w:tc>
        <w:tc>
          <w:tcPr>
            <w:tcW w:w="900" w:type="pct"/>
            <w:tcBorders>
              <w:top w:val="nil"/>
              <w:left w:val="nil"/>
              <w:bottom w:val="single" w:sz="8" w:space="0" w:color="auto"/>
              <w:right w:val="single" w:sz="8" w:space="0" w:color="auto"/>
            </w:tcBorders>
            <w:shd w:val="clear" w:color="auto" w:fill="auto"/>
            <w:vAlign w:val="center"/>
            <w:hideMark/>
          </w:tcPr>
          <w:p w14:paraId="48677435"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p>
        </w:tc>
      </w:tr>
      <w:tr w:rsidR="001053EF" w:rsidRPr="001053EF" w14:paraId="62F130C6" w14:textId="77777777" w:rsidTr="00446A14">
        <w:trPr>
          <w:trHeight w:val="238"/>
        </w:trPr>
        <w:tc>
          <w:tcPr>
            <w:tcW w:w="3200" w:type="pct"/>
            <w:tcBorders>
              <w:top w:val="nil"/>
              <w:left w:val="single" w:sz="8" w:space="0" w:color="auto"/>
              <w:bottom w:val="single" w:sz="8" w:space="0" w:color="auto"/>
              <w:right w:val="single" w:sz="8" w:space="0" w:color="auto"/>
            </w:tcBorders>
            <w:shd w:val="clear" w:color="auto" w:fill="auto"/>
            <w:vAlign w:val="center"/>
            <w:hideMark/>
          </w:tcPr>
          <w:p w14:paraId="4BC6D29A"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Isenção de Imposto de Importação e IPI (</w:t>
            </w:r>
            <w:proofErr w:type="spellStart"/>
            <w:r w:rsidRPr="001053EF">
              <w:rPr>
                <w:rFonts w:ascii="Arial" w:eastAsia="Times New Roman" w:hAnsi="Arial" w:cs="Arial"/>
                <w:color w:val="000000"/>
                <w:kern w:val="0"/>
                <w:sz w:val="18"/>
                <w:szCs w:val="18"/>
                <w:lang w:eastAsia="pt-BR"/>
                <w14:ligatures w14:val="none"/>
              </w:rPr>
              <w:t>iii</w:t>
            </w:r>
            <w:proofErr w:type="spellEnd"/>
            <w:r w:rsidRPr="001053EF">
              <w:rPr>
                <w:rFonts w:ascii="Arial" w:eastAsia="Times New Roman" w:hAnsi="Arial" w:cs="Arial"/>
                <w:color w:val="000000"/>
                <w:kern w:val="0"/>
                <w:sz w:val="18"/>
                <w:szCs w:val="18"/>
                <w:lang w:eastAsia="pt-BR"/>
                <w14:ligatures w14:val="none"/>
              </w:rPr>
              <w:t>)</w:t>
            </w:r>
          </w:p>
        </w:tc>
        <w:tc>
          <w:tcPr>
            <w:tcW w:w="900" w:type="pct"/>
            <w:tcBorders>
              <w:top w:val="nil"/>
              <w:left w:val="nil"/>
              <w:bottom w:val="single" w:sz="8" w:space="0" w:color="auto"/>
              <w:right w:val="single" w:sz="8" w:space="0" w:color="auto"/>
            </w:tcBorders>
            <w:shd w:val="clear" w:color="auto" w:fill="auto"/>
            <w:vAlign w:val="center"/>
          </w:tcPr>
          <w:p w14:paraId="258A28A7"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23.068</w:t>
            </w:r>
          </w:p>
        </w:tc>
        <w:tc>
          <w:tcPr>
            <w:tcW w:w="900" w:type="pct"/>
            <w:tcBorders>
              <w:top w:val="nil"/>
              <w:left w:val="nil"/>
              <w:bottom w:val="single" w:sz="8" w:space="0" w:color="auto"/>
              <w:right w:val="single" w:sz="8" w:space="0" w:color="auto"/>
            </w:tcBorders>
            <w:shd w:val="clear" w:color="auto" w:fill="auto"/>
            <w:vAlign w:val="center"/>
            <w:hideMark/>
          </w:tcPr>
          <w:p w14:paraId="404645D1"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22.432</w:t>
            </w:r>
          </w:p>
        </w:tc>
      </w:tr>
      <w:tr w:rsidR="001053EF" w:rsidRPr="001053EF" w14:paraId="2CB32BAD" w14:textId="77777777" w:rsidTr="00446A14">
        <w:trPr>
          <w:trHeight w:val="238"/>
        </w:trPr>
        <w:tc>
          <w:tcPr>
            <w:tcW w:w="3200" w:type="pct"/>
            <w:tcBorders>
              <w:top w:val="nil"/>
              <w:left w:val="single" w:sz="8" w:space="0" w:color="auto"/>
              <w:bottom w:val="single" w:sz="8" w:space="0" w:color="auto"/>
              <w:right w:val="single" w:sz="8" w:space="0" w:color="auto"/>
            </w:tcBorders>
            <w:shd w:val="clear" w:color="auto" w:fill="auto"/>
            <w:vAlign w:val="center"/>
            <w:hideMark/>
          </w:tcPr>
          <w:p w14:paraId="59E91191"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Cobrança de Tributos Receita Federal (RFB)</w:t>
            </w:r>
          </w:p>
        </w:tc>
        <w:tc>
          <w:tcPr>
            <w:tcW w:w="900" w:type="pct"/>
            <w:tcBorders>
              <w:top w:val="nil"/>
              <w:left w:val="nil"/>
              <w:bottom w:val="single" w:sz="8" w:space="0" w:color="auto"/>
              <w:right w:val="single" w:sz="8" w:space="0" w:color="auto"/>
            </w:tcBorders>
            <w:shd w:val="clear" w:color="auto" w:fill="auto"/>
            <w:vAlign w:val="center"/>
          </w:tcPr>
          <w:p w14:paraId="5D53C842"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49</w:t>
            </w:r>
          </w:p>
        </w:tc>
        <w:tc>
          <w:tcPr>
            <w:tcW w:w="900" w:type="pct"/>
            <w:tcBorders>
              <w:top w:val="nil"/>
              <w:left w:val="nil"/>
              <w:bottom w:val="single" w:sz="8" w:space="0" w:color="auto"/>
              <w:right w:val="single" w:sz="8" w:space="0" w:color="auto"/>
            </w:tcBorders>
            <w:shd w:val="clear" w:color="auto" w:fill="auto"/>
            <w:vAlign w:val="center"/>
            <w:hideMark/>
          </w:tcPr>
          <w:p w14:paraId="72366AFC"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49</w:t>
            </w:r>
          </w:p>
        </w:tc>
      </w:tr>
      <w:tr w:rsidR="001053EF" w:rsidRPr="001053EF" w14:paraId="586DCBFB" w14:textId="77777777" w:rsidTr="00446A14">
        <w:trPr>
          <w:trHeight w:val="238"/>
        </w:trPr>
        <w:tc>
          <w:tcPr>
            <w:tcW w:w="3200" w:type="pct"/>
            <w:tcBorders>
              <w:top w:val="nil"/>
              <w:left w:val="single" w:sz="8" w:space="0" w:color="auto"/>
              <w:bottom w:val="single" w:sz="8" w:space="0" w:color="auto"/>
              <w:right w:val="single" w:sz="8" w:space="0" w:color="auto"/>
            </w:tcBorders>
            <w:shd w:val="clear" w:color="auto" w:fill="auto"/>
            <w:vAlign w:val="center"/>
            <w:hideMark/>
          </w:tcPr>
          <w:p w14:paraId="709F5580"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Diversas Origens </w:t>
            </w:r>
          </w:p>
        </w:tc>
        <w:tc>
          <w:tcPr>
            <w:tcW w:w="900" w:type="pct"/>
            <w:tcBorders>
              <w:top w:val="nil"/>
              <w:left w:val="nil"/>
              <w:bottom w:val="single" w:sz="8" w:space="0" w:color="auto"/>
              <w:right w:val="single" w:sz="8" w:space="0" w:color="auto"/>
            </w:tcBorders>
            <w:shd w:val="clear" w:color="auto" w:fill="auto"/>
            <w:vAlign w:val="center"/>
          </w:tcPr>
          <w:p w14:paraId="2B9FFE8C"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2.231</w:t>
            </w:r>
          </w:p>
        </w:tc>
        <w:tc>
          <w:tcPr>
            <w:tcW w:w="900" w:type="pct"/>
            <w:tcBorders>
              <w:top w:val="nil"/>
              <w:left w:val="nil"/>
              <w:bottom w:val="single" w:sz="8" w:space="0" w:color="auto"/>
              <w:right w:val="single" w:sz="8" w:space="0" w:color="auto"/>
            </w:tcBorders>
            <w:shd w:val="clear" w:color="auto" w:fill="auto"/>
            <w:vAlign w:val="center"/>
            <w:hideMark/>
          </w:tcPr>
          <w:p w14:paraId="33F4FBD4"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1.522</w:t>
            </w:r>
          </w:p>
        </w:tc>
      </w:tr>
      <w:tr w:rsidR="001053EF" w:rsidRPr="001053EF" w14:paraId="0AF77358" w14:textId="77777777" w:rsidTr="00446A14">
        <w:trPr>
          <w:trHeight w:val="238"/>
        </w:trPr>
        <w:tc>
          <w:tcPr>
            <w:tcW w:w="3200" w:type="pct"/>
            <w:tcBorders>
              <w:top w:val="nil"/>
              <w:left w:val="single" w:sz="8" w:space="0" w:color="auto"/>
              <w:bottom w:val="single" w:sz="8" w:space="0" w:color="auto"/>
              <w:right w:val="single" w:sz="8" w:space="0" w:color="auto"/>
            </w:tcBorders>
            <w:shd w:val="clear" w:color="auto" w:fill="auto"/>
            <w:vAlign w:val="center"/>
            <w:hideMark/>
          </w:tcPr>
          <w:p w14:paraId="07373F78"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 xml:space="preserve">Total </w:t>
            </w:r>
          </w:p>
        </w:tc>
        <w:tc>
          <w:tcPr>
            <w:tcW w:w="900" w:type="pct"/>
            <w:tcBorders>
              <w:top w:val="nil"/>
              <w:left w:val="nil"/>
              <w:bottom w:val="single" w:sz="8" w:space="0" w:color="auto"/>
              <w:right w:val="single" w:sz="8" w:space="0" w:color="auto"/>
            </w:tcBorders>
            <w:shd w:val="clear" w:color="auto" w:fill="auto"/>
            <w:vAlign w:val="center"/>
          </w:tcPr>
          <w:p w14:paraId="6D8A858E" w14:textId="77777777" w:rsidR="001053EF" w:rsidRPr="001053EF" w:rsidRDefault="001053EF" w:rsidP="001053EF">
            <w:pPr>
              <w:spacing w:after="0" w:line="240" w:lineRule="auto"/>
              <w:jc w:val="right"/>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25.348</w:t>
            </w:r>
          </w:p>
        </w:tc>
        <w:tc>
          <w:tcPr>
            <w:tcW w:w="900" w:type="pct"/>
            <w:tcBorders>
              <w:top w:val="nil"/>
              <w:left w:val="nil"/>
              <w:bottom w:val="single" w:sz="8" w:space="0" w:color="auto"/>
              <w:right w:val="single" w:sz="8" w:space="0" w:color="auto"/>
            </w:tcBorders>
            <w:shd w:val="clear" w:color="auto" w:fill="auto"/>
            <w:vAlign w:val="center"/>
            <w:hideMark/>
          </w:tcPr>
          <w:p w14:paraId="763283CE" w14:textId="77777777" w:rsidR="001053EF" w:rsidRPr="001053EF" w:rsidRDefault="001053EF" w:rsidP="001053EF">
            <w:pPr>
              <w:spacing w:after="0" w:line="240" w:lineRule="auto"/>
              <w:jc w:val="right"/>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24.003</w:t>
            </w:r>
          </w:p>
        </w:tc>
      </w:tr>
      <w:tr w:rsidR="001053EF" w:rsidRPr="001053EF" w14:paraId="6FC7B9C7" w14:textId="77777777" w:rsidTr="00446A14">
        <w:trPr>
          <w:trHeight w:val="238"/>
        </w:trPr>
        <w:tc>
          <w:tcPr>
            <w:tcW w:w="3200" w:type="pct"/>
            <w:tcBorders>
              <w:top w:val="nil"/>
              <w:left w:val="single" w:sz="8" w:space="0" w:color="auto"/>
              <w:bottom w:val="single" w:sz="8" w:space="0" w:color="auto"/>
              <w:right w:val="single" w:sz="8" w:space="0" w:color="auto"/>
            </w:tcBorders>
            <w:shd w:val="clear" w:color="auto" w:fill="auto"/>
            <w:vAlign w:val="center"/>
            <w:hideMark/>
          </w:tcPr>
          <w:p w14:paraId="5210B409"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 </w:t>
            </w:r>
          </w:p>
        </w:tc>
        <w:tc>
          <w:tcPr>
            <w:tcW w:w="900" w:type="pct"/>
            <w:tcBorders>
              <w:top w:val="nil"/>
              <w:left w:val="nil"/>
              <w:bottom w:val="single" w:sz="8" w:space="0" w:color="auto"/>
              <w:right w:val="single" w:sz="8" w:space="0" w:color="auto"/>
            </w:tcBorders>
            <w:shd w:val="clear" w:color="auto" w:fill="auto"/>
            <w:vAlign w:val="center"/>
          </w:tcPr>
          <w:p w14:paraId="65D79888" w14:textId="77777777" w:rsidR="001053EF" w:rsidRPr="001053EF" w:rsidRDefault="001053EF" w:rsidP="001053EF">
            <w:pPr>
              <w:spacing w:after="0" w:line="240" w:lineRule="auto"/>
              <w:jc w:val="right"/>
              <w:rPr>
                <w:rFonts w:ascii="Arial" w:eastAsia="Times New Roman" w:hAnsi="Arial" w:cs="Arial"/>
                <w:b/>
                <w:bCs/>
                <w:color w:val="000000"/>
                <w:kern w:val="0"/>
                <w:sz w:val="18"/>
                <w:szCs w:val="18"/>
                <w:lang w:eastAsia="pt-BR"/>
                <w14:ligatures w14:val="none"/>
              </w:rPr>
            </w:pPr>
          </w:p>
        </w:tc>
        <w:tc>
          <w:tcPr>
            <w:tcW w:w="900" w:type="pct"/>
            <w:tcBorders>
              <w:top w:val="nil"/>
              <w:left w:val="nil"/>
              <w:bottom w:val="single" w:sz="8" w:space="0" w:color="auto"/>
              <w:right w:val="single" w:sz="8" w:space="0" w:color="auto"/>
            </w:tcBorders>
            <w:shd w:val="clear" w:color="auto" w:fill="auto"/>
            <w:vAlign w:val="center"/>
            <w:hideMark/>
          </w:tcPr>
          <w:p w14:paraId="1B037C64" w14:textId="77777777" w:rsidR="001053EF" w:rsidRPr="001053EF" w:rsidRDefault="001053EF" w:rsidP="001053EF">
            <w:pPr>
              <w:spacing w:after="0" w:line="240" w:lineRule="auto"/>
              <w:jc w:val="right"/>
              <w:rPr>
                <w:rFonts w:ascii="Arial" w:eastAsia="Times New Roman" w:hAnsi="Arial" w:cs="Arial"/>
                <w:b/>
                <w:bCs/>
                <w:color w:val="000000"/>
                <w:kern w:val="0"/>
                <w:sz w:val="18"/>
                <w:szCs w:val="18"/>
                <w:lang w:eastAsia="pt-BR"/>
                <w14:ligatures w14:val="none"/>
              </w:rPr>
            </w:pPr>
          </w:p>
        </w:tc>
      </w:tr>
      <w:tr w:rsidR="001053EF" w:rsidRPr="001053EF" w14:paraId="2B0436CF" w14:textId="77777777" w:rsidTr="00446A14">
        <w:trPr>
          <w:trHeight w:val="238"/>
        </w:trPr>
        <w:tc>
          <w:tcPr>
            <w:tcW w:w="3200" w:type="pct"/>
            <w:tcBorders>
              <w:top w:val="nil"/>
              <w:left w:val="single" w:sz="8" w:space="0" w:color="auto"/>
              <w:bottom w:val="single" w:sz="8" w:space="0" w:color="auto"/>
              <w:right w:val="single" w:sz="8" w:space="0" w:color="auto"/>
            </w:tcBorders>
            <w:shd w:val="clear" w:color="auto" w:fill="auto"/>
            <w:vAlign w:val="center"/>
            <w:hideMark/>
          </w:tcPr>
          <w:p w14:paraId="5C2F0300"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Total Geral</w:t>
            </w:r>
          </w:p>
        </w:tc>
        <w:tc>
          <w:tcPr>
            <w:tcW w:w="900" w:type="pct"/>
            <w:tcBorders>
              <w:top w:val="nil"/>
              <w:left w:val="nil"/>
              <w:bottom w:val="single" w:sz="8" w:space="0" w:color="auto"/>
              <w:right w:val="single" w:sz="8" w:space="0" w:color="auto"/>
            </w:tcBorders>
            <w:shd w:val="clear" w:color="auto" w:fill="auto"/>
            <w:vAlign w:val="center"/>
          </w:tcPr>
          <w:p w14:paraId="1292ECA5" w14:textId="77777777" w:rsidR="001053EF" w:rsidRPr="001053EF" w:rsidRDefault="001053EF" w:rsidP="001053EF">
            <w:pPr>
              <w:spacing w:after="0" w:line="240" w:lineRule="auto"/>
              <w:jc w:val="right"/>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126.148</w:t>
            </w:r>
          </w:p>
        </w:tc>
        <w:tc>
          <w:tcPr>
            <w:tcW w:w="900" w:type="pct"/>
            <w:tcBorders>
              <w:top w:val="nil"/>
              <w:left w:val="nil"/>
              <w:bottom w:val="single" w:sz="8" w:space="0" w:color="auto"/>
              <w:right w:val="single" w:sz="8" w:space="0" w:color="auto"/>
            </w:tcBorders>
            <w:shd w:val="clear" w:color="auto" w:fill="auto"/>
            <w:vAlign w:val="center"/>
            <w:hideMark/>
          </w:tcPr>
          <w:p w14:paraId="298D4105" w14:textId="77777777" w:rsidR="001053EF" w:rsidRPr="001053EF" w:rsidRDefault="001053EF" w:rsidP="001053EF">
            <w:pPr>
              <w:spacing w:after="0" w:line="240" w:lineRule="auto"/>
              <w:jc w:val="right"/>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120.120</w:t>
            </w:r>
          </w:p>
        </w:tc>
      </w:tr>
    </w:tbl>
    <w:p w14:paraId="760128E8" w14:textId="77777777" w:rsidR="001053EF" w:rsidRPr="001053EF" w:rsidRDefault="001053EF" w:rsidP="001053EF">
      <w:pPr>
        <w:autoSpaceDE w:val="0"/>
        <w:autoSpaceDN w:val="0"/>
        <w:adjustRightInd w:val="0"/>
        <w:spacing w:after="0" w:line="240" w:lineRule="auto"/>
        <w:jc w:val="both"/>
        <w:rPr>
          <w:rFonts w:ascii="Calibri" w:eastAsia="Times New Roman" w:hAnsi="Calibri" w:cs="Calibri"/>
          <w:b/>
          <w:bCs/>
          <w:iCs/>
          <w:color w:val="002060"/>
          <w:kern w:val="0"/>
          <w14:ligatures w14:val="none"/>
        </w:rPr>
      </w:pPr>
      <w:r w:rsidRPr="001053EF">
        <w:rPr>
          <w:rFonts w:ascii="Calibri" w:eastAsia="Times New Roman" w:hAnsi="Calibri" w:cs="Calibri"/>
          <w:b/>
          <w:bCs/>
          <w:iCs/>
          <w:color w:val="002060"/>
          <w:kern w:val="0"/>
          <w14:ligatures w14:val="none"/>
        </w:rPr>
        <w:t>Situação dos principais processos:</w:t>
      </w:r>
    </w:p>
    <w:p w14:paraId="6B136D73" w14:textId="77777777" w:rsidR="001053EF" w:rsidRPr="001053EF" w:rsidRDefault="001053EF" w:rsidP="001053EF">
      <w:pPr>
        <w:autoSpaceDE w:val="0"/>
        <w:autoSpaceDN w:val="0"/>
        <w:adjustRightInd w:val="0"/>
        <w:spacing w:after="0" w:line="240" w:lineRule="auto"/>
        <w:jc w:val="both"/>
        <w:rPr>
          <w:rFonts w:ascii="Calibri" w:eastAsia="Times New Roman" w:hAnsi="Calibri" w:cs="Calibri"/>
          <w:b/>
          <w:bCs/>
          <w:iCs/>
          <w:color w:val="002060"/>
          <w:kern w:val="0"/>
          <w14:ligatures w14:val="none"/>
        </w:rPr>
      </w:pPr>
      <w:r w:rsidRPr="001053EF">
        <w:rPr>
          <w:rFonts w:ascii="Calibri" w:eastAsia="Times New Roman" w:hAnsi="Calibri" w:cs="Calibri"/>
          <w:b/>
          <w:bCs/>
          <w:iCs/>
          <w:color w:val="002060"/>
          <w:kern w:val="0"/>
          <w14:ligatures w14:val="none"/>
        </w:rPr>
        <w:t>(i) Processo de cisão Sistema Telebras</w:t>
      </w:r>
    </w:p>
    <w:p w14:paraId="2E1C9958" w14:textId="2FC2AAEB" w:rsidR="001053EF" w:rsidRPr="001053EF" w:rsidRDefault="001053EF" w:rsidP="001053EF">
      <w:pPr>
        <w:autoSpaceDE w:val="0"/>
        <w:autoSpaceDN w:val="0"/>
        <w:adjustRightInd w:val="0"/>
        <w:spacing w:after="0" w:line="240" w:lineRule="auto"/>
        <w:jc w:val="both"/>
        <w:rPr>
          <w:rFonts w:ascii="Calibri" w:eastAsia="Times New Roman" w:hAnsi="Calibri" w:cs="Calibri"/>
          <w:iCs/>
          <w:color w:val="002060"/>
          <w:kern w:val="0"/>
          <w14:ligatures w14:val="none"/>
        </w:rPr>
      </w:pPr>
      <w:r w:rsidRPr="001053EF">
        <w:rPr>
          <w:rFonts w:ascii="Calibri" w:eastAsia="Times New Roman" w:hAnsi="Calibri" w:cs="Calibri"/>
          <w:iCs/>
          <w:color w:val="002060"/>
          <w:kern w:val="0"/>
          <w14:ligatures w14:val="none"/>
        </w:rPr>
        <w:t>A origem desse litígio ocorreu quando do processo de cisão do Sistema Telebras. Naquele processo, os valores relativos aos depósitos judiciais registrados como ativos foram destinados à Telesp (atual Telefônica) na cisão dos ativos e passivos mediante certas condições. Durante os anos de 1998 a 2008 esses depósitos foram</w:t>
      </w:r>
      <w:r>
        <w:rPr>
          <w:rFonts w:ascii="Calibri" w:eastAsia="Times New Roman" w:hAnsi="Calibri" w:cs="Calibri"/>
          <w:iCs/>
          <w:color w:val="002060"/>
          <w:kern w:val="0"/>
          <w14:ligatures w14:val="none"/>
        </w:rPr>
        <w:t xml:space="preserve"> </w:t>
      </w:r>
      <w:r w:rsidRPr="001053EF">
        <w:rPr>
          <w:rFonts w:ascii="Calibri" w:eastAsia="Times New Roman" w:hAnsi="Calibri" w:cs="Calibri"/>
          <w:iCs/>
          <w:color w:val="002060"/>
          <w:kern w:val="0"/>
          <w14:ligatures w14:val="none"/>
        </w:rPr>
        <w:lastRenderedPageBreak/>
        <w:t>revertidos (creditados) em favor da Telebras, devido ao fato de esta ter permanecido com a titularidade das contas. Essa controvérsia é objeto de debate em três processos distintos.</w:t>
      </w:r>
    </w:p>
    <w:p w14:paraId="4729F659" w14:textId="77777777" w:rsidR="001053EF" w:rsidRPr="001053EF" w:rsidRDefault="001053EF" w:rsidP="001053EF">
      <w:pPr>
        <w:autoSpaceDE w:val="0"/>
        <w:autoSpaceDN w:val="0"/>
        <w:adjustRightInd w:val="0"/>
        <w:spacing w:after="0" w:line="240" w:lineRule="auto"/>
        <w:jc w:val="both"/>
        <w:rPr>
          <w:rFonts w:ascii="Calibri" w:eastAsia="Times New Roman" w:hAnsi="Calibri" w:cs="Calibri"/>
          <w:iCs/>
          <w:color w:val="002060"/>
          <w:kern w:val="0"/>
          <w14:ligatures w14:val="none"/>
        </w:rPr>
      </w:pPr>
      <w:r w:rsidRPr="001053EF">
        <w:rPr>
          <w:rFonts w:ascii="Calibri" w:eastAsia="Times New Roman" w:hAnsi="Calibri" w:cs="Calibri"/>
          <w:iCs/>
          <w:color w:val="002060"/>
          <w:kern w:val="0"/>
          <w14:ligatures w14:val="none"/>
        </w:rPr>
        <w:t>A Companhia, através da opinião dos seus advogados, reconhece que o risco de perda para esses processos é possível, assim, tal valor não está reconhecido na contabilidade da Telebras. O motivo para a classificação como possível deve-se ao fato de que a Companhia obteve decisão favorável em duas instâncias, incluindo sentenças de primeiro grau proferidas por juízos do Tribunal de Justiça do Estado de São Paulo e Tribunal de Justiça do Distrito Federal e Territórios, em 2019.</w:t>
      </w:r>
    </w:p>
    <w:p w14:paraId="3C2455B3" w14:textId="77777777" w:rsidR="001053EF" w:rsidRPr="001053EF" w:rsidRDefault="001053EF" w:rsidP="001053EF">
      <w:pPr>
        <w:autoSpaceDE w:val="0"/>
        <w:autoSpaceDN w:val="0"/>
        <w:adjustRightInd w:val="0"/>
        <w:spacing w:after="0" w:line="240" w:lineRule="auto"/>
        <w:jc w:val="both"/>
        <w:rPr>
          <w:rFonts w:ascii="Calibri" w:eastAsia="Times New Roman" w:hAnsi="Calibri" w:cs="Calibri"/>
          <w:iCs/>
          <w:color w:val="002060"/>
          <w:kern w:val="0"/>
          <w14:ligatures w14:val="none"/>
        </w:rPr>
      </w:pPr>
      <w:r w:rsidRPr="001053EF">
        <w:rPr>
          <w:rFonts w:ascii="Calibri" w:eastAsia="Times New Roman" w:hAnsi="Calibri" w:cs="Calibri"/>
          <w:iCs/>
          <w:color w:val="002060"/>
          <w:kern w:val="0"/>
          <w14:ligatures w14:val="none"/>
        </w:rPr>
        <w:t>Ainda, no ano de 2019, a sentença proferida pelo Tribunal de Justiça do Distrito Federal e Territórios foi anulada, mas em função de vício de índole processual apenas. A matéria estava sob apreciação do Superior Tribunal de Justiça, em sede de agravo interno, que teve provimento negado pelo Superior Tribunal de Justiça. O processo retornará para o juízo de origem para produção de prova pericial e proferimento de nova sentença.</w:t>
      </w:r>
    </w:p>
    <w:p w14:paraId="50C68212" w14:textId="77777777" w:rsidR="001053EF" w:rsidRPr="001053EF" w:rsidRDefault="001053EF" w:rsidP="001053EF">
      <w:pPr>
        <w:autoSpaceDE w:val="0"/>
        <w:autoSpaceDN w:val="0"/>
        <w:adjustRightInd w:val="0"/>
        <w:spacing w:after="0" w:line="240" w:lineRule="auto"/>
        <w:jc w:val="both"/>
        <w:rPr>
          <w:rFonts w:ascii="Calibri" w:eastAsia="Times New Roman" w:hAnsi="Calibri" w:cs="Calibri"/>
          <w:iCs/>
          <w:color w:val="002060"/>
          <w:kern w:val="0"/>
          <w14:ligatures w14:val="none"/>
        </w:rPr>
      </w:pPr>
      <w:r w:rsidRPr="001053EF">
        <w:rPr>
          <w:rFonts w:ascii="Calibri" w:eastAsia="Times New Roman" w:hAnsi="Calibri" w:cs="Calibri"/>
          <w:iCs/>
          <w:color w:val="002060"/>
          <w:kern w:val="0"/>
          <w14:ligatures w14:val="none"/>
        </w:rPr>
        <w:t xml:space="preserve">Quanto aos processos originários do Tribunal de Justiça do Estado de São Paulo, os andamentos são diversos. </w:t>
      </w:r>
    </w:p>
    <w:p w14:paraId="399E0389" w14:textId="77777777" w:rsidR="001053EF" w:rsidRPr="001053EF" w:rsidRDefault="001053EF" w:rsidP="001053EF">
      <w:pPr>
        <w:autoSpaceDE w:val="0"/>
        <w:autoSpaceDN w:val="0"/>
        <w:adjustRightInd w:val="0"/>
        <w:spacing w:after="0" w:line="240" w:lineRule="auto"/>
        <w:jc w:val="both"/>
        <w:rPr>
          <w:rFonts w:ascii="Calibri" w:eastAsia="Times New Roman" w:hAnsi="Calibri" w:cs="Calibri"/>
          <w:iCs/>
          <w:color w:val="002060"/>
          <w:kern w:val="0"/>
          <w14:ligatures w14:val="none"/>
        </w:rPr>
      </w:pPr>
      <w:r w:rsidRPr="001053EF">
        <w:rPr>
          <w:rFonts w:ascii="Calibri" w:eastAsia="Times New Roman" w:hAnsi="Calibri" w:cs="Calibri"/>
          <w:iCs/>
          <w:color w:val="002060"/>
          <w:kern w:val="0"/>
          <w14:ligatures w14:val="none"/>
        </w:rPr>
        <w:t>Para um deles, o Superior Tribunal de Justiça determinou o retorno dos autos ao primeiro grau de jurisdição, a fim de que reaprecie o termo inicial da prescrição, mantendo a incidência do prazo trienal. Haverá novo julgamento apenas para apreciação do termo inicial da contagem.</w:t>
      </w:r>
    </w:p>
    <w:p w14:paraId="0C9E6E19" w14:textId="77777777" w:rsidR="001053EF" w:rsidRPr="001053EF" w:rsidRDefault="001053EF" w:rsidP="001053EF">
      <w:pPr>
        <w:autoSpaceDE w:val="0"/>
        <w:autoSpaceDN w:val="0"/>
        <w:adjustRightInd w:val="0"/>
        <w:spacing w:after="0" w:line="240" w:lineRule="auto"/>
        <w:jc w:val="both"/>
        <w:rPr>
          <w:rFonts w:ascii="Calibri" w:eastAsia="Times New Roman" w:hAnsi="Calibri" w:cs="Calibri"/>
          <w:iCs/>
          <w:color w:val="002060"/>
          <w:kern w:val="0"/>
          <w14:ligatures w14:val="none"/>
        </w:rPr>
      </w:pPr>
      <w:r w:rsidRPr="001053EF">
        <w:rPr>
          <w:rFonts w:ascii="Calibri" w:eastAsia="Times New Roman" w:hAnsi="Calibri" w:cs="Calibri"/>
          <w:iCs/>
          <w:color w:val="002060"/>
          <w:kern w:val="0"/>
          <w14:ligatures w14:val="none"/>
        </w:rPr>
        <w:t xml:space="preserve">Para o outro litígio, a Telebras interpôs recurso especial, o qual foi parcialmente provido, para restabelecer a sentença, favorável à tese da prescrição trienal arguida pela Telebras. A Telefônica interpôs agravo interno em recurso especial, o qual teve provimento negado e, na sequência, embargos de divergência, que aguardam julgamento pelo Superior Tribunal de Justiça.      </w:t>
      </w:r>
    </w:p>
    <w:p w14:paraId="533D40A3" w14:textId="77777777" w:rsidR="001053EF" w:rsidRPr="001053EF" w:rsidRDefault="001053EF" w:rsidP="001053EF">
      <w:pPr>
        <w:autoSpaceDE w:val="0"/>
        <w:autoSpaceDN w:val="0"/>
        <w:adjustRightInd w:val="0"/>
        <w:spacing w:after="0" w:line="240" w:lineRule="auto"/>
        <w:jc w:val="both"/>
        <w:rPr>
          <w:rFonts w:ascii="Calibri" w:eastAsia="Times New Roman" w:hAnsi="Calibri" w:cs="Calibri"/>
          <w:b/>
          <w:bCs/>
          <w:iCs/>
          <w:color w:val="002060"/>
          <w:kern w:val="0"/>
          <w14:ligatures w14:val="none"/>
        </w:rPr>
      </w:pPr>
      <w:r w:rsidRPr="001053EF">
        <w:rPr>
          <w:rFonts w:ascii="Calibri" w:eastAsia="Times New Roman" w:hAnsi="Calibri" w:cs="Calibri"/>
          <w:b/>
          <w:bCs/>
          <w:iCs/>
          <w:color w:val="002060"/>
          <w:kern w:val="0"/>
          <w14:ligatures w14:val="none"/>
        </w:rPr>
        <w:t>(</w:t>
      </w:r>
      <w:proofErr w:type="spellStart"/>
      <w:r w:rsidRPr="001053EF">
        <w:rPr>
          <w:rFonts w:ascii="Calibri" w:eastAsia="Times New Roman" w:hAnsi="Calibri" w:cs="Calibri"/>
          <w:b/>
          <w:bCs/>
          <w:iCs/>
          <w:color w:val="002060"/>
          <w:kern w:val="0"/>
          <w14:ligatures w14:val="none"/>
        </w:rPr>
        <w:t>ii</w:t>
      </w:r>
      <w:proofErr w:type="spellEnd"/>
      <w:r w:rsidRPr="001053EF">
        <w:rPr>
          <w:rFonts w:ascii="Calibri" w:eastAsia="Times New Roman" w:hAnsi="Calibri" w:cs="Calibri"/>
          <w:b/>
          <w:bCs/>
          <w:iCs/>
          <w:color w:val="002060"/>
          <w:kern w:val="0"/>
          <w14:ligatures w14:val="none"/>
        </w:rPr>
        <w:t>) Caixa de Previdência dos Funcionários do Banco do Brasil – PREVI</w:t>
      </w:r>
    </w:p>
    <w:p w14:paraId="548EE957" w14:textId="77777777" w:rsidR="001053EF" w:rsidRPr="001053EF" w:rsidRDefault="001053EF" w:rsidP="001053EF">
      <w:pPr>
        <w:autoSpaceDE w:val="0"/>
        <w:autoSpaceDN w:val="0"/>
        <w:adjustRightInd w:val="0"/>
        <w:spacing w:after="0" w:line="240" w:lineRule="auto"/>
        <w:jc w:val="both"/>
        <w:rPr>
          <w:rFonts w:ascii="Calibri" w:eastAsia="Times New Roman" w:hAnsi="Calibri" w:cs="Calibri"/>
          <w:iCs/>
          <w:color w:val="002060"/>
          <w:kern w:val="0"/>
          <w14:ligatures w14:val="none"/>
        </w:rPr>
      </w:pPr>
      <w:r w:rsidRPr="001053EF">
        <w:rPr>
          <w:rFonts w:ascii="Calibri" w:eastAsia="Times New Roman" w:hAnsi="Calibri" w:cs="Calibri"/>
          <w:iCs/>
          <w:color w:val="002060"/>
          <w:kern w:val="0"/>
          <w14:ligatures w14:val="none"/>
        </w:rPr>
        <w:t>Refere-se à anulação da forma de apuração dos dividendos das ações preferenciais determinada na Assembleia Geral Ordinária, de 27 de abril de 1995, para distribuição de acordo com o Parecer CVM Orientação nº 16/88. O valor devido a título de dividendos foi objeto de acordo homologado judicialmente, em que a Telebras impugnou o remanescente. Ratifica-se a classificação da expectativa de êxito do valor controverso como possível, dadas as inconsistências existentes no cálculo apresentado pela Previ. Atualmente, a Telebras busca o reconhecimento pela perícia judicial da metodologia de cálculo por ela utilizada. A perícia não foi concluída; logo, ainda não há decisão judicial a respeito do valor controverso.</w:t>
      </w:r>
    </w:p>
    <w:p w14:paraId="0C59A215" w14:textId="77777777" w:rsidR="001053EF" w:rsidRPr="001053EF" w:rsidRDefault="001053EF" w:rsidP="001053EF">
      <w:pPr>
        <w:autoSpaceDE w:val="0"/>
        <w:autoSpaceDN w:val="0"/>
        <w:adjustRightInd w:val="0"/>
        <w:spacing w:after="0" w:line="240" w:lineRule="auto"/>
        <w:jc w:val="both"/>
        <w:rPr>
          <w:rFonts w:ascii="Calibri" w:eastAsia="Times New Roman" w:hAnsi="Calibri" w:cs="Calibri"/>
          <w:b/>
          <w:bCs/>
          <w:iCs/>
          <w:color w:val="002060"/>
          <w:kern w:val="0"/>
          <w14:ligatures w14:val="none"/>
        </w:rPr>
      </w:pPr>
      <w:r w:rsidRPr="001053EF">
        <w:rPr>
          <w:rFonts w:ascii="Calibri" w:eastAsia="Times New Roman" w:hAnsi="Calibri" w:cs="Calibri"/>
          <w:b/>
          <w:bCs/>
          <w:iCs/>
          <w:color w:val="002060"/>
          <w:kern w:val="0"/>
          <w14:ligatures w14:val="none"/>
        </w:rPr>
        <w:t>(</w:t>
      </w:r>
      <w:proofErr w:type="spellStart"/>
      <w:r w:rsidRPr="001053EF">
        <w:rPr>
          <w:rFonts w:ascii="Calibri" w:eastAsia="Times New Roman" w:hAnsi="Calibri" w:cs="Calibri"/>
          <w:b/>
          <w:bCs/>
          <w:iCs/>
          <w:color w:val="002060"/>
          <w:kern w:val="0"/>
          <w14:ligatures w14:val="none"/>
        </w:rPr>
        <w:t>iii</w:t>
      </w:r>
      <w:proofErr w:type="spellEnd"/>
      <w:r w:rsidRPr="001053EF">
        <w:rPr>
          <w:rFonts w:ascii="Calibri" w:eastAsia="Times New Roman" w:hAnsi="Calibri" w:cs="Calibri"/>
          <w:b/>
          <w:bCs/>
          <w:iCs/>
          <w:color w:val="002060"/>
          <w:kern w:val="0"/>
          <w14:ligatures w14:val="none"/>
        </w:rPr>
        <w:t>) Isenção de Imposto de Importação e IPI</w:t>
      </w:r>
    </w:p>
    <w:p w14:paraId="0A7DFC65" w14:textId="77777777" w:rsidR="001053EF" w:rsidRPr="001053EF" w:rsidRDefault="001053EF" w:rsidP="001053EF">
      <w:pPr>
        <w:autoSpaceDE w:val="0"/>
        <w:autoSpaceDN w:val="0"/>
        <w:adjustRightInd w:val="0"/>
        <w:spacing w:after="0" w:line="240" w:lineRule="auto"/>
        <w:jc w:val="both"/>
        <w:rPr>
          <w:rFonts w:ascii="Calibri" w:eastAsia="Times New Roman" w:hAnsi="Calibri" w:cs="Calibri"/>
          <w:iCs/>
          <w:color w:val="002060"/>
          <w:kern w:val="0"/>
          <w14:ligatures w14:val="none"/>
        </w:rPr>
      </w:pPr>
      <w:r w:rsidRPr="001053EF">
        <w:rPr>
          <w:rFonts w:ascii="Calibri" w:eastAsia="Times New Roman" w:hAnsi="Calibri" w:cs="Calibri"/>
          <w:iCs/>
          <w:color w:val="002060"/>
          <w:kern w:val="0"/>
          <w14:ligatures w14:val="none"/>
        </w:rPr>
        <w:t>Trata-se de autuação fiscal impondo obrigação tributária solidária à Telebras e ao Centro de Pesquisa e Desenvolvimento em Telecomunicações (Fundação CPQD) de pagar tributos (imposto de importação e IPI respectivo) incidentes sobre esses bens importados à época em que a Fundação CPQD era órgão interno da Telebras.</w:t>
      </w:r>
    </w:p>
    <w:p w14:paraId="581EF1FC" w14:textId="77777777" w:rsidR="001053EF" w:rsidRPr="001053EF" w:rsidRDefault="001053EF" w:rsidP="001053EF">
      <w:pPr>
        <w:autoSpaceDE w:val="0"/>
        <w:autoSpaceDN w:val="0"/>
        <w:adjustRightInd w:val="0"/>
        <w:spacing w:after="0" w:line="240" w:lineRule="auto"/>
        <w:jc w:val="both"/>
        <w:rPr>
          <w:rFonts w:ascii="Calibri" w:eastAsia="Times New Roman" w:hAnsi="Calibri" w:cs="Calibri"/>
          <w:iCs/>
          <w:color w:val="002060"/>
          <w:kern w:val="0"/>
          <w14:ligatures w14:val="none"/>
        </w:rPr>
      </w:pPr>
      <w:r w:rsidRPr="001053EF">
        <w:rPr>
          <w:rFonts w:ascii="Calibri" w:eastAsia="Times New Roman" w:hAnsi="Calibri" w:cs="Calibri"/>
          <w:iCs/>
          <w:color w:val="002060"/>
          <w:kern w:val="0"/>
          <w14:ligatures w14:val="none"/>
        </w:rPr>
        <w:t>Situação atual: Há recurso pendente de julgamento no Conselho Administrativo de Recursos Fiscais (CARF) que impede a exigibilidade dos tributos. A autuação fiscal considerou que a Telebras transferiu, em desacordo com a legislação tributária, à Fundação CPQD bens que foram importados com isenção de II e IPI, quando a Fundação deixou de ser órgão interno da</w:t>
      </w:r>
      <w:r w:rsidRPr="001053EF">
        <w:rPr>
          <w:rFonts w:ascii="Calibri" w:eastAsia="Times New Roman" w:hAnsi="Calibri" w:cs="Calibri"/>
          <w:i/>
          <w:iCs/>
          <w:color w:val="002060"/>
          <w:kern w:val="0"/>
          <w14:ligatures w14:val="none"/>
        </w:rPr>
        <w:t xml:space="preserve"> holding</w:t>
      </w:r>
      <w:r w:rsidRPr="001053EF">
        <w:rPr>
          <w:rFonts w:ascii="Calibri" w:eastAsia="Times New Roman" w:hAnsi="Calibri" w:cs="Calibri"/>
          <w:iCs/>
          <w:color w:val="002060"/>
          <w:kern w:val="0"/>
          <w14:ligatures w14:val="none"/>
        </w:rPr>
        <w:t xml:space="preserve"> Telebras e foi constituída como pessoa jurídica com personalidade jurídica própria. Para a autoridade fazendária, a transferência desses bens em desacordo com a legislação tributária impõe a exigência de tributos que, no momento da importação, eram acobertados por isenção. </w:t>
      </w:r>
    </w:p>
    <w:p w14:paraId="58079DFF" w14:textId="48AADA16" w:rsidR="001053EF" w:rsidRPr="001053EF" w:rsidRDefault="001053EF" w:rsidP="001053EF">
      <w:pPr>
        <w:autoSpaceDE w:val="0"/>
        <w:autoSpaceDN w:val="0"/>
        <w:adjustRightInd w:val="0"/>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21.3. </w:t>
      </w:r>
      <w:r w:rsidRPr="001053EF">
        <w:rPr>
          <w:rFonts w:ascii="Calibri" w:eastAsia="Times New Roman" w:hAnsi="Calibri" w:cs="Calibri"/>
          <w:b/>
          <w:bCs/>
          <w:iCs/>
          <w:color w:val="002060"/>
          <w:kern w:val="0"/>
          <w14:ligatures w14:val="none"/>
        </w:rPr>
        <w:t>DECISÃO DO STF – Eficácia da Coisa Julgada em Matéria Tributária</w:t>
      </w:r>
    </w:p>
    <w:p w14:paraId="72C699C8" w14:textId="77777777" w:rsidR="001053EF" w:rsidRPr="001053EF" w:rsidRDefault="001053EF" w:rsidP="001053EF">
      <w:pPr>
        <w:autoSpaceDE w:val="0"/>
        <w:autoSpaceDN w:val="0"/>
        <w:adjustRightInd w:val="0"/>
        <w:spacing w:after="0" w:line="240" w:lineRule="auto"/>
        <w:jc w:val="both"/>
        <w:rPr>
          <w:rFonts w:ascii="Calibri" w:eastAsia="Times New Roman" w:hAnsi="Calibri" w:cs="Calibri"/>
          <w:iCs/>
          <w:color w:val="002060"/>
          <w:kern w:val="0"/>
          <w14:ligatures w14:val="none"/>
        </w:rPr>
      </w:pPr>
      <w:r w:rsidRPr="001053EF">
        <w:rPr>
          <w:rFonts w:ascii="Calibri" w:eastAsia="Times New Roman" w:hAnsi="Calibri" w:cs="Calibri"/>
          <w:iCs/>
          <w:color w:val="002060"/>
          <w:kern w:val="0"/>
          <w14:ligatures w14:val="none"/>
        </w:rPr>
        <w:t>Em 08 de fevereiro de 2023, o Supremo Tribunal Federal no Brasil concluiu o julgamento relativos aos Temas 881 e 885, que discutem os efeitos da coisa julgada. Com relação ao tema, a Companhia não é parte em nenhum processo em decorrência do qual um tributo não esteja sendo recolhido em razão de decisão passada transitada em julgado, portanto, a Companhia não terá nenhum ajuste material de provisão em função das decisões proferidas no dia 08 de fevereiro de 2023.</w:t>
      </w:r>
    </w:p>
    <w:p w14:paraId="5AF395B7" w14:textId="77777777" w:rsidR="001053EF" w:rsidRDefault="001053EF" w:rsidP="001053EF">
      <w:pPr>
        <w:autoSpaceDE w:val="0"/>
        <w:autoSpaceDN w:val="0"/>
        <w:adjustRightInd w:val="0"/>
        <w:spacing w:after="0" w:line="240" w:lineRule="auto"/>
        <w:jc w:val="both"/>
        <w:rPr>
          <w:rFonts w:ascii="Calibri" w:eastAsia="Times New Roman" w:hAnsi="Calibri" w:cs="Calibri"/>
          <w:b/>
          <w:bCs/>
          <w:iCs/>
          <w:color w:val="002060"/>
          <w:kern w:val="0"/>
          <w14:ligatures w14:val="none"/>
        </w:rPr>
      </w:pPr>
      <w:bookmarkStart w:id="416" w:name="_Toc491337750"/>
      <w:r>
        <w:rPr>
          <w:rFonts w:ascii="Calibri" w:eastAsia="Times New Roman" w:hAnsi="Calibri" w:cs="Calibri"/>
          <w:b/>
          <w:bCs/>
          <w:iCs/>
          <w:color w:val="002060"/>
          <w:kern w:val="0"/>
          <w14:ligatures w14:val="none"/>
        </w:rPr>
        <w:t xml:space="preserve">22. </w:t>
      </w:r>
      <w:r w:rsidRPr="001053EF">
        <w:rPr>
          <w:rFonts w:ascii="Calibri" w:eastAsia="Times New Roman" w:hAnsi="Calibri" w:cs="Calibri"/>
          <w:b/>
          <w:bCs/>
          <w:iCs/>
          <w:color w:val="002060"/>
          <w:kern w:val="0"/>
          <w14:ligatures w14:val="none"/>
        </w:rPr>
        <w:t>CREDORES POR PERDAS JUDICIAIS</w:t>
      </w:r>
      <w:bookmarkEnd w:id="416"/>
    </w:p>
    <w:p w14:paraId="61BF697F" w14:textId="4E34CEEF" w:rsidR="001053EF" w:rsidRPr="001053EF" w:rsidRDefault="001053EF" w:rsidP="001053EF">
      <w:pPr>
        <w:autoSpaceDE w:val="0"/>
        <w:autoSpaceDN w:val="0"/>
        <w:adjustRightInd w:val="0"/>
        <w:spacing w:after="0" w:line="240" w:lineRule="auto"/>
        <w:jc w:val="both"/>
        <w:rPr>
          <w:rFonts w:ascii="Calibri" w:eastAsia="Times New Roman" w:hAnsi="Calibri" w:cs="Calibri"/>
          <w:b/>
          <w:bCs/>
          <w:iCs/>
          <w:color w:val="002060"/>
          <w:kern w:val="0"/>
          <w14:ligatures w14:val="none"/>
        </w:rPr>
      </w:pPr>
      <w:r w:rsidRPr="001053EF">
        <w:rPr>
          <w:rFonts w:ascii="Calibri" w:eastAsia="Times New Roman" w:hAnsi="Calibri" w:cs="Calibri"/>
          <w:iCs/>
          <w:color w:val="002060"/>
          <w:kern w:val="0"/>
          <w14:ligatures w14:val="none"/>
        </w:rPr>
        <w:t xml:space="preserve">A Companhia possui passivos com credores que ingressaram com ações na justiça e obtiveram êxito em suas reclamações. Como efeito, a Companhia firmou acordos com estes credores para quitação dessas dívidas. Em 31 de Dezembro de 2023, os valores devidos em função dos acordos firmados eram os seguintes:  </w:t>
      </w:r>
    </w:p>
    <w:tbl>
      <w:tblPr>
        <w:tblW w:w="5000" w:type="pct"/>
        <w:tblCellMar>
          <w:left w:w="70" w:type="dxa"/>
          <w:right w:w="70" w:type="dxa"/>
        </w:tblCellMar>
        <w:tblLook w:val="04A0" w:firstRow="1" w:lastRow="0" w:firstColumn="1" w:lastColumn="0" w:noHBand="0" w:noVBand="1"/>
      </w:tblPr>
      <w:tblGrid>
        <w:gridCol w:w="5631"/>
        <w:gridCol w:w="2065"/>
        <w:gridCol w:w="2065"/>
      </w:tblGrid>
      <w:tr w:rsidR="001053EF" w:rsidRPr="001053EF" w14:paraId="228B2137" w14:textId="77777777" w:rsidTr="00446A14">
        <w:trPr>
          <w:trHeight w:val="215"/>
        </w:trPr>
        <w:tc>
          <w:tcPr>
            <w:tcW w:w="2884"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079EA1F6"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Credores: </w:t>
            </w:r>
          </w:p>
        </w:tc>
        <w:tc>
          <w:tcPr>
            <w:tcW w:w="1058" w:type="pct"/>
            <w:tcBorders>
              <w:top w:val="single" w:sz="8" w:space="0" w:color="auto"/>
              <w:left w:val="nil"/>
              <w:bottom w:val="single" w:sz="8" w:space="0" w:color="auto"/>
              <w:right w:val="single" w:sz="8" w:space="0" w:color="auto"/>
            </w:tcBorders>
            <w:shd w:val="clear" w:color="auto" w:fill="auto"/>
            <w:noWrap/>
            <w:vAlign w:val="center"/>
            <w:hideMark/>
          </w:tcPr>
          <w:p w14:paraId="6BB80E11" w14:textId="77777777" w:rsidR="001053EF" w:rsidRPr="001053EF" w:rsidRDefault="001053EF" w:rsidP="001053EF">
            <w:pPr>
              <w:spacing w:after="0" w:line="240" w:lineRule="auto"/>
              <w:jc w:val="center"/>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31/12/2023</w:t>
            </w:r>
          </w:p>
        </w:tc>
        <w:tc>
          <w:tcPr>
            <w:tcW w:w="1058" w:type="pct"/>
            <w:tcBorders>
              <w:top w:val="single" w:sz="8" w:space="0" w:color="auto"/>
              <w:left w:val="nil"/>
              <w:bottom w:val="single" w:sz="8" w:space="0" w:color="auto"/>
              <w:right w:val="single" w:sz="8" w:space="0" w:color="auto"/>
            </w:tcBorders>
            <w:shd w:val="clear" w:color="auto" w:fill="auto"/>
            <w:noWrap/>
            <w:vAlign w:val="center"/>
            <w:hideMark/>
          </w:tcPr>
          <w:p w14:paraId="0F0088C2" w14:textId="77777777" w:rsidR="001053EF" w:rsidRPr="001053EF" w:rsidRDefault="001053EF" w:rsidP="001053EF">
            <w:pPr>
              <w:spacing w:after="0" w:line="240" w:lineRule="auto"/>
              <w:jc w:val="center"/>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31/12/2022</w:t>
            </w:r>
          </w:p>
        </w:tc>
      </w:tr>
      <w:tr w:rsidR="001053EF" w:rsidRPr="001053EF" w14:paraId="0522FA2D" w14:textId="77777777" w:rsidTr="00446A14">
        <w:trPr>
          <w:trHeight w:val="215"/>
        </w:trPr>
        <w:tc>
          <w:tcPr>
            <w:tcW w:w="2884" w:type="pct"/>
            <w:tcBorders>
              <w:top w:val="nil"/>
              <w:left w:val="single" w:sz="8" w:space="0" w:color="auto"/>
              <w:bottom w:val="single" w:sz="8" w:space="0" w:color="auto"/>
              <w:right w:val="single" w:sz="8" w:space="0" w:color="auto"/>
            </w:tcBorders>
            <w:shd w:val="clear" w:color="auto" w:fill="auto"/>
            <w:vAlign w:val="center"/>
            <w:hideMark/>
          </w:tcPr>
          <w:p w14:paraId="4E86114C"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Acordo Judicial – PREVI</w:t>
            </w:r>
          </w:p>
        </w:tc>
        <w:tc>
          <w:tcPr>
            <w:tcW w:w="1058" w:type="pct"/>
            <w:tcBorders>
              <w:top w:val="nil"/>
              <w:left w:val="nil"/>
              <w:bottom w:val="single" w:sz="8" w:space="0" w:color="auto"/>
              <w:right w:val="single" w:sz="8" w:space="0" w:color="auto"/>
            </w:tcBorders>
            <w:shd w:val="clear" w:color="auto" w:fill="auto"/>
            <w:vAlign w:val="center"/>
            <w:hideMark/>
          </w:tcPr>
          <w:p w14:paraId="0852740B"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72.242</w:t>
            </w:r>
          </w:p>
        </w:tc>
        <w:tc>
          <w:tcPr>
            <w:tcW w:w="1058" w:type="pct"/>
            <w:tcBorders>
              <w:top w:val="nil"/>
              <w:left w:val="nil"/>
              <w:bottom w:val="single" w:sz="8" w:space="0" w:color="auto"/>
              <w:right w:val="single" w:sz="8" w:space="0" w:color="auto"/>
            </w:tcBorders>
            <w:shd w:val="clear" w:color="auto" w:fill="auto"/>
            <w:vAlign w:val="center"/>
            <w:hideMark/>
          </w:tcPr>
          <w:p w14:paraId="5E3A7EE5"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91.860</w:t>
            </w:r>
          </w:p>
        </w:tc>
      </w:tr>
      <w:tr w:rsidR="001053EF" w:rsidRPr="001053EF" w14:paraId="6E7BF13E" w14:textId="77777777" w:rsidTr="00446A14">
        <w:trPr>
          <w:trHeight w:val="215"/>
        </w:trPr>
        <w:tc>
          <w:tcPr>
            <w:tcW w:w="2884" w:type="pct"/>
            <w:tcBorders>
              <w:top w:val="nil"/>
              <w:left w:val="single" w:sz="8" w:space="0" w:color="auto"/>
              <w:bottom w:val="single" w:sz="8" w:space="0" w:color="auto"/>
              <w:right w:val="single" w:sz="8" w:space="0" w:color="auto"/>
            </w:tcBorders>
            <w:shd w:val="clear" w:color="auto" w:fill="auto"/>
            <w:vAlign w:val="center"/>
            <w:hideMark/>
          </w:tcPr>
          <w:p w14:paraId="29E441CD"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bCs/>
                <w:color w:val="000000"/>
                <w:kern w:val="0"/>
                <w:sz w:val="18"/>
                <w:szCs w:val="18"/>
                <w:lang w:eastAsia="pt-BR"/>
                <w14:ligatures w14:val="none"/>
              </w:rPr>
              <w:t>Acordo Judicial – FUNCEF</w:t>
            </w:r>
          </w:p>
        </w:tc>
        <w:tc>
          <w:tcPr>
            <w:tcW w:w="1058" w:type="pct"/>
            <w:tcBorders>
              <w:top w:val="nil"/>
              <w:left w:val="nil"/>
              <w:bottom w:val="single" w:sz="8" w:space="0" w:color="auto"/>
              <w:right w:val="single" w:sz="8" w:space="0" w:color="auto"/>
            </w:tcBorders>
            <w:shd w:val="clear" w:color="auto" w:fill="auto"/>
            <w:noWrap/>
            <w:vAlign w:val="center"/>
            <w:hideMark/>
          </w:tcPr>
          <w:p w14:paraId="34BD2AD1"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60.198</w:t>
            </w:r>
          </w:p>
        </w:tc>
        <w:tc>
          <w:tcPr>
            <w:tcW w:w="1058" w:type="pct"/>
            <w:tcBorders>
              <w:top w:val="nil"/>
              <w:left w:val="nil"/>
              <w:bottom w:val="single" w:sz="8" w:space="0" w:color="auto"/>
              <w:right w:val="single" w:sz="8" w:space="0" w:color="auto"/>
            </w:tcBorders>
            <w:shd w:val="clear" w:color="auto" w:fill="auto"/>
            <w:noWrap/>
            <w:vAlign w:val="center"/>
            <w:hideMark/>
          </w:tcPr>
          <w:p w14:paraId="5820697E"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62.563</w:t>
            </w:r>
          </w:p>
        </w:tc>
      </w:tr>
      <w:tr w:rsidR="001053EF" w:rsidRPr="001053EF" w14:paraId="04709DCB" w14:textId="77777777" w:rsidTr="00446A14">
        <w:trPr>
          <w:trHeight w:val="215"/>
        </w:trPr>
        <w:tc>
          <w:tcPr>
            <w:tcW w:w="2884" w:type="pct"/>
            <w:tcBorders>
              <w:top w:val="nil"/>
              <w:left w:val="single" w:sz="8" w:space="0" w:color="auto"/>
              <w:bottom w:val="single" w:sz="8" w:space="0" w:color="auto"/>
              <w:right w:val="single" w:sz="8" w:space="0" w:color="auto"/>
            </w:tcBorders>
            <w:shd w:val="clear" w:color="auto" w:fill="auto"/>
            <w:vAlign w:val="center"/>
            <w:hideMark/>
          </w:tcPr>
          <w:p w14:paraId="23E2DC00"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Total</w:t>
            </w:r>
          </w:p>
        </w:tc>
        <w:tc>
          <w:tcPr>
            <w:tcW w:w="1058" w:type="pct"/>
            <w:tcBorders>
              <w:top w:val="nil"/>
              <w:left w:val="nil"/>
              <w:bottom w:val="single" w:sz="8" w:space="0" w:color="auto"/>
              <w:right w:val="single" w:sz="8" w:space="0" w:color="auto"/>
            </w:tcBorders>
            <w:shd w:val="clear" w:color="auto" w:fill="auto"/>
            <w:vAlign w:val="center"/>
            <w:hideMark/>
          </w:tcPr>
          <w:p w14:paraId="511EA4DF" w14:textId="77777777" w:rsidR="001053EF" w:rsidRPr="001053EF" w:rsidRDefault="001053EF" w:rsidP="001053EF">
            <w:pPr>
              <w:spacing w:after="0" w:line="240" w:lineRule="auto"/>
              <w:jc w:val="right"/>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132.440</w:t>
            </w:r>
          </w:p>
        </w:tc>
        <w:tc>
          <w:tcPr>
            <w:tcW w:w="1058" w:type="pct"/>
            <w:tcBorders>
              <w:top w:val="nil"/>
              <w:left w:val="nil"/>
              <w:bottom w:val="single" w:sz="8" w:space="0" w:color="auto"/>
              <w:right w:val="single" w:sz="8" w:space="0" w:color="auto"/>
            </w:tcBorders>
            <w:shd w:val="clear" w:color="auto" w:fill="auto"/>
            <w:vAlign w:val="center"/>
            <w:hideMark/>
          </w:tcPr>
          <w:p w14:paraId="1FA7D3AF" w14:textId="77777777" w:rsidR="001053EF" w:rsidRPr="001053EF" w:rsidRDefault="001053EF" w:rsidP="001053EF">
            <w:pPr>
              <w:spacing w:after="0" w:line="240" w:lineRule="auto"/>
              <w:jc w:val="right"/>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154.423</w:t>
            </w:r>
          </w:p>
        </w:tc>
      </w:tr>
      <w:tr w:rsidR="001053EF" w:rsidRPr="001053EF" w14:paraId="299EA627" w14:textId="77777777" w:rsidTr="00446A14">
        <w:trPr>
          <w:trHeight w:val="215"/>
        </w:trPr>
        <w:tc>
          <w:tcPr>
            <w:tcW w:w="2884" w:type="pct"/>
            <w:tcBorders>
              <w:top w:val="nil"/>
              <w:left w:val="single" w:sz="8" w:space="0" w:color="auto"/>
              <w:bottom w:val="single" w:sz="8" w:space="0" w:color="auto"/>
              <w:right w:val="single" w:sz="8" w:space="0" w:color="auto"/>
            </w:tcBorders>
            <w:shd w:val="clear" w:color="auto" w:fill="auto"/>
            <w:vAlign w:val="center"/>
            <w:hideMark/>
          </w:tcPr>
          <w:p w14:paraId="6F623794"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lastRenderedPageBreak/>
              <w:t>Circulante</w:t>
            </w:r>
          </w:p>
        </w:tc>
        <w:tc>
          <w:tcPr>
            <w:tcW w:w="1058" w:type="pct"/>
            <w:tcBorders>
              <w:top w:val="nil"/>
              <w:left w:val="nil"/>
              <w:bottom w:val="single" w:sz="8" w:space="0" w:color="auto"/>
              <w:right w:val="single" w:sz="8" w:space="0" w:color="auto"/>
            </w:tcBorders>
            <w:shd w:val="clear" w:color="auto" w:fill="auto"/>
            <w:vAlign w:val="center"/>
            <w:hideMark/>
          </w:tcPr>
          <w:p w14:paraId="25FB29DE" w14:textId="77777777" w:rsidR="001053EF" w:rsidRPr="001053EF" w:rsidRDefault="001053EF" w:rsidP="001053EF">
            <w:pPr>
              <w:spacing w:after="0" w:line="240" w:lineRule="auto"/>
              <w:jc w:val="right"/>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16.436</w:t>
            </w:r>
          </w:p>
        </w:tc>
        <w:tc>
          <w:tcPr>
            <w:tcW w:w="1058" w:type="pct"/>
            <w:tcBorders>
              <w:top w:val="nil"/>
              <w:left w:val="nil"/>
              <w:bottom w:val="single" w:sz="8" w:space="0" w:color="auto"/>
              <w:right w:val="single" w:sz="8" w:space="0" w:color="auto"/>
            </w:tcBorders>
            <w:shd w:val="clear" w:color="auto" w:fill="auto"/>
            <w:vAlign w:val="center"/>
            <w:hideMark/>
          </w:tcPr>
          <w:p w14:paraId="2F82024A" w14:textId="77777777" w:rsidR="001053EF" w:rsidRPr="001053EF" w:rsidRDefault="001053EF" w:rsidP="001053EF">
            <w:pPr>
              <w:spacing w:after="0" w:line="240" w:lineRule="auto"/>
              <w:jc w:val="right"/>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17.170</w:t>
            </w:r>
          </w:p>
        </w:tc>
      </w:tr>
      <w:tr w:rsidR="001053EF" w:rsidRPr="001053EF" w14:paraId="68DACD39" w14:textId="77777777" w:rsidTr="00446A14">
        <w:trPr>
          <w:trHeight w:val="215"/>
        </w:trPr>
        <w:tc>
          <w:tcPr>
            <w:tcW w:w="2884" w:type="pct"/>
            <w:tcBorders>
              <w:top w:val="nil"/>
              <w:left w:val="single" w:sz="8" w:space="0" w:color="auto"/>
              <w:bottom w:val="single" w:sz="8" w:space="0" w:color="auto"/>
              <w:right w:val="single" w:sz="8" w:space="0" w:color="auto"/>
            </w:tcBorders>
            <w:shd w:val="clear" w:color="auto" w:fill="auto"/>
            <w:vAlign w:val="center"/>
            <w:hideMark/>
          </w:tcPr>
          <w:p w14:paraId="4658F4C5"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Não Circulante</w:t>
            </w:r>
          </w:p>
        </w:tc>
        <w:tc>
          <w:tcPr>
            <w:tcW w:w="1058" w:type="pct"/>
            <w:tcBorders>
              <w:top w:val="nil"/>
              <w:left w:val="nil"/>
              <w:bottom w:val="single" w:sz="8" w:space="0" w:color="auto"/>
              <w:right w:val="single" w:sz="8" w:space="0" w:color="auto"/>
            </w:tcBorders>
            <w:shd w:val="clear" w:color="auto" w:fill="auto"/>
            <w:vAlign w:val="center"/>
            <w:hideMark/>
          </w:tcPr>
          <w:p w14:paraId="5DB2F1CC" w14:textId="77777777" w:rsidR="001053EF" w:rsidRPr="001053EF" w:rsidRDefault="001053EF" w:rsidP="001053EF">
            <w:pPr>
              <w:spacing w:after="0" w:line="240" w:lineRule="auto"/>
              <w:jc w:val="right"/>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116.004</w:t>
            </w:r>
          </w:p>
        </w:tc>
        <w:tc>
          <w:tcPr>
            <w:tcW w:w="1058" w:type="pct"/>
            <w:tcBorders>
              <w:top w:val="nil"/>
              <w:left w:val="nil"/>
              <w:bottom w:val="single" w:sz="8" w:space="0" w:color="auto"/>
              <w:right w:val="single" w:sz="8" w:space="0" w:color="auto"/>
            </w:tcBorders>
            <w:shd w:val="clear" w:color="auto" w:fill="auto"/>
            <w:vAlign w:val="center"/>
            <w:hideMark/>
          </w:tcPr>
          <w:p w14:paraId="34F2FCD8" w14:textId="77777777" w:rsidR="001053EF" w:rsidRPr="001053EF" w:rsidRDefault="001053EF" w:rsidP="001053EF">
            <w:pPr>
              <w:spacing w:after="0" w:line="240" w:lineRule="auto"/>
              <w:jc w:val="right"/>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137.253</w:t>
            </w:r>
          </w:p>
        </w:tc>
      </w:tr>
    </w:tbl>
    <w:p w14:paraId="53ADAF39" w14:textId="3D4ADDCE" w:rsidR="001053EF" w:rsidRDefault="001053EF" w:rsidP="001053EF">
      <w:pPr>
        <w:autoSpaceDE w:val="0"/>
        <w:autoSpaceDN w:val="0"/>
        <w:adjustRightInd w:val="0"/>
        <w:spacing w:after="0" w:line="276"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22.1 </w:t>
      </w:r>
      <w:r w:rsidRPr="001053EF">
        <w:rPr>
          <w:rFonts w:ascii="Calibri" w:eastAsia="Times New Roman" w:hAnsi="Calibri" w:cs="Calibri"/>
          <w:b/>
          <w:bCs/>
          <w:iCs/>
          <w:color w:val="002060"/>
          <w:kern w:val="0"/>
          <w14:ligatures w14:val="none"/>
        </w:rPr>
        <w:t>Movimentação da dívida no período</w:t>
      </w:r>
    </w:p>
    <w:tbl>
      <w:tblPr>
        <w:tblW w:w="5000" w:type="pct"/>
        <w:tblCellMar>
          <w:left w:w="70" w:type="dxa"/>
          <w:right w:w="70" w:type="dxa"/>
        </w:tblCellMar>
        <w:tblLook w:val="04A0" w:firstRow="1" w:lastRow="0" w:firstColumn="1" w:lastColumn="0" w:noHBand="0" w:noVBand="1"/>
      </w:tblPr>
      <w:tblGrid>
        <w:gridCol w:w="8102"/>
        <w:gridCol w:w="1659"/>
      </w:tblGrid>
      <w:tr w:rsidR="001053EF" w:rsidRPr="001053EF" w14:paraId="10EBCDD8" w14:textId="77777777" w:rsidTr="00446A14">
        <w:trPr>
          <w:trHeight w:val="238"/>
        </w:trPr>
        <w:tc>
          <w:tcPr>
            <w:tcW w:w="415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F2FE053"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Saldo em 31 de dezembro de 2022</w:t>
            </w:r>
          </w:p>
        </w:tc>
        <w:tc>
          <w:tcPr>
            <w:tcW w:w="850" w:type="pct"/>
            <w:tcBorders>
              <w:top w:val="single" w:sz="8" w:space="0" w:color="auto"/>
              <w:left w:val="nil"/>
              <w:bottom w:val="single" w:sz="8" w:space="0" w:color="auto"/>
              <w:right w:val="single" w:sz="8" w:space="0" w:color="auto"/>
            </w:tcBorders>
            <w:shd w:val="clear" w:color="auto" w:fill="auto"/>
            <w:noWrap/>
            <w:vAlign w:val="center"/>
            <w:hideMark/>
          </w:tcPr>
          <w:p w14:paraId="6ABDDD9D" w14:textId="77777777" w:rsidR="001053EF" w:rsidRPr="001053EF" w:rsidRDefault="001053EF" w:rsidP="001053EF">
            <w:pPr>
              <w:spacing w:after="0" w:line="240" w:lineRule="auto"/>
              <w:jc w:val="right"/>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 xml:space="preserve">     154.423 </w:t>
            </w:r>
          </w:p>
        </w:tc>
      </w:tr>
      <w:tr w:rsidR="001053EF" w:rsidRPr="001053EF" w14:paraId="7A34EE4D" w14:textId="77777777" w:rsidTr="00446A14">
        <w:trPr>
          <w:trHeight w:val="238"/>
        </w:trPr>
        <w:tc>
          <w:tcPr>
            <w:tcW w:w="4150" w:type="pct"/>
            <w:tcBorders>
              <w:top w:val="nil"/>
              <w:left w:val="single" w:sz="8" w:space="0" w:color="auto"/>
              <w:bottom w:val="single" w:sz="8" w:space="0" w:color="auto"/>
              <w:right w:val="single" w:sz="8" w:space="0" w:color="auto"/>
            </w:tcBorders>
            <w:shd w:val="clear" w:color="auto" w:fill="auto"/>
            <w:noWrap/>
            <w:vAlign w:val="center"/>
            <w:hideMark/>
          </w:tcPr>
          <w:p w14:paraId="414489F8"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Juros e Variação Monetária</w:t>
            </w:r>
          </w:p>
        </w:tc>
        <w:tc>
          <w:tcPr>
            <w:tcW w:w="850" w:type="pct"/>
            <w:tcBorders>
              <w:top w:val="nil"/>
              <w:left w:val="nil"/>
              <w:bottom w:val="single" w:sz="8" w:space="0" w:color="auto"/>
              <w:right w:val="single" w:sz="8" w:space="0" w:color="auto"/>
            </w:tcBorders>
            <w:shd w:val="clear" w:color="auto" w:fill="auto"/>
            <w:noWrap/>
            <w:vAlign w:val="center"/>
            <w:hideMark/>
          </w:tcPr>
          <w:p w14:paraId="7D6DD944"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13.678 </w:t>
            </w:r>
          </w:p>
        </w:tc>
      </w:tr>
      <w:tr w:rsidR="001053EF" w:rsidRPr="001053EF" w14:paraId="5527C921" w14:textId="77777777" w:rsidTr="00446A14">
        <w:trPr>
          <w:trHeight w:val="238"/>
        </w:trPr>
        <w:tc>
          <w:tcPr>
            <w:tcW w:w="4150" w:type="pct"/>
            <w:tcBorders>
              <w:top w:val="nil"/>
              <w:left w:val="single" w:sz="8" w:space="0" w:color="auto"/>
              <w:bottom w:val="single" w:sz="8" w:space="0" w:color="auto"/>
              <w:right w:val="single" w:sz="8" w:space="0" w:color="auto"/>
            </w:tcBorders>
            <w:shd w:val="clear" w:color="auto" w:fill="auto"/>
            <w:noWrap/>
            <w:vAlign w:val="center"/>
            <w:hideMark/>
          </w:tcPr>
          <w:p w14:paraId="5BA6EFB0"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Amortização de Principal</w:t>
            </w:r>
          </w:p>
        </w:tc>
        <w:tc>
          <w:tcPr>
            <w:tcW w:w="850" w:type="pct"/>
            <w:tcBorders>
              <w:top w:val="nil"/>
              <w:left w:val="nil"/>
              <w:bottom w:val="single" w:sz="8" w:space="0" w:color="auto"/>
              <w:right w:val="single" w:sz="8" w:space="0" w:color="auto"/>
            </w:tcBorders>
            <w:shd w:val="clear" w:color="auto" w:fill="auto"/>
            <w:noWrap/>
            <w:vAlign w:val="center"/>
            <w:hideMark/>
          </w:tcPr>
          <w:p w14:paraId="2E462C8C"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(21.828)</w:t>
            </w:r>
          </w:p>
        </w:tc>
      </w:tr>
      <w:tr w:rsidR="001053EF" w:rsidRPr="001053EF" w14:paraId="356D829E" w14:textId="77777777" w:rsidTr="00446A14">
        <w:trPr>
          <w:trHeight w:val="238"/>
        </w:trPr>
        <w:tc>
          <w:tcPr>
            <w:tcW w:w="4150" w:type="pct"/>
            <w:tcBorders>
              <w:top w:val="nil"/>
              <w:left w:val="single" w:sz="8" w:space="0" w:color="auto"/>
              <w:bottom w:val="single" w:sz="8" w:space="0" w:color="auto"/>
              <w:right w:val="single" w:sz="8" w:space="0" w:color="auto"/>
            </w:tcBorders>
            <w:shd w:val="clear" w:color="auto" w:fill="auto"/>
            <w:noWrap/>
            <w:vAlign w:val="center"/>
            <w:hideMark/>
          </w:tcPr>
          <w:p w14:paraId="725BE1C2"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Pagamento de Juros</w:t>
            </w:r>
          </w:p>
        </w:tc>
        <w:tc>
          <w:tcPr>
            <w:tcW w:w="850" w:type="pct"/>
            <w:tcBorders>
              <w:top w:val="nil"/>
              <w:left w:val="nil"/>
              <w:bottom w:val="single" w:sz="8" w:space="0" w:color="auto"/>
              <w:right w:val="single" w:sz="8" w:space="0" w:color="auto"/>
            </w:tcBorders>
            <w:shd w:val="clear" w:color="auto" w:fill="auto"/>
            <w:noWrap/>
            <w:vAlign w:val="center"/>
            <w:hideMark/>
          </w:tcPr>
          <w:p w14:paraId="49F0C976"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(13.833)</w:t>
            </w:r>
          </w:p>
        </w:tc>
      </w:tr>
      <w:tr w:rsidR="001053EF" w:rsidRPr="001053EF" w14:paraId="58170A20" w14:textId="77777777" w:rsidTr="00446A14">
        <w:trPr>
          <w:trHeight w:val="238"/>
        </w:trPr>
        <w:tc>
          <w:tcPr>
            <w:tcW w:w="4150" w:type="pct"/>
            <w:tcBorders>
              <w:top w:val="nil"/>
              <w:left w:val="single" w:sz="8" w:space="0" w:color="auto"/>
              <w:bottom w:val="single" w:sz="8" w:space="0" w:color="auto"/>
              <w:right w:val="single" w:sz="8" w:space="0" w:color="auto"/>
            </w:tcBorders>
            <w:shd w:val="clear" w:color="auto" w:fill="auto"/>
            <w:noWrap/>
            <w:vAlign w:val="center"/>
            <w:hideMark/>
          </w:tcPr>
          <w:p w14:paraId="4538BD91"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Saldo em 31 de dezembro de 2023</w:t>
            </w:r>
          </w:p>
        </w:tc>
        <w:tc>
          <w:tcPr>
            <w:tcW w:w="850" w:type="pct"/>
            <w:tcBorders>
              <w:top w:val="nil"/>
              <w:left w:val="nil"/>
              <w:bottom w:val="single" w:sz="8" w:space="0" w:color="auto"/>
              <w:right w:val="single" w:sz="8" w:space="0" w:color="auto"/>
            </w:tcBorders>
            <w:shd w:val="clear" w:color="auto" w:fill="auto"/>
            <w:noWrap/>
            <w:vAlign w:val="center"/>
            <w:hideMark/>
          </w:tcPr>
          <w:p w14:paraId="2CCD392C" w14:textId="77777777" w:rsidR="001053EF" w:rsidRPr="001053EF" w:rsidRDefault="001053EF" w:rsidP="001053EF">
            <w:pPr>
              <w:spacing w:after="0" w:line="240" w:lineRule="auto"/>
              <w:jc w:val="right"/>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 xml:space="preserve">     132.440 </w:t>
            </w:r>
          </w:p>
        </w:tc>
      </w:tr>
    </w:tbl>
    <w:p w14:paraId="76FEE3C3" w14:textId="69E126F8" w:rsidR="001053EF" w:rsidRDefault="001053EF" w:rsidP="001053EF">
      <w:pPr>
        <w:autoSpaceDE w:val="0"/>
        <w:autoSpaceDN w:val="0"/>
        <w:adjustRightInd w:val="0"/>
        <w:spacing w:after="0" w:line="276" w:lineRule="auto"/>
        <w:jc w:val="both"/>
        <w:rPr>
          <w:rFonts w:ascii="Calibri" w:eastAsia="Times New Roman" w:hAnsi="Calibri" w:cs="Calibri"/>
          <w:b/>
          <w:bCs/>
          <w:iCs/>
          <w:color w:val="002060"/>
          <w:kern w:val="0"/>
          <w14:ligatures w14:val="none"/>
        </w:rPr>
      </w:pPr>
      <w:bookmarkStart w:id="417" w:name="_Toc491337752"/>
      <w:r>
        <w:rPr>
          <w:rFonts w:ascii="Calibri" w:eastAsia="Times New Roman" w:hAnsi="Calibri" w:cs="Calibri"/>
          <w:b/>
          <w:bCs/>
          <w:iCs/>
          <w:color w:val="002060"/>
          <w:kern w:val="0"/>
          <w14:ligatures w14:val="none"/>
        </w:rPr>
        <w:t xml:space="preserve">22.2. </w:t>
      </w:r>
      <w:r w:rsidRPr="001053EF">
        <w:rPr>
          <w:rFonts w:ascii="Calibri" w:eastAsia="Times New Roman" w:hAnsi="Calibri" w:cs="Calibri"/>
          <w:b/>
          <w:bCs/>
          <w:iCs/>
          <w:color w:val="002060"/>
          <w:kern w:val="0"/>
          <w14:ligatures w14:val="none"/>
        </w:rPr>
        <w:t>Cronograma de pagamento</w:t>
      </w:r>
      <w:bookmarkEnd w:id="417"/>
      <w:r w:rsidRPr="001053EF">
        <w:rPr>
          <w:rFonts w:ascii="Calibri" w:eastAsia="Times New Roman" w:hAnsi="Calibri" w:cs="Calibri"/>
          <w:b/>
          <w:bCs/>
          <w:iCs/>
          <w:color w:val="002060"/>
          <w:kern w:val="0"/>
          <w14:ligatures w14:val="none"/>
        </w:rPr>
        <w:t xml:space="preserve"> da dívida de longo prazo (Não Circulante)</w:t>
      </w:r>
    </w:p>
    <w:tbl>
      <w:tblPr>
        <w:tblW w:w="5000" w:type="pct"/>
        <w:tblCellMar>
          <w:left w:w="70" w:type="dxa"/>
          <w:right w:w="70" w:type="dxa"/>
        </w:tblCellMar>
        <w:tblLook w:val="04A0" w:firstRow="1" w:lastRow="0" w:firstColumn="1" w:lastColumn="0" w:noHBand="0" w:noVBand="1"/>
      </w:tblPr>
      <w:tblGrid>
        <w:gridCol w:w="6074"/>
        <w:gridCol w:w="1246"/>
        <w:gridCol w:w="1246"/>
        <w:gridCol w:w="1195"/>
      </w:tblGrid>
      <w:tr w:rsidR="001053EF" w:rsidRPr="001053EF" w14:paraId="627C41D1" w14:textId="77777777" w:rsidTr="00446A14">
        <w:trPr>
          <w:trHeight w:val="238"/>
          <w:tblHeader/>
        </w:trPr>
        <w:tc>
          <w:tcPr>
            <w:tcW w:w="3111" w:type="pct"/>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2EB4F5E2"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 Anos:</w:t>
            </w:r>
          </w:p>
        </w:tc>
        <w:tc>
          <w:tcPr>
            <w:tcW w:w="638" w:type="pct"/>
            <w:tcBorders>
              <w:top w:val="single" w:sz="8" w:space="0" w:color="auto"/>
              <w:left w:val="nil"/>
              <w:bottom w:val="single" w:sz="8" w:space="0" w:color="auto"/>
              <w:right w:val="single" w:sz="8" w:space="0" w:color="auto"/>
            </w:tcBorders>
            <w:shd w:val="clear" w:color="auto" w:fill="auto"/>
            <w:noWrap/>
            <w:vAlign w:val="center"/>
            <w:hideMark/>
          </w:tcPr>
          <w:p w14:paraId="6F49A7C8" w14:textId="77777777" w:rsidR="001053EF" w:rsidRPr="001053EF" w:rsidRDefault="001053EF" w:rsidP="001053EF">
            <w:pPr>
              <w:spacing w:after="0" w:line="240" w:lineRule="auto"/>
              <w:jc w:val="center"/>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PREVI</w:t>
            </w:r>
          </w:p>
        </w:tc>
        <w:tc>
          <w:tcPr>
            <w:tcW w:w="638" w:type="pct"/>
            <w:tcBorders>
              <w:top w:val="single" w:sz="8" w:space="0" w:color="auto"/>
              <w:left w:val="nil"/>
              <w:bottom w:val="single" w:sz="8" w:space="0" w:color="auto"/>
              <w:right w:val="single" w:sz="8" w:space="0" w:color="auto"/>
            </w:tcBorders>
            <w:shd w:val="clear" w:color="auto" w:fill="auto"/>
            <w:noWrap/>
            <w:vAlign w:val="center"/>
            <w:hideMark/>
          </w:tcPr>
          <w:p w14:paraId="77B684D6" w14:textId="77777777" w:rsidR="001053EF" w:rsidRPr="001053EF" w:rsidRDefault="001053EF" w:rsidP="001053EF">
            <w:pPr>
              <w:spacing w:after="0" w:line="240" w:lineRule="auto"/>
              <w:jc w:val="center"/>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FUNCEF</w:t>
            </w:r>
          </w:p>
        </w:tc>
        <w:tc>
          <w:tcPr>
            <w:tcW w:w="612" w:type="pct"/>
            <w:tcBorders>
              <w:top w:val="single" w:sz="8" w:space="0" w:color="auto"/>
              <w:left w:val="nil"/>
              <w:bottom w:val="single" w:sz="8" w:space="0" w:color="auto"/>
              <w:right w:val="single" w:sz="8" w:space="0" w:color="auto"/>
            </w:tcBorders>
            <w:shd w:val="clear" w:color="auto" w:fill="auto"/>
            <w:noWrap/>
            <w:vAlign w:val="center"/>
            <w:hideMark/>
          </w:tcPr>
          <w:p w14:paraId="3012F636" w14:textId="77777777" w:rsidR="001053EF" w:rsidRPr="001053EF" w:rsidRDefault="001053EF" w:rsidP="001053EF">
            <w:pPr>
              <w:spacing w:after="0" w:line="240" w:lineRule="auto"/>
              <w:jc w:val="center"/>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Total</w:t>
            </w:r>
          </w:p>
        </w:tc>
      </w:tr>
      <w:tr w:rsidR="001053EF" w:rsidRPr="001053EF" w14:paraId="129DDF5B" w14:textId="77777777" w:rsidTr="00446A14">
        <w:trPr>
          <w:trHeight w:val="238"/>
        </w:trPr>
        <w:tc>
          <w:tcPr>
            <w:tcW w:w="3111" w:type="pct"/>
            <w:tcBorders>
              <w:top w:val="nil"/>
              <w:left w:val="single" w:sz="8" w:space="0" w:color="auto"/>
              <w:bottom w:val="single" w:sz="8" w:space="0" w:color="auto"/>
              <w:right w:val="single" w:sz="8" w:space="0" w:color="auto"/>
            </w:tcBorders>
            <w:shd w:val="clear" w:color="auto" w:fill="auto"/>
            <w:noWrap/>
            <w:vAlign w:val="center"/>
            <w:hideMark/>
          </w:tcPr>
          <w:p w14:paraId="53F5E4B6"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2025</w:t>
            </w:r>
          </w:p>
        </w:tc>
        <w:tc>
          <w:tcPr>
            <w:tcW w:w="638" w:type="pct"/>
            <w:tcBorders>
              <w:top w:val="nil"/>
              <w:left w:val="nil"/>
              <w:bottom w:val="single" w:sz="8" w:space="0" w:color="auto"/>
              <w:right w:val="single" w:sz="8" w:space="0" w:color="auto"/>
            </w:tcBorders>
            <w:shd w:val="clear" w:color="auto" w:fill="auto"/>
            <w:noWrap/>
            <w:vAlign w:val="center"/>
            <w:hideMark/>
          </w:tcPr>
          <w:p w14:paraId="1B5408A4"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10.320</w:t>
            </w:r>
          </w:p>
        </w:tc>
        <w:tc>
          <w:tcPr>
            <w:tcW w:w="638" w:type="pct"/>
            <w:tcBorders>
              <w:top w:val="nil"/>
              <w:left w:val="nil"/>
              <w:bottom w:val="single" w:sz="8" w:space="0" w:color="auto"/>
              <w:right w:val="single" w:sz="8" w:space="0" w:color="auto"/>
            </w:tcBorders>
            <w:shd w:val="clear" w:color="auto" w:fill="auto"/>
            <w:noWrap/>
            <w:vAlign w:val="center"/>
            <w:hideMark/>
          </w:tcPr>
          <w:p w14:paraId="01DC2BFC"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6.020</w:t>
            </w:r>
          </w:p>
        </w:tc>
        <w:tc>
          <w:tcPr>
            <w:tcW w:w="612" w:type="pct"/>
            <w:tcBorders>
              <w:top w:val="nil"/>
              <w:left w:val="nil"/>
              <w:bottom w:val="single" w:sz="8" w:space="0" w:color="auto"/>
              <w:right w:val="single" w:sz="8" w:space="0" w:color="auto"/>
            </w:tcBorders>
            <w:shd w:val="clear" w:color="auto" w:fill="auto"/>
            <w:noWrap/>
            <w:vAlign w:val="center"/>
            <w:hideMark/>
          </w:tcPr>
          <w:p w14:paraId="7690230F"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16.340</w:t>
            </w:r>
          </w:p>
        </w:tc>
      </w:tr>
      <w:tr w:rsidR="001053EF" w:rsidRPr="001053EF" w14:paraId="2C85C75C" w14:textId="77777777" w:rsidTr="00446A14">
        <w:trPr>
          <w:trHeight w:val="238"/>
        </w:trPr>
        <w:tc>
          <w:tcPr>
            <w:tcW w:w="3111" w:type="pct"/>
            <w:tcBorders>
              <w:top w:val="nil"/>
              <w:left w:val="single" w:sz="8" w:space="0" w:color="auto"/>
              <w:bottom w:val="single" w:sz="8" w:space="0" w:color="auto"/>
              <w:right w:val="single" w:sz="8" w:space="0" w:color="auto"/>
            </w:tcBorders>
            <w:shd w:val="clear" w:color="auto" w:fill="auto"/>
            <w:noWrap/>
            <w:vAlign w:val="center"/>
            <w:hideMark/>
          </w:tcPr>
          <w:p w14:paraId="4D8E55A3"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2026</w:t>
            </w:r>
          </w:p>
        </w:tc>
        <w:tc>
          <w:tcPr>
            <w:tcW w:w="638" w:type="pct"/>
            <w:tcBorders>
              <w:top w:val="nil"/>
              <w:left w:val="nil"/>
              <w:bottom w:val="single" w:sz="8" w:space="0" w:color="auto"/>
              <w:right w:val="single" w:sz="8" w:space="0" w:color="auto"/>
            </w:tcBorders>
            <w:shd w:val="clear" w:color="auto" w:fill="auto"/>
            <w:noWrap/>
            <w:vAlign w:val="center"/>
            <w:hideMark/>
          </w:tcPr>
          <w:p w14:paraId="6878352A"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10.320</w:t>
            </w:r>
          </w:p>
        </w:tc>
        <w:tc>
          <w:tcPr>
            <w:tcW w:w="638" w:type="pct"/>
            <w:tcBorders>
              <w:top w:val="nil"/>
              <w:left w:val="nil"/>
              <w:bottom w:val="single" w:sz="8" w:space="0" w:color="auto"/>
              <w:right w:val="single" w:sz="8" w:space="0" w:color="auto"/>
            </w:tcBorders>
            <w:shd w:val="clear" w:color="auto" w:fill="auto"/>
            <w:noWrap/>
            <w:vAlign w:val="center"/>
            <w:hideMark/>
          </w:tcPr>
          <w:p w14:paraId="669C7C20"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6.020</w:t>
            </w:r>
          </w:p>
        </w:tc>
        <w:tc>
          <w:tcPr>
            <w:tcW w:w="612" w:type="pct"/>
            <w:tcBorders>
              <w:top w:val="nil"/>
              <w:left w:val="nil"/>
              <w:bottom w:val="single" w:sz="8" w:space="0" w:color="auto"/>
              <w:right w:val="single" w:sz="8" w:space="0" w:color="auto"/>
            </w:tcBorders>
            <w:shd w:val="clear" w:color="auto" w:fill="auto"/>
            <w:noWrap/>
            <w:vAlign w:val="center"/>
            <w:hideMark/>
          </w:tcPr>
          <w:p w14:paraId="1C52B8BC"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16.340</w:t>
            </w:r>
          </w:p>
        </w:tc>
      </w:tr>
      <w:tr w:rsidR="001053EF" w:rsidRPr="001053EF" w14:paraId="49C6DBD9" w14:textId="77777777" w:rsidTr="00446A14">
        <w:trPr>
          <w:trHeight w:val="238"/>
        </w:trPr>
        <w:tc>
          <w:tcPr>
            <w:tcW w:w="3111" w:type="pct"/>
            <w:tcBorders>
              <w:top w:val="nil"/>
              <w:left w:val="single" w:sz="8" w:space="0" w:color="auto"/>
              <w:bottom w:val="single" w:sz="8" w:space="0" w:color="auto"/>
              <w:right w:val="single" w:sz="8" w:space="0" w:color="auto"/>
            </w:tcBorders>
            <w:shd w:val="clear" w:color="auto" w:fill="auto"/>
            <w:noWrap/>
            <w:vAlign w:val="center"/>
            <w:hideMark/>
          </w:tcPr>
          <w:p w14:paraId="233DDDB4"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2027</w:t>
            </w:r>
          </w:p>
        </w:tc>
        <w:tc>
          <w:tcPr>
            <w:tcW w:w="638" w:type="pct"/>
            <w:tcBorders>
              <w:top w:val="nil"/>
              <w:left w:val="nil"/>
              <w:bottom w:val="single" w:sz="8" w:space="0" w:color="auto"/>
              <w:right w:val="single" w:sz="8" w:space="0" w:color="auto"/>
            </w:tcBorders>
            <w:shd w:val="clear" w:color="auto" w:fill="auto"/>
            <w:noWrap/>
            <w:vAlign w:val="center"/>
            <w:hideMark/>
          </w:tcPr>
          <w:p w14:paraId="176F0E98"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10.320</w:t>
            </w:r>
          </w:p>
        </w:tc>
        <w:tc>
          <w:tcPr>
            <w:tcW w:w="638" w:type="pct"/>
            <w:tcBorders>
              <w:top w:val="nil"/>
              <w:left w:val="nil"/>
              <w:bottom w:val="single" w:sz="8" w:space="0" w:color="auto"/>
              <w:right w:val="single" w:sz="8" w:space="0" w:color="auto"/>
            </w:tcBorders>
            <w:shd w:val="clear" w:color="auto" w:fill="auto"/>
            <w:noWrap/>
            <w:vAlign w:val="center"/>
            <w:hideMark/>
          </w:tcPr>
          <w:p w14:paraId="1A8FACA5"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6.020</w:t>
            </w:r>
          </w:p>
        </w:tc>
        <w:tc>
          <w:tcPr>
            <w:tcW w:w="612" w:type="pct"/>
            <w:tcBorders>
              <w:top w:val="nil"/>
              <w:left w:val="nil"/>
              <w:bottom w:val="single" w:sz="8" w:space="0" w:color="auto"/>
              <w:right w:val="single" w:sz="8" w:space="0" w:color="auto"/>
            </w:tcBorders>
            <w:shd w:val="clear" w:color="auto" w:fill="auto"/>
            <w:noWrap/>
            <w:vAlign w:val="center"/>
            <w:hideMark/>
          </w:tcPr>
          <w:p w14:paraId="14DEFE1A"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16.340</w:t>
            </w:r>
          </w:p>
        </w:tc>
      </w:tr>
      <w:tr w:rsidR="001053EF" w:rsidRPr="001053EF" w14:paraId="0E34EE54" w14:textId="77777777" w:rsidTr="00446A14">
        <w:trPr>
          <w:trHeight w:val="238"/>
        </w:trPr>
        <w:tc>
          <w:tcPr>
            <w:tcW w:w="3111" w:type="pct"/>
            <w:tcBorders>
              <w:top w:val="nil"/>
              <w:left w:val="single" w:sz="8" w:space="0" w:color="auto"/>
              <w:bottom w:val="single" w:sz="8" w:space="0" w:color="auto"/>
              <w:right w:val="single" w:sz="8" w:space="0" w:color="auto"/>
            </w:tcBorders>
            <w:shd w:val="clear" w:color="auto" w:fill="auto"/>
            <w:noWrap/>
            <w:vAlign w:val="center"/>
            <w:hideMark/>
          </w:tcPr>
          <w:p w14:paraId="6CECFAB5"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2028</w:t>
            </w:r>
          </w:p>
        </w:tc>
        <w:tc>
          <w:tcPr>
            <w:tcW w:w="638" w:type="pct"/>
            <w:tcBorders>
              <w:top w:val="nil"/>
              <w:left w:val="nil"/>
              <w:bottom w:val="single" w:sz="8" w:space="0" w:color="auto"/>
              <w:right w:val="single" w:sz="8" w:space="0" w:color="auto"/>
            </w:tcBorders>
            <w:shd w:val="clear" w:color="auto" w:fill="auto"/>
            <w:noWrap/>
            <w:vAlign w:val="center"/>
            <w:hideMark/>
          </w:tcPr>
          <w:p w14:paraId="5A5ADAA7"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10.320</w:t>
            </w:r>
          </w:p>
        </w:tc>
        <w:tc>
          <w:tcPr>
            <w:tcW w:w="638" w:type="pct"/>
            <w:tcBorders>
              <w:top w:val="nil"/>
              <w:left w:val="nil"/>
              <w:bottom w:val="single" w:sz="8" w:space="0" w:color="auto"/>
              <w:right w:val="single" w:sz="8" w:space="0" w:color="auto"/>
            </w:tcBorders>
            <w:shd w:val="clear" w:color="auto" w:fill="auto"/>
            <w:noWrap/>
            <w:vAlign w:val="center"/>
            <w:hideMark/>
          </w:tcPr>
          <w:p w14:paraId="6A831DE5"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6.020</w:t>
            </w:r>
          </w:p>
        </w:tc>
        <w:tc>
          <w:tcPr>
            <w:tcW w:w="612" w:type="pct"/>
            <w:tcBorders>
              <w:top w:val="nil"/>
              <w:left w:val="nil"/>
              <w:bottom w:val="single" w:sz="8" w:space="0" w:color="auto"/>
              <w:right w:val="single" w:sz="8" w:space="0" w:color="auto"/>
            </w:tcBorders>
            <w:shd w:val="clear" w:color="auto" w:fill="auto"/>
            <w:noWrap/>
            <w:vAlign w:val="center"/>
            <w:hideMark/>
          </w:tcPr>
          <w:p w14:paraId="431EC33E"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16.340</w:t>
            </w:r>
          </w:p>
        </w:tc>
      </w:tr>
      <w:tr w:rsidR="001053EF" w:rsidRPr="001053EF" w14:paraId="2DB59363" w14:textId="77777777" w:rsidTr="00446A14">
        <w:trPr>
          <w:trHeight w:val="238"/>
        </w:trPr>
        <w:tc>
          <w:tcPr>
            <w:tcW w:w="3111" w:type="pct"/>
            <w:tcBorders>
              <w:top w:val="nil"/>
              <w:left w:val="single" w:sz="8" w:space="0" w:color="auto"/>
              <w:bottom w:val="single" w:sz="8" w:space="0" w:color="auto"/>
              <w:right w:val="single" w:sz="8" w:space="0" w:color="auto"/>
            </w:tcBorders>
            <w:shd w:val="clear" w:color="auto" w:fill="auto"/>
            <w:noWrap/>
            <w:vAlign w:val="center"/>
            <w:hideMark/>
          </w:tcPr>
          <w:p w14:paraId="1FA7C6F6"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2029 em diante</w:t>
            </w:r>
          </w:p>
        </w:tc>
        <w:tc>
          <w:tcPr>
            <w:tcW w:w="638" w:type="pct"/>
            <w:tcBorders>
              <w:top w:val="nil"/>
              <w:left w:val="nil"/>
              <w:bottom w:val="single" w:sz="8" w:space="0" w:color="auto"/>
              <w:right w:val="single" w:sz="8" w:space="0" w:color="auto"/>
            </w:tcBorders>
            <w:shd w:val="clear" w:color="auto" w:fill="auto"/>
            <w:noWrap/>
            <w:vAlign w:val="center"/>
            <w:hideMark/>
          </w:tcPr>
          <w:p w14:paraId="028898EC"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20.546</w:t>
            </w:r>
          </w:p>
        </w:tc>
        <w:tc>
          <w:tcPr>
            <w:tcW w:w="638" w:type="pct"/>
            <w:tcBorders>
              <w:top w:val="nil"/>
              <w:left w:val="nil"/>
              <w:bottom w:val="single" w:sz="8" w:space="0" w:color="auto"/>
              <w:right w:val="single" w:sz="8" w:space="0" w:color="auto"/>
            </w:tcBorders>
            <w:shd w:val="clear" w:color="auto" w:fill="auto"/>
            <w:noWrap/>
            <w:vAlign w:val="center"/>
            <w:hideMark/>
          </w:tcPr>
          <w:p w14:paraId="4D5F4922"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30.098</w:t>
            </w:r>
          </w:p>
        </w:tc>
        <w:tc>
          <w:tcPr>
            <w:tcW w:w="612" w:type="pct"/>
            <w:tcBorders>
              <w:top w:val="nil"/>
              <w:left w:val="nil"/>
              <w:bottom w:val="single" w:sz="8" w:space="0" w:color="auto"/>
              <w:right w:val="single" w:sz="8" w:space="0" w:color="auto"/>
            </w:tcBorders>
            <w:shd w:val="clear" w:color="auto" w:fill="auto"/>
            <w:noWrap/>
            <w:vAlign w:val="center"/>
            <w:hideMark/>
          </w:tcPr>
          <w:p w14:paraId="5B858E6B"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50.644</w:t>
            </w:r>
          </w:p>
        </w:tc>
      </w:tr>
      <w:tr w:rsidR="001053EF" w:rsidRPr="001053EF" w14:paraId="62EB6830" w14:textId="77777777" w:rsidTr="00446A14">
        <w:trPr>
          <w:trHeight w:val="238"/>
        </w:trPr>
        <w:tc>
          <w:tcPr>
            <w:tcW w:w="3111" w:type="pct"/>
            <w:tcBorders>
              <w:top w:val="nil"/>
              <w:left w:val="single" w:sz="8" w:space="0" w:color="auto"/>
              <w:bottom w:val="single" w:sz="8" w:space="0" w:color="auto"/>
              <w:right w:val="single" w:sz="8" w:space="0" w:color="auto"/>
            </w:tcBorders>
            <w:shd w:val="clear" w:color="auto" w:fill="auto"/>
            <w:noWrap/>
            <w:vAlign w:val="center"/>
            <w:hideMark/>
          </w:tcPr>
          <w:p w14:paraId="29E401C0"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Total</w:t>
            </w:r>
          </w:p>
        </w:tc>
        <w:tc>
          <w:tcPr>
            <w:tcW w:w="638" w:type="pct"/>
            <w:tcBorders>
              <w:top w:val="nil"/>
              <w:left w:val="nil"/>
              <w:bottom w:val="single" w:sz="8" w:space="0" w:color="auto"/>
              <w:right w:val="single" w:sz="8" w:space="0" w:color="auto"/>
            </w:tcBorders>
            <w:shd w:val="clear" w:color="auto" w:fill="auto"/>
            <w:noWrap/>
            <w:vAlign w:val="center"/>
            <w:hideMark/>
          </w:tcPr>
          <w:p w14:paraId="2B23F2DA" w14:textId="77777777" w:rsidR="001053EF" w:rsidRPr="001053EF" w:rsidRDefault="001053EF" w:rsidP="001053EF">
            <w:pPr>
              <w:spacing w:after="0" w:line="240" w:lineRule="auto"/>
              <w:jc w:val="right"/>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61.826</w:t>
            </w:r>
          </w:p>
        </w:tc>
        <w:tc>
          <w:tcPr>
            <w:tcW w:w="638" w:type="pct"/>
            <w:tcBorders>
              <w:top w:val="nil"/>
              <w:left w:val="nil"/>
              <w:bottom w:val="single" w:sz="8" w:space="0" w:color="auto"/>
              <w:right w:val="single" w:sz="8" w:space="0" w:color="auto"/>
            </w:tcBorders>
            <w:shd w:val="clear" w:color="auto" w:fill="auto"/>
            <w:noWrap/>
            <w:vAlign w:val="center"/>
            <w:hideMark/>
          </w:tcPr>
          <w:p w14:paraId="1D284F58" w14:textId="77777777" w:rsidR="001053EF" w:rsidRPr="001053EF" w:rsidRDefault="001053EF" w:rsidP="001053EF">
            <w:pPr>
              <w:spacing w:after="0" w:line="240" w:lineRule="auto"/>
              <w:jc w:val="right"/>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54.178</w:t>
            </w:r>
          </w:p>
        </w:tc>
        <w:tc>
          <w:tcPr>
            <w:tcW w:w="612" w:type="pct"/>
            <w:tcBorders>
              <w:top w:val="nil"/>
              <w:left w:val="nil"/>
              <w:bottom w:val="single" w:sz="8" w:space="0" w:color="auto"/>
              <w:right w:val="single" w:sz="8" w:space="0" w:color="auto"/>
            </w:tcBorders>
            <w:shd w:val="clear" w:color="auto" w:fill="auto"/>
            <w:noWrap/>
            <w:vAlign w:val="center"/>
            <w:hideMark/>
          </w:tcPr>
          <w:p w14:paraId="2E7894A6" w14:textId="77777777" w:rsidR="001053EF" w:rsidRPr="001053EF" w:rsidRDefault="001053EF" w:rsidP="001053EF">
            <w:pPr>
              <w:spacing w:after="0" w:line="240" w:lineRule="auto"/>
              <w:jc w:val="right"/>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116.004</w:t>
            </w:r>
          </w:p>
        </w:tc>
      </w:tr>
    </w:tbl>
    <w:p w14:paraId="21A651C5" w14:textId="3CDFDE55" w:rsidR="001053EF" w:rsidRPr="001053EF" w:rsidRDefault="001053EF" w:rsidP="001053EF">
      <w:pPr>
        <w:autoSpaceDE w:val="0"/>
        <w:autoSpaceDN w:val="0"/>
        <w:adjustRightInd w:val="0"/>
        <w:spacing w:after="0" w:line="240" w:lineRule="auto"/>
        <w:jc w:val="both"/>
        <w:rPr>
          <w:rFonts w:ascii="Calibri" w:eastAsia="Times New Roman" w:hAnsi="Calibri" w:cs="Calibri"/>
          <w:b/>
          <w:bCs/>
          <w:iCs/>
          <w:color w:val="002060"/>
          <w:kern w:val="0"/>
          <w14:ligatures w14:val="none"/>
        </w:rPr>
      </w:pPr>
      <w:bookmarkStart w:id="418" w:name="_Toc491337753"/>
      <w:r>
        <w:rPr>
          <w:rFonts w:ascii="Calibri" w:eastAsia="Times New Roman" w:hAnsi="Calibri" w:cs="Calibri"/>
          <w:b/>
          <w:bCs/>
          <w:iCs/>
          <w:color w:val="002060"/>
          <w:kern w:val="0"/>
          <w14:ligatures w14:val="none"/>
        </w:rPr>
        <w:t xml:space="preserve">22.3. </w:t>
      </w:r>
      <w:r w:rsidRPr="001053EF">
        <w:rPr>
          <w:rFonts w:ascii="Calibri" w:eastAsia="Times New Roman" w:hAnsi="Calibri" w:cs="Calibri"/>
          <w:b/>
          <w:bCs/>
          <w:iCs/>
          <w:color w:val="002060"/>
          <w:kern w:val="0"/>
          <w14:ligatures w14:val="none"/>
        </w:rPr>
        <w:t>Descrição resumida dos termos acordados</w:t>
      </w:r>
      <w:bookmarkEnd w:id="418"/>
    </w:p>
    <w:p w14:paraId="666B158F" w14:textId="4D5048EF" w:rsidR="001053EF" w:rsidRPr="001053EF" w:rsidRDefault="001053EF" w:rsidP="001053EF">
      <w:pPr>
        <w:autoSpaceDE w:val="0"/>
        <w:autoSpaceDN w:val="0"/>
        <w:adjustRightInd w:val="0"/>
        <w:spacing w:after="0" w:line="240" w:lineRule="auto"/>
        <w:jc w:val="both"/>
        <w:rPr>
          <w:rFonts w:ascii="Calibri" w:eastAsia="Times New Roman" w:hAnsi="Calibri" w:cs="Calibri"/>
          <w:b/>
          <w:bCs/>
          <w:iCs/>
          <w:color w:val="002060"/>
          <w:kern w:val="0"/>
          <w14:ligatures w14:val="none"/>
        </w:rPr>
      </w:pPr>
      <w:bookmarkStart w:id="419" w:name="_Toc491337755"/>
      <w:r>
        <w:rPr>
          <w:rFonts w:ascii="Calibri" w:eastAsia="Times New Roman" w:hAnsi="Calibri" w:cs="Calibri"/>
          <w:b/>
          <w:bCs/>
          <w:iCs/>
          <w:color w:val="002060"/>
          <w:kern w:val="0"/>
          <w14:ligatures w14:val="none"/>
        </w:rPr>
        <w:t xml:space="preserve">22.3.1. </w:t>
      </w:r>
      <w:r w:rsidRPr="001053EF">
        <w:rPr>
          <w:rFonts w:ascii="Calibri" w:eastAsia="Times New Roman" w:hAnsi="Calibri" w:cs="Calibri"/>
          <w:b/>
          <w:bCs/>
          <w:iCs/>
          <w:color w:val="002060"/>
          <w:kern w:val="0"/>
          <w14:ligatures w14:val="none"/>
        </w:rPr>
        <w:t>Previdência dos Funcionários do Banco do Brasil (PREVI</w:t>
      </w:r>
      <w:bookmarkEnd w:id="419"/>
      <w:r w:rsidRPr="001053EF">
        <w:rPr>
          <w:rFonts w:ascii="Calibri" w:eastAsia="Times New Roman" w:hAnsi="Calibri" w:cs="Calibri"/>
          <w:b/>
          <w:bCs/>
          <w:iCs/>
          <w:color w:val="002060"/>
          <w:kern w:val="0"/>
          <w14:ligatures w14:val="none"/>
        </w:rPr>
        <w:t>)</w:t>
      </w:r>
    </w:p>
    <w:p w14:paraId="30E59D3F" w14:textId="77777777" w:rsidR="001053EF" w:rsidRPr="001053EF" w:rsidRDefault="001053EF" w:rsidP="001053EF">
      <w:pPr>
        <w:autoSpaceDE w:val="0"/>
        <w:autoSpaceDN w:val="0"/>
        <w:adjustRightInd w:val="0"/>
        <w:spacing w:after="0" w:line="240" w:lineRule="auto"/>
        <w:jc w:val="both"/>
        <w:rPr>
          <w:rFonts w:ascii="Calibri" w:eastAsia="Times New Roman" w:hAnsi="Calibri" w:cs="Calibri"/>
          <w:iCs/>
          <w:color w:val="002060"/>
          <w:kern w:val="0"/>
          <w14:ligatures w14:val="none"/>
        </w:rPr>
      </w:pPr>
      <w:r w:rsidRPr="001053EF">
        <w:rPr>
          <w:rFonts w:ascii="Calibri" w:eastAsia="Times New Roman" w:hAnsi="Calibri" w:cs="Calibri"/>
          <w:iCs/>
          <w:color w:val="002060"/>
          <w:kern w:val="0"/>
          <w14:ligatures w14:val="none"/>
        </w:rPr>
        <w:t xml:space="preserve">Em 28 de outubro de 2013, a Telebras firmou Transação Parcial com a PREVI para pagamento do valor da execução (valor incontroverso), decorrente de decisão judicial condenatória transitada em julgado. </w:t>
      </w:r>
    </w:p>
    <w:p w14:paraId="73CE3FF1" w14:textId="77777777" w:rsidR="001053EF" w:rsidRPr="001053EF" w:rsidRDefault="001053EF" w:rsidP="001053EF">
      <w:pPr>
        <w:autoSpaceDE w:val="0"/>
        <w:autoSpaceDN w:val="0"/>
        <w:adjustRightInd w:val="0"/>
        <w:spacing w:after="0" w:line="240" w:lineRule="auto"/>
        <w:jc w:val="both"/>
        <w:rPr>
          <w:rFonts w:ascii="Calibri" w:eastAsia="Times New Roman" w:hAnsi="Calibri" w:cs="Calibri"/>
          <w:iCs/>
          <w:color w:val="002060"/>
          <w:kern w:val="0"/>
          <w14:ligatures w14:val="none"/>
        </w:rPr>
      </w:pPr>
      <w:r w:rsidRPr="001053EF">
        <w:rPr>
          <w:rFonts w:ascii="Calibri" w:eastAsia="Times New Roman" w:hAnsi="Calibri" w:cs="Calibri"/>
          <w:iCs/>
          <w:color w:val="002060"/>
          <w:kern w:val="0"/>
          <w14:ligatures w14:val="none"/>
        </w:rPr>
        <w:t xml:space="preserve">O saldo do principal reconhecido em novembro de 2013, no montante de R$ 141.416 (cento e quarenta e um milhões, quatrocentos e dezesseis mil), com carência de 24 (vinte e quatro) meses, está sendo pago em 30 (trinta) parcelas semestrais e sucessivas, sendo atualizado pelo índice de variação do INPC, acrescido de juros de 6% (seis por cento) ao ano e com pagamento semestral. </w:t>
      </w:r>
    </w:p>
    <w:p w14:paraId="77CD68ED" w14:textId="77777777" w:rsidR="001053EF" w:rsidRPr="001053EF" w:rsidRDefault="001053EF" w:rsidP="001053EF">
      <w:pPr>
        <w:autoSpaceDE w:val="0"/>
        <w:autoSpaceDN w:val="0"/>
        <w:adjustRightInd w:val="0"/>
        <w:spacing w:after="0" w:line="240" w:lineRule="auto"/>
        <w:jc w:val="both"/>
        <w:rPr>
          <w:rFonts w:ascii="Calibri" w:eastAsia="Times New Roman" w:hAnsi="Calibri" w:cs="Calibri"/>
          <w:iCs/>
          <w:color w:val="002060"/>
          <w:kern w:val="0"/>
          <w14:ligatures w14:val="none"/>
        </w:rPr>
      </w:pPr>
      <w:r w:rsidRPr="001053EF">
        <w:rPr>
          <w:rFonts w:ascii="Calibri" w:eastAsia="Times New Roman" w:hAnsi="Calibri" w:cs="Calibri"/>
          <w:iCs/>
          <w:color w:val="002060"/>
          <w:kern w:val="0"/>
          <w14:ligatures w14:val="none"/>
        </w:rPr>
        <w:t>O objeto da ação movida pela PREVI era: a revisão da forma de apuração dos dividendos das ações preferenciais, seus reflexos nas demonstrações contábeis e a anulação da deliberação havida na Assembleia Geral realizada em 27 de abril de 1995, bem como a condenação da Telebras de efetuar a distribuição dos dividendos com base no saldo credor da conta de correção monetária do capital social, corrigidos monetariamente até o efetivo pagamento.</w:t>
      </w:r>
    </w:p>
    <w:p w14:paraId="7A653A10" w14:textId="25B945D0" w:rsidR="001053EF" w:rsidRPr="001053EF" w:rsidRDefault="001053EF" w:rsidP="001053EF">
      <w:pPr>
        <w:autoSpaceDE w:val="0"/>
        <w:autoSpaceDN w:val="0"/>
        <w:adjustRightInd w:val="0"/>
        <w:spacing w:after="0" w:line="240" w:lineRule="auto"/>
        <w:jc w:val="both"/>
        <w:rPr>
          <w:rFonts w:ascii="Calibri" w:eastAsia="Times New Roman" w:hAnsi="Calibri" w:cs="Calibri"/>
          <w:b/>
          <w:bCs/>
          <w:iCs/>
          <w:color w:val="002060"/>
          <w:kern w:val="0"/>
          <w14:ligatures w14:val="none"/>
        </w:rPr>
      </w:pPr>
      <w:bookmarkStart w:id="420" w:name="_Toc491337756"/>
      <w:r>
        <w:rPr>
          <w:rFonts w:ascii="Calibri" w:eastAsia="Times New Roman" w:hAnsi="Calibri" w:cs="Calibri"/>
          <w:b/>
          <w:bCs/>
          <w:iCs/>
          <w:color w:val="002060"/>
          <w:kern w:val="0"/>
          <w14:ligatures w14:val="none"/>
        </w:rPr>
        <w:t xml:space="preserve">22.3.2. </w:t>
      </w:r>
      <w:r w:rsidRPr="001053EF">
        <w:rPr>
          <w:rFonts w:ascii="Calibri" w:eastAsia="Times New Roman" w:hAnsi="Calibri" w:cs="Calibri"/>
          <w:b/>
          <w:bCs/>
          <w:iCs/>
          <w:color w:val="002060"/>
          <w:kern w:val="0"/>
          <w14:ligatures w14:val="none"/>
        </w:rPr>
        <w:t>Fundação dos Economiários Federais (FUNCEF</w:t>
      </w:r>
      <w:bookmarkEnd w:id="420"/>
      <w:r w:rsidRPr="001053EF">
        <w:rPr>
          <w:rFonts w:ascii="Calibri" w:eastAsia="Times New Roman" w:hAnsi="Calibri" w:cs="Calibri"/>
          <w:b/>
          <w:bCs/>
          <w:iCs/>
          <w:color w:val="002060"/>
          <w:kern w:val="0"/>
          <w14:ligatures w14:val="none"/>
        </w:rPr>
        <w:t>)</w:t>
      </w:r>
    </w:p>
    <w:p w14:paraId="530AAF4D" w14:textId="77777777" w:rsidR="001053EF" w:rsidRPr="001053EF" w:rsidRDefault="001053EF" w:rsidP="001053EF">
      <w:pPr>
        <w:autoSpaceDE w:val="0"/>
        <w:autoSpaceDN w:val="0"/>
        <w:adjustRightInd w:val="0"/>
        <w:spacing w:after="0" w:line="240" w:lineRule="auto"/>
        <w:jc w:val="both"/>
        <w:rPr>
          <w:rFonts w:ascii="Calibri" w:eastAsia="Times New Roman" w:hAnsi="Calibri" w:cs="Calibri"/>
          <w:iCs/>
          <w:color w:val="002060"/>
          <w:kern w:val="0"/>
          <w14:ligatures w14:val="none"/>
        </w:rPr>
      </w:pPr>
      <w:r w:rsidRPr="001053EF">
        <w:rPr>
          <w:rFonts w:ascii="Calibri" w:eastAsia="Times New Roman" w:hAnsi="Calibri" w:cs="Calibri"/>
          <w:iCs/>
          <w:color w:val="002060"/>
          <w:kern w:val="0"/>
          <w14:ligatures w14:val="none"/>
        </w:rPr>
        <w:t xml:space="preserve">Em 2 de maio de 2016, a Telebras finalizou acordo e protocolou, perante a 17ª Vara Cível de Brasília/DF, petição solicitando a homologação do acordo extrajudicial tabulado entre a Telebras e a FUNCEF para quitação total do passivo judicial, que condenou a Telebras a incorporar a correção monetária ao capital social antes de realizar a distribuição dos dividendos, devidos à Fundação dos Economiários Federais – FUNCEF, relativo ao exercício de 1994. </w:t>
      </w:r>
    </w:p>
    <w:p w14:paraId="5BF403EC" w14:textId="77777777" w:rsidR="001053EF" w:rsidRPr="001053EF" w:rsidRDefault="001053EF" w:rsidP="001053EF">
      <w:pPr>
        <w:autoSpaceDE w:val="0"/>
        <w:autoSpaceDN w:val="0"/>
        <w:adjustRightInd w:val="0"/>
        <w:spacing w:after="0" w:line="240" w:lineRule="auto"/>
        <w:jc w:val="both"/>
        <w:rPr>
          <w:rFonts w:ascii="Calibri" w:eastAsia="Times New Roman" w:hAnsi="Calibri" w:cs="Calibri"/>
          <w:iCs/>
          <w:color w:val="002060"/>
          <w:kern w:val="0"/>
          <w14:ligatures w14:val="none"/>
        </w:rPr>
      </w:pPr>
      <w:r w:rsidRPr="001053EF">
        <w:rPr>
          <w:rFonts w:ascii="Calibri" w:eastAsia="Times New Roman" w:hAnsi="Calibri" w:cs="Calibri"/>
          <w:iCs/>
          <w:color w:val="002060"/>
          <w:kern w:val="0"/>
          <w14:ligatures w14:val="none"/>
        </w:rPr>
        <w:t>O acordo firmado estabeleceu que o valor acordado para liquidação da obrigação era de R$ 72.688 (setenta e dois milhões, seiscentos e oitenta e oito mil), atualizado até 29 de fevereiro de 2016, e é composto das seguintes parcelas: R$ 66.080 (sessenta e seis milhões e oitenta mil) de principal e R$ 6.608 (seis mil e seiscentos e oito) de honorários sucumbenciais, que foi pago em 5 de maio de 2016. Com relação ao valor principal, o acordo previa entrada de 10% (dez por cento) em 90 dias após o protocolo da petição, sendo que o saldo remanescente será diluído em 30 (trinta) parcelas semestrais e sucessivas, observado o período de carência de 24 (vinte e quatro) meses, contados da data de referência (29 de fevereiro de 2016), com pagamento apenas dos juros. A dívida é atualizada pela variação do INPC, mais juros de 5,76842907% a.a.</w:t>
      </w:r>
    </w:p>
    <w:p w14:paraId="3B47649A" w14:textId="77777777" w:rsidR="001053EF" w:rsidRPr="001053EF" w:rsidRDefault="001053EF" w:rsidP="001053EF">
      <w:pPr>
        <w:autoSpaceDE w:val="0"/>
        <w:autoSpaceDN w:val="0"/>
        <w:adjustRightInd w:val="0"/>
        <w:spacing w:after="0" w:line="240" w:lineRule="auto"/>
        <w:jc w:val="both"/>
        <w:rPr>
          <w:rFonts w:ascii="Calibri" w:eastAsia="Times New Roman" w:hAnsi="Calibri" w:cs="Calibri"/>
          <w:iCs/>
          <w:color w:val="002060"/>
          <w:kern w:val="0"/>
          <w14:ligatures w14:val="none"/>
        </w:rPr>
      </w:pPr>
      <w:r w:rsidRPr="001053EF">
        <w:rPr>
          <w:rFonts w:ascii="Calibri" w:eastAsia="Times New Roman" w:hAnsi="Calibri" w:cs="Calibri"/>
          <w:iCs/>
          <w:color w:val="002060"/>
          <w:kern w:val="0"/>
          <w14:ligatures w14:val="none"/>
        </w:rPr>
        <w:t xml:space="preserve">O acordo ainda prevê que em caso de atraso das parcelas semestrais incidirão juros por atraso de 1% (um por cento) ao mês </w:t>
      </w:r>
      <w:r w:rsidRPr="001053EF">
        <w:rPr>
          <w:rFonts w:ascii="Calibri" w:eastAsia="Times New Roman" w:hAnsi="Calibri" w:cs="Calibri"/>
          <w:i/>
          <w:iCs/>
          <w:color w:val="002060"/>
          <w:kern w:val="0"/>
          <w14:ligatures w14:val="none"/>
        </w:rPr>
        <w:t>pro rata die</w:t>
      </w:r>
      <w:r w:rsidRPr="001053EF">
        <w:rPr>
          <w:rFonts w:ascii="Calibri" w:eastAsia="Times New Roman" w:hAnsi="Calibri" w:cs="Calibri"/>
          <w:iCs/>
          <w:color w:val="002060"/>
          <w:kern w:val="0"/>
          <w14:ligatures w14:val="none"/>
        </w:rPr>
        <w:t xml:space="preserve"> incorridos no período e de multa de 2% (dois por cento) sobre o valor em atraso. Havendo atraso no pagamento de uma prestação por prazo superior a 45 (quarenta e cinco) dias, reputar-se-á descumprido o presente acordo, hipótese em que ocorrerá o vencimento antecipado de toda a dívida, podendo a FUNCEF exigir o integral cumprimento da obrigação, acrescidos dos 10% (dez por cento) previstos no artigo 523 do CPC-Código do Processo Civil e demais despesas que se façam necessárias à cobrança da dívida remanescente, inclusive honorários advocatícios.</w:t>
      </w:r>
    </w:p>
    <w:p w14:paraId="3CEB490E" w14:textId="698228CD" w:rsidR="001053EF" w:rsidRPr="001053EF" w:rsidRDefault="001053EF" w:rsidP="001053EF">
      <w:pPr>
        <w:autoSpaceDE w:val="0"/>
        <w:autoSpaceDN w:val="0"/>
        <w:adjustRightInd w:val="0"/>
        <w:spacing w:after="0" w:line="240" w:lineRule="auto"/>
        <w:jc w:val="both"/>
        <w:rPr>
          <w:rFonts w:ascii="Calibri" w:eastAsia="Times New Roman" w:hAnsi="Calibri" w:cs="Calibri"/>
          <w:b/>
          <w:bCs/>
          <w:iCs/>
          <w:color w:val="002060"/>
          <w:kern w:val="0"/>
          <w14:ligatures w14:val="none"/>
        </w:rPr>
      </w:pPr>
      <w:bookmarkStart w:id="421" w:name="_Toc491337757"/>
      <w:r>
        <w:rPr>
          <w:rFonts w:ascii="Calibri" w:eastAsia="Times New Roman" w:hAnsi="Calibri" w:cs="Calibri"/>
          <w:b/>
          <w:bCs/>
          <w:iCs/>
          <w:color w:val="002060"/>
          <w:kern w:val="0"/>
          <w14:ligatures w14:val="none"/>
        </w:rPr>
        <w:t xml:space="preserve">23. </w:t>
      </w:r>
      <w:r w:rsidRPr="001053EF">
        <w:rPr>
          <w:rFonts w:ascii="Calibri" w:eastAsia="Times New Roman" w:hAnsi="Calibri" w:cs="Calibri"/>
          <w:b/>
          <w:bCs/>
          <w:iCs/>
          <w:color w:val="002060"/>
          <w:kern w:val="0"/>
          <w14:ligatures w14:val="none"/>
        </w:rPr>
        <w:t>RECURSOS CAPITALIZÁVEIS</w:t>
      </w:r>
      <w:bookmarkEnd w:id="421"/>
      <w:r w:rsidRPr="001053EF">
        <w:rPr>
          <w:rFonts w:ascii="Calibri" w:eastAsia="Times New Roman" w:hAnsi="Calibri" w:cs="Calibri"/>
          <w:b/>
          <w:bCs/>
          <w:iCs/>
          <w:color w:val="002060"/>
          <w:kern w:val="0"/>
          <w14:ligatures w14:val="none"/>
        </w:rPr>
        <w:t xml:space="preserve"> </w:t>
      </w:r>
    </w:p>
    <w:p w14:paraId="24C1B816" w14:textId="77777777" w:rsidR="001053EF" w:rsidRPr="001053EF" w:rsidRDefault="001053EF" w:rsidP="001053EF">
      <w:pPr>
        <w:autoSpaceDE w:val="0"/>
        <w:autoSpaceDN w:val="0"/>
        <w:adjustRightInd w:val="0"/>
        <w:spacing w:after="0" w:line="240" w:lineRule="auto"/>
        <w:jc w:val="both"/>
        <w:rPr>
          <w:rFonts w:ascii="Calibri" w:eastAsia="Times New Roman" w:hAnsi="Calibri" w:cs="Calibri"/>
          <w:iCs/>
          <w:color w:val="002060"/>
          <w:kern w:val="0"/>
          <w14:ligatures w14:val="none"/>
        </w:rPr>
      </w:pPr>
      <w:r w:rsidRPr="001053EF">
        <w:rPr>
          <w:rFonts w:ascii="Calibri" w:eastAsia="Times New Roman" w:hAnsi="Calibri" w:cs="Calibri"/>
          <w:iCs/>
          <w:color w:val="002060"/>
          <w:kern w:val="0"/>
          <w14:ligatures w14:val="none"/>
        </w:rPr>
        <w:t xml:space="preserve">O saldo de R$ 1.740.318 em 31 de dezembro de 2023 (R$ 1.497.496 em 31 de dezembro de 2022 - reapresentado), atualizado pela Taxa SELIC e classificado no passivo não circulante, tem como origem os </w:t>
      </w:r>
      <w:r w:rsidRPr="001053EF">
        <w:rPr>
          <w:rFonts w:ascii="Calibri" w:eastAsia="Times New Roman" w:hAnsi="Calibri" w:cs="Calibri"/>
          <w:iCs/>
          <w:color w:val="002060"/>
          <w:kern w:val="0"/>
          <w14:ligatures w14:val="none"/>
        </w:rPr>
        <w:lastRenderedPageBreak/>
        <w:t>valores aportados pela União na forma de Adiantamento para Futuro Aumento de Capital (AFAC) e será utilizado em futuro aumento de capital da Telebras em favor da União, conforme sua orientação.</w:t>
      </w:r>
    </w:p>
    <w:p w14:paraId="7C6E7D96" w14:textId="33895C92" w:rsidR="001053EF" w:rsidRPr="001053EF" w:rsidRDefault="001053EF" w:rsidP="001053EF">
      <w:pPr>
        <w:autoSpaceDE w:val="0"/>
        <w:autoSpaceDN w:val="0"/>
        <w:adjustRightInd w:val="0"/>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23.1. </w:t>
      </w:r>
      <w:r w:rsidRPr="001053EF">
        <w:rPr>
          <w:rFonts w:ascii="Calibri" w:eastAsia="Times New Roman" w:hAnsi="Calibri" w:cs="Calibri"/>
          <w:b/>
          <w:bCs/>
          <w:iCs/>
          <w:color w:val="002060"/>
          <w:kern w:val="0"/>
          <w14:ligatures w14:val="none"/>
        </w:rPr>
        <w:t>Composição do valor dos recursos capitalizáveis</w:t>
      </w:r>
    </w:p>
    <w:p w14:paraId="408993EF" w14:textId="77777777" w:rsidR="001053EF" w:rsidRDefault="001053EF" w:rsidP="001053EF">
      <w:pPr>
        <w:autoSpaceDE w:val="0"/>
        <w:autoSpaceDN w:val="0"/>
        <w:adjustRightInd w:val="0"/>
        <w:spacing w:after="0" w:line="240" w:lineRule="auto"/>
        <w:jc w:val="both"/>
        <w:rPr>
          <w:rFonts w:ascii="Calibri" w:eastAsia="Times New Roman" w:hAnsi="Calibri" w:cs="Calibri"/>
          <w:iCs/>
          <w:color w:val="002060"/>
          <w:kern w:val="0"/>
          <w14:ligatures w14:val="none"/>
        </w:rPr>
      </w:pPr>
      <w:r w:rsidRPr="001053EF">
        <w:rPr>
          <w:rFonts w:ascii="Calibri" w:eastAsia="Times New Roman" w:hAnsi="Calibri" w:cs="Calibri"/>
          <w:iCs/>
          <w:color w:val="002060"/>
          <w:kern w:val="0"/>
          <w14:ligatures w14:val="none"/>
        </w:rPr>
        <w:t>O quadro a seguir apresenta os valores aportados pelo acionista controlador (a União), bem como os valores recebidos dos acionistas não controladores relativos ao exercício de preferência nos processos de capitalização dos AFAC realizados pela Companhia. Estes valores serão objeto de futuras capitalizações assim que aprovados pelos Órgãos controladores.</w:t>
      </w:r>
    </w:p>
    <w:tbl>
      <w:tblPr>
        <w:tblW w:w="5000" w:type="pct"/>
        <w:tblCellMar>
          <w:left w:w="70" w:type="dxa"/>
          <w:right w:w="70" w:type="dxa"/>
        </w:tblCellMar>
        <w:tblLook w:val="04A0" w:firstRow="1" w:lastRow="0" w:firstColumn="1" w:lastColumn="0" w:noHBand="0" w:noVBand="1"/>
      </w:tblPr>
      <w:tblGrid>
        <w:gridCol w:w="800"/>
        <w:gridCol w:w="2428"/>
        <w:gridCol w:w="2308"/>
        <w:gridCol w:w="1927"/>
        <w:gridCol w:w="2308"/>
      </w:tblGrid>
      <w:tr w:rsidR="001053EF" w:rsidRPr="001053EF" w14:paraId="6B6D77FF" w14:textId="77777777" w:rsidTr="00446A14">
        <w:trPr>
          <w:trHeight w:val="238"/>
          <w:tblHeader/>
        </w:trPr>
        <w:tc>
          <w:tcPr>
            <w:tcW w:w="409"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12E87112" w14:textId="77777777" w:rsidR="001053EF" w:rsidRPr="001053EF" w:rsidRDefault="001053EF" w:rsidP="001053EF">
            <w:pPr>
              <w:spacing w:after="0" w:line="240" w:lineRule="auto"/>
              <w:jc w:val="center"/>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Ano</w:t>
            </w:r>
          </w:p>
        </w:tc>
        <w:tc>
          <w:tcPr>
            <w:tcW w:w="1242" w:type="pct"/>
            <w:tcBorders>
              <w:top w:val="single" w:sz="4" w:space="0" w:color="auto"/>
              <w:left w:val="nil"/>
              <w:bottom w:val="single" w:sz="4" w:space="0" w:color="auto"/>
              <w:right w:val="single" w:sz="4" w:space="0" w:color="auto"/>
            </w:tcBorders>
            <w:shd w:val="clear" w:color="000000" w:fill="BFBFBF"/>
            <w:noWrap/>
            <w:vAlign w:val="bottom"/>
            <w:hideMark/>
          </w:tcPr>
          <w:p w14:paraId="7A467410" w14:textId="77777777" w:rsidR="001053EF" w:rsidRPr="001053EF" w:rsidRDefault="001053EF" w:rsidP="001053EF">
            <w:pPr>
              <w:spacing w:after="0" w:line="240" w:lineRule="auto"/>
              <w:jc w:val="center"/>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Mês de Recebimento</w:t>
            </w:r>
          </w:p>
        </w:tc>
        <w:tc>
          <w:tcPr>
            <w:tcW w:w="1181" w:type="pct"/>
            <w:tcBorders>
              <w:top w:val="single" w:sz="4" w:space="0" w:color="auto"/>
              <w:left w:val="nil"/>
              <w:bottom w:val="single" w:sz="4" w:space="0" w:color="auto"/>
              <w:right w:val="single" w:sz="4" w:space="0" w:color="auto"/>
            </w:tcBorders>
            <w:shd w:val="clear" w:color="000000" w:fill="BFBFBF"/>
            <w:noWrap/>
            <w:vAlign w:val="bottom"/>
            <w:hideMark/>
          </w:tcPr>
          <w:p w14:paraId="7BDF7050" w14:textId="77777777" w:rsidR="001053EF" w:rsidRPr="001053EF" w:rsidRDefault="001053EF" w:rsidP="001053EF">
            <w:pPr>
              <w:spacing w:after="0" w:line="240" w:lineRule="auto"/>
              <w:jc w:val="center"/>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 xml:space="preserve">Valor Recebido </w:t>
            </w:r>
          </w:p>
        </w:tc>
        <w:tc>
          <w:tcPr>
            <w:tcW w:w="986" w:type="pct"/>
            <w:tcBorders>
              <w:top w:val="single" w:sz="4" w:space="0" w:color="auto"/>
              <w:left w:val="nil"/>
              <w:bottom w:val="single" w:sz="4" w:space="0" w:color="auto"/>
              <w:right w:val="single" w:sz="4" w:space="0" w:color="auto"/>
            </w:tcBorders>
            <w:shd w:val="clear" w:color="000000" w:fill="BFBFBF"/>
            <w:noWrap/>
            <w:vAlign w:val="bottom"/>
            <w:hideMark/>
          </w:tcPr>
          <w:p w14:paraId="45E4997C" w14:textId="77777777" w:rsidR="001053EF" w:rsidRPr="001053EF" w:rsidRDefault="001053EF" w:rsidP="001053EF">
            <w:pPr>
              <w:spacing w:after="0" w:line="240" w:lineRule="auto"/>
              <w:jc w:val="center"/>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Juros (i)</w:t>
            </w:r>
          </w:p>
        </w:tc>
        <w:tc>
          <w:tcPr>
            <w:tcW w:w="1181" w:type="pct"/>
            <w:tcBorders>
              <w:top w:val="single" w:sz="4" w:space="0" w:color="auto"/>
              <w:left w:val="nil"/>
              <w:bottom w:val="single" w:sz="4" w:space="0" w:color="auto"/>
              <w:right w:val="single" w:sz="4" w:space="0" w:color="auto"/>
            </w:tcBorders>
            <w:shd w:val="clear" w:color="000000" w:fill="BFBFBF"/>
            <w:noWrap/>
            <w:vAlign w:val="bottom"/>
            <w:hideMark/>
          </w:tcPr>
          <w:p w14:paraId="6DE0FD97" w14:textId="77777777" w:rsidR="001053EF" w:rsidRPr="001053EF" w:rsidRDefault="001053EF" w:rsidP="001053EF">
            <w:pPr>
              <w:spacing w:after="0" w:line="240" w:lineRule="auto"/>
              <w:jc w:val="center"/>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Valor Atualizado</w:t>
            </w:r>
          </w:p>
        </w:tc>
      </w:tr>
      <w:tr w:rsidR="001053EF" w:rsidRPr="001053EF" w14:paraId="10612BAC" w14:textId="77777777" w:rsidTr="00446A14">
        <w:trPr>
          <w:trHeight w:val="238"/>
        </w:trPr>
        <w:tc>
          <w:tcPr>
            <w:tcW w:w="409" w:type="pct"/>
            <w:tcBorders>
              <w:top w:val="nil"/>
              <w:left w:val="single" w:sz="4" w:space="0" w:color="auto"/>
              <w:bottom w:val="single" w:sz="8" w:space="0" w:color="auto"/>
              <w:right w:val="single" w:sz="4" w:space="0" w:color="auto"/>
            </w:tcBorders>
            <w:shd w:val="clear" w:color="auto" w:fill="auto"/>
            <w:noWrap/>
            <w:vAlign w:val="bottom"/>
            <w:hideMark/>
          </w:tcPr>
          <w:p w14:paraId="61A17270" w14:textId="77777777" w:rsidR="001053EF" w:rsidRPr="001053EF" w:rsidRDefault="001053EF" w:rsidP="001053EF">
            <w:pPr>
              <w:spacing w:after="0" w:line="240" w:lineRule="auto"/>
              <w:jc w:val="center"/>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2018</w:t>
            </w:r>
          </w:p>
        </w:tc>
        <w:tc>
          <w:tcPr>
            <w:tcW w:w="1242" w:type="pct"/>
            <w:tcBorders>
              <w:top w:val="nil"/>
              <w:left w:val="nil"/>
              <w:bottom w:val="single" w:sz="8" w:space="0" w:color="auto"/>
              <w:right w:val="single" w:sz="4" w:space="0" w:color="auto"/>
            </w:tcBorders>
            <w:shd w:val="clear" w:color="auto" w:fill="auto"/>
            <w:noWrap/>
            <w:vAlign w:val="bottom"/>
            <w:hideMark/>
          </w:tcPr>
          <w:p w14:paraId="09B015D2"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Dezembro</w:t>
            </w:r>
          </w:p>
        </w:tc>
        <w:tc>
          <w:tcPr>
            <w:tcW w:w="1181" w:type="pct"/>
            <w:tcBorders>
              <w:top w:val="nil"/>
              <w:left w:val="nil"/>
              <w:bottom w:val="single" w:sz="8" w:space="0" w:color="auto"/>
              <w:right w:val="single" w:sz="4" w:space="0" w:color="auto"/>
            </w:tcBorders>
            <w:shd w:val="clear" w:color="auto" w:fill="auto"/>
            <w:noWrap/>
            <w:vAlign w:val="bottom"/>
            <w:hideMark/>
          </w:tcPr>
          <w:p w14:paraId="4341D8AE"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62.769 </w:t>
            </w:r>
          </w:p>
        </w:tc>
        <w:tc>
          <w:tcPr>
            <w:tcW w:w="986" w:type="pct"/>
            <w:tcBorders>
              <w:top w:val="nil"/>
              <w:left w:val="nil"/>
              <w:bottom w:val="single" w:sz="8" w:space="0" w:color="auto"/>
              <w:right w:val="single" w:sz="4" w:space="0" w:color="auto"/>
            </w:tcBorders>
            <w:shd w:val="clear" w:color="auto" w:fill="auto"/>
            <w:noWrap/>
            <w:vAlign w:val="bottom"/>
            <w:hideMark/>
          </w:tcPr>
          <w:p w14:paraId="50225850"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27.945 </w:t>
            </w:r>
          </w:p>
        </w:tc>
        <w:tc>
          <w:tcPr>
            <w:tcW w:w="1181" w:type="pct"/>
            <w:tcBorders>
              <w:top w:val="nil"/>
              <w:left w:val="nil"/>
              <w:bottom w:val="single" w:sz="8" w:space="0" w:color="auto"/>
              <w:right w:val="single" w:sz="4" w:space="0" w:color="auto"/>
            </w:tcBorders>
            <w:shd w:val="clear" w:color="auto" w:fill="auto"/>
            <w:noWrap/>
            <w:vAlign w:val="bottom"/>
            <w:hideMark/>
          </w:tcPr>
          <w:p w14:paraId="50A2CB61"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90.714 </w:t>
            </w:r>
          </w:p>
        </w:tc>
      </w:tr>
      <w:tr w:rsidR="001053EF" w:rsidRPr="001053EF" w14:paraId="6310002C" w14:textId="77777777" w:rsidTr="00446A14">
        <w:trPr>
          <w:trHeight w:val="238"/>
        </w:trPr>
        <w:tc>
          <w:tcPr>
            <w:tcW w:w="409"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7AD51A61" w14:textId="77777777" w:rsidR="001053EF" w:rsidRPr="001053EF" w:rsidRDefault="001053EF" w:rsidP="001053EF">
            <w:pPr>
              <w:spacing w:after="0" w:line="240" w:lineRule="auto"/>
              <w:jc w:val="center"/>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2019</w:t>
            </w:r>
          </w:p>
        </w:tc>
        <w:tc>
          <w:tcPr>
            <w:tcW w:w="1242" w:type="pct"/>
            <w:tcBorders>
              <w:top w:val="nil"/>
              <w:left w:val="nil"/>
              <w:bottom w:val="single" w:sz="4" w:space="0" w:color="auto"/>
              <w:right w:val="single" w:sz="4" w:space="0" w:color="auto"/>
            </w:tcBorders>
            <w:shd w:val="clear" w:color="auto" w:fill="auto"/>
            <w:noWrap/>
            <w:vAlign w:val="bottom"/>
            <w:hideMark/>
          </w:tcPr>
          <w:p w14:paraId="5C620495"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Março   </w:t>
            </w:r>
          </w:p>
        </w:tc>
        <w:tc>
          <w:tcPr>
            <w:tcW w:w="1181" w:type="pct"/>
            <w:tcBorders>
              <w:top w:val="nil"/>
              <w:left w:val="nil"/>
              <w:bottom w:val="single" w:sz="4" w:space="0" w:color="auto"/>
              <w:right w:val="single" w:sz="4" w:space="0" w:color="auto"/>
            </w:tcBorders>
            <w:shd w:val="clear" w:color="auto" w:fill="auto"/>
            <w:noWrap/>
            <w:vAlign w:val="bottom"/>
            <w:hideMark/>
          </w:tcPr>
          <w:p w14:paraId="3756A005"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166.667 </w:t>
            </w:r>
          </w:p>
        </w:tc>
        <w:tc>
          <w:tcPr>
            <w:tcW w:w="986" w:type="pct"/>
            <w:tcBorders>
              <w:top w:val="nil"/>
              <w:left w:val="nil"/>
              <w:bottom w:val="single" w:sz="4" w:space="0" w:color="auto"/>
              <w:right w:val="single" w:sz="4" w:space="0" w:color="auto"/>
            </w:tcBorders>
            <w:shd w:val="clear" w:color="auto" w:fill="auto"/>
            <w:noWrap/>
            <w:vAlign w:val="bottom"/>
            <w:hideMark/>
          </w:tcPr>
          <w:p w14:paraId="1145BC22"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70.904 </w:t>
            </w:r>
          </w:p>
        </w:tc>
        <w:tc>
          <w:tcPr>
            <w:tcW w:w="1181" w:type="pct"/>
            <w:tcBorders>
              <w:top w:val="nil"/>
              <w:left w:val="nil"/>
              <w:bottom w:val="single" w:sz="4" w:space="0" w:color="auto"/>
              <w:right w:val="single" w:sz="4" w:space="0" w:color="auto"/>
            </w:tcBorders>
            <w:shd w:val="clear" w:color="auto" w:fill="auto"/>
            <w:noWrap/>
            <w:vAlign w:val="bottom"/>
            <w:hideMark/>
          </w:tcPr>
          <w:p w14:paraId="3B4F0F70"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237.571 </w:t>
            </w:r>
          </w:p>
        </w:tc>
      </w:tr>
      <w:tr w:rsidR="001053EF" w:rsidRPr="001053EF" w14:paraId="1532504D" w14:textId="77777777" w:rsidTr="00446A14">
        <w:trPr>
          <w:trHeight w:val="238"/>
        </w:trPr>
        <w:tc>
          <w:tcPr>
            <w:tcW w:w="409" w:type="pct"/>
            <w:vMerge/>
            <w:tcBorders>
              <w:top w:val="nil"/>
              <w:left w:val="single" w:sz="4" w:space="0" w:color="auto"/>
              <w:bottom w:val="single" w:sz="8" w:space="0" w:color="000000"/>
              <w:right w:val="single" w:sz="4" w:space="0" w:color="auto"/>
            </w:tcBorders>
            <w:vAlign w:val="center"/>
            <w:hideMark/>
          </w:tcPr>
          <w:p w14:paraId="77E37292"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p>
        </w:tc>
        <w:tc>
          <w:tcPr>
            <w:tcW w:w="1242" w:type="pct"/>
            <w:tcBorders>
              <w:top w:val="nil"/>
              <w:left w:val="nil"/>
              <w:bottom w:val="single" w:sz="4" w:space="0" w:color="auto"/>
              <w:right w:val="single" w:sz="4" w:space="0" w:color="auto"/>
            </w:tcBorders>
            <w:shd w:val="clear" w:color="auto" w:fill="auto"/>
            <w:noWrap/>
            <w:vAlign w:val="bottom"/>
            <w:hideMark/>
          </w:tcPr>
          <w:p w14:paraId="6BAF3C07"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Novembro   </w:t>
            </w:r>
          </w:p>
        </w:tc>
        <w:tc>
          <w:tcPr>
            <w:tcW w:w="1181" w:type="pct"/>
            <w:tcBorders>
              <w:top w:val="nil"/>
              <w:left w:val="nil"/>
              <w:bottom w:val="single" w:sz="4" w:space="0" w:color="auto"/>
              <w:right w:val="single" w:sz="4" w:space="0" w:color="auto"/>
            </w:tcBorders>
            <w:shd w:val="clear" w:color="auto" w:fill="auto"/>
            <w:noWrap/>
            <w:vAlign w:val="bottom"/>
            <w:hideMark/>
          </w:tcPr>
          <w:p w14:paraId="3C9ED573"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14.553 </w:t>
            </w:r>
          </w:p>
        </w:tc>
        <w:tc>
          <w:tcPr>
            <w:tcW w:w="986" w:type="pct"/>
            <w:tcBorders>
              <w:top w:val="nil"/>
              <w:left w:val="nil"/>
              <w:bottom w:val="single" w:sz="4" w:space="0" w:color="auto"/>
              <w:right w:val="single" w:sz="4" w:space="0" w:color="auto"/>
            </w:tcBorders>
            <w:shd w:val="clear" w:color="auto" w:fill="auto"/>
            <w:noWrap/>
            <w:vAlign w:val="bottom"/>
            <w:hideMark/>
          </w:tcPr>
          <w:p w14:paraId="346F6ED3"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5.383 </w:t>
            </w:r>
          </w:p>
        </w:tc>
        <w:tc>
          <w:tcPr>
            <w:tcW w:w="1181" w:type="pct"/>
            <w:tcBorders>
              <w:top w:val="nil"/>
              <w:left w:val="nil"/>
              <w:bottom w:val="single" w:sz="4" w:space="0" w:color="auto"/>
              <w:right w:val="single" w:sz="4" w:space="0" w:color="auto"/>
            </w:tcBorders>
            <w:shd w:val="clear" w:color="auto" w:fill="auto"/>
            <w:noWrap/>
            <w:vAlign w:val="bottom"/>
            <w:hideMark/>
          </w:tcPr>
          <w:p w14:paraId="31FB6A85"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19.936 </w:t>
            </w:r>
          </w:p>
        </w:tc>
      </w:tr>
      <w:tr w:rsidR="001053EF" w:rsidRPr="001053EF" w14:paraId="6D6A52D1" w14:textId="77777777" w:rsidTr="00446A14">
        <w:trPr>
          <w:trHeight w:val="238"/>
        </w:trPr>
        <w:tc>
          <w:tcPr>
            <w:tcW w:w="409" w:type="pct"/>
            <w:vMerge/>
            <w:tcBorders>
              <w:top w:val="nil"/>
              <w:left w:val="single" w:sz="4" w:space="0" w:color="auto"/>
              <w:bottom w:val="single" w:sz="8" w:space="0" w:color="000000"/>
              <w:right w:val="single" w:sz="4" w:space="0" w:color="auto"/>
            </w:tcBorders>
            <w:vAlign w:val="center"/>
            <w:hideMark/>
          </w:tcPr>
          <w:p w14:paraId="463F6799"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p>
        </w:tc>
        <w:tc>
          <w:tcPr>
            <w:tcW w:w="1242" w:type="pct"/>
            <w:tcBorders>
              <w:top w:val="nil"/>
              <w:left w:val="nil"/>
              <w:bottom w:val="single" w:sz="8" w:space="0" w:color="auto"/>
              <w:right w:val="single" w:sz="4" w:space="0" w:color="auto"/>
            </w:tcBorders>
            <w:shd w:val="clear" w:color="auto" w:fill="auto"/>
            <w:noWrap/>
            <w:vAlign w:val="bottom"/>
            <w:hideMark/>
          </w:tcPr>
          <w:p w14:paraId="09763951"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Dezembro</w:t>
            </w:r>
          </w:p>
        </w:tc>
        <w:tc>
          <w:tcPr>
            <w:tcW w:w="1181" w:type="pct"/>
            <w:tcBorders>
              <w:top w:val="nil"/>
              <w:left w:val="nil"/>
              <w:bottom w:val="single" w:sz="8" w:space="0" w:color="auto"/>
              <w:right w:val="single" w:sz="4" w:space="0" w:color="auto"/>
            </w:tcBorders>
            <w:shd w:val="clear" w:color="auto" w:fill="auto"/>
            <w:noWrap/>
            <w:vAlign w:val="bottom"/>
            <w:hideMark/>
          </w:tcPr>
          <w:p w14:paraId="17819F03"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818.780 </w:t>
            </w:r>
          </w:p>
        </w:tc>
        <w:tc>
          <w:tcPr>
            <w:tcW w:w="986" w:type="pct"/>
            <w:tcBorders>
              <w:top w:val="nil"/>
              <w:left w:val="nil"/>
              <w:bottom w:val="single" w:sz="8" w:space="0" w:color="auto"/>
              <w:right w:val="single" w:sz="4" w:space="0" w:color="auto"/>
            </w:tcBorders>
            <w:shd w:val="clear" w:color="auto" w:fill="auto"/>
            <w:noWrap/>
            <w:vAlign w:val="bottom"/>
            <w:hideMark/>
          </w:tcPr>
          <w:p w14:paraId="62BDED9C"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300.966 </w:t>
            </w:r>
          </w:p>
        </w:tc>
        <w:tc>
          <w:tcPr>
            <w:tcW w:w="1181" w:type="pct"/>
            <w:tcBorders>
              <w:top w:val="nil"/>
              <w:left w:val="nil"/>
              <w:bottom w:val="single" w:sz="8" w:space="0" w:color="auto"/>
              <w:right w:val="single" w:sz="4" w:space="0" w:color="auto"/>
            </w:tcBorders>
            <w:shd w:val="clear" w:color="auto" w:fill="auto"/>
            <w:noWrap/>
            <w:vAlign w:val="bottom"/>
            <w:hideMark/>
          </w:tcPr>
          <w:p w14:paraId="2B516A5E"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1.119.746 </w:t>
            </w:r>
          </w:p>
        </w:tc>
      </w:tr>
      <w:tr w:rsidR="001053EF" w:rsidRPr="001053EF" w14:paraId="37D02870" w14:textId="77777777" w:rsidTr="00446A14">
        <w:trPr>
          <w:trHeight w:val="238"/>
        </w:trPr>
        <w:tc>
          <w:tcPr>
            <w:tcW w:w="409"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22F7FE62" w14:textId="77777777" w:rsidR="001053EF" w:rsidRPr="001053EF" w:rsidRDefault="001053EF" w:rsidP="001053EF">
            <w:pPr>
              <w:spacing w:after="0" w:line="240" w:lineRule="auto"/>
              <w:jc w:val="center"/>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2020</w:t>
            </w:r>
          </w:p>
        </w:tc>
        <w:tc>
          <w:tcPr>
            <w:tcW w:w="1242" w:type="pct"/>
            <w:tcBorders>
              <w:top w:val="nil"/>
              <w:left w:val="nil"/>
              <w:bottom w:val="single" w:sz="4" w:space="0" w:color="auto"/>
              <w:right w:val="single" w:sz="4" w:space="0" w:color="auto"/>
            </w:tcBorders>
            <w:shd w:val="clear" w:color="auto" w:fill="auto"/>
            <w:noWrap/>
            <w:vAlign w:val="bottom"/>
            <w:hideMark/>
          </w:tcPr>
          <w:p w14:paraId="1EE6C328"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Março  </w:t>
            </w:r>
          </w:p>
        </w:tc>
        <w:tc>
          <w:tcPr>
            <w:tcW w:w="1181" w:type="pct"/>
            <w:tcBorders>
              <w:top w:val="nil"/>
              <w:left w:val="nil"/>
              <w:bottom w:val="single" w:sz="4" w:space="0" w:color="auto"/>
              <w:right w:val="single" w:sz="4" w:space="0" w:color="auto"/>
            </w:tcBorders>
            <w:shd w:val="clear" w:color="auto" w:fill="auto"/>
            <w:noWrap/>
            <w:vAlign w:val="bottom"/>
            <w:hideMark/>
          </w:tcPr>
          <w:p w14:paraId="15D988EF"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52 </w:t>
            </w:r>
          </w:p>
        </w:tc>
        <w:tc>
          <w:tcPr>
            <w:tcW w:w="986" w:type="pct"/>
            <w:tcBorders>
              <w:top w:val="nil"/>
              <w:left w:val="nil"/>
              <w:bottom w:val="single" w:sz="4" w:space="0" w:color="auto"/>
              <w:right w:val="single" w:sz="4" w:space="0" w:color="auto"/>
            </w:tcBorders>
            <w:shd w:val="clear" w:color="auto" w:fill="auto"/>
            <w:noWrap/>
            <w:vAlign w:val="bottom"/>
            <w:hideMark/>
          </w:tcPr>
          <w:p w14:paraId="55670387"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18 </w:t>
            </w:r>
          </w:p>
        </w:tc>
        <w:tc>
          <w:tcPr>
            <w:tcW w:w="1181" w:type="pct"/>
            <w:tcBorders>
              <w:top w:val="nil"/>
              <w:left w:val="nil"/>
              <w:bottom w:val="single" w:sz="4" w:space="0" w:color="auto"/>
              <w:right w:val="single" w:sz="4" w:space="0" w:color="auto"/>
            </w:tcBorders>
            <w:shd w:val="clear" w:color="auto" w:fill="auto"/>
            <w:noWrap/>
            <w:vAlign w:val="bottom"/>
            <w:hideMark/>
          </w:tcPr>
          <w:p w14:paraId="6BFF2F8D"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70 </w:t>
            </w:r>
          </w:p>
        </w:tc>
      </w:tr>
      <w:tr w:rsidR="001053EF" w:rsidRPr="001053EF" w14:paraId="3DCFE115" w14:textId="77777777" w:rsidTr="00446A14">
        <w:trPr>
          <w:trHeight w:val="238"/>
        </w:trPr>
        <w:tc>
          <w:tcPr>
            <w:tcW w:w="409" w:type="pct"/>
            <w:vMerge/>
            <w:tcBorders>
              <w:top w:val="nil"/>
              <w:left w:val="single" w:sz="4" w:space="0" w:color="auto"/>
              <w:bottom w:val="single" w:sz="8" w:space="0" w:color="000000"/>
              <w:right w:val="single" w:sz="4" w:space="0" w:color="auto"/>
            </w:tcBorders>
            <w:vAlign w:val="center"/>
            <w:hideMark/>
          </w:tcPr>
          <w:p w14:paraId="47AC2009"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p>
        </w:tc>
        <w:tc>
          <w:tcPr>
            <w:tcW w:w="1242" w:type="pct"/>
            <w:tcBorders>
              <w:top w:val="nil"/>
              <w:left w:val="nil"/>
              <w:bottom w:val="single" w:sz="4" w:space="0" w:color="auto"/>
              <w:right w:val="single" w:sz="4" w:space="0" w:color="auto"/>
            </w:tcBorders>
            <w:shd w:val="clear" w:color="auto" w:fill="auto"/>
            <w:noWrap/>
            <w:vAlign w:val="bottom"/>
            <w:hideMark/>
          </w:tcPr>
          <w:p w14:paraId="3155E0D2"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Abril  </w:t>
            </w:r>
          </w:p>
        </w:tc>
        <w:tc>
          <w:tcPr>
            <w:tcW w:w="1181" w:type="pct"/>
            <w:tcBorders>
              <w:top w:val="nil"/>
              <w:left w:val="nil"/>
              <w:bottom w:val="single" w:sz="4" w:space="0" w:color="auto"/>
              <w:right w:val="single" w:sz="4" w:space="0" w:color="auto"/>
            </w:tcBorders>
            <w:shd w:val="clear" w:color="auto" w:fill="auto"/>
            <w:noWrap/>
            <w:vAlign w:val="bottom"/>
            <w:hideMark/>
          </w:tcPr>
          <w:p w14:paraId="469EB32D"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11 </w:t>
            </w:r>
          </w:p>
        </w:tc>
        <w:tc>
          <w:tcPr>
            <w:tcW w:w="986" w:type="pct"/>
            <w:tcBorders>
              <w:top w:val="nil"/>
              <w:left w:val="nil"/>
              <w:bottom w:val="single" w:sz="4" w:space="0" w:color="auto"/>
              <w:right w:val="single" w:sz="4" w:space="0" w:color="auto"/>
            </w:tcBorders>
            <w:shd w:val="clear" w:color="auto" w:fill="auto"/>
            <w:noWrap/>
            <w:vAlign w:val="bottom"/>
            <w:hideMark/>
          </w:tcPr>
          <w:p w14:paraId="514CABD9"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4 </w:t>
            </w:r>
          </w:p>
        </w:tc>
        <w:tc>
          <w:tcPr>
            <w:tcW w:w="1181" w:type="pct"/>
            <w:tcBorders>
              <w:top w:val="nil"/>
              <w:left w:val="nil"/>
              <w:bottom w:val="single" w:sz="4" w:space="0" w:color="auto"/>
              <w:right w:val="single" w:sz="4" w:space="0" w:color="auto"/>
            </w:tcBorders>
            <w:shd w:val="clear" w:color="auto" w:fill="auto"/>
            <w:noWrap/>
            <w:vAlign w:val="bottom"/>
            <w:hideMark/>
          </w:tcPr>
          <w:p w14:paraId="05699042"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15 </w:t>
            </w:r>
          </w:p>
        </w:tc>
      </w:tr>
      <w:tr w:rsidR="001053EF" w:rsidRPr="001053EF" w14:paraId="728F1571" w14:textId="77777777" w:rsidTr="00446A14">
        <w:trPr>
          <w:trHeight w:val="238"/>
        </w:trPr>
        <w:tc>
          <w:tcPr>
            <w:tcW w:w="409" w:type="pct"/>
            <w:vMerge/>
            <w:tcBorders>
              <w:top w:val="nil"/>
              <w:left w:val="single" w:sz="4" w:space="0" w:color="auto"/>
              <w:bottom w:val="single" w:sz="8" w:space="0" w:color="000000"/>
              <w:right w:val="single" w:sz="4" w:space="0" w:color="auto"/>
            </w:tcBorders>
            <w:vAlign w:val="center"/>
            <w:hideMark/>
          </w:tcPr>
          <w:p w14:paraId="6AFAC9CE"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p>
        </w:tc>
        <w:tc>
          <w:tcPr>
            <w:tcW w:w="1242" w:type="pct"/>
            <w:tcBorders>
              <w:top w:val="nil"/>
              <w:left w:val="nil"/>
              <w:bottom w:val="single" w:sz="4" w:space="0" w:color="auto"/>
              <w:right w:val="single" w:sz="4" w:space="0" w:color="auto"/>
            </w:tcBorders>
            <w:shd w:val="clear" w:color="auto" w:fill="auto"/>
            <w:noWrap/>
            <w:vAlign w:val="bottom"/>
            <w:hideMark/>
          </w:tcPr>
          <w:p w14:paraId="321CC23F"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Maio  </w:t>
            </w:r>
          </w:p>
        </w:tc>
        <w:tc>
          <w:tcPr>
            <w:tcW w:w="1181" w:type="pct"/>
            <w:tcBorders>
              <w:top w:val="nil"/>
              <w:left w:val="nil"/>
              <w:bottom w:val="single" w:sz="4" w:space="0" w:color="auto"/>
              <w:right w:val="single" w:sz="4" w:space="0" w:color="auto"/>
            </w:tcBorders>
            <w:shd w:val="clear" w:color="auto" w:fill="auto"/>
            <w:noWrap/>
            <w:vAlign w:val="bottom"/>
            <w:hideMark/>
          </w:tcPr>
          <w:p w14:paraId="1454BFA2"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5.154 </w:t>
            </w:r>
          </w:p>
        </w:tc>
        <w:tc>
          <w:tcPr>
            <w:tcW w:w="986" w:type="pct"/>
            <w:tcBorders>
              <w:top w:val="nil"/>
              <w:left w:val="nil"/>
              <w:bottom w:val="single" w:sz="4" w:space="0" w:color="auto"/>
              <w:right w:val="single" w:sz="4" w:space="0" w:color="auto"/>
            </w:tcBorders>
            <w:shd w:val="clear" w:color="auto" w:fill="auto"/>
            <w:noWrap/>
            <w:vAlign w:val="bottom"/>
            <w:hideMark/>
          </w:tcPr>
          <w:p w14:paraId="12486E0A"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1.779 </w:t>
            </w:r>
          </w:p>
        </w:tc>
        <w:tc>
          <w:tcPr>
            <w:tcW w:w="1181" w:type="pct"/>
            <w:tcBorders>
              <w:top w:val="nil"/>
              <w:left w:val="nil"/>
              <w:bottom w:val="single" w:sz="4" w:space="0" w:color="auto"/>
              <w:right w:val="single" w:sz="4" w:space="0" w:color="auto"/>
            </w:tcBorders>
            <w:shd w:val="clear" w:color="auto" w:fill="auto"/>
            <w:noWrap/>
            <w:vAlign w:val="bottom"/>
            <w:hideMark/>
          </w:tcPr>
          <w:p w14:paraId="7FB23458"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6.933 </w:t>
            </w:r>
          </w:p>
        </w:tc>
      </w:tr>
      <w:tr w:rsidR="001053EF" w:rsidRPr="001053EF" w14:paraId="5D59AABD" w14:textId="77777777" w:rsidTr="00446A14">
        <w:trPr>
          <w:trHeight w:val="238"/>
        </w:trPr>
        <w:tc>
          <w:tcPr>
            <w:tcW w:w="409" w:type="pct"/>
            <w:vMerge/>
            <w:tcBorders>
              <w:top w:val="nil"/>
              <w:left w:val="single" w:sz="4" w:space="0" w:color="auto"/>
              <w:bottom w:val="single" w:sz="8" w:space="0" w:color="000000"/>
              <w:right w:val="single" w:sz="4" w:space="0" w:color="auto"/>
            </w:tcBorders>
            <w:vAlign w:val="center"/>
            <w:hideMark/>
          </w:tcPr>
          <w:p w14:paraId="76368B74"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p>
        </w:tc>
        <w:tc>
          <w:tcPr>
            <w:tcW w:w="1242" w:type="pct"/>
            <w:tcBorders>
              <w:top w:val="nil"/>
              <w:left w:val="nil"/>
              <w:bottom w:val="single" w:sz="4" w:space="0" w:color="auto"/>
              <w:right w:val="single" w:sz="4" w:space="0" w:color="auto"/>
            </w:tcBorders>
            <w:shd w:val="clear" w:color="auto" w:fill="auto"/>
            <w:noWrap/>
            <w:vAlign w:val="bottom"/>
            <w:hideMark/>
          </w:tcPr>
          <w:p w14:paraId="2590E7A4"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Junho   </w:t>
            </w:r>
          </w:p>
        </w:tc>
        <w:tc>
          <w:tcPr>
            <w:tcW w:w="1181" w:type="pct"/>
            <w:tcBorders>
              <w:top w:val="nil"/>
              <w:left w:val="nil"/>
              <w:bottom w:val="single" w:sz="4" w:space="0" w:color="auto"/>
              <w:right w:val="single" w:sz="4" w:space="0" w:color="auto"/>
            </w:tcBorders>
            <w:shd w:val="clear" w:color="auto" w:fill="auto"/>
            <w:noWrap/>
            <w:vAlign w:val="bottom"/>
            <w:hideMark/>
          </w:tcPr>
          <w:p w14:paraId="431333DA"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3.335 </w:t>
            </w:r>
          </w:p>
        </w:tc>
        <w:tc>
          <w:tcPr>
            <w:tcW w:w="986" w:type="pct"/>
            <w:tcBorders>
              <w:top w:val="nil"/>
              <w:left w:val="nil"/>
              <w:bottom w:val="single" w:sz="4" w:space="0" w:color="auto"/>
              <w:right w:val="single" w:sz="4" w:space="0" w:color="auto"/>
            </w:tcBorders>
            <w:shd w:val="clear" w:color="auto" w:fill="auto"/>
            <w:noWrap/>
            <w:vAlign w:val="bottom"/>
            <w:hideMark/>
          </w:tcPr>
          <w:p w14:paraId="52B911A7"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1.136 </w:t>
            </w:r>
          </w:p>
        </w:tc>
        <w:tc>
          <w:tcPr>
            <w:tcW w:w="1181" w:type="pct"/>
            <w:tcBorders>
              <w:top w:val="nil"/>
              <w:left w:val="nil"/>
              <w:bottom w:val="single" w:sz="4" w:space="0" w:color="auto"/>
              <w:right w:val="single" w:sz="4" w:space="0" w:color="auto"/>
            </w:tcBorders>
            <w:shd w:val="clear" w:color="auto" w:fill="auto"/>
            <w:noWrap/>
            <w:vAlign w:val="bottom"/>
            <w:hideMark/>
          </w:tcPr>
          <w:p w14:paraId="20E71D3F"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4.471 </w:t>
            </w:r>
          </w:p>
        </w:tc>
      </w:tr>
      <w:tr w:rsidR="001053EF" w:rsidRPr="001053EF" w14:paraId="6E31AACF" w14:textId="77777777" w:rsidTr="00446A14">
        <w:trPr>
          <w:trHeight w:val="238"/>
        </w:trPr>
        <w:tc>
          <w:tcPr>
            <w:tcW w:w="409" w:type="pct"/>
            <w:vMerge/>
            <w:tcBorders>
              <w:top w:val="nil"/>
              <w:left w:val="single" w:sz="4" w:space="0" w:color="auto"/>
              <w:bottom w:val="single" w:sz="8" w:space="0" w:color="000000"/>
              <w:right w:val="single" w:sz="4" w:space="0" w:color="auto"/>
            </w:tcBorders>
            <w:vAlign w:val="center"/>
            <w:hideMark/>
          </w:tcPr>
          <w:p w14:paraId="53F7FEFC"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p>
        </w:tc>
        <w:tc>
          <w:tcPr>
            <w:tcW w:w="1242" w:type="pct"/>
            <w:tcBorders>
              <w:top w:val="nil"/>
              <w:left w:val="nil"/>
              <w:bottom w:val="single" w:sz="4" w:space="0" w:color="auto"/>
              <w:right w:val="single" w:sz="4" w:space="0" w:color="auto"/>
            </w:tcBorders>
            <w:shd w:val="clear" w:color="auto" w:fill="auto"/>
            <w:noWrap/>
            <w:vAlign w:val="bottom"/>
            <w:hideMark/>
          </w:tcPr>
          <w:p w14:paraId="6BFDD9B8"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Julho  </w:t>
            </w:r>
          </w:p>
        </w:tc>
        <w:tc>
          <w:tcPr>
            <w:tcW w:w="1181" w:type="pct"/>
            <w:tcBorders>
              <w:top w:val="nil"/>
              <w:left w:val="nil"/>
              <w:bottom w:val="single" w:sz="4" w:space="0" w:color="auto"/>
              <w:right w:val="single" w:sz="4" w:space="0" w:color="auto"/>
            </w:tcBorders>
            <w:shd w:val="clear" w:color="auto" w:fill="auto"/>
            <w:noWrap/>
            <w:vAlign w:val="bottom"/>
            <w:hideMark/>
          </w:tcPr>
          <w:p w14:paraId="04964F53"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3.947 </w:t>
            </w:r>
          </w:p>
        </w:tc>
        <w:tc>
          <w:tcPr>
            <w:tcW w:w="986" w:type="pct"/>
            <w:tcBorders>
              <w:top w:val="nil"/>
              <w:left w:val="nil"/>
              <w:bottom w:val="single" w:sz="4" w:space="0" w:color="auto"/>
              <w:right w:val="single" w:sz="4" w:space="0" w:color="auto"/>
            </w:tcBorders>
            <w:shd w:val="clear" w:color="auto" w:fill="auto"/>
            <w:noWrap/>
            <w:vAlign w:val="bottom"/>
            <w:hideMark/>
          </w:tcPr>
          <w:p w14:paraId="156DD0C9"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1.339 </w:t>
            </w:r>
          </w:p>
        </w:tc>
        <w:tc>
          <w:tcPr>
            <w:tcW w:w="1181" w:type="pct"/>
            <w:tcBorders>
              <w:top w:val="nil"/>
              <w:left w:val="nil"/>
              <w:bottom w:val="single" w:sz="4" w:space="0" w:color="auto"/>
              <w:right w:val="single" w:sz="4" w:space="0" w:color="auto"/>
            </w:tcBorders>
            <w:shd w:val="clear" w:color="auto" w:fill="auto"/>
            <w:noWrap/>
            <w:vAlign w:val="bottom"/>
            <w:hideMark/>
          </w:tcPr>
          <w:p w14:paraId="30EF7A40"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5.286 </w:t>
            </w:r>
          </w:p>
        </w:tc>
      </w:tr>
      <w:tr w:rsidR="001053EF" w:rsidRPr="001053EF" w14:paraId="03CBCD5F" w14:textId="77777777" w:rsidTr="00446A14">
        <w:trPr>
          <w:trHeight w:val="238"/>
        </w:trPr>
        <w:tc>
          <w:tcPr>
            <w:tcW w:w="409" w:type="pct"/>
            <w:vMerge/>
            <w:tcBorders>
              <w:top w:val="nil"/>
              <w:left w:val="single" w:sz="4" w:space="0" w:color="auto"/>
              <w:bottom w:val="single" w:sz="8" w:space="0" w:color="000000"/>
              <w:right w:val="single" w:sz="4" w:space="0" w:color="auto"/>
            </w:tcBorders>
            <w:vAlign w:val="center"/>
            <w:hideMark/>
          </w:tcPr>
          <w:p w14:paraId="0272C4EF"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p>
        </w:tc>
        <w:tc>
          <w:tcPr>
            <w:tcW w:w="1242" w:type="pct"/>
            <w:tcBorders>
              <w:top w:val="nil"/>
              <w:left w:val="nil"/>
              <w:bottom w:val="single" w:sz="4" w:space="0" w:color="auto"/>
              <w:right w:val="single" w:sz="4" w:space="0" w:color="auto"/>
            </w:tcBorders>
            <w:shd w:val="clear" w:color="auto" w:fill="auto"/>
            <w:noWrap/>
            <w:vAlign w:val="bottom"/>
            <w:hideMark/>
          </w:tcPr>
          <w:p w14:paraId="07F9B083"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Agosto  </w:t>
            </w:r>
          </w:p>
        </w:tc>
        <w:tc>
          <w:tcPr>
            <w:tcW w:w="1181" w:type="pct"/>
            <w:tcBorders>
              <w:top w:val="nil"/>
              <w:left w:val="nil"/>
              <w:bottom w:val="single" w:sz="4" w:space="0" w:color="auto"/>
              <w:right w:val="single" w:sz="4" w:space="0" w:color="auto"/>
            </w:tcBorders>
            <w:shd w:val="clear" w:color="auto" w:fill="auto"/>
            <w:noWrap/>
            <w:vAlign w:val="bottom"/>
            <w:hideMark/>
          </w:tcPr>
          <w:p w14:paraId="10F5411A"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3.657 </w:t>
            </w:r>
          </w:p>
        </w:tc>
        <w:tc>
          <w:tcPr>
            <w:tcW w:w="986" w:type="pct"/>
            <w:tcBorders>
              <w:top w:val="nil"/>
              <w:left w:val="nil"/>
              <w:bottom w:val="single" w:sz="4" w:space="0" w:color="auto"/>
              <w:right w:val="single" w:sz="4" w:space="0" w:color="auto"/>
            </w:tcBorders>
            <w:shd w:val="clear" w:color="auto" w:fill="auto"/>
            <w:noWrap/>
            <w:vAlign w:val="bottom"/>
            <w:hideMark/>
          </w:tcPr>
          <w:p w14:paraId="2BCF2CB2"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1.229 </w:t>
            </w:r>
          </w:p>
        </w:tc>
        <w:tc>
          <w:tcPr>
            <w:tcW w:w="1181" w:type="pct"/>
            <w:tcBorders>
              <w:top w:val="nil"/>
              <w:left w:val="nil"/>
              <w:bottom w:val="single" w:sz="4" w:space="0" w:color="auto"/>
              <w:right w:val="single" w:sz="4" w:space="0" w:color="auto"/>
            </w:tcBorders>
            <w:shd w:val="clear" w:color="auto" w:fill="auto"/>
            <w:noWrap/>
            <w:vAlign w:val="bottom"/>
            <w:hideMark/>
          </w:tcPr>
          <w:p w14:paraId="45F28457"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4.886 </w:t>
            </w:r>
          </w:p>
        </w:tc>
      </w:tr>
      <w:tr w:rsidR="001053EF" w:rsidRPr="001053EF" w14:paraId="69CDDF0E" w14:textId="77777777" w:rsidTr="00446A14">
        <w:trPr>
          <w:trHeight w:val="238"/>
        </w:trPr>
        <w:tc>
          <w:tcPr>
            <w:tcW w:w="409" w:type="pct"/>
            <w:vMerge/>
            <w:tcBorders>
              <w:top w:val="nil"/>
              <w:left w:val="single" w:sz="4" w:space="0" w:color="auto"/>
              <w:bottom w:val="single" w:sz="8" w:space="0" w:color="000000"/>
              <w:right w:val="single" w:sz="4" w:space="0" w:color="auto"/>
            </w:tcBorders>
            <w:vAlign w:val="center"/>
            <w:hideMark/>
          </w:tcPr>
          <w:p w14:paraId="3C926385"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p>
        </w:tc>
        <w:tc>
          <w:tcPr>
            <w:tcW w:w="1242" w:type="pct"/>
            <w:tcBorders>
              <w:top w:val="nil"/>
              <w:left w:val="nil"/>
              <w:bottom w:val="single" w:sz="4" w:space="0" w:color="auto"/>
              <w:right w:val="single" w:sz="4" w:space="0" w:color="auto"/>
            </w:tcBorders>
            <w:shd w:val="clear" w:color="auto" w:fill="auto"/>
            <w:noWrap/>
            <w:vAlign w:val="bottom"/>
            <w:hideMark/>
          </w:tcPr>
          <w:p w14:paraId="5700AD06"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Setembro  </w:t>
            </w:r>
          </w:p>
        </w:tc>
        <w:tc>
          <w:tcPr>
            <w:tcW w:w="1181" w:type="pct"/>
            <w:tcBorders>
              <w:top w:val="nil"/>
              <w:left w:val="nil"/>
              <w:bottom w:val="single" w:sz="4" w:space="0" w:color="auto"/>
              <w:right w:val="single" w:sz="4" w:space="0" w:color="auto"/>
            </w:tcBorders>
            <w:shd w:val="clear" w:color="auto" w:fill="auto"/>
            <w:noWrap/>
            <w:vAlign w:val="bottom"/>
            <w:hideMark/>
          </w:tcPr>
          <w:p w14:paraId="4FFA9280"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1.575 </w:t>
            </w:r>
          </w:p>
        </w:tc>
        <w:tc>
          <w:tcPr>
            <w:tcW w:w="986" w:type="pct"/>
            <w:tcBorders>
              <w:top w:val="nil"/>
              <w:left w:val="nil"/>
              <w:bottom w:val="single" w:sz="4" w:space="0" w:color="auto"/>
              <w:right w:val="single" w:sz="4" w:space="0" w:color="auto"/>
            </w:tcBorders>
            <w:shd w:val="clear" w:color="auto" w:fill="auto"/>
            <w:noWrap/>
            <w:vAlign w:val="bottom"/>
            <w:hideMark/>
          </w:tcPr>
          <w:p w14:paraId="5AD311BD"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526 </w:t>
            </w:r>
          </w:p>
        </w:tc>
        <w:tc>
          <w:tcPr>
            <w:tcW w:w="1181" w:type="pct"/>
            <w:tcBorders>
              <w:top w:val="nil"/>
              <w:left w:val="nil"/>
              <w:bottom w:val="single" w:sz="4" w:space="0" w:color="auto"/>
              <w:right w:val="single" w:sz="4" w:space="0" w:color="auto"/>
            </w:tcBorders>
            <w:shd w:val="clear" w:color="auto" w:fill="auto"/>
            <w:noWrap/>
            <w:vAlign w:val="bottom"/>
            <w:hideMark/>
          </w:tcPr>
          <w:p w14:paraId="6E5C664F"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2.101 </w:t>
            </w:r>
          </w:p>
        </w:tc>
      </w:tr>
      <w:tr w:rsidR="001053EF" w:rsidRPr="001053EF" w14:paraId="1300C9AA" w14:textId="77777777" w:rsidTr="00446A14">
        <w:trPr>
          <w:trHeight w:val="238"/>
        </w:trPr>
        <w:tc>
          <w:tcPr>
            <w:tcW w:w="409" w:type="pct"/>
            <w:vMerge/>
            <w:tcBorders>
              <w:top w:val="nil"/>
              <w:left w:val="single" w:sz="4" w:space="0" w:color="auto"/>
              <w:bottom w:val="single" w:sz="8" w:space="0" w:color="000000"/>
              <w:right w:val="single" w:sz="4" w:space="0" w:color="auto"/>
            </w:tcBorders>
            <w:vAlign w:val="center"/>
            <w:hideMark/>
          </w:tcPr>
          <w:p w14:paraId="19F30DC1"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p>
        </w:tc>
        <w:tc>
          <w:tcPr>
            <w:tcW w:w="1242" w:type="pct"/>
            <w:tcBorders>
              <w:top w:val="nil"/>
              <w:left w:val="nil"/>
              <w:bottom w:val="single" w:sz="4" w:space="0" w:color="auto"/>
              <w:right w:val="single" w:sz="4" w:space="0" w:color="auto"/>
            </w:tcBorders>
            <w:shd w:val="clear" w:color="auto" w:fill="auto"/>
            <w:noWrap/>
            <w:vAlign w:val="bottom"/>
            <w:hideMark/>
          </w:tcPr>
          <w:p w14:paraId="1C636DA5"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Outubro  </w:t>
            </w:r>
          </w:p>
        </w:tc>
        <w:tc>
          <w:tcPr>
            <w:tcW w:w="1181" w:type="pct"/>
            <w:tcBorders>
              <w:top w:val="nil"/>
              <w:left w:val="nil"/>
              <w:bottom w:val="single" w:sz="4" w:space="0" w:color="auto"/>
              <w:right w:val="single" w:sz="4" w:space="0" w:color="auto"/>
            </w:tcBorders>
            <w:shd w:val="clear" w:color="auto" w:fill="auto"/>
            <w:noWrap/>
            <w:vAlign w:val="bottom"/>
            <w:hideMark/>
          </w:tcPr>
          <w:p w14:paraId="2D722630"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602 </w:t>
            </w:r>
          </w:p>
        </w:tc>
        <w:tc>
          <w:tcPr>
            <w:tcW w:w="986" w:type="pct"/>
            <w:tcBorders>
              <w:top w:val="nil"/>
              <w:left w:val="nil"/>
              <w:bottom w:val="single" w:sz="4" w:space="0" w:color="auto"/>
              <w:right w:val="single" w:sz="4" w:space="0" w:color="auto"/>
            </w:tcBorders>
            <w:shd w:val="clear" w:color="auto" w:fill="auto"/>
            <w:noWrap/>
            <w:vAlign w:val="bottom"/>
            <w:hideMark/>
          </w:tcPr>
          <w:p w14:paraId="0F2FD1B6"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200 </w:t>
            </w:r>
          </w:p>
        </w:tc>
        <w:tc>
          <w:tcPr>
            <w:tcW w:w="1181" w:type="pct"/>
            <w:tcBorders>
              <w:top w:val="nil"/>
              <w:left w:val="nil"/>
              <w:bottom w:val="single" w:sz="4" w:space="0" w:color="auto"/>
              <w:right w:val="single" w:sz="4" w:space="0" w:color="auto"/>
            </w:tcBorders>
            <w:shd w:val="clear" w:color="auto" w:fill="auto"/>
            <w:noWrap/>
            <w:vAlign w:val="bottom"/>
            <w:hideMark/>
          </w:tcPr>
          <w:p w14:paraId="388CF787"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802 </w:t>
            </w:r>
          </w:p>
        </w:tc>
      </w:tr>
      <w:tr w:rsidR="001053EF" w:rsidRPr="001053EF" w14:paraId="607EA892" w14:textId="77777777" w:rsidTr="00446A14">
        <w:trPr>
          <w:trHeight w:val="238"/>
        </w:trPr>
        <w:tc>
          <w:tcPr>
            <w:tcW w:w="409" w:type="pct"/>
            <w:vMerge/>
            <w:tcBorders>
              <w:top w:val="nil"/>
              <w:left w:val="single" w:sz="4" w:space="0" w:color="auto"/>
              <w:bottom w:val="single" w:sz="8" w:space="0" w:color="000000"/>
              <w:right w:val="single" w:sz="4" w:space="0" w:color="auto"/>
            </w:tcBorders>
            <w:vAlign w:val="center"/>
            <w:hideMark/>
          </w:tcPr>
          <w:p w14:paraId="20454D82"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p>
        </w:tc>
        <w:tc>
          <w:tcPr>
            <w:tcW w:w="1242" w:type="pct"/>
            <w:tcBorders>
              <w:top w:val="nil"/>
              <w:left w:val="nil"/>
              <w:bottom w:val="single" w:sz="4" w:space="0" w:color="auto"/>
              <w:right w:val="single" w:sz="4" w:space="0" w:color="auto"/>
            </w:tcBorders>
            <w:shd w:val="clear" w:color="auto" w:fill="auto"/>
            <w:noWrap/>
            <w:vAlign w:val="bottom"/>
            <w:hideMark/>
          </w:tcPr>
          <w:p w14:paraId="1DBB4A66"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Novembro  </w:t>
            </w:r>
          </w:p>
        </w:tc>
        <w:tc>
          <w:tcPr>
            <w:tcW w:w="1181" w:type="pct"/>
            <w:tcBorders>
              <w:top w:val="nil"/>
              <w:left w:val="nil"/>
              <w:bottom w:val="single" w:sz="4" w:space="0" w:color="auto"/>
              <w:right w:val="single" w:sz="4" w:space="0" w:color="auto"/>
            </w:tcBorders>
            <w:shd w:val="clear" w:color="auto" w:fill="auto"/>
            <w:noWrap/>
            <w:vAlign w:val="bottom"/>
            <w:hideMark/>
          </w:tcPr>
          <w:p w14:paraId="3521DA30"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3.966 </w:t>
            </w:r>
          </w:p>
        </w:tc>
        <w:tc>
          <w:tcPr>
            <w:tcW w:w="986" w:type="pct"/>
            <w:tcBorders>
              <w:top w:val="nil"/>
              <w:left w:val="nil"/>
              <w:bottom w:val="single" w:sz="4" w:space="0" w:color="auto"/>
              <w:right w:val="single" w:sz="4" w:space="0" w:color="auto"/>
            </w:tcBorders>
            <w:shd w:val="clear" w:color="auto" w:fill="auto"/>
            <w:noWrap/>
            <w:vAlign w:val="bottom"/>
            <w:hideMark/>
          </w:tcPr>
          <w:p w14:paraId="6EBC2094"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1.309 </w:t>
            </w:r>
          </w:p>
        </w:tc>
        <w:tc>
          <w:tcPr>
            <w:tcW w:w="1181" w:type="pct"/>
            <w:tcBorders>
              <w:top w:val="nil"/>
              <w:left w:val="nil"/>
              <w:bottom w:val="single" w:sz="4" w:space="0" w:color="auto"/>
              <w:right w:val="single" w:sz="4" w:space="0" w:color="auto"/>
            </w:tcBorders>
            <w:shd w:val="clear" w:color="auto" w:fill="auto"/>
            <w:noWrap/>
            <w:vAlign w:val="bottom"/>
            <w:hideMark/>
          </w:tcPr>
          <w:p w14:paraId="423AAFFF"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5.275 </w:t>
            </w:r>
          </w:p>
        </w:tc>
      </w:tr>
      <w:tr w:rsidR="001053EF" w:rsidRPr="001053EF" w14:paraId="583579DD" w14:textId="77777777" w:rsidTr="00446A14">
        <w:trPr>
          <w:trHeight w:val="238"/>
        </w:trPr>
        <w:tc>
          <w:tcPr>
            <w:tcW w:w="409" w:type="pct"/>
            <w:vMerge/>
            <w:tcBorders>
              <w:top w:val="nil"/>
              <w:left w:val="single" w:sz="4" w:space="0" w:color="auto"/>
              <w:bottom w:val="single" w:sz="8" w:space="0" w:color="000000"/>
              <w:right w:val="single" w:sz="4" w:space="0" w:color="auto"/>
            </w:tcBorders>
            <w:vAlign w:val="center"/>
            <w:hideMark/>
          </w:tcPr>
          <w:p w14:paraId="7615C832"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p>
        </w:tc>
        <w:tc>
          <w:tcPr>
            <w:tcW w:w="1242" w:type="pct"/>
            <w:tcBorders>
              <w:top w:val="nil"/>
              <w:left w:val="nil"/>
              <w:bottom w:val="single" w:sz="8" w:space="0" w:color="auto"/>
              <w:right w:val="single" w:sz="4" w:space="0" w:color="auto"/>
            </w:tcBorders>
            <w:shd w:val="clear" w:color="auto" w:fill="auto"/>
            <w:noWrap/>
            <w:vAlign w:val="bottom"/>
            <w:hideMark/>
          </w:tcPr>
          <w:p w14:paraId="3CAE1A3B"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Dezembro  </w:t>
            </w:r>
          </w:p>
        </w:tc>
        <w:tc>
          <w:tcPr>
            <w:tcW w:w="1181" w:type="pct"/>
            <w:tcBorders>
              <w:top w:val="nil"/>
              <w:left w:val="nil"/>
              <w:bottom w:val="single" w:sz="8" w:space="0" w:color="auto"/>
              <w:right w:val="single" w:sz="4" w:space="0" w:color="auto"/>
            </w:tcBorders>
            <w:shd w:val="clear" w:color="auto" w:fill="auto"/>
            <w:noWrap/>
            <w:vAlign w:val="bottom"/>
            <w:hideMark/>
          </w:tcPr>
          <w:p w14:paraId="7E310AD8"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8.857 </w:t>
            </w:r>
          </w:p>
        </w:tc>
        <w:tc>
          <w:tcPr>
            <w:tcW w:w="986" w:type="pct"/>
            <w:tcBorders>
              <w:top w:val="nil"/>
              <w:left w:val="nil"/>
              <w:bottom w:val="single" w:sz="8" w:space="0" w:color="auto"/>
              <w:right w:val="single" w:sz="4" w:space="0" w:color="auto"/>
            </w:tcBorders>
            <w:shd w:val="clear" w:color="auto" w:fill="auto"/>
            <w:noWrap/>
            <w:vAlign w:val="bottom"/>
            <w:hideMark/>
          </w:tcPr>
          <w:p w14:paraId="3A79F043"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2.899 </w:t>
            </w:r>
          </w:p>
        </w:tc>
        <w:tc>
          <w:tcPr>
            <w:tcW w:w="1181" w:type="pct"/>
            <w:tcBorders>
              <w:top w:val="nil"/>
              <w:left w:val="nil"/>
              <w:bottom w:val="single" w:sz="8" w:space="0" w:color="auto"/>
              <w:right w:val="single" w:sz="4" w:space="0" w:color="auto"/>
            </w:tcBorders>
            <w:shd w:val="clear" w:color="auto" w:fill="auto"/>
            <w:noWrap/>
            <w:vAlign w:val="bottom"/>
            <w:hideMark/>
          </w:tcPr>
          <w:p w14:paraId="7303147A"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11.756 </w:t>
            </w:r>
          </w:p>
        </w:tc>
      </w:tr>
      <w:tr w:rsidR="001053EF" w:rsidRPr="001053EF" w14:paraId="6E7640AF" w14:textId="77777777" w:rsidTr="00446A14">
        <w:trPr>
          <w:trHeight w:val="238"/>
        </w:trPr>
        <w:tc>
          <w:tcPr>
            <w:tcW w:w="409"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169102B5" w14:textId="77777777" w:rsidR="001053EF" w:rsidRPr="001053EF" w:rsidRDefault="001053EF" w:rsidP="001053EF">
            <w:pPr>
              <w:spacing w:after="0" w:line="240" w:lineRule="auto"/>
              <w:jc w:val="center"/>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2021</w:t>
            </w:r>
          </w:p>
        </w:tc>
        <w:tc>
          <w:tcPr>
            <w:tcW w:w="1242" w:type="pct"/>
            <w:tcBorders>
              <w:top w:val="nil"/>
              <w:left w:val="nil"/>
              <w:bottom w:val="single" w:sz="4" w:space="0" w:color="auto"/>
              <w:right w:val="single" w:sz="4" w:space="0" w:color="auto"/>
            </w:tcBorders>
            <w:shd w:val="clear" w:color="auto" w:fill="auto"/>
            <w:noWrap/>
            <w:vAlign w:val="bottom"/>
            <w:hideMark/>
          </w:tcPr>
          <w:p w14:paraId="5421910D"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Fevereiro  </w:t>
            </w:r>
          </w:p>
        </w:tc>
        <w:tc>
          <w:tcPr>
            <w:tcW w:w="1181" w:type="pct"/>
            <w:tcBorders>
              <w:top w:val="nil"/>
              <w:left w:val="nil"/>
              <w:bottom w:val="single" w:sz="4" w:space="0" w:color="auto"/>
              <w:right w:val="single" w:sz="4" w:space="0" w:color="auto"/>
            </w:tcBorders>
            <w:shd w:val="clear" w:color="auto" w:fill="auto"/>
            <w:noWrap/>
            <w:vAlign w:val="bottom"/>
            <w:hideMark/>
          </w:tcPr>
          <w:p w14:paraId="26C67B83"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11.667 </w:t>
            </w:r>
          </w:p>
        </w:tc>
        <w:tc>
          <w:tcPr>
            <w:tcW w:w="986" w:type="pct"/>
            <w:tcBorders>
              <w:top w:val="nil"/>
              <w:left w:val="nil"/>
              <w:bottom w:val="single" w:sz="4" w:space="0" w:color="auto"/>
              <w:right w:val="single" w:sz="4" w:space="0" w:color="auto"/>
            </w:tcBorders>
            <w:shd w:val="clear" w:color="auto" w:fill="auto"/>
            <w:noWrap/>
            <w:vAlign w:val="bottom"/>
            <w:hideMark/>
          </w:tcPr>
          <w:p w14:paraId="277D17A0"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3.783 </w:t>
            </w:r>
          </w:p>
        </w:tc>
        <w:tc>
          <w:tcPr>
            <w:tcW w:w="1181" w:type="pct"/>
            <w:tcBorders>
              <w:top w:val="nil"/>
              <w:left w:val="nil"/>
              <w:bottom w:val="single" w:sz="4" w:space="0" w:color="auto"/>
              <w:right w:val="single" w:sz="4" w:space="0" w:color="auto"/>
            </w:tcBorders>
            <w:shd w:val="clear" w:color="auto" w:fill="auto"/>
            <w:noWrap/>
            <w:vAlign w:val="bottom"/>
            <w:hideMark/>
          </w:tcPr>
          <w:p w14:paraId="05001019"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15.450 </w:t>
            </w:r>
          </w:p>
        </w:tc>
      </w:tr>
      <w:tr w:rsidR="001053EF" w:rsidRPr="001053EF" w14:paraId="1558CBB9" w14:textId="77777777" w:rsidTr="00446A14">
        <w:trPr>
          <w:trHeight w:val="238"/>
        </w:trPr>
        <w:tc>
          <w:tcPr>
            <w:tcW w:w="409" w:type="pct"/>
            <w:vMerge/>
            <w:tcBorders>
              <w:top w:val="nil"/>
              <w:left w:val="single" w:sz="4" w:space="0" w:color="auto"/>
              <w:bottom w:val="single" w:sz="8" w:space="0" w:color="000000"/>
              <w:right w:val="single" w:sz="4" w:space="0" w:color="auto"/>
            </w:tcBorders>
            <w:vAlign w:val="center"/>
            <w:hideMark/>
          </w:tcPr>
          <w:p w14:paraId="499C5CDB"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p>
        </w:tc>
        <w:tc>
          <w:tcPr>
            <w:tcW w:w="1242" w:type="pct"/>
            <w:tcBorders>
              <w:top w:val="nil"/>
              <w:left w:val="nil"/>
              <w:bottom w:val="single" w:sz="4" w:space="0" w:color="auto"/>
              <w:right w:val="single" w:sz="4" w:space="0" w:color="auto"/>
            </w:tcBorders>
            <w:shd w:val="clear" w:color="auto" w:fill="auto"/>
            <w:noWrap/>
            <w:vAlign w:val="bottom"/>
            <w:hideMark/>
          </w:tcPr>
          <w:p w14:paraId="0EA30AF6"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Março  </w:t>
            </w:r>
          </w:p>
        </w:tc>
        <w:tc>
          <w:tcPr>
            <w:tcW w:w="1181" w:type="pct"/>
            <w:tcBorders>
              <w:top w:val="nil"/>
              <w:left w:val="nil"/>
              <w:bottom w:val="single" w:sz="4" w:space="0" w:color="auto"/>
              <w:right w:val="single" w:sz="4" w:space="0" w:color="auto"/>
            </w:tcBorders>
            <w:shd w:val="clear" w:color="auto" w:fill="auto"/>
            <w:noWrap/>
            <w:vAlign w:val="bottom"/>
            <w:hideMark/>
          </w:tcPr>
          <w:p w14:paraId="1FE84B32"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887 </w:t>
            </w:r>
          </w:p>
        </w:tc>
        <w:tc>
          <w:tcPr>
            <w:tcW w:w="986" w:type="pct"/>
            <w:tcBorders>
              <w:top w:val="nil"/>
              <w:left w:val="nil"/>
              <w:bottom w:val="single" w:sz="4" w:space="0" w:color="auto"/>
              <w:right w:val="single" w:sz="4" w:space="0" w:color="auto"/>
            </w:tcBorders>
            <w:shd w:val="clear" w:color="auto" w:fill="auto"/>
            <w:noWrap/>
            <w:vAlign w:val="bottom"/>
            <w:hideMark/>
          </w:tcPr>
          <w:p w14:paraId="2D99901C"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285 </w:t>
            </w:r>
          </w:p>
        </w:tc>
        <w:tc>
          <w:tcPr>
            <w:tcW w:w="1181" w:type="pct"/>
            <w:tcBorders>
              <w:top w:val="nil"/>
              <w:left w:val="nil"/>
              <w:bottom w:val="single" w:sz="4" w:space="0" w:color="auto"/>
              <w:right w:val="single" w:sz="4" w:space="0" w:color="auto"/>
            </w:tcBorders>
            <w:shd w:val="clear" w:color="auto" w:fill="auto"/>
            <w:noWrap/>
            <w:vAlign w:val="bottom"/>
            <w:hideMark/>
          </w:tcPr>
          <w:p w14:paraId="773A5EEE"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1.172 </w:t>
            </w:r>
          </w:p>
        </w:tc>
      </w:tr>
      <w:tr w:rsidR="001053EF" w:rsidRPr="001053EF" w14:paraId="586841A2" w14:textId="77777777" w:rsidTr="00446A14">
        <w:trPr>
          <w:trHeight w:val="238"/>
        </w:trPr>
        <w:tc>
          <w:tcPr>
            <w:tcW w:w="409" w:type="pct"/>
            <w:vMerge/>
            <w:tcBorders>
              <w:top w:val="nil"/>
              <w:left w:val="single" w:sz="4" w:space="0" w:color="auto"/>
              <w:bottom w:val="single" w:sz="8" w:space="0" w:color="000000"/>
              <w:right w:val="single" w:sz="4" w:space="0" w:color="auto"/>
            </w:tcBorders>
            <w:vAlign w:val="center"/>
            <w:hideMark/>
          </w:tcPr>
          <w:p w14:paraId="0A8C240B"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p>
        </w:tc>
        <w:tc>
          <w:tcPr>
            <w:tcW w:w="1242" w:type="pct"/>
            <w:tcBorders>
              <w:top w:val="nil"/>
              <w:left w:val="nil"/>
              <w:bottom w:val="single" w:sz="4" w:space="0" w:color="auto"/>
              <w:right w:val="single" w:sz="4" w:space="0" w:color="auto"/>
            </w:tcBorders>
            <w:shd w:val="clear" w:color="auto" w:fill="auto"/>
            <w:noWrap/>
            <w:vAlign w:val="bottom"/>
            <w:hideMark/>
          </w:tcPr>
          <w:p w14:paraId="3D4F7770"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Abril  </w:t>
            </w:r>
          </w:p>
        </w:tc>
        <w:tc>
          <w:tcPr>
            <w:tcW w:w="1181" w:type="pct"/>
            <w:tcBorders>
              <w:top w:val="nil"/>
              <w:left w:val="nil"/>
              <w:bottom w:val="single" w:sz="4" w:space="0" w:color="auto"/>
              <w:right w:val="single" w:sz="4" w:space="0" w:color="auto"/>
            </w:tcBorders>
            <w:shd w:val="clear" w:color="auto" w:fill="auto"/>
            <w:noWrap/>
            <w:vAlign w:val="bottom"/>
            <w:hideMark/>
          </w:tcPr>
          <w:p w14:paraId="2CA5DB6E"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1.386 </w:t>
            </w:r>
          </w:p>
        </w:tc>
        <w:tc>
          <w:tcPr>
            <w:tcW w:w="986" w:type="pct"/>
            <w:tcBorders>
              <w:top w:val="nil"/>
              <w:left w:val="nil"/>
              <w:bottom w:val="single" w:sz="4" w:space="0" w:color="auto"/>
              <w:right w:val="single" w:sz="4" w:space="0" w:color="auto"/>
            </w:tcBorders>
            <w:shd w:val="clear" w:color="auto" w:fill="auto"/>
            <w:noWrap/>
            <w:vAlign w:val="bottom"/>
            <w:hideMark/>
          </w:tcPr>
          <w:p w14:paraId="71DFD955"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442 </w:t>
            </w:r>
          </w:p>
        </w:tc>
        <w:tc>
          <w:tcPr>
            <w:tcW w:w="1181" w:type="pct"/>
            <w:tcBorders>
              <w:top w:val="nil"/>
              <w:left w:val="nil"/>
              <w:bottom w:val="single" w:sz="4" w:space="0" w:color="auto"/>
              <w:right w:val="single" w:sz="4" w:space="0" w:color="auto"/>
            </w:tcBorders>
            <w:shd w:val="clear" w:color="auto" w:fill="auto"/>
            <w:noWrap/>
            <w:vAlign w:val="bottom"/>
            <w:hideMark/>
          </w:tcPr>
          <w:p w14:paraId="33A191EF"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1.828 </w:t>
            </w:r>
          </w:p>
        </w:tc>
      </w:tr>
      <w:tr w:rsidR="001053EF" w:rsidRPr="001053EF" w14:paraId="3EBB0A70" w14:textId="77777777" w:rsidTr="00446A14">
        <w:trPr>
          <w:trHeight w:val="238"/>
        </w:trPr>
        <w:tc>
          <w:tcPr>
            <w:tcW w:w="409" w:type="pct"/>
            <w:vMerge/>
            <w:tcBorders>
              <w:top w:val="nil"/>
              <w:left w:val="single" w:sz="4" w:space="0" w:color="auto"/>
              <w:bottom w:val="single" w:sz="8" w:space="0" w:color="000000"/>
              <w:right w:val="single" w:sz="4" w:space="0" w:color="auto"/>
            </w:tcBorders>
            <w:vAlign w:val="center"/>
            <w:hideMark/>
          </w:tcPr>
          <w:p w14:paraId="32AACC74"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p>
        </w:tc>
        <w:tc>
          <w:tcPr>
            <w:tcW w:w="1242" w:type="pct"/>
            <w:tcBorders>
              <w:top w:val="nil"/>
              <w:left w:val="nil"/>
              <w:bottom w:val="single" w:sz="4" w:space="0" w:color="auto"/>
              <w:right w:val="single" w:sz="4" w:space="0" w:color="auto"/>
            </w:tcBorders>
            <w:shd w:val="clear" w:color="auto" w:fill="auto"/>
            <w:noWrap/>
            <w:vAlign w:val="bottom"/>
            <w:hideMark/>
          </w:tcPr>
          <w:p w14:paraId="5D72477E"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Maio  </w:t>
            </w:r>
          </w:p>
        </w:tc>
        <w:tc>
          <w:tcPr>
            <w:tcW w:w="1181" w:type="pct"/>
            <w:tcBorders>
              <w:top w:val="nil"/>
              <w:left w:val="nil"/>
              <w:bottom w:val="single" w:sz="4" w:space="0" w:color="auto"/>
              <w:right w:val="single" w:sz="4" w:space="0" w:color="auto"/>
            </w:tcBorders>
            <w:shd w:val="clear" w:color="auto" w:fill="auto"/>
            <w:noWrap/>
            <w:vAlign w:val="bottom"/>
            <w:hideMark/>
          </w:tcPr>
          <w:p w14:paraId="042DA650"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1.694 </w:t>
            </w:r>
          </w:p>
        </w:tc>
        <w:tc>
          <w:tcPr>
            <w:tcW w:w="986" w:type="pct"/>
            <w:tcBorders>
              <w:top w:val="nil"/>
              <w:left w:val="nil"/>
              <w:bottom w:val="single" w:sz="4" w:space="0" w:color="auto"/>
              <w:right w:val="single" w:sz="4" w:space="0" w:color="auto"/>
            </w:tcBorders>
            <w:shd w:val="clear" w:color="auto" w:fill="auto"/>
            <w:noWrap/>
            <w:vAlign w:val="bottom"/>
            <w:hideMark/>
          </w:tcPr>
          <w:p w14:paraId="6651F000"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535 </w:t>
            </w:r>
          </w:p>
        </w:tc>
        <w:tc>
          <w:tcPr>
            <w:tcW w:w="1181" w:type="pct"/>
            <w:tcBorders>
              <w:top w:val="nil"/>
              <w:left w:val="nil"/>
              <w:bottom w:val="single" w:sz="4" w:space="0" w:color="auto"/>
              <w:right w:val="single" w:sz="4" w:space="0" w:color="auto"/>
            </w:tcBorders>
            <w:shd w:val="clear" w:color="auto" w:fill="auto"/>
            <w:noWrap/>
            <w:vAlign w:val="bottom"/>
            <w:hideMark/>
          </w:tcPr>
          <w:p w14:paraId="70711EE4"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2.229 </w:t>
            </w:r>
          </w:p>
        </w:tc>
      </w:tr>
      <w:tr w:rsidR="001053EF" w:rsidRPr="001053EF" w14:paraId="7C5A6756" w14:textId="77777777" w:rsidTr="00446A14">
        <w:trPr>
          <w:trHeight w:val="238"/>
        </w:trPr>
        <w:tc>
          <w:tcPr>
            <w:tcW w:w="409" w:type="pct"/>
            <w:vMerge/>
            <w:tcBorders>
              <w:top w:val="nil"/>
              <w:left w:val="single" w:sz="4" w:space="0" w:color="auto"/>
              <w:bottom w:val="single" w:sz="8" w:space="0" w:color="000000"/>
              <w:right w:val="single" w:sz="4" w:space="0" w:color="auto"/>
            </w:tcBorders>
            <w:vAlign w:val="center"/>
            <w:hideMark/>
          </w:tcPr>
          <w:p w14:paraId="288C3D09"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p>
        </w:tc>
        <w:tc>
          <w:tcPr>
            <w:tcW w:w="1242" w:type="pct"/>
            <w:tcBorders>
              <w:top w:val="nil"/>
              <w:left w:val="nil"/>
              <w:bottom w:val="single" w:sz="4" w:space="0" w:color="auto"/>
              <w:right w:val="single" w:sz="4" w:space="0" w:color="auto"/>
            </w:tcBorders>
            <w:shd w:val="clear" w:color="auto" w:fill="auto"/>
            <w:noWrap/>
            <w:vAlign w:val="bottom"/>
            <w:hideMark/>
          </w:tcPr>
          <w:p w14:paraId="270E4DA6"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Junho   </w:t>
            </w:r>
          </w:p>
        </w:tc>
        <w:tc>
          <w:tcPr>
            <w:tcW w:w="1181" w:type="pct"/>
            <w:tcBorders>
              <w:top w:val="nil"/>
              <w:left w:val="nil"/>
              <w:bottom w:val="single" w:sz="4" w:space="0" w:color="auto"/>
              <w:right w:val="single" w:sz="4" w:space="0" w:color="auto"/>
            </w:tcBorders>
            <w:shd w:val="clear" w:color="auto" w:fill="auto"/>
            <w:noWrap/>
            <w:vAlign w:val="bottom"/>
            <w:hideMark/>
          </w:tcPr>
          <w:p w14:paraId="6AC5A8CD"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4.930 </w:t>
            </w:r>
          </w:p>
        </w:tc>
        <w:tc>
          <w:tcPr>
            <w:tcW w:w="986" w:type="pct"/>
            <w:tcBorders>
              <w:top w:val="nil"/>
              <w:left w:val="nil"/>
              <w:bottom w:val="single" w:sz="4" w:space="0" w:color="auto"/>
              <w:right w:val="single" w:sz="4" w:space="0" w:color="auto"/>
            </w:tcBorders>
            <w:shd w:val="clear" w:color="auto" w:fill="auto"/>
            <w:noWrap/>
            <w:vAlign w:val="bottom"/>
            <w:hideMark/>
          </w:tcPr>
          <w:p w14:paraId="3BE9B5F6"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1.537 </w:t>
            </w:r>
          </w:p>
        </w:tc>
        <w:tc>
          <w:tcPr>
            <w:tcW w:w="1181" w:type="pct"/>
            <w:tcBorders>
              <w:top w:val="nil"/>
              <w:left w:val="nil"/>
              <w:bottom w:val="single" w:sz="4" w:space="0" w:color="auto"/>
              <w:right w:val="single" w:sz="4" w:space="0" w:color="auto"/>
            </w:tcBorders>
            <w:shd w:val="clear" w:color="auto" w:fill="auto"/>
            <w:noWrap/>
            <w:vAlign w:val="bottom"/>
            <w:hideMark/>
          </w:tcPr>
          <w:p w14:paraId="0FF67104"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6.467 </w:t>
            </w:r>
          </w:p>
        </w:tc>
      </w:tr>
      <w:tr w:rsidR="001053EF" w:rsidRPr="001053EF" w14:paraId="30834360" w14:textId="77777777" w:rsidTr="00446A14">
        <w:trPr>
          <w:trHeight w:val="238"/>
        </w:trPr>
        <w:tc>
          <w:tcPr>
            <w:tcW w:w="409" w:type="pct"/>
            <w:vMerge/>
            <w:tcBorders>
              <w:top w:val="nil"/>
              <w:left w:val="single" w:sz="4" w:space="0" w:color="auto"/>
              <w:bottom w:val="single" w:sz="8" w:space="0" w:color="000000"/>
              <w:right w:val="single" w:sz="4" w:space="0" w:color="auto"/>
            </w:tcBorders>
            <w:vAlign w:val="center"/>
            <w:hideMark/>
          </w:tcPr>
          <w:p w14:paraId="333B59FC"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p>
        </w:tc>
        <w:tc>
          <w:tcPr>
            <w:tcW w:w="1242" w:type="pct"/>
            <w:tcBorders>
              <w:top w:val="nil"/>
              <w:left w:val="nil"/>
              <w:bottom w:val="single" w:sz="4" w:space="0" w:color="auto"/>
              <w:right w:val="single" w:sz="4" w:space="0" w:color="auto"/>
            </w:tcBorders>
            <w:shd w:val="clear" w:color="auto" w:fill="auto"/>
            <w:noWrap/>
            <w:vAlign w:val="bottom"/>
            <w:hideMark/>
          </w:tcPr>
          <w:p w14:paraId="06F7E940"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Julho  </w:t>
            </w:r>
          </w:p>
        </w:tc>
        <w:tc>
          <w:tcPr>
            <w:tcW w:w="1181" w:type="pct"/>
            <w:tcBorders>
              <w:top w:val="nil"/>
              <w:left w:val="nil"/>
              <w:bottom w:val="single" w:sz="4" w:space="0" w:color="auto"/>
              <w:right w:val="single" w:sz="4" w:space="0" w:color="auto"/>
            </w:tcBorders>
            <w:shd w:val="clear" w:color="auto" w:fill="auto"/>
            <w:noWrap/>
            <w:vAlign w:val="bottom"/>
            <w:hideMark/>
          </w:tcPr>
          <w:p w14:paraId="6FBBE169"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1.757 </w:t>
            </w:r>
          </w:p>
        </w:tc>
        <w:tc>
          <w:tcPr>
            <w:tcW w:w="986" w:type="pct"/>
            <w:tcBorders>
              <w:top w:val="nil"/>
              <w:left w:val="nil"/>
              <w:bottom w:val="single" w:sz="4" w:space="0" w:color="auto"/>
              <w:right w:val="single" w:sz="4" w:space="0" w:color="auto"/>
            </w:tcBorders>
            <w:shd w:val="clear" w:color="auto" w:fill="auto"/>
            <w:noWrap/>
            <w:vAlign w:val="bottom"/>
            <w:hideMark/>
          </w:tcPr>
          <w:p w14:paraId="15C37CF2"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539 </w:t>
            </w:r>
          </w:p>
        </w:tc>
        <w:tc>
          <w:tcPr>
            <w:tcW w:w="1181" w:type="pct"/>
            <w:tcBorders>
              <w:top w:val="nil"/>
              <w:left w:val="nil"/>
              <w:bottom w:val="single" w:sz="4" w:space="0" w:color="auto"/>
              <w:right w:val="single" w:sz="4" w:space="0" w:color="auto"/>
            </w:tcBorders>
            <w:shd w:val="clear" w:color="auto" w:fill="auto"/>
            <w:noWrap/>
            <w:vAlign w:val="bottom"/>
            <w:hideMark/>
          </w:tcPr>
          <w:p w14:paraId="079D16E0"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2.296 </w:t>
            </w:r>
          </w:p>
        </w:tc>
      </w:tr>
      <w:tr w:rsidR="001053EF" w:rsidRPr="001053EF" w14:paraId="4E0F5AA8" w14:textId="77777777" w:rsidTr="00446A14">
        <w:trPr>
          <w:trHeight w:val="238"/>
        </w:trPr>
        <w:tc>
          <w:tcPr>
            <w:tcW w:w="409" w:type="pct"/>
            <w:vMerge/>
            <w:tcBorders>
              <w:top w:val="nil"/>
              <w:left w:val="single" w:sz="4" w:space="0" w:color="auto"/>
              <w:bottom w:val="single" w:sz="8" w:space="0" w:color="000000"/>
              <w:right w:val="single" w:sz="4" w:space="0" w:color="auto"/>
            </w:tcBorders>
            <w:vAlign w:val="center"/>
            <w:hideMark/>
          </w:tcPr>
          <w:p w14:paraId="36BC95F6"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p>
        </w:tc>
        <w:tc>
          <w:tcPr>
            <w:tcW w:w="1242" w:type="pct"/>
            <w:tcBorders>
              <w:top w:val="nil"/>
              <w:left w:val="nil"/>
              <w:bottom w:val="single" w:sz="4" w:space="0" w:color="auto"/>
              <w:right w:val="single" w:sz="4" w:space="0" w:color="auto"/>
            </w:tcBorders>
            <w:shd w:val="clear" w:color="auto" w:fill="auto"/>
            <w:noWrap/>
            <w:vAlign w:val="bottom"/>
            <w:hideMark/>
          </w:tcPr>
          <w:p w14:paraId="7BD1E145"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Agosto  </w:t>
            </w:r>
          </w:p>
        </w:tc>
        <w:tc>
          <w:tcPr>
            <w:tcW w:w="1181" w:type="pct"/>
            <w:tcBorders>
              <w:top w:val="nil"/>
              <w:left w:val="nil"/>
              <w:bottom w:val="single" w:sz="4" w:space="0" w:color="auto"/>
              <w:right w:val="single" w:sz="4" w:space="0" w:color="auto"/>
            </w:tcBorders>
            <w:shd w:val="clear" w:color="auto" w:fill="auto"/>
            <w:noWrap/>
            <w:vAlign w:val="bottom"/>
            <w:hideMark/>
          </w:tcPr>
          <w:p w14:paraId="3DBC0B47"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2.478 </w:t>
            </w:r>
          </w:p>
        </w:tc>
        <w:tc>
          <w:tcPr>
            <w:tcW w:w="986" w:type="pct"/>
            <w:tcBorders>
              <w:top w:val="nil"/>
              <w:left w:val="nil"/>
              <w:bottom w:val="single" w:sz="4" w:space="0" w:color="auto"/>
              <w:right w:val="single" w:sz="4" w:space="0" w:color="auto"/>
            </w:tcBorders>
            <w:shd w:val="clear" w:color="auto" w:fill="auto"/>
            <w:noWrap/>
            <w:vAlign w:val="bottom"/>
            <w:hideMark/>
          </w:tcPr>
          <w:p w14:paraId="72097C54"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754 </w:t>
            </w:r>
          </w:p>
        </w:tc>
        <w:tc>
          <w:tcPr>
            <w:tcW w:w="1181" w:type="pct"/>
            <w:tcBorders>
              <w:top w:val="nil"/>
              <w:left w:val="nil"/>
              <w:bottom w:val="single" w:sz="4" w:space="0" w:color="auto"/>
              <w:right w:val="single" w:sz="4" w:space="0" w:color="auto"/>
            </w:tcBorders>
            <w:shd w:val="clear" w:color="auto" w:fill="auto"/>
            <w:noWrap/>
            <w:vAlign w:val="bottom"/>
            <w:hideMark/>
          </w:tcPr>
          <w:p w14:paraId="70F3A50A"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3.232 </w:t>
            </w:r>
          </w:p>
        </w:tc>
      </w:tr>
      <w:tr w:rsidR="001053EF" w:rsidRPr="001053EF" w14:paraId="76990254" w14:textId="77777777" w:rsidTr="00446A14">
        <w:trPr>
          <w:trHeight w:val="238"/>
        </w:trPr>
        <w:tc>
          <w:tcPr>
            <w:tcW w:w="409" w:type="pct"/>
            <w:vMerge/>
            <w:tcBorders>
              <w:top w:val="nil"/>
              <w:left w:val="single" w:sz="4" w:space="0" w:color="auto"/>
              <w:bottom w:val="single" w:sz="8" w:space="0" w:color="000000"/>
              <w:right w:val="single" w:sz="4" w:space="0" w:color="auto"/>
            </w:tcBorders>
            <w:vAlign w:val="center"/>
            <w:hideMark/>
          </w:tcPr>
          <w:p w14:paraId="3E15B9C5"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p>
        </w:tc>
        <w:tc>
          <w:tcPr>
            <w:tcW w:w="1242" w:type="pct"/>
            <w:tcBorders>
              <w:top w:val="nil"/>
              <w:left w:val="nil"/>
              <w:bottom w:val="single" w:sz="4" w:space="0" w:color="auto"/>
              <w:right w:val="single" w:sz="4" w:space="0" w:color="auto"/>
            </w:tcBorders>
            <w:shd w:val="clear" w:color="auto" w:fill="auto"/>
            <w:noWrap/>
            <w:vAlign w:val="bottom"/>
            <w:hideMark/>
          </w:tcPr>
          <w:p w14:paraId="62849321"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Setembro  </w:t>
            </w:r>
          </w:p>
        </w:tc>
        <w:tc>
          <w:tcPr>
            <w:tcW w:w="1181" w:type="pct"/>
            <w:tcBorders>
              <w:top w:val="nil"/>
              <w:left w:val="nil"/>
              <w:bottom w:val="single" w:sz="4" w:space="0" w:color="auto"/>
              <w:right w:val="single" w:sz="4" w:space="0" w:color="auto"/>
            </w:tcBorders>
            <w:shd w:val="clear" w:color="auto" w:fill="auto"/>
            <w:noWrap/>
            <w:vAlign w:val="bottom"/>
            <w:hideMark/>
          </w:tcPr>
          <w:p w14:paraId="130D4DA8"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1.558 </w:t>
            </w:r>
          </w:p>
        </w:tc>
        <w:tc>
          <w:tcPr>
            <w:tcW w:w="986" w:type="pct"/>
            <w:tcBorders>
              <w:top w:val="nil"/>
              <w:left w:val="nil"/>
              <w:bottom w:val="single" w:sz="4" w:space="0" w:color="auto"/>
              <w:right w:val="single" w:sz="4" w:space="0" w:color="auto"/>
            </w:tcBorders>
            <w:shd w:val="clear" w:color="auto" w:fill="auto"/>
            <w:noWrap/>
            <w:vAlign w:val="bottom"/>
            <w:hideMark/>
          </w:tcPr>
          <w:p w14:paraId="0068D265"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464 </w:t>
            </w:r>
          </w:p>
        </w:tc>
        <w:tc>
          <w:tcPr>
            <w:tcW w:w="1181" w:type="pct"/>
            <w:tcBorders>
              <w:top w:val="nil"/>
              <w:left w:val="nil"/>
              <w:bottom w:val="single" w:sz="4" w:space="0" w:color="auto"/>
              <w:right w:val="single" w:sz="4" w:space="0" w:color="auto"/>
            </w:tcBorders>
            <w:shd w:val="clear" w:color="auto" w:fill="auto"/>
            <w:noWrap/>
            <w:vAlign w:val="bottom"/>
            <w:hideMark/>
          </w:tcPr>
          <w:p w14:paraId="505C0E2F"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2.022 </w:t>
            </w:r>
          </w:p>
        </w:tc>
      </w:tr>
      <w:tr w:rsidR="001053EF" w:rsidRPr="001053EF" w14:paraId="4C8FDDAA" w14:textId="77777777" w:rsidTr="00446A14">
        <w:trPr>
          <w:trHeight w:val="238"/>
        </w:trPr>
        <w:tc>
          <w:tcPr>
            <w:tcW w:w="409" w:type="pct"/>
            <w:vMerge/>
            <w:tcBorders>
              <w:top w:val="nil"/>
              <w:left w:val="single" w:sz="4" w:space="0" w:color="auto"/>
              <w:bottom w:val="single" w:sz="8" w:space="0" w:color="000000"/>
              <w:right w:val="single" w:sz="4" w:space="0" w:color="auto"/>
            </w:tcBorders>
            <w:vAlign w:val="center"/>
            <w:hideMark/>
          </w:tcPr>
          <w:p w14:paraId="66FB5643"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p>
        </w:tc>
        <w:tc>
          <w:tcPr>
            <w:tcW w:w="1242" w:type="pct"/>
            <w:tcBorders>
              <w:top w:val="nil"/>
              <w:left w:val="nil"/>
              <w:bottom w:val="single" w:sz="4" w:space="0" w:color="auto"/>
              <w:right w:val="single" w:sz="4" w:space="0" w:color="auto"/>
            </w:tcBorders>
            <w:shd w:val="clear" w:color="auto" w:fill="auto"/>
            <w:noWrap/>
            <w:vAlign w:val="bottom"/>
            <w:hideMark/>
          </w:tcPr>
          <w:p w14:paraId="53292B05"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Outubro  </w:t>
            </w:r>
          </w:p>
        </w:tc>
        <w:tc>
          <w:tcPr>
            <w:tcW w:w="1181" w:type="pct"/>
            <w:tcBorders>
              <w:top w:val="nil"/>
              <w:left w:val="nil"/>
              <w:bottom w:val="single" w:sz="4" w:space="0" w:color="auto"/>
              <w:right w:val="single" w:sz="4" w:space="0" w:color="auto"/>
            </w:tcBorders>
            <w:shd w:val="clear" w:color="auto" w:fill="auto"/>
            <w:noWrap/>
            <w:vAlign w:val="bottom"/>
            <w:hideMark/>
          </w:tcPr>
          <w:p w14:paraId="6D64411F"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1.537 </w:t>
            </w:r>
          </w:p>
        </w:tc>
        <w:tc>
          <w:tcPr>
            <w:tcW w:w="986" w:type="pct"/>
            <w:tcBorders>
              <w:top w:val="nil"/>
              <w:left w:val="nil"/>
              <w:bottom w:val="single" w:sz="4" w:space="0" w:color="auto"/>
              <w:right w:val="single" w:sz="4" w:space="0" w:color="auto"/>
            </w:tcBorders>
            <w:shd w:val="clear" w:color="auto" w:fill="auto"/>
            <w:noWrap/>
            <w:vAlign w:val="bottom"/>
            <w:hideMark/>
          </w:tcPr>
          <w:p w14:paraId="3A232817"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449 </w:t>
            </w:r>
          </w:p>
        </w:tc>
        <w:tc>
          <w:tcPr>
            <w:tcW w:w="1181" w:type="pct"/>
            <w:tcBorders>
              <w:top w:val="nil"/>
              <w:left w:val="nil"/>
              <w:bottom w:val="single" w:sz="4" w:space="0" w:color="auto"/>
              <w:right w:val="single" w:sz="4" w:space="0" w:color="auto"/>
            </w:tcBorders>
            <w:shd w:val="clear" w:color="auto" w:fill="auto"/>
            <w:noWrap/>
            <w:vAlign w:val="bottom"/>
            <w:hideMark/>
          </w:tcPr>
          <w:p w14:paraId="71C5CE7F"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1.986 </w:t>
            </w:r>
          </w:p>
        </w:tc>
      </w:tr>
      <w:tr w:rsidR="001053EF" w:rsidRPr="001053EF" w14:paraId="1ECB333E" w14:textId="77777777" w:rsidTr="00446A14">
        <w:trPr>
          <w:trHeight w:val="238"/>
        </w:trPr>
        <w:tc>
          <w:tcPr>
            <w:tcW w:w="409" w:type="pct"/>
            <w:vMerge/>
            <w:tcBorders>
              <w:top w:val="nil"/>
              <w:left w:val="single" w:sz="4" w:space="0" w:color="auto"/>
              <w:bottom w:val="single" w:sz="8" w:space="0" w:color="000000"/>
              <w:right w:val="single" w:sz="4" w:space="0" w:color="auto"/>
            </w:tcBorders>
            <w:vAlign w:val="center"/>
            <w:hideMark/>
          </w:tcPr>
          <w:p w14:paraId="4637A297"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p>
        </w:tc>
        <w:tc>
          <w:tcPr>
            <w:tcW w:w="1242" w:type="pct"/>
            <w:tcBorders>
              <w:top w:val="nil"/>
              <w:left w:val="nil"/>
              <w:bottom w:val="single" w:sz="4" w:space="0" w:color="auto"/>
              <w:right w:val="single" w:sz="4" w:space="0" w:color="auto"/>
            </w:tcBorders>
            <w:shd w:val="clear" w:color="auto" w:fill="auto"/>
            <w:noWrap/>
            <w:vAlign w:val="bottom"/>
            <w:hideMark/>
          </w:tcPr>
          <w:p w14:paraId="5F6560E8"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Novembro  </w:t>
            </w:r>
          </w:p>
        </w:tc>
        <w:tc>
          <w:tcPr>
            <w:tcW w:w="1181" w:type="pct"/>
            <w:tcBorders>
              <w:top w:val="nil"/>
              <w:left w:val="nil"/>
              <w:bottom w:val="single" w:sz="4" w:space="0" w:color="auto"/>
              <w:right w:val="single" w:sz="4" w:space="0" w:color="auto"/>
            </w:tcBorders>
            <w:shd w:val="clear" w:color="auto" w:fill="auto"/>
            <w:noWrap/>
            <w:vAlign w:val="bottom"/>
            <w:hideMark/>
          </w:tcPr>
          <w:p w14:paraId="4F438D41"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1.293 </w:t>
            </w:r>
          </w:p>
        </w:tc>
        <w:tc>
          <w:tcPr>
            <w:tcW w:w="986" w:type="pct"/>
            <w:tcBorders>
              <w:top w:val="nil"/>
              <w:left w:val="nil"/>
              <w:bottom w:val="single" w:sz="4" w:space="0" w:color="auto"/>
              <w:right w:val="single" w:sz="4" w:space="0" w:color="auto"/>
            </w:tcBorders>
            <w:shd w:val="clear" w:color="auto" w:fill="auto"/>
            <w:noWrap/>
            <w:vAlign w:val="bottom"/>
            <w:hideMark/>
          </w:tcPr>
          <w:p w14:paraId="6D8EE2CF"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369 </w:t>
            </w:r>
          </w:p>
        </w:tc>
        <w:tc>
          <w:tcPr>
            <w:tcW w:w="1181" w:type="pct"/>
            <w:tcBorders>
              <w:top w:val="nil"/>
              <w:left w:val="nil"/>
              <w:bottom w:val="single" w:sz="4" w:space="0" w:color="auto"/>
              <w:right w:val="single" w:sz="4" w:space="0" w:color="auto"/>
            </w:tcBorders>
            <w:shd w:val="clear" w:color="auto" w:fill="auto"/>
            <w:noWrap/>
            <w:vAlign w:val="bottom"/>
            <w:hideMark/>
          </w:tcPr>
          <w:p w14:paraId="1DA00421"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1.662 </w:t>
            </w:r>
          </w:p>
        </w:tc>
      </w:tr>
      <w:tr w:rsidR="001053EF" w:rsidRPr="001053EF" w14:paraId="16A12419" w14:textId="77777777" w:rsidTr="00446A14">
        <w:trPr>
          <w:trHeight w:val="238"/>
        </w:trPr>
        <w:tc>
          <w:tcPr>
            <w:tcW w:w="409" w:type="pct"/>
            <w:vMerge/>
            <w:tcBorders>
              <w:top w:val="nil"/>
              <w:left w:val="single" w:sz="4" w:space="0" w:color="auto"/>
              <w:bottom w:val="single" w:sz="8" w:space="0" w:color="000000"/>
              <w:right w:val="single" w:sz="4" w:space="0" w:color="auto"/>
            </w:tcBorders>
            <w:vAlign w:val="center"/>
            <w:hideMark/>
          </w:tcPr>
          <w:p w14:paraId="74798F69"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p>
        </w:tc>
        <w:tc>
          <w:tcPr>
            <w:tcW w:w="1242" w:type="pct"/>
            <w:tcBorders>
              <w:top w:val="nil"/>
              <w:left w:val="nil"/>
              <w:bottom w:val="single" w:sz="8" w:space="0" w:color="auto"/>
              <w:right w:val="single" w:sz="4" w:space="0" w:color="auto"/>
            </w:tcBorders>
            <w:shd w:val="clear" w:color="auto" w:fill="auto"/>
            <w:noWrap/>
            <w:vAlign w:val="bottom"/>
            <w:hideMark/>
          </w:tcPr>
          <w:p w14:paraId="767FB0B1"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Dezembro  </w:t>
            </w:r>
          </w:p>
        </w:tc>
        <w:tc>
          <w:tcPr>
            <w:tcW w:w="1181" w:type="pct"/>
            <w:tcBorders>
              <w:top w:val="nil"/>
              <w:left w:val="nil"/>
              <w:bottom w:val="single" w:sz="8" w:space="0" w:color="auto"/>
              <w:right w:val="single" w:sz="4" w:space="0" w:color="auto"/>
            </w:tcBorders>
            <w:shd w:val="clear" w:color="auto" w:fill="auto"/>
            <w:noWrap/>
            <w:vAlign w:val="bottom"/>
            <w:hideMark/>
          </w:tcPr>
          <w:p w14:paraId="1BAA78C1"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4.615 </w:t>
            </w:r>
          </w:p>
        </w:tc>
        <w:tc>
          <w:tcPr>
            <w:tcW w:w="986" w:type="pct"/>
            <w:tcBorders>
              <w:top w:val="nil"/>
              <w:left w:val="nil"/>
              <w:bottom w:val="single" w:sz="8" w:space="0" w:color="auto"/>
              <w:right w:val="single" w:sz="4" w:space="0" w:color="auto"/>
            </w:tcBorders>
            <w:shd w:val="clear" w:color="auto" w:fill="auto"/>
            <w:noWrap/>
            <w:vAlign w:val="bottom"/>
            <w:hideMark/>
          </w:tcPr>
          <w:p w14:paraId="75E740BA"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1.260 </w:t>
            </w:r>
          </w:p>
        </w:tc>
        <w:tc>
          <w:tcPr>
            <w:tcW w:w="1181" w:type="pct"/>
            <w:tcBorders>
              <w:top w:val="nil"/>
              <w:left w:val="nil"/>
              <w:bottom w:val="single" w:sz="8" w:space="0" w:color="auto"/>
              <w:right w:val="single" w:sz="4" w:space="0" w:color="auto"/>
            </w:tcBorders>
            <w:shd w:val="clear" w:color="auto" w:fill="auto"/>
            <w:noWrap/>
            <w:vAlign w:val="bottom"/>
            <w:hideMark/>
          </w:tcPr>
          <w:p w14:paraId="43AB1DC0"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5.875 </w:t>
            </w:r>
          </w:p>
        </w:tc>
      </w:tr>
      <w:tr w:rsidR="001053EF" w:rsidRPr="001053EF" w14:paraId="64238598" w14:textId="77777777" w:rsidTr="00446A14">
        <w:trPr>
          <w:trHeight w:val="238"/>
        </w:trPr>
        <w:tc>
          <w:tcPr>
            <w:tcW w:w="409"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3EF2824A" w14:textId="77777777" w:rsidR="001053EF" w:rsidRPr="001053EF" w:rsidRDefault="001053EF" w:rsidP="001053EF">
            <w:pPr>
              <w:spacing w:after="0" w:line="240" w:lineRule="auto"/>
              <w:jc w:val="center"/>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2022</w:t>
            </w:r>
          </w:p>
        </w:tc>
        <w:tc>
          <w:tcPr>
            <w:tcW w:w="1242" w:type="pct"/>
            <w:tcBorders>
              <w:top w:val="nil"/>
              <w:left w:val="nil"/>
              <w:bottom w:val="single" w:sz="4" w:space="0" w:color="auto"/>
              <w:right w:val="single" w:sz="4" w:space="0" w:color="auto"/>
            </w:tcBorders>
            <w:shd w:val="clear" w:color="auto" w:fill="auto"/>
            <w:noWrap/>
            <w:vAlign w:val="bottom"/>
            <w:hideMark/>
          </w:tcPr>
          <w:p w14:paraId="787D14FD"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Janeiro  </w:t>
            </w:r>
          </w:p>
        </w:tc>
        <w:tc>
          <w:tcPr>
            <w:tcW w:w="1181" w:type="pct"/>
            <w:tcBorders>
              <w:top w:val="nil"/>
              <w:left w:val="nil"/>
              <w:bottom w:val="single" w:sz="4" w:space="0" w:color="auto"/>
              <w:right w:val="single" w:sz="4" w:space="0" w:color="auto"/>
            </w:tcBorders>
            <w:shd w:val="clear" w:color="auto" w:fill="auto"/>
            <w:noWrap/>
            <w:vAlign w:val="bottom"/>
            <w:hideMark/>
          </w:tcPr>
          <w:p w14:paraId="719B3261"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1.403 </w:t>
            </w:r>
          </w:p>
        </w:tc>
        <w:tc>
          <w:tcPr>
            <w:tcW w:w="986" w:type="pct"/>
            <w:tcBorders>
              <w:top w:val="nil"/>
              <w:left w:val="nil"/>
              <w:bottom w:val="single" w:sz="4" w:space="0" w:color="auto"/>
              <w:right w:val="single" w:sz="4" w:space="0" w:color="auto"/>
            </w:tcBorders>
            <w:shd w:val="clear" w:color="auto" w:fill="auto"/>
            <w:noWrap/>
            <w:vAlign w:val="bottom"/>
            <w:hideMark/>
          </w:tcPr>
          <w:p w14:paraId="69E8B8D5"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372 </w:t>
            </w:r>
          </w:p>
        </w:tc>
        <w:tc>
          <w:tcPr>
            <w:tcW w:w="1181" w:type="pct"/>
            <w:tcBorders>
              <w:top w:val="nil"/>
              <w:left w:val="nil"/>
              <w:bottom w:val="single" w:sz="4" w:space="0" w:color="auto"/>
              <w:right w:val="single" w:sz="4" w:space="0" w:color="auto"/>
            </w:tcBorders>
            <w:shd w:val="clear" w:color="auto" w:fill="auto"/>
            <w:noWrap/>
            <w:vAlign w:val="bottom"/>
            <w:hideMark/>
          </w:tcPr>
          <w:p w14:paraId="2007BE7D"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1.775 </w:t>
            </w:r>
          </w:p>
        </w:tc>
      </w:tr>
      <w:tr w:rsidR="001053EF" w:rsidRPr="001053EF" w14:paraId="174444DC" w14:textId="77777777" w:rsidTr="00446A14">
        <w:trPr>
          <w:trHeight w:val="238"/>
        </w:trPr>
        <w:tc>
          <w:tcPr>
            <w:tcW w:w="409" w:type="pct"/>
            <w:vMerge/>
            <w:tcBorders>
              <w:top w:val="nil"/>
              <w:left w:val="single" w:sz="4" w:space="0" w:color="auto"/>
              <w:bottom w:val="single" w:sz="8" w:space="0" w:color="000000"/>
              <w:right w:val="single" w:sz="4" w:space="0" w:color="auto"/>
            </w:tcBorders>
            <w:vAlign w:val="center"/>
            <w:hideMark/>
          </w:tcPr>
          <w:p w14:paraId="41C8FD4C"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p>
        </w:tc>
        <w:tc>
          <w:tcPr>
            <w:tcW w:w="1242" w:type="pct"/>
            <w:tcBorders>
              <w:top w:val="nil"/>
              <w:left w:val="nil"/>
              <w:bottom w:val="single" w:sz="4" w:space="0" w:color="auto"/>
              <w:right w:val="single" w:sz="4" w:space="0" w:color="auto"/>
            </w:tcBorders>
            <w:shd w:val="clear" w:color="auto" w:fill="auto"/>
            <w:noWrap/>
            <w:vAlign w:val="bottom"/>
            <w:hideMark/>
          </w:tcPr>
          <w:p w14:paraId="56AA27B9"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Fevereiro  </w:t>
            </w:r>
          </w:p>
        </w:tc>
        <w:tc>
          <w:tcPr>
            <w:tcW w:w="1181" w:type="pct"/>
            <w:tcBorders>
              <w:top w:val="nil"/>
              <w:left w:val="nil"/>
              <w:bottom w:val="single" w:sz="4" w:space="0" w:color="auto"/>
              <w:right w:val="single" w:sz="4" w:space="0" w:color="auto"/>
            </w:tcBorders>
            <w:shd w:val="clear" w:color="auto" w:fill="auto"/>
            <w:noWrap/>
            <w:vAlign w:val="bottom"/>
            <w:hideMark/>
          </w:tcPr>
          <w:p w14:paraId="58C2B940"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452 </w:t>
            </w:r>
          </w:p>
        </w:tc>
        <w:tc>
          <w:tcPr>
            <w:tcW w:w="986" w:type="pct"/>
            <w:tcBorders>
              <w:top w:val="nil"/>
              <w:left w:val="nil"/>
              <w:bottom w:val="single" w:sz="4" w:space="0" w:color="auto"/>
              <w:right w:val="single" w:sz="4" w:space="0" w:color="auto"/>
            </w:tcBorders>
            <w:shd w:val="clear" w:color="auto" w:fill="auto"/>
            <w:noWrap/>
            <w:vAlign w:val="bottom"/>
            <w:hideMark/>
          </w:tcPr>
          <w:p w14:paraId="4149AC4F"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117 </w:t>
            </w:r>
          </w:p>
        </w:tc>
        <w:tc>
          <w:tcPr>
            <w:tcW w:w="1181" w:type="pct"/>
            <w:tcBorders>
              <w:top w:val="nil"/>
              <w:left w:val="nil"/>
              <w:bottom w:val="single" w:sz="4" w:space="0" w:color="auto"/>
              <w:right w:val="single" w:sz="4" w:space="0" w:color="auto"/>
            </w:tcBorders>
            <w:shd w:val="clear" w:color="auto" w:fill="auto"/>
            <w:noWrap/>
            <w:vAlign w:val="bottom"/>
            <w:hideMark/>
          </w:tcPr>
          <w:p w14:paraId="4264274B"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569 </w:t>
            </w:r>
          </w:p>
        </w:tc>
      </w:tr>
      <w:tr w:rsidR="001053EF" w:rsidRPr="001053EF" w14:paraId="0E9D221D" w14:textId="77777777" w:rsidTr="00446A14">
        <w:trPr>
          <w:trHeight w:val="238"/>
        </w:trPr>
        <w:tc>
          <w:tcPr>
            <w:tcW w:w="409" w:type="pct"/>
            <w:vMerge/>
            <w:tcBorders>
              <w:top w:val="nil"/>
              <w:left w:val="single" w:sz="4" w:space="0" w:color="auto"/>
              <w:bottom w:val="single" w:sz="8" w:space="0" w:color="000000"/>
              <w:right w:val="single" w:sz="4" w:space="0" w:color="auto"/>
            </w:tcBorders>
            <w:vAlign w:val="center"/>
            <w:hideMark/>
          </w:tcPr>
          <w:p w14:paraId="311272E1"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p>
        </w:tc>
        <w:tc>
          <w:tcPr>
            <w:tcW w:w="1242" w:type="pct"/>
            <w:tcBorders>
              <w:top w:val="nil"/>
              <w:left w:val="nil"/>
              <w:bottom w:val="single" w:sz="4" w:space="0" w:color="auto"/>
              <w:right w:val="single" w:sz="4" w:space="0" w:color="auto"/>
            </w:tcBorders>
            <w:shd w:val="clear" w:color="auto" w:fill="auto"/>
            <w:noWrap/>
            <w:vAlign w:val="bottom"/>
            <w:hideMark/>
          </w:tcPr>
          <w:p w14:paraId="2BCDFC1A"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Março  </w:t>
            </w:r>
          </w:p>
        </w:tc>
        <w:tc>
          <w:tcPr>
            <w:tcW w:w="1181" w:type="pct"/>
            <w:tcBorders>
              <w:top w:val="nil"/>
              <w:left w:val="nil"/>
              <w:bottom w:val="single" w:sz="4" w:space="0" w:color="auto"/>
              <w:right w:val="single" w:sz="4" w:space="0" w:color="auto"/>
            </w:tcBorders>
            <w:shd w:val="clear" w:color="auto" w:fill="auto"/>
            <w:noWrap/>
            <w:vAlign w:val="bottom"/>
            <w:hideMark/>
          </w:tcPr>
          <w:p w14:paraId="184D4D89"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1.496 </w:t>
            </w:r>
          </w:p>
        </w:tc>
        <w:tc>
          <w:tcPr>
            <w:tcW w:w="986" w:type="pct"/>
            <w:tcBorders>
              <w:top w:val="nil"/>
              <w:left w:val="nil"/>
              <w:bottom w:val="single" w:sz="4" w:space="0" w:color="auto"/>
              <w:right w:val="single" w:sz="4" w:space="0" w:color="auto"/>
            </w:tcBorders>
            <w:shd w:val="clear" w:color="auto" w:fill="auto"/>
            <w:noWrap/>
            <w:vAlign w:val="bottom"/>
            <w:hideMark/>
          </w:tcPr>
          <w:p w14:paraId="68A43D4F"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372 </w:t>
            </w:r>
          </w:p>
        </w:tc>
        <w:tc>
          <w:tcPr>
            <w:tcW w:w="1181" w:type="pct"/>
            <w:tcBorders>
              <w:top w:val="nil"/>
              <w:left w:val="nil"/>
              <w:bottom w:val="single" w:sz="4" w:space="0" w:color="auto"/>
              <w:right w:val="single" w:sz="4" w:space="0" w:color="auto"/>
            </w:tcBorders>
            <w:shd w:val="clear" w:color="auto" w:fill="auto"/>
            <w:noWrap/>
            <w:vAlign w:val="bottom"/>
            <w:hideMark/>
          </w:tcPr>
          <w:p w14:paraId="7FD0F6E8"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1.868 </w:t>
            </w:r>
          </w:p>
        </w:tc>
      </w:tr>
      <w:tr w:rsidR="001053EF" w:rsidRPr="001053EF" w14:paraId="2900EB66" w14:textId="77777777" w:rsidTr="00446A14">
        <w:trPr>
          <w:trHeight w:val="238"/>
        </w:trPr>
        <w:tc>
          <w:tcPr>
            <w:tcW w:w="409" w:type="pct"/>
            <w:vMerge/>
            <w:tcBorders>
              <w:top w:val="nil"/>
              <w:left w:val="single" w:sz="4" w:space="0" w:color="auto"/>
              <w:bottom w:val="single" w:sz="8" w:space="0" w:color="000000"/>
              <w:right w:val="single" w:sz="4" w:space="0" w:color="auto"/>
            </w:tcBorders>
            <w:vAlign w:val="center"/>
            <w:hideMark/>
          </w:tcPr>
          <w:p w14:paraId="3D326184"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p>
        </w:tc>
        <w:tc>
          <w:tcPr>
            <w:tcW w:w="1242" w:type="pct"/>
            <w:tcBorders>
              <w:top w:val="nil"/>
              <w:left w:val="nil"/>
              <w:bottom w:val="single" w:sz="4" w:space="0" w:color="auto"/>
              <w:right w:val="single" w:sz="4" w:space="0" w:color="auto"/>
            </w:tcBorders>
            <w:shd w:val="clear" w:color="auto" w:fill="auto"/>
            <w:noWrap/>
            <w:vAlign w:val="bottom"/>
            <w:hideMark/>
          </w:tcPr>
          <w:p w14:paraId="50D3DA85"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Abril  </w:t>
            </w:r>
          </w:p>
        </w:tc>
        <w:tc>
          <w:tcPr>
            <w:tcW w:w="1181" w:type="pct"/>
            <w:tcBorders>
              <w:top w:val="nil"/>
              <w:left w:val="nil"/>
              <w:bottom w:val="single" w:sz="4" w:space="0" w:color="auto"/>
              <w:right w:val="single" w:sz="4" w:space="0" w:color="auto"/>
            </w:tcBorders>
            <w:shd w:val="clear" w:color="auto" w:fill="auto"/>
            <w:noWrap/>
            <w:vAlign w:val="bottom"/>
            <w:hideMark/>
          </w:tcPr>
          <w:p w14:paraId="6A730ACA"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1.253 </w:t>
            </w:r>
          </w:p>
        </w:tc>
        <w:tc>
          <w:tcPr>
            <w:tcW w:w="986" w:type="pct"/>
            <w:tcBorders>
              <w:top w:val="nil"/>
              <w:left w:val="nil"/>
              <w:bottom w:val="single" w:sz="4" w:space="0" w:color="auto"/>
              <w:right w:val="single" w:sz="4" w:space="0" w:color="auto"/>
            </w:tcBorders>
            <w:shd w:val="clear" w:color="auto" w:fill="auto"/>
            <w:noWrap/>
            <w:vAlign w:val="bottom"/>
            <w:hideMark/>
          </w:tcPr>
          <w:p w14:paraId="5A71C57E"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294 </w:t>
            </w:r>
          </w:p>
        </w:tc>
        <w:tc>
          <w:tcPr>
            <w:tcW w:w="1181" w:type="pct"/>
            <w:tcBorders>
              <w:top w:val="nil"/>
              <w:left w:val="nil"/>
              <w:bottom w:val="single" w:sz="4" w:space="0" w:color="auto"/>
              <w:right w:val="single" w:sz="4" w:space="0" w:color="auto"/>
            </w:tcBorders>
            <w:shd w:val="clear" w:color="auto" w:fill="auto"/>
            <w:noWrap/>
            <w:vAlign w:val="bottom"/>
            <w:hideMark/>
          </w:tcPr>
          <w:p w14:paraId="59B25202"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1.547 </w:t>
            </w:r>
          </w:p>
        </w:tc>
      </w:tr>
      <w:tr w:rsidR="001053EF" w:rsidRPr="001053EF" w14:paraId="4B1D8BBF" w14:textId="77777777" w:rsidTr="00446A14">
        <w:trPr>
          <w:trHeight w:val="238"/>
        </w:trPr>
        <w:tc>
          <w:tcPr>
            <w:tcW w:w="409" w:type="pct"/>
            <w:vMerge/>
            <w:tcBorders>
              <w:top w:val="nil"/>
              <w:left w:val="single" w:sz="4" w:space="0" w:color="auto"/>
              <w:bottom w:val="single" w:sz="8" w:space="0" w:color="000000"/>
              <w:right w:val="single" w:sz="4" w:space="0" w:color="auto"/>
            </w:tcBorders>
            <w:vAlign w:val="center"/>
            <w:hideMark/>
          </w:tcPr>
          <w:p w14:paraId="23536546"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p>
        </w:tc>
        <w:tc>
          <w:tcPr>
            <w:tcW w:w="1242" w:type="pct"/>
            <w:tcBorders>
              <w:top w:val="nil"/>
              <w:left w:val="nil"/>
              <w:bottom w:val="single" w:sz="4" w:space="0" w:color="auto"/>
              <w:right w:val="single" w:sz="4" w:space="0" w:color="auto"/>
            </w:tcBorders>
            <w:shd w:val="clear" w:color="auto" w:fill="auto"/>
            <w:noWrap/>
            <w:vAlign w:val="bottom"/>
            <w:hideMark/>
          </w:tcPr>
          <w:p w14:paraId="5160F144"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Maio  </w:t>
            </w:r>
          </w:p>
        </w:tc>
        <w:tc>
          <w:tcPr>
            <w:tcW w:w="1181" w:type="pct"/>
            <w:tcBorders>
              <w:top w:val="nil"/>
              <w:left w:val="nil"/>
              <w:bottom w:val="single" w:sz="4" w:space="0" w:color="auto"/>
              <w:right w:val="single" w:sz="4" w:space="0" w:color="auto"/>
            </w:tcBorders>
            <w:shd w:val="clear" w:color="auto" w:fill="auto"/>
            <w:noWrap/>
            <w:vAlign w:val="bottom"/>
            <w:hideMark/>
          </w:tcPr>
          <w:p w14:paraId="0F149872"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3.276 </w:t>
            </w:r>
          </w:p>
        </w:tc>
        <w:tc>
          <w:tcPr>
            <w:tcW w:w="986" w:type="pct"/>
            <w:tcBorders>
              <w:top w:val="nil"/>
              <w:left w:val="nil"/>
              <w:bottom w:val="single" w:sz="4" w:space="0" w:color="auto"/>
              <w:right w:val="single" w:sz="4" w:space="0" w:color="auto"/>
            </w:tcBorders>
            <w:shd w:val="clear" w:color="auto" w:fill="auto"/>
            <w:noWrap/>
            <w:vAlign w:val="bottom"/>
            <w:hideMark/>
          </w:tcPr>
          <w:p w14:paraId="2428FF9E"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736 </w:t>
            </w:r>
          </w:p>
        </w:tc>
        <w:tc>
          <w:tcPr>
            <w:tcW w:w="1181" w:type="pct"/>
            <w:tcBorders>
              <w:top w:val="nil"/>
              <w:left w:val="nil"/>
              <w:bottom w:val="single" w:sz="4" w:space="0" w:color="auto"/>
              <w:right w:val="single" w:sz="4" w:space="0" w:color="auto"/>
            </w:tcBorders>
            <w:shd w:val="clear" w:color="auto" w:fill="auto"/>
            <w:noWrap/>
            <w:vAlign w:val="bottom"/>
            <w:hideMark/>
          </w:tcPr>
          <w:p w14:paraId="53E31EB3"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4.012 </w:t>
            </w:r>
          </w:p>
        </w:tc>
      </w:tr>
      <w:tr w:rsidR="001053EF" w:rsidRPr="001053EF" w14:paraId="11AD7154" w14:textId="77777777" w:rsidTr="00446A14">
        <w:trPr>
          <w:trHeight w:val="238"/>
        </w:trPr>
        <w:tc>
          <w:tcPr>
            <w:tcW w:w="409" w:type="pct"/>
            <w:vMerge/>
            <w:tcBorders>
              <w:top w:val="nil"/>
              <w:left w:val="single" w:sz="4" w:space="0" w:color="auto"/>
              <w:bottom w:val="single" w:sz="8" w:space="0" w:color="000000"/>
              <w:right w:val="single" w:sz="4" w:space="0" w:color="auto"/>
            </w:tcBorders>
            <w:vAlign w:val="center"/>
            <w:hideMark/>
          </w:tcPr>
          <w:p w14:paraId="47870C9B"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p>
        </w:tc>
        <w:tc>
          <w:tcPr>
            <w:tcW w:w="1242" w:type="pct"/>
            <w:tcBorders>
              <w:top w:val="nil"/>
              <w:left w:val="nil"/>
              <w:bottom w:val="single" w:sz="4" w:space="0" w:color="auto"/>
              <w:right w:val="single" w:sz="4" w:space="0" w:color="auto"/>
            </w:tcBorders>
            <w:shd w:val="clear" w:color="auto" w:fill="auto"/>
            <w:noWrap/>
            <w:vAlign w:val="bottom"/>
            <w:hideMark/>
          </w:tcPr>
          <w:p w14:paraId="22FB7791"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Junho   </w:t>
            </w:r>
          </w:p>
        </w:tc>
        <w:tc>
          <w:tcPr>
            <w:tcW w:w="1181" w:type="pct"/>
            <w:tcBorders>
              <w:top w:val="nil"/>
              <w:left w:val="nil"/>
              <w:bottom w:val="single" w:sz="4" w:space="0" w:color="auto"/>
              <w:right w:val="single" w:sz="4" w:space="0" w:color="auto"/>
            </w:tcBorders>
            <w:shd w:val="clear" w:color="auto" w:fill="auto"/>
            <w:noWrap/>
            <w:vAlign w:val="bottom"/>
            <w:hideMark/>
          </w:tcPr>
          <w:p w14:paraId="2426C6AD"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3.288 </w:t>
            </w:r>
          </w:p>
        </w:tc>
        <w:tc>
          <w:tcPr>
            <w:tcW w:w="986" w:type="pct"/>
            <w:tcBorders>
              <w:top w:val="nil"/>
              <w:left w:val="nil"/>
              <w:bottom w:val="single" w:sz="4" w:space="0" w:color="auto"/>
              <w:right w:val="single" w:sz="4" w:space="0" w:color="auto"/>
            </w:tcBorders>
            <w:shd w:val="clear" w:color="auto" w:fill="auto"/>
            <w:noWrap/>
            <w:vAlign w:val="bottom"/>
            <w:hideMark/>
          </w:tcPr>
          <w:p w14:paraId="7EA09BE2"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704 </w:t>
            </w:r>
          </w:p>
        </w:tc>
        <w:tc>
          <w:tcPr>
            <w:tcW w:w="1181" w:type="pct"/>
            <w:tcBorders>
              <w:top w:val="nil"/>
              <w:left w:val="nil"/>
              <w:bottom w:val="single" w:sz="4" w:space="0" w:color="auto"/>
              <w:right w:val="single" w:sz="4" w:space="0" w:color="auto"/>
            </w:tcBorders>
            <w:shd w:val="clear" w:color="auto" w:fill="auto"/>
            <w:noWrap/>
            <w:vAlign w:val="bottom"/>
            <w:hideMark/>
          </w:tcPr>
          <w:p w14:paraId="7289206A"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3.992 </w:t>
            </w:r>
          </w:p>
        </w:tc>
      </w:tr>
      <w:tr w:rsidR="001053EF" w:rsidRPr="001053EF" w14:paraId="7C6814D9" w14:textId="77777777" w:rsidTr="00446A14">
        <w:trPr>
          <w:trHeight w:val="238"/>
        </w:trPr>
        <w:tc>
          <w:tcPr>
            <w:tcW w:w="409" w:type="pct"/>
            <w:vMerge/>
            <w:tcBorders>
              <w:top w:val="nil"/>
              <w:left w:val="single" w:sz="4" w:space="0" w:color="auto"/>
              <w:bottom w:val="single" w:sz="8" w:space="0" w:color="000000"/>
              <w:right w:val="single" w:sz="4" w:space="0" w:color="auto"/>
            </w:tcBorders>
            <w:vAlign w:val="center"/>
            <w:hideMark/>
          </w:tcPr>
          <w:p w14:paraId="45E16FDE"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p>
        </w:tc>
        <w:tc>
          <w:tcPr>
            <w:tcW w:w="1242" w:type="pct"/>
            <w:tcBorders>
              <w:top w:val="nil"/>
              <w:left w:val="nil"/>
              <w:bottom w:val="single" w:sz="4" w:space="0" w:color="auto"/>
              <w:right w:val="single" w:sz="4" w:space="0" w:color="auto"/>
            </w:tcBorders>
            <w:shd w:val="clear" w:color="auto" w:fill="auto"/>
            <w:noWrap/>
            <w:vAlign w:val="bottom"/>
            <w:hideMark/>
          </w:tcPr>
          <w:p w14:paraId="748D7502"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Julho  </w:t>
            </w:r>
          </w:p>
        </w:tc>
        <w:tc>
          <w:tcPr>
            <w:tcW w:w="1181" w:type="pct"/>
            <w:tcBorders>
              <w:top w:val="nil"/>
              <w:left w:val="nil"/>
              <w:bottom w:val="single" w:sz="4" w:space="0" w:color="auto"/>
              <w:right w:val="single" w:sz="4" w:space="0" w:color="auto"/>
            </w:tcBorders>
            <w:shd w:val="clear" w:color="auto" w:fill="auto"/>
            <w:noWrap/>
            <w:vAlign w:val="bottom"/>
            <w:hideMark/>
          </w:tcPr>
          <w:p w14:paraId="71CEB400"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91.631 </w:t>
            </w:r>
          </w:p>
        </w:tc>
        <w:tc>
          <w:tcPr>
            <w:tcW w:w="986" w:type="pct"/>
            <w:tcBorders>
              <w:top w:val="nil"/>
              <w:left w:val="nil"/>
              <w:bottom w:val="single" w:sz="4" w:space="0" w:color="auto"/>
              <w:right w:val="single" w:sz="4" w:space="0" w:color="auto"/>
            </w:tcBorders>
            <w:shd w:val="clear" w:color="auto" w:fill="auto"/>
            <w:noWrap/>
            <w:vAlign w:val="bottom"/>
            <w:hideMark/>
          </w:tcPr>
          <w:p w14:paraId="21DC61F5"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17.767 </w:t>
            </w:r>
          </w:p>
        </w:tc>
        <w:tc>
          <w:tcPr>
            <w:tcW w:w="1181" w:type="pct"/>
            <w:tcBorders>
              <w:top w:val="nil"/>
              <w:left w:val="nil"/>
              <w:bottom w:val="single" w:sz="4" w:space="0" w:color="auto"/>
              <w:right w:val="single" w:sz="4" w:space="0" w:color="auto"/>
            </w:tcBorders>
            <w:shd w:val="clear" w:color="auto" w:fill="auto"/>
            <w:noWrap/>
            <w:vAlign w:val="bottom"/>
            <w:hideMark/>
          </w:tcPr>
          <w:p w14:paraId="1EA6B485"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109.398 </w:t>
            </w:r>
          </w:p>
        </w:tc>
      </w:tr>
      <w:tr w:rsidR="001053EF" w:rsidRPr="001053EF" w14:paraId="47133F7C" w14:textId="77777777" w:rsidTr="00446A14">
        <w:trPr>
          <w:trHeight w:val="238"/>
        </w:trPr>
        <w:tc>
          <w:tcPr>
            <w:tcW w:w="409" w:type="pct"/>
            <w:vMerge/>
            <w:tcBorders>
              <w:top w:val="nil"/>
              <w:left w:val="single" w:sz="4" w:space="0" w:color="auto"/>
              <w:bottom w:val="single" w:sz="8" w:space="0" w:color="000000"/>
              <w:right w:val="single" w:sz="4" w:space="0" w:color="auto"/>
            </w:tcBorders>
            <w:vAlign w:val="center"/>
            <w:hideMark/>
          </w:tcPr>
          <w:p w14:paraId="3FF4D46C"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p>
        </w:tc>
        <w:tc>
          <w:tcPr>
            <w:tcW w:w="1242" w:type="pct"/>
            <w:tcBorders>
              <w:top w:val="nil"/>
              <w:left w:val="nil"/>
              <w:bottom w:val="single" w:sz="4" w:space="0" w:color="auto"/>
              <w:right w:val="single" w:sz="4" w:space="0" w:color="auto"/>
            </w:tcBorders>
            <w:shd w:val="clear" w:color="auto" w:fill="auto"/>
            <w:noWrap/>
            <w:vAlign w:val="bottom"/>
            <w:hideMark/>
          </w:tcPr>
          <w:p w14:paraId="2E861C5C"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Agosto  </w:t>
            </w:r>
          </w:p>
        </w:tc>
        <w:tc>
          <w:tcPr>
            <w:tcW w:w="1181" w:type="pct"/>
            <w:tcBorders>
              <w:top w:val="nil"/>
              <w:left w:val="nil"/>
              <w:bottom w:val="single" w:sz="4" w:space="0" w:color="auto"/>
              <w:right w:val="single" w:sz="4" w:space="0" w:color="auto"/>
            </w:tcBorders>
            <w:shd w:val="clear" w:color="auto" w:fill="auto"/>
            <w:noWrap/>
            <w:vAlign w:val="bottom"/>
            <w:hideMark/>
          </w:tcPr>
          <w:p w14:paraId="69FAC931"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3.069 </w:t>
            </w:r>
          </w:p>
        </w:tc>
        <w:tc>
          <w:tcPr>
            <w:tcW w:w="986" w:type="pct"/>
            <w:tcBorders>
              <w:top w:val="nil"/>
              <w:left w:val="nil"/>
              <w:bottom w:val="single" w:sz="4" w:space="0" w:color="auto"/>
              <w:right w:val="single" w:sz="4" w:space="0" w:color="auto"/>
            </w:tcBorders>
            <w:shd w:val="clear" w:color="auto" w:fill="auto"/>
            <w:noWrap/>
            <w:vAlign w:val="bottom"/>
            <w:hideMark/>
          </w:tcPr>
          <w:p w14:paraId="5505397C"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585 </w:t>
            </w:r>
          </w:p>
        </w:tc>
        <w:tc>
          <w:tcPr>
            <w:tcW w:w="1181" w:type="pct"/>
            <w:tcBorders>
              <w:top w:val="nil"/>
              <w:left w:val="nil"/>
              <w:bottom w:val="single" w:sz="4" w:space="0" w:color="auto"/>
              <w:right w:val="single" w:sz="4" w:space="0" w:color="auto"/>
            </w:tcBorders>
            <w:shd w:val="clear" w:color="auto" w:fill="auto"/>
            <w:noWrap/>
            <w:vAlign w:val="bottom"/>
            <w:hideMark/>
          </w:tcPr>
          <w:p w14:paraId="447B3E56"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3.654 </w:t>
            </w:r>
          </w:p>
        </w:tc>
      </w:tr>
      <w:tr w:rsidR="001053EF" w:rsidRPr="001053EF" w14:paraId="453D7DC1" w14:textId="77777777" w:rsidTr="00446A14">
        <w:trPr>
          <w:trHeight w:val="238"/>
        </w:trPr>
        <w:tc>
          <w:tcPr>
            <w:tcW w:w="409" w:type="pct"/>
            <w:vMerge/>
            <w:tcBorders>
              <w:top w:val="nil"/>
              <w:left w:val="single" w:sz="4" w:space="0" w:color="auto"/>
              <w:bottom w:val="single" w:sz="8" w:space="0" w:color="000000"/>
              <w:right w:val="single" w:sz="4" w:space="0" w:color="auto"/>
            </w:tcBorders>
            <w:vAlign w:val="center"/>
            <w:hideMark/>
          </w:tcPr>
          <w:p w14:paraId="48775482"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p>
        </w:tc>
        <w:tc>
          <w:tcPr>
            <w:tcW w:w="1242" w:type="pct"/>
            <w:tcBorders>
              <w:top w:val="nil"/>
              <w:left w:val="nil"/>
              <w:bottom w:val="single" w:sz="4" w:space="0" w:color="auto"/>
              <w:right w:val="single" w:sz="4" w:space="0" w:color="auto"/>
            </w:tcBorders>
            <w:shd w:val="clear" w:color="auto" w:fill="auto"/>
            <w:noWrap/>
            <w:vAlign w:val="bottom"/>
            <w:hideMark/>
          </w:tcPr>
          <w:p w14:paraId="24F1DE9D"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Outubro  </w:t>
            </w:r>
          </w:p>
        </w:tc>
        <w:tc>
          <w:tcPr>
            <w:tcW w:w="1181" w:type="pct"/>
            <w:tcBorders>
              <w:top w:val="nil"/>
              <w:left w:val="nil"/>
              <w:bottom w:val="single" w:sz="4" w:space="0" w:color="auto"/>
              <w:right w:val="single" w:sz="4" w:space="0" w:color="auto"/>
            </w:tcBorders>
            <w:shd w:val="clear" w:color="auto" w:fill="auto"/>
            <w:noWrap/>
            <w:vAlign w:val="bottom"/>
            <w:hideMark/>
          </w:tcPr>
          <w:p w14:paraId="6DF5E946"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1.181 </w:t>
            </w:r>
          </w:p>
        </w:tc>
        <w:tc>
          <w:tcPr>
            <w:tcW w:w="986" w:type="pct"/>
            <w:tcBorders>
              <w:top w:val="nil"/>
              <w:left w:val="nil"/>
              <w:bottom w:val="single" w:sz="4" w:space="0" w:color="auto"/>
              <w:right w:val="single" w:sz="4" w:space="0" w:color="auto"/>
            </w:tcBorders>
            <w:shd w:val="clear" w:color="auto" w:fill="auto"/>
            <w:noWrap/>
            <w:vAlign w:val="bottom"/>
            <w:hideMark/>
          </w:tcPr>
          <w:p w14:paraId="0E032422"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195 </w:t>
            </w:r>
          </w:p>
        </w:tc>
        <w:tc>
          <w:tcPr>
            <w:tcW w:w="1181" w:type="pct"/>
            <w:tcBorders>
              <w:top w:val="nil"/>
              <w:left w:val="nil"/>
              <w:bottom w:val="single" w:sz="4" w:space="0" w:color="auto"/>
              <w:right w:val="single" w:sz="4" w:space="0" w:color="auto"/>
            </w:tcBorders>
            <w:shd w:val="clear" w:color="auto" w:fill="auto"/>
            <w:noWrap/>
            <w:vAlign w:val="bottom"/>
            <w:hideMark/>
          </w:tcPr>
          <w:p w14:paraId="298DF003"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1.376 </w:t>
            </w:r>
          </w:p>
        </w:tc>
      </w:tr>
      <w:tr w:rsidR="001053EF" w:rsidRPr="001053EF" w14:paraId="3DE59CEE" w14:textId="77777777" w:rsidTr="00446A14">
        <w:trPr>
          <w:trHeight w:val="238"/>
        </w:trPr>
        <w:tc>
          <w:tcPr>
            <w:tcW w:w="409" w:type="pct"/>
            <w:vMerge/>
            <w:tcBorders>
              <w:top w:val="nil"/>
              <w:left w:val="single" w:sz="4" w:space="0" w:color="auto"/>
              <w:bottom w:val="single" w:sz="8" w:space="0" w:color="000000"/>
              <w:right w:val="single" w:sz="4" w:space="0" w:color="auto"/>
            </w:tcBorders>
            <w:vAlign w:val="center"/>
            <w:hideMark/>
          </w:tcPr>
          <w:p w14:paraId="630E26B5"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p>
        </w:tc>
        <w:tc>
          <w:tcPr>
            <w:tcW w:w="1242" w:type="pct"/>
            <w:tcBorders>
              <w:top w:val="nil"/>
              <w:left w:val="nil"/>
              <w:bottom w:val="single" w:sz="4" w:space="0" w:color="auto"/>
              <w:right w:val="single" w:sz="4" w:space="0" w:color="auto"/>
            </w:tcBorders>
            <w:shd w:val="clear" w:color="auto" w:fill="auto"/>
            <w:noWrap/>
            <w:vAlign w:val="bottom"/>
            <w:hideMark/>
          </w:tcPr>
          <w:p w14:paraId="30EFE68A"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Setembro  </w:t>
            </w:r>
          </w:p>
        </w:tc>
        <w:tc>
          <w:tcPr>
            <w:tcW w:w="1181" w:type="pct"/>
            <w:tcBorders>
              <w:top w:val="nil"/>
              <w:left w:val="nil"/>
              <w:bottom w:val="single" w:sz="4" w:space="0" w:color="auto"/>
              <w:right w:val="single" w:sz="4" w:space="0" w:color="auto"/>
            </w:tcBorders>
            <w:shd w:val="clear" w:color="auto" w:fill="auto"/>
            <w:noWrap/>
            <w:vAlign w:val="bottom"/>
            <w:hideMark/>
          </w:tcPr>
          <w:p w14:paraId="7E6C0E7A"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4.920 </w:t>
            </w:r>
          </w:p>
        </w:tc>
        <w:tc>
          <w:tcPr>
            <w:tcW w:w="986" w:type="pct"/>
            <w:tcBorders>
              <w:top w:val="nil"/>
              <w:left w:val="nil"/>
              <w:bottom w:val="single" w:sz="4" w:space="0" w:color="auto"/>
              <w:right w:val="single" w:sz="4" w:space="0" w:color="auto"/>
            </w:tcBorders>
            <w:shd w:val="clear" w:color="auto" w:fill="auto"/>
            <w:noWrap/>
            <w:vAlign w:val="bottom"/>
            <w:hideMark/>
          </w:tcPr>
          <w:p w14:paraId="12745011"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849 </w:t>
            </w:r>
          </w:p>
        </w:tc>
        <w:tc>
          <w:tcPr>
            <w:tcW w:w="1181" w:type="pct"/>
            <w:tcBorders>
              <w:top w:val="nil"/>
              <w:left w:val="nil"/>
              <w:bottom w:val="single" w:sz="4" w:space="0" w:color="auto"/>
              <w:right w:val="single" w:sz="4" w:space="0" w:color="auto"/>
            </w:tcBorders>
            <w:shd w:val="clear" w:color="auto" w:fill="auto"/>
            <w:noWrap/>
            <w:vAlign w:val="bottom"/>
            <w:hideMark/>
          </w:tcPr>
          <w:p w14:paraId="13304577"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5.769 </w:t>
            </w:r>
          </w:p>
        </w:tc>
      </w:tr>
      <w:tr w:rsidR="001053EF" w:rsidRPr="001053EF" w14:paraId="07A76191" w14:textId="77777777" w:rsidTr="00446A14">
        <w:trPr>
          <w:trHeight w:val="238"/>
        </w:trPr>
        <w:tc>
          <w:tcPr>
            <w:tcW w:w="409" w:type="pct"/>
            <w:vMerge/>
            <w:tcBorders>
              <w:top w:val="nil"/>
              <w:left w:val="single" w:sz="4" w:space="0" w:color="auto"/>
              <w:bottom w:val="single" w:sz="8" w:space="0" w:color="000000"/>
              <w:right w:val="single" w:sz="4" w:space="0" w:color="auto"/>
            </w:tcBorders>
            <w:vAlign w:val="center"/>
            <w:hideMark/>
          </w:tcPr>
          <w:p w14:paraId="2CC220DE"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p>
        </w:tc>
        <w:tc>
          <w:tcPr>
            <w:tcW w:w="1242" w:type="pct"/>
            <w:tcBorders>
              <w:top w:val="nil"/>
              <w:left w:val="nil"/>
              <w:bottom w:val="single" w:sz="4" w:space="0" w:color="auto"/>
              <w:right w:val="single" w:sz="4" w:space="0" w:color="auto"/>
            </w:tcBorders>
            <w:shd w:val="clear" w:color="auto" w:fill="auto"/>
            <w:noWrap/>
            <w:vAlign w:val="bottom"/>
            <w:hideMark/>
          </w:tcPr>
          <w:p w14:paraId="2E73A649"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Novembro  </w:t>
            </w:r>
          </w:p>
        </w:tc>
        <w:tc>
          <w:tcPr>
            <w:tcW w:w="1181" w:type="pct"/>
            <w:tcBorders>
              <w:top w:val="nil"/>
              <w:left w:val="nil"/>
              <w:bottom w:val="single" w:sz="4" w:space="0" w:color="auto"/>
              <w:right w:val="single" w:sz="4" w:space="0" w:color="auto"/>
            </w:tcBorders>
            <w:shd w:val="clear" w:color="auto" w:fill="auto"/>
            <w:noWrap/>
            <w:vAlign w:val="bottom"/>
            <w:hideMark/>
          </w:tcPr>
          <w:p w14:paraId="25BF1CDB"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616 </w:t>
            </w:r>
          </w:p>
        </w:tc>
        <w:tc>
          <w:tcPr>
            <w:tcW w:w="986" w:type="pct"/>
            <w:tcBorders>
              <w:top w:val="nil"/>
              <w:left w:val="nil"/>
              <w:bottom w:val="single" w:sz="4" w:space="0" w:color="auto"/>
              <w:right w:val="single" w:sz="4" w:space="0" w:color="auto"/>
            </w:tcBorders>
            <w:shd w:val="clear" w:color="auto" w:fill="auto"/>
            <w:noWrap/>
            <w:vAlign w:val="bottom"/>
            <w:hideMark/>
          </w:tcPr>
          <w:p w14:paraId="2FC2CB56"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93 </w:t>
            </w:r>
          </w:p>
        </w:tc>
        <w:tc>
          <w:tcPr>
            <w:tcW w:w="1181" w:type="pct"/>
            <w:tcBorders>
              <w:top w:val="nil"/>
              <w:left w:val="nil"/>
              <w:bottom w:val="single" w:sz="4" w:space="0" w:color="auto"/>
              <w:right w:val="single" w:sz="4" w:space="0" w:color="auto"/>
            </w:tcBorders>
            <w:shd w:val="clear" w:color="auto" w:fill="auto"/>
            <w:noWrap/>
            <w:vAlign w:val="bottom"/>
            <w:hideMark/>
          </w:tcPr>
          <w:p w14:paraId="5EFF6A8C"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709 </w:t>
            </w:r>
          </w:p>
        </w:tc>
      </w:tr>
      <w:tr w:rsidR="001053EF" w:rsidRPr="001053EF" w14:paraId="475BC632" w14:textId="77777777" w:rsidTr="00446A14">
        <w:trPr>
          <w:trHeight w:val="238"/>
        </w:trPr>
        <w:tc>
          <w:tcPr>
            <w:tcW w:w="409" w:type="pct"/>
            <w:vMerge/>
            <w:tcBorders>
              <w:top w:val="nil"/>
              <w:left w:val="single" w:sz="4" w:space="0" w:color="auto"/>
              <w:bottom w:val="single" w:sz="8" w:space="0" w:color="000000"/>
              <w:right w:val="single" w:sz="4" w:space="0" w:color="auto"/>
            </w:tcBorders>
            <w:vAlign w:val="center"/>
            <w:hideMark/>
          </w:tcPr>
          <w:p w14:paraId="3B56AFF3"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p>
        </w:tc>
        <w:tc>
          <w:tcPr>
            <w:tcW w:w="1242" w:type="pct"/>
            <w:tcBorders>
              <w:top w:val="nil"/>
              <w:left w:val="nil"/>
              <w:bottom w:val="single" w:sz="8" w:space="0" w:color="auto"/>
              <w:right w:val="single" w:sz="4" w:space="0" w:color="auto"/>
            </w:tcBorders>
            <w:shd w:val="clear" w:color="auto" w:fill="auto"/>
            <w:noWrap/>
            <w:vAlign w:val="bottom"/>
            <w:hideMark/>
          </w:tcPr>
          <w:p w14:paraId="07A8C091"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Dezembro  </w:t>
            </w:r>
          </w:p>
        </w:tc>
        <w:tc>
          <w:tcPr>
            <w:tcW w:w="1181" w:type="pct"/>
            <w:tcBorders>
              <w:top w:val="nil"/>
              <w:left w:val="nil"/>
              <w:bottom w:val="single" w:sz="8" w:space="0" w:color="auto"/>
              <w:right w:val="single" w:sz="4" w:space="0" w:color="auto"/>
            </w:tcBorders>
            <w:shd w:val="clear" w:color="auto" w:fill="auto"/>
            <w:noWrap/>
            <w:vAlign w:val="bottom"/>
            <w:hideMark/>
          </w:tcPr>
          <w:p w14:paraId="6FF0327F"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3.796 </w:t>
            </w:r>
          </w:p>
        </w:tc>
        <w:tc>
          <w:tcPr>
            <w:tcW w:w="986" w:type="pct"/>
            <w:tcBorders>
              <w:top w:val="nil"/>
              <w:left w:val="nil"/>
              <w:bottom w:val="single" w:sz="8" w:space="0" w:color="auto"/>
              <w:right w:val="single" w:sz="4" w:space="0" w:color="auto"/>
            </w:tcBorders>
            <w:shd w:val="clear" w:color="auto" w:fill="auto"/>
            <w:noWrap/>
            <w:vAlign w:val="bottom"/>
            <w:hideMark/>
          </w:tcPr>
          <w:p w14:paraId="6CCE1856"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515 </w:t>
            </w:r>
          </w:p>
        </w:tc>
        <w:tc>
          <w:tcPr>
            <w:tcW w:w="1181" w:type="pct"/>
            <w:tcBorders>
              <w:top w:val="nil"/>
              <w:left w:val="nil"/>
              <w:bottom w:val="single" w:sz="8" w:space="0" w:color="auto"/>
              <w:right w:val="single" w:sz="4" w:space="0" w:color="auto"/>
            </w:tcBorders>
            <w:shd w:val="clear" w:color="auto" w:fill="auto"/>
            <w:noWrap/>
            <w:vAlign w:val="bottom"/>
            <w:hideMark/>
          </w:tcPr>
          <w:p w14:paraId="39889227"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4.311 </w:t>
            </w:r>
          </w:p>
        </w:tc>
      </w:tr>
      <w:tr w:rsidR="001053EF" w:rsidRPr="001053EF" w14:paraId="549A1973" w14:textId="77777777" w:rsidTr="00446A14">
        <w:trPr>
          <w:trHeight w:val="238"/>
        </w:trPr>
        <w:tc>
          <w:tcPr>
            <w:tcW w:w="409"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26CF58D0" w14:textId="77777777" w:rsidR="001053EF" w:rsidRPr="001053EF" w:rsidRDefault="001053EF" w:rsidP="001053EF">
            <w:pPr>
              <w:spacing w:after="0" w:line="240" w:lineRule="auto"/>
              <w:jc w:val="center"/>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2023</w:t>
            </w:r>
          </w:p>
        </w:tc>
        <w:tc>
          <w:tcPr>
            <w:tcW w:w="1242" w:type="pct"/>
            <w:tcBorders>
              <w:top w:val="nil"/>
              <w:left w:val="nil"/>
              <w:bottom w:val="single" w:sz="4" w:space="0" w:color="auto"/>
              <w:right w:val="single" w:sz="4" w:space="0" w:color="auto"/>
            </w:tcBorders>
            <w:shd w:val="clear" w:color="auto" w:fill="auto"/>
            <w:noWrap/>
            <w:vAlign w:val="bottom"/>
            <w:hideMark/>
          </w:tcPr>
          <w:p w14:paraId="7B8EE592"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Janeiro  </w:t>
            </w:r>
          </w:p>
        </w:tc>
        <w:tc>
          <w:tcPr>
            <w:tcW w:w="1181" w:type="pct"/>
            <w:tcBorders>
              <w:top w:val="nil"/>
              <w:left w:val="nil"/>
              <w:bottom w:val="single" w:sz="4" w:space="0" w:color="auto"/>
              <w:right w:val="single" w:sz="4" w:space="0" w:color="auto"/>
            </w:tcBorders>
            <w:shd w:val="clear" w:color="auto" w:fill="auto"/>
            <w:noWrap/>
            <w:vAlign w:val="bottom"/>
            <w:hideMark/>
          </w:tcPr>
          <w:p w14:paraId="340A1337"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4.134 </w:t>
            </w:r>
          </w:p>
        </w:tc>
        <w:tc>
          <w:tcPr>
            <w:tcW w:w="986" w:type="pct"/>
            <w:tcBorders>
              <w:top w:val="nil"/>
              <w:left w:val="nil"/>
              <w:bottom w:val="single" w:sz="4" w:space="0" w:color="auto"/>
              <w:right w:val="single" w:sz="4" w:space="0" w:color="auto"/>
            </w:tcBorders>
            <w:shd w:val="clear" w:color="auto" w:fill="auto"/>
            <w:noWrap/>
            <w:vAlign w:val="bottom"/>
            <w:hideMark/>
          </w:tcPr>
          <w:p w14:paraId="01900485"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539 </w:t>
            </w:r>
          </w:p>
        </w:tc>
        <w:tc>
          <w:tcPr>
            <w:tcW w:w="1181" w:type="pct"/>
            <w:tcBorders>
              <w:top w:val="nil"/>
              <w:left w:val="nil"/>
              <w:bottom w:val="single" w:sz="4" w:space="0" w:color="auto"/>
              <w:right w:val="single" w:sz="4" w:space="0" w:color="auto"/>
            </w:tcBorders>
            <w:shd w:val="clear" w:color="auto" w:fill="auto"/>
            <w:noWrap/>
            <w:vAlign w:val="bottom"/>
            <w:hideMark/>
          </w:tcPr>
          <w:p w14:paraId="0D0A0623"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4.673 </w:t>
            </w:r>
          </w:p>
        </w:tc>
      </w:tr>
      <w:tr w:rsidR="001053EF" w:rsidRPr="001053EF" w14:paraId="0F322196" w14:textId="77777777" w:rsidTr="00446A14">
        <w:trPr>
          <w:trHeight w:val="238"/>
        </w:trPr>
        <w:tc>
          <w:tcPr>
            <w:tcW w:w="409" w:type="pct"/>
            <w:vMerge/>
            <w:tcBorders>
              <w:top w:val="nil"/>
              <w:left w:val="single" w:sz="4" w:space="0" w:color="auto"/>
              <w:bottom w:val="single" w:sz="8" w:space="0" w:color="000000"/>
              <w:right w:val="single" w:sz="4" w:space="0" w:color="auto"/>
            </w:tcBorders>
            <w:vAlign w:val="center"/>
            <w:hideMark/>
          </w:tcPr>
          <w:p w14:paraId="36CF209D"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p>
        </w:tc>
        <w:tc>
          <w:tcPr>
            <w:tcW w:w="1242" w:type="pct"/>
            <w:tcBorders>
              <w:top w:val="nil"/>
              <w:left w:val="nil"/>
              <w:bottom w:val="single" w:sz="4" w:space="0" w:color="auto"/>
              <w:right w:val="single" w:sz="4" w:space="0" w:color="auto"/>
            </w:tcBorders>
            <w:shd w:val="clear" w:color="auto" w:fill="auto"/>
            <w:noWrap/>
            <w:vAlign w:val="bottom"/>
            <w:hideMark/>
          </w:tcPr>
          <w:p w14:paraId="4323024C"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Fevereiro  </w:t>
            </w:r>
          </w:p>
        </w:tc>
        <w:tc>
          <w:tcPr>
            <w:tcW w:w="1181" w:type="pct"/>
            <w:tcBorders>
              <w:top w:val="nil"/>
              <w:left w:val="nil"/>
              <w:bottom w:val="single" w:sz="4" w:space="0" w:color="auto"/>
              <w:right w:val="single" w:sz="4" w:space="0" w:color="auto"/>
            </w:tcBorders>
            <w:shd w:val="clear" w:color="auto" w:fill="auto"/>
            <w:noWrap/>
            <w:vAlign w:val="bottom"/>
            <w:hideMark/>
          </w:tcPr>
          <w:p w14:paraId="311C0097"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754 </w:t>
            </w:r>
          </w:p>
        </w:tc>
        <w:tc>
          <w:tcPr>
            <w:tcW w:w="986" w:type="pct"/>
            <w:tcBorders>
              <w:top w:val="nil"/>
              <w:left w:val="nil"/>
              <w:bottom w:val="single" w:sz="4" w:space="0" w:color="auto"/>
              <w:right w:val="single" w:sz="4" w:space="0" w:color="auto"/>
            </w:tcBorders>
            <w:shd w:val="clear" w:color="auto" w:fill="auto"/>
            <w:noWrap/>
            <w:vAlign w:val="bottom"/>
            <w:hideMark/>
          </w:tcPr>
          <w:p w14:paraId="1A4F78AD"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87 </w:t>
            </w:r>
          </w:p>
        </w:tc>
        <w:tc>
          <w:tcPr>
            <w:tcW w:w="1181" w:type="pct"/>
            <w:tcBorders>
              <w:top w:val="nil"/>
              <w:left w:val="nil"/>
              <w:bottom w:val="single" w:sz="4" w:space="0" w:color="auto"/>
              <w:right w:val="single" w:sz="4" w:space="0" w:color="auto"/>
            </w:tcBorders>
            <w:shd w:val="clear" w:color="auto" w:fill="auto"/>
            <w:noWrap/>
            <w:vAlign w:val="bottom"/>
            <w:hideMark/>
          </w:tcPr>
          <w:p w14:paraId="75D533D3"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841 </w:t>
            </w:r>
          </w:p>
        </w:tc>
      </w:tr>
      <w:tr w:rsidR="001053EF" w:rsidRPr="001053EF" w14:paraId="3E6F67B7" w14:textId="77777777" w:rsidTr="00446A14">
        <w:trPr>
          <w:trHeight w:val="238"/>
        </w:trPr>
        <w:tc>
          <w:tcPr>
            <w:tcW w:w="409" w:type="pct"/>
            <w:vMerge/>
            <w:tcBorders>
              <w:top w:val="nil"/>
              <w:left w:val="single" w:sz="4" w:space="0" w:color="auto"/>
              <w:bottom w:val="single" w:sz="8" w:space="0" w:color="000000"/>
              <w:right w:val="single" w:sz="4" w:space="0" w:color="auto"/>
            </w:tcBorders>
            <w:vAlign w:val="center"/>
            <w:hideMark/>
          </w:tcPr>
          <w:p w14:paraId="113F3BC1"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p>
        </w:tc>
        <w:tc>
          <w:tcPr>
            <w:tcW w:w="1242" w:type="pct"/>
            <w:tcBorders>
              <w:top w:val="nil"/>
              <w:left w:val="nil"/>
              <w:bottom w:val="single" w:sz="4" w:space="0" w:color="auto"/>
              <w:right w:val="single" w:sz="4" w:space="0" w:color="auto"/>
            </w:tcBorders>
            <w:shd w:val="clear" w:color="auto" w:fill="auto"/>
            <w:noWrap/>
            <w:vAlign w:val="bottom"/>
            <w:hideMark/>
          </w:tcPr>
          <w:p w14:paraId="41E420CC"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Março  </w:t>
            </w:r>
          </w:p>
        </w:tc>
        <w:tc>
          <w:tcPr>
            <w:tcW w:w="1181" w:type="pct"/>
            <w:tcBorders>
              <w:top w:val="nil"/>
              <w:left w:val="nil"/>
              <w:bottom w:val="single" w:sz="4" w:space="0" w:color="auto"/>
              <w:right w:val="single" w:sz="4" w:space="0" w:color="auto"/>
            </w:tcBorders>
            <w:shd w:val="clear" w:color="auto" w:fill="auto"/>
            <w:noWrap/>
            <w:vAlign w:val="bottom"/>
            <w:hideMark/>
          </w:tcPr>
          <w:p w14:paraId="67CB0919"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9.271 </w:t>
            </w:r>
          </w:p>
        </w:tc>
        <w:tc>
          <w:tcPr>
            <w:tcW w:w="986" w:type="pct"/>
            <w:tcBorders>
              <w:top w:val="nil"/>
              <w:left w:val="nil"/>
              <w:bottom w:val="single" w:sz="4" w:space="0" w:color="auto"/>
              <w:right w:val="single" w:sz="4" w:space="0" w:color="auto"/>
            </w:tcBorders>
            <w:shd w:val="clear" w:color="auto" w:fill="auto"/>
            <w:noWrap/>
            <w:vAlign w:val="bottom"/>
            <w:hideMark/>
          </w:tcPr>
          <w:p w14:paraId="7328FFDC"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906 </w:t>
            </w:r>
          </w:p>
        </w:tc>
        <w:tc>
          <w:tcPr>
            <w:tcW w:w="1181" w:type="pct"/>
            <w:tcBorders>
              <w:top w:val="nil"/>
              <w:left w:val="nil"/>
              <w:bottom w:val="single" w:sz="4" w:space="0" w:color="auto"/>
              <w:right w:val="single" w:sz="4" w:space="0" w:color="auto"/>
            </w:tcBorders>
            <w:shd w:val="clear" w:color="auto" w:fill="auto"/>
            <w:noWrap/>
            <w:vAlign w:val="bottom"/>
            <w:hideMark/>
          </w:tcPr>
          <w:p w14:paraId="06EC9DD3"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10.177 </w:t>
            </w:r>
          </w:p>
        </w:tc>
      </w:tr>
      <w:tr w:rsidR="001053EF" w:rsidRPr="001053EF" w14:paraId="2880D86B" w14:textId="77777777" w:rsidTr="00446A14">
        <w:trPr>
          <w:trHeight w:val="238"/>
        </w:trPr>
        <w:tc>
          <w:tcPr>
            <w:tcW w:w="409" w:type="pct"/>
            <w:vMerge/>
            <w:tcBorders>
              <w:top w:val="nil"/>
              <w:left w:val="single" w:sz="4" w:space="0" w:color="auto"/>
              <w:bottom w:val="single" w:sz="8" w:space="0" w:color="000000"/>
              <w:right w:val="single" w:sz="4" w:space="0" w:color="auto"/>
            </w:tcBorders>
            <w:vAlign w:val="center"/>
            <w:hideMark/>
          </w:tcPr>
          <w:p w14:paraId="52EABCEF"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p>
        </w:tc>
        <w:tc>
          <w:tcPr>
            <w:tcW w:w="1242" w:type="pct"/>
            <w:tcBorders>
              <w:top w:val="nil"/>
              <w:left w:val="nil"/>
              <w:bottom w:val="single" w:sz="4" w:space="0" w:color="auto"/>
              <w:right w:val="single" w:sz="4" w:space="0" w:color="auto"/>
            </w:tcBorders>
            <w:shd w:val="clear" w:color="auto" w:fill="auto"/>
            <w:noWrap/>
            <w:vAlign w:val="bottom"/>
            <w:hideMark/>
          </w:tcPr>
          <w:p w14:paraId="125EF46B"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Abril  </w:t>
            </w:r>
          </w:p>
        </w:tc>
        <w:tc>
          <w:tcPr>
            <w:tcW w:w="1181" w:type="pct"/>
            <w:tcBorders>
              <w:top w:val="nil"/>
              <w:left w:val="nil"/>
              <w:bottom w:val="single" w:sz="4" w:space="0" w:color="auto"/>
              <w:right w:val="single" w:sz="4" w:space="0" w:color="auto"/>
            </w:tcBorders>
            <w:shd w:val="clear" w:color="auto" w:fill="auto"/>
            <w:noWrap/>
            <w:vAlign w:val="bottom"/>
            <w:hideMark/>
          </w:tcPr>
          <w:p w14:paraId="5FD36D4F"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2.328 </w:t>
            </w:r>
          </w:p>
        </w:tc>
        <w:tc>
          <w:tcPr>
            <w:tcW w:w="986" w:type="pct"/>
            <w:tcBorders>
              <w:top w:val="nil"/>
              <w:left w:val="nil"/>
              <w:bottom w:val="single" w:sz="4" w:space="0" w:color="auto"/>
              <w:right w:val="single" w:sz="4" w:space="0" w:color="auto"/>
            </w:tcBorders>
            <w:shd w:val="clear" w:color="auto" w:fill="auto"/>
            <w:noWrap/>
            <w:vAlign w:val="bottom"/>
            <w:hideMark/>
          </w:tcPr>
          <w:p w14:paraId="4D1551A1"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211 </w:t>
            </w:r>
          </w:p>
        </w:tc>
        <w:tc>
          <w:tcPr>
            <w:tcW w:w="1181" w:type="pct"/>
            <w:tcBorders>
              <w:top w:val="nil"/>
              <w:left w:val="nil"/>
              <w:bottom w:val="single" w:sz="4" w:space="0" w:color="auto"/>
              <w:right w:val="single" w:sz="4" w:space="0" w:color="auto"/>
            </w:tcBorders>
            <w:shd w:val="clear" w:color="auto" w:fill="auto"/>
            <w:noWrap/>
            <w:vAlign w:val="bottom"/>
            <w:hideMark/>
          </w:tcPr>
          <w:p w14:paraId="45E976D6"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2.539 </w:t>
            </w:r>
          </w:p>
        </w:tc>
      </w:tr>
      <w:tr w:rsidR="001053EF" w:rsidRPr="001053EF" w14:paraId="6FF77652" w14:textId="77777777" w:rsidTr="00446A14">
        <w:trPr>
          <w:trHeight w:val="238"/>
        </w:trPr>
        <w:tc>
          <w:tcPr>
            <w:tcW w:w="409" w:type="pct"/>
            <w:vMerge/>
            <w:tcBorders>
              <w:top w:val="nil"/>
              <w:left w:val="single" w:sz="4" w:space="0" w:color="auto"/>
              <w:bottom w:val="single" w:sz="8" w:space="0" w:color="000000"/>
              <w:right w:val="single" w:sz="4" w:space="0" w:color="auto"/>
            </w:tcBorders>
            <w:vAlign w:val="center"/>
            <w:hideMark/>
          </w:tcPr>
          <w:p w14:paraId="71FB5131"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p>
        </w:tc>
        <w:tc>
          <w:tcPr>
            <w:tcW w:w="1242" w:type="pct"/>
            <w:tcBorders>
              <w:top w:val="nil"/>
              <w:left w:val="nil"/>
              <w:bottom w:val="single" w:sz="4" w:space="0" w:color="auto"/>
              <w:right w:val="single" w:sz="4" w:space="0" w:color="auto"/>
            </w:tcBorders>
            <w:shd w:val="clear" w:color="auto" w:fill="auto"/>
            <w:noWrap/>
            <w:vAlign w:val="bottom"/>
            <w:hideMark/>
          </w:tcPr>
          <w:p w14:paraId="5166BA36"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Maio  </w:t>
            </w:r>
          </w:p>
        </w:tc>
        <w:tc>
          <w:tcPr>
            <w:tcW w:w="1181" w:type="pct"/>
            <w:tcBorders>
              <w:top w:val="nil"/>
              <w:left w:val="nil"/>
              <w:bottom w:val="single" w:sz="4" w:space="0" w:color="auto"/>
              <w:right w:val="single" w:sz="4" w:space="0" w:color="auto"/>
            </w:tcBorders>
            <w:shd w:val="clear" w:color="auto" w:fill="auto"/>
            <w:noWrap/>
            <w:vAlign w:val="bottom"/>
            <w:hideMark/>
          </w:tcPr>
          <w:p w14:paraId="6D029BBB"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8.726 </w:t>
            </w:r>
          </w:p>
        </w:tc>
        <w:tc>
          <w:tcPr>
            <w:tcW w:w="986" w:type="pct"/>
            <w:tcBorders>
              <w:top w:val="nil"/>
              <w:left w:val="nil"/>
              <w:bottom w:val="single" w:sz="4" w:space="0" w:color="auto"/>
              <w:right w:val="single" w:sz="4" w:space="0" w:color="auto"/>
            </w:tcBorders>
            <w:shd w:val="clear" w:color="auto" w:fill="auto"/>
            <w:noWrap/>
            <w:vAlign w:val="bottom"/>
            <w:hideMark/>
          </w:tcPr>
          <w:p w14:paraId="181D4747"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689 </w:t>
            </w:r>
          </w:p>
        </w:tc>
        <w:tc>
          <w:tcPr>
            <w:tcW w:w="1181" w:type="pct"/>
            <w:tcBorders>
              <w:top w:val="nil"/>
              <w:left w:val="nil"/>
              <w:bottom w:val="single" w:sz="4" w:space="0" w:color="auto"/>
              <w:right w:val="single" w:sz="4" w:space="0" w:color="auto"/>
            </w:tcBorders>
            <w:shd w:val="clear" w:color="auto" w:fill="auto"/>
            <w:noWrap/>
            <w:vAlign w:val="bottom"/>
            <w:hideMark/>
          </w:tcPr>
          <w:p w14:paraId="36442976"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9.415 </w:t>
            </w:r>
          </w:p>
        </w:tc>
      </w:tr>
      <w:tr w:rsidR="001053EF" w:rsidRPr="001053EF" w14:paraId="301BF80E" w14:textId="77777777" w:rsidTr="00446A14">
        <w:trPr>
          <w:trHeight w:val="238"/>
        </w:trPr>
        <w:tc>
          <w:tcPr>
            <w:tcW w:w="409" w:type="pct"/>
            <w:vMerge/>
            <w:tcBorders>
              <w:top w:val="nil"/>
              <w:left w:val="single" w:sz="4" w:space="0" w:color="auto"/>
              <w:bottom w:val="single" w:sz="8" w:space="0" w:color="000000"/>
              <w:right w:val="single" w:sz="4" w:space="0" w:color="auto"/>
            </w:tcBorders>
            <w:vAlign w:val="center"/>
            <w:hideMark/>
          </w:tcPr>
          <w:p w14:paraId="03831B8F"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p>
        </w:tc>
        <w:tc>
          <w:tcPr>
            <w:tcW w:w="1242" w:type="pct"/>
            <w:tcBorders>
              <w:top w:val="nil"/>
              <w:left w:val="nil"/>
              <w:bottom w:val="single" w:sz="4" w:space="0" w:color="auto"/>
              <w:right w:val="single" w:sz="4" w:space="0" w:color="auto"/>
            </w:tcBorders>
            <w:shd w:val="clear" w:color="auto" w:fill="auto"/>
            <w:noWrap/>
            <w:vAlign w:val="bottom"/>
            <w:hideMark/>
          </w:tcPr>
          <w:p w14:paraId="57C4E27D"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Junho   </w:t>
            </w:r>
          </w:p>
        </w:tc>
        <w:tc>
          <w:tcPr>
            <w:tcW w:w="1181" w:type="pct"/>
            <w:tcBorders>
              <w:top w:val="nil"/>
              <w:left w:val="nil"/>
              <w:bottom w:val="single" w:sz="4" w:space="0" w:color="auto"/>
              <w:right w:val="single" w:sz="4" w:space="0" w:color="auto"/>
            </w:tcBorders>
            <w:shd w:val="clear" w:color="auto" w:fill="auto"/>
            <w:noWrap/>
            <w:vAlign w:val="bottom"/>
            <w:hideMark/>
          </w:tcPr>
          <w:p w14:paraId="3731AF53"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7.759 </w:t>
            </w:r>
          </w:p>
        </w:tc>
        <w:tc>
          <w:tcPr>
            <w:tcW w:w="986" w:type="pct"/>
            <w:tcBorders>
              <w:top w:val="nil"/>
              <w:left w:val="nil"/>
              <w:bottom w:val="single" w:sz="4" w:space="0" w:color="auto"/>
              <w:right w:val="single" w:sz="4" w:space="0" w:color="auto"/>
            </w:tcBorders>
            <w:shd w:val="clear" w:color="auto" w:fill="auto"/>
            <w:noWrap/>
            <w:vAlign w:val="bottom"/>
            <w:hideMark/>
          </w:tcPr>
          <w:p w14:paraId="081FDBCC"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513 </w:t>
            </w:r>
          </w:p>
        </w:tc>
        <w:tc>
          <w:tcPr>
            <w:tcW w:w="1181" w:type="pct"/>
            <w:tcBorders>
              <w:top w:val="nil"/>
              <w:left w:val="nil"/>
              <w:bottom w:val="single" w:sz="4" w:space="0" w:color="auto"/>
              <w:right w:val="single" w:sz="4" w:space="0" w:color="auto"/>
            </w:tcBorders>
            <w:shd w:val="clear" w:color="auto" w:fill="auto"/>
            <w:noWrap/>
            <w:vAlign w:val="bottom"/>
            <w:hideMark/>
          </w:tcPr>
          <w:p w14:paraId="493FD004"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8.272 </w:t>
            </w:r>
          </w:p>
        </w:tc>
      </w:tr>
      <w:tr w:rsidR="001053EF" w:rsidRPr="001053EF" w14:paraId="7D0D9345" w14:textId="77777777" w:rsidTr="00446A14">
        <w:trPr>
          <w:trHeight w:val="238"/>
        </w:trPr>
        <w:tc>
          <w:tcPr>
            <w:tcW w:w="409" w:type="pct"/>
            <w:vMerge/>
            <w:tcBorders>
              <w:top w:val="nil"/>
              <w:left w:val="single" w:sz="4" w:space="0" w:color="auto"/>
              <w:bottom w:val="single" w:sz="8" w:space="0" w:color="000000"/>
              <w:right w:val="single" w:sz="4" w:space="0" w:color="auto"/>
            </w:tcBorders>
            <w:vAlign w:val="center"/>
            <w:hideMark/>
          </w:tcPr>
          <w:p w14:paraId="3C07F951"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p>
        </w:tc>
        <w:tc>
          <w:tcPr>
            <w:tcW w:w="1242" w:type="pct"/>
            <w:tcBorders>
              <w:top w:val="nil"/>
              <w:left w:val="nil"/>
              <w:bottom w:val="single" w:sz="4" w:space="0" w:color="auto"/>
              <w:right w:val="single" w:sz="4" w:space="0" w:color="auto"/>
            </w:tcBorders>
            <w:shd w:val="clear" w:color="auto" w:fill="auto"/>
            <w:noWrap/>
            <w:vAlign w:val="bottom"/>
            <w:hideMark/>
          </w:tcPr>
          <w:p w14:paraId="18F4762A"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Julho  </w:t>
            </w:r>
          </w:p>
        </w:tc>
        <w:tc>
          <w:tcPr>
            <w:tcW w:w="1181" w:type="pct"/>
            <w:tcBorders>
              <w:top w:val="nil"/>
              <w:left w:val="nil"/>
              <w:bottom w:val="single" w:sz="4" w:space="0" w:color="auto"/>
              <w:right w:val="single" w:sz="4" w:space="0" w:color="auto"/>
            </w:tcBorders>
            <w:shd w:val="clear" w:color="auto" w:fill="auto"/>
            <w:noWrap/>
            <w:vAlign w:val="bottom"/>
            <w:hideMark/>
          </w:tcPr>
          <w:p w14:paraId="7565E5A6"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123 </w:t>
            </w:r>
          </w:p>
        </w:tc>
        <w:tc>
          <w:tcPr>
            <w:tcW w:w="986" w:type="pct"/>
            <w:tcBorders>
              <w:top w:val="nil"/>
              <w:left w:val="nil"/>
              <w:bottom w:val="single" w:sz="4" w:space="0" w:color="auto"/>
              <w:right w:val="single" w:sz="4" w:space="0" w:color="auto"/>
            </w:tcBorders>
            <w:shd w:val="clear" w:color="auto" w:fill="auto"/>
            <w:noWrap/>
            <w:vAlign w:val="bottom"/>
            <w:hideMark/>
          </w:tcPr>
          <w:p w14:paraId="6127FA94"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6 </w:t>
            </w:r>
          </w:p>
        </w:tc>
        <w:tc>
          <w:tcPr>
            <w:tcW w:w="1181" w:type="pct"/>
            <w:tcBorders>
              <w:top w:val="nil"/>
              <w:left w:val="nil"/>
              <w:bottom w:val="single" w:sz="4" w:space="0" w:color="auto"/>
              <w:right w:val="single" w:sz="4" w:space="0" w:color="auto"/>
            </w:tcBorders>
            <w:shd w:val="clear" w:color="auto" w:fill="auto"/>
            <w:noWrap/>
            <w:vAlign w:val="bottom"/>
            <w:hideMark/>
          </w:tcPr>
          <w:p w14:paraId="55C4E18C"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129 </w:t>
            </w:r>
          </w:p>
        </w:tc>
      </w:tr>
      <w:tr w:rsidR="001053EF" w:rsidRPr="001053EF" w14:paraId="5DDB4D56" w14:textId="77777777" w:rsidTr="00446A14">
        <w:trPr>
          <w:trHeight w:val="238"/>
        </w:trPr>
        <w:tc>
          <w:tcPr>
            <w:tcW w:w="409" w:type="pct"/>
            <w:vMerge/>
            <w:tcBorders>
              <w:top w:val="nil"/>
              <w:left w:val="single" w:sz="4" w:space="0" w:color="auto"/>
              <w:bottom w:val="single" w:sz="8" w:space="0" w:color="000000"/>
              <w:right w:val="single" w:sz="4" w:space="0" w:color="auto"/>
            </w:tcBorders>
            <w:vAlign w:val="center"/>
            <w:hideMark/>
          </w:tcPr>
          <w:p w14:paraId="0CD7AEFD"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p>
        </w:tc>
        <w:tc>
          <w:tcPr>
            <w:tcW w:w="1242" w:type="pct"/>
            <w:tcBorders>
              <w:top w:val="nil"/>
              <w:left w:val="nil"/>
              <w:bottom w:val="single" w:sz="4" w:space="0" w:color="auto"/>
              <w:right w:val="single" w:sz="4" w:space="0" w:color="auto"/>
            </w:tcBorders>
            <w:shd w:val="clear" w:color="auto" w:fill="auto"/>
            <w:noWrap/>
            <w:vAlign w:val="bottom"/>
            <w:hideMark/>
          </w:tcPr>
          <w:p w14:paraId="4960C932"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Agosto  </w:t>
            </w:r>
          </w:p>
        </w:tc>
        <w:tc>
          <w:tcPr>
            <w:tcW w:w="1181" w:type="pct"/>
            <w:tcBorders>
              <w:top w:val="nil"/>
              <w:left w:val="nil"/>
              <w:bottom w:val="single" w:sz="4" w:space="0" w:color="auto"/>
              <w:right w:val="single" w:sz="4" w:space="0" w:color="auto"/>
            </w:tcBorders>
            <w:shd w:val="clear" w:color="auto" w:fill="auto"/>
            <w:noWrap/>
            <w:vAlign w:val="bottom"/>
            <w:hideMark/>
          </w:tcPr>
          <w:p w14:paraId="2113603A"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1.991 </w:t>
            </w:r>
          </w:p>
        </w:tc>
        <w:tc>
          <w:tcPr>
            <w:tcW w:w="986" w:type="pct"/>
            <w:tcBorders>
              <w:top w:val="nil"/>
              <w:left w:val="nil"/>
              <w:bottom w:val="single" w:sz="4" w:space="0" w:color="auto"/>
              <w:right w:val="single" w:sz="4" w:space="0" w:color="auto"/>
            </w:tcBorders>
            <w:shd w:val="clear" w:color="auto" w:fill="auto"/>
            <w:noWrap/>
            <w:vAlign w:val="bottom"/>
            <w:hideMark/>
          </w:tcPr>
          <w:p w14:paraId="7F5F5B78"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83 </w:t>
            </w:r>
          </w:p>
        </w:tc>
        <w:tc>
          <w:tcPr>
            <w:tcW w:w="1181" w:type="pct"/>
            <w:tcBorders>
              <w:top w:val="nil"/>
              <w:left w:val="nil"/>
              <w:bottom w:val="single" w:sz="4" w:space="0" w:color="auto"/>
              <w:right w:val="single" w:sz="4" w:space="0" w:color="auto"/>
            </w:tcBorders>
            <w:shd w:val="clear" w:color="auto" w:fill="auto"/>
            <w:noWrap/>
            <w:vAlign w:val="bottom"/>
            <w:hideMark/>
          </w:tcPr>
          <w:p w14:paraId="084518F6"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2.074 </w:t>
            </w:r>
          </w:p>
        </w:tc>
      </w:tr>
      <w:tr w:rsidR="001053EF" w:rsidRPr="001053EF" w14:paraId="52848E7A" w14:textId="77777777" w:rsidTr="00446A14">
        <w:trPr>
          <w:trHeight w:val="238"/>
        </w:trPr>
        <w:tc>
          <w:tcPr>
            <w:tcW w:w="409" w:type="pct"/>
            <w:vMerge/>
            <w:tcBorders>
              <w:top w:val="nil"/>
              <w:left w:val="single" w:sz="4" w:space="0" w:color="auto"/>
              <w:bottom w:val="single" w:sz="8" w:space="0" w:color="000000"/>
              <w:right w:val="single" w:sz="4" w:space="0" w:color="auto"/>
            </w:tcBorders>
            <w:vAlign w:val="center"/>
            <w:hideMark/>
          </w:tcPr>
          <w:p w14:paraId="4132D062"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p>
        </w:tc>
        <w:tc>
          <w:tcPr>
            <w:tcW w:w="1242" w:type="pct"/>
            <w:tcBorders>
              <w:top w:val="nil"/>
              <w:left w:val="nil"/>
              <w:bottom w:val="single" w:sz="4" w:space="0" w:color="auto"/>
              <w:right w:val="single" w:sz="4" w:space="0" w:color="auto"/>
            </w:tcBorders>
            <w:shd w:val="clear" w:color="auto" w:fill="auto"/>
            <w:noWrap/>
            <w:vAlign w:val="bottom"/>
            <w:hideMark/>
          </w:tcPr>
          <w:p w14:paraId="557107E8"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Setembro  </w:t>
            </w:r>
          </w:p>
        </w:tc>
        <w:tc>
          <w:tcPr>
            <w:tcW w:w="1181" w:type="pct"/>
            <w:tcBorders>
              <w:top w:val="nil"/>
              <w:left w:val="nil"/>
              <w:bottom w:val="single" w:sz="4" w:space="0" w:color="auto"/>
              <w:right w:val="single" w:sz="4" w:space="0" w:color="auto"/>
            </w:tcBorders>
            <w:shd w:val="clear" w:color="auto" w:fill="auto"/>
            <w:noWrap/>
            <w:vAlign w:val="bottom"/>
            <w:hideMark/>
          </w:tcPr>
          <w:p w14:paraId="6C4933FC"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2.468 </w:t>
            </w:r>
          </w:p>
        </w:tc>
        <w:tc>
          <w:tcPr>
            <w:tcW w:w="986" w:type="pct"/>
            <w:tcBorders>
              <w:top w:val="nil"/>
              <w:left w:val="nil"/>
              <w:bottom w:val="single" w:sz="4" w:space="0" w:color="auto"/>
              <w:right w:val="single" w:sz="4" w:space="0" w:color="auto"/>
            </w:tcBorders>
            <w:shd w:val="clear" w:color="auto" w:fill="auto"/>
            <w:noWrap/>
            <w:vAlign w:val="bottom"/>
            <w:hideMark/>
          </w:tcPr>
          <w:p w14:paraId="4F5C292E"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90 </w:t>
            </w:r>
          </w:p>
        </w:tc>
        <w:tc>
          <w:tcPr>
            <w:tcW w:w="1181" w:type="pct"/>
            <w:tcBorders>
              <w:top w:val="nil"/>
              <w:left w:val="nil"/>
              <w:bottom w:val="single" w:sz="4" w:space="0" w:color="auto"/>
              <w:right w:val="single" w:sz="4" w:space="0" w:color="auto"/>
            </w:tcBorders>
            <w:shd w:val="clear" w:color="auto" w:fill="auto"/>
            <w:noWrap/>
            <w:vAlign w:val="bottom"/>
            <w:hideMark/>
          </w:tcPr>
          <w:p w14:paraId="1DA4B370"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2.558 </w:t>
            </w:r>
          </w:p>
        </w:tc>
      </w:tr>
      <w:tr w:rsidR="001053EF" w:rsidRPr="001053EF" w14:paraId="1B6B0E6A" w14:textId="77777777" w:rsidTr="00446A14">
        <w:trPr>
          <w:trHeight w:val="238"/>
        </w:trPr>
        <w:tc>
          <w:tcPr>
            <w:tcW w:w="409" w:type="pct"/>
            <w:vMerge/>
            <w:tcBorders>
              <w:top w:val="nil"/>
              <w:left w:val="single" w:sz="4" w:space="0" w:color="auto"/>
              <w:bottom w:val="single" w:sz="8" w:space="0" w:color="000000"/>
              <w:right w:val="single" w:sz="4" w:space="0" w:color="auto"/>
            </w:tcBorders>
            <w:vAlign w:val="center"/>
            <w:hideMark/>
          </w:tcPr>
          <w:p w14:paraId="425AC067"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p>
        </w:tc>
        <w:tc>
          <w:tcPr>
            <w:tcW w:w="1242" w:type="pct"/>
            <w:tcBorders>
              <w:top w:val="nil"/>
              <w:left w:val="nil"/>
              <w:bottom w:val="single" w:sz="4" w:space="0" w:color="auto"/>
              <w:right w:val="single" w:sz="4" w:space="0" w:color="auto"/>
            </w:tcBorders>
            <w:shd w:val="clear" w:color="auto" w:fill="auto"/>
            <w:noWrap/>
            <w:vAlign w:val="bottom"/>
            <w:hideMark/>
          </w:tcPr>
          <w:p w14:paraId="2E940058"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Outubro  </w:t>
            </w:r>
          </w:p>
        </w:tc>
        <w:tc>
          <w:tcPr>
            <w:tcW w:w="1181" w:type="pct"/>
            <w:tcBorders>
              <w:top w:val="nil"/>
              <w:left w:val="nil"/>
              <w:bottom w:val="single" w:sz="4" w:space="0" w:color="auto"/>
              <w:right w:val="single" w:sz="4" w:space="0" w:color="auto"/>
            </w:tcBorders>
            <w:shd w:val="clear" w:color="auto" w:fill="auto"/>
            <w:noWrap/>
            <w:vAlign w:val="bottom"/>
            <w:hideMark/>
          </w:tcPr>
          <w:p w14:paraId="7EDDEA09"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384 </w:t>
            </w:r>
          </w:p>
        </w:tc>
        <w:tc>
          <w:tcPr>
            <w:tcW w:w="986" w:type="pct"/>
            <w:tcBorders>
              <w:top w:val="nil"/>
              <w:left w:val="nil"/>
              <w:bottom w:val="single" w:sz="4" w:space="0" w:color="auto"/>
              <w:right w:val="single" w:sz="4" w:space="0" w:color="auto"/>
            </w:tcBorders>
            <w:shd w:val="clear" w:color="auto" w:fill="auto"/>
            <w:noWrap/>
            <w:vAlign w:val="bottom"/>
            <w:hideMark/>
          </w:tcPr>
          <w:p w14:paraId="226852B5"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10 </w:t>
            </w:r>
          </w:p>
        </w:tc>
        <w:tc>
          <w:tcPr>
            <w:tcW w:w="1181" w:type="pct"/>
            <w:tcBorders>
              <w:top w:val="nil"/>
              <w:left w:val="nil"/>
              <w:bottom w:val="single" w:sz="4" w:space="0" w:color="auto"/>
              <w:right w:val="single" w:sz="4" w:space="0" w:color="auto"/>
            </w:tcBorders>
            <w:shd w:val="clear" w:color="auto" w:fill="auto"/>
            <w:noWrap/>
            <w:vAlign w:val="bottom"/>
            <w:hideMark/>
          </w:tcPr>
          <w:p w14:paraId="1739B1EA"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394 </w:t>
            </w:r>
          </w:p>
        </w:tc>
      </w:tr>
      <w:tr w:rsidR="001053EF" w:rsidRPr="001053EF" w14:paraId="0695B707" w14:textId="77777777" w:rsidTr="00446A14">
        <w:trPr>
          <w:trHeight w:val="238"/>
        </w:trPr>
        <w:tc>
          <w:tcPr>
            <w:tcW w:w="409" w:type="pct"/>
            <w:vMerge/>
            <w:tcBorders>
              <w:top w:val="nil"/>
              <w:left w:val="single" w:sz="4" w:space="0" w:color="auto"/>
              <w:bottom w:val="single" w:sz="8" w:space="0" w:color="000000"/>
              <w:right w:val="single" w:sz="4" w:space="0" w:color="auto"/>
            </w:tcBorders>
            <w:vAlign w:val="center"/>
            <w:hideMark/>
          </w:tcPr>
          <w:p w14:paraId="7514B905"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p>
        </w:tc>
        <w:tc>
          <w:tcPr>
            <w:tcW w:w="1242" w:type="pct"/>
            <w:tcBorders>
              <w:top w:val="nil"/>
              <w:left w:val="nil"/>
              <w:bottom w:val="single" w:sz="4" w:space="0" w:color="auto"/>
              <w:right w:val="single" w:sz="4" w:space="0" w:color="auto"/>
            </w:tcBorders>
            <w:shd w:val="clear" w:color="auto" w:fill="auto"/>
            <w:noWrap/>
            <w:vAlign w:val="bottom"/>
            <w:hideMark/>
          </w:tcPr>
          <w:p w14:paraId="370ADDB8"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Novembro  </w:t>
            </w:r>
          </w:p>
        </w:tc>
        <w:tc>
          <w:tcPr>
            <w:tcW w:w="1181" w:type="pct"/>
            <w:tcBorders>
              <w:top w:val="nil"/>
              <w:left w:val="nil"/>
              <w:bottom w:val="single" w:sz="4" w:space="0" w:color="auto"/>
              <w:right w:val="single" w:sz="4" w:space="0" w:color="auto"/>
            </w:tcBorders>
            <w:shd w:val="clear" w:color="auto" w:fill="auto"/>
            <w:noWrap/>
            <w:vAlign w:val="bottom"/>
            <w:hideMark/>
          </w:tcPr>
          <w:p w14:paraId="36E89AB6"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241 </w:t>
            </w:r>
          </w:p>
        </w:tc>
        <w:tc>
          <w:tcPr>
            <w:tcW w:w="986" w:type="pct"/>
            <w:tcBorders>
              <w:top w:val="nil"/>
              <w:left w:val="nil"/>
              <w:bottom w:val="single" w:sz="4" w:space="0" w:color="auto"/>
              <w:right w:val="single" w:sz="4" w:space="0" w:color="auto"/>
            </w:tcBorders>
            <w:shd w:val="clear" w:color="auto" w:fill="auto"/>
            <w:noWrap/>
            <w:vAlign w:val="bottom"/>
            <w:hideMark/>
          </w:tcPr>
          <w:p w14:paraId="1483FACE"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4 </w:t>
            </w:r>
          </w:p>
        </w:tc>
        <w:tc>
          <w:tcPr>
            <w:tcW w:w="1181" w:type="pct"/>
            <w:tcBorders>
              <w:top w:val="nil"/>
              <w:left w:val="nil"/>
              <w:bottom w:val="single" w:sz="4" w:space="0" w:color="auto"/>
              <w:right w:val="single" w:sz="4" w:space="0" w:color="auto"/>
            </w:tcBorders>
            <w:shd w:val="clear" w:color="auto" w:fill="auto"/>
            <w:noWrap/>
            <w:vAlign w:val="bottom"/>
            <w:hideMark/>
          </w:tcPr>
          <w:p w14:paraId="26397DA4"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245 </w:t>
            </w:r>
          </w:p>
        </w:tc>
      </w:tr>
      <w:tr w:rsidR="001053EF" w:rsidRPr="001053EF" w14:paraId="454C680D" w14:textId="77777777" w:rsidTr="00446A14">
        <w:trPr>
          <w:trHeight w:val="238"/>
        </w:trPr>
        <w:tc>
          <w:tcPr>
            <w:tcW w:w="409" w:type="pct"/>
            <w:vMerge/>
            <w:tcBorders>
              <w:top w:val="nil"/>
              <w:left w:val="single" w:sz="4" w:space="0" w:color="auto"/>
              <w:bottom w:val="single" w:sz="8" w:space="0" w:color="000000"/>
              <w:right w:val="single" w:sz="4" w:space="0" w:color="auto"/>
            </w:tcBorders>
            <w:vAlign w:val="center"/>
            <w:hideMark/>
          </w:tcPr>
          <w:p w14:paraId="389B2EBB"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p>
        </w:tc>
        <w:tc>
          <w:tcPr>
            <w:tcW w:w="1242" w:type="pct"/>
            <w:tcBorders>
              <w:top w:val="nil"/>
              <w:left w:val="nil"/>
              <w:bottom w:val="single" w:sz="8" w:space="0" w:color="auto"/>
              <w:right w:val="single" w:sz="4" w:space="0" w:color="auto"/>
            </w:tcBorders>
            <w:shd w:val="clear" w:color="auto" w:fill="auto"/>
            <w:noWrap/>
            <w:vAlign w:val="bottom"/>
            <w:hideMark/>
          </w:tcPr>
          <w:p w14:paraId="345C95B3" w14:textId="77777777" w:rsidR="001053EF" w:rsidRPr="001053EF" w:rsidRDefault="001053EF" w:rsidP="001053EF">
            <w:pPr>
              <w:spacing w:after="0" w:line="240" w:lineRule="auto"/>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Dezembro  </w:t>
            </w:r>
          </w:p>
        </w:tc>
        <w:tc>
          <w:tcPr>
            <w:tcW w:w="1181" w:type="pct"/>
            <w:tcBorders>
              <w:top w:val="nil"/>
              <w:left w:val="nil"/>
              <w:bottom w:val="single" w:sz="8" w:space="0" w:color="auto"/>
              <w:right w:val="single" w:sz="4" w:space="0" w:color="auto"/>
            </w:tcBorders>
            <w:shd w:val="clear" w:color="auto" w:fill="auto"/>
            <w:noWrap/>
            <w:vAlign w:val="bottom"/>
            <w:hideMark/>
          </w:tcPr>
          <w:p w14:paraId="5EE7BEBB"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6.227 </w:t>
            </w:r>
          </w:p>
        </w:tc>
        <w:tc>
          <w:tcPr>
            <w:tcW w:w="986" w:type="pct"/>
            <w:tcBorders>
              <w:top w:val="nil"/>
              <w:left w:val="nil"/>
              <w:bottom w:val="single" w:sz="8" w:space="0" w:color="auto"/>
              <w:right w:val="single" w:sz="4" w:space="0" w:color="auto"/>
            </w:tcBorders>
            <w:shd w:val="clear" w:color="auto" w:fill="auto"/>
            <w:noWrap/>
            <w:vAlign w:val="bottom"/>
            <w:hideMark/>
          </w:tcPr>
          <w:p w14:paraId="7B8CE971"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13 </w:t>
            </w:r>
          </w:p>
        </w:tc>
        <w:tc>
          <w:tcPr>
            <w:tcW w:w="1181" w:type="pct"/>
            <w:tcBorders>
              <w:top w:val="nil"/>
              <w:left w:val="nil"/>
              <w:bottom w:val="single" w:sz="8" w:space="0" w:color="auto"/>
              <w:right w:val="single" w:sz="4" w:space="0" w:color="auto"/>
            </w:tcBorders>
            <w:shd w:val="clear" w:color="auto" w:fill="auto"/>
            <w:noWrap/>
            <w:vAlign w:val="bottom"/>
            <w:hideMark/>
          </w:tcPr>
          <w:p w14:paraId="67E48843" w14:textId="77777777" w:rsidR="001053EF" w:rsidRPr="001053EF" w:rsidRDefault="001053EF" w:rsidP="001053EF">
            <w:pPr>
              <w:spacing w:after="0" w:line="240" w:lineRule="auto"/>
              <w:jc w:val="right"/>
              <w:rPr>
                <w:rFonts w:ascii="Arial" w:eastAsia="Times New Roman" w:hAnsi="Arial" w:cs="Arial"/>
                <w:color w:val="000000"/>
                <w:kern w:val="0"/>
                <w:sz w:val="18"/>
                <w:szCs w:val="18"/>
                <w:lang w:eastAsia="pt-BR"/>
                <w14:ligatures w14:val="none"/>
              </w:rPr>
            </w:pPr>
            <w:r w:rsidRPr="001053EF">
              <w:rPr>
                <w:rFonts w:ascii="Arial" w:eastAsia="Times New Roman" w:hAnsi="Arial" w:cs="Arial"/>
                <w:color w:val="000000"/>
                <w:kern w:val="0"/>
                <w:sz w:val="18"/>
                <w:szCs w:val="18"/>
                <w:lang w:eastAsia="pt-BR"/>
                <w14:ligatures w14:val="none"/>
              </w:rPr>
              <w:t xml:space="preserve">                           6.240 </w:t>
            </w:r>
          </w:p>
        </w:tc>
      </w:tr>
      <w:tr w:rsidR="001053EF" w:rsidRPr="001053EF" w14:paraId="0439125A" w14:textId="77777777" w:rsidTr="00446A14">
        <w:trPr>
          <w:trHeight w:val="238"/>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14:paraId="1F40A247"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Totais</w:t>
            </w:r>
          </w:p>
        </w:tc>
        <w:tc>
          <w:tcPr>
            <w:tcW w:w="1242" w:type="pct"/>
            <w:tcBorders>
              <w:top w:val="nil"/>
              <w:left w:val="nil"/>
              <w:bottom w:val="single" w:sz="4" w:space="0" w:color="auto"/>
              <w:right w:val="single" w:sz="4" w:space="0" w:color="auto"/>
            </w:tcBorders>
            <w:shd w:val="clear" w:color="auto" w:fill="auto"/>
            <w:noWrap/>
            <w:vAlign w:val="bottom"/>
            <w:hideMark/>
          </w:tcPr>
          <w:p w14:paraId="0D9E3252" w14:textId="77777777" w:rsidR="001053EF" w:rsidRPr="001053EF" w:rsidRDefault="001053EF" w:rsidP="001053EF">
            <w:pPr>
              <w:spacing w:after="0" w:line="240" w:lineRule="auto"/>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 </w:t>
            </w:r>
          </w:p>
        </w:tc>
        <w:tc>
          <w:tcPr>
            <w:tcW w:w="1181" w:type="pct"/>
            <w:tcBorders>
              <w:top w:val="nil"/>
              <w:left w:val="nil"/>
              <w:bottom w:val="single" w:sz="4" w:space="0" w:color="auto"/>
              <w:right w:val="single" w:sz="4" w:space="0" w:color="auto"/>
            </w:tcBorders>
            <w:shd w:val="clear" w:color="auto" w:fill="auto"/>
            <w:noWrap/>
            <w:vAlign w:val="bottom"/>
            <w:hideMark/>
          </w:tcPr>
          <w:p w14:paraId="08FD33EE" w14:textId="77777777" w:rsidR="001053EF" w:rsidRPr="001053EF" w:rsidRDefault="001053EF" w:rsidP="001053EF">
            <w:pPr>
              <w:spacing w:after="0" w:line="240" w:lineRule="auto"/>
              <w:jc w:val="right"/>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 xml:space="preserve">                    1.288.514 </w:t>
            </w:r>
          </w:p>
        </w:tc>
        <w:tc>
          <w:tcPr>
            <w:tcW w:w="986" w:type="pct"/>
            <w:tcBorders>
              <w:top w:val="nil"/>
              <w:left w:val="nil"/>
              <w:bottom w:val="single" w:sz="4" w:space="0" w:color="auto"/>
              <w:right w:val="single" w:sz="4" w:space="0" w:color="auto"/>
            </w:tcBorders>
            <w:shd w:val="clear" w:color="auto" w:fill="auto"/>
            <w:noWrap/>
            <w:vAlign w:val="bottom"/>
            <w:hideMark/>
          </w:tcPr>
          <w:p w14:paraId="74BDF784" w14:textId="77777777" w:rsidR="001053EF" w:rsidRPr="001053EF" w:rsidRDefault="001053EF" w:rsidP="001053EF">
            <w:pPr>
              <w:spacing w:after="0" w:line="240" w:lineRule="auto"/>
              <w:jc w:val="right"/>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 xml:space="preserve">                 451.804 </w:t>
            </w:r>
          </w:p>
        </w:tc>
        <w:tc>
          <w:tcPr>
            <w:tcW w:w="1181" w:type="pct"/>
            <w:tcBorders>
              <w:top w:val="nil"/>
              <w:left w:val="nil"/>
              <w:bottom w:val="single" w:sz="4" w:space="0" w:color="auto"/>
              <w:right w:val="single" w:sz="4" w:space="0" w:color="auto"/>
            </w:tcBorders>
            <w:shd w:val="clear" w:color="auto" w:fill="auto"/>
            <w:noWrap/>
            <w:vAlign w:val="bottom"/>
            <w:hideMark/>
          </w:tcPr>
          <w:p w14:paraId="36CD7CCA" w14:textId="77777777" w:rsidR="001053EF" w:rsidRPr="001053EF" w:rsidRDefault="001053EF" w:rsidP="001053EF">
            <w:pPr>
              <w:spacing w:after="0" w:line="240" w:lineRule="auto"/>
              <w:jc w:val="right"/>
              <w:rPr>
                <w:rFonts w:ascii="Arial" w:eastAsia="Times New Roman" w:hAnsi="Arial" w:cs="Arial"/>
                <w:b/>
                <w:bCs/>
                <w:color w:val="000000"/>
                <w:kern w:val="0"/>
                <w:sz w:val="18"/>
                <w:szCs w:val="18"/>
                <w:lang w:eastAsia="pt-BR"/>
                <w14:ligatures w14:val="none"/>
              </w:rPr>
            </w:pPr>
            <w:r w:rsidRPr="001053EF">
              <w:rPr>
                <w:rFonts w:ascii="Arial" w:eastAsia="Times New Roman" w:hAnsi="Arial" w:cs="Arial"/>
                <w:b/>
                <w:bCs/>
                <w:color w:val="000000"/>
                <w:kern w:val="0"/>
                <w:sz w:val="18"/>
                <w:szCs w:val="18"/>
                <w:lang w:eastAsia="pt-BR"/>
                <w14:ligatures w14:val="none"/>
              </w:rPr>
              <w:t xml:space="preserve">                    1.740.318 </w:t>
            </w:r>
          </w:p>
        </w:tc>
      </w:tr>
    </w:tbl>
    <w:p w14:paraId="7F374638" w14:textId="77777777" w:rsidR="001053EF" w:rsidRPr="001053EF" w:rsidRDefault="001053EF" w:rsidP="001053EF">
      <w:pPr>
        <w:spacing w:after="0" w:line="276" w:lineRule="auto"/>
        <w:jc w:val="both"/>
        <w:rPr>
          <w:rFonts w:ascii="Arial" w:eastAsia="Times New Roman" w:hAnsi="Arial" w:cs="Arial"/>
          <w:kern w:val="0"/>
          <w:sz w:val="20"/>
          <w:szCs w:val="20"/>
          <w:lang w:eastAsia="pt-BR"/>
          <w14:ligatures w14:val="none"/>
        </w:rPr>
      </w:pPr>
      <w:r w:rsidRPr="001053EF">
        <w:rPr>
          <w:rFonts w:ascii="Arial" w:eastAsia="Times New Roman" w:hAnsi="Arial" w:cs="Arial"/>
          <w:kern w:val="0"/>
          <w:sz w:val="20"/>
          <w:szCs w:val="20"/>
          <w:lang w:eastAsia="pt-BR"/>
          <w14:ligatures w14:val="none"/>
        </w:rPr>
        <w:t>(i) Juros acumulados a partir do dia seguinte ao valor aportado até a data das demonstrações contábeis em referência.</w:t>
      </w:r>
    </w:p>
    <w:p w14:paraId="08CBE0A9" w14:textId="3792A640" w:rsidR="001053EF" w:rsidRPr="001053EF" w:rsidRDefault="001053EF" w:rsidP="001053EF">
      <w:pPr>
        <w:autoSpaceDE w:val="0"/>
        <w:autoSpaceDN w:val="0"/>
        <w:adjustRightInd w:val="0"/>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23.2. </w:t>
      </w:r>
      <w:r w:rsidRPr="001053EF">
        <w:rPr>
          <w:rFonts w:ascii="Calibri" w:eastAsia="Times New Roman" w:hAnsi="Calibri" w:cs="Calibri"/>
          <w:b/>
          <w:bCs/>
          <w:iCs/>
          <w:color w:val="002060"/>
          <w:kern w:val="0"/>
          <w14:ligatures w14:val="none"/>
        </w:rPr>
        <w:t>Movimentação no período</w:t>
      </w:r>
    </w:p>
    <w:p w14:paraId="2AD0B99D" w14:textId="77777777" w:rsidR="001053EF" w:rsidRPr="001053EF" w:rsidRDefault="001053EF" w:rsidP="001053EF">
      <w:pPr>
        <w:autoSpaceDE w:val="0"/>
        <w:autoSpaceDN w:val="0"/>
        <w:adjustRightInd w:val="0"/>
        <w:spacing w:after="0" w:line="240" w:lineRule="auto"/>
        <w:jc w:val="both"/>
        <w:rPr>
          <w:rFonts w:ascii="Calibri" w:eastAsia="Times New Roman" w:hAnsi="Calibri" w:cs="Calibri"/>
          <w:iCs/>
          <w:color w:val="002060"/>
          <w:kern w:val="0"/>
          <w14:ligatures w14:val="none"/>
        </w:rPr>
      </w:pPr>
      <w:r w:rsidRPr="001053EF">
        <w:rPr>
          <w:rFonts w:ascii="Calibri" w:eastAsia="Times New Roman" w:hAnsi="Calibri" w:cs="Calibri"/>
          <w:iCs/>
          <w:color w:val="002060"/>
          <w:kern w:val="0"/>
          <w14:ligatures w14:val="none"/>
        </w:rPr>
        <w:t>O quadro a seguir apresenta a movimentação dos Adiantamentos para Futuro Aumento de Capital no trimestre findo em 31 de dezembro de 2023, de acordo com a sua destinação:</w:t>
      </w:r>
    </w:p>
    <w:tbl>
      <w:tblPr>
        <w:tblW w:w="5000" w:type="pct"/>
        <w:tblCellMar>
          <w:left w:w="70" w:type="dxa"/>
          <w:right w:w="70" w:type="dxa"/>
        </w:tblCellMar>
        <w:tblLook w:val="04A0" w:firstRow="1" w:lastRow="0" w:firstColumn="1" w:lastColumn="0" w:noHBand="0" w:noVBand="1"/>
      </w:tblPr>
      <w:tblGrid>
        <w:gridCol w:w="7336"/>
        <w:gridCol w:w="2435"/>
      </w:tblGrid>
      <w:tr w:rsidR="00D202FD" w:rsidRPr="00D202FD" w14:paraId="1DB4F74D" w14:textId="77777777" w:rsidTr="00446A14">
        <w:trPr>
          <w:trHeight w:val="238"/>
        </w:trPr>
        <w:tc>
          <w:tcPr>
            <w:tcW w:w="37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9A32E" w14:textId="77777777" w:rsidR="00D202FD" w:rsidRPr="00D202FD" w:rsidRDefault="00D202FD" w:rsidP="00D202FD">
            <w:pPr>
              <w:spacing w:after="0" w:line="240" w:lineRule="auto"/>
              <w:rPr>
                <w:rFonts w:ascii="Arial" w:eastAsia="Times New Roman" w:hAnsi="Arial" w:cs="Arial"/>
                <w:b/>
                <w:bCs/>
                <w:color w:val="000000"/>
                <w:kern w:val="0"/>
                <w:sz w:val="18"/>
                <w:szCs w:val="18"/>
                <w:lang w:eastAsia="pt-BR"/>
                <w14:ligatures w14:val="none"/>
              </w:rPr>
            </w:pPr>
            <w:r w:rsidRPr="00D202FD">
              <w:rPr>
                <w:rFonts w:ascii="Arial" w:eastAsia="Times New Roman" w:hAnsi="Arial" w:cs="Arial"/>
                <w:b/>
                <w:bCs/>
                <w:color w:val="000000"/>
                <w:kern w:val="0"/>
                <w:sz w:val="18"/>
                <w:szCs w:val="18"/>
                <w:lang w:eastAsia="pt-BR"/>
                <w14:ligatures w14:val="none"/>
              </w:rPr>
              <w:t>Saldo 31 de dezembro de 2022 - Reapresentado</w:t>
            </w:r>
          </w:p>
        </w:tc>
        <w:tc>
          <w:tcPr>
            <w:tcW w:w="1246" w:type="pct"/>
            <w:tcBorders>
              <w:top w:val="single" w:sz="4" w:space="0" w:color="auto"/>
              <w:left w:val="nil"/>
              <w:bottom w:val="single" w:sz="4" w:space="0" w:color="auto"/>
              <w:right w:val="single" w:sz="4" w:space="0" w:color="auto"/>
            </w:tcBorders>
            <w:shd w:val="clear" w:color="auto" w:fill="auto"/>
            <w:noWrap/>
            <w:vAlign w:val="bottom"/>
            <w:hideMark/>
          </w:tcPr>
          <w:p w14:paraId="46D61373" w14:textId="77777777" w:rsidR="00D202FD" w:rsidRPr="00D202FD" w:rsidRDefault="00D202FD" w:rsidP="00D202FD">
            <w:pPr>
              <w:spacing w:after="0" w:line="240" w:lineRule="auto"/>
              <w:jc w:val="right"/>
              <w:rPr>
                <w:rFonts w:ascii="Arial" w:eastAsia="Times New Roman" w:hAnsi="Arial" w:cs="Arial"/>
                <w:b/>
                <w:bCs/>
                <w:color w:val="000000"/>
                <w:kern w:val="0"/>
                <w:sz w:val="18"/>
                <w:szCs w:val="18"/>
                <w:lang w:eastAsia="pt-BR"/>
                <w14:ligatures w14:val="none"/>
              </w:rPr>
            </w:pPr>
            <w:r w:rsidRPr="00D202FD">
              <w:rPr>
                <w:rFonts w:ascii="Arial" w:eastAsia="Times New Roman" w:hAnsi="Arial" w:cs="Arial"/>
                <w:b/>
                <w:bCs/>
                <w:color w:val="000000"/>
                <w:kern w:val="0"/>
                <w:sz w:val="18"/>
                <w:szCs w:val="18"/>
                <w:lang w:eastAsia="pt-BR"/>
                <w14:ligatures w14:val="none"/>
              </w:rPr>
              <w:t xml:space="preserve">           1.497.496 </w:t>
            </w:r>
          </w:p>
        </w:tc>
      </w:tr>
      <w:tr w:rsidR="00D202FD" w:rsidRPr="00D202FD" w14:paraId="04215C4B" w14:textId="77777777" w:rsidTr="00446A14">
        <w:trPr>
          <w:trHeight w:val="238"/>
        </w:trPr>
        <w:tc>
          <w:tcPr>
            <w:tcW w:w="3754" w:type="pct"/>
            <w:tcBorders>
              <w:top w:val="nil"/>
              <w:left w:val="single" w:sz="4" w:space="0" w:color="auto"/>
              <w:bottom w:val="single" w:sz="4" w:space="0" w:color="auto"/>
              <w:right w:val="single" w:sz="4" w:space="0" w:color="auto"/>
            </w:tcBorders>
            <w:shd w:val="clear" w:color="auto" w:fill="auto"/>
            <w:noWrap/>
            <w:vAlign w:val="bottom"/>
            <w:hideMark/>
          </w:tcPr>
          <w:p w14:paraId="427FF441" w14:textId="77777777" w:rsidR="00D202FD" w:rsidRPr="00D202FD" w:rsidRDefault="00D202FD" w:rsidP="00D202FD">
            <w:pPr>
              <w:spacing w:after="0" w:line="240" w:lineRule="auto"/>
              <w:rPr>
                <w:rFonts w:ascii="Arial" w:eastAsia="Times New Roman" w:hAnsi="Arial" w:cs="Arial"/>
                <w:color w:val="000000"/>
                <w:kern w:val="0"/>
                <w:sz w:val="18"/>
                <w:szCs w:val="18"/>
                <w:lang w:eastAsia="pt-BR"/>
                <w14:ligatures w14:val="none"/>
              </w:rPr>
            </w:pPr>
            <w:r w:rsidRPr="00D202FD">
              <w:rPr>
                <w:rFonts w:ascii="Arial" w:eastAsia="Times New Roman" w:hAnsi="Arial" w:cs="Arial"/>
                <w:color w:val="000000"/>
                <w:kern w:val="0"/>
                <w:sz w:val="18"/>
                <w:szCs w:val="18"/>
                <w:lang w:eastAsia="pt-BR"/>
                <w14:ligatures w14:val="none"/>
              </w:rPr>
              <w:t>AFAC Recebidos</w:t>
            </w:r>
          </w:p>
        </w:tc>
        <w:tc>
          <w:tcPr>
            <w:tcW w:w="1246" w:type="pct"/>
            <w:tcBorders>
              <w:top w:val="nil"/>
              <w:left w:val="nil"/>
              <w:bottom w:val="single" w:sz="4" w:space="0" w:color="auto"/>
              <w:right w:val="single" w:sz="4" w:space="0" w:color="auto"/>
            </w:tcBorders>
            <w:shd w:val="clear" w:color="auto" w:fill="auto"/>
            <w:noWrap/>
            <w:vAlign w:val="bottom"/>
            <w:hideMark/>
          </w:tcPr>
          <w:p w14:paraId="41CA2CB1" w14:textId="77777777" w:rsidR="00D202FD" w:rsidRPr="00D202FD" w:rsidRDefault="00D202FD" w:rsidP="00D202FD">
            <w:pPr>
              <w:spacing w:after="0" w:line="240" w:lineRule="auto"/>
              <w:jc w:val="right"/>
              <w:rPr>
                <w:rFonts w:ascii="Arial" w:eastAsia="Times New Roman" w:hAnsi="Arial" w:cs="Arial"/>
                <w:color w:val="000000"/>
                <w:kern w:val="0"/>
                <w:sz w:val="18"/>
                <w:szCs w:val="18"/>
                <w:lang w:eastAsia="pt-BR"/>
                <w14:ligatures w14:val="none"/>
              </w:rPr>
            </w:pPr>
            <w:r w:rsidRPr="00D202FD">
              <w:rPr>
                <w:rFonts w:ascii="Arial" w:eastAsia="Times New Roman" w:hAnsi="Arial" w:cs="Arial"/>
                <w:color w:val="000000"/>
                <w:kern w:val="0"/>
                <w:sz w:val="18"/>
                <w:szCs w:val="18"/>
                <w:lang w:eastAsia="pt-BR"/>
                <w14:ligatures w14:val="none"/>
              </w:rPr>
              <w:t xml:space="preserve">                44.406 </w:t>
            </w:r>
          </w:p>
        </w:tc>
      </w:tr>
      <w:tr w:rsidR="00D202FD" w:rsidRPr="00D202FD" w14:paraId="2314C8B6" w14:textId="77777777" w:rsidTr="00446A14">
        <w:trPr>
          <w:trHeight w:val="238"/>
        </w:trPr>
        <w:tc>
          <w:tcPr>
            <w:tcW w:w="3754" w:type="pct"/>
            <w:tcBorders>
              <w:top w:val="nil"/>
              <w:left w:val="single" w:sz="4" w:space="0" w:color="auto"/>
              <w:bottom w:val="single" w:sz="4" w:space="0" w:color="auto"/>
              <w:right w:val="single" w:sz="4" w:space="0" w:color="auto"/>
            </w:tcBorders>
            <w:shd w:val="clear" w:color="auto" w:fill="auto"/>
            <w:noWrap/>
            <w:vAlign w:val="bottom"/>
            <w:hideMark/>
          </w:tcPr>
          <w:p w14:paraId="0EDE627F" w14:textId="77777777" w:rsidR="00D202FD" w:rsidRPr="00D202FD" w:rsidRDefault="00D202FD" w:rsidP="00D202FD">
            <w:pPr>
              <w:spacing w:after="0" w:line="240" w:lineRule="auto"/>
              <w:rPr>
                <w:rFonts w:ascii="Arial" w:eastAsia="Times New Roman" w:hAnsi="Arial" w:cs="Arial"/>
                <w:color w:val="000000"/>
                <w:kern w:val="0"/>
                <w:sz w:val="18"/>
                <w:szCs w:val="18"/>
                <w:lang w:eastAsia="pt-BR"/>
                <w14:ligatures w14:val="none"/>
              </w:rPr>
            </w:pPr>
            <w:r w:rsidRPr="00D202FD">
              <w:rPr>
                <w:rFonts w:ascii="Arial" w:eastAsia="Times New Roman" w:hAnsi="Arial" w:cs="Arial"/>
                <w:color w:val="000000"/>
                <w:kern w:val="0"/>
                <w:sz w:val="18"/>
                <w:szCs w:val="18"/>
                <w:lang w:eastAsia="pt-BR"/>
                <w14:ligatures w14:val="none"/>
              </w:rPr>
              <w:t>Juros sobre AFAC - Selic</w:t>
            </w:r>
          </w:p>
        </w:tc>
        <w:tc>
          <w:tcPr>
            <w:tcW w:w="1246" w:type="pct"/>
            <w:tcBorders>
              <w:top w:val="nil"/>
              <w:left w:val="nil"/>
              <w:bottom w:val="single" w:sz="4" w:space="0" w:color="auto"/>
              <w:right w:val="single" w:sz="4" w:space="0" w:color="auto"/>
            </w:tcBorders>
            <w:shd w:val="clear" w:color="auto" w:fill="auto"/>
            <w:noWrap/>
            <w:vAlign w:val="bottom"/>
            <w:hideMark/>
          </w:tcPr>
          <w:p w14:paraId="04754CED" w14:textId="77777777" w:rsidR="00D202FD" w:rsidRPr="00D202FD" w:rsidRDefault="00D202FD" w:rsidP="00D202FD">
            <w:pPr>
              <w:spacing w:after="0" w:line="240" w:lineRule="auto"/>
              <w:jc w:val="right"/>
              <w:rPr>
                <w:rFonts w:ascii="Arial" w:eastAsia="Times New Roman" w:hAnsi="Arial" w:cs="Arial"/>
                <w:color w:val="000000"/>
                <w:kern w:val="0"/>
                <w:sz w:val="18"/>
                <w:szCs w:val="18"/>
                <w:lang w:eastAsia="pt-BR"/>
                <w14:ligatures w14:val="none"/>
              </w:rPr>
            </w:pPr>
            <w:r w:rsidRPr="00D202FD">
              <w:rPr>
                <w:rFonts w:ascii="Arial" w:eastAsia="Times New Roman" w:hAnsi="Arial" w:cs="Arial"/>
                <w:color w:val="000000"/>
                <w:kern w:val="0"/>
                <w:sz w:val="18"/>
                <w:szCs w:val="18"/>
                <w:lang w:eastAsia="pt-BR"/>
                <w14:ligatures w14:val="none"/>
              </w:rPr>
              <w:t xml:space="preserve">              198.416 </w:t>
            </w:r>
          </w:p>
        </w:tc>
      </w:tr>
      <w:tr w:rsidR="00D202FD" w:rsidRPr="00D202FD" w14:paraId="32CFC812" w14:textId="77777777" w:rsidTr="00446A14">
        <w:trPr>
          <w:trHeight w:val="238"/>
        </w:trPr>
        <w:tc>
          <w:tcPr>
            <w:tcW w:w="3754" w:type="pct"/>
            <w:tcBorders>
              <w:top w:val="nil"/>
              <w:left w:val="single" w:sz="4" w:space="0" w:color="auto"/>
              <w:bottom w:val="single" w:sz="4" w:space="0" w:color="auto"/>
              <w:right w:val="single" w:sz="4" w:space="0" w:color="auto"/>
            </w:tcBorders>
            <w:shd w:val="clear" w:color="auto" w:fill="auto"/>
            <w:noWrap/>
            <w:vAlign w:val="bottom"/>
            <w:hideMark/>
          </w:tcPr>
          <w:p w14:paraId="6F64B2D3" w14:textId="77777777" w:rsidR="00D202FD" w:rsidRPr="00D202FD" w:rsidRDefault="00D202FD" w:rsidP="00D202FD">
            <w:pPr>
              <w:spacing w:after="0" w:line="240" w:lineRule="auto"/>
              <w:rPr>
                <w:rFonts w:ascii="Arial" w:eastAsia="Times New Roman" w:hAnsi="Arial" w:cs="Arial"/>
                <w:b/>
                <w:bCs/>
                <w:color w:val="000000"/>
                <w:kern w:val="0"/>
                <w:sz w:val="18"/>
                <w:szCs w:val="18"/>
                <w:lang w:eastAsia="pt-BR"/>
                <w14:ligatures w14:val="none"/>
              </w:rPr>
            </w:pPr>
            <w:r w:rsidRPr="00D202FD">
              <w:rPr>
                <w:rFonts w:ascii="Arial" w:eastAsia="Times New Roman" w:hAnsi="Arial" w:cs="Arial"/>
                <w:b/>
                <w:bCs/>
                <w:color w:val="000000"/>
                <w:kern w:val="0"/>
                <w:sz w:val="18"/>
                <w:szCs w:val="18"/>
                <w:lang w:eastAsia="pt-BR"/>
                <w14:ligatures w14:val="none"/>
              </w:rPr>
              <w:t>Saldo em 31 de dezembro de 2023</w:t>
            </w:r>
          </w:p>
        </w:tc>
        <w:tc>
          <w:tcPr>
            <w:tcW w:w="1246" w:type="pct"/>
            <w:tcBorders>
              <w:top w:val="nil"/>
              <w:left w:val="nil"/>
              <w:bottom w:val="single" w:sz="4" w:space="0" w:color="auto"/>
              <w:right w:val="single" w:sz="4" w:space="0" w:color="auto"/>
            </w:tcBorders>
            <w:shd w:val="clear" w:color="auto" w:fill="auto"/>
            <w:noWrap/>
            <w:vAlign w:val="bottom"/>
            <w:hideMark/>
          </w:tcPr>
          <w:p w14:paraId="052D3826" w14:textId="77777777" w:rsidR="00D202FD" w:rsidRPr="00D202FD" w:rsidRDefault="00D202FD" w:rsidP="00D202FD">
            <w:pPr>
              <w:spacing w:after="0" w:line="240" w:lineRule="auto"/>
              <w:jc w:val="right"/>
              <w:rPr>
                <w:rFonts w:ascii="Arial" w:eastAsia="Times New Roman" w:hAnsi="Arial" w:cs="Arial"/>
                <w:b/>
                <w:bCs/>
                <w:color w:val="000000"/>
                <w:kern w:val="0"/>
                <w:sz w:val="18"/>
                <w:szCs w:val="18"/>
                <w:lang w:eastAsia="pt-BR"/>
                <w14:ligatures w14:val="none"/>
              </w:rPr>
            </w:pPr>
            <w:r w:rsidRPr="00D202FD">
              <w:rPr>
                <w:rFonts w:ascii="Arial" w:eastAsia="Times New Roman" w:hAnsi="Arial" w:cs="Arial"/>
                <w:b/>
                <w:bCs/>
                <w:color w:val="000000"/>
                <w:kern w:val="0"/>
                <w:sz w:val="18"/>
                <w:szCs w:val="18"/>
                <w:lang w:eastAsia="pt-BR"/>
                <w14:ligatures w14:val="none"/>
              </w:rPr>
              <w:t xml:space="preserve">           1.740.318 </w:t>
            </w:r>
          </w:p>
        </w:tc>
      </w:tr>
    </w:tbl>
    <w:p w14:paraId="0C3AD10C" w14:textId="1AE7BB0D" w:rsidR="00D202FD" w:rsidRPr="00D202FD" w:rsidRDefault="00D202FD" w:rsidP="00D202FD">
      <w:pPr>
        <w:autoSpaceDE w:val="0"/>
        <w:autoSpaceDN w:val="0"/>
        <w:adjustRightInd w:val="0"/>
        <w:spacing w:after="0" w:line="240" w:lineRule="auto"/>
        <w:jc w:val="both"/>
        <w:rPr>
          <w:rFonts w:ascii="Calibri" w:eastAsia="Times New Roman" w:hAnsi="Calibri" w:cs="Calibri"/>
          <w:b/>
          <w:bCs/>
          <w:iCs/>
          <w:color w:val="002060"/>
          <w:kern w:val="0"/>
          <w14:ligatures w14:val="none"/>
        </w:rPr>
      </w:pPr>
      <w:bookmarkStart w:id="422" w:name="_Toc491337758"/>
      <w:r>
        <w:rPr>
          <w:rFonts w:ascii="Calibri" w:eastAsia="Times New Roman" w:hAnsi="Calibri" w:cs="Calibri"/>
          <w:b/>
          <w:bCs/>
          <w:iCs/>
          <w:color w:val="002060"/>
          <w:kern w:val="0"/>
          <w14:ligatures w14:val="none"/>
        </w:rPr>
        <w:t xml:space="preserve">24. </w:t>
      </w:r>
      <w:r w:rsidRPr="00D202FD">
        <w:rPr>
          <w:rFonts w:ascii="Calibri" w:eastAsia="Times New Roman" w:hAnsi="Calibri" w:cs="Calibri"/>
          <w:b/>
          <w:bCs/>
          <w:iCs/>
          <w:color w:val="002060"/>
          <w:kern w:val="0"/>
          <w14:ligatures w14:val="none"/>
        </w:rPr>
        <w:t>EMPRÉSTIMOS E FINANCIAMENTOS</w:t>
      </w:r>
      <w:bookmarkEnd w:id="422"/>
      <w:r w:rsidRPr="00D202FD">
        <w:rPr>
          <w:rFonts w:ascii="Calibri" w:eastAsia="Times New Roman" w:hAnsi="Calibri" w:cs="Calibri"/>
          <w:b/>
          <w:bCs/>
          <w:iCs/>
          <w:color w:val="002060"/>
          <w:kern w:val="0"/>
          <w14:ligatures w14:val="none"/>
        </w:rPr>
        <w:t xml:space="preserve"> E ARRENDAMENTO MERCANTIL FINANCEIRO</w:t>
      </w:r>
    </w:p>
    <w:p w14:paraId="0E108509" w14:textId="37428477" w:rsidR="00D202FD" w:rsidRDefault="00D202FD" w:rsidP="00D202FD">
      <w:pPr>
        <w:autoSpaceDE w:val="0"/>
        <w:autoSpaceDN w:val="0"/>
        <w:adjustRightInd w:val="0"/>
        <w:spacing w:after="0" w:line="240" w:lineRule="auto"/>
        <w:jc w:val="both"/>
        <w:rPr>
          <w:rFonts w:ascii="Calibri" w:eastAsia="Times New Roman" w:hAnsi="Calibri" w:cs="Calibri"/>
          <w:b/>
          <w:bCs/>
          <w:iCs/>
          <w:color w:val="002060"/>
          <w:kern w:val="0"/>
          <w14:ligatures w14:val="none"/>
        </w:rPr>
      </w:pPr>
      <w:r w:rsidRPr="00D202FD">
        <w:rPr>
          <w:rFonts w:ascii="Calibri" w:eastAsia="Times New Roman" w:hAnsi="Calibri" w:cs="Calibri"/>
          <w:b/>
          <w:bCs/>
          <w:iCs/>
          <w:color w:val="002060"/>
          <w:kern w:val="0"/>
          <w14:ligatures w14:val="none"/>
        </w:rPr>
        <w:t xml:space="preserve">24.1. Empréstimos e financiamentos – FINEP </w:t>
      </w:r>
    </w:p>
    <w:tbl>
      <w:tblPr>
        <w:tblW w:w="5000" w:type="pct"/>
        <w:tblCellMar>
          <w:left w:w="70" w:type="dxa"/>
          <w:right w:w="70" w:type="dxa"/>
        </w:tblCellMar>
        <w:tblLook w:val="04A0" w:firstRow="1" w:lastRow="0" w:firstColumn="1" w:lastColumn="0" w:noHBand="0" w:noVBand="1"/>
      </w:tblPr>
      <w:tblGrid>
        <w:gridCol w:w="6807"/>
        <w:gridCol w:w="1478"/>
        <w:gridCol w:w="1476"/>
      </w:tblGrid>
      <w:tr w:rsidR="006772AA" w:rsidRPr="006772AA" w14:paraId="7A769ADE" w14:textId="77777777" w:rsidTr="00446A14">
        <w:trPr>
          <w:trHeight w:val="260"/>
        </w:trPr>
        <w:tc>
          <w:tcPr>
            <w:tcW w:w="3487"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182EF004" w14:textId="77777777" w:rsidR="006772AA" w:rsidRPr="006772AA" w:rsidRDefault="006772AA" w:rsidP="006772AA">
            <w:pPr>
              <w:spacing w:after="0" w:line="240" w:lineRule="auto"/>
              <w:rPr>
                <w:rFonts w:ascii="Arial" w:eastAsia="Times New Roman" w:hAnsi="Arial" w:cs="Arial"/>
                <w:b/>
                <w:bCs/>
                <w:color w:val="000000"/>
                <w:kern w:val="0"/>
                <w:sz w:val="18"/>
                <w:szCs w:val="18"/>
                <w:lang w:eastAsia="pt-BR"/>
                <w14:ligatures w14:val="none"/>
              </w:rPr>
            </w:pPr>
            <w:r w:rsidRPr="006772AA">
              <w:rPr>
                <w:rFonts w:ascii="Arial" w:eastAsia="Times New Roman" w:hAnsi="Arial" w:cs="Arial"/>
                <w:b/>
                <w:bCs/>
                <w:color w:val="000000"/>
                <w:kern w:val="0"/>
                <w:sz w:val="18"/>
                <w:szCs w:val="18"/>
                <w:lang w:eastAsia="pt-BR"/>
                <w14:ligatures w14:val="none"/>
              </w:rPr>
              <w:t>Composição: </w:t>
            </w:r>
          </w:p>
        </w:tc>
        <w:tc>
          <w:tcPr>
            <w:tcW w:w="757" w:type="pct"/>
            <w:tcBorders>
              <w:top w:val="single" w:sz="8" w:space="0" w:color="auto"/>
              <w:left w:val="nil"/>
              <w:bottom w:val="single" w:sz="8" w:space="0" w:color="auto"/>
              <w:right w:val="single" w:sz="8" w:space="0" w:color="auto"/>
            </w:tcBorders>
            <w:shd w:val="clear" w:color="auto" w:fill="auto"/>
            <w:noWrap/>
            <w:vAlign w:val="center"/>
            <w:hideMark/>
          </w:tcPr>
          <w:p w14:paraId="5BBA871E" w14:textId="77777777" w:rsidR="006772AA" w:rsidRPr="006772AA" w:rsidRDefault="006772AA" w:rsidP="006772AA">
            <w:pPr>
              <w:spacing w:after="0" w:line="240" w:lineRule="auto"/>
              <w:jc w:val="center"/>
              <w:rPr>
                <w:rFonts w:ascii="Arial" w:eastAsia="Times New Roman" w:hAnsi="Arial" w:cs="Arial"/>
                <w:b/>
                <w:bCs/>
                <w:color w:val="000000"/>
                <w:kern w:val="0"/>
                <w:sz w:val="18"/>
                <w:szCs w:val="18"/>
                <w:lang w:eastAsia="pt-BR"/>
                <w14:ligatures w14:val="none"/>
              </w:rPr>
            </w:pPr>
            <w:r w:rsidRPr="006772AA">
              <w:rPr>
                <w:rFonts w:ascii="Arial" w:eastAsia="Times New Roman" w:hAnsi="Arial" w:cs="Arial"/>
                <w:b/>
                <w:bCs/>
                <w:color w:val="000000"/>
                <w:kern w:val="0"/>
                <w:sz w:val="18"/>
                <w:szCs w:val="18"/>
                <w:lang w:eastAsia="pt-BR"/>
                <w14:ligatures w14:val="none"/>
              </w:rPr>
              <w:t>31/12/2023</w:t>
            </w:r>
          </w:p>
        </w:tc>
        <w:tc>
          <w:tcPr>
            <w:tcW w:w="756" w:type="pct"/>
            <w:tcBorders>
              <w:top w:val="single" w:sz="8" w:space="0" w:color="auto"/>
              <w:left w:val="nil"/>
              <w:bottom w:val="single" w:sz="8" w:space="0" w:color="auto"/>
              <w:right w:val="single" w:sz="8" w:space="0" w:color="auto"/>
            </w:tcBorders>
            <w:shd w:val="clear" w:color="auto" w:fill="auto"/>
            <w:noWrap/>
            <w:vAlign w:val="center"/>
            <w:hideMark/>
          </w:tcPr>
          <w:p w14:paraId="1DDE768C" w14:textId="77777777" w:rsidR="006772AA" w:rsidRPr="006772AA" w:rsidRDefault="006772AA" w:rsidP="006772AA">
            <w:pPr>
              <w:spacing w:after="0" w:line="240" w:lineRule="auto"/>
              <w:jc w:val="center"/>
              <w:rPr>
                <w:rFonts w:ascii="Arial" w:eastAsia="Times New Roman" w:hAnsi="Arial" w:cs="Arial"/>
                <w:b/>
                <w:bCs/>
                <w:color w:val="000000"/>
                <w:kern w:val="0"/>
                <w:sz w:val="18"/>
                <w:szCs w:val="18"/>
                <w:lang w:eastAsia="pt-BR"/>
                <w14:ligatures w14:val="none"/>
              </w:rPr>
            </w:pPr>
            <w:r w:rsidRPr="006772AA">
              <w:rPr>
                <w:rFonts w:ascii="Arial" w:eastAsia="Times New Roman" w:hAnsi="Arial" w:cs="Arial"/>
                <w:b/>
                <w:bCs/>
                <w:color w:val="000000"/>
                <w:kern w:val="0"/>
                <w:sz w:val="18"/>
                <w:szCs w:val="18"/>
                <w:lang w:eastAsia="pt-BR"/>
                <w14:ligatures w14:val="none"/>
              </w:rPr>
              <w:t>31/12/2022</w:t>
            </w:r>
          </w:p>
        </w:tc>
      </w:tr>
      <w:tr w:rsidR="006772AA" w:rsidRPr="006772AA" w14:paraId="1936B0A5" w14:textId="77777777" w:rsidTr="00446A14">
        <w:trPr>
          <w:trHeight w:val="260"/>
        </w:trPr>
        <w:tc>
          <w:tcPr>
            <w:tcW w:w="3487" w:type="pct"/>
            <w:tcBorders>
              <w:top w:val="nil"/>
              <w:left w:val="single" w:sz="8" w:space="0" w:color="auto"/>
              <w:bottom w:val="single" w:sz="8" w:space="0" w:color="auto"/>
              <w:right w:val="single" w:sz="8" w:space="0" w:color="auto"/>
            </w:tcBorders>
            <w:shd w:val="clear" w:color="auto" w:fill="auto"/>
            <w:vAlign w:val="center"/>
            <w:hideMark/>
          </w:tcPr>
          <w:p w14:paraId="332037D3" w14:textId="77777777" w:rsidR="006772AA" w:rsidRPr="006772AA" w:rsidRDefault="006772AA" w:rsidP="006772AA">
            <w:pPr>
              <w:spacing w:after="0" w:line="240" w:lineRule="auto"/>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 xml:space="preserve">Principal </w:t>
            </w:r>
          </w:p>
        </w:tc>
        <w:tc>
          <w:tcPr>
            <w:tcW w:w="757" w:type="pct"/>
            <w:tcBorders>
              <w:top w:val="nil"/>
              <w:left w:val="nil"/>
              <w:bottom w:val="single" w:sz="8" w:space="0" w:color="auto"/>
              <w:right w:val="single" w:sz="8" w:space="0" w:color="auto"/>
            </w:tcBorders>
            <w:shd w:val="clear" w:color="auto" w:fill="auto"/>
            <w:vAlign w:val="center"/>
            <w:hideMark/>
          </w:tcPr>
          <w:p w14:paraId="760A792F" w14:textId="77777777" w:rsidR="006772AA" w:rsidRPr="006772AA" w:rsidRDefault="006772AA" w:rsidP="006772AA">
            <w:pPr>
              <w:spacing w:after="0" w:line="240" w:lineRule="auto"/>
              <w:jc w:val="right"/>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75.726</w:t>
            </w:r>
          </w:p>
        </w:tc>
        <w:tc>
          <w:tcPr>
            <w:tcW w:w="756" w:type="pct"/>
            <w:tcBorders>
              <w:top w:val="nil"/>
              <w:left w:val="nil"/>
              <w:bottom w:val="single" w:sz="8" w:space="0" w:color="auto"/>
              <w:right w:val="single" w:sz="8" w:space="0" w:color="auto"/>
            </w:tcBorders>
            <w:shd w:val="clear" w:color="auto" w:fill="auto"/>
            <w:vAlign w:val="center"/>
            <w:hideMark/>
          </w:tcPr>
          <w:p w14:paraId="0AD7F09F" w14:textId="77777777" w:rsidR="006772AA" w:rsidRPr="006772AA" w:rsidRDefault="006772AA" w:rsidP="006772AA">
            <w:pPr>
              <w:spacing w:after="0" w:line="240" w:lineRule="auto"/>
              <w:jc w:val="right"/>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123.956</w:t>
            </w:r>
          </w:p>
        </w:tc>
      </w:tr>
      <w:tr w:rsidR="006772AA" w:rsidRPr="006772AA" w14:paraId="308F6A07" w14:textId="77777777" w:rsidTr="00446A14">
        <w:trPr>
          <w:trHeight w:val="260"/>
        </w:trPr>
        <w:tc>
          <w:tcPr>
            <w:tcW w:w="3487" w:type="pct"/>
            <w:tcBorders>
              <w:top w:val="nil"/>
              <w:left w:val="single" w:sz="8" w:space="0" w:color="auto"/>
              <w:bottom w:val="single" w:sz="8" w:space="0" w:color="auto"/>
              <w:right w:val="single" w:sz="8" w:space="0" w:color="auto"/>
            </w:tcBorders>
            <w:shd w:val="clear" w:color="auto" w:fill="auto"/>
            <w:vAlign w:val="center"/>
            <w:hideMark/>
          </w:tcPr>
          <w:p w14:paraId="62237C36" w14:textId="77777777" w:rsidR="006772AA" w:rsidRPr="006772AA" w:rsidRDefault="006772AA" w:rsidP="006772AA">
            <w:pPr>
              <w:spacing w:after="0" w:line="240" w:lineRule="auto"/>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Atualização Monetária</w:t>
            </w:r>
          </w:p>
        </w:tc>
        <w:tc>
          <w:tcPr>
            <w:tcW w:w="757" w:type="pct"/>
            <w:tcBorders>
              <w:top w:val="nil"/>
              <w:left w:val="nil"/>
              <w:bottom w:val="single" w:sz="8" w:space="0" w:color="auto"/>
              <w:right w:val="single" w:sz="8" w:space="0" w:color="auto"/>
            </w:tcBorders>
            <w:shd w:val="clear" w:color="auto" w:fill="auto"/>
            <w:vAlign w:val="center"/>
            <w:hideMark/>
          </w:tcPr>
          <w:p w14:paraId="06610E65" w14:textId="77777777" w:rsidR="006772AA" w:rsidRPr="006772AA" w:rsidRDefault="006772AA" w:rsidP="006772AA">
            <w:pPr>
              <w:spacing w:after="0" w:line="240" w:lineRule="auto"/>
              <w:jc w:val="right"/>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14.842</w:t>
            </w:r>
          </w:p>
        </w:tc>
        <w:tc>
          <w:tcPr>
            <w:tcW w:w="756" w:type="pct"/>
            <w:tcBorders>
              <w:top w:val="nil"/>
              <w:left w:val="nil"/>
              <w:bottom w:val="single" w:sz="8" w:space="0" w:color="auto"/>
              <w:right w:val="single" w:sz="8" w:space="0" w:color="auto"/>
            </w:tcBorders>
            <w:shd w:val="clear" w:color="auto" w:fill="auto"/>
            <w:vAlign w:val="center"/>
            <w:hideMark/>
          </w:tcPr>
          <w:p w14:paraId="5471E5F2" w14:textId="77777777" w:rsidR="006772AA" w:rsidRPr="006772AA" w:rsidRDefault="006772AA" w:rsidP="006772AA">
            <w:pPr>
              <w:spacing w:after="0" w:line="240" w:lineRule="auto"/>
              <w:jc w:val="right"/>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12.709</w:t>
            </w:r>
          </w:p>
        </w:tc>
      </w:tr>
      <w:tr w:rsidR="006772AA" w:rsidRPr="006772AA" w14:paraId="2B557B95" w14:textId="77777777" w:rsidTr="00446A14">
        <w:trPr>
          <w:trHeight w:val="260"/>
        </w:trPr>
        <w:tc>
          <w:tcPr>
            <w:tcW w:w="3487" w:type="pct"/>
            <w:tcBorders>
              <w:top w:val="nil"/>
              <w:left w:val="single" w:sz="8" w:space="0" w:color="auto"/>
              <w:bottom w:val="single" w:sz="8" w:space="0" w:color="auto"/>
              <w:right w:val="single" w:sz="8" w:space="0" w:color="auto"/>
            </w:tcBorders>
            <w:shd w:val="clear" w:color="auto" w:fill="auto"/>
            <w:vAlign w:val="center"/>
            <w:hideMark/>
          </w:tcPr>
          <w:p w14:paraId="08E364B7" w14:textId="77777777" w:rsidR="006772AA" w:rsidRPr="006772AA" w:rsidRDefault="006772AA" w:rsidP="006772AA">
            <w:pPr>
              <w:spacing w:after="0" w:line="240" w:lineRule="auto"/>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 xml:space="preserve">Juros </w:t>
            </w:r>
          </w:p>
        </w:tc>
        <w:tc>
          <w:tcPr>
            <w:tcW w:w="757" w:type="pct"/>
            <w:tcBorders>
              <w:top w:val="nil"/>
              <w:left w:val="nil"/>
              <w:bottom w:val="single" w:sz="8" w:space="0" w:color="auto"/>
              <w:right w:val="single" w:sz="8" w:space="0" w:color="auto"/>
            </w:tcBorders>
            <w:shd w:val="clear" w:color="auto" w:fill="auto"/>
            <w:vAlign w:val="center"/>
            <w:hideMark/>
          </w:tcPr>
          <w:p w14:paraId="169B6F9D" w14:textId="77777777" w:rsidR="006772AA" w:rsidRPr="006772AA" w:rsidRDefault="006772AA" w:rsidP="006772AA">
            <w:pPr>
              <w:spacing w:after="0" w:line="240" w:lineRule="auto"/>
              <w:jc w:val="right"/>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34</w:t>
            </w:r>
          </w:p>
        </w:tc>
        <w:tc>
          <w:tcPr>
            <w:tcW w:w="756" w:type="pct"/>
            <w:tcBorders>
              <w:top w:val="nil"/>
              <w:left w:val="nil"/>
              <w:bottom w:val="single" w:sz="8" w:space="0" w:color="auto"/>
              <w:right w:val="single" w:sz="8" w:space="0" w:color="auto"/>
            </w:tcBorders>
            <w:shd w:val="clear" w:color="auto" w:fill="auto"/>
            <w:vAlign w:val="center"/>
            <w:hideMark/>
          </w:tcPr>
          <w:p w14:paraId="6415972D" w14:textId="77777777" w:rsidR="006772AA" w:rsidRPr="006772AA" w:rsidRDefault="006772AA" w:rsidP="006772AA">
            <w:pPr>
              <w:spacing w:after="0" w:line="240" w:lineRule="auto"/>
              <w:jc w:val="right"/>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145</w:t>
            </w:r>
          </w:p>
        </w:tc>
      </w:tr>
      <w:tr w:rsidR="006772AA" w:rsidRPr="006772AA" w14:paraId="46CDE236" w14:textId="77777777" w:rsidTr="00446A14">
        <w:trPr>
          <w:trHeight w:val="260"/>
        </w:trPr>
        <w:tc>
          <w:tcPr>
            <w:tcW w:w="3487" w:type="pct"/>
            <w:tcBorders>
              <w:top w:val="nil"/>
              <w:left w:val="single" w:sz="8" w:space="0" w:color="auto"/>
              <w:bottom w:val="single" w:sz="8" w:space="0" w:color="auto"/>
              <w:right w:val="single" w:sz="8" w:space="0" w:color="auto"/>
            </w:tcBorders>
            <w:shd w:val="clear" w:color="auto" w:fill="auto"/>
            <w:vAlign w:val="center"/>
            <w:hideMark/>
          </w:tcPr>
          <w:p w14:paraId="0972BBA1" w14:textId="77777777" w:rsidR="006772AA" w:rsidRPr="006772AA" w:rsidRDefault="006772AA" w:rsidP="006772AA">
            <w:pPr>
              <w:spacing w:after="0" w:line="240" w:lineRule="auto"/>
              <w:rPr>
                <w:rFonts w:ascii="Arial" w:eastAsia="Times New Roman" w:hAnsi="Arial" w:cs="Arial"/>
                <w:b/>
                <w:bCs/>
                <w:color w:val="000000"/>
                <w:kern w:val="0"/>
                <w:sz w:val="18"/>
                <w:szCs w:val="18"/>
                <w:lang w:eastAsia="pt-BR"/>
                <w14:ligatures w14:val="none"/>
              </w:rPr>
            </w:pPr>
            <w:r w:rsidRPr="006772AA">
              <w:rPr>
                <w:rFonts w:ascii="Arial" w:eastAsia="Times New Roman" w:hAnsi="Arial" w:cs="Arial"/>
                <w:b/>
                <w:bCs/>
                <w:color w:val="000000"/>
                <w:kern w:val="0"/>
                <w:sz w:val="18"/>
                <w:szCs w:val="18"/>
                <w:lang w:eastAsia="pt-BR"/>
                <w14:ligatures w14:val="none"/>
              </w:rPr>
              <w:t>Total – Bruto</w:t>
            </w:r>
          </w:p>
        </w:tc>
        <w:tc>
          <w:tcPr>
            <w:tcW w:w="757" w:type="pct"/>
            <w:tcBorders>
              <w:top w:val="nil"/>
              <w:left w:val="nil"/>
              <w:bottom w:val="single" w:sz="8" w:space="0" w:color="auto"/>
              <w:right w:val="single" w:sz="8" w:space="0" w:color="auto"/>
            </w:tcBorders>
            <w:shd w:val="clear" w:color="auto" w:fill="auto"/>
            <w:vAlign w:val="center"/>
            <w:hideMark/>
          </w:tcPr>
          <w:p w14:paraId="1194C152" w14:textId="77777777" w:rsidR="006772AA" w:rsidRPr="006772AA" w:rsidRDefault="006772AA" w:rsidP="006772AA">
            <w:pPr>
              <w:spacing w:after="0" w:line="240" w:lineRule="auto"/>
              <w:jc w:val="right"/>
              <w:rPr>
                <w:rFonts w:ascii="Arial" w:eastAsia="Times New Roman" w:hAnsi="Arial" w:cs="Arial"/>
                <w:b/>
                <w:bCs/>
                <w:color w:val="000000"/>
                <w:kern w:val="0"/>
                <w:sz w:val="18"/>
                <w:szCs w:val="18"/>
                <w:lang w:eastAsia="pt-BR"/>
                <w14:ligatures w14:val="none"/>
              </w:rPr>
            </w:pPr>
            <w:r w:rsidRPr="006772AA">
              <w:rPr>
                <w:rFonts w:ascii="Arial" w:eastAsia="Times New Roman" w:hAnsi="Arial" w:cs="Arial"/>
                <w:b/>
                <w:bCs/>
                <w:color w:val="000000"/>
                <w:kern w:val="0"/>
                <w:sz w:val="18"/>
                <w:szCs w:val="18"/>
                <w:lang w:eastAsia="pt-BR"/>
                <w14:ligatures w14:val="none"/>
              </w:rPr>
              <w:t>90.602</w:t>
            </w:r>
          </w:p>
        </w:tc>
        <w:tc>
          <w:tcPr>
            <w:tcW w:w="756" w:type="pct"/>
            <w:tcBorders>
              <w:top w:val="nil"/>
              <w:left w:val="nil"/>
              <w:bottom w:val="single" w:sz="8" w:space="0" w:color="auto"/>
              <w:right w:val="single" w:sz="8" w:space="0" w:color="auto"/>
            </w:tcBorders>
            <w:shd w:val="clear" w:color="auto" w:fill="auto"/>
            <w:vAlign w:val="center"/>
            <w:hideMark/>
          </w:tcPr>
          <w:p w14:paraId="12C91240" w14:textId="77777777" w:rsidR="006772AA" w:rsidRPr="006772AA" w:rsidRDefault="006772AA" w:rsidP="006772AA">
            <w:pPr>
              <w:spacing w:after="0" w:line="240" w:lineRule="auto"/>
              <w:jc w:val="right"/>
              <w:rPr>
                <w:rFonts w:ascii="Arial" w:eastAsia="Times New Roman" w:hAnsi="Arial" w:cs="Arial"/>
                <w:b/>
                <w:bCs/>
                <w:color w:val="000000"/>
                <w:kern w:val="0"/>
                <w:sz w:val="18"/>
                <w:szCs w:val="18"/>
                <w:lang w:eastAsia="pt-BR"/>
                <w14:ligatures w14:val="none"/>
              </w:rPr>
            </w:pPr>
            <w:r w:rsidRPr="006772AA">
              <w:rPr>
                <w:rFonts w:ascii="Arial" w:eastAsia="Times New Roman" w:hAnsi="Arial" w:cs="Arial"/>
                <w:b/>
                <w:bCs/>
                <w:color w:val="000000"/>
                <w:kern w:val="0"/>
                <w:sz w:val="18"/>
                <w:szCs w:val="18"/>
                <w:lang w:eastAsia="pt-BR"/>
                <w14:ligatures w14:val="none"/>
              </w:rPr>
              <w:t>136.810</w:t>
            </w:r>
          </w:p>
        </w:tc>
      </w:tr>
      <w:tr w:rsidR="006772AA" w:rsidRPr="006772AA" w14:paraId="4C4D3EF8" w14:textId="77777777" w:rsidTr="00446A14">
        <w:trPr>
          <w:trHeight w:val="260"/>
        </w:trPr>
        <w:tc>
          <w:tcPr>
            <w:tcW w:w="3487" w:type="pct"/>
            <w:tcBorders>
              <w:top w:val="nil"/>
              <w:left w:val="single" w:sz="8" w:space="0" w:color="auto"/>
              <w:bottom w:val="single" w:sz="8" w:space="0" w:color="auto"/>
              <w:right w:val="single" w:sz="8" w:space="0" w:color="auto"/>
            </w:tcBorders>
            <w:shd w:val="clear" w:color="auto" w:fill="auto"/>
            <w:vAlign w:val="center"/>
            <w:hideMark/>
          </w:tcPr>
          <w:p w14:paraId="636C1DF6" w14:textId="77777777" w:rsidR="006772AA" w:rsidRPr="006772AA" w:rsidRDefault="006772AA" w:rsidP="006772AA">
            <w:pPr>
              <w:spacing w:after="0" w:line="240" w:lineRule="auto"/>
              <w:rPr>
                <w:rFonts w:ascii="Arial" w:eastAsia="Times New Roman" w:hAnsi="Arial" w:cs="Arial"/>
                <w:b/>
                <w:bCs/>
                <w:color w:val="000000"/>
                <w:kern w:val="0"/>
                <w:sz w:val="18"/>
                <w:szCs w:val="18"/>
                <w:lang w:eastAsia="pt-BR"/>
                <w14:ligatures w14:val="none"/>
              </w:rPr>
            </w:pPr>
            <w:r w:rsidRPr="006772AA">
              <w:rPr>
                <w:rFonts w:ascii="Arial" w:eastAsia="Times New Roman" w:hAnsi="Arial" w:cs="Arial"/>
                <w:b/>
                <w:bCs/>
                <w:color w:val="000000"/>
                <w:kern w:val="0"/>
                <w:sz w:val="18"/>
                <w:szCs w:val="18"/>
                <w:lang w:eastAsia="pt-BR"/>
                <w14:ligatures w14:val="none"/>
              </w:rPr>
              <w:t>Circulante</w:t>
            </w:r>
          </w:p>
        </w:tc>
        <w:tc>
          <w:tcPr>
            <w:tcW w:w="757" w:type="pct"/>
            <w:tcBorders>
              <w:top w:val="nil"/>
              <w:left w:val="nil"/>
              <w:bottom w:val="single" w:sz="8" w:space="0" w:color="auto"/>
              <w:right w:val="single" w:sz="8" w:space="0" w:color="auto"/>
            </w:tcBorders>
            <w:shd w:val="clear" w:color="auto" w:fill="auto"/>
            <w:vAlign w:val="center"/>
            <w:hideMark/>
          </w:tcPr>
          <w:p w14:paraId="45C6593B" w14:textId="77777777" w:rsidR="006772AA" w:rsidRPr="006772AA" w:rsidRDefault="006772AA" w:rsidP="006772AA">
            <w:pPr>
              <w:spacing w:after="0" w:line="240" w:lineRule="auto"/>
              <w:jc w:val="right"/>
              <w:rPr>
                <w:rFonts w:ascii="Arial" w:eastAsia="Times New Roman" w:hAnsi="Arial" w:cs="Arial"/>
                <w:b/>
                <w:bCs/>
                <w:color w:val="000000"/>
                <w:kern w:val="0"/>
                <w:sz w:val="18"/>
                <w:szCs w:val="18"/>
                <w:lang w:eastAsia="pt-BR"/>
                <w14:ligatures w14:val="none"/>
              </w:rPr>
            </w:pPr>
            <w:r w:rsidRPr="006772AA">
              <w:rPr>
                <w:rFonts w:ascii="Arial" w:eastAsia="Times New Roman" w:hAnsi="Arial" w:cs="Arial"/>
                <w:b/>
                <w:bCs/>
                <w:color w:val="000000"/>
                <w:kern w:val="0"/>
                <w:sz w:val="18"/>
                <w:szCs w:val="18"/>
                <w:lang w:eastAsia="pt-BR"/>
                <w14:ligatures w14:val="none"/>
              </w:rPr>
              <w:t>45.710</w:t>
            </w:r>
          </w:p>
        </w:tc>
        <w:tc>
          <w:tcPr>
            <w:tcW w:w="756" w:type="pct"/>
            <w:tcBorders>
              <w:top w:val="nil"/>
              <w:left w:val="nil"/>
              <w:bottom w:val="single" w:sz="8" w:space="0" w:color="auto"/>
              <w:right w:val="single" w:sz="8" w:space="0" w:color="auto"/>
            </w:tcBorders>
            <w:shd w:val="clear" w:color="auto" w:fill="auto"/>
            <w:vAlign w:val="center"/>
            <w:hideMark/>
          </w:tcPr>
          <w:p w14:paraId="655A17BB" w14:textId="77777777" w:rsidR="006772AA" w:rsidRPr="006772AA" w:rsidRDefault="006772AA" w:rsidP="006772AA">
            <w:pPr>
              <w:spacing w:after="0" w:line="240" w:lineRule="auto"/>
              <w:jc w:val="right"/>
              <w:rPr>
                <w:rFonts w:ascii="Arial" w:eastAsia="Times New Roman" w:hAnsi="Arial" w:cs="Arial"/>
                <w:b/>
                <w:bCs/>
                <w:color w:val="000000"/>
                <w:kern w:val="0"/>
                <w:sz w:val="18"/>
                <w:szCs w:val="18"/>
                <w:lang w:eastAsia="pt-BR"/>
                <w14:ligatures w14:val="none"/>
              </w:rPr>
            </w:pPr>
            <w:r w:rsidRPr="006772AA">
              <w:rPr>
                <w:rFonts w:ascii="Arial" w:eastAsia="Times New Roman" w:hAnsi="Arial" w:cs="Arial"/>
                <w:b/>
                <w:bCs/>
                <w:color w:val="000000"/>
                <w:kern w:val="0"/>
                <w:sz w:val="18"/>
                <w:szCs w:val="18"/>
                <w:lang w:eastAsia="pt-BR"/>
                <w14:ligatures w14:val="none"/>
              </w:rPr>
              <w:t>47.175</w:t>
            </w:r>
          </w:p>
        </w:tc>
      </w:tr>
      <w:tr w:rsidR="006772AA" w:rsidRPr="006772AA" w14:paraId="3CF61103" w14:textId="77777777" w:rsidTr="00446A14">
        <w:trPr>
          <w:trHeight w:val="260"/>
        </w:trPr>
        <w:tc>
          <w:tcPr>
            <w:tcW w:w="3487" w:type="pct"/>
            <w:tcBorders>
              <w:top w:val="nil"/>
              <w:left w:val="single" w:sz="8" w:space="0" w:color="auto"/>
              <w:bottom w:val="single" w:sz="8" w:space="0" w:color="auto"/>
              <w:right w:val="single" w:sz="8" w:space="0" w:color="auto"/>
            </w:tcBorders>
            <w:shd w:val="clear" w:color="auto" w:fill="auto"/>
            <w:vAlign w:val="center"/>
            <w:hideMark/>
          </w:tcPr>
          <w:p w14:paraId="4A75885C" w14:textId="77777777" w:rsidR="006772AA" w:rsidRPr="006772AA" w:rsidRDefault="006772AA" w:rsidP="006772AA">
            <w:pPr>
              <w:spacing w:after="0" w:line="240" w:lineRule="auto"/>
              <w:rPr>
                <w:rFonts w:ascii="Arial" w:eastAsia="Times New Roman" w:hAnsi="Arial" w:cs="Arial"/>
                <w:b/>
                <w:bCs/>
                <w:color w:val="000000"/>
                <w:kern w:val="0"/>
                <w:sz w:val="18"/>
                <w:szCs w:val="18"/>
                <w:lang w:eastAsia="pt-BR"/>
                <w14:ligatures w14:val="none"/>
              </w:rPr>
            </w:pPr>
            <w:r w:rsidRPr="006772AA">
              <w:rPr>
                <w:rFonts w:ascii="Arial" w:eastAsia="Times New Roman" w:hAnsi="Arial" w:cs="Arial"/>
                <w:b/>
                <w:bCs/>
                <w:color w:val="000000"/>
                <w:kern w:val="0"/>
                <w:sz w:val="18"/>
                <w:szCs w:val="18"/>
                <w:lang w:eastAsia="pt-BR"/>
                <w14:ligatures w14:val="none"/>
              </w:rPr>
              <w:t>Não Circulante</w:t>
            </w:r>
          </w:p>
        </w:tc>
        <w:tc>
          <w:tcPr>
            <w:tcW w:w="757" w:type="pct"/>
            <w:tcBorders>
              <w:top w:val="nil"/>
              <w:left w:val="nil"/>
              <w:bottom w:val="single" w:sz="8" w:space="0" w:color="auto"/>
              <w:right w:val="single" w:sz="8" w:space="0" w:color="auto"/>
            </w:tcBorders>
            <w:shd w:val="clear" w:color="auto" w:fill="auto"/>
            <w:vAlign w:val="center"/>
            <w:hideMark/>
          </w:tcPr>
          <w:p w14:paraId="19FD0A37" w14:textId="77777777" w:rsidR="006772AA" w:rsidRPr="006772AA" w:rsidRDefault="006772AA" w:rsidP="006772AA">
            <w:pPr>
              <w:spacing w:after="0" w:line="240" w:lineRule="auto"/>
              <w:jc w:val="right"/>
              <w:rPr>
                <w:rFonts w:ascii="Arial" w:eastAsia="Times New Roman" w:hAnsi="Arial" w:cs="Arial"/>
                <w:b/>
                <w:bCs/>
                <w:color w:val="000000"/>
                <w:kern w:val="0"/>
                <w:sz w:val="18"/>
                <w:szCs w:val="18"/>
                <w:lang w:eastAsia="pt-BR"/>
                <w14:ligatures w14:val="none"/>
              </w:rPr>
            </w:pPr>
            <w:r w:rsidRPr="006772AA">
              <w:rPr>
                <w:rFonts w:ascii="Arial" w:eastAsia="Times New Roman" w:hAnsi="Arial" w:cs="Arial"/>
                <w:b/>
                <w:bCs/>
                <w:color w:val="000000"/>
                <w:kern w:val="0"/>
                <w:sz w:val="18"/>
                <w:szCs w:val="18"/>
                <w:lang w:eastAsia="pt-BR"/>
                <w14:ligatures w14:val="none"/>
              </w:rPr>
              <w:t>44.892</w:t>
            </w:r>
          </w:p>
        </w:tc>
        <w:tc>
          <w:tcPr>
            <w:tcW w:w="756" w:type="pct"/>
            <w:tcBorders>
              <w:top w:val="nil"/>
              <w:left w:val="nil"/>
              <w:bottom w:val="single" w:sz="8" w:space="0" w:color="auto"/>
              <w:right w:val="single" w:sz="8" w:space="0" w:color="auto"/>
            </w:tcBorders>
            <w:shd w:val="clear" w:color="auto" w:fill="auto"/>
            <w:vAlign w:val="center"/>
            <w:hideMark/>
          </w:tcPr>
          <w:p w14:paraId="1B7D9CD3" w14:textId="77777777" w:rsidR="006772AA" w:rsidRPr="006772AA" w:rsidRDefault="006772AA" w:rsidP="006772AA">
            <w:pPr>
              <w:spacing w:after="0" w:line="240" w:lineRule="auto"/>
              <w:jc w:val="right"/>
              <w:rPr>
                <w:rFonts w:ascii="Arial" w:eastAsia="Times New Roman" w:hAnsi="Arial" w:cs="Arial"/>
                <w:b/>
                <w:bCs/>
                <w:color w:val="000000"/>
                <w:kern w:val="0"/>
                <w:sz w:val="18"/>
                <w:szCs w:val="18"/>
                <w:lang w:eastAsia="pt-BR"/>
                <w14:ligatures w14:val="none"/>
              </w:rPr>
            </w:pPr>
            <w:r w:rsidRPr="006772AA">
              <w:rPr>
                <w:rFonts w:ascii="Arial" w:eastAsia="Times New Roman" w:hAnsi="Arial" w:cs="Arial"/>
                <w:b/>
                <w:bCs/>
                <w:color w:val="000000"/>
                <w:kern w:val="0"/>
                <w:sz w:val="18"/>
                <w:szCs w:val="18"/>
                <w:lang w:eastAsia="pt-BR"/>
                <w14:ligatures w14:val="none"/>
              </w:rPr>
              <w:t>89.635</w:t>
            </w:r>
          </w:p>
        </w:tc>
      </w:tr>
    </w:tbl>
    <w:p w14:paraId="429C8ED0" w14:textId="77777777" w:rsidR="006772AA" w:rsidRPr="006772AA" w:rsidRDefault="006772AA" w:rsidP="006772AA">
      <w:pPr>
        <w:autoSpaceDE w:val="0"/>
        <w:autoSpaceDN w:val="0"/>
        <w:adjustRightInd w:val="0"/>
        <w:spacing w:after="0" w:line="240" w:lineRule="auto"/>
        <w:jc w:val="both"/>
        <w:rPr>
          <w:rFonts w:ascii="Calibri" w:eastAsia="Times New Roman" w:hAnsi="Calibri" w:cs="Calibri"/>
          <w:iCs/>
          <w:color w:val="002060"/>
          <w:kern w:val="0"/>
          <w14:ligatures w14:val="none"/>
        </w:rPr>
      </w:pPr>
      <w:r w:rsidRPr="006772AA">
        <w:rPr>
          <w:rFonts w:ascii="Calibri" w:eastAsia="Times New Roman" w:hAnsi="Calibri" w:cs="Calibri"/>
          <w:iCs/>
          <w:color w:val="002060"/>
          <w:kern w:val="0"/>
          <w14:ligatures w14:val="none"/>
        </w:rPr>
        <w:t>A movimentação dos empréstimos e financiamentos, líquido dos custos, no exercício de 2023 é apresentada a seguir:</w:t>
      </w:r>
    </w:p>
    <w:tbl>
      <w:tblPr>
        <w:tblW w:w="5000" w:type="pct"/>
        <w:tblCellMar>
          <w:left w:w="70" w:type="dxa"/>
          <w:right w:w="70" w:type="dxa"/>
        </w:tblCellMar>
        <w:tblLook w:val="04A0" w:firstRow="1" w:lastRow="0" w:firstColumn="1" w:lastColumn="0" w:noHBand="0" w:noVBand="1"/>
      </w:tblPr>
      <w:tblGrid>
        <w:gridCol w:w="8102"/>
        <w:gridCol w:w="1659"/>
      </w:tblGrid>
      <w:tr w:rsidR="006772AA" w:rsidRPr="006772AA" w14:paraId="320728AD" w14:textId="77777777" w:rsidTr="00446A14">
        <w:trPr>
          <w:trHeight w:val="238"/>
        </w:trPr>
        <w:tc>
          <w:tcPr>
            <w:tcW w:w="415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D607C49" w14:textId="77777777" w:rsidR="006772AA" w:rsidRPr="006772AA" w:rsidRDefault="006772AA" w:rsidP="006772AA">
            <w:pPr>
              <w:spacing w:after="0" w:line="240" w:lineRule="auto"/>
              <w:rPr>
                <w:rFonts w:ascii="Arial" w:eastAsia="Times New Roman" w:hAnsi="Arial" w:cs="Arial"/>
                <w:b/>
                <w:bCs/>
                <w:color w:val="000000"/>
                <w:kern w:val="0"/>
                <w:sz w:val="18"/>
                <w:szCs w:val="18"/>
                <w:lang w:eastAsia="pt-BR"/>
                <w14:ligatures w14:val="none"/>
              </w:rPr>
            </w:pPr>
            <w:r w:rsidRPr="006772AA">
              <w:rPr>
                <w:rFonts w:ascii="Arial" w:eastAsia="Times New Roman" w:hAnsi="Arial" w:cs="Arial"/>
                <w:b/>
                <w:bCs/>
                <w:color w:val="000000"/>
                <w:kern w:val="0"/>
                <w:sz w:val="18"/>
                <w:szCs w:val="18"/>
                <w:lang w:eastAsia="pt-BR"/>
                <w14:ligatures w14:val="none"/>
              </w:rPr>
              <w:t>Saldo em 31 de dezembro de 2022</w:t>
            </w:r>
          </w:p>
        </w:tc>
        <w:tc>
          <w:tcPr>
            <w:tcW w:w="850" w:type="pct"/>
            <w:tcBorders>
              <w:top w:val="single" w:sz="8" w:space="0" w:color="auto"/>
              <w:left w:val="nil"/>
              <w:bottom w:val="single" w:sz="8" w:space="0" w:color="auto"/>
              <w:right w:val="single" w:sz="8" w:space="0" w:color="auto"/>
            </w:tcBorders>
            <w:shd w:val="clear" w:color="auto" w:fill="auto"/>
            <w:noWrap/>
            <w:vAlign w:val="center"/>
            <w:hideMark/>
          </w:tcPr>
          <w:p w14:paraId="798D0509" w14:textId="77777777" w:rsidR="006772AA" w:rsidRPr="006772AA" w:rsidRDefault="006772AA" w:rsidP="006772AA">
            <w:pPr>
              <w:spacing w:after="0" w:line="240" w:lineRule="auto"/>
              <w:jc w:val="right"/>
              <w:rPr>
                <w:rFonts w:ascii="Arial" w:eastAsia="Times New Roman" w:hAnsi="Arial" w:cs="Arial"/>
                <w:b/>
                <w:bCs/>
                <w:color w:val="000000"/>
                <w:kern w:val="0"/>
                <w:sz w:val="18"/>
                <w:szCs w:val="18"/>
                <w:lang w:eastAsia="pt-BR"/>
                <w14:ligatures w14:val="none"/>
              </w:rPr>
            </w:pPr>
            <w:r w:rsidRPr="006772AA">
              <w:rPr>
                <w:rFonts w:ascii="Arial" w:eastAsia="Times New Roman" w:hAnsi="Arial" w:cs="Arial"/>
                <w:b/>
                <w:bCs/>
                <w:color w:val="000000"/>
                <w:kern w:val="0"/>
                <w:sz w:val="18"/>
                <w:szCs w:val="18"/>
                <w:lang w:eastAsia="pt-BR"/>
                <w14:ligatures w14:val="none"/>
              </w:rPr>
              <w:t>136.810</w:t>
            </w:r>
          </w:p>
        </w:tc>
      </w:tr>
      <w:tr w:rsidR="006772AA" w:rsidRPr="006772AA" w14:paraId="36597CFD" w14:textId="77777777" w:rsidTr="00446A14">
        <w:trPr>
          <w:trHeight w:val="238"/>
        </w:trPr>
        <w:tc>
          <w:tcPr>
            <w:tcW w:w="4150" w:type="pct"/>
            <w:tcBorders>
              <w:top w:val="nil"/>
              <w:left w:val="single" w:sz="8" w:space="0" w:color="auto"/>
              <w:bottom w:val="single" w:sz="8" w:space="0" w:color="auto"/>
              <w:right w:val="single" w:sz="8" w:space="0" w:color="auto"/>
            </w:tcBorders>
            <w:shd w:val="clear" w:color="auto" w:fill="auto"/>
            <w:noWrap/>
            <w:vAlign w:val="center"/>
            <w:hideMark/>
          </w:tcPr>
          <w:p w14:paraId="57B038CE" w14:textId="77777777" w:rsidR="006772AA" w:rsidRPr="006772AA" w:rsidRDefault="006772AA" w:rsidP="006772AA">
            <w:pPr>
              <w:spacing w:after="0" w:line="240" w:lineRule="auto"/>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 xml:space="preserve">Juros Incorridos no Período </w:t>
            </w:r>
          </w:p>
        </w:tc>
        <w:tc>
          <w:tcPr>
            <w:tcW w:w="850" w:type="pct"/>
            <w:tcBorders>
              <w:top w:val="nil"/>
              <w:left w:val="nil"/>
              <w:bottom w:val="single" w:sz="8" w:space="0" w:color="auto"/>
              <w:right w:val="single" w:sz="8" w:space="0" w:color="auto"/>
            </w:tcBorders>
            <w:shd w:val="clear" w:color="auto" w:fill="auto"/>
            <w:noWrap/>
            <w:vAlign w:val="center"/>
            <w:hideMark/>
          </w:tcPr>
          <w:p w14:paraId="1E802D60" w14:textId="77777777" w:rsidR="006772AA" w:rsidRPr="006772AA" w:rsidRDefault="006772AA" w:rsidP="006772AA">
            <w:pPr>
              <w:spacing w:after="0" w:line="240" w:lineRule="auto"/>
              <w:jc w:val="right"/>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3.341</w:t>
            </w:r>
          </w:p>
        </w:tc>
      </w:tr>
      <w:tr w:rsidR="006772AA" w:rsidRPr="006772AA" w14:paraId="1C59BD44" w14:textId="77777777" w:rsidTr="00446A14">
        <w:trPr>
          <w:trHeight w:val="238"/>
        </w:trPr>
        <w:tc>
          <w:tcPr>
            <w:tcW w:w="4150" w:type="pct"/>
            <w:tcBorders>
              <w:top w:val="nil"/>
              <w:left w:val="single" w:sz="8" w:space="0" w:color="auto"/>
              <w:bottom w:val="single" w:sz="8" w:space="0" w:color="auto"/>
              <w:right w:val="single" w:sz="8" w:space="0" w:color="auto"/>
            </w:tcBorders>
            <w:shd w:val="clear" w:color="auto" w:fill="auto"/>
            <w:noWrap/>
            <w:vAlign w:val="center"/>
            <w:hideMark/>
          </w:tcPr>
          <w:p w14:paraId="221CC9D5" w14:textId="77777777" w:rsidR="006772AA" w:rsidRPr="006772AA" w:rsidRDefault="006772AA" w:rsidP="006772AA">
            <w:pPr>
              <w:spacing w:after="0" w:line="240" w:lineRule="auto"/>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Atualização Monetária</w:t>
            </w:r>
          </w:p>
        </w:tc>
        <w:tc>
          <w:tcPr>
            <w:tcW w:w="850" w:type="pct"/>
            <w:tcBorders>
              <w:top w:val="nil"/>
              <w:left w:val="nil"/>
              <w:bottom w:val="single" w:sz="8" w:space="0" w:color="auto"/>
              <w:right w:val="single" w:sz="8" w:space="0" w:color="auto"/>
            </w:tcBorders>
            <w:shd w:val="clear" w:color="auto" w:fill="auto"/>
            <w:noWrap/>
            <w:vAlign w:val="center"/>
            <w:hideMark/>
          </w:tcPr>
          <w:p w14:paraId="4577B4A3" w14:textId="77777777" w:rsidR="006772AA" w:rsidRPr="006772AA" w:rsidRDefault="006772AA" w:rsidP="006772AA">
            <w:pPr>
              <w:spacing w:after="0" w:line="240" w:lineRule="auto"/>
              <w:jc w:val="right"/>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2.133</w:t>
            </w:r>
          </w:p>
        </w:tc>
      </w:tr>
      <w:tr w:rsidR="006772AA" w:rsidRPr="006772AA" w14:paraId="378AA426" w14:textId="77777777" w:rsidTr="00446A14">
        <w:trPr>
          <w:trHeight w:val="238"/>
        </w:trPr>
        <w:tc>
          <w:tcPr>
            <w:tcW w:w="4150" w:type="pct"/>
            <w:tcBorders>
              <w:top w:val="nil"/>
              <w:left w:val="single" w:sz="8" w:space="0" w:color="auto"/>
              <w:bottom w:val="single" w:sz="8" w:space="0" w:color="auto"/>
              <w:right w:val="single" w:sz="8" w:space="0" w:color="auto"/>
            </w:tcBorders>
            <w:shd w:val="clear" w:color="auto" w:fill="auto"/>
            <w:noWrap/>
            <w:vAlign w:val="center"/>
            <w:hideMark/>
          </w:tcPr>
          <w:p w14:paraId="39BE8A55" w14:textId="77777777" w:rsidR="006772AA" w:rsidRPr="006772AA" w:rsidRDefault="006772AA" w:rsidP="006772AA">
            <w:pPr>
              <w:spacing w:after="0" w:line="240" w:lineRule="auto"/>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Juros Pagos</w:t>
            </w:r>
          </w:p>
        </w:tc>
        <w:tc>
          <w:tcPr>
            <w:tcW w:w="850" w:type="pct"/>
            <w:tcBorders>
              <w:top w:val="nil"/>
              <w:left w:val="nil"/>
              <w:bottom w:val="single" w:sz="8" w:space="0" w:color="auto"/>
              <w:right w:val="single" w:sz="8" w:space="0" w:color="auto"/>
            </w:tcBorders>
            <w:shd w:val="clear" w:color="auto" w:fill="auto"/>
            <w:noWrap/>
            <w:vAlign w:val="center"/>
            <w:hideMark/>
          </w:tcPr>
          <w:p w14:paraId="5DCDB44C" w14:textId="77777777" w:rsidR="006772AA" w:rsidRPr="006772AA" w:rsidRDefault="006772AA" w:rsidP="006772AA">
            <w:pPr>
              <w:spacing w:after="0" w:line="240" w:lineRule="auto"/>
              <w:jc w:val="right"/>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(3.452)</w:t>
            </w:r>
          </w:p>
        </w:tc>
      </w:tr>
      <w:tr w:rsidR="006772AA" w:rsidRPr="006772AA" w14:paraId="26888226" w14:textId="77777777" w:rsidTr="00446A14">
        <w:trPr>
          <w:trHeight w:val="238"/>
        </w:trPr>
        <w:tc>
          <w:tcPr>
            <w:tcW w:w="4150" w:type="pct"/>
            <w:tcBorders>
              <w:top w:val="nil"/>
              <w:left w:val="single" w:sz="8" w:space="0" w:color="auto"/>
              <w:bottom w:val="single" w:sz="8" w:space="0" w:color="auto"/>
              <w:right w:val="single" w:sz="8" w:space="0" w:color="auto"/>
            </w:tcBorders>
            <w:shd w:val="clear" w:color="auto" w:fill="auto"/>
            <w:noWrap/>
            <w:vAlign w:val="center"/>
            <w:hideMark/>
          </w:tcPr>
          <w:p w14:paraId="5CC805CB" w14:textId="77777777" w:rsidR="006772AA" w:rsidRPr="006772AA" w:rsidRDefault="006772AA" w:rsidP="006772AA">
            <w:pPr>
              <w:spacing w:after="0" w:line="240" w:lineRule="auto"/>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Amortização de Principal</w:t>
            </w:r>
          </w:p>
        </w:tc>
        <w:tc>
          <w:tcPr>
            <w:tcW w:w="850" w:type="pct"/>
            <w:tcBorders>
              <w:top w:val="nil"/>
              <w:left w:val="nil"/>
              <w:bottom w:val="single" w:sz="8" w:space="0" w:color="auto"/>
              <w:right w:val="single" w:sz="8" w:space="0" w:color="auto"/>
            </w:tcBorders>
            <w:shd w:val="clear" w:color="auto" w:fill="auto"/>
            <w:noWrap/>
            <w:vAlign w:val="center"/>
            <w:hideMark/>
          </w:tcPr>
          <w:p w14:paraId="00931B3C" w14:textId="77777777" w:rsidR="006772AA" w:rsidRPr="006772AA" w:rsidRDefault="006772AA" w:rsidP="006772AA">
            <w:pPr>
              <w:spacing w:after="0" w:line="240" w:lineRule="auto"/>
              <w:jc w:val="right"/>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(46.008)</w:t>
            </w:r>
          </w:p>
        </w:tc>
      </w:tr>
      <w:tr w:rsidR="006772AA" w:rsidRPr="006772AA" w14:paraId="10ED7E27" w14:textId="77777777" w:rsidTr="00446A14">
        <w:trPr>
          <w:trHeight w:val="238"/>
        </w:trPr>
        <w:tc>
          <w:tcPr>
            <w:tcW w:w="4150" w:type="pct"/>
            <w:tcBorders>
              <w:top w:val="nil"/>
              <w:left w:val="single" w:sz="8" w:space="0" w:color="auto"/>
              <w:bottom w:val="single" w:sz="8" w:space="0" w:color="auto"/>
              <w:right w:val="single" w:sz="8" w:space="0" w:color="auto"/>
            </w:tcBorders>
            <w:shd w:val="clear" w:color="auto" w:fill="auto"/>
            <w:noWrap/>
            <w:vAlign w:val="center"/>
            <w:hideMark/>
          </w:tcPr>
          <w:p w14:paraId="5DF5ABDE" w14:textId="77777777" w:rsidR="006772AA" w:rsidRPr="006772AA" w:rsidRDefault="006772AA" w:rsidP="006772AA">
            <w:pPr>
              <w:spacing w:after="0" w:line="240" w:lineRule="auto"/>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Amortização da Compensação Financeira</w:t>
            </w:r>
          </w:p>
        </w:tc>
        <w:tc>
          <w:tcPr>
            <w:tcW w:w="850" w:type="pct"/>
            <w:tcBorders>
              <w:top w:val="nil"/>
              <w:left w:val="nil"/>
              <w:bottom w:val="single" w:sz="8" w:space="0" w:color="auto"/>
              <w:right w:val="single" w:sz="8" w:space="0" w:color="auto"/>
            </w:tcBorders>
            <w:shd w:val="clear" w:color="auto" w:fill="auto"/>
            <w:noWrap/>
            <w:vAlign w:val="center"/>
            <w:hideMark/>
          </w:tcPr>
          <w:p w14:paraId="34CF549B" w14:textId="77777777" w:rsidR="006772AA" w:rsidRPr="006772AA" w:rsidRDefault="006772AA" w:rsidP="006772AA">
            <w:pPr>
              <w:spacing w:after="0" w:line="240" w:lineRule="auto"/>
              <w:jc w:val="right"/>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(2.222)</w:t>
            </w:r>
          </w:p>
        </w:tc>
      </w:tr>
      <w:tr w:rsidR="006772AA" w:rsidRPr="006772AA" w14:paraId="00902DFD" w14:textId="77777777" w:rsidTr="00446A14">
        <w:trPr>
          <w:trHeight w:val="238"/>
        </w:trPr>
        <w:tc>
          <w:tcPr>
            <w:tcW w:w="4150" w:type="pct"/>
            <w:tcBorders>
              <w:top w:val="nil"/>
              <w:left w:val="single" w:sz="8" w:space="0" w:color="auto"/>
              <w:bottom w:val="single" w:sz="8" w:space="0" w:color="auto"/>
              <w:right w:val="single" w:sz="8" w:space="0" w:color="auto"/>
            </w:tcBorders>
            <w:shd w:val="clear" w:color="auto" w:fill="auto"/>
            <w:noWrap/>
            <w:vAlign w:val="center"/>
            <w:hideMark/>
          </w:tcPr>
          <w:p w14:paraId="020D485B" w14:textId="77777777" w:rsidR="006772AA" w:rsidRPr="006772AA" w:rsidRDefault="006772AA" w:rsidP="006772AA">
            <w:pPr>
              <w:spacing w:after="0" w:line="240" w:lineRule="auto"/>
              <w:rPr>
                <w:rFonts w:ascii="Arial" w:eastAsia="Times New Roman" w:hAnsi="Arial" w:cs="Arial"/>
                <w:b/>
                <w:bCs/>
                <w:color w:val="000000"/>
                <w:kern w:val="0"/>
                <w:sz w:val="18"/>
                <w:szCs w:val="18"/>
                <w:lang w:eastAsia="pt-BR"/>
                <w14:ligatures w14:val="none"/>
              </w:rPr>
            </w:pPr>
            <w:r w:rsidRPr="006772AA">
              <w:rPr>
                <w:rFonts w:ascii="Arial" w:eastAsia="Times New Roman" w:hAnsi="Arial" w:cs="Arial"/>
                <w:b/>
                <w:bCs/>
                <w:color w:val="000000"/>
                <w:kern w:val="0"/>
                <w:sz w:val="18"/>
                <w:szCs w:val="18"/>
                <w:lang w:eastAsia="pt-BR"/>
                <w14:ligatures w14:val="none"/>
              </w:rPr>
              <w:t>Saldo em 31 de dezembro de 2023</w:t>
            </w:r>
          </w:p>
        </w:tc>
        <w:tc>
          <w:tcPr>
            <w:tcW w:w="850" w:type="pct"/>
            <w:tcBorders>
              <w:top w:val="nil"/>
              <w:left w:val="nil"/>
              <w:bottom w:val="single" w:sz="8" w:space="0" w:color="auto"/>
              <w:right w:val="single" w:sz="8" w:space="0" w:color="auto"/>
            </w:tcBorders>
            <w:shd w:val="clear" w:color="auto" w:fill="auto"/>
            <w:noWrap/>
            <w:vAlign w:val="center"/>
            <w:hideMark/>
          </w:tcPr>
          <w:p w14:paraId="529D88A6" w14:textId="77777777" w:rsidR="006772AA" w:rsidRPr="006772AA" w:rsidRDefault="006772AA" w:rsidP="006772AA">
            <w:pPr>
              <w:spacing w:after="0" w:line="240" w:lineRule="auto"/>
              <w:jc w:val="right"/>
              <w:rPr>
                <w:rFonts w:ascii="Arial" w:eastAsia="Times New Roman" w:hAnsi="Arial" w:cs="Arial"/>
                <w:b/>
                <w:bCs/>
                <w:color w:val="000000"/>
                <w:kern w:val="0"/>
                <w:sz w:val="18"/>
                <w:szCs w:val="18"/>
                <w:lang w:eastAsia="pt-BR"/>
                <w14:ligatures w14:val="none"/>
              </w:rPr>
            </w:pPr>
            <w:r w:rsidRPr="006772AA">
              <w:rPr>
                <w:rFonts w:ascii="Arial" w:eastAsia="Times New Roman" w:hAnsi="Arial" w:cs="Arial"/>
                <w:b/>
                <w:bCs/>
                <w:color w:val="000000"/>
                <w:kern w:val="0"/>
                <w:sz w:val="18"/>
                <w:szCs w:val="18"/>
                <w:lang w:eastAsia="pt-BR"/>
                <w14:ligatures w14:val="none"/>
              </w:rPr>
              <w:t>90.602</w:t>
            </w:r>
          </w:p>
        </w:tc>
      </w:tr>
    </w:tbl>
    <w:p w14:paraId="096B68E4" w14:textId="77777777" w:rsidR="006772AA" w:rsidRPr="006772AA" w:rsidRDefault="006772AA" w:rsidP="006772AA">
      <w:pPr>
        <w:autoSpaceDE w:val="0"/>
        <w:autoSpaceDN w:val="0"/>
        <w:adjustRightInd w:val="0"/>
        <w:spacing w:after="0" w:line="240" w:lineRule="auto"/>
        <w:jc w:val="both"/>
        <w:rPr>
          <w:rFonts w:ascii="Calibri" w:eastAsia="Times New Roman" w:hAnsi="Calibri" w:cs="Calibri"/>
          <w:iCs/>
          <w:color w:val="002060"/>
          <w:kern w:val="0"/>
          <w14:ligatures w14:val="none"/>
        </w:rPr>
      </w:pPr>
      <w:r w:rsidRPr="006772AA">
        <w:rPr>
          <w:rFonts w:ascii="Calibri" w:eastAsia="Times New Roman" w:hAnsi="Calibri" w:cs="Calibri"/>
          <w:iCs/>
          <w:color w:val="002060"/>
          <w:kern w:val="0"/>
          <w14:ligatures w14:val="none"/>
        </w:rPr>
        <w:t>O cronograma de pagamento da parcela de longo prazo (Não Circulante) em 31 de dezembro de 2023 é apresentado a seguir:</w:t>
      </w:r>
    </w:p>
    <w:tbl>
      <w:tblPr>
        <w:tblW w:w="5000" w:type="pct"/>
        <w:tblCellMar>
          <w:left w:w="70" w:type="dxa"/>
          <w:right w:w="70" w:type="dxa"/>
        </w:tblCellMar>
        <w:tblLook w:val="04A0" w:firstRow="1" w:lastRow="0" w:firstColumn="1" w:lastColumn="0" w:noHBand="0" w:noVBand="1"/>
      </w:tblPr>
      <w:tblGrid>
        <w:gridCol w:w="7901"/>
        <w:gridCol w:w="1860"/>
      </w:tblGrid>
      <w:tr w:rsidR="006772AA" w:rsidRPr="006772AA" w14:paraId="763E836A" w14:textId="77777777" w:rsidTr="00446A14">
        <w:trPr>
          <w:trHeight w:val="238"/>
        </w:trPr>
        <w:tc>
          <w:tcPr>
            <w:tcW w:w="4047" w:type="pct"/>
            <w:tcBorders>
              <w:top w:val="single" w:sz="8" w:space="0" w:color="auto"/>
              <w:left w:val="single" w:sz="8" w:space="0" w:color="auto"/>
              <w:bottom w:val="single" w:sz="8" w:space="0" w:color="auto"/>
              <w:right w:val="nil"/>
            </w:tcBorders>
            <w:shd w:val="clear" w:color="000000" w:fill="D9D9D9"/>
            <w:noWrap/>
            <w:vAlign w:val="center"/>
            <w:hideMark/>
          </w:tcPr>
          <w:p w14:paraId="6CB53261" w14:textId="77777777" w:rsidR="006772AA" w:rsidRPr="006772AA" w:rsidRDefault="006772AA" w:rsidP="006772AA">
            <w:pPr>
              <w:spacing w:after="0" w:line="240" w:lineRule="auto"/>
              <w:jc w:val="both"/>
              <w:rPr>
                <w:rFonts w:ascii="Arial" w:eastAsia="Times New Roman" w:hAnsi="Arial" w:cs="Arial"/>
                <w:b/>
                <w:bCs/>
                <w:color w:val="000000"/>
                <w:kern w:val="0"/>
                <w:sz w:val="18"/>
                <w:szCs w:val="18"/>
                <w:lang w:eastAsia="pt-BR"/>
                <w14:ligatures w14:val="none"/>
              </w:rPr>
            </w:pPr>
            <w:r w:rsidRPr="006772AA">
              <w:rPr>
                <w:rFonts w:ascii="Arial" w:eastAsia="Times New Roman" w:hAnsi="Arial" w:cs="Arial"/>
                <w:b/>
                <w:bCs/>
                <w:color w:val="000000"/>
                <w:kern w:val="0"/>
                <w:sz w:val="18"/>
                <w:szCs w:val="18"/>
                <w:lang w:eastAsia="pt-BR"/>
                <w14:ligatures w14:val="none"/>
              </w:rPr>
              <w:t>Vencimentos:</w:t>
            </w:r>
          </w:p>
        </w:tc>
        <w:tc>
          <w:tcPr>
            <w:tcW w:w="953" w:type="pct"/>
            <w:tcBorders>
              <w:top w:val="single" w:sz="8" w:space="0" w:color="auto"/>
              <w:left w:val="nil"/>
              <w:bottom w:val="single" w:sz="8" w:space="0" w:color="auto"/>
              <w:right w:val="single" w:sz="8" w:space="0" w:color="auto"/>
            </w:tcBorders>
            <w:shd w:val="clear" w:color="000000" w:fill="D9D9D9"/>
            <w:vAlign w:val="center"/>
            <w:hideMark/>
          </w:tcPr>
          <w:p w14:paraId="7E5AA37A" w14:textId="77777777" w:rsidR="006772AA" w:rsidRPr="006772AA" w:rsidRDefault="006772AA" w:rsidP="006772AA">
            <w:pPr>
              <w:spacing w:after="0" w:line="240" w:lineRule="auto"/>
              <w:jc w:val="center"/>
              <w:rPr>
                <w:rFonts w:ascii="Arial" w:eastAsia="Times New Roman" w:hAnsi="Arial" w:cs="Arial"/>
                <w:b/>
                <w:bCs/>
                <w:color w:val="000000"/>
                <w:kern w:val="0"/>
                <w:sz w:val="18"/>
                <w:szCs w:val="18"/>
                <w:lang w:eastAsia="pt-BR"/>
                <w14:ligatures w14:val="none"/>
              </w:rPr>
            </w:pPr>
            <w:r w:rsidRPr="006772AA">
              <w:rPr>
                <w:rFonts w:ascii="Arial" w:eastAsia="Times New Roman" w:hAnsi="Arial" w:cs="Arial"/>
                <w:b/>
                <w:bCs/>
                <w:color w:val="000000"/>
                <w:kern w:val="0"/>
                <w:sz w:val="18"/>
                <w:szCs w:val="18"/>
                <w:lang w:eastAsia="pt-BR"/>
                <w14:ligatures w14:val="none"/>
              </w:rPr>
              <w:t> </w:t>
            </w:r>
          </w:p>
        </w:tc>
      </w:tr>
      <w:tr w:rsidR="006772AA" w:rsidRPr="006772AA" w14:paraId="7641FD85" w14:textId="77777777" w:rsidTr="00446A14">
        <w:trPr>
          <w:trHeight w:val="238"/>
        </w:trPr>
        <w:tc>
          <w:tcPr>
            <w:tcW w:w="4047" w:type="pct"/>
            <w:tcBorders>
              <w:top w:val="nil"/>
              <w:left w:val="single" w:sz="8" w:space="0" w:color="auto"/>
              <w:bottom w:val="single" w:sz="8" w:space="0" w:color="auto"/>
              <w:right w:val="single" w:sz="8" w:space="0" w:color="auto"/>
            </w:tcBorders>
            <w:shd w:val="clear" w:color="auto" w:fill="auto"/>
            <w:noWrap/>
            <w:vAlign w:val="center"/>
            <w:hideMark/>
          </w:tcPr>
          <w:p w14:paraId="574482B3" w14:textId="77777777" w:rsidR="006772AA" w:rsidRPr="006772AA" w:rsidRDefault="006772AA" w:rsidP="006772AA">
            <w:pPr>
              <w:spacing w:after="0" w:line="240" w:lineRule="auto"/>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2025</w:t>
            </w:r>
          </w:p>
        </w:tc>
        <w:tc>
          <w:tcPr>
            <w:tcW w:w="953" w:type="pct"/>
            <w:tcBorders>
              <w:top w:val="nil"/>
              <w:left w:val="nil"/>
              <w:bottom w:val="single" w:sz="8" w:space="0" w:color="auto"/>
              <w:right w:val="single" w:sz="8" w:space="0" w:color="auto"/>
            </w:tcBorders>
            <w:shd w:val="clear" w:color="auto" w:fill="auto"/>
            <w:noWrap/>
            <w:vAlign w:val="center"/>
            <w:hideMark/>
          </w:tcPr>
          <w:p w14:paraId="7A56FD57" w14:textId="77777777" w:rsidR="006772AA" w:rsidRPr="006772AA" w:rsidRDefault="006772AA" w:rsidP="006772AA">
            <w:pPr>
              <w:spacing w:after="0" w:line="240" w:lineRule="auto"/>
              <w:jc w:val="right"/>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44.892</w:t>
            </w:r>
          </w:p>
        </w:tc>
      </w:tr>
      <w:tr w:rsidR="006772AA" w:rsidRPr="006772AA" w14:paraId="33F6324B" w14:textId="77777777" w:rsidTr="00446A14">
        <w:trPr>
          <w:trHeight w:val="238"/>
        </w:trPr>
        <w:tc>
          <w:tcPr>
            <w:tcW w:w="4047" w:type="pct"/>
            <w:tcBorders>
              <w:top w:val="nil"/>
              <w:left w:val="single" w:sz="8" w:space="0" w:color="auto"/>
              <w:bottom w:val="single" w:sz="8" w:space="0" w:color="auto"/>
              <w:right w:val="single" w:sz="8" w:space="0" w:color="auto"/>
            </w:tcBorders>
            <w:shd w:val="clear" w:color="auto" w:fill="auto"/>
            <w:noWrap/>
            <w:vAlign w:val="center"/>
            <w:hideMark/>
          </w:tcPr>
          <w:p w14:paraId="5CA7CE87" w14:textId="77777777" w:rsidR="006772AA" w:rsidRPr="006772AA" w:rsidRDefault="006772AA" w:rsidP="006772AA">
            <w:pPr>
              <w:spacing w:after="0" w:line="240" w:lineRule="auto"/>
              <w:rPr>
                <w:rFonts w:ascii="Arial" w:eastAsia="Times New Roman" w:hAnsi="Arial" w:cs="Arial"/>
                <w:b/>
                <w:bCs/>
                <w:color w:val="000000"/>
                <w:kern w:val="0"/>
                <w:sz w:val="18"/>
                <w:szCs w:val="18"/>
                <w:lang w:eastAsia="pt-BR"/>
                <w14:ligatures w14:val="none"/>
              </w:rPr>
            </w:pPr>
            <w:r w:rsidRPr="006772AA">
              <w:rPr>
                <w:rFonts w:ascii="Arial" w:eastAsia="Times New Roman" w:hAnsi="Arial" w:cs="Arial"/>
                <w:b/>
                <w:bCs/>
                <w:color w:val="000000"/>
                <w:kern w:val="0"/>
                <w:sz w:val="18"/>
                <w:szCs w:val="18"/>
                <w:lang w:eastAsia="pt-BR"/>
                <w14:ligatures w14:val="none"/>
              </w:rPr>
              <w:t>Total</w:t>
            </w:r>
          </w:p>
        </w:tc>
        <w:tc>
          <w:tcPr>
            <w:tcW w:w="953" w:type="pct"/>
            <w:tcBorders>
              <w:top w:val="nil"/>
              <w:left w:val="nil"/>
              <w:bottom w:val="single" w:sz="8" w:space="0" w:color="auto"/>
              <w:right w:val="single" w:sz="8" w:space="0" w:color="auto"/>
            </w:tcBorders>
            <w:shd w:val="clear" w:color="auto" w:fill="auto"/>
            <w:noWrap/>
            <w:vAlign w:val="center"/>
            <w:hideMark/>
          </w:tcPr>
          <w:p w14:paraId="2CAAEA95" w14:textId="77777777" w:rsidR="006772AA" w:rsidRPr="006772AA" w:rsidRDefault="006772AA" w:rsidP="006772AA">
            <w:pPr>
              <w:spacing w:after="0" w:line="240" w:lineRule="auto"/>
              <w:jc w:val="right"/>
              <w:rPr>
                <w:rFonts w:ascii="Arial" w:eastAsia="Times New Roman" w:hAnsi="Arial" w:cs="Arial"/>
                <w:b/>
                <w:bCs/>
                <w:color w:val="000000"/>
                <w:kern w:val="0"/>
                <w:sz w:val="18"/>
                <w:szCs w:val="18"/>
                <w:lang w:eastAsia="pt-BR"/>
                <w14:ligatures w14:val="none"/>
              </w:rPr>
            </w:pPr>
            <w:r w:rsidRPr="006772AA">
              <w:rPr>
                <w:rFonts w:ascii="Arial" w:eastAsia="Times New Roman" w:hAnsi="Arial" w:cs="Arial"/>
                <w:b/>
                <w:bCs/>
                <w:color w:val="000000"/>
                <w:kern w:val="0"/>
                <w:sz w:val="18"/>
                <w:szCs w:val="18"/>
                <w:lang w:eastAsia="pt-BR"/>
                <w14:ligatures w14:val="none"/>
              </w:rPr>
              <w:t>44.892</w:t>
            </w:r>
          </w:p>
        </w:tc>
      </w:tr>
    </w:tbl>
    <w:p w14:paraId="138AFAA1" w14:textId="0D8642B4" w:rsidR="006772AA" w:rsidRPr="006772AA" w:rsidRDefault="006772AA" w:rsidP="006772AA">
      <w:pPr>
        <w:autoSpaceDE w:val="0"/>
        <w:autoSpaceDN w:val="0"/>
        <w:adjustRightInd w:val="0"/>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24.1.1. </w:t>
      </w:r>
      <w:r w:rsidRPr="006772AA">
        <w:rPr>
          <w:rFonts w:ascii="Calibri" w:eastAsia="Times New Roman" w:hAnsi="Calibri" w:cs="Calibri"/>
          <w:b/>
          <w:bCs/>
          <w:iCs/>
          <w:color w:val="002060"/>
          <w:kern w:val="0"/>
          <w14:ligatures w14:val="none"/>
        </w:rPr>
        <w:t>Contrato original</w:t>
      </w:r>
    </w:p>
    <w:p w14:paraId="69F62AFC" w14:textId="77777777" w:rsidR="006772AA" w:rsidRPr="006772AA" w:rsidRDefault="006772AA" w:rsidP="006772AA">
      <w:pPr>
        <w:autoSpaceDE w:val="0"/>
        <w:autoSpaceDN w:val="0"/>
        <w:adjustRightInd w:val="0"/>
        <w:spacing w:after="0" w:line="240" w:lineRule="auto"/>
        <w:jc w:val="both"/>
        <w:rPr>
          <w:rFonts w:ascii="Calibri" w:eastAsia="Times New Roman" w:hAnsi="Calibri" w:cs="Calibri"/>
          <w:iCs/>
          <w:color w:val="002060"/>
          <w:kern w:val="0"/>
          <w14:ligatures w14:val="none"/>
        </w:rPr>
      </w:pPr>
      <w:r w:rsidRPr="006772AA">
        <w:rPr>
          <w:rFonts w:ascii="Calibri" w:eastAsia="Times New Roman" w:hAnsi="Calibri" w:cs="Calibri"/>
          <w:iCs/>
          <w:color w:val="002060"/>
          <w:kern w:val="0"/>
          <w14:ligatures w14:val="none"/>
        </w:rPr>
        <w:t>Em 11 de dezembro de 2014, a Companhia assinou contrato de empréstimo com a Financiadora de Estudos e Projetos – FINEP, no total de R$ 240.380, com objetivo de custear, parcialmente, as despesas incorridas na elaboração e execução do Plano Estratégico de Inovação (Satélite Geoestacionário de Defesa e Comunicações Estratégicas - SGDC).</w:t>
      </w:r>
    </w:p>
    <w:p w14:paraId="4651DC69" w14:textId="77777777" w:rsidR="006772AA" w:rsidRPr="006772AA" w:rsidRDefault="006772AA" w:rsidP="006772AA">
      <w:pPr>
        <w:autoSpaceDE w:val="0"/>
        <w:autoSpaceDN w:val="0"/>
        <w:adjustRightInd w:val="0"/>
        <w:spacing w:after="0" w:line="240" w:lineRule="auto"/>
        <w:jc w:val="both"/>
        <w:rPr>
          <w:rFonts w:ascii="Calibri" w:eastAsia="Times New Roman" w:hAnsi="Calibri" w:cs="Calibri"/>
          <w:iCs/>
          <w:color w:val="002060"/>
          <w:kern w:val="0"/>
          <w14:ligatures w14:val="none"/>
        </w:rPr>
      </w:pPr>
      <w:r w:rsidRPr="006772AA">
        <w:rPr>
          <w:rFonts w:ascii="Calibri" w:eastAsia="Times New Roman" w:hAnsi="Calibri" w:cs="Calibri"/>
          <w:iCs/>
          <w:color w:val="002060"/>
          <w:kern w:val="0"/>
          <w14:ligatures w14:val="none"/>
        </w:rPr>
        <w:t>A primeira parcela do empréstimo foi depositada em 18 de dezembro de 2014, no valor de R$ 103.363, e as outras, conforme cronograma de desembolso aprovado nos termos da Decisão nº 46/2014 de 13 de novembro de 2014.</w:t>
      </w:r>
    </w:p>
    <w:p w14:paraId="7D6166D6" w14:textId="77777777" w:rsidR="006772AA" w:rsidRPr="006772AA" w:rsidRDefault="006772AA" w:rsidP="006772AA">
      <w:pPr>
        <w:autoSpaceDE w:val="0"/>
        <w:autoSpaceDN w:val="0"/>
        <w:adjustRightInd w:val="0"/>
        <w:spacing w:after="0" w:line="240" w:lineRule="auto"/>
        <w:jc w:val="both"/>
        <w:rPr>
          <w:rFonts w:ascii="Calibri" w:eastAsia="Times New Roman" w:hAnsi="Calibri" w:cs="Calibri"/>
          <w:iCs/>
          <w:color w:val="002060"/>
          <w:kern w:val="0"/>
          <w14:ligatures w14:val="none"/>
        </w:rPr>
      </w:pPr>
      <w:r w:rsidRPr="006772AA">
        <w:rPr>
          <w:rFonts w:ascii="Calibri" w:eastAsia="Times New Roman" w:hAnsi="Calibri" w:cs="Calibri"/>
          <w:iCs/>
          <w:color w:val="002060"/>
          <w:kern w:val="0"/>
          <w14:ligatures w14:val="none"/>
        </w:rPr>
        <w:t xml:space="preserve">Sobre o principal da dívida incide Taxa Referencial </w:t>
      </w:r>
      <w:r w:rsidRPr="006772AA">
        <w:rPr>
          <w:rFonts w:ascii="Calibri" w:eastAsia="Times New Roman" w:hAnsi="Calibri" w:cs="Calibri"/>
          <w:i/>
          <w:iCs/>
          <w:color w:val="002060"/>
          <w:kern w:val="0"/>
          <w14:ligatures w14:val="none"/>
        </w:rPr>
        <w:t>pro rata tempore</w:t>
      </w:r>
      <w:r w:rsidRPr="006772AA">
        <w:rPr>
          <w:rFonts w:ascii="Calibri" w:eastAsia="Times New Roman" w:hAnsi="Calibri" w:cs="Calibri"/>
          <w:iCs/>
          <w:color w:val="002060"/>
          <w:kern w:val="0"/>
          <w14:ligatures w14:val="none"/>
        </w:rPr>
        <w:t xml:space="preserve"> (TR), divulgada pelo Banco Central do Brasil, acrescida do </w:t>
      </w:r>
      <w:r w:rsidRPr="006772AA">
        <w:rPr>
          <w:rFonts w:ascii="Calibri" w:eastAsia="Times New Roman" w:hAnsi="Calibri" w:cs="Calibri"/>
          <w:i/>
          <w:iCs/>
          <w:color w:val="002060"/>
          <w:kern w:val="0"/>
          <w14:ligatures w14:val="none"/>
        </w:rPr>
        <w:t>spread</w:t>
      </w:r>
      <w:r w:rsidRPr="006772AA">
        <w:rPr>
          <w:rFonts w:ascii="Calibri" w:eastAsia="Times New Roman" w:hAnsi="Calibri" w:cs="Calibri"/>
          <w:iCs/>
          <w:color w:val="002060"/>
          <w:kern w:val="0"/>
          <w14:ligatures w14:val="none"/>
        </w:rPr>
        <w:t xml:space="preserve"> de 5% (cinco por cento) ao ano.</w:t>
      </w:r>
    </w:p>
    <w:p w14:paraId="1CB30E1D" w14:textId="77777777" w:rsidR="006772AA" w:rsidRPr="006772AA" w:rsidRDefault="006772AA" w:rsidP="006772AA">
      <w:pPr>
        <w:autoSpaceDE w:val="0"/>
        <w:autoSpaceDN w:val="0"/>
        <w:adjustRightInd w:val="0"/>
        <w:spacing w:after="0" w:line="240" w:lineRule="auto"/>
        <w:jc w:val="both"/>
        <w:rPr>
          <w:rFonts w:ascii="Calibri" w:eastAsia="Times New Roman" w:hAnsi="Calibri" w:cs="Calibri"/>
          <w:iCs/>
          <w:color w:val="002060"/>
          <w:kern w:val="0"/>
          <w14:ligatures w14:val="none"/>
        </w:rPr>
        <w:sectPr w:rsidR="006772AA" w:rsidRPr="006772AA" w:rsidSect="006772AA">
          <w:footerReference w:type="default" r:id="rId59"/>
          <w:type w:val="continuous"/>
          <w:pgSz w:w="11906" w:h="16838" w:code="9"/>
          <w:pgMar w:top="848" w:right="849" w:bottom="993" w:left="1276" w:header="850" w:footer="907" w:gutter="0"/>
          <w:cols w:space="708"/>
          <w:docGrid w:linePitch="360"/>
        </w:sectPr>
      </w:pPr>
    </w:p>
    <w:p w14:paraId="2728B9C7" w14:textId="77777777" w:rsidR="006772AA" w:rsidRPr="006772AA" w:rsidRDefault="006772AA" w:rsidP="006772AA">
      <w:pPr>
        <w:autoSpaceDE w:val="0"/>
        <w:autoSpaceDN w:val="0"/>
        <w:adjustRightInd w:val="0"/>
        <w:spacing w:after="0" w:line="240" w:lineRule="auto"/>
        <w:jc w:val="both"/>
        <w:rPr>
          <w:rFonts w:ascii="Calibri" w:eastAsia="Times New Roman" w:hAnsi="Calibri" w:cs="Calibri"/>
          <w:iCs/>
          <w:color w:val="002060"/>
          <w:kern w:val="0"/>
          <w14:ligatures w14:val="none"/>
        </w:rPr>
      </w:pPr>
      <w:r w:rsidRPr="006772AA">
        <w:rPr>
          <w:rFonts w:ascii="Calibri" w:eastAsia="Times New Roman" w:hAnsi="Calibri" w:cs="Calibri"/>
          <w:iCs/>
          <w:color w:val="002060"/>
          <w:kern w:val="0"/>
          <w14:ligatures w14:val="none"/>
        </w:rPr>
        <w:t>Os encargos devidos do contrato serão reduzidos em 2% (dois por cento) ao ano, não havendo inadimplência, resultando em juros de TR + 3% (três por cento) ao ano.</w:t>
      </w:r>
    </w:p>
    <w:p w14:paraId="6B05D913" w14:textId="77777777" w:rsidR="006772AA" w:rsidRPr="006772AA" w:rsidRDefault="006772AA" w:rsidP="006772AA">
      <w:pPr>
        <w:autoSpaceDE w:val="0"/>
        <w:autoSpaceDN w:val="0"/>
        <w:adjustRightInd w:val="0"/>
        <w:spacing w:after="0" w:line="240" w:lineRule="auto"/>
        <w:jc w:val="both"/>
        <w:rPr>
          <w:rFonts w:ascii="Calibri" w:eastAsia="Times New Roman" w:hAnsi="Calibri" w:cs="Calibri"/>
          <w:iCs/>
          <w:color w:val="002060"/>
          <w:kern w:val="0"/>
          <w14:ligatures w14:val="none"/>
        </w:rPr>
      </w:pPr>
      <w:r w:rsidRPr="006772AA">
        <w:rPr>
          <w:rFonts w:ascii="Calibri" w:eastAsia="Times New Roman" w:hAnsi="Calibri" w:cs="Calibri"/>
          <w:iCs/>
          <w:color w:val="002060"/>
          <w:kern w:val="0"/>
          <w14:ligatures w14:val="none"/>
        </w:rPr>
        <w:t>O período de carência é de 36 meses, abrangendo o período compreendido entre a data da assinatura do contrato e a de vencimento da primeira parcela de amortização, sendo o principal parcelado em 85 parcelas mensais e sucessivas, com vencimento da primeira parcela ocorrendo em 15 de dezembro de 2017 e a última em 15 de dezembro de 2024.</w:t>
      </w:r>
    </w:p>
    <w:p w14:paraId="4F1B6506" w14:textId="57156663" w:rsidR="006772AA" w:rsidRPr="006772AA" w:rsidRDefault="006772AA" w:rsidP="006772AA">
      <w:pPr>
        <w:autoSpaceDE w:val="0"/>
        <w:autoSpaceDN w:val="0"/>
        <w:adjustRightInd w:val="0"/>
        <w:spacing w:after="0" w:line="240" w:lineRule="auto"/>
        <w:jc w:val="both"/>
        <w:rPr>
          <w:rFonts w:ascii="Calibri" w:eastAsia="Times New Roman" w:hAnsi="Calibri" w:cs="Calibri"/>
          <w:iCs/>
          <w:color w:val="002060"/>
          <w:kern w:val="0"/>
          <w14:ligatures w14:val="none"/>
        </w:rPr>
      </w:pPr>
      <w:r w:rsidRPr="006772AA">
        <w:rPr>
          <w:rFonts w:ascii="Calibri" w:eastAsia="Times New Roman" w:hAnsi="Calibri" w:cs="Calibri"/>
          <w:iCs/>
          <w:color w:val="002060"/>
          <w:kern w:val="0"/>
          <w14:ligatures w14:val="none"/>
        </w:rPr>
        <w:lastRenderedPageBreak/>
        <w:t xml:space="preserve">Para assegurar o cumprimento das obrigações previstas no contrato de financiamento, a Telebras cedeu fiduciariamente à FINEP os direitos creditórios movimentados, exclusivamente, por meio de conta corrente centralizadora mantida junto ao Interveniente Arrecadador, Banco do Brasil S.A., que mantém conta reserva, não movimentável, com valor necessário para perfazer 6 meses de serviço da dívida. </w:t>
      </w:r>
    </w:p>
    <w:p w14:paraId="2B7A14A9" w14:textId="1A81585E" w:rsidR="006772AA" w:rsidRPr="006772AA" w:rsidRDefault="006772AA" w:rsidP="006772AA">
      <w:pPr>
        <w:autoSpaceDE w:val="0"/>
        <w:autoSpaceDN w:val="0"/>
        <w:adjustRightInd w:val="0"/>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24.1.2. </w:t>
      </w:r>
      <w:r w:rsidRPr="006772AA">
        <w:rPr>
          <w:rFonts w:ascii="Calibri" w:eastAsia="Times New Roman" w:hAnsi="Calibri" w:cs="Calibri"/>
          <w:b/>
          <w:bCs/>
          <w:iCs/>
          <w:color w:val="002060"/>
          <w:kern w:val="0"/>
          <w14:ligatures w14:val="none"/>
        </w:rPr>
        <w:t>Aditivos contratuais</w:t>
      </w:r>
    </w:p>
    <w:p w14:paraId="513D281B" w14:textId="77777777" w:rsidR="006772AA" w:rsidRPr="006772AA" w:rsidRDefault="006772AA" w:rsidP="006772AA">
      <w:pPr>
        <w:autoSpaceDE w:val="0"/>
        <w:autoSpaceDN w:val="0"/>
        <w:adjustRightInd w:val="0"/>
        <w:spacing w:after="0" w:line="240" w:lineRule="auto"/>
        <w:jc w:val="both"/>
        <w:rPr>
          <w:rFonts w:ascii="Calibri" w:eastAsia="Times New Roman" w:hAnsi="Calibri" w:cs="Calibri"/>
          <w:iCs/>
          <w:color w:val="002060"/>
          <w:kern w:val="0"/>
          <w14:ligatures w14:val="none"/>
        </w:rPr>
      </w:pPr>
      <w:r w:rsidRPr="006772AA">
        <w:rPr>
          <w:rFonts w:ascii="Calibri" w:eastAsia="Times New Roman" w:hAnsi="Calibri" w:cs="Calibri"/>
          <w:iCs/>
          <w:color w:val="002060"/>
          <w:kern w:val="0"/>
          <w14:ligatures w14:val="none"/>
        </w:rPr>
        <w:t xml:space="preserve">Em dezembro de 2017, a Telebras iniciou conversação com a FINEP, no sentido de postergar o início da amortização do valor principal contratado. Como consequência, as partes acordaram suspender a amortização das parcelas do principal por 6 meses, sem a interrupção do pagamento dos juros compensatórios. </w:t>
      </w:r>
    </w:p>
    <w:p w14:paraId="3D991F86" w14:textId="77777777" w:rsidR="006772AA" w:rsidRPr="006772AA" w:rsidRDefault="006772AA" w:rsidP="006772AA">
      <w:pPr>
        <w:autoSpaceDE w:val="0"/>
        <w:autoSpaceDN w:val="0"/>
        <w:adjustRightInd w:val="0"/>
        <w:spacing w:after="0" w:line="240" w:lineRule="auto"/>
        <w:jc w:val="both"/>
        <w:rPr>
          <w:rFonts w:ascii="Calibri" w:eastAsia="Times New Roman" w:hAnsi="Calibri" w:cs="Calibri"/>
          <w:iCs/>
          <w:color w:val="002060"/>
          <w:kern w:val="0"/>
          <w14:ligatures w14:val="none"/>
        </w:rPr>
      </w:pPr>
      <w:r w:rsidRPr="006772AA">
        <w:rPr>
          <w:rFonts w:ascii="Calibri" w:eastAsia="Times New Roman" w:hAnsi="Calibri" w:cs="Calibri"/>
          <w:iCs/>
          <w:color w:val="002060"/>
          <w:kern w:val="0"/>
          <w14:ligatures w14:val="none"/>
        </w:rPr>
        <w:t>Em 14 de junho de 2018, a Companhia e a FINEP assinaram o segundo aditivo ao contrato, o qual estabeleceu novos prazos para o início da amortização do principal e dos juros ora interrompidos, além de novas garantias. As modificações estão definidas conforme citado abaixo:</w:t>
      </w:r>
    </w:p>
    <w:p w14:paraId="62EC53F8" w14:textId="77777777" w:rsidR="006772AA" w:rsidRPr="006772AA" w:rsidRDefault="006772AA" w:rsidP="006772AA">
      <w:pPr>
        <w:autoSpaceDE w:val="0"/>
        <w:autoSpaceDN w:val="0"/>
        <w:adjustRightInd w:val="0"/>
        <w:spacing w:after="0" w:line="240" w:lineRule="auto"/>
        <w:jc w:val="both"/>
        <w:rPr>
          <w:rFonts w:ascii="Calibri" w:eastAsia="Times New Roman" w:hAnsi="Calibri" w:cs="Calibri"/>
          <w:iCs/>
          <w:color w:val="002060"/>
          <w:kern w:val="0"/>
          <w14:ligatures w14:val="none"/>
        </w:rPr>
      </w:pPr>
      <w:r w:rsidRPr="006772AA">
        <w:rPr>
          <w:rFonts w:ascii="Calibri" w:eastAsia="Times New Roman" w:hAnsi="Calibri" w:cs="Calibri"/>
          <w:iCs/>
          <w:color w:val="002060"/>
          <w:kern w:val="0"/>
          <w14:ligatures w14:val="none"/>
        </w:rPr>
        <w:t>(i) Suspensão do pagamento das parcelas de amortização do principal e dos juros no período de 15 de junho de 2018 a 15 de novembro de 2018.</w:t>
      </w:r>
    </w:p>
    <w:p w14:paraId="7F2B303F" w14:textId="77777777" w:rsidR="006772AA" w:rsidRPr="006772AA" w:rsidRDefault="006772AA" w:rsidP="006772AA">
      <w:pPr>
        <w:autoSpaceDE w:val="0"/>
        <w:autoSpaceDN w:val="0"/>
        <w:adjustRightInd w:val="0"/>
        <w:spacing w:after="0" w:line="240" w:lineRule="auto"/>
        <w:jc w:val="both"/>
        <w:rPr>
          <w:rFonts w:ascii="Calibri" w:eastAsia="Times New Roman" w:hAnsi="Calibri" w:cs="Calibri"/>
          <w:iCs/>
          <w:color w:val="002060"/>
          <w:kern w:val="0"/>
          <w14:ligatures w14:val="none"/>
        </w:rPr>
      </w:pPr>
      <w:r w:rsidRPr="006772AA">
        <w:rPr>
          <w:rFonts w:ascii="Calibri" w:eastAsia="Times New Roman" w:hAnsi="Calibri" w:cs="Calibri"/>
          <w:iCs/>
          <w:color w:val="002060"/>
          <w:kern w:val="0"/>
          <w14:ligatures w14:val="none"/>
        </w:rPr>
        <w:t>(</w:t>
      </w:r>
      <w:proofErr w:type="spellStart"/>
      <w:r w:rsidRPr="006772AA">
        <w:rPr>
          <w:rFonts w:ascii="Calibri" w:eastAsia="Times New Roman" w:hAnsi="Calibri" w:cs="Calibri"/>
          <w:iCs/>
          <w:color w:val="002060"/>
          <w:kern w:val="0"/>
          <w14:ligatures w14:val="none"/>
        </w:rPr>
        <w:t>ii</w:t>
      </w:r>
      <w:proofErr w:type="spellEnd"/>
      <w:r w:rsidRPr="006772AA">
        <w:rPr>
          <w:rFonts w:ascii="Calibri" w:eastAsia="Times New Roman" w:hAnsi="Calibri" w:cs="Calibri"/>
          <w:iCs/>
          <w:color w:val="002060"/>
          <w:kern w:val="0"/>
          <w14:ligatures w14:val="none"/>
        </w:rPr>
        <w:t>) Os juros apurados no período de suspensão serão capitalizados mensalmente ao saldo devedor de acordo com a metodologia de juros compostos.</w:t>
      </w:r>
    </w:p>
    <w:p w14:paraId="4FFA5C43" w14:textId="77777777" w:rsidR="006772AA" w:rsidRPr="006772AA" w:rsidRDefault="006772AA" w:rsidP="006772AA">
      <w:pPr>
        <w:autoSpaceDE w:val="0"/>
        <w:autoSpaceDN w:val="0"/>
        <w:adjustRightInd w:val="0"/>
        <w:spacing w:after="0" w:line="240" w:lineRule="auto"/>
        <w:jc w:val="both"/>
        <w:rPr>
          <w:rFonts w:ascii="Calibri" w:eastAsia="Times New Roman" w:hAnsi="Calibri" w:cs="Calibri"/>
          <w:iCs/>
          <w:color w:val="002060"/>
          <w:kern w:val="0"/>
          <w14:ligatures w14:val="none"/>
        </w:rPr>
      </w:pPr>
      <w:r w:rsidRPr="006772AA">
        <w:rPr>
          <w:rFonts w:ascii="Calibri" w:eastAsia="Times New Roman" w:hAnsi="Calibri" w:cs="Calibri"/>
          <w:iCs/>
          <w:color w:val="002060"/>
          <w:kern w:val="0"/>
          <w14:ligatures w14:val="none"/>
        </w:rPr>
        <w:t>(</w:t>
      </w:r>
      <w:proofErr w:type="spellStart"/>
      <w:r w:rsidRPr="006772AA">
        <w:rPr>
          <w:rFonts w:ascii="Calibri" w:eastAsia="Times New Roman" w:hAnsi="Calibri" w:cs="Calibri"/>
          <w:iCs/>
          <w:color w:val="002060"/>
          <w:kern w:val="0"/>
          <w14:ligatures w14:val="none"/>
        </w:rPr>
        <w:t>iii</w:t>
      </w:r>
      <w:proofErr w:type="spellEnd"/>
      <w:r w:rsidRPr="006772AA">
        <w:rPr>
          <w:rFonts w:ascii="Calibri" w:eastAsia="Times New Roman" w:hAnsi="Calibri" w:cs="Calibri"/>
          <w:iCs/>
          <w:color w:val="002060"/>
          <w:kern w:val="0"/>
          <w14:ligatures w14:val="none"/>
        </w:rPr>
        <w:t>) A Telebras deverá constituir novas garantias idôneas e suficientes para cobrir débito, cujas características serão examinadas pela FINEP em 15 de setembro de 2018. Na hipótese de constituição até a data prevista, a FINEP poderá, a seu exclusivo critério, retomar a cobrança das parcelas de amortização do débito e dos juros sobrestados.</w:t>
      </w:r>
    </w:p>
    <w:p w14:paraId="1C2B385D" w14:textId="77777777" w:rsidR="006772AA" w:rsidRPr="006772AA" w:rsidRDefault="006772AA" w:rsidP="006772AA">
      <w:pPr>
        <w:autoSpaceDE w:val="0"/>
        <w:autoSpaceDN w:val="0"/>
        <w:adjustRightInd w:val="0"/>
        <w:spacing w:after="0" w:line="240" w:lineRule="auto"/>
        <w:jc w:val="both"/>
        <w:rPr>
          <w:rFonts w:ascii="Calibri" w:eastAsia="Times New Roman" w:hAnsi="Calibri" w:cs="Calibri"/>
          <w:iCs/>
          <w:color w:val="002060"/>
          <w:kern w:val="0"/>
          <w14:ligatures w14:val="none"/>
        </w:rPr>
      </w:pPr>
      <w:r w:rsidRPr="006772AA">
        <w:rPr>
          <w:rFonts w:ascii="Calibri" w:eastAsia="Times New Roman" w:hAnsi="Calibri" w:cs="Calibri"/>
          <w:iCs/>
          <w:color w:val="002060"/>
          <w:kern w:val="0"/>
          <w14:ligatures w14:val="none"/>
        </w:rPr>
        <w:t>(</w:t>
      </w:r>
      <w:proofErr w:type="spellStart"/>
      <w:r w:rsidRPr="006772AA">
        <w:rPr>
          <w:rFonts w:ascii="Calibri" w:eastAsia="Times New Roman" w:hAnsi="Calibri" w:cs="Calibri"/>
          <w:iCs/>
          <w:color w:val="002060"/>
          <w:kern w:val="0"/>
          <w14:ligatures w14:val="none"/>
        </w:rPr>
        <w:t>iv</w:t>
      </w:r>
      <w:proofErr w:type="spellEnd"/>
      <w:r w:rsidRPr="006772AA">
        <w:rPr>
          <w:rFonts w:ascii="Calibri" w:eastAsia="Times New Roman" w:hAnsi="Calibri" w:cs="Calibri"/>
          <w:iCs/>
          <w:color w:val="002060"/>
          <w:kern w:val="0"/>
          <w14:ligatures w14:val="none"/>
        </w:rPr>
        <w:t>) A Telebras deverá pagar à FINEP o valor de R$ 5.471 a título de compensação financeira pelo período de sobrestamento, o qual será corrigido pelo mesmo indexador previsto no contrato.</w:t>
      </w:r>
    </w:p>
    <w:p w14:paraId="35C73051" w14:textId="77777777" w:rsidR="006772AA" w:rsidRPr="006772AA" w:rsidRDefault="006772AA" w:rsidP="006772AA">
      <w:pPr>
        <w:autoSpaceDE w:val="0"/>
        <w:autoSpaceDN w:val="0"/>
        <w:adjustRightInd w:val="0"/>
        <w:spacing w:after="0" w:line="240" w:lineRule="auto"/>
        <w:jc w:val="both"/>
        <w:rPr>
          <w:rFonts w:ascii="Calibri" w:eastAsia="Times New Roman" w:hAnsi="Calibri" w:cs="Calibri"/>
          <w:iCs/>
          <w:color w:val="002060"/>
          <w:kern w:val="0"/>
          <w14:ligatures w14:val="none"/>
        </w:rPr>
      </w:pPr>
      <w:r w:rsidRPr="006772AA">
        <w:rPr>
          <w:rFonts w:ascii="Calibri" w:eastAsia="Times New Roman" w:hAnsi="Calibri" w:cs="Calibri"/>
          <w:iCs/>
          <w:color w:val="002060"/>
          <w:kern w:val="0"/>
          <w14:ligatures w14:val="none"/>
        </w:rPr>
        <w:t>(v) O valor do principal acrescido dos juros capitalizados e do valor da compensação financeira serão pagos a partir de 15 de dezembro de 2018 em 73 parcelas.</w:t>
      </w:r>
    </w:p>
    <w:p w14:paraId="3D0FA399" w14:textId="77777777" w:rsidR="006772AA" w:rsidRPr="006772AA" w:rsidRDefault="006772AA" w:rsidP="006772AA">
      <w:pPr>
        <w:autoSpaceDE w:val="0"/>
        <w:autoSpaceDN w:val="0"/>
        <w:adjustRightInd w:val="0"/>
        <w:spacing w:after="0" w:line="240" w:lineRule="auto"/>
        <w:jc w:val="both"/>
        <w:rPr>
          <w:rFonts w:ascii="Calibri" w:eastAsia="Times New Roman" w:hAnsi="Calibri" w:cs="Calibri"/>
          <w:iCs/>
          <w:color w:val="002060"/>
          <w:kern w:val="0"/>
          <w14:ligatures w14:val="none"/>
        </w:rPr>
      </w:pPr>
      <w:r w:rsidRPr="006772AA">
        <w:rPr>
          <w:rFonts w:ascii="Calibri" w:eastAsia="Times New Roman" w:hAnsi="Calibri" w:cs="Calibri"/>
          <w:iCs/>
          <w:color w:val="002060"/>
          <w:kern w:val="0"/>
          <w14:ligatures w14:val="none"/>
        </w:rPr>
        <w:t>Em 7 de dezembro de 2018, a Companhia e a FINEP acordaram um terceiro aditivo ao contrato, o qual estabeleceu a suspensão do pagamento das parcelas de amortização do débito e dos juros compensatórios por tempo determinado, bem como a constituição de novas garantias. As modificações trazidas por este aditivo foram as seguintes:</w:t>
      </w:r>
    </w:p>
    <w:p w14:paraId="5CCC0EDE" w14:textId="77777777" w:rsidR="006772AA" w:rsidRPr="006772AA" w:rsidRDefault="006772AA" w:rsidP="006772AA">
      <w:pPr>
        <w:autoSpaceDE w:val="0"/>
        <w:autoSpaceDN w:val="0"/>
        <w:adjustRightInd w:val="0"/>
        <w:spacing w:after="0" w:line="240" w:lineRule="auto"/>
        <w:jc w:val="both"/>
        <w:rPr>
          <w:rFonts w:ascii="Calibri" w:eastAsia="Times New Roman" w:hAnsi="Calibri" w:cs="Calibri"/>
          <w:iCs/>
          <w:color w:val="002060"/>
          <w:kern w:val="0"/>
          <w14:ligatures w14:val="none"/>
        </w:rPr>
      </w:pPr>
      <w:bookmarkStart w:id="423" w:name="_Hlk535486987"/>
      <w:r w:rsidRPr="006772AA">
        <w:rPr>
          <w:rFonts w:ascii="Calibri" w:eastAsia="Times New Roman" w:hAnsi="Calibri" w:cs="Calibri"/>
          <w:iCs/>
          <w:color w:val="002060"/>
          <w:kern w:val="0"/>
          <w14:ligatures w14:val="none"/>
        </w:rPr>
        <w:t>(i) O pagamento das parcelas de amortização do débito decorrente do contrato de financiamento ficará suspenso no período de 15 de dezembro de 2018 a 15 de maio de 2020.</w:t>
      </w:r>
    </w:p>
    <w:p w14:paraId="48ECC50E" w14:textId="77777777" w:rsidR="006772AA" w:rsidRPr="006772AA" w:rsidRDefault="006772AA" w:rsidP="006772AA">
      <w:pPr>
        <w:autoSpaceDE w:val="0"/>
        <w:autoSpaceDN w:val="0"/>
        <w:adjustRightInd w:val="0"/>
        <w:spacing w:after="0" w:line="240" w:lineRule="auto"/>
        <w:jc w:val="both"/>
        <w:rPr>
          <w:rFonts w:ascii="Calibri" w:eastAsia="Times New Roman" w:hAnsi="Calibri" w:cs="Calibri"/>
          <w:iCs/>
          <w:color w:val="002060"/>
          <w:kern w:val="0"/>
          <w14:ligatures w14:val="none"/>
        </w:rPr>
      </w:pPr>
      <w:r w:rsidRPr="006772AA">
        <w:rPr>
          <w:rFonts w:ascii="Calibri" w:eastAsia="Times New Roman" w:hAnsi="Calibri" w:cs="Calibri"/>
          <w:iCs/>
          <w:color w:val="002060"/>
          <w:kern w:val="0"/>
          <w14:ligatures w14:val="none"/>
        </w:rPr>
        <w:t>(</w:t>
      </w:r>
      <w:proofErr w:type="spellStart"/>
      <w:r w:rsidRPr="006772AA">
        <w:rPr>
          <w:rFonts w:ascii="Calibri" w:eastAsia="Times New Roman" w:hAnsi="Calibri" w:cs="Calibri"/>
          <w:iCs/>
          <w:color w:val="002060"/>
          <w:kern w:val="0"/>
          <w14:ligatures w14:val="none"/>
        </w:rPr>
        <w:t>ii</w:t>
      </w:r>
      <w:proofErr w:type="spellEnd"/>
      <w:r w:rsidRPr="006772AA">
        <w:rPr>
          <w:rFonts w:ascii="Calibri" w:eastAsia="Times New Roman" w:hAnsi="Calibri" w:cs="Calibri"/>
          <w:iCs/>
          <w:color w:val="002060"/>
          <w:kern w:val="0"/>
          <w14:ligatures w14:val="none"/>
        </w:rPr>
        <w:t>) O pagamento dos juros compensatórios previstos no contrato de financiamento ficará suspenso no período de 15 de dezembro de 2018 a 15 de novembro de 2019.</w:t>
      </w:r>
    </w:p>
    <w:p w14:paraId="31DF0CE6" w14:textId="3201D816" w:rsidR="006772AA" w:rsidRPr="006772AA" w:rsidRDefault="006772AA" w:rsidP="006772AA">
      <w:pPr>
        <w:autoSpaceDE w:val="0"/>
        <w:autoSpaceDN w:val="0"/>
        <w:adjustRightInd w:val="0"/>
        <w:spacing w:after="0" w:line="240" w:lineRule="auto"/>
        <w:jc w:val="both"/>
        <w:rPr>
          <w:rFonts w:ascii="Calibri" w:eastAsia="Times New Roman" w:hAnsi="Calibri" w:cs="Calibri"/>
          <w:iCs/>
          <w:color w:val="002060"/>
          <w:kern w:val="0"/>
          <w14:ligatures w14:val="none"/>
        </w:rPr>
      </w:pPr>
      <w:r w:rsidRPr="006772AA">
        <w:rPr>
          <w:rFonts w:ascii="Calibri" w:eastAsia="Times New Roman" w:hAnsi="Calibri" w:cs="Calibri"/>
          <w:iCs/>
          <w:color w:val="002060"/>
          <w:kern w:val="0"/>
          <w14:ligatures w14:val="none"/>
        </w:rPr>
        <w:t xml:space="preserve"> (</w:t>
      </w:r>
      <w:proofErr w:type="spellStart"/>
      <w:r w:rsidRPr="006772AA">
        <w:rPr>
          <w:rFonts w:ascii="Calibri" w:eastAsia="Times New Roman" w:hAnsi="Calibri" w:cs="Calibri"/>
          <w:iCs/>
          <w:color w:val="002060"/>
          <w:kern w:val="0"/>
          <w14:ligatures w14:val="none"/>
        </w:rPr>
        <w:t>iii</w:t>
      </w:r>
      <w:proofErr w:type="spellEnd"/>
      <w:r w:rsidRPr="006772AA">
        <w:rPr>
          <w:rFonts w:ascii="Calibri" w:eastAsia="Times New Roman" w:hAnsi="Calibri" w:cs="Calibri"/>
          <w:iCs/>
          <w:color w:val="002060"/>
          <w:kern w:val="0"/>
          <w14:ligatures w14:val="none"/>
        </w:rPr>
        <w:t xml:space="preserve">) Os juros apurados no período de 15 de dezembro de 2018 a 15 de novembro de 2019 serão capitalizados mensalmente ao saldo devedor, de acordo com a metodologia de cálculo de juros compostos. </w:t>
      </w:r>
    </w:p>
    <w:p w14:paraId="49DBA707" w14:textId="77777777" w:rsidR="006772AA" w:rsidRPr="006772AA" w:rsidRDefault="006772AA" w:rsidP="006772AA">
      <w:pPr>
        <w:autoSpaceDE w:val="0"/>
        <w:autoSpaceDN w:val="0"/>
        <w:adjustRightInd w:val="0"/>
        <w:spacing w:after="0" w:line="240" w:lineRule="auto"/>
        <w:jc w:val="both"/>
        <w:rPr>
          <w:rFonts w:ascii="Calibri" w:eastAsia="Times New Roman" w:hAnsi="Calibri" w:cs="Calibri"/>
          <w:iCs/>
          <w:color w:val="002060"/>
          <w:kern w:val="0"/>
          <w14:ligatures w14:val="none"/>
        </w:rPr>
      </w:pPr>
      <w:r w:rsidRPr="006772AA">
        <w:rPr>
          <w:rFonts w:ascii="Calibri" w:eastAsia="Times New Roman" w:hAnsi="Calibri" w:cs="Calibri"/>
          <w:iCs/>
          <w:color w:val="002060"/>
          <w:kern w:val="0"/>
          <w14:ligatures w14:val="none"/>
        </w:rPr>
        <w:t>(</w:t>
      </w:r>
      <w:proofErr w:type="spellStart"/>
      <w:r w:rsidRPr="006772AA">
        <w:rPr>
          <w:rFonts w:ascii="Calibri" w:eastAsia="Times New Roman" w:hAnsi="Calibri" w:cs="Calibri"/>
          <w:iCs/>
          <w:color w:val="002060"/>
          <w:kern w:val="0"/>
          <w14:ligatures w14:val="none"/>
        </w:rPr>
        <w:t>iv</w:t>
      </w:r>
      <w:proofErr w:type="spellEnd"/>
      <w:r w:rsidRPr="006772AA">
        <w:rPr>
          <w:rFonts w:ascii="Calibri" w:eastAsia="Times New Roman" w:hAnsi="Calibri" w:cs="Calibri"/>
          <w:iCs/>
          <w:color w:val="002060"/>
          <w:kern w:val="0"/>
          <w14:ligatures w14:val="none"/>
        </w:rPr>
        <w:t>) Prorrogação do vencimento do contrato em 12 meses, passando de 15 de dezembro de 2024 para 15 de dezembro de 2025.</w:t>
      </w:r>
    </w:p>
    <w:p w14:paraId="3E77E082" w14:textId="77777777" w:rsidR="006772AA" w:rsidRPr="006772AA" w:rsidRDefault="006772AA" w:rsidP="006772AA">
      <w:pPr>
        <w:autoSpaceDE w:val="0"/>
        <w:autoSpaceDN w:val="0"/>
        <w:adjustRightInd w:val="0"/>
        <w:spacing w:after="0" w:line="240" w:lineRule="auto"/>
        <w:jc w:val="both"/>
        <w:rPr>
          <w:rFonts w:ascii="Calibri" w:eastAsia="Times New Roman" w:hAnsi="Calibri" w:cs="Calibri"/>
          <w:iCs/>
          <w:color w:val="002060"/>
          <w:kern w:val="0"/>
          <w14:ligatures w14:val="none"/>
        </w:rPr>
      </w:pPr>
      <w:r w:rsidRPr="006772AA">
        <w:rPr>
          <w:rFonts w:ascii="Calibri" w:eastAsia="Times New Roman" w:hAnsi="Calibri" w:cs="Calibri"/>
          <w:iCs/>
          <w:color w:val="002060"/>
          <w:kern w:val="0"/>
          <w14:ligatures w14:val="none"/>
        </w:rPr>
        <w:t>(v) A Telebras pagará à FINEP o valor de R$ 21.397, a título de compensação financeira, pelo período de sobrestamento, cujo valor será corrigido pelo mesmo indexador previsto no contrato e pago em parcelas mensais e sucessivas, juntamente com as parcelas de amortização e juros, de 15 de junho de 2020 a 15 de dezembro de 2025.</w:t>
      </w:r>
    </w:p>
    <w:bookmarkEnd w:id="423"/>
    <w:p w14:paraId="6FB175EC" w14:textId="2BBE7FCD" w:rsidR="006772AA" w:rsidRPr="006772AA" w:rsidRDefault="006772AA" w:rsidP="006772AA">
      <w:pPr>
        <w:autoSpaceDE w:val="0"/>
        <w:autoSpaceDN w:val="0"/>
        <w:adjustRightInd w:val="0"/>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24.1.3. </w:t>
      </w:r>
      <w:proofErr w:type="spellStart"/>
      <w:r w:rsidRPr="006772AA">
        <w:rPr>
          <w:rFonts w:ascii="Calibri" w:eastAsia="Times New Roman" w:hAnsi="Calibri" w:cs="Calibri"/>
          <w:b/>
          <w:bCs/>
          <w:iCs/>
          <w:color w:val="002060"/>
          <w:kern w:val="0"/>
          <w14:ligatures w14:val="none"/>
        </w:rPr>
        <w:t>Covenants</w:t>
      </w:r>
      <w:proofErr w:type="spellEnd"/>
    </w:p>
    <w:p w14:paraId="27D6AB13" w14:textId="77777777" w:rsidR="006772AA" w:rsidRPr="006772AA" w:rsidRDefault="006772AA" w:rsidP="006772AA">
      <w:pPr>
        <w:autoSpaceDE w:val="0"/>
        <w:autoSpaceDN w:val="0"/>
        <w:adjustRightInd w:val="0"/>
        <w:spacing w:after="0" w:line="240" w:lineRule="auto"/>
        <w:jc w:val="both"/>
        <w:rPr>
          <w:rFonts w:ascii="Calibri" w:eastAsia="Times New Roman" w:hAnsi="Calibri" w:cs="Calibri"/>
          <w:iCs/>
          <w:color w:val="002060"/>
          <w:kern w:val="0"/>
          <w14:ligatures w14:val="none"/>
        </w:rPr>
      </w:pPr>
      <w:r w:rsidRPr="006772AA">
        <w:rPr>
          <w:rFonts w:ascii="Calibri" w:eastAsia="Times New Roman" w:hAnsi="Calibri" w:cs="Calibri"/>
          <w:iCs/>
          <w:color w:val="002060"/>
          <w:kern w:val="0"/>
          <w14:ligatures w14:val="none"/>
        </w:rPr>
        <w:t>A FINEP poderá declarar vencido antecipadamente o Contrato, em qualquer momento, independente de notificação judicial ou extrajudicial, se houver: aplicação de recursos em finalidade diversa, constituição de gravame sobre as garantias estatuídas, alteração do controle efetivo direto ou indireto sem anuência da entidade, existência de mora no pagamento de qualquer quantia devida, paralisação do Plano Estratégico de Inovação e outras circunstâncias que tornem inseguro ou impossível o cumprimento, pela Financiada, das obrigações assumidas.</w:t>
      </w:r>
    </w:p>
    <w:p w14:paraId="6639711A" w14:textId="6D41181C" w:rsidR="006772AA" w:rsidRPr="006772AA" w:rsidRDefault="006772AA" w:rsidP="006772AA">
      <w:pPr>
        <w:autoSpaceDE w:val="0"/>
        <w:autoSpaceDN w:val="0"/>
        <w:adjustRightInd w:val="0"/>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24.1.4. </w:t>
      </w:r>
      <w:r w:rsidRPr="006772AA">
        <w:rPr>
          <w:rFonts w:ascii="Calibri" w:eastAsia="Times New Roman" w:hAnsi="Calibri" w:cs="Calibri"/>
          <w:b/>
          <w:bCs/>
          <w:iCs/>
          <w:color w:val="002060"/>
          <w:kern w:val="0"/>
          <w14:ligatures w14:val="none"/>
        </w:rPr>
        <w:t>Garantias</w:t>
      </w:r>
    </w:p>
    <w:p w14:paraId="6963C34A" w14:textId="77777777" w:rsidR="006772AA" w:rsidRPr="006772AA" w:rsidRDefault="006772AA" w:rsidP="006772AA">
      <w:pPr>
        <w:autoSpaceDE w:val="0"/>
        <w:autoSpaceDN w:val="0"/>
        <w:adjustRightInd w:val="0"/>
        <w:spacing w:after="0" w:line="240" w:lineRule="auto"/>
        <w:jc w:val="both"/>
        <w:rPr>
          <w:rFonts w:ascii="Calibri" w:eastAsia="Times New Roman" w:hAnsi="Calibri" w:cs="Calibri"/>
          <w:iCs/>
          <w:color w:val="002060"/>
          <w:kern w:val="0"/>
          <w14:ligatures w14:val="none"/>
        </w:rPr>
      </w:pPr>
      <w:r w:rsidRPr="006772AA">
        <w:rPr>
          <w:rFonts w:ascii="Calibri" w:eastAsia="Times New Roman" w:hAnsi="Calibri" w:cs="Calibri"/>
          <w:iCs/>
          <w:color w:val="002060"/>
          <w:kern w:val="0"/>
          <w14:ligatures w14:val="none"/>
        </w:rPr>
        <w:t>A Telebras estabeleceu, como garantia do financiamento, bens do ativo imobilizado, cujo valor de liquidação totaliza R$ 64.246, conforme laudo de avaliação e direitos creditícios do contrato firmado entre a Telebras e a empresa de Tecnologia e Informação da Previdência (DATAPREV).</w:t>
      </w:r>
    </w:p>
    <w:p w14:paraId="677A6B33" w14:textId="45D44AF7" w:rsidR="006772AA" w:rsidRPr="006772AA" w:rsidRDefault="006772AA" w:rsidP="006772AA">
      <w:pPr>
        <w:autoSpaceDE w:val="0"/>
        <w:autoSpaceDN w:val="0"/>
        <w:adjustRightInd w:val="0"/>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24.2. A</w:t>
      </w:r>
      <w:r w:rsidRPr="006772AA">
        <w:rPr>
          <w:rFonts w:ascii="Calibri" w:eastAsia="Times New Roman" w:hAnsi="Calibri" w:cs="Calibri"/>
          <w:b/>
          <w:bCs/>
          <w:iCs/>
          <w:color w:val="002060"/>
          <w:kern w:val="0"/>
          <w14:ligatures w14:val="none"/>
        </w:rPr>
        <w:t>rrendamento mercantil financeiro</w:t>
      </w:r>
    </w:p>
    <w:p w14:paraId="74770D20" w14:textId="77777777" w:rsidR="006772AA" w:rsidRPr="006772AA" w:rsidRDefault="006772AA" w:rsidP="006772AA">
      <w:pPr>
        <w:autoSpaceDE w:val="0"/>
        <w:autoSpaceDN w:val="0"/>
        <w:adjustRightInd w:val="0"/>
        <w:spacing w:after="0" w:line="240" w:lineRule="auto"/>
        <w:jc w:val="both"/>
        <w:rPr>
          <w:rFonts w:ascii="Calibri" w:eastAsia="Times New Roman" w:hAnsi="Calibri" w:cs="Calibri"/>
          <w:iCs/>
          <w:color w:val="002060"/>
          <w:kern w:val="0"/>
          <w14:ligatures w14:val="none"/>
        </w:rPr>
      </w:pPr>
      <w:r w:rsidRPr="006772AA">
        <w:rPr>
          <w:rFonts w:ascii="Calibri" w:eastAsia="Times New Roman" w:hAnsi="Calibri" w:cs="Calibri"/>
          <w:iCs/>
          <w:color w:val="002060"/>
          <w:kern w:val="0"/>
          <w14:ligatures w14:val="none"/>
        </w:rPr>
        <w:t xml:space="preserve">A Telebras mantém contratos de arrendamento mercantil financeiro, relativos à locação de imóveis (sede da Companhia), terrenos onde estão instalados equipamentos para prestação de serviços (Estações), </w:t>
      </w:r>
      <w:r w:rsidRPr="006772AA">
        <w:rPr>
          <w:rFonts w:ascii="Calibri" w:eastAsia="Times New Roman" w:hAnsi="Calibri" w:cs="Calibri"/>
          <w:iCs/>
          <w:color w:val="002060"/>
          <w:kern w:val="0"/>
          <w14:ligatures w14:val="none"/>
        </w:rPr>
        <w:lastRenderedPageBreak/>
        <w:t xml:space="preserve">equipamentos de informática e equipamento de telecomunicações. Os prazos desses contratos variam entre 5 (cinco) e 15 (quinze) anos e têm vencimentos entre os anos de 2021 e 2032. A taxa de desconto utilizada para esses contratos é de 6% </w:t>
      </w:r>
      <w:proofErr w:type="spellStart"/>
      <w:r w:rsidRPr="006772AA">
        <w:rPr>
          <w:rFonts w:ascii="Calibri" w:eastAsia="Times New Roman" w:hAnsi="Calibri" w:cs="Calibri"/>
          <w:iCs/>
          <w:color w:val="002060"/>
          <w:kern w:val="0"/>
          <w14:ligatures w14:val="none"/>
        </w:rPr>
        <w:t>a.a</w:t>
      </w:r>
      <w:proofErr w:type="spellEnd"/>
      <w:r w:rsidRPr="006772AA">
        <w:rPr>
          <w:rFonts w:ascii="Calibri" w:eastAsia="Times New Roman" w:hAnsi="Calibri" w:cs="Calibri"/>
          <w:iCs/>
          <w:color w:val="002060"/>
          <w:kern w:val="0"/>
          <w14:ligatures w14:val="none"/>
        </w:rPr>
        <w:t>, para locação imóveis, terrenos e equipamentos de informática e de 12,38% para os equipamentos de Telecomunicações.</w:t>
      </w:r>
    </w:p>
    <w:p w14:paraId="1A0BF67A" w14:textId="7C4CAF45" w:rsidR="006772AA" w:rsidRPr="006772AA" w:rsidRDefault="006772AA" w:rsidP="006772AA">
      <w:pPr>
        <w:autoSpaceDE w:val="0"/>
        <w:autoSpaceDN w:val="0"/>
        <w:adjustRightInd w:val="0"/>
        <w:spacing w:after="0" w:line="240" w:lineRule="auto"/>
        <w:jc w:val="both"/>
        <w:rPr>
          <w:rFonts w:ascii="Calibri" w:eastAsia="Times New Roman" w:hAnsi="Calibri" w:cs="Calibri"/>
          <w:iCs/>
          <w:color w:val="002060"/>
          <w:kern w:val="0"/>
          <w14:ligatures w14:val="none"/>
        </w:rPr>
      </w:pPr>
      <w:r w:rsidRPr="006772AA">
        <w:rPr>
          <w:rFonts w:ascii="Calibri" w:eastAsia="Times New Roman" w:hAnsi="Calibri" w:cs="Calibri"/>
          <w:iCs/>
          <w:color w:val="002060"/>
          <w:kern w:val="0"/>
          <w14:ligatures w14:val="none"/>
        </w:rPr>
        <w:t xml:space="preserve"> Os valores do imobilizado registrados na rubrica de Direito de Uso de Ativo, líquido de depreciação, e do passivo correspondentes a esses ativos estão demonstrados a seguir.</w:t>
      </w:r>
    </w:p>
    <w:p w14:paraId="6370F918" w14:textId="17136B3F" w:rsidR="006772AA" w:rsidRPr="006772AA" w:rsidRDefault="006772AA" w:rsidP="006772AA">
      <w:pPr>
        <w:autoSpaceDE w:val="0"/>
        <w:autoSpaceDN w:val="0"/>
        <w:adjustRightInd w:val="0"/>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24.2.1. </w:t>
      </w:r>
      <w:r w:rsidRPr="006772AA">
        <w:rPr>
          <w:rFonts w:ascii="Calibri" w:eastAsia="Times New Roman" w:hAnsi="Calibri" w:cs="Calibri"/>
          <w:b/>
          <w:bCs/>
          <w:iCs/>
          <w:color w:val="002060"/>
          <w:kern w:val="0"/>
          <w14:ligatures w14:val="none"/>
        </w:rPr>
        <w:t>Direito de uso de ativo (valor contábil)</w:t>
      </w:r>
    </w:p>
    <w:tbl>
      <w:tblPr>
        <w:tblW w:w="5000" w:type="pct"/>
        <w:tblCellMar>
          <w:left w:w="70" w:type="dxa"/>
          <w:right w:w="70" w:type="dxa"/>
        </w:tblCellMar>
        <w:tblLook w:val="04A0" w:firstRow="1" w:lastRow="0" w:firstColumn="1" w:lastColumn="0" w:noHBand="0" w:noVBand="1"/>
      </w:tblPr>
      <w:tblGrid>
        <w:gridCol w:w="6209"/>
        <w:gridCol w:w="1777"/>
        <w:gridCol w:w="1775"/>
      </w:tblGrid>
      <w:tr w:rsidR="006772AA" w:rsidRPr="006772AA" w14:paraId="270FB840" w14:textId="77777777" w:rsidTr="006772AA">
        <w:trPr>
          <w:trHeight w:val="238"/>
        </w:trPr>
        <w:tc>
          <w:tcPr>
            <w:tcW w:w="3181" w:type="pct"/>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10F5C4C3" w14:textId="77777777" w:rsidR="006772AA" w:rsidRPr="006772AA" w:rsidRDefault="006772AA" w:rsidP="006772AA">
            <w:pPr>
              <w:spacing w:after="0" w:line="240" w:lineRule="auto"/>
              <w:rPr>
                <w:rFonts w:ascii="Arial" w:eastAsia="Times New Roman" w:hAnsi="Arial" w:cs="Arial"/>
                <w:b/>
                <w:bCs/>
                <w:color w:val="000000"/>
                <w:kern w:val="0"/>
                <w:sz w:val="18"/>
                <w:szCs w:val="18"/>
                <w:lang w:eastAsia="pt-BR"/>
                <w14:ligatures w14:val="none"/>
              </w:rPr>
            </w:pPr>
            <w:r w:rsidRPr="006772AA">
              <w:rPr>
                <w:rFonts w:ascii="Arial" w:eastAsia="Times New Roman" w:hAnsi="Arial" w:cs="Arial"/>
                <w:b/>
                <w:bCs/>
                <w:color w:val="000000"/>
                <w:kern w:val="0"/>
                <w:sz w:val="18"/>
                <w:szCs w:val="18"/>
                <w:lang w:eastAsia="pt-BR"/>
                <w14:ligatures w14:val="none"/>
              </w:rPr>
              <w:t> Bens/Direitos:</w:t>
            </w:r>
          </w:p>
        </w:tc>
        <w:tc>
          <w:tcPr>
            <w:tcW w:w="910" w:type="pct"/>
            <w:tcBorders>
              <w:top w:val="single" w:sz="8" w:space="0" w:color="auto"/>
              <w:left w:val="nil"/>
              <w:bottom w:val="single" w:sz="8" w:space="0" w:color="auto"/>
              <w:right w:val="single" w:sz="8" w:space="0" w:color="auto"/>
            </w:tcBorders>
            <w:shd w:val="clear" w:color="auto" w:fill="auto"/>
            <w:noWrap/>
            <w:vAlign w:val="center"/>
            <w:hideMark/>
          </w:tcPr>
          <w:p w14:paraId="3F8A32F9" w14:textId="77777777" w:rsidR="006772AA" w:rsidRPr="006772AA" w:rsidRDefault="006772AA" w:rsidP="006772AA">
            <w:pPr>
              <w:spacing w:after="0" w:line="240" w:lineRule="auto"/>
              <w:jc w:val="right"/>
              <w:rPr>
                <w:rFonts w:ascii="Arial" w:eastAsia="Times New Roman" w:hAnsi="Arial" w:cs="Arial"/>
                <w:b/>
                <w:bCs/>
                <w:color w:val="000000"/>
                <w:kern w:val="0"/>
                <w:sz w:val="18"/>
                <w:szCs w:val="18"/>
                <w:lang w:eastAsia="pt-BR"/>
                <w14:ligatures w14:val="none"/>
              </w:rPr>
            </w:pPr>
            <w:r w:rsidRPr="006772AA">
              <w:rPr>
                <w:rFonts w:ascii="Arial" w:eastAsia="Times New Roman" w:hAnsi="Arial" w:cs="Arial"/>
                <w:b/>
                <w:bCs/>
                <w:color w:val="000000"/>
                <w:kern w:val="0"/>
                <w:sz w:val="18"/>
                <w:szCs w:val="18"/>
                <w:lang w:eastAsia="pt-BR"/>
                <w14:ligatures w14:val="none"/>
              </w:rPr>
              <w:t>31/12/2023</w:t>
            </w:r>
          </w:p>
        </w:tc>
        <w:tc>
          <w:tcPr>
            <w:tcW w:w="909" w:type="pct"/>
            <w:tcBorders>
              <w:top w:val="single" w:sz="8" w:space="0" w:color="auto"/>
              <w:left w:val="nil"/>
              <w:bottom w:val="single" w:sz="8" w:space="0" w:color="auto"/>
              <w:right w:val="single" w:sz="8" w:space="0" w:color="auto"/>
            </w:tcBorders>
            <w:shd w:val="clear" w:color="auto" w:fill="auto"/>
            <w:noWrap/>
            <w:vAlign w:val="center"/>
            <w:hideMark/>
          </w:tcPr>
          <w:p w14:paraId="33D254E6" w14:textId="77777777" w:rsidR="006772AA" w:rsidRPr="006772AA" w:rsidRDefault="006772AA" w:rsidP="006772AA">
            <w:pPr>
              <w:spacing w:after="0" w:line="240" w:lineRule="auto"/>
              <w:jc w:val="right"/>
              <w:rPr>
                <w:rFonts w:ascii="Arial" w:eastAsia="Times New Roman" w:hAnsi="Arial" w:cs="Arial"/>
                <w:b/>
                <w:bCs/>
                <w:color w:val="000000"/>
                <w:kern w:val="0"/>
                <w:sz w:val="18"/>
                <w:szCs w:val="18"/>
                <w:lang w:eastAsia="pt-BR"/>
                <w14:ligatures w14:val="none"/>
              </w:rPr>
            </w:pPr>
            <w:r w:rsidRPr="006772AA">
              <w:rPr>
                <w:rFonts w:ascii="Arial" w:eastAsia="Times New Roman" w:hAnsi="Arial" w:cs="Arial"/>
                <w:b/>
                <w:bCs/>
                <w:color w:val="000000"/>
                <w:kern w:val="0"/>
                <w:sz w:val="18"/>
                <w:szCs w:val="18"/>
                <w:lang w:eastAsia="pt-BR"/>
                <w14:ligatures w14:val="none"/>
              </w:rPr>
              <w:t>31/12/2022</w:t>
            </w:r>
          </w:p>
        </w:tc>
      </w:tr>
      <w:tr w:rsidR="006772AA" w:rsidRPr="006772AA" w14:paraId="27D5E69E" w14:textId="77777777" w:rsidTr="006772AA">
        <w:trPr>
          <w:trHeight w:val="238"/>
        </w:trPr>
        <w:tc>
          <w:tcPr>
            <w:tcW w:w="3181" w:type="pct"/>
            <w:tcBorders>
              <w:top w:val="nil"/>
              <w:left w:val="single" w:sz="8" w:space="0" w:color="auto"/>
              <w:bottom w:val="single" w:sz="8" w:space="0" w:color="auto"/>
              <w:right w:val="single" w:sz="8" w:space="0" w:color="auto"/>
            </w:tcBorders>
            <w:shd w:val="clear" w:color="auto" w:fill="auto"/>
            <w:noWrap/>
            <w:vAlign w:val="center"/>
            <w:hideMark/>
          </w:tcPr>
          <w:p w14:paraId="211C27AC" w14:textId="77777777" w:rsidR="006772AA" w:rsidRPr="006772AA" w:rsidRDefault="006772AA" w:rsidP="006772AA">
            <w:pPr>
              <w:spacing w:after="0" w:line="240" w:lineRule="auto"/>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 xml:space="preserve">Imóveis </w:t>
            </w:r>
          </w:p>
        </w:tc>
        <w:tc>
          <w:tcPr>
            <w:tcW w:w="910" w:type="pct"/>
            <w:tcBorders>
              <w:top w:val="nil"/>
              <w:left w:val="nil"/>
              <w:bottom w:val="single" w:sz="8" w:space="0" w:color="auto"/>
              <w:right w:val="single" w:sz="8" w:space="0" w:color="auto"/>
            </w:tcBorders>
            <w:shd w:val="clear" w:color="auto" w:fill="auto"/>
            <w:noWrap/>
            <w:vAlign w:val="center"/>
            <w:hideMark/>
          </w:tcPr>
          <w:p w14:paraId="502AC2B5" w14:textId="77777777" w:rsidR="006772AA" w:rsidRPr="006772AA" w:rsidRDefault="006772AA" w:rsidP="006772AA">
            <w:pPr>
              <w:spacing w:after="0" w:line="240" w:lineRule="auto"/>
              <w:jc w:val="right"/>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6.224</w:t>
            </w:r>
          </w:p>
        </w:tc>
        <w:tc>
          <w:tcPr>
            <w:tcW w:w="909" w:type="pct"/>
            <w:tcBorders>
              <w:top w:val="nil"/>
              <w:left w:val="nil"/>
              <w:bottom w:val="single" w:sz="8" w:space="0" w:color="auto"/>
              <w:right w:val="single" w:sz="8" w:space="0" w:color="auto"/>
            </w:tcBorders>
            <w:shd w:val="clear" w:color="auto" w:fill="auto"/>
            <w:noWrap/>
            <w:vAlign w:val="center"/>
            <w:hideMark/>
          </w:tcPr>
          <w:p w14:paraId="137C6FB3" w14:textId="77777777" w:rsidR="006772AA" w:rsidRPr="006772AA" w:rsidRDefault="006772AA" w:rsidP="006772AA">
            <w:pPr>
              <w:spacing w:after="0" w:line="240" w:lineRule="auto"/>
              <w:jc w:val="right"/>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 xml:space="preserve">          8.691 </w:t>
            </w:r>
          </w:p>
        </w:tc>
      </w:tr>
      <w:tr w:rsidR="006772AA" w:rsidRPr="006772AA" w14:paraId="41010197" w14:textId="77777777" w:rsidTr="006772AA">
        <w:trPr>
          <w:trHeight w:val="238"/>
        </w:trPr>
        <w:tc>
          <w:tcPr>
            <w:tcW w:w="3181" w:type="pct"/>
            <w:tcBorders>
              <w:top w:val="nil"/>
              <w:left w:val="single" w:sz="8" w:space="0" w:color="auto"/>
              <w:bottom w:val="single" w:sz="8" w:space="0" w:color="auto"/>
              <w:right w:val="single" w:sz="8" w:space="0" w:color="auto"/>
            </w:tcBorders>
            <w:shd w:val="clear" w:color="auto" w:fill="auto"/>
            <w:noWrap/>
            <w:vAlign w:val="center"/>
            <w:hideMark/>
          </w:tcPr>
          <w:p w14:paraId="53FD04E7" w14:textId="77777777" w:rsidR="006772AA" w:rsidRPr="006772AA" w:rsidRDefault="006772AA" w:rsidP="006772AA">
            <w:pPr>
              <w:spacing w:after="0" w:line="240" w:lineRule="auto"/>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Terrenos (Estações)</w:t>
            </w:r>
          </w:p>
        </w:tc>
        <w:tc>
          <w:tcPr>
            <w:tcW w:w="910" w:type="pct"/>
            <w:tcBorders>
              <w:top w:val="nil"/>
              <w:left w:val="nil"/>
              <w:bottom w:val="single" w:sz="8" w:space="0" w:color="auto"/>
              <w:right w:val="single" w:sz="8" w:space="0" w:color="auto"/>
            </w:tcBorders>
            <w:shd w:val="clear" w:color="auto" w:fill="auto"/>
            <w:noWrap/>
            <w:vAlign w:val="center"/>
            <w:hideMark/>
          </w:tcPr>
          <w:p w14:paraId="2CB1F307" w14:textId="77777777" w:rsidR="006772AA" w:rsidRPr="006772AA" w:rsidRDefault="006772AA" w:rsidP="006772AA">
            <w:pPr>
              <w:spacing w:after="0" w:line="240" w:lineRule="auto"/>
              <w:jc w:val="right"/>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6.538</w:t>
            </w:r>
          </w:p>
        </w:tc>
        <w:tc>
          <w:tcPr>
            <w:tcW w:w="909" w:type="pct"/>
            <w:tcBorders>
              <w:top w:val="nil"/>
              <w:left w:val="nil"/>
              <w:bottom w:val="single" w:sz="8" w:space="0" w:color="auto"/>
              <w:right w:val="single" w:sz="8" w:space="0" w:color="auto"/>
            </w:tcBorders>
            <w:shd w:val="clear" w:color="auto" w:fill="auto"/>
            <w:noWrap/>
            <w:vAlign w:val="center"/>
            <w:hideMark/>
          </w:tcPr>
          <w:p w14:paraId="41C5169B" w14:textId="77777777" w:rsidR="006772AA" w:rsidRPr="006772AA" w:rsidRDefault="006772AA" w:rsidP="006772AA">
            <w:pPr>
              <w:spacing w:after="0" w:line="240" w:lineRule="auto"/>
              <w:jc w:val="right"/>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 xml:space="preserve">          7.194 </w:t>
            </w:r>
          </w:p>
        </w:tc>
      </w:tr>
      <w:tr w:rsidR="006772AA" w:rsidRPr="006772AA" w14:paraId="4F677D2C" w14:textId="77777777" w:rsidTr="006772AA">
        <w:trPr>
          <w:trHeight w:val="238"/>
        </w:trPr>
        <w:tc>
          <w:tcPr>
            <w:tcW w:w="3181" w:type="pct"/>
            <w:tcBorders>
              <w:top w:val="nil"/>
              <w:left w:val="single" w:sz="8" w:space="0" w:color="auto"/>
              <w:bottom w:val="single" w:sz="8" w:space="0" w:color="auto"/>
              <w:right w:val="single" w:sz="8" w:space="0" w:color="auto"/>
            </w:tcBorders>
            <w:shd w:val="clear" w:color="auto" w:fill="auto"/>
            <w:noWrap/>
            <w:vAlign w:val="center"/>
            <w:hideMark/>
          </w:tcPr>
          <w:p w14:paraId="5EA6CA0E" w14:textId="77777777" w:rsidR="006772AA" w:rsidRPr="006772AA" w:rsidRDefault="006772AA" w:rsidP="006772AA">
            <w:pPr>
              <w:spacing w:after="0" w:line="240" w:lineRule="auto"/>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Equipamentos de Telecomunicações</w:t>
            </w:r>
          </w:p>
        </w:tc>
        <w:tc>
          <w:tcPr>
            <w:tcW w:w="910" w:type="pct"/>
            <w:tcBorders>
              <w:top w:val="nil"/>
              <w:left w:val="nil"/>
              <w:bottom w:val="single" w:sz="8" w:space="0" w:color="auto"/>
              <w:right w:val="single" w:sz="8" w:space="0" w:color="auto"/>
            </w:tcBorders>
            <w:shd w:val="clear" w:color="auto" w:fill="auto"/>
            <w:noWrap/>
            <w:vAlign w:val="center"/>
            <w:hideMark/>
          </w:tcPr>
          <w:p w14:paraId="3FA270E0" w14:textId="77777777" w:rsidR="006772AA" w:rsidRPr="006772AA" w:rsidRDefault="006772AA" w:rsidP="006772AA">
            <w:pPr>
              <w:spacing w:after="0" w:line="240" w:lineRule="auto"/>
              <w:jc w:val="right"/>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461</w:t>
            </w:r>
          </w:p>
        </w:tc>
        <w:tc>
          <w:tcPr>
            <w:tcW w:w="909" w:type="pct"/>
            <w:tcBorders>
              <w:top w:val="nil"/>
              <w:left w:val="nil"/>
              <w:bottom w:val="single" w:sz="8" w:space="0" w:color="auto"/>
              <w:right w:val="single" w:sz="8" w:space="0" w:color="auto"/>
            </w:tcBorders>
            <w:shd w:val="clear" w:color="auto" w:fill="auto"/>
            <w:noWrap/>
            <w:vAlign w:val="center"/>
            <w:hideMark/>
          </w:tcPr>
          <w:p w14:paraId="55D10988" w14:textId="77777777" w:rsidR="006772AA" w:rsidRPr="006772AA" w:rsidRDefault="006772AA" w:rsidP="006772AA">
            <w:pPr>
              <w:spacing w:after="0" w:line="240" w:lineRule="auto"/>
              <w:jc w:val="right"/>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 xml:space="preserve">                 -   </w:t>
            </w:r>
          </w:p>
        </w:tc>
      </w:tr>
      <w:tr w:rsidR="006772AA" w:rsidRPr="006772AA" w14:paraId="180ADD01" w14:textId="77777777" w:rsidTr="006772AA">
        <w:trPr>
          <w:trHeight w:val="238"/>
        </w:trPr>
        <w:tc>
          <w:tcPr>
            <w:tcW w:w="3181" w:type="pct"/>
            <w:tcBorders>
              <w:top w:val="nil"/>
              <w:left w:val="single" w:sz="8" w:space="0" w:color="auto"/>
              <w:bottom w:val="single" w:sz="8" w:space="0" w:color="auto"/>
              <w:right w:val="single" w:sz="8" w:space="0" w:color="auto"/>
            </w:tcBorders>
            <w:shd w:val="clear" w:color="auto" w:fill="auto"/>
            <w:noWrap/>
            <w:vAlign w:val="center"/>
            <w:hideMark/>
          </w:tcPr>
          <w:p w14:paraId="5039E7DC" w14:textId="77777777" w:rsidR="006772AA" w:rsidRPr="006772AA" w:rsidRDefault="006772AA" w:rsidP="006772AA">
            <w:pPr>
              <w:spacing w:after="0" w:line="240" w:lineRule="auto"/>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Equipamentos de Informática</w:t>
            </w:r>
          </w:p>
        </w:tc>
        <w:tc>
          <w:tcPr>
            <w:tcW w:w="910" w:type="pct"/>
            <w:tcBorders>
              <w:top w:val="nil"/>
              <w:left w:val="nil"/>
              <w:bottom w:val="single" w:sz="8" w:space="0" w:color="auto"/>
              <w:right w:val="single" w:sz="8" w:space="0" w:color="auto"/>
            </w:tcBorders>
            <w:shd w:val="clear" w:color="auto" w:fill="auto"/>
            <w:noWrap/>
            <w:vAlign w:val="center"/>
            <w:hideMark/>
          </w:tcPr>
          <w:p w14:paraId="5880CBD2" w14:textId="77777777" w:rsidR="006772AA" w:rsidRPr="006772AA" w:rsidRDefault="006772AA" w:rsidP="006772AA">
            <w:pPr>
              <w:spacing w:after="0" w:line="240" w:lineRule="auto"/>
              <w:jc w:val="right"/>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8</w:t>
            </w:r>
          </w:p>
        </w:tc>
        <w:tc>
          <w:tcPr>
            <w:tcW w:w="909" w:type="pct"/>
            <w:tcBorders>
              <w:top w:val="nil"/>
              <w:left w:val="nil"/>
              <w:bottom w:val="single" w:sz="8" w:space="0" w:color="auto"/>
              <w:right w:val="single" w:sz="8" w:space="0" w:color="auto"/>
            </w:tcBorders>
            <w:shd w:val="clear" w:color="auto" w:fill="auto"/>
            <w:noWrap/>
            <w:vAlign w:val="center"/>
            <w:hideMark/>
          </w:tcPr>
          <w:p w14:paraId="60181C84" w14:textId="77777777" w:rsidR="006772AA" w:rsidRPr="006772AA" w:rsidRDefault="006772AA" w:rsidP="006772AA">
            <w:pPr>
              <w:spacing w:after="0" w:line="240" w:lineRule="auto"/>
              <w:jc w:val="right"/>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 xml:space="preserve">               47 </w:t>
            </w:r>
          </w:p>
        </w:tc>
      </w:tr>
      <w:tr w:rsidR="006772AA" w:rsidRPr="006772AA" w14:paraId="025DC657" w14:textId="77777777" w:rsidTr="006772AA">
        <w:trPr>
          <w:trHeight w:val="238"/>
        </w:trPr>
        <w:tc>
          <w:tcPr>
            <w:tcW w:w="3181" w:type="pct"/>
            <w:tcBorders>
              <w:top w:val="nil"/>
              <w:left w:val="single" w:sz="8" w:space="0" w:color="auto"/>
              <w:bottom w:val="single" w:sz="8" w:space="0" w:color="auto"/>
              <w:right w:val="single" w:sz="8" w:space="0" w:color="auto"/>
            </w:tcBorders>
            <w:shd w:val="clear" w:color="auto" w:fill="auto"/>
            <w:noWrap/>
            <w:vAlign w:val="center"/>
            <w:hideMark/>
          </w:tcPr>
          <w:p w14:paraId="73CD3C29" w14:textId="77777777" w:rsidR="006772AA" w:rsidRPr="006772AA" w:rsidRDefault="006772AA" w:rsidP="006772AA">
            <w:pPr>
              <w:spacing w:after="0" w:line="240" w:lineRule="auto"/>
              <w:rPr>
                <w:rFonts w:ascii="Arial" w:eastAsia="Times New Roman" w:hAnsi="Arial" w:cs="Arial"/>
                <w:b/>
                <w:bCs/>
                <w:color w:val="000000"/>
                <w:kern w:val="0"/>
                <w:sz w:val="18"/>
                <w:szCs w:val="18"/>
                <w:lang w:eastAsia="pt-BR"/>
                <w14:ligatures w14:val="none"/>
              </w:rPr>
            </w:pPr>
            <w:r w:rsidRPr="006772AA">
              <w:rPr>
                <w:rFonts w:ascii="Arial" w:eastAsia="Times New Roman" w:hAnsi="Arial" w:cs="Arial"/>
                <w:b/>
                <w:bCs/>
                <w:color w:val="000000"/>
                <w:kern w:val="0"/>
                <w:sz w:val="18"/>
                <w:szCs w:val="18"/>
                <w:lang w:eastAsia="pt-BR"/>
                <w14:ligatures w14:val="none"/>
              </w:rPr>
              <w:t>Total</w:t>
            </w:r>
          </w:p>
        </w:tc>
        <w:tc>
          <w:tcPr>
            <w:tcW w:w="910" w:type="pct"/>
            <w:tcBorders>
              <w:top w:val="nil"/>
              <w:left w:val="nil"/>
              <w:bottom w:val="single" w:sz="8" w:space="0" w:color="auto"/>
              <w:right w:val="single" w:sz="8" w:space="0" w:color="auto"/>
            </w:tcBorders>
            <w:shd w:val="clear" w:color="auto" w:fill="auto"/>
            <w:noWrap/>
            <w:vAlign w:val="center"/>
            <w:hideMark/>
          </w:tcPr>
          <w:p w14:paraId="2389F811" w14:textId="77777777" w:rsidR="006772AA" w:rsidRPr="006772AA" w:rsidRDefault="006772AA" w:rsidP="006772AA">
            <w:pPr>
              <w:spacing w:after="0" w:line="240" w:lineRule="auto"/>
              <w:jc w:val="right"/>
              <w:rPr>
                <w:rFonts w:ascii="Arial" w:eastAsia="Times New Roman" w:hAnsi="Arial" w:cs="Arial"/>
                <w:b/>
                <w:bCs/>
                <w:color w:val="000000"/>
                <w:kern w:val="0"/>
                <w:sz w:val="18"/>
                <w:szCs w:val="18"/>
                <w:lang w:eastAsia="pt-BR"/>
                <w14:ligatures w14:val="none"/>
              </w:rPr>
            </w:pPr>
            <w:r w:rsidRPr="006772AA">
              <w:rPr>
                <w:rFonts w:ascii="Arial" w:eastAsia="Times New Roman" w:hAnsi="Arial" w:cs="Arial"/>
                <w:b/>
                <w:bCs/>
                <w:color w:val="000000"/>
                <w:kern w:val="0"/>
                <w:sz w:val="18"/>
                <w:szCs w:val="18"/>
                <w:lang w:eastAsia="pt-BR"/>
                <w14:ligatures w14:val="none"/>
              </w:rPr>
              <w:t>13.231</w:t>
            </w:r>
          </w:p>
        </w:tc>
        <w:tc>
          <w:tcPr>
            <w:tcW w:w="909" w:type="pct"/>
            <w:tcBorders>
              <w:top w:val="nil"/>
              <w:left w:val="nil"/>
              <w:bottom w:val="single" w:sz="8" w:space="0" w:color="auto"/>
              <w:right w:val="single" w:sz="8" w:space="0" w:color="auto"/>
            </w:tcBorders>
            <w:shd w:val="clear" w:color="auto" w:fill="auto"/>
            <w:noWrap/>
            <w:vAlign w:val="center"/>
            <w:hideMark/>
          </w:tcPr>
          <w:p w14:paraId="7EFE71B9" w14:textId="77777777" w:rsidR="006772AA" w:rsidRPr="006772AA" w:rsidRDefault="006772AA" w:rsidP="006772AA">
            <w:pPr>
              <w:spacing w:after="0" w:line="240" w:lineRule="auto"/>
              <w:jc w:val="right"/>
              <w:rPr>
                <w:rFonts w:ascii="Arial" w:eastAsia="Times New Roman" w:hAnsi="Arial" w:cs="Arial"/>
                <w:b/>
                <w:bCs/>
                <w:color w:val="000000"/>
                <w:kern w:val="0"/>
                <w:sz w:val="18"/>
                <w:szCs w:val="18"/>
                <w:lang w:eastAsia="pt-BR"/>
                <w14:ligatures w14:val="none"/>
              </w:rPr>
            </w:pPr>
            <w:r w:rsidRPr="006772AA">
              <w:rPr>
                <w:rFonts w:ascii="Arial" w:eastAsia="Times New Roman" w:hAnsi="Arial" w:cs="Arial"/>
                <w:b/>
                <w:bCs/>
                <w:color w:val="000000"/>
                <w:kern w:val="0"/>
                <w:sz w:val="18"/>
                <w:szCs w:val="18"/>
                <w:lang w:eastAsia="pt-BR"/>
                <w14:ligatures w14:val="none"/>
              </w:rPr>
              <w:t xml:space="preserve">       15.932 </w:t>
            </w:r>
          </w:p>
        </w:tc>
      </w:tr>
    </w:tbl>
    <w:p w14:paraId="2A3749CB" w14:textId="39F6D94D" w:rsidR="006772AA" w:rsidRDefault="006772AA" w:rsidP="006772AA">
      <w:pPr>
        <w:autoSpaceDE w:val="0"/>
        <w:autoSpaceDN w:val="0"/>
        <w:adjustRightInd w:val="0"/>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24.2.2. </w:t>
      </w:r>
      <w:r w:rsidRPr="006772AA">
        <w:rPr>
          <w:rFonts w:ascii="Calibri" w:eastAsia="Times New Roman" w:hAnsi="Calibri" w:cs="Calibri"/>
          <w:b/>
          <w:bCs/>
          <w:iCs/>
          <w:color w:val="002060"/>
          <w:kern w:val="0"/>
          <w14:ligatures w14:val="none"/>
        </w:rPr>
        <w:t>Financiamentos (valor presente)</w:t>
      </w:r>
    </w:p>
    <w:tbl>
      <w:tblPr>
        <w:tblW w:w="5000" w:type="pct"/>
        <w:tblCellMar>
          <w:left w:w="70" w:type="dxa"/>
          <w:right w:w="70" w:type="dxa"/>
        </w:tblCellMar>
        <w:tblLook w:val="04A0" w:firstRow="1" w:lastRow="0" w:firstColumn="1" w:lastColumn="0" w:noHBand="0" w:noVBand="1"/>
      </w:tblPr>
      <w:tblGrid>
        <w:gridCol w:w="5977"/>
        <w:gridCol w:w="1898"/>
        <w:gridCol w:w="1896"/>
      </w:tblGrid>
      <w:tr w:rsidR="006772AA" w:rsidRPr="006772AA" w14:paraId="4A8E5FDE" w14:textId="77777777" w:rsidTr="006772AA">
        <w:trPr>
          <w:trHeight w:val="238"/>
        </w:trPr>
        <w:tc>
          <w:tcPr>
            <w:tcW w:w="305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6B0D2CD" w14:textId="77777777" w:rsidR="006772AA" w:rsidRPr="006772AA" w:rsidRDefault="006772AA" w:rsidP="006772AA">
            <w:pPr>
              <w:spacing w:after="0" w:line="240" w:lineRule="auto"/>
              <w:rPr>
                <w:rFonts w:ascii="Arial" w:eastAsia="Times New Roman" w:hAnsi="Arial" w:cs="Arial"/>
                <w:b/>
                <w:bCs/>
                <w:color w:val="000000"/>
                <w:kern w:val="0"/>
                <w:sz w:val="18"/>
                <w:szCs w:val="18"/>
                <w:lang w:eastAsia="pt-BR"/>
                <w14:ligatures w14:val="none"/>
              </w:rPr>
            </w:pPr>
            <w:r w:rsidRPr="006772AA">
              <w:rPr>
                <w:rFonts w:ascii="Arial" w:eastAsia="Times New Roman" w:hAnsi="Arial" w:cs="Arial"/>
                <w:b/>
                <w:bCs/>
                <w:color w:val="000000"/>
                <w:kern w:val="0"/>
                <w:sz w:val="18"/>
                <w:szCs w:val="18"/>
                <w:lang w:eastAsia="pt-BR"/>
                <w14:ligatures w14:val="none"/>
              </w:rPr>
              <w:t>Bens/Direitos:</w:t>
            </w:r>
          </w:p>
        </w:tc>
        <w:tc>
          <w:tcPr>
            <w:tcW w:w="971" w:type="pct"/>
            <w:tcBorders>
              <w:top w:val="single" w:sz="4" w:space="0" w:color="auto"/>
              <w:left w:val="nil"/>
              <w:bottom w:val="single" w:sz="4" w:space="0" w:color="auto"/>
              <w:right w:val="single" w:sz="4" w:space="0" w:color="auto"/>
            </w:tcBorders>
            <w:shd w:val="clear" w:color="auto" w:fill="auto"/>
            <w:noWrap/>
            <w:vAlign w:val="center"/>
            <w:hideMark/>
          </w:tcPr>
          <w:p w14:paraId="6893D138" w14:textId="77777777" w:rsidR="006772AA" w:rsidRPr="006772AA" w:rsidRDefault="006772AA" w:rsidP="006772AA">
            <w:pPr>
              <w:spacing w:after="0" w:line="240" w:lineRule="auto"/>
              <w:jc w:val="right"/>
              <w:rPr>
                <w:rFonts w:ascii="Arial" w:eastAsia="Times New Roman" w:hAnsi="Arial" w:cs="Arial"/>
                <w:b/>
                <w:bCs/>
                <w:color w:val="000000"/>
                <w:kern w:val="0"/>
                <w:sz w:val="18"/>
                <w:szCs w:val="18"/>
                <w:lang w:eastAsia="pt-BR"/>
                <w14:ligatures w14:val="none"/>
              </w:rPr>
            </w:pPr>
            <w:r w:rsidRPr="006772AA">
              <w:rPr>
                <w:rFonts w:ascii="Arial" w:eastAsia="Times New Roman" w:hAnsi="Arial" w:cs="Arial"/>
                <w:b/>
                <w:bCs/>
                <w:color w:val="000000"/>
                <w:kern w:val="0"/>
                <w:sz w:val="18"/>
                <w:szCs w:val="18"/>
                <w:lang w:eastAsia="pt-BR"/>
                <w14:ligatures w14:val="none"/>
              </w:rPr>
              <w:t>31/12/2023</w:t>
            </w:r>
          </w:p>
        </w:tc>
        <w:tc>
          <w:tcPr>
            <w:tcW w:w="970" w:type="pct"/>
            <w:tcBorders>
              <w:top w:val="single" w:sz="4" w:space="0" w:color="auto"/>
              <w:left w:val="nil"/>
              <w:bottom w:val="single" w:sz="4" w:space="0" w:color="auto"/>
              <w:right w:val="single" w:sz="4" w:space="0" w:color="auto"/>
            </w:tcBorders>
            <w:shd w:val="clear" w:color="auto" w:fill="auto"/>
            <w:noWrap/>
            <w:vAlign w:val="center"/>
            <w:hideMark/>
          </w:tcPr>
          <w:p w14:paraId="09CE4DE1" w14:textId="77777777" w:rsidR="006772AA" w:rsidRPr="006772AA" w:rsidRDefault="006772AA" w:rsidP="006772AA">
            <w:pPr>
              <w:spacing w:after="0" w:line="240" w:lineRule="auto"/>
              <w:jc w:val="right"/>
              <w:rPr>
                <w:rFonts w:ascii="Arial" w:eastAsia="Times New Roman" w:hAnsi="Arial" w:cs="Arial"/>
                <w:b/>
                <w:bCs/>
                <w:color w:val="000000"/>
                <w:kern w:val="0"/>
                <w:sz w:val="18"/>
                <w:szCs w:val="18"/>
                <w:lang w:eastAsia="pt-BR"/>
                <w14:ligatures w14:val="none"/>
              </w:rPr>
            </w:pPr>
            <w:r w:rsidRPr="006772AA">
              <w:rPr>
                <w:rFonts w:ascii="Arial" w:eastAsia="Times New Roman" w:hAnsi="Arial" w:cs="Arial"/>
                <w:b/>
                <w:bCs/>
                <w:color w:val="000000"/>
                <w:kern w:val="0"/>
                <w:sz w:val="18"/>
                <w:szCs w:val="18"/>
                <w:lang w:eastAsia="pt-BR"/>
                <w14:ligatures w14:val="none"/>
              </w:rPr>
              <w:t>31/12/2022</w:t>
            </w:r>
          </w:p>
        </w:tc>
      </w:tr>
      <w:tr w:rsidR="006772AA" w:rsidRPr="006772AA" w14:paraId="12D57534" w14:textId="77777777" w:rsidTr="006772AA">
        <w:trPr>
          <w:trHeight w:val="238"/>
        </w:trPr>
        <w:tc>
          <w:tcPr>
            <w:tcW w:w="3059" w:type="pct"/>
            <w:tcBorders>
              <w:top w:val="nil"/>
              <w:left w:val="single" w:sz="4" w:space="0" w:color="auto"/>
              <w:bottom w:val="single" w:sz="4" w:space="0" w:color="auto"/>
              <w:right w:val="single" w:sz="4" w:space="0" w:color="auto"/>
            </w:tcBorders>
            <w:shd w:val="clear" w:color="auto" w:fill="auto"/>
            <w:noWrap/>
            <w:vAlign w:val="center"/>
            <w:hideMark/>
          </w:tcPr>
          <w:p w14:paraId="5300AB27" w14:textId="77777777" w:rsidR="006772AA" w:rsidRPr="006772AA" w:rsidRDefault="006772AA" w:rsidP="006772AA">
            <w:pPr>
              <w:spacing w:after="0" w:line="240" w:lineRule="auto"/>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Terrenos (Estações)</w:t>
            </w:r>
          </w:p>
        </w:tc>
        <w:tc>
          <w:tcPr>
            <w:tcW w:w="971" w:type="pct"/>
            <w:tcBorders>
              <w:top w:val="nil"/>
              <w:left w:val="nil"/>
              <w:bottom w:val="single" w:sz="4" w:space="0" w:color="auto"/>
              <w:right w:val="single" w:sz="4" w:space="0" w:color="auto"/>
            </w:tcBorders>
            <w:shd w:val="clear" w:color="auto" w:fill="auto"/>
            <w:noWrap/>
            <w:vAlign w:val="center"/>
            <w:hideMark/>
          </w:tcPr>
          <w:p w14:paraId="5BB2D966" w14:textId="77777777" w:rsidR="006772AA" w:rsidRPr="006772AA" w:rsidRDefault="006772AA" w:rsidP="006772AA">
            <w:pPr>
              <w:spacing w:after="0" w:line="240" w:lineRule="auto"/>
              <w:jc w:val="right"/>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6.931</w:t>
            </w:r>
          </w:p>
        </w:tc>
        <w:tc>
          <w:tcPr>
            <w:tcW w:w="970" w:type="pct"/>
            <w:tcBorders>
              <w:top w:val="nil"/>
              <w:left w:val="nil"/>
              <w:bottom w:val="single" w:sz="4" w:space="0" w:color="auto"/>
              <w:right w:val="single" w:sz="4" w:space="0" w:color="auto"/>
            </w:tcBorders>
            <w:shd w:val="clear" w:color="auto" w:fill="auto"/>
            <w:noWrap/>
            <w:vAlign w:val="center"/>
            <w:hideMark/>
          </w:tcPr>
          <w:p w14:paraId="774AFCE9" w14:textId="77777777" w:rsidR="006772AA" w:rsidRPr="006772AA" w:rsidRDefault="006772AA" w:rsidP="006772AA">
            <w:pPr>
              <w:spacing w:after="0" w:line="240" w:lineRule="auto"/>
              <w:jc w:val="right"/>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 xml:space="preserve">          7.495 </w:t>
            </w:r>
          </w:p>
        </w:tc>
      </w:tr>
      <w:tr w:rsidR="006772AA" w:rsidRPr="006772AA" w14:paraId="748572F1" w14:textId="77777777" w:rsidTr="006772AA">
        <w:trPr>
          <w:trHeight w:val="238"/>
        </w:trPr>
        <w:tc>
          <w:tcPr>
            <w:tcW w:w="3059" w:type="pct"/>
            <w:tcBorders>
              <w:top w:val="nil"/>
              <w:left w:val="single" w:sz="4" w:space="0" w:color="auto"/>
              <w:bottom w:val="single" w:sz="4" w:space="0" w:color="auto"/>
              <w:right w:val="single" w:sz="4" w:space="0" w:color="auto"/>
            </w:tcBorders>
            <w:shd w:val="clear" w:color="auto" w:fill="auto"/>
            <w:noWrap/>
            <w:vAlign w:val="center"/>
            <w:hideMark/>
          </w:tcPr>
          <w:p w14:paraId="21FDF76D" w14:textId="77777777" w:rsidR="006772AA" w:rsidRPr="006772AA" w:rsidRDefault="006772AA" w:rsidP="006772AA">
            <w:pPr>
              <w:spacing w:after="0" w:line="240" w:lineRule="auto"/>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Imóveis</w:t>
            </w:r>
          </w:p>
        </w:tc>
        <w:tc>
          <w:tcPr>
            <w:tcW w:w="971" w:type="pct"/>
            <w:tcBorders>
              <w:top w:val="nil"/>
              <w:left w:val="nil"/>
              <w:bottom w:val="single" w:sz="4" w:space="0" w:color="auto"/>
              <w:right w:val="single" w:sz="4" w:space="0" w:color="auto"/>
            </w:tcBorders>
            <w:shd w:val="clear" w:color="auto" w:fill="auto"/>
            <w:noWrap/>
            <w:vAlign w:val="center"/>
            <w:hideMark/>
          </w:tcPr>
          <w:p w14:paraId="2709D888" w14:textId="77777777" w:rsidR="006772AA" w:rsidRPr="006772AA" w:rsidRDefault="006772AA" w:rsidP="006772AA">
            <w:pPr>
              <w:spacing w:after="0" w:line="240" w:lineRule="auto"/>
              <w:jc w:val="right"/>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6.669</w:t>
            </w:r>
          </w:p>
        </w:tc>
        <w:tc>
          <w:tcPr>
            <w:tcW w:w="970" w:type="pct"/>
            <w:tcBorders>
              <w:top w:val="nil"/>
              <w:left w:val="nil"/>
              <w:bottom w:val="single" w:sz="4" w:space="0" w:color="auto"/>
              <w:right w:val="single" w:sz="4" w:space="0" w:color="auto"/>
            </w:tcBorders>
            <w:shd w:val="clear" w:color="auto" w:fill="auto"/>
            <w:noWrap/>
            <w:vAlign w:val="center"/>
            <w:hideMark/>
          </w:tcPr>
          <w:p w14:paraId="3FC49B45" w14:textId="77777777" w:rsidR="006772AA" w:rsidRPr="006772AA" w:rsidRDefault="006772AA" w:rsidP="006772AA">
            <w:pPr>
              <w:spacing w:after="0" w:line="240" w:lineRule="auto"/>
              <w:jc w:val="right"/>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 xml:space="preserve">          9.105 </w:t>
            </w:r>
          </w:p>
        </w:tc>
      </w:tr>
      <w:tr w:rsidR="006772AA" w:rsidRPr="006772AA" w14:paraId="1C5CF229" w14:textId="77777777" w:rsidTr="006772AA">
        <w:trPr>
          <w:trHeight w:val="238"/>
        </w:trPr>
        <w:tc>
          <w:tcPr>
            <w:tcW w:w="3059" w:type="pct"/>
            <w:tcBorders>
              <w:top w:val="nil"/>
              <w:left w:val="single" w:sz="4" w:space="0" w:color="auto"/>
              <w:bottom w:val="single" w:sz="4" w:space="0" w:color="auto"/>
              <w:right w:val="single" w:sz="4" w:space="0" w:color="auto"/>
            </w:tcBorders>
            <w:shd w:val="clear" w:color="auto" w:fill="auto"/>
            <w:noWrap/>
            <w:vAlign w:val="center"/>
            <w:hideMark/>
          </w:tcPr>
          <w:p w14:paraId="3E976F54" w14:textId="77777777" w:rsidR="006772AA" w:rsidRPr="006772AA" w:rsidRDefault="006772AA" w:rsidP="006772AA">
            <w:pPr>
              <w:spacing w:after="0" w:line="240" w:lineRule="auto"/>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Equipamentos de Telecomunicações</w:t>
            </w:r>
          </w:p>
        </w:tc>
        <w:tc>
          <w:tcPr>
            <w:tcW w:w="971" w:type="pct"/>
            <w:tcBorders>
              <w:top w:val="nil"/>
              <w:left w:val="nil"/>
              <w:bottom w:val="single" w:sz="4" w:space="0" w:color="auto"/>
              <w:right w:val="single" w:sz="4" w:space="0" w:color="auto"/>
            </w:tcBorders>
            <w:shd w:val="clear" w:color="auto" w:fill="auto"/>
            <w:noWrap/>
            <w:vAlign w:val="center"/>
            <w:hideMark/>
          </w:tcPr>
          <w:p w14:paraId="5296B305" w14:textId="77777777" w:rsidR="006772AA" w:rsidRPr="006772AA" w:rsidRDefault="006772AA" w:rsidP="006772AA">
            <w:pPr>
              <w:spacing w:after="0" w:line="240" w:lineRule="auto"/>
              <w:jc w:val="right"/>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510</w:t>
            </w:r>
          </w:p>
        </w:tc>
        <w:tc>
          <w:tcPr>
            <w:tcW w:w="970" w:type="pct"/>
            <w:tcBorders>
              <w:top w:val="nil"/>
              <w:left w:val="nil"/>
              <w:bottom w:val="single" w:sz="4" w:space="0" w:color="auto"/>
              <w:right w:val="single" w:sz="4" w:space="0" w:color="auto"/>
            </w:tcBorders>
            <w:shd w:val="clear" w:color="auto" w:fill="auto"/>
            <w:noWrap/>
            <w:vAlign w:val="center"/>
            <w:hideMark/>
          </w:tcPr>
          <w:p w14:paraId="7A5EA7EC" w14:textId="77777777" w:rsidR="006772AA" w:rsidRPr="006772AA" w:rsidRDefault="006772AA" w:rsidP="006772AA">
            <w:pPr>
              <w:spacing w:after="0" w:line="240" w:lineRule="auto"/>
              <w:jc w:val="right"/>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 xml:space="preserve">                 -   </w:t>
            </w:r>
          </w:p>
        </w:tc>
      </w:tr>
      <w:tr w:rsidR="006772AA" w:rsidRPr="006772AA" w14:paraId="712DBAA9" w14:textId="77777777" w:rsidTr="006772AA">
        <w:trPr>
          <w:trHeight w:val="238"/>
        </w:trPr>
        <w:tc>
          <w:tcPr>
            <w:tcW w:w="3059" w:type="pct"/>
            <w:tcBorders>
              <w:top w:val="nil"/>
              <w:left w:val="single" w:sz="4" w:space="0" w:color="auto"/>
              <w:bottom w:val="single" w:sz="4" w:space="0" w:color="auto"/>
              <w:right w:val="single" w:sz="4" w:space="0" w:color="auto"/>
            </w:tcBorders>
            <w:shd w:val="clear" w:color="auto" w:fill="auto"/>
            <w:noWrap/>
            <w:vAlign w:val="center"/>
            <w:hideMark/>
          </w:tcPr>
          <w:p w14:paraId="34C2D840" w14:textId="77777777" w:rsidR="006772AA" w:rsidRPr="006772AA" w:rsidRDefault="006772AA" w:rsidP="006772AA">
            <w:pPr>
              <w:spacing w:after="0" w:line="240" w:lineRule="auto"/>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Equipamentos de Informática</w:t>
            </w:r>
          </w:p>
        </w:tc>
        <w:tc>
          <w:tcPr>
            <w:tcW w:w="971" w:type="pct"/>
            <w:tcBorders>
              <w:top w:val="nil"/>
              <w:left w:val="nil"/>
              <w:bottom w:val="single" w:sz="4" w:space="0" w:color="auto"/>
              <w:right w:val="single" w:sz="4" w:space="0" w:color="auto"/>
            </w:tcBorders>
            <w:shd w:val="clear" w:color="auto" w:fill="auto"/>
            <w:noWrap/>
            <w:vAlign w:val="center"/>
            <w:hideMark/>
          </w:tcPr>
          <w:p w14:paraId="31EEE26C" w14:textId="77777777" w:rsidR="006772AA" w:rsidRPr="006772AA" w:rsidRDefault="006772AA" w:rsidP="006772AA">
            <w:pPr>
              <w:spacing w:after="0" w:line="240" w:lineRule="auto"/>
              <w:jc w:val="right"/>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11</w:t>
            </w:r>
          </w:p>
        </w:tc>
        <w:tc>
          <w:tcPr>
            <w:tcW w:w="970" w:type="pct"/>
            <w:tcBorders>
              <w:top w:val="nil"/>
              <w:left w:val="nil"/>
              <w:bottom w:val="single" w:sz="4" w:space="0" w:color="auto"/>
              <w:right w:val="single" w:sz="4" w:space="0" w:color="auto"/>
            </w:tcBorders>
            <w:shd w:val="clear" w:color="auto" w:fill="auto"/>
            <w:noWrap/>
            <w:vAlign w:val="center"/>
            <w:hideMark/>
          </w:tcPr>
          <w:p w14:paraId="3471148A" w14:textId="77777777" w:rsidR="006772AA" w:rsidRPr="006772AA" w:rsidRDefault="006772AA" w:rsidP="006772AA">
            <w:pPr>
              <w:spacing w:after="0" w:line="240" w:lineRule="auto"/>
              <w:jc w:val="right"/>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 xml:space="preserve">               57 </w:t>
            </w:r>
          </w:p>
        </w:tc>
      </w:tr>
      <w:tr w:rsidR="006772AA" w:rsidRPr="006772AA" w14:paraId="3A8D2EA1" w14:textId="77777777" w:rsidTr="006772AA">
        <w:trPr>
          <w:trHeight w:val="238"/>
        </w:trPr>
        <w:tc>
          <w:tcPr>
            <w:tcW w:w="3059" w:type="pct"/>
            <w:tcBorders>
              <w:top w:val="nil"/>
              <w:left w:val="single" w:sz="4" w:space="0" w:color="auto"/>
              <w:bottom w:val="single" w:sz="4" w:space="0" w:color="auto"/>
              <w:right w:val="single" w:sz="4" w:space="0" w:color="auto"/>
            </w:tcBorders>
            <w:shd w:val="clear" w:color="auto" w:fill="auto"/>
            <w:noWrap/>
            <w:vAlign w:val="center"/>
            <w:hideMark/>
          </w:tcPr>
          <w:p w14:paraId="025EDF02" w14:textId="77777777" w:rsidR="006772AA" w:rsidRPr="006772AA" w:rsidRDefault="006772AA" w:rsidP="006772AA">
            <w:pPr>
              <w:spacing w:after="0" w:line="240" w:lineRule="auto"/>
              <w:rPr>
                <w:rFonts w:ascii="Arial" w:eastAsia="Times New Roman" w:hAnsi="Arial" w:cs="Arial"/>
                <w:b/>
                <w:bCs/>
                <w:color w:val="000000"/>
                <w:kern w:val="0"/>
                <w:sz w:val="18"/>
                <w:szCs w:val="18"/>
                <w:lang w:eastAsia="pt-BR"/>
                <w14:ligatures w14:val="none"/>
              </w:rPr>
            </w:pPr>
            <w:r w:rsidRPr="006772AA">
              <w:rPr>
                <w:rFonts w:ascii="Arial" w:eastAsia="Times New Roman" w:hAnsi="Arial" w:cs="Arial"/>
                <w:b/>
                <w:bCs/>
                <w:color w:val="000000"/>
                <w:kern w:val="0"/>
                <w:sz w:val="18"/>
                <w:szCs w:val="18"/>
                <w:lang w:eastAsia="pt-BR"/>
                <w14:ligatures w14:val="none"/>
              </w:rPr>
              <w:t>Total</w:t>
            </w:r>
          </w:p>
        </w:tc>
        <w:tc>
          <w:tcPr>
            <w:tcW w:w="971" w:type="pct"/>
            <w:tcBorders>
              <w:top w:val="nil"/>
              <w:left w:val="nil"/>
              <w:bottom w:val="single" w:sz="4" w:space="0" w:color="auto"/>
              <w:right w:val="single" w:sz="4" w:space="0" w:color="auto"/>
            </w:tcBorders>
            <w:shd w:val="clear" w:color="auto" w:fill="auto"/>
            <w:noWrap/>
            <w:vAlign w:val="center"/>
            <w:hideMark/>
          </w:tcPr>
          <w:p w14:paraId="0C9DFBB7" w14:textId="77777777" w:rsidR="006772AA" w:rsidRPr="006772AA" w:rsidRDefault="006772AA" w:rsidP="006772AA">
            <w:pPr>
              <w:spacing w:after="0" w:line="240" w:lineRule="auto"/>
              <w:jc w:val="right"/>
              <w:rPr>
                <w:rFonts w:ascii="Arial" w:eastAsia="Times New Roman" w:hAnsi="Arial" w:cs="Arial"/>
                <w:b/>
                <w:bCs/>
                <w:color w:val="000000"/>
                <w:kern w:val="0"/>
                <w:sz w:val="18"/>
                <w:szCs w:val="18"/>
                <w:lang w:eastAsia="pt-BR"/>
                <w14:ligatures w14:val="none"/>
              </w:rPr>
            </w:pPr>
            <w:r w:rsidRPr="006772AA">
              <w:rPr>
                <w:rFonts w:ascii="Arial" w:eastAsia="Times New Roman" w:hAnsi="Arial" w:cs="Arial"/>
                <w:b/>
                <w:bCs/>
                <w:color w:val="000000"/>
                <w:kern w:val="0"/>
                <w:sz w:val="18"/>
                <w:szCs w:val="18"/>
                <w:lang w:eastAsia="pt-BR"/>
                <w14:ligatures w14:val="none"/>
              </w:rPr>
              <w:t>14.121</w:t>
            </w:r>
          </w:p>
        </w:tc>
        <w:tc>
          <w:tcPr>
            <w:tcW w:w="970" w:type="pct"/>
            <w:tcBorders>
              <w:top w:val="nil"/>
              <w:left w:val="nil"/>
              <w:bottom w:val="single" w:sz="4" w:space="0" w:color="auto"/>
              <w:right w:val="single" w:sz="4" w:space="0" w:color="auto"/>
            </w:tcBorders>
            <w:shd w:val="clear" w:color="auto" w:fill="auto"/>
            <w:noWrap/>
            <w:vAlign w:val="center"/>
            <w:hideMark/>
          </w:tcPr>
          <w:p w14:paraId="23CE4080" w14:textId="77777777" w:rsidR="006772AA" w:rsidRPr="006772AA" w:rsidRDefault="006772AA" w:rsidP="006772AA">
            <w:pPr>
              <w:spacing w:after="0" w:line="240" w:lineRule="auto"/>
              <w:jc w:val="right"/>
              <w:rPr>
                <w:rFonts w:ascii="Arial" w:eastAsia="Times New Roman" w:hAnsi="Arial" w:cs="Arial"/>
                <w:b/>
                <w:bCs/>
                <w:color w:val="000000"/>
                <w:kern w:val="0"/>
                <w:sz w:val="18"/>
                <w:szCs w:val="18"/>
                <w:lang w:eastAsia="pt-BR"/>
                <w14:ligatures w14:val="none"/>
              </w:rPr>
            </w:pPr>
            <w:r w:rsidRPr="006772AA">
              <w:rPr>
                <w:rFonts w:ascii="Arial" w:eastAsia="Times New Roman" w:hAnsi="Arial" w:cs="Arial"/>
                <w:b/>
                <w:bCs/>
                <w:color w:val="000000"/>
                <w:kern w:val="0"/>
                <w:sz w:val="18"/>
                <w:szCs w:val="18"/>
                <w:lang w:eastAsia="pt-BR"/>
                <w14:ligatures w14:val="none"/>
              </w:rPr>
              <w:t xml:space="preserve">       16.657 </w:t>
            </w:r>
          </w:p>
        </w:tc>
      </w:tr>
      <w:tr w:rsidR="006772AA" w:rsidRPr="006772AA" w14:paraId="7B190964" w14:textId="77777777" w:rsidTr="006772AA">
        <w:trPr>
          <w:trHeight w:val="238"/>
        </w:trPr>
        <w:tc>
          <w:tcPr>
            <w:tcW w:w="3059" w:type="pct"/>
            <w:tcBorders>
              <w:top w:val="nil"/>
              <w:left w:val="single" w:sz="4" w:space="0" w:color="auto"/>
              <w:bottom w:val="single" w:sz="4" w:space="0" w:color="auto"/>
              <w:right w:val="single" w:sz="4" w:space="0" w:color="auto"/>
            </w:tcBorders>
            <w:shd w:val="clear" w:color="auto" w:fill="auto"/>
            <w:noWrap/>
            <w:vAlign w:val="center"/>
            <w:hideMark/>
          </w:tcPr>
          <w:p w14:paraId="5542B3A9" w14:textId="77777777" w:rsidR="006772AA" w:rsidRPr="006772AA" w:rsidRDefault="006772AA" w:rsidP="006772AA">
            <w:pPr>
              <w:spacing w:after="0" w:line="240" w:lineRule="auto"/>
              <w:rPr>
                <w:rFonts w:ascii="Arial" w:eastAsia="Times New Roman" w:hAnsi="Arial" w:cs="Arial"/>
                <w:b/>
                <w:bCs/>
                <w:color w:val="000000"/>
                <w:kern w:val="0"/>
                <w:sz w:val="18"/>
                <w:szCs w:val="18"/>
                <w:lang w:eastAsia="pt-BR"/>
                <w14:ligatures w14:val="none"/>
              </w:rPr>
            </w:pPr>
            <w:r w:rsidRPr="006772AA">
              <w:rPr>
                <w:rFonts w:ascii="Arial" w:eastAsia="Times New Roman" w:hAnsi="Arial" w:cs="Arial"/>
                <w:b/>
                <w:bCs/>
                <w:color w:val="000000"/>
                <w:kern w:val="0"/>
                <w:sz w:val="18"/>
                <w:szCs w:val="18"/>
                <w:lang w:eastAsia="pt-BR"/>
                <w14:ligatures w14:val="none"/>
              </w:rPr>
              <w:t>Circulante</w:t>
            </w:r>
          </w:p>
        </w:tc>
        <w:tc>
          <w:tcPr>
            <w:tcW w:w="971" w:type="pct"/>
            <w:tcBorders>
              <w:top w:val="nil"/>
              <w:left w:val="nil"/>
              <w:bottom w:val="single" w:sz="4" w:space="0" w:color="auto"/>
              <w:right w:val="single" w:sz="4" w:space="0" w:color="auto"/>
            </w:tcBorders>
            <w:shd w:val="clear" w:color="auto" w:fill="auto"/>
            <w:noWrap/>
            <w:vAlign w:val="center"/>
            <w:hideMark/>
          </w:tcPr>
          <w:p w14:paraId="7AF34264" w14:textId="77777777" w:rsidR="006772AA" w:rsidRPr="006772AA" w:rsidRDefault="006772AA" w:rsidP="006772AA">
            <w:pPr>
              <w:spacing w:after="0" w:line="240" w:lineRule="auto"/>
              <w:jc w:val="right"/>
              <w:rPr>
                <w:rFonts w:ascii="Arial" w:eastAsia="Times New Roman" w:hAnsi="Arial" w:cs="Arial"/>
                <w:b/>
                <w:bCs/>
                <w:color w:val="000000"/>
                <w:kern w:val="0"/>
                <w:sz w:val="18"/>
                <w:szCs w:val="18"/>
                <w:lang w:eastAsia="pt-BR"/>
                <w14:ligatures w14:val="none"/>
              </w:rPr>
            </w:pPr>
            <w:r w:rsidRPr="006772AA">
              <w:rPr>
                <w:rFonts w:ascii="Arial" w:eastAsia="Times New Roman" w:hAnsi="Arial" w:cs="Arial"/>
                <w:b/>
                <w:bCs/>
                <w:color w:val="000000"/>
                <w:kern w:val="0"/>
                <w:sz w:val="18"/>
                <w:szCs w:val="18"/>
                <w:lang w:eastAsia="pt-BR"/>
                <w14:ligatures w14:val="none"/>
              </w:rPr>
              <w:t>5.324</w:t>
            </w:r>
          </w:p>
        </w:tc>
        <w:tc>
          <w:tcPr>
            <w:tcW w:w="970" w:type="pct"/>
            <w:tcBorders>
              <w:top w:val="nil"/>
              <w:left w:val="nil"/>
              <w:bottom w:val="single" w:sz="4" w:space="0" w:color="auto"/>
              <w:right w:val="single" w:sz="4" w:space="0" w:color="auto"/>
            </w:tcBorders>
            <w:shd w:val="clear" w:color="auto" w:fill="auto"/>
            <w:noWrap/>
            <w:vAlign w:val="center"/>
            <w:hideMark/>
          </w:tcPr>
          <w:p w14:paraId="6146FB06" w14:textId="77777777" w:rsidR="006772AA" w:rsidRPr="006772AA" w:rsidRDefault="006772AA" w:rsidP="006772AA">
            <w:pPr>
              <w:spacing w:after="0" w:line="240" w:lineRule="auto"/>
              <w:jc w:val="right"/>
              <w:rPr>
                <w:rFonts w:ascii="Arial" w:eastAsia="Times New Roman" w:hAnsi="Arial" w:cs="Arial"/>
                <w:b/>
                <w:bCs/>
                <w:color w:val="000000"/>
                <w:kern w:val="0"/>
                <w:sz w:val="18"/>
                <w:szCs w:val="18"/>
                <w:lang w:eastAsia="pt-BR"/>
                <w14:ligatures w14:val="none"/>
              </w:rPr>
            </w:pPr>
            <w:r w:rsidRPr="006772AA">
              <w:rPr>
                <w:rFonts w:ascii="Arial" w:eastAsia="Times New Roman" w:hAnsi="Arial" w:cs="Arial"/>
                <w:b/>
                <w:bCs/>
                <w:color w:val="000000"/>
                <w:kern w:val="0"/>
                <w:sz w:val="18"/>
                <w:szCs w:val="18"/>
                <w:lang w:eastAsia="pt-BR"/>
                <w14:ligatures w14:val="none"/>
              </w:rPr>
              <w:t xml:space="preserve">          4.788 </w:t>
            </w:r>
          </w:p>
        </w:tc>
      </w:tr>
      <w:tr w:rsidR="006772AA" w:rsidRPr="006772AA" w14:paraId="7CAF6A98" w14:textId="77777777" w:rsidTr="006772AA">
        <w:trPr>
          <w:trHeight w:val="238"/>
        </w:trPr>
        <w:tc>
          <w:tcPr>
            <w:tcW w:w="3059" w:type="pct"/>
            <w:tcBorders>
              <w:top w:val="nil"/>
              <w:left w:val="single" w:sz="4" w:space="0" w:color="auto"/>
              <w:bottom w:val="single" w:sz="4" w:space="0" w:color="auto"/>
              <w:right w:val="single" w:sz="4" w:space="0" w:color="auto"/>
            </w:tcBorders>
            <w:shd w:val="clear" w:color="auto" w:fill="auto"/>
            <w:noWrap/>
            <w:vAlign w:val="center"/>
            <w:hideMark/>
          </w:tcPr>
          <w:p w14:paraId="0A8A36F8" w14:textId="77777777" w:rsidR="006772AA" w:rsidRPr="006772AA" w:rsidRDefault="006772AA" w:rsidP="006772AA">
            <w:pPr>
              <w:spacing w:after="0" w:line="240" w:lineRule="auto"/>
              <w:rPr>
                <w:rFonts w:ascii="Arial" w:eastAsia="Times New Roman" w:hAnsi="Arial" w:cs="Arial"/>
                <w:b/>
                <w:bCs/>
                <w:color w:val="000000"/>
                <w:kern w:val="0"/>
                <w:sz w:val="18"/>
                <w:szCs w:val="18"/>
                <w:lang w:eastAsia="pt-BR"/>
                <w14:ligatures w14:val="none"/>
              </w:rPr>
            </w:pPr>
            <w:r w:rsidRPr="006772AA">
              <w:rPr>
                <w:rFonts w:ascii="Arial" w:eastAsia="Times New Roman" w:hAnsi="Arial" w:cs="Arial"/>
                <w:b/>
                <w:bCs/>
                <w:color w:val="000000"/>
                <w:kern w:val="0"/>
                <w:sz w:val="18"/>
                <w:szCs w:val="18"/>
                <w:lang w:eastAsia="pt-BR"/>
                <w14:ligatures w14:val="none"/>
              </w:rPr>
              <w:t>Não Circulante</w:t>
            </w:r>
          </w:p>
        </w:tc>
        <w:tc>
          <w:tcPr>
            <w:tcW w:w="971" w:type="pct"/>
            <w:tcBorders>
              <w:top w:val="nil"/>
              <w:left w:val="nil"/>
              <w:bottom w:val="single" w:sz="4" w:space="0" w:color="auto"/>
              <w:right w:val="single" w:sz="4" w:space="0" w:color="auto"/>
            </w:tcBorders>
            <w:shd w:val="clear" w:color="auto" w:fill="auto"/>
            <w:noWrap/>
            <w:vAlign w:val="center"/>
            <w:hideMark/>
          </w:tcPr>
          <w:p w14:paraId="736B8276" w14:textId="77777777" w:rsidR="006772AA" w:rsidRPr="006772AA" w:rsidRDefault="006772AA" w:rsidP="006772AA">
            <w:pPr>
              <w:spacing w:after="0" w:line="240" w:lineRule="auto"/>
              <w:jc w:val="right"/>
              <w:rPr>
                <w:rFonts w:ascii="Arial" w:eastAsia="Times New Roman" w:hAnsi="Arial" w:cs="Arial"/>
                <w:b/>
                <w:bCs/>
                <w:color w:val="000000"/>
                <w:kern w:val="0"/>
                <w:sz w:val="18"/>
                <w:szCs w:val="18"/>
                <w:lang w:eastAsia="pt-BR"/>
                <w14:ligatures w14:val="none"/>
              </w:rPr>
            </w:pPr>
            <w:r w:rsidRPr="006772AA">
              <w:rPr>
                <w:rFonts w:ascii="Arial" w:eastAsia="Times New Roman" w:hAnsi="Arial" w:cs="Arial"/>
                <w:b/>
                <w:bCs/>
                <w:color w:val="000000"/>
                <w:kern w:val="0"/>
                <w:sz w:val="18"/>
                <w:szCs w:val="18"/>
                <w:lang w:eastAsia="pt-BR"/>
                <w14:ligatures w14:val="none"/>
              </w:rPr>
              <w:t>8.797</w:t>
            </w:r>
          </w:p>
        </w:tc>
        <w:tc>
          <w:tcPr>
            <w:tcW w:w="970" w:type="pct"/>
            <w:tcBorders>
              <w:top w:val="nil"/>
              <w:left w:val="nil"/>
              <w:bottom w:val="single" w:sz="4" w:space="0" w:color="auto"/>
              <w:right w:val="single" w:sz="4" w:space="0" w:color="auto"/>
            </w:tcBorders>
            <w:shd w:val="clear" w:color="auto" w:fill="auto"/>
            <w:noWrap/>
            <w:vAlign w:val="center"/>
            <w:hideMark/>
          </w:tcPr>
          <w:p w14:paraId="7E78D5CF" w14:textId="77777777" w:rsidR="006772AA" w:rsidRPr="006772AA" w:rsidRDefault="006772AA" w:rsidP="006772AA">
            <w:pPr>
              <w:spacing w:after="0" w:line="240" w:lineRule="auto"/>
              <w:jc w:val="right"/>
              <w:rPr>
                <w:rFonts w:ascii="Arial" w:eastAsia="Times New Roman" w:hAnsi="Arial" w:cs="Arial"/>
                <w:b/>
                <w:bCs/>
                <w:color w:val="000000"/>
                <w:kern w:val="0"/>
                <w:sz w:val="18"/>
                <w:szCs w:val="18"/>
                <w:lang w:eastAsia="pt-BR"/>
                <w14:ligatures w14:val="none"/>
              </w:rPr>
            </w:pPr>
            <w:r w:rsidRPr="006772AA">
              <w:rPr>
                <w:rFonts w:ascii="Arial" w:eastAsia="Times New Roman" w:hAnsi="Arial" w:cs="Arial"/>
                <w:b/>
                <w:bCs/>
                <w:color w:val="000000"/>
                <w:kern w:val="0"/>
                <w:sz w:val="18"/>
                <w:szCs w:val="18"/>
                <w:lang w:eastAsia="pt-BR"/>
                <w14:ligatures w14:val="none"/>
              </w:rPr>
              <w:t xml:space="preserve">       11.869 </w:t>
            </w:r>
          </w:p>
        </w:tc>
      </w:tr>
    </w:tbl>
    <w:p w14:paraId="41C853ED" w14:textId="77777777" w:rsidR="006772AA" w:rsidRDefault="006772AA" w:rsidP="006772AA">
      <w:pPr>
        <w:autoSpaceDE w:val="0"/>
        <w:autoSpaceDN w:val="0"/>
        <w:adjustRightInd w:val="0"/>
        <w:spacing w:after="0" w:line="240" w:lineRule="auto"/>
        <w:jc w:val="both"/>
        <w:rPr>
          <w:rFonts w:ascii="Calibri" w:eastAsia="Times New Roman" w:hAnsi="Calibri" w:cs="Calibri"/>
          <w:iCs/>
          <w:color w:val="002060"/>
          <w:kern w:val="0"/>
          <w14:ligatures w14:val="none"/>
        </w:rPr>
      </w:pPr>
      <w:r w:rsidRPr="006772AA">
        <w:rPr>
          <w:rFonts w:ascii="Calibri" w:eastAsia="Times New Roman" w:hAnsi="Calibri" w:cs="Calibri"/>
          <w:iCs/>
          <w:color w:val="002060"/>
          <w:kern w:val="0"/>
          <w14:ligatures w14:val="none"/>
        </w:rPr>
        <w:t>Os desembolsos futuros (contraprestações) de longo prazo, assumidos em decorrência desses contratos, estão apresentados abaixo:</w:t>
      </w:r>
    </w:p>
    <w:tbl>
      <w:tblPr>
        <w:tblW w:w="5000" w:type="pct"/>
        <w:tblCellMar>
          <w:left w:w="70" w:type="dxa"/>
          <w:right w:w="70" w:type="dxa"/>
        </w:tblCellMar>
        <w:tblLook w:val="04A0" w:firstRow="1" w:lastRow="0" w:firstColumn="1" w:lastColumn="0" w:noHBand="0" w:noVBand="1"/>
      </w:tblPr>
      <w:tblGrid>
        <w:gridCol w:w="5056"/>
        <w:gridCol w:w="1608"/>
        <w:gridCol w:w="1624"/>
        <w:gridCol w:w="1483"/>
      </w:tblGrid>
      <w:tr w:rsidR="006772AA" w:rsidRPr="006772AA" w14:paraId="528F16EB" w14:textId="77777777" w:rsidTr="006772AA">
        <w:trPr>
          <w:trHeight w:val="328"/>
          <w:tblHeader/>
        </w:trPr>
        <w:tc>
          <w:tcPr>
            <w:tcW w:w="2587"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4BE82ABB" w14:textId="77777777" w:rsidR="006772AA" w:rsidRPr="006772AA" w:rsidRDefault="006772AA" w:rsidP="006772AA">
            <w:pPr>
              <w:spacing w:after="0" w:line="240" w:lineRule="auto"/>
              <w:rPr>
                <w:rFonts w:ascii="Arial" w:eastAsia="Times New Roman" w:hAnsi="Arial" w:cs="Arial"/>
                <w:b/>
                <w:bCs/>
                <w:color w:val="000000"/>
                <w:kern w:val="0"/>
                <w:sz w:val="18"/>
                <w:szCs w:val="18"/>
                <w:lang w:eastAsia="pt-BR"/>
                <w14:ligatures w14:val="none"/>
              </w:rPr>
            </w:pPr>
            <w:r w:rsidRPr="006772AA">
              <w:rPr>
                <w:rFonts w:ascii="Arial" w:eastAsia="Times New Roman" w:hAnsi="Arial" w:cs="Arial"/>
                <w:b/>
                <w:bCs/>
                <w:color w:val="000000"/>
                <w:kern w:val="0"/>
                <w:sz w:val="18"/>
                <w:szCs w:val="18"/>
                <w:lang w:eastAsia="pt-BR"/>
                <w14:ligatures w14:val="none"/>
              </w:rPr>
              <w:t>Vencimentos:</w:t>
            </w:r>
          </w:p>
        </w:tc>
        <w:tc>
          <w:tcPr>
            <w:tcW w:w="823" w:type="pct"/>
            <w:tcBorders>
              <w:top w:val="single" w:sz="4" w:space="0" w:color="auto"/>
              <w:left w:val="nil"/>
              <w:bottom w:val="single" w:sz="4" w:space="0" w:color="auto"/>
              <w:right w:val="single" w:sz="4" w:space="0" w:color="auto"/>
            </w:tcBorders>
            <w:shd w:val="clear" w:color="auto" w:fill="auto"/>
            <w:vAlign w:val="center"/>
            <w:hideMark/>
          </w:tcPr>
          <w:p w14:paraId="24BC2898" w14:textId="77777777" w:rsidR="006772AA" w:rsidRPr="006772AA" w:rsidRDefault="006772AA" w:rsidP="006772AA">
            <w:pPr>
              <w:spacing w:after="0" w:line="240" w:lineRule="auto"/>
              <w:jc w:val="center"/>
              <w:rPr>
                <w:rFonts w:ascii="Arial" w:eastAsia="Times New Roman" w:hAnsi="Arial" w:cs="Arial"/>
                <w:b/>
                <w:bCs/>
                <w:color w:val="000000"/>
                <w:kern w:val="0"/>
                <w:sz w:val="18"/>
                <w:szCs w:val="18"/>
                <w:lang w:eastAsia="pt-BR"/>
                <w14:ligatures w14:val="none"/>
              </w:rPr>
            </w:pPr>
            <w:r w:rsidRPr="006772AA">
              <w:rPr>
                <w:rFonts w:ascii="Arial" w:eastAsia="Times New Roman" w:hAnsi="Arial" w:cs="Arial"/>
                <w:b/>
                <w:bCs/>
                <w:color w:val="000000"/>
                <w:kern w:val="0"/>
                <w:sz w:val="18"/>
                <w:szCs w:val="18"/>
                <w:lang w:eastAsia="pt-BR"/>
                <w14:ligatures w14:val="none"/>
              </w:rPr>
              <w:t>principal</w:t>
            </w:r>
          </w:p>
        </w:tc>
        <w:tc>
          <w:tcPr>
            <w:tcW w:w="831" w:type="pct"/>
            <w:tcBorders>
              <w:top w:val="single" w:sz="4" w:space="0" w:color="auto"/>
              <w:left w:val="nil"/>
              <w:bottom w:val="single" w:sz="4" w:space="0" w:color="auto"/>
              <w:right w:val="single" w:sz="4" w:space="0" w:color="auto"/>
            </w:tcBorders>
            <w:shd w:val="clear" w:color="auto" w:fill="auto"/>
            <w:vAlign w:val="center"/>
            <w:hideMark/>
          </w:tcPr>
          <w:p w14:paraId="616E0ED5" w14:textId="77777777" w:rsidR="006772AA" w:rsidRPr="006772AA" w:rsidRDefault="006772AA" w:rsidP="006772AA">
            <w:pPr>
              <w:spacing w:after="0" w:line="240" w:lineRule="auto"/>
              <w:jc w:val="center"/>
              <w:rPr>
                <w:rFonts w:ascii="Arial" w:eastAsia="Times New Roman" w:hAnsi="Arial" w:cs="Arial"/>
                <w:b/>
                <w:bCs/>
                <w:color w:val="000000"/>
                <w:kern w:val="0"/>
                <w:sz w:val="18"/>
                <w:szCs w:val="18"/>
                <w:lang w:eastAsia="pt-BR"/>
                <w14:ligatures w14:val="none"/>
              </w:rPr>
            </w:pPr>
            <w:r w:rsidRPr="006772AA">
              <w:rPr>
                <w:rFonts w:ascii="Arial" w:eastAsia="Times New Roman" w:hAnsi="Arial" w:cs="Arial"/>
                <w:b/>
                <w:bCs/>
                <w:color w:val="000000"/>
                <w:kern w:val="0"/>
                <w:sz w:val="18"/>
                <w:szCs w:val="18"/>
                <w:lang w:eastAsia="pt-BR"/>
                <w14:ligatures w14:val="none"/>
              </w:rPr>
              <w:t>Juros a Incorrer</w:t>
            </w:r>
          </w:p>
        </w:tc>
        <w:tc>
          <w:tcPr>
            <w:tcW w:w="759" w:type="pct"/>
            <w:tcBorders>
              <w:top w:val="single" w:sz="4" w:space="0" w:color="auto"/>
              <w:left w:val="nil"/>
              <w:bottom w:val="single" w:sz="4" w:space="0" w:color="auto"/>
              <w:right w:val="single" w:sz="4" w:space="0" w:color="auto"/>
            </w:tcBorders>
            <w:shd w:val="clear" w:color="auto" w:fill="auto"/>
            <w:vAlign w:val="center"/>
            <w:hideMark/>
          </w:tcPr>
          <w:p w14:paraId="563BE362" w14:textId="77777777" w:rsidR="006772AA" w:rsidRPr="006772AA" w:rsidRDefault="006772AA" w:rsidP="006772AA">
            <w:pPr>
              <w:spacing w:after="0" w:line="240" w:lineRule="auto"/>
              <w:jc w:val="center"/>
              <w:rPr>
                <w:rFonts w:ascii="Arial" w:eastAsia="Times New Roman" w:hAnsi="Arial" w:cs="Arial"/>
                <w:b/>
                <w:bCs/>
                <w:color w:val="000000"/>
                <w:kern w:val="0"/>
                <w:sz w:val="18"/>
                <w:szCs w:val="18"/>
                <w:lang w:eastAsia="pt-BR"/>
                <w14:ligatures w14:val="none"/>
              </w:rPr>
            </w:pPr>
            <w:r w:rsidRPr="006772AA">
              <w:rPr>
                <w:rFonts w:ascii="Arial" w:eastAsia="Times New Roman" w:hAnsi="Arial" w:cs="Arial"/>
                <w:b/>
                <w:bCs/>
                <w:color w:val="000000"/>
                <w:kern w:val="0"/>
                <w:sz w:val="18"/>
                <w:szCs w:val="18"/>
                <w:lang w:eastAsia="pt-BR"/>
                <w14:ligatures w14:val="none"/>
              </w:rPr>
              <w:t>Total</w:t>
            </w:r>
          </w:p>
        </w:tc>
      </w:tr>
      <w:tr w:rsidR="006772AA" w:rsidRPr="006772AA" w14:paraId="25B6C18D" w14:textId="77777777" w:rsidTr="006772AA">
        <w:trPr>
          <w:trHeight w:val="238"/>
        </w:trPr>
        <w:tc>
          <w:tcPr>
            <w:tcW w:w="2587" w:type="pct"/>
            <w:tcBorders>
              <w:top w:val="nil"/>
              <w:left w:val="single" w:sz="4" w:space="0" w:color="auto"/>
              <w:bottom w:val="single" w:sz="4" w:space="0" w:color="auto"/>
              <w:right w:val="single" w:sz="4" w:space="0" w:color="auto"/>
            </w:tcBorders>
            <w:shd w:val="clear" w:color="auto" w:fill="auto"/>
            <w:noWrap/>
            <w:vAlign w:val="center"/>
            <w:hideMark/>
          </w:tcPr>
          <w:p w14:paraId="566F19EC" w14:textId="77777777" w:rsidR="006772AA" w:rsidRPr="006772AA" w:rsidRDefault="006772AA" w:rsidP="006772AA">
            <w:pPr>
              <w:spacing w:after="0" w:line="240" w:lineRule="auto"/>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2025</w:t>
            </w:r>
          </w:p>
        </w:tc>
        <w:tc>
          <w:tcPr>
            <w:tcW w:w="823" w:type="pct"/>
            <w:tcBorders>
              <w:top w:val="nil"/>
              <w:left w:val="nil"/>
              <w:bottom w:val="single" w:sz="4" w:space="0" w:color="auto"/>
              <w:right w:val="single" w:sz="4" w:space="0" w:color="auto"/>
            </w:tcBorders>
            <w:shd w:val="clear" w:color="auto" w:fill="auto"/>
            <w:noWrap/>
            <w:vAlign w:val="center"/>
            <w:hideMark/>
          </w:tcPr>
          <w:p w14:paraId="7F4269CB" w14:textId="77777777" w:rsidR="006772AA" w:rsidRPr="006772AA" w:rsidRDefault="006772AA" w:rsidP="006772AA">
            <w:pPr>
              <w:spacing w:after="0" w:line="240" w:lineRule="auto"/>
              <w:jc w:val="right"/>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 xml:space="preserve">          5.595 </w:t>
            </w:r>
          </w:p>
        </w:tc>
        <w:tc>
          <w:tcPr>
            <w:tcW w:w="831" w:type="pct"/>
            <w:tcBorders>
              <w:top w:val="nil"/>
              <w:left w:val="nil"/>
              <w:bottom w:val="single" w:sz="4" w:space="0" w:color="auto"/>
              <w:right w:val="single" w:sz="4" w:space="0" w:color="auto"/>
            </w:tcBorders>
            <w:shd w:val="clear" w:color="auto" w:fill="auto"/>
            <w:noWrap/>
            <w:vAlign w:val="center"/>
            <w:hideMark/>
          </w:tcPr>
          <w:p w14:paraId="31E182A3" w14:textId="77777777" w:rsidR="006772AA" w:rsidRPr="006772AA" w:rsidRDefault="006772AA" w:rsidP="006772AA">
            <w:pPr>
              <w:spacing w:after="0" w:line="240" w:lineRule="auto"/>
              <w:jc w:val="right"/>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 xml:space="preserve">           (390)</w:t>
            </w:r>
          </w:p>
        </w:tc>
        <w:tc>
          <w:tcPr>
            <w:tcW w:w="759" w:type="pct"/>
            <w:tcBorders>
              <w:top w:val="nil"/>
              <w:left w:val="nil"/>
              <w:bottom w:val="single" w:sz="4" w:space="0" w:color="auto"/>
              <w:right w:val="single" w:sz="4" w:space="0" w:color="auto"/>
            </w:tcBorders>
            <w:shd w:val="clear" w:color="auto" w:fill="auto"/>
            <w:noWrap/>
            <w:vAlign w:val="center"/>
            <w:hideMark/>
          </w:tcPr>
          <w:p w14:paraId="335D84A7" w14:textId="77777777" w:rsidR="006772AA" w:rsidRPr="006772AA" w:rsidRDefault="006772AA" w:rsidP="006772AA">
            <w:pPr>
              <w:spacing w:after="0" w:line="240" w:lineRule="auto"/>
              <w:jc w:val="right"/>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 xml:space="preserve">        5.205 </w:t>
            </w:r>
          </w:p>
        </w:tc>
      </w:tr>
      <w:tr w:rsidR="006772AA" w:rsidRPr="006772AA" w14:paraId="70FA0A06" w14:textId="77777777" w:rsidTr="006772AA">
        <w:trPr>
          <w:trHeight w:val="238"/>
        </w:trPr>
        <w:tc>
          <w:tcPr>
            <w:tcW w:w="2587" w:type="pct"/>
            <w:tcBorders>
              <w:top w:val="nil"/>
              <w:left w:val="single" w:sz="4" w:space="0" w:color="auto"/>
              <w:bottom w:val="single" w:sz="4" w:space="0" w:color="auto"/>
              <w:right w:val="single" w:sz="4" w:space="0" w:color="auto"/>
            </w:tcBorders>
            <w:shd w:val="clear" w:color="auto" w:fill="auto"/>
            <w:noWrap/>
            <w:vAlign w:val="center"/>
            <w:hideMark/>
          </w:tcPr>
          <w:p w14:paraId="6F2C119E" w14:textId="77777777" w:rsidR="006772AA" w:rsidRPr="006772AA" w:rsidRDefault="006772AA" w:rsidP="006772AA">
            <w:pPr>
              <w:spacing w:after="0" w:line="240" w:lineRule="auto"/>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2026</w:t>
            </w:r>
          </w:p>
        </w:tc>
        <w:tc>
          <w:tcPr>
            <w:tcW w:w="823" w:type="pct"/>
            <w:tcBorders>
              <w:top w:val="nil"/>
              <w:left w:val="nil"/>
              <w:bottom w:val="single" w:sz="4" w:space="0" w:color="auto"/>
              <w:right w:val="single" w:sz="4" w:space="0" w:color="auto"/>
            </w:tcBorders>
            <w:shd w:val="clear" w:color="auto" w:fill="auto"/>
            <w:noWrap/>
            <w:vAlign w:val="center"/>
            <w:hideMark/>
          </w:tcPr>
          <w:p w14:paraId="08ACBA9C" w14:textId="77777777" w:rsidR="006772AA" w:rsidRPr="006772AA" w:rsidRDefault="006772AA" w:rsidP="006772AA">
            <w:pPr>
              <w:spacing w:after="0" w:line="240" w:lineRule="auto"/>
              <w:jc w:val="right"/>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 xml:space="preserve">          2.117 </w:t>
            </w:r>
          </w:p>
        </w:tc>
        <w:tc>
          <w:tcPr>
            <w:tcW w:w="831" w:type="pct"/>
            <w:tcBorders>
              <w:top w:val="nil"/>
              <w:left w:val="nil"/>
              <w:bottom w:val="single" w:sz="4" w:space="0" w:color="auto"/>
              <w:right w:val="single" w:sz="4" w:space="0" w:color="auto"/>
            </w:tcBorders>
            <w:shd w:val="clear" w:color="auto" w:fill="auto"/>
            <w:noWrap/>
            <w:vAlign w:val="center"/>
            <w:hideMark/>
          </w:tcPr>
          <w:p w14:paraId="657FAED6" w14:textId="77777777" w:rsidR="006772AA" w:rsidRPr="006772AA" w:rsidRDefault="006772AA" w:rsidP="006772AA">
            <w:pPr>
              <w:spacing w:after="0" w:line="240" w:lineRule="auto"/>
              <w:jc w:val="right"/>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 xml:space="preserve">           (169)</w:t>
            </w:r>
          </w:p>
        </w:tc>
        <w:tc>
          <w:tcPr>
            <w:tcW w:w="759" w:type="pct"/>
            <w:tcBorders>
              <w:top w:val="nil"/>
              <w:left w:val="nil"/>
              <w:bottom w:val="single" w:sz="4" w:space="0" w:color="auto"/>
              <w:right w:val="single" w:sz="4" w:space="0" w:color="auto"/>
            </w:tcBorders>
            <w:shd w:val="clear" w:color="auto" w:fill="auto"/>
            <w:noWrap/>
            <w:vAlign w:val="center"/>
            <w:hideMark/>
          </w:tcPr>
          <w:p w14:paraId="6E634279" w14:textId="77777777" w:rsidR="006772AA" w:rsidRPr="006772AA" w:rsidRDefault="006772AA" w:rsidP="006772AA">
            <w:pPr>
              <w:spacing w:after="0" w:line="240" w:lineRule="auto"/>
              <w:jc w:val="right"/>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 xml:space="preserve">        1.948 </w:t>
            </w:r>
          </w:p>
        </w:tc>
      </w:tr>
      <w:tr w:rsidR="006772AA" w:rsidRPr="006772AA" w14:paraId="47B60B2D" w14:textId="77777777" w:rsidTr="006772AA">
        <w:trPr>
          <w:trHeight w:val="238"/>
        </w:trPr>
        <w:tc>
          <w:tcPr>
            <w:tcW w:w="2587" w:type="pct"/>
            <w:tcBorders>
              <w:top w:val="nil"/>
              <w:left w:val="single" w:sz="4" w:space="0" w:color="auto"/>
              <w:bottom w:val="single" w:sz="4" w:space="0" w:color="auto"/>
              <w:right w:val="single" w:sz="4" w:space="0" w:color="auto"/>
            </w:tcBorders>
            <w:shd w:val="clear" w:color="auto" w:fill="auto"/>
            <w:noWrap/>
            <w:vAlign w:val="center"/>
            <w:hideMark/>
          </w:tcPr>
          <w:p w14:paraId="435F81F0" w14:textId="77777777" w:rsidR="006772AA" w:rsidRPr="006772AA" w:rsidRDefault="006772AA" w:rsidP="006772AA">
            <w:pPr>
              <w:spacing w:after="0" w:line="240" w:lineRule="auto"/>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2027</w:t>
            </w:r>
          </w:p>
        </w:tc>
        <w:tc>
          <w:tcPr>
            <w:tcW w:w="823" w:type="pct"/>
            <w:tcBorders>
              <w:top w:val="nil"/>
              <w:left w:val="nil"/>
              <w:bottom w:val="single" w:sz="4" w:space="0" w:color="auto"/>
              <w:right w:val="single" w:sz="4" w:space="0" w:color="auto"/>
            </w:tcBorders>
            <w:shd w:val="clear" w:color="auto" w:fill="auto"/>
            <w:noWrap/>
            <w:vAlign w:val="center"/>
            <w:hideMark/>
          </w:tcPr>
          <w:p w14:paraId="4208B478" w14:textId="77777777" w:rsidR="006772AA" w:rsidRPr="006772AA" w:rsidRDefault="006772AA" w:rsidP="006772AA">
            <w:pPr>
              <w:spacing w:after="0" w:line="240" w:lineRule="auto"/>
              <w:jc w:val="right"/>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 xml:space="preserve">          1.288 </w:t>
            </w:r>
          </w:p>
        </w:tc>
        <w:tc>
          <w:tcPr>
            <w:tcW w:w="831" w:type="pct"/>
            <w:tcBorders>
              <w:top w:val="nil"/>
              <w:left w:val="nil"/>
              <w:bottom w:val="single" w:sz="4" w:space="0" w:color="auto"/>
              <w:right w:val="single" w:sz="4" w:space="0" w:color="auto"/>
            </w:tcBorders>
            <w:shd w:val="clear" w:color="auto" w:fill="auto"/>
            <w:noWrap/>
            <w:vAlign w:val="center"/>
            <w:hideMark/>
          </w:tcPr>
          <w:p w14:paraId="63004917" w14:textId="77777777" w:rsidR="006772AA" w:rsidRPr="006772AA" w:rsidRDefault="006772AA" w:rsidP="006772AA">
            <w:pPr>
              <w:spacing w:after="0" w:line="240" w:lineRule="auto"/>
              <w:jc w:val="right"/>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 xml:space="preserve">              (68)</w:t>
            </w:r>
          </w:p>
        </w:tc>
        <w:tc>
          <w:tcPr>
            <w:tcW w:w="759" w:type="pct"/>
            <w:tcBorders>
              <w:top w:val="nil"/>
              <w:left w:val="nil"/>
              <w:bottom w:val="single" w:sz="4" w:space="0" w:color="auto"/>
              <w:right w:val="single" w:sz="4" w:space="0" w:color="auto"/>
            </w:tcBorders>
            <w:shd w:val="clear" w:color="auto" w:fill="auto"/>
            <w:noWrap/>
            <w:vAlign w:val="center"/>
            <w:hideMark/>
          </w:tcPr>
          <w:p w14:paraId="1D00EDF8" w14:textId="77777777" w:rsidR="006772AA" w:rsidRPr="006772AA" w:rsidRDefault="006772AA" w:rsidP="006772AA">
            <w:pPr>
              <w:spacing w:after="0" w:line="240" w:lineRule="auto"/>
              <w:jc w:val="right"/>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 xml:space="preserve">        1.220 </w:t>
            </w:r>
          </w:p>
        </w:tc>
      </w:tr>
      <w:tr w:rsidR="006772AA" w:rsidRPr="006772AA" w14:paraId="50FA5171" w14:textId="77777777" w:rsidTr="006772AA">
        <w:trPr>
          <w:trHeight w:val="238"/>
        </w:trPr>
        <w:tc>
          <w:tcPr>
            <w:tcW w:w="2587" w:type="pct"/>
            <w:tcBorders>
              <w:top w:val="nil"/>
              <w:left w:val="single" w:sz="4" w:space="0" w:color="auto"/>
              <w:bottom w:val="single" w:sz="4" w:space="0" w:color="auto"/>
              <w:right w:val="single" w:sz="4" w:space="0" w:color="auto"/>
            </w:tcBorders>
            <w:shd w:val="clear" w:color="auto" w:fill="auto"/>
            <w:noWrap/>
            <w:vAlign w:val="center"/>
            <w:hideMark/>
          </w:tcPr>
          <w:p w14:paraId="2DD78D26" w14:textId="77777777" w:rsidR="006772AA" w:rsidRPr="006772AA" w:rsidRDefault="006772AA" w:rsidP="006772AA">
            <w:pPr>
              <w:spacing w:after="0" w:line="240" w:lineRule="auto"/>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2028</w:t>
            </w:r>
          </w:p>
        </w:tc>
        <w:tc>
          <w:tcPr>
            <w:tcW w:w="823" w:type="pct"/>
            <w:tcBorders>
              <w:top w:val="nil"/>
              <w:left w:val="nil"/>
              <w:bottom w:val="single" w:sz="4" w:space="0" w:color="auto"/>
              <w:right w:val="single" w:sz="4" w:space="0" w:color="auto"/>
            </w:tcBorders>
            <w:shd w:val="clear" w:color="auto" w:fill="auto"/>
            <w:noWrap/>
            <w:vAlign w:val="center"/>
            <w:hideMark/>
          </w:tcPr>
          <w:p w14:paraId="414EAF70" w14:textId="77777777" w:rsidR="006772AA" w:rsidRPr="006772AA" w:rsidRDefault="006772AA" w:rsidP="006772AA">
            <w:pPr>
              <w:spacing w:after="0" w:line="240" w:lineRule="auto"/>
              <w:jc w:val="right"/>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 xml:space="preserve">             320 </w:t>
            </w:r>
          </w:p>
        </w:tc>
        <w:tc>
          <w:tcPr>
            <w:tcW w:w="831" w:type="pct"/>
            <w:tcBorders>
              <w:top w:val="nil"/>
              <w:left w:val="nil"/>
              <w:bottom w:val="single" w:sz="4" w:space="0" w:color="auto"/>
              <w:right w:val="single" w:sz="4" w:space="0" w:color="auto"/>
            </w:tcBorders>
            <w:shd w:val="clear" w:color="auto" w:fill="auto"/>
            <w:noWrap/>
            <w:vAlign w:val="center"/>
            <w:hideMark/>
          </w:tcPr>
          <w:p w14:paraId="02AD4437" w14:textId="77777777" w:rsidR="006772AA" w:rsidRPr="006772AA" w:rsidRDefault="006772AA" w:rsidP="006772AA">
            <w:pPr>
              <w:spacing w:after="0" w:line="240" w:lineRule="auto"/>
              <w:jc w:val="right"/>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 xml:space="preserve">              (17)</w:t>
            </w:r>
          </w:p>
        </w:tc>
        <w:tc>
          <w:tcPr>
            <w:tcW w:w="759" w:type="pct"/>
            <w:tcBorders>
              <w:top w:val="nil"/>
              <w:left w:val="nil"/>
              <w:bottom w:val="single" w:sz="4" w:space="0" w:color="auto"/>
              <w:right w:val="single" w:sz="4" w:space="0" w:color="auto"/>
            </w:tcBorders>
            <w:shd w:val="clear" w:color="auto" w:fill="auto"/>
            <w:noWrap/>
            <w:vAlign w:val="center"/>
            <w:hideMark/>
          </w:tcPr>
          <w:p w14:paraId="4C1EB45E" w14:textId="77777777" w:rsidR="006772AA" w:rsidRPr="006772AA" w:rsidRDefault="006772AA" w:rsidP="006772AA">
            <w:pPr>
              <w:spacing w:after="0" w:line="240" w:lineRule="auto"/>
              <w:jc w:val="right"/>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 xml:space="preserve">           303 </w:t>
            </w:r>
          </w:p>
        </w:tc>
      </w:tr>
      <w:tr w:rsidR="006772AA" w:rsidRPr="006772AA" w14:paraId="530CE5B0" w14:textId="77777777" w:rsidTr="006772AA">
        <w:trPr>
          <w:trHeight w:val="238"/>
        </w:trPr>
        <w:tc>
          <w:tcPr>
            <w:tcW w:w="2587" w:type="pct"/>
            <w:tcBorders>
              <w:top w:val="nil"/>
              <w:left w:val="single" w:sz="4" w:space="0" w:color="auto"/>
              <w:bottom w:val="single" w:sz="4" w:space="0" w:color="auto"/>
              <w:right w:val="single" w:sz="4" w:space="0" w:color="auto"/>
            </w:tcBorders>
            <w:shd w:val="clear" w:color="auto" w:fill="auto"/>
            <w:noWrap/>
            <w:vAlign w:val="center"/>
            <w:hideMark/>
          </w:tcPr>
          <w:p w14:paraId="2E133DFC" w14:textId="77777777" w:rsidR="006772AA" w:rsidRPr="006772AA" w:rsidRDefault="006772AA" w:rsidP="006772AA">
            <w:pPr>
              <w:spacing w:after="0" w:line="240" w:lineRule="auto"/>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2029 em diante</w:t>
            </w:r>
          </w:p>
        </w:tc>
        <w:tc>
          <w:tcPr>
            <w:tcW w:w="823" w:type="pct"/>
            <w:tcBorders>
              <w:top w:val="nil"/>
              <w:left w:val="nil"/>
              <w:bottom w:val="single" w:sz="4" w:space="0" w:color="auto"/>
              <w:right w:val="single" w:sz="4" w:space="0" w:color="auto"/>
            </w:tcBorders>
            <w:shd w:val="clear" w:color="auto" w:fill="auto"/>
            <w:noWrap/>
            <w:vAlign w:val="center"/>
            <w:hideMark/>
          </w:tcPr>
          <w:p w14:paraId="333DAF89" w14:textId="77777777" w:rsidR="006772AA" w:rsidRPr="006772AA" w:rsidRDefault="006772AA" w:rsidP="006772AA">
            <w:pPr>
              <w:spacing w:after="0" w:line="240" w:lineRule="auto"/>
              <w:jc w:val="right"/>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 xml:space="preserve">             135 </w:t>
            </w:r>
          </w:p>
        </w:tc>
        <w:tc>
          <w:tcPr>
            <w:tcW w:w="831" w:type="pct"/>
            <w:tcBorders>
              <w:top w:val="nil"/>
              <w:left w:val="nil"/>
              <w:bottom w:val="single" w:sz="4" w:space="0" w:color="auto"/>
              <w:right w:val="single" w:sz="4" w:space="0" w:color="auto"/>
            </w:tcBorders>
            <w:shd w:val="clear" w:color="auto" w:fill="auto"/>
            <w:noWrap/>
            <w:vAlign w:val="center"/>
            <w:hideMark/>
          </w:tcPr>
          <w:p w14:paraId="6083DD14" w14:textId="77777777" w:rsidR="006772AA" w:rsidRPr="006772AA" w:rsidRDefault="006772AA" w:rsidP="006772AA">
            <w:pPr>
              <w:spacing w:after="0" w:line="240" w:lineRule="auto"/>
              <w:jc w:val="right"/>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 xml:space="preserve">              (14)</w:t>
            </w:r>
          </w:p>
        </w:tc>
        <w:tc>
          <w:tcPr>
            <w:tcW w:w="759" w:type="pct"/>
            <w:tcBorders>
              <w:top w:val="nil"/>
              <w:left w:val="nil"/>
              <w:bottom w:val="single" w:sz="4" w:space="0" w:color="auto"/>
              <w:right w:val="single" w:sz="4" w:space="0" w:color="auto"/>
            </w:tcBorders>
            <w:shd w:val="clear" w:color="auto" w:fill="auto"/>
            <w:noWrap/>
            <w:vAlign w:val="center"/>
            <w:hideMark/>
          </w:tcPr>
          <w:p w14:paraId="3DC53EF4" w14:textId="77777777" w:rsidR="006772AA" w:rsidRPr="006772AA" w:rsidRDefault="006772AA" w:rsidP="006772AA">
            <w:pPr>
              <w:spacing w:after="0" w:line="240" w:lineRule="auto"/>
              <w:jc w:val="right"/>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 xml:space="preserve">           121 </w:t>
            </w:r>
          </w:p>
        </w:tc>
      </w:tr>
      <w:tr w:rsidR="006772AA" w:rsidRPr="006772AA" w14:paraId="36054859" w14:textId="77777777" w:rsidTr="006772AA">
        <w:trPr>
          <w:trHeight w:val="238"/>
        </w:trPr>
        <w:tc>
          <w:tcPr>
            <w:tcW w:w="2587" w:type="pct"/>
            <w:tcBorders>
              <w:top w:val="nil"/>
              <w:left w:val="single" w:sz="4" w:space="0" w:color="auto"/>
              <w:bottom w:val="single" w:sz="4" w:space="0" w:color="auto"/>
              <w:right w:val="single" w:sz="4" w:space="0" w:color="auto"/>
            </w:tcBorders>
            <w:shd w:val="clear" w:color="auto" w:fill="auto"/>
            <w:noWrap/>
            <w:vAlign w:val="center"/>
            <w:hideMark/>
          </w:tcPr>
          <w:p w14:paraId="30D482FB" w14:textId="77777777" w:rsidR="006772AA" w:rsidRPr="006772AA" w:rsidRDefault="006772AA" w:rsidP="006772AA">
            <w:pPr>
              <w:spacing w:after="0" w:line="240" w:lineRule="auto"/>
              <w:rPr>
                <w:rFonts w:ascii="Arial" w:eastAsia="Times New Roman" w:hAnsi="Arial" w:cs="Arial"/>
                <w:b/>
                <w:bCs/>
                <w:color w:val="000000"/>
                <w:kern w:val="0"/>
                <w:sz w:val="18"/>
                <w:szCs w:val="18"/>
                <w:lang w:eastAsia="pt-BR"/>
                <w14:ligatures w14:val="none"/>
              </w:rPr>
            </w:pPr>
            <w:r w:rsidRPr="006772AA">
              <w:rPr>
                <w:rFonts w:ascii="Arial" w:eastAsia="Times New Roman" w:hAnsi="Arial" w:cs="Arial"/>
                <w:b/>
                <w:bCs/>
                <w:color w:val="000000"/>
                <w:kern w:val="0"/>
                <w:sz w:val="18"/>
                <w:szCs w:val="18"/>
                <w:lang w:eastAsia="pt-BR"/>
                <w14:ligatures w14:val="none"/>
              </w:rPr>
              <w:t>Totais</w:t>
            </w:r>
          </w:p>
        </w:tc>
        <w:tc>
          <w:tcPr>
            <w:tcW w:w="823" w:type="pct"/>
            <w:tcBorders>
              <w:top w:val="nil"/>
              <w:left w:val="nil"/>
              <w:bottom w:val="single" w:sz="4" w:space="0" w:color="auto"/>
              <w:right w:val="single" w:sz="4" w:space="0" w:color="auto"/>
            </w:tcBorders>
            <w:shd w:val="clear" w:color="auto" w:fill="auto"/>
            <w:noWrap/>
            <w:vAlign w:val="center"/>
            <w:hideMark/>
          </w:tcPr>
          <w:p w14:paraId="63B19C31" w14:textId="77777777" w:rsidR="006772AA" w:rsidRPr="006772AA" w:rsidRDefault="006772AA" w:rsidP="006772AA">
            <w:pPr>
              <w:spacing w:after="0" w:line="240" w:lineRule="auto"/>
              <w:jc w:val="right"/>
              <w:rPr>
                <w:rFonts w:ascii="Arial" w:eastAsia="Times New Roman" w:hAnsi="Arial" w:cs="Arial"/>
                <w:b/>
                <w:bCs/>
                <w:color w:val="000000"/>
                <w:kern w:val="0"/>
                <w:sz w:val="18"/>
                <w:szCs w:val="18"/>
                <w:lang w:eastAsia="pt-BR"/>
                <w14:ligatures w14:val="none"/>
              </w:rPr>
            </w:pPr>
            <w:r w:rsidRPr="006772AA">
              <w:rPr>
                <w:rFonts w:ascii="Arial" w:eastAsia="Times New Roman" w:hAnsi="Arial" w:cs="Arial"/>
                <w:b/>
                <w:bCs/>
                <w:color w:val="000000"/>
                <w:kern w:val="0"/>
                <w:sz w:val="18"/>
                <w:szCs w:val="18"/>
                <w:lang w:eastAsia="pt-BR"/>
                <w14:ligatures w14:val="none"/>
              </w:rPr>
              <w:t>9.455</w:t>
            </w:r>
          </w:p>
        </w:tc>
        <w:tc>
          <w:tcPr>
            <w:tcW w:w="831" w:type="pct"/>
            <w:tcBorders>
              <w:top w:val="nil"/>
              <w:left w:val="nil"/>
              <w:bottom w:val="single" w:sz="4" w:space="0" w:color="auto"/>
              <w:right w:val="single" w:sz="4" w:space="0" w:color="auto"/>
            </w:tcBorders>
            <w:shd w:val="clear" w:color="auto" w:fill="auto"/>
            <w:noWrap/>
            <w:vAlign w:val="center"/>
            <w:hideMark/>
          </w:tcPr>
          <w:p w14:paraId="2FC1E8CE" w14:textId="77777777" w:rsidR="006772AA" w:rsidRPr="006772AA" w:rsidRDefault="006772AA" w:rsidP="006772AA">
            <w:pPr>
              <w:spacing w:after="0" w:line="240" w:lineRule="auto"/>
              <w:jc w:val="right"/>
              <w:rPr>
                <w:rFonts w:ascii="Arial" w:eastAsia="Times New Roman" w:hAnsi="Arial" w:cs="Arial"/>
                <w:b/>
                <w:bCs/>
                <w:color w:val="000000"/>
                <w:kern w:val="0"/>
                <w:sz w:val="18"/>
                <w:szCs w:val="18"/>
                <w:lang w:eastAsia="pt-BR"/>
                <w14:ligatures w14:val="none"/>
              </w:rPr>
            </w:pPr>
            <w:r w:rsidRPr="006772AA">
              <w:rPr>
                <w:rFonts w:ascii="Arial" w:eastAsia="Times New Roman" w:hAnsi="Arial" w:cs="Arial"/>
                <w:b/>
                <w:bCs/>
                <w:color w:val="000000"/>
                <w:kern w:val="0"/>
                <w:sz w:val="18"/>
                <w:szCs w:val="18"/>
                <w:lang w:eastAsia="pt-BR"/>
                <w14:ligatures w14:val="none"/>
              </w:rPr>
              <w:t xml:space="preserve">           (658)</w:t>
            </w:r>
          </w:p>
        </w:tc>
        <w:tc>
          <w:tcPr>
            <w:tcW w:w="759" w:type="pct"/>
            <w:tcBorders>
              <w:top w:val="nil"/>
              <w:left w:val="nil"/>
              <w:bottom w:val="single" w:sz="4" w:space="0" w:color="auto"/>
              <w:right w:val="single" w:sz="4" w:space="0" w:color="auto"/>
            </w:tcBorders>
            <w:shd w:val="clear" w:color="auto" w:fill="auto"/>
            <w:noWrap/>
            <w:vAlign w:val="center"/>
            <w:hideMark/>
          </w:tcPr>
          <w:p w14:paraId="3D0CFAFB" w14:textId="77777777" w:rsidR="006772AA" w:rsidRPr="006772AA" w:rsidRDefault="006772AA" w:rsidP="006772AA">
            <w:pPr>
              <w:spacing w:after="0" w:line="240" w:lineRule="auto"/>
              <w:jc w:val="right"/>
              <w:rPr>
                <w:rFonts w:ascii="Arial" w:eastAsia="Times New Roman" w:hAnsi="Arial" w:cs="Arial"/>
                <w:b/>
                <w:bCs/>
                <w:color w:val="000000"/>
                <w:kern w:val="0"/>
                <w:sz w:val="18"/>
                <w:szCs w:val="18"/>
                <w:lang w:eastAsia="pt-BR"/>
                <w14:ligatures w14:val="none"/>
              </w:rPr>
            </w:pPr>
            <w:r w:rsidRPr="006772AA">
              <w:rPr>
                <w:rFonts w:ascii="Arial" w:eastAsia="Times New Roman" w:hAnsi="Arial" w:cs="Arial"/>
                <w:b/>
                <w:bCs/>
                <w:color w:val="000000"/>
                <w:kern w:val="0"/>
                <w:sz w:val="18"/>
                <w:szCs w:val="18"/>
                <w:lang w:eastAsia="pt-BR"/>
                <w14:ligatures w14:val="none"/>
              </w:rPr>
              <w:t>8.797</w:t>
            </w:r>
          </w:p>
        </w:tc>
      </w:tr>
    </w:tbl>
    <w:p w14:paraId="4F8783D0" w14:textId="257982DB" w:rsidR="006772AA" w:rsidRPr="006772AA" w:rsidRDefault="006772AA" w:rsidP="006772AA">
      <w:pPr>
        <w:autoSpaceDE w:val="0"/>
        <w:autoSpaceDN w:val="0"/>
        <w:adjustRightInd w:val="0"/>
        <w:spacing w:after="0" w:line="240" w:lineRule="auto"/>
        <w:jc w:val="both"/>
        <w:rPr>
          <w:rFonts w:ascii="Calibri" w:eastAsia="Times New Roman" w:hAnsi="Calibri" w:cs="Calibri"/>
          <w:iCs/>
          <w:color w:val="002060"/>
          <w:kern w:val="0"/>
          <w14:ligatures w14:val="none"/>
        </w:rPr>
      </w:pPr>
      <w:r w:rsidRPr="006772AA">
        <w:rPr>
          <w:rFonts w:ascii="Calibri" w:eastAsia="Times New Roman" w:hAnsi="Calibri" w:cs="Calibri"/>
          <w:iCs/>
          <w:color w:val="002060"/>
          <w:kern w:val="0"/>
          <w14:ligatures w14:val="none"/>
        </w:rPr>
        <w:t>A movimentação dos financiamentos (arrendamento mercantil financeiro) no exercício de 2023 está apresentada a seguir:</w:t>
      </w:r>
    </w:p>
    <w:tbl>
      <w:tblPr>
        <w:tblW w:w="5000" w:type="pct"/>
        <w:tblCellMar>
          <w:left w:w="70" w:type="dxa"/>
          <w:right w:w="70" w:type="dxa"/>
        </w:tblCellMar>
        <w:tblLook w:val="04A0" w:firstRow="1" w:lastRow="0" w:firstColumn="1" w:lastColumn="0" w:noHBand="0" w:noVBand="1"/>
      </w:tblPr>
      <w:tblGrid>
        <w:gridCol w:w="7793"/>
        <w:gridCol w:w="1968"/>
      </w:tblGrid>
      <w:tr w:rsidR="006772AA" w:rsidRPr="006772AA" w14:paraId="0456F05D" w14:textId="77777777" w:rsidTr="00446A14">
        <w:trPr>
          <w:trHeight w:val="238"/>
        </w:trPr>
        <w:tc>
          <w:tcPr>
            <w:tcW w:w="399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99609A" w14:textId="77777777" w:rsidR="006772AA" w:rsidRPr="006772AA" w:rsidRDefault="006772AA" w:rsidP="006772AA">
            <w:pPr>
              <w:spacing w:after="0" w:line="240" w:lineRule="auto"/>
              <w:rPr>
                <w:rFonts w:ascii="Arial" w:eastAsia="Times New Roman" w:hAnsi="Arial" w:cs="Arial"/>
                <w:b/>
                <w:bCs/>
                <w:color w:val="000000"/>
                <w:kern w:val="0"/>
                <w:sz w:val="18"/>
                <w:szCs w:val="18"/>
                <w:lang w:eastAsia="pt-BR"/>
                <w14:ligatures w14:val="none"/>
              </w:rPr>
            </w:pPr>
            <w:r w:rsidRPr="006772AA">
              <w:rPr>
                <w:rFonts w:ascii="Arial" w:eastAsia="Times New Roman" w:hAnsi="Arial" w:cs="Arial"/>
                <w:b/>
                <w:bCs/>
                <w:color w:val="000000"/>
                <w:kern w:val="0"/>
                <w:sz w:val="18"/>
                <w:szCs w:val="18"/>
                <w:lang w:eastAsia="pt-BR"/>
                <w14:ligatures w14:val="none"/>
              </w:rPr>
              <w:t>Saldo em 31 de dezembro de 2022</w:t>
            </w:r>
          </w:p>
        </w:tc>
        <w:tc>
          <w:tcPr>
            <w:tcW w:w="1008" w:type="pct"/>
            <w:tcBorders>
              <w:top w:val="single" w:sz="8" w:space="0" w:color="auto"/>
              <w:left w:val="nil"/>
              <w:bottom w:val="single" w:sz="8" w:space="0" w:color="auto"/>
              <w:right w:val="single" w:sz="8" w:space="0" w:color="auto"/>
            </w:tcBorders>
            <w:shd w:val="clear" w:color="auto" w:fill="auto"/>
            <w:noWrap/>
            <w:vAlign w:val="center"/>
            <w:hideMark/>
          </w:tcPr>
          <w:p w14:paraId="2A1BB762" w14:textId="77777777" w:rsidR="006772AA" w:rsidRPr="006772AA" w:rsidRDefault="006772AA" w:rsidP="006772AA">
            <w:pPr>
              <w:spacing w:after="0" w:line="240" w:lineRule="auto"/>
              <w:jc w:val="right"/>
              <w:rPr>
                <w:rFonts w:ascii="Arial" w:eastAsia="Times New Roman" w:hAnsi="Arial" w:cs="Arial"/>
                <w:b/>
                <w:bCs/>
                <w:color w:val="000000"/>
                <w:kern w:val="0"/>
                <w:sz w:val="18"/>
                <w:szCs w:val="18"/>
                <w:lang w:eastAsia="pt-BR"/>
                <w14:ligatures w14:val="none"/>
              </w:rPr>
            </w:pPr>
            <w:r w:rsidRPr="006772AA">
              <w:rPr>
                <w:rFonts w:ascii="Arial" w:eastAsia="Times New Roman" w:hAnsi="Arial" w:cs="Arial"/>
                <w:b/>
                <w:bCs/>
                <w:color w:val="000000"/>
                <w:kern w:val="0"/>
                <w:sz w:val="18"/>
                <w:szCs w:val="18"/>
                <w:lang w:eastAsia="pt-BR"/>
                <w14:ligatures w14:val="none"/>
              </w:rPr>
              <w:t xml:space="preserve">       16.657 </w:t>
            </w:r>
          </w:p>
        </w:tc>
      </w:tr>
      <w:tr w:rsidR="006772AA" w:rsidRPr="006772AA" w14:paraId="6897A377" w14:textId="77777777" w:rsidTr="00446A14">
        <w:trPr>
          <w:trHeight w:val="238"/>
        </w:trPr>
        <w:tc>
          <w:tcPr>
            <w:tcW w:w="3992" w:type="pct"/>
            <w:tcBorders>
              <w:top w:val="nil"/>
              <w:left w:val="single" w:sz="8" w:space="0" w:color="auto"/>
              <w:bottom w:val="single" w:sz="8" w:space="0" w:color="auto"/>
              <w:right w:val="single" w:sz="8" w:space="0" w:color="auto"/>
            </w:tcBorders>
            <w:shd w:val="clear" w:color="auto" w:fill="auto"/>
            <w:noWrap/>
            <w:vAlign w:val="center"/>
            <w:hideMark/>
          </w:tcPr>
          <w:p w14:paraId="164FD763" w14:textId="77777777" w:rsidR="006772AA" w:rsidRPr="006772AA" w:rsidRDefault="006772AA" w:rsidP="006772AA">
            <w:pPr>
              <w:spacing w:after="0" w:line="240" w:lineRule="auto"/>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 xml:space="preserve"> Ingressos - Novos/Renovação de contratos </w:t>
            </w:r>
          </w:p>
        </w:tc>
        <w:tc>
          <w:tcPr>
            <w:tcW w:w="1008" w:type="pct"/>
            <w:tcBorders>
              <w:top w:val="nil"/>
              <w:left w:val="nil"/>
              <w:bottom w:val="single" w:sz="8" w:space="0" w:color="auto"/>
              <w:right w:val="single" w:sz="8" w:space="0" w:color="auto"/>
            </w:tcBorders>
            <w:shd w:val="clear" w:color="auto" w:fill="auto"/>
            <w:noWrap/>
            <w:vAlign w:val="center"/>
            <w:hideMark/>
          </w:tcPr>
          <w:p w14:paraId="10069BE7" w14:textId="77777777" w:rsidR="006772AA" w:rsidRPr="006772AA" w:rsidRDefault="006772AA" w:rsidP="006772AA">
            <w:pPr>
              <w:spacing w:after="0" w:line="240" w:lineRule="auto"/>
              <w:jc w:val="right"/>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 xml:space="preserve">          2.674 </w:t>
            </w:r>
          </w:p>
        </w:tc>
      </w:tr>
      <w:tr w:rsidR="006772AA" w:rsidRPr="006772AA" w14:paraId="4CEA1DE3" w14:textId="77777777" w:rsidTr="00446A14">
        <w:trPr>
          <w:trHeight w:val="238"/>
        </w:trPr>
        <w:tc>
          <w:tcPr>
            <w:tcW w:w="3992" w:type="pct"/>
            <w:tcBorders>
              <w:top w:val="nil"/>
              <w:left w:val="single" w:sz="8" w:space="0" w:color="auto"/>
              <w:bottom w:val="single" w:sz="8" w:space="0" w:color="auto"/>
              <w:right w:val="single" w:sz="8" w:space="0" w:color="auto"/>
            </w:tcBorders>
            <w:shd w:val="clear" w:color="auto" w:fill="auto"/>
            <w:noWrap/>
            <w:vAlign w:val="center"/>
            <w:hideMark/>
          </w:tcPr>
          <w:p w14:paraId="1C66EF10" w14:textId="77777777" w:rsidR="006772AA" w:rsidRPr="006772AA" w:rsidRDefault="006772AA" w:rsidP="006772AA">
            <w:pPr>
              <w:spacing w:after="0" w:line="240" w:lineRule="auto"/>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 xml:space="preserve"> Pagamento de Principal </w:t>
            </w:r>
          </w:p>
        </w:tc>
        <w:tc>
          <w:tcPr>
            <w:tcW w:w="1008" w:type="pct"/>
            <w:tcBorders>
              <w:top w:val="nil"/>
              <w:left w:val="nil"/>
              <w:bottom w:val="single" w:sz="8" w:space="0" w:color="auto"/>
              <w:right w:val="single" w:sz="8" w:space="0" w:color="auto"/>
            </w:tcBorders>
            <w:shd w:val="clear" w:color="auto" w:fill="auto"/>
            <w:noWrap/>
            <w:vAlign w:val="center"/>
            <w:hideMark/>
          </w:tcPr>
          <w:p w14:paraId="33EE02B1" w14:textId="77777777" w:rsidR="006772AA" w:rsidRPr="006772AA" w:rsidRDefault="006772AA" w:rsidP="006772AA">
            <w:pPr>
              <w:spacing w:after="0" w:line="240" w:lineRule="auto"/>
              <w:jc w:val="right"/>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 xml:space="preserve">        (5.210)</w:t>
            </w:r>
          </w:p>
        </w:tc>
      </w:tr>
      <w:tr w:rsidR="006772AA" w:rsidRPr="006772AA" w14:paraId="1BBF8872" w14:textId="77777777" w:rsidTr="00446A14">
        <w:trPr>
          <w:trHeight w:val="238"/>
        </w:trPr>
        <w:tc>
          <w:tcPr>
            <w:tcW w:w="3992" w:type="pct"/>
            <w:tcBorders>
              <w:top w:val="nil"/>
              <w:left w:val="single" w:sz="8" w:space="0" w:color="auto"/>
              <w:bottom w:val="single" w:sz="8" w:space="0" w:color="auto"/>
              <w:right w:val="single" w:sz="8" w:space="0" w:color="auto"/>
            </w:tcBorders>
            <w:shd w:val="clear" w:color="auto" w:fill="auto"/>
            <w:noWrap/>
            <w:vAlign w:val="center"/>
            <w:hideMark/>
          </w:tcPr>
          <w:p w14:paraId="4C896249" w14:textId="77777777" w:rsidR="006772AA" w:rsidRPr="006772AA" w:rsidRDefault="006772AA" w:rsidP="006772AA">
            <w:pPr>
              <w:spacing w:after="0" w:line="240" w:lineRule="auto"/>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 xml:space="preserve"> Apropriação de Juros no Período</w:t>
            </w:r>
          </w:p>
        </w:tc>
        <w:tc>
          <w:tcPr>
            <w:tcW w:w="1008" w:type="pct"/>
            <w:tcBorders>
              <w:top w:val="nil"/>
              <w:left w:val="nil"/>
              <w:bottom w:val="single" w:sz="8" w:space="0" w:color="auto"/>
              <w:right w:val="single" w:sz="8" w:space="0" w:color="auto"/>
            </w:tcBorders>
            <w:shd w:val="clear" w:color="auto" w:fill="auto"/>
            <w:noWrap/>
            <w:vAlign w:val="center"/>
            <w:hideMark/>
          </w:tcPr>
          <w:p w14:paraId="4D8C55AC" w14:textId="77777777" w:rsidR="006772AA" w:rsidRPr="006772AA" w:rsidRDefault="006772AA" w:rsidP="006772AA">
            <w:pPr>
              <w:spacing w:after="0" w:line="240" w:lineRule="auto"/>
              <w:jc w:val="right"/>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 xml:space="preserve">          1.034 </w:t>
            </w:r>
          </w:p>
        </w:tc>
      </w:tr>
      <w:tr w:rsidR="006772AA" w:rsidRPr="006772AA" w14:paraId="32AE5D7C" w14:textId="77777777" w:rsidTr="00446A14">
        <w:trPr>
          <w:trHeight w:val="238"/>
        </w:trPr>
        <w:tc>
          <w:tcPr>
            <w:tcW w:w="3992" w:type="pct"/>
            <w:tcBorders>
              <w:top w:val="nil"/>
              <w:left w:val="single" w:sz="8" w:space="0" w:color="auto"/>
              <w:bottom w:val="single" w:sz="8" w:space="0" w:color="auto"/>
              <w:right w:val="single" w:sz="8" w:space="0" w:color="auto"/>
            </w:tcBorders>
            <w:shd w:val="clear" w:color="auto" w:fill="auto"/>
            <w:noWrap/>
            <w:vAlign w:val="center"/>
            <w:hideMark/>
          </w:tcPr>
          <w:p w14:paraId="1DE2328A" w14:textId="77777777" w:rsidR="006772AA" w:rsidRPr="006772AA" w:rsidRDefault="006772AA" w:rsidP="006772AA">
            <w:pPr>
              <w:spacing w:after="0" w:line="240" w:lineRule="auto"/>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 xml:space="preserve"> Pagamento de Juros  </w:t>
            </w:r>
          </w:p>
        </w:tc>
        <w:tc>
          <w:tcPr>
            <w:tcW w:w="1008" w:type="pct"/>
            <w:tcBorders>
              <w:top w:val="nil"/>
              <w:left w:val="nil"/>
              <w:bottom w:val="single" w:sz="8" w:space="0" w:color="auto"/>
              <w:right w:val="single" w:sz="8" w:space="0" w:color="auto"/>
            </w:tcBorders>
            <w:shd w:val="clear" w:color="auto" w:fill="auto"/>
            <w:noWrap/>
            <w:vAlign w:val="center"/>
            <w:hideMark/>
          </w:tcPr>
          <w:p w14:paraId="09B9A9A9" w14:textId="77777777" w:rsidR="006772AA" w:rsidRPr="006772AA" w:rsidRDefault="006772AA" w:rsidP="006772AA">
            <w:pPr>
              <w:spacing w:after="0" w:line="240" w:lineRule="auto"/>
              <w:jc w:val="right"/>
              <w:rPr>
                <w:rFonts w:ascii="Arial" w:eastAsia="Times New Roman" w:hAnsi="Arial" w:cs="Arial"/>
                <w:color w:val="000000"/>
                <w:kern w:val="0"/>
                <w:sz w:val="18"/>
                <w:szCs w:val="18"/>
                <w:lang w:eastAsia="pt-BR"/>
                <w14:ligatures w14:val="none"/>
              </w:rPr>
            </w:pPr>
            <w:r w:rsidRPr="006772AA">
              <w:rPr>
                <w:rFonts w:ascii="Arial" w:eastAsia="Times New Roman" w:hAnsi="Arial" w:cs="Arial"/>
                <w:color w:val="000000"/>
                <w:kern w:val="0"/>
                <w:sz w:val="18"/>
                <w:szCs w:val="18"/>
                <w:lang w:eastAsia="pt-BR"/>
                <w14:ligatures w14:val="none"/>
              </w:rPr>
              <w:t xml:space="preserve">        (1.034)</w:t>
            </w:r>
          </w:p>
        </w:tc>
      </w:tr>
      <w:tr w:rsidR="006772AA" w:rsidRPr="006772AA" w14:paraId="7B6C6805" w14:textId="77777777" w:rsidTr="00446A14">
        <w:trPr>
          <w:trHeight w:val="238"/>
        </w:trPr>
        <w:tc>
          <w:tcPr>
            <w:tcW w:w="3992" w:type="pct"/>
            <w:tcBorders>
              <w:top w:val="nil"/>
              <w:left w:val="single" w:sz="8" w:space="0" w:color="auto"/>
              <w:bottom w:val="single" w:sz="8" w:space="0" w:color="auto"/>
              <w:right w:val="single" w:sz="8" w:space="0" w:color="auto"/>
            </w:tcBorders>
            <w:shd w:val="clear" w:color="auto" w:fill="auto"/>
            <w:noWrap/>
            <w:vAlign w:val="center"/>
            <w:hideMark/>
          </w:tcPr>
          <w:p w14:paraId="66453483" w14:textId="77777777" w:rsidR="006772AA" w:rsidRPr="006772AA" w:rsidRDefault="006772AA" w:rsidP="006772AA">
            <w:pPr>
              <w:spacing w:after="0" w:line="240" w:lineRule="auto"/>
              <w:rPr>
                <w:rFonts w:ascii="Arial" w:eastAsia="Times New Roman" w:hAnsi="Arial" w:cs="Arial"/>
                <w:b/>
                <w:bCs/>
                <w:color w:val="000000"/>
                <w:kern w:val="0"/>
                <w:sz w:val="18"/>
                <w:szCs w:val="18"/>
                <w:lang w:eastAsia="pt-BR"/>
                <w14:ligatures w14:val="none"/>
              </w:rPr>
            </w:pPr>
            <w:r w:rsidRPr="006772AA">
              <w:rPr>
                <w:rFonts w:ascii="Arial" w:eastAsia="Times New Roman" w:hAnsi="Arial" w:cs="Arial"/>
                <w:b/>
                <w:bCs/>
                <w:color w:val="000000"/>
                <w:kern w:val="0"/>
                <w:sz w:val="18"/>
                <w:szCs w:val="18"/>
                <w:lang w:eastAsia="pt-BR"/>
                <w14:ligatures w14:val="none"/>
              </w:rPr>
              <w:t>Saldo em 31 de dezembro de 2023</w:t>
            </w:r>
          </w:p>
        </w:tc>
        <w:tc>
          <w:tcPr>
            <w:tcW w:w="1008" w:type="pct"/>
            <w:tcBorders>
              <w:top w:val="nil"/>
              <w:left w:val="nil"/>
              <w:bottom w:val="single" w:sz="8" w:space="0" w:color="auto"/>
              <w:right w:val="single" w:sz="8" w:space="0" w:color="auto"/>
            </w:tcBorders>
            <w:shd w:val="clear" w:color="auto" w:fill="auto"/>
            <w:noWrap/>
            <w:vAlign w:val="center"/>
            <w:hideMark/>
          </w:tcPr>
          <w:p w14:paraId="07FC76F6" w14:textId="77777777" w:rsidR="006772AA" w:rsidRPr="006772AA" w:rsidRDefault="006772AA" w:rsidP="006772AA">
            <w:pPr>
              <w:spacing w:after="0" w:line="240" w:lineRule="auto"/>
              <w:jc w:val="right"/>
              <w:rPr>
                <w:rFonts w:ascii="Arial" w:eastAsia="Times New Roman" w:hAnsi="Arial" w:cs="Arial"/>
                <w:b/>
                <w:bCs/>
                <w:color w:val="000000"/>
                <w:kern w:val="0"/>
                <w:sz w:val="18"/>
                <w:szCs w:val="18"/>
                <w:lang w:eastAsia="pt-BR"/>
                <w14:ligatures w14:val="none"/>
              </w:rPr>
            </w:pPr>
            <w:r w:rsidRPr="006772AA">
              <w:rPr>
                <w:rFonts w:ascii="Arial" w:eastAsia="Times New Roman" w:hAnsi="Arial" w:cs="Arial"/>
                <w:b/>
                <w:bCs/>
                <w:color w:val="000000"/>
                <w:kern w:val="0"/>
                <w:sz w:val="18"/>
                <w:szCs w:val="18"/>
                <w:lang w:eastAsia="pt-BR"/>
                <w14:ligatures w14:val="none"/>
              </w:rPr>
              <w:t xml:space="preserve">       14.121 </w:t>
            </w:r>
          </w:p>
        </w:tc>
      </w:tr>
    </w:tbl>
    <w:p w14:paraId="562CE0E0" w14:textId="7208D7E2" w:rsidR="006772AA" w:rsidRPr="006772AA" w:rsidRDefault="006772AA" w:rsidP="006772AA">
      <w:pPr>
        <w:autoSpaceDE w:val="0"/>
        <w:autoSpaceDN w:val="0"/>
        <w:adjustRightInd w:val="0"/>
        <w:spacing w:after="0" w:line="240" w:lineRule="auto"/>
        <w:jc w:val="both"/>
        <w:rPr>
          <w:rFonts w:ascii="Calibri" w:eastAsia="Times New Roman" w:hAnsi="Calibri" w:cs="Calibri"/>
          <w:b/>
          <w:bCs/>
          <w:iCs/>
          <w:color w:val="002060"/>
          <w:kern w:val="0"/>
          <w14:ligatures w14:val="none"/>
        </w:rPr>
      </w:pPr>
      <w:bookmarkStart w:id="424" w:name="_Toc491337759"/>
      <w:r>
        <w:rPr>
          <w:rFonts w:ascii="Calibri" w:eastAsia="Times New Roman" w:hAnsi="Calibri" w:cs="Calibri"/>
          <w:b/>
          <w:bCs/>
          <w:iCs/>
          <w:color w:val="002060"/>
          <w:kern w:val="0"/>
          <w14:ligatures w14:val="none"/>
        </w:rPr>
        <w:t xml:space="preserve">25. </w:t>
      </w:r>
      <w:r w:rsidRPr="006772AA">
        <w:rPr>
          <w:rFonts w:ascii="Calibri" w:eastAsia="Times New Roman" w:hAnsi="Calibri" w:cs="Calibri"/>
          <w:b/>
          <w:bCs/>
          <w:iCs/>
          <w:color w:val="002060"/>
          <w:kern w:val="0"/>
          <w14:ligatures w14:val="none"/>
        </w:rPr>
        <w:t xml:space="preserve">RECEITAS </w:t>
      </w:r>
      <w:bookmarkEnd w:id="424"/>
      <w:r w:rsidRPr="006772AA">
        <w:rPr>
          <w:rFonts w:ascii="Calibri" w:eastAsia="Times New Roman" w:hAnsi="Calibri" w:cs="Calibri"/>
          <w:b/>
          <w:bCs/>
          <w:iCs/>
          <w:color w:val="002060"/>
          <w:kern w:val="0"/>
          <w14:ligatures w14:val="none"/>
        </w:rPr>
        <w:t>DIFERIDAS</w:t>
      </w:r>
    </w:p>
    <w:p w14:paraId="4AC2FF64" w14:textId="77777777" w:rsidR="006772AA" w:rsidRPr="006772AA" w:rsidRDefault="006772AA" w:rsidP="006772AA">
      <w:pPr>
        <w:autoSpaceDE w:val="0"/>
        <w:autoSpaceDN w:val="0"/>
        <w:adjustRightInd w:val="0"/>
        <w:spacing w:after="0" w:line="240" w:lineRule="auto"/>
        <w:jc w:val="both"/>
        <w:rPr>
          <w:rFonts w:ascii="Calibri" w:eastAsia="Times New Roman" w:hAnsi="Calibri" w:cs="Calibri"/>
          <w:iCs/>
          <w:color w:val="002060"/>
          <w:kern w:val="0"/>
          <w14:ligatures w14:val="none"/>
        </w:rPr>
      </w:pPr>
      <w:r w:rsidRPr="006772AA">
        <w:rPr>
          <w:rFonts w:ascii="Calibri" w:eastAsia="Times New Roman" w:hAnsi="Calibri" w:cs="Calibri"/>
          <w:iCs/>
          <w:color w:val="002060"/>
          <w:kern w:val="0"/>
          <w14:ligatures w14:val="none"/>
        </w:rPr>
        <w:t>Em 31 de dezembro de 2023, a Companhia tinha registrado o montante de R$ 372.897 (R$ 456.623 em 31 de dezembro de 2022), composto pelos valores adiantados pelo Ministério da Defesa, referente à parte da antecipação do pagamento do direito de uso futuro da Banda X do Satélite (IRU, Projeto SGDC) e pelo Ministério das Comunicações (MCOM) para atender ao Programa GESAC.</w:t>
      </w:r>
    </w:p>
    <w:p w14:paraId="021D239B" w14:textId="77777777" w:rsidR="006772AA" w:rsidRPr="006772AA" w:rsidRDefault="006772AA" w:rsidP="006772AA">
      <w:pPr>
        <w:autoSpaceDE w:val="0"/>
        <w:autoSpaceDN w:val="0"/>
        <w:adjustRightInd w:val="0"/>
        <w:spacing w:after="0" w:line="240" w:lineRule="auto"/>
        <w:jc w:val="both"/>
        <w:rPr>
          <w:rFonts w:ascii="Calibri" w:eastAsia="Times New Roman" w:hAnsi="Calibri" w:cs="Calibri"/>
          <w:iCs/>
          <w:color w:val="002060"/>
          <w:kern w:val="0"/>
          <w14:ligatures w14:val="none"/>
        </w:rPr>
      </w:pPr>
      <w:r w:rsidRPr="006772AA">
        <w:rPr>
          <w:rFonts w:ascii="Calibri" w:eastAsia="Times New Roman" w:hAnsi="Calibri" w:cs="Calibri"/>
          <w:iCs/>
          <w:color w:val="002060"/>
          <w:kern w:val="0"/>
          <w14:ligatures w14:val="none"/>
        </w:rPr>
        <w:t>A partir do 3º (terceiro) trimestre de 2018, a Companhia passou a reconhecer no resultado a receita realizada, referente ao serviço de locação de capacidade Satelital por serviços prestados ao Ministério de Defesa (Banda X). Esta receita será reconhecida no período de 15 (quinze) anos, conforme contrato firmado entre as partes, e o valor mensal a ser reconhecido como receita no resultado da Telebras é de R$ 3.040 (três milhões e quarenta mil).</w:t>
      </w:r>
    </w:p>
    <w:p w14:paraId="13F851E3" w14:textId="77777777" w:rsidR="006772AA" w:rsidRPr="006772AA" w:rsidRDefault="006772AA" w:rsidP="006772AA">
      <w:pPr>
        <w:autoSpaceDE w:val="0"/>
        <w:autoSpaceDN w:val="0"/>
        <w:adjustRightInd w:val="0"/>
        <w:spacing w:after="0" w:line="240" w:lineRule="auto"/>
        <w:jc w:val="both"/>
        <w:rPr>
          <w:rFonts w:ascii="Calibri" w:eastAsia="Times New Roman" w:hAnsi="Calibri" w:cs="Calibri"/>
          <w:iCs/>
          <w:color w:val="002060"/>
          <w:kern w:val="0"/>
          <w14:ligatures w14:val="none"/>
        </w:rPr>
      </w:pPr>
      <w:r w:rsidRPr="006772AA">
        <w:rPr>
          <w:rFonts w:ascii="Calibri" w:eastAsia="Times New Roman" w:hAnsi="Calibri" w:cs="Calibri"/>
          <w:iCs/>
          <w:color w:val="002060"/>
          <w:kern w:val="0"/>
          <w14:ligatures w14:val="none"/>
        </w:rPr>
        <w:t>A movimentação/composição das receitas diferidas no exercício de 2023 é apresentada no quadro a seguir:</w:t>
      </w:r>
    </w:p>
    <w:tbl>
      <w:tblPr>
        <w:tblW w:w="5000" w:type="pct"/>
        <w:tblCellMar>
          <w:left w:w="70" w:type="dxa"/>
          <w:right w:w="70" w:type="dxa"/>
        </w:tblCellMar>
        <w:tblLook w:val="04A0" w:firstRow="1" w:lastRow="0" w:firstColumn="1" w:lastColumn="0" w:noHBand="0" w:noVBand="1"/>
      </w:tblPr>
      <w:tblGrid>
        <w:gridCol w:w="6116"/>
        <w:gridCol w:w="1243"/>
        <w:gridCol w:w="1243"/>
        <w:gridCol w:w="1169"/>
      </w:tblGrid>
      <w:tr w:rsidR="00F07126" w:rsidRPr="00F07126" w14:paraId="32E5B2F7" w14:textId="77777777" w:rsidTr="00F07126">
        <w:trPr>
          <w:trHeight w:val="238"/>
        </w:trPr>
        <w:tc>
          <w:tcPr>
            <w:tcW w:w="3130"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3D34AC5" w14:textId="77777777" w:rsidR="00F07126" w:rsidRPr="00F07126" w:rsidRDefault="00F07126" w:rsidP="00F07126">
            <w:pPr>
              <w:spacing w:after="0" w:line="240" w:lineRule="auto"/>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 Movimentação:</w:t>
            </w:r>
          </w:p>
        </w:tc>
        <w:tc>
          <w:tcPr>
            <w:tcW w:w="636" w:type="pct"/>
            <w:tcBorders>
              <w:top w:val="single" w:sz="4" w:space="0" w:color="auto"/>
              <w:left w:val="nil"/>
              <w:bottom w:val="single" w:sz="4" w:space="0" w:color="auto"/>
              <w:right w:val="single" w:sz="4" w:space="0" w:color="auto"/>
            </w:tcBorders>
            <w:shd w:val="clear" w:color="auto" w:fill="auto"/>
            <w:vAlign w:val="center"/>
            <w:hideMark/>
          </w:tcPr>
          <w:p w14:paraId="6BE83BB5" w14:textId="77777777" w:rsidR="00F07126" w:rsidRPr="00F07126" w:rsidRDefault="00F07126" w:rsidP="00F07126">
            <w:pPr>
              <w:spacing w:after="0" w:line="240" w:lineRule="auto"/>
              <w:jc w:val="center"/>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Ministério da Defesa</w:t>
            </w:r>
          </w:p>
        </w:tc>
        <w:tc>
          <w:tcPr>
            <w:tcW w:w="636" w:type="pct"/>
            <w:tcBorders>
              <w:top w:val="single" w:sz="4" w:space="0" w:color="auto"/>
              <w:left w:val="nil"/>
              <w:bottom w:val="single" w:sz="4" w:space="0" w:color="auto"/>
              <w:right w:val="single" w:sz="4" w:space="0" w:color="auto"/>
            </w:tcBorders>
            <w:shd w:val="clear" w:color="auto" w:fill="auto"/>
            <w:vAlign w:val="center"/>
            <w:hideMark/>
          </w:tcPr>
          <w:p w14:paraId="47478E48" w14:textId="77777777" w:rsidR="00F07126" w:rsidRPr="00F07126" w:rsidRDefault="00F07126" w:rsidP="00F07126">
            <w:pPr>
              <w:spacing w:after="0" w:line="240" w:lineRule="auto"/>
              <w:jc w:val="center"/>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MCOM</w:t>
            </w:r>
          </w:p>
        </w:tc>
        <w:tc>
          <w:tcPr>
            <w:tcW w:w="598" w:type="pct"/>
            <w:tcBorders>
              <w:top w:val="single" w:sz="4" w:space="0" w:color="auto"/>
              <w:left w:val="nil"/>
              <w:bottom w:val="single" w:sz="4" w:space="0" w:color="auto"/>
              <w:right w:val="single" w:sz="4" w:space="0" w:color="auto"/>
            </w:tcBorders>
            <w:shd w:val="clear" w:color="auto" w:fill="auto"/>
            <w:vAlign w:val="center"/>
            <w:hideMark/>
          </w:tcPr>
          <w:p w14:paraId="1F2A3FFE" w14:textId="77777777" w:rsidR="00F07126" w:rsidRPr="00F07126" w:rsidRDefault="00F07126" w:rsidP="00F07126">
            <w:pPr>
              <w:spacing w:after="0" w:line="240" w:lineRule="auto"/>
              <w:jc w:val="center"/>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Total</w:t>
            </w:r>
          </w:p>
        </w:tc>
      </w:tr>
      <w:tr w:rsidR="00F07126" w:rsidRPr="00F07126" w14:paraId="5208EE81" w14:textId="77777777" w:rsidTr="00F07126">
        <w:trPr>
          <w:trHeight w:val="238"/>
        </w:trPr>
        <w:tc>
          <w:tcPr>
            <w:tcW w:w="3130" w:type="pct"/>
            <w:tcBorders>
              <w:top w:val="nil"/>
              <w:left w:val="single" w:sz="4" w:space="0" w:color="auto"/>
              <w:bottom w:val="single" w:sz="4" w:space="0" w:color="auto"/>
              <w:right w:val="single" w:sz="4" w:space="0" w:color="auto"/>
            </w:tcBorders>
            <w:shd w:val="clear" w:color="auto" w:fill="auto"/>
            <w:noWrap/>
            <w:vAlign w:val="center"/>
            <w:hideMark/>
          </w:tcPr>
          <w:p w14:paraId="310F7058" w14:textId="77777777" w:rsidR="00F07126" w:rsidRPr="00F07126" w:rsidRDefault="00F07126" w:rsidP="00F07126">
            <w:pPr>
              <w:spacing w:after="0" w:line="240" w:lineRule="auto"/>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Saldo em 31 de dezembro de 2022</w:t>
            </w:r>
          </w:p>
        </w:tc>
        <w:tc>
          <w:tcPr>
            <w:tcW w:w="636" w:type="pct"/>
            <w:tcBorders>
              <w:top w:val="nil"/>
              <w:left w:val="nil"/>
              <w:bottom w:val="single" w:sz="4" w:space="0" w:color="auto"/>
              <w:right w:val="single" w:sz="4" w:space="0" w:color="auto"/>
            </w:tcBorders>
            <w:shd w:val="clear" w:color="auto" w:fill="auto"/>
            <w:noWrap/>
            <w:vAlign w:val="center"/>
            <w:hideMark/>
          </w:tcPr>
          <w:p w14:paraId="3855A5CD" w14:textId="77777777" w:rsidR="00F07126" w:rsidRPr="00F07126" w:rsidRDefault="00F07126" w:rsidP="00F07126">
            <w:pPr>
              <w:spacing w:after="0" w:line="240" w:lineRule="auto"/>
              <w:jc w:val="right"/>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 xml:space="preserve">    383.046 </w:t>
            </w:r>
          </w:p>
        </w:tc>
        <w:tc>
          <w:tcPr>
            <w:tcW w:w="636" w:type="pct"/>
            <w:tcBorders>
              <w:top w:val="nil"/>
              <w:left w:val="nil"/>
              <w:bottom w:val="single" w:sz="4" w:space="0" w:color="auto"/>
              <w:right w:val="single" w:sz="4" w:space="0" w:color="auto"/>
            </w:tcBorders>
            <w:shd w:val="clear" w:color="auto" w:fill="auto"/>
            <w:noWrap/>
            <w:vAlign w:val="center"/>
            <w:hideMark/>
          </w:tcPr>
          <w:p w14:paraId="48C68E67" w14:textId="77777777" w:rsidR="00F07126" w:rsidRPr="00F07126" w:rsidRDefault="00F07126" w:rsidP="00F07126">
            <w:pPr>
              <w:spacing w:after="0" w:line="240" w:lineRule="auto"/>
              <w:jc w:val="right"/>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 xml:space="preserve">      73.577 </w:t>
            </w:r>
          </w:p>
        </w:tc>
        <w:tc>
          <w:tcPr>
            <w:tcW w:w="598" w:type="pct"/>
            <w:tcBorders>
              <w:top w:val="nil"/>
              <w:left w:val="nil"/>
              <w:bottom w:val="single" w:sz="4" w:space="0" w:color="auto"/>
              <w:right w:val="single" w:sz="4" w:space="0" w:color="auto"/>
            </w:tcBorders>
            <w:shd w:val="clear" w:color="auto" w:fill="auto"/>
            <w:noWrap/>
            <w:vAlign w:val="center"/>
            <w:hideMark/>
          </w:tcPr>
          <w:p w14:paraId="0451D299" w14:textId="77777777" w:rsidR="00F07126" w:rsidRPr="00F07126" w:rsidRDefault="00F07126" w:rsidP="00F07126">
            <w:pPr>
              <w:spacing w:after="0" w:line="240" w:lineRule="auto"/>
              <w:jc w:val="right"/>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 xml:space="preserve">   456.623 </w:t>
            </w:r>
          </w:p>
        </w:tc>
      </w:tr>
      <w:tr w:rsidR="00F07126" w:rsidRPr="00F07126" w14:paraId="71CE9BA9" w14:textId="77777777" w:rsidTr="00F07126">
        <w:trPr>
          <w:trHeight w:val="238"/>
        </w:trPr>
        <w:tc>
          <w:tcPr>
            <w:tcW w:w="3130" w:type="pct"/>
            <w:tcBorders>
              <w:top w:val="nil"/>
              <w:left w:val="single" w:sz="4" w:space="0" w:color="auto"/>
              <w:bottom w:val="single" w:sz="4" w:space="0" w:color="auto"/>
              <w:right w:val="single" w:sz="4" w:space="0" w:color="auto"/>
            </w:tcBorders>
            <w:shd w:val="clear" w:color="auto" w:fill="auto"/>
            <w:noWrap/>
            <w:vAlign w:val="center"/>
            <w:hideMark/>
          </w:tcPr>
          <w:p w14:paraId="3BB2AA2C" w14:textId="77777777" w:rsidR="00F07126" w:rsidRPr="00F07126" w:rsidRDefault="00F07126" w:rsidP="00F07126">
            <w:pPr>
              <w:spacing w:after="0" w:line="240" w:lineRule="auto"/>
              <w:rPr>
                <w:rFonts w:ascii="Arial" w:eastAsia="Times New Roman" w:hAnsi="Arial" w:cs="Arial"/>
                <w:color w:val="000000"/>
                <w:kern w:val="0"/>
                <w:sz w:val="18"/>
                <w:szCs w:val="18"/>
                <w:lang w:eastAsia="pt-BR"/>
                <w14:ligatures w14:val="none"/>
              </w:rPr>
            </w:pPr>
            <w:r w:rsidRPr="00F07126">
              <w:rPr>
                <w:rFonts w:ascii="Arial" w:eastAsia="Times New Roman" w:hAnsi="Arial" w:cs="Arial"/>
                <w:color w:val="000000"/>
                <w:kern w:val="0"/>
                <w:sz w:val="18"/>
                <w:szCs w:val="18"/>
                <w:lang w:eastAsia="pt-BR"/>
                <w14:ligatures w14:val="none"/>
              </w:rPr>
              <w:t>Baixa de Receita por Serviços Prestados - Banda X</w:t>
            </w:r>
          </w:p>
        </w:tc>
        <w:tc>
          <w:tcPr>
            <w:tcW w:w="636" w:type="pct"/>
            <w:tcBorders>
              <w:top w:val="nil"/>
              <w:left w:val="nil"/>
              <w:bottom w:val="single" w:sz="4" w:space="0" w:color="auto"/>
              <w:right w:val="single" w:sz="4" w:space="0" w:color="auto"/>
            </w:tcBorders>
            <w:shd w:val="clear" w:color="auto" w:fill="auto"/>
            <w:noWrap/>
            <w:vAlign w:val="center"/>
            <w:hideMark/>
          </w:tcPr>
          <w:p w14:paraId="5037359F" w14:textId="77777777" w:rsidR="00F07126" w:rsidRPr="00F07126" w:rsidRDefault="00F07126" w:rsidP="00F07126">
            <w:pPr>
              <w:spacing w:after="0" w:line="240" w:lineRule="auto"/>
              <w:jc w:val="right"/>
              <w:rPr>
                <w:rFonts w:ascii="Arial" w:eastAsia="Times New Roman" w:hAnsi="Arial" w:cs="Arial"/>
                <w:color w:val="000000"/>
                <w:kern w:val="0"/>
                <w:sz w:val="18"/>
                <w:szCs w:val="18"/>
                <w:lang w:eastAsia="pt-BR"/>
                <w14:ligatures w14:val="none"/>
              </w:rPr>
            </w:pPr>
            <w:r w:rsidRPr="00F07126">
              <w:rPr>
                <w:rFonts w:ascii="Arial" w:eastAsia="Times New Roman" w:hAnsi="Arial" w:cs="Arial"/>
                <w:color w:val="000000"/>
                <w:kern w:val="0"/>
                <w:sz w:val="18"/>
                <w:szCs w:val="18"/>
                <w:lang w:eastAsia="pt-BR"/>
                <w14:ligatures w14:val="none"/>
              </w:rPr>
              <w:t xml:space="preserve">     (33.441)</w:t>
            </w:r>
          </w:p>
        </w:tc>
        <w:tc>
          <w:tcPr>
            <w:tcW w:w="636" w:type="pct"/>
            <w:tcBorders>
              <w:top w:val="nil"/>
              <w:left w:val="nil"/>
              <w:bottom w:val="single" w:sz="4" w:space="0" w:color="auto"/>
              <w:right w:val="single" w:sz="4" w:space="0" w:color="auto"/>
            </w:tcBorders>
            <w:shd w:val="clear" w:color="auto" w:fill="auto"/>
            <w:noWrap/>
            <w:vAlign w:val="center"/>
            <w:hideMark/>
          </w:tcPr>
          <w:p w14:paraId="7110F438" w14:textId="77777777" w:rsidR="00F07126" w:rsidRPr="00F07126" w:rsidRDefault="00F07126" w:rsidP="00F07126">
            <w:pPr>
              <w:spacing w:after="0" w:line="240" w:lineRule="auto"/>
              <w:jc w:val="right"/>
              <w:rPr>
                <w:rFonts w:ascii="Arial" w:eastAsia="Times New Roman" w:hAnsi="Arial" w:cs="Arial"/>
                <w:color w:val="000000"/>
                <w:kern w:val="0"/>
                <w:sz w:val="18"/>
                <w:szCs w:val="18"/>
                <w:lang w:eastAsia="pt-BR"/>
                <w14:ligatures w14:val="none"/>
              </w:rPr>
            </w:pPr>
            <w:r w:rsidRPr="00F07126">
              <w:rPr>
                <w:rFonts w:ascii="Arial" w:eastAsia="Times New Roman" w:hAnsi="Arial" w:cs="Arial"/>
                <w:color w:val="000000"/>
                <w:kern w:val="0"/>
                <w:sz w:val="18"/>
                <w:szCs w:val="18"/>
                <w:lang w:eastAsia="pt-BR"/>
                <w14:ligatures w14:val="none"/>
              </w:rPr>
              <w:t xml:space="preserve">                  -       </w:t>
            </w:r>
          </w:p>
        </w:tc>
        <w:tc>
          <w:tcPr>
            <w:tcW w:w="598" w:type="pct"/>
            <w:tcBorders>
              <w:top w:val="nil"/>
              <w:left w:val="nil"/>
              <w:bottom w:val="single" w:sz="4" w:space="0" w:color="auto"/>
              <w:right w:val="single" w:sz="4" w:space="0" w:color="auto"/>
            </w:tcBorders>
            <w:shd w:val="clear" w:color="auto" w:fill="auto"/>
            <w:noWrap/>
            <w:vAlign w:val="center"/>
            <w:hideMark/>
          </w:tcPr>
          <w:p w14:paraId="3275F1EB" w14:textId="77777777" w:rsidR="00F07126" w:rsidRPr="00F07126" w:rsidRDefault="00F07126" w:rsidP="00F07126">
            <w:pPr>
              <w:spacing w:after="0" w:line="240" w:lineRule="auto"/>
              <w:jc w:val="right"/>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 xml:space="preserve">    (33.441)</w:t>
            </w:r>
          </w:p>
        </w:tc>
      </w:tr>
      <w:tr w:rsidR="00F07126" w:rsidRPr="00F07126" w14:paraId="16F33241" w14:textId="77777777" w:rsidTr="00F07126">
        <w:trPr>
          <w:trHeight w:val="238"/>
        </w:trPr>
        <w:tc>
          <w:tcPr>
            <w:tcW w:w="3130" w:type="pct"/>
            <w:tcBorders>
              <w:top w:val="nil"/>
              <w:left w:val="single" w:sz="4" w:space="0" w:color="auto"/>
              <w:bottom w:val="single" w:sz="4" w:space="0" w:color="auto"/>
              <w:right w:val="single" w:sz="4" w:space="0" w:color="auto"/>
            </w:tcBorders>
            <w:shd w:val="clear" w:color="auto" w:fill="auto"/>
            <w:noWrap/>
            <w:vAlign w:val="center"/>
            <w:hideMark/>
          </w:tcPr>
          <w:p w14:paraId="1E3693B0" w14:textId="77777777" w:rsidR="00F07126" w:rsidRPr="00F07126" w:rsidRDefault="00F07126" w:rsidP="00F07126">
            <w:pPr>
              <w:spacing w:after="0" w:line="240" w:lineRule="auto"/>
              <w:rPr>
                <w:rFonts w:ascii="Arial" w:eastAsia="Times New Roman" w:hAnsi="Arial" w:cs="Arial"/>
                <w:color w:val="000000"/>
                <w:kern w:val="0"/>
                <w:sz w:val="18"/>
                <w:szCs w:val="18"/>
                <w:lang w:eastAsia="pt-BR"/>
                <w14:ligatures w14:val="none"/>
              </w:rPr>
            </w:pPr>
            <w:r w:rsidRPr="00F07126">
              <w:rPr>
                <w:rFonts w:ascii="Arial" w:eastAsia="Times New Roman" w:hAnsi="Arial" w:cs="Arial"/>
                <w:color w:val="000000"/>
                <w:kern w:val="0"/>
                <w:sz w:val="18"/>
                <w:szCs w:val="18"/>
                <w:lang w:eastAsia="pt-BR"/>
                <w14:ligatures w14:val="none"/>
              </w:rPr>
              <w:t>Baixa de Adiantamento Recebidos por Serviço Realizado</w:t>
            </w:r>
          </w:p>
        </w:tc>
        <w:tc>
          <w:tcPr>
            <w:tcW w:w="636" w:type="pct"/>
            <w:tcBorders>
              <w:top w:val="nil"/>
              <w:left w:val="nil"/>
              <w:bottom w:val="single" w:sz="4" w:space="0" w:color="auto"/>
              <w:right w:val="single" w:sz="4" w:space="0" w:color="auto"/>
            </w:tcBorders>
            <w:shd w:val="clear" w:color="auto" w:fill="auto"/>
            <w:noWrap/>
            <w:vAlign w:val="center"/>
            <w:hideMark/>
          </w:tcPr>
          <w:p w14:paraId="2ECC92FE" w14:textId="77777777" w:rsidR="00F07126" w:rsidRPr="00F07126" w:rsidRDefault="00F07126" w:rsidP="00F07126">
            <w:pPr>
              <w:spacing w:after="0" w:line="240" w:lineRule="auto"/>
              <w:jc w:val="right"/>
              <w:rPr>
                <w:rFonts w:ascii="Arial" w:eastAsia="Times New Roman" w:hAnsi="Arial" w:cs="Arial"/>
                <w:color w:val="000000"/>
                <w:kern w:val="0"/>
                <w:sz w:val="18"/>
                <w:szCs w:val="18"/>
                <w:lang w:eastAsia="pt-BR"/>
                <w14:ligatures w14:val="none"/>
              </w:rPr>
            </w:pPr>
            <w:r w:rsidRPr="00F07126">
              <w:rPr>
                <w:rFonts w:ascii="Arial" w:eastAsia="Times New Roman" w:hAnsi="Arial" w:cs="Arial"/>
                <w:color w:val="000000"/>
                <w:kern w:val="0"/>
                <w:sz w:val="18"/>
                <w:szCs w:val="18"/>
                <w:lang w:eastAsia="pt-BR"/>
                <w14:ligatures w14:val="none"/>
              </w:rPr>
              <w:t xml:space="preserve">                -     </w:t>
            </w:r>
          </w:p>
        </w:tc>
        <w:tc>
          <w:tcPr>
            <w:tcW w:w="636" w:type="pct"/>
            <w:tcBorders>
              <w:top w:val="nil"/>
              <w:left w:val="nil"/>
              <w:bottom w:val="single" w:sz="4" w:space="0" w:color="auto"/>
              <w:right w:val="single" w:sz="4" w:space="0" w:color="auto"/>
            </w:tcBorders>
            <w:shd w:val="clear" w:color="auto" w:fill="auto"/>
            <w:noWrap/>
            <w:vAlign w:val="center"/>
            <w:hideMark/>
          </w:tcPr>
          <w:p w14:paraId="792FDBC2" w14:textId="77777777" w:rsidR="00F07126" w:rsidRPr="00F07126" w:rsidRDefault="00F07126" w:rsidP="00F07126">
            <w:pPr>
              <w:spacing w:after="0" w:line="240" w:lineRule="auto"/>
              <w:jc w:val="right"/>
              <w:rPr>
                <w:rFonts w:ascii="Arial" w:eastAsia="Times New Roman" w:hAnsi="Arial" w:cs="Arial"/>
                <w:color w:val="000000"/>
                <w:kern w:val="0"/>
                <w:sz w:val="18"/>
                <w:szCs w:val="18"/>
                <w:lang w:eastAsia="pt-BR"/>
                <w14:ligatures w14:val="none"/>
              </w:rPr>
            </w:pPr>
            <w:r w:rsidRPr="00F07126">
              <w:rPr>
                <w:rFonts w:ascii="Arial" w:eastAsia="Times New Roman" w:hAnsi="Arial" w:cs="Arial"/>
                <w:color w:val="000000"/>
                <w:kern w:val="0"/>
                <w:sz w:val="18"/>
                <w:szCs w:val="18"/>
                <w:lang w:eastAsia="pt-BR"/>
                <w14:ligatures w14:val="none"/>
              </w:rPr>
              <w:t xml:space="preserve">     (50.285)</w:t>
            </w:r>
          </w:p>
        </w:tc>
        <w:tc>
          <w:tcPr>
            <w:tcW w:w="598" w:type="pct"/>
            <w:tcBorders>
              <w:top w:val="nil"/>
              <w:left w:val="nil"/>
              <w:bottom w:val="single" w:sz="4" w:space="0" w:color="auto"/>
              <w:right w:val="single" w:sz="4" w:space="0" w:color="auto"/>
            </w:tcBorders>
            <w:shd w:val="clear" w:color="auto" w:fill="auto"/>
            <w:noWrap/>
            <w:vAlign w:val="center"/>
            <w:hideMark/>
          </w:tcPr>
          <w:p w14:paraId="3C0E983D" w14:textId="77777777" w:rsidR="00F07126" w:rsidRPr="00F07126" w:rsidRDefault="00F07126" w:rsidP="00F07126">
            <w:pPr>
              <w:spacing w:after="0" w:line="240" w:lineRule="auto"/>
              <w:jc w:val="right"/>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 xml:space="preserve">    (50.285)</w:t>
            </w:r>
          </w:p>
        </w:tc>
      </w:tr>
      <w:tr w:rsidR="00F07126" w:rsidRPr="00F07126" w14:paraId="4833E1AF" w14:textId="77777777" w:rsidTr="00F07126">
        <w:trPr>
          <w:trHeight w:val="238"/>
        </w:trPr>
        <w:tc>
          <w:tcPr>
            <w:tcW w:w="3130" w:type="pct"/>
            <w:tcBorders>
              <w:top w:val="nil"/>
              <w:left w:val="single" w:sz="4" w:space="0" w:color="auto"/>
              <w:bottom w:val="single" w:sz="4" w:space="0" w:color="auto"/>
              <w:right w:val="single" w:sz="4" w:space="0" w:color="auto"/>
            </w:tcBorders>
            <w:shd w:val="clear" w:color="auto" w:fill="auto"/>
            <w:noWrap/>
            <w:vAlign w:val="center"/>
            <w:hideMark/>
          </w:tcPr>
          <w:p w14:paraId="0ADBB624" w14:textId="77777777" w:rsidR="00F07126" w:rsidRPr="00F07126" w:rsidRDefault="00F07126" w:rsidP="00F07126">
            <w:pPr>
              <w:spacing w:after="0" w:line="240" w:lineRule="auto"/>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lastRenderedPageBreak/>
              <w:t>Saldo em 31 de dezembro de 2023</w:t>
            </w:r>
          </w:p>
        </w:tc>
        <w:tc>
          <w:tcPr>
            <w:tcW w:w="636" w:type="pct"/>
            <w:tcBorders>
              <w:top w:val="nil"/>
              <w:left w:val="nil"/>
              <w:bottom w:val="single" w:sz="4" w:space="0" w:color="auto"/>
              <w:right w:val="single" w:sz="4" w:space="0" w:color="auto"/>
            </w:tcBorders>
            <w:shd w:val="clear" w:color="auto" w:fill="auto"/>
            <w:noWrap/>
            <w:vAlign w:val="center"/>
            <w:hideMark/>
          </w:tcPr>
          <w:p w14:paraId="29E74458" w14:textId="77777777" w:rsidR="00F07126" w:rsidRPr="00F07126" w:rsidRDefault="00F07126" w:rsidP="00F07126">
            <w:pPr>
              <w:spacing w:after="0" w:line="240" w:lineRule="auto"/>
              <w:jc w:val="right"/>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 xml:space="preserve">    349.605 </w:t>
            </w:r>
          </w:p>
        </w:tc>
        <w:tc>
          <w:tcPr>
            <w:tcW w:w="636" w:type="pct"/>
            <w:tcBorders>
              <w:top w:val="nil"/>
              <w:left w:val="nil"/>
              <w:bottom w:val="single" w:sz="4" w:space="0" w:color="auto"/>
              <w:right w:val="single" w:sz="4" w:space="0" w:color="auto"/>
            </w:tcBorders>
            <w:shd w:val="clear" w:color="auto" w:fill="auto"/>
            <w:noWrap/>
            <w:vAlign w:val="center"/>
            <w:hideMark/>
          </w:tcPr>
          <w:p w14:paraId="28359F77" w14:textId="77777777" w:rsidR="00F07126" w:rsidRPr="00F07126" w:rsidRDefault="00F07126" w:rsidP="00F07126">
            <w:pPr>
              <w:spacing w:after="0" w:line="240" w:lineRule="auto"/>
              <w:jc w:val="right"/>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 xml:space="preserve">      23.292 </w:t>
            </w:r>
          </w:p>
        </w:tc>
        <w:tc>
          <w:tcPr>
            <w:tcW w:w="598" w:type="pct"/>
            <w:tcBorders>
              <w:top w:val="nil"/>
              <w:left w:val="nil"/>
              <w:bottom w:val="single" w:sz="4" w:space="0" w:color="auto"/>
              <w:right w:val="single" w:sz="4" w:space="0" w:color="auto"/>
            </w:tcBorders>
            <w:shd w:val="clear" w:color="auto" w:fill="auto"/>
            <w:noWrap/>
            <w:vAlign w:val="center"/>
            <w:hideMark/>
          </w:tcPr>
          <w:p w14:paraId="2C335440" w14:textId="77777777" w:rsidR="00F07126" w:rsidRPr="00F07126" w:rsidRDefault="00F07126" w:rsidP="00F07126">
            <w:pPr>
              <w:spacing w:after="0" w:line="240" w:lineRule="auto"/>
              <w:jc w:val="right"/>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 xml:space="preserve">   372.897 </w:t>
            </w:r>
          </w:p>
        </w:tc>
      </w:tr>
      <w:tr w:rsidR="00F07126" w:rsidRPr="00F07126" w14:paraId="0A9F0E88" w14:textId="77777777" w:rsidTr="00F07126">
        <w:trPr>
          <w:trHeight w:val="238"/>
        </w:trPr>
        <w:tc>
          <w:tcPr>
            <w:tcW w:w="3130" w:type="pct"/>
            <w:tcBorders>
              <w:top w:val="nil"/>
              <w:left w:val="single" w:sz="4" w:space="0" w:color="auto"/>
              <w:bottom w:val="single" w:sz="4" w:space="0" w:color="auto"/>
              <w:right w:val="single" w:sz="4" w:space="0" w:color="auto"/>
            </w:tcBorders>
            <w:shd w:val="clear" w:color="auto" w:fill="auto"/>
            <w:noWrap/>
            <w:vAlign w:val="center"/>
            <w:hideMark/>
          </w:tcPr>
          <w:p w14:paraId="0965C687" w14:textId="77777777" w:rsidR="00F07126" w:rsidRPr="00F07126" w:rsidRDefault="00F07126" w:rsidP="00F07126">
            <w:pPr>
              <w:spacing w:after="0" w:line="240" w:lineRule="auto"/>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Circulante</w:t>
            </w:r>
          </w:p>
        </w:tc>
        <w:tc>
          <w:tcPr>
            <w:tcW w:w="636" w:type="pct"/>
            <w:tcBorders>
              <w:top w:val="nil"/>
              <w:left w:val="nil"/>
              <w:bottom w:val="single" w:sz="4" w:space="0" w:color="auto"/>
              <w:right w:val="single" w:sz="4" w:space="0" w:color="auto"/>
            </w:tcBorders>
            <w:shd w:val="clear" w:color="auto" w:fill="auto"/>
            <w:noWrap/>
            <w:vAlign w:val="center"/>
            <w:hideMark/>
          </w:tcPr>
          <w:p w14:paraId="207DD541" w14:textId="77777777" w:rsidR="00F07126" w:rsidRPr="00F07126" w:rsidRDefault="00F07126" w:rsidP="00F07126">
            <w:pPr>
              <w:spacing w:after="0" w:line="240" w:lineRule="auto"/>
              <w:jc w:val="right"/>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 xml:space="preserve">      39.520 </w:t>
            </w:r>
          </w:p>
        </w:tc>
        <w:tc>
          <w:tcPr>
            <w:tcW w:w="636" w:type="pct"/>
            <w:tcBorders>
              <w:top w:val="nil"/>
              <w:left w:val="nil"/>
              <w:bottom w:val="single" w:sz="4" w:space="0" w:color="auto"/>
              <w:right w:val="single" w:sz="4" w:space="0" w:color="auto"/>
            </w:tcBorders>
            <w:shd w:val="clear" w:color="auto" w:fill="auto"/>
            <w:noWrap/>
            <w:vAlign w:val="center"/>
            <w:hideMark/>
          </w:tcPr>
          <w:p w14:paraId="166AD889" w14:textId="77777777" w:rsidR="00F07126" w:rsidRPr="00F07126" w:rsidRDefault="00F07126" w:rsidP="00F07126">
            <w:pPr>
              <w:spacing w:after="0" w:line="240" w:lineRule="auto"/>
              <w:jc w:val="right"/>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 xml:space="preserve">      23.292 </w:t>
            </w:r>
          </w:p>
        </w:tc>
        <w:tc>
          <w:tcPr>
            <w:tcW w:w="598" w:type="pct"/>
            <w:tcBorders>
              <w:top w:val="nil"/>
              <w:left w:val="nil"/>
              <w:bottom w:val="single" w:sz="4" w:space="0" w:color="auto"/>
              <w:right w:val="single" w:sz="4" w:space="0" w:color="auto"/>
            </w:tcBorders>
            <w:shd w:val="clear" w:color="auto" w:fill="auto"/>
            <w:noWrap/>
            <w:vAlign w:val="center"/>
            <w:hideMark/>
          </w:tcPr>
          <w:p w14:paraId="1C01C2E8" w14:textId="77777777" w:rsidR="00F07126" w:rsidRPr="00F07126" w:rsidRDefault="00F07126" w:rsidP="00F07126">
            <w:pPr>
              <w:spacing w:after="0" w:line="240" w:lineRule="auto"/>
              <w:jc w:val="right"/>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 xml:space="preserve">     62.812 </w:t>
            </w:r>
          </w:p>
        </w:tc>
      </w:tr>
      <w:tr w:rsidR="00F07126" w:rsidRPr="00F07126" w14:paraId="194C99AF" w14:textId="77777777" w:rsidTr="00F07126">
        <w:trPr>
          <w:trHeight w:val="238"/>
        </w:trPr>
        <w:tc>
          <w:tcPr>
            <w:tcW w:w="3130" w:type="pct"/>
            <w:tcBorders>
              <w:top w:val="nil"/>
              <w:left w:val="single" w:sz="4" w:space="0" w:color="auto"/>
              <w:bottom w:val="single" w:sz="4" w:space="0" w:color="auto"/>
              <w:right w:val="single" w:sz="4" w:space="0" w:color="auto"/>
            </w:tcBorders>
            <w:shd w:val="clear" w:color="auto" w:fill="auto"/>
            <w:noWrap/>
            <w:vAlign w:val="center"/>
            <w:hideMark/>
          </w:tcPr>
          <w:p w14:paraId="12FD3F7E" w14:textId="77777777" w:rsidR="00F07126" w:rsidRPr="00F07126" w:rsidRDefault="00F07126" w:rsidP="00F07126">
            <w:pPr>
              <w:spacing w:after="0" w:line="240" w:lineRule="auto"/>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Não Circulante</w:t>
            </w:r>
          </w:p>
        </w:tc>
        <w:tc>
          <w:tcPr>
            <w:tcW w:w="636" w:type="pct"/>
            <w:tcBorders>
              <w:top w:val="nil"/>
              <w:left w:val="nil"/>
              <w:bottom w:val="single" w:sz="4" w:space="0" w:color="auto"/>
              <w:right w:val="single" w:sz="4" w:space="0" w:color="auto"/>
            </w:tcBorders>
            <w:shd w:val="clear" w:color="auto" w:fill="auto"/>
            <w:noWrap/>
            <w:vAlign w:val="center"/>
            <w:hideMark/>
          </w:tcPr>
          <w:p w14:paraId="18796E36" w14:textId="77777777" w:rsidR="00F07126" w:rsidRPr="00F07126" w:rsidRDefault="00F07126" w:rsidP="00F07126">
            <w:pPr>
              <w:spacing w:after="0" w:line="240" w:lineRule="auto"/>
              <w:jc w:val="right"/>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 xml:space="preserve">    310.085 </w:t>
            </w:r>
          </w:p>
        </w:tc>
        <w:tc>
          <w:tcPr>
            <w:tcW w:w="636" w:type="pct"/>
            <w:tcBorders>
              <w:top w:val="nil"/>
              <w:left w:val="nil"/>
              <w:bottom w:val="single" w:sz="4" w:space="0" w:color="auto"/>
              <w:right w:val="single" w:sz="4" w:space="0" w:color="auto"/>
            </w:tcBorders>
            <w:shd w:val="clear" w:color="auto" w:fill="auto"/>
            <w:noWrap/>
            <w:vAlign w:val="center"/>
            <w:hideMark/>
          </w:tcPr>
          <w:p w14:paraId="0585D241" w14:textId="77777777" w:rsidR="00F07126" w:rsidRPr="00F07126" w:rsidRDefault="00F07126" w:rsidP="00F07126">
            <w:pPr>
              <w:spacing w:after="0" w:line="240" w:lineRule="auto"/>
              <w:jc w:val="right"/>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 xml:space="preserve">                  -       </w:t>
            </w:r>
          </w:p>
        </w:tc>
        <w:tc>
          <w:tcPr>
            <w:tcW w:w="598" w:type="pct"/>
            <w:tcBorders>
              <w:top w:val="nil"/>
              <w:left w:val="nil"/>
              <w:bottom w:val="single" w:sz="4" w:space="0" w:color="auto"/>
              <w:right w:val="single" w:sz="4" w:space="0" w:color="auto"/>
            </w:tcBorders>
            <w:shd w:val="clear" w:color="auto" w:fill="auto"/>
            <w:noWrap/>
            <w:vAlign w:val="center"/>
            <w:hideMark/>
          </w:tcPr>
          <w:p w14:paraId="79DFC9C6" w14:textId="77777777" w:rsidR="00F07126" w:rsidRPr="00F07126" w:rsidRDefault="00F07126" w:rsidP="00F07126">
            <w:pPr>
              <w:spacing w:after="0" w:line="240" w:lineRule="auto"/>
              <w:jc w:val="right"/>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 xml:space="preserve">   310.085 </w:t>
            </w:r>
          </w:p>
        </w:tc>
      </w:tr>
    </w:tbl>
    <w:p w14:paraId="566C7056" w14:textId="37067BD5" w:rsidR="00F07126" w:rsidRPr="00F07126" w:rsidRDefault="00F07126" w:rsidP="00F07126">
      <w:pPr>
        <w:autoSpaceDE w:val="0"/>
        <w:autoSpaceDN w:val="0"/>
        <w:adjustRightInd w:val="0"/>
        <w:spacing w:after="0" w:line="240" w:lineRule="auto"/>
        <w:jc w:val="both"/>
        <w:rPr>
          <w:rFonts w:ascii="Calibri" w:eastAsia="Times New Roman" w:hAnsi="Calibri" w:cs="Calibri"/>
          <w:b/>
          <w:bCs/>
          <w:iCs/>
          <w:color w:val="002060"/>
          <w:kern w:val="0"/>
          <w14:ligatures w14:val="none"/>
        </w:rPr>
      </w:pPr>
      <w:bookmarkStart w:id="425" w:name="_Toc491337760"/>
      <w:r>
        <w:rPr>
          <w:rFonts w:ascii="Calibri" w:eastAsia="Times New Roman" w:hAnsi="Calibri" w:cs="Calibri"/>
          <w:b/>
          <w:bCs/>
          <w:iCs/>
          <w:color w:val="002060"/>
          <w:kern w:val="0"/>
          <w14:ligatures w14:val="none"/>
        </w:rPr>
        <w:t xml:space="preserve">26. </w:t>
      </w:r>
      <w:r w:rsidRPr="00F07126">
        <w:rPr>
          <w:rFonts w:ascii="Calibri" w:eastAsia="Times New Roman" w:hAnsi="Calibri" w:cs="Calibri"/>
          <w:b/>
          <w:bCs/>
          <w:iCs/>
          <w:color w:val="002060"/>
          <w:kern w:val="0"/>
          <w14:ligatures w14:val="none"/>
        </w:rPr>
        <w:t>OUTRAS OBRIGAÇÕES</w:t>
      </w:r>
      <w:bookmarkEnd w:id="425"/>
    </w:p>
    <w:tbl>
      <w:tblPr>
        <w:tblW w:w="5000" w:type="pct"/>
        <w:tblCellMar>
          <w:left w:w="70" w:type="dxa"/>
          <w:right w:w="70" w:type="dxa"/>
        </w:tblCellMar>
        <w:tblLook w:val="04A0" w:firstRow="1" w:lastRow="0" w:firstColumn="1" w:lastColumn="0" w:noHBand="0" w:noVBand="1"/>
      </w:tblPr>
      <w:tblGrid>
        <w:gridCol w:w="6399"/>
        <w:gridCol w:w="1681"/>
        <w:gridCol w:w="1681"/>
      </w:tblGrid>
      <w:tr w:rsidR="00F07126" w:rsidRPr="00F07126" w14:paraId="0134B8B2" w14:textId="77777777" w:rsidTr="00446A14">
        <w:trPr>
          <w:trHeight w:val="238"/>
          <w:tblHeader/>
        </w:trPr>
        <w:tc>
          <w:tcPr>
            <w:tcW w:w="3278" w:type="pct"/>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2144E26B" w14:textId="77777777" w:rsidR="00F07126" w:rsidRPr="00F07126" w:rsidRDefault="00F07126" w:rsidP="00F07126">
            <w:pPr>
              <w:spacing w:after="0" w:line="240" w:lineRule="auto"/>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Composição: </w:t>
            </w:r>
          </w:p>
        </w:tc>
        <w:tc>
          <w:tcPr>
            <w:tcW w:w="861" w:type="pct"/>
            <w:tcBorders>
              <w:top w:val="single" w:sz="8" w:space="0" w:color="auto"/>
              <w:left w:val="nil"/>
              <w:bottom w:val="single" w:sz="8" w:space="0" w:color="auto"/>
              <w:right w:val="single" w:sz="8" w:space="0" w:color="auto"/>
            </w:tcBorders>
            <w:shd w:val="clear" w:color="auto" w:fill="auto"/>
            <w:noWrap/>
            <w:vAlign w:val="center"/>
            <w:hideMark/>
          </w:tcPr>
          <w:p w14:paraId="6AAEF956" w14:textId="77777777" w:rsidR="00F07126" w:rsidRPr="00F07126" w:rsidRDefault="00F07126" w:rsidP="00F07126">
            <w:pPr>
              <w:spacing w:after="0" w:line="240" w:lineRule="auto"/>
              <w:jc w:val="right"/>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31/12/2023</w:t>
            </w:r>
          </w:p>
        </w:tc>
        <w:tc>
          <w:tcPr>
            <w:tcW w:w="861" w:type="pct"/>
            <w:tcBorders>
              <w:top w:val="single" w:sz="8" w:space="0" w:color="auto"/>
              <w:left w:val="nil"/>
              <w:bottom w:val="single" w:sz="8" w:space="0" w:color="auto"/>
              <w:right w:val="single" w:sz="8" w:space="0" w:color="auto"/>
            </w:tcBorders>
            <w:shd w:val="clear" w:color="auto" w:fill="auto"/>
            <w:noWrap/>
            <w:vAlign w:val="center"/>
            <w:hideMark/>
          </w:tcPr>
          <w:p w14:paraId="55A0499C" w14:textId="77777777" w:rsidR="00F07126" w:rsidRPr="00F07126" w:rsidRDefault="00F07126" w:rsidP="00F07126">
            <w:pPr>
              <w:spacing w:after="0" w:line="240" w:lineRule="auto"/>
              <w:jc w:val="right"/>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31/12/2022</w:t>
            </w:r>
          </w:p>
        </w:tc>
      </w:tr>
      <w:tr w:rsidR="00F07126" w:rsidRPr="00F07126" w14:paraId="75DD9B6E" w14:textId="77777777" w:rsidTr="00446A14">
        <w:trPr>
          <w:trHeight w:val="238"/>
        </w:trPr>
        <w:tc>
          <w:tcPr>
            <w:tcW w:w="3278" w:type="pct"/>
            <w:tcBorders>
              <w:top w:val="nil"/>
              <w:left w:val="single" w:sz="8" w:space="0" w:color="auto"/>
              <w:bottom w:val="single" w:sz="8" w:space="0" w:color="auto"/>
              <w:right w:val="single" w:sz="8" w:space="0" w:color="auto"/>
            </w:tcBorders>
            <w:shd w:val="clear" w:color="auto" w:fill="auto"/>
            <w:noWrap/>
            <w:vAlign w:val="center"/>
            <w:hideMark/>
          </w:tcPr>
          <w:p w14:paraId="5E9E4207" w14:textId="77777777" w:rsidR="00F07126" w:rsidRPr="00F07126" w:rsidRDefault="00F07126" w:rsidP="00F07126">
            <w:pPr>
              <w:spacing w:after="0" w:line="240" w:lineRule="auto"/>
              <w:rPr>
                <w:rFonts w:ascii="Arial" w:eastAsia="Times New Roman" w:hAnsi="Arial" w:cs="Arial"/>
                <w:color w:val="000000"/>
                <w:kern w:val="0"/>
                <w:sz w:val="18"/>
                <w:szCs w:val="18"/>
                <w:lang w:eastAsia="pt-BR"/>
                <w14:ligatures w14:val="none"/>
              </w:rPr>
            </w:pPr>
            <w:r w:rsidRPr="00F07126">
              <w:rPr>
                <w:rFonts w:ascii="Arial" w:eastAsia="Times New Roman" w:hAnsi="Arial" w:cs="Arial"/>
                <w:color w:val="000000"/>
                <w:kern w:val="0"/>
                <w:sz w:val="18"/>
                <w:szCs w:val="18"/>
                <w:lang w:eastAsia="pt-BR"/>
                <w14:ligatures w14:val="none"/>
              </w:rPr>
              <w:t>Retenções Passivas Tributárias</w:t>
            </w:r>
          </w:p>
        </w:tc>
        <w:tc>
          <w:tcPr>
            <w:tcW w:w="861" w:type="pct"/>
            <w:tcBorders>
              <w:top w:val="nil"/>
              <w:left w:val="nil"/>
              <w:bottom w:val="single" w:sz="8" w:space="0" w:color="auto"/>
              <w:right w:val="single" w:sz="8" w:space="0" w:color="auto"/>
            </w:tcBorders>
            <w:shd w:val="clear" w:color="auto" w:fill="auto"/>
            <w:noWrap/>
            <w:vAlign w:val="center"/>
            <w:hideMark/>
          </w:tcPr>
          <w:p w14:paraId="7857FDAD" w14:textId="77777777" w:rsidR="00F07126" w:rsidRPr="00F07126" w:rsidRDefault="00F07126" w:rsidP="00F07126">
            <w:pPr>
              <w:spacing w:after="0" w:line="240" w:lineRule="auto"/>
              <w:jc w:val="right"/>
              <w:rPr>
                <w:rFonts w:ascii="Arial" w:eastAsia="Times New Roman" w:hAnsi="Arial" w:cs="Arial"/>
                <w:color w:val="000000"/>
                <w:kern w:val="0"/>
                <w:sz w:val="18"/>
                <w:szCs w:val="18"/>
                <w:lang w:eastAsia="pt-BR"/>
                <w14:ligatures w14:val="none"/>
              </w:rPr>
            </w:pPr>
            <w:r w:rsidRPr="00F07126">
              <w:rPr>
                <w:rFonts w:ascii="Arial" w:eastAsia="Times New Roman" w:hAnsi="Arial" w:cs="Arial"/>
                <w:color w:val="000000"/>
                <w:kern w:val="0"/>
                <w:sz w:val="18"/>
                <w:szCs w:val="18"/>
                <w:lang w:eastAsia="pt-BR"/>
                <w14:ligatures w14:val="none"/>
              </w:rPr>
              <w:t>4.556</w:t>
            </w:r>
          </w:p>
        </w:tc>
        <w:tc>
          <w:tcPr>
            <w:tcW w:w="861" w:type="pct"/>
            <w:tcBorders>
              <w:top w:val="nil"/>
              <w:left w:val="nil"/>
              <w:bottom w:val="single" w:sz="8" w:space="0" w:color="auto"/>
              <w:right w:val="single" w:sz="8" w:space="0" w:color="auto"/>
            </w:tcBorders>
            <w:shd w:val="clear" w:color="auto" w:fill="auto"/>
            <w:noWrap/>
            <w:vAlign w:val="center"/>
            <w:hideMark/>
          </w:tcPr>
          <w:p w14:paraId="62ABDA2B" w14:textId="77777777" w:rsidR="00F07126" w:rsidRPr="00F07126" w:rsidRDefault="00F07126" w:rsidP="00F07126">
            <w:pPr>
              <w:spacing w:after="0" w:line="240" w:lineRule="auto"/>
              <w:jc w:val="right"/>
              <w:rPr>
                <w:rFonts w:ascii="Arial" w:eastAsia="Times New Roman" w:hAnsi="Arial" w:cs="Arial"/>
                <w:color w:val="000000"/>
                <w:kern w:val="0"/>
                <w:sz w:val="18"/>
                <w:szCs w:val="18"/>
                <w:lang w:eastAsia="pt-BR"/>
                <w14:ligatures w14:val="none"/>
              </w:rPr>
            </w:pPr>
            <w:r w:rsidRPr="00F07126">
              <w:rPr>
                <w:rFonts w:ascii="Arial" w:eastAsia="Times New Roman" w:hAnsi="Arial" w:cs="Arial"/>
                <w:color w:val="000000"/>
                <w:kern w:val="0"/>
                <w:sz w:val="18"/>
                <w:szCs w:val="18"/>
                <w:lang w:eastAsia="pt-BR"/>
                <w14:ligatures w14:val="none"/>
              </w:rPr>
              <w:t>2.757</w:t>
            </w:r>
          </w:p>
        </w:tc>
      </w:tr>
      <w:tr w:rsidR="00F07126" w:rsidRPr="00F07126" w14:paraId="293F8D6A" w14:textId="77777777" w:rsidTr="00446A14">
        <w:trPr>
          <w:trHeight w:val="238"/>
        </w:trPr>
        <w:tc>
          <w:tcPr>
            <w:tcW w:w="3278" w:type="pct"/>
            <w:tcBorders>
              <w:top w:val="nil"/>
              <w:left w:val="single" w:sz="8" w:space="0" w:color="auto"/>
              <w:bottom w:val="single" w:sz="8" w:space="0" w:color="auto"/>
              <w:right w:val="single" w:sz="8" w:space="0" w:color="auto"/>
            </w:tcBorders>
            <w:shd w:val="clear" w:color="auto" w:fill="auto"/>
            <w:noWrap/>
            <w:vAlign w:val="center"/>
            <w:hideMark/>
          </w:tcPr>
          <w:p w14:paraId="51A0B5CF" w14:textId="77777777" w:rsidR="00F07126" w:rsidRPr="00F07126" w:rsidRDefault="00F07126" w:rsidP="00F07126">
            <w:pPr>
              <w:spacing w:after="0" w:line="240" w:lineRule="auto"/>
              <w:rPr>
                <w:rFonts w:ascii="Arial" w:eastAsia="Times New Roman" w:hAnsi="Arial" w:cs="Arial"/>
                <w:color w:val="000000"/>
                <w:kern w:val="0"/>
                <w:sz w:val="18"/>
                <w:szCs w:val="18"/>
                <w:lang w:eastAsia="pt-BR"/>
                <w14:ligatures w14:val="none"/>
              </w:rPr>
            </w:pPr>
            <w:r w:rsidRPr="00F07126">
              <w:rPr>
                <w:rFonts w:ascii="Arial" w:eastAsia="Times New Roman" w:hAnsi="Arial" w:cs="Arial"/>
                <w:color w:val="000000"/>
                <w:kern w:val="0"/>
                <w:sz w:val="18"/>
                <w:szCs w:val="18"/>
                <w:lang w:eastAsia="pt-BR"/>
                <w14:ligatures w14:val="none"/>
              </w:rPr>
              <w:t>Retenções Passivas não Tributárias</w:t>
            </w:r>
          </w:p>
        </w:tc>
        <w:tc>
          <w:tcPr>
            <w:tcW w:w="861" w:type="pct"/>
            <w:tcBorders>
              <w:top w:val="nil"/>
              <w:left w:val="nil"/>
              <w:bottom w:val="single" w:sz="8" w:space="0" w:color="auto"/>
              <w:right w:val="single" w:sz="8" w:space="0" w:color="auto"/>
            </w:tcBorders>
            <w:shd w:val="clear" w:color="auto" w:fill="auto"/>
            <w:noWrap/>
            <w:vAlign w:val="center"/>
            <w:hideMark/>
          </w:tcPr>
          <w:p w14:paraId="1D6BA0F1" w14:textId="77777777" w:rsidR="00F07126" w:rsidRPr="00F07126" w:rsidRDefault="00F07126" w:rsidP="00F07126">
            <w:pPr>
              <w:spacing w:after="0" w:line="240" w:lineRule="auto"/>
              <w:jc w:val="right"/>
              <w:rPr>
                <w:rFonts w:ascii="Arial" w:eastAsia="Times New Roman" w:hAnsi="Arial" w:cs="Arial"/>
                <w:color w:val="000000"/>
                <w:kern w:val="0"/>
                <w:sz w:val="18"/>
                <w:szCs w:val="18"/>
                <w:lang w:eastAsia="pt-BR"/>
                <w14:ligatures w14:val="none"/>
              </w:rPr>
            </w:pPr>
            <w:r w:rsidRPr="00F07126">
              <w:rPr>
                <w:rFonts w:ascii="Arial" w:eastAsia="Times New Roman" w:hAnsi="Arial" w:cs="Arial"/>
                <w:color w:val="000000"/>
                <w:kern w:val="0"/>
                <w:sz w:val="18"/>
                <w:szCs w:val="18"/>
                <w:lang w:eastAsia="pt-BR"/>
                <w14:ligatures w14:val="none"/>
              </w:rPr>
              <w:t>233</w:t>
            </w:r>
          </w:p>
        </w:tc>
        <w:tc>
          <w:tcPr>
            <w:tcW w:w="861" w:type="pct"/>
            <w:tcBorders>
              <w:top w:val="nil"/>
              <w:left w:val="nil"/>
              <w:bottom w:val="single" w:sz="8" w:space="0" w:color="auto"/>
              <w:right w:val="single" w:sz="8" w:space="0" w:color="auto"/>
            </w:tcBorders>
            <w:shd w:val="clear" w:color="auto" w:fill="auto"/>
            <w:noWrap/>
            <w:vAlign w:val="center"/>
            <w:hideMark/>
          </w:tcPr>
          <w:p w14:paraId="4509EFC1" w14:textId="77777777" w:rsidR="00F07126" w:rsidRPr="00F07126" w:rsidRDefault="00F07126" w:rsidP="00F07126">
            <w:pPr>
              <w:spacing w:after="0" w:line="240" w:lineRule="auto"/>
              <w:jc w:val="right"/>
              <w:rPr>
                <w:rFonts w:ascii="Arial" w:eastAsia="Times New Roman" w:hAnsi="Arial" w:cs="Arial"/>
                <w:color w:val="000000"/>
                <w:kern w:val="0"/>
                <w:sz w:val="18"/>
                <w:szCs w:val="18"/>
                <w:lang w:eastAsia="pt-BR"/>
                <w14:ligatures w14:val="none"/>
              </w:rPr>
            </w:pPr>
            <w:r w:rsidRPr="00F07126">
              <w:rPr>
                <w:rFonts w:ascii="Arial" w:eastAsia="Times New Roman" w:hAnsi="Arial" w:cs="Arial"/>
                <w:color w:val="000000"/>
                <w:kern w:val="0"/>
                <w:sz w:val="18"/>
                <w:szCs w:val="18"/>
                <w:lang w:eastAsia="pt-BR"/>
                <w14:ligatures w14:val="none"/>
              </w:rPr>
              <w:t>168</w:t>
            </w:r>
          </w:p>
        </w:tc>
      </w:tr>
      <w:tr w:rsidR="00F07126" w:rsidRPr="00F07126" w14:paraId="5F88CB13" w14:textId="77777777" w:rsidTr="00446A14">
        <w:trPr>
          <w:trHeight w:val="238"/>
        </w:trPr>
        <w:tc>
          <w:tcPr>
            <w:tcW w:w="3278" w:type="pct"/>
            <w:tcBorders>
              <w:top w:val="nil"/>
              <w:left w:val="single" w:sz="8" w:space="0" w:color="auto"/>
              <w:bottom w:val="single" w:sz="8" w:space="0" w:color="auto"/>
              <w:right w:val="single" w:sz="8" w:space="0" w:color="auto"/>
            </w:tcBorders>
            <w:shd w:val="clear" w:color="auto" w:fill="auto"/>
            <w:vAlign w:val="center"/>
            <w:hideMark/>
          </w:tcPr>
          <w:p w14:paraId="0620EE3C" w14:textId="77777777" w:rsidR="00F07126" w:rsidRPr="00F07126" w:rsidRDefault="00F07126" w:rsidP="00F07126">
            <w:pPr>
              <w:spacing w:after="0" w:line="240" w:lineRule="auto"/>
              <w:rPr>
                <w:rFonts w:ascii="Arial" w:eastAsia="Times New Roman" w:hAnsi="Arial" w:cs="Arial"/>
                <w:color w:val="000000"/>
                <w:kern w:val="0"/>
                <w:sz w:val="18"/>
                <w:szCs w:val="18"/>
                <w:lang w:eastAsia="pt-BR"/>
                <w14:ligatures w14:val="none"/>
              </w:rPr>
            </w:pPr>
            <w:r w:rsidRPr="00F07126">
              <w:rPr>
                <w:rFonts w:ascii="Arial" w:eastAsia="Times New Roman" w:hAnsi="Arial" w:cs="Arial"/>
                <w:color w:val="000000"/>
                <w:kern w:val="0"/>
                <w:sz w:val="18"/>
                <w:szCs w:val="18"/>
                <w:lang w:eastAsia="pt-BR"/>
                <w14:ligatures w14:val="none"/>
              </w:rPr>
              <w:t xml:space="preserve">Outras Obrigações </w:t>
            </w:r>
          </w:p>
        </w:tc>
        <w:tc>
          <w:tcPr>
            <w:tcW w:w="861" w:type="pct"/>
            <w:tcBorders>
              <w:top w:val="nil"/>
              <w:left w:val="nil"/>
              <w:bottom w:val="single" w:sz="8" w:space="0" w:color="auto"/>
              <w:right w:val="single" w:sz="8" w:space="0" w:color="auto"/>
            </w:tcBorders>
            <w:shd w:val="clear" w:color="auto" w:fill="auto"/>
            <w:noWrap/>
            <w:vAlign w:val="center"/>
            <w:hideMark/>
          </w:tcPr>
          <w:p w14:paraId="3860154A" w14:textId="77777777" w:rsidR="00F07126" w:rsidRPr="00F07126" w:rsidRDefault="00F07126" w:rsidP="00F07126">
            <w:pPr>
              <w:spacing w:after="0" w:line="240" w:lineRule="auto"/>
              <w:jc w:val="right"/>
              <w:rPr>
                <w:rFonts w:ascii="Arial" w:eastAsia="Times New Roman" w:hAnsi="Arial" w:cs="Arial"/>
                <w:color w:val="000000"/>
                <w:kern w:val="0"/>
                <w:sz w:val="18"/>
                <w:szCs w:val="18"/>
                <w:lang w:eastAsia="pt-BR"/>
                <w14:ligatures w14:val="none"/>
              </w:rPr>
            </w:pPr>
            <w:r w:rsidRPr="00F07126">
              <w:rPr>
                <w:rFonts w:ascii="Arial" w:eastAsia="Times New Roman" w:hAnsi="Arial" w:cs="Arial"/>
                <w:color w:val="000000"/>
                <w:kern w:val="0"/>
                <w:sz w:val="18"/>
                <w:szCs w:val="18"/>
                <w:lang w:eastAsia="pt-BR"/>
                <w14:ligatures w14:val="none"/>
              </w:rPr>
              <w:t>229</w:t>
            </w:r>
          </w:p>
        </w:tc>
        <w:tc>
          <w:tcPr>
            <w:tcW w:w="861" w:type="pct"/>
            <w:tcBorders>
              <w:top w:val="nil"/>
              <w:left w:val="nil"/>
              <w:bottom w:val="single" w:sz="8" w:space="0" w:color="auto"/>
              <w:right w:val="single" w:sz="8" w:space="0" w:color="auto"/>
            </w:tcBorders>
            <w:shd w:val="clear" w:color="auto" w:fill="auto"/>
            <w:noWrap/>
            <w:vAlign w:val="center"/>
            <w:hideMark/>
          </w:tcPr>
          <w:p w14:paraId="591D9923" w14:textId="77777777" w:rsidR="00F07126" w:rsidRPr="00F07126" w:rsidRDefault="00F07126" w:rsidP="00F07126">
            <w:pPr>
              <w:spacing w:after="0" w:line="240" w:lineRule="auto"/>
              <w:jc w:val="right"/>
              <w:rPr>
                <w:rFonts w:ascii="Arial" w:eastAsia="Times New Roman" w:hAnsi="Arial" w:cs="Arial"/>
                <w:color w:val="000000"/>
                <w:kern w:val="0"/>
                <w:sz w:val="18"/>
                <w:szCs w:val="18"/>
                <w:lang w:eastAsia="pt-BR"/>
                <w14:ligatures w14:val="none"/>
              </w:rPr>
            </w:pPr>
            <w:r w:rsidRPr="00F07126">
              <w:rPr>
                <w:rFonts w:ascii="Arial" w:eastAsia="Times New Roman" w:hAnsi="Arial" w:cs="Arial"/>
                <w:color w:val="000000"/>
                <w:kern w:val="0"/>
                <w:sz w:val="18"/>
                <w:szCs w:val="18"/>
                <w:lang w:eastAsia="pt-BR"/>
                <w14:ligatures w14:val="none"/>
              </w:rPr>
              <w:t>229</w:t>
            </w:r>
          </w:p>
        </w:tc>
      </w:tr>
      <w:tr w:rsidR="00F07126" w:rsidRPr="00F07126" w14:paraId="19099904" w14:textId="77777777" w:rsidTr="00446A14">
        <w:trPr>
          <w:trHeight w:val="238"/>
        </w:trPr>
        <w:tc>
          <w:tcPr>
            <w:tcW w:w="3278" w:type="pct"/>
            <w:tcBorders>
              <w:top w:val="nil"/>
              <w:left w:val="single" w:sz="8" w:space="0" w:color="auto"/>
              <w:bottom w:val="single" w:sz="8" w:space="0" w:color="auto"/>
              <w:right w:val="single" w:sz="8" w:space="0" w:color="auto"/>
            </w:tcBorders>
            <w:shd w:val="clear" w:color="auto" w:fill="auto"/>
            <w:vAlign w:val="center"/>
            <w:hideMark/>
          </w:tcPr>
          <w:p w14:paraId="1DE37F4E" w14:textId="77777777" w:rsidR="00F07126" w:rsidRPr="00F07126" w:rsidRDefault="00F07126" w:rsidP="00F07126">
            <w:pPr>
              <w:spacing w:after="0" w:line="240" w:lineRule="auto"/>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Total</w:t>
            </w:r>
          </w:p>
        </w:tc>
        <w:tc>
          <w:tcPr>
            <w:tcW w:w="861" w:type="pct"/>
            <w:tcBorders>
              <w:top w:val="nil"/>
              <w:left w:val="nil"/>
              <w:bottom w:val="single" w:sz="8" w:space="0" w:color="auto"/>
              <w:right w:val="single" w:sz="8" w:space="0" w:color="auto"/>
            </w:tcBorders>
            <w:shd w:val="clear" w:color="auto" w:fill="auto"/>
            <w:noWrap/>
            <w:vAlign w:val="center"/>
            <w:hideMark/>
          </w:tcPr>
          <w:p w14:paraId="3B97A04A" w14:textId="77777777" w:rsidR="00F07126" w:rsidRPr="00F07126" w:rsidRDefault="00F07126" w:rsidP="00F07126">
            <w:pPr>
              <w:spacing w:after="0" w:line="240" w:lineRule="auto"/>
              <w:jc w:val="right"/>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5.018</w:t>
            </w:r>
          </w:p>
        </w:tc>
        <w:tc>
          <w:tcPr>
            <w:tcW w:w="861" w:type="pct"/>
            <w:tcBorders>
              <w:top w:val="nil"/>
              <w:left w:val="nil"/>
              <w:bottom w:val="single" w:sz="8" w:space="0" w:color="auto"/>
              <w:right w:val="single" w:sz="8" w:space="0" w:color="auto"/>
            </w:tcBorders>
            <w:shd w:val="clear" w:color="auto" w:fill="auto"/>
            <w:noWrap/>
            <w:vAlign w:val="center"/>
            <w:hideMark/>
          </w:tcPr>
          <w:p w14:paraId="42ECFF44" w14:textId="77777777" w:rsidR="00F07126" w:rsidRPr="00F07126" w:rsidRDefault="00F07126" w:rsidP="00F07126">
            <w:pPr>
              <w:spacing w:after="0" w:line="240" w:lineRule="auto"/>
              <w:jc w:val="right"/>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3.154</w:t>
            </w:r>
          </w:p>
        </w:tc>
      </w:tr>
      <w:tr w:rsidR="00F07126" w:rsidRPr="00F07126" w14:paraId="5CC76712" w14:textId="77777777" w:rsidTr="00446A14">
        <w:trPr>
          <w:trHeight w:val="238"/>
        </w:trPr>
        <w:tc>
          <w:tcPr>
            <w:tcW w:w="3278" w:type="pct"/>
            <w:tcBorders>
              <w:top w:val="nil"/>
              <w:left w:val="single" w:sz="8" w:space="0" w:color="auto"/>
              <w:bottom w:val="single" w:sz="8" w:space="0" w:color="auto"/>
              <w:right w:val="single" w:sz="8" w:space="0" w:color="auto"/>
            </w:tcBorders>
            <w:shd w:val="clear" w:color="auto" w:fill="auto"/>
            <w:vAlign w:val="center"/>
            <w:hideMark/>
          </w:tcPr>
          <w:p w14:paraId="203FE29B" w14:textId="77777777" w:rsidR="00F07126" w:rsidRPr="00F07126" w:rsidRDefault="00F07126" w:rsidP="00F07126">
            <w:pPr>
              <w:spacing w:after="0" w:line="240" w:lineRule="auto"/>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Circulante</w:t>
            </w:r>
          </w:p>
        </w:tc>
        <w:tc>
          <w:tcPr>
            <w:tcW w:w="861" w:type="pct"/>
            <w:tcBorders>
              <w:top w:val="nil"/>
              <w:left w:val="nil"/>
              <w:bottom w:val="single" w:sz="8" w:space="0" w:color="auto"/>
              <w:right w:val="single" w:sz="8" w:space="0" w:color="auto"/>
            </w:tcBorders>
            <w:shd w:val="clear" w:color="auto" w:fill="auto"/>
            <w:noWrap/>
            <w:vAlign w:val="center"/>
            <w:hideMark/>
          </w:tcPr>
          <w:p w14:paraId="4DE517F8" w14:textId="77777777" w:rsidR="00F07126" w:rsidRPr="00F07126" w:rsidRDefault="00F07126" w:rsidP="00F07126">
            <w:pPr>
              <w:spacing w:after="0" w:line="240" w:lineRule="auto"/>
              <w:jc w:val="right"/>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5.018</w:t>
            </w:r>
          </w:p>
        </w:tc>
        <w:tc>
          <w:tcPr>
            <w:tcW w:w="861" w:type="pct"/>
            <w:tcBorders>
              <w:top w:val="nil"/>
              <w:left w:val="nil"/>
              <w:bottom w:val="single" w:sz="8" w:space="0" w:color="auto"/>
              <w:right w:val="single" w:sz="8" w:space="0" w:color="auto"/>
            </w:tcBorders>
            <w:shd w:val="clear" w:color="auto" w:fill="auto"/>
            <w:noWrap/>
            <w:vAlign w:val="center"/>
            <w:hideMark/>
          </w:tcPr>
          <w:p w14:paraId="68D55FC1" w14:textId="77777777" w:rsidR="00F07126" w:rsidRPr="00F07126" w:rsidRDefault="00F07126" w:rsidP="00F07126">
            <w:pPr>
              <w:spacing w:after="0" w:line="240" w:lineRule="auto"/>
              <w:jc w:val="right"/>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3.154</w:t>
            </w:r>
          </w:p>
        </w:tc>
      </w:tr>
    </w:tbl>
    <w:p w14:paraId="6493674F" w14:textId="73900EF0" w:rsidR="00F07126" w:rsidRPr="00F07126" w:rsidRDefault="00F07126" w:rsidP="00F07126">
      <w:pPr>
        <w:autoSpaceDE w:val="0"/>
        <w:autoSpaceDN w:val="0"/>
        <w:adjustRightInd w:val="0"/>
        <w:spacing w:after="0" w:line="240" w:lineRule="auto"/>
        <w:jc w:val="both"/>
        <w:rPr>
          <w:rFonts w:ascii="Calibri" w:eastAsia="Times New Roman" w:hAnsi="Calibri" w:cs="Calibri"/>
          <w:b/>
          <w:bCs/>
          <w:iCs/>
          <w:color w:val="002060"/>
          <w:kern w:val="0"/>
          <w14:ligatures w14:val="none"/>
        </w:rPr>
      </w:pPr>
      <w:bookmarkStart w:id="426" w:name="_Toc491337763"/>
      <w:r>
        <w:rPr>
          <w:rFonts w:ascii="Calibri" w:eastAsia="Times New Roman" w:hAnsi="Calibri" w:cs="Calibri"/>
          <w:b/>
          <w:bCs/>
          <w:iCs/>
          <w:color w:val="002060"/>
          <w:kern w:val="0"/>
          <w14:ligatures w14:val="none"/>
        </w:rPr>
        <w:t xml:space="preserve">27. </w:t>
      </w:r>
      <w:r w:rsidRPr="00F07126">
        <w:rPr>
          <w:rFonts w:ascii="Calibri" w:eastAsia="Times New Roman" w:hAnsi="Calibri" w:cs="Calibri"/>
          <w:b/>
          <w:bCs/>
          <w:iCs/>
          <w:color w:val="002060"/>
          <w:kern w:val="0"/>
          <w14:ligatures w14:val="none"/>
        </w:rPr>
        <w:t>PATRIMÔNIO LÍQUIDO</w:t>
      </w:r>
      <w:bookmarkEnd w:id="426"/>
    </w:p>
    <w:p w14:paraId="447886D8" w14:textId="3F2BC0BF" w:rsidR="00F07126" w:rsidRPr="00F07126" w:rsidRDefault="00F07126" w:rsidP="00F07126">
      <w:pPr>
        <w:autoSpaceDE w:val="0"/>
        <w:autoSpaceDN w:val="0"/>
        <w:adjustRightInd w:val="0"/>
        <w:spacing w:after="0" w:line="240" w:lineRule="auto"/>
        <w:jc w:val="both"/>
        <w:rPr>
          <w:rFonts w:ascii="Calibri" w:eastAsia="Times New Roman" w:hAnsi="Calibri" w:cs="Calibri"/>
          <w:b/>
          <w:bCs/>
          <w:iCs/>
          <w:color w:val="002060"/>
          <w:kern w:val="0"/>
          <w14:ligatures w14:val="none"/>
        </w:rPr>
      </w:pPr>
      <w:bookmarkStart w:id="427" w:name="_Toc491337764"/>
      <w:r>
        <w:rPr>
          <w:rFonts w:ascii="Calibri" w:eastAsia="Times New Roman" w:hAnsi="Calibri" w:cs="Calibri"/>
          <w:b/>
          <w:bCs/>
          <w:iCs/>
          <w:color w:val="002060"/>
          <w:kern w:val="0"/>
          <w14:ligatures w14:val="none"/>
        </w:rPr>
        <w:t xml:space="preserve">27.1. </w:t>
      </w:r>
      <w:r w:rsidRPr="00F07126">
        <w:rPr>
          <w:rFonts w:ascii="Calibri" w:eastAsia="Times New Roman" w:hAnsi="Calibri" w:cs="Calibri"/>
          <w:b/>
          <w:bCs/>
          <w:iCs/>
          <w:color w:val="002060"/>
          <w:kern w:val="0"/>
          <w14:ligatures w14:val="none"/>
        </w:rPr>
        <w:t>Capital social</w:t>
      </w:r>
      <w:bookmarkEnd w:id="427"/>
    </w:p>
    <w:p w14:paraId="673763F3" w14:textId="77777777" w:rsidR="00F07126" w:rsidRPr="00F07126" w:rsidRDefault="00F07126" w:rsidP="00F07126">
      <w:pPr>
        <w:autoSpaceDE w:val="0"/>
        <w:autoSpaceDN w:val="0"/>
        <w:adjustRightInd w:val="0"/>
        <w:spacing w:after="0" w:line="240" w:lineRule="auto"/>
        <w:jc w:val="both"/>
        <w:rPr>
          <w:rFonts w:ascii="Calibri" w:eastAsia="Times New Roman" w:hAnsi="Calibri" w:cs="Calibri"/>
          <w:iCs/>
          <w:color w:val="002060"/>
          <w:kern w:val="0"/>
          <w14:ligatures w14:val="none"/>
        </w:rPr>
      </w:pPr>
      <w:r w:rsidRPr="00F07126">
        <w:rPr>
          <w:rFonts w:ascii="Calibri" w:eastAsia="Times New Roman" w:hAnsi="Calibri" w:cs="Calibri"/>
          <w:iCs/>
          <w:color w:val="002060"/>
          <w:kern w:val="0"/>
          <w14:ligatures w14:val="none"/>
        </w:rPr>
        <w:t>O capital social subscrito e integralizado em 31 de dezembro de 2023 e 2022 é de R$ 3.474.498, representado por ações ordinárias e preferenciais sem valor nominal.</w:t>
      </w:r>
    </w:p>
    <w:p w14:paraId="64F485F5" w14:textId="4FE40573" w:rsidR="00F07126" w:rsidRPr="00F07126" w:rsidRDefault="00F07126" w:rsidP="00F07126">
      <w:pPr>
        <w:autoSpaceDE w:val="0"/>
        <w:autoSpaceDN w:val="0"/>
        <w:adjustRightInd w:val="0"/>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27.2. </w:t>
      </w:r>
      <w:r w:rsidRPr="00F07126">
        <w:rPr>
          <w:rFonts w:ascii="Calibri" w:eastAsia="Times New Roman" w:hAnsi="Calibri" w:cs="Calibri"/>
          <w:b/>
          <w:bCs/>
          <w:iCs/>
          <w:color w:val="002060"/>
          <w:kern w:val="0"/>
          <w14:ligatures w14:val="none"/>
        </w:rPr>
        <w:t>Composição acionária</w:t>
      </w:r>
    </w:p>
    <w:p w14:paraId="61C0D355" w14:textId="77777777" w:rsidR="00F07126" w:rsidRPr="00F07126" w:rsidRDefault="00F07126" w:rsidP="00F07126">
      <w:pPr>
        <w:autoSpaceDE w:val="0"/>
        <w:autoSpaceDN w:val="0"/>
        <w:adjustRightInd w:val="0"/>
        <w:spacing w:after="0" w:line="240" w:lineRule="auto"/>
        <w:jc w:val="both"/>
        <w:rPr>
          <w:rFonts w:ascii="Calibri" w:eastAsia="Times New Roman" w:hAnsi="Calibri" w:cs="Calibri"/>
          <w:iCs/>
          <w:color w:val="002060"/>
          <w:kern w:val="0"/>
          <w14:ligatures w14:val="none"/>
        </w:rPr>
      </w:pPr>
      <w:r w:rsidRPr="00F07126">
        <w:rPr>
          <w:rFonts w:ascii="Calibri" w:eastAsia="Times New Roman" w:hAnsi="Calibri" w:cs="Calibri"/>
          <w:iCs/>
          <w:color w:val="002060"/>
          <w:kern w:val="0"/>
          <w14:ligatures w14:val="none"/>
        </w:rPr>
        <w:t>A composição acionária em 31 de dezembro de 2023 está apresentada no quadro a seguir:</w:t>
      </w:r>
    </w:p>
    <w:tbl>
      <w:tblPr>
        <w:tblW w:w="5000" w:type="pct"/>
        <w:tblCellMar>
          <w:left w:w="70" w:type="dxa"/>
          <w:right w:w="70" w:type="dxa"/>
        </w:tblCellMar>
        <w:tblLook w:val="04A0" w:firstRow="1" w:lastRow="0" w:firstColumn="1" w:lastColumn="0" w:noHBand="0" w:noVBand="1"/>
      </w:tblPr>
      <w:tblGrid>
        <w:gridCol w:w="1779"/>
        <w:gridCol w:w="1046"/>
        <w:gridCol w:w="851"/>
        <w:gridCol w:w="1415"/>
        <w:gridCol w:w="994"/>
        <w:gridCol w:w="816"/>
        <w:gridCol w:w="1146"/>
        <w:gridCol w:w="941"/>
        <w:gridCol w:w="773"/>
      </w:tblGrid>
      <w:tr w:rsidR="00F07126" w:rsidRPr="00F07126" w14:paraId="518F0641" w14:textId="77777777" w:rsidTr="00446A14">
        <w:trPr>
          <w:trHeight w:val="238"/>
        </w:trPr>
        <w:tc>
          <w:tcPr>
            <w:tcW w:w="1883" w:type="pct"/>
            <w:gridSpan w:val="3"/>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344856D2" w14:textId="77777777" w:rsidR="00F07126" w:rsidRPr="00F07126" w:rsidRDefault="00F07126" w:rsidP="00F07126">
            <w:pPr>
              <w:spacing w:after="0" w:line="240" w:lineRule="auto"/>
              <w:jc w:val="center"/>
              <w:rPr>
                <w:rFonts w:ascii="Arial" w:eastAsia="Times New Roman" w:hAnsi="Arial" w:cs="Arial"/>
                <w:b/>
                <w:bCs/>
                <w:color w:val="000000"/>
                <w:kern w:val="0"/>
                <w:sz w:val="16"/>
                <w:szCs w:val="16"/>
                <w:lang w:eastAsia="pt-BR"/>
                <w14:ligatures w14:val="none"/>
              </w:rPr>
            </w:pPr>
            <w:r w:rsidRPr="00F07126">
              <w:rPr>
                <w:rFonts w:ascii="Arial" w:eastAsia="Times New Roman" w:hAnsi="Arial" w:cs="Arial"/>
                <w:b/>
                <w:bCs/>
                <w:color w:val="000000"/>
                <w:kern w:val="0"/>
                <w:sz w:val="16"/>
                <w:szCs w:val="16"/>
                <w:lang w:eastAsia="pt-BR"/>
                <w14:ligatures w14:val="none"/>
              </w:rPr>
              <w:t>Ordinárias</w:t>
            </w:r>
          </w:p>
        </w:tc>
        <w:tc>
          <w:tcPr>
            <w:tcW w:w="1652"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563792C0" w14:textId="77777777" w:rsidR="00F07126" w:rsidRPr="00F07126" w:rsidRDefault="00F07126" w:rsidP="00F07126">
            <w:pPr>
              <w:spacing w:after="0" w:line="240" w:lineRule="auto"/>
              <w:jc w:val="center"/>
              <w:rPr>
                <w:rFonts w:ascii="Arial" w:eastAsia="Times New Roman" w:hAnsi="Arial" w:cs="Arial"/>
                <w:b/>
                <w:bCs/>
                <w:color w:val="000000"/>
                <w:kern w:val="0"/>
                <w:sz w:val="16"/>
                <w:szCs w:val="16"/>
                <w:lang w:eastAsia="pt-BR"/>
                <w14:ligatures w14:val="none"/>
              </w:rPr>
            </w:pPr>
            <w:r w:rsidRPr="00F07126">
              <w:rPr>
                <w:rFonts w:ascii="Arial" w:eastAsia="Times New Roman" w:hAnsi="Arial" w:cs="Arial"/>
                <w:b/>
                <w:bCs/>
                <w:color w:val="000000"/>
                <w:kern w:val="0"/>
                <w:sz w:val="16"/>
                <w:szCs w:val="16"/>
                <w:lang w:eastAsia="pt-BR"/>
                <w14:ligatures w14:val="none"/>
              </w:rPr>
              <w:t>Preferenciais</w:t>
            </w:r>
          </w:p>
        </w:tc>
        <w:tc>
          <w:tcPr>
            <w:tcW w:w="1465"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2D05C623" w14:textId="77777777" w:rsidR="00F07126" w:rsidRPr="00F07126" w:rsidRDefault="00F07126" w:rsidP="00F07126">
            <w:pPr>
              <w:spacing w:after="0" w:line="240" w:lineRule="auto"/>
              <w:jc w:val="center"/>
              <w:rPr>
                <w:rFonts w:ascii="Arial" w:eastAsia="Times New Roman" w:hAnsi="Arial" w:cs="Arial"/>
                <w:b/>
                <w:bCs/>
                <w:color w:val="000000"/>
                <w:kern w:val="0"/>
                <w:sz w:val="16"/>
                <w:szCs w:val="16"/>
                <w:lang w:eastAsia="pt-BR"/>
                <w14:ligatures w14:val="none"/>
              </w:rPr>
            </w:pPr>
            <w:r w:rsidRPr="00F07126">
              <w:rPr>
                <w:rFonts w:ascii="Arial" w:eastAsia="Times New Roman" w:hAnsi="Arial" w:cs="Arial"/>
                <w:b/>
                <w:bCs/>
                <w:color w:val="000000"/>
                <w:kern w:val="0"/>
                <w:sz w:val="16"/>
                <w:szCs w:val="16"/>
                <w:lang w:eastAsia="pt-BR"/>
                <w14:ligatures w14:val="none"/>
              </w:rPr>
              <w:t>Total</w:t>
            </w:r>
          </w:p>
        </w:tc>
      </w:tr>
      <w:tr w:rsidR="00F07126" w:rsidRPr="00F07126" w14:paraId="165E77DF" w14:textId="77777777" w:rsidTr="00446A14">
        <w:trPr>
          <w:trHeight w:val="238"/>
        </w:trPr>
        <w:tc>
          <w:tcPr>
            <w:tcW w:w="911" w:type="pct"/>
            <w:tcBorders>
              <w:top w:val="nil"/>
              <w:left w:val="single" w:sz="8" w:space="0" w:color="auto"/>
              <w:bottom w:val="single" w:sz="8" w:space="0" w:color="auto"/>
              <w:right w:val="single" w:sz="8" w:space="0" w:color="auto"/>
            </w:tcBorders>
            <w:shd w:val="clear" w:color="000000" w:fill="D9D9D9"/>
            <w:vAlign w:val="center"/>
            <w:hideMark/>
          </w:tcPr>
          <w:p w14:paraId="76EFC7C6" w14:textId="77777777" w:rsidR="00F07126" w:rsidRPr="00F07126" w:rsidRDefault="00F07126" w:rsidP="00F07126">
            <w:pPr>
              <w:spacing w:after="0" w:line="240" w:lineRule="auto"/>
              <w:jc w:val="center"/>
              <w:rPr>
                <w:rFonts w:ascii="Arial" w:eastAsia="Times New Roman" w:hAnsi="Arial" w:cs="Arial"/>
                <w:b/>
                <w:bCs/>
                <w:color w:val="000000"/>
                <w:kern w:val="0"/>
                <w:sz w:val="16"/>
                <w:szCs w:val="16"/>
                <w:lang w:eastAsia="pt-BR"/>
                <w14:ligatures w14:val="none"/>
              </w:rPr>
            </w:pPr>
            <w:r w:rsidRPr="00F07126">
              <w:rPr>
                <w:rFonts w:ascii="Arial" w:eastAsia="Times New Roman" w:hAnsi="Arial" w:cs="Arial"/>
                <w:b/>
                <w:bCs/>
                <w:color w:val="000000"/>
                <w:kern w:val="0"/>
                <w:sz w:val="16"/>
                <w:szCs w:val="16"/>
                <w:lang w:eastAsia="pt-BR"/>
                <w14:ligatures w14:val="none"/>
              </w:rPr>
              <w:t>Acionista</w:t>
            </w:r>
          </w:p>
        </w:tc>
        <w:tc>
          <w:tcPr>
            <w:tcW w:w="536" w:type="pct"/>
            <w:tcBorders>
              <w:top w:val="nil"/>
              <w:left w:val="nil"/>
              <w:bottom w:val="single" w:sz="8" w:space="0" w:color="auto"/>
              <w:right w:val="single" w:sz="8" w:space="0" w:color="auto"/>
            </w:tcBorders>
            <w:shd w:val="clear" w:color="000000" w:fill="D9D9D9"/>
            <w:vAlign w:val="center"/>
            <w:hideMark/>
          </w:tcPr>
          <w:p w14:paraId="67CFE0CD" w14:textId="77777777" w:rsidR="00F07126" w:rsidRPr="00F07126" w:rsidRDefault="00F07126" w:rsidP="00F07126">
            <w:pPr>
              <w:spacing w:after="0" w:line="240" w:lineRule="auto"/>
              <w:jc w:val="center"/>
              <w:rPr>
                <w:rFonts w:ascii="Arial" w:eastAsia="Times New Roman" w:hAnsi="Arial" w:cs="Arial"/>
                <w:b/>
                <w:bCs/>
                <w:color w:val="000000"/>
                <w:kern w:val="0"/>
                <w:sz w:val="16"/>
                <w:szCs w:val="16"/>
                <w:lang w:eastAsia="pt-BR"/>
                <w14:ligatures w14:val="none"/>
              </w:rPr>
            </w:pPr>
            <w:proofErr w:type="spellStart"/>
            <w:r w:rsidRPr="00F07126">
              <w:rPr>
                <w:rFonts w:ascii="Arial" w:eastAsia="Times New Roman" w:hAnsi="Arial" w:cs="Arial"/>
                <w:b/>
                <w:bCs/>
                <w:color w:val="000000"/>
                <w:kern w:val="0"/>
                <w:sz w:val="16"/>
                <w:szCs w:val="16"/>
                <w:lang w:eastAsia="pt-BR"/>
                <w14:ligatures w14:val="none"/>
              </w:rPr>
              <w:t>Qtde</w:t>
            </w:r>
            <w:proofErr w:type="spellEnd"/>
            <w:r w:rsidRPr="00F07126">
              <w:rPr>
                <w:rFonts w:ascii="Arial" w:eastAsia="Times New Roman" w:hAnsi="Arial" w:cs="Arial"/>
                <w:b/>
                <w:bCs/>
                <w:color w:val="000000"/>
                <w:kern w:val="0"/>
                <w:sz w:val="16"/>
                <w:szCs w:val="16"/>
                <w:lang w:eastAsia="pt-BR"/>
                <w14:ligatures w14:val="none"/>
              </w:rPr>
              <w:t xml:space="preserve"> de Ações</w:t>
            </w:r>
          </w:p>
        </w:tc>
        <w:tc>
          <w:tcPr>
            <w:tcW w:w="436" w:type="pct"/>
            <w:tcBorders>
              <w:top w:val="nil"/>
              <w:left w:val="nil"/>
              <w:bottom w:val="single" w:sz="8" w:space="0" w:color="auto"/>
              <w:right w:val="single" w:sz="8" w:space="0" w:color="auto"/>
            </w:tcBorders>
            <w:shd w:val="clear" w:color="000000" w:fill="D9D9D9"/>
            <w:vAlign w:val="center"/>
            <w:hideMark/>
          </w:tcPr>
          <w:p w14:paraId="2CF00BA4" w14:textId="77777777" w:rsidR="00F07126" w:rsidRPr="00F07126" w:rsidRDefault="00F07126" w:rsidP="00F07126">
            <w:pPr>
              <w:spacing w:after="0" w:line="240" w:lineRule="auto"/>
              <w:jc w:val="center"/>
              <w:rPr>
                <w:rFonts w:ascii="Arial" w:eastAsia="Times New Roman" w:hAnsi="Arial" w:cs="Arial"/>
                <w:b/>
                <w:bCs/>
                <w:color w:val="000000"/>
                <w:kern w:val="0"/>
                <w:sz w:val="16"/>
                <w:szCs w:val="16"/>
                <w:lang w:eastAsia="pt-BR"/>
                <w14:ligatures w14:val="none"/>
              </w:rPr>
            </w:pPr>
            <w:r w:rsidRPr="00F07126">
              <w:rPr>
                <w:rFonts w:ascii="Arial" w:eastAsia="Times New Roman" w:hAnsi="Arial" w:cs="Arial"/>
                <w:b/>
                <w:bCs/>
                <w:color w:val="000000"/>
                <w:kern w:val="0"/>
                <w:sz w:val="16"/>
                <w:szCs w:val="16"/>
                <w:lang w:eastAsia="pt-BR"/>
                <w14:ligatures w14:val="none"/>
              </w:rPr>
              <w:t>%</w:t>
            </w:r>
          </w:p>
        </w:tc>
        <w:tc>
          <w:tcPr>
            <w:tcW w:w="725" w:type="pct"/>
            <w:tcBorders>
              <w:top w:val="nil"/>
              <w:left w:val="nil"/>
              <w:bottom w:val="single" w:sz="8" w:space="0" w:color="auto"/>
              <w:right w:val="single" w:sz="8" w:space="0" w:color="auto"/>
            </w:tcBorders>
            <w:shd w:val="clear" w:color="000000" w:fill="D9D9D9"/>
            <w:vAlign w:val="center"/>
            <w:hideMark/>
          </w:tcPr>
          <w:p w14:paraId="0FFB4D07" w14:textId="77777777" w:rsidR="00F07126" w:rsidRPr="00F07126" w:rsidRDefault="00F07126" w:rsidP="00F07126">
            <w:pPr>
              <w:spacing w:after="0" w:line="240" w:lineRule="auto"/>
              <w:jc w:val="center"/>
              <w:rPr>
                <w:rFonts w:ascii="Arial" w:eastAsia="Times New Roman" w:hAnsi="Arial" w:cs="Arial"/>
                <w:b/>
                <w:bCs/>
                <w:color w:val="000000"/>
                <w:kern w:val="0"/>
                <w:sz w:val="16"/>
                <w:szCs w:val="16"/>
                <w:lang w:eastAsia="pt-BR"/>
                <w14:ligatures w14:val="none"/>
              </w:rPr>
            </w:pPr>
            <w:r w:rsidRPr="00F07126">
              <w:rPr>
                <w:rFonts w:ascii="Arial" w:eastAsia="Times New Roman" w:hAnsi="Arial" w:cs="Arial"/>
                <w:b/>
                <w:bCs/>
                <w:color w:val="000000"/>
                <w:kern w:val="0"/>
                <w:sz w:val="16"/>
                <w:szCs w:val="16"/>
                <w:lang w:eastAsia="pt-BR"/>
                <w14:ligatures w14:val="none"/>
              </w:rPr>
              <w:t>Acionista</w:t>
            </w:r>
          </w:p>
        </w:tc>
        <w:tc>
          <w:tcPr>
            <w:tcW w:w="509" w:type="pct"/>
            <w:tcBorders>
              <w:top w:val="nil"/>
              <w:left w:val="nil"/>
              <w:bottom w:val="single" w:sz="8" w:space="0" w:color="auto"/>
              <w:right w:val="single" w:sz="8" w:space="0" w:color="auto"/>
            </w:tcBorders>
            <w:shd w:val="clear" w:color="000000" w:fill="D9D9D9"/>
            <w:vAlign w:val="center"/>
            <w:hideMark/>
          </w:tcPr>
          <w:p w14:paraId="36C6ACBB" w14:textId="77777777" w:rsidR="00F07126" w:rsidRPr="00F07126" w:rsidRDefault="00F07126" w:rsidP="00F07126">
            <w:pPr>
              <w:spacing w:after="0" w:line="240" w:lineRule="auto"/>
              <w:jc w:val="center"/>
              <w:rPr>
                <w:rFonts w:ascii="Arial" w:eastAsia="Times New Roman" w:hAnsi="Arial" w:cs="Arial"/>
                <w:b/>
                <w:bCs/>
                <w:color w:val="000000"/>
                <w:kern w:val="0"/>
                <w:sz w:val="16"/>
                <w:szCs w:val="16"/>
                <w:lang w:eastAsia="pt-BR"/>
                <w14:ligatures w14:val="none"/>
              </w:rPr>
            </w:pPr>
            <w:proofErr w:type="spellStart"/>
            <w:r w:rsidRPr="00F07126">
              <w:rPr>
                <w:rFonts w:ascii="Arial" w:eastAsia="Times New Roman" w:hAnsi="Arial" w:cs="Arial"/>
                <w:b/>
                <w:bCs/>
                <w:color w:val="000000"/>
                <w:kern w:val="0"/>
                <w:sz w:val="16"/>
                <w:szCs w:val="16"/>
                <w:lang w:eastAsia="pt-BR"/>
                <w14:ligatures w14:val="none"/>
              </w:rPr>
              <w:t>Qtde</w:t>
            </w:r>
            <w:proofErr w:type="spellEnd"/>
            <w:r w:rsidRPr="00F07126">
              <w:rPr>
                <w:rFonts w:ascii="Arial" w:eastAsia="Times New Roman" w:hAnsi="Arial" w:cs="Arial"/>
                <w:b/>
                <w:bCs/>
                <w:color w:val="000000"/>
                <w:kern w:val="0"/>
                <w:sz w:val="16"/>
                <w:szCs w:val="16"/>
                <w:lang w:eastAsia="pt-BR"/>
                <w14:ligatures w14:val="none"/>
              </w:rPr>
              <w:t xml:space="preserve"> de Ações</w:t>
            </w:r>
          </w:p>
        </w:tc>
        <w:tc>
          <w:tcPr>
            <w:tcW w:w="418" w:type="pct"/>
            <w:tcBorders>
              <w:top w:val="nil"/>
              <w:left w:val="nil"/>
              <w:bottom w:val="single" w:sz="8" w:space="0" w:color="auto"/>
              <w:right w:val="single" w:sz="8" w:space="0" w:color="auto"/>
            </w:tcBorders>
            <w:shd w:val="clear" w:color="000000" w:fill="D9D9D9"/>
            <w:vAlign w:val="center"/>
            <w:hideMark/>
          </w:tcPr>
          <w:p w14:paraId="7EDD5BB2" w14:textId="77777777" w:rsidR="00F07126" w:rsidRPr="00F07126" w:rsidRDefault="00F07126" w:rsidP="00F07126">
            <w:pPr>
              <w:spacing w:after="0" w:line="240" w:lineRule="auto"/>
              <w:jc w:val="center"/>
              <w:rPr>
                <w:rFonts w:ascii="Arial" w:eastAsia="Times New Roman" w:hAnsi="Arial" w:cs="Arial"/>
                <w:b/>
                <w:bCs/>
                <w:color w:val="000000"/>
                <w:kern w:val="0"/>
                <w:sz w:val="16"/>
                <w:szCs w:val="16"/>
                <w:lang w:eastAsia="pt-BR"/>
                <w14:ligatures w14:val="none"/>
              </w:rPr>
            </w:pPr>
            <w:r w:rsidRPr="00F07126">
              <w:rPr>
                <w:rFonts w:ascii="Arial" w:eastAsia="Times New Roman" w:hAnsi="Arial" w:cs="Arial"/>
                <w:b/>
                <w:bCs/>
                <w:color w:val="000000"/>
                <w:kern w:val="0"/>
                <w:sz w:val="16"/>
                <w:szCs w:val="16"/>
                <w:lang w:eastAsia="pt-BR"/>
                <w14:ligatures w14:val="none"/>
              </w:rPr>
              <w:t>%</w:t>
            </w:r>
          </w:p>
        </w:tc>
        <w:tc>
          <w:tcPr>
            <w:tcW w:w="587" w:type="pct"/>
            <w:tcBorders>
              <w:top w:val="nil"/>
              <w:left w:val="nil"/>
              <w:bottom w:val="single" w:sz="8" w:space="0" w:color="auto"/>
              <w:right w:val="single" w:sz="8" w:space="0" w:color="auto"/>
            </w:tcBorders>
            <w:shd w:val="clear" w:color="000000" w:fill="D9D9D9"/>
            <w:vAlign w:val="center"/>
            <w:hideMark/>
          </w:tcPr>
          <w:p w14:paraId="0D13ACBC" w14:textId="77777777" w:rsidR="00F07126" w:rsidRPr="00F07126" w:rsidRDefault="00F07126" w:rsidP="00F07126">
            <w:pPr>
              <w:spacing w:after="0" w:line="240" w:lineRule="auto"/>
              <w:jc w:val="center"/>
              <w:rPr>
                <w:rFonts w:ascii="Arial" w:eastAsia="Times New Roman" w:hAnsi="Arial" w:cs="Arial"/>
                <w:b/>
                <w:bCs/>
                <w:color w:val="000000"/>
                <w:kern w:val="0"/>
                <w:sz w:val="16"/>
                <w:szCs w:val="16"/>
                <w:lang w:eastAsia="pt-BR"/>
                <w14:ligatures w14:val="none"/>
              </w:rPr>
            </w:pPr>
            <w:r w:rsidRPr="00F07126">
              <w:rPr>
                <w:rFonts w:ascii="Arial" w:eastAsia="Times New Roman" w:hAnsi="Arial" w:cs="Arial"/>
                <w:b/>
                <w:bCs/>
                <w:color w:val="000000"/>
                <w:kern w:val="0"/>
                <w:sz w:val="16"/>
                <w:szCs w:val="16"/>
                <w:lang w:eastAsia="pt-BR"/>
                <w14:ligatures w14:val="none"/>
              </w:rPr>
              <w:t>Acionista</w:t>
            </w:r>
          </w:p>
        </w:tc>
        <w:tc>
          <w:tcPr>
            <w:tcW w:w="482" w:type="pct"/>
            <w:tcBorders>
              <w:top w:val="nil"/>
              <w:left w:val="nil"/>
              <w:bottom w:val="single" w:sz="8" w:space="0" w:color="auto"/>
              <w:right w:val="single" w:sz="8" w:space="0" w:color="auto"/>
            </w:tcBorders>
            <w:shd w:val="clear" w:color="000000" w:fill="D9D9D9"/>
            <w:vAlign w:val="center"/>
            <w:hideMark/>
          </w:tcPr>
          <w:p w14:paraId="46D65F85" w14:textId="77777777" w:rsidR="00F07126" w:rsidRPr="00F07126" w:rsidRDefault="00F07126" w:rsidP="00F07126">
            <w:pPr>
              <w:spacing w:after="0" w:line="240" w:lineRule="auto"/>
              <w:jc w:val="center"/>
              <w:rPr>
                <w:rFonts w:ascii="Arial" w:eastAsia="Times New Roman" w:hAnsi="Arial" w:cs="Arial"/>
                <w:b/>
                <w:bCs/>
                <w:color w:val="000000"/>
                <w:kern w:val="0"/>
                <w:sz w:val="16"/>
                <w:szCs w:val="16"/>
                <w:lang w:eastAsia="pt-BR"/>
                <w14:ligatures w14:val="none"/>
              </w:rPr>
            </w:pPr>
            <w:proofErr w:type="spellStart"/>
            <w:r w:rsidRPr="00F07126">
              <w:rPr>
                <w:rFonts w:ascii="Arial" w:eastAsia="Times New Roman" w:hAnsi="Arial" w:cs="Arial"/>
                <w:b/>
                <w:bCs/>
                <w:color w:val="000000"/>
                <w:kern w:val="0"/>
                <w:sz w:val="16"/>
                <w:szCs w:val="16"/>
                <w:lang w:eastAsia="pt-BR"/>
                <w14:ligatures w14:val="none"/>
              </w:rPr>
              <w:t>Qtde</w:t>
            </w:r>
            <w:proofErr w:type="spellEnd"/>
            <w:r w:rsidRPr="00F07126">
              <w:rPr>
                <w:rFonts w:ascii="Arial" w:eastAsia="Times New Roman" w:hAnsi="Arial" w:cs="Arial"/>
                <w:b/>
                <w:bCs/>
                <w:color w:val="000000"/>
                <w:kern w:val="0"/>
                <w:sz w:val="16"/>
                <w:szCs w:val="16"/>
                <w:lang w:eastAsia="pt-BR"/>
                <w14:ligatures w14:val="none"/>
              </w:rPr>
              <w:t xml:space="preserve"> de Ações</w:t>
            </w:r>
          </w:p>
        </w:tc>
        <w:tc>
          <w:tcPr>
            <w:tcW w:w="396" w:type="pct"/>
            <w:tcBorders>
              <w:top w:val="nil"/>
              <w:left w:val="nil"/>
              <w:bottom w:val="single" w:sz="8" w:space="0" w:color="auto"/>
              <w:right w:val="single" w:sz="8" w:space="0" w:color="auto"/>
            </w:tcBorders>
            <w:shd w:val="clear" w:color="000000" w:fill="D9D9D9"/>
            <w:vAlign w:val="center"/>
            <w:hideMark/>
          </w:tcPr>
          <w:p w14:paraId="291B4623" w14:textId="77777777" w:rsidR="00F07126" w:rsidRPr="00F07126" w:rsidRDefault="00F07126" w:rsidP="00F07126">
            <w:pPr>
              <w:spacing w:after="0" w:line="240" w:lineRule="auto"/>
              <w:jc w:val="center"/>
              <w:rPr>
                <w:rFonts w:ascii="Arial" w:eastAsia="Times New Roman" w:hAnsi="Arial" w:cs="Arial"/>
                <w:b/>
                <w:bCs/>
                <w:color w:val="000000"/>
                <w:kern w:val="0"/>
                <w:sz w:val="16"/>
                <w:szCs w:val="16"/>
                <w:lang w:eastAsia="pt-BR"/>
                <w14:ligatures w14:val="none"/>
              </w:rPr>
            </w:pPr>
            <w:r w:rsidRPr="00F07126">
              <w:rPr>
                <w:rFonts w:ascii="Arial" w:eastAsia="Times New Roman" w:hAnsi="Arial" w:cs="Arial"/>
                <w:b/>
                <w:bCs/>
                <w:color w:val="000000"/>
                <w:kern w:val="0"/>
                <w:sz w:val="16"/>
                <w:szCs w:val="16"/>
                <w:lang w:eastAsia="pt-BR"/>
                <w14:ligatures w14:val="none"/>
              </w:rPr>
              <w:t>%</w:t>
            </w:r>
          </w:p>
        </w:tc>
      </w:tr>
      <w:tr w:rsidR="00F07126" w:rsidRPr="00F07126" w14:paraId="26211FE0" w14:textId="77777777" w:rsidTr="00446A14">
        <w:trPr>
          <w:trHeight w:val="238"/>
        </w:trPr>
        <w:tc>
          <w:tcPr>
            <w:tcW w:w="911" w:type="pct"/>
            <w:tcBorders>
              <w:top w:val="nil"/>
              <w:left w:val="single" w:sz="8" w:space="0" w:color="auto"/>
              <w:bottom w:val="single" w:sz="8" w:space="0" w:color="auto"/>
              <w:right w:val="single" w:sz="8" w:space="0" w:color="auto"/>
            </w:tcBorders>
            <w:shd w:val="clear" w:color="auto" w:fill="auto"/>
            <w:noWrap/>
            <w:vAlign w:val="center"/>
            <w:hideMark/>
          </w:tcPr>
          <w:p w14:paraId="4129609B" w14:textId="77777777" w:rsidR="00F07126" w:rsidRPr="00F07126" w:rsidRDefault="00F07126" w:rsidP="00F07126">
            <w:pPr>
              <w:spacing w:after="0" w:line="240" w:lineRule="auto"/>
              <w:rPr>
                <w:rFonts w:ascii="Arial" w:eastAsia="Times New Roman" w:hAnsi="Arial" w:cs="Arial"/>
                <w:color w:val="000000"/>
                <w:kern w:val="0"/>
                <w:sz w:val="16"/>
                <w:szCs w:val="16"/>
                <w:lang w:eastAsia="pt-BR"/>
                <w14:ligatures w14:val="none"/>
              </w:rPr>
            </w:pPr>
            <w:r w:rsidRPr="00F07126">
              <w:rPr>
                <w:rFonts w:ascii="Arial" w:eastAsia="Times New Roman" w:hAnsi="Arial" w:cs="Arial"/>
                <w:color w:val="000000"/>
                <w:kern w:val="0"/>
                <w:sz w:val="16"/>
                <w:szCs w:val="16"/>
                <w:lang w:eastAsia="pt-BR"/>
                <w14:ligatures w14:val="none"/>
              </w:rPr>
              <w:t>União Federal</w:t>
            </w:r>
          </w:p>
        </w:tc>
        <w:tc>
          <w:tcPr>
            <w:tcW w:w="536" w:type="pct"/>
            <w:tcBorders>
              <w:top w:val="nil"/>
              <w:left w:val="nil"/>
              <w:bottom w:val="single" w:sz="8" w:space="0" w:color="auto"/>
              <w:right w:val="single" w:sz="8" w:space="0" w:color="auto"/>
            </w:tcBorders>
            <w:shd w:val="clear" w:color="auto" w:fill="auto"/>
            <w:noWrap/>
            <w:vAlign w:val="center"/>
            <w:hideMark/>
          </w:tcPr>
          <w:p w14:paraId="6B6BF5CB" w14:textId="77777777" w:rsidR="00F07126" w:rsidRPr="00F07126" w:rsidRDefault="00F07126" w:rsidP="00F07126">
            <w:pPr>
              <w:spacing w:after="0" w:line="240" w:lineRule="auto"/>
              <w:jc w:val="right"/>
              <w:rPr>
                <w:rFonts w:ascii="Arial" w:eastAsia="Times New Roman" w:hAnsi="Arial" w:cs="Arial"/>
                <w:color w:val="000000"/>
                <w:kern w:val="0"/>
                <w:sz w:val="16"/>
                <w:szCs w:val="16"/>
                <w:lang w:eastAsia="pt-BR"/>
                <w14:ligatures w14:val="none"/>
              </w:rPr>
            </w:pPr>
            <w:r w:rsidRPr="00F07126">
              <w:rPr>
                <w:rFonts w:ascii="Arial" w:eastAsia="Times New Roman" w:hAnsi="Arial" w:cs="Arial"/>
                <w:color w:val="000000"/>
                <w:kern w:val="0"/>
                <w:sz w:val="16"/>
                <w:szCs w:val="16"/>
                <w:lang w:eastAsia="pt-BR"/>
                <w14:ligatures w14:val="none"/>
              </w:rPr>
              <w:t>63.644.020</w:t>
            </w:r>
          </w:p>
        </w:tc>
        <w:tc>
          <w:tcPr>
            <w:tcW w:w="436" w:type="pct"/>
            <w:tcBorders>
              <w:top w:val="nil"/>
              <w:left w:val="nil"/>
              <w:bottom w:val="single" w:sz="8" w:space="0" w:color="auto"/>
              <w:right w:val="single" w:sz="8" w:space="0" w:color="auto"/>
            </w:tcBorders>
            <w:shd w:val="clear" w:color="auto" w:fill="auto"/>
            <w:noWrap/>
            <w:vAlign w:val="center"/>
            <w:hideMark/>
          </w:tcPr>
          <w:p w14:paraId="27C164A2" w14:textId="77777777" w:rsidR="00F07126" w:rsidRPr="00F07126" w:rsidRDefault="00F07126" w:rsidP="00F07126">
            <w:pPr>
              <w:spacing w:after="0" w:line="240" w:lineRule="auto"/>
              <w:jc w:val="right"/>
              <w:rPr>
                <w:rFonts w:ascii="Arial" w:eastAsia="Times New Roman" w:hAnsi="Arial" w:cs="Arial"/>
                <w:color w:val="000000"/>
                <w:kern w:val="0"/>
                <w:sz w:val="16"/>
                <w:szCs w:val="16"/>
                <w:lang w:eastAsia="pt-BR"/>
                <w14:ligatures w14:val="none"/>
              </w:rPr>
            </w:pPr>
            <w:r w:rsidRPr="00F07126">
              <w:rPr>
                <w:rFonts w:ascii="Arial" w:eastAsia="Times New Roman" w:hAnsi="Arial" w:cs="Arial"/>
                <w:color w:val="000000"/>
                <w:kern w:val="0"/>
                <w:sz w:val="16"/>
                <w:szCs w:val="16"/>
                <w:lang w:eastAsia="pt-BR"/>
                <w14:ligatures w14:val="none"/>
              </w:rPr>
              <w:t>93,63%</w:t>
            </w:r>
          </w:p>
        </w:tc>
        <w:tc>
          <w:tcPr>
            <w:tcW w:w="725" w:type="pct"/>
            <w:tcBorders>
              <w:top w:val="nil"/>
              <w:left w:val="nil"/>
              <w:bottom w:val="single" w:sz="8" w:space="0" w:color="auto"/>
              <w:right w:val="single" w:sz="8" w:space="0" w:color="auto"/>
            </w:tcBorders>
            <w:shd w:val="clear" w:color="auto" w:fill="auto"/>
            <w:noWrap/>
            <w:vAlign w:val="center"/>
            <w:hideMark/>
          </w:tcPr>
          <w:p w14:paraId="413E664E" w14:textId="77777777" w:rsidR="00F07126" w:rsidRPr="00F07126" w:rsidRDefault="00F07126" w:rsidP="00F07126">
            <w:pPr>
              <w:spacing w:after="0" w:line="240" w:lineRule="auto"/>
              <w:rPr>
                <w:rFonts w:ascii="Arial" w:eastAsia="Times New Roman" w:hAnsi="Arial" w:cs="Arial"/>
                <w:color w:val="000000"/>
                <w:kern w:val="0"/>
                <w:sz w:val="16"/>
                <w:szCs w:val="16"/>
                <w:lang w:eastAsia="pt-BR"/>
                <w14:ligatures w14:val="none"/>
              </w:rPr>
            </w:pPr>
            <w:r w:rsidRPr="00F07126">
              <w:rPr>
                <w:rFonts w:ascii="Arial" w:eastAsia="Times New Roman" w:hAnsi="Arial" w:cs="Arial"/>
                <w:color w:val="000000"/>
                <w:kern w:val="0"/>
                <w:sz w:val="16"/>
                <w:szCs w:val="16"/>
                <w:lang w:eastAsia="pt-BR"/>
                <w14:ligatures w14:val="none"/>
              </w:rPr>
              <w:t>União Federal</w:t>
            </w:r>
          </w:p>
        </w:tc>
        <w:tc>
          <w:tcPr>
            <w:tcW w:w="509" w:type="pct"/>
            <w:tcBorders>
              <w:top w:val="nil"/>
              <w:left w:val="nil"/>
              <w:bottom w:val="single" w:sz="8" w:space="0" w:color="auto"/>
              <w:right w:val="single" w:sz="8" w:space="0" w:color="auto"/>
            </w:tcBorders>
            <w:shd w:val="clear" w:color="auto" w:fill="auto"/>
            <w:noWrap/>
            <w:vAlign w:val="center"/>
            <w:hideMark/>
          </w:tcPr>
          <w:p w14:paraId="11E794CE" w14:textId="77777777" w:rsidR="00F07126" w:rsidRPr="00F07126" w:rsidRDefault="00F07126" w:rsidP="00F07126">
            <w:pPr>
              <w:spacing w:after="0" w:line="240" w:lineRule="auto"/>
              <w:jc w:val="right"/>
              <w:rPr>
                <w:rFonts w:ascii="Arial" w:eastAsia="Times New Roman" w:hAnsi="Arial" w:cs="Arial"/>
                <w:color w:val="000000"/>
                <w:kern w:val="0"/>
                <w:sz w:val="16"/>
                <w:szCs w:val="16"/>
                <w:lang w:eastAsia="pt-BR"/>
                <w14:ligatures w14:val="none"/>
              </w:rPr>
            </w:pPr>
            <w:r w:rsidRPr="00F07126">
              <w:rPr>
                <w:rFonts w:ascii="Arial" w:eastAsia="Times New Roman" w:hAnsi="Arial" w:cs="Arial"/>
                <w:color w:val="000000"/>
                <w:kern w:val="0"/>
                <w:sz w:val="16"/>
                <w:szCs w:val="16"/>
                <w:lang w:eastAsia="pt-BR"/>
                <w14:ligatures w14:val="none"/>
              </w:rPr>
              <w:t>16.221.543</w:t>
            </w:r>
          </w:p>
        </w:tc>
        <w:tc>
          <w:tcPr>
            <w:tcW w:w="418" w:type="pct"/>
            <w:tcBorders>
              <w:top w:val="nil"/>
              <w:left w:val="nil"/>
              <w:bottom w:val="single" w:sz="8" w:space="0" w:color="auto"/>
              <w:right w:val="single" w:sz="8" w:space="0" w:color="auto"/>
            </w:tcBorders>
            <w:shd w:val="clear" w:color="auto" w:fill="auto"/>
            <w:noWrap/>
            <w:vAlign w:val="center"/>
            <w:hideMark/>
          </w:tcPr>
          <w:p w14:paraId="7C446DD6" w14:textId="77777777" w:rsidR="00F07126" w:rsidRPr="00F07126" w:rsidRDefault="00F07126" w:rsidP="00F07126">
            <w:pPr>
              <w:spacing w:after="0" w:line="240" w:lineRule="auto"/>
              <w:jc w:val="right"/>
              <w:rPr>
                <w:rFonts w:ascii="Arial" w:eastAsia="Times New Roman" w:hAnsi="Arial" w:cs="Arial"/>
                <w:color w:val="000000"/>
                <w:kern w:val="0"/>
                <w:sz w:val="16"/>
                <w:szCs w:val="16"/>
                <w:lang w:eastAsia="pt-BR"/>
                <w14:ligatures w14:val="none"/>
              </w:rPr>
            </w:pPr>
            <w:r w:rsidRPr="00F07126">
              <w:rPr>
                <w:rFonts w:ascii="Arial" w:eastAsia="Times New Roman" w:hAnsi="Arial" w:cs="Arial"/>
                <w:color w:val="000000"/>
                <w:kern w:val="0"/>
                <w:sz w:val="16"/>
                <w:szCs w:val="16"/>
                <w:lang w:eastAsia="pt-BR"/>
                <w14:ligatures w14:val="none"/>
              </w:rPr>
              <w:t>88,12%</w:t>
            </w:r>
          </w:p>
        </w:tc>
        <w:tc>
          <w:tcPr>
            <w:tcW w:w="587" w:type="pct"/>
            <w:tcBorders>
              <w:top w:val="nil"/>
              <w:left w:val="nil"/>
              <w:bottom w:val="single" w:sz="8" w:space="0" w:color="auto"/>
              <w:right w:val="single" w:sz="8" w:space="0" w:color="auto"/>
            </w:tcBorders>
            <w:shd w:val="clear" w:color="auto" w:fill="auto"/>
            <w:noWrap/>
            <w:vAlign w:val="center"/>
            <w:hideMark/>
          </w:tcPr>
          <w:p w14:paraId="6836A420" w14:textId="77777777" w:rsidR="00F07126" w:rsidRPr="00F07126" w:rsidRDefault="00F07126" w:rsidP="00F07126">
            <w:pPr>
              <w:spacing w:after="0" w:line="240" w:lineRule="auto"/>
              <w:rPr>
                <w:rFonts w:ascii="Arial" w:eastAsia="Times New Roman" w:hAnsi="Arial" w:cs="Arial"/>
                <w:color w:val="000000"/>
                <w:kern w:val="0"/>
                <w:sz w:val="16"/>
                <w:szCs w:val="16"/>
                <w:lang w:eastAsia="pt-BR"/>
                <w14:ligatures w14:val="none"/>
              </w:rPr>
            </w:pPr>
            <w:r w:rsidRPr="00F07126">
              <w:rPr>
                <w:rFonts w:ascii="Arial" w:eastAsia="Times New Roman" w:hAnsi="Arial" w:cs="Arial"/>
                <w:color w:val="000000"/>
                <w:kern w:val="0"/>
                <w:sz w:val="16"/>
                <w:szCs w:val="16"/>
                <w:lang w:eastAsia="pt-BR"/>
                <w14:ligatures w14:val="none"/>
              </w:rPr>
              <w:t>União Federal</w:t>
            </w:r>
          </w:p>
        </w:tc>
        <w:tc>
          <w:tcPr>
            <w:tcW w:w="482" w:type="pct"/>
            <w:tcBorders>
              <w:top w:val="nil"/>
              <w:left w:val="nil"/>
              <w:bottom w:val="single" w:sz="8" w:space="0" w:color="auto"/>
              <w:right w:val="single" w:sz="8" w:space="0" w:color="auto"/>
            </w:tcBorders>
            <w:shd w:val="clear" w:color="auto" w:fill="auto"/>
            <w:noWrap/>
            <w:vAlign w:val="center"/>
            <w:hideMark/>
          </w:tcPr>
          <w:p w14:paraId="1343435C" w14:textId="77777777" w:rsidR="00F07126" w:rsidRPr="00F07126" w:rsidRDefault="00F07126" w:rsidP="00F07126">
            <w:pPr>
              <w:spacing w:after="0" w:line="240" w:lineRule="auto"/>
              <w:jc w:val="right"/>
              <w:rPr>
                <w:rFonts w:ascii="Arial" w:eastAsia="Times New Roman" w:hAnsi="Arial" w:cs="Arial"/>
                <w:color w:val="000000"/>
                <w:kern w:val="0"/>
                <w:sz w:val="16"/>
                <w:szCs w:val="16"/>
                <w:lang w:eastAsia="pt-BR"/>
                <w14:ligatures w14:val="none"/>
              </w:rPr>
            </w:pPr>
            <w:r w:rsidRPr="00F07126">
              <w:rPr>
                <w:rFonts w:ascii="Arial" w:eastAsia="Times New Roman" w:hAnsi="Arial" w:cs="Arial"/>
                <w:color w:val="000000"/>
                <w:kern w:val="0"/>
                <w:sz w:val="16"/>
                <w:szCs w:val="16"/>
                <w:lang w:eastAsia="pt-BR"/>
                <w14:ligatures w14:val="none"/>
              </w:rPr>
              <w:t>79.865.563</w:t>
            </w:r>
          </w:p>
        </w:tc>
        <w:tc>
          <w:tcPr>
            <w:tcW w:w="396" w:type="pct"/>
            <w:tcBorders>
              <w:top w:val="nil"/>
              <w:left w:val="nil"/>
              <w:bottom w:val="single" w:sz="8" w:space="0" w:color="auto"/>
              <w:right w:val="single" w:sz="8" w:space="0" w:color="auto"/>
            </w:tcBorders>
            <w:shd w:val="clear" w:color="auto" w:fill="auto"/>
            <w:noWrap/>
            <w:vAlign w:val="center"/>
            <w:hideMark/>
          </w:tcPr>
          <w:p w14:paraId="167BCAD6" w14:textId="77777777" w:rsidR="00F07126" w:rsidRPr="00F07126" w:rsidRDefault="00F07126" w:rsidP="00F07126">
            <w:pPr>
              <w:spacing w:after="0" w:line="240" w:lineRule="auto"/>
              <w:jc w:val="right"/>
              <w:rPr>
                <w:rFonts w:ascii="Arial" w:eastAsia="Times New Roman" w:hAnsi="Arial" w:cs="Arial"/>
                <w:color w:val="000000"/>
                <w:kern w:val="0"/>
                <w:sz w:val="16"/>
                <w:szCs w:val="16"/>
                <w:lang w:eastAsia="pt-BR"/>
                <w14:ligatures w14:val="none"/>
              </w:rPr>
            </w:pPr>
            <w:r w:rsidRPr="00F07126">
              <w:rPr>
                <w:rFonts w:ascii="Arial" w:eastAsia="Times New Roman" w:hAnsi="Arial" w:cs="Arial"/>
                <w:color w:val="000000"/>
                <w:kern w:val="0"/>
                <w:sz w:val="16"/>
                <w:szCs w:val="16"/>
                <w:lang w:eastAsia="pt-BR"/>
                <w14:ligatures w14:val="none"/>
              </w:rPr>
              <w:t>92,46%</w:t>
            </w:r>
          </w:p>
        </w:tc>
      </w:tr>
      <w:tr w:rsidR="00F07126" w:rsidRPr="00F07126" w14:paraId="480E7634" w14:textId="77777777" w:rsidTr="00446A14">
        <w:trPr>
          <w:trHeight w:val="238"/>
        </w:trPr>
        <w:tc>
          <w:tcPr>
            <w:tcW w:w="911" w:type="pct"/>
            <w:tcBorders>
              <w:top w:val="nil"/>
              <w:left w:val="single" w:sz="8" w:space="0" w:color="auto"/>
              <w:bottom w:val="single" w:sz="8" w:space="0" w:color="auto"/>
              <w:right w:val="single" w:sz="8" w:space="0" w:color="auto"/>
            </w:tcBorders>
            <w:shd w:val="clear" w:color="auto" w:fill="auto"/>
            <w:noWrap/>
            <w:vAlign w:val="center"/>
            <w:hideMark/>
          </w:tcPr>
          <w:p w14:paraId="5FD0ADB0" w14:textId="77777777" w:rsidR="00F07126" w:rsidRPr="00F07126" w:rsidRDefault="00F07126" w:rsidP="00F07126">
            <w:pPr>
              <w:spacing w:after="0" w:line="240" w:lineRule="auto"/>
              <w:rPr>
                <w:rFonts w:ascii="Arial" w:eastAsia="Times New Roman" w:hAnsi="Arial" w:cs="Arial"/>
                <w:color w:val="000000"/>
                <w:kern w:val="0"/>
                <w:sz w:val="16"/>
                <w:szCs w:val="16"/>
                <w:lang w:eastAsia="pt-BR"/>
                <w14:ligatures w14:val="none"/>
              </w:rPr>
            </w:pPr>
            <w:r w:rsidRPr="00F07126">
              <w:rPr>
                <w:rFonts w:ascii="Arial" w:eastAsia="Times New Roman" w:hAnsi="Arial" w:cs="Arial"/>
                <w:color w:val="000000"/>
                <w:kern w:val="0"/>
                <w:sz w:val="16"/>
                <w:szCs w:val="16"/>
                <w:lang w:eastAsia="pt-BR"/>
                <w14:ligatures w14:val="none"/>
              </w:rPr>
              <w:t>FINEP</w:t>
            </w:r>
          </w:p>
        </w:tc>
        <w:tc>
          <w:tcPr>
            <w:tcW w:w="536" w:type="pct"/>
            <w:tcBorders>
              <w:top w:val="nil"/>
              <w:left w:val="nil"/>
              <w:bottom w:val="single" w:sz="8" w:space="0" w:color="auto"/>
              <w:right w:val="single" w:sz="8" w:space="0" w:color="auto"/>
            </w:tcBorders>
            <w:shd w:val="clear" w:color="auto" w:fill="auto"/>
            <w:noWrap/>
            <w:vAlign w:val="center"/>
            <w:hideMark/>
          </w:tcPr>
          <w:p w14:paraId="63A4268E" w14:textId="77777777" w:rsidR="00F07126" w:rsidRPr="00F07126" w:rsidRDefault="00F07126" w:rsidP="00F07126">
            <w:pPr>
              <w:spacing w:after="0" w:line="240" w:lineRule="auto"/>
              <w:jc w:val="right"/>
              <w:rPr>
                <w:rFonts w:ascii="Arial" w:eastAsia="Times New Roman" w:hAnsi="Arial" w:cs="Arial"/>
                <w:color w:val="000000"/>
                <w:kern w:val="0"/>
                <w:sz w:val="16"/>
                <w:szCs w:val="16"/>
                <w:lang w:eastAsia="pt-BR"/>
                <w14:ligatures w14:val="none"/>
              </w:rPr>
            </w:pPr>
            <w:r w:rsidRPr="00F07126">
              <w:rPr>
                <w:rFonts w:ascii="Arial" w:eastAsia="Times New Roman" w:hAnsi="Arial" w:cs="Arial"/>
                <w:color w:val="000000"/>
                <w:kern w:val="0"/>
                <w:sz w:val="16"/>
                <w:szCs w:val="16"/>
                <w:lang w:eastAsia="pt-BR"/>
                <w14:ligatures w14:val="none"/>
              </w:rPr>
              <w:t>3.231.600</w:t>
            </w:r>
          </w:p>
        </w:tc>
        <w:tc>
          <w:tcPr>
            <w:tcW w:w="436" w:type="pct"/>
            <w:tcBorders>
              <w:top w:val="nil"/>
              <w:left w:val="nil"/>
              <w:bottom w:val="single" w:sz="8" w:space="0" w:color="auto"/>
              <w:right w:val="single" w:sz="8" w:space="0" w:color="auto"/>
            </w:tcBorders>
            <w:shd w:val="clear" w:color="auto" w:fill="auto"/>
            <w:noWrap/>
            <w:vAlign w:val="center"/>
            <w:hideMark/>
          </w:tcPr>
          <w:p w14:paraId="2B680BD3" w14:textId="77777777" w:rsidR="00F07126" w:rsidRPr="00F07126" w:rsidRDefault="00F07126" w:rsidP="00F07126">
            <w:pPr>
              <w:spacing w:after="0" w:line="240" w:lineRule="auto"/>
              <w:jc w:val="right"/>
              <w:rPr>
                <w:rFonts w:ascii="Arial" w:eastAsia="Times New Roman" w:hAnsi="Arial" w:cs="Arial"/>
                <w:color w:val="000000"/>
                <w:kern w:val="0"/>
                <w:sz w:val="16"/>
                <w:szCs w:val="16"/>
                <w:lang w:eastAsia="pt-BR"/>
                <w14:ligatures w14:val="none"/>
              </w:rPr>
            </w:pPr>
            <w:r w:rsidRPr="00F07126">
              <w:rPr>
                <w:rFonts w:ascii="Arial" w:eastAsia="Times New Roman" w:hAnsi="Arial" w:cs="Arial"/>
                <w:color w:val="000000"/>
                <w:kern w:val="0"/>
                <w:sz w:val="16"/>
                <w:szCs w:val="16"/>
                <w:lang w:eastAsia="pt-BR"/>
                <w14:ligatures w14:val="none"/>
              </w:rPr>
              <w:t>4,75%</w:t>
            </w:r>
          </w:p>
        </w:tc>
        <w:tc>
          <w:tcPr>
            <w:tcW w:w="725" w:type="pct"/>
            <w:tcBorders>
              <w:top w:val="nil"/>
              <w:left w:val="nil"/>
              <w:bottom w:val="single" w:sz="8" w:space="0" w:color="auto"/>
              <w:right w:val="single" w:sz="8" w:space="0" w:color="auto"/>
            </w:tcBorders>
            <w:shd w:val="clear" w:color="auto" w:fill="auto"/>
            <w:noWrap/>
            <w:vAlign w:val="center"/>
            <w:hideMark/>
          </w:tcPr>
          <w:p w14:paraId="519A6941" w14:textId="77777777" w:rsidR="00F07126" w:rsidRPr="00F07126" w:rsidRDefault="00F07126" w:rsidP="00F07126">
            <w:pPr>
              <w:spacing w:after="0" w:line="240" w:lineRule="auto"/>
              <w:rPr>
                <w:rFonts w:ascii="Arial" w:eastAsia="Times New Roman" w:hAnsi="Arial" w:cs="Arial"/>
                <w:color w:val="000000"/>
                <w:kern w:val="0"/>
                <w:sz w:val="16"/>
                <w:szCs w:val="16"/>
                <w:lang w:eastAsia="pt-BR"/>
                <w14:ligatures w14:val="none"/>
              </w:rPr>
            </w:pPr>
            <w:r w:rsidRPr="00F07126">
              <w:rPr>
                <w:rFonts w:ascii="Arial" w:eastAsia="Times New Roman" w:hAnsi="Arial" w:cs="Arial"/>
                <w:color w:val="000000"/>
                <w:kern w:val="0"/>
                <w:sz w:val="16"/>
                <w:szCs w:val="16"/>
                <w:lang w:eastAsia="pt-BR"/>
                <w14:ligatures w14:val="none"/>
              </w:rPr>
              <w:t>FINEP</w:t>
            </w:r>
          </w:p>
        </w:tc>
        <w:tc>
          <w:tcPr>
            <w:tcW w:w="509" w:type="pct"/>
            <w:tcBorders>
              <w:top w:val="nil"/>
              <w:left w:val="nil"/>
              <w:bottom w:val="single" w:sz="8" w:space="0" w:color="auto"/>
              <w:right w:val="single" w:sz="8" w:space="0" w:color="auto"/>
            </w:tcBorders>
            <w:shd w:val="clear" w:color="auto" w:fill="auto"/>
            <w:noWrap/>
            <w:vAlign w:val="center"/>
            <w:hideMark/>
          </w:tcPr>
          <w:p w14:paraId="2BC4C705" w14:textId="77777777" w:rsidR="00F07126" w:rsidRPr="00F07126" w:rsidRDefault="00F07126" w:rsidP="00F07126">
            <w:pPr>
              <w:spacing w:after="0" w:line="240" w:lineRule="auto"/>
              <w:jc w:val="right"/>
              <w:rPr>
                <w:rFonts w:ascii="Arial" w:eastAsia="Times New Roman" w:hAnsi="Arial" w:cs="Arial"/>
                <w:color w:val="000000"/>
                <w:kern w:val="0"/>
                <w:sz w:val="16"/>
                <w:szCs w:val="16"/>
                <w:lang w:eastAsia="pt-BR"/>
                <w14:ligatures w14:val="none"/>
              </w:rPr>
            </w:pPr>
            <w:r w:rsidRPr="00F07126">
              <w:rPr>
                <w:rFonts w:ascii="Arial" w:eastAsia="Times New Roman" w:hAnsi="Arial" w:cs="Arial"/>
                <w:color w:val="000000"/>
                <w:kern w:val="0"/>
                <w:sz w:val="16"/>
                <w:szCs w:val="16"/>
                <w:lang w:eastAsia="pt-BR"/>
                <w14:ligatures w14:val="none"/>
              </w:rPr>
              <w:t xml:space="preserve">                  -   </w:t>
            </w:r>
          </w:p>
        </w:tc>
        <w:tc>
          <w:tcPr>
            <w:tcW w:w="418" w:type="pct"/>
            <w:tcBorders>
              <w:top w:val="nil"/>
              <w:left w:val="nil"/>
              <w:bottom w:val="single" w:sz="8" w:space="0" w:color="auto"/>
              <w:right w:val="single" w:sz="8" w:space="0" w:color="auto"/>
            </w:tcBorders>
            <w:shd w:val="clear" w:color="auto" w:fill="auto"/>
            <w:noWrap/>
            <w:vAlign w:val="center"/>
            <w:hideMark/>
          </w:tcPr>
          <w:p w14:paraId="3713CD94" w14:textId="77777777" w:rsidR="00F07126" w:rsidRPr="00F07126" w:rsidRDefault="00F07126" w:rsidP="00F07126">
            <w:pPr>
              <w:spacing w:after="0" w:line="240" w:lineRule="auto"/>
              <w:jc w:val="right"/>
              <w:rPr>
                <w:rFonts w:ascii="Arial" w:eastAsia="Times New Roman" w:hAnsi="Arial" w:cs="Arial"/>
                <w:color w:val="000000"/>
                <w:kern w:val="0"/>
                <w:sz w:val="16"/>
                <w:szCs w:val="16"/>
                <w:lang w:eastAsia="pt-BR"/>
                <w14:ligatures w14:val="none"/>
              </w:rPr>
            </w:pPr>
            <w:r w:rsidRPr="00F07126">
              <w:rPr>
                <w:rFonts w:ascii="Arial" w:eastAsia="Times New Roman" w:hAnsi="Arial" w:cs="Arial"/>
                <w:color w:val="000000"/>
                <w:kern w:val="0"/>
                <w:sz w:val="16"/>
                <w:szCs w:val="16"/>
                <w:lang w:eastAsia="pt-BR"/>
                <w14:ligatures w14:val="none"/>
              </w:rPr>
              <w:t>-</w:t>
            </w:r>
          </w:p>
        </w:tc>
        <w:tc>
          <w:tcPr>
            <w:tcW w:w="587" w:type="pct"/>
            <w:tcBorders>
              <w:top w:val="nil"/>
              <w:left w:val="nil"/>
              <w:bottom w:val="single" w:sz="8" w:space="0" w:color="auto"/>
              <w:right w:val="single" w:sz="8" w:space="0" w:color="auto"/>
            </w:tcBorders>
            <w:shd w:val="clear" w:color="auto" w:fill="auto"/>
            <w:noWrap/>
            <w:vAlign w:val="center"/>
            <w:hideMark/>
          </w:tcPr>
          <w:p w14:paraId="0DC27A8A" w14:textId="77777777" w:rsidR="00F07126" w:rsidRPr="00F07126" w:rsidRDefault="00F07126" w:rsidP="00F07126">
            <w:pPr>
              <w:spacing w:after="0" w:line="240" w:lineRule="auto"/>
              <w:rPr>
                <w:rFonts w:ascii="Arial" w:eastAsia="Times New Roman" w:hAnsi="Arial" w:cs="Arial"/>
                <w:color w:val="000000"/>
                <w:kern w:val="0"/>
                <w:sz w:val="16"/>
                <w:szCs w:val="16"/>
                <w:lang w:eastAsia="pt-BR"/>
                <w14:ligatures w14:val="none"/>
              </w:rPr>
            </w:pPr>
            <w:r w:rsidRPr="00F07126">
              <w:rPr>
                <w:rFonts w:ascii="Arial" w:eastAsia="Times New Roman" w:hAnsi="Arial" w:cs="Arial"/>
                <w:color w:val="000000"/>
                <w:kern w:val="0"/>
                <w:sz w:val="16"/>
                <w:szCs w:val="16"/>
                <w:lang w:eastAsia="pt-BR"/>
                <w14:ligatures w14:val="none"/>
              </w:rPr>
              <w:t>FINEP</w:t>
            </w:r>
          </w:p>
        </w:tc>
        <w:tc>
          <w:tcPr>
            <w:tcW w:w="482" w:type="pct"/>
            <w:tcBorders>
              <w:top w:val="nil"/>
              <w:left w:val="nil"/>
              <w:bottom w:val="single" w:sz="8" w:space="0" w:color="auto"/>
              <w:right w:val="single" w:sz="8" w:space="0" w:color="auto"/>
            </w:tcBorders>
            <w:shd w:val="clear" w:color="auto" w:fill="auto"/>
            <w:noWrap/>
            <w:vAlign w:val="center"/>
            <w:hideMark/>
          </w:tcPr>
          <w:p w14:paraId="78E3B674" w14:textId="77777777" w:rsidR="00F07126" w:rsidRPr="00F07126" w:rsidRDefault="00F07126" w:rsidP="00F07126">
            <w:pPr>
              <w:spacing w:after="0" w:line="240" w:lineRule="auto"/>
              <w:jc w:val="right"/>
              <w:rPr>
                <w:rFonts w:ascii="Arial" w:eastAsia="Times New Roman" w:hAnsi="Arial" w:cs="Arial"/>
                <w:color w:val="000000"/>
                <w:kern w:val="0"/>
                <w:sz w:val="16"/>
                <w:szCs w:val="16"/>
                <w:lang w:eastAsia="pt-BR"/>
                <w14:ligatures w14:val="none"/>
              </w:rPr>
            </w:pPr>
            <w:r w:rsidRPr="00F07126">
              <w:rPr>
                <w:rFonts w:ascii="Arial" w:eastAsia="Times New Roman" w:hAnsi="Arial" w:cs="Arial"/>
                <w:color w:val="000000"/>
                <w:kern w:val="0"/>
                <w:sz w:val="16"/>
                <w:szCs w:val="16"/>
                <w:lang w:eastAsia="pt-BR"/>
                <w14:ligatures w14:val="none"/>
              </w:rPr>
              <w:t>3.231.600</w:t>
            </w:r>
          </w:p>
        </w:tc>
        <w:tc>
          <w:tcPr>
            <w:tcW w:w="396" w:type="pct"/>
            <w:tcBorders>
              <w:top w:val="nil"/>
              <w:left w:val="nil"/>
              <w:bottom w:val="single" w:sz="8" w:space="0" w:color="auto"/>
              <w:right w:val="single" w:sz="8" w:space="0" w:color="auto"/>
            </w:tcBorders>
            <w:shd w:val="clear" w:color="auto" w:fill="auto"/>
            <w:noWrap/>
            <w:vAlign w:val="center"/>
            <w:hideMark/>
          </w:tcPr>
          <w:p w14:paraId="52DB746E" w14:textId="77777777" w:rsidR="00F07126" w:rsidRPr="00F07126" w:rsidRDefault="00F07126" w:rsidP="00F07126">
            <w:pPr>
              <w:spacing w:after="0" w:line="240" w:lineRule="auto"/>
              <w:jc w:val="right"/>
              <w:rPr>
                <w:rFonts w:ascii="Arial" w:eastAsia="Times New Roman" w:hAnsi="Arial" w:cs="Arial"/>
                <w:color w:val="000000"/>
                <w:kern w:val="0"/>
                <w:sz w:val="16"/>
                <w:szCs w:val="16"/>
                <w:lang w:eastAsia="pt-BR"/>
                <w14:ligatures w14:val="none"/>
              </w:rPr>
            </w:pPr>
            <w:r w:rsidRPr="00F07126">
              <w:rPr>
                <w:rFonts w:ascii="Arial" w:eastAsia="Times New Roman" w:hAnsi="Arial" w:cs="Arial"/>
                <w:color w:val="000000"/>
                <w:kern w:val="0"/>
                <w:sz w:val="16"/>
                <w:szCs w:val="16"/>
                <w:lang w:eastAsia="pt-BR"/>
                <w14:ligatures w14:val="none"/>
              </w:rPr>
              <w:t>3,74%</w:t>
            </w:r>
          </w:p>
        </w:tc>
      </w:tr>
      <w:tr w:rsidR="00F07126" w:rsidRPr="00F07126" w14:paraId="7657D38B" w14:textId="77777777" w:rsidTr="00446A14">
        <w:trPr>
          <w:trHeight w:val="238"/>
        </w:trPr>
        <w:tc>
          <w:tcPr>
            <w:tcW w:w="911" w:type="pct"/>
            <w:tcBorders>
              <w:top w:val="nil"/>
              <w:left w:val="single" w:sz="8" w:space="0" w:color="auto"/>
              <w:bottom w:val="single" w:sz="8" w:space="0" w:color="auto"/>
              <w:right w:val="single" w:sz="8" w:space="0" w:color="auto"/>
            </w:tcBorders>
            <w:shd w:val="clear" w:color="auto" w:fill="auto"/>
            <w:noWrap/>
            <w:vAlign w:val="center"/>
            <w:hideMark/>
          </w:tcPr>
          <w:p w14:paraId="6DD9855A" w14:textId="77777777" w:rsidR="00F07126" w:rsidRPr="00F07126" w:rsidRDefault="00F07126" w:rsidP="00F07126">
            <w:pPr>
              <w:spacing w:after="0" w:line="240" w:lineRule="auto"/>
              <w:rPr>
                <w:rFonts w:ascii="Arial" w:eastAsia="Times New Roman" w:hAnsi="Arial" w:cs="Arial"/>
                <w:color w:val="000000"/>
                <w:kern w:val="0"/>
                <w:sz w:val="16"/>
                <w:szCs w:val="16"/>
                <w:lang w:eastAsia="pt-BR"/>
                <w14:ligatures w14:val="none"/>
              </w:rPr>
            </w:pPr>
            <w:r w:rsidRPr="00F07126">
              <w:rPr>
                <w:rFonts w:ascii="Arial" w:eastAsia="Times New Roman" w:hAnsi="Arial" w:cs="Arial"/>
                <w:color w:val="000000"/>
                <w:kern w:val="0"/>
                <w:sz w:val="16"/>
                <w:szCs w:val="16"/>
                <w:lang w:eastAsia="pt-BR"/>
                <w14:ligatures w14:val="none"/>
              </w:rPr>
              <w:t>Outros Acionistas</w:t>
            </w:r>
          </w:p>
        </w:tc>
        <w:tc>
          <w:tcPr>
            <w:tcW w:w="536" w:type="pct"/>
            <w:tcBorders>
              <w:top w:val="nil"/>
              <w:left w:val="nil"/>
              <w:bottom w:val="single" w:sz="8" w:space="0" w:color="auto"/>
              <w:right w:val="single" w:sz="8" w:space="0" w:color="auto"/>
            </w:tcBorders>
            <w:shd w:val="clear" w:color="auto" w:fill="auto"/>
            <w:noWrap/>
            <w:vAlign w:val="center"/>
            <w:hideMark/>
          </w:tcPr>
          <w:p w14:paraId="4CDDAD14" w14:textId="77777777" w:rsidR="00F07126" w:rsidRPr="00F07126" w:rsidRDefault="00F07126" w:rsidP="00F07126">
            <w:pPr>
              <w:spacing w:after="0" w:line="240" w:lineRule="auto"/>
              <w:jc w:val="right"/>
              <w:rPr>
                <w:rFonts w:ascii="Arial" w:eastAsia="Times New Roman" w:hAnsi="Arial" w:cs="Arial"/>
                <w:color w:val="000000"/>
                <w:kern w:val="0"/>
                <w:sz w:val="16"/>
                <w:szCs w:val="16"/>
                <w:lang w:eastAsia="pt-BR"/>
                <w14:ligatures w14:val="none"/>
              </w:rPr>
            </w:pPr>
            <w:r w:rsidRPr="00F07126">
              <w:rPr>
                <w:rFonts w:ascii="Arial" w:eastAsia="Times New Roman" w:hAnsi="Arial" w:cs="Arial"/>
                <w:color w:val="000000"/>
                <w:kern w:val="0"/>
                <w:sz w:val="16"/>
                <w:szCs w:val="16"/>
                <w:lang w:eastAsia="pt-BR"/>
                <w14:ligatures w14:val="none"/>
              </w:rPr>
              <w:t>1.099.786</w:t>
            </w:r>
          </w:p>
        </w:tc>
        <w:tc>
          <w:tcPr>
            <w:tcW w:w="436" w:type="pct"/>
            <w:tcBorders>
              <w:top w:val="nil"/>
              <w:left w:val="nil"/>
              <w:bottom w:val="single" w:sz="8" w:space="0" w:color="auto"/>
              <w:right w:val="single" w:sz="8" w:space="0" w:color="auto"/>
            </w:tcBorders>
            <w:shd w:val="clear" w:color="auto" w:fill="auto"/>
            <w:noWrap/>
            <w:vAlign w:val="center"/>
            <w:hideMark/>
          </w:tcPr>
          <w:p w14:paraId="6F45BAF2" w14:textId="77777777" w:rsidR="00F07126" w:rsidRPr="00F07126" w:rsidRDefault="00F07126" w:rsidP="00F07126">
            <w:pPr>
              <w:spacing w:after="0" w:line="240" w:lineRule="auto"/>
              <w:jc w:val="right"/>
              <w:rPr>
                <w:rFonts w:ascii="Arial" w:eastAsia="Times New Roman" w:hAnsi="Arial" w:cs="Arial"/>
                <w:color w:val="000000"/>
                <w:kern w:val="0"/>
                <w:sz w:val="16"/>
                <w:szCs w:val="16"/>
                <w:lang w:eastAsia="pt-BR"/>
                <w14:ligatures w14:val="none"/>
              </w:rPr>
            </w:pPr>
            <w:r w:rsidRPr="00F07126">
              <w:rPr>
                <w:rFonts w:ascii="Arial" w:eastAsia="Times New Roman" w:hAnsi="Arial" w:cs="Arial"/>
                <w:color w:val="000000"/>
                <w:kern w:val="0"/>
                <w:sz w:val="16"/>
                <w:szCs w:val="16"/>
                <w:lang w:eastAsia="pt-BR"/>
                <w14:ligatures w14:val="none"/>
              </w:rPr>
              <w:t>1,62%</w:t>
            </w:r>
          </w:p>
        </w:tc>
        <w:tc>
          <w:tcPr>
            <w:tcW w:w="725" w:type="pct"/>
            <w:tcBorders>
              <w:top w:val="nil"/>
              <w:left w:val="nil"/>
              <w:bottom w:val="single" w:sz="8" w:space="0" w:color="auto"/>
              <w:right w:val="single" w:sz="8" w:space="0" w:color="auto"/>
            </w:tcBorders>
            <w:shd w:val="clear" w:color="auto" w:fill="auto"/>
            <w:noWrap/>
            <w:vAlign w:val="center"/>
            <w:hideMark/>
          </w:tcPr>
          <w:p w14:paraId="6121B838" w14:textId="77777777" w:rsidR="00F07126" w:rsidRPr="00F07126" w:rsidRDefault="00F07126" w:rsidP="00F07126">
            <w:pPr>
              <w:spacing w:after="0" w:line="240" w:lineRule="auto"/>
              <w:rPr>
                <w:rFonts w:ascii="Arial" w:eastAsia="Times New Roman" w:hAnsi="Arial" w:cs="Arial"/>
                <w:color w:val="000000"/>
                <w:kern w:val="0"/>
                <w:sz w:val="16"/>
                <w:szCs w:val="16"/>
                <w:lang w:eastAsia="pt-BR"/>
                <w14:ligatures w14:val="none"/>
              </w:rPr>
            </w:pPr>
            <w:r w:rsidRPr="00F07126">
              <w:rPr>
                <w:rFonts w:ascii="Arial" w:eastAsia="Times New Roman" w:hAnsi="Arial" w:cs="Arial"/>
                <w:color w:val="000000"/>
                <w:kern w:val="0"/>
                <w:sz w:val="16"/>
                <w:szCs w:val="16"/>
                <w:lang w:eastAsia="pt-BR"/>
                <w14:ligatures w14:val="none"/>
              </w:rPr>
              <w:t>Outros Acionistas</w:t>
            </w:r>
          </w:p>
        </w:tc>
        <w:tc>
          <w:tcPr>
            <w:tcW w:w="509" w:type="pct"/>
            <w:tcBorders>
              <w:top w:val="nil"/>
              <w:left w:val="nil"/>
              <w:bottom w:val="single" w:sz="8" w:space="0" w:color="auto"/>
              <w:right w:val="single" w:sz="8" w:space="0" w:color="auto"/>
            </w:tcBorders>
            <w:shd w:val="clear" w:color="auto" w:fill="auto"/>
            <w:noWrap/>
            <w:vAlign w:val="center"/>
            <w:hideMark/>
          </w:tcPr>
          <w:p w14:paraId="65A5222B" w14:textId="77777777" w:rsidR="00F07126" w:rsidRPr="00F07126" w:rsidRDefault="00F07126" w:rsidP="00F07126">
            <w:pPr>
              <w:spacing w:after="0" w:line="240" w:lineRule="auto"/>
              <w:jc w:val="right"/>
              <w:rPr>
                <w:rFonts w:ascii="Arial" w:eastAsia="Times New Roman" w:hAnsi="Arial" w:cs="Arial"/>
                <w:color w:val="000000"/>
                <w:kern w:val="0"/>
                <w:sz w:val="16"/>
                <w:szCs w:val="16"/>
                <w:lang w:eastAsia="pt-BR"/>
                <w14:ligatures w14:val="none"/>
              </w:rPr>
            </w:pPr>
            <w:r w:rsidRPr="00F07126">
              <w:rPr>
                <w:rFonts w:ascii="Arial" w:eastAsia="Times New Roman" w:hAnsi="Arial" w:cs="Arial"/>
                <w:color w:val="000000"/>
                <w:kern w:val="0"/>
                <w:sz w:val="16"/>
                <w:szCs w:val="16"/>
                <w:lang w:eastAsia="pt-BR"/>
                <w14:ligatures w14:val="none"/>
              </w:rPr>
              <w:t>2.185.948</w:t>
            </w:r>
          </w:p>
        </w:tc>
        <w:tc>
          <w:tcPr>
            <w:tcW w:w="418" w:type="pct"/>
            <w:tcBorders>
              <w:top w:val="nil"/>
              <w:left w:val="nil"/>
              <w:bottom w:val="single" w:sz="8" w:space="0" w:color="auto"/>
              <w:right w:val="single" w:sz="8" w:space="0" w:color="auto"/>
            </w:tcBorders>
            <w:shd w:val="clear" w:color="auto" w:fill="auto"/>
            <w:noWrap/>
            <w:vAlign w:val="center"/>
            <w:hideMark/>
          </w:tcPr>
          <w:p w14:paraId="0B1CC60F" w14:textId="77777777" w:rsidR="00F07126" w:rsidRPr="00F07126" w:rsidRDefault="00F07126" w:rsidP="00F07126">
            <w:pPr>
              <w:spacing w:after="0" w:line="240" w:lineRule="auto"/>
              <w:jc w:val="right"/>
              <w:rPr>
                <w:rFonts w:ascii="Arial" w:eastAsia="Times New Roman" w:hAnsi="Arial" w:cs="Arial"/>
                <w:color w:val="000000"/>
                <w:kern w:val="0"/>
                <w:sz w:val="16"/>
                <w:szCs w:val="16"/>
                <w:lang w:eastAsia="pt-BR"/>
                <w14:ligatures w14:val="none"/>
              </w:rPr>
            </w:pPr>
            <w:r w:rsidRPr="00F07126">
              <w:rPr>
                <w:rFonts w:ascii="Arial" w:eastAsia="Times New Roman" w:hAnsi="Arial" w:cs="Arial"/>
                <w:color w:val="000000"/>
                <w:kern w:val="0"/>
                <w:sz w:val="16"/>
                <w:szCs w:val="16"/>
                <w:lang w:eastAsia="pt-BR"/>
                <w14:ligatures w14:val="none"/>
              </w:rPr>
              <w:t>11,88%</w:t>
            </w:r>
          </w:p>
        </w:tc>
        <w:tc>
          <w:tcPr>
            <w:tcW w:w="587" w:type="pct"/>
            <w:tcBorders>
              <w:top w:val="nil"/>
              <w:left w:val="nil"/>
              <w:bottom w:val="single" w:sz="8" w:space="0" w:color="auto"/>
              <w:right w:val="single" w:sz="8" w:space="0" w:color="auto"/>
            </w:tcBorders>
            <w:shd w:val="clear" w:color="auto" w:fill="auto"/>
            <w:noWrap/>
            <w:vAlign w:val="center"/>
            <w:hideMark/>
          </w:tcPr>
          <w:p w14:paraId="69E6D948" w14:textId="77777777" w:rsidR="00F07126" w:rsidRPr="00F07126" w:rsidRDefault="00F07126" w:rsidP="00F07126">
            <w:pPr>
              <w:spacing w:after="0" w:line="240" w:lineRule="auto"/>
              <w:rPr>
                <w:rFonts w:ascii="Arial" w:eastAsia="Times New Roman" w:hAnsi="Arial" w:cs="Arial"/>
                <w:color w:val="000000"/>
                <w:kern w:val="0"/>
                <w:sz w:val="16"/>
                <w:szCs w:val="16"/>
                <w:lang w:eastAsia="pt-BR"/>
                <w14:ligatures w14:val="none"/>
              </w:rPr>
            </w:pPr>
            <w:r w:rsidRPr="00F07126">
              <w:rPr>
                <w:rFonts w:ascii="Arial" w:eastAsia="Times New Roman" w:hAnsi="Arial" w:cs="Arial"/>
                <w:color w:val="000000"/>
                <w:kern w:val="0"/>
                <w:sz w:val="16"/>
                <w:szCs w:val="16"/>
                <w:lang w:eastAsia="pt-BR"/>
                <w14:ligatures w14:val="none"/>
              </w:rPr>
              <w:t>Outros</w:t>
            </w:r>
          </w:p>
        </w:tc>
        <w:tc>
          <w:tcPr>
            <w:tcW w:w="482" w:type="pct"/>
            <w:tcBorders>
              <w:top w:val="nil"/>
              <w:left w:val="nil"/>
              <w:bottom w:val="single" w:sz="8" w:space="0" w:color="auto"/>
              <w:right w:val="single" w:sz="8" w:space="0" w:color="auto"/>
            </w:tcBorders>
            <w:shd w:val="clear" w:color="auto" w:fill="auto"/>
            <w:noWrap/>
            <w:vAlign w:val="center"/>
            <w:hideMark/>
          </w:tcPr>
          <w:p w14:paraId="582A82F6" w14:textId="77777777" w:rsidR="00F07126" w:rsidRPr="00F07126" w:rsidRDefault="00F07126" w:rsidP="00F07126">
            <w:pPr>
              <w:spacing w:after="0" w:line="240" w:lineRule="auto"/>
              <w:jc w:val="right"/>
              <w:rPr>
                <w:rFonts w:ascii="Arial" w:eastAsia="Times New Roman" w:hAnsi="Arial" w:cs="Arial"/>
                <w:color w:val="000000"/>
                <w:kern w:val="0"/>
                <w:sz w:val="16"/>
                <w:szCs w:val="16"/>
                <w:lang w:eastAsia="pt-BR"/>
                <w14:ligatures w14:val="none"/>
              </w:rPr>
            </w:pPr>
            <w:r w:rsidRPr="00F07126">
              <w:rPr>
                <w:rFonts w:ascii="Arial" w:eastAsia="Times New Roman" w:hAnsi="Arial" w:cs="Arial"/>
                <w:color w:val="000000"/>
                <w:kern w:val="0"/>
                <w:sz w:val="16"/>
                <w:szCs w:val="16"/>
                <w:lang w:eastAsia="pt-BR"/>
                <w14:ligatures w14:val="none"/>
              </w:rPr>
              <w:t>3.285.734</w:t>
            </w:r>
          </w:p>
        </w:tc>
        <w:tc>
          <w:tcPr>
            <w:tcW w:w="396" w:type="pct"/>
            <w:tcBorders>
              <w:top w:val="nil"/>
              <w:left w:val="nil"/>
              <w:bottom w:val="single" w:sz="8" w:space="0" w:color="auto"/>
              <w:right w:val="single" w:sz="8" w:space="0" w:color="auto"/>
            </w:tcBorders>
            <w:shd w:val="clear" w:color="auto" w:fill="auto"/>
            <w:noWrap/>
            <w:vAlign w:val="center"/>
            <w:hideMark/>
          </w:tcPr>
          <w:p w14:paraId="71EEEF1B" w14:textId="77777777" w:rsidR="00F07126" w:rsidRPr="00F07126" w:rsidRDefault="00F07126" w:rsidP="00F07126">
            <w:pPr>
              <w:spacing w:after="0" w:line="240" w:lineRule="auto"/>
              <w:jc w:val="right"/>
              <w:rPr>
                <w:rFonts w:ascii="Arial" w:eastAsia="Times New Roman" w:hAnsi="Arial" w:cs="Arial"/>
                <w:color w:val="000000"/>
                <w:kern w:val="0"/>
                <w:sz w:val="16"/>
                <w:szCs w:val="16"/>
                <w:lang w:eastAsia="pt-BR"/>
                <w14:ligatures w14:val="none"/>
              </w:rPr>
            </w:pPr>
            <w:r w:rsidRPr="00F07126">
              <w:rPr>
                <w:rFonts w:ascii="Arial" w:eastAsia="Times New Roman" w:hAnsi="Arial" w:cs="Arial"/>
                <w:color w:val="000000"/>
                <w:kern w:val="0"/>
                <w:sz w:val="16"/>
                <w:szCs w:val="16"/>
                <w:lang w:eastAsia="pt-BR"/>
                <w14:ligatures w14:val="none"/>
              </w:rPr>
              <w:t>3,80%</w:t>
            </w:r>
          </w:p>
        </w:tc>
      </w:tr>
      <w:tr w:rsidR="00F07126" w:rsidRPr="00F07126" w14:paraId="5089E8E0" w14:textId="77777777" w:rsidTr="00446A14">
        <w:trPr>
          <w:trHeight w:val="238"/>
        </w:trPr>
        <w:tc>
          <w:tcPr>
            <w:tcW w:w="911" w:type="pct"/>
            <w:tcBorders>
              <w:top w:val="nil"/>
              <w:left w:val="single" w:sz="8" w:space="0" w:color="auto"/>
              <w:bottom w:val="single" w:sz="8" w:space="0" w:color="auto"/>
              <w:right w:val="single" w:sz="8" w:space="0" w:color="auto"/>
            </w:tcBorders>
            <w:shd w:val="clear" w:color="auto" w:fill="auto"/>
            <w:noWrap/>
            <w:vAlign w:val="center"/>
            <w:hideMark/>
          </w:tcPr>
          <w:p w14:paraId="225B7BB3" w14:textId="77777777" w:rsidR="00F07126" w:rsidRPr="00F07126" w:rsidRDefault="00F07126" w:rsidP="00F07126">
            <w:pPr>
              <w:spacing w:after="0" w:line="240" w:lineRule="auto"/>
              <w:rPr>
                <w:rFonts w:ascii="Arial" w:eastAsia="Times New Roman" w:hAnsi="Arial" w:cs="Arial"/>
                <w:color w:val="000000"/>
                <w:kern w:val="0"/>
                <w:sz w:val="16"/>
                <w:szCs w:val="16"/>
                <w:lang w:eastAsia="pt-BR"/>
                <w14:ligatures w14:val="none"/>
              </w:rPr>
            </w:pPr>
            <w:r w:rsidRPr="00F07126">
              <w:rPr>
                <w:rFonts w:ascii="Arial" w:eastAsia="Times New Roman" w:hAnsi="Arial" w:cs="Arial"/>
                <w:color w:val="000000"/>
                <w:kern w:val="0"/>
                <w:sz w:val="16"/>
                <w:szCs w:val="16"/>
                <w:lang w:eastAsia="pt-BR"/>
                <w14:ligatures w14:val="none"/>
              </w:rPr>
              <w:t>Ações em Tesouraria</w:t>
            </w:r>
          </w:p>
        </w:tc>
        <w:tc>
          <w:tcPr>
            <w:tcW w:w="536" w:type="pct"/>
            <w:tcBorders>
              <w:top w:val="nil"/>
              <w:left w:val="nil"/>
              <w:bottom w:val="single" w:sz="8" w:space="0" w:color="auto"/>
              <w:right w:val="single" w:sz="8" w:space="0" w:color="auto"/>
            </w:tcBorders>
            <w:shd w:val="clear" w:color="auto" w:fill="auto"/>
            <w:noWrap/>
            <w:vAlign w:val="center"/>
            <w:hideMark/>
          </w:tcPr>
          <w:p w14:paraId="2AA553C7" w14:textId="77777777" w:rsidR="00F07126" w:rsidRPr="00F07126" w:rsidRDefault="00F07126" w:rsidP="00F07126">
            <w:pPr>
              <w:spacing w:after="0" w:line="240" w:lineRule="auto"/>
              <w:jc w:val="right"/>
              <w:rPr>
                <w:rFonts w:ascii="Arial" w:eastAsia="Times New Roman" w:hAnsi="Arial" w:cs="Arial"/>
                <w:color w:val="000000"/>
                <w:kern w:val="0"/>
                <w:sz w:val="16"/>
                <w:szCs w:val="16"/>
                <w:lang w:eastAsia="pt-BR"/>
                <w14:ligatures w14:val="none"/>
              </w:rPr>
            </w:pPr>
            <w:r w:rsidRPr="00F07126">
              <w:rPr>
                <w:rFonts w:ascii="Arial" w:eastAsia="Times New Roman" w:hAnsi="Arial" w:cs="Arial"/>
                <w:color w:val="000000"/>
                <w:kern w:val="0"/>
                <w:sz w:val="16"/>
                <w:szCs w:val="16"/>
                <w:lang w:eastAsia="pt-BR"/>
                <w14:ligatures w14:val="none"/>
              </w:rPr>
              <w:t>193</w:t>
            </w:r>
          </w:p>
        </w:tc>
        <w:tc>
          <w:tcPr>
            <w:tcW w:w="436" w:type="pct"/>
            <w:tcBorders>
              <w:top w:val="nil"/>
              <w:left w:val="nil"/>
              <w:bottom w:val="single" w:sz="8" w:space="0" w:color="auto"/>
              <w:right w:val="single" w:sz="8" w:space="0" w:color="auto"/>
            </w:tcBorders>
            <w:shd w:val="clear" w:color="auto" w:fill="auto"/>
            <w:noWrap/>
            <w:vAlign w:val="center"/>
            <w:hideMark/>
          </w:tcPr>
          <w:p w14:paraId="238BB34A" w14:textId="77777777" w:rsidR="00F07126" w:rsidRPr="00F07126" w:rsidRDefault="00F07126" w:rsidP="00F07126">
            <w:pPr>
              <w:spacing w:after="0" w:line="240" w:lineRule="auto"/>
              <w:jc w:val="right"/>
              <w:rPr>
                <w:rFonts w:ascii="Arial" w:eastAsia="Times New Roman" w:hAnsi="Arial" w:cs="Arial"/>
                <w:color w:val="000000"/>
                <w:kern w:val="0"/>
                <w:sz w:val="16"/>
                <w:szCs w:val="16"/>
                <w:lang w:eastAsia="pt-BR"/>
                <w14:ligatures w14:val="none"/>
              </w:rPr>
            </w:pPr>
            <w:r w:rsidRPr="00F07126">
              <w:rPr>
                <w:rFonts w:ascii="Arial" w:eastAsia="Times New Roman" w:hAnsi="Arial" w:cs="Arial"/>
                <w:color w:val="000000"/>
                <w:kern w:val="0"/>
                <w:sz w:val="16"/>
                <w:szCs w:val="16"/>
                <w:lang w:eastAsia="pt-BR"/>
                <w14:ligatures w14:val="none"/>
              </w:rPr>
              <w:t>0,00%</w:t>
            </w:r>
          </w:p>
        </w:tc>
        <w:tc>
          <w:tcPr>
            <w:tcW w:w="725" w:type="pct"/>
            <w:tcBorders>
              <w:top w:val="nil"/>
              <w:left w:val="nil"/>
              <w:bottom w:val="single" w:sz="8" w:space="0" w:color="auto"/>
              <w:right w:val="single" w:sz="8" w:space="0" w:color="auto"/>
            </w:tcBorders>
            <w:shd w:val="clear" w:color="000000" w:fill="BFBFBF"/>
            <w:noWrap/>
            <w:vAlign w:val="center"/>
            <w:hideMark/>
          </w:tcPr>
          <w:p w14:paraId="4169E7FD" w14:textId="77777777" w:rsidR="00F07126" w:rsidRPr="00F07126" w:rsidRDefault="00F07126" w:rsidP="00F07126">
            <w:pPr>
              <w:spacing w:after="0" w:line="240" w:lineRule="auto"/>
              <w:rPr>
                <w:rFonts w:ascii="Arial" w:eastAsia="Times New Roman" w:hAnsi="Arial" w:cs="Arial"/>
                <w:color w:val="000000"/>
                <w:kern w:val="0"/>
                <w:sz w:val="16"/>
                <w:szCs w:val="16"/>
                <w:lang w:eastAsia="pt-BR"/>
                <w14:ligatures w14:val="none"/>
              </w:rPr>
            </w:pPr>
            <w:r w:rsidRPr="00F07126">
              <w:rPr>
                <w:rFonts w:ascii="Arial" w:eastAsia="Times New Roman" w:hAnsi="Arial" w:cs="Arial"/>
                <w:color w:val="000000"/>
                <w:kern w:val="0"/>
                <w:sz w:val="16"/>
                <w:szCs w:val="16"/>
                <w:lang w:eastAsia="pt-BR"/>
                <w14:ligatures w14:val="none"/>
              </w:rPr>
              <w:t> </w:t>
            </w:r>
          </w:p>
        </w:tc>
        <w:tc>
          <w:tcPr>
            <w:tcW w:w="509" w:type="pct"/>
            <w:tcBorders>
              <w:top w:val="nil"/>
              <w:left w:val="nil"/>
              <w:bottom w:val="single" w:sz="8" w:space="0" w:color="auto"/>
              <w:right w:val="single" w:sz="8" w:space="0" w:color="auto"/>
            </w:tcBorders>
            <w:shd w:val="clear" w:color="000000" w:fill="BFBFBF"/>
            <w:noWrap/>
            <w:vAlign w:val="center"/>
            <w:hideMark/>
          </w:tcPr>
          <w:p w14:paraId="16F5A10A" w14:textId="77777777" w:rsidR="00F07126" w:rsidRPr="00F07126" w:rsidRDefault="00F07126" w:rsidP="00F07126">
            <w:pPr>
              <w:spacing w:after="0" w:line="240" w:lineRule="auto"/>
              <w:jc w:val="right"/>
              <w:rPr>
                <w:rFonts w:ascii="Arial" w:eastAsia="Times New Roman" w:hAnsi="Arial" w:cs="Arial"/>
                <w:color w:val="000000"/>
                <w:kern w:val="0"/>
                <w:sz w:val="16"/>
                <w:szCs w:val="16"/>
                <w:lang w:eastAsia="pt-BR"/>
                <w14:ligatures w14:val="none"/>
              </w:rPr>
            </w:pPr>
            <w:r w:rsidRPr="00F07126">
              <w:rPr>
                <w:rFonts w:ascii="Arial" w:eastAsia="Times New Roman" w:hAnsi="Arial" w:cs="Arial"/>
                <w:color w:val="000000"/>
                <w:kern w:val="0"/>
                <w:sz w:val="16"/>
                <w:szCs w:val="16"/>
                <w:lang w:eastAsia="pt-BR"/>
                <w14:ligatures w14:val="none"/>
              </w:rPr>
              <w:t> </w:t>
            </w:r>
          </w:p>
        </w:tc>
        <w:tc>
          <w:tcPr>
            <w:tcW w:w="418" w:type="pct"/>
            <w:tcBorders>
              <w:top w:val="nil"/>
              <w:left w:val="nil"/>
              <w:bottom w:val="single" w:sz="8" w:space="0" w:color="auto"/>
              <w:right w:val="single" w:sz="8" w:space="0" w:color="auto"/>
            </w:tcBorders>
            <w:shd w:val="clear" w:color="000000" w:fill="BFBFBF"/>
            <w:noWrap/>
            <w:vAlign w:val="center"/>
            <w:hideMark/>
          </w:tcPr>
          <w:p w14:paraId="682FC516" w14:textId="77777777" w:rsidR="00F07126" w:rsidRPr="00F07126" w:rsidRDefault="00F07126" w:rsidP="00F07126">
            <w:pPr>
              <w:spacing w:after="0" w:line="240" w:lineRule="auto"/>
              <w:jc w:val="right"/>
              <w:rPr>
                <w:rFonts w:ascii="Arial" w:eastAsia="Times New Roman" w:hAnsi="Arial" w:cs="Arial"/>
                <w:color w:val="000000"/>
                <w:kern w:val="0"/>
                <w:sz w:val="16"/>
                <w:szCs w:val="16"/>
                <w:lang w:eastAsia="pt-BR"/>
                <w14:ligatures w14:val="none"/>
              </w:rPr>
            </w:pPr>
            <w:r w:rsidRPr="00F07126">
              <w:rPr>
                <w:rFonts w:ascii="Arial" w:eastAsia="Times New Roman" w:hAnsi="Arial" w:cs="Arial"/>
                <w:color w:val="000000"/>
                <w:kern w:val="0"/>
                <w:sz w:val="16"/>
                <w:szCs w:val="16"/>
                <w:lang w:eastAsia="pt-BR"/>
                <w14:ligatures w14:val="none"/>
              </w:rPr>
              <w:t> </w:t>
            </w:r>
          </w:p>
        </w:tc>
        <w:tc>
          <w:tcPr>
            <w:tcW w:w="587" w:type="pct"/>
            <w:tcBorders>
              <w:top w:val="nil"/>
              <w:left w:val="nil"/>
              <w:bottom w:val="single" w:sz="8" w:space="0" w:color="auto"/>
              <w:right w:val="single" w:sz="8" w:space="0" w:color="auto"/>
            </w:tcBorders>
            <w:shd w:val="clear" w:color="000000" w:fill="BFBFBF"/>
            <w:noWrap/>
            <w:vAlign w:val="center"/>
            <w:hideMark/>
          </w:tcPr>
          <w:p w14:paraId="0BA8CFA3" w14:textId="77777777" w:rsidR="00F07126" w:rsidRPr="00F07126" w:rsidRDefault="00F07126" w:rsidP="00F07126">
            <w:pPr>
              <w:spacing w:after="0" w:line="240" w:lineRule="auto"/>
              <w:rPr>
                <w:rFonts w:ascii="Arial" w:eastAsia="Times New Roman" w:hAnsi="Arial" w:cs="Arial"/>
                <w:color w:val="000000"/>
                <w:kern w:val="0"/>
                <w:sz w:val="16"/>
                <w:szCs w:val="16"/>
                <w:lang w:eastAsia="pt-BR"/>
                <w14:ligatures w14:val="none"/>
              </w:rPr>
            </w:pPr>
            <w:r w:rsidRPr="00F07126">
              <w:rPr>
                <w:rFonts w:ascii="Arial" w:eastAsia="Times New Roman" w:hAnsi="Arial" w:cs="Arial"/>
                <w:color w:val="000000"/>
                <w:kern w:val="0"/>
                <w:sz w:val="16"/>
                <w:szCs w:val="16"/>
                <w:lang w:eastAsia="pt-BR"/>
                <w14:ligatures w14:val="none"/>
              </w:rPr>
              <w:t> </w:t>
            </w:r>
          </w:p>
        </w:tc>
        <w:tc>
          <w:tcPr>
            <w:tcW w:w="482" w:type="pct"/>
            <w:tcBorders>
              <w:top w:val="nil"/>
              <w:left w:val="nil"/>
              <w:bottom w:val="single" w:sz="8" w:space="0" w:color="auto"/>
              <w:right w:val="single" w:sz="8" w:space="0" w:color="auto"/>
            </w:tcBorders>
            <w:shd w:val="clear" w:color="auto" w:fill="auto"/>
            <w:noWrap/>
            <w:vAlign w:val="center"/>
            <w:hideMark/>
          </w:tcPr>
          <w:p w14:paraId="6632503E" w14:textId="77777777" w:rsidR="00F07126" w:rsidRPr="00F07126" w:rsidRDefault="00F07126" w:rsidP="00F07126">
            <w:pPr>
              <w:spacing w:after="0" w:line="240" w:lineRule="auto"/>
              <w:jc w:val="right"/>
              <w:rPr>
                <w:rFonts w:ascii="Arial" w:eastAsia="Times New Roman" w:hAnsi="Arial" w:cs="Arial"/>
                <w:color w:val="000000"/>
                <w:kern w:val="0"/>
                <w:sz w:val="16"/>
                <w:szCs w:val="16"/>
                <w:lang w:eastAsia="pt-BR"/>
                <w14:ligatures w14:val="none"/>
              </w:rPr>
            </w:pPr>
            <w:r w:rsidRPr="00F07126">
              <w:rPr>
                <w:rFonts w:ascii="Arial" w:eastAsia="Times New Roman" w:hAnsi="Arial" w:cs="Arial"/>
                <w:color w:val="000000"/>
                <w:kern w:val="0"/>
                <w:sz w:val="16"/>
                <w:szCs w:val="16"/>
                <w:lang w:eastAsia="pt-BR"/>
                <w14:ligatures w14:val="none"/>
              </w:rPr>
              <w:t>193</w:t>
            </w:r>
          </w:p>
        </w:tc>
        <w:tc>
          <w:tcPr>
            <w:tcW w:w="396" w:type="pct"/>
            <w:tcBorders>
              <w:top w:val="nil"/>
              <w:left w:val="nil"/>
              <w:bottom w:val="single" w:sz="8" w:space="0" w:color="auto"/>
              <w:right w:val="single" w:sz="8" w:space="0" w:color="auto"/>
            </w:tcBorders>
            <w:shd w:val="clear" w:color="auto" w:fill="auto"/>
            <w:noWrap/>
            <w:vAlign w:val="center"/>
            <w:hideMark/>
          </w:tcPr>
          <w:p w14:paraId="333D44EC" w14:textId="77777777" w:rsidR="00F07126" w:rsidRPr="00F07126" w:rsidRDefault="00F07126" w:rsidP="00F07126">
            <w:pPr>
              <w:spacing w:after="0" w:line="240" w:lineRule="auto"/>
              <w:jc w:val="right"/>
              <w:rPr>
                <w:rFonts w:ascii="Arial" w:eastAsia="Times New Roman" w:hAnsi="Arial" w:cs="Arial"/>
                <w:color w:val="000000"/>
                <w:kern w:val="0"/>
                <w:sz w:val="16"/>
                <w:szCs w:val="16"/>
                <w:lang w:eastAsia="pt-BR"/>
                <w14:ligatures w14:val="none"/>
              </w:rPr>
            </w:pPr>
            <w:r w:rsidRPr="00F07126">
              <w:rPr>
                <w:rFonts w:ascii="Arial" w:eastAsia="Times New Roman" w:hAnsi="Arial" w:cs="Arial"/>
                <w:color w:val="000000"/>
                <w:kern w:val="0"/>
                <w:sz w:val="16"/>
                <w:szCs w:val="16"/>
                <w:lang w:eastAsia="pt-BR"/>
                <w14:ligatures w14:val="none"/>
              </w:rPr>
              <w:t>0,00%</w:t>
            </w:r>
          </w:p>
        </w:tc>
      </w:tr>
      <w:tr w:rsidR="00F07126" w:rsidRPr="00F07126" w14:paraId="516EEDD9" w14:textId="77777777" w:rsidTr="00446A14">
        <w:trPr>
          <w:trHeight w:val="238"/>
        </w:trPr>
        <w:tc>
          <w:tcPr>
            <w:tcW w:w="911" w:type="pct"/>
            <w:tcBorders>
              <w:top w:val="nil"/>
              <w:left w:val="single" w:sz="8" w:space="0" w:color="auto"/>
              <w:bottom w:val="single" w:sz="8" w:space="0" w:color="auto"/>
              <w:right w:val="single" w:sz="8" w:space="0" w:color="auto"/>
            </w:tcBorders>
            <w:shd w:val="clear" w:color="auto" w:fill="auto"/>
            <w:noWrap/>
            <w:vAlign w:val="center"/>
            <w:hideMark/>
          </w:tcPr>
          <w:p w14:paraId="55B7BCBB" w14:textId="77777777" w:rsidR="00F07126" w:rsidRPr="00F07126" w:rsidRDefault="00F07126" w:rsidP="00F07126">
            <w:pPr>
              <w:spacing w:after="0" w:line="240" w:lineRule="auto"/>
              <w:rPr>
                <w:rFonts w:ascii="Arial" w:eastAsia="Times New Roman" w:hAnsi="Arial" w:cs="Arial"/>
                <w:b/>
                <w:bCs/>
                <w:color w:val="000000"/>
                <w:kern w:val="0"/>
                <w:sz w:val="16"/>
                <w:szCs w:val="16"/>
                <w:lang w:eastAsia="pt-BR"/>
                <w14:ligatures w14:val="none"/>
              </w:rPr>
            </w:pPr>
            <w:r w:rsidRPr="00F07126">
              <w:rPr>
                <w:rFonts w:ascii="Arial" w:eastAsia="Times New Roman" w:hAnsi="Arial" w:cs="Arial"/>
                <w:b/>
                <w:bCs/>
                <w:color w:val="000000"/>
                <w:kern w:val="0"/>
                <w:sz w:val="16"/>
                <w:szCs w:val="16"/>
                <w:lang w:eastAsia="pt-BR"/>
                <w14:ligatures w14:val="none"/>
              </w:rPr>
              <w:t>Total</w:t>
            </w:r>
          </w:p>
        </w:tc>
        <w:tc>
          <w:tcPr>
            <w:tcW w:w="536" w:type="pct"/>
            <w:tcBorders>
              <w:top w:val="nil"/>
              <w:left w:val="nil"/>
              <w:bottom w:val="single" w:sz="8" w:space="0" w:color="auto"/>
              <w:right w:val="single" w:sz="8" w:space="0" w:color="auto"/>
            </w:tcBorders>
            <w:shd w:val="clear" w:color="auto" w:fill="auto"/>
            <w:noWrap/>
            <w:vAlign w:val="center"/>
            <w:hideMark/>
          </w:tcPr>
          <w:p w14:paraId="04D0263B" w14:textId="77777777" w:rsidR="00F07126" w:rsidRPr="00F07126" w:rsidRDefault="00F07126" w:rsidP="00F07126">
            <w:pPr>
              <w:spacing w:after="0" w:line="240" w:lineRule="auto"/>
              <w:jc w:val="right"/>
              <w:rPr>
                <w:rFonts w:ascii="Arial" w:eastAsia="Times New Roman" w:hAnsi="Arial" w:cs="Arial"/>
                <w:b/>
                <w:bCs/>
                <w:color w:val="000000"/>
                <w:kern w:val="0"/>
                <w:sz w:val="16"/>
                <w:szCs w:val="16"/>
                <w:lang w:eastAsia="pt-BR"/>
                <w14:ligatures w14:val="none"/>
              </w:rPr>
            </w:pPr>
            <w:r w:rsidRPr="00F07126">
              <w:rPr>
                <w:rFonts w:ascii="Arial" w:eastAsia="Times New Roman" w:hAnsi="Arial" w:cs="Arial"/>
                <w:b/>
                <w:bCs/>
                <w:color w:val="000000"/>
                <w:kern w:val="0"/>
                <w:sz w:val="16"/>
                <w:szCs w:val="16"/>
                <w:lang w:eastAsia="pt-BR"/>
                <w14:ligatures w14:val="none"/>
              </w:rPr>
              <w:t>67.975.599</w:t>
            </w:r>
          </w:p>
        </w:tc>
        <w:tc>
          <w:tcPr>
            <w:tcW w:w="436" w:type="pct"/>
            <w:tcBorders>
              <w:top w:val="nil"/>
              <w:left w:val="nil"/>
              <w:bottom w:val="single" w:sz="8" w:space="0" w:color="auto"/>
              <w:right w:val="single" w:sz="8" w:space="0" w:color="auto"/>
            </w:tcBorders>
            <w:shd w:val="clear" w:color="auto" w:fill="auto"/>
            <w:noWrap/>
            <w:vAlign w:val="center"/>
            <w:hideMark/>
          </w:tcPr>
          <w:p w14:paraId="4057662C" w14:textId="77777777" w:rsidR="00F07126" w:rsidRPr="00F07126" w:rsidRDefault="00F07126" w:rsidP="00F07126">
            <w:pPr>
              <w:spacing w:after="0" w:line="240" w:lineRule="auto"/>
              <w:jc w:val="right"/>
              <w:rPr>
                <w:rFonts w:ascii="Arial" w:eastAsia="Times New Roman" w:hAnsi="Arial" w:cs="Arial"/>
                <w:b/>
                <w:bCs/>
                <w:color w:val="000000"/>
                <w:kern w:val="0"/>
                <w:sz w:val="16"/>
                <w:szCs w:val="16"/>
                <w:lang w:eastAsia="pt-BR"/>
                <w14:ligatures w14:val="none"/>
              </w:rPr>
            </w:pPr>
            <w:r w:rsidRPr="00F07126">
              <w:rPr>
                <w:rFonts w:ascii="Arial" w:eastAsia="Times New Roman" w:hAnsi="Arial" w:cs="Arial"/>
                <w:b/>
                <w:bCs/>
                <w:color w:val="000000"/>
                <w:kern w:val="0"/>
                <w:sz w:val="16"/>
                <w:szCs w:val="16"/>
                <w:lang w:eastAsia="pt-BR"/>
                <w14:ligatures w14:val="none"/>
              </w:rPr>
              <w:t>100,00%</w:t>
            </w:r>
          </w:p>
        </w:tc>
        <w:tc>
          <w:tcPr>
            <w:tcW w:w="725" w:type="pct"/>
            <w:tcBorders>
              <w:top w:val="nil"/>
              <w:left w:val="nil"/>
              <w:bottom w:val="single" w:sz="8" w:space="0" w:color="auto"/>
              <w:right w:val="single" w:sz="8" w:space="0" w:color="auto"/>
            </w:tcBorders>
            <w:shd w:val="clear" w:color="auto" w:fill="auto"/>
            <w:noWrap/>
            <w:vAlign w:val="center"/>
            <w:hideMark/>
          </w:tcPr>
          <w:p w14:paraId="73F77D6C" w14:textId="77777777" w:rsidR="00F07126" w:rsidRPr="00F07126" w:rsidRDefault="00F07126" w:rsidP="00F07126">
            <w:pPr>
              <w:spacing w:after="0" w:line="240" w:lineRule="auto"/>
              <w:rPr>
                <w:rFonts w:ascii="Arial" w:eastAsia="Times New Roman" w:hAnsi="Arial" w:cs="Arial"/>
                <w:color w:val="000000"/>
                <w:kern w:val="0"/>
                <w:sz w:val="16"/>
                <w:szCs w:val="16"/>
                <w:lang w:eastAsia="pt-BR"/>
                <w14:ligatures w14:val="none"/>
              </w:rPr>
            </w:pPr>
            <w:r w:rsidRPr="00F07126">
              <w:rPr>
                <w:rFonts w:ascii="Arial" w:eastAsia="Times New Roman" w:hAnsi="Arial" w:cs="Arial"/>
                <w:color w:val="000000"/>
                <w:kern w:val="0"/>
                <w:sz w:val="16"/>
                <w:szCs w:val="16"/>
                <w:lang w:eastAsia="pt-BR"/>
                <w14:ligatures w14:val="none"/>
              </w:rPr>
              <w:t>Total</w:t>
            </w:r>
          </w:p>
        </w:tc>
        <w:tc>
          <w:tcPr>
            <w:tcW w:w="509" w:type="pct"/>
            <w:tcBorders>
              <w:top w:val="nil"/>
              <w:left w:val="nil"/>
              <w:bottom w:val="single" w:sz="8" w:space="0" w:color="auto"/>
              <w:right w:val="single" w:sz="8" w:space="0" w:color="auto"/>
            </w:tcBorders>
            <w:shd w:val="clear" w:color="auto" w:fill="auto"/>
            <w:noWrap/>
            <w:vAlign w:val="center"/>
            <w:hideMark/>
          </w:tcPr>
          <w:p w14:paraId="78939776" w14:textId="77777777" w:rsidR="00F07126" w:rsidRPr="00F07126" w:rsidRDefault="00F07126" w:rsidP="00F07126">
            <w:pPr>
              <w:spacing w:after="0" w:line="240" w:lineRule="auto"/>
              <w:jc w:val="right"/>
              <w:rPr>
                <w:rFonts w:ascii="Arial" w:eastAsia="Times New Roman" w:hAnsi="Arial" w:cs="Arial"/>
                <w:b/>
                <w:bCs/>
                <w:color w:val="000000"/>
                <w:kern w:val="0"/>
                <w:sz w:val="16"/>
                <w:szCs w:val="16"/>
                <w:lang w:eastAsia="pt-BR"/>
                <w14:ligatures w14:val="none"/>
              </w:rPr>
            </w:pPr>
            <w:r w:rsidRPr="00F07126">
              <w:rPr>
                <w:rFonts w:ascii="Arial" w:eastAsia="Times New Roman" w:hAnsi="Arial" w:cs="Arial"/>
                <w:b/>
                <w:bCs/>
                <w:color w:val="000000"/>
                <w:kern w:val="0"/>
                <w:sz w:val="16"/>
                <w:szCs w:val="16"/>
                <w:lang w:eastAsia="pt-BR"/>
                <w14:ligatures w14:val="none"/>
              </w:rPr>
              <w:t>18.407.491</w:t>
            </w:r>
          </w:p>
        </w:tc>
        <w:tc>
          <w:tcPr>
            <w:tcW w:w="418" w:type="pct"/>
            <w:tcBorders>
              <w:top w:val="nil"/>
              <w:left w:val="nil"/>
              <w:bottom w:val="single" w:sz="8" w:space="0" w:color="auto"/>
              <w:right w:val="single" w:sz="8" w:space="0" w:color="auto"/>
            </w:tcBorders>
            <w:shd w:val="clear" w:color="auto" w:fill="auto"/>
            <w:noWrap/>
            <w:vAlign w:val="center"/>
            <w:hideMark/>
          </w:tcPr>
          <w:p w14:paraId="51267431" w14:textId="77777777" w:rsidR="00F07126" w:rsidRPr="00F07126" w:rsidRDefault="00F07126" w:rsidP="00F07126">
            <w:pPr>
              <w:spacing w:after="0" w:line="240" w:lineRule="auto"/>
              <w:jc w:val="right"/>
              <w:rPr>
                <w:rFonts w:ascii="Arial" w:eastAsia="Times New Roman" w:hAnsi="Arial" w:cs="Arial"/>
                <w:b/>
                <w:bCs/>
                <w:color w:val="000000"/>
                <w:kern w:val="0"/>
                <w:sz w:val="16"/>
                <w:szCs w:val="16"/>
                <w:lang w:eastAsia="pt-BR"/>
                <w14:ligatures w14:val="none"/>
              </w:rPr>
            </w:pPr>
            <w:r w:rsidRPr="00F07126">
              <w:rPr>
                <w:rFonts w:ascii="Arial" w:eastAsia="Times New Roman" w:hAnsi="Arial" w:cs="Arial"/>
                <w:b/>
                <w:bCs/>
                <w:color w:val="000000"/>
                <w:kern w:val="0"/>
                <w:sz w:val="16"/>
                <w:szCs w:val="16"/>
                <w:lang w:eastAsia="pt-BR"/>
                <w14:ligatures w14:val="none"/>
              </w:rPr>
              <w:t>100,00%</w:t>
            </w:r>
          </w:p>
        </w:tc>
        <w:tc>
          <w:tcPr>
            <w:tcW w:w="587" w:type="pct"/>
            <w:tcBorders>
              <w:top w:val="nil"/>
              <w:left w:val="nil"/>
              <w:bottom w:val="single" w:sz="8" w:space="0" w:color="auto"/>
              <w:right w:val="single" w:sz="8" w:space="0" w:color="auto"/>
            </w:tcBorders>
            <w:shd w:val="clear" w:color="auto" w:fill="auto"/>
            <w:noWrap/>
            <w:vAlign w:val="center"/>
            <w:hideMark/>
          </w:tcPr>
          <w:p w14:paraId="4B444C0C" w14:textId="77777777" w:rsidR="00F07126" w:rsidRPr="00F07126" w:rsidRDefault="00F07126" w:rsidP="00F07126">
            <w:pPr>
              <w:spacing w:after="0" w:line="240" w:lineRule="auto"/>
              <w:rPr>
                <w:rFonts w:ascii="Arial" w:eastAsia="Times New Roman" w:hAnsi="Arial" w:cs="Arial"/>
                <w:b/>
                <w:bCs/>
                <w:color w:val="000000"/>
                <w:kern w:val="0"/>
                <w:sz w:val="16"/>
                <w:szCs w:val="16"/>
                <w:lang w:eastAsia="pt-BR"/>
                <w14:ligatures w14:val="none"/>
              </w:rPr>
            </w:pPr>
            <w:r w:rsidRPr="00F07126">
              <w:rPr>
                <w:rFonts w:ascii="Arial" w:eastAsia="Times New Roman" w:hAnsi="Arial" w:cs="Arial"/>
                <w:b/>
                <w:bCs/>
                <w:color w:val="000000"/>
                <w:kern w:val="0"/>
                <w:sz w:val="16"/>
                <w:szCs w:val="16"/>
                <w:lang w:eastAsia="pt-BR"/>
                <w14:ligatures w14:val="none"/>
              </w:rPr>
              <w:t>Total</w:t>
            </w:r>
          </w:p>
        </w:tc>
        <w:tc>
          <w:tcPr>
            <w:tcW w:w="482" w:type="pct"/>
            <w:tcBorders>
              <w:top w:val="nil"/>
              <w:left w:val="nil"/>
              <w:bottom w:val="single" w:sz="8" w:space="0" w:color="auto"/>
              <w:right w:val="single" w:sz="8" w:space="0" w:color="auto"/>
            </w:tcBorders>
            <w:shd w:val="clear" w:color="auto" w:fill="auto"/>
            <w:noWrap/>
            <w:vAlign w:val="center"/>
            <w:hideMark/>
          </w:tcPr>
          <w:p w14:paraId="162656CE" w14:textId="77777777" w:rsidR="00F07126" w:rsidRPr="00F07126" w:rsidRDefault="00F07126" w:rsidP="00F07126">
            <w:pPr>
              <w:spacing w:after="0" w:line="240" w:lineRule="auto"/>
              <w:jc w:val="right"/>
              <w:rPr>
                <w:rFonts w:ascii="Arial" w:eastAsia="Times New Roman" w:hAnsi="Arial" w:cs="Arial"/>
                <w:b/>
                <w:bCs/>
                <w:color w:val="000000"/>
                <w:kern w:val="0"/>
                <w:sz w:val="16"/>
                <w:szCs w:val="16"/>
                <w:lang w:eastAsia="pt-BR"/>
                <w14:ligatures w14:val="none"/>
              </w:rPr>
            </w:pPr>
            <w:r w:rsidRPr="00F07126">
              <w:rPr>
                <w:rFonts w:ascii="Arial" w:eastAsia="Times New Roman" w:hAnsi="Arial" w:cs="Arial"/>
                <w:b/>
                <w:bCs/>
                <w:color w:val="000000"/>
                <w:kern w:val="0"/>
                <w:sz w:val="16"/>
                <w:szCs w:val="16"/>
                <w:lang w:eastAsia="pt-BR"/>
                <w14:ligatures w14:val="none"/>
              </w:rPr>
              <w:t>86.383.090</w:t>
            </w:r>
          </w:p>
        </w:tc>
        <w:tc>
          <w:tcPr>
            <w:tcW w:w="396" w:type="pct"/>
            <w:tcBorders>
              <w:top w:val="nil"/>
              <w:left w:val="nil"/>
              <w:bottom w:val="single" w:sz="8" w:space="0" w:color="auto"/>
              <w:right w:val="single" w:sz="8" w:space="0" w:color="auto"/>
            </w:tcBorders>
            <w:shd w:val="clear" w:color="auto" w:fill="auto"/>
            <w:noWrap/>
            <w:vAlign w:val="center"/>
            <w:hideMark/>
          </w:tcPr>
          <w:p w14:paraId="57DCECA2" w14:textId="77777777" w:rsidR="00F07126" w:rsidRPr="00F07126" w:rsidRDefault="00F07126" w:rsidP="00F07126">
            <w:pPr>
              <w:spacing w:after="0" w:line="240" w:lineRule="auto"/>
              <w:jc w:val="right"/>
              <w:rPr>
                <w:rFonts w:ascii="Arial" w:eastAsia="Times New Roman" w:hAnsi="Arial" w:cs="Arial"/>
                <w:b/>
                <w:bCs/>
                <w:color w:val="000000"/>
                <w:kern w:val="0"/>
                <w:sz w:val="16"/>
                <w:szCs w:val="16"/>
                <w:lang w:eastAsia="pt-BR"/>
                <w14:ligatures w14:val="none"/>
              </w:rPr>
            </w:pPr>
            <w:r w:rsidRPr="00F07126">
              <w:rPr>
                <w:rFonts w:ascii="Arial" w:eastAsia="Times New Roman" w:hAnsi="Arial" w:cs="Arial"/>
                <w:b/>
                <w:bCs/>
                <w:color w:val="000000"/>
                <w:kern w:val="0"/>
                <w:sz w:val="16"/>
                <w:szCs w:val="16"/>
                <w:lang w:eastAsia="pt-BR"/>
                <w14:ligatures w14:val="none"/>
              </w:rPr>
              <w:t>100,00%</w:t>
            </w:r>
          </w:p>
        </w:tc>
      </w:tr>
    </w:tbl>
    <w:p w14:paraId="0CD330E9" w14:textId="2B6A0118" w:rsidR="00F07126" w:rsidRDefault="00F07126" w:rsidP="00F07126">
      <w:pPr>
        <w:autoSpaceDE w:val="0"/>
        <w:autoSpaceDN w:val="0"/>
        <w:adjustRightInd w:val="0"/>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27.1.2. </w:t>
      </w:r>
      <w:r w:rsidRPr="00F07126">
        <w:rPr>
          <w:rFonts w:ascii="Calibri" w:eastAsia="Times New Roman" w:hAnsi="Calibri" w:cs="Calibri"/>
          <w:b/>
          <w:bCs/>
          <w:iCs/>
          <w:color w:val="002060"/>
          <w:kern w:val="0"/>
          <w14:ligatures w14:val="none"/>
        </w:rPr>
        <w:t>Valor patrimonial da ação</w:t>
      </w:r>
    </w:p>
    <w:tbl>
      <w:tblPr>
        <w:tblW w:w="5000" w:type="pct"/>
        <w:tblCellMar>
          <w:left w:w="70" w:type="dxa"/>
          <w:right w:w="70" w:type="dxa"/>
        </w:tblCellMar>
        <w:tblLook w:val="04A0" w:firstRow="1" w:lastRow="0" w:firstColumn="1" w:lastColumn="0" w:noHBand="0" w:noVBand="1"/>
      </w:tblPr>
      <w:tblGrid>
        <w:gridCol w:w="7042"/>
        <w:gridCol w:w="1423"/>
        <w:gridCol w:w="1296"/>
      </w:tblGrid>
      <w:tr w:rsidR="00F07126" w:rsidRPr="00F07126" w14:paraId="1D8BEBC6" w14:textId="77777777" w:rsidTr="00F716F2">
        <w:trPr>
          <w:trHeight w:val="238"/>
          <w:tblHeader/>
        </w:trPr>
        <w:tc>
          <w:tcPr>
            <w:tcW w:w="3607" w:type="pct"/>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453B233" w14:textId="77777777" w:rsidR="00F07126" w:rsidRPr="00F07126" w:rsidRDefault="00F07126" w:rsidP="00F07126">
            <w:pPr>
              <w:spacing w:after="0" w:line="240" w:lineRule="auto"/>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Componentes do Cálculo: </w:t>
            </w:r>
          </w:p>
        </w:tc>
        <w:tc>
          <w:tcPr>
            <w:tcW w:w="729" w:type="pct"/>
            <w:tcBorders>
              <w:top w:val="single" w:sz="8" w:space="0" w:color="auto"/>
              <w:left w:val="nil"/>
              <w:bottom w:val="single" w:sz="8" w:space="0" w:color="auto"/>
              <w:right w:val="single" w:sz="8" w:space="0" w:color="auto"/>
            </w:tcBorders>
            <w:shd w:val="clear" w:color="auto" w:fill="auto"/>
            <w:vAlign w:val="center"/>
            <w:hideMark/>
          </w:tcPr>
          <w:p w14:paraId="19E806BA" w14:textId="77777777" w:rsidR="00F07126" w:rsidRPr="00F07126" w:rsidRDefault="00F07126" w:rsidP="00F07126">
            <w:pPr>
              <w:spacing w:after="0" w:line="240" w:lineRule="auto"/>
              <w:jc w:val="center"/>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31/12/2023</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7556C9E2" w14:textId="77777777" w:rsidR="00F07126" w:rsidRPr="00F07126" w:rsidRDefault="00F07126" w:rsidP="00F07126">
            <w:pPr>
              <w:spacing w:after="0" w:line="240" w:lineRule="auto"/>
              <w:jc w:val="center"/>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 xml:space="preserve">31/12/2022 </w:t>
            </w:r>
            <w:r w:rsidRPr="00F07126">
              <w:rPr>
                <w:rFonts w:ascii="Arial" w:eastAsia="Times New Roman" w:hAnsi="Arial" w:cs="Arial"/>
                <w:b/>
                <w:bCs/>
                <w:color w:val="000000"/>
                <w:kern w:val="0"/>
                <w:sz w:val="16"/>
                <w:szCs w:val="16"/>
                <w:lang w:eastAsia="pt-BR"/>
                <w14:ligatures w14:val="none"/>
              </w:rPr>
              <w:t>Reapresentado</w:t>
            </w:r>
          </w:p>
        </w:tc>
      </w:tr>
      <w:tr w:rsidR="00F07126" w:rsidRPr="00F07126" w14:paraId="55BC5413" w14:textId="77777777" w:rsidTr="00F716F2">
        <w:trPr>
          <w:trHeight w:val="238"/>
        </w:trPr>
        <w:tc>
          <w:tcPr>
            <w:tcW w:w="3607" w:type="pct"/>
            <w:tcBorders>
              <w:top w:val="nil"/>
              <w:left w:val="single" w:sz="8" w:space="0" w:color="auto"/>
              <w:bottom w:val="single" w:sz="8" w:space="0" w:color="auto"/>
              <w:right w:val="single" w:sz="8" w:space="0" w:color="auto"/>
            </w:tcBorders>
            <w:shd w:val="clear" w:color="auto" w:fill="auto"/>
            <w:vAlign w:val="center"/>
            <w:hideMark/>
          </w:tcPr>
          <w:p w14:paraId="1BE0CA65" w14:textId="77777777" w:rsidR="00F07126" w:rsidRPr="00F07126" w:rsidRDefault="00F07126" w:rsidP="00F07126">
            <w:pPr>
              <w:spacing w:after="0" w:line="240" w:lineRule="auto"/>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Capital total em ações</w:t>
            </w:r>
          </w:p>
        </w:tc>
        <w:tc>
          <w:tcPr>
            <w:tcW w:w="729" w:type="pct"/>
            <w:tcBorders>
              <w:top w:val="nil"/>
              <w:left w:val="nil"/>
              <w:bottom w:val="single" w:sz="8" w:space="0" w:color="auto"/>
              <w:right w:val="single" w:sz="8" w:space="0" w:color="auto"/>
            </w:tcBorders>
            <w:shd w:val="clear" w:color="auto" w:fill="auto"/>
            <w:vAlign w:val="center"/>
            <w:hideMark/>
          </w:tcPr>
          <w:p w14:paraId="19C158C3" w14:textId="77777777" w:rsidR="00F07126" w:rsidRPr="00F07126" w:rsidRDefault="00F07126" w:rsidP="00F07126">
            <w:pPr>
              <w:spacing w:after="0" w:line="240" w:lineRule="auto"/>
              <w:jc w:val="right"/>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 </w:t>
            </w:r>
          </w:p>
        </w:tc>
        <w:tc>
          <w:tcPr>
            <w:tcW w:w="664" w:type="pct"/>
            <w:tcBorders>
              <w:top w:val="nil"/>
              <w:left w:val="nil"/>
              <w:bottom w:val="single" w:sz="8" w:space="0" w:color="auto"/>
              <w:right w:val="single" w:sz="8" w:space="0" w:color="auto"/>
            </w:tcBorders>
            <w:shd w:val="clear" w:color="auto" w:fill="auto"/>
            <w:vAlign w:val="center"/>
            <w:hideMark/>
          </w:tcPr>
          <w:p w14:paraId="2977030A" w14:textId="77777777" w:rsidR="00F07126" w:rsidRPr="00F07126" w:rsidRDefault="00F07126" w:rsidP="00F07126">
            <w:pPr>
              <w:spacing w:after="0" w:line="240" w:lineRule="auto"/>
              <w:jc w:val="right"/>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 </w:t>
            </w:r>
          </w:p>
        </w:tc>
      </w:tr>
      <w:tr w:rsidR="00F07126" w:rsidRPr="00F07126" w14:paraId="43EDF7A2" w14:textId="77777777" w:rsidTr="00F716F2">
        <w:trPr>
          <w:trHeight w:val="238"/>
        </w:trPr>
        <w:tc>
          <w:tcPr>
            <w:tcW w:w="3607" w:type="pct"/>
            <w:tcBorders>
              <w:top w:val="nil"/>
              <w:left w:val="single" w:sz="8" w:space="0" w:color="auto"/>
              <w:bottom w:val="single" w:sz="8" w:space="0" w:color="auto"/>
              <w:right w:val="single" w:sz="8" w:space="0" w:color="auto"/>
            </w:tcBorders>
            <w:shd w:val="clear" w:color="auto" w:fill="auto"/>
            <w:vAlign w:val="center"/>
            <w:hideMark/>
          </w:tcPr>
          <w:p w14:paraId="34F234A5" w14:textId="77777777" w:rsidR="00F07126" w:rsidRPr="00F07126" w:rsidRDefault="00F07126" w:rsidP="00F07126">
            <w:pPr>
              <w:spacing w:after="0" w:line="240" w:lineRule="auto"/>
              <w:rPr>
                <w:rFonts w:ascii="Arial" w:eastAsia="Times New Roman" w:hAnsi="Arial" w:cs="Arial"/>
                <w:color w:val="000000"/>
                <w:kern w:val="0"/>
                <w:sz w:val="18"/>
                <w:szCs w:val="18"/>
                <w:lang w:eastAsia="pt-BR"/>
                <w14:ligatures w14:val="none"/>
              </w:rPr>
            </w:pPr>
            <w:r w:rsidRPr="00F07126">
              <w:rPr>
                <w:rFonts w:ascii="Arial" w:eastAsia="Times New Roman" w:hAnsi="Arial" w:cs="Arial"/>
                <w:color w:val="000000"/>
                <w:kern w:val="0"/>
                <w:sz w:val="18"/>
                <w:szCs w:val="18"/>
                <w:lang w:eastAsia="pt-BR"/>
                <w14:ligatures w14:val="none"/>
              </w:rPr>
              <w:t>Ordinárias</w:t>
            </w:r>
          </w:p>
        </w:tc>
        <w:tc>
          <w:tcPr>
            <w:tcW w:w="729" w:type="pct"/>
            <w:tcBorders>
              <w:top w:val="nil"/>
              <w:left w:val="nil"/>
              <w:bottom w:val="single" w:sz="8" w:space="0" w:color="auto"/>
              <w:right w:val="single" w:sz="8" w:space="0" w:color="auto"/>
            </w:tcBorders>
            <w:shd w:val="clear" w:color="auto" w:fill="auto"/>
            <w:vAlign w:val="center"/>
            <w:hideMark/>
          </w:tcPr>
          <w:p w14:paraId="4ADA6C51" w14:textId="77777777" w:rsidR="00F07126" w:rsidRPr="00F07126" w:rsidRDefault="00F07126" w:rsidP="00F07126">
            <w:pPr>
              <w:spacing w:after="0" w:line="240" w:lineRule="auto"/>
              <w:jc w:val="right"/>
              <w:rPr>
                <w:rFonts w:ascii="Arial" w:eastAsia="Times New Roman" w:hAnsi="Arial" w:cs="Arial"/>
                <w:color w:val="000000"/>
                <w:kern w:val="0"/>
                <w:sz w:val="18"/>
                <w:szCs w:val="18"/>
                <w:lang w:eastAsia="pt-BR"/>
                <w14:ligatures w14:val="none"/>
              </w:rPr>
            </w:pPr>
            <w:r w:rsidRPr="00F07126">
              <w:rPr>
                <w:rFonts w:ascii="Arial" w:eastAsia="Times New Roman" w:hAnsi="Arial" w:cs="Arial"/>
                <w:color w:val="000000"/>
                <w:kern w:val="0"/>
                <w:sz w:val="18"/>
                <w:szCs w:val="18"/>
                <w:lang w:eastAsia="pt-BR"/>
                <w14:ligatures w14:val="none"/>
              </w:rPr>
              <w:t>67.975.599</w:t>
            </w:r>
          </w:p>
        </w:tc>
        <w:tc>
          <w:tcPr>
            <w:tcW w:w="664" w:type="pct"/>
            <w:tcBorders>
              <w:top w:val="nil"/>
              <w:left w:val="nil"/>
              <w:bottom w:val="single" w:sz="8" w:space="0" w:color="auto"/>
              <w:right w:val="single" w:sz="8" w:space="0" w:color="auto"/>
            </w:tcBorders>
            <w:shd w:val="clear" w:color="auto" w:fill="auto"/>
            <w:vAlign w:val="center"/>
            <w:hideMark/>
          </w:tcPr>
          <w:p w14:paraId="387A391E" w14:textId="77777777" w:rsidR="00F07126" w:rsidRPr="00F07126" w:rsidRDefault="00F07126" w:rsidP="00F07126">
            <w:pPr>
              <w:spacing w:after="0" w:line="240" w:lineRule="auto"/>
              <w:jc w:val="right"/>
              <w:rPr>
                <w:rFonts w:ascii="Arial" w:eastAsia="Times New Roman" w:hAnsi="Arial" w:cs="Arial"/>
                <w:color w:val="000000"/>
                <w:kern w:val="0"/>
                <w:sz w:val="18"/>
                <w:szCs w:val="18"/>
                <w:lang w:eastAsia="pt-BR"/>
                <w14:ligatures w14:val="none"/>
              </w:rPr>
            </w:pPr>
            <w:r w:rsidRPr="00F07126">
              <w:rPr>
                <w:rFonts w:ascii="Arial" w:eastAsia="Times New Roman" w:hAnsi="Arial" w:cs="Arial"/>
                <w:color w:val="000000"/>
                <w:kern w:val="0"/>
                <w:sz w:val="18"/>
                <w:szCs w:val="18"/>
                <w:lang w:eastAsia="pt-BR"/>
                <w14:ligatures w14:val="none"/>
              </w:rPr>
              <w:t>67.975.599</w:t>
            </w:r>
          </w:p>
        </w:tc>
      </w:tr>
      <w:tr w:rsidR="00F07126" w:rsidRPr="00F07126" w14:paraId="07FC6326" w14:textId="77777777" w:rsidTr="00F716F2">
        <w:trPr>
          <w:trHeight w:val="238"/>
        </w:trPr>
        <w:tc>
          <w:tcPr>
            <w:tcW w:w="3607" w:type="pct"/>
            <w:tcBorders>
              <w:top w:val="nil"/>
              <w:left w:val="single" w:sz="8" w:space="0" w:color="auto"/>
              <w:bottom w:val="single" w:sz="8" w:space="0" w:color="auto"/>
              <w:right w:val="single" w:sz="8" w:space="0" w:color="auto"/>
            </w:tcBorders>
            <w:shd w:val="clear" w:color="auto" w:fill="auto"/>
            <w:vAlign w:val="center"/>
            <w:hideMark/>
          </w:tcPr>
          <w:p w14:paraId="1B41E37C" w14:textId="77777777" w:rsidR="00F07126" w:rsidRPr="00F07126" w:rsidRDefault="00F07126" w:rsidP="00F07126">
            <w:pPr>
              <w:spacing w:after="0" w:line="240" w:lineRule="auto"/>
              <w:rPr>
                <w:rFonts w:ascii="Arial" w:eastAsia="Times New Roman" w:hAnsi="Arial" w:cs="Arial"/>
                <w:color w:val="000000"/>
                <w:kern w:val="0"/>
                <w:sz w:val="18"/>
                <w:szCs w:val="18"/>
                <w:lang w:eastAsia="pt-BR"/>
                <w14:ligatures w14:val="none"/>
              </w:rPr>
            </w:pPr>
            <w:r w:rsidRPr="00F07126">
              <w:rPr>
                <w:rFonts w:ascii="Arial" w:eastAsia="Times New Roman" w:hAnsi="Arial" w:cs="Arial"/>
                <w:color w:val="000000"/>
                <w:kern w:val="0"/>
                <w:sz w:val="18"/>
                <w:szCs w:val="18"/>
                <w:lang w:eastAsia="pt-BR"/>
                <w14:ligatures w14:val="none"/>
              </w:rPr>
              <w:t>Preferenciais</w:t>
            </w:r>
          </w:p>
        </w:tc>
        <w:tc>
          <w:tcPr>
            <w:tcW w:w="729" w:type="pct"/>
            <w:tcBorders>
              <w:top w:val="nil"/>
              <w:left w:val="nil"/>
              <w:bottom w:val="single" w:sz="8" w:space="0" w:color="auto"/>
              <w:right w:val="single" w:sz="8" w:space="0" w:color="auto"/>
            </w:tcBorders>
            <w:shd w:val="clear" w:color="auto" w:fill="auto"/>
            <w:vAlign w:val="center"/>
            <w:hideMark/>
          </w:tcPr>
          <w:p w14:paraId="49C0D986" w14:textId="77777777" w:rsidR="00F07126" w:rsidRPr="00F07126" w:rsidRDefault="00F07126" w:rsidP="00F07126">
            <w:pPr>
              <w:spacing w:after="0" w:line="240" w:lineRule="auto"/>
              <w:jc w:val="right"/>
              <w:rPr>
                <w:rFonts w:ascii="Arial" w:eastAsia="Times New Roman" w:hAnsi="Arial" w:cs="Arial"/>
                <w:color w:val="000000"/>
                <w:kern w:val="0"/>
                <w:sz w:val="18"/>
                <w:szCs w:val="18"/>
                <w:lang w:eastAsia="pt-BR"/>
                <w14:ligatures w14:val="none"/>
              </w:rPr>
            </w:pPr>
            <w:r w:rsidRPr="00F07126">
              <w:rPr>
                <w:rFonts w:ascii="Arial" w:eastAsia="Times New Roman" w:hAnsi="Arial" w:cs="Arial"/>
                <w:color w:val="000000"/>
                <w:kern w:val="0"/>
                <w:sz w:val="18"/>
                <w:szCs w:val="18"/>
                <w:lang w:eastAsia="pt-BR"/>
                <w14:ligatures w14:val="none"/>
              </w:rPr>
              <w:t>18.407.491</w:t>
            </w:r>
          </w:p>
        </w:tc>
        <w:tc>
          <w:tcPr>
            <w:tcW w:w="664" w:type="pct"/>
            <w:tcBorders>
              <w:top w:val="nil"/>
              <w:left w:val="nil"/>
              <w:bottom w:val="single" w:sz="8" w:space="0" w:color="auto"/>
              <w:right w:val="single" w:sz="8" w:space="0" w:color="auto"/>
            </w:tcBorders>
            <w:shd w:val="clear" w:color="auto" w:fill="auto"/>
            <w:vAlign w:val="center"/>
            <w:hideMark/>
          </w:tcPr>
          <w:p w14:paraId="0665BC7B" w14:textId="77777777" w:rsidR="00F07126" w:rsidRPr="00F07126" w:rsidRDefault="00F07126" w:rsidP="00F07126">
            <w:pPr>
              <w:spacing w:after="0" w:line="240" w:lineRule="auto"/>
              <w:jc w:val="right"/>
              <w:rPr>
                <w:rFonts w:ascii="Arial" w:eastAsia="Times New Roman" w:hAnsi="Arial" w:cs="Arial"/>
                <w:color w:val="000000"/>
                <w:kern w:val="0"/>
                <w:sz w:val="18"/>
                <w:szCs w:val="18"/>
                <w:lang w:eastAsia="pt-BR"/>
                <w14:ligatures w14:val="none"/>
              </w:rPr>
            </w:pPr>
            <w:r w:rsidRPr="00F07126">
              <w:rPr>
                <w:rFonts w:ascii="Arial" w:eastAsia="Times New Roman" w:hAnsi="Arial" w:cs="Arial"/>
                <w:color w:val="000000"/>
                <w:kern w:val="0"/>
                <w:sz w:val="18"/>
                <w:szCs w:val="18"/>
                <w:lang w:eastAsia="pt-BR"/>
                <w14:ligatures w14:val="none"/>
              </w:rPr>
              <w:t>18.407.491</w:t>
            </w:r>
          </w:p>
        </w:tc>
      </w:tr>
      <w:tr w:rsidR="00F07126" w:rsidRPr="00F07126" w14:paraId="1906D1AC" w14:textId="77777777" w:rsidTr="00F716F2">
        <w:trPr>
          <w:trHeight w:val="238"/>
        </w:trPr>
        <w:tc>
          <w:tcPr>
            <w:tcW w:w="3607" w:type="pct"/>
            <w:tcBorders>
              <w:top w:val="nil"/>
              <w:left w:val="single" w:sz="8" w:space="0" w:color="auto"/>
              <w:bottom w:val="single" w:sz="8" w:space="0" w:color="auto"/>
              <w:right w:val="single" w:sz="8" w:space="0" w:color="auto"/>
            </w:tcBorders>
            <w:shd w:val="clear" w:color="auto" w:fill="auto"/>
            <w:vAlign w:val="center"/>
            <w:hideMark/>
          </w:tcPr>
          <w:p w14:paraId="78745F93" w14:textId="77777777" w:rsidR="00F07126" w:rsidRPr="00F07126" w:rsidRDefault="00F07126" w:rsidP="00F07126">
            <w:pPr>
              <w:spacing w:after="0" w:line="240" w:lineRule="auto"/>
              <w:ind w:firstLineChars="100" w:firstLine="181"/>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Total (A)</w:t>
            </w:r>
          </w:p>
        </w:tc>
        <w:tc>
          <w:tcPr>
            <w:tcW w:w="729" w:type="pct"/>
            <w:tcBorders>
              <w:top w:val="nil"/>
              <w:left w:val="nil"/>
              <w:bottom w:val="single" w:sz="8" w:space="0" w:color="auto"/>
              <w:right w:val="single" w:sz="8" w:space="0" w:color="auto"/>
            </w:tcBorders>
            <w:shd w:val="clear" w:color="auto" w:fill="auto"/>
            <w:vAlign w:val="center"/>
            <w:hideMark/>
          </w:tcPr>
          <w:p w14:paraId="23838224" w14:textId="77777777" w:rsidR="00F07126" w:rsidRPr="00F07126" w:rsidRDefault="00F07126" w:rsidP="00F07126">
            <w:pPr>
              <w:spacing w:after="0" w:line="240" w:lineRule="auto"/>
              <w:jc w:val="right"/>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86.383.090</w:t>
            </w:r>
          </w:p>
        </w:tc>
        <w:tc>
          <w:tcPr>
            <w:tcW w:w="664" w:type="pct"/>
            <w:tcBorders>
              <w:top w:val="nil"/>
              <w:left w:val="nil"/>
              <w:bottom w:val="single" w:sz="8" w:space="0" w:color="auto"/>
              <w:right w:val="single" w:sz="8" w:space="0" w:color="auto"/>
            </w:tcBorders>
            <w:shd w:val="clear" w:color="auto" w:fill="auto"/>
            <w:vAlign w:val="center"/>
            <w:hideMark/>
          </w:tcPr>
          <w:p w14:paraId="07245CBF" w14:textId="77777777" w:rsidR="00F07126" w:rsidRPr="00F07126" w:rsidRDefault="00F07126" w:rsidP="00F07126">
            <w:pPr>
              <w:spacing w:after="0" w:line="240" w:lineRule="auto"/>
              <w:jc w:val="right"/>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86.383.090</w:t>
            </w:r>
          </w:p>
        </w:tc>
      </w:tr>
      <w:tr w:rsidR="00F07126" w:rsidRPr="00F07126" w14:paraId="477435BE" w14:textId="77777777" w:rsidTr="00F716F2">
        <w:trPr>
          <w:trHeight w:val="238"/>
        </w:trPr>
        <w:tc>
          <w:tcPr>
            <w:tcW w:w="3607" w:type="pct"/>
            <w:tcBorders>
              <w:top w:val="nil"/>
              <w:left w:val="single" w:sz="8" w:space="0" w:color="auto"/>
              <w:bottom w:val="single" w:sz="8" w:space="0" w:color="auto"/>
              <w:right w:val="single" w:sz="8" w:space="0" w:color="auto"/>
            </w:tcBorders>
            <w:shd w:val="clear" w:color="auto" w:fill="auto"/>
            <w:vAlign w:val="center"/>
            <w:hideMark/>
          </w:tcPr>
          <w:p w14:paraId="35A6757F" w14:textId="77777777" w:rsidR="00F07126" w:rsidRPr="00F07126" w:rsidRDefault="00F07126" w:rsidP="00F07126">
            <w:pPr>
              <w:spacing w:after="0" w:line="240" w:lineRule="auto"/>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Ações em tesouraria</w:t>
            </w:r>
          </w:p>
        </w:tc>
        <w:tc>
          <w:tcPr>
            <w:tcW w:w="729" w:type="pct"/>
            <w:tcBorders>
              <w:top w:val="nil"/>
              <w:left w:val="nil"/>
              <w:bottom w:val="single" w:sz="8" w:space="0" w:color="auto"/>
              <w:right w:val="single" w:sz="8" w:space="0" w:color="auto"/>
            </w:tcBorders>
            <w:shd w:val="clear" w:color="auto" w:fill="auto"/>
            <w:vAlign w:val="center"/>
            <w:hideMark/>
          </w:tcPr>
          <w:p w14:paraId="4DF663F3" w14:textId="77777777" w:rsidR="00F07126" w:rsidRPr="00F07126" w:rsidRDefault="00F07126" w:rsidP="00F07126">
            <w:pPr>
              <w:spacing w:after="0" w:line="240" w:lineRule="auto"/>
              <w:jc w:val="right"/>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 </w:t>
            </w:r>
          </w:p>
        </w:tc>
        <w:tc>
          <w:tcPr>
            <w:tcW w:w="664" w:type="pct"/>
            <w:tcBorders>
              <w:top w:val="nil"/>
              <w:left w:val="nil"/>
              <w:bottom w:val="single" w:sz="8" w:space="0" w:color="auto"/>
              <w:right w:val="single" w:sz="8" w:space="0" w:color="auto"/>
            </w:tcBorders>
            <w:shd w:val="clear" w:color="auto" w:fill="auto"/>
            <w:vAlign w:val="center"/>
            <w:hideMark/>
          </w:tcPr>
          <w:p w14:paraId="006540D1" w14:textId="77777777" w:rsidR="00F07126" w:rsidRPr="00F07126" w:rsidRDefault="00F07126" w:rsidP="00F07126">
            <w:pPr>
              <w:spacing w:after="0" w:line="240" w:lineRule="auto"/>
              <w:jc w:val="right"/>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 </w:t>
            </w:r>
          </w:p>
        </w:tc>
      </w:tr>
      <w:tr w:rsidR="00F07126" w:rsidRPr="00F07126" w14:paraId="120CFFAE" w14:textId="77777777" w:rsidTr="00F716F2">
        <w:trPr>
          <w:trHeight w:val="238"/>
        </w:trPr>
        <w:tc>
          <w:tcPr>
            <w:tcW w:w="3607" w:type="pct"/>
            <w:tcBorders>
              <w:top w:val="nil"/>
              <w:left w:val="single" w:sz="8" w:space="0" w:color="auto"/>
              <w:bottom w:val="single" w:sz="8" w:space="0" w:color="auto"/>
              <w:right w:val="single" w:sz="8" w:space="0" w:color="auto"/>
            </w:tcBorders>
            <w:shd w:val="clear" w:color="auto" w:fill="auto"/>
            <w:vAlign w:val="center"/>
            <w:hideMark/>
          </w:tcPr>
          <w:p w14:paraId="503E8D1F" w14:textId="77777777" w:rsidR="00F07126" w:rsidRPr="00F07126" w:rsidRDefault="00F07126" w:rsidP="00F07126">
            <w:pPr>
              <w:spacing w:after="0" w:line="240" w:lineRule="auto"/>
              <w:ind w:firstLineChars="100" w:firstLine="180"/>
              <w:rPr>
                <w:rFonts w:ascii="Arial" w:eastAsia="Times New Roman" w:hAnsi="Arial" w:cs="Arial"/>
                <w:color w:val="000000"/>
                <w:kern w:val="0"/>
                <w:sz w:val="18"/>
                <w:szCs w:val="18"/>
                <w:lang w:eastAsia="pt-BR"/>
                <w14:ligatures w14:val="none"/>
              </w:rPr>
            </w:pPr>
            <w:r w:rsidRPr="00F07126">
              <w:rPr>
                <w:rFonts w:ascii="Arial" w:eastAsia="Times New Roman" w:hAnsi="Arial" w:cs="Arial"/>
                <w:color w:val="000000"/>
                <w:kern w:val="0"/>
                <w:sz w:val="18"/>
                <w:szCs w:val="18"/>
                <w:lang w:eastAsia="pt-BR"/>
                <w14:ligatures w14:val="none"/>
              </w:rPr>
              <w:t>Ordinárias</w:t>
            </w:r>
          </w:p>
        </w:tc>
        <w:tc>
          <w:tcPr>
            <w:tcW w:w="729" w:type="pct"/>
            <w:tcBorders>
              <w:top w:val="nil"/>
              <w:left w:val="nil"/>
              <w:bottom w:val="single" w:sz="8" w:space="0" w:color="auto"/>
              <w:right w:val="single" w:sz="8" w:space="0" w:color="auto"/>
            </w:tcBorders>
            <w:shd w:val="clear" w:color="auto" w:fill="auto"/>
            <w:vAlign w:val="center"/>
            <w:hideMark/>
          </w:tcPr>
          <w:p w14:paraId="0AB8B0FC" w14:textId="77777777" w:rsidR="00F07126" w:rsidRPr="00F07126" w:rsidRDefault="00F07126" w:rsidP="00F07126">
            <w:pPr>
              <w:spacing w:after="0" w:line="240" w:lineRule="auto"/>
              <w:jc w:val="right"/>
              <w:rPr>
                <w:rFonts w:ascii="Arial" w:eastAsia="Times New Roman" w:hAnsi="Arial" w:cs="Arial"/>
                <w:color w:val="000000"/>
                <w:kern w:val="0"/>
                <w:sz w:val="18"/>
                <w:szCs w:val="18"/>
                <w:lang w:eastAsia="pt-BR"/>
                <w14:ligatures w14:val="none"/>
              </w:rPr>
            </w:pPr>
            <w:r w:rsidRPr="00F07126">
              <w:rPr>
                <w:rFonts w:ascii="Arial" w:eastAsia="Times New Roman" w:hAnsi="Arial" w:cs="Arial"/>
                <w:color w:val="000000"/>
                <w:kern w:val="0"/>
                <w:sz w:val="18"/>
                <w:szCs w:val="18"/>
                <w:lang w:eastAsia="pt-BR"/>
                <w14:ligatures w14:val="none"/>
              </w:rPr>
              <w:t>193</w:t>
            </w:r>
          </w:p>
        </w:tc>
        <w:tc>
          <w:tcPr>
            <w:tcW w:w="664" w:type="pct"/>
            <w:tcBorders>
              <w:top w:val="nil"/>
              <w:left w:val="nil"/>
              <w:bottom w:val="single" w:sz="8" w:space="0" w:color="auto"/>
              <w:right w:val="single" w:sz="8" w:space="0" w:color="auto"/>
            </w:tcBorders>
            <w:shd w:val="clear" w:color="auto" w:fill="auto"/>
            <w:vAlign w:val="center"/>
            <w:hideMark/>
          </w:tcPr>
          <w:p w14:paraId="6A6A7B67" w14:textId="77777777" w:rsidR="00F07126" w:rsidRPr="00F07126" w:rsidRDefault="00F07126" w:rsidP="00F07126">
            <w:pPr>
              <w:spacing w:after="0" w:line="240" w:lineRule="auto"/>
              <w:jc w:val="right"/>
              <w:rPr>
                <w:rFonts w:ascii="Arial" w:eastAsia="Times New Roman" w:hAnsi="Arial" w:cs="Arial"/>
                <w:color w:val="000000"/>
                <w:kern w:val="0"/>
                <w:sz w:val="18"/>
                <w:szCs w:val="18"/>
                <w:lang w:eastAsia="pt-BR"/>
                <w14:ligatures w14:val="none"/>
              </w:rPr>
            </w:pPr>
            <w:r w:rsidRPr="00F07126">
              <w:rPr>
                <w:rFonts w:ascii="Arial" w:eastAsia="Times New Roman" w:hAnsi="Arial" w:cs="Arial"/>
                <w:color w:val="000000"/>
                <w:kern w:val="0"/>
                <w:sz w:val="18"/>
                <w:szCs w:val="18"/>
                <w:lang w:eastAsia="pt-BR"/>
                <w14:ligatures w14:val="none"/>
              </w:rPr>
              <w:t>193</w:t>
            </w:r>
          </w:p>
        </w:tc>
      </w:tr>
      <w:tr w:rsidR="00F07126" w:rsidRPr="00F07126" w14:paraId="7E40D41C" w14:textId="77777777" w:rsidTr="00F716F2">
        <w:trPr>
          <w:trHeight w:val="238"/>
        </w:trPr>
        <w:tc>
          <w:tcPr>
            <w:tcW w:w="3607" w:type="pct"/>
            <w:tcBorders>
              <w:top w:val="nil"/>
              <w:left w:val="single" w:sz="8" w:space="0" w:color="auto"/>
              <w:bottom w:val="single" w:sz="8" w:space="0" w:color="auto"/>
              <w:right w:val="single" w:sz="8" w:space="0" w:color="auto"/>
            </w:tcBorders>
            <w:shd w:val="clear" w:color="auto" w:fill="auto"/>
            <w:vAlign w:val="center"/>
            <w:hideMark/>
          </w:tcPr>
          <w:p w14:paraId="17B960D9" w14:textId="77777777" w:rsidR="00F07126" w:rsidRPr="00F07126" w:rsidRDefault="00F07126" w:rsidP="00F07126">
            <w:pPr>
              <w:spacing w:after="0" w:line="240" w:lineRule="auto"/>
              <w:ind w:firstLineChars="100" w:firstLine="181"/>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Total (B)</w:t>
            </w:r>
          </w:p>
        </w:tc>
        <w:tc>
          <w:tcPr>
            <w:tcW w:w="729" w:type="pct"/>
            <w:tcBorders>
              <w:top w:val="nil"/>
              <w:left w:val="nil"/>
              <w:bottom w:val="single" w:sz="8" w:space="0" w:color="auto"/>
              <w:right w:val="single" w:sz="8" w:space="0" w:color="auto"/>
            </w:tcBorders>
            <w:shd w:val="clear" w:color="auto" w:fill="auto"/>
            <w:vAlign w:val="center"/>
            <w:hideMark/>
          </w:tcPr>
          <w:p w14:paraId="3DC525DF" w14:textId="77777777" w:rsidR="00F07126" w:rsidRPr="00F07126" w:rsidRDefault="00F07126" w:rsidP="00F07126">
            <w:pPr>
              <w:spacing w:after="0" w:line="240" w:lineRule="auto"/>
              <w:jc w:val="right"/>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193</w:t>
            </w:r>
          </w:p>
        </w:tc>
        <w:tc>
          <w:tcPr>
            <w:tcW w:w="664" w:type="pct"/>
            <w:tcBorders>
              <w:top w:val="nil"/>
              <w:left w:val="nil"/>
              <w:bottom w:val="single" w:sz="8" w:space="0" w:color="auto"/>
              <w:right w:val="single" w:sz="8" w:space="0" w:color="auto"/>
            </w:tcBorders>
            <w:shd w:val="clear" w:color="auto" w:fill="auto"/>
            <w:vAlign w:val="center"/>
            <w:hideMark/>
          </w:tcPr>
          <w:p w14:paraId="4F4AA8F6" w14:textId="77777777" w:rsidR="00F07126" w:rsidRPr="00F07126" w:rsidRDefault="00F07126" w:rsidP="00F07126">
            <w:pPr>
              <w:spacing w:after="0" w:line="240" w:lineRule="auto"/>
              <w:jc w:val="right"/>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193</w:t>
            </w:r>
          </w:p>
        </w:tc>
      </w:tr>
      <w:tr w:rsidR="00F07126" w:rsidRPr="00F07126" w14:paraId="60CFDDCE" w14:textId="77777777" w:rsidTr="00F716F2">
        <w:trPr>
          <w:trHeight w:val="238"/>
        </w:trPr>
        <w:tc>
          <w:tcPr>
            <w:tcW w:w="3607" w:type="pct"/>
            <w:tcBorders>
              <w:top w:val="nil"/>
              <w:left w:val="single" w:sz="8" w:space="0" w:color="auto"/>
              <w:bottom w:val="single" w:sz="8" w:space="0" w:color="auto"/>
              <w:right w:val="single" w:sz="8" w:space="0" w:color="auto"/>
            </w:tcBorders>
            <w:shd w:val="clear" w:color="auto" w:fill="auto"/>
            <w:vAlign w:val="center"/>
            <w:hideMark/>
          </w:tcPr>
          <w:p w14:paraId="181621D9" w14:textId="77777777" w:rsidR="00F07126" w:rsidRPr="00F07126" w:rsidRDefault="00F07126" w:rsidP="00F07126">
            <w:pPr>
              <w:spacing w:after="0" w:line="240" w:lineRule="auto"/>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Ações em circulação</w:t>
            </w:r>
          </w:p>
        </w:tc>
        <w:tc>
          <w:tcPr>
            <w:tcW w:w="729" w:type="pct"/>
            <w:tcBorders>
              <w:top w:val="nil"/>
              <w:left w:val="nil"/>
              <w:bottom w:val="single" w:sz="8" w:space="0" w:color="auto"/>
              <w:right w:val="single" w:sz="8" w:space="0" w:color="auto"/>
            </w:tcBorders>
            <w:shd w:val="clear" w:color="auto" w:fill="auto"/>
            <w:vAlign w:val="center"/>
            <w:hideMark/>
          </w:tcPr>
          <w:p w14:paraId="241D360F" w14:textId="77777777" w:rsidR="00F07126" w:rsidRPr="00F07126" w:rsidRDefault="00F07126" w:rsidP="00F07126">
            <w:pPr>
              <w:spacing w:after="0" w:line="240" w:lineRule="auto"/>
              <w:jc w:val="right"/>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 </w:t>
            </w:r>
          </w:p>
        </w:tc>
        <w:tc>
          <w:tcPr>
            <w:tcW w:w="664" w:type="pct"/>
            <w:tcBorders>
              <w:top w:val="nil"/>
              <w:left w:val="nil"/>
              <w:bottom w:val="single" w:sz="8" w:space="0" w:color="auto"/>
              <w:right w:val="single" w:sz="8" w:space="0" w:color="auto"/>
            </w:tcBorders>
            <w:shd w:val="clear" w:color="auto" w:fill="auto"/>
            <w:vAlign w:val="center"/>
            <w:hideMark/>
          </w:tcPr>
          <w:p w14:paraId="0FAFA815" w14:textId="77777777" w:rsidR="00F07126" w:rsidRPr="00F07126" w:rsidRDefault="00F07126" w:rsidP="00F07126">
            <w:pPr>
              <w:spacing w:after="0" w:line="240" w:lineRule="auto"/>
              <w:jc w:val="right"/>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 </w:t>
            </w:r>
          </w:p>
        </w:tc>
      </w:tr>
      <w:tr w:rsidR="00F07126" w:rsidRPr="00F07126" w14:paraId="62D7EE81" w14:textId="77777777" w:rsidTr="00F716F2">
        <w:trPr>
          <w:trHeight w:val="238"/>
        </w:trPr>
        <w:tc>
          <w:tcPr>
            <w:tcW w:w="3607" w:type="pct"/>
            <w:tcBorders>
              <w:top w:val="nil"/>
              <w:left w:val="single" w:sz="8" w:space="0" w:color="auto"/>
              <w:bottom w:val="single" w:sz="8" w:space="0" w:color="auto"/>
              <w:right w:val="single" w:sz="8" w:space="0" w:color="auto"/>
            </w:tcBorders>
            <w:shd w:val="clear" w:color="auto" w:fill="auto"/>
            <w:vAlign w:val="center"/>
            <w:hideMark/>
          </w:tcPr>
          <w:p w14:paraId="217D202C" w14:textId="77777777" w:rsidR="00F07126" w:rsidRPr="00F07126" w:rsidRDefault="00F07126" w:rsidP="00F07126">
            <w:pPr>
              <w:spacing w:after="0" w:line="240" w:lineRule="auto"/>
              <w:ind w:firstLineChars="100" w:firstLine="180"/>
              <w:rPr>
                <w:rFonts w:ascii="Arial" w:eastAsia="Times New Roman" w:hAnsi="Arial" w:cs="Arial"/>
                <w:color w:val="000000"/>
                <w:kern w:val="0"/>
                <w:sz w:val="18"/>
                <w:szCs w:val="18"/>
                <w:lang w:eastAsia="pt-BR"/>
                <w14:ligatures w14:val="none"/>
              </w:rPr>
            </w:pPr>
            <w:r w:rsidRPr="00F07126">
              <w:rPr>
                <w:rFonts w:ascii="Arial" w:eastAsia="Times New Roman" w:hAnsi="Arial" w:cs="Arial"/>
                <w:color w:val="000000"/>
                <w:kern w:val="0"/>
                <w:sz w:val="18"/>
                <w:szCs w:val="18"/>
                <w:lang w:eastAsia="pt-BR"/>
                <w14:ligatures w14:val="none"/>
              </w:rPr>
              <w:t>Ordinárias</w:t>
            </w:r>
          </w:p>
        </w:tc>
        <w:tc>
          <w:tcPr>
            <w:tcW w:w="729" w:type="pct"/>
            <w:tcBorders>
              <w:top w:val="nil"/>
              <w:left w:val="nil"/>
              <w:bottom w:val="single" w:sz="8" w:space="0" w:color="auto"/>
              <w:right w:val="single" w:sz="8" w:space="0" w:color="auto"/>
            </w:tcBorders>
            <w:shd w:val="clear" w:color="auto" w:fill="auto"/>
            <w:vAlign w:val="center"/>
            <w:hideMark/>
          </w:tcPr>
          <w:p w14:paraId="584806E2" w14:textId="77777777" w:rsidR="00F07126" w:rsidRPr="00F07126" w:rsidRDefault="00F07126" w:rsidP="00F07126">
            <w:pPr>
              <w:spacing w:after="0" w:line="240" w:lineRule="auto"/>
              <w:jc w:val="right"/>
              <w:rPr>
                <w:rFonts w:ascii="Arial" w:eastAsia="Times New Roman" w:hAnsi="Arial" w:cs="Arial"/>
                <w:color w:val="000000"/>
                <w:kern w:val="0"/>
                <w:sz w:val="18"/>
                <w:szCs w:val="18"/>
                <w:lang w:eastAsia="pt-BR"/>
                <w14:ligatures w14:val="none"/>
              </w:rPr>
            </w:pPr>
            <w:r w:rsidRPr="00F07126">
              <w:rPr>
                <w:rFonts w:ascii="Arial" w:eastAsia="Times New Roman" w:hAnsi="Arial" w:cs="Arial"/>
                <w:color w:val="000000"/>
                <w:kern w:val="0"/>
                <w:sz w:val="18"/>
                <w:szCs w:val="18"/>
                <w:lang w:eastAsia="pt-BR"/>
                <w14:ligatures w14:val="none"/>
              </w:rPr>
              <w:t>67.975.406</w:t>
            </w:r>
          </w:p>
        </w:tc>
        <w:tc>
          <w:tcPr>
            <w:tcW w:w="664" w:type="pct"/>
            <w:tcBorders>
              <w:top w:val="nil"/>
              <w:left w:val="nil"/>
              <w:bottom w:val="single" w:sz="8" w:space="0" w:color="auto"/>
              <w:right w:val="single" w:sz="8" w:space="0" w:color="auto"/>
            </w:tcBorders>
            <w:shd w:val="clear" w:color="auto" w:fill="auto"/>
            <w:vAlign w:val="center"/>
            <w:hideMark/>
          </w:tcPr>
          <w:p w14:paraId="5E3CF034" w14:textId="77777777" w:rsidR="00F07126" w:rsidRPr="00F07126" w:rsidRDefault="00F07126" w:rsidP="00F07126">
            <w:pPr>
              <w:spacing w:after="0" w:line="240" w:lineRule="auto"/>
              <w:jc w:val="right"/>
              <w:rPr>
                <w:rFonts w:ascii="Arial" w:eastAsia="Times New Roman" w:hAnsi="Arial" w:cs="Arial"/>
                <w:color w:val="000000"/>
                <w:kern w:val="0"/>
                <w:sz w:val="18"/>
                <w:szCs w:val="18"/>
                <w:lang w:eastAsia="pt-BR"/>
                <w14:ligatures w14:val="none"/>
              </w:rPr>
            </w:pPr>
            <w:r w:rsidRPr="00F07126">
              <w:rPr>
                <w:rFonts w:ascii="Arial" w:eastAsia="Times New Roman" w:hAnsi="Arial" w:cs="Arial"/>
                <w:color w:val="000000"/>
                <w:kern w:val="0"/>
                <w:sz w:val="18"/>
                <w:szCs w:val="18"/>
                <w:lang w:eastAsia="pt-BR"/>
                <w14:ligatures w14:val="none"/>
              </w:rPr>
              <w:t>67.975.406</w:t>
            </w:r>
          </w:p>
        </w:tc>
      </w:tr>
      <w:tr w:rsidR="00F07126" w:rsidRPr="00F07126" w14:paraId="0E219F4E" w14:textId="77777777" w:rsidTr="00F716F2">
        <w:trPr>
          <w:trHeight w:val="238"/>
        </w:trPr>
        <w:tc>
          <w:tcPr>
            <w:tcW w:w="3607" w:type="pct"/>
            <w:tcBorders>
              <w:top w:val="nil"/>
              <w:left w:val="single" w:sz="8" w:space="0" w:color="auto"/>
              <w:bottom w:val="single" w:sz="8" w:space="0" w:color="auto"/>
              <w:right w:val="single" w:sz="8" w:space="0" w:color="auto"/>
            </w:tcBorders>
            <w:shd w:val="clear" w:color="auto" w:fill="auto"/>
            <w:vAlign w:val="center"/>
            <w:hideMark/>
          </w:tcPr>
          <w:p w14:paraId="10E5AF1F" w14:textId="77777777" w:rsidR="00F07126" w:rsidRPr="00F07126" w:rsidRDefault="00F07126" w:rsidP="00F07126">
            <w:pPr>
              <w:spacing w:after="0" w:line="240" w:lineRule="auto"/>
              <w:ind w:firstLineChars="100" w:firstLine="180"/>
              <w:rPr>
                <w:rFonts w:ascii="Arial" w:eastAsia="Times New Roman" w:hAnsi="Arial" w:cs="Arial"/>
                <w:color w:val="000000"/>
                <w:kern w:val="0"/>
                <w:sz w:val="18"/>
                <w:szCs w:val="18"/>
                <w:lang w:eastAsia="pt-BR"/>
                <w14:ligatures w14:val="none"/>
              </w:rPr>
            </w:pPr>
            <w:r w:rsidRPr="00F07126">
              <w:rPr>
                <w:rFonts w:ascii="Arial" w:eastAsia="Times New Roman" w:hAnsi="Arial" w:cs="Arial"/>
                <w:color w:val="000000"/>
                <w:kern w:val="0"/>
                <w:sz w:val="18"/>
                <w:szCs w:val="18"/>
                <w:lang w:eastAsia="pt-BR"/>
                <w14:ligatures w14:val="none"/>
              </w:rPr>
              <w:t xml:space="preserve">Preferenciais </w:t>
            </w:r>
          </w:p>
        </w:tc>
        <w:tc>
          <w:tcPr>
            <w:tcW w:w="729" w:type="pct"/>
            <w:tcBorders>
              <w:top w:val="nil"/>
              <w:left w:val="nil"/>
              <w:bottom w:val="single" w:sz="8" w:space="0" w:color="auto"/>
              <w:right w:val="single" w:sz="8" w:space="0" w:color="auto"/>
            </w:tcBorders>
            <w:shd w:val="clear" w:color="auto" w:fill="auto"/>
            <w:vAlign w:val="center"/>
            <w:hideMark/>
          </w:tcPr>
          <w:p w14:paraId="567BED16" w14:textId="77777777" w:rsidR="00F07126" w:rsidRPr="00F07126" w:rsidRDefault="00F07126" w:rsidP="00F07126">
            <w:pPr>
              <w:spacing w:after="0" w:line="240" w:lineRule="auto"/>
              <w:jc w:val="right"/>
              <w:rPr>
                <w:rFonts w:ascii="Arial" w:eastAsia="Times New Roman" w:hAnsi="Arial" w:cs="Arial"/>
                <w:color w:val="000000"/>
                <w:kern w:val="0"/>
                <w:sz w:val="18"/>
                <w:szCs w:val="18"/>
                <w:lang w:eastAsia="pt-BR"/>
                <w14:ligatures w14:val="none"/>
              </w:rPr>
            </w:pPr>
            <w:r w:rsidRPr="00F07126">
              <w:rPr>
                <w:rFonts w:ascii="Arial" w:eastAsia="Times New Roman" w:hAnsi="Arial" w:cs="Arial"/>
                <w:color w:val="000000"/>
                <w:kern w:val="0"/>
                <w:sz w:val="18"/>
                <w:szCs w:val="18"/>
                <w:lang w:eastAsia="pt-BR"/>
                <w14:ligatures w14:val="none"/>
              </w:rPr>
              <w:t>18.407.491</w:t>
            </w:r>
          </w:p>
        </w:tc>
        <w:tc>
          <w:tcPr>
            <w:tcW w:w="664" w:type="pct"/>
            <w:tcBorders>
              <w:top w:val="nil"/>
              <w:left w:val="nil"/>
              <w:bottom w:val="single" w:sz="8" w:space="0" w:color="auto"/>
              <w:right w:val="single" w:sz="8" w:space="0" w:color="auto"/>
            </w:tcBorders>
            <w:shd w:val="clear" w:color="auto" w:fill="auto"/>
            <w:vAlign w:val="center"/>
            <w:hideMark/>
          </w:tcPr>
          <w:p w14:paraId="6B434100" w14:textId="77777777" w:rsidR="00F07126" w:rsidRPr="00F07126" w:rsidRDefault="00F07126" w:rsidP="00F07126">
            <w:pPr>
              <w:spacing w:after="0" w:line="240" w:lineRule="auto"/>
              <w:jc w:val="right"/>
              <w:rPr>
                <w:rFonts w:ascii="Arial" w:eastAsia="Times New Roman" w:hAnsi="Arial" w:cs="Arial"/>
                <w:color w:val="000000"/>
                <w:kern w:val="0"/>
                <w:sz w:val="18"/>
                <w:szCs w:val="18"/>
                <w:lang w:eastAsia="pt-BR"/>
                <w14:ligatures w14:val="none"/>
              </w:rPr>
            </w:pPr>
            <w:r w:rsidRPr="00F07126">
              <w:rPr>
                <w:rFonts w:ascii="Arial" w:eastAsia="Times New Roman" w:hAnsi="Arial" w:cs="Arial"/>
                <w:color w:val="000000"/>
                <w:kern w:val="0"/>
                <w:sz w:val="18"/>
                <w:szCs w:val="18"/>
                <w:lang w:eastAsia="pt-BR"/>
                <w14:ligatures w14:val="none"/>
              </w:rPr>
              <w:t>18.407.491</w:t>
            </w:r>
          </w:p>
        </w:tc>
      </w:tr>
      <w:tr w:rsidR="00F07126" w:rsidRPr="00F07126" w14:paraId="0D6970B0" w14:textId="77777777" w:rsidTr="00F716F2">
        <w:trPr>
          <w:trHeight w:val="238"/>
        </w:trPr>
        <w:tc>
          <w:tcPr>
            <w:tcW w:w="3607" w:type="pct"/>
            <w:tcBorders>
              <w:top w:val="nil"/>
              <w:left w:val="single" w:sz="8" w:space="0" w:color="auto"/>
              <w:bottom w:val="single" w:sz="8" w:space="0" w:color="auto"/>
              <w:right w:val="single" w:sz="8" w:space="0" w:color="auto"/>
            </w:tcBorders>
            <w:shd w:val="clear" w:color="auto" w:fill="auto"/>
            <w:vAlign w:val="center"/>
            <w:hideMark/>
          </w:tcPr>
          <w:p w14:paraId="3AE92204" w14:textId="77777777" w:rsidR="00F07126" w:rsidRPr="00F07126" w:rsidRDefault="00F07126" w:rsidP="00F07126">
            <w:pPr>
              <w:spacing w:after="0" w:line="240" w:lineRule="auto"/>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 xml:space="preserve">    Total (A-B)</w:t>
            </w:r>
          </w:p>
        </w:tc>
        <w:tc>
          <w:tcPr>
            <w:tcW w:w="729" w:type="pct"/>
            <w:tcBorders>
              <w:top w:val="nil"/>
              <w:left w:val="nil"/>
              <w:bottom w:val="single" w:sz="8" w:space="0" w:color="auto"/>
              <w:right w:val="single" w:sz="8" w:space="0" w:color="auto"/>
            </w:tcBorders>
            <w:shd w:val="clear" w:color="auto" w:fill="auto"/>
            <w:vAlign w:val="center"/>
            <w:hideMark/>
          </w:tcPr>
          <w:p w14:paraId="1CCAD383" w14:textId="77777777" w:rsidR="00F07126" w:rsidRPr="00F07126" w:rsidRDefault="00F07126" w:rsidP="00F07126">
            <w:pPr>
              <w:spacing w:after="0" w:line="240" w:lineRule="auto"/>
              <w:jc w:val="right"/>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86.382.897</w:t>
            </w:r>
          </w:p>
        </w:tc>
        <w:tc>
          <w:tcPr>
            <w:tcW w:w="664" w:type="pct"/>
            <w:tcBorders>
              <w:top w:val="nil"/>
              <w:left w:val="nil"/>
              <w:bottom w:val="single" w:sz="8" w:space="0" w:color="auto"/>
              <w:right w:val="single" w:sz="8" w:space="0" w:color="auto"/>
            </w:tcBorders>
            <w:shd w:val="clear" w:color="auto" w:fill="auto"/>
            <w:vAlign w:val="center"/>
            <w:hideMark/>
          </w:tcPr>
          <w:p w14:paraId="2C211D2F" w14:textId="77777777" w:rsidR="00F07126" w:rsidRPr="00F07126" w:rsidRDefault="00F07126" w:rsidP="00F07126">
            <w:pPr>
              <w:spacing w:after="0" w:line="240" w:lineRule="auto"/>
              <w:jc w:val="right"/>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86.382.897</w:t>
            </w:r>
          </w:p>
        </w:tc>
      </w:tr>
      <w:tr w:rsidR="00F07126" w:rsidRPr="00F07126" w14:paraId="161F5165" w14:textId="77777777" w:rsidTr="00F716F2">
        <w:trPr>
          <w:trHeight w:val="238"/>
        </w:trPr>
        <w:tc>
          <w:tcPr>
            <w:tcW w:w="3607" w:type="pct"/>
            <w:tcBorders>
              <w:top w:val="nil"/>
              <w:left w:val="single" w:sz="8" w:space="0" w:color="auto"/>
              <w:bottom w:val="single" w:sz="8" w:space="0" w:color="auto"/>
              <w:right w:val="single" w:sz="8" w:space="0" w:color="auto"/>
            </w:tcBorders>
            <w:shd w:val="clear" w:color="auto" w:fill="auto"/>
            <w:vAlign w:val="center"/>
            <w:hideMark/>
          </w:tcPr>
          <w:p w14:paraId="2114D6E6" w14:textId="77777777" w:rsidR="00F07126" w:rsidRPr="00F07126" w:rsidRDefault="00F07126" w:rsidP="00F07126">
            <w:pPr>
              <w:spacing w:after="0" w:line="240" w:lineRule="auto"/>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Patrimônio Líquido (R$ mil)</w:t>
            </w:r>
          </w:p>
        </w:tc>
        <w:tc>
          <w:tcPr>
            <w:tcW w:w="729" w:type="pct"/>
            <w:tcBorders>
              <w:top w:val="nil"/>
              <w:left w:val="nil"/>
              <w:bottom w:val="single" w:sz="8" w:space="0" w:color="auto"/>
              <w:right w:val="single" w:sz="8" w:space="0" w:color="auto"/>
            </w:tcBorders>
            <w:shd w:val="clear" w:color="auto" w:fill="auto"/>
            <w:vAlign w:val="center"/>
            <w:hideMark/>
          </w:tcPr>
          <w:p w14:paraId="3784E98E" w14:textId="77777777" w:rsidR="00F07126" w:rsidRPr="00F07126" w:rsidRDefault="00F07126" w:rsidP="00F07126">
            <w:pPr>
              <w:spacing w:after="0" w:line="240" w:lineRule="auto"/>
              <w:jc w:val="right"/>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1.425.651</w:t>
            </w:r>
          </w:p>
        </w:tc>
        <w:tc>
          <w:tcPr>
            <w:tcW w:w="664" w:type="pct"/>
            <w:tcBorders>
              <w:top w:val="nil"/>
              <w:left w:val="nil"/>
              <w:bottom w:val="single" w:sz="8" w:space="0" w:color="auto"/>
              <w:right w:val="single" w:sz="8" w:space="0" w:color="auto"/>
            </w:tcBorders>
            <w:shd w:val="clear" w:color="auto" w:fill="auto"/>
            <w:vAlign w:val="center"/>
            <w:hideMark/>
          </w:tcPr>
          <w:p w14:paraId="0100C8AD" w14:textId="77777777" w:rsidR="00F07126" w:rsidRPr="00F07126" w:rsidRDefault="00F07126" w:rsidP="00F07126">
            <w:pPr>
              <w:spacing w:after="0" w:line="240" w:lineRule="auto"/>
              <w:jc w:val="right"/>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1.555.103</w:t>
            </w:r>
          </w:p>
        </w:tc>
      </w:tr>
      <w:tr w:rsidR="00F07126" w:rsidRPr="00F07126" w14:paraId="03149965" w14:textId="77777777" w:rsidTr="00F716F2">
        <w:trPr>
          <w:trHeight w:val="238"/>
        </w:trPr>
        <w:tc>
          <w:tcPr>
            <w:tcW w:w="3607" w:type="pct"/>
            <w:tcBorders>
              <w:top w:val="nil"/>
              <w:left w:val="single" w:sz="8" w:space="0" w:color="auto"/>
              <w:bottom w:val="single" w:sz="8" w:space="0" w:color="auto"/>
              <w:right w:val="single" w:sz="8" w:space="0" w:color="auto"/>
            </w:tcBorders>
            <w:shd w:val="clear" w:color="auto" w:fill="auto"/>
            <w:vAlign w:val="center"/>
            <w:hideMark/>
          </w:tcPr>
          <w:p w14:paraId="4A823A2D" w14:textId="77777777" w:rsidR="00F07126" w:rsidRPr="00F07126" w:rsidRDefault="00F07126" w:rsidP="00F07126">
            <w:pPr>
              <w:spacing w:after="0" w:line="240" w:lineRule="auto"/>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Valor Patrimonial por ação em circulação (R$ 1,00)</w:t>
            </w:r>
          </w:p>
        </w:tc>
        <w:tc>
          <w:tcPr>
            <w:tcW w:w="729" w:type="pct"/>
            <w:tcBorders>
              <w:top w:val="nil"/>
              <w:left w:val="nil"/>
              <w:bottom w:val="single" w:sz="8" w:space="0" w:color="auto"/>
              <w:right w:val="single" w:sz="8" w:space="0" w:color="auto"/>
            </w:tcBorders>
            <w:shd w:val="clear" w:color="auto" w:fill="auto"/>
            <w:vAlign w:val="center"/>
            <w:hideMark/>
          </w:tcPr>
          <w:p w14:paraId="00FEB551" w14:textId="77777777" w:rsidR="00F07126" w:rsidRPr="00F07126" w:rsidRDefault="00F07126" w:rsidP="00F07126">
            <w:pPr>
              <w:spacing w:after="0" w:line="240" w:lineRule="auto"/>
              <w:jc w:val="right"/>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16,5039</w:t>
            </w:r>
          </w:p>
        </w:tc>
        <w:tc>
          <w:tcPr>
            <w:tcW w:w="664" w:type="pct"/>
            <w:tcBorders>
              <w:top w:val="nil"/>
              <w:left w:val="nil"/>
              <w:bottom w:val="single" w:sz="8" w:space="0" w:color="auto"/>
              <w:right w:val="single" w:sz="8" w:space="0" w:color="auto"/>
            </w:tcBorders>
            <w:shd w:val="clear" w:color="auto" w:fill="auto"/>
            <w:vAlign w:val="center"/>
            <w:hideMark/>
          </w:tcPr>
          <w:p w14:paraId="467EA1DE" w14:textId="77777777" w:rsidR="00F07126" w:rsidRPr="00F07126" w:rsidRDefault="00F07126" w:rsidP="00F07126">
            <w:pPr>
              <w:spacing w:after="0" w:line="240" w:lineRule="auto"/>
              <w:jc w:val="right"/>
              <w:rPr>
                <w:rFonts w:ascii="Arial" w:eastAsia="Times New Roman" w:hAnsi="Arial" w:cs="Arial"/>
                <w:b/>
                <w:bCs/>
                <w:color w:val="000000"/>
                <w:kern w:val="0"/>
                <w:sz w:val="18"/>
                <w:szCs w:val="18"/>
                <w:lang w:eastAsia="pt-BR"/>
                <w14:ligatures w14:val="none"/>
              </w:rPr>
            </w:pPr>
            <w:r w:rsidRPr="00F07126">
              <w:rPr>
                <w:rFonts w:ascii="Arial" w:eastAsia="Times New Roman" w:hAnsi="Arial" w:cs="Arial"/>
                <w:b/>
                <w:bCs/>
                <w:color w:val="000000"/>
                <w:kern w:val="0"/>
                <w:sz w:val="18"/>
                <w:szCs w:val="18"/>
                <w:lang w:eastAsia="pt-BR"/>
                <w14:ligatures w14:val="none"/>
              </w:rPr>
              <w:t>18,0024</w:t>
            </w:r>
          </w:p>
        </w:tc>
      </w:tr>
    </w:tbl>
    <w:p w14:paraId="7E46A23B" w14:textId="6D4962BE" w:rsidR="00F716F2" w:rsidRPr="00F716F2" w:rsidRDefault="00F716F2" w:rsidP="00F716F2">
      <w:pPr>
        <w:autoSpaceDE w:val="0"/>
        <w:autoSpaceDN w:val="0"/>
        <w:adjustRightInd w:val="0"/>
        <w:spacing w:after="0" w:line="240" w:lineRule="auto"/>
        <w:jc w:val="both"/>
        <w:rPr>
          <w:rFonts w:ascii="Calibri" w:eastAsia="Times New Roman" w:hAnsi="Calibri" w:cs="Calibri"/>
          <w:b/>
          <w:bCs/>
          <w:iCs/>
          <w:color w:val="002060"/>
          <w:kern w:val="0"/>
          <w14:ligatures w14:val="none"/>
        </w:rPr>
      </w:pPr>
      <w:bookmarkStart w:id="428" w:name="_Toc491337766"/>
      <w:r>
        <w:rPr>
          <w:rFonts w:ascii="Calibri" w:eastAsia="Times New Roman" w:hAnsi="Calibri" w:cs="Calibri"/>
          <w:b/>
          <w:bCs/>
          <w:iCs/>
          <w:color w:val="002060"/>
          <w:kern w:val="0"/>
          <w14:ligatures w14:val="none"/>
        </w:rPr>
        <w:t xml:space="preserve">27.2. </w:t>
      </w:r>
      <w:r w:rsidRPr="00F716F2">
        <w:rPr>
          <w:rFonts w:ascii="Calibri" w:eastAsia="Times New Roman" w:hAnsi="Calibri" w:cs="Calibri"/>
          <w:b/>
          <w:bCs/>
          <w:iCs/>
          <w:color w:val="002060"/>
          <w:kern w:val="0"/>
          <w14:ligatures w14:val="none"/>
        </w:rPr>
        <w:t>Dividendos e juros sobre capital próprio</w:t>
      </w:r>
      <w:bookmarkEnd w:id="428"/>
    </w:p>
    <w:p w14:paraId="59CB436D" w14:textId="77777777" w:rsidR="00F716F2" w:rsidRPr="00F716F2" w:rsidRDefault="00F716F2" w:rsidP="00F716F2">
      <w:pPr>
        <w:autoSpaceDE w:val="0"/>
        <w:autoSpaceDN w:val="0"/>
        <w:adjustRightInd w:val="0"/>
        <w:spacing w:after="0" w:line="240" w:lineRule="auto"/>
        <w:jc w:val="both"/>
        <w:rPr>
          <w:rFonts w:ascii="Calibri" w:eastAsia="Times New Roman" w:hAnsi="Calibri" w:cs="Calibri"/>
          <w:iCs/>
          <w:color w:val="002060"/>
          <w:kern w:val="0"/>
          <w14:ligatures w14:val="none"/>
        </w:rPr>
      </w:pPr>
      <w:r w:rsidRPr="00F716F2">
        <w:rPr>
          <w:rFonts w:ascii="Calibri" w:eastAsia="Times New Roman" w:hAnsi="Calibri" w:cs="Calibri"/>
          <w:iCs/>
          <w:color w:val="002060"/>
          <w:kern w:val="0"/>
          <w14:ligatures w14:val="none"/>
        </w:rPr>
        <w:t xml:space="preserve">Os dividendos são calculados ao final do exercício social, de acordo com o estatuto da Companhia e em consonância com a Lei das Sociedades por Ações. Os dividendos mínimos obrigatórios são calculados de acordo com o Artigo 202 da Lei nº 6.404/1976 e os preferenciais ou prioritários em conformidade com o estabelecido no estatuto da Companhia. </w:t>
      </w:r>
    </w:p>
    <w:p w14:paraId="583902ED" w14:textId="77777777" w:rsidR="00F716F2" w:rsidRPr="00F716F2" w:rsidRDefault="00F716F2" w:rsidP="00F716F2">
      <w:pPr>
        <w:autoSpaceDE w:val="0"/>
        <w:autoSpaceDN w:val="0"/>
        <w:adjustRightInd w:val="0"/>
        <w:spacing w:after="0" w:line="240" w:lineRule="auto"/>
        <w:jc w:val="both"/>
        <w:rPr>
          <w:rFonts w:ascii="Calibri" w:eastAsia="Times New Roman" w:hAnsi="Calibri" w:cs="Calibri"/>
          <w:iCs/>
          <w:color w:val="002060"/>
          <w:kern w:val="0"/>
          <w14:ligatures w14:val="none"/>
        </w:rPr>
      </w:pPr>
      <w:r w:rsidRPr="00F716F2">
        <w:rPr>
          <w:rFonts w:ascii="Calibri" w:eastAsia="Times New Roman" w:hAnsi="Calibri" w:cs="Calibri"/>
          <w:iCs/>
          <w:color w:val="002060"/>
          <w:kern w:val="0"/>
          <w14:ligatures w14:val="none"/>
        </w:rPr>
        <w:t>As ações preferenciais não têm direito a voto, sendo a elas assegurada prioridade no reembolso de capital e no pagamento de dividendos mínimos, não cumulativos, de 6% (seis por cento) ao ano, sobre o valor resultante da divisão do capital subscrito pelo número total de ações da Telebras.</w:t>
      </w:r>
    </w:p>
    <w:p w14:paraId="058A844F" w14:textId="77777777" w:rsidR="00F716F2" w:rsidRPr="00F716F2" w:rsidRDefault="00F716F2" w:rsidP="00F716F2">
      <w:pPr>
        <w:autoSpaceDE w:val="0"/>
        <w:autoSpaceDN w:val="0"/>
        <w:adjustRightInd w:val="0"/>
        <w:spacing w:after="0" w:line="240" w:lineRule="auto"/>
        <w:jc w:val="both"/>
        <w:rPr>
          <w:rFonts w:ascii="Calibri" w:eastAsia="Times New Roman" w:hAnsi="Calibri" w:cs="Calibri"/>
          <w:iCs/>
          <w:color w:val="002060"/>
          <w:kern w:val="0"/>
          <w14:ligatures w14:val="none"/>
        </w:rPr>
      </w:pPr>
      <w:r w:rsidRPr="00F716F2">
        <w:rPr>
          <w:rFonts w:ascii="Calibri" w:eastAsia="Times New Roman" w:hAnsi="Calibri" w:cs="Calibri"/>
          <w:iCs/>
          <w:color w:val="002060"/>
          <w:kern w:val="0"/>
          <w14:ligatures w14:val="none"/>
        </w:rPr>
        <w:t>Os dividendos serão pagos prioritariamente às ações preferenciais até o limite da preferência, sendo, a seguir, pagos aos titulares de ações ordinárias até o mesmo limite das ações preferencias. O saldo, se houver, será rateado por todas as ações, em igualdade de condições.</w:t>
      </w:r>
    </w:p>
    <w:p w14:paraId="2F67A4C4" w14:textId="38CFC3F1" w:rsidR="00F716F2" w:rsidRPr="00F716F2" w:rsidRDefault="00F716F2" w:rsidP="00F716F2">
      <w:pPr>
        <w:autoSpaceDE w:val="0"/>
        <w:autoSpaceDN w:val="0"/>
        <w:adjustRightInd w:val="0"/>
        <w:spacing w:after="0" w:line="240" w:lineRule="auto"/>
        <w:jc w:val="both"/>
        <w:rPr>
          <w:rFonts w:ascii="Calibri" w:eastAsia="Times New Roman" w:hAnsi="Calibri" w:cs="Calibri"/>
          <w:iCs/>
          <w:color w:val="002060"/>
          <w:kern w:val="0"/>
          <w14:ligatures w14:val="none"/>
        </w:rPr>
      </w:pPr>
      <w:r w:rsidRPr="00F716F2">
        <w:rPr>
          <w:rFonts w:ascii="Calibri" w:eastAsia="Times New Roman" w:hAnsi="Calibri" w:cs="Calibri"/>
          <w:iCs/>
          <w:color w:val="002060"/>
          <w:kern w:val="0"/>
          <w14:ligatures w14:val="none"/>
        </w:rPr>
        <w:t>Os valores dos dividendos e dos juros, a título de remuneração sobre o capital próprio, devidos ao Tesouro Nacional e aos demais acionistas, sofrerão incidência de encargos financeiros equivalentes à Taxa Selic, a partir do encerramento do exercício social até o dia do efetivo recolhimento ou pagamento, sem prejuízo da incidência de juros moratórios quando esse recolhimento não se verificar na data fixada pela Assembleia Geral.</w:t>
      </w:r>
    </w:p>
    <w:p w14:paraId="51E8235D" w14:textId="77777777" w:rsidR="00F716F2" w:rsidRPr="00F716F2" w:rsidRDefault="00F716F2" w:rsidP="00F716F2">
      <w:pPr>
        <w:autoSpaceDE w:val="0"/>
        <w:autoSpaceDN w:val="0"/>
        <w:adjustRightInd w:val="0"/>
        <w:spacing w:after="0" w:line="240" w:lineRule="auto"/>
        <w:jc w:val="both"/>
        <w:rPr>
          <w:rFonts w:ascii="Calibri" w:eastAsia="Times New Roman" w:hAnsi="Calibri" w:cs="Calibri"/>
          <w:iCs/>
          <w:color w:val="002060"/>
          <w:kern w:val="0"/>
          <w14:ligatures w14:val="none"/>
        </w:rPr>
      </w:pPr>
      <w:r w:rsidRPr="00F716F2">
        <w:rPr>
          <w:rFonts w:ascii="Calibri" w:eastAsia="Times New Roman" w:hAnsi="Calibri" w:cs="Calibri"/>
          <w:iCs/>
          <w:color w:val="002060"/>
          <w:kern w:val="0"/>
          <w14:ligatures w14:val="none"/>
        </w:rPr>
        <w:lastRenderedPageBreak/>
        <w:t>Por deliberação dos órgãos da Administração, a Companhia poderá pagar ou creditar, a título de dividendos, juros sobre o capital próprio nos termos do artigo 9º, parágrafo 7º, da Lei nº 9.249/1995. Os juros pagos ou creditados serão compensados com o valor do dividendo anual mínimo obrigatório, de acordo com o artigo 88, §1º do estatuto social.</w:t>
      </w:r>
    </w:p>
    <w:p w14:paraId="3C600555" w14:textId="77777777" w:rsidR="00F716F2" w:rsidRPr="00F716F2" w:rsidRDefault="00F716F2" w:rsidP="00F716F2">
      <w:pPr>
        <w:autoSpaceDE w:val="0"/>
        <w:autoSpaceDN w:val="0"/>
        <w:adjustRightInd w:val="0"/>
        <w:spacing w:after="0" w:line="240" w:lineRule="auto"/>
        <w:jc w:val="both"/>
        <w:rPr>
          <w:rFonts w:ascii="Calibri" w:eastAsia="Times New Roman" w:hAnsi="Calibri" w:cs="Calibri"/>
          <w:iCs/>
          <w:color w:val="002060"/>
          <w:kern w:val="0"/>
          <w14:ligatures w14:val="none"/>
        </w:rPr>
      </w:pPr>
      <w:r w:rsidRPr="00F716F2">
        <w:rPr>
          <w:rFonts w:ascii="Calibri" w:eastAsia="Times New Roman" w:hAnsi="Calibri" w:cs="Calibri"/>
          <w:iCs/>
          <w:color w:val="002060"/>
          <w:kern w:val="0"/>
          <w14:ligatures w14:val="none"/>
        </w:rPr>
        <w:t>Em decorrência de não haver reservas no patrimônio líquido da Companhia – e da existência de prejuízos acumulados, não foram efetuados o cálculo, a distribuição de dividendos e a constituição de reservas.</w:t>
      </w:r>
    </w:p>
    <w:p w14:paraId="439968DD" w14:textId="4E34C4CB" w:rsidR="00F716F2" w:rsidRPr="00F716F2" w:rsidRDefault="00F716F2" w:rsidP="00F716F2">
      <w:pPr>
        <w:autoSpaceDE w:val="0"/>
        <w:autoSpaceDN w:val="0"/>
        <w:adjustRightInd w:val="0"/>
        <w:spacing w:after="0" w:line="240" w:lineRule="auto"/>
        <w:jc w:val="both"/>
        <w:rPr>
          <w:rFonts w:ascii="Calibri" w:eastAsia="Times New Roman" w:hAnsi="Calibri" w:cs="Calibri"/>
          <w:b/>
          <w:bCs/>
          <w:iCs/>
          <w:color w:val="002060"/>
          <w:kern w:val="0"/>
          <w14:ligatures w14:val="none"/>
        </w:rPr>
      </w:pPr>
      <w:bookmarkStart w:id="429" w:name="_Toc491337767"/>
      <w:r>
        <w:rPr>
          <w:rFonts w:ascii="Calibri" w:eastAsia="Times New Roman" w:hAnsi="Calibri" w:cs="Calibri"/>
          <w:b/>
          <w:bCs/>
          <w:iCs/>
          <w:color w:val="002060"/>
          <w:kern w:val="0"/>
          <w14:ligatures w14:val="none"/>
        </w:rPr>
        <w:t xml:space="preserve">27.3. </w:t>
      </w:r>
      <w:r w:rsidRPr="00F716F2">
        <w:rPr>
          <w:rFonts w:ascii="Calibri" w:eastAsia="Times New Roman" w:hAnsi="Calibri" w:cs="Calibri"/>
          <w:b/>
          <w:bCs/>
          <w:iCs/>
          <w:color w:val="002060"/>
          <w:kern w:val="0"/>
          <w14:ligatures w14:val="none"/>
        </w:rPr>
        <w:t>Ajuste de avaliação patrimonial</w:t>
      </w:r>
      <w:bookmarkEnd w:id="429"/>
    </w:p>
    <w:p w14:paraId="3B0E9A74" w14:textId="77777777" w:rsidR="00F716F2" w:rsidRPr="00F716F2" w:rsidRDefault="00F716F2" w:rsidP="00F716F2">
      <w:pPr>
        <w:autoSpaceDE w:val="0"/>
        <w:autoSpaceDN w:val="0"/>
        <w:adjustRightInd w:val="0"/>
        <w:spacing w:after="0" w:line="240" w:lineRule="auto"/>
        <w:jc w:val="both"/>
        <w:rPr>
          <w:rFonts w:ascii="Calibri" w:eastAsia="Times New Roman" w:hAnsi="Calibri" w:cs="Calibri"/>
          <w:iCs/>
          <w:color w:val="002060"/>
          <w:kern w:val="0"/>
          <w14:ligatures w14:val="none"/>
        </w:rPr>
      </w:pPr>
      <w:r w:rsidRPr="00F716F2">
        <w:rPr>
          <w:rFonts w:ascii="Calibri" w:eastAsia="Times New Roman" w:hAnsi="Calibri" w:cs="Calibri"/>
          <w:iCs/>
          <w:color w:val="002060"/>
          <w:kern w:val="0"/>
          <w14:ligatures w14:val="none"/>
        </w:rPr>
        <w:t xml:space="preserve">Nesta rubrica são reconhecidos os ajustes de avaliação patrimonial, que incluem ganhos e perdas de instrumentos financeiros avaliados a valor justo por meio de outros resultados abrangentes, representados por investimentos em ações de empresas de telecomunicações e no Fundo de Investimento da Amazônia – Finam, bem como por variações cambiais decorrentes de investimento líquido em coligadas no exterior, cuja origem é o reconhecimento de forma reflexa das variações cambiais registradas na coligada Visiona, na qual a participação societária da Telebras é de 49%. </w:t>
      </w:r>
    </w:p>
    <w:p w14:paraId="7BF0E0AF" w14:textId="77777777" w:rsidR="00F716F2" w:rsidRDefault="00F716F2" w:rsidP="00F716F2">
      <w:pPr>
        <w:autoSpaceDE w:val="0"/>
        <w:autoSpaceDN w:val="0"/>
        <w:adjustRightInd w:val="0"/>
        <w:spacing w:after="0" w:line="240" w:lineRule="auto"/>
        <w:jc w:val="both"/>
        <w:rPr>
          <w:rFonts w:ascii="Calibri" w:eastAsia="Times New Roman" w:hAnsi="Calibri" w:cs="Calibri"/>
          <w:iCs/>
          <w:color w:val="002060"/>
          <w:kern w:val="0"/>
          <w14:ligatures w14:val="none"/>
        </w:rPr>
      </w:pPr>
      <w:r w:rsidRPr="00F716F2">
        <w:rPr>
          <w:rFonts w:ascii="Calibri" w:eastAsia="Times New Roman" w:hAnsi="Calibri" w:cs="Calibri"/>
          <w:iCs/>
          <w:color w:val="002060"/>
          <w:kern w:val="0"/>
          <w14:ligatures w14:val="none"/>
        </w:rPr>
        <w:t>As movimentações dos ajustes de avaliação patrimonial no exercício de 2023 estão demonstradas no quadro abaixo:</w:t>
      </w:r>
    </w:p>
    <w:tbl>
      <w:tblPr>
        <w:tblW w:w="5000" w:type="pct"/>
        <w:tblCellMar>
          <w:left w:w="70" w:type="dxa"/>
          <w:right w:w="70" w:type="dxa"/>
        </w:tblCellMar>
        <w:tblLook w:val="04A0" w:firstRow="1" w:lastRow="0" w:firstColumn="1" w:lastColumn="0" w:noHBand="0" w:noVBand="1"/>
      </w:tblPr>
      <w:tblGrid>
        <w:gridCol w:w="5146"/>
        <w:gridCol w:w="1665"/>
        <w:gridCol w:w="1626"/>
        <w:gridCol w:w="1324"/>
      </w:tblGrid>
      <w:tr w:rsidR="00240448" w:rsidRPr="00240448" w14:paraId="59BB415B" w14:textId="77777777" w:rsidTr="00446A14">
        <w:trPr>
          <w:trHeight w:val="517"/>
        </w:trPr>
        <w:tc>
          <w:tcPr>
            <w:tcW w:w="2636" w:type="pct"/>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14:paraId="1A95568F" w14:textId="77777777" w:rsidR="00240448" w:rsidRPr="00240448" w:rsidRDefault="00240448" w:rsidP="00240448">
            <w:pPr>
              <w:spacing w:after="0" w:line="240" w:lineRule="auto"/>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Movimentação:</w:t>
            </w:r>
          </w:p>
        </w:tc>
        <w:tc>
          <w:tcPr>
            <w:tcW w:w="85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E267766" w14:textId="77777777" w:rsidR="00240448" w:rsidRPr="00240448" w:rsidRDefault="00240448" w:rsidP="00240448">
            <w:pPr>
              <w:spacing w:after="0" w:line="240" w:lineRule="auto"/>
              <w:jc w:val="center"/>
              <w:rPr>
                <w:rFonts w:ascii="Arial" w:eastAsia="Times New Roman" w:hAnsi="Arial" w:cs="Arial"/>
                <w:b/>
                <w:bCs/>
                <w:color w:val="000000"/>
                <w:kern w:val="0"/>
                <w:sz w:val="18"/>
                <w:szCs w:val="18"/>
                <w:vertAlign w:val="superscript"/>
                <w:lang w:eastAsia="pt-BR"/>
                <w14:ligatures w14:val="none"/>
              </w:rPr>
            </w:pPr>
            <w:r w:rsidRPr="00240448">
              <w:rPr>
                <w:rFonts w:ascii="Arial" w:eastAsia="Times New Roman" w:hAnsi="Arial" w:cs="Arial"/>
                <w:b/>
                <w:bCs/>
                <w:color w:val="000000"/>
                <w:kern w:val="0"/>
                <w:sz w:val="18"/>
                <w:szCs w:val="18"/>
                <w:lang w:eastAsia="pt-BR"/>
                <w14:ligatures w14:val="none"/>
              </w:rPr>
              <w:t>Instrumentos Financeiros Avaliados VJORA</w:t>
            </w:r>
            <w:r w:rsidRPr="00240448">
              <w:rPr>
                <w:rFonts w:ascii="Arial" w:eastAsia="Times New Roman" w:hAnsi="Arial" w:cs="Arial"/>
                <w:b/>
                <w:bCs/>
                <w:color w:val="000000"/>
                <w:kern w:val="0"/>
                <w:sz w:val="18"/>
                <w:szCs w:val="18"/>
                <w:vertAlign w:val="superscript"/>
                <w:lang w:eastAsia="pt-BR"/>
                <w14:ligatures w14:val="none"/>
              </w:rPr>
              <w:t>(i)</w:t>
            </w:r>
          </w:p>
        </w:tc>
        <w:tc>
          <w:tcPr>
            <w:tcW w:w="83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4BF80E2" w14:textId="77777777" w:rsidR="00240448" w:rsidRPr="00240448" w:rsidRDefault="00240448" w:rsidP="00240448">
            <w:pPr>
              <w:spacing w:after="0" w:line="240" w:lineRule="auto"/>
              <w:jc w:val="center"/>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Variação Cambial sobre Investimento no Exterior</w:t>
            </w:r>
          </w:p>
        </w:tc>
        <w:tc>
          <w:tcPr>
            <w:tcW w:w="67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1C04F9E" w14:textId="77777777" w:rsidR="00240448" w:rsidRPr="00240448" w:rsidRDefault="00240448" w:rsidP="00240448">
            <w:pPr>
              <w:spacing w:after="0" w:line="240" w:lineRule="auto"/>
              <w:jc w:val="center"/>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Total</w:t>
            </w:r>
          </w:p>
        </w:tc>
      </w:tr>
      <w:tr w:rsidR="00240448" w:rsidRPr="00240448" w14:paraId="5EDE7FBD" w14:textId="77777777" w:rsidTr="00446A14">
        <w:trPr>
          <w:trHeight w:val="517"/>
        </w:trPr>
        <w:tc>
          <w:tcPr>
            <w:tcW w:w="2636" w:type="pct"/>
            <w:vMerge/>
            <w:tcBorders>
              <w:top w:val="single" w:sz="8" w:space="0" w:color="auto"/>
              <w:left w:val="single" w:sz="8" w:space="0" w:color="auto"/>
              <w:bottom w:val="single" w:sz="8" w:space="0" w:color="000000"/>
              <w:right w:val="single" w:sz="8" w:space="0" w:color="auto"/>
            </w:tcBorders>
            <w:vAlign w:val="center"/>
            <w:hideMark/>
          </w:tcPr>
          <w:p w14:paraId="7FC71B8B" w14:textId="77777777" w:rsidR="00240448" w:rsidRPr="00240448" w:rsidRDefault="00240448" w:rsidP="00240448">
            <w:pPr>
              <w:spacing w:after="0" w:line="240" w:lineRule="auto"/>
              <w:rPr>
                <w:rFonts w:ascii="Arial" w:eastAsia="Times New Roman" w:hAnsi="Arial" w:cs="Arial"/>
                <w:b/>
                <w:bCs/>
                <w:color w:val="000000"/>
                <w:kern w:val="0"/>
                <w:sz w:val="18"/>
                <w:szCs w:val="18"/>
                <w:lang w:eastAsia="pt-BR"/>
                <w14:ligatures w14:val="none"/>
              </w:rPr>
            </w:pPr>
          </w:p>
        </w:tc>
        <w:tc>
          <w:tcPr>
            <w:tcW w:w="853" w:type="pct"/>
            <w:vMerge/>
            <w:tcBorders>
              <w:top w:val="single" w:sz="8" w:space="0" w:color="auto"/>
              <w:left w:val="single" w:sz="8" w:space="0" w:color="auto"/>
              <w:bottom w:val="single" w:sz="8" w:space="0" w:color="000000"/>
              <w:right w:val="single" w:sz="8" w:space="0" w:color="auto"/>
            </w:tcBorders>
            <w:vAlign w:val="center"/>
            <w:hideMark/>
          </w:tcPr>
          <w:p w14:paraId="14789B62" w14:textId="77777777" w:rsidR="00240448" w:rsidRPr="00240448" w:rsidRDefault="00240448" w:rsidP="00240448">
            <w:pPr>
              <w:spacing w:after="0" w:line="240" w:lineRule="auto"/>
              <w:rPr>
                <w:rFonts w:ascii="Arial" w:eastAsia="Times New Roman" w:hAnsi="Arial" w:cs="Arial"/>
                <w:b/>
                <w:bCs/>
                <w:color w:val="000000"/>
                <w:kern w:val="0"/>
                <w:sz w:val="18"/>
                <w:szCs w:val="18"/>
                <w:lang w:eastAsia="pt-BR"/>
                <w14:ligatures w14:val="none"/>
              </w:rPr>
            </w:pPr>
          </w:p>
        </w:tc>
        <w:tc>
          <w:tcPr>
            <w:tcW w:w="833" w:type="pct"/>
            <w:vMerge/>
            <w:tcBorders>
              <w:top w:val="single" w:sz="8" w:space="0" w:color="auto"/>
              <w:left w:val="single" w:sz="8" w:space="0" w:color="auto"/>
              <w:bottom w:val="single" w:sz="8" w:space="0" w:color="000000"/>
              <w:right w:val="single" w:sz="8" w:space="0" w:color="auto"/>
            </w:tcBorders>
            <w:vAlign w:val="center"/>
            <w:hideMark/>
          </w:tcPr>
          <w:p w14:paraId="71EDCA0D" w14:textId="77777777" w:rsidR="00240448" w:rsidRPr="00240448" w:rsidRDefault="00240448" w:rsidP="00240448">
            <w:pPr>
              <w:spacing w:after="0" w:line="240" w:lineRule="auto"/>
              <w:rPr>
                <w:rFonts w:ascii="Arial" w:eastAsia="Times New Roman" w:hAnsi="Arial" w:cs="Arial"/>
                <w:b/>
                <w:bCs/>
                <w:color w:val="000000"/>
                <w:kern w:val="0"/>
                <w:sz w:val="18"/>
                <w:szCs w:val="18"/>
                <w:lang w:eastAsia="pt-BR"/>
                <w14:ligatures w14:val="none"/>
              </w:rPr>
            </w:pPr>
          </w:p>
        </w:tc>
        <w:tc>
          <w:tcPr>
            <w:tcW w:w="678" w:type="pct"/>
            <w:vMerge/>
            <w:tcBorders>
              <w:top w:val="single" w:sz="8" w:space="0" w:color="auto"/>
              <w:left w:val="single" w:sz="8" w:space="0" w:color="auto"/>
              <w:bottom w:val="single" w:sz="8" w:space="0" w:color="000000"/>
              <w:right w:val="single" w:sz="8" w:space="0" w:color="auto"/>
            </w:tcBorders>
            <w:vAlign w:val="center"/>
            <w:hideMark/>
          </w:tcPr>
          <w:p w14:paraId="4A6D518E" w14:textId="77777777" w:rsidR="00240448" w:rsidRPr="00240448" w:rsidRDefault="00240448" w:rsidP="00240448">
            <w:pPr>
              <w:spacing w:after="0" w:line="240" w:lineRule="auto"/>
              <w:rPr>
                <w:rFonts w:ascii="Arial" w:eastAsia="Times New Roman" w:hAnsi="Arial" w:cs="Arial"/>
                <w:b/>
                <w:bCs/>
                <w:color w:val="000000"/>
                <w:kern w:val="0"/>
                <w:sz w:val="18"/>
                <w:szCs w:val="18"/>
                <w:lang w:eastAsia="pt-BR"/>
                <w14:ligatures w14:val="none"/>
              </w:rPr>
            </w:pPr>
          </w:p>
        </w:tc>
      </w:tr>
      <w:tr w:rsidR="00240448" w:rsidRPr="00240448" w14:paraId="2EC8A241" w14:textId="77777777" w:rsidTr="00446A14">
        <w:trPr>
          <w:trHeight w:val="238"/>
        </w:trPr>
        <w:tc>
          <w:tcPr>
            <w:tcW w:w="2636" w:type="pct"/>
            <w:tcBorders>
              <w:top w:val="nil"/>
              <w:left w:val="single" w:sz="8" w:space="0" w:color="auto"/>
              <w:bottom w:val="single" w:sz="8" w:space="0" w:color="auto"/>
              <w:right w:val="single" w:sz="8" w:space="0" w:color="auto"/>
            </w:tcBorders>
            <w:shd w:val="clear" w:color="auto" w:fill="auto"/>
            <w:noWrap/>
            <w:vAlign w:val="center"/>
            <w:hideMark/>
          </w:tcPr>
          <w:p w14:paraId="18D7569F" w14:textId="77777777" w:rsidR="00240448" w:rsidRPr="00240448" w:rsidRDefault="00240448" w:rsidP="00240448">
            <w:pPr>
              <w:spacing w:after="0" w:line="240" w:lineRule="auto"/>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Saldo em 31 de dezembro de 2022</w:t>
            </w:r>
          </w:p>
        </w:tc>
        <w:tc>
          <w:tcPr>
            <w:tcW w:w="853" w:type="pct"/>
            <w:tcBorders>
              <w:top w:val="nil"/>
              <w:left w:val="nil"/>
              <w:bottom w:val="single" w:sz="8" w:space="0" w:color="auto"/>
              <w:right w:val="single" w:sz="8" w:space="0" w:color="auto"/>
            </w:tcBorders>
            <w:shd w:val="clear" w:color="auto" w:fill="auto"/>
            <w:noWrap/>
            <w:vAlign w:val="center"/>
            <w:hideMark/>
          </w:tcPr>
          <w:p w14:paraId="1822C6E3" w14:textId="77777777" w:rsidR="00240448" w:rsidRPr="00240448" w:rsidRDefault="00240448" w:rsidP="00240448">
            <w:pPr>
              <w:spacing w:after="0" w:line="240" w:lineRule="auto"/>
              <w:jc w:val="right"/>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 xml:space="preserve">          (209)</w:t>
            </w:r>
          </w:p>
        </w:tc>
        <w:tc>
          <w:tcPr>
            <w:tcW w:w="833" w:type="pct"/>
            <w:tcBorders>
              <w:top w:val="nil"/>
              <w:left w:val="nil"/>
              <w:bottom w:val="single" w:sz="8" w:space="0" w:color="auto"/>
              <w:right w:val="single" w:sz="8" w:space="0" w:color="auto"/>
            </w:tcBorders>
            <w:shd w:val="clear" w:color="auto" w:fill="auto"/>
            <w:noWrap/>
            <w:vAlign w:val="center"/>
            <w:hideMark/>
          </w:tcPr>
          <w:p w14:paraId="0934C3FE" w14:textId="77777777" w:rsidR="00240448" w:rsidRPr="00240448" w:rsidRDefault="00240448" w:rsidP="00240448">
            <w:pPr>
              <w:spacing w:after="0" w:line="240" w:lineRule="auto"/>
              <w:jc w:val="right"/>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 xml:space="preserve">      26.780 </w:t>
            </w:r>
          </w:p>
        </w:tc>
        <w:tc>
          <w:tcPr>
            <w:tcW w:w="678" w:type="pct"/>
            <w:tcBorders>
              <w:top w:val="nil"/>
              <w:left w:val="nil"/>
              <w:bottom w:val="single" w:sz="8" w:space="0" w:color="auto"/>
              <w:right w:val="single" w:sz="8" w:space="0" w:color="auto"/>
            </w:tcBorders>
            <w:shd w:val="clear" w:color="auto" w:fill="auto"/>
            <w:noWrap/>
            <w:vAlign w:val="center"/>
            <w:hideMark/>
          </w:tcPr>
          <w:p w14:paraId="484F8C5D" w14:textId="77777777" w:rsidR="00240448" w:rsidRPr="00240448" w:rsidRDefault="00240448" w:rsidP="00240448">
            <w:pPr>
              <w:spacing w:after="0" w:line="240" w:lineRule="auto"/>
              <w:jc w:val="right"/>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 xml:space="preserve">     26.571 </w:t>
            </w:r>
          </w:p>
        </w:tc>
      </w:tr>
      <w:tr w:rsidR="00240448" w:rsidRPr="00240448" w14:paraId="7F85077C" w14:textId="77777777" w:rsidTr="00446A14">
        <w:trPr>
          <w:trHeight w:val="238"/>
        </w:trPr>
        <w:tc>
          <w:tcPr>
            <w:tcW w:w="2636" w:type="pct"/>
            <w:tcBorders>
              <w:top w:val="nil"/>
              <w:left w:val="single" w:sz="8" w:space="0" w:color="auto"/>
              <w:bottom w:val="single" w:sz="8" w:space="0" w:color="auto"/>
              <w:right w:val="single" w:sz="8" w:space="0" w:color="auto"/>
            </w:tcBorders>
            <w:shd w:val="clear" w:color="auto" w:fill="auto"/>
            <w:noWrap/>
            <w:vAlign w:val="center"/>
            <w:hideMark/>
          </w:tcPr>
          <w:p w14:paraId="6205629D"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Perda com Instrumentos Patrimoniais Mensurados a VJORA</w:t>
            </w:r>
          </w:p>
        </w:tc>
        <w:tc>
          <w:tcPr>
            <w:tcW w:w="853" w:type="pct"/>
            <w:tcBorders>
              <w:top w:val="nil"/>
              <w:left w:val="nil"/>
              <w:bottom w:val="single" w:sz="8" w:space="0" w:color="auto"/>
              <w:right w:val="single" w:sz="8" w:space="0" w:color="auto"/>
            </w:tcBorders>
            <w:shd w:val="clear" w:color="auto" w:fill="auto"/>
            <w:noWrap/>
            <w:vAlign w:val="center"/>
            <w:hideMark/>
          </w:tcPr>
          <w:p w14:paraId="03A51A6C"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762 </w:t>
            </w:r>
          </w:p>
        </w:tc>
        <w:tc>
          <w:tcPr>
            <w:tcW w:w="833" w:type="pct"/>
            <w:tcBorders>
              <w:top w:val="nil"/>
              <w:left w:val="nil"/>
              <w:bottom w:val="single" w:sz="8" w:space="0" w:color="auto"/>
              <w:right w:val="single" w:sz="8" w:space="0" w:color="auto"/>
            </w:tcBorders>
            <w:shd w:val="clear" w:color="auto" w:fill="auto"/>
            <w:noWrap/>
            <w:vAlign w:val="center"/>
            <w:hideMark/>
          </w:tcPr>
          <w:p w14:paraId="6FF35E99"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     </w:t>
            </w:r>
          </w:p>
        </w:tc>
        <w:tc>
          <w:tcPr>
            <w:tcW w:w="678" w:type="pct"/>
            <w:tcBorders>
              <w:top w:val="nil"/>
              <w:left w:val="nil"/>
              <w:bottom w:val="single" w:sz="8" w:space="0" w:color="auto"/>
              <w:right w:val="single" w:sz="8" w:space="0" w:color="auto"/>
            </w:tcBorders>
            <w:shd w:val="clear" w:color="auto" w:fill="auto"/>
            <w:noWrap/>
            <w:vAlign w:val="center"/>
            <w:hideMark/>
          </w:tcPr>
          <w:p w14:paraId="66810AB7"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762 </w:t>
            </w:r>
          </w:p>
        </w:tc>
      </w:tr>
      <w:tr w:rsidR="00240448" w:rsidRPr="00240448" w14:paraId="6C849A67" w14:textId="77777777" w:rsidTr="00446A14">
        <w:trPr>
          <w:trHeight w:val="238"/>
        </w:trPr>
        <w:tc>
          <w:tcPr>
            <w:tcW w:w="2636" w:type="pct"/>
            <w:tcBorders>
              <w:top w:val="nil"/>
              <w:left w:val="single" w:sz="8" w:space="0" w:color="auto"/>
              <w:bottom w:val="single" w:sz="8" w:space="0" w:color="auto"/>
              <w:right w:val="single" w:sz="8" w:space="0" w:color="auto"/>
            </w:tcBorders>
            <w:shd w:val="clear" w:color="auto" w:fill="auto"/>
            <w:noWrap/>
            <w:vAlign w:val="center"/>
            <w:hideMark/>
          </w:tcPr>
          <w:p w14:paraId="2D7D2DAA"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Equivalência Patrimonial Reflexa sobre AAP Coligada</w:t>
            </w:r>
          </w:p>
        </w:tc>
        <w:tc>
          <w:tcPr>
            <w:tcW w:w="853" w:type="pct"/>
            <w:tcBorders>
              <w:top w:val="nil"/>
              <w:left w:val="nil"/>
              <w:bottom w:val="single" w:sz="8" w:space="0" w:color="auto"/>
              <w:right w:val="single" w:sz="8" w:space="0" w:color="auto"/>
            </w:tcBorders>
            <w:shd w:val="clear" w:color="auto" w:fill="auto"/>
            <w:noWrap/>
            <w:vAlign w:val="center"/>
            <w:hideMark/>
          </w:tcPr>
          <w:p w14:paraId="364D91EC"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     </w:t>
            </w:r>
          </w:p>
        </w:tc>
        <w:tc>
          <w:tcPr>
            <w:tcW w:w="833" w:type="pct"/>
            <w:tcBorders>
              <w:top w:val="nil"/>
              <w:left w:val="nil"/>
              <w:bottom w:val="single" w:sz="8" w:space="0" w:color="auto"/>
              <w:right w:val="single" w:sz="8" w:space="0" w:color="auto"/>
            </w:tcBorders>
            <w:shd w:val="clear" w:color="auto" w:fill="auto"/>
            <w:noWrap/>
            <w:vAlign w:val="center"/>
            <w:hideMark/>
          </w:tcPr>
          <w:p w14:paraId="58E3E94B"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(2.857)</w:t>
            </w:r>
          </w:p>
        </w:tc>
        <w:tc>
          <w:tcPr>
            <w:tcW w:w="678" w:type="pct"/>
            <w:tcBorders>
              <w:top w:val="nil"/>
              <w:left w:val="nil"/>
              <w:bottom w:val="single" w:sz="8" w:space="0" w:color="auto"/>
              <w:right w:val="single" w:sz="8" w:space="0" w:color="auto"/>
            </w:tcBorders>
            <w:shd w:val="clear" w:color="auto" w:fill="auto"/>
            <w:noWrap/>
            <w:vAlign w:val="center"/>
            <w:hideMark/>
          </w:tcPr>
          <w:p w14:paraId="3A79C4ED"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(2.857)</w:t>
            </w:r>
          </w:p>
        </w:tc>
      </w:tr>
      <w:tr w:rsidR="00240448" w:rsidRPr="00240448" w14:paraId="48D328D3" w14:textId="77777777" w:rsidTr="00446A14">
        <w:trPr>
          <w:trHeight w:val="238"/>
        </w:trPr>
        <w:tc>
          <w:tcPr>
            <w:tcW w:w="2636" w:type="pct"/>
            <w:tcBorders>
              <w:top w:val="nil"/>
              <w:left w:val="single" w:sz="8" w:space="0" w:color="auto"/>
              <w:bottom w:val="single" w:sz="8" w:space="0" w:color="auto"/>
              <w:right w:val="single" w:sz="8" w:space="0" w:color="auto"/>
            </w:tcBorders>
            <w:shd w:val="clear" w:color="auto" w:fill="auto"/>
            <w:noWrap/>
            <w:vAlign w:val="center"/>
            <w:hideMark/>
          </w:tcPr>
          <w:p w14:paraId="3624473F" w14:textId="77777777" w:rsidR="00240448" w:rsidRPr="00240448" w:rsidRDefault="00240448" w:rsidP="00240448">
            <w:pPr>
              <w:spacing w:after="0" w:line="240" w:lineRule="auto"/>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Saldo em 31 de dezembro de 2023</w:t>
            </w:r>
          </w:p>
        </w:tc>
        <w:tc>
          <w:tcPr>
            <w:tcW w:w="853" w:type="pct"/>
            <w:tcBorders>
              <w:top w:val="nil"/>
              <w:left w:val="nil"/>
              <w:bottom w:val="single" w:sz="8" w:space="0" w:color="auto"/>
              <w:right w:val="single" w:sz="8" w:space="0" w:color="auto"/>
            </w:tcBorders>
            <w:shd w:val="clear" w:color="auto" w:fill="auto"/>
            <w:noWrap/>
            <w:vAlign w:val="center"/>
            <w:hideMark/>
          </w:tcPr>
          <w:p w14:paraId="28CE1008" w14:textId="77777777" w:rsidR="00240448" w:rsidRPr="00240448" w:rsidRDefault="00240448" w:rsidP="00240448">
            <w:pPr>
              <w:spacing w:after="0" w:line="240" w:lineRule="auto"/>
              <w:jc w:val="right"/>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 xml:space="preserve">           553 </w:t>
            </w:r>
          </w:p>
        </w:tc>
        <w:tc>
          <w:tcPr>
            <w:tcW w:w="833" w:type="pct"/>
            <w:tcBorders>
              <w:top w:val="nil"/>
              <w:left w:val="nil"/>
              <w:bottom w:val="single" w:sz="8" w:space="0" w:color="auto"/>
              <w:right w:val="single" w:sz="8" w:space="0" w:color="auto"/>
            </w:tcBorders>
            <w:shd w:val="clear" w:color="auto" w:fill="auto"/>
            <w:noWrap/>
            <w:vAlign w:val="center"/>
            <w:hideMark/>
          </w:tcPr>
          <w:p w14:paraId="0449DC13" w14:textId="77777777" w:rsidR="00240448" w:rsidRPr="00240448" w:rsidRDefault="00240448" w:rsidP="00240448">
            <w:pPr>
              <w:spacing w:after="0" w:line="240" w:lineRule="auto"/>
              <w:jc w:val="right"/>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 xml:space="preserve">      23.923 </w:t>
            </w:r>
          </w:p>
        </w:tc>
        <w:tc>
          <w:tcPr>
            <w:tcW w:w="678" w:type="pct"/>
            <w:tcBorders>
              <w:top w:val="nil"/>
              <w:left w:val="nil"/>
              <w:bottom w:val="single" w:sz="8" w:space="0" w:color="auto"/>
              <w:right w:val="single" w:sz="8" w:space="0" w:color="auto"/>
            </w:tcBorders>
            <w:shd w:val="clear" w:color="auto" w:fill="auto"/>
            <w:noWrap/>
            <w:vAlign w:val="center"/>
            <w:hideMark/>
          </w:tcPr>
          <w:p w14:paraId="208C7E3A" w14:textId="77777777" w:rsidR="00240448" w:rsidRPr="00240448" w:rsidRDefault="00240448" w:rsidP="00240448">
            <w:pPr>
              <w:spacing w:after="0" w:line="240" w:lineRule="auto"/>
              <w:jc w:val="right"/>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 xml:space="preserve">     24.476 </w:t>
            </w:r>
          </w:p>
        </w:tc>
      </w:tr>
    </w:tbl>
    <w:p w14:paraId="76171AB9" w14:textId="47F5FF21" w:rsidR="00240448" w:rsidRPr="00240448" w:rsidRDefault="00240448" w:rsidP="00240448">
      <w:pPr>
        <w:autoSpaceDE w:val="0"/>
        <w:autoSpaceDN w:val="0"/>
        <w:adjustRightInd w:val="0"/>
        <w:spacing w:after="0" w:line="240" w:lineRule="auto"/>
        <w:jc w:val="both"/>
        <w:rPr>
          <w:rFonts w:ascii="Calibri" w:eastAsia="Times New Roman" w:hAnsi="Calibri" w:cs="Calibri"/>
          <w:b/>
          <w:bCs/>
          <w:iCs/>
          <w:color w:val="002060"/>
          <w:kern w:val="0"/>
          <w14:ligatures w14:val="none"/>
        </w:rPr>
      </w:pPr>
      <w:bookmarkStart w:id="430" w:name="_Toc491337768"/>
      <w:r>
        <w:rPr>
          <w:rFonts w:ascii="Calibri" w:eastAsia="Times New Roman" w:hAnsi="Calibri" w:cs="Calibri"/>
          <w:b/>
          <w:bCs/>
          <w:iCs/>
          <w:color w:val="002060"/>
          <w:kern w:val="0"/>
          <w14:ligatures w14:val="none"/>
        </w:rPr>
        <w:t xml:space="preserve">27.4. </w:t>
      </w:r>
      <w:r w:rsidRPr="00240448">
        <w:rPr>
          <w:rFonts w:ascii="Calibri" w:eastAsia="Times New Roman" w:hAnsi="Calibri" w:cs="Calibri"/>
          <w:b/>
          <w:bCs/>
          <w:iCs/>
          <w:color w:val="002060"/>
          <w:kern w:val="0"/>
          <w14:ligatures w14:val="none"/>
        </w:rPr>
        <w:t>Ações em tesouraria</w:t>
      </w:r>
      <w:bookmarkEnd w:id="430"/>
    </w:p>
    <w:p w14:paraId="2F5A3C69" w14:textId="77777777" w:rsidR="00240448" w:rsidRPr="00240448" w:rsidRDefault="00240448" w:rsidP="00240448">
      <w:pPr>
        <w:autoSpaceDE w:val="0"/>
        <w:autoSpaceDN w:val="0"/>
        <w:adjustRightInd w:val="0"/>
        <w:spacing w:after="0" w:line="240" w:lineRule="auto"/>
        <w:jc w:val="both"/>
        <w:rPr>
          <w:rFonts w:ascii="Calibri" w:eastAsia="Times New Roman" w:hAnsi="Calibri" w:cs="Calibri"/>
          <w:iCs/>
          <w:color w:val="002060"/>
          <w:kern w:val="0"/>
          <w14:ligatures w14:val="none"/>
        </w:rPr>
      </w:pPr>
      <w:r w:rsidRPr="00240448">
        <w:rPr>
          <w:rFonts w:ascii="Calibri" w:eastAsia="Times New Roman" w:hAnsi="Calibri" w:cs="Calibri"/>
          <w:iCs/>
          <w:color w:val="002060"/>
          <w:kern w:val="0"/>
          <w14:ligatures w14:val="none"/>
        </w:rPr>
        <w:t xml:space="preserve">As Ações em Tesouraria (193 – cento e noventa e três, ações ordinárias) correspondem ao saldo remanescente da cisão parcial da Telebras, ocorrida em 22 de maio de 1998. </w:t>
      </w:r>
    </w:p>
    <w:p w14:paraId="4333CE15" w14:textId="175AF3E1" w:rsidR="00240448" w:rsidRPr="00240448" w:rsidRDefault="00240448" w:rsidP="00240448">
      <w:pPr>
        <w:autoSpaceDE w:val="0"/>
        <w:autoSpaceDN w:val="0"/>
        <w:adjustRightInd w:val="0"/>
        <w:spacing w:after="0" w:line="240" w:lineRule="auto"/>
        <w:jc w:val="both"/>
        <w:rPr>
          <w:rFonts w:ascii="Calibri" w:eastAsia="Times New Roman" w:hAnsi="Calibri" w:cs="Calibri"/>
          <w:b/>
          <w:bCs/>
          <w:iCs/>
          <w:color w:val="002060"/>
          <w:kern w:val="0"/>
          <w14:ligatures w14:val="none"/>
        </w:rPr>
      </w:pPr>
      <w:bookmarkStart w:id="431" w:name="_Toc491337769"/>
      <w:r>
        <w:rPr>
          <w:rFonts w:ascii="Calibri" w:eastAsia="Times New Roman" w:hAnsi="Calibri" w:cs="Calibri"/>
          <w:b/>
          <w:bCs/>
          <w:iCs/>
          <w:color w:val="002060"/>
          <w:kern w:val="0"/>
          <w14:ligatures w14:val="none"/>
        </w:rPr>
        <w:t xml:space="preserve">27.5. </w:t>
      </w:r>
      <w:r w:rsidRPr="00240448">
        <w:rPr>
          <w:rFonts w:ascii="Calibri" w:eastAsia="Times New Roman" w:hAnsi="Calibri" w:cs="Calibri"/>
          <w:b/>
          <w:bCs/>
          <w:iCs/>
          <w:color w:val="002060"/>
          <w:kern w:val="0"/>
          <w14:ligatures w14:val="none"/>
        </w:rPr>
        <w:t>Lucro (Prejuízo) por ação básico e diluído</w:t>
      </w:r>
      <w:bookmarkEnd w:id="431"/>
    </w:p>
    <w:p w14:paraId="3575C43C" w14:textId="77777777" w:rsidR="00240448" w:rsidRPr="00240448" w:rsidRDefault="00240448" w:rsidP="00240448">
      <w:pPr>
        <w:autoSpaceDE w:val="0"/>
        <w:autoSpaceDN w:val="0"/>
        <w:adjustRightInd w:val="0"/>
        <w:spacing w:after="0" w:line="240" w:lineRule="auto"/>
        <w:jc w:val="both"/>
        <w:rPr>
          <w:rFonts w:ascii="Calibri" w:eastAsia="Times New Roman" w:hAnsi="Calibri" w:cs="Calibri"/>
          <w:iCs/>
          <w:color w:val="002060"/>
          <w:kern w:val="0"/>
          <w14:ligatures w14:val="none"/>
        </w:rPr>
      </w:pPr>
      <w:r w:rsidRPr="00240448">
        <w:rPr>
          <w:rFonts w:ascii="Calibri" w:eastAsia="Times New Roman" w:hAnsi="Calibri" w:cs="Calibri"/>
          <w:iCs/>
          <w:color w:val="002060"/>
          <w:kern w:val="0"/>
          <w14:ligatures w14:val="none"/>
        </w:rPr>
        <w:t>Os acionistas ordinários e preferenciais possuem direitos diferentes em relação a dividendos, direito a voto e em caso de liquidação, conforme determina o estatuto social da Companhia. Dessa forma, o lucro (prejuízo) por ação básico e diluído foi calculado com base no lucro (prejuízo) do exercício disponível para os acionistas ordinários e preferenciais.</w:t>
      </w:r>
    </w:p>
    <w:p w14:paraId="01F60C04" w14:textId="77777777" w:rsidR="00240448" w:rsidRPr="00240448" w:rsidRDefault="00240448" w:rsidP="00240448">
      <w:pPr>
        <w:autoSpaceDE w:val="0"/>
        <w:autoSpaceDN w:val="0"/>
        <w:adjustRightInd w:val="0"/>
        <w:spacing w:after="0" w:line="240" w:lineRule="auto"/>
        <w:jc w:val="both"/>
        <w:rPr>
          <w:rFonts w:ascii="Calibri" w:eastAsia="Times New Roman" w:hAnsi="Calibri" w:cs="Calibri"/>
          <w:b/>
          <w:iCs/>
          <w:color w:val="002060"/>
          <w:kern w:val="0"/>
          <w14:ligatures w14:val="none"/>
        </w:rPr>
      </w:pPr>
      <w:r w:rsidRPr="00240448">
        <w:rPr>
          <w:rFonts w:ascii="Calibri" w:eastAsia="Times New Roman" w:hAnsi="Calibri" w:cs="Calibri"/>
          <w:b/>
          <w:iCs/>
          <w:color w:val="002060"/>
          <w:kern w:val="0"/>
          <w14:ligatures w14:val="none"/>
        </w:rPr>
        <w:t>Básico</w:t>
      </w:r>
    </w:p>
    <w:p w14:paraId="57379D3D" w14:textId="77777777" w:rsidR="00240448" w:rsidRPr="00240448" w:rsidRDefault="00240448" w:rsidP="00240448">
      <w:pPr>
        <w:autoSpaceDE w:val="0"/>
        <w:autoSpaceDN w:val="0"/>
        <w:adjustRightInd w:val="0"/>
        <w:spacing w:after="0" w:line="240" w:lineRule="auto"/>
        <w:jc w:val="both"/>
        <w:rPr>
          <w:rFonts w:ascii="Calibri" w:eastAsia="Times New Roman" w:hAnsi="Calibri" w:cs="Calibri"/>
          <w:iCs/>
          <w:color w:val="002060"/>
          <w:kern w:val="0"/>
          <w14:ligatures w14:val="none"/>
        </w:rPr>
        <w:sectPr w:rsidR="00240448" w:rsidRPr="00240448" w:rsidSect="00240448">
          <w:footerReference w:type="default" r:id="rId60"/>
          <w:type w:val="continuous"/>
          <w:pgSz w:w="11906" w:h="16838" w:code="9"/>
          <w:pgMar w:top="848" w:right="849" w:bottom="993" w:left="1276" w:header="850" w:footer="907" w:gutter="0"/>
          <w:cols w:space="708"/>
          <w:docGrid w:linePitch="360"/>
        </w:sectPr>
      </w:pPr>
      <w:r w:rsidRPr="00240448">
        <w:rPr>
          <w:rFonts w:ascii="Calibri" w:eastAsia="Times New Roman" w:hAnsi="Calibri" w:cs="Calibri"/>
          <w:iCs/>
          <w:color w:val="002060"/>
          <w:kern w:val="0"/>
          <w14:ligatures w14:val="none"/>
        </w:rPr>
        <w:t>O lucro (prejuízo) básico por ação é calculado mediante a divisão do lucro (prejuízo) atribuível aos acionistas da Companhia, disponível aos portadores de ações ordinárias e preferenciais, pela quantidade média ponderada de ações ordinárias e preferenciais em circulação durante o exercício.</w:t>
      </w:r>
    </w:p>
    <w:p w14:paraId="0B981850" w14:textId="77777777" w:rsidR="00240448" w:rsidRPr="00240448" w:rsidRDefault="00240448" w:rsidP="00240448">
      <w:pPr>
        <w:autoSpaceDE w:val="0"/>
        <w:autoSpaceDN w:val="0"/>
        <w:adjustRightInd w:val="0"/>
        <w:spacing w:after="0" w:line="240" w:lineRule="auto"/>
        <w:jc w:val="both"/>
        <w:rPr>
          <w:rFonts w:ascii="Calibri" w:eastAsia="Times New Roman" w:hAnsi="Calibri" w:cs="Calibri"/>
          <w:b/>
          <w:bCs/>
          <w:iCs/>
          <w:color w:val="002060"/>
          <w:kern w:val="0"/>
          <w14:ligatures w14:val="none"/>
        </w:rPr>
      </w:pPr>
      <w:r w:rsidRPr="00240448">
        <w:rPr>
          <w:rFonts w:ascii="Calibri" w:eastAsia="Times New Roman" w:hAnsi="Calibri" w:cs="Calibri"/>
          <w:b/>
          <w:iCs/>
          <w:color w:val="002060"/>
          <w:kern w:val="0"/>
          <w14:ligatures w14:val="none"/>
        </w:rPr>
        <w:t>Diluído</w:t>
      </w:r>
    </w:p>
    <w:p w14:paraId="64E975CC" w14:textId="77777777" w:rsidR="00240448" w:rsidRPr="00240448" w:rsidRDefault="00240448" w:rsidP="00240448">
      <w:pPr>
        <w:autoSpaceDE w:val="0"/>
        <w:autoSpaceDN w:val="0"/>
        <w:adjustRightInd w:val="0"/>
        <w:spacing w:after="0" w:line="240" w:lineRule="auto"/>
        <w:jc w:val="both"/>
        <w:rPr>
          <w:rFonts w:ascii="Calibri" w:eastAsia="Times New Roman" w:hAnsi="Calibri" w:cs="Calibri"/>
          <w:iCs/>
          <w:color w:val="002060"/>
          <w:kern w:val="0"/>
          <w14:ligatures w14:val="none"/>
        </w:rPr>
      </w:pPr>
      <w:r w:rsidRPr="00240448">
        <w:rPr>
          <w:rFonts w:ascii="Calibri" w:eastAsia="Times New Roman" w:hAnsi="Calibri" w:cs="Calibri"/>
          <w:iCs/>
          <w:color w:val="002060"/>
          <w:kern w:val="0"/>
          <w14:ligatures w14:val="none"/>
        </w:rPr>
        <w:t>O lucro (prejuízo) diluído por ação é calculado mediante o ajuste da quantidade média ponderada de ações ordinárias e preferenciais em circulação, para presumir a conversão de todas as ações potenciais diluídas. A Companhia não possui categoria de ações potenciais diluídas.</w:t>
      </w:r>
    </w:p>
    <w:p w14:paraId="6B5910E9" w14:textId="77777777" w:rsidR="00240448" w:rsidRDefault="00240448" w:rsidP="00240448">
      <w:pPr>
        <w:autoSpaceDE w:val="0"/>
        <w:autoSpaceDN w:val="0"/>
        <w:adjustRightInd w:val="0"/>
        <w:spacing w:after="0" w:line="240" w:lineRule="auto"/>
        <w:jc w:val="both"/>
        <w:rPr>
          <w:rFonts w:ascii="Calibri" w:eastAsia="Times New Roman" w:hAnsi="Calibri" w:cs="Calibri"/>
          <w:iCs/>
          <w:color w:val="002060"/>
          <w:kern w:val="0"/>
          <w14:ligatures w14:val="none"/>
        </w:rPr>
      </w:pPr>
      <w:r w:rsidRPr="00240448">
        <w:rPr>
          <w:rFonts w:ascii="Calibri" w:eastAsia="Times New Roman" w:hAnsi="Calibri" w:cs="Calibri"/>
          <w:iCs/>
          <w:color w:val="002060"/>
          <w:kern w:val="0"/>
          <w14:ligatures w14:val="none"/>
        </w:rPr>
        <w:t>A seguir são apresentados os cálculos do lucro (prejuízo) por ação básico e diluído:</w:t>
      </w:r>
    </w:p>
    <w:tbl>
      <w:tblPr>
        <w:tblW w:w="5000" w:type="pct"/>
        <w:tblCellMar>
          <w:left w:w="70" w:type="dxa"/>
          <w:right w:w="70" w:type="dxa"/>
        </w:tblCellMar>
        <w:tblLook w:val="04A0" w:firstRow="1" w:lastRow="0" w:firstColumn="1" w:lastColumn="0" w:noHBand="0" w:noVBand="1"/>
      </w:tblPr>
      <w:tblGrid>
        <w:gridCol w:w="7233"/>
        <w:gridCol w:w="1268"/>
        <w:gridCol w:w="1270"/>
      </w:tblGrid>
      <w:tr w:rsidR="00240448" w:rsidRPr="00240448" w14:paraId="5385CA26" w14:textId="77777777" w:rsidTr="00240448">
        <w:trPr>
          <w:trHeight w:val="238"/>
          <w:tblHeader/>
        </w:trPr>
        <w:tc>
          <w:tcPr>
            <w:tcW w:w="3701"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AB553AE" w14:textId="77777777" w:rsidR="00240448" w:rsidRPr="00240448" w:rsidRDefault="00240448" w:rsidP="00240448">
            <w:pPr>
              <w:spacing w:after="0" w:line="240" w:lineRule="auto"/>
              <w:rPr>
                <w:rFonts w:ascii="Arial" w:eastAsia="Times New Roman" w:hAnsi="Arial" w:cs="Arial"/>
                <w:b/>
                <w:bCs/>
                <w:color w:val="000000"/>
                <w:kern w:val="0"/>
                <w:sz w:val="16"/>
                <w:szCs w:val="16"/>
                <w:lang w:eastAsia="pt-BR"/>
                <w14:ligatures w14:val="none"/>
              </w:rPr>
            </w:pPr>
            <w:r w:rsidRPr="00240448">
              <w:rPr>
                <w:rFonts w:ascii="Arial" w:eastAsia="Times New Roman" w:hAnsi="Arial" w:cs="Arial"/>
                <w:b/>
                <w:bCs/>
                <w:color w:val="000000"/>
                <w:kern w:val="0"/>
                <w:sz w:val="16"/>
                <w:szCs w:val="16"/>
                <w:lang w:eastAsia="pt-BR"/>
                <w14:ligatures w14:val="none"/>
              </w:rPr>
              <w:t>Itens:</w:t>
            </w:r>
          </w:p>
        </w:tc>
        <w:tc>
          <w:tcPr>
            <w:tcW w:w="649" w:type="pct"/>
            <w:tcBorders>
              <w:top w:val="single" w:sz="4" w:space="0" w:color="auto"/>
              <w:left w:val="nil"/>
              <w:bottom w:val="single" w:sz="4" w:space="0" w:color="auto"/>
              <w:right w:val="single" w:sz="4" w:space="0" w:color="auto"/>
            </w:tcBorders>
            <w:shd w:val="clear" w:color="auto" w:fill="auto"/>
            <w:noWrap/>
            <w:vAlign w:val="center"/>
            <w:hideMark/>
          </w:tcPr>
          <w:p w14:paraId="195834B9" w14:textId="77777777" w:rsidR="00240448" w:rsidRPr="00240448" w:rsidRDefault="00240448" w:rsidP="00240448">
            <w:pPr>
              <w:spacing w:after="0" w:line="240" w:lineRule="auto"/>
              <w:jc w:val="center"/>
              <w:rPr>
                <w:rFonts w:ascii="Arial" w:eastAsia="Times New Roman" w:hAnsi="Arial" w:cs="Arial"/>
                <w:b/>
                <w:bCs/>
                <w:color w:val="000000"/>
                <w:kern w:val="0"/>
                <w:sz w:val="16"/>
                <w:szCs w:val="16"/>
                <w:lang w:eastAsia="pt-BR"/>
                <w14:ligatures w14:val="none"/>
              </w:rPr>
            </w:pPr>
            <w:r w:rsidRPr="00240448">
              <w:rPr>
                <w:rFonts w:ascii="Arial" w:eastAsia="Times New Roman" w:hAnsi="Arial" w:cs="Arial"/>
                <w:b/>
                <w:bCs/>
                <w:color w:val="000000"/>
                <w:kern w:val="0"/>
                <w:sz w:val="16"/>
                <w:szCs w:val="16"/>
                <w:lang w:eastAsia="pt-BR"/>
                <w14:ligatures w14:val="none"/>
              </w:rPr>
              <w:t>31/12/2023</w:t>
            </w: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14:paraId="67EB5015" w14:textId="77777777" w:rsidR="00240448" w:rsidRPr="00240448" w:rsidRDefault="00240448" w:rsidP="00240448">
            <w:pPr>
              <w:spacing w:after="0" w:line="240" w:lineRule="auto"/>
              <w:jc w:val="center"/>
              <w:rPr>
                <w:rFonts w:ascii="Arial" w:eastAsia="Times New Roman" w:hAnsi="Arial" w:cs="Arial"/>
                <w:b/>
                <w:bCs/>
                <w:color w:val="000000"/>
                <w:kern w:val="0"/>
                <w:sz w:val="16"/>
                <w:szCs w:val="16"/>
                <w:lang w:eastAsia="pt-BR"/>
                <w14:ligatures w14:val="none"/>
              </w:rPr>
            </w:pPr>
            <w:r w:rsidRPr="00240448">
              <w:rPr>
                <w:rFonts w:ascii="Arial" w:eastAsia="Times New Roman" w:hAnsi="Arial" w:cs="Arial"/>
                <w:b/>
                <w:bCs/>
                <w:color w:val="000000"/>
                <w:kern w:val="0"/>
                <w:sz w:val="16"/>
                <w:szCs w:val="16"/>
                <w:lang w:eastAsia="pt-BR"/>
                <w14:ligatures w14:val="none"/>
              </w:rPr>
              <w:t xml:space="preserve">31/12/2022 </w:t>
            </w:r>
          </w:p>
          <w:p w14:paraId="496C1C48" w14:textId="77777777" w:rsidR="00240448" w:rsidRPr="00240448" w:rsidRDefault="00240448" w:rsidP="00240448">
            <w:pPr>
              <w:spacing w:after="0" w:line="240" w:lineRule="auto"/>
              <w:jc w:val="center"/>
              <w:rPr>
                <w:rFonts w:ascii="Arial" w:eastAsia="Times New Roman" w:hAnsi="Arial" w:cs="Arial"/>
                <w:b/>
                <w:bCs/>
                <w:color w:val="000000"/>
                <w:kern w:val="0"/>
                <w:sz w:val="14"/>
                <w:szCs w:val="14"/>
                <w:lang w:eastAsia="pt-BR"/>
                <w14:ligatures w14:val="none"/>
              </w:rPr>
            </w:pPr>
            <w:r w:rsidRPr="00240448">
              <w:rPr>
                <w:rFonts w:ascii="Arial" w:eastAsia="Times New Roman" w:hAnsi="Arial" w:cs="Arial"/>
                <w:b/>
                <w:bCs/>
                <w:color w:val="000000"/>
                <w:kern w:val="0"/>
                <w:sz w:val="14"/>
                <w:szCs w:val="14"/>
                <w:lang w:eastAsia="pt-BR"/>
                <w14:ligatures w14:val="none"/>
              </w:rPr>
              <w:t>Reapresentado</w:t>
            </w:r>
          </w:p>
        </w:tc>
      </w:tr>
      <w:tr w:rsidR="00240448" w:rsidRPr="00240448" w14:paraId="09A1181A" w14:textId="77777777" w:rsidTr="00240448">
        <w:trPr>
          <w:trHeight w:val="238"/>
        </w:trPr>
        <w:tc>
          <w:tcPr>
            <w:tcW w:w="3701" w:type="pct"/>
            <w:tcBorders>
              <w:top w:val="nil"/>
              <w:left w:val="single" w:sz="4" w:space="0" w:color="auto"/>
              <w:bottom w:val="single" w:sz="4" w:space="0" w:color="auto"/>
              <w:right w:val="single" w:sz="4" w:space="0" w:color="auto"/>
            </w:tcBorders>
            <w:shd w:val="clear" w:color="auto" w:fill="auto"/>
            <w:vAlign w:val="center"/>
            <w:hideMark/>
          </w:tcPr>
          <w:p w14:paraId="4EA90565" w14:textId="77777777" w:rsidR="00240448" w:rsidRPr="00240448" w:rsidRDefault="00240448" w:rsidP="00240448">
            <w:pPr>
              <w:spacing w:after="0" w:line="240" w:lineRule="auto"/>
              <w:rPr>
                <w:rFonts w:ascii="Arial" w:eastAsia="Times New Roman" w:hAnsi="Arial" w:cs="Arial"/>
                <w:b/>
                <w:bCs/>
                <w:color w:val="000000"/>
                <w:kern w:val="0"/>
                <w:sz w:val="16"/>
                <w:szCs w:val="16"/>
                <w:lang w:eastAsia="pt-BR"/>
                <w14:ligatures w14:val="none"/>
              </w:rPr>
            </w:pPr>
            <w:r w:rsidRPr="00240448">
              <w:rPr>
                <w:rFonts w:ascii="Arial" w:eastAsia="Times New Roman" w:hAnsi="Arial" w:cs="Arial"/>
                <w:b/>
                <w:bCs/>
                <w:color w:val="000000"/>
                <w:kern w:val="0"/>
                <w:sz w:val="16"/>
                <w:szCs w:val="16"/>
                <w:lang w:eastAsia="pt-BR"/>
                <w14:ligatures w14:val="none"/>
              </w:rPr>
              <w:t>Prejuízo Líquido do Exercício</w:t>
            </w:r>
          </w:p>
        </w:tc>
        <w:tc>
          <w:tcPr>
            <w:tcW w:w="649" w:type="pct"/>
            <w:tcBorders>
              <w:top w:val="nil"/>
              <w:left w:val="nil"/>
              <w:bottom w:val="single" w:sz="4" w:space="0" w:color="auto"/>
              <w:right w:val="single" w:sz="4" w:space="0" w:color="auto"/>
            </w:tcBorders>
            <w:shd w:val="clear" w:color="auto" w:fill="auto"/>
            <w:noWrap/>
            <w:vAlign w:val="center"/>
            <w:hideMark/>
          </w:tcPr>
          <w:p w14:paraId="4540DB9E" w14:textId="77777777" w:rsidR="00240448" w:rsidRPr="00240448" w:rsidRDefault="00240448" w:rsidP="00240448">
            <w:pPr>
              <w:spacing w:after="0" w:line="240" w:lineRule="auto"/>
              <w:jc w:val="right"/>
              <w:rPr>
                <w:rFonts w:ascii="Arial" w:eastAsia="Times New Roman" w:hAnsi="Arial" w:cs="Arial"/>
                <w:b/>
                <w:bCs/>
                <w:color w:val="000000"/>
                <w:kern w:val="0"/>
                <w:sz w:val="16"/>
                <w:szCs w:val="16"/>
                <w:lang w:eastAsia="pt-BR"/>
                <w14:ligatures w14:val="none"/>
              </w:rPr>
            </w:pPr>
            <w:r w:rsidRPr="00240448">
              <w:rPr>
                <w:rFonts w:ascii="Arial" w:eastAsia="Times New Roman" w:hAnsi="Arial" w:cs="Arial"/>
                <w:b/>
                <w:bCs/>
                <w:color w:val="000000"/>
                <w:kern w:val="0"/>
                <w:sz w:val="16"/>
                <w:szCs w:val="16"/>
                <w:lang w:eastAsia="pt-BR"/>
                <w14:ligatures w14:val="none"/>
              </w:rPr>
              <w:t xml:space="preserve">     (127.357)</w:t>
            </w:r>
          </w:p>
        </w:tc>
        <w:tc>
          <w:tcPr>
            <w:tcW w:w="650" w:type="pct"/>
            <w:tcBorders>
              <w:top w:val="nil"/>
              <w:left w:val="nil"/>
              <w:bottom w:val="single" w:sz="4" w:space="0" w:color="auto"/>
              <w:right w:val="single" w:sz="4" w:space="0" w:color="auto"/>
            </w:tcBorders>
            <w:shd w:val="clear" w:color="auto" w:fill="auto"/>
            <w:noWrap/>
            <w:vAlign w:val="center"/>
            <w:hideMark/>
          </w:tcPr>
          <w:p w14:paraId="643613C3" w14:textId="77777777" w:rsidR="00240448" w:rsidRPr="00240448" w:rsidRDefault="00240448" w:rsidP="00240448">
            <w:pPr>
              <w:spacing w:after="0" w:line="240" w:lineRule="auto"/>
              <w:jc w:val="right"/>
              <w:rPr>
                <w:rFonts w:ascii="Arial" w:eastAsia="Times New Roman" w:hAnsi="Arial" w:cs="Arial"/>
                <w:b/>
                <w:bCs/>
                <w:color w:val="000000"/>
                <w:kern w:val="0"/>
                <w:sz w:val="16"/>
                <w:szCs w:val="16"/>
                <w:lang w:eastAsia="pt-BR"/>
                <w14:ligatures w14:val="none"/>
              </w:rPr>
            </w:pPr>
            <w:r w:rsidRPr="00240448">
              <w:rPr>
                <w:rFonts w:ascii="Arial" w:eastAsia="Times New Roman" w:hAnsi="Arial" w:cs="Arial"/>
                <w:b/>
                <w:bCs/>
                <w:color w:val="000000"/>
                <w:kern w:val="0"/>
                <w:sz w:val="16"/>
                <w:szCs w:val="16"/>
                <w:lang w:eastAsia="pt-BR"/>
                <w14:ligatures w14:val="none"/>
              </w:rPr>
              <w:t xml:space="preserve">        (168.459)</w:t>
            </w:r>
          </w:p>
        </w:tc>
      </w:tr>
      <w:tr w:rsidR="00240448" w:rsidRPr="00240448" w14:paraId="210AB791" w14:textId="77777777" w:rsidTr="00240448">
        <w:trPr>
          <w:trHeight w:val="238"/>
        </w:trPr>
        <w:tc>
          <w:tcPr>
            <w:tcW w:w="3701" w:type="pct"/>
            <w:tcBorders>
              <w:top w:val="nil"/>
              <w:left w:val="single" w:sz="4" w:space="0" w:color="auto"/>
              <w:bottom w:val="single" w:sz="4" w:space="0" w:color="auto"/>
              <w:right w:val="single" w:sz="4" w:space="0" w:color="auto"/>
            </w:tcBorders>
            <w:shd w:val="clear" w:color="auto" w:fill="auto"/>
            <w:vAlign w:val="center"/>
            <w:hideMark/>
          </w:tcPr>
          <w:p w14:paraId="04266561" w14:textId="77777777" w:rsidR="00240448" w:rsidRPr="00240448" w:rsidRDefault="00240448" w:rsidP="00240448">
            <w:pPr>
              <w:spacing w:after="0" w:line="240" w:lineRule="auto"/>
              <w:rPr>
                <w:rFonts w:ascii="Arial" w:eastAsia="Times New Roman" w:hAnsi="Arial" w:cs="Arial"/>
                <w:b/>
                <w:bCs/>
                <w:color w:val="000000"/>
                <w:kern w:val="0"/>
                <w:sz w:val="16"/>
                <w:szCs w:val="16"/>
                <w:lang w:eastAsia="pt-BR"/>
                <w14:ligatures w14:val="none"/>
              </w:rPr>
            </w:pPr>
            <w:r w:rsidRPr="00240448">
              <w:rPr>
                <w:rFonts w:ascii="Arial" w:eastAsia="Times New Roman" w:hAnsi="Arial" w:cs="Arial"/>
                <w:b/>
                <w:bCs/>
                <w:color w:val="000000"/>
                <w:kern w:val="0"/>
                <w:sz w:val="16"/>
                <w:szCs w:val="16"/>
                <w:lang w:eastAsia="pt-BR"/>
                <w14:ligatures w14:val="none"/>
              </w:rPr>
              <w:t>Distribuição do resultado em relação ao tipo de Ação:</w:t>
            </w:r>
          </w:p>
        </w:tc>
        <w:tc>
          <w:tcPr>
            <w:tcW w:w="649" w:type="pct"/>
            <w:tcBorders>
              <w:top w:val="nil"/>
              <w:left w:val="nil"/>
              <w:bottom w:val="single" w:sz="4" w:space="0" w:color="auto"/>
              <w:right w:val="single" w:sz="4" w:space="0" w:color="auto"/>
            </w:tcBorders>
            <w:shd w:val="clear" w:color="auto" w:fill="auto"/>
            <w:noWrap/>
            <w:vAlign w:val="center"/>
            <w:hideMark/>
          </w:tcPr>
          <w:p w14:paraId="500BFC19" w14:textId="77777777" w:rsidR="00240448" w:rsidRPr="00240448" w:rsidRDefault="00240448" w:rsidP="00240448">
            <w:pPr>
              <w:spacing w:after="0" w:line="240" w:lineRule="auto"/>
              <w:jc w:val="right"/>
              <w:rPr>
                <w:rFonts w:ascii="Arial" w:eastAsia="Times New Roman" w:hAnsi="Arial" w:cs="Arial"/>
                <w:color w:val="000000"/>
                <w:kern w:val="0"/>
                <w:sz w:val="16"/>
                <w:szCs w:val="16"/>
                <w:lang w:eastAsia="pt-BR"/>
                <w14:ligatures w14:val="none"/>
              </w:rPr>
            </w:pPr>
            <w:r w:rsidRPr="00240448">
              <w:rPr>
                <w:rFonts w:ascii="Arial" w:eastAsia="Times New Roman" w:hAnsi="Arial" w:cs="Arial"/>
                <w:color w:val="000000"/>
                <w:kern w:val="0"/>
                <w:sz w:val="16"/>
                <w:szCs w:val="16"/>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center"/>
            <w:hideMark/>
          </w:tcPr>
          <w:p w14:paraId="76D33E52" w14:textId="77777777" w:rsidR="00240448" w:rsidRPr="00240448" w:rsidRDefault="00240448" w:rsidP="00240448">
            <w:pPr>
              <w:spacing w:after="0" w:line="240" w:lineRule="auto"/>
              <w:jc w:val="right"/>
              <w:rPr>
                <w:rFonts w:ascii="Arial" w:eastAsia="Times New Roman" w:hAnsi="Arial" w:cs="Arial"/>
                <w:color w:val="000000"/>
                <w:kern w:val="0"/>
                <w:sz w:val="16"/>
                <w:szCs w:val="16"/>
                <w:lang w:eastAsia="pt-BR"/>
                <w14:ligatures w14:val="none"/>
              </w:rPr>
            </w:pPr>
            <w:r w:rsidRPr="00240448">
              <w:rPr>
                <w:rFonts w:ascii="Arial" w:eastAsia="Times New Roman" w:hAnsi="Arial" w:cs="Arial"/>
                <w:color w:val="000000"/>
                <w:kern w:val="0"/>
                <w:sz w:val="16"/>
                <w:szCs w:val="16"/>
                <w:lang w:eastAsia="pt-BR"/>
                <w14:ligatures w14:val="none"/>
              </w:rPr>
              <w:t> </w:t>
            </w:r>
          </w:p>
        </w:tc>
      </w:tr>
      <w:tr w:rsidR="00240448" w:rsidRPr="00240448" w14:paraId="55115D0D" w14:textId="77777777" w:rsidTr="00240448">
        <w:trPr>
          <w:trHeight w:val="238"/>
        </w:trPr>
        <w:tc>
          <w:tcPr>
            <w:tcW w:w="3701" w:type="pct"/>
            <w:tcBorders>
              <w:top w:val="nil"/>
              <w:left w:val="single" w:sz="4" w:space="0" w:color="auto"/>
              <w:bottom w:val="single" w:sz="4" w:space="0" w:color="auto"/>
              <w:right w:val="single" w:sz="4" w:space="0" w:color="auto"/>
            </w:tcBorders>
            <w:shd w:val="clear" w:color="auto" w:fill="auto"/>
            <w:vAlign w:val="center"/>
            <w:hideMark/>
          </w:tcPr>
          <w:p w14:paraId="3330FF2E"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Prejuízo alocado às ações ordinárias – básicas e diluídas</w:t>
            </w:r>
          </w:p>
        </w:tc>
        <w:tc>
          <w:tcPr>
            <w:tcW w:w="649" w:type="pct"/>
            <w:tcBorders>
              <w:top w:val="nil"/>
              <w:left w:val="nil"/>
              <w:bottom w:val="single" w:sz="4" w:space="0" w:color="auto"/>
              <w:right w:val="single" w:sz="4" w:space="0" w:color="auto"/>
            </w:tcBorders>
            <w:shd w:val="clear" w:color="auto" w:fill="auto"/>
            <w:noWrap/>
            <w:vAlign w:val="center"/>
            <w:hideMark/>
          </w:tcPr>
          <w:p w14:paraId="79BA68D1" w14:textId="77777777" w:rsidR="00240448" w:rsidRPr="00240448" w:rsidRDefault="00240448" w:rsidP="00240448">
            <w:pPr>
              <w:spacing w:after="0" w:line="240" w:lineRule="auto"/>
              <w:jc w:val="right"/>
              <w:rPr>
                <w:rFonts w:ascii="Arial" w:eastAsia="Times New Roman" w:hAnsi="Arial" w:cs="Arial"/>
                <w:color w:val="000000"/>
                <w:kern w:val="0"/>
                <w:sz w:val="16"/>
                <w:szCs w:val="16"/>
                <w:lang w:eastAsia="pt-BR"/>
                <w14:ligatures w14:val="none"/>
              </w:rPr>
            </w:pPr>
            <w:r w:rsidRPr="00240448">
              <w:rPr>
                <w:rFonts w:ascii="Arial" w:eastAsia="Times New Roman" w:hAnsi="Arial" w:cs="Arial"/>
                <w:color w:val="000000"/>
                <w:kern w:val="0"/>
                <w:sz w:val="16"/>
                <w:szCs w:val="16"/>
                <w:lang w:eastAsia="pt-BR"/>
                <w14:ligatures w14:val="none"/>
              </w:rPr>
              <w:t xml:space="preserve">     (100.219)</w:t>
            </w:r>
          </w:p>
        </w:tc>
        <w:tc>
          <w:tcPr>
            <w:tcW w:w="650" w:type="pct"/>
            <w:tcBorders>
              <w:top w:val="nil"/>
              <w:left w:val="nil"/>
              <w:bottom w:val="single" w:sz="4" w:space="0" w:color="auto"/>
              <w:right w:val="single" w:sz="4" w:space="0" w:color="auto"/>
            </w:tcBorders>
            <w:shd w:val="clear" w:color="auto" w:fill="auto"/>
            <w:noWrap/>
            <w:vAlign w:val="center"/>
            <w:hideMark/>
          </w:tcPr>
          <w:p w14:paraId="7F540359" w14:textId="77777777" w:rsidR="00240448" w:rsidRPr="00240448" w:rsidRDefault="00240448" w:rsidP="00240448">
            <w:pPr>
              <w:spacing w:after="0" w:line="240" w:lineRule="auto"/>
              <w:jc w:val="right"/>
              <w:rPr>
                <w:rFonts w:ascii="Arial" w:eastAsia="Times New Roman" w:hAnsi="Arial" w:cs="Arial"/>
                <w:color w:val="000000"/>
                <w:kern w:val="0"/>
                <w:sz w:val="16"/>
                <w:szCs w:val="16"/>
                <w:lang w:eastAsia="pt-BR"/>
                <w14:ligatures w14:val="none"/>
              </w:rPr>
            </w:pPr>
            <w:r w:rsidRPr="00240448">
              <w:rPr>
                <w:rFonts w:ascii="Arial" w:eastAsia="Times New Roman" w:hAnsi="Arial" w:cs="Arial"/>
                <w:color w:val="000000"/>
                <w:kern w:val="0"/>
                <w:sz w:val="16"/>
                <w:szCs w:val="16"/>
                <w:lang w:eastAsia="pt-BR"/>
                <w14:ligatures w14:val="none"/>
              </w:rPr>
              <w:t xml:space="preserve">        (132.563)</w:t>
            </w:r>
          </w:p>
        </w:tc>
      </w:tr>
      <w:tr w:rsidR="00240448" w:rsidRPr="00240448" w14:paraId="35541592" w14:textId="77777777" w:rsidTr="00240448">
        <w:trPr>
          <w:trHeight w:val="238"/>
        </w:trPr>
        <w:tc>
          <w:tcPr>
            <w:tcW w:w="3701" w:type="pct"/>
            <w:tcBorders>
              <w:top w:val="nil"/>
              <w:left w:val="single" w:sz="4" w:space="0" w:color="auto"/>
              <w:bottom w:val="single" w:sz="4" w:space="0" w:color="auto"/>
              <w:right w:val="single" w:sz="4" w:space="0" w:color="auto"/>
            </w:tcBorders>
            <w:shd w:val="clear" w:color="auto" w:fill="auto"/>
            <w:vAlign w:val="center"/>
            <w:hideMark/>
          </w:tcPr>
          <w:p w14:paraId="162B8EF9"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Prejuízo alocado às ações preferenciais – básicas e diluídas</w:t>
            </w:r>
          </w:p>
        </w:tc>
        <w:tc>
          <w:tcPr>
            <w:tcW w:w="649" w:type="pct"/>
            <w:tcBorders>
              <w:top w:val="nil"/>
              <w:left w:val="nil"/>
              <w:bottom w:val="single" w:sz="4" w:space="0" w:color="auto"/>
              <w:right w:val="single" w:sz="4" w:space="0" w:color="auto"/>
            </w:tcBorders>
            <w:shd w:val="clear" w:color="auto" w:fill="auto"/>
            <w:noWrap/>
            <w:vAlign w:val="center"/>
            <w:hideMark/>
          </w:tcPr>
          <w:p w14:paraId="2018925E" w14:textId="77777777" w:rsidR="00240448" w:rsidRPr="00240448" w:rsidRDefault="00240448" w:rsidP="00240448">
            <w:pPr>
              <w:spacing w:after="0" w:line="240" w:lineRule="auto"/>
              <w:jc w:val="right"/>
              <w:rPr>
                <w:rFonts w:ascii="Arial" w:eastAsia="Times New Roman" w:hAnsi="Arial" w:cs="Arial"/>
                <w:color w:val="000000"/>
                <w:kern w:val="0"/>
                <w:sz w:val="16"/>
                <w:szCs w:val="16"/>
                <w:lang w:eastAsia="pt-BR"/>
                <w14:ligatures w14:val="none"/>
              </w:rPr>
            </w:pPr>
            <w:r w:rsidRPr="00240448">
              <w:rPr>
                <w:rFonts w:ascii="Arial" w:eastAsia="Times New Roman" w:hAnsi="Arial" w:cs="Arial"/>
                <w:color w:val="000000"/>
                <w:kern w:val="0"/>
                <w:sz w:val="16"/>
                <w:szCs w:val="16"/>
                <w:lang w:eastAsia="pt-BR"/>
                <w14:ligatures w14:val="none"/>
              </w:rPr>
              <w:t xml:space="preserve">       (27.138)</w:t>
            </w:r>
          </w:p>
        </w:tc>
        <w:tc>
          <w:tcPr>
            <w:tcW w:w="650" w:type="pct"/>
            <w:tcBorders>
              <w:top w:val="nil"/>
              <w:left w:val="nil"/>
              <w:bottom w:val="single" w:sz="4" w:space="0" w:color="auto"/>
              <w:right w:val="single" w:sz="4" w:space="0" w:color="auto"/>
            </w:tcBorders>
            <w:shd w:val="clear" w:color="auto" w:fill="auto"/>
            <w:noWrap/>
            <w:vAlign w:val="center"/>
            <w:hideMark/>
          </w:tcPr>
          <w:p w14:paraId="69B3E48E" w14:textId="77777777" w:rsidR="00240448" w:rsidRPr="00240448" w:rsidRDefault="00240448" w:rsidP="00240448">
            <w:pPr>
              <w:spacing w:after="0" w:line="240" w:lineRule="auto"/>
              <w:jc w:val="right"/>
              <w:rPr>
                <w:rFonts w:ascii="Arial" w:eastAsia="Times New Roman" w:hAnsi="Arial" w:cs="Arial"/>
                <w:color w:val="000000"/>
                <w:kern w:val="0"/>
                <w:sz w:val="16"/>
                <w:szCs w:val="16"/>
                <w:lang w:eastAsia="pt-BR"/>
                <w14:ligatures w14:val="none"/>
              </w:rPr>
            </w:pPr>
            <w:r w:rsidRPr="00240448">
              <w:rPr>
                <w:rFonts w:ascii="Arial" w:eastAsia="Times New Roman" w:hAnsi="Arial" w:cs="Arial"/>
                <w:color w:val="000000"/>
                <w:kern w:val="0"/>
                <w:sz w:val="16"/>
                <w:szCs w:val="16"/>
                <w:lang w:eastAsia="pt-BR"/>
                <w14:ligatures w14:val="none"/>
              </w:rPr>
              <w:t xml:space="preserve">           (35.896)</w:t>
            </w:r>
          </w:p>
        </w:tc>
      </w:tr>
      <w:tr w:rsidR="00240448" w:rsidRPr="00240448" w14:paraId="294D30BA" w14:textId="77777777" w:rsidTr="00240448">
        <w:trPr>
          <w:trHeight w:val="238"/>
        </w:trPr>
        <w:tc>
          <w:tcPr>
            <w:tcW w:w="3701" w:type="pct"/>
            <w:tcBorders>
              <w:top w:val="nil"/>
              <w:left w:val="single" w:sz="4" w:space="0" w:color="auto"/>
              <w:bottom w:val="single" w:sz="4" w:space="0" w:color="auto"/>
              <w:right w:val="single" w:sz="4" w:space="0" w:color="auto"/>
            </w:tcBorders>
            <w:shd w:val="clear" w:color="auto" w:fill="auto"/>
            <w:vAlign w:val="center"/>
            <w:hideMark/>
          </w:tcPr>
          <w:p w14:paraId="75CC50C9" w14:textId="77777777" w:rsidR="00240448" w:rsidRPr="00240448" w:rsidRDefault="00240448" w:rsidP="00240448">
            <w:pPr>
              <w:spacing w:after="0" w:line="240" w:lineRule="auto"/>
              <w:rPr>
                <w:rFonts w:ascii="Arial" w:eastAsia="Times New Roman" w:hAnsi="Arial" w:cs="Arial"/>
                <w:color w:val="000000"/>
                <w:kern w:val="0"/>
                <w:sz w:val="16"/>
                <w:szCs w:val="16"/>
                <w:lang w:eastAsia="pt-BR"/>
                <w14:ligatures w14:val="none"/>
              </w:rPr>
            </w:pPr>
            <w:r w:rsidRPr="00240448">
              <w:rPr>
                <w:rFonts w:ascii="Arial" w:eastAsia="Times New Roman" w:hAnsi="Arial" w:cs="Arial"/>
                <w:color w:val="000000"/>
                <w:kern w:val="0"/>
                <w:sz w:val="16"/>
                <w:szCs w:val="16"/>
                <w:lang w:eastAsia="pt-BR"/>
                <w14:ligatures w14:val="none"/>
              </w:rPr>
              <w:t> </w:t>
            </w:r>
          </w:p>
        </w:tc>
        <w:tc>
          <w:tcPr>
            <w:tcW w:w="649" w:type="pct"/>
            <w:tcBorders>
              <w:top w:val="nil"/>
              <w:left w:val="nil"/>
              <w:bottom w:val="single" w:sz="4" w:space="0" w:color="auto"/>
              <w:right w:val="single" w:sz="4" w:space="0" w:color="auto"/>
            </w:tcBorders>
            <w:shd w:val="clear" w:color="auto" w:fill="auto"/>
            <w:noWrap/>
            <w:vAlign w:val="center"/>
            <w:hideMark/>
          </w:tcPr>
          <w:p w14:paraId="3A442B8D" w14:textId="77777777" w:rsidR="00240448" w:rsidRPr="00240448" w:rsidRDefault="00240448" w:rsidP="00240448">
            <w:pPr>
              <w:spacing w:after="0" w:line="240" w:lineRule="auto"/>
              <w:jc w:val="right"/>
              <w:rPr>
                <w:rFonts w:ascii="Arial" w:eastAsia="Times New Roman" w:hAnsi="Arial" w:cs="Arial"/>
                <w:color w:val="000000"/>
                <w:kern w:val="0"/>
                <w:sz w:val="16"/>
                <w:szCs w:val="16"/>
                <w:lang w:eastAsia="pt-BR"/>
                <w14:ligatures w14:val="none"/>
              </w:rPr>
            </w:pPr>
            <w:r w:rsidRPr="00240448">
              <w:rPr>
                <w:rFonts w:ascii="Arial" w:eastAsia="Times New Roman" w:hAnsi="Arial" w:cs="Arial"/>
                <w:color w:val="000000"/>
                <w:kern w:val="0"/>
                <w:sz w:val="16"/>
                <w:szCs w:val="16"/>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center"/>
            <w:hideMark/>
          </w:tcPr>
          <w:p w14:paraId="644795DD" w14:textId="77777777" w:rsidR="00240448" w:rsidRPr="00240448" w:rsidRDefault="00240448" w:rsidP="00240448">
            <w:pPr>
              <w:spacing w:after="0" w:line="240" w:lineRule="auto"/>
              <w:jc w:val="right"/>
              <w:rPr>
                <w:rFonts w:ascii="Arial" w:eastAsia="Times New Roman" w:hAnsi="Arial" w:cs="Arial"/>
                <w:color w:val="000000"/>
                <w:kern w:val="0"/>
                <w:sz w:val="16"/>
                <w:szCs w:val="16"/>
                <w:lang w:eastAsia="pt-BR"/>
                <w14:ligatures w14:val="none"/>
              </w:rPr>
            </w:pPr>
            <w:r w:rsidRPr="00240448">
              <w:rPr>
                <w:rFonts w:ascii="Arial" w:eastAsia="Times New Roman" w:hAnsi="Arial" w:cs="Arial"/>
                <w:color w:val="000000"/>
                <w:kern w:val="0"/>
                <w:sz w:val="16"/>
                <w:szCs w:val="16"/>
                <w:lang w:eastAsia="pt-BR"/>
                <w14:ligatures w14:val="none"/>
              </w:rPr>
              <w:t> </w:t>
            </w:r>
          </w:p>
        </w:tc>
      </w:tr>
      <w:tr w:rsidR="00240448" w:rsidRPr="00240448" w14:paraId="394AB30F" w14:textId="77777777" w:rsidTr="00240448">
        <w:trPr>
          <w:trHeight w:val="238"/>
        </w:trPr>
        <w:tc>
          <w:tcPr>
            <w:tcW w:w="3701" w:type="pct"/>
            <w:tcBorders>
              <w:top w:val="nil"/>
              <w:left w:val="single" w:sz="4" w:space="0" w:color="auto"/>
              <w:bottom w:val="single" w:sz="4" w:space="0" w:color="auto"/>
              <w:right w:val="single" w:sz="4" w:space="0" w:color="auto"/>
            </w:tcBorders>
            <w:shd w:val="clear" w:color="auto" w:fill="auto"/>
            <w:vAlign w:val="center"/>
            <w:hideMark/>
          </w:tcPr>
          <w:p w14:paraId="11532990" w14:textId="77777777" w:rsidR="00240448" w:rsidRPr="00240448" w:rsidRDefault="00240448" w:rsidP="00240448">
            <w:pPr>
              <w:spacing w:after="0" w:line="240" w:lineRule="auto"/>
              <w:rPr>
                <w:rFonts w:ascii="Arial" w:eastAsia="Times New Roman" w:hAnsi="Arial" w:cs="Arial"/>
                <w:b/>
                <w:bCs/>
                <w:color w:val="000000"/>
                <w:kern w:val="0"/>
                <w:sz w:val="16"/>
                <w:szCs w:val="16"/>
                <w:lang w:eastAsia="pt-BR"/>
                <w14:ligatures w14:val="none"/>
              </w:rPr>
            </w:pPr>
            <w:r w:rsidRPr="00240448">
              <w:rPr>
                <w:rFonts w:ascii="Arial" w:eastAsia="Times New Roman" w:hAnsi="Arial" w:cs="Arial"/>
                <w:b/>
                <w:bCs/>
                <w:color w:val="000000"/>
                <w:kern w:val="0"/>
                <w:sz w:val="16"/>
                <w:szCs w:val="16"/>
                <w:lang w:eastAsia="pt-BR"/>
                <w14:ligatures w14:val="none"/>
              </w:rPr>
              <w:t>Média ponderada das ações em circulação (Em milhares de Ações):</w:t>
            </w:r>
          </w:p>
        </w:tc>
        <w:tc>
          <w:tcPr>
            <w:tcW w:w="649" w:type="pct"/>
            <w:tcBorders>
              <w:top w:val="nil"/>
              <w:left w:val="nil"/>
              <w:bottom w:val="single" w:sz="4" w:space="0" w:color="auto"/>
              <w:right w:val="single" w:sz="4" w:space="0" w:color="auto"/>
            </w:tcBorders>
            <w:shd w:val="clear" w:color="auto" w:fill="auto"/>
            <w:noWrap/>
            <w:vAlign w:val="center"/>
            <w:hideMark/>
          </w:tcPr>
          <w:p w14:paraId="3E6E328F" w14:textId="77777777" w:rsidR="00240448" w:rsidRPr="00240448" w:rsidRDefault="00240448" w:rsidP="00240448">
            <w:pPr>
              <w:spacing w:after="0" w:line="240" w:lineRule="auto"/>
              <w:jc w:val="right"/>
              <w:rPr>
                <w:rFonts w:ascii="Arial" w:eastAsia="Times New Roman" w:hAnsi="Arial" w:cs="Arial"/>
                <w:color w:val="000000"/>
                <w:kern w:val="0"/>
                <w:sz w:val="16"/>
                <w:szCs w:val="16"/>
                <w:lang w:eastAsia="pt-BR"/>
                <w14:ligatures w14:val="none"/>
              </w:rPr>
            </w:pPr>
            <w:r w:rsidRPr="00240448">
              <w:rPr>
                <w:rFonts w:ascii="Arial" w:eastAsia="Times New Roman" w:hAnsi="Arial" w:cs="Arial"/>
                <w:color w:val="000000"/>
                <w:kern w:val="0"/>
                <w:sz w:val="16"/>
                <w:szCs w:val="16"/>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center"/>
            <w:hideMark/>
          </w:tcPr>
          <w:p w14:paraId="24966919" w14:textId="77777777" w:rsidR="00240448" w:rsidRPr="00240448" w:rsidRDefault="00240448" w:rsidP="00240448">
            <w:pPr>
              <w:spacing w:after="0" w:line="240" w:lineRule="auto"/>
              <w:jc w:val="right"/>
              <w:rPr>
                <w:rFonts w:ascii="Arial" w:eastAsia="Times New Roman" w:hAnsi="Arial" w:cs="Arial"/>
                <w:color w:val="000000"/>
                <w:kern w:val="0"/>
                <w:sz w:val="16"/>
                <w:szCs w:val="16"/>
                <w:lang w:eastAsia="pt-BR"/>
                <w14:ligatures w14:val="none"/>
              </w:rPr>
            </w:pPr>
            <w:r w:rsidRPr="00240448">
              <w:rPr>
                <w:rFonts w:ascii="Arial" w:eastAsia="Times New Roman" w:hAnsi="Arial" w:cs="Arial"/>
                <w:color w:val="000000"/>
                <w:kern w:val="0"/>
                <w:sz w:val="16"/>
                <w:szCs w:val="16"/>
                <w:lang w:eastAsia="pt-BR"/>
                <w14:ligatures w14:val="none"/>
              </w:rPr>
              <w:t> </w:t>
            </w:r>
          </w:p>
        </w:tc>
      </w:tr>
      <w:tr w:rsidR="00240448" w:rsidRPr="00240448" w14:paraId="0B296ADF" w14:textId="77777777" w:rsidTr="00240448">
        <w:trPr>
          <w:trHeight w:val="238"/>
        </w:trPr>
        <w:tc>
          <w:tcPr>
            <w:tcW w:w="3701" w:type="pct"/>
            <w:tcBorders>
              <w:top w:val="nil"/>
              <w:left w:val="single" w:sz="4" w:space="0" w:color="auto"/>
              <w:bottom w:val="single" w:sz="4" w:space="0" w:color="auto"/>
              <w:right w:val="single" w:sz="4" w:space="0" w:color="auto"/>
            </w:tcBorders>
            <w:shd w:val="clear" w:color="auto" w:fill="auto"/>
            <w:vAlign w:val="center"/>
            <w:hideMark/>
          </w:tcPr>
          <w:p w14:paraId="01C40B2A" w14:textId="77777777" w:rsidR="00240448" w:rsidRPr="00240448" w:rsidRDefault="00240448" w:rsidP="00240448">
            <w:pPr>
              <w:spacing w:after="0" w:line="240" w:lineRule="auto"/>
              <w:rPr>
                <w:rFonts w:ascii="Arial" w:eastAsia="Times New Roman" w:hAnsi="Arial" w:cs="Arial"/>
                <w:color w:val="000000"/>
                <w:kern w:val="0"/>
                <w:sz w:val="16"/>
                <w:szCs w:val="16"/>
                <w:lang w:eastAsia="pt-BR"/>
                <w14:ligatures w14:val="none"/>
              </w:rPr>
            </w:pPr>
            <w:r w:rsidRPr="00240448">
              <w:rPr>
                <w:rFonts w:ascii="Arial" w:eastAsia="Times New Roman" w:hAnsi="Arial" w:cs="Arial"/>
                <w:color w:val="000000"/>
                <w:kern w:val="0"/>
                <w:sz w:val="16"/>
                <w:szCs w:val="16"/>
                <w:lang w:eastAsia="pt-BR"/>
                <w14:ligatures w14:val="none"/>
              </w:rPr>
              <w:t>Ações ordinárias – básicas e diluídas</w:t>
            </w:r>
          </w:p>
        </w:tc>
        <w:tc>
          <w:tcPr>
            <w:tcW w:w="649" w:type="pct"/>
            <w:tcBorders>
              <w:top w:val="nil"/>
              <w:left w:val="nil"/>
              <w:bottom w:val="single" w:sz="4" w:space="0" w:color="auto"/>
              <w:right w:val="single" w:sz="4" w:space="0" w:color="auto"/>
            </w:tcBorders>
            <w:shd w:val="clear" w:color="auto" w:fill="auto"/>
            <w:vAlign w:val="center"/>
            <w:hideMark/>
          </w:tcPr>
          <w:p w14:paraId="58ECED06" w14:textId="77777777" w:rsidR="00240448" w:rsidRPr="00240448" w:rsidRDefault="00240448" w:rsidP="00240448">
            <w:pPr>
              <w:spacing w:after="0" w:line="240" w:lineRule="auto"/>
              <w:jc w:val="right"/>
              <w:rPr>
                <w:rFonts w:ascii="Arial" w:eastAsia="Times New Roman" w:hAnsi="Arial" w:cs="Arial"/>
                <w:color w:val="000000"/>
                <w:kern w:val="0"/>
                <w:sz w:val="16"/>
                <w:szCs w:val="16"/>
                <w:lang w:eastAsia="pt-BR"/>
                <w14:ligatures w14:val="none"/>
              </w:rPr>
            </w:pPr>
            <w:r w:rsidRPr="00240448">
              <w:rPr>
                <w:rFonts w:ascii="Arial" w:eastAsia="Times New Roman" w:hAnsi="Arial" w:cs="Arial"/>
                <w:color w:val="000000"/>
                <w:kern w:val="0"/>
                <w:sz w:val="16"/>
                <w:szCs w:val="16"/>
                <w:lang w:eastAsia="pt-BR"/>
                <w14:ligatures w14:val="none"/>
              </w:rPr>
              <w:t xml:space="preserve">         67.976 </w:t>
            </w:r>
          </w:p>
        </w:tc>
        <w:tc>
          <w:tcPr>
            <w:tcW w:w="650" w:type="pct"/>
            <w:tcBorders>
              <w:top w:val="nil"/>
              <w:left w:val="nil"/>
              <w:bottom w:val="single" w:sz="4" w:space="0" w:color="auto"/>
              <w:right w:val="single" w:sz="4" w:space="0" w:color="auto"/>
            </w:tcBorders>
            <w:shd w:val="clear" w:color="auto" w:fill="auto"/>
            <w:vAlign w:val="center"/>
            <w:hideMark/>
          </w:tcPr>
          <w:p w14:paraId="144DE3D0" w14:textId="77777777" w:rsidR="00240448" w:rsidRPr="00240448" w:rsidRDefault="00240448" w:rsidP="00240448">
            <w:pPr>
              <w:spacing w:after="0" w:line="240" w:lineRule="auto"/>
              <w:jc w:val="right"/>
              <w:rPr>
                <w:rFonts w:ascii="Arial" w:eastAsia="Times New Roman" w:hAnsi="Arial" w:cs="Arial"/>
                <w:color w:val="000000"/>
                <w:kern w:val="0"/>
                <w:sz w:val="16"/>
                <w:szCs w:val="16"/>
                <w:lang w:eastAsia="pt-BR"/>
                <w14:ligatures w14:val="none"/>
              </w:rPr>
            </w:pPr>
            <w:r w:rsidRPr="00240448">
              <w:rPr>
                <w:rFonts w:ascii="Arial" w:eastAsia="Times New Roman" w:hAnsi="Arial" w:cs="Arial"/>
                <w:color w:val="000000"/>
                <w:kern w:val="0"/>
                <w:sz w:val="16"/>
                <w:szCs w:val="16"/>
                <w:lang w:eastAsia="pt-BR"/>
                <w14:ligatures w14:val="none"/>
              </w:rPr>
              <w:t xml:space="preserve">            67.976 </w:t>
            </w:r>
          </w:p>
        </w:tc>
      </w:tr>
      <w:tr w:rsidR="00240448" w:rsidRPr="00240448" w14:paraId="479B7371" w14:textId="77777777" w:rsidTr="00240448">
        <w:trPr>
          <w:trHeight w:val="238"/>
        </w:trPr>
        <w:tc>
          <w:tcPr>
            <w:tcW w:w="3701" w:type="pct"/>
            <w:tcBorders>
              <w:top w:val="nil"/>
              <w:left w:val="single" w:sz="4" w:space="0" w:color="auto"/>
              <w:bottom w:val="single" w:sz="4" w:space="0" w:color="auto"/>
              <w:right w:val="single" w:sz="4" w:space="0" w:color="auto"/>
            </w:tcBorders>
            <w:shd w:val="clear" w:color="auto" w:fill="auto"/>
            <w:vAlign w:val="center"/>
            <w:hideMark/>
          </w:tcPr>
          <w:p w14:paraId="4EF5AB5A" w14:textId="77777777" w:rsidR="00240448" w:rsidRPr="00240448" w:rsidRDefault="00240448" w:rsidP="00240448">
            <w:pPr>
              <w:spacing w:after="0" w:line="240" w:lineRule="auto"/>
              <w:rPr>
                <w:rFonts w:ascii="Arial" w:eastAsia="Times New Roman" w:hAnsi="Arial" w:cs="Arial"/>
                <w:color w:val="000000"/>
                <w:kern w:val="0"/>
                <w:sz w:val="16"/>
                <w:szCs w:val="16"/>
                <w:lang w:eastAsia="pt-BR"/>
                <w14:ligatures w14:val="none"/>
              </w:rPr>
            </w:pPr>
            <w:r w:rsidRPr="00240448">
              <w:rPr>
                <w:rFonts w:ascii="Arial" w:eastAsia="Times New Roman" w:hAnsi="Arial" w:cs="Arial"/>
                <w:color w:val="000000"/>
                <w:kern w:val="0"/>
                <w:sz w:val="16"/>
                <w:szCs w:val="16"/>
                <w:lang w:eastAsia="pt-BR"/>
                <w14:ligatures w14:val="none"/>
              </w:rPr>
              <w:t>Ações preferenciais – básicas e diluídas</w:t>
            </w:r>
          </w:p>
        </w:tc>
        <w:tc>
          <w:tcPr>
            <w:tcW w:w="649" w:type="pct"/>
            <w:tcBorders>
              <w:top w:val="nil"/>
              <w:left w:val="nil"/>
              <w:bottom w:val="single" w:sz="4" w:space="0" w:color="auto"/>
              <w:right w:val="single" w:sz="4" w:space="0" w:color="auto"/>
            </w:tcBorders>
            <w:shd w:val="clear" w:color="auto" w:fill="auto"/>
            <w:vAlign w:val="center"/>
            <w:hideMark/>
          </w:tcPr>
          <w:p w14:paraId="41BB7A54" w14:textId="77777777" w:rsidR="00240448" w:rsidRPr="00240448" w:rsidRDefault="00240448" w:rsidP="00240448">
            <w:pPr>
              <w:spacing w:after="0" w:line="240" w:lineRule="auto"/>
              <w:jc w:val="right"/>
              <w:rPr>
                <w:rFonts w:ascii="Arial" w:eastAsia="Times New Roman" w:hAnsi="Arial" w:cs="Arial"/>
                <w:color w:val="000000"/>
                <w:kern w:val="0"/>
                <w:sz w:val="16"/>
                <w:szCs w:val="16"/>
                <w:lang w:eastAsia="pt-BR"/>
                <w14:ligatures w14:val="none"/>
              </w:rPr>
            </w:pPr>
            <w:r w:rsidRPr="00240448">
              <w:rPr>
                <w:rFonts w:ascii="Arial" w:eastAsia="Times New Roman" w:hAnsi="Arial" w:cs="Arial"/>
                <w:color w:val="000000"/>
                <w:kern w:val="0"/>
                <w:sz w:val="16"/>
                <w:szCs w:val="16"/>
                <w:lang w:eastAsia="pt-BR"/>
                <w14:ligatures w14:val="none"/>
              </w:rPr>
              <w:t xml:space="preserve">         18.407 </w:t>
            </w:r>
          </w:p>
        </w:tc>
        <w:tc>
          <w:tcPr>
            <w:tcW w:w="650" w:type="pct"/>
            <w:tcBorders>
              <w:top w:val="nil"/>
              <w:left w:val="nil"/>
              <w:bottom w:val="single" w:sz="4" w:space="0" w:color="auto"/>
              <w:right w:val="single" w:sz="4" w:space="0" w:color="auto"/>
            </w:tcBorders>
            <w:shd w:val="clear" w:color="auto" w:fill="auto"/>
            <w:vAlign w:val="center"/>
            <w:hideMark/>
          </w:tcPr>
          <w:p w14:paraId="5050D22A" w14:textId="77777777" w:rsidR="00240448" w:rsidRPr="00240448" w:rsidRDefault="00240448" w:rsidP="00240448">
            <w:pPr>
              <w:spacing w:after="0" w:line="240" w:lineRule="auto"/>
              <w:jc w:val="right"/>
              <w:rPr>
                <w:rFonts w:ascii="Arial" w:eastAsia="Times New Roman" w:hAnsi="Arial" w:cs="Arial"/>
                <w:color w:val="000000"/>
                <w:kern w:val="0"/>
                <w:sz w:val="16"/>
                <w:szCs w:val="16"/>
                <w:lang w:eastAsia="pt-BR"/>
                <w14:ligatures w14:val="none"/>
              </w:rPr>
            </w:pPr>
            <w:r w:rsidRPr="00240448">
              <w:rPr>
                <w:rFonts w:ascii="Arial" w:eastAsia="Times New Roman" w:hAnsi="Arial" w:cs="Arial"/>
                <w:color w:val="000000"/>
                <w:kern w:val="0"/>
                <w:sz w:val="16"/>
                <w:szCs w:val="16"/>
                <w:lang w:eastAsia="pt-BR"/>
                <w14:ligatures w14:val="none"/>
              </w:rPr>
              <w:t xml:space="preserve">            18.407 </w:t>
            </w:r>
          </w:p>
        </w:tc>
      </w:tr>
      <w:tr w:rsidR="00240448" w:rsidRPr="00240448" w14:paraId="67FDDC82" w14:textId="77777777" w:rsidTr="00240448">
        <w:trPr>
          <w:trHeight w:val="238"/>
        </w:trPr>
        <w:tc>
          <w:tcPr>
            <w:tcW w:w="3701" w:type="pct"/>
            <w:tcBorders>
              <w:top w:val="nil"/>
              <w:left w:val="single" w:sz="4" w:space="0" w:color="auto"/>
              <w:bottom w:val="single" w:sz="4" w:space="0" w:color="auto"/>
              <w:right w:val="single" w:sz="4" w:space="0" w:color="auto"/>
            </w:tcBorders>
            <w:shd w:val="clear" w:color="auto" w:fill="auto"/>
            <w:vAlign w:val="center"/>
            <w:hideMark/>
          </w:tcPr>
          <w:p w14:paraId="31A89C41" w14:textId="77777777" w:rsidR="00240448" w:rsidRPr="00240448" w:rsidRDefault="00240448" w:rsidP="00240448">
            <w:pPr>
              <w:spacing w:after="0" w:line="240" w:lineRule="auto"/>
              <w:rPr>
                <w:rFonts w:ascii="Arial" w:eastAsia="Times New Roman" w:hAnsi="Arial" w:cs="Arial"/>
                <w:color w:val="000000"/>
                <w:kern w:val="0"/>
                <w:sz w:val="16"/>
                <w:szCs w:val="16"/>
                <w:lang w:eastAsia="pt-BR"/>
                <w14:ligatures w14:val="none"/>
              </w:rPr>
            </w:pPr>
            <w:r w:rsidRPr="00240448">
              <w:rPr>
                <w:rFonts w:ascii="Arial" w:eastAsia="Times New Roman" w:hAnsi="Arial" w:cs="Arial"/>
                <w:color w:val="000000"/>
                <w:kern w:val="0"/>
                <w:sz w:val="16"/>
                <w:szCs w:val="16"/>
                <w:lang w:eastAsia="pt-BR"/>
                <w14:ligatures w14:val="none"/>
              </w:rPr>
              <w:t> </w:t>
            </w:r>
          </w:p>
        </w:tc>
        <w:tc>
          <w:tcPr>
            <w:tcW w:w="649" w:type="pct"/>
            <w:tcBorders>
              <w:top w:val="nil"/>
              <w:left w:val="nil"/>
              <w:bottom w:val="single" w:sz="4" w:space="0" w:color="auto"/>
              <w:right w:val="single" w:sz="4" w:space="0" w:color="auto"/>
            </w:tcBorders>
            <w:shd w:val="clear" w:color="auto" w:fill="auto"/>
            <w:noWrap/>
            <w:vAlign w:val="center"/>
            <w:hideMark/>
          </w:tcPr>
          <w:p w14:paraId="2C7F3A2A" w14:textId="77777777" w:rsidR="00240448" w:rsidRPr="00240448" w:rsidRDefault="00240448" w:rsidP="00240448">
            <w:pPr>
              <w:spacing w:after="0" w:line="240" w:lineRule="auto"/>
              <w:jc w:val="right"/>
              <w:rPr>
                <w:rFonts w:ascii="Arial" w:eastAsia="Times New Roman" w:hAnsi="Arial" w:cs="Arial"/>
                <w:color w:val="000000"/>
                <w:kern w:val="0"/>
                <w:sz w:val="16"/>
                <w:szCs w:val="16"/>
                <w:lang w:eastAsia="pt-BR"/>
                <w14:ligatures w14:val="none"/>
              </w:rPr>
            </w:pPr>
            <w:r w:rsidRPr="00240448">
              <w:rPr>
                <w:rFonts w:ascii="Arial" w:eastAsia="Times New Roman" w:hAnsi="Arial" w:cs="Arial"/>
                <w:color w:val="000000"/>
                <w:kern w:val="0"/>
                <w:sz w:val="16"/>
                <w:szCs w:val="16"/>
                <w:lang w:eastAsia="pt-BR"/>
                <w14:ligatures w14:val="none"/>
              </w:rPr>
              <w:t> </w:t>
            </w:r>
          </w:p>
        </w:tc>
        <w:tc>
          <w:tcPr>
            <w:tcW w:w="650" w:type="pct"/>
            <w:tcBorders>
              <w:top w:val="nil"/>
              <w:left w:val="nil"/>
              <w:bottom w:val="single" w:sz="4" w:space="0" w:color="auto"/>
              <w:right w:val="single" w:sz="4" w:space="0" w:color="auto"/>
            </w:tcBorders>
            <w:shd w:val="clear" w:color="auto" w:fill="auto"/>
            <w:noWrap/>
            <w:vAlign w:val="center"/>
            <w:hideMark/>
          </w:tcPr>
          <w:p w14:paraId="27E71ADA" w14:textId="77777777" w:rsidR="00240448" w:rsidRPr="00240448" w:rsidRDefault="00240448" w:rsidP="00240448">
            <w:pPr>
              <w:spacing w:after="0" w:line="240" w:lineRule="auto"/>
              <w:jc w:val="right"/>
              <w:rPr>
                <w:rFonts w:ascii="Arial" w:eastAsia="Times New Roman" w:hAnsi="Arial" w:cs="Arial"/>
                <w:color w:val="000000"/>
                <w:kern w:val="0"/>
                <w:sz w:val="16"/>
                <w:szCs w:val="16"/>
                <w:lang w:eastAsia="pt-BR"/>
                <w14:ligatures w14:val="none"/>
              </w:rPr>
            </w:pPr>
            <w:r w:rsidRPr="00240448">
              <w:rPr>
                <w:rFonts w:ascii="Arial" w:eastAsia="Times New Roman" w:hAnsi="Arial" w:cs="Arial"/>
                <w:color w:val="000000"/>
                <w:kern w:val="0"/>
                <w:sz w:val="16"/>
                <w:szCs w:val="16"/>
                <w:lang w:eastAsia="pt-BR"/>
                <w14:ligatures w14:val="none"/>
              </w:rPr>
              <w:t> </w:t>
            </w:r>
          </w:p>
        </w:tc>
      </w:tr>
      <w:tr w:rsidR="00240448" w:rsidRPr="00240448" w14:paraId="4845CB92" w14:textId="77777777" w:rsidTr="00240448">
        <w:trPr>
          <w:trHeight w:val="238"/>
        </w:trPr>
        <w:tc>
          <w:tcPr>
            <w:tcW w:w="3701" w:type="pct"/>
            <w:tcBorders>
              <w:top w:val="nil"/>
              <w:left w:val="single" w:sz="4" w:space="0" w:color="auto"/>
              <w:bottom w:val="single" w:sz="4" w:space="0" w:color="auto"/>
              <w:right w:val="single" w:sz="4" w:space="0" w:color="auto"/>
            </w:tcBorders>
            <w:shd w:val="clear" w:color="auto" w:fill="auto"/>
            <w:vAlign w:val="center"/>
            <w:hideMark/>
          </w:tcPr>
          <w:p w14:paraId="110153BA" w14:textId="77777777" w:rsidR="00240448" w:rsidRPr="00240448" w:rsidRDefault="00240448" w:rsidP="00240448">
            <w:pPr>
              <w:spacing w:after="0" w:line="240" w:lineRule="auto"/>
              <w:rPr>
                <w:rFonts w:ascii="Arial" w:eastAsia="Times New Roman" w:hAnsi="Arial" w:cs="Arial"/>
                <w:b/>
                <w:bCs/>
                <w:color w:val="000000"/>
                <w:kern w:val="0"/>
                <w:sz w:val="16"/>
                <w:szCs w:val="16"/>
                <w:lang w:eastAsia="pt-BR"/>
                <w14:ligatures w14:val="none"/>
              </w:rPr>
            </w:pPr>
            <w:r w:rsidRPr="00240448">
              <w:rPr>
                <w:rFonts w:ascii="Arial" w:eastAsia="Times New Roman" w:hAnsi="Arial" w:cs="Arial"/>
                <w:b/>
                <w:bCs/>
                <w:color w:val="000000"/>
                <w:kern w:val="0"/>
                <w:sz w:val="16"/>
                <w:szCs w:val="16"/>
                <w:lang w:eastAsia="pt-BR"/>
                <w14:ligatures w14:val="none"/>
              </w:rPr>
              <w:t>Prejuízo por ação (Em Reais):</w:t>
            </w:r>
          </w:p>
        </w:tc>
        <w:tc>
          <w:tcPr>
            <w:tcW w:w="649" w:type="pct"/>
            <w:tcBorders>
              <w:top w:val="nil"/>
              <w:left w:val="nil"/>
              <w:bottom w:val="single" w:sz="4" w:space="0" w:color="auto"/>
              <w:right w:val="single" w:sz="4" w:space="0" w:color="auto"/>
            </w:tcBorders>
            <w:shd w:val="clear" w:color="auto" w:fill="auto"/>
            <w:vAlign w:val="center"/>
            <w:hideMark/>
          </w:tcPr>
          <w:p w14:paraId="7AF5BAA4" w14:textId="77777777" w:rsidR="00240448" w:rsidRPr="00240448" w:rsidRDefault="00240448" w:rsidP="00240448">
            <w:pPr>
              <w:spacing w:after="0" w:line="240" w:lineRule="auto"/>
              <w:jc w:val="right"/>
              <w:rPr>
                <w:rFonts w:ascii="Arial" w:eastAsia="Times New Roman" w:hAnsi="Arial" w:cs="Arial"/>
                <w:color w:val="000000"/>
                <w:kern w:val="0"/>
                <w:sz w:val="16"/>
                <w:szCs w:val="16"/>
                <w:lang w:eastAsia="pt-BR"/>
                <w14:ligatures w14:val="none"/>
              </w:rPr>
            </w:pPr>
            <w:r w:rsidRPr="00240448">
              <w:rPr>
                <w:rFonts w:ascii="Arial" w:eastAsia="Times New Roman" w:hAnsi="Arial" w:cs="Arial"/>
                <w:color w:val="000000"/>
                <w:kern w:val="0"/>
                <w:sz w:val="16"/>
                <w:szCs w:val="16"/>
                <w:lang w:eastAsia="pt-BR"/>
                <w14:ligatures w14:val="none"/>
              </w:rPr>
              <w:t> </w:t>
            </w:r>
          </w:p>
        </w:tc>
        <w:tc>
          <w:tcPr>
            <w:tcW w:w="650" w:type="pct"/>
            <w:tcBorders>
              <w:top w:val="nil"/>
              <w:left w:val="nil"/>
              <w:bottom w:val="single" w:sz="4" w:space="0" w:color="auto"/>
              <w:right w:val="single" w:sz="4" w:space="0" w:color="auto"/>
            </w:tcBorders>
            <w:shd w:val="clear" w:color="auto" w:fill="auto"/>
            <w:vAlign w:val="center"/>
            <w:hideMark/>
          </w:tcPr>
          <w:p w14:paraId="40062EFF" w14:textId="77777777" w:rsidR="00240448" w:rsidRPr="00240448" w:rsidRDefault="00240448" w:rsidP="00240448">
            <w:pPr>
              <w:spacing w:after="0" w:line="240" w:lineRule="auto"/>
              <w:jc w:val="right"/>
              <w:rPr>
                <w:rFonts w:ascii="Arial" w:eastAsia="Times New Roman" w:hAnsi="Arial" w:cs="Arial"/>
                <w:color w:val="000000"/>
                <w:kern w:val="0"/>
                <w:sz w:val="16"/>
                <w:szCs w:val="16"/>
                <w:lang w:eastAsia="pt-BR"/>
                <w14:ligatures w14:val="none"/>
              </w:rPr>
            </w:pPr>
            <w:r w:rsidRPr="00240448">
              <w:rPr>
                <w:rFonts w:ascii="Arial" w:eastAsia="Times New Roman" w:hAnsi="Arial" w:cs="Arial"/>
                <w:color w:val="000000"/>
                <w:kern w:val="0"/>
                <w:sz w:val="16"/>
                <w:szCs w:val="16"/>
                <w:lang w:eastAsia="pt-BR"/>
                <w14:ligatures w14:val="none"/>
              </w:rPr>
              <w:t> </w:t>
            </w:r>
          </w:p>
        </w:tc>
      </w:tr>
      <w:tr w:rsidR="00240448" w:rsidRPr="00240448" w14:paraId="731FA363" w14:textId="77777777" w:rsidTr="00240448">
        <w:trPr>
          <w:trHeight w:val="238"/>
        </w:trPr>
        <w:tc>
          <w:tcPr>
            <w:tcW w:w="3701" w:type="pct"/>
            <w:tcBorders>
              <w:top w:val="nil"/>
              <w:left w:val="single" w:sz="4" w:space="0" w:color="auto"/>
              <w:bottom w:val="single" w:sz="4" w:space="0" w:color="auto"/>
              <w:right w:val="single" w:sz="4" w:space="0" w:color="auto"/>
            </w:tcBorders>
            <w:shd w:val="clear" w:color="auto" w:fill="auto"/>
            <w:vAlign w:val="center"/>
            <w:hideMark/>
          </w:tcPr>
          <w:p w14:paraId="389F7F33" w14:textId="77777777" w:rsidR="00240448" w:rsidRPr="00240448" w:rsidRDefault="00240448" w:rsidP="00240448">
            <w:pPr>
              <w:spacing w:after="0" w:line="240" w:lineRule="auto"/>
              <w:rPr>
                <w:rFonts w:ascii="Arial" w:eastAsia="Times New Roman" w:hAnsi="Arial" w:cs="Arial"/>
                <w:color w:val="000000"/>
                <w:kern w:val="0"/>
                <w:sz w:val="16"/>
                <w:szCs w:val="16"/>
                <w:lang w:eastAsia="pt-BR"/>
                <w14:ligatures w14:val="none"/>
              </w:rPr>
            </w:pPr>
            <w:r w:rsidRPr="00240448">
              <w:rPr>
                <w:rFonts w:ascii="Arial" w:eastAsia="Times New Roman" w:hAnsi="Arial" w:cs="Arial"/>
                <w:color w:val="000000"/>
                <w:kern w:val="0"/>
                <w:sz w:val="16"/>
                <w:szCs w:val="16"/>
                <w:lang w:eastAsia="pt-BR"/>
                <w14:ligatures w14:val="none"/>
              </w:rPr>
              <w:t>Ações ordinárias – básicas e diluídas</w:t>
            </w:r>
          </w:p>
        </w:tc>
        <w:tc>
          <w:tcPr>
            <w:tcW w:w="649" w:type="pct"/>
            <w:tcBorders>
              <w:top w:val="nil"/>
              <w:left w:val="nil"/>
              <w:bottom w:val="single" w:sz="4" w:space="0" w:color="auto"/>
              <w:right w:val="single" w:sz="4" w:space="0" w:color="auto"/>
            </w:tcBorders>
            <w:shd w:val="clear" w:color="auto" w:fill="auto"/>
            <w:vAlign w:val="center"/>
            <w:hideMark/>
          </w:tcPr>
          <w:p w14:paraId="59DF953A" w14:textId="77777777" w:rsidR="00240448" w:rsidRPr="00240448" w:rsidRDefault="00240448" w:rsidP="00240448">
            <w:pPr>
              <w:spacing w:after="0" w:line="240" w:lineRule="auto"/>
              <w:jc w:val="right"/>
              <w:rPr>
                <w:rFonts w:ascii="Arial" w:eastAsia="Times New Roman" w:hAnsi="Arial" w:cs="Arial"/>
                <w:color w:val="000000"/>
                <w:kern w:val="0"/>
                <w:sz w:val="16"/>
                <w:szCs w:val="16"/>
                <w:lang w:eastAsia="pt-BR"/>
                <w14:ligatures w14:val="none"/>
              </w:rPr>
            </w:pPr>
            <w:r w:rsidRPr="00240448">
              <w:rPr>
                <w:rFonts w:ascii="Arial" w:eastAsia="Times New Roman" w:hAnsi="Arial" w:cs="Arial"/>
                <w:color w:val="000000"/>
                <w:kern w:val="0"/>
                <w:sz w:val="16"/>
                <w:szCs w:val="16"/>
                <w:lang w:eastAsia="pt-BR"/>
                <w14:ligatures w14:val="none"/>
              </w:rPr>
              <w:t xml:space="preserve">       (1,4743)</w:t>
            </w:r>
          </w:p>
        </w:tc>
        <w:tc>
          <w:tcPr>
            <w:tcW w:w="650" w:type="pct"/>
            <w:tcBorders>
              <w:top w:val="nil"/>
              <w:left w:val="nil"/>
              <w:bottom w:val="single" w:sz="4" w:space="0" w:color="auto"/>
              <w:right w:val="single" w:sz="4" w:space="0" w:color="auto"/>
            </w:tcBorders>
            <w:shd w:val="clear" w:color="auto" w:fill="auto"/>
            <w:vAlign w:val="center"/>
            <w:hideMark/>
          </w:tcPr>
          <w:p w14:paraId="716CB9C5" w14:textId="77777777" w:rsidR="00240448" w:rsidRPr="00240448" w:rsidRDefault="00240448" w:rsidP="00240448">
            <w:pPr>
              <w:spacing w:after="0" w:line="240" w:lineRule="auto"/>
              <w:jc w:val="right"/>
              <w:rPr>
                <w:rFonts w:ascii="Arial" w:eastAsia="Times New Roman" w:hAnsi="Arial" w:cs="Arial"/>
                <w:color w:val="000000"/>
                <w:kern w:val="0"/>
                <w:sz w:val="16"/>
                <w:szCs w:val="16"/>
                <w:lang w:eastAsia="pt-BR"/>
                <w14:ligatures w14:val="none"/>
              </w:rPr>
            </w:pPr>
            <w:r w:rsidRPr="00240448">
              <w:rPr>
                <w:rFonts w:ascii="Arial" w:eastAsia="Times New Roman" w:hAnsi="Arial" w:cs="Arial"/>
                <w:color w:val="000000"/>
                <w:kern w:val="0"/>
                <w:sz w:val="16"/>
                <w:szCs w:val="16"/>
                <w:lang w:eastAsia="pt-BR"/>
                <w14:ligatures w14:val="none"/>
              </w:rPr>
              <w:t xml:space="preserve">           (1,9501)</w:t>
            </w:r>
          </w:p>
        </w:tc>
      </w:tr>
      <w:tr w:rsidR="00240448" w:rsidRPr="00240448" w14:paraId="720D4BA5" w14:textId="77777777" w:rsidTr="00240448">
        <w:trPr>
          <w:trHeight w:val="238"/>
        </w:trPr>
        <w:tc>
          <w:tcPr>
            <w:tcW w:w="3701" w:type="pct"/>
            <w:tcBorders>
              <w:top w:val="nil"/>
              <w:left w:val="single" w:sz="4" w:space="0" w:color="auto"/>
              <w:bottom w:val="single" w:sz="4" w:space="0" w:color="auto"/>
              <w:right w:val="single" w:sz="4" w:space="0" w:color="auto"/>
            </w:tcBorders>
            <w:shd w:val="clear" w:color="auto" w:fill="auto"/>
            <w:vAlign w:val="center"/>
            <w:hideMark/>
          </w:tcPr>
          <w:p w14:paraId="1FCC11AA" w14:textId="77777777" w:rsidR="00240448" w:rsidRPr="00240448" w:rsidRDefault="00240448" w:rsidP="00240448">
            <w:pPr>
              <w:spacing w:after="0" w:line="240" w:lineRule="auto"/>
              <w:rPr>
                <w:rFonts w:ascii="Arial" w:eastAsia="Times New Roman" w:hAnsi="Arial" w:cs="Arial"/>
                <w:color w:val="000000"/>
                <w:kern w:val="0"/>
                <w:sz w:val="16"/>
                <w:szCs w:val="16"/>
                <w:lang w:eastAsia="pt-BR"/>
                <w14:ligatures w14:val="none"/>
              </w:rPr>
            </w:pPr>
            <w:r w:rsidRPr="00240448">
              <w:rPr>
                <w:rFonts w:ascii="Arial" w:eastAsia="Times New Roman" w:hAnsi="Arial" w:cs="Arial"/>
                <w:color w:val="000000"/>
                <w:kern w:val="0"/>
                <w:sz w:val="16"/>
                <w:szCs w:val="16"/>
                <w:lang w:eastAsia="pt-BR"/>
                <w14:ligatures w14:val="none"/>
              </w:rPr>
              <w:t>Ações preferenciais – básicas e diluídas</w:t>
            </w:r>
          </w:p>
        </w:tc>
        <w:tc>
          <w:tcPr>
            <w:tcW w:w="649" w:type="pct"/>
            <w:tcBorders>
              <w:top w:val="nil"/>
              <w:left w:val="nil"/>
              <w:bottom w:val="single" w:sz="4" w:space="0" w:color="auto"/>
              <w:right w:val="single" w:sz="4" w:space="0" w:color="auto"/>
            </w:tcBorders>
            <w:shd w:val="clear" w:color="auto" w:fill="auto"/>
            <w:vAlign w:val="center"/>
            <w:hideMark/>
          </w:tcPr>
          <w:p w14:paraId="72CE749B" w14:textId="77777777" w:rsidR="00240448" w:rsidRPr="00240448" w:rsidRDefault="00240448" w:rsidP="00240448">
            <w:pPr>
              <w:spacing w:after="0" w:line="240" w:lineRule="auto"/>
              <w:jc w:val="right"/>
              <w:rPr>
                <w:rFonts w:ascii="Arial" w:eastAsia="Times New Roman" w:hAnsi="Arial" w:cs="Arial"/>
                <w:color w:val="000000"/>
                <w:kern w:val="0"/>
                <w:sz w:val="16"/>
                <w:szCs w:val="16"/>
                <w:lang w:eastAsia="pt-BR"/>
                <w14:ligatures w14:val="none"/>
              </w:rPr>
            </w:pPr>
            <w:r w:rsidRPr="00240448">
              <w:rPr>
                <w:rFonts w:ascii="Arial" w:eastAsia="Times New Roman" w:hAnsi="Arial" w:cs="Arial"/>
                <w:color w:val="000000"/>
                <w:kern w:val="0"/>
                <w:sz w:val="16"/>
                <w:szCs w:val="16"/>
                <w:lang w:eastAsia="pt-BR"/>
                <w14:ligatures w14:val="none"/>
              </w:rPr>
              <w:t xml:space="preserve">       (1,4743)</w:t>
            </w:r>
          </w:p>
        </w:tc>
        <w:tc>
          <w:tcPr>
            <w:tcW w:w="650" w:type="pct"/>
            <w:tcBorders>
              <w:top w:val="nil"/>
              <w:left w:val="nil"/>
              <w:bottom w:val="single" w:sz="4" w:space="0" w:color="auto"/>
              <w:right w:val="single" w:sz="4" w:space="0" w:color="auto"/>
            </w:tcBorders>
            <w:shd w:val="clear" w:color="auto" w:fill="auto"/>
            <w:vAlign w:val="center"/>
            <w:hideMark/>
          </w:tcPr>
          <w:p w14:paraId="755C53F1" w14:textId="77777777" w:rsidR="00240448" w:rsidRPr="00240448" w:rsidRDefault="00240448" w:rsidP="00240448">
            <w:pPr>
              <w:spacing w:after="0" w:line="240" w:lineRule="auto"/>
              <w:jc w:val="right"/>
              <w:rPr>
                <w:rFonts w:ascii="Arial" w:eastAsia="Times New Roman" w:hAnsi="Arial" w:cs="Arial"/>
                <w:color w:val="000000"/>
                <w:kern w:val="0"/>
                <w:sz w:val="16"/>
                <w:szCs w:val="16"/>
                <w:lang w:eastAsia="pt-BR"/>
                <w14:ligatures w14:val="none"/>
              </w:rPr>
            </w:pPr>
            <w:r w:rsidRPr="00240448">
              <w:rPr>
                <w:rFonts w:ascii="Arial" w:eastAsia="Times New Roman" w:hAnsi="Arial" w:cs="Arial"/>
                <w:color w:val="000000"/>
                <w:kern w:val="0"/>
                <w:sz w:val="16"/>
                <w:szCs w:val="16"/>
                <w:lang w:eastAsia="pt-BR"/>
                <w14:ligatures w14:val="none"/>
              </w:rPr>
              <w:t xml:space="preserve">           (1,9501)</w:t>
            </w:r>
          </w:p>
        </w:tc>
      </w:tr>
    </w:tbl>
    <w:p w14:paraId="1B343212" w14:textId="1439CA38" w:rsidR="00240448" w:rsidRDefault="00240448" w:rsidP="00240448">
      <w:pPr>
        <w:autoSpaceDE w:val="0"/>
        <w:autoSpaceDN w:val="0"/>
        <w:adjustRightInd w:val="0"/>
        <w:spacing w:after="0" w:line="240" w:lineRule="auto"/>
        <w:jc w:val="both"/>
        <w:rPr>
          <w:rFonts w:ascii="Calibri" w:eastAsia="Times New Roman" w:hAnsi="Calibri" w:cs="Calibri"/>
          <w:b/>
          <w:bCs/>
          <w:iCs/>
          <w:color w:val="002060"/>
          <w:kern w:val="0"/>
          <w14:ligatures w14:val="none"/>
        </w:rPr>
      </w:pPr>
      <w:bookmarkStart w:id="432" w:name="_Toc491337770"/>
      <w:r>
        <w:rPr>
          <w:rFonts w:ascii="Calibri" w:eastAsia="Times New Roman" w:hAnsi="Calibri" w:cs="Calibri"/>
          <w:b/>
          <w:bCs/>
          <w:iCs/>
          <w:color w:val="002060"/>
          <w:kern w:val="0"/>
          <w14:ligatures w14:val="none"/>
        </w:rPr>
        <w:t xml:space="preserve">28. </w:t>
      </w:r>
      <w:r w:rsidRPr="00240448">
        <w:rPr>
          <w:rFonts w:ascii="Calibri" w:eastAsia="Times New Roman" w:hAnsi="Calibri" w:cs="Calibri"/>
          <w:b/>
          <w:bCs/>
          <w:iCs/>
          <w:color w:val="002060"/>
          <w:kern w:val="0"/>
          <w14:ligatures w14:val="none"/>
        </w:rPr>
        <w:t>RECEITA OPERACIONAL LÍQUIDA</w:t>
      </w:r>
      <w:bookmarkEnd w:id="432"/>
    </w:p>
    <w:tbl>
      <w:tblPr>
        <w:tblW w:w="5000" w:type="pct"/>
        <w:tblCellMar>
          <w:left w:w="70" w:type="dxa"/>
          <w:right w:w="70" w:type="dxa"/>
        </w:tblCellMar>
        <w:tblLook w:val="04A0" w:firstRow="1" w:lastRow="0" w:firstColumn="1" w:lastColumn="0" w:noHBand="0" w:noVBand="1"/>
      </w:tblPr>
      <w:tblGrid>
        <w:gridCol w:w="7099"/>
        <w:gridCol w:w="1331"/>
        <w:gridCol w:w="1331"/>
      </w:tblGrid>
      <w:tr w:rsidR="00240448" w:rsidRPr="00240448" w14:paraId="68A14836" w14:textId="77777777" w:rsidTr="00446A14">
        <w:trPr>
          <w:trHeight w:val="238"/>
          <w:tblHeader/>
        </w:trPr>
        <w:tc>
          <w:tcPr>
            <w:tcW w:w="3636" w:type="pct"/>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E1E509D" w14:textId="77777777" w:rsidR="00240448" w:rsidRPr="00240448" w:rsidRDefault="00240448" w:rsidP="00240448">
            <w:pPr>
              <w:spacing w:after="0" w:line="240" w:lineRule="auto"/>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lastRenderedPageBreak/>
              <w:t>Composição: </w:t>
            </w:r>
          </w:p>
        </w:tc>
        <w:tc>
          <w:tcPr>
            <w:tcW w:w="682" w:type="pct"/>
            <w:tcBorders>
              <w:top w:val="single" w:sz="8" w:space="0" w:color="auto"/>
              <w:left w:val="nil"/>
              <w:bottom w:val="single" w:sz="8" w:space="0" w:color="auto"/>
              <w:right w:val="single" w:sz="8" w:space="0" w:color="auto"/>
            </w:tcBorders>
            <w:shd w:val="clear" w:color="auto" w:fill="auto"/>
            <w:noWrap/>
            <w:vAlign w:val="center"/>
            <w:hideMark/>
          </w:tcPr>
          <w:p w14:paraId="3C074C3C" w14:textId="77777777" w:rsidR="00240448" w:rsidRPr="00240448" w:rsidRDefault="00240448" w:rsidP="00240448">
            <w:pPr>
              <w:spacing w:after="0" w:line="240" w:lineRule="auto"/>
              <w:jc w:val="center"/>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31/12/2023</w:t>
            </w:r>
          </w:p>
        </w:tc>
        <w:tc>
          <w:tcPr>
            <w:tcW w:w="682" w:type="pct"/>
            <w:tcBorders>
              <w:top w:val="single" w:sz="8" w:space="0" w:color="auto"/>
              <w:left w:val="nil"/>
              <w:bottom w:val="single" w:sz="8" w:space="0" w:color="auto"/>
              <w:right w:val="single" w:sz="8" w:space="0" w:color="auto"/>
            </w:tcBorders>
            <w:shd w:val="clear" w:color="auto" w:fill="auto"/>
            <w:noWrap/>
            <w:vAlign w:val="center"/>
            <w:hideMark/>
          </w:tcPr>
          <w:p w14:paraId="7F047249" w14:textId="77777777" w:rsidR="00240448" w:rsidRPr="00240448" w:rsidRDefault="00240448" w:rsidP="00240448">
            <w:pPr>
              <w:spacing w:after="0" w:line="240" w:lineRule="auto"/>
              <w:jc w:val="center"/>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31/12/2022</w:t>
            </w:r>
          </w:p>
        </w:tc>
      </w:tr>
      <w:tr w:rsidR="00240448" w:rsidRPr="00240448" w14:paraId="1E000298" w14:textId="77777777" w:rsidTr="00446A14">
        <w:trPr>
          <w:trHeight w:val="238"/>
        </w:trPr>
        <w:tc>
          <w:tcPr>
            <w:tcW w:w="3636" w:type="pct"/>
            <w:tcBorders>
              <w:top w:val="nil"/>
              <w:left w:val="single" w:sz="8" w:space="0" w:color="auto"/>
              <w:bottom w:val="single" w:sz="8" w:space="0" w:color="auto"/>
              <w:right w:val="single" w:sz="8" w:space="0" w:color="auto"/>
            </w:tcBorders>
            <w:shd w:val="clear" w:color="auto" w:fill="auto"/>
            <w:noWrap/>
            <w:vAlign w:val="center"/>
            <w:hideMark/>
          </w:tcPr>
          <w:p w14:paraId="0E5C3CD3"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Serviço de Comunicação e Multimídia</w:t>
            </w:r>
          </w:p>
        </w:tc>
        <w:tc>
          <w:tcPr>
            <w:tcW w:w="682" w:type="pct"/>
            <w:tcBorders>
              <w:top w:val="nil"/>
              <w:left w:val="nil"/>
              <w:bottom w:val="single" w:sz="8" w:space="0" w:color="auto"/>
              <w:right w:val="single" w:sz="8" w:space="0" w:color="auto"/>
            </w:tcBorders>
            <w:shd w:val="clear" w:color="auto" w:fill="auto"/>
            <w:noWrap/>
            <w:vAlign w:val="center"/>
            <w:hideMark/>
          </w:tcPr>
          <w:p w14:paraId="03963223"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356.511</w:t>
            </w:r>
          </w:p>
        </w:tc>
        <w:tc>
          <w:tcPr>
            <w:tcW w:w="682" w:type="pct"/>
            <w:tcBorders>
              <w:top w:val="nil"/>
              <w:left w:val="nil"/>
              <w:bottom w:val="single" w:sz="8" w:space="0" w:color="auto"/>
              <w:right w:val="single" w:sz="8" w:space="0" w:color="auto"/>
            </w:tcBorders>
            <w:shd w:val="clear" w:color="auto" w:fill="auto"/>
            <w:noWrap/>
            <w:vAlign w:val="center"/>
            <w:hideMark/>
          </w:tcPr>
          <w:p w14:paraId="340E2722"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322.614</w:t>
            </w:r>
          </w:p>
        </w:tc>
      </w:tr>
      <w:tr w:rsidR="00240448" w:rsidRPr="00240448" w14:paraId="4FC03E2C" w14:textId="77777777" w:rsidTr="00446A14">
        <w:trPr>
          <w:trHeight w:val="238"/>
        </w:trPr>
        <w:tc>
          <w:tcPr>
            <w:tcW w:w="3636" w:type="pct"/>
            <w:tcBorders>
              <w:top w:val="nil"/>
              <w:left w:val="single" w:sz="8" w:space="0" w:color="auto"/>
              <w:bottom w:val="single" w:sz="8" w:space="0" w:color="auto"/>
              <w:right w:val="single" w:sz="8" w:space="0" w:color="auto"/>
            </w:tcBorders>
            <w:shd w:val="clear" w:color="auto" w:fill="auto"/>
            <w:noWrap/>
            <w:vAlign w:val="center"/>
            <w:hideMark/>
          </w:tcPr>
          <w:p w14:paraId="01704063"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Locação de Capacidade Satelital</w:t>
            </w:r>
          </w:p>
        </w:tc>
        <w:tc>
          <w:tcPr>
            <w:tcW w:w="682" w:type="pct"/>
            <w:tcBorders>
              <w:top w:val="nil"/>
              <w:left w:val="nil"/>
              <w:bottom w:val="single" w:sz="8" w:space="0" w:color="auto"/>
              <w:right w:val="single" w:sz="8" w:space="0" w:color="auto"/>
            </w:tcBorders>
            <w:shd w:val="clear" w:color="auto" w:fill="auto"/>
            <w:noWrap/>
            <w:vAlign w:val="center"/>
            <w:hideMark/>
          </w:tcPr>
          <w:p w14:paraId="4A62CE29"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36.481</w:t>
            </w:r>
          </w:p>
        </w:tc>
        <w:tc>
          <w:tcPr>
            <w:tcW w:w="682" w:type="pct"/>
            <w:tcBorders>
              <w:top w:val="nil"/>
              <w:left w:val="nil"/>
              <w:bottom w:val="single" w:sz="8" w:space="0" w:color="auto"/>
              <w:right w:val="single" w:sz="8" w:space="0" w:color="auto"/>
            </w:tcBorders>
            <w:shd w:val="clear" w:color="auto" w:fill="auto"/>
            <w:noWrap/>
            <w:vAlign w:val="center"/>
            <w:hideMark/>
          </w:tcPr>
          <w:p w14:paraId="4B8BDD93"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36.481</w:t>
            </w:r>
          </w:p>
        </w:tc>
      </w:tr>
      <w:tr w:rsidR="00240448" w:rsidRPr="00240448" w14:paraId="27158578" w14:textId="77777777" w:rsidTr="00446A14">
        <w:trPr>
          <w:trHeight w:val="238"/>
        </w:trPr>
        <w:tc>
          <w:tcPr>
            <w:tcW w:w="3636" w:type="pct"/>
            <w:tcBorders>
              <w:top w:val="nil"/>
              <w:left w:val="single" w:sz="8" w:space="0" w:color="auto"/>
              <w:bottom w:val="single" w:sz="8" w:space="0" w:color="auto"/>
              <w:right w:val="single" w:sz="8" w:space="0" w:color="auto"/>
            </w:tcBorders>
            <w:shd w:val="clear" w:color="auto" w:fill="auto"/>
            <w:noWrap/>
            <w:vAlign w:val="center"/>
            <w:hideMark/>
          </w:tcPr>
          <w:p w14:paraId="1D1DFBCC"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Aluguéis e Locações</w:t>
            </w:r>
          </w:p>
        </w:tc>
        <w:tc>
          <w:tcPr>
            <w:tcW w:w="682" w:type="pct"/>
            <w:tcBorders>
              <w:top w:val="nil"/>
              <w:left w:val="nil"/>
              <w:bottom w:val="single" w:sz="8" w:space="0" w:color="auto"/>
              <w:right w:val="single" w:sz="8" w:space="0" w:color="auto"/>
            </w:tcBorders>
            <w:shd w:val="clear" w:color="auto" w:fill="auto"/>
            <w:noWrap/>
            <w:vAlign w:val="center"/>
            <w:hideMark/>
          </w:tcPr>
          <w:p w14:paraId="22518479"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24.851</w:t>
            </w:r>
          </w:p>
        </w:tc>
        <w:tc>
          <w:tcPr>
            <w:tcW w:w="682" w:type="pct"/>
            <w:tcBorders>
              <w:top w:val="nil"/>
              <w:left w:val="nil"/>
              <w:bottom w:val="single" w:sz="8" w:space="0" w:color="auto"/>
              <w:right w:val="single" w:sz="8" w:space="0" w:color="auto"/>
            </w:tcBorders>
            <w:shd w:val="clear" w:color="auto" w:fill="auto"/>
            <w:noWrap/>
            <w:vAlign w:val="center"/>
            <w:hideMark/>
          </w:tcPr>
          <w:p w14:paraId="2C53D4C0"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22.056</w:t>
            </w:r>
          </w:p>
        </w:tc>
      </w:tr>
      <w:tr w:rsidR="00240448" w:rsidRPr="00240448" w14:paraId="3BA14B83" w14:textId="77777777" w:rsidTr="00446A14">
        <w:trPr>
          <w:trHeight w:val="238"/>
        </w:trPr>
        <w:tc>
          <w:tcPr>
            <w:tcW w:w="3636" w:type="pct"/>
            <w:tcBorders>
              <w:top w:val="nil"/>
              <w:left w:val="single" w:sz="8" w:space="0" w:color="auto"/>
              <w:bottom w:val="single" w:sz="8" w:space="0" w:color="auto"/>
              <w:right w:val="single" w:sz="8" w:space="0" w:color="auto"/>
            </w:tcBorders>
            <w:shd w:val="clear" w:color="auto" w:fill="auto"/>
            <w:noWrap/>
            <w:vAlign w:val="center"/>
            <w:hideMark/>
          </w:tcPr>
          <w:p w14:paraId="7FAE1D83"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Compartilhamento de Receita</w:t>
            </w:r>
          </w:p>
        </w:tc>
        <w:tc>
          <w:tcPr>
            <w:tcW w:w="682" w:type="pct"/>
            <w:tcBorders>
              <w:top w:val="nil"/>
              <w:left w:val="nil"/>
              <w:bottom w:val="single" w:sz="8" w:space="0" w:color="auto"/>
              <w:right w:val="single" w:sz="8" w:space="0" w:color="auto"/>
            </w:tcBorders>
            <w:shd w:val="clear" w:color="auto" w:fill="auto"/>
            <w:noWrap/>
            <w:vAlign w:val="center"/>
            <w:hideMark/>
          </w:tcPr>
          <w:p w14:paraId="55AF3163"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19.640</w:t>
            </w:r>
          </w:p>
        </w:tc>
        <w:tc>
          <w:tcPr>
            <w:tcW w:w="682" w:type="pct"/>
            <w:tcBorders>
              <w:top w:val="nil"/>
              <w:left w:val="nil"/>
              <w:bottom w:val="single" w:sz="8" w:space="0" w:color="auto"/>
              <w:right w:val="single" w:sz="8" w:space="0" w:color="auto"/>
            </w:tcBorders>
            <w:shd w:val="clear" w:color="auto" w:fill="auto"/>
            <w:noWrap/>
            <w:vAlign w:val="center"/>
            <w:hideMark/>
          </w:tcPr>
          <w:p w14:paraId="3D06741D"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15.463</w:t>
            </w:r>
          </w:p>
        </w:tc>
      </w:tr>
      <w:tr w:rsidR="00240448" w:rsidRPr="00240448" w14:paraId="73B27691" w14:textId="77777777" w:rsidTr="00446A14">
        <w:trPr>
          <w:trHeight w:val="238"/>
        </w:trPr>
        <w:tc>
          <w:tcPr>
            <w:tcW w:w="3636" w:type="pct"/>
            <w:tcBorders>
              <w:top w:val="nil"/>
              <w:left w:val="single" w:sz="8" w:space="0" w:color="auto"/>
              <w:bottom w:val="single" w:sz="8" w:space="0" w:color="auto"/>
              <w:right w:val="single" w:sz="8" w:space="0" w:color="auto"/>
            </w:tcBorders>
            <w:shd w:val="clear" w:color="auto" w:fill="auto"/>
            <w:noWrap/>
            <w:vAlign w:val="center"/>
            <w:hideMark/>
          </w:tcPr>
          <w:p w14:paraId="35DAA54D"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Serviço de Valor Adicionado</w:t>
            </w:r>
          </w:p>
        </w:tc>
        <w:tc>
          <w:tcPr>
            <w:tcW w:w="682" w:type="pct"/>
            <w:tcBorders>
              <w:top w:val="nil"/>
              <w:left w:val="nil"/>
              <w:bottom w:val="single" w:sz="8" w:space="0" w:color="auto"/>
              <w:right w:val="single" w:sz="8" w:space="0" w:color="auto"/>
            </w:tcBorders>
            <w:shd w:val="clear" w:color="auto" w:fill="auto"/>
            <w:noWrap/>
            <w:vAlign w:val="center"/>
            <w:hideMark/>
          </w:tcPr>
          <w:p w14:paraId="2004441B"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18.073</w:t>
            </w:r>
          </w:p>
        </w:tc>
        <w:tc>
          <w:tcPr>
            <w:tcW w:w="682" w:type="pct"/>
            <w:tcBorders>
              <w:top w:val="nil"/>
              <w:left w:val="nil"/>
              <w:bottom w:val="single" w:sz="8" w:space="0" w:color="auto"/>
              <w:right w:val="single" w:sz="8" w:space="0" w:color="auto"/>
            </w:tcBorders>
            <w:shd w:val="clear" w:color="auto" w:fill="auto"/>
            <w:noWrap/>
            <w:vAlign w:val="center"/>
            <w:hideMark/>
          </w:tcPr>
          <w:p w14:paraId="5EB57E13"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   </w:t>
            </w:r>
          </w:p>
        </w:tc>
      </w:tr>
      <w:tr w:rsidR="00240448" w:rsidRPr="00240448" w14:paraId="586B5801" w14:textId="77777777" w:rsidTr="00446A14">
        <w:trPr>
          <w:trHeight w:val="238"/>
        </w:trPr>
        <w:tc>
          <w:tcPr>
            <w:tcW w:w="3636" w:type="pct"/>
            <w:tcBorders>
              <w:top w:val="nil"/>
              <w:left w:val="single" w:sz="8" w:space="0" w:color="auto"/>
              <w:bottom w:val="single" w:sz="8" w:space="0" w:color="auto"/>
              <w:right w:val="single" w:sz="8" w:space="0" w:color="auto"/>
            </w:tcBorders>
            <w:shd w:val="clear" w:color="auto" w:fill="auto"/>
            <w:noWrap/>
            <w:vAlign w:val="center"/>
            <w:hideMark/>
          </w:tcPr>
          <w:p w14:paraId="207B8673"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Outras Receitas</w:t>
            </w:r>
          </w:p>
        </w:tc>
        <w:tc>
          <w:tcPr>
            <w:tcW w:w="682" w:type="pct"/>
            <w:tcBorders>
              <w:top w:val="nil"/>
              <w:left w:val="nil"/>
              <w:bottom w:val="single" w:sz="8" w:space="0" w:color="auto"/>
              <w:right w:val="single" w:sz="8" w:space="0" w:color="auto"/>
            </w:tcBorders>
            <w:shd w:val="clear" w:color="auto" w:fill="auto"/>
            <w:noWrap/>
            <w:vAlign w:val="center"/>
            <w:hideMark/>
          </w:tcPr>
          <w:p w14:paraId="3DE1A14D"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14.496</w:t>
            </w:r>
          </w:p>
        </w:tc>
        <w:tc>
          <w:tcPr>
            <w:tcW w:w="682" w:type="pct"/>
            <w:tcBorders>
              <w:top w:val="nil"/>
              <w:left w:val="nil"/>
              <w:bottom w:val="single" w:sz="8" w:space="0" w:color="auto"/>
              <w:right w:val="single" w:sz="8" w:space="0" w:color="auto"/>
            </w:tcBorders>
            <w:shd w:val="clear" w:color="auto" w:fill="auto"/>
            <w:noWrap/>
            <w:vAlign w:val="center"/>
            <w:hideMark/>
          </w:tcPr>
          <w:p w14:paraId="13F5D14E"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6.888</w:t>
            </w:r>
          </w:p>
        </w:tc>
      </w:tr>
      <w:tr w:rsidR="00240448" w:rsidRPr="00240448" w14:paraId="7BC5BBEE" w14:textId="77777777" w:rsidTr="00446A14">
        <w:trPr>
          <w:trHeight w:val="238"/>
        </w:trPr>
        <w:tc>
          <w:tcPr>
            <w:tcW w:w="3636" w:type="pct"/>
            <w:tcBorders>
              <w:top w:val="nil"/>
              <w:left w:val="single" w:sz="8" w:space="0" w:color="auto"/>
              <w:bottom w:val="single" w:sz="8" w:space="0" w:color="auto"/>
              <w:right w:val="single" w:sz="8" w:space="0" w:color="auto"/>
            </w:tcBorders>
            <w:shd w:val="clear" w:color="auto" w:fill="auto"/>
            <w:noWrap/>
            <w:vAlign w:val="center"/>
            <w:hideMark/>
          </w:tcPr>
          <w:p w14:paraId="291C00D2" w14:textId="77777777" w:rsidR="00240448" w:rsidRPr="00240448" w:rsidRDefault="00240448" w:rsidP="00240448">
            <w:pPr>
              <w:spacing w:after="0" w:line="240" w:lineRule="auto"/>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Receita Operacional Bruta</w:t>
            </w:r>
          </w:p>
        </w:tc>
        <w:tc>
          <w:tcPr>
            <w:tcW w:w="682" w:type="pct"/>
            <w:tcBorders>
              <w:top w:val="nil"/>
              <w:left w:val="nil"/>
              <w:bottom w:val="single" w:sz="8" w:space="0" w:color="auto"/>
              <w:right w:val="single" w:sz="8" w:space="0" w:color="auto"/>
            </w:tcBorders>
            <w:shd w:val="clear" w:color="auto" w:fill="auto"/>
            <w:noWrap/>
            <w:vAlign w:val="center"/>
            <w:hideMark/>
          </w:tcPr>
          <w:p w14:paraId="325845B1" w14:textId="77777777" w:rsidR="00240448" w:rsidRPr="00240448" w:rsidRDefault="00240448" w:rsidP="00240448">
            <w:pPr>
              <w:spacing w:after="0" w:line="240" w:lineRule="auto"/>
              <w:jc w:val="right"/>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470.052</w:t>
            </w:r>
          </w:p>
        </w:tc>
        <w:tc>
          <w:tcPr>
            <w:tcW w:w="682" w:type="pct"/>
            <w:tcBorders>
              <w:top w:val="nil"/>
              <w:left w:val="nil"/>
              <w:bottom w:val="single" w:sz="8" w:space="0" w:color="auto"/>
              <w:right w:val="single" w:sz="8" w:space="0" w:color="auto"/>
            </w:tcBorders>
            <w:shd w:val="clear" w:color="auto" w:fill="auto"/>
            <w:noWrap/>
            <w:vAlign w:val="center"/>
            <w:hideMark/>
          </w:tcPr>
          <w:p w14:paraId="7F766320" w14:textId="77777777" w:rsidR="00240448" w:rsidRPr="00240448" w:rsidRDefault="00240448" w:rsidP="00240448">
            <w:pPr>
              <w:spacing w:after="0" w:line="240" w:lineRule="auto"/>
              <w:jc w:val="right"/>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403.502</w:t>
            </w:r>
          </w:p>
        </w:tc>
      </w:tr>
      <w:tr w:rsidR="00240448" w:rsidRPr="00240448" w14:paraId="7273DDCA" w14:textId="77777777" w:rsidTr="00446A14">
        <w:trPr>
          <w:trHeight w:val="238"/>
        </w:trPr>
        <w:tc>
          <w:tcPr>
            <w:tcW w:w="3636" w:type="pct"/>
            <w:tcBorders>
              <w:top w:val="nil"/>
              <w:left w:val="single" w:sz="8" w:space="0" w:color="auto"/>
              <w:bottom w:val="single" w:sz="8" w:space="0" w:color="auto"/>
              <w:right w:val="single" w:sz="8" w:space="0" w:color="auto"/>
            </w:tcBorders>
            <w:shd w:val="clear" w:color="auto" w:fill="auto"/>
            <w:noWrap/>
            <w:vAlign w:val="center"/>
            <w:hideMark/>
          </w:tcPr>
          <w:p w14:paraId="6BC79CA8"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Tributos sobre Receita</w:t>
            </w:r>
          </w:p>
        </w:tc>
        <w:tc>
          <w:tcPr>
            <w:tcW w:w="682" w:type="pct"/>
            <w:tcBorders>
              <w:top w:val="nil"/>
              <w:left w:val="nil"/>
              <w:bottom w:val="single" w:sz="8" w:space="0" w:color="auto"/>
              <w:right w:val="single" w:sz="8" w:space="0" w:color="auto"/>
            </w:tcBorders>
            <w:shd w:val="clear" w:color="auto" w:fill="auto"/>
            <w:noWrap/>
            <w:vAlign w:val="center"/>
            <w:hideMark/>
          </w:tcPr>
          <w:p w14:paraId="63D1DB54"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(51.456)</w:t>
            </w:r>
          </w:p>
        </w:tc>
        <w:tc>
          <w:tcPr>
            <w:tcW w:w="682" w:type="pct"/>
            <w:tcBorders>
              <w:top w:val="nil"/>
              <w:left w:val="nil"/>
              <w:bottom w:val="single" w:sz="8" w:space="0" w:color="auto"/>
              <w:right w:val="single" w:sz="8" w:space="0" w:color="auto"/>
            </w:tcBorders>
            <w:shd w:val="clear" w:color="auto" w:fill="auto"/>
            <w:noWrap/>
            <w:vAlign w:val="center"/>
            <w:hideMark/>
          </w:tcPr>
          <w:p w14:paraId="04D820ED"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(55.280)</w:t>
            </w:r>
          </w:p>
        </w:tc>
      </w:tr>
      <w:tr w:rsidR="00240448" w:rsidRPr="00240448" w14:paraId="44EFB03A" w14:textId="77777777" w:rsidTr="00446A14">
        <w:trPr>
          <w:trHeight w:val="238"/>
        </w:trPr>
        <w:tc>
          <w:tcPr>
            <w:tcW w:w="3636" w:type="pct"/>
            <w:tcBorders>
              <w:top w:val="nil"/>
              <w:left w:val="single" w:sz="8" w:space="0" w:color="auto"/>
              <w:bottom w:val="single" w:sz="8" w:space="0" w:color="auto"/>
              <w:right w:val="single" w:sz="8" w:space="0" w:color="auto"/>
            </w:tcBorders>
            <w:shd w:val="clear" w:color="auto" w:fill="auto"/>
            <w:noWrap/>
            <w:vAlign w:val="center"/>
            <w:hideMark/>
          </w:tcPr>
          <w:p w14:paraId="62108957"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Outras Deduções</w:t>
            </w:r>
          </w:p>
        </w:tc>
        <w:tc>
          <w:tcPr>
            <w:tcW w:w="682" w:type="pct"/>
            <w:tcBorders>
              <w:top w:val="nil"/>
              <w:left w:val="nil"/>
              <w:bottom w:val="single" w:sz="8" w:space="0" w:color="auto"/>
              <w:right w:val="single" w:sz="8" w:space="0" w:color="auto"/>
            </w:tcBorders>
            <w:shd w:val="clear" w:color="auto" w:fill="auto"/>
            <w:noWrap/>
            <w:vAlign w:val="center"/>
            <w:hideMark/>
          </w:tcPr>
          <w:p w14:paraId="2F71AB4B"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(1.756)</w:t>
            </w:r>
          </w:p>
        </w:tc>
        <w:tc>
          <w:tcPr>
            <w:tcW w:w="682" w:type="pct"/>
            <w:tcBorders>
              <w:top w:val="nil"/>
              <w:left w:val="nil"/>
              <w:bottom w:val="single" w:sz="8" w:space="0" w:color="auto"/>
              <w:right w:val="single" w:sz="8" w:space="0" w:color="auto"/>
            </w:tcBorders>
            <w:shd w:val="clear" w:color="auto" w:fill="auto"/>
            <w:noWrap/>
            <w:vAlign w:val="center"/>
            <w:hideMark/>
          </w:tcPr>
          <w:p w14:paraId="36C52A2C"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(382)</w:t>
            </w:r>
          </w:p>
        </w:tc>
      </w:tr>
      <w:tr w:rsidR="00240448" w:rsidRPr="00240448" w14:paraId="4717A13F" w14:textId="77777777" w:rsidTr="00446A14">
        <w:trPr>
          <w:trHeight w:val="238"/>
        </w:trPr>
        <w:tc>
          <w:tcPr>
            <w:tcW w:w="3636" w:type="pct"/>
            <w:tcBorders>
              <w:top w:val="nil"/>
              <w:left w:val="single" w:sz="8" w:space="0" w:color="auto"/>
              <w:bottom w:val="single" w:sz="8" w:space="0" w:color="auto"/>
              <w:right w:val="single" w:sz="8" w:space="0" w:color="auto"/>
            </w:tcBorders>
            <w:shd w:val="clear" w:color="auto" w:fill="auto"/>
            <w:noWrap/>
            <w:vAlign w:val="center"/>
            <w:hideMark/>
          </w:tcPr>
          <w:p w14:paraId="3A487D88" w14:textId="77777777" w:rsidR="00240448" w:rsidRPr="00240448" w:rsidRDefault="00240448" w:rsidP="00240448">
            <w:pPr>
              <w:spacing w:after="0" w:line="240" w:lineRule="auto"/>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Deduções da Receita Operacional Bruta</w:t>
            </w:r>
          </w:p>
        </w:tc>
        <w:tc>
          <w:tcPr>
            <w:tcW w:w="682" w:type="pct"/>
            <w:tcBorders>
              <w:top w:val="nil"/>
              <w:left w:val="nil"/>
              <w:bottom w:val="single" w:sz="8" w:space="0" w:color="auto"/>
              <w:right w:val="single" w:sz="8" w:space="0" w:color="auto"/>
            </w:tcBorders>
            <w:shd w:val="clear" w:color="auto" w:fill="auto"/>
            <w:noWrap/>
            <w:vAlign w:val="center"/>
            <w:hideMark/>
          </w:tcPr>
          <w:p w14:paraId="0A04A9CB" w14:textId="77777777" w:rsidR="00240448" w:rsidRPr="00240448" w:rsidRDefault="00240448" w:rsidP="00240448">
            <w:pPr>
              <w:spacing w:after="0" w:line="240" w:lineRule="auto"/>
              <w:jc w:val="right"/>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(53.212)</w:t>
            </w:r>
          </w:p>
        </w:tc>
        <w:tc>
          <w:tcPr>
            <w:tcW w:w="682" w:type="pct"/>
            <w:tcBorders>
              <w:top w:val="nil"/>
              <w:left w:val="nil"/>
              <w:bottom w:val="single" w:sz="8" w:space="0" w:color="auto"/>
              <w:right w:val="single" w:sz="8" w:space="0" w:color="auto"/>
            </w:tcBorders>
            <w:shd w:val="clear" w:color="auto" w:fill="auto"/>
            <w:noWrap/>
            <w:vAlign w:val="center"/>
            <w:hideMark/>
          </w:tcPr>
          <w:p w14:paraId="6FF28CFC" w14:textId="77777777" w:rsidR="00240448" w:rsidRPr="00240448" w:rsidRDefault="00240448" w:rsidP="00240448">
            <w:pPr>
              <w:spacing w:after="0" w:line="240" w:lineRule="auto"/>
              <w:jc w:val="right"/>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(55.662)</w:t>
            </w:r>
          </w:p>
        </w:tc>
      </w:tr>
      <w:tr w:rsidR="00240448" w:rsidRPr="00240448" w14:paraId="0BC6DDC6" w14:textId="77777777" w:rsidTr="00446A14">
        <w:trPr>
          <w:trHeight w:val="238"/>
        </w:trPr>
        <w:tc>
          <w:tcPr>
            <w:tcW w:w="3636" w:type="pct"/>
            <w:tcBorders>
              <w:top w:val="nil"/>
              <w:left w:val="single" w:sz="8" w:space="0" w:color="auto"/>
              <w:bottom w:val="single" w:sz="8" w:space="0" w:color="auto"/>
              <w:right w:val="single" w:sz="8" w:space="0" w:color="auto"/>
            </w:tcBorders>
            <w:shd w:val="clear" w:color="auto" w:fill="auto"/>
            <w:noWrap/>
            <w:vAlign w:val="center"/>
            <w:hideMark/>
          </w:tcPr>
          <w:p w14:paraId="7091D7E8" w14:textId="77777777" w:rsidR="00240448" w:rsidRPr="00240448" w:rsidRDefault="00240448" w:rsidP="00240448">
            <w:pPr>
              <w:spacing w:after="0" w:line="240" w:lineRule="auto"/>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Receita Operacional Líquida</w:t>
            </w:r>
          </w:p>
        </w:tc>
        <w:tc>
          <w:tcPr>
            <w:tcW w:w="682" w:type="pct"/>
            <w:tcBorders>
              <w:top w:val="nil"/>
              <w:left w:val="nil"/>
              <w:bottom w:val="single" w:sz="8" w:space="0" w:color="auto"/>
              <w:right w:val="single" w:sz="8" w:space="0" w:color="auto"/>
            </w:tcBorders>
            <w:shd w:val="clear" w:color="auto" w:fill="auto"/>
            <w:noWrap/>
            <w:vAlign w:val="center"/>
            <w:hideMark/>
          </w:tcPr>
          <w:p w14:paraId="2614E04F" w14:textId="77777777" w:rsidR="00240448" w:rsidRPr="00240448" w:rsidRDefault="00240448" w:rsidP="00240448">
            <w:pPr>
              <w:spacing w:after="0" w:line="240" w:lineRule="auto"/>
              <w:jc w:val="right"/>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416.840</w:t>
            </w:r>
          </w:p>
        </w:tc>
        <w:tc>
          <w:tcPr>
            <w:tcW w:w="682" w:type="pct"/>
            <w:tcBorders>
              <w:top w:val="nil"/>
              <w:left w:val="nil"/>
              <w:bottom w:val="single" w:sz="8" w:space="0" w:color="auto"/>
              <w:right w:val="single" w:sz="8" w:space="0" w:color="auto"/>
            </w:tcBorders>
            <w:shd w:val="clear" w:color="auto" w:fill="auto"/>
            <w:noWrap/>
            <w:vAlign w:val="center"/>
            <w:hideMark/>
          </w:tcPr>
          <w:p w14:paraId="09EE0873" w14:textId="77777777" w:rsidR="00240448" w:rsidRPr="00240448" w:rsidRDefault="00240448" w:rsidP="00240448">
            <w:pPr>
              <w:spacing w:after="0" w:line="240" w:lineRule="auto"/>
              <w:jc w:val="right"/>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347.840</w:t>
            </w:r>
          </w:p>
        </w:tc>
      </w:tr>
    </w:tbl>
    <w:p w14:paraId="6F2D37BD" w14:textId="77777777" w:rsidR="00240448" w:rsidRPr="00240448" w:rsidRDefault="00240448" w:rsidP="00240448">
      <w:pPr>
        <w:autoSpaceDE w:val="0"/>
        <w:autoSpaceDN w:val="0"/>
        <w:adjustRightInd w:val="0"/>
        <w:spacing w:after="0" w:line="240" w:lineRule="auto"/>
        <w:jc w:val="both"/>
        <w:rPr>
          <w:rFonts w:ascii="Calibri" w:eastAsia="Times New Roman" w:hAnsi="Calibri" w:cs="Calibri"/>
          <w:iCs/>
          <w:color w:val="002060"/>
          <w:kern w:val="0"/>
          <w14:ligatures w14:val="none"/>
        </w:rPr>
      </w:pPr>
      <w:r w:rsidRPr="00240448">
        <w:rPr>
          <w:rFonts w:ascii="Calibri" w:eastAsia="Times New Roman" w:hAnsi="Calibri" w:cs="Calibri"/>
          <w:iCs/>
          <w:color w:val="002060"/>
          <w:kern w:val="0"/>
          <w14:ligatures w14:val="none"/>
        </w:rPr>
        <w:t>No exercício de 2023, a Receita Operacional Líquida atingiu o montante de R$ 416.840 (R$ 347.840 no mesmo período do ano anterior), crescimento de 19,8%.</w:t>
      </w:r>
    </w:p>
    <w:p w14:paraId="4DF9C5BE" w14:textId="77777777" w:rsidR="00240448" w:rsidRPr="00240448" w:rsidRDefault="00240448" w:rsidP="00240448">
      <w:pPr>
        <w:autoSpaceDE w:val="0"/>
        <w:autoSpaceDN w:val="0"/>
        <w:adjustRightInd w:val="0"/>
        <w:spacing w:after="0" w:line="240" w:lineRule="auto"/>
        <w:jc w:val="both"/>
        <w:rPr>
          <w:rFonts w:ascii="Calibri" w:eastAsia="Times New Roman" w:hAnsi="Calibri" w:cs="Calibri"/>
          <w:iCs/>
          <w:color w:val="002060"/>
          <w:kern w:val="0"/>
          <w14:ligatures w14:val="none"/>
        </w:rPr>
      </w:pPr>
      <w:r w:rsidRPr="00240448">
        <w:rPr>
          <w:rFonts w:ascii="Calibri" w:eastAsia="Times New Roman" w:hAnsi="Calibri" w:cs="Calibri"/>
          <w:iCs/>
          <w:color w:val="002060"/>
          <w:kern w:val="0"/>
          <w14:ligatures w14:val="none"/>
        </w:rPr>
        <w:t>O comportamento da receita por serviço está apresentado a seguir:</w:t>
      </w:r>
    </w:p>
    <w:p w14:paraId="360345CB" w14:textId="77777777" w:rsidR="00240448" w:rsidRPr="00240448" w:rsidRDefault="00240448" w:rsidP="00240448">
      <w:pPr>
        <w:autoSpaceDE w:val="0"/>
        <w:autoSpaceDN w:val="0"/>
        <w:adjustRightInd w:val="0"/>
        <w:spacing w:after="0" w:line="240" w:lineRule="auto"/>
        <w:jc w:val="both"/>
        <w:rPr>
          <w:rFonts w:ascii="Calibri" w:eastAsia="Times New Roman" w:hAnsi="Calibri" w:cs="Calibri"/>
          <w:iCs/>
          <w:color w:val="002060"/>
          <w:kern w:val="0"/>
          <w14:ligatures w14:val="none"/>
        </w:rPr>
      </w:pPr>
      <w:r w:rsidRPr="00240448">
        <w:rPr>
          <w:rFonts w:ascii="Calibri" w:eastAsia="Times New Roman" w:hAnsi="Calibri" w:cs="Calibri"/>
          <w:iCs/>
          <w:color w:val="002060"/>
          <w:kern w:val="0"/>
          <w14:ligatures w14:val="none"/>
        </w:rPr>
        <w:t xml:space="preserve">Serviço de Comunicação Multimídia (SCM): No exercício de 2023, a receita de SCM apresentou crescimento de 10,5% na comparação com o mesmo período do ano anterior, explicado pelos seguintes eventos: i) aumento dos circuitos/pontos vinculados à geração de receita; </w:t>
      </w:r>
      <w:proofErr w:type="spellStart"/>
      <w:r w:rsidRPr="00240448">
        <w:rPr>
          <w:rFonts w:ascii="Calibri" w:eastAsia="Times New Roman" w:hAnsi="Calibri" w:cs="Calibri"/>
          <w:iCs/>
          <w:color w:val="002060"/>
          <w:kern w:val="0"/>
          <w14:ligatures w14:val="none"/>
        </w:rPr>
        <w:t>ii</w:t>
      </w:r>
      <w:proofErr w:type="spellEnd"/>
      <w:r w:rsidRPr="00240448">
        <w:rPr>
          <w:rFonts w:ascii="Calibri" w:eastAsia="Times New Roman" w:hAnsi="Calibri" w:cs="Calibri"/>
          <w:iCs/>
          <w:color w:val="002060"/>
          <w:kern w:val="0"/>
          <w14:ligatures w14:val="none"/>
        </w:rPr>
        <w:t xml:space="preserve">) crescimento da banda larga faturada no período; e </w:t>
      </w:r>
      <w:proofErr w:type="spellStart"/>
      <w:r w:rsidRPr="00240448">
        <w:rPr>
          <w:rFonts w:ascii="Calibri" w:eastAsia="Times New Roman" w:hAnsi="Calibri" w:cs="Calibri"/>
          <w:iCs/>
          <w:color w:val="002060"/>
          <w:kern w:val="0"/>
          <w14:ligatures w14:val="none"/>
        </w:rPr>
        <w:t>iii</w:t>
      </w:r>
      <w:proofErr w:type="spellEnd"/>
      <w:r w:rsidRPr="00240448">
        <w:rPr>
          <w:rFonts w:ascii="Calibri" w:eastAsia="Times New Roman" w:hAnsi="Calibri" w:cs="Calibri"/>
          <w:iCs/>
          <w:color w:val="002060"/>
          <w:kern w:val="0"/>
          <w14:ligatures w14:val="none"/>
        </w:rPr>
        <w:t xml:space="preserve">) efeito dos reajustes dos contratos no decorrer do exercício de 2023. </w:t>
      </w:r>
    </w:p>
    <w:p w14:paraId="33BB3FBF" w14:textId="77777777" w:rsidR="00240448" w:rsidRPr="00240448" w:rsidRDefault="00240448" w:rsidP="00240448">
      <w:pPr>
        <w:autoSpaceDE w:val="0"/>
        <w:autoSpaceDN w:val="0"/>
        <w:adjustRightInd w:val="0"/>
        <w:spacing w:after="0" w:line="240" w:lineRule="auto"/>
        <w:jc w:val="both"/>
        <w:rPr>
          <w:rFonts w:ascii="Calibri" w:eastAsia="Times New Roman" w:hAnsi="Calibri" w:cs="Calibri"/>
          <w:iCs/>
          <w:color w:val="002060"/>
          <w:kern w:val="0"/>
          <w14:ligatures w14:val="none"/>
        </w:rPr>
      </w:pPr>
      <w:r w:rsidRPr="00240448">
        <w:rPr>
          <w:rFonts w:ascii="Calibri" w:eastAsia="Times New Roman" w:hAnsi="Calibri" w:cs="Calibri"/>
          <w:iCs/>
          <w:color w:val="002060"/>
          <w:kern w:val="0"/>
          <w14:ligatures w14:val="none"/>
        </w:rPr>
        <w:t>Locação de Capacidade Satelital: o serviço de locação de capacidade permaneceu estável na comparação entre os trimestres findos em 31 de dezembro de 2023 e 2022, com receita de R$ 36.481.</w:t>
      </w:r>
    </w:p>
    <w:p w14:paraId="7B2B8B31" w14:textId="77777777" w:rsidR="00240448" w:rsidRPr="00240448" w:rsidRDefault="00240448" w:rsidP="00240448">
      <w:pPr>
        <w:autoSpaceDE w:val="0"/>
        <w:autoSpaceDN w:val="0"/>
        <w:adjustRightInd w:val="0"/>
        <w:spacing w:after="0" w:line="240" w:lineRule="auto"/>
        <w:jc w:val="both"/>
        <w:rPr>
          <w:rFonts w:ascii="Calibri" w:eastAsia="Times New Roman" w:hAnsi="Calibri" w:cs="Calibri"/>
          <w:iCs/>
          <w:color w:val="002060"/>
          <w:kern w:val="0"/>
          <w14:ligatures w14:val="none"/>
        </w:rPr>
      </w:pPr>
      <w:r w:rsidRPr="00240448">
        <w:rPr>
          <w:rFonts w:ascii="Calibri" w:eastAsia="Times New Roman" w:hAnsi="Calibri" w:cs="Calibri"/>
          <w:iCs/>
          <w:color w:val="002060"/>
          <w:kern w:val="0"/>
          <w14:ligatures w14:val="none"/>
        </w:rPr>
        <w:t xml:space="preserve">Aluguéis e Locações – Outras:  compreende o aluguel de cabos ópticos, locação de roteadores e aluguel de infraestrutura do segmento satelital (contrato de parceria com a </w:t>
      </w:r>
      <w:proofErr w:type="spellStart"/>
      <w:r w:rsidRPr="00240448">
        <w:rPr>
          <w:rFonts w:ascii="Calibri" w:eastAsia="Times New Roman" w:hAnsi="Calibri" w:cs="Calibri"/>
          <w:iCs/>
          <w:color w:val="002060"/>
          <w:kern w:val="0"/>
          <w14:ligatures w14:val="none"/>
        </w:rPr>
        <w:t>Viasat</w:t>
      </w:r>
      <w:proofErr w:type="spellEnd"/>
      <w:r w:rsidRPr="00240448">
        <w:rPr>
          <w:rFonts w:ascii="Calibri" w:eastAsia="Times New Roman" w:hAnsi="Calibri" w:cs="Calibri"/>
          <w:iCs/>
          <w:color w:val="002060"/>
          <w:kern w:val="0"/>
          <w14:ligatures w14:val="none"/>
        </w:rPr>
        <w:t>). No ano de 2023, a receita reconhecida nessa rubrica totalizou R$ 24.851 (R$ 22.056 em 2022), aumento de 12,7%.</w:t>
      </w:r>
    </w:p>
    <w:p w14:paraId="04226C34" w14:textId="77777777" w:rsidR="00240448" w:rsidRPr="00240448" w:rsidRDefault="00240448" w:rsidP="00240448">
      <w:pPr>
        <w:autoSpaceDE w:val="0"/>
        <w:autoSpaceDN w:val="0"/>
        <w:adjustRightInd w:val="0"/>
        <w:spacing w:after="0" w:line="240" w:lineRule="auto"/>
        <w:jc w:val="both"/>
        <w:rPr>
          <w:rFonts w:ascii="Calibri" w:eastAsia="Times New Roman" w:hAnsi="Calibri" w:cs="Calibri"/>
          <w:iCs/>
          <w:color w:val="002060"/>
          <w:kern w:val="0"/>
          <w14:ligatures w14:val="none"/>
        </w:rPr>
      </w:pPr>
      <w:r w:rsidRPr="00240448">
        <w:rPr>
          <w:rFonts w:ascii="Calibri" w:eastAsia="Times New Roman" w:hAnsi="Calibri" w:cs="Calibri"/>
          <w:iCs/>
          <w:color w:val="002060"/>
          <w:kern w:val="0"/>
          <w14:ligatures w14:val="none"/>
        </w:rPr>
        <w:t xml:space="preserve">Compartilhamento de Receitas: No exercício de 2023, a Telebras reconheceu o montante de R$ 19.640 (R$ 15.463 em 2022), aumento de 27,0%. O crescimento é explicado pelo maior volume de recursos recebidos da </w:t>
      </w:r>
      <w:proofErr w:type="spellStart"/>
      <w:r w:rsidRPr="00240448">
        <w:rPr>
          <w:rFonts w:ascii="Calibri" w:eastAsia="Times New Roman" w:hAnsi="Calibri" w:cs="Calibri"/>
          <w:iCs/>
          <w:color w:val="002060"/>
          <w:kern w:val="0"/>
          <w14:ligatures w14:val="none"/>
        </w:rPr>
        <w:t>Viasat</w:t>
      </w:r>
      <w:proofErr w:type="spellEnd"/>
      <w:r w:rsidRPr="00240448">
        <w:rPr>
          <w:rFonts w:ascii="Calibri" w:eastAsia="Times New Roman" w:hAnsi="Calibri" w:cs="Calibri"/>
          <w:iCs/>
          <w:color w:val="002060"/>
          <w:kern w:val="0"/>
          <w14:ligatures w14:val="none"/>
        </w:rPr>
        <w:t xml:space="preserve"> no período, devido ao crescimento do faturamento da empresa parceira. </w:t>
      </w:r>
    </w:p>
    <w:p w14:paraId="3911D92D" w14:textId="77777777" w:rsidR="00240448" w:rsidRPr="00240448" w:rsidRDefault="00240448" w:rsidP="00240448">
      <w:pPr>
        <w:autoSpaceDE w:val="0"/>
        <w:autoSpaceDN w:val="0"/>
        <w:adjustRightInd w:val="0"/>
        <w:spacing w:after="0" w:line="240" w:lineRule="auto"/>
        <w:jc w:val="both"/>
        <w:rPr>
          <w:rFonts w:ascii="Calibri" w:eastAsia="Times New Roman" w:hAnsi="Calibri" w:cs="Calibri"/>
          <w:iCs/>
          <w:color w:val="002060"/>
          <w:kern w:val="0"/>
          <w14:ligatures w14:val="none"/>
        </w:rPr>
      </w:pPr>
      <w:r w:rsidRPr="00240448">
        <w:rPr>
          <w:rFonts w:ascii="Calibri" w:eastAsia="Times New Roman" w:hAnsi="Calibri" w:cs="Calibri"/>
          <w:iCs/>
          <w:color w:val="002060"/>
          <w:kern w:val="0"/>
          <w14:ligatures w14:val="none"/>
        </w:rPr>
        <w:t xml:space="preserve">Serviço de Valor Adicionado (SVA): Em 2023, a Companhia reconheceu o montante de R$ 18.073 de receita de SVA relativa ao contrato de prestação de serviços firmado com o INSS </w:t>
      </w:r>
      <w:proofErr w:type="gramStart"/>
      <w:r w:rsidRPr="00240448">
        <w:rPr>
          <w:rFonts w:ascii="Calibri" w:eastAsia="Times New Roman" w:hAnsi="Calibri" w:cs="Calibri"/>
          <w:iCs/>
          <w:color w:val="002060"/>
          <w:kern w:val="0"/>
          <w14:ligatures w14:val="none"/>
        </w:rPr>
        <w:t>e também</w:t>
      </w:r>
      <w:proofErr w:type="gramEnd"/>
      <w:r w:rsidRPr="00240448">
        <w:rPr>
          <w:rFonts w:ascii="Calibri" w:eastAsia="Times New Roman" w:hAnsi="Calibri" w:cs="Calibri"/>
          <w:iCs/>
          <w:color w:val="002060"/>
          <w:kern w:val="0"/>
          <w14:ligatures w14:val="none"/>
        </w:rPr>
        <w:t xml:space="preserve"> referente à participação da Telebras na receita de serviço da </w:t>
      </w:r>
      <w:proofErr w:type="spellStart"/>
      <w:r w:rsidRPr="00240448">
        <w:rPr>
          <w:rFonts w:ascii="Calibri" w:eastAsia="Times New Roman" w:hAnsi="Calibri" w:cs="Calibri"/>
          <w:iCs/>
          <w:color w:val="002060"/>
          <w:kern w:val="0"/>
          <w14:ligatures w14:val="none"/>
        </w:rPr>
        <w:t>Viasat</w:t>
      </w:r>
      <w:proofErr w:type="spellEnd"/>
      <w:r w:rsidRPr="00240448">
        <w:rPr>
          <w:rFonts w:ascii="Calibri" w:eastAsia="Times New Roman" w:hAnsi="Calibri" w:cs="Calibri"/>
          <w:iCs/>
          <w:color w:val="002060"/>
          <w:kern w:val="0"/>
          <w14:ligatures w14:val="none"/>
        </w:rPr>
        <w:t xml:space="preserve"> sobre os serviços de disponibilização de aplicativo de acesso a livros, jornais, revistas e streamings.</w:t>
      </w:r>
    </w:p>
    <w:p w14:paraId="39D2E073" w14:textId="77777777" w:rsidR="00240448" w:rsidRPr="00240448" w:rsidRDefault="00240448" w:rsidP="00240448">
      <w:pPr>
        <w:autoSpaceDE w:val="0"/>
        <w:autoSpaceDN w:val="0"/>
        <w:adjustRightInd w:val="0"/>
        <w:spacing w:after="0" w:line="240" w:lineRule="auto"/>
        <w:jc w:val="both"/>
        <w:rPr>
          <w:rFonts w:ascii="Calibri" w:eastAsia="Times New Roman" w:hAnsi="Calibri" w:cs="Calibri"/>
          <w:iCs/>
          <w:color w:val="002060"/>
          <w:kern w:val="0"/>
          <w14:ligatures w14:val="none"/>
        </w:rPr>
      </w:pPr>
      <w:r w:rsidRPr="00240448">
        <w:rPr>
          <w:rFonts w:ascii="Calibri" w:eastAsia="Times New Roman" w:hAnsi="Calibri" w:cs="Calibri"/>
          <w:iCs/>
          <w:color w:val="002060"/>
          <w:kern w:val="0"/>
          <w14:ligatures w14:val="none"/>
        </w:rPr>
        <w:t xml:space="preserve">Outras Receitas: Representa o valor reconhecido relativo aos serviços prestados de instalação e manutenção do programa Wi-Fi Brasil. O montante reconhecido nos doze meses de 2023, foi de R$ 14.496 (R$ 6.888 nos doze meses de 2022), crescimento de 110,5% explicado pelo aumento dos pontos instalados. </w:t>
      </w:r>
    </w:p>
    <w:p w14:paraId="2324B46F" w14:textId="77777777" w:rsidR="00240448" w:rsidRPr="00240448" w:rsidRDefault="00240448" w:rsidP="00240448">
      <w:pPr>
        <w:autoSpaceDE w:val="0"/>
        <w:autoSpaceDN w:val="0"/>
        <w:adjustRightInd w:val="0"/>
        <w:spacing w:after="0" w:line="240" w:lineRule="auto"/>
        <w:jc w:val="both"/>
        <w:rPr>
          <w:rFonts w:ascii="Calibri" w:eastAsia="Times New Roman" w:hAnsi="Calibri" w:cs="Calibri"/>
          <w:iCs/>
          <w:color w:val="002060"/>
          <w:kern w:val="0"/>
          <w14:ligatures w14:val="none"/>
        </w:rPr>
      </w:pPr>
      <w:r w:rsidRPr="00240448">
        <w:rPr>
          <w:rFonts w:ascii="Calibri" w:eastAsia="Times New Roman" w:hAnsi="Calibri" w:cs="Calibri"/>
          <w:iCs/>
          <w:color w:val="002060"/>
          <w:kern w:val="0"/>
          <w14:ligatures w14:val="none"/>
        </w:rPr>
        <w:t xml:space="preserve">No exercício de 2023 e 2022, a Companhia possuía clientes (Entidades Governamentais representativas do Governo Federal), que contribuíram com mais de 10% (dez por cento) da receita operacional bruta. </w:t>
      </w:r>
    </w:p>
    <w:p w14:paraId="4DFE29EF" w14:textId="77777777" w:rsidR="00240448" w:rsidRPr="00240448" w:rsidRDefault="00240448" w:rsidP="00240448">
      <w:pPr>
        <w:autoSpaceDE w:val="0"/>
        <w:autoSpaceDN w:val="0"/>
        <w:adjustRightInd w:val="0"/>
        <w:spacing w:after="0" w:line="240" w:lineRule="auto"/>
        <w:jc w:val="both"/>
        <w:rPr>
          <w:rFonts w:ascii="Calibri" w:eastAsia="Times New Roman" w:hAnsi="Calibri" w:cs="Calibri"/>
          <w:iCs/>
          <w:color w:val="002060"/>
          <w:kern w:val="0"/>
          <w14:ligatures w14:val="none"/>
        </w:rPr>
      </w:pPr>
      <w:r w:rsidRPr="00240448">
        <w:rPr>
          <w:rFonts w:ascii="Calibri" w:eastAsia="Times New Roman" w:hAnsi="Calibri" w:cs="Calibri"/>
          <w:iCs/>
          <w:color w:val="002060"/>
          <w:kern w:val="0"/>
          <w14:ligatures w14:val="none"/>
        </w:rPr>
        <w:t>Todos os valores que compõem a receita operacional líquida integram a base para o cálculo de Imposto de Renda e Contribuição Social.</w:t>
      </w:r>
    </w:p>
    <w:p w14:paraId="2F0565DC" w14:textId="674C40B8" w:rsidR="00240448" w:rsidRPr="00240448" w:rsidRDefault="00240448" w:rsidP="00240448">
      <w:pPr>
        <w:autoSpaceDE w:val="0"/>
        <w:autoSpaceDN w:val="0"/>
        <w:adjustRightInd w:val="0"/>
        <w:spacing w:after="0" w:line="240" w:lineRule="auto"/>
        <w:jc w:val="both"/>
        <w:rPr>
          <w:rFonts w:ascii="Calibri" w:eastAsia="Times New Roman" w:hAnsi="Calibri" w:cs="Calibri"/>
          <w:b/>
          <w:bCs/>
          <w:iCs/>
          <w:color w:val="002060"/>
          <w:kern w:val="0"/>
          <w14:ligatures w14:val="none"/>
        </w:rPr>
      </w:pPr>
      <w:bookmarkStart w:id="433" w:name="_Toc491337771"/>
      <w:r>
        <w:rPr>
          <w:rFonts w:ascii="Calibri" w:eastAsia="Times New Roman" w:hAnsi="Calibri" w:cs="Calibri"/>
          <w:b/>
          <w:bCs/>
          <w:iCs/>
          <w:color w:val="002060"/>
          <w:kern w:val="0"/>
          <w14:ligatures w14:val="none"/>
        </w:rPr>
        <w:t xml:space="preserve">29. </w:t>
      </w:r>
      <w:r w:rsidRPr="00240448">
        <w:rPr>
          <w:rFonts w:ascii="Calibri" w:eastAsia="Times New Roman" w:hAnsi="Calibri" w:cs="Calibri"/>
          <w:b/>
          <w:bCs/>
          <w:iCs/>
          <w:color w:val="002060"/>
          <w:kern w:val="0"/>
          <w14:ligatures w14:val="none"/>
        </w:rPr>
        <w:t>CUSTOS/DESPESAS POR NATUREZA</w:t>
      </w:r>
      <w:bookmarkEnd w:id="433"/>
    </w:p>
    <w:p w14:paraId="07356073" w14:textId="77777777" w:rsidR="00240448" w:rsidRPr="00240448" w:rsidRDefault="00240448" w:rsidP="00240448">
      <w:pPr>
        <w:autoSpaceDE w:val="0"/>
        <w:autoSpaceDN w:val="0"/>
        <w:adjustRightInd w:val="0"/>
        <w:spacing w:after="0" w:line="240" w:lineRule="auto"/>
        <w:jc w:val="both"/>
        <w:rPr>
          <w:rFonts w:ascii="Calibri" w:eastAsia="Times New Roman" w:hAnsi="Calibri" w:cs="Calibri"/>
          <w:iCs/>
          <w:color w:val="002060"/>
          <w:kern w:val="0"/>
          <w14:ligatures w14:val="none"/>
        </w:rPr>
      </w:pPr>
      <w:r w:rsidRPr="00240448">
        <w:rPr>
          <w:rFonts w:ascii="Calibri" w:eastAsia="Times New Roman" w:hAnsi="Calibri" w:cs="Calibri"/>
          <w:iCs/>
          <w:color w:val="002060"/>
          <w:kern w:val="0"/>
          <w14:ligatures w14:val="none"/>
        </w:rPr>
        <w:t>Os custos e as despesas operacionais por natureza nos exercícios de 2023 e 2022 estão apresentados a seguir:</w:t>
      </w:r>
    </w:p>
    <w:tbl>
      <w:tblPr>
        <w:tblW w:w="5000" w:type="pct"/>
        <w:tblCellMar>
          <w:left w:w="70" w:type="dxa"/>
          <w:right w:w="70" w:type="dxa"/>
        </w:tblCellMar>
        <w:tblLook w:val="04A0" w:firstRow="1" w:lastRow="0" w:firstColumn="1" w:lastColumn="0" w:noHBand="0" w:noVBand="1"/>
      </w:tblPr>
      <w:tblGrid>
        <w:gridCol w:w="6856"/>
        <w:gridCol w:w="1400"/>
        <w:gridCol w:w="1505"/>
      </w:tblGrid>
      <w:tr w:rsidR="00240448" w:rsidRPr="00240448" w14:paraId="4730EABB" w14:textId="77777777" w:rsidTr="00446A14">
        <w:trPr>
          <w:trHeight w:val="238"/>
          <w:tblHeader/>
        </w:trPr>
        <w:tc>
          <w:tcPr>
            <w:tcW w:w="3512" w:type="pct"/>
            <w:tcBorders>
              <w:top w:val="single" w:sz="8" w:space="0" w:color="auto"/>
              <w:left w:val="single" w:sz="8" w:space="0" w:color="auto"/>
              <w:bottom w:val="nil"/>
              <w:right w:val="single" w:sz="8" w:space="0" w:color="auto"/>
            </w:tcBorders>
            <w:shd w:val="clear" w:color="000000" w:fill="D9D9D9"/>
            <w:vAlign w:val="center"/>
            <w:hideMark/>
          </w:tcPr>
          <w:p w14:paraId="7A0AD36E" w14:textId="77777777" w:rsidR="00240448" w:rsidRPr="00240448" w:rsidRDefault="00240448" w:rsidP="00240448">
            <w:pPr>
              <w:spacing w:after="0" w:line="240" w:lineRule="auto"/>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Custos dos Serviços Prestados</w:t>
            </w:r>
          </w:p>
        </w:tc>
        <w:tc>
          <w:tcPr>
            <w:tcW w:w="717" w:type="pct"/>
            <w:tcBorders>
              <w:top w:val="single" w:sz="8" w:space="0" w:color="auto"/>
              <w:left w:val="nil"/>
              <w:bottom w:val="single" w:sz="8" w:space="0" w:color="auto"/>
              <w:right w:val="single" w:sz="8" w:space="0" w:color="auto"/>
            </w:tcBorders>
            <w:shd w:val="clear" w:color="auto" w:fill="auto"/>
            <w:vAlign w:val="center"/>
            <w:hideMark/>
          </w:tcPr>
          <w:p w14:paraId="0C5E1F32" w14:textId="77777777" w:rsidR="00240448" w:rsidRPr="00240448" w:rsidRDefault="00240448" w:rsidP="00240448">
            <w:pPr>
              <w:spacing w:after="0" w:line="240" w:lineRule="auto"/>
              <w:jc w:val="center"/>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31/12/2023</w:t>
            </w:r>
          </w:p>
        </w:tc>
        <w:tc>
          <w:tcPr>
            <w:tcW w:w="771" w:type="pct"/>
            <w:tcBorders>
              <w:top w:val="single" w:sz="8" w:space="0" w:color="auto"/>
              <w:left w:val="nil"/>
              <w:bottom w:val="single" w:sz="8" w:space="0" w:color="auto"/>
              <w:right w:val="single" w:sz="8" w:space="0" w:color="auto"/>
            </w:tcBorders>
            <w:shd w:val="clear" w:color="auto" w:fill="auto"/>
            <w:vAlign w:val="center"/>
            <w:hideMark/>
          </w:tcPr>
          <w:p w14:paraId="11DF8653" w14:textId="77777777" w:rsidR="00240448" w:rsidRPr="00240448" w:rsidRDefault="00240448" w:rsidP="00240448">
            <w:pPr>
              <w:spacing w:after="0" w:line="240" w:lineRule="auto"/>
              <w:jc w:val="center"/>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31/12/2022</w:t>
            </w:r>
          </w:p>
        </w:tc>
      </w:tr>
      <w:tr w:rsidR="00240448" w:rsidRPr="00240448" w14:paraId="2CA10EC1" w14:textId="77777777" w:rsidTr="00446A14">
        <w:trPr>
          <w:trHeight w:val="238"/>
        </w:trPr>
        <w:tc>
          <w:tcPr>
            <w:tcW w:w="351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A9D3D6"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Depreciação e Amortização</w:t>
            </w:r>
          </w:p>
        </w:tc>
        <w:tc>
          <w:tcPr>
            <w:tcW w:w="717" w:type="pct"/>
            <w:tcBorders>
              <w:top w:val="nil"/>
              <w:left w:val="nil"/>
              <w:bottom w:val="single" w:sz="8" w:space="0" w:color="auto"/>
              <w:right w:val="single" w:sz="8" w:space="0" w:color="auto"/>
            </w:tcBorders>
            <w:shd w:val="clear" w:color="auto" w:fill="auto"/>
            <w:noWrap/>
            <w:vAlign w:val="center"/>
            <w:hideMark/>
          </w:tcPr>
          <w:p w14:paraId="203092A9"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(244.427)</w:t>
            </w:r>
          </w:p>
        </w:tc>
        <w:tc>
          <w:tcPr>
            <w:tcW w:w="771" w:type="pct"/>
            <w:tcBorders>
              <w:top w:val="nil"/>
              <w:left w:val="nil"/>
              <w:bottom w:val="single" w:sz="8" w:space="0" w:color="auto"/>
              <w:right w:val="single" w:sz="8" w:space="0" w:color="auto"/>
            </w:tcBorders>
            <w:shd w:val="clear" w:color="auto" w:fill="auto"/>
            <w:noWrap/>
            <w:vAlign w:val="center"/>
            <w:hideMark/>
          </w:tcPr>
          <w:p w14:paraId="02770FAD"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(233.158)</w:t>
            </w:r>
          </w:p>
        </w:tc>
      </w:tr>
      <w:tr w:rsidR="00240448" w:rsidRPr="00240448" w14:paraId="64992562" w14:textId="77777777" w:rsidTr="00446A14">
        <w:trPr>
          <w:trHeight w:val="238"/>
        </w:trPr>
        <w:tc>
          <w:tcPr>
            <w:tcW w:w="3512" w:type="pct"/>
            <w:tcBorders>
              <w:top w:val="nil"/>
              <w:left w:val="single" w:sz="8" w:space="0" w:color="auto"/>
              <w:bottom w:val="single" w:sz="8" w:space="0" w:color="auto"/>
              <w:right w:val="single" w:sz="8" w:space="0" w:color="auto"/>
            </w:tcBorders>
            <w:shd w:val="clear" w:color="auto" w:fill="auto"/>
            <w:noWrap/>
            <w:vAlign w:val="center"/>
            <w:hideMark/>
          </w:tcPr>
          <w:p w14:paraId="39BFD0B7"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Serviços de Terceiros</w:t>
            </w:r>
          </w:p>
        </w:tc>
        <w:tc>
          <w:tcPr>
            <w:tcW w:w="717" w:type="pct"/>
            <w:tcBorders>
              <w:top w:val="nil"/>
              <w:left w:val="nil"/>
              <w:bottom w:val="single" w:sz="8" w:space="0" w:color="auto"/>
              <w:right w:val="single" w:sz="8" w:space="0" w:color="auto"/>
            </w:tcBorders>
            <w:shd w:val="clear" w:color="auto" w:fill="auto"/>
            <w:noWrap/>
            <w:vAlign w:val="center"/>
            <w:hideMark/>
          </w:tcPr>
          <w:p w14:paraId="0EB6DBB8"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(143.161)</w:t>
            </w:r>
          </w:p>
        </w:tc>
        <w:tc>
          <w:tcPr>
            <w:tcW w:w="771" w:type="pct"/>
            <w:tcBorders>
              <w:top w:val="nil"/>
              <w:left w:val="nil"/>
              <w:bottom w:val="single" w:sz="8" w:space="0" w:color="auto"/>
              <w:right w:val="single" w:sz="8" w:space="0" w:color="auto"/>
            </w:tcBorders>
            <w:shd w:val="clear" w:color="auto" w:fill="auto"/>
            <w:noWrap/>
            <w:vAlign w:val="center"/>
            <w:hideMark/>
          </w:tcPr>
          <w:p w14:paraId="1817D027"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(94.432)</w:t>
            </w:r>
          </w:p>
        </w:tc>
      </w:tr>
      <w:tr w:rsidR="00240448" w:rsidRPr="00240448" w14:paraId="7840A15F" w14:textId="77777777" w:rsidTr="00446A14">
        <w:trPr>
          <w:trHeight w:val="238"/>
        </w:trPr>
        <w:tc>
          <w:tcPr>
            <w:tcW w:w="3512" w:type="pct"/>
            <w:tcBorders>
              <w:top w:val="nil"/>
              <w:left w:val="single" w:sz="8" w:space="0" w:color="auto"/>
              <w:bottom w:val="single" w:sz="8" w:space="0" w:color="auto"/>
              <w:right w:val="single" w:sz="8" w:space="0" w:color="auto"/>
            </w:tcBorders>
            <w:shd w:val="clear" w:color="auto" w:fill="auto"/>
            <w:noWrap/>
            <w:vAlign w:val="center"/>
            <w:hideMark/>
          </w:tcPr>
          <w:p w14:paraId="623C09CD"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Meios de Conexão e Transmissão</w:t>
            </w:r>
          </w:p>
        </w:tc>
        <w:tc>
          <w:tcPr>
            <w:tcW w:w="717" w:type="pct"/>
            <w:tcBorders>
              <w:top w:val="nil"/>
              <w:left w:val="nil"/>
              <w:bottom w:val="single" w:sz="8" w:space="0" w:color="auto"/>
              <w:right w:val="single" w:sz="8" w:space="0" w:color="auto"/>
            </w:tcBorders>
            <w:shd w:val="clear" w:color="auto" w:fill="auto"/>
            <w:noWrap/>
            <w:vAlign w:val="center"/>
            <w:hideMark/>
          </w:tcPr>
          <w:p w14:paraId="3450D836"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(136.851)</w:t>
            </w:r>
          </w:p>
        </w:tc>
        <w:tc>
          <w:tcPr>
            <w:tcW w:w="771" w:type="pct"/>
            <w:tcBorders>
              <w:top w:val="nil"/>
              <w:left w:val="nil"/>
              <w:bottom w:val="single" w:sz="8" w:space="0" w:color="auto"/>
              <w:right w:val="single" w:sz="8" w:space="0" w:color="auto"/>
            </w:tcBorders>
            <w:shd w:val="clear" w:color="auto" w:fill="auto"/>
            <w:noWrap/>
            <w:vAlign w:val="center"/>
            <w:hideMark/>
          </w:tcPr>
          <w:p w14:paraId="1C83682F"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(127.727)</w:t>
            </w:r>
          </w:p>
        </w:tc>
      </w:tr>
      <w:tr w:rsidR="00240448" w:rsidRPr="00240448" w14:paraId="583210E9" w14:textId="77777777" w:rsidTr="00446A14">
        <w:trPr>
          <w:trHeight w:val="238"/>
        </w:trPr>
        <w:tc>
          <w:tcPr>
            <w:tcW w:w="3512" w:type="pct"/>
            <w:tcBorders>
              <w:top w:val="nil"/>
              <w:left w:val="single" w:sz="8" w:space="0" w:color="auto"/>
              <w:bottom w:val="single" w:sz="8" w:space="0" w:color="auto"/>
              <w:right w:val="single" w:sz="8" w:space="0" w:color="auto"/>
            </w:tcBorders>
            <w:shd w:val="clear" w:color="auto" w:fill="auto"/>
            <w:noWrap/>
            <w:vAlign w:val="center"/>
            <w:hideMark/>
          </w:tcPr>
          <w:p w14:paraId="627BB298"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Aluguéis, Locações e Seguros</w:t>
            </w:r>
          </w:p>
        </w:tc>
        <w:tc>
          <w:tcPr>
            <w:tcW w:w="717" w:type="pct"/>
            <w:tcBorders>
              <w:top w:val="nil"/>
              <w:left w:val="nil"/>
              <w:bottom w:val="single" w:sz="8" w:space="0" w:color="auto"/>
              <w:right w:val="single" w:sz="8" w:space="0" w:color="auto"/>
            </w:tcBorders>
            <w:shd w:val="clear" w:color="auto" w:fill="auto"/>
            <w:noWrap/>
            <w:vAlign w:val="center"/>
            <w:hideMark/>
          </w:tcPr>
          <w:p w14:paraId="3E7F5F70"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(50.304)</w:t>
            </w:r>
          </w:p>
        </w:tc>
        <w:tc>
          <w:tcPr>
            <w:tcW w:w="771" w:type="pct"/>
            <w:tcBorders>
              <w:top w:val="nil"/>
              <w:left w:val="nil"/>
              <w:bottom w:val="single" w:sz="8" w:space="0" w:color="auto"/>
              <w:right w:val="single" w:sz="8" w:space="0" w:color="auto"/>
            </w:tcBorders>
            <w:shd w:val="clear" w:color="auto" w:fill="auto"/>
            <w:noWrap/>
            <w:vAlign w:val="center"/>
            <w:hideMark/>
          </w:tcPr>
          <w:p w14:paraId="377D2CF2"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(48.065)</w:t>
            </w:r>
          </w:p>
        </w:tc>
      </w:tr>
      <w:tr w:rsidR="00240448" w:rsidRPr="00240448" w14:paraId="6C14B6B8" w14:textId="77777777" w:rsidTr="00446A14">
        <w:trPr>
          <w:trHeight w:val="238"/>
        </w:trPr>
        <w:tc>
          <w:tcPr>
            <w:tcW w:w="3512" w:type="pct"/>
            <w:tcBorders>
              <w:top w:val="nil"/>
              <w:left w:val="single" w:sz="8" w:space="0" w:color="auto"/>
              <w:bottom w:val="single" w:sz="8" w:space="0" w:color="auto"/>
              <w:right w:val="single" w:sz="8" w:space="0" w:color="auto"/>
            </w:tcBorders>
            <w:shd w:val="clear" w:color="auto" w:fill="auto"/>
            <w:noWrap/>
            <w:vAlign w:val="center"/>
            <w:hideMark/>
          </w:tcPr>
          <w:p w14:paraId="13BFA20C"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Pessoal</w:t>
            </w:r>
          </w:p>
        </w:tc>
        <w:tc>
          <w:tcPr>
            <w:tcW w:w="717" w:type="pct"/>
            <w:tcBorders>
              <w:top w:val="nil"/>
              <w:left w:val="nil"/>
              <w:bottom w:val="single" w:sz="8" w:space="0" w:color="auto"/>
              <w:right w:val="single" w:sz="8" w:space="0" w:color="auto"/>
            </w:tcBorders>
            <w:shd w:val="clear" w:color="auto" w:fill="auto"/>
            <w:noWrap/>
            <w:vAlign w:val="center"/>
            <w:hideMark/>
          </w:tcPr>
          <w:p w14:paraId="39B87350"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(23.504)</w:t>
            </w:r>
          </w:p>
        </w:tc>
        <w:tc>
          <w:tcPr>
            <w:tcW w:w="771" w:type="pct"/>
            <w:tcBorders>
              <w:top w:val="nil"/>
              <w:left w:val="nil"/>
              <w:bottom w:val="single" w:sz="8" w:space="0" w:color="auto"/>
              <w:right w:val="single" w:sz="8" w:space="0" w:color="auto"/>
            </w:tcBorders>
            <w:shd w:val="clear" w:color="auto" w:fill="auto"/>
            <w:noWrap/>
            <w:vAlign w:val="center"/>
            <w:hideMark/>
          </w:tcPr>
          <w:p w14:paraId="742C8C71"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(20.635)</w:t>
            </w:r>
          </w:p>
        </w:tc>
      </w:tr>
      <w:tr w:rsidR="00240448" w:rsidRPr="00240448" w14:paraId="35247CB3" w14:textId="77777777" w:rsidTr="00446A14">
        <w:trPr>
          <w:trHeight w:val="238"/>
        </w:trPr>
        <w:tc>
          <w:tcPr>
            <w:tcW w:w="3512" w:type="pct"/>
            <w:tcBorders>
              <w:top w:val="nil"/>
              <w:left w:val="single" w:sz="8" w:space="0" w:color="auto"/>
              <w:bottom w:val="single" w:sz="8" w:space="0" w:color="auto"/>
              <w:right w:val="single" w:sz="8" w:space="0" w:color="auto"/>
            </w:tcBorders>
            <w:shd w:val="clear" w:color="auto" w:fill="auto"/>
            <w:noWrap/>
            <w:vAlign w:val="center"/>
            <w:hideMark/>
          </w:tcPr>
          <w:p w14:paraId="71B2B1CB"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Compartilhamento de Instalações</w:t>
            </w:r>
          </w:p>
        </w:tc>
        <w:tc>
          <w:tcPr>
            <w:tcW w:w="717" w:type="pct"/>
            <w:tcBorders>
              <w:top w:val="nil"/>
              <w:left w:val="nil"/>
              <w:bottom w:val="single" w:sz="8" w:space="0" w:color="auto"/>
              <w:right w:val="single" w:sz="8" w:space="0" w:color="auto"/>
            </w:tcBorders>
            <w:shd w:val="clear" w:color="auto" w:fill="auto"/>
            <w:noWrap/>
            <w:vAlign w:val="center"/>
            <w:hideMark/>
          </w:tcPr>
          <w:p w14:paraId="6F5BA9CF"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(5.379)</w:t>
            </w:r>
          </w:p>
        </w:tc>
        <w:tc>
          <w:tcPr>
            <w:tcW w:w="771" w:type="pct"/>
            <w:tcBorders>
              <w:top w:val="nil"/>
              <w:left w:val="nil"/>
              <w:bottom w:val="single" w:sz="8" w:space="0" w:color="auto"/>
              <w:right w:val="single" w:sz="8" w:space="0" w:color="auto"/>
            </w:tcBorders>
            <w:shd w:val="clear" w:color="auto" w:fill="auto"/>
            <w:noWrap/>
            <w:vAlign w:val="center"/>
            <w:hideMark/>
          </w:tcPr>
          <w:p w14:paraId="2A8E6E26"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(4.345)</w:t>
            </w:r>
          </w:p>
        </w:tc>
      </w:tr>
      <w:tr w:rsidR="00240448" w:rsidRPr="00240448" w14:paraId="7CF4030C" w14:textId="77777777" w:rsidTr="00446A14">
        <w:trPr>
          <w:trHeight w:val="238"/>
        </w:trPr>
        <w:tc>
          <w:tcPr>
            <w:tcW w:w="3512" w:type="pct"/>
            <w:tcBorders>
              <w:top w:val="nil"/>
              <w:left w:val="single" w:sz="8" w:space="0" w:color="auto"/>
              <w:bottom w:val="single" w:sz="8" w:space="0" w:color="auto"/>
              <w:right w:val="single" w:sz="8" w:space="0" w:color="auto"/>
            </w:tcBorders>
            <w:shd w:val="clear" w:color="auto" w:fill="auto"/>
            <w:noWrap/>
            <w:vAlign w:val="center"/>
            <w:hideMark/>
          </w:tcPr>
          <w:p w14:paraId="53D0B126"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Tributos</w:t>
            </w:r>
          </w:p>
        </w:tc>
        <w:tc>
          <w:tcPr>
            <w:tcW w:w="717" w:type="pct"/>
            <w:tcBorders>
              <w:top w:val="nil"/>
              <w:left w:val="nil"/>
              <w:bottom w:val="single" w:sz="8" w:space="0" w:color="auto"/>
              <w:right w:val="single" w:sz="8" w:space="0" w:color="auto"/>
            </w:tcBorders>
            <w:shd w:val="clear" w:color="auto" w:fill="auto"/>
            <w:noWrap/>
            <w:vAlign w:val="center"/>
            <w:hideMark/>
          </w:tcPr>
          <w:p w14:paraId="0828DBA5"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(5.158)</w:t>
            </w:r>
          </w:p>
        </w:tc>
        <w:tc>
          <w:tcPr>
            <w:tcW w:w="771" w:type="pct"/>
            <w:tcBorders>
              <w:top w:val="nil"/>
              <w:left w:val="nil"/>
              <w:bottom w:val="single" w:sz="8" w:space="0" w:color="auto"/>
              <w:right w:val="single" w:sz="8" w:space="0" w:color="auto"/>
            </w:tcBorders>
            <w:shd w:val="clear" w:color="auto" w:fill="auto"/>
            <w:noWrap/>
            <w:vAlign w:val="center"/>
            <w:hideMark/>
          </w:tcPr>
          <w:p w14:paraId="227EFE71"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(4.647)</w:t>
            </w:r>
          </w:p>
        </w:tc>
      </w:tr>
      <w:tr w:rsidR="00240448" w:rsidRPr="00240448" w14:paraId="6CCD4689" w14:textId="77777777" w:rsidTr="00446A14">
        <w:trPr>
          <w:trHeight w:val="238"/>
        </w:trPr>
        <w:tc>
          <w:tcPr>
            <w:tcW w:w="3512" w:type="pct"/>
            <w:tcBorders>
              <w:top w:val="nil"/>
              <w:left w:val="single" w:sz="8" w:space="0" w:color="auto"/>
              <w:bottom w:val="single" w:sz="8" w:space="0" w:color="auto"/>
              <w:right w:val="single" w:sz="8" w:space="0" w:color="auto"/>
            </w:tcBorders>
            <w:shd w:val="clear" w:color="auto" w:fill="auto"/>
            <w:noWrap/>
            <w:vAlign w:val="center"/>
            <w:hideMark/>
          </w:tcPr>
          <w:p w14:paraId="3825E6EF"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Material</w:t>
            </w:r>
          </w:p>
        </w:tc>
        <w:tc>
          <w:tcPr>
            <w:tcW w:w="717" w:type="pct"/>
            <w:tcBorders>
              <w:top w:val="nil"/>
              <w:left w:val="nil"/>
              <w:bottom w:val="single" w:sz="8" w:space="0" w:color="auto"/>
              <w:right w:val="single" w:sz="8" w:space="0" w:color="auto"/>
            </w:tcBorders>
            <w:shd w:val="clear" w:color="auto" w:fill="auto"/>
            <w:noWrap/>
            <w:vAlign w:val="center"/>
            <w:hideMark/>
          </w:tcPr>
          <w:p w14:paraId="2119372B"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(1.991)</w:t>
            </w:r>
          </w:p>
        </w:tc>
        <w:tc>
          <w:tcPr>
            <w:tcW w:w="771" w:type="pct"/>
            <w:tcBorders>
              <w:top w:val="nil"/>
              <w:left w:val="nil"/>
              <w:bottom w:val="single" w:sz="8" w:space="0" w:color="auto"/>
              <w:right w:val="single" w:sz="8" w:space="0" w:color="auto"/>
            </w:tcBorders>
            <w:shd w:val="clear" w:color="auto" w:fill="auto"/>
            <w:noWrap/>
            <w:vAlign w:val="center"/>
            <w:hideMark/>
          </w:tcPr>
          <w:p w14:paraId="5F662604"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(1.895)</w:t>
            </w:r>
          </w:p>
        </w:tc>
      </w:tr>
      <w:tr w:rsidR="00240448" w:rsidRPr="00240448" w14:paraId="3006ADC2" w14:textId="77777777" w:rsidTr="00446A14">
        <w:trPr>
          <w:trHeight w:val="238"/>
        </w:trPr>
        <w:tc>
          <w:tcPr>
            <w:tcW w:w="3512" w:type="pct"/>
            <w:tcBorders>
              <w:top w:val="nil"/>
              <w:left w:val="single" w:sz="8" w:space="0" w:color="auto"/>
              <w:bottom w:val="single" w:sz="8" w:space="0" w:color="auto"/>
              <w:right w:val="single" w:sz="8" w:space="0" w:color="auto"/>
            </w:tcBorders>
            <w:shd w:val="clear" w:color="auto" w:fill="auto"/>
            <w:noWrap/>
            <w:vAlign w:val="center"/>
            <w:hideMark/>
          </w:tcPr>
          <w:p w14:paraId="1A17E2DE"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lastRenderedPageBreak/>
              <w:t>Programa de Indenização por Serviços Prestados - PISP</w:t>
            </w:r>
          </w:p>
        </w:tc>
        <w:tc>
          <w:tcPr>
            <w:tcW w:w="717" w:type="pct"/>
            <w:tcBorders>
              <w:top w:val="nil"/>
              <w:left w:val="nil"/>
              <w:bottom w:val="single" w:sz="8" w:space="0" w:color="auto"/>
              <w:right w:val="single" w:sz="8" w:space="0" w:color="auto"/>
            </w:tcBorders>
            <w:shd w:val="clear" w:color="auto" w:fill="auto"/>
            <w:noWrap/>
            <w:vAlign w:val="center"/>
            <w:hideMark/>
          </w:tcPr>
          <w:p w14:paraId="2167241C"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(575)</w:t>
            </w:r>
          </w:p>
        </w:tc>
        <w:tc>
          <w:tcPr>
            <w:tcW w:w="771" w:type="pct"/>
            <w:tcBorders>
              <w:top w:val="nil"/>
              <w:left w:val="nil"/>
              <w:bottom w:val="single" w:sz="8" w:space="0" w:color="auto"/>
              <w:right w:val="single" w:sz="8" w:space="0" w:color="auto"/>
            </w:tcBorders>
            <w:shd w:val="clear" w:color="auto" w:fill="auto"/>
            <w:noWrap/>
            <w:vAlign w:val="center"/>
            <w:hideMark/>
          </w:tcPr>
          <w:p w14:paraId="0CE10843"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(408)</w:t>
            </w:r>
          </w:p>
        </w:tc>
      </w:tr>
      <w:tr w:rsidR="00240448" w:rsidRPr="00240448" w14:paraId="7BB1F270" w14:textId="77777777" w:rsidTr="00446A14">
        <w:trPr>
          <w:trHeight w:val="238"/>
        </w:trPr>
        <w:tc>
          <w:tcPr>
            <w:tcW w:w="3512" w:type="pct"/>
            <w:tcBorders>
              <w:top w:val="nil"/>
              <w:left w:val="single" w:sz="8" w:space="0" w:color="auto"/>
              <w:bottom w:val="single" w:sz="8" w:space="0" w:color="auto"/>
              <w:right w:val="single" w:sz="8" w:space="0" w:color="auto"/>
            </w:tcBorders>
            <w:shd w:val="clear" w:color="auto" w:fill="auto"/>
            <w:noWrap/>
            <w:vAlign w:val="center"/>
            <w:hideMark/>
          </w:tcPr>
          <w:p w14:paraId="0B44C6E5" w14:textId="77777777" w:rsidR="00240448" w:rsidRPr="00240448" w:rsidRDefault="00240448" w:rsidP="00240448">
            <w:pPr>
              <w:spacing w:after="0" w:line="240" w:lineRule="auto"/>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Total</w:t>
            </w:r>
          </w:p>
        </w:tc>
        <w:tc>
          <w:tcPr>
            <w:tcW w:w="717" w:type="pct"/>
            <w:tcBorders>
              <w:top w:val="nil"/>
              <w:left w:val="nil"/>
              <w:bottom w:val="single" w:sz="8" w:space="0" w:color="auto"/>
              <w:right w:val="single" w:sz="8" w:space="0" w:color="auto"/>
            </w:tcBorders>
            <w:shd w:val="clear" w:color="auto" w:fill="auto"/>
            <w:noWrap/>
            <w:vAlign w:val="center"/>
            <w:hideMark/>
          </w:tcPr>
          <w:p w14:paraId="688EE361" w14:textId="77777777" w:rsidR="00240448" w:rsidRPr="00240448" w:rsidRDefault="00240448" w:rsidP="00240448">
            <w:pPr>
              <w:spacing w:after="0" w:line="240" w:lineRule="auto"/>
              <w:jc w:val="right"/>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 xml:space="preserve">   (611.350)</w:t>
            </w:r>
          </w:p>
        </w:tc>
        <w:tc>
          <w:tcPr>
            <w:tcW w:w="771" w:type="pct"/>
            <w:tcBorders>
              <w:top w:val="nil"/>
              <w:left w:val="nil"/>
              <w:bottom w:val="single" w:sz="8" w:space="0" w:color="auto"/>
              <w:right w:val="single" w:sz="8" w:space="0" w:color="auto"/>
            </w:tcBorders>
            <w:shd w:val="clear" w:color="auto" w:fill="auto"/>
            <w:noWrap/>
            <w:vAlign w:val="center"/>
            <w:hideMark/>
          </w:tcPr>
          <w:p w14:paraId="4CB5F62D" w14:textId="77777777" w:rsidR="00240448" w:rsidRPr="00240448" w:rsidRDefault="00240448" w:rsidP="00240448">
            <w:pPr>
              <w:spacing w:after="0" w:line="240" w:lineRule="auto"/>
              <w:jc w:val="right"/>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 xml:space="preserve">     (535.312)</w:t>
            </w:r>
          </w:p>
        </w:tc>
      </w:tr>
    </w:tbl>
    <w:p w14:paraId="25C1D6BF" w14:textId="77777777" w:rsidR="00240448" w:rsidRDefault="00240448" w:rsidP="00240448">
      <w:pPr>
        <w:autoSpaceDE w:val="0"/>
        <w:autoSpaceDN w:val="0"/>
        <w:adjustRightInd w:val="0"/>
        <w:spacing w:after="0" w:line="240" w:lineRule="auto"/>
        <w:jc w:val="both"/>
        <w:rPr>
          <w:rFonts w:ascii="Calibri" w:eastAsia="Times New Roman" w:hAnsi="Calibri" w:cs="Calibri"/>
          <w:b/>
          <w:bCs/>
          <w:iCs/>
          <w:color w:val="002060"/>
          <w:kern w:val="0"/>
          <w14:ligatures w14:val="none"/>
        </w:rPr>
      </w:pPr>
    </w:p>
    <w:tbl>
      <w:tblPr>
        <w:tblW w:w="5000" w:type="pct"/>
        <w:tblCellMar>
          <w:left w:w="70" w:type="dxa"/>
          <w:right w:w="70" w:type="dxa"/>
        </w:tblCellMar>
        <w:tblLook w:val="04A0" w:firstRow="1" w:lastRow="0" w:firstColumn="1" w:lastColumn="0" w:noHBand="0" w:noVBand="1"/>
      </w:tblPr>
      <w:tblGrid>
        <w:gridCol w:w="6856"/>
        <w:gridCol w:w="1400"/>
        <w:gridCol w:w="1505"/>
      </w:tblGrid>
      <w:tr w:rsidR="00240448" w:rsidRPr="00240448" w14:paraId="5136D7C2" w14:textId="77777777" w:rsidTr="00446A14">
        <w:trPr>
          <w:trHeight w:val="238"/>
          <w:tblHeader/>
        </w:trPr>
        <w:tc>
          <w:tcPr>
            <w:tcW w:w="3512" w:type="pct"/>
            <w:tcBorders>
              <w:top w:val="single" w:sz="8" w:space="0" w:color="auto"/>
              <w:left w:val="single" w:sz="8" w:space="0" w:color="auto"/>
              <w:bottom w:val="nil"/>
              <w:right w:val="single" w:sz="8" w:space="0" w:color="auto"/>
            </w:tcBorders>
            <w:shd w:val="clear" w:color="000000" w:fill="D9D9D9"/>
            <w:vAlign w:val="center"/>
            <w:hideMark/>
          </w:tcPr>
          <w:p w14:paraId="0B4473D5" w14:textId="77777777" w:rsidR="00240448" w:rsidRPr="00240448" w:rsidRDefault="00240448" w:rsidP="00240448">
            <w:pPr>
              <w:spacing w:after="0" w:line="240" w:lineRule="auto"/>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 xml:space="preserve">Despesas Comerciais </w:t>
            </w:r>
          </w:p>
        </w:tc>
        <w:tc>
          <w:tcPr>
            <w:tcW w:w="717" w:type="pct"/>
            <w:tcBorders>
              <w:top w:val="single" w:sz="8" w:space="0" w:color="auto"/>
              <w:left w:val="nil"/>
              <w:bottom w:val="single" w:sz="8" w:space="0" w:color="auto"/>
              <w:right w:val="single" w:sz="8" w:space="0" w:color="auto"/>
            </w:tcBorders>
            <w:shd w:val="clear" w:color="auto" w:fill="auto"/>
            <w:vAlign w:val="center"/>
            <w:hideMark/>
          </w:tcPr>
          <w:p w14:paraId="5C1C5E5C" w14:textId="77777777" w:rsidR="00240448" w:rsidRPr="00240448" w:rsidRDefault="00240448" w:rsidP="00240448">
            <w:pPr>
              <w:spacing w:after="0" w:line="240" w:lineRule="auto"/>
              <w:jc w:val="center"/>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31/12/2023</w:t>
            </w:r>
          </w:p>
        </w:tc>
        <w:tc>
          <w:tcPr>
            <w:tcW w:w="771" w:type="pct"/>
            <w:tcBorders>
              <w:top w:val="single" w:sz="8" w:space="0" w:color="auto"/>
              <w:left w:val="nil"/>
              <w:bottom w:val="single" w:sz="8" w:space="0" w:color="auto"/>
              <w:right w:val="single" w:sz="8" w:space="0" w:color="auto"/>
            </w:tcBorders>
            <w:shd w:val="clear" w:color="auto" w:fill="auto"/>
            <w:vAlign w:val="center"/>
            <w:hideMark/>
          </w:tcPr>
          <w:p w14:paraId="475CE12A" w14:textId="77777777" w:rsidR="00240448" w:rsidRPr="00240448" w:rsidRDefault="00240448" w:rsidP="00240448">
            <w:pPr>
              <w:spacing w:after="0" w:line="240" w:lineRule="auto"/>
              <w:jc w:val="center"/>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31/12/2022</w:t>
            </w:r>
          </w:p>
        </w:tc>
      </w:tr>
      <w:tr w:rsidR="00240448" w:rsidRPr="00240448" w14:paraId="1806DB30" w14:textId="77777777" w:rsidTr="00446A14">
        <w:trPr>
          <w:trHeight w:val="238"/>
        </w:trPr>
        <w:tc>
          <w:tcPr>
            <w:tcW w:w="351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FFFC9A"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Pessoal</w:t>
            </w:r>
          </w:p>
        </w:tc>
        <w:tc>
          <w:tcPr>
            <w:tcW w:w="717" w:type="pct"/>
            <w:tcBorders>
              <w:top w:val="nil"/>
              <w:left w:val="nil"/>
              <w:bottom w:val="single" w:sz="8" w:space="0" w:color="auto"/>
              <w:right w:val="single" w:sz="8" w:space="0" w:color="auto"/>
            </w:tcBorders>
            <w:shd w:val="clear" w:color="auto" w:fill="auto"/>
            <w:noWrap/>
            <w:vAlign w:val="center"/>
            <w:hideMark/>
          </w:tcPr>
          <w:p w14:paraId="5A8A7297"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(21.037)</w:t>
            </w:r>
          </w:p>
        </w:tc>
        <w:tc>
          <w:tcPr>
            <w:tcW w:w="771" w:type="pct"/>
            <w:tcBorders>
              <w:top w:val="nil"/>
              <w:left w:val="nil"/>
              <w:bottom w:val="single" w:sz="8" w:space="0" w:color="auto"/>
              <w:right w:val="single" w:sz="8" w:space="0" w:color="auto"/>
            </w:tcBorders>
            <w:shd w:val="clear" w:color="auto" w:fill="auto"/>
            <w:noWrap/>
            <w:vAlign w:val="center"/>
            <w:hideMark/>
          </w:tcPr>
          <w:p w14:paraId="0C5AF21C"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(19.482)</w:t>
            </w:r>
          </w:p>
        </w:tc>
      </w:tr>
      <w:tr w:rsidR="00240448" w:rsidRPr="00240448" w14:paraId="4FF12E0C" w14:textId="77777777" w:rsidTr="00446A14">
        <w:trPr>
          <w:trHeight w:val="238"/>
        </w:trPr>
        <w:tc>
          <w:tcPr>
            <w:tcW w:w="3512" w:type="pct"/>
            <w:tcBorders>
              <w:top w:val="nil"/>
              <w:left w:val="single" w:sz="8" w:space="0" w:color="auto"/>
              <w:bottom w:val="single" w:sz="8" w:space="0" w:color="auto"/>
              <w:right w:val="single" w:sz="8" w:space="0" w:color="auto"/>
            </w:tcBorders>
            <w:shd w:val="clear" w:color="auto" w:fill="auto"/>
            <w:noWrap/>
            <w:vAlign w:val="center"/>
            <w:hideMark/>
          </w:tcPr>
          <w:p w14:paraId="5A13910F"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Serviços de Terceiros</w:t>
            </w:r>
          </w:p>
        </w:tc>
        <w:tc>
          <w:tcPr>
            <w:tcW w:w="717" w:type="pct"/>
            <w:tcBorders>
              <w:top w:val="nil"/>
              <w:left w:val="nil"/>
              <w:bottom w:val="single" w:sz="8" w:space="0" w:color="auto"/>
              <w:right w:val="single" w:sz="8" w:space="0" w:color="auto"/>
            </w:tcBorders>
            <w:shd w:val="clear" w:color="auto" w:fill="auto"/>
            <w:noWrap/>
            <w:vAlign w:val="center"/>
            <w:hideMark/>
          </w:tcPr>
          <w:p w14:paraId="3BB0D75F"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(2.382)</w:t>
            </w:r>
          </w:p>
        </w:tc>
        <w:tc>
          <w:tcPr>
            <w:tcW w:w="771" w:type="pct"/>
            <w:tcBorders>
              <w:top w:val="nil"/>
              <w:left w:val="nil"/>
              <w:bottom w:val="single" w:sz="8" w:space="0" w:color="auto"/>
              <w:right w:val="single" w:sz="8" w:space="0" w:color="auto"/>
            </w:tcBorders>
            <w:shd w:val="clear" w:color="auto" w:fill="auto"/>
            <w:noWrap/>
            <w:vAlign w:val="center"/>
            <w:hideMark/>
          </w:tcPr>
          <w:p w14:paraId="0A433912"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(2.014)</w:t>
            </w:r>
          </w:p>
        </w:tc>
      </w:tr>
      <w:tr w:rsidR="00240448" w:rsidRPr="00240448" w14:paraId="3C22888F" w14:textId="77777777" w:rsidTr="00446A14">
        <w:trPr>
          <w:trHeight w:val="238"/>
        </w:trPr>
        <w:tc>
          <w:tcPr>
            <w:tcW w:w="3512" w:type="pct"/>
            <w:tcBorders>
              <w:top w:val="nil"/>
              <w:left w:val="single" w:sz="8" w:space="0" w:color="auto"/>
              <w:bottom w:val="single" w:sz="8" w:space="0" w:color="auto"/>
              <w:right w:val="single" w:sz="8" w:space="0" w:color="auto"/>
            </w:tcBorders>
            <w:shd w:val="clear" w:color="auto" w:fill="auto"/>
            <w:noWrap/>
            <w:vAlign w:val="center"/>
            <w:hideMark/>
          </w:tcPr>
          <w:p w14:paraId="72805946"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Perdas Estimadas com Crédito de Liquidação Duvidosa</w:t>
            </w:r>
          </w:p>
        </w:tc>
        <w:tc>
          <w:tcPr>
            <w:tcW w:w="717" w:type="pct"/>
            <w:tcBorders>
              <w:top w:val="nil"/>
              <w:left w:val="nil"/>
              <w:bottom w:val="single" w:sz="8" w:space="0" w:color="auto"/>
              <w:right w:val="single" w:sz="8" w:space="0" w:color="auto"/>
            </w:tcBorders>
            <w:shd w:val="clear" w:color="auto" w:fill="auto"/>
            <w:noWrap/>
            <w:vAlign w:val="center"/>
            <w:hideMark/>
          </w:tcPr>
          <w:p w14:paraId="40EDC73E"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(1.314)</w:t>
            </w:r>
          </w:p>
        </w:tc>
        <w:tc>
          <w:tcPr>
            <w:tcW w:w="771" w:type="pct"/>
            <w:tcBorders>
              <w:top w:val="nil"/>
              <w:left w:val="nil"/>
              <w:bottom w:val="single" w:sz="8" w:space="0" w:color="auto"/>
              <w:right w:val="single" w:sz="8" w:space="0" w:color="auto"/>
            </w:tcBorders>
            <w:shd w:val="clear" w:color="auto" w:fill="auto"/>
            <w:noWrap/>
            <w:vAlign w:val="center"/>
            <w:hideMark/>
          </w:tcPr>
          <w:p w14:paraId="7D017641"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1.042 </w:t>
            </w:r>
          </w:p>
        </w:tc>
      </w:tr>
      <w:tr w:rsidR="00240448" w:rsidRPr="00240448" w14:paraId="7F0705E6" w14:textId="77777777" w:rsidTr="00446A14">
        <w:trPr>
          <w:trHeight w:val="238"/>
        </w:trPr>
        <w:tc>
          <w:tcPr>
            <w:tcW w:w="3512" w:type="pct"/>
            <w:tcBorders>
              <w:top w:val="nil"/>
              <w:left w:val="single" w:sz="8" w:space="0" w:color="auto"/>
              <w:bottom w:val="single" w:sz="8" w:space="0" w:color="auto"/>
              <w:right w:val="single" w:sz="8" w:space="0" w:color="auto"/>
            </w:tcBorders>
            <w:shd w:val="clear" w:color="auto" w:fill="auto"/>
            <w:noWrap/>
            <w:vAlign w:val="center"/>
            <w:hideMark/>
          </w:tcPr>
          <w:p w14:paraId="13DDB3FD"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Depreciação e Amortização</w:t>
            </w:r>
          </w:p>
        </w:tc>
        <w:tc>
          <w:tcPr>
            <w:tcW w:w="717" w:type="pct"/>
            <w:tcBorders>
              <w:top w:val="nil"/>
              <w:left w:val="nil"/>
              <w:bottom w:val="single" w:sz="8" w:space="0" w:color="auto"/>
              <w:right w:val="single" w:sz="8" w:space="0" w:color="auto"/>
            </w:tcBorders>
            <w:shd w:val="clear" w:color="auto" w:fill="auto"/>
            <w:noWrap/>
            <w:vAlign w:val="center"/>
            <w:hideMark/>
          </w:tcPr>
          <w:p w14:paraId="3B4EA2D0"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(379)</w:t>
            </w:r>
          </w:p>
        </w:tc>
        <w:tc>
          <w:tcPr>
            <w:tcW w:w="771" w:type="pct"/>
            <w:tcBorders>
              <w:top w:val="nil"/>
              <w:left w:val="nil"/>
              <w:bottom w:val="single" w:sz="8" w:space="0" w:color="auto"/>
              <w:right w:val="single" w:sz="8" w:space="0" w:color="auto"/>
            </w:tcBorders>
            <w:shd w:val="clear" w:color="auto" w:fill="auto"/>
            <w:noWrap/>
            <w:vAlign w:val="center"/>
            <w:hideMark/>
          </w:tcPr>
          <w:p w14:paraId="52C8DE5A"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(436)</w:t>
            </w:r>
          </w:p>
        </w:tc>
      </w:tr>
      <w:tr w:rsidR="00240448" w:rsidRPr="00240448" w14:paraId="7D132C8F" w14:textId="77777777" w:rsidTr="00446A14">
        <w:trPr>
          <w:trHeight w:val="238"/>
        </w:trPr>
        <w:tc>
          <w:tcPr>
            <w:tcW w:w="3512" w:type="pct"/>
            <w:tcBorders>
              <w:top w:val="nil"/>
              <w:left w:val="single" w:sz="8" w:space="0" w:color="auto"/>
              <w:bottom w:val="single" w:sz="8" w:space="0" w:color="auto"/>
              <w:right w:val="single" w:sz="8" w:space="0" w:color="auto"/>
            </w:tcBorders>
            <w:shd w:val="clear" w:color="auto" w:fill="auto"/>
            <w:noWrap/>
            <w:vAlign w:val="center"/>
            <w:hideMark/>
          </w:tcPr>
          <w:p w14:paraId="4B7A3546"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Aluguéis, Locações e Seguros</w:t>
            </w:r>
          </w:p>
        </w:tc>
        <w:tc>
          <w:tcPr>
            <w:tcW w:w="717" w:type="pct"/>
            <w:tcBorders>
              <w:top w:val="nil"/>
              <w:left w:val="nil"/>
              <w:bottom w:val="single" w:sz="8" w:space="0" w:color="auto"/>
              <w:right w:val="single" w:sz="8" w:space="0" w:color="auto"/>
            </w:tcBorders>
            <w:shd w:val="clear" w:color="auto" w:fill="auto"/>
            <w:noWrap/>
            <w:vAlign w:val="center"/>
            <w:hideMark/>
          </w:tcPr>
          <w:p w14:paraId="2A5AADDA"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(175)</w:t>
            </w:r>
          </w:p>
        </w:tc>
        <w:tc>
          <w:tcPr>
            <w:tcW w:w="771" w:type="pct"/>
            <w:tcBorders>
              <w:top w:val="nil"/>
              <w:left w:val="nil"/>
              <w:bottom w:val="single" w:sz="8" w:space="0" w:color="auto"/>
              <w:right w:val="single" w:sz="8" w:space="0" w:color="auto"/>
            </w:tcBorders>
            <w:shd w:val="clear" w:color="auto" w:fill="auto"/>
            <w:noWrap/>
            <w:vAlign w:val="center"/>
            <w:hideMark/>
          </w:tcPr>
          <w:p w14:paraId="73CC3B7D"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(118)</w:t>
            </w:r>
          </w:p>
        </w:tc>
      </w:tr>
      <w:tr w:rsidR="00240448" w:rsidRPr="00240448" w14:paraId="6B27DD8F" w14:textId="77777777" w:rsidTr="00446A14">
        <w:trPr>
          <w:trHeight w:val="238"/>
        </w:trPr>
        <w:tc>
          <w:tcPr>
            <w:tcW w:w="3512" w:type="pct"/>
            <w:tcBorders>
              <w:top w:val="nil"/>
              <w:left w:val="single" w:sz="8" w:space="0" w:color="auto"/>
              <w:bottom w:val="single" w:sz="8" w:space="0" w:color="auto"/>
              <w:right w:val="single" w:sz="8" w:space="0" w:color="auto"/>
            </w:tcBorders>
            <w:shd w:val="clear" w:color="auto" w:fill="auto"/>
            <w:noWrap/>
            <w:vAlign w:val="center"/>
            <w:hideMark/>
          </w:tcPr>
          <w:p w14:paraId="63A1576B"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Programa de Indenização por Serviços Prestados - PISP</w:t>
            </w:r>
          </w:p>
        </w:tc>
        <w:tc>
          <w:tcPr>
            <w:tcW w:w="717" w:type="pct"/>
            <w:tcBorders>
              <w:top w:val="nil"/>
              <w:left w:val="nil"/>
              <w:bottom w:val="single" w:sz="8" w:space="0" w:color="auto"/>
              <w:right w:val="single" w:sz="8" w:space="0" w:color="auto"/>
            </w:tcBorders>
            <w:shd w:val="clear" w:color="auto" w:fill="auto"/>
            <w:noWrap/>
            <w:vAlign w:val="center"/>
            <w:hideMark/>
          </w:tcPr>
          <w:p w14:paraId="3FA38C3F"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(143)</w:t>
            </w:r>
          </w:p>
        </w:tc>
        <w:tc>
          <w:tcPr>
            <w:tcW w:w="771" w:type="pct"/>
            <w:tcBorders>
              <w:top w:val="nil"/>
              <w:left w:val="nil"/>
              <w:bottom w:val="single" w:sz="8" w:space="0" w:color="auto"/>
              <w:right w:val="single" w:sz="8" w:space="0" w:color="auto"/>
            </w:tcBorders>
            <w:shd w:val="clear" w:color="auto" w:fill="auto"/>
            <w:noWrap/>
            <w:vAlign w:val="center"/>
            <w:hideMark/>
          </w:tcPr>
          <w:p w14:paraId="004827B4"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(204)</w:t>
            </w:r>
          </w:p>
        </w:tc>
      </w:tr>
      <w:tr w:rsidR="00240448" w:rsidRPr="00240448" w14:paraId="0B0817DD" w14:textId="77777777" w:rsidTr="00446A14">
        <w:trPr>
          <w:trHeight w:val="238"/>
        </w:trPr>
        <w:tc>
          <w:tcPr>
            <w:tcW w:w="3512" w:type="pct"/>
            <w:tcBorders>
              <w:top w:val="nil"/>
              <w:left w:val="single" w:sz="8" w:space="0" w:color="auto"/>
              <w:bottom w:val="single" w:sz="8" w:space="0" w:color="auto"/>
              <w:right w:val="single" w:sz="8" w:space="0" w:color="auto"/>
            </w:tcBorders>
            <w:shd w:val="clear" w:color="auto" w:fill="auto"/>
            <w:noWrap/>
            <w:vAlign w:val="center"/>
            <w:hideMark/>
          </w:tcPr>
          <w:p w14:paraId="736BA77D"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Material</w:t>
            </w:r>
          </w:p>
        </w:tc>
        <w:tc>
          <w:tcPr>
            <w:tcW w:w="717" w:type="pct"/>
            <w:tcBorders>
              <w:top w:val="nil"/>
              <w:left w:val="nil"/>
              <w:bottom w:val="single" w:sz="8" w:space="0" w:color="auto"/>
              <w:right w:val="single" w:sz="8" w:space="0" w:color="auto"/>
            </w:tcBorders>
            <w:shd w:val="clear" w:color="auto" w:fill="auto"/>
            <w:noWrap/>
            <w:vAlign w:val="center"/>
            <w:hideMark/>
          </w:tcPr>
          <w:p w14:paraId="04056E42"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(94)</w:t>
            </w:r>
          </w:p>
        </w:tc>
        <w:tc>
          <w:tcPr>
            <w:tcW w:w="771" w:type="pct"/>
            <w:tcBorders>
              <w:top w:val="nil"/>
              <w:left w:val="nil"/>
              <w:bottom w:val="single" w:sz="8" w:space="0" w:color="auto"/>
              <w:right w:val="single" w:sz="8" w:space="0" w:color="auto"/>
            </w:tcBorders>
            <w:shd w:val="clear" w:color="auto" w:fill="auto"/>
            <w:noWrap/>
            <w:vAlign w:val="center"/>
            <w:hideMark/>
          </w:tcPr>
          <w:p w14:paraId="5F639997"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   </w:t>
            </w:r>
          </w:p>
        </w:tc>
      </w:tr>
      <w:tr w:rsidR="00240448" w:rsidRPr="00240448" w14:paraId="31F5703D" w14:textId="77777777" w:rsidTr="00446A14">
        <w:trPr>
          <w:trHeight w:val="238"/>
        </w:trPr>
        <w:tc>
          <w:tcPr>
            <w:tcW w:w="3512" w:type="pct"/>
            <w:tcBorders>
              <w:top w:val="nil"/>
              <w:left w:val="single" w:sz="8" w:space="0" w:color="auto"/>
              <w:bottom w:val="single" w:sz="8" w:space="0" w:color="auto"/>
              <w:right w:val="single" w:sz="8" w:space="0" w:color="auto"/>
            </w:tcBorders>
            <w:shd w:val="clear" w:color="auto" w:fill="auto"/>
            <w:noWrap/>
            <w:vAlign w:val="center"/>
            <w:hideMark/>
          </w:tcPr>
          <w:p w14:paraId="5088433D"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Tributos</w:t>
            </w:r>
          </w:p>
        </w:tc>
        <w:tc>
          <w:tcPr>
            <w:tcW w:w="717" w:type="pct"/>
            <w:tcBorders>
              <w:top w:val="nil"/>
              <w:left w:val="nil"/>
              <w:bottom w:val="single" w:sz="8" w:space="0" w:color="auto"/>
              <w:right w:val="single" w:sz="8" w:space="0" w:color="auto"/>
            </w:tcBorders>
            <w:shd w:val="clear" w:color="auto" w:fill="auto"/>
            <w:noWrap/>
            <w:vAlign w:val="center"/>
            <w:hideMark/>
          </w:tcPr>
          <w:p w14:paraId="16885FB7"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(4)</w:t>
            </w:r>
          </w:p>
        </w:tc>
        <w:tc>
          <w:tcPr>
            <w:tcW w:w="771" w:type="pct"/>
            <w:tcBorders>
              <w:top w:val="nil"/>
              <w:left w:val="nil"/>
              <w:bottom w:val="single" w:sz="8" w:space="0" w:color="auto"/>
              <w:right w:val="single" w:sz="8" w:space="0" w:color="auto"/>
            </w:tcBorders>
            <w:shd w:val="clear" w:color="auto" w:fill="auto"/>
            <w:noWrap/>
            <w:vAlign w:val="center"/>
            <w:hideMark/>
          </w:tcPr>
          <w:p w14:paraId="08CCC02F"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(4)</w:t>
            </w:r>
          </w:p>
        </w:tc>
      </w:tr>
      <w:tr w:rsidR="00240448" w:rsidRPr="00240448" w14:paraId="0DCAAB56" w14:textId="77777777" w:rsidTr="00446A14">
        <w:trPr>
          <w:trHeight w:val="238"/>
        </w:trPr>
        <w:tc>
          <w:tcPr>
            <w:tcW w:w="3512" w:type="pct"/>
            <w:tcBorders>
              <w:top w:val="nil"/>
              <w:left w:val="single" w:sz="8" w:space="0" w:color="auto"/>
              <w:bottom w:val="single" w:sz="8" w:space="0" w:color="auto"/>
              <w:right w:val="single" w:sz="8" w:space="0" w:color="auto"/>
            </w:tcBorders>
            <w:shd w:val="clear" w:color="auto" w:fill="auto"/>
            <w:noWrap/>
            <w:vAlign w:val="center"/>
            <w:hideMark/>
          </w:tcPr>
          <w:p w14:paraId="2FDFB199" w14:textId="77777777" w:rsidR="00240448" w:rsidRPr="00240448" w:rsidRDefault="00240448" w:rsidP="00240448">
            <w:pPr>
              <w:spacing w:after="0" w:line="240" w:lineRule="auto"/>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Total</w:t>
            </w:r>
          </w:p>
        </w:tc>
        <w:tc>
          <w:tcPr>
            <w:tcW w:w="717" w:type="pct"/>
            <w:tcBorders>
              <w:top w:val="nil"/>
              <w:left w:val="nil"/>
              <w:bottom w:val="single" w:sz="8" w:space="0" w:color="auto"/>
              <w:right w:val="single" w:sz="8" w:space="0" w:color="auto"/>
            </w:tcBorders>
            <w:shd w:val="clear" w:color="auto" w:fill="auto"/>
            <w:noWrap/>
            <w:vAlign w:val="center"/>
            <w:hideMark/>
          </w:tcPr>
          <w:p w14:paraId="33AD0177" w14:textId="77777777" w:rsidR="00240448" w:rsidRPr="00240448" w:rsidRDefault="00240448" w:rsidP="00240448">
            <w:pPr>
              <w:spacing w:after="0" w:line="240" w:lineRule="auto"/>
              <w:jc w:val="right"/>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 xml:space="preserve">     (25.528)</w:t>
            </w:r>
          </w:p>
        </w:tc>
        <w:tc>
          <w:tcPr>
            <w:tcW w:w="771" w:type="pct"/>
            <w:tcBorders>
              <w:top w:val="nil"/>
              <w:left w:val="nil"/>
              <w:bottom w:val="single" w:sz="8" w:space="0" w:color="auto"/>
              <w:right w:val="single" w:sz="8" w:space="0" w:color="auto"/>
            </w:tcBorders>
            <w:shd w:val="clear" w:color="auto" w:fill="auto"/>
            <w:noWrap/>
            <w:vAlign w:val="center"/>
            <w:hideMark/>
          </w:tcPr>
          <w:p w14:paraId="0F1E05A1" w14:textId="77777777" w:rsidR="00240448" w:rsidRPr="00240448" w:rsidRDefault="00240448" w:rsidP="00240448">
            <w:pPr>
              <w:spacing w:after="0" w:line="240" w:lineRule="auto"/>
              <w:jc w:val="right"/>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 xml:space="preserve">       (21.216)</w:t>
            </w:r>
          </w:p>
        </w:tc>
      </w:tr>
    </w:tbl>
    <w:p w14:paraId="7FFC4087" w14:textId="77777777" w:rsidR="00240448" w:rsidRDefault="00240448" w:rsidP="00240448">
      <w:pPr>
        <w:autoSpaceDE w:val="0"/>
        <w:autoSpaceDN w:val="0"/>
        <w:adjustRightInd w:val="0"/>
        <w:spacing w:after="0" w:line="240" w:lineRule="auto"/>
        <w:jc w:val="both"/>
        <w:rPr>
          <w:rFonts w:ascii="Calibri" w:eastAsia="Times New Roman" w:hAnsi="Calibri" w:cs="Calibri"/>
          <w:b/>
          <w:bCs/>
          <w:iCs/>
          <w:color w:val="002060"/>
          <w:kern w:val="0"/>
          <w14:ligatures w14:val="none"/>
        </w:rPr>
      </w:pPr>
    </w:p>
    <w:tbl>
      <w:tblPr>
        <w:tblW w:w="5000" w:type="pct"/>
        <w:tblCellMar>
          <w:left w:w="70" w:type="dxa"/>
          <w:right w:w="70" w:type="dxa"/>
        </w:tblCellMar>
        <w:tblLook w:val="04A0" w:firstRow="1" w:lastRow="0" w:firstColumn="1" w:lastColumn="0" w:noHBand="0" w:noVBand="1"/>
      </w:tblPr>
      <w:tblGrid>
        <w:gridCol w:w="6856"/>
        <w:gridCol w:w="1400"/>
        <w:gridCol w:w="1505"/>
      </w:tblGrid>
      <w:tr w:rsidR="00240448" w:rsidRPr="00240448" w14:paraId="5B698349" w14:textId="77777777" w:rsidTr="00446A14">
        <w:trPr>
          <w:trHeight w:val="238"/>
          <w:tblHeader/>
        </w:trPr>
        <w:tc>
          <w:tcPr>
            <w:tcW w:w="3512" w:type="pct"/>
            <w:tcBorders>
              <w:top w:val="single" w:sz="8" w:space="0" w:color="auto"/>
              <w:left w:val="single" w:sz="8" w:space="0" w:color="auto"/>
              <w:bottom w:val="nil"/>
              <w:right w:val="single" w:sz="8" w:space="0" w:color="auto"/>
            </w:tcBorders>
            <w:shd w:val="clear" w:color="000000" w:fill="D9D9D9"/>
            <w:vAlign w:val="center"/>
            <w:hideMark/>
          </w:tcPr>
          <w:p w14:paraId="0BAE235B" w14:textId="77777777" w:rsidR="00240448" w:rsidRPr="00240448" w:rsidRDefault="00240448" w:rsidP="00240448">
            <w:pPr>
              <w:spacing w:after="0" w:line="240" w:lineRule="auto"/>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Despesas Gerais e Administrativas</w:t>
            </w:r>
          </w:p>
        </w:tc>
        <w:tc>
          <w:tcPr>
            <w:tcW w:w="717" w:type="pct"/>
            <w:tcBorders>
              <w:top w:val="single" w:sz="8" w:space="0" w:color="auto"/>
              <w:left w:val="nil"/>
              <w:bottom w:val="single" w:sz="8" w:space="0" w:color="auto"/>
              <w:right w:val="single" w:sz="8" w:space="0" w:color="auto"/>
            </w:tcBorders>
            <w:shd w:val="clear" w:color="auto" w:fill="auto"/>
            <w:vAlign w:val="center"/>
            <w:hideMark/>
          </w:tcPr>
          <w:p w14:paraId="328F152E" w14:textId="77777777" w:rsidR="00240448" w:rsidRPr="00240448" w:rsidRDefault="00240448" w:rsidP="00240448">
            <w:pPr>
              <w:spacing w:after="0" w:line="240" w:lineRule="auto"/>
              <w:jc w:val="center"/>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31/12/2023</w:t>
            </w:r>
          </w:p>
        </w:tc>
        <w:tc>
          <w:tcPr>
            <w:tcW w:w="771" w:type="pct"/>
            <w:tcBorders>
              <w:top w:val="single" w:sz="8" w:space="0" w:color="auto"/>
              <w:left w:val="nil"/>
              <w:bottom w:val="single" w:sz="8" w:space="0" w:color="auto"/>
              <w:right w:val="single" w:sz="8" w:space="0" w:color="auto"/>
            </w:tcBorders>
            <w:shd w:val="clear" w:color="auto" w:fill="auto"/>
            <w:vAlign w:val="center"/>
            <w:hideMark/>
          </w:tcPr>
          <w:p w14:paraId="362C4540" w14:textId="77777777" w:rsidR="00240448" w:rsidRPr="00240448" w:rsidRDefault="00240448" w:rsidP="00240448">
            <w:pPr>
              <w:spacing w:after="0" w:line="240" w:lineRule="auto"/>
              <w:jc w:val="center"/>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31/12/2022</w:t>
            </w:r>
          </w:p>
        </w:tc>
      </w:tr>
      <w:tr w:rsidR="00240448" w:rsidRPr="00240448" w14:paraId="153F1A41" w14:textId="77777777" w:rsidTr="00446A14">
        <w:trPr>
          <w:trHeight w:val="238"/>
        </w:trPr>
        <w:tc>
          <w:tcPr>
            <w:tcW w:w="351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DE7BF4"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Pessoal</w:t>
            </w:r>
          </w:p>
        </w:tc>
        <w:tc>
          <w:tcPr>
            <w:tcW w:w="717" w:type="pct"/>
            <w:tcBorders>
              <w:top w:val="nil"/>
              <w:left w:val="nil"/>
              <w:bottom w:val="single" w:sz="8" w:space="0" w:color="auto"/>
              <w:right w:val="single" w:sz="8" w:space="0" w:color="auto"/>
            </w:tcBorders>
            <w:shd w:val="clear" w:color="auto" w:fill="auto"/>
            <w:noWrap/>
            <w:vAlign w:val="center"/>
            <w:hideMark/>
          </w:tcPr>
          <w:p w14:paraId="67464A2E"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(62.367)</w:t>
            </w:r>
          </w:p>
        </w:tc>
        <w:tc>
          <w:tcPr>
            <w:tcW w:w="771" w:type="pct"/>
            <w:tcBorders>
              <w:top w:val="nil"/>
              <w:left w:val="nil"/>
              <w:bottom w:val="single" w:sz="8" w:space="0" w:color="auto"/>
              <w:right w:val="single" w:sz="8" w:space="0" w:color="auto"/>
            </w:tcBorders>
            <w:shd w:val="clear" w:color="auto" w:fill="auto"/>
            <w:noWrap/>
            <w:vAlign w:val="center"/>
            <w:hideMark/>
          </w:tcPr>
          <w:p w14:paraId="0E98C15F"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(57.012)</w:t>
            </w:r>
          </w:p>
        </w:tc>
      </w:tr>
      <w:tr w:rsidR="00240448" w:rsidRPr="00240448" w14:paraId="425C9CA3" w14:textId="77777777" w:rsidTr="00446A14">
        <w:trPr>
          <w:trHeight w:val="238"/>
        </w:trPr>
        <w:tc>
          <w:tcPr>
            <w:tcW w:w="3512" w:type="pct"/>
            <w:tcBorders>
              <w:top w:val="nil"/>
              <w:left w:val="single" w:sz="8" w:space="0" w:color="auto"/>
              <w:bottom w:val="single" w:sz="8" w:space="0" w:color="auto"/>
              <w:right w:val="single" w:sz="8" w:space="0" w:color="auto"/>
            </w:tcBorders>
            <w:shd w:val="clear" w:color="auto" w:fill="auto"/>
            <w:noWrap/>
            <w:vAlign w:val="center"/>
            <w:hideMark/>
          </w:tcPr>
          <w:p w14:paraId="30DEE0B1"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Serviços de Terceiros</w:t>
            </w:r>
          </w:p>
        </w:tc>
        <w:tc>
          <w:tcPr>
            <w:tcW w:w="717" w:type="pct"/>
            <w:tcBorders>
              <w:top w:val="nil"/>
              <w:left w:val="nil"/>
              <w:bottom w:val="single" w:sz="8" w:space="0" w:color="auto"/>
              <w:right w:val="single" w:sz="8" w:space="0" w:color="auto"/>
            </w:tcBorders>
            <w:shd w:val="clear" w:color="auto" w:fill="auto"/>
            <w:noWrap/>
            <w:vAlign w:val="center"/>
            <w:hideMark/>
          </w:tcPr>
          <w:p w14:paraId="715EBF2A"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(14.027)</w:t>
            </w:r>
          </w:p>
        </w:tc>
        <w:tc>
          <w:tcPr>
            <w:tcW w:w="771" w:type="pct"/>
            <w:tcBorders>
              <w:top w:val="nil"/>
              <w:left w:val="nil"/>
              <w:bottom w:val="single" w:sz="8" w:space="0" w:color="auto"/>
              <w:right w:val="single" w:sz="8" w:space="0" w:color="auto"/>
            </w:tcBorders>
            <w:shd w:val="clear" w:color="auto" w:fill="auto"/>
            <w:noWrap/>
            <w:vAlign w:val="center"/>
            <w:hideMark/>
          </w:tcPr>
          <w:p w14:paraId="5AD8986E"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(12.719)</w:t>
            </w:r>
          </w:p>
        </w:tc>
      </w:tr>
      <w:tr w:rsidR="00240448" w:rsidRPr="00240448" w14:paraId="037B00FF" w14:textId="77777777" w:rsidTr="00446A14">
        <w:trPr>
          <w:trHeight w:val="238"/>
        </w:trPr>
        <w:tc>
          <w:tcPr>
            <w:tcW w:w="3512" w:type="pct"/>
            <w:tcBorders>
              <w:top w:val="nil"/>
              <w:left w:val="single" w:sz="8" w:space="0" w:color="auto"/>
              <w:bottom w:val="single" w:sz="8" w:space="0" w:color="auto"/>
              <w:right w:val="single" w:sz="8" w:space="0" w:color="auto"/>
            </w:tcBorders>
            <w:shd w:val="clear" w:color="auto" w:fill="auto"/>
            <w:noWrap/>
            <w:vAlign w:val="center"/>
            <w:hideMark/>
          </w:tcPr>
          <w:p w14:paraId="75F1E989"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Depreciação e Amortização</w:t>
            </w:r>
          </w:p>
        </w:tc>
        <w:tc>
          <w:tcPr>
            <w:tcW w:w="717" w:type="pct"/>
            <w:tcBorders>
              <w:top w:val="nil"/>
              <w:left w:val="nil"/>
              <w:bottom w:val="single" w:sz="8" w:space="0" w:color="auto"/>
              <w:right w:val="single" w:sz="8" w:space="0" w:color="auto"/>
            </w:tcBorders>
            <w:shd w:val="clear" w:color="auto" w:fill="auto"/>
            <w:noWrap/>
            <w:vAlign w:val="center"/>
            <w:hideMark/>
          </w:tcPr>
          <w:p w14:paraId="5C99222E"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(8.734)</w:t>
            </w:r>
          </w:p>
        </w:tc>
        <w:tc>
          <w:tcPr>
            <w:tcW w:w="771" w:type="pct"/>
            <w:tcBorders>
              <w:top w:val="nil"/>
              <w:left w:val="nil"/>
              <w:bottom w:val="single" w:sz="8" w:space="0" w:color="auto"/>
              <w:right w:val="single" w:sz="8" w:space="0" w:color="auto"/>
            </w:tcBorders>
            <w:shd w:val="clear" w:color="auto" w:fill="auto"/>
            <w:noWrap/>
            <w:vAlign w:val="center"/>
            <w:hideMark/>
          </w:tcPr>
          <w:p w14:paraId="79C130D3"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(8.493)</w:t>
            </w:r>
          </w:p>
        </w:tc>
      </w:tr>
      <w:tr w:rsidR="00240448" w:rsidRPr="00240448" w14:paraId="080289A3" w14:textId="77777777" w:rsidTr="00446A14">
        <w:trPr>
          <w:trHeight w:val="238"/>
        </w:trPr>
        <w:tc>
          <w:tcPr>
            <w:tcW w:w="3512" w:type="pct"/>
            <w:tcBorders>
              <w:top w:val="nil"/>
              <w:left w:val="single" w:sz="8" w:space="0" w:color="auto"/>
              <w:bottom w:val="single" w:sz="8" w:space="0" w:color="auto"/>
              <w:right w:val="single" w:sz="8" w:space="0" w:color="auto"/>
            </w:tcBorders>
            <w:shd w:val="clear" w:color="auto" w:fill="auto"/>
            <w:noWrap/>
            <w:vAlign w:val="center"/>
            <w:hideMark/>
          </w:tcPr>
          <w:p w14:paraId="20E1F14F"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Programa de Indenização por Serviços Prestados - PISP</w:t>
            </w:r>
          </w:p>
        </w:tc>
        <w:tc>
          <w:tcPr>
            <w:tcW w:w="717" w:type="pct"/>
            <w:tcBorders>
              <w:top w:val="nil"/>
              <w:left w:val="nil"/>
              <w:bottom w:val="single" w:sz="8" w:space="0" w:color="auto"/>
              <w:right w:val="single" w:sz="8" w:space="0" w:color="auto"/>
            </w:tcBorders>
            <w:shd w:val="clear" w:color="auto" w:fill="auto"/>
            <w:noWrap/>
            <w:vAlign w:val="center"/>
            <w:hideMark/>
          </w:tcPr>
          <w:p w14:paraId="16F31FCB"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(513)</w:t>
            </w:r>
          </w:p>
        </w:tc>
        <w:tc>
          <w:tcPr>
            <w:tcW w:w="771" w:type="pct"/>
            <w:tcBorders>
              <w:top w:val="nil"/>
              <w:left w:val="nil"/>
              <w:bottom w:val="single" w:sz="8" w:space="0" w:color="auto"/>
              <w:right w:val="single" w:sz="8" w:space="0" w:color="auto"/>
            </w:tcBorders>
            <w:shd w:val="clear" w:color="auto" w:fill="auto"/>
            <w:noWrap/>
            <w:vAlign w:val="center"/>
            <w:hideMark/>
          </w:tcPr>
          <w:p w14:paraId="08177C27"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(749)</w:t>
            </w:r>
          </w:p>
        </w:tc>
      </w:tr>
      <w:tr w:rsidR="00240448" w:rsidRPr="00240448" w14:paraId="1D182D68" w14:textId="77777777" w:rsidTr="00446A14">
        <w:trPr>
          <w:trHeight w:val="238"/>
        </w:trPr>
        <w:tc>
          <w:tcPr>
            <w:tcW w:w="3512" w:type="pct"/>
            <w:tcBorders>
              <w:top w:val="nil"/>
              <w:left w:val="single" w:sz="8" w:space="0" w:color="auto"/>
              <w:bottom w:val="single" w:sz="8" w:space="0" w:color="auto"/>
              <w:right w:val="single" w:sz="8" w:space="0" w:color="auto"/>
            </w:tcBorders>
            <w:shd w:val="clear" w:color="auto" w:fill="auto"/>
            <w:noWrap/>
            <w:vAlign w:val="center"/>
            <w:hideMark/>
          </w:tcPr>
          <w:p w14:paraId="6466DECC"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Aluguéis, Locações e Seguros</w:t>
            </w:r>
          </w:p>
        </w:tc>
        <w:tc>
          <w:tcPr>
            <w:tcW w:w="717" w:type="pct"/>
            <w:tcBorders>
              <w:top w:val="nil"/>
              <w:left w:val="nil"/>
              <w:bottom w:val="single" w:sz="8" w:space="0" w:color="auto"/>
              <w:right w:val="single" w:sz="8" w:space="0" w:color="auto"/>
            </w:tcBorders>
            <w:shd w:val="clear" w:color="auto" w:fill="auto"/>
            <w:noWrap/>
            <w:vAlign w:val="center"/>
            <w:hideMark/>
          </w:tcPr>
          <w:p w14:paraId="597E14DF"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(457)</w:t>
            </w:r>
          </w:p>
        </w:tc>
        <w:tc>
          <w:tcPr>
            <w:tcW w:w="771" w:type="pct"/>
            <w:tcBorders>
              <w:top w:val="nil"/>
              <w:left w:val="nil"/>
              <w:bottom w:val="single" w:sz="8" w:space="0" w:color="auto"/>
              <w:right w:val="single" w:sz="8" w:space="0" w:color="auto"/>
            </w:tcBorders>
            <w:shd w:val="clear" w:color="auto" w:fill="auto"/>
            <w:noWrap/>
            <w:vAlign w:val="center"/>
            <w:hideMark/>
          </w:tcPr>
          <w:p w14:paraId="54F383E8"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(280)</w:t>
            </w:r>
          </w:p>
        </w:tc>
      </w:tr>
      <w:tr w:rsidR="00240448" w:rsidRPr="00240448" w14:paraId="0F207F14" w14:textId="77777777" w:rsidTr="00446A14">
        <w:trPr>
          <w:trHeight w:val="238"/>
        </w:trPr>
        <w:tc>
          <w:tcPr>
            <w:tcW w:w="3512" w:type="pct"/>
            <w:tcBorders>
              <w:top w:val="nil"/>
              <w:left w:val="single" w:sz="8" w:space="0" w:color="auto"/>
              <w:bottom w:val="single" w:sz="8" w:space="0" w:color="auto"/>
              <w:right w:val="single" w:sz="8" w:space="0" w:color="auto"/>
            </w:tcBorders>
            <w:shd w:val="clear" w:color="auto" w:fill="auto"/>
            <w:noWrap/>
            <w:vAlign w:val="center"/>
            <w:hideMark/>
          </w:tcPr>
          <w:p w14:paraId="4392A541"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Tributos</w:t>
            </w:r>
          </w:p>
        </w:tc>
        <w:tc>
          <w:tcPr>
            <w:tcW w:w="717" w:type="pct"/>
            <w:tcBorders>
              <w:top w:val="nil"/>
              <w:left w:val="nil"/>
              <w:bottom w:val="single" w:sz="8" w:space="0" w:color="auto"/>
              <w:right w:val="single" w:sz="8" w:space="0" w:color="auto"/>
            </w:tcBorders>
            <w:shd w:val="clear" w:color="auto" w:fill="auto"/>
            <w:noWrap/>
            <w:vAlign w:val="center"/>
            <w:hideMark/>
          </w:tcPr>
          <w:p w14:paraId="6BDA8A79"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(134)</w:t>
            </w:r>
          </w:p>
        </w:tc>
        <w:tc>
          <w:tcPr>
            <w:tcW w:w="771" w:type="pct"/>
            <w:tcBorders>
              <w:top w:val="nil"/>
              <w:left w:val="nil"/>
              <w:bottom w:val="single" w:sz="8" w:space="0" w:color="auto"/>
              <w:right w:val="single" w:sz="8" w:space="0" w:color="auto"/>
            </w:tcBorders>
            <w:shd w:val="clear" w:color="auto" w:fill="auto"/>
            <w:noWrap/>
            <w:vAlign w:val="center"/>
            <w:hideMark/>
          </w:tcPr>
          <w:p w14:paraId="39FF3852"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(140)</w:t>
            </w:r>
          </w:p>
        </w:tc>
      </w:tr>
      <w:tr w:rsidR="00240448" w:rsidRPr="00240448" w14:paraId="192096FD" w14:textId="77777777" w:rsidTr="00446A14">
        <w:trPr>
          <w:trHeight w:val="238"/>
        </w:trPr>
        <w:tc>
          <w:tcPr>
            <w:tcW w:w="3512" w:type="pct"/>
            <w:tcBorders>
              <w:top w:val="nil"/>
              <w:left w:val="single" w:sz="8" w:space="0" w:color="auto"/>
              <w:bottom w:val="single" w:sz="8" w:space="0" w:color="auto"/>
              <w:right w:val="single" w:sz="8" w:space="0" w:color="auto"/>
            </w:tcBorders>
            <w:shd w:val="clear" w:color="auto" w:fill="auto"/>
            <w:noWrap/>
            <w:vAlign w:val="center"/>
            <w:hideMark/>
          </w:tcPr>
          <w:p w14:paraId="6CB7DB35"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Material</w:t>
            </w:r>
          </w:p>
        </w:tc>
        <w:tc>
          <w:tcPr>
            <w:tcW w:w="717" w:type="pct"/>
            <w:tcBorders>
              <w:top w:val="nil"/>
              <w:left w:val="nil"/>
              <w:bottom w:val="single" w:sz="8" w:space="0" w:color="auto"/>
              <w:right w:val="single" w:sz="8" w:space="0" w:color="auto"/>
            </w:tcBorders>
            <w:shd w:val="clear" w:color="auto" w:fill="auto"/>
            <w:noWrap/>
            <w:vAlign w:val="center"/>
            <w:hideMark/>
          </w:tcPr>
          <w:p w14:paraId="64618241"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(96)</w:t>
            </w:r>
          </w:p>
        </w:tc>
        <w:tc>
          <w:tcPr>
            <w:tcW w:w="771" w:type="pct"/>
            <w:tcBorders>
              <w:top w:val="nil"/>
              <w:left w:val="nil"/>
              <w:bottom w:val="single" w:sz="8" w:space="0" w:color="auto"/>
              <w:right w:val="single" w:sz="8" w:space="0" w:color="auto"/>
            </w:tcBorders>
            <w:shd w:val="clear" w:color="auto" w:fill="auto"/>
            <w:noWrap/>
            <w:vAlign w:val="center"/>
            <w:hideMark/>
          </w:tcPr>
          <w:p w14:paraId="0BCED726"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(123)</w:t>
            </w:r>
          </w:p>
        </w:tc>
      </w:tr>
      <w:tr w:rsidR="00240448" w:rsidRPr="00240448" w14:paraId="7CD8EA48" w14:textId="77777777" w:rsidTr="00446A14">
        <w:trPr>
          <w:trHeight w:val="238"/>
        </w:trPr>
        <w:tc>
          <w:tcPr>
            <w:tcW w:w="3512" w:type="pct"/>
            <w:tcBorders>
              <w:top w:val="nil"/>
              <w:left w:val="single" w:sz="8" w:space="0" w:color="auto"/>
              <w:bottom w:val="single" w:sz="8" w:space="0" w:color="auto"/>
              <w:right w:val="single" w:sz="8" w:space="0" w:color="auto"/>
            </w:tcBorders>
            <w:shd w:val="clear" w:color="auto" w:fill="auto"/>
            <w:noWrap/>
            <w:vAlign w:val="center"/>
            <w:hideMark/>
          </w:tcPr>
          <w:p w14:paraId="124D14A5" w14:textId="77777777" w:rsidR="00240448" w:rsidRPr="00240448" w:rsidRDefault="00240448" w:rsidP="00240448">
            <w:pPr>
              <w:spacing w:after="0" w:line="240" w:lineRule="auto"/>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Total</w:t>
            </w:r>
          </w:p>
        </w:tc>
        <w:tc>
          <w:tcPr>
            <w:tcW w:w="717" w:type="pct"/>
            <w:tcBorders>
              <w:top w:val="nil"/>
              <w:left w:val="nil"/>
              <w:bottom w:val="single" w:sz="8" w:space="0" w:color="auto"/>
              <w:right w:val="single" w:sz="8" w:space="0" w:color="auto"/>
            </w:tcBorders>
            <w:shd w:val="clear" w:color="auto" w:fill="auto"/>
            <w:noWrap/>
            <w:vAlign w:val="center"/>
            <w:hideMark/>
          </w:tcPr>
          <w:p w14:paraId="321DC247" w14:textId="77777777" w:rsidR="00240448" w:rsidRPr="00240448" w:rsidRDefault="00240448" w:rsidP="00240448">
            <w:pPr>
              <w:spacing w:after="0" w:line="240" w:lineRule="auto"/>
              <w:jc w:val="right"/>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 xml:space="preserve">     (86.328)</w:t>
            </w:r>
          </w:p>
        </w:tc>
        <w:tc>
          <w:tcPr>
            <w:tcW w:w="771" w:type="pct"/>
            <w:tcBorders>
              <w:top w:val="nil"/>
              <w:left w:val="nil"/>
              <w:bottom w:val="single" w:sz="8" w:space="0" w:color="auto"/>
              <w:right w:val="single" w:sz="8" w:space="0" w:color="auto"/>
            </w:tcBorders>
            <w:shd w:val="clear" w:color="auto" w:fill="auto"/>
            <w:noWrap/>
            <w:vAlign w:val="center"/>
            <w:hideMark/>
          </w:tcPr>
          <w:p w14:paraId="3AB2EA72" w14:textId="77777777" w:rsidR="00240448" w:rsidRPr="00240448" w:rsidRDefault="00240448" w:rsidP="00240448">
            <w:pPr>
              <w:spacing w:after="0" w:line="240" w:lineRule="auto"/>
              <w:jc w:val="right"/>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 xml:space="preserve">       (79.516)</w:t>
            </w:r>
          </w:p>
        </w:tc>
      </w:tr>
    </w:tbl>
    <w:p w14:paraId="16292506" w14:textId="77777777" w:rsidR="00240448" w:rsidRDefault="00240448" w:rsidP="00240448">
      <w:pPr>
        <w:autoSpaceDE w:val="0"/>
        <w:autoSpaceDN w:val="0"/>
        <w:adjustRightInd w:val="0"/>
        <w:spacing w:after="0" w:line="240" w:lineRule="auto"/>
        <w:jc w:val="both"/>
        <w:rPr>
          <w:rFonts w:ascii="Calibri" w:eastAsia="Times New Roman" w:hAnsi="Calibri" w:cs="Calibri"/>
          <w:b/>
          <w:bCs/>
          <w:iCs/>
          <w:color w:val="002060"/>
          <w:kern w:val="0"/>
          <w14:ligatures w14:val="none"/>
        </w:rPr>
      </w:pPr>
    </w:p>
    <w:tbl>
      <w:tblPr>
        <w:tblW w:w="5000" w:type="pct"/>
        <w:tblCellMar>
          <w:left w:w="70" w:type="dxa"/>
          <w:right w:w="70" w:type="dxa"/>
        </w:tblCellMar>
        <w:tblLook w:val="04A0" w:firstRow="1" w:lastRow="0" w:firstColumn="1" w:lastColumn="0" w:noHBand="0" w:noVBand="1"/>
      </w:tblPr>
      <w:tblGrid>
        <w:gridCol w:w="6856"/>
        <w:gridCol w:w="1400"/>
        <w:gridCol w:w="1505"/>
      </w:tblGrid>
      <w:tr w:rsidR="00240448" w:rsidRPr="00240448" w14:paraId="12710902" w14:textId="77777777" w:rsidTr="00446A14">
        <w:trPr>
          <w:trHeight w:val="238"/>
          <w:tblHeader/>
        </w:trPr>
        <w:tc>
          <w:tcPr>
            <w:tcW w:w="3512" w:type="pct"/>
            <w:tcBorders>
              <w:top w:val="single" w:sz="8" w:space="0" w:color="auto"/>
              <w:left w:val="single" w:sz="8" w:space="0" w:color="auto"/>
              <w:bottom w:val="nil"/>
              <w:right w:val="single" w:sz="8" w:space="0" w:color="auto"/>
            </w:tcBorders>
            <w:shd w:val="clear" w:color="000000" w:fill="D9D9D9"/>
            <w:vAlign w:val="center"/>
            <w:hideMark/>
          </w:tcPr>
          <w:p w14:paraId="5B9AD027" w14:textId="77777777" w:rsidR="00240448" w:rsidRPr="00240448" w:rsidRDefault="00240448" w:rsidP="00240448">
            <w:pPr>
              <w:spacing w:after="0" w:line="240" w:lineRule="auto"/>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Aglutinado</w:t>
            </w:r>
          </w:p>
        </w:tc>
        <w:tc>
          <w:tcPr>
            <w:tcW w:w="717" w:type="pct"/>
            <w:tcBorders>
              <w:top w:val="single" w:sz="8" w:space="0" w:color="auto"/>
              <w:left w:val="nil"/>
              <w:bottom w:val="single" w:sz="8" w:space="0" w:color="auto"/>
              <w:right w:val="single" w:sz="8" w:space="0" w:color="auto"/>
            </w:tcBorders>
            <w:shd w:val="clear" w:color="auto" w:fill="auto"/>
            <w:vAlign w:val="center"/>
            <w:hideMark/>
          </w:tcPr>
          <w:p w14:paraId="5D303D83" w14:textId="77777777" w:rsidR="00240448" w:rsidRPr="00240448" w:rsidRDefault="00240448" w:rsidP="00240448">
            <w:pPr>
              <w:spacing w:after="0" w:line="240" w:lineRule="auto"/>
              <w:jc w:val="center"/>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31/12/2023</w:t>
            </w:r>
          </w:p>
        </w:tc>
        <w:tc>
          <w:tcPr>
            <w:tcW w:w="771" w:type="pct"/>
            <w:tcBorders>
              <w:top w:val="single" w:sz="8" w:space="0" w:color="auto"/>
              <w:left w:val="nil"/>
              <w:bottom w:val="single" w:sz="8" w:space="0" w:color="auto"/>
              <w:right w:val="single" w:sz="8" w:space="0" w:color="auto"/>
            </w:tcBorders>
            <w:shd w:val="clear" w:color="auto" w:fill="auto"/>
            <w:vAlign w:val="center"/>
            <w:hideMark/>
          </w:tcPr>
          <w:p w14:paraId="1EB4A029" w14:textId="77777777" w:rsidR="00240448" w:rsidRPr="00240448" w:rsidRDefault="00240448" w:rsidP="00240448">
            <w:pPr>
              <w:spacing w:after="0" w:line="240" w:lineRule="auto"/>
              <w:jc w:val="center"/>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31/12/2022</w:t>
            </w:r>
          </w:p>
        </w:tc>
      </w:tr>
      <w:tr w:rsidR="00240448" w:rsidRPr="00240448" w14:paraId="0558112E" w14:textId="77777777" w:rsidTr="00446A14">
        <w:trPr>
          <w:trHeight w:val="238"/>
        </w:trPr>
        <w:tc>
          <w:tcPr>
            <w:tcW w:w="351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73497A"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Depreciação e Amortização </w:t>
            </w:r>
          </w:p>
        </w:tc>
        <w:tc>
          <w:tcPr>
            <w:tcW w:w="717" w:type="pct"/>
            <w:tcBorders>
              <w:top w:val="nil"/>
              <w:left w:val="nil"/>
              <w:bottom w:val="single" w:sz="8" w:space="0" w:color="auto"/>
              <w:right w:val="single" w:sz="8" w:space="0" w:color="auto"/>
            </w:tcBorders>
            <w:shd w:val="clear" w:color="auto" w:fill="auto"/>
            <w:noWrap/>
            <w:vAlign w:val="center"/>
            <w:hideMark/>
          </w:tcPr>
          <w:p w14:paraId="02D68632"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(253.540)</w:t>
            </w:r>
          </w:p>
        </w:tc>
        <w:tc>
          <w:tcPr>
            <w:tcW w:w="771" w:type="pct"/>
            <w:tcBorders>
              <w:top w:val="nil"/>
              <w:left w:val="nil"/>
              <w:bottom w:val="single" w:sz="8" w:space="0" w:color="auto"/>
              <w:right w:val="single" w:sz="8" w:space="0" w:color="auto"/>
            </w:tcBorders>
            <w:shd w:val="clear" w:color="auto" w:fill="auto"/>
            <w:noWrap/>
            <w:vAlign w:val="center"/>
            <w:hideMark/>
          </w:tcPr>
          <w:p w14:paraId="7AE6DA77"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(242.087)</w:t>
            </w:r>
          </w:p>
        </w:tc>
      </w:tr>
      <w:tr w:rsidR="00240448" w:rsidRPr="00240448" w14:paraId="47C1958A" w14:textId="77777777" w:rsidTr="00446A14">
        <w:trPr>
          <w:trHeight w:val="238"/>
        </w:trPr>
        <w:tc>
          <w:tcPr>
            <w:tcW w:w="3512" w:type="pct"/>
            <w:tcBorders>
              <w:top w:val="nil"/>
              <w:left w:val="single" w:sz="8" w:space="0" w:color="auto"/>
              <w:bottom w:val="single" w:sz="8" w:space="0" w:color="auto"/>
              <w:right w:val="single" w:sz="8" w:space="0" w:color="auto"/>
            </w:tcBorders>
            <w:shd w:val="clear" w:color="auto" w:fill="auto"/>
            <w:noWrap/>
            <w:vAlign w:val="center"/>
            <w:hideMark/>
          </w:tcPr>
          <w:p w14:paraId="1E97C530"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Serviços de Terceiros (i)</w:t>
            </w:r>
          </w:p>
        </w:tc>
        <w:tc>
          <w:tcPr>
            <w:tcW w:w="717" w:type="pct"/>
            <w:tcBorders>
              <w:top w:val="nil"/>
              <w:left w:val="nil"/>
              <w:bottom w:val="single" w:sz="8" w:space="0" w:color="auto"/>
              <w:right w:val="single" w:sz="8" w:space="0" w:color="auto"/>
            </w:tcBorders>
            <w:shd w:val="clear" w:color="auto" w:fill="auto"/>
            <w:noWrap/>
            <w:vAlign w:val="center"/>
            <w:hideMark/>
          </w:tcPr>
          <w:p w14:paraId="3F74941C"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(159.570)</w:t>
            </w:r>
          </w:p>
        </w:tc>
        <w:tc>
          <w:tcPr>
            <w:tcW w:w="771" w:type="pct"/>
            <w:tcBorders>
              <w:top w:val="nil"/>
              <w:left w:val="nil"/>
              <w:bottom w:val="single" w:sz="8" w:space="0" w:color="auto"/>
              <w:right w:val="single" w:sz="8" w:space="0" w:color="auto"/>
            </w:tcBorders>
            <w:shd w:val="clear" w:color="auto" w:fill="auto"/>
            <w:noWrap/>
            <w:vAlign w:val="center"/>
            <w:hideMark/>
          </w:tcPr>
          <w:p w14:paraId="7662CF8F"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(109.165)</w:t>
            </w:r>
          </w:p>
        </w:tc>
      </w:tr>
      <w:tr w:rsidR="00240448" w:rsidRPr="00240448" w14:paraId="7A3D2A57" w14:textId="77777777" w:rsidTr="00446A14">
        <w:trPr>
          <w:trHeight w:val="238"/>
        </w:trPr>
        <w:tc>
          <w:tcPr>
            <w:tcW w:w="3512" w:type="pct"/>
            <w:tcBorders>
              <w:top w:val="nil"/>
              <w:left w:val="single" w:sz="8" w:space="0" w:color="auto"/>
              <w:bottom w:val="single" w:sz="8" w:space="0" w:color="auto"/>
              <w:right w:val="single" w:sz="8" w:space="0" w:color="auto"/>
            </w:tcBorders>
            <w:shd w:val="clear" w:color="auto" w:fill="auto"/>
            <w:noWrap/>
            <w:vAlign w:val="center"/>
            <w:hideMark/>
          </w:tcPr>
          <w:p w14:paraId="68929AE2"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Meios de Conexão e Transmissão (</w:t>
            </w:r>
            <w:proofErr w:type="spellStart"/>
            <w:r w:rsidRPr="00240448">
              <w:rPr>
                <w:rFonts w:ascii="Arial" w:eastAsia="Times New Roman" w:hAnsi="Arial" w:cs="Arial"/>
                <w:color w:val="000000"/>
                <w:kern w:val="0"/>
                <w:sz w:val="18"/>
                <w:szCs w:val="18"/>
                <w:lang w:eastAsia="pt-BR"/>
                <w14:ligatures w14:val="none"/>
              </w:rPr>
              <w:t>ii</w:t>
            </w:r>
            <w:proofErr w:type="spellEnd"/>
            <w:r w:rsidRPr="00240448">
              <w:rPr>
                <w:rFonts w:ascii="Arial" w:eastAsia="Times New Roman" w:hAnsi="Arial" w:cs="Arial"/>
                <w:color w:val="000000"/>
                <w:kern w:val="0"/>
                <w:sz w:val="18"/>
                <w:szCs w:val="18"/>
                <w:lang w:eastAsia="pt-BR"/>
                <w14:ligatures w14:val="none"/>
              </w:rPr>
              <w:t>)</w:t>
            </w:r>
          </w:p>
        </w:tc>
        <w:tc>
          <w:tcPr>
            <w:tcW w:w="717" w:type="pct"/>
            <w:tcBorders>
              <w:top w:val="nil"/>
              <w:left w:val="nil"/>
              <w:bottom w:val="single" w:sz="8" w:space="0" w:color="auto"/>
              <w:right w:val="single" w:sz="8" w:space="0" w:color="auto"/>
            </w:tcBorders>
            <w:shd w:val="clear" w:color="auto" w:fill="auto"/>
            <w:noWrap/>
            <w:vAlign w:val="center"/>
            <w:hideMark/>
          </w:tcPr>
          <w:p w14:paraId="5B4CC271"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(136.851)</w:t>
            </w:r>
          </w:p>
        </w:tc>
        <w:tc>
          <w:tcPr>
            <w:tcW w:w="771" w:type="pct"/>
            <w:tcBorders>
              <w:top w:val="nil"/>
              <w:left w:val="nil"/>
              <w:bottom w:val="single" w:sz="8" w:space="0" w:color="auto"/>
              <w:right w:val="single" w:sz="8" w:space="0" w:color="auto"/>
            </w:tcBorders>
            <w:shd w:val="clear" w:color="auto" w:fill="auto"/>
            <w:noWrap/>
            <w:vAlign w:val="center"/>
            <w:hideMark/>
          </w:tcPr>
          <w:p w14:paraId="2ACC49EF"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(127.727)</w:t>
            </w:r>
          </w:p>
        </w:tc>
      </w:tr>
      <w:tr w:rsidR="00240448" w:rsidRPr="00240448" w14:paraId="5C604D2D" w14:textId="77777777" w:rsidTr="00446A14">
        <w:trPr>
          <w:trHeight w:val="238"/>
        </w:trPr>
        <w:tc>
          <w:tcPr>
            <w:tcW w:w="3512" w:type="pct"/>
            <w:tcBorders>
              <w:top w:val="nil"/>
              <w:left w:val="single" w:sz="8" w:space="0" w:color="auto"/>
              <w:bottom w:val="single" w:sz="8" w:space="0" w:color="auto"/>
              <w:right w:val="single" w:sz="8" w:space="0" w:color="auto"/>
            </w:tcBorders>
            <w:shd w:val="clear" w:color="auto" w:fill="auto"/>
            <w:noWrap/>
            <w:vAlign w:val="center"/>
            <w:hideMark/>
          </w:tcPr>
          <w:p w14:paraId="178E479D"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Pessoal (</w:t>
            </w:r>
            <w:proofErr w:type="spellStart"/>
            <w:r w:rsidRPr="00240448">
              <w:rPr>
                <w:rFonts w:ascii="Arial" w:eastAsia="Times New Roman" w:hAnsi="Arial" w:cs="Arial"/>
                <w:color w:val="000000"/>
                <w:kern w:val="0"/>
                <w:sz w:val="18"/>
                <w:szCs w:val="18"/>
                <w:lang w:eastAsia="pt-BR"/>
                <w14:ligatures w14:val="none"/>
              </w:rPr>
              <w:t>iii</w:t>
            </w:r>
            <w:proofErr w:type="spellEnd"/>
            <w:r w:rsidRPr="00240448">
              <w:rPr>
                <w:rFonts w:ascii="Arial" w:eastAsia="Times New Roman" w:hAnsi="Arial" w:cs="Arial"/>
                <w:color w:val="000000"/>
                <w:kern w:val="0"/>
                <w:sz w:val="18"/>
                <w:szCs w:val="18"/>
                <w:lang w:eastAsia="pt-BR"/>
                <w14:ligatures w14:val="none"/>
              </w:rPr>
              <w:t>)</w:t>
            </w:r>
          </w:p>
        </w:tc>
        <w:tc>
          <w:tcPr>
            <w:tcW w:w="717" w:type="pct"/>
            <w:tcBorders>
              <w:top w:val="nil"/>
              <w:left w:val="nil"/>
              <w:bottom w:val="single" w:sz="8" w:space="0" w:color="auto"/>
              <w:right w:val="single" w:sz="8" w:space="0" w:color="auto"/>
            </w:tcBorders>
            <w:shd w:val="clear" w:color="auto" w:fill="auto"/>
            <w:noWrap/>
            <w:vAlign w:val="center"/>
            <w:hideMark/>
          </w:tcPr>
          <w:p w14:paraId="485E1D30"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(106.908)</w:t>
            </w:r>
          </w:p>
        </w:tc>
        <w:tc>
          <w:tcPr>
            <w:tcW w:w="771" w:type="pct"/>
            <w:tcBorders>
              <w:top w:val="nil"/>
              <w:left w:val="nil"/>
              <w:bottom w:val="single" w:sz="8" w:space="0" w:color="auto"/>
              <w:right w:val="single" w:sz="8" w:space="0" w:color="auto"/>
            </w:tcBorders>
            <w:shd w:val="clear" w:color="auto" w:fill="auto"/>
            <w:noWrap/>
            <w:vAlign w:val="center"/>
            <w:hideMark/>
          </w:tcPr>
          <w:p w14:paraId="5D929B65"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(97.129)</w:t>
            </w:r>
          </w:p>
        </w:tc>
      </w:tr>
      <w:tr w:rsidR="00240448" w:rsidRPr="00240448" w14:paraId="502B12CB" w14:textId="77777777" w:rsidTr="00446A14">
        <w:trPr>
          <w:trHeight w:val="238"/>
        </w:trPr>
        <w:tc>
          <w:tcPr>
            <w:tcW w:w="3512" w:type="pct"/>
            <w:tcBorders>
              <w:top w:val="nil"/>
              <w:left w:val="single" w:sz="8" w:space="0" w:color="auto"/>
              <w:bottom w:val="single" w:sz="8" w:space="0" w:color="auto"/>
              <w:right w:val="single" w:sz="8" w:space="0" w:color="auto"/>
            </w:tcBorders>
            <w:shd w:val="clear" w:color="auto" w:fill="auto"/>
            <w:noWrap/>
            <w:vAlign w:val="center"/>
            <w:hideMark/>
          </w:tcPr>
          <w:p w14:paraId="757DAF3B"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Aluguéis, Locações e Seguros </w:t>
            </w:r>
          </w:p>
        </w:tc>
        <w:tc>
          <w:tcPr>
            <w:tcW w:w="717" w:type="pct"/>
            <w:tcBorders>
              <w:top w:val="nil"/>
              <w:left w:val="nil"/>
              <w:bottom w:val="single" w:sz="8" w:space="0" w:color="auto"/>
              <w:right w:val="single" w:sz="8" w:space="0" w:color="auto"/>
            </w:tcBorders>
            <w:shd w:val="clear" w:color="auto" w:fill="auto"/>
            <w:noWrap/>
            <w:vAlign w:val="center"/>
            <w:hideMark/>
          </w:tcPr>
          <w:p w14:paraId="71B85C3F"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(50.936)</w:t>
            </w:r>
          </w:p>
        </w:tc>
        <w:tc>
          <w:tcPr>
            <w:tcW w:w="771" w:type="pct"/>
            <w:tcBorders>
              <w:top w:val="nil"/>
              <w:left w:val="nil"/>
              <w:bottom w:val="single" w:sz="8" w:space="0" w:color="auto"/>
              <w:right w:val="single" w:sz="8" w:space="0" w:color="auto"/>
            </w:tcBorders>
            <w:shd w:val="clear" w:color="auto" w:fill="auto"/>
            <w:noWrap/>
            <w:vAlign w:val="center"/>
            <w:hideMark/>
          </w:tcPr>
          <w:p w14:paraId="48B7D9CB"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(48.463)</w:t>
            </w:r>
          </w:p>
        </w:tc>
      </w:tr>
      <w:tr w:rsidR="00240448" w:rsidRPr="00240448" w14:paraId="679FDEC8" w14:textId="77777777" w:rsidTr="00446A14">
        <w:trPr>
          <w:trHeight w:val="238"/>
        </w:trPr>
        <w:tc>
          <w:tcPr>
            <w:tcW w:w="3512" w:type="pct"/>
            <w:tcBorders>
              <w:top w:val="nil"/>
              <w:left w:val="single" w:sz="8" w:space="0" w:color="auto"/>
              <w:bottom w:val="single" w:sz="8" w:space="0" w:color="auto"/>
              <w:right w:val="single" w:sz="8" w:space="0" w:color="auto"/>
            </w:tcBorders>
            <w:shd w:val="clear" w:color="auto" w:fill="auto"/>
            <w:noWrap/>
            <w:vAlign w:val="center"/>
            <w:hideMark/>
          </w:tcPr>
          <w:p w14:paraId="1F7CCB9E"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Compartilhamento de Instalações</w:t>
            </w:r>
          </w:p>
        </w:tc>
        <w:tc>
          <w:tcPr>
            <w:tcW w:w="717" w:type="pct"/>
            <w:tcBorders>
              <w:top w:val="nil"/>
              <w:left w:val="nil"/>
              <w:bottom w:val="single" w:sz="8" w:space="0" w:color="auto"/>
              <w:right w:val="single" w:sz="8" w:space="0" w:color="auto"/>
            </w:tcBorders>
            <w:shd w:val="clear" w:color="auto" w:fill="auto"/>
            <w:noWrap/>
            <w:vAlign w:val="center"/>
            <w:hideMark/>
          </w:tcPr>
          <w:p w14:paraId="119C2605"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(5.379)</w:t>
            </w:r>
          </w:p>
        </w:tc>
        <w:tc>
          <w:tcPr>
            <w:tcW w:w="771" w:type="pct"/>
            <w:tcBorders>
              <w:top w:val="nil"/>
              <w:left w:val="nil"/>
              <w:bottom w:val="single" w:sz="8" w:space="0" w:color="auto"/>
              <w:right w:val="single" w:sz="8" w:space="0" w:color="auto"/>
            </w:tcBorders>
            <w:shd w:val="clear" w:color="auto" w:fill="auto"/>
            <w:noWrap/>
            <w:vAlign w:val="center"/>
            <w:hideMark/>
          </w:tcPr>
          <w:p w14:paraId="2E6B5B72"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(4.345)</w:t>
            </w:r>
          </w:p>
        </w:tc>
      </w:tr>
      <w:tr w:rsidR="00240448" w:rsidRPr="00240448" w14:paraId="3A0091A8" w14:textId="77777777" w:rsidTr="00446A14">
        <w:trPr>
          <w:trHeight w:val="238"/>
        </w:trPr>
        <w:tc>
          <w:tcPr>
            <w:tcW w:w="3512" w:type="pct"/>
            <w:tcBorders>
              <w:top w:val="nil"/>
              <w:left w:val="single" w:sz="8" w:space="0" w:color="auto"/>
              <w:bottom w:val="single" w:sz="8" w:space="0" w:color="auto"/>
              <w:right w:val="single" w:sz="8" w:space="0" w:color="auto"/>
            </w:tcBorders>
            <w:shd w:val="clear" w:color="auto" w:fill="auto"/>
            <w:noWrap/>
            <w:vAlign w:val="center"/>
            <w:hideMark/>
          </w:tcPr>
          <w:p w14:paraId="7B328B99"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Tributos</w:t>
            </w:r>
          </w:p>
        </w:tc>
        <w:tc>
          <w:tcPr>
            <w:tcW w:w="717" w:type="pct"/>
            <w:tcBorders>
              <w:top w:val="nil"/>
              <w:left w:val="nil"/>
              <w:bottom w:val="single" w:sz="8" w:space="0" w:color="auto"/>
              <w:right w:val="single" w:sz="8" w:space="0" w:color="auto"/>
            </w:tcBorders>
            <w:shd w:val="clear" w:color="auto" w:fill="auto"/>
            <w:noWrap/>
            <w:vAlign w:val="center"/>
            <w:hideMark/>
          </w:tcPr>
          <w:p w14:paraId="5D2270D4"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(5.296)</w:t>
            </w:r>
          </w:p>
        </w:tc>
        <w:tc>
          <w:tcPr>
            <w:tcW w:w="771" w:type="pct"/>
            <w:tcBorders>
              <w:top w:val="nil"/>
              <w:left w:val="nil"/>
              <w:bottom w:val="single" w:sz="8" w:space="0" w:color="auto"/>
              <w:right w:val="single" w:sz="8" w:space="0" w:color="auto"/>
            </w:tcBorders>
            <w:shd w:val="clear" w:color="auto" w:fill="auto"/>
            <w:noWrap/>
            <w:vAlign w:val="center"/>
            <w:hideMark/>
          </w:tcPr>
          <w:p w14:paraId="0D4F65C9"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(4.791)</w:t>
            </w:r>
          </w:p>
        </w:tc>
      </w:tr>
      <w:tr w:rsidR="00240448" w:rsidRPr="00240448" w14:paraId="2BC6C320" w14:textId="77777777" w:rsidTr="00446A14">
        <w:trPr>
          <w:trHeight w:val="238"/>
        </w:trPr>
        <w:tc>
          <w:tcPr>
            <w:tcW w:w="3512" w:type="pct"/>
            <w:tcBorders>
              <w:top w:val="nil"/>
              <w:left w:val="single" w:sz="8" w:space="0" w:color="auto"/>
              <w:bottom w:val="single" w:sz="8" w:space="0" w:color="auto"/>
              <w:right w:val="single" w:sz="8" w:space="0" w:color="auto"/>
            </w:tcBorders>
            <w:shd w:val="clear" w:color="auto" w:fill="auto"/>
            <w:noWrap/>
            <w:vAlign w:val="center"/>
            <w:hideMark/>
          </w:tcPr>
          <w:p w14:paraId="42E0B85E"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Material</w:t>
            </w:r>
          </w:p>
        </w:tc>
        <w:tc>
          <w:tcPr>
            <w:tcW w:w="717" w:type="pct"/>
            <w:tcBorders>
              <w:top w:val="nil"/>
              <w:left w:val="nil"/>
              <w:bottom w:val="single" w:sz="8" w:space="0" w:color="auto"/>
              <w:right w:val="single" w:sz="8" w:space="0" w:color="auto"/>
            </w:tcBorders>
            <w:shd w:val="clear" w:color="auto" w:fill="auto"/>
            <w:noWrap/>
            <w:vAlign w:val="center"/>
            <w:hideMark/>
          </w:tcPr>
          <w:p w14:paraId="420DBBED"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(2.181)</w:t>
            </w:r>
          </w:p>
        </w:tc>
        <w:tc>
          <w:tcPr>
            <w:tcW w:w="771" w:type="pct"/>
            <w:tcBorders>
              <w:top w:val="nil"/>
              <w:left w:val="nil"/>
              <w:bottom w:val="single" w:sz="8" w:space="0" w:color="auto"/>
              <w:right w:val="single" w:sz="8" w:space="0" w:color="auto"/>
            </w:tcBorders>
            <w:shd w:val="clear" w:color="auto" w:fill="auto"/>
            <w:noWrap/>
            <w:vAlign w:val="center"/>
            <w:hideMark/>
          </w:tcPr>
          <w:p w14:paraId="23EF3B68"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(2.018)</w:t>
            </w:r>
          </w:p>
        </w:tc>
      </w:tr>
      <w:tr w:rsidR="00240448" w:rsidRPr="00240448" w14:paraId="6C0D5E16" w14:textId="77777777" w:rsidTr="00446A14">
        <w:trPr>
          <w:trHeight w:val="238"/>
        </w:trPr>
        <w:tc>
          <w:tcPr>
            <w:tcW w:w="3512" w:type="pct"/>
            <w:tcBorders>
              <w:top w:val="nil"/>
              <w:left w:val="single" w:sz="8" w:space="0" w:color="auto"/>
              <w:bottom w:val="single" w:sz="8" w:space="0" w:color="auto"/>
              <w:right w:val="single" w:sz="8" w:space="0" w:color="auto"/>
            </w:tcBorders>
            <w:shd w:val="clear" w:color="auto" w:fill="auto"/>
            <w:noWrap/>
            <w:vAlign w:val="center"/>
            <w:hideMark/>
          </w:tcPr>
          <w:p w14:paraId="03385AE6"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Perdas Estimadas com Crédito de Liquidação Duvidosa</w:t>
            </w:r>
          </w:p>
        </w:tc>
        <w:tc>
          <w:tcPr>
            <w:tcW w:w="717" w:type="pct"/>
            <w:tcBorders>
              <w:top w:val="nil"/>
              <w:left w:val="nil"/>
              <w:bottom w:val="single" w:sz="8" w:space="0" w:color="auto"/>
              <w:right w:val="single" w:sz="8" w:space="0" w:color="auto"/>
            </w:tcBorders>
            <w:shd w:val="clear" w:color="auto" w:fill="auto"/>
            <w:noWrap/>
            <w:vAlign w:val="center"/>
            <w:hideMark/>
          </w:tcPr>
          <w:p w14:paraId="2403ECD8"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(1.314)</w:t>
            </w:r>
          </w:p>
        </w:tc>
        <w:tc>
          <w:tcPr>
            <w:tcW w:w="771" w:type="pct"/>
            <w:tcBorders>
              <w:top w:val="nil"/>
              <w:left w:val="nil"/>
              <w:bottom w:val="single" w:sz="8" w:space="0" w:color="auto"/>
              <w:right w:val="single" w:sz="8" w:space="0" w:color="auto"/>
            </w:tcBorders>
            <w:shd w:val="clear" w:color="auto" w:fill="auto"/>
            <w:noWrap/>
            <w:vAlign w:val="center"/>
            <w:hideMark/>
          </w:tcPr>
          <w:p w14:paraId="45A1D24B"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1.042 </w:t>
            </w:r>
          </w:p>
        </w:tc>
      </w:tr>
      <w:tr w:rsidR="00240448" w:rsidRPr="00240448" w14:paraId="4A7B98AE" w14:textId="77777777" w:rsidTr="00446A14">
        <w:trPr>
          <w:trHeight w:val="238"/>
        </w:trPr>
        <w:tc>
          <w:tcPr>
            <w:tcW w:w="3512" w:type="pct"/>
            <w:tcBorders>
              <w:top w:val="nil"/>
              <w:left w:val="single" w:sz="8" w:space="0" w:color="auto"/>
              <w:bottom w:val="single" w:sz="8" w:space="0" w:color="auto"/>
              <w:right w:val="single" w:sz="8" w:space="0" w:color="auto"/>
            </w:tcBorders>
            <w:shd w:val="clear" w:color="auto" w:fill="auto"/>
            <w:noWrap/>
            <w:vAlign w:val="center"/>
            <w:hideMark/>
          </w:tcPr>
          <w:p w14:paraId="57DF5FD6"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Programa de Indenização por Serviços Prestados - PISP</w:t>
            </w:r>
          </w:p>
        </w:tc>
        <w:tc>
          <w:tcPr>
            <w:tcW w:w="717" w:type="pct"/>
            <w:tcBorders>
              <w:top w:val="nil"/>
              <w:left w:val="nil"/>
              <w:bottom w:val="single" w:sz="8" w:space="0" w:color="auto"/>
              <w:right w:val="single" w:sz="8" w:space="0" w:color="auto"/>
            </w:tcBorders>
            <w:shd w:val="clear" w:color="auto" w:fill="auto"/>
            <w:noWrap/>
            <w:vAlign w:val="center"/>
            <w:hideMark/>
          </w:tcPr>
          <w:p w14:paraId="2F6C79AC"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(1.231)</w:t>
            </w:r>
          </w:p>
        </w:tc>
        <w:tc>
          <w:tcPr>
            <w:tcW w:w="771" w:type="pct"/>
            <w:tcBorders>
              <w:top w:val="nil"/>
              <w:left w:val="nil"/>
              <w:bottom w:val="single" w:sz="8" w:space="0" w:color="auto"/>
              <w:right w:val="single" w:sz="8" w:space="0" w:color="auto"/>
            </w:tcBorders>
            <w:shd w:val="clear" w:color="auto" w:fill="auto"/>
            <w:noWrap/>
            <w:vAlign w:val="center"/>
            <w:hideMark/>
          </w:tcPr>
          <w:p w14:paraId="6F8488A8"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(1.361)</w:t>
            </w:r>
          </w:p>
        </w:tc>
      </w:tr>
      <w:tr w:rsidR="00240448" w:rsidRPr="00240448" w14:paraId="41F762DD" w14:textId="77777777" w:rsidTr="00446A14">
        <w:trPr>
          <w:trHeight w:val="238"/>
        </w:trPr>
        <w:tc>
          <w:tcPr>
            <w:tcW w:w="3512" w:type="pct"/>
            <w:tcBorders>
              <w:top w:val="nil"/>
              <w:left w:val="single" w:sz="8" w:space="0" w:color="auto"/>
              <w:bottom w:val="single" w:sz="8" w:space="0" w:color="auto"/>
              <w:right w:val="single" w:sz="8" w:space="0" w:color="auto"/>
            </w:tcBorders>
            <w:shd w:val="clear" w:color="auto" w:fill="auto"/>
            <w:noWrap/>
            <w:vAlign w:val="center"/>
            <w:hideMark/>
          </w:tcPr>
          <w:p w14:paraId="029D2A99" w14:textId="77777777" w:rsidR="00240448" w:rsidRPr="00240448" w:rsidRDefault="00240448" w:rsidP="00240448">
            <w:pPr>
              <w:spacing w:after="0" w:line="240" w:lineRule="auto"/>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Total</w:t>
            </w:r>
          </w:p>
        </w:tc>
        <w:tc>
          <w:tcPr>
            <w:tcW w:w="717" w:type="pct"/>
            <w:tcBorders>
              <w:top w:val="nil"/>
              <w:left w:val="nil"/>
              <w:bottom w:val="single" w:sz="8" w:space="0" w:color="auto"/>
              <w:right w:val="single" w:sz="8" w:space="0" w:color="auto"/>
            </w:tcBorders>
            <w:shd w:val="clear" w:color="auto" w:fill="auto"/>
            <w:noWrap/>
            <w:vAlign w:val="center"/>
            <w:hideMark/>
          </w:tcPr>
          <w:p w14:paraId="6277EBD3" w14:textId="77777777" w:rsidR="00240448" w:rsidRPr="00240448" w:rsidRDefault="00240448" w:rsidP="00240448">
            <w:pPr>
              <w:spacing w:after="0" w:line="240" w:lineRule="auto"/>
              <w:jc w:val="right"/>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 xml:space="preserve">   (723.206)</w:t>
            </w:r>
          </w:p>
        </w:tc>
        <w:tc>
          <w:tcPr>
            <w:tcW w:w="771" w:type="pct"/>
            <w:tcBorders>
              <w:top w:val="nil"/>
              <w:left w:val="nil"/>
              <w:bottom w:val="single" w:sz="8" w:space="0" w:color="auto"/>
              <w:right w:val="single" w:sz="8" w:space="0" w:color="auto"/>
            </w:tcBorders>
            <w:shd w:val="clear" w:color="auto" w:fill="auto"/>
            <w:noWrap/>
            <w:vAlign w:val="center"/>
            <w:hideMark/>
          </w:tcPr>
          <w:p w14:paraId="2D9ED8FE" w14:textId="77777777" w:rsidR="00240448" w:rsidRPr="00240448" w:rsidRDefault="00240448" w:rsidP="00240448">
            <w:pPr>
              <w:spacing w:after="0" w:line="240" w:lineRule="auto"/>
              <w:jc w:val="right"/>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 xml:space="preserve">     (636.044)</w:t>
            </w:r>
          </w:p>
        </w:tc>
      </w:tr>
    </w:tbl>
    <w:p w14:paraId="08CB8B9B" w14:textId="77777777" w:rsidR="00240448" w:rsidRPr="00240448" w:rsidRDefault="00240448" w:rsidP="00240448">
      <w:pPr>
        <w:autoSpaceDE w:val="0"/>
        <w:autoSpaceDN w:val="0"/>
        <w:adjustRightInd w:val="0"/>
        <w:spacing w:after="0" w:line="240" w:lineRule="auto"/>
        <w:jc w:val="both"/>
        <w:rPr>
          <w:rFonts w:ascii="Calibri" w:eastAsia="Times New Roman" w:hAnsi="Calibri" w:cs="Calibri"/>
          <w:iCs/>
          <w:color w:val="002060"/>
          <w:kern w:val="0"/>
          <w14:ligatures w14:val="none"/>
        </w:rPr>
      </w:pPr>
      <w:r w:rsidRPr="00240448">
        <w:rPr>
          <w:rFonts w:ascii="Calibri" w:eastAsia="Times New Roman" w:hAnsi="Calibri" w:cs="Calibri"/>
          <w:iCs/>
          <w:color w:val="002060"/>
          <w:kern w:val="0"/>
          <w14:ligatures w14:val="none"/>
        </w:rPr>
        <w:t>Os custos e despesas operacionais apresentaram crescimento de 13,7% em comparação ao exercício de 2022. Esse aumento é explicado pelo comportamento das seguintes rubricas:</w:t>
      </w:r>
    </w:p>
    <w:p w14:paraId="2DFD9664" w14:textId="314CC29B" w:rsidR="00240448" w:rsidRPr="00240448" w:rsidRDefault="00240448" w:rsidP="00240448">
      <w:pPr>
        <w:autoSpaceDE w:val="0"/>
        <w:autoSpaceDN w:val="0"/>
        <w:adjustRightInd w:val="0"/>
        <w:spacing w:after="0" w:line="240" w:lineRule="auto"/>
        <w:jc w:val="both"/>
        <w:rPr>
          <w:rFonts w:ascii="Calibri" w:eastAsia="Times New Roman" w:hAnsi="Calibri" w:cs="Calibri"/>
          <w:iCs/>
          <w:color w:val="002060"/>
          <w:kern w:val="0"/>
          <w14:ligatures w14:val="none"/>
        </w:rPr>
      </w:pPr>
      <w:r w:rsidRPr="00240448">
        <w:rPr>
          <w:rFonts w:ascii="Calibri" w:eastAsia="Times New Roman" w:hAnsi="Calibri" w:cs="Calibri"/>
          <w:iCs/>
          <w:color w:val="002060"/>
          <w:kern w:val="0"/>
          <w14:ligatures w14:val="none"/>
        </w:rPr>
        <w:t xml:space="preserve">(i) Serviços de Terceiros: aumento de 46,2% em relação ao mesmo período do ano anterior. Esse comportamento é justificado pelos seguintes fatos: i) acréscimo do contrato de manutenção da planta de rede de telecomunicações da Telebras, devido ao novo processo de licitação, que teve os preços majorados em relação ao contrato anterior; e </w:t>
      </w:r>
      <w:proofErr w:type="spellStart"/>
      <w:r w:rsidRPr="00240448">
        <w:rPr>
          <w:rFonts w:ascii="Calibri" w:eastAsia="Times New Roman" w:hAnsi="Calibri" w:cs="Calibri"/>
          <w:iCs/>
          <w:color w:val="002060"/>
          <w:kern w:val="0"/>
          <w14:ligatures w14:val="none"/>
        </w:rPr>
        <w:t>ii</w:t>
      </w:r>
      <w:proofErr w:type="spellEnd"/>
      <w:r w:rsidRPr="00240448">
        <w:rPr>
          <w:rFonts w:ascii="Calibri" w:eastAsia="Times New Roman" w:hAnsi="Calibri" w:cs="Calibri"/>
          <w:iCs/>
          <w:color w:val="002060"/>
          <w:kern w:val="0"/>
          <w14:ligatures w14:val="none"/>
        </w:rPr>
        <w:t>) incremento dos custos de manutenção da infraestrutura Satelital, em decorrência do aumento dos pontos de conexão ao satélite SGDC.</w:t>
      </w:r>
    </w:p>
    <w:p w14:paraId="540EE451" w14:textId="77777777" w:rsidR="00240448" w:rsidRPr="00240448" w:rsidRDefault="00240448" w:rsidP="00240448">
      <w:pPr>
        <w:autoSpaceDE w:val="0"/>
        <w:autoSpaceDN w:val="0"/>
        <w:adjustRightInd w:val="0"/>
        <w:spacing w:after="0" w:line="240" w:lineRule="auto"/>
        <w:jc w:val="both"/>
        <w:rPr>
          <w:rFonts w:ascii="Calibri" w:eastAsia="Times New Roman" w:hAnsi="Calibri" w:cs="Calibri"/>
          <w:iCs/>
          <w:color w:val="002060"/>
          <w:kern w:val="0"/>
          <w14:ligatures w14:val="none"/>
        </w:rPr>
      </w:pPr>
      <w:r w:rsidRPr="00240448">
        <w:rPr>
          <w:rFonts w:ascii="Calibri" w:eastAsia="Times New Roman" w:hAnsi="Calibri" w:cs="Calibri"/>
          <w:iCs/>
          <w:color w:val="002060"/>
          <w:kern w:val="0"/>
          <w14:ligatures w14:val="none"/>
        </w:rPr>
        <w:t>(</w:t>
      </w:r>
      <w:proofErr w:type="spellStart"/>
      <w:r w:rsidRPr="00240448">
        <w:rPr>
          <w:rFonts w:ascii="Calibri" w:eastAsia="Times New Roman" w:hAnsi="Calibri" w:cs="Calibri"/>
          <w:iCs/>
          <w:color w:val="002060"/>
          <w:kern w:val="0"/>
          <w14:ligatures w14:val="none"/>
        </w:rPr>
        <w:t>ii</w:t>
      </w:r>
      <w:proofErr w:type="spellEnd"/>
      <w:r w:rsidRPr="00240448">
        <w:rPr>
          <w:rFonts w:ascii="Calibri" w:eastAsia="Times New Roman" w:hAnsi="Calibri" w:cs="Calibri"/>
          <w:iCs/>
          <w:color w:val="002060"/>
          <w:kern w:val="0"/>
          <w14:ligatures w14:val="none"/>
        </w:rPr>
        <w:t xml:space="preserve">) Meios de Conexão e Transmissão: apresentou crescimento de 7,1% em relação ao mesmo período do ano anterior. Esse aumento foi impactado principalmente pelo serviço de Linha dedicada Industrial (EILD), devido aos reajustes de preços dos serviços contratados </w:t>
      </w:r>
      <w:proofErr w:type="gramStart"/>
      <w:r w:rsidRPr="00240448">
        <w:rPr>
          <w:rFonts w:ascii="Calibri" w:eastAsia="Times New Roman" w:hAnsi="Calibri" w:cs="Calibri"/>
          <w:iCs/>
          <w:color w:val="002060"/>
          <w:kern w:val="0"/>
          <w14:ligatures w14:val="none"/>
        </w:rPr>
        <w:t>e também</w:t>
      </w:r>
      <w:proofErr w:type="gramEnd"/>
      <w:r w:rsidRPr="00240448">
        <w:rPr>
          <w:rFonts w:ascii="Calibri" w:eastAsia="Times New Roman" w:hAnsi="Calibri" w:cs="Calibri"/>
          <w:iCs/>
          <w:color w:val="002060"/>
          <w:kern w:val="0"/>
          <w14:ligatures w14:val="none"/>
        </w:rPr>
        <w:t xml:space="preserve"> pelos novos contratos para atender as novas demandas. Os principais serviços que compõem essa rubrica são a Linha dedicada Industrial (EILD), que teve aumento de 17,8% e o serviço de Backbone, que teve queda de 1,3%.</w:t>
      </w:r>
    </w:p>
    <w:p w14:paraId="45BA8CF9" w14:textId="77777777" w:rsidR="00240448" w:rsidRPr="00240448" w:rsidRDefault="00240448" w:rsidP="00240448">
      <w:pPr>
        <w:autoSpaceDE w:val="0"/>
        <w:autoSpaceDN w:val="0"/>
        <w:adjustRightInd w:val="0"/>
        <w:spacing w:after="0" w:line="240" w:lineRule="auto"/>
        <w:jc w:val="both"/>
        <w:rPr>
          <w:rFonts w:ascii="Calibri" w:eastAsia="Times New Roman" w:hAnsi="Calibri" w:cs="Calibri"/>
          <w:iCs/>
          <w:color w:val="002060"/>
          <w:kern w:val="0"/>
          <w14:ligatures w14:val="none"/>
        </w:rPr>
      </w:pPr>
      <w:r w:rsidRPr="00240448">
        <w:rPr>
          <w:rFonts w:ascii="Calibri" w:eastAsia="Times New Roman" w:hAnsi="Calibri" w:cs="Calibri"/>
          <w:iCs/>
          <w:color w:val="002060"/>
          <w:kern w:val="0"/>
          <w14:ligatures w14:val="none"/>
        </w:rPr>
        <w:lastRenderedPageBreak/>
        <w:t>(</w:t>
      </w:r>
      <w:proofErr w:type="spellStart"/>
      <w:r w:rsidRPr="00240448">
        <w:rPr>
          <w:rFonts w:ascii="Calibri" w:eastAsia="Times New Roman" w:hAnsi="Calibri" w:cs="Calibri"/>
          <w:iCs/>
          <w:color w:val="002060"/>
          <w:kern w:val="0"/>
          <w14:ligatures w14:val="none"/>
        </w:rPr>
        <w:t>iii</w:t>
      </w:r>
      <w:proofErr w:type="spellEnd"/>
      <w:r w:rsidRPr="00240448">
        <w:rPr>
          <w:rFonts w:ascii="Calibri" w:eastAsia="Times New Roman" w:hAnsi="Calibri" w:cs="Calibri"/>
          <w:iCs/>
          <w:color w:val="002060"/>
          <w:kern w:val="0"/>
          <w14:ligatures w14:val="none"/>
        </w:rPr>
        <w:t>) Pessoal: A rubrica apresentou acréscimo de 10,4% explicado pelo aumento do quadro de pessoal, em função da convocação do pessoal aprovado no último concurso.</w:t>
      </w:r>
    </w:p>
    <w:p w14:paraId="147A4B5F" w14:textId="36492E24" w:rsidR="00240448" w:rsidRPr="00240448" w:rsidRDefault="00240448" w:rsidP="00240448">
      <w:pPr>
        <w:autoSpaceDE w:val="0"/>
        <w:autoSpaceDN w:val="0"/>
        <w:adjustRightInd w:val="0"/>
        <w:spacing w:after="0" w:line="240" w:lineRule="auto"/>
        <w:jc w:val="both"/>
        <w:rPr>
          <w:rFonts w:ascii="Calibri" w:eastAsia="Times New Roman" w:hAnsi="Calibri" w:cs="Calibri"/>
          <w:b/>
          <w:bCs/>
          <w:iCs/>
          <w:color w:val="002060"/>
          <w:kern w:val="0"/>
          <w14:ligatures w14:val="none"/>
        </w:rPr>
      </w:pPr>
      <w:bookmarkStart w:id="434" w:name="_Toc491337772"/>
      <w:r>
        <w:rPr>
          <w:rFonts w:ascii="Calibri" w:eastAsia="Times New Roman" w:hAnsi="Calibri" w:cs="Calibri"/>
          <w:b/>
          <w:bCs/>
          <w:iCs/>
          <w:color w:val="002060"/>
          <w:kern w:val="0"/>
          <w14:ligatures w14:val="none"/>
        </w:rPr>
        <w:t xml:space="preserve">30. </w:t>
      </w:r>
      <w:r w:rsidRPr="00240448">
        <w:rPr>
          <w:rFonts w:ascii="Calibri" w:eastAsia="Times New Roman" w:hAnsi="Calibri" w:cs="Calibri"/>
          <w:b/>
          <w:bCs/>
          <w:iCs/>
          <w:color w:val="002060"/>
          <w:kern w:val="0"/>
          <w14:ligatures w14:val="none"/>
        </w:rPr>
        <w:t>OUTRAS RECEITAS/(DESPESAS) OPERACIONAIS</w:t>
      </w:r>
      <w:bookmarkEnd w:id="434"/>
    </w:p>
    <w:tbl>
      <w:tblPr>
        <w:tblW w:w="5000" w:type="pct"/>
        <w:tblCellMar>
          <w:left w:w="70" w:type="dxa"/>
          <w:right w:w="70" w:type="dxa"/>
        </w:tblCellMar>
        <w:tblLook w:val="04A0" w:firstRow="1" w:lastRow="0" w:firstColumn="1" w:lastColumn="0" w:noHBand="0" w:noVBand="1"/>
      </w:tblPr>
      <w:tblGrid>
        <w:gridCol w:w="7190"/>
        <w:gridCol w:w="1286"/>
        <w:gridCol w:w="1285"/>
      </w:tblGrid>
      <w:tr w:rsidR="00240448" w:rsidRPr="00240448" w14:paraId="63F785C3" w14:textId="77777777" w:rsidTr="00446A14">
        <w:trPr>
          <w:trHeight w:val="238"/>
          <w:tblHeader/>
        </w:trPr>
        <w:tc>
          <w:tcPr>
            <w:tcW w:w="3683" w:type="pct"/>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6D4731C5" w14:textId="77777777" w:rsidR="00240448" w:rsidRPr="00240448" w:rsidRDefault="00240448" w:rsidP="00240448">
            <w:pPr>
              <w:spacing w:after="0" w:line="240" w:lineRule="auto"/>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Composição:</w:t>
            </w:r>
          </w:p>
        </w:tc>
        <w:tc>
          <w:tcPr>
            <w:tcW w:w="659" w:type="pct"/>
            <w:tcBorders>
              <w:top w:val="single" w:sz="8" w:space="0" w:color="auto"/>
              <w:left w:val="nil"/>
              <w:bottom w:val="single" w:sz="8" w:space="0" w:color="auto"/>
              <w:right w:val="single" w:sz="8" w:space="0" w:color="auto"/>
            </w:tcBorders>
            <w:shd w:val="clear" w:color="auto" w:fill="auto"/>
            <w:noWrap/>
            <w:vAlign w:val="center"/>
            <w:hideMark/>
          </w:tcPr>
          <w:p w14:paraId="5F4D3B51" w14:textId="77777777" w:rsidR="00240448" w:rsidRPr="00240448" w:rsidRDefault="00240448" w:rsidP="00240448">
            <w:pPr>
              <w:spacing w:after="0" w:line="240" w:lineRule="auto"/>
              <w:jc w:val="center"/>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31/12/2023</w:t>
            </w:r>
          </w:p>
        </w:tc>
        <w:tc>
          <w:tcPr>
            <w:tcW w:w="658" w:type="pct"/>
            <w:tcBorders>
              <w:top w:val="single" w:sz="8" w:space="0" w:color="auto"/>
              <w:left w:val="nil"/>
              <w:bottom w:val="single" w:sz="8" w:space="0" w:color="auto"/>
              <w:right w:val="single" w:sz="8" w:space="0" w:color="auto"/>
            </w:tcBorders>
            <w:shd w:val="clear" w:color="auto" w:fill="auto"/>
            <w:noWrap/>
            <w:vAlign w:val="center"/>
            <w:hideMark/>
          </w:tcPr>
          <w:p w14:paraId="30E969DE" w14:textId="77777777" w:rsidR="00240448" w:rsidRPr="00240448" w:rsidRDefault="00240448" w:rsidP="00240448">
            <w:pPr>
              <w:spacing w:after="0" w:line="240" w:lineRule="auto"/>
              <w:jc w:val="center"/>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 xml:space="preserve">31/12/2022 </w:t>
            </w:r>
          </w:p>
          <w:p w14:paraId="058F4284" w14:textId="77777777" w:rsidR="00240448" w:rsidRPr="00240448" w:rsidRDefault="00240448" w:rsidP="00240448">
            <w:pPr>
              <w:spacing w:after="0" w:line="240" w:lineRule="auto"/>
              <w:jc w:val="center"/>
              <w:rPr>
                <w:rFonts w:ascii="Arial" w:eastAsia="Times New Roman" w:hAnsi="Arial" w:cs="Arial"/>
                <w:b/>
                <w:bCs/>
                <w:color w:val="000000"/>
                <w:kern w:val="0"/>
                <w:sz w:val="14"/>
                <w:szCs w:val="14"/>
                <w:lang w:eastAsia="pt-BR"/>
                <w14:ligatures w14:val="none"/>
              </w:rPr>
            </w:pPr>
            <w:r w:rsidRPr="00240448">
              <w:rPr>
                <w:rFonts w:ascii="Arial" w:eastAsia="Times New Roman" w:hAnsi="Arial" w:cs="Arial"/>
                <w:b/>
                <w:bCs/>
                <w:color w:val="000000"/>
                <w:kern w:val="0"/>
                <w:sz w:val="14"/>
                <w:szCs w:val="14"/>
                <w:lang w:eastAsia="pt-BR"/>
                <w14:ligatures w14:val="none"/>
              </w:rPr>
              <w:t>Reapresentado</w:t>
            </w:r>
          </w:p>
        </w:tc>
      </w:tr>
      <w:tr w:rsidR="00240448" w:rsidRPr="00240448" w14:paraId="2751D5F2" w14:textId="77777777" w:rsidTr="00446A14">
        <w:trPr>
          <w:trHeight w:val="238"/>
        </w:trPr>
        <w:tc>
          <w:tcPr>
            <w:tcW w:w="3683" w:type="pct"/>
            <w:tcBorders>
              <w:top w:val="nil"/>
              <w:left w:val="single" w:sz="8" w:space="0" w:color="auto"/>
              <w:bottom w:val="single" w:sz="8" w:space="0" w:color="auto"/>
              <w:right w:val="single" w:sz="8" w:space="0" w:color="auto"/>
            </w:tcBorders>
            <w:shd w:val="clear" w:color="auto" w:fill="auto"/>
            <w:noWrap/>
            <w:vAlign w:val="center"/>
            <w:hideMark/>
          </w:tcPr>
          <w:p w14:paraId="29D37271" w14:textId="77777777" w:rsidR="00240448" w:rsidRPr="00240448" w:rsidRDefault="00240448" w:rsidP="00240448">
            <w:pPr>
              <w:spacing w:after="0" w:line="240" w:lineRule="auto"/>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Outras Receitas Operacionais</w:t>
            </w:r>
          </w:p>
        </w:tc>
        <w:tc>
          <w:tcPr>
            <w:tcW w:w="659" w:type="pct"/>
            <w:tcBorders>
              <w:top w:val="nil"/>
              <w:left w:val="nil"/>
              <w:bottom w:val="single" w:sz="8" w:space="0" w:color="auto"/>
              <w:right w:val="single" w:sz="8" w:space="0" w:color="auto"/>
            </w:tcBorders>
            <w:shd w:val="clear" w:color="auto" w:fill="auto"/>
            <w:noWrap/>
            <w:vAlign w:val="center"/>
            <w:hideMark/>
          </w:tcPr>
          <w:p w14:paraId="2FDA2268"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w:t>
            </w:r>
          </w:p>
        </w:tc>
        <w:tc>
          <w:tcPr>
            <w:tcW w:w="658" w:type="pct"/>
            <w:tcBorders>
              <w:top w:val="nil"/>
              <w:left w:val="nil"/>
              <w:bottom w:val="single" w:sz="8" w:space="0" w:color="auto"/>
              <w:right w:val="single" w:sz="8" w:space="0" w:color="auto"/>
            </w:tcBorders>
            <w:shd w:val="clear" w:color="auto" w:fill="auto"/>
            <w:noWrap/>
            <w:vAlign w:val="center"/>
            <w:hideMark/>
          </w:tcPr>
          <w:p w14:paraId="5E66C2F3"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w:t>
            </w:r>
          </w:p>
        </w:tc>
      </w:tr>
      <w:tr w:rsidR="00240448" w:rsidRPr="00240448" w14:paraId="7C1A1EAD" w14:textId="77777777" w:rsidTr="00446A14">
        <w:trPr>
          <w:trHeight w:val="238"/>
        </w:trPr>
        <w:tc>
          <w:tcPr>
            <w:tcW w:w="3683" w:type="pct"/>
            <w:tcBorders>
              <w:top w:val="nil"/>
              <w:left w:val="single" w:sz="8" w:space="0" w:color="auto"/>
              <w:bottom w:val="single" w:sz="8" w:space="0" w:color="auto"/>
              <w:right w:val="single" w:sz="8" w:space="0" w:color="auto"/>
            </w:tcBorders>
            <w:shd w:val="clear" w:color="auto" w:fill="auto"/>
            <w:noWrap/>
            <w:vAlign w:val="center"/>
            <w:hideMark/>
          </w:tcPr>
          <w:p w14:paraId="09896D73"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Subvenções Orçamentárias Recebidas (i)</w:t>
            </w:r>
          </w:p>
        </w:tc>
        <w:tc>
          <w:tcPr>
            <w:tcW w:w="659" w:type="pct"/>
            <w:tcBorders>
              <w:top w:val="nil"/>
              <w:left w:val="nil"/>
              <w:bottom w:val="single" w:sz="8" w:space="0" w:color="auto"/>
              <w:right w:val="single" w:sz="8" w:space="0" w:color="auto"/>
            </w:tcBorders>
            <w:shd w:val="clear" w:color="auto" w:fill="auto"/>
            <w:noWrap/>
            <w:vAlign w:val="center"/>
            <w:hideMark/>
          </w:tcPr>
          <w:p w14:paraId="783881A8"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240.187 </w:t>
            </w:r>
          </w:p>
        </w:tc>
        <w:tc>
          <w:tcPr>
            <w:tcW w:w="658" w:type="pct"/>
            <w:tcBorders>
              <w:top w:val="nil"/>
              <w:left w:val="nil"/>
              <w:bottom w:val="single" w:sz="8" w:space="0" w:color="auto"/>
              <w:right w:val="single" w:sz="8" w:space="0" w:color="auto"/>
            </w:tcBorders>
            <w:shd w:val="clear" w:color="auto" w:fill="auto"/>
            <w:noWrap/>
            <w:vAlign w:val="center"/>
            <w:hideMark/>
          </w:tcPr>
          <w:p w14:paraId="2AD302AB"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241.525 </w:t>
            </w:r>
          </w:p>
        </w:tc>
      </w:tr>
      <w:tr w:rsidR="00240448" w:rsidRPr="00240448" w14:paraId="087E9B86" w14:textId="77777777" w:rsidTr="00446A14">
        <w:trPr>
          <w:trHeight w:val="238"/>
        </w:trPr>
        <w:tc>
          <w:tcPr>
            <w:tcW w:w="3683" w:type="pct"/>
            <w:tcBorders>
              <w:top w:val="nil"/>
              <w:left w:val="single" w:sz="8" w:space="0" w:color="auto"/>
              <w:bottom w:val="single" w:sz="8" w:space="0" w:color="auto"/>
              <w:right w:val="single" w:sz="8" w:space="0" w:color="auto"/>
            </w:tcBorders>
            <w:shd w:val="clear" w:color="auto" w:fill="auto"/>
            <w:noWrap/>
            <w:vAlign w:val="center"/>
            <w:hideMark/>
          </w:tcPr>
          <w:p w14:paraId="1117DAC5"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Superávit de Previdência Privada (</w:t>
            </w:r>
            <w:proofErr w:type="spellStart"/>
            <w:r w:rsidRPr="00240448">
              <w:rPr>
                <w:rFonts w:ascii="Arial" w:eastAsia="Times New Roman" w:hAnsi="Arial" w:cs="Arial"/>
                <w:color w:val="000000"/>
                <w:kern w:val="0"/>
                <w:sz w:val="18"/>
                <w:szCs w:val="18"/>
                <w:lang w:eastAsia="pt-BR"/>
                <w14:ligatures w14:val="none"/>
              </w:rPr>
              <w:t>ii</w:t>
            </w:r>
            <w:proofErr w:type="spellEnd"/>
            <w:r w:rsidRPr="00240448">
              <w:rPr>
                <w:rFonts w:ascii="Arial" w:eastAsia="Times New Roman" w:hAnsi="Arial" w:cs="Arial"/>
                <w:color w:val="000000"/>
                <w:kern w:val="0"/>
                <w:sz w:val="18"/>
                <w:szCs w:val="18"/>
                <w:lang w:eastAsia="pt-BR"/>
                <w14:ligatures w14:val="none"/>
              </w:rPr>
              <w:t>)</w:t>
            </w:r>
          </w:p>
        </w:tc>
        <w:tc>
          <w:tcPr>
            <w:tcW w:w="659" w:type="pct"/>
            <w:tcBorders>
              <w:top w:val="nil"/>
              <w:left w:val="nil"/>
              <w:bottom w:val="single" w:sz="8" w:space="0" w:color="auto"/>
              <w:right w:val="single" w:sz="8" w:space="0" w:color="auto"/>
            </w:tcBorders>
            <w:shd w:val="clear" w:color="auto" w:fill="auto"/>
            <w:noWrap/>
            <w:vAlign w:val="center"/>
            <w:hideMark/>
          </w:tcPr>
          <w:p w14:paraId="5B307E39"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33.912 </w:t>
            </w:r>
          </w:p>
        </w:tc>
        <w:tc>
          <w:tcPr>
            <w:tcW w:w="658" w:type="pct"/>
            <w:tcBorders>
              <w:top w:val="nil"/>
              <w:left w:val="nil"/>
              <w:bottom w:val="single" w:sz="8" w:space="0" w:color="auto"/>
              <w:right w:val="single" w:sz="8" w:space="0" w:color="auto"/>
            </w:tcBorders>
            <w:shd w:val="clear" w:color="auto" w:fill="auto"/>
            <w:noWrap/>
            <w:vAlign w:val="center"/>
            <w:hideMark/>
          </w:tcPr>
          <w:p w14:paraId="6E67358F"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 </w:t>
            </w:r>
          </w:p>
        </w:tc>
      </w:tr>
      <w:tr w:rsidR="00240448" w:rsidRPr="00240448" w14:paraId="6349E410" w14:textId="77777777" w:rsidTr="00446A14">
        <w:trPr>
          <w:trHeight w:val="238"/>
        </w:trPr>
        <w:tc>
          <w:tcPr>
            <w:tcW w:w="3683" w:type="pct"/>
            <w:tcBorders>
              <w:top w:val="nil"/>
              <w:left w:val="single" w:sz="8" w:space="0" w:color="auto"/>
              <w:bottom w:val="single" w:sz="8" w:space="0" w:color="auto"/>
              <w:right w:val="single" w:sz="8" w:space="0" w:color="auto"/>
            </w:tcBorders>
            <w:shd w:val="clear" w:color="auto" w:fill="auto"/>
            <w:noWrap/>
            <w:vAlign w:val="center"/>
            <w:hideMark/>
          </w:tcPr>
          <w:p w14:paraId="7C211ECB"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Reversão de Prov. para Riscos Trabalhistas, Cíveis e Fiscais</w:t>
            </w:r>
          </w:p>
        </w:tc>
        <w:tc>
          <w:tcPr>
            <w:tcW w:w="659" w:type="pct"/>
            <w:tcBorders>
              <w:top w:val="nil"/>
              <w:left w:val="nil"/>
              <w:bottom w:val="single" w:sz="8" w:space="0" w:color="auto"/>
              <w:right w:val="single" w:sz="8" w:space="0" w:color="auto"/>
            </w:tcBorders>
            <w:shd w:val="clear" w:color="auto" w:fill="auto"/>
            <w:noWrap/>
            <w:vAlign w:val="center"/>
            <w:hideMark/>
          </w:tcPr>
          <w:p w14:paraId="1DA75E04"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9.213 </w:t>
            </w:r>
          </w:p>
        </w:tc>
        <w:tc>
          <w:tcPr>
            <w:tcW w:w="658" w:type="pct"/>
            <w:tcBorders>
              <w:top w:val="nil"/>
              <w:left w:val="nil"/>
              <w:bottom w:val="single" w:sz="8" w:space="0" w:color="auto"/>
              <w:right w:val="single" w:sz="8" w:space="0" w:color="auto"/>
            </w:tcBorders>
            <w:shd w:val="clear" w:color="auto" w:fill="auto"/>
            <w:noWrap/>
            <w:vAlign w:val="center"/>
            <w:hideMark/>
          </w:tcPr>
          <w:p w14:paraId="38CE7421"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8.550 </w:t>
            </w:r>
          </w:p>
        </w:tc>
      </w:tr>
      <w:tr w:rsidR="00240448" w:rsidRPr="00240448" w14:paraId="230B51D9" w14:textId="77777777" w:rsidTr="00446A14">
        <w:trPr>
          <w:trHeight w:val="238"/>
        </w:trPr>
        <w:tc>
          <w:tcPr>
            <w:tcW w:w="3683" w:type="pct"/>
            <w:tcBorders>
              <w:top w:val="nil"/>
              <w:left w:val="single" w:sz="8" w:space="0" w:color="auto"/>
              <w:bottom w:val="single" w:sz="8" w:space="0" w:color="auto"/>
              <w:right w:val="single" w:sz="8" w:space="0" w:color="auto"/>
            </w:tcBorders>
            <w:shd w:val="clear" w:color="auto" w:fill="auto"/>
            <w:noWrap/>
            <w:vAlign w:val="center"/>
            <w:hideMark/>
          </w:tcPr>
          <w:p w14:paraId="24BF1DFE"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Recuperação de Tributos </w:t>
            </w:r>
          </w:p>
        </w:tc>
        <w:tc>
          <w:tcPr>
            <w:tcW w:w="659" w:type="pct"/>
            <w:tcBorders>
              <w:top w:val="nil"/>
              <w:left w:val="nil"/>
              <w:bottom w:val="single" w:sz="8" w:space="0" w:color="auto"/>
              <w:right w:val="single" w:sz="8" w:space="0" w:color="auto"/>
            </w:tcBorders>
            <w:shd w:val="clear" w:color="auto" w:fill="auto"/>
            <w:noWrap/>
            <w:vAlign w:val="center"/>
            <w:hideMark/>
          </w:tcPr>
          <w:p w14:paraId="52EE6D7E"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9.450 </w:t>
            </w:r>
          </w:p>
        </w:tc>
        <w:tc>
          <w:tcPr>
            <w:tcW w:w="658" w:type="pct"/>
            <w:tcBorders>
              <w:top w:val="nil"/>
              <w:left w:val="nil"/>
              <w:bottom w:val="single" w:sz="8" w:space="0" w:color="auto"/>
              <w:right w:val="single" w:sz="8" w:space="0" w:color="auto"/>
            </w:tcBorders>
            <w:shd w:val="clear" w:color="auto" w:fill="auto"/>
            <w:noWrap/>
            <w:vAlign w:val="center"/>
            <w:hideMark/>
          </w:tcPr>
          <w:p w14:paraId="1FEB5AE9"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3.041 </w:t>
            </w:r>
          </w:p>
        </w:tc>
      </w:tr>
      <w:tr w:rsidR="00240448" w:rsidRPr="00240448" w14:paraId="5DA08A91" w14:textId="77777777" w:rsidTr="00446A14">
        <w:trPr>
          <w:trHeight w:val="238"/>
        </w:trPr>
        <w:tc>
          <w:tcPr>
            <w:tcW w:w="3683" w:type="pct"/>
            <w:tcBorders>
              <w:top w:val="nil"/>
              <w:left w:val="single" w:sz="8" w:space="0" w:color="auto"/>
              <w:bottom w:val="single" w:sz="8" w:space="0" w:color="auto"/>
              <w:right w:val="single" w:sz="8" w:space="0" w:color="auto"/>
            </w:tcBorders>
            <w:shd w:val="clear" w:color="auto" w:fill="auto"/>
            <w:noWrap/>
            <w:vAlign w:val="center"/>
            <w:hideMark/>
          </w:tcPr>
          <w:p w14:paraId="044FA3F7"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Multas sobre Contas a Receber</w:t>
            </w:r>
          </w:p>
        </w:tc>
        <w:tc>
          <w:tcPr>
            <w:tcW w:w="659" w:type="pct"/>
            <w:tcBorders>
              <w:top w:val="nil"/>
              <w:left w:val="nil"/>
              <w:bottom w:val="single" w:sz="8" w:space="0" w:color="auto"/>
              <w:right w:val="single" w:sz="8" w:space="0" w:color="auto"/>
            </w:tcBorders>
            <w:shd w:val="clear" w:color="auto" w:fill="auto"/>
            <w:noWrap/>
            <w:vAlign w:val="center"/>
            <w:hideMark/>
          </w:tcPr>
          <w:p w14:paraId="7E51DBB2"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2.817 </w:t>
            </w:r>
          </w:p>
        </w:tc>
        <w:tc>
          <w:tcPr>
            <w:tcW w:w="658" w:type="pct"/>
            <w:tcBorders>
              <w:top w:val="nil"/>
              <w:left w:val="nil"/>
              <w:bottom w:val="single" w:sz="8" w:space="0" w:color="auto"/>
              <w:right w:val="single" w:sz="8" w:space="0" w:color="auto"/>
            </w:tcBorders>
            <w:shd w:val="clear" w:color="auto" w:fill="auto"/>
            <w:noWrap/>
            <w:vAlign w:val="center"/>
            <w:hideMark/>
          </w:tcPr>
          <w:p w14:paraId="256638DF"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713 </w:t>
            </w:r>
          </w:p>
        </w:tc>
      </w:tr>
      <w:tr w:rsidR="00240448" w:rsidRPr="00240448" w14:paraId="5685AC82" w14:textId="77777777" w:rsidTr="00446A14">
        <w:trPr>
          <w:trHeight w:val="238"/>
        </w:trPr>
        <w:tc>
          <w:tcPr>
            <w:tcW w:w="3683" w:type="pct"/>
            <w:tcBorders>
              <w:top w:val="nil"/>
              <w:left w:val="single" w:sz="8" w:space="0" w:color="auto"/>
              <w:bottom w:val="single" w:sz="8" w:space="0" w:color="auto"/>
              <w:right w:val="single" w:sz="8" w:space="0" w:color="auto"/>
            </w:tcBorders>
            <w:shd w:val="clear" w:color="auto" w:fill="auto"/>
            <w:noWrap/>
            <w:vAlign w:val="center"/>
            <w:hideMark/>
          </w:tcPr>
          <w:p w14:paraId="72F0C86B"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Ganho sobre Passivo </w:t>
            </w:r>
          </w:p>
        </w:tc>
        <w:tc>
          <w:tcPr>
            <w:tcW w:w="659" w:type="pct"/>
            <w:tcBorders>
              <w:top w:val="nil"/>
              <w:left w:val="nil"/>
              <w:bottom w:val="single" w:sz="8" w:space="0" w:color="auto"/>
              <w:right w:val="single" w:sz="8" w:space="0" w:color="auto"/>
            </w:tcBorders>
            <w:shd w:val="clear" w:color="auto" w:fill="auto"/>
            <w:noWrap/>
            <w:vAlign w:val="center"/>
            <w:hideMark/>
          </w:tcPr>
          <w:p w14:paraId="1A45B8B8"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417 </w:t>
            </w:r>
          </w:p>
        </w:tc>
        <w:tc>
          <w:tcPr>
            <w:tcW w:w="658" w:type="pct"/>
            <w:tcBorders>
              <w:top w:val="nil"/>
              <w:left w:val="nil"/>
              <w:bottom w:val="single" w:sz="8" w:space="0" w:color="auto"/>
              <w:right w:val="single" w:sz="8" w:space="0" w:color="auto"/>
            </w:tcBorders>
            <w:shd w:val="clear" w:color="auto" w:fill="auto"/>
            <w:noWrap/>
            <w:vAlign w:val="center"/>
            <w:hideMark/>
          </w:tcPr>
          <w:p w14:paraId="7FCC2A74"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474 </w:t>
            </w:r>
          </w:p>
        </w:tc>
      </w:tr>
      <w:tr w:rsidR="00240448" w:rsidRPr="00240448" w14:paraId="520A95C3" w14:textId="77777777" w:rsidTr="00446A14">
        <w:trPr>
          <w:trHeight w:val="238"/>
        </w:trPr>
        <w:tc>
          <w:tcPr>
            <w:tcW w:w="3683" w:type="pct"/>
            <w:tcBorders>
              <w:top w:val="nil"/>
              <w:left w:val="single" w:sz="8" w:space="0" w:color="auto"/>
              <w:bottom w:val="single" w:sz="8" w:space="0" w:color="auto"/>
              <w:right w:val="single" w:sz="8" w:space="0" w:color="auto"/>
            </w:tcBorders>
            <w:shd w:val="clear" w:color="auto" w:fill="auto"/>
            <w:noWrap/>
            <w:vAlign w:val="center"/>
            <w:hideMark/>
          </w:tcPr>
          <w:p w14:paraId="6137E78B"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Reversão de provisão de Tributos Municipais</w:t>
            </w:r>
          </w:p>
        </w:tc>
        <w:tc>
          <w:tcPr>
            <w:tcW w:w="659" w:type="pct"/>
            <w:tcBorders>
              <w:top w:val="nil"/>
              <w:left w:val="nil"/>
              <w:bottom w:val="single" w:sz="8" w:space="0" w:color="auto"/>
              <w:right w:val="single" w:sz="8" w:space="0" w:color="auto"/>
            </w:tcBorders>
            <w:shd w:val="clear" w:color="auto" w:fill="auto"/>
            <w:noWrap/>
            <w:vAlign w:val="center"/>
            <w:hideMark/>
          </w:tcPr>
          <w:p w14:paraId="38BAA40D"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276 </w:t>
            </w:r>
          </w:p>
        </w:tc>
        <w:tc>
          <w:tcPr>
            <w:tcW w:w="658" w:type="pct"/>
            <w:tcBorders>
              <w:top w:val="nil"/>
              <w:left w:val="nil"/>
              <w:bottom w:val="single" w:sz="8" w:space="0" w:color="auto"/>
              <w:right w:val="single" w:sz="8" w:space="0" w:color="auto"/>
            </w:tcBorders>
            <w:shd w:val="clear" w:color="auto" w:fill="auto"/>
            <w:noWrap/>
            <w:vAlign w:val="center"/>
            <w:hideMark/>
          </w:tcPr>
          <w:p w14:paraId="6B34576B"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   </w:t>
            </w:r>
          </w:p>
        </w:tc>
      </w:tr>
      <w:tr w:rsidR="00240448" w:rsidRPr="00240448" w14:paraId="44ECF779" w14:textId="77777777" w:rsidTr="00446A14">
        <w:trPr>
          <w:trHeight w:val="238"/>
        </w:trPr>
        <w:tc>
          <w:tcPr>
            <w:tcW w:w="3683" w:type="pct"/>
            <w:tcBorders>
              <w:top w:val="nil"/>
              <w:left w:val="single" w:sz="8" w:space="0" w:color="auto"/>
              <w:bottom w:val="single" w:sz="8" w:space="0" w:color="auto"/>
              <w:right w:val="single" w:sz="8" w:space="0" w:color="auto"/>
            </w:tcBorders>
            <w:shd w:val="clear" w:color="auto" w:fill="auto"/>
            <w:noWrap/>
            <w:vAlign w:val="center"/>
            <w:hideMark/>
          </w:tcPr>
          <w:p w14:paraId="7B203746"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Recuperação de Despesas (Reembolso de Seguro)</w:t>
            </w:r>
          </w:p>
        </w:tc>
        <w:tc>
          <w:tcPr>
            <w:tcW w:w="659" w:type="pct"/>
            <w:tcBorders>
              <w:top w:val="nil"/>
              <w:left w:val="nil"/>
              <w:bottom w:val="single" w:sz="8" w:space="0" w:color="auto"/>
              <w:right w:val="single" w:sz="8" w:space="0" w:color="auto"/>
            </w:tcBorders>
            <w:shd w:val="clear" w:color="auto" w:fill="auto"/>
            <w:noWrap/>
            <w:vAlign w:val="center"/>
            <w:hideMark/>
          </w:tcPr>
          <w:p w14:paraId="1DF565AD"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205 </w:t>
            </w:r>
          </w:p>
        </w:tc>
        <w:tc>
          <w:tcPr>
            <w:tcW w:w="658" w:type="pct"/>
            <w:tcBorders>
              <w:top w:val="nil"/>
              <w:left w:val="nil"/>
              <w:bottom w:val="single" w:sz="8" w:space="0" w:color="auto"/>
              <w:right w:val="single" w:sz="8" w:space="0" w:color="auto"/>
            </w:tcBorders>
            <w:shd w:val="clear" w:color="auto" w:fill="auto"/>
            <w:noWrap/>
            <w:vAlign w:val="center"/>
            <w:hideMark/>
          </w:tcPr>
          <w:p w14:paraId="6A4A7164"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254 </w:t>
            </w:r>
          </w:p>
        </w:tc>
      </w:tr>
      <w:tr w:rsidR="00240448" w:rsidRPr="00240448" w14:paraId="3C440ECD" w14:textId="77777777" w:rsidTr="00446A14">
        <w:trPr>
          <w:trHeight w:val="238"/>
        </w:trPr>
        <w:tc>
          <w:tcPr>
            <w:tcW w:w="3683" w:type="pct"/>
            <w:tcBorders>
              <w:top w:val="nil"/>
              <w:left w:val="single" w:sz="8" w:space="0" w:color="auto"/>
              <w:bottom w:val="single" w:sz="8" w:space="0" w:color="auto"/>
              <w:right w:val="single" w:sz="8" w:space="0" w:color="auto"/>
            </w:tcBorders>
            <w:shd w:val="clear" w:color="auto" w:fill="auto"/>
            <w:noWrap/>
            <w:vAlign w:val="center"/>
            <w:hideMark/>
          </w:tcPr>
          <w:p w14:paraId="51DEB73F"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Recuperação de Baixa de Ativos (Contas a Receber)</w:t>
            </w:r>
          </w:p>
        </w:tc>
        <w:tc>
          <w:tcPr>
            <w:tcW w:w="659" w:type="pct"/>
            <w:tcBorders>
              <w:top w:val="nil"/>
              <w:left w:val="nil"/>
              <w:bottom w:val="single" w:sz="8" w:space="0" w:color="auto"/>
              <w:right w:val="single" w:sz="8" w:space="0" w:color="auto"/>
            </w:tcBorders>
            <w:shd w:val="clear" w:color="auto" w:fill="auto"/>
            <w:noWrap/>
            <w:vAlign w:val="center"/>
            <w:hideMark/>
          </w:tcPr>
          <w:p w14:paraId="6828C101"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   </w:t>
            </w:r>
          </w:p>
        </w:tc>
        <w:tc>
          <w:tcPr>
            <w:tcW w:w="658" w:type="pct"/>
            <w:tcBorders>
              <w:top w:val="nil"/>
              <w:left w:val="nil"/>
              <w:bottom w:val="single" w:sz="8" w:space="0" w:color="auto"/>
              <w:right w:val="single" w:sz="8" w:space="0" w:color="auto"/>
            </w:tcBorders>
            <w:shd w:val="clear" w:color="auto" w:fill="auto"/>
            <w:noWrap/>
            <w:vAlign w:val="center"/>
            <w:hideMark/>
          </w:tcPr>
          <w:p w14:paraId="7E812A63"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125 </w:t>
            </w:r>
          </w:p>
        </w:tc>
      </w:tr>
      <w:tr w:rsidR="00240448" w:rsidRPr="00240448" w14:paraId="2694CE29" w14:textId="77777777" w:rsidTr="00446A14">
        <w:trPr>
          <w:trHeight w:val="238"/>
        </w:trPr>
        <w:tc>
          <w:tcPr>
            <w:tcW w:w="3683" w:type="pct"/>
            <w:tcBorders>
              <w:top w:val="nil"/>
              <w:left w:val="single" w:sz="8" w:space="0" w:color="auto"/>
              <w:bottom w:val="single" w:sz="8" w:space="0" w:color="auto"/>
              <w:right w:val="single" w:sz="8" w:space="0" w:color="auto"/>
            </w:tcBorders>
            <w:shd w:val="clear" w:color="auto" w:fill="auto"/>
            <w:noWrap/>
            <w:vAlign w:val="center"/>
            <w:hideMark/>
          </w:tcPr>
          <w:p w14:paraId="19F8AB9C"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Dividendos Recebidos</w:t>
            </w:r>
          </w:p>
        </w:tc>
        <w:tc>
          <w:tcPr>
            <w:tcW w:w="659" w:type="pct"/>
            <w:tcBorders>
              <w:top w:val="nil"/>
              <w:left w:val="nil"/>
              <w:bottom w:val="single" w:sz="8" w:space="0" w:color="auto"/>
              <w:right w:val="single" w:sz="8" w:space="0" w:color="auto"/>
            </w:tcBorders>
            <w:shd w:val="clear" w:color="auto" w:fill="auto"/>
            <w:noWrap/>
            <w:vAlign w:val="center"/>
            <w:hideMark/>
          </w:tcPr>
          <w:p w14:paraId="73DC510B"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   </w:t>
            </w:r>
          </w:p>
        </w:tc>
        <w:tc>
          <w:tcPr>
            <w:tcW w:w="658" w:type="pct"/>
            <w:tcBorders>
              <w:top w:val="nil"/>
              <w:left w:val="nil"/>
              <w:bottom w:val="single" w:sz="8" w:space="0" w:color="auto"/>
              <w:right w:val="single" w:sz="8" w:space="0" w:color="auto"/>
            </w:tcBorders>
            <w:shd w:val="clear" w:color="auto" w:fill="auto"/>
            <w:noWrap/>
            <w:vAlign w:val="center"/>
            <w:hideMark/>
          </w:tcPr>
          <w:p w14:paraId="661DF6E0"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63 </w:t>
            </w:r>
          </w:p>
        </w:tc>
      </w:tr>
      <w:tr w:rsidR="00240448" w:rsidRPr="00240448" w14:paraId="1C993BF5" w14:textId="77777777" w:rsidTr="00446A14">
        <w:trPr>
          <w:trHeight w:val="238"/>
        </w:trPr>
        <w:tc>
          <w:tcPr>
            <w:tcW w:w="3683" w:type="pct"/>
            <w:tcBorders>
              <w:top w:val="nil"/>
              <w:left w:val="single" w:sz="8" w:space="0" w:color="auto"/>
              <w:bottom w:val="single" w:sz="8" w:space="0" w:color="auto"/>
              <w:right w:val="single" w:sz="8" w:space="0" w:color="auto"/>
            </w:tcBorders>
            <w:shd w:val="clear" w:color="auto" w:fill="auto"/>
            <w:noWrap/>
            <w:vAlign w:val="center"/>
            <w:hideMark/>
          </w:tcPr>
          <w:p w14:paraId="35B5CC1E"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Recuperação de Depósitos Judiciais</w:t>
            </w:r>
          </w:p>
        </w:tc>
        <w:tc>
          <w:tcPr>
            <w:tcW w:w="659" w:type="pct"/>
            <w:tcBorders>
              <w:top w:val="nil"/>
              <w:left w:val="nil"/>
              <w:bottom w:val="single" w:sz="8" w:space="0" w:color="auto"/>
              <w:right w:val="single" w:sz="8" w:space="0" w:color="auto"/>
            </w:tcBorders>
            <w:shd w:val="clear" w:color="auto" w:fill="auto"/>
            <w:noWrap/>
            <w:vAlign w:val="center"/>
            <w:hideMark/>
          </w:tcPr>
          <w:p w14:paraId="1A6470D8"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   </w:t>
            </w:r>
          </w:p>
        </w:tc>
        <w:tc>
          <w:tcPr>
            <w:tcW w:w="658" w:type="pct"/>
            <w:tcBorders>
              <w:top w:val="nil"/>
              <w:left w:val="nil"/>
              <w:bottom w:val="single" w:sz="8" w:space="0" w:color="auto"/>
              <w:right w:val="single" w:sz="8" w:space="0" w:color="auto"/>
            </w:tcBorders>
            <w:shd w:val="clear" w:color="auto" w:fill="auto"/>
            <w:noWrap/>
            <w:vAlign w:val="center"/>
            <w:hideMark/>
          </w:tcPr>
          <w:p w14:paraId="1A49CF0F"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 </w:t>
            </w:r>
          </w:p>
        </w:tc>
      </w:tr>
      <w:tr w:rsidR="00240448" w:rsidRPr="00240448" w14:paraId="2075F6D3" w14:textId="77777777" w:rsidTr="00446A14">
        <w:trPr>
          <w:trHeight w:val="238"/>
        </w:trPr>
        <w:tc>
          <w:tcPr>
            <w:tcW w:w="3683" w:type="pct"/>
            <w:tcBorders>
              <w:top w:val="nil"/>
              <w:left w:val="single" w:sz="8" w:space="0" w:color="auto"/>
              <w:bottom w:val="single" w:sz="8" w:space="0" w:color="auto"/>
              <w:right w:val="single" w:sz="8" w:space="0" w:color="auto"/>
            </w:tcBorders>
            <w:shd w:val="clear" w:color="auto" w:fill="auto"/>
            <w:noWrap/>
            <w:vAlign w:val="center"/>
            <w:hideMark/>
          </w:tcPr>
          <w:p w14:paraId="3D9DE0C0"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Outras Receitas Operacionais</w:t>
            </w:r>
          </w:p>
        </w:tc>
        <w:tc>
          <w:tcPr>
            <w:tcW w:w="659" w:type="pct"/>
            <w:tcBorders>
              <w:top w:val="nil"/>
              <w:left w:val="nil"/>
              <w:bottom w:val="single" w:sz="8" w:space="0" w:color="auto"/>
              <w:right w:val="single" w:sz="8" w:space="0" w:color="auto"/>
            </w:tcBorders>
            <w:shd w:val="clear" w:color="auto" w:fill="auto"/>
            <w:noWrap/>
            <w:vAlign w:val="center"/>
            <w:hideMark/>
          </w:tcPr>
          <w:p w14:paraId="6CC3E8CF"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395 </w:t>
            </w:r>
          </w:p>
        </w:tc>
        <w:tc>
          <w:tcPr>
            <w:tcW w:w="658" w:type="pct"/>
            <w:tcBorders>
              <w:top w:val="nil"/>
              <w:left w:val="nil"/>
              <w:bottom w:val="single" w:sz="8" w:space="0" w:color="auto"/>
              <w:right w:val="single" w:sz="8" w:space="0" w:color="auto"/>
            </w:tcBorders>
            <w:shd w:val="clear" w:color="auto" w:fill="auto"/>
            <w:noWrap/>
            <w:vAlign w:val="center"/>
            <w:hideMark/>
          </w:tcPr>
          <w:p w14:paraId="32C73CD8"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710 </w:t>
            </w:r>
          </w:p>
        </w:tc>
      </w:tr>
      <w:tr w:rsidR="00240448" w:rsidRPr="00240448" w14:paraId="0CB22DC7" w14:textId="77777777" w:rsidTr="00446A14">
        <w:trPr>
          <w:trHeight w:val="238"/>
        </w:trPr>
        <w:tc>
          <w:tcPr>
            <w:tcW w:w="3683" w:type="pct"/>
            <w:tcBorders>
              <w:top w:val="nil"/>
              <w:left w:val="single" w:sz="8" w:space="0" w:color="auto"/>
              <w:bottom w:val="single" w:sz="8" w:space="0" w:color="auto"/>
              <w:right w:val="single" w:sz="8" w:space="0" w:color="auto"/>
            </w:tcBorders>
            <w:shd w:val="clear" w:color="auto" w:fill="auto"/>
            <w:noWrap/>
            <w:vAlign w:val="center"/>
            <w:hideMark/>
          </w:tcPr>
          <w:p w14:paraId="688AB3A6"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Tributos sobre Outras Receitas Operacionais</w:t>
            </w:r>
          </w:p>
        </w:tc>
        <w:tc>
          <w:tcPr>
            <w:tcW w:w="659" w:type="pct"/>
            <w:tcBorders>
              <w:top w:val="nil"/>
              <w:left w:val="nil"/>
              <w:bottom w:val="single" w:sz="8" w:space="0" w:color="auto"/>
              <w:right w:val="single" w:sz="8" w:space="0" w:color="auto"/>
            </w:tcBorders>
            <w:shd w:val="clear" w:color="auto" w:fill="auto"/>
            <w:noWrap/>
            <w:vAlign w:val="center"/>
            <w:hideMark/>
          </w:tcPr>
          <w:p w14:paraId="2C1ACD95"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 </w:t>
            </w:r>
          </w:p>
        </w:tc>
        <w:tc>
          <w:tcPr>
            <w:tcW w:w="658" w:type="pct"/>
            <w:tcBorders>
              <w:top w:val="nil"/>
              <w:left w:val="nil"/>
              <w:bottom w:val="single" w:sz="8" w:space="0" w:color="auto"/>
              <w:right w:val="single" w:sz="8" w:space="0" w:color="auto"/>
            </w:tcBorders>
            <w:shd w:val="clear" w:color="auto" w:fill="auto"/>
            <w:noWrap/>
            <w:vAlign w:val="center"/>
            <w:hideMark/>
          </w:tcPr>
          <w:p w14:paraId="1B4DA4A6"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 </w:t>
            </w:r>
          </w:p>
        </w:tc>
      </w:tr>
      <w:tr w:rsidR="00240448" w:rsidRPr="00240448" w14:paraId="5B0B8E7F" w14:textId="77777777" w:rsidTr="00446A14">
        <w:trPr>
          <w:trHeight w:val="238"/>
        </w:trPr>
        <w:tc>
          <w:tcPr>
            <w:tcW w:w="3683" w:type="pct"/>
            <w:tcBorders>
              <w:top w:val="nil"/>
              <w:left w:val="single" w:sz="8" w:space="0" w:color="auto"/>
              <w:bottom w:val="single" w:sz="8" w:space="0" w:color="auto"/>
              <w:right w:val="single" w:sz="8" w:space="0" w:color="auto"/>
            </w:tcBorders>
            <w:shd w:val="clear" w:color="auto" w:fill="auto"/>
            <w:vAlign w:val="center"/>
            <w:hideMark/>
          </w:tcPr>
          <w:p w14:paraId="2A92EAFC" w14:textId="77777777" w:rsidR="00240448" w:rsidRPr="00240448" w:rsidRDefault="00240448" w:rsidP="00240448">
            <w:pPr>
              <w:spacing w:after="0" w:line="240" w:lineRule="auto"/>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 xml:space="preserve"> Total </w:t>
            </w:r>
          </w:p>
        </w:tc>
        <w:tc>
          <w:tcPr>
            <w:tcW w:w="659" w:type="pct"/>
            <w:tcBorders>
              <w:top w:val="nil"/>
              <w:left w:val="nil"/>
              <w:bottom w:val="single" w:sz="8" w:space="0" w:color="auto"/>
              <w:right w:val="single" w:sz="8" w:space="0" w:color="auto"/>
            </w:tcBorders>
            <w:shd w:val="clear" w:color="auto" w:fill="auto"/>
            <w:noWrap/>
            <w:vAlign w:val="center"/>
            <w:hideMark/>
          </w:tcPr>
          <w:p w14:paraId="614D8828" w14:textId="77777777" w:rsidR="00240448" w:rsidRPr="00240448" w:rsidRDefault="00240448" w:rsidP="00240448">
            <w:pPr>
              <w:spacing w:after="0" w:line="240" w:lineRule="auto"/>
              <w:jc w:val="right"/>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296.872</w:t>
            </w:r>
          </w:p>
        </w:tc>
        <w:tc>
          <w:tcPr>
            <w:tcW w:w="658" w:type="pct"/>
            <w:tcBorders>
              <w:top w:val="nil"/>
              <w:left w:val="nil"/>
              <w:bottom w:val="single" w:sz="8" w:space="0" w:color="auto"/>
              <w:right w:val="single" w:sz="8" w:space="0" w:color="auto"/>
            </w:tcBorders>
            <w:shd w:val="clear" w:color="auto" w:fill="auto"/>
            <w:noWrap/>
            <w:vAlign w:val="center"/>
            <w:hideMark/>
          </w:tcPr>
          <w:p w14:paraId="766D52BA" w14:textId="77777777" w:rsidR="00240448" w:rsidRPr="00240448" w:rsidRDefault="00240448" w:rsidP="00240448">
            <w:pPr>
              <w:spacing w:after="0" w:line="240" w:lineRule="auto"/>
              <w:jc w:val="right"/>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255.455</w:t>
            </w:r>
          </w:p>
        </w:tc>
      </w:tr>
      <w:tr w:rsidR="00240448" w:rsidRPr="00240448" w14:paraId="6882A93C" w14:textId="77777777" w:rsidTr="00446A14">
        <w:trPr>
          <w:trHeight w:val="238"/>
        </w:trPr>
        <w:tc>
          <w:tcPr>
            <w:tcW w:w="3683" w:type="pct"/>
            <w:tcBorders>
              <w:top w:val="nil"/>
              <w:left w:val="single" w:sz="8" w:space="0" w:color="auto"/>
              <w:bottom w:val="single" w:sz="8" w:space="0" w:color="auto"/>
              <w:right w:val="single" w:sz="8" w:space="0" w:color="auto"/>
            </w:tcBorders>
            <w:shd w:val="clear" w:color="auto" w:fill="auto"/>
            <w:vAlign w:val="center"/>
            <w:hideMark/>
          </w:tcPr>
          <w:p w14:paraId="656691C0" w14:textId="77777777" w:rsidR="00240448" w:rsidRPr="00240448" w:rsidRDefault="00240448" w:rsidP="00240448">
            <w:pPr>
              <w:spacing w:after="0" w:line="240" w:lineRule="auto"/>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 xml:space="preserve">Outras Despesas Operacionais </w:t>
            </w:r>
          </w:p>
        </w:tc>
        <w:tc>
          <w:tcPr>
            <w:tcW w:w="659" w:type="pct"/>
            <w:tcBorders>
              <w:top w:val="nil"/>
              <w:left w:val="nil"/>
              <w:bottom w:val="single" w:sz="8" w:space="0" w:color="auto"/>
              <w:right w:val="single" w:sz="8" w:space="0" w:color="auto"/>
            </w:tcBorders>
            <w:shd w:val="clear" w:color="auto" w:fill="auto"/>
            <w:noWrap/>
            <w:vAlign w:val="center"/>
            <w:hideMark/>
          </w:tcPr>
          <w:p w14:paraId="2AF25701"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w:t>
            </w:r>
          </w:p>
        </w:tc>
        <w:tc>
          <w:tcPr>
            <w:tcW w:w="658" w:type="pct"/>
            <w:tcBorders>
              <w:top w:val="nil"/>
              <w:left w:val="nil"/>
              <w:bottom w:val="single" w:sz="8" w:space="0" w:color="auto"/>
              <w:right w:val="single" w:sz="8" w:space="0" w:color="auto"/>
            </w:tcBorders>
            <w:shd w:val="clear" w:color="auto" w:fill="auto"/>
            <w:noWrap/>
            <w:vAlign w:val="center"/>
            <w:hideMark/>
          </w:tcPr>
          <w:p w14:paraId="2E009C8D"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w:t>
            </w:r>
          </w:p>
        </w:tc>
      </w:tr>
      <w:tr w:rsidR="00240448" w:rsidRPr="00240448" w14:paraId="2E744834" w14:textId="77777777" w:rsidTr="00446A14">
        <w:trPr>
          <w:trHeight w:val="238"/>
        </w:trPr>
        <w:tc>
          <w:tcPr>
            <w:tcW w:w="3683" w:type="pct"/>
            <w:tcBorders>
              <w:top w:val="nil"/>
              <w:left w:val="single" w:sz="8" w:space="0" w:color="auto"/>
              <w:bottom w:val="single" w:sz="8" w:space="0" w:color="auto"/>
              <w:right w:val="single" w:sz="8" w:space="0" w:color="auto"/>
            </w:tcBorders>
            <w:shd w:val="clear" w:color="auto" w:fill="auto"/>
            <w:noWrap/>
            <w:vAlign w:val="center"/>
            <w:hideMark/>
          </w:tcPr>
          <w:p w14:paraId="77A33EBB"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Multas sobre Contas a Receber – Contratos (</w:t>
            </w:r>
            <w:proofErr w:type="spellStart"/>
            <w:r w:rsidRPr="00240448">
              <w:rPr>
                <w:rFonts w:ascii="Arial" w:eastAsia="Times New Roman" w:hAnsi="Arial" w:cs="Arial"/>
                <w:color w:val="000000"/>
                <w:kern w:val="0"/>
                <w:sz w:val="18"/>
                <w:szCs w:val="18"/>
                <w:lang w:eastAsia="pt-BR"/>
                <w14:ligatures w14:val="none"/>
              </w:rPr>
              <w:t>iii</w:t>
            </w:r>
            <w:proofErr w:type="spellEnd"/>
            <w:r w:rsidRPr="00240448">
              <w:rPr>
                <w:rFonts w:ascii="Arial" w:eastAsia="Times New Roman" w:hAnsi="Arial" w:cs="Arial"/>
                <w:color w:val="000000"/>
                <w:kern w:val="0"/>
                <w:sz w:val="18"/>
                <w:szCs w:val="18"/>
                <w:lang w:eastAsia="pt-BR"/>
                <w14:ligatures w14:val="none"/>
              </w:rPr>
              <w:t>)</w:t>
            </w:r>
          </w:p>
        </w:tc>
        <w:tc>
          <w:tcPr>
            <w:tcW w:w="659" w:type="pct"/>
            <w:tcBorders>
              <w:top w:val="nil"/>
              <w:left w:val="nil"/>
              <w:bottom w:val="single" w:sz="8" w:space="0" w:color="auto"/>
              <w:right w:val="single" w:sz="8" w:space="0" w:color="auto"/>
            </w:tcBorders>
            <w:shd w:val="clear" w:color="auto" w:fill="auto"/>
            <w:noWrap/>
            <w:vAlign w:val="center"/>
            <w:hideMark/>
          </w:tcPr>
          <w:p w14:paraId="4CAA8744"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(40.034)</w:t>
            </w:r>
          </w:p>
        </w:tc>
        <w:tc>
          <w:tcPr>
            <w:tcW w:w="658" w:type="pct"/>
            <w:tcBorders>
              <w:top w:val="nil"/>
              <w:left w:val="nil"/>
              <w:bottom w:val="single" w:sz="8" w:space="0" w:color="auto"/>
              <w:right w:val="single" w:sz="8" w:space="0" w:color="auto"/>
            </w:tcBorders>
            <w:shd w:val="clear" w:color="auto" w:fill="auto"/>
            <w:noWrap/>
            <w:vAlign w:val="center"/>
            <w:hideMark/>
          </w:tcPr>
          <w:p w14:paraId="451414F1"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 </w:t>
            </w:r>
          </w:p>
        </w:tc>
      </w:tr>
      <w:tr w:rsidR="00240448" w:rsidRPr="00240448" w14:paraId="3D0DE370" w14:textId="77777777" w:rsidTr="00446A14">
        <w:trPr>
          <w:trHeight w:val="238"/>
        </w:trPr>
        <w:tc>
          <w:tcPr>
            <w:tcW w:w="3683" w:type="pct"/>
            <w:tcBorders>
              <w:top w:val="nil"/>
              <w:left w:val="single" w:sz="8" w:space="0" w:color="auto"/>
              <w:bottom w:val="single" w:sz="8" w:space="0" w:color="auto"/>
              <w:right w:val="single" w:sz="8" w:space="0" w:color="auto"/>
            </w:tcBorders>
            <w:shd w:val="clear" w:color="auto" w:fill="auto"/>
            <w:noWrap/>
            <w:vAlign w:val="center"/>
            <w:hideMark/>
          </w:tcPr>
          <w:p w14:paraId="3E02C6E3"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Tributos (</w:t>
            </w:r>
            <w:proofErr w:type="spellStart"/>
            <w:r w:rsidRPr="00240448">
              <w:rPr>
                <w:rFonts w:ascii="Arial" w:eastAsia="Times New Roman" w:hAnsi="Arial" w:cs="Arial"/>
                <w:color w:val="000000"/>
                <w:kern w:val="0"/>
                <w:sz w:val="18"/>
                <w:szCs w:val="18"/>
                <w:lang w:eastAsia="pt-BR"/>
                <w14:ligatures w14:val="none"/>
              </w:rPr>
              <w:t>iv</w:t>
            </w:r>
            <w:proofErr w:type="spellEnd"/>
            <w:r w:rsidRPr="00240448">
              <w:rPr>
                <w:rFonts w:ascii="Arial" w:eastAsia="Times New Roman" w:hAnsi="Arial" w:cs="Arial"/>
                <w:color w:val="000000"/>
                <w:kern w:val="0"/>
                <w:sz w:val="18"/>
                <w:szCs w:val="18"/>
                <w:lang w:eastAsia="pt-BR"/>
                <w14:ligatures w14:val="none"/>
              </w:rPr>
              <w:t>)</w:t>
            </w:r>
          </w:p>
        </w:tc>
        <w:tc>
          <w:tcPr>
            <w:tcW w:w="659" w:type="pct"/>
            <w:tcBorders>
              <w:top w:val="nil"/>
              <w:left w:val="nil"/>
              <w:bottom w:val="single" w:sz="8" w:space="0" w:color="auto"/>
              <w:right w:val="single" w:sz="8" w:space="0" w:color="auto"/>
            </w:tcBorders>
            <w:shd w:val="clear" w:color="auto" w:fill="auto"/>
            <w:noWrap/>
            <w:vAlign w:val="center"/>
            <w:hideMark/>
          </w:tcPr>
          <w:p w14:paraId="0B94BDB2"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(10.835)</w:t>
            </w:r>
          </w:p>
        </w:tc>
        <w:tc>
          <w:tcPr>
            <w:tcW w:w="658" w:type="pct"/>
            <w:tcBorders>
              <w:top w:val="nil"/>
              <w:left w:val="nil"/>
              <w:bottom w:val="single" w:sz="8" w:space="0" w:color="auto"/>
              <w:right w:val="single" w:sz="8" w:space="0" w:color="auto"/>
            </w:tcBorders>
            <w:shd w:val="clear" w:color="auto" w:fill="auto"/>
            <w:noWrap/>
            <w:vAlign w:val="center"/>
            <w:hideMark/>
          </w:tcPr>
          <w:p w14:paraId="643E1739"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(5.397)</w:t>
            </w:r>
          </w:p>
        </w:tc>
      </w:tr>
      <w:tr w:rsidR="00240448" w:rsidRPr="00240448" w14:paraId="3F11FDBE" w14:textId="77777777" w:rsidTr="00446A14">
        <w:trPr>
          <w:trHeight w:val="238"/>
        </w:trPr>
        <w:tc>
          <w:tcPr>
            <w:tcW w:w="3683" w:type="pct"/>
            <w:tcBorders>
              <w:top w:val="nil"/>
              <w:left w:val="single" w:sz="8" w:space="0" w:color="auto"/>
              <w:bottom w:val="single" w:sz="8" w:space="0" w:color="auto"/>
              <w:right w:val="single" w:sz="8" w:space="0" w:color="auto"/>
            </w:tcBorders>
            <w:shd w:val="clear" w:color="auto" w:fill="auto"/>
            <w:noWrap/>
            <w:vAlign w:val="center"/>
            <w:hideMark/>
          </w:tcPr>
          <w:p w14:paraId="58DB1195"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Multas sobre Passivos</w:t>
            </w:r>
          </w:p>
        </w:tc>
        <w:tc>
          <w:tcPr>
            <w:tcW w:w="659" w:type="pct"/>
            <w:tcBorders>
              <w:top w:val="nil"/>
              <w:left w:val="nil"/>
              <w:bottom w:val="single" w:sz="8" w:space="0" w:color="auto"/>
              <w:right w:val="single" w:sz="8" w:space="0" w:color="auto"/>
            </w:tcBorders>
            <w:shd w:val="clear" w:color="auto" w:fill="auto"/>
            <w:noWrap/>
            <w:vAlign w:val="center"/>
            <w:hideMark/>
          </w:tcPr>
          <w:p w14:paraId="673E6F6C"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(1.305)</w:t>
            </w:r>
          </w:p>
        </w:tc>
        <w:tc>
          <w:tcPr>
            <w:tcW w:w="658" w:type="pct"/>
            <w:tcBorders>
              <w:top w:val="nil"/>
              <w:left w:val="nil"/>
              <w:bottom w:val="single" w:sz="8" w:space="0" w:color="auto"/>
              <w:right w:val="single" w:sz="8" w:space="0" w:color="auto"/>
            </w:tcBorders>
            <w:shd w:val="clear" w:color="auto" w:fill="auto"/>
            <w:noWrap/>
            <w:vAlign w:val="center"/>
            <w:hideMark/>
          </w:tcPr>
          <w:p w14:paraId="61456A75"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(160)</w:t>
            </w:r>
          </w:p>
        </w:tc>
      </w:tr>
      <w:tr w:rsidR="00240448" w:rsidRPr="00240448" w14:paraId="0ECC54A2" w14:textId="77777777" w:rsidTr="00446A14">
        <w:trPr>
          <w:trHeight w:val="238"/>
        </w:trPr>
        <w:tc>
          <w:tcPr>
            <w:tcW w:w="3683" w:type="pct"/>
            <w:tcBorders>
              <w:top w:val="nil"/>
              <w:left w:val="single" w:sz="8" w:space="0" w:color="auto"/>
              <w:bottom w:val="single" w:sz="8" w:space="0" w:color="auto"/>
              <w:right w:val="single" w:sz="8" w:space="0" w:color="auto"/>
            </w:tcBorders>
            <w:shd w:val="clear" w:color="auto" w:fill="auto"/>
            <w:noWrap/>
            <w:vAlign w:val="center"/>
            <w:hideMark/>
          </w:tcPr>
          <w:p w14:paraId="304049CD"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Provisão para Riscos Trabalhistas, Cíveis e Fiscais</w:t>
            </w:r>
          </w:p>
        </w:tc>
        <w:tc>
          <w:tcPr>
            <w:tcW w:w="659" w:type="pct"/>
            <w:tcBorders>
              <w:top w:val="nil"/>
              <w:left w:val="nil"/>
              <w:bottom w:val="single" w:sz="8" w:space="0" w:color="auto"/>
              <w:right w:val="single" w:sz="8" w:space="0" w:color="auto"/>
            </w:tcBorders>
            <w:shd w:val="clear" w:color="auto" w:fill="auto"/>
            <w:noWrap/>
            <w:vAlign w:val="center"/>
            <w:hideMark/>
          </w:tcPr>
          <w:p w14:paraId="2D5C06E7"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(962)</w:t>
            </w:r>
          </w:p>
        </w:tc>
        <w:tc>
          <w:tcPr>
            <w:tcW w:w="658" w:type="pct"/>
            <w:tcBorders>
              <w:top w:val="nil"/>
              <w:left w:val="nil"/>
              <w:bottom w:val="single" w:sz="8" w:space="0" w:color="auto"/>
              <w:right w:val="single" w:sz="8" w:space="0" w:color="auto"/>
            </w:tcBorders>
            <w:shd w:val="clear" w:color="auto" w:fill="auto"/>
            <w:noWrap/>
            <w:vAlign w:val="center"/>
            <w:hideMark/>
          </w:tcPr>
          <w:p w14:paraId="3E81A60F"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(5.189)</w:t>
            </w:r>
          </w:p>
        </w:tc>
      </w:tr>
      <w:tr w:rsidR="00240448" w:rsidRPr="00240448" w14:paraId="7E91ED3A" w14:textId="77777777" w:rsidTr="00446A14">
        <w:trPr>
          <w:trHeight w:val="238"/>
        </w:trPr>
        <w:tc>
          <w:tcPr>
            <w:tcW w:w="3683" w:type="pct"/>
            <w:tcBorders>
              <w:top w:val="nil"/>
              <w:left w:val="single" w:sz="8" w:space="0" w:color="auto"/>
              <w:bottom w:val="single" w:sz="8" w:space="0" w:color="auto"/>
              <w:right w:val="single" w:sz="8" w:space="0" w:color="auto"/>
            </w:tcBorders>
            <w:shd w:val="clear" w:color="auto" w:fill="auto"/>
            <w:noWrap/>
            <w:vAlign w:val="center"/>
            <w:hideMark/>
          </w:tcPr>
          <w:p w14:paraId="4FD793C2"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Provisão para Perdas sobre Ativos</w:t>
            </w:r>
          </w:p>
        </w:tc>
        <w:tc>
          <w:tcPr>
            <w:tcW w:w="659" w:type="pct"/>
            <w:tcBorders>
              <w:top w:val="nil"/>
              <w:left w:val="nil"/>
              <w:bottom w:val="single" w:sz="8" w:space="0" w:color="auto"/>
              <w:right w:val="single" w:sz="8" w:space="0" w:color="auto"/>
            </w:tcBorders>
            <w:shd w:val="clear" w:color="auto" w:fill="auto"/>
            <w:noWrap/>
            <w:vAlign w:val="center"/>
            <w:hideMark/>
          </w:tcPr>
          <w:p w14:paraId="1C4C4934"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(849)</w:t>
            </w:r>
          </w:p>
        </w:tc>
        <w:tc>
          <w:tcPr>
            <w:tcW w:w="658" w:type="pct"/>
            <w:tcBorders>
              <w:top w:val="nil"/>
              <w:left w:val="nil"/>
              <w:bottom w:val="single" w:sz="8" w:space="0" w:color="auto"/>
              <w:right w:val="single" w:sz="8" w:space="0" w:color="auto"/>
            </w:tcBorders>
            <w:shd w:val="clear" w:color="auto" w:fill="auto"/>
            <w:noWrap/>
            <w:vAlign w:val="center"/>
            <w:hideMark/>
          </w:tcPr>
          <w:p w14:paraId="35A10D8F"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 </w:t>
            </w:r>
          </w:p>
        </w:tc>
      </w:tr>
      <w:tr w:rsidR="00240448" w:rsidRPr="00240448" w14:paraId="4E631032" w14:textId="77777777" w:rsidTr="00446A14">
        <w:trPr>
          <w:trHeight w:val="238"/>
        </w:trPr>
        <w:tc>
          <w:tcPr>
            <w:tcW w:w="3683" w:type="pct"/>
            <w:tcBorders>
              <w:top w:val="nil"/>
              <w:left w:val="single" w:sz="8" w:space="0" w:color="auto"/>
              <w:bottom w:val="single" w:sz="8" w:space="0" w:color="auto"/>
              <w:right w:val="single" w:sz="8" w:space="0" w:color="auto"/>
            </w:tcBorders>
            <w:shd w:val="clear" w:color="auto" w:fill="auto"/>
            <w:noWrap/>
            <w:vAlign w:val="center"/>
            <w:hideMark/>
          </w:tcPr>
          <w:p w14:paraId="3F46D8CF"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Baixa de Ativo por Perda - Depósitos Judiciais</w:t>
            </w:r>
          </w:p>
        </w:tc>
        <w:tc>
          <w:tcPr>
            <w:tcW w:w="659" w:type="pct"/>
            <w:tcBorders>
              <w:top w:val="nil"/>
              <w:left w:val="nil"/>
              <w:bottom w:val="single" w:sz="8" w:space="0" w:color="auto"/>
              <w:right w:val="single" w:sz="8" w:space="0" w:color="auto"/>
            </w:tcBorders>
            <w:shd w:val="clear" w:color="auto" w:fill="auto"/>
            <w:noWrap/>
            <w:vAlign w:val="center"/>
            <w:hideMark/>
          </w:tcPr>
          <w:p w14:paraId="1BF85817"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(572)</w:t>
            </w:r>
          </w:p>
        </w:tc>
        <w:tc>
          <w:tcPr>
            <w:tcW w:w="658" w:type="pct"/>
            <w:tcBorders>
              <w:top w:val="nil"/>
              <w:left w:val="nil"/>
              <w:bottom w:val="single" w:sz="8" w:space="0" w:color="auto"/>
              <w:right w:val="single" w:sz="8" w:space="0" w:color="auto"/>
            </w:tcBorders>
            <w:shd w:val="clear" w:color="auto" w:fill="auto"/>
            <w:noWrap/>
            <w:vAlign w:val="center"/>
            <w:hideMark/>
          </w:tcPr>
          <w:p w14:paraId="21582A7F"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 </w:t>
            </w:r>
          </w:p>
        </w:tc>
      </w:tr>
      <w:tr w:rsidR="00240448" w:rsidRPr="00240448" w14:paraId="19202A63" w14:textId="77777777" w:rsidTr="00446A14">
        <w:trPr>
          <w:trHeight w:val="238"/>
        </w:trPr>
        <w:tc>
          <w:tcPr>
            <w:tcW w:w="3683" w:type="pct"/>
            <w:tcBorders>
              <w:top w:val="nil"/>
              <w:left w:val="single" w:sz="8" w:space="0" w:color="auto"/>
              <w:bottom w:val="single" w:sz="8" w:space="0" w:color="auto"/>
              <w:right w:val="single" w:sz="8" w:space="0" w:color="auto"/>
            </w:tcBorders>
            <w:shd w:val="clear" w:color="auto" w:fill="auto"/>
            <w:noWrap/>
            <w:vAlign w:val="center"/>
            <w:hideMark/>
          </w:tcPr>
          <w:p w14:paraId="497121A2"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Pessoal </w:t>
            </w:r>
          </w:p>
        </w:tc>
        <w:tc>
          <w:tcPr>
            <w:tcW w:w="659" w:type="pct"/>
            <w:tcBorders>
              <w:top w:val="nil"/>
              <w:left w:val="nil"/>
              <w:bottom w:val="single" w:sz="8" w:space="0" w:color="auto"/>
              <w:right w:val="single" w:sz="8" w:space="0" w:color="auto"/>
            </w:tcBorders>
            <w:shd w:val="clear" w:color="auto" w:fill="auto"/>
            <w:noWrap/>
            <w:vAlign w:val="center"/>
            <w:hideMark/>
          </w:tcPr>
          <w:p w14:paraId="14242B08"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(517)</w:t>
            </w:r>
          </w:p>
        </w:tc>
        <w:tc>
          <w:tcPr>
            <w:tcW w:w="658" w:type="pct"/>
            <w:tcBorders>
              <w:top w:val="nil"/>
              <w:left w:val="nil"/>
              <w:bottom w:val="single" w:sz="8" w:space="0" w:color="auto"/>
              <w:right w:val="single" w:sz="8" w:space="0" w:color="auto"/>
            </w:tcBorders>
            <w:shd w:val="clear" w:color="auto" w:fill="auto"/>
            <w:noWrap/>
            <w:vAlign w:val="center"/>
            <w:hideMark/>
          </w:tcPr>
          <w:p w14:paraId="4A9389F4"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(971)</w:t>
            </w:r>
          </w:p>
        </w:tc>
      </w:tr>
      <w:tr w:rsidR="00240448" w:rsidRPr="00240448" w14:paraId="08DC7108" w14:textId="77777777" w:rsidTr="00446A14">
        <w:trPr>
          <w:trHeight w:val="238"/>
        </w:trPr>
        <w:tc>
          <w:tcPr>
            <w:tcW w:w="3683" w:type="pct"/>
            <w:tcBorders>
              <w:top w:val="nil"/>
              <w:left w:val="single" w:sz="8" w:space="0" w:color="auto"/>
              <w:bottom w:val="single" w:sz="8" w:space="0" w:color="auto"/>
              <w:right w:val="single" w:sz="8" w:space="0" w:color="auto"/>
            </w:tcBorders>
            <w:shd w:val="clear" w:color="auto" w:fill="auto"/>
            <w:noWrap/>
            <w:vAlign w:val="center"/>
            <w:hideMark/>
          </w:tcPr>
          <w:p w14:paraId="0206DC27"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Baixa do ativo Imobilizado (v)</w:t>
            </w:r>
          </w:p>
        </w:tc>
        <w:tc>
          <w:tcPr>
            <w:tcW w:w="659" w:type="pct"/>
            <w:tcBorders>
              <w:top w:val="nil"/>
              <w:left w:val="nil"/>
              <w:bottom w:val="single" w:sz="8" w:space="0" w:color="auto"/>
              <w:right w:val="single" w:sz="8" w:space="0" w:color="auto"/>
            </w:tcBorders>
            <w:shd w:val="clear" w:color="auto" w:fill="auto"/>
            <w:noWrap/>
            <w:vAlign w:val="center"/>
            <w:hideMark/>
          </w:tcPr>
          <w:p w14:paraId="5C3882E2"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(383)</w:t>
            </w:r>
          </w:p>
        </w:tc>
        <w:tc>
          <w:tcPr>
            <w:tcW w:w="658" w:type="pct"/>
            <w:tcBorders>
              <w:top w:val="nil"/>
              <w:left w:val="nil"/>
              <w:bottom w:val="single" w:sz="8" w:space="0" w:color="auto"/>
              <w:right w:val="single" w:sz="8" w:space="0" w:color="auto"/>
            </w:tcBorders>
            <w:shd w:val="clear" w:color="auto" w:fill="auto"/>
            <w:noWrap/>
            <w:vAlign w:val="center"/>
            <w:hideMark/>
          </w:tcPr>
          <w:p w14:paraId="7F01F337"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(16.643)</w:t>
            </w:r>
          </w:p>
        </w:tc>
      </w:tr>
      <w:tr w:rsidR="00240448" w:rsidRPr="00240448" w14:paraId="4AE94537" w14:textId="77777777" w:rsidTr="00446A14">
        <w:trPr>
          <w:trHeight w:val="238"/>
        </w:trPr>
        <w:tc>
          <w:tcPr>
            <w:tcW w:w="3683" w:type="pct"/>
            <w:tcBorders>
              <w:top w:val="nil"/>
              <w:left w:val="single" w:sz="8" w:space="0" w:color="auto"/>
              <w:bottom w:val="single" w:sz="8" w:space="0" w:color="auto"/>
              <w:right w:val="single" w:sz="8" w:space="0" w:color="auto"/>
            </w:tcBorders>
            <w:shd w:val="clear" w:color="auto" w:fill="auto"/>
            <w:noWrap/>
            <w:vAlign w:val="center"/>
            <w:hideMark/>
          </w:tcPr>
          <w:p w14:paraId="0BE8F0B0"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Multas sobre Tributos</w:t>
            </w:r>
          </w:p>
        </w:tc>
        <w:tc>
          <w:tcPr>
            <w:tcW w:w="659" w:type="pct"/>
            <w:tcBorders>
              <w:top w:val="nil"/>
              <w:left w:val="nil"/>
              <w:bottom w:val="single" w:sz="8" w:space="0" w:color="auto"/>
              <w:right w:val="single" w:sz="8" w:space="0" w:color="auto"/>
            </w:tcBorders>
            <w:shd w:val="clear" w:color="auto" w:fill="auto"/>
            <w:noWrap/>
            <w:vAlign w:val="center"/>
            <w:hideMark/>
          </w:tcPr>
          <w:p w14:paraId="02664CEF"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(140)</w:t>
            </w:r>
          </w:p>
        </w:tc>
        <w:tc>
          <w:tcPr>
            <w:tcW w:w="658" w:type="pct"/>
            <w:tcBorders>
              <w:top w:val="nil"/>
              <w:left w:val="nil"/>
              <w:bottom w:val="single" w:sz="8" w:space="0" w:color="auto"/>
              <w:right w:val="single" w:sz="8" w:space="0" w:color="auto"/>
            </w:tcBorders>
            <w:shd w:val="clear" w:color="auto" w:fill="auto"/>
            <w:noWrap/>
            <w:vAlign w:val="center"/>
            <w:hideMark/>
          </w:tcPr>
          <w:p w14:paraId="29A21AC2"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(439)</w:t>
            </w:r>
          </w:p>
        </w:tc>
      </w:tr>
      <w:tr w:rsidR="00240448" w:rsidRPr="00240448" w14:paraId="007A1F56" w14:textId="77777777" w:rsidTr="00446A14">
        <w:trPr>
          <w:trHeight w:val="238"/>
        </w:trPr>
        <w:tc>
          <w:tcPr>
            <w:tcW w:w="3683" w:type="pct"/>
            <w:tcBorders>
              <w:top w:val="nil"/>
              <w:left w:val="single" w:sz="8" w:space="0" w:color="auto"/>
              <w:bottom w:val="single" w:sz="8" w:space="0" w:color="auto"/>
              <w:right w:val="single" w:sz="8" w:space="0" w:color="auto"/>
            </w:tcBorders>
            <w:shd w:val="clear" w:color="auto" w:fill="auto"/>
            <w:noWrap/>
            <w:vAlign w:val="center"/>
            <w:hideMark/>
          </w:tcPr>
          <w:p w14:paraId="72113D6C"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Patrocínios</w:t>
            </w:r>
          </w:p>
        </w:tc>
        <w:tc>
          <w:tcPr>
            <w:tcW w:w="659" w:type="pct"/>
            <w:tcBorders>
              <w:top w:val="nil"/>
              <w:left w:val="nil"/>
              <w:bottom w:val="single" w:sz="8" w:space="0" w:color="auto"/>
              <w:right w:val="single" w:sz="8" w:space="0" w:color="auto"/>
            </w:tcBorders>
            <w:shd w:val="clear" w:color="auto" w:fill="auto"/>
            <w:noWrap/>
            <w:vAlign w:val="center"/>
            <w:hideMark/>
          </w:tcPr>
          <w:p w14:paraId="1A6E4E66"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(52)</w:t>
            </w:r>
          </w:p>
        </w:tc>
        <w:tc>
          <w:tcPr>
            <w:tcW w:w="658" w:type="pct"/>
            <w:tcBorders>
              <w:top w:val="nil"/>
              <w:left w:val="nil"/>
              <w:bottom w:val="single" w:sz="8" w:space="0" w:color="auto"/>
              <w:right w:val="single" w:sz="8" w:space="0" w:color="auto"/>
            </w:tcBorders>
            <w:shd w:val="clear" w:color="auto" w:fill="auto"/>
            <w:noWrap/>
            <w:vAlign w:val="center"/>
            <w:hideMark/>
          </w:tcPr>
          <w:p w14:paraId="14C263C4"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(249)</w:t>
            </w:r>
          </w:p>
        </w:tc>
      </w:tr>
      <w:tr w:rsidR="00240448" w:rsidRPr="00240448" w14:paraId="77E625C1" w14:textId="77777777" w:rsidTr="00446A14">
        <w:trPr>
          <w:trHeight w:val="238"/>
        </w:trPr>
        <w:tc>
          <w:tcPr>
            <w:tcW w:w="3683" w:type="pct"/>
            <w:tcBorders>
              <w:top w:val="nil"/>
              <w:left w:val="single" w:sz="8" w:space="0" w:color="auto"/>
              <w:bottom w:val="single" w:sz="8" w:space="0" w:color="auto"/>
              <w:right w:val="single" w:sz="8" w:space="0" w:color="auto"/>
            </w:tcBorders>
            <w:shd w:val="clear" w:color="auto" w:fill="auto"/>
            <w:noWrap/>
            <w:vAlign w:val="center"/>
            <w:hideMark/>
          </w:tcPr>
          <w:p w14:paraId="6810E481"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Outras Despesas Operacionais </w:t>
            </w:r>
          </w:p>
        </w:tc>
        <w:tc>
          <w:tcPr>
            <w:tcW w:w="659" w:type="pct"/>
            <w:tcBorders>
              <w:top w:val="nil"/>
              <w:left w:val="nil"/>
              <w:bottom w:val="single" w:sz="8" w:space="0" w:color="auto"/>
              <w:right w:val="single" w:sz="8" w:space="0" w:color="auto"/>
            </w:tcBorders>
            <w:shd w:val="clear" w:color="auto" w:fill="auto"/>
            <w:noWrap/>
            <w:vAlign w:val="center"/>
            <w:hideMark/>
          </w:tcPr>
          <w:p w14:paraId="6B1B26E4"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(10)</w:t>
            </w:r>
          </w:p>
        </w:tc>
        <w:tc>
          <w:tcPr>
            <w:tcW w:w="658" w:type="pct"/>
            <w:tcBorders>
              <w:top w:val="nil"/>
              <w:left w:val="nil"/>
              <w:bottom w:val="single" w:sz="8" w:space="0" w:color="auto"/>
              <w:right w:val="single" w:sz="8" w:space="0" w:color="auto"/>
            </w:tcBorders>
            <w:shd w:val="clear" w:color="auto" w:fill="auto"/>
            <w:noWrap/>
            <w:vAlign w:val="center"/>
            <w:hideMark/>
          </w:tcPr>
          <w:p w14:paraId="0BAFF211"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                (14)</w:t>
            </w:r>
          </w:p>
        </w:tc>
      </w:tr>
      <w:tr w:rsidR="00240448" w:rsidRPr="00240448" w14:paraId="523F95A1" w14:textId="77777777" w:rsidTr="00446A14">
        <w:trPr>
          <w:trHeight w:val="238"/>
        </w:trPr>
        <w:tc>
          <w:tcPr>
            <w:tcW w:w="3683" w:type="pct"/>
            <w:tcBorders>
              <w:top w:val="nil"/>
              <w:left w:val="single" w:sz="8" w:space="0" w:color="auto"/>
              <w:bottom w:val="single" w:sz="8" w:space="0" w:color="auto"/>
              <w:right w:val="single" w:sz="8" w:space="0" w:color="auto"/>
            </w:tcBorders>
            <w:shd w:val="clear" w:color="auto" w:fill="auto"/>
            <w:noWrap/>
            <w:vAlign w:val="center"/>
            <w:hideMark/>
          </w:tcPr>
          <w:p w14:paraId="53434410" w14:textId="77777777" w:rsidR="00240448" w:rsidRPr="00240448" w:rsidRDefault="00240448" w:rsidP="00240448">
            <w:pPr>
              <w:spacing w:after="0" w:line="240" w:lineRule="auto"/>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 xml:space="preserve"> Total </w:t>
            </w:r>
          </w:p>
        </w:tc>
        <w:tc>
          <w:tcPr>
            <w:tcW w:w="659" w:type="pct"/>
            <w:tcBorders>
              <w:top w:val="nil"/>
              <w:left w:val="nil"/>
              <w:bottom w:val="single" w:sz="8" w:space="0" w:color="auto"/>
              <w:right w:val="single" w:sz="8" w:space="0" w:color="auto"/>
            </w:tcBorders>
            <w:shd w:val="clear" w:color="auto" w:fill="auto"/>
            <w:noWrap/>
            <w:vAlign w:val="center"/>
            <w:hideMark/>
          </w:tcPr>
          <w:p w14:paraId="569709D4" w14:textId="77777777" w:rsidR="00240448" w:rsidRPr="00240448" w:rsidRDefault="00240448" w:rsidP="00240448">
            <w:pPr>
              <w:spacing w:after="0" w:line="240" w:lineRule="auto"/>
              <w:jc w:val="right"/>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 xml:space="preserve">       (55.659)</w:t>
            </w:r>
          </w:p>
        </w:tc>
        <w:tc>
          <w:tcPr>
            <w:tcW w:w="658" w:type="pct"/>
            <w:tcBorders>
              <w:top w:val="nil"/>
              <w:left w:val="nil"/>
              <w:bottom w:val="single" w:sz="8" w:space="0" w:color="auto"/>
              <w:right w:val="single" w:sz="8" w:space="0" w:color="auto"/>
            </w:tcBorders>
            <w:shd w:val="clear" w:color="auto" w:fill="auto"/>
            <w:noWrap/>
            <w:vAlign w:val="center"/>
            <w:hideMark/>
          </w:tcPr>
          <w:p w14:paraId="7B60F90E" w14:textId="77777777" w:rsidR="00240448" w:rsidRPr="00240448" w:rsidRDefault="00240448" w:rsidP="00240448">
            <w:pPr>
              <w:spacing w:after="0" w:line="240" w:lineRule="auto"/>
              <w:jc w:val="right"/>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 xml:space="preserve">       (29.062)</w:t>
            </w:r>
          </w:p>
        </w:tc>
      </w:tr>
      <w:tr w:rsidR="00240448" w:rsidRPr="00240448" w14:paraId="4396017A" w14:textId="77777777" w:rsidTr="00446A14">
        <w:trPr>
          <w:trHeight w:val="238"/>
        </w:trPr>
        <w:tc>
          <w:tcPr>
            <w:tcW w:w="3683" w:type="pct"/>
            <w:tcBorders>
              <w:top w:val="nil"/>
              <w:left w:val="single" w:sz="8" w:space="0" w:color="auto"/>
              <w:bottom w:val="single" w:sz="8" w:space="0" w:color="auto"/>
              <w:right w:val="single" w:sz="8" w:space="0" w:color="auto"/>
            </w:tcBorders>
            <w:shd w:val="clear" w:color="auto" w:fill="auto"/>
            <w:noWrap/>
            <w:vAlign w:val="center"/>
            <w:hideMark/>
          </w:tcPr>
          <w:p w14:paraId="6C5C31F4" w14:textId="77777777" w:rsidR="00240448" w:rsidRPr="00240448" w:rsidRDefault="00240448" w:rsidP="00240448">
            <w:pPr>
              <w:spacing w:after="0" w:line="240" w:lineRule="auto"/>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 xml:space="preserve">Outras Receita/(Despesas) Operacionais, </w:t>
            </w:r>
            <w:proofErr w:type="gramStart"/>
            <w:r w:rsidRPr="00240448">
              <w:rPr>
                <w:rFonts w:ascii="Arial" w:eastAsia="Times New Roman" w:hAnsi="Arial" w:cs="Arial"/>
                <w:b/>
                <w:bCs/>
                <w:color w:val="000000"/>
                <w:kern w:val="0"/>
                <w:sz w:val="18"/>
                <w:szCs w:val="18"/>
                <w:lang w:eastAsia="pt-BR"/>
                <w14:ligatures w14:val="none"/>
              </w:rPr>
              <w:t>Líquida</w:t>
            </w:r>
            <w:proofErr w:type="gramEnd"/>
            <w:r w:rsidRPr="00240448">
              <w:rPr>
                <w:rFonts w:ascii="Arial" w:eastAsia="Times New Roman" w:hAnsi="Arial" w:cs="Arial"/>
                <w:b/>
                <w:bCs/>
                <w:color w:val="000000"/>
                <w:kern w:val="0"/>
                <w:sz w:val="18"/>
                <w:szCs w:val="18"/>
                <w:lang w:eastAsia="pt-BR"/>
                <w14:ligatures w14:val="none"/>
              </w:rPr>
              <w:t xml:space="preserve"> </w:t>
            </w:r>
          </w:p>
        </w:tc>
        <w:tc>
          <w:tcPr>
            <w:tcW w:w="659" w:type="pct"/>
            <w:tcBorders>
              <w:top w:val="nil"/>
              <w:left w:val="nil"/>
              <w:bottom w:val="single" w:sz="8" w:space="0" w:color="auto"/>
              <w:right w:val="single" w:sz="8" w:space="0" w:color="auto"/>
            </w:tcBorders>
            <w:shd w:val="clear" w:color="auto" w:fill="auto"/>
            <w:noWrap/>
            <w:vAlign w:val="center"/>
            <w:hideMark/>
          </w:tcPr>
          <w:p w14:paraId="27F55022" w14:textId="77777777" w:rsidR="00240448" w:rsidRPr="00240448" w:rsidRDefault="00240448" w:rsidP="00240448">
            <w:pPr>
              <w:spacing w:after="0" w:line="240" w:lineRule="auto"/>
              <w:jc w:val="right"/>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 xml:space="preserve">       241.213 </w:t>
            </w:r>
          </w:p>
        </w:tc>
        <w:tc>
          <w:tcPr>
            <w:tcW w:w="658" w:type="pct"/>
            <w:tcBorders>
              <w:top w:val="nil"/>
              <w:left w:val="nil"/>
              <w:bottom w:val="single" w:sz="8" w:space="0" w:color="auto"/>
              <w:right w:val="single" w:sz="8" w:space="0" w:color="auto"/>
            </w:tcBorders>
            <w:shd w:val="clear" w:color="auto" w:fill="auto"/>
            <w:noWrap/>
            <w:vAlign w:val="center"/>
            <w:hideMark/>
          </w:tcPr>
          <w:p w14:paraId="090FF0D0" w14:textId="77777777" w:rsidR="00240448" w:rsidRPr="00240448" w:rsidRDefault="00240448" w:rsidP="00240448">
            <w:pPr>
              <w:spacing w:after="0" w:line="240" w:lineRule="auto"/>
              <w:jc w:val="right"/>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 xml:space="preserve">       226.393 </w:t>
            </w:r>
          </w:p>
        </w:tc>
      </w:tr>
    </w:tbl>
    <w:p w14:paraId="3749DDF7" w14:textId="77777777" w:rsidR="00240448" w:rsidRPr="00240448" w:rsidRDefault="00240448" w:rsidP="00240448">
      <w:pPr>
        <w:autoSpaceDE w:val="0"/>
        <w:autoSpaceDN w:val="0"/>
        <w:adjustRightInd w:val="0"/>
        <w:spacing w:after="0" w:line="240" w:lineRule="auto"/>
        <w:jc w:val="both"/>
        <w:rPr>
          <w:rFonts w:ascii="Calibri" w:eastAsia="Times New Roman" w:hAnsi="Calibri" w:cs="Calibri"/>
          <w:iCs/>
          <w:color w:val="002060"/>
          <w:kern w:val="0"/>
          <w14:ligatures w14:val="none"/>
        </w:rPr>
      </w:pPr>
      <w:r w:rsidRPr="00240448">
        <w:rPr>
          <w:rFonts w:ascii="Calibri" w:eastAsia="Times New Roman" w:hAnsi="Calibri" w:cs="Calibri"/>
          <w:iCs/>
          <w:color w:val="002060"/>
          <w:kern w:val="0"/>
          <w14:ligatures w14:val="none"/>
        </w:rPr>
        <w:t>i) Subvenções Orçamentárias Recebidas: a partir de 1º de janeiro de 2020, a Telebras passou a ser classificada como uma Empresa Estatal Dependente; dessa forma, passou a receber recursos orçamentários para o pagamento dos gastos com pessoal, outros custeios e investimentos. Os recursos recebidos para o pagamento de pessoal e outros custeios são reconhecidos conforme o CPC 07 – Subvenções e assistência Governamentais, e os gastos com investimento são registrados como Adiantamento para Futuro Aumento de Capital (AFAC).  Os montantes reconhecidos no resultado da Companhia nos exercícios de 2023 e 2022 foram destinados conforme o quadro a seguir:</w:t>
      </w:r>
    </w:p>
    <w:tbl>
      <w:tblPr>
        <w:tblW w:w="5000" w:type="pct"/>
        <w:tblCellMar>
          <w:left w:w="70" w:type="dxa"/>
          <w:right w:w="70" w:type="dxa"/>
        </w:tblCellMar>
        <w:tblLook w:val="04A0" w:firstRow="1" w:lastRow="0" w:firstColumn="1" w:lastColumn="0" w:noHBand="0" w:noVBand="1"/>
      </w:tblPr>
      <w:tblGrid>
        <w:gridCol w:w="7190"/>
        <w:gridCol w:w="1286"/>
        <w:gridCol w:w="1285"/>
      </w:tblGrid>
      <w:tr w:rsidR="00240448" w:rsidRPr="00240448" w14:paraId="41FB49E9" w14:textId="77777777" w:rsidTr="00240448">
        <w:trPr>
          <w:trHeight w:val="238"/>
        </w:trPr>
        <w:tc>
          <w:tcPr>
            <w:tcW w:w="3683" w:type="pct"/>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4D61B75C" w14:textId="77777777" w:rsidR="00240448" w:rsidRPr="00240448" w:rsidRDefault="00240448" w:rsidP="00240448">
            <w:pPr>
              <w:spacing w:after="0" w:line="240" w:lineRule="auto"/>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Destinação:</w:t>
            </w:r>
          </w:p>
        </w:tc>
        <w:tc>
          <w:tcPr>
            <w:tcW w:w="659" w:type="pct"/>
            <w:tcBorders>
              <w:top w:val="single" w:sz="8" w:space="0" w:color="auto"/>
              <w:left w:val="nil"/>
              <w:bottom w:val="single" w:sz="8" w:space="0" w:color="auto"/>
              <w:right w:val="single" w:sz="8" w:space="0" w:color="auto"/>
            </w:tcBorders>
            <w:shd w:val="clear" w:color="auto" w:fill="auto"/>
            <w:noWrap/>
            <w:vAlign w:val="center"/>
            <w:hideMark/>
          </w:tcPr>
          <w:p w14:paraId="38C43078" w14:textId="77777777" w:rsidR="00240448" w:rsidRPr="00240448" w:rsidRDefault="00240448" w:rsidP="00240448">
            <w:pPr>
              <w:spacing w:after="0" w:line="240" w:lineRule="auto"/>
              <w:jc w:val="center"/>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31/12/2023</w:t>
            </w:r>
          </w:p>
        </w:tc>
        <w:tc>
          <w:tcPr>
            <w:tcW w:w="659" w:type="pct"/>
            <w:tcBorders>
              <w:top w:val="single" w:sz="8" w:space="0" w:color="auto"/>
              <w:left w:val="nil"/>
              <w:bottom w:val="single" w:sz="8" w:space="0" w:color="auto"/>
              <w:right w:val="single" w:sz="8" w:space="0" w:color="auto"/>
            </w:tcBorders>
            <w:shd w:val="clear" w:color="auto" w:fill="auto"/>
            <w:noWrap/>
            <w:vAlign w:val="center"/>
            <w:hideMark/>
          </w:tcPr>
          <w:p w14:paraId="59844296" w14:textId="77777777" w:rsidR="00240448" w:rsidRPr="00240448" w:rsidRDefault="00240448" w:rsidP="00240448">
            <w:pPr>
              <w:spacing w:after="0" w:line="240" w:lineRule="auto"/>
              <w:jc w:val="center"/>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31/12/2022</w:t>
            </w:r>
          </w:p>
        </w:tc>
      </w:tr>
      <w:tr w:rsidR="00240448" w:rsidRPr="00240448" w14:paraId="0111D253" w14:textId="77777777" w:rsidTr="00240448">
        <w:trPr>
          <w:trHeight w:val="238"/>
        </w:trPr>
        <w:tc>
          <w:tcPr>
            <w:tcW w:w="3683" w:type="pct"/>
            <w:tcBorders>
              <w:top w:val="nil"/>
              <w:left w:val="single" w:sz="8" w:space="0" w:color="auto"/>
              <w:bottom w:val="single" w:sz="8" w:space="0" w:color="auto"/>
              <w:right w:val="single" w:sz="8" w:space="0" w:color="auto"/>
            </w:tcBorders>
            <w:shd w:val="clear" w:color="auto" w:fill="auto"/>
            <w:noWrap/>
            <w:vAlign w:val="center"/>
            <w:hideMark/>
          </w:tcPr>
          <w:p w14:paraId="604F4C2E"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Pessoal</w:t>
            </w:r>
          </w:p>
        </w:tc>
        <w:tc>
          <w:tcPr>
            <w:tcW w:w="659" w:type="pct"/>
            <w:tcBorders>
              <w:top w:val="nil"/>
              <w:left w:val="nil"/>
              <w:bottom w:val="single" w:sz="8" w:space="0" w:color="auto"/>
              <w:right w:val="single" w:sz="8" w:space="0" w:color="auto"/>
            </w:tcBorders>
            <w:shd w:val="clear" w:color="auto" w:fill="auto"/>
            <w:noWrap/>
            <w:vAlign w:val="center"/>
            <w:hideMark/>
          </w:tcPr>
          <w:p w14:paraId="5D2A6710"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65.110</w:t>
            </w:r>
          </w:p>
        </w:tc>
        <w:tc>
          <w:tcPr>
            <w:tcW w:w="659" w:type="pct"/>
            <w:tcBorders>
              <w:top w:val="nil"/>
              <w:left w:val="nil"/>
              <w:bottom w:val="single" w:sz="8" w:space="0" w:color="auto"/>
              <w:right w:val="single" w:sz="8" w:space="0" w:color="auto"/>
            </w:tcBorders>
            <w:shd w:val="clear" w:color="auto" w:fill="auto"/>
            <w:noWrap/>
            <w:vAlign w:val="center"/>
            <w:hideMark/>
          </w:tcPr>
          <w:p w14:paraId="3EC0AF4C"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107.288</w:t>
            </w:r>
          </w:p>
        </w:tc>
      </w:tr>
      <w:tr w:rsidR="00240448" w:rsidRPr="00240448" w14:paraId="620C05FE" w14:textId="77777777" w:rsidTr="00240448">
        <w:trPr>
          <w:trHeight w:val="238"/>
        </w:trPr>
        <w:tc>
          <w:tcPr>
            <w:tcW w:w="3683" w:type="pct"/>
            <w:tcBorders>
              <w:top w:val="nil"/>
              <w:left w:val="single" w:sz="8" w:space="0" w:color="auto"/>
              <w:bottom w:val="single" w:sz="8" w:space="0" w:color="auto"/>
              <w:right w:val="single" w:sz="8" w:space="0" w:color="auto"/>
            </w:tcBorders>
            <w:shd w:val="clear" w:color="auto" w:fill="auto"/>
            <w:noWrap/>
            <w:vAlign w:val="center"/>
            <w:hideMark/>
          </w:tcPr>
          <w:p w14:paraId="23BE7A38" w14:textId="77777777" w:rsidR="00240448" w:rsidRPr="00240448" w:rsidRDefault="00240448" w:rsidP="00240448">
            <w:pPr>
              <w:spacing w:after="0" w:line="240" w:lineRule="auto"/>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 xml:space="preserve">Outros Custeios </w:t>
            </w:r>
          </w:p>
        </w:tc>
        <w:tc>
          <w:tcPr>
            <w:tcW w:w="659" w:type="pct"/>
            <w:tcBorders>
              <w:top w:val="nil"/>
              <w:left w:val="nil"/>
              <w:bottom w:val="single" w:sz="8" w:space="0" w:color="auto"/>
              <w:right w:val="single" w:sz="8" w:space="0" w:color="auto"/>
            </w:tcBorders>
            <w:shd w:val="clear" w:color="auto" w:fill="auto"/>
            <w:noWrap/>
            <w:vAlign w:val="center"/>
            <w:hideMark/>
          </w:tcPr>
          <w:p w14:paraId="5D63756F"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175.077</w:t>
            </w:r>
          </w:p>
        </w:tc>
        <w:tc>
          <w:tcPr>
            <w:tcW w:w="659" w:type="pct"/>
            <w:tcBorders>
              <w:top w:val="nil"/>
              <w:left w:val="nil"/>
              <w:bottom w:val="single" w:sz="8" w:space="0" w:color="auto"/>
              <w:right w:val="single" w:sz="8" w:space="0" w:color="auto"/>
            </w:tcBorders>
            <w:shd w:val="clear" w:color="auto" w:fill="auto"/>
            <w:noWrap/>
            <w:vAlign w:val="center"/>
            <w:hideMark/>
          </w:tcPr>
          <w:p w14:paraId="4B9D066B" w14:textId="77777777" w:rsidR="00240448" w:rsidRPr="00240448" w:rsidRDefault="00240448" w:rsidP="00240448">
            <w:pPr>
              <w:spacing w:after="0" w:line="240" w:lineRule="auto"/>
              <w:jc w:val="right"/>
              <w:rPr>
                <w:rFonts w:ascii="Arial" w:eastAsia="Times New Roman" w:hAnsi="Arial" w:cs="Arial"/>
                <w:color w:val="000000"/>
                <w:kern w:val="0"/>
                <w:sz w:val="18"/>
                <w:szCs w:val="18"/>
                <w:lang w:eastAsia="pt-BR"/>
                <w14:ligatures w14:val="none"/>
              </w:rPr>
            </w:pPr>
            <w:r w:rsidRPr="00240448">
              <w:rPr>
                <w:rFonts w:ascii="Arial" w:eastAsia="Times New Roman" w:hAnsi="Arial" w:cs="Arial"/>
                <w:color w:val="000000"/>
                <w:kern w:val="0"/>
                <w:sz w:val="18"/>
                <w:szCs w:val="18"/>
                <w:lang w:eastAsia="pt-BR"/>
                <w14:ligatures w14:val="none"/>
              </w:rPr>
              <w:t>134.237</w:t>
            </w:r>
          </w:p>
        </w:tc>
      </w:tr>
      <w:tr w:rsidR="00240448" w:rsidRPr="00240448" w14:paraId="54CEF685" w14:textId="77777777" w:rsidTr="00240448">
        <w:trPr>
          <w:trHeight w:val="238"/>
        </w:trPr>
        <w:tc>
          <w:tcPr>
            <w:tcW w:w="3683" w:type="pct"/>
            <w:tcBorders>
              <w:top w:val="nil"/>
              <w:left w:val="single" w:sz="8" w:space="0" w:color="auto"/>
              <w:bottom w:val="single" w:sz="8" w:space="0" w:color="auto"/>
              <w:right w:val="single" w:sz="8" w:space="0" w:color="auto"/>
            </w:tcBorders>
            <w:shd w:val="clear" w:color="auto" w:fill="auto"/>
            <w:noWrap/>
            <w:vAlign w:val="center"/>
            <w:hideMark/>
          </w:tcPr>
          <w:p w14:paraId="024EDA49" w14:textId="77777777" w:rsidR="00240448" w:rsidRPr="00240448" w:rsidRDefault="00240448" w:rsidP="00240448">
            <w:pPr>
              <w:spacing w:after="0" w:line="240" w:lineRule="auto"/>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Total</w:t>
            </w:r>
          </w:p>
        </w:tc>
        <w:tc>
          <w:tcPr>
            <w:tcW w:w="659" w:type="pct"/>
            <w:tcBorders>
              <w:top w:val="nil"/>
              <w:left w:val="nil"/>
              <w:bottom w:val="single" w:sz="8" w:space="0" w:color="auto"/>
              <w:right w:val="single" w:sz="8" w:space="0" w:color="auto"/>
            </w:tcBorders>
            <w:shd w:val="clear" w:color="auto" w:fill="auto"/>
            <w:noWrap/>
            <w:vAlign w:val="center"/>
            <w:hideMark/>
          </w:tcPr>
          <w:p w14:paraId="2618E369" w14:textId="77777777" w:rsidR="00240448" w:rsidRPr="00240448" w:rsidRDefault="00240448" w:rsidP="00240448">
            <w:pPr>
              <w:spacing w:after="0" w:line="240" w:lineRule="auto"/>
              <w:jc w:val="right"/>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240.187</w:t>
            </w:r>
          </w:p>
        </w:tc>
        <w:tc>
          <w:tcPr>
            <w:tcW w:w="659" w:type="pct"/>
            <w:tcBorders>
              <w:top w:val="nil"/>
              <w:left w:val="nil"/>
              <w:bottom w:val="single" w:sz="8" w:space="0" w:color="auto"/>
              <w:right w:val="single" w:sz="8" w:space="0" w:color="auto"/>
            </w:tcBorders>
            <w:shd w:val="clear" w:color="auto" w:fill="auto"/>
            <w:noWrap/>
            <w:vAlign w:val="center"/>
            <w:hideMark/>
          </w:tcPr>
          <w:p w14:paraId="23D8F22A" w14:textId="77777777" w:rsidR="00240448" w:rsidRPr="00240448" w:rsidRDefault="00240448" w:rsidP="00240448">
            <w:pPr>
              <w:spacing w:after="0" w:line="240" w:lineRule="auto"/>
              <w:jc w:val="right"/>
              <w:rPr>
                <w:rFonts w:ascii="Arial" w:eastAsia="Times New Roman" w:hAnsi="Arial" w:cs="Arial"/>
                <w:b/>
                <w:bCs/>
                <w:color w:val="000000"/>
                <w:kern w:val="0"/>
                <w:sz w:val="18"/>
                <w:szCs w:val="18"/>
                <w:lang w:eastAsia="pt-BR"/>
                <w14:ligatures w14:val="none"/>
              </w:rPr>
            </w:pPr>
            <w:r w:rsidRPr="00240448">
              <w:rPr>
                <w:rFonts w:ascii="Arial" w:eastAsia="Times New Roman" w:hAnsi="Arial" w:cs="Arial"/>
                <w:b/>
                <w:bCs/>
                <w:color w:val="000000"/>
                <w:kern w:val="0"/>
                <w:sz w:val="18"/>
                <w:szCs w:val="18"/>
                <w:lang w:eastAsia="pt-BR"/>
                <w14:ligatures w14:val="none"/>
              </w:rPr>
              <w:t>241.525</w:t>
            </w:r>
          </w:p>
        </w:tc>
      </w:tr>
    </w:tbl>
    <w:p w14:paraId="07E6C065" w14:textId="7CFCFA1B" w:rsidR="00240448" w:rsidRPr="00240448" w:rsidRDefault="00240448" w:rsidP="00240448">
      <w:pPr>
        <w:autoSpaceDE w:val="0"/>
        <w:autoSpaceDN w:val="0"/>
        <w:adjustRightInd w:val="0"/>
        <w:spacing w:after="0" w:line="240" w:lineRule="auto"/>
        <w:jc w:val="both"/>
        <w:rPr>
          <w:rFonts w:ascii="Calibri" w:eastAsia="Times New Roman" w:hAnsi="Calibri" w:cs="Calibri"/>
          <w:iCs/>
          <w:color w:val="002060"/>
          <w:kern w:val="0"/>
          <w14:ligatures w14:val="none"/>
        </w:rPr>
      </w:pPr>
      <w:proofErr w:type="spellStart"/>
      <w:r w:rsidRPr="00240448">
        <w:rPr>
          <w:rFonts w:ascii="Calibri" w:eastAsia="Times New Roman" w:hAnsi="Calibri" w:cs="Calibri"/>
          <w:iCs/>
          <w:color w:val="002060"/>
          <w:kern w:val="0"/>
          <w14:ligatures w14:val="none"/>
        </w:rPr>
        <w:t>ii</w:t>
      </w:r>
      <w:proofErr w:type="spellEnd"/>
      <w:r w:rsidRPr="00240448">
        <w:rPr>
          <w:rFonts w:ascii="Calibri" w:eastAsia="Times New Roman" w:hAnsi="Calibri" w:cs="Calibri"/>
          <w:iCs/>
          <w:color w:val="002060"/>
          <w:kern w:val="0"/>
          <w14:ligatures w14:val="none"/>
        </w:rPr>
        <w:t>) Superávit de Previdência Privada: Trata-se do reconhecimento do superávit relativo aos planos PBS-A e PBS-Telebras distribuído pela Sistel e que serão recebidos pela Telebras em 36 parcelas mensais.</w:t>
      </w:r>
    </w:p>
    <w:p w14:paraId="6750B0BD" w14:textId="58BA452F" w:rsidR="00240448" w:rsidRPr="00240448" w:rsidRDefault="00240448" w:rsidP="00240448">
      <w:pPr>
        <w:autoSpaceDE w:val="0"/>
        <w:autoSpaceDN w:val="0"/>
        <w:adjustRightInd w:val="0"/>
        <w:spacing w:after="0" w:line="240" w:lineRule="auto"/>
        <w:jc w:val="both"/>
        <w:rPr>
          <w:rFonts w:ascii="Calibri" w:eastAsia="Times New Roman" w:hAnsi="Calibri" w:cs="Calibri"/>
          <w:iCs/>
          <w:color w:val="002060"/>
          <w:kern w:val="0"/>
          <w14:ligatures w14:val="none"/>
        </w:rPr>
      </w:pPr>
      <w:proofErr w:type="spellStart"/>
      <w:r w:rsidRPr="00240448">
        <w:rPr>
          <w:rFonts w:ascii="Calibri" w:eastAsia="Times New Roman" w:hAnsi="Calibri" w:cs="Calibri"/>
          <w:iCs/>
          <w:color w:val="002060"/>
          <w:kern w:val="0"/>
          <w14:ligatures w14:val="none"/>
        </w:rPr>
        <w:t>iii</w:t>
      </w:r>
      <w:proofErr w:type="spellEnd"/>
      <w:r w:rsidRPr="00240448">
        <w:rPr>
          <w:rFonts w:ascii="Calibri" w:eastAsia="Times New Roman" w:hAnsi="Calibri" w:cs="Calibri"/>
          <w:iCs/>
          <w:color w:val="002060"/>
          <w:kern w:val="0"/>
          <w14:ligatures w14:val="none"/>
        </w:rPr>
        <w:t>) Valor relativo às multas aplicadas pela Dataprev sobre o contrato de prestação de serviços em decorrência de penalidades aplicadas na execução dos serviços. A Telebras vinha mantendo conversações com a Dataprev, no sentido de reverter tais penalidades, mas não obteve sucesso. O montante dessas multas foi de R$ 39.396.</w:t>
      </w:r>
    </w:p>
    <w:p w14:paraId="1745DC66" w14:textId="4702FD3F" w:rsidR="00240448" w:rsidRPr="00240448" w:rsidRDefault="00240448" w:rsidP="00240448">
      <w:pPr>
        <w:autoSpaceDE w:val="0"/>
        <w:autoSpaceDN w:val="0"/>
        <w:adjustRightInd w:val="0"/>
        <w:spacing w:after="0" w:line="240" w:lineRule="auto"/>
        <w:jc w:val="both"/>
        <w:rPr>
          <w:rFonts w:ascii="Calibri" w:eastAsia="Times New Roman" w:hAnsi="Calibri" w:cs="Calibri"/>
          <w:iCs/>
          <w:color w:val="002060"/>
          <w:kern w:val="0"/>
          <w14:ligatures w14:val="none"/>
        </w:rPr>
      </w:pPr>
      <w:proofErr w:type="spellStart"/>
      <w:r w:rsidRPr="00240448">
        <w:rPr>
          <w:rFonts w:ascii="Calibri" w:eastAsia="Times New Roman" w:hAnsi="Calibri" w:cs="Calibri"/>
          <w:iCs/>
          <w:color w:val="002060"/>
          <w:kern w:val="0"/>
          <w14:ligatures w14:val="none"/>
        </w:rPr>
        <w:lastRenderedPageBreak/>
        <w:t>iv</w:t>
      </w:r>
      <w:proofErr w:type="spellEnd"/>
      <w:r w:rsidRPr="00240448">
        <w:rPr>
          <w:rFonts w:ascii="Calibri" w:eastAsia="Times New Roman" w:hAnsi="Calibri" w:cs="Calibri"/>
          <w:iCs/>
          <w:color w:val="002060"/>
          <w:kern w:val="0"/>
          <w14:ligatures w14:val="none"/>
        </w:rPr>
        <w:t>) Tributos: Crescimento é explicado palas baixas realizadas no segundo trimestre referente aos créditos de ICMS por impossibilidade de recuperabilidade.</w:t>
      </w:r>
    </w:p>
    <w:p w14:paraId="6E24E408" w14:textId="77777777" w:rsidR="00240448" w:rsidRPr="00240448" w:rsidRDefault="00240448" w:rsidP="00240448">
      <w:pPr>
        <w:autoSpaceDE w:val="0"/>
        <w:autoSpaceDN w:val="0"/>
        <w:adjustRightInd w:val="0"/>
        <w:spacing w:after="0" w:line="240" w:lineRule="auto"/>
        <w:jc w:val="both"/>
        <w:rPr>
          <w:rFonts w:ascii="Calibri" w:eastAsia="Times New Roman" w:hAnsi="Calibri" w:cs="Calibri"/>
          <w:iCs/>
          <w:color w:val="002060"/>
          <w:kern w:val="0"/>
          <w14:ligatures w14:val="none"/>
        </w:rPr>
      </w:pPr>
      <w:r w:rsidRPr="00240448">
        <w:rPr>
          <w:rFonts w:ascii="Calibri" w:eastAsia="Times New Roman" w:hAnsi="Calibri" w:cs="Calibri"/>
          <w:iCs/>
          <w:color w:val="002060"/>
          <w:kern w:val="0"/>
          <w14:ligatures w14:val="none"/>
        </w:rPr>
        <w:t>v) Baixa do Ativo Imobilizado: A redução apresentada no exercício 2023, é explicada pelo maior volume de baixa em função do processo de inventário dos bens da Telebras realizado no ano de 2022.</w:t>
      </w:r>
    </w:p>
    <w:p w14:paraId="5D72B65D" w14:textId="631241C0" w:rsidR="00240448" w:rsidRDefault="00240448" w:rsidP="00240448">
      <w:pPr>
        <w:autoSpaceDE w:val="0"/>
        <w:autoSpaceDN w:val="0"/>
        <w:adjustRightInd w:val="0"/>
        <w:spacing w:after="0" w:line="240" w:lineRule="auto"/>
        <w:jc w:val="both"/>
        <w:rPr>
          <w:rFonts w:ascii="Calibri" w:eastAsia="Times New Roman" w:hAnsi="Calibri" w:cs="Calibri"/>
          <w:b/>
          <w:bCs/>
          <w:iCs/>
          <w:color w:val="002060"/>
          <w:kern w:val="0"/>
          <w14:ligatures w14:val="none"/>
        </w:rPr>
      </w:pPr>
      <w:bookmarkStart w:id="435" w:name="_Toc491337773"/>
      <w:r>
        <w:rPr>
          <w:rFonts w:ascii="Calibri" w:eastAsia="Times New Roman" w:hAnsi="Calibri" w:cs="Calibri"/>
          <w:b/>
          <w:bCs/>
          <w:iCs/>
          <w:color w:val="002060"/>
          <w:kern w:val="0"/>
          <w14:ligatures w14:val="none"/>
        </w:rPr>
        <w:t xml:space="preserve">31. </w:t>
      </w:r>
      <w:r w:rsidRPr="00240448">
        <w:rPr>
          <w:rFonts w:ascii="Calibri" w:eastAsia="Times New Roman" w:hAnsi="Calibri" w:cs="Calibri"/>
          <w:b/>
          <w:bCs/>
          <w:iCs/>
          <w:color w:val="002060"/>
          <w:kern w:val="0"/>
          <w14:ligatures w14:val="none"/>
        </w:rPr>
        <w:t>RESULTADO FINANCEIRO</w:t>
      </w:r>
      <w:bookmarkEnd w:id="435"/>
    </w:p>
    <w:tbl>
      <w:tblPr>
        <w:tblW w:w="5000" w:type="pct"/>
        <w:tblCellMar>
          <w:left w:w="70" w:type="dxa"/>
          <w:right w:w="70" w:type="dxa"/>
        </w:tblCellMar>
        <w:tblLook w:val="04A0" w:firstRow="1" w:lastRow="0" w:firstColumn="1" w:lastColumn="0" w:noHBand="0" w:noVBand="1"/>
      </w:tblPr>
      <w:tblGrid>
        <w:gridCol w:w="7190"/>
        <w:gridCol w:w="1286"/>
        <w:gridCol w:w="1285"/>
      </w:tblGrid>
      <w:tr w:rsidR="001D6F2B" w:rsidRPr="001D6F2B" w14:paraId="306EC26C" w14:textId="77777777" w:rsidTr="001D6F2B">
        <w:trPr>
          <w:trHeight w:val="238"/>
          <w:tblHeader/>
        </w:trPr>
        <w:tc>
          <w:tcPr>
            <w:tcW w:w="3683" w:type="pct"/>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27C59401" w14:textId="77777777" w:rsidR="001D6F2B" w:rsidRPr="001D6F2B" w:rsidRDefault="001D6F2B" w:rsidP="001D6F2B">
            <w:pPr>
              <w:spacing w:after="0" w:line="240" w:lineRule="auto"/>
              <w:rPr>
                <w:rFonts w:ascii="Arial" w:eastAsia="Times New Roman" w:hAnsi="Arial" w:cs="Arial"/>
                <w:b/>
                <w:bCs/>
                <w:color w:val="000000"/>
                <w:kern w:val="0"/>
                <w:sz w:val="18"/>
                <w:szCs w:val="18"/>
                <w:lang w:eastAsia="pt-BR"/>
                <w14:ligatures w14:val="none"/>
              </w:rPr>
            </w:pPr>
            <w:r w:rsidRPr="001D6F2B">
              <w:rPr>
                <w:rFonts w:ascii="Arial" w:eastAsia="Times New Roman" w:hAnsi="Arial" w:cs="Arial"/>
                <w:b/>
                <w:bCs/>
                <w:color w:val="000000"/>
                <w:kern w:val="0"/>
                <w:sz w:val="18"/>
                <w:szCs w:val="18"/>
                <w:lang w:eastAsia="pt-BR"/>
                <w14:ligatures w14:val="none"/>
              </w:rPr>
              <w:t>Composição: </w:t>
            </w:r>
          </w:p>
        </w:tc>
        <w:tc>
          <w:tcPr>
            <w:tcW w:w="659" w:type="pct"/>
            <w:tcBorders>
              <w:top w:val="single" w:sz="8" w:space="0" w:color="auto"/>
              <w:left w:val="nil"/>
              <w:bottom w:val="single" w:sz="8" w:space="0" w:color="auto"/>
              <w:right w:val="single" w:sz="8" w:space="0" w:color="auto"/>
            </w:tcBorders>
            <w:shd w:val="clear" w:color="auto" w:fill="auto"/>
            <w:noWrap/>
            <w:vAlign w:val="center"/>
            <w:hideMark/>
          </w:tcPr>
          <w:p w14:paraId="61CBBEF5" w14:textId="77777777" w:rsidR="001D6F2B" w:rsidRPr="001D6F2B" w:rsidRDefault="001D6F2B" w:rsidP="001D6F2B">
            <w:pPr>
              <w:spacing w:after="0" w:line="240" w:lineRule="auto"/>
              <w:jc w:val="center"/>
              <w:rPr>
                <w:rFonts w:ascii="Arial" w:eastAsia="Times New Roman" w:hAnsi="Arial" w:cs="Arial"/>
                <w:b/>
                <w:bCs/>
                <w:color w:val="000000"/>
                <w:kern w:val="0"/>
                <w:sz w:val="18"/>
                <w:szCs w:val="18"/>
                <w:lang w:eastAsia="pt-BR"/>
                <w14:ligatures w14:val="none"/>
              </w:rPr>
            </w:pPr>
            <w:r w:rsidRPr="001D6F2B">
              <w:rPr>
                <w:rFonts w:ascii="Arial" w:eastAsia="Times New Roman" w:hAnsi="Arial" w:cs="Arial"/>
                <w:b/>
                <w:bCs/>
                <w:color w:val="000000"/>
                <w:kern w:val="0"/>
                <w:sz w:val="18"/>
                <w:szCs w:val="18"/>
                <w:lang w:eastAsia="pt-BR"/>
                <w14:ligatures w14:val="none"/>
              </w:rPr>
              <w:t>31/12/2023</w:t>
            </w:r>
          </w:p>
        </w:tc>
        <w:tc>
          <w:tcPr>
            <w:tcW w:w="658" w:type="pct"/>
            <w:tcBorders>
              <w:top w:val="single" w:sz="8" w:space="0" w:color="auto"/>
              <w:left w:val="nil"/>
              <w:bottom w:val="single" w:sz="8" w:space="0" w:color="auto"/>
              <w:right w:val="single" w:sz="8" w:space="0" w:color="auto"/>
            </w:tcBorders>
            <w:shd w:val="clear" w:color="auto" w:fill="auto"/>
            <w:noWrap/>
            <w:vAlign w:val="center"/>
            <w:hideMark/>
          </w:tcPr>
          <w:p w14:paraId="6069999D" w14:textId="77777777" w:rsidR="001D6F2B" w:rsidRPr="001D6F2B" w:rsidRDefault="001D6F2B" w:rsidP="001D6F2B">
            <w:pPr>
              <w:spacing w:after="0" w:line="240" w:lineRule="auto"/>
              <w:jc w:val="center"/>
              <w:rPr>
                <w:rFonts w:ascii="Arial" w:eastAsia="Times New Roman" w:hAnsi="Arial" w:cs="Arial"/>
                <w:b/>
                <w:bCs/>
                <w:color w:val="000000"/>
                <w:kern w:val="0"/>
                <w:sz w:val="18"/>
                <w:szCs w:val="18"/>
                <w:lang w:eastAsia="pt-BR"/>
                <w14:ligatures w14:val="none"/>
              </w:rPr>
            </w:pPr>
            <w:r w:rsidRPr="001D6F2B">
              <w:rPr>
                <w:rFonts w:ascii="Arial" w:eastAsia="Times New Roman" w:hAnsi="Arial" w:cs="Arial"/>
                <w:b/>
                <w:bCs/>
                <w:color w:val="000000"/>
                <w:kern w:val="0"/>
                <w:sz w:val="18"/>
                <w:szCs w:val="18"/>
                <w:lang w:eastAsia="pt-BR"/>
                <w14:ligatures w14:val="none"/>
              </w:rPr>
              <w:t xml:space="preserve">31/12/2022 </w:t>
            </w:r>
          </w:p>
          <w:p w14:paraId="4E37095B" w14:textId="77777777" w:rsidR="001D6F2B" w:rsidRPr="001D6F2B" w:rsidRDefault="001D6F2B" w:rsidP="001D6F2B">
            <w:pPr>
              <w:spacing w:after="0" w:line="240" w:lineRule="auto"/>
              <w:jc w:val="center"/>
              <w:rPr>
                <w:rFonts w:ascii="Arial" w:eastAsia="Times New Roman" w:hAnsi="Arial" w:cs="Arial"/>
                <w:b/>
                <w:bCs/>
                <w:color w:val="000000"/>
                <w:kern w:val="0"/>
                <w:sz w:val="14"/>
                <w:szCs w:val="14"/>
                <w:lang w:eastAsia="pt-BR"/>
                <w14:ligatures w14:val="none"/>
              </w:rPr>
            </w:pPr>
            <w:r w:rsidRPr="001D6F2B">
              <w:rPr>
                <w:rFonts w:ascii="Arial" w:eastAsia="Times New Roman" w:hAnsi="Arial" w:cs="Arial"/>
                <w:b/>
                <w:bCs/>
                <w:color w:val="000000"/>
                <w:kern w:val="0"/>
                <w:sz w:val="14"/>
                <w:szCs w:val="14"/>
                <w:lang w:eastAsia="pt-BR"/>
                <w14:ligatures w14:val="none"/>
              </w:rPr>
              <w:t>Reapresentado</w:t>
            </w:r>
          </w:p>
        </w:tc>
      </w:tr>
      <w:tr w:rsidR="001D6F2B" w:rsidRPr="001D6F2B" w14:paraId="28EA090E" w14:textId="77777777" w:rsidTr="001D6F2B">
        <w:trPr>
          <w:trHeight w:val="238"/>
        </w:trPr>
        <w:tc>
          <w:tcPr>
            <w:tcW w:w="3683" w:type="pct"/>
            <w:tcBorders>
              <w:top w:val="nil"/>
              <w:left w:val="single" w:sz="8" w:space="0" w:color="auto"/>
              <w:bottom w:val="single" w:sz="8" w:space="0" w:color="auto"/>
              <w:right w:val="single" w:sz="8" w:space="0" w:color="auto"/>
            </w:tcBorders>
            <w:shd w:val="clear" w:color="auto" w:fill="auto"/>
            <w:vAlign w:val="center"/>
            <w:hideMark/>
          </w:tcPr>
          <w:p w14:paraId="24258553" w14:textId="77777777" w:rsidR="001D6F2B" w:rsidRPr="001D6F2B" w:rsidRDefault="001D6F2B" w:rsidP="001D6F2B">
            <w:pPr>
              <w:spacing w:after="0" w:line="240" w:lineRule="auto"/>
              <w:rPr>
                <w:rFonts w:ascii="Arial" w:eastAsia="Times New Roman" w:hAnsi="Arial" w:cs="Arial"/>
                <w:b/>
                <w:bCs/>
                <w:color w:val="000000"/>
                <w:kern w:val="0"/>
                <w:sz w:val="18"/>
                <w:szCs w:val="18"/>
                <w:lang w:eastAsia="pt-BR"/>
                <w14:ligatures w14:val="none"/>
              </w:rPr>
            </w:pPr>
            <w:r w:rsidRPr="001D6F2B">
              <w:rPr>
                <w:rFonts w:ascii="Arial" w:eastAsia="Times New Roman" w:hAnsi="Arial" w:cs="Arial"/>
                <w:b/>
                <w:bCs/>
                <w:color w:val="000000"/>
                <w:kern w:val="0"/>
                <w:sz w:val="18"/>
                <w:szCs w:val="18"/>
                <w:lang w:eastAsia="pt-BR"/>
                <w14:ligatures w14:val="none"/>
              </w:rPr>
              <w:t>Receitas Financeiras</w:t>
            </w:r>
          </w:p>
        </w:tc>
        <w:tc>
          <w:tcPr>
            <w:tcW w:w="659" w:type="pct"/>
            <w:tcBorders>
              <w:top w:val="nil"/>
              <w:left w:val="nil"/>
              <w:bottom w:val="single" w:sz="8" w:space="0" w:color="auto"/>
              <w:right w:val="single" w:sz="8" w:space="0" w:color="auto"/>
            </w:tcBorders>
            <w:shd w:val="clear" w:color="auto" w:fill="auto"/>
            <w:noWrap/>
            <w:vAlign w:val="center"/>
            <w:hideMark/>
          </w:tcPr>
          <w:p w14:paraId="4E787DB2" w14:textId="77777777" w:rsidR="001D6F2B" w:rsidRPr="001D6F2B" w:rsidRDefault="001D6F2B" w:rsidP="001D6F2B">
            <w:pPr>
              <w:spacing w:after="0" w:line="240" w:lineRule="auto"/>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 </w:t>
            </w:r>
          </w:p>
        </w:tc>
        <w:tc>
          <w:tcPr>
            <w:tcW w:w="658" w:type="pct"/>
            <w:tcBorders>
              <w:top w:val="nil"/>
              <w:left w:val="nil"/>
              <w:bottom w:val="single" w:sz="8" w:space="0" w:color="auto"/>
              <w:right w:val="single" w:sz="8" w:space="0" w:color="auto"/>
            </w:tcBorders>
            <w:shd w:val="clear" w:color="auto" w:fill="auto"/>
            <w:noWrap/>
            <w:vAlign w:val="center"/>
            <w:hideMark/>
          </w:tcPr>
          <w:p w14:paraId="7F7AE682" w14:textId="77777777" w:rsidR="001D6F2B" w:rsidRPr="001D6F2B" w:rsidRDefault="001D6F2B" w:rsidP="001D6F2B">
            <w:pPr>
              <w:spacing w:after="0" w:line="240" w:lineRule="auto"/>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 </w:t>
            </w:r>
          </w:p>
        </w:tc>
      </w:tr>
      <w:tr w:rsidR="001D6F2B" w:rsidRPr="001D6F2B" w14:paraId="4B65AF10" w14:textId="77777777" w:rsidTr="001D6F2B">
        <w:trPr>
          <w:trHeight w:val="238"/>
        </w:trPr>
        <w:tc>
          <w:tcPr>
            <w:tcW w:w="3683" w:type="pct"/>
            <w:tcBorders>
              <w:top w:val="nil"/>
              <w:left w:val="single" w:sz="8" w:space="0" w:color="auto"/>
              <w:bottom w:val="single" w:sz="8" w:space="0" w:color="auto"/>
              <w:right w:val="single" w:sz="8" w:space="0" w:color="auto"/>
            </w:tcBorders>
            <w:shd w:val="clear" w:color="auto" w:fill="auto"/>
            <w:noWrap/>
            <w:vAlign w:val="center"/>
            <w:hideMark/>
          </w:tcPr>
          <w:p w14:paraId="356A336E" w14:textId="77777777" w:rsidR="001D6F2B" w:rsidRPr="001D6F2B" w:rsidRDefault="001D6F2B" w:rsidP="001D6F2B">
            <w:pPr>
              <w:spacing w:after="0" w:line="240" w:lineRule="auto"/>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Juros sobre Disponibilidades (i)</w:t>
            </w:r>
          </w:p>
        </w:tc>
        <w:tc>
          <w:tcPr>
            <w:tcW w:w="659" w:type="pct"/>
            <w:tcBorders>
              <w:top w:val="nil"/>
              <w:left w:val="nil"/>
              <w:bottom w:val="single" w:sz="8" w:space="0" w:color="auto"/>
              <w:right w:val="single" w:sz="8" w:space="0" w:color="auto"/>
            </w:tcBorders>
            <w:shd w:val="clear" w:color="auto" w:fill="auto"/>
            <w:noWrap/>
            <w:vAlign w:val="center"/>
            <w:hideMark/>
          </w:tcPr>
          <w:p w14:paraId="4643D887" w14:textId="77777777" w:rsidR="001D6F2B" w:rsidRPr="001D6F2B" w:rsidRDefault="001D6F2B" w:rsidP="001D6F2B">
            <w:pPr>
              <w:spacing w:after="0" w:line="240" w:lineRule="auto"/>
              <w:jc w:val="right"/>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 xml:space="preserve">      146.374 </w:t>
            </w:r>
          </w:p>
        </w:tc>
        <w:tc>
          <w:tcPr>
            <w:tcW w:w="658" w:type="pct"/>
            <w:tcBorders>
              <w:top w:val="nil"/>
              <w:left w:val="nil"/>
              <w:bottom w:val="single" w:sz="8" w:space="0" w:color="auto"/>
              <w:right w:val="single" w:sz="8" w:space="0" w:color="auto"/>
            </w:tcBorders>
            <w:shd w:val="clear" w:color="auto" w:fill="auto"/>
            <w:noWrap/>
            <w:vAlign w:val="center"/>
            <w:hideMark/>
          </w:tcPr>
          <w:p w14:paraId="33D69D84" w14:textId="77777777" w:rsidR="001D6F2B" w:rsidRPr="001D6F2B" w:rsidRDefault="001D6F2B" w:rsidP="001D6F2B">
            <w:pPr>
              <w:spacing w:after="0" w:line="240" w:lineRule="auto"/>
              <w:jc w:val="right"/>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 xml:space="preserve">       100.644 </w:t>
            </w:r>
          </w:p>
        </w:tc>
      </w:tr>
      <w:tr w:rsidR="001D6F2B" w:rsidRPr="001D6F2B" w14:paraId="56BC5F76" w14:textId="77777777" w:rsidTr="001D6F2B">
        <w:trPr>
          <w:trHeight w:val="238"/>
        </w:trPr>
        <w:tc>
          <w:tcPr>
            <w:tcW w:w="3683" w:type="pct"/>
            <w:tcBorders>
              <w:top w:val="nil"/>
              <w:left w:val="single" w:sz="8" w:space="0" w:color="auto"/>
              <w:bottom w:val="single" w:sz="8" w:space="0" w:color="auto"/>
              <w:right w:val="single" w:sz="8" w:space="0" w:color="auto"/>
            </w:tcBorders>
            <w:shd w:val="clear" w:color="auto" w:fill="auto"/>
            <w:noWrap/>
            <w:vAlign w:val="center"/>
            <w:hideMark/>
          </w:tcPr>
          <w:p w14:paraId="16F9D80D" w14:textId="77777777" w:rsidR="001D6F2B" w:rsidRPr="001D6F2B" w:rsidRDefault="001D6F2B" w:rsidP="001D6F2B">
            <w:pPr>
              <w:spacing w:after="0" w:line="240" w:lineRule="auto"/>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 xml:space="preserve">Juros/Variação Monetária sobre Tributos </w:t>
            </w:r>
          </w:p>
        </w:tc>
        <w:tc>
          <w:tcPr>
            <w:tcW w:w="659" w:type="pct"/>
            <w:tcBorders>
              <w:top w:val="nil"/>
              <w:left w:val="nil"/>
              <w:bottom w:val="single" w:sz="8" w:space="0" w:color="auto"/>
              <w:right w:val="single" w:sz="8" w:space="0" w:color="auto"/>
            </w:tcBorders>
            <w:shd w:val="clear" w:color="auto" w:fill="auto"/>
            <w:noWrap/>
            <w:vAlign w:val="center"/>
            <w:hideMark/>
          </w:tcPr>
          <w:p w14:paraId="09E21908" w14:textId="77777777" w:rsidR="001D6F2B" w:rsidRPr="001D6F2B" w:rsidRDefault="001D6F2B" w:rsidP="001D6F2B">
            <w:pPr>
              <w:spacing w:after="0" w:line="240" w:lineRule="auto"/>
              <w:jc w:val="right"/>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 xml:space="preserve">        12.221 </w:t>
            </w:r>
          </w:p>
        </w:tc>
        <w:tc>
          <w:tcPr>
            <w:tcW w:w="658" w:type="pct"/>
            <w:tcBorders>
              <w:top w:val="nil"/>
              <w:left w:val="nil"/>
              <w:bottom w:val="single" w:sz="8" w:space="0" w:color="auto"/>
              <w:right w:val="single" w:sz="8" w:space="0" w:color="auto"/>
            </w:tcBorders>
            <w:shd w:val="clear" w:color="auto" w:fill="auto"/>
            <w:noWrap/>
            <w:vAlign w:val="center"/>
            <w:hideMark/>
          </w:tcPr>
          <w:p w14:paraId="41E7051F" w14:textId="77777777" w:rsidR="001D6F2B" w:rsidRPr="001D6F2B" w:rsidRDefault="001D6F2B" w:rsidP="001D6F2B">
            <w:pPr>
              <w:spacing w:after="0" w:line="240" w:lineRule="auto"/>
              <w:jc w:val="right"/>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 xml:space="preserve">           8.743 </w:t>
            </w:r>
          </w:p>
        </w:tc>
      </w:tr>
      <w:tr w:rsidR="001D6F2B" w:rsidRPr="001D6F2B" w14:paraId="0358A093" w14:textId="77777777" w:rsidTr="001D6F2B">
        <w:trPr>
          <w:trHeight w:val="238"/>
        </w:trPr>
        <w:tc>
          <w:tcPr>
            <w:tcW w:w="3683" w:type="pct"/>
            <w:tcBorders>
              <w:top w:val="nil"/>
              <w:left w:val="single" w:sz="8" w:space="0" w:color="auto"/>
              <w:bottom w:val="single" w:sz="8" w:space="0" w:color="auto"/>
              <w:right w:val="single" w:sz="8" w:space="0" w:color="auto"/>
            </w:tcBorders>
            <w:shd w:val="clear" w:color="auto" w:fill="auto"/>
            <w:noWrap/>
            <w:vAlign w:val="center"/>
            <w:hideMark/>
          </w:tcPr>
          <w:p w14:paraId="13A70C9C" w14:textId="77777777" w:rsidR="001D6F2B" w:rsidRPr="001D6F2B" w:rsidRDefault="001D6F2B" w:rsidP="001D6F2B">
            <w:pPr>
              <w:spacing w:after="0" w:line="240" w:lineRule="auto"/>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Juros sobre Aplicações Financeiras – Garantias</w:t>
            </w:r>
          </w:p>
        </w:tc>
        <w:tc>
          <w:tcPr>
            <w:tcW w:w="659" w:type="pct"/>
            <w:tcBorders>
              <w:top w:val="nil"/>
              <w:left w:val="nil"/>
              <w:bottom w:val="single" w:sz="8" w:space="0" w:color="auto"/>
              <w:right w:val="single" w:sz="8" w:space="0" w:color="auto"/>
            </w:tcBorders>
            <w:shd w:val="clear" w:color="auto" w:fill="auto"/>
            <w:noWrap/>
            <w:vAlign w:val="center"/>
            <w:hideMark/>
          </w:tcPr>
          <w:p w14:paraId="0A9B6EE1" w14:textId="77777777" w:rsidR="001D6F2B" w:rsidRPr="001D6F2B" w:rsidRDefault="001D6F2B" w:rsidP="001D6F2B">
            <w:pPr>
              <w:spacing w:after="0" w:line="240" w:lineRule="auto"/>
              <w:jc w:val="right"/>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 xml:space="preserve">          9.008 </w:t>
            </w:r>
          </w:p>
        </w:tc>
        <w:tc>
          <w:tcPr>
            <w:tcW w:w="658" w:type="pct"/>
            <w:tcBorders>
              <w:top w:val="nil"/>
              <w:left w:val="nil"/>
              <w:bottom w:val="single" w:sz="8" w:space="0" w:color="auto"/>
              <w:right w:val="single" w:sz="8" w:space="0" w:color="auto"/>
            </w:tcBorders>
            <w:shd w:val="clear" w:color="auto" w:fill="auto"/>
            <w:noWrap/>
            <w:vAlign w:val="center"/>
            <w:hideMark/>
          </w:tcPr>
          <w:p w14:paraId="07F955AE" w14:textId="77777777" w:rsidR="001D6F2B" w:rsidRPr="001D6F2B" w:rsidRDefault="001D6F2B" w:rsidP="001D6F2B">
            <w:pPr>
              <w:spacing w:after="0" w:line="240" w:lineRule="auto"/>
              <w:jc w:val="right"/>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 xml:space="preserve">           7.704 </w:t>
            </w:r>
          </w:p>
        </w:tc>
      </w:tr>
      <w:tr w:rsidR="001D6F2B" w:rsidRPr="001D6F2B" w14:paraId="5F82D912" w14:textId="77777777" w:rsidTr="001D6F2B">
        <w:trPr>
          <w:trHeight w:val="238"/>
        </w:trPr>
        <w:tc>
          <w:tcPr>
            <w:tcW w:w="3683" w:type="pct"/>
            <w:tcBorders>
              <w:top w:val="nil"/>
              <w:left w:val="single" w:sz="8" w:space="0" w:color="auto"/>
              <w:bottom w:val="single" w:sz="8" w:space="0" w:color="auto"/>
              <w:right w:val="single" w:sz="8" w:space="0" w:color="auto"/>
            </w:tcBorders>
            <w:shd w:val="clear" w:color="auto" w:fill="auto"/>
            <w:noWrap/>
            <w:vAlign w:val="center"/>
            <w:hideMark/>
          </w:tcPr>
          <w:p w14:paraId="7A14C8E4" w14:textId="77777777" w:rsidR="001D6F2B" w:rsidRPr="001D6F2B" w:rsidRDefault="001D6F2B" w:rsidP="001D6F2B">
            <w:pPr>
              <w:spacing w:after="0" w:line="240" w:lineRule="auto"/>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Juros sobre Depósitos Judiciais</w:t>
            </w:r>
          </w:p>
        </w:tc>
        <w:tc>
          <w:tcPr>
            <w:tcW w:w="659" w:type="pct"/>
            <w:tcBorders>
              <w:top w:val="nil"/>
              <w:left w:val="nil"/>
              <w:bottom w:val="single" w:sz="8" w:space="0" w:color="auto"/>
              <w:right w:val="single" w:sz="8" w:space="0" w:color="auto"/>
            </w:tcBorders>
            <w:shd w:val="clear" w:color="auto" w:fill="auto"/>
            <w:noWrap/>
            <w:vAlign w:val="center"/>
            <w:hideMark/>
          </w:tcPr>
          <w:p w14:paraId="0A6BDA74" w14:textId="77777777" w:rsidR="001D6F2B" w:rsidRPr="001D6F2B" w:rsidRDefault="001D6F2B" w:rsidP="001D6F2B">
            <w:pPr>
              <w:spacing w:after="0" w:line="240" w:lineRule="auto"/>
              <w:jc w:val="right"/>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 xml:space="preserve">          4.142 </w:t>
            </w:r>
          </w:p>
        </w:tc>
        <w:tc>
          <w:tcPr>
            <w:tcW w:w="658" w:type="pct"/>
            <w:tcBorders>
              <w:top w:val="nil"/>
              <w:left w:val="nil"/>
              <w:bottom w:val="single" w:sz="8" w:space="0" w:color="auto"/>
              <w:right w:val="single" w:sz="8" w:space="0" w:color="auto"/>
            </w:tcBorders>
            <w:shd w:val="clear" w:color="auto" w:fill="auto"/>
            <w:noWrap/>
            <w:vAlign w:val="center"/>
            <w:hideMark/>
          </w:tcPr>
          <w:p w14:paraId="66A83EEC" w14:textId="77777777" w:rsidR="001D6F2B" w:rsidRPr="001D6F2B" w:rsidRDefault="001D6F2B" w:rsidP="001D6F2B">
            <w:pPr>
              <w:spacing w:after="0" w:line="240" w:lineRule="auto"/>
              <w:jc w:val="right"/>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 xml:space="preserve">           3.467 </w:t>
            </w:r>
          </w:p>
        </w:tc>
      </w:tr>
      <w:tr w:rsidR="001D6F2B" w:rsidRPr="001D6F2B" w14:paraId="78CBF921" w14:textId="77777777" w:rsidTr="001D6F2B">
        <w:trPr>
          <w:trHeight w:val="238"/>
        </w:trPr>
        <w:tc>
          <w:tcPr>
            <w:tcW w:w="3683" w:type="pct"/>
            <w:tcBorders>
              <w:top w:val="nil"/>
              <w:left w:val="single" w:sz="8" w:space="0" w:color="auto"/>
              <w:bottom w:val="single" w:sz="8" w:space="0" w:color="auto"/>
              <w:right w:val="single" w:sz="8" w:space="0" w:color="auto"/>
            </w:tcBorders>
            <w:shd w:val="clear" w:color="auto" w:fill="auto"/>
            <w:noWrap/>
            <w:vAlign w:val="center"/>
            <w:hideMark/>
          </w:tcPr>
          <w:p w14:paraId="39CE729D" w14:textId="77777777" w:rsidR="001D6F2B" w:rsidRPr="001D6F2B" w:rsidRDefault="001D6F2B" w:rsidP="001D6F2B">
            <w:pPr>
              <w:spacing w:after="0" w:line="240" w:lineRule="auto"/>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Juros sobre Superávit de Previdência Privada (</w:t>
            </w:r>
            <w:proofErr w:type="spellStart"/>
            <w:r w:rsidRPr="001D6F2B">
              <w:rPr>
                <w:rFonts w:ascii="Arial" w:eastAsia="Times New Roman" w:hAnsi="Arial" w:cs="Arial"/>
                <w:color w:val="000000"/>
                <w:kern w:val="0"/>
                <w:sz w:val="18"/>
                <w:szCs w:val="18"/>
                <w:lang w:eastAsia="pt-BR"/>
                <w14:ligatures w14:val="none"/>
              </w:rPr>
              <w:t>ii</w:t>
            </w:r>
            <w:proofErr w:type="spellEnd"/>
            <w:r w:rsidRPr="001D6F2B">
              <w:rPr>
                <w:rFonts w:ascii="Arial" w:eastAsia="Times New Roman" w:hAnsi="Arial" w:cs="Arial"/>
                <w:color w:val="000000"/>
                <w:kern w:val="0"/>
                <w:sz w:val="18"/>
                <w:szCs w:val="18"/>
                <w:lang w:eastAsia="pt-BR"/>
                <w14:ligatures w14:val="none"/>
              </w:rPr>
              <w:t>)</w:t>
            </w:r>
          </w:p>
        </w:tc>
        <w:tc>
          <w:tcPr>
            <w:tcW w:w="659" w:type="pct"/>
            <w:tcBorders>
              <w:top w:val="nil"/>
              <w:left w:val="nil"/>
              <w:bottom w:val="single" w:sz="8" w:space="0" w:color="auto"/>
              <w:right w:val="single" w:sz="8" w:space="0" w:color="auto"/>
            </w:tcBorders>
            <w:shd w:val="clear" w:color="auto" w:fill="auto"/>
            <w:noWrap/>
            <w:vAlign w:val="center"/>
            <w:hideMark/>
          </w:tcPr>
          <w:p w14:paraId="400FBA2A" w14:textId="77777777" w:rsidR="001D6F2B" w:rsidRPr="001D6F2B" w:rsidRDefault="001D6F2B" w:rsidP="001D6F2B">
            <w:pPr>
              <w:spacing w:after="0" w:line="240" w:lineRule="auto"/>
              <w:jc w:val="right"/>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 xml:space="preserve">          1.439 </w:t>
            </w:r>
          </w:p>
        </w:tc>
        <w:tc>
          <w:tcPr>
            <w:tcW w:w="658" w:type="pct"/>
            <w:tcBorders>
              <w:top w:val="nil"/>
              <w:left w:val="nil"/>
              <w:bottom w:val="single" w:sz="8" w:space="0" w:color="auto"/>
              <w:right w:val="single" w:sz="8" w:space="0" w:color="auto"/>
            </w:tcBorders>
            <w:shd w:val="clear" w:color="auto" w:fill="auto"/>
            <w:noWrap/>
            <w:vAlign w:val="center"/>
            <w:hideMark/>
          </w:tcPr>
          <w:p w14:paraId="3665C1E3" w14:textId="77777777" w:rsidR="001D6F2B" w:rsidRPr="001D6F2B" w:rsidRDefault="001D6F2B" w:rsidP="001D6F2B">
            <w:pPr>
              <w:spacing w:after="0" w:line="240" w:lineRule="auto"/>
              <w:jc w:val="right"/>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 xml:space="preserve">           4.132 </w:t>
            </w:r>
          </w:p>
        </w:tc>
      </w:tr>
      <w:tr w:rsidR="001D6F2B" w:rsidRPr="001D6F2B" w14:paraId="5FC6DF91" w14:textId="77777777" w:rsidTr="001D6F2B">
        <w:trPr>
          <w:trHeight w:val="238"/>
        </w:trPr>
        <w:tc>
          <w:tcPr>
            <w:tcW w:w="3683" w:type="pct"/>
            <w:tcBorders>
              <w:top w:val="nil"/>
              <w:left w:val="single" w:sz="8" w:space="0" w:color="auto"/>
              <w:bottom w:val="single" w:sz="8" w:space="0" w:color="auto"/>
              <w:right w:val="single" w:sz="8" w:space="0" w:color="auto"/>
            </w:tcBorders>
            <w:shd w:val="clear" w:color="auto" w:fill="auto"/>
            <w:noWrap/>
            <w:vAlign w:val="center"/>
            <w:hideMark/>
          </w:tcPr>
          <w:p w14:paraId="442154C2" w14:textId="77777777" w:rsidR="001D6F2B" w:rsidRPr="001D6F2B" w:rsidRDefault="001D6F2B" w:rsidP="001D6F2B">
            <w:pPr>
              <w:spacing w:after="0" w:line="240" w:lineRule="auto"/>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Juros sobre Contas a Receber</w:t>
            </w:r>
          </w:p>
        </w:tc>
        <w:tc>
          <w:tcPr>
            <w:tcW w:w="659" w:type="pct"/>
            <w:tcBorders>
              <w:top w:val="nil"/>
              <w:left w:val="nil"/>
              <w:bottom w:val="single" w:sz="8" w:space="0" w:color="auto"/>
              <w:right w:val="single" w:sz="8" w:space="0" w:color="auto"/>
            </w:tcBorders>
            <w:shd w:val="clear" w:color="auto" w:fill="auto"/>
            <w:noWrap/>
            <w:vAlign w:val="center"/>
            <w:hideMark/>
          </w:tcPr>
          <w:p w14:paraId="4DBD745C" w14:textId="77777777" w:rsidR="001D6F2B" w:rsidRPr="001D6F2B" w:rsidRDefault="001D6F2B" w:rsidP="001D6F2B">
            <w:pPr>
              <w:spacing w:after="0" w:line="240" w:lineRule="auto"/>
              <w:jc w:val="right"/>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 xml:space="preserve">             271 </w:t>
            </w:r>
          </w:p>
        </w:tc>
        <w:tc>
          <w:tcPr>
            <w:tcW w:w="658" w:type="pct"/>
            <w:tcBorders>
              <w:top w:val="nil"/>
              <w:left w:val="nil"/>
              <w:bottom w:val="single" w:sz="8" w:space="0" w:color="auto"/>
              <w:right w:val="single" w:sz="8" w:space="0" w:color="auto"/>
            </w:tcBorders>
            <w:shd w:val="clear" w:color="auto" w:fill="auto"/>
            <w:noWrap/>
            <w:vAlign w:val="center"/>
            <w:hideMark/>
          </w:tcPr>
          <w:p w14:paraId="7825DE1C" w14:textId="77777777" w:rsidR="001D6F2B" w:rsidRPr="001D6F2B" w:rsidRDefault="001D6F2B" w:rsidP="001D6F2B">
            <w:pPr>
              <w:spacing w:after="0" w:line="240" w:lineRule="auto"/>
              <w:jc w:val="right"/>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 xml:space="preserve">              345 </w:t>
            </w:r>
          </w:p>
        </w:tc>
      </w:tr>
      <w:tr w:rsidR="001D6F2B" w:rsidRPr="001D6F2B" w14:paraId="0E5C6872" w14:textId="77777777" w:rsidTr="001D6F2B">
        <w:trPr>
          <w:trHeight w:val="238"/>
        </w:trPr>
        <w:tc>
          <w:tcPr>
            <w:tcW w:w="3683" w:type="pct"/>
            <w:tcBorders>
              <w:top w:val="nil"/>
              <w:left w:val="single" w:sz="8" w:space="0" w:color="auto"/>
              <w:bottom w:val="single" w:sz="8" w:space="0" w:color="auto"/>
              <w:right w:val="single" w:sz="8" w:space="0" w:color="auto"/>
            </w:tcBorders>
            <w:shd w:val="clear" w:color="auto" w:fill="auto"/>
            <w:noWrap/>
            <w:vAlign w:val="center"/>
            <w:hideMark/>
          </w:tcPr>
          <w:p w14:paraId="6B7BA034" w14:textId="77777777" w:rsidR="001D6F2B" w:rsidRPr="001D6F2B" w:rsidRDefault="001D6F2B" w:rsidP="001D6F2B">
            <w:pPr>
              <w:spacing w:after="0" w:line="240" w:lineRule="auto"/>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Outras Receitas Financeiras</w:t>
            </w:r>
          </w:p>
        </w:tc>
        <w:tc>
          <w:tcPr>
            <w:tcW w:w="659" w:type="pct"/>
            <w:tcBorders>
              <w:top w:val="nil"/>
              <w:left w:val="nil"/>
              <w:bottom w:val="single" w:sz="8" w:space="0" w:color="auto"/>
              <w:right w:val="single" w:sz="8" w:space="0" w:color="auto"/>
            </w:tcBorders>
            <w:shd w:val="clear" w:color="auto" w:fill="auto"/>
            <w:noWrap/>
            <w:vAlign w:val="center"/>
            <w:hideMark/>
          </w:tcPr>
          <w:p w14:paraId="00BDE5A1" w14:textId="77777777" w:rsidR="001D6F2B" w:rsidRPr="001D6F2B" w:rsidRDefault="001D6F2B" w:rsidP="001D6F2B">
            <w:pPr>
              <w:spacing w:after="0" w:line="240" w:lineRule="auto"/>
              <w:jc w:val="right"/>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 xml:space="preserve">               23 </w:t>
            </w:r>
          </w:p>
        </w:tc>
        <w:tc>
          <w:tcPr>
            <w:tcW w:w="658" w:type="pct"/>
            <w:tcBorders>
              <w:top w:val="nil"/>
              <w:left w:val="nil"/>
              <w:bottom w:val="single" w:sz="8" w:space="0" w:color="auto"/>
              <w:right w:val="single" w:sz="8" w:space="0" w:color="auto"/>
            </w:tcBorders>
            <w:shd w:val="clear" w:color="auto" w:fill="auto"/>
            <w:noWrap/>
            <w:vAlign w:val="center"/>
            <w:hideMark/>
          </w:tcPr>
          <w:p w14:paraId="101EF2FC" w14:textId="77777777" w:rsidR="001D6F2B" w:rsidRPr="001D6F2B" w:rsidRDefault="001D6F2B" w:rsidP="001D6F2B">
            <w:pPr>
              <w:spacing w:after="0" w:line="240" w:lineRule="auto"/>
              <w:jc w:val="right"/>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 xml:space="preserve">                  4 </w:t>
            </w:r>
          </w:p>
        </w:tc>
      </w:tr>
      <w:tr w:rsidR="001D6F2B" w:rsidRPr="001D6F2B" w14:paraId="02FE4F5E" w14:textId="77777777" w:rsidTr="001D6F2B">
        <w:trPr>
          <w:trHeight w:val="238"/>
        </w:trPr>
        <w:tc>
          <w:tcPr>
            <w:tcW w:w="3683" w:type="pct"/>
            <w:tcBorders>
              <w:top w:val="nil"/>
              <w:left w:val="single" w:sz="8" w:space="0" w:color="auto"/>
              <w:bottom w:val="single" w:sz="8" w:space="0" w:color="auto"/>
              <w:right w:val="single" w:sz="8" w:space="0" w:color="auto"/>
            </w:tcBorders>
            <w:shd w:val="clear" w:color="auto" w:fill="auto"/>
            <w:noWrap/>
            <w:vAlign w:val="center"/>
            <w:hideMark/>
          </w:tcPr>
          <w:p w14:paraId="0A1F938E" w14:textId="77777777" w:rsidR="001D6F2B" w:rsidRPr="001D6F2B" w:rsidRDefault="001D6F2B" w:rsidP="001D6F2B">
            <w:pPr>
              <w:spacing w:after="0" w:line="240" w:lineRule="auto"/>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Tributos sobre Receitas Financeiras</w:t>
            </w:r>
          </w:p>
        </w:tc>
        <w:tc>
          <w:tcPr>
            <w:tcW w:w="659" w:type="pct"/>
            <w:tcBorders>
              <w:top w:val="nil"/>
              <w:left w:val="nil"/>
              <w:bottom w:val="single" w:sz="8" w:space="0" w:color="auto"/>
              <w:right w:val="single" w:sz="8" w:space="0" w:color="auto"/>
            </w:tcBorders>
            <w:shd w:val="clear" w:color="auto" w:fill="auto"/>
            <w:noWrap/>
            <w:vAlign w:val="center"/>
            <w:hideMark/>
          </w:tcPr>
          <w:p w14:paraId="786C57E8" w14:textId="77777777" w:rsidR="001D6F2B" w:rsidRPr="001D6F2B" w:rsidRDefault="001D6F2B" w:rsidP="001D6F2B">
            <w:pPr>
              <w:spacing w:after="0" w:line="240" w:lineRule="auto"/>
              <w:jc w:val="right"/>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 xml:space="preserve">         (7.840)</w:t>
            </w:r>
          </w:p>
        </w:tc>
        <w:tc>
          <w:tcPr>
            <w:tcW w:w="658" w:type="pct"/>
            <w:tcBorders>
              <w:top w:val="nil"/>
              <w:left w:val="nil"/>
              <w:bottom w:val="single" w:sz="8" w:space="0" w:color="auto"/>
              <w:right w:val="single" w:sz="8" w:space="0" w:color="auto"/>
            </w:tcBorders>
            <w:shd w:val="clear" w:color="auto" w:fill="auto"/>
            <w:noWrap/>
            <w:vAlign w:val="center"/>
            <w:hideMark/>
          </w:tcPr>
          <w:p w14:paraId="6F755301" w14:textId="77777777" w:rsidR="001D6F2B" w:rsidRPr="001D6F2B" w:rsidRDefault="001D6F2B" w:rsidP="001D6F2B">
            <w:pPr>
              <w:spacing w:after="0" w:line="240" w:lineRule="auto"/>
              <w:jc w:val="right"/>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 xml:space="preserve">         (5.667)</w:t>
            </w:r>
          </w:p>
        </w:tc>
      </w:tr>
      <w:tr w:rsidR="001D6F2B" w:rsidRPr="001D6F2B" w14:paraId="1B9CD261" w14:textId="77777777" w:rsidTr="001D6F2B">
        <w:trPr>
          <w:trHeight w:val="238"/>
        </w:trPr>
        <w:tc>
          <w:tcPr>
            <w:tcW w:w="3683" w:type="pct"/>
            <w:tcBorders>
              <w:top w:val="nil"/>
              <w:left w:val="single" w:sz="8" w:space="0" w:color="auto"/>
              <w:bottom w:val="single" w:sz="8" w:space="0" w:color="auto"/>
              <w:right w:val="single" w:sz="8" w:space="0" w:color="auto"/>
            </w:tcBorders>
            <w:shd w:val="clear" w:color="auto" w:fill="auto"/>
            <w:noWrap/>
            <w:vAlign w:val="center"/>
            <w:hideMark/>
          </w:tcPr>
          <w:p w14:paraId="71378251" w14:textId="77777777" w:rsidR="001D6F2B" w:rsidRPr="001D6F2B" w:rsidRDefault="001D6F2B" w:rsidP="001D6F2B">
            <w:pPr>
              <w:spacing w:after="0" w:line="240" w:lineRule="auto"/>
              <w:rPr>
                <w:rFonts w:ascii="Arial" w:eastAsia="Times New Roman" w:hAnsi="Arial" w:cs="Arial"/>
                <w:b/>
                <w:bCs/>
                <w:color w:val="000000"/>
                <w:kern w:val="0"/>
                <w:sz w:val="18"/>
                <w:szCs w:val="18"/>
                <w:lang w:eastAsia="pt-BR"/>
                <w14:ligatures w14:val="none"/>
              </w:rPr>
            </w:pPr>
            <w:r w:rsidRPr="001D6F2B">
              <w:rPr>
                <w:rFonts w:ascii="Arial" w:eastAsia="Times New Roman" w:hAnsi="Arial" w:cs="Arial"/>
                <w:b/>
                <w:bCs/>
                <w:color w:val="000000"/>
                <w:kern w:val="0"/>
                <w:sz w:val="18"/>
                <w:szCs w:val="18"/>
                <w:lang w:eastAsia="pt-BR"/>
                <w14:ligatures w14:val="none"/>
              </w:rPr>
              <w:t>Subtotal</w:t>
            </w:r>
          </w:p>
        </w:tc>
        <w:tc>
          <w:tcPr>
            <w:tcW w:w="659" w:type="pct"/>
            <w:tcBorders>
              <w:top w:val="nil"/>
              <w:left w:val="nil"/>
              <w:bottom w:val="single" w:sz="8" w:space="0" w:color="auto"/>
              <w:right w:val="single" w:sz="8" w:space="0" w:color="auto"/>
            </w:tcBorders>
            <w:shd w:val="clear" w:color="auto" w:fill="auto"/>
            <w:noWrap/>
            <w:vAlign w:val="center"/>
            <w:hideMark/>
          </w:tcPr>
          <w:p w14:paraId="798F4DF8" w14:textId="77777777" w:rsidR="001D6F2B" w:rsidRPr="001D6F2B" w:rsidRDefault="001D6F2B" w:rsidP="001D6F2B">
            <w:pPr>
              <w:spacing w:after="0" w:line="240" w:lineRule="auto"/>
              <w:jc w:val="right"/>
              <w:rPr>
                <w:rFonts w:ascii="Arial" w:eastAsia="Times New Roman" w:hAnsi="Arial" w:cs="Arial"/>
                <w:b/>
                <w:bCs/>
                <w:color w:val="000000"/>
                <w:kern w:val="0"/>
                <w:sz w:val="18"/>
                <w:szCs w:val="18"/>
                <w:lang w:eastAsia="pt-BR"/>
                <w14:ligatures w14:val="none"/>
              </w:rPr>
            </w:pPr>
            <w:r w:rsidRPr="001D6F2B">
              <w:rPr>
                <w:rFonts w:ascii="Arial" w:eastAsia="Times New Roman" w:hAnsi="Arial" w:cs="Arial"/>
                <w:b/>
                <w:bCs/>
                <w:color w:val="000000"/>
                <w:kern w:val="0"/>
                <w:sz w:val="18"/>
                <w:szCs w:val="18"/>
                <w:lang w:eastAsia="pt-BR"/>
                <w14:ligatures w14:val="none"/>
              </w:rPr>
              <w:t xml:space="preserve">      165.638 </w:t>
            </w:r>
          </w:p>
        </w:tc>
        <w:tc>
          <w:tcPr>
            <w:tcW w:w="658" w:type="pct"/>
            <w:tcBorders>
              <w:top w:val="nil"/>
              <w:left w:val="nil"/>
              <w:bottom w:val="single" w:sz="8" w:space="0" w:color="auto"/>
              <w:right w:val="single" w:sz="8" w:space="0" w:color="auto"/>
            </w:tcBorders>
            <w:shd w:val="clear" w:color="auto" w:fill="auto"/>
            <w:noWrap/>
            <w:vAlign w:val="center"/>
            <w:hideMark/>
          </w:tcPr>
          <w:p w14:paraId="09AF0D45" w14:textId="77777777" w:rsidR="001D6F2B" w:rsidRPr="001D6F2B" w:rsidRDefault="001D6F2B" w:rsidP="001D6F2B">
            <w:pPr>
              <w:spacing w:after="0" w:line="240" w:lineRule="auto"/>
              <w:jc w:val="right"/>
              <w:rPr>
                <w:rFonts w:ascii="Arial" w:eastAsia="Times New Roman" w:hAnsi="Arial" w:cs="Arial"/>
                <w:b/>
                <w:bCs/>
                <w:color w:val="000000"/>
                <w:kern w:val="0"/>
                <w:sz w:val="18"/>
                <w:szCs w:val="18"/>
                <w:lang w:eastAsia="pt-BR"/>
                <w14:ligatures w14:val="none"/>
              </w:rPr>
            </w:pPr>
            <w:r w:rsidRPr="001D6F2B">
              <w:rPr>
                <w:rFonts w:ascii="Arial" w:eastAsia="Times New Roman" w:hAnsi="Arial" w:cs="Arial"/>
                <w:b/>
                <w:bCs/>
                <w:color w:val="000000"/>
                <w:kern w:val="0"/>
                <w:sz w:val="18"/>
                <w:szCs w:val="18"/>
                <w:lang w:eastAsia="pt-BR"/>
                <w14:ligatures w14:val="none"/>
              </w:rPr>
              <w:t xml:space="preserve">       119.372 </w:t>
            </w:r>
          </w:p>
        </w:tc>
      </w:tr>
      <w:tr w:rsidR="001D6F2B" w:rsidRPr="001D6F2B" w14:paraId="1D43733E" w14:textId="77777777" w:rsidTr="001D6F2B">
        <w:trPr>
          <w:trHeight w:val="238"/>
        </w:trPr>
        <w:tc>
          <w:tcPr>
            <w:tcW w:w="3683" w:type="pct"/>
            <w:tcBorders>
              <w:top w:val="nil"/>
              <w:left w:val="single" w:sz="8" w:space="0" w:color="auto"/>
              <w:bottom w:val="single" w:sz="8" w:space="0" w:color="auto"/>
              <w:right w:val="single" w:sz="8" w:space="0" w:color="auto"/>
            </w:tcBorders>
            <w:shd w:val="clear" w:color="auto" w:fill="auto"/>
            <w:noWrap/>
            <w:vAlign w:val="center"/>
            <w:hideMark/>
          </w:tcPr>
          <w:p w14:paraId="6A3FA38F" w14:textId="77777777" w:rsidR="001D6F2B" w:rsidRPr="001D6F2B" w:rsidRDefault="001D6F2B" w:rsidP="001D6F2B">
            <w:pPr>
              <w:spacing w:after="0" w:line="240" w:lineRule="auto"/>
              <w:rPr>
                <w:rFonts w:ascii="Arial" w:eastAsia="Times New Roman" w:hAnsi="Arial" w:cs="Arial"/>
                <w:b/>
                <w:bCs/>
                <w:color w:val="000000"/>
                <w:kern w:val="0"/>
                <w:sz w:val="18"/>
                <w:szCs w:val="18"/>
                <w:lang w:eastAsia="pt-BR"/>
                <w14:ligatures w14:val="none"/>
              </w:rPr>
            </w:pPr>
            <w:r w:rsidRPr="001D6F2B">
              <w:rPr>
                <w:rFonts w:ascii="Arial" w:eastAsia="Times New Roman" w:hAnsi="Arial" w:cs="Arial"/>
                <w:b/>
                <w:bCs/>
                <w:color w:val="000000"/>
                <w:kern w:val="0"/>
                <w:sz w:val="18"/>
                <w:szCs w:val="18"/>
                <w:lang w:eastAsia="pt-BR"/>
                <w14:ligatures w14:val="none"/>
              </w:rPr>
              <w:t>Despesas Financeiras</w:t>
            </w:r>
          </w:p>
        </w:tc>
        <w:tc>
          <w:tcPr>
            <w:tcW w:w="659" w:type="pct"/>
            <w:tcBorders>
              <w:top w:val="nil"/>
              <w:left w:val="nil"/>
              <w:bottom w:val="single" w:sz="8" w:space="0" w:color="auto"/>
              <w:right w:val="single" w:sz="8" w:space="0" w:color="auto"/>
            </w:tcBorders>
            <w:shd w:val="clear" w:color="auto" w:fill="auto"/>
            <w:noWrap/>
            <w:vAlign w:val="center"/>
            <w:hideMark/>
          </w:tcPr>
          <w:p w14:paraId="26729A5D" w14:textId="77777777" w:rsidR="001D6F2B" w:rsidRPr="001D6F2B" w:rsidRDefault="001D6F2B" w:rsidP="001D6F2B">
            <w:pPr>
              <w:spacing w:after="0" w:line="240" w:lineRule="auto"/>
              <w:jc w:val="right"/>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 </w:t>
            </w:r>
          </w:p>
        </w:tc>
        <w:tc>
          <w:tcPr>
            <w:tcW w:w="658" w:type="pct"/>
            <w:tcBorders>
              <w:top w:val="nil"/>
              <w:left w:val="nil"/>
              <w:bottom w:val="single" w:sz="8" w:space="0" w:color="auto"/>
              <w:right w:val="single" w:sz="8" w:space="0" w:color="auto"/>
            </w:tcBorders>
            <w:shd w:val="clear" w:color="auto" w:fill="auto"/>
            <w:noWrap/>
            <w:vAlign w:val="center"/>
            <w:hideMark/>
          </w:tcPr>
          <w:p w14:paraId="1598AD77" w14:textId="77777777" w:rsidR="001D6F2B" w:rsidRPr="001D6F2B" w:rsidRDefault="001D6F2B" w:rsidP="001D6F2B">
            <w:pPr>
              <w:spacing w:after="0" w:line="240" w:lineRule="auto"/>
              <w:jc w:val="right"/>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 </w:t>
            </w:r>
          </w:p>
        </w:tc>
      </w:tr>
      <w:tr w:rsidR="001D6F2B" w:rsidRPr="001D6F2B" w14:paraId="38CBC2D0" w14:textId="77777777" w:rsidTr="001D6F2B">
        <w:trPr>
          <w:trHeight w:val="238"/>
        </w:trPr>
        <w:tc>
          <w:tcPr>
            <w:tcW w:w="3683" w:type="pct"/>
            <w:tcBorders>
              <w:top w:val="nil"/>
              <w:left w:val="single" w:sz="8" w:space="0" w:color="auto"/>
              <w:bottom w:val="single" w:sz="8" w:space="0" w:color="auto"/>
              <w:right w:val="single" w:sz="8" w:space="0" w:color="auto"/>
            </w:tcBorders>
            <w:shd w:val="clear" w:color="auto" w:fill="auto"/>
            <w:noWrap/>
            <w:vAlign w:val="center"/>
            <w:hideMark/>
          </w:tcPr>
          <w:p w14:paraId="3FA8D02A" w14:textId="77777777" w:rsidR="001D6F2B" w:rsidRPr="001D6F2B" w:rsidRDefault="001D6F2B" w:rsidP="001D6F2B">
            <w:pPr>
              <w:spacing w:after="0" w:line="240" w:lineRule="auto"/>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Juros sobre Adiantamento para Futuro Aumento de Capital (</w:t>
            </w:r>
            <w:proofErr w:type="spellStart"/>
            <w:r w:rsidRPr="001D6F2B">
              <w:rPr>
                <w:rFonts w:ascii="Arial" w:eastAsia="Times New Roman" w:hAnsi="Arial" w:cs="Arial"/>
                <w:color w:val="000000"/>
                <w:kern w:val="0"/>
                <w:sz w:val="18"/>
                <w:szCs w:val="18"/>
                <w:lang w:eastAsia="pt-BR"/>
                <w14:ligatures w14:val="none"/>
              </w:rPr>
              <w:t>iii</w:t>
            </w:r>
            <w:proofErr w:type="spellEnd"/>
            <w:r w:rsidRPr="001D6F2B">
              <w:rPr>
                <w:rFonts w:ascii="Arial" w:eastAsia="Times New Roman" w:hAnsi="Arial" w:cs="Arial"/>
                <w:color w:val="000000"/>
                <w:kern w:val="0"/>
                <w:sz w:val="18"/>
                <w:szCs w:val="18"/>
                <w:lang w:eastAsia="pt-BR"/>
                <w14:ligatures w14:val="none"/>
              </w:rPr>
              <w:t>)</w:t>
            </w:r>
          </w:p>
        </w:tc>
        <w:tc>
          <w:tcPr>
            <w:tcW w:w="659" w:type="pct"/>
            <w:tcBorders>
              <w:top w:val="nil"/>
              <w:left w:val="nil"/>
              <w:bottom w:val="single" w:sz="8" w:space="0" w:color="auto"/>
              <w:right w:val="single" w:sz="8" w:space="0" w:color="auto"/>
            </w:tcBorders>
            <w:shd w:val="clear" w:color="auto" w:fill="auto"/>
            <w:noWrap/>
            <w:vAlign w:val="center"/>
            <w:hideMark/>
          </w:tcPr>
          <w:p w14:paraId="4A46AF67" w14:textId="77777777" w:rsidR="001D6F2B" w:rsidRPr="001D6F2B" w:rsidRDefault="001D6F2B" w:rsidP="001D6F2B">
            <w:pPr>
              <w:spacing w:after="0" w:line="240" w:lineRule="auto"/>
              <w:jc w:val="right"/>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 xml:space="preserve">     (198.416)</w:t>
            </w:r>
          </w:p>
        </w:tc>
        <w:tc>
          <w:tcPr>
            <w:tcW w:w="658" w:type="pct"/>
            <w:tcBorders>
              <w:top w:val="nil"/>
              <w:left w:val="nil"/>
              <w:bottom w:val="single" w:sz="8" w:space="0" w:color="auto"/>
              <w:right w:val="single" w:sz="8" w:space="0" w:color="auto"/>
            </w:tcBorders>
            <w:shd w:val="clear" w:color="auto" w:fill="auto"/>
            <w:noWrap/>
            <w:vAlign w:val="center"/>
            <w:hideMark/>
          </w:tcPr>
          <w:p w14:paraId="14C3DB96" w14:textId="77777777" w:rsidR="001D6F2B" w:rsidRPr="001D6F2B" w:rsidRDefault="001D6F2B" w:rsidP="001D6F2B">
            <w:pPr>
              <w:spacing w:after="0" w:line="240" w:lineRule="auto"/>
              <w:jc w:val="right"/>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 xml:space="preserve">     (185.767)</w:t>
            </w:r>
          </w:p>
        </w:tc>
      </w:tr>
      <w:tr w:rsidR="001D6F2B" w:rsidRPr="001D6F2B" w14:paraId="57B5DBD1" w14:textId="77777777" w:rsidTr="001D6F2B">
        <w:trPr>
          <w:trHeight w:val="238"/>
        </w:trPr>
        <w:tc>
          <w:tcPr>
            <w:tcW w:w="3683" w:type="pct"/>
            <w:tcBorders>
              <w:top w:val="nil"/>
              <w:left w:val="single" w:sz="8" w:space="0" w:color="auto"/>
              <w:bottom w:val="single" w:sz="8" w:space="0" w:color="auto"/>
              <w:right w:val="single" w:sz="8" w:space="0" w:color="auto"/>
            </w:tcBorders>
            <w:shd w:val="clear" w:color="auto" w:fill="auto"/>
            <w:noWrap/>
            <w:vAlign w:val="center"/>
            <w:hideMark/>
          </w:tcPr>
          <w:p w14:paraId="7BFD7DAD" w14:textId="77777777" w:rsidR="001D6F2B" w:rsidRPr="001D6F2B" w:rsidRDefault="001D6F2B" w:rsidP="001D6F2B">
            <w:pPr>
              <w:spacing w:after="0" w:line="240" w:lineRule="auto"/>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Juros e Variação Monetária de Acordos Judiciais (</w:t>
            </w:r>
            <w:proofErr w:type="spellStart"/>
            <w:r w:rsidRPr="001D6F2B">
              <w:rPr>
                <w:rFonts w:ascii="Arial" w:eastAsia="Times New Roman" w:hAnsi="Arial" w:cs="Arial"/>
                <w:color w:val="000000"/>
                <w:kern w:val="0"/>
                <w:sz w:val="18"/>
                <w:szCs w:val="18"/>
                <w:lang w:eastAsia="pt-BR"/>
                <w14:ligatures w14:val="none"/>
              </w:rPr>
              <w:t>iv</w:t>
            </w:r>
            <w:proofErr w:type="spellEnd"/>
            <w:r w:rsidRPr="001D6F2B">
              <w:rPr>
                <w:rFonts w:ascii="Arial" w:eastAsia="Times New Roman" w:hAnsi="Arial" w:cs="Arial"/>
                <w:color w:val="000000"/>
                <w:kern w:val="0"/>
                <w:sz w:val="18"/>
                <w:szCs w:val="18"/>
                <w:lang w:eastAsia="pt-BR"/>
                <w14:ligatures w14:val="none"/>
              </w:rPr>
              <w:t>)</w:t>
            </w:r>
          </w:p>
        </w:tc>
        <w:tc>
          <w:tcPr>
            <w:tcW w:w="659" w:type="pct"/>
            <w:tcBorders>
              <w:top w:val="nil"/>
              <w:left w:val="nil"/>
              <w:bottom w:val="single" w:sz="8" w:space="0" w:color="auto"/>
              <w:right w:val="single" w:sz="8" w:space="0" w:color="auto"/>
            </w:tcBorders>
            <w:shd w:val="clear" w:color="auto" w:fill="auto"/>
            <w:noWrap/>
            <w:vAlign w:val="center"/>
            <w:hideMark/>
          </w:tcPr>
          <w:p w14:paraId="46CB4710" w14:textId="77777777" w:rsidR="001D6F2B" w:rsidRPr="001D6F2B" w:rsidRDefault="001D6F2B" w:rsidP="001D6F2B">
            <w:pPr>
              <w:spacing w:after="0" w:line="240" w:lineRule="auto"/>
              <w:jc w:val="right"/>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 xml:space="preserve">       (13.678)</w:t>
            </w:r>
          </w:p>
        </w:tc>
        <w:tc>
          <w:tcPr>
            <w:tcW w:w="658" w:type="pct"/>
            <w:tcBorders>
              <w:top w:val="nil"/>
              <w:left w:val="nil"/>
              <w:bottom w:val="single" w:sz="8" w:space="0" w:color="auto"/>
              <w:right w:val="single" w:sz="8" w:space="0" w:color="auto"/>
            </w:tcBorders>
            <w:shd w:val="clear" w:color="auto" w:fill="auto"/>
            <w:noWrap/>
            <w:vAlign w:val="center"/>
            <w:hideMark/>
          </w:tcPr>
          <w:p w14:paraId="7F721C55" w14:textId="77777777" w:rsidR="001D6F2B" w:rsidRPr="001D6F2B" w:rsidRDefault="001D6F2B" w:rsidP="001D6F2B">
            <w:pPr>
              <w:spacing w:after="0" w:line="240" w:lineRule="auto"/>
              <w:jc w:val="right"/>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 xml:space="preserve">       (18.483)</w:t>
            </w:r>
          </w:p>
        </w:tc>
      </w:tr>
      <w:tr w:rsidR="001D6F2B" w:rsidRPr="001D6F2B" w14:paraId="032883AE" w14:textId="77777777" w:rsidTr="001D6F2B">
        <w:trPr>
          <w:trHeight w:val="238"/>
        </w:trPr>
        <w:tc>
          <w:tcPr>
            <w:tcW w:w="3683" w:type="pct"/>
            <w:tcBorders>
              <w:top w:val="nil"/>
              <w:left w:val="single" w:sz="8" w:space="0" w:color="auto"/>
              <w:bottom w:val="single" w:sz="8" w:space="0" w:color="auto"/>
              <w:right w:val="single" w:sz="8" w:space="0" w:color="auto"/>
            </w:tcBorders>
            <w:shd w:val="clear" w:color="auto" w:fill="auto"/>
            <w:noWrap/>
            <w:vAlign w:val="center"/>
            <w:hideMark/>
          </w:tcPr>
          <w:p w14:paraId="76BED357" w14:textId="77777777" w:rsidR="001D6F2B" w:rsidRPr="001D6F2B" w:rsidRDefault="001D6F2B" w:rsidP="001D6F2B">
            <w:pPr>
              <w:spacing w:after="0" w:line="240" w:lineRule="auto"/>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Juros/V.M sobre Empréstimos e Financiamentos – Finep</w:t>
            </w:r>
          </w:p>
        </w:tc>
        <w:tc>
          <w:tcPr>
            <w:tcW w:w="659" w:type="pct"/>
            <w:tcBorders>
              <w:top w:val="nil"/>
              <w:left w:val="nil"/>
              <w:bottom w:val="single" w:sz="8" w:space="0" w:color="auto"/>
              <w:right w:val="single" w:sz="8" w:space="0" w:color="auto"/>
            </w:tcBorders>
            <w:shd w:val="clear" w:color="auto" w:fill="auto"/>
            <w:noWrap/>
            <w:vAlign w:val="center"/>
            <w:hideMark/>
          </w:tcPr>
          <w:p w14:paraId="11BE9876" w14:textId="77777777" w:rsidR="001D6F2B" w:rsidRPr="001D6F2B" w:rsidRDefault="001D6F2B" w:rsidP="001D6F2B">
            <w:pPr>
              <w:spacing w:after="0" w:line="240" w:lineRule="auto"/>
              <w:jc w:val="right"/>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 xml:space="preserve">         (5.474)</w:t>
            </w:r>
          </w:p>
        </w:tc>
        <w:tc>
          <w:tcPr>
            <w:tcW w:w="658" w:type="pct"/>
            <w:tcBorders>
              <w:top w:val="nil"/>
              <w:left w:val="nil"/>
              <w:bottom w:val="single" w:sz="8" w:space="0" w:color="auto"/>
              <w:right w:val="single" w:sz="8" w:space="0" w:color="auto"/>
            </w:tcBorders>
            <w:shd w:val="clear" w:color="auto" w:fill="auto"/>
            <w:noWrap/>
            <w:vAlign w:val="center"/>
            <w:hideMark/>
          </w:tcPr>
          <w:p w14:paraId="57EB910D" w14:textId="77777777" w:rsidR="001D6F2B" w:rsidRPr="001D6F2B" w:rsidRDefault="001D6F2B" w:rsidP="001D6F2B">
            <w:pPr>
              <w:spacing w:after="0" w:line="240" w:lineRule="auto"/>
              <w:jc w:val="right"/>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 xml:space="preserve">         (6.707)</w:t>
            </w:r>
          </w:p>
        </w:tc>
      </w:tr>
      <w:tr w:rsidR="001D6F2B" w:rsidRPr="001D6F2B" w14:paraId="798C885E" w14:textId="77777777" w:rsidTr="001D6F2B">
        <w:trPr>
          <w:trHeight w:val="238"/>
        </w:trPr>
        <w:tc>
          <w:tcPr>
            <w:tcW w:w="3683" w:type="pct"/>
            <w:tcBorders>
              <w:top w:val="nil"/>
              <w:left w:val="single" w:sz="8" w:space="0" w:color="auto"/>
              <w:bottom w:val="single" w:sz="8" w:space="0" w:color="auto"/>
              <w:right w:val="single" w:sz="8" w:space="0" w:color="auto"/>
            </w:tcBorders>
            <w:shd w:val="clear" w:color="auto" w:fill="auto"/>
            <w:noWrap/>
            <w:vAlign w:val="center"/>
            <w:hideMark/>
          </w:tcPr>
          <w:p w14:paraId="44506987" w14:textId="77777777" w:rsidR="001D6F2B" w:rsidRPr="001D6F2B" w:rsidRDefault="001D6F2B" w:rsidP="001D6F2B">
            <w:pPr>
              <w:spacing w:after="0" w:line="240" w:lineRule="auto"/>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Juros s/ Prov. p/ Riscos Trabalhistas, Cíveis e Fiscais</w:t>
            </w:r>
          </w:p>
        </w:tc>
        <w:tc>
          <w:tcPr>
            <w:tcW w:w="659" w:type="pct"/>
            <w:tcBorders>
              <w:top w:val="nil"/>
              <w:left w:val="nil"/>
              <w:bottom w:val="single" w:sz="8" w:space="0" w:color="auto"/>
              <w:right w:val="single" w:sz="8" w:space="0" w:color="auto"/>
            </w:tcBorders>
            <w:shd w:val="clear" w:color="auto" w:fill="auto"/>
            <w:noWrap/>
            <w:vAlign w:val="center"/>
            <w:hideMark/>
          </w:tcPr>
          <w:p w14:paraId="5BED262D" w14:textId="77777777" w:rsidR="001D6F2B" w:rsidRPr="001D6F2B" w:rsidRDefault="001D6F2B" w:rsidP="001D6F2B">
            <w:pPr>
              <w:spacing w:after="0" w:line="240" w:lineRule="auto"/>
              <w:jc w:val="right"/>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 xml:space="preserve">         (5.037)</w:t>
            </w:r>
          </w:p>
        </w:tc>
        <w:tc>
          <w:tcPr>
            <w:tcW w:w="658" w:type="pct"/>
            <w:tcBorders>
              <w:top w:val="nil"/>
              <w:left w:val="nil"/>
              <w:bottom w:val="single" w:sz="8" w:space="0" w:color="auto"/>
              <w:right w:val="single" w:sz="8" w:space="0" w:color="auto"/>
            </w:tcBorders>
            <w:shd w:val="clear" w:color="auto" w:fill="auto"/>
            <w:noWrap/>
            <w:vAlign w:val="center"/>
            <w:hideMark/>
          </w:tcPr>
          <w:p w14:paraId="33DE7DCA" w14:textId="77777777" w:rsidR="001D6F2B" w:rsidRPr="001D6F2B" w:rsidRDefault="001D6F2B" w:rsidP="001D6F2B">
            <w:pPr>
              <w:spacing w:after="0" w:line="240" w:lineRule="auto"/>
              <w:jc w:val="right"/>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 xml:space="preserve">         (4.757)</w:t>
            </w:r>
          </w:p>
        </w:tc>
      </w:tr>
      <w:tr w:rsidR="001D6F2B" w:rsidRPr="001D6F2B" w14:paraId="6FC022F8" w14:textId="77777777" w:rsidTr="001D6F2B">
        <w:trPr>
          <w:trHeight w:val="238"/>
        </w:trPr>
        <w:tc>
          <w:tcPr>
            <w:tcW w:w="3683" w:type="pct"/>
            <w:tcBorders>
              <w:top w:val="nil"/>
              <w:left w:val="single" w:sz="8" w:space="0" w:color="auto"/>
              <w:bottom w:val="single" w:sz="8" w:space="0" w:color="auto"/>
              <w:right w:val="single" w:sz="8" w:space="0" w:color="auto"/>
            </w:tcBorders>
            <w:shd w:val="clear" w:color="auto" w:fill="auto"/>
            <w:noWrap/>
            <w:vAlign w:val="center"/>
            <w:hideMark/>
          </w:tcPr>
          <w:p w14:paraId="1F58841F" w14:textId="77777777" w:rsidR="001D6F2B" w:rsidRPr="001D6F2B" w:rsidRDefault="001D6F2B" w:rsidP="001D6F2B">
            <w:pPr>
              <w:spacing w:after="0" w:line="240" w:lineRule="auto"/>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V. M. sobre Riscos Trabalhistas, Cíveis e Fiscais</w:t>
            </w:r>
          </w:p>
        </w:tc>
        <w:tc>
          <w:tcPr>
            <w:tcW w:w="659" w:type="pct"/>
            <w:tcBorders>
              <w:top w:val="nil"/>
              <w:left w:val="nil"/>
              <w:bottom w:val="single" w:sz="8" w:space="0" w:color="auto"/>
              <w:right w:val="single" w:sz="8" w:space="0" w:color="auto"/>
            </w:tcBorders>
            <w:shd w:val="clear" w:color="auto" w:fill="auto"/>
            <w:noWrap/>
            <w:vAlign w:val="center"/>
            <w:hideMark/>
          </w:tcPr>
          <w:p w14:paraId="21D16A69" w14:textId="77777777" w:rsidR="001D6F2B" w:rsidRPr="001D6F2B" w:rsidRDefault="001D6F2B" w:rsidP="001D6F2B">
            <w:pPr>
              <w:spacing w:after="0" w:line="240" w:lineRule="auto"/>
              <w:jc w:val="right"/>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 xml:space="preserve">         (1.738)</w:t>
            </w:r>
          </w:p>
        </w:tc>
        <w:tc>
          <w:tcPr>
            <w:tcW w:w="658" w:type="pct"/>
            <w:tcBorders>
              <w:top w:val="nil"/>
              <w:left w:val="nil"/>
              <w:bottom w:val="single" w:sz="8" w:space="0" w:color="auto"/>
              <w:right w:val="single" w:sz="8" w:space="0" w:color="auto"/>
            </w:tcBorders>
            <w:shd w:val="clear" w:color="auto" w:fill="auto"/>
            <w:noWrap/>
            <w:vAlign w:val="center"/>
            <w:hideMark/>
          </w:tcPr>
          <w:p w14:paraId="79EC0D1E" w14:textId="77777777" w:rsidR="001D6F2B" w:rsidRPr="001D6F2B" w:rsidRDefault="001D6F2B" w:rsidP="001D6F2B">
            <w:pPr>
              <w:spacing w:after="0" w:line="240" w:lineRule="auto"/>
              <w:jc w:val="right"/>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 xml:space="preserve">         (2.787)</w:t>
            </w:r>
          </w:p>
        </w:tc>
      </w:tr>
      <w:tr w:rsidR="001D6F2B" w:rsidRPr="001D6F2B" w14:paraId="577A0DF6" w14:textId="77777777" w:rsidTr="001D6F2B">
        <w:trPr>
          <w:trHeight w:val="238"/>
        </w:trPr>
        <w:tc>
          <w:tcPr>
            <w:tcW w:w="3683" w:type="pct"/>
            <w:tcBorders>
              <w:top w:val="nil"/>
              <w:left w:val="single" w:sz="8" w:space="0" w:color="auto"/>
              <w:bottom w:val="single" w:sz="8" w:space="0" w:color="auto"/>
              <w:right w:val="single" w:sz="8" w:space="0" w:color="auto"/>
            </w:tcBorders>
            <w:shd w:val="clear" w:color="auto" w:fill="auto"/>
            <w:noWrap/>
            <w:vAlign w:val="center"/>
            <w:hideMark/>
          </w:tcPr>
          <w:p w14:paraId="390A73AA" w14:textId="77777777" w:rsidR="001D6F2B" w:rsidRPr="001D6F2B" w:rsidRDefault="001D6F2B" w:rsidP="001D6F2B">
            <w:pPr>
              <w:spacing w:after="0" w:line="240" w:lineRule="auto"/>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Juros sobre Operações de Arrendamento Mercantil</w:t>
            </w:r>
          </w:p>
        </w:tc>
        <w:tc>
          <w:tcPr>
            <w:tcW w:w="659" w:type="pct"/>
            <w:tcBorders>
              <w:top w:val="nil"/>
              <w:left w:val="nil"/>
              <w:bottom w:val="single" w:sz="8" w:space="0" w:color="auto"/>
              <w:right w:val="single" w:sz="8" w:space="0" w:color="auto"/>
            </w:tcBorders>
            <w:shd w:val="clear" w:color="auto" w:fill="auto"/>
            <w:noWrap/>
            <w:vAlign w:val="center"/>
            <w:hideMark/>
          </w:tcPr>
          <w:p w14:paraId="61040611" w14:textId="77777777" w:rsidR="001D6F2B" w:rsidRPr="001D6F2B" w:rsidRDefault="001D6F2B" w:rsidP="001D6F2B">
            <w:pPr>
              <w:spacing w:after="0" w:line="240" w:lineRule="auto"/>
              <w:jc w:val="right"/>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 xml:space="preserve">         (1.034)</w:t>
            </w:r>
          </w:p>
        </w:tc>
        <w:tc>
          <w:tcPr>
            <w:tcW w:w="658" w:type="pct"/>
            <w:tcBorders>
              <w:top w:val="nil"/>
              <w:left w:val="nil"/>
              <w:bottom w:val="single" w:sz="8" w:space="0" w:color="auto"/>
              <w:right w:val="single" w:sz="8" w:space="0" w:color="auto"/>
            </w:tcBorders>
            <w:shd w:val="clear" w:color="auto" w:fill="auto"/>
            <w:noWrap/>
            <w:vAlign w:val="center"/>
            <w:hideMark/>
          </w:tcPr>
          <w:p w14:paraId="726994B0" w14:textId="77777777" w:rsidR="001D6F2B" w:rsidRPr="001D6F2B" w:rsidRDefault="001D6F2B" w:rsidP="001D6F2B">
            <w:pPr>
              <w:spacing w:after="0" w:line="240" w:lineRule="auto"/>
              <w:jc w:val="right"/>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 xml:space="preserve">            (939)</w:t>
            </w:r>
          </w:p>
        </w:tc>
      </w:tr>
      <w:tr w:rsidR="001D6F2B" w:rsidRPr="001D6F2B" w14:paraId="7F69A287" w14:textId="77777777" w:rsidTr="001D6F2B">
        <w:trPr>
          <w:trHeight w:val="238"/>
        </w:trPr>
        <w:tc>
          <w:tcPr>
            <w:tcW w:w="3683" w:type="pct"/>
            <w:tcBorders>
              <w:top w:val="nil"/>
              <w:left w:val="single" w:sz="8" w:space="0" w:color="auto"/>
              <w:bottom w:val="single" w:sz="8" w:space="0" w:color="auto"/>
              <w:right w:val="single" w:sz="8" w:space="0" w:color="auto"/>
            </w:tcBorders>
            <w:shd w:val="clear" w:color="auto" w:fill="auto"/>
            <w:noWrap/>
            <w:vAlign w:val="center"/>
            <w:hideMark/>
          </w:tcPr>
          <w:p w14:paraId="0076711C" w14:textId="77777777" w:rsidR="001D6F2B" w:rsidRPr="001D6F2B" w:rsidRDefault="001D6F2B" w:rsidP="001D6F2B">
            <w:pPr>
              <w:spacing w:after="0" w:line="240" w:lineRule="auto"/>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Juros sobre Tributos</w:t>
            </w:r>
          </w:p>
        </w:tc>
        <w:tc>
          <w:tcPr>
            <w:tcW w:w="659" w:type="pct"/>
            <w:tcBorders>
              <w:top w:val="nil"/>
              <w:left w:val="nil"/>
              <w:bottom w:val="single" w:sz="8" w:space="0" w:color="auto"/>
              <w:right w:val="single" w:sz="8" w:space="0" w:color="auto"/>
            </w:tcBorders>
            <w:shd w:val="clear" w:color="auto" w:fill="auto"/>
            <w:noWrap/>
            <w:vAlign w:val="center"/>
            <w:hideMark/>
          </w:tcPr>
          <w:p w14:paraId="5ADDF15F" w14:textId="77777777" w:rsidR="001D6F2B" w:rsidRPr="001D6F2B" w:rsidRDefault="001D6F2B" w:rsidP="001D6F2B">
            <w:pPr>
              <w:spacing w:after="0" w:line="240" w:lineRule="auto"/>
              <w:jc w:val="right"/>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 xml:space="preserve">              (71)</w:t>
            </w:r>
          </w:p>
        </w:tc>
        <w:tc>
          <w:tcPr>
            <w:tcW w:w="658" w:type="pct"/>
            <w:tcBorders>
              <w:top w:val="nil"/>
              <w:left w:val="nil"/>
              <w:bottom w:val="single" w:sz="8" w:space="0" w:color="auto"/>
              <w:right w:val="single" w:sz="8" w:space="0" w:color="auto"/>
            </w:tcBorders>
            <w:shd w:val="clear" w:color="auto" w:fill="auto"/>
            <w:noWrap/>
            <w:vAlign w:val="center"/>
            <w:hideMark/>
          </w:tcPr>
          <w:p w14:paraId="0F81BE2E" w14:textId="77777777" w:rsidR="001D6F2B" w:rsidRPr="001D6F2B" w:rsidRDefault="001D6F2B" w:rsidP="001D6F2B">
            <w:pPr>
              <w:spacing w:after="0" w:line="240" w:lineRule="auto"/>
              <w:jc w:val="right"/>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 xml:space="preserve">              (77)</w:t>
            </w:r>
          </w:p>
        </w:tc>
      </w:tr>
      <w:tr w:rsidR="001D6F2B" w:rsidRPr="001D6F2B" w14:paraId="02A48F4B" w14:textId="77777777" w:rsidTr="001D6F2B">
        <w:trPr>
          <w:trHeight w:val="238"/>
        </w:trPr>
        <w:tc>
          <w:tcPr>
            <w:tcW w:w="3683" w:type="pct"/>
            <w:tcBorders>
              <w:top w:val="nil"/>
              <w:left w:val="single" w:sz="8" w:space="0" w:color="auto"/>
              <w:bottom w:val="single" w:sz="8" w:space="0" w:color="auto"/>
              <w:right w:val="single" w:sz="8" w:space="0" w:color="auto"/>
            </w:tcBorders>
            <w:shd w:val="clear" w:color="auto" w:fill="auto"/>
            <w:noWrap/>
            <w:vAlign w:val="center"/>
            <w:hideMark/>
          </w:tcPr>
          <w:p w14:paraId="128D219D" w14:textId="77777777" w:rsidR="001D6F2B" w:rsidRPr="001D6F2B" w:rsidRDefault="001D6F2B" w:rsidP="001D6F2B">
            <w:pPr>
              <w:spacing w:after="0" w:line="240" w:lineRule="auto"/>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Outras Despesas Financeiras</w:t>
            </w:r>
          </w:p>
        </w:tc>
        <w:tc>
          <w:tcPr>
            <w:tcW w:w="659" w:type="pct"/>
            <w:tcBorders>
              <w:top w:val="nil"/>
              <w:left w:val="nil"/>
              <w:bottom w:val="single" w:sz="8" w:space="0" w:color="auto"/>
              <w:right w:val="single" w:sz="8" w:space="0" w:color="auto"/>
            </w:tcBorders>
            <w:shd w:val="clear" w:color="auto" w:fill="auto"/>
            <w:noWrap/>
            <w:vAlign w:val="center"/>
            <w:hideMark/>
          </w:tcPr>
          <w:p w14:paraId="4B4F2E38" w14:textId="77777777" w:rsidR="001D6F2B" w:rsidRPr="001D6F2B" w:rsidRDefault="001D6F2B" w:rsidP="001D6F2B">
            <w:pPr>
              <w:spacing w:after="0" w:line="240" w:lineRule="auto"/>
              <w:jc w:val="right"/>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 xml:space="preserve">            (140)</w:t>
            </w:r>
          </w:p>
        </w:tc>
        <w:tc>
          <w:tcPr>
            <w:tcW w:w="658" w:type="pct"/>
            <w:tcBorders>
              <w:top w:val="nil"/>
              <w:left w:val="nil"/>
              <w:bottom w:val="single" w:sz="8" w:space="0" w:color="auto"/>
              <w:right w:val="single" w:sz="8" w:space="0" w:color="auto"/>
            </w:tcBorders>
            <w:shd w:val="clear" w:color="auto" w:fill="auto"/>
            <w:noWrap/>
            <w:vAlign w:val="center"/>
            <w:hideMark/>
          </w:tcPr>
          <w:p w14:paraId="37ACFE4D" w14:textId="77777777" w:rsidR="001D6F2B" w:rsidRPr="001D6F2B" w:rsidRDefault="001D6F2B" w:rsidP="001D6F2B">
            <w:pPr>
              <w:spacing w:after="0" w:line="240" w:lineRule="auto"/>
              <w:jc w:val="right"/>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 xml:space="preserve">                (3)</w:t>
            </w:r>
          </w:p>
        </w:tc>
      </w:tr>
      <w:tr w:rsidR="001D6F2B" w:rsidRPr="001D6F2B" w14:paraId="041E4930" w14:textId="77777777" w:rsidTr="001D6F2B">
        <w:trPr>
          <w:trHeight w:val="238"/>
        </w:trPr>
        <w:tc>
          <w:tcPr>
            <w:tcW w:w="3683" w:type="pct"/>
            <w:tcBorders>
              <w:top w:val="nil"/>
              <w:left w:val="single" w:sz="8" w:space="0" w:color="auto"/>
              <w:bottom w:val="single" w:sz="8" w:space="0" w:color="auto"/>
              <w:right w:val="single" w:sz="8" w:space="0" w:color="auto"/>
            </w:tcBorders>
            <w:shd w:val="clear" w:color="auto" w:fill="auto"/>
            <w:noWrap/>
            <w:vAlign w:val="center"/>
            <w:hideMark/>
          </w:tcPr>
          <w:p w14:paraId="7E19D003" w14:textId="77777777" w:rsidR="001D6F2B" w:rsidRPr="001D6F2B" w:rsidRDefault="001D6F2B" w:rsidP="001D6F2B">
            <w:pPr>
              <w:spacing w:after="0" w:line="240" w:lineRule="auto"/>
              <w:rPr>
                <w:rFonts w:ascii="Arial" w:eastAsia="Times New Roman" w:hAnsi="Arial" w:cs="Arial"/>
                <w:b/>
                <w:bCs/>
                <w:color w:val="000000"/>
                <w:kern w:val="0"/>
                <w:sz w:val="18"/>
                <w:szCs w:val="18"/>
                <w:lang w:eastAsia="pt-BR"/>
                <w14:ligatures w14:val="none"/>
              </w:rPr>
            </w:pPr>
            <w:r w:rsidRPr="001D6F2B">
              <w:rPr>
                <w:rFonts w:ascii="Arial" w:eastAsia="Times New Roman" w:hAnsi="Arial" w:cs="Arial"/>
                <w:b/>
                <w:bCs/>
                <w:color w:val="000000"/>
                <w:kern w:val="0"/>
                <w:sz w:val="18"/>
                <w:szCs w:val="18"/>
                <w:lang w:eastAsia="pt-BR"/>
                <w14:ligatures w14:val="none"/>
              </w:rPr>
              <w:t>Subtotal</w:t>
            </w:r>
          </w:p>
        </w:tc>
        <w:tc>
          <w:tcPr>
            <w:tcW w:w="659" w:type="pct"/>
            <w:tcBorders>
              <w:top w:val="nil"/>
              <w:left w:val="nil"/>
              <w:bottom w:val="single" w:sz="8" w:space="0" w:color="auto"/>
              <w:right w:val="single" w:sz="8" w:space="0" w:color="auto"/>
            </w:tcBorders>
            <w:shd w:val="clear" w:color="auto" w:fill="auto"/>
            <w:noWrap/>
            <w:vAlign w:val="center"/>
            <w:hideMark/>
          </w:tcPr>
          <w:p w14:paraId="3F4E03E5" w14:textId="77777777" w:rsidR="001D6F2B" w:rsidRPr="001D6F2B" w:rsidRDefault="001D6F2B" w:rsidP="001D6F2B">
            <w:pPr>
              <w:spacing w:after="0" w:line="240" w:lineRule="auto"/>
              <w:jc w:val="right"/>
              <w:rPr>
                <w:rFonts w:ascii="Arial" w:eastAsia="Times New Roman" w:hAnsi="Arial" w:cs="Arial"/>
                <w:b/>
                <w:bCs/>
                <w:color w:val="000000"/>
                <w:kern w:val="0"/>
                <w:sz w:val="18"/>
                <w:szCs w:val="18"/>
                <w:lang w:eastAsia="pt-BR"/>
                <w14:ligatures w14:val="none"/>
              </w:rPr>
            </w:pPr>
            <w:r w:rsidRPr="001D6F2B">
              <w:rPr>
                <w:rFonts w:ascii="Arial" w:eastAsia="Times New Roman" w:hAnsi="Arial" w:cs="Arial"/>
                <w:b/>
                <w:bCs/>
                <w:color w:val="000000"/>
                <w:kern w:val="0"/>
                <w:sz w:val="18"/>
                <w:szCs w:val="18"/>
                <w:lang w:eastAsia="pt-BR"/>
                <w14:ligatures w14:val="none"/>
              </w:rPr>
              <w:t xml:space="preserve">     (225.588)</w:t>
            </w:r>
          </w:p>
        </w:tc>
        <w:tc>
          <w:tcPr>
            <w:tcW w:w="658" w:type="pct"/>
            <w:tcBorders>
              <w:top w:val="nil"/>
              <w:left w:val="nil"/>
              <w:bottom w:val="single" w:sz="8" w:space="0" w:color="auto"/>
              <w:right w:val="single" w:sz="8" w:space="0" w:color="auto"/>
            </w:tcBorders>
            <w:shd w:val="clear" w:color="auto" w:fill="auto"/>
            <w:noWrap/>
            <w:vAlign w:val="center"/>
            <w:hideMark/>
          </w:tcPr>
          <w:p w14:paraId="2EF83BE3" w14:textId="77777777" w:rsidR="001D6F2B" w:rsidRPr="001D6F2B" w:rsidRDefault="001D6F2B" w:rsidP="001D6F2B">
            <w:pPr>
              <w:spacing w:after="0" w:line="240" w:lineRule="auto"/>
              <w:jc w:val="right"/>
              <w:rPr>
                <w:rFonts w:ascii="Arial" w:eastAsia="Times New Roman" w:hAnsi="Arial" w:cs="Arial"/>
                <w:b/>
                <w:bCs/>
                <w:color w:val="000000"/>
                <w:kern w:val="0"/>
                <w:sz w:val="18"/>
                <w:szCs w:val="18"/>
                <w:lang w:eastAsia="pt-BR"/>
                <w14:ligatures w14:val="none"/>
              </w:rPr>
            </w:pPr>
            <w:r w:rsidRPr="001D6F2B">
              <w:rPr>
                <w:rFonts w:ascii="Arial" w:eastAsia="Times New Roman" w:hAnsi="Arial" w:cs="Arial"/>
                <w:b/>
                <w:bCs/>
                <w:color w:val="000000"/>
                <w:kern w:val="0"/>
                <w:sz w:val="18"/>
                <w:szCs w:val="18"/>
                <w:lang w:eastAsia="pt-BR"/>
                <w14:ligatures w14:val="none"/>
              </w:rPr>
              <w:t xml:space="preserve">     (219.520)</w:t>
            </w:r>
          </w:p>
        </w:tc>
      </w:tr>
      <w:tr w:rsidR="001D6F2B" w:rsidRPr="001D6F2B" w14:paraId="625D8828" w14:textId="77777777" w:rsidTr="001D6F2B">
        <w:trPr>
          <w:trHeight w:val="238"/>
        </w:trPr>
        <w:tc>
          <w:tcPr>
            <w:tcW w:w="3683" w:type="pct"/>
            <w:tcBorders>
              <w:top w:val="nil"/>
              <w:left w:val="single" w:sz="8" w:space="0" w:color="auto"/>
              <w:bottom w:val="single" w:sz="8" w:space="0" w:color="auto"/>
              <w:right w:val="single" w:sz="8" w:space="0" w:color="auto"/>
            </w:tcBorders>
            <w:shd w:val="clear" w:color="auto" w:fill="auto"/>
            <w:noWrap/>
            <w:vAlign w:val="center"/>
            <w:hideMark/>
          </w:tcPr>
          <w:p w14:paraId="18EA6220" w14:textId="77777777" w:rsidR="001D6F2B" w:rsidRPr="001D6F2B" w:rsidRDefault="001D6F2B" w:rsidP="001D6F2B">
            <w:pPr>
              <w:spacing w:after="0" w:line="240" w:lineRule="auto"/>
              <w:rPr>
                <w:rFonts w:ascii="Arial" w:eastAsia="Times New Roman" w:hAnsi="Arial" w:cs="Arial"/>
                <w:b/>
                <w:bCs/>
                <w:color w:val="000000"/>
                <w:kern w:val="0"/>
                <w:sz w:val="18"/>
                <w:szCs w:val="18"/>
                <w:lang w:eastAsia="pt-BR"/>
                <w14:ligatures w14:val="none"/>
              </w:rPr>
            </w:pPr>
            <w:r w:rsidRPr="001D6F2B">
              <w:rPr>
                <w:rFonts w:ascii="Arial" w:eastAsia="Times New Roman" w:hAnsi="Arial" w:cs="Arial"/>
                <w:b/>
                <w:bCs/>
                <w:color w:val="000000"/>
                <w:kern w:val="0"/>
                <w:sz w:val="18"/>
                <w:szCs w:val="18"/>
                <w:lang w:eastAsia="pt-BR"/>
                <w14:ligatures w14:val="none"/>
              </w:rPr>
              <w:t>Resultado Financeiro Líquido</w:t>
            </w:r>
          </w:p>
        </w:tc>
        <w:tc>
          <w:tcPr>
            <w:tcW w:w="659" w:type="pct"/>
            <w:tcBorders>
              <w:top w:val="nil"/>
              <w:left w:val="nil"/>
              <w:bottom w:val="single" w:sz="8" w:space="0" w:color="auto"/>
              <w:right w:val="single" w:sz="8" w:space="0" w:color="auto"/>
            </w:tcBorders>
            <w:shd w:val="clear" w:color="auto" w:fill="auto"/>
            <w:noWrap/>
            <w:vAlign w:val="center"/>
            <w:hideMark/>
          </w:tcPr>
          <w:p w14:paraId="72C31520" w14:textId="77777777" w:rsidR="001D6F2B" w:rsidRPr="001D6F2B" w:rsidRDefault="001D6F2B" w:rsidP="001D6F2B">
            <w:pPr>
              <w:spacing w:after="0" w:line="240" w:lineRule="auto"/>
              <w:jc w:val="right"/>
              <w:rPr>
                <w:rFonts w:ascii="Arial" w:eastAsia="Times New Roman" w:hAnsi="Arial" w:cs="Arial"/>
                <w:b/>
                <w:bCs/>
                <w:color w:val="000000"/>
                <w:kern w:val="0"/>
                <w:sz w:val="18"/>
                <w:szCs w:val="18"/>
                <w:lang w:eastAsia="pt-BR"/>
                <w14:ligatures w14:val="none"/>
              </w:rPr>
            </w:pPr>
            <w:r w:rsidRPr="001D6F2B">
              <w:rPr>
                <w:rFonts w:ascii="Arial" w:eastAsia="Times New Roman" w:hAnsi="Arial" w:cs="Arial"/>
                <w:b/>
                <w:bCs/>
                <w:color w:val="000000"/>
                <w:kern w:val="0"/>
                <w:sz w:val="18"/>
                <w:szCs w:val="18"/>
                <w:lang w:eastAsia="pt-BR"/>
                <w14:ligatures w14:val="none"/>
              </w:rPr>
              <w:t xml:space="preserve">       (59.950)</w:t>
            </w:r>
          </w:p>
        </w:tc>
        <w:tc>
          <w:tcPr>
            <w:tcW w:w="658" w:type="pct"/>
            <w:tcBorders>
              <w:top w:val="nil"/>
              <w:left w:val="nil"/>
              <w:bottom w:val="single" w:sz="8" w:space="0" w:color="auto"/>
              <w:right w:val="single" w:sz="8" w:space="0" w:color="auto"/>
            </w:tcBorders>
            <w:shd w:val="clear" w:color="auto" w:fill="auto"/>
            <w:noWrap/>
            <w:vAlign w:val="center"/>
            <w:hideMark/>
          </w:tcPr>
          <w:p w14:paraId="410E72F9" w14:textId="77777777" w:rsidR="001D6F2B" w:rsidRPr="001D6F2B" w:rsidRDefault="001D6F2B" w:rsidP="001D6F2B">
            <w:pPr>
              <w:spacing w:after="0" w:line="240" w:lineRule="auto"/>
              <w:jc w:val="right"/>
              <w:rPr>
                <w:rFonts w:ascii="Arial" w:eastAsia="Times New Roman" w:hAnsi="Arial" w:cs="Arial"/>
                <w:b/>
                <w:bCs/>
                <w:color w:val="000000"/>
                <w:kern w:val="0"/>
                <w:sz w:val="18"/>
                <w:szCs w:val="18"/>
                <w:lang w:eastAsia="pt-BR"/>
                <w14:ligatures w14:val="none"/>
              </w:rPr>
            </w:pPr>
            <w:r w:rsidRPr="001D6F2B">
              <w:rPr>
                <w:rFonts w:ascii="Arial" w:eastAsia="Times New Roman" w:hAnsi="Arial" w:cs="Arial"/>
                <w:b/>
                <w:bCs/>
                <w:color w:val="000000"/>
                <w:kern w:val="0"/>
                <w:sz w:val="18"/>
                <w:szCs w:val="18"/>
                <w:lang w:eastAsia="pt-BR"/>
                <w14:ligatures w14:val="none"/>
              </w:rPr>
              <w:t xml:space="preserve">     (100.148)</w:t>
            </w:r>
          </w:p>
        </w:tc>
      </w:tr>
    </w:tbl>
    <w:p w14:paraId="39865D51" w14:textId="6245E796" w:rsidR="001D6F2B" w:rsidRPr="001D6F2B" w:rsidRDefault="001D6F2B" w:rsidP="001D6F2B">
      <w:pPr>
        <w:autoSpaceDE w:val="0"/>
        <w:autoSpaceDN w:val="0"/>
        <w:adjustRightInd w:val="0"/>
        <w:spacing w:after="0" w:line="240" w:lineRule="auto"/>
        <w:jc w:val="both"/>
        <w:rPr>
          <w:rFonts w:ascii="Calibri" w:eastAsia="Times New Roman" w:hAnsi="Calibri" w:cs="Calibri"/>
          <w:iCs/>
          <w:color w:val="002060"/>
          <w:kern w:val="0"/>
          <w14:ligatures w14:val="none"/>
        </w:rPr>
      </w:pPr>
      <w:r w:rsidRPr="001D6F2B">
        <w:rPr>
          <w:rFonts w:ascii="Calibri" w:eastAsia="Times New Roman" w:hAnsi="Calibri" w:cs="Calibri"/>
          <w:iCs/>
          <w:color w:val="002060"/>
          <w:kern w:val="0"/>
          <w14:ligatures w14:val="none"/>
        </w:rPr>
        <w:t>i) Juros sobre Disponibilidades: o crescimento é explicado pelo aumento da rentabilidade dos fundos entre os períodos comparados e pelo maior volume de recursos disponíveis para aplicações financeiras.</w:t>
      </w:r>
    </w:p>
    <w:p w14:paraId="698D689D" w14:textId="2ED25E94" w:rsidR="001D6F2B" w:rsidRPr="001D6F2B" w:rsidRDefault="001D6F2B" w:rsidP="001D6F2B">
      <w:pPr>
        <w:autoSpaceDE w:val="0"/>
        <w:autoSpaceDN w:val="0"/>
        <w:adjustRightInd w:val="0"/>
        <w:spacing w:after="0" w:line="240" w:lineRule="auto"/>
        <w:jc w:val="both"/>
        <w:rPr>
          <w:rFonts w:ascii="Calibri" w:eastAsia="Times New Roman" w:hAnsi="Calibri" w:cs="Calibri"/>
          <w:iCs/>
          <w:color w:val="002060"/>
          <w:kern w:val="0"/>
          <w14:ligatures w14:val="none"/>
        </w:rPr>
      </w:pPr>
      <w:proofErr w:type="spellStart"/>
      <w:r w:rsidRPr="001D6F2B">
        <w:rPr>
          <w:rFonts w:ascii="Calibri" w:eastAsia="Times New Roman" w:hAnsi="Calibri" w:cs="Calibri"/>
          <w:iCs/>
          <w:color w:val="002060"/>
          <w:kern w:val="0"/>
          <w14:ligatures w14:val="none"/>
        </w:rPr>
        <w:t>ii</w:t>
      </w:r>
      <w:proofErr w:type="spellEnd"/>
      <w:r w:rsidRPr="001D6F2B">
        <w:rPr>
          <w:rFonts w:ascii="Calibri" w:eastAsia="Times New Roman" w:hAnsi="Calibri" w:cs="Calibri"/>
          <w:iCs/>
          <w:color w:val="002060"/>
          <w:kern w:val="0"/>
          <w14:ligatures w14:val="none"/>
        </w:rPr>
        <w:t>) Juros sobre Superávit de Previdência Privada: a redução é explicada pelo maior volume de recursos a receber durante o exercício de 2022 em relação ao montante a receber em 2023. No segundo semestre de 2023, a Companhia reconheceu o montante de R$ 33.912 referente aos superávits dos planos PBS-A e PBS-Telebras.</w:t>
      </w:r>
    </w:p>
    <w:p w14:paraId="3E98C6D6" w14:textId="57831B9F" w:rsidR="001D6F2B" w:rsidRPr="001D6F2B" w:rsidRDefault="001D6F2B" w:rsidP="001D6F2B">
      <w:pPr>
        <w:autoSpaceDE w:val="0"/>
        <w:autoSpaceDN w:val="0"/>
        <w:adjustRightInd w:val="0"/>
        <w:spacing w:after="0" w:line="240" w:lineRule="auto"/>
        <w:jc w:val="both"/>
        <w:rPr>
          <w:rFonts w:ascii="Calibri" w:eastAsia="Times New Roman" w:hAnsi="Calibri" w:cs="Calibri"/>
          <w:iCs/>
          <w:color w:val="002060"/>
          <w:kern w:val="0"/>
          <w14:ligatures w14:val="none"/>
        </w:rPr>
      </w:pPr>
      <w:proofErr w:type="spellStart"/>
      <w:r w:rsidRPr="001D6F2B">
        <w:rPr>
          <w:rFonts w:ascii="Calibri" w:eastAsia="Times New Roman" w:hAnsi="Calibri" w:cs="Calibri"/>
          <w:iCs/>
          <w:color w:val="002060"/>
          <w:kern w:val="0"/>
          <w14:ligatures w14:val="none"/>
        </w:rPr>
        <w:t>iii</w:t>
      </w:r>
      <w:proofErr w:type="spellEnd"/>
      <w:r w:rsidRPr="001D6F2B">
        <w:rPr>
          <w:rFonts w:ascii="Calibri" w:eastAsia="Times New Roman" w:hAnsi="Calibri" w:cs="Calibri"/>
          <w:iCs/>
          <w:color w:val="002060"/>
          <w:kern w:val="0"/>
          <w14:ligatures w14:val="none"/>
        </w:rPr>
        <w:t>) Juros sobre Adiantamento para Futuro Aumento de Capital: o acréscimo é justificado pelo aumento da taxa Selic, que é o indexador utilizado para atualizar o saldo de AFAC e pelos novos aportes recebidos durante o ano de 2023.</w:t>
      </w:r>
    </w:p>
    <w:p w14:paraId="0610D64A" w14:textId="77777777" w:rsidR="001D6F2B" w:rsidRPr="001D6F2B" w:rsidRDefault="001D6F2B" w:rsidP="001D6F2B">
      <w:pPr>
        <w:autoSpaceDE w:val="0"/>
        <w:autoSpaceDN w:val="0"/>
        <w:adjustRightInd w:val="0"/>
        <w:spacing w:after="0" w:line="240" w:lineRule="auto"/>
        <w:jc w:val="both"/>
        <w:rPr>
          <w:rFonts w:ascii="Calibri" w:eastAsia="Times New Roman" w:hAnsi="Calibri" w:cs="Calibri"/>
          <w:iCs/>
          <w:color w:val="002060"/>
          <w:kern w:val="0"/>
          <w14:ligatures w14:val="none"/>
        </w:rPr>
      </w:pPr>
      <w:proofErr w:type="spellStart"/>
      <w:r w:rsidRPr="001D6F2B">
        <w:rPr>
          <w:rFonts w:ascii="Calibri" w:eastAsia="Times New Roman" w:hAnsi="Calibri" w:cs="Calibri"/>
          <w:iCs/>
          <w:color w:val="002060"/>
          <w:kern w:val="0"/>
          <w14:ligatures w14:val="none"/>
        </w:rPr>
        <w:t>iv</w:t>
      </w:r>
      <w:proofErr w:type="spellEnd"/>
      <w:r w:rsidRPr="001D6F2B">
        <w:rPr>
          <w:rFonts w:ascii="Calibri" w:eastAsia="Times New Roman" w:hAnsi="Calibri" w:cs="Calibri"/>
          <w:iCs/>
          <w:color w:val="002060"/>
          <w:kern w:val="0"/>
          <w14:ligatures w14:val="none"/>
        </w:rPr>
        <w:t>)  Juros e Variação Monetária de Acordos Judiciais: a redução é explicada pela queda dos índices inflacionários (INPC) e pela amortização do principal entre os períodos.</w:t>
      </w:r>
    </w:p>
    <w:p w14:paraId="54C330AC" w14:textId="4B88F121" w:rsidR="001D6F2B" w:rsidRPr="001D6F2B" w:rsidRDefault="001D6F2B" w:rsidP="001D6F2B">
      <w:pPr>
        <w:autoSpaceDE w:val="0"/>
        <w:autoSpaceDN w:val="0"/>
        <w:adjustRightInd w:val="0"/>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32. </w:t>
      </w:r>
      <w:r w:rsidRPr="001D6F2B">
        <w:rPr>
          <w:rFonts w:ascii="Calibri" w:eastAsia="Times New Roman" w:hAnsi="Calibri" w:cs="Calibri"/>
          <w:b/>
          <w:bCs/>
          <w:iCs/>
          <w:color w:val="002060"/>
          <w:kern w:val="0"/>
          <w14:ligatures w14:val="none"/>
        </w:rPr>
        <w:t>BENEFÍCIOS PÓS-EMPREGO</w:t>
      </w:r>
    </w:p>
    <w:p w14:paraId="2D1BE01C" w14:textId="03A5071D" w:rsidR="001D6F2B" w:rsidRPr="001D6F2B" w:rsidRDefault="001D6F2B" w:rsidP="001D6F2B">
      <w:pPr>
        <w:autoSpaceDE w:val="0"/>
        <w:autoSpaceDN w:val="0"/>
        <w:adjustRightInd w:val="0"/>
        <w:spacing w:after="0" w:line="240" w:lineRule="auto"/>
        <w:jc w:val="both"/>
        <w:rPr>
          <w:rFonts w:ascii="Calibri" w:eastAsia="Times New Roman" w:hAnsi="Calibri" w:cs="Calibri"/>
          <w:b/>
          <w:bCs/>
          <w:iCs/>
          <w:color w:val="002060"/>
          <w:kern w:val="0"/>
          <w14:ligatures w14:val="none"/>
        </w:rPr>
      </w:pPr>
      <w:bookmarkStart w:id="436" w:name="_Hlk32905265"/>
      <w:r>
        <w:rPr>
          <w:rFonts w:ascii="Calibri" w:eastAsia="Times New Roman" w:hAnsi="Calibri" w:cs="Calibri"/>
          <w:b/>
          <w:bCs/>
          <w:iCs/>
          <w:color w:val="002060"/>
          <w:kern w:val="0"/>
          <w14:ligatures w14:val="none"/>
        </w:rPr>
        <w:t xml:space="preserve">32.1. </w:t>
      </w:r>
      <w:r w:rsidRPr="001D6F2B">
        <w:rPr>
          <w:rFonts w:ascii="Calibri" w:eastAsia="Times New Roman" w:hAnsi="Calibri" w:cs="Calibri"/>
          <w:b/>
          <w:bCs/>
          <w:iCs/>
          <w:color w:val="002060"/>
          <w:kern w:val="0"/>
          <w14:ligatures w14:val="none"/>
        </w:rPr>
        <w:t>Fundação Sistel de Seguridade Social (SISTEL)</w:t>
      </w:r>
    </w:p>
    <w:bookmarkEnd w:id="436"/>
    <w:p w14:paraId="4D454903" w14:textId="6D0EA29F" w:rsidR="001D6F2B" w:rsidRPr="001D6F2B" w:rsidRDefault="001D6F2B" w:rsidP="001D6F2B">
      <w:pPr>
        <w:autoSpaceDE w:val="0"/>
        <w:autoSpaceDN w:val="0"/>
        <w:adjustRightInd w:val="0"/>
        <w:spacing w:after="0" w:line="240" w:lineRule="auto"/>
        <w:jc w:val="both"/>
        <w:rPr>
          <w:rFonts w:ascii="Calibri" w:eastAsia="Times New Roman" w:hAnsi="Calibri" w:cs="Calibri"/>
          <w:iCs/>
          <w:color w:val="002060"/>
          <w:kern w:val="0"/>
          <w14:ligatures w14:val="none"/>
        </w:rPr>
        <w:sectPr w:rsidR="001D6F2B" w:rsidRPr="001D6F2B" w:rsidSect="001D6F2B">
          <w:footerReference w:type="default" r:id="rId61"/>
          <w:type w:val="continuous"/>
          <w:pgSz w:w="11906" w:h="16838" w:code="9"/>
          <w:pgMar w:top="848" w:right="849" w:bottom="993" w:left="1276" w:header="1757" w:footer="1134" w:gutter="0"/>
          <w:cols w:space="708"/>
          <w:docGrid w:linePitch="360"/>
        </w:sectPr>
      </w:pPr>
      <w:r w:rsidRPr="001D6F2B">
        <w:rPr>
          <w:rFonts w:ascii="Calibri" w:eastAsia="Times New Roman" w:hAnsi="Calibri" w:cs="Calibri"/>
          <w:iCs/>
          <w:color w:val="002060"/>
          <w:kern w:val="0"/>
          <w14:ligatures w14:val="none"/>
        </w:rPr>
        <w:t xml:space="preserve">A Telebras e outras empresas do antigo Sistema Telebras patrocinavam planos de previdência privada e de assistência médica aos aposentados, administrados pela Fundação Sistel de Seguridade Social (SISTEL).  </w:t>
      </w:r>
    </w:p>
    <w:p w14:paraId="31E8E583" w14:textId="77777777" w:rsidR="001D6F2B" w:rsidRPr="001D6F2B" w:rsidRDefault="001D6F2B" w:rsidP="001D6F2B">
      <w:pPr>
        <w:autoSpaceDE w:val="0"/>
        <w:autoSpaceDN w:val="0"/>
        <w:adjustRightInd w:val="0"/>
        <w:spacing w:after="0" w:line="240" w:lineRule="auto"/>
        <w:jc w:val="both"/>
        <w:rPr>
          <w:rFonts w:ascii="Calibri" w:eastAsia="Times New Roman" w:hAnsi="Calibri" w:cs="Calibri"/>
          <w:iCs/>
          <w:color w:val="002060"/>
          <w:kern w:val="0"/>
          <w14:ligatures w14:val="none"/>
        </w:rPr>
      </w:pPr>
      <w:r w:rsidRPr="001D6F2B">
        <w:rPr>
          <w:rFonts w:ascii="Calibri" w:eastAsia="Times New Roman" w:hAnsi="Calibri" w:cs="Calibri"/>
          <w:iCs/>
          <w:color w:val="002060"/>
          <w:kern w:val="0"/>
          <w14:ligatures w14:val="none"/>
        </w:rPr>
        <w:t>Em 28 de dezembro de 1999, as patrocinadoras dos referidos planos negociaram condições para a criação de planos individualizados de aposentadoria por patrocinadora, resultando em uma proposta de reestruturação do Estatuto e Regulamento da SISTEL, que foi aprovada pela Secretaria de Previdência Complementar, em 13 de janeiro de 2000.</w:t>
      </w:r>
    </w:p>
    <w:p w14:paraId="7820F5F5" w14:textId="77777777" w:rsidR="001D6F2B" w:rsidRPr="001D6F2B" w:rsidRDefault="001D6F2B" w:rsidP="001D6F2B">
      <w:pPr>
        <w:autoSpaceDE w:val="0"/>
        <w:autoSpaceDN w:val="0"/>
        <w:adjustRightInd w:val="0"/>
        <w:spacing w:after="0" w:line="240" w:lineRule="auto"/>
        <w:jc w:val="both"/>
        <w:rPr>
          <w:rFonts w:ascii="Calibri" w:eastAsia="Times New Roman" w:hAnsi="Calibri" w:cs="Calibri"/>
          <w:iCs/>
          <w:color w:val="002060"/>
          <w:kern w:val="0"/>
          <w14:ligatures w14:val="none"/>
        </w:rPr>
      </w:pPr>
      <w:r w:rsidRPr="001D6F2B">
        <w:rPr>
          <w:rFonts w:ascii="Calibri" w:eastAsia="Times New Roman" w:hAnsi="Calibri" w:cs="Calibri"/>
          <w:iCs/>
          <w:color w:val="002060"/>
          <w:kern w:val="0"/>
          <w14:ligatures w14:val="none"/>
        </w:rPr>
        <w:t>As modificações efetuadas no Estatuto da SISTEL visaram adequá-lo à administração de outros planos de benefícios, decorrentes da sua nova condição de entidade multipatrocinada, haja vista a realidade surgida com a desestatização do Sistema Telebras.</w:t>
      </w:r>
    </w:p>
    <w:p w14:paraId="1ACB0821" w14:textId="3AA5725C" w:rsidR="001D6F2B" w:rsidRPr="001D6F2B" w:rsidRDefault="001D6F2B" w:rsidP="001D6F2B">
      <w:pPr>
        <w:autoSpaceDE w:val="0"/>
        <w:autoSpaceDN w:val="0"/>
        <w:adjustRightInd w:val="0"/>
        <w:spacing w:after="0" w:line="240" w:lineRule="auto"/>
        <w:jc w:val="both"/>
        <w:rPr>
          <w:rFonts w:ascii="Calibri" w:eastAsia="Times New Roman" w:hAnsi="Calibri" w:cs="Calibri"/>
          <w:iCs/>
          <w:color w:val="002060"/>
          <w:kern w:val="0"/>
          <w14:ligatures w14:val="none"/>
        </w:rPr>
      </w:pPr>
      <w:r w:rsidRPr="001D6F2B">
        <w:rPr>
          <w:rFonts w:ascii="Calibri" w:eastAsia="Times New Roman" w:hAnsi="Calibri" w:cs="Calibri"/>
          <w:iCs/>
          <w:color w:val="002060"/>
          <w:kern w:val="0"/>
          <w14:ligatures w14:val="none"/>
        </w:rPr>
        <w:lastRenderedPageBreak/>
        <w:t>Tal versão estatutária contempla a reestruturação do Plano de Benefícios da SISTEL (PBS) em diversos planos, com a distribuição escritural dos encargos e a correspondente parcela patrimonial que compõe o patrimônio da SISTEL entre diversos planos de benefícios previdenciários, divididos em “Plano PBS-A” e “Planos de Patrocinadoras”. A segregação contábil dos referidos planos foi implementada pela SISTEL, a partir de 1º de fevereiro de 2000.</w:t>
      </w:r>
    </w:p>
    <w:p w14:paraId="17E99CDD" w14:textId="7879918D" w:rsidR="001D6F2B" w:rsidRPr="001D6F2B" w:rsidRDefault="001D6F2B" w:rsidP="001D6F2B">
      <w:pPr>
        <w:autoSpaceDE w:val="0"/>
        <w:autoSpaceDN w:val="0"/>
        <w:adjustRightInd w:val="0"/>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32.2. </w:t>
      </w:r>
      <w:r w:rsidRPr="001D6F2B">
        <w:rPr>
          <w:rFonts w:ascii="Calibri" w:eastAsia="Times New Roman" w:hAnsi="Calibri" w:cs="Calibri"/>
          <w:b/>
          <w:bCs/>
          <w:iCs/>
          <w:color w:val="002060"/>
          <w:kern w:val="0"/>
          <w14:ligatures w14:val="none"/>
        </w:rPr>
        <w:t>Planos de Benefícios Telebras</w:t>
      </w:r>
    </w:p>
    <w:p w14:paraId="6C637CE1" w14:textId="62AF1671" w:rsidR="001D6F2B" w:rsidRPr="001D6F2B" w:rsidRDefault="001D6F2B" w:rsidP="001D6F2B">
      <w:pPr>
        <w:autoSpaceDE w:val="0"/>
        <w:autoSpaceDN w:val="0"/>
        <w:adjustRightInd w:val="0"/>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32.2.1. </w:t>
      </w:r>
      <w:r w:rsidRPr="001D6F2B">
        <w:rPr>
          <w:rFonts w:ascii="Calibri" w:eastAsia="Times New Roman" w:hAnsi="Calibri" w:cs="Calibri"/>
          <w:b/>
          <w:bCs/>
          <w:iCs/>
          <w:color w:val="002060"/>
          <w:kern w:val="0"/>
          <w14:ligatures w14:val="none"/>
        </w:rPr>
        <w:t>Plano Benefícios PBS - A</w:t>
      </w:r>
    </w:p>
    <w:p w14:paraId="3FBAA4EC" w14:textId="77777777" w:rsidR="001D6F2B" w:rsidRPr="001D6F2B" w:rsidRDefault="001D6F2B" w:rsidP="001D6F2B">
      <w:pPr>
        <w:autoSpaceDE w:val="0"/>
        <w:autoSpaceDN w:val="0"/>
        <w:adjustRightInd w:val="0"/>
        <w:spacing w:after="0" w:line="240" w:lineRule="auto"/>
        <w:jc w:val="both"/>
        <w:rPr>
          <w:rFonts w:ascii="Calibri" w:eastAsia="Times New Roman" w:hAnsi="Calibri" w:cs="Calibri"/>
          <w:iCs/>
          <w:color w:val="002060"/>
          <w:kern w:val="0"/>
          <w14:ligatures w14:val="none"/>
        </w:rPr>
      </w:pPr>
      <w:r w:rsidRPr="001D6F2B">
        <w:rPr>
          <w:rFonts w:ascii="Calibri" w:eastAsia="Times New Roman" w:hAnsi="Calibri" w:cs="Calibri"/>
          <w:iCs/>
          <w:color w:val="002060"/>
          <w:kern w:val="0"/>
          <w14:ligatures w14:val="none"/>
        </w:rPr>
        <w:t>O plano de Benefícios PBS-A (CNPB nº 19.910.010-29) é estruturado na modalidade de benefício definido, sendo patrocinado, dentre outras empresas, pela Telebrás, nos termos dos convênios de adesão, regulamentos e estatuto relativos ao mencionado plano. O plano oferece rendas vitalícias de aposentadoria e pensão, bem como pagamentos únicos de pecúlios por morte, auxílio-doença, auxílio-reclusão e abono anual conforme discriminados no regulamento do plano de benefícios. Em resumo, o PBS-A oferece aos seus participantes:</w:t>
      </w:r>
    </w:p>
    <w:p w14:paraId="7655BBD6" w14:textId="77777777" w:rsidR="001D6F2B" w:rsidRPr="001D6F2B" w:rsidRDefault="001D6F2B" w:rsidP="001D6F2B">
      <w:pPr>
        <w:numPr>
          <w:ilvl w:val="0"/>
          <w:numId w:val="9"/>
        </w:numPr>
        <w:autoSpaceDE w:val="0"/>
        <w:autoSpaceDN w:val="0"/>
        <w:adjustRightInd w:val="0"/>
        <w:spacing w:after="0" w:line="240" w:lineRule="auto"/>
        <w:jc w:val="both"/>
        <w:rPr>
          <w:rFonts w:ascii="Calibri" w:eastAsia="Times New Roman" w:hAnsi="Calibri" w:cs="Calibri"/>
          <w:iCs/>
          <w:color w:val="002060"/>
          <w:kern w:val="0"/>
          <w:lang w:val="en-US"/>
          <w14:ligatures w14:val="none"/>
        </w:rPr>
      </w:pPr>
      <w:proofErr w:type="spellStart"/>
      <w:r w:rsidRPr="001D6F2B">
        <w:rPr>
          <w:rFonts w:ascii="Calibri" w:eastAsia="Times New Roman" w:hAnsi="Calibri" w:cs="Calibri"/>
          <w:iCs/>
          <w:color w:val="002060"/>
          <w:kern w:val="0"/>
          <w:lang w:val="en-US"/>
          <w14:ligatures w14:val="none"/>
        </w:rPr>
        <w:t>Aposentadoria</w:t>
      </w:r>
      <w:proofErr w:type="spellEnd"/>
      <w:r w:rsidRPr="001D6F2B">
        <w:rPr>
          <w:rFonts w:ascii="Calibri" w:eastAsia="Times New Roman" w:hAnsi="Calibri" w:cs="Calibri"/>
          <w:iCs/>
          <w:color w:val="002060"/>
          <w:kern w:val="0"/>
          <w:lang w:val="en-US"/>
          <w14:ligatures w14:val="none"/>
        </w:rPr>
        <w:t xml:space="preserve"> </w:t>
      </w:r>
      <w:proofErr w:type="spellStart"/>
      <w:r w:rsidRPr="001D6F2B">
        <w:rPr>
          <w:rFonts w:ascii="Calibri" w:eastAsia="Times New Roman" w:hAnsi="Calibri" w:cs="Calibri"/>
          <w:iCs/>
          <w:color w:val="002060"/>
          <w:kern w:val="0"/>
          <w:lang w:val="en-US"/>
          <w14:ligatures w14:val="none"/>
        </w:rPr>
        <w:t>por</w:t>
      </w:r>
      <w:proofErr w:type="spellEnd"/>
      <w:r w:rsidRPr="001D6F2B">
        <w:rPr>
          <w:rFonts w:ascii="Calibri" w:eastAsia="Times New Roman" w:hAnsi="Calibri" w:cs="Calibri"/>
          <w:iCs/>
          <w:color w:val="002060"/>
          <w:kern w:val="0"/>
          <w:lang w:val="en-US"/>
          <w14:ligatures w14:val="none"/>
        </w:rPr>
        <w:t xml:space="preserve"> </w:t>
      </w:r>
      <w:proofErr w:type="spellStart"/>
      <w:r w:rsidRPr="001D6F2B">
        <w:rPr>
          <w:rFonts w:ascii="Calibri" w:eastAsia="Times New Roman" w:hAnsi="Calibri" w:cs="Calibri"/>
          <w:iCs/>
          <w:color w:val="002060"/>
          <w:kern w:val="0"/>
          <w:lang w:val="en-US"/>
          <w14:ligatures w14:val="none"/>
        </w:rPr>
        <w:t>invalidez</w:t>
      </w:r>
      <w:proofErr w:type="spellEnd"/>
    </w:p>
    <w:p w14:paraId="5213F33B" w14:textId="77777777" w:rsidR="001D6F2B" w:rsidRPr="001D6F2B" w:rsidRDefault="001D6F2B" w:rsidP="001D6F2B">
      <w:pPr>
        <w:numPr>
          <w:ilvl w:val="0"/>
          <w:numId w:val="9"/>
        </w:numPr>
        <w:autoSpaceDE w:val="0"/>
        <w:autoSpaceDN w:val="0"/>
        <w:adjustRightInd w:val="0"/>
        <w:spacing w:after="0" w:line="240" w:lineRule="auto"/>
        <w:jc w:val="both"/>
        <w:rPr>
          <w:rFonts w:ascii="Calibri" w:eastAsia="Times New Roman" w:hAnsi="Calibri" w:cs="Calibri"/>
          <w:iCs/>
          <w:color w:val="002060"/>
          <w:kern w:val="0"/>
          <w14:ligatures w14:val="none"/>
        </w:rPr>
      </w:pPr>
      <w:r w:rsidRPr="001D6F2B">
        <w:rPr>
          <w:rFonts w:ascii="Calibri" w:eastAsia="Times New Roman" w:hAnsi="Calibri" w:cs="Calibri"/>
          <w:iCs/>
          <w:color w:val="002060"/>
          <w:kern w:val="0"/>
          <w14:ligatures w14:val="none"/>
        </w:rPr>
        <w:t>Aposentadoria idade</w:t>
      </w:r>
    </w:p>
    <w:p w14:paraId="62670D40" w14:textId="77777777" w:rsidR="001D6F2B" w:rsidRPr="001D6F2B" w:rsidRDefault="001D6F2B" w:rsidP="001D6F2B">
      <w:pPr>
        <w:numPr>
          <w:ilvl w:val="0"/>
          <w:numId w:val="9"/>
        </w:numPr>
        <w:autoSpaceDE w:val="0"/>
        <w:autoSpaceDN w:val="0"/>
        <w:adjustRightInd w:val="0"/>
        <w:spacing w:after="0" w:line="240" w:lineRule="auto"/>
        <w:jc w:val="both"/>
        <w:rPr>
          <w:rFonts w:ascii="Calibri" w:eastAsia="Times New Roman" w:hAnsi="Calibri" w:cs="Calibri"/>
          <w:iCs/>
          <w:color w:val="002060"/>
          <w:kern w:val="0"/>
          <w14:ligatures w14:val="none"/>
        </w:rPr>
      </w:pPr>
      <w:r w:rsidRPr="001D6F2B">
        <w:rPr>
          <w:rFonts w:ascii="Calibri" w:eastAsia="Times New Roman" w:hAnsi="Calibri" w:cs="Calibri"/>
          <w:iCs/>
          <w:color w:val="002060"/>
          <w:kern w:val="0"/>
          <w14:ligatures w14:val="none"/>
        </w:rPr>
        <w:t>Aposentadoria por tempo de serviço</w:t>
      </w:r>
    </w:p>
    <w:p w14:paraId="267442E4" w14:textId="77777777" w:rsidR="001D6F2B" w:rsidRPr="001D6F2B" w:rsidRDefault="001D6F2B" w:rsidP="001D6F2B">
      <w:pPr>
        <w:numPr>
          <w:ilvl w:val="0"/>
          <w:numId w:val="9"/>
        </w:numPr>
        <w:autoSpaceDE w:val="0"/>
        <w:autoSpaceDN w:val="0"/>
        <w:adjustRightInd w:val="0"/>
        <w:spacing w:after="0" w:line="240" w:lineRule="auto"/>
        <w:jc w:val="both"/>
        <w:rPr>
          <w:rFonts w:ascii="Calibri" w:eastAsia="Times New Roman" w:hAnsi="Calibri" w:cs="Calibri"/>
          <w:iCs/>
          <w:color w:val="002060"/>
          <w:kern w:val="0"/>
          <w14:ligatures w14:val="none"/>
        </w:rPr>
      </w:pPr>
      <w:r w:rsidRPr="001D6F2B">
        <w:rPr>
          <w:rFonts w:ascii="Calibri" w:eastAsia="Times New Roman" w:hAnsi="Calibri" w:cs="Calibri"/>
          <w:iCs/>
          <w:color w:val="002060"/>
          <w:kern w:val="0"/>
          <w14:ligatures w14:val="none"/>
        </w:rPr>
        <w:t>Aposentadoria especial</w:t>
      </w:r>
    </w:p>
    <w:p w14:paraId="5536FB38" w14:textId="77777777" w:rsidR="001D6F2B" w:rsidRPr="001D6F2B" w:rsidRDefault="001D6F2B" w:rsidP="001D6F2B">
      <w:pPr>
        <w:numPr>
          <w:ilvl w:val="0"/>
          <w:numId w:val="9"/>
        </w:numPr>
        <w:autoSpaceDE w:val="0"/>
        <w:autoSpaceDN w:val="0"/>
        <w:adjustRightInd w:val="0"/>
        <w:spacing w:after="0" w:line="240" w:lineRule="auto"/>
        <w:jc w:val="both"/>
        <w:rPr>
          <w:rFonts w:ascii="Calibri" w:eastAsia="Times New Roman" w:hAnsi="Calibri" w:cs="Calibri"/>
          <w:iCs/>
          <w:color w:val="002060"/>
          <w:kern w:val="0"/>
          <w14:ligatures w14:val="none"/>
        </w:rPr>
      </w:pPr>
      <w:r w:rsidRPr="001D6F2B">
        <w:rPr>
          <w:rFonts w:ascii="Calibri" w:eastAsia="Times New Roman" w:hAnsi="Calibri" w:cs="Calibri"/>
          <w:iCs/>
          <w:color w:val="002060"/>
          <w:kern w:val="0"/>
          <w14:ligatures w14:val="none"/>
        </w:rPr>
        <w:t>Auxílio-doença</w:t>
      </w:r>
    </w:p>
    <w:p w14:paraId="39507DBE" w14:textId="77777777" w:rsidR="001D6F2B" w:rsidRPr="001D6F2B" w:rsidRDefault="001D6F2B" w:rsidP="001D6F2B">
      <w:pPr>
        <w:numPr>
          <w:ilvl w:val="0"/>
          <w:numId w:val="9"/>
        </w:numPr>
        <w:autoSpaceDE w:val="0"/>
        <w:autoSpaceDN w:val="0"/>
        <w:adjustRightInd w:val="0"/>
        <w:spacing w:after="0" w:line="240" w:lineRule="auto"/>
        <w:jc w:val="both"/>
        <w:rPr>
          <w:rFonts w:ascii="Calibri" w:eastAsia="Times New Roman" w:hAnsi="Calibri" w:cs="Calibri"/>
          <w:iCs/>
          <w:color w:val="002060"/>
          <w:kern w:val="0"/>
          <w14:ligatures w14:val="none"/>
        </w:rPr>
      </w:pPr>
      <w:r w:rsidRPr="001D6F2B">
        <w:rPr>
          <w:rFonts w:ascii="Calibri" w:eastAsia="Times New Roman" w:hAnsi="Calibri" w:cs="Calibri"/>
          <w:iCs/>
          <w:color w:val="002060"/>
          <w:kern w:val="0"/>
          <w14:ligatures w14:val="none"/>
        </w:rPr>
        <w:t>Auxílio-reclusão</w:t>
      </w:r>
    </w:p>
    <w:p w14:paraId="5FF4B92A" w14:textId="77777777" w:rsidR="001D6F2B" w:rsidRPr="001D6F2B" w:rsidRDefault="001D6F2B" w:rsidP="001D6F2B">
      <w:pPr>
        <w:numPr>
          <w:ilvl w:val="0"/>
          <w:numId w:val="9"/>
        </w:numPr>
        <w:autoSpaceDE w:val="0"/>
        <w:autoSpaceDN w:val="0"/>
        <w:adjustRightInd w:val="0"/>
        <w:spacing w:after="0" w:line="240" w:lineRule="auto"/>
        <w:jc w:val="both"/>
        <w:rPr>
          <w:rFonts w:ascii="Calibri" w:eastAsia="Times New Roman" w:hAnsi="Calibri" w:cs="Calibri"/>
          <w:iCs/>
          <w:color w:val="002060"/>
          <w:kern w:val="0"/>
          <w14:ligatures w14:val="none"/>
        </w:rPr>
      </w:pPr>
      <w:r w:rsidRPr="001D6F2B">
        <w:rPr>
          <w:rFonts w:ascii="Calibri" w:eastAsia="Times New Roman" w:hAnsi="Calibri" w:cs="Calibri"/>
          <w:iCs/>
          <w:color w:val="002060"/>
          <w:kern w:val="0"/>
          <w14:ligatures w14:val="none"/>
        </w:rPr>
        <w:t>Abono anual</w:t>
      </w:r>
    </w:p>
    <w:p w14:paraId="4A70639D" w14:textId="77777777" w:rsidR="001D6F2B" w:rsidRPr="001D6F2B" w:rsidRDefault="001D6F2B" w:rsidP="001D6F2B">
      <w:pPr>
        <w:numPr>
          <w:ilvl w:val="0"/>
          <w:numId w:val="9"/>
        </w:numPr>
        <w:autoSpaceDE w:val="0"/>
        <w:autoSpaceDN w:val="0"/>
        <w:adjustRightInd w:val="0"/>
        <w:spacing w:after="0" w:line="240" w:lineRule="auto"/>
        <w:jc w:val="both"/>
        <w:rPr>
          <w:rFonts w:ascii="Calibri" w:eastAsia="Times New Roman" w:hAnsi="Calibri" w:cs="Calibri"/>
          <w:iCs/>
          <w:color w:val="002060"/>
          <w:kern w:val="0"/>
          <w14:ligatures w14:val="none"/>
        </w:rPr>
      </w:pPr>
      <w:r w:rsidRPr="001D6F2B">
        <w:rPr>
          <w:rFonts w:ascii="Calibri" w:eastAsia="Times New Roman" w:hAnsi="Calibri" w:cs="Calibri"/>
          <w:iCs/>
          <w:color w:val="002060"/>
          <w:kern w:val="0"/>
          <w14:ligatures w14:val="none"/>
        </w:rPr>
        <w:t>Pensão por morte</w:t>
      </w:r>
    </w:p>
    <w:p w14:paraId="54AA5254" w14:textId="77777777" w:rsidR="001D6F2B" w:rsidRPr="001D6F2B" w:rsidRDefault="001D6F2B" w:rsidP="001D6F2B">
      <w:pPr>
        <w:numPr>
          <w:ilvl w:val="0"/>
          <w:numId w:val="9"/>
        </w:numPr>
        <w:autoSpaceDE w:val="0"/>
        <w:autoSpaceDN w:val="0"/>
        <w:adjustRightInd w:val="0"/>
        <w:spacing w:after="0" w:line="240" w:lineRule="auto"/>
        <w:jc w:val="both"/>
        <w:rPr>
          <w:rFonts w:ascii="Calibri" w:eastAsia="Times New Roman" w:hAnsi="Calibri" w:cs="Calibri"/>
          <w:iCs/>
          <w:color w:val="002060"/>
          <w:kern w:val="0"/>
          <w14:ligatures w14:val="none"/>
        </w:rPr>
      </w:pPr>
      <w:r w:rsidRPr="001D6F2B">
        <w:rPr>
          <w:rFonts w:ascii="Calibri" w:eastAsia="Times New Roman" w:hAnsi="Calibri" w:cs="Calibri"/>
          <w:iCs/>
          <w:color w:val="002060"/>
          <w:kern w:val="0"/>
          <w14:ligatures w14:val="none"/>
        </w:rPr>
        <w:t>Pecúlio por morte</w:t>
      </w:r>
    </w:p>
    <w:p w14:paraId="2525479E" w14:textId="77777777" w:rsidR="001D6F2B" w:rsidRPr="001D6F2B" w:rsidRDefault="001D6F2B" w:rsidP="001D6F2B">
      <w:pPr>
        <w:autoSpaceDE w:val="0"/>
        <w:autoSpaceDN w:val="0"/>
        <w:adjustRightInd w:val="0"/>
        <w:spacing w:after="0" w:line="240" w:lineRule="auto"/>
        <w:jc w:val="both"/>
        <w:rPr>
          <w:rFonts w:ascii="Calibri" w:eastAsia="Times New Roman" w:hAnsi="Calibri" w:cs="Calibri"/>
          <w:iCs/>
          <w:color w:val="002060"/>
          <w:kern w:val="0"/>
          <w14:ligatures w14:val="none"/>
        </w:rPr>
      </w:pPr>
      <w:r w:rsidRPr="001D6F2B">
        <w:rPr>
          <w:rFonts w:ascii="Calibri" w:eastAsia="Times New Roman" w:hAnsi="Calibri" w:cs="Calibri"/>
          <w:iCs/>
          <w:color w:val="002060"/>
          <w:kern w:val="0"/>
          <w14:ligatures w14:val="none"/>
        </w:rPr>
        <w:t>As regras de elegibilidade e de cálculo dos benefícios estão expressas no respectivo regulamento, cuja versão que deu suporte a este trabalho é denominada de Regulamento do PBS-A, estando vigente desde 2009, cuja aprovação pela Secretaria de Previdência Complementar se deu através da Portaria nº 3.188, de 23 de novembro de 2009.</w:t>
      </w:r>
    </w:p>
    <w:p w14:paraId="22394FD8" w14:textId="77777777" w:rsidR="001D6F2B" w:rsidRPr="001D6F2B" w:rsidRDefault="001D6F2B" w:rsidP="001D6F2B">
      <w:pPr>
        <w:autoSpaceDE w:val="0"/>
        <w:autoSpaceDN w:val="0"/>
        <w:adjustRightInd w:val="0"/>
        <w:spacing w:after="0" w:line="240" w:lineRule="auto"/>
        <w:jc w:val="both"/>
        <w:rPr>
          <w:rFonts w:ascii="Calibri" w:eastAsia="Times New Roman" w:hAnsi="Calibri" w:cs="Calibri"/>
          <w:iCs/>
          <w:color w:val="002060"/>
          <w:kern w:val="0"/>
          <w14:ligatures w14:val="none"/>
        </w:rPr>
      </w:pPr>
      <w:r w:rsidRPr="001D6F2B">
        <w:rPr>
          <w:rFonts w:ascii="Calibri" w:eastAsia="Times New Roman" w:hAnsi="Calibri" w:cs="Calibri"/>
          <w:iCs/>
          <w:color w:val="002060"/>
          <w:kern w:val="0"/>
          <w14:ligatures w14:val="none"/>
        </w:rPr>
        <w:t>O plano de custeio previsto em regulamento é composto pelas seguintes fontes:</w:t>
      </w:r>
    </w:p>
    <w:p w14:paraId="0BB8C3F9" w14:textId="77777777" w:rsidR="001D6F2B" w:rsidRPr="001D6F2B" w:rsidRDefault="001D6F2B" w:rsidP="001D6F2B">
      <w:pPr>
        <w:numPr>
          <w:ilvl w:val="0"/>
          <w:numId w:val="8"/>
        </w:numPr>
        <w:autoSpaceDE w:val="0"/>
        <w:autoSpaceDN w:val="0"/>
        <w:adjustRightInd w:val="0"/>
        <w:spacing w:after="0" w:line="240" w:lineRule="auto"/>
        <w:jc w:val="both"/>
        <w:rPr>
          <w:rFonts w:ascii="Calibri" w:eastAsia="Times New Roman" w:hAnsi="Calibri" w:cs="Calibri"/>
          <w:iCs/>
          <w:color w:val="002060"/>
          <w:kern w:val="0"/>
          <w14:ligatures w14:val="none"/>
        </w:rPr>
      </w:pPr>
      <w:r w:rsidRPr="001D6F2B">
        <w:rPr>
          <w:rFonts w:ascii="Calibri" w:eastAsia="Times New Roman" w:hAnsi="Calibri" w:cs="Calibri"/>
          <w:iCs/>
          <w:color w:val="002060"/>
          <w:kern w:val="0"/>
          <w14:ligatures w14:val="none"/>
        </w:rPr>
        <w:t>Contribuição mensal de participantes ativos sobre o salário-de-participação;</w:t>
      </w:r>
    </w:p>
    <w:p w14:paraId="4A42EB44" w14:textId="77777777" w:rsidR="001D6F2B" w:rsidRPr="001D6F2B" w:rsidRDefault="001D6F2B" w:rsidP="001D6F2B">
      <w:pPr>
        <w:numPr>
          <w:ilvl w:val="0"/>
          <w:numId w:val="8"/>
        </w:numPr>
        <w:autoSpaceDE w:val="0"/>
        <w:autoSpaceDN w:val="0"/>
        <w:adjustRightInd w:val="0"/>
        <w:spacing w:after="0" w:line="240" w:lineRule="auto"/>
        <w:jc w:val="both"/>
        <w:rPr>
          <w:rFonts w:ascii="Calibri" w:eastAsia="Times New Roman" w:hAnsi="Calibri" w:cs="Calibri"/>
          <w:iCs/>
          <w:color w:val="002060"/>
          <w:kern w:val="0"/>
          <w14:ligatures w14:val="none"/>
        </w:rPr>
      </w:pPr>
      <w:r w:rsidRPr="001D6F2B">
        <w:rPr>
          <w:rFonts w:ascii="Calibri" w:eastAsia="Times New Roman" w:hAnsi="Calibri" w:cs="Calibri"/>
          <w:iCs/>
          <w:color w:val="002060"/>
          <w:kern w:val="0"/>
          <w14:ligatures w14:val="none"/>
        </w:rPr>
        <w:t>Contribuição mensal de participantes assistidos que recebem abono de aposentadoria (mais de 30 anos de vinculação ao INSS), contribuem com 10% sobre o benefício global pago pela SISTEL, limitado ao valor do abono;</w:t>
      </w:r>
    </w:p>
    <w:p w14:paraId="0448784F" w14:textId="77777777" w:rsidR="001D6F2B" w:rsidRPr="001D6F2B" w:rsidRDefault="001D6F2B" w:rsidP="001D6F2B">
      <w:pPr>
        <w:numPr>
          <w:ilvl w:val="0"/>
          <w:numId w:val="8"/>
        </w:numPr>
        <w:autoSpaceDE w:val="0"/>
        <w:autoSpaceDN w:val="0"/>
        <w:adjustRightInd w:val="0"/>
        <w:spacing w:after="0" w:line="240" w:lineRule="auto"/>
        <w:jc w:val="both"/>
        <w:rPr>
          <w:rFonts w:ascii="Calibri" w:eastAsia="Times New Roman" w:hAnsi="Calibri" w:cs="Calibri"/>
          <w:iCs/>
          <w:color w:val="002060"/>
          <w:kern w:val="0"/>
          <w14:ligatures w14:val="none"/>
        </w:rPr>
      </w:pPr>
      <w:r w:rsidRPr="001D6F2B">
        <w:rPr>
          <w:rFonts w:ascii="Calibri" w:eastAsia="Times New Roman" w:hAnsi="Calibri" w:cs="Calibri"/>
          <w:iCs/>
          <w:color w:val="002060"/>
          <w:kern w:val="0"/>
          <w14:ligatures w14:val="none"/>
        </w:rPr>
        <w:t>Contribuição mensal das patrocinadoras com percentual sobre a folha mensal de salário de todos os participantes definidos anualmente;</w:t>
      </w:r>
    </w:p>
    <w:p w14:paraId="6B3C11B0" w14:textId="77777777" w:rsidR="001D6F2B" w:rsidRPr="001D6F2B" w:rsidRDefault="001D6F2B" w:rsidP="001D6F2B">
      <w:pPr>
        <w:numPr>
          <w:ilvl w:val="0"/>
          <w:numId w:val="8"/>
        </w:numPr>
        <w:autoSpaceDE w:val="0"/>
        <w:autoSpaceDN w:val="0"/>
        <w:adjustRightInd w:val="0"/>
        <w:spacing w:after="0" w:line="240" w:lineRule="auto"/>
        <w:jc w:val="both"/>
        <w:rPr>
          <w:rFonts w:ascii="Calibri" w:eastAsia="Times New Roman" w:hAnsi="Calibri" w:cs="Calibri"/>
          <w:iCs/>
          <w:color w:val="002060"/>
          <w:kern w:val="0"/>
          <w14:ligatures w14:val="none"/>
        </w:rPr>
      </w:pPr>
      <w:proofErr w:type="spellStart"/>
      <w:r w:rsidRPr="001D6F2B">
        <w:rPr>
          <w:rFonts w:ascii="Calibri" w:eastAsia="Times New Roman" w:hAnsi="Calibri" w:cs="Calibri"/>
          <w:iCs/>
          <w:color w:val="002060"/>
          <w:kern w:val="0"/>
          <w14:ligatures w14:val="none"/>
        </w:rPr>
        <w:t>Jóia</w:t>
      </w:r>
      <w:proofErr w:type="spellEnd"/>
      <w:r w:rsidRPr="001D6F2B">
        <w:rPr>
          <w:rFonts w:ascii="Calibri" w:eastAsia="Times New Roman" w:hAnsi="Calibri" w:cs="Calibri"/>
          <w:iCs/>
          <w:color w:val="002060"/>
          <w:kern w:val="0"/>
          <w14:ligatures w14:val="none"/>
        </w:rPr>
        <w:t xml:space="preserve"> de participantes ativos, determinada atuarialmente;</w:t>
      </w:r>
    </w:p>
    <w:p w14:paraId="7A7F8678" w14:textId="77777777" w:rsidR="001D6F2B" w:rsidRPr="001D6F2B" w:rsidRDefault="001D6F2B" w:rsidP="001D6F2B">
      <w:pPr>
        <w:numPr>
          <w:ilvl w:val="0"/>
          <w:numId w:val="8"/>
        </w:numPr>
        <w:autoSpaceDE w:val="0"/>
        <w:autoSpaceDN w:val="0"/>
        <w:adjustRightInd w:val="0"/>
        <w:spacing w:after="0" w:line="240" w:lineRule="auto"/>
        <w:jc w:val="both"/>
        <w:rPr>
          <w:rFonts w:ascii="Calibri" w:eastAsia="Times New Roman" w:hAnsi="Calibri" w:cs="Calibri"/>
          <w:iCs/>
          <w:color w:val="002060"/>
          <w:kern w:val="0"/>
          <w14:ligatures w14:val="none"/>
        </w:rPr>
      </w:pPr>
      <w:r w:rsidRPr="001D6F2B">
        <w:rPr>
          <w:rFonts w:ascii="Calibri" w:eastAsia="Times New Roman" w:hAnsi="Calibri" w:cs="Calibri"/>
          <w:iCs/>
          <w:color w:val="002060"/>
          <w:kern w:val="0"/>
          <w14:ligatures w14:val="none"/>
        </w:rPr>
        <w:t>Dotações das patrocinadoras; e</w:t>
      </w:r>
    </w:p>
    <w:p w14:paraId="09569B6A" w14:textId="77777777" w:rsidR="001D6F2B" w:rsidRPr="001D6F2B" w:rsidRDefault="001D6F2B" w:rsidP="001D6F2B">
      <w:pPr>
        <w:numPr>
          <w:ilvl w:val="0"/>
          <w:numId w:val="8"/>
        </w:numPr>
        <w:autoSpaceDE w:val="0"/>
        <w:autoSpaceDN w:val="0"/>
        <w:adjustRightInd w:val="0"/>
        <w:spacing w:after="0" w:line="240" w:lineRule="auto"/>
        <w:jc w:val="both"/>
        <w:rPr>
          <w:rFonts w:ascii="Calibri" w:eastAsia="Times New Roman" w:hAnsi="Calibri" w:cs="Calibri"/>
          <w:iCs/>
          <w:color w:val="002060"/>
          <w:kern w:val="0"/>
          <w14:ligatures w14:val="none"/>
        </w:rPr>
      </w:pPr>
      <w:r w:rsidRPr="001D6F2B">
        <w:rPr>
          <w:rFonts w:ascii="Calibri" w:eastAsia="Times New Roman" w:hAnsi="Calibri" w:cs="Calibri"/>
          <w:iCs/>
          <w:color w:val="002060"/>
          <w:kern w:val="0"/>
          <w14:ligatures w14:val="none"/>
        </w:rPr>
        <w:t>Receitas de aplicação do patrimônio.</w:t>
      </w:r>
    </w:p>
    <w:p w14:paraId="5A94E1AF" w14:textId="77777777" w:rsidR="001D6F2B" w:rsidRPr="001D6F2B" w:rsidRDefault="001D6F2B" w:rsidP="001D6F2B">
      <w:pPr>
        <w:autoSpaceDE w:val="0"/>
        <w:autoSpaceDN w:val="0"/>
        <w:adjustRightInd w:val="0"/>
        <w:spacing w:after="0" w:line="240" w:lineRule="auto"/>
        <w:jc w:val="both"/>
        <w:rPr>
          <w:rFonts w:ascii="Calibri" w:eastAsia="Times New Roman" w:hAnsi="Calibri" w:cs="Calibri"/>
          <w:iCs/>
          <w:color w:val="002060"/>
          <w:kern w:val="0"/>
          <w14:ligatures w14:val="none"/>
        </w:rPr>
      </w:pPr>
      <w:r w:rsidRPr="001D6F2B">
        <w:rPr>
          <w:rFonts w:ascii="Calibri" w:eastAsia="Times New Roman" w:hAnsi="Calibri" w:cs="Calibri"/>
          <w:iCs/>
          <w:color w:val="002060"/>
          <w:kern w:val="0"/>
          <w14:ligatures w14:val="none"/>
        </w:rPr>
        <w:t xml:space="preserve">O plano de benefícios PBS-A contava, em 31 dezembro de 2023, com 420 assistidos, conforme apresentado abaixo. </w:t>
      </w:r>
    </w:p>
    <w:tbl>
      <w:tblPr>
        <w:tblW w:w="5000" w:type="pct"/>
        <w:tblCellMar>
          <w:left w:w="70" w:type="dxa"/>
          <w:right w:w="70" w:type="dxa"/>
        </w:tblCellMar>
        <w:tblLook w:val="04A0" w:firstRow="1" w:lastRow="0" w:firstColumn="1" w:lastColumn="0" w:noHBand="0" w:noVBand="1"/>
      </w:tblPr>
      <w:tblGrid>
        <w:gridCol w:w="4814"/>
        <w:gridCol w:w="2583"/>
        <w:gridCol w:w="2364"/>
      </w:tblGrid>
      <w:tr w:rsidR="001D6F2B" w:rsidRPr="001D6F2B" w14:paraId="6120059F" w14:textId="77777777" w:rsidTr="00446A14">
        <w:trPr>
          <w:trHeight w:val="238"/>
          <w:tblHeader/>
        </w:trPr>
        <w:tc>
          <w:tcPr>
            <w:tcW w:w="2466" w:type="pct"/>
            <w:tcBorders>
              <w:top w:val="single" w:sz="8" w:space="0" w:color="000000"/>
              <w:left w:val="single" w:sz="8" w:space="0" w:color="000000"/>
              <w:bottom w:val="single" w:sz="8" w:space="0" w:color="000000"/>
              <w:right w:val="single" w:sz="8" w:space="0" w:color="000000"/>
            </w:tcBorders>
            <w:shd w:val="clear" w:color="000000" w:fill="BFBFBF"/>
            <w:vAlign w:val="center"/>
            <w:hideMark/>
          </w:tcPr>
          <w:p w14:paraId="254BC38D" w14:textId="77777777" w:rsidR="001D6F2B" w:rsidRPr="001D6F2B" w:rsidRDefault="001D6F2B" w:rsidP="001D6F2B">
            <w:pPr>
              <w:spacing w:after="0" w:line="240" w:lineRule="auto"/>
              <w:rPr>
                <w:rFonts w:ascii="Arial" w:eastAsia="Times New Roman" w:hAnsi="Arial" w:cs="Arial"/>
                <w:b/>
                <w:bCs/>
                <w:color w:val="000000"/>
                <w:kern w:val="0"/>
                <w:sz w:val="18"/>
                <w:szCs w:val="18"/>
                <w:lang w:eastAsia="pt-BR"/>
                <w14:ligatures w14:val="none"/>
              </w:rPr>
            </w:pPr>
            <w:r w:rsidRPr="001D6F2B">
              <w:rPr>
                <w:rFonts w:ascii="Arial" w:eastAsia="Times New Roman" w:hAnsi="Arial" w:cs="Arial"/>
                <w:b/>
                <w:bCs/>
                <w:color w:val="000000"/>
                <w:kern w:val="0"/>
                <w:sz w:val="18"/>
                <w:szCs w:val="20"/>
                <w:lang w:eastAsia="pt-BR"/>
                <w14:ligatures w14:val="none"/>
              </w:rPr>
              <w:t>Assistidos</w:t>
            </w:r>
          </w:p>
        </w:tc>
        <w:tc>
          <w:tcPr>
            <w:tcW w:w="1323" w:type="pct"/>
            <w:tcBorders>
              <w:top w:val="single" w:sz="8" w:space="0" w:color="000000"/>
              <w:left w:val="nil"/>
              <w:bottom w:val="single" w:sz="8" w:space="0" w:color="000000"/>
              <w:right w:val="single" w:sz="8" w:space="0" w:color="000000"/>
            </w:tcBorders>
            <w:shd w:val="clear" w:color="auto" w:fill="auto"/>
            <w:vAlign w:val="center"/>
            <w:hideMark/>
          </w:tcPr>
          <w:p w14:paraId="6699D090" w14:textId="77777777" w:rsidR="001D6F2B" w:rsidRPr="001D6F2B" w:rsidRDefault="001D6F2B" w:rsidP="001D6F2B">
            <w:pPr>
              <w:spacing w:after="0" w:line="240" w:lineRule="auto"/>
              <w:jc w:val="center"/>
              <w:rPr>
                <w:rFonts w:ascii="Arial" w:eastAsia="Times New Roman" w:hAnsi="Arial" w:cs="Arial"/>
                <w:b/>
                <w:bCs/>
                <w:color w:val="000000"/>
                <w:kern w:val="0"/>
                <w:sz w:val="18"/>
                <w:szCs w:val="18"/>
                <w:lang w:eastAsia="pt-BR"/>
                <w14:ligatures w14:val="none"/>
              </w:rPr>
            </w:pPr>
            <w:r w:rsidRPr="001D6F2B">
              <w:rPr>
                <w:rFonts w:ascii="Arial" w:eastAsia="Times New Roman" w:hAnsi="Arial" w:cs="Arial"/>
                <w:b/>
                <w:bCs/>
                <w:color w:val="000000"/>
                <w:kern w:val="0"/>
                <w:sz w:val="18"/>
                <w:szCs w:val="20"/>
                <w:lang w:eastAsia="pt-BR"/>
                <w14:ligatures w14:val="none"/>
              </w:rPr>
              <w:t>31/12/2023</w:t>
            </w:r>
          </w:p>
        </w:tc>
        <w:tc>
          <w:tcPr>
            <w:tcW w:w="1211" w:type="pct"/>
            <w:tcBorders>
              <w:top w:val="single" w:sz="8" w:space="0" w:color="000000"/>
              <w:left w:val="nil"/>
              <w:bottom w:val="single" w:sz="8" w:space="0" w:color="000000"/>
              <w:right w:val="single" w:sz="8" w:space="0" w:color="000000"/>
            </w:tcBorders>
            <w:shd w:val="clear" w:color="auto" w:fill="auto"/>
            <w:vAlign w:val="center"/>
            <w:hideMark/>
          </w:tcPr>
          <w:p w14:paraId="35E30412" w14:textId="77777777" w:rsidR="001D6F2B" w:rsidRPr="001D6F2B" w:rsidRDefault="001D6F2B" w:rsidP="001D6F2B">
            <w:pPr>
              <w:spacing w:after="0" w:line="240" w:lineRule="auto"/>
              <w:jc w:val="center"/>
              <w:rPr>
                <w:rFonts w:ascii="Arial" w:eastAsia="Times New Roman" w:hAnsi="Arial" w:cs="Arial"/>
                <w:b/>
                <w:bCs/>
                <w:color w:val="000000"/>
                <w:kern w:val="0"/>
                <w:sz w:val="18"/>
                <w:szCs w:val="18"/>
                <w:lang w:eastAsia="pt-BR"/>
                <w14:ligatures w14:val="none"/>
              </w:rPr>
            </w:pPr>
            <w:r w:rsidRPr="001D6F2B">
              <w:rPr>
                <w:rFonts w:ascii="Arial" w:eastAsia="Times New Roman" w:hAnsi="Arial" w:cs="Arial"/>
                <w:b/>
                <w:bCs/>
                <w:color w:val="000000"/>
                <w:kern w:val="0"/>
                <w:sz w:val="18"/>
                <w:szCs w:val="20"/>
                <w:lang w:eastAsia="pt-BR"/>
                <w14:ligatures w14:val="none"/>
              </w:rPr>
              <w:t>31/12/2022</w:t>
            </w:r>
          </w:p>
        </w:tc>
      </w:tr>
      <w:tr w:rsidR="001D6F2B" w:rsidRPr="001D6F2B" w14:paraId="703688B7" w14:textId="77777777" w:rsidTr="00446A14">
        <w:trPr>
          <w:trHeight w:val="238"/>
        </w:trPr>
        <w:tc>
          <w:tcPr>
            <w:tcW w:w="2466" w:type="pct"/>
            <w:tcBorders>
              <w:top w:val="nil"/>
              <w:left w:val="single" w:sz="8" w:space="0" w:color="000000"/>
              <w:bottom w:val="single" w:sz="8" w:space="0" w:color="000000"/>
              <w:right w:val="single" w:sz="8" w:space="0" w:color="000000"/>
            </w:tcBorders>
            <w:shd w:val="clear" w:color="auto" w:fill="auto"/>
            <w:vAlign w:val="center"/>
            <w:hideMark/>
          </w:tcPr>
          <w:p w14:paraId="248491DC" w14:textId="77777777" w:rsidR="001D6F2B" w:rsidRPr="001D6F2B" w:rsidRDefault="001D6F2B" w:rsidP="001D6F2B">
            <w:pPr>
              <w:spacing w:after="0" w:line="240" w:lineRule="auto"/>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20"/>
                <w:lang w:eastAsia="pt-BR"/>
                <w14:ligatures w14:val="none"/>
              </w:rPr>
              <w:t>Quantidade</w:t>
            </w:r>
          </w:p>
        </w:tc>
        <w:tc>
          <w:tcPr>
            <w:tcW w:w="1323" w:type="pct"/>
            <w:tcBorders>
              <w:top w:val="nil"/>
              <w:left w:val="nil"/>
              <w:bottom w:val="single" w:sz="8" w:space="0" w:color="000000"/>
              <w:right w:val="single" w:sz="8" w:space="0" w:color="000000"/>
            </w:tcBorders>
            <w:shd w:val="clear" w:color="auto" w:fill="auto"/>
            <w:vAlign w:val="center"/>
            <w:hideMark/>
          </w:tcPr>
          <w:p w14:paraId="0CDC6A62" w14:textId="77777777" w:rsidR="001D6F2B" w:rsidRPr="001D6F2B" w:rsidRDefault="001D6F2B" w:rsidP="001D6F2B">
            <w:pPr>
              <w:spacing w:after="0" w:line="240" w:lineRule="auto"/>
              <w:jc w:val="right"/>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420</w:t>
            </w:r>
          </w:p>
        </w:tc>
        <w:tc>
          <w:tcPr>
            <w:tcW w:w="1211" w:type="pct"/>
            <w:tcBorders>
              <w:top w:val="nil"/>
              <w:left w:val="nil"/>
              <w:bottom w:val="single" w:sz="8" w:space="0" w:color="000000"/>
              <w:right w:val="single" w:sz="8" w:space="0" w:color="000000"/>
            </w:tcBorders>
            <w:shd w:val="clear" w:color="auto" w:fill="auto"/>
            <w:vAlign w:val="center"/>
            <w:hideMark/>
          </w:tcPr>
          <w:p w14:paraId="7EE9F3AF" w14:textId="77777777" w:rsidR="001D6F2B" w:rsidRPr="001D6F2B" w:rsidRDefault="001D6F2B" w:rsidP="001D6F2B">
            <w:pPr>
              <w:spacing w:after="0" w:line="240" w:lineRule="auto"/>
              <w:jc w:val="right"/>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428</w:t>
            </w:r>
          </w:p>
        </w:tc>
      </w:tr>
      <w:tr w:rsidR="001D6F2B" w:rsidRPr="001D6F2B" w14:paraId="7F32493D" w14:textId="77777777" w:rsidTr="00446A14">
        <w:trPr>
          <w:trHeight w:val="238"/>
        </w:trPr>
        <w:tc>
          <w:tcPr>
            <w:tcW w:w="2466" w:type="pct"/>
            <w:tcBorders>
              <w:top w:val="nil"/>
              <w:left w:val="single" w:sz="8" w:space="0" w:color="000000"/>
              <w:bottom w:val="single" w:sz="8" w:space="0" w:color="000000"/>
              <w:right w:val="single" w:sz="8" w:space="0" w:color="000000"/>
            </w:tcBorders>
            <w:shd w:val="clear" w:color="auto" w:fill="auto"/>
            <w:vAlign w:val="center"/>
            <w:hideMark/>
          </w:tcPr>
          <w:p w14:paraId="7727D654" w14:textId="77777777" w:rsidR="001D6F2B" w:rsidRPr="001D6F2B" w:rsidRDefault="001D6F2B" w:rsidP="001D6F2B">
            <w:pPr>
              <w:spacing w:after="0" w:line="240" w:lineRule="auto"/>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20"/>
                <w:lang w:eastAsia="pt-BR"/>
                <w14:ligatures w14:val="none"/>
              </w:rPr>
              <w:t>Idade média (anos)</w:t>
            </w:r>
          </w:p>
        </w:tc>
        <w:tc>
          <w:tcPr>
            <w:tcW w:w="1323" w:type="pct"/>
            <w:tcBorders>
              <w:top w:val="nil"/>
              <w:left w:val="nil"/>
              <w:bottom w:val="single" w:sz="8" w:space="0" w:color="000000"/>
              <w:right w:val="single" w:sz="8" w:space="0" w:color="000000"/>
            </w:tcBorders>
            <w:shd w:val="clear" w:color="auto" w:fill="auto"/>
            <w:vAlign w:val="center"/>
            <w:hideMark/>
          </w:tcPr>
          <w:p w14:paraId="4E564C7A" w14:textId="77777777" w:rsidR="001D6F2B" w:rsidRPr="001D6F2B" w:rsidRDefault="001D6F2B" w:rsidP="001D6F2B">
            <w:pPr>
              <w:spacing w:after="0" w:line="240" w:lineRule="auto"/>
              <w:jc w:val="right"/>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78,34</w:t>
            </w:r>
          </w:p>
        </w:tc>
        <w:tc>
          <w:tcPr>
            <w:tcW w:w="1211" w:type="pct"/>
            <w:tcBorders>
              <w:top w:val="nil"/>
              <w:left w:val="nil"/>
              <w:bottom w:val="single" w:sz="8" w:space="0" w:color="000000"/>
              <w:right w:val="single" w:sz="8" w:space="0" w:color="000000"/>
            </w:tcBorders>
            <w:shd w:val="clear" w:color="auto" w:fill="auto"/>
            <w:vAlign w:val="center"/>
            <w:hideMark/>
          </w:tcPr>
          <w:p w14:paraId="5FC0B6D1" w14:textId="77777777" w:rsidR="001D6F2B" w:rsidRPr="001D6F2B" w:rsidRDefault="001D6F2B" w:rsidP="001D6F2B">
            <w:pPr>
              <w:spacing w:after="0" w:line="240" w:lineRule="auto"/>
              <w:jc w:val="right"/>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77,27</w:t>
            </w:r>
          </w:p>
        </w:tc>
      </w:tr>
      <w:tr w:rsidR="001D6F2B" w:rsidRPr="001D6F2B" w14:paraId="6E70EA05" w14:textId="77777777" w:rsidTr="00446A14">
        <w:trPr>
          <w:trHeight w:val="238"/>
        </w:trPr>
        <w:tc>
          <w:tcPr>
            <w:tcW w:w="2466" w:type="pct"/>
            <w:tcBorders>
              <w:top w:val="nil"/>
              <w:left w:val="single" w:sz="8" w:space="0" w:color="000000"/>
              <w:bottom w:val="single" w:sz="8" w:space="0" w:color="000000"/>
              <w:right w:val="single" w:sz="8" w:space="0" w:color="000000"/>
            </w:tcBorders>
            <w:shd w:val="clear" w:color="auto" w:fill="auto"/>
            <w:vAlign w:val="center"/>
            <w:hideMark/>
          </w:tcPr>
          <w:p w14:paraId="473096C8" w14:textId="77777777" w:rsidR="001D6F2B" w:rsidRPr="001D6F2B" w:rsidRDefault="001D6F2B" w:rsidP="001D6F2B">
            <w:pPr>
              <w:spacing w:after="0" w:line="240" w:lineRule="auto"/>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20"/>
                <w:lang w:eastAsia="pt-BR"/>
                <w14:ligatures w14:val="none"/>
              </w:rPr>
              <w:t>Benefício médio (R$)</w:t>
            </w:r>
          </w:p>
        </w:tc>
        <w:tc>
          <w:tcPr>
            <w:tcW w:w="1323" w:type="pct"/>
            <w:tcBorders>
              <w:top w:val="nil"/>
              <w:left w:val="nil"/>
              <w:bottom w:val="single" w:sz="8" w:space="0" w:color="000000"/>
              <w:right w:val="single" w:sz="8" w:space="0" w:color="000000"/>
            </w:tcBorders>
            <w:shd w:val="clear" w:color="auto" w:fill="auto"/>
            <w:vAlign w:val="center"/>
            <w:hideMark/>
          </w:tcPr>
          <w:p w14:paraId="2E15469B" w14:textId="77777777" w:rsidR="001D6F2B" w:rsidRPr="001D6F2B" w:rsidRDefault="001D6F2B" w:rsidP="001D6F2B">
            <w:pPr>
              <w:spacing w:after="0" w:line="240" w:lineRule="auto"/>
              <w:jc w:val="right"/>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R$ 10.144,95</w:t>
            </w:r>
          </w:p>
        </w:tc>
        <w:tc>
          <w:tcPr>
            <w:tcW w:w="1211" w:type="pct"/>
            <w:tcBorders>
              <w:top w:val="nil"/>
              <w:left w:val="nil"/>
              <w:bottom w:val="single" w:sz="8" w:space="0" w:color="000000"/>
              <w:right w:val="single" w:sz="8" w:space="0" w:color="000000"/>
            </w:tcBorders>
            <w:shd w:val="clear" w:color="auto" w:fill="auto"/>
            <w:vAlign w:val="center"/>
            <w:hideMark/>
          </w:tcPr>
          <w:p w14:paraId="01427AE2" w14:textId="77777777" w:rsidR="001D6F2B" w:rsidRPr="001D6F2B" w:rsidRDefault="001D6F2B" w:rsidP="001D6F2B">
            <w:pPr>
              <w:spacing w:after="0" w:line="240" w:lineRule="auto"/>
              <w:jc w:val="right"/>
              <w:rPr>
                <w:rFonts w:ascii="Arial" w:eastAsia="Times New Roman" w:hAnsi="Arial" w:cs="Arial"/>
                <w:color w:val="000000"/>
                <w:kern w:val="0"/>
                <w:sz w:val="18"/>
                <w:szCs w:val="18"/>
                <w:lang w:eastAsia="pt-BR"/>
                <w14:ligatures w14:val="none"/>
              </w:rPr>
            </w:pPr>
            <w:r w:rsidRPr="001D6F2B">
              <w:rPr>
                <w:rFonts w:ascii="Arial" w:eastAsia="Times New Roman" w:hAnsi="Arial" w:cs="Arial"/>
                <w:color w:val="000000"/>
                <w:kern w:val="0"/>
                <w:sz w:val="18"/>
                <w:szCs w:val="18"/>
                <w:lang w:eastAsia="pt-BR"/>
                <w14:ligatures w14:val="none"/>
              </w:rPr>
              <w:t>R$ 9.702,77</w:t>
            </w:r>
          </w:p>
        </w:tc>
      </w:tr>
    </w:tbl>
    <w:p w14:paraId="353D623A" w14:textId="74261C8F" w:rsidR="00E24769" w:rsidRPr="00E24769" w:rsidRDefault="00E24769" w:rsidP="00E24769">
      <w:pPr>
        <w:autoSpaceDE w:val="0"/>
        <w:autoSpaceDN w:val="0"/>
        <w:adjustRightInd w:val="0"/>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32.2.2. </w:t>
      </w:r>
      <w:r w:rsidRPr="00E24769">
        <w:rPr>
          <w:rFonts w:ascii="Calibri" w:eastAsia="Times New Roman" w:hAnsi="Calibri" w:cs="Calibri"/>
          <w:b/>
          <w:bCs/>
          <w:iCs/>
          <w:color w:val="002060"/>
          <w:kern w:val="0"/>
          <w14:ligatures w14:val="none"/>
        </w:rPr>
        <w:t>Plano de Benefícios PBS - Telebras</w:t>
      </w:r>
    </w:p>
    <w:p w14:paraId="61838AE2" w14:textId="77777777" w:rsidR="00E24769" w:rsidRPr="00E24769" w:rsidRDefault="00E24769" w:rsidP="00E24769">
      <w:pPr>
        <w:autoSpaceDE w:val="0"/>
        <w:autoSpaceDN w:val="0"/>
        <w:adjustRightInd w:val="0"/>
        <w:spacing w:after="0" w:line="240" w:lineRule="auto"/>
        <w:jc w:val="both"/>
        <w:rPr>
          <w:rFonts w:ascii="Calibri" w:eastAsia="Times New Roman" w:hAnsi="Calibri" w:cs="Calibri"/>
          <w:iCs/>
          <w:color w:val="002060"/>
          <w:kern w:val="0"/>
          <w14:ligatures w14:val="none"/>
        </w:rPr>
      </w:pPr>
      <w:r w:rsidRPr="00E24769">
        <w:rPr>
          <w:rFonts w:ascii="Calibri" w:eastAsia="Times New Roman" w:hAnsi="Calibri" w:cs="Calibri"/>
          <w:iCs/>
          <w:color w:val="002060"/>
          <w:kern w:val="0"/>
          <w14:ligatures w14:val="none"/>
        </w:rPr>
        <w:t>O plano de Benefícios PBS Telebrás (CNPB nº 20.000.019-47) é estruturado na modalidade de benefício definido, sendo patrocinado pela Telebrás, nos termos dos convênios de adesão, regulamentos e estatuto relativos ao mencionado plano. O plano oferece rendas vitalícias de aposentadoria, auxílio-doença, auxílio-reclusão, bem como pagamentos únicos de pecúlios por morte, conforme discriminados no regulamento do plano de benefícios. Em resumo, o PBS Telebrás oferece aos seus participantes:</w:t>
      </w:r>
    </w:p>
    <w:p w14:paraId="0E73EC3A" w14:textId="77777777" w:rsidR="00E24769" w:rsidRPr="00E24769" w:rsidRDefault="00E24769" w:rsidP="00E24769">
      <w:pPr>
        <w:numPr>
          <w:ilvl w:val="0"/>
          <w:numId w:val="10"/>
        </w:numPr>
        <w:autoSpaceDE w:val="0"/>
        <w:autoSpaceDN w:val="0"/>
        <w:adjustRightInd w:val="0"/>
        <w:spacing w:after="0" w:line="240" w:lineRule="auto"/>
        <w:jc w:val="both"/>
        <w:rPr>
          <w:rFonts w:ascii="Calibri" w:eastAsia="Times New Roman" w:hAnsi="Calibri" w:cs="Calibri"/>
          <w:iCs/>
          <w:color w:val="002060"/>
          <w:kern w:val="0"/>
          <w:lang w:val="en-US"/>
          <w14:ligatures w14:val="none"/>
        </w:rPr>
      </w:pPr>
      <w:proofErr w:type="spellStart"/>
      <w:r w:rsidRPr="00E24769">
        <w:rPr>
          <w:rFonts w:ascii="Calibri" w:eastAsia="Times New Roman" w:hAnsi="Calibri" w:cs="Calibri"/>
          <w:iCs/>
          <w:color w:val="002060"/>
          <w:kern w:val="0"/>
          <w:lang w:val="en-US"/>
          <w14:ligatures w14:val="none"/>
        </w:rPr>
        <w:t>Aposentadoria</w:t>
      </w:r>
      <w:proofErr w:type="spellEnd"/>
      <w:r w:rsidRPr="00E24769">
        <w:rPr>
          <w:rFonts w:ascii="Calibri" w:eastAsia="Times New Roman" w:hAnsi="Calibri" w:cs="Calibri"/>
          <w:iCs/>
          <w:color w:val="002060"/>
          <w:kern w:val="0"/>
          <w:lang w:val="en-US"/>
          <w14:ligatures w14:val="none"/>
        </w:rPr>
        <w:t xml:space="preserve"> </w:t>
      </w:r>
      <w:proofErr w:type="spellStart"/>
      <w:r w:rsidRPr="00E24769">
        <w:rPr>
          <w:rFonts w:ascii="Calibri" w:eastAsia="Times New Roman" w:hAnsi="Calibri" w:cs="Calibri"/>
          <w:iCs/>
          <w:color w:val="002060"/>
          <w:kern w:val="0"/>
          <w:lang w:val="en-US"/>
          <w14:ligatures w14:val="none"/>
        </w:rPr>
        <w:t>por</w:t>
      </w:r>
      <w:proofErr w:type="spellEnd"/>
      <w:r w:rsidRPr="00E24769">
        <w:rPr>
          <w:rFonts w:ascii="Calibri" w:eastAsia="Times New Roman" w:hAnsi="Calibri" w:cs="Calibri"/>
          <w:iCs/>
          <w:color w:val="002060"/>
          <w:kern w:val="0"/>
          <w:lang w:val="en-US"/>
          <w14:ligatures w14:val="none"/>
        </w:rPr>
        <w:t xml:space="preserve"> </w:t>
      </w:r>
      <w:proofErr w:type="spellStart"/>
      <w:r w:rsidRPr="00E24769">
        <w:rPr>
          <w:rFonts w:ascii="Calibri" w:eastAsia="Times New Roman" w:hAnsi="Calibri" w:cs="Calibri"/>
          <w:iCs/>
          <w:color w:val="002060"/>
          <w:kern w:val="0"/>
          <w:lang w:val="en-US"/>
          <w14:ligatures w14:val="none"/>
        </w:rPr>
        <w:t>idade</w:t>
      </w:r>
      <w:proofErr w:type="spellEnd"/>
    </w:p>
    <w:p w14:paraId="103A24AC" w14:textId="77777777" w:rsidR="00E24769" w:rsidRPr="00E24769" w:rsidRDefault="00E24769" w:rsidP="00E24769">
      <w:pPr>
        <w:numPr>
          <w:ilvl w:val="0"/>
          <w:numId w:val="10"/>
        </w:numPr>
        <w:autoSpaceDE w:val="0"/>
        <w:autoSpaceDN w:val="0"/>
        <w:adjustRightInd w:val="0"/>
        <w:spacing w:after="0" w:line="240" w:lineRule="auto"/>
        <w:jc w:val="both"/>
        <w:rPr>
          <w:rFonts w:ascii="Calibri" w:eastAsia="Times New Roman" w:hAnsi="Calibri" w:cs="Calibri"/>
          <w:iCs/>
          <w:color w:val="002060"/>
          <w:kern w:val="0"/>
          <w:lang w:val="en-US"/>
          <w14:ligatures w14:val="none"/>
        </w:rPr>
      </w:pPr>
      <w:proofErr w:type="spellStart"/>
      <w:r w:rsidRPr="00E24769">
        <w:rPr>
          <w:rFonts w:ascii="Calibri" w:eastAsia="Times New Roman" w:hAnsi="Calibri" w:cs="Calibri"/>
          <w:iCs/>
          <w:color w:val="002060"/>
          <w:kern w:val="0"/>
          <w:lang w:val="en-US"/>
          <w14:ligatures w14:val="none"/>
        </w:rPr>
        <w:t>Aposentadoria</w:t>
      </w:r>
      <w:proofErr w:type="spellEnd"/>
      <w:r w:rsidRPr="00E24769">
        <w:rPr>
          <w:rFonts w:ascii="Calibri" w:eastAsia="Times New Roman" w:hAnsi="Calibri" w:cs="Calibri"/>
          <w:iCs/>
          <w:color w:val="002060"/>
          <w:kern w:val="0"/>
          <w:lang w:val="en-US"/>
          <w14:ligatures w14:val="none"/>
        </w:rPr>
        <w:t xml:space="preserve"> </w:t>
      </w:r>
      <w:proofErr w:type="spellStart"/>
      <w:r w:rsidRPr="00E24769">
        <w:rPr>
          <w:rFonts w:ascii="Calibri" w:eastAsia="Times New Roman" w:hAnsi="Calibri" w:cs="Calibri"/>
          <w:iCs/>
          <w:color w:val="002060"/>
          <w:kern w:val="0"/>
          <w:lang w:val="en-US"/>
          <w14:ligatures w14:val="none"/>
        </w:rPr>
        <w:t>por</w:t>
      </w:r>
      <w:proofErr w:type="spellEnd"/>
      <w:r w:rsidRPr="00E24769">
        <w:rPr>
          <w:rFonts w:ascii="Calibri" w:eastAsia="Times New Roman" w:hAnsi="Calibri" w:cs="Calibri"/>
          <w:iCs/>
          <w:color w:val="002060"/>
          <w:kern w:val="0"/>
          <w:lang w:val="en-US"/>
          <w14:ligatures w14:val="none"/>
        </w:rPr>
        <w:t xml:space="preserve"> tempo de </w:t>
      </w:r>
      <w:proofErr w:type="spellStart"/>
      <w:r w:rsidRPr="00E24769">
        <w:rPr>
          <w:rFonts w:ascii="Calibri" w:eastAsia="Times New Roman" w:hAnsi="Calibri" w:cs="Calibri"/>
          <w:iCs/>
          <w:color w:val="002060"/>
          <w:kern w:val="0"/>
          <w:lang w:val="en-US"/>
          <w14:ligatures w14:val="none"/>
        </w:rPr>
        <w:t>serviço</w:t>
      </w:r>
      <w:proofErr w:type="spellEnd"/>
    </w:p>
    <w:p w14:paraId="219D856C" w14:textId="77777777" w:rsidR="00E24769" w:rsidRPr="00E24769" w:rsidRDefault="00E24769" w:rsidP="00E24769">
      <w:pPr>
        <w:numPr>
          <w:ilvl w:val="0"/>
          <w:numId w:val="10"/>
        </w:numPr>
        <w:autoSpaceDE w:val="0"/>
        <w:autoSpaceDN w:val="0"/>
        <w:adjustRightInd w:val="0"/>
        <w:spacing w:after="0" w:line="240" w:lineRule="auto"/>
        <w:jc w:val="both"/>
        <w:rPr>
          <w:rFonts w:ascii="Calibri" w:eastAsia="Times New Roman" w:hAnsi="Calibri" w:cs="Calibri"/>
          <w:iCs/>
          <w:color w:val="002060"/>
          <w:kern w:val="0"/>
          <w14:ligatures w14:val="none"/>
        </w:rPr>
      </w:pPr>
      <w:r w:rsidRPr="00E24769">
        <w:rPr>
          <w:rFonts w:ascii="Calibri" w:eastAsia="Times New Roman" w:hAnsi="Calibri" w:cs="Calibri"/>
          <w:iCs/>
          <w:color w:val="002060"/>
          <w:kern w:val="0"/>
          <w14:ligatures w14:val="none"/>
        </w:rPr>
        <w:t>Aposentadoria por invalidez</w:t>
      </w:r>
    </w:p>
    <w:p w14:paraId="331436C9" w14:textId="77777777" w:rsidR="00E24769" w:rsidRPr="00E24769" w:rsidRDefault="00E24769" w:rsidP="00E24769">
      <w:pPr>
        <w:numPr>
          <w:ilvl w:val="0"/>
          <w:numId w:val="10"/>
        </w:numPr>
        <w:autoSpaceDE w:val="0"/>
        <w:autoSpaceDN w:val="0"/>
        <w:adjustRightInd w:val="0"/>
        <w:spacing w:after="0" w:line="240" w:lineRule="auto"/>
        <w:jc w:val="both"/>
        <w:rPr>
          <w:rFonts w:ascii="Calibri" w:eastAsia="Times New Roman" w:hAnsi="Calibri" w:cs="Calibri"/>
          <w:iCs/>
          <w:color w:val="002060"/>
          <w:kern w:val="0"/>
          <w14:ligatures w14:val="none"/>
        </w:rPr>
      </w:pPr>
      <w:r w:rsidRPr="00E24769">
        <w:rPr>
          <w:rFonts w:ascii="Calibri" w:eastAsia="Times New Roman" w:hAnsi="Calibri" w:cs="Calibri"/>
          <w:iCs/>
          <w:color w:val="002060"/>
          <w:kern w:val="0"/>
          <w14:ligatures w14:val="none"/>
        </w:rPr>
        <w:t>Aposentadoria especial</w:t>
      </w:r>
    </w:p>
    <w:p w14:paraId="2986797D" w14:textId="77777777" w:rsidR="00E24769" w:rsidRPr="00E24769" w:rsidRDefault="00E24769" w:rsidP="00E24769">
      <w:pPr>
        <w:numPr>
          <w:ilvl w:val="0"/>
          <w:numId w:val="10"/>
        </w:numPr>
        <w:autoSpaceDE w:val="0"/>
        <w:autoSpaceDN w:val="0"/>
        <w:adjustRightInd w:val="0"/>
        <w:spacing w:after="0" w:line="240" w:lineRule="auto"/>
        <w:jc w:val="both"/>
        <w:rPr>
          <w:rFonts w:ascii="Calibri" w:eastAsia="Times New Roman" w:hAnsi="Calibri" w:cs="Calibri"/>
          <w:iCs/>
          <w:color w:val="002060"/>
          <w:kern w:val="0"/>
          <w14:ligatures w14:val="none"/>
        </w:rPr>
      </w:pPr>
      <w:r w:rsidRPr="00E24769">
        <w:rPr>
          <w:rFonts w:ascii="Calibri" w:eastAsia="Times New Roman" w:hAnsi="Calibri" w:cs="Calibri"/>
          <w:iCs/>
          <w:color w:val="002060"/>
          <w:kern w:val="0"/>
          <w14:ligatures w14:val="none"/>
        </w:rPr>
        <w:t>Auxílio-doença</w:t>
      </w:r>
    </w:p>
    <w:p w14:paraId="26EF7A4B" w14:textId="77777777" w:rsidR="00E24769" w:rsidRPr="00E24769" w:rsidRDefault="00E24769" w:rsidP="00E24769">
      <w:pPr>
        <w:numPr>
          <w:ilvl w:val="0"/>
          <w:numId w:val="10"/>
        </w:numPr>
        <w:autoSpaceDE w:val="0"/>
        <w:autoSpaceDN w:val="0"/>
        <w:adjustRightInd w:val="0"/>
        <w:spacing w:after="0" w:line="240" w:lineRule="auto"/>
        <w:jc w:val="both"/>
        <w:rPr>
          <w:rFonts w:ascii="Calibri" w:eastAsia="Times New Roman" w:hAnsi="Calibri" w:cs="Calibri"/>
          <w:iCs/>
          <w:color w:val="002060"/>
          <w:kern w:val="0"/>
          <w14:ligatures w14:val="none"/>
        </w:rPr>
      </w:pPr>
      <w:r w:rsidRPr="00E24769">
        <w:rPr>
          <w:rFonts w:ascii="Calibri" w:eastAsia="Times New Roman" w:hAnsi="Calibri" w:cs="Calibri"/>
          <w:iCs/>
          <w:color w:val="002060"/>
          <w:kern w:val="0"/>
          <w14:ligatures w14:val="none"/>
        </w:rPr>
        <w:lastRenderedPageBreak/>
        <w:t>Auxílio-reclusão</w:t>
      </w:r>
    </w:p>
    <w:p w14:paraId="4C334678" w14:textId="77777777" w:rsidR="00E24769" w:rsidRPr="00E24769" w:rsidRDefault="00E24769" w:rsidP="00E24769">
      <w:pPr>
        <w:numPr>
          <w:ilvl w:val="0"/>
          <w:numId w:val="10"/>
        </w:numPr>
        <w:autoSpaceDE w:val="0"/>
        <w:autoSpaceDN w:val="0"/>
        <w:adjustRightInd w:val="0"/>
        <w:spacing w:after="0" w:line="240" w:lineRule="auto"/>
        <w:jc w:val="both"/>
        <w:rPr>
          <w:rFonts w:ascii="Calibri" w:eastAsia="Times New Roman" w:hAnsi="Calibri" w:cs="Calibri"/>
          <w:iCs/>
          <w:color w:val="002060"/>
          <w:kern w:val="0"/>
          <w14:ligatures w14:val="none"/>
        </w:rPr>
      </w:pPr>
      <w:r w:rsidRPr="00E24769">
        <w:rPr>
          <w:rFonts w:ascii="Calibri" w:eastAsia="Times New Roman" w:hAnsi="Calibri" w:cs="Calibri"/>
          <w:iCs/>
          <w:color w:val="002060"/>
          <w:kern w:val="0"/>
          <w14:ligatures w14:val="none"/>
        </w:rPr>
        <w:t>Abono anual</w:t>
      </w:r>
    </w:p>
    <w:p w14:paraId="66233E69" w14:textId="77777777" w:rsidR="00E24769" w:rsidRPr="00E24769" w:rsidRDefault="00E24769" w:rsidP="00E24769">
      <w:pPr>
        <w:numPr>
          <w:ilvl w:val="0"/>
          <w:numId w:val="10"/>
        </w:numPr>
        <w:autoSpaceDE w:val="0"/>
        <w:autoSpaceDN w:val="0"/>
        <w:adjustRightInd w:val="0"/>
        <w:spacing w:after="0" w:line="240" w:lineRule="auto"/>
        <w:jc w:val="both"/>
        <w:rPr>
          <w:rFonts w:ascii="Calibri" w:eastAsia="Times New Roman" w:hAnsi="Calibri" w:cs="Calibri"/>
          <w:iCs/>
          <w:color w:val="002060"/>
          <w:kern w:val="0"/>
          <w14:ligatures w14:val="none"/>
        </w:rPr>
      </w:pPr>
      <w:r w:rsidRPr="00E24769">
        <w:rPr>
          <w:rFonts w:ascii="Calibri" w:eastAsia="Times New Roman" w:hAnsi="Calibri" w:cs="Calibri"/>
          <w:iCs/>
          <w:color w:val="002060"/>
          <w:kern w:val="0"/>
          <w14:ligatures w14:val="none"/>
        </w:rPr>
        <w:t>Pensão por morte</w:t>
      </w:r>
    </w:p>
    <w:p w14:paraId="711E33A9" w14:textId="77777777" w:rsidR="00E24769" w:rsidRPr="00E24769" w:rsidRDefault="00E24769" w:rsidP="00E24769">
      <w:pPr>
        <w:numPr>
          <w:ilvl w:val="0"/>
          <w:numId w:val="10"/>
        </w:numPr>
        <w:autoSpaceDE w:val="0"/>
        <w:autoSpaceDN w:val="0"/>
        <w:adjustRightInd w:val="0"/>
        <w:spacing w:after="0" w:line="240" w:lineRule="auto"/>
        <w:jc w:val="both"/>
        <w:rPr>
          <w:rFonts w:ascii="Calibri" w:eastAsia="Times New Roman" w:hAnsi="Calibri" w:cs="Calibri"/>
          <w:iCs/>
          <w:color w:val="002060"/>
          <w:kern w:val="0"/>
          <w14:ligatures w14:val="none"/>
        </w:rPr>
      </w:pPr>
      <w:r w:rsidRPr="00E24769">
        <w:rPr>
          <w:rFonts w:ascii="Calibri" w:eastAsia="Times New Roman" w:hAnsi="Calibri" w:cs="Calibri"/>
          <w:iCs/>
          <w:color w:val="002060"/>
          <w:kern w:val="0"/>
          <w14:ligatures w14:val="none"/>
        </w:rPr>
        <w:t>Pecúlio por morte</w:t>
      </w:r>
    </w:p>
    <w:p w14:paraId="2EB0BB5A" w14:textId="77777777" w:rsidR="00E24769" w:rsidRPr="00E24769" w:rsidRDefault="00E24769" w:rsidP="00E24769">
      <w:pPr>
        <w:autoSpaceDE w:val="0"/>
        <w:autoSpaceDN w:val="0"/>
        <w:adjustRightInd w:val="0"/>
        <w:spacing w:after="0" w:line="240" w:lineRule="auto"/>
        <w:jc w:val="both"/>
        <w:rPr>
          <w:rFonts w:ascii="Calibri" w:eastAsia="Times New Roman" w:hAnsi="Calibri" w:cs="Calibri"/>
          <w:iCs/>
          <w:color w:val="002060"/>
          <w:kern w:val="0"/>
          <w14:ligatures w14:val="none"/>
        </w:rPr>
      </w:pPr>
      <w:r w:rsidRPr="00E24769">
        <w:rPr>
          <w:rFonts w:ascii="Calibri" w:eastAsia="Times New Roman" w:hAnsi="Calibri" w:cs="Calibri"/>
          <w:iCs/>
          <w:color w:val="002060"/>
          <w:kern w:val="0"/>
          <w14:ligatures w14:val="none"/>
        </w:rPr>
        <w:t>As regras de elegibilidade e de cálculo dos benefícios estão expressas no respectivo regulamento, cuja versão que deu suporte a este trabalho é denominada de Regulamento do Plano de Benefícios PBS-Telebrás, estando vigente desde 2008, cuja aprovação pela Secretaria de Previdência Complementar se deu através da Portaria nº 2.537, de 25 de setembro de 2008.</w:t>
      </w:r>
    </w:p>
    <w:p w14:paraId="4D104755" w14:textId="77777777" w:rsidR="00E24769" w:rsidRPr="00E24769" w:rsidRDefault="00E24769" w:rsidP="00E24769">
      <w:pPr>
        <w:autoSpaceDE w:val="0"/>
        <w:autoSpaceDN w:val="0"/>
        <w:adjustRightInd w:val="0"/>
        <w:spacing w:after="0" w:line="240" w:lineRule="auto"/>
        <w:jc w:val="both"/>
        <w:rPr>
          <w:rFonts w:ascii="Calibri" w:eastAsia="Times New Roman" w:hAnsi="Calibri" w:cs="Calibri"/>
          <w:iCs/>
          <w:color w:val="002060"/>
          <w:kern w:val="0"/>
          <w14:ligatures w14:val="none"/>
        </w:rPr>
      </w:pPr>
      <w:r w:rsidRPr="00E24769">
        <w:rPr>
          <w:rFonts w:ascii="Calibri" w:eastAsia="Times New Roman" w:hAnsi="Calibri" w:cs="Calibri"/>
          <w:iCs/>
          <w:color w:val="002060"/>
          <w:kern w:val="0"/>
          <w14:ligatures w14:val="none"/>
        </w:rPr>
        <w:t>O plano de custeio previsto em regulamento é composto pelas seguintes fontes:</w:t>
      </w:r>
    </w:p>
    <w:p w14:paraId="048D6757" w14:textId="77777777" w:rsidR="00E24769" w:rsidRPr="00E24769" w:rsidRDefault="00E24769" w:rsidP="00E24769">
      <w:pPr>
        <w:numPr>
          <w:ilvl w:val="0"/>
          <w:numId w:val="11"/>
        </w:numPr>
        <w:autoSpaceDE w:val="0"/>
        <w:autoSpaceDN w:val="0"/>
        <w:adjustRightInd w:val="0"/>
        <w:spacing w:after="0" w:line="240" w:lineRule="auto"/>
        <w:jc w:val="both"/>
        <w:rPr>
          <w:rFonts w:ascii="Calibri" w:eastAsia="Times New Roman" w:hAnsi="Calibri" w:cs="Calibri"/>
          <w:iCs/>
          <w:color w:val="002060"/>
          <w:kern w:val="0"/>
          <w14:ligatures w14:val="none"/>
        </w:rPr>
      </w:pPr>
      <w:r w:rsidRPr="00E24769">
        <w:rPr>
          <w:rFonts w:ascii="Calibri" w:eastAsia="Times New Roman" w:hAnsi="Calibri" w:cs="Calibri"/>
          <w:iCs/>
          <w:color w:val="002060"/>
          <w:kern w:val="0"/>
          <w14:ligatures w14:val="none"/>
        </w:rPr>
        <w:t>Contribuições mensais, de participantes ativos sobre o salário-de-participação;</w:t>
      </w:r>
    </w:p>
    <w:p w14:paraId="3FC237D1" w14:textId="77777777" w:rsidR="00E24769" w:rsidRPr="00E24769" w:rsidRDefault="00E24769" w:rsidP="00E24769">
      <w:pPr>
        <w:numPr>
          <w:ilvl w:val="0"/>
          <w:numId w:val="11"/>
        </w:numPr>
        <w:autoSpaceDE w:val="0"/>
        <w:autoSpaceDN w:val="0"/>
        <w:adjustRightInd w:val="0"/>
        <w:spacing w:after="0" w:line="240" w:lineRule="auto"/>
        <w:jc w:val="both"/>
        <w:rPr>
          <w:rFonts w:ascii="Calibri" w:eastAsia="Times New Roman" w:hAnsi="Calibri" w:cs="Calibri"/>
          <w:iCs/>
          <w:color w:val="002060"/>
          <w:kern w:val="0"/>
          <w14:ligatures w14:val="none"/>
        </w:rPr>
      </w:pPr>
      <w:r w:rsidRPr="00E24769">
        <w:rPr>
          <w:rFonts w:ascii="Calibri" w:eastAsia="Times New Roman" w:hAnsi="Calibri" w:cs="Calibri"/>
          <w:iCs/>
          <w:color w:val="002060"/>
          <w:kern w:val="0"/>
          <w14:ligatures w14:val="none"/>
        </w:rPr>
        <w:t>Contribuição mensal de participantes assistidos que recebem abono de aposentadoria (mais de 30 anos de vinculação ao INSS), contribuem com percentual a ser fixado anualmente no plano de custeio, incidente sobre o benefício global pago pela SISTEL, limitado ao valor do abono;</w:t>
      </w:r>
    </w:p>
    <w:p w14:paraId="18E42425" w14:textId="77777777" w:rsidR="00E24769" w:rsidRPr="00E24769" w:rsidRDefault="00E24769" w:rsidP="00E24769">
      <w:pPr>
        <w:numPr>
          <w:ilvl w:val="0"/>
          <w:numId w:val="11"/>
        </w:numPr>
        <w:autoSpaceDE w:val="0"/>
        <w:autoSpaceDN w:val="0"/>
        <w:adjustRightInd w:val="0"/>
        <w:spacing w:after="0" w:line="240" w:lineRule="auto"/>
        <w:jc w:val="both"/>
        <w:rPr>
          <w:rFonts w:ascii="Calibri" w:eastAsia="Times New Roman" w:hAnsi="Calibri" w:cs="Calibri"/>
          <w:iCs/>
          <w:color w:val="002060"/>
          <w:kern w:val="0"/>
          <w14:ligatures w14:val="none"/>
        </w:rPr>
      </w:pPr>
      <w:r w:rsidRPr="00E24769">
        <w:rPr>
          <w:rFonts w:ascii="Calibri" w:eastAsia="Times New Roman" w:hAnsi="Calibri" w:cs="Calibri"/>
          <w:iCs/>
          <w:color w:val="002060"/>
          <w:kern w:val="0"/>
          <w14:ligatures w14:val="none"/>
        </w:rPr>
        <w:t>Contribuição mensal das patrocinadoras com percentual sobre a folha mensal de salário de todos os participantes definidos anualmente;</w:t>
      </w:r>
    </w:p>
    <w:p w14:paraId="034B6368" w14:textId="77777777" w:rsidR="00E24769" w:rsidRPr="00E24769" w:rsidRDefault="00E24769" w:rsidP="00E24769">
      <w:pPr>
        <w:numPr>
          <w:ilvl w:val="0"/>
          <w:numId w:val="11"/>
        </w:numPr>
        <w:autoSpaceDE w:val="0"/>
        <w:autoSpaceDN w:val="0"/>
        <w:adjustRightInd w:val="0"/>
        <w:spacing w:after="0" w:line="240" w:lineRule="auto"/>
        <w:jc w:val="both"/>
        <w:rPr>
          <w:rFonts w:ascii="Calibri" w:eastAsia="Times New Roman" w:hAnsi="Calibri" w:cs="Calibri"/>
          <w:iCs/>
          <w:color w:val="002060"/>
          <w:kern w:val="0"/>
          <w14:ligatures w14:val="none"/>
        </w:rPr>
      </w:pPr>
      <w:r w:rsidRPr="00E24769">
        <w:rPr>
          <w:rFonts w:ascii="Calibri" w:eastAsia="Times New Roman" w:hAnsi="Calibri" w:cs="Calibri"/>
          <w:iCs/>
          <w:color w:val="002060"/>
          <w:kern w:val="0"/>
          <w14:ligatures w14:val="none"/>
        </w:rPr>
        <w:t>Contribuições extraordinárias destinadas ao custeio de déficits, serviço passado e outras finalidades não incluídas nas contribuições normais;</w:t>
      </w:r>
    </w:p>
    <w:p w14:paraId="7E313696" w14:textId="77777777" w:rsidR="00E24769" w:rsidRPr="00E24769" w:rsidRDefault="00E24769" w:rsidP="00E24769">
      <w:pPr>
        <w:numPr>
          <w:ilvl w:val="0"/>
          <w:numId w:val="11"/>
        </w:numPr>
        <w:autoSpaceDE w:val="0"/>
        <w:autoSpaceDN w:val="0"/>
        <w:adjustRightInd w:val="0"/>
        <w:spacing w:after="0" w:line="240" w:lineRule="auto"/>
        <w:jc w:val="both"/>
        <w:rPr>
          <w:rFonts w:ascii="Calibri" w:eastAsia="Times New Roman" w:hAnsi="Calibri" w:cs="Calibri"/>
          <w:iCs/>
          <w:color w:val="002060"/>
          <w:kern w:val="0"/>
          <w14:ligatures w14:val="none"/>
        </w:rPr>
      </w:pPr>
      <w:proofErr w:type="spellStart"/>
      <w:r w:rsidRPr="00E24769">
        <w:rPr>
          <w:rFonts w:ascii="Calibri" w:eastAsia="Times New Roman" w:hAnsi="Calibri" w:cs="Calibri"/>
          <w:iCs/>
          <w:color w:val="002060"/>
          <w:kern w:val="0"/>
          <w14:ligatures w14:val="none"/>
        </w:rPr>
        <w:t>Jóia</w:t>
      </w:r>
      <w:proofErr w:type="spellEnd"/>
      <w:r w:rsidRPr="00E24769">
        <w:rPr>
          <w:rFonts w:ascii="Calibri" w:eastAsia="Times New Roman" w:hAnsi="Calibri" w:cs="Calibri"/>
          <w:iCs/>
          <w:color w:val="002060"/>
          <w:kern w:val="0"/>
          <w14:ligatures w14:val="none"/>
        </w:rPr>
        <w:t xml:space="preserve"> de participantes ativos, determinada atuarialmente;</w:t>
      </w:r>
    </w:p>
    <w:p w14:paraId="41082656" w14:textId="77777777" w:rsidR="00E24769" w:rsidRPr="00E24769" w:rsidRDefault="00E24769" w:rsidP="00E24769">
      <w:pPr>
        <w:numPr>
          <w:ilvl w:val="0"/>
          <w:numId w:val="11"/>
        </w:numPr>
        <w:autoSpaceDE w:val="0"/>
        <w:autoSpaceDN w:val="0"/>
        <w:adjustRightInd w:val="0"/>
        <w:spacing w:after="0" w:line="240" w:lineRule="auto"/>
        <w:jc w:val="both"/>
        <w:rPr>
          <w:rFonts w:ascii="Calibri" w:eastAsia="Times New Roman" w:hAnsi="Calibri" w:cs="Calibri"/>
          <w:iCs/>
          <w:color w:val="002060"/>
          <w:kern w:val="0"/>
          <w14:ligatures w14:val="none"/>
        </w:rPr>
      </w:pPr>
      <w:r w:rsidRPr="00E24769">
        <w:rPr>
          <w:rFonts w:ascii="Calibri" w:eastAsia="Times New Roman" w:hAnsi="Calibri" w:cs="Calibri"/>
          <w:iCs/>
          <w:color w:val="002060"/>
          <w:kern w:val="0"/>
          <w14:ligatures w14:val="none"/>
        </w:rPr>
        <w:t>Dotação da patrocinadora; e</w:t>
      </w:r>
    </w:p>
    <w:p w14:paraId="70B375CD" w14:textId="77777777" w:rsidR="00E24769" w:rsidRPr="00E24769" w:rsidRDefault="00E24769" w:rsidP="00E24769">
      <w:pPr>
        <w:numPr>
          <w:ilvl w:val="0"/>
          <w:numId w:val="11"/>
        </w:numPr>
        <w:autoSpaceDE w:val="0"/>
        <w:autoSpaceDN w:val="0"/>
        <w:adjustRightInd w:val="0"/>
        <w:spacing w:after="0" w:line="240" w:lineRule="auto"/>
        <w:jc w:val="both"/>
        <w:rPr>
          <w:rFonts w:ascii="Calibri" w:eastAsia="Times New Roman" w:hAnsi="Calibri" w:cs="Calibri"/>
          <w:iCs/>
          <w:color w:val="002060"/>
          <w:kern w:val="0"/>
          <w14:ligatures w14:val="none"/>
        </w:rPr>
      </w:pPr>
      <w:r w:rsidRPr="00E24769">
        <w:rPr>
          <w:rFonts w:ascii="Calibri" w:eastAsia="Times New Roman" w:hAnsi="Calibri" w:cs="Calibri"/>
          <w:iCs/>
          <w:color w:val="002060"/>
          <w:kern w:val="0"/>
          <w14:ligatures w14:val="none"/>
        </w:rPr>
        <w:t>Receitas de aplicação do patrimônio.</w:t>
      </w:r>
    </w:p>
    <w:p w14:paraId="2FBB1B08" w14:textId="77777777" w:rsidR="00E24769" w:rsidRPr="00E24769" w:rsidRDefault="00E24769" w:rsidP="00E24769">
      <w:pPr>
        <w:autoSpaceDE w:val="0"/>
        <w:autoSpaceDN w:val="0"/>
        <w:adjustRightInd w:val="0"/>
        <w:spacing w:after="0" w:line="240" w:lineRule="auto"/>
        <w:jc w:val="both"/>
        <w:rPr>
          <w:rFonts w:ascii="Calibri" w:eastAsia="Times New Roman" w:hAnsi="Calibri" w:cs="Calibri"/>
          <w:iCs/>
          <w:color w:val="002060"/>
          <w:kern w:val="0"/>
          <w14:ligatures w14:val="none"/>
        </w:rPr>
      </w:pPr>
      <w:r w:rsidRPr="00E24769">
        <w:rPr>
          <w:rFonts w:ascii="Calibri" w:eastAsia="Times New Roman" w:hAnsi="Calibri" w:cs="Calibri"/>
          <w:iCs/>
          <w:color w:val="002060"/>
          <w:kern w:val="0"/>
          <w14:ligatures w14:val="none"/>
        </w:rPr>
        <w:t>O plano de benefícios PBS Telebrás contava, em 31 de dezembro de 2023 com 6 participantes ativos e 110 assistidos, conforme apresentado abaixo.</w:t>
      </w:r>
    </w:p>
    <w:tbl>
      <w:tblPr>
        <w:tblW w:w="5000" w:type="pct"/>
        <w:tblCellMar>
          <w:left w:w="70" w:type="dxa"/>
          <w:right w:w="70" w:type="dxa"/>
        </w:tblCellMar>
        <w:tblLook w:val="04A0" w:firstRow="1" w:lastRow="0" w:firstColumn="1" w:lastColumn="0" w:noHBand="0" w:noVBand="1"/>
      </w:tblPr>
      <w:tblGrid>
        <w:gridCol w:w="6325"/>
        <w:gridCol w:w="1794"/>
        <w:gridCol w:w="1642"/>
      </w:tblGrid>
      <w:tr w:rsidR="00E24769" w:rsidRPr="00E24769" w14:paraId="58D687F6" w14:textId="77777777" w:rsidTr="00446A14">
        <w:trPr>
          <w:trHeight w:val="238"/>
        </w:trPr>
        <w:tc>
          <w:tcPr>
            <w:tcW w:w="3240" w:type="pct"/>
            <w:tcBorders>
              <w:top w:val="single" w:sz="8" w:space="0" w:color="000000"/>
              <w:left w:val="single" w:sz="8" w:space="0" w:color="000000"/>
              <w:bottom w:val="single" w:sz="8" w:space="0" w:color="000000"/>
              <w:right w:val="single" w:sz="8" w:space="0" w:color="000000"/>
            </w:tcBorders>
            <w:shd w:val="clear" w:color="000000" w:fill="BFBFBF"/>
            <w:vAlign w:val="center"/>
            <w:hideMark/>
          </w:tcPr>
          <w:p w14:paraId="68A6D471" w14:textId="77777777" w:rsidR="00E24769" w:rsidRPr="00E24769" w:rsidRDefault="00E24769" w:rsidP="00E24769">
            <w:pPr>
              <w:spacing w:after="0" w:line="240" w:lineRule="auto"/>
              <w:jc w:val="center"/>
              <w:rPr>
                <w:rFonts w:ascii="Arial" w:eastAsia="Times New Roman" w:hAnsi="Arial" w:cs="Arial"/>
                <w:b/>
                <w:bCs/>
                <w:color w:val="000000"/>
                <w:kern w:val="0"/>
                <w:sz w:val="18"/>
                <w:szCs w:val="18"/>
                <w:lang w:eastAsia="pt-BR"/>
                <w14:ligatures w14:val="none"/>
              </w:rPr>
            </w:pPr>
            <w:r w:rsidRPr="00E24769">
              <w:rPr>
                <w:rFonts w:ascii="Arial" w:eastAsia="Times New Roman" w:hAnsi="Arial" w:cs="Arial"/>
                <w:b/>
                <w:bCs/>
                <w:color w:val="000000"/>
                <w:kern w:val="0"/>
                <w:sz w:val="18"/>
                <w:szCs w:val="20"/>
                <w:lang w:eastAsia="pt-BR"/>
                <w14:ligatures w14:val="none"/>
              </w:rPr>
              <w:t>Participantes ativos</w:t>
            </w:r>
          </w:p>
        </w:tc>
        <w:tc>
          <w:tcPr>
            <w:tcW w:w="919" w:type="pct"/>
            <w:tcBorders>
              <w:top w:val="single" w:sz="8" w:space="0" w:color="000000"/>
              <w:left w:val="nil"/>
              <w:bottom w:val="single" w:sz="8" w:space="0" w:color="000000"/>
              <w:right w:val="single" w:sz="8" w:space="0" w:color="000000"/>
            </w:tcBorders>
            <w:shd w:val="clear" w:color="auto" w:fill="auto"/>
            <w:vAlign w:val="center"/>
            <w:hideMark/>
          </w:tcPr>
          <w:p w14:paraId="6330E2C4" w14:textId="77777777" w:rsidR="00E24769" w:rsidRPr="00E24769" w:rsidRDefault="00E24769" w:rsidP="00E24769">
            <w:pPr>
              <w:spacing w:after="0" w:line="240" w:lineRule="auto"/>
              <w:jc w:val="center"/>
              <w:rPr>
                <w:rFonts w:ascii="Arial" w:eastAsia="Times New Roman" w:hAnsi="Arial" w:cs="Arial"/>
                <w:b/>
                <w:bCs/>
                <w:color w:val="000000"/>
                <w:kern w:val="0"/>
                <w:sz w:val="18"/>
                <w:szCs w:val="18"/>
                <w:lang w:eastAsia="pt-BR"/>
                <w14:ligatures w14:val="none"/>
              </w:rPr>
            </w:pPr>
            <w:r w:rsidRPr="00E24769">
              <w:rPr>
                <w:rFonts w:ascii="Arial" w:eastAsia="Times New Roman" w:hAnsi="Arial" w:cs="Arial"/>
                <w:b/>
                <w:bCs/>
                <w:color w:val="000000"/>
                <w:kern w:val="0"/>
                <w:sz w:val="18"/>
                <w:szCs w:val="20"/>
                <w:lang w:eastAsia="pt-BR"/>
                <w14:ligatures w14:val="none"/>
              </w:rPr>
              <w:t>31/12/2023</w:t>
            </w:r>
          </w:p>
        </w:tc>
        <w:tc>
          <w:tcPr>
            <w:tcW w:w="841" w:type="pct"/>
            <w:tcBorders>
              <w:top w:val="single" w:sz="8" w:space="0" w:color="000000"/>
              <w:left w:val="nil"/>
              <w:bottom w:val="single" w:sz="8" w:space="0" w:color="000000"/>
              <w:right w:val="single" w:sz="8" w:space="0" w:color="000000"/>
            </w:tcBorders>
            <w:shd w:val="clear" w:color="auto" w:fill="auto"/>
            <w:vAlign w:val="center"/>
            <w:hideMark/>
          </w:tcPr>
          <w:p w14:paraId="657872BC" w14:textId="77777777" w:rsidR="00E24769" w:rsidRPr="00E24769" w:rsidRDefault="00E24769" w:rsidP="00E24769">
            <w:pPr>
              <w:spacing w:after="0" w:line="240" w:lineRule="auto"/>
              <w:jc w:val="center"/>
              <w:rPr>
                <w:rFonts w:ascii="Arial" w:eastAsia="Times New Roman" w:hAnsi="Arial" w:cs="Arial"/>
                <w:b/>
                <w:bCs/>
                <w:color w:val="000000"/>
                <w:kern w:val="0"/>
                <w:sz w:val="18"/>
                <w:szCs w:val="18"/>
                <w:lang w:eastAsia="pt-BR"/>
                <w14:ligatures w14:val="none"/>
              </w:rPr>
            </w:pPr>
            <w:r w:rsidRPr="00E24769">
              <w:rPr>
                <w:rFonts w:ascii="Arial" w:eastAsia="Times New Roman" w:hAnsi="Arial" w:cs="Arial"/>
                <w:b/>
                <w:bCs/>
                <w:color w:val="000000"/>
                <w:kern w:val="0"/>
                <w:sz w:val="18"/>
                <w:szCs w:val="20"/>
                <w:lang w:eastAsia="pt-BR"/>
                <w14:ligatures w14:val="none"/>
              </w:rPr>
              <w:t>31/12/2022</w:t>
            </w:r>
          </w:p>
        </w:tc>
      </w:tr>
      <w:tr w:rsidR="00E24769" w:rsidRPr="00E24769" w14:paraId="082F779E" w14:textId="77777777" w:rsidTr="00446A14">
        <w:trPr>
          <w:trHeight w:val="238"/>
        </w:trPr>
        <w:tc>
          <w:tcPr>
            <w:tcW w:w="3240" w:type="pct"/>
            <w:tcBorders>
              <w:top w:val="nil"/>
              <w:left w:val="single" w:sz="8" w:space="0" w:color="000000"/>
              <w:bottom w:val="single" w:sz="8" w:space="0" w:color="000000"/>
              <w:right w:val="single" w:sz="8" w:space="0" w:color="000000"/>
            </w:tcBorders>
            <w:shd w:val="clear" w:color="auto" w:fill="auto"/>
            <w:vAlign w:val="center"/>
            <w:hideMark/>
          </w:tcPr>
          <w:p w14:paraId="392AD743" w14:textId="77777777" w:rsidR="00E24769" w:rsidRPr="00E24769" w:rsidRDefault="00E24769" w:rsidP="00E24769">
            <w:pPr>
              <w:spacing w:after="0" w:line="240" w:lineRule="auto"/>
              <w:rPr>
                <w:rFonts w:ascii="Arial" w:eastAsia="Times New Roman" w:hAnsi="Arial" w:cs="Arial"/>
                <w:color w:val="000000"/>
                <w:kern w:val="0"/>
                <w:sz w:val="18"/>
                <w:szCs w:val="18"/>
                <w:lang w:eastAsia="pt-BR"/>
                <w14:ligatures w14:val="none"/>
              </w:rPr>
            </w:pPr>
            <w:r w:rsidRPr="00E24769">
              <w:rPr>
                <w:rFonts w:ascii="Arial" w:eastAsia="Times New Roman" w:hAnsi="Arial" w:cs="Arial"/>
                <w:color w:val="000000"/>
                <w:kern w:val="0"/>
                <w:sz w:val="18"/>
                <w:szCs w:val="20"/>
                <w:lang w:eastAsia="pt-BR"/>
                <w14:ligatures w14:val="none"/>
              </w:rPr>
              <w:t>Quantidade</w:t>
            </w:r>
          </w:p>
        </w:tc>
        <w:tc>
          <w:tcPr>
            <w:tcW w:w="919" w:type="pct"/>
            <w:tcBorders>
              <w:top w:val="nil"/>
              <w:left w:val="nil"/>
              <w:bottom w:val="single" w:sz="8" w:space="0" w:color="000000"/>
              <w:right w:val="single" w:sz="8" w:space="0" w:color="000000"/>
            </w:tcBorders>
            <w:shd w:val="clear" w:color="auto" w:fill="auto"/>
            <w:vAlign w:val="center"/>
            <w:hideMark/>
          </w:tcPr>
          <w:p w14:paraId="3B90F896" w14:textId="77777777" w:rsidR="00E24769" w:rsidRPr="00E24769" w:rsidRDefault="00E24769" w:rsidP="00E24769">
            <w:pPr>
              <w:spacing w:after="0" w:line="240" w:lineRule="auto"/>
              <w:jc w:val="right"/>
              <w:rPr>
                <w:rFonts w:ascii="Arial" w:eastAsia="Times New Roman" w:hAnsi="Arial" w:cs="Arial"/>
                <w:color w:val="000000"/>
                <w:kern w:val="0"/>
                <w:sz w:val="18"/>
                <w:szCs w:val="18"/>
                <w:lang w:eastAsia="pt-BR"/>
                <w14:ligatures w14:val="none"/>
              </w:rPr>
            </w:pPr>
            <w:r w:rsidRPr="00E24769">
              <w:rPr>
                <w:rFonts w:ascii="Arial" w:eastAsia="Times New Roman" w:hAnsi="Arial" w:cs="Arial"/>
                <w:color w:val="000000"/>
                <w:kern w:val="0"/>
                <w:sz w:val="18"/>
                <w:szCs w:val="18"/>
                <w:lang w:eastAsia="pt-BR"/>
                <w14:ligatures w14:val="none"/>
              </w:rPr>
              <w:t>6</w:t>
            </w:r>
          </w:p>
        </w:tc>
        <w:tc>
          <w:tcPr>
            <w:tcW w:w="841" w:type="pct"/>
            <w:tcBorders>
              <w:top w:val="nil"/>
              <w:left w:val="nil"/>
              <w:bottom w:val="single" w:sz="8" w:space="0" w:color="000000"/>
              <w:right w:val="single" w:sz="8" w:space="0" w:color="000000"/>
            </w:tcBorders>
            <w:shd w:val="clear" w:color="auto" w:fill="auto"/>
            <w:vAlign w:val="center"/>
            <w:hideMark/>
          </w:tcPr>
          <w:p w14:paraId="439D64C3" w14:textId="77777777" w:rsidR="00E24769" w:rsidRPr="00E24769" w:rsidRDefault="00E24769" w:rsidP="00E24769">
            <w:pPr>
              <w:spacing w:after="0" w:line="240" w:lineRule="auto"/>
              <w:jc w:val="right"/>
              <w:rPr>
                <w:rFonts w:ascii="Arial" w:eastAsia="Times New Roman" w:hAnsi="Arial" w:cs="Arial"/>
                <w:color w:val="000000"/>
                <w:kern w:val="0"/>
                <w:sz w:val="18"/>
                <w:szCs w:val="18"/>
                <w:lang w:eastAsia="pt-BR"/>
                <w14:ligatures w14:val="none"/>
              </w:rPr>
            </w:pPr>
            <w:r w:rsidRPr="00E24769">
              <w:rPr>
                <w:rFonts w:ascii="Arial" w:eastAsia="Times New Roman" w:hAnsi="Arial" w:cs="Arial"/>
                <w:color w:val="000000"/>
                <w:kern w:val="0"/>
                <w:sz w:val="18"/>
                <w:szCs w:val="18"/>
                <w:lang w:eastAsia="pt-BR"/>
                <w14:ligatures w14:val="none"/>
              </w:rPr>
              <w:t>6</w:t>
            </w:r>
          </w:p>
        </w:tc>
      </w:tr>
      <w:tr w:rsidR="00E24769" w:rsidRPr="00E24769" w14:paraId="38154625" w14:textId="77777777" w:rsidTr="00446A14">
        <w:trPr>
          <w:trHeight w:val="238"/>
        </w:trPr>
        <w:tc>
          <w:tcPr>
            <w:tcW w:w="3240" w:type="pct"/>
            <w:tcBorders>
              <w:top w:val="nil"/>
              <w:left w:val="single" w:sz="8" w:space="0" w:color="000000"/>
              <w:bottom w:val="single" w:sz="8" w:space="0" w:color="000000"/>
              <w:right w:val="single" w:sz="8" w:space="0" w:color="000000"/>
            </w:tcBorders>
            <w:shd w:val="clear" w:color="auto" w:fill="auto"/>
            <w:vAlign w:val="center"/>
            <w:hideMark/>
          </w:tcPr>
          <w:p w14:paraId="200C95A8" w14:textId="77777777" w:rsidR="00E24769" w:rsidRPr="00E24769" w:rsidRDefault="00E24769" w:rsidP="00E24769">
            <w:pPr>
              <w:spacing w:after="0" w:line="240" w:lineRule="auto"/>
              <w:rPr>
                <w:rFonts w:ascii="Arial" w:eastAsia="Times New Roman" w:hAnsi="Arial" w:cs="Arial"/>
                <w:color w:val="000000"/>
                <w:kern w:val="0"/>
                <w:sz w:val="18"/>
                <w:szCs w:val="18"/>
                <w:lang w:eastAsia="pt-BR"/>
                <w14:ligatures w14:val="none"/>
              </w:rPr>
            </w:pPr>
            <w:r w:rsidRPr="00E24769">
              <w:rPr>
                <w:rFonts w:ascii="Arial" w:eastAsia="Times New Roman" w:hAnsi="Arial" w:cs="Arial"/>
                <w:color w:val="000000"/>
                <w:kern w:val="0"/>
                <w:sz w:val="18"/>
                <w:szCs w:val="20"/>
                <w:lang w:eastAsia="pt-BR"/>
                <w14:ligatures w14:val="none"/>
              </w:rPr>
              <w:t>Idade média (anos)</w:t>
            </w:r>
          </w:p>
        </w:tc>
        <w:tc>
          <w:tcPr>
            <w:tcW w:w="919" w:type="pct"/>
            <w:tcBorders>
              <w:top w:val="nil"/>
              <w:left w:val="nil"/>
              <w:bottom w:val="single" w:sz="8" w:space="0" w:color="000000"/>
              <w:right w:val="single" w:sz="8" w:space="0" w:color="000000"/>
            </w:tcBorders>
            <w:shd w:val="clear" w:color="auto" w:fill="auto"/>
            <w:vAlign w:val="center"/>
            <w:hideMark/>
          </w:tcPr>
          <w:p w14:paraId="1DD61CC9" w14:textId="77777777" w:rsidR="00E24769" w:rsidRPr="00E24769" w:rsidRDefault="00E24769" w:rsidP="00E24769">
            <w:pPr>
              <w:spacing w:after="0" w:line="240" w:lineRule="auto"/>
              <w:jc w:val="right"/>
              <w:rPr>
                <w:rFonts w:ascii="Arial" w:eastAsia="Times New Roman" w:hAnsi="Arial" w:cs="Arial"/>
                <w:color w:val="000000"/>
                <w:kern w:val="0"/>
                <w:sz w:val="18"/>
                <w:szCs w:val="18"/>
                <w:lang w:eastAsia="pt-BR"/>
                <w14:ligatures w14:val="none"/>
              </w:rPr>
            </w:pPr>
            <w:r w:rsidRPr="00E24769">
              <w:rPr>
                <w:rFonts w:ascii="Arial" w:eastAsia="Times New Roman" w:hAnsi="Arial" w:cs="Arial"/>
                <w:color w:val="000000"/>
                <w:kern w:val="0"/>
                <w:sz w:val="18"/>
                <w:szCs w:val="18"/>
                <w:lang w:eastAsia="pt-BR"/>
                <w14:ligatures w14:val="none"/>
              </w:rPr>
              <w:t>68,11</w:t>
            </w:r>
          </w:p>
        </w:tc>
        <w:tc>
          <w:tcPr>
            <w:tcW w:w="841" w:type="pct"/>
            <w:tcBorders>
              <w:top w:val="nil"/>
              <w:left w:val="nil"/>
              <w:bottom w:val="single" w:sz="8" w:space="0" w:color="000000"/>
              <w:right w:val="single" w:sz="8" w:space="0" w:color="000000"/>
            </w:tcBorders>
            <w:shd w:val="clear" w:color="auto" w:fill="auto"/>
            <w:vAlign w:val="center"/>
            <w:hideMark/>
          </w:tcPr>
          <w:p w14:paraId="3A1AFAD3" w14:textId="77777777" w:rsidR="00E24769" w:rsidRPr="00E24769" w:rsidRDefault="00E24769" w:rsidP="00E24769">
            <w:pPr>
              <w:spacing w:after="0" w:line="240" w:lineRule="auto"/>
              <w:jc w:val="right"/>
              <w:rPr>
                <w:rFonts w:ascii="Arial" w:eastAsia="Times New Roman" w:hAnsi="Arial" w:cs="Arial"/>
                <w:color w:val="000000"/>
                <w:kern w:val="0"/>
                <w:sz w:val="18"/>
                <w:szCs w:val="18"/>
                <w:lang w:eastAsia="pt-BR"/>
                <w14:ligatures w14:val="none"/>
              </w:rPr>
            </w:pPr>
            <w:r w:rsidRPr="00E24769">
              <w:rPr>
                <w:rFonts w:ascii="Arial" w:eastAsia="Times New Roman" w:hAnsi="Arial" w:cs="Arial"/>
                <w:color w:val="000000"/>
                <w:kern w:val="0"/>
                <w:sz w:val="18"/>
                <w:szCs w:val="18"/>
                <w:lang w:eastAsia="pt-BR"/>
                <w14:ligatures w14:val="none"/>
              </w:rPr>
              <w:t>66,5</w:t>
            </w:r>
          </w:p>
        </w:tc>
      </w:tr>
      <w:tr w:rsidR="00E24769" w:rsidRPr="00E24769" w14:paraId="58FE0629" w14:textId="77777777" w:rsidTr="00446A14">
        <w:trPr>
          <w:trHeight w:val="238"/>
        </w:trPr>
        <w:tc>
          <w:tcPr>
            <w:tcW w:w="3240" w:type="pct"/>
            <w:tcBorders>
              <w:top w:val="nil"/>
              <w:left w:val="single" w:sz="8" w:space="0" w:color="000000"/>
              <w:bottom w:val="single" w:sz="8" w:space="0" w:color="000000"/>
              <w:right w:val="single" w:sz="8" w:space="0" w:color="000000"/>
            </w:tcBorders>
            <w:shd w:val="clear" w:color="auto" w:fill="auto"/>
            <w:vAlign w:val="center"/>
            <w:hideMark/>
          </w:tcPr>
          <w:p w14:paraId="2330DCF3" w14:textId="77777777" w:rsidR="00E24769" w:rsidRPr="00E24769" w:rsidRDefault="00E24769" w:rsidP="00E24769">
            <w:pPr>
              <w:spacing w:after="0" w:line="240" w:lineRule="auto"/>
              <w:rPr>
                <w:rFonts w:ascii="Arial" w:eastAsia="Times New Roman" w:hAnsi="Arial" w:cs="Arial"/>
                <w:color w:val="000000"/>
                <w:kern w:val="0"/>
                <w:sz w:val="18"/>
                <w:szCs w:val="18"/>
                <w:lang w:eastAsia="pt-BR"/>
                <w14:ligatures w14:val="none"/>
              </w:rPr>
            </w:pPr>
            <w:r w:rsidRPr="00E24769">
              <w:rPr>
                <w:rFonts w:ascii="Arial" w:eastAsia="Times New Roman" w:hAnsi="Arial" w:cs="Arial"/>
                <w:color w:val="000000"/>
                <w:kern w:val="0"/>
                <w:sz w:val="18"/>
                <w:szCs w:val="20"/>
                <w:lang w:eastAsia="pt-BR"/>
                <w14:ligatures w14:val="none"/>
              </w:rPr>
              <w:t>Tempo de serviço médio (anos)</w:t>
            </w:r>
          </w:p>
        </w:tc>
        <w:tc>
          <w:tcPr>
            <w:tcW w:w="919" w:type="pct"/>
            <w:tcBorders>
              <w:top w:val="nil"/>
              <w:left w:val="nil"/>
              <w:bottom w:val="single" w:sz="8" w:space="0" w:color="000000"/>
              <w:right w:val="single" w:sz="8" w:space="0" w:color="000000"/>
            </w:tcBorders>
            <w:shd w:val="clear" w:color="auto" w:fill="auto"/>
            <w:vAlign w:val="center"/>
            <w:hideMark/>
          </w:tcPr>
          <w:p w14:paraId="24991226" w14:textId="77777777" w:rsidR="00E24769" w:rsidRPr="00E24769" w:rsidRDefault="00E24769" w:rsidP="00E24769">
            <w:pPr>
              <w:spacing w:after="0" w:line="240" w:lineRule="auto"/>
              <w:jc w:val="right"/>
              <w:rPr>
                <w:rFonts w:ascii="Arial" w:eastAsia="Times New Roman" w:hAnsi="Arial" w:cs="Arial"/>
                <w:color w:val="000000"/>
                <w:kern w:val="0"/>
                <w:sz w:val="18"/>
                <w:szCs w:val="18"/>
                <w:lang w:eastAsia="pt-BR"/>
                <w14:ligatures w14:val="none"/>
              </w:rPr>
            </w:pPr>
            <w:r w:rsidRPr="00E24769">
              <w:rPr>
                <w:rFonts w:ascii="Arial" w:eastAsia="Times New Roman" w:hAnsi="Arial" w:cs="Arial"/>
                <w:color w:val="000000"/>
                <w:kern w:val="0"/>
                <w:sz w:val="18"/>
                <w:szCs w:val="18"/>
                <w:lang w:eastAsia="pt-BR"/>
                <w14:ligatures w14:val="none"/>
              </w:rPr>
              <w:t>45,87</w:t>
            </w:r>
          </w:p>
        </w:tc>
        <w:tc>
          <w:tcPr>
            <w:tcW w:w="841" w:type="pct"/>
            <w:tcBorders>
              <w:top w:val="nil"/>
              <w:left w:val="nil"/>
              <w:bottom w:val="single" w:sz="8" w:space="0" w:color="000000"/>
              <w:right w:val="single" w:sz="8" w:space="0" w:color="000000"/>
            </w:tcBorders>
            <w:shd w:val="clear" w:color="auto" w:fill="auto"/>
            <w:vAlign w:val="center"/>
            <w:hideMark/>
          </w:tcPr>
          <w:p w14:paraId="1F59F44E" w14:textId="77777777" w:rsidR="00E24769" w:rsidRPr="00E24769" w:rsidRDefault="00E24769" w:rsidP="00E24769">
            <w:pPr>
              <w:spacing w:after="0" w:line="240" w:lineRule="auto"/>
              <w:jc w:val="right"/>
              <w:rPr>
                <w:rFonts w:ascii="Arial" w:eastAsia="Times New Roman" w:hAnsi="Arial" w:cs="Arial"/>
                <w:color w:val="000000"/>
                <w:kern w:val="0"/>
                <w:sz w:val="18"/>
                <w:szCs w:val="18"/>
                <w:lang w:eastAsia="pt-BR"/>
                <w14:ligatures w14:val="none"/>
              </w:rPr>
            </w:pPr>
            <w:r w:rsidRPr="00E24769">
              <w:rPr>
                <w:rFonts w:ascii="Arial" w:eastAsia="Times New Roman" w:hAnsi="Arial" w:cs="Arial"/>
                <w:color w:val="000000"/>
                <w:kern w:val="0"/>
                <w:sz w:val="18"/>
                <w:szCs w:val="18"/>
                <w:lang w:eastAsia="pt-BR"/>
                <w14:ligatures w14:val="none"/>
              </w:rPr>
              <w:t>44,17</w:t>
            </w:r>
          </w:p>
        </w:tc>
      </w:tr>
      <w:tr w:rsidR="00E24769" w:rsidRPr="00E24769" w14:paraId="4D0ADD64" w14:textId="77777777" w:rsidTr="00446A14">
        <w:trPr>
          <w:trHeight w:val="238"/>
        </w:trPr>
        <w:tc>
          <w:tcPr>
            <w:tcW w:w="3240" w:type="pct"/>
            <w:tcBorders>
              <w:top w:val="nil"/>
              <w:left w:val="single" w:sz="8" w:space="0" w:color="000000"/>
              <w:bottom w:val="single" w:sz="8" w:space="0" w:color="000000"/>
              <w:right w:val="single" w:sz="8" w:space="0" w:color="000000"/>
            </w:tcBorders>
            <w:shd w:val="clear" w:color="auto" w:fill="auto"/>
            <w:vAlign w:val="center"/>
            <w:hideMark/>
          </w:tcPr>
          <w:p w14:paraId="243F4B15" w14:textId="77777777" w:rsidR="00E24769" w:rsidRPr="00E24769" w:rsidRDefault="00E24769" w:rsidP="00E24769">
            <w:pPr>
              <w:spacing w:after="0" w:line="240" w:lineRule="auto"/>
              <w:rPr>
                <w:rFonts w:ascii="Arial" w:eastAsia="Times New Roman" w:hAnsi="Arial" w:cs="Arial"/>
                <w:color w:val="000000"/>
                <w:kern w:val="0"/>
                <w:sz w:val="18"/>
                <w:szCs w:val="18"/>
                <w:lang w:eastAsia="pt-BR"/>
                <w14:ligatures w14:val="none"/>
              </w:rPr>
            </w:pPr>
            <w:r w:rsidRPr="00E24769">
              <w:rPr>
                <w:rFonts w:ascii="Arial" w:eastAsia="Times New Roman" w:hAnsi="Arial" w:cs="Arial"/>
                <w:color w:val="000000"/>
                <w:kern w:val="0"/>
                <w:sz w:val="18"/>
                <w:szCs w:val="20"/>
                <w:lang w:eastAsia="pt-BR"/>
                <w14:ligatures w14:val="none"/>
              </w:rPr>
              <w:t>Salário médio (R$)</w:t>
            </w:r>
          </w:p>
        </w:tc>
        <w:tc>
          <w:tcPr>
            <w:tcW w:w="919" w:type="pct"/>
            <w:tcBorders>
              <w:top w:val="nil"/>
              <w:left w:val="nil"/>
              <w:bottom w:val="single" w:sz="8" w:space="0" w:color="000000"/>
              <w:right w:val="single" w:sz="8" w:space="0" w:color="000000"/>
            </w:tcBorders>
            <w:shd w:val="clear" w:color="auto" w:fill="auto"/>
            <w:vAlign w:val="center"/>
            <w:hideMark/>
          </w:tcPr>
          <w:p w14:paraId="2B302598" w14:textId="77777777" w:rsidR="00E24769" w:rsidRPr="00E24769" w:rsidRDefault="00E24769" w:rsidP="00E24769">
            <w:pPr>
              <w:spacing w:after="0" w:line="240" w:lineRule="auto"/>
              <w:jc w:val="right"/>
              <w:rPr>
                <w:rFonts w:ascii="Arial" w:eastAsia="Times New Roman" w:hAnsi="Arial" w:cs="Arial"/>
                <w:color w:val="000000"/>
                <w:kern w:val="0"/>
                <w:sz w:val="18"/>
                <w:szCs w:val="18"/>
                <w:lang w:eastAsia="pt-BR"/>
                <w14:ligatures w14:val="none"/>
              </w:rPr>
            </w:pPr>
            <w:r w:rsidRPr="00E24769">
              <w:rPr>
                <w:rFonts w:ascii="Arial" w:eastAsia="Times New Roman" w:hAnsi="Arial" w:cs="Arial"/>
                <w:color w:val="000000"/>
                <w:kern w:val="0"/>
                <w:sz w:val="18"/>
                <w:szCs w:val="18"/>
                <w:lang w:eastAsia="pt-BR"/>
                <w14:ligatures w14:val="none"/>
              </w:rPr>
              <w:t>R$ 13.356,98</w:t>
            </w:r>
          </w:p>
        </w:tc>
        <w:tc>
          <w:tcPr>
            <w:tcW w:w="841" w:type="pct"/>
            <w:tcBorders>
              <w:top w:val="nil"/>
              <w:left w:val="nil"/>
              <w:bottom w:val="single" w:sz="8" w:space="0" w:color="000000"/>
              <w:right w:val="single" w:sz="8" w:space="0" w:color="000000"/>
            </w:tcBorders>
            <w:shd w:val="clear" w:color="auto" w:fill="auto"/>
            <w:vAlign w:val="center"/>
            <w:hideMark/>
          </w:tcPr>
          <w:p w14:paraId="711EFE33" w14:textId="77777777" w:rsidR="00E24769" w:rsidRPr="00E24769" w:rsidRDefault="00E24769" w:rsidP="00E24769">
            <w:pPr>
              <w:spacing w:after="0" w:line="240" w:lineRule="auto"/>
              <w:jc w:val="right"/>
              <w:rPr>
                <w:rFonts w:ascii="Arial" w:eastAsia="Times New Roman" w:hAnsi="Arial" w:cs="Arial"/>
                <w:color w:val="000000"/>
                <w:kern w:val="0"/>
                <w:sz w:val="18"/>
                <w:szCs w:val="18"/>
                <w:lang w:eastAsia="pt-BR"/>
                <w14:ligatures w14:val="none"/>
              </w:rPr>
            </w:pPr>
            <w:r w:rsidRPr="00E24769">
              <w:rPr>
                <w:rFonts w:ascii="Arial" w:eastAsia="Times New Roman" w:hAnsi="Arial" w:cs="Arial"/>
                <w:color w:val="000000"/>
                <w:kern w:val="0"/>
                <w:sz w:val="18"/>
                <w:szCs w:val="18"/>
                <w:lang w:eastAsia="pt-BR"/>
                <w14:ligatures w14:val="none"/>
              </w:rPr>
              <w:t>13.231,61</w:t>
            </w:r>
          </w:p>
        </w:tc>
      </w:tr>
    </w:tbl>
    <w:p w14:paraId="33DC7539" w14:textId="77777777" w:rsidR="00240448" w:rsidRDefault="00240448" w:rsidP="00240448">
      <w:pPr>
        <w:autoSpaceDE w:val="0"/>
        <w:autoSpaceDN w:val="0"/>
        <w:adjustRightInd w:val="0"/>
        <w:spacing w:after="0" w:line="240" w:lineRule="auto"/>
        <w:jc w:val="both"/>
        <w:rPr>
          <w:rFonts w:ascii="Calibri" w:eastAsia="Times New Roman" w:hAnsi="Calibri" w:cs="Calibri"/>
          <w:iCs/>
          <w:color w:val="002060"/>
          <w:kern w:val="0"/>
          <w14:ligatures w14:val="none"/>
        </w:rPr>
      </w:pPr>
    </w:p>
    <w:tbl>
      <w:tblPr>
        <w:tblW w:w="5000" w:type="pct"/>
        <w:tblCellMar>
          <w:left w:w="70" w:type="dxa"/>
          <w:right w:w="70" w:type="dxa"/>
        </w:tblCellMar>
        <w:tblLook w:val="04A0" w:firstRow="1" w:lastRow="0" w:firstColumn="1" w:lastColumn="0" w:noHBand="0" w:noVBand="1"/>
      </w:tblPr>
      <w:tblGrid>
        <w:gridCol w:w="6332"/>
        <w:gridCol w:w="1796"/>
        <w:gridCol w:w="1643"/>
      </w:tblGrid>
      <w:tr w:rsidR="00E24769" w:rsidRPr="00E24769" w14:paraId="18835A45" w14:textId="77777777" w:rsidTr="00446A14">
        <w:trPr>
          <w:trHeight w:val="238"/>
        </w:trPr>
        <w:tc>
          <w:tcPr>
            <w:tcW w:w="3240" w:type="pct"/>
            <w:tcBorders>
              <w:top w:val="single" w:sz="4" w:space="0" w:color="000000"/>
              <w:left w:val="single" w:sz="4" w:space="0" w:color="000000"/>
              <w:bottom w:val="single" w:sz="4" w:space="0" w:color="000000"/>
              <w:right w:val="single" w:sz="4" w:space="0" w:color="000000"/>
            </w:tcBorders>
            <w:shd w:val="clear" w:color="000000" w:fill="BFBFBF"/>
            <w:vAlign w:val="center"/>
            <w:hideMark/>
          </w:tcPr>
          <w:p w14:paraId="1EFB60BB" w14:textId="77777777" w:rsidR="00E24769" w:rsidRPr="00E24769" w:rsidRDefault="00E24769" w:rsidP="00E24769">
            <w:pPr>
              <w:spacing w:after="0" w:line="240" w:lineRule="auto"/>
              <w:rPr>
                <w:rFonts w:ascii="Arial" w:eastAsia="Times New Roman" w:hAnsi="Arial" w:cs="Arial"/>
                <w:b/>
                <w:bCs/>
                <w:color w:val="000000"/>
                <w:kern w:val="0"/>
                <w:sz w:val="18"/>
                <w:szCs w:val="18"/>
                <w:lang w:eastAsia="pt-BR"/>
                <w14:ligatures w14:val="none"/>
              </w:rPr>
            </w:pPr>
            <w:r w:rsidRPr="00E24769">
              <w:rPr>
                <w:rFonts w:ascii="Arial" w:eastAsia="Times New Roman" w:hAnsi="Arial" w:cs="Arial"/>
                <w:b/>
                <w:bCs/>
                <w:color w:val="000000"/>
                <w:kern w:val="0"/>
                <w:sz w:val="18"/>
                <w:szCs w:val="20"/>
                <w:lang w:eastAsia="pt-BR"/>
                <w14:ligatures w14:val="none"/>
              </w:rPr>
              <w:t>Assistidos</w:t>
            </w:r>
          </w:p>
        </w:tc>
        <w:tc>
          <w:tcPr>
            <w:tcW w:w="919" w:type="pct"/>
            <w:tcBorders>
              <w:top w:val="single" w:sz="4" w:space="0" w:color="000000"/>
              <w:left w:val="nil"/>
              <w:bottom w:val="single" w:sz="4" w:space="0" w:color="000000"/>
              <w:right w:val="single" w:sz="4" w:space="0" w:color="000000"/>
            </w:tcBorders>
            <w:shd w:val="clear" w:color="auto" w:fill="auto"/>
            <w:vAlign w:val="center"/>
            <w:hideMark/>
          </w:tcPr>
          <w:p w14:paraId="2CBA9763" w14:textId="77777777" w:rsidR="00E24769" w:rsidRPr="00E24769" w:rsidRDefault="00E24769" w:rsidP="00E24769">
            <w:pPr>
              <w:spacing w:after="0" w:line="240" w:lineRule="auto"/>
              <w:jc w:val="center"/>
              <w:rPr>
                <w:rFonts w:ascii="Arial" w:eastAsia="Times New Roman" w:hAnsi="Arial" w:cs="Arial"/>
                <w:b/>
                <w:bCs/>
                <w:color w:val="000000"/>
                <w:kern w:val="0"/>
                <w:sz w:val="18"/>
                <w:szCs w:val="18"/>
                <w:lang w:eastAsia="pt-BR"/>
                <w14:ligatures w14:val="none"/>
              </w:rPr>
            </w:pPr>
            <w:r w:rsidRPr="00E24769">
              <w:rPr>
                <w:rFonts w:ascii="Arial" w:eastAsia="Times New Roman" w:hAnsi="Arial" w:cs="Arial"/>
                <w:b/>
                <w:bCs/>
                <w:color w:val="000000"/>
                <w:kern w:val="0"/>
                <w:sz w:val="18"/>
                <w:szCs w:val="20"/>
                <w:lang w:eastAsia="pt-BR"/>
                <w14:ligatures w14:val="none"/>
              </w:rPr>
              <w:t>31/12/2023</w:t>
            </w:r>
          </w:p>
        </w:tc>
        <w:tc>
          <w:tcPr>
            <w:tcW w:w="841" w:type="pct"/>
            <w:tcBorders>
              <w:top w:val="single" w:sz="4" w:space="0" w:color="000000"/>
              <w:left w:val="nil"/>
              <w:bottom w:val="single" w:sz="4" w:space="0" w:color="000000"/>
              <w:right w:val="single" w:sz="4" w:space="0" w:color="000000"/>
            </w:tcBorders>
            <w:shd w:val="clear" w:color="auto" w:fill="auto"/>
            <w:vAlign w:val="center"/>
            <w:hideMark/>
          </w:tcPr>
          <w:p w14:paraId="0D4E8650" w14:textId="77777777" w:rsidR="00E24769" w:rsidRPr="00E24769" w:rsidRDefault="00E24769" w:rsidP="00E24769">
            <w:pPr>
              <w:spacing w:after="0" w:line="240" w:lineRule="auto"/>
              <w:jc w:val="center"/>
              <w:rPr>
                <w:rFonts w:ascii="Arial" w:eastAsia="Times New Roman" w:hAnsi="Arial" w:cs="Arial"/>
                <w:b/>
                <w:bCs/>
                <w:color w:val="000000"/>
                <w:kern w:val="0"/>
                <w:sz w:val="18"/>
                <w:szCs w:val="18"/>
                <w:lang w:eastAsia="pt-BR"/>
                <w14:ligatures w14:val="none"/>
              </w:rPr>
            </w:pPr>
            <w:r w:rsidRPr="00E24769">
              <w:rPr>
                <w:rFonts w:ascii="Arial" w:eastAsia="Times New Roman" w:hAnsi="Arial" w:cs="Arial"/>
                <w:b/>
                <w:bCs/>
                <w:color w:val="000000"/>
                <w:kern w:val="0"/>
                <w:sz w:val="18"/>
                <w:szCs w:val="20"/>
                <w:lang w:eastAsia="pt-BR"/>
                <w14:ligatures w14:val="none"/>
              </w:rPr>
              <w:t>31/12/2022</w:t>
            </w:r>
          </w:p>
        </w:tc>
      </w:tr>
      <w:tr w:rsidR="00E24769" w:rsidRPr="00E24769" w14:paraId="0B0E2656" w14:textId="77777777" w:rsidTr="00446A14">
        <w:trPr>
          <w:trHeight w:val="238"/>
        </w:trPr>
        <w:tc>
          <w:tcPr>
            <w:tcW w:w="3240" w:type="pct"/>
            <w:tcBorders>
              <w:top w:val="nil"/>
              <w:left w:val="single" w:sz="4" w:space="0" w:color="000000"/>
              <w:bottom w:val="single" w:sz="4" w:space="0" w:color="000000"/>
              <w:right w:val="single" w:sz="4" w:space="0" w:color="000000"/>
            </w:tcBorders>
            <w:shd w:val="clear" w:color="auto" w:fill="auto"/>
            <w:vAlign w:val="center"/>
            <w:hideMark/>
          </w:tcPr>
          <w:p w14:paraId="022ACD2E" w14:textId="77777777" w:rsidR="00E24769" w:rsidRPr="00E24769" w:rsidRDefault="00E24769" w:rsidP="00E24769">
            <w:pPr>
              <w:spacing w:after="0" w:line="240" w:lineRule="auto"/>
              <w:rPr>
                <w:rFonts w:ascii="Arial" w:eastAsia="Times New Roman" w:hAnsi="Arial" w:cs="Arial"/>
                <w:color w:val="000000"/>
                <w:kern w:val="0"/>
                <w:sz w:val="18"/>
                <w:szCs w:val="18"/>
                <w:lang w:eastAsia="pt-BR"/>
                <w14:ligatures w14:val="none"/>
              </w:rPr>
            </w:pPr>
            <w:r w:rsidRPr="00E24769">
              <w:rPr>
                <w:rFonts w:ascii="Arial" w:eastAsia="Times New Roman" w:hAnsi="Arial" w:cs="Arial"/>
                <w:color w:val="000000"/>
                <w:kern w:val="0"/>
                <w:sz w:val="18"/>
                <w:szCs w:val="20"/>
                <w:lang w:eastAsia="pt-BR"/>
                <w14:ligatures w14:val="none"/>
              </w:rPr>
              <w:t>Quantidade</w:t>
            </w:r>
          </w:p>
        </w:tc>
        <w:tc>
          <w:tcPr>
            <w:tcW w:w="919" w:type="pct"/>
            <w:tcBorders>
              <w:top w:val="nil"/>
              <w:left w:val="nil"/>
              <w:bottom w:val="single" w:sz="4" w:space="0" w:color="000000"/>
              <w:right w:val="single" w:sz="4" w:space="0" w:color="000000"/>
            </w:tcBorders>
            <w:shd w:val="clear" w:color="auto" w:fill="auto"/>
            <w:vAlign w:val="center"/>
            <w:hideMark/>
          </w:tcPr>
          <w:p w14:paraId="3F0E1575" w14:textId="77777777" w:rsidR="00E24769" w:rsidRPr="00E24769" w:rsidRDefault="00E24769" w:rsidP="00E24769">
            <w:pPr>
              <w:spacing w:after="0" w:line="240" w:lineRule="auto"/>
              <w:jc w:val="right"/>
              <w:rPr>
                <w:rFonts w:ascii="Arial" w:eastAsia="Times New Roman" w:hAnsi="Arial" w:cs="Arial"/>
                <w:color w:val="000000"/>
                <w:kern w:val="0"/>
                <w:sz w:val="18"/>
                <w:szCs w:val="18"/>
                <w:lang w:eastAsia="pt-BR"/>
                <w14:ligatures w14:val="none"/>
              </w:rPr>
            </w:pPr>
            <w:r w:rsidRPr="00E24769">
              <w:rPr>
                <w:rFonts w:ascii="Arial" w:eastAsia="Times New Roman" w:hAnsi="Arial" w:cs="Arial"/>
                <w:color w:val="000000"/>
                <w:kern w:val="0"/>
                <w:sz w:val="18"/>
                <w:szCs w:val="18"/>
                <w:lang w:eastAsia="pt-BR"/>
                <w14:ligatures w14:val="none"/>
              </w:rPr>
              <w:t>110</w:t>
            </w:r>
          </w:p>
        </w:tc>
        <w:tc>
          <w:tcPr>
            <w:tcW w:w="841" w:type="pct"/>
            <w:tcBorders>
              <w:top w:val="nil"/>
              <w:left w:val="nil"/>
              <w:bottom w:val="single" w:sz="4" w:space="0" w:color="000000"/>
              <w:right w:val="single" w:sz="4" w:space="0" w:color="000000"/>
            </w:tcBorders>
            <w:shd w:val="clear" w:color="auto" w:fill="auto"/>
            <w:vAlign w:val="center"/>
            <w:hideMark/>
          </w:tcPr>
          <w:p w14:paraId="1A5A08BE" w14:textId="77777777" w:rsidR="00E24769" w:rsidRPr="00E24769" w:rsidRDefault="00E24769" w:rsidP="00E24769">
            <w:pPr>
              <w:spacing w:after="0" w:line="240" w:lineRule="auto"/>
              <w:jc w:val="right"/>
              <w:rPr>
                <w:rFonts w:ascii="Arial" w:eastAsia="Times New Roman" w:hAnsi="Arial" w:cs="Arial"/>
                <w:color w:val="000000"/>
                <w:kern w:val="0"/>
                <w:sz w:val="18"/>
                <w:szCs w:val="18"/>
                <w:lang w:eastAsia="pt-BR"/>
                <w14:ligatures w14:val="none"/>
              </w:rPr>
            </w:pPr>
            <w:r w:rsidRPr="00E24769">
              <w:rPr>
                <w:rFonts w:ascii="Arial" w:eastAsia="Times New Roman" w:hAnsi="Arial" w:cs="Arial"/>
                <w:color w:val="000000"/>
                <w:kern w:val="0"/>
                <w:sz w:val="18"/>
                <w:szCs w:val="18"/>
                <w:lang w:eastAsia="pt-BR"/>
                <w14:ligatures w14:val="none"/>
              </w:rPr>
              <w:t>110</w:t>
            </w:r>
          </w:p>
        </w:tc>
      </w:tr>
      <w:tr w:rsidR="00E24769" w:rsidRPr="00E24769" w14:paraId="4A9AC505" w14:textId="77777777" w:rsidTr="00446A14">
        <w:trPr>
          <w:trHeight w:val="238"/>
        </w:trPr>
        <w:tc>
          <w:tcPr>
            <w:tcW w:w="3240" w:type="pct"/>
            <w:tcBorders>
              <w:top w:val="nil"/>
              <w:left w:val="single" w:sz="4" w:space="0" w:color="000000"/>
              <w:bottom w:val="single" w:sz="4" w:space="0" w:color="000000"/>
              <w:right w:val="single" w:sz="4" w:space="0" w:color="000000"/>
            </w:tcBorders>
            <w:shd w:val="clear" w:color="auto" w:fill="auto"/>
            <w:vAlign w:val="center"/>
            <w:hideMark/>
          </w:tcPr>
          <w:p w14:paraId="38E16565" w14:textId="77777777" w:rsidR="00E24769" w:rsidRPr="00E24769" w:rsidRDefault="00E24769" w:rsidP="00E24769">
            <w:pPr>
              <w:spacing w:after="0" w:line="240" w:lineRule="auto"/>
              <w:rPr>
                <w:rFonts w:ascii="Arial" w:eastAsia="Times New Roman" w:hAnsi="Arial" w:cs="Arial"/>
                <w:color w:val="000000"/>
                <w:kern w:val="0"/>
                <w:sz w:val="18"/>
                <w:szCs w:val="18"/>
                <w:lang w:eastAsia="pt-BR"/>
                <w14:ligatures w14:val="none"/>
              </w:rPr>
            </w:pPr>
            <w:r w:rsidRPr="00E24769">
              <w:rPr>
                <w:rFonts w:ascii="Arial" w:eastAsia="Times New Roman" w:hAnsi="Arial" w:cs="Arial"/>
                <w:color w:val="000000"/>
                <w:kern w:val="0"/>
                <w:sz w:val="18"/>
                <w:szCs w:val="20"/>
                <w:lang w:eastAsia="pt-BR"/>
                <w14:ligatures w14:val="none"/>
              </w:rPr>
              <w:t>Idade média (anos)</w:t>
            </w:r>
          </w:p>
        </w:tc>
        <w:tc>
          <w:tcPr>
            <w:tcW w:w="919" w:type="pct"/>
            <w:tcBorders>
              <w:top w:val="nil"/>
              <w:left w:val="nil"/>
              <w:bottom w:val="single" w:sz="4" w:space="0" w:color="000000"/>
              <w:right w:val="single" w:sz="4" w:space="0" w:color="000000"/>
            </w:tcBorders>
            <w:shd w:val="clear" w:color="auto" w:fill="auto"/>
            <w:vAlign w:val="center"/>
            <w:hideMark/>
          </w:tcPr>
          <w:p w14:paraId="39FB975A" w14:textId="77777777" w:rsidR="00E24769" w:rsidRPr="00E24769" w:rsidRDefault="00E24769" w:rsidP="00E24769">
            <w:pPr>
              <w:spacing w:after="0" w:line="240" w:lineRule="auto"/>
              <w:jc w:val="right"/>
              <w:rPr>
                <w:rFonts w:ascii="Arial" w:eastAsia="Times New Roman" w:hAnsi="Arial" w:cs="Arial"/>
                <w:color w:val="000000"/>
                <w:kern w:val="0"/>
                <w:sz w:val="18"/>
                <w:szCs w:val="18"/>
                <w:lang w:eastAsia="pt-BR"/>
                <w14:ligatures w14:val="none"/>
              </w:rPr>
            </w:pPr>
            <w:r w:rsidRPr="00E24769">
              <w:rPr>
                <w:rFonts w:ascii="Arial" w:eastAsia="Times New Roman" w:hAnsi="Arial" w:cs="Arial"/>
                <w:color w:val="000000"/>
                <w:kern w:val="0"/>
                <w:sz w:val="18"/>
                <w:szCs w:val="18"/>
                <w:lang w:eastAsia="pt-BR"/>
                <w14:ligatures w14:val="none"/>
              </w:rPr>
              <w:t>72,89</w:t>
            </w:r>
          </w:p>
        </w:tc>
        <w:tc>
          <w:tcPr>
            <w:tcW w:w="841" w:type="pct"/>
            <w:tcBorders>
              <w:top w:val="nil"/>
              <w:left w:val="nil"/>
              <w:bottom w:val="single" w:sz="4" w:space="0" w:color="000000"/>
              <w:right w:val="single" w:sz="4" w:space="0" w:color="000000"/>
            </w:tcBorders>
            <w:shd w:val="clear" w:color="auto" w:fill="auto"/>
            <w:vAlign w:val="center"/>
            <w:hideMark/>
          </w:tcPr>
          <w:p w14:paraId="03EA325D" w14:textId="77777777" w:rsidR="00E24769" w:rsidRPr="00E24769" w:rsidRDefault="00E24769" w:rsidP="00E24769">
            <w:pPr>
              <w:spacing w:after="0" w:line="240" w:lineRule="auto"/>
              <w:jc w:val="right"/>
              <w:rPr>
                <w:rFonts w:ascii="Arial" w:eastAsia="Times New Roman" w:hAnsi="Arial" w:cs="Arial"/>
                <w:color w:val="000000"/>
                <w:kern w:val="0"/>
                <w:sz w:val="18"/>
                <w:szCs w:val="18"/>
                <w:lang w:eastAsia="pt-BR"/>
                <w14:ligatures w14:val="none"/>
              </w:rPr>
            </w:pPr>
            <w:r w:rsidRPr="00E24769">
              <w:rPr>
                <w:rFonts w:ascii="Arial" w:eastAsia="Times New Roman" w:hAnsi="Arial" w:cs="Arial"/>
                <w:color w:val="000000"/>
                <w:kern w:val="0"/>
                <w:sz w:val="18"/>
                <w:szCs w:val="18"/>
                <w:lang w:eastAsia="pt-BR"/>
                <w14:ligatures w14:val="none"/>
              </w:rPr>
              <w:t>72</w:t>
            </w:r>
          </w:p>
        </w:tc>
      </w:tr>
      <w:tr w:rsidR="00E24769" w:rsidRPr="00E24769" w14:paraId="0A0F4CD0" w14:textId="77777777" w:rsidTr="00446A14">
        <w:trPr>
          <w:trHeight w:val="238"/>
        </w:trPr>
        <w:tc>
          <w:tcPr>
            <w:tcW w:w="3240" w:type="pct"/>
            <w:tcBorders>
              <w:top w:val="nil"/>
              <w:left w:val="single" w:sz="4" w:space="0" w:color="000000"/>
              <w:bottom w:val="single" w:sz="4" w:space="0" w:color="000000"/>
              <w:right w:val="single" w:sz="4" w:space="0" w:color="000000"/>
            </w:tcBorders>
            <w:shd w:val="clear" w:color="auto" w:fill="auto"/>
            <w:vAlign w:val="center"/>
            <w:hideMark/>
          </w:tcPr>
          <w:p w14:paraId="2E85233D" w14:textId="77777777" w:rsidR="00E24769" w:rsidRPr="00E24769" w:rsidRDefault="00E24769" w:rsidP="00E24769">
            <w:pPr>
              <w:spacing w:after="0" w:line="240" w:lineRule="auto"/>
              <w:rPr>
                <w:rFonts w:ascii="Arial" w:eastAsia="Times New Roman" w:hAnsi="Arial" w:cs="Arial"/>
                <w:color w:val="000000"/>
                <w:kern w:val="0"/>
                <w:sz w:val="18"/>
                <w:szCs w:val="18"/>
                <w:lang w:eastAsia="pt-BR"/>
                <w14:ligatures w14:val="none"/>
              </w:rPr>
            </w:pPr>
            <w:r w:rsidRPr="00E24769">
              <w:rPr>
                <w:rFonts w:ascii="Arial" w:eastAsia="Times New Roman" w:hAnsi="Arial" w:cs="Arial"/>
                <w:color w:val="000000"/>
                <w:kern w:val="0"/>
                <w:sz w:val="18"/>
                <w:szCs w:val="20"/>
                <w:lang w:eastAsia="pt-BR"/>
                <w14:ligatures w14:val="none"/>
              </w:rPr>
              <w:t>Benefício médio (R$)</w:t>
            </w:r>
          </w:p>
        </w:tc>
        <w:tc>
          <w:tcPr>
            <w:tcW w:w="919" w:type="pct"/>
            <w:tcBorders>
              <w:top w:val="nil"/>
              <w:left w:val="nil"/>
              <w:bottom w:val="single" w:sz="4" w:space="0" w:color="000000"/>
              <w:right w:val="single" w:sz="4" w:space="0" w:color="000000"/>
            </w:tcBorders>
            <w:shd w:val="clear" w:color="auto" w:fill="auto"/>
            <w:vAlign w:val="center"/>
            <w:hideMark/>
          </w:tcPr>
          <w:p w14:paraId="44A5AD82" w14:textId="77777777" w:rsidR="00E24769" w:rsidRPr="00E24769" w:rsidRDefault="00E24769" w:rsidP="00E24769">
            <w:pPr>
              <w:spacing w:after="0" w:line="240" w:lineRule="auto"/>
              <w:jc w:val="right"/>
              <w:rPr>
                <w:rFonts w:ascii="Arial" w:eastAsia="Times New Roman" w:hAnsi="Arial" w:cs="Arial"/>
                <w:color w:val="000000"/>
                <w:kern w:val="0"/>
                <w:sz w:val="18"/>
                <w:szCs w:val="18"/>
                <w:lang w:eastAsia="pt-BR"/>
                <w14:ligatures w14:val="none"/>
              </w:rPr>
            </w:pPr>
            <w:r w:rsidRPr="00E24769">
              <w:rPr>
                <w:rFonts w:ascii="Arial" w:eastAsia="Times New Roman" w:hAnsi="Arial" w:cs="Arial"/>
                <w:color w:val="000000"/>
                <w:kern w:val="0"/>
                <w:sz w:val="18"/>
                <w:szCs w:val="18"/>
                <w:lang w:eastAsia="pt-BR"/>
                <w14:ligatures w14:val="none"/>
              </w:rPr>
              <w:t>R$ 11.054,22</w:t>
            </w:r>
          </w:p>
        </w:tc>
        <w:tc>
          <w:tcPr>
            <w:tcW w:w="841" w:type="pct"/>
            <w:tcBorders>
              <w:top w:val="nil"/>
              <w:left w:val="nil"/>
              <w:bottom w:val="single" w:sz="4" w:space="0" w:color="000000"/>
              <w:right w:val="single" w:sz="4" w:space="0" w:color="000000"/>
            </w:tcBorders>
            <w:shd w:val="clear" w:color="auto" w:fill="auto"/>
            <w:vAlign w:val="center"/>
            <w:hideMark/>
          </w:tcPr>
          <w:p w14:paraId="22FE1F9B" w14:textId="77777777" w:rsidR="00E24769" w:rsidRPr="00E24769" w:rsidRDefault="00E24769" w:rsidP="00E24769">
            <w:pPr>
              <w:spacing w:after="0" w:line="240" w:lineRule="auto"/>
              <w:jc w:val="right"/>
              <w:rPr>
                <w:rFonts w:ascii="Arial" w:eastAsia="Times New Roman" w:hAnsi="Arial" w:cs="Arial"/>
                <w:color w:val="000000"/>
                <w:kern w:val="0"/>
                <w:sz w:val="18"/>
                <w:szCs w:val="18"/>
                <w:lang w:eastAsia="pt-BR"/>
                <w14:ligatures w14:val="none"/>
              </w:rPr>
            </w:pPr>
            <w:r w:rsidRPr="00E24769">
              <w:rPr>
                <w:rFonts w:ascii="Arial" w:eastAsia="Times New Roman" w:hAnsi="Arial" w:cs="Arial"/>
                <w:color w:val="000000"/>
                <w:kern w:val="0"/>
                <w:sz w:val="18"/>
                <w:szCs w:val="18"/>
                <w:lang w:eastAsia="pt-BR"/>
                <w14:ligatures w14:val="none"/>
              </w:rPr>
              <w:t>10.657,50</w:t>
            </w:r>
          </w:p>
        </w:tc>
      </w:tr>
    </w:tbl>
    <w:p w14:paraId="1A3C0BB6" w14:textId="7926E932" w:rsidR="004866C0" w:rsidRPr="004866C0" w:rsidRDefault="004866C0" w:rsidP="004866C0">
      <w:pPr>
        <w:autoSpaceDE w:val="0"/>
        <w:autoSpaceDN w:val="0"/>
        <w:adjustRightInd w:val="0"/>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32.2.3. </w:t>
      </w:r>
      <w:r w:rsidRPr="004866C0">
        <w:rPr>
          <w:rFonts w:ascii="Calibri" w:eastAsia="Times New Roman" w:hAnsi="Calibri" w:cs="Calibri"/>
          <w:b/>
          <w:bCs/>
          <w:iCs/>
          <w:color w:val="002060"/>
          <w:kern w:val="0"/>
          <w14:ligatures w14:val="none"/>
        </w:rPr>
        <w:t>Plano de Benefícios Telebras PREV</w:t>
      </w:r>
    </w:p>
    <w:p w14:paraId="0C9A1645"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iCs/>
          <w:color w:val="002060"/>
          <w:kern w:val="0"/>
          <w14:ligatures w14:val="none"/>
        </w:rPr>
      </w:pPr>
      <w:r w:rsidRPr="004866C0">
        <w:rPr>
          <w:rFonts w:ascii="Calibri" w:eastAsia="Times New Roman" w:hAnsi="Calibri" w:cs="Calibri"/>
          <w:iCs/>
          <w:color w:val="002060"/>
          <w:kern w:val="0"/>
          <w14:ligatures w14:val="none"/>
        </w:rPr>
        <w:t xml:space="preserve">O plano de Benefícios Telebrás PREV é estruturado na modalidade de contribuição variável, sendo patrocinado pela Telebrás, nos termos dos convênios de adesão, regulamentos e estatuto relativos ao mencionado plano. </w:t>
      </w:r>
    </w:p>
    <w:p w14:paraId="0E54FDAE"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iCs/>
          <w:color w:val="002060"/>
          <w:kern w:val="0"/>
          <w14:ligatures w14:val="none"/>
        </w:rPr>
      </w:pPr>
      <w:r w:rsidRPr="004866C0">
        <w:rPr>
          <w:rFonts w:ascii="Calibri" w:eastAsia="Times New Roman" w:hAnsi="Calibri" w:cs="Calibri"/>
          <w:iCs/>
          <w:color w:val="002060"/>
          <w:kern w:val="0"/>
          <w14:ligatures w14:val="none"/>
        </w:rPr>
        <w:t>O plano oferece benefícios classificados nas categorias de benefícios de risco, que são custeados na modalidade de benefício definido, e benefícios programados, que são custeados pelo regime de contribuição definida.</w:t>
      </w:r>
    </w:p>
    <w:p w14:paraId="6D94C0EB"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iCs/>
          <w:color w:val="002060"/>
          <w:kern w:val="0"/>
          <w14:ligatures w14:val="none"/>
        </w:rPr>
      </w:pPr>
      <w:r w:rsidRPr="004866C0">
        <w:rPr>
          <w:rFonts w:ascii="Calibri" w:eastAsia="Times New Roman" w:hAnsi="Calibri" w:cs="Calibri"/>
          <w:iCs/>
          <w:color w:val="002060"/>
          <w:kern w:val="0"/>
          <w14:ligatures w14:val="none"/>
        </w:rPr>
        <w:t>Os benefícios de risco se referem a:</w:t>
      </w:r>
    </w:p>
    <w:p w14:paraId="7EB9E6DC" w14:textId="77777777" w:rsidR="004866C0" w:rsidRPr="004866C0" w:rsidRDefault="004866C0" w:rsidP="004866C0">
      <w:pPr>
        <w:numPr>
          <w:ilvl w:val="0"/>
          <w:numId w:val="13"/>
        </w:numPr>
        <w:autoSpaceDE w:val="0"/>
        <w:autoSpaceDN w:val="0"/>
        <w:adjustRightInd w:val="0"/>
        <w:spacing w:after="0" w:line="240" w:lineRule="auto"/>
        <w:jc w:val="both"/>
        <w:rPr>
          <w:rFonts w:ascii="Calibri" w:eastAsia="Times New Roman" w:hAnsi="Calibri" w:cs="Calibri"/>
          <w:iCs/>
          <w:color w:val="002060"/>
          <w:kern w:val="0"/>
          <w:lang w:val="en-US"/>
          <w14:ligatures w14:val="none"/>
        </w:rPr>
      </w:pPr>
      <w:proofErr w:type="spellStart"/>
      <w:r w:rsidRPr="004866C0">
        <w:rPr>
          <w:rFonts w:ascii="Calibri" w:eastAsia="Times New Roman" w:hAnsi="Calibri" w:cs="Calibri"/>
          <w:iCs/>
          <w:color w:val="002060"/>
          <w:kern w:val="0"/>
          <w:lang w:val="en-US"/>
          <w14:ligatures w14:val="none"/>
        </w:rPr>
        <w:t>Auxílio-doença</w:t>
      </w:r>
      <w:proofErr w:type="spellEnd"/>
    </w:p>
    <w:p w14:paraId="3CDA90EA" w14:textId="77777777" w:rsidR="004866C0" w:rsidRPr="004866C0" w:rsidRDefault="004866C0" w:rsidP="004866C0">
      <w:pPr>
        <w:numPr>
          <w:ilvl w:val="0"/>
          <w:numId w:val="13"/>
        </w:numPr>
        <w:autoSpaceDE w:val="0"/>
        <w:autoSpaceDN w:val="0"/>
        <w:adjustRightInd w:val="0"/>
        <w:spacing w:after="0" w:line="240" w:lineRule="auto"/>
        <w:jc w:val="both"/>
        <w:rPr>
          <w:rFonts w:ascii="Calibri" w:eastAsia="Times New Roman" w:hAnsi="Calibri" w:cs="Calibri"/>
          <w:iCs/>
          <w:color w:val="002060"/>
          <w:kern w:val="0"/>
          <w14:ligatures w14:val="none"/>
        </w:rPr>
      </w:pPr>
      <w:r w:rsidRPr="004866C0">
        <w:rPr>
          <w:rFonts w:ascii="Calibri" w:eastAsia="Times New Roman" w:hAnsi="Calibri" w:cs="Calibri"/>
          <w:iCs/>
          <w:color w:val="002060"/>
          <w:kern w:val="0"/>
          <w14:ligatures w14:val="none"/>
        </w:rPr>
        <w:t>Aposentadoria por Invalidez, reversível em pensão</w:t>
      </w:r>
    </w:p>
    <w:p w14:paraId="27F638C0" w14:textId="77777777" w:rsidR="004866C0" w:rsidRPr="004866C0" w:rsidRDefault="004866C0" w:rsidP="004866C0">
      <w:pPr>
        <w:numPr>
          <w:ilvl w:val="0"/>
          <w:numId w:val="13"/>
        </w:numPr>
        <w:autoSpaceDE w:val="0"/>
        <w:autoSpaceDN w:val="0"/>
        <w:adjustRightInd w:val="0"/>
        <w:spacing w:after="0" w:line="240" w:lineRule="auto"/>
        <w:jc w:val="both"/>
        <w:rPr>
          <w:rFonts w:ascii="Calibri" w:eastAsia="Times New Roman" w:hAnsi="Calibri" w:cs="Calibri"/>
          <w:iCs/>
          <w:color w:val="002060"/>
          <w:kern w:val="0"/>
          <w14:ligatures w14:val="none"/>
        </w:rPr>
      </w:pPr>
      <w:r w:rsidRPr="004866C0">
        <w:rPr>
          <w:rFonts w:ascii="Calibri" w:eastAsia="Times New Roman" w:hAnsi="Calibri" w:cs="Calibri"/>
          <w:iCs/>
          <w:color w:val="002060"/>
          <w:kern w:val="0"/>
          <w14:ligatures w14:val="none"/>
        </w:rPr>
        <w:t>Pensão por morte de participante</w:t>
      </w:r>
    </w:p>
    <w:p w14:paraId="2BEBEC20"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iCs/>
          <w:color w:val="002060"/>
          <w:kern w:val="0"/>
          <w14:ligatures w14:val="none"/>
        </w:rPr>
      </w:pPr>
      <w:r w:rsidRPr="004866C0">
        <w:rPr>
          <w:rFonts w:ascii="Calibri" w:eastAsia="Times New Roman" w:hAnsi="Calibri" w:cs="Calibri"/>
          <w:iCs/>
          <w:color w:val="002060"/>
          <w:kern w:val="0"/>
          <w14:ligatures w14:val="none"/>
        </w:rPr>
        <w:t>Os benefícios programados se referem a:</w:t>
      </w:r>
    </w:p>
    <w:p w14:paraId="14CE6151" w14:textId="77777777" w:rsidR="004866C0" w:rsidRPr="004866C0" w:rsidRDefault="004866C0" w:rsidP="004866C0">
      <w:pPr>
        <w:numPr>
          <w:ilvl w:val="0"/>
          <w:numId w:val="14"/>
        </w:numPr>
        <w:autoSpaceDE w:val="0"/>
        <w:autoSpaceDN w:val="0"/>
        <w:adjustRightInd w:val="0"/>
        <w:spacing w:after="0" w:line="240" w:lineRule="auto"/>
        <w:jc w:val="both"/>
        <w:rPr>
          <w:rFonts w:ascii="Calibri" w:eastAsia="Times New Roman" w:hAnsi="Calibri" w:cs="Calibri"/>
          <w:iCs/>
          <w:color w:val="002060"/>
          <w:kern w:val="0"/>
          <w:lang w:val="en-US"/>
          <w14:ligatures w14:val="none"/>
        </w:rPr>
      </w:pPr>
      <w:proofErr w:type="spellStart"/>
      <w:r w:rsidRPr="004866C0">
        <w:rPr>
          <w:rFonts w:ascii="Calibri" w:eastAsia="Times New Roman" w:hAnsi="Calibri" w:cs="Calibri"/>
          <w:iCs/>
          <w:color w:val="002060"/>
          <w:kern w:val="0"/>
          <w:lang w:val="en-US"/>
          <w14:ligatures w14:val="none"/>
        </w:rPr>
        <w:t>Aposentadoria</w:t>
      </w:r>
      <w:proofErr w:type="spellEnd"/>
      <w:r w:rsidRPr="004866C0">
        <w:rPr>
          <w:rFonts w:ascii="Calibri" w:eastAsia="Times New Roman" w:hAnsi="Calibri" w:cs="Calibri"/>
          <w:iCs/>
          <w:color w:val="002060"/>
          <w:kern w:val="0"/>
          <w:lang w:val="en-US"/>
          <w14:ligatures w14:val="none"/>
        </w:rPr>
        <w:t xml:space="preserve"> </w:t>
      </w:r>
      <w:proofErr w:type="spellStart"/>
      <w:r w:rsidRPr="004866C0">
        <w:rPr>
          <w:rFonts w:ascii="Calibri" w:eastAsia="Times New Roman" w:hAnsi="Calibri" w:cs="Calibri"/>
          <w:iCs/>
          <w:color w:val="002060"/>
          <w:kern w:val="0"/>
          <w:lang w:val="en-US"/>
          <w14:ligatures w14:val="none"/>
        </w:rPr>
        <w:t>ordinária</w:t>
      </w:r>
      <w:proofErr w:type="spellEnd"/>
      <w:r w:rsidRPr="004866C0">
        <w:rPr>
          <w:rFonts w:ascii="Calibri" w:eastAsia="Times New Roman" w:hAnsi="Calibri" w:cs="Calibri"/>
          <w:iCs/>
          <w:color w:val="002060"/>
          <w:kern w:val="0"/>
          <w:lang w:val="en-US"/>
          <w14:ligatures w14:val="none"/>
        </w:rPr>
        <w:t xml:space="preserve">, </w:t>
      </w:r>
      <w:proofErr w:type="spellStart"/>
      <w:r w:rsidRPr="004866C0">
        <w:rPr>
          <w:rFonts w:ascii="Calibri" w:eastAsia="Times New Roman" w:hAnsi="Calibri" w:cs="Calibri"/>
          <w:iCs/>
          <w:color w:val="002060"/>
          <w:kern w:val="0"/>
          <w:lang w:val="en-US"/>
          <w14:ligatures w14:val="none"/>
        </w:rPr>
        <w:t>reversível</w:t>
      </w:r>
      <w:proofErr w:type="spellEnd"/>
      <w:r w:rsidRPr="004866C0">
        <w:rPr>
          <w:rFonts w:ascii="Calibri" w:eastAsia="Times New Roman" w:hAnsi="Calibri" w:cs="Calibri"/>
          <w:iCs/>
          <w:color w:val="002060"/>
          <w:kern w:val="0"/>
          <w:lang w:val="en-US"/>
          <w14:ligatures w14:val="none"/>
        </w:rPr>
        <w:t xml:space="preserve"> </w:t>
      </w:r>
      <w:proofErr w:type="spellStart"/>
      <w:r w:rsidRPr="004866C0">
        <w:rPr>
          <w:rFonts w:ascii="Calibri" w:eastAsia="Times New Roman" w:hAnsi="Calibri" w:cs="Calibri"/>
          <w:iCs/>
          <w:color w:val="002060"/>
          <w:kern w:val="0"/>
          <w:lang w:val="en-US"/>
          <w14:ligatures w14:val="none"/>
        </w:rPr>
        <w:t>em</w:t>
      </w:r>
      <w:proofErr w:type="spellEnd"/>
      <w:r w:rsidRPr="004866C0">
        <w:rPr>
          <w:rFonts w:ascii="Calibri" w:eastAsia="Times New Roman" w:hAnsi="Calibri" w:cs="Calibri"/>
          <w:iCs/>
          <w:color w:val="002060"/>
          <w:kern w:val="0"/>
          <w:lang w:val="en-US"/>
          <w14:ligatures w14:val="none"/>
        </w:rPr>
        <w:t xml:space="preserve"> </w:t>
      </w:r>
      <w:proofErr w:type="spellStart"/>
      <w:r w:rsidRPr="004866C0">
        <w:rPr>
          <w:rFonts w:ascii="Calibri" w:eastAsia="Times New Roman" w:hAnsi="Calibri" w:cs="Calibri"/>
          <w:iCs/>
          <w:color w:val="002060"/>
          <w:kern w:val="0"/>
          <w:lang w:val="en-US"/>
          <w14:ligatures w14:val="none"/>
        </w:rPr>
        <w:t>pensão</w:t>
      </w:r>
      <w:proofErr w:type="spellEnd"/>
    </w:p>
    <w:p w14:paraId="4C782429" w14:textId="77777777" w:rsidR="004866C0" w:rsidRPr="004866C0" w:rsidRDefault="004866C0" w:rsidP="004866C0">
      <w:pPr>
        <w:numPr>
          <w:ilvl w:val="0"/>
          <w:numId w:val="14"/>
        </w:numPr>
        <w:autoSpaceDE w:val="0"/>
        <w:autoSpaceDN w:val="0"/>
        <w:adjustRightInd w:val="0"/>
        <w:spacing w:after="0" w:line="240" w:lineRule="auto"/>
        <w:jc w:val="both"/>
        <w:rPr>
          <w:rFonts w:ascii="Calibri" w:eastAsia="Times New Roman" w:hAnsi="Calibri" w:cs="Calibri"/>
          <w:iCs/>
          <w:color w:val="002060"/>
          <w:kern w:val="0"/>
          <w14:ligatures w14:val="none"/>
        </w:rPr>
      </w:pPr>
      <w:r w:rsidRPr="004866C0">
        <w:rPr>
          <w:rFonts w:ascii="Calibri" w:eastAsia="Times New Roman" w:hAnsi="Calibri" w:cs="Calibri"/>
          <w:iCs/>
          <w:color w:val="002060"/>
          <w:kern w:val="0"/>
          <w14:ligatures w14:val="none"/>
        </w:rPr>
        <w:t>Aposentadoria antecipada, reversível em pensão</w:t>
      </w:r>
    </w:p>
    <w:p w14:paraId="38101A87"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iCs/>
          <w:color w:val="002060"/>
          <w:kern w:val="0"/>
          <w14:ligatures w14:val="none"/>
        </w:rPr>
      </w:pPr>
      <w:r w:rsidRPr="004866C0">
        <w:rPr>
          <w:rFonts w:ascii="Calibri" w:eastAsia="Times New Roman" w:hAnsi="Calibri" w:cs="Calibri"/>
          <w:iCs/>
          <w:color w:val="002060"/>
          <w:kern w:val="0"/>
          <w14:ligatures w14:val="none"/>
        </w:rPr>
        <w:t xml:space="preserve">As regras de elegibilidade e de cálculo dos benefícios estão expressas no respectivo regulamento, cuja versão que deu suporte a este trabalho é denominada de Regulamento do Plano de Benefícios </w:t>
      </w:r>
      <w:proofErr w:type="spellStart"/>
      <w:r w:rsidRPr="004866C0">
        <w:rPr>
          <w:rFonts w:ascii="Calibri" w:eastAsia="Times New Roman" w:hAnsi="Calibri" w:cs="Calibri"/>
          <w:iCs/>
          <w:color w:val="002060"/>
          <w:kern w:val="0"/>
          <w14:ligatures w14:val="none"/>
        </w:rPr>
        <w:t>Previdenciais</w:t>
      </w:r>
      <w:proofErr w:type="spellEnd"/>
      <w:r w:rsidRPr="004866C0">
        <w:rPr>
          <w:rFonts w:ascii="Calibri" w:eastAsia="Times New Roman" w:hAnsi="Calibri" w:cs="Calibri"/>
          <w:iCs/>
          <w:color w:val="002060"/>
          <w:kern w:val="0"/>
          <w14:ligatures w14:val="none"/>
        </w:rPr>
        <w:t xml:space="preserve"> Telebrás PREV, estando vigente desde 2007, cuja aprovação pela Secretaria de Previdência Complementar se deu através da Portaria nº 1.722, de 22 de outubro de 2007.</w:t>
      </w:r>
    </w:p>
    <w:p w14:paraId="5CD67A84"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iCs/>
          <w:color w:val="002060"/>
          <w:kern w:val="0"/>
          <w14:ligatures w14:val="none"/>
        </w:rPr>
      </w:pPr>
      <w:r w:rsidRPr="004866C0">
        <w:rPr>
          <w:rFonts w:ascii="Calibri" w:eastAsia="Times New Roman" w:hAnsi="Calibri" w:cs="Calibri"/>
          <w:iCs/>
          <w:color w:val="002060"/>
          <w:kern w:val="0"/>
          <w14:ligatures w14:val="none"/>
        </w:rPr>
        <w:t>O plano de custeio previsto em regulamento é composto pelas seguintes fontes:</w:t>
      </w:r>
    </w:p>
    <w:p w14:paraId="2B27131D" w14:textId="77777777" w:rsidR="004866C0" w:rsidRPr="004866C0" w:rsidRDefault="004866C0" w:rsidP="004866C0">
      <w:pPr>
        <w:numPr>
          <w:ilvl w:val="0"/>
          <w:numId w:val="14"/>
        </w:numPr>
        <w:autoSpaceDE w:val="0"/>
        <w:autoSpaceDN w:val="0"/>
        <w:adjustRightInd w:val="0"/>
        <w:spacing w:after="0" w:line="240" w:lineRule="auto"/>
        <w:jc w:val="both"/>
        <w:rPr>
          <w:rFonts w:ascii="Calibri" w:eastAsia="Times New Roman" w:hAnsi="Calibri" w:cs="Calibri"/>
          <w:iCs/>
          <w:color w:val="002060"/>
          <w:kern w:val="0"/>
          <w14:ligatures w14:val="none"/>
        </w:rPr>
      </w:pPr>
      <w:r w:rsidRPr="004866C0">
        <w:rPr>
          <w:rFonts w:ascii="Calibri" w:eastAsia="Times New Roman" w:hAnsi="Calibri" w:cs="Calibri"/>
          <w:iCs/>
          <w:color w:val="002060"/>
          <w:kern w:val="0"/>
          <w14:ligatures w14:val="none"/>
        </w:rPr>
        <w:t>Contribuições de Participante:</w:t>
      </w:r>
    </w:p>
    <w:p w14:paraId="15150E5D" w14:textId="77777777" w:rsidR="004866C0" w:rsidRPr="004866C0" w:rsidRDefault="004866C0" w:rsidP="004866C0">
      <w:pPr>
        <w:numPr>
          <w:ilvl w:val="0"/>
          <w:numId w:val="12"/>
        </w:numPr>
        <w:autoSpaceDE w:val="0"/>
        <w:autoSpaceDN w:val="0"/>
        <w:adjustRightInd w:val="0"/>
        <w:spacing w:after="0" w:line="240" w:lineRule="auto"/>
        <w:jc w:val="both"/>
        <w:rPr>
          <w:rFonts w:ascii="Calibri" w:eastAsia="Times New Roman" w:hAnsi="Calibri" w:cs="Calibri"/>
          <w:iCs/>
          <w:color w:val="002060"/>
          <w:kern w:val="0"/>
          <w14:ligatures w14:val="none"/>
        </w:rPr>
      </w:pPr>
      <w:r w:rsidRPr="004866C0">
        <w:rPr>
          <w:rFonts w:ascii="Calibri" w:eastAsia="Times New Roman" w:hAnsi="Calibri" w:cs="Calibri"/>
          <w:iCs/>
          <w:color w:val="002060"/>
          <w:kern w:val="0"/>
          <w14:ligatures w14:val="none"/>
        </w:rPr>
        <w:t xml:space="preserve">Ordinária: mensal e obrigatória aos participantes vinculados, </w:t>
      </w:r>
      <w:proofErr w:type="spellStart"/>
      <w:r w:rsidRPr="004866C0">
        <w:rPr>
          <w:rFonts w:ascii="Calibri" w:eastAsia="Times New Roman" w:hAnsi="Calibri" w:cs="Calibri"/>
          <w:iCs/>
          <w:color w:val="002060"/>
          <w:kern w:val="0"/>
          <w14:ligatures w14:val="none"/>
        </w:rPr>
        <w:t>autopatrocinados</w:t>
      </w:r>
      <w:proofErr w:type="spellEnd"/>
      <w:r w:rsidRPr="004866C0">
        <w:rPr>
          <w:rFonts w:ascii="Calibri" w:eastAsia="Times New Roman" w:hAnsi="Calibri" w:cs="Calibri"/>
          <w:iCs/>
          <w:color w:val="002060"/>
          <w:kern w:val="0"/>
          <w14:ligatures w14:val="none"/>
        </w:rPr>
        <w:t xml:space="preserve"> e em gozo de auxílio-doença ou aposentadoria por invalidez equivalente a 2%SP + 3% (SP-PP)</w:t>
      </w:r>
    </w:p>
    <w:p w14:paraId="63D4BC8E" w14:textId="77777777" w:rsidR="004866C0" w:rsidRPr="004866C0" w:rsidRDefault="004866C0" w:rsidP="004866C0">
      <w:pPr>
        <w:numPr>
          <w:ilvl w:val="0"/>
          <w:numId w:val="12"/>
        </w:numPr>
        <w:autoSpaceDE w:val="0"/>
        <w:autoSpaceDN w:val="0"/>
        <w:adjustRightInd w:val="0"/>
        <w:spacing w:after="0" w:line="240" w:lineRule="auto"/>
        <w:jc w:val="both"/>
        <w:rPr>
          <w:rFonts w:ascii="Calibri" w:eastAsia="Times New Roman" w:hAnsi="Calibri" w:cs="Calibri"/>
          <w:iCs/>
          <w:color w:val="002060"/>
          <w:kern w:val="0"/>
          <w14:ligatures w14:val="none"/>
        </w:rPr>
      </w:pPr>
      <w:r w:rsidRPr="004866C0">
        <w:rPr>
          <w:rFonts w:ascii="Calibri" w:eastAsia="Times New Roman" w:hAnsi="Calibri" w:cs="Calibri"/>
          <w:iCs/>
          <w:color w:val="002060"/>
          <w:kern w:val="0"/>
          <w14:ligatures w14:val="none"/>
        </w:rPr>
        <w:lastRenderedPageBreak/>
        <w:t xml:space="preserve">Adicional: de caráter facultativo ao participante Vinculado, </w:t>
      </w:r>
      <w:proofErr w:type="spellStart"/>
      <w:r w:rsidRPr="004866C0">
        <w:rPr>
          <w:rFonts w:ascii="Calibri" w:eastAsia="Times New Roman" w:hAnsi="Calibri" w:cs="Calibri"/>
          <w:iCs/>
          <w:color w:val="002060"/>
          <w:kern w:val="0"/>
          <w14:ligatures w14:val="none"/>
        </w:rPr>
        <w:t>Autopatrocinado</w:t>
      </w:r>
      <w:proofErr w:type="spellEnd"/>
      <w:r w:rsidRPr="004866C0">
        <w:rPr>
          <w:rFonts w:ascii="Calibri" w:eastAsia="Times New Roman" w:hAnsi="Calibri" w:cs="Calibri"/>
          <w:iCs/>
          <w:color w:val="002060"/>
          <w:kern w:val="0"/>
          <w14:ligatures w14:val="none"/>
        </w:rPr>
        <w:t xml:space="preserve"> e em gozo de </w:t>
      </w:r>
      <w:proofErr w:type="gramStart"/>
      <w:r w:rsidRPr="004866C0">
        <w:rPr>
          <w:rFonts w:ascii="Calibri" w:eastAsia="Times New Roman" w:hAnsi="Calibri" w:cs="Calibri"/>
          <w:iCs/>
          <w:color w:val="002060"/>
          <w:kern w:val="0"/>
          <w14:ligatures w14:val="none"/>
        </w:rPr>
        <w:t>Auxílio Doença</w:t>
      </w:r>
      <w:proofErr w:type="gramEnd"/>
      <w:r w:rsidRPr="004866C0">
        <w:rPr>
          <w:rFonts w:ascii="Calibri" w:eastAsia="Times New Roman" w:hAnsi="Calibri" w:cs="Calibri"/>
          <w:iCs/>
          <w:color w:val="002060"/>
          <w:kern w:val="0"/>
          <w14:ligatures w14:val="none"/>
        </w:rPr>
        <w:t xml:space="preserve"> ou Aposentadoria por Invalidez, em percentual múltiplo de 0,5% do Salário de Participação, e por prazo não inferior a 12 meses.</w:t>
      </w:r>
    </w:p>
    <w:p w14:paraId="73528B52" w14:textId="77777777" w:rsidR="004866C0" w:rsidRPr="004866C0" w:rsidRDefault="004866C0" w:rsidP="004866C0">
      <w:pPr>
        <w:numPr>
          <w:ilvl w:val="0"/>
          <w:numId w:val="12"/>
        </w:numPr>
        <w:autoSpaceDE w:val="0"/>
        <w:autoSpaceDN w:val="0"/>
        <w:adjustRightInd w:val="0"/>
        <w:spacing w:after="0" w:line="240" w:lineRule="auto"/>
        <w:jc w:val="both"/>
        <w:rPr>
          <w:rFonts w:ascii="Calibri" w:eastAsia="Times New Roman" w:hAnsi="Calibri" w:cs="Calibri"/>
          <w:iCs/>
          <w:color w:val="002060"/>
          <w:kern w:val="0"/>
          <w14:ligatures w14:val="none"/>
        </w:rPr>
      </w:pPr>
      <w:r w:rsidRPr="004866C0">
        <w:rPr>
          <w:rFonts w:ascii="Calibri" w:eastAsia="Times New Roman" w:hAnsi="Calibri" w:cs="Calibri"/>
          <w:iCs/>
          <w:color w:val="002060"/>
          <w:kern w:val="0"/>
          <w14:ligatures w14:val="none"/>
        </w:rPr>
        <w:t xml:space="preserve">Eventual: de caráter facultativo ao participante Vinculado, optante pelo Benefício Proporcional Diferido, </w:t>
      </w:r>
      <w:proofErr w:type="spellStart"/>
      <w:r w:rsidRPr="004866C0">
        <w:rPr>
          <w:rFonts w:ascii="Calibri" w:eastAsia="Times New Roman" w:hAnsi="Calibri" w:cs="Calibri"/>
          <w:iCs/>
          <w:color w:val="002060"/>
          <w:kern w:val="0"/>
          <w14:ligatures w14:val="none"/>
        </w:rPr>
        <w:t>Autopatrocinado</w:t>
      </w:r>
      <w:proofErr w:type="spellEnd"/>
      <w:r w:rsidRPr="004866C0">
        <w:rPr>
          <w:rFonts w:ascii="Calibri" w:eastAsia="Times New Roman" w:hAnsi="Calibri" w:cs="Calibri"/>
          <w:iCs/>
          <w:color w:val="002060"/>
          <w:kern w:val="0"/>
          <w14:ligatures w14:val="none"/>
        </w:rPr>
        <w:t xml:space="preserve"> e em gozo de </w:t>
      </w:r>
      <w:proofErr w:type="gramStart"/>
      <w:r w:rsidRPr="004866C0">
        <w:rPr>
          <w:rFonts w:ascii="Calibri" w:eastAsia="Times New Roman" w:hAnsi="Calibri" w:cs="Calibri"/>
          <w:iCs/>
          <w:color w:val="002060"/>
          <w:kern w:val="0"/>
          <w14:ligatures w14:val="none"/>
        </w:rPr>
        <w:t>Auxílio Doença</w:t>
      </w:r>
      <w:proofErr w:type="gramEnd"/>
      <w:r w:rsidRPr="004866C0">
        <w:rPr>
          <w:rFonts w:ascii="Calibri" w:eastAsia="Times New Roman" w:hAnsi="Calibri" w:cs="Calibri"/>
          <w:iCs/>
          <w:color w:val="002060"/>
          <w:kern w:val="0"/>
          <w14:ligatures w14:val="none"/>
        </w:rPr>
        <w:t xml:space="preserve"> ou Aposentadoria por Invalidez, no valor mínimo de 5% do teto do Salário de Participação.</w:t>
      </w:r>
    </w:p>
    <w:p w14:paraId="40B7ACAB" w14:textId="77777777" w:rsidR="004866C0" w:rsidRPr="004866C0" w:rsidRDefault="004866C0" w:rsidP="004866C0">
      <w:pPr>
        <w:numPr>
          <w:ilvl w:val="0"/>
          <w:numId w:val="12"/>
        </w:numPr>
        <w:autoSpaceDE w:val="0"/>
        <w:autoSpaceDN w:val="0"/>
        <w:adjustRightInd w:val="0"/>
        <w:spacing w:after="0" w:line="240" w:lineRule="auto"/>
        <w:jc w:val="both"/>
        <w:rPr>
          <w:rFonts w:ascii="Calibri" w:eastAsia="Times New Roman" w:hAnsi="Calibri" w:cs="Calibri"/>
          <w:iCs/>
          <w:color w:val="002060"/>
          <w:kern w:val="0"/>
          <w14:ligatures w14:val="none"/>
        </w:rPr>
      </w:pPr>
      <w:r w:rsidRPr="004866C0">
        <w:rPr>
          <w:rFonts w:ascii="Calibri" w:eastAsia="Times New Roman" w:hAnsi="Calibri" w:cs="Calibri"/>
          <w:iCs/>
          <w:color w:val="002060"/>
          <w:kern w:val="0"/>
          <w14:ligatures w14:val="none"/>
        </w:rPr>
        <w:t>Contribuições para os benefícios de risco.</w:t>
      </w:r>
    </w:p>
    <w:p w14:paraId="6167FAE7" w14:textId="77777777" w:rsidR="004866C0" w:rsidRPr="004866C0" w:rsidRDefault="004866C0" w:rsidP="004866C0">
      <w:pPr>
        <w:numPr>
          <w:ilvl w:val="0"/>
          <w:numId w:val="14"/>
        </w:numPr>
        <w:autoSpaceDE w:val="0"/>
        <w:autoSpaceDN w:val="0"/>
        <w:adjustRightInd w:val="0"/>
        <w:spacing w:after="0" w:line="240" w:lineRule="auto"/>
        <w:jc w:val="both"/>
        <w:rPr>
          <w:rFonts w:ascii="Calibri" w:eastAsia="Times New Roman" w:hAnsi="Calibri" w:cs="Calibri"/>
          <w:iCs/>
          <w:color w:val="002060"/>
          <w:kern w:val="0"/>
          <w14:ligatures w14:val="none"/>
        </w:rPr>
      </w:pPr>
      <w:r w:rsidRPr="004866C0">
        <w:rPr>
          <w:rFonts w:ascii="Calibri" w:eastAsia="Times New Roman" w:hAnsi="Calibri" w:cs="Calibri"/>
          <w:iCs/>
          <w:color w:val="002060"/>
          <w:kern w:val="0"/>
          <w14:ligatures w14:val="none"/>
        </w:rPr>
        <w:t>Contribuições de Patrocinador: mensalmente, contribuições no valor equivalente ao total das contribuições do participante Vinculado, limitadas a 8% do SP, sendo deduzido destes montantes os valores necessários à cobertura dos benefícios de risco e das despesas administrativas. A dedução relativa ao custeio dos benefícios de risco somente será praticada após a extinção dos recursos recolhidos, na data de vigência do Telebrás PREV, para a cobertura desses benefícios.</w:t>
      </w:r>
    </w:p>
    <w:p w14:paraId="6D116780" w14:textId="77777777" w:rsidR="004866C0" w:rsidRDefault="004866C0" w:rsidP="004866C0">
      <w:pPr>
        <w:autoSpaceDE w:val="0"/>
        <w:autoSpaceDN w:val="0"/>
        <w:adjustRightInd w:val="0"/>
        <w:spacing w:after="0" w:line="240" w:lineRule="auto"/>
        <w:jc w:val="both"/>
        <w:rPr>
          <w:rFonts w:ascii="Calibri" w:eastAsia="Times New Roman" w:hAnsi="Calibri" w:cs="Calibri"/>
          <w:iCs/>
          <w:color w:val="002060"/>
          <w:kern w:val="0"/>
          <w14:ligatures w14:val="none"/>
        </w:rPr>
      </w:pPr>
      <w:r w:rsidRPr="004866C0">
        <w:rPr>
          <w:rFonts w:ascii="Calibri" w:eastAsia="Times New Roman" w:hAnsi="Calibri" w:cs="Calibri"/>
          <w:iCs/>
          <w:color w:val="002060"/>
          <w:kern w:val="0"/>
          <w14:ligatures w14:val="none"/>
        </w:rPr>
        <w:t xml:space="preserve">O plano de benefícios Telebrás PREV contava, em 31 de dezembro de 2023, com 253 participantes ativos e 305 assistidos. </w:t>
      </w:r>
    </w:p>
    <w:tbl>
      <w:tblPr>
        <w:tblW w:w="5000" w:type="pct"/>
        <w:tblCellMar>
          <w:left w:w="70" w:type="dxa"/>
          <w:right w:w="70" w:type="dxa"/>
        </w:tblCellMar>
        <w:tblLook w:val="04A0" w:firstRow="1" w:lastRow="0" w:firstColumn="1" w:lastColumn="0" w:noHBand="0" w:noVBand="1"/>
      </w:tblPr>
      <w:tblGrid>
        <w:gridCol w:w="5264"/>
        <w:gridCol w:w="2353"/>
        <w:gridCol w:w="2154"/>
      </w:tblGrid>
      <w:tr w:rsidR="004866C0" w:rsidRPr="004866C0" w14:paraId="2C514911" w14:textId="77777777" w:rsidTr="00446A14">
        <w:trPr>
          <w:trHeight w:val="238"/>
        </w:trPr>
        <w:tc>
          <w:tcPr>
            <w:tcW w:w="2694" w:type="pct"/>
            <w:tcBorders>
              <w:top w:val="single" w:sz="4" w:space="0" w:color="000000"/>
              <w:left w:val="single" w:sz="4" w:space="0" w:color="000000"/>
              <w:bottom w:val="single" w:sz="4" w:space="0" w:color="000000"/>
              <w:right w:val="single" w:sz="4" w:space="0" w:color="000000"/>
            </w:tcBorders>
            <w:shd w:val="clear" w:color="000000" w:fill="BFBFBF"/>
            <w:vAlign w:val="center"/>
            <w:hideMark/>
          </w:tcPr>
          <w:p w14:paraId="7CA1559D" w14:textId="77777777" w:rsidR="004866C0" w:rsidRPr="004866C0" w:rsidRDefault="004866C0" w:rsidP="004866C0">
            <w:pPr>
              <w:spacing w:after="0" w:line="240" w:lineRule="auto"/>
              <w:rPr>
                <w:rFonts w:ascii="Arial" w:eastAsia="Times New Roman" w:hAnsi="Arial" w:cs="Arial"/>
                <w:b/>
                <w:bCs/>
                <w:color w:val="000000"/>
                <w:kern w:val="0"/>
                <w:sz w:val="18"/>
                <w:szCs w:val="18"/>
                <w:lang w:eastAsia="pt-BR"/>
                <w14:ligatures w14:val="none"/>
              </w:rPr>
            </w:pPr>
            <w:r w:rsidRPr="004866C0">
              <w:rPr>
                <w:rFonts w:ascii="Arial" w:eastAsia="Times New Roman" w:hAnsi="Arial" w:cs="Arial"/>
                <w:b/>
                <w:bCs/>
                <w:color w:val="000000"/>
                <w:kern w:val="0"/>
                <w:sz w:val="18"/>
                <w:szCs w:val="20"/>
                <w:lang w:eastAsia="pt-BR"/>
                <w14:ligatures w14:val="none"/>
              </w:rPr>
              <w:t>Participantes ativos</w:t>
            </w:r>
          </w:p>
        </w:tc>
        <w:tc>
          <w:tcPr>
            <w:tcW w:w="1204" w:type="pct"/>
            <w:tcBorders>
              <w:top w:val="single" w:sz="4" w:space="0" w:color="000000"/>
              <w:left w:val="nil"/>
              <w:bottom w:val="single" w:sz="4" w:space="0" w:color="000000"/>
              <w:right w:val="single" w:sz="4" w:space="0" w:color="000000"/>
            </w:tcBorders>
            <w:shd w:val="clear" w:color="auto" w:fill="auto"/>
            <w:vAlign w:val="center"/>
            <w:hideMark/>
          </w:tcPr>
          <w:p w14:paraId="545E4FF6" w14:textId="77777777" w:rsidR="004866C0" w:rsidRPr="004866C0" w:rsidRDefault="004866C0" w:rsidP="004866C0">
            <w:pPr>
              <w:spacing w:after="0" w:line="240" w:lineRule="auto"/>
              <w:jc w:val="center"/>
              <w:rPr>
                <w:rFonts w:ascii="Arial" w:eastAsia="Times New Roman" w:hAnsi="Arial" w:cs="Arial"/>
                <w:b/>
                <w:bCs/>
                <w:color w:val="000000"/>
                <w:kern w:val="0"/>
                <w:sz w:val="18"/>
                <w:szCs w:val="18"/>
                <w:lang w:eastAsia="pt-BR"/>
                <w14:ligatures w14:val="none"/>
              </w:rPr>
            </w:pPr>
            <w:r w:rsidRPr="004866C0">
              <w:rPr>
                <w:rFonts w:ascii="Arial" w:eastAsia="Times New Roman" w:hAnsi="Arial" w:cs="Arial"/>
                <w:b/>
                <w:bCs/>
                <w:color w:val="000000"/>
                <w:kern w:val="0"/>
                <w:sz w:val="18"/>
                <w:szCs w:val="20"/>
                <w:lang w:eastAsia="pt-BR"/>
                <w14:ligatures w14:val="none"/>
              </w:rPr>
              <w:t>31/12/2023</w:t>
            </w:r>
          </w:p>
        </w:tc>
        <w:tc>
          <w:tcPr>
            <w:tcW w:w="1102" w:type="pct"/>
            <w:tcBorders>
              <w:top w:val="single" w:sz="4" w:space="0" w:color="000000"/>
              <w:left w:val="nil"/>
              <w:bottom w:val="single" w:sz="4" w:space="0" w:color="000000"/>
              <w:right w:val="single" w:sz="4" w:space="0" w:color="000000"/>
            </w:tcBorders>
            <w:shd w:val="clear" w:color="auto" w:fill="auto"/>
            <w:vAlign w:val="center"/>
            <w:hideMark/>
          </w:tcPr>
          <w:p w14:paraId="412E67CF" w14:textId="77777777" w:rsidR="004866C0" w:rsidRPr="004866C0" w:rsidRDefault="004866C0" w:rsidP="004866C0">
            <w:pPr>
              <w:spacing w:after="0" w:line="240" w:lineRule="auto"/>
              <w:jc w:val="center"/>
              <w:rPr>
                <w:rFonts w:ascii="Arial" w:eastAsia="Times New Roman" w:hAnsi="Arial" w:cs="Arial"/>
                <w:b/>
                <w:bCs/>
                <w:color w:val="000000"/>
                <w:kern w:val="0"/>
                <w:sz w:val="18"/>
                <w:szCs w:val="18"/>
                <w:lang w:eastAsia="pt-BR"/>
                <w14:ligatures w14:val="none"/>
              </w:rPr>
            </w:pPr>
            <w:r w:rsidRPr="004866C0">
              <w:rPr>
                <w:rFonts w:ascii="Arial" w:eastAsia="Times New Roman" w:hAnsi="Arial" w:cs="Arial"/>
                <w:b/>
                <w:bCs/>
                <w:color w:val="000000"/>
                <w:kern w:val="0"/>
                <w:sz w:val="18"/>
                <w:szCs w:val="20"/>
                <w:lang w:eastAsia="pt-BR"/>
                <w14:ligatures w14:val="none"/>
              </w:rPr>
              <w:t>31/12/2022</w:t>
            </w:r>
          </w:p>
        </w:tc>
      </w:tr>
      <w:tr w:rsidR="004866C0" w:rsidRPr="004866C0" w14:paraId="6390D723" w14:textId="77777777" w:rsidTr="00446A14">
        <w:trPr>
          <w:trHeight w:val="238"/>
        </w:trPr>
        <w:tc>
          <w:tcPr>
            <w:tcW w:w="2694" w:type="pct"/>
            <w:tcBorders>
              <w:top w:val="nil"/>
              <w:left w:val="single" w:sz="4" w:space="0" w:color="000000"/>
              <w:bottom w:val="single" w:sz="4" w:space="0" w:color="000000"/>
              <w:right w:val="single" w:sz="4" w:space="0" w:color="000000"/>
            </w:tcBorders>
            <w:shd w:val="clear" w:color="auto" w:fill="auto"/>
            <w:vAlign w:val="center"/>
            <w:hideMark/>
          </w:tcPr>
          <w:p w14:paraId="456CD4FC" w14:textId="77777777" w:rsidR="004866C0" w:rsidRPr="004866C0" w:rsidRDefault="004866C0" w:rsidP="004866C0">
            <w:pPr>
              <w:spacing w:after="0" w:line="240" w:lineRule="auto"/>
              <w:rPr>
                <w:rFonts w:ascii="Arial" w:eastAsia="Times New Roman" w:hAnsi="Arial" w:cs="Arial"/>
                <w:color w:val="000000"/>
                <w:kern w:val="0"/>
                <w:sz w:val="18"/>
                <w:szCs w:val="18"/>
                <w:lang w:eastAsia="pt-BR"/>
                <w14:ligatures w14:val="none"/>
              </w:rPr>
            </w:pPr>
            <w:r w:rsidRPr="004866C0">
              <w:rPr>
                <w:rFonts w:ascii="Arial" w:eastAsia="Times New Roman" w:hAnsi="Arial" w:cs="Arial"/>
                <w:color w:val="000000"/>
                <w:kern w:val="0"/>
                <w:sz w:val="18"/>
                <w:szCs w:val="20"/>
                <w:lang w:eastAsia="pt-BR"/>
                <w14:ligatures w14:val="none"/>
              </w:rPr>
              <w:t>Quantidade</w:t>
            </w:r>
          </w:p>
        </w:tc>
        <w:tc>
          <w:tcPr>
            <w:tcW w:w="1204" w:type="pct"/>
            <w:tcBorders>
              <w:top w:val="nil"/>
              <w:left w:val="nil"/>
              <w:bottom w:val="single" w:sz="4" w:space="0" w:color="000000"/>
              <w:right w:val="single" w:sz="4" w:space="0" w:color="000000"/>
            </w:tcBorders>
            <w:shd w:val="clear" w:color="auto" w:fill="auto"/>
            <w:vAlign w:val="center"/>
            <w:hideMark/>
          </w:tcPr>
          <w:p w14:paraId="7B33B025" w14:textId="77777777" w:rsidR="004866C0" w:rsidRPr="004866C0" w:rsidRDefault="004866C0" w:rsidP="004866C0">
            <w:pPr>
              <w:spacing w:after="0" w:line="240" w:lineRule="auto"/>
              <w:jc w:val="right"/>
              <w:rPr>
                <w:rFonts w:ascii="Arial" w:eastAsia="Times New Roman" w:hAnsi="Arial" w:cs="Arial"/>
                <w:color w:val="000000"/>
                <w:kern w:val="0"/>
                <w:sz w:val="18"/>
                <w:szCs w:val="18"/>
                <w:lang w:eastAsia="pt-BR"/>
                <w14:ligatures w14:val="none"/>
              </w:rPr>
            </w:pPr>
            <w:r w:rsidRPr="004866C0">
              <w:rPr>
                <w:rFonts w:ascii="Arial" w:eastAsia="Times New Roman" w:hAnsi="Arial" w:cs="Arial"/>
                <w:color w:val="000000"/>
                <w:kern w:val="0"/>
                <w:sz w:val="18"/>
                <w:szCs w:val="18"/>
                <w:lang w:eastAsia="pt-BR"/>
                <w14:ligatures w14:val="none"/>
              </w:rPr>
              <w:t>253</w:t>
            </w:r>
          </w:p>
        </w:tc>
        <w:tc>
          <w:tcPr>
            <w:tcW w:w="1102" w:type="pct"/>
            <w:tcBorders>
              <w:top w:val="nil"/>
              <w:left w:val="nil"/>
              <w:bottom w:val="single" w:sz="4" w:space="0" w:color="000000"/>
              <w:right w:val="single" w:sz="4" w:space="0" w:color="000000"/>
            </w:tcBorders>
            <w:shd w:val="clear" w:color="auto" w:fill="auto"/>
            <w:vAlign w:val="center"/>
            <w:hideMark/>
          </w:tcPr>
          <w:p w14:paraId="08F96B2A" w14:textId="77777777" w:rsidR="004866C0" w:rsidRPr="004866C0" w:rsidRDefault="004866C0" w:rsidP="004866C0">
            <w:pPr>
              <w:spacing w:after="0" w:line="240" w:lineRule="auto"/>
              <w:jc w:val="right"/>
              <w:rPr>
                <w:rFonts w:ascii="Arial" w:eastAsia="Times New Roman" w:hAnsi="Arial" w:cs="Arial"/>
                <w:color w:val="000000"/>
                <w:kern w:val="0"/>
                <w:sz w:val="18"/>
                <w:szCs w:val="18"/>
                <w:lang w:eastAsia="pt-BR"/>
                <w14:ligatures w14:val="none"/>
              </w:rPr>
            </w:pPr>
            <w:r w:rsidRPr="004866C0">
              <w:rPr>
                <w:rFonts w:ascii="Arial" w:eastAsia="Times New Roman" w:hAnsi="Arial" w:cs="Arial"/>
                <w:color w:val="000000"/>
                <w:kern w:val="0"/>
                <w:sz w:val="18"/>
                <w:szCs w:val="18"/>
                <w:lang w:eastAsia="pt-BR"/>
                <w14:ligatures w14:val="none"/>
              </w:rPr>
              <w:t>268</w:t>
            </w:r>
          </w:p>
        </w:tc>
      </w:tr>
      <w:tr w:rsidR="004866C0" w:rsidRPr="004866C0" w14:paraId="2105F0B6" w14:textId="77777777" w:rsidTr="00446A14">
        <w:trPr>
          <w:trHeight w:val="238"/>
        </w:trPr>
        <w:tc>
          <w:tcPr>
            <w:tcW w:w="2694" w:type="pct"/>
            <w:tcBorders>
              <w:top w:val="nil"/>
              <w:left w:val="single" w:sz="4" w:space="0" w:color="000000"/>
              <w:bottom w:val="single" w:sz="4" w:space="0" w:color="000000"/>
              <w:right w:val="single" w:sz="4" w:space="0" w:color="000000"/>
            </w:tcBorders>
            <w:shd w:val="clear" w:color="auto" w:fill="auto"/>
            <w:vAlign w:val="center"/>
            <w:hideMark/>
          </w:tcPr>
          <w:p w14:paraId="469A5259" w14:textId="77777777" w:rsidR="004866C0" w:rsidRPr="004866C0" w:rsidRDefault="004866C0" w:rsidP="004866C0">
            <w:pPr>
              <w:spacing w:after="0" w:line="240" w:lineRule="auto"/>
              <w:rPr>
                <w:rFonts w:ascii="Arial" w:eastAsia="Times New Roman" w:hAnsi="Arial" w:cs="Arial"/>
                <w:color w:val="000000"/>
                <w:kern w:val="0"/>
                <w:sz w:val="18"/>
                <w:szCs w:val="18"/>
                <w:lang w:eastAsia="pt-BR"/>
                <w14:ligatures w14:val="none"/>
              </w:rPr>
            </w:pPr>
            <w:r w:rsidRPr="004866C0">
              <w:rPr>
                <w:rFonts w:ascii="Arial" w:eastAsia="Times New Roman" w:hAnsi="Arial" w:cs="Arial"/>
                <w:color w:val="000000"/>
                <w:kern w:val="0"/>
                <w:sz w:val="18"/>
                <w:szCs w:val="20"/>
                <w:lang w:eastAsia="pt-BR"/>
                <w14:ligatures w14:val="none"/>
              </w:rPr>
              <w:t>Idade média (anos)</w:t>
            </w:r>
          </w:p>
        </w:tc>
        <w:tc>
          <w:tcPr>
            <w:tcW w:w="1204" w:type="pct"/>
            <w:tcBorders>
              <w:top w:val="nil"/>
              <w:left w:val="nil"/>
              <w:bottom w:val="single" w:sz="4" w:space="0" w:color="000000"/>
              <w:right w:val="single" w:sz="4" w:space="0" w:color="000000"/>
            </w:tcBorders>
            <w:shd w:val="clear" w:color="auto" w:fill="auto"/>
            <w:vAlign w:val="center"/>
            <w:hideMark/>
          </w:tcPr>
          <w:p w14:paraId="29560B1B" w14:textId="77777777" w:rsidR="004866C0" w:rsidRPr="004866C0" w:rsidRDefault="004866C0" w:rsidP="004866C0">
            <w:pPr>
              <w:spacing w:after="0" w:line="240" w:lineRule="auto"/>
              <w:jc w:val="right"/>
              <w:rPr>
                <w:rFonts w:ascii="Arial" w:eastAsia="Times New Roman" w:hAnsi="Arial" w:cs="Arial"/>
                <w:color w:val="000000"/>
                <w:kern w:val="0"/>
                <w:sz w:val="18"/>
                <w:szCs w:val="18"/>
                <w:lang w:eastAsia="pt-BR"/>
                <w14:ligatures w14:val="none"/>
              </w:rPr>
            </w:pPr>
            <w:r w:rsidRPr="004866C0">
              <w:rPr>
                <w:rFonts w:ascii="Arial" w:eastAsia="Times New Roman" w:hAnsi="Arial" w:cs="Arial"/>
                <w:color w:val="000000"/>
                <w:kern w:val="0"/>
                <w:sz w:val="18"/>
                <w:szCs w:val="18"/>
                <w:lang w:eastAsia="pt-BR"/>
                <w14:ligatures w14:val="none"/>
              </w:rPr>
              <w:t>49,24</w:t>
            </w:r>
          </w:p>
        </w:tc>
        <w:tc>
          <w:tcPr>
            <w:tcW w:w="1102" w:type="pct"/>
            <w:tcBorders>
              <w:top w:val="nil"/>
              <w:left w:val="nil"/>
              <w:bottom w:val="single" w:sz="4" w:space="0" w:color="000000"/>
              <w:right w:val="single" w:sz="4" w:space="0" w:color="000000"/>
            </w:tcBorders>
            <w:shd w:val="clear" w:color="auto" w:fill="auto"/>
            <w:vAlign w:val="center"/>
            <w:hideMark/>
          </w:tcPr>
          <w:p w14:paraId="64F4DE6D" w14:textId="77777777" w:rsidR="004866C0" w:rsidRPr="004866C0" w:rsidRDefault="004866C0" w:rsidP="004866C0">
            <w:pPr>
              <w:spacing w:after="0" w:line="240" w:lineRule="auto"/>
              <w:jc w:val="right"/>
              <w:rPr>
                <w:rFonts w:ascii="Arial" w:eastAsia="Times New Roman" w:hAnsi="Arial" w:cs="Arial"/>
                <w:color w:val="000000"/>
                <w:kern w:val="0"/>
                <w:sz w:val="18"/>
                <w:szCs w:val="18"/>
                <w:lang w:eastAsia="pt-BR"/>
                <w14:ligatures w14:val="none"/>
              </w:rPr>
            </w:pPr>
            <w:r w:rsidRPr="004866C0">
              <w:rPr>
                <w:rFonts w:ascii="Arial" w:eastAsia="Times New Roman" w:hAnsi="Arial" w:cs="Arial"/>
                <w:color w:val="000000"/>
                <w:kern w:val="0"/>
                <w:sz w:val="18"/>
                <w:szCs w:val="18"/>
                <w:lang w:eastAsia="pt-BR"/>
                <w14:ligatures w14:val="none"/>
              </w:rPr>
              <w:t>48,25</w:t>
            </w:r>
          </w:p>
        </w:tc>
      </w:tr>
      <w:tr w:rsidR="004866C0" w:rsidRPr="004866C0" w14:paraId="41ACB952" w14:textId="77777777" w:rsidTr="00446A14">
        <w:trPr>
          <w:trHeight w:val="238"/>
        </w:trPr>
        <w:tc>
          <w:tcPr>
            <w:tcW w:w="2694" w:type="pct"/>
            <w:tcBorders>
              <w:top w:val="nil"/>
              <w:left w:val="single" w:sz="4" w:space="0" w:color="000000"/>
              <w:bottom w:val="single" w:sz="4" w:space="0" w:color="000000"/>
              <w:right w:val="single" w:sz="4" w:space="0" w:color="000000"/>
            </w:tcBorders>
            <w:shd w:val="clear" w:color="auto" w:fill="auto"/>
            <w:vAlign w:val="center"/>
            <w:hideMark/>
          </w:tcPr>
          <w:p w14:paraId="7BF04C48" w14:textId="77777777" w:rsidR="004866C0" w:rsidRPr="004866C0" w:rsidRDefault="004866C0" w:rsidP="004866C0">
            <w:pPr>
              <w:spacing w:after="0" w:line="240" w:lineRule="auto"/>
              <w:rPr>
                <w:rFonts w:ascii="Arial" w:eastAsia="Times New Roman" w:hAnsi="Arial" w:cs="Arial"/>
                <w:color w:val="000000"/>
                <w:kern w:val="0"/>
                <w:sz w:val="18"/>
                <w:szCs w:val="18"/>
                <w:lang w:eastAsia="pt-BR"/>
                <w14:ligatures w14:val="none"/>
              </w:rPr>
            </w:pPr>
            <w:r w:rsidRPr="004866C0">
              <w:rPr>
                <w:rFonts w:ascii="Arial" w:eastAsia="Times New Roman" w:hAnsi="Arial" w:cs="Arial"/>
                <w:color w:val="000000"/>
                <w:kern w:val="0"/>
                <w:sz w:val="18"/>
                <w:szCs w:val="20"/>
                <w:lang w:eastAsia="pt-BR"/>
                <w14:ligatures w14:val="none"/>
              </w:rPr>
              <w:t>Tempo de serviço médio (anos)</w:t>
            </w:r>
          </w:p>
        </w:tc>
        <w:tc>
          <w:tcPr>
            <w:tcW w:w="1204" w:type="pct"/>
            <w:tcBorders>
              <w:top w:val="nil"/>
              <w:left w:val="nil"/>
              <w:bottom w:val="single" w:sz="4" w:space="0" w:color="000000"/>
              <w:right w:val="single" w:sz="4" w:space="0" w:color="000000"/>
            </w:tcBorders>
            <w:shd w:val="clear" w:color="auto" w:fill="auto"/>
            <w:vAlign w:val="center"/>
            <w:hideMark/>
          </w:tcPr>
          <w:p w14:paraId="4CAB6203" w14:textId="77777777" w:rsidR="004866C0" w:rsidRPr="004866C0" w:rsidRDefault="004866C0" w:rsidP="004866C0">
            <w:pPr>
              <w:spacing w:after="0" w:line="240" w:lineRule="auto"/>
              <w:jc w:val="right"/>
              <w:rPr>
                <w:rFonts w:ascii="Arial" w:eastAsia="Times New Roman" w:hAnsi="Arial" w:cs="Arial"/>
                <w:color w:val="000000"/>
                <w:kern w:val="0"/>
                <w:sz w:val="18"/>
                <w:szCs w:val="18"/>
                <w:lang w:eastAsia="pt-BR"/>
                <w14:ligatures w14:val="none"/>
              </w:rPr>
            </w:pPr>
            <w:r w:rsidRPr="004866C0">
              <w:rPr>
                <w:rFonts w:ascii="Arial" w:eastAsia="Times New Roman" w:hAnsi="Arial" w:cs="Arial"/>
                <w:color w:val="000000"/>
                <w:kern w:val="0"/>
                <w:sz w:val="18"/>
                <w:szCs w:val="18"/>
                <w:lang w:eastAsia="pt-BR"/>
                <w14:ligatures w14:val="none"/>
              </w:rPr>
              <w:t>18,69</w:t>
            </w:r>
          </w:p>
        </w:tc>
        <w:tc>
          <w:tcPr>
            <w:tcW w:w="1102" w:type="pct"/>
            <w:tcBorders>
              <w:top w:val="nil"/>
              <w:left w:val="nil"/>
              <w:bottom w:val="single" w:sz="4" w:space="0" w:color="000000"/>
              <w:right w:val="single" w:sz="4" w:space="0" w:color="000000"/>
            </w:tcBorders>
            <w:shd w:val="clear" w:color="auto" w:fill="auto"/>
            <w:vAlign w:val="center"/>
            <w:hideMark/>
          </w:tcPr>
          <w:p w14:paraId="65DBF0AB" w14:textId="77777777" w:rsidR="004866C0" w:rsidRPr="004866C0" w:rsidRDefault="004866C0" w:rsidP="004866C0">
            <w:pPr>
              <w:spacing w:after="0" w:line="240" w:lineRule="auto"/>
              <w:jc w:val="right"/>
              <w:rPr>
                <w:rFonts w:ascii="Arial" w:eastAsia="Times New Roman" w:hAnsi="Arial" w:cs="Arial"/>
                <w:color w:val="000000"/>
                <w:kern w:val="0"/>
                <w:sz w:val="18"/>
                <w:szCs w:val="18"/>
                <w:lang w:eastAsia="pt-BR"/>
                <w14:ligatures w14:val="none"/>
              </w:rPr>
            </w:pPr>
            <w:r w:rsidRPr="004866C0">
              <w:rPr>
                <w:rFonts w:ascii="Arial" w:eastAsia="Times New Roman" w:hAnsi="Arial" w:cs="Arial"/>
                <w:color w:val="000000"/>
                <w:kern w:val="0"/>
                <w:sz w:val="18"/>
                <w:szCs w:val="18"/>
                <w:lang w:eastAsia="pt-BR"/>
                <w14:ligatures w14:val="none"/>
              </w:rPr>
              <w:t>17,84</w:t>
            </w:r>
          </w:p>
        </w:tc>
      </w:tr>
      <w:tr w:rsidR="004866C0" w:rsidRPr="004866C0" w14:paraId="4F39812D" w14:textId="77777777" w:rsidTr="00446A14">
        <w:trPr>
          <w:trHeight w:val="238"/>
        </w:trPr>
        <w:tc>
          <w:tcPr>
            <w:tcW w:w="2694" w:type="pct"/>
            <w:tcBorders>
              <w:top w:val="nil"/>
              <w:left w:val="single" w:sz="4" w:space="0" w:color="000000"/>
              <w:bottom w:val="single" w:sz="4" w:space="0" w:color="000000"/>
              <w:right w:val="single" w:sz="4" w:space="0" w:color="000000"/>
            </w:tcBorders>
            <w:shd w:val="clear" w:color="auto" w:fill="auto"/>
            <w:vAlign w:val="center"/>
            <w:hideMark/>
          </w:tcPr>
          <w:p w14:paraId="1A4E5988" w14:textId="77777777" w:rsidR="004866C0" w:rsidRPr="004866C0" w:rsidRDefault="004866C0" w:rsidP="004866C0">
            <w:pPr>
              <w:spacing w:after="0" w:line="240" w:lineRule="auto"/>
              <w:rPr>
                <w:rFonts w:ascii="Arial" w:eastAsia="Times New Roman" w:hAnsi="Arial" w:cs="Arial"/>
                <w:color w:val="000000"/>
                <w:kern w:val="0"/>
                <w:sz w:val="18"/>
                <w:szCs w:val="18"/>
                <w:lang w:eastAsia="pt-BR"/>
                <w14:ligatures w14:val="none"/>
              </w:rPr>
            </w:pPr>
            <w:r w:rsidRPr="004866C0">
              <w:rPr>
                <w:rFonts w:ascii="Arial" w:eastAsia="Times New Roman" w:hAnsi="Arial" w:cs="Arial"/>
                <w:color w:val="000000"/>
                <w:kern w:val="0"/>
                <w:sz w:val="18"/>
                <w:szCs w:val="20"/>
                <w:lang w:eastAsia="pt-BR"/>
                <w14:ligatures w14:val="none"/>
              </w:rPr>
              <w:t>Salário médio (R$)</w:t>
            </w:r>
          </w:p>
        </w:tc>
        <w:tc>
          <w:tcPr>
            <w:tcW w:w="1204" w:type="pct"/>
            <w:tcBorders>
              <w:top w:val="nil"/>
              <w:left w:val="nil"/>
              <w:bottom w:val="single" w:sz="4" w:space="0" w:color="000000"/>
              <w:right w:val="single" w:sz="4" w:space="0" w:color="000000"/>
            </w:tcBorders>
            <w:shd w:val="clear" w:color="auto" w:fill="auto"/>
            <w:vAlign w:val="center"/>
            <w:hideMark/>
          </w:tcPr>
          <w:p w14:paraId="4ACD689C" w14:textId="77777777" w:rsidR="004866C0" w:rsidRPr="004866C0" w:rsidRDefault="004866C0" w:rsidP="004866C0">
            <w:pPr>
              <w:spacing w:after="0" w:line="240" w:lineRule="auto"/>
              <w:jc w:val="right"/>
              <w:rPr>
                <w:rFonts w:ascii="Arial" w:eastAsia="Times New Roman" w:hAnsi="Arial" w:cs="Arial"/>
                <w:color w:val="000000"/>
                <w:kern w:val="0"/>
                <w:sz w:val="18"/>
                <w:szCs w:val="18"/>
                <w:lang w:eastAsia="pt-BR"/>
                <w14:ligatures w14:val="none"/>
              </w:rPr>
            </w:pPr>
            <w:r w:rsidRPr="004866C0">
              <w:rPr>
                <w:rFonts w:ascii="Arial" w:eastAsia="Times New Roman" w:hAnsi="Arial" w:cs="Arial"/>
                <w:color w:val="000000"/>
                <w:kern w:val="0"/>
                <w:sz w:val="18"/>
                <w:szCs w:val="18"/>
                <w:lang w:eastAsia="pt-BR"/>
                <w14:ligatures w14:val="none"/>
              </w:rPr>
              <w:t>R$ 13.457,59</w:t>
            </w:r>
          </w:p>
        </w:tc>
        <w:tc>
          <w:tcPr>
            <w:tcW w:w="1102" w:type="pct"/>
            <w:tcBorders>
              <w:top w:val="nil"/>
              <w:left w:val="nil"/>
              <w:bottom w:val="single" w:sz="4" w:space="0" w:color="000000"/>
              <w:right w:val="single" w:sz="4" w:space="0" w:color="000000"/>
            </w:tcBorders>
            <w:shd w:val="clear" w:color="auto" w:fill="auto"/>
            <w:vAlign w:val="center"/>
            <w:hideMark/>
          </w:tcPr>
          <w:p w14:paraId="4532F6F9" w14:textId="77777777" w:rsidR="004866C0" w:rsidRPr="004866C0" w:rsidRDefault="004866C0" w:rsidP="004866C0">
            <w:pPr>
              <w:spacing w:after="0" w:line="240" w:lineRule="auto"/>
              <w:jc w:val="right"/>
              <w:rPr>
                <w:rFonts w:ascii="Arial" w:eastAsia="Times New Roman" w:hAnsi="Arial" w:cs="Arial"/>
                <w:color w:val="000000"/>
                <w:kern w:val="0"/>
                <w:sz w:val="18"/>
                <w:szCs w:val="18"/>
                <w:lang w:eastAsia="pt-BR"/>
                <w14:ligatures w14:val="none"/>
              </w:rPr>
            </w:pPr>
            <w:r w:rsidRPr="004866C0">
              <w:rPr>
                <w:rFonts w:ascii="Arial" w:eastAsia="Times New Roman" w:hAnsi="Arial" w:cs="Arial"/>
                <w:color w:val="000000"/>
                <w:kern w:val="0"/>
                <w:sz w:val="18"/>
                <w:szCs w:val="18"/>
                <w:lang w:eastAsia="pt-BR"/>
                <w14:ligatures w14:val="none"/>
              </w:rPr>
              <w:t>11.604,17</w:t>
            </w:r>
          </w:p>
        </w:tc>
      </w:tr>
    </w:tbl>
    <w:p w14:paraId="2AD015F9" w14:textId="77777777" w:rsidR="004866C0" w:rsidRDefault="004866C0" w:rsidP="004866C0">
      <w:pPr>
        <w:autoSpaceDE w:val="0"/>
        <w:autoSpaceDN w:val="0"/>
        <w:adjustRightInd w:val="0"/>
        <w:spacing w:after="0" w:line="240" w:lineRule="auto"/>
        <w:jc w:val="both"/>
        <w:rPr>
          <w:rFonts w:ascii="Calibri" w:eastAsia="Times New Roman" w:hAnsi="Calibri" w:cs="Calibri"/>
          <w:iCs/>
          <w:color w:val="002060"/>
          <w:kern w:val="0"/>
          <w14:ligatures w14:val="none"/>
        </w:rPr>
      </w:pPr>
    </w:p>
    <w:tbl>
      <w:tblPr>
        <w:tblW w:w="5000" w:type="pct"/>
        <w:tblCellMar>
          <w:left w:w="70" w:type="dxa"/>
          <w:right w:w="70" w:type="dxa"/>
        </w:tblCellMar>
        <w:tblLook w:val="04A0" w:firstRow="1" w:lastRow="0" w:firstColumn="1" w:lastColumn="0" w:noHBand="0" w:noVBand="1"/>
      </w:tblPr>
      <w:tblGrid>
        <w:gridCol w:w="5264"/>
        <w:gridCol w:w="2353"/>
        <w:gridCol w:w="2154"/>
      </w:tblGrid>
      <w:tr w:rsidR="004866C0" w:rsidRPr="004866C0" w14:paraId="1CCD843E" w14:textId="77777777" w:rsidTr="00446A14">
        <w:trPr>
          <w:trHeight w:val="238"/>
        </w:trPr>
        <w:tc>
          <w:tcPr>
            <w:tcW w:w="2694" w:type="pct"/>
            <w:tcBorders>
              <w:top w:val="single" w:sz="4" w:space="0" w:color="000000"/>
              <w:left w:val="single" w:sz="4" w:space="0" w:color="000000"/>
              <w:bottom w:val="single" w:sz="4" w:space="0" w:color="000000"/>
              <w:right w:val="single" w:sz="4" w:space="0" w:color="000000"/>
            </w:tcBorders>
            <w:shd w:val="clear" w:color="000000" w:fill="BFBFBF"/>
            <w:vAlign w:val="center"/>
            <w:hideMark/>
          </w:tcPr>
          <w:p w14:paraId="3A22EB44" w14:textId="77777777" w:rsidR="004866C0" w:rsidRPr="004866C0" w:rsidRDefault="004866C0" w:rsidP="004866C0">
            <w:pPr>
              <w:spacing w:after="0" w:line="240" w:lineRule="auto"/>
              <w:rPr>
                <w:rFonts w:ascii="Arial" w:eastAsia="Times New Roman" w:hAnsi="Arial" w:cs="Arial"/>
                <w:b/>
                <w:bCs/>
                <w:color w:val="000000"/>
                <w:kern w:val="0"/>
                <w:sz w:val="18"/>
                <w:szCs w:val="18"/>
                <w:lang w:eastAsia="pt-BR"/>
                <w14:ligatures w14:val="none"/>
              </w:rPr>
            </w:pPr>
            <w:r w:rsidRPr="004866C0">
              <w:rPr>
                <w:rFonts w:ascii="Arial" w:eastAsia="Times New Roman" w:hAnsi="Arial" w:cs="Arial"/>
                <w:b/>
                <w:bCs/>
                <w:color w:val="000000"/>
                <w:kern w:val="0"/>
                <w:sz w:val="18"/>
                <w:szCs w:val="20"/>
                <w:lang w:eastAsia="pt-BR"/>
                <w14:ligatures w14:val="none"/>
              </w:rPr>
              <w:t>Assistidos</w:t>
            </w:r>
          </w:p>
        </w:tc>
        <w:tc>
          <w:tcPr>
            <w:tcW w:w="1204" w:type="pct"/>
            <w:tcBorders>
              <w:top w:val="single" w:sz="4" w:space="0" w:color="000000"/>
              <w:left w:val="nil"/>
              <w:bottom w:val="single" w:sz="4" w:space="0" w:color="000000"/>
              <w:right w:val="single" w:sz="4" w:space="0" w:color="000000"/>
            </w:tcBorders>
            <w:shd w:val="clear" w:color="auto" w:fill="auto"/>
            <w:vAlign w:val="center"/>
            <w:hideMark/>
          </w:tcPr>
          <w:p w14:paraId="68A85BAE" w14:textId="77777777" w:rsidR="004866C0" w:rsidRPr="004866C0" w:rsidRDefault="004866C0" w:rsidP="004866C0">
            <w:pPr>
              <w:spacing w:after="0" w:line="240" w:lineRule="auto"/>
              <w:jc w:val="center"/>
              <w:rPr>
                <w:rFonts w:ascii="Arial" w:eastAsia="Times New Roman" w:hAnsi="Arial" w:cs="Arial"/>
                <w:b/>
                <w:bCs/>
                <w:color w:val="000000"/>
                <w:kern w:val="0"/>
                <w:sz w:val="18"/>
                <w:szCs w:val="18"/>
                <w:lang w:eastAsia="pt-BR"/>
                <w14:ligatures w14:val="none"/>
              </w:rPr>
            </w:pPr>
            <w:r w:rsidRPr="004866C0">
              <w:rPr>
                <w:rFonts w:ascii="Arial" w:eastAsia="Times New Roman" w:hAnsi="Arial" w:cs="Arial"/>
                <w:b/>
                <w:bCs/>
                <w:color w:val="000000"/>
                <w:kern w:val="0"/>
                <w:sz w:val="18"/>
                <w:szCs w:val="20"/>
                <w:lang w:eastAsia="pt-BR"/>
                <w14:ligatures w14:val="none"/>
              </w:rPr>
              <w:t>31/12/2023</w:t>
            </w:r>
          </w:p>
        </w:tc>
        <w:tc>
          <w:tcPr>
            <w:tcW w:w="1102" w:type="pct"/>
            <w:tcBorders>
              <w:top w:val="single" w:sz="4" w:space="0" w:color="000000"/>
              <w:left w:val="nil"/>
              <w:bottom w:val="single" w:sz="4" w:space="0" w:color="000000"/>
              <w:right w:val="single" w:sz="4" w:space="0" w:color="000000"/>
            </w:tcBorders>
            <w:shd w:val="clear" w:color="auto" w:fill="auto"/>
            <w:vAlign w:val="center"/>
            <w:hideMark/>
          </w:tcPr>
          <w:p w14:paraId="1DD20318" w14:textId="77777777" w:rsidR="004866C0" w:rsidRPr="004866C0" w:rsidRDefault="004866C0" w:rsidP="004866C0">
            <w:pPr>
              <w:spacing w:after="0" w:line="240" w:lineRule="auto"/>
              <w:jc w:val="center"/>
              <w:rPr>
                <w:rFonts w:ascii="Arial" w:eastAsia="Times New Roman" w:hAnsi="Arial" w:cs="Arial"/>
                <w:b/>
                <w:bCs/>
                <w:color w:val="000000"/>
                <w:kern w:val="0"/>
                <w:sz w:val="18"/>
                <w:szCs w:val="18"/>
                <w:lang w:eastAsia="pt-BR"/>
                <w14:ligatures w14:val="none"/>
              </w:rPr>
            </w:pPr>
            <w:r w:rsidRPr="004866C0">
              <w:rPr>
                <w:rFonts w:ascii="Arial" w:eastAsia="Times New Roman" w:hAnsi="Arial" w:cs="Arial"/>
                <w:b/>
                <w:bCs/>
                <w:color w:val="000000"/>
                <w:kern w:val="0"/>
                <w:sz w:val="18"/>
                <w:szCs w:val="20"/>
                <w:lang w:eastAsia="pt-BR"/>
                <w14:ligatures w14:val="none"/>
              </w:rPr>
              <w:t>31/12/2022</w:t>
            </w:r>
          </w:p>
        </w:tc>
      </w:tr>
      <w:tr w:rsidR="004866C0" w:rsidRPr="004866C0" w14:paraId="613E6A3E" w14:textId="77777777" w:rsidTr="00446A14">
        <w:trPr>
          <w:trHeight w:val="238"/>
        </w:trPr>
        <w:tc>
          <w:tcPr>
            <w:tcW w:w="2694" w:type="pct"/>
            <w:tcBorders>
              <w:top w:val="nil"/>
              <w:left w:val="single" w:sz="4" w:space="0" w:color="000000"/>
              <w:bottom w:val="single" w:sz="4" w:space="0" w:color="000000"/>
              <w:right w:val="single" w:sz="4" w:space="0" w:color="000000"/>
            </w:tcBorders>
            <w:shd w:val="clear" w:color="auto" w:fill="auto"/>
            <w:vAlign w:val="center"/>
            <w:hideMark/>
          </w:tcPr>
          <w:p w14:paraId="1356EDCE" w14:textId="77777777" w:rsidR="004866C0" w:rsidRPr="004866C0" w:rsidRDefault="004866C0" w:rsidP="004866C0">
            <w:pPr>
              <w:spacing w:after="0" w:line="240" w:lineRule="auto"/>
              <w:rPr>
                <w:rFonts w:ascii="Arial" w:eastAsia="Times New Roman" w:hAnsi="Arial" w:cs="Arial"/>
                <w:color w:val="000000"/>
                <w:kern w:val="0"/>
                <w:sz w:val="18"/>
                <w:szCs w:val="18"/>
                <w:lang w:eastAsia="pt-BR"/>
                <w14:ligatures w14:val="none"/>
              </w:rPr>
            </w:pPr>
            <w:r w:rsidRPr="004866C0">
              <w:rPr>
                <w:rFonts w:ascii="Arial" w:eastAsia="Times New Roman" w:hAnsi="Arial" w:cs="Arial"/>
                <w:color w:val="000000"/>
                <w:kern w:val="0"/>
                <w:sz w:val="18"/>
                <w:szCs w:val="20"/>
                <w:lang w:eastAsia="pt-BR"/>
                <w14:ligatures w14:val="none"/>
              </w:rPr>
              <w:t>Quantidade</w:t>
            </w:r>
          </w:p>
        </w:tc>
        <w:tc>
          <w:tcPr>
            <w:tcW w:w="1204" w:type="pct"/>
            <w:tcBorders>
              <w:top w:val="nil"/>
              <w:left w:val="nil"/>
              <w:bottom w:val="single" w:sz="4" w:space="0" w:color="000000"/>
              <w:right w:val="single" w:sz="4" w:space="0" w:color="000000"/>
            </w:tcBorders>
            <w:shd w:val="clear" w:color="auto" w:fill="auto"/>
            <w:vAlign w:val="center"/>
            <w:hideMark/>
          </w:tcPr>
          <w:p w14:paraId="08EDC2EB" w14:textId="77777777" w:rsidR="004866C0" w:rsidRPr="004866C0" w:rsidRDefault="004866C0" w:rsidP="004866C0">
            <w:pPr>
              <w:spacing w:after="0" w:line="240" w:lineRule="auto"/>
              <w:jc w:val="right"/>
              <w:rPr>
                <w:rFonts w:ascii="Arial" w:eastAsia="Times New Roman" w:hAnsi="Arial" w:cs="Arial"/>
                <w:color w:val="000000"/>
                <w:kern w:val="0"/>
                <w:sz w:val="18"/>
                <w:szCs w:val="18"/>
                <w:lang w:eastAsia="pt-BR"/>
                <w14:ligatures w14:val="none"/>
              </w:rPr>
            </w:pPr>
            <w:r w:rsidRPr="004866C0">
              <w:rPr>
                <w:rFonts w:ascii="Arial" w:eastAsia="Times New Roman" w:hAnsi="Arial" w:cs="Arial"/>
                <w:color w:val="000000"/>
                <w:kern w:val="0"/>
                <w:sz w:val="18"/>
                <w:szCs w:val="18"/>
                <w:lang w:eastAsia="pt-BR"/>
                <w14:ligatures w14:val="none"/>
              </w:rPr>
              <w:t>305</w:t>
            </w:r>
          </w:p>
        </w:tc>
        <w:tc>
          <w:tcPr>
            <w:tcW w:w="1102" w:type="pct"/>
            <w:tcBorders>
              <w:top w:val="nil"/>
              <w:left w:val="nil"/>
              <w:bottom w:val="single" w:sz="4" w:space="0" w:color="000000"/>
              <w:right w:val="single" w:sz="4" w:space="0" w:color="000000"/>
            </w:tcBorders>
            <w:shd w:val="clear" w:color="auto" w:fill="auto"/>
            <w:vAlign w:val="center"/>
            <w:hideMark/>
          </w:tcPr>
          <w:p w14:paraId="245B6500" w14:textId="77777777" w:rsidR="004866C0" w:rsidRPr="004866C0" w:rsidRDefault="004866C0" w:rsidP="004866C0">
            <w:pPr>
              <w:spacing w:after="0" w:line="240" w:lineRule="auto"/>
              <w:jc w:val="right"/>
              <w:rPr>
                <w:rFonts w:ascii="Arial" w:eastAsia="Times New Roman" w:hAnsi="Arial" w:cs="Arial"/>
                <w:color w:val="000000"/>
                <w:kern w:val="0"/>
                <w:sz w:val="18"/>
                <w:szCs w:val="18"/>
                <w:lang w:eastAsia="pt-BR"/>
                <w14:ligatures w14:val="none"/>
              </w:rPr>
            </w:pPr>
            <w:r w:rsidRPr="004866C0">
              <w:rPr>
                <w:rFonts w:ascii="Arial" w:eastAsia="Times New Roman" w:hAnsi="Arial" w:cs="Arial"/>
                <w:color w:val="000000"/>
                <w:kern w:val="0"/>
                <w:sz w:val="18"/>
                <w:szCs w:val="18"/>
                <w:lang w:eastAsia="pt-BR"/>
                <w14:ligatures w14:val="none"/>
              </w:rPr>
              <w:t>293</w:t>
            </w:r>
          </w:p>
        </w:tc>
      </w:tr>
      <w:tr w:rsidR="004866C0" w:rsidRPr="004866C0" w14:paraId="595233B6" w14:textId="77777777" w:rsidTr="00446A14">
        <w:trPr>
          <w:trHeight w:val="238"/>
        </w:trPr>
        <w:tc>
          <w:tcPr>
            <w:tcW w:w="2694" w:type="pct"/>
            <w:tcBorders>
              <w:top w:val="nil"/>
              <w:left w:val="single" w:sz="4" w:space="0" w:color="000000"/>
              <w:bottom w:val="single" w:sz="4" w:space="0" w:color="000000"/>
              <w:right w:val="single" w:sz="4" w:space="0" w:color="000000"/>
            </w:tcBorders>
            <w:shd w:val="clear" w:color="auto" w:fill="auto"/>
            <w:vAlign w:val="center"/>
            <w:hideMark/>
          </w:tcPr>
          <w:p w14:paraId="327EC409" w14:textId="77777777" w:rsidR="004866C0" w:rsidRPr="004866C0" w:rsidRDefault="004866C0" w:rsidP="004866C0">
            <w:pPr>
              <w:spacing w:after="0" w:line="240" w:lineRule="auto"/>
              <w:rPr>
                <w:rFonts w:ascii="Arial" w:eastAsia="Times New Roman" w:hAnsi="Arial" w:cs="Arial"/>
                <w:color w:val="000000"/>
                <w:kern w:val="0"/>
                <w:sz w:val="18"/>
                <w:szCs w:val="18"/>
                <w:lang w:eastAsia="pt-BR"/>
                <w14:ligatures w14:val="none"/>
              </w:rPr>
            </w:pPr>
            <w:r w:rsidRPr="004866C0">
              <w:rPr>
                <w:rFonts w:ascii="Arial" w:eastAsia="Times New Roman" w:hAnsi="Arial" w:cs="Arial"/>
                <w:color w:val="000000"/>
                <w:kern w:val="0"/>
                <w:sz w:val="18"/>
                <w:szCs w:val="20"/>
                <w:lang w:eastAsia="pt-BR"/>
                <w14:ligatures w14:val="none"/>
              </w:rPr>
              <w:t>Idade média (anos)</w:t>
            </w:r>
          </w:p>
        </w:tc>
        <w:tc>
          <w:tcPr>
            <w:tcW w:w="1204" w:type="pct"/>
            <w:tcBorders>
              <w:top w:val="nil"/>
              <w:left w:val="nil"/>
              <w:bottom w:val="single" w:sz="4" w:space="0" w:color="000000"/>
              <w:right w:val="single" w:sz="4" w:space="0" w:color="000000"/>
            </w:tcBorders>
            <w:shd w:val="clear" w:color="auto" w:fill="auto"/>
            <w:vAlign w:val="center"/>
            <w:hideMark/>
          </w:tcPr>
          <w:p w14:paraId="44335C3E" w14:textId="77777777" w:rsidR="004866C0" w:rsidRPr="004866C0" w:rsidRDefault="004866C0" w:rsidP="004866C0">
            <w:pPr>
              <w:spacing w:after="0" w:line="240" w:lineRule="auto"/>
              <w:jc w:val="right"/>
              <w:rPr>
                <w:rFonts w:ascii="Arial" w:eastAsia="Times New Roman" w:hAnsi="Arial" w:cs="Arial"/>
                <w:color w:val="000000"/>
                <w:kern w:val="0"/>
                <w:sz w:val="18"/>
                <w:szCs w:val="18"/>
                <w:lang w:eastAsia="pt-BR"/>
                <w14:ligatures w14:val="none"/>
              </w:rPr>
            </w:pPr>
            <w:r w:rsidRPr="004866C0">
              <w:rPr>
                <w:rFonts w:ascii="Arial" w:eastAsia="Times New Roman" w:hAnsi="Arial" w:cs="Arial"/>
                <w:color w:val="000000"/>
                <w:kern w:val="0"/>
                <w:sz w:val="18"/>
                <w:szCs w:val="18"/>
                <w:lang w:eastAsia="pt-BR"/>
                <w14:ligatures w14:val="none"/>
              </w:rPr>
              <w:t>69,84</w:t>
            </w:r>
          </w:p>
        </w:tc>
        <w:tc>
          <w:tcPr>
            <w:tcW w:w="1102" w:type="pct"/>
            <w:tcBorders>
              <w:top w:val="nil"/>
              <w:left w:val="nil"/>
              <w:bottom w:val="single" w:sz="4" w:space="0" w:color="000000"/>
              <w:right w:val="single" w:sz="4" w:space="0" w:color="000000"/>
            </w:tcBorders>
            <w:shd w:val="clear" w:color="auto" w:fill="auto"/>
            <w:vAlign w:val="center"/>
            <w:hideMark/>
          </w:tcPr>
          <w:p w14:paraId="0166A19A" w14:textId="77777777" w:rsidR="004866C0" w:rsidRPr="004866C0" w:rsidRDefault="004866C0" w:rsidP="004866C0">
            <w:pPr>
              <w:spacing w:after="0" w:line="240" w:lineRule="auto"/>
              <w:jc w:val="right"/>
              <w:rPr>
                <w:rFonts w:ascii="Arial" w:eastAsia="Times New Roman" w:hAnsi="Arial" w:cs="Arial"/>
                <w:color w:val="000000"/>
                <w:kern w:val="0"/>
                <w:sz w:val="18"/>
                <w:szCs w:val="18"/>
                <w:lang w:eastAsia="pt-BR"/>
                <w14:ligatures w14:val="none"/>
              </w:rPr>
            </w:pPr>
            <w:r w:rsidRPr="004866C0">
              <w:rPr>
                <w:rFonts w:ascii="Arial" w:eastAsia="Times New Roman" w:hAnsi="Arial" w:cs="Arial"/>
                <w:color w:val="000000"/>
                <w:kern w:val="0"/>
                <w:sz w:val="18"/>
                <w:szCs w:val="18"/>
                <w:lang w:eastAsia="pt-BR"/>
                <w14:ligatures w14:val="none"/>
              </w:rPr>
              <w:t>68,54</w:t>
            </w:r>
          </w:p>
        </w:tc>
      </w:tr>
      <w:tr w:rsidR="004866C0" w:rsidRPr="004866C0" w14:paraId="2B7F4CDB" w14:textId="77777777" w:rsidTr="00446A14">
        <w:trPr>
          <w:trHeight w:val="238"/>
        </w:trPr>
        <w:tc>
          <w:tcPr>
            <w:tcW w:w="2694" w:type="pct"/>
            <w:tcBorders>
              <w:top w:val="nil"/>
              <w:left w:val="single" w:sz="4" w:space="0" w:color="000000"/>
              <w:bottom w:val="single" w:sz="4" w:space="0" w:color="000000"/>
              <w:right w:val="single" w:sz="4" w:space="0" w:color="000000"/>
            </w:tcBorders>
            <w:shd w:val="clear" w:color="auto" w:fill="auto"/>
            <w:vAlign w:val="center"/>
            <w:hideMark/>
          </w:tcPr>
          <w:p w14:paraId="4196B1BF" w14:textId="77777777" w:rsidR="004866C0" w:rsidRPr="004866C0" w:rsidRDefault="004866C0" w:rsidP="004866C0">
            <w:pPr>
              <w:spacing w:after="0" w:line="240" w:lineRule="auto"/>
              <w:rPr>
                <w:rFonts w:ascii="Arial" w:eastAsia="Times New Roman" w:hAnsi="Arial" w:cs="Arial"/>
                <w:color w:val="000000"/>
                <w:kern w:val="0"/>
                <w:sz w:val="18"/>
                <w:szCs w:val="18"/>
                <w:lang w:eastAsia="pt-BR"/>
                <w14:ligatures w14:val="none"/>
              </w:rPr>
            </w:pPr>
            <w:r w:rsidRPr="004866C0">
              <w:rPr>
                <w:rFonts w:ascii="Arial" w:eastAsia="Times New Roman" w:hAnsi="Arial" w:cs="Arial"/>
                <w:color w:val="000000"/>
                <w:kern w:val="0"/>
                <w:sz w:val="18"/>
                <w:szCs w:val="20"/>
                <w:lang w:eastAsia="pt-BR"/>
                <w14:ligatures w14:val="none"/>
              </w:rPr>
              <w:t>Benefício médio (R$)</w:t>
            </w:r>
          </w:p>
        </w:tc>
        <w:tc>
          <w:tcPr>
            <w:tcW w:w="1204" w:type="pct"/>
            <w:tcBorders>
              <w:top w:val="nil"/>
              <w:left w:val="nil"/>
              <w:bottom w:val="single" w:sz="4" w:space="0" w:color="000000"/>
              <w:right w:val="single" w:sz="4" w:space="0" w:color="000000"/>
            </w:tcBorders>
            <w:shd w:val="clear" w:color="auto" w:fill="auto"/>
            <w:vAlign w:val="center"/>
            <w:hideMark/>
          </w:tcPr>
          <w:p w14:paraId="4D2DCF84" w14:textId="77777777" w:rsidR="004866C0" w:rsidRPr="004866C0" w:rsidRDefault="004866C0" w:rsidP="004866C0">
            <w:pPr>
              <w:spacing w:after="0" w:line="240" w:lineRule="auto"/>
              <w:jc w:val="right"/>
              <w:rPr>
                <w:rFonts w:ascii="Arial" w:eastAsia="Times New Roman" w:hAnsi="Arial" w:cs="Arial"/>
                <w:color w:val="000000"/>
                <w:kern w:val="0"/>
                <w:sz w:val="18"/>
                <w:szCs w:val="18"/>
                <w:lang w:eastAsia="pt-BR"/>
                <w14:ligatures w14:val="none"/>
              </w:rPr>
            </w:pPr>
            <w:r w:rsidRPr="004866C0">
              <w:rPr>
                <w:rFonts w:ascii="Arial" w:eastAsia="Times New Roman" w:hAnsi="Arial" w:cs="Arial"/>
                <w:color w:val="000000"/>
                <w:kern w:val="0"/>
                <w:sz w:val="18"/>
                <w:szCs w:val="18"/>
                <w:lang w:eastAsia="pt-BR"/>
                <w14:ligatures w14:val="none"/>
              </w:rPr>
              <w:t>R$ 7.300,76</w:t>
            </w:r>
          </w:p>
        </w:tc>
        <w:tc>
          <w:tcPr>
            <w:tcW w:w="1102" w:type="pct"/>
            <w:tcBorders>
              <w:top w:val="nil"/>
              <w:left w:val="nil"/>
              <w:bottom w:val="single" w:sz="4" w:space="0" w:color="000000"/>
              <w:right w:val="single" w:sz="4" w:space="0" w:color="000000"/>
            </w:tcBorders>
            <w:shd w:val="clear" w:color="auto" w:fill="auto"/>
            <w:vAlign w:val="center"/>
            <w:hideMark/>
          </w:tcPr>
          <w:p w14:paraId="717EE0B4" w14:textId="77777777" w:rsidR="004866C0" w:rsidRPr="004866C0" w:rsidRDefault="004866C0" w:rsidP="004866C0">
            <w:pPr>
              <w:spacing w:after="0" w:line="240" w:lineRule="auto"/>
              <w:jc w:val="right"/>
              <w:rPr>
                <w:rFonts w:ascii="Arial" w:eastAsia="Times New Roman" w:hAnsi="Arial" w:cs="Arial"/>
                <w:color w:val="000000"/>
                <w:kern w:val="0"/>
                <w:sz w:val="18"/>
                <w:szCs w:val="18"/>
                <w:lang w:eastAsia="pt-BR"/>
                <w14:ligatures w14:val="none"/>
              </w:rPr>
            </w:pPr>
            <w:r w:rsidRPr="004866C0">
              <w:rPr>
                <w:rFonts w:ascii="Arial" w:eastAsia="Times New Roman" w:hAnsi="Arial" w:cs="Arial"/>
                <w:color w:val="000000"/>
                <w:kern w:val="0"/>
                <w:sz w:val="18"/>
                <w:szCs w:val="18"/>
                <w:lang w:eastAsia="pt-BR"/>
                <w14:ligatures w14:val="none"/>
              </w:rPr>
              <w:t>6.979,65</w:t>
            </w:r>
          </w:p>
        </w:tc>
      </w:tr>
    </w:tbl>
    <w:p w14:paraId="07E8F9C4" w14:textId="1B67EEAA" w:rsidR="004866C0" w:rsidRPr="004866C0" w:rsidRDefault="004866C0" w:rsidP="004866C0">
      <w:pPr>
        <w:autoSpaceDE w:val="0"/>
        <w:autoSpaceDN w:val="0"/>
        <w:adjustRightInd w:val="0"/>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32.3. </w:t>
      </w:r>
      <w:r w:rsidRPr="004866C0">
        <w:rPr>
          <w:rFonts w:ascii="Calibri" w:eastAsia="Times New Roman" w:hAnsi="Calibri" w:cs="Calibri"/>
          <w:b/>
          <w:bCs/>
          <w:iCs/>
          <w:color w:val="002060"/>
          <w:kern w:val="0"/>
          <w14:ligatures w14:val="none"/>
        </w:rPr>
        <w:t>Método de Avaliação Atuarial</w:t>
      </w:r>
    </w:p>
    <w:p w14:paraId="0FC28A61"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iCs/>
          <w:color w:val="002060"/>
          <w:kern w:val="0"/>
          <w14:ligatures w14:val="none"/>
        </w:rPr>
      </w:pPr>
      <w:r w:rsidRPr="004866C0">
        <w:rPr>
          <w:rFonts w:ascii="Calibri" w:eastAsia="Times New Roman" w:hAnsi="Calibri" w:cs="Calibri"/>
          <w:iCs/>
          <w:color w:val="002060"/>
          <w:kern w:val="0"/>
          <w14:ligatures w14:val="none"/>
        </w:rPr>
        <w:t>Conforme determinação do item 67 do pronunciamento CPC 33(R1), foi aplicado o Método do Crédito Unitário Projetado - PUC para a obtenção do Valor Presente da Obrigação Atuarial. Este método considera cada período de serviço como fato gerador de uma unidade adicional de benefício e mensura cada unidade separadamente para se quantificar a obrigação final.</w:t>
      </w:r>
    </w:p>
    <w:p w14:paraId="35436B3A" w14:textId="2B646783" w:rsidR="004866C0" w:rsidRPr="004866C0" w:rsidRDefault="004866C0" w:rsidP="004866C0">
      <w:pPr>
        <w:autoSpaceDE w:val="0"/>
        <w:autoSpaceDN w:val="0"/>
        <w:adjustRightInd w:val="0"/>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32.4. </w:t>
      </w:r>
      <w:r w:rsidRPr="004866C0">
        <w:rPr>
          <w:rFonts w:ascii="Calibri" w:eastAsia="Times New Roman" w:hAnsi="Calibri" w:cs="Calibri"/>
          <w:b/>
          <w:bCs/>
          <w:iCs/>
          <w:color w:val="002060"/>
          <w:kern w:val="0"/>
          <w14:ligatures w14:val="none"/>
        </w:rPr>
        <w:t>Premissas Atuariais</w:t>
      </w:r>
    </w:p>
    <w:p w14:paraId="76756E8D"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iCs/>
          <w:color w:val="002060"/>
          <w:kern w:val="0"/>
          <w14:ligatures w14:val="none"/>
        </w:rPr>
      </w:pPr>
      <w:r w:rsidRPr="004866C0">
        <w:rPr>
          <w:rFonts w:ascii="Calibri" w:eastAsia="Times New Roman" w:hAnsi="Calibri" w:cs="Calibri"/>
          <w:iCs/>
          <w:color w:val="002060"/>
          <w:kern w:val="0"/>
          <w14:ligatures w14:val="none"/>
        </w:rPr>
        <w:t xml:space="preserve">Todas as premissas utilizadas neste estudo atuarial foram discutidas com a Telebrás e definidas em conjunto com este, de forma a cumprir as determinações do pronunciamento CPC 33(R1) e obter um cálculo de passivo atuarial que expresse a real obrigação do patrocinador em relação à sua entidade de previdência complementar. </w:t>
      </w:r>
    </w:p>
    <w:p w14:paraId="121F194D" w14:textId="7FA378F5" w:rsidR="004866C0" w:rsidRPr="004866C0" w:rsidRDefault="004866C0" w:rsidP="004866C0">
      <w:pPr>
        <w:autoSpaceDE w:val="0"/>
        <w:autoSpaceDN w:val="0"/>
        <w:adjustRightInd w:val="0"/>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32.4.1. </w:t>
      </w:r>
      <w:r w:rsidRPr="004866C0">
        <w:rPr>
          <w:rFonts w:ascii="Calibri" w:eastAsia="Times New Roman" w:hAnsi="Calibri" w:cs="Calibri"/>
          <w:b/>
          <w:bCs/>
          <w:iCs/>
          <w:color w:val="002060"/>
          <w:kern w:val="0"/>
          <w14:ligatures w14:val="none"/>
        </w:rPr>
        <w:t>Plano de Benefícios PBS - A</w:t>
      </w:r>
    </w:p>
    <w:p w14:paraId="64BCC1B8"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b/>
          <w:iCs/>
          <w:color w:val="002060"/>
          <w:kern w:val="0"/>
          <w14:ligatures w14:val="none"/>
        </w:rPr>
      </w:pPr>
      <w:r w:rsidRPr="004866C0">
        <w:rPr>
          <w:rFonts w:ascii="Calibri" w:eastAsia="Times New Roman" w:hAnsi="Calibri" w:cs="Calibri"/>
          <w:b/>
          <w:iCs/>
          <w:color w:val="002060"/>
          <w:kern w:val="0"/>
          <w14:ligatures w14:val="none"/>
        </w:rPr>
        <w:t>i) Premissas Biométricas:</w:t>
      </w:r>
    </w:p>
    <w:p w14:paraId="6FF851E9"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iCs/>
          <w:color w:val="002060"/>
          <w:kern w:val="0"/>
          <w14:ligatures w14:val="none"/>
        </w:rPr>
      </w:pPr>
      <w:r w:rsidRPr="004866C0">
        <w:rPr>
          <w:rFonts w:ascii="Calibri" w:eastAsia="Times New Roman" w:hAnsi="Calibri" w:cs="Calibri"/>
          <w:b/>
          <w:iCs/>
          <w:color w:val="002060"/>
          <w:kern w:val="0"/>
          <w14:ligatures w14:val="none"/>
        </w:rPr>
        <w:t xml:space="preserve">Tábua de mortalidade geral: </w:t>
      </w:r>
      <w:r w:rsidRPr="004866C0">
        <w:rPr>
          <w:rFonts w:ascii="Calibri" w:eastAsia="Times New Roman" w:hAnsi="Calibri" w:cs="Calibri"/>
          <w:iCs/>
          <w:color w:val="002060"/>
          <w:kern w:val="0"/>
          <w14:ligatures w14:val="none"/>
        </w:rPr>
        <w:t>AT-2000 Basic segregada por sexo;</w:t>
      </w:r>
    </w:p>
    <w:p w14:paraId="246B3994"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iCs/>
          <w:color w:val="002060"/>
          <w:kern w:val="0"/>
          <w14:ligatures w14:val="none"/>
        </w:rPr>
      </w:pPr>
      <w:r w:rsidRPr="004866C0">
        <w:rPr>
          <w:rFonts w:ascii="Calibri" w:eastAsia="Times New Roman" w:hAnsi="Calibri" w:cs="Calibri"/>
          <w:b/>
          <w:iCs/>
          <w:color w:val="002060"/>
          <w:kern w:val="0"/>
          <w14:ligatures w14:val="none"/>
        </w:rPr>
        <w:t xml:space="preserve">Tábua de entrada em invalidez: </w:t>
      </w:r>
      <w:r w:rsidRPr="004866C0">
        <w:rPr>
          <w:rFonts w:ascii="Calibri" w:eastAsia="Times New Roman" w:hAnsi="Calibri" w:cs="Calibri"/>
          <w:iCs/>
          <w:color w:val="002060"/>
          <w:kern w:val="0"/>
          <w14:ligatures w14:val="none"/>
        </w:rPr>
        <w:t>Não aplicável;</w:t>
      </w:r>
    </w:p>
    <w:p w14:paraId="408CA5D4"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b/>
          <w:iCs/>
          <w:color w:val="002060"/>
          <w:kern w:val="0"/>
          <w14:ligatures w14:val="none"/>
        </w:rPr>
      </w:pPr>
      <w:r w:rsidRPr="004866C0">
        <w:rPr>
          <w:rFonts w:ascii="Calibri" w:eastAsia="Times New Roman" w:hAnsi="Calibri" w:cs="Calibri"/>
          <w:b/>
          <w:iCs/>
          <w:color w:val="002060"/>
          <w:kern w:val="0"/>
          <w14:ligatures w14:val="none"/>
        </w:rPr>
        <w:t xml:space="preserve">Tábua de mortalidade de inválidos: </w:t>
      </w:r>
      <w:r w:rsidRPr="004866C0">
        <w:rPr>
          <w:rFonts w:ascii="Calibri" w:eastAsia="Times New Roman" w:hAnsi="Calibri" w:cs="Calibri"/>
          <w:iCs/>
          <w:color w:val="002060"/>
          <w:kern w:val="0"/>
          <w14:ligatures w14:val="none"/>
        </w:rPr>
        <w:t>AT-49 (Segregada) Agravada em 10%;</w:t>
      </w:r>
    </w:p>
    <w:p w14:paraId="6EC27F4B"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b/>
          <w:iCs/>
          <w:color w:val="002060"/>
          <w:kern w:val="0"/>
          <w14:ligatures w14:val="none"/>
        </w:rPr>
      </w:pPr>
      <w:r w:rsidRPr="004866C0">
        <w:rPr>
          <w:rFonts w:ascii="Calibri" w:eastAsia="Times New Roman" w:hAnsi="Calibri" w:cs="Calibri"/>
          <w:b/>
          <w:iCs/>
          <w:color w:val="002060"/>
          <w:kern w:val="0"/>
          <w14:ligatures w14:val="none"/>
        </w:rPr>
        <w:t xml:space="preserve">Tábua de serviço - </w:t>
      </w:r>
      <w:r w:rsidRPr="004866C0">
        <w:rPr>
          <w:rFonts w:ascii="Calibri" w:eastAsia="Times New Roman" w:hAnsi="Calibri" w:cs="Calibri"/>
          <w:iCs/>
          <w:color w:val="002060"/>
          <w:kern w:val="0"/>
          <w14:ligatures w14:val="none"/>
        </w:rPr>
        <w:t xml:space="preserve">Combinação das tábuas de mortalidade geral e de mortalidade de inválidos, utilizando-se o Método dos </w:t>
      </w:r>
      <w:proofErr w:type="spellStart"/>
      <w:r w:rsidRPr="004866C0">
        <w:rPr>
          <w:rFonts w:ascii="Calibri" w:eastAsia="Times New Roman" w:hAnsi="Calibri" w:cs="Calibri"/>
          <w:iCs/>
          <w:color w:val="002060"/>
          <w:kern w:val="0"/>
          <w14:ligatures w14:val="none"/>
        </w:rPr>
        <w:t>Multidecrementos</w:t>
      </w:r>
      <w:proofErr w:type="spellEnd"/>
      <w:r w:rsidRPr="004866C0">
        <w:rPr>
          <w:rFonts w:ascii="Calibri" w:eastAsia="Times New Roman" w:hAnsi="Calibri" w:cs="Calibri"/>
          <w:iCs/>
          <w:color w:val="002060"/>
          <w:kern w:val="0"/>
          <w14:ligatures w14:val="none"/>
        </w:rPr>
        <w:t>.</w:t>
      </w:r>
    </w:p>
    <w:p w14:paraId="5967C50F"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b/>
          <w:iCs/>
          <w:color w:val="002060"/>
          <w:kern w:val="0"/>
          <w14:ligatures w14:val="none"/>
        </w:rPr>
      </w:pPr>
      <w:proofErr w:type="spellStart"/>
      <w:r w:rsidRPr="004866C0">
        <w:rPr>
          <w:rFonts w:ascii="Calibri" w:eastAsia="Times New Roman" w:hAnsi="Calibri" w:cs="Calibri"/>
          <w:b/>
          <w:iCs/>
          <w:color w:val="002060"/>
          <w:kern w:val="0"/>
          <w14:ligatures w14:val="none"/>
        </w:rPr>
        <w:t>ii</w:t>
      </w:r>
      <w:proofErr w:type="spellEnd"/>
      <w:r w:rsidRPr="004866C0">
        <w:rPr>
          <w:rFonts w:ascii="Calibri" w:eastAsia="Times New Roman" w:hAnsi="Calibri" w:cs="Calibri"/>
          <w:b/>
          <w:iCs/>
          <w:color w:val="002060"/>
          <w:kern w:val="0"/>
          <w14:ligatures w14:val="none"/>
        </w:rPr>
        <w:t>) Premissas Econômicas:</w:t>
      </w:r>
    </w:p>
    <w:p w14:paraId="7B595AD5"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b/>
          <w:iCs/>
          <w:color w:val="002060"/>
          <w:kern w:val="0"/>
          <w14:ligatures w14:val="none"/>
        </w:rPr>
      </w:pPr>
      <w:r w:rsidRPr="004866C0">
        <w:rPr>
          <w:rFonts w:ascii="Calibri" w:eastAsia="Times New Roman" w:hAnsi="Calibri" w:cs="Calibri"/>
          <w:b/>
          <w:iCs/>
          <w:color w:val="002060"/>
          <w:kern w:val="0"/>
          <w14:ligatures w14:val="none"/>
        </w:rPr>
        <w:t>Taxa real de desconto atuarial de longo prazo:</w:t>
      </w:r>
      <w:r w:rsidRPr="004866C0">
        <w:rPr>
          <w:rFonts w:ascii="Calibri" w:eastAsia="Times New Roman" w:hAnsi="Calibri" w:cs="Calibri"/>
          <w:iCs/>
          <w:color w:val="002060"/>
          <w:kern w:val="0"/>
          <w14:ligatures w14:val="none"/>
        </w:rPr>
        <w:t xml:space="preserve"> 5,22%, obtida a partir da taxa de títulos públicos (NTN-B) registradas no final de 2023 com vencimento em 2030, por serem as mais compatíveis com o prazo de duração do passivo;</w:t>
      </w:r>
    </w:p>
    <w:p w14:paraId="2DFE84B5"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iCs/>
          <w:color w:val="002060"/>
          <w:kern w:val="0"/>
          <w14:ligatures w14:val="none"/>
        </w:rPr>
      </w:pPr>
      <w:r w:rsidRPr="004866C0">
        <w:rPr>
          <w:rFonts w:ascii="Calibri" w:eastAsia="Times New Roman" w:hAnsi="Calibri" w:cs="Calibri"/>
          <w:b/>
          <w:iCs/>
          <w:color w:val="002060"/>
          <w:kern w:val="0"/>
          <w14:ligatures w14:val="none"/>
        </w:rPr>
        <w:t>Taxa nominal de rendimento esperado para os ativos do plano e para o custo dos juros em 2023:</w:t>
      </w:r>
      <w:r w:rsidRPr="004866C0">
        <w:rPr>
          <w:rFonts w:ascii="Calibri" w:eastAsia="Times New Roman" w:hAnsi="Calibri" w:cs="Calibri"/>
          <w:iCs/>
          <w:color w:val="002060"/>
          <w:kern w:val="0"/>
          <w14:ligatures w14:val="none"/>
        </w:rPr>
        <w:t xml:space="preserve"> 9,50% composta pela estimativa de inflação (3,25%) mais juros reais de 6,05% ao ano. Essa taxa foi definida na avaliação de 2022, como expectativa para 2023, e foi usada para o cálculo das perdas e ganhos de passivo e ativo no referido exercício;</w:t>
      </w:r>
    </w:p>
    <w:p w14:paraId="1835D9D1"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b/>
          <w:iCs/>
          <w:color w:val="002060"/>
          <w:kern w:val="0"/>
          <w14:ligatures w14:val="none"/>
        </w:rPr>
      </w:pPr>
      <w:r w:rsidRPr="004866C0">
        <w:rPr>
          <w:rFonts w:ascii="Calibri" w:eastAsia="Times New Roman" w:hAnsi="Calibri" w:cs="Calibri"/>
          <w:b/>
          <w:iCs/>
          <w:color w:val="002060"/>
          <w:kern w:val="0"/>
          <w14:ligatures w14:val="none"/>
        </w:rPr>
        <w:t>Taxa de Rotatividade:</w:t>
      </w:r>
      <w:r w:rsidRPr="004866C0">
        <w:rPr>
          <w:rFonts w:ascii="Calibri" w:eastAsia="Times New Roman" w:hAnsi="Calibri" w:cs="Calibri"/>
          <w:iCs/>
          <w:color w:val="002060"/>
          <w:kern w:val="0"/>
          <w14:ligatures w14:val="none"/>
        </w:rPr>
        <w:t xml:space="preserve"> 0,00;</w:t>
      </w:r>
    </w:p>
    <w:p w14:paraId="64F1D408"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b/>
          <w:iCs/>
          <w:color w:val="002060"/>
          <w:kern w:val="0"/>
          <w14:ligatures w14:val="none"/>
        </w:rPr>
      </w:pPr>
      <w:r w:rsidRPr="004866C0">
        <w:rPr>
          <w:rFonts w:ascii="Calibri" w:eastAsia="Times New Roman" w:hAnsi="Calibri" w:cs="Calibri"/>
          <w:b/>
          <w:iCs/>
          <w:color w:val="002060"/>
          <w:kern w:val="0"/>
          <w14:ligatures w14:val="none"/>
        </w:rPr>
        <w:t>Taxa real de crescimento salarial:</w:t>
      </w:r>
      <w:r w:rsidRPr="004866C0">
        <w:rPr>
          <w:rFonts w:ascii="Calibri" w:eastAsia="Times New Roman" w:hAnsi="Calibri" w:cs="Calibri"/>
          <w:iCs/>
          <w:color w:val="002060"/>
          <w:kern w:val="0"/>
          <w14:ligatures w14:val="none"/>
        </w:rPr>
        <w:t xml:space="preserve"> 0,00%; </w:t>
      </w:r>
    </w:p>
    <w:p w14:paraId="2C601E16"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b/>
          <w:iCs/>
          <w:color w:val="002060"/>
          <w:kern w:val="0"/>
          <w14:ligatures w14:val="none"/>
        </w:rPr>
      </w:pPr>
      <w:r w:rsidRPr="004866C0">
        <w:rPr>
          <w:rFonts w:ascii="Calibri" w:eastAsia="Times New Roman" w:hAnsi="Calibri" w:cs="Calibri"/>
          <w:b/>
          <w:iCs/>
          <w:color w:val="002060"/>
          <w:kern w:val="0"/>
          <w14:ligatures w14:val="none"/>
        </w:rPr>
        <w:t xml:space="preserve">Taxa real de reajuste de benefícios: </w:t>
      </w:r>
      <w:r w:rsidRPr="004866C0">
        <w:rPr>
          <w:rFonts w:ascii="Calibri" w:eastAsia="Times New Roman" w:hAnsi="Calibri" w:cs="Calibri"/>
          <w:iCs/>
          <w:color w:val="002060"/>
          <w:kern w:val="0"/>
          <w14:ligatures w14:val="none"/>
        </w:rPr>
        <w:t>0,00%;</w:t>
      </w:r>
    </w:p>
    <w:p w14:paraId="7E6EEA09"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b/>
          <w:iCs/>
          <w:color w:val="002060"/>
          <w:kern w:val="0"/>
          <w14:ligatures w14:val="none"/>
        </w:rPr>
      </w:pPr>
      <w:r w:rsidRPr="004866C0">
        <w:rPr>
          <w:rFonts w:ascii="Calibri" w:eastAsia="Times New Roman" w:hAnsi="Calibri" w:cs="Calibri"/>
          <w:b/>
          <w:iCs/>
          <w:color w:val="002060"/>
          <w:kern w:val="0"/>
          <w14:ligatures w14:val="none"/>
        </w:rPr>
        <w:t>Taxa real de reajuste dos benefícios da Previdência Social:</w:t>
      </w:r>
      <w:r w:rsidRPr="004866C0">
        <w:rPr>
          <w:rFonts w:ascii="Calibri" w:eastAsia="Times New Roman" w:hAnsi="Calibri" w:cs="Calibri"/>
          <w:iCs/>
          <w:color w:val="002060"/>
          <w:kern w:val="0"/>
          <w14:ligatures w14:val="none"/>
        </w:rPr>
        <w:t xml:space="preserve"> 0,00%;</w:t>
      </w:r>
    </w:p>
    <w:p w14:paraId="0C8CE096" w14:textId="77777777" w:rsidR="004866C0" w:rsidRDefault="004866C0" w:rsidP="004866C0">
      <w:pPr>
        <w:autoSpaceDE w:val="0"/>
        <w:autoSpaceDN w:val="0"/>
        <w:adjustRightInd w:val="0"/>
        <w:spacing w:after="0" w:line="240" w:lineRule="auto"/>
        <w:jc w:val="both"/>
        <w:rPr>
          <w:rFonts w:ascii="Calibri" w:eastAsia="Times New Roman" w:hAnsi="Calibri" w:cs="Calibri"/>
          <w:b/>
          <w:iCs/>
          <w:color w:val="002060"/>
          <w:kern w:val="0"/>
          <w14:ligatures w14:val="none"/>
        </w:rPr>
      </w:pPr>
      <w:r w:rsidRPr="004866C0">
        <w:rPr>
          <w:rFonts w:ascii="Calibri" w:eastAsia="Times New Roman" w:hAnsi="Calibri" w:cs="Calibri"/>
          <w:b/>
          <w:iCs/>
          <w:color w:val="002060"/>
          <w:kern w:val="0"/>
          <w14:ligatures w14:val="none"/>
        </w:rPr>
        <w:t>Fator de Capacidade para salários:</w:t>
      </w:r>
      <w:r w:rsidRPr="004866C0">
        <w:rPr>
          <w:rFonts w:ascii="Calibri" w:eastAsia="Times New Roman" w:hAnsi="Calibri" w:cs="Calibri"/>
          <w:iCs/>
          <w:color w:val="002060"/>
          <w:kern w:val="0"/>
          <w14:ligatures w14:val="none"/>
        </w:rPr>
        <w:t xml:space="preserve"> 98%;</w:t>
      </w:r>
    </w:p>
    <w:p w14:paraId="4D9F8B7F" w14:textId="4AFAA4B0" w:rsidR="004866C0" w:rsidRPr="004866C0" w:rsidRDefault="004866C0" w:rsidP="004866C0">
      <w:pPr>
        <w:autoSpaceDE w:val="0"/>
        <w:autoSpaceDN w:val="0"/>
        <w:adjustRightInd w:val="0"/>
        <w:spacing w:after="0" w:line="240" w:lineRule="auto"/>
        <w:jc w:val="both"/>
        <w:rPr>
          <w:rFonts w:ascii="Calibri" w:eastAsia="Times New Roman" w:hAnsi="Calibri" w:cs="Calibri"/>
          <w:b/>
          <w:iCs/>
          <w:color w:val="002060"/>
          <w:kern w:val="0"/>
          <w14:ligatures w14:val="none"/>
        </w:rPr>
      </w:pPr>
      <w:r w:rsidRPr="004866C0">
        <w:rPr>
          <w:rFonts w:ascii="Calibri" w:eastAsia="Times New Roman" w:hAnsi="Calibri" w:cs="Calibri"/>
          <w:b/>
          <w:iCs/>
          <w:color w:val="002060"/>
          <w:kern w:val="0"/>
          <w14:ligatures w14:val="none"/>
        </w:rPr>
        <w:lastRenderedPageBreak/>
        <w:t>Fator de Capacidade para benefícios:</w:t>
      </w:r>
      <w:r w:rsidRPr="004866C0">
        <w:rPr>
          <w:rFonts w:ascii="Calibri" w:eastAsia="Times New Roman" w:hAnsi="Calibri" w:cs="Calibri"/>
          <w:iCs/>
          <w:color w:val="002060"/>
          <w:kern w:val="0"/>
          <w14:ligatures w14:val="none"/>
        </w:rPr>
        <w:t xml:space="preserve"> 98%;</w:t>
      </w:r>
    </w:p>
    <w:p w14:paraId="7CB7732E"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iCs/>
          <w:color w:val="002060"/>
          <w:kern w:val="0"/>
          <w14:ligatures w14:val="none"/>
        </w:rPr>
      </w:pPr>
      <w:r w:rsidRPr="004866C0">
        <w:rPr>
          <w:rFonts w:ascii="Calibri" w:eastAsia="Times New Roman" w:hAnsi="Calibri" w:cs="Calibri"/>
          <w:b/>
          <w:iCs/>
          <w:color w:val="002060"/>
          <w:kern w:val="0"/>
          <w14:ligatures w14:val="none"/>
        </w:rPr>
        <w:t>Estimativa da inflação para o período seguinte:</w:t>
      </w:r>
      <w:r w:rsidRPr="004866C0">
        <w:rPr>
          <w:rFonts w:ascii="Calibri" w:eastAsia="Times New Roman" w:hAnsi="Calibri" w:cs="Calibri"/>
          <w:iCs/>
          <w:color w:val="002060"/>
          <w:kern w:val="0"/>
          <w14:ligatures w14:val="none"/>
        </w:rPr>
        <w:t xml:space="preserve"> 3,90%, obtida em pesquisa no site do BACEN em 29/12/2023 e representa a expectativa de inflação para 2024.</w:t>
      </w:r>
    </w:p>
    <w:p w14:paraId="24CAB6B4"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b/>
          <w:iCs/>
          <w:color w:val="002060"/>
          <w:kern w:val="0"/>
          <w14:ligatures w14:val="none"/>
        </w:rPr>
      </w:pPr>
      <w:proofErr w:type="spellStart"/>
      <w:r w:rsidRPr="004866C0">
        <w:rPr>
          <w:rFonts w:ascii="Calibri" w:eastAsia="Times New Roman" w:hAnsi="Calibri" w:cs="Calibri"/>
          <w:b/>
          <w:iCs/>
          <w:color w:val="002060"/>
          <w:kern w:val="0"/>
          <w14:ligatures w14:val="none"/>
        </w:rPr>
        <w:t>iii</w:t>
      </w:r>
      <w:proofErr w:type="spellEnd"/>
      <w:r w:rsidRPr="004866C0">
        <w:rPr>
          <w:rFonts w:ascii="Calibri" w:eastAsia="Times New Roman" w:hAnsi="Calibri" w:cs="Calibri"/>
          <w:b/>
          <w:iCs/>
          <w:color w:val="002060"/>
          <w:kern w:val="0"/>
          <w14:ligatures w14:val="none"/>
        </w:rPr>
        <w:t>) Outras Premissas:</w:t>
      </w:r>
    </w:p>
    <w:p w14:paraId="0FCFEF23"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iCs/>
          <w:color w:val="002060"/>
          <w:kern w:val="0"/>
          <w14:ligatures w14:val="none"/>
        </w:rPr>
      </w:pPr>
      <w:r w:rsidRPr="004866C0">
        <w:rPr>
          <w:rFonts w:ascii="Calibri" w:eastAsia="Times New Roman" w:hAnsi="Calibri" w:cs="Calibri"/>
          <w:b/>
          <w:iCs/>
          <w:color w:val="002060"/>
          <w:kern w:val="0"/>
          <w14:ligatures w14:val="none"/>
        </w:rPr>
        <w:t>Hipótese sobre Gerações Futuras de Novos Entrados:</w:t>
      </w:r>
      <w:r w:rsidRPr="004866C0">
        <w:rPr>
          <w:rFonts w:ascii="Calibri" w:eastAsia="Times New Roman" w:hAnsi="Calibri" w:cs="Calibri"/>
          <w:iCs/>
          <w:color w:val="002060"/>
          <w:kern w:val="0"/>
          <w14:ligatures w14:val="none"/>
        </w:rPr>
        <w:t xml:space="preserve"> Não usada;</w:t>
      </w:r>
    </w:p>
    <w:p w14:paraId="3715B9BA"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iCs/>
          <w:color w:val="002060"/>
          <w:kern w:val="0"/>
          <w14:ligatures w14:val="none"/>
        </w:rPr>
      </w:pPr>
      <w:r w:rsidRPr="004866C0">
        <w:rPr>
          <w:rFonts w:ascii="Calibri" w:eastAsia="Times New Roman" w:hAnsi="Calibri" w:cs="Calibri"/>
          <w:b/>
          <w:iCs/>
          <w:color w:val="002060"/>
          <w:kern w:val="0"/>
          <w14:ligatures w14:val="none"/>
        </w:rPr>
        <w:t>Hipótese sobre a Composição da Família de Pensionistas:</w:t>
      </w:r>
      <w:r w:rsidRPr="004866C0">
        <w:rPr>
          <w:rFonts w:ascii="Calibri" w:eastAsia="Times New Roman" w:hAnsi="Calibri" w:cs="Calibri"/>
          <w:iCs/>
          <w:color w:val="002060"/>
          <w:kern w:val="0"/>
          <w14:ligatures w14:val="none"/>
        </w:rPr>
        <w:t xml:space="preserve"> família real.</w:t>
      </w:r>
    </w:p>
    <w:p w14:paraId="54FB4413" w14:textId="7578F5AD" w:rsidR="004866C0" w:rsidRPr="004866C0" w:rsidRDefault="00A25C77" w:rsidP="00A25C77">
      <w:pPr>
        <w:autoSpaceDE w:val="0"/>
        <w:autoSpaceDN w:val="0"/>
        <w:adjustRightInd w:val="0"/>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iCs/>
          <w:color w:val="002060"/>
          <w:kern w:val="0"/>
          <w14:ligatures w14:val="none"/>
        </w:rPr>
        <w:t xml:space="preserve">32.4.2. </w:t>
      </w:r>
      <w:r w:rsidR="004866C0" w:rsidRPr="004866C0">
        <w:rPr>
          <w:rFonts w:ascii="Calibri" w:eastAsia="Times New Roman" w:hAnsi="Calibri" w:cs="Calibri"/>
          <w:b/>
          <w:bCs/>
          <w:iCs/>
          <w:color w:val="002060"/>
          <w:kern w:val="0"/>
          <w14:ligatures w14:val="none"/>
        </w:rPr>
        <w:t>Plano de Benefícios PBS - Telebras</w:t>
      </w:r>
    </w:p>
    <w:p w14:paraId="3BF04B3F"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b/>
          <w:iCs/>
          <w:color w:val="002060"/>
          <w:kern w:val="0"/>
          <w14:ligatures w14:val="none"/>
        </w:rPr>
      </w:pPr>
      <w:r w:rsidRPr="004866C0">
        <w:rPr>
          <w:rFonts w:ascii="Calibri" w:eastAsia="Times New Roman" w:hAnsi="Calibri" w:cs="Calibri"/>
          <w:b/>
          <w:iCs/>
          <w:color w:val="002060"/>
          <w:kern w:val="0"/>
          <w14:ligatures w14:val="none"/>
        </w:rPr>
        <w:t>i) Premissas Biométricas:</w:t>
      </w:r>
    </w:p>
    <w:p w14:paraId="2C394266"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iCs/>
          <w:color w:val="002060"/>
          <w:kern w:val="0"/>
          <w14:ligatures w14:val="none"/>
        </w:rPr>
      </w:pPr>
      <w:r w:rsidRPr="004866C0">
        <w:rPr>
          <w:rFonts w:ascii="Calibri" w:eastAsia="Times New Roman" w:hAnsi="Calibri" w:cs="Calibri"/>
          <w:b/>
          <w:iCs/>
          <w:color w:val="002060"/>
          <w:kern w:val="0"/>
          <w14:ligatures w14:val="none"/>
        </w:rPr>
        <w:t xml:space="preserve">Tábua de mortalidade geral: </w:t>
      </w:r>
      <w:r w:rsidRPr="004866C0">
        <w:rPr>
          <w:rFonts w:ascii="Calibri" w:eastAsia="Times New Roman" w:hAnsi="Calibri" w:cs="Calibri"/>
          <w:iCs/>
          <w:color w:val="002060"/>
          <w:kern w:val="0"/>
          <w14:ligatures w14:val="none"/>
        </w:rPr>
        <w:t>AT 2012 IAM Basic Masculina;</w:t>
      </w:r>
    </w:p>
    <w:p w14:paraId="2BB52031"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iCs/>
          <w:color w:val="002060"/>
          <w:kern w:val="0"/>
          <w14:ligatures w14:val="none"/>
        </w:rPr>
      </w:pPr>
      <w:r w:rsidRPr="004866C0">
        <w:rPr>
          <w:rFonts w:ascii="Calibri" w:eastAsia="Times New Roman" w:hAnsi="Calibri" w:cs="Calibri"/>
          <w:b/>
          <w:iCs/>
          <w:color w:val="002060"/>
          <w:kern w:val="0"/>
          <w14:ligatures w14:val="none"/>
        </w:rPr>
        <w:t xml:space="preserve">Tábua de entrada em invalidez: </w:t>
      </w:r>
      <w:r w:rsidRPr="004866C0">
        <w:rPr>
          <w:rFonts w:ascii="Calibri" w:eastAsia="Times New Roman" w:hAnsi="Calibri" w:cs="Calibri"/>
          <w:iCs/>
          <w:color w:val="002060"/>
          <w:kern w:val="0"/>
          <w14:ligatures w14:val="none"/>
        </w:rPr>
        <w:t>não aplicado;</w:t>
      </w:r>
    </w:p>
    <w:p w14:paraId="5EA0C92C"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b/>
          <w:iCs/>
          <w:color w:val="002060"/>
          <w:kern w:val="0"/>
          <w14:ligatures w14:val="none"/>
        </w:rPr>
      </w:pPr>
      <w:r w:rsidRPr="004866C0">
        <w:rPr>
          <w:rFonts w:ascii="Calibri" w:eastAsia="Times New Roman" w:hAnsi="Calibri" w:cs="Calibri"/>
          <w:b/>
          <w:iCs/>
          <w:color w:val="002060"/>
          <w:kern w:val="0"/>
          <w14:ligatures w14:val="none"/>
        </w:rPr>
        <w:t xml:space="preserve">Tábua de mortalidade de inválidos: </w:t>
      </w:r>
      <w:r w:rsidRPr="004866C0">
        <w:rPr>
          <w:rFonts w:ascii="Calibri" w:eastAsia="Times New Roman" w:hAnsi="Calibri" w:cs="Calibri"/>
          <w:iCs/>
          <w:color w:val="002060"/>
          <w:kern w:val="0"/>
          <w14:ligatures w14:val="none"/>
        </w:rPr>
        <w:t>RP-2000 Feminina;</w:t>
      </w:r>
    </w:p>
    <w:p w14:paraId="595280DD"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b/>
          <w:iCs/>
          <w:color w:val="002060"/>
          <w:kern w:val="0"/>
          <w14:ligatures w14:val="none"/>
        </w:rPr>
      </w:pPr>
      <w:r w:rsidRPr="004866C0">
        <w:rPr>
          <w:rFonts w:ascii="Calibri" w:eastAsia="Times New Roman" w:hAnsi="Calibri" w:cs="Calibri"/>
          <w:b/>
          <w:iCs/>
          <w:color w:val="002060"/>
          <w:kern w:val="0"/>
          <w14:ligatures w14:val="none"/>
        </w:rPr>
        <w:t xml:space="preserve">Tábua de serviço - </w:t>
      </w:r>
      <w:r w:rsidRPr="004866C0">
        <w:rPr>
          <w:rFonts w:ascii="Calibri" w:eastAsia="Times New Roman" w:hAnsi="Calibri" w:cs="Calibri"/>
          <w:iCs/>
          <w:color w:val="002060"/>
          <w:kern w:val="0"/>
          <w14:ligatures w14:val="none"/>
        </w:rPr>
        <w:t xml:space="preserve">Combinação das tábuas de mortalidade geral e de mortalidade de inválidos, utilizando-se o Método dos </w:t>
      </w:r>
      <w:proofErr w:type="spellStart"/>
      <w:r w:rsidRPr="004866C0">
        <w:rPr>
          <w:rFonts w:ascii="Calibri" w:eastAsia="Times New Roman" w:hAnsi="Calibri" w:cs="Calibri"/>
          <w:iCs/>
          <w:color w:val="002060"/>
          <w:kern w:val="0"/>
          <w14:ligatures w14:val="none"/>
        </w:rPr>
        <w:t>Multidecrementos</w:t>
      </w:r>
      <w:proofErr w:type="spellEnd"/>
      <w:r w:rsidRPr="004866C0">
        <w:rPr>
          <w:rFonts w:ascii="Calibri" w:eastAsia="Times New Roman" w:hAnsi="Calibri" w:cs="Calibri"/>
          <w:iCs/>
          <w:color w:val="002060"/>
          <w:kern w:val="0"/>
          <w14:ligatures w14:val="none"/>
        </w:rPr>
        <w:t>.</w:t>
      </w:r>
    </w:p>
    <w:p w14:paraId="58960CE4"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b/>
          <w:iCs/>
          <w:color w:val="002060"/>
          <w:kern w:val="0"/>
          <w14:ligatures w14:val="none"/>
        </w:rPr>
      </w:pPr>
      <w:proofErr w:type="spellStart"/>
      <w:r w:rsidRPr="004866C0">
        <w:rPr>
          <w:rFonts w:ascii="Calibri" w:eastAsia="Times New Roman" w:hAnsi="Calibri" w:cs="Calibri"/>
          <w:b/>
          <w:iCs/>
          <w:color w:val="002060"/>
          <w:kern w:val="0"/>
          <w14:ligatures w14:val="none"/>
        </w:rPr>
        <w:t>ii</w:t>
      </w:r>
      <w:proofErr w:type="spellEnd"/>
      <w:r w:rsidRPr="004866C0">
        <w:rPr>
          <w:rFonts w:ascii="Calibri" w:eastAsia="Times New Roman" w:hAnsi="Calibri" w:cs="Calibri"/>
          <w:b/>
          <w:iCs/>
          <w:color w:val="002060"/>
          <w:kern w:val="0"/>
          <w14:ligatures w14:val="none"/>
        </w:rPr>
        <w:t>) Premissas Econômicas:</w:t>
      </w:r>
    </w:p>
    <w:p w14:paraId="3E86F168"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iCs/>
          <w:color w:val="002060"/>
          <w:kern w:val="0"/>
          <w14:ligatures w14:val="none"/>
        </w:rPr>
      </w:pPr>
      <w:r w:rsidRPr="004866C0">
        <w:rPr>
          <w:rFonts w:ascii="Calibri" w:eastAsia="Times New Roman" w:hAnsi="Calibri" w:cs="Calibri"/>
          <w:b/>
          <w:iCs/>
          <w:color w:val="002060"/>
          <w:kern w:val="0"/>
          <w14:ligatures w14:val="none"/>
        </w:rPr>
        <w:t>Taxa nominal de rendimento esperado para os ativos do plano e para o custo dos juros em 2022:</w:t>
      </w:r>
      <w:r w:rsidRPr="004866C0">
        <w:rPr>
          <w:rFonts w:ascii="Calibri" w:eastAsia="Times New Roman" w:hAnsi="Calibri" w:cs="Calibri"/>
          <w:iCs/>
          <w:color w:val="002060"/>
          <w:kern w:val="0"/>
          <w14:ligatures w14:val="none"/>
        </w:rPr>
        <w:t xml:space="preserve"> 9,50% composta pela estimativa de inflação (3,25%) mais juros reais de 6,05% ao ano. Essa taxa foi definida na avaliação de 2022, como expectativa para 2023, e foi usada para o cálculo das perdas e ganhos de passivo e ativo no referido exercício;</w:t>
      </w:r>
    </w:p>
    <w:p w14:paraId="59E7EFCE"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b/>
          <w:iCs/>
          <w:color w:val="002060"/>
          <w:kern w:val="0"/>
          <w14:ligatures w14:val="none"/>
        </w:rPr>
      </w:pPr>
      <w:r w:rsidRPr="004866C0">
        <w:rPr>
          <w:rFonts w:ascii="Calibri" w:eastAsia="Times New Roman" w:hAnsi="Calibri" w:cs="Calibri"/>
          <w:b/>
          <w:iCs/>
          <w:color w:val="002060"/>
          <w:kern w:val="0"/>
          <w14:ligatures w14:val="none"/>
        </w:rPr>
        <w:t>Taxa de Rotatividade:</w:t>
      </w:r>
      <w:r w:rsidRPr="004866C0">
        <w:rPr>
          <w:rFonts w:ascii="Calibri" w:eastAsia="Times New Roman" w:hAnsi="Calibri" w:cs="Calibri"/>
          <w:iCs/>
          <w:color w:val="002060"/>
          <w:kern w:val="0"/>
          <w14:ligatures w14:val="none"/>
        </w:rPr>
        <w:t xml:space="preserve"> 0,00%;</w:t>
      </w:r>
    </w:p>
    <w:p w14:paraId="31E7A78D"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b/>
          <w:iCs/>
          <w:color w:val="002060"/>
          <w:kern w:val="0"/>
          <w14:ligatures w14:val="none"/>
        </w:rPr>
      </w:pPr>
      <w:r w:rsidRPr="004866C0">
        <w:rPr>
          <w:rFonts w:ascii="Calibri" w:eastAsia="Times New Roman" w:hAnsi="Calibri" w:cs="Calibri"/>
          <w:b/>
          <w:iCs/>
          <w:color w:val="002060"/>
          <w:kern w:val="0"/>
          <w14:ligatures w14:val="none"/>
        </w:rPr>
        <w:t>Taxa real de crescimento salarial:</w:t>
      </w:r>
      <w:r w:rsidRPr="004866C0">
        <w:rPr>
          <w:rFonts w:ascii="Calibri" w:eastAsia="Times New Roman" w:hAnsi="Calibri" w:cs="Calibri"/>
          <w:iCs/>
          <w:color w:val="002060"/>
          <w:kern w:val="0"/>
          <w14:ligatures w14:val="none"/>
        </w:rPr>
        <w:t xml:space="preserve"> não aplicado; </w:t>
      </w:r>
    </w:p>
    <w:p w14:paraId="1F138D6A"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b/>
          <w:iCs/>
          <w:color w:val="002060"/>
          <w:kern w:val="0"/>
          <w14:ligatures w14:val="none"/>
        </w:rPr>
      </w:pPr>
      <w:r w:rsidRPr="004866C0">
        <w:rPr>
          <w:rFonts w:ascii="Calibri" w:eastAsia="Times New Roman" w:hAnsi="Calibri" w:cs="Calibri"/>
          <w:b/>
          <w:iCs/>
          <w:color w:val="002060"/>
          <w:kern w:val="0"/>
          <w14:ligatures w14:val="none"/>
        </w:rPr>
        <w:t xml:space="preserve">Taxa real de reajuste de benefícios: </w:t>
      </w:r>
      <w:r w:rsidRPr="004866C0">
        <w:rPr>
          <w:rFonts w:ascii="Calibri" w:eastAsia="Times New Roman" w:hAnsi="Calibri" w:cs="Calibri"/>
          <w:iCs/>
          <w:color w:val="002060"/>
          <w:kern w:val="0"/>
          <w14:ligatures w14:val="none"/>
        </w:rPr>
        <w:t>0,00%;</w:t>
      </w:r>
    </w:p>
    <w:p w14:paraId="4C24D008"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b/>
          <w:iCs/>
          <w:color w:val="002060"/>
          <w:kern w:val="0"/>
          <w14:ligatures w14:val="none"/>
        </w:rPr>
      </w:pPr>
      <w:r w:rsidRPr="004866C0">
        <w:rPr>
          <w:rFonts w:ascii="Calibri" w:eastAsia="Times New Roman" w:hAnsi="Calibri" w:cs="Calibri"/>
          <w:b/>
          <w:iCs/>
          <w:color w:val="002060"/>
          <w:kern w:val="0"/>
          <w14:ligatures w14:val="none"/>
        </w:rPr>
        <w:t>Taxa real de reajuste dos benefícios da Previdência Social:</w:t>
      </w:r>
      <w:r w:rsidRPr="004866C0">
        <w:rPr>
          <w:rFonts w:ascii="Calibri" w:eastAsia="Times New Roman" w:hAnsi="Calibri" w:cs="Calibri"/>
          <w:iCs/>
          <w:color w:val="002060"/>
          <w:kern w:val="0"/>
          <w14:ligatures w14:val="none"/>
        </w:rPr>
        <w:t xml:space="preserve"> 0,00;</w:t>
      </w:r>
    </w:p>
    <w:p w14:paraId="3B4DA969"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b/>
          <w:iCs/>
          <w:color w:val="002060"/>
          <w:kern w:val="0"/>
          <w14:ligatures w14:val="none"/>
        </w:rPr>
      </w:pPr>
      <w:r w:rsidRPr="004866C0">
        <w:rPr>
          <w:rFonts w:ascii="Calibri" w:eastAsia="Times New Roman" w:hAnsi="Calibri" w:cs="Calibri"/>
          <w:b/>
          <w:iCs/>
          <w:color w:val="002060"/>
          <w:kern w:val="0"/>
          <w14:ligatures w14:val="none"/>
        </w:rPr>
        <w:t>Fator de Capacidade para salários:</w:t>
      </w:r>
      <w:r w:rsidRPr="004866C0">
        <w:rPr>
          <w:rFonts w:ascii="Calibri" w:eastAsia="Times New Roman" w:hAnsi="Calibri" w:cs="Calibri"/>
          <w:iCs/>
          <w:color w:val="002060"/>
          <w:kern w:val="0"/>
          <w14:ligatures w14:val="none"/>
        </w:rPr>
        <w:t xml:space="preserve"> 98%;</w:t>
      </w:r>
    </w:p>
    <w:p w14:paraId="2D68E734"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b/>
          <w:iCs/>
          <w:color w:val="002060"/>
          <w:kern w:val="0"/>
          <w14:ligatures w14:val="none"/>
        </w:rPr>
      </w:pPr>
      <w:r w:rsidRPr="004866C0">
        <w:rPr>
          <w:rFonts w:ascii="Calibri" w:eastAsia="Times New Roman" w:hAnsi="Calibri" w:cs="Calibri"/>
          <w:b/>
          <w:iCs/>
          <w:color w:val="002060"/>
          <w:kern w:val="0"/>
          <w14:ligatures w14:val="none"/>
        </w:rPr>
        <w:t>Fator de Capacidade para benefícios:</w:t>
      </w:r>
      <w:r w:rsidRPr="004866C0">
        <w:rPr>
          <w:rFonts w:ascii="Calibri" w:eastAsia="Times New Roman" w:hAnsi="Calibri" w:cs="Calibri"/>
          <w:iCs/>
          <w:color w:val="002060"/>
          <w:kern w:val="0"/>
          <w14:ligatures w14:val="none"/>
        </w:rPr>
        <w:t xml:space="preserve"> 98%;</w:t>
      </w:r>
    </w:p>
    <w:p w14:paraId="2C7A895D"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iCs/>
          <w:color w:val="002060"/>
          <w:kern w:val="0"/>
          <w14:ligatures w14:val="none"/>
        </w:rPr>
      </w:pPr>
      <w:r w:rsidRPr="004866C0">
        <w:rPr>
          <w:rFonts w:ascii="Calibri" w:eastAsia="Times New Roman" w:hAnsi="Calibri" w:cs="Calibri"/>
          <w:b/>
          <w:iCs/>
          <w:color w:val="002060"/>
          <w:kern w:val="0"/>
          <w14:ligatures w14:val="none"/>
        </w:rPr>
        <w:t>Taxa esperada de inflação no longo prazo:</w:t>
      </w:r>
      <w:r w:rsidRPr="004866C0">
        <w:rPr>
          <w:rFonts w:ascii="Calibri" w:eastAsia="Times New Roman" w:hAnsi="Calibri" w:cs="Calibri"/>
          <w:iCs/>
          <w:color w:val="002060"/>
          <w:kern w:val="0"/>
          <w14:ligatures w14:val="none"/>
        </w:rPr>
        <w:t xml:space="preserve"> 3,90%, obtida em pesquisa no site do BACEN em 29/12/2023 e representa a expectativa de inflação para 2024.</w:t>
      </w:r>
    </w:p>
    <w:p w14:paraId="04504CFF"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b/>
          <w:iCs/>
          <w:color w:val="002060"/>
          <w:kern w:val="0"/>
          <w14:ligatures w14:val="none"/>
        </w:rPr>
      </w:pPr>
      <w:proofErr w:type="spellStart"/>
      <w:r w:rsidRPr="004866C0">
        <w:rPr>
          <w:rFonts w:ascii="Calibri" w:eastAsia="Times New Roman" w:hAnsi="Calibri" w:cs="Calibri"/>
          <w:b/>
          <w:iCs/>
          <w:color w:val="002060"/>
          <w:kern w:val="0"/>
          <w14:ligatures w14:val="none"/>
        </w:rPr>
        <w:t>iii</w:t>
      </w:r>
      <w:proofErr w:type="spellEnd"/>
      <w:r w:rsidRPr="004866C0">
        <w:rPr>
          <w:rFonts w:ascii="Calibri" w:eastAsia="Times New Roman" w:hAnsi="Calibri" w:cs="Calibri"/>
          <w:b/>
          <w:iCs/>
          <w:color w:val="002060"/>
          <w:kern w:val="0"/>
          <w14:ligatures w14:val="none"/>
        </w:rPr>
        <w:t>) Outras Premissas:</w:t>
      </w:r>
    </w:p>
    <w:p w14:paraId="69B06100"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iCs/>
          <w:color w:val="002060"/>
          <w:kern w:val="0"/>
          <w14:ligatures w14:val="none"/>
        </w:rPr>
      </w:pPr>
      <w:r w:rsidRPr="004866C0">
        <w:rPr>
          <w:rFonts w:ascii="Calibri" w:eastAsia="Times New Roman" w:hAnsi="Calibri" w:cs="Calibri"/>
          <w:b/>
          <w:iCs/>
          <w:color w:val="002060"/>
          <w:kern w:val="0"/>
          <w14:ligatures w14:val="none"/>
        </w:rPr>
        <w:t>Hipótese sobre Gerações Futuras de Novos Entrados:</w:t>
      </w:r>
      <w:r w:rsidRPr="004866C0">
        <w:rPr>
          <w:rFonts w:ascii="Calibri" w:eastAsia="Times New Roman" w:hAnsi="Calibri" w:cs="Calibri"/>
          <w:iCs/>
          <w:color w:val="002060"/>
          <w:kern w:val="0"/>
          <w14:ligatures w14:val="none"/>
        </w:rPr>
        <w:t xml:space="preserve"> </w:t>
      </w:r>
      <w:r w:rsidRPr="004866C0">
        <w:rPr>
          <w:rFonts w:ascii="Calibri" w:eastAsia="Times New Roman" w:hAnsi="Calibri" w:cs="Calibri"/>
          <w:bCs/>
          <w:iCs/>
          <w:color w:val="002060"/>
          <w:kern w:val="0"/>
          <w14:ligatures w14:val="none"/>
        </w:rPr>
        <w:t>Não usada;</w:t>
      </w:r>
    </w:p>
    <w:p w14:paraId="2E862214"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iCs/>
          <w:color w:val="002060"/>
          <w:kern w:val="0"/>
          <w14:ligatures w14:val="none"/>
        </w:rPr>
      </w:pPr>
      <w:r w:rsidRPr="004866C0">
        <w:rPr>
          <w:rFonts w:ascii="Calibri" w:eastAsia="Times New Roman" w:hAnsi="Calibri" w:cs="Calibri"/>
          <w:b/>
          <w:iCs/>
          <w:color w:val="002060"/>
          <w:kern w:val="0"/>
          <w14:ligatures w14:val="none"/>
        </w:rPr>
        <w:t>Hipótese sobre a Composição da Família de Pensionistas:</w:t>
      </w:r>
      <w:r w:rsidRPr="004866C0">
        <w:rPr>
          <w:rFonts w:ascii="Calibri" w:eastAsia="Times New Roman" w:hAnsi="Calibri" w:cs="Calibri"/>
          <w:iCs/>
          <w:color w:val="002060"/>
          <w:kern w:val="0"/>
          <w14:ligatures w14:val="none"/>
        </w:rPr>
        <w:t xml:space="preserve"> família real.</w:t>
      </w:r>
    </w:p>
    <w:p w14:paraId="36A44248" w14:textId="337BE07E" w:rsidR="004866C0" w:rsidRPr="004866C0" w:rsidRDefault="00A25C77" w:rsidP="00A25C77">
      <w:pPr>
        <w:autoSpaceDE w:val="0"/>
        <w:autoSpaceDN w:val="0"/>
        <w:adjustRightInd w:val="0"/>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iCs/>
          <w:color w:val="002060"/>
          <w:kern w:val="0"/>
          <w14:ligatures w14:val="none"/>
        </w:rPr>
        <w:t xml:space="preserve">32.4.3. </w:t>
      </w:r>
      <w:r w:rsidR="004866C0" w:rsidRPr="004866C0">
        <w:rPr>
          <w:rFonts w:ascii="Calibri" w:eastAsia="Times New Roman" w:hAnsi="Calibri" w:cs="Calibri"/>
          <w:b/>
          <w:bCs/>
          <w:iCs/>
          <w:color w:val="002060"/>
          <w:kern w:val="0"/>
          <w14:ligatures w14:val="none"/>
        </w:rPr>
        <w:t xml:space="preserve">Plano de Benefícios Telebras PREV </w:t>
      </w:r>
    </w:p>
    <w:p w14:paraId="5F9E8672"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b/>
          <w:iCs/>
          <w:color w:val="002060"/>
          <w:kern w:val="0"/>
          <w14:ligatures w14:val="none"/>
        </w:rPr>
      </w:pPr>
      <w:r w:rsidRPr="004866C0">
        <w:rPr>
          <w:rFonts w:ascii="Calibri" w:eastAsia="Times New Roman" w:hAnsi="Calibri" w:cs="Calibri"/>
          <w:b/>
          <w:iCs/>
          <w:color w:val="002060"/>
          <w:kern w:val="0"/>
          <w14:ligatures w14:val="none"/>
        </w:rPr>
        <w:t>i) Premissas Biométricas:</w:t>
      </w:r>
    </w:p>
    <w:p w14:paraId="7CA1DA9C"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iCs/>
          <w:color w:val="002060"/>
          <w:kern w:val="0"/>
          <w14:ligatures w14:val="none"/>
        </w:rPr>
      </w:pPr>
      <w:r w:rsidRPr="004866C0">
        <w:rPr>
          <w:rFonts w:ascii="Calibri" w:eastAsia="Times New Roman" w:hAnsi="Calibri" w:cs="Calibri"/>
          <w:b/>
          <w:iCs/>
          <w:color w:val="002060"/>
          <w:kern w:val="0"/>
          <w14:ligatures w14:val="none"/>
        </w:rPr>
        <w:t xml:space="preserve">Tábua de mortalidade geral: </w:t>
      </w:r>
      <w:r w:rsidRPr="004866C0">
        <w:rPr>
          <w:rFonts w:ascii="Calibri" w:eastAsia="Times New Roman" w:hAnsi="Calibri" w:cs="Calibri"/>
          <w:iCs/>
          <w:color w:val="002060"/>
          <w:kern w:val="0"/>
          <w14:ligatures w14:val="none"/>
        </w:rPr>
        <w:t>AT 2012 IAM Basic Masculina;</w:t>
      </w:r>
    </w:p>
    <w:p w14:paraId="684C8FE0"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iCs/>
          <w:color w:val="002060"/>
          <w:kern w:val="0"/>
          <w14:ligatures w14:val="none"/>
        </w:rPr>
      </w:pPr>
      <w:r w:rsidRPr="004866C0">
        <w:rPr>
          <w:rFonts w:ascii="Calibri" w:eastAsia="Times New Roman" w:hAnsi="Calibri" w:cs="Calibri"/>
          <w:b/>
          <w:iCs/>
          <w:color w:val="002060"/>
          <w:kern w:val="0"/>
          <w14:ligatures w14:val="none"/>
        </w:rPr>
        <w:t xml:space="preserve">Tábua de entrada em invalidez: </w:t>
      </w:r>
      <w:r w:rsidRPr="004866C0">
        <w:rPr>
          <w:rFonts w:ascii="Calibri" w:eastAsia="Times New Roman" w:hAnsi="Calibri" w:cs="Calibri"/>
          <w:iCs/>
          <w:color w:val="002060"/>
          <w:kern w:val="0"/>
          <w14:ligatures w14:val="none"/>
        </w:rPr>
        <w:t xml:space="preserve">Grupo Americana;  </w:t>
      </w:r>
    </w:p>
    <w:p w14:paraId="5C38724B"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b/>
          <w:iCs/>
          <w:color w:val="002060"/>
          <w:kern w:val="0"/>
          <w14:ligatures w14:val="none"/>
        </w:rPr>
      </w:pPr>
      <w:r w:rsidRPr="004866C0">
        <w:rPr>
          <w:rFonts w:ascii="Calibri" w:eastAsia="Times New Roman" w:hAnsi="Calibri" w:cs="Calibri"/>
          <w:b/>
          <w:iCs/>
          <w:color w:val="002060"/>
          <w:kern w:val="0"/>
          <w14:ligatures w14:val="none"/>
        </w:rPr>
        <w:t xml:space="preserve">Tábua de mortalidade de inválidos: </w:t>
      </w:r>
      <w:r w:rsidRPr="004866C0">
        <w:rPr>
          <w:rFonts w:ascii="Calibri" w:eastAsia="Times New Roman" w:hAnsi="Calibri" w:cs="Calibri"/>
          <w:iCs/>
          <w:color w:val="002060"/>
          <w:kern w:val="0"/>
          <w14:ligatures w14:val="none"/>
        </w:rPr>
        <w:t>RP-2000 Feminina;</w:t>
      </w:r>
    </w:p>
    <w:p w14:paraId="7C8592FD"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b/>
          <w:iCs/>
          <w:color w:val="002060"/>
          <w:kern w:val="0"/>
          <w14:ligatures w14:val="none"/>
        </w:rPr>
      </w:pPr>
      <w:r w:rsidRPr="004866C0">
        <w:rPr>
          <w:rFonts w:ascii="Calibri" w:eastAsia="Times New Roman" w:hAnsi="Calibri" w:cs="Calibri"/>
          <w:b/>
          <w:iCs/>
          <w:color w:val="002060"/>
          <w:kern w:val="0"/>
          <w14:ligatures w14:val="none"/>
        </w:rPr>
        <w:t xml:space="preserve">Tábua de serviço - </w:t>
      </w:r>
      <w:r w:rsidRPr="004866C0">
        <w:rPr>
          <w:rFonts w:ascii="Calibri" w:eastAsia="Times New Roman" w:hAnsi="Calibri" w:cs="Calibri"/>
          <w:iCs/>
          <w:color w:val="002060"/>
          <w:kern w:val="0"/>
          <w14:ligatures w14:val="none"/>
        </w:rPr>
        <w:t xml:space="preserve">Combinação das tábuas de mortalidade geral, de entrada em invalidez e de mortalidade de inválidos, utilizando-se o Método dos </w:t>
      </w:r>
      <w:proofErr w:type="spellStart"/>
      <w:r w:rsidRPr="004866C0">
        <w:rPr>
          <w:rFonts w:ascii="Calibri" w:eastAsia="Times New Roman" w:hAnsi="Calibri" w:cs="Calibri"/>
          <w:iCs/>
          <w:color w:val="002060"/>
          <w:kern w:val="0"/>
          <w14:ligatures w14:val="none"/>
        </w:rPr>
        <w:t>Multidecrementos</w:t>
      </w:r>
      <w:proofErr w:type="spellEnd"/>
      <w:r w:rsidRPr="004866C0">
        <w:rPr>
          <w:rFonts w:ascii="Calibri" w:eastAsia="Times New Roman" w:hAnsi="Calibri" w:cs="Calibri"/>
          <w:iCs/>
          <w:color w:val="002060"/>
          <w:kern w:val="0"/>
          <w14:ligatures w14:val="none"/>
        </w:rPr>
        <w:t>.</w:t>
      </w:r>
    </w:p>
    <w:p w14:paraId="5C1B0117"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b/>
          <w:iCs/>
          <w:color w:val="002060"/>
          <w:kern w:val="0"/>
          <w14:ligatures w14:val="none"/>
        </w:rPr>
      </w:pPr>
      <w:proofErr w:type="spellStart"/>
      <w:r w:rsidRPr="004866C0">
        <w:rPr>
          <w:rFonts w:ascii="Calibri" w:eastAsia="Times New Roman" w:hAnsi="Calibri" w:cs="Calibri"/>
          <w:b/>
          <w:iCs/>
          <w:color w:val="002060"/>
          <w:kern w:val="0"/>
          <w14:ligatures w14:val="none"/>
        </w:rPr>
        <w:t>ii</w:t>
      </w:r>
      <w:proofErr w:type="spellEnd"/>
      <w:r w:rsidRPr="004866C0">
        <w:rPr>
          <w:rFonts w:ascii="Calibri" w:eastAsia="Times New Roman" w:hAnsi="Calibri" w:cs="Calibri"/>
          <w:b/>
          <w:iCs/>
          <w:color w:val="002060"/>
          <w:kern w:val="0"/>
          <w14:ligatures w14:val="none"/>
        </w:rPr>
        <w:t>) Premissas Econômicas:</w:t>
      </w:r>
    </w:p>
    <w:p w14:paraId="5C7206BD"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b/>
          <w:iCs/>
          <w:color w:val="002060"/>
          <w:kern w:val="0"/>
          <w14:ligatures w14:val="none"/>
        </w:rPr>
      </w:pPr>
      <w:r w:rsidRPr="004866C0">
        <w:rPr>
          <w:rFonts w:ascii="Calibri" w:eastAsia="Times New Roman" w:hAnsi="Calibri" w:cs="Calibri"/>
          <w:b/>
          <w:iCs/>
          <w:color w:val="002060"/>
          <w:kern w:val="0"/>
          <w14:ligatures w14:val="none"/>
        </w:rPr>
        <w:t>Taxa real de desconto atuarial de longo prazo:</w:t>
      </w:r>
      <w:r w:rsidRPr="004866C0">
        <w:rPr>
          <w:rFonts w:ascii="Calibri" w:eastAsia="Times New Roman" w:hAnsi="Calibri" w:cs="Calibri"/>
          <w:iCs/>
          <w:color w:val="002060"/>
          <w:kern w:val="0"/>
          <w14:ligatures w14:val="none"/>
        </w:rPr>
        <w:t xml:space="preserve"> 5,32%, obtida a partir da taxa de títulos públicos (NTN-B) registradas no final de 2023 com vencimento em 2032, por serem as mais compatíveis com o prazo de duração do passivo;</w:t>
      </w:r>
    </w:p>
    <w:p w14:paraId="1D796537"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iCs/>
          <w:color w:val="002060"/>
          <w:kern w:val="0"/>
          <w14:ligatures w14:val="none"/>
        </w:rPr>
      </w:pPr>
      <w:r w:rsidRPr="004866C0">
        <w:rPr>
          <w:rFonts w:ascii="Calibri" w:eastAsia="Times New Roman" w:hAnsi="Calibri" w:cs="Calibri"/>
          <w:b/>
          <w:iCs/>
          <w:color w:val="002060"/>
          <w:kern w:val="0"/>
          <w14:ligatures w14:val="none"/>
        </w:rPr>
        <w:t>Taxa nominal de rendimento esperado para os ativos do plano e para o custo dos juros em 2022:</w:t>
      </w:r>
      <w:r w:rsidRPr="004866C0">
        <w:rPr>
          <w:rFonts w:ascii="Calibri" w:eastAsia="Times New Roman" w:hAnsi="Calibri" w:cs="Calibri"/>
          <w:iCs/>
          <w:color w:val="002060"/>
          <w:kern w:val="0"/>
          <w14:ligatures w14:val="none"/>
        </w:rPr>
        <w:t xml:space="preserve"> 9,50% composta pela estimativa de inflação (3,25%) mais juros reais de 6,05% ao ano. Essa taxa foi definida na avaliação de 2022, como expectativa para 2023, e foi usada para o cálculo das perdas e ganhos de passivo e ativo no referido exercício;</w:t>
      </w:r>
    </w:p>
    <w:p w14:paraId="552CBFAD"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b/>
          <w:iCs/>
          <w:color w:val="002060"/>
          <w:kern w:val="0"/>
          <w14:ligatures w14:val="none"/>
        </w:rPr>
      </w:pPr>
      <w:r w:rsidRPr="004866C0">
        <w:rPr>
          <w:rFonts w:ascii="Calibri" w:eastAsia="Times New Roman" w:hAnsi="Calibri" w:cs="Calibri"/>
          <w:b/>
          <w:iCs/>
          <w:color w:val="002060"/>
          <w:kern w:val="0"/>
          <w14:ligatures w14:val="none"/>
        </w:rPr>
        <w:t>Taxa de Rotatividade:</w:t>
      </w:r>
      <w:r w:rsidRPr="004866C0">
        <w:rPr>
          <w:rFonts w:ascii="Calibri" w:eastAsia="Times New Roman" w:hAnsi="Calibri" w:cs="Calibri"/>
          <w:iCs/>
          <w:color w:val="002060"/>
          <w:kern w:val="0"/>
          <w14:ligatures w14:val="none"/>
        </w:rPr>
        <w:t xml:space="preserve"> 4,41% a.a.;</w:t>
      </w:r>
    </w:p>
    <w:p w14:paraId="30C241BD"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b/>
          <w:iCs/>
          <w:color w:val="002060"/>
          <w:kern w:val="0"/>
          <w14:ligatures w14:val="none"/>
        </w:rPr>
      </w:pPr>
      <w:r w:rsidRPr="004866C0">
        <w:rPr>
          <w:rFonts w:ascii="Calibri" w:eastAsia="Times New Roman" w:hAnsi="Calibri" w:cs="Calibri"/>
          <w:b/>
          <w:iCs/>
          <w:color w:val="002060"/>
          <w:kern w:val="0"/>
          <w14:ligatures w14:val="none"/>
        </w:rPr>
        <w:t>Taxa real de crescimento salarial:</w:t>
      </w:r>
      <w:r w:rsidRPr="004866C0">
        <w:rPr>
          <w:rFonts w:ascii="Calibri" w:eastAsia="Times New Roman" w:hAnsi="Calibri" w:cs="Calibri"/>
          <w:iCs/>
          <w:color w:val="002060"/>
          <w:kern w:val="0"/>
          <w14:ligatures w14:val="none"/>
        </w:rPr>
        <w:t xml:space="preserve"> 1,00% a.a.; </w:t>
      </w:r>
    </w:p>
    <w:p w14:paraId="2760CD19"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b/>
          <w:iCs/>
          <w:color w:val="002060"/>
          <w:kern w:val="0"/>
          <w14:ligatures w14:val="none"/>
        </w:rPr>
      </w:pPr>
      <w:r w:rsidRPr="004866C0">
        <w:rPr>
          <w:rFonts w:ascii="Calibri" w:eastAsia="Times New Roman" w:hAnsi="Calibri" w:cs="Calibri"/>
          <w:b/>
          <w:iCs/>
          <w:color w:val="002060"/>
          <w:kern w:val="0"/>
          <w14:ligatures w14:val="none"/>
        </w:rPr>
        <w:t xml:space="preserve">Taxa real de reajuste de benefícios: </w:t>
      </w:r>
      <w:r w:rsidRPr="004866C0">
        <w:rPr>
          <w:rFonts w:ascii="Calibri" w:eastAsia="Times New Roman" w:hAnsi="Calibri" w:cs="Calibri"/>
          <w:iCs/>
          <w:color w:val="002060"/>
          <w:kern w:val="0"/>
          <w14:ligatures w14:val="none"/>
        </w:rPr>
        <w:t>0,00%;</w:t>
      </w:r>
    </w:p>
    <w:p w14:paraId="47A8FEF7"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b/>
          <w:iCs/>
          <w:color w:val="002060"/>
          <w:kern w:val="0"/>
          <w14:ligatures w14:val="none"/>
        </w:rPr>
      </w:pPr>
      <w:r w:rsidRPr="004866C0">
        <w:rPr>
          <w:rFonts w:ascii="Calibri" w:eastAsia="Times New Roman" w:hAnsi="Calibri" w:cs="Calibri"/>
          <w:b/>
          <w:iCs/>
          <w:color w:val="002060"/>
          <w:kern w:val="0"/>
          <w14:ligatures w14:val="none"/>
        </w:rPr>
        <w:t>Taxa real de reajuste dos benefícios da Previdência Social:</w:t>
      </w:r>
      <w:r w:rsidRPr="004866C0">
        <w:rPr>
          <w:rFonts w:ascii="Calibri" w:eastAsia="Times New Roman" w:hAnsi="Calibri" w:cs="Calibri"/>
          <w:iCs/>
          <w:color w:val="002060"/>
          <w:kern w:val="0"/>
          <w14:ligatures w14:val="none"/>
        </w:rPr>
        <w:t xml:space="preserve"> 0,00%;</w:t>
      </w:r>
    </w:p>
    <w:p w14:paraId="394A1D20"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b/>
          <w:iCs/>
          <w:color w:val="002060"/>
          <w:kern w:val="0"/>
          <w14:ligatures w14:val="none"/>
        </w:rPr>
      </w:pPr>
      <w:r w:rsidRPr="004866C0">
        <w:rPr>
          <w:rFonts w:ascii="Calibri" w:eastAsia="Times New Roman" w:hAnsi="Calibri" w:cs="Calibri"/>
          <w:b/>
          <w:iCs/>
          <w:color w:val="002060"/>
          <w:kern w:val="0"/>
          <w14:ligatures w14:val="none"/>
        </w:rPr>
        <w:t>Fator de Capacidade para salários:</w:t>
      </w:r>
      <w:r w:rsidRPr="004866C0">
        <w:rPr>
          <w:rFonts w:ascii="Calibri" w:eastAsia="Times New Roman" w:hAnsi="Calibri" w:cs="Calibri"/>
          <w:iCs/>
          <w:color w:val="002060"/>
          <w:kern w:val="0"/>
          <w14:ligatures w14:val="none"/>
        </w:rPr>
        <w:t xml:space="preserve"> 98%;</w:t>
      </w:r>
    </w:p>
    <w:p w14:paraId="6B4C34D5"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b/>
          <w:iCs/>
          <w:color w:val="002060"/>
          <w:kern w:val="0"/>
          <w14:ligatures w14:val="none"/>
        </w:rPr>
      </w:pPr>
      <w:r w:rsidRPr="004866C0">
        <w:rPr>
          <w:rFonts w:ascii="Calibri" w:eastAsia="Times New Roman" w:hAnsi="Calibri" w:cs="Calibri"/>
          <w:b/>
          <w:iCs/>
          <w:color w:val="002060"/>
          <w:kern w:val="0"/>
          <w14:ligatures w14:val="none"/>
        </w:rPr>
        <w:t>Fator de Capacidade para benefícios:</w:t>
      </w:r>
      <w:r w:rsidRPr="004866C0">
        <w:rPr>
          <w:rFonts w:ascii="Calibri" w:eastAsia="Times New Roman" w:hAnsi="Calibri" w:cs="Calibri"/>
          <w:iCs/>
          <w:color w:val="002060"/>
          <w:kern w:val="0"/>
          <w14:ligatures w14:val="none"/>
        </w:rPr>
        <w:t xml:space="preserve"> 98%;</w:t>
      </w:r>
    </w:p>
    <w:p w14:paraId="6593B1E8"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iCs/>
          <w:color w:val="002060"/>
          <w:kern w:val="0"/>
          <w14:ligatures w14:val="none"/>
        </w:rPr>
      </w:pPr>
      <w:r w:rsidRPr="004866C0">
        <w:rPr>
          <w:rFonts w:ascii="Calibri" w:eastAsia="Times New Roman" w:hAnsi="Calibri" w:cs="Calibri"/>
          <w:b/>
          <w:iCs/>
          <w:color w:val="002060"/>
          <w:kern w:val="0"/>
          <w14:ligatures w14:val="none"/>
        </w:rPr>
        <w:t>Taxa esperada de inflação no longo prazo:</w:t>
      </w:r>
      <w:r w:rsidRPr="004866C0">
        <w:rPr>
          <w:rFonts w:ascii="Calibri" w:eastAsia="Times New Roman" w:hAnsi="Calibri" w:cs="Calibri"/>
          <w:iCs/>
          <w:color w:val="002060"/>
          <w:kern w:val="0"/>
          <w14:ligatures w14:val="none"/>
        </w:rPr>
        <w:t xml:space="preserve"> 3,90%, obtida em pesquisa no site do BACEN em 29/12/2023 e representa a expectativa de inflação para 2024.</w:t>
      </w:r>
    </w:p>
    <w:p w14:paraId="28E4E312" w14:textId="77777777" w:rsidR="00A25C77" w:rsidRDefault="004866C0" w:rsidP="004866C0">
      <w:pPr>
        <w:autoSpaceDE w:val="0"/>
        <w:autoSpaceDN w:val="0"/>
        <w:adjustRightInd w:val="0"/>
        <w:spacing w:after="0" w:line="240" w:lineRule="auto"/>
        <w:jc w:val="both"/>
        <w:rPr>
          <w:rFonts w:ascii="Calibri" w:eastAsia="Times New Roman" w:hAnsi="Calibri" w:cs="Calibri"/>
          <w:b/>
          <w:iCs/>
          <w:color w:val="002060"/>
          <w:kern w:val="0"/>
          <w14:ligatures w14:val="none"/>
        </w:rPr>
      </w:pPr>
      <w:proofErr w:type="spellStart"/>
      <w:r w:rsidRPr="004866C0">
        <w:rPr>
          <w:rFonts w:ascii="Calibri" w:eastAsia="Times New Roman" w:hAnsi="Calibri" w:cs="Calibri"/>
          <w:b/>
          <w:iCs/>
          <w:color w:val="002060"/>
          <w:kern w:val="0"/>
          <w14:ligatures w14:val="none"/>
        </w:rPr>
        <w:t>iii</w:t>
      </w:r>
      <w:proofErr w:type="spellEnd"/>
      <w:r w:rsidRPr="004866C0">
        <w:rPr>
          <w:rFonts w:ascii="Calibri" w:eastAsia="Times New Roman" w:hAnsi="Calibri" w:cs="Calibri"/>
          <w:b/>
          <w:iCs/>
          <w:color w:val="002060"/>
          <w:kern w:val="0"/>
          <w14:ligatures w14:val="none"/>
        </w:rPr>
        <w:t>) Outras Premissas:</w:t>
      </w:r>
    </w:p>
    <w:p w14:paraId="7E2AA43C" w14:textId="2810D5C0" w:rsidR="004866C0" w:rsidRPr="004866C0" w:rsidRDefault="004866C0" w:rsidP="004866C0">
      <w:pPr>
        <w:autoSpaceDE w:val="0"/>
        <w:autoSpaceDN w:val="0"/>
        <w:adjustRightInd w:val="0"/>
        <w:spacing w:after="0" w:line="240" w:lineRule="auto"/>
        <w:jc w:val="both"/>
        <w:rPr>
          <w:rFonts w:ascii="Calibri" w:eastAsia="Times New Roman" w:hAnsi="Calibri" w:cs="Calibri"/>
          <w:b/>
          <w:iCs/>
          <w:color w:val="002060"/>
          <w:kern w:val="0"/>
          <w14:ligatures w14:val="none"/>
        </w:rPr>
      </w:pPr>
      <w:r w:rsidRPr="004866C0">
        <w:rPr>
          <w:rFonts w:ascii="Calibri" w:eastAsia="Times New Roman" w:hAnsi="Calibri" w:cs="Calibri"/>
          <w:b/>
          <w:iCs/>
          <w:color w:val="002060"/>
          <w:kern w:val="0"/>
          <w14:ligatures w14:val="none"/>
        </w:rPr>
        <w:lastRenderedPageBreak/>
        <w:t>Hipótese sobre Gerações Futuras de Novos Entrados:</w:t>
      </w:r>
      <w:r w:rsidRPr="004866C0">
        <w:rPr>
          <w:rFonts w:ascii="Calibri" w:eastAsia="Times New Roman" w:hAnsi="Calibri" w:cs="Calibri"/>
          <w:iCs/>
          <w:color w:val="002060"/>
          <w:kern w:val="0"/>
          <w14:ligatures w14:val="none"/>
        </w:rPr>
        <w:t xml:space="preserve"> </w:t>
      </w:r>
      <w:r w:rsidRPr="004866C0">
        <w:rPr>
          <w:rFonts w:ascii="Calibri" w:eastAsia="Times New Roman" w:hAnsi="Calibri" w:cs="Calibri"/>
          <w:bCs/>
          <w:iCs/>
          <w:color w:val="002060"/>
          <w:kern w:val="0"/>
          <w14:ligatures w14:val="none"/>
        </w:rPr>
        <w:t>Não usada;</w:t>
      </w:r>
    </w:p>
    <w:p w14:paraId="44EB9A04"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b/>
          <w:iCs/>
          <w:color w:val="002060"/>
          <w:kern w:val="0"/>
          <w14:ligatures w14:val="none"/>
        </w:rPr>
      </w:pPr>
      <w:r w:rsidRPr="004866C0">
        <w:rPr>
          <w:rFonts w:ascii="Calibri" w:eastAsia="Times New Roman" w:hAnsi="Calibri" w:cs="Calibri"/>
          <w:b/>
          <w:iCs/>
          <w:color w:val="002060"/>
          <w:kern w:val="0"/>
          <w14:ligatures w14:val="none"/>
        </w:rPr>
        <w:t>Hipótese sobre a Composição da Família de Ativos:</w:t>
      </w:r>
      <w:r w:rsidRPr="004866C0">
        <w:rPr>
          <w:rFonts w:ascii="Calibri" w:eastAsia="Times New Roman" w:hAnsi="Calibri" w:cs="Calibri"/>
          <w:iCs/>
          <w:color w:val="002060"/>
          <w:kern w:val="0"/>
          <w14:ligatures w14:val="none"/>
        </w:rPr>
        <w:t xml:space="preserve"> 76,90% dos participantes têm dependentes, as esposas são 5 anos mais jovens e o dependente temporário mais novo perde essa condição quando o participante atinge 66 anos de idade;</w:t>
      </w:r>
    </w:p>
    <w:p w14:paraId="1D806DFC"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b/>
          <w:iCs/>
          <w:color w:val="002060"/>
          <w:kern w:val="0"/>
          <w14:ligatures w14:val="none"/>
        </w:rPr>
      </w:pPr>
      <w:r w:rsidRPr="004866C0">
        <w:rPr>
          <w:rFonts w:ascii="Calibri" w:eastAsia="Times New Roman" w:hAnsi="Calibri" w:cs="Calibri"/>
          <w:b/>
          <w:iCs/>
          <w:color w:val="002060"/>
          <w:kern w:val="0"/>
          <w14:ligatures w14:val="none"/>
        </w:rPr>
        <w:t>Hipótese sobre a Composição da Família de Pensionistas:</w:t>
      </w:r>
      <w:r w:rsidRPr="004866C0">
        <w:rPr>
          <w:rFonts w:ascii="Calibri" w:eastAsia="Times New Roman" w:hAnsi="Calibri" w:cs="Calibri"/>
          <w:iCs/>
          <w:color w:val="002060"/>
          <w:kern w:val="0"/>
          <w14:ligatures w14:val="none"/>
        </w:rPr>
        <w:t xml:space="preserve"> família real.</w:t>
      </w:r>
    </w:p>
    <w:p w14:paraId="4C496F14" w14:textId="4E8011F5" w:rsidR="004866C0" w:rsidRPr="004866C0" w:rsidRDefault="00A25C77" w:rsidP="00A25C77">
      <w:pPr>
        <w:autoSpaceDE w:val="0"/>
        <w:autoSpaceDN w:val="0"/>
        <w:adjustRightInd w:val="0"/>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32.5. </w:t>
      </w:r>
      <w:r w:rsidR="004866C0" w:rsidRPr="004866C0">
        <w:rPr>
          <w:rFonts w:ascii="Calibri" w:eastAsia="Times New Roman" w:hAnsi="Calibri" w:cs="Calibri"/>
          <w:b/>
          <w:bCs/>
          <w:iCs/>
          <w:color w:val="002060"/>
          <w:kern w:val="0"/>
          <w14:ligatures w14:val="none"/>
        </w:rPr>
        <w:t xml:space="preserve">Resultados dos Planos </w:t>
      </w:r>
    </w:p>
    <w:p w14:paraId="36A9C4BC" w14:textId="77777777" w:rsidR="004866C0" w:rsidRPr="004866C0" w:rsidRDefault="004866C0" w:rsidP="004866C0">
      <w:pPr>
        <w:autoSpaceDE w:val="0"/>
        <w:autoSpaceDN w:val="0"/>
        <w:adjustRightInd w:val="0"/>
        <w:spacing w:after="0" w:line="240" w:lineRule="auto"/>
        <w:jc w:val="both"/>
        <w:rPr>
          <w:rFonts w:ascii="Calibri" w:eastAsia="Times New Roman" w:hAnsi="Calibri" w:cs="Calibri"/>
          <w:iCs/>
          <w:color w:val="002060"/>
          <w:kern w:val="0"/>
          <w14:ligatures w14:val="none"/>
        </w:rPr>
      </w:pPr>
      <w:r w:rsidRPr="004866C0">
        <w:rPr>
          <w:rFonts w:ascii="Calibri" w:eastAsia="Times New Roman" w:hAnsi="Calibri" w:cs="Calibri"/>
          <w:iCs/>
          <w:color w:val="002060"/>
          <w:kern w:val="0"/>
          <w14:ligatures w14:val="none"/>
        </w:rPr>
        <w:t>As especificações das informações e os resultados encontram-se detalhados nos quadros seguintes, com base nos dados extraídos dos balancetes da SISTEL de 31 de dezembro de 2023 e nos dados dos cadastros de participantes e dependentes daquela entidade posicionados em dezembro de 2023.</w:t>
      </w:r>
    </w:p>
    <w:p w14:paraId="0907EE7E" w14:textId="4C17B1EF" w:rsidR="004866C0" w:rsidRDefault="00A25C77" w:rsidP="00A25C77">
      <w:pPr>
        <w:autoSpaceDE w:val="0"/>
        <w:autoSpaceDN w:val="0"/>
        <w:adjustRightInd w:val="0"/>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32.5.1. </w:t>
      </w:r>
      <w:r w:rsidR="004866C0" w:rsidRPr="004866C0">
        <w:rPr>
          <w:rFonts w:ascii="Calibri" w:eastAsia="Times New Roman" w:hAnsi="Calibri" w:cs="Calibri"/>
          <w:b/>
          <w:bCs/>
          <w:iCs/>
          <w:color w:val="002060"/>
          <w:kern w:val="0"/>
          <w14:ligatures w14:val="none"/>
        </w:rPr>
        <w:t>Valor Justo dos Ativos dos Planos em 31 de dezembro 2023 e 2022</w:t>
      </w:r>
    </w:p>
    <w:tbl>
      <w:tblPr>
        <w:tblW w:w="5000" w:type="pct"/>
        <w:tblCellMar>
          <w:left w:w="70" w:type="dxa"/>
          <w:right w:w="70" w:type="dxa"/>
        </w:tblCellMar>
        <w:tblLook w:val="04A0" w:firstRow="1" w:lastRow="0" w:firstColumn="1" w:lastColumn="0" w:noHBand="0" w:noVBand="1"/>
      </w:tblPr>
      <w:tblGrid>
        <w:gridCol w:w="3681"/>
        <w:gridCol w:w="979"/>
        <w:gridCol w:w="961"/>
        <w:gridCol w:w="1038"/>
        <w:gridCol w:w="1038"/>
        <w:gridCol w:w="1038"/>
        <w:gridCol w:w="1036"/>
      </w:tblGrid>
      <w:tr w:rsidR="00A25C77" w:rsidRPr="00A25C77" w14:paraId="1BE85D4F" w14:textId="77777777" w:rsidTr="00446A14">
        <w:trPr>
          <w:trHeight w:val="238"/>
        </w:trPr>
        <w:tc>
          <w:tcPr>
            <w:tcW w:w="1884"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6EABF5CC" w14:textId="77777777" w:rsidR="00A25C77" w:rsidRPr="00A25C77" w:rsidRDefault="00A25C77" w:rsidP="00A25C77">
            <w:pPr>
              <w:spacing w:after="0" w:line="240" w:lineRule="auto"/>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Composição:</w:t>
            </w:r>
          </w:p>
        </w:tc>
        <w:tc>
          <w:tcPr>
            <w:tcW w:w="993" w:type="pct"/>
            <w:gridSpan w:val="2"/>
            <w:tcBorders>
              <w:top w:val="single" w:sz="4" w:space="0" w:color="auto"/>
              <w:left w:val="nil"/>
              <w:bottom w:val="single" w:sz="4" w:space="0" w:color="auto"/>
              <w:right w:val="single" w:sz="4" w:space="0" w:color="auto"/>
            </w:tcBorders>
            <w:shd w:val="clear" w:color="auto" w:fill="auto"/>
            <w:vAlign w:val="center"/>
            <w:hideMark/>
          </w:tcPr>
          <w:p w14:paraId="56019256"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PBS-A</w:t>
            </w:r>
          </w:p>
        </w:tc>
        <w:tc>
          <w:tcPr>
            <w:tcW w:w="1062" w:type="pct"/>
            <w:gridSpan w:val="2"/>
            <w:tcBorders>
              <w:top w:val="single" w:sz="4" w:space="0" w:color="auto"/>
              <w:left w:val="nil"/>
              <w:bottom w:val="single" w:sz="4" w:space="0" w:color="auto"/>
              <w:right w:val="single" w:sz="4" w:space="0" w:color="auto"/>
            </w:tcBorders>
            <w:shd w:val="clear" w:color="auto" w:fill="auto"/>
            <w:vAlign w:val="center"/>
            <w:hideMark/>
          </w:tcPr>
          <w:p w14:paraId="1557D792"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PBS-Telebras</w:t>
            </w:r>
          </w:p>
        </w:tc>
        <w:tc>
          <w:tcPr>
            <w:tcW w:w="1061" w:type="pct"/>
            <w:gridSpan w:val="2"/>
            <w:tcBorders>
              <w:top w:val="single" w:sz="4" w:space="0" w:color="auto"/>
              <w:left w:val="nil"/>
              <w:bottom w:val="single" w:sz="4" w:space="0" w:color="auto"/>
              <w:right w:val="single" w:sz="4" w:space="0" w:color="auto"/>
            </w:tcBorders>
            <w:shd w:val="clear" w:color="auto" w:fill="auto"/>
            <w:vAlign w:val="center"/>
            <w:hideMark/>
          </w:tcPr>
          <w:p w14:paraId="65F5A5D9"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Telebras PREV</w:t>
            </w:r>
          </w:p>
        </w:tc>
      </w:tr>
      <w:tr w:rsidR="00A25C77" w:rsidRPr="00A25C77" w14:paraId="6B35D609" w14:textId="77777777" w:rsidTr="00446A14">
        <w:trPr>
          <w:trHeight w:val="238"/>
        </w:trPr>
        <w:tc>
          <w:tcPr>
            <w:tcW w:w="1884" w:type="pct"/>
            <w:vMerge/>
            <w:tcBorders>
              <w:top w:val="single" w:sz="4" w:space="0" w:color="auto"/>
              <w:left w:val="single" w:sz="4" w:space="0" w:color="auto"/>
              <w:bottom w:val="single" w:sz="4" w:space="0" w:color="auto"/>
              <w:right w:val="single" w:sz="4" w:space="0" w:color="auto"/>
            </w:tcBorders>
            <w:vAlign w:val="center"/>
            <w:hideMark/>
          </w:tcPr>
          <w:p w14:paraId="3C50739F" w14:textId="77777777" w:rsidR="00A25C77" w:rsidRPr="00A25C77" w:rsidRDefault="00A25C77" w:rsidP="00A25C77">
            <w:pPr>
              <w:spacing w:after="0" w:line="240" w:lineRule="auto"/>
              <w:rPr>
                <w:rFonts w:ascii="Arial" w:eastAsia="Times New Roman" w:hAnsi="Arial" w:cs="Arial"/>
                <w:b/>
                <w:bCs/>
                <w:color w:val="000000"/>
                <w:kern w:val="0"/>
                <w:sz w:val="16"/>
                <w:szCs w:val="16"/>
                <w:lang w:eastAsia="pt-BR"/>
                <w14:ligatures w14:val="none"/>
              </w:rPr>
            </w:pPr>
          </w:p>
        </w:tc>
        <w:tc>
          <w:tcPr>
            <w:tcW w:w="501" w:type="pct"/>
            <w:tcBorders>
              <w:top w:val="nil"/>
              <w:left w:val="nil"/>
              <w:bottom w:val="single" w:sz="4" w:space="0" w:color="auto"/>
              <w:right w:val="single" w:sz="4" w:space="0" w:color="auto"/>
            </w:tcBorders>
            <w:shd w:val="clear" w:color="auto" w:fill="auto"/>
            <w:vAlign w:val="center"/>
            <w:hideMark/>
          </w:tcPr>
          <w:p w14:paraId="75705F05"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31/12/2023</w:t>
            </w:r>
          </w:p>
        </w:tc>
        <w:tc>
          <w:tcPr>
            <w:tcW w:w="492" w:type="pct"/>
            <w:tcBorders>
              <w:top w:val="nil"/>
              <w:left w:val="nil"/>
              <w:bottom w:val="single" w:sz="4" w:space="0" w:color="auto"/>
              <w:right w:val="single" w:sz="4" w:space="0" w:color="auto"/>
            </w:tcBorders>
            <w:shd w:val="clear" w:color="auto" w:fill="auto"/>
            <w:vAlign w:val="center"/>
            <w:hideMark/>
          </w:tcPr>
          <w:p w14:paraId="72FA2EDC"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31/12/2022</w:t>
            </w:r>
          </w:p>
        </w:tc>
        <w:tc>
          <w:tcPr>
            <w:tcW w:w="531" w:type="pct"/>
            <w:tcBorders>
              <w:top w:val="nil"/>
              <w:left w:val="nil"/>
              <w:bottom w:val="single" w:sz="4" w:space="0" w:color="auto"/>
              <w:right w:val="single" w:sz="4" w:space="0" w:color="auto"/>
            </w:tcBorders>
            <w:shd w:val="clear" w:color="auto" w:fill="auto"/>
            <w:vAlign w:val="center"/>
            <w:hideMark/>
          </w:tcPr>
          <w:p w14:paraId="02E4AB6E"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31/12/2023</w:t>
            </w:r>
          </w:p>
        </w:tc>
        <w:tc>
          <w:tcPr>
            <w:tcW w:w="531" w:type="pct"/>
            <w:tcBorders>
              <w:top w:val="nil"/>
              <w:left w:val="nil"/>
              <w:bottom w:val="single" w:sz="4" w:space="0" w:color="auto"/>
              <w:right w:val="single" w:sz="4" w:space="0" w:color="auto"/>
            </w:tcBorders>
            <w:shd w:val="clear" w:color="auto" w:fill="auto"/>
            <w:vAlign w:val="center"/>
            <w:hideMark/>
          </w:tcPr>
          <w:p w14:paraId="19915808"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31/12/2022</w:t>
            </w:r>
          </w:p>
        </w:tc>
        <w:tc>
          <w:tcPr>
            <w:tcW w:w="531" w:type="pct"/>
            <w:tcBorders>
              <w:top w:val="nil"/>
              <w:left w:val="nil"/>
              <w:bottom w:val="single" w:sz="4" w:space="0" w:color="auto"/>
              <w:right w:val="single" w:sz="4" w:space="0" w:color="auto"/>
            </w:tcBorders>
            <w:shd w:val="clear" w:color="auto" w:fill="auto"/>
            <w:vAlign w:val="center"/>
            <w:hideMark/>
          </w:tcPr>
          <w:p w14:paraId="77EADFCE"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31/12/2023</w:t>
            </w:r>
          </w:p>
        </w:tc>
        <w:tc>
          <w:tcPr>
            <w:tcW w:w="530" w:type="pct"/>
            <w:tcBorders>
              <w:top w:val="nil"/>
              <w:left w:val="nil"/>
              <w:bottom w:val="single" w:sz="4" w:space="0" w:color="auto"/>
              <w:right w:val="single" w:sz="4" w:space="0" w:color="auto"/>
            </w:tcBorders>
            <w:shd w:val="clear" w:color="auto" w:fill="auto"/>
            <w:vAlign w:val="center"/>
            <w:hideMark/>
          </w:tcPr>
          <w:p w14:paraId="0898DBD3"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31/12/2022</w:t>
            </w:r>
          </w:p>
        </w:tc>
      </w:tr>
      <w:tr w:rsidR="00A25C77" w:rsidRPr="00A25C77" w14:paraId="74CED868" w14:textId="77777777" w:rsidTr="00446A14">
        <w:trPr>
          <w:trHeight w:val="238"/>
        </w:trPr>
        <w:tc>
          <w:tcPr>
            <w:tcW w:w="1884" w:type="pct"/>
            <w:tcBorders>
              <w:top w:val="nil"/>
              <w:left w:val="single" w:sz="4" w:space="0" w:color="auto"/>
              <w:bottom w:val="single" w:sz="4" w:space="0" w:color="auto"/>
              <w:right w:val="single" w:sz="4" w:space="0" w:color="auto"/>
            </w:tcBorders>
            <w:shd w:val="clear" w:color="auto" w:fill="auto"/>
            <w:vAlign w:val="center"/>
            <w:hideMark/>
          </w:tcPr>
          <w:p w14:paraId="0B6113CE" w14:textId="77777777" w:rsidR="00A25C77" w:rsidRPr="00A25C77" w:rsidRDefault="00A25C77" w:rsidP="00A25C77">
            <w:pPr>
              <w:spacing w:after="0" w:line="240" w:lineRule="auto"/>
              <w:rPr>
                <w:rFonts w:ascii="Arial" w:eastAsia="Times New Roman" w:hAnsi="Arial" w:cs="Arial"/>
                <w:color w:val="000000"/>
                <w:kern w:val="0"/>
                <w:sz w:val="16"/>
                <w:szCs w:val="16"/>
                <w:lang w:eastAsia="pt-BR"/>
                <w14:ligatures w14:val="none"/>
              </w:rPr>
            </w:pPr>
            <w:r w:rsidRPr="00A25C77">
              <w:rPr>
                <w:rFonts w:ascii="Arial" w:eastAsia="Times New Roman" w:hAnsi="Arial" w:cs="Arial"/>
                <w:color w:val="000000"/>
                <w:kern w:val="0"/>
                <w:sz w:val="16"/>
                <w:szCs w:val="16"/>
                <w:lang w:eastAsia="pt-BR"/>
                <w14:ligatures w14:val="none"/>
              </w:rPr>
              <w:t>1. Valor dos ativos a mercado (i)</w:t>
            </w:r>
          </w:p>
        </w:tc>
        <w:tc>
          <w:tcPr>
            <w:tcW w:w="501" w:type="pct"/>
            <w:tcBorders>
              <w:top w:val="nil"/>
              <w:left w:val="nil"/>
              <w:bottom w:val="single" w:sz="4" w:space="0" w:color="auto"/>
              <w:right w:val="single" w:sz="4" w:space="0" w:color="auto"/>
            </w:tcBorders>
            <w:shd w:val="clear" w:color="auto" w:fill="auto"/>
            <w:vAlign w:val="center"/>
            <w:hideMark/>
          </w:tcPr>
          <w:p w14:paraId="2641751E" w14:textId="77777777" w:rsidR="00A25C77" w:rsidRPr="00A25C77" w:rsidRDefault="00A25C77" w:rsidP="00A25C77">
            <w:pPr>
              <w:spacing w:after="0" w:line="240" w:lineRule="auto"/>
              <w:jc w:val="right"/>
              <w:rPr>
                <w:rFonts w:ascii="Arial" w:eastAsia="Times New Roman" w:hAnsi="Arial" w:cs="Arial"/>
                <w:color w:val="000000"/>
                <w:kern w:val="0"/>
                <w:sz w:val="16"/>
                <w:szCs w:val="16"/>
                <w:lang w:eastAsia="pt-BR"/>
                <w14:ligatures w14:val="none"/>
              </w:rPr>
            </w:pPr>
            <w:r w:rsidRPr="00A25C77">
              <w:rPr>
                <w:rFonts w:ascii="Arial" w:eastAsia="Times New Roman" w:hAnsi="Arial" w:cs="Arial"/>
                <w:color w:val="000000"/>
                <w:kern w:val="0"/>
                <w:sz w:val="16"/>
                <w:szCs w:val="16"/>
                <w:lang w:eastAsia="pt-BR"/>
                <w14:ligatures w14:val="none"/>
              </w:rPr>
              <w:t xml:space="preserve">14.412.694 </w:t>
            </w:r>
          </w:p>
        </w:tc>
        <w:tc>
          <w:tcPr>
            <w:tcW w:w="492" w:type="pct"/>
            <w:tcBorders>
              <w:top w:val="nil"/>
              <w:left w:val="nil"/>
              <w:bottom w:val="single" w:sz="4" w:space="0" w:color="auto"/>
              <w:right w:val="single" w:sz="4" w:space="0" w:color="auto"/>
            </w:tcBorders>
            <w:shd w:val="clear" w:color="auto" w:fill="auto"/>
            <w:vAlign w:val="center"/>
            <w:hideMark/>
          </w:tcPr>
          <w:p w14:paraId="3836CAFA" w14:textId="77777777" w:rsidR="00A25C77" w:rsidRPr="00A25C77" w:rsidRDefault="00A25C77" w:rsidP="00A25C77">
            <w:pPr>
              <w:spacing w:after="0" w:line="240" w:lineRule="auto"/>
              <w:jc w:val="right"/>
              <w:rPr>
                <w:rFonts w:ascii="Arial" w:eastAsia="Times New Roman" w:hAnsi="Arial" w:cs="Arial"/>
                <w:color w:val="000000"/>
                <w:kern w:val="0"/>
                <w:sz w:val="16"/>
                <w:szCs w:val="16"/>
                <w:lang w:eastAsia="pt-BR"/>
                <w14:ligatures w14:val="none"/>
              </w:rPr>
            </w:pPr>
            <w:r w:rsidRPr="00A25C77">
              <w:rPr>
                <w:rFonts w:ascii="Arial" w:eastAsia="Times New Roman" w:hAnsi="Arial" w:cs="Arial"/>
                <w:color w:val="000000"/>
                <w:kern w:val="0"/>
                <w:sz w:val="16"/>
                <w:szCs w:val="16"/>
                <w:lang w:eastAsia="pt-BR"/>
                <w14:ligatures w14:val="none"/>
              </w:rPr>
              <w:t xml:space="preserve">12.742.715 </w:t>
            </w:r>
          </w:p>
        </w:tc>
        <w:tc>
          <w:tcPr>
            <w:tcW w:w="531" w:type="pct"/>
            <w:tcBorders>
              <w:top w:val="nil"/>
              <w:left w:val="nil"/>
              <w:bottom w:val="single" w:sz="4" w:space="0" w:color="auto"/>
              <w:right w:val="single" w:sz="4" w:space="0" w:color="auto"/>
            </w:tcBorders>
            <w:shd w:val="clear" w:color="auto" w:fill="auto"/>
            <w:vAlign w:val="center"/>
            <w:hideMark/>
          </w:tcPr>
          <w:p w14:paraId="2915B2D0" w14:textId="77777777" w:rsidR="00A25C77" w:rsidRPr="00A25C77" w:rsidRDefault="00A25C77" w:rsidP="00A25C77">
            <w:pPr>
              <w:spacing w:after="0" w:line="240" w:lineRule="auto"/>
              <w:jc w:val="right"/>
              <w:rPr>
                <w:rFonts w:ascii="Arial" w:eastAsia="Times New Roman" w:hAnsi="Arial" w:cs="Arial"/>
                <w:color w:val="000000"/>
                <w:kern w:val="0"/>
                <w:sz w:val="16"/>
                <w:szCs w:val="16"/>
                <w:lang w:eastAsia="pt-BR"/>
                <w14:ligatures w14:val="none"/>
              </w:rPr>
            </w:pPr>
            <w:r w:rsidRPr="00A25C77">
              <w:rPr>
                <w:rFonts w:ascii="Arial" w:eastAsia="Times New Roman" w:hAnsi="Arial" w:cs="Arial"/>
                <w:color w:val="000000"/>
                <w:kern w:val="0"/>
                <w:sz w:val="16"/>
                <w:szCs w:val="16"/>
                <w:lang w:eastAsia="pt-BR"/>
                <w14:ligatures w14:val="none"/>
              </w:rPr>
              <w:t xml:space="preserve">       488.491 </w:t>
            </w:r>
          </w:p>
        </w:tc>
        <w:tc>
          <w:tcPr>
            <w:tcW w:w="531" w:type="pct"/>
            <w:tcBorders>
              <w:top w:val="nil"/>
              <w:left w:val="nil"/>
              <w:bottom w:val="single" w:sz="4" w:space="0" w:color="auto"/>
              <w:right w:val="single" w:sz="4" w:space="0" w:color="auto"/>
            </w:tcBorders>
            <w:shd w:val="clear" w:color="auto" w:fill="auto"/>
            <w:vAlign w:val="center"/>
            <w:hideMark/>
          </w:tcPr>
          <w:p w14:paraId="40798ECF" w14:textId="77777777" w:rsidR="00A25C77" w:rsidRPr="00A25C77" w:rsidRDefault="00A25C77" w:rsidP="00A25C77">
            <w:pPr>
              <w:spacing w:after="0" w:line="240" w:lineRule="auto"/>
              <w:jc w:val="right"/>
              <w:rPr>
                <w:rFonts w:ascii="Arial" w:eastAsia="Times New Roman" w:hAnsi="Arial" w:cs="Arial"/>
                <w:color w:val="000000"/>
                <w:kern w:val="0"/>
                <w:sz w:val="16"/>
                <w:szCs w:val="16"/>
                <w:lang w:eastAsia="pt-BR"/>
                <w14:ligatures w14:val="none"/>
              </w:rPr>
            </w:pPr>
            <w:r w:rsidRPr="00A25C77">
              <w:rPr>
                <w:rFonts w:ascii="Arial" w:eastAsia="Times New Roman" w:hAnsi="Arial" w:cs="Arial"/>
                <w:color w:val="000000"/>
                <w:kern w:val="0"/>
                <w:sz w:val="16"/>
                <w:szCs w:val="16"/>
                <w:lang w:eastAsia="pt-BR"/>
                <w14:ligatures w14:val="none"/>
              </w:rPr>
              <w:t xml:space="preserve">       435.017 </w:t>
            </w:r>
          </w:p>
        </w:tc>
        <w:tc>
          <w:tcPr>
            <w:tcW w:w="531" w:type="pct"/>
            <w:tcBorders>
              <w:top w:val="nil"/>
              <w:left w:val="nil"/>
              <w:bottom w:val="single" w:sz="4" w:space="0" w:color="auto"/>
              <w:right w:val="single" w:sz="4" w:space="0" w:color="auto"/>
            </w:tcBorders>
            <w:shd w:val="clear" w:color="auto" w:fill="auto"/>
            <w:vAlign w:val="center"/>
            <w:hideMark/>
          </w:tcPr>
          <w:p w14:paraId="12686C5A" w14:textId="77777777" w:rsidR="00A25C77" w:rsidRPr="00A25C77" w:rsidRDefault="00A25C77" w:rsidP="00A25C77">
            <w:pPr>
              <w:spacing w:after="0" w:line="240" w:lineRule="auto"/>
              <w:jc w:val="right"/>
              <w:rPr>
                <w:rFonts w:ascii="Arial" w:eastAsia="Times New Roman" w:hAnsi="Arial" w:cs="Arial"/>
                <w:color w:val="000000"/>
                <w:kern w:val="0"/>
                <w:sz w:val="16"/>
                <w:szCs w:val="16"/>
                <w:lang w:eastAsia="pt-BR"/>
                <w14:ligatures w14:val="none"/>
              </w:rPr>
            </w:pPr>
            <w:r w:rsidRPr="00A25C77">
              <w:rPr>
                <w:rFonts w:ascii="Arial" w:eastAsia="Times New Roman" w:hAnsi="Arial" w:cs="Arial"/>
                <w:color w:val="000000"/>
                <w:kern w:val="0"/>
                <w:sz w:val="16"/>
                <w:szCs w:val="16"/>
                <w:lang w:eastAsia="pt-BR"/>
                <w14:ligatures w14:val="none"/>
              </w:rPr>
              <w:t xml:space="preserve">   1.330.887 </w:t>
            </w:r>
          </w:p>
        </w:tc>
        <w:tc>
          <w:tcPr>
            <w:tcW w:w="530" w:type="pct"/>
            <w:tcBorders>
              <w:top w:val="nil"/>
              <w:left w:val="nil"/>
              <w:bottom w:val="single" w:sz="4" w:space="0" w:color="auto"/>
              <w:right w:val="single" w:sz="4" w:space="0" w:color="auto"/>
            </w:tcBorders>
            <w:shd w:val="clear" w:color="auto" w:fill="auto"/>
            <w:vAlign w:val="center"/>
            <w:hideMark/>
          </w:tcPr>
          <w:p w14:paraId="4B11614E" w14:textId="77777777" w:rsidR="00A25C77" w:rsidRPr="00A25C77" w:rsidRDefault="00A25C77" w:rsidP="00A25C77">
            <w:pPr>
              <w:spacing w:after="0" w:line="240" w:lineRule="auto"/>
              <w:jc w:val="right"/>
              <w:rPr>
                <w:rFonts w:ascii="Arial" w:eastAsia="Times New Roman" w:hAnsi="Arial" w:cs="Arial"/>
                <w:color w:val="000000"/>
                <w:kern w:val="0"/>
                <w:sz w:val="16"/>
                <w:szCs w:val="16"/>
                <w:lang w:eastAsia="pt-BR"/>
                <w14:ligatures w14:val="none"/>
              </w:rPr>
            </w:pPr>
            <w:r w:rsidRPr="00A25C77">
              <w:rPr>
                <w:rFonts w:ascii="Arial" w:eastAsia="Times New Roman" w:hAnsi="Arial" w:cs="Arial"/>
                <w:color w:val="000000"/>
                <w:kern w:val="0"/>
                <w:sz w:val="16"/>
                <w:szCs w:val="16"/>
                <w:lang w:eastAsia="pt-BR"/>
                <w14:ligatures w14:val="none"/>
              </w:rPr>
              <w:t xml:space="preserve">   1.077.486 </w:t>
            </w:r>
          </w:p>
        </w:tc>
      </w:tr>
      <w:tr w:rsidR="00A25C77" w:rsidRPr="00A25C77" w14:paraId="713F7539" w14:textId="77777777" w:rsidTr="00446A14">
        <w:trPr>
          <w:trHeight w:val="238"/>
        </w:trPr>
        <w:tc>
          <w:tcPr>
            <w:tcW w:w="1884" w:type="pct"/>
            <w:tcBorders>
              <w:top w:val="nil"/>
              <w:left w:val="single" w:sz="4" w:space="0" w:color="auto"/>
              <w:bottom w:val="single" w:sz="4" w:space="0" w:color="auto"/>
              <w:right w:val="single" w:sz="4" w:space="0" w:color="auto"/>
            </w:tcBorders>
            <w:shd w:val="clear" w:color="auto" w:fill="auto"/>
            <w:vAlign w:val="center"/>
            <w:hideMark/>
          </w:tcPr>
          <w:p w14:paraId="3E50FD46" w14:textId="77777777" w:rsidR="00A25C77" w:rsidRPr="00A25C77" w:rsidRDefault="00A25C77" w:rsidP="00A25C77">
            <w:pPr>
              <w:spacing w:after="0" w:line="240" w:lineRule="auto"/>
              <w:rPr>
                <w:rFonts w:ascii="Arial" w:eastAsia="Times New Roman" w:hAnsi="Arial" w:cs="Arial"/>
                <w:color w:val="000000"/>
                <w:kern w:val="0"/>
                <w:sz w:val="16"/>
                <w:szCs w:val="16"/>
                <w:lang w:eastAsia="pt-BR"/>
                <w14:ligatures w14:val="none"/>
              </w:rPr>
            </w:pPr>
            <w:r w:rsidRPr="00A25C77">
              <w:rPr>
                <w:rFonts w:ascii="Arial" w:eastAsia="Times New Roman" w:hAnsi="Arial" w:cs="Arial"/>
                <w:color w:val="000000"/>
                <w:kern w:val="0"/>
                <w:sz w:val="16"/>
                <w:szCs w:val="16"/>
                <w:lang w:eastAsia="pt-BR"/>
                <w14:ligatures w14:val="none"/>
              </w:rPr>
              <w:t>2. Exigível operacional (</w:t>
            </w:r>
            <w:proofErr w:type="spellStart"/>
            <w:r w:rsidRPr="00A25C77">
              <w:rPr>
                <w:rFonts w:ascii="Arial" w:eastAsia="Times New Roman" w:hAnsi="Arial" w:cs="Arial"/>
                <w:color w:val="000000"/>
                <w:kern w:val="0"/>
                <w:sz w:val="16"/>
                <w:szCs w:val="16"/>
                <w:lang w:eastAsia="pt-BR"/>
                <w14:ligatures w14:val="none"/>
              </w:rPr>
              <w:t>ii</w:t>
            </w:r>
            <w:proofErr w:type="spellEnd"/>
            <w:r w:rsidRPr="00A25C77">
              <w:rPr>
                <w:rFonts w:ascii="Arial" w:eastAsia="Times New Roman" w:hAnsi="Arial" w:cs="Arial"/>
                <w:color w:val="000000"/>
                <w:kern w:val="0"/>
                <w:sz w:val="16"/>
                <w:szCs w:val="16"/>
                <w:lang w:eastAsia="pt-BR"/>
                <w14:ligatures w14:val="none"/>
              </w:rPr>
              <w:t>)</w:t>
            </w:r>
          </w:p>
        </w:tc>
        <w:tc>
          <w:tcPr>
            <w:tcW w:w="501" w:type="pct"/>
            <w:tcBorders>
              <w:top w:val="nil"/>
              <w:left w:val="nil"/>
              <w:bottom w:val="single" w:sz="4" w:space="0" w:color="auto"/>
              <w:right w:val="single" w:sz="4" w:space="0" w:color="auto"/>
            </w:tcBorders>
            <w:shd w:val="clear" w:color="auto" w:fill="auto"/>
            <w:vAlign w:val="center"/>
            <w:hideMark/>
          </w:tcPr>
          <w:p w14:paraId="44114B0F" w14:textId="77777777" w:rsidR="00A25C77" w:rsidRPr="00A25C77" w:rsidRDefault="00A25C77" w:rsidP="00A25C77">
            <w:pPr>
              <w:spacing w:after="0" w:line="240" w:lineRule="auto"/>
              <w:jc w:val="right"/>
              <w:rPr>
                <w:rFonts w:ascii="Arial" w:eastAsia="Times New Roman" w:hAnsi="Arial" w:cs="Arial"/>
                <w:color w:val="000000"/>
                <w:kern w:val="0"/>
                <w:sz w:val="16"/>
                <w:szCs w:val="16"/>
                <w:lang w:eastAsia="pt-BR"/>
                <w14:ligatures w14:val="none"/>
              </w:rPr>
            </w:pPr>
            <w:r w:rsidRPr="00A25C77">
              <w:rPr>
                <w:rFonts w:ascii="Arial" w:eastAsia="Times New Roman" w:hAnsi="Arial" w:cs="Arial"/>
                <w:color w:val="000000"/>
                <w:kern w:val="0"/>
                <w:sz w:val="16"/>
                <w:szCs w:val="16"/>
                <w:lang w:eastAsia="pt-BR"/>
                <w14:ligatures w14:val="none"/>
              </w:rPr>
              <w:t xml:space="preserve">   (112.747)</w:t>
            </w:r>
          </w:p>
        </w:tc>
        <w:tc>
          <w:tcPr>
            <w:tcW w:w="492" w:type="pct"/>
            <w:tcBorders>
              <w:top w:val="nil"/>
              <w:left w:val="nil"/>
              <w:bottom w:val="single" w:sz="4" w:space="0" w:color="auto"/>
              <w:right w:val="single" w:sz="4" w:space="0" w:color="auto"/>
            </w:tcBorders>
            <w:shd w:val="clear" w:color="auto" w:fill="auto"/>
            <w:vAlign w:val="center"/>
            <w:hideMark/>
          </w:tcPr>
          <w:p w14:paraId="6679561D" w14:textId="77777777" w:rsidR="00A25C77" w:rsidRPr="00A25C77" w:rsidRDefault="00A25C77" w:rsidP="00A25C77">
            <w:pPr>
              <w:spacing w:after="0" w:line="240" w:lineRule="auto"/>
              <w:jc w:val="right"/>
              <w:rPr>
                <w:rFonts w:ascii="Arial" w:eastAsia="Times New Roman" w:hAnsi="Arial" w:cs="Arial"/>
                <w:color w:val="000000"/>
                <w:kern w:val="0"/>
                <w:sz w:val="16"/>
                <w:szCs w:val="16"/>
                <w:lang w:eastAsia="pt-BR"/>
                <w14:ligatures w14:val="none"/>
              </w:rPr>
            </w:pPr>
            <w:r w:rsidRPr="00A25C77">
              <w:rPr>
                <w:rFonts w:ascii="Arial" w:eastAsia="Times New Roman" w:hAnsi="Arial" w:cs="Arial"/>
                <w:color w:val="000000"/>
                <w:kern w:val="0"/>
                <w:sz w:val="16"/>
                <w:szCs w:val="16"/>
                <w:lang w:eastAsia="pt-BR"/>
                <w14:ligatures w14:val="none"/>
              </w:rPr>
              <w:t xml:space="preserve">   (107.966)</w:t>
            </w:r>
          </w:p>
        </w:tc>
        <w:tc>
          <w:tcPr>
            <w:tcW w:w="531" w:type="pct"/>
            <w:tcBorders>
              <w:top w:val="nil"/>
              <w:left w:val="nil"/>
              <w:bottom w:val="single" w:sz="4" w:space="0" w:color="auto"/>
              <w:right w:val="single" w:sz="4" w:space="0" w:color="auto"/>
            </w:tcBorders>
            <w:shd w:val="clear" w:color="auto" w:fill="auto"/>
            <w:vAlign w:val="center"/>
            <w:hideMark/>
          </w:tcPr>
          <w:p w14:paraId="57E9844E" w14:textId="77777777" w:rsidR="00A25C77" w:rsidRPr="00A25C77" w:rsidRDefault="00A25C77" w:rsidP="00A25C77">
            <w:pPr>
              <w:spacing w:after="0" w:line="240" w:lineRule="auto"/>
              <w:jc w:val="right"/>
              <w:rPr>
                <w:rFonts w:ascii="Arial" w:eastAsia="Times New Roman" w:hAnsi="Arial" w:cs="Arial"/>
                <w:color w:val="000000"/>
                <w:kern w:val="0"/>
                <w:sz w:val="16"/>
                <w:szCs w:val="16"/>
                <w:lang w:eastAsia="pt-BR"/>
                <w14:ligatures w14:val="none"/>
              </w:rPr>
            </w:pPr>
            <w:r w:rsidRPr="00A25C77">
              <w:rPr>
                <w:rFonts w:ascii="Arial" w:eastAsia="Times New Roman" w:hAnsi="Arial" w:cs="Arial"/>
                <w:color w:val="000000"/>
                <w:kern w:val="0"/>
                <w:sz w:val="16"/>
                <w:szCs w:val="16"/>
                <w:lang w:eastAsia="pt-BR"/>
                <w14:ligatures w14:val="none"/>
              </w:rPr>
              <w:t xml:space="preserve">           (355)</w:t>
            </w:r>
          </w:p>
        </w:tc>
        <w:tc>
          <w:tcPr>
            <w:tcW w:w="531" w:type="pct"/>
            <w:tcBorders>
              <w:top w:val="nil"/>
              <w:left w:val="nil"/>
              <w:bottom w:val="single" w:sz="4" w:space="0" w:color="auto"/>
              <w:right w:val="single" w:sz="4" w:space="0" w:color="auto"/>
            </w:tcBorders>
            <w:shd w:val="clear" w:color="auto" w:fill="auto"/>
            <w:vAlign w:val="center"/>
            <w:hideMark/>
          </w:tcPr>
          <w:p w14:paraId="34858226" w14:textId="77777777" w:rsidR="00A25C77" w:rsidRPr="00A25C77" w:rsidRDefault="00A25C77" w:rsidP="00A25C77">
            <w:pPr>
              <w:spacing w:after="0" w:line="240" w:lineRule="auto"/>
              <w:jc w:val="right"/>
              <w:rPr>
                <w:rFonts w:ascii="Arial" w:eastAsia="Times New Roman" w:hAnsi="Arial" w:cs="Arial"/>
                <w:color w:val="000000"/>
                <w:kern w:val="0"/>
                <w:sz w:val="16"/>
                <w:szCs w:val="16"/>
                <w:lang w:eastAsia="pt-BR"/>
                <w14:ligatures w14:val="none"/>
              </w:rPr>
            </w:pPr>
            <w:r w:rsidRPr="00A25C77">
              <w:rPr>
                <w:rFonts w:ascii="Arial" w:eastAsia="Times New Roman" w:hAnsi="Arial" w:cs="Arial"/>
                <w:color w:val="000000"/>
                <w:kern w:val="0"/>
                <w:sz w:val="16"/>
                <w:szCs w:val="16"/>
                <w:lang w:eastAsia="pt-BR"/>
                <w14:ligatures w14:val="none"/>
              </w:rPr>
              <w:t xml:space="preserve">           (330)</w:t>
            </w:r>
          </w:p>
        </w:tc>
        <w:tc>
          <w:tcPr>
            <w:tcW w:w="531" w:type="pct"/>
            <w:tcBorders>
              <w:top w:val="nil"/>
              <w:left w:val="nil"/>
              <w:bottom w:val="single" w:sz="4" w:space="0" w:color="auto"/>
              <w:right w:val="single" w:sz="4" w:space="0" w:color="auto"/>
            </w:tcBorders>
            <w:shd w:val="clear" w:color="auto" w:fill="auto"/>
            <w:vAlign w:val="center"/>
            <w:hideMark/>
          </w:tcPr>
          <w:p w14:paraId="00DEAF2B" w14:textId="77777777" w:rsidR="00A25C77" w:rsidRPr="00A25C77" w:rsidRDefault="00A25C77" w:rsidP="00A25C77">
            <w:pPr>
              <w:spacing w:after="0" w:line="240" w:lineRule="auto"/>
              <w:jc w:val="right"/>
              <w:rPr>
                <w:rFonts w:ascii="Arial" w:eastAsia="Times New Roman" w:hAnsi="Arial" w:cs="Arial"/>
                <w:color w:val="000000"/>
                <w:kern w:val="0"/>
                <w:sz w:val="16"/>
                <w:szCs w:val="16"/>
                <w:lang w:eastAsia="pt-BR"/>
                <w14:ligatures w14:val="none"/>
              </w:rPr>
            </w:pPr>
            <w:r w:rsidRPr="00A25C77">
              <w:rPr>
                <w:rFonts w:ascii="Arial" w:eastAsia="Times New Roman" w:hAnsi="Arial" w:cs="Arial"/>
                <w:color w:val="000000"/>
                <w:kern w:val="0"/>
                <w:sz w:val="16"/>
                <w:szCs w:val="16"/>
                <w:lang w:eastAsia="pt-BR"/>
                <w14:ligatures w14:val="none"/>
              </w:rPr>
              <w:t xml:space="preserve">        (1.385)</w:t>
            </w:r>
          </w:p>
        </w:tc>
        <w:tc>
          <w:tcPr>
            <w:tcW w:w="530" w:type="pct"/>
            <w:tcBorders>
              <w:top w:val="nil"/>
              <w:left w:val="nil"/>
              <w:bottom w:val="single" w:sz="4" w:space="0" w:color="auto"/>
              <w:right w:val="single" w:sz="4" w:space="0" w:color="auto"/>
            </w:tcBorders>
            <w:shd w:val="clear" w:color="auto" w:fill="auto"/>
            <w:vAlign w:val="center"/>
            <w:hideMark/>
          </w:tcPr>
          <w:p w14:paraId="79F2C368" w14:textId="77777777" w:rsidR="00A25C77" w:rsidRPr="00A25C77" w:rsidRDefault="00A25C77" w:rsidP="00A25C77">
            <w:pPr>
              <w:spacing w:after="0" w:line="240" w:lineRule="auto"/>
              <w:jc w:val="right"/>
              <w:rPr>
                <w:rFonts w:ascii="Arial" w:eastAsia="Times New Roman" w:hAnsi="Arial" w:cs="Arial"/>
                <w:color w:val="000000"/>
                <w:kern w:val="0"/>
                <w:sz w:val="16"/>
                <w:szCs w:val="16"/>
                <w:lang w:eastAsia="pt-BR"/>
                <w14:ligatures w14:val="none"/>
              </w:rPr>
            </w:pPr>
            <w:r w:rsidRPr="00A25C77">
              <w:rPr>
                <w:rFonts w:ascii="Arial" w:eastAsia="Times New Roman" w:hAnsi="Arial" w:cs="Arial"/>
                <w:color w:val="000000"/>
                <w:kern w:val="0"/>
                <w:sz w:val="16"/>
                <w:szCs w:val="16"/>
                <w:lang w:eastAsia="pt-BR"/>
                <w14:ligatures w14:val="none"/>
              </w:rPr>
              <w:t xml:space="preserve">           (692)</w:t>
            </w:r>
          </w:p>
        </w:tc>
      </w:tr>
      <w:tr w:rsidR="00A25C77" w:rsidRPr="00A25C77" w14:paraId="7B48702E" w14:textId="77777777" w:rsidTr="00446A14">
        <w:trPr>
          <w:trHeight w:val="238"/>
        </w:trPr>
        <w:tc>
          <w:tcPr>
            <w:tcW w:w="1884" w:type="pct"/>
            <w:tcBorders>
              <w:top w:val="nil"/>
              <w:left w:val="single" w:sz="4" w:space="0" w:color="auto"/>
              <w:bottom w:val="single" w:sz="4" w:space="0" w:color="auto"/>
              <w:right w:val="single" w:sz="4" w:space="0" w:color="auto"/>
            </w:tcBorders>
            <w:shd w:val="clear" w:color="auto" w:fill="auto"/>
            <w:vAlign w:val="center"/>
            <w:hideMark/>
          </w:tcPr>
          <w:p w14:paraId="2A810E9C" w14:textId="77777777" w:rsidR="00A25C77" w:rsidRPr="00A25C77" w:rsidRDefault="00A25C77" w:rsidP="00A25C77">
            <w:pPr>
              <w:spacing w:after="0" w:line="240" w:lineRule="auto"/>
              <w:rPr>
                <w:rFonts w:ascii="Arial" w:eastAsia="Times New Roman" w:hAnsi="Arial" w:cs="Arial"/>
                <w:color w:val="000000"/>
                <w:kern w:val="0"/>
                <w:sz w:val="16"/>
                <w:szCs w:val="16"/>
                <w:lang w:eastAsia="pt-BR"/>
                <w14:ligatures w14:val="none"/>
              </w:rPr>
            </w:pPr>
            <w:r w:rsidRPr="00A25C77">
              <w:rPr>
                <w:rFonts w:ascii="Arial" w:eastAsia="Times New Roman" w:hAnsi="Arial" w:cs="Arial"/>
                <w:color w:val="000000"/>
                <w:kern w:val="0"/>
                <w:sz w:val="16"/>
                <w:szCs w:val="16"/>
                <w:lang w:eastAsia="pt-BR"/>
                <w14:ligatures w14:val="none"/>
              </w:rPr>
              <w:t>3. Exigível contingencial (</w:t>
            </w:r>
            <w:proofErr w:type="spellStart"/>
            <w:r w:rsidRPr="00A25C77">
              <w:rPr>
                <w:rFonts w:ascii="Arial" w:eastAsia="Times New Roman" w:hAnsi="Arial" w:cs="Arial"/>
                <w:color w:val="000000"/>
                <w:kern w:val="0"/>
                <w:sz w:val="16"/>
                <w:szCs w:val="16"/>
                <w:lang w:eastAsia="pt-BR"/>
                <w14:ligatures w14:val="none"/>
              </w:rPr>
              <w:t>ii</w:t>
            </w:r>
            <w:proofErr w:type="spellEnd"/>
            <w:r w:rsidRPr="00A25C77">
              <w:rPr>
                <w:rFonts w:ascii="Arial" w:eastAsia="Times New Roman" w:hAnsi="Arial" w:cs="Arial"/>
                <w:color w:val="000000"/>
                <w:kern w:val="0"/>
                <w:sz w:val="16"/>
                <w:szCs w:val="16"/>
                <w:lang w:eastAsia="pt-BR"/>
                <w14:ligatures w14:val="none"/>
              </w:rPr>
              <w:t>)</w:t>
            </w:r>
          </w:p>
        </w:tc>
        <w:tc>
          <w:tcPr>
            <w:tcW w:w="501" w:type="pct"/>
            <w:tcBorders>
              <w:top w:val="nil"/>
              <w:left w:val="nil"/>
              <w:bottom w:val="single" w:sz="4" w:space="0" w:color="auto"/>
              <w:right w:val="single" w:sz="4" w:space="0" w:color="auto"/>
            </w:tcBorders>
            <w:shd w:val="clear" w:color="auto" w:fill="auto"/>
            <w:vAlign w:val="center"/>
            <w:hideMark/>
          </w:tcPr>
          <w:p w14:paraId="341A36BD" w14:textId="77777777" w:rsidR="00A25C77" w:rsidRPr="00A25C77" w:rsidRDefault="00A25C77" w:rsidP="00A25C77">
            <w:pPr>
              <w:spacing w:after="0" w:line="240" w:lineRule="auto"/>
              <w:jc w:val="right"/>
              <w:rPr>
                <w:rFonts w:ascii="Arial" w:eastAsia="Times New Roman" w:hAnsi="Arial" w:cs="Arial"/>
                <w:color w:val="000000"/>
                <w:kern w:val="0"/>
                <w:sz w:val="16"/>
                <w:szCs w:val="16"/>
                <w:lang w:eastAsia="pt-BR"/>
                <w14:ligatures w14:val="none"/>
              </w:rPr>
            </w:pPr>
            <w:r w:rsidRPr="00A25C77">
              <w:rPr>
                <w:rFonts w:ascii="Arial" w:eastAsia="Times New Roman" w:hAnsi="Arial" w:cs="Arial"/>
                <w:color w:val="000000"/>
                <w:kern w:val="0"/>
                <w:sz w:val="16"/>
                <w:szCs w:val="16"/>
                <w:lang w:eastAsia="pt-BR"/>
                <w14:ligatures w14:val="none"/>
              </w:rPr>
              <w:t xml:space="preserve">   (864.971)</w:t>
            </w:r>
          </w:p>
        </w:tc>
        <w:tc>
          <w:tcPr>
            <w:tcW w:w="492" w:type="pct"/>
            <w:tcBorders>
              <w:top w:val="nil"/>
              <w:left w:val="nil"/>
              <w:bottom w:val="single" w:sz="4" w:space="0" w:color="auto"/>
              <w:right w:val="single" w:sz="4" w:space="0" w:color="auto"/>
            </w:tcBorders>
            <w:shd w:val="clear" w:color="auto" w:fill="auto"/>
            <w:vAlign w:val="center"/>
            <w:hideMark/>
          </w:tcPr>
          <w:p w14:paraId="6CB2AFBF" w14:textId="77777777" w:rsidR="00A25C77" w:rsidRPr="00A25C77" w:rsidRDefault="00A25C77" w:rsidP="00A25C77">
            <w:pPr>
              <w:spacing w:after="0" w:line="240" w:lineRule="auto"/>
              <w:jc w:val="right"/>
              <w:rPr>
                <w:rFonts w:ascii="Arial" w:eastAsia="Times New Roman" w:hAnsi="Arial" w:cs="Arial"/>
                <w:color w:val="000000"/>
                <w:kern w:val="0"/>
                <w:sz w:val="16"/>
                <w:szCs w:val="16"/>
                <w:lang w:eastAsia="pt-BR"/>
                <w14:ligatures w14:val="none"/>
              </w:rPr>
            </w:pPr>
            <w:r w:rsidRPr="00A25C77">
              <w:rPr>
                <w:rFonts w:ascii="Arial" w:eastAsia="Times New Roman" w:hAnsi="Arial" w:cs="Arial"/>
                <w:color w:val="000000"/>
                <w:kern w:val="0"/>
                <w:sz w:val="16"/>
                <w:szCs w:val="16"/>
                <w:lang w:eastAsia="pt-BR"/>
                <w14:ligatures w14:val="none"/>
              </w:rPr>
              <w:t xml:space="preserve">   (849.373)</w:t>
            </w:r>
          </w:p>
        </w:tc>
        <w:tc>
          <w:tcPr>
            <w:tcW w:w="531" w:type="pct"/>
            <w:tcBorders>
              <w:top w:val="nil"/>
              <w:left w:val="nil"/>
              <w:bottom w:val="single" w:sz="4" w:space="0" w:color="auto"/>
              <w:right w:val="single" w:sz="4" w:space="0" w:color="auto"/>
            </w:tcBorders>
            <w:shd w:val="clear" w:color="auto" w:fill="auto"/>
            <w:vAlign w:val="center"/>
            <w:hideMark/>
          </w:tcPr>
          <w:p w14:paraId="1E0D3058" w14:textId="77777777" w:rsidR="00A25C77" w:rsidRPr="00A25C77" w:rsidRDefault="00A25C77" w:rsidP="00A25C77">
            <w:pPr>
              <w:spacing w:after="0" w:line="240" w:lineRule="auto"/>
              <w:jc w:val="right"/>
              <w:rPr>
                <w:rFonts w:ascii="Arial" w:eastAsia="Times New Roman" w:hAnsi="Arial" w:cs="Arial"/>
                <w:color w:val="000000"/>
                <w:kern w:val="0"/>
                <w:sz w:val="16"/>
                <w:szCs w:val="16"/>
                <w:lang w:eastAsia="pt-BR"/>
                <w14:ligatures w14:val="none"/>
              </w:rPr>
            </w:pPr>
            <w:r w:rsidRPr="00A25C77">
              <w:rPr>
                <w:rFonts w:ascii="Arial" w:eastAsia="Times New Roman" w:hAnsi="Arial" w:cs="Arial"/>
                <w:color w:val="000000"/>
                <w:kern w:val="0"/>
                <w:sz w:val="16"/>
                <w:szCs w:val="16"/>
                <w:lang w:eastAsia="pt-BR"/>
                <w14:ligatures w14:val="none"/>
              </w:rPr>
              <w:t xml:space="preserve">      (12.276)</w:t>
            </w:r>
          </w:p>
        </w:tc>
        <w:tc>
          <w:tcPr>
            <w:tcW w:w="531" w:type="pct"/>
            <w:tcBorders>
              <w:top w:val="nil"/>
              <w:left w:val="nil"/>
              <w:bottom w:val="single" w:sz="4" w:space="0" w:color="auto"/>
              <w:right w:val="single" w:sz="4" w:space="0" w:color="auto"/>
            </w:tcBorders>
            <w:shd w:val="clear" w:color="auto" w:fill="auto"/>
            <w:vAlign w:val="center"/>
            <w:hideMark/>
          </w:tcPr>
          <w:p w14:paraId="7B04607B" w14:textId="77777777" w:rsidR="00A25C77" w:rsidRPr="00A25C77" w:rsidRDefault="00A25C77" w:rsidP="00A25C77">
            <w:pPr>
              <w:spacing w:after="0" w:line="240" w:lineRule="auto"/>
              <w:jc w:val="right"/>
              <w:rPr>
                <w:rFonts w:ascii="Arial" w:eastAsia="Times New Roman" w:hAnsi="Arial" w:cs="Arial"/>
                <w:color w:val="000000"/>
                <w:kern w:val="0"/>
                <w:sz w:val="16"/>
                <w:szCs w:val="16"/>
                <w:lang w:eastAsia="pt-BR"/>
                <w14:ligatures w14:val="none"/>
              </w:rPr>
            </w:pPr>
            <w:r w:rsidRPr="00A25C77">
              <w:rPr>
                <w:rFonts w:ascii="Arial" w:eastAsia="Times New Roman" w:hAnsi="Arial" w:cs="Arial"/>
                <w:color w:val="000000"/>
                <w:kern w:val="0"/>
                <w:sz w:val="16"/>
                <w:szCs w:val="16"/>
                <w:lang w:eastAsia="pt-BR"/>
                <w14:ligatures w14:val="none"/>
              </w:rPr>
              <w:t xml:space="preserve">      (11.249)</w:t>
            </w:r>
          </w:p>
        </w:tc>
        <w:tc>
          <w:tcPr>
            <w:tcW w:w="531" w:type="pct"/>
            <w:tcBorders>
              <w:top w:val="nil"/>
              <w:left w:val="nil"/>
              <w:bottom w:val="single" w:sz="4" w:space="0" w:color="auto"/>
              <w:right w:val="single" w:sz="4" w:space="0" w:color="auto"/>
            </w:tcBorders>
            <w:shd w:val="clear" w:color="auto" w:fill="auto"/>
            <w:vAlign w:val="center"/>
            <w:hideMark/>
          </w:tcPr>
          <w:p w14:paraId="71F63795" w14:textId="77777777" w:rsidR="00A25C77" w:rsidRPr="00A25C77" w:rsidRDefault="00A25C77" w:rsidP="00A25C77">
            <w:pPr>
              <w:spacing w:after="0" w:line="240" w:lineRule="auto"/>
              <w:jc w:val="right"/>
              <w:rPr>
                <w:rFonts w:ascii="Arial" w:eastAsia="Times New Roman" w:hAnsi="Arial" w:cs="Arial"/>
                <w:color w:val="000000"/>
                <w:kern w:val="0"/>
                <w:sz w:val="16"/>
                <w:szCs w:val="16"/>
                <w:lang w:eastAsia="pt-BR"/>
                <w14:ligatures w14:val="none"/>
              </w:rPr>
            </w:pPr>
            <w:r w:rsidRPr="00A25C77">
              <w:rPr>
                <w:rFonts w:ascii="Arial" w:eastAsia="Times New Roman" w:hAnsi="Arial" w:cs="Arial"/>
                <w:color w:val="000000"/>
                <w:kern w:val="0"/>
                <w:sz w:val="16"/>
                <w:szCs w:val="16"/>
                <w:lang w:eastAsia="pt-BR"/>
                <w14:ligatures w14:val="none"/>
              </w:rPr>
              <w:t xml:space="preserve">        (3.198)</w:t>
            </w:r>
          </w:p>
        </w:tc>
        <w:tc>
          <w:tcPr>
            <w:tcW w:w="530" w:type="pct"/>
            <w:tcBorders>
              <w:top w:val="nil"/>
              <w:left w:val="nil"/>
              <w:bottom w:val="single" w:sz="4" w:space="0" w:color="auto"/>
              <w:right w:val="single" w:sz="4" w:space="0" w:color="auto"/>
            </w:tcBorders>
            <w:shd w:val="clear" w:color="auto" w:fill="auto"/>
            <w:vAlign w:val="center"/>
            <w:hideMark/>
          </w:tcPr>
          <w:p w14:paraId="0DBF345C" w14:textId="77777777" w:rsidR="00A25C77" w:rsidRPr="00A25C77" w:rsidRDefault="00A25C77" w:rsidP="00A25C77">
            <w:pPr>
              <w:spacing w:after="0" w:line="240" w:lineRule="auto"/>
              <w:jc w:val="right"/>
              <w:rPr>
                <w:rFonts w:ascii="Arial" w:eastAsia="Times New Roman" w:hAnsi="Arial" w:cs="Arial"/>
                <w:color w:val="000000"/>
                <w:kern w:val="0"/>
                <w:sz w:val="16"/>
                <w:szCs w:val="16"/>
                <w:lang w:eastAsia="pt-BR"/>
                <w14:ligatures w14:val="none"/>
              </w:rPr>
            </w:pPr>
            <w:r w:rsidRPr="00A25C77">
              <w:rPr>
                <w:rFonts w:ascii="Arial" w:eastAsia="Times New Roman" w:hAnsi="Arial" w:cs="Arial"/>
                <w:color w:val="000000"/>
                <w:kern w:val="0"/>
                <w:sz w:val="16"/>
                <w:szCs w:val="16"/>
                <w:lang w:eastAsia="pt-BR"/>
                <w14:ligatures w14:val="none"/>
              </w:rPr>
              <w:t xml:space="preserve">        (2.866)</w:t>
            </w:r>
          </w:p>
        </w:tc>
      </w:tr>
      <w:tr w:rsidR="00A25C77" w:rsidRPr="00A25C77" w14:paraId="72786423" w14:textId="77777777" w:rsidTr="00446A14">
        <w:trPr>
          <w:trHeight w:val="238"/>
        </w:trPr>
        <w:tc>
          <w:tcPr>
            <w:tcW w:w="1884" w:type="pct"/>
            <w:tcBorders>
              <w:top w:val="nil"/>
              <w:left w:val="single" w:sz="4" w:space="0" w:color="auto"/>
              <w:bottom w:val="single" w:sz="4" w:space="0" w:color="auto"/>
              <w:right w:val="single" w:sz="4" w:space="0" w:color="auto"/>
            </w:tcBorders>
            <w:shd w:val="clear" w:color="auto" w:fill="auto"/>
            <w:vAlign w:val="center"/>
            <w:hideMark/>
          </w:tcPr>
          <w:p w14:paraId="25048ED9" w14:textId="77777777" w:rsidR="00A25C77" w:rsidRPr="00A25C77" w:rsidRDefault="00A25C77" w:rsidP="00A25C77">
            <w:pPr>
              <w:spacing w:after="0" w:line="240" w:lineRule="auto"/>
              <w:rPr>
                <w:rFonts w:ascii="Arial" w:eastAsia="Times New Roman" w:hAnsi="Arial" w:cs="Arial"/>
                <w:color w:val="000000"/>
                <w:kern w:val="0"/>
                <w:sz w:val="16"/>
                <w:szCs w:val="16"/>
                <w:lang w:eastAsia="pt-BR"/>
                <w14:ligatures w14:val="none"/>
              </w:rPr>
            </w:pPr>
            <w:r w:rsidRPr="00A25C77">
              <w:rPr>
                <w:rFonts w:ascii="Arial" w:eastAsia="Times New Roman" w:hAnsi="Arial" w:cs="Arial"/>
                <w:color w:val="000000"/>
                <w:kern w:val="0"/>
                <w:sz w:val="16"/>
                <w:szCs w:val="16"/>
                <w:lang w:eastAsia="pt-BR"/>
                <w14:ligatures w14:val="none"/>
              </w:rPr>
              <w:t>4. Fundos (</w:t>
            </w:r>
            <w:proofErr w:type="spellStart"/>
            <w:r w:rsidRPr="00A25C77">
              <w:rPr>
                <w:rFonts w:ascii="Arial" w:eastAsia="Times New Roman" w:hAnsi="Arial" w:cs="Arial"/>
                <w:color w:val="000000"/>
                <w:kern w:val="0"/>
                <w:sz w:val="16"/>
                <w:szCs w:val="16"/>
                <w:lang w:eastAsia="pt-BR"/>
                <w14:ligatures w14:val="none"/>
              </w:rPr>
              <w:t>ii</w:t>
            </w:r>
            <w:proofErr w:type="spellEnd"/>
            <w:r w:rsidRPr="00A25C77">
              <w:rPr>
                <w:rFonts w:ascii="Arial" w:eastAsia="Times New Roman" w:hAnsi="Arial" w:cs="Arial"/>
                <w:color w:val="000000"/>
                <w:kern w:val="0"/>
                <w:sz w:val="16"/>
                <w:szCs w:val="16"/>
                <w:lang w:eastAsia="pt-BR"/>
                <w14:ligatures w14:val="none"/>
              </w:rPr>
              <w:t>)</w:t>
            </w:r>
          </w:p>
        </w:tc>
        <w:tc>
          <w:tcPr>
            <w:tcW w:w="501" w:type="pct"/>
            <w:tcBorders>
              <w:top w:val="nil"/>
              <w:left w:val="nil"/>
              <w:bottom w:val="single" w:sz="4" w:space="0" w:color="auto"/>
              <w:right w:val="single" w:sz="4" w:space="0" w:color="auto"/>
            </w:tcBorders>
            <w:shd w:val="clear" w:color="auto" w:fill="auto"/>
            <w:vAlign w:val="center"/>
            <w:hideMark/>
          </w:tcPr>
          <w:p w14:paraId="3AE8D14E" w14:textId="77777777" w:rsidR="00A25C77" w:rsidRPr="00A25C77" w:rsidRDefault="00A25C77" w:rsidP="00A25C77">
            <w:pPr>
              <w:spacing w:after="0" w:line="240" w:lineRule="auto"/>
              <w:jc w:val="right"/>
              <w:rPr>
                <w:rFonts w:ascii="Arial" w:eastAsia="Times New Roman" w:hAnsi="Arial" w:cs="Arial"/>
                <w:color w:val="000000"/>
                <w:kern w:val="0"/>
                <w:sz w:val="16"/>
                <w:szCs w:val="16"/>
                <w:lang w:eastAsia="pt-BR"/>
                <w14:ligatures w14:val="none"/>
              </w:rPr>
            </w:pPr>
            <w:r w:rsidRPr="00A25C77">
              <w:rPr>
                <w:rFonts w:ascii="Arial" w:eastAsia="Times New Roman" w:hAnsi="Arial" w:cs="Arial"/>
                <w:color w:val="000000"/>
                <w:kern w:val="0"/>
                <w:sz w:val="16"/>
                <w:szCs w:val="16"/>
                <w:lang w:eastAsia="pt-BR"/>
                <w14:ligatures w14:val="none"/>
              </w:rPr>
              <w:t>(3.310.190)</w:t>
            </w:r>
          </w:p>
        </w:tc>
        <w:tc>
          <w:tcPr>
            <w:tcW w:w="492" w:type="pct"/>
            <w:tcBorders>
              <w:top w:val="nil"/>
              <w:left w:val="nil"/>
              <w:bottom w:val="single" w:sz="4" w:space="0" w:color="auto"/>
              <w:right w:val="single" w:sz="4" w:space="0" w:color="auto"/>
            </w:tcBorders>
            <w:shd w:val="clear" w:color="auto" w:fill="auto"/>
            <w:vAlign w:val="center"/>
            <w:hideMark/>
          </w:tcPr>
          <w:p w14:paraId="10B27934" w14:textId="77777777" w:rsidR="00A25C77" w:rsidRPr="00A25C77" w:rsidRDefault="00A25C77" w:rsidP="00A25C77">
            <w:pPr>
              <w:spacing w:after="0" w:line="240" w:lineRule="auto"/>
              <w:jc w:val="right"/>
              <w:rPr>
                <w:rFonts w:ascii="Arial" w:eastAsia="Times New Roman" w:hAnsi="Arial" w:cs="Arial"/>
                <w:color w:val="000000"/>
                <w:kern w:val="0"/>
                <w:sz w:val="16"/>
                <w:szCs w:val="16"/>
                <w:lang w:eastAsia="pt-BR"/>
                <w14:ligatures w14:val="none"/>
              </w:rPr>
            </w:pPr>
            <w:r w:rsidRPr="00A25C77">
              <w:rPr>
                <w:rFonts w:ascii="Arial" w:eastAsia="Times New Roman" w:hAnsi="Arial" w:cs="Arial"/>
                <w:color w:val="000000"/>
                <w:kern w:val="0"/>
                <w:sz w:val="16"/>
                <w:szCs w:val="16"/>
                <w:lang w:eastAsia="pt-BR"/>
                <w14:ligatures w14:val="none"/>
              </w:rPr>
              <w:t>(2.359.501)</w:t>
            </w:r>
          </w:p>
        </w:tc>
        <w:tc>
          <w:tcPr>
            <w:tcW w:w="531" w:type="pct"/>
            <w:tcBorders>
              <w:top w:val="nil"/>
              <w:left w:val="nil"/>
              <w:bottom w:val="single" w:sz="4" w:space="0" w:color="auto"/>
              <w:right w:val="single" w:sz="4" w:space="0" w:color="auto"/>
            </w:tcBorders>
            <w:shd w:val="clear" w:color="auto" w:fill="auto"/>
            <w:vAlign w:val="center"/>
            <w:hideMark/>
          </w:tcPr>
          <w:p w14:paraId="29E06788" w14:textId="77777777" w:rsidR="00A25C77" w:rsidRPr="00A25C77" w:rsidRDefault="00A25C77" w:rsidP="00A25C77">
            <w:pPr>
              <w:spacing w:after="0" w:line="240" w:lineRule="auto"/>
              <w:jc w:val="right"/>
              <w:rPr>
                <w:rFonts w:ascii="Arial" w:eastAsia="Times New Roman" w:hAnsi="Arial" w:cs="Arial"/>
                <w:color w:val="000000"/>
                <w:kern w:val="0"/>
                <w:sz w:val="16"/>
                <w:szCs w:val="16"/>
                <w:lang w:eastAsia="pt-BR"/>
                <w14:ligatures w14:val="none"/>
              </w:rPr>
            </w:pPr>
            <w:r w:rsidRPr="00A25C77">
              <w:rPr>
                <w:rFonts w:ascii="Arial" w:eastAsia="Times New Roman" w:hAnsi="Arial" w:cs="Arial"/>
                <w:color w:val="000000"/>
                <w:kern w:val="0"/>
                <w:sz w:val="16"/>
                <w:szCs w:val="16"/>
                <w:lang w:eastAsia="pt-BR"/>
                <w14:ligatures w14:val="none"/>
              </w:rPr>
              <w:t xml:space="preserve">    (150.965)</w:t>
            </w:r>
          </w:p>
        </w:tc>
        <w:tc>
          <w:tcPr>
            <w:tcW w:w="531" w:type="pct"/>
            <w:tcBorders>
              <w:top w:val="nil"/>
              <w:left w:val="nil"/>
              <w:bottom w:val="single" w:sz="4" w:space="0" w:color="auto"/>
              <w:right w:val="single" w:sz="4" w:space="0" w:color="auto"/>
            </w:tcBorders>
            <w:shd w:val="clear" w:color="auto" w:fill="auto"/>
            <w:vAlign w:val="center"/>
            <w:hideMark/>
          </w:tcPr>
          <w:p w14:paraId="20F08342" w14:textId="77777777" w:rsidR="00A25C77" w:rsidRPr="00A25C77" w:rsidRDefault="00A25C77" w:rsidP="00A25C77">
            <w:pPr>
              <w:spacing w:after="0" w:line="240" w:lineRule="auto"/>
              <w:jc w:val="right"/>
              <w:rPr>
                <w:rFonts w:ascii="Arial" w:eastAsia="Times New Roman" w:hAnsi="Arial" w:cs="Arial"/>
                <w:color w:val="000000"/>
                <w:kern w:val="0"/>
                <w:sz w:val="16"/>
                <w:szCs w:val="16"/>
                <w:lang w:eastAsia="pt-BR"/>
                <w14:ligatures w14:val="none"/>
              </w:rPr>
            </w:pPr>
            <w:r w:rsidRPr="00A25C77">
              <w:rPr>
                <w:rFonts w:ascii="Arial" w:eastAsia="Times New Roman" w:hAnsi="Arial" w:cs="Arial"/>
                <w:color w:val="000000"/>
                <w:kern w:val="0"/>
                <w:sz w:val="16"/>
                <w:szCs w:val="16"/>
                <w:lang w:eastAsia="pt-BR"/>
                <w14:ligatures w14:val="none"/>
              </w:rPr>
              <w:t xml:space="preserve">    (155.834)</w:t>
            </w:r>
          </w:p>
        </w:tc>
        <w:tc>
          <w:tcPr>
            <w:tcW w:w="531" w:type="pct"/>
            <w:tcBorders>
              <w:top w:val="nil"/>
              <w:left w:val="nil"/>
              <w:bottom w:val="single" w:sz="4" w:space="0" w:color="auto"/>
              <w:right w:val="single" w:sz="4" w:space="0" w:color="auto"/>
            </w:tcBorders>
            <w:shd w:val="clear" w:color="auto" w:fill="auto"/>
            <w:vAlign w:val="center"/>
            <w:hideMark/>
          </w:tcPr>
          <w:p w14:paraId="45E82CF4" w14:textId="77777777" w:rsidR="00A25C77" w:rsidRPr="00A25C77" w:rsidRDefault="00A25C77" w:rsidP="00A25C77">
            <w:pPr>
              <w:spacing w:after="0" w:line="240" w:lineRule="auto"/>
              <w:jc w:val="right"/>
              <w:rPr>
                <w:rFonts w:ascii="Arial" w:eastAsia="Times New Roman" w:hAnsi="Arial" w:cs="Arial"/>
                <w:color w:val="000000"/>
                <w:kern w:val="0"/>
                <w:sz w:val="16"/>
                <w:szCs w:val="16"/>
                <w:lang w:eastAsia="pt-BR"/>
                <w14:ligatures w14:val="none"/>
              </w:rPr>
            </w:pPr>
            <w:r w:rsidRPr="00A25C77">
              <w:rPr>
                <w:rFonts w:ascii="Arial" w:eastAsia="Times New Roman" w:hAnsi="Arial" w:cs="Arial"/>
                <w:color w:val="000000"/>
                <w:kern w:val="0"/>
                <w:sz w:val="16"/>
                <w:szCs w:val="16"/>
                <w:lang w:eastAsia="pt-BR"/>
                <w14:ligatures w14:val="none"/>
              </w:rPr>
              <w:t xml:space="preserve">    (666.031)</w:t>
            </w:r>
          </w:p>
        </w:tc>
        <w:tc>
          <w:tcPr>
            <w:tcW w:w="530" w:type="pct"/>
            <w:tcBorders>
              <w:top w:val="nil"/>
              <w:left w:val="nil"/>
              <w:bottom w:val="single" w:sz="4" w:space="0" w:color="auto"/>
              <w:right w:val="single" w:sz="4" w:space="0" w:color="auto"/>
            </w:tcBorders>
            <w:shd w:val="clear" w:color="auto" w:fill="auto"/>
            <w:vAlign w:val="center"/>
            <w:hideMark/>
          </w:tcPr>
          <w:p w14:paraId="77116C65" w14:textId="77777777" w:rsidR="00A25C77" w:rsidRPr="00A25C77" w:rsidRDefault="00A25C77" w:rsidP="00A25C77">
            <w:pPr>
              <w:spacing w:after="0" w:line="240" w:lineRule="auto"/>
              <w:jc w:val="right"/>
              <w:rPr>
                <w:rFonts w:ascii="Arial" w:eastAsia="Times New Roman" w:hAnsi="Arial" w:cs="Arial"/>
                <w:color w:val="000000"/>
                <w:kern w:val="0"/>
                <w:sz w:val="16"/>
                <w:szCs w:val="16"/>
                <w:lang w:eastAsia="pt-BR"/>
                <w14:ligatures w14:val="none"/>
              </w:rPr>
            </w:pPr>
            <w:r w:rsidRPr="00A25C77">
              <w:rPr>
                <w:rFonts w:ascii="Arial" w:eastAsia="Times New Roman" w:hAnsi="Arial" w:cs="Arial"/>
                <w:color w:val="000000"/>
                <w:kern w:val="0"/>
                <w:sz w:val="16"/>
                <w:szCs w:val="16"/>
                <w:lang w:eastAsia="pt-BR"/>
                <w14:ligatures w14:val="none"/>
              </w:rPr>
              <w:t xml:space="preserve">    (648.252)</w:t>
            </w:r>
          </w:p>
        </w:tc>
      </w:tr>
      <w:tr w:rsidR="00A25C77" w:rsidRPr="00A25C77" w14:paraId="1C93DC65" w14:textId="77777777" w:rsidTr="00446A14">
        <w:trPr>
          <w:trHeight w:val="238"/>
        </w:trPr>
        <w:tc>
          <w:tcPr>
            <w:tcW w:w="1884" w:type="pct"/>
            <w:tcBorders>
              <w:top w:val="nil"/>
              <w:left w:val="single" w:sz="4" w:space="0" w:color="auto"/>
              <w:bottom w:val="single" w:sz="4" w:space="0" w:color="auto"/>
              <w:right w:val="single" w:sz="4" w:space="0" w:color="auto"/>
            </w:tcBorders>
            <w:shd w:val="clear" w:color="auto" w:fill="auto"/>
            <w:vAlign w:val="center"/>
            <w:hideMark/>
          </w:tcPr>
          <w:p w14:paraId="0FA67FE3" w14:textId="77777777" w:rsidR="00A25C77" w:rsidRPr="00A25C77" w:rsidRDefault="00A25C77" w:rsidP="00A25C77">
            <w:pPr>
              <w:spacing w:after="0" w:line="240" w:lineRule="auto"/>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5. Valor justo dos ativos do plano</w:t>
            </w:r>
          </w:p>
        </w:tc>
        <w:tc>
          <w:tcPr>
            <w:tcW w:w="501" w:type="pct"/>
            <w:tcBorders>
              <w:top w:val="nil"/>
              <w:left w:val="nil"/>
              <w:bottom w:val="single" w:sz="4" w:space="0" w:color="auto"/>
              <w:right w:val="single" w:sz="4" w:space="0" w:color="auto"/>
            </w:tcBorders>
            <w:shd w:val="clear" w:color="auto" w:fill="auto"/>
            <w:vAlign w:val="center"/>
            <w:hideMark/>
          </w:tcPr>
          <w:p w14:paraId="0184F3F9" w14:textId="77777777" w:rsidR="00A25C77" w:rsidRPr="00A25C77" w:rsidRDefault="00A25C77" w:rsidP="00A25C77">
            <w:pPr>
              <w:spacing w:after="0" w:line="240" w:lineRule="auto"/>
              <w:jc w:val="right"/>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 xml:space="preserve">10.124.786 </w:t>
            </w:r>
          </w:p>
        </w:tc>
        <w:tc>
          <w:tcPr>
            <w:tcW w:w="492" w:type="pct"/>
            <w:tcBorders>
              <w:top w:val="nil"/>
              <w:left w:val="nil"/>
              <w:bottom w:val="single" w:sz="4" w:space="0" w:color="auto"/>
              <w:right w:val="single" w:sz="4" w:space="0" w:color="auto"/>
            </w:tcBorders>
            <w:shd w:val="clear" w:color="auto" w:fill="auto"/>
            <w:vAlign w:val="center"/>
            <w:hideMark/>
          </w:tcPr>
          <w:p w14:paraId="64903607" w14:textId="77777777" w:rsidR="00A25C77" w:rsidRPr="00A25C77" w:rsidRDefault="00A25C77" w:rsidP="00A25C77">
            <w:pPr>
              <w:spacing w:after="0" w:line="240" w:lineRule="auto"/>
              <w:jc w:val="right"/>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 xml:space="preserve">  9.425.875 </w:t>
            </w:r>
          </w:p>
        </w:tc>
        <w:tc>
          <w:tcPr>
            <w:tcW w:w="531" w:type="pct"/>
            <w:tcBorders>
              <w:top w:val="nil"/>
              <w:left w:val="nil"/>
              <w:bottom w:val="single" w:sz="4" w:space="0" w:color="auto"/>
              <w:right w:val="single" w:sz="4" w:space="0" w:color="auto"/>
            </w:tcBorders>
            <w:shd w:val="clear" w:color="auto" w:fill="auto"/>
            <w:vAlign w:val="center"/>
            <w:hideMark/>
          </w:tcPr>
          <w:p w14:paraId="0B758895" w14:textId="77777777" w:rsidR="00A25C77" w:rsidRPr="00A25C77" w:rsidRDefault="00A25C77" w:rsidP="00A25C77">
            <w:pPr>
              <w:spacing w:after="0" w:line="240" w:lineRule="auto"/>
              <w:jc w:val="right"/>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 xml:space="preserve">       324.895 </w:t>
            </w:r>
          </w:p>
        </w:tc>
        <w:tc>
          <w:tcPr>
            <w:tcW w:w="531" w:type="pct"/>
            <w:tcBorders>
              <w:top w:val="nil"/>
              <w:left w:val="nil"/>
              <w:bottom w:val="single" w:sz="4" w:space="0" w:color="auto"/>
              <w:right w:val="single" w:sz="4" w:space="0" w:color="auto"/>
            </w:tcBorders>
            <w:shd w:val="clear" w:color="auto" w:fill="auto"/>
            <w:vAlign w:val="center"/>
            <w:hideMark/>
          </w:tcPr>
          <w:p w14:paraId="3705797F" w14:textId="77777777" w:rsidR="00A25C77" w:rsidRPr="00A25C77" w:rsidRDefault="00A25C77" w:rsidP="00A25C77">
            <w:pPr>
              <w:spacing w:after="0" w:line="240" w:lineRule="auto"/>
              <w:jc w:val="right"/>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 xml:space="preserve">       267.604 </w:t>
            </w:r>
          </w:p>
        </w:tc>
        <w:tc>
          <w:tcPr>
            <w:tcW w:w="531" w:type="pct"/>
            <w:tcBorders>
              <w:top w:val="nil"/>
              <w:left w:val="nil"/>
              <w:bottom w:val="single" w:sz="4" w:space="0" w:color="auto"/>
              <w:right w:val="single" w:sz="4" w:space="0" w:color="auto"/>
            </w:tcBorders>
            <w:shd w:val="clear" w:color="auto" w:fill="auto"/>
            <w:vAlign w:val="center"/>
            <w:hideMark/>
          </w:tcPr>
          <w:p w14:paraId="6812CDE8" w14:textId="77777777" w:rsidR="00A25C77" w:rsidRPr="00A25C77" w:rsidRDefault="00A25C77" w:rsidP="00A25C77">
            <w:pPr>
              <w:spacing w:after="0" w:line="240" w:lineRule="auto"/>
              <w:jc w:val="right"/>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 xml:space="preserve">      660.273 </w:t>
            </w:r>
          </w:p>
        </w:tc>
        <w:tc>
          <w:tcPr>
            <w:tcW w:w="530" w:type="pct"/>
            <w:tcBorders>
              <w:top w:val="nil"/>
              <w:left w:val="nil"/>
              <w:bottom w:val="single" w:sz="4" w:space="0" w:color="auto"/>
              <w:right w:val="single" w:sz="4" w:space="0" w:color="auto"/>
            </w:tcBorders>
            <w:shd w:val="clear" w:color="auto" w:fill="auto"/>
            <w:vAlign w:val="center"/>
            <w:hideMark/>
          </w:tcPr>
          <w:p w14:paraId="34723624" w14:textId="77777777" w:rsidR="00A25C77" w:rsidRPr="00A25C77" w:rsidRDefault="00A25C77" w:rsidP="00A25C77">
            <w:pPr>
              <w:spacing w:after="0" w:line="240" w:lineRule="auto"/>
              <w:jc w:val="right"/>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 xml:space="preserve">      425.676 </w:t>
            </w:r>
          </w:p>
        </w:tc>
      </w:tr>
      <w:tr w:rsidR="00A25C77" w:rsidRPr="00A25C77" w14:paraId="58FCD9DA" w14:textId="77777777" w:rsidTr="00446A14">
        <w:trPr>
          <w:trHeight w:val="238"/>
        </w:trPr>
        <w:tc>
          <w:tcPr>
            <w:tcW w:w="1884" w:type="pct"/>
            <w:tcBorders>
              <w:top w:val="nil"/>
              <w:left w:val="single" w:sz="4" w:space="0" w:color="auto"/>
              <w:bottom w:val="single" w:sz="4" w:space="0" w:color="auto"/>
              <w:right w:val="single" w:sz="4" w:space="0" w:color="auto"/>
            </w:tcBorders>
            <w:shd w:val="clear" w:color="auto" w:fill="auto"/>
            <w:vAlign w:val="center"/>
            <w:hideMark/>
          </w:tcPr>
          <w:p w14:paraId="6F7AD5F2" w14:textId="77777777" w:rsidR="00A25C77" w:rsidRPr="00A25C77" w:rsidRDefault="00A25C77" w:rsidP="00A25C77">
            <w:pPr>
              <w:spacing w:after="0" w:line="240" w:lineRule="auto"/>
              <w:rPr>
                <w:rFonts w:ascii="Arial" w:eastAsia="Times New Roman" w:hAnsi="Arial" w:cs="Arial"/>
                <w:color w:val="000000"/>
                <w:kern w:val="0"/>
                <w:sz w:val="16"/>
                <w:szCs w:val="16"/>
                <w:lang w:eastAsia="pt-BR"/>
                <w14:ligatures w14:val="none"/>
              </w:rPr>
            </w:pPr>
            <w:r w:rsidRPr="00A25C77">
              <w:rPr>
                <w:rFonts w:ascii="Arial" w:eastAsia="Times New Roman" w:hAnsi="Arial" w:cs="Arial"/>
                <w:color w:val="000000"/>
                <w:kern w:val="0"/>
                <w:sz w:val="16"/>
                <w:szCs w:val="16"/>
                <w:lang w:eastAsia="pt-BR"/>
                <w14:ligatures w14:val="none"/>
              </w:rPr>
              <w:t>6. Proporção dos ativos vinculados à Telebrás</w:t>
            </w:r>
          </w:p>
        </w:tc>
        <w:tc>
          <w:tcPr>
            <w:tcW w:w="501" w:type="pct"/>
            <w:tcBorders>
              <w:top w:val="nil"/>
              <w:left w:val="nil"/>
              <w:bottom w:val="single" w:sz="4" w:space="0" w:color="auto"/>
              <w:right w:val="single" w:sz="4" w:space="0" w:color="auto"/>
            </w:tcBorders>
            <w:shd w:val="clear" w:color="auto" w:fill="auto"/>
            <w:vAlign w:val="center"/>
            <w:hideMark/>
          </w:tcPr>
          <w:p w14:paraId="566E9B26" w14:textId="77777777" w:rsidR="00A25C77" w:rsidRPr="00A25C77" w:rsidRDefault="00A25C77" w:rsidP="00A25C77">
            <w:pPr>
              <w:spacing w:after="0" w:line="240" w:lineRule="auto"/>
              <w:jc w:val="right"/>
              <w:rPr>
                <w:rFonts w:ascii="Arial" w:eastAsia="Times New Roman" w:hAnsi="Arial" w:cs="Arial"/>
                <w:color w:val="000000"/>
                <w:kern w:val="0"/>
                <w:sz w:val="16"/>
                <w:szCs w:val="16"/>
                <w:lang w:eastAsia="pt-BR"/>
                <w14:ligatures w14:val="none"/>
              </w:rPr>
            </w:pPr>
            <w:r w:rsidRPr="00A25C77">
              <w:rPr>
                <w:rFonts w:ascii="Arial" w:eastAsia="Times New Roman" w:hAnsi="Arial" w:cs="Arial"/>
                <w:color w:val="000000"/>
                <w:kern w:val="0"/>
                <w:sz w:val="16"/>
                <w:szCs w:val="16"/>
                <w:lang w:eastAsia="pt-BR"/>
                <w14:ligatures w14:val="none"/>
              </w:rPr>
              <w:t>6,82%</w:t>
            </w:r>
          </w:p>
        </w:tc>
        <w:tc>
          <w:tcPr>
            <w:tcW w:w="492" w:type="pct"/>
            <w:tcBorders>
              <w:top w:val="nil"/>
              <w:left w:val="nil"/>
              <w:bottom w:val="single" w:sz="4" w:space="0" w:color="auto"/>
              <w:right w:val="single" w:sz="4" w:space="0" w:color="auto"/>
            </w:tcBorders>
            <w:shd w:val="clear" w:color="auto" w:fill="auto"/>
            <w:vAlign w:val="center"/>
            <w:hideMark/>
          </w:tcPr>
          <w:p w14:paraId="6C42F2EB" w14:textId="77777777" w:rsidR="00A25C77" w:rsidRPr="00A25C77" w:rsidRDefault="00A25C77" w:rsidP="00A25C77">
            <w:pPr>
              <w:spacing w:after="0" w:line="240" w:lineRule="auto"/>
              <w:jc w:val="right"/>
              <w:rPr>
                <w:rFonts w:ascii="Arial" w:eastAsia="Times New Roman" w:hAnsi="Arial" w:cs="Arial"/>
                <w:color w:val="000000"/>
                <w:kern w:val="0"/>
                <w:sz w:val="16"/>
                <w:szCs w:val="16"/>
                <w:lang w:eastAsia="pt-BR"/>
                <w14:ligatures w14:val="none"/>
              </w:rPr>
            </w:pPr>
            <w:r w:rsidRPr="00A25C77">
              <w:rPr>
                <w:rFonts w:ascii="Arial" w:eastAsia="Times New Roman" w:hAnsi="Arial" w:cs="Arial"/>
                <w:color w:val="000000"/>
                <w:kern w:val="0"/>
                <w:sz w:val="16"/>
                <w:szCs w:val="16"/>
                <w:lang w:eastAsia="pt-BR"/>
                <w14:ligatures w14:val="none"/>
              </w:rPr>
              <w:t>6,88%</w:t>
            </w:r>
          </w:p>
        </w:tc>
        <w:tc>
          <w:tcPr>
            <w:tcW w:w="531" w:type="pct"/>
            <w:tcBorders>
              <w:top w:val="nil"/>
              <w:left w:val="nil"/>
              <w:bottom w:val="single" w:sz="4" w:space="0" w:color="auto"/>
              <w:right w:val="single" w:sz="4" w:space="0" w:color="auto"/>
            </w:tcBorders>
            <w:shd w:val="clear" w:color="auto" w:fill="auto"/>
            <w:vAlign w:val="center"/>
            <w:hideMark/>
          </w:tcPr>
          <w:p w14:paraId="5F6E13B6" w14:textId="77777777" w:rsidR="00A25C77" w:rsidRPr="00A25C77" w:rsidRDefault="00A25C77" w:rsidP="00A25C77">
            <w:pPr>
              <w:spacing w:after="0" w:line="240" w:lineRule="auto"/>
              <w:jc w:val="right"/>
              <w:rPr>
                <w:rFonts w:ascii="Arial" w:eastAsia="Times New Roman" w:hAnsi="Arial" w:cs="Arial"/>
                <w:color w:val="000000"/>
                <w:kern w:val="0"/>
                <w:sz w:val="16"/>
                <w:szCs w:val="16"/>
                <w:lang w:eastAsia="pt-BR"/>
                <w14:ligatures w14:val="none"/>
              </w:rPr>
            </w:pPr>
            <w:r w:rsidRPr="00A25C77">
              <w:rPr>
                <w:rFonts w:ascii="Arial" w:eastAsia="Times New Roman" w:hAnsi="Arial" w:cs="Arial"/>
                <w:color w:val="000000"/>
                <w:kern w:val="0"/>
                <w:sz w:val="16"/>
                <w:szCs w:val="16"/>
                <w:lang w:eastAsia="pt-BR"/>
                <w14:ligatures w14:val="none"/>
              </w:rPr>
              <w:t>100,00%</w:t>
            </w:r>
          </w:p>
        </w:tc>
        <w:tc>
          <w:tcPr>
            <w:tcW w:w="531" w:type="pct"/>
            <w:tcBorders>
              <w:top w:val="nil"/>
              <w:left w:val="nil"/>
              <w:bottom w:val="single" w:sz="4" w:space="0" w:color="auto"/>
              <w:right w:val="single" w:sz="4" w:space="0" w:color="auto"/>
            </w:tcBorders>
            <w:shd w:val="clear" w:color="auto" w:fill="auto"/>
            <w:vAlign w:val="center"/>
            <w:hideMark/>
          </w:tcPr>
          <w:p w14:paraId="1CF70E27" w14:textId="77777777" w:rsidR="00A25C77" w:rsidRPr="00A25C77" w:rsidRDefault="00A25C77" w:rsidP="00A25C77">
            <w:pPr>
              <w:spacing w:after="0" w:line="240" w:lineRule="auto"/>
              <w:jc w:val="right"/>
              <w:rPr>
                <w:rFonts w:ascii="Arial" w:eastAsia="Times New Roman" w:hAnsi="Arial" w:cs="Arial"/>
                <w:color w:val="000000"/>
                <w:kern w:val="0"/>
                <w:sz w:val="16"/>
                <w:szCs w:val="16"/>
                <w:lang w:eastAsia="pt-BR"/>
                <w14:ligatures w14:val="none"/>
              </w:rPr>
            </w:pPr>
            <w:r w:rsidRPr="00A25C77">
              <w:rPr>
                <w:rFonts w:ascii="Arial" w:eastAsia="Times New Roman" w:hAnsi="Arial" w:cs="Arial"/>
                <w:color w:val="000000"/>
                <w:kern w:val="0"/>
                <w:sz w:val="16"/>
                <w:szCs w:val="16"/>
                <w:lang w:eastAsia="pt-BR"/>
                <w14:ligatures w14:val="none"/>
              </w:rPr>
              <w:t>100,00%</w:t>
            </w:r>
          </w:p>
        </w:tc>
        <w:tc>
          <w:tcPr>
            <w:tcW w:w="531" w:type="pct"/>
            <w:tcBorders>
              <w:top w:val="nil"/>
              <w:left w:val="nil"/>
              <w:bottom w:val="single" w:sz="4" w:space="0" w:color="auto"/>
              <w:right w:val="single" w:sz="4" w:space="0" w:color="auto"/>
            </w:tcBorders>
            <w:shd w:val="clear" w:color="auto" w:fill="auto"/>
            <w:vAlign w:val="center"/>
            <w:hideMark/>
          </w:tcPr>
          <w:p w14:paraId="4CE6AA43" w14:textId="77777777" w:rsidR="00A25C77" w:rsidRPr="00A25C77" w:rsidRDefault="00A25C77" w:rsidP="00A25C77">
            <w:pPr>
              <w:spacing w:after="0" w:line="240" w:lineRule="auto"/>
              <w:jc w:val="right"/>
              <w:rPr>
                <w:rFonts w:ascii="Arial" w:eastAsia="Times New Roman" w:hAnsi="Arial" w:cs="Arial"/>
                <w:color w:val="000000"/>
                <w:kern w:val="0"/>
                <w:sz w:val="16"/>
                <w:szCs w:val="16"/>
                <w:lang w:eastAsia="pt-BR"/>
                <w14:ligatures w14:val="none"/>
              </w:rPr>
            </w:pPr>
            <w:r w:rsidRPr="00A25C77">
              <w:rPr>
                <w:rFonts w:ascii="Arial" w:eastAsia="Times New Roman" w:hAnsi="Arial" w:cs="Arial"/>
                <w:color w:val="000000"/>
                <w:kern w:val="0"/>
                <w:sz w:val="16"/>
                <w:szCs w:val="16"/>
                <w:lang w:eastAsia="pt-BR"/>
                <w14:ligatures w14:val="none"/>
              </w:rPr>
              <w:t>100,00%</w:t>
            </w:r>
          </w:p>
        </w:tc>
        <w:tc>
          <w:tcPr>
            <w:tcW w:w="530" w:type="pct"/>
            <w:tcBorders>
              <w:top w:val="nil"/>
              <w:left w:val="nil"/>
              <w:bottom w:val="single" w:sz="4" w:space="0" w:color="auto"/>
              <w:right w:val="single" w:sz="4" w:space="0" w:color="auto"/>
            </w:tcBorders>
            <w:shd w:val="clear" w:color="auto" w:fill="auto"/>
            <w:vAlign w:val="center"/>
            <w:hideMark/>
          </w:tcPr>
          <w:p w14:paraId="481E99BE" w14:textId="77777777" w:rsidR="00A25C77" w:rsidRPr="00A25C77" w:rsidRDefault="00A25C77" w:rsidP="00A25C77">
            <w:pPr>
              <w:spacing w:after="0" w:line="240" w:lineRule="auto"/>
              <w:jc w:val="right"/>
              <w:rPr>
                <w:rFonts w:ascii="Arial" w:eastAsia="Times New Roman" w:hAnsi="Arial" w:cs="Arial"/>
                <w:color w:val="000000"/>
                <w:kern w:val="0"/>
                <w:sz w:val="16"/>
                <w:szCs w:val="16"/>
                <w:lang w:eastAsia="pt-BR"/>
                <w14:ligatures w14:val="none"/>
              </w:rPr>
            </w:pPr>
            <w:r w:rsidRPr="00A25C77">
              <w:rPr>
                <w:rFonts w:ascii="Arial" w:eastAsia="Times New Roman" w:hAnsi="Arial" w:cs="Arial"/>
                <w:color w:val="000000"/>
                <w:kern w:val="0"/>
                <w:sz w:val="16"/>
                <w:szCs w:val="16"/>
                <w:lang w:eastAsia="pt-BR"/>
                <w14:ligatures w14:val="none"/>
              </w:rPr>
              <w:t>100,00%</w:t>
            </w:r>
          </w:p>
        </w:tc>
      </w:tr>
      <w:tr w:rsidR="00A25C77" w:rsidRPr="00A25C77" w14:paraId="6C80B807" w14:textId="77777777" w:rsidTr="00446A14">
        <w:trPr>
          <w:trHeight w:val="238"/>
        </w:trPr>
        <w:tc>
          <w:tcPr>
            <w:tcW w:w="1884" w:type="pct"/>
            <w:tcBorders>
              <w:top w:val="nil"/>
              <w:left w:val="single" w:sz="4" w:space="0" w:color="auto"/>
              <w:bottom w:val="single" w:sz="4" w:space="0" w:color="auto"/>
              <w:right w:val="single" w:sz="4" w:space="0" w:color="auto"/>
            </w:tcBorders>
            <w:shd w:val="clear" w:color="auto" w:fill="auto"/>
            <w:vAlign w:val="center"/>
            <w:hideMark/>
          </w:tcPr>
          <w:p w14:paraId="773E5323" w14:textId="77777777" w:rsidR="00A25C77" w:rsidRPr="00A25C77" w:rsidRDefault="00A25C77" w:rsidP="00A25C77">
            <w:pPr>
              <w:spacing w:after="0" w:line="240" w:lineRule="auto"/>
              <w:rPr>
                <w:rFonts w:ascii="Arial" w:eastAsia="Times New Roman" w:hAnsi="Arial" w:cs="Arial"/>
                <w:color w:val="000000"/>
                <w:kern w:val="0"/>
                <w:sz w:val="16"/>
                <w:szCs w:val="16"/>
                <w:lang w:eastAsia="pt-BR"/>
                <w14:ligatures w14:val="none"/>
              </w:rPr>
            </w:pPr>
            <w:r w:rsidRPr="00A25C77">
              <w:rPr>
                <w:rFonts w:ascii="Arial" w:eastAsia="Times New Roman" w:hAnsi="Arial" w:cs="Arial"/>
                <w:color w:val="000000"/>
                <w:kern w:val="0"/>
                <w:sz w:val="16"/>
                <w:szCs w:val="16"/>
                <w:lang w:eastAsia="pt-BR"/>
                <w14:ligatures w14:val="none"/>
              </w:rPr>
              <w:t>7. Valor justo dos ativos do plano total</w:t>
            </w:r>
          </w:p>
        </w:tc>
        <w:tc>
          <w:tcPr>
            <w:tcW w:w="501" w:type="pct"/>
            <w:tcBorders>
              <w:top w:val="nil"/>
              <w:left w:val="nil"/>
              <w:bottom w:val="single" w:sz="4" w:space="0" w:color="auto"/>
              <w:right w:val="single" w:sz="4" w:space="0" w:color="auto"/>
            </w:tcBorders>
            <w:shd w:val="clear" w:color="auto" w:fill="auto"/>
            <w:vAlign w:val="center"/>
            <w:hideMark/>
          </w:tcPr>
          <w:p w14:paraId="2D0868D7" w14:textId="77777777" w:rsidR="00A25C77" w:rsidRPr="00A25C77" w:rsidRDefault="00A25C77" w:rsidP="00A25C77">
            <w:pPr>
              <w:spacing w:after="0" w:line="240" w:lineRule="auto"/>
              <w:jc w:val="right"/>
              <w:rPr>
                <w:rFonts w:ascii="Arial" w:eastAsia="Times New Roman" w:hAnsi="Arial" w:cs="Arial"/>
                <w:color w:val="000000"/>
                <w:kern w:val="0"/>
                <w:sz w:val="16"/>
                <w:szCs w:val="16"/>
                <w:lang w:eastAsia="pt-BR"/>
                <w14:ligatures w14:val="none"/>
              </w:rPr>
            </w:pPr>
            <w:r w:rsidRPr="00A25C77">
              <w:rPr>
                <w:rFonts w:ascii="Arial" w:eastAsia="Times New Roman" w:hAnsi="Arial" w:cs="Arial"/>
                <w:color w:val="000000"/>
                <w:kern w:val="0"/>
                <w:sz w:val="16"/>
                <w:szCs w:val="16"/>
                <w:lang w:eastAsia="pt-BR"/>
                <w14:ligatures w14:val="none"/>
              </w:rPr>
              <w:t xml:space="preserve">     690.510 </w:t>
            </w:r>
          </w:p>
        </w:tc>
        <w:tc>
          <w:tcPr>
            <w:tcW w:w="492" w:type="pct"/>
            <w:tcBorders>
              <w:top w:val="nil"/>
              <w:left w:val="nil"/>
              <w:bottom w:val="single" w:sz="4" w:space="0" w:color="auto"/>
              <w:right w:val="single" w:sz="4" w:space="0" w:color="auto"/>
            </w:tcBorders>
            <w:shd w:val="clear" w:color="auto" w:fill="auto"/>
            <w:vAlign w:val="center"/>
            <w:hideMark/>
          </w:tcPr>
          <w:p w14:paraId="36AAD526" w14:textId="77777777" w:rsidR="00A25C77" w:rsidRPr="00A25C77" w:rsidRDefault="00A25C77" w:rsidP="00A25C77">
            <w:pPr>
              <w:spacing w:after="0" w:line="240" w:lineRule="auto"/>
              <w:jc w:val="right"/>
              <w:rPr>
                <w:rFonts w:ascii="Arial" w:eastAsia="Times New Roman" w:hAnsi="Arial" w:cs="Arial"/>
                <w:color w:val="000000"/>
                <w:kern w:val="0"/>
                <w:sz w:val="16"/>
                <w:szCs w:val="16"/>
                <w:lang w:eastAsia="pt-BR"/>
                <w14:ligatures w14:val="none"/>
              </w:rPr>
            </w:pPr>
            <w:r w:rsidRPr="00A25C77">
              <w:rPr>
                <w:rFonts w:ascii="Arial" w:eastAsia="Times New Roman" w:hAnsi="Arial" w:cs="Arial"/>
                <w:color w:val="000000"/>
                <w:kern w:val="0"/>
                <w:sz w:val="16"/>
                <w:szCs w:val="16"/>
                <w:lang w:eastAsia="pt-BR"/>
                <w14:ligatures w14:val="none"/>
              </w:rPr>
              <w:t xml:space="preserve">     648.500 </w:t>
            </w:r>
          </w:p>
        </w:tc>
        <w:tc>
          <w:tcPr>
            <w:tcW w:w="531" w:type="pct"/>
            <w:tcBorders>
              <w:top w:val="nil"/>
              <w:left w:val="nil"/>
              <w:bottom w:val="single" w:sz="4" w:space="0" w:color="auto"/>
              <w:right w:val="single" w:sz="4" w:space="0" w:color="auto"/>
            </w:tcBorders>
            <w:shd w:val="clear" w:color="auto" w:fill="auto"/>
            <w:vAlign w:val="center"/>
            <w:hideMark/>
          </w:tcPr>
          <w:p w14:paraId="52BFF2DD" w14:textId="77777777" w:rsidR="00A25C77" w:rsidRPr="00A25C77" w:rsidRDefault="00A25C77" w:rsidP="00A25C77">
            <w:pPr>
              <w:spacing w:after="0" w:line="240" w:lineRule="auto"/>
              <w:jc w:val="right"/>
              <w:rPr>
                <w:rFonts w:ascii="Arial" w:eastAsia="Times New Roman" w:hAnsi="Arial" w:cs="Arial"/>
                <w:color w:val="000000"/>
                <w:kern w:val="0"/>
                <w:sz w:val="16"/>
                <w:szCs w:val="16"/>
                <w:lang w:eastAsia="pt-BR"/>
                <w14:ligatures w14:val="none"/>
              </w:rPr>
            </w:pPr>
            <w:r w:rsidRPr="00A25C77">
              <w:rPr>
                <w:rFonts w:ascii="Arial" w:eastAsia="Times New Roman" w:hAnsi="Arial" w:cs="Arial"/>
                <w:color w:val="000000"/>
                <w:kern w:val="0"/>
                <w:sz w:val="16"/>
                <w:szCs w:val="16"/>
                <w:lang w:eastAsia="pt-BR"/>
                <w14:ligatures w14:val="none"/>
              </w:rPr>
              <w:t xml:space="preserve">       324.895 </w:t>
            </w:r>
          </w:p>
        </w:tc>
        <w:tc>
          <w:tcPr>
            <w:tcW w:w="531" w:type="pct"/>
            <w:tcBorders>
              <w:top w:val="nil"/>
              <w:left w:val="nil"/>
              <w:bottom w:val="single" w:sz="4" w:space="0" w:color="auto"/>
              <w:right w:val="single" w:sz="4" w:space="0" w:color="auto"/>
            </w:tcBorders>
            <w:shd w:val="clear" w:color="auto" w:fill="auto"/>
            <w:vAlign w:val="center"/>
            <w:hideMark/>
          </w:tcPr>
          <w:p w14:paraId="28D4DCE2" w14:textId="77777777" w:rsidR="00A25C77" w:rsidRPr="00A25C77" w:rsidRDefault="00A25C77" w:rsidP="00A25C77">
            <w:pPr>
              <w:spacing w:after="0" w:line="240" w:lineRule="auto"/>
              <w:jc w:val="right"/>
              <w:rPr>
                <w:rFonts w:ascii="Arial" w:eastAsia="Times New Roman" w:hAnsi="Arial" w:cs="Arial"/>
                <w:color w:val="000000"/>
                <w:kern w:val="0"/>
                <w:sz w:val="16"/>
                <w:szCs w:val="16"/>
                <w:lang w:eastAsia="pt-BR"/>
                <w14:ligatures w14:val="none"/>
              </w:rPr>
            </w:pPr>
            <w:r w:rsidRPr="00A25C77">
              <w:rPr>
                <w:rFonts w:ascii="Arial" w:eastAsia="Times New Roman" w:hAnsi="Arial" w:cs="Arial"/>
                <w:color w:val="000000"/>
                <w:kern w:val="0"/>
                <w:sz w:val="16"/>
                <w:szCs w:val="16"/>
                <w:lang w:eastAsia="pt-BR"/>
                <w14:ligatures w14:val="none"/>
              </w:rPr>
              <w:t xml:space="preserve">       267.604 </w:t>
            </w:r>
          </w:p>
        </w:tc>
        <w:tc>
          <w:tcPr>
            <w:tcW w:w="531" w:type="pct"/>
            <w:tcBorders>
              <w:top w:val="nil"/>
              <w:left w:val="nil"/>
              <w:bottom w:val="single" w:sz="4" w:space="0" w:color="auto"/>
              <w:right w:val="single" w:sz="4" w:space="0" w:color="auto"/>
            </w:tcBorders>
            <w:shd w:val="clear" w:color="auto" w:fill="auto"/>
            <w:vAlign w:val="center"/>
            <w:hideMark/>
          </w:tcPr>
          <w:p w14:paraId="092A805A" w14:textId="77777777" w:rsidR="00A25C77" w:rsidRPr="00A25C77" w:rsidRDefault="00A25C77" w:rsidP="00A25C77">
            <w:pPr>
              <w:spacing w:after="0" w:line="240" w:lineRule="auto"/>
              <w:jc w:val="right"/>
              <w:rPr>
                <w:rFonts w:ascii="Arial" w:eastAsia="Times New Roman" w:hAnsi="Arial" w:cs="Arial"/>
                <w:color w:val="000000"/>
                <w:kern w:val="0"/>
                <w:sz w:val="16"/>
                <w:szCs w:val="16"/>
                <w:lang w:eastAsia="pt-BR"/>
                <w14:ligatures w14:val="none"/>
              </w:rPr>
            </w:pPr>
            <w:r w:rsidRPr="00A25C77">
              <w:rPr>
                <w:rFonts w:ascii="Arial" w:eastAsia="Times New Roman" w:hAnsi="Arial" w:cs="Arial"/>
                <w:color w:val="000000"/>
                <w:kern w:val="0"/>
                <w:sz w:val="16"/>
                <w:szCs w:val="16"/>
                <w:lang w:eastAsia="pt-BR"/>
                <w14:ligatures w14:val="none"/>
              </w:rPr>
              <w:t xml:space="preserve">      660.273 </w:t>
            </w:r>
          </w:p>
        </w:tc>
        <w:tc>
          <w:tcPr>
            <w:tcW w:w="530" w:type="pct"/>
            <w:tcBorders>
              <w:top w:val="nil"/>
              <w:left w:val="nil"/>
              <w:bottom w:val="single" w:sz="4" w:space="0" w:color="auto"/>
              <w:right w:val="single" w:sz="4" w:space="0" w:color="auto"/>
            </w:tcBorders>
            <w:shd w:val="clear" w:color="auto" w:fill="auto"/>
            <w:vAlign w:val="center"/>
            <w:hideMark/>
          </w:tcPr>
          <w:p w14:paraId="3E8AC3A7" w14:textId="77777777" w:rsidR="00A25C77" w:rsidRPr="00A25C77" w:rsidRDefault="00A25C77" w:rsidP="00A25C77">
            <w:pPr>
              <w:spacing w:after="0" w:line="240" w:lineRule="auto"/>
              <w:jc w:val="right"/>
              <w:rPr>
                <w:rFonts w:ascii="Arial" w:eastAsia="Times New Roman" w:hAnsi="Arial" w:cs="Arial"/>
                <w:color w:val="000000"/>
                <w:kern w:val="0"/>
                <w:sz w:val="16"/>
                <w:szCs w:val="16"/>
                <w:lang w:eastAsia="pt-BR"/>
                <w14:ligatures w14:val="none"/>
              </w:rPr>
            </w:pPr>
            <w:r w:rsidRPr="00A25C77">
              <w:rPr>
                <w:rFonts w:ascii="Arial" w:eastAsia="Times New Roman" w:hAnsi="Arial" w:cs="Arial"/>
                <w:color w:val="000000"/>
                <w:kern w:val="0"/>
                <w:sz w:val="16"/>
                <w:szCs w:val="16"/>
                <w:lang w:eastAsia="pt-BR"/>
                <w14:ligatures w14:val="none"/>
              </w:rPr>
              <w:t xml:space="preserve">      425.676 </w:t>
            </w:r>
          </w:p>
        </w:tc>
      </w:tr>
      <w:tr w:rsidR="00A25C77" w:rsidRPr="00A25C77" w14:paraId="6737A003" w14:textId="77777777" w:rsidTr="00446A14">
        <w:trPr>
          <w:trHeight w:val="238"/>
        </w:trPr>
        <w:tc>
          <w:tcPr>
            <w:tcW w:w="1884" w:type="pct"/>
            <w:tcBorders>
              <w:top w:val="nil"/>
              <w:left w:val="single" w:sz="4" w:space="0" w:color="auto"/>
              <w:bottom w:val="single" w:sz="4" w:space="0" w:color="auto"/>
              <w:right w:val="single" w:sz="4" w:space="0" w:color="auto"/>
            </w:tcBorders>
            <w:shd w:val="clear" w:color="auto" w:fill="auto"/>
            <w:vAlign w:val="center"/>
            <w:hideMark/>
          </w:tcPr>
          <w:p w14:paraId="2120E6FF" w14:textId="77777777" w:rsidR="00A25C77" w:rsidRPr="00A25C77" w:rsidRDefault="00A25C77" w:rsidP="00A25C77">
            <w:pPr>
              <w:spacing w:after="0" w:line="240" w:lineRule="auto"/>
              <w:rPr>
                <w:rFonts w:ascii="Arial" w:eastAsia="Times New Roman" w:hAnsi="Arial" w:cs="Arial"/>
                <w:color w:val="000000"/>
                <w:kern w:val="0"/>
                <w:sz w:val="16"/>
                <w:szCs w:val="16"/>
                <w:lang w:eastAsia="pt-BR"/>
                <w14:ligatures w14:val="none"/>
              </w:rPr>
            </w:pPr>
            <w:r w:rsidRPr="00A25C77">
              <w:rPr>
                <w:rFonts w:ascii="Arial" w:eastAsia="Times New Roman" w:hAnsi="Arial" w:cs="Arial"/>
                <w:color w:val="000000"/>
                <w:kern w:val="0"/>
                <w:sz w:val="16"/>
                <w:szCs w:val="16"/>
                <w:lang w:eastAsia="pt-BR"/>
                <w14:ligatures w14:val="none"/>
              </w:rPr>
              <w:t>8. Parcela de contribuição definida</w:t>
            </w:r>
          </w:p>
        </w:tc>
        <w:tc>
          <w:tcPr>
            <w:tcW w:w="501" w:type="pct"/>
            <w:tcBorders>
              <w:top w:val="nil"/>
              <w:left w:val="nil"/>
              <w:bottom w:val="single" w:sz="4" w:space="0" w:color="auto"/>
              <w:right w:val="single" w:sz="4" w:space="0" w:color="auto"/>
            </w:tcBorders>
            <w:shd w:val="clear" w:color="auto" w:fill="auto"/>
            <w:vAlign w:val="center"/>
            <w:hideMark/>
          </w:tcPr>
          <w:p w14:paraId="064A8142" w14:textId="77777777" w:rsidR="00A25C77" w:rsidRPr="00A25C77" w:rsidRDefault="00A25C77" w:rsidP="00A25C77">
            <w:pPr>
              <w:spacing w:after="0" w:line="240" w:lineRule="auto"/>
              <w:jc w:val="right"/>
              <w:rPr>
                <w:rFonts w:ascii="Arial" w:eastAsia="Times New Roman" w:hAnsi="Arial" w:cs="Arial"/>
                <w:color w:val="000000"/>
                <w:kern w:val="0"/>
                <w:sz w:val="16"/>
                <w:szCs w:val="16"/>
                <w:lang w:eastAsia="pt-BR"/>
                <w14:ligatures w14:val="none"/>
              </w:rPr>
            </w:pPr>
            <w:r w:rsidRPr="00A25C77">
              <w:rPr>
                <w:rFonts w:ascii="Arial" w:eastAsia="Times New Roman" w:hAnsi="Arial" w:cs="Arial"/>
                <w:color w:val="000000"/>
                <w:kern w:val="0"/>
                <w:sz w:val="16"/>
                <w:szCs w:val="16"/>
                <w:lang w:eastAsia="pt-BR"/>
                <w14:ligatures w14:val="none"/>
              </w:rPr>
              <w:t xml:space="preserve">                 -    </w:t>
            </w:r>
          </w:p>
        </w:tc>
        <w:tc>
          <w:tcPr>
            <w:tcW w:w="492" w:type="pct"/>
            <w:tcBorders>
              <w:top w:val="nil"/>
              <w:left w:val="nil"/>
              <w:bottom w:val="single" w:sz="4" w:space="0" w:color="auto"/>
              <w:right w:val="single" w:sz="4" w:space="0" w:color="auto"/>
            </w:tcBorders>
            <w:shd w:val="clear" w:color="auto" w:fill="auto"/>
            <w:vAlign w:val="center"/>
            <w:hideMark/>
          </w:tcPr>
          <w:p w14:paraId="734D726D" w14:textId="77777777" w:rsidR="00A25C77" w:rsidRPr="00A25C77" w:rsidRDefault="00A25C77" w:rsidP="00A25C77">
            <w:pPr>
              <w:spacing w:after="0" w:line="240" w:lineRule="auto"/>
              <w:jc w:val="right"/>
              <w:rPr>
                <w:rFonts w:ascii="Arial" w:eastAsia="Times New Roman" w:hAnsi="Arial" w:cs="Arial"/>
                <w:color w:val="000000"/>
                <w:kern w:val="0"/>
                <w:sz w:val="16"/>
                <w:szCs w:val="16"/>
                <w:lang w:eastAsia="pt-BR"/>
                <w14:ligatures w14:val="none"/>
              </w:rPr>
            </w:pPr>
            <w:r w:rsidRPr="00A25C77">
              <w:rPr>
                <w:rFonts w:ascii="Arial" w:eastAsia="Times New Roman" w:hAnsi="Arial" w:cs="Arial"/>
                <w:color w:val="000000"/>
                <w:kern w:val="0"/>
                <w:sz w:val="16"/>
                <w:szCs w:val="16"/>
                <w:lang w:eastAsia="pt-BR"/>
                <w14:ligatures w14:val="none"/>
              </w:rPr>
              <w:t xml:space="preserve">                 -    </w:t>
            </w:r>
          </w:p>
        </w:tc>
        <w:tc>
          <w:tcPr>
            <w:tcW w:w="531" w:type="pct"/>
            <w:tcBorders>
              <w:top w:val="nil"/>
              <w:left w:val="nil"/>
              <w:bottom w:val="single" w:sz="4" w:space="0" w:color="auto"/>
              <w:right w:val="single" w:sz="4" w:space="0" w:color="auto"/>
            </w:tcBorders>
            <w:shd w:val="clear" w:color="auto" w:fill="auto"/>
            <w:vAlign w:val="center"/>
            <w:hideMark/>
          </w:tcPr>
          <w:p w14:paraId="7D2BBB4D" w14:textId="77777777" w:rsidR="00A25C77" w:rsidRPr="00A25C77" w:rsidRDefault="00A25C77" w:rsidP="00A25C77">
            <w:pPr>
              <w:spacing w:after="0" w:line="240" w:lineRule="auto"/>
              <w:jc w:val="right"/>
              <w:rPr>
                <w:rFonts w:ascii="Arial" w:eastAsia="Times New Roman" w:hAnsi="Arial" w:cs="Arial"/>
                <w:color w:val="000000"/>
                <w:kern w:val="0"/>
                <w:sz w:val="16"/>
                <w:szCs w:val="16"/>
                <w:lang w:eastAsia="pt-BR"/>
                <w14:ligatures w14:val="none"/>
              </w:rPr>
            </w:pPr>
            <w:r w:rsidRPr="00A25C77">
              <w:rPr>
                <w:rFonts w:ascii="Arial" w:eastAsia="Times New Roman" w:hAnsi="Arial" w:cs="Arial"/>
                <w:color w:val="000000"/>
                <w:kern w:val="0"/>
                <w:sz w:val="16"/>
                <w:szCs w:val="16"/>
                <w:lang w:eastAsia="pt-BR"/>
                <w14:ligatures w14:val="none"/>
              </w:rPr>
              <w:t xml:space="preserve">               -    </w:t>
            </w:r>
          </w:p>
        </w:tc>
        <w:tc>
          <w:tcPr>
            <w:tcW w:w="531" w:type="pct"/>
            <w:tcBorders>
              <w:top w:val="nil"/>
              <w:left w:val="nil"/>
              <w:bottom w:val="single" w:sz="4" w:space="0" w:color="auto"/>
              <w:right w:val="single" w:sz="4" w:space="0" w:color="auto"/>
            </w:tcBorders>
            <w:shd w:val="clear" w:color="auto" w:fill="auto"/>
            <w:vAlign w:val="center"/>
            <w:hideMark/>
          </w:tcPr>
          <w:p w14:paraId="11BD74FB" w14:textId="77777777" w:rsidR="00A25C77" w:rsidRPr="00A25C77" w:rsidRDefault="00A25C77" w:rsidP="00A25C77">
            <w:pPr>
              <w:spacing w:after="0" w:line="240" w:lineRule="auto"/>
              <w:jc w:val="right"/>
              <w:rPr>
                <w:rFonts w:ascii="Arial" w:eastAsia="Times New Roman" w:hAnsi="Arial" w:cs="Arial"/>
                <w:color w:val="000000"/>
                <w:kern w:val="0"/>
                <w:sz w:val="16"/>
                <w:szCs w:val="16"/>
                <w:lang w:eastAsia="pt-BR"/>
                <w14:ligatures w14:val="none"/>
              </w:rPr>
            </w:pPr>
            <w:r w:rsidRPr="00A25C77">
              <w:rPr>
                <w:rFonts w:ascii="Arial" w:eastAsia="Times New Roman" w:hAnsi="Arial" w:cs="Arial"/>
                <w:color w:val="000000"/>
                <w:kern w:val="0"/>
                <w:sz w:val="16"/>
                <w:szCs w:val="16"/>
                <w:lang w:eastAsia="pt-BR"/>
                <w14:ligatures w14:val="none"/>
              </w:rPr>
              <w:t xml:space="preserve">               -    </w:t>
            </w:r>
          </w:p>
        </w:tc>
        <w:tc>
          <w:tcPr>
            <w:tcW w:w="531" w:type="pct"/>
            <w:tcBorders>
              <w:top w:val="nil"/>
              <w:left w:val="nil"/>
              <w:bottom w:val="single" w:sz="4" w:space="0" w:color="auto"/>
              <w:right w:val="single" w:sz="4" w:space="0" w:color="auto"/>
            </w:tcBorders>
            <w:shd w:val="clear" w:color="auto" w:fill="auto"/>
            <w:vAlign w:val="center"/>
            <w:hideMark/>
          </w:tcPr>
          <w:p w14:paraId="2C3D8C57" w14:textId="77777777" w:rsidR="00A25C77" w:rsidRPr="00A25C77" w:rsidRDefault="00A25C77" w:rsidP="00A25C77">
            <w:pPr>
              <w:spacing w:after="0" w:line="240" w:lineRule="auto"/>
              <w:jc w:val="right"/>
              <w:rPr>
                <w:rFonts w:ascii="Arial" w:eastAsia="Times New Roman" w:hAnsi="Arial" w:cs="Arial"/>
                <w:color w:val="000000"/>
                <w:kern w:val="0"/>
                <w:sz w:val="16"/>
                <w:szCs w:val="16"/>
                <w:lang w:eastAsia="pt-BR"/>
                <w14:ligatures w14:val="none"/>
              </w:rPr>
            </w:pPr>
            <w:r w:rsidRPr="00A25C77">
              <w:rPr>
                <w:rFonts w:ascii="Arial" w:eastAsia="Times New Roman" w:hAnsi="Arial" w:cs="Arial"/>
                <w:color w:val="000000"/>
                <w:kern w:val="0"/>
                <w:sz w:val="16"/>
                <w:szCs w:val="16"/>
                <w:lang w:eastAsia="pt-BR"/>
                <w14:ligatures w14:val="none"/>
              </w:rPr>
              <w:t xml:space="preserve">      (82.664)</w:t>
            </w:r>
          </w:p>
        </w:tc>
        <w:tc>
          <w:tcPr>
            <w:tcW w:w="530" w:type="pct"/>
            <w:tcBorders>
              <w:top w:val="nil"/>
              <w:left w:val="nil"/>
              <w:bottom w:val="single" w:sz="4" w:space="0" w:color="auto"/>
              <w:right w:val="single" w:sz="4" w:space="0" w:color="auto"/>
            </w:tcBorders>
            <w:shd w:val="clear" w:color="auto" w:fill="auto"/>
            <w:vAlign w:val="center"/>
            <w:hideMark/>
          </w:tcPr>
          <w:p w14:paraId="503DA033" w14:textId="77777777" w:rsidR="00A25C77" w:rsidRPr="00A25C77" w:rsidRDefault="00A25C77" w:rsidP="00A25C77">
            <w:pPr>
              <w:spacing w:after="0" w:line="240" w:lineRule="auto"/>
              <w:jc w:val="right"/>
              <w:rPr>
                <w:rFonts w:ascii="Arial" w:eastAsia="Times New Roman" w:hAnsi="Arial" w:cs="Arial"/>
                <w:color w:val="000000"/>
                <w:kern w:val="0"/>
                <w:sz w:val="16"/>
                <w:szCs w:val="16"/>
                <w:lang w:eastAsia="pt-BR"/>
                <w14:ligatures w14:val="none"/>
              </w:rPr>
            </w:pPr>
            <w:r w:rsidRPr="00A25C77">
              <w:rPr>
                <w:rFonts w:ascii="Arial" w:eastAsia="Times New Roman" w:hAnsi="Arial" w:cs="Arial"/>
                <w:color w:val="000000"/>
                <w:kern w:val="0"/>
                <w:sz w:val="16"/>
                <w:szCs w:val="16"/>
                <w:lang w:eastAsia="pt-BR"/>
                <w14:ligatures w14:val="none"/>
              </w:rPr>
              <w:t xml:space="preserve">      (81.358)</w:t>
            </w:r>
          </w:p>
        </w:tc>
      </w:tr>
      <w:tr w:rsidR="00A25C77" w:rsidRPr="00A25C77" w14:paraId="4E514CF7" w14:textId="77777777" w:rsidTr="00446A14">
        <w:trPr>
          <w:trHeight w:val="238"/>
        </w:trPr>
        <w:tc>
          <w:tcPr>
            <w:tcW w:w="1884" w:type="pct"/>
            <w:tcBorders>
              <w:top w:val="nil"/>
              <w:left w:val="single" w:sz="4" w:space="0" w:color="auto"/>
              <w:bottom w:val="single" w:sz="4" w:space="0" w:color="auto"/>
              <w:right w:val="single" w:sz="4" w:space="0" w:color="auto"/>
            </w:tcBorders>
            <w:shd w:val="clear" w:color="auto" w:fill="auto"/>
            <w:vAlign w:val="center"/>
            <w:hideMark/>
          </w:tcPr>
          <w:p w14:paraId="5C028AF9" w14:textId="77777777" w:rsidR="00A25C77" w:rsidRPr="00A25C77" w:rsidRDefault="00A25C77" w:rsidP="00A25C77">
            <w:pPr>
              <w:spacing w:after="0" w:line="240" w:lineRule="auto"/>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9. Valor justo dos ativos do plano – parte BD</w:t>
            </w:r>
          </w:p>
        </w:tc>
        <w:tc>
          <w:tcPr>
            <w:tcW w:w="501" w:type="pct"/>
            <w:tcBorders>
              <w:top w:val="nil"/>
              <w:left w:val="nil"/>
              <w:bottom w:val="single" w:sz="4" w:space="0" w:color="auto"/>
              <w:right w:val="single" w:sz="4" w:space="0" w:color="auto"/>
            </w:tcBorders>
            <w:shd w:val="clear" w:color="auto" w:fill="auto"/>
            <w:vAlign w:val="center"/>
            <w:hideMark/>
          </w:tcPr>
          <w:p w14:paraId="689A6445" w14:textId="77777777" w:rsidR="00A25C77" w:rsidRPr="00A25C77" w:rsidRDefault="00A25C77" w:rsidP="00A25C77">
            <w:pPr>
              <w:spacing w:after="0" w:line="240" w:lineRule="auto"/>
              <w:jc w:val="right"/>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 xml:space="preserve">     690.510 </w:t>
            </w:r>
          </w:p>
        </w:tc>
        <w:tc>
          <w:tcPr>
            <w:tcW w:w="492" w:type="pct"/>
            <w:tcBorders>
              <w:top w:val="nil"/>
              <w:left w:val="nil"/>
              <w:bottom w:val="single" w:sz="4" w:space="0" w:color="auto"/>
              <w:right w:val="single" w:sz="4" w:space="0" w:color="auto"/>
            </w:tcBorders>
            <w:shd w:val="clear" w:color="auto" w:fill="auto"/>
            <w:vAlign w:val="center"/>
            <w:hideMark/>
          </w:tcPr>
          <w:p w14:paraId="0605A7E7" w14:textId="77777777" w:rsidR="00A25C77" w:rsidRPr="00A25C77" w:rsidRDefault="00A25C77" w:rsidP="00A25C77">
            <w:pPr>
              <w:spacing w:after="0" w:line="240" w:lineRule="auto"/>
              <w:jc w:val="right"/>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 xml:space="preserve">     648.500 </w:t>
            </w:r>
          </w:p>
        </w:tc>
        <w:tc>
          <w:tcPr>
            <w:tcW w:w="531" w:type="pct"/>
            <w:tcBorders>
              <w:top w:val="nil"/>
              <w:left w:val="nil"/>
              <w:bottom w:val="single" w:sz="4" w:space="0" w:color="auto"/>
              <w:right w:val="single" w:sz="4" w:space="0" w:color="auto"/>
            </w:tcBorders>
            <w:shd w:val="clear" w:color="auto" w:fill="auto"/>
            <w:vAlign w:val="center"/>
            <w:hideMark/>
          </w:tcPr>
          <w:p w14:paraId="2206ED8F" w14:textId="77777777" w:rsidR="00A25C77" w:rsidRPr="00A25C77" w:rsidRDefault="00A25C77" w:rsidP="00A25C77">
            <w:pPr>
              <w:spacing w:after="0" w:line="240" w:lineRule="auto"/>
              <w:jc w:val="right"/>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 xml:space="preserve">       324.895 </w:t>
            </w:r>
          </w:p>
        </w:tc>
        <w:tc>
          <w:tcPr>
            <w:tcW w:w="531" w:type="pct"/>
            <w:tcBorders>
              <w:top w:val="nil"/>
              <w:left w:val="nil"/>
              <w:bottom w:val="single" w:sz="4" w:space="0" w:color="auto"/>
              <w:right w:val="single" w:sz="4" w:space="0" w:color="auto"/>
            </w:tcBorders>
            <w:shd w:val="clear" w:color="auto" w:fill="auto"/>
            <w:vAlign w:val="center"/>
            <w:hideMark/>
          </w:tcPr>
          <w:p w14:paraId="7ED459F7" w14:textId="77777777" w:rsidR="00A25C77" w:rsidRPr="00A25C77" w:rsidRDefault="00A25C77" w:rsidP="00A25C77">
            <w:pPr>
              <w:spacing w:after="0" w:line="240" w:lineRule="auto"/>
              <w:jc w:val="right"/>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 xml:space="preserve">       267.604 </w:t>
            </w:r>
          </w:p>
        </w:tc>
        <w:tc>
          <w:tcPr>
            <w:tcW w:w="531" w:type="pct"/>
            <w:tcBorders>
              <w:top w:val="nil"/>
              <w:left w:val="nil"/>
              <w:bottom w:val="single" w:sz="4" w:space="0" w:color="auto"/>
              <w:right w:val="single" w:sz="4" w:space="0" w:color="auto"/>
            </w:tcBorders>
            <w:shd w:val="clear" w:color="auto" w:fill="auto"/>
            <w:vAlign w:val="center"/>
            <w:hideMark/>
          </w:tcPr>
          <w:p w14:paraId="338C62D3" w14:textId="77777777" w:rsidR="00A25C77" w:rsidRPr="00A25C77" w:rsidRDefault="00A25C77" w:rsidP="00A25C77">
            <w:pPr>
              <w:spacing w:after="0" w:line="240" w:lineRule="auto"/>
              <w:jc w:val="right"/>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 xml:space="preserve">      577.609 </w:t>
            </w:r>
          </w:p>
        </w:tc>
        <w:tc>
          <w:tcPr>
            <w:tcW w:w="530" w:type="pct"/>
            <w:tcBorders>
              <w:top w:val="nil"/>
              <w:left w:val="nil"/>
              <w:bottom w:val="single" w:sz="4" w:space="0" w:color="auto"/>
              <w:right w:val="single" w:sz="4" w:space="0" w:color="auto"/>
            </w:tcBorders>
            <w:shd w:val="clear" w:color="auto" w:fill="auto"/>
            <w:vAlign w:val="center"/>
            <w:hideMark/>
          </w:tcPr>
          <w:p w14:paraId="2BB80980" w14:textId="77777777" w:rsidR="00A25C77" w:rsidRPr="00A25C77" w:rsidRDefault="00A25C77" w:rsidP="00A25C77">
            <w:pPr>
              <w:spacing w:after="0" w:line="240" w:lineRule="auto"/>
              <w:jc w:val="right"/>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 xml:space="preserve">      344.318 </w:t>
            </w:r>
          </w:p>
        </w:tc>
      </w:tr>
    </w:tbl>
    <w:p w14:paraId="715F7841" w14:textId="1649C622" w:rsidR="00A25C77" w:rsidRPr="00A25C77" w:rsidRDefault="00A25C77" w:rsidP="00A25C77">
      <w:pPr>
        <w:spacing w:after="0" w:line="240" w:lineRule="auto"/>
        <w:ind w:right="191"/>
        <w:jc w:val="both"/>
        <w:rPr>
          <w:rFonts w:ascii="Arial" w:eastAsia="Times New Roman" w:hAnsi="Arial" w:cs="Arial"/>
          <w:kern w:val="0"/>
          <w:sz w:val="16"/>
          <w:szCs w:val="16"/>
          <w:lang w:eastAsia="pt-BR"/>
          <w14:ligatures w14:val="none"/>
        </w:rPr>
      </w:pPr>
      <w:r w:rsidRPr="00A25C77">
        <w:rPr>
          <w:rFonts w:ascii="Arial" w:eastAsia="Times New Roman" w:hAnsi="Arial" w:cs="Arial"/>
          <w:kern w:val="0"/>
          <w:sz w:val="16"/>
          <w:szCs w:val="16"/>
          <w:lang w:eastAsia="pt-BR"/>
          <w14:ligatures w14:val="none"/>
        </w:rPr>
        <w:t>(i) Valor informado pela Telebrás, o qual não foi objeto de avaliações por parte deste relatório. A parte relativa à Telebrás no plano PBS-A é de 6,82% (6,88% em 2022).</w:t>
      </w:r>
      <w:r>
        <w:rPr>
          <w:rFonts w:ascii="Arial" w:eastAsia="Times New Roman" w:hAnsi="Arial" w:cs="Arial"/>
          <w:kern w:val="0"/>
          <w:sz w:val="16"/>
          <w:szCs w:val="16"/>
          <w:lang w:eastAsia="pt-BR"/>
          <w14:ligatures w14:val="none"/>
        </w:rPr>
        <w:t xml:space="preserve"> </w:t>
      </w:r>
      <w:r w:rsidRPr="00A25C77">
        <w:rPr>
          <w:rFonts w:ascii="Arial" w:eastAsia="Times New Roman" w:hAnsi="Arial" w:cs="Arial"/>
          <w:kern w:val="0"/>
          <w:sz w:val="16"/>
          <w:szCs w:val="16"/>
          <w:lang w:eastAsia="pt-BR"/>
          <w14:ligatures w14:val="none"/>
        </w:rPr>
        <w:t>(</w:t>
      </w:r>
      <w:proofErr w:type="spellStart"/>
      <w:r w:rsidRPr="00A25C77">
        <w:rPr>
          <w:rFonts w:ascii="Arial" w:eastAsia="Times New Roman" w:hAnsi="Arial" w:cs="Arial"/>
          <w:kern w:val="0"/>
          <w:sz w:val="16"/>
          <w:szCs w:val="16"/>
          <w:lang w:eastAsia="pt-BR"/>
          <w14:ligatures w14:val="none"/>
        </w:rPr>
        <w:t>ii</w:t>
      </w:r>
      <w:proofErr w:type="spellEnd"/>
      <w:r w:rsidRPr="00A25C77">
        <w:rPr>
          <w:rFonts w:ascii="Arial" w:eastAsia="Times New Roman" w:hAnsi="Arial" w:cs="Arial"/>
          <w:kern w:val="0"/>
          <w:sz w:val="16"/>
          <w:szCs w:val="16"/>
          <w:lang w:eastAsia="pt-BR"/>
          <w14:ligatures w14:val="none"/>
        </w:rPr>
        <w:t>) Valores extraídos dos balancetes da SISTEL.</w:t>
      </w:r>
    </w:p>
    <w:p w14:paraId="651B72DD" w14:textId="08CA13BB" w:rsidR="00A25C77" w:rsidRDefault="00A25C77" w:rsidP="00A25C77">
      <w:pPr>
        <w:autoSpaceDE w:val="0"/>
        <w:autoSpaceDN w:val="0"/>
        <w:adjustRightInd w:val="0"/>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32.5.2. </w:t>
      </w:r>
      <w:r w:rsidRPr="00A25C77">
        <w:rPr>
          <w:rFonts w:ascii="Calibri" w:eastAsia="Times New Roman" w:hAnsi="Calibri" w:cs="Calibri"/>
          <w:b/>
          <w:bCs/>
          <w:iCs/>
          <w:color w:val="002060"/>
          <w:kern w:val="0"/>
          <w14:ligatures w14:val="none"/>
        </w:rPr>
        <w:t>Composição do Valor Justo dos Ativos dos Planos em 31 de dezembro 2023 e 2022</w:t>
      </w:r>
    </w:p>
    <w:tbl>
      <w:tblPr>
        <w:tblW w:w="5000" w:type="pct"/>
        <w:tblCellMar>
          <w:left w:w="70" w:type="dxa"/>
          <w:right w:w="70" w:type="dxa"/>
        </w:tblCellMar>
        <w:tblLook w:val="04A0" w:firstRow="1" w:lastRow="0" w:firstColumn="1" w:lastColumn="0" w:noHBand="0" w:noVBand="1"/>
      </w:tblPr>
      <w:tblGrid>
        <w:gridCol w:w="3255"/>
        <w:gridCol w:w="1107"/>
        <w:gridCol w:w="1042"/>
        <w:gridCol w:w="1122"/>
        <w:gridCol w:w="1161"/>
        <w:gridCol w:w="1042"/>
        <w:gridCol w:w="1042"/>
      </w:tblGrid>
      <w:tr w:rsidR="00A25C77" w:rsidRPr="00A25C77" w14:paraId="1DC19195" w14:textId="77777777" w:rsidTr="00A25C77">
        <w:trPr>
          <w:trHeight w:val="238"/>
        </w:trPr>
        <w:tc>
          <w:tcPr>
            <w:tcW w:w="1666"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4AA50CEA" w14:textId="77777777" w:rsidR="00A25C77" w:rsidRPr="00A25C77" w:rsidRDefault="00A25C77" w:rsidP="00A25C77">
            <w:pPr>
              <w:spacing w:after="0" w:line="240" w:lineRule="auto"/>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Composição:</w:t>
            </w:r>
          </w:p>
        </w:tc>
        <w:tc>
          <w:tcPr>
            <w:tcW w:w="1100" w:type="pct"/>
            <w:gridSpan w:val="2"/>
            <w:tcBorders>
              <w:top w:val="single" w:sz="4" w:space="0" w:color="auto"/>
              <w:left w:val="nil"/>
              <w:bottom w:val="single" w:sz="4" w:space="0" w:color="auto"/>
              <w:right w:val="single" w:sz="4" w:space="0" w:color="auto"/>
            </w:tcBorders>
            <w:shd w:val="clear" w:color="auto" w:fill="auto"/>
            <w:vAlign w:val="center"/>
            <w:hideMark/>
          </w:tcPr>
          <w:p w14:paraId="38ED4546" w14:textId="77777777" w:rsidR="00A25C77" w:rsidRPr="00A25C77" w:rsidRDefault="00A25C77" w:rsidP="00A25C77">
            <w:pPr>
              <w:spacing w:after="0" w:line="240" w:lineRule="auto"/>
              <w:jc w:val="center"/>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20"/>
                <w:lang w:eastAsia="pt-BR"/>
                <w14:ligatures w14:val="none"/>
              </w:rPr>
              <w:t>PBS-A</w:t>
            </w:r>
          </w:p>
        </w:tc>
        <w:tc>
          <w:tcPr>
            <w:tcW w:w="1168" w:type="pct"/>
            <w:gridSpan w:val="2"/>
            <w:tcBorders>
              <w:top w:val="single" w:sz="4" w:space="0" w:color="auto"/>
              <w:left w:val="nil"/>
              <w:bottom w:val="single" w:sz="4" w:space="0" w:color="auto"/>
              <w:right w:val="single" w:sz="4" w:space="0" w:color="auto"/>
            </w:tcBorders>
            <w:shd w:val="clear" w:color="auto" w:fill="auto"/>
            <w:vAlign w:val="center"/>
            <w:hideMark/>
          </w:tcPr>
          <w:p w14:paraId="01876739" w14:textId="77777777" w:rsidR="00A25C77" w:rsidRPr="00A25C77" w:rsidRDefault="00A25C77" w:rsidP="00A25C77">
            <w:pPr>
              <w:spacing w:after="0" w:line="240" w:lineRule="auto"/>
              <w:jc w:val="center"/>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20"/>
                <w:lang w:eastAsia="pt-BR"/>
                <w14:ligatures w14:val="none"/>
              </w:rPr>
              <w:t>PBS-Telebras</w:t>
            </w:r>
          </w:p>
        </w:tc>
        <w:tc>
          <w:tcPr>
            <w:tcW w:w="1066" w:type="pct"/>
            <w:gridSpan w:val="2"/>
            <w:tcBorders>
              <w:top w:val="single" w:sz="4" w:space="0" w:color="auto"/>
              <w:left w:val="nil"/>
              <w:bottom w:val="single" w:sz="4" w:space="0" w:color="auto"/>
              <w:right w:val="single" w:sz="4" w:space="0" w:color="auto"/>
            </w:tcBorders>
            <w:shd w:val="clear" w:color="auto" w:fill="auto"/>
            <w:vAlign w:val="center"/>
            <w:hideMark/>
          </w:tcPr>
          <w:p w14:paraId="428FB28D" w14:textId="77777777" w:rsidR="00A25C77" w:rsidRPr="00A25C77" w:rsidRDefault="00A25C77" w:rsidP="00A25C77">
            <w:pPr>
              <w:spacing w:after="0" w:line="240" w:lineRule="auto"/>
              <w:jc w:val="center"/>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20"/>
                <w:lang w:eastAsia="pt-BR"/>
                <w14:ligatures w14:val="none"/>
              </w:rPr>
              <w:t>Telebras PREV</w:t>
            </w:r>
          </w:p>
        </w:tc>
      </w:tr>
      <w:tr w:rsidR="00A25C77" w:rsidRPr="00A25C77" w14:paraId="78AE0948" w14:textId="77777777" w:rsidTr="00A25C77">
        <w:trPr>
          <w:trHeight w:val="238"/>
        </w:trPr>
        <w:tc>
          <w:tcPr>
            <w:tcW w:w="1666" w:type="pct"/>
            <w:vMerge/>
            <w:tcBorders>
              <w:top w:val="single" w:sz="4" w:space="0" w:color="auto"/>
              <w:left w:val="single" w:sz="4" w:space="0" w:color="auto"/>
              <w:bottom w:val="single" w:sz="4" w:space="0" w:color="auto"/>
              <w:right w:val="single" w:sz="4" w:space="0" w:color="auto"/>
            </w:tcBorders>
            <w:vAlign w:val="center"/>
            <w:hideMark/>
          </w:tcPr>
          <w:p w14:paraId="25FAD593" w14:textId="77777777" w:rsidR="00A25C77" w:rsidRPr="00A25C77" w:rsidRDefault="00A25C77" w:rsidP="00A25C77">
            <w:pPr>
              <w:spacing w:after="0" w:line="240" w:lineRule="auto"/>
              <w:rPr>
                <w:rFonts w:ascii="Times New Roman" w:eastAsia="Times New Roman" w:hAnsi="Times New Roman" w:cs="Times New Roman"/>
                <w:b/>
                <w:bCs/>
                <w:color w:val="000000"/>
                <w:kern w:val="0"/>
                <w:sz w:val="20"/>
                <w:szCs w:val="20"/>
                <w:lang w:eastAsia="pt-BR"/>
                <w14:ligatures w14:val="none"/>
              </w:rPr>
            </w:pPr>
          </w:p>
        </w:tc>
        <w:tc>
          <w:tcPr>
            <w:tcW w:w="567" w:type="pct"/>
            <w:tcBorders>
              <w:top w:val="nil"/>
              <w:left w:val="nil"/>
              <w:bottom w:val="single" w:sz="4" w:space="0" w:color="auto"/>
              <w:right w:val="single" w:sz="4" w:space="0" w:color="auto"/>
            </w:tcBorders>
            <w:shd w:val="clear" w:color="auto" w:fill="auto"/>
            <w:vAlign w:val="center"/>
            <w:hideMark/>
          </w:tcPr>
          <w:p w14:paraId="22E03714" w14:textId="77777777" w:rsidR="00A25C77" w:rsidRPr="00A25C77" w:rsidRDefault="00A25C77" w:rsidP="00A25C77">
            <w:pPr>
              <w:spacing w:after="0" w:line="240" w:lineRule="auto"/>
              <w:jc w:val="center"/>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31/12/2023</w:t>
            </w:r>
          </w:p>
        </w:tc>
        <w:tc>
          <w:tcPr>
            <w:tcW w:w="533" w:type="pct"/>
            <w:tcBorders>
              <w:top w:val="nil"/>
              <w:left w:val="nil"/>
              <w:bottom w:val="single" w:sz="4" w:space="0" w:color="auto"/>
              <w:right w:val="single" w:sz="4" w:space="0" w:color="auto"/>
            </w:tcBorders>
            <w:shd w:val="clear" w:color="auto" w:fill="auto"/>
            <w:vAlign w:val="center"/>
            <w:hideMark/>
          </w:tcPr>
          <w:p w14:paraId="0EADC978" w14:textId="77777777" w:rsidR="00A25C77" w:rsidRPr="00A25C77" w:rsidRDefault="00A25C77" w:rsidP="00A25C77">
            <w:pPr>
              <w:spacing w:after="0" w:line="240" w:lineRule="auto"/>
              <w:jc w:val="center"/>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31/12/2022</w:t>
            </w:r>
          </w:p>
        </w:tc>
        <w:tc>
          <w:tcPr>
            <w:tcW w:w="574" w:type="pct"/>
            <w:tcBorders>
              <w:top w:val="nil"/>
              <w:left w:val="nil"/>
              <w:bottom w:val="single" w:sz="4" w:space="0" w:color="auto"/>
              <w:right w:val="single" w:sz="4" w:space="0" w:color="auto"/>
            </w:tcBorders>
            <w:shd w:val="clear" w:color="auto" w:fill="auto"/>
            <w:vAlign w:val="center"/>
            <w:hideMark/>
          </w:tcPr>
          <w:p w14:paraId="3C16B3D8" w14:textId="77777777" w:rsidR="00A25C77" w:rsidRPr="00A25C77" w:rsidRDefault="00A25C77" w:rsidP="00A25C77">
            <w:pPr>
              <w:spacing w:after="0" w:line="240" w:lineRule="auto"/>
              <w:jc w:val="center"/>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31/12/2023</w:t>
            </w:r>
          </w:p>
        </w:tc>
        <w:tc>
          <w:tcPr>
            <w:tcW w:w="594" w:type="pct"/>
            <w:tcBorders>
              <w:top w:val="nil"/>
              <w:left w:val="nil"/>
              <w:bottom w:val="single" w:sz="4" w:space="0" w:color="auto"/>
              <w:right w:val="single" w:sz="4" w:space="0" w:color="auto"/>
            </w:tcBorders>
            <w:shd w:val="clear" w:color="auto" w:fill="auto"/>
            <w:vAlign w:val="center"/>
            <w:hideMark/>
          </w:tcPr>
          <w:p w14:paraId="4DFE4899" w14:textId="77777777" w:rsidR="00A25C77" w:rsidRPr="00A25C77" w:rsidRDefault="00A25C77" w:rsidP="00A25C77">
            <w:pPr>
              <w:spacing w:after="0" w:line="240" w:lineRule="auto"/>
              <w:jc w:val="center"/>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31/12/2022</w:t>
            </w:r>
          </w:p>
        </w:tc>
        <w:tc>
          <w:tcPr>
            <w:tcW w:w="533" w:type="pct"/>
            <w:tcBorders>
              <w:top w:val="nil"/>
              <w:left w:val="nil"/>
              <w:bottom w:val="single" w:sz="4" w:space="0" w:color="auto"/>
              <w:right w:val="single" w:sz="4" w:space="0" w:color="auto"/>
            </w:tcBorders>
            <w:shd w:val="clear" w:color="auto" w:fill="auto"/>
            <w:vAlign w:val="center"/>
            <w:hideMark/>
          </w:tcPr>
          <w:p w14:paraId="2F33FB56" w14:textId="77777777" w:rsidR="00A25C77" w:rsidRPr="00A25C77" w:rsidRDefault="00A25C77" w:rsidP="00A25C77">
            <w:pPr>
              <w:spacing w:after="0" w:line="240" w:lineRule="auto"/>
              <w:jc w:val="center"/>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31/12/2023</w:t>
            </w:r>
          </w:p>
        </w:tc>
        <w:tc>
          <w:tcPr>
            <w:tcW w:w="533" w:type="pct"/>
            <w:tcBorders>
              <w:top w:val="nil"/>
              <w:left w:val="nil"/>
              <w:bottom w:val="single" w:sz="4" w:space="0" w:color="auto"/>
              <w:right w:val="single" w:sz="4" w:space="0" w:color="auto"/>
            </w:tcBorders>
            <w:shd w:val="clear" w:color="auto" w:fill="auto"/>
            <w:vAlign w:val="center"/>
            <w:hideMark/>
          </w:tcPr>
          <w:p w14:paraId="783DDF57" w14:textId="77777777" w:rsidR="00A25C77" w:rsidRPr="00A25C77" w:rsidRDefault="00A25C77" w:rsidP="00A25C77">
            <w:pPr>
              <w:spacing w:after="0" w:line="240" w:lineRule="auto"/>
              <w:jc w:val="center"/>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31/12/2022</w:t>
            </w:r>
          </w:p>
        </w:tc>
      </w:tr>
      <w:tr w:rsidR="00A25C77" w:rsidRPr="00A25C77" w14:paraId="428EB901" w14:textId="77777777" w:rsidTr="00A25C77">
        <w:trPr>
          <w:trHeight w:val="238"/>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7A718F3" w14:textId="77777777" w:rsidR="00A25C77" w:rsidRPr="00A25C77" w:rsidRDefault="00A25C77" w:rsidP="00A25C77">
            <w:pPr>
              <w:spacing w:after="0" w:line="240" w:lineRule="auto"/>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20"/>
                <w:lang w:eastAsia="pt-BR"/>
                <w14:ligatures w14:val="none"/>
              </w:rPr>
              <w:t>1. Renda Fixa</w:t>
            </w:r>
          </w:p>
        </w:tc>
        <w:tc>
          <w:tcPr>
            <w:tcW w:w="567" w:type="pct"/>
            <w:tcBorders>
              <w:top w:val="nil"/>
              <w:left w:val="nil"/>
              <w:bottom w:val="single" w:sz="4" w:space="0" w:color="auto"/>
              <w:right w:val="single" w:sz="4" w:space="0" w:color="auto"/>
            </w:tcBorders>
            <w:shd w:val="clear" w:color="auto" w:fill="auto"/>
            <w:vAlign w:val="center"/>
            <w:hideMark/>
          </w:tcPr>
          <w:p w14:paraId="7074FD9D"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20"/>
                <w:lang w:eastAsia="pt-BR"/>
                <w14:ligatures w14:val="none"/>
              </w:rPr>
              <w:t>96,43%</w:t>
            </w:r>
          </w:p>
        </w:tc>
        <w:tc>
          <w:tcPr>
            <w:tcW w:w="533" w:type="pct"/>
            <w:tcBorders>
              <w:top w:val="nil"/>
              <w:left w:val="nil"/>
              <w:bottom w:val="single" w:sz="4" w:space="0" w:color="auto"/>
              <w:right w:val="single" w:sz="4" w:space="0" w:color="auto"/>
            </w:tcBorders>
            <w:shd w:val="clear" w:color="auto" w:fill="auto"/>
            <w:vAlign w:val="center"/>
            <w:hideMark/>
          </w:tcPr>
          <w:p w14:paraId="533259FC"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20"/>
                <w:lang w:eastAsia="pt-BR"/>
                <w14:ligatures w14:val="none"/>
              </w:rPr>
              <w:t>96,23%</w:t>
            </w:r>
          </w:p>
        </w:tc>
        <w:tc>
          <w:tcPr>
            <w:tcW w:w="574" w:type="pct"/>
            <w:tcBorders>
              <w:top w:val="nil"/>
              <w:left w:val="nil"/>
              <w:bottom w:val="single" w:sz="4" w:space="0" w:color="auto"/>
              <w:right w:val="single" w:sz="4" w:space="0" w:color="auto"/>
            </w:tcBorders>
            <w:shd w:val="clear" w:color="auto" w:fill="auto"/>
            <w:vAlign w:val="center"/>
            <w:hideMark/>
          </w:tcPr>
          <w:p w14:paraId="4DB2EC64"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99,02%</w:t>
            </w:r>
          </w:p>
        </w:tc>
        <w:tc>
          <w:tcPr>
            <w:tcW w:w="594" w:type="pct"/>
            <w:tcBorders>
              <w:top w:val="nil"/>
              <w:left w:val="nil"/>
              <w:bottom w:val="single" w:sz="4" w:space="0" w:color="auto"/>
              <w:right w:val="single" w:sz="4" w:space="0" w:color="auto"/>
            </w:tcBorders>
            <w:shd w:val="clear" w:color="auto" w:fill="auto"/>
            <w:vAlign w:val="center"/>
            <w:hideMark/>
          </w:tcPr>
          <w:p w14:paraId="64239BFB"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20"/>
                <w:lang w:eastAsia="pt-BR"/>
                <w14:ligatures w14:val="none"/>
              </w:rPr>
              <w:t>98,76%</w:t>
            </w:r>
          </w:p>
        </w:tc>
        <w:tc>
          <w:tcPr>
            <w:tcW w:w="533" w:type="pct"/>
            <w:tcBorders>
              <w:top w:val="nil"/>
              <w:left w:val="nil"/>
              <w:bottom w:val="single" w:sz="4" w:space="0" w:color="auto"/>
              <w:right w:val="single" w:sz="4" w:space="0" w:color="auto"/>
            </w:tcBorders>
            <w:shd w:val="clear" w:color="auto" w:fill="auto"/>
            <w:vAlign w:val="center"/>
            <w:hideMark/>
          </w:tcPr>
          <w:p w14:paraId="4523DC5A"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99,37%</w:t>
            </w:r>
          </w:p>
        </w:tc>
        <w:tc>
          <w:tcPr>
            <w:tcW w:w="533" w:type="pct"/>
            <w:tcBorders>
              <w:top w:val="nil"/>
              <w:left w:val="nil"/>
              <w:bottom w:val="single" w:sz="4" w:space="0" w:color="auto"/>
              <w:right w:val="single" w:sz="4" w:space="0" w:color="auto"/>
            </w:tcBorders>
            <w:shd w:val="clear" w:color="auto" w:fill="auto"/>
            <w:vAlign w:val="center"/>
            <w:hideMark/>
          </w:tcPr>
          <w:p w14:paraId="0BC93F51"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20"/>
                <w:lang w:eastAsia="pt-BR"/>
                <w14:ligatures w14:val="none"/>
              </w:rPr>
              <w:t>99,21%</w:t>
            </w:r>
          </w:p>
        </w:tc>
      </w:tr>
      <w:tr w:rsidR="00A25C77" w:rsidRPr="00A25C77" w14:paraId="4C502454" w14:textId="77777777" w:rsidTr="00A25C77">
        <w:trPr>
          <w:trHeight w:val="238"/>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785C2623" w14:textId="77777777" w:rsidR="00A25C77" w:rsidRPr="00A25C77" w:rsidRDefault="00A25C77" w:rsidP="00A25C77">
            <w:pPr>
              <w:spacing w:after="0" w:line="240" w:lineRule="auto"/>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20"/>
                <w:lang w:eastAsia="pt-BR"/>
                <w14:ligatures w14:val="none"/>
              </w:rPr>
              <w:t>2. Renda Variável</w:t>
            </w:r>
          </w:p>
        </w:tc>
        <w:tc>
          <w:tcPr>
            <w:tcW w:w="567" w:type="pct"/>
            <w:tcBorders>
              <w:top w:val="nil"/>
              <w:left w:val="nil"/>
              <w:bottom w:val="single" w:sz="4" w:space="0" w:color="auto"/>
              <w:right w:val="single" w:sz="4" w:space="0" w:color="auto"/>
            </w:tcBorders>
            <w:shd w:val="clear" w:color="auto" w:fill="auto"/>
            <w:vAlign w:val="center"/>
            <w:hideMark/>
          </w:tcPr>
          <w:p w14:paraId="02301790"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20"/>
                <w:lang w:eastAsia="pt-BR"/>
                <w14:ligatures w14:val="none"/>
              </w:rPr>
              <w:t>0,01%</w:t>
            </w:r>
          </w:p>
        </w:tc>
        <w:tc>
          <w:tcPr>
            <w:tcW w:w="533" w:type="pct"/>
            <w:tcBorders>
              <w:top w:val="nil"/>
              <w:left w:val="nil"/>
              <w:bottom w:val="single" w:sz="4" w:space="0" w:color="auto"/>
              <w:right w:val="single" w:sz="4" w:space="0" w:color="auto"/>
            </w:tcBorders>
            <w:shd w:val="clear" w:color="auto" w:fill="auto"/>
            <w:vAlign w:val="center"/>
            <w:hideMark/>
          </w:tcPr>
          <w:p w14:paraId="0A0492C2"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20"/>
                <w:lang w:eastAsia="pt-BR"/>
                <w14:ligatures w14:val="none"/>
              </w:rPr>
              <w:t>0,02%</w:t>
            </w:r>
          </w:p>
        </w:tc>
        <w:tc>
          <w:tcPr>
            <w:tcW w:w="574" w:type="pct"/>
            <w:tcBorders>
              <w:top w:val="nil"/>
              <w:left w:val="nil"/>
              <w:bottom w:val="single" w:sz="4" w:space="0" w:color="auto"/>
              <w:right w:val="single" w:sz="4" w:space="0" w:color="auto"/>
            </w:tcBorders>
            <w:shd w:val="clear" w:color="auto" w:fill="auto"/>
            <w:vAlign w:val="center"/>
            <w:hideMark/>
          </w:tcPr>
          <w:p w14:paraId="6C7ECCBB"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0,00%</w:t>
            </w:r>
          </w:p>
        </w:tc>
        <w:tc>
          <w:tcPr>
            <w:tcW w:w="594" w:type="pct"/>
            <w:tcBorders>
              <w:top w:val="nil"/>
              <w:left w:val="nil"/>
              <w:bottom w:val="single" w:sz="4" w:space="0" w:color="auto"/>
              <w:right w:val="single" w:sz="4" w:space="0" w:color="auto"/>
            </w:tcBorders>
            <w:shd w:val="clear" w:color="auto" w:fill="auto"/>
            <w:vAlign w:val="center"/>
            <w:hideMark/>
          </w:tcPr>
          <w:p w14:paraId="578111DE"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20"/>
                <w:lang w:eastAsia="pt-BR"/>
                <w14:ligatures w14:val="none"/>
              </w:rPr>
              <w:t>0,00%</w:t>
            </w:r>
          </w:p>
        </w:tc>
        <w:tc>
          <w:tcPr>
            <w:tcW w:w="533" w:type="pct"/>
            <w:tcBorders>
              <w:top w:val="nil"/>
              <w:left w:val="nil"/>
              <w:bottom w:val="single" w:sz="4" w:space="0" w:color="auto"/>
              <w:right w:val="single" w:sz="4" w:space="0" w:color="auto"/>
            </w:tcBorders>
            <w:shd w:val="clear" w:color="auto" w:fill="auto"/>
            <w:vAlign w:val="center"/>
            <w:hideMark/>
          </w:tcPr>
          <w:p w14:paraId="0D974A97"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0,00%</w:t>
            </w:r>
          </w:p>
        </w:tc>
        <w:tc>
          <w:tcPr>
            <w:tcW w:w="533" w:type="pct"/>
            <w:tcBorders>
              <w:top w:val="nil"/>
              <w:left w:val="nil"/>
              <w:bottom w:val="single" w:sz="4" w:space="0" w:color="auto"/>
              <w:right w:val="single" w:sz="4" w:space="0" w:color="auto"/>
            </w:tcBorders>
            <w:shd w:val="clear" w:color="auto" w:fill="auto"/>
            <w:vAlign w:val="center"/>
            <w:hideMark/>
          </w:tcPr>
          <w:p w14:paraId="00154DA3"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20"/>
                <w:lang w:eastAsia="pt-BR"/>
                <w14:ligatures w14:val="none"/>
              </w:rPr>
              <w:t>0,00%</w:t>
            </w:r>
          </w:p>
        </w:tc>
      </w:tr>
      <w:tr w:rsidR="00A25C77" w:rsidRPr="00A25C77" w14:paraId="63E95824" w14:textId="77777777" w:rsidTr="00A25C77">
        <w:trPr>
          <w:trHeight w:val="238"/>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398E9A9C" w14:textId="77777777" w:rsidR="00A25C77" w:rsidRPr="00A25C77" w:rsidRDefault="00A25C77" w:rsidP="00A25C77">
            <w:pPr>
              <w:spacing w:after="0" w:line="240" w:lineRule="auto"/>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20"/>
                <w:lang w:eastAsia="pt-BR"/>
                <w14:ligatures w14:val="none"/>
              </w:rPr>
              <w:t>3. Investimentos Estruturados</w:t>
            </w:r>
          </w:p>
        </w:tc>
        <w:tc>
          <w:tcPr>
            <w:tcW w:w="567" w:type="pct"/>
            <w:tcBorders>
              <w:top w:val="nil"/>
              <w:left w:val="nil"/>
              <w:bottom w:val="single" w:sz="4" w:space="0" w:color="auto"/>
              <w:right w:val="single" w:sz="4" w:space="0" w:color="auto"/>
            </w:tcBorders>
            <w:shd w:val="clear" w:color="auto" w:fill="auto"/>
            <w:vAlign w:val="center"/>
            <w:hideMark/>
          </w:tcPr>
          <w:p w14:paraId="2ECE2FF5"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20"/>
                <w:lang w:eastAsia="pt-BR"/>
                <w14:ligatures w14:val="none"/>
              </w:rPr>
              <w:t>0,00%</w:t>
            </w:r>
          </w:p>
        </w:tc>
        <w:tc>
          <w:tcPr>
            <w:tcW w:w="533" w:type="pct"/>
            <w:tcBorders>
              <w:top w:val="nil"/>
              <w:left w:val="nil"/>
              <w:bottom w:val="single" w:sz="4" w:space="0" w:color="auto"/>
              <w:right w:val="single" w:sz="4" w:space="0" w:color="auto"/>
            </w:tcBorders>
            <w:shd w:val="clear" w:color="auto" w:fill="auto"/>
            <w:vAlign w:val="center"/>
            <w:hideMark/>
          </w:tcPr>
          <w:p w14:paraId="3712A950"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20"/>
                <w:lang w:eastAsia="pt-BR"/>
                <w14:ligatures w14:val="none"/>
              </w:rPr>
              <w:t>0,00%</w:t>
            </w:r>
          </w:p>
        </w:tc>
        <w:tc>
          <w:tcPr>
            <w:tcW w:w="574" w:type="pct"/>
            <w:tcBorders>
              <w:top w:val="nil"/>
              <w:left w:val="nil"/>
              <w:bottom w:val="single" w:sz="4" w:space="0" w:color="auto"/>
              <w:right w:val="single" w:sz="4" w:space="0" w:color="auto"/>
            </w:tcBorders>
            <w:shd w:val="clear" w:color="auto" w:fill="auto"/>
            <w:vAlign w:val="center"/>
            <w:hideMark/>
          </w:tcPr>
          <w:p w14:paraId="61F63DB3"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0,84%</w:t>
            </w:r>
          </w:p>
        </w:tc>
        <w:tc>
          <w:tcPr>
            <w:tcW w:w="594" w:type="pct"/>
            <w:tcBorders>
              <w:top w:val="nil"/>
              <w:left w:val="nil"/>
              <w:bottom w:val="single" w:sz="4" w:space="0" w:color="auto"/>
              <w:right w:val="single" w:sz="4" w:space="0" w:color="auto"/>
            </w:tcBorders>
            <w:shd w:val="clear" w:color="auto" w:fill="auto"/>
            <w:vAlign w:val="center"/>
            <w:hideMark/>
          </w:tcPr>
          <w:p w14:paraId="3EA9DB7D"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20"/>
                <w:lang w:eastAsia="pt-BR"/>
                <w14:ligatures w14:val="none"/>
              </w:rPr>
              <w:t>1,03%</w:t>
            </w:r>
          </w:p>
        </w:tc>
        <w:tc>
          <w:tcPr>
            <w:tcW w:w="533" w:type="pct"/>
            <w:tcBorders>
              <w:top w:val="nil"/>
              <w:left w:val="nil"/>
              <w:bottom w:val="single" w:sz="4" w:space="0" w:color="auto"/>
              <w:right w:val="single" w:sz="4" w:space="0" w:color="auto"/>
            </w:tcBorders>
            <w:shd w:val="clear" w:color="auto" w:fill="auto"/>
            <w:vAlign w:val="center"/>
            <w:hideMark/>
          </w:tcPr>
          <w:p w14:paraId="15560DA0"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0,44%</w:t>
            </w:r>
          </w:p>
        </w:tc>
        <w:tc>
          <w:tcPr>
            <w:tcW w:w="533" w:type="pct"/>
            <w:tcBorders>
              <w:top w:val="nil"/>
              <w:left w:val="nil"/>
              <w:bottom w:val="single" w:sz="4" w:space="0" w:color="auto"/>
              <w:right w:val="single" w:sz="4" w:space="0" w:color="auto"/>
            </w:tcBorders>
            <w:shd w:val="clear" w:color="auto" w:fill="auto"/>
            <w:vAlign w:val="center"/>
            <w:hideMark/>
          </w:tcPr>
          <w:p w14:paraId="215563FB"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20"/>
                <w:lang w:eastAsia="pt-BR"/>
                <w14:ligatures w14:val="none"/>
              </w:rPr>
              <w:t>0,58%</w:t>
            </w:r>
          </w:p>
        </w:tc>
      </w:tr>
      <w:tr w:rsidR="00A25C77" w:rsidRPr="00A25C77" w14:paraId="68CE003C" w14:textId="77777777" w:rsidTr="00A25C77">
        <w:trPr>
          <w:trHeight w:val="238"/>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09E7539E" w14:textId="77777777" w:rsidR="00A25C77" w:rsidRPr="00A25C77" w:rsidRDefault="00A25C77" w:rsidP="00A25C77">
            <w:pPr>
              <w:spacing w:after="0" w:line="240" w:lineRule="auto"/>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20"/>
                <w:lang w:eastAsia="pt-BR"/>
                <w14:ligatures w14:val="none"/>
              </w:rPr>
              <w:t>4. Investimentos em imóveis</w:t>
            </w:r>
          </w:p>
        </w:tc>
        <w:tc>
          <w:tcPr>
            <w:tcW w:w="567" w:type="pct"/>
            <w:tcBorders>
              <w:top w:val="nil"/>
              <w:left w:val="nil"/>
              <w:bottom w:val="single" w:sz="4" w:space="0" w:color="auto"/>
              <w:right w:val="single" w:sz="4" w:space="0" w:color="auto"/>
            </w:tcBorders>
            <w:shd w:val="clear" w:color="auto" w:fill="auto"/>
            <w:vAlign w:val="center"/>
            <w:hideMark/>
          </w:tcPr>
          <w:p w14:paraId="0A7F9584"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20"/>
                <w:lang w:eastAsia="pt-BR"/>
                <w14:ligatures w14:val="none"/>
              </w:rPr>
              <w:t>2,98%</w:t>
            </w:r>
          </w:p>
        </w:tc>
        <w:tc>
          <w:tcPr>
            <w:tcW w:w="533" w:type="pct"/>
            <w:tcBorders>
              <w:top w:val="nil"/>
              <w:left w:val="nil"/>
              <w:bottom w:val="single" w:sz="4" w:space="0" w:color="auto"/>
              <w:right w:val="single" w:sz="4" w:space="0" w:color="auto"/>
            </w:tcBorders>
            <w:shd w:val="clear" w:color="auto" w:fill="auto"/>
            <w:vAlign w:val="center"/>
            <w:hideMark/>
          </w:tcPr>
          <w:p w14:paraId="5B979682"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20"/>
                <w:lang w:eastAsia="pt-BR"/>
                <w14:ligatures w14:val="none"/>
              </w:rPr>
              <w:t>3,14%</w:t>
            </w:r>
          </w:p>
        </w:tc>
        <w:tc>
          <w:tcPr>
            <w:tcW w:w="574" w:type="pct"/>
            <w:tcBorders>
              <w:top w:val="nil"/>
              <w:left w:val="nil"/>
              <w:bottom w:val="single" w:sz="4" w:space="0" w:color="auto"/>
              <w:right w:val="single" w:sz="4" w:space="0" w:color="auto"/>
            </w:tcBorders>
            <w:shd w:val="clear" w:color="auto" w:fill="auto"/>
            <w:vAlign w:val="center"/>
            <w:hideMark/>
          </w:tcPr>
          <w:p w14:paraId="6175E3D9"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0,00%</w:t>
            </w:r>
          </w:p>
        </w:tc>
        <w:tc>
          <w:tcPr>
            <w:tcW w:w="594" w:type="pct"/>
            <w:tcBorders>
              <w:top w:val="nil"/>
              <w:left w:val="nil"/>
              <w:bottom w:val="single" w:sz="4" w:space="0" w:color="auto"/>
              <w:right w:val="single" w:sz="4" w:space="0" w:color="auto"/>
            </w:tcBorders>
            <w:shd w:val="clear" w:color="auto" w:fill="auto"/>
            <w:vAlign w:val="center"/>
            <w:hideMark/>
          </w:tcPr>
          <w:p w14:paraId="02B2E7E2"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20"/>
                <w:lang w:eastAsia="pt-BR"/>
                <w14:ligatures w14:val="none"/>
              </w:rPr>
              <w:t>0,00%</w:t>
            </w:r>
          </w:p>
        </w:tc>
        <w:tc>
          <w:tcPr>
            <w:tcW w:w="533" w:type="pct"/>
            <w:tcBorders>
              <w:top w:val="nil"/>
              <w:left w:val="nil"/>
              <w:bottom w:val="single" w:sz="4" w:space="0" w:color="auto"/>
              <w:right w:val="single" w:sz="4" w:space="0" w:color="auto"/>
            </w:tcBorders>
            <w:shd w:val="clear" w:color="auto" w:fill="auto"/>
            <w:vAlign w:val="center"/>
            <w:hideMark/>
          </w:tcPr>
          <w:p w14:paraId="247679BB"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0,00%</w:t>
            </w:r>
          </w:p>
        </w:tc>
        <w:tc>
          <w:tcPr>
            <w:tcW w:w="533" w:type="pct"/>
            <w:tcBorders>
              <w:top w:val="nil"/>
              <w:left w:val="nil"/>
              <w:bottom w:val="single" w:sz="4" w:space="0" w:color="auto"/>
              <w:right w:val="single" w:sz="4" w:space="0" w:color="auto"/>
            </w:tcBorders>
            <w:shd w:val="clear" w:color="auto" w:fill="auto"/>
            <w:vAlign w:val="center"/>
            <w:hideMark/>
          </w:tcPr>
          <w:p w14:paraId="7028D05A"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20"/>
                <w:lang w:eastAsia="pt-BR"/>
                <w14:ligatures w14:val="none"/>
              </w:rPr>
              <w:t>0,00%</w:t>
            </w:r>
          </w:p>
        </w:tc>
      </w:tr>
      <w:tr w:rsidR="00A25C77" w:rsidRPr="00A25C77" w14:paraId="09449717" w14:textId="77777777" w:rsidTr="00A25C77">
        <w:trPr>
          <w:trHeight w:val="238"/>
        </w:trPr>
        <w:tc>
          <w:tcPr>
            <w:tcW w:w="1666" w:type="pct"/>
            <w:tcBorders>
              <w:top w:val="nil"/>
              <w:left w:val="single" w:sz="4" w:space="0" w:color="auto"/>
              <w:bottom w:val="single" w:sz="4" w:space="0" w:color="auto"/>
              <w:right w:val="single" w:sz="4" w:space="0" w:color="auto"/>
            </w:tcBorders>
            <w:shd w:val="clear" w:color="auto" w:fill="auto"/>
            <w:vAlign w:val="center"/>
            <w:hideMark/>
          </w:tcPr>
          <w:p w14:paraId="41EBDB3C" w14:textId="77777777" w:rsidR="00A25C77" w:rsidRPr="00A25C77" w:rsidRDefault="00A25C77" w:rsidP="00A25C77">
            <w:pPr>
              <w:spacing w:after="0" w:line="240" w:lineRule="auto"/>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20"/>
                <w:lang w:eastAsia="pt-BR"/>
                <w14:ligatures w14:val="none"/>
              </w:rPr>
              <w:t>5. Empréstimos a participantes</w:t>
            </w:r>
          </w:p>
        </w:tc>
        <w:tc>
          <w:tcPr>
            <w:tcW w:w="567" w:type="pct"/>
            <w:tcBorders>
              <w:top w:val="nil"/>
              <w:left w:val="nil"/>
              <w:bottom w:val="single" w:sz="4" w:space="0" w:color="auto"/>
              <w:right w:val="single" w:sz="4" w:space="0" w:color="auto"/>
            </w:tcBorders>
            <w:shd w:val="clear" w:color="auto" w:fill="auto"/>
            <w:vAlign w:val="center"/>
            <w:hideMark/>
          </w:tcPr>
          <w:p w14:paraId="104653AF"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20"/>
                <w:lang w:eastAsia="pt-BR"/>
                <w14:ligatures w14:val="none"/>
              </w:rPr>
              <w:t>0,58%</w:t>
            </w:r>
          </w:p>
        </w:tc>
        <w:tc>
          <w:tcPr>
            <w:tcW w:w="533" w:type="pct"/>
            <w:tcBorders>
              <w:top w:val="nil"/>
              <w:left w:val="nil"/>
              <w:bottom w:val="single" w:sz="4" w:space="0" w:color="auto"/>
              <w:right w:val="single" w:sz="4" w:space="0" w:color="auto"/>
            </w:tcBorders>
            <w:shd w:val="clear" w:color="auto" w:fill="auto"/>
            <w:vAlign w:val="center"/>
            <w:hideMark/>
          </w:tcPr>
          <w:p w14:paraId="75050D9A"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20"/>
                <w:lang w:eastAsia="pt-BR"/>
                <w14:ligatures w14:val="none"/>
              </w:rPr>
              <w:t>0,61%</w:t>
            </w:r>
          </w:p>
        </w:tc>
        <w:tc>
          <w:tcPr>
            <w:tcW w:w="574" w:type="pct"/>
            <w:tcBorders>
              <w:top w:val="nil"/>
              <w:left w:val="nil"/>
              <w:bottom w:val="single" w:sz="4" w:space="0" w:color="auto"/>
              <w:right w:val="single" w:sz="4" w:space="0" w:color="auto"/>
            </w:tcBorders>
            <w:shd w:val="clear" w:color="auto" w:fill="auto"/>
            <w:vAlign w:val="center"/>
            <w:hideMark/>
          </w:tcPr>
          <w:p w14:paraId="5DE7D384"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0,14%</w:t>
            </w:r>
          </w:p>
        </w:tc>
        <w:tc>
          <w:tcPr>
            <w:tcW w:w="594" w:type="pct"/>
            <w:tcBorders>
              <w:top w:val="nil"/>
              <w:left w:val="nil"/>
              <w:bottom w:val="single" w:sz="4" w:space="0" w:color="auto"/>
              <w:right w:val="single" w:sz="4" w:space="0" w:color="auto"/>
            </w:tcBorders>
            <w:shd w:val="clear" w:color="auto" w:fill="auto"/>
            <w:vAlign w:val="center"/>
            <w:hideMark/>
          </w:tcPr>
          <w:p w14:paraId="21AA517C"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20"/>
                <w:lang w:eastAsia="pt-BR"/>
                <w14:ligatures w14:val="none"/>
              </w:rPr>
              <w:t>0,21%</w:t>
            </w:r>
          </w:p>
        </w:tc>
        <w:tc>
          <w:tcPr>
            <w:tcW w:w="533" w:type="pct"/>
            <w:tcBorders>
              <w:top w:val="nil"/>
              <w:left w:val="nil"/>
              <w:bottom w:val="single" w:sz="4" w:space="0" w:color="auto"/>
              <w:right w:val="single" w:sz="4" w:space="0" w:color="auto"/>
            </w:tcBorders>
            <w:shd w:val="clear" w:color="auto" w:fill="auto"/>
            <w:vAlign w:val="center"/>
            <w:hideMark/>
          </w:tcPr>
          <w:p w14:paraId="1E04D66B"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0,19%</w:t>
            </w:r>
          </w:p>
        </w:tc>
        <w:tc>
          <w:tcPr>
            <w:tcW w:w="533" w:type="pct"/>
            <w:tcBorders>
              <w:top w:val="nil"/>
              <w:left w:val="nil"/>
              <w:bottom w:val="single" w:sz="4" w:space="0" w:color="auto"/>
              <w:right w:val="single" w:sz="4" w:space="0" w:color="auto"/>
            </w:tcBorders>
            <w:shd w:val="clear" w:color="auto" w:fill="auto"/>
            <w:vAlign w:val="center"/>
            <w:hideMark/>
          </w:tcPr>
          <w:p w14:paraId="3AA28E94"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20"/>
                <w:lang w:eastAsia="pt-BR"/>
                <w14:ligatures w14:val="none"/>
              </w:rPr>
              <w:t>0,21%</w:t>
            </w:r>
          </w:p>
        </w:tc>
      </w:tr>
    </w:tbl>
    <w:p w14:paraId="5489EE06" w14:textId="638DD5DA" w:rsidR="00A25C77" w:rsidRPr="00A25C77" w:rsidRDefault="00A25C77" w:rsidP="00A25C77">
      <w:pPr>
        <w:autoSpaceDE w:val="0"/>
        <w:autoSpaceDN w:val="0"/>
        <w:adjustRightInd w:val="0"/>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32.5.3. </w:t>
      </w:r>
      <w:r w:rsidRPr="00A25C77">
        <w:rPr>
          <w:rFonts w:ascii="Calibri" w:eastAsia="Times New Roman" w:hAnsi="Calibri" w:cs="Calibri"/>
          <w:b/>
          <w:bCs/>
          <w:iCs/>
          <w:color w:val="002060"/>
          <w:kern w:val="0"/>
          <w14:ligatures w14:val="none"/>
        </w:rPr>
        <w:t>Dados de Entrada</w:t>
      </w:r>
    </w:p>
    <w:tbl>
      <w:tblPr>
        <w:tblW w:w="5000" w:type="pct"/>
        <w:tblCellMar>
          <w:left w:w="70" w:type="dxa"/>
          <w:right w:w="70" w:type="dxa"/>
        </w:tblCellMar>
        <w:tblLook w:val="04A0" w:firstRow="1" w:lastRow="0" w:firstColumn="1" w:lastColumn="0" w:noHBand="0" w:noVBand="1"/>
      </w:tblPr>
      <w:tblGrid>
        <w:gridCol w:w="3961"/>
        <w:gridCol w:w="1100"/>
        <w:gridCol w:w="942"/>
        <w:gridCol w:w="942"/>
        <w:gridCol w:w="942"/>
        <w:gridCol w:w="942"/>
        <w:gridCol w:w="942"/>
      </w:tblGrid>
      <w:tr w:rsidR="00A25C77" w:rsidRPr="00A25C77" w14:paraId="27F3F3FF" w14:textId="77777777" w:rsidTr="00A25C77">
        <w:trPr>
          <w:trHeight w:val="238"/>
          <w:tblHeader/>
        </w:trPr>
        <w:tc>
          <w:tcPr>
            <w:tcW w:w="2027"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6A30FF72" w14:textId="77777777" w:rsidR="00A25C77" w:rsidRPr="00A25C77" w:rsidRDefault="00A25C77" w:rsidP="00A25C77">
            <w:pPr>
              <w:spacing w:after="0" w:line="240" w:lineRule="auto"/>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Composição:</w:t>
            </w:r>
          </w:p>
        </w:tc>
        <w:tc>
          <w:tcPr>
            <w:tcW w:w="1045" w:type="pct"/>
            <w:gridSpan w:val="2"/>
            <w:tcBorders>
              <w:top w:val="single" w:sz="4" w:space="0" w:color="auto"/>
              <w:left w:val="nil"/>
              <w:bottom w:val="single" w:sz="4" w:space="0" w:color="auto"/>
              <w:right w:val="single" w:sz="4" w:space="0" w:color="auto"/>
            </w:tcBorders>
            <w:shd w:val="clear" w:color="auto" w:fill="auto"/>
            <w:vAlign w:val="center"/>
            <w:hideMark/>
          </w:tcPr>
          <w:p w14:paraId="74C4A5E2"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PBS-A</w:t>
            </w:r>
          </w:p>
        </w:tc>
        <w:tc>
          <w:tcPr>
            <w:tcW w:w="964" w:type="pct"/>
            <w:gridSpan w:val="2"/>
            <w:tcBorders>
              <w:top w:val="single" w:sz="4" w:space="0" w:color="auto"/>
              <w:left w:val="nil"/>
              <w:bottom w:val="single" w:sz="4" w:space="0" w:color="auto"/>
              <w:right w:val="single" w:sz="4" w:space="0" w:color="auto"/>
            </w:tcBorders>
            <w:shd w:val="clear" w:color="auto" w:fill="auto"/>
            <w:vAlign w:val="center"/>
            <w:hideMark/>
          </w:tcPr>
          <w:p w14:paraId="371CB767"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PBS-Telebrás</w:t>
            </w:r>
          </w:p>
        </w:tc>
        <w:tc>
          <w:tcPr>
            <w:tcW w:w="964" w:type="pct"/>
            <w:gridSpan w:val="2"/>
            <w:tcBorders>
              <w:top w:val="single" w:sz="4" w:space="0" w:color="auto"/>
              <w:left w:val="nil"/>
              <w:bottom w:val="single" w:sz="4" w:space="0" w:color="auto"/>
              <w:right w:val="single" w:sz="4" w:space="0" w:color="auto"/>
            </w:tcBorders>
            <w:shd w:val="clear" w:color="auto" w:fill="auto"/>
            <w:vAlign w:val="center"/>
            <w:hideMark/>
          </w:tcPr>
          <w:p w14:paraId="63B4BE43"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Telebras PREV</w:t>
            </w:r>
          </w:p>
        </w:tc>
      </w:tr>
      <w:tr w:rsidR="00A25C77" w:rsidRPr="00A25C77" w14:paraId="3DD5DCC3" w14:textId="77777777" w:rsidTr="00A25C77">
        <w:trPr>
          <w:trHeight w:val="238"/>
          <w:tblHeader/>
        </w:trPr>
        <w:tc>
          <w:tcPr>
            <w:tcW w:w="2027" w:type="pct"/>
            <w:vMerge/>
            <w:tcBorders>
              <w:top w:val="single" w:sz="4" w:space="0" w:color="auto"/>
              <w:left w:val="single" w:sz="4" w:space="0" w:color="auto"/>
              <w:bottom w:val="single" w:sz="4" w:space="0" w:color="auto"/>
              <w:right w:val="single" w:sz="4" w:space="0" w:color="auto"/>
            </w:tcBorders>
            <w:vAlign w:val="center"/>
            <w:hideMark/>
          </w:tcPr>
          <w:p w14:paraId="54E44771" w14:textId="77777777" w:rsidR="00A25C77" w:rsidRPr="00A25C77" w:rsidRDefault="00A25C77" w:rsidP="00A25C77">
            <w:pPr>
              <w:spacing w:after="0" w:line="240" w:lineRule="auto"/>
              <w:rPr>
                <w:rFonts w:ascii="Times New Roman" w:eastAsia="Times New Roman" w:hAnsi="Times New Roman" w:cs="Times New Roman"/>
                <w:b/>
                <w:bCs/>
                <w:color w:val="000000"/>
                <w:kern w:val="0"/>
                <w:sz w:val="16"/>
                <w:szCs w:val="16"/>
                <w:lang w:eastAsia="pt-BR"/>
                <w14:ligatures w14:val="none"/>
              </w:rPr>
            </w:pPr>
          </w:p>
        </w:tc>
        <w:tc>
          <w:tcPr>
            <w:tcW w:w="563" w:type="pct"/>
            <w:tcBorders>
              <w:top w:val="nil"/>
              <w:left w:val="nil"/>
              <w:bottom w:val="single" w:sz="4" w:space="0" w:color="auto"/>
              <w:right w:val="single" w:sz="4" w:space="0" w:color="auto"/>
            </w:tcBorders>
            <w:shd w:val="clear" w:color="auto" w:fill="auto"/>
            <w:vAlign w:val="center"/>
            <w:hideMark/>
          </w:tcPr>
          <w:p w14:paraId="549590AB"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31/12/2023</w:t>
            </w:r>
          </w:p>
        </w:tc>
        <w:tc>
          <w:tcPr>
            <w:tcW w:w="482" w:type="pct"/>
            <w:tcBorders>
              <w:top w:val="nil"/>
              <w:left w:val="nil"/>
              <w:bottom w:val="single" w:sz="4" w:space="0" w:color="auto"/>
              <w:right w:val="single" w:sz="4" w:space="0" w:color="auto"/>
            </w:tcBorders>
            <w:shd w:val="clear" w:color="auto" w:fill="auto"/>
            <w:vAlign w:val="center"/>
            <w:hideMark/>
          </w:tcPr>
          <w:p w14:paraId="08DBC911"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31/12/2022</w:t>
            </w:r>
          </w:p>
        </w:tc>
        <w:tc>
          <w:tcPr>
            <w:tcW w:w="482" w:type="pct"/>
            <w:tcBorders>
              <w:top w:val="nil"/>
              <w:left w:val="nil"/>
              <w:bottom w:val="single" w:sz="4" w:space="0" w:color="auto"/>
              <w:right w:val="single" w:sz="4" w:space="0" w:color="auto"/>
            </w:tcBorders>
            <w:shd w:val="clear" w:color="auto" w:fill="auto"/>
            <w:vAlign w:val="center"/>
            <w:hideMark/>
          </w:tcPr>
          <w:p w14:paraId="72BD3597"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31/12/2023</w:t>
            </w:r>
          </w:p>
        </w:tc>
        <w:tc>
          <w:tcPr>
            <w:tcW w:w="482" w:type="pct"/>
            <w:tcBorders>
              <w:top w:val="nil"/>
              <w:left w:val="nil"/>
              <w:bottom w:val="single" w:sz="4" w:space="0" w:color="auto"/>
              <w:right w:val="single" w:sz="4" w:space="0" w:color="auto"/>
            </w:tcBorders>
            <w:shd w:val="clear" w:color="auto" w:fill="auto"/>
            <w:vAlign w:val="center"/>
            <w:hideMark/>
          </w:tcPr>
          <w:p w14:paraId="5FBDC655"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31/12/2022</w:t>
            </w:r>
          </w:p>
        </w:tc>
        <w:tc>
          <w:tcPr>
            <w:tcW w:w="482" w:type="pct"/>
            <w:tcBorders>
              <w:top w:val="nil"/>
              <w:left w:val="nil"/>
              <w:bottom w:val="single" w:sz="4" w:space="0" w:color="auto"/>
              <w:right w:val="single" w:sz="4" w:space="0" w:color="auto"/>
            </w:tcBorders>
            <w:shd w:val="clear" w:color="auto" w:fill="auto"/>
            <w:vAlign w:val="center"/>
            <w:hideMark/>
          </w:tcPr>
          <w:p w14:paraId="0E6E9B0D"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31/12/2023</w:t>
            </w:r>
          </w:p>
        </w:tc>
        <w:tc>
          <w:tcPr>
            <w:tcW w:w="482" w:type="pct"/>
            <w:tcBorders>
              <w:top w:val="nil"/>
              <w:left w:val="nil"/>
              <w:bottom w:val="single" w:sz="4" w:space="0" w:color="auto"/>
              <w:right w:val="single" w:sz="4" w:space="0" w:color="auto"/>
            </w:tcBorders>
            <w:shd w:val="clear" w:color="auto" w:fill="auto"/>
            <w:vAlign w:val="center"/>
            <w:hideMark/>
          </w:tcPr>
          <w:p w14:paraId="443EF1FA"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31/12/2022</w:t>
            </w:r>
          </w:p>
        </w:tc>
      </w:tr>
      <w:tr w:rsidR="00A25C77" w:rsidRPr="00A25C77" w14:paraId="26F7FE23" w14:textId="77777777" w:rsidTr="00A25C77">
        <w:trPr>
          <w:trHeight w:val="238"/>
        </w:trPr>
        <w:tc>
          <w:tcPr>
            <w:tcW w:w="2027" w:type="pct"/>
            <w:tcBorders>
              <w:top w:val="nil"/>
              <w:left w:val="single" w:sz="4" w:space="0" w:color="auto"/>
              <w:bottom w:val="single" w:sz="4" w:space="0" w:color="auto"/>
              <w:right w:val="single" w:sz="4" w:space="0" w:color="auto"/>
            </w:tcBorders>
            <w:shd w:val="clear" w:color="auto" w:fill="auto"/>
            <w:vAlign w:val="center"/>
            <w:hideMark/>
          </w:tcPr>
          <w:p w14:paraId="5082EF9E" w14:textId="77777777" w:rsidR="00A25C77" w:rsidRPr="00A25C77" w:rsidRDefault="00A25C77" w:rsidP="00A25C77">
            <w:pPr>
              <w:spacing w:after="0" w:line="240" w:lineRule="auto"/>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1. Taxa de desconto no início do exercício (custo dos juros) </w:t>
            </w:r>
          </w:p>
        </w:tc>
        <w:tc>
          <w:tcPr>
            <w:tcW w:w="563" w:type="pct"/>
            <w:tcBorders>
              <w:top w:val="nil"/>
              <w:left w:val="nil"/>
              <w:bottom w:val="single" w:sz="4" w:space="0" w:color="auto"/>
              <w:right w:val="single" w:sz="4" w:space="0" w:color="auto"/>
            </w:tcBorders>
            <w:shd w:val="clear" w:color="auto" w:fill="auto"/>
            <w:vAlign w:val="center"/>
            <w:hideMark/>
          </w:tcPr>
          <w:p w14:paraId="4A2F64E1"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6,05%</w:t>
            </w:r>
          </w:p>
        </w:tc>
        <w:tc>
          <w:tcPr>
            <w:tcW w:w="482" w:type="pct"/>
            <w:tcBorders>
              <w:top w:val="nil"/>
              <w:left w:val="nil"/>
              <w:bottom w:val="single" w:sz="4" w:space="0" w:color="auto"/>
              <w:right w:val="single" w:sz="4" w:space="0" w:color="auto"/>
            </w:tcBorders>
            <w:shd w:val="clear" w:color="auto" w:fill="auto"/>
            <w:vAlign w:val="center"/>
            <w:hideMark/>
          </w:tcPr>
          <w:p w14:paraId="173DD578"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5,51%</w:t>
            </w:r>
          </w:p>
        </w:tc>
        <w:tc>
          <w:tcPr>
            <w:tcW w:w="482" w:type="pct"/>
            <w:tcBorders>
              <w:top w:val="nil"/>
              <w:left w:val="nil"/>
              <w:bottom w:val="single" w:sz="4" w:space="0" w:color="auto"/>
              <w:right w:val="single" w:sz="4" w:space="0" w:color="auto"/>
            </w:tcBorders>
            <w:shd w:val="clear" w:color="auto" w:fill="auto"/>
            <w:vAlign w:val="center"/>
            <w:hideMark/>
          </w:tcPr>
          <w:p w14:paraId="3A332C3E"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6,05%</w:t>
            </w:r>
          </w:p>
        </w:tc>
        <w:tc>
          <w:tcPr>
            <w:tcW w:w="482" w:type="pct"/>
            <w:tcBorders>
              <w:top w:val="nil"/>
              <w:left w:val="nil"/>
              <w:bottom w:val="single" w:sz="4" w:space="0" w:color="auto"/>
              <w:right w:val="single" w:sz="4" w:space="0" w:color="auto"/>
            </w:tcBorders>
            <w:shd w:val="clear" w:color="auto" w:fill="auto"/>
            <w:vAlign w:val="center"/>
            <w:hideMark/>
          </w:tcPr>
          <w:p w14:paraId="58352395"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5,51%</w:t>
            </w:r>
          </w:p>
        </w:tc>
        <w:tc>
          <w:tcPr>
            <w:tcW w:w="482" w:type="pct"/>
            <w:tcBorders>
              <w:top w:val="nil"/>
              <w:left w:val="nil"/>
              <w:bottom w:val="single" w:sz="4" w:space="0" w:color="auto"/>
              <w:right w:val="single" w:sz="4" w:space="0" w:color="auto"/>
            </w:tcBorders>
            <w:shd w:val="clear" w:color="auto" w:fill="auto"/>
            <w:vAlign w:val="center"/>
            <w:hideMark/>
          </w:tcPr>
          <w:p w14:paraId="09A2FBE6"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6,05%</w:t>
            </w:r>
          </w:p>
        </w:tc>
        <w:tc>
          <w:tcPr>
            <w:tcW w:w="482" w:type="pct"/>
            <w:tcBorders>
              <w:top w:val="nil"/>
              <w:left w:val="nil"/>
              <w:bottom w:val="single" w:sz="4" w:space="0" w:color="auto"/>
              <w:right w:val="single" w:sz="4" w:space="0" w:color="auto"/>
            </w:tcBorders>
            <w:shd w:val="clear" w:color="auto" w:fill="auto"/>
            <w:vAlign w:val="center"/>
            <w:hideMark/>
          </w:tcPr>
          <w:p w14:paraId="4CA66831"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5,51%</w:t>
            </w:r>
          </w:p>
        </w:tc>
      </w:tr>
      <w:tr w:rsidR="00A25C77" w:rsidRPr="00A25C77" w14:paraId="066B0070" w14:textId="77777777" w:rsidTr="00A25C77">
        <w:trPr>
          <w:trHeight w:val="238"/>
        </w:trPr>
        <w:tc>
          <w:tcPr>
            <w:tcW w:w="2027" w:type="pct"/>
            <w:tcBorders>
              <w:top w:val="nil"/>
              <w:left w:val="single" w:sz="4" w:space="0" w:color="auto"/>
              <w:bottom w:val="single" w:sz="4" w:space="0" w:color="auto"/>
              <w:right w:val="single" w:sz="4" w:space="0" w:color="auto"/>
            </w:tcBorders>
            <w:shd w:val="clear" w:color="auto" w:fill="auto"/>
            <w:vAlign w:val="center"/>
            <w:hideMark/>
          </w:tcPr>
          <w:p w14:paraId="12DD527E" w14:textId="77777777" w:rsidR="00A25C77" w:rsidRPr="00A25C77" w:rsidRDefault="00A25C77" w:rsidP="00A25C77">
            <w:pPr>
              <w:spacing w:after="0" w:line="240" w:lineRule="auto"/>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2. Taxa de rendimento esperada sobre os ativos do plano no início do exercício </w:t>
            </w:r>
          </w:p>
        </w:tc>
        <w:tc>
          <w:tcPr>
            <w:tcW w:w="563" w:type="pct"/>
            <w:tcBorders>
              <w:top w:val="nil"/>
              <w:left w:val="nil"/>
              <w:bottom w:val="single" w:sz="4" w:space="0" w:color="auto"/>
              <w:right w:val="single" w:sz="4" w:space="0" w:color="auto"/>
            </w:tcBorders>
            <w:shd w:val="clear" w:color="auto" w:fill="auto"/>
            <w:vAlign w:val="center"/>
            <w:hideMark/>
          </w:tcPr>
          <w:p w14:paraId="4FB27414"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9,50%</w:t>
            </w:r>
          </w:p>
        </w:tc>
        <w:tc>
          <w:tcPr>
            <w:tcW w:w="482" w:type="pct"/>
            <w:tcBorders>
              <w:top w:val="nil"/>
              <w:left w:val="nil"/>
              <w:bottom w:val="single" w:sz="4" w:space="0" w:color="auto"/>
              <w:right w:val="single" w:sz="4" w:space="0" w:color="auto"/>
            </w:tcBorders>
            <w:shd w:val="clear" w:color="auto" w:fill="auto"/>
            <w:vAlign w:val="center"/>
            <w:hideMark/>
          </w:tcPr>
          <w:p w14:paraId="0C1C07F9"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15,27%</w:t>
            </w:r>
          </w:p>
        </w:tc>
        <w:tc>
          <w:tcPr>
            <w:tcW w:w="482" w:type="pct"/>
            <w:tcBorders>
              <w:top w:val="nil"/>
              <w:left w:val="nil"/>
              <w:bottom w:val="single" w:sz="4" w:space="0" w:color="auto"/>
              <w:right w:val="single" w:sz="4" w:space="0" w:color="auto"/>
            </w:tcBorders>
            <w:shd w:val="clear" w:color="auto" w:fill="auto"/>
            <w:vAlign w:val="center"/>
            <w:hideMark/>
          </w:tcPr>
          <w:p w14:paraId="2A6A93BB"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9,50%</w:t>
            </w:r>
          </w:p>
        </w:tc>
        <w:tc>
          <w:tcPr>
            <w:tcW w:w="482" w:type="pct"/>
            <w:tcBorders>
              <w:top w:val="nil"/>
              <w:left w:val="nil"/>
              <w:bottom w:val="single" w:sz="4" w:space="0" w:color="auto"/>
              <w:right w:val="single" w:sz="4" w:space="0" w:color="auto"/>
            </w:tcBorders>
            <w:shd w:val="clear" w:color="auto" w:fill="auto"/>
            <w:vAlign w:val="center"/>
            <w:hideMark/>
          </w:tcPr>
          <w:p w14:paraId="55B23038"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15,27%</w:t>
            </w:r>
          </w:p>
        </w:tc>
        <w:tc>
          <w:tcPr>
            <w:tcW w:w="482" w:type="pct"/>
            <w:tcBorders>
              <w:top w:val="nil"/>
              <w:left w:val="nil"/>
              <w:bottom w:val="single" w:sz="4" w:space="0" w:color="auto"/>
              <w:right w:val="single" w:sz="4" w:space="0" w:color="auto"/>
            </w:tcBorders>
            <w:shd w:val="clear" w:color="auto" w:fill="auto"/>
            <w:vAlign w:val="center"/>
            <w:hideMark/>
          </w:tcPr>
          <w:p w14:paraId="2FF0B288"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9,50%</w:t>
            </w:r>
          </w:p>
        </w:tc>
        <w:tc>
          <w:tcPr>
            <w:tcW w:w="482" w:type="pct"/>
            <w:tcBorders>
              <w:top w:val="nil"/>
              <w:left w:val="nil"/>
              <w:bottom w:val="single" w:sz="4" w:space="0" w:color="auto"/>
              <w:right w:val="single" w:sz="4" w:space="0" w:color="auto"/>
            </w:tcBorders>
            <w:shd w:val="clear" w:color="auto" w:fill="auto"/>
            <w:vAlign w:val="center"/>
            <w:hideMark/>
          </w:tcPr>
          <w:p w14:paraId="3FFDCB3F"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15,27%</w:t>
            </w:r>
          </w:p>
        </w:tc>
      </w:tr>
      <w:tr w:rsidR="00A25C77" w:rsidRPr="00A25C77" w14:paraId="623B8378" w14:textId="77777777" w:rsidTr="00A25C77">
        <w:trPr>
          <w:trHeight w:val="238"/>
        </w:trPr>
        <w:tc>
          <w:tcPr>
            <w:tcW w:w="2027" w:type="pct"/>
            <w:tcBorders>
              <w:top w:val="nil"/>
              <w:left w:val="single" w:sz="4" w:space="0" w:color="auto"/>
              <w:bottom w:val="single" w:sz="4" w:space="0" w:color="auto"/>
              <w:right w:val="single" w:sz="4" w:space="0" w:color="auto"/>
            </w:tcBorders>
            <w:shd w:val="clear" w:color="auto" w:fill="auto"/>
            <w:vAlign w:val="center"/>
            <w:hideMark/>
          </w:tcPr>
          <w:p w14:paraId="51FC8647" w14:textId="77777777" w:rsidR="00A25C77" w:rsidRPr="00A25C77" w:rsidRDefault="00A25C77" w:rsidP="00A25C77">
            <w:pPr>
              <w:spacing w:after="0" w:line="240" w:lineRule="auto"/>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3. Custo do serviço corrente</w:t>
            </w:r>
          </w:p>
        </w:tc>
        <w:tc>
          <w:tcPr>
            <w:tcW w:w="563" w:type="pct"/>
            <w:tcBorders>
              <w:top w:val="nil"/>
              <w:left w:val="nil"/>
              <w:bottom w:val="single" w:sz="4" w:space="0" w:color="auto"/>
              <w:right w:val="single" w:sz="4" w:space="0" w:color="auto"/>
            </w:tcBorders>
            <w:shd w:val="clear" w:color="auto" w:fill="auto"/>
            <w:vAlign w:val="center"/>
            <w:hideMark/>
          </w:tcPr>
          <w:p w14:paraId="5FB83778" w14:textId="77777777" w:rsidR="00A25C77" w:rsidRPr="00A25C77" w:rsidRDefault="00A25C77" w:rsidP="00A25C77">
            <w:pPr>
              <w:spacing w:after="0" w:line="240" w:lineRule="auto"/>
              <w:jc w:val="center"/>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   </w:t>
            </w:r>
          </w:p>
        </w:tc>
        <w:tc>
          <w:tcPr>
            <w:tcW w:w="482" w:type="pct"/>
            <w:tcBorders>
              <w:top w:val="nil"/>
              <w:left w:val="nil"/>
              <w:bottom w:val="single" w:sz="4" w:space="0" w:color="auto"/>
              <w:right w:val="single" w:sz="4" w:space="0" w:color="auto"/>
            </w:tcBorders>
            <w:shd w:val="clear" w:color="auto" w:fill="auto"/>
            <w:vAlign w:val="center"/>
            <w:hideMark/>
          </w:tcPr>
          <w:p w14:paraId="3934E317" w14:textId="77777777" w:rsidR="00A25C77" w:rsidRPr="00A25C77" w:rsidRDefault="00A25C77" w:rsidP="00A25C77">
            <w:pPr>
              <w:spacing w:after="0" w:line="240" w:lineRule="auto"/>
              <w:jc w:val="center"/>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   </w:t>
            </w:r>
          </w:p>
        </w:tc>
        <w:tc>
          <w:tcPr>
            <w:tcW w:w="482" w:type="pct"/>
            <w:tcBorders>
              <w:top w:val="nil"/>
              <w:left w:val="nil"/>
              <w:bottom w:val="single" w:sz="4" w:space="0" w:color="auto"/>
              <w:right w:val="single" w:sz="4" w:space="0" w:color="auto"/>
            </w:tcBorders>
            <w:shd w:val="clear" w:color="auto" w:fill="auto"/>
            <w:vAlign w:val="center"/>
            <w:hideMark/>
          </w:tcPr>
          <w:p w14:paraId="3CF8C3CB" w14:textId="77777777" w:rsidR="00A25C77" w:rsidRPr="00A25C77" w:rsidRDefault="00A25C77" w:rsidP="00A25C77">
            <w:pPr>
              <w:spacing w:after="0" w:line="240" w:lineRule="auto"/>
              <w:jc w:val="center"/>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   </w:t>
            </w:r>
          </w:p>
        </w:tc>
        <w:tc>
          <w:tcPr>
            <w:tcW w:w="482" w:type="pct"/>
            <w:tcBorders>
              <w:top w:val="nil"/>
              <w:left w:val="nil"/>
              <w:bottom w:val="single" w:sz="4" w:space="0" w:color="auto"/>
              <w:right w:val="single" w:sz="4" w:space="0" w:color="auto"/>
            </w:tcBorders>
            <w:shd w:val="clear" w:color="auto" w:fill="auto"/>
            <w:vAlign w:val="center"/>
            <w:hideMark/>
          </w:tcPr>
          <w:p w14:paraId="2E7C25CD" w14:textId="77777777" w:rsidR="00A25C77" w:rsidRPr="00A25C77" w:rsidRDefault="00A25C77" w:rsidP="00A25C77">
            <w:pPr>
              <w:spacing w:after="0" w:line="240" w:lineRule="auto"/>
              <w:jc w:val="center"/>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   </w:t>
            </w:r>
          </w:p>
        </w:tc>
        <w:tc>
          <w:tcPr>
            <w:tcW w:w="482" w:type="pct"/>
            <w:tcBorders>
              <w:top w:val="nil"/>
              <w:left w:val="nil"/>
              <w:bottom w:val="single" w:sz="4" w:space="0" w:color="auto"/>
              <w:right w:val="single" w:sz="4" w:space="0" w:color="auto"/>
            </w:tcBorders>
            <w:shd w:val="clear" w:color="auto" w:fill="auto"/>
            <w:vAlign w:val="center"/>
            <w:hideMark/>
          </w:tcPr>
          <w:p w14:paraId="6BC30841"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536 </w:t>
            </w:r>
          </w:p>
        </w:tc>
        <w:tc>
          <w:tcPr>
            <w:tcW w:w="482" w:type="pct"/>
            <w:tcBorders>
              <w:top w:val="nil"/>
              <w:left w:val="nil"/>
              <w:bottom w:val="single" w:sz="4" w:space="0" w:color="auto"/>
              <w:right w:val="single" w:sz="4" w:space="0" w:color="auto"/>
            </w:tcBorders>
            <w:shd w:val="clear" w:color="auto" w:fill="auto"/>
            <w:vAlign w:val="center"/>
            <w:hideMark/>
          </w:tcPr>
          <w:p w14:paraId="34209D33"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608 </w:t>
            </w:r>
          </w:p>
        </w:tc>
      </w:tr>
      <w:tr w:rsidR="00A25C77" w:rsidRPr="00A25C77" w14:paraId="6E81890D" w14:textId="77777777" w:rsidTr="00A25C77">
        <w:trPr>
          <w:trHeight w:val="238"/>
        </w:trPr>
        <w:tc>
          <w:tcPr>
            <w:tcW w:w="2027" w:type="pct"/>
            <w:tcBorders>
              <w:top w:val="nil"/>
              <w:left w:val="single" w:sz="4" w:space="0" w:color="auto"/>
              <w:bottom w:val="single" w:sz="4" w:space="0" w:color="auto"/>
              <w:right w:val="single" w:sz="4" w:space="0" w:color="auto"/>
            </w:tcBorders>
            <w:shd w:val="clear" w:color="auto" w:fill="auto"/>
            <w:vAlign w:val="center"/>
            <w:hideMark/>
          </w:tcPr>
          <w:p w14:paraId="202F798C" w14:textId="77777777" w:rsidR="00A25C77" w:rsidRPr="00A25C77" w:rsidRDefault="00A25C77" w:rsidP="00A25C77">
            <w:pPr>
              <w:spacing w:after="0" w:line="240" w:lineRule="auto"/>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4. Benefícios pagos</w:t>
            </w:r>
          </w:p>
        </w:tc>
        <w:tc>
          <w:tcPr>
            <w:tcW w:w="563" w:type="pct"/>
            <w:tcBorders>
              <w:top w:val="nil"/>
              <w:left w:val="nil"/>
              <w:bottom w:val="single" w:sz="4" w:space="0" w:color="auto"/>
              <w:right w:val="single" w:sz="4" w:space="0" w:color="auto"/>
            </w:tcBorders>
            <w:shd w:val="clear" w:color="auto" w:fill="auto"/>
            <w:vAlign w:val="center"/>
            <w:hideMark/>
          </w:tcPr>
          <w:p w14:paraId="5856B95D"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55.392 </w:t>
            </w:r>
          </w:p>
        </w:tc>
        <w:tc>
          <w:tcPr>
            <w:tcW w:w="482" w:type="pct"/>
            <w:tcBorders>
              <w:top w:val="nil"/>
              <w:left w:val="nil"/>
              <w:bottom w:val="single" w:sz="4" w:space="0" w:color="auto"/>
              <w:right w:val="single" w:sz="4" w:space="0" w:color="auto"/>
            </w:tcBorders>
            <w:shd w:val="clear" w:color="auto" w:fill="auto"/>
            <w:vAlign w:val="center"/>
            <w:hideMark/>
          </w:tcPr>
          <w:p w14:paraId="121205E5"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53.986 </w:t>
            </w:r>
          </w:p>
        </w:tc>
        <w:tc>
          <w:tcPr>
            <w:tcW w:w="482" w:type="pct"/>
            <w:tcBorders>
              <w:top w:val="nil"/>
              <w:left w:val="nil"/>
              <w:bottom w:val="single" w:sz="4" w:space="0" w:color="auto"/>
              <w:right w:val="single" w:sz="4" w:space="0" w:color="auto"/>
            </w:tcBorders>
            <w:shd w:val="clear" w:color="auto" w:fill="auto"/>
            <w:vAlign w:val="center"/>
            <w:hideMark/>
          </w:tcPr>
          <w:p w14:paraId="5878E540"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16.360 </w:t>
            </w:r>
          </w:p>
        </w:tc>
        <w:tc>
          <w:tcPr>
            <w:tcW w:w="482" w:type="pct"/>
            <w:tcBorders>
              <w:top w:val="nil"/>
              <w:left w:val="nil"/>
              <w:bottom w:val="single" w:sz="4" w:space="0" w:color="auto"/>
              <w:right w:val="single" w:sz="4" w:space="0" w:color="auto"/>
            </w:tcBorders>
            <w:shd w:val="clear" w:color="auto" w:fill="auto"/>
            <w:vAlign w:val="center"/>
            <w:hideMark/>
          </w:tcPr>
          <w:p w14:paraId="30FFB7E5"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16.129 </w:t>
            </w:r>
          </w:p>
        </w:tc>
        <w:tc>
          <w:tcPr>
            <w:tcW w:w="482" w:type="pct"/>
            <w:tcBorders>
              <w:top w:val="nil"/>
              <w:left w:val="nil"/>
              <w:bottom w:val="single" w:sz="4" w:space="0" w:color="auto"/>
              <w:right w:val="single" w:sz="4" w:space="0" w:color="auto"/>
            </w:tcBorders>
            <w:shd w:val="clear" w:color="auto" w:fill="auto"/>
            <w:vAlign w:val="center"/>
            <w:hideMark/>
          </w:tcPr>
          <w:p w14:paraId="5D3E9864"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29.230 </w:t>
            </w:r>
          </w:p>
        </w:tc>
        <w:tc>
          <w:tcPr>
            <w:tcW w:w="482" w:type="pct"/>
            <w:tcBorders>
              <w:top w:val="nil"/>
              <w:left w:val="nil"/>
              <w:bottom w:val="single" w:sz="4" w:space="0" w:color="auto"/>
              <w:right w:val="single" w:sz="4" w:space="0" w:color="auto"/>
            </w:tcBorders>
            <w:shd w:val="clear" w:color="auto" w:fill="auto"/>
            <w:vAlign w:val="center"/>
            <w:hideMark/>
          </w:tcPr>
          <w:p w14:paraId="45692A1E"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29.447 </w:t>
            </w:r>
          </w:p>
        </w:tc>
      </w:tr>
      <w:tr w:rsidR="00A25C77" w:rsidRPr="00A25C77" w14:paraId="3FBD7837" w14:textId="77777777" w:rsidTr="00A25C77">
        <w:trPr>
          <w:trHeight w:val="238"/>
        </w:trPr>
        <w:tc>
          <w:tcPr>
            <w:tcW w:w="2027" w:type="pct"/>
            <w:tcBorders>
              <w:top w:val="nil"/>
              <w:left w:val="single" w:sz="4" w:space="0" w:color="auto"/>
              <w:bottom w:val="single" w:sz="4" w:space="0" w:color="auto"/>
              <w:right w:val="single" w:sz="4" w:space="0" w:color="auto"/>
            </w:tcBorders>
            <w:shd w:val="clear" w:color="auto" w:fill="auto"/>
            <w:vAlign w:val="center"/>
            <w:hideMark/>
          </w:tcPr>
          <w:p w14:paraId="7A73B4DA" w14:textId="77777777" w:rsidR="00A25C77" w:rsidRPr="00A25C77" w:rsidRDefault="00A25C77" w:rsidP="00A25C77">
            <w:pPr>
              <w:spacing w:after="0" w:line="240" w:lineRule="auto"/>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5. Contribuições recebidas pelo fundo</w:t>
            </w:r>
          </w:p>
        </w:tc>
        <w:tc>
          <w:tcPr>
            <w:tcW w:w="563" w:type="pct"/>
            <w:tcBorders>
              <w:top w:val="nil"/>
              <w:left w:val="nil"/>
              <w:bottom w:val="single" w:sz="4" w:space="0" w:color="auto"/>
              <w:right w:val="single" w:sz="4" w:space="0" w:color="auto"/>
            </w:tcBorders>
            <w:shd w:val="clear" w:color="auto" w:fill="auto"/>
            <w:vAlign w:val="center"/>
            <w:hideMark/>
          </w:tcPr>
          <w:p w14:paraId="43EDF639" w14:textId="77777777" w:rsidR="00A25C77" w:rsidRPr="00A25C77" w:rsidRDefault="00A25C77" w:rsidP="00A25C77">
            <w:pPr>
              <w:spacing w:after="0" w:line="240" w:lineRule="auto"/>
              <w:jc w:val="center"/>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   </w:t>
            </w:r>
          </w:p>
        </w:tc>
        <w:tc>
          <w:tcPr>
            <w:tcW w:w="482" w:type="pct"/>
            <w:tcBorders>
              <w:top w:val="nil"/>
              <w:left w:val="nil"/>
              <w:bottom w:val="single" w:sz="4" w:space="0" w:color="auto"/>
              <w:right w:val="single" w:sz="4" w:space="0" w:color="auto"/>
            </w:tcBorders>
            <w:shd w:val="clear" w:color="auto" w:fill="auto"/>
            <w:vAlign w:val="center"/>
            <w:hideMark/>
          </w:tcPr>
          <w:p w14:paraId="1B0BB942" w14:textId="77777777" w:rsidR="00A25C77" w:rsidRPr="00A25C77" w:rsidRDefault="00A25C77" w:rsidP="00A25C77">
            <w:pPr>
              <w:spacing w:after="0" w:line="240" w:lineRule="auto"/>
              <w:jc w:val="center"/>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   </w:t>
            </w:r>
          </w:p>
        </w:tc>
        <w:tc>
          <w:tcPr>
            <w:tcW w:w="482" w:type="pct"/>
            <w:tcBorders>
              <w:top w:val="nil"/>
              <w:left w:val="nil"/>
              <w:bottom w:val="single" w:sz="4" w:space="0" w:color="auto"/>
              <w:right w:val="single" w:sz="4" w:space="0" w:color="auto"/>
            </w:tcBorders>
            <w:shd w:val="clear" w:color="auto" w:fill="auto"/>
            <w:vAlign w:val="center"/>
            <w:hideMark/>
          </w:tcPr>
          <w:p w14:paraId="2BCED692" w14:textId="77777777" w:rsidR="00A25C77" w:rsidRPr="00A25C77" w:rsidRDefault="00A25C77" w:rsidP="00A25C77">
            <w:pPr>
              <w:spacing w:after="0" w:line="240" w:lineRule="auto"/>
              <w:jc w:val="center"/>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w:t>
            </w:r>
          </w:p>
        </w:tc>
        <w:tc>
          <w:tcPr>
            <w:tcW w:w="482" w:type="pct"/>
            <w:tcBorders>
              <w:top w:val="nil"/>
              <w:left w:val="nil"/>
              <w:bottom w:val="single" w:sz="4" w:space="0" w:color="auto"/>
              <w:right w:val="single" w:sz="4" w:space="0" w:color="auto"/>
            </w:tcBorders>
            <w:shd w:val="clear" w:color="auto" w:fill="auto"/>
            <w:vAlign w:val="center"/>
            <w:hideMark/>
          </w:tcPr>
          <w:p w14:paraId="390A5E5B" w14:textId="77777777" w:rsidR="00A25C77" w:rsidRPr="00A25C77" w:rsidRDefault="00A25C77" w:rsidP="00A25C77">
            <w:pPr>
              <w:spacing w:after="0" w:line="240" w:lineRule="auto"/>
              <w:jc w:val="center"/>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   </w:t>
            </w:r>
          </w:p>
        </w:tc>
        <w:tc>
          <w:tcPr>
            <w:tcW w:w="482" w:type="pct"/>
            <w:tcBorders>
              <w:top w:val="nil"/>
              <w:left w:val="nil"/>
              <w:bottom w:val="single" w:sz="4" w:space="0" w:color="auto"/>
              <w:right w:val="single" w:sz="4" w:space="0" w:color="auto"/>
            </w:tcBorders>
            <w:shd w:val="clear" w:color="auto" w:fill="auto"/>
            <w:vAlign w:val="center"/>
            <w:hideMark/>
          </w:tcPr>
          <w:p w14:paraId="5DD28F31"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   </w:t>
            </w:r>
          </w:p>
        </w:tc>
        <w:tc>
          <w:tcPr>
            <w:tcW w:w="482" w:type="pct"/>
            <w:tcBorders>
              <w:top w:val="nil"/>
              <w:left w:val="nil"/>
              <w:bottom w:val="single" w:sz="4" w:space="0" w:color="auto"/>
              <w:right w:val="single" w:sz="4" w:space="0" w:color="auto"/>
            </w:tcBorders>
            <w:shd w:val="clear" w:color="auto" w:fill="auto"/>
            <w:vAlign w:val="center"/>
            <w:hideMark/>
          </w:tcPr>
          <w:p w14:paraId="71CC253D"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4.921 </w:t>
            </w:r>
          </w:p>
        </w:tc>
      </w:tr>
      <w:tr w:rsidR="00A25C77" w:rsidRPr="00A25C77" w14:paraId="7A0852D5" w14:textId="77777777" w:rsidTr="00A25C77">
        <w:trPr>
          <w:trHeight w:val="238"/>
        </w:trPr>
        <w:tc>
          <w:tcPr>
            <w:tcW w:w="2027" w:type="pct"/>
            <w:tcBorders>
              <w:top w:val="nil"/>
              <w:left w:val="single" w:sz="4" w:space="0" w:color="auto"/>
              <w:bottom w:val="single" w:sz="4" w:space="0" w:color="auto"/>
              <w:right w:val="single" w:sz="4" w:space="0" w:color="auto"/>
            </w:tcBorders>
            <w:shd w:val="clear" w:color="auto" w:fill="auto"/>
            <w:vAlign w:val="center"/>
            <w:hideMark/>
          </w:tcPr>
          <w:p w14:paraId="62B9B4EA" w14:textId="77777777" w:rsidR="00A25C77" w:rsidRPr="00A25C77" w:rsidRDefault="00A25C77" w:rsidP="00A25C77">
            <w:pPr>
              <w:spacing w:after="0" w:line="240" w:lineRule="auto"/>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6. Valor presente da obrigação</w:t>
            </w:r>
          </w:p>
        </w:tc>
        <w:tc>
          <w:tcPr>
            <w:tcW w:w="563" w:type="pct"/>
            <w:tcBorders>
              <w:top w:val="nil"/>
              <w:left w:val="nil"/>
              <w:bottom w:val="single" w:sz="4" w:space="0" w:color="auto"/>
              <w:right w:val="single" w:sz="4" w:space="0" w:color="auto"/>
            </w:tcBorders>
            <w:shd w:val="clear" w:color="auto" w:fill="auto"/>
            <w:vAlign w:val="center"/>
            <w:hideMark/>
          </w:tcPr>
          <w:p w14:paraId="095E542C"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592.165 </w:t>
            </w:r>
          </w:p>
        </w:tc>
        <w:tc>
          <w:tcPr>
            <w:tcW w:w="482" w:type="pct"/>
            <w:tcBorders>
              <w:top w:val="nil"/>
              <w:left w:val="nil"/>
              <w:bottom w:val="single" w:sz="4" w:space="0" w:color="auto"/>
              <w:right w:val="single" w:sz="4" w:space="0" w:color="auto"/>
            </w:tcBorders>
            <w:shd w:val="clear" w:color="auto" w:fill="auto"/>
            <w:vAlign w:val="center"/>
            <w:hideMark/>
          </w:tcPr>
          <w:p w14:paraId="02CFC353"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567.438 </w:t>
            </w:r>
          </w:p>
        </w:tc>
        <w:tc>
          <w:tcPr>
            <w:tcW w:w="482" w:type="pct"/>
            <w:tcBorders>
              <w:top w:val="nil"/>
              <w:left w:val="nil"/>
              <w:bottom w:val="single" w:sz="4" w:space="0" w:color="auto"/>
              <w:right w:val="single" w:sz="4" w:space="0" w:color="auto"/>
            </w:tcBorders>
            <w:shd w:val="clear" w:color="auto" w:fill="auto"/>
            <w:vAlign w:val="center"/>
            <w:hideMark/>
          </w:tcPr>
          <w:p w14:paraId="7785087D"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218.276 </w:t>
            </w:r>
          </w:p>
        </w:tc>
        <w:tc>
          <w:tcPr>
            <w:tcW w:w="482" w:type="pct"/>
            <w:tcBorders>
              <w:top w:val="nil"/>
              <w:left w:val="nil"/>
              <w:bottom w:val="single" w:sz="4" w:space="0" w:color="auto"/>
              <w:right w:val="single" w:sz="4" w:space="0" w:color="auto"/>
            </w:tcBorders>
            <w:shd w:val="clear" w:color="auto" w:fill="auto"/>
            <w:vAlign w:val="center"/>
            <w:hideMark/>
          </w:tcPr>
          <w:p w14:paraId="45A38C3D"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204.361 </w:t>
            </w:r>
          </w:p>
        </w:tc>
        <w:tc>
          <w:tcPr>
            <w:tcW w:w="482" w:type="pct"/>
            <w:tcBorders>
              <w:top w:val="nil"/>
              <w:left w:val="nil"/>
              <w:bottom w:val="single" w:sz="4" w:space="0" w:color="auto"/>
              <w:right w:val="single" w:sz="4" w:space="0" w:color="auto"/>
            </w:tcBorders>
            <w:shd w:val="clear" w:color="auto" w:fill="auto"/>
            <w:vAlign w:val="center"/>
            <w:hideMark/>
          </w:tcPr>
          <w:p w14:paraId="2E47CF10"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384.260 </w:t>
            </w:r>
          </w:p>
        </w:tc>
        <w:tc>
          <w:tcPr>
            <w:tcW w:w="482" w:type="pct"/>
            <w:tcBorders>
              <w:top w:val="nil"/>
              <w:left w:val="nil"/>
              <w:bottom w:val="single" w:sz="4" w:space="0" w:color="auto"/>
              <w:right w:val="single" w:sz="4" w:space="0" w:color="auto"/>
            </w:tcBorders>
            <w:shd w:val="clear" w:color="auto" w:fill="auto"/>
            <w:vAlign w:val="center"/>
            <w:hideMark/>
          </w:tcPr>
          <w:p w14:paraId="13DF568E"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344.264 </w:t>
            </w:r>
          </w:p>
        </w:tc>
      </w:tr>
      <w:tr w:rsidR="00A25C77" w:rsidRPr="00A25C77" w14:paraId="16EA7240" w14:textId="77777777" w:rsidTr="00A25C77">
        <w:trPr>
          <w:trHeight w:val="238"/>
        </w:trPr>
        <w:tc>
          <w:tcPr>
            <w:tcW w:w="2027" w:type="pct"/>
            <w:tcBorders>
              <w:top w:val="nil"/>
              <w:left w:val="single" w:sz="4" w:space="0" w:color="auto"/>
              <w:bottom w:val="single" w:sz="4" w:space="0" w:color="auto"/>
              <w:right w:val="single" w:sz="4" w:space="0" w:color="auto"/>
            </w:tcBorders>
            <w:shd w:val="clear" w:color="auto" w:fill="auto"/>
            <w:vAlign w:val="center"/>
            <w:hideMark/>
          </w:tcPr>
          <w:p w14:paraId="2C5EBFFF" w14:textId="77777777" w:rsidR="00A25C77" w:rsidRPr="00A25C77" w:rsidRDefault="00A25C77" w:rsidP="00A25C77">
            <w:pPr>
              <w:spacing w:after="0" w:line="240" w:lineRule="auto"/>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7. Valor justo dos ativos do plano</w:t>
            </w:r>
          </w:p>
        </w:tc>
        <w:tc>
          <w:tcPr>
            <w:tcW w:w="563" w:type="pct"/>
            <w:tcBorders>
              <w:top w:val="nil"/>
              <w:left w:val="nil"/>
              <w:bottom w:val="single" w:sz="4" w:space="0" w:color="auto"/>
              <w:right w:val="single" w:sz="4" w:space="0" w:color="auto"/>
            </w:tcBorders>
            <w:shd w:val="clear" w:color="auto" w:fill="auto"/>
            <w:vAlign w:val="center"/>
            <w:hideMark/>
          </w:tcPr>
          <w:p w14:paraId="49F874F9"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690.510 </w:t>
            </w:r>
          </w:p>
        </w:tc>
        <w:tc>
          <w:tcPr>
            <w:tcW w:w="482" w:type="pct"/>
            <w:tcBorders>
              <w:top w:val="nil"/>
              <w:left w:val="nil"/>
              <w:bottom w:val="single" w:sz="4" w:space="0" w:color="auto"/>
              <w:right w:val="single" w:sz="4" w:space="0" w:color="auto"/>
            </w:tcBorders>
            <w:shd w:val="clear" w:color="auto" w:fill="auto"/>
            <w:vAlign w:val="center"/>
            <w:hideMark/>
          </w:tcPr>
          <w:p w14:paraId="5BAC5E67"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648.500 </w:t>
            </w:r>
          </w:p>
        </w:tc>
        <w:tc>
          <w:tcPr>
            <w:tcW w:w="482" w:type="pct"/>
            <w:tcBorders>
              <w:top w:val="nil"/>
              <w:left w:val="nil"/>
              <w:bottom w:val="single" w:sz="4" w:space="0" w:color="auto"/>
              <w:right w:val="single" w:sz="4" w:space="0" w:color="auto"/>
            </w:tcBorders>
            <w:shd w:val="clear" w:color="auto" w:fill="auto"/>
            <w:vAlign w:val="center"/>
            <w:hideMark/>
          </w:tcPr>
          <w:p w14:paraId="7EAE8F79"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324.895 </w:t>
            </w:r>
          </w:p>
        </w:tc>
        <w:tc>
          <w:tcPr>
            <w:tcW w:w="482" w:type="pct"/>
            <w:tcBorders>
              <w:top w:val="nil"/>
              <w:left w:val="nil"/>
              <w:bottom w:val="single" w:sz="4" w:space="0" w:color="auto"/>
              <w:right w:val="single" w:sz="4" w:space="0" w:color="auto"/>
            </w:tcBorders>
            <w:shd w:val="clear" w:color="auto" w:fill="auto"/>
            <w:vAlign w:val="center"/>
            <w:hideMark/>
          </w:tcPr>
          <w:p w14:paraId="09C3110B"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267.604 </w:t>
            </w:r>
          </w:p>
        </w:tc>
        <w:tc>
          <w:tcPr>
            <w:tcW w:w="482" w:type="pct"/>
            <w:tcBorders>
              <w:top w:val="nil"/>
              <w:left w:val="nil"/>
              <w:bottom w:val="single" w:sz="4" w:space="0" w:color="auto"/>
              <w:right w:val="single" w:sz="4" w:space="0" w:color="auto"/>
            </w:tcBorders>
            <w:shd w:val="clear" w:color="auto" w:fill="auto"/>
            <w:vAlign w:val="center"/>
            <w:hideMark/>
          </w:tcPr>
          <w:p w14:paraId="1B717EAF"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577.609 </w:t>
            </w:r>
          </w:p>
        </w:tc>
        <w:tc>
          <w:tcPr>
            <w:tcW w:w="482" w:type="pct"/>
            <w:tcBorders>
              <w:top w:val="nil"/>
              <w:left w:val="nil"/>
              <w:bottom w:val="single" w:sz="4" w:space="0" w:color="auto"/>
              <w:right w:val="single" w:sz="4" w:space="0" w:color="auto"/>
            </w:tcBorders>
            <w:shd w:val="clear" w:color="auto" w:fill="auto"/>
            <w:vAlign w:val="center"/>
            <w:hideMark/>
          </w:tcPr>
          <w:p w14:paraId="6C15AF14"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344.317 </w:t>
            </w:r>
          </w:p>
        </w:tc>
      </w:tr>
    </w:tbl>
    <w:p w14:paraId="304B12D7" w14:textId="1A58E2AE" w:rsidR="00A25C77" w:rsidRPr="00A25C77" w:rsidRDefault="00A25C77" w:rsidP="00A25C77">
      <w:pPr>
        <w:autoSpaceDE w:val="0"/>
        <w:autoSpaceDN w:val="0"/>
        <w:adjustRightInd w:val="0"/>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32.5.4. </w:t>
      </w:r>
      <w:r w:rsidRPr="00A25C77">
        <w:rPr>
          <w:rFonts w:ascii="Calibri" w:eastAsia="Times New Roman" w:hAnsi="Calibri" w:cs="Calibri"/>
          <w:b/>
          <w:bCs/>
          <w:iCs/>
          <w:color w:val="002060"/>
          <w:kern w:val="0"/>
          <w14:ligatures w14:val="none"/>
        </w:rPr>
        <w:t>Conciliação da Obrigação Atuarial</w:t>
      </w:r>
    </w:p>
    <w:tbl>
      <w:tblPr>
        <w:tblW w:w="5000" w:type="pct"/>
        <w:tblCellMar>
          <w:left w:w="70" w:type="dxa"/>
          <w:right w:w="70" w:type="dxa"/>
        </w:tblCellMar>
        <w:tblLook w:val="04A0" w:firstRow="1" w:lastRow="0" w:firstColumn="1" w:lastColumn="0" w:noHBand="0" w:noVBand="1"/>
      </w:tblPr>
      <w:tblGrid>
        <w:gridCol w:w="3384"/>
        <w:gridCol w:w="1111"/>
        <w:gridCol w:w="1041"/>
        <w:gridCol w:w="1111"/>
        <w:gridCol w:w="1041"/>
        <w:gridCol w:w="1042"/>
        <w:gridCol w:w="1041"/>
      </w:tblGrid>
      <w:tr w:rsidR="00A25C77" w:rsidRPr="00A25C77" w14:paraId="25DA2BFB" w14:textId="77777777" w:rsidTr="00A25C77">
        <w:trPr>
          <w:trHeight w:val="238"/>
        </w:trPr>
        <w:tc>
          <w:tcPr>
            <w:tcW w:w="1732"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4672E4A0" w14:textId="77777777" w:rsidR="00A25C77" w:rsidRPr="00A25C77" w:rsidRDefault="00A25C77" w:rsidP="00A25C77">
            <w:pPr>
              <w:spacing w:after="0" w:line="240" w:lineRule="auto"/>
              <w:rPr>
                <w:rFonts w:ascii="Times New Roman" w:eastAsia="Times New Roman" w:hAnsi="Times New Roman" w:cs="Times New Roman"/>
                <w:b/>
                <w:bCs/>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Composição:</w:t>
            </w:r>
          </w:p>
        </w:tc>
        <w:tc>
          <w:tcPr>
            <w:tcW w:w="1101" w:type="pct"/>
            <w:gridSpan w:val="2"/>
            <w:tcBorders>
              <w:top w:val="single" w:sz="4" w:space="0" w:color="auto"/>
              <w:left w:val="nil"/>
              <w:bottom w:val="single" w:sz="4" w:space="0" w:color="auto"/>
              <w:right w:val="single" w:sz="4" w:space="0" w:color="auto"/>
            </w:tcBorders>
            <w:shd w:val="clear" w:color="auto" w:fill="auto"/>
            <w:vAlign w:val="center"/>
            <w:hideMark/>
          </w:tcPr>
          <w:p w14:paraId="40B9966E" w14:textId="77777777" w:rsidR="00A25C77" w:rsidRPr="00A25C77" w:rsidRDefault="00A25C77" w:rsidP="00A25C77">
            <w:pPr>
              <w:spacing w:after="0" w:line="240" w:lineRule="auto"/>
              <w:jc w:val="center"/>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PBS-A</w:t>
            </w:r>
          </w:p>
        </w:tc>
        <w:tc>
          <w:tcPr>
            <w:tcW w:w="1101" w:type="pct"/>
            <w:gridSpan w:val="2"/>
            <w:tcBorders>
              <w:top w:val="single" w:sz="4" w:space="0" w:color="auto"/>
              <w:left w:val="nil"/>
              <w:bottom w:val="single" w:sz="4" w:space="0" w:color="auto"/>
              <w:right w:val="single" w:sz="4" w:space="0" w:color="auto"/>
            </w:tcBorders>
            <w:shd w:val="clear" w:color="auto" w:fill="auto"/>
            <w:vAlign w:val="center"/>
            <w:hideMark/>
          </w:tcPr>
          <w:p w14:paraId="2ACCDEAB" w14:textId="77777777" w:rsidR="00A25C77" w:rsidRPr="00A25C77" w:rsidRDefault="00A25C77" w:rsidP="00A25C77">
            <w:pPr>
              <w:spacing w:after="0" w:line="240" w:lineRule="auto"/>
              <w:jc w:val="center"/>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PBS-Telebras</w:t>
            </w:r>
          </w:p>
        </w:tc>
        <w:tc>
          <w:tcPr>
            <w:tcW w:w="1065" w:type="pct"/>
            <w:gridSpan w:val="2"/>
            <w:tcBorders>
              <w:top w:val="single" w:sz="4" w:space="0" w:color="auto"/>
              <w:left w:val="nil"/>
              <w:bottom w:val="single" w:sz="4" w:space="0" w:color="auto"/>
              <w:right w:val="single" w:sz="4" w:space="0" w:color="auto"/>
            </w:tcBorders>
            <w:shd w:val="clear" w:color="auto" w:fill="auto"/>
            <w:vAlign w:val="center"/>
            <w:hideMark/>
          </w:tcPr>
          <w:p w14:paraId="1086FE65" w14:textId="77777777" w:rsidR="00A25C77" w:rsidRPr="00A25C77" w:rsidRDefault="00A25C77" w:rsidP="00A25C77">
            <w:pPr>
              <w:spacing w:after="0" w:line="240" w:lineRule="auto"/>
              <w:jc w:val="center"/>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Telebras PREV</w:t>
            </w:r>
          </w:p>
        </w:tc>
      </w:tr>
      <w:tr w:rsidR="00A25C77" w:rsidRPr="00A25C77" w14:paraId="5F17CB4A" w14:textId="77777777" w:rsidTr="00A25C77">
        <w:trPr>
          <w:trHeight w:val="238"/>
        </w:trPr>
        <w:tc>
          <w:tcPr>
            <w:tcW w:w="1732" w:type="pct"/>
            <w:vMerge/>
            <w:tcBorders>
              <w:top w:val="single" w:sz="4" w:space="0" w:color="auto"/>
              <w:left w:val="single" w:sz="4" w:space="0" w:color="auto"/>
              <w:bottom w:val="single" w:sz="4" w:space="0" w:color="auto"/>
              <w:right w:val="single" w:sz="4" w:space="0" w:color="auto"/>
            </w:tcBorders>
            <w:vAlign w:val="center"/>
            <w:hideMark/>
          </w:tcPr>
          <w:p w14:paraId="3DD5F401" w14:textId="77777777" w:rsidR="00A25C77" w:rsidRPr="00A25C77" w:rsidRDefault="00A25C77" w:rsidP="00A25C77">
            <w:pPr>
              <w:spacing w:after="0" w:line="240" w:lineRule="auto"/>
              <w:rPr>
                <w:rFonts w:ascii="Times New Roman" w:eastAsia="Times New Roman" w:hAnsi="Times New Roman" w:cs="Times New Roman"/>
                <w:b/>
                <w:bCs/>
                <w:color w:val="000000"/>
                <w:kern w:val="0"/>
                <w:sz w:val="18"/>
                <w:szCs w:val="18"/>
                <w:lang w:eastAsia="pt-BR"/>
                <w14:ligatures w14:val="none"/>
              </w:rPr>
            </w:pPr>
          </w:p>
        </w:tc>
        <w:tc>
          <w:tcPr>
            <w:tcW w:w="569" w:type="pct"/>
            <w:tcBorders>
              <w:top w:val="nil"/>
              <w:left w:val="nil"/>
              <w:bottom w:val="single" w:sz="4" w:space="0" w:color="auto"/>
              <w:right w:val="single" w:sz="4" w:space="0" w:color="auto"/>
            </w:tcBorders>
            <w:shd w:val="clear" w:color="auto" w:fill="auto"/>
            <w:vAlign w:val="center"/>
            <w:hideMark/>
          </w:tcPr>
          <w:p w14:paraId="53FEB091" w14:textId="77777777" w:rsidR="00A25C77" w:rsidRPr="00A25C77" w:rsidRDefault="00A25C77" w:rsidP="00A25C77">
            <w:pPr>
              <w:spacing w:after="0" w:line="240" w:lineRule="auto"/>
              <w:jc w:val="center"/>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31/12/2023</w:t>
            </w:r>
          </w:p>
        </w:tc>
        <w:tc>
          <w:tcPr>
            <w:tcW w:w="533" w:type="pct"/>
            <w:tcBorders>
              <w:top w:val="nil"/>
              <w:left w:val="nil"/>
              <w:bottom w:val="single" w:sz="4" w:space="0" w:color="auto"/>
              <w:right w:val="single" w:sz="4" w:space="0" w:color="auto"/>
            </w:tcBorders>
            <w:shd w:val="clear" w:color="auto" w:fill="auto"/>
            <w:vAlign w:val="center"/>
            <w:hideMark/>
          </w:tcPr>
          <w:p w14:paraId="6CC87B39" w14:textId="77777777" w:rsidR="00A25C77" w:rsidRPr="00A25C77" w:rsidRDefault="00A25C77" w:rsidP="00A25C77">
            <w:pPr>
              <w:spacing w:after="0" w:line="240" w:lineRule="auto"/>
              <w:jc w:val="center"/>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31/12/2022</w:t>
            </w:r>
          </w:p>
        </w:tc>
        <w:tc>
          <w:tcPr>
            <w:tcW w:w="569" w:type="pct"/>
            <w:tcBorders>
              <w:top w:val="nil"/>
              <w:left w:val="nil"/>
              <w:bottom w:val="single" w:sz="4" w:space="0" w:color="auto"/>
              <w:right w:val="single" w:sz="4" w:space="0" w:color="auto"/>
            </w:tcBorders>
            <w:shd w:val="clear" w:color="auto" w:fill="auto"/>
            <w:vAlign w:val="center"/>
            <w:hideMark/>
          </w:tcPr>
          <w:p w14:paraId="622C1DA9" w14:textId="77777777" w:rsidR="00A25C77" w:rsidRPr="00A25C77" w:rsidRDefault="00A25C77" w:rsidP="00A25C77">
            <w:pPr>
              <w:spacing w:after="0" w:line="240" w:lineRule="auto"/>
              <w:jc w:val="center"/>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31/12/2023</w:t>
            </w:r>
          </w:p>
        </w:tc>
        <w:tc>
          <w:tcPr>
            <w:tcW w:w="533" w:type="pct"/>
            <w:tcBorders>
              <w:top w:val="nil"/>
              <w:left w:val="nil"/>
              <w:bottom w:val="single" w:sz="4" w:space="0" w:color="auto"/>
              <w:right w:val="single" w:sz="4" w:space="0" w:color="auto"/>
            </w:tcBorders>
            <w:shd w:val="clear" w:color="auto" w:fill="auto"/>
            <w:vAlign w:val="center"/>
            <w:hideMark/>
          </w:tcPr>
          <w:p w14:paraId="517AC239" w14:textId="77777777" w:rsidR="00A25C77" w:rsidRPr="00A25C77" w:rsidRDefault="00A25C77" w:rsidP="00A25C77">
            <w:pPr>
              <w:spacing w:after="0" w:line="240" w:lineRule="auto"/>
              <w:jc w:val="center"/>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31/12/2022</w:t>
            </w:r>
          </w:p>
        </w:tc>
        <w:tc>
          <w:tcPr>
            <w:tcW w:w="533" w:type="pct"/>
            <w:tcBorders>
              <w:top w:val="nil"/>
              <w:left w:val="nil"/>
              <w:bottom w:val="single" w:sz="4" w:space="0" w:color="auto"/>
              <w:right w:val="single" w:sz="4" w:space="0" w:color="auto"/>
            </w:tcBorders>
            <w:shd w:val="clear" w:color="auto" w:fill="auto"/>
            <w:vAlign w:val="center"/>
            <w:hideMark/>
          </w:tcPr>
          <w:p w14:paraId="6D79D8C6" w14:textId="77777777" w:rsidR="00A25C77" w:rsidRPr="00A25C77" w:rsidRDefault="00A25C77" w:rsidP="00A25C77">
            <w:pPr>
              <w:spacing w:after="0" w:line="240" w:lineRule="auto"/>
              <w:jc w:val="center"/>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31/12/2023</w:t>
            </w:r>
          </w:p>
        </w:tc>
        <w:tc>
          <w:tcPr>
            <w:tcW w:w="533" w:type="pct"/>
            <w:tcBorders>
              <w:top w:val="nil"/>
              <w:left w:val="nil"/>
              <w:bottom w:val="single" w:sz="4" w:space="0" w:color="auto"/>
              <w:right w:val="single" w:sz="4" w:space="0" w:color="auto"/>
            </w:tcBorders>
            <w:shd w:val="clear" w:color="auto" w:fill="auto"/>
            <w:vAlign w:val="center"/>
            <w:hideMark/>
          </w:tcPr>
          <w:p w14:paraId="767E1C7C" w14:textId="77777777" w:rsidR="00A25C77" w:rsidRPr="00A25C77" w:rsidRDefault="00A25C77" w:rsidP="00A25C77">
            <w:pPr>
              <w:spacing w:after="0" w:line="240" w:lineRule="auto"/>
              <w:jc w:val="center"/>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31/12/2022</w:t>
            </w:r>
          </w:p>
        </w:tc>
      </w:tr>
      <w:tr w:rsidR="00A25C77" w:rsidRPr="00A25C77" w14:paraId="41F94382" w14:textId="77777777" w:rsidTr="00A25C77">
        <w:trPr>
          <w:trHeight w:val="238"/>
        </w:trPr>
        <w:tc>
          <w:tcPr>
            <w:tcW w:w="1732" w:type="pct"/>
            <w:tcBorders>
              <w:top w:val="nil"/>
              <w:left w:val="single" w:sz="4" w:space="0" w:color="auto"/>
              <w:bottom w:val="single" w:sz="4" w:space="0" w:color="auto"/>
              <w:right w:val="single" w:sz="4" w:space="0" w:color="auto"/>
            </w:tcBorders>
            <w:shd w:val="clear" w:color="auto" w:fill="auto"/>
            <w:vAlign w:val="center"/>
            <w:hideMark/>
          </w:tcPr>
          <w:p w14:paraId="2EDEB4AB" w14:textId="77777777" w:rsidR="00A25C77" w:rsidRPr="00A25C77" w:rsidRDefault="00A25C77" w:rsidP="00A25C77">
            <w:pPr>
              <w:spacing w:after="0" w:line="240" w:lineRule="auto"/>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1. Valor presente da obrigação atuarial</w:t>
            </w:r>
          </w:p>
        </w:tc>
        <w:tc>
          <w:tcPr>
            <w:tcW w:w="569" w:type="pct"/>
            <w:tcBorders>
              <w:top w:val="nil"/>
              <w:left w:val="nil"/>
              <w:bottom w:val="single" w:sz="4" w:space="0" w:color="auto"/>
              <w:right w:val="single" w:sz="4" w:space="0" w:color="auto"/>
            </w:tcBorders>
            <w:shd w:val="clear" w:color="auto" w:fill="auto"/>
            <w:noWrap/>
            <w:vAlign w:val="center"/>
            <w:hideMark/>
          </w:tcPr>
          <w:p w14:paraId="30C5D558" w14:textId="77777777" w:rsidR="00A25C77" w:rsidRPr="00A25C77" w:rsidRDefault="00A25C77" w:rsidP="00A25C77">
            <w:pPr>
              <w:spacing w:after="0" w:line="240" w:lineRule="auto"/>
              <w:jc w:val="right"/>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 xml:space="preserve">     567.438 </w:t>
            </w:r>
          </w:p>
        </w:tc>
        <w:tc>
          <w:tcPr>
            <w:tcW w:w="533" w:type="pct"/>
            <w:tcBorders>
              <w:top w:val="nil"/>
              <w:left w:val="nil"/>
              <w:bottom w:val="single" w:sz="4" w:space="0" w:color="auto"/>
              <w:right w:val="single" w:sz="4" w:space="0" w:color="auto"/>
            </w:tcBorders>
            <w:shd w:val="clear" w:color="auto" w:fill="auto"/>
            <w:vAlign w:val="center"/>
            <w:hideMark/>
          </w:tcPr>
          <w:p w14:paraId="309666EA" w14:textId="77777777" w:rsidR="00A25C77" w:rsidRPr="00A25C77" w:rsidRDefault="00A25C77" w:rsidP="00A25C77">
            <w:pPr>
              <w:spacing w:after="0" w:line="240" w:lineRule="auto"/>
              <w:jc w:val="right"/>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 xml:space="preserve">     611.515 </w:t>
            </w:r>
          </w:p>
        </w:tc>
        <w:tc>
          <w:tcPr>
            <w:tcW w:w="569" w:type="pct"/>
            <w:tcBorders>
              <w:top w:val="nil"/>
              <w:left w:val="nil"/>
              <w:bottom w:val="single" w:sz="4" w:space="0" w:color="auto"/>
              <w:right w:val="single" w:sz="4" w:space="0" w:color="auto"/>
            </w:tcBorders>
            <w:shd w:val="clear" w:color="auto" w:fill="auto"/>
            <w:noWrap/>
            <w:vAlign w:val="center"/>
            <w:hideMark/>
          </w:tcPr>
          <w:p w14:paraId="14F6DF99" w14:textId="77777777" w:rsidR="00A25C77" w:rsidRPr="00A25C77" w:rsidRDefault="00A25C77" w:rsidP="00A25C77">
            <w:pPr>
              <w:spacing w:after="0" w:line="240" w:lineRule="auto"/>
              <w:jc w:val="right"/>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 xml:space="preserve">     204.362 </w:t>
            </w:r>
          </w:p>
        </w:tc>
        <w:tc>
          <w:tcPr>
            <w:tcW w:w="533" w:type="pct"/>
            <w:tcBorders>
              <w:top w:val="nil"/>
              <w:left w:val="nil"/>
              <w:bottom w:val="single" w:sz="4" w:space="0" w:color="auto"/>
              <w:right w:val="single" w:sz="4" w:space="0" w:color="auto"/>
            </w:tcBorders>
            <w:shd w:val="clear" w:color="auto" w:fill="auto"/>
            <w:vAlign w:val="center"/>
            <w:hideMark/>
          </w:tcPr>
          <w:p w14:paraId="5DECBA16" w14:textId="77777777" w:rsidR="00A25C77" w:rsidRPr="00A25C77" w:rsidRDefault="00A25C77" w:rsidP="00A25C77">
            <w:pPr>
              <w:spacing w:after="0" w:line="240" w:lineRule="auto"/>
              <w:jc w:val="right"/>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 xml:space="preserve">   213.803 </w:t>
            </w:r>
          </w:p>
        </w:tc>
        <w:tc>
          <w:tcPr>
            <w:tcW w:w="533" w:type="pct"/>
            <w:tcBorders>
              <w:top w:val="nil"/>
              <w:left w:val="nil"/>
              <w:bottom w:val="single" w:sz="4" w:space="0" w:color="auto"/>
              <w:right w:val="single" w:sz="4" w:space="0" w:color="auto"/>
            </w:tcBorders>
            <w:shd w:val="clear" w:color="auto" w:fill="auto"/>
            <w:noWrap/>
            <w:vAlign w:val="center"/>
            <w:hideMark/>
          </w:tcPr>
          <w:p w14:paraId="5DABBF19" w14:textId="77777777" w:rsidR="00A25C77" w:rsidRPr="00A25C77" w:rsidRDefault="00A25C77" w:rsidP="00A25C77">
            <w:pPr>
              <w:spacing w:after="0" w:line="240" w:lineRule="auto"/>
              <w:jc w:val="right"/>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 xml:space="preserve">  344.264 </w:t>
            </w:r>
          </w:p>
        </w:tc>
        <w:tc>
          <w:tcPr>
            <w:tcW w:w="533" w:type="pct"/>
            <w:tcBorders>
              <w:top w:val="nil"/>
              <w:left w:val="nil"/>
              <w:bottom w:val="single" w:sz="4" w:space="0" w:color="auto"/>
              <w:right w:val="single" w:sz="4" w:space="0" w:color="auto"/>
            </w:tcBorders>
            <w:shd w:val="clear" w:color="auto" w:fill="auto"/>
            <w:vAlign w:val="center"/>
            <w:hideMark/>
          </w:tcPr>
          <w:p w14:paraId="20CF0B82" w14:textId="77777777" w:rsidR="00A25C77" w:rsidRPr="00A25C77" w:rsidRDefault="00A25C77" w:rsidP="00A25C77">
            <w:pPr>
              <w:spacing w:after="0" w:line="240" w:lineRule="auto"/>
              <w:jc w:val="right"/>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 xml:space="preserve">  254.349 </w:t>
            </w:r>
          </w:p>
        </w:tc>
      </w:tr>
      <w:tr w:rsidR="00A25C77" w:rsidRPr="00A25C77" w14:paraId="0B7D99CD" w14:textId="77777777" w:rsidTr="00A25C77">
        <w:trPr>
          <w:trHeight w:val="238"/>
        </w:trPr>
        <w:tc>
          <w:tcPr>
            <w:tcW w:w="1732" w:type="pct"/>
            <w:tcBorders>
              <w:top w:val="nil"/>
              <w:left w:val="single" w:sz="4" w:space="0" w:color="auto"/>
              <w:bottom w:val="single" w:sz="4" w:space="0" w:color="auto"/>
              <w:right w:val="single" w:sz="4" w:space="0" w:color="auto"/>
            </w:tcBorders>
            <w:shd w:val="clear" w:color="auto" w:fill="auto"/>
            <w:vAlign w:val="center"/>
            <w:hideMark/>
          </w:tcPr>
          <w:p w14:paraId="129F9E6F" w14:textId="77777777" w:rsidR="00A25C77" w:rsidRPr="00A25C77" w:rsidRDefault="00A25C77" w:rsidP="00A25C77">
            <w:pPr>
              <w:spacing w:after="0" w:line="240" w:lineRule="auto"/>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2. Custo dos juros</w:t>
            </w:r>
          </w:p>
        </w:tc>
        <w:tc>
          <w:tcPr>
            <w:tcW w:w="569" w:type="pct"/>
            <w:tcBorders>
              <w:top w:val="nil"/>
              <w:left w:val="nil"/>
              <w:bottom w:val="single" w:sz="4" w:space="0" w:color="auto"/>
              <w:right w:val="single" w:sz="4" w:space="0" w:color="auto"/>
            </w:tcBorders>
            <w:shd w:val="clear" w:color="auto" w:fill="auto"/>
            <w:noWrap/>
            <w:vAlign w:val="center"/>
            <w:hideMark/>
          </w:tcPr>
          <w:p w14:paraId="108DB163"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53.887 </w:t>
            </w:r>
          </w:p>
        </w:tc>
        <w:tc>
          <w:tcPr>
            <w:tcW w:w="533" w:type="pct"/>
            <w:tcBorders>
              <w:top w:val="nil"/>
              <w:left w:val="nil"/>
              <w:bottom w:val="single" w:sz="4" w:space="0" w:color="auto"/>
              <w:right w:val="single" w:sz="4" w:space="0" w:color="auto"/>
            </w:tcBorders>
            <w:shd w:val="clear" w:color="auto" w:fill="auto"/>
            <w:vAlign w:val="center"/>
            <w:hideMark/>
          </w:tcPr>
          <w:p w14:paraId="26DAEB1F"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56.329 </w:t>
            </w:r>
          </w:p>
        </w:tc>
        <w:tc>
          <w:tcPr>
            <w:tcW w:w="569" w:type="pct"/>
            <w:tcBorders>
              <w:top w:val="nil"/>
              <w:left w:val="nil"/>
              <w:bottom w:val="single" w:sz="4" w:space="0" w:color="auto"/>
              <w:right w:val="single" w:sz="4" w:space="0" w:color="auto"/>
            </w:tcBorders>
            <w:shd w:val="clear" w:color="auto" w:fill="auto"/>
            <w:noWrap/>
            <w:vAlign w:val="center"/>
            <w:hideMark/>
          </w:tcPr>
          <w:p w14:paraId="377ADB08"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19.407 </w:t>
            </w:r>
          </w:p>
        </w:tc>
        <w:tc>
          <w:tcPr>
            <w:tcW w:w="533" w:type="pct"/>
            <w:tcBorders>
              <w:top w:val="nil"/>
              <w:left w:val="nil"/>
              <w:bottom w:val="single" w:sz="4" w:space="0" w:color="auto"/>
              <w:right w:val="single" w:sz="4" w:space="0" w:color="auto"/>
            </w:tcBorders>
            <w:shd w:val="clear" w:color="auto" w:fill="auto"/>
            <w:vAlign w:val="center"/>
            <w:hideMark/>
          </w:tcPr>
          <w:p w14:paraId="7F31826A"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11.780 </w:t>
            </w:r>
          </w:p>
        </w:tc>
        <w:tc>
          <w:tcPr>
            <w:tcW w:w="533" w:type="pct"/>
            <w:tcBorders>
              <w:top w:val="nil"/>
              <w:left w:val="nil"/>
              <w:bottom w:val="single" w:sz="4" w:space="0" w:color="auto"/>
              <w:right w:val="single" w:sz="4" w:space="0" w:color="auto"/>
            </w:tcBorders>
            <w:shd w:val="clear" w:color="auto" w:fill="auto"/>
            <w:noWrap/>
            <w:vAlign w:val="center"/>
            <w:hideMark/>
          </w:tcPr>
          <w:p w14:paraId="29652BC6"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31.712 </w:t>
            </w:r>
          </w:p>
        </w:tc>
        <w:tc>
          <w:tcPr>
            <w:tcW w:w="533" w:type="pct"/>
            <w:tcBorders>
              <w:top w:val="nil"/>
              <w:left w:val="nil"/>
              <w:bottom w:val="single" w:sz="4" w:space="0" w:color="auto"/>
              <w:right w:val="single" w:sz="4" w:space="0" w:color="auto"/>
            </w:tcBorders>
            <w:shd w:val="clear" w:color="auto" w:fill="auto"/>
            <w:vAlign w:val="center"/>
            <w:hideMark/>
          </w:tcPr>
          <w:p w14:paraId="294D09CC"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23.428 </w:t>
            </w:r>
          </w:p>
        </w:tc>
      </w:tr>
      <w:tr w:rsidR="00A25C77" w:rsidRPr="00A25C77" w14:paraId="7D2EB24D" w14:textId="77777777" w:rsidTr="00A25C77">
        <w:trPr>
          <w:trHeight w:val="238"/>
        </w:trPr>
        <w:tc>
          <w:tcPr>
            <w:tcW w:w="1732" w:type="pct"/>
            <w:tcBorders>
              <w:top w:val="nil"/>
              <w:left w:val="single" w:sz="4" w:space="0" w:color="auto"/>
              <w:bottom w:val="single" w:sz="4" w:space="0" w:color="auto"/>
              <w:right w:val="single" w:sz="4" w:space="0" w:color="auto"/>
            </w:tcBorders>
            <w:shd w:val="clear" w:color="auto" w:fill="auto"/>
            <w:vAlign w:val="center"/>
            <w:hideMark/>
          </w:tcPr>
          <w:p w14:paraId="6C81F3E9" w14:textId="77777777" w:rsidR="00A25C77" w:rsidRPr="00A25C77" w:rsidRDefault="00A25C77" w:rsidP="00A25C77">
            <w:pPr>
              <w:spacing w:after="0" w:line="240" w:lineRule="auto"/>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3. Custo do serviço corrente</w:t>
            </w:r>
          </w:p>
        </w:tc>
        <w:tc>
          <w:tcPr>
            <w:tcW w:w="569" w:type="pct"/>
            <w:tcBorders>
              <w:top w:val="nil"/>
              <w:left w:val="nil"/>
              <w:bottom w:val="single" w:sz="4" w:space="0" w:color="auto"/>
              <w:right w:val="single" w:sz="4" w:space="0" w:color="auto"/>
            </w:tcBorders>
            <w:shd w:val="clear" w:color="auto" w:fill="auto"/>
            <w:noWrap/>
            <w:vAlign w:val="center"/>
            <w:hideMark/>
          </w:tcPr>
          <w:p w14:paraId="50771274"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    </w:t>
            </w:r>
          </w:p>
        </w:tc>
        <w:tc>
          <w:tcPr>
            <w:tcW w:w="533" w:type="pct"/>
            <w:tcBorders>
              <w:top w:val="nil"/>
              <w:left w:val="nil"/>
              <w:bottom w:val="single" w:sz="4" w:space="0" w:color="auto"/>
              <w:right w:val="single" w:sz="4" w:space="0" w:color="auto"/>
            </w:tcBorders>
            <w:shd w:val="clear" w:color="auto" w:fill="auto"/>
            <w:vAlign w:val="center"/>
            <w:hideMark/>
          </w:tcPr>
          <w:p w14:paraId="030BB9B2"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   </w:t>
            </w:r>
          </w:p>
        </w:tc>
        <w:tc>
          <w:tcPr>
            <w:tcW w:w="569" w:type="pct"/>
            <w:tcBorders>
              <w:top w:val="nil"/>
              <w:left w:val="nil"/>
              <w:bottom w:val="single" w:sz="4" w:space="0" w:color="auto"/>
              <w:right w:val="single" w:sz="4" w:space="0" w:color="auto"/>
            </w:tcBorders>
            <w:shd w:val="clear" w:color="auto" w:fill="auto"/>
            <w:noWrap/>
            <w:vAlign w:val="center"/>
            <w:hideMark/>
          </w:tcPr>
          <w:p w14:paraId="73DF9510"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    </w:t>
            </w:r>
          </w:p>
        </w:tc>
        <w:tc>
          <w:tcPr>
            <w:tcW w:w="533" w:type="pct"/>
            <w:tcBorders>
              <w:top w:val="nil"/>
              <w:left w:val="nil"/>
              <w:bottom w:val="single" w:sz="4" w:space="0" w:color="auto"/>
              <w:right w:val="single" w:sz="4" w:space="0" w:color="auto"/>
            </w:tcBorders>
            <w:shd w:val="clear" w:color="auto" w:fill="auto"/>
            <w:vAlign w:val="center"/>
            <w:hideMark/>
          </w:tcPr>
          <w:p w14:paraId="636677E1"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   </w:t>
            </w:r>
          </w:p>
        </w:tc>
        <w:tc>
          <w:tcPr>
            <w:tcW w:w="533" w:type="pct"/>
            <w:tcBorders>
              <w:top w:val="nil"/>
              <w:left w:val="nil"/>
              <w:bottom w:val="single" w:sz="4" w:space="0" w:color="auto"/>
              <w:right w:val="single" w:sz="4" w:space="0" w:color="auto"/>
            </w:tcBorders>
            <w:shd w:val="clear" w:color="auto" w:fill="auto"/>
            <w:noWrap/>
            <w:vAlign w:val="center"/>
            <w:hideMark/>
          </w:tcPr>
          <w:p w14:paraId="6D11E740"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536 </w:t>
            </w:r>
          </w:p>
        </w:tc>
        <w:tc>
          <w:tcPr>
            <w:tcW w:w="533" w:type="pct"/>
            <w:tcBorders>
              <w:top w:val="nil"/>
              <w:left w:val="nil"/>
              <w:bottom w:val="single" w:sz="4" w:space="0" w:color="auto"/>
              <w:right w:val="single" w:sz="4" w:space="0" w:color="auto"/>
            </w:tcBorders>
            <w:shd w:val="clear" w:color="auto" w:fill="auto"/>
            <w:vAlign w:val="center"/>
            <w:hideMark/>
          </w:tcPr>
          <w:p w14:paraId="62E16D65"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70 </w:t>
            </w:r>
          </w:p>
        </w:tc>
      </w:tr>
      <w:tr w:rsidR="00A25C77" w:rsidRPr="00A25C77" w14:paraId="6C4BC1C7" w14:textId="77777777" w:rsidTr="00A25C77">
        <w:trPr>
          <w:trHeight w:val="238"/>
        </w:trPr>
        <w:tc>
          <w:tcPr>
            <w:tcW w:w="1732" w:type="pct"/>
            <w:tcBorders>
              <w:top w:val="nil"/>
              <w:left w:val="single" w:sz="4" w:space="0" w:color="auto"/>
              <w:bottom w:val="single" w:sz="4" w:space="0" w:color="auto"/>
              <w:right w:val="single" w:sz="4" w:space="0" w:color="auto"/>
            </w:tcBorders>
            <w:shd w:val="clear" w:color="auto" w:fill="auto"/>
            <w:vAlign w:val="center"/>
            <w:hideMark/>
          </w:tcPr>
          <w:p w14:paraId="037B226C" w14:textId="77777777" w:rsidR="00A25C77" w:rsidRPr="00A25C77" w:rsidRDefault="00A25C77" w:rsidP="00A25C77">
            <w:pPr>
              <w:spacing w:after="0" w:line="240" w:lineRule="auto"/>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4. Custo do serviço passado</w:t>
            </w:r>
          </w:p>
        </w:tc>
        <w:tc>
          <w:tcPr>
            <w:tcW w:w="569" w:type="pct"/>
            <w:tcBorders>
              <w:top w:val="nil"/>
              <w:left w:val="nil"/>
              <w:bottom w:val="single" w:sz="4" w:space="0" w:color="auto"/>
              <w:right w:val="single" w:sz="4" w:space="0" w:color="auto"/>
            </w:tcBorders>
            <w:shd w:val="clear" w:color="auto" w:fill="auto"/>
            <w:noWrap/>
            <w:vAlign w:val="center"/>
            <w:hideMark/>
          </w:tcPr>
          <w:p w14:paraId="25E432D2"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    </w:t>
            </w:r>
          </w:p>
        </w:tc>
        <w:tc>
          <w:tcPr>
            <w:tcW w:w="533" w:type="pct"/>
            <w:tcBorders>
              <w:top w:val="nil"/>
              <w:left w:val="nil"/>
              <w:bottom w:val="single" w:sz="4" w:space="0" w:color="auto"/>
              <w:right w:val="single" w:sz="4" w:space="0" w:color="auto"/>
            </w:tcBorders>
            <w:shd w:val="clear" w:color="auto" w:fill="auto"/>
            <w:vAlign w:val="center"/>
            <w:hideMark/>
          </w:tcPr>
          <w:p w14:paraId="3E7E74DC"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    </w:t>
            </w:r>
          </w:p>
        </w:tc>
        <w:tc>
          <w:tcPr>
            <w:tcW w:w="569" w:type="pct"/>
            <w:tcBorders>
              <w:top w:val="nil"/>
              <w:left w:val="nil"/>
              <w:bottom w:val="single" w:sz="4" w:space="0" w:color="auto"/>
              <w:right w:val="single" w:sz="4" w:space="0" w:color="auto"/>
            </w:tcBorders>
            <w:shd w:val="clear" w:color="auto" w:fill="auto"/>
            <w:noWrap/>
            <w:vAlign w:val="center"/>
            <w:hideMark/>
          </w:tcPr>
          <w:p w14:paraId="1455FC35"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    </w:t>
            </w:r>
          </w:p>
        </w:tc>
        <w:tc>
          <w:tcPr>
            <w:tcW w:w="533" w:type="pct"/>
            <w:tcBorders>
              <w:top w:val="nil"/>
              <w:left w:val="nil"/>
              <w:bottom w:val="single" w:sz="4" w:space="0" w:color="auto"/>
              <w:right w:val="single" w:sz="4" w:space="0" w:color="auto"/>
            </w:tcBorders>
            <w:shd w:val="clear" w:color="auto" w:fill="auto"/>
            <w:vAlign w:val="center"/>
            <w:hideMark/>
          </w:tcPr>
          <w:p w14:paraId="41B94064"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    </w:t>
            </w:r>
          </w:p>
        </w:tc>
        <w:tc>
          <w:tcPr>
            <w:tcW w:w="533" w:type="pct"/>
            <w:tcBorders>
              <w:top w:val="nil"/>
              <w:left w:val="nil"/>
              <w:bottom w:val="single" w:sz="4" w:space="0" w:color="auto"/>
              <w:right w:val="single" w:sz="4" w:space="0" w:color="auto"/>
            </w:tcBorders>
            <w:shd w:val="clear" w:color="auto" w:fill="auto"/>
            <w:noWrap/>
            <w:vAlign w:val="center"/>
            <w:hideMark/>
          </w:tcPr>
          <w:p w14:paraId="7AE80C93"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    </w:t>
            </w:r>
          </w:p>
        </w:tc>
        <w:tc>
          <w:tcPr>
            <w:tcW w:w="533" w:type="pct"/>
            <w:tcBorders>
              <w:top w:val="nil"/>
              <w:left w:val="nil"/>
              <w:bottom w:val="single" w:sz="4" w:space="0" w:color="auto"/>
              <w:right w:val="single" w:sz="4" w:space="0" w:color="auto"/>
            </w:tcBorders>
            <w:shd w:val="clear" w:color="auto" w:fill="auto"/>
            <w:vAlign w:val="center"/>
            <w:hideMark/>
          </w:tcPr>
          <w:p w14:paraId="333751D9"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    </w:t>
            </w:r>
          </w:p>
        </w:tc>
      </w:tr>
      <w:tr w:rsidR="00A25C77" w:rsidRPr="00A25C77" w14:paraId="069DFE98" w14:textId="77777777" w:rsidTr="00A25C77">
        <w:trPr>
          <w:trHeight w:val="238"/>
        </w:trPr>
        <w:tc>
          <w:tcPr>
            <w:tcW w:w="1732" w:type="pct"/>
            <w:tcBorders>
              <w:top w:val="nil"/>
              <w:left w:val="single" w:sz="4" w:space="0" w:color="auto"/>
              <w:bottom w:val="single" w:sz="4" w:space="0" w:color="auto"/>
              <w:right w:val="single" w:sz="4" w:space="0" w:color="auto"/>
            </w:tcBorders>
            <w:shd w:val="clear" w:color="auto" w:fill="auto"/>
            <w:vAlign w:val="center"/>
            <w:hideMark/>
          </w:tcPr>
          <w:p w14:paraId="3155E83A" w14:textId="77777777" w:rsidR="00A25C77" w:rsidRPr="00A25C77" w:rsidRDefault="00A25C77" w:rsidP="00A25C77">
            <w:pPr>
              <w:spacing w:after="0" w:line="240" w:lineRule="auto"/>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5. Benefícios pagos pelo fundo</w:t>
            </w:r>
          </w:p>
        </w:tc>
        <w:tc>
          <w:tcPr>
            <w:tcW w:w="569" w:type="pct"/>
            <w:tcBorders>
              <w:top w:val="nil"/>
              <w:left w:val="nil"/>
              <w:bottom w:val="single" w:sz="4" w:space="0" w:color="auto"/>
              <w:right w:val="single" w:sz="4" w:space="0" w:color="auto"/>
            </w:tcBorders>
            <w:shd w:val="clear" w:color="auto" w:fill="auto"/>
            <w:noWrap/>
            <w:vAlign w:val="center"/>
            <w:hideMark/>
          </w:tcPr>
          <w:p w14:paraId="47BAD981"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(55.392)</w:t>
            </w:r>
          </w:p>
        </w:tc>
        <w:tc>
          <w:tcPr>
            <w:tcW w:w="533" w:type="pct"/>
            <w:tcBorders>
              <w:top w:val="nil"/>
              <w:left w:val="nil"/>
              <w:bottom w:val="single" w:sz="4" w:space="0" w:color="auto"/>
              <w:right w:val="single" w:sz="4" w:space="0" w:color="auto"/>
            </w:tcBorders>
            <w:shd w:val="clear" w:color="auto" w:fill="auto"/>
            <w:vAlign w:val="center"/>
            <w:hideMark/>
          </w:tcPr>
          <w:p w14:paraId="6636FAEF" w14:textId="77777777" w:rsidR="00A25C77" w:rsidRPr="00A25C77" w:rsidRDefault="00A25C77" w:rsidP="00A25C77">
            <w:pPr>
              <w:spacing w:after="0" w:line="240" w:lineRule="auto"/>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(53.986)</w:t>
            </w:r>
          </w:p>
        </w:tc>
        <w:tc>
          <w:tcPr>
            <w:tcW w:w="569" w:type="pct"/>
            <w:tcBorders>
              <w:top w:val="nil"/>
              <w:left w:val="nil"/>
              <w:bottom w:val="single" w:sz="4" w:space="0" w:color="auto"/>
              <w:right w:val="single" w:sz="4" w:space="0" w:color="auto"/>
            </w:tcBorders>
            <w:shd w:val="clear" w:color="auto" w:fill="auto"/>
            <w:noWrap/>
            <w:vAlign w:val="center"/>
            <w:hideMark/>
          </w:tcPr>
          <w:p w14:paraId="66459131"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(16.360)</w:t>
            </w:r>
          </w:p>
        </w:tc>
        <w:tc>
          <w:tcPr>
            <w:tcW w:w="533" w:type="pct"/>
            <w:tcBorders>
              <w:top w:val="nil"/>
              <w:left w:val="nil"/>
              <w:bottom w:val="single" w:sz="4" w:space="0" w:color="auto"/>
              <w:right w:val="single" w:sz="4" w:space="0" w:color="auto"/>
            </w:tcBorders>
            <w:shd w:val="clear" w:color="auto" w:fill="auto"/>
            <w:vAlign w:val="center"/>
            <w:hideMark/>
          </w:tcPr>
          <w:p w14:paraId="15DFF3FF"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(16.129)</w:t>
            </w:r>
          </w:p>
        </w:tc>
        <w:tc>
          <w:tcPr>
            <w:tcW w:w="533" w:type="pct"/>
            <w:tcBorders>
              <w:top w:val="nil"/>
              <w:left w:val="nil"/>
              <w:bottom w:val="single" w:sz="4" w:space="0" w:color="auto"/>
              <w:right w:val="single" w:sz="4" w:space="0" w:color="auto"/>
            </w:tcBorders>
            <w:shd w:val="clear" w:color="auto" w:fill="auto"/>
            <w:noWrap/>
            <w:vAlign w:val="center"/>
            <w:hideMark/>
          </w:tcPr>
          <w:p w14:paraId="4BA04664"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(29.230)</w:t>
            </w:r>
          </w:p>
        </w:tc>
        <w:tc>
          <w:tcPr>
            <w:tcW w:w="533" w:type="pct"/>
            <w:tcBorders>
              <w:top w:val="nil"/>
              <w:left w:val="nil"/>
              <w:bottom w:val="single" w:sz="4" w:space="0" w:color="auto"/>
              <w:right w:val="single" w:sz="4" w:space="0" w:color="auto"/>
            </w:tcBorders>
            <w:shd w:val="clear" w:color="auto" w:fill="auto"/>
            <w:vAlign w:val="center"/>
            <w:hideMark/>
          </w:tcPr>
          <w:p w14:paraId="5EB9527A"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(29.447)</w:t>
            </w:r>
          </w:p>
        </w:tc>
      </w:tr>
      <w:tr w:rsidR="00A25C77" w:rsidRPr="00A25C77" w14:paraId="198AF762" w14:textId="77777777" w:rsidTr="00A25C77">
        <w:trPr>
          <w:trHeight w:val="238"/>
        </w:trPr>
        <w:tc>
          <w:tcPr>
            <w:tcW w:w="1732" w:type="pct"/>
            <w:tcBorders>
              <w:top w:val="nil"/>
              <w:left w:val="single" w:sz="4" w:space="0" w:color="auto"/>
              <w:bottom w:val="single" w:sz="4" w:space="0" w:color="auto"/>
              <w:right w:val="single" w:sz="4" w:space="0" w:color="auto"/>
            </w:tcBorders>
            <w:shd w:val="clear" w:color="auto" w:fill="auto"/>
            <w:vAlign w:val="center"/>
            <w:hideMark/>
          </w:tcPr>
          <w:p w14:paraId="763CD2C0" w14:textId="77777777" w:rsidR="00A25C77" w:rsidRPr="00A25C77" w:rsidRDefault="00A25C77" w:rsidP="00A25C77">
            <w:pPr>
              <w:spacing w:after="0" w:line="240" w:lineRule="auto"/>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6. Despesas administrativas pagas pelo fundo</w:t>
            </w:r>
          </w:p>
        </w:tc>
        <w:tc>
          <w:tcPr>
            <w:tcW w:w="569" w:type="pct"/>
            <w:tcBorders>
              <w:top w:val="nil"/>
              <w:left w:val="nil"/>
              <w:bottom w:val="single" w:sz="4" w:space="0" w:color="auto"/>
              <w:right w:val="single" w:sz="4" w:space="0" w:color="auto"/>
            </w:tcBorders>
            <w:shd w:val="clear" w:color="auto" w:fill="auto"/>
            <w:noWrap/>
            <w:vAlign w:val="center"/>
            <w:hideMark/>
          </w:tcPr>
          <w:p w14:paraId="166DFF2C"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    </w:t>
            </w:r>
          </w:p>
        </w:tc>
        <w:tc>
          <w:tcPr>
            <w:tcW w:w="533" w:type="pct"/>
            <w:tcBorders>
              <w:top w:val="nil"/>
              <w:left w:val="nil"/>
              <w:bottom w:val="single" w:sz="4" w:space="0" w:color="auto"/>
              <w:right w:val="single" w:sz="4" w:space="0" w:color="auto"/>
            </w:tcBorders>
            <w:shd w:val="clear" w:color="auto" w:fill="auto"/>
            <w:vAlign w:val="center"/>
            <w:hideMark/>
          </w:tcPr>
          <w:p w14:paraId="14E2F25C"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    </w:t>
            </w:r>
          </w:p>
        </w:tc>
        <w:tc>
          <w:tcPr>
            <w:tcW w:w="569" w:type="pct"/>
            <w:tcBorders>
              <w:top w:val="nil"/>
              <w:left w:val="nil"/>
              <w:bottom w:val="single" w:sz="4" w:space="0" w:color="auto"/>
              <w:right w:val="single" w:sz="4" w:space="0" w:color="auto"/>
            </w:tcBorders>
            <w:shd w:val="clear" w:color="auto" w:fill="auto"/>
            <w:noWrap/>
            <w:vAlign w:val="center"/>
            <w:hideMark/>
          </w:tcPr>
          <w:p w14:paraId="61786FD0"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    </w:t>
            </w:r>
          </w:p>
        </w:tc>
        <w:tc>
          <w:tcPr>
            <w:tcW w:w="533" w:type="pct"/>
            <w:tcBorders>
              <w:top w:val="nil"/>
              <w:left w:val="nil"/>
              <w:bottom w:val="single" w:sz="4" w:space="0" w:color="auto"/>
              <w:right w:val="single" w:sz="4" w:space="0" w:color="auto"/>
            </w:tcBorders>
            <w:shd w:val="clear" w:color="auto" w:fill="auto"/>
            <w:vAlign w:val="center"/>
            <w:hideMark/>
          </w:tcPr>
          <w:p w14:paraId="646667D6"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    </w:t>
            </w:r>
          </w:p>
        </w:tc>
        <w:tc>
          <w:tcPr>
            <w:tcW w:w="533" w:type="pct"/>
            <w:tcBorders>
              <w:top w:val="nil"/>
              <w:left w:val="nil"/>
              <w:bottom w:val="single" w:sz="4" w:space="0" w:color="auto"/>
              <w:right w:val="single" w:sz="4" w:space="0" w:color="auto"/>
            </w:tcBorders>
            <w:shd w:val="clear" w:color="auto" w:fill="auto"/>
            <w:noWrap/>
            <w:vAlign w:val="center"/>
            <w:hideMark/>
          </w:tcPr>
          <w:p w14:paraId="47AA5E73"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    </w:t>
            </w:r>
          </w:p>
        </w:tc>
        <w:tc>
          <w:tcPr>
            <w:tcW w:w="533" w:type="pct"/>
            <w:tcBorders>
              <w:top w:val="nil"/>
              <w:left w:val="nil"/>
              <w:bottom w:val="single" w:sz="4" w:space="0" w:color="auto"/>
              <w:right w:val="single" w:sz="4" w:space="0" w:color="auto"/>
            </w:tcBorders>
            <w:shd w:val="clear" w:color="auto" w:fill="auto"/>
            <w:vAlign w:val="center"/>
            <w:hideMark/>
          </w:tcPr>
          <w:p w14:paraId="6DF63638"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    </w:t>
            </w:r>
          </w:p>
        </w:tc>
      </w:tr>
      <w:tr w:rsidR="00A25C77" w:rsidRPr="00A25C77" w14:paraId="7A395EB8" w14:textId="77777777" w:rsidTr="00A25C77">
        <w:trPr>
          <w:trHeight w:val="238"/>
        </w:trPr>
        <w:tc>
          <w:tcPr>
            <w:tcW w:w="1732" w:type="pct"/>
            <w:tcBorders>
              <w:top w:val="nil"/>
              <w:left w:val="single" w:sz="4" w:space="0" w:color="auto"/>
              <w:bottom w:val="single" w:sz="4" w:space="0" w:color="auto"/>
              <w:right w:val="single" w:sz="4" w:space="0" w:color="auto"/>
            </w:tcBorders>
            <w:shd w:val="clear" w:color="auto" w:fill="auto"/>
            <w:vAlign w:val="center"/>
            <w:hideMark/>
          </w:tcPr>
          <w:p w14:paraId="034139F4" w14:textId="77777777" w:rsidR="00A25C77" w:rsidRPr="00A25C77" w:rsidRDefault="00A25C77" w:rsidP="00A25C77">
            <w:pPr>
              <w:spacing w:after="0" w:line="240" w:lineRule="auto"/>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7. (Ganhos)/perdas atuariais sobre a obrigação atuarial</w:t>
            </w:r>
          </w:p>
        </w:tc>
        <w:tc>
          <w:tcPr>
            <w:tcW w:w="569" w:type="pct"/>
            <w:tcBorders>
              <w:top w:val="nil"/>
              <w:left w:val="nil"/>
              <w:bottom w:val="single" w:sz="4" w:space="0" w:color="auto"/>
              <w:right w:val="single" w:sz="4" w:space="0" w:color="auto"/>
            </w:tcBorders>
            <w:shd w:val="clear" w:color="auto" w:fill="auto"/>
            <w:noWrap/>
            <w:vAlign w:val="center"/>
            <w:hideMark/>
          </w:tcPr>
          <w:p w14:paraId="785906D3"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26.232 </w:t>
            </w:r>
          </w:p>
        </w:tc>
        <w:tc>
          <w:tcPr>
            <w:tcW w:w="533" w:type="pct"/>
            <w:tcBorders>
              <w:top w:val="nil"/>
              <w:left w:val="nil"/>
              <w:bottom w:val="single" w:sz="4" w:space="0" w:color="auto"/>
              <w:right w:val="single" w:sz="4" w:space="0" w:color="auto"/>
            </w:tcBorders>
            <w:shd w:val="clear" w:color="auto" w:fill="auto"/>
            <w:vAlign w:val="center"/>
            <w:hideMark/>
          </w:tcPr>
          <w:p w14:paraId="0A67CDE9"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(46.420)</w:t>
            </w:r>
          </w:p>
        </w:tc>
        <w:tc>
          <w:tcPr>
            <w:tcW w:w="569" w:type="pct"/>
            <w:tcBorders>
              <w:top w:val="nil"/>
              <w:left w:val="nil"/>
              <w:bottom w:val="single" w:sz="4" w:space="0" w:color="auto"/>
              <w:right w:val="single" w:sz="4" w:space="0" w:color="auto"/>
            </w:tcBorders>
            <w:shd w:val="clear" w:color="auto" w:fill="auto"/>
            <w:noWrap/>
            <w:vAlign w:val="center"/>
            <w:hideMark/>
          </w:tcPr>
          <w:p w14:paraId="4B53146C"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10.867 </w:t>
            </w:r>
          </w:p>
        </w:tc>
        <w:tc>
          <w:tcPr>
            <w:tcW w:w="533" w:type="pct"/>
            <w:tcBorders>
              <w:top w:val="nil"/>
              <w:left w:val="nil"/>
              <w:bottom w:val="single" w:sz="4" w:space="0" w:color="auto"/>
              <w:right w:val="single" w:sz="4" w:space="0" w:color="auto"/>
            </w:tcBorders>
            <w:shd w:val="clear" w:color="auto" w:fill="auto"/>
            <w:vAlign w:val="center"/>
            <w:hideMark/>
          </w:tcPr>
          <w:p w14:paraId="4D435697"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(5.093)</w:t>
            </w:r>
          </w:p>
        </w:tc>
        <w:tc>
          <w:tcPr>
            <w:tcW w:w="533" w:type="pct"/>
            <w:tcBorders>
              <w:top w:val="nil"/>
              <w:left w:val="nil"/>
              <w:bottom w:val="single" w:sz="4" w:space="0" w:color="auto"/>
              <w:right w:val="single" w:sz="4" w:space="0" w:color="auto"/>
            </w:tcBorders>
            <w:shd w:val="clear" w:color="auto" w:fill="auto"/>
            <w:noWrap/>
            <w:vAlign w:val="center"/>
            <w:hideMark/>
          </w:tcPr>
          <w:p w14:paraId="2B5DB327"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36.978 </w:t>
            </w:r>
          </w:p>
        </w:tc>
        <w:tc>
          <w:tcPr>
            <w:tcW w:w="533" w:type="pct"/>
            <w:tcBorders>
              <w:top w:val="nil"/>
              <w:left w:val="nil"/>
              <w:bottom w:val="single" w:sz="4" w:space="0" w:color="auto"/>
              <w:right w:val="single" w:sz="4" w:space="0" w:color="auto"/>
            </w:tcBorders>
            <w:shd w:val="clear" w:color="auto" w:fill="auto"/>
            <w:vAlign w:val="center"/>
            <w:hideMark/>
          </w:tcPr>
          <w:p w14:paraId="44AE9FE8"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95.864 </w:t>
            </w:r>
          </w:p>
        </w:tc>
      </w:tr>
      <w:tr w:rsidR="00A25C77" w:rsidRPr="00A25C77" w14:paraId="32A87670" w14:textId="77777777" w:rsidTr="00A25C77">
        <w:trPr>
          <w:trHeight w:val="238"/>
        </w:trPr>
        <w:tc>
          <w:tcPr>
            <w:tcW w:w="1732" w:type="pct"/>
            <w:tcBorders>
              <w:top w:val="nil"/>
              <w:left w:val="single" w:sz="4" w:space="0" w:color="auto"/>
              <w:bottom w:val="single" w:sz="4" w:space="0" w:color="auto"/>
              <w:right w:val="single" w:sz="4" w:space="0" w:color="auto"/>
            </w:tcBorders>
            <w:shd w:val="clear" w:color="auto" w:fill="auto"/>
            <w:vAlign w:val="center"/>
            <w:hideMark/>
          </w:tcPr>
          <w:p w14:paraId="05F3B813" w14:textId="77777777" w:rsidR="00A25C77" w:rsidRPr="00A25C77" w:rsidRDefault="00A25C77" w:rsidP="00A25C77">
            <w:pPr>
              <w:spacing w:after="0" w:line="240" w:lineRule="auto"/>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8. Valor presente da obrigação</w:t>
            </w:r>
          </w:p>
        </w:tc>
        <w:tc>
          <w:tcPr>
            <w:tcW w:w="569" w:type="pct"/>
            <w:tcBorders>
              <w:top w:val="nil"/>
              <w:left w:val="nil"/>
              <w:bottom w:val="single" w:sz="4" w:space="0" w:color="auto"/>
              <w:right w:val="single" w:sz="4" w:space="0" w:color="auto"/>
            </w:tcBorders>
            <w:shd w:val="clear" w:color="auto" w:fill="auto"/>
            <w:noWrap/>
            <w:vAlign w:val="center"/>
            <w:hideMark/>
          </w:tcPr>
          <w:p w14:paraId="71E974DC" w14:textId="77777777" w:rsidR="00A25C77" w:rsidRPr="00A25C77" w:rsidRDefault="00A25C77" w:rsidP="00A25C77">
            <w:pPr>
              <w:spacing w:after="0" w:line="240" w:lineRule="auto"/>
              <w:jc w:val="right"/>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 xml:space="preserve">     592.165 </w:t>
            </w:r>
          </w:p>
        </w:tc>
        <w:tc>
          <w:tcPr>
            <w:tcW w:w="533" w:type="pct"/>
            <w:tcBorders>
              <w:top w:val="nil"/>
              <w:left w:val="nil"/>
              <w:bottom w:val="single" w:sz="4" w:space="0" w:color="auto"/>
              <w:right w:val="single" w:sz="4" w:space="0" w:color="auto"/>
            </w:tcBorders>
            <w:shd w:val="clear" w:color="auto" w:fill="auto"/>
            <w:noWrap/>
            <w:vAlign w:val="center"/>
            <w:hideMark/>
          </w:tcPr>
          <w:p w14:paraId="24351276" w14:textId="77777777" w:rsidR="00A25C77" w:rsidRPr="00A25C77" w:rsidRDefault="00A25C77" w:rsidP="00A25C77">
            <w:pPr>
              <w:spacing w:after="0" w:line="240" w:lineRule="auto"/>
              <w:jc w:val="right"/>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 xml:space="preserve">     567.438 </w:t>
            </w:r>
          </w:p>
        </w:tc>
        <w:tc>
          <w:tcPr>
            <w:tcW w:w="569" w:type="pct"/>
            <w:tcBorders>
              <w:top w:val="nil"/>
              <w:left w:val="nil"/>
              <w:bottom w:val="single" w:sz="4" w:space="0" w:color="auto"/>
              <w:right w:val="single" w:sz="4" w:space="0" w:color="auto"/>
            </w:tcBorders>
            <w:shd w:val="clear" w:color="auto" w:fill="auto"/>
            <w:noWrap/>
            <w:vAlign w:val="center"/>
            <w:hideMark/>
          </w:tcPr>
          <w:p w14:paraId="2311FA22" w14:textId="77777777" w:rsidR="00A25C77" w:rsidRPr="00A25C77" w:rsidRDefault="00A25C77" w:rsidP="00A25C77">
            <w:pPr>
              <w:spacing w:after="0" w:line="240" w:lineRule="auto"/>
              <w:jc w:val="right"/>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 xml:space="preserve">     218.276 </w:t>
            </w:r>
          </w:p>
        </w:tc>
        <w:tc>
          <w:tcPr>
            <w:tcW w:w="533" w:type="pct"/>
            <w:tcBorders>
              <w:top w:val="nil"/>
              <w:left w:val="nil"/>
              <w:bottom w:val="single" w:sz="4" w:space="0" w:color="auto"/>
              <w:right w:val="single" w:sz="4" w:space="0" w:color="auto"/>
            </w:tcBorders>
            <w:shd w:val="clear" w:color="auto" w:fill="auto"/>
            <w:noWrap/>
            <w:vAlign w:val="center"/>
            <w:hideMark/>
          </w:tcPr>
          <w:p w14:paraId="03B5A5D9" w14:textId="77777777" w:rsidR="00A25C77" w:rsidRPr="00A25C77" w:rsidRDefault="00A25C77" w:rsidP="00A25C77">
            <w:pPr>
              <w:spacing w:after="0" w:line="240" w:lineRule="auto"/>
              <w:jc w:val="right"/>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 xml:space="preserve">   204.361 </w:t>
            </w:r>
          </w:p>
        </w:tc>
        <w:tc>
          <w:tcPr>
            <w:tcW w:w="533" w:type="pct"/>
            <w:tcBorders>
              <w:top w:val="nil"/>
              <w:left w:val="nil"/>
              <w:bottom w:val="single" w:sz="4" w:space="0" w:color="auto"/>
              <w:right w:val="single" w:sz="4" w:space="0" w:color="auto"/>
            </w:tcBorders>
            <w:shd w:val="clear" w:color="auto" w:fill="auto"/>
            <w:noWrap/>
            <w:vAlign w:val="center"/>
            <w:hideMark/>
          </w:tcPr>
          <w:p w14:paraId="6AA831D9" w14:textId="77777777" w:rsidR="00A25C77" w:rsidRPr="00A25C77" w:rsidRDefault="00A25C77" w:rsidP="00A25C77">
            <w:pPr>
              <w:spacing w:after="0" w:line="240" w:lineRule="auto"/>
              <w:jc w:val="right"/>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 xml:space="preserve">  384.260 </w:t>
            </w:r>
          </w:p>
        </w:tc>
        <w:tc>
          <w:tcPr>
            <w:tcW w:w="533" w:type="pct"/>
            <w:tcBorders>
              <w:top w:val="nil"/>
              <w:left w:val="nil"/>
              <w:bottom w:val="single" w:sz="4" w:space="0" w:color="auto"/>
              <w:right w:val="single" w:sz="4" w:space="0" w:color="auto"/>
            </w:tcBorders>
            <w:shd w:val="clear" w:color="auto" w:fill="auto"/>
            <w:noWrap/>
            <w:vAlign w:val="center"/>
            <w:hideMark/>
          </w:tcPr>
          <w:p w14:paraId="518D3EA1" w14:textId="77777777" w:rsidR="00A25C77" w:rsidRPr="00A25C77" w:rsidRDefault="00A25C77" w:rsidP="00A25C77">
            <w:pPr>
              <w:spacing w:after="0" w:line="240" w:lineRule="auto"/>
              <w:jc w:val="right"/>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 xml:space="preserve">  344.264 </w:t>
            </w:r>
          </w:p>
        </w:tc>
      </w:tr>
    </w:tbl>
    <w:p w14:paraId="0541F077" w14:textId="19993280" w:rsidR="00A25C77" w:rsidRDefault="00A25C77" w:rsidP="00A25C77">
      <w:pPr>
        <w:autoSpaceDE w:val="0"/>
        <w:autoSpaceDN w:val="0"/>
        <w:adjustRightInd w:val="0"/>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32.5.5 </w:t>
      </w:r>
      <w:r w:rsidRPr="00A25C77">
        <w:rPr>
          <w:rFonts w:ascii="Calibri" w:eastAsia="Times New Roman" w:hAnsi="Calibri" w:cs="Calibri"/>
          <w:b/>
          <w:bCs/>
          <w:iCs/>
          <w:color w:val="002060"/>
          <w:kern w:val="0"/>
          <w14:ligatures w14:val="none"/>
        </w:rPr>
        <w:t>Conciliação dos Ativos dos Planos</w:t>
      </w:r>
    </w:p>
    <w:tbl>
      <w:tblPr>
        <w:tblW w:w="5000" w:type="pct"/>
        <w:tblCellMar>
          <w:left w:w="70" w:type="dxa"/>
          <w:right w:w="70" w:type="dxa"/>
        </w:tblCellMar>
        <w:tblLook w:val="04A0" w:firstRow="1" w:lastRow="0" w:firstColumn="1" w:lastColumn="0" w:noHBand="0" w:noVBand="1"/>
      </w:tblPr>
      <w:tblGrid>
        <w:gridCol w:w="3539"/>
        <w:gridCol w:w="1081"/>
        <w:gridCol w:w="1047"/>
        <w:gridCol w:w="1061"/>
        <w:gridCol w:w="991"/>
        <w:gridCol w:w="1061"/>
        <w:gridCol w:w="991"/>
      </w:tblGrid>
      <w:tr w:rsidR="00A25C77" w:rsidRPr="00A25C77" w14:paraId="455BE70F" w14:textId="77777777" w:rsidTr="00446A14">
        <w:trPr>
          <w:trHeight w:val="238"/>
        </w:trPr>
        <w:tc>
          <w:tcPr>
            <w:tcW w:w="1811"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08E0DD55" w14:textId="77777777" w:rsidR="00A25C77" w:rsidRPr="00A25C77" w:rsidRDefault="00A25C77" w:rsidP="00A25C77">
            <w:pPr>
              <w:spacing w:after="0" w:line="240" w:lineRule="auto"/>
              <w:rPr>
                <w:rFonts w:ascii="Times New Roman" w:eastAsia="Times New Roman" w:hAnsi="Times New Roman" w:cs="Times New Roman"/>
                <w:b/>
                <w:bCs/>
                <w:color w:val="000000"/>
                <w:kern w:val="0"/>
                <w:sz w:val="20"/>
                <w:szCs w:val="20"/>
                <w:lang w:eastAsia="pt-BR"/>
                <w14:ligatures w14:val="none"/>
              </w:rPr>
            </w:pPr>
            <w:r w:rsidRPr="00A25C77">
              <w:rPr>
                <w:rFonts w:ascii="Arial" w:eastAsia="Times New Roman" w:hAnsi="Arial" w:cs="Arial"/>
                <w:b/>
                <w:bCs/>
                <w:color w:val="000000"/>
                <w:kern w:val="0"/>
                <w:sz w:val="18"/>
                <w:szCs w:val="18"/>
                <w:lang w:eastAsia="pt-BR"/>
                <w14:ligatures w14:val="none"/>
              </w:rPr>
              <w:lastRenderedPageBreak/>
              <w:t>Composição:</w:t>
            </w:r>
          </w:p>
        </w:tc>
        <w:tc>
          <w:tcPr>
            <w:tcW w:w="1089" w:type="pct"/>
            <w:gridSpan w:val="2"/>
            <w:tcBorders>
              <w:top w:val="single" w:sz="4" w:space="0" w:color="auto"/>
              <w:left w:val="nil"/>
              <w:bottom w:val="single" w:sz="4" w:space="0" w:color="auto"/>
              <w:right w:val="single" w:sz="4" w:space="0" w:color="auto"/>
            </w:tcBorders>
            <w:shd w:val="clear" w:color="auto" w:fill="auto"/>
            <w:vAlign w:val="center"/>
            <w:hideMark/>
          </w:tcPr>
          <w:p w14:paraId="3597C100"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PBS-A</w:t>
            </w:r>
          </w:p>
        </w:tc>
        <w:tc>
          <w:tcPr>
            <w:tcW w:w="1050" w:type="pct"/>
            <w:gridSpan w:val="2"/>
            <w:tcBorders>
              <w:top w:val="single" w:sz="4" w:space="0" w:color="auto"/>
              <w:left w:val="nil"/>
              <w:bottom w:val="single" w:sz="4" w:space="0" w:color="auto"/>
              <w:right w:val="single" w:sz="4" w:space="0" w:color="auto"/>
            </w:tcBorders>
            <w:shd w:val="clear" w:color="auto" w:fill="auto"/>
            <w:vAlign w:val="center"/>
            <w:hideMark/>
          </w:tcPr>
          <w:p w14:paraId="19D3DC8B"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PBS-Telebras</w:t>
            </w:r>
          </w:p>
        </w:tc>
        <w:tc>
          <w:tcPr>
            <w:tcW w:w="1050" w:type="pct"/>
            <w:gridSpan w:val="2"/>
            <w:tcBorders>
              <w:top w:val="single" w:sz="4" w:space="0" w:color="auto"/>
              <w:left w:val="nil"/>
              <w:bottom w:val="single" w:sz="4" w:space="0" w:color="auto"/>
              <w:right w:val="single" w:sz="4" w:space="0" w:color="auto"/>
            </w:tcBorders>
            <w:shd w:val="clear" w:color="auto" w:fill="auto"/>
            <w:vAlign w:val="center"/>
            <w:hideMark/>
          </w:tcPr>
          <w:p w14:paraId="6FC0752B"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Telebras PREV</w:t>
            </w:r>
          </w:p>
        </w:tc>
      </w:tr>
      <w:tr w:rsidR="00A25C77" w:rsidRPr="00A25C77" w14:paraId="500E7486" w14:textId="77777777" w:rsidTr="00446A14">
        <w:trPr>
          <w:trHeight w:val="238"/>
        </w:trPr>
        <w:tc>
          <w:tcPr>
            <w:tcW w:w="1811" w:type="pct"/>
            <w:vMerge/>
            <w:tcBorders>
              <w:top w:val="single" w:sz="4" w:space="0" w:color="auto"/>
              <w:left w:val="single" w:sz="4" w:space="0" w:color="auto"/>
              <w:bottom w:val="single" w:sz="4" w:space="0" w:color="auto"/>
              <w:right w:val="single" w:sz="4" w:space="0" w:color="auto"/>
            </w:tcBorders>
            <w:vAlign w:val="center"/>
            <w:hideMark/>
          </w:tcPr>
          <w:p w14:paraId="71BC0EC7" w14:textId="77777777" w:rsidR="00A25C77" w:rsidRPr="00A25C77" w:rsidRDefault="00A25C77" w:rsidP="00A25C77">
            <w:pPr>
              <w:spacing w:after="0" w:line="240" w:lineRule="auto"/>
              <w:rPr>
                <w:rFonts w:ascii="Times New Roman" w:eastAsia="Times New Roman" w:hAnsi="Times New Roman" w:cs="Times New Roman"/>
                <w:b/>
                <w:bCs/>
                <w:color w:val="000000"/>
                <w:kern w:val="0"/>
                <w:sz w:val="20"/>
                <w:szCs w:val="20"/>
                <w:lang w:eastAsia="pt-BR"/>
                <w14:ligatures w14:val="none"/>
              </w:rPr>
            </w:pPr>
          </w:p>
        </w:tc>
        <w:tc>
          <w:tcPr>
            <w:tcW w:w="553" w:type="pct"/>
            <w:tcBorders>
              <w:top w:val="nil"/>
              <w:left w:val="nil"/>
              <w:bottom w:val="single" w:sz="4" w:space="0" w:color="auto"/>
              <w:right w:val="single" w:sz="4" w:space="0" w:color="auto"/>
            </w:tcBorders>
            <w:shd w:val="clear" w:color="auto" w:fill="auto"/>
            <w:vAlign w:val="center"/>
            <w:hideMark/>
          </w:tcPr>
          <w:p w14:paraId="568FCA73"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31/12/2023</w:t>
            </w:r>
          </w:p>
        </w:tc>
        <w:tc>
          <w:tcPr>
            <w:tcW w:w="536" w:type="pct"/>
            <w:tcBorders>
              <w:top w:val="nil"/>
              <w:left w:val="nil"/>
              <w:bottom w:val="single" w:sz="4" w:space="0" w:color="auto"/>
              <w:right w:val="single" w:sz="4" w:space="0" w:color="auto"/>
            </w:tcBorders>
            <w:shd w:val="clear" w:color="auto" w:fill="auto"/>
            <w:vAlign w:val="center"/>
            <w:hideMark/>
          </w:tcPr>
          <w:p w14:paraId="655675D1"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31/12/2022</w:t>
            </w:r>
          </w:p>
        </w:tc>
        <w:tc>
          <w:tcPr>
            <w:tcW w:w="543" w:type="pct"/>
            <w:tcBorders>
              <w:top w:val="nil"/>
              <w:left w:val="nil"/>
              <w:bottom w:val="single" w:sz="4" w:space="0" w:color="auto"/>
              <w:right w:val="single" w:sz="4" w:space="0" w:color="auto"/>
            </w:tcBorders>
            <w:shd w:val="clear" w:color="auto" w:fill="auto"/>
            <w:vAlign w:val="center"/>
            <w:hideMark/>
          </w:tcPr>
          <w:p w14:paraId="40F2BD2D"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31/12/2023</w:t>
            </w:r>
          </w:p>
        </w:tc>
        <w:tc>
          <w:tcPr>
            <w:tcW w:w="507" w:type="pct"/>
            <w:tcBorders>
              <w:top w:val="nil"/>
              <w:left w:val="nil"/>
              <w:bottom w:val="single" w:sz="4" w:space="0" w:color="auto"/>
              <w:right w:val="single" w:sz="4" w:space="0" w:color="auto"/>
            </w:tcBorders>
            <w:shd w:val="clear" w:color="auto" w:fill="auto"/>
            <w:vAlign w:val="center"/>
            <w:hideMark/>
          </w:tcPr>
          <w:p w14:paraId="3B50308E"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31/12/2022</w:t>
            </w:r>
          </w:p>
        </w:tc>
        <w:tc>
          <w:tcPr>
            <w:tcW w:w="543" w:type="pct"/>
            <w:tcBorders>
              <w:top w:val="nil"/>
              <w:left w:val="nil"/>
              <w:bottom w:val="single" w:sz="4" w:space="0" w:color="auto"/>
              <w:right w:val="single" w:sz="4" w:space="0" w:color="auto"/>
            </w:tcBorders>
            <w:shd w:val="clear" w:color="auto" w:fill="auto"/>
            <w:vAlign w:val="center"/>
            <w:hideMark/>
          </w:tcPr>
          <w:p w14:paraId="0E637CD3"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31/12/2023</w:t>
            </w:r>
          </w:p>
        </w:tc>
        <w:tc>
          <w:tcPr>
            <w:tcW w:w="507" w:type="pct"/>
            <w:tcBorders>
              <w:top w:val="nil"/>
              <w:left w:val="nil"/>
              <w:bottom w:val="single" w:sz="4" w:space="0" w:color="auto"/>
              <w:right w:val="single" w:sz="4" w:space="0" w:color="auto"/>
            </w:tcBorders>
            <w:shd w:val="clear" w:color="auto" w:fill="auto"/>
            <w:vAlign w:val="center"/>
            <w:hideMark/>
          </w:tcPr>
          <w:p w14:paraId="19B857D6"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31/12/2022</w:t>
            </w:r>
          </w:p>
        </w:tc>
      </w:tr>
      <w:tr w:rsidR="00A25C77" w:rsidRPr="00A25C77" w14:paraId="74B4A239" w14:textId="77777777" w:rsidTr="00446A14">
        <w:trPr>
          <w:trHeight w:val="238"/>
        </w:trPr>
        <w:tc>
          <w:tcPr>
            <w:tcW w:w="1811" w:type="pct"/>
            <w:tcBorders>
              <w:top w:val="nil"/>
              <w:left w:val="single" w:sz="4" w:space="0" w:color="auto"/>
              <w:bottom w:val="single" w:sz="4" w:space="0" w:color="auto"/>
              <w:right w:val="single" w:sz="4" w:space="0" w:color="auto"/>
            </w:tcBorders>
            <w:shd w:val="clear" w:color="auto" w:fill="auto"/>
            <w:vAlign w:val="center"/>
            <w:hideMark/>
          </w:tcPr>
          <w:p w14:paraId="559912F8" w14:textId="77777777" w:rsidR="00A25C77" w:rsidRPr="00A25C77" w:rsidRDefault="00A25C77" w:rsidP="00A25C77">
            <w:pPr>
              <w:spacing w:after="0" w:line="240" w:lineRule="auto"/>
              <w:rPr>
                <w:rFonts w:ascii="Arial" w:eastAsia="Times New Roman" w:hAnsi="Arial" w:cs="Arial"/>
                <w:color w:val="000000"/>
                <w:kern w:val="0"/>
                <w:sz w:val="18"/>
                <w:szCs w:val="20"/>
                <w:lang w:eastAsia="pt-BR"/>
                <w14:ligatures w14:val="none"/>
              </w:rPr>
            </w:pPr>
            <w:r w:rsidRPr="00A25C77">
              <w:rPr>
                <w:rFonts w:ascii="Arial" w:eastAsia="Times New Roman" w:hAnsi="Arial" w:cs="Arial"/>
                <w:color w:val="000000"/>
                <w:kern w:val="0"/>
                <w:sz w:val="18"/>
                <w:szCs w:val="20"/>
                <w:lang w:eastAsia="pt-BR"/>
                <w14:ligatures w14:val="none"/>
              </w:rPr>
              <w:t>1. Valor justo dos ativos do plano</w:t>
            </w:r>
          </w:p>
        </w:tc>
        <w:tc>
          <w:tcPr>
            <w:tcW w:w="553" w:type="pct"/>
            <w:tcBorders>
              <w:top w:val="nil"/>
              <w:left w:val="nil"/>
              <w:bottom w:val="single" w:sz="4" w:space="0" w:color="auto"/>
              <w:right w:val="single" w:sz="4" w:space="0" w:color="auto"/>
            </w:tcBorders>
            <w:shd w:val="clear" w:color="auto" w:fill="auto"/>
            <w:noWrap/>
            <w:vAlign w:val="bottom"/>
            <w:hideMark/>
          </w:tcPr>
          <w:p w14:paraId="6C798936" w14:textId="77777777" w:rsidR="00A25C77" w:rsidRPr="00A25C77" w:rsidRDefault="00A25C77" w:rsidP="00A25C77">
            <w:pPr>
              <w:spacing w:after="0" w:line="240" w:lineRule="auto"/>
              <w:jc w:val="right"/>
              <w:rPr>
                <w:rFonts w:ascii="Arial" w:eastAsia="Times New Roman" w:hAnsi="Arial" w:cs="Arial"/>
                <w:color w:val="000000"/>
                <w:kern w:val="0"/>
                <w:sz w:val="18"/>
                <w:szCs w:val="20"/>
                <w:lang w:eastAsia="pt-BR"/>
                <w14:ligatures w14:val="none"/>
              </w:rPr>
            </w:pPr>
            <w:r w:rsidRPr="00A25C77">
              <w:rPr>
                <w:rFonts w:ascii="Arial" w:eastAsia="Times New Roman" w:hAnsi="Arial" w:cs="Arial"/>
                <w:color w:val="000000"/>
                <w:kern w:val="0"/>
                <w:sz w:val="18"/>
                <w:szCs w:val="20"/>
                <w:lang w:eastAsia="pt-BR"/>
                <w14:ligatures w14:val="none"/>
              </w:rPr>
              <w:t xml:space="preserve">    648.500 </w:t>
            </w:r>
          </w:p>
        </w:tc>
        <w:tc>
          <w:tcPr>
            <w:tcW w:w="536" w:type="pct"/>
            <w:tcBorders>
              <w:top w:val="nil"/>
              <w:left w:val="nil"/>
              <w:bottom w:val="single" w:sz="4" w:space="0" w:color="auto"/>
              <w:right w:val="single" w:sz="4" w:space="0" w:color="auto"/>
            </w:tcBorders>
            <w:shd w:val="clear" w:color="auto" w:fill="auto"/>
            <w:vAlign w:val="bottom"/>
            <w:hideMark/>
          </w:tcPr>
          <w:p w14:paraId="0D91C3A6" w14:textId="77777777" w:rsidR="00A25C77" w:rsidRPr="00A25C77" w:rsidRDefault="00A25C77" w:rsidP="00A25C77">
            <w:pPr>
              <w:spacing w:after="0" w:line="240" w:lineRule="auto"/>
              <w:jc w:val="right"/>
              <w:rPr>
                <w:rFonts w:ascii="Arial" w:eastAsia="Times New Roman" w:hAnsi="Arial" w:cs="Arial"/>
                <w:color w:val="000000"/>
                <w:kern w:val="0"/>
                <w:sz w:val="18"/>
                <w:szCs w:val="20"/>
                <w:lang w:eastAsia="pt-BR"/>
                <w14:ligatures w14:val="none"/>
              </w:rPr>
            </w:pPr>
            <w:r w:rsidRPr="00A25C77">
              <w:rPr>
                <w:rFonts w:ascii="Arial" w:eastAsia="Times New Roman" w:hAnsi="Arial" w:cs="Arial"/>
                <w:color w:val="000000"/>
                <w:kern w:val="0"/>
                <w:sz w:val="18"/>
                <w:szCs w:val="20"/>
                <w:lang w:eastAsia="pt-BR"/>
                <w14:ligatures w14:val="none"/>
              </w:rPr>
              <w:t xml:space="preserve">     977.883 </w:t>
            </w:r>
          </w:p>
        </w:tc>
        <w:tc>
          <w:tcPr>
            <w:tcW w:w="543" w:type="pct"/>
            <w:tcBorders>
              <w:top w:val="nil"/>
              <w:left w:val="nil"/>
              <w:bottom w:val="single" w:sz="4" w:space="0" w:color="auto"/>
              <w:right w:val="single" w:sz="4" w:space="0" w:color="auto"/>
            </w:tcBorders>
            <w:shd w:val="clear" w:color="auto" w:fill="auto"/>
            <w:noWrap/>
            <w:vAlign w:val="bottom"/>
            <w:hideMark/>
          </w:tcPr>
          <w:p w14:paraId="2C0B617E" w14:textId="77777777" w:rsidR="00A25C77" w:rsidRPr="00A25C77" w:rsidRDefault="00A25C77" w:rsidP="00A25C77">
            <w:pPr>
              <w:spacing w:after="0" w:line="240" w:lineRule="auto"/>
              <w:jc w:val="right"/>
              <w:rPr>
                <w:rFonts w:ascii="Arial" w:eastAsia="Times New Roman" w:hAnsi="Arial" w:cs="Arial"/>
                <w:color w:val="000000"/>
                <w:kern w:val="0"/>
                <w:sz w:val="18"/>
                <w:szCs w:val="20"/>
                <w:lang w:eastAsia="pt-BR"/>
                <w14:ligatures w14:val="none"/>
              </w:rPr>
            </w:pPr>
            <w:r w:rsidRPr="00A25C77">
              <w:rPr>
                <w:rFonts w:ascii="Arial" w:eastAsia="Times New Roman" w:hAnsi="Arial" w:cs="Arial"/>
                <w:color w:val="000000"/>
                <w:kern w:val="0"/>
                <w:sz w:val="18"/>
                <w:szCs w:val="20"/>
                <w:lang w:eastAsia="pt-BR"/>
                <w14:ligatures w14:val="none"/>
              </w:rPr>
              <w:t xml:space="preserve">    267.604 </w:t>
            </w:r>
          </w:p>
        </w:tc>
        <w:tc>
          <w:tcPr>
            <w:tcW w:w="507" w:type="pct"/>
            <w:tcBorders>
              <w:top w:val="nil"/>
              <w:left w:val="nil"/>
              <w:bottom w:val="single" w:sz="4" w:space="0" w:color="auto"/>
              <w:right w:val="single" w:sz="4" w:space="0" w:color="auto"/>
            </w:tcBorders>
            <w:shd w:val="clear" w:color="auto" w:fill="auto"/>
            <w:vAlign w:val="bottom"/>
            <w:hideMark/>
          </w:tcPr>
          <w:p w14:paraId="4BA7DC5D" w14:textId="77777777" w:rsidR="00A25C77" w:rsidRPr="00A25C77" w:rsidRDefault="00A25C77" w:rsidP="00A25C77">
            <w:pPr>
              <w:spacing w:after="0" w:line="240" w:lineRule="auto"/>
              <w:jc w:val="right"/>
              <w:rPr>
                <w:rFonts w:ascii="Arial" w:eastAsia="Times New Roman" w:hAnsi="Arial" w:cs="Arial"/>
                <w:color w:val="000000"/>
                <w:kern w:val="0"/>
                <w:sz w:val="18"/>
                <w:szCs w:val="20"/>
                <w:lang w:eastAsia="pt-BR"/>
                <w14:ligatures w14:val="none"/>
              </w:rPr>
            </w:pPr>
            <w:r w:rsidRPr="00A25C77">
              <w:rPr>
                <w:rFonts w:ascii="Arial" w:eastAsia="Times New Roman" w:hAnsi="Arial" w:cs="Arial"/>
                <w:color w:val="000000"/>
                <w:kern w:val="0"/>
                <w:sz w:val="18"/>
                <w:szCs w:val="20"/>
                <w:lang w:eastAsia="pt-BR"/>
                <w14:ligatures w14:val="none"/>
              </w:rPr>
              <w:t xml:space="preserve">    266.963 </w:t>
            </w:r>
          </w:p>
        </w:tc>
        <w:tc>
          <w:tcPr>
            <w:tcW w:w="543" w:type="pct"/>
            <w:tcBorders>
              <w:top w:val="nil"/>
              <w:left w:val="nil"/>
              <w:bottom w:val="single" w:sz="4" w:space="0" w:color="auto"/>
              <w:right w:val="single" w:sz="4" w:space="0" w:color="auto"/>
            </w:tcBorders>
            <w:shd w:val="clear" w:color="auto" w:fill="auto"/>
            <w:noWrap/>
            <w:vAlign w:val="bottom"/>
            <w:hideMark/>
          </w:tcPr>
          <w:p w14:paraId="01BDC178" w14:textId="77777777" w:rsidR="00A25C77" w:rsidRPr="00A25C77" w:rsidRDefault="00A25C77" w:rsidP="00A25C77">
            <w:pPr>
              <w:spacing w:after="0" w:line="240" w:lineRule="auto"/>
              <w:jc w:val="right"/>
              <w:rPr>
                <w:rFonts w:ascii="Arial" w:eastAsia="Times New Roman" w:hAnsi="Arial" w:cs="Arial"/>
                <w:color w:val="000000"/>
                <w:kern w:val="0"/>
                <w:sz w:val="18"/>
                <w:szCs w:val="20"/>
                <w:lang w:eastAsia="pt-BR"/>
                <w14:ligatures w14:val="none"/>
              </w:rPr>
            </w:pPr>
            <w:r w:rsidRPr="00A25C77">
              <w:rPr>
                <w:rFonts w:ascii="Arial" w:eastAsia="Times New Roman" w:hAnsi="Arial" w:cs="Arial"/>
                <w:color w:val="000000"/>
                <w:kern w:val="0"/>
                <w:sz w:val="18"/>
                <w:szCs w:val="20"/>
                <w:lang w:eastAsia="pt-BR"/>
                <w14:ligatures w14:val="none"/>
              </w:rPr>
              <w:t xml:space="preserve">    344.317 </w:t>
            </w:r>
          </w:p>
        </w:tc>
        <w:tc>
          <w:tcPr>
            <w:tcW w:w="507" w:type="pct"/>
            <w:tcBorders>
              <w:top w:val="nil"/>
              <w:left w:val="nil"/>
              <w:bottom w:val="single" w:sz="4" w:space="0" w:color="auto"/>
              <w:right w:val="single" w:sz="4" w:space="0" w:color="auto"/>
            </w:tcBorders>
            <w:shd w:val="clear" w:color="auto" w:fill="auto"/>
            <w:vAlign w:val="bottom"/>
            <w:hideMark/>
          </w:tcPr>
          <w:p w14:paraId="67B3B85C" w14:textId="77777777" w:rsidR="00A25C77" w:rsidRPr="00A25C77" w:rsidRDefault="00A25C77" w:rsidP="00A25C77">
            <w:pPr>
              <w:spacing w:after="0" w:line="240" w:lineRule="auto"/>
              <w:jc w:val="right"/>
              <w:rPr>
                <w:rFonts w:ascii="Arial" w:eastAsia="Times New Roman" w:hAnsi="Arial" w:cs="Arial"/>
                <w:color w:val="000000"/>
                <w:kern w:val="0"/>
                <w:sz w:val="18"/>
                <w:szCs w:val="20"/>
                <w:lang w:eastAsia="pt-BR"/>
                <w14:ligatures w14:val="none"/>
              </w:rPr>
            </w:pPr>
            <w:r w:rsidRPr="00A25C77">
              <w:rPr>
                <w:rFonts w:ascii="Arial" w:eastAsia="Times New Roman" w:hAnsi="Arial" w:cs="Arial"/>
                <w:color w:val="000000"/>
                <w:kern w:val="0"/>
                <w:sz w:val="18"/>
                <w:szCs w:val="20"/>
                <w:lang w:eastAsia="pt-BR"/>
                <w14:ligatures w14:val="none"/>
              </w:rPr>
              <w:t xml:space="preserve">    346.190 </w:t>
            </w:r>
          </w:p>
        </w:tc>
      </w:tr>
      <w:tr w:rsidR="00A25C77" w:rsidRPr="00A25C77" w14:paraId="0E6BB7FC" w14:textId="77777777" w:rsidTr="00446A14">
        <w:trPr>
          <w:trHeight w:val="238"/>
        </w:trPr>
        <w:tc>
          <w:tcPr>
            <w:tcW w:w="1811" w:type="pct"/>
            <w:tcBorders>
              <w:top w:val="nil"/>
              <w:left w:val="single" w:sz="4" w:space="0" w:color="auto"/>
              <w:bottom w:val="single" w:sz="4" w:space="0" w:color="auto"/>
              <w:right w:val="single" w:sz="4" w:space="0" w:color="auto"/>
            </w:tcBorders>
            <w:shd w:val="clear" w:color="auto" w:fill="auto"/>
            <w:vAlign w:val="center"/>
            <w:hideMark/>
          </w:tcPr>
          <w:p w14:paraId="50C05EC4" w14:textId="77777777" w:rsidR="00A25C77" w:rsidRPr="00A25C77" w:rsidRDefault="00A25C77" w:rsidP="00A25C77">
            <w:pPr>
              <w:spacing w:after="0" w:line="240" w:lineRule="auto"/>
              <w:rPr>
                <w:rFonts w:ascii="Arial" w:eastAsia="Times New Roman" w:hAnsi="Arial" w:cs="Arial"/>
                <w:color w:val="000000"/>
                <w:kern w:val="0"/>
                <w:sz w:val="18"/>
                <w:szCs w:val="20"/>
                <w:lang w:eastAsia="pt-BR"/>
                <w14:ligatures w14:val="none"/>
              </w:rPr>
            </w:pPr>
            <w:r w:rsidRPr="00A25C77">
              <w:rPr>
                <w:rFonts w:ascii="Arial" w:eastAsia="Times New Roman" w:hAnsi="Arial" w:cs="Arial"/>
                <w:color w:val="000000"/>
                <w:kern w:val="0"/>
                <w:sz w:val="18"/>
                <w:szCs w:val="20"/>
                <w:lang w:eastAsia="pt-BR"/>
                <w14:ligatures w14:val="none"/>
              </w:rPr>
              <w:t>2. Rendimento esperado dos ativos do plano</w:t>
            </w:r>
          </w:p>
        </w:tc>
        <w:tc>
          <w:tcPr>
            <w:tcW w:w="553" w:type="pct"/>
            <w:tcBorders>
              <w:top w:val="nil"/>
              <w:left w:val="nil"/>
              <w:bottom w:val="single" w:sz="4" w:space="0" w:color="auto"/>
              <w:right w:val="single" w:sz="4" w:space="0" w:color="auto"/>
            </w:tcBorders>
            <w:shd w:val="clear" w:color="auto" w:fill="auto"/>
            <w:noWrap/>
            <w:vAlign w:val="bottom"/>
            <w:hideMark/>
          </w:tcPr>
          <w:p w14:paraId="7F005AFE" w14:textId="77777777" w:rsidR="00A25C77" w:rsidRPr="00A25C77" w:rsidRDefault="00A25C77" w:rsidP="00A25C77">
            <w:pPr>
              <w:spacing w:after="0" w:line="240" w:lineRule="auto"/>
              <w:jc w:val="right"/>
              <w:rPr>
                <w:rFonts w:ascii="Arial" w:eastAsia="Times New Roman" w:hAnsi="Arial" w:cs="Arial"/>
                <w:color w:val="000000"/>
                <w:kern w:val="0"/>
                <w:sz w:val="18"/>
                <w:szCs w:val="20"/>
                <w:lang w:eastAsia="pt-BR"/>
                <w14:ligatures w14:val="none"/>
              </w:rPr>
            </w:pPr>
            <w:r w:rsidRPr="00A25C77">
              <w:rPr>
                <w:rFonts w:ascii="Arial" w:eastAsia="Times New Roman" w:hAnsi="Arial" w:cs="Arial"/>
                <w:color w:val="000000"/>
                <w:kern w:val="0"/>
                <w:sz w:val="18"/>
                <w:szCs w:val="20"/>
                <w:lang w:eastAsia="pt-BR"/>
                <w14:ligatures w14:val="none"/>
              </w:rPr>
              <w:t xml:space="preserve">      61.586 </w:t>
            </w:r>
          </w:p>
        </w:tc>
        <w:tc>
          <w:tcPr>
            <w:tcW w:w="536" w:type="pct"/>
            <w:tcBorders>
              <w:top w:val="nil"/>
              <w:left w:val="nil"/>
              <w:bottom w:val="single" w:sz="4" w:space="0" w:color="auto"/>
              <w:right w:val="single" w:sz="4" w:space="0" w:color="auto"/>
            </w:tcBorders>
            <w:shd w:val="clear" w:color="auto" w:fill="auto"/>
            <w:vAlign w:val="bottom"/>
            <w:hideMark/>
          </w:tcPr>
          <w:p w14:paraId="4BAFC1A7" w14:textId="77777777" w:rsidR="00A25C77" w:rsidRPr="00A25C77" w:rsidRDefault="00A25C77" w:rsidP="00A25C77">
            <w:pPr>
              <w:spacing w:after="0" w:line="240" w:lineRule="auto"/>
              <w:jc w:val="right"/>
              <w:rPr>
                <w:rFonts w:ascii="Arial" w:eastAsia="Times New Roman" w:hAnsi="Arial" w:cs="Arial"/>
                <w:color w:val="000000"/>
                <w:kern w:val="0"/>
                <w:sz w:val="18"/>
                <w:szCs w:val="20"/>
                <w:lang w:eastAsia="pt-BR"/>
                <w14:ligatures w14:val="none"/>
              </w:rPr>
            </w:pPr>
            <w:r w:rsidRPr="00A25C77">
              <w:rPr>
                <w:rFonts w:ascii="Arial" w:eastAsia="Times New Roman" w:hAnsi="Arial" w:cs="Arial"/>
                <w:color w:val="000000"/>
                <w:kern w:val="0"/>
                <w:sz w:val="18"/>
                <w:szCs w:val="20"/>
                <w:lang w:eastAsia="pt-BR"/>
                <w14:ligatures w14:val="none"/>
              </w:rPr>
              <w:t xml:space="preserve">       53.880 </w:t>
            </w:r>
          </w:p>
        </w:tc>
        <w:tc>
          <w:tcPr>
            <w:tcW w:w="543" w:type="pct"/>
            <w:tcBorders>
              <w:top w:val="nil"/>
              <w:left w:val="nil"/>
              <w:bottom w:val="single" w:sz="4" w:space="0" w:color="auto"/>
              <w:right w:val="single" w:sz="4" w:space="0" w:color="auto"/>
            </w:tcBorders>
            <w:shd w:val="clear" w:color="auto" w:fill="auto"/>
            <w:noWrap/>
            <w:vAlign w:val="bottom"/>
            <w:hideMark/>
          </w:tcPr>
          <w:p w14:paraId="30A4F56A" w14:textId="77777777" w:rsidR="00A25C77" w:rsidRPr="00A25C77" w:rsidRDefault="00A25C77" w:rsidP="00A25C77">
            <w:pPr>
              <w:spacing w:after="0" w:line="240" w:lineRule="auto"/>
              <w:jc w:val="right"/>
              <w:rPr>
                <w:rFonts w:ascii="Arial" w:eastAsia="Times New Roman" w:hAnsi="Arial" w:cs="Arial"/>
                <w:color w:val="000000"/>
                <w:kern w:val="0"/>
                <w:sz w:val="18"/>
                <w:szCs w:val="20"/>
                <w:lang w:eastAsia="pt-BR"/>
                <w14:ligatures w14:val="none"/>
              </w:rPr>
            </w:pPr>
            <w:r w:rsidRPr="00A25C77">
              <w:rPr>
                <w:rFonts w:ascii="Arial" w:eastAsia="Times New Roman" w:hAnsi="Arial" w:cs="Arial"/>
                <w:color w:val="000000"/>
                <w:kern w:val="0"/>
                <w:sz w:val="18"/>
                <w:szCs w:val="20"/>
                <w:lang w:eastAsia="pt-BR"/>
                <w14:ligatures w14:val="none"/>
              </w:rPr>
              <w:t xml:space="preserve">      25.413 </w:t>
            </w:r>
          </w:p>
        </w:tc>
        <w:tc>
          <w:tcPr>
            <w:tcW w:w="507" w:type="pct"/>
            <w:tcBorders>
              <w:top w:val="nil"/>
              <w:left w:val="nil"/>
              <w:bottom w:val="single" w:sz="4" w:space="0" w:color="auto"/>
              <w:right w:val="single" w:sz="4" w:space="0" w:color="auto"/>
            </w:tcBorders>
            <w:shd w:val="clear" w:color="auto" w:fill="auto"/>
            <w:vAlign w:val="bottom"/>
            <w:hideMark/>
          </w:tcPr>
          <w:p w14:paraId="4367C3DE" w14:textId="77777777" w:rsidR="00A25C77" w:rsidRPr="00A25C77" w:rsidRDefault="00A25C77" w:rsidP="00A25C77">
            <w:pPr>
              <w:spacing w:after="0" w:line="240" w:lineRule="auto"/>
              <w:jc w:val="right"/>
              <w:rPr>
                <w:rFonts w:ascii="Arial" w:eastAsia="Times New Roman" w:hAnsi="Arial" w:cs="Arial"/>
                <w:color w:val="000000"/>
                <w:kern w:val="0"/>
                <w:sz w:val="18"/>
                <w:szCs w:val="20"/>
                <w:lang w:eastAsia="pt-BR"/>
                <w14:ligatures w14:val="none"/>
              </w:rPr>
            </w:pPr>
            <w:r w:rsidRPr="00A25C77">
              <w:rPr>
                <w:rFonts w:ascii="Arial" w:eastAsia="Times New Roman" w:hAnsi="Arial" w:cs="Arial"/>
                <w:color w:val="000000"/>
                <w:kern w:val="0"/>
                <w:sz w:val="18"/>
                <w:szCs w:val="20"/>
                <w:lang w:eastAsia="pt-BR"/>
                <w14:ligatures w14:val="none"/>
              </w:rPr>
              <w:t xml:space="preserve">      14.710 </w:t>
            </w:r>
          </w:p>
        </w:tc>
        <w:tc>
          <w:tcPr>
            <w:tcW w:w="543" w:type="pct"/>
            <w:tcBorders>
              <w:top w:val="nil"/>
              <w:left w:val="nil"/>
              <w:bottom w:val="single" w:sz="4" w:space="0" w:color="auto"/>
              <w:right w:val="single" w:sz="4" w:space="0" w:color="auto"/>
            </w:tcBorders>
            <w:shd w:val="clear" w:color="auto" w:fill="auto"/>
            <w:noWrap/>
            <w:vAlign w:val="bottom"/>
            <w:hideMark/>
          </w:tcPr>
          <w:p w14:paraId="7ED1E5C0" w14:textId="77777777" w:rsidR="00A25C77" w:rsidRPr="00A25C77" w:rsidRDefault="00A25C77" w:rsidP="00A25C77">
            <w:pPr>
              <w:spacing w:after="0" w:line="240" w:lineRule="auto"/>
              <w:jc w:val="right"/>
              <w:rPr>
                <w:rFonts w:ascii="Arial" w:eastAsia="Times New Roman" w:hAnsi="Arial" w:cs="Arial"/>
                <w:color w:val="000000"/>
                <w:kern w:val="0"/>
                <w:sz w:val="18"/>
                <w:szCs w:val="20"/>
                <w:lang w:eastAsia="pt-BR"/>
                <w14:ligatures w14:val="none"/>
              </w:rPr>
            </w:pPr>
            <w:r w:rsidRPr="00A25C77">
              <w:rPr>
                <w:rFonts w:ascii="Arial" w:eastAsia="Times New Roman" w:hAnsi="Arial" w:cs="Arial"/>
                <w:color w:val="000000"/>
                <w:kern w:val="0"/>
                <w:sz w:val="18"/>
                <w:szCs w:val="20"/>
                <w:lang w:eastAsia="pt-BR"/>
                <w14:ligatures w14:val="none"/>
              </w:rPr>
              <w:t xml:space="preserve">      31.717 </w:t>
            </w:r>
          </w:p>
        </w:tc>
        <w:tc>
          <w:tcPr>
            <w:tcW w:w="507" w:type="pct"/>
            <w:tcBorders>
              <w:top w:val="nil"/>
              <w:left w:val="nil"/>
              <w:bottom w:val="single" w:sz="4" w:space="0" w:color="auto"/>
              <w:right w:val="single" w:sz="4" w:space="0" w:color="auto"/>
            </w:tcBorders>
            <w:shd w:val="clear" w:color="auto" w:fill="auto"/>
            <w:vAlign w:val="bottom"/>
            <w:hideMark/>
          </w:tcPr>
          <w:p w14:paraId="5567E93D" w14:textId="77777777" w:rsidR="00A25C77" w:rsidRPr="00A25C77" w:rsidRDefault="00A25C77" w:rsidP="00A25C77">
            <w:pPr>
              <w:spacing w:after="0" w:line="240" w:lineRule="auto"/>
              <w:jc w:val="right"/>
              <w:rPr>
                <w:rFonts w:ascii="Arial" w:eastAsia="Times New Roman" w:hAnsi="Arial" w:cs="Arial"/>
                <w:color w:val="000000"/>
                <w:kern w:val="0"/>
                <w:sz w:val="18"/>
                <w:szCs w:val="20"/>
                <w:lang w:eastAsia="pt-BR"/>
                <w14:ligatures w14:val="none"/>
              </w:rPr>
            </w:pPr>
            <w:r w:rsidRPr="00A25C77">
              <w:rPr>
                <w:rFonts w:ascii="Arial" w:eastAsia="Times New Roman" w:hAnsi="Arial" w:cs="Arial"/>
                <w:color w:val="000000"/>
                <w:kern w:val="0"/>
                <w:sz w:val="18"/>
                <w:szCs w:val="20"/>
                <w:lang w:eastAsia="pt-BR"/>
                <w14:ligatures w14:val="none"/>
              </w:rPr>
              <w:t xml:space="preserve">      19.075 </w:t>
            </w:r>
          </w:p>
        </w:tc>
      </w:tr>
      <w:tr w:rsidR="00A25C77" w:rsidRPr="00A25C77" w14:paraId="21DF9ED2" w14:textId="77777777" w:rsidTr="00446A14">
        <w:trPr>
          <w:trHeight w:val="238"/>
        </w:trPr>
        <w:tc>
          <w:tcPr>
            <w:tcW w:w="1811" w:type="pct"/>
            <w:tcBorders>
              <w:top w:val="nil"/>
              <w:left w:val="single" w:sz="4" w:space="0" w:color="auto"/>
              <w:bottom w:val="single" w:sz="4" w:space="0" w:color="auto"/>
              <w:right w:val="single" w:sz="4" w:space="0" w:color="auto"/>
            </w:tcBorders>
            <w:shd w:val="clear" w:color="auto" w:fill="auto"/>
            <w:vAlign w:val="center"/>
            <w:hideMark/>
          </w:tcPr>
          <w:p w14:paraId="557DE476" w14:textId="77777777" w:rsidR="00A25C77" w:rsidRPr="00A25C77" w:rsidRDefault="00A25C77" w:rsidP="00A25C77">
            <w:pPr>
              <w:spacing w:after="0" w:line="240" w:lineRule="auto"/>
              <w:rPr>
                <w:rFonts w:ascii="Arial" w:eastAsia="Times New Roman" w:hAnsi="Arial" w:cs="Arial"/>
                <w:color w:val="000000"/>
                <w:kern w:val="0"/>
                <w:sz w:val="18"/>
                <w:szCs w:val="20"/>
                <w:lang w:eastAsia="pt-BR"/>
                <w14:ligatures w14:val="none"/>
              </w:rPr>
            </w:pPr>
            <w:r w:rsidRPr="00A25C77">
              <w:rPr>
                <w:rFonts w:ascii="Arial" w:eastAsia="Times New Roman" w:hAnsi="Arial" w:cs="Arial"/>
                <w:color w:val="000000"/>
                <w:kern w:val="0"/>
                <w:sz w:val="18"/>
                <w:szCs w:val="20"/>
                <w:lang w:eastAsia="pt-BR"/>
                <w14:ligatures w14:val="none"/>
              </w:rPr>
              <w:t>3. Contribuições recebidas pelo fundo</w:t>
            </w:r>
          </w:p>
        </w:tc>
        <w:tc>
          <w:tcPr>
            <w:tcW w:w="553" w:type="pct"/>
            <w:tcBorders>
              <w:top w:val="nil"/>
              <w:left w:val="nil"/>
              <w:bottom w:val="single" w:sz="4" w:space="0" w:color="auto"/>
              <w:right w:val="single" w:sz="4" w:space="0" w:color="auto"/>
            </w:tcBorders>
            <w:shd w:val="clear" w:color="auto" w:fill="auto"/>
            <w:noWrap/>
            <w:vAlign w:val="bottom"/>
            <w:hideMark/>
          </w:tcPr>
          <w:p w14:paraId="59B25942" w14:textId="77777777" w:rsidR="00A25C77" w:rsidRPr="00A25C77" w:rsidRDefault="00A25C77" w:rsidP="00A25C77">
            <w:pPr>
              <w:spacing w:after="0" w:line="240" w:lineRule="auto"/>
              <w:jc w:val="right"/>
              <w:rPr>
                <w:rFonts w:ascii="Arial" w:eastAsia="Times New Roman" w:hAnsi="Arial" w:cs="Arial"/>
                <w:color w:val="000000"/>
                <w:kern w:val="0"/>
                <w:sz w:val="18"/>
                <w:szCs w:val="20"/>
                <w:lang w:eastAsia="pt-BR"/>
                <w14:ligatures w14:val="none"/>
              </w:rPr>
            </w:pPr>
            <w:r w:rsidRPr="00A25C77">
              <w:rPr>
                <w:rFonts w:ascii="Arial" w:eastAsia="Times New Roman" w:hAnsi="Arial" w:cs="Arial"/>
                <w:color w:val="000000"/>
                <w:kern w:val="0"/>
                <w:sz w:val="18"/>
                <w:szCs w:val="20"/>
                <w:lang w:eastAsia="pt-BR"/>
                <w14:ligatures w14:val="none"/>
              </w:rPr>
              <w:t xml:space="preserve">              -   </w:t>
            </w:r>
          </w:p>
        </w:tc>
        <w:tc>
          <w:tcPr>
            <w:tcW w:w="536" w:type="pct"/>
            <w:tcBorders>
              <w:top w:val="nil"/>
              <w:left w:val="nil"/>
              <w:bottom w:val="single" w:sz="4" w:space="0" w:color="auto"/>
              <w:right w:val="single" w:sz="4" w:space="0" w:color="auto"/>
            </w:tcBorders>
            <w:shd w:val="clear" w:color="auto" w:fill="auto"/>
            <w:vAlign w:val="bottom"/>
            <w:hideMark/>
          </w:tcPr>
          <w:p w14:paraId="2A172360" w14:textId="77777777" w:rsidR="00A25C77" w:rsidRPr="00A25C77" w:rsidRDefault="00A25C77" w:rsidP="00A25C77">
            <w:pPr>
              <w:spacing w:after="0" w:line="240" w:lineRule="auto"/>
              <w:jc w:val="right"/>
              <w:rPr>
                <w:rFonts w:ascii="Arial" w:eastAsia="Times New Roman" w:hAnsi="Arial" w:cs="Arial"/>
                <w:color w:val="000000"/>
                <w:kern w:val="0"/>
                <w:sz w:val="18"/>
                <w:szCs w:val="20"/>
                <w:lang w:eastAsia="pt-BR"/>
                <w14:ligatures w14:val="none"/>
              </w:rPr>
            </w:pPr>
            <w:r w:rsidRPr="00A25C77">
              <w:rPr>
                <w:rFonts w:ascii="Arial" w:eastAsia="Times New Roman" w:hAnsi="Arial" w:cs="Arial"/>
                <w:color w:val="000000"/>
                <w:kern w:val="0"/>
                <w:sz w:val="18"/>
                <w:szCs w:val="20"/>
                <w:lang w:eastAsia="pt-BR"/>
                <w14:ligatures w14:val="none"/>
              </w:rPr>
              <w:t xml:space="preserve">              -   </w:t>
            </w:r>
          </w:p>
        </w:tc>
        <w:tc>
          <w:tcPr>
            <w:tcW w:w="543" w:type="pct"/>
            <w:tcBorders>
              <w:top w:val="nil"/>
              <w:left w:val="nil"/>
              <w:bottom w:val="single" w:sz="4" w:space="0" w:color="auto"/>
              <w:right w:val="single" w:sz="4" w:space="0" w:color="auto"/>
            </w:tcBorders>
            <w:shd w:val="clear" w:color="auto" w:fill="auto"/>
            <w:noWrap/>
            <w:vAlign w:val="bottom"/>
            <w:hideMark/>
          </w:tcPr>
          <w:p w14:paraId="54B4F104" w14:textId="77777777" w:rsidR="00A25C77" w:rsidRPr="00A25C77" w:rsidRDefault="00A25C77" w:rsidP="00A25C77">
            <w:pPr>
              <w:spacing w:after="0" w:line="240" w:lineRule="auto"/>
              <w:jc w:val="right"/>
              <w:rPr>
                <w:rFonts w:ascii="Arial" w:eastAsia="Times New Roman" w:hAnsi="Arial" w:cs="Arial"/>
                <w:color w:val="000000"/>
                <w:kern w:val="0"/>
                <w:sz w:val="18"/>
                <w:szCs w:val="20"/>
                <w:lang w:eastAsia="pt-BR"/>
                <w14:ligatures w14:val="none"/>
              </w:rPr>
            </w:pPr>
            <w:r w:rsidRPr="00A25C77">
              <w:rPr>
                <w:rFonts w:ascii="Arial" w:eastAsia="Times New Roman" w:hAnsi="Arial" w:cs="Arial"/>
                <w:color w:val="000000"/>
                <w:kern w:val="0"/>
                <w:sz w:val="18"/>
                <w:szCs w:val="20"/>
                <w:lang w:eastAsia="pt-BR"/>
                <w14:ligatures w14:val="none"/>
              </w:rPr>
              <w:t xml:space="preserve">              -   </w:t>
            </w:r>
          </w:p>
        </w:tc>
        <w:tc>
          <w:tcPr>
            <w:tcW w:w="507" w:type="pct"/>
            <w:tcBorders>
              <w:top w:val="nil"/>
              <w:left w:val="nil"/>
              <w:bottom w:val="single" w:sz="4" w:space="0" w:color="auto"/>
              <w:right w:val="single" w:sz="4" w:space="0" w:color="auto"/>
            </w:tcBorders>
            <w:shd w:val="clear" w:color="auto" w:fill="auto"/>
            <w:vAlign w:val="bottom"/>
            <w:hideMark/>
          </w:tcPr>
          <w:p w14:paraId="3C8F09CF" w14:textId="77777777" w:rsidR="00A25C77" w:rsidRPr="00A25C77" w:rsidRDefault="00A25C77" w:rsidP="00A25C77">
            <w:pPr>
              <w:spacing w:after="0" w:line="240" w:lineRule="auto"/>
              <w:jc w:val="right"/>
              <w:rPr>
                <w:rFonts w:ascii="Arial" w:eastAsia="Times New Roman" w:hAnsi="Arial" w:cs="Arial"/>
                <w:color w:val="000000"/>
                <w:kern w:val="0"/>
                <w:sz w:val="18"/>
                <w:szCs w:val="20"/>
                <w:lang w:eastAsia="pt-BR"/>
                <w14:ligatures w14:val="none"/>
              </w:rPr>
            </w:pPr>
            <w:r w:rsidRPr="00A25C77">
              <w:rPr>
                <w:rFonts w:ascii="Arial" w:eastAsia="Times New Roman" w:hAnsi="Arial" w:cs="Arial"/>
                <w:color w:val="000000"/>
                <w:kern w:val="0"/>
                <w:sz w:val="18"/>
                <w:szCs w:val="20"/>
                <w:lang w:eastAsia="pt-BR"/>
                <w14:ligatures w14:val="none"/>
              </w:rPr>
              <w:t xml:space="preserve">              -   </w:t>
            </w:r>
          </w:p>
        </w:tc>
        <w:tc>
          <w:tcPr>
            <w:tcW w:w="543" w:type="pct"/>
            <w:tcBorders>
              <w:top w:val="nil"/>
              <w:left w:val="nil"/>
              <w:bottom w:val="single" w:sz="4" w:space="0" w:color="auto"/>
              <w:right w:val="single" w:sz="4" w:space="0" w:color="auto"/>
            </w:tcBorders>
            <w:shd w:val="clear" w:color="auto" w:fill="auto"/>
            <w:noWrap/>
            <w:vAlign w:val="bottom"/>
            <w:hideMark/>
          </w:tcPr>
          <w:p w14:paraId="56781E7E" w14:textId="77777777" w:rsidR="00A25C77" w:rsidRPr="00A25C77" w:rsidRDefault="00A25C77" w:rsidP="00A25C77">
            <w:pPr>
              <w:spacing w:after="0" w:line="240" w:lineRule="auto"/>
              <w:jc w:val="right"/>
              <w:rPr>
                <w:rFonts w:ascii="Arial" w:eastAsia="Times New Roman" w:hAnsi="Arial" w:cs="Arial"/>
                <w:color w:val="000000"/>
                <w:kern w:val="0"/>
                <w:sz w:val="18"/>
                <w:szCs w:val="20"/>
                <w:lang w:eastAsia="pt-BR"/>
                <w14:ligatures w14:val="none"/>
              </w:rPr>
            </w:pPr>
            <w:r w:rsidRPr="00A25C77">
              <w:rPr>
                <w:rFonts w:ascii="Arial" w:eastAsia="Times New Roman" w:hAnsi="Arial" w:cs="Arial"/>
                <w:color w:val="000000"/>
                <w:kern w:val="0"/>
                <w:sz w:val="18"/>
                <w:szCs w:val="20"/>
                <w:lang w:eastAsia="pt-BR"/>
                <w14:ligatures w14:val="none"/>
              </w:rPr>
              <w:t xml:space="preserve">        5.089 </w:t>
            </w:r>
          </w:p>
        </w:tc>
        <w:tc>
          <w:tcPr>
            <w:tcW w:w="507" w:type="pct"/>
            <w:tcBorders>
              <w:top w:val="nil"/>
              <w:left w:val="nil"/>
              <w:bottom w:val="single" w:sz="4" w:space="0" w:color="auto"/>
              <w:right w:val="single" w:sz="4" w:space="0" w:color="auto"/>
            </w:tcBorders>
            <w:shd w:val="clear" w:color="auto" w:fill="auto"/>
            <w:vAlign w:val="bottom"/>
            <w:hideMark/>
          </w:tcPr>
          <w:p w14:paraId="5936AEE0" w14:textId="77777777" w:rsidR="00A25C77" w:rsidRPr="00A25C77" w:rsidRDefault="00A25C77" w:rsidP="00A25C77">
            <w:pPr>
              <w:spacing w:after="0" w:line="240" w:lineRule="auto"/>
              <w:jc w:val="right"/>
              <w:rPr>
                <w:rFonts w:ascii="Arial" w:eastAsia="Times New Roman" w:hAnsi="Arial" w:cs="Arial"/>
                <w:color w:val="000000"/>
                <w:kern w:val="0"/>
                <w:sz w:val="18"/>
                <w:szCs w:val="20"/>
                <w:lang w:eastAsia="pt-BR"/>
                <w14:ligatures w14:val="none"/>
              </w:rPr>
            </w:pPr>
            <w:r w:rsidRPr="00A25C77">
              <w:rPr>
                <w:rFonts w:ascii="Arial" w:eastAsia="Times New Roman" w:hAnsi="Arial" w:cs="Arial"/>
                <w:color w:val="000000"/>
                <w:kern w:val="0"/>
                <w:sz w:val="18"/>
                <w:szCs w:val="20"/>
                <w:lang w:eastAsia="pt-BR"/>
                <w14:ligatures w14:val="none"/>
              </w:rPr>
              <w:t xml:space="preserve">        4.921 </w:t>
            </w:r>
          </w:p>
        </w:tc>
      </w:tr>
      <w:tr w:rsidR="00A25C77" w:rsidRPr="00A25C77" w14:paraId="153AB65B" w14:textId="77777777" w:rsidTr="00446A14">
        <w:trPr>
          <w:trHeight w:val="238"/>
        </w:trPr>
        <w:tc>
          <w:tcPr>
            <w:tcW w:w="1811" w:type="pct"/>
            <w:tcBorders>
              <w:top w:val="nil"/>
              <w:left w:val="single" w:sz="4" w:space="0" w:color="auto"/>
              <w:bottom w:val="single" w:sz="4" w:space="0" w:color="auto"/>
              <w:right w:val="single" w:sz="4" w:space="0" w:color="auto"/>
            </w:tcBorders>
            <w:shd w:val="clear" w:color="auto" w:fill="auto"/>
            <w:vAlign w:val="center"/>
            <w:hideMark/>
          </w:tcPr>
          <w:p w14:paraId="1ADC90CB" w14:textId="77777777" w:rsidR="00A25C77" w:rsidRPr="00A25C77" w:rsidRDefault="00A25C77" w:rsidP="00A25C77">
            <w:pPr>
              <w:spacing w:after="0" w:line="240" w:lineRule="auto"/>
              <w:rPr>
                <w:rFonts w:ascii="Arial" w:eastAsia="Times New Roman" w:hAnsi="Arial" w:cs="Arial"/>
                <w:color w:val="000000"/>
                <w:kern w:val="0"/>
                <w:sz w:val="18"/>
                <w:szCs w:val="20"/>
                <w:lang w:eastAsia="pt-BR"/>
                <w14:ligatures w14:val="none"/>
              </w:rPr>
            </w:pPr>
            <w:r w:rsidRPr="00A25C77">
              <w:rPr>
                <w:rFonts w:ascii="Arial" w:eastAsia="Times New Roman" w:hAnsi="Arial" w:cs="Arial"/>
                <w:color w:val="000000"/>
                <w:kern w:val="0"/>
                <w:sz w:val="18"/>
                <w:szCs w:val="20"/>
                <w:lang w:eastAsia="pt-BR"/>
                <w14:ligatures w14:val="none"/>
              </w:rPr>
              <w:t>4. Benefícios pagos pelo fundo</w:t>
            </w:r>
          </w:p>
        </w:tc>
        <w:tc>
          <w:tcPr>
            <w:tcW w:w="553" w:type="pct"/>
            <w:tcBorders>
              <w:top w:val="nil"/>
              <w:left w:val="nil"/>
              <w:bottom w:val="single" w:sz="4" w:space="0" w:color="auto"/>
              <w:right w:val="single" w:sz="4" w:space="0" w:color="auto"/>
            </w:tcBorders>
            <w:shd w:val="clear" w:color="auto" w:fill="auto"/>
            <w:noWrap/>
            <w:vAlign w:val="bottom"/>
            <w:hideMark/>
          </w:tcPr>
          <w:p w14:paraId="1AAB7F8F" w14:textId="77777777" w:rsidR="00A25C77" w:rsidRPr="00A25C77" w:rsidRDefault="00A25C77" w:rsidP="00A25C77">
            <w:pPr>
              <w:spacing w:after="0" w:line="240" w:lineRule="auto"/>
              <w:jc w:val="right"/>
              <w:rPr>
                <w:rFonts w:ascii="Arial" w:eastAsia="Times New Roman" w:hAnsi="Arial" w:cs="Arial"/>
                <w:color w:val="000000"/>
                <w:kern w:val="0"/>
                <w:sz w:val="18"/>
                <w:szCs w:val="20"/>
                <w:lang w:eastAsia="pt-BR"/>
                <w14:ligatures w14:val="none"/>
              </w:rPr>
            </w:pPr>
            <w:r w:rsidRPr="00A25C77">
              <w:rPr>
                <w:rFonts w:ascii="Arial" w:eastAsia="Times New Roman" w:hAnsi="Arial" w:cs="Arial"/>
                <w:color w:val="000000"/>
                <w:kern w:val="0"/>
                <w:sz w:val="18"/>
                <w:szCs w:val="20"/>
                <w:lang w:eastAsia="pt-BR"/>
                <w14:ligatures w14:val="none"/>
              </w:rPr>
              <w:t xml:space="preserve">     (55.392)</w:t>
            </w:r>
          </w:p>
        </w:tc>
        <w:tc>
          <w:tcPr>
            <w:tcW w:w="536" w:type="pct"/>
            <w:tcBorders>
              <w:top w:val="nil"/>
              <w:left w:val="nil"/>
              <w:bottom w:val="single" w:sz="4" w:space="0" w:color="auto"/>
              <w:right w:val="single" w:sz="4" w:space="0" w:color="auto"/>
            </w:tcBorders>
            <w:shd w:val="clear" w:color="auto" w:fill="auto"/>
            <w:vAlign w:val="bottom"/>
            <w:hideMark/>
          </w:tcPr>
          <w:p w14:paraId="40495330" w14:textId="77777777" w:rsidR="00A25C77" w:rsidRPr="00A25C77" w:rsidRDefault="00A25C77" w:rsidP="00A25C77">
            <w:pPr>
              <w:spacing w:after="0" w:line="240" w:lineRule="auto"/>
              <w:jc w:val="right"/>
              <w:rPr>
                <w:rFonts w:ascii="Arial" w:eastAsia="Times New Roman" w:hAnsi="Arial" w:cs="Arial"/>
                <w:color w:val="000000"/>
                <w:kern w:val="0"/>
                <w:sz w:val="18"/>
                <w:szCs w:val="20"/>
                <w:lang w:eastAsia="pt-BR"/>
                <w14:ligatures w14:val="none"/>
              </w:rPr>
            </w:pPr>
            <w:r w:rsidRPr="00A25C77">
              <w:rPr>
                <w:rFonts w:ascii="Arial" w:eastAsia="Times New Roman" w:hAnsi="Arial" w:cs="Arial"/>
                <w:color w:val="000000"/>
                <w:kern w:val="0"/>
                <w:sz w:val="18"/>
                <w:szCs w:val="20"/>
                <w:lang w:eastAsia="pt-BR"/>
                <w14:ligatures w14:val="none"/>
              </w:rPr>
              <w:t xml:space="preserve">     (53.986)</w:t>
            </w:r>
          </w:p>
        </w:tc>
        <w:tc>
          <w:tcPr>
            <w:tcW w:w="543" w:type="pct"/>
            <w:tcBorders>
              <w:top w:val="nil"/>
              <w:left w:val="nil"/>
              <w:bottom w:val="single" w:sz="4" w:space="0" w:color="auto"/>
              <w:right w:val="single" w:sz="4" w:space="0" w:color="auto"/>
            </w:tcBorders>
            <w:shd w:val="clear" w:color="auto" w:fill="auto"/>
            <w:noWrap/>
            <w:vAlign w:val="bottom"/>
            <w:hideMark/>
          </w:tcPr>
          <w:p w14:paraId="580921CB" w14:textId="77777777" w:rsidR="00A25C77" w:rsidRPr="00A25C77" w:rsidRDefault="00A25C77" w:rsidP="00A25C77">
            <w:pPr>
              <w:spacing w:after="0" w:line="240" w:lineRule="auto"/>
              <w:jc w:val="right"/>
              <w:rPr>
                <w:rFonts w:ascii="Arial" w:eastAsia="Times New Roman" w:hAnsi="Arial" w:cs="Arial"/>
                <w:color w:val="000000"/>
                <w:kern w:val="0"/>
                <w:sz w:val="18"/>
                <w:szCs w:val="20"/>
                <w:lang w:eastAsia="pt-BR"/>
                <w14:ligatures w14:val="none"/>
              </w:rPr>
            </w:pPr>
            <w:r w:rsidRPr="00A25C77">
              <w:rPr>
                <w:rFonts w:ascii="Arial" w:eastAsia="Times New Roman" w:hAnsi="Arial" w:cs="Arial"/>
                <w:color w:val="000000"/>
                <w:kern w:val="0"/>
                <w:sz w:val="18"/>
                <w:szCs w:val="20"/>
                <w:lang w:eastAsia="pt-BR"/>
                <w14:ligatures w14:val="none"/>
              </w:rPr>
              <w:t xml:space="preserve">     (16.360)</w:t>
            </w:r>
          </w:p>
        </w:tc>
        <w:tc>
          <w:tcPr>
            <w:tcW w:w="507" w:type="pct"/>
            <w:tcBorders>
              <w:top w:val="nil"/>
              <w:left w:val="nil"/>
              <w:bottom w:val="single" w:sz="4" w:space="0" w:color="auto"/>
              <w:right w:val="single" w:sz="4" w:space="0" w:color="auto"/>
            </w:tcBorders>
            <w:shd w:val="clear" w:color="auto" w:fill="auto"/>
            <w:vAlign w:val="bottom"/>
            <w:hideMark/>
          </w:tcPr>
          <w:p w14:paraId="71623BEA" w14:textId="77777777" w:rsidR="00A25C77" w:rsidRPr="00A25C77" w:rsidRDefault="00A25C77" w:rsidP="00A25C77">
            <w:pPr>
              <w:spacing w:after="0" w:line="240" w:lineRule="auto"/>
              <w:jc w:val="right"/>
              <w:rPr>
                <w:rFonts w:ascii="Arial" w:eastAsia="Times New Roman" w:hAnsi="Arial" w:cs="Arial"/>
                <w:color w:val="000000"/>
                <w:kern w:val="0"/>
                <w:sz w:val="18"/>
                <w:szCs w:val="20"/>
                <w:lang w:eastAsia="pt-BR"/>
                <w14:ligatures w14:val="none"/>
              </w:rPr>
            </w:pPr>
            <w:r w:rsidRPr="00A25C77">
              <w:rPr>
                <w:rFonts w:ascii="Arial" w:eastAsia="Times New Roman" w:hAnsi="Arial" w:cs="Arial"/>
                <w:color w:val="000000"/>
                <w:kern w:val="0"/>
                <w:sz w:val="18"/>
                <w:szCs w:val="20"/>
                <w:lang w:eastAsia="pt-BR"/>
                <w14:ligatures w14:val="none"/>
              </w:rPr>
              <w:t xml:space="preserve">     (16.129)</w:t>
            </w:r>
          </w:p>
        </w:tc>
        <w:tc>
          <w:tcPr>
            <w:tcW w:w="543" w:type="pct"/>
            <w:tcBorders>
              <w:top w:val="nil"/>
              <w:left w:val="nil"/>
              <w:bottom w:val="single" w:sz="4" w:space="0" w:color="auto"/>
              <w:right w:val="single" w:sz="4" w:space="0" w:color="auto"/>
            </w:tcBorders>
            <w:shd w:val="clear" w:color="auto" w:fill="auto"/>
            <w:noWrap/>
            <w:vAlign w:val="bottom"/>
            <w:hideMark/>
          </w:tcPr>
          <w:p w14:paraId="60A171AC" w14:textId="77777777" w:rsidR="00A25C77" w:rsidRPr="00A25C77" w:rsidRDefault="00A25C77" w:rsidP="00A25C77">
            <w:pPr>
              <w:spacing w:after="0" w:line="240" w:lineRule="auto"/>
              <w:jc w:val="right"/>
              <w:rPr>
                <w:rFonts w:ascii="Arial" w:eastAsia="Times New Roman" w:hAnsi="Arial" w:cs="Arial"/>
                <w:color w:val="000000"/>
                <w:kern w:val="0"/>
                <w:sz w:val="18"/>
                <w:szCs w:val="20"/>
                <w:lang w:eastAsia="pt-BR"/>
                <w14:ligatures w14:val="none"/>
              </w:rPr>
            </w:pPr>
            <w:r w:rsidRPr="00A25C77">
              <w:rPr>
                <w:rFonts w:ascii="Arial" w:eastAsia="Times New Roman" w:hAnsi="Arial" w:cs="Arial"/>
                <w:color w:val="000000"/>
                <w:kern w:val="0"/>
                <w:sz w:val="18"/>
                <w:szCs w:val="20"/>
                <w:lang w:eastAsia="pt-BR"/>
                <w14:ligatures w14:val="none"/>
              </w:rPr>
              <w:t xml:space="preserve">     (29.230)</w:t>
            </w:r>
          </w:p>
        </w:tc>
        <w:tc>
          <w:tcPr>
            <w:tcW w:w="507" w:type="pct"/>
            <w:tcBorders>
              <w:top w:val="nil"/>
              <w:left w:val="nil"/>
              <w:bottom w:val="single" w:sz="4" w:space="0" w:color="auto"/>
              <w:right w:val="single" w:sz="4" w:space="0" w:color="auto"/>
            </w:tcBorders>
            <w:shd w:val="clear" w:color="auto" w:fill="auto"/>
            <w:vAlign w:val="bottom"/>
            <w:hideMark/>
          </w:tcPr>
          <w:p w14:paraId="2C92C274" w14:textId="77777777" w:rsidR="00A25C77" w:rsidRPr="00A25C77" w:rsidRDefault="00A25C77" w:rsidP="00A25C77">
            <w:pPr>
              <w:spacing w:after="0" w:line="240" w:lineRule="auto"/>
              <w:jc w:val="right"/>
              <w:rPr>
                <w:rFonts w:ascii="Arial" w:eastAsia="Times New Roman" w:hAnsi="Arial" w:cs="Arial"/>
                <w:color w:val="000000"/>
                <w:kern w:val="0"/>
                <w:sz w:val="18"/>
                <w:szCs w:val="20"/>
                <w:lang w:eastAsia="pt-BR"/>
                <w14:ligatures w14:val="none"/>
              </w:rPr>
            </w:pPr>
            <w:r w:rsidRPr="00A25C77">
              <w:rPr>
                <w:rFonts w:ascii="Arial" w:eastAsia="Times New Roman" w:hAnsi="Arial" w:cs="Arial"/>
                <w:color w:val="000000"/>
                <w:kern w:val="0"/>
                <w:sz w:val="18"/>
                <w:szCs w:val="20"/>
                <w:lang w:eastAsia="pt-BR"/>
                <w14:ligatures w14:val="none"/>
              </w:rPr>
              <w:t xml:space="preserve">     (29.447)</w:t>
            </w:r>
          </w:p>
        </w:tc>
      </w:tr>
      <w:tr w:rsidR="00A25C77" w:rsidRPr="00A25C77" w14:paraId="62DFC607" w14:textId="77777777" w:rsidTr="00446A14">
        <w:trPr>
          <w:trHeight w:val="238"/>
        </w:trPr>
        <w:tc>
          <w:tcPr>
            <w:tcW w:w="1811" w:type="pct"/>
            <w:tcBorders>
              <w:top w:val="nil"/>
              <w:left w:val="single" w:sz="4" w:space="0" w:color="auto"/>
              <w:bottom w:val="single" w:sz="4" w:space="0" w:color="auto"/>
              <w:right w:val="single" w:sz="4" w:space="0" w:color="auto"/>
            </w:tcBorders>
            <w:shd w:val="clear" w:color="auto" w:fill="auto"/>
            <w:vAlign w:val="center"/>
            <w:hideMark/>
          </w:tcPr>
          <w:p w14:paraId="08728F36" w14:textId="77777777" w:rsidR="00A25C77" w:rsidRPr="00A25C77" w:rsidRDefault="00A25C77" w:rsidP="00A25C77">
            <w:pPr>
              <w:spacing w:after="0" w:line="240" w:lineRule="auto"/>
              <w:rPr>
                <w:rFonts w:ascii="Arial" w:eastAsia="Times New Roman" w:hAnsi="Arial" w:cs="Arial"/>
                <w:color w:val="000000"/>
                <w:kern w:val="0"/>
                <w:sz w:val="18"/>
                <w:szCs w:val="20"/>
                <w:lang w:eastAsia="pt-BR"/>
                <w14:ligatures w14:val="none"/>
              </w:rPr>
            </w:pPr>
            <w:r w:rsidRPr="00A25C77">
              <w:rPr>
                <w:rFonts w:ascii="Arial" w:eastAsia="Times New Roman" w:hAnsi="Arial" w:cs="Arial"/>
                <w:color w:val="000000"/>
                <w:kern w:val="0"/>
                <w:sz w:val="18"/>
                <w:szCs w:val="20"/>
                <w:lang w:eastAsia="pt-BR"/>
                <w14:ligatures w14:val="none"/>
              </w:rPr>
              <w:t>5. Despesas administrativas pagas pelo fundo</w:t>
            </w:r>
          </w:p>
        </w:tc>
        <w:tc>
          <w:tcPr>
            <w:tcW w:w="553" w:type="pct"/>
            <w:tcBorders>
              <w:top w:val="nil"/>
              <w:left w:val="nil"/>
              <w:bottom w:val="single" w:sz="4" w:space="0" w:color="auto"/>
              <w:right w:val="single" w:sz="4" w:space="0" w:color="auto"/>
            </w:tcBorders>
            <w:shd w:val="clear" w:color="auto" w:fill="auto"/>
            <w:noWrap/>
            <w:vAlign w:val="bottom"/>
            <w:hideMark/>
          </w:tcPr>
          <w:p w14:paraId="2DECCF67" w14:textId="77777777" w:rsidR="00A25C77" w:rsidRPr="00A25C77" w:rsidRDefault="00A25C77" w:rsidP="00A25C77">
            <w:pPr>
              <w:spacing w:after="0" w:line="240" w:lineRule="auto"/>
              <w:jc w:val="right"/>
              <w:rPr>
                <w:rFonts w:ascii="Arial" w:eastAsia="Times New Roman" w:hAnsi="Arial" w:cs="Arial"/>
                <w:color w:val="000000"/>
                <w:kern w:val="0"/>
                <w:sz w:val="18"/>
                <w:szCs w:val="20"/>
                <w:lang w:eastAsia="pt-BR"/>
                <w14:ligatures w14:val="none"/>
              </w:rPr>
            </w:pPr>
            <w:r w:rsidRPr="00A25C77">
              <w:rPr>
                <w:rFonts w:ascii="Arial" w:eastAsia="Times New Roman" w:hAnsi="Arial" w:cs="Arial"/>
                <w:color w:val="000000"/>
                <w:kern w:val="0"/>
                <w:sz w:val="18"/>
                <w:szCs w:val="20"/>
                <w:lang w:eastAsia="pt-BR"/>
                <w14:ligatures w14:val="none"/>
              </w:rPr>
              <w:t xml:space="preserve">              -   </w:t>
            </w:r>
          </w:p>
        </w:tc>
        <w:tc>
          <w:tcPr>
            <w:tcW w:w="536" w:type="pct"/>
            <w:tcBorders>
              <w:top w:val="nil"/>
              <w:left w:val="nil"/>
              <w:bottom w:val="nil"/>
              <w:right w:val="nil"/>
            </w:tcBorders>
            <w:shd w:val="clear" w:color="auto" w:fill="auto"/>
            <w:noWrap/>
            <w:vAlign w:val="bottom"/>
            <w:hideMark/>
          </w:tcPr>
          <w:p w14:paraId="70DD7283" w14:textId="77777777" w:rsidR="00A25C77" w:rsidRPr="00A25C77" w:rsidRDefault="00A25C77" w:rsidP="00A25C77">
            <w:pPr>
              <w:spacing w:after="0" w:line="240" w:lineRule="auto"/>
              <w:jc w:val="right"/>
              <w:rPr>
                <w:rFonts w:ascii="Arial" w:eastAsia="Times New Roman" w:hAnsi="Arial" w:cs="Arial"/>
                <w:color w:val="000000"/>
                <w:kern w:val="0"/>
                <w:sz w:val="18"/>
                <w:szCs w:val="20"/>
                <w:lang w:eastAsia="pt-BR"/>
                <w14:ligatures w14:val="none"/>
              </w:rPr>
            </w:pPr>
            <w:r w:rsidRPr="00A25C77">
              <w:rPr>
                <w:rFonts w:ascii="Arial" w:eastAsia="Times New Roman" w:hAnsi="Arial" w:cs="Arial"/>
                <w:color w:val="000000"/>
                <w:kern w:val="0"/>
                <w:sz w:val="18"/>
                <w:szCs w:val="20"/>
                <w:lang w:eastAsia="pt-BR"/>
                <w14:ligatures w14:val="none"/>
              </w:rPr>
              <w:t xml:space="preserve">              -   </w:t>
            </w:r>
          </w:p>
        </w:tc>
        <w:tc>
          <w:tcPr>
            <w:tcW w:w="543" w:type="pct"/>
            <w:tcBorders>
              <w:top w:val="nil"/>
              <w:left w:val="single" w:sz="4" w:space="0" w:color="auto"/>
              <w:bottom w:val="single" w:sz="4" w:space="0" w:color="auto"/>
              <w:right w:val="single" w:sz="4" w:space="0" w:color="auto"/>
            </w:tcBorders>
            <w:shd w:val="clear" w:color="auto" w:fill="auto"/>
            <w:noWrap/>
            <w:vAlign w:val="bottom"/>
            <w:hideMark/>
          </w:tcPr>
          <w:p w14:paraId="7A7F1275" w14:textId="77777777" w:rsidR="00A25C77" w:rsidRPr="00A25C77" w:rsidRDefault="00A25C77" w:rsidP="00A25C77">
            <w:pPr>
              <w:spacing w:after="0" w:line="240" w:lineRule="auto"/>
              <w:jc w:val="right"/>
              <w:rPr>
                <w:rFonts w:ascii="Arial" w:eastAsia="Times New Roman" w:hAnsi="Arial" w:cs="Arial"/>
                <w:color w:val="000000"/>
                <w:kern w:val="0"/>
                <w:sz w:val="18"/>
                <w:szCs w:val="20"/>
                <w:lang w:eastAsia="pt-BR"/>
                <w14:ligatures w14:val="none"/>
              </w:rPr>
            </w:pPr>
            <w:r w:rsidRPr="00A25C77">
              <w:rPr>
                <w:rFonts w:ascii="Arial" w:eastAsia="Times New Roman" w:hAnsi="Arial" w:cs="Arial"/>
                <w:color w:val="000000"/>
                <w:kern w:val="0"/>
                <w:sz w:val="18"/>
                <w:szCs w:val="20"/>
                <w:lang w:eastAsia="pt-BR"/>
                <w14:ligatures w14:val="none"/>
              </w:rPr>
              <w:t xml:space="preserve">              -   </w:t>
            </w:r>
          </w:p>
        </w:tc>
        <w:tc>
          <w:tcPr>
            <w:tcW w:w="507" w:type="pct"/>
            <w:tcBorders>
              <w:top w:val="nil"/>
              <w:left w:val="nil"/>
              <w:bottom w:val="nil"/>
              <w:right w:val="nil"/>
            </w:tcBorders>
            <w:shd w:val="clear" w:color="auto" w:fill="auto"/>
            <w:noWrap/>
            <w:vAlign w:val="bottom"/>
            <w:hideMark/>
          </w:tcPr>
          <w:p w14:paraId="77F410E8" w14:textId="77777777" w:rsidR="00A25C77" w:rsidRPr="00A25C77" w:rsidRDefault="00A25C77" w:rsidP="00A25C77">
            <w:pPr>
              <w:spacing w:after="0" w:line="240" w:lineRule="auto"/>
              <w:jc w:val="right"/>
              <w:rPr>
                <w:rFonts w:ascii="Arial" w:eastAsia="Times New Roman" w:hAnsi="Arial" w:cs="Arial"/>
                <w:color w:val="000000"/>
                <w:kern w:val="0"/>
                <w:sz w:val="18"/>
                <w:szCs w:val="20"/>
                <w:lang w:eastAsia="pt-BR"/>
                <w14:ligatures w14:val="none"/>
              </w:rPr>
            </w:pPr>
            <w:r w:rsidRPr="00A25C77">
              <w:rPr>
                <w:rFonts w:ascii="Arial" w:eastAsia="Times New Roman" w:hAnsi="Arial" w:cs="Arial"/>
                <w:color w:val="000000"/>
                <w:kern w:val="0"/>
                <w:sz w:val="18"/>
                <w:szCs w:val="20"/>
                <w:lang w:eastAsia="pt-BR"/>
                <w14:ligatures w14:val="none"/>
              </w:rPr>
              <w:t xml:space="preserve">              -   </w:t>
            </w:r>
          </w:p>
        </w:tc>
        <w:tc>
          <w:tcPr>
            <w:tcW w:w="543" w:type="pct"/>
            <w:tcBorders>
              <w:top w:val="nil"/>
              <w:left w:val="single" w:sz="4" w:space="0" w:color="auto"/>
              <w:bottom w:val="single" w:sz="4" w:space="0" w:color="auto"/>
              <w:right w:val="single" w:sz="4" w:space="0" w:color="auto"/>
            </w:tcBorders>
            <w:shd w:val="clear" w:color="auto" w:fill="auto"/>
            <w:noWrap/>
            <w:vAlign w:val="bottom"/>
            <w:hideMark/>
          </w:tcPr>
          <w:p w14:paraId="69397E9A" w14:textId="77777777" w:rsidR="00A25C77" w:rsidRPr="00A25C77" w:rsidRDefault="00A25C77" w:rsidP="00A25C77">
            <w:pPr>
              <w:spacing w:after="0" w:line="240" w:lineRule="auto"/>
              <w:jc w:val="right"/>
              <w:rPr>
                <w:rFonts w:ascii="Arial" w:eastAsia="Times New Roman" w:hAnsi="Arial" w:cs="Arial"/>
                <w:color w:val="000000"/>
                <w:kern w:val="0"/>
                <w:sz w:val="18"/>
                <w:szCs w:val="20"/>
                <w:lang w:eastAsia="pt-BR"/>
                <w14:ligatures w14:val="none"/>
              </w:rPr>
            </w:pPr>
            <w:r w:rsidRPr="00A25C77">
              <w:rPr>
                <w:rFonts w:ascii="Arial" w:eastAsia="Times New Roman" w:hAnsi="Arial" w:cs="Arial"/>
                <w:color w:val="000000"/>
                <w:kern w:val="0"/>
                <w:sz w:val="18"/>
                <w:szCs w:val="20"/>
                <w:lang w:eastAsia="pt-BR"/>
                <w14:ligatures w14:val="none"/>
              </w:rPr>
              <w:t xml:space="preserve">              -   </w:t>
            </w:r>
          </w:p>
        </w:tc>
        <w:tc>
          <w:tcPr>
            <w:tcW w:w="507" w:type="pct"/>
            <w:tcBorders>
              <w:top w:val="nil"/>
              <w:left w:val="nil"/>
              <w:bottom w:val="nil"/>
              <w:right w:val="single" w:sz="4" w:space="0" w:color="auto"/>
            </w:tcBorders>
            <w:shd w:val="clear" w:color="auto" w:fill="auto"/>
            <w:noWrap/>
            <w:vAlign w:val="bottom"/>
            <w:hideMark/>
          </w:tcPr>
          <w:p w14:paraId="5DBAD08E" w14:textId="77777777" w:rsidR="00A25C77" w:rsidRPr="00A25C77" w:rsidRDefault="00A25C77" w:rsidP="00A25C77">
            <w:pPr>
              <w:spacing w:after="0" w:line="240" w:lineRule="auto"/>
              <w:jc w:val="right"/>
              <w:rPr>
                <w:rFonts w:ascii="Arial" w:eastAsia="Times New Roman" w:hAnsi="Arial" w:cs="Arial"/>
                <w:color w:val="000000"/>
                <w:kern w:val="0"/>
                <w:sz w:val="18"/>
                <w:szCs w:val="20"/>
                <w:lang w:eastAsia="pt-BR"/>
                <w14:ligatures w14:val="none"/>
              </w:rPr>
            </w:pPr>
            <w:r w:rsidRPr="00A25C77">
              <w:rPr>
                <w:rFonts w:ascii="Arial" w:eastAsia="Times New Roman" w:hAnsi="Arial" w:cs="Arial"/>
                <w:color w:val="000000"/>
                <w:kern w:val="0"/>
                <w:sz w:val="18"/>
                <w:szCs w:val="20"/>
                <w:lang w:eastAsia="pt-BR"/>
                <w14:ligatures w14:val="none"/>
              </w:rPr>
              <w:t xml:space="preserve">              -   </w:t>
            </w:r>
          </w:p>
        </w:tc>
      </w:tr>
      <w:tr w:rsidR="00A25C77" w:rsidRPr="00A25C77" w14:paraId="6EB5CCC8" w14:textId="77777777" w:rsidTr="00446A14">
        <w:trPr>
          <w:trHeight w:val="238"/>
        </w:trPr>
        <w:tc>
          <w:tcPr>
            <w:tcW w:w="1811" w:type="pct"/>
            <w:tcBorders>
              <w:top w:val="nil"/>
              <w:left w:val="single" w:sz="4" w:space="0" w:color="auto"/>
              <w:bottom w:val="single" w:sz="4" w:space="0" w:color="auto"/>
              <w:right w:val="single" w:sz="4" w:space="0" w:color="auto"/>
            </w:tcBorders>
            <w:shd w:val="clear" w:color="auto" w:fill="auto"/>
            <w:vAlign w:val="center"/>
            <w:hideMark/>
          </w:tcPr>
          <w:p w14:paraId="3DBCF0B5" w14:textId="77777777" w:rsidR="00A25C77" w:rsidRPr="00A25C77" w:rsidRDefault="00A25C77" w:rsidP="00A25C77">
            <w:pPr>
              <w:spacing w:after="0" w:line="240" w:lineRule="auto"/>
              <w:rPr>
                <w:rFonts w:ascii="Arial" w:eastAsia="Times New Roman" w:hAnsi="Arial" w:cs="Arial"/>
                <w:color w:val="000000"/>
                <w:kern w:val="0"/>
                <w:sz w:val="18"/>
                <w:szCs w:val="20"/>
                <w:lang w:eastAsia="pt-BR"/>
                <w14:ligatures w14:val="none"/>
              </w:rPr>
            </w:pPr>
            <w:r w:rsidRPr="00A25C77">
              <w:rPr>
                <w:rFonts w:ascii="Arial" w:eastAsia="Times New Roman" w:hAnsi="Arial" w:cs="Arial"/>
                <w:color w:val="000000"/>
                <w:kern w:val="0"/>
                <w:sz w:val="18"/>
                <w:szCs w:val="20"/>
                <w:lang w:eastAsia="pt-BR"/>
                <w14:ligatures w14:val="none"/>
              </w:rPr>
              <w:t>6. Ganhos/(Perdas) atuariais sobre os ativos do plano</w:t>
            </w:r>
          </w:p>
        </w:tc>
        <w:tc>
          <w:tcPr>
            <w:tcW w:w="553" w:type="pct"/>
            <w:tcBorders>
              <w:top w:val="nil"/>
              <w:left w:val="nil"/>
              <w:bottom w:val="single" w:sz="4" w:space="0" w:color="auto"/>
              <w:right w:val="single" w:sz="4" w:space="0" w:color="auto"/>
            </w:tcBorders>
            <w:shd w:val="clear" w:color="auto" w:fill="auto"/>
            <w:noWrap/>
            <w:vAlign w:val="bottom"/>
            <w:hideMark/>
          </w:tcPr>
          <w:p w14:paraId="146B1464" w14:textId="77777777" w:rsidR="00A25C77" w:rsidRPr="00A25C77" w:rsidRDefault="00A25C77" w:rsidP="00A25C77">
            <w:pPr>
              <w:spacing w:after="0" w:line="240" w:lineRule="auto"/>
              <w:jc w:val="right"/>
              <w:rPr>
                <w:rFonts w:ascii="Arial" w:eastAsia="Times New Roman" w:hAnsi="Arial" w:cs="Arial"/>
                <w:color w:val="000000"/>
                <w:kern w:val="0"/>
                <w:sz w:val="18"/>
                <w:szCs w:val="20"/>
                <w:lang w:eastAsia="pt-BR"/>
                <w14:ligatures w14:val="none"/>
              </w:rPr>
            </w:pPr>
            <w:r w:rsidRPr="00A25C77">
              <w:rPr>
                <w:rFonts w:ascii="Arial" w:eastAsia="Times New Roman" w:hAnsi="Arial" w:cs="Arial"/>
                <w:color w:val="000000"/>
                <w:kern w:val="0"/>
                <w:sz w:val="18"/>
                <w:szCs w:val="20"/>
                <w:lang w:eastAsia="pt-BR"/>
                <w14:ligatures w14:val="none"/>
              </w:rPr>
              <w:t xml:space="preserve">      35.816 </w:t>
            </w:r>
          </w:p>
        </w:tc>
        <w:tc>
          <w:tcPr>
            <w:tcW w:w="536" w:type="pct"/>
            <w:tcBorders>
              <w:top w:val="single" w:sz="4" w:space="0" w:color="auto"/>
              <w:left w:val="nil"/>
              <w:bottom w:val="single" w:sz="4" w:space="0" w:color="auto"/>
              <w:right w:val="single" w:sz="4" w:space="0" w:color="auto"/>
            </w:tcBorders>
            <w:shd w:val="clear" w:color="auto" w:fill="auto"/>
            <w:vAlign w:val="bottom"/>
            <w:hideMark/>
          </w:tcPr>
          <w:p w14:paraId="6AFA027D" w14:textId="77777777" w:rsidR="00A25C77" w:rsidRPr="00A25C77" w:rsidRDefault="00A25C77" w:rsidP="00A25C77">
            <w:pPr>
              <w:spacing w:after="0" w:line="240" w:lineRule="auto"/>
              <w:jc w:val="right"/>
              <w:rPr>
                <w:rFonts w:ascii="Arial" w:eastAsia="Times New Roman" w:hAnsi="Arial" w:cs="Arial"/>
                <w:color w:val="000000"/>
                <w:kern w:val="0"/>
                <w:sz w:val="18"/>
                <w:szCs w:val="20"/>
                <w:lang w:eastAsia="pt-BR"/>
                <w14:ligatures w14:val="none"/>
              </w:rPr>
            </w:pPr>
            <w:r w:rsidRPr="00A25C77">
              <w:rPr>
                <w:rFonts w:ascii="Arial" w:eastAsia="Times New Roman" w:hAnsi="Arial" w:cs="Arial"/>
                <w:color w:val="000000"/>
                <w:kern w:val="0"/>
                <w:sz w:val="18"/>
                <w:szCs w:val="20"/>
                <w:lang w:eastAsia="pt-BR"/>
                <w14:ligatures w14:val="none"/>
              </w:rPr>
              <w:t xml:space="preserve">   (329.277)</w:t>
            </w:r>
          </w:p>
        </w:tc>
        <w:tc>
          <w:tcPr>
            <w:tcW w:w="543" w:type="pct"/>
            <w:tcBorders>
              <w:top w:val="nil"/>
              <w:left w:val="nil"/>
              <w:bottom w:val="single" w:sz="4" w:space="0" w:color="auto"/>
              <w:right w:val="single" w:sz="4" w:space="0" w:color="auto"/>
            </w:tcBorders>
            <w:shd w:val="clear" w:color="auto" w:fill="auto"/>
            <w:noWrap/>
            <w:vAlign w:val="bottom"/>
            <w:hideMark/>
          </w:tcPr>
          <w:p w14:paraId="143E5E2A" w14:textId="77777777" w:rsidR="00A25C77" w:rsidRPr="00A25C77" w:rsidRDefault="00A25C77" w:rsidP="00A25C77">
            <w:pPr>
              <w:spacing w:after="0" w:line="240" w:lineRule="auto"/>
              <w:jc w:val="right"/>
              <w:rPr>
                <w:rFonts w:ascii="Arial" w:eastAsia="Times New Roman" w:hAnsi="Arial" w:cs="Arial"/>
                <w:color w:val="000000"/>
                <w:kern w:val="0"/>
                <w:sz w:val="18"/>
                <w:szCs w:val="20"/>
                <w:lang w:eastAsia="pt-BR"/>
                <w14:ligatures w14:val="none"/>
              </w:rPr>
            </w:pPr>
            <w:r w:rsidRPr="00A25C77">
              <w:rPr>
                <w:rFonts w:ascii="Arial" w:eastAsia="Times New Roman" w:hAnsi="Arial" w:cs="Arial"/>
                <w:color w:val="000000"/>
                <w:kern w:val="0"/>
                <w:sz w:val="18"/>
                <w:szCs w:val="20"/>
                <w:lang w:eastAsia="pt-BR"/>
                <w14:ligatures w14:val="none"/>
              </w:rPr>
              <w:t xml:space="preserve">      48.238 </w:t>
            </w:r>
          </w:p>
        </w:tc>
        <w:tc>
          <w:tcPr>
            <w:tcW w:w="507" w:type="pct"/>
            <w:tcBorders>
              <w:top w:val="single" w:sz="4" w:space="0" w:color="auto"/>
              <w:left w:val="nil"/>
              <w:bottom w:val="single" w:sz="4" w:space="0" w:color="auto"/>
              <w:right w:val="single" w:sz="4" w:space="0" w:color="auto"/>
            </w:tcBorders>
            <w:shd w:val="clear" w:color="auto" w:fill="auto"/>
            <w:vAlign w:val="bottom"/>
            <w:hideMark/>
          </w:tcPr>
          <w:p w14:paraId="37AF2256" w14:textId="77777777" w:rsidR="00A25C77" w:rsidRPr="00A25C77" w:rsidRDefault="00A25C77" w:rsidP="00A25C77">
            <w:pPr>
              <w:spacing w:after="0" w:line="240" w:lineRule="auto"/>
              <w:jc w:val="right"/>
              <w:rPr>
                <w:rFonts w:ascii="Arial" w:eastAsia="Times New Roman" w:hAnsi="Arial" w:cs="Arial"/>
                <w:color w:val="000000"/>
                <w:kern w:val="0"/>
                <w:sz w:val="18"/>
                <w:szCs w:val="20"/>
                <w:lang w:eastAsia="pt-BR"/>
                <w14:ligatures w14:val="none"/>
              </w:rPr>
            </w:pPr>
            <w:r w:rsidRPr="00A25C77">
              <w:rPr>
                <w:rFonts w:ascii="Arial" w:eastAsia="Times New Roman" w:hAnsi="Arial" w:cs="Arial"/>
                <w:color w:val="000000"/>
                <w:kern w:val="0"/>
                <w:sz w:val="18"/>
                <w:szCs w:val="20"/>
                <w:lang w:eastAsia="pt-BR"/>
                <w14:ligatures w14:val="none"/>
              </w:rPr>
              <w:t xml:space="preserve">        2.060 </w:t>
            </w:r>
          </w:p>
        </w:tc>
        <w:tc>
          <w:tcPr>
            <w:tcW w:w="543" w:type="pct"/>
            <w:tcBorders>
              <w:top w:val="nil"/>
              <w:left w:val="nil"/>
              <w:bottom w:val="single" w:sz="4" w:space="0" w:color="auto"/>
              <w:right w:val="single" w:sz="4" w:space="0" w:color="auto"/>
            </w:tcBorders>
            <w:shd w:val="clear" w:color="auto" w:fill="auto"/>
            <w:noWrap/>
            <w:vAlign w:val="bottom"/>
            <w:hideMark/>
          </w:tcPr>
          <w:p w14:paraId="54C5161B" w14:textId="77777777" w:rsidR="00A25C77" w:rsidRPr="00A25C77" w:rsidRDefault="00A25C77" w:rsidP="00A25C77">
            <w:pPr>
              <w:spacing w:after="0" w:line="240" w:lineRule="auto"/>
              <w:jc w:val="right"/>
              <w:rPr>
                <w:rFonts w:ascii="Arial" w:eastAsia="Times New Roman" w:hAnsi="Arial" w:cs="Arial"/>
                <w:color w:val="000000"/>
                <w:kern w:val="0"/>
                <w:sz w:val="18"/>
                <w:szCs w:val="20"/>
                <w:lang w:eastAsia="pt-BR"/>
                <w14:ligatures w14:val="none"/>
              </w:rPr>
            </w:pPr>
            <w:r w:rsidRPr="00A25C77">
              <w:rPr>
                <w:rFonts w:ascii="Arial" w:eastAsia="Times New Roman" w:hAnsi="Arial" w:cs="Arial"/>
                <w:color w:val="000000"/>
                <w:kern w:val="0"/>
                <w:sz w:val="18"/>
                <w:szCs w:val="20"/>
                <w:lang w:eastAsia="pt-BR"/>
                <w14:ligatures w14:val="none"/>
              </w:rPr>
              <w:t xml:space="preserve">    225.716 </w:t>
            </w:r>
          </w:p>
        </w:tc>
        <w:tc>
          <w:tcPr>
            <w:tcW w:w="507" w:type="pct"/>
            <w:tcBorders>
              <w:top w:val="single" w:sz="4" w:space="0" w:color="auto"/>
              <w:left w:val="nil"/>
              <w:bottom w:val="single" w:sz="4" w:space="0" w:color="auto"/>
              <w:right w:val="single" w:sz="4" w:space="0" w:color="auto"/>
            </w:tcBorders>
            <w:shd w:val="clear" w:color="auto" w:fill="auto"/>
            <w:vAlign w:val="bottom"/>
            <w:hideMark/>
          </w:tcPr>
          <w:p w14:paraId="27EDF3FC" w14:textId="77777777" w:rsidR="00A25C77" w:rsidRPr="00A25C77" w:rsidRDefault="00A25C77" w:rsidP="00A25C77">
            <w:pPr>
              <w:spacing w:after="0" w:line="240" w:lineRule="auto"/>
              <w:jc w:val="right"/>
              <w:rPr>
                <w:rFonts w:ascii="Arial" w:eastAsia="Times New Roman" w:hAnsi="Arial" w:cs="Arial"/>
                <w:color w:val="000000"/>
                <w:kern w:val="0"/>
                <w:sz w:val="18"/>
                <w:szCs w:val="20"/>
                <w:lang w:eastAsia="pt-BR"/>
                <w14:ligatures w14:val="none"/>
              </w:rPr>
            </w:pPr>
            <w:r w:rsidRPr="00A25C77">
              <w:rPr>
                <w:rFonts w:ascii="Arial" w:eastAsia="Times New Roman" w:hAnsi="Arial" w:cs="Arial"/>
                <w:color w:val="000000"/>
                <w:kern w:val="0"/>
                <w:sz w:val="18"/>
                <w:szCs w:val="20"/>
                <w:lang w:eastAsia="pt-BR"/>
                <w14:ligatures w14:val="none"/>
              </w:rPr>
              <w:t xml:space="preserve">        3.578 </w:t>
            </w:r>
          </w:p>
        </w:tc>
      </w:tr>
      <w:tr w:rsidR="00A25C77" w:rsidRPr="00A25C77" w14:paraId="5CE6A69E" w14:textId="77777777" w:rsidTr="00446A14">
        <w:trPr>
          <w:trHeight w:val="238"/>
        </w:trPr>
        <w:tc>
          <w:tcPr>
            <w:tcW w:w="1811" w:type="pct"/>
            <w:tcBorders>
              <w:top w:val="nil"/>
              <w:left w:val="single" w:sz="4" w:space="0" w:color="auto"/>
              <w:bottom w:val="single" w:sz="4" w:space="0" w:color="auto"/>
              <w:right w:val="single" w:sz="4" w:space="0" w:color="auto"/>
            </w:tcBorders>
            <w:shd w:val="clear" w:color="auto" w:fill="auto"/>
            <w:vAlign w:val="center"/>
            <w:hideMark/>
          </w:tcPr>
          <w:p w14:paraId="4F7E0460" w14:textId="77777777" w:rsidR="00A25C77" w:rsidRPr="00A25C77" w:rsidRDefault="00A25C77" w:rsidP="00A25C77">
            <w:pPr>
              <w:spacing w:after="0" w:line="240" w:lineRule="auto"/>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20"/>
                <w:lang w:eastAsia="pt-BR"/>
                <w14:ligatures w14:val="none"/>
              </w:rPr>
              <w:t>7. Valor justo dos ativos do plano</w:t>
            </w:r>
          </w:p>
        </w:tc>
        <w:tc>
          <w:tcPr>
            <w:tcW w:w="553" w:type="pct"/>
            <w:tcBorders>
              <w:top w:val="nil"/>
              <w:left w:val="nil"/>
              <w:bottom w:val="single" w:sz="4" w:space="0" w:color="auto"/>
              <w:right w:val="single" w:sz="4" w:space="0" w:color="auto"/>
            </w:tcBorders>
            <w:shd w:val="clear" w:color="auto" w:fill="auto"/>
            <w:noWrap/>
            <w:vAlign w:val="bottom"/>
            <w:hideMark/>
          </w:tcPr>
          <w:p w14:paraId="307AAA1F" w14:textId="77777777" w:rsidR="00A25C77" w:rsidRPr="00A25C77" w:rsidRDefault="00A25C77" w:rsidP="00A25C77">
            <w:pPr>
              <w:spacing w:after="0" w:line="240" w:lineRule="auto"/>
              <w:jc w:val="right"/>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 xml:space="preserve">    690.510 </w:t>
            </w:r>
          </w:p>
        </w:tc>
        <w:tc>
          <w:tcPr>
            <w:tcW w:w="536" w:type="pct"/>
            <w:tcBorders>
              <w:top w:val="nil"/>
              <w:left w:val="nil"/>
              <w:bottom w:val="single" w:sz="4" w:space="0" w:color="auto"/>
              <w:right w:val="single" w:sz="4" w:space="0" w:color="auto"/>
            </w:tcBorders>
            <w:shd w:val="clear" w:color="auto" w:fill="auto"/>
            <w:noWrap/>
            <w:vAlign w:val="bottom"/>
            <w:hideMark/>
          </w:tcPr>
          <w:p w14:paraId="6CDD3988" w14:textId="77777777" w:rsidR="00A25C77" w:rsidRPr="00A25C77" w:rsidRDefault="00A25C77" w:rsidP="00A25C77">
            <w:pPr>
              <w:spacing w:after="0" w:line="240" w:lineRule="auto"/>
              <w:jc w:val="right"/>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 xml:space="preserve">     648.500 </w:t>
            </w:r>
          </w:p>
        </w:tc>
        <w:tc>
          <w:tcPr>
            <w:tcW w:w="543" w:type="pct"/>
            <w:tcBorders>
              <w:top w:val="nil"/>
              <w:left w:val="nil"/>
              <w:bottom w:val="single" w:sz="4" w:space="0" w:color="auto"/>
              <w:right w:val="single" w:sz="4" w:space="0" w:color="auto"/>
            </w:tcBorders>
            <w:shd w:val="clear" w:color="auto" w:fill="auto"/>
            <w:noWrap/>
            <w:vAlign w:val="bottom"/>
            <w:hideMark/>
          </w:tcPr>
          <w:p w14:paraId="7DF5012D" w14:textId="77777777" w:rsidR="00A25C77" w:rsidRPr="00A25C77" w:rsidRDefault="00A25C77" w:rsidP="00A25C77">
            <w:pPr>
              <w:spacing w:after="0" w:line="240" w:lineRule="auto"/>
              <w:jc w:val="right"/>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 xml:space="preserve">    324.895 </w:t>
            </w:r>
          </w:p>
        </w:tc>
        <w:tc>
          <w:tcPr>
            <w:tcW w:w="507" w:type="pct"/>
            <w:tcBorders>
              <w:top w:val="nil"/>
              <w:left w:val="nil"/>
              <w:bottom w:val="single" w:sz="4" w:space="0" w:color="auto"/>
              <w:right w:val="single" w:sz="4" w:space="0" w:color="auto"/>
            </w:tcBorders>
            <w:shd w:val="clear" w:color="auto" w:fill="auto"/>
            <w:noWrap/>
            <w:vAlign w:val="bottom"/>
            <w:hideMark/>
          </w:tcPr>
          <w:p w14:paraId="3B3B1568" w14:textId="77777777" w:rsidR="00A25C77" w:rsidRPr="00A25C77" w:rsidRDefault="00A25C77" w:rsidP="00A25C77">
            <w:pPr>
              <w:spacing w:after="0" w:line="240" w:lineRule="auto"/>
              <w:jc w:val="right"/>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 xml:space="preserve">    267.604 </w:t>
            </w:r>
          </w:p>
        </w:tc>
        <w:tc>
          <w:tcPr>
            <w:tcW w:w="543" w:type="pct"/>
            <w:tcBorders>
              <w:top w:val="nil"/>
              <w:left w:val="nil"/>
              <w:bottom w:val="single" w:sz="4" w:space="0" w:color="auto"/>
              <w:right w:val="single" w:sz="4" w:space="0" w:color="auto"/>
            </w:tcBorders>
            <w:shd w:val="clear" w:color="auto" w:fill="auto"/>
            <w:noWrap/>
            <w:vAlign w:val="bottom"/>
            <w:hideMark/>
          </w:tcPr>
          <w:p w14:paraId="64B10C92" w14:textId="77777777" w:rsidR="00A25C77" w:rsidRPr="00A25C77" w:rsidRDefault="00A25C77" w:rsidP="00A25C77">
            <w:pPr>
              <w:spacing w:after="0" w:line="240" w:lineRule="auto"/>
              <w:jc w:val="right"/>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 xml:space="preserve">    577.609 </w:t>
            </w:r>
          </w:p>
        </w:tc>
        <w:tc>
          <w:tcPr>
            <w:tcW w:w="507" w:type="pct"/>
            <w:tcBorders>
              <w:top w:val="nil"/>
              <w:left w:val="nil"/>
              <w:bottom w:val="single" w:sz="4" w:space="0" w:color="auto"/>
              <w:right w:val="single" w:sz="4" w:space="0" w:color="auto"/>
            </w:tcBorders>
            <w:shd w:val="clear" w:color="auto" w:fill="auto"/>
            <w:noWrap/>
            <w:vAlign w:val="bottom"/>
            <w:hideMark/>
          </w:tcPr>
          <w:p w14:paraId="773C3C6A" w14:textId="77777777" w:rsidR="00A25C77" w:rsidRPr="00A25C77" w:rsidRDefault="00A25C77" w:rsidP="00A25C77">
            <w:pPr>
              <w:spacing w:after="0" w:line="240" w:lineRule="auto"/>
              <w:jc w:val="right"/>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 xml:space="preserve">    344.317 </w:t>
            </w:r>
          </w:p>
        </w:tc>
      </w:tr>
    </w:tbl>
    <w:p w14:paraId="19FD1C82" w14:textId="08E485DB" w:rsidR="00A25C77" w:rsidRPr="00A25C77" w:rsidRDefault="00A25C77" w:rsidP="00A25C77">
      <w:pPr>
        <w:autoSpaceDE w:val="0"/>
        <w:autoSpaceDN w:val="0"/>
        <w:adjustRightInd w:val="0"/>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32.5.6. </w:t>
      </w:r>
      <w:r w:rsidRPr="00A25C77">
        <w:rPr>
          <w:rFonts w:ascii="Calibri" w:eastAsia="Times New Roman" w:hAnsi="Calibri" w:cs="Calibri"/>
          <w:b/>
          <w:bCs/>
          <w:iCs/>
          <w:color w:val="002060"/>
          <w:kern w:val="0"/>
          <w14:ligatures w14:val="none"/>
        </w:rPr>
        <w:t>Ganhos e Perdas Atuariais</w:t>
      </w:r>
    </w:p>
    <w:tbl>
      <w:tblPr>
        <w:tblW w:w="5000" w:type="pct"/>
        <w:tblCellMar>
          <w:left w:w="70" w:type="dxa"/>
          <w:right w:w="70" w:type="dxa"/>
        </w:tblCellMar>
        <w:tblLook w:val="04A0" w:firstRow="1" w:lastRow="0" w:firstColumn="1" w:lastColumn="0" w:noHBand="0" w:noVBand="1"/>
      </w:tblPr>
      <w:tblGrid>
        <w:gridCol w:w="3711"/>
        <w:gridCol w:w="1061"/>
        <w:gridCol w:w="941"/>
        <w:gridCol w:w="1061"/>
        <w:gridCol w:w="995"/>
        <w:gridCol w:w="1061"/>
        <w:gridCol w:w="941"/>
      </w:tblGrid>
      <w:tr w:rsidR="00A25C77" w:rsidRPr="00A25C77" w14:paraId="13EA78A4" w14:textId="77777777" w:rsidTr="00446A14">
        <w:trPr>
          <w:trHeight w:val="300"/>
          <w:tblHeader/>
        </w:trPr>
        <w:tc>
          <w:tcPr>
            <w:tcW w:w="1927"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1153E659" w14:textId="77777777" w:rsidR="00A25C77" w:rsidRPr="00A25C77" w:rsidRDefault="00A25C77" w:rsidP="00A25C77">
            <w:pPr>
              <w:spacing w:after="0" w:line="240" w:lineRule="auto"/>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 xml:space="preserve">Composição: </w:t>
            </w:r>
          </w:p>
        </w:tc>
        <w:tc>
          <w:tcPr>
            <w:tcW w:w="1024" w:type="pct"/>
            <w:gridSpan w:val="2"/>
            <w:tcBorders>
              <w:top w:val="single" w:sz="4" w:space="0" w:color="auto"/>
              <w:left w:val="nil"/>
              <w:bottom w:val="single" w:sz="4" w:space="0" w:color="auto"/>
              <w:right w:val="single" w:sz="4" w:space="0" w:color="auto"/>
            </w:tcBorders>
            <w:shd w:val="clear" w:color="auto" w:fill="auto"/>
            <w:vAlign w:val="center"/>
            <w:hideMark/>
          </w:tcPr>
          <w:p w14:paraId="5AB8AEA9"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 xml:space="preserve"> PBS-A </w:t>
            </w:r>
          </w:p>
        </w:tc>
        <w:tc>
          <w:tcPr>
            <w:tcW w:w="1108" w:type="pct"/>
            <w:gridSpan w:val="2"/>
            <w:tcBorders>
              <w:top w:val="single" w:sz="4" w:space="0" w:color="auto"/>
              <w:left w:val="nil"/>
              <w:bottom w:val="single" w:sz="4" w:space="0" w:color="auto"/>
              <w:right w:val="single" w:sz="4" w:space="0" w:color="auto"/>
            </w:tcBorders>
            <w:shd w:val="clear" w:color="auto" w:fill="auto"/>
            <w:vAlign w:val="center"/>
            <w:hideMark/>
          </w:tcPr>
          <w:p w14:paraId="7A116A6C"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 xml:space="preserve"> PBS-Telebras </w:t>
            </w:r>
          </w:p>
        </w:tc>
        <w:tc>
          <w:tcPr>
            <w:tcW w:w="941" w:type="pct"/>
            <w:gridSpan w:val="2"/>
            <w:tcBorders>
              <w:top w:val="single" w:sz="4" w:space="0" w:color="auto"/>
              <w:left w:val="nil"/>
              <w:bottom w:val="single" w:sz="4" w:space="0" w:color="auto"/>
              <w:right w:val="single" w:sz="4" w:space="0" w:color="auto"/>
            </w:tcBorders>
            <w:shd w:val="clear" w:color="auto" w:fill="auto"/>
            <w:vAlign w:val="center"/>
            <w:hideMark/>
          </w:tcPr>
          <w:p w14:paraId="092CBA0F"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 xml:space="preserve"> Telebras PREV </w:t>
            </w:r>
          </w:p>
        </w:tc>
      </w:tr>
      <w:tr w:rsidR="00A25C77" w:rsidRPr="00A25C77" w14:paraId="08A166BC" w14:textId="77777777" w:rsidTr="00446A14">
        <w:trPr>
          <w:trHeight w:val="420"/>
          <w:tblHeader/>
        </w:trPr>
        <w:tc>
          <w:tcPr>
            <w:tcW w:w="1927" w:type="pct"/>
            <w:vMerge/>
            <w:tcBorders>
              <w:top w:val="single" w:sz="4" w:space="0" w:color="auto"/>
              <w:left w:val="single" w:sz="4" w:space="0" w:color="auto"/>
              <w:bottom w:val="single" w:sz="4" w:space="0" w:color="auto"/>
              <w:right w:val="single" w:sz="4" w:space="0" w:color="auto"/>
            </w:tcBorders>
            <w:vAlign w:val="center"/>
            <w:hideMark/>
          </w:tcPr>
          <w:p w14:paraId="2522DEFB" w14:textId="77777777" w:rsidR="00A25C77" w:rsidRPr="00A25C77" w:rsidRDefault="00A25C77" w:rsidP="00A25C77">
            <w:pPr>
              <w:spacing w:after="0" w:line="240" w:lineRule="auto"/>
              <w:rPr>
                <w:rFonts w:ascii="Times New Roman" w:eastAsia="Times New Roman" w:hAnsi="Times New Roman" w:cs="Times New Roman"/>
                <w:b/>
                <w:bCs/>
                <w:color w:val="000000"/>
                <w:kern w:val="0"/>
                <w:sz w:val="20"/>
                <w:szCs w:val="20"/>
                <w:lang w:eastAsia="pt-BR"/>
                <w14:ligatures w14:val="none"/>
              </w:rPr>
            </w:pPr>
          </w:p>
        </w:tc>
        <w:tc>
          <w:tcPr>
            <w:tcW w:w="543" w:type="pct"/>
            <w:tcBorders>
              <w:top w:val="nil"/>
              <w:left w:val="nil"/>
              <w:bottom w:val="single" w:sz="4" w:space="0" w:color="auto"/>
              <w:right w:val="single" w:sz="4" w:space="0" w:color="auto"/>
            </w:tcBorders>
            <w:shd w:val="clear" w:color="auto" w:fill="auto"/>
            <w:vAlign w:val="center"/>
            <w:hideMark/>
          </w:tcPr>
          <w:p w14:paraId="45D10DE3"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31/12/2023</w:t>
            </w:r>
          </w:p>
        </w:tc>
        <w:tc>
          <w:tcPr>
            <w:tcW w:w="482" w:type="pct"/>
            <w:tcBorders>
              <w:top w:val="nil"/>
              <w:left w:val="nil"/>
              <w:bottom w:val="single" w:sz="4" w:space="0" w:color="auto"/>
              <w:right w:val="single" w:sz="4" w:space="0" w:color="auto"/>
            </w:tcBorders>
            <w:shd w:val="clear" w:color="auto" w:fill="auto"/>
            <w:vAlign w:val="center"/>
            <w:hideMark/>
          </w:tcPr>
          <w:p w14:paraId="000E9AFB"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31/12/2022</w:t>
            </w:r>
          </w:p>
        </w:tc>
        <w:tc>
          <w:tcPr>
            <w:tcW w:w="543" w:type="pct"/>
            <w:tcBorders>
              <w:top w:val="nil"/>
              <w:left w:val="nil"/>
              <w:bottom w:val="single" w:sz="4" w:space="0" w:color="auto"/>
              <w:right w:val="single" w:sz="4" w:space="0" w:color="auto"/>
            </w:tcBorders>
            <w:shd w:val="clear" w:color="auto" w:fill="auto"/>
            <w:vAlign w:val="center"/>
            <w:hideMark/>
          </w:tcPr>
          <w:p w14:paraId="4B5C36AC"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31/12/2023</w:t>
            </w:r>
          </w:p>
        </w:tc>
        <w:tc>
          <w:tcPr>
            <w:tcW w:w="565" w:type="pct"/>
            <w:tcBorders>
              <w:top w:val="nil"/>
              <w:left w:val="nil"/>
              <w:bottom w:val="single" w:sz="4" w:space="0" w:color="auto"/>
              <w:right w:val="single" w:sz="4" w:space="0" w:color="auto"/>
            </w:tcBorders>
            <w:shd w:val="clear" w:color="auto" w:fill="auto"/>
            <w:vAlign w:val="center"/>
            <w:hideMark/>
          </w:tcPr>
          <w:p w14:paraId="2BAA33C3"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31/12/2022</w:t>
            </w:r>
          </w:p>
        </w:tc>
        <w:tc>
          <w:tcPr>
            <w:tcW w:w="459" w:type="pct"/>
            <w:tcBorders>
              <w:top w:val="nil"/>
              <w:left w:val="nil"/>
              <w:bottom w:val="single" w:sz="4" w:space="0" w:color="auto"/>
              <w:right w:val="single" w:sz="4" w:space="0" w:color="auto"/>
            </w:tcBorders>
            <w:shd w:val="clear" w:color="auto" w:fill="auto"/>
            <w:vAlign w:val="center"/>
            <w:hideMark/>
          </w:tcPr>
          <w:p w14:paraId="3B9087B2"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31/12/2023</w:t>
            </w:r>
          </w:p>
        </w:tc>
        <w:tc>
          <w:tcPr>
            <w:tcW w:w="482" w:type="pct"/>
            <w:tcBorders>
              <w:top w:val="nil"/>
              <w:left w:val="nil"/>
              <w:bottom w:val="single" w:sz="4" w:space="0" w:color="auto"/>
              <w:right w:val="single" w:sz="4" w:space="0" w:color="auto"/>
            </w:tcBorders>
            <w:shd w:val="clear" w:color="auto" w:fill="auto"/>
            <w:vAlign w:val="center"/>
            <w:hideMark/>
          </w:tcPr>
          <w:p w14:paraId="32B298EC"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31/12/2022</w:t>
            </w:r>
          </w:p>
        </w:tc>
      </w:tr>
      <w:tr w:rsidR="00A25C77" w:rsidRPr="00A25C77" w14:paraId="714B5BEE" w14:textId="77777777" w:rsidTr="00446A14">
        <w:trPr>
          <w:trHeight w:val="460"/>
        </w:trPr>
        <w:tc>
          <w:tcPr>
            <w:tcW w:w="1927" w:type="pct"/>
            <w:tcBorders>
              <w:top w:val="nil"/>
              <w:left w:val="single" w:sz="4" w:space="0" w:color="auto"/>
              <w:bottom w:val="single" w:sz="4" w:space="0" w:color="auto"/>
              <w:right w:val="single" w:sz="4" w:space="0" w:color="auto"/>
            </w:tcBorders>
            <w:shd w:val="clear" w:color="auto" w:fill="auto"/>
            <w:vAlign w:val="center"/>
            <w:hideMark/>
          </w:tcPr>
          <w:p w14:paraId="32EEFB56" w14:textId="77777777" w:rsidR="00A25C77" w:rsidRPr="00A25C77" w:rsidRDefault="00A25C77" w:rsidP="00A25C77">
            <w:pPr>
              <w:spacing w:after="0" w:line="240" w:lineRule="auto"/>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20"/>
                <w:lang w:eastAsia="pt-BR"/>
                <w14:ligatures w14:val="none"/>
              </w:rPr>
              <w:t>1. Valor Líquido acumulado dos ganhos e (perdas) atuariais e do serviço passado</w:t>
            </w:r>
          </w:p>
        </w:tc>
        <w:tc>
          <w:tcPr>
            <w:tcW w:w="543" w:type="pct"/>
            <w:tcBorders>
              <w:top w:val="nil"/>
              <w:left w:val="nil"/>
              <w:bottom w:val="single" w:sz="4" w:space="0" w:color="auto"/>
              <w:right w:val="single" w:sz="4" w:space="0" w:color="auto"/>
            </w:tcBorders>
            <w:shd w:val="clear" w:color="auto" w:fill="auto"/>
            <w:noWrap/>
            <w:vAlign w:val="bottom"/>
            <w:hideMark/>
          </w:tcPr>
          <w:p w14:paraId="152CDF32"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   </w:t>
            </w:r>
          </w:p>
        </w:tc>
        <w:tc>
          <w:tcPr>
            <w:tcW w:w="482" w:type="pct"/>
            <w:tcBorders>
              <w:top w:val="nil"/>
              <w:left w:val="nil"/>
              <w:bottom w:val="single" w:sz="4" w:space="0" w:color="auto"/>
              <w:right w:val="single" w:sz="4" w:space="0" w:color="auto"/>
            </w:tcBorders>
            <w:shd w:val="clear" w:color="auto" w:fill="auto"/>
            <w:vAlign w:val="bottom"/>
            <w:hideMark/>
          </w:tcPr>
          <w:p w14:paraId="757B498B"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20"/>
                <w:lang w:eastAsia="pt-BR"/>
                <w14:ligatures w14:val="none"/>
              </w:rPr>
              <w:t xml:space="preserve"> - </w:t>
            </w:r>
          </w:p>
        </w:tc>
        <w:tc>
          <w:tcPr>
            <w:tcW w:w="543" w:type="pct"/>
            <w:tcBorders>
              <w:top w:val="nil"/>
              <w:left w:val="nil"/>
              <w:bottom w:val="single" w:sz="4" w:space="0" w:color="auto"/>
              <w:right w:val="single" w:sz="4" w:space="0" w:color="auto"/>
            </w:tcBorders>
            <w:shd w:val="clear" w:color="auto" w:fill="auto"/>
            <w:noWrap/>
            <w:vAlign w:val="bottom"/>
            <w:hideMark/>
          </w:tcPr>
          <w:p w14:paraId="15C1452C"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   </w:t>
            </w:r>
          </w:p>
        </w:tc>
        <w:tc>
          <w:tcPr>
            <w:tcW w:w="565" w:type="pct"/>
            <w:tcBorders>
              <w:top w:val="nil"/>
              <w:left w:val="nil"/>
              <w:bottom w:val="single" w:sz="4" w:space="0" w:color="auto"/>
              <w:right w:val="single" w:sz="4" w:space="0" w:color="auto"/>
            </w:tcBorders>
            <w:shd w:val="clear" w:color="auto" w:fill="auto"/>
            <w:vAlign w:val="bottom"/>
            <w:hideMark/>
          </w:tcPr>
          <w:p w14:paraId="32875D36"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20"/>
                <w:lang w:eastAsia="pt-BR"/>
                <w14:ligatures w14:val="none"/>
              </w:rPr>
              <w:t xml:space="preserve"> - </w:t>
            </w:r>
          </w:p>
        </w:tc>
        <w:tc>
          <w:tcPr>
            <w:tcW w:w="459" w:type="pct"/>
            <w:tcBorders>
              <w:top w:val="nil"/>
              <w:left w:val="nil"/>
              <w:bottom w:val="single" w:sz="4" w:space="0" w:color="auto"/>
              <w:right w:val="single" w:sz="4" w:space="0" w:color="auto"/>
            </w:tcBorders>
            <w:shd w:val="clear" w:color="auto" w:fill="auto"/>
            <w:noWrap/>
            <w:vAlign w:val="bottom"/>
            <w:hideMark/>
          </w:tcPr>
          <w:p w14:paraId="0E0FAB40"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   </w:t>
            </w:r>
          </w:p>
        </w:tc>
        <w:tc>
          <w:tcPr>
            <w:tcW w:w="482" w:type="pct"/>
            <w:tcBorders>
              <w:top w:val="nil"/>
              <w:left w:val="nil"/>
              <w:bottom w:val="single" w:sz="4" w:space="0" w:color="auto"/>
              <w:right w:val="single" w:sz="4" w:space="0" w:color="auto"/>
            </w:tcBorders>
            <w:shd w:val="clear" w:color="auto" w:fill="auto"/>
            <w:vAlign w:val="bottom"/>
            <w:hideMark/>
          </w:tcPr>
          <w:p w14:paraId="0A29666F"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20"/>
                <w:lang w:eastAsia="pt-BR"/>
                <w14:ligatures w14:val="none"/>
              </w:rPr>
              <w:t xml:space="preserve"> - </w:t>
            </w:r>
          </w:p>
        </w:tc>
      </w:tr>
      <w:tr w:rsidR="00A25C77" w:rsidRPr="00A25C77" w14:paraId="154F42A4" w14:textId="77777777" w:rsidTr="00446A14">
        <w:trPr>
          <w:trHeight w:val="290"/>
        </w:trPr>
        <w:tc>
          <w:tcPr>
            <w:tcW w:w="1927" w:type="pct"/>
            <w:tcBorders>
              <w:top w:val="nil"/>
              <w:left w:val="single" w:sz="4" w:space="0" w:color="auto"/>
              <w:bottom w:val="single" w:sz="4" w:space="0" w:color="auto"/>
              <w:right w:val="single" w:sz="4" w:space="0" w:color="auto"/>
            </w:tcBorders>
            <w:shd w:val="clear" w:color="auto" w:fill="auto"/>
            <w:vAlign w:val="center"/>
            <w:hideMark/>
          </w:tcPr>
          <w:p w14:paraId="7312AEB9" w14:textId="77777777" w:rsidR="00A25C77" w:rsidRPr="00A25C77" w:rsidRDefault="00A25C77" w:rsidP="00A25C77">
            <w:pPr>
              <w:spacing w:after="0" w:line="240" w:lineRule="auto"/>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20"/>
                <w:lang w:eastAsia="pt-BR"/>
                <w14:ligatures w14:val="none"/>
              </w:rPr>
              <w:t>2. Ganhos/(Perdas) atuariais não reconhecidos em 31/12/2022</w:t>
            </w:r>
          </w:p>
        </w:tc>
        <w:tc>
          <w:tcPr>
            <w:tcW w:w="543" w:type="pct"/>
            <w:tcBorders>
              <w:top w:val="nil"/>
              <w:left w:val="nil"/>
              <w:bottom w:val="single" w:sz="4" w:space="0" w:color="auto"/>
              <w:right w:val="single" w:sz="4" w:space="0" w:color="auto"/>
            </w:tcBorders>
            <w:shd w:val="clear" w:color="auto" w:fill="auto"/>
            <w:noWrap/>
            <w:vAlign w:val="bottom"/>
            <w:hideMark/>
          </w:tcPr>
          <w:p w14:paraId="2EC5D363"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   </w:t>
            </w:r>
          </w:p>
        </w:tc>
        <w:tc>
          <w:tcPr>
            <w:tcW w:w="482" w:type="pct"/>
            <w:tcBorders>
              <w:top w:val="nil"/>
              <w:left w:val="nil"/>
              <w:bottom w:val="single" w:sz="4" w:space="0" w:color="auto"/>
              <w:right w:val="single" w:sz="4" w:space="0" w:color="auto"/>
            </w:tcBorders>
            <w:shd w:val="clear" w:color="auto" w:fill="auto"/>
            <w:vAlign w:val="bottom"/>
            <w:hideMark/>
          </w:tcPr>
          <w:p w14:paraId="764B5142"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20"/>
                <w:lang w:eastAsia="pt-BR"/>
                <w14:ligatures w14:val="none"/>
              </w:rPr>
              <w:t xml:space="preserve"> - </w:t>
            </w:r>
          </w:p>
        </w:tc>
        <w:tc>
          <w:tcPr>
            <w:tcW w:w="543" w:type="pct"/>
            <w:tcBorders>
              <w:top w:val="nil"/>
              <w:left w:val="nil"/>
              <w:bottom w:val="single" w:sz="4" w:space="0" w:color="auto"/>
              <w:right w:val="single" w:sz="4" w:space="0" w:color="auto"/>
            </w:tcBorders>
            <w:shd w:val="clear" w:color="auto" w:fill="auto"/>
            <w:noWrap/>
            <w:vAlign w:val="bottom"/>
            <w:hideMark/>
          </w:tcPr>
          <w:p w14:paraId="42793814"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   </w:t>
            </w:r>
          </w:p>
        </w:tc>
        <w:tc>
          <w:tcPr>
            <w:tcW w:w="565" w:type="pct"/>
            <w:tcBorders>
              <w:top w:val="nil"/>
              <w:left w:val="nil"/>
              <w:bottom w:val="single" w:sz="4" w:space="0" w:color="auto"/>
              <w:right w:val="single" w:sz="4" w:space="0" w:color="auto"/>
            </w:tcBorders>
            <w:shd w:val="clear" w:color="auto" w:fill="auto"/>
            <w:vAlign w:val="bottom"/>
            <w:hideMark/>
          </w:tcPr>
          <w:p w14:paraId="3F692EB5"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20"/>
                <w:lang w:eastAsia="pt-BR"/>
                <w14:ligatures w14:val="none"/>
              </w:rPr>
              <w:t xml:space="preserve"> - </w:t>
            </w:r>
          </w:p>
        </w:tc>
        <w:tc>
          <w:tcPr>
            <w:tcW w:w="459" w:type="pct"/>
            <w:tcBorders>
              <w:top w:val="nil"/>
              <w:left w:val="nil"/>
              <w:bottom w:val="single" w:sz="4" w:space="0" w:color="auto"/>
              <w:right w:val="single" w:sz="4" w:space="0" w:color="auto"/>
            </w:tcBorders>
            <w:shd w:val="clear" w:color="auto" w:fill="auto"/>
            <w:noWrap/>
            <w:vAlign w:val="bottom"/>
            <w:hideMark/>
          </w:tcPr>
          <w:p w14:paraId="4131AE9E"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   </w:t>
            </w:r>
          </w:p>
        </w:tc>
        <w:tc>
          <w:tcPr>
            <w:tcW w:w="482" w:type="pct"/>
            <w:tcBorders>
              <w:top w:val="nil"/>
              <w:left w:val="nil"/>
              <w:bottom w:val="single" w:sz="4" w:space="0" w:color="auto"/>
              <w:right w:val="single" w:sz="4" w:space="0" w:color="auto"/>
            </w:tcBorders>
            <w:shd w:val="clear" w:color="auto" w:fill="auto"/>
            <w:vAlign w:val="bottom"/>
            <w:hideMark/>
          </w:tcPr>
          <w:p w14:paraId="2A04CD93"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20"/>
                <w:lang w:eastAsia="pt-BR"/>
                <w14:ligatures w14:val="none"/>
              </w:rPr>
              <w:t xml:space="preserve"> - </w:t>
            </w:r>
          </w:p>
        </w:tc>
      </w:tr>
      <w:tr w:rsidR="00A25C77" w:rsidRPr="00A25C77" w14:paraId="2D04B254" w14:textId="77777777" w:rsidTr="00446A14">
        <w:trPr>
          <w:trHeight w:val="420"/>
        </w:trPr>
        <w:tc>
          <w:tcPr>
            <w:tcW w:w="1927" w:type="pct"/>
            <w:tcBorders>
              <w:top w:val="nil"/>
              <w:left w:val="single" w:sz="4" w:space="0" w:color="auto"/>
              <w:bottom w:val="single" w:sz="4" w:space="0" w:color="auto"/>
              <w:right w:val="single" w:sz="4" w:space="0" w:color="auto"/>
            </w:tcBorders>
            <w:shd w:val="clear" w:color="auto" w:fill="auto"/>
            <w:vAlign w:val="center"/>
            <w:hideMark/>
          </w:tcPr>
          <w:p w14:paraId="1CBC56EF" w14:textId="77777777" w:rsidR="00A25C77" w:rsidRPr="00A25C77" w:rsidRDefault="00A25C77" w:rsidP="00A25C77">
            <w:pPr>
              <w:spacing w:after="0" w:line="240" w:lineRule="auto"/>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20"/>
                <w:lang w:eastAsia="pt-BR"/>
                <w14:ligatures w14:val="none"/>
              </w:rPr>
              <w:t>3. Ganhos/(Perdas) atuariais para o ano sobre a obrigação</w:t>
            </w:r>
          </w:p>
        </w:tc>
        <w:tc>
          <w:tcPr>
            <w:tcW w:w="543" w:type="pct"/>
            <w:tcBorders>
              <w:top w:val="nil"/>
              <w:left w:val="nil"/>
              <w:bottom w:val="single" w:sz="4" w:space="0" w:color="auto"/>
              <w:right w:val="single" w:sz="4" w:space="0" w:color="auto"/>
            </w:tcBorders>
            <w:shd w:val="clear" w:color="auto" w:fill="auto"/>
            <w:noWrap/>
            <w:vAlign w:val="bottom"/>
            <w:hideMark/>
          </w:tcPr>
          <w:p w14:paraId="005FE200"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(26.232)</w:t>
            </w:r>
          </w:p>
        </w:tc>
        <w:tc>
          <w:tcPr>
            <w:tcW w:w="482" w:type="pct"/>
            <w:tcBorders>
              <w:top w:val="nil"/>
              <w:left w:val="nil"/>
              <w:bottom w:val="single" w:sz="4" w:space="0" w:color="auto"/>
              <w:right w:val="single" w:sz="4" w:space="0" w:color="auto"/>
            </w:tcBorders>
            <w:shd w:val="clear" w:color="auto" w:fill="auto"/>
            <w:vAlign w:val="bottom"/>
            <w:hideMark/>
          </w:tcPr>
          <w:p w14:paraId="796DBEF0"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46.420 </w:t>
            </w:r>
          </w:p>
        </w:tc>
        <w:tc>
          <w:tcPr>
            <w:tcW w:w="543" w:type="pct"/>
            <w:tcBorders>
              <w:top w:val="nil"/>
              <w:left w:val="nil"/>
              <w:bottom w:val="single" w:sz="4" w:space="0" w:color="auto"/>
              <w:right w:val="single" w:sz="4" w:space="0" w:color="auto"/>
            </w:tcBorders>
            <w:shd w:val="clear" w:color="auto" w:fill="auto"/>
            <w:noWrap/>
            <w:vAlign w:val="bottom"/>
            <w:hideMark/>
          </w:tcPr>
          <w:p w14:paraId="0242EC16"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(10.867)</w:t>
            </w:r>
          </w:p>
        </w:tc>
        <w:tc>
          <w:tcPr>
            <w:tcW w:w="565" w:type="pct"/>
            <w:tcBorders>
              <w:top w:val="nil"/>
              <w:left w:val="nil"/>
              <w:bottom w:val="single" w:sz="4" w:space="0" w:color="auto"/>
              <w:right w:val="single" w:sz="4" w:space="0" w:color="auto"/>
            </w:tcBorders>
            <w:shd w:val="clear" w:color="auto" w:fill="auto"/>
            <w:vAlign w:val="bottom"/>
            <w:hideMark/>
          </w:tcPr>
          <w:p w14:paraId="5C67C342"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5.093 </w:t>
            </w:r>
          </w:p>
        </w:tc>
        <w:tc>
          <w:tcPr>
            <w:tcW w:w="459" w:type="pct"/>
            <w:tcBorders>
              <w:top w:val="nil"/>
              <w:left w:val="nil"/>
              <w:bottom w:val="single" w:sz="4" w:space="0" w:color="auto"/>
              <w:right w:val="single" w:sz="4" w:space="0" w:color="auto"/>
            </w:tcBorders>
            <w:shd w:val="clear" w:color="auto" w:fill="auto"/>
            <w:noWrap/>
            <w:vAlign w:val="bottom"/>
            <w:hideMark/>
          </w:tcPr>
          <w:p w14:paraId="13BAAED2"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(36.978)</w:t>
            </w:r>
          </w:p>
        </w:tc>
        <w:tc>
          <w:tcPr>
            <w:tcW w:w="482" w:type="pct"/>
            <w:tcBorders>
              <w:top w:val="nil"/>
              <w:left w:val="nil"/>
              <w:bottom w:val="single" w:sz="4" w:space="0" w:color="auto"/>
              <w:right w:val="single" w:sz="4" w:space="0" w:color="auto"/>
            </w:tcBorders>
            <w:shd w:val="clear" w:color="auto" w:fill="auto"/>
            <w:vAlign w:val="bottom"/>
            <w:hideMark/>
          </w:tcPr>
          <w:p w14:paraId="7BD171B9"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(95.864)</w:t>
            </w:r>
          </w:p>
        </w:tc>
      </w:tr>
      <w:tr w:rsidR="00A25C77" w:rsidRPr="00A25C77" w14:paraId="40C43F91" w14:textId="77777777" w:rsidTr="00446A14">
        <w:trPr>
          <w:trHeight w:val="290"/>
        </w:trPr>
        <w:tc>
          <w:tcPr>
            <w:tcW w:w="1927" w:type="pct"/>
            <w:tcBorders>
              <w:top w:val="nil"/>
              <w:left w:val="single" w:sz="4" w:space="0" w:color="auto"/>
              <w:bottom w:val="single" w:sz="4" w:space="0" w:color="auto"/>
              <w:right w:val="single" w:sz="4" w:space="0" w:color="auto"/>
            </w:tcBorders>
            <w:shd w:val="clear" w:color="auto" w:fill="auto"/>
            <w:vAlign w:val="center"/>
            <w:hideMark/>
          </w:tcPr>
          <w:p w14:paraId="283A1E8D" w14:textId="77777777" w:rsidR="00A25C77" w:rsidRPr="00A25C77" w:rsidRDefault="00A25C77" w:rsidP="00A25C77">
            <w:pPr>
              <w:spacing w:after="0" w:line="240" w:lineRule="auto"/>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20"/>
                <w:lang w:eastAsia="pt-BR"/>
                <w14:ligatures w14:val="none"/>
              </w:rPr>
              <w:t>4. Ganhos/(Perdas) atuariais para o ano sobre os ativos do plano</w:t>
            </w:r>
          </w:p>
        </w:tc>
        <w:tc>
          <w:tcPr>
            <w:tcW w:w="543" w:type="pct"/>
            <w:tcBorders>
              <w:top w:val="nil"/>
              <w:left w:val="nil"/>
              <w:bottom w:val="single" w:sz="4" w:space="0" w:color="auto"/>
              <w:right w:val="single" w:sz="4" w:space="0" w:color="auto"/>
            </w:tcBorders>
            <w:shd w:val="clear" w:color="auto" w:fill="auto"/>
            <w:noWrap/>
            <w:vAlign w:val="bottom"/>
            <w:hideMark/>
          </w:tcPr>
          <w:p w14:paraId="58B2DF7D"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35.816 </w:t>
            </w:r>
          </w:p>
        </w:tc>
        <w:tc>
          <w:tcPr>
            <w:tcW w:w="482" w:type="pct"/>
            <w:tcBorders>
              <w:top w:val="nil"/>
              <w:left w:val="nil"/>
              <w:bottom w:val="single" w:sz="4" w:space="0" w:color="auto"/>
              <w:right w:val="single" w:sz="4" w:space="0" w:color="auto"/>
            </w:tcBorders>
            <w:shd w:val="clear" w:color="auto" w:fill="auto"/>
            <w:vAlign w:val="bottom"/>
            <w:hideMark/>
          </w:tcPr>
          <w:p w14:paraId="61349733"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(329.277)</w:t>
            </w:r>
          </w:p>
        </w:tc>
        <w:tc>
          <w:tcPr>
            <w:tcW w:w="543" w:type="pct"/>
            <w:tcBorders>
              <w:top w:val="nil"/>
              <w:left w:val="nil"/>
              <w:bottom w:val="single" w:sz="4" w:space="0" w:color="auto"/>
              <w:right w:val="single" w:sz="4" w:space="0" w:color="auto"/>
            </w:tcBorders>
            <w:shd w:val="clear" w:color="auto" w:fill="auto"/>
            <w:noWrap/>
            <w:vAlign w:val="bottom"/>
            <w:hideMark/>
          </w:tcPr>
          <w:p w14:paraId="399962BC"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48.238 </w:t>
            </w:r>
          </w:p>
        </w:tc>
        <w:tc>
          <w:tcPr>
            <w:tcW w:w="565" w:type="pct"/>
            <w:tcBorders>
              <w:top w:val="nil"/>
              <w:left w:val="nil"/>
              <w:bottom w:val="single" w:sz="4" w:space="0" w:color="auto"/>
              <w:right w:val="single" w:sz="4" w:space="0" w:color="auto"/>
            </w:tcBorders>
            <w:shd w:val="clear" w:color="auto" w:fill="auto"/>
            <w:vAlign w:val="bottom"/>
            <w:hideMark/>
          </w:tcPr>
          <w:p w14:paraId="4C6D8CA7"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2.060 </w:t>
            </w:r>
          </w:p>
        </w:tc>
        <w:tc>
          <w:tcPr>
            <w:tcW w:w="459" w:type="pct"/>
            <w:tcBorders>
              <w:top w:val="nil"/>
              <w:left w:val="nil"/>
              <w:bottom w:val="single" w:sz="4" w:space="0" w:color="auto"/>
              <w:right w:val="single" w:sz="4" w:space="0" w:color="auto"/>
            </w:tcBorders>
            <w:shd w:val="clear" w:color="auto" w:fill="auto"/>
            <w:noWrap/>
            <w:vAlign w:val="bottom"/>
            <w:hideMark/>
          </w:tcPr>
          <w:p w14:paraId="21B9D203"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225.716 </w:t>
            </w:r>
          </w:p>
        </w:tc>
        <w:tc>
          <w:tcPr>
            <w:tcW w:w="482" w:type="pct"/>
            <w:tcBorders>
              <w:top w:val="nil"/>
              <w:left w:val="nil"/>
              <w:bottom w:val="single" w:sz="4" w:space="0" w:color="auto"/>
              <w:right w:val="single" w:sz="4" w:space="0" w:color="auto"/>
            </w:tcBorders>
            <w:shd w:val="clear" w:color="auto" w:fill="auto"/>
            <w:vAlign w:val="bottom"/>
            <w:hideMark/>
          </w:tcPr>
          <w:p w14:paraId="70BA93C7"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3.578 </w:t>
            </w:r>
          </w:p>
        </w:tc>
      </w:tr>
      <w:tr w:rsidR="00A25C77" w:rsidRPr="00A25C77" w14:paraId="4D81CAFE" w14:textId="77777777" w:rsidTr="00446A14">
        <w:trPr>
          <w:trHeight w:val="430"/>
        </w:trPr>
        <w:tc>
          <w:tcPr>
            <w:tcW w:w="1927" w:type="pct"/>
            <w:tcBorders>
              <w:top w:val="nil"/>
              <w:left w:val="single" w:sz="4" w:space="0" w:color="auto"/>
              <w:bottom w:val="single" w:sz="4" w:space="0" w:color="auto"/>
              <w:right w:val="single" w:sz="4" w:space="0" w:color="auto"/>
            </w:tcBorders>
            <w:shd w:val="clear" w:color="auto" w:fill="auto"/>
            <w:vAlign w:val="center"/>
            <w:hideMark/>
          </w:tcPr>
          <w:p w14:paraId="43C76455" w14:textId="77777777" w:rsidR="00A25C77" w:rsidRPr="00A25C77" w:rsidRDefault="00A25C77" w:rsidP="00A25C77">
            <w:pPr>
              <w:spacing w:after="0" w:line="240" w:lineRule="auto"/>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20"/>
                <w:lang w:eastAsia="pt-BR"/>
                <w14:ligatures w14:val="none"/>
              </w:rPr>
              <w:t>5. Ganhos/(Perdas) atuariais do exercício</w:t>
            </w:r>
          </w:p>
        </w:tc>
        <w:tc>
          <w:tcPr>
            <w:tcW w:w="543" w:type="pct"/>
            <w:tcBorders>
              <w:top w:val="nil"/>
              <w:left w:val="nil"/>
              <w:bottom w:val="single" w:sz="4" w:space="0" w:color="auto"/>
              <w:right w:val="single" w:sz="4" w:space="0" w:color="auto"/>
            </w:tcBorders>
            <w:shd w:val="clear" w:color="auto" w:fill="auto"/>
            <w:noWrap/>
            <w:vAlign w:val="bottom"/>
            <w:hideMark/>
          </w:tcPr>
          <w:p w14:paraId="5360F5BB"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9.584 </w:t>
            </w:r>
          </w:p>
        </w:tc>
        <w:tc>
          <w:tcPr>
            <w:tcW w:w="482" w:type="pct"/>
            <w:tcBorders>
              <w:top w:val="nil"/>
              <w:left w:val="nil"/>
              <w:bottom w:val="single" w:sz="4" w:space="0" w:color="auto"/>
              <w:right w:val="single" w:sz="4" w:space="0" w:color="auto"/>
            </w:tcBorders>
            <w:shd w:val="clear" w:color="auto" w:fill="auto"/>
            <w:vAlign w:val="bottom"/>
            <w:hideMark/>
          </w:tcPr>
          <w:p w14:paraId="49BFF381"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(282.857)</w:t>
            </w:r>
          </w:p>
        </w:tc>
        <w:tc>
          <w:tcPr>
            <w:tcW w:w="543" w:type="pct"/>
            <w:tcBorders>
              <w:top w:val="nil"/>
              <w:left w:val="nil"/>
              <w:bottom w:val="single" w:sz="4" w:space="0" w:color="auto"/>
              <w:right w:val="single" w:sz="4" w:space="0" w:color="auto"/>
            </w:tcBorders>
            <w:shd w:val="clear" w:color="auto" w:fill="auto"/>
            <w:noWrap/>
            <w:vAlign w:val="bottom"/>
            <w:hideMark/>
          </w:tcPr>
          <w:p w14:paraId="63ED7D45"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37.370 </w:t>
            </w:r>
          </w:p>
        </w:tc>
        <w:tc>
          <w:tcPr>
            <w:tcW w:w="565" w:type="pct"/>
            <w:tcBorders>
              <w:top w:val="nil"/>
              <w:left w:val="nil"/>
              <w:bottom w:val="single" w:sz="4" w:space="0" w:color="auto"/>
              <w:right w:val="single" w:sz="4" w:space="0" w:color="auto"/>
            </w:tcBorders>
            <w:shd w:val="clear" w:color="auto" w:fill="auto"/>
            <w:vAlign w:val="bottom"/>
            <w:hideMark/>
          </w:tcPr>
          <w:p w14:paraId="28EB9F01"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7.153 </w:t>
            </w:r>
          </w:p>
        </w:tc>
        <w:tc>
          <w:tcPr>
            <w:tcW w:w="459" w:type="pct"/>
            <w:tcBorders>
              <w:top w:val="nil"/>
              <w:left w:val="nil"/>
              <w:bottom w:val="single" w:sz="4" w:space="0" w:color="auto"/>
              <w:right w:val="single" w:sz="4" w:space="0" w:color="auto"/>
            </w:tcBorders>
            <w:shd w:val="clear" w:color="auto" w:fill="auto"/>
            <w:noWrap/>
            <w:vAlign w:val="bottom"/>
            <w:hideMark/>
          </w:tcPr>
          <w:p w14:paraId="723FA228"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188.737 </w:t>
            </w:r>
          </w:p>
        </w:tc>
        <w:tc>
          <w:tcPr>
            <w:tcW w:w="482" w:type="pct"/>
            <w:tcBorders>
              <w:top w:val="nil"/>
              <w:left w:val="nil"/>
              <w:bottom w:val="single" w:sz="4" w:space="0" w:color="auto"/>
              <w:right w:val="single" w:sz="4" w:space="0" w:color="auto"/>
            </w:tcBorders>
            <w:shd w:val="clear" w:color="auto" w:fill="auto"/>
            <w:vAlign w:val="bottom"/>
            <w:hideMark/>
          </w:tcPr>
          <w:p w14:paraId="0E3CCC99"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(92.286)</w:t>
            </w:r>
          </w:p>
        </w:tc>
      </w:tr>
      <w:tr w:rsidR="00A25C77" w:rsidRPr="00A25C77" w14:paraId="4CABCBC6" w14:textId="77777777" w:rsidTr="00446A14">
        <w:trPr>
          <w:trHeight w:val="290"/>
        </w:trPr>
        <w:tc>
          <w:tcPr>
            <w:tcW w:w="1927" w:type="pct"/>
            <w:tcBorders>
              <w:top w:val="nil"/>
              <w:left w:val="single" w:sz="4" w:space="0" w:color="auto"/>
              <w:bottom w:val="single" w:sz="4" w:space="0" w:color="auto"/>
              <w:right w:val="single" w:sz="4" w:space="0" w:color="auto"/>
            </w:tcBorders>
            <w:shd w:val="clear" w:color="auto" w:fill="auto"/>
            <w:vAlign w:val="center"/>
            <w:hideMark/>
          </w:tcPr>
          <w:p w14:paraId="07556212" w14:textId="77777777" w:rsidR="00A25C77" w:rsidRPr="00A25C77" w:rsidRDefault="00A25C77" w:rsidP="00A25C77">
            <w:pPr>
              <w:spacing w:after="0" w:line="240" w:lineRule="auto"/>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20"/>
                <w:lang w:eastAsia="pt-BR"/>
                <w14:ligatures w14:val="none"/>
              </w:rPr>
              <w:t>6. Ganhos/(perdas) atuariais e serviço passado não reconhecidos</w:t>
            </w:r>
          </w:p>
        </w:tc>
        <w:tc>
          <w:tcPr>
            <w:tcW w:w="543" w:type="pct"/>
            <w:tcBorders>
              <w:top w:val="nil"/>
              <w:left w:val="nil"/>
              <w:bottom w:val="single" w:sz="4" w:space="0" w:color="auto"/>
              <w:right w:val="single" w:sz="4" w:space="0" w:color="auto"/>
            </w:tcBorders>
            <w:shd w:val="clear" w:color="auto" w:fill="auto"/>
            <w:noWrap/>
            <w:vAlign w:val="bottom"/>
            <w:hideMark/>
          </w:tcPr>
          <w:p w14:paraId="71A00050"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w:t>
            </w:r>
          </w:p>
        </w:tc>
        <w:tc>
          <w:tcPr>
            <w:tcW w:w="482" w:type="pct"/>
            <w:tcBorders>
              <w:top w:val="nil"/>
              <w:left w:val="nil"/>
              <w:bottom w:val="single" w:sz="4" w:space="0" w:color="auto"/>
              <w:right w:val="single" w:sz="4" w:space="0" w:color="auto"/>
            </w:tcBorders>
            <w:shd w:val="clear" w:color="auto" w:fill="auto"/>
            <w:vAlign w:val="bottom"/>
            <w:hideMark/>
          </w:tcPr>
          <w:p w14:paraId="2238EA9C"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20"/>
                <w:lang w:eastAsia="pt-BR"/>
                <w14:ligatures w14:val="none"/>
              </w:rPr>
              <w:t xml:space="preserve"> - </w:t>
            </w:r>
          </w:p>
        </w:tc>
        <w:tc>
          <w:tcPr>
            <w:tcW w:w="543" w:type="pct"/>
            <w:tcBorders>
              <w:top w:val="nil"/>
              <w:left w:val="nil"/>
              <w:bottom w:val="single" w:sz="4" w:space="0" w:color="auto"/>
              <w:right w:val="single" w:sz="4" w:space="0" w:color="auto"/>
            </w:tcBorders>
            <w:shd w:val="clear" w:color="auto" w:fill="auto"/>
            <w:noWrap/>
            <w:vAlign w:val="bottom"/>
            <w:hideMark/>
          </w:tcPr>
          <w:p w14:paraId="7C8D2BB9"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w:t>
            </w:r>
          </w:p>
        </w:tc>
        <w:tc>
          <w:tcPr>
            <w:tcW w:w="565" w:type="pct"/>
            <w:tcBorders>
              <w:top w:val="nil"/>
              <w:left w:val="nil"/>
              <w:bottom w:val="single" w:sz="4" w:space="0" w:color="auto"/>
              <w:right w:val="single" w:sz="4" w:space="0" w:color="auto"/>
            </w:tcBorders>
            <w:shd w:val="clear" w:color="auto" w:fill="auto"/>
            <w:vAlign w:val="bottom"/>
            <w:hideMark/>
          </w:tcPr>
          <w:p w14:paraId="4ED35C3B"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20"/>
                <w:lang w:eastAsia="pt-BR"/>
                <w14:ligatures w14:val="none"/>
              </w:rPr>
              <w:t xml:space="preserve"> - </w:t>
            </w:r>
          </w:p>
        </w:tc>
        <w:tc>
          <w:tcPr>
            <w:tcW w:w="459" w:type="pct"/>
            <w:tcBorders>
              <w:top w:val="nil"/>
              <w:left w:val="nil"/>
              <w:bottom w:val="single" w:sz="4" w:space="0" w:color="auto"/>
              <w:right w:val="single" w:sz="4" w:space="0" w:color="auto"/>
            </w:tcBorders>
            <w:shd w:val="clear" w:color="auto" w:fill="auto"/>
            <w:noWrap/>
            <w:vAlign w:val="bottom"/>
            <w:hideMark/>
          </w:tcPr>
          <w:p w14:paraId="1D861F5F"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w:t>
            </w:r>
          </w:p>
        </w:tc>
        <w:tc>
          <w:tcPr>
            <w:tcW w:w="482" w:type="pct"/>
            <w:tcBorders>
              <w:top w:val="nil"/>
              <w:left w:val="nil"/>
              <w:bottom w:val="single" w:sz="4" w:space="0" w:color="auto"/>
              <w:right w:val="single" w:sz="4" w:space="0" w:color="auto"/>
            </w:tcBorders>
            <w:shd w:val="clear" w:color="auto" w:fill="auto"/>
            <w:vAlign w:val="bottom"/>
            <w:hideMark/>
          </w:tcPr>
          <w:p w14:paraId="3D6E547B"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20"/>
                <w:lang w:eastAsia="pt-BR"/>
                <w14:ligatures w14:val="none"/>
              </w:rPr>
              <w:t xml:space="preserve"> - </w:t>
            </w:r>
          </w:p>
        </w:tc>
      </w:tr>
    </w:tbl>
    <w:p w14:paraId="14F2A713" w14:textId="17C48BF3" w:rsidR="00A25C77" w:rsidRPr="00A25C77" w:rsidRDefault="00A25C77" w:rsidP="00A25C77">
      <w:pPr>
        <w:autoSpaceDE w:val="0"/>
        <w:autoSpaceDN w:val="0"/>
        <w:adjustRightInd w:val="0"/>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32.5.7. </w:t>
      </w:r>
      <w:r w:rsidRPr="00A25C77">
        <w:rPr>
          <w:rFonts w:ascii="Calibri" w:eastAsia="Times New Roman" w:hAnsi="Calibri" w:cs="Calibri"/>
          <w:b/>
          <w:bCs/>
          <w:iCs/>
          <w:color w:val="002060"/>
          <w:kern w:val="0"/>
          <w14:ligatures w14:val="none"/>
        </w:rPr>
        <w:t>Cálculo da Obrigação Atuarial Descoberta</w:t>
      </w:r>
    </w:p>
    <w:tbl>
      <w:tblPr>
        <w:tblW w:w="5000" w:type="pct"/>
        <w:tblCellMar>
          <w:left w:w="70" w:type="dxa"/>
          <w:right w:w="70" w:type="dxa"/>
        </w:tblCellMar>
        <w:tblLook w:val="04A0" w:firstRow="1" w:lastRow="0" w:firstColumn="1" w:lastColumn="0" w:noHBand="0" w:noVBand="1"/>
      </w:tblPr>
      <w:tblGrid>
        <w:gridCol w:w="3963"/>
        <w:gridCol w:w="993"/>
        <w:gridCol w:w="1010"/>
        <w:gridCol w:w="961"/>
        <w:gridCol w:w="942"/>
        <w:gridCol w:w="961"/>
        <w:gridCol w:w="941"/>
      </w:tblGrid>
      <w:tr w:rsidR="00A25C77" w:rsidRPr="00A25C77" w14:paraId="1C624128" w14:textId="77777777" w:rsidTr="00A25C77">
        <w:trPr>
          <w:trHeight w:val="290"/>
        </w:trPr>
        <w:tc>
          <w:tcPr>
            <w:tcW w:w="2028"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7CBAF08F" w14:textId="77777777" w:rsidR="00A25C77" w:rsidRPr="00A25C77" w:rsidRDefault="00A25C77" w:rsidP="00A25C77">
            <w:pPr>
              <w:spacing w:after="0" w:line="240" w:lineRule="auto"/>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 xml:space="preserve">Composição: </w:t>
            </w:r>
          </w:p>
        </w:tc>
        <w:tc>
          <w:tcPr>
            <w:tcW w:w="1025" w:type="pct"/>
            <w:gridSpan w:val="2"/>
            <w:tcBorders>
              <w:top w:val="single" w:sz="4" w:space="0" w:color="auto"/>
              <w:left w:val="nil"/>
              <w:bottom w:val="single" w:sz="4" w:space="0" w:color="auto"/>
              <w:right w:val="single" w:sz="4" w:space="0" w:color="auto"/>
            </w:tcBorders>
            <w:shd w:val="clear" w:color="auto" w:fill="auto"/>
            <w:vAlign w:val="center"/>
            <w:hideMark/>
          </w:tcPr>
          <w:p w14:paraId="2AAB8B45"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 xml:space="preserve"> PBS-A </w:t>
            </w:r>
          </w:p>
        </w:tc>
        <w:tc>
          <w:tcPr>
            <w:tcW w:w="974" w:type="pct"/>
            <w:gridSpan w:val="2"/>
            <w:tcBorders>
              <w:top w:val="single" w:sz="4" w:space="0" w:color="auto"/>
              <w:left w:val="nil"/>
              <w:bottom w:val="single" w:sz="4" w:space="0" w:color="auto"/>
              <w:right w:val="single" w:sz="4" w:space="0" w:color="auto"/>
            </w:tcBorders>
            <w:shd w:val="clear" w:color="auto" w:fill="auto"/>
            <w:vAlign w:val="center"/>
            <w:hideMark/>
          </w:tcPr>
          <w:p w14:paraId="120AB082"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 xml:space="preserve"> PBS-Telebras </w:t>
            </w:r>
          </w:p>
        </w:tc>
        <w:tc>
          <w:tcPr>
            <w:tcW w:w="973" w:type="pct"/>
            <w:gridSpan w:val="2"/>
            <w:tcBorders>
              <w:top w:val="single" w:sz="4" w:space="0" w:color="auto"/>
              <w:left w:val="nil"/>
              <w:bottom w:val="single" w:sz="4" w:space="0" w:color="auto"/>
              <w:right w:val="single" w:sz="4" w:space="0" w:color="auto"/>
            </w:tcBorders>
            <w:shd w:val="clear" w:color="auto" w:fill="auto"/>
            <w:vAlign w:val="center"/>
            <w:hideMark/>
          </w:tcPr>
          <w:p w14:paraId="3F2227EB"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 xml:space="preserve"> Telebras PREV </w:t>
            </w:r>
          </w:p>
        </w:tc>
      </w:tr>
      <w:tr w:rsidR="00A25C77" w:rsidRPr="00A25C77" w14:paraId="2DA75F50" w14:textId="77777777" w:rsidTr="00446A14">
        <w:trPr>
          <w:trHeight w:val="290"/>
        </w:trPr>
        <w:tc>
          <w:tcPr>
            <w:tcW w:w="2028" w:type="pct"/>
            <w:vMerge/>
            <w:tcBorders>
              <w:top w:val="single" w:sz="4" w:space="0" w:color="auto"/>
              <w:left w:val="single" w:sz="4" w:space="0" w:color="auto"/>
              <w:bottom w:val="single" w:sz="4" w:space="0" w:color="auto"/>
              <w:right w:val="single" w:sz="4" w:space="0" w:color="auto"/>
            </w:tcBorders>
            <w:vAlign w:val="center"/>
            <w:hideMark/>
          </w:tcPr>
          <w:p w14:paraId="006A6CC2" w14:textId="77777777" w:rsidR="00A25C77" w:rsidRPr="00A25C77" w:rsidRDefault="00A25C77" w:rsidP="00A25C77">
            <w:pPr>
              <w:spacing w:after="0" w:line="240" w:lineRule="auto"/>
              <w:rPr>
                <w:rFonts w:ascii="Times New Roman" w:eastAsia="Times New Roman" w:hAnsi="Times New Roman" w:cs="Times New Roman"/>
                <w:b/>
                <w:bCs/>
                <w:color w:val="000000"/>
                <w:kern w:val="0"/>
                <w:sz w:val="20"/>
                <w:szCs w:val="20"/>
                <w:lang w:eastAsia="pt-BR"/>
                <w14:ligatures w14:val="none"/>
              </w:rPr>
            </w:pPr>
          </w:p>
        </w:tc>
        <w:tc>
          <w:tcPr>
            <w:tcW w:w="508" w:type="pct"/>
            <w:tcBorders>
              <w:top w:val="nil"/>
              <w:left w:val="nil"/>
              <w:bottom w:val="single" w:sz="4" w:space="0" w:color="auto"/>
              <w:right w:val="single" w:sz="4" w:space="0" w:color="auto"/>
            </w:tcBorders>
            <w:shd w:val="clear" w:color="auto" w:fill="auto"/>
            <w:vAlign w:val="center"/>
            <w:hideMark/>
          </w:tcPr>
          <w:p w14:paraId="0DDAFE0F"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31/12/2023</w:t>
            </w:r>
          </w:p>
        </w:tc>
        <w:tc>
          <w:tcPr>
            <w:tcW w:w="517" w:type="pct"/>
            <w:tcBorders>
              <w:top w:val="nil"/>
              <w:left w:val="nil"/>
              <w:bottom w:val="single" w:sz="4" w:space="0" w:color="auto"/>
              <w:right w:val="single" w:sz="4" w:space="0" w:color="auto"/>
            </w:tcBorders>
            <w:shd w:val="clear" w:color="auto" w:fill="auto"/>
            <w:vAlign w:val="center"/>
            <w:hideMark/>
          </w:tcPr>
          <w:p w14:paraId="2551460A"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31/12/2022</w:t>
            </w:r>
          </w:p>
        </w:tc>
        <w:tc>
          <w:tcPr>
            <w:tcW w:w="492" w:type="pct"/>
            <w:tcBorders>
              <w:top w:val="nil"/>
              <w:left w:val="nil"/>
              <w:bottom w:val="single" w:sz="4" w:space="0" w:color="auto"/>
              <w:right w:val="single" w:sz="4" w:space="0" w:color="auto"/>
            </w:tcBorders>
            <w:shd w:val="clear" w:color="auto" w:fill="auto"/>
            <w:vAlign w:val="center"/>
            <w:hideMark/>
          </w:tcPr>
          <w:p w14:paraId="39F8C2A4"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31/12/2023</w:t>
            </w:r>
          </w:p>
        </w:tc>
        <w:tc>
          <w:tcPr>
            <w:tcW w:w="482" w:type="pct"/>
            <w:tcBorders>
              <w:top w:val="nil"/>
              <w:left w:val="nil"/>
              <w:bottom w:val="single" w:sz="4" w:space="0" w:color="auto"/>
              <w:right w:val="single" w:sz="4" w:space="0" w:color="auto"/>
            </w:tcBorders>
            <w:shd w:val="clear" w:color="auto" w:fill="auto"/>
            <w:vAlign w:val="center"/>
            <w:hideMark/>
          </w:tcPr>
          <w:p w14:paraId="174FD6F9"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31/12/2022</w:t>
            </w:r>
          </w:p>
        </w:tc>
        <w:tc>
          <w:tcPr>
            <w:tcW w:w="492" w:type="pct"/>
            <w:tcBorders>
              <w:top w:val="nil"/>
              <w:left w:val="nil"/>
              <w:bottom w:val="single" w:sz="4" w:space="0" w:color="auto"/>
              <w:right w:val="single" w:sz="4" w:space="0" w:color="auto"/>
            </w:tcBorders>
            <w:shd w:val="clear" w:color="auto" w:fill="auto"/>
            <w:vAlign w:val="center"/>
            <w:hideMark/>
          </w:tcPr>
          <w:p w14:paraId="6CF6D1E4"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31/12/2023</w:t>
            </w:r>
          </w:p>
        </w:tc>
        <w:tc>
          <w:tcPr>
            <w:tcW w:w="482" w:type="pct"/>
            <w:tcBorders>
              <w:top w:val="nil"/>
              <w:left w:val="nil"/>
              <w:bottom w:val="single" w:sz="4" w:space="0" w:color="auto"/>
              <w:right w:val="single" w:sz="4" w:space="0" w:color="auto"/>
            </w:tcBorders>
            <w:shd w:val="clear" w:color="auto" w:fill="auto"/>
            <w:vAlign w:val="center"/>
            <w:hideMark/>
          </w:tcPr>
          <w:p w14:paraId="53DF03F3"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31/12/2022</w:t>
            </w:r>
          </w:p>
        </w:tc>
      </w:tr>
      <w:tr w:rsidR="00A25C77" w:rsidRPr="00A25C77" w14:paraId="597C5A9F" w14:textId="77777777" w:rsidTr="00446A14">
        <w:trPr>
          <w:trHeight w:val="290"/>
        </w:trPr>
        <w:tc>
          <w:tcPr>
            <w:tcW w:w="2028" w:type="pct"/>
            <w:tcBorders>
              <w:top w:val="nil"/>
              <w:left w:val="single" w:sz="4" w:space="0" w:color="auto"/>
              <w:bottom w:val="single" w:sz="4" w:space="0" w:color="auto"/>
              <w:right w:val="single" w:sz="4" w:space="0" w:color="auto"/>
            </w:tcBorders>
            <w:shd w:val="clear" w:color="auto" w:fill="auto"/>
            <w:vAlign w:val="center"/>
            <w:hideMark/>
          </w:tcPr>
          <w:p w14:paraId="09005855" w14:textId="77777777" w:rsidR="00A25C77" w:rsidRPr="00A25C77" w:rsidRDefault="00A25C77" w:rsidP="00A25C77">
            <w:pPr>
              <w:spacing w:after="0" w:line="240" w:lineRule="auto"/>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20"/>
                <w:lang w:eastAsia="pt-BR"/>
                <w14:ligatures w14:val="none"/>
              </w:rPr>
              <w:t>1. Valor presente da obrigação</w:t>
            </w:r>
          </w:p>
        </w:tc>
        <w:tc>
          <w:tcPr>
            <w:tcW w:w="508" w:type="pct"/>
            <w:tcBorders>
              <w:top w:val="nil"/>
              <w:left w:val="nil"/>
              <w:bottom w:val="single" w:sz="4" w:space="0" w:color="auto"/>
              <w:right w:val="single" w:sz="4" w:space="0" w:color="auto"/>
            </w:tcBorders>
            <w:shd w:val="clear" w:color="auto" w:fill="auto"/>
            <w:noWrap/>
            <w:vAlign w:val="bottom"/>
            <w:hideMark/>
          </w:tcPr>
          <w:p w14:paraId="6D49674E"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592.165 </w:t>
            </w:r>
          </w:p>
        </w:tc>
        <w:tc>
          <w:tcPr>
            <w:tcW w:w="517" w:type="pct"/>
            <w:tcBorders>
              <w:top w:val="nil"/>
              <w:left w:val="nil"/>
              <w:bottom w:val="single" w:sz="4" w:space="0" w:color="auto"/>
              <w:right w:val="single" w:sz="4" w:space="0" w:color="auto"/>
            </w:tcBorders>
            <w:shd w:val="clear" w:color="auto" w:fill="auto"/>
            <w:vAlign w:val="bottom"/>
            <w:hideMark/>
          </w:tcPr>
          <w:p w14:paraId="340CFE8B"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567.438 </w:t>
            </w:r>
          </w:p>
        </w:tc>
        <w:tc>
          <w:tcPr>
            <w:tcW w:w="492" w:type="pct"/>
            <w:tcBorders>
              <w:top w:val="nil"/>
              <w:left w:val="nil"/>
              <w:bottom w:val="single" w:sz="4" w:space="0" w:color="auto"/>
              <w:right w:val="single" w:sz="4" w:space="0" w:color="auto"/>
            </w:tcBorders>
            <w:shd w:val="clear" w:color="auto" w:fill="auto"/>
            <w:noWrap/>
            <w:vAlign w:val="bottom"/>
            <w:hideMark/>
          </w:tcPr>
          <w:p w14:paraId="718DE0DA"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218.276 </w:t>
            </w:r>
          </w:p>
        </w:tc>
        <w:tc>
          <w:tcPr>
            <w:tcW w:w="482" w:type="pct"/>
            <w:tcBorders>
              <w:top w:val="nil"/>
              <w:left w:val="nil"/>
              <w:bottom w:val="single" w:sz="4" w:space="0" w:color="auto"/>
              <w:right w:val="single" w:sz="4" w:space="0" w:color="auto"/>
            </w:tcBorders>
            <w:shd w:val="clear" w:color="auto" w:fill="auto"/>
            <w:vAlign w:val="bottom"/>
            <w:hideMark/>
          </w:tcPr>
          <w:p w14:paraId="6AF7FA89"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204.361 </w:t>
            </w:r>
          </w:p>
        </w:tc>
        <w:tc>
          <w:tcPr>
            <w:tcW w:w="492" w:type="pct"/>
            <w:tcBorders>
              <w:top w:val="nil"/>
              <w:left w:val="nil"/>
              <w:bottom w:val="single" w:sz="4" w:space="0" w:color="auto"/>
              <w:right w:val="single" w:sz="4" w:space="0" w:color="auto"/>
            </w:tcBorders>
            <w:shd w:val="clear" w:color="auto" w:fill="auto"/>
            <w:noWrap/>
            <w:vAlign w:val="bottom"/>
            <w:hideMark/>
          </w:tcPr>
          <w:p w14:paraId="465356FA"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384.260 </w:t>
            </w:r>
          </w:p>
        </w:tc>
        <w:tc>
          <w:tcPr>
            <w:tcW w:w="482" w:type="pct"/>
            <w:tcBorders>
              <w:top w:val="nil"/>
              <w:left w:val="nil"/>
              <w:bottom w:val="single" w:sz="4" w:space="0" w:color="auto"/>
              <w:right w:val="single" w:sz="4" w:space="0" w:color="auto"/>
            </w:tcBorders>
            <w:shd w:val="clear" w:color="auto" w:fill="auto"/>
            <w:vAlign w:val="bottom"/>
            <w:hideMark/>
          </w:tcPr>
          <w:p w14:paraId="063C7C61"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344.264 </w:t>
            </w:r>
          </w:p>
        </w:tc>
      </w:tr>
      <w:tr w:rsidR="00A25C77" w:rsidRPr="00A25C77" w14:paraId="3031BAF5" w14:textId="77777777" w:rsidTr="00446A14">
        <w:trPr>
          <w:trHeight w:val="290"/>
        </w:trPr>
        <w:tc>
          <w:tcPr>
            <w:tcW w:w="2028" w:type="pct"/>
            <w:tcBorders>
              <w:top w:val="nil"/>
              <w:left w:val="single" w:sz="4" w:space="0" w:color="auto"/>
              <w:bottom w:val="single" w:sz="4" w:space="0" w:color="auto"/>
              <w:right w:val="single" w:sz="4" w:space="0" w:color="auto"/>
            </w:tcBorders>
            <w:shd w:val="clear" w:color="auto" w:fill="auto"/>
            <w:vAlign w:val="center"/>
            <w:hideMark/>
          </w:tcPr>
          <w:p w14:paraId="12AD673F" w14:textId="77777777" w:rsidR="00A25C77" w:rsidRPr="00A25C77" w:rsidRDefault="00A25C77" w:rsidP="00A25C77">
            <w:pPr>
              <w:spacing w:after="0" w:line="240" w:lineRule="auto"/>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20"/>
                <w:lang w:eastAsia="pt-BR"/>
                <w14:ligatures w14:val="none"/>
              </w:rPr>
              <w:t>2. Valor justo dos ativos do plano</w:t>
            </w:r>
          </w:p>
        </w:tc>
        <w:tc>
          <w:tcPr>
            <w:tcW w:w="508" w:type="pct"/>
            <w:tcBorders>
              <w:top w:val="nil"/>
              <w:left w:val="nil"/>
              <w:bottom w:val="single" w:sz="4" w:space="0" w:color="auto"/>
              <w:right w:val="single" w:sz="4" w:space="0" w:color="auto"/>
            </w:tcBorders>
            <w:shd w:val="clear" w:color="auto" w:fill="auto"/>
            <w:noWrap/>
            <w:vAlign w:val="bottom"/>
            <w:hideMark/>
          </w:tcPr>
          <w:p w14:paraId="215E9B6E"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(690.510)</w:t>
            </w:r>
          </w:p>
        </w:tc>
        <w:tc>
          <w:tcPr>
            <w:tcW w:w="517" w:type="pct"/>
            <w:tcBorders>
              <w:top w:val="nil"/>
              <w:left w:val="nil"/>
              <w:bottom w:val="single" w:sz="4" w:space="0" w:color="auto"/>
              <w:right w:val="single" w:sz="4" w:space="0" w:color="auto"/>
            </w:tcBorders>
            <w:shd w:val="clear" w:color="auto" w:fill="auto"/>
            <w:vAlign w:val="bottom"/>
            <w:hideMark/>
          </w:tcPr>
          <w:p w14:paraId="457D7FA3"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(648.500)</w:t>
            </w:r>
          </w:p>
        </w:tc>
        <w:tc>
          <w:tcPr>
            <w:tcW w:w="492" w:type="pct"/>
            <w:tcBorders>
              <w:top w:val="nil"/>
              <w:left w:val="nil"/>
              <w:bottom w:val="single" w:sz="4" w:space="0" w:color="auto"/>
              <w:right w:val="single" w:sz="4" w:space="0" w:color="auto"/>
            </w:tcBorders>
            <w:shd w:val="clear" w:color="auto" w:fill="auto"/>
            <w:noWrap/>
            <w:vAlign w:val="bottom"/>
            <w:hideMark/>
          </w:tcPr>
          <w:p w14:paraId="7A965E49"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(324.895)</w:t>
            </w:r>
          </w:p>
        </w:tc>
        <w:tc>
          <w:tcPr>
            <w:tcW w:w="482" w:type="pct"/>
            <w:tcBorders>
              <w:top w:val="nil"/>
              <w:left w:val="nil"/>
              <w:bottom w:val="single" w:sz="4" w:space="0" w:color="auto"/>
              <w:right w:val="single" w:sz="4" w:space="0" w:color="auto"/>
            </w:tcBorders>
            <w:shd w:val="clear" w:color="auto" w:fill="auto"/>
            <w:vAlign w:val="bottom"/>
            <w:hideMark/>
          </w:tcPr>
          <w:p w14:paraId="75AC210F"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(267.604)</w:t>
            </w:r>
          </w:p>
        </w:tc>
        <w:tc>
          <w:tcPr>
            <w:tcW w:w="492" w:type="pct"/>
            <w:tcBorders>
              <w:top w:val="nil"/>
              <w:left w:val="nil"/>
              <w:bottom w:val="single" w:sz="4" w:space="0" w:color="auto"/>
              <w:right w:val="single" w:sz="4" w:space="0" w:color="auto"/>
            </w:tcBorders>
            <w:shd w:val="clear" w:color="auto" w:fill="auto"/>
            <w:noWrap/>
            <w:vAlign w:val="bottom"/>
            <w:hideMark/>
          </w:tcPr>
          <w:p w14:paraId="677D371B"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(577.609)</w:t>
            </w:r>
          </w:p>
        </w:tc>
        <w:tc>
          <w:tcPr>
            <w:tcW w:w="482" w:type="pct"/>
            <w:tcBorders>
              <w:top w:val="nil"/>
              <w:left w:val="nil"/>
              <w:bottom w:val="single" w:sz="4" w:space="0" w:color="auto"/>
              <w:right w:val="single" w:sz="4" w:space="0" w:color="auto"/>
            </w:tcBorders>
            <w:shd w:val="clear" w:color="auto" w:fill="auto"/>
            <w:vAlign w:val="bottom"/>
            <w:hideMark/>
          </w:tcPr>
          <w:p w14:paraId="49B7EDFC"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(344.317)</w:t>
            </w:r>
          </w:p>
        </w:tc>
      </w:tr>
      <w:tr w:rsidR="00A25C77" w:rsidRPr="00A25C77" w14:paraId="738C482A" w14:textId="77777777" w:rsidTr="00446A14">
        <w:trPr>
          <w:trHeight w:val="290"/>
        </w:trPr>
        <w:tc>
          <w:tcPr>
            <w:tcW w:w="2028" w:type="pct"/>
            <w:tcBorders>
              <w:top w:val="nil"/>
              <w:left w:val="single" w:sz="4" w:space="0" w:color="auto"/>
              <w:bottom w:val="single" w:sz="4" w:space="0" w:color="auto"/>
              <w:right w:val="single" w:sz="4" w:space="0" w:color="auto"/>
            </w:tcBorders>
            <w:shd w:val="clear" w:color="auto" w:fill="auto"/>
            <w:vAlign w:val="center"/>
            <w:hideMark/>
          </w:tcPr>
          <w:p w14:paraId="7EDE1DBF" w14:textId="77777777" w:rsidR="00A25C77" w:rsidRPr="00A25C77" w:rsidRDefault="00A25C77" w:rsidP="00A25C77">
            <w:pPr>
              <w:spacing w:after="0" w:line="240" w:lineRule="auto"/>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20"/>
                <w:lang w:eastAsia="pt-BR"/>
                <w14:ligatures w14:val="none"/>
              </w:rPr>
              <w:t>3. Valor presente da obrigação descoberta</w:t>
            </w:r>
          </w:p>
        </w:tc>
        <w:tc>
          <w:tcPr>
            <w:tcW w:w="508" w:type="pct"/>
            <w:tcBorders>
              <w:top w:val="nil"/>
              <w:left w:val="nil"/>
              <w:bottom w:val="single" w:sz="4" w:space="0" w:color="auto"/>
              <w:right w:val="single" w:sz="4" w:space="0" w:color="auto"/>
            </w:tcBorders>
            <w:shd w:val="clear" w:color="auto" w:fill="auto"/>
            <w:noWrap/>
            <w:vAlign w:val="bottom"/>
            <w:hideMark/>
          </w:tcPr>
          <w:p w14:paraId="2A2812F0" w14:textId="77777777" w:rsidR="00A25C77" w:rsidRPr="00A25C77" w:rsidRDefault="00A25C77" w:rsidP="00A25C77">
            <w:pPr>
              <w:spacing w:after="0" w:line="240" w:lineRule="auto"/>
              <w:jc w:val="right"/>
              <w:rPr>
                <w:rFonts w:ascii="Calibri" w:eastAsia="Times New Roman" w:hAnsi="Calibri" w:cs="Calibri"/>
                <w:b/>
                <w:bCs/>
                <w:color w:val="000000"/>
                <w:kern w:val="0"/>
                <w:lang w:eastAsia="pt-BR"/>
                <w14:ligatures w14:val="none"/>
              </w:rPr>
            </w:pPr>
            <w:r w:rsidRPr="00A25C77">
              <w:rPr>
                <w:rFonts w:ascii="Calibri" w:eastAsia="Times New Roman" w:hAnsi="Calibri" w:cs="Calibri"/>
                <w:b/>
                <w:bCs/>
                <w:color w:val="000000"/>
                <w:kern w:val="0"/>
                <w:lang w:eastAsia="pt-BR"/>
                <w14:ligatures w14:val="none"/>
              </w:rPr>
              <w:t xml:space="preserve">            -   </w:t>
            </w:r>
          </w:p>
        </w:tc>
        <w:tc>
          <w:tcPr>
            <w:tcW w:w="517" w:type="pct"/>
            <w:tcBorders>
              <w:top w:val="nil"/>
              <w:left w:val="nil"/>
              <w:bottom w:val="single" w:sz="4" w:space="0" w:color="auto"/>
              <w:right w:val="single" w:sz="4" w:space="0" w:color="auto"/>
            </w:tcBorders>
            <w:shd w:val="clear" w:color="auto" w:fill="auto"/>
            <w:noWrap/>
            <w:vAlign w:val="bottom"/>
            <w:hideMark/>
          </w:tcPr>
          <w:p w14:paraId="5E6B400D" w14:textId="77777777" w:rsidR="00A25C77" w:rsidRPr="00A25C77" w:rsidRDefault="00A25C77" w:rsidP="00A25C77">
            <w:pPr>
              <w:spacing w:after="0" w:line="240" w:lineRule="auto"/>
              <w:jc w:val="right"/>
              <w:rPr>
                <w:rFonts w:ascii="Calibri" w:eastAsia="Times New Roman" w:hAnsi="Calibri" w:cs="Calibri"/>
                <w:b/>
                <w:bCs/>
                <w:color w:val="000000"/>
                <w:kern w:val="0"/>
                <w:lang w:eastAsia="pt-BR"/>
                <w14:ligatures w14:val="none"/>
              </w:rPr>
            </w:pPr>
            <w:r w:rsidRPr="00A25C77">
              <w:rPr>
                <w:rFonts w:ascii="Calibri" w:eastAsia="Times New Roman" w:hAnsi="Calibri" w:cs="Calibri"/>
                <w:b/>
                <w:bCs/>
                <w:color w:val="000000"/>
                <w:kern w:val="0"/>
                <w:lang w:eastAsia="pt-BR"/>
                <w14:ligatures w14:val="none"/>
              </w:rPr>
              <w:t xml:space="preserve">            -   </w:t>
            </w:r>
          </w:p>
        </w:tc>
        <w:tc>
          <w:tcPr>
            <w:tcW w:w="492" w:type="pct"/>
            <w:tcBorders>
              <w:top w:val="nil"/>
              <w:left w:val="nil"/>
              <w:bottom w:val="single" w:sz="4" w:space="0" w:color="auto"/>
              <w:right w:val="single" w:sz="4" w:space="0" w:color="auto"/>
            </w:tcBorders>
            <w:shd w:val="clear" w:color="auto" w:fill="auto"/>
            <w:noWrap/>
            <w:vAlign w:val="bottom"/>
            <w:hideMark/>
          </w:tcPr>
          <w:p w14:paraId="53851BC5" w14:textId="77777777" w:rsidR="00A25C77" w:rsidRPr="00A25C77" w:rsidRDefault="00A25C77" w:rsidP="00A25C77">
            <w:pPr>
              <w:spacing w:after="0" w:line="240" w:lineRule="auto"/>
              <w:jc w:val="right"/>
              <w:rPr>
                <w:rFonts w:ascii="Calibri" w:eastAsia="Times New Roman" w:hAnsi="Calibri" w:cs="Calibri"/>
                <w:b/>
                <w:bCs/>
                <w:color w:val="000000"/>
                <w:kern w:val="0"/>
                <w:lang w:eastAsia="pt-BR"/>
                <w14:ligatures w14:val="none"/>
              </w:rPr>
            </w:pPr>
            <w:r w:rsidRPr="00A25C77">
              <w:rPr>
                <w:rFonts w:ascii="Calibri" w:eastAsia="Times New Roman" w:hAnsi="Calibri" w:cs="Calibri"/>
                <w:b/>
                <w:bCs/>
                <w:color w:val="000000"/>
                <w:kern w:val="0"/>
                <w:lang w:eastAsia="pt-BR"/>
                <w14:ligatures w14:val="none"/>
              </w:rPr>
              <w:t xml:space="preserve">            -   </w:t>
            </w:r>
          </w:p>
        </w:tc>
        <w:tc>
          <w:tcPr>
            <w:tcW w:w="482" w:type="pct"/>
            <w:tcBorders>
              <w:top w:val="nil"/>
              <w:left w:val="nil"/>
              <w:bottom w:val="single" w:sz="4" w:space="0" w:color="auto"/>
              <w:right w:val="single" w:sz="4" w:space="0" w:color="auto"/>
            </w:tcBorders>
            <w:shd w:val="clear" w:color="auto" w:fill="auto"/>
            <w:noWrap/>
            <w:vAlign w:val="bottom"/>
            <w:hideMark/>
          </w:tcPr>
          <w:p w14:paraId="348747BB" w14:textId="77777777" w:rsidR="00A25C77" w:rsidRPr="00A25C77" w:rsidRDefault="00A25C77" w:rsidP="00A25C77">
            <w:pPr>
              <w:spacing w:after="0" w:line="240" w:lineRule="auto"/>
              <w:jc w:val="right"/>
              <w:rPr>
                <w:rFonts w:ascii="Calibri" w:eastAsia="Times New Roman" w:hAnsi="Calibri" w:cs="Calibri"/>
                <w:b/>
                <w:bCs/>
                <w:color w:val="000000"/>
                <w:kern w:val="0"/>
                <w:lang w:eastAsia="pt-BR"/>
                <w14:ligatures w14:val="none"/>
              </w:rPr>
            </w:pPr>
            <w:r w:rsidRPr="00A25C77">
              <w:rPr>
                <w:rFonts w:ascii="Calibri" w:eastAsia="Times New Roman" w:hAnsi="Calibri" w:cs="Calibri"/>
                <w:b/>
                <w:bCs/>
                <w:color w:val="000000"/>
                <w:kern w:val="0"/>
                <w:lang w:eastAsia="pt-BR"/>
                <w14:ligatures w14:val="none"/>
              </w:rPr>
              <w:t xml:space="preserve">            -   </w:t>
            </w:r>
          </w:p>
        </w:tc>
        <w:tc>
          <w:tcPr>
            <w:tcW w:w="492" w:type="pct"/>
            <w:tcBorders>
              <w:top w:val="nil"/>
              <w:left w:val="nil"/>
              <w:bottom w:val="single" w:sz="4" w:space="0" w:color="auto"/>
              <w:right w:val="single" w:sz="4" w:space="0" w:color="auto"/>
            </w:tcBorders>
            <w:shd w:val="clear" w:color="auto" w:fill="auto"/>
            <w:noWrap/>
            <w:vAlign w:val="bottom"/>
            <w:hideMark/>
          </w:tcPr>
          <w:p w14:paraId="44D7B1BE" w14:textId="77777777" w:rsidR="00A25C77" w:rsidRPr="00A25C77" w:rsidRDefault="00A25C77" w:rsidP="00A25C77">
            <w:pPr>
              <w:spacing w:after="0" w:line="240" w:lineRule="auto"/>
              <w:jc w:val="right"/>
              <w:rPr>
                <w:rFonts w:ascii="Calibri" w:eastAsia="Times New Roman" w:hAnsi="Calibri" w:cs="Calibri"/>
                <w:b/>
                <w:bCs/>
                <w:color w:val="000000"/>
                <w:kern w:val="0"/>
                <w:lang w:eastAsia="pt-BR"/>
                <w14:ligatures w14:val="none"/>
              </w:rPr>
            </w:pPr>
            <w:r w:rsidRPr="00A25C77">
              <w:rPr>
                <w:rFonts w:ascii="Calibri" w:eastAsia="Times New Roman" w:hAnsi="Calibri" w:cs="Calibri"/>
                <w:b/>
                <w:bCs/>
                <w:color w:val="000000"/>
                <w:kern w:val="0"/>
                <w:lang w:eastAsia="pt-BR"/>
                <w14:ligatures w14:val="none"/>
              </w:rPr>
              <w:t xml:space="preserve">            -   </w:t>
            </w:r>
          </w:p>
        </w:tc>
        <w:tc>
          <w:tcPr>
            <w:tcW w:w="482" w:type="pct"/>
            <w:tcBorders>
              <w:top w:val="nil"/>
              <w:left w:val="nil"/>
              <w:bottom w:val="single" w:sz="4" w:space="0" w:color="auto"/>
              <w:right w:val="single" w:sz="4" w:space="0" w:color="auto"/>
            </w:tcBorders>
            <w:shd w:val="clear" w:color="auto" w:fill="auto"/>
            <w:noWrap/>
            <w:vAlign w:val="bottom"/>
            <w:hideMark/>
          </w:tcPr>
          <w:p w14:paraId="21CA9394" w14:textId="77777777" w:rsidR="00A25C77" w:rsidRPr="00A25C77" w:rsidRDefault="00A25C77" w:rsidP="00A25C77">
            <w:pPr>
              <w:spacing w:after="0" w:line="240" w:lineRule="auto"/>
              <w:jc w:val="right"/>
              <w:rPr>
                <w:rFonts w:ascii="Calibri" w:eastAsia="Times New Roman" w:hAnsi="Calibri" w:cs="Calibri"/>
                <w:b/>
                <w:bCs/>
                <w:color w:val="000000"/>
                <w:kern w:val="0"/>
                <w:lang w:eastAsia="pt-BR"/>
                <w14:ligatures w14:val="none"/>
              </w:rPr>
            </w:pPr>
            <w:r w:rsidRPr="00A25C77">
              <w:rPr>
                <w:rFonts w:ascii="Calibri" w:eastAsia="Times New Roman" w:hAnsi="Calibri" w:cs="Calibri"/>
                <w:b/>
                <w:bCs/>
                <w:color w:val="000000"/>
                <w:kern w:val="0"/>
                <w:lang w:eastAsia="pt-BR"/>
                <w14:ligatures w14:val="none"/>
              </w:rPr>
              <w:t xml:space="preserve">            -   </w:t>
            </w:r>
          </w:p>
        </w:tc>
      </w:tr>
    </w:tbl>
    <w:p w14:paraId="10E65178" w14:textId="66FEF9EB" w:rsidR="00A25C77" w:rsidRPr="00A25C77" w:rsidRDefault="00A25C77" w:rsidP="00A25C77">
      <w:pPr>
        <w:autoSpaceDE w:val="0"/>
        <w:autoSpaceDN w:val="0"/>
        <w:adjustRightInd w:val="0"/>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32.5.8. </w:t>
      </w:r>
      <w:r w:rsidRPr="00A25C77">
        <w:rPr>
          <w:rFonts w:ascii="Calibri" w:eastAsia="Times New Roman" w:hAnsi="Calibri" w:cs="Calibri"/>
          <w:b/>
          <w:bCs/>
          <w:iCs/>
          <w:color w:val="002060"/>
          <w:kern w:val="0"/>
          <w14:ligatures w14:val="none"/>
        </w:rPr>
        <w:t>Cálculo da Despesa do Exercício</w:t>
      </w:r>
    </w:p>
    <w:tbl>
      <w:tblPr>
        <w:tblW w:w="5000" w:type="pct"/>
        <w:tblCellMar>
          <w:left w:w="70" w:type="dxa"/>
          <w:right w:w="70" w:type="dxa"/>
        </w:tblCellMar>
        <w:tblLook w:val="04A0" w:firstRow="1" w:lastRow="0" w:firstColumn="1" w:lastColumn="0" w:noHBand="0" w:noVBand="1"/>
      </w:tblPr>
      <w:tblGrid>
        <w:gridCol w:w="3636"/>
        <w:gridCol w:w="1096"/>
        <w:gridCol w:w="942"/>
        <w:gridCol w:w="1096"/>
        <w:gridCol w:w="1022"/>
        <w:gridCol w:w="1038"/>
        <w:gridCol w:w="941"/>
      </w:tblGrid>
      <w:tr w:rsidR="00A25C77" w:rsidRPr="00A25C77" w14:paraId="2A5360B2" w14:textId="77777777" w:rsidTr="00446A14">
        <w:trPr>
          <w:trHeight w:val="300"/>
        </w:trPr>
        <w:tc>
          <w:tcPr>
            <w:tcW w:w="1861"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3E303B0E" w14:textId="77777777" w:rsidR="00A25C77" w:rsidRPr="00A25C77" w:rsidRDefault="00A25C77" w:rsidP="00A25C77">
            <w:pPr>
              <w:spacing w:after="0" w:line="240" w:lineRule="auto"/>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 xml:space="preserve">Composição: </w:t>
            </w:r>
          </w:p>
        </w:tc>
        <w:tc>
          <w:tcPr>
            <w:tcW w:w="1043" w:type="pct"/>
            <w:gridSpan w:val="2"/>
            <w:tcBorders>
              <w:top w:val="single" w:sz="4" w:space="0" w:color="auto"/>
              <w:left w:val="nil"/>
              <w:bottom w:val="single" w:sz="4" w:space="0" w:color="auto"/>
              <w:right w:val="single" w:sz="4" w:space="0" w:color="auto"/>
            </w:tcBorders>
            <w:shd w:val="clear" w:color="auto" w:fill="auto"/>
            <w:vAlign w:val="center"/>
            <w:hideMark/>
          </w:tcPr>
          <w:p w14:paraId="5B56691E"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 xml:space="preserve"> PBS-A </w:t>
            </w:r>
          </w:p>
        </w:tc>
        <w:tc>
          <w:tcPr>
            <w:tcW w:w="1084" w:type="pct"/>
            <w:gridSpan w:val="2"/>
            <w:tcBorders>
              <w:top w:val="single" w:sz="4" w:space="0" w:color="auto"/>
              <w:left w:val="nil"/>
              <w:bottom w:val="single" w:sz="4" w:space="0" w:color="auto"/>
              <w:right w:val="single" w:sz="4" w:space="0" w:color="auto"/>
            </w:tcBorders>
            <w:shd w:val="clear" w:color="auto" w:fill="auto"/>
            <w:vAlign w:val="center"/>
            <w:hideMark/>
          </w:tcPr>
          <w:p w14:paraId="1D0B865B"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 xml:space="preserve"> PBS-Telebras </w:t>
            </w:r>
          </w:p>
        </w:tc>
        <w:tc>
          <w:tcPr>
            <w:tcW w:w="1013" w:type="pct"/>
            <w:gridSpan w:val="2"/>
            <w:tcBorders>
              <w:top w:val="single" w:sz="4" w:space="0" w:color="auto"/>
              <w:left w:val="nil"/>
              <w:bottom w:val="single" w:sz="4" w:space="0" w:color="auto"/>
              <w:right w:val="single" w:sz="4" w:space="0" w:color="auto"/>
            </w:tcBorders>
            <w:shd w:val="clear" w:color="auto" w:fill="auto"/>
            <w:vAlign w:val="center"/>
            <w:hideMark/>
          </w:tcPr>
          <w:p w14:paraId="5E2E1E75"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 xml:space="preserve"> Telebras PREV </w:t>
            </w:r>
          </w:p>
        </w:tc>
      </w:tr>
      <w:tr w:rsidR="00A25C77" w:rsidRPr="00A25C77" w14:paraId="0DFD4024" w14:textId="77777777" w:rsidTr="00446A14">
        <w:trPr>
          <w:trHeight w:val="290"/>
        </w:trPr>
        <w:tc>
          <w:tcPr>
            <w:tcW w:w="1861" w:type="pct"/>
            <w:vMerge/>
            <w:tcBorders>
              <w:top w:val="single" w:sz="4" w:space="0" w:color="auto"/>
              <w:left w:val="single" w:sz="4" w:space="0" w:color="auto"/>
              <w:bottom w:val="single" w:sz="4" w:space="0" w:color="auto"/>
              <w:right w:val="single" w:sz="4" w:space="0" w:color="auto"/>
            </w:tcBorders>
            <w:vAlign w:val="center"/>
            <w:hideMark/>
          </w:tcPr>
          <w:p w14:paraId="5BB15F9C" w14:textId="77777777" w:rsidR="00A25C77" w:rsidRPr="00A25C77" w:rsidRDefault="00A25C77" w:rsidP="00A25C77">
            <w:pPr>
              <w:spacing w:after="0" w:line="240" w:lineRule="auto"/>
              <w:rPr>
                <w:rFonts w:ascii="Times New Roman" w:eastAsia="Times New Roman" w:hAnsi="Times New Roman" w:cs="Times New Roman"/>
                <w:b/>
                <w:bCs/>
                <w:color w:val="000000"/>
                <w:kern w:val="0"/>
                <w:sz w:val="20"/>
                <w:szCs w:val="20"/>
                <w:lang w:eastAsia="pt-BR"/>
                <w14:ligatures w14:val="none"/>
              </w:rPr>
            </w:pPr>
          </w:p>
        </w:tc>
        <w:tc>
          <w:tcPr>
            <w:tcW w:w="561" w:type="pct"/>
            <w:tcBorders>
              <w:top w:val="nil"/>
              <w:left w:val="nil"/>
              <w:bottom w:val="single" w:sz="4" w:space="0" w:color="auto"/>
              <w:right w:val="single" w:sz="4" w:space="0" w:color="auto"/>
            </w:tcBorders>
            <w:shd w:val="clear" w:color="auto" w:fill="auto"/>
            <w:vAlign w:val="center"/>
            <w:hideMark/>
          </w:tcPr>
          <w:p w14:paraId="3EADC06F"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31/12/2023</w:t>
            </w:r>
          </w:p>
        </w:tc>
        <w:tc>
          <w:tcPr>
            <w:tcW w:w="482" w:type="pct"/>
            <w:tcBorders>
              <w:top w:val="nil"/>
              <w:left w:val="nil"/>
              <w:bottom w:val="single" w:sz="4" w:space="0" w:color="auto"/>
              <w:right w:val="single" w:sz="4" w:space="0" w:color="auto"/>
            </w:tcBorders>
            <w:shd w:val="clear" w:color="auto" w:fill="auto"/>
            <w:vAlign w:val="center"/>
            <w:hideMark/>
          </w:tcPr>
          <w:p w14:paraId="2ABC3738"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31/12/2022</w:t>
            </w:r>
          </w:p>
        </w:tc>
        <w:tc>
          <w:tcPr>
            <w:tcW w:w="561" w:type="pct"/>
            <w:tcBorders>
              <w:top w:val="nil"/>
              <w:left w:val="nil"/>
              <w:bottom w:val="single" w:sz="4" w:space="0" w:color="auto"/>
              <w:right w:val="single" w:sz="4" w:space="0" w:color="auto"/>
            </w:tcBorders>
            <w:shd w:val="clear" w:color="auto" w:fill="auto"/>
            <w:vAlign w:val="center"/>
            <w:hideMark/>
          </w:tcPr>
          <w:p w14:paraId="119F3178"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31/12/2023</w:t>
            </w:r>
          </w:p>
        </w:tc>
        <w:tc>
          <w:tcPr>
            <w:tcW w:w="523" w:type="pct"/>
            <w:tcBorders>
              <w:top w:val="nil"/>
              <w:left w:val="nil"/>
              <w:bottom w:val="single" w:sz="4" w:space="0" w:color="auto"/>
              <w:right w:val="single" w:sz="4" w:space="0" w:color="auto"/>
            </w:tcBorders>
            <w:shd w:val="clear" w:color="auto" w:fill="auto"/>
            <w:vAlign w:val="center"/>
            <w:hideMark/>
          </w:tcPr>
          <w:p w14:paraId="23397F12"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31/12/2022</w:t>
            </w:r>
          </w:p>
        </w:tc>
        <w:tc>
          <w:tcPr>
            <w:tcW w:w="531" w:type="pct"/>
            <w:tcBorders>
              <w:top w:val="nil"/>
              <w:left w:val="nil"/>
              <w:bottom w:val="single" w:sz="4" w:space="0" w:color="auto"/>
              <w:right w:val="single" w:sz="4" w:space="0" w:color="auto"/>
            </w:tcBorders>
            <w:shd w:val="clear" w:color="auto" w:fill="auto"/>
            <w:vAlign w:val="center"/>
            <w:hideMark/>
          </w:tcPr>
          <w:p w14:paraId="6FCC8B09"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31/12/2023</w:t>
            </w:r>
          </w:p>
        </w:tc>
        <w:tc>
          <w:tcPr>
            <w:tcW w:w="482" w:type="pct"/>
            <w:tcBorders>
              <w:top w:val="nil"/>
              <w:left w:val="nil"/>
              <w:bottom w:val="single" w:sz="4" w:space="0" w:color="auto"/>
              <w:right w:val="single" w:sz="4" w:space="0" w:color="auto"/>
            </w:tcBorders>
            <w:shd w:val="clear" w:color="auto" w:fill="auto"/>
            <w:vAlign w:val="center"/>
            <w:hideMark/>
          </w:tcPr>
          <w:p w14:paraId="14FECCA3" w14:textId="77777777" w:rsidR="00A25C77" w:rsidRPr="00A25C77" w:rsidRDefault="00A25C77" w:rsidP="00A25C77">
            <w:pPr>
              <w:spacing w:after="0" w:line="240" w:lineRule="auto"/>
              <w:jc w:val="center"/>
              <w:rPr>
                <w:rFonts w:ascii="Arial" w:eastAsia="Times New Roman" w:hAnsi="Arial" w:cs="Arial"/>
                <w:b/>
                <w:bCs/>
                <w:color w:val="000000"/>
                <w:kern w:val="0"/>
                <w:sz w:val="16"/>
                <w:szCs w:val="16"/>
                <w:lang w:eastAsia="pt-BR"/>
                <w14:ligatures w14:val="none"/>
              </w:rPr>
            </w:pPr>
            <w:r w:rsidRPr="00A25C77">
              <w:rPr>
                <w:rFonts w:ascii="Arial" w:eastAsia="Times New Roman" w:hAnsi="Arial" w:cs="Arial"/>
                <w:b/>
                <w:bCs/>
                <w:color w:val="000000"/>
                <w:kern w:val="0"/>
                <w:sz w:val="16"/>
                <w:szCs w:val="16"/>
                <w:lang w:eastAsia="pt-BR"/>
                <w14:ligatures w14:val="none"/>
              </w:rPr>
              <w:t>31/12/2022</w:t>
            </w:r>
          </w:p>
        </w:tc>
      </w:tr>
      <w:tr w:rsidR="00A25C77" w:rsidRPr="00A25C77" w14:paraId="4EC07263" w14:textId="77777777" w:rsidTr="00446A14">
        <w:trPr>
          <w:trHeight w:val="290"/>
        </w:trPr>
        <w:tc>
          <w:tcPr>
            <w:tcW w:w="1861" w:type="pct"/>
            <w:tcBorders>
              <w:top w:val="nil"/>
              <w:left w:val="single" w:sz="4" w:space="0" w:color="auto"/>
              <w:bottom w:val="single" w:sz="4" w:space="0" w:color="auto"/>
              <w:right w:val="single" w:sz="4" w:space="0" w:color="auto"/>
            </w:tcBorders>
            <w:shd w:val="clear" w:color="auto" w:fill="auto"/>
            <w:vAlign w:val="center"/>
            <w:hideMark/>
          </w:tcPr>
          <w:p w14:paraId="47925E06" w14:textId="77777777" w:rsidR="00A25C77" w:rsidRPr="00A25C77" w:rsidRDefault="00A25C77" w:rsidP="00A25C77">
            <w:pPr>
              <w:spacing w:after="0" w:line="240" w:lineRule="auto"/>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20"/>
                <w:lang w:eastAsia="pt-BR"/>
                <w14:ligatures w14:val="none"/>
              </w:rPr>
              <w:t>1. Custo do serviço corrente</w:t>
            </w:r>
          </w:p>
        </w:tc>
        <w:tc>
          <w:tcPr>
            <w:tcW w:w="561" w:type="pct"/>
            <w:tcBorders>
              <w:top w:val="nil"/>
              <w:left w:val="nil"/>
              <w:bottom w:val="single" w:sz="4" w:space="0" w:color="auto"/>
              <w:right w:val="single" w:sz="4" w:space="0" w:color="auto"/>
            </w:tcBorders>
            <w:shd w:val="clear" w:color="auto" w:fill="auto"/>
            <w:noWrap/>
            <w:vAlign w:val="bottom"/>
            <w:hideMark/>
          </w:tcPr>
          <w:p w14:paraId="552DE7D1"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w:t>
            </w:r>
          </w:p>
        </w:tc>
        <w:tc>
          <w:tcPr>
            <w:tcW w:w="482" w:type="pct"/>
            <w:tcBorders>
              <w:top w:val="nil"/>
              <w:left w:val="nil"/>
              <w:bottom w:val="single" w:sz="4" w:space="0" w:color="auto"/>
              <w:right w:val="single" w:sz="4" w:space="0" w:color="auto"/>
            </w:tcBorders>
            <w:shd w:val="clear" w:color="auto" w:fill="auto"/>
            <w:vAlign w:val="bottom"/>
            <w:hideMark/>
          </w:tcPr>
          <w:p w14:paraId="5D231C62"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w:t>
            </w:r>
          </w:p>
        </w:tc>
        <w:tc>
          <w:tcPr>
            <w:tcW w:w="561" w:type="pct"/>
            <w:tcBorders>
              <w:top w:val="nil"/>
              <w:left w:val="nil"/>
              <w:bottom w:val="single" w:sz="4" w:space="0" w:color="auto"/>
              <w:right w:val="single" w:sz="4" w:space="0" w:color="auto"/>
            </w:tcBorders>
            <w:shd w:val="clear" w:color="auto" w:fill="auto"/>
            <w:noWrap/>
            <w:vAlign w:val="bottom"/>
            <w:hideMark/>
          </w:tcPr>
          <w:p w14:paraId="2704C52D"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w:t>
            </w:r>
          </w:p>
        </w:tc>
        <w:tc>
          <w:tcPr>
            <w:tcW w:w="523" w:type="pct"/>
            <w:tcBorders>
              <w:top w:val="nil"/>
              <w:left w:val="nil"/>
              <w:bottom w:val="single" w:sz="4" w:space="0" w:color="auto"/>
              <w:right w:val="single" w:sz="4" w:space="0" w:color="auto"/>
            </w:tcBorders>
            <w:shd w:val="clear" w:color="auto" w:fill="auto"/>
            <w:vAlign w:val="bottom"/>
            <w:hideMark/>
          </w:tcPr>
          <w:p w14:paraId="7D0D2690"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w:t>
            </w:r>
          </w:p>
        </w:tc>
        <w:tc>
          <w:tcPr>
            <w:tcW w:w="531" w:type="pct"/>
            <w:tcBorders>
              <w:top w:val="nil"/>
              <w:left w:val="nil"/>
              <w:bottom w:val="single" w:sz="4" w:space="0" w:color="auto"/>
              <w:right w:val="single" w:sz="4" w:space="0" w:color="auto"/>
            </w:tcBorders>
            <w:shd w:val="clear" w:color="auto" w:fill="auto"/>
            <w:noWrap/>
            <w:vAlign w:val="bottom"/>
            <w:hideMark/>
          </w:tcPr>
          <w:p w14:paraId="7C8D4CA2"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536 </w:t>
            </w:r>
          </w:p>
        </w:tc>
        <w:tc>
          <w:tcPr>
            <w:tcW w:w="482" w:type="pct"/>
            <w:tcBorders>
              <w:top w:val="nil"/>
              <w:left w:val="nil"/>
              <w:bottom w:val="single" w:sz="4" w:space="0" w:color="auto"/>
              <w:right w:val="single" w:sz="4" w:space="0" w:color="auto"/>
            </w:tcBorders>
            <w:shd w:val="clear" w:color="auto" w:fill="auto"/>
            <w:vAlign w:val="bottom"/>
            <w:hideMark/>
          </w:tcPr>
          <w:p w14:paraId="53C1D976"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70 </w:t>
            </w:r>
          </w:p>
        </w:tc>
      </w:tr>
      <w:tr w:rsidR="00A25C77" w:rsidRPr="00A25C77" w14:paraId="78BDE58C" w14:textId="77777777" w:rsidTr="00446A14">
        <w:trPr>
          <w:trHeight w:val="290"/>
        </w:trPr>
        <w:tc>
          <w:tcPr>
            <w:tcW w:w="1861" w:type="pct"/>
            <w:tcBorders>
              <w:top w:val="nil"/>
              <w:left w:val="single" w:sz="4" w:space="0" w:color="auto"/>
              <w:bottom w:val="single" w:sz="4" w:space="0" w:color="auto"/>
              <w:right w:val="single" w:sz="4" w:space="0" w:color="auto"/>
            </w:tcBorders>
            <w:shd w:val="clear" w:color="auto" w:fill="auto"/>
            <w:vAlign w:val="center"/>
            <w:hideMark/>
          </w:tcPr>
          <w:p w14:paraId="47F116BB" w14:textId="77777777" w:rsidR="00A25C77" w:rsidRPr="00A25C77" w:rsidRDefault="00A25C77" w:rsidP="00A25C77">
            <w:pPr>
              <w:spacing w:after="0" w:line="240" w:lineRule="auto"/>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20"/>
                <w:lang w:eastAsia="pt-BR"/>
                <w14:ligatures w14:val="none"/>
              </w:rPr>
              <w:t>2. Custo dos juros</w:t>
            </w:r>
          </w:p>
        </w:tc>
        <w:tc>
          <w:tcPr>
            <w:tcW w:w="561" w:type="pct"/>
            <w:tcBorders>
              <w:top w:val="nil"/>
              <w:left w:val="nil"/>
              <w:bottom w:val="single" w:sz="4" w:space="0" w:color="auto"/>
              <w:right w:val="single" w:sz="4" w:space="0" w:color="auto"/>
            </w:tcBorders>
            <w:shd w:val="clear" w:color="auto" w:fill="auto"/>
            <w:noWrap/>
            <w:vAlign w:val="bottom"/>
            <w:hideMark/>
          </w:tcPr>
          <w:p w14:paraId="0701EAD0"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53.887 </w:t>
            </w:r>
          </w:p>
        </w:tc>
        <w:tc>
          <w:tcPr>
            <w:tcW w:w="482" w:type="pct"/>
            <w:tcBorders>
              <w:top w:val="nil"/>
              <w:left w:val="nil"/>
              <w:bottom w:val="single" w:sz="4" w:space="0" w:color="auto"/>
              <w:right w:val="single" w:sz="4" w:space="0" w:color="auto"/>
            </w:tcBorders>
            <w:shd w:val="clear" w:color="auto" w:fill="auto"/>
            <w:vAlign w:val="bottom"/>
            <w:hideMark/>
          </w:tcPr>
          <w:p w14:paraId="6F99F019"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56.329 </w:t>
            </w:r>
          </w:p>
        </w:tc>
        <w:tc>
          <w:tcPr>
            <w:tcW w:w="561" w:type="pct"/>
            <w:tcBorders>
              <w:top w:val="nil"/>
              <w:left w:val="nil"/>
              <w:bottom w:val="single" w:sz="4" w:space="0" w:color="auto"/>
              <w:right w:val="single" w:sz="4" w:space="0" w:color="auto"/>
            </w:tcBorders>
            <w:shd w:val="clear" w:color="auto" w:fill="auto"/>
            <w:noWrap/>
            <w:vAlign w:val="bottom"/>
            <w:hideMark/>
          </w:tcPr>
          <w:p w14:paraId="7F9CD44E"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19.407 </w:t>
            </w:r>
          </w:p>
        </w:tc>
        <w:tc>
          <w:tcPr>
            <w:tcW w:w="523" w:type="pct"/>
            <w:tcBorders>
              <w:top w:val="nil"/>
              <w:left w:val="nil"/>
              <w:bottom w:val="single" w:sz="4" w:space="0" w:color="auto"/>
              <w:right w:val="single" w:sz="4" w:space="0" w:color="auto"/>
            </w:tcBorders>
            <w:shd w:val="clear" w:color="auto" w:fill="auto"/>
            <w:vAlign w:val="bottom"/>
            <w:hideMark/>
          </w:tcPr>
          <w:p w14:paraId="3E89C3D3"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11.781 </w:t>
            </w:r>
          </w:p>
        </w:tc>
        <w:tc>
          <w:tcPr>
            <w:tcW w:w="531" w:type="pct"/>
            <w:tcBorders>
              <w:top w:val="nil"/>
              <w:left w:val="nil"/>
              <w:bottom w:val="single" w:sz="4" w:space="0" w:color="auto"/>
              <w:right w:val="single" w:sz="4" w:space="0" w:color="auto"/>
            </w:tcBorders>
            <w:shd w:val="clear" w:color="auto" w:fill="auto"/>
            <w:noWrap/>
            <w:vAlign w:val="bottom"/>
            <w:hideMark/>
          </w:tcPr>
          <w:p w14:paraId="462A497F"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31.712 </w:t>
            </w:r>
          </w:p>
        </w:tc>
        <w:tc>
          <w:tcPr>
            <w:tcW w:w="482" w:type="pct"/>
            <w:tcBorders>
              <w:top w:val="nil"/>
              <w:left w:val="nil"/>
              <w:bottom w:val="single" w:sz="4" w:space="0" w:color="auto"/>
              <w:right w:val="single" w:sz="4" w:space="0" w:color="auto"/>
            </w:tcBorders>
            <w:shd w:val="clear" w:color="auto" w:fill="auto"/>
            <w:vAlign w:val="bottom"/>
            <w:hideMark/>
          </w:tcPr>
          <w:p w14:paraId="5F5270CA"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23.429 </w:t>
            </w:r>
          </w:p>
        </w:tc>
      </w:tr>
      <w:tr w:rsidR="00A25C77" w:rsidRPr="00A25C77" w14:paraId="5236AF06" w14:textId="77777777" w:rsidTr="00446A14">
        <w:trPr>
          <w:trHeight w:val="290"/>
        </w:trPr>
        <w:tc>
          <w:tcPr>
            <w:tcW w:w="1861" w:type="pct"/>
            <w:tcBorders>
              <w:top w:val="nil"/>
              <w:left w:val="single" w:sz="4" w:space="0" w:color="auto"/>
              <w:bottom w:val="single" w:sz="4" w:space="0" w:color="auto"/>
              <w:right w:val="single" w:sz="4" w:space="0" w:color="auto"/>
            </w:tcBorders>
            <w:shd w:val="clear" w:color="auto" w:fill="auto"/>
            <w:vAlign w:val="center"/>
            <w:hideMark/>
          </w:tcPr>
          <w:p w14:paraId="281C28D7" w14:textId="77777777" w:rsidR="00A25C77" w:rsidRPr="00A25C77" w:rsidRDefault="00A25C77" w:rsidP="00A25C77">
            <w:pPr>
              <w:spacing w:after="0" w:line="240" w:lineRule="auto"/>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20"/>
                <w:lang w:eastAsia="pt-BR"/>
                <w14:ligatures w14:val="none"/>
              </w:rPr>
              <w:t>3. Rendimento esperado dos ativos do plano</w:t>
            </w:r>
          </w:p>
        </w:tc>
        <w:tc>
          <w:tcPr>
            <w:tcW w:w="561" w:type="pct"/>
            <w:tcBorders>
              <w:top w:val="nil"/>
              <w:left w:val="nil"/>
              <w:bottom w:val="single" w:sz="4" w:space="0" w:color="auto"/>
              <w:right w:val="single" w:sz="4" w:space="0" w:color="auto"/>
            </w:tcBorders>
            <w:shd w:val="clear" w:color="auto" w:fill="auto"/>
            <w:noWrap/>
            <w:vAlign w:val="bottom"/>
            <w:hideMark/>
          </w:tcPr>
          <w:p w14:paraId="5B57990B"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(61.586)</w:t>
            </w:r>
          </w:p>
        </w:tc>
        <w:tc>
          <w:tcPr>
            <w:tcW w:w="482" w:type="pct"/>
            <w:tcBorders>
              <w:top w:val="nil"/>
              <w:left w:val="nil"/>
              <w:bottom w:val="single" w:sz="4" w:space="0" w:color="auto"/>
              <w:right w:val="single" w:sz="4" w:space="0" w:color="auto"/>
            </w:tcBorders>
            <w:shd w:val="clear" w:color="auto" w:fill="auto"/>
            <w:vAlign w:val="bottom"/>
            <w:hideMark/>
          </w:tcPr>
          <w:p w14:paraId="4A972C23"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(53.880)</w:t>
            </w:r>
          </w:p>
        </w:tc>
        <w:tc>
          <w:tcPr>
            <w:tcW w:w="561" w:type="pct"/>
            <w:tcBorders>
              <w:top w:val="nil"/>
              <w:left w:val="nil"/>
              <w:bottom w:val="single" w:sz="4" w:space="0" w:color="auto"/>
              <w:right w:val="single" w:sz="4" w:space="0" w:color="auto"/>
            </w:tcBorders>
            <w:shd w:val="clear" w:color="auto" w:fill="auto"/>
            <w:noWrap/>
            <w:vAlign w:val="bottom"/>
            <w:hideMark/>
          </w:tcPr>
          <w:p w14:paraId="24851F32"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(25.413)</w:t>
            </w:r>
          </w:p>
        </w:tc>
        <w:tc>
          <w:tcPr>
            <w:tcW w:w="523" w:type="pct"/>
            <w:tcBorders>
              <w:top w:val="nil"/>
              <w:left w:val="nil"/>
              <w:bottom w:val="single" w:sz="4" w:space="0" w:color="auto"/>
              <w:right w:val="single" w:sz="4" w:space="0" w:color="auto"/>
            </w:tcBorders>
            <w:shd w:val="clear" w:color="auto" w:fill="auto"/>
            <w:vAlign w:val="bottom"/>
            <w:hideMark/>
          </w:tcPr>
          <w:p w14:paraId="220A8AE5"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(14.710)</w:t>
            </w:r>
          </w:p>
        </w:tc>
        <w:tc>
          <w:tcPr>
            <w:tcW w:w="531" w:type="pct"/>
            <w:tcBorders>
              <w:top w:val="nil"/>
              <w:left w:val="nil"/>
              <w:bottom w:val="single" w:sz="4" w:space="0" w:color="auto"/>
              <w:right w:val="single" w:sz="4" w:space="0" w:color="auto"/>
            </w:tcBorders>
            <w:shd w:val="clear" w:color="auto" w:fill="auto"/>
            <w:noWrap/>
            <w:vAlign w:val="bottom"/>
            <w:hideMark/>
          </w:tcPr>
          <w:p w14:paraId="097F42D8"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(31.717)</w:t>
            </w:r>
          </w:p>
        </w:tc>
        <w:tc>
          <w:tcPr>
            <w:tcW w:w="482" w:type="pct"/>
            <w:tcBorders>
              <w:top w:val="nil"/>
              <w:left w:val="nil"/>
              <w:bottom w:val="single" w:sz="4" w:space="0" w:color="auto"/>
              <w:right w:val="single" w:sz="4" w:space="0" w:color="auto"/>
            </w:tcBorders>
            <w:shd w:val="clear" w:color="auto" w:fill="auto"/>
            <w:vAlign w:val="bottom"/>
            <w:hideMark/>
          </w:tcPr>
          <w:p w14:paraId="72340F2A"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(19.075)</w:t>
            </w:r>
          </w:p>
        </w:tc>
      </w:tr>
      <w:tr w:rsidR="00A25C77" w:rsidRPr="00A25C77" w14:paraId="32274065" w14:textId="77777777" w:rsidTr="00446A14">
        <w:trPr>
          <w:trHeight w:val="290"/>
        </w:trPr>
        <w:tc>
          <w:tcPr>
            <w:tcW w:w="1861" w:type="pct"/>
            <w:tcBorders>
              <w:top w:val="nil"/>
              <w:left w:val="single" w:sz="4" w:space="0" w:color="auto"/>
              <w:bottom w:val="single" w:sz="4" w:space="0" w:color="auto"/>
              <w:right w:val="single" w:sz="4" w:space="0" w:color="auto"/>
            </w:tcBorders>
            <w:shd w:val="clear" w:color="auto" w:fill="auto"/>
            <w:vAlign w:val="center"/>
            <w:hideMark/>
          </w:tcPr>
          <w:p w14:paraId="16E56142" w14:textId="77777777" w:rsidR="00A25C77" w:rsidRPr="00A25C77" w:rsidRDefault="00A25C77" w:rsidP="00A25C77">
            <w:pPr>
              <w:spacing w:after="0" w:line="240" w:lineRule="auto"/>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20"/>
                <w:lang w:eastAsia="pt-BR"/>
                <w14:ligatures w14:val="none"/>
              </w:rPr>
              <w:t>4. Despesa reconhecida na demonstração do resultado</w:t>
            </w:r>
          </w:p>
        </w:tc>
        <w:tc>
          <w:tcPr>
            <w:tcW w:w="561" w:type="pct"/>
            <w:tcBorders>
              <w:top w:val="nil"/>
              <w:left w:val="nil"/>
              <w:bottom w:val="single" w:sz="4" w:space="0" w:color="auto"/>
              <w:right w:val="single" w:sz="4" w:space="0" w:color="auto"/>
            </w:tcBorders>
            <w:shd w:val="clear" w:color="auto" w:fill="auto"/>
            <w:noWrap/>
            <w:vAlign w:val="bottom"/>
            <w:hideMark/>
          </w:tcPr>
          <w:p w14:paraId="78D0DFEA" w14:textId="77777777" w:rsidR="00A25C77" w:rsidRPr="00A25C77" w:rsidRDefault="00A25C77" w:rsidP="00A25C77">
            <w:pPr>
              <w:spacing w:after="0" w:line="240" w:lineRule="auto"/>
              <w:jc w:val="right"/>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 xml:space="preserve">     (7.699)</w:t>
            </w:r>
          </w:p>
        </w:tc>
        <w:tc>
          <w:tcPr>
            <w:tcW w:w="482" w:type="pct"/>
            <w:tcBorders>
              <w:top w:val="nil"/>
              <w:left w:val="nil"/>
              <w:bottom w:val="single" w:sz="4" w:space="0" w:color="auto"/>
              <w:right w:val="single" w:sz="4" w:space="0" w:color="auto"/>
            </w:tcBorders>
            <w:shd w:val="clear" w:color="auto" w:fill="auto"/>
            <w:noWrap/>
            <w:vAlign w:val="bottom"/>
            <w:hideMark/>
          </w:tcPr>
          <w:p w14:paraId="002B0408" w14:textId="77777777" w:rsidR="00A25C77" w:rsidRPr="00A25C77" w:rsidRDefault="00A25C77" w:rsidP="00A25C77">
            <w:pPr>
              <w:spacing w:after="0" w:line="240" w:lineRule="auto"/>
              <w:jc w:val="right"/>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 xml:space="preserve">      2.449 </w:t>
            </w:r>
          </w:p>
        </w:tc>
        <w:tc>
          <w:tcPr>
            <w:tcW w:w="561" w:type="pct"/>
            <w:tcBorders>
              <w:top w:val="nil"/>
              <w:left w:val="nil"/>
              <w:bottom w:val="single" w:sz="4" w:space="0" w:color="auto"/>
              <w:right w:val="single" w:sz="4" w:space="0" w:color="auto"/>
            </w:tcBorders>
            <w:shd w:val="clear" w:color="auto" w:fill="auto"/>
            <w:noWrap/>
            <w:vAlign w:val="bottom"/>
            <w:hideMark/>
          </w:tcPr>
          <w:p w14:paraId="0D46494D" w14:textId="77777777" w:rsidR="00A25C77" w:rsidRPr="00A25C77" w:rsidRDefault="00A25C77" w:rsidP="00A25C77">
            <w:pPr>
              <w:spacing w:after="0" w:line="240" w:lineRule="auto"/>
              <w:jc w:val="right"/>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 xml:space="preserve">     (6.006)</w:t>
            </w:r>
          </w:p>
        </w:tc>
        <w:tc>
          <w:tcPr>
            <w:tcW w:w="523" w:type="pct"/>
            <w:tcBorders>
              <w:top w:val="nil"/>
              <w:left w:val="nil"/>
              <w:bottom w:val="single" w:sz="4" w:space="0" w:color="auto"/>
              <w:right w:val="single" w:sz="4" w:space="0" w:color="auto"/>
            </w:tcBorders>
            <w:shd w:val="clear" w:color="auto" w:fill="auto"/>
            <w:noWrap/>
            <w:vAlign w:val="bottom"/>
            <w:hideMark/>
          </w:tcPr>
          <w:p w14:paraId="5C76D0C2" w14:textId="77777777" w:rsidR="00A25C77" w:rsidRPr="00A25C77" w:rsidRDefault="00A25C77" w:rsidP="00A25C77">
            <w:pPr>
              <w:spacing w:after="0" w:line="240" w:lineRule="auto"/>
              <w:jc w:val="right"/>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 xml:space="preserve">     (2.929)</w:t>
            </w:r>
          </w:p>
        </w:tc>
        <w:tc>
          <w:tcPr>
            <w:tcW w:w="531" w:type="pct"/>
            <w:tcBorders>
              <w:top w:val="nil"/>
              <w:left w:val="nil"/>
              <w:bottom w:val="single" w:sz="4" w:space="0" w:color="auto"/>
              <w:right w:val="single" w:sz="4" w:space="0" w:color="auto"/>
            </w:tcBorders>
            <w:shd w:val="clear" w:color="auto" w:fill="auto"/>
            <w:noWrap/>
            <w:vAlign w:val="bottom"/>
            <w:hideMark/>
          </w:tcPr>
          <w:p w14:paraId="55339D20" w14:textId="77777777" w:rsidR="00A25C77" w:rsidRPr="00A25C77" w:rsidRDefault="00A25C77" w:rsidP="00A25C77">
            <w:pPr>
              <w:spacing w:after="0" w:line="240" w:lineRule="auto"/>
              <w:jc w:val="right"/>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 xml:space="preserve">          531 </w:t>
            </w:r>
          </w:p>
        </w:tc>
        <w:tc>
          <w:tcPr>
            <w:tcW w:w="482" w:type="pct"/>
            <w:tcBorders>
              <w:top w:val="nil"/>
              <w:left w:val="nil"/>
              <w:bottom w:val="single" w:sz="4" w:space="0" w:color="auto"/>
              <w:right w:val="single" w:sz="4" w:space="0" w:color="auto"/>
            </w:tcBorders>
            <w:shd w:val="clear" w:color="auto" w:fill="auto"/>
            <w:noWrap/>
            <w:vAlign w:val="bottom"/>
            <w:hideMark/>
          </w:tcPr>
          <w:p w14:paraId="381FAC71" w14:textId="77777777" w:rsidR="00A25C77" w:rsidRPr="00A25C77" w:rsidRDefault="00A25C77" w:rsidP="00A25C77">
            <w:pPr>
              <w:spacing w:after="0" w:line="240" w:lineRule="auto"/>
              <w:jc w:val="right"/>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 xml:space="preserve">      4.424 </w:t>
            </w:r>
          </w:p>
        </w:tc>
      </w:tr>
    </w:tbl>
    <w:p w14:paraId="2F75069B" w14:textId="24E7C373" w:rsidR="00A25C77" w:rsidRPr="00A25C77" w:rsidRDefault="00A25C77" w:rsidP="00A25C77">
      <w:pPr>
        <w:autoSpaceDE w:val="0"/>
        <w:autoSpaceDN w:val="0"/>
        <w:adjustRightInd w:val="0"/>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32.5.9. </w:t>
      </w:r>
      <w:r w:rsidRPr="00A25C77">
        <w:rPr>
          <w:rFonts w:ascii="Calibri" w:eastAsia="Times New Roman" w:hAnsi="Calibri" w:cs="Calibri"/>
          <w:b/>
          <w:bCs/>
          <w:iCs/>
          <w:color w:val="002060"/>
          <w:kern w:val="0"/>
          <w14:ligatures w14:val="none"/>
        </w:rPr>
        <w:t>Movimentação do Passivo Líquido</w:t>
      </w:r>
    </w:p>
    <w:tbl>
      <w:tblPr>
        <w:tblW w:w="5000" w:type="pct"/>
        <w:tblCellMar>
          <w:left w:w="70" w:type="dxa"/>
          <w:right w:w="70" w:type="dxa"/>
        </w:tblCellMar>
        <w:tblLook w:val="04A0" w:firstRow="1" w:lastRow="0" w:firstColumn="1" w:lastColumn="0" w:noHBand="0" w:noVBand="1"/>
      </w:tblPr>
      <w:tblGrid>
        <w:gridCol w:w="5031"/>
        <w:gridCol w:w="1708"/>
        <w:gridCol w:w="1431"/>
        <w:gridCol w:w="1591"/>
      </w:tblGrid>
      <w:tr w:rsidR="00A25C77" w:rsidRPr="00A25C77" w14:paraId="3EF695A0" w14:textId="77777777" w:rsidTr="00446A14">
        <w:trPr>
          <w:trHeight w:val="238"/>
        </w:trPr>
        <w:tc>
          <w:tcPr>
            <w:tcW w:w="2577" w:type="pct"/>
            <w:tcBorders>
              <w:top w:val="single" w:sz="8" w:space="0" w:color="auto"/>
              <w:left w:val="single" w:sz="8" w:space="0" w:color="auto"/>
              <w:bottom w:val="single" w:sz="4" w:space="0" w:color="auto"/>
              <w:right w:val="single" w:sz="8" w:space="0" w:color="auto"/>
            </w:tcBorders>
            <w:shd w:val="clear" w:color="000000" w:fill="BFBFBF"/>
            <w:vAlign w:val="center"/>
            <w:hideMark/>
          </w:tcPr>
          <w:p w14:paraId="10BCED89" w14:textId="77777777" w:rsidR="00A25C77" w:rsidRPr="00A25C77" w:rsidRDefault="00A25C77" w:rsidP="00A25C77">
            <w:pPr>
              <w:spacing w:after="0" w:line="240" w:lineRule="auto"/>
              <w:rPr>
                <w:rFonts w:ascii="Arial" w:eastAsia="Times New Roman" w:hAnsi="Arial" w:cs="Arial"/>
                <w:b/>
                <w:bCs/>
                <w:kern w:val="0"/>
                <w:sz w:val="18"/>
                <w:szCs w:val="18"/>
                <w:lang w:eastAsia="pt-BR"/>
                <w14:ligatures w14:val="none"/>
              </w:rPr>
            </w:pPr>
            <w:r w:rsidRPr="00A25C77">
              <w:rPr>
                <w:rFonts w:ascii="Times New Roman" w:eastAsia="Times New Roman" w:hAnsi="Times New Roman" w:cs="Times New Roman"/>
                <w:b/>
                <w:bCs/>
                <w:color w:val="000000"/>
                <w:kern w:val="0"/>
                <w:sz w:val="20"/>
                <w:szCs w:val="16"/>
                <w:lang w:eastAsia="pt-BR"/>
                <w14:ligatures w14:val="none"/>
              </w:rPr>
              <w:t>Composição:</w:t>
            </w:r>
          </w:p>
        </w:tc>
        <w:tc>
          <w:tcPr>
            <w:tcW w:w="875" w:type="pct"/>
            <w:tcBorders>
              <w:top w:val="single" w:sz="8" w:space="0" w:color="auto"/>
              <w:left w:val="nil"/>
              <w:bottom w:val="single" w:sz="4" w:space="0" w:color="auto"/>
              <w:right w:val="single" w:sz="8" w:space="0" w:color="auto"/>
            </w:tcBorders>
            <w:shd w:val="clear" w:color="auto" w:fill="auto"/>
            <w:vAlign w:val="center"/>
            <w:hideMark/>
          </w:tcPr>
          <w:p w14:paraId="3AF15EE3" w14:textId="77777777" w:rsidR="00A25C77" w:rsidRPr="00A25C77" w:rsidRDefault="00A25C77" w:rsidP="00A25C77">
            <w:pPr>
              <w:spacing w:after="0" w:line="240" w:lineRule="auto"/>
              <w:jc w:val="center"/>
              <w:rPr>
                <w:rFonts w:ascii="Arial" w:eastAsia="Times New Roman" w:hAnsi="Arial" w:cs="Arial"/>
                <w:b/>
                <w:bCs/>
                <w:kern w:val="0"/>
                <w:sz w:val="18"/>
                <w:szCs w:val="18"/>
                <w:lang w:eastAsia="pt-BR"/>
                <w14:ligatures w14:val="none"/>
              </w:rPr>
            </w:pPr>
            <w:r w:rsidRPr="00A25C77">
              <w:rPr>
                <w:rFonts w:ascii="Arial" w:eastAsia="Times New Roman" w:hAnsi="Arial" w:cs="Arial"/>
                <w:b/>
                <w:bCs/>
                <w:kern w:val="0"/>
                <w:sz w:val="18"/>
                <w:szCs w:val="18"/>
                <w:lang w:eastAsia="pt-BR"/>
                <w14:ligatures w14:val="none"/>
              </w:rPr>
              <w:t>PBS-A</w:t>
            </w:r>
          </w:p>
        </w:tc>
        <w:tc>
          <w:tcPr>
            <w:tcW w:w="733" w:type="pct"/>
            <w:tcBorders>
              <w:top w:val="single" w:sz="8" w:space="0" w:color="auto"/>
              <w:left w:val="nil"/>
              <w:bottom w:val="single" w:sz="4" w:space="0" w:color="auto"/>
              <w:right w:val="single" w:sz="8" w:space="0" w:color="auto"/>
            </w:tcBorders>
            <w:shd w:val="clear" w:color="auto" w:fill="auto"/>
            <w:vAlign w:val="center"/>
            <w:hideMark/>
          </w:tcPr>
          <w:p w14:paraId="58D1F431" w14:textId="77777777" w:rsidR="00A25C77" w:rsidRPr="00A25C77" w:rsidRDefault="00A25C77" w:rsidP="00A25C77">
            <w:pPr>
              <w:spacing w:after="0" w:line="240" w:lineRule="auto"/>
              <w:jc w:val="center"/>
              <w:rPr>
                <w:rFonts w:ascii="Arial" w:eastAsia="Times New Roman" w:hAnsi="Arial" w:cs="Arial"/>
                <w:b/>
                <w:bCs/>
                <w:kern w:val="0"/>
                <w:sz w:val="18"/>
                <w:szCs w:val="18"/>
                <w:lang w:eastAsia="pt-BR"/>
                <w14:ligatures w14:val="none"/>
              </w:rPr>
            </w:pPr>
            <w:r w:rsidRPr="00A25C77">
              <w:rPr>
                <w:rFonts w:ascii="Arial" w:eastAsia="Times New Roman" w:hAnsi="Arial" w:cs="Arial"/>
                <w:b/>
                <w:bCs/>
                <w:kern w:val="0"/>
                <w:sz w:val="18"/>
                <w:szCs w:val="18"/>
                <w:lang w:eastAsia="pt-BR"/>
                <w14:ligatures w14:val="none"/>
              </w:rPr>
              <w:t>PBS-Telebrás</w:t>
            </w:r>
          </w:p>
        </w:tc>
        <w:tc>
          <w:tcPr>
            <w:tcW w:w="815" w:type="pct"/>
            <w:tcBorders>
              <w:top w:val="single" w:sz="8" w:space="0" w:color="auto"/>
              <w:left w:val="nil"/>
              <w:bottom w:val="single" w:sz="4" w:space="0" w:color="auto"/>
              <w:right w:val="single" w:sz="8" w:space="0" w:color="auto"/>
            </w:tcBorders>
            <w:shd w:val="clear" w:color="auto" w:fill="auto"/>
            <w:vAlign w:val="center"/>
            <w:hideMark/>
          </w:tcPr>
          <w:p w14:paraId="0991F1D1" w14:textId="77777777" w:rsidR="00A25C77" w:rsidRPr="00A25C77" w:rsidRDefault="00A25C77" w:rsidP="00A25C77">
            <w:pPr>
              <w:spacing w:after="0" w:line="240" w:lineRule="auto"/>
              <w:jc w:val="center"/>
              <w:rPr>
                <w:rFonts w:ascii="Arial" w:eastAsia="Times New Roman" w:hAnsi="Arial" w:cs="Arial"/>
                <w:b/>
                <w:bCs/>
                <w:kern w:val="0"/>
                <w:sz w:val="18"/>
                <w:szCs w:val="18"/>
                <w:lang w:eastAsia="pt-BR"/>
                <w14:ligatures w14:val="none"/>
              </w:rPr>
            </w:pPr>
            <w:r w:rsidRPr="00A25C77">
              <w:rPr>
                <w:rFonts w:ascii="Arial" w:eastAsia="Times New Roman" w:hAnsi="Arial" w:cs="Arial"/>
                <w:b/>
                <w:bCs/>
                <w:kern w:val="0"/>
                <w:sz w:val="18"/>
                <w:szCs w:val="18"/>
                <w:lang w:eastAsia="pt-BR"/>
                <w14:ligatures w14:val="none"/>
              </w:rPr>
              <w:t>Telebrás PREV</w:t>
            </w:r>
          </w:p>
        </w:tc>
      </w:tr>
      <w:tr w:rsidR="00A25C77" w:rsidRPr="00A25C77" w14:paraId="0D545F57" w14:textId="77777777" w:rsidTr="00446A14">
        <w:trPr>
          <w:trHeight w:val="238"/>
        </w:trPr>
        <w:tc>
          <w:tcPr>
            <w:tcW w:w="25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D6E588" w14:textId="77777777" w:rsidR="00A25C77" w:rsidRPr="00A25C77" w:rsidRDefault="00A25C77" w:rsidP="00A25C77">
            <w:pPr>
              <w:spacing w:after="0" w:line="240" w:lineRule="auto"/>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1. Passivo/(ativo) líquido reconhecido em 31/12/2022</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30540C" w14:textId="77777777" w:rsidR="00A25C77" w:rsidRPr="00A25C77" w:rsidRDefault="00A25C77" w:rsidP="00A25C77">
            <w:pPr>
              <w:spacing w:after="0" w:line="240" w:lineRule="auto"/>
              <w:jc w:val="right"/>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 xml:space="preserve">   (81.063)</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150855" w14:textId="77777777" w:rsidR="00A25C77" w:rsidRPr="00A25C77" w:rsidRDefault="00A25C77" w:rsidP="00A25C77">
            <w:pPr>
              <w:spacing w:after="0" w:line="240" w:lineRule="auto"/>
              <w:jc w:val="right"/>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 xml:space="preserve">   (63.243)</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ED72A9" w14:textId="77777777" w:rsidR="00A25C77" w:rsidRPr="00A25C77" w:rsidRDefault="00A25C77" w:rsidP="00A25C77">
            <w:pPr>
              <w:spacing w:after="0" w:line="240" w:lineRule="auto"/>
              <w:jc w:val="right"/>
              <w:rPr>
                <w:rFonts w:ascii="Arial" w:eastAsia="Times New Roman" w:hAnsi="Arial" w:cs="Arial"/>
                <w:b/>
                <w:bCs/>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 xml:space="preserve">          (53)</w:t>
            </w:r>
          </w:p>
        </w:tc>
      </w:tr>
      <w:tr w:rsidR="00A25C77" w:rsidRPr="00A25C77" w14:paraId="37D21FA5" w14:textId="77777777" w:rsidTr="00446A14">
        <w:trPr>
          <w:trHeight w:val="238"/>
        </w:trPr>
        <w:tc>
          <w:tcPr>
            <w:tcW w:w="25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DA4AF2" w14:textId="77777777" w:rsidR="00A25C77" w:rsidRPr="00A25C77" w:rsidRDefault="00A25C77" w:rsidP="00A25C77">
            <w:pPr>
              <w:spacing w:after="0" w:line="240" w:lineRule="auto"/>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2. Despesa do ano</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7A1B8A"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 xml:space="preserve">        (7.699)</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7F74F2"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 xml:space="preserve">     (6.006)</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B62C67"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 xml:space="preserve">         531 </w:t>
            </w:r>
          </w:p>
        </w:tc>
      </w:tr>
      <w:tr w:rsidR="00A25C77" w:rsidRPr="00A25C77" w14:paraId="52375812" w14:textId="77777777" w:rsidTr="00446A14">
        <w:trPr>
          <w:trHeight w:val="238"/>
        </w:trPr>
        <w:tc>
          <w:tcPr>
            <w:tcW w:w="25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14C793" w14:textId="77777777" w:rsidR="00A25C77" w:rsidRPr="00A25C77" w:rsidRDefault="00A25C77" w:rsidP="00A25C77">
            <w:pPr>
              <w:spacing w:after="0" w:line="240" w:lineRule="auto"/>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3. Pagamento de contribuições</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390295" w14:textId="77777777" w:rsidR="00A25C77" w:rsidRPr="00A25C77" w:rsidRDefault="00A25C77" w:rsidP="00A25C77">
            <w:pPr>
              <w:spacing w:after="0" w:line="240" w:lineRule="auto"/>
              <w:jc w:val="center"/>
              <w:rPr>
                <w:rFonts w:ascii="Arial" w:eastAsia="Times New Roman" w:hAnsi="Arial" w:cs="Arial"/>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 xml:space="preserve">             -    </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24E019"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 xml:space="preserve">            -   </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B61458"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 xml:space="preserve">     (5.090)</w:t>
            </w:r>
          </w:p>
        </w:tc>
      </w:tr>
      <w:tr w:rsidR="00A25C77" w:rsidRPr="00A25C77" w14:paraId="481ECFD3" w14:textId="77777777" w:rsidTr="00446A14">
        <w:trPr>
          <w:trHeight w:val="238"/>
        </w:trPr>
        <w:tc>
          <w:tcPr>
            <w:tcW w:w="25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3A9E28" w14:textId="77777777" w:rsidR="00A25C77" w:rsidRPr="00A25C77" w:rsidRDefault="00A25C77" w:rsidP="00A25C77">
            <w:pPr>
              <w:spacing w:after="0" w:line="240" w:lineRule="auto"/>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4. Perdas/(ganhos) atuariais do exercício</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D2226C"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 xml:space="preserve">        (9.584)</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7F646C"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 xml:space="preserve">   (37.371)</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3C5F40"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 xml:space="preserve"> (188.737)</w:t>
            </w:r>
          </w:p>
        </w:tc>
      </w:tr>
      <w:tr w:rsidR="00A25C77" w:rsidRPr="00A25C77" w14:paraId="3A9053A8" w14:textId="77777777" w:rsidTr="00446A14">
        <w:trPr>
          <w:trHeight w:val="238"/>
        </w:trPr>
        <w:tc>
          <w:tcPr>
            <w:tcW w:w="25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17A69F" w14:textId="77777777" w:rsidR="00A25C77" w:rsidRPr="00A25C77" w:rsidRDefault="00A25C77" w:rsidP="00A25C77">
            <w:pPr>
              <w:spacing w:after="0" w:line="240" w:lineRule="auto"/>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5. Passivo/(ativo) líquido em 31/12/2023</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5FFADA"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(98.346)</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2755E8"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(106.620)</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17A7E2"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(193.349)</w:t>
            </w:r>
          </w:p>
        </w:tc>
      </w:tr>
      <w:tr w:rsidR="00A25C77" w:rsidRPr="00A25C77" w14:paraId="5D013934" w14:textId="77777777" w:rsidTr="00446A14">
        <w:trPr>
          <w:trHeight w:val="238"/>
        </w:trPr>
        <w:tc>
          <w:tcPr>
            <w:tcW w:w="25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E6239B" w14:textId="77777777" w:rsidR="00A25C77" w:rsidRPr="00A25C77" w:rsidRDefault="00A25C77" w:rsidP="00A25C77">
            <w:pPr>
              <w:spacing w:after="0" w:line="240" w:lineRule="auto"/>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5. Ajuste do teto de ativo </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0C768"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(98.346)</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1E88F2"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106.620 </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786D2E"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193.349 </w:t>
            </w:r>
          </w:p>
        </w:tc>
      </w:tr>
      <w:tr w:rsidR="00A25C77" w:rsidRPr="00A25C77" w14:paraId="31981C3A" w14:textId="77777777" w:rsidTr="00446A14">
        <w:trPr>
          <w:trHeight w:val="238"/>
        </w:trPr>
        <w:tc>
          <w:tcPr>
            <w:tcW w:w="25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FC70A9" w14:textId="77777777" w:rsidR="00A25C77" w:rsidRPr="00A25C77" w:rsidRDefault="00A25C77" w:rsidP="00A25C77">
            <w:pPr>
              <w:spacing w:after="0" w:line="240" w:lineRule="auto"/>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6. Passivo/ativo líquido</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7AC507" w14:textId="77777777" w:rsidR="00A25C77" w:rsidRPr="00A25C77" w:rsidRDefault="00A25C77" w:rsidP="00A25C77">
            <w:pPr>
              <w:spacing w:after="0" w:line="240" w:lineRule="auto"/>
              <w:jc w:val="center"/>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   </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E5A23D"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 </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8DF261" w14:textId="77777777" w:rsidR="00A25C77" w:rsidRPr="00A25C77" w:rsidRDefault="00A25C77" w:rsidP="00A25C77">
            <w:pPr>
              <w:spacing w:after="0" w:line="240" w:lineRule="auto"/>
              <w:jc w:val="center"/>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18"/>
                <w:lang w:eastAsia="pt-BR"/>
                <w14:ligatures w14:val="none"/>
              </w:rPr>
              <w:t xml:space="preserve">                        -   </w:t>
            </w:r>
          </w:p>
        </w:tc>
      </w:tr>
    </w:tbl>
    <w:p w14:paraId="6B84D382" w14:textId="22BC3B70" w:rsidR="00A25C77" w:rsidRPr="00A25C77" w:rsidRDefault="00A25C77" w:rsidP="00A25C77">
      <w:pPr>
        <w:autoSpaceDE w:val="0"/>
        <w:autoSpaceDN w:val="0"/>
        <w:adjustRightInd w:val="0"/>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32.5.10. </w:t>
      </w:r>
      <w:r w:rsidRPr="00A25C77">
        <w:rPr>
          <w:rFonts w:ascii="Calibri" w:eastAsia="Times New Roman" w:hAnsi="Calibri" w:cs="Calibri"/>
          <w:b/>
          <w:bCs/>
          <w:iCs/>
          <w:color w:val="002060"/>
          <w:kern w:val="0"/>
          <w14:ligatures w14:val="none"/>
        </w:rPr>
        <w:t>Despesa Projetada para 2024</w:t>
      </w:r>
    </w:p>
    <w:tbl>
      <w:tblPr>
        <w:tblW w:w="5000" w:type="pct"/>
        <w:tblCellMar>
          <w:left w:w="70" w:type="dxa"/>
          <w:right w:w="70" w:type="dxa"/>
        </w:tblCellMar>
        <w:tblLook w:val="04A0" w:firstRow="1" w:lastRow="0" w:firstColumn="1" w:lastColumn="0" w:noHBand="0" w:noVBand="1"/>
      </w:tblPr>
      <w:tblGrid>
        <w:gridCol w:w="5031"/>
        <w:gridCol w:w="1708"/>
        <w:gridCol w:w="1431"/>
        <w:gridCol w:w="1591"/>
      </w:tblGrid>
      <w:tr w:rsidR="00A25C77" w:rsidRPr="00A25C77" w14:paraId="24F31BEE" w14:textId="77777777" w:rsidTr="00446A14">
        <w:trPr>
          <w:trHeight w:val="238"/>
          <w:tblHeader/>
        </w:trPr>
        <w:tc>
          <w:tcPr>
            <w:tcW w:w="2577" w:type="pct"/>
            <w:tcBorders>
              <w:top w:val="single" w:sz="8" w:space="0" w:color="auto"/>
              <w:left w:val="single" w:sz="8" w:space="0" w:color="auto"/>
              <w:bottom w:val="single" w:sz="4" w:space="0" w:color="auto"/>
              <w:right w:val="single" w:sz="8" w:space="0" w:color="auto"/>
            </w:tcBorders>
            <w:shd w:val="clear" w:color="000000" w:fill="BFBFBF"/>
            <w:vAlign w:val="center"/>
            <w:hideMark/>
          </w:tcPr>
          <w:p w14:paraId="549BE5ED" w14:textId="77777777" w:rsidR="00A25C77" w:rsidRPr="00A25C77" w:rsidRDefault="00A25C77" w:rsidP="00A25C77">
            <w:pPr>
              <w:spacing w:after="0" w:line="240" w:lineRule="auto"/>
              <w:rPr>
                <w:rFonts w:ascii="Arial" w:eastAsia="Times New Roman" w:hAnsi="Arial" w:cs="Arial"/>
                <w:b/>
                <w:bCs/>
                <w:kern w:val="0"/>
                <w:sz w:val="18"/>
                <w:szCs w:val="18"/>
                <w:lang w:eastAsia="pt-BR"/>
                <w14:ligatures w14:val="none"/>
              </w:rPr>
            </w:pPr>
            <w:r w:rsidRPr="00A25C77">
              <w:rPr>
                <w:rFonts w:ascii="Times New Roman" w:eastAsia="Times New Roman" w:hAnsi="Times New Roman" w:cs="Times New Roman"/>
                <w:b/>
                <w:bCs/>
                <w:color w:val="000000"/>
                <w:kern w:val="0"/>
                <w:sz w:val="20"/>
                <w:szCs w:val="16"/>
                <w:lang w:eastAsia="pt-BR"/>
                <w14:ligatures w14:val="none"/>
              </w:rPr>
              <w:t>Composição:</w:t>
            </w:r>
          </w:p>
        </w:tc>
        <w:tc>
          <w:tcPr>
            <w:tcW w:w="875" w:type="pct"/>
            <w:tcBorders>
              <w:top w:val="single" w:sz="8" w:space="0" w:color="auto"/>
              <w:left w:val="nil"/>
              <w:bottom w:val="single" w:sz="4" w:space="0" w:color="auto"/>
              <w:right w:val="single" w:sz="8" w:space="0" w:color="auto"/>
            </w:tcBorders>
            <w:shd w:val="clear" w:color="auto" w:fill="auto"/>
            <w:vAlign w:val="center"/>
            <w:hideMark/>
          </w:tcPr>
          <w:p w14:paraId="7BD09707" w14:textId="77777777" w:rsidR="00A25C77" w:rsidRPr="00A25C77" w:rsidRDefault="00A25C77" w:rsidP="00A25C77">
            <w:pPr>
              <w:spacing w:after="0" w:line="240" w:lineRule="auto"/>
              <w:jc w:val="center"/>
              <w:rPr>
                <w:rFonts w:ascii="Arial" w:eastAsia="Times New Roman" w:hAnsi="Arial" w:cs="Arial"/>
                <w:b/>
                <w:bCs/>
                <w:kern w:val="0"/>
                <w:sz w:val="18"/>
                <w:szCs w:val="18"/>
                <w:lang w:eastAsia="pt-BR"/>
                <w14:ligatures w14:val="none"/>
              </w:rPr>
            </w:pPr>
            <w:r w:rsidRPr="00A25C77">
              <w:rPr>
                <w:rFonts w:ascii="Arial" w:eastAsia="Times New Roman" w:hAnsi="Arial" w:cs="Arial"/>
                <w:b/>
                <w:bCs/>
                <w:kern w:val="0"/>
                <w:sz w:val="18"/>
                <w:szCs w:val="24"/>
                <w:lang w:eastAsia="pt-BR"/>
                <w14:ligatures w14:val="none"/>
              </w:rPr>
              <w:t>PBS-A</w:t>
            </w:r>
          </w:p>
        </w:tc>
        <w:tc>
          <w:tcPr>
            <w:tcW w:w="733" w:type="pct"/>
            <w:tcBorders>
              <w:top w:val="single" w:sz="8" w:space="0" w:color="auto"/>
              <w:left w:val="nil"/>
              <w:bottom w:val="single" w:sz="4" w:space="0" w:color="auto"/>
              <w:right w:val="single" w:sz="8" w:space="0" w:color="auto"/>
            </w:tcBorders>
            <w:shd w:val="clear" w:color="auto" w:fill="auto"/>
            <w:vAlign w:val="center"/>
            <w:hideMark/>
          </w:tcPr>
          <w:p w14:paraId="0C3ED0E5" w14:textId="77777777" w:rsidR="00A25C77" w:rsidRPr="00A25C77" w:rsidRDefault="00A25C77" w:rsidP="00A25C77">
            <w:pPr>
              <w:spacing w:after="0" w:line="240" w:lineRule="auto"/>
              <w:jc w:val="center"/>
              <w:rPr>
                <w:rFonts w:ascii="Arial" w:eastAsia="Times New Roman" w:hAnsi="Arial" w:cs="Arial"/>
                <w:b/>
                <w:bCs/>
                <w:kern w:val="0"/>
                <w:sz w:val="18"/>
                <w:szCs w:val="18"/>
                <w:lang w:eastAsia="pt-BR"/>
                <w14:ligatures w14:val="none"/>
              </w:rPr>
            </w:pPr>
            <w:r w:rsidRPr="00A25C77">
              <w:rPr>
                <w:rFonts w:ascii="Arial" w:eastAsia="Times New Roman" w:hAnsi="Arial" w:cs="Arial"/>
                <w:b/>
                <w:bCs/>
                <w:kern w:val="0"/>
                <w:sz w:val="18"/>
                <w:szCs w:val="24"/>
                <w:lang w:eastAsia="pt-BR"/>
                <w14:ligatures w14:val="none"/>
              </w:rPr>
              <w:t>PBS-Telebrás</w:t>
            </w:r>
          </w:p>
        </w:tc>
        <w:tc>
          <w:tcPr>
            <w:tcW w:w="815" w:type="pct"/>
            <w:tcBorders>
              <w:top w:val="single" w:sz="8" w:space="0" w:color="auto"/>
              <w:left w:val="nil"/>
              <w:bottom w:val="single" w:sz="4" w:space="0" w:color="auto"/>
              <w:right w:val="single" w:sz="8" w:space="0" w:color="auto"/>
            </w:tcBorders>
            <w:shd w:val="clear" w:color="auto" w:fill="auto"/>
            <w:vAlign w:val="center"/>
            <w:hideMark/>
          </w:tcPr>
          <w:p w14:paraId="60E0A3A7" w14:textId="77777777" w:rsidR="00A25C77" w:rsidRPr="00A25C77" w:rsidRDefault="00A25C77" w:rsidP="00A25C77">
            <w:pPr>
              <w:spacing w:after="0" w:line="240" w:lineRule="auto"/>
              <w:jc w:val="center"/>
              <w:rPr>
                <w:rFonts w:ascii="Arial" w:eastAsia="Times New Roman" w:hAnsi="Arial" w:cs="Arial"/>
                <w:b/>
                <w:bCs/>
                <w:kern w:val="0"/>
                <w:sz w:val="18"/>
                <w:szCs w:val="18"/>
                <w:lang w:eastAsia="pt-BR"/>
                <w14:ligatures w14:val="none"/>
              </w:rPr>
            </w:pPr>
            <w:r w:rsidRPr="00A25C77">
              <w:rPr>
                <w:rFonts w:ascii="Arial" w:eastAsia="Times New Roman" w:hAnsi="Arial" w:cs="Arial"/>
                <w:b/>
                <w:bCs/>
                <w:kern w:val="0"/>
                <w:sz w:val="18"/>
                <w:szCs w:val="24"/>
                <w:lang w:eastAsia="pt-BR"/>
                <w14:ligatures w14:val="none"/>
              </w:rPr>
              <w:t>Telebrás PREV</w:t>
            </w:r>
          </w:p>
        </w:tc>
      </w:tr>
      <w:tr w:rsidR="00A25C77" w:rsidRPr="00A25C77" w14:paraId="43999BD6" w14:textId="77777777" w:rsidTr="00446A14">
        <w:trPr>
          <w:trHeight w:val="238"/>
        </w:trPr>
        <w:tc>
          <w:tcPr>
            <w:tcW w:w="25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834045" w14:textId="77777777" w:rsidR="00A25C77" w:rsidRPr="00A25C77" w:rsidRDefault="00A25C77" w:rsidP="00A25C77">
            <w:pPr>
              <w:spacing w:after="0" w:line="240" w:lineRule="auto"/>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20"/>
                <w:lang w:eastAsia="pt-BR"/>
                <w14:ligatures w14:val="none"/>
              </w:rPr>
              <w:t>1. Juros sobre obrigações atuariais</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45637E"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bCs/>
                <w:color w:val="000000"/>
                <w:kern w:val="0"/>
                <w:sz w:val="18"/>
                <w:szCs w:val="18"/>
                <w:lang w:eastAsia="pt-BR"/>
                <w14:ligatures w14:val="none"/>
              </w:rPr>
              <w:t xml:space="preserve">      55.190 </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6BD1A"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bCs/>
                <w:color w:val="000000"/>
                <w:kern w:val="0"/>
                <w:sz w:val="18"/>
                <w:szCs w:val="18"/>
                <w:lang w:eastAsia="pt-BR"/>
                <w14:ligatures w14:val="none"/>
              </w:rPr>
              <w:t xml:space="preserve">     20.578 </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91709B"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bCs/>
                <w:color w:val="000000"/>
                <w:kern w:val="0"/>
                <w:sz w:val="18"/>
                <w:szCs w:val="18"/>
                <w:lang w:eastAsia="pt-BR"/>
                <w14:ligatures w14:val="none"/>
              </w:rPr>
              <w:t xml:space="preserve">     36.226 </w:t>
            </w:r>
          </w:p>
        </w:tc>
      </w:tr>
      <w:tr w:rsidR="00A25C77" w:rsidRPr="00A25C77" w14:paraId="2849C78B" w14:textId="77777777" w:rsidTr="00446A14">
        <w:trPr>
          <w:trHeight w:val="238"/>
        </w:trPr>
        <w:tc>
          <w:tcPr>
            <w:tcW w:w="25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FC3D0D" w14:textId="77777777" w:rsidR="00A25C77" w:rsidRPr="00A25C77" w:rsidRDefault="00A25C77" w:rsidP="00A25C77">
            <w:pPr>
              <w:spacing w:after="0" w:line="240" w:lineRule="auto"/>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20"/>
                <w:lang w:eastAsia="pt-BR"/>
                <w14:ligatures w14:val="none"/>
              </w:rPr>
              <w:t xml:space="preserve">2. Rendimento esperado dos ativos </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BF1EFF"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bCs/>
                <w:color w:val="000000"/>
                <w:kern w:val="0"/>
                <w:sz w:val="18"/>
                <w:szCs w:val="18"/>
                <w:lang w:eastAsia="pt-BR"/>
                <w14:ligatures w14:val="none"/>
              </w:rPr>
              <w:t xml:space="preserve">    (64.356)</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14FF77"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bCs/>
                <w:color w:val="000000"/>
                <w:kern w:val="0"/>
                <w:sz w:val="18"/>
                <w:szCs w:val="18"/>
                <w:lang w:eastAsia="pt-BR"/>
                <w14:ligatures w14:val="none"/>
              </w:rPr>
              <w:t xml:space="preserve">    (30.630)</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996879"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bCs/>
                <w:color w:val="000000"/>
                <w:kern w:val="0"/>
                <w:sz w:val="18"/>
                <w:szCs w:val="18"/>
                <w:lang w:eastAsia="pt-BR"/>
                <w14:ligatures w14:val="none"/>
              </w:rPr>
              <w:t xml:space="preserve">    (54.454)</w:t>
            </w:r>
          </w:p>
        </w:tc>
      </w:tr>
      <w:tr w:rsidR="00A25C77" w:rsidRPr="00A25C77" w14:paraId="5A111A2F" w14:textId="77777777" w:rsidTr="00446A14">
        <w:trPr>
          <w:trHeight w:val="238"/>
        </w:trPr>
        <w:tc>
          <w:tcPr>
            <w:tcW w:w="25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78F451" w14:textId="77777777" w:rsidR="00A25C77" w:rsidRPr="00A25C77" w:rsidRDefault="00A25C77" w:rsidP="00A25C77">
            <w:pPr>
              <w:spacing w:after="0" w:line="240" w:lineRule="auto"/>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20"/>
                <w:lang w:eastAsia="pt-BR"/>
                <w14:ligatures w14:val="none"/>
              </w:rPr>
              <w:t>3. Custo do serviço corrente</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419295" w14:textId="77777777" w:rsidR="00A25C77" w:rsidRPr="00A25C77" w:rsidRDefault="00A25C77" w:rsidP="00A25C77">
            <w:pPr>
              <w:spacing w:after="0" w:line="240" w:lineRule="auto"/>
              <w:jc w:val="center"/>
              <w:rPr>
                <w:rFonts w:ascii="Arial" w:eastAsia="Times New Roman" w:hAnsi="Arial" w:cs="Arial"/>
                <w:color w:val="000000"/>
                <w:kern w:val="0"/>
                <w:sz w:val="18"/>
                <w:szCs w:val="18"/>
                <w:lang w:eastAsia="pt-BR"/>
                <w14:ligatures w14:val="none"/>
              </w:rPr>
            </w:pPr>
            <w:r w:rsidRPr="00A25C77">
              <w:rPr>
                <w:rFonts w:ascii="Arial" w:eastAsia="Times New Roman" w:hAnsi="Arial" w:cs="Arial"/>
                <w:bCs/>
                <w:color w:val="000000"/>
                <w:kern w:val="0"/>
                <w:sz w:val="18"/>
                <w:szCs w:val="18"/>
                <w:lang w:eastAsia="pt-BR"/>
                <w14:ligatures w14:val="none"/>
              </w:rPr>
              <w:t xml:space="preserve">             -   </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A118B9" w14:textId="77777777" w:rsidR="00A25C77" w:rsidRPr="00A25C77" w:rsidRDefault="00A25C77" w:rsidP="00A25C77">
            <w:pPr>
              <w:spacing w:after="0" w:line="240" w:lineRule="auto"/>
              <w:jc w:val="center"/>
              <w:rPr>
                <w:rFonts w:ascii="Arial" w:eastAsia="Times New Roman" w:hAnsi="Arial" w:cs="Arial"/>
                <w:color w:val="000000"/>
                <w:kern w:val="0"/>
                <w:sz w:val="18"/>
                <w:szCs w:val="18"/>
                <w:lang w:eastAsia="pt-BR"/>
                <w14:ligatures w14:val="none"/>
              </w:rPr>
            </w:pPr>
            <w:r w:rsidRPr="00A25C77">
              <w:rPr>
                <w:rFonts w:ascii="Arial" w:eastAsia="Times New Roman" w:hAnsi="Arial" w:cs="Arial"/>
                <w:bCs/>
                <w:color w:val="000000"/>
                <w:kern w:val="0"/>
                <w:sz w:val="18"/>
                <w:szCs w:val="18"/>
                <w:lang w:eastAsia="pt-BR"/>
                <w14:ligatures w14:val="none"/>
              </w:rPr>
              <w:t xml:space="preserve">             -   </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3E4CB1"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bCs/>
                <w:color w:val="000000"/>
                <w:kern w:val="0"/>
                <w:sz w:val="18"/>
                <w:szCs w:val="18"/>
                <w:lang w:eastAsia="pt-BR"/>
                <w14:ligatures w14:val="none"/>
              </w:rPr>
              <w:t xml:space="preserve">          514 </w:t>
            </w:r>
          </w:p>
        </w:tc>
      </w:tr>
      <w:tr w:rsidR="00A25C77" w:rsidRPr="00A25C77" w14:paraId="24E69FD1" w14:textId="77777777" w:rsidTr="00446A14">
        <w:trPr>
          <w:trHeight w:val="238"/>
        </w:trPr>
        <w:tc>
          <w:tcPr>
            <w:tcW w:w="25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266EE4" w14:textId="77777777" w:rsidR="00A25C77" w:rsidRPr="00A25C77" w:rsidRDefault="00A25C77" w:rsidP="00A25C77">
            <w:pPr>
              <w:spacing w:after="0" w:line="240" w:lineRule="auto"/>
              <w:rPr>
                <w:rFonts w:ascii="Arial" w:eastAsia="Times New Roman" w:hAnsi="Arial" w:cs="Arial"/>
                <w:color w:val="000000"/>
                <w:kern w:val="0"/>
                <w:sz w:val="18"/>
                <w:szCs w:val="18"/>
                <w:lang w:eastAsia="pt-BR"/>
                <w14:ligatures w14:val="none"/>
              </w:rPr>
            </w:pPr>
            <w:r w:rsidRPr="00A25C77">
              <w:rPr>
                <w:rFonts w:ascii="Arial" w:eastAsia="Times New Roman" w:hAnsi="Arial" w:cs="Arial"/>
                <w:color w:val="000000"/>
                <w:kern w:val="0"/>
                <w:sz w:val="18"/>
                <w:szCs w:val="20"/>
                <w:lang w:eastAsia="pt-BR"/>
                <w14:ligatures w14:val="none"/>
              </w:rPr>
              <w:lastRenderedPageBreak/>
              <w:t>4. Total da despesa</w:t>
            </w:r>
          </w:p>
        </w:tc>
        <w:tc>
          <w:tcPr>
            <w:tcW w:w="87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678F74C"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 xml:space="preserve">      (9.166)</w:t>
            </w:r>
          </w:p>
        </w:tc>
        <w:tc>
          <w:tcPr>
            <w:tcW w:w="7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9B3E99E"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 xml:space="preserve">    (10.052)</w:t>
            </w:r>
          </w:p>
        </w:tc>
        <w:tc>
          <w:tcPr>
            <w:tcW w:w="81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615FF0E" w14:textId="77777777" w:rsidR="00A25C77" w:rsidRPr="00A25C77" w:rsidRDefault="00A25C77" w:rsidP="00A25C77">
            <w:pPr>
              <w:spacing w:after="0" w:line="240" w:lineRule="auto"/>
              <w:jc w:val="right"/>
              <w:rPr>
                <w:rFonts w:ascii="Arial" w:eastAsia="Times New Roman" w:hAnsi="Arial" w:cs="Arial"/>
                <w:color w:val="000000"/>
                <w:kern w:val="0"/>
                <w:sz w:val="18"/>
                <w:szCs w:val="18"/>
                <w:lang w:eastAsia="pt-BR"/>
                <w14:ligatures w14:val="none"/>
              </w:rPr>
            </w:pPr>
            <w:r w:rsidRPr="00A25C77">
              <w:rPr>
                <w:rFonts w:ascii="Arial" w:eastAsia="Times New Roman" w:hAnsi="Arial" w:cs="Arial"/>
                <w:b/>
                <w:bCs/>
                <w:color w:val="000000"/>
                <w:kern w:val="0"/>
                <w:sz w:val="18"/>
                <w:szCs w:val="18"/>
                <w:lang w:eastAsia="pt-BR"/>
                <w14:ligatures w14:val="none"/>
              </w:rPr>
              <w:t xml:space="preserve">    (17.714)</w:t>
            </w:r>
          </w:p>
        </w:tc>
      </w:tr>
    </w:tbl>
    <w:p w14:paraId="22C0F734" w14:textId="1F2345B2" w:rsidR="00195A83" w:rsidRPr="00195A83" w:rsidRDefault="00195A83" w:rsidP="00195A83">
      <w:pPr>
        <w:autoSpaceDE w:val="0"/>
        <w:autoSpaceDN w:val="0"/>
        <w:adjustRightInd w:val="0"/>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32.5.11. </w:t>
      </w:r>
      <w:r w:rsidRPr="00195A83">
        <w:rPr>
          <w:rFonts w:ascii="Calibri" w:eastAsia="Times New Roman" w:hAnsi="Calibri" w:cs="Calibri"/>
          <w:b/>
          <w:bCs/>
          <w:iCs/>
          <w:color w:val="002060"/>
          <w:kern w:val="0"/>
          <w14:ligatures w14:val="none"/>
        </w:rPr>
        <w:t>Evolução da situação atuarial dos planos de benefícios</w:t>
      </w:r>
    </w:p>
    <w:tbl>
      <w:tblPr>
        <w:tblW w:w="5000" w:type="pct"/>
        <w:tblCellMar>
          <w:left w:w="70" w:type="dxa"/>
          <w:right w:w="70" w:type="dxa"/>
        </w:tblCellMar>
        <w:tblLook w:val="04A0" w:firstRow="1" w:lastRow="0" w:firstColumn="1" w:lastColumn="0" w:noHBand="0" w:noVBand="1"/>
      </w:tblPr>
      <w:tblGrid>
        <w:gridCol w:w="3522"/>
        <w:gridCol w:w="1041"/>
        <w:gridCol w:w="1041"/>
        <w:gridCol w:w="1042"/>
        <w:gridCol w:w="1042"/>
        <w:gridCol w:w="1042"/>
        <w:gridCol w:w="1041"/>
      </w:tblGrid>
      <w:tr w:rsidR="00195A83" w:rsidRPr="00195A83" w14:paraId="17332D48" w14:textId="77777777" w:rsidTr="00195A83">
        <w:trPr>
          <w:trHeight w:val="290"/>
        </w:trPr>
        <w:tc>
          <w:tcPr>
            <w:tcW w:w="1803"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69E901DC" w14:textId="77777777" w:rsidR="00195A83" w:rsidRPr="00195A83" w:rsidRDefault="00195A83" w:rsidP="00195A83">
            <w:pPr>
              <w:spacing w:after="0" w:line="240" w:lineRule="auto"/>
              <w:rPr>
                <w:rFonts w:ascii="Arial" w:eastAsia="Times New Roman" w:hAnsi="Arial" w:cs="Arial"/>
                <w:b/>
                <w:bCs/>
                <w:color w:val="000000"/>
                <w:kern w:val="0"/>
                <w:sz w:val="18"/>
                <w:szCs w:val="18"/>
                <w:lang w:eastAsia="pt-BR"/>
                <w14:ligatures w14:val="none"/>
              </w:rPr>
            </w:pPr>
            <w:r w:rsidRPr="00195A83">
              <w:rPr>
                <w:rFonts w:ascii="Arial" w:eastAsia="Times New Roman" w:hAnsi="Arial" w:cs="Arial"/>
                <w:b/>
                <w:bCs/>
                <w:color w:val="000000"/>
                <w:kern w:val="0"/>
                <w:sz w:val="18"/>
                <w:szCs w:val="18"/>
                <w:lang w:eastAsia="pt-BR"/>
                <w14:ligatures w14:val="none"/>
              </w:rPr>
              <w:t>Composição:</w:t>
            </w:r>
          </w:p>
        </w:tc>
        <w:tc>
          <w:tcPr>
            <w:tcW w:w="1065" w:type="pct"/>
            <w:gridSpan w:val="2"/>
            <w:tcBorders>
              <w:top w:val="single" w:sz="4" w:space="0" w:color="auto"/>
              <w:left w:val="nil"/>
              <w:bottom w:val="single" w:sz="4" w:space="0" w:color="auto"/>
              <w:right w:val="single" w:sz="4" w:space="0" w:color="auto"/>
            </w:tcBorders>
            <w:shd w:val="clear" w:color="auto" w:fill="auto"/>
            <w:vAlign w:val="center"/>
            <w:hideMark/>
          </w:tcPr>
          <w:p w14:paraId="2AF9465D" w14:textId="77777777" w:rsidR="00195A83" w:rsidRPr="00195A83" w:rsidRDefault="00195A83" w:rsidP="00195A83">
            <w:pPr>
              <w:spacing w:after="0" w:line="240" w:lineRule="auto"/>
              <w:jc w:val="center"/>
              <w:rPr>
                <w:rFonts w:ascii="Arial" w:eastAsia="Times New Roman" w:hAnsi="Arial" w:cs="Arial"/>
                <w:b/>
                <w:bCs/>
                <w:color w:val="000000"/>
                <w:kern w:val="0"/>
                <w:sz w:val="18"/>
                <w:szCs w:val="18"/>
                <w:lang w:eastAsia="pt-BR"/>
                <w14:ligatures w14:val="none"/>
              </w:rPr>
            </w:pPr>
            <w:r w:rsidRPr="00195A83">
              <w:rPr>
                <w:rFonts w:ascii="Arial" w:eastAsia="Times New Roman" w:hAnsi="Arial" w:cs="Arial"/>
                <w:b/>
                <w:bCs/>
                <w:color w:val="000000"/>
                <w:kern w:val="0"/>
                <w:sz w:val="18"/>
                <w:szCs w:val="18"/>
                <w:lang w:eastAsia="pt-BR"/>
                <w14:ligatures w14:val="none"/>
              </w:rPr>
              <w:t>PBS-A</w:t>
            </w:r>
          </w:p>
        </w:tc>
        <w:tc>
          <w:tcPr>
            <w:tcW w:w="1065" w:type="pct"/>
            <w:gridSpan w:val="2"/>
            <w:tcBorders>
              <w:top w:val="single" w:sz="4" w:space="0" w:color="auto"/>
              <w:left w:val="nil"/>
              <w:bottom w:val="single" w:sz="4" w:space="0" w:color="auto"/>
              <w:right w:val="single" w:sz="4" w:space="0" w:color="auto"/>
            </w:tcBorders>
            <w:shd w:val="clear" w:color="auto" w:fill="auto"/>
            <w:vAlign w:val="center"/>
            <w:hideMark/>
          </w:tcPr>
          <w:p w14:paraId="380D37C6" w14:textId="77777777" w:rsidR="00195A83" w:rsidRPr="00195A83" w:rsidRDefault="00195A83" w:rsidP="00195A83">
            <w:pPr>
              <w:spacing w:after="0" w:line="240" w:lineRule="auto"/>
              <w:jc w:val="center"/>
              <w:rPr>
                <w:rFonts w:ascii="Arial" w:eastAsia="Times New Roman" w:hAnsi="Arial" w:cs="Arial"/>
                <w:b/>
                <w:bCs/>
                <w:color w:val="000000"/>
                <w:kern w:val="0"/>
                <w:sz w:val="18"/>
                <w:szCs w:val="18"/>
                <w:lang w:eastAsia="pt-BR"/>
                <w14:ligatures w14:val="none"/>
              </w:rPr>
            </w:pPr>
            <w:r w:rsidRPr="00195A83">
              <w:rPr>
                <w:rFonts w:ascii="Arial" w:eastAsia="Times New Roman" w:hAnsi="Arial" w:cs="Arial"/>
                <w:b/>
                <w:bCs/>
                <w:color w:val="000000"/>
                <w:kern w:val="0"/>
                <w:sz w:val="18"/>
                <w:szCs w:val="18"/>
                <w:lang w:eastAsia="pt-BR"/>
                <w14:ligatures w14:val="none"/>
              </w:rPr>
              <w:t>PBS-Telebras</w:t>
            </w:r>
          </w:p>
        </w:tc>
        <w:tc>
          <w:tcPr>
            <w:tcW w:w="1066" w:type="pct"/>
            <w:gridSpan w:val="2"/>
            <w:tcBorders>
              <w:top w:val="single" w:sz="4" w:space="0" w:color="auto"/>
              <w:left w:val="nil"/>
              <w:bottom w:val="single" w:sz="4" w:space="0" w:color="auto"/>
              <w:right w:val="single" w:sz="4" w:space="0" w:color="auto"/>
            </w:tcBorders>
            <w:shd w:val="clear" w:color="auto" w:fill="auto"/>
            <w:vAlign w:val="center"/>
            <w:hideMark/>
          </w:tcPr>
          <w:p w14:paraId="6E218689" w14:textId="77777777" w:rsidR="00195A83" w:rsidRPr="00195A83" w:rsidRDefault="00195A83" w:rsidP="00195A83">
            <w:pPr>
              <w:spacing w:after="0" w:line="240" w:lineRule="auto"/>
              <w:jc w:val="center"/>
              <w:rPr>
                <w:rFonts w:ascii="Arial" w:eastAsia="Times New Roman" w:hAnsi="Arial" w:cs="Arial"/>
                <w:b/>
                <w:bCs/>
                <w:color w:val="000000"/>
                <w:kern w:val="0"/>
                <w:sz w:val="18"/>
                <w:szCs w:val="18"/>
                <w:lang w:eastAsia="pt-BR"/>
                <w14:ligatures w14:val="none"/>
              </w:rPr>
            </w:pPr>
            <w:r w:rsidRPr="00195A83">
              <w:rPr>
                <w:rFonts w:ascii="Arial" w:eastAsia="Times New Roman" w:hAnsi="Arial" w:cs="Arial"/>
                <w:b/>
                <w:bCs/>
                <w:color w:val="000000"/>
                <w:kern w:val="0"/>
                <w:sz w:val="18"/>
                <w:szCs w:val="18"/>
                <w:lang w:eastAsia="pt-BR"/>
                <w14:ligatures w14:val="none"/>
              </w:rPr>
              <w:t>Telebras PREV</w:t>
            </w:r>
          </w:p>
        </w:tc>
      </w:tr>
      <w:tr w:rsidR="00195A83" w:rsidRPr="00195A83" w14:paraId="66525A65" w14:textId="77777777" w:rsidTr="00195A83">
        <w:trPr>
          <w:trHeight w:val="290"/>
        </w:trPr>
        <w:tc>
          <w:tcPr>
            <w:tcW w:w="1803" w:type="pct"/>
            <w:vMerge/>
            <w:tcBorders>
              <w:top w:val="single" w:sz="4" w:space="0" w:color="auto"/>
              <w:left w:val="single" w:sz="4" w:space="0" w:color="auto"/>
              <w:bottom w:val="single" w:sz="4" w:space="0" w:color="auto"/>
              <w:right w:val="single" w:sz="4" w:space="0" w:color="auto"/>
            </w:tcBorders>
            <w:vAlign w:val="center"/>
            <w:hideMark/>
          </w:tcPr>
          <w:p w14:paraId="215CF235" w14:textId="77777777" w:rsidR="00195A83" w:rsidRPr="00195A83" w:rsidRDefault="00195A83" w:rsidP="00195A83">
            <w:pPr>
              <w:spacing w:after="0" w:line="240" w:lineRule="auto"/>
              <w:rPr>
                <w:rFonts w:ascii="Arial" w:eastAsia="Times New Roman" w:hAnsi="Arial" w:cs="Arial"/>
                <w:b/>
                <w:bCs/>
                <w:color w:val="000000"/>
                <w:kern w:val="0"/>
                <w:sz w:val="18"/>
                <w:szCs w:val="18"/>
                <w:lang w:eastAsia="pt-BR"/>
                <w14:ligatures w14:val="none"/>
              </w:rPr>
            </w:pPr>
          </w:p>
        </w:tc>
        <w:tc>
          <w:tcPr>
            <w:tcW w:w="533" w:type="pct"/>
            <w:tcBorders>
              <w:top w:val="nil"/>
              <w:left w:val="nil"/>
              <w:bottom w:val="single" w:sz="4" w:space="0" w:color="auto"/>
              <w:right w:val="single" w:sz="4" w:space="0" w:color="auto"/>
            </w:tcBorders>
            <w:shd w:val="clear" w:color="auto" w:fill="auto"/>
            <w:vAlign w:val="center"/>
            <w:hideMark/>
          </w:tcPr>
          <w:p w14:paraId="05C4A6EF" w14:textId="77777777" w:rsidR="00195A83" w:rsidRPr="00195A83" w:rsidRDefault="00195A83" w:rsidP="00195A83">
            <w:pPr>
              <w:spacing w:after="0" w:line="240" w:lineRule="auto"/>
              <w:jc w:val="center"/>
              <w:rPr>
                <w:rFonts w:ascii="Arial" w:eastAsia="Times New Roman" w:hAnsi="Arial" w:cs="Arial"/>
                <w:b/>
                <w:bCs/>
                <w:color w:val="000000"/>
                <w:kern w:val="0"/>
                <w:sz w:val="18"/>
                <w:szCs w:val="18"/>
                <w:lang w:eastAsia="pt-BR"/>
                <w14:ligatures w14:val="none"/>
              </w:rPr>
            </w:pPr>
            <w:r w:rsidRPr="00195A83">
              <w:rPr>
                <w:rFonts w:ascii="Arial" w:eastAsia="Times New Roman" w:hAnsi="Arial" w:cs="Arial"/>
                <w:b/>
                <w:bCs/>
                <w:color w:val="000000"/>
                <w:kern w:val="0"/>
                <w:sz w:val="18"/>
                <w:szCs w:val="18"/>
                <w:lang w:eastAsia="pt-BR"/>
                <w14:ligatures w14:val="none"/>
              </w:rPr>
              <w:t>31/12/2023</w:t>
            </w:r>
          </w:p>
        </w:tc>
        <w:tc>
          <w:tcPr>
            <w:tcW w:w="533" w:type="pct"/>
            <w:tcBorders>
              <w:top w:val="nil"/>
              <w:left w:val="nil"/>
              <w:bottom w:val="single" w:sz="4" w:space="0" w:color="auto"/>
              <w:right w:val="single" w:sz="4" w:space="0" w:color="auto"/>
            </w:tcBorders>
            <w:shd w:val="clear" w:color="auto" w:fill="auto"/>
            <w:vAlign w:val="center"/>
            <w:hideMark/>
          </w:tcPr>
          <w:p w14:paraId="6444E3D5" w14:textId="77777777" w:rsidR="00195A83" w:rsidRPr="00195A83" w:rsidRDefault="00195A83" w:rsidP="00195A83">
            <w:pPr>
              <w:spacing w:after="0" w:line="240" w:lineRule="auto"/>
              <w:jc w:val="center"/>
              <w:rPr>
                <w:rFonts w:ascii="Arial" w:eastAsia="Times New Roman" w:hAnsi="Arial" w:cs="Arial"/>
                <w:b/>
                <w:bCs/>
                <w:color w:val="000000"/>
                <w:kern w:val="0"/>
                <w:sz w:val="18"/>
                <w:szCs w:val="18"/>
                <w:lang w:eastAsia="pt-BR"/>
                <w14:ligatures w14:val="none"/>
              </w:rPr>
            </w:pPr>
            <w:r w:rsidRPr="00195A83">
              <w:rPr>
                <w:rFonts w:ascii="Arial" w:eastAsia="Times New Roman" w:hAnsi="Arial" w:cs="Arial"/>
                <w:b/>
                <w:bCs/>
                <w:color w:val="000000"/>
                <w:kern w:val="0"/>
                <w:sz w:val="18"/>
                <w:szCs w:val="18"/>
                <w:lang w:eastAsia="pt-BR"/>
                <w14:ligatures w14:val="none"/>
              </w:rPr>
              <w:t>31/12/2022</w:t>
            </w:r>
          </w:p>
        </w:tc>
        <w:tc>
          <w:tcPr>
            <w:tcW w:w="533" w:type="pct"/>
            <w:tcBorders>
              <w:top w:val="nil"/>
              <w:left w:val="nil"/>
              <w:bottom w:val="single" w:sz="4" w:space="0" w:color="auto"/>
              <w:right w:val="single" w:sz="4" w:space="0" w:color="auto"/>
            </w:tcBorders>
            <w:shd w:val="clear" w:color="auto" w:fill="auto"/>
            <w:vAlign w:val="center"/>
            <w:hideMark/>
          </w:tcPr>
          <w:p w14:paraId="41E54762" w14:textId="77777777" w:rsidR="00195A83" w:rsidRPr="00195A83" w:rsidRDefault="00195A83" w:rsidP="00195A83">
            <w:pPr>
              <w:spacing w:after="0" w:line="240" w:lineRule="auto"/>
              <w:jc w:val="center"/>
              <w:rPr>
                <w:rFonts w:ascii="Arial" w:eastAsia="Times New Roman" w:hAnsi="Arial" w:cs="Arial"/>
                <w:b/>
                <w:bCs/>
                <w:color w:val="000000"/>
                <w:kern w:val="0"/>
                <w:sz w:val="18"/>
                <w:szCs w:val="18"/>
                <w:lang w:eastAsia="pt-BR"/>
                <w14:ligatures w14:val="none"/>
              </w:rPr>
            </w:pPr>
            <w:r w:rsidRPr="00195A83">
              <w:rPr>
                <w:rFonts w:ascii="Arial" w:eastAsia="Times New Roman" w:hAnsi="Arial" w:cs="Arial"/>
                <w:b/>
                <w:bCs/>
                <w:color w:val="000000"/>
                <w:kern w:val="0"/>
                <w:sz w:val="18"/>
                <w:szCs w:val="18"/>
                <w:lang w:eastAsia="pt-BR"/>
                <w14:ligatures w14:val="none"/>
              </w:rPr>
              <w:t>31/12/2023</w:t>
            </w:r>
          </w:p>
        </w:tc>
        <w:tc>
          <w:tcPr>
            <w:tcW w:w="533" w:type="pct"/>
            <w:tcBorders>
              <w:top w:val="nil"/>
              <w:left w:val="nil"/>
              <w:bottom w:val="single" w:sz="4" w:space="0" w:color="auto"/>
              <w:right w:val="single" w:sz="4" w:space="0" w:color="auto"/>
            </w:tcBorders>
            <w:shd w:val="clear" w:color="auto" w:fill="auto"/>
            <w:vAlign w:val="center"/>
            <w:hideMark/>
          </w:tcPr>
          <w:p w14:paraId="13F04EC0" w14:textId="77777777" w:rsidR="00195A83" w:rsidRPr="00195A83" w:rsidRDefault="00195A83" w:rsidP="00195A83">
            <w:pPr>
              <w:spacing w:after="0" w:line="240" w:lineRule="auto"/>
              <w:jc w:val="center"/>
              <w:rPr>
                <w:rFonts w:ascii="Arial" w:eastAsia="Times New Roman" w:hAnsi="Arial" w:cs="Arial"/>
                <w:b/>
                <w:bCs/>
                <w:color w:val="000000"/>
                <w:kern w:val="0"/>
                <w:sz w:val="18"/>
                <w:szCs w:val="18"/>
                <w:lang w:eastAsia="pt-BR"/>
                <w14:ligatures w14:val="none"/>
              </w:rPr>
            </w:pPr>
            <w:r w:rsidRPr="00195A83">
              <w:rPr>
                <w:rFonts w:ascii="Arial" w:eastAsia="Times New Roman" w:hAnsi="Arial" w:cs="Arial"/>
                <w:b/>
                <w:bCs/>
                <w:color w:val="000000"/>
                <w:kern w:val="0"/>
                <w:sz w:val="18"/>
                <w:szCs w:val="18"/>
                <w:lang w:eastAsia="pt-BR"/>
                <w14:ligatures w14:val="none"/>
              </w:rPr>
              <w:t>31/12/2022</w:t>
            </w:r>
          </w:p>
        </w:tc>
        <w:tc>
          <w:tcPr>
            <w:tcW w:w="533" w:type="pct"/>
            <w:tcBorders>
              <w:top w:val="nil"/>
              <w:left w:val="nil"/>
              <w:bottom w:val="single" w:sz="4" w:space="0" w:color="auto"/>
              <w:right w:val="single" w:sz="4" w:space="0" w:color="auto"/>
            </w:tcBorders>
            <w:shd w:val="clear" w:color="auto" w:fill="auto"/>
            <w:vAlign w:val="center"/>
            <w:hideMark/>
          </w:tcPr>
          <w:p w14:paraId="0509CE8E" w14:textId="77777777" w:rsidR="00195A83" w:rsidRPr="00195A83" w:rsidRDefault="00195A83" w:rsidP="00195A83">
            <w:pPr>
              <w:spacing w:after="0" w:line="240" w:lineRule="auto"/>
              <w:jc w:val="center"/>
              <w:rPr>
                <w:rFonts w:ascii="Arial" w:eastAsia="Times New Roman" w:hAnsi="Arial" w:cs="Arial"/>
                <w:b/>
                <w:bCs/>
                <w:color w:val="000000"/>
                <w:kern w:val="0"/>
                <w:sz w:val="18"/>
                <w:szCs w:val="18"/>
                <w:lang w:eastAsia="pt-BR"/>
                <w14:ligatures w14:val="none"/>
              </w:rPr>
            </w:pPr>
            <w:r w:rsidRPr="00195A83">
              <w:rPr>
                <w:rFonts w:ascii="Arial" w:eastAsia="Times New Roman" w:hAnsi="Arial" w:cs="Arial"/>
                <w:b/>
                <w:bCs/>
                <w:color w:val="000000"/>
                <w:kern w:val="0"/>
                <w:sz w:val="18"/>
                <w:szCs w:val="18"/>
                <w:lang w:eastAsia="pt-BR"/>
                <w14:ligatures w14:val="none"/>
              </w:rPr>
              <w:t>31/12/2023</w:t>
            </w:r>
          </w:p>
        </w:tc>
        <w:tc>
          <w:tcPr>
            <w:tcW w:w="533" w:type="pct"/>
            <w:tcBorders>
              <w:top w:val="nil"/>
              <w:left w:val="nil"/>
              <w:bottom w:val="single" w:sz="4" w:space="0" w:color="auto"/>
              <w:right w:val="single" w:sz="4" w:space="0" w:color="auto"/>
            </w:tcBorders>
            <w:shd w:val="clear" w:color="auto" w:fill="auto"/>
            <w:vAlign w:val="center"/>
            <w:hideMark/>
          </w:tcPr>
          <w:p w14:paraId="6445D6E7" w14:textId="77777777" w:rsidR="00195A83" w:rsidRPr="00195A83" w:rsidRDefault="00195A83" w:rsidP="00195A83">
            <w:pPr>
              <w:spacing w:after="0" w:line="240" w:lineRule="auto"/>
              <w:jc w:val="center"/>
              <w:rPr>
                <w:rFonts w:ascii="Arial" w:eastAsia="Times New Roman" w:hAnsi="Arial" w:cs="Arial"/>
                <w:b/>
                <w:bCs/>
                <w:color w:val="000000"/>
                <w:kern w:val="0"/>
                <w:sz w:val="18"/>
                <w:szCs w:val="18"/>
                <w:lang w:eastAsia="pt-BR"/>
                <w14:ligatures w14:val="none"/>
              </w:rPr>
            </w:pPr>
            <w:r w:rsidRPr="00195A83">
              <w:rPr>
                <w:rFonts w:ascii="Arial" w:eastAsia="Times New Roman" w:hAnsi="Arial" w:cs="Arial"/>
                <w:b/>
                <w:bCs/>
                <w:color w:val="000000"/>
                <w:kern w:val="0"/>
                <w:sz w:val="18"/>
                <w:szCs w:val="18"/>
                <w:lang w:eastAsia="pt-BR"/>
                <w14:ligatures w14:val="none"/>
              </w:rPr>
              <w:t>31/12/2022</w:t>
            </w:r>
          </w:p>
        </w:tc>
      </w:tr>
      <w:tr w:rsidR="00195A83" w:rsidRPr="00195A83" w14:paraId="55A0BD6B" w14:textId="77777777" w:rsidTr="00195A83">
        <w:trPr>
          <w:trHeight w:val="290"/>
        </w:trPr>
        <w:tc>
          <w:tcPr>
            <w:tcW w:w="1803" w:type="pct"/>
            <w:tcBorders>
              <w:top w:val="nil"/>
              <w:left w:val="single" w:sz="4" w:space="0" w:color="auto"/>
              <w:bottom w:val="single" w:sz="4" w:space="0" w:color="auto"/>
              <w:right w:val="single" w:sz="4" w:space="0" w:color="auto"/>
            </w:tcBorders>
            <w:shd w:val="clear" w:color="auto" w:fill="auto"/>
            <w:vAlign w:val="center"/>
            <w:hideMark/>
          </w:tcPr>
          <w:p w14:paraId="0062C5EA" w14:textId="77777777" w:rsidR="00195A83" w:rsidRPr="00195A83" w:rsidRDefault="00195A83" w:rsidP="00195A83">
            <w:pPr>
              <w:spacing w:after="0" w:line="240" w:lineRule="auto"/>
              <w:jc w:val="both"/>
              <w:rPr>
                <w:rFonts w:ascii="Arial" w:eastAsia="Times New Roman" w:hAnsi="Arial" w:cs="Arial"/>
                <w:color w:val="000000"/>
                <w:kern w:val="0"/>
                <w:sz w:val="18"/>
                <w:szCs w:val="18"/>
                <w:lang w:eastAsia="pt-BR"/>
                <w14:ligatures w14:val="none"/>
              </w:rPr>
            </w:pPr>
            <w:r w:rsidRPr="00195A83">
              <w:rPr>
                <w:rFonts w:ascii="Arial" w:eastAsia="Times New Roman" w:hAnsi="Arial" w:cs="Arial"/>
                <w:color w:val="000000"/>
                <w:kern w:val="0"/>
                <w:sz w:val="18"/>
                <w:szCs w:val="20"/>
                <w:lang w:eastAsia="pt-BR"/>
                <w14:ligatures w14:val="none"/>
              </w:rPr>
              <w:t>Obrigação atuarial (A)</w:t>
            </w:r>
          </w:p>
        </w:tc>
        <w:tc>
          <w:tcPr>
            <w:tcW w:w="533" w:type="pct"/>
            <w:tcBorders>
              <w:top w:val="nil"/>
              <w:left w:val="nil"/>
              <w:bottom w:val="single" w:sz="4" w:space="0" w:color="auto"/>
              <w:right w:val="single" w:sz="4" w:space="0" w:color="auto"/>
            </w:tcBorders>
            <w:shd w:val="clear" w:color="auto" w:fill="auto"/>
            <w:vAlign w:val="center"/>
            <w:hideMark/>
          </w:tcPr>
          <w:p w14:paraId="684F40BA" w14:textId="77777777" w:rsidR="00195A83" w:rsidRPr="00195A83" w:rsidRDefault="00195A83" w:rsidP="00195A83">
            <w:pPr>
              <w:spacing w:after="0" w:line="240" w:lineRule="auto"/>
              <w:jc w:val="right"/>
              <w:rPr>
                <w:rFonts w:ascii="Arial" w:eastAsia="Times New Roman" w:hAnsi="Arial" w:cs="Arial"/>
                <w:color w:val="000000"/>
                <w:kern w:val="0"/>
                <w:sz w:val="18"/>
                <w:szCs w:val="18"/>
                <w:lang w:eastAsia="pt-BR"/>
                <w14:ligatures w14:val="none"/>
              </w:rPr>
            </w:pPr>
            <w:r w:rsidRPr="00195A83">
              <w:rPr>
                <w:rFonts w:ascii="Arial" w:eastAsia="Times New Roman" w:hAnsi="Arial" w:cs="Arial"/>
                <w:color w:val="000000"/>
                <w:kern w:val="0"/>
                <w:sz w:val="18"/>
                <w:szCs w:val="20"/>
                <w:lang w:eastAsia="pt-BR"/>
                <w14:ligatures w14:val="none"/>
              </w:rPr>
              <w:t>592.165</w:t>
            </w:r>
          </w:p>
        </w:tc>
        <w:tc>
          <w:tcPr>
            <w:tcW w:w="533" w:type="pct"/>
            <w:tcBorders>
              <w:top w:val="nil"/>
              <w:left w:val="nil"/>
              <w:bottom w:val="single" w:sz="4" w:space="0" w:color="auto"/>
              <w:right w:val="single" w:sz="4" w:space="0" w:color="auto"/>
            </w:tcBorders>
            <w:shd w:val="clear" w:color="auto" w:fill="auto"/>
            <w:vAlign w:val="center"/>
            <w:hideMark/>
          </w:tcPr>
          <w:p w14:paraId="43730B8B" w14:textId="77777777" w:rsidR="00195A83" w:rsidRPr="00195A83" w:rsidRDefault="00195A83" w:rsidP="00195A83">
            <w:pPr>
              <w:spacing w:after="0" w:line="240" w:lineRule="auto"/>
              <w:jc w:val="right"/>
              <w:rPr>
                <w:rFonts w:ascii="Arial" w:eastAsia="Times New Roman" w:hAnsi="Arial" w:cs="Arial"/>
                <w:color w:val="000000"/>
                <w:kern w:val="0"/>
                <w:sz w:val="18"/>
                <w:szCs w:val="18"/>
                <w:lang w:eastAsia="pt-BR"/>
                <w14:ligatures w14:val="none"/>
              </w:rPr>
            </w:pPr>
            <w:r w:rsidRPr="00195A83">
              <w:rPr>
                <w:rFonts w:ascii="Arial" w:eastAsia="Times New Roman" w:hAnsi="Arial" w:cs="Arial"/>
                <w:color w:val="000000"/>
                <w:kern w:val="0"/>
                <w:sz w:val="18"/>
                <w:szCs w:val="20"/>
                <w:lang w:eastAsia="pt-BR"/>
                <w14:ligatures w14:val="none"/>
              </w:rPr>
              <w:t>567.438</w:t>
            </w:r>
          </w:p>
        </w:tc>
        <w:tc>
          <w:tcPr>
            <w:tcW w:w="533" w:type="pct"/>
            <w:tcBorders>
              <w:top w:val="nil"/>
              <w:left w:val="nil"/>
              <w:bottom w:val="single" w:sz="4" w:space="0" w:color="auto"/>
              <w:right w:val="single" w:sz="4" w:space="0" w:color="auto"/>
            </w:tcBorders>
            <w:shd w:val="clear" w:color="auto" w:fill="auto"/>
            <w:noWrap/>
            <w:vAlign w:val="bottom"/>
            <w:hideMark/>
          </w:tcPr>
          <w:p w14:paraId="2F8EB1E8" w14:textId="77777777" w:rsidR="00195A83" w:rsidRPr="00195A83" w:rsidRDefault="00195A83" w:rsidP="00195A83">
            <w:pPr>
              <w:spacing w:after="0" w:line="240" w:lineRule="auto"/>
              <w:rPr>
                <w:rFonts w:ascii="Arial" w:eastAsia="Times New Roman" w:hAnsi="Arial" w:cs="Arial"/>
                <w:color w:val="000000"/>
                <w:kern w:val="0"/>
                <w:sz w:val="18"/>
                <w:szCs w:val="18"/>
                <w:lang w:eastAsia="pt-BR"/>
                <w14:ligatures w14:val="none"/>
              </w:rPr>
            </w:pPr>
            <w:r w:rsidRPr="00195A83">
              <w:rPr>
                <w:rFonts w:ascii="Arial" w:eastAsia="Times New Roman" w:hAnsi="Arial" w:cs="Arial"/>
                <w:color w:val="000000"/>
                <w:kern w:val="0"/>
                <w:sz w:val="18"/>
                <w:szCs w:val="18"/>
                <w:lang w:eastAsia="pt-BR"/>
                <w14:ligatures w14:val="none"/>
              </w:rPr>
              <w:t xml:space="preserve">    218.275 </w:t>
            </w:r>
          </w:p>
        </w:tc>
        <w:tc>
          <w:tcPr>
            <w:tcW w:w="533" w:type="pct"/>
            <w:tcBorders>
              <w:top w:val="nil"/>
              <w:left w:val="nil"/>
              <w:bottom w:val="single" w:sz="4" w:space="0" w:color="auto"/>
              <w:right w:val="single" w:sz="4" w:space="0" w:color="auto"/>
            </w:tcBorders>
            <w:shd w:val="clear" w:color="auto" w:fill="auto"/>
            <w:noWrap/>
            <w:vAlign w:val="bottom"/>
            <w:hideMark/>
          </w:tcPr>
          <w:p w14:paraId="104BE607" w14:textId="77777777" w:rsidR="00195A83" w:rsidRPr="00195A83" w:rsidRDefault="00195A83" w:rsidP="00195A83">
            <w:pPr>
              <w:spacing w:after="0" w:line="240" w:lineRule="auto"/>
              <w:rPr>
                <w:rFonts w:ascii="Arial" w:eastAsia="Times New Roman" w:hAnsi="Arial" w:cs="Arial"/>
                <w:color w:val="000000"/>
                <w:kern w:val="0"/>
                <w:sz w:val="18"/>
                <w:szCs w:val="18"/>
                <w:lang w:eastAsia="pt-BR"/>
                <w14:ligatures w14:val="none"/>
              </w:rPr>
            </w:pPr>
            <w:r w:rsidRPr="00195A83">
              <w:rPr>
                <w:rFonts w:ascii="Arial" w:eastAsia="Times New Roman" w:hAnsi="Arial" w:cs="Arial"/>
                <w:color w:val="000000"/>
                <w:kern w:val="0"/>
                <w:sz w:val="18"/>
                <w:szCs w:val="18"/>
                <w:lang w:eastAsia="pt-BR"/>
                <w14:ligatures w14:val="none"/>
              </w:rPr>
              <w:t xml:space="preserve">    204.361 </w:t>
            </w:r>
          </w:p>
        </w:tc>
        <w:tc>
          <w:tcPr>
            <w:tcW w:w="533" w:type="pct"/>
            <w:tcBorders>
              <w:top w:val="nil"/>
              <w:left w:val="nil"/>
              <w:bottom w:val="single" w:sz="4" w:space="0" w:color="auto"/>
              <w:right w:val="single" w:sz="4" w:space="0" w:color="auto"/>
            </w:tcBorders>
            <w:shd w:val="clear" w:color="auto" w:fill="auto"/>
            <w:vAlign w:val="center"/>
            <w:hideMark/>
          </w:tcPr>
          <w:p w14:paraId="4AC45EBA" w14:textId="77777777" w:rsidR="00195A83" w:rsidRPr="00195A83" w:rsidRDefault="00195A83" w:rsidP="00195A83">
            <w:pPr>
              <w:spacing w:after="0" w:line="240" w:lineRule="auto"/>
              <w:jc w:val="right"/>
              <w:rPr>
                <w:rFonts w:ascii="Arial" w:eastAsia="Times New Roman" w:hAnsi="Arial" w:cs="Arial"/>
                <w:color w:val="000000"/>
                <w:kern w:val="0"/>
                <w:sz w:val="18"/>
                <w:szCs w:val="18"/>
                <w:lang w:eastAsia="pt-BR"/>
                <w14:ligatures w14:val="none"/>
              </w:rPr>
            </w:pPr>
            <w:r w:rsidRPr="00195A83">
              <w:rPr>
                <w:rFonts w:ascii="Arial" w:eastAsia="Times New Roman" w:hAnsi="Arial" w:cs="Arial"/>
                <w:color w:val="000000"/>
                <w:kern w:val="0"/>
                <w:sz w:val="18"/>
                <w:szCs w:val="18"/>
                <w:lang w:eastAsia="pt-BR"/>
                <w14:ligatures w14:val="none"/>
              </w:rPr>
              <w:t>384.260</w:t>
            </w:r>
          </w:p>
        </w:tc>
        <w:tc>
          <w:tcPr>
            <w:tcW w:w="533" w:type="pct"/>
            <w:tcBorders>
              <w:top w:val="nil"/>
              <w:left w:val="nil"/>
              <w:bottom w:val="single" w:sz="4" w:space="0" w:color="auto"/>
              <w:right w:val="single" w:sz="4" w:space="0" w:color="auto"/>
            </w:tcBorders>
            <w:shd w:val="clear" w:color="auto" w:fill="auto"/>
            <w:vAlign w:val="center"/>
            <w:hideMark/>
          </w:tcPr>
          <w:p w14:paraId="6A72EAA5" w14:textId="77777777" w:rsidR="00195A83" w:rsidRPr="00195A83" w:rsidRDefault="00195A83" w:rsidP="00195A83">
            <w:pPr>
              <w:spacing w:after="0" w:line="240" w:lineRule="auto"/>
              <w:jc w:val="right"/>
              <w:rPr>
                <w:rFonts w:ascii="Arial" w:eastAsia="Times New Roman" w:hAnsi="Arial" w:cs="Arial"/>
                <w:color w:val="000000"/>
                <w:kern w:val="0"/>
                <w:sz w:val="18"/>
                <w:szCs w:val="18"/>
                <w:lang w:eastAsia="pt-BR"/>
                <w14:ligatures w14:val="none"/>
              </w:rPr>
            </w:pPr>
            <w:r w:rsidRPr="00195A83">
              <w:rPr>
                <w:rFonts w:ascii="Arial" w:eastAsia="Times New Roman" w:hAnsi="Arial" w:cs="Arial"/>
                <w:color w:val="000000"/>
                <w:kern w:val="0"/>
                <w:sz w:val="18"/>
                <w:szCs w:val="18"/>
                <w:lang w:eastAsia="pt-BR"/>
                <w14:ligatures w14:val="none"/>
              </w:rPr>
              <w:t>344.264</w:t>
            </w:r>
          </w:p>
        </w:tc>
      </w:tr>
      <w:tr w:rsidR="00195A83" w:rsidRPr="00195A83" w14:paraId="68E89241" w14:textId="77777777" w:rsidTr="00195A83">
        <w:trPr>
          <w:trHeight w:val="290"/>
        </w:trPr>
        <w:tc>
          <w:tcPr>
            <w:tcW w:w="1803" w:type="pct"/>
            <w:tcBorders>
              <w:top w:val="nil"/>
              <w:left w:val="single" w:sz="4" w:space="0" w:color="auto"/>
              <w:bottom w:val="single" w:sz="4" w:space="0" w:color="auto"/>
              <w:right w:val="single" w:sz="4" w:space="0" w:color="auto"/>
            </w:tcBorders>
            <w:shd w:val="clear" w:color="auto" w:fill="auto"/>
            <w:vAlign w:val="center"/>
            <w:hideMark/>
          </w:tcPr>
          <w:p w14:paraId="128F86EB" w14:textId="77777777" w:rsidR="00195A83" w:rsidRPr="00195A83" w:rsidRDefault="00195A83" w:rsidP="00195A83">
            <w:pPr>
              <w:spacing w:after="0" w:line="240" w:lineRule="auto"/>
              <w:jc w:val="both"/>
              <w:rPr>
                <w:rFonts w:ascii="Arial" w:eastAsia="Times New Roman" w:hAnsi="Arial" w:cs="Arial"/>
                <w:color w:val="000000"/>
                <w:kern w:val="0"/>
                <w:sz w:val="18"/>
                <w:szCs w:val="18"/>
                <w:lang w:eastAsia="pt-BR"/>
                <w14:ligatures w14:val="none"/>
              </w:rPr>
            </w:pPr>
            <w:r w:rsidRPr="00195A83">
              <w:rPr>
                <w:rFonts w:ascii="Arial" w:eastAsia="Times New Roman" w:hAnsi="Arial" w:cs="Arial"/>
                <w:color w:val="000000"/>
                <w:kern w:val="0"/>
                <w:sz w:val="18"/>
                <w:szCs w:val="20"/>
                <w:lang w:eastAsia="pt-BR"/>
                <w14:ligatures w14:val="none"/>
              </w:rPr>
              <w:t>Valor justo (B)</w:t>
            </w:r>
          </w:p>
        </w:tc>
        <w:tc>
          <w:tcPr>
            <w:tcW w:w="533" w:type="pct"/>
            <w:tcBorders>
              <w:top w:val="nil"/>
              <w:left w:val="nil"/>
              <w:bottom w:val="single" w:sz="4" w:space="0" w:color="auto"/>
              <w:right w:val="single" w:sz="4" w:space="0" w:color="auto"/>
            </w:tcBorders>
            <w:shd w:val="clear" w:color="auto" w:fill="auto"/>
            <w:vAlign w:val="center"/>
            <w:hideMark/>
          </w:tcPr>
          <w:p w14:paraId="27379F11" w14:textId="77777777" w:rsidR="00195A83" w:rsidRPr="00195A83" w:rsidRDefault="00195A83" w:rsidP="00195A83">
            <w:pPr>
              <w:spacing w:after="0" w:line="240" w:lineRule="auto"/>
              <w:jc w:val="right"/>
              <w:rPr>
                <w:rFonts w:ascii="Arial" w:eastAsia="Times New Roman" w:hAnsi="Arial" w:cs="Arial"/>
                <w:color w:val="000000"/>
                <w:kern w:val="0"/>
                <w:sz w:val="18"/>
                <w:szCs w:val="18"/>
                <w:lang w:eastAsia="pt-BR"/>
                <w14:ligatures w14:val="none"/>
              </w:rPr>
            </w:pPr>
            <w:r w:rsidRPr="00195A83">
              <w:rPr>
                <w:rFonts w:ascii="Arial" w:eastAsia="Times New Roman" w:hAnsi="Arial" w:cs="Arial"/>
                <w:color w:val="000000"/>
                <w:kern w:val="0"/>
                <w:sz w:val="18"/>
                <w:szCs w:val="20"/>
                <w:lang w:eastAsia="pt-BR"/>
                <w14:ligatures w14:val="none"/>
              </w:rPr>
              <w:t>690.510</w:t>
            </w:r>
          </w:p>
        </w:tc>
        <w:tc>
          <w:tcPr>
            <w:tcW w:w="533" w:type="pct"/>
            <w:tcBorders>
              <w:top w:val="nil"/>
              <w:left w:val="nil"/>
              <w:bottom w:val="single" w:sz="4" w:space="0" w:color="auto"/>
              <w:right w:val="single" w:sz="4" w:space="0" w:color="auto"/>
            </w:tcBorders>
            <w:shd w:val="clear" w:color="auto" w:fill="auto"/>
            <w:vAlign w:val="center"/>
            <w:hideMark/>
          </w:tcPr>
          <w:p w14:paraId="1BDE23C6" w14:textId="77777777" w:rsidR="00195A83" w:rsidRPr="00195A83" w:rsidRDefault="00195A83" w:rsidP="00195A83">
            <w:pPr>
              <w:spacing w:after="0" w:line="240" w:lineRule="auto"/>
              <w:jc w:val="right"/>
              <w:rPr>
                <w:rFonts w:ascii="Arial" w:eastAsia="Times New Roman" w:hAnsi="Arial" w:cs="Arial"/>
                <w:color w:val="000000"/>
                <w:kern w:val="0"/>
                <w:sz w:val="18"/>
                <w:szCs w:val="18"/>
                <w:lang w:eastAsia="pt-BR"/>
                <w14:ligatures w14:val="none"/>
              </w:rPr>
            </w:pPr>
            <w:r w:rsidRPr="00195A83">
              <w:rPr>
                <w:rFonts w:ascii="Arial" w:eastAsia="Times New Roman" w:hAnsi="Arial" w:cs="Arial"/>
                <w:color w:val="000000"/>
                <w:kern w:val="0"/>
                <w:sz w:val="18"/>
                <w:szCs w:val="20"/>
                <w:lang w:eastAsia="pt-BR"/>
                <w14:ligatures w14:val="none"/>
              </w:rPr>
              <w:t>648.500</w:t>
            </w:r>
          </w:p>
        </w:tc>
        <w:tc>
          <w:tcPr>
            <w:tcW w:w="533" w:type="pct"/>
            <w:tcBorders>
              <w:top w:val="nil"/>
              <w:left w:val="nil"/>
              <w:bottom w:val="single" w:sz="4" w:space="0" w:color="auto"/>
              <w:right w:val="single" w:sz="4" w:space="0" w:color="auto"/>
            </w:tcBorders>
            <w:shd w:val="clear" w:color="auto" w:fill="auto"/>
            <w:noWrap/>
            <w:vAlign w:val="bottom"/>
            <w:hideMark/>
          </w:tcPr>
          <w:p w14:paraId="340F192E" w14:textId="77777777" w:rsidR="00195A83" w:rsidRPr="00195A83" w:rsidRDefault="00195A83" w:rsidP="00195A83">
            <w:pPr>
              <w:spacing w:after="0" w:line="240" w:lineRule="auto"/>
              <w:rPr>
                <w:rFonts w:ascii="Arial" w:eastAsia="Times New Roman" w:hAnsi="Arial" w:cs="Arial"/>
                <w:color w:val="000000"/>
                <w:kern w:val="0"/>
                <w:sz w:val="18"/>
                <w:szCs w:val="18"/>
                <w:lang w:eastAsia="pt-BR"/>
                <w14:ligatures w14:val="none"/>
              </w:rPr>
            </w:pPr>
            <w:r w:rsidRPr="00195A83">
              <w:rPr>
                <w:rFonts w:ascii="Arial" w:eastAsia="Times New Roman" w:hAnsi="Arial" w:cs="Arial"/>
                <w:color w:val="000000"/>
                <w:kern w:val="0"/>
                <w:sz w:val="18"/>
                <w:szCs w:val="18"/>
                <w:lang w:eastAsia="pt-BR"/>
                <w14:ligatures w14:val="none"/>
              </w:rPr>
              <w:t xml:space="preserve">    324.895 </w:t>
            </w:r>
          </w:p>
        </w:tc>
        <w:tc>
          <w:tcPr>
            <w:tcW w:w="533" w:type="pct"/>
            <w:tcBorders>
              <w:top w:val="nil"/>
              <w:left w:val="nil"/>
              <w:bottom w:val="single" w:sz="4" w:space="0" w:color="auto"/>
              <w:right w:val="single" w:sz="4" w:space="0" w:color="auto"/>
            </w:tcBorders>
            <w:shd w:val="clear" w:color="auto" w:fill="auto"/>
            <w:noWrap/>
            <w:vAlign w:val="bottom"/>
            <w:hideMark/>
          </w:tcPr>
          <w:p w14:paraId="4245C0AB" w14:textId="77777777" w:rsidR="00195A83" w:rsidRPr="00195A83" w:rsidRDefault="00195A83" w:rsidP="00195A83">
            <w:pPr>
              <w:spacing w:after="0" w:line="240" w:lineRule="auto"/>
              <w:rPr>
                <w:rFonts w:ascii="Arial" w:eastAsia="Times New Roman" w:hAnsi="Arial" w:cs="Arial"/>
                <w:color w:val="000000"/>
                <w:kern w:val="0"/>
                <w:sz w:val="18"/>
                <w:szCs w:val="18"/>
                <w:lang w:eastAsia="pt-BR"/>
                <w14:ligatures w14:val="none"/>
              </w:rPr>
            </w:pPr>
            <w:r w:rsidRPr="00195A83">
              <w:rPr>
                <w:rFonts w:ascii="Arial" w:eastAsia="Times New Roman" w:hAnsi="Arial" w:cs="Arial"/>
                <w:color w:val="000000"/>
                <w:kern w:val="0"/>
                <w:sz w:val="18"/>
                <w:szCs w:val="18"/>
                <w:lang w:eastAsia="pt-BR"/>
                <w14:ligatures w14:val="none"/>
              </w:rPr>
              <w:t xml:space="preserve">    267.604 </w:t>
            </w:r>
          </w:p>
        </w:tc>
        <w:tc>
          <w:tcPr>
            <w:tcW w:w="533" w:type="pct"/>
            <w:tcBorders>
              <w:top w:val="nil"/>
              <w:left w:val="nil"/>
              <w:bottom w:val="single" w:sz="4" w:space="0" w:color="auto"/>
              <w:right w:val="single" w:sz="4" w:space="0" w:color="auto"/>
            </w:tcBorders>
            <w:shd w:val="clear" w:color="auto" w:fill="auto"/>
            <w:vAlign w:val="center"/>
            <w:hideMark/>
          </w:tcPr>
          <w:p w14:paraId="08FD3A7D" w14:textId="77777777" w:rsidR="00195A83" w:rsidRPr="00195A83" w:rsidRDefault="00195A83" w:rsidP="00195A83">
            <w:pPr>
              <w:spacing w:after="0" w:line="240" w:lineRule="auto"/>
              <w:jc w:val="right"/>
              <w:rPr>
                <w:rFonts w:ascii="Arial" w:eastAsia="Times New Roman" w:hAnsi="Arial" w:cs="Arial"/>
                <w:color w:val="000000"/>
                <w:kern w:val="0"/>
                <w:sz w:val="18"/>
                <w:szCs w:val="18"/>
                <w:lang w:eastAsia="pt-BR"/>
                <w14:ligatures w14:val="none"/>
              </w:rPr>
            </w:pPr>
            <w:r w:rsidRPr="00195A83">
              <w:rPr>
                <w:rFonts w:ascii="Arial" w:eastAsia="Times New Roman" w:hAnsi="Arial" w:cs="Arial"/>
                <w:color w:val="000000"/>
                <w:kern w:val="0"/>
                <w:sz w:val="18"/>
                <w:szCs w:val="18"/>
                <w:lang w:eastAsia="pt-BR"/>
                <w14:ligatures w14:val="none"/>
              </w:rPr>
              <w:t>577.609</w:t>
            </w:r>
          </w:p>
        </w:tc>
        <w:tc>
          <w:tcPr>
            <w:tcW w:w="533" w:type="pct"/>
            <w:tcBorders>
              <w:top w:val="nil"/>
              <w:left w:val="nil"/>
              <w:bottom w:val="single" w:sz="4" w:space="0" w:color="auto"/>
              <w:right w:val="single" w:sz="4" w:space="0" w:color="auto"/>
            </w:tcBorders>
            <w:shd w:val="clear" w:color="auto" w:fill="auto"/>
            <w:vAlign w:val="center"/>
            <w:hideMark/>
          </w:tcPr>
          <w:p w14:paraId="75B98321" w14:textId="77777777" w:rsidR="00195A83" w:rsidRPr="00195A83" w:rsidRDefault="00195A83" w:rsidP="00195A83">
            <w:pPr>
              <w:spacing w:after="0" w:line="240" w:lineRule="auto"/>
              <w:jc w:val="right"/>
              <w:rPr>
                <w:rFonts w:ascii="Arial" w:eastAsia="Times New Roman" w:hAnsi="Arial" w:cs="Arial"/>
                <w:color w:val="000000"/>
                <w:kern w:val="0"/>
                <w:sz w:val="18"/>
                <w:szCs w:val="18"/>
                <w:lang w:eastAsia="pt-BR"/>
                <w14:ligatures w14:val="none"/>
              </w:rPr>
            </w:pPr>
            <w:r w:rsidRPr="00195A83">
              <w:rPr>
                <w:rFonts w:ascii="Arial" w:eastAsia="Times New Roman" w:hAnsi="Arial" w:cs="Arial"/>
                <w:color w:val="000000"/>
                <w:kern w:val="0"/>
                <w:sz w:val="18"/>
                <w:szCs w:val="18"/>
                <w:lang w:eastAsia="pt-BR"/>
                <w14:ligatures w14:val="none"/>
              </w:rPr>
              <w:t>344.317</w:t>
            </w:r>
          </w:p>
        </w:tc>
      </w:tr>
      <w:tr w:rsidR="00195A83" w:rsidRPr="00195A83" w14:paraId="40FC01C7" w14:textId="77777777" w:rsidTr="00195A83">
        <w:trPr>
          <w:trHeight w:val="290"/>
        </w:trPr>
        <w:tc>
          <w:tcPr>
            <w:tcW w:w="1803" w:type="pct"/>
            <w:tcBorders>
              <w:top w:val="nil"/>
              <w:left w:val="single" w:sz="4" w:space="0" w:color="auto"/>
              <w:bottom w:val="single" w:sz="4" w:space="0" w:color="auto"/>
              <w:right w:val="single" w:sz="4" w:space="0" w:color="auto"/>
            </w:tcBorders>
            <w:shd w:val="clear" w:color="auto" w:fill="auto"/>
            <w:vAlign w:val="center"/>
            <w:hideMark/>
          </w:tcPr>
          <w:p w14:paraId="3D3FBED3" w14:textId="77777777" w:rsidR="00195A83" w:rsidRPr="00195A83" w:rsidRDefault="00195A83" w:rsidP="00195A83">
            <w:pPr>
              <w:spacing w:after="0" w:line="240" w:lineRule="auto"/>
              <w:rPr>
                <w:rFonts w:ascii="Arial" w:eastAsia="Times New Roman" w:hAnsi="Arial" w:cs="Arial"/>
                <w:b/>
                <w:bCs/>
                <w:color w:val="000000"/>
                <w:kern w:val="0"/>
                <w:sz w:val="18"/>
                <w:szCs w:val="18"/>
                <w:lang w:eastAsia="pt-BR"/>
                <w14:ligatures w14:val="none"/>
              </w:rPr>
            </w:pPr>
            <w:r w:rsidRPr="00195A83">
              <w:rPr>
                <w:rFonts w:ascii="Arial" w:eastAsia="Times New Roman" w:hAnsi="Arial" w:cs="Arial"/>
                <w:b/>
                <w:bCs/>
                <w:color w:val="000000"/>
                <w:kern w:val="0"/>
                <w:sz w:val="18"/>
                <w:szCs w:val="20"/>
                <w:lang w:eastAsia="pt-BR"/>
                <w14:ligatures w14:val="none"/>
              </w:rPr>
              <w:t>Resultado (B – A) (+) Superávit</w:t>
            </w:r>
            <w:proofErr w:type="gramStart"/>
            <w:r w:rsidRPr="00195A83">
              <w:rPr>
                <w:rFonts w:ascii="Arial" w:eastAsia="Times New Roman" w:hAnsi="Arial" w:cs="Arial"/>
                <w:b/>
                <w:bCs/>
                <w:color w:val="000000"/>
                <w:kern w:val="0"/>
                <w:sz w:val="18"/>
                <w:szCs w:val="20"/>
                <w:lang w:eastAsia="pt-BR"/>
                <w14:ligatures w14:val="none"/>
              </w:rPr>
              <w:t>/(</w:t>
            </w:r>
            <w:proofErr w:type="gramEnd"/>
            <w:r w:rsidRPr="00195A83">
              <w:rPr>
                <w:rFonts w:ascii="Arial" w:eastAsia="Times New Roman" w:hAnsi="Arial" w:cs="Arial"/>
                <w:b/>
                <w:bCs/>
                <w:color w:val="000000"/>
                <w:kern w:val="0"/>
                <w:sz w:val="18"/>
                <w:szCs w:val="20"/>
                <w:lang w:eastAsia="pt-BR"/>
                <w14:ligatures w14:val="none"/>
              </w:rPr>
              <w:t>-) Déficit</w:t>
            </w:r>
          </w:p>
        </w:tc>
        <w:tc>
          <w:tcPr>
            <w:tcW w:w="533" w:type="pct"/>
            <w:tcBorders>
              <w:top w:val="nil"/>
              <w:left w:val="nil"/>
              <w:bottom w:val="single" w:sz="4" w:space="0" w:color="auto"/>
              <w:right w:val="single" w:sz="4" w:space="0" w:color="auto"/>
            </w:tcBorders>
            <w:shd w:val="clear" w:color="auto" w:fill="auto"/>
            <w:vAlign w:val="center"/>
            <w:hideMark/>
          </w:tcPr>
          <w:p w14:paraId="51887E1E" w14:textId="77777777" w:rsidR="00195A83" w:rsidRPr="00195A83" w:rsidRDefault="00195A83" w:rsidP="00195A83">
            <w:pPr>
              <w:spacing w:after="0" w:line="240" w:lineRule="auto"/>
              <w:jc w:val="right"/>
              <w:rPr>
                <w:rFonts w:ascii="Arial" w:eastAsia="Times New Roman" w:hAnsi="Arial" w:cs="Arial"/>
                <w:b/>
                <w:bCs/>
                <w:color w:val="000000"/>
                <w:kern w:val="0"/>
                <w:sz w:val="18"/>
                <w:szCs w:val="18"/>
                <w:lang w:eastAsia="pt-BR"/>
                <w14:ligatures w14:val="none"/>
              </w:rPr>
            </w:pPr>
            <w:r w:rsidRPr="00195A83">
              <w:rPr>
                <w:rFonts w:ascii="Arial" w:eastAsia="Times New Roman" w:hAnsi="Arial" w:cs="Arial"/>
                <w:b/>
                <w:bCs/>
                <w:color w:val="000000"/>
                <w:kern w:val="0"/>
                <w:sz w:val="18"/>
                <w:szCs w:val="20"/>
                <w:lang w:eastAsia="pt-BR"/>
                <w14:ligatures w14:val="none"/>
              </w:rPr>
              <w:t>98.345</w:t>
            </w:r>
          </w:p>
        </w:tc>
        <w:tc>
          <w:tcPr>
            <w:tcW w:w="533" w:type="pct"/>
            <w:tcBorders>
              <w:top w:val="nil"/>
              <w:left w:val="nil"/>
              <w:bottom w:val="single" w:sz="4" w:space="0" w:color="auto"/>
              <w:right w:val="single" w:sz="4" w:space="0" w:color="auto"/>
            </w:tcBorders>
            <w:shd w:val="clear" w:color="auto" w:fill="auto"/>
            <w:vAlign w:val="center"/>
            <w:hideMark/>
          </w:tcPr>
          <w:p w14:paraId="7C5B1A17" w14:textId="77777777" w:rsidR="00195A83" w:rsidRPr="00195A83" w:rsidRDefault="00195A83" w:rsidP="00195A83">
            <w:pPr>
              <w:spacing w:after="0" w:line="240" w:lineRule="auto"/>
              <w:jc w:val="right"/>
              <w:rPr>
                <w:rFonts w:ascii="Arial" w:eastAsia="Times New Roman" w:hAnsi="Arial" w:cs="Arial"/>
                <w:b/>
                <w:bCs/>
                <w:color w:val="000000"/>
                <w:kern w:val="0"/>
                <w:sz w:val="18"/>
                <w:szCs w:val="18"/>
                <w:lang w:eastAsia="pt-BR"/>
                <w14:ligatures w14:val="none"/>
              </w:rPr>
            </w:pPr>
            <w:r w:rsidRPr="00195A83">
              <w:rPr>
                <w:rFonts w:ascii="Arial" w:eastAsia="Times New Roman" w:hAnsi="Arial" w:cs="Arial"/>
                <w:b/>
                <w:bCs/>
                <w:color w:val="000000"/>
                <w:kern w:val="0"/>
                <w:sz w:val="18"/>
                <w:szCs w:val="20"/>
                <w:lang w:eastAsia="pt-BR"/>
                <w14:ligatures w14:val="none"/>
              </w:rPr>
              <w:t>81.062</w:t>
            </w:r>
          </w:p>
        </w:tc>
        <w:tc>
          <w:tcPr>
            <w:tcW w:w="533" w:type="pct"/>
            <w:tcBorders>
              <w:top w:val="nil"/>
              <w:left w:val="nil"/>
              <w:bottom w:val="single" w:sz="4" w:space="0" w:color="auto"/>
              <w:right w:val="single" w:sz="4" w:space="0" w:color="auto"/>
            </w:tcBorders>
            <w:shd w:val="clear" w:color="auto" w:fill="auto"/>
            <w:vAlign w:val="center"/>
            <w:hideMark/>
          </w:tcPr>
          <w:p w14:paraId="4E04D25A" w14:textId="77777777" w:rsidR="00195A83" w:rsidRPr="00195A83" w:rsidRDefault="00195A83" w:rsidP="00195A83">
            <w:pPr>
              <w:spacing w:after="0" w:line="240" w:lineRule="auto"/>
              <w:jc w:val="right"/>
              <w:rPr>
                <w:rFonts w:ascii="Arial" w:eastAsia="Times New Roman" w:hAnsi="Arial" w:cs="Arial"/>
                <w:b/>
                <w:bCs/>
                <w:color w:val="000000"/>
                <w:kern w:val="0"/>
                <w:sz w:val="18"/>
                <w:szCs w:val="18"/>
                <w:lang w:eastAsia="pt-BR"/>
                <w14:ligatures w14:val="none"/>
              </w:rPr>
            </w:pPr>
            <w:r w:rsidRPr="00195A83">
              <w:rPr>
                <w:rFonts w:ascii="Arial" w:eastAsia="Times New Roman" w:hAnsi="Arial" w:cs="Arial"/>
                <w:b/>
                <w:bCs/>
                <w:color w:val="000000"/>
                <w:kern w:val="0"/>
                <w:sz w:val="18"/>
                <w:szCs w:val="18"/>
                <w:lang w:eastAsia="pt-BR"/>
                <w14:ligatures w14:val="none"/>
              </w:rPr>
              <w:t xml:space="preserve">    106.620 </w:t>
            </w:r>
          </w:p>
        </w:tc>
        <w:tc>
          <w:tcPr>
            <w:tcW w:w="533" w:type="pct"/>
            <w:tcBorders>
              <w:top w:val="nil"/>
              <w:left w:val="nil"/>
              <w:bottom w:val="single" w:sz="4" w:space="0" w:color="auto"/>
              <w:right w:val="single" w:sz="4" w:space="0" w:color="auto"/>
            </w:tcBorders>
            <w:shd w:val="clear" w:color="auto" w:fill="auto"/>
            <w:vAlign w:val="center"/>
            <w:hideMark/>
          </w:tcPr>
          <w:p w14:paraId="2A06930D" w14:textId="77777777" w:rsidR="00195A83" w:rsidRPr="00195A83" w:rsidRDefault="00195A83" w:rsidP="00195A83">
            <w:pPr>
              <w:spacing w:after="0" w:line="240" w:lineRule="auto"/>
              <w:jc w:val="right"/>
              <w:rPr>
                <w:rFonts w:ascii="Arial" w:eastAsia="Times New Roman" w:hAnsi="Arial" w:cs="Arial"/>
                <w:b/>
                <w:bCs/>
                <w:color w:val="000000"/>
                <w:kern w:val="0"/>
                <w:sz w:val="18"/>
                <w:szCs w:val="18"/>
                <w:lang w:eastAsia="pt-BR"/>
                <w14:ligatures w14:val="none"/>
              </w:rPr>
            </w:pPr>
            <w:r w:rsidRPr="00195A83">
              <w:rPr>
                <w:rFonts w:ascii="Arial" w:eastAsia="Times New Roman" w:hAnsi="Arial" w:cs="Arial"/>
                <w:b/>
                <w:bCs/>
                <w:color w:val="000000"/>
                <w:kern w:val="0"/>
                <w:sz w:val="18"/>
                <w:szCs w:val="18"/>
                <w:lang w:eastAsia="pt-BR"/>
                <w14:ligatures w14:val="none"/>
              </w:rPr>
              <w:t xml:space="preserve">      63.243 </w:t>
            </w:r>
          </w:p>
        </w:tc>
        <w:tc>
          <w:tcPr>
            <w:tcW w:w="533" w:type="pct"/>
            <w:tcBorders>
              <w:top w:val="nil"/>
              <w:left w:val="nil"/>
              <w:bottom w:val="single" w:sz="4" w:space="0" w:color="auto"/>
              <w:right w:val="single" w:sz="4" w:space="0" w:color="auto"/>
            </w:tcBorders>
            <w:shd w:val="clear" w:color="auto" w:fill="auto"/>
            <w:vAlign w:val="center"/>
            <w:hideMark/>
          </w:tcPr>
          <w:p w14:paraId="594410B8" w14:textId="77777777" w:rsidR="00195A83" w:rsidRPr="00195A83" w:rsidRDefault="00195A83" w:rsidP="00195A83">
            <w:pPr>
              <w:spacing w:after="0" w:line="240" w:lineRule="auto"/>
              <w:jc w:val="right"/>
              <w:rPr>
                <w:rFonts w:ascii="Arial" w:eastAsia="Times New Roman" w:hAnsi="Arial" w:cs="Arial"/>
                <w:b/>
                <w:bCs/>
                <w:color w:val="000000"/>
                <w:kern w:val="0"/>
                <w:sz w:val="18"/>
                <w:szCs w:val="18"/>
                <w:lang w:eastAsia="pt-BR"/>
                <w14:ligatures w14:val="none"/>
              </w:rPr>
            </w:pPr>
            <w:r w:rsidRPr="00195A83">
              <w:rPr>
                <w:rFonts w:ascii="Arial" w:eastAsia="Times New Roman" w:hAnsi="Arial" w:cs="Arial"/>
                <w:b/>
                <w:bCs/>
                <w:color w:val="000000"/>
                <w:kern w:val="0"/>
                <w:sz w:val="18"/>
                <w:szCs w:val="18"/>
                <w:lang w:eastAsia="pt-BR"/>
                <w14:ligatures w14:val="none"/>
              </w:rPr>
              <w:t xml:space="preserve">    193.349 </w:t>
            </w:r>
          </w:p>
        </w:tc>
        <w:tc>
          <w:tcPr>
            <w:tcW w:w="533" w:type="pct"/>
            <w:tcBorders>
              <w:top w:val="nil"/>
              <w:left w:val="nil"/>
              <w:bottom w:val="single" w:sz="4" w:space="0" w:color="auto"/>
              <w:right w:val="single" w:sz="4" w:space="0" w:color="auto"/>
            </w:tcBorders>
            <w:shd w:val="clear" w:color="auto" w:fill="auto"/>
            <w:vAlign w:val="center"/>
            <w:hideMark/>
          </w:tcPr>
          <w:p w14:paraId="2342491F" w14:textId="77777777" w:rsidR="00195A83" w:rsidRPr="00195A83" w:rsidRDefault="00195A83" w:rsidP="00195A83">
            <w:pPr>
              <w:spacing w:after="0" w:line="240" w:lineRule="auto"/>
              <w:jc w:val="right"/>
              <w:rPr>
                <w:rFonts w:ascii="Arial" w:eastAsia="Times New Roman" w:hAnsi="Arial" w:cs="Arial"/>
                <w:b/>
                <w:bCs/>
                <w:color w:val="000000"/>
                <w:kern w:val="0"/>
                <w:sz w:val="18"/>
                <w:szCs w:val="18"/>
                <w:lang w:eastAsia="pt-BR"/>
                <w14:ligatures w14:val="none"/>
              </w:rPr>
            </w:pPr>
            <w:r w:rsidRPr="00195A83">
              <w:rPr>
                <w:rFonts w:ascii="Arial" w:eastAsia="Times New Roman" w:hAnsi="Arial" w:cs="Arial"/>
                <w:b/>
                <w:bCs/>
                <w:color w:val="000000"/>
                <w:kern w:val="0"/>
                <w:sz w:val="18"/>
                <w:szCs w:val="18"/>
                <w:lang w:eastAsia="pt-BR"/>
                <w14:ligatures w14:val="none"/>
              </w:rPr>
              <w:t xml:space="preserve">             53 </w:t>
            </w:r>
          </w:p>
        </w:tc>
      </w:tr>
    </w:tbl>
    <w:p w14:paraId="67FB7A6F" w14:textId="04FA701D" w:rsidR="00195A83" w:rsidRPr="00195A83" w:rsidRDefault="00195A83" w:rsidP="00195A83">
      <w:pPr>
        <w:autoSpaceDE w:val="0"/>
        <w:autoSpaceDN w:val="0"/>
        <w:adjustRightInd w:val="0"/>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32.5.12. </w:t>
      </w:r>
      <w:r w:rsidRPr="00195A83">
        <w:rPr>
          <w:rFonts w:ascii="Calibri" w:eastAsia="Times New Roman" w:hAnsi="Calibri" w:cs="Calibri"/>
          <w:b/>
          <w:bCs/>
          <w:iCs/>
          <w:color w:val="002060"/>
          <w:kern w:val="0"/>
          <w14:ligatures w14:val="none"/>
        </w:rPr>
        <w:t>Comentários sobre os Resultados do Planos</w:t>
      </w:r>
    </w:p>
    <w:p w14:paraId="2C05ECC8" w14:textId="76208586" w:rsidR="00195A83" w:rsidRPr="00195A83" w:rsidRDefault="00195A83" w:rsidP="00195A83">
      <w:pPr>
        <w:autoSpaceDE w:val="0"/>
        <w:autoSpaceDN w:val="0"/>
        <w:adjustRightInd w:val="0"/>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32.5.12.1. </w:t>
      </w:r>
      <w:r w:rsidRPr="00195A83">
        <w:rPr>
          <w:rFonts w:ascii="Calibri" w:eastAsia="Times New Roman" w:hAnsi="Calibri" w:cs="Calibri"/>
          <w:b/>
          <w:bCs/>
          <w:iCs/>
          <w:color w:val="002060"/>
          <w:kern w:val="0"/>
          <w14:ligatures w14:val="none"/>
        </w:rPr>
        <w:t>Plano de Benefício PBS -A</w:t>
      </w:r>
    </w:p>
    <w:p w14:paraId="7A597398" w14:textId="77777777" w:rsidR="00195A83" w:rsidRPr="00195A83" w:rsidRDefault="00195A83" w:rsidP="00195A83">
      <w:pPr>
        <w:autoSpaceDE w:val="0"/>
        <w:autoSpaceDN w:val="0"/>
        <w:adjustRightInd w:val="0"/>
        <w:spacing w:after="0" w:line="240" w:lineRule="auto"/>
        <w:jc w:val="both"/>
        <w:rPr>
          <w:rFonts w:ascii="Calibri" w:eastAsia="Times New Roman" w:hAnsi="Calibri" w:cs="Calibri"/>
          <w:iCs/>
          <w:color w:val="002060"/>
          <w:kern w:val="0"/>
          <w14:ligatures w14:val="none"/>
        </w:rPr>
      </w:pPr>
      <w:r w:rsidRPr="00195A83">
        <w:rPr>
          <w:rFonts w:ascii="Calibri" w:eastAsia="Times New Roman" w:hAnsi="Calibri" w:cs="Calibri"/>
          <w:iCs/>
          <w:color w:val="002060"/>
          <w:kern w:val="0"/>
          <w14:ligatures w14:val="none"/>
        </w:rPr>
        <w:t>As obrigações atuariais em relação a este plano encontram-se plenamente cobertas pelo ativo líquido do plano. O plano apresentou obrigações atuariais de R$ 592.165 e ativo líquido de R$ 690.510, tendo como resultado o excedente atuarial de R$ 98.345, o qual não será reconhecido como ativo pela patrocinadora em função das limitações decorrentes da legislação em vigor. Como se trata de plano de benefícios patrocinado por diversas empresas, os números aqui registrados se referem unicamente à Telebrás e foram calculados considerando-se a proporção das reservas matemáticas dessa patrocinadora no montante total das provisões matemáticas.</w:t>
      </w:r>
    </w:p>
    <w:p w14:paraId="54B47E3C" w14:textId="77777777" w:rsidR="00195A83" w:rsidRPr="00195A83" w:rsidRDefault="00195A83" w:rsidP="00195A83">
      <w:pPr>
        <w:autoSpaceDE w:val="0"/>
        <w:autoSpaceDN w:val="0"/>
        <w:adjustRightInd w:val="0"/>
        <w:spacing w:after="0" w:line="240" w:lineRule="auto"/>
        <w:jc w:val="both"/>
        <w:rPr>
          <w:rFonts w:ascii="Calibri" w:eastAsia="Times New Roman" w:hAnsi="Calibri" w:cs="Calibri"/>
          <w:iCs/>
          <w:color w:val="002060"/>
          <w:kern w:val="0"/>
          <w14:ligatures w14:val="none"/>
        </w:rPr>
      </w:pPr>
      <w:r w:rsidRPr="00195A83">
        <w:rPr>
          <w:rFonts w:ascii="Calibri" w:eastAsia="Times New Roman" w:hAnsi="Calibri" w:cs="Calibri"/>
          <w:iCs/>
          <w:color w:val="002060"/>
          <w:kern w:val="0"/>
          <w14:ligatures w14:val="none"/>
        </w:rPr>
        <w:t>A propósito do resultado superavitário, importa consignar que o reconhecimento de ativo por parte de patrocinadora TELEBRÁS, dentro do que preconiza o CPC 33(R1), somente pode ser realizado quando existem fortes evidências de que mencionado resultado pode ser transformado em benefício econômico para a mencionada patrocinadora. Por outro lado, a distribuição de superávit atuarial de planos de benefícios segue regra própria da legislação de previdência complementar, disciplinada pela Resolução CNPC nº 30/2018, vigente da data da avaliação atuarial.</w:t>
      </w:r>
    </w:p>
    <w:p w14:paraId="2B5BB2EB" w14:textId="51DAE2CB" w:rsidR="00195A83" w:rsidRPr="00195A83" w:rsidRDefault="00195A83" w:rsidP="00195A83">
      <w:pPr>
        <w:autoSpaceDE w:val="0"/>
        <w:autoSpaceDN w:val="0"/>
        <w:adjustRightInd w:val="0"/>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32.5.12.2. </w:t>
      </w:r>
      <w:r w:rsidRPr="00195A83">
        <w:rPr>
          <w:rFonts w:ascii="Calibri" w:eastAsia="Times New Roman" w:hAnsi="Calibri" w:cs="Calibri"/>
          <w:b/>
          <w:bCs/>
          <w:iCs/>
          <w:color w:val="002060"/>
          <w:kern w:val="0"/>
          <w14:ligatures w14:val="none"/>
        </w:rPr>
        <w:t>Plano de Benefício PBS - Telebras</w:t>
      </w:r>
    </w:p>
    <w:p w14:paraId="77EBA328" w14:textId="77777777" w:rsidR="00195A83" w:rsidRPr="00195A83" w:rsidRDefault="00195A83" w:rsidP="00195A83">
      <w:pPr>
        <w:autoSpaceDE w:val="0"/>
        <w:autoSpaceDN w:val="0"/>
        <w:adjustRightInd w:val="0"/>
        <w:spacing w:after="0" w:line="240" w:lineRule="auto"/>
        <w:jc w:val="both"/>
        <w:rPr>
          <w:rFonts w:ascii="Calibri" w:eastAsia="Times New Roman" w:hAnsi="Calibri" w:cs="Calibri"/>
          <w:iCs/>
          <w:color w:val="002060"/>
          <w:kern w:val="0"/>
          <w14:ligatures w14:val="none"/>
        </w:rPr>
      </w:pPr>
      <w:r w:rsidRPr="00195A83">
        <w:rPr>
          <w:rFonts w:ascii="Calibri" w:eastAsia="Times New Roman" w:hAnsi="Calibri" w:cs="Calibri"/>
          <w:iCs/>
          <w:color w:val="002060"/>
          <w:kern w:val="0"/>
          <w14:ligatures w14:val="none"/>
        </w:rPr>
        <w:t>As obrigações atuariais em relação a este plano encontram-se plenamente cobertas pelo ativo líquido do plano. O plano apresentou obrigações atuariais de R$ 218.275 e ativo líquido de R$ 324.895, tendo como resultado o superávit atuarial de R$ 106.620, o qual não será reconhecido como ativo pela patrocinadora em função das limitações decorrentes da legislação em vigor.</w:t>
      </w:r>
    </w:p>
    <w:p w14:paraId="25DF21CE" w14:textId="77777777" w:rsidR="00195A83" w:rsidRPr="00195A83" w:rsidRDefault="00195A83" w:rsidP="00195A83">
      <w:pPr>
        <w:autoSpaceDE w:val="0"/>
        <w:autoSpaceDN w:val="0"/>
        <w:adjustRightInd w:val="0"/>
        <w:spacing w:after="0" w:line="240" w:lineRule="auto"/>
        <w:jc w:val="both"/>
        <w:rPr>
          <w:rFonts w:ascii="Calibri" w:eastAsia="Times New Roman" w:hAnsi="Calibri" w:cs="Calibri"/>
          <w:iCs/>
          <w:color w:val="002060"/>
          <w:kern w:val="0"/>
          <w14:ligatures w14:val="none"/>
        </w:rPr>
      </w:pPr>
      <w:r w:rsidRPr="00195A83">
        <w:rPr>
          <w:rFonts w:ascii="Calibri" w:eastAsia="Times New Roman" w:hAnsi="Calibri" w:cs="Calibri"/>
          <w:iCs/>
          <w:color w:val="002060"/>
          <w:kern w:val="0"/>
          <w14:ligatures w14:val="none"/>
        </w:rPr>
        <w:t xml:space="preserve">A propósito do resultado superavitário, importa consignar que o reconhecimento de ativo por parte de patrocinadora TELEBRÁS, dentro do que preconiza o Pronunciamento CPC 33(R1), somente pode ser realizado quando existem fortes evidências de que mencionado resultado pode ser transformado em benefício econômico para a mencionada patrocinadora. Por outro lado, a distribuição de superávit atuarial de planos de benefícios segue regra própria da legislação de previdência complementar, disciplinada pela Resolução CNPC nº 30/2018, vigente da data da avaliação atuarial. </w:t>
      </w:r>
    </w:p>
    <w:p w14:paraId="7C20A171" w14:textId="14CE9DB4" w:rsidR="00195A83" w:rsidRPr="00195A83" w:rsidRDefault="00195A83" w:rsidP="00195A83">
      <w:pPr>
        <w:autoSpaceDE w:val="0"/>
        <w:autoSpaceDN w:val="0"/>
        <w:adjustRightInd w:val="0"/>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32.5.12.3. </w:t>
      </w:r>
      <w:r w:rsidRPr="00195A83">
        <w:rPr>
          <w:rFonts w:ascii="Calibri" w:eastAsia="Times New Roman" w:hAnsi="Calibri" w:cs="Calibri"/>
          <w:b/>
          <w:bCs/>
          <w:iCs/>
          <w:color w:val="002060"/>
          <w:kern w:val="0"/>
          <w14:ligatures w14:val="none"/>
        </w:rPr>
        <w:t>Plano de Benefício Telebras PREV</w:t>
      </w:r>
    </w:p>
    <w:p w14:paraId="0ADE6271" w14:textId="77777777" w:rsidR="00195A83" w:rsidRPr="00195A83" w:rsidRDefault="00195A83" w:rsidP="00195A83">
      <w:pPr>
        <w:autoSpaceDE w:val="0"/>
        <w:autoSpaceDN w:val="0"/>
        <w:adjustRightInd w:val="0"/>
        <w:spacing w:after="0" w:line="240" w:lineRule="auto"/>
        <w:jc w:val="both"/>
        <w:rPr>
          <w:rFonts w:ascii="Calibri" w:eastAsia="Times New Roman" w:hAnsi="Calibri" w:cs="Calibri"/>
          <w:iCs/>
          <w:color w:val="002060"/>
          <w:kern w:val="0"/>
          <w14:ligatures w14:val="none"/>
        </w:rPr>
      </w:pPr>
      <w:r w:rsidRPr="00195A83">
        <w:rPr>
          <w:rFonts w:ascii="Calibri" w:eastAsia="Times New Roman" w:hAnsi="Calibri" w:cs="Calibri"/>
          <w:iCs/>
          <w:color w:val="002060"/>
          <w:kern w:val="0"/>
          <w14:ligatures w14:val="none"/>
        </w:rPr>
        <w:t>As obrigações atuariais em relação a este plano encontram-se plenamente cobertas pelo ativo líquido do plano. O plano apresentou obrigações atuariais de R$ 384.260 e ativo líquido de R$ 577.609, tendo como resultado o excedente atuarial de R$ 193.349, o qual não será reconhecido como ativo pela patrocinadora em função das limitações decorrentes da legislação em vigor.</w:t>
      </w:r>
    </w:p>
    <w:p w14:paraId="10733C3B" w14:textId="77777777" w:rsidR="00195A83" w:rsidRPr="00195A83" w:rsidRDefault="00195A83" w:rsidP="00195A83">
      <w:pPr>
        <w:autoSpaceDE w:val="0"/>
        <w:autoSpaceDN w:val="0"/>
        <w:adjustRightInd w:val="0"/>
        <w:spacing w:after="0" w:line="240" w:lineRule="auto"/>
        <w:jc w:val="both"/>
        <w:rPr>
          <w:rFonts w:ascii="Calibri" w:eastAsia="Times New Roman" w:hAnsi="Calibri" w:cs="Calibri"/>
          <w:iCs/>
          <w:color w:val="002060"/>
          <w:kern w:val="0"/>
          <w14:ligatures w14:val="none"/>
        </w:rPr>
      </w:pPr>
      <w:r w:rsidRPr="00195A83">
        <w:rPr>
          <w:rFonts w:ascii="Calibri" w:eastAsia="Times New Roman" w:hAnsi="Calibri" w:cs="Calibri"/>
          <w:iCs/>
          <w:color w:val="002060"/>
          <w:kern w:val="0"/>
          <w14:ligatures w14:val="none"/>
        </w:rPr>
        <w:t>A propósito do resultado superavitário, importa consignar que o reconhecimento de ativo por parte de patrocinadora TELEBRÁS, dentro do que preconiza o Pronunciamento CPC 33(R1), somente pode ser realizado quando existem fortes evidências de que mencionado resultado pode ser transformado em benefício econômico para a mencionada patrocinadora. Por outro lado, a distribuição de superávit atuarial de planos de benefícios segue regra própria da legislação de previdência complementar, disciplinada pela Resolução CNPC nº 30/2018, vigente da data da avaliação atuarial.</w:t>
      </w:r>
    </w:p>
    <w:p w14:paraId="2FDA593C" w14:textId="3B076000" w:rsidR="00195A83" w:rsidRPr="00195A83" w:rsidRDefault="00195A83" w:rsidP="00195A83">
      <w:pPr>
        <w:autoSpaceDE w:val="0"/>
        <w:autoSpaceDN w:val="0"/>
        <w:adjustRightInd w:val="0"/>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32.6. </w:t>
      </w:r>
      <w:r w:rsidRPr="00195A83">
        <w:rPr>
          <w:rFonts w:ascii="Calibri" w:eastAsia="Times New Roman" w:hAnsi="Calibri" w:cs="Calibri"/>
          <w:b/>
          <w:bCs/>
          <w:iCs/>
          <w:color w:val="002060"/>
          <w:kern w:val="0"/>
          <w14:ligatures w14:val="none"/>
        </w:rPr>
        <w:t>Pano de Assistência Médica ao Aposentado (PAMA)</w:t>
      </w:r>
    </w:p>
    <w:p w14:paraId="7DC82B67" w14:textId="77777777" w:rsidR="00195A83" w:rsidRDefault="00195A83" w:rsidP="00195A83">
      <w:pPr>
        <w:autoSpaceDE w:val="0"/>
        <w:autoSpaceDN w:val="0"/>
        <w:adjustRightInd w:val="0"/>
        <w:spacing w:after="0" w:line="240" w:lineRule="auto"/>
        <w:jc w:val="both"/>
        <w:rPr>
          <w:rFonts w:ascii="Calibri" w:eastAsia="Times New Roman" w:hAnsi="Calibri" w:cs="Calibri"/>
          <w:iCs/>
          <w:color w:val="002060"/>
          <w:kern w:val="0"/>
          <w14:ligatures w14:val="none"/>
        </w:rPr>
      </w:pPr>
      <w:r w:rsidRPr="00195A83">
        <w:rPr>
          <w:rFonts w:ascii="Calibri" w:eastAsia="Times New Roman" w:hAnsi="Calibri" w:cs="Calibri"/>
          <w:iCs/>
          <w:color w:val="002060"/>
          <w:kern w:val="0"/>
          <w14:ligatures w14:val="none"/>
        </w:rPr>
        <w:t>A Telebrás é patrocinadora de um plano médico-hospitalar denominado Plano de Assistência Médica ao Aposentado (PAMA), plano de benefícios de caráter assistencial, cujo objetivo é proporcionar aos participantes atendimento médico e hospitalar, com custos compartilhados e de modo semelhante ao proporcionado aos empregados das patrocinadoras, quando em atividade, conforme reza os artigos 1º e 9º do regulamento.</w:t>
      </w:r>
    </w:p>
    <w:p w14:paraId="59CAA16D" w14:textId="5C171D34" w:rsidR="00195A83" w:rsidRPr="00195A83" w:rsidRDefault="00195A83" w:rsidP="00195A83">
      <w:pPr>
        <w:autoSpaceDE w:val="0"/>
        <w:autoSpaceDN w:val="0"/>
        <w:adjustRightInd w:val="0"/>
        <w:spacing w:after="0" w:line="240" w:lineRule="auto"/>
        <w:jc w:val="both"/>
        <w:rPr>
          <w:rFonts w:ascii="Calibri" w:eastAsia="Times New Roman" w:hAnsi="Calibri" w:cs="Calibri"/>
          <w:iCs/>
          <w:color w:val="002060"/>
          <w:kern w:val="0"/>
          <w14:ligatures w14:val="none"/>
        </w:rPr>
      </w:pPr>
      <w:r w:rsidRPr="00195A83">
        <w:rPr>
          <w:rFonts w:ascii="Calibri" w:eastAsia="Times New Roman" w:hAnsi="Calibri" w:cs="Calibri"/>
          <w:iCs/>
          <w:color w:val="002060"/>
          <w:kern w:val="0"/>
          <w14:ligatures w14:val="none"/>
        </w:rPr>
        <w:lastRenderedPageBreak/>
        <w:t xml:space="preserve">O plano PAMA contava, em 31 de dezembro de 2023, com 24.656 beneficiários (16.490 titulares e 8.166 dependentes), sendo que apenas 6 destes ainda detinham vínculo com a Telebras. Desse modo, para o exercício de 2024, a estimativa de gasto da Telebras com esse plano é de R$ 13 (treze mil reais). </w:t>
      </w:r>
    </w:p>
    <w:p w14:paraId="01A7165D" w14:textId="77777777" w:rsidR="00195A83" w:rsidRPr="00195A83" w:rsidRDefault="00195A83" w:rsidP="00195A83">
      <w:pPr>
        <w:autoSpaceDE w:val="0"/>
        <w:autoSpaceDN w:val="0"/>
        <w:adjustRightInd w:val="0"/>
        <w:spacing w:after="0" w:line="240" w:lineRule="auto"/>
        <w:jc w:val="both"/>
        <w:rPr>
          <w:rFonts w:ascii="Calibri" w:eastAsia="Times New Roman" w:hAnsi="Calibri" w:cs="Calibri"/>
          <w:iCs/>
          <w:color w:val="002060"/>
          <w:kern w:val="0"/>
          <w14:ligatures w14:val="none"/>
        </w:rPr>
      </w:pPr>
      <w:r w:rsidRPr="00195A83">
        <w:rPr>
          <w:rFonts w:ascii="Calibri" w:eastAsia="Times New Roman" w:hAnsi="Calibri" w:cs="Calibri"/>
          <w:iCs/>
          <w:color w:val="002060"/>
          <w:kern w:val="0"/>
          <w14:ligatures w14:val="none"/>
        </w:rPr>
        <w:t>Em 31 de dezembro de 2023, o plano apresentava um superávit, que foi apurado conforme laudo atuarial elaborado por atuário contratado pela Companhia. O valor do superávit é apresentado no quadro a seguir.</w:t>
      </w:r>
    </w:p>
    <w:tbl>
      <w:tblPr>
        <w:tblW w:w="5000" w:type="pct"/>
        <w:tblCellMar>
          <w:left w:w="70" w:type="dxa"/>
          <w:right w:w="70" w:type="dxa"/>
        </w:tblCellMar>
        <w:tblLook w:val="04A0" w:firstRow="1" w:lastRow="0" w:firstColumn="1" w:lastColumn="0" w:noHBand="0" w:noVBand="1"/>
      </w:tblPr>
      <w:tblGrid>
        <w:gridCol w:w="6989"/>
        <w:gridCol w:w="1386"/>
        <w:gridCol w:w="1386"/>
      </w:tblGrid>
      <w:tr w:rsidR="00195A83" w:rsidRPr="00195A83" w14:paraId="18D44DD3" w14:textId="77777777" w:rsidTr="00446A14">
        <w:trPr>
          <w:trHeight w:val="238"/>
        </w:trPr>
        <w:tc>
          <w:tcPr>
            <w:tcW w:w="3580" w:type="pct"/>
            <w:tcBorders>
              <w:top w:val="single" w:sz="8" w:space="0" w:color="000000"/>
              <w:left w:val="single" w:sz="8" w:space="0" w:color="000000"/>
              <w:bottom w:val="single" w:sz="8" w:space="0" w:color="000000"/>
              <w:right w:val="single" w:sz="8" w:space="0" w:color="000000"/>
            </w:tcBorders>
            <w:shd w:val="clear" w:color="000000" w:fill="BFBFBF"/>
            <w:vAlign w:val="center"/>
            <w:hideMark/>
          </w:tcPr>
          <w:p w14:paraId="0336149E" w14:textId="77777777" w:rsidR="00195A83" w:rsidRPr="00195A83" w:rsidRDefault="00195A83" w:rsidP="00195A83">
            <w:pPr>
              <w:spacing w:after="0" w:line="240" w:lineRule="auto"/>
              <w:rPr>
                <w:rFonts w:ascii="Arial" w:eastAsia="Times New Roman" w:hAnsi="Arial" w:cs="Arial"/>
                <w:b/>
                <w:bCs/>
                <w:color w:val="000000"/>
                <w:kern w:val="0"/>
                <w:sz w:val="18"/>
                <w:szCs w:val="18"/>
                <w:lang w:eastAsia="pt-BR"/>
                <w14:ligatures w14:val="none"/>
              </w:rPr>
            </w:pPr>
            <w:r w:rsidRPr="00195A83">
              <w:rPr>
                <w:rFonts w:ascii="Arial" w:eastAsia="Times New Roman" w:hAnsi="Arial" w:cs="Arial"/>
                <w:b/>
                <w:bCs/>
                <w:color w:val="000000"/>
                <w:kern w:val="0"/>
                <w:sz w:val="18"/>
                <w:szCs w:val="18"/>
                <w:lang w:eastAsia="pt-BR"/>
                <w14:ligatures w14:val="none"/>
              </w:rPr>
              <w:t>Composição:</w:t>
            </w:r>
          </w:p>
        </w:tc>
        <w:tc>
          <w:tcPr>
            <w:tcW w:w="710" w:type="pct"/>
            <w:tcBorders>
              <w:top w:val="single" w:sz="8" w:space="0" w:color="000000"/>
              <w:left w:val="nil"/>
              <w:bottom w:val="single" w:sz="8" w:space="0" w:color="000000"/>
              <w:right w:val="single" w:sz="8" w:space="0" w:color="000000"/>
            </w:tcBorders>
            <w:shd w:val="clear" w:color="auto" w:fill="auto"/>
            <w:vAlign w:val="center"/>
            <w:hideMark/>
          </w:tcPr>
          <w:p w14:paraId="4CC1B129" w14:textId="77777777" w:rsidR="00195A83" w:rsidRPr="00195A83" w:rsidRDefault="00195A83" w:rsidP="00195A83">
            <w:pPr>
              <w:spacing w:after="0" w:line="240" w:lineRule="auto"/>
              <w:jc w:val="center"/>
              <w:rPr>
                <w:rFonts w:ascii="Arial" w:eastAsia="Times New Roman" w:hAnsi="Arial" w:cs="Arial"/>
                <w:b/>
                <w:bCs/>
                <w:color w:val="000000"/>
                <w:kern w:val="0"/>
                <w:sz w:val="18"/>
                <w:szCs w:val="18"/>
                <w:lang w:eastAsia="pt-BR"/>
                <w14:ligatures w14:val="none"/>
              </w:rPr>
            </w:pPr>
            <w:r w:rsidRPr="00195A83">
              <w:rPr>
                <w:rFonts w:ascii="Arial" w:eastAsia="Times New Roman" w:hAnsi="Arial" w:cs="Arial"/>
                <w:b/>
                <w:bCs/>
                <w:color w:val="000000"/>
                <w:kern w:val="0"/>
                <w:sz w:val="18"/>
                <w:szCs w:val="18"/>
                <w:lang w:eastAsia="pt-BR"/>
                <w14:ligatures w14:val="none"/>
              </w:rPr>
              <w:t>2023</w:t>
            </w:r>
          </w:p>
        </w:tc>
        <w:tc>
          <w:tcPr>
            <w:tcW w:w="710" w:type="pct"/>
            <w:tcBorders>
              <w:top w:val="single" w:sz="8" w:space="0" w:color="000000"/>
              <w:left w:val="nil"/>
              <w:bottom w:val="single" w:sz="8" w:space="0" w:color="000000"/>
              <w:right w:val="single" w:sz="8" w:space="0" w:color="000000"/>
            </w:tcBorders>
            <w:shd w:val="clear" w:color="auto" w:fill="auto"/>
            <w:vAlign w:val="center"/>
            <w:hideMark/>
          </w:tcPr>
          <w:p w14:paraId="3DB661D7" w14:textId="77777777" w:rsidR="00195A83" w:rsidRPr="00195A83" w:rsidRDefault="00195A83" w:rsidP="00195A83">
            <w:pPr>
              <w:spacing w:after="0" w:line="240" w:lineRule="auto"/>
              <w:jc w:val="center"/>
              <w:rPr>
                <w:rFonts w:ascii="Arial" w:eastAsia="Times New Roman" w:hAnsi="Arial" w:cs="Arial"/>
                <w:b/>
                <w:bCs/>
                <w:color w:val="000000"/>
                <w:kern w:val="0"/>
                <w:sz w:val="18"/>
                <w:szCs w:val="18"/>
                <w:lang w:eastAsia="pt-BR"/>
                <w14:ligatures w14:val="none"/>
              </w:rPr>
            </w:pPr>
            <w:r w:rsidRPr="00195A83">
              <w:rPr>
                <w:rFonts w:ascii="Arial" w:eastAsia="Times New Roman" w:hAnsi="Arial" w:cs="Arial"/>
                <w:b/>
                <w:bCs/>
                <w:color w:val="000000"/>
                <w:kern w:val="0"/>
                <w:sz w:val="18"/>
                <w:szCs w:val="18"/>
                <w:lang w:eastAsia="pt-BR"/>
                <w14:ligatures w14:val="none"/>
              </w:rPr>
              <w:t>2022</w:t>
            </w:r>
          </w:p>
        </w:tc>
      </w:tr>
      <w:tr w:rsidR="00195A83" w:rsidRPr="00195A83" w14:paraId="753F81BB" w14:textId="77777777" w:rsidTr="00446A14">
        <w:trPr>
          <w:trHeight w:val="238"/>
        </w:trPr>
        <w:tc>
          <w:tcPr>
            <w:tcW w:w="3580" w:type="pct"/>
            <w:tcBorders>
              <w:top w:val="nil"/>
              <w:left w:val="single" w:sz="8" w:space="0" w:color="000000"/>
              <w:bottom w:val="single" w:sz="8" w:space="0" w:color="000000"/>
              <w:right w:val="single" w:sz="8" w:space="0" w:color="000000"/>
            </w:tcBorders>
            <w:shd w:val="clear" w:color="auto" w:fill="auto"/>
            <w:vAlign w:val="center"/>
            <w:hideMark/>
          </w:tcPr>
          <w:p w14:paraId="23BA4D87" w14:textId="77777777" w:rsidR="00195A83" w:rsidRPr="00195A83" w:rsidRDefault="00195A83" w:rsidP="00195A83">
            <w:pPr>
              <w:spacing w:after="0" w:line="240" w:lineRule="auto"/>
              <w:jc w:val="both"/>
              <w:rPr>
                <w:rFonts w:ascii="Arial" w:eastAsia="Times New Roman" w:hAnsi="Arial" w:cs="Arial"/>
                <w:color w:val="000000"/>
                <w:kern w:val="0"/>
                <w:sz w:val="18"/>
                <w:szCs w:val="18"/>
                <w:lang w:eastAsia="pt-BR"/>
                <w14:ligatures w14:val="none"/>
              </w:rPr>
            </w:pPr>
            <w:r w:rsidRPr="00195A83">
              <w:rPr>
                <w:rFonts w:ascii="Arial" w:eastAsia="Times New Roman" w:hAnsi="Arial" w:cs="Arial"/>
                <w:color w:val="000000"/>
                <w:kern w:val="0"/>
                <w:sz w:val="18"/>
                <w:szCs w:val="18"/>
                <w:lang w:eastAsia="pt-BR"/>
                <w14:ligatures w14:val="none"/>
              </w:rPr>
              <w:t>Obrigação atuarial</w:t>
            </w:r>
          </w:p>
        </w:tc>
        <w:tc>
          <w:tcPr>
            <w:tcW w:w="710" w:type="pct"/>
            <w:tcBorders>
              <w:top w:val="nil"/>
              <w:left w:val="nil"/>
              <w:bottom w:val="single" w:sz="8" w:space="0" w:color="000000"/>
              <w:right w:val="single" w:sz="8" w:space="0" w:color="000000"/>
            </w:tcBorders>
            <w:shd w:val="clear" w:color="auto" w:fill="auto"/>
            <w:vAlign w:val="center"/>
            <w:hideMark/>
          </w:tcPr>
          <w:p w14:paraId="3D3CFE86" w14:textId="77777777" w:rsidR="00195A83" w:rsidRPr="00195A83" w:rsidRDefault="00195A83" w:rsidP="00195A83">
            <w:pPr>
              <w:spacing w:after="0" w:line="240" w:lineRule="auto"/>
              <w:jc w:val="right"/>
              <w:rPr>
                <w:rFonts w:ascii="Arial" w:eastAsia="Times New Roman" w:hAnsi="Arial" w:cs="Arial"/>
                <w:color w:val="000000"/>
                <w:kern w:val="0"/>
                <w:sz w:val="18"/>
                <w:szCs w:val="18"/>
                <w:lang w:eastAsia="pt-BR"/>
                <w14:ligatures w14:val="none"/>
              </w:rPr>
            </w:pPr>
            <w:r w:rsidRPr="00195A83">
              <w:rPr>
                <w:rFonts w:ascii="Arial" w:eastAsia="Times New Roman" w:hAnsi="Arial" w:cs="Arial"/>
                <w:color w:val="000000"/>
                <w:kern w:val="0"/>
                <w:sz w:val="18"/>
                <w:szCs w:val="18"/>
                <w:lang w:eastAsia="pt-BR"/>
                <w14:ligatures w14:val="none"/>
              </w:rPr>
              <w:t>5.406.313</w:t>
            </w:r>
          </w:p>
        </w:tc>
        <w:tc>
          <w:tcPr>
            <w:tcW w:w="710" w:type="pct"/>
            <w:tcBorders>
              <w:top w:val="nil"/>
              <w:left w:val="nil"/>
              <w:bottom w:val="single" w:sz="8" w:space="0" w:color="000000"/>
              <w:right w:val="single" w:sz="8" w:space="0" w:color="000000"/>
            </w:tcBorders>
            <w:shd w:val="clear" w:color="auto" w:fill="auto"/>
            <w:vAlign w:val="center"/>
            <w:hideMark/>
          </w:tcPr>
          <w:p w14:paraId="67FD2348" w14:textId="77777777" w:rsidR="00195A83" w:rsidRPr="00195A83" w:rsidRDefault="00195A83" w:rsidP="00195A83">
            <w:pPr>
              <w:spacing w:after="0" w:line="240" w:lineRule="auto"/>
              <w:jc w:val="right"/>
              <w:rPr>
                <w:rFonts w:ascii="Arial" w:eastAsia="Times New Roman" w:hAnsi="Arial" w:cs="Arial"/>
                <w:color w:val="000000"/>
                <w:kern w:val="0"/>
                <w:sz w:val="18"/>
                <w:szCs w:val="18"/>
                <w:lang w:eastAsia="pt-BR"/>
                <w14:ligatures w14:val="none"/>
              </w:rPr>
            </w:pPr>
            <w:r w:rsidRPr="00195A83">
              <w:rPr>
                <w:rFonts w:ascii="Arial" w:eastAsia="Times New Roman" w:hAnsi="Arial" w:cs="Arial"/>
                <w:color w:val="000000"/>
                <w:kern w:val="0"/>
                <w:sz w:val="18"/>
                <w:szCs w:val="18"/>
                <w:lang w:eastAsia="pt-BR"/>
                <w14:ligatures w14:val="none"/>
              </w:rPr>
              <w:t>4.810.870</w:t>
            </w:r>
          </w:p>
        </w:tc>
      </w:tr>
      <w:tr w:rsidR="00195A83" w:rsidRPr="00195A83" w14:paraId="6F238D8A" w14:textId="77777777" w:rsidTr="00446A14">
        <w:trPr>
          <w:trHeight w:val="238"/>
        </w:trPr>
        <w:tc>
          <w:tcPr>
            <w:tcW w:w="3580" w:type="pct"/>
            <w:tcBorders>
              <w:top w:val="nil"/>
              <w:left w:val="single" w:sz="8" w:space="0" w:color="000000"/>
              <w:bottom w:val="single" w:sz="8" w:space="0" w:color="000000"/>
              <w:right w:val="single" w:sz="8" w:space="0" w:color="000000"/>
            </w:tcBorders>
            <w:shd w:val="clear" w:color="auto" w:fill="auto"/>
            <w:vAlign w:val="center"/>
            <w:hideMark/>
          </w:tcPr>
          <w:p w14:paraId="2060D773" w14:textId="77777777" w:rsidR="00195A83" w:rsidRPr="00195A83" w:rsidRDefault="00195A83" w:rsidP="00195A83">
            <w:pPr>
              <w:spacing w:after="0" w:line="240" w:lineRule="auto"/>
              <w:jc w:val="both"/>
              <w:rPr>
                <w:rFonts w:ascii="Arial" w:eastAsia="Times New Roman" w:hAnsi="Arial" w:cs="Arial"/>
                <w:color w:val="000000"/>
                <w:kern w:val="0"/>
                <w:sz w:val="18"/>
                <w:szCs w:val="18"/>
                <w:lang w:eastAsia="pt-BR"/>
                <w14:ligatures w14:val="none"/>
              </w:rPr>
            </w:pPr>
            <w:r w:rsidRPr="00195A83">
              <w:rPr>
                <w:rFonts w:ascii="Arial" w:eastAsia="Times New Roman" w:hAnsi="Arial" w:cs="Arial"/>
                <w:color w:val="000000"/>
                <w:kern w:val="0"/>
                <w:sz w:val="18"/>
                <w:szCs w:val="18"/>
                <w:lang w:eastAsia="pt-BR"/>
                <w14:ligatures w14:val="none"/>
              </w:rPr>
              <w:t>Valor justo dos ativos do plano</w:t>
            </w:r>
          </w:p>
        </w:tc>
        <w:tc>
          <w:tcPr>
            <w:tcW w:w="710" w:type="pct"/>
            <w:tcBorders>
              <w:top w:val="nil"/>
              <w:left w:val="nil"/>
              <w:bottom w:val="single" w:sz="8" w:space="0" w:color="000000"/>
              <w:right w:val="single" w:sz="8" w:space="0" w:color="000000"/>
            </w:tcBorders>
            <w:shd w:val="clear" w:color="auto" w:fill="auto"/>
            <w:vAlign w:val="center"/>
            <w:hideMark/>
          </w:tcPr>
          <w:p w14:paraId="3E361BA3" w14:textId="77777777" w:rsidR="00195A83" w:rsidRPr="00195A83" w:rsidRDefault="00195A83" w:rsidP="00195A83">
            <w:pPr>
              <w:spacing w:after="0" w:line="240" w:lineRule="auto"/>
              <w:jc w:val="right"/>
              <w:rPr>
                <w:rFonts w:ascii="Arial" w:eastAsia="Times New Roman" w:hAnsi="Arial" w:cs="Arial"/>
                <w:color w:val="000000"/>
                <w:kern w:val="0"/>
                <w:sz w:val="18"/>
                <w:szCs w:val="18"/>
                <w:lang w:eastAsia="pt-BR"/>
                <w14:ligatures w14:val="none"/>
              </w:rPr>
            </w:pPr>
            <w:r w:rsidRPr="00195A83">
              <w:rPr>
                <w:rFonts w:ascii="Arial" w:eastAsia="Times New Roman" w:hAnsi="Arial" w:cs="Arial"/>
                <w:color w:val="000000"/>
                <w:kern w:val="0"/>
                <w:sz w:val="18"/>
                <w:szCs w:val="18"/>
                <w:lang w:eastAsia="pt-BR"/>
                <w14:ligatures w14:val="none"/>
              </w:rPr>
              <w:t>5.584.410</w:t>
            </w:r>
          </w:p>
        </w:tc>
        <w:tc>
          <w:tcPr>
            <w:tcW w:w="710" w:type="pct"/>
            <w:tcBorders>
              <w:top w:val="nil"/>
              <w:left w:val="nil"/>
              <w:bottom w:val="single" w:sz="8" w:space="0" w:color="000000"/>
              <w:right w:val="single" w:sz="8" w:space="0" w:color="000000"/>
            </w:tcBorders>
            <w:shd w:val="clear" w:color="auto" w:fill="auto"/>
            <w:vAlign w:val="center"/>
            <w:hideMark/>
          </w:tcPr>
          <w:p w14:paraId="3CCF1348" w14:textId="77777777" w:rsidR="00195A83" w:rsidRPr="00195A83" w:rsidRDefault="00195A83" w:rsidP="00195A83">
            <w:pPr>
              <w:spacing w:after="0" w:line="240" w:lineRule="auto"/>
              <w:jc w:val="right"/>
              <w:rPr>
                <w:rFonts w:ascii="Arial" w:eastAsia="Times New Roman" w:hAnsi="Arial" w:cs="Arial"/>
                <w:color w:val="000000"/>
                <w:kern w:val="0"/>
                <w:sz w:val="18"/>
                <w:szCs w:val="18"/>
                <w:lang w:eastAsia="pt-BR"/>
                <w14:ligatures w14:val="none"/>
              </w:rPr>
            </w:pPr>
            <w:r w:rsidRPr="00195A83">
              <w:rPr>
                <w:rFonts w:ascii="Arial" w:eastAsia="Times New Roman" w:hAnsi="Arial" w:cs="Arial"/>
                <w:color w:val="000000"/>
                <w:kern w:val="0"/>
                <w:sz w:val="18"/>
                <w:szCs w:val="18"/>
                <w:lang w:eastAsia="pt-BR"/>
                <w14:ligatures w14:val="none"/>
              </w:rPr>
              <w:t>5.147.592</w:t>
            </w:r>
          </w:p>
        </w:tc>
      </w:tr>
      <w:tr w:rsidR="00195A83" w:rsidRPr="00195A83" w14:paraId="5201FC6D" w14:textId="77777777" w:rsidTr="00446A14">
        <w:trPr>
          <w:trHeight w:val="238"/>
        </w:trPr>
        <w:tc>
          <w:tcPr>
            <w:tcW w:w="3580" w:type="pct"/>
            <w:tcBorders>
              <w:top w:val="nil"/>
              <w:left w:val="single" w:sz="8" w:space="0" w:color="000000"/>
              <w:bottom w:val="single" w:sz="8" w:space="0" w:color="000000"/>
              <w:right w:val="single" w:sz="8" w:space="0" w:color="000000"/>
            </w:tcBorders>
            <w:shd w:val="clear" w:color="auto" w:fill="auto"/>
            <w:vAlign w:val="center"/>
            <w:hideMark/>
          </w:tcPr>
          <w:p w14:paraId="41F9E5E9" w14:textId="77777777" w:rsidR="00195A83" w:rsidRPr="00195A83" w:rsidRDefault="00195A83" w:rsidP="00195A83">
            <w:pPr>
              <w:spacing w:after="0" w:line="240" w:lineRule="auto"/>
              <w:jc w:val="both"/>
              <w:rPr>
                <w:rFonts w:ascii="Arial" w:eastAsia="Times New Roman" w:hAnsi="Arial" w:cs="Arial"/>
                <w:b/>
                <w:bCs/>
                <w:color w:val="000000"/>
                <w:kern w:val="0"/>
                <w:sz w:val="18"/>
                <w:szCs w:val="18"/>
                <w:lang w:eastAsia="pt-BR"/>
                <w14:ligatures w14:val="none"/>
              </w:rPr>
            </w:pPr>
            <w:r w:rsidRPr="00195A83">
              <w:rPr>
                <w:rFonts w:ascii="Arial" w:eastAsia="Times New Roman" w:hAnsi="Arial" w:cs="Arial"/>
                <w:b/>
                <w:bCs/>
                <w:color w:val="000000"/>
                <w:kern w:val="0"/>
                <w:sz w:val="18"/>
                <w:szCs w:val="18"/>
                <w:lang w:eastAsia="pt-BR"/>
                <w14:ligatures w14:val="none"/>
              </w:rPr>
              <w:t>Superávit</w:t>
            </w:r>
          </w:p>
        </w:tc>
        <w:tc>
          <w:tcPr>
            <w:tcW w:w="710" w:type="pct"/>
            <w:tcBorders>
              <w:top w:val="nil"/>
              <w:left w:val="nil"/>
              <w:bottom w:val="single" w:sz="8" w:space="0" w:color="000000"/>
              <w:right w:val="single" w:sz="8" w:space="0" w:color="000000"/>
            </w:tcBorders>
            <w:shd w:val="clear" w:color="auto" w:fill="auto"/>
            <w:vAlign w:val="center"/>
            <w:hideMark/>
          </w:tcPr>
          <w:p w14:paraId="2AF6025F" w14:textId="77777777" w:rsidR="00195A83" w:rsidRPr="00195A83" w:rsidRDefault="00195A83" w:rsidP="00195A83">
            <w:pPr>
              <w:spacing w:after="0" w:line="240" w:lineRule="auto"/>
              <w:jc w:val="right"/>
              <w:rPr>
                <w:rFonts w:ascii="Arial" w:eastAsia="Times New Roman" w:hAnsi="Arial" w:cs="Arial"/>
                <w:b/>
                <w:bCs/>
                <w:color w:val="000000"/>
                <w:kern w:val="0"/>
                <w:sz w:val="18"/>
                <w:szCs w:val="18"/>
                <w:lang w:eastAsia="pt-BR"/>
                <w14:ligatures w14:val="none"/>
              </w:rPr>
            </w:pPr>
            <w:r w:rsidRPr="00195A83">
              <w:rPr>
                <w:rFonts w:ascii="Arial" w:eastAsia="Times New Roman" w:hAnsi="Arial" w:cs="Arial"/>
                <w:b/>
                <w:bCs/>
                <w:color w:val="000000"/>
                <w:kern w:val="0"/>
                <w:sz w:val="18"/>
                <w:szCs w:val="18"/>
                <w:lang w:eastAsia="pt-BR"/>
                <w14:ligatures w14:val="none"/>
              </w:rPr>
              <w:t>178.097</w:t>
            </w:r>
          </w:p>
        </w:tc>
        <w:tc>
          <w:tcPr>
            <w:tcW w:w="710" w:type="pct"/>
            <w:tcBorders>
              <w:top w:val="nil"/>
              <w:left w:val="nil"/>
              <w:bottom w:val="single" w:sz="8" w:space="0" w:color="000000"/>
              <w:right w:val="single" w:sz="8" w:space="0" w:color="000000"/>
            </w:tcBorders>
            <w:shd w:val="clear" w:color="auto" w:fill="auto"/>
            <w:vAlign w:val="center"/>
            <w:hideMark/>
          </w:tcPr>
          <w:p w14:paraId="3AC5D17A" w14:textId="77777777" w:rsidR="00195A83" w:rsidRPr="00195A83" w:rsidRDefault="00195A83" w:rsidP="00195A83">
            <w:pPr>
              <w:spacing w:after="0" w:line="240" w:lineRule="auto"/>
              <w:jc w:val="right"/>
              <w:rPr>
                <w:rFonts w:ascii="Arial" w:eastAsia="Times New Roman" w:hAnsi="Arial" w:cs="Arial"/>
                <w:b/>
                <w:bCs/>
                <w:color w:val="000000"/>
                <w:kern w:val="0"/>
                <w:sz w:val="18"/>
                <w:szCs w:val="18"/>
                <w:lang w:eastAsia="pt-BR"/>
                <w14:ligatures w14:val="none"/>
              </w:rPr>
            </w:pPr>
            <w:r w:rsidRPr="00195A83">
              <w:rPr>
                <w:rFonts w:ascii="Arial" w:eastAsia="Times New Roman" w:hAnsi="Arial" w:cs="Arial"/>
                <w:b/>
                <w:bCs/>
                <w:color w:val="000000"/>
                <w:kern w:val="0"/>
                <w:sz w:val="18"/>
                <w:szCs w:val="18"/>
                <w:lang w:eastAsia="pt-BR"/>
                <w14:ligatures w14:val="none"/>
              </w:rPr>
              <w:t>336.722</w:t>
            </w:r>
          </w:p>
        </w:tc>
      </w:tr>
    </w:tbl>
    <w:p w14:paraId="0D439C61" w14:textId="374C34E1" w:rsidR="00195A83" w:rsidRPr="00195A83" w:rsidRDefault="00195A83" w:rsidP="00195A83">
      <w:pPr>
        <w:autoSpaceDE w:val="0"/>
        <w:autoSpaceDN w:val="0"/>
        <w:adjustRightInd w:val="0"/>
        <w:spacing w:after="0" w:line="240" w:lineRule="auto"/>
        <w:jc w:val="both"/>
        <w:rPr>
          <w:rFonts w:ascii="Calibri" w:eastAsia="Times New Roman" w:hAnsi="Calibri" w:cs="Calibri"/>
          <w:b/>
          <w:bCs/>
          <w:iCs/>
          <w:color w:val="002060"/>
          <w:kern w:val="0"/>
          <w14:ligatures w14:val="none"/>
        </w:rPr>
      </w:pPr>
      <w:bookmarkStart w:id="437" w:name="_Toc491337781"/>
      <w:r>
        <w:rPr>
          <w:rFonts w:ascii="Calibri" w:eastAsia="Times New Roman" w:hAnsi="Calibri" w:cs="Calibri"/>
          <w:b/>
          <w:bCs/>
          <w:iCs/>
          <w:color w:val="002060"/>
          <w:kern w:val="0"/>
          <w14:ligatures w14:val="none"/>
        </w:rPr>
        <w:t xml:space="preserve">33. </w:t>
      </w:r>
      <w:r w:rsidRPr="00195A83">
        <w:rPr>
          <w:rFonts w:ascii="Calibri" w:eastAsia="Times New Roman" w:hAnsi="Calibri" w:cs="Calibri"/>
          <w:b/>
          <w:bCs/>
          <w:iCs/>
          <w:color w:val="002060"/>
          <w:kern w:val="0"/>
          <w14:ligatures w14:val="none"/>
        </w:rPr>
        <w:t>PARTES RELACIONADAS</w:t>
      </w:r>
      <w:bookmarkEnd w:id="437"/>
    </w:p>
    <w:p w14:paraId="38DFF303" w14:textId="77777777" w:rsidR="00195A83" w:rsidRPr="00195A83" w:rsidRDefault="00195A83" w:rsidP="00195A83">
      <w:pPr>
        <w:autoSpaceDE w:val="0"/>
        <w:autoSpaceDN w:val="0"/>
        <w:adjustRightInd w:val="0"/>
        <w:spacing w:after="0" w:line="240" w:lineRule="auto"/>
        <w:jc w:val="both"/>
        <w:rPr>
          <w:rFonts w:ascii="Calibri" w:eastAsia="Times New Roman" w:hAnsi="Calibri" w:cs="Calibri"/>
          <w:iCs/>
          <w:color w:val="002060"/>
          <w:kern w:val="0"/>
          <w14:ligatures w14:val="none"/>
        </w:rPr>
      </w:pPr>
      <w:r w:rsidRPr="00195A83">
        <w:rPr>
          <w:rFonts w:ascii="Calibri" w:eastAsia="Times New Roman" w:hAnsi="Calibri" w:cs="Calibri"/>
          <w:iCs/>
          <w:color w:val="002060"/>
          <w:kern w:val="0"/>
          <w14:ligatures w14:val="none"/>
        </w:rPr>
        <w:t xml:space="preserve">A controladora final da Companhia é a União, que detém 92,46% das ações ordinárias da Companhia. (Nota Explicativa 27) </w:t>
      </w:r>
    </w:p>
    <w:p w14:paraId="3413DCED" w14:textId="01955F54" w:rsidR="00195A83" w:rsidRPr="00195A83" w:rsidRDefault="00195A83" w:rsidP="00195A83">
      <w:pPr>
        <w:autoSpaceDE w:val="0"/>
        <w:autoSpaceDN w:val="0"/>
        <w:adjustRightInd w:val="0"/>
        <w:spacing w:after="0" w:line="240" w:lineRule="auto"/>
        <w:jc w:val="both"/>
        <w:rPr>
          <w:rFonts w:ascii="Calibri" w:eastAsia="Times New Roman" w:hAnsi="Calibri" w:cs="Calibri"/>
          <w:iCs/>
          <w:color w:val="002060"/>
          <w:kern w:val="0"/>
          <w14:ligatures w14:val="none"/>
        </w:rPr>
      </w:pPr>
      <w:r w:rsidRPr="00195A83">
        <w:rPr>
          <w:rFonts w:ascii="Calibri" w:eastAsia="Times New Roman" w:hAnsi="Calibri" w:cs="Calibri"/>
          <w:iCs/>
          <w:color w:val="002060"/>
          <w:kern w:val="0"/>
          <w14:ligatures w14:val="none"/>
        </w:rPr>
        <w:t xml:space="preserve"> As transações da Companhia com sua controladora e suas coligadas são realizadas a preços e condições definidos entre as partes, que consideram as condições que poderiam ser praticadas no mercado com partes não relacionadas, quando aplicável. </w:t>
      </w:r>
    </w:p>
    <w:p w14:paraId="599D2FFC" w14:textId="77777777" w:rsidR="00195A83" w:rsidRPr="00195A83" w:rsidRDefault="00195A83" w:rsidP="00195A83">
      <w:pPr>
        <w:autoSpaceDE w:val="0"/>
        <w:autoSpaceDN w:val="0"/>
        <w:adjustRightInd w:val="0"/>
        <w:spacing w:after="0" w:line="240" w:lineRule="auto"/>
        <w:jc w:val="both"/>
        <w:rPr>
          <w:rFonts w:ascii="Calibri" w:eastAsia="Times New Roman" w:hAnsi="Calibri" w:cs="Calibri"/>
          <w:iCs/>
          <w:color w:val="002060"/>
          <w:kern w:val="0"/>
          <w14:ligatures w14:val="none"/>
        </w:rPr>
      </w:pPr>
      <w:r w:rsidRPr="00195A83">
        <w:rPr>
          <w:rFonts w:ascii="Calibri" w:eastAsia="Times New Roman" w:hAnsi="Calibri" w:cs="Calibri"/>
          <w:iCs/>
          <w:color w:val="002060"/>
          <w:kern w:val="0"/>
          <w14:ligatures w14:val="none"/>
        </w:rPr>
        <w:t>As transações com partes relacionadas envolvendo a União, suas empresas e entidades também são apresentadas.</w:t>
      </w:r>
    </w:p>
    <w:p w14:paraId="7FC98489" w14:textId="7A2F21D8" w:rsidR="00195A83" w:rsidRPr="00195A83" w:rsidRDefault="00195A83" w:rsidP="00195A83">
      <w:pPr>
        <w:autoSpaceDE w:val="0"/>
        <w:autoSpaceDN w:val="0"/>
        <w:adjustRightInd w:val="0"/>
        <w:spacing w:after="0" w:line="240" w:lineRule="auto"/>
        <w:jc w:val="both"/>
        <w:rPr>
          <w:rFonts w:ascii="Calibri" w:eastAsia="Times New Roman" w:hAnsi="Calibri" w:cs="Calibri"/>
          <w:b/>
          <w:bCs/>
          <w:iCs/>
          <w:color w:val="002060"/>
          <w:kern w:val="0"/>
          <w14:ligatures w14:val="none"/>
        </w:rPr>
      </w:pPr>
      <w:bookmarkStart w:id="438" w:name="_Toc491337783"/>
      <w:r w:rsidRPr="00195A83">
        <w:rPr>
          <w:rFonts w:ascii="Calibri" w:eastAsia="Times New Roman" w:hAnsi="Calibri" w:cs="Calibri"/>
          <w:b/>
          <w:bCs/>
          <w:iCs/>
          <w:color w:val="002060"/>
          <w:kern w:val="0"/>
          <w14:ligatures w14:val="none"/>
        </w:rPr>
        <w:t xml:space="preserve">33.1. </w:t>
      </w:r>
      <w:proofErr w:type="gramStart"/>
      <w:r w:rsidRPr="00195A83">
        <w:rPr>
          <w:rFonts w:ascii="Calibri" w:eastAsia="Times New Roman" w:hAnsi="Calibri" w:cs="Calibri"/>
          <w:b/>
          <w:bCs/>
          <w:iCs/>
          <w:color w:val="002060"/>
          <w:kern w:val="0"/>
          <w14:ligatures w14:val="none"/>
        </w:rPr>
        <w:t>Pessoal</w:t>
      </w:r>
      <w:proofErr w:type="gramEnd"/>
      <w:r w:rsidRPr="00195A83">
        <w:rPr>
          <w:rFonts w:ascii="Calibri" w:eastAsia="Times New Roman" w:hAnsi="Calibri" w:cs="Calibri"/>
          <w:b/>
          <w:bCs/>
          <w:iCs/>
          <w:color w:val="002060"/>
          <w:kern w:val="0"/>
          <w14:ligatures w14:val="none"/>
        </w:rPr>
        <w:t xml:space="preserve"> chave da Administração</w:t>
      </w:r>
      <w:bookmarkEnd w:id="438"/>
    </w:p>
    <w:p w14:paraId="07E8D347" w14:textId="77777777" w:rsidR="00195A83" w:rsidRPr="00195A83" w:rsidRDefault="00195A83" w:rsidP="00195A83">
      <w:pPr>
        <w:autoSpaceDE w:val="0"/>
        <w:autoSpaceDN w:val="0"/>
        <w:adjustRightInd w:val="0"/>
        <w:spacing w:after="0" w:line="240" w:lineRule="auto"/>
        <w:jc w:val="both"/>
        <w:rPr>
          <w:rFonts w:ascii="Calibri" w:eastAsia="Times New Roman" w:hAnsi="Calibri" w:cs="Calibri"/>
          <w:iCs/>
          <w:color w:val="002060"/>
          <w:kern w:val="0"/>
          <w14:ligatures w14:val="none"/>
        </w:rPr>
      </w:pPr>
      <w:r w:rsidRPr="00195A83">
        <w:rPr>
          <w:rFonts w:ascii="Calibri" w:eastAsia="Times New Roman" w:hAnsi="Calibri" w:cs="Calibri"/>
          <w:iCs/>
          <w:color w:val="002060"/>
          <w:kern w:val="0"/>
          <w14:ligatures w14:val="none"/>
        </w:rPr>
        <w:t>A Companhia não possui transações de empréstimos ou outras transações com diretores/conselheiros ou familiares imediatos.</w:t>
      </w:r>
    </w:p>
    <w:p w14:paraId="219039AD" w14:textId="25C679F6" w:rsidR="000966EF" w:rsidRPr="00195A83" w:rsidRDefault="00195A83" w:rsidP="00195A83">
      <w:pPr>
        <w:autoSpaceDE w:val="0"/>
        <w:autoSpaceDN w:val="0"/>
        <w:adjustRightInd w:val="0"/>
        <w:spacing w:after="0" w:line="240" w:lineRule="auto"/>
        <w:jc w:val="both"/>
        <w:rPr>
          <w:rFonts w:ascii="Calibri" w:eastAsia="Times New Roman" w:hAnsi="Calibri" w:cs="Calibri"/>
          <w:iCs/>
          <w:color w:val="002060"/>
          <w:kern w:val="0"/>
          <w14:ligatures w14:val="none"/>
        </w:rPr>
      </w:pPr>
      <w:r w:rsidRPr="00195A83">
        <w:rPr>
          <w:rFonts w:ascii="Calibri" w:eastAsia="Times New Roman" w:hAnsi="Calibri" w:cs="Calibri"/>
          <w:iCs/>
          <w:color w:val="002060"/>
          <w:kern w:val="0"/>
          <w14:ligatures w14:val="none"/>
        </w:rPr>
        <w:t>As remunerações dos administradores, responsáveis pelo planejamento, direção e controle das atividades da Companhia, que incluem os membros do conselho de administração, conselho fiscal e diretores estatutários, estão apresentadas a seguir:</w:t>
      </w:r>
    </w:p>
    <w:tbl>
      <w:tblPr>
        <w:tblW w:w="5000" w:type="pct"/>
        <w:tblCellMar>
          <w:left w:w="70" w:type="dxa"/>
          <w:right w:w="70" w:type="dxa"/>
        </w:tblCellMar>
        <w:tblLook w:val="04A0" w:firstRow="1" w:lastRow="0" w:firstColumn="1" w:lastColumn="0" w:noHBand="0" w:noVBand="1"/>
      </w:tblPr>
      <w:tblGrid>
        <w:gridCol w:w="6840"/>
        <w:gridCol w:w="1486"/>
        <w:gridCol w:w="1435"/>
      </w:tblGrid>
      <w:tr w:rsidR="000966EF" w:rsidRPr="000966EF" w14:paraId="6039FCFF" w14:textId="77777777" w:rsidTr="00446A14">
        <w:trPr>
          <w:trHeight w:val="238"/>
          <w:tblHeader/>
        </w:trPr>
        <w:tc>
          <w:tcPr>
            <w:tcW w:w="3504" w:type="pct"/>
            <w:tcBorders>
              <w:top w:val="single" w:sz="8" w:space="0" w:color="auto"/>
              <w:left w:val="single" w:sz="8" w:space="0" w:color="auto"/>
              <w:bottom w:val="single" w:sz="8" w:space="0" w:color="auto"/>
              <w:right w:val="single" w:sz="8" w:space="0" w:color="auto"/>
            </w:tcBorders>
            <w:shd w:val="clear" w:color="000000" w:fill="D8D8D8"/>
            <w:noWrap/>
            <w:vAlign w:val="center"/>
            <w:hideMark/>
          </w:tcPr>
          <w:p w14:paraId="796D5C80" w14:textId="77777777" w:rsidR="000966EF" w:rsidRPr="000966EF" w:rsidRDefault="000966EF" w:rsidP="000966EF">
            <w:pPr>
              <w:spacing w:after="0" w:line="240" w:lineRule="auto"/>
              <w:rPr>
                <w:rFonts w:ascii="Arial" w:eastAsia="Times New Roman" w:hAnsi="Arial" w:cs="Arial"/>
                <w:b/>
                <w:bCs/>
                <w:color w:val="000000"/>
                <w:kern w:val="0"/>
                <w:sz w:val="18"/>
                <w:szCs w:val="18"/>
                <w:lang w:eastAsia="pt-BR"/>
                <w14:ligatures w14:val="none"/>
              </w:rPr>
            </w:pPr>
            <w:r w:rsidRPr="000966EF">
              <w:rPr>
                <w:rFonts w:ascii="Arial" w:eastAsia="Times New Roman" w:hAnsi="Arial" w:cs="Arial"/>
                <w:b/>
                <w:bCs/>
                <w:color w:val="000000"/>
                <w:kern w:val="0"/>
                <w:sz w:val="18"/>
                <w:szCs w:val="18"/>
                <w:lang w:eastAsia="pt-BR"/>
                <w14:ligatures w14:val="none"/>
              </w:rPr>
              <w:t>Remunerações/Benefícios </w:t>
            </w:r>
          </w:p>
        </w:tc>
        <w:tc>
          <w:tcPr>
            <w:tcW w:w="761" w:type="pct"/>
            <w:tcBorders>
              <w:top w:val="single" w:sz="8" w:space="0" w:color="auto"/>
              <w:left w:val="nil"/>
              <w:bottom w:val="single" w:sz="8" w:space="0" w:color="auto"/>
              <w:right w:val="single" w:sz="8" w:space="0" w:color="auto"/>
            </w:tcBorders>
            <w:shd w:val="clear" w:color="auto" w:fill="auto"/>
            <w:noWrap/>
            <w:vAlign w:val="center"/>
            <w:hideMark/>
          </w:tcPr>
          <w:p w14:paraId="7382906F" w14:textId="77777777" w:rsidR="000966EF" w:rsidRPr="000966EF" w:rsidRDefault="000966EF" w:rsidP="000966EF">
            <w:pPr>
              <w:spacing w:after="0" w:line="240" w:lineRule="auto"/>
              <w:jc w:val="center"/>
              <w:rPr>
                <w:rFonts w:ascii="Arial" w:eastAsia="Times New Roman" w:hAnsi="Arial" w:cs="Arial"/>
                <w:b/>
                <w:bCs/>
                <w:color w:val="000000"/>
                <w:kern w:val="0"/>
                <w:sz w:val="18"/>
                <w:szCs w:val="18"/>
                <w:lang w:eastAsia="pt-BR"/>
                <w14:ligatures w14:val="none"/>
              </w:rPr>
            </w:pPr>
            <w:r w:rsidRPr="000966EF">
              <w:rPr>
                <w:rFonts w:ascii="Arial" w:eastAsia="Times New Roman" w:hAnsi="Arial" w:cs="Arial"/>
                <w:b/>
                <w:bCs/>
                <w:color w:val="000000"/>
                <w:kern w:val="0"/>
                <w:sz w:val="18"/>
                <w:szCs w:val="18"/>
                <w:lang w:eastAsia="pt-BR"/>
                <w14:ligatures w14:val="none"/>
              </w:rPr>
              <w:t>31/12/2023</w:t>
            </w:r>
          </w:p>
        </w:tc>
        <w:tc>
          <w:tcPr>
            <w:tcW w:w="735" w:type="pct"/>
            <w:tcBorders>
              <w:top w:val="single" w:sz="8" w:space="0" w:color="auto"/>
              <w:left w:val="nil"/>
              <w:bottom w:val="single" w:sz="8" w:space="0" w:color="auto"/>
              <w:right w:val="single" w:sz="8" w:space="0" w:color="auto"/>
            </w:tcBorders>
            <w:shd w:val="clear" w:color="auto" w:fill="auto"/>
            <w:noWrap/>
            <w:vAlign w:val="center"/>
            <w:hideMark/>
          </w:tcPr>
          <w:p w14:paraId="72EBEEED" w14:textId="77777777" w:rsidR="000966EF" w:rsidRPr="000966EF" w:rsidRDefault="000966EF" w:rsidP="000966EF">
            <w:pPr>
              <w:spacing w:after="0" w:line="240" w:lineRule="auto"/>
              <w:jc w:val="center"/>
              <w:rPr>
                <w:rFonts w:ascii="Arial" w:eastAsia="Times New Roman" w:hAnsi="Arial" w:cs="Arial"/>
                <w:b/>
                <w:bCs/>
                <w:color w:val="000000"/>
                <w:kern w:val="0"/>
                <w:sz w:val="18"/>
                <w:szCs w:val="18"/>
                <w:lang w:eastAsia="pt-BR"/>
                <w14:ligatures w14:val="none"/>
              </w:rPr>
            </w:pPr>
            <w:r w:rsidRPr="000966EF">
              <w:rPr>
                <w:rFonts w:ascii="Arial" w:eastAsia="Times New Roman" w:hAnsi="Arial" w:cs="Arial"/>
                <w:b/>
                <w:bCs/>
                <w:color w:val="000000"/>
                <w:kern w:val="0"/>
                <w:sz w:val="18"/>
                <w:szCs w:val="18"/>
                <w:lang w:eastAsia="pt-BR"/>
                <w14:ligatures w14:val="none"/>
              </w:rPr>
              <w:t>31/12/2022</w:t>
            </w:r>
          </w:p>
        </w:tc>
      </w:tr>
      <w:tr w:rsidR="000966EF" w:rsidRPr="000966EF" w14:paraId="1D693C20" w14:textId="77777777" w:rsidTr="00446A14">
        <w:trPr>
          <w:trHeight w:val="238"/>
        </w:trPr>
        <w:tc>
          <w:tcPr>
            <w:tcW w:w="3504" w:type="pct"/>
            <w:tcBorders>
              <w:top w:val="nil"/>
              <w:left w:val="single" w:sz="8" w:space="0" w:color="auto"/>
              <w:bottom w:val="single" w:sz="8" w:space="0" w:color="auto"/>
              <w:right w:val="single" w:sz="8" w:space="0" w:color="auto"/>
            </w:tcBorders>
            <w:shd w:val="clear" w:color="auto" w:fill="auto"/>
            <w:noWrap/>
            <w:vAlign w:val="center"/>
            <w:hideMark/>
          </w:tcPr>
          <w:p w14:paraId="2BABA911" w14:textId="77777777" w:rsidR="000966EF" w:rsidRPr="000966EF" w:rsidRDefault="000966EF" w:rsidP="000966EF">
            <w:pPr>
              <w:spacing w:after="0" w:line="240" w:lineRule="auto"/>
              <w:rPr>
                <w:rFonts w:ascii="Arial" w:eastAsia="Times New Roman" w:hAnsi="Arial" w:cs="Arial"/>
                <w:color w:val="000000"/>
                <w:kern w:val="0"/>
                <w:sz w:val="18"/>
                <w:szCs w:val="18"/>
                <w:lang w:eastAsia="pt-BR"/>
                <w14:ligatures w14:val="none"/>
              </w:rPr>
            </w:pPr>
            <w:r w:rsidRPr="000966EF">
              <w:rPr>
                <w:rFonts w:ascii="Arial" w:eastAsia="Times New Roman" w:hAnsi="Arial" w:cs="Arial"/>
                <w:color w:val="000000"/>
                <w:kern w:val="0"/>
                <w:sz w:val="18"/>
                <w:szCs w:val="18"/>
                <w:lang w:eastAsia="pt-BR"/>
                <w14:ligatures w14:val="none"/>
              </w:rPr>
              <w:t>Remunerações</w:t>
            </w:r>
          </w:p>
        </w:tc>
        <w:tc>
          <w:tcPr>
            <w:tcW w:w="761" w:type="pct"/>
            <w:tcBorders>
              <w:top w:val="nil"/>
              <w:left w:val="nil"/>
              <w:bottom w:val="single" w:sz="8" w:space="0" w:color="auto"/>
              <w:right w:val="single" w:sz="8" w:space="0" w:color="auto"/>
            </w:tcBorders>
            <w:shd w:val="clear" w:color="auto" w:fill="auto"/>
            <w:noWrap/>
            <w:vAlign w:val="bottom"/>
            <w:hideMark/>
          </w:tcPr>
          <w:p w14:paraId="7381B043" w14:textId="77777777" w:rsidR="000966EF" w:rsidRPr="000966EF" w:rsidRDefault="000966EF" w:rsidP="000966EF">
            <w:pPr>
              <w:spacing w:after="0" w:line="240" w:lineRule="auto"/>
              <w:jc w:val="right"/>
              <w:rPr>
                <w:rFonts w:ascii="Arial" w:eastAsia="Times New Roman" w:hAnsi="Arial" w:cs="Arial"/>
                <w:color w:val="000000"/>
                <w:kern w:val="0"/>
                <w:sz w:val="18"/>
                <w:szCs w:val="18"/>
                <w:lang w:eastAsia="pt-BR"/>
                <w14:ligatures w14:val="none"/>
              </w:rPr>
            </w:pPr>
            <w:r w:rsidRPr="000966EF">
              <w:rPr>
                <w:rFonts w:ascii="Arial" w:eastAsia="Times New Roman" w:hAnsi="Arial" w:cs="Arial"/>
                <w:color w:val="000000"/>
                <w:kern w:val="0"/>
                <w:sz w:val="18"/>
                <w:szCs w:val="18"/>
                <w:lang w:eastAsia="pt-BR"/>
                <w14:ligatures w14:val="none"/>
              </w:rPr>
              <w:t>3.363</w:t>
            </w:r>
          </w:p>
        </w:tc>
        <w:tc>
          <w:tcPr>
            <w:tcW w:w="735" w:type="pct"/>
            <w:tcBorders>
              <w:top w:val="nil"/>
              <w:left w:val="nil"/>
              <w:bottom w:val="single" w:sz="8" w:space="0" w:color="auto"/>
              <w:right w:val="single" w:sz="8" w:space="0" w:color="auto"/>
            </w:tcBorders>
            <w:shd w:val="clear" w:color="auto" w:fill="auto"/>
            <w:noWrap/>
            <w:vAlign w:val="center"/>
            <w:hideMark/>
          </w:tcPr>
          <w:p w14:paraId="5153F84B" w14:textId="77777777" w:rsidR="000966EF" w:rsidRPr="000966EF" w:rsidRDefault="000966EF" w:rsidP="000966EF">
            <w:pPr>
              <w:spacing w:after="0" w:line="240" w:lineRule="auto"/>
              <w:jc w:val="right"/>
              <w:rPr>
                <w:rFonts w:ascii="Arial" w:eastAsia="Times New Roman" w:hAnsi="Arial" w:cs="Arial"/>
                <w:color w:val="000000"/>
                <w:kern w:val="0"/>
                <w:sz w:val="18"/>
                <w:szCs w:val="18"/>
                <w:lang w:eastAsia="pt-BR"/>
                <w14:ligatures w14:val="none"/>
              </w:rPr>
            </w:pPr>
            <w:r w:rsidRPr="000966EF">
              <w:rPr>
                <w:rFonts w:ascii="Arial" w:eastAsia="Times New Roman" w:hAnsi="Arial" w:cs="Arial"/>
                <w:color w:val="000000"/>
                <w:kern w:val="0"/>
                <w:sz w:val="18"/>
                <w:szCs w:val="18"/>
                <w:lang w:eastAsia="pt-BR"/>
                <w14:ligatures w14:val="none"/>
              </w:rPr>
              <w:t>2.581</w:t>
            </w:r>
          </w:p>
        </w:tc>
      </w:tr>
      <w:tr w:rsidR="000966EF" w:rsidRPr="000966EF" w14:paraId="7437FBDC" w14:textId="77777777" w:rsidTr="00446A14">
        <w:trPr>
          <w:trHeight w:val="238"/>
        </w:trPr>
        <w:tc>
          <w:tcPr>
            <w:tcW w:w="3504" w:type="pct"/>
            <w:tcBorders>
              <w:top w:val="nil"/>
              <w:left w:val="single" w:sz="8" w:space="0" w:color="auto"/>
              <w:bottom w:val="single" w:sz="8" w:space="0" w:color="auto"/>
              <w:right w:val="single" w:sz="8" w:space="0" w:color="auto"/>
            </w:tcBorders>
            <w:shd w:val="clear" w:color="auto" w:fill="auto"/>
            <w:noWrap/>
            <w:vAlign w:val="center"/>
            <w:hideMark/>
          </w:tcPr>
          <w:p w14:paraId="69345A29" w14:textId="77777777" w:rsidR="000966EF" w:rsidRPr="000966EF" w:rsidRDefault="000966EF" w:rsidP="000966EF">
            <w:pPr>
              <w:spacing w:after="0" w:line="240" w:lineRule="auto"/>
              <w:rPr>
                <w:rFonts w:ascii="Arial" w:eastAsia="Times New Roman" w:hAnsi="Arial" w:cs="Arial"/>
                <w:color w:val="000000"/>
                <w:kern w:val="0"/>
                <w:sz w:val="18"/>
                <w:szCs w:val="18"/>
                <w:lang w:eastAsia="pt-BR"/>
                <w14:ligatures w14:val="none"/>
              </w:rPr>
            </w:pPr>
            <w:r w:rsidRPr="000966EF">
              <w:rPr>
                <w:rFonts w:ascii="Arial" w:eastAsia="Times New Roman" w:hAnsi="Arial" w:cs="Arial"/>
                <w:color w:val="000000"/>
                <w:kern w:val="0"/>
                <w:sz w:val="18"/>
                <w:szCs w:val="18"/>
                <w:lang w:eastAsia="pt-BR"/>
                <w14:ligatures w14:val="none"/>
              </w:rPr>
              <w:t>Benefícios de Curto Prazo</w:t>
            </w:r>
          </w:p>
        </w:tc>
        <w:tc>
          <w:tcPr>
            <w:tcW w:w="761" w:type="pct"/>
            <w:tcBorders>
              <w:top w:val="nil"/>
              <w:left w:val="nil"/>
              <w:bottom w:val="single" w:sz="8" w:space="0" w:color="auto"/>
              <w:right w:val="single" w:sz="8" w:space="0" w:color="auto"/>
            </w:tcBorders>
            <w:shd w:val="clear" w:color="auto" w:fill="auto"/>
            <w:noWrap/>
            <w:vAlign w:val="bottom"/>
            <w:hideMark/>
          </w:tcPr>
          <w:p w14:paraId="1873BC20" w14:textId="77777777" w:rsidR="000966EF" w:rsidRPr="000966EF" w:rsidRDefault="000966EF" w:rsidP="000966EF">
            <w:pPr>
              <w:spacing w:after="0" w:line="240" w:lineRule="auto"/>
              <w:jc w:val="right"/>
              <w:rPr>
                <w:rFonts w:ascii="Arial" w:eastAsia="Times New Roman" w:hAnsi="Arial" w:cs="Arial"/>
                <w:color w:val="000000"/>
                <w:kern w:val="0"/>
                <w:sz w:val="18"/>
                <w:szCs w:val="18"/>
                <w:lang w:eastAsia="pt-BR"/>
                <w14:ligatures w14:val="none"/>
              </w:rPr>
            </w:pPr>
            <w:r w:rsidRPr="000966EF">
              <w:rPr>
                <w:rFonts w:ascii="Arial" w:eastAsia="Times New Roman" w:hAnsi="Arial" w:cs="Arial"/>
                <w:color w:val="000000"/>
                <w:kern w:val="0"/>
                <w:sz w:val="18"/>
                <w:szCs w:val="18"/>
                <w:lang w:eastAsia="pt-BR"/>
                <w14:ligatures w14:val="none"/>
              </w:rPr>
              <w:t>803</w:t>
            </w:r>
          </w:p>
        </w:tc>
        <w:tc>
          <w:tcPr>
            <w:tcW w:w="735" w:type="pct"/>
            <w:tcBorders>
              <w:top w:val="nil"/>
              <w:left w:val="nil"/>
              <w:bottom w:val="single" w:sz="8" w:space="0" w:color="auto"/>
              <w:right w:val="single" w:sz="8" w:space="0" w:color="auto"/>
            </w:tcBorders>
            <w:shd w:val="clear" w:color="auto" w:fill="auto"/>
            <w:noWrap/>
            <w:vAlign w:val="center"/>
            <w:hideMark/>
          </w:tcPr>
          <w:p w14:paraId="2B04DA50" w14:textId="77777777" w:rsidR="000966EF" w:rsidRPr="000966EF" w:rsidRDefault="000966EF" w:rsidP="000966EF">
            <w:pPr>
              <w:spacing w:after="0" w:line="240" w:lineRule="auto"/>
              <w:jc w:val="right"/>
              <w:rPr>
                <w:rFonts w:ascii="Arial" w:eastAsia="Times New Roman" w:hAnsi="Arial" w:cs="Arial"/>
                <w:color w:val="000000"/>
                <w:kern w:val="0"/>
                <w:sz w:val="18"/>
                <w:szCs w:val="18"/>
                <w:lang w:eastAsia="pt-BR"/>
                <w14:ligatures w14:val="none"/>
              </w:rPr>
            </w:pPr>
            <w:r w:rsidRPr="000966EF">
              <w:rPr>
                <w:rFonts w:ascii="Arial" w:eastAsia="Times New Roman" w:hAnsi="Arial" w:cs="Arial"/>
                <w:color w:val="000000"/>
                <w:kern w:val="0"/>
                <w:sz w:val="18"/>
                <w:szCs w:val="18"/>
                <w:lang w:eastAsia="pt-BR"/>
                <w14:ligatures w14:val="none"/>
              </w:rPr>
              <w:t>590</w:t>
            </w:r>
          </w:p>
        </w:tc>
      </w:tr>
      <w:tr w:rsidR="000966EF" w:rsidRPr="000966EF" w14:paraId="44B62215" w14:textId="77777777" w:rsidTr="00446A14">
        <w:trPr>
          <w:trHeight w:val="238"/>
        </w:trPr>
        <w:tc>
          <w:tcPr>
            <w:tcW w:w="3504" w:type="pct"/>
            <w:tcBorders>
              <w:top w:val="nil"/>
              <w:left w:val="single" w:sz="8" w:space="0" w:color="auto"/>
              <w:bottom w:val="single" w:sz="8" w:space="0" w:color="auto"/>
              <w:right w:val="single" w:sz="8" w:space="0" w:color="auto"/>
            </w:tcBorders>
            <w:shd w:val="clear" w:color="auto" w:fill="auto"/>
            <w:noWrap/>
            <w:vAlign w:val="center"/>
            <w:hideMark/>
          </w:tcPr>
          <w:p w14:paraId="22C62E18" w14:textId="77777777" w:rsidR="000966EF" w:rsidRPr="000966EF" w:rsidRDefault="000966EF" w:rsidP="000966EF">
            <w:pPr>
              <w:spacing w:after="0" w:line="240" w:lineRule="auto"/>
              <w:rPr>
                <w:rFonts w:ascii="Arial" w:eastAsia="Times New Roman" w:hAnsi="Arial" w:cs="Arial"/>
                <w:b/>
                <w:bCs/>
                <w:color w:val="000000"/>
                <w:kern w:val="0"/>
                <w:sz w:val="18"/>
                <w:szCs w:val="18"/>
                <w:lang w:eastAsia="pt-BR"/>
                <w14:ligatures w14:val="none"/>
              </w:rPr>
            </w:pPr>
            <w:r w:rsidRPr="000966EF">
              <w:rPr>
                <w:rFonts w:ascii="Arial" w:eastAsia="Times New Roman" w:hAnsi="Arial" w:cs="Arial"/>
                <w:b/>
                <w:bCs/>
                <w:color w:val="000000"/>
                <w:kern w:val="0"/>
                <w:sz w:val="18"/>
                <w:szCs w:val="18"/>
                <w:lang w:eastAsia="pt-BR"/>
                <w14:ligatures w14:val="none"/>
              </w:rPr>
              <w:t>Total</w:t>
            </w:r>
          </w:p>
        </w:tc>
        <w:tc>
          <w:tcPr>
            <w:tcW w:w="761" w:type="pct"/>
            <w:tcBorders>
              <w:top w:val="nil"/>
              <w:left w:val="nil"/>
              <w:bottom w:val="single" w:sz="8" w:space="0" w:color="auto"/>
              <w:right w:val="single" w:sz="8" w:space="0" w:color="auto"/>
            </w:tcBorders>
            <w:shd w:val="clear" w:color="auto" w:fill="auto"/>
            <w:noWrap/>
            <w:vAlign w:val="bottom"/>
            <w:hideMark/>
          </w:tcPr>
          <w:p w14:paraId="27E31C45" w14:textId="77777777" w:rsidR="000966EF" w:rsidRPr="000966EF" w:rsidRDefault="000966EF" w:rsidP="000966EF">
            <w:pPr>
              <w:spacing w:after="0" w:line="240" w:lineRule="auto"/>
              <w:jc w:val="right"/>
              <w:rPr>
                <w:rFonts w:ascii="Arial" w:eastAsia="Times New Roman" w:hAnsi="Arial" w:cs="Arial"/>
                <w:b/>
                <w:bCs/>
                <w:color w:val="000000"/>
                <w:kern w:val="0"/>
                <w:sz w:val="18"/>
                <w:szCs w:val="18"/>
                <w:lang w:eastAsia="pt-BR"/>
                <w14:ligatures w14:val="none"/>
              </w:rPr>
            </w:pPr>
            <w:r w:rsidRPr="000966EF">
              <w:rPr>
                <w:rFonts w:ascii="Arial" w:eastAsia="Times New Roman" w:hAnsi="Arial" w:cs="Arial"/>
                <w:b/>
                <w:color w:val="000000"/>
                <w:kern w:val="0"/>
                <w:sz w:val="18"/>
                <w:szCs w:val="18"/>
                <w:lang w:eastAsia="pt-BR"/>
                <w14:ligatures w14:val="none"/>
              </w:rPr>
              <w:t>4.166</w:t>
            </w:r>
          </w:p>
        </w:tc>
        <w:tc>
          <w:tcPr>
            <w:tcW w:w="735" w:type="pct"/>
            <w:tcBorders>
              <w:top w:val="nil"/>
              <w:left w:val="nil"/>
              <w:bottom w:val="single" w:sz="8" w:space="0" w:color="auto"/>
              <w:right w:val="single" w:sz="8" w:space="0" w:color="auto"/>
            </w:tcBorders>
            <w:shd w:val="clear" w:color="auto" w:fill="auto"/>
            <w:noWrap/>
            <w:vAlign w:val="center"/>
            <w:hideMark/>
          </w:tcPr>
          <w:p w14:paraId="4EC05CD4" w14:textId="77777777" w:rsidR="000966EF" w:rsidRPr="000966EF" w:rsidRDefault="000966EF" w:rsidP="000966EF">
            <w:pPr>
              <w:spacing w:after="0" w:line="240" w:lineRule="auto"/>
              <w:jc w:val="right"/>
              <w:rPr>
                <w:rFonts w:ascii="Arial" w:eastAsia="Times New Roman" w:hAnsi="Arial" w:cs="Arial"/>
                <w:b/>
                <w:bCs/>
                <w:color w:val="000000"/>
                <w:kern w:val="0"/>
                <w:sz w:val="18"/>
                <w:szCs w:val="18"/>
                <w:lang w:eastAsia="pt-BR"/>
                <w14:ligatures w14:val="none"/>
              </w:rPr>
            </w:pPr>
            <w:r w:rsidRPr="000966EF">
              <w:rPr>
                <w:rFonts w:ascii="Arial" w:eastAsia="Times New Roman" w:hAnsi="Arial" w:cs="Arial"/>
                <w:b/>
                <w:bCs/>
                <w:color w:val="000000"/>
                <w:kern w:val="0"/>
                <w:sz w:val="18"/>
                <w:szCs w:val="18"/>
                <w:lang w:eastAsia="pt-BR"/>
                <w14:ligatures w14:val="none"/>
              </w:rPr>
              <w:t>3.171</w:t>
            </w:r>
          </w:p>
        </w:tc>
      </w:tr>
    </w:tbl>
    <w:p w14:paraId="62691806" w14:textId="36937349" w:rsidR="000966EF" w:rsidRPr="000966EF" w:rsidRDefault="000966EF" w:rsidP="000966EF">
      <w:pPr>
        <w:autoSpaceDE w:val="0"/>
        <w:autoSpaceDN w:val="0"/>
        <w:adjustRightInd w:val="0"/>
        <w:spacing w:after="0" w:line="240" w:lineRule="auto"/>
        <w:jc w:val="both"/>
        <w:rPr>
          <w:rFonts w:ascii="Calibri" w:eastAsia="Times New Roman" w:hAnsi="Calibri" w:cs="Calibri"/>
          <w:iCs/>
          <w:color w:val="002060"/>
          <w:kern w:val="0"/>
          <w14:ligatures w14:val="none"/>
        </w:rPr>
      </w:pPr>
      <w:r w:rsidRPr="000966EF">
        <w:rPr>
          <w:rFonts w:ascii="Calibri" w:eastAsia="Times New Roman" w:hAnsi="Calibri" w:cs="Calibri"/>
          <w:iCs/>
          <w:color w:val="002060"/>
          <w:kern w:val="0"/>
          <w14:ligatures w14:val="none"/>
        </w:rPr>
        <w:t>A Companhia concede benefícios pós-emprego aos dirigentes estatuários, mas não concede aos conselheiros.</w:t>
      </w:r>
    </w:p>
    <w:p w14:paraId="7CE5EDE9" w14:textId="2A366A0D" w:rsidR="000966EF" w:rsidRPr="000966EF" w:rsidRDefault="000966EF" w:rsidP="000966EF">
      <w:pPr>
        <w:autoSpaceDE w:val="0"/>
        <w:autoSpaceDN w:val="0"/>
        <w:adjustRightInd w:val="0"/>
        <w:spacing w:after="0" w:line="240" w:lineRule="auto"/>
        <w:jc w:val="both"/>
        <w:rPr>
          <w:rFonts w:ascii="Calibri" w:eastAsia="Times New Roman" w:hAnsi="Calibri" w:cs="Calibri"/>
          <w:b/>
          <w:bCs/>
          <w:iCs/>
          <w:color w:val="002060"/>
          <w:kern w:val="0"/>
          <w14:ligatures w14:val="none"/>
        </w:rPr>
      </w:pPr>
      <w:bookmarkStart w:id="439" w:name="_Toc491337784"/>
      <w:r>
        <w:rPr>
          <w:rFonts w:ascii="Calibri" w:eastAsia="Times New Roman" w:hAnsi="Calibri" w:cs="Calibri"/>
          <w:b/>
          <w:bCs/>
          <w:iCs/>
          <w:color w:val="002060"/>
          <w:kern w:val="0"/>
          <w14:ligatures w14:val="none"/>
        </w:rPr>
        <w:t xml:space="preserve">32.2. </w:t>
      </w:r>
      <w:r w:rsidRPr="000966EF">
        <w:rPr>
          <w:rFonts w:ascii="Calibri" w:eastAsia="Times New Roman" w:hAnsi="Calibri" w:cs="Calibri"/>
          <w:b/>
          <w:bCs/>
          <w:iCs/>
          <w:color w:val="002060"/>
          <w:kern w:val="0"/>
          <w14:ligatures w14:val="none"/>
        </w:rPr>
        <w:t>Transações com partes relacionadas</w:t>
      </w:r>
      <w:bookmarkEnd w:id="439"/>
    </w:p>
    <w:tbl>
      <w:tblPr>
        <w:tblW w:w="5000" w:type="pct"/>
        <w:tblCellMar>
          <w:left w:w="70" w:type="dxa"/>
          <w:right w:w="70" w:type="dxa"/>
        </w:tblCellMar>
        <w:tblLook w:val="04A0" w:firstRow="1" w:lastRow="0" w:firstColumn="1" w:lastColumn="0" w:noHBand="0" w:noVBand="1"/>
      </w:tblPr>
      <w:tblGrid>
        <w:gridCol w:w="6249"/>
        <w:gridCol w:w="1671"/>
        <w:gridCol w:w="1841"/>
      </w:tblGrid>
      <w:tr w:rsidR="000966EF" w:rsidRPr="000966EF" w14:paraId="2644E6E8" w14:textId="77777777" w:rsidTr="00446A14">
        <w:trPr>
          <w:trHeight w:val="238"/>
          <w:tblHeader/>
        </w:trPr>
        <w:tc>
          <w:tcPr>
            <w:tcW w:w="3200"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06AE01C4" w14:textId="77777777" w:rsidR="000966EF" w:rsidRPr="000966EF" w:rsidRDefault="000966EF" w:rsidP="000966EF">
            <w:pPr>
              <w:spacing w:after="0" w:line="240" w:lineRule="auto"/>
              <w:rPr>
                <w:rFonts w:ascii="Arial" w:eastAsia="Times New Roman" w:hAnsi="Arial" w:cs="Arial"/>
                <w:b/>
                <w:bCs/>
                <w:color w:val="000000"/>
                <w:kern w:val="0"/>
                <w:sz w:val="18"/>
                <w:szCs w:val="18"/>
                <w:lang w:eastAsia="pt-BR"/>
                <w14:ligatures w14:val="none"/>
              </w:rPr>
            </w:pPr>
            <w:r w:rsidRPr="000966EF">
              <w:rPr>
                <w:rFonts w:ascii="Arial" w:eastAsia="Times New Roman" w:hAnsi="Arial" w:cs="Arial"/>
                <w:b/>
                <w:bCs/>
                <w:color w:val="000000"/>
                <w:kern w:val="0"/>
                <w:sz w:val="18"/>
                <w:szCs w:val="18"/>
                <w:lang w:eastAsia="pt-BR"/>
                <w14:ligatures w14:val="none"/>
              </w:rPr>
              <w:t>Balanço Patrimonial</w:t>
            </w:r>
          </w:p>
        </w:tc>
        <w:tc>
          <w:tcPr>
            <w:tcW w:w="856" w:type="pct"/>
            <w:tcBorders>
              <w:top w:val="single" w:sz="8" w:space="0" w:color="auto"/>
              <w:left w:val="nil"/>
              <w:bottom w:val="single" w:sz="8" w:space="0" w:color="auto"/>
              <w:right w:val="single" w:sz="8" w:space="0" w:color="auto"/>
            </w:tcBorders>
            <w:shd w:val="clear" w:color="000000" w:fill="D9D9D9"/>
            <w:vAlign w:val="center"/>
            <w:hideMark/>
          </w:tcPr>
          <w:p w14:paraId="5C866051" w14:textId="77777777" w:rsidR="000966EF" w:rsidRPr="000966EF" w:rsidRDefault="000966EF" w:rsidP="000966EF">
            <w:pPr>
              <w:spacing w:after="0" w:line="240" w:lineRule="auto"/>
              <w:jc w:val="center"/>
              <w:rPr>
                <w:rFonts w:ascii="Arial" w:eastAsia="Times New Roman" w:hAnsi="Arial" w:cs="Arial"/>
                <w:b/>
                <w:bCs/>
                <w:color w:val="000000"/>
                <w:kern w:val="0"/>
                <w:sz w:val="18"/>
                <w:szCs w:val="18"/>
                <w:lang w:eastAsia="pt-BR"/>
                <w14:ligatures w14:val="none"/>
              </w:rPr>
            </w:pPr>
            <w:r w:rsidRPr="000966EF">
              <w:rPr>
                <w:rFonts w:ascii="Arial" w:eastAsia="Times New Roman" w:hAnsi="Arial" w:cs="Arial"/>
                <w:b/>
                <w:bCs/>
                <w:color w:val="000000"/>
                <w:kern w:val="0"/>
                <w:sz w:val="18"/>
                <w:szCs w:val="18"/>
                <w:lang w:eastAsia="pt-BR"/>
                <w14:ligatures w14:val="none"/>
              </w:rPr>
              <w:t>31/12/2023</w:t>
            </w:r>
          </w:p>
        </w:tc>
        <w:tc>
          <w:tcPr>
            <w:tcW w:w="943" w:type="pct"/>
            <w:tcBorders>
              <w:top w:val="single" w:sz="8" w:space="0" w:color="auto"/>
              <w:left w:val="nil"/>
              <w:bottom w:val="single" w:sz="8" w:space="0" w:color="auto"/>
              <w:right w:val="single" w:sz="8" w:space="0" w:color="auto"/>
            </w:tcBorders>
            <w:shd w:val="clear" w:color="000000" w:fill="D9D9D9"/>
            <w:vAlign w:val="center"/>
            <w:hideMark/>
          </w:tcPr>
          <w:p w14:paraId="2A29F265" w14:textId="77777777" w:rsidR="000966EF" w:rsidRPr="000966EF" w:rsidRDefault="000966EF" w:rsidP="000966EF">
            <w:pPr>
              <w:spacing w:after="0" w:line="240" w:lineRule="auto"/>
              <w:jc w:val="center"/>
              <w:rPr>
                <w:rFonts w:ascii="Arial" w:eastAsia="Times New Roman" w:hAnsi="Arial" w:cs="Arial"/>
                <w:b/>
                <w:bCs/>
                <w:color w:val="000000"/>
                <w:kern w:val="0"/>
                <w:sz w:val="18"/>
                <w:szCs w:val="18"/>
                <w:lang w:eastAsia="pt-BR"/>
                <w14:ligatures w14:val="none"/>
              </w:rPr>
            </w:pPr>
            <w:r w:rsidRPr="000966EF">
              <w:rPr>
                <w:rFonts w:ascii="Arial" w:eastAsia="Times New Roman" w:hAnsi="Arial" w:cs="Arial"/>
                <w:b/>
                <w:bCs/>
                <w:color w:val="000000"/>
                <w:kern w:val="0"/>
                <w:sz w:val="18"/>
                <w:szCs w:val="18"/>
                <w:lang w:eastAsia="pt-BR"/>
                <w14:ligatures w14:val="none"/>
              </w:rPr>
              <w:t xml:space="preserve">31/12/2022 </w:t>
            </w:r>
            <w:r w:rsidRPr="000966EF">
              <w:rPr>
                <w:rFonts w:ascii="Arial" w:eastAsia="Times New Roman" w:hAnsi="Arial" w:cs="Arial"/>
                <w:b/>
                <w:bCs/>
                <w:color w:val="000000"/>
                <w:kern w:val="0"/>
                <w:sz w:val="14"/>
                <w:szCs w:val="14"/>
                <w:lang w:eastAsia="pt-BR"/>
                <w14:ligatures w14:val="none"/>
              </w:rPr>
              <w:t>Reapresentado</w:t>
            </w:r>
          </w:p>
        </w:tc>
      </w:tr>
      <w:tr w:rsidR="000966EF" w:rsidRPr="000966EF" w14:paraId="0D797094" w14:textId="77777777" w:rsidTr="00446A14">
        <w:trPr>
          <w:trHeight w:val="238"/>
        </w:trPr>
        <w:tc>
          <w:tcPr>
            <w:tcW w:w="3200" w:type="pct"/>
            <w:tcBorders>
              <w:top w:val="nil"/>
              <w:left w:val="single" w:sz="8" w:space="0" w:color="auto"/>
              <w:bottom w:val="single" w:sz="8" w:space="0" w:color="auto"/>
              <w:right w:val="single" w:sz="8" w:space="0" w:color="auto"/>
            </w:tcBorders>
            <w:shd w:val="clear" w:color="000000" w:fill="D9D9D9"/>
            <w:noWrap/>
            <w:vAlign w:val="center"/>
            <w:hideMark/>
          </w:tcPr>
          <w:p w14:paraId="3C5B206F" w14:textId="77777777" w:rsidR="000966EF" w:rsidRPr="000966EF" w:rsidRDefault="000966EF" w:rsidP="000966EF">
            <w:pPr>
              <w:spacing w:after="0" w:line="240" w:lineRule="auto"/>
              <w:rPr>
                <w:rFonts w:ascii="Arial" w:eastAsia="Times New Roman" w:hAnsi="Arial" w:cs="Arial"/>
                <w:b/>
                <w:bCs/>
                <w:color w:val="000000"/>
                <w:kern w:val="0"/>
                <w:sz w:val="18"/>
                <w:szCs w:val="18"/>
                <w:lang w:eastAsia="pt-BR"/>
                <w14:ligatures w14:val="none"/>
              </w:rPr>
            </w:pPr>
            <w:r w:rsidRPr="000966EF">
              <w:rPr>
                <w:rFonts w:ascii="Arial" w:eastAsia="Times New Roman" w:hAnsi="Arial" w:cs="Arial"/>
                <w:b/>
                <w:bCs/>
                <w:color w:val="000000"/>
                <w:kern w:val="0"/>
                <w:sz w:val="18"/>
                <w:szCs w:val="18"/>
                <w:lang w:eastAsia="pt-BR"/>
                <w14:ligatures w14:val="none"/>
              </w:rPr>
              <w:t>Ativo</w:t>
            </w:r>
          </w:p>
        </w:tc>
        <w:tc>
          <w:tcPr>
            <w:tcW w:w="856" w:type="pct"/>
            <w:tcBorders>
              <w:top w:val="nil"/>
              <w:left w:val="nil"/>
              <w:bottom w:val="single" w:sz="8" w:space="0" w:color="auto"/>
              <w:right w:val="single" w:sz="8" w:space="0" w:color="auto"/>
            </w:tcBorders>
            <w:shd w:val="clear" w:color="000000" w:fill="D9D9D9"/>
            <w:noWrap/>
            <w:vAlign w:val="center"/>
            <w:hideMark/>
          </w:tcPr>
          <w:p w14:paraId="0EF8071D" w14:textId="77777777" w:rsidR="000966EF" w:rsidRPr="000966EF" w:rsidRDefault="000966EF" w:rsidP="000966EF">
            <w:pPr>
              <w:spacing w:after="0" w:line="240" w:lineRule="auto"/>
              <w:jc w:val="right"/>
              <w:rPr>
                <w:rFonts w:ascii="Arial" w:eastAsia="Times New Roman" w:hAnsi="Arial" w:cs="Arial"/>
                <w:b/>
                <w:bCs/>
                <w:color w:val="000000"/>
                <w:kern w:val="0"/>
                <w:sz w:val="18"/>
                <w:szCs w:val="18"/>
                <w:lang w:eastAsia="pt-BR"/>
                <w14:ligatures w14:val="none"/>
              </w:rPr>
            </w:pPr>
            <w:r w:rsidRPr="000966EF">
              <w:rPr>
                <w:rFonts w:ascii="Arial" w:eastAsia="Times New Roman" w:hAnsi="Arial" w:cs="Arial"/>
                <w:b/>
                <w:bCs/>
                <w:color w:val="000000"/>
                <w:kern w:val="0"/>
                <w:sz w:val="18"/>
                <w:szCs w:val="18"/>
                <w:lang w:eastAsia="pt-BR"/>
                <w14:ligatures w14:val="none"/>
              </w:rPr>
              <w:t xml:space="preserve">                153.831 </w:t>
            </w:r>
          </w:p>
        </w:tc>
        <w:tc>
          <w:tcPr>
            <w:tcW w:w="943" w:type="pct"/>
            <w:tcBorders>
              <w:top w:val="nil"/>
              <w:left w:val="nil"/>
              <w:bottom w:val="single" w:sz="8" w:space="0" w:color="auto"/>
              <w:right w:val="single" w:sz="8" w:space="0" w:color="auto"/>
            </w:tcBorders>
            <w:shd w:val="clear" w:color="000000" w:fill="D9D9D9"/>
            <w:noWrap/>
            <w:vAlign w:val="center"/>
            <w:hideMark/>
          </w:tcPr>
          <w:p w14:paraId="5C358D45" w14:textId="77777777" w:rsidR="000966EF" w:rsidRPr="000966EF" w:rsidRDefault="000966EF" w:rsidP="000966EF">
            <w:pPr>
              <w:spacing w:after="0" w:line="240" w:lineRule="auto"/>
              <w:jc w:val="right"/>
              <w:rPr>
                <w:rFonts w:ascii="Arial" w:eastAsia="Times New Roman" w:hAnsi="Arial" w:cs="Arial"/>
                <w:b/>
                <w:bCs/>
                <w:color w:val="000000"/>
                <w:kern w:val="0"/>
                <w:sz w:val="18"/>
                <w:szCs w:val="18"/>
                <w:lang w:eastAsia="pt-BR"/>
                <w14:ligatures w14:val="none"/>
              </w:rPr>
            </w:pPr>
            <w:r w:rsidRPr="000966EF">
              <w:rPr>
                <w:rFonts w:ascii="Arial" w:eastAsia="Times New Roman" w:hAnsi="Arial" w:cs="Arial"/>
                <w:b/>
                <w:bCs/>
                <w:color w:val="000000"/>
                <w:kern w:val="0"/>
                <w:sz w:val="18"/>
                <w:szCs w:val="18"/>
                <w:lang w:eastAsia="pt-BR"/>
                <w14:ligatures w14:val="none"/>
              </w:rPr>
              <w:t xml:space="preserve">                     90.195 </w:t>
            </w:r>
          </w:p>
        </w:tc>
      </w:tr>
      <w:tr w:rsidR="000966EF" w:rsidRPr="000966EF" w14:paraId="38FAFD05" w14:textId="77777777" w:rsidTr="00446A14">
        <w:trPr>
          <w:trHeight w:val="238"/>
        </w:trPr>
        <w:tc>
          <w:tcPr>
            <w:tcW w:w="3200" w:type="pct"/>
            <w:tcBorders>
              <w:top w:val="nil"/>
              <w:left w:val="single" w:sz="8" w:space="0" w:color="auto"/>
              <w:bottom w:val="single" w:sz="8" w:space="0" w:color="auto"/>
              <w:right w:val="single" w:sz="8" w:space="0" w:color="auto"/>
            </w:tcBorders>
            <w:shd w:val="clear" w:color="auto" w:fill="auto"/>
            <w:noWrap/>
            <w:vAlign w:val="center"/>
            <w:hideMark/>
          </w:tcPr>
          <w:p w14:paraId="06E08F72" w14:textId="77777777" w:rsidR="000966EF" w:rsidRPr="000966EF" w:rsidRDefault="000966EF" w:rsidP="000966EF">
            <w:pPr>
              <w:spacing w:after="0" w:line="240" w:lineRule="auto"/>
              <w:rPr>
                <w:rFonts w:ascii="Arial" w:eastAsia="Times New Roman" w:hAnsi="Arial" w:cs="Arial"/>
                <w:b/>
                <w:bCs/>
                <w:color w:val="000000"/>
                <w:kern w:val="0"/>
                <w:sz w:val="18"/>
                <w:szCs w:val="18"/>
                <w:lang w:eastAsia="pt-BR"/>
                <w14:ligatures w14:val="none"/>
              </w:rPr>
            </w:pPr>
            <w:r w:rsidRPr="000966EF">
              <w:rPr>
                <w:rFonts w:ascii="Arial" w:eastAsia="Times New Roman" w:hAnsi="Arial" w:cs="Arial"/>
                <w:b/>
                <w:bCs/>
                <w:color w:val="000000"/>
                <w:kern w:val="0"/>
                <w:sz w:val="18"/>
                <w:szCs w:val="18"/>
                <w:lang w:eastAsia="pt-BR"/>
                <w14:ligatures w14:val="none"/>
              </w:rPr>
              <w:t>a) Contas a Receber de Serviços</w:t>
            </w:r>
          </w:p>
        </w:tc>
        <w:tc>
          <w:tcPr>
            <w:tcW w:w="856" w:type="pct"/>
            <w:tcBorders>
              <w:top w:val="nil"/>
              <w:left w:val="nil"/>
              <w:bottom w:val="single" w:sz="8" w:space="0" w:color="auto"/>
              <w:right w:val="single" w:sz="8" w:space="0" w:color="auto"/>
            </w:tcBorders>
            <w:shd w:val="clear" w:color="auto" w:fill="auto"/>
            <w:noWrap/>
            <w:vAlign w:val="center"/>
            <w:hideMark/>
          </w:tcPr>
          <w:p w14:paraId="6FEBCC4C" w14:textId="77777777" w:rsidR="000966EF" w:rsidRPr="000966EF" w:rsidRDefault="000966EF" w:rsidP="000966EF">
            <w:pPr>
              <w:spacing w:after="0" w:line="240" w:lineRule="auto"/>
              <w:jc w:val="right"/>
              <w:rPr>
                <w:rFonts w:ascii="Arial" w:eastAsia="Times New Roman" w:hAnsi="Arial" w:cs="Arial"/>
                <w:b/>
                <w:bCs/>
                <w:color w:val="000000"/>
                <w:kern w:val="0"/>
                <w:sz w:val="18"/>
                <w:szCs w:val="18"/>
                <w:lang w:eastAsia="pt-BR"/>
                <w14:ligatures w14:val="none"/>
              </w:rPr>
            </w:pPr>
            <w:r w:rsidRPr="000966EF">
              <w:rPr>
                <w:rFonts w:ascii="Arial" w:eastAsia="Times New Roman" w:hAnsi="Arial" w:cs="Arial"/>
                <w:b/>
                <w:bCs/>
                <w:color w:val="000000"/>
                <w:kern w:val="0"/>
                <w:sz w:val="18"/>
                <w:szCs w:val="18"/>
                <w:lang w:eastAsia="pt-BR"/>
                <w14:ligatures w14:val="none"/>
              </w:rPr>
              <w:t xml:space="preserve">                129.799 </w:t>
            </w:r>
          </w:p>
        </w:tc>
        <w:tc>
          <w:tcPr>
            <w:tcW w:w="943" w:type="pct"/>
            <w:tcBorders>
              <w:top w:val="nil"/>
              <w:left w:val="nil"/>
              <w:bottom w:val="single" w:sz="8" w:space="0" w:color="auto"/>
              <w:right w:val="single" w:sz="8" w:space="0" w:color="auto"/>
            </w:tcBorders>
            <w:shd w:val="clear" w:color="auto" w:fill="auto"/>
            <w:noWrap/>
            <w:vAlign w:val="center"/>
            <w:hideMark/>
          </w:tcPr>
          <w:p w14:paraId="44096F2D" w14:textId="77777777" w:rsidR="000966EF" w:rsidRPr="000966EF" w:rsidRDefault="000966EF" w:rsidP="000966EF">
            <w:pPr>
              <w:spacing w:after="0" w:line="240" w:lineRule="auto"/>
              <w:jc w:val="right"/>
              <w:rPr>
                <w:rFonts w:ascii="Arial" w:eastAsia="Times New Roman" w:hAnsi="Arial" w:cs="Arial"/>
                <w:b/>
                <w:bCs/>
                <w:color w:val="000000"/>
                <w:kern w:val="0"/>
                <w:sz w:val="18"/>
                <w:szCs w:val="18"/>
                <w:lang w:eastAsia="pt-BR"/>
                <w14:ligatures w14:val="none"/>
              </w:rPr>
            </w:pPr>
            <w:r w:rsidRPr="000966EF">
              <w:rPr>
                <w:rFonts w:ascii="Arial" w:eastAsia="Times New Roman" w:hAnsi="Arial" w:cs="Arial"/>
                <w:b/>
                <w:bCs/>
                <w:color w:val="000000"/>
                <w:kern w:val="0"/>
                <w:sz w:val="18"/>
                <w:szCs w:val="18"/>
                <w:lang w:eastAsia="pt-BR"/>
                <w14:ligatures w14:val="none"/>
              </w:rPr>
              <w:t xml:space="preserve">                     68.646 </w:t>
            </w:r>
          </w:p>
        </w:tc>
      </w:tr>
      <w:tr w:rsidR="000966EF" w:rsidRPr="000966EF" w14:paraId="4156DAB5" w14:textId="77777777" w:rsidTr="00446A14">
        <w:trPr>
          <w:trHeight w:val="238"/>
        </w:trPr>
        <w:tc>
          <w:tcPr>
            <w:tcW w:w="3200" w:type="pct"/>
            <w:tcBorders>
              <w:top w:val="nil"/>
              <w:left w:val="single" w:sz="8" w:space="0" w:color="auto"/>
              <w:bottom w:val="single" w:sz="8" w:space="0" w:color="auto"/>
              <w:right w:val="single" w:sz="8" w:space="0" w:color="auto"/>
            </w:tcBorders>
            <w:shd w:val="clear" w:color="auto" w:fill="auto"/>
            <w:noWrap/>
            <w:vAlign w:val="center"/>
            <w:hideMark/>
          </w:tcPr>
          <w:p w14:paraId="0FC98355" w14:textId="77777777" w:rsidR="000966EF" w:rsidRPr="000966EF" w:rsidRDefault="000966EF" w:rsidP="000966EF">
            <w:pPr>
              <w:spacing w:after="0" w:line="240" w:lineRule="auto"/>
              <w:rPr>
                <w:rFonts w:ascii="Arial" w:eastAsia="Times New Roman" w:hAnsi="Arial" w:cs="Arial"/>
                <w:color w:val="000000"/>
                <w:kern w:val="0"/>
                <w:sz w:val="18"/>
                <w:szCs w:val="18"/>
                <w:lang w:eastAsia="pt-BR"/>
                <w14:ligatures w14:val="none"/>
              </w:rPr>
            </w:pPr>
            <w:r w:rsidRPr="000966EF">
              <w:rPr>
                <w:rFonts w:ascii="Arial" w:eastAsia="Times New Roman" w:hAnsi="Arial" w:cs="Arial"/>
                <w:color w:val="000000"/>
                <w:kern w:val="0"/>
                <w:sz w:val="18"/>
                <w:szCs w:val="18"/>
                <w:lang w:eastAsia="pt-BR"/>
                <w14:ligatures w14:val="none"/>
              </w:rPr>
              <w:t xml:space="preserve">  Entidades Governamentais:</w:t>
            </w:r>
          </w:p>
        </w:tc>
        <w:tc>
          <w:tcPr>
            <w:tcW w:w="856" w:type="pct"/>
            <w:tcBorders>
              <w:top w:val="nil"/>
              <w:left w:val="nil"/>
              <w:bottom w:val="single" w:sz="8" w:space="0" w:color="auto"/>
              <w:right w:val="single" w:sz="8" w:space="0" w:color="auto"/>
            </w:tcBorders>
            <w:shd w:val="clear" w:color="auto" w:fill="auto"/>
            <w:noWrap/>
            <w:vAlign w:val="center"/>
            <w:hideMark/>
          </w:tcPr>
          <w:p w14:paraId="40C0178A" w14:textId="77777777" w:rsidR="000966EF" w:rsidRPr="000966EF" w:rsidRDefault="000966EF" w:rsidP="000966EF">
            <w:pPr>
              <w:spacing w:after="0" w:line="240" w:lineRule="auto"/>
              <w:jc w:val="right"/>
              <w:rPr>
                <w:rFonts w:ascii="Arial" w:eastAsia="Times New Roman" w:hAnsi="Arial" w:cs="Arial"/>
                <w:color w:val="000000"/>
                <w:kern w:val="0"/>
                <w:sz w:val="18"/>
                <w:szCs w:val="18"/>
                <w:lang w:eastAsia="pt-BR"/>
                <w14:ligatures w14:val="none"/>
              </w:rPr>
            </w:pPr>
            <w:r w:rsidRPr="000966EF">
              <w:rPr>
                <w:rFonts w:ascii="Arial" w:eastAsia="Times New Roman" w:hAnsi="Arial" w:cs="Arial"/>
                <w:color w:val="000000"/>
                <w:kern w:val="0"/>
                <w:sz w:val="18"/>
                <w:szCs w:val="18"/>
                <w:lang w:eastAsia="pt-BR"/>
                <w14:ligatures w14:val="none"/>
              </w:rPr>
              <w:t xml:space="preserve">                  81.747 </w:t>
            </w:r>
          </w:p>
        </w:tc>
        <w:tc>
          <w:tcPr>
            <w:tcW w:w="943" w:type="pct"/>
            <w:tcBorders>
              <w:top w:val="nil"/>
              <w:left w:val="nil"/>
              <w:bottom w:val="single" w:sz="8" w:space="0" w:color="auto"/>
              <w:right w:val="single" w:sz="8" w:space="0" w:color="auto"/>
            </w:tcBorders>
            <w:shd w:val="clear" w:color="auto" w:fill="auto"/>
            <w:noWrap/>
            <w:vAlign w:val="center"/>
            <w:hideMark/>
          </w:tcPr>
          <w:p w14:paraId="2453E3CC" w14:textId="77777777" w:rsidR="000966EF" w:rsidRPr="000966EF" w:rsidRDefault="000966EF" w:rsidP="000966EF">
            <w:pPr>
              <w:spacing w:after="0" w:line="240" w:lineRule="auto"/>
              <w:jc w:val="right"/>
              <w:rPr>
                <w:rFonts w:ascii="Arial" w:eastAsia="Times New Roman" w:hAnsi="Arial" w:cs="Arial"/>
                <w:color w:val="000000"/>
                <w:kern w:val="0"/>
                <w:sz w:val="18"/>
                <w:szCs w:val="18"/>
                <w:lang w:eastAsia="pt-BR"/>
                <w14:ligatures w14:val="none"/>
              </w:rPr>
            </w:pPr>
            <w:r w:rsidRPr="000966EF">
              <w:rPr>
                <w:rFonts w:ascii="Arial" w:eastAsia="Times New Roman" w:hAnsi="Arial" w:cs="Arial"/>
                <w:color w:val="000000"/>
                <w:kern w:val="0"/>
                <w:sz w:val="18"/>
                <w:szCs w:val="18"/>
                <w:lang w:eastAsia="pt-BR"/>
                <w14:ligatures w14:val="none"/>
              </w:rPr>
              <w:t xml:space="preserve">                     40.059 </w:t>
            </w:r>
          </w:p>
        </w:tc>
      </w:tr>
      <w:tr w:rsidR="000966EF" w:rsidRPr="000966EF" w14:paraId="3456D1A5" w14:textId="77777777" w:rsidTr="00446A14">
        <w:trPr>
          <w:trHeight w:val="238"/>
        </w:trPr>
        <w:tc>
          <w:tcPr>
            <w:tcW w:w="3200" w:type="pct"/>
            <w:tcBorders>
              <w:top w:val="nil"/>
              <w:left w:val="single" w:sz="8" w:space="0" w:color="auto"/>
              <w:bottom w:val="single" w:sz="8" w:space="0" w:color="auto"/>
              <w:right w:val="single" w:sz="8" w:space="0" w:color="auto"/>
            </w:tcBorders>
            <w:shd w:val="clear" w:color="auto" w:fill="auto"/>
            <w:noWrap/>
            <w:vAlign w:val="center"/>
            <w:hideMark/>
          </w:tcPr>
          <w:p w14:paraId="3C11242D" w14:textId="77777777" w:rsidR="000966EF" w:rsidRPr="000966EF" w:rsidRDefault="000966EF" w:rsidP="000966EF">
            <w:pPr>
              <w:spacing w:after="0" w:line="240" w:lineRule="auto"/>
              <w:ind w:firstLineChars="200" w:firstLine="360"/>
              <w:rPr>
                <w:rFonts w:ascii="Arial" w:eastAsia="Times New Roman" w:hAnsi="Arial" w:cs="Arial"/>
                <w:color w:val="000000"/>
                <w:kern w:val="0"/>
                <w:sz w:val="18"/>
                <w:szCs w:val="18"/>
                <w:lang w:eastAsia="pt-BR"/>
                <w14:ligatures w14:val="none"/>
              </w:rPr>
            </w:pPr>
            <w:r w:rsidRPr="000966EF">
              <w:rPr>
                <w:rFonts w:ascii="Arial" w:eastAsia="Times New Roman" w:hAnsi="Arial" w:cs="Arial"/>
                <w:color w:val="000000"/>
                <w:kern w:val="0"/>
                <w:sz w:val="18"/>
                <w:szCs w:val="18"/>
                <w:lang w:eastAsia="pt-BR"/>
                <w14:ligatures w14:val="none"/>
              </w:rPr>
              <w:t>Ministérios</w:t>
            </w:r>
          </w:p>
        </w:tc>
        <w:tc>
          <w:tcPr>
            <w:tcW w:w="856" w:type="pct"/>
            <w:tcBorders>
              <w:top w:val="nil"/>
              <w:left w:val="nil"/>
              <w:bottom w:val="single" w:sz="8" w:space="0" w:color="auto"/>
              <w:right w:val="single" w:sz="8" w:space="0" w:color="auto"/>
            </w:tcBorders>
            <w:shd w:val="clear" w:color="auto" w:fill="auto"/>
            <w:noWrap/>
            <w:vAlign w:val="center"/>
            <w:hideMark/>
          </w:tcPr>
          <w:p w14:paraId="78A5A4B1" w14:textId="77777777" w:rsidR="000966EF" w:rsidRPr="000966EF" w:rsidRDefault="000966EF" w:rsidP="000966EF">
            <w:pPr>
              <w:spacing w:after="0" w:line="240" w:lineRule="auto"/>
              <w:jc w:val="right"/>
              <w:rPr>
                <w:rFonts w:ascii="Arial" w:eastAsia="Times New Roman" w:hAnsi="Arial" w:cs="Arial"/>
                <w:color w:val="000000"/>
                <w:kern w:val="0"/>
                <w:sz w:val="18"/>
                <w:szCs w:val="18"/>
                <w:lang w:eastAsia="pt-BR"/>
                <w14:ligatures w14:val="none"/>
              </w:rPr>
            </w:pPr>
            <w:r w:rsidRPr="000966EF">
              <w:rPr>
                <w:rFonts w:ascii="Arial" w:eastAsia="Times New Roman" w:hAnsi="Arial" w:cs="Arial"/>
                <w:color w:val="000000"/>
                <w:kern w:val="0"/>
                <w:sz w:val="18"/>
                <w:szCs w:val="18"/>
                <w:lang w:eastAsia="pt-BR"/>
                <w14:ligatures w14:val="none"/>
              </w:rPr>
              <w:t xml:space="preserve">                  76.242 </w:t>
            </w:r>
          </w:p>
        </w:tc>
        <w:tc>
          <w:tcPr>
            <w:tcW w:w="943" w:type="pct"/>
            <w:tcBorders>
              <w:top w:val="nil"/>
              <w:left w:val="nil"/>
              <w:bottom w:val="single" w:sz="8" w:space="0" w:color="auto"/>
              <w:right w:val="single" w:sz="8" w:space="0" w:color="auto"/>
            </w:tcBorders>
            <w:shd w:val="clear" w:color="auto" w:fill="auto"/>
            <w:noWrap/>
            <w:vAlign w:val="center"/>
            <w:hideMark/>
          </w:tcPr>
          <w:p w14:paraId="05AC0C0C" w14:textId="77777777" w:rsidR="000966EF" w:rsidRPr="000966EF" w:rsidRDefault="000966EF" w:rsidP="000966EF">
            <w:pPr>
              <w:spacing w:after="0" w:line="240" w:lineRule="auto"/>
              <w:jc w:val="right"/>
              <w:rPr>
                <w:rFonts w:ascii="Arial" w:eastAsia="Times New Roman" w:hAnsi="Arial" w:cs="Arial"/>
                <w:color w:val="000000"/>
                <w:kern w:val="0"/>
                <w:sz w:val="18"/>
                <w:szCs w:val="18"/>
                <w:lang w:eastAsia="pt-BR"/>
                <w14:ligatures w14:val="none"/>
              </w:rPr>
            </w:pPr>
            <w:r w:rsidRPr="000966EF">
              <w:rPr>
                <w:rFonts w:ascii="Arial" w:eastAsia="Times New Roman" w:hAnsi="Arial" w:cs="Arial"/>
                <w:color w:val="000000"/>
                <w:kern w:val="0"/>
                <w:sz w:val="18"/>
                <w:szCs w:val="18"/>
                <w:lang w:eastAsia="pt-BR"/>
                <w14:ligatures w14:val="none"/>
              </w:rPr>
              <w:t xml:space="preserve">                     33.412 </w:t>
            </w:r>
          </w:p>
        </w:tc>
      </w:tr>
      <w:tr w:rsidR="000966EF" w:rsidRPr="000966EF" w14:paraId="3DFE8F3B" w14:textId="77777777" w:rsidTr="00446A14">
        <w:trPr>
          <w:trHeight w:val="238"/>
        </w:trPr>
        <w:tc>
          <w:tcPr>
            <w:tcW w:w="3200" w:type="pct"/>
            <w:tcBorders>
              <w:top w:val="nil"/>
              <w:left w:val="single" w:sz="8" w:space="0" w:color="auto"/>
              <w:bottom w:val="single" w:sz="8" w:space="0" w:color="auto"/>
              <w:right w:val="single" w:sz="8" w:space="0" w:color="auto"/>
            </w:tcBorders>
            <w:shd w:val="clear" w:color="auto" w:fill="auto"/>
            <w:noWrap/>
            <w:vAlign w:val="center"/>
            <w:hideMark/>
          </w:tcPr>
          <w:p w14:paraId="01B58402" w14:textId="77777777" w:rsidR="000966EF" w:rsidRPr="000966EF" w:rsidRDefault="000966EF" w:rsidP="000966EF">
            <w:pPr>
              <w:spacing w:after="0" w:line="240" w:lineRule="auto"/>
              <w:ind w:firstLineChars="200" w:firstLine="360"/>
              <w:rPr>
                <w:rFonts w:ascii="Arial" w:eastAsia="Times New Roman" w:hAnsi="Arial" w:cs="Arial"/>
                <w:color w:val="000000"/>
                <w:kern w:val="0"/>
                <w:sz w:val="18"/>
                <w:szCs w:val="18"/>
                <w:lang w:eastAsia="pt-BR"/>
                <w14:ligatures w14:val="none"/>
              </w:rPr>
            </w:pPr>
            <w:r w:rsidRPr="000966EF">
              <w:rPr>
                <w:rFonts w:ascii="Arial" w:eastAsia="Times New Roman" w:hAnsi="Arial" w:cs="Arial"/>
                <w:color w:val="000000"/>
                <w:kern w:val="0"/>
                <w:sz w:val="18"/>
                <w:szCs w:val="18"/>
                <w:lang w:eastAsia="pt-BR"/>
                <w14:ligatures w14:val="none"/>
              </w:rPr>
              <w:t>Demais Entidades (i)</w:t>
            </w:r>
          </w:p>
        </w:tc>
        <w:tc>
          <w:tcPr>
            <w:tcW w:w="856" w:type="pct"/>
            <w:tcBorders>
              <w:top w:val="nil"/>
              <w:left w:val="nil"/>
              <w:bottom w:val="single" w:sz="8" w:space="0" w:color="auto"/>
              <w:right w:val="single" w:sz="8" w:space="0" w:color="auto"/>
            </w:tcBorders>
            <w:shd w:val="clear" w:color="auto" w:fill="auto"/>
            <w:noWrap/>
            <w:vAlign w:val="center"/>
            <w:hideMark/>
          </w:tcPr>
          <w:p w14:paraId="2B95E4C5" w14:textId="77777777" w:rsidR="000966EF" w:rsidRPr="000966EF" w:rsidRDefault="000966EF" w:rsidP="000966EF">
            <w:pPr>
              <w:spacing w:after="0" w:line="240" w:lineRule="auto"/>
              <w:jc w:val="right"/>
              <w:rPr>
                <w:rFonts w:ascii="Arial" w:eastAsia="Times New Roman" w:hAnsi="Arial" w:cs="Arial"/>
                <w:color w:val="000000"/>
                <w:kern w:val="0"/>
                <w:sz w:val="18"/>
                <w:szCs w:val="18"/>
                <w:lang w:eastAsia="pt-BR"/>
                <w14:ligatures w14:val="none"/>
              </w:rPr>
            </w:pPr>
            <w:r w:rsidRPr="000966EF">
              <w:rPr>
                <w:rFonts w:ascii="Arial" w:eastAsia="Times New Roman" w:hAnsi="Arial" w:cs="Arial"/>
                <w:color w:val="000000"/>
                <w:kern w:val="0"/>
                <w:sz w:val="18"/>
                <w:szCs w:val="18"/>
                <w:lang w:eastAsia="pt-BR"/>
                <w14:ligatures w14:val="none"/>
              </w:rPr>
              <w:t xml:space="preserve">                    5.505 </w:t>
            </w:r>
          </w:p>
        </w:tc>
        <w:tc>
          <w:tcPr>
            <w:tcW w:w="943" w:type="pct"/>
            <w:tcBorders>
              <w:top w:val="nil"/>
              <w:left w:val="nil"/>
              <w:bottom w:val="single" w:sz="8" w:space="0" w:color="auto"/>
              <w:right w:val="single" w:sz="8" w:space="0" w:color="auto"/>
            </w:tcBorders>
            <w:shd w:val="clear" w:color="auto" w:fill="auto"/>
            <w:noWrap/>
            <w:vAlign w:val="center"/>
            <w:hideMark/>
          </w:tcPr>
          <w:p w14:paraId="30761B35" w14:textId="77777777" w:rsidR="000966EF" w:rsidRPr="000966EF" w:rsidRDefault="000966EF" w:rsidP="000966EF">
            <w:pPr>
              <w:spacing w:after="0" w:line="240" w:lineRule="auto"/>
              <w:jc w:val="right"/>
              <w:rPr>
                <w:rFonts w:ascii="Arial" w:eastAsia="Times New Roman" w:hAnsi="Arial" w:cs="Arial"/>
                <w:color w:val="000000"/>
                <w:kern w:val="0"/>
                <w:sz w:val="18"/>
                <w:szCs w:val="18"/>
                <w:lang w:eastAsia="pt-BR"/>
                <w14:ligatures w14:val="none"/>
              </w:rPr>
            </w:pPr>
            <w:r w:rsidRPr="000966EF">
              <w:rPr>
                <w:rFonts w:ascii="Arial" w:eastAsia="Times New Roman" w:hAnsi="Arial" w:cs="Arial"/>
                <w:color w:val="000000"/>
                <w:kern w:val="0"/>
                <w:sz w:val="18"/>
                <w:szCs w:val="18"/>
                <w:lang w:eastAsia="pt-BR"/>
                <w14:ligatures w14:val="none"/>
              </w:rPr>
              <w:t xml:space="preserve">                       6.647 </w:t>
            </w:r>
          </w:p>
        </w:tc>
      </w:tr>
      <w:tr w:rsidR="000966EF" w:rsidRPr="000966EF" w14:paraId="7B15C7DC" w14:textId="77777777" w:rsidTr="00446A14">
        <w:trPr>
          <w:trHeight w:val="238"/>
        </w:trPr>
        <w:tc>
          <w:tcPr>
            <w:tcW w:w="3200" w:type="pct"/>
            <w:tcBorders>
              <w:top w:val="nil"/>
              <w:left w:val="single" w:sz="8" w:space="0" w:color="auto"/>
              <w:bottom w:val="single" w:sz="8" w:space="0" w:color="auto"/>
              <w:right w:val="single" w:sz="8" w:space="0" w:color="auto"/>
            </w:tcBorders>
            <w:shd w:val="clear" w:color="auto" w:fill="auto"/>
            <w:noWrap/>
            <w:vAlign w:val="center"/>
            <w:hideMark/>
          </w:tcPr>
          <w:p w14:paraId="69C98F24" w14:textId="77777777" w:rsidR="000966EF" w:rsidRPr="000966EF" w:rsidRDefault="000966EF" w:rsidP="000966EF">
            <w:pPr>
              <w:spacing w:after="0" w:line="240" w:lineRule="auto"/>
              <w:ind w:firstLineChars="100" w:firstLine="180"/>
              <w:rPr>
                <w:rFonts w:ascii="Arial" w:eastAsia="Times New Roman" w:hAnsi="Arial" w:cs="Arial"/>
                <w:color w:val="000000"/>
                <w:kern w:val="0"/>
                <w:sz w:val="18"/>
                <w:szCs w:val="18"/>
                <w:lang w:eastAsia="pt-BR"/>
                <w14:ligatures w14:val="none"/>
              </w:rPr>
            </w:pPr>
            <w:r w:rsidRPr="000966EF">
              <w:rPr>
                <w:rFonts w:ascii="Arial" w:eastAsia="Times New Roman" w:hAnsi="Arial" w:cs="Arial"/>
                <w:color w:val="000000"/>
                <w:kern w:val="0"/>
                <w:sz w:val="18"/>
                <w:szCs w:val="18"/>
                <w:lang w:eastAsia="pt-BR"/>
                <w14:ligatures w14:val="none"/>
              </w:rPr>
              <w:t>Empresa Brasileira de Hemoderivados e Biotecnologia - Hemobrás</w:t>
            </w:r>
          </w:p>
        </w:tc>
        <w:tc>
          <w:tcPr>
            <w:tcW w:w="856" w:type="pct"/>
            <w:tcBorders>
              <w:top w:val="nil"/>
              <w:left w:val="nil"/>
              <w:bottom w:val="single" w:sz="8" w:space="0" w:color="auto"/>
              <w:right w:val="single" w:sz="8" w:space="0" w:color="auto"/>
            </w:tcBorders>
            <w:shd w:val="clear" w:color="auto" w:fill="auto"/>
            <w:noWrap/>
            <w:vAlign w:val="center"/>
            <w:hideMark/>
          </w:tcPr>
          <w:p w14:paraId="74854792" w14:textId="77777777" w:rsidR="000966EF" w:rsidRPr="000966EF" w:rsidRDefault="000966EF" w:rsidP="000966EF">
            <w:pPr>
              <w:spacing w:after="0" w:line="240" w:lineRule="auto"/>
              <w:jc w:val="right"/>
              <w:rPr>
                <w:rFonts w:ascii="Arial" w:eastAsia="Times New Roman" w:hAnsi="Arial" w:cs="Arial"/>
                <w:color w:val="000000"/>
                <w:kern w:val="0"/>
                <w:sz w:val="18"/>
                <w:szCs w:val="18"/>
                <w:lang w:eastAsia="pt-BR"/>
                <w14:ligatures w14:val="none"/>
              </w:rPr>
            </w:pPr>
            <w:r w:rsidRPr="000966EF">
              <w:rPr>
                <w:rFonts w:ascii="Arial" w:eastAsia="Times New Roman" w:hAnsi="Arial" w:cs="Arial"/>
                <w:color w:val="000000"/>
                <w:kern w:val="0"/>
                <w:sz w:val="18"/>
                <w:szCs w:val="18"/>
                <w:lang w:eastAsia="pt-BR"/>
                <w14:ligatures w14:val="none"/>
              </w:rPr>
              <w:t xml:space="preserve">                            - </w:t>
            </w:r>
          </w:p>
        </w:tc>
        <w:tc>
          <w:tcPr>
            <w:tcW w:w="943" w:type="pct"/>
            <w:tcBorders>
              <w:top w:val="nil"/>
              <w:left w:val="nil"/>
              <w:bottom w:val="single" w:sz="8" w:space="0" w:color="auto"/>
              <w:right w:val="single" w:sz="8" w:space="0" w:color="auto"/>
            </w:tcBorders>
            <w:shd w:val="clear" w:color="auto" w:fill="auto"/>
            <w:noWrap/>
            <w:vAlign w:val="center"/>
            <w:hideMark/>
          </w:tcPr>
          <w:p w14:paraId="381790AB" w14:textId="77777777" w:rsidR="000966EF" w:rsidRPr="000966EF" w:rsidRDefault="000966EF" w:rsidP="000966EF">
            <w:pPr>
              <w:spacing w:after="0" w:line="240" w:lineRule="auto"/>
              <w:jc w:val="right"/>
              <w:rPr>
                <w:rFonts w:ascii="Arial" w:eastAsia="Times New Roman" w:hAnsi="Arial" w:cs="Arial"/>
                <w:color w:val="000000"/>
                <w:kern w:val="0"/>
                <w:sz w:val="18"/>
                <w:szCs w:val="18"/>
                <w:lang w:eastAsia="pt-BR"/>
                <w14:ligatures w14:val="none"/>
              </w:rPr>
            </w:pPr>
            <w:r w:rsidRPr="000966EF">
              <w:rPr>
                <w:rFonts w:ascii="Arial" w:eastAsia="Times New Roman" w:hAnsi="Arial" w:cs="Arial"/>
                <w:color w:val="000000"/>
                <w:kern w:val="0"/>
                <w:sz w:val="18"/>
                <w:szCs w:val="18"/>
                <w:lang w:eastAsia="pt-BR"/>
                <w14:ligatures w14:val="none"/>
              </w:rPr>
              <w:t xml:space="preserve">                              9 </w:t>
            </w:r>
          </w:p>
        </w:tc>
      </w:tr>
      <w:tr w:rsidR="000966EF" w:rsidRPr="000966EF" w14:paraId="4E157022" w14:textId="77777777" w:rsidTr="00446A14">
        <w:trPr>
          <w:trHeight w:val="238"/>
        </w:trPr>
        <w:tc>
          <w:tcPr>
            <w:tcW w:w="3200" w:type="pct"/>
            <w:tcBorders>
              <w:top w:val="nil"/>
              <w:left w:val="single" w:sz="8" w:space="0" w:color="auto"/>
              <w:bottom w:val="single" w:sz="8" w:space="0" w:color="auto"/>
              <w:right w:val="single" w:sz="8" w:space="0" w:color="auto"/>
            </w:tcBorders>
            <w:shd w:val="clear" w:color="auto" w:fill="auto"/>
            <w:noWrap/>
            <w:vAlign w:val="center"/>
            <w:hideMark/>
          </w:tcPr>
          <w:p w14:paraId="0DA137AA" w14:textId="77777777" w:rsidR="000966EF" w:rsidRPr="000966EF" w:rsidRDefault="000966EF" w:rsidP="000966EF">
            <w:pPr>
              <w:spacing w:after="0" w:line="240" w:lineRule="auto"/>
              <w:ind w:firstLineChars="100" w:firstLine="180"/>
              <w:rPr>
                <w:rFonts w:ascii="Arial" w:eastAsia="Times New Roman" w:hAnsi="Arial" w:cs="Arial"/>
                <w:color w:val="000000"/>
                <w:kern w:val="0"/>
                <w:sz w:val="18"/>
                <w:szCs w:val="18"/>
                <w:lang w:eastAsia="pt-BR"/>
                <w14:ligatures w14:val="none"/>
              </w:rPr>
            </w:pPr>
            <w:r w:rsidRPr="000966EF">
              <w:rPr>
                <w:rFonts w:ascii="Arial" w:eastAsia="Times New Roman" w:hAnsi="Arial" w:cs="Arial"/>
                <w:color w:val="000000"/>
                <w:kern w:val="0"/>
                <w:sz w:val="18"/>
                <w:szCs w:val="18"/>
                <w:lang w:eastAsia="pt-BR"/>
                <w14:ligatures w14:val="none"/>
              </w:rPr>
              <w:t>Serviço Federal de Processamento de Dados (SERPRO)</w:t>
            </w:r>
          </w:p>
        </w:tc>
        <w:tc>
          <w:tcPr>
            <w:tcW w:w="856" w:type="pct"/>
            <w:tcBorders>
              <w:top w:val="nil"/>
              <w:left w:val="nil"/>
              <w:bottom w:val="single" w:sz="8" w:space="0" w:color="auto"/>
              <w:right w:val="single" w:sz="8" w:space="0" w:color="auto"/>
            </w:tcBorders>
            <w:shd w:val="clear" w:color="auto" w:fill="auto"/>
            <w:noWrap/>
            <w:vAlign w:val="center"/>
            <w:hideMark/>
          </w:tcPr>
          <w:p w14:paraId="7CE1283B" w14:textId="77777777" w:rsidR="000966EF" w:rsidRPr="000966EF" w:rsidRDefault="000966EF" w:rsidP="000966EF">
            <w:pPr>
              <w:spacing w:after="0" w:line="240" w:lineRule="auto"/>
              <w:jc w:val="right"/>
              <w:rPr>
                <w:rFonts w:ascii="Arial" w:eastAsia="Times New Roman" w:hAnsi="Arial" w:cs="Arial"/>
                <w:color w:val="000000"/>
                <w:kern w:val="0"/>
                <w:sz w:val="18"/>
                <w:szCs w:val="18"/>
                <w:lang w:eastAsia="pt-BR"/>
                <w14:ligatures w14:val="none"/>
              </w:rPr>
            </w:pPr>
            <w:r w:rsidRPr="000966EF">
              <w:rPr>
                <w:rFonts w:ascii="Arial" w:eastAsia="Times New Roman" w:hAnsi="Arial" w:cs="Arial"/>
                <w:color w:val="000000"/>
                <w:kern w:val="0"/>
                <w:sz w:val="18"/>
                <w:szCs w:val="18"/>
                <w:lang w:eastAsia="pt-BR"/>
                <w14:ligatures w14:val="none"/>
              </w:rPr>
              <w:t xml:space="preserve">                            - </w:t>
            </w:r>
          </w:p>
        </w:tc>
        <w:tc>
          <w:tcPr>
            <w:tcW w:w="943" w:type="pct"/>
            <w:tcBorders>
              <w:top w:val="nil"/>
              <w:left w:val="nil"/>
              <w:bottom w:val="single" w:sz="8" w:space="0" w:color="auto"/>
              <w:right w:val="single" w:sz="8" w:space="0" w:color="auto"/>
            </w:tcBorders>
            <w:shd w:val="clear" w:color="auto" w:fill="auto"/>
            <w:noWrap/>
            <w:vAlign w:val="center"/>
            <w:hideMark/>
          </w:tcPr>
          <w:p w14:paraId="64D15778" w14:textId="77777777" w:rsidR="000966EF" w:rsidRPr="000966EF" w:rsidRDefault="000966EF" w:rsidP="000966EF">
            <w:pPr>
              <w:spacing w:after="0" w:line="240" w:lineRule="auto"/>
              <w:jc w:val="right"/>
              <w:rPr>
                <w:rFonts w:ascii="Arial" w:eastAsia="Times New Roman" w:hAnsi="Arial" w:cs="Arial"/>
                <w:color w:val="000000"/>
                <w:kern w:val="0"/>
                <w:sz w:val="18"/>
                <w:szCs w:val="18"/>
                <w:lang w:eastAsia="pt-BR"/>
                <w14:ligatures w14:val="none"/>
              </w:rPr>
            </w:pPr>
            <w:r w:rsidRPr="000966EF">
              <w:rPr>
                <w:rFonts w:ascii="Arial" w:eastAsia="Times New Roman" w:hAnsi="Arial" w:cs="Arial"/>
                <w:color w:val="000000"/>
                <w:kern w:val="0"/>
                <w:sz w:val="18"/>
                <w:szCs w:val="18"/>
                <w:lang w:eastAsia="pt-BR"/>
                <w14:ligatures w14:val="none"/>
              </w:rPr>
              <w:t xml:space="preserve">                            11 </w:t>
            </w:r>
          </w:p>
        </w:tc>
      </w:tr>
      <w:tr w:rsidR="000966EF" w:rsidRPr="000966EF" w14:paraId="12EE64D9" w14:textId="77777777" w:rsidTr="00446A14">
        <w:trPr>
          <w:trHeight w:val="238"/>
        </w:trPr>
        <w:tc>
          <w:tcPr>
            <w:tcW w:w="3200" w:type="pct"/>
            <w:tcBorders>
              <w:top w:val="nil"/>
              <w:left w:val="single" w:sz="8" w:space="0" w:color="auto"/>
              <w:bottom w:val="single" w:sz="8" w:space="0" w:color="auto"/>
              <w:right w:val="single" w:sz="8" w:space="0" w:color="auto"/>
            </w:tcBorders>
            <w:shd w:val="clear" w:color="auto" w:fill="auto"/>
            <w:noWrap/>
            <w:vAlign w:val="center"/>
            <w:hideMark/>
          </w:tcPr>
          <w:p w14:paraId="277BA484" w14:textId="77777777" w:rsidR="000966EF" w:rsidRPr="000966EF" w:rsidRDefault="000966EF" w:rsidP="000966EF">
            <w:pPr>
              <w:spacing w:after="0" w:line="240" w:lineRule="auto"/>
              <w:ind w:firstLineChars="100" w:firstLine="180"/>
              <w:rPr>
                <w:rFonts w:ascii="Arial" w:eastAsia="Times New Roman" w:hAnsi="Arial" w:cs="Arial"/>
                <w:color w:val="000000"/>
                <w:kern w:val="0"/>
                <w:sz w:val="18"/>
                <w:szCs w:val="18"/>
                <w:lang w:eastAsia="pt-BR"/>
                <w14:ligatures w14:val="none"/>
              </w:rPr>
            </w:pPr>
            <w:r w:rsidRPr="000966EF">
              <w:rPr>
                <w:rFonts w:ascii="Arial" w:eastAsia="Times New Roman" w:hAnsi="Arial" w:cs="Arial"/>
                <w:color w:val="000000"/>
                <w:kern w:val="0"/>
                <w:sz w:val="18"/>
                <w:szCs w:val="18"/>
                <w:lang w:eastAsia="pt-BR"/>
                <w14:ligatures w14:val="none"/>
              </w:rPr>
              <w:t>Empresas de Tecnologia da Informação da Prev. Social - Dataprev</w:t>
            </w:r>
          </w:p>
        </w:tc>
        <w:tc>
          <w:tcPr>
            <w:tcW w:w="856" w:type="pct"/>
            <w:tcBorders>
              <w:top w:val="nil"/>
              <w:left w:val="nil"/>
              <w:bottom w:val="single" w:sz="8" w:space="0" w:color="auto"/>
              <w:right w:val="single" w:sz="8" w:space="0" w:color="auto"/>
            </w:tcBorders>
            <w:shd w:val="clear" w:color="auto" w:fill="auto"/>
            <w:noWrap/>
            <w:vAlign w:val="center"/>
            <w:hideMark/>
          </w:tcPr>
          <w:p w14:paraId="4D631F77" w14:textId="77777777" w:rsidR="000966EF" w:rsidRPr="000966EF" w:rsidRDefault="000966EF" w:rsidP="000966EF">
            <w:pPr>
              <w:spacing w:after="0" w:line="240" w:lineRule="auto"/>
              <w:jc w:val="right"/>
              <w:rPr>
                <w:rFonts w:ascii="Arial" w:eastAsia="Times New Roman" w:hAnsi="Arial" w:cs="Arial"/>
                <w:color w:val="000000"/>
                <w:kern w:val="0"/>
                <w:sz w:val="18"/>
                <w:szCs w:val="18"/>
                <w:lang w:eastAsia="pt-BR"/>
                <w14:ligatures w14:val="none"/>
              </w:rPr>
            </w:pPr>
            <w:r w:rsidRPr="000966EF">
              <w:rPr>
                <w:rFonts w:ascii="Arial" w:eastAsia="Times New Roman" w:hAnsi="Arial" w:cs="Arial"/>
                <w:color w:val="000000"/>
                <w:kern w:val="0"/>
                <w:sz w:val="18"/>
                <w:szCs w:val="18"/>
                <w:lang w:eastAsia="pt-BR"/>
                <w14:ligatures w14:val="none"/>
              </w:rPr>
              <w:t xml:space="preserve">                  14.905 </w:t>
            </w:r>
          </w:p>
        </w:tc>
        <w:tc>
          <w:tcPr>
            <w:tcW w:w="943" w:type="pct"/>
            <w:tcBorders>
              <w:top w:val="nil"/>
              <w:left w:val="nil"/>
              <w:bottom w:val="single" w:sz="8" w:space="0" w:color="auto"/>
              <w:right w:val="single" w:sz="8" w:space="0" w:color="auto"/>
            </w:tcBorders>
            <w:shd w:val="clear" w:color="auto" w:fill="auto"/>
            <w:noWrap/>
            <w:vAlign w:val="center"/>
            <w:hideMark/>
          </w:tcPr>
          <w:p w14:paraId="6EBAE4F4" w14:textId="77777777" w:rsidR="000966EF" w:rsidRPr="000966EF" w:rsidRDefault="000966EF" w:rsidP="000966EF">
            <w:pPr>
              <w:spacing w:after="0" w:line="240" w:lineRule="auto"/>
              <w:jc w:val="right"/>
              <w:rPr>
                <w:rFonts w:ascii="Arial" w:eastAsia="Times New Roman" w:hAnsi="Arial" w:cs="Arial"/>
                <w:color w:val="000000"/>
                <w:kern w:val="0"/>
                <w:sz w:val="18"/>
                <w:szCs w:val="18"/>
                <w:lang w:eastAsia="pt-BR"/>
                <w14:ligatures w14:val="none"/>
              </w:rPr>
            </w:pPr>
            <w:r w:rsidRPr="000966EF">
              <w:rPr>
                <w:rFonts w:ascii="Arial" w:eastAsia="Times New Roman" w:hAnsi="Arial" w:cs="Arial"/>
                <w:color w:val="000000"/>
                <w:kern w:val="0"/>
                <w:sz w:val="18"/>
                <w:szCs w:val="18"/>
                <w:lang w:eastAsia="pt-BR"/>
                <w14:ligatures w14:val="none"/>
              </w:rPr>
              <w:t xml:space="preserve">                     28.567 </w:t>
            </w:r>
          </w:p>
        </w:tc>
      </w:tr>
      <w:tr w:rsidR="000966EF" w:rsidRPr="000966EF" w14:paraId="49D3DB3E" w14:textId="77777777" w:rsidTr="00446A14">
        <w:trPr>
          <w:trHeight w:val="238"/>
        </w:trPr>
        <w:tc>
          <w:tcPr>
            <w:tcW w:w="3200" w:type="pct"/>
            <w:tcBorders>
              <w:top w:val="nil"/>
              <w:left w:val="single" w:sz="8" w:space="0" w:color="auto"/>
              <w:bottom w:val="single" w:sz="8" w:space="0" w:color="auto"/>
              <w:right w:val="single" w:sz="8" w:space="0" w:color="auto"/>
            </w:tcBorders>
            <w:shd w:val="clear" w:color="auto" w:fill="auto"/>
            <w:noWrap/>
            <w:vAlign w:val="center"/>
            <w:hideMark/>
          </w:tcPr>
          <w:p w14:paraId="5E9F8437" w14:textId="77777777" w:rsidR="000966EF" w:rsidRPr="000966EF" w:rsidRDefault="000966EF" w:rsidP="000966EF">
            <w:pPr>
              <w:spacing w:after="0" w:line="240" w:lineRule="auto"/>
              <w:ind w:firstLineChars="100" w:firstLine="180"/>
              <w:rPr>
                <w:rFonts w:ascii="Arial" w:eastAsia="Times New Roman" w:hAnsi="Arial" w:cs="Arial"/>
                <w:color w:val="000000"/>
                <w:kern w:val="0"/>
                <w:sz w:val="18"/>
                <w:szCs w:val="18"/>
                <w:lang w:eastAsia="pt-BR"/>
                <w14:ligatures w14:val="none"/>
              </w:rPr>
            </w:pPr>
            <w:r w:rsidRPr="000966EF">
              <w:rPr>
                <w:rFonts w:ascii="Arial" w:eastAsia="Times New Roman" w:hAnsi="Arial" w:cs="Arial"/>
                <w:color w:val="000000"/>
                <w:kern w:val="0"/>
                <w:sz w:val="18"/>
                <w:szCs w:val="18"/>
                <w:lang w:eastAsia="pt-BR"/>
                <w14:ligatures w14:val="none"/>
              </w:rPr>
              <w:t>Instituto Nacional do Seguro Social - INSS</w:t>
            </w:r>
          </w:p>
        </w:tc>
        <w:tc>
          <w:tcPr>
            <w:tcW w:w="856" w:type="pct"/>
            <w:tcBorders>
              <w:top w:val="nil"/>
              <w:left w:val="nil"/>
              <w:bottom w:val="single" w:sz="8" w:space="0" w:color="auto"/>
              <w:right w:val="single" w:sz="8" w:space="0" w:color="auto"/>
            </w:tcBorders>
            <w:shd w:val="clear" w:color="auto" w:fill="auto"/>
            <w:noWrap/>
            <w:vAlign w:val="center"/>
            <w:hideMark/>
          </w:tcPr>
          <w:p w14:paraId="28A01257" w14:textId="77777777" w:rsidR="000966EF" w:rsidRPr="000966EF" w:rsidRDefault="000966EF" w:rsidP="000966EF">
            <w:pPr>
              <w:spacing w:after="0" w:line="240" w:lineRule="auto"/>
              <w:jc w:val="right"/>
              <w:rPr>
                <w:rFonts w:ascii="Arial" w:eastAsia="Times New Roman" w:hAnsi="Arial" w:cs="Arial"/>
                <w:color w:val="000000"/>
                <w:kern w:val="0"/>
                <w:sz w:val="18"/>
                <w:szCs w:val="18"/>
                <w:lang w:eastAsia="pt-BR"/>
                <w14:ligatures w14:val="none"/>
              </w:rPr>
            </w:pPr>
            <w:r w:rsidRPr="000966EF">
              <w:rPr>
                <w:rFonts w:ascii="Arial" w:eastAsia="Times New Roman" w:hAnsi="Arial" w:cs="Arial"/>
                <w:color w:val="000000"/>
                <w:kern w:val="0"/>
                <w:sz w:val="18"/>
                <w:szCs w:val="18"/>
                <w:lang w:eastAsia="pt-BR"/>
                <w14:ligatures w14:val="none"/>
              </w:rPr>
              <w:t xml:space="preserve">                  33.147 </w:t>
            </w:r>
          </w:p>
        </w:tc>
        <w:tc>
          <w:tcPr>
            <w:tcW w:w="943" w:type="pct"/>
            <w:tcBorders>
              <w:top w:val="nil"/>
              <w:left w:val="nil"/>
              <w:bottom w:val="single" w:sz="8" w:space="0" w:color="auto"/>
              <w:right w:val="single" w:sz="8" w:space="0" w:color="auto"/>
            </w:tcBorders>
            <w:shd w:val="clear" w:color="auto" w:fill="auto"/>
            <w:noWrap/>
            <w:vAlign w:val="center"/>
            <w:hideMark/>
          </w:tcPr>
          <w:p w14:paraId="1FEC5DB6" w14:textId="77777777" w:rsidR="000966EF" w:rsidRPr="000966EF" w:rsidRDefault="000966EF" w:rsidP="000966EF">
            <w:pPr>
              <w:spacing w:after="0" w:line="240" w:lineRule="auto"/>
              <w:jc w:val="right"/>
              <w:rPr>
                <w:rFonts w:ascii="Arial" w:eastAsia="Times New Roman" w:hAnsi="Arial" w:cs="Arial"/>
                <w:color w:val="000000"/>
                <w:kern w:val="0"/>
                <w:sz w:val="18"/>
                <w:szCs w:val="18"/>
                <w:lang w:eastAsia="pt-BR"/>
                <w14:ligatures w14:val="none"/>
              </w:rPr>
            </w:pPr>
            <w:r w:rsidRPr="000966EF">
              <w:rPr>
                <w:rFonts w:ascii="Arial" w:eastAsia="Times New Roman" w:hAnsi="Arial" w:cs="Arial"/>
                <w:color w:val="000000"/>
                <w:kern w:val="0"/>
                <w:sz w:val="18"/>
                <w:szCs w:val="18"/>
                <w:lang w:eastAsia="pt-BR"/>
                <w14:ligatures w14:val="none"/>
              </w:rPr>
              <w:t xml:space="preserve">                               - </w:t>
            </w:r>
          </w:p>
        </w:tc>
      </w:tr>
      <w:tr w:rsidR="000966EF" w:rsidRPr="000966EF" w14:paraId="7D361D30" w14:textId="77777777" w:rsidTr="00446A14">
        <w:trPr>
          <w:trHeight w:val="238"/>
        </w:trPr>
        <w:tc>
          <w:tcPr>
            <w:tcW w:w="3200" w:type="pct"/>
            <w:tcBorders>
              <w:top w:val="nil"/>
              <w:left w:val="single" w:sz="8" w:space="0" w:color="auto"/>
              <w:bottom w:val="single" w:sz="8" w:space="0" w:color="auto"/>
              <w:right w:val="single" w:sz="8" w:space="0" w:color="auto"/>
            </w:tcBorders>
            <w:shd w:val="clear" w:color="auto" w:fill="auto"/>
            <w:vAlign w:val="center"/>
            <w:hideMark/>
          </w:tcPr>
          <w:p w14:paraId="5F8EC857" w14:textId="77777777" w:rsidR="000966EF" w:rsidRPr="000966EF" w:rsidRDefault="000966EF" w:rsidP="000966EF">
            <w:pPr>
              <w:spacing w:after="0" w:line="240" w:lineRule="auto"/>
              <w:rPr>
                <w:rFonts w:ascii="Arial" w:eastAsia="Times New Roman" w:hAnsi="Arial" w:cs="Arial"/>
                <w:b/>
                <w:bCs/>
                <w:color w:val="000000"/>
                <w:kern w:val="0"/>
                <w:sz w:val="18"/>
                <w:szCs w:val="18"/>
                <w:lang w:eastAsia="pt-BR"/>
                <w14:ligatures w14:val="none"/>
              </w:rPr>
            </w:pPr>
            <w:r w:rsidRPr="000966EF">
              <w:rPr>
                <w:rFonts w:ascii="Arial" w:eastAsia="Times New Roman" w:hAnsi="Arial" w:cs="Arial"/>
                <w:b/>
                <w:bCs/>
                <w:color w:val="000000"/>
                <w:kern w:val="0"/>
                <w:sz w:val="18"/>
                <w:szCs w:val="18"/>
                <w:lang w:eastAsia="pt-BR"/>
                <w14:ligatures w14:val="none"/>
              </w:rPr>
              <w:t xml:space="preserve">b) Cauções </w:t>
            </w:r>
          </w:p>
        </w:tc>
        <w:tc>
          <w:tcPr>
            <w:tcW w:w="856" w:type="pct"/>
            <w:tcBorders>
              <w:top w:val="nil"/>
              <w:left w:val="nil"/>
              <w:bottom w:val="single" w:sz="8" w:space="0" w:color="auto"/>
              <w:right w:val="single" w:sz="8" w:space="0" w:color="auto"/>
            </w:tcBorders>
            <w:shd w:val="clear" w:color="auto" w:fill="auto"/>
            <w:noWrap/>
            <w:vAlign w:val="center"/>
            <w:hideMark/>
          </w:tcPr>
          <w:p w14:paraId="03A8A440" w14:textId="77777777" w:rsidR="000966EF" w:rsidRPr="000966EF" w:rsidRDefault="000966EF" w:rsidP="000966EF">
            <w:pPr>
              <w:spacing w:after="0" w:line="240" w:lineRule="auto"/>
              <w:jc w:val="right"/>
              <w:rPr>
                <w:rFonts w:ascii="Arial" w:eastAsia="Times New Roman" w:hAnsi="Arial" w:cs="Arial"/>
                <w:b/>
                <w:bCs/>
                <w:color w:val="000000"/>
                <w:kern w:val="0"/>
                <w:sz w:val="18"/>
                <w:szCs w:val="18"/>
                <w:lang w:eastAsia="pt-BR"/>
                <w14:ligatures w14:val="none"/>
              </w:rPr>
            </w:pPr>
            <w:r w:rsidRPr="000966EF">
              <w:rPr>
                <w:rFonts w:ascii="Arial" w:eastAsia="Times New Roman" w:hAnsi="Arial" w:cs="Arial"/>
                <w:b/>
                <w:bCs/>
                <w:color w:val="000000"/>
                <w:kern w:val="0"/>
                <w:sz w:val="18"/>
                <w:szCs w:val="18"/>
                <w:lang w:eastAsia="pt-BR"/>
                <w14:ligatures w14:val="none"/>
              </w:rPr>
              <w:t xml:space="preserve">                    3.545 </w:t>
            </w:r>
          </w:p>
        </w:tc>
        <w:tc>
          <w:tcPr>
            <w:tcW w:w="943" w:type="pct"/>
            <w:tcBorders>
              <w:top w:val="nil"/>
              <w:left w:val="nil"/>
              <w:bottom w:val="single" w:sz="8" w:space="0" w:color="auto"/>
              <w:right w:val="single" w:sz="8" w:space="0" w:color="auto"/>
            </w:tcBorders>
            <w:shd w:val="clear" w:color="auto" w:fill="auto"/>
            <w:noWrap/>
            <w:vAlign w:val="center"/>
            <w:hideMark/>
          </w:tcPr>
          <w:p w14:paraId="77B1DB47" w14:textId="77777777" w:rsidR="000966EF" w:rsidRPr="000966EF" w:rsidRDefault="000966EF" w:rsidP="000966EF">
            <w:pPr>
              <w:spacing w:after="0" w:line="240" w:lineRule="auto"/>
              <w:jc w:val="right"/>
              <w:rPr>
                <w:rFonts w:ascii="Arial" w:eastAsia="Times New Roman" w:hAnsi="Arial" w:cs="Arial"/>
                <w:b/>
                <w:bCs/>
                <w:color w:val="000000"/>
                <w:kern w:val="0"/>
                <w:sz w:val="18"/>
                <w:szCs w:val="18"/>
                <w:lang w:eastAsia="pt-BR"/>
                <w14:ligatures w14:val="none"/>
              </w:rPr>
            </w:pPr>
            <w:r w:rsidRPr="000966EF">
              <w:rPr>
                <w:rFonts w:ascii="Arial" w:eastAsia="Times New Roman" w:hAnsi="Arial" w:cs="Arial"/>
                <w:b/>
                <w:bCs/>
                <w:color w:val="000000"/>
                <w:kern w:val="0"/>
                <w:sz w:val="18"/>
                <w:szCs w:val="18"/>
                <w:lang w:eastAsia="pt-BR"/>
                <w14:ligatures w14:val="none"/>
              </w:rPr>
              <w:t xml:space="preserve">                       3.640 </w:t>
            </w:r>
          </w:p>
        </w:tc>
      </w:tr>
      <w:tr w:rsidR="000966EF" w:rsidRPr="000966EF" w14:paraId="54EA2365" w14:textId="77777777" w:rsidTr="00446A14">
        <w:trPr>
          <w:trHeight w:val="238"/>
        </w:trPr>
        <w:tc>
          <w:tcPr>
            <w:tcW w:w="3200" w:type="pct"/>
            <w:tcBorders>
              <w:top w:val="nil"/>
              <w:left w:val="single" w:sz="8" w:space="0" w:color="auto"/>
              <w:bottom w:val="single" w:sz="8" w:space="0" w:color="auto"/>
              <w:right w:val="single" w:sz="8" w:space="0" w:color="auto"/>
            </w:tcBorders>
            <w:shd w:val="clear" w:color="auto" w:fill="auto"/>
            <w:vAlign w:val="center"/>
            <w:hideMark/>
          </w:tcPr>
          <w:p w14:paraId="200AB7F2" w14:textId="77777777" w:rsidR="000966EF" w:rsidRPr="000966EF" w:rsidRDefault="000966EF" w:rsidP="000966EF">
            <w:pPr>
              <w:spacing w:after="0" w:line="240" w:lineRule="auto"/>
              <w:ind w:firstLineChars="100" w:firstLine="180"/>
              <w:rPr>
                <w:rFonts w:ascii="Arial" w:eastAsia="Times New Roman" w:hAnsi="Arial" w:cs="Arial"/>
                <w:color w:val="000000"/>
                <w:kern w:val="0"/>
                <w:sz w:val="18"/>
                <w:szCs w:val="18"/>
                <w:lang w:eastAsia="pt-BR"/>
                <w14:ligatures w14:val="none"/>
              </w:rPr>
            </w:pPr>
            <w:r w:rsidRPr="000966EF">
              <w:rPr>
                <w:rFonts w:ascii="Arial" w:eastAsia="Times New Roman" w:hAnsi="Arial" w:cs="Arial"/>
                <w:color w:val="000000"/>
                <w:kern w:val="0"/>
                <w:sz w:val="18"/>
                <w:szCs w:val="18"/>
                <w:lang w:eastAsia="pt-BR"/>
                <w14:ligatures w14:val="none"/>
              </w:rPr>
              <w:t>Ministérios e Demais Entidades (i)</w:t>
            </w:r>
          </w:p>
        </w:tc>
        <w:tc>
          <w:tcPr>
            <w:tcW w:w="856" w:type="pct"/>
            <w:tcBorders>
              <w:top w:val="nil"/>
              <w:left w:val="nil"/>
              <w:bottom w:val="single" w:sz="8" w:space="0" w:color="auto"/>
              <w:right w:val="single" w:sz="8" w:space="0" w:color="auto"/>
            </w:tcBorders>
            <w:shd w:val="clear" w:color="auto" w:fill="auto"/>
            <w:noWrap/>
            <w:vAlign w:val="center"/>
            <w:hideMark/>
          </w:tcPr>
          <w:p w14:paraId="563F7BFB" w14:textId="77777777" w:rsidR="000966EF" w:rsidRPr="000966EF" w:rsidRDefault="000966EF" w:rsidP="000966EF">
            <w:pPr>
              <w:spacing w:after="0" w:line="240" w:lineRule="auto"/>
              <w:jc w:val="right"/>
              <w:rPr>
                <w:rFonts w:ascii="Arial" w:eastAsia="Times New Roman" w:hAnsi="Arial" w:cs="Arial"/>
                <w:color w:val="000000"/>
                <w:kern w:val="0"/>
                <w:sz w:val="18"/>
                <w:szCs w:val="18"/>
                <w:lang w:eastAsia="pt-BR"/>
                <w14:ligatures w14:val="none"/>
              </w:rPr>
            </w:pPr>
            <w:r w:rsidRPr="000966EF">
              <w:rPr>
                <w:rFonts w:ascii="Arial" w:eastAsia="Times New Roman" w:hAnsi="Arial" w:cs="Arial"/>
                <w:color w:val="000000"/>
                <w:kern w:val="0"/>
                <w:sz w:val="18"/>
                <w:szCs w:val="18"/>
                <w:lang w:eastAsia="pt-BR"/>
                <w14:ligatures w14:val="none"/>
              </w:rPr>
              <w:t xml:space="preserve">                    3.545 </w:t>
            </w:r>
          </w:p>
        </w:tc>
        <w:tc>
          <w:tcPr>
            <w:tcW w:w="943" w:type="pct"/>
            <w:tcBorders>
              <w:top w:val="nil"/>
              <w:left w:val="nil"/>
              <w:bottom w:val="single" w:sz="8" w:space="0" w:color="auto"/>
              <w:right w:val="single" w:sz="8" w:space="0" w:color="auto"/>
            </w:tcBorders>
            <w:shd w:val="clear" w:color="auto" w:fill="auto"/>
            <w:noWrap/>
            <w:vAlign w:val="center"/>
            <w:hideMark/>
          </w:tcPr>
          <w:p w14:paraId="5C842772" w14:textId="77777777" w:rsidR="000966EF" w:rsidRPr="000966EF" w:rsidRDefault="000966EF" w:rsidP="000966EF">
            <w:pPr>
              <w:spacing w:after="0" w:line="240" w:lineRule="auto"/>
              <w:jc w:val="right"/>
              <w:rPr>
                <w:rFonts w:ascii="Arial" w:eastAsia="Times New Roman" w:hAnsi="Arial" w:cs="Arial"/>
                <w:color w:val="000000"/>
                <w:kern w:val="0"/>
                <w:sz w:val="18"/>
                <w:szCs w:val="18"/>
                <w:lang w:eastAsia="pt-BR"/>
                <w14:ligatures w14:val="none"/>
              </w:rPr>
            </w:pPr>
            <w:r w:rsidRPr="000966EF">
              <w:rPr>
                <w:rFonts w:ascii="Arial" w:eastAsia="Times New Roman" w:hAnsi="Arial" w:cs="Arial"/>
                <w:color w:val="000000"/>
                <w:kern w:val="0"/>
                <w:sz w:val="18"/>
                <w:szCs w:val="18"/>
                <w:lang w:eastAsia="pt-BR"/>
                <w14:ligatures w14:val="none"/>
              </w:rPr>
              <w:t xml:space="preserve">                       3.640 </w:t>
            </w:r>
          </w:p>
        </w:tc>
      </w:tr>
      <w:tr w:rsidR="000966EF" w:rsidRPr="000966EF" w14:paraId="4D4A87C8" w14:textId="77777777" w:rsidTr="00446A14">
        <w:trPr>
          <w:trHeight w:val="238"/>
        </w:trPr>
        <w:tc>
          <w:tcPr>
            <w:tcW w:w="3200" w:type="pct"/>
            <w:tcBorders>
              <w:top w:val="nil"/>
              <w:left w:val="single" w:sz="8" w:space="0" w:color="auto"/>
              <w:bottom w:val="single" w:sz="8" w:space="0" w:color="auto"/>
              <w:right w:val="single" w:sz="8" w:space="0" w:color="auto"/>
            </w:tcBorders>
            <w:shd w:val="clear" w:color="auto" w:fill="auto"/>
            <w:vAlign w:val="center"/>
            <w:hideMark/>
          </w:tcPr>
          <w:p w14:paraId="355CB182" w14:textId="77777777" w:rsidR="000966EF" w:rsidRPr="000966EF" w:rsidRDefault="000966EF" w:rsidP="000966EF">
            <w:pPr>
              <w:spacing w:after="0" w:line="240" w:lineRule="auto"/>
              <w:rPr>
                <w:rFonts w:ascii="Arial" w:eastAsia="Times New Roman" w:hAnsi="Arial" w:cs="Arial"/>
                <w:b/>
                <w:bCs/>
                <w:color w:val="000000"/>
                <w:kern w:val="0"/>
                <w:sz w:val="18"/>
                <w:szCs w:val="18"/>
                <w:lang w:eastAsia="pt-BR"/>
                <w14:ligatures w14:val="none"/>
              </w:rPr>
            </w:pPr>
            <w:r w:rsidRPr="000966EF">
              <w:rPr>
                <w:rFonts w:ascii="Arial" w:eastAsia="Times New Roman" w:hAnsi="Arial" w:cs="Arial"/>
                <w:b/>
                <w:bCs/>
                <w:color w:val="000000"/>
                <w:kern w:val="0"/>
                <w:sz w:val="18"/>
                <w:szCs w:val="18"/>
                <w:lang w:eastAsia="pt-BR"/>
                <w14:ligatures w14:val="none"/>
              </w:rPr>
              <w:t>c) Dividendos a Receber</w:t>
            </w:r>
          </w:p>
        </w:tc>
        <w:tc>
          <w:tcPr>
            <w:tcW w:w="856" w:type="pct"/>
            <w:tcBorders>
              <w:top w:val="nil"/>
              <w:left w:val="nil"/>
              <w:bottom w:val="single" w:sz="8" w:space="0" w:color="auto"/>
              <w:right w:val="single" w:sz="8" w:space="0" w:color="auto"/>
            </w:tcBorders>
            <w:shd w:val="clear" w:color="auto" w:fill="auto"/>
            <w:noWrap/>
            <w:vAlign w:val="center"/>
            <w:hideMark/>
          </w:tcPr>
          <w:p w14:paraId="40129D92" w14:textId="77777777" w:rsidR="000966EF" w:rsidRPr="000966EF" w:rsidRDefault="000966EF" w:rsidP="000966EF">
            <w:pPr>
              <w:spacing w:after="0" w:line="240" w:lineRule="auto"/>
              <w:jc w:val="right"/>
              <w:rPr>
                <w:rFonts w:ascii="Arial" w:eastAsia="Times New Roman" w:hAnsi="Arial" w:cs="Arial"/>
                <w:b/>
                <w:bCs/>
                <w:color w:val="000000"/>
                <w:kern w:val="0"/>
                <w:sz w:val="18"/>
                <w:szCs w:val="18"/>
                <w:lang w:eastAsia="pt-BR"/>
                <w14:ligatures w14:val="none"/>
              </w:rPr>
            </w:pPr>
            <w:r w:rsidRPr="000966EF">
              <w:rPr>
                <w:rFonts w:ascii="Arial" w:eastAsia="Times New Roman" w:hAnsi="Arial" w:cs="Arial"/>
                <w:b/>
                <w:bCs/>
                <w:color w:val="000000"/>
                <w:kern w:val="0"/>
                <w:sz w:val="18"/>
                <w:szCs w:val="18"/>
                <w:lang w:eastAsia="pt-BR"/>
                <w14:ligatures w14:val="none"/>
              </w:rPr>
              <w:t xml:space="preserve">                    5.456 </w:t>
            </w:r>
          </w:p>
        </w:tc>
        <w:tc>
          <w:tcPr>
            <w:tcW w:w="943" w:type="pct"/>
            <w:tcBorders>
              <w:top w:val="nil"/>
              <w:left w:val="nil"/>
              <w:bottom w:val="single" w:sz="8" w:space="0" w:color="auto"/>
              <w:right w:val="single" w:sz="8" w:space="0" w:color="auto"/>
            </w:tcBorders>
            <w:shd w:val="clear" w:color="auto" w:fill="auto"/>
            <w:noWrap/>
            <w:vAlign w:val="center"/>
            <w:hideMark/>
          </w:tcPr>
          <w:p w14:paraId="2533BF9C" w14:textId="77777777" w:rsidR="000966EF" w:rsidRPr="000966EF" w:rsidRDefault="000966EF" w:rsidP="000966EF">
            <w:pPr>
              <w:spacing w:after="0" w:line="240" w:lineRule="auto"/>
              <w:jc w:val="right"/>
              <w:rPr>
                <w:rFonts w:ascii="Arial" w:eastAsia="Times New Roman" w:hAnsi="Arial" w:cs="Arial"/>
                <w:b/>
                <w:bCs/>
                <w:color w:val="000000"/>
                <w:kern w:val="0"/>
                <w:sz w:val="18"/>
                <w:szCs w:val="18"/>
                <w:lang w:eastAsia="pt-BR"/>
                <w14:ligatures w14:val="none"/>
              </w:rPr>
            </w:pPr>
            <w:r w:rsidRPr="000966EF">
              <w:rPr>
                <w:rFonts w:ascii="Arial" w:eastAsia="Times New Roman" w:hAnsi="Arial" w:cs="Arial"/>
                <w:b/>
                <w:bCs/>
                <w:color w:val="000000"/>
                <w:kern w:val="0"/>
                <w:sz w:val="18"/>
                <w:szCs w:val="18"/>
                <w:lang w:eastAsia="pt-BR"/>
                <w14:ligatures w14:val="none"/>
              </w:rPr>
              <w:t xml:space="preserve">                       5.456 </w:t>
            </w:r>
          </w:p>
        </w:tc>
      </w:tr>
      <w:tr w:rsidR="000966EF" w:rsidRPr="000966EF" w14:paraId="774AA2A3" w14:textId="77777777" w:rsidTr="00446A14">
        <w:trPr>
          <w:trHeight w:val="238"/>
        </w:trPr>
        <w:tc>
          <w:tcPr>
            <w:tcW w:w="3200" w:type="pct"/>
            <w:tcBorders>
              <w:top w:val="nil"/>
              <w:left w:val="single" w:sz="8" w:space="0" w:color="auto"/>
              <w:bottom w:val="single" w:sz="8" w:space="0" w:color="auto"/>
              <w:right w:val="single" w:sz="8" w:space="0" w:color="auto"/>
            </w:tcBorders>
            <w:shd w:val="clear" w:color="auto" w:fill="auto"/>
            <w:vAlign w:val="center"/>
            <w:hideMark/>
          </w:tcPr>
          <w:p w14:paraId="3F47E1C4" w14:textId="77777777" w:rsidR="000966EF" w:rsidRPr="000966EF" w:rsidRDefault="000966EF" w:rsidP="000966EF">
            <w:pPr>
              <w:spacing w:after="0" w:line="240" w:lineRule="auto"/>
              <w:ind w:firstLineChars="100" w:firstLine="180"/>
              <w:rPr>
                <w:rFonts w:ascii="Arial" w:eastAsia="Times New Roman" w:hAnsi="Arial" w:cs="Arial"/>
                <w:color w:val="000000"/>
                <w:kern w:val="0"/>
                <w:sz w:val="18"/>
                <w:szCs w:val="18"/>
                <w:lang w:eastAsia="pt-BR"/>
                <w14:ligatures w14:val="none"/>
              </w:rPr>
            </w:pPr>
            <w:r w:rsidRPr="000966EF">
              <w:rPr>
                <w:rFonts w:ascii="Arial" w:eastAsia="Times New Roman" w:hAnsi="Arial" w:cs="Arial"/>
                <w:color w:val="000000"/>
                <w:kern w:val="0"/>
                <w:sz w:val="18"/>
                <w:szCs w:val="18"/>
                <w:lang w:eastAsia="pt-BR"/>
                <w14:ligatures w14:val="none"/>
              </w:rPr>
              <w:t xml:space="preserve">Visiona Tecnologia Espacial </w:t>
            </w:r>
            <w:proofErr w:type="gramStart"/>
            <w:r w:rsidRPr="000966EF">
              <w:rPr>
                <w:rFonts w:ascii="Arial" w:eastAsia="Times New Roman" w:hAnsi="Arial" w:cs="Arial"/>
                <w:color w:val="000000"/>
                <w:kern w:val="0"/>
                <w:sz w:val="18"/>
                <w:szCs w:val="18"/>
                <w:lang w:eastAsia="pt-BR"/>
                <w14:ligatures w14:val="none"/>
              </w:rPr>
              <w:t>S.A</w:t>
            </w:r>
            <w:proofErr w:type="gramEnd"/>
          </w:p>
        </w:tc>
        <w:tc>
          <w:tcPr>
            <w:tcW w:w="856" w:type="pct"/>
            <w:tcBorders>
              <w:top w:val="nil"/>
              <w:left w:val="nil"/>
              <w:bottom w:val="single" w:sz="8" w:space="0" w:color="auto"/>
              <w:right w:val="single" w:sz="8" w:space="0" w:color="auto"/>
            </w:tcBorders>
            <w:shd w:val="clear" w:color="auto" w:fill="auto"/>
            <w:noWrap/>
            <w:vAlign w:val="center"/>
            <w:hideMark/>
          </w:tcPr>
          <w:p w14:paraId="43ACFB70" w14:textId="77777777" w:rsidR="000966EF" w:rsidRPr="000966EF" w:rsidRDefault="000966EF" w:rsidP="000966EF">
            <w:pPr>
              <w:spacing w:after="0" w:line="240" w:lineRule="auto"/>
              <w:jc w:val="right"/>
              <w:rPr>
                <w:rFonts w:ascii="Arial" w:eastAsia="Times New Roman" w:hAnsi="Arial" w:cs="Arial"/>
                <w:color w:val="000000"/>
                <w:kern w:val="0"/>
                <w:sz w:val="18"/>
                <w:szCs w:val="18"/>
                <w:lang w:eastAsia="pt-BR"/>
                <w14:ligatures w14:val="none"/>
              </w:rPr>
            </w:pPr>
            <w:r w:rsidRPr="000966EF">
              <w:rPr>
                <w:rFonts w:ascii="Arial" w:eastAsia="Times New Roman" w:hAnsi="Arial" w:cs="Arial"/>
                <w:color w:val="000000"/>
                <w:kern w:val="0"/>
                <w:sz w:val="18"/>
                <w:szCs w:val="18"/>
                <w:lang w:eastAsia="pt-BR"/>
                <w14:ligatures w14:val="none"/>
              </w:rPr>
              <w:t xml:space="preserve">                    5.456 </w:t>
            </w:r>
          </w:p>
        </w:tc>
        <w:tc>
          <w:tcPr>
            <w:tcW w:w="943" w:type="pct"/>
            <w:tcBorders>
              <w:top w:val="nil"/>
              <w:left w:val="nil"/>
              <w:bottom w:val="single" w:sz="8" w:space="0" w:color="auto"/>
              <w:right w:val="single" w:sz="8" w:space="0" w:color="auto"/>
            </w:tcBorders>
            <w:shd w:val="clear" w:color="auto" w:fill="auto"/>
            <w:noWrap/>
            <w:vAlign w:val="center"/>
            <w:hideMark/>
          </w:tcPr>
          <w:p w14:paraId="5E36CC5B" w14:textId="77777777" w:rsidR="000966EF" w:rsidRPr="000966EF" w:rsidRDefault="000966EF" w:rsidP="000966EF">
            <w:pPr>
              <w:spacing w:after="0" w:line="240" w:lineRule="auto"/>
              <w:jc w:val="right"/>
              <w:rPr>
                <w:rFonts w:ascii="Arial" w:eastAsia="Times New Roman" w:hAnsi="Arial" w:cs="Arial"/>
                <w:color w:val="000000"/>
                <w:kern w:val="0"/>
                <w:sz w:val="18"/>
                <w:szCs w:val="18"/>
                <w:lang w:eastAsia="pt-BR"/>
                <w14:ligatures w14:val="none"/>
              </w:rPr>
            </w:pPr>
            <w:r w:rsidRPr="000966EF">
              <w:rPr>
                <w:rFonts w:ascii="Arial" w:eastAsia="Times New Roman" w:hAnsi="Arial" w:cs="Arial"/>
                <w:color w:val="000000"/>
                <w:kern w:val="0"/>
                <w:sz w:val="18"/>
                <w:szCs w:val="18"/>
                <w:lang w:eastAsia="pt-BR"/>
                <w14:ligatures w14:val="none"/>
              </w:rPr>
              <w:t xml:space="preserve">                       5.456 </w:t>
            </w:r>
          </w:p>
        </w:tc>
      </w:tr>
      <w:tr w:rsidR="000966EF" w:rsidRPr="000966EF" w14:paraId="052D0A72" w14:textId="77777777" w:rsidTr="00446A14">
        <w:trPr>
          <w:trHeight w:val="238"/>
        </w:trPr>
        <w:tc>
          <w:tcPr>
            <w:tcW w:w="3200" w:type="pct"/>
            <w:tcBorders>
              <w:top w:val="nil"/>
              <w:left w:val="single" w:sz="8" w:space="0" w:color="auto"/>
              <w:bottom w:val="single" w:sz="8" w:space="0" w:color="auto"/>
              <w:right w:val="single" w:sz="8" w:space="0" w:color="auto"/>
            </w:tcBorders>
            <w:shd w:val="clear" w:color="auto" w:fill="auto"/>
            <w:vAlign w:val="center"/>
            <w:hideMark/>
          </w:tcPr>
          <w:p w14:paraId="054E306B" w14:textId="77777777" w:rsidR="000966EF" w:rsidRPr="000966EF" w:rsidRDefault="000966EF" w:rsidP="000966EF">
            <w:pPr>
              <w:spacing w:after="0" w:line="240" w:lineRule="auto"/>
              <w:rPr>
                <w:rFonts w:ascii="Arial" w:eastAsia="Times New Roman" w:hAnsi="Arial" w:cs="Arial"/>
                <w:b/>
                <w:bCs/>
                <w:color w:val="000000"/>
                <w:kern w:val="0"/>
                <w:sz w:val="18"/>
                <w:szCs w:val="18"/>
                <w:lang w:eastAsia="pt-BR"/>
                <w14:ligatures w14:val="none"/>
              </w:rPr>
            </w:pPr>
            <w:r w:rsidRPr="000966EF">
              <w:rPr>
                <w:rFonts w:ascii="Arial" w:eastAsia="Times New Roman" w:hAnsi="Arial" w:cs="Arial"/>
                <w:b/>
                <w:bCs/>
                <w:color w:val="000000"/>
                <w:kern w:val="0"/>
                <w:sz w:val="18"/>
                <w:szCs w:val="18"/>
                <w:lang w:eastAsia="pt-BR"/>
                <w14:ligatures w14:val="none"/>
              </w:rPr>
              <w:t>d) Despesas Pagas Antecipadamente</w:t>
            </w:r>
          </w:p>
        </w:tc>
        <w:tc>
          <w:tcPr>
            <w:tcW w:w="856" w:type="pct"/>
            <w:tcBorders>
              <w:top w:val="nil"/>
              <w:left w:val="nil"/>
              <w:bottom w:val="single" w:sz="8" w:space="0" w:color="auto"/>
              <w:right w:val="single" w:sz="8" w:space="0" w:color="auto"/>
            </w:tcBorders>
            <w:shd w:val="clear" w:color="auto" w:fill="auto"/>
            <w:noWrap/>
            <w:vAlign w:val="center"/>
            <w:hideMark/>
          </w:tcPr>
          <w:p w14:paraId="23A42D3F" w14:textId="77777777" w:rsidR="000966EF" w:rsidRPr="000966EF" w:rsidRDefault="000966EF" w:rsidP="000966EF">
            <w:pPr>
              <w:spacing w:after="0" w:line="240" w:lineRule="auto"/>
              <w:jc w:val="right"/>
              <w:rPr>
                <w:rFonts w:ascii="Arial" w:eastAsia="Times New Roman" w:hAnsi="Arial" w:cs="Arial"/>
                <w:b/>
                <w:bCs/>
                <w:color w:val="000000"/>
                <w:kern w:val="0"/>
                <w:sz w:val="18"/>
                <w:szCs w:val="18"/>
                <w:lang w:eastAsia="pt-BR"/>
                <w14:ligatures w14:val="none"/>
              </w:rPr>
            </w:pPr>
            <w:r w:rsidRPr="000966EF">
              <w:rPr>
                <w:rFonts w:ascii="Arial" w:eastAsia="Times New Roman" w:hAnsi="Arial" w:cs="Arial"/>
                <w:b/>
                <w:bCs/>
                <w:color w:val="000000"/>
                <w:kern w:val="0"/>
                <w:sz w:val="18"/>
                <w:szCs w:val="18"/>
                <w:lang w:eastAsia="pt-BR"/>
                <w14:ligatures w14:val="none"/>
              </w:rPr>
              <w:t xml:space="preserve">                  15.031 </w:t>
            </w:r>
          </w:p>
        </w:tc>
        <w:tc>
          <w:tcPr>
            <w:tcW w:w="943" w:type="pct"/>
            <w:tcBorders>
              <w:top w:val="nil"/>
              <w:left w:val="nil"/>
              <w:bottom w:val="single" w:sz="8" w:space="0" w:color="auto"/>
              <w:right w:val="single" w:sz="8" w:space="0" w:color="auto"/>
            </w:tcBorders>
            <w:shd w:val="clear" w:color="auto" w:fill="auto"/>
            <w:noWrap/>
            <w:vAlign w:val="center"/>
            <w:hideMark/>
          </w:tcPr>
          <w:p w14:paraId="6C68A273" w14:textId="77777777" w:rsidR="000966EF" w:rsidRPr="000966EF" w:rsidRDefault="000966EF" w:rsidP="000966EF">
            <w:pPr>
              <w:spacing w:after="0" w:line="240" w:lineRule="auto"/>
              <w:jc w:val="right"/>
              <w:rPr>
                <w:rFonts w:ascii="Arial" w:eastAsia="Times New Roman" w:hAnsi="Arial" w:cs="Arial"/>
                <w:b/>
                <w:bCs/>
                <w:color w:val="000000"/>
                <w:kern w:val="0"/>
                <w:sz w:val="18"/>
                <w:szCs w:val="18"/>
                <w:lang w:eastAsia="pt-BR"/>
                <w14:ligatures w14:val="none"/>
              </w:rPr>
            </w:pPr>
            <w:r w:rsidRPr="000966EF">
              <w:rPr>
                <w:rFonts w:ascii="Arial" w:eastAsia="Times New Roman" w:hAnsi="Arial" w:cs="Arial"/>
                <w:b/>
                <w:bCs/>
                <w:color w:val="000000"/>
                <w:kern w:val="0"/>
                <w:sz w:val="18"/>
                <w:szCs w:val="18"/>
                <w:lang w:eastAsia="pt-BR"/>
                <w14:ligatures w14:val="none"/>
              </w:rPr>
              <w:t xml:space="preserve">                     12.453 </w:t>
            </w:r>
          </w:p>
        </w:tc>
      </w:tr>
      <w:tr w:rsidR="000966EF" w:rsidRPr="000966EF" w14:paraId="4965FEFE" w14:textId="77777777" w:rsidTr="00446A14">
        <w:trPr>
          <w:trHeight w:val="238"/>
        </w:trPr>
        <w:tc>
          <w:tcPr>
            <w:tcW w:w="3200" w:type="pct"/>
            <w:tcBorders>
              <w:top w:val="nil"/>
              <w:left w:val="single" w:sz="8" w:space="0" w:color="auto"/>
              <w:bottom w:val="single" w:sz="8" w:space="0" w:color="auto"/>
              <w:right w:val="single" w:sz="8" w:space="0" w:color="auto"/>
            </w:tcBorders>
            <w:shd w:val="clear" w:color="auto" w:fill="auto"/>
            <w:vAlign w:val="center"/>
            <w:hideMark/>
          </w:tcPr>
          <w:p w14:paraId="2BF663D9" w14:textId="77777777" w:rsidR="000966EF" w:rsidRPr="000966EF" w:rsidRDefault="000966EF" w:rsidP="000966EF">
            <w:pPr>
              <w:spacing w:after="0" w:line="240" w:lineRule="auto"/>
              <w:ind w:firstLineChars="100" w:firstLine="180"/>
              <w:rPr>
                <w:rFonts w:ascii="Arial" w:eastAsia="Times New Roman" w:hAnsi="Arial" w:cs="Arial"/>
                <w:color w:val="000000"/>
                <w:kern w:val="0"/>
                <w:sz w:val="18"/>
                <w:szCs w:val="18"/>
                <w:lang w:eastAsia="pt-BR"/>
                <w14:ligatures w14:val="none"/>
              </w:rPr>
            </w:pPr>
            <w:r w:rsidRPr="000966EF">
              <w:rPr>
                <w:rFonts w:ascii="Arial" w:eastAsia="Times New Roman" w:hAnsi="Arial" w:cs="Arial"/>
                <w:color w:val="000000"/>
                <w:kern w:val="0"/>
                <w:sz w:val="18"/>
                <w:szCs w:val="18"/>
                <w:lang w:eastAsia="pt-BR"/>
                <w14:ligatures w14:val="none"/>
              </w:rPr>
              <w:t>Visiona Internacional BV</w:t>
            </w:r>
          </w:p>
        </w:tc>
        <w:tc>
          <w:tcPr>
            <w:tcW w:w="856" w:type="pct"/>
            <w:tcBorders>
              <w:top w:val="nil"/>
              <w:left w:val="nil"/>
              <w:bottom w:val="single" w:sz="8" w:space="0" w:color="auto"/>
              <w:right w:val="single" w:sz="8" w:space="0" w:color="auto"/>
            </w:tcBorders>
            <w:shd w:val="clear" w:color="auto" w:fill="auto"/>
            <w:noWrap/>
            <w:vAlign w:val="center"/>
            <w:hideMark/>
          </w:tcPr>
          <w:p w14:paraId="26614AA9" w14:textId="77777777" w:rsidR="000966EF" w:rsidRPr="000966EF" w:rsidRDefault="000966EF" w:rsidP="000966EF">
            <w:pPr>
              <w:spacing w:after="0" w:line="240" w:lineRule="auto"/>
              <w:jc w:val="right"/>
              <w:rPr>
                <w:rFonts w:ascii="Arial" w:eastAsia="Times New Roman" w:hAnsi="Arial" w:cs="Arial"/>
                <w:color w:val="000000"/>
                <w:kern w:val="0"/>
                <w:sz w:val="18"/>
                <w:szCs w:val="18"/>
                <w:lang w:eastAsia="pt-BR"/>
                <w14:ligatures w14:val="none"/>
              </w:rPr>
            </w:pPr>
            <w:r w:rsidRPr="000966EF">
              <w:rPr>
                <w:rFonts w:ascii="Arial" w:eastAsia="Times New Roman" w:hAnsi="Arial" w:cs="Arial"/>
                <w:color w:val="000000"/>
                <w:kern w:val="0"/>
                <w:sz w:val="18"/>
                <w:szCs w:val="18"/>
                <w:lang w:eastAsia="pt-BR"/>
                <w14:ligatures w14:val="none"/>
              </w:rPr>
              <w:t xml:space="preserve">                  15.031 </w:t>
            </w:r>
          </w:p>
        </w:tc>
        <w:tc>
          <w:tcPr>
            <w:tcW w:w="943" w:type="pct"/>
            <w:tcBorders>
              <w:top w:val="nil"/>
              <w:left w:val="nil"/>
              <w:bottom w:val="single" w:sz="8" w:space="0" w:color="auto"/>
              <w:right w:val="single" w:sz="8" w:space="0" w:color="auto"/>
            </w:tcBorders>
            <w:shd w:val="clear" w:color="auto" w:fill="auto"/>
            <w:noWrap/>
            <w:vAlign w:val="center"/>
            <w:hideMark/>
          </w:tcPr>
          <w:p w14:paraId="7D79EC2A" w14:textId="77777777" w:rsidR="000966EF" w:rsidRPr="000966EF" w:rsidRDefault="000966EF" w:rsidP="000966EF">
            <w:pPr>
              <w:spacing w:after="0" w:line="240" w:lineRule="auto"/>
              <w:jc w:val="right"/>
              <w:rPr>
                <w:rFonts w:ascii="Arial" w:eastAsia="Times New Roman" w:hAnsi="Arial" w:cs="Arial"/>
                <w:color w:val="000000"/>
                <w:kern w:val="0"/>
                <w:sz w:val="18"/>
                <w:szCs w:val="18"/>
                <w:lang w:eastAsia="pt-BR"/>
                <w14:ligatures w14:val="none"/>
              </w:rPr>
            </w:pPr>
            <w:r w:rsidRPr="000966EF">
              <w:rPr>
                <w:rFonts w:ascii="Arial" w:eastAsia="Times New Roman" w:hAnsi="Arial" w:cs="Arial"/>
                <w:color w:val="000000"/>
                <w:kern w:val="0"/>
                <w:sz w:val="18"/>
                <w:szCs w:val="18"/>
                <w:lang w:eastAsia="pt-BR"/>
                <w14:ligatures w14:val="none"/>
              </w:rPr>
              <w:t xml:space="preserve">                     12.453 </w:t>
            </w:r>
          </w:p>
        </w:tc>
      </w:tr>
      <w:tr w:rsidR="000966EF" w:rsidRPr="000966EF" w14:paraId="6CFA6FD1" w14:textId="77777777" w:rsidTr="00446A14">
        <w:trPr>
          <w:trHeight w:val="238"/>
        </w:trPr>
        <w:tc>
          <w:tcPr>
            <w:tcW w:w="3200" w:type="pct"/>
            <w:tcBorders>
              <w:top w:val="nil"/>
              <w:left w:val="single" w:sz="8" w:space="0" w:color="auto"/>
              <w:bottom w:val="single" w:sz="8" w:space="0" w:color="auto"/>
              <w:right w:val="single" w:sz="8" w:space="0" w:color="auto"/>
            </w:tcBorders>
            <w:shd w:val="clear" w:color="000000" w:fill="D9D9D9"/>
            <w:noWrap/>
            <w:vAlign w:val="center"/>
            <w:hideMark/>
          </w:tcPr>
          <w:p w14:paraId="68F43A4D" w14:textId="77777777" w:rsidR="000966EF" w:rsidRPr="000966EF" w:rsidRDefault="000966EF" w:rsidP="000966EF">
            <w:pPr>
              <w:spacing w:after="0" w:line="240" w:lineRule="auto"/>
              <w:rPr>
                <w:rFonts w:ascii="Arial" w:eastAsia="Times New Roman" w:hAnsi="Arial" w:cs="Arial"/>
                <w:b/>
                <w:bCs/>
                <w:color w:val="000000"/>
                <w:kern w:val="0"/>
                <w:sz w:val="18"/>
                <w:szCs w:val="18"/>
                <w:lang w:eastAsia="pt-BR"/>
                <w14:ligatures w14:val="none"/>
              </w:rPr>
            </w:pPr>
            <w:r w:rsidRPr="000966EF">
              <w:rPr>
                <w:rFonts w:ascii="Arial" w:eastAsia="Times New Roman" w:hAnsi="Arial" w:cs="Arial"/>
                <w:b/>
                <w:bCs/>
                <w:color w:val="000000"/>
                <w:kern w:val="0"/>
                <w:sz w:val="18"/>
                <w:szCs w:val="18"/>
                <w:lang w:eastAsia="pt-BR"/>
                <w14:ligatures w14:val="none"/>
              </w:rPr>
              <w:t>Passivo</w:t>
            </w:r>
          </w:p>
        </w:tc>
        <w:tc>
          <w:tcPr>
            <w:tcW w:w="856" w:type="pct"/>
            <w:tcBorders>
              <w:top w:val="nil"/>
              <w:left w:val="nil"/>
              <w:bottom w:val="single" w:sz="8" w:space="0" w:color="auto"/>
              <w:right w:val="single" w:sz="8" w:space="0" w:color="auto"/>
            </w:tcBorders>
            <w:shd w:val="clear" w:color="000000" w:fill="D9D9D9"/>
            <w:noWrap/>
            <w:vAlign w:val="center"/>
            <w:hideMark/>
          </w:tcPr>
          <w:p w14:paraId="7C6D889E" w14:textId="77777777" w:rsidR="000966EF" w:rsidRPr="000966EF" w:rsidRDefault="000966EF" w:rsidP="000966EF">
            <w:pPr>
              <w:spacing w:after="0" w:line="240" w:lineRule="auto"/>
              <w:jc w:val="right"/>
              <w:rPr>
                <w:rFonts w:ascii="Arial" w:eastAsia="Times New Roman" w:hAnsi="Arial" w:cs="Arial"/>
                <w:b/>
                <w:bCs/>
                <w:color w:val="000000"/>
                <w:kern w:val="0"/>
                <w:sz w:val="18"/>
                <w:szCs w:val="18"/>
                <w:lang w:eastAsia="pt-BR"/>
                <w14:ligatures w14:val="none"/>
              </w:rPr>
            </w:pPr>
            <w:r w:rsidRPr="000966EF">
              <w:rPr>
                <w:rFonts w:ascii="Arial" w:eastAsia="Times New Roman" w:hAnsi="Arial" w:cs="Arial"/>
                <w:b/>
                <w:bCs/>
                <w:color w:val="000000"/>
                <w:kern w:val="0"/>
                <w:sz w:val="18"/>
                <w:szCs w:val="18"/>
                <w:lang w:eastAsia="pt-BR"/>
                <w14:ligatures w14:val="none"/>
              </w:rPr>
              <w:t xml:space="preserve">             2.219.930 </w:t>
            </w:r>
          </w:p>
        </w:tc>
        <w:tc>
          <w:tcPr>
            <w:tcW w:w="943" w:type="pct"/>
            <w:tcBorders>
              <w:top w:val="nil"/>
              <w:left w:val="nil"/>
              <w:bottom w:val="single" w:sz="8" w:space="0" w:color="auto"/>
              <w:right w:val="single" w:sz="8" w:space="0" w:color="auto"/>
            </w:tcBorders>
            <w:shd w:val="clear" w:color="000000" w:fill="D9D9D9"/>
            <w:noWrap/>
            <w:vAlign w:val="center"/>
            <w:hideMark/>
          </w:tcPr>
          <w:p w14:paraId="111EFDC7" w14:textId="77777777" w:rsidR="000966EF" w:rsidRPr="000966EF" w:rsidRDefault="000966EF" w:rsidP="000966EF">
            <w:pPr>
              <w:spacing w:after="0" w:line="240" w:lineRule="auto"/>
              <w:jc w:val="right"/>
              <w:rPr>
                <w:rFonts w:ascii="Arial" w:eastAsia="Times New Roman" w:hAnsi="Arial" w:cs="Arial"/>
                <w:b/>
                <w:bCs/>
                <w:color w:val="000000"/>
                <w:kern w:val="0"/>
                <w:sz w:val="18"/>
                <w:szCs w:val="18"/>
                <w:lang w:eastAsia="pt-BR"/>
                <w14:ligatures w14:val="none"/>
              </w:rPr>
            </w:pPr>
            <w:r w:rsidRPr="000966EF">
              <w:rPr>
                <w:rFonts w:ascii="Arial" w:eastAsia="Times New Roman" w:hAnsi="Arial" w:cs="Arial"/>
                <w:b/>
                <w:bCs/>
                <w:color w:val="000000"/>
                <w:kern w:val="0"/>
                <w:sz w:val="18"/>
                <w:szCs w:val="18"/>
                <w:lang w:eastAsia="pt-BR"/>
                <w14:ligatures w14:val="none"/>
              </w:rPr>
              <w:t xml:space="preserve">                2.090.929 </w:t>
            </w:r>
          </w:p>
        </w:tc>
      </w:tr>
      <w:tr w:rsidR="000966EF" w:rsidRPr="000966EF" w14:paraId="6B45C7B2" w14:textId="77777777" w:rsidTr="00446A14">
        <w:trPr>
          <w:trHeight w:val="238"/>
        </w:trPr>
        <w:tc>
          <w:tcPr>
            <w:tcW w:w="3200" w:type="pct"/>
            <w:tcBorders>
              <w:top w:val="nil"/>
              <w:left w:val="single" w:sz="8" w:space="0" w:color="auto"/>
              <w:bottom w:val="single" w:sz="8" w:space="0" w:color="auto"/>
              <w:right w:val="single" w:sz="8" w:space="0" w:color="auto"/>
            </w:tcBorders>
            <w:shd w:val="clear" w:color="auto" w:fill="auto"/>
            <w:noWrap/>
            <w:vAlign w:val="center"/>
            <w:hideMark/>
          </w:tcPr>
          <w:p w14:paraId="5EA08B6D" w14:textId="77777777" w:rsidR="000966EF" w:rsidRPr="000966EF" w:rsidRDefault="000966EF" w:rsidP="000966EF">
            <w:pPr>
              <w:spacing w:after="0" w:line="240" w:lineRule="auto"/>
              <w:rPr>
                <w:rFonts w:ascii="Arial" w:eastAsia="Times New Roman" w:hAnsi="Arial" w:cs="Arial"/>
                <w:b/>
                <w:bCs/>
                <w:color w:val="000000"/>
                <w:kern w:val="0"/>
                <w:sz w:val="18"/>
                <w:szCs w:val="18"/>
                <w:lang w:eastAsia="pt-BR"/>
                <w14:ligatures w14:val="none"/>
              </w:rPr>
            </w:pPr>
            <w:r w:rsidRPr="000966EF">
              <w:rPr>
                <w:rFonts w:ascii="Arial" w:eastAsia="Times New Roman" w:hAnsi="Arial" w:cs="Arial"/>
                <w:b/>
                <w:bCs/>
                <w:color w:val="000000"/>
                <w:kern w:val="0"/>
                <w:sz w:val="18"/>
                <w:szCs w:val="18"/>
                <w:lang w:eastAsia="pt-BR"/>
                <w14:ligatures w14:val="none"/>
              </w:rPr>
              <w:t>e) Fornecedores</w:t>
            </w:r>
          </w:p>
        </w:tc>
        <w:tc>
          <w:tcPr>
            <w:tcW w:w="856" w:type="pct"/>
            <w:tcBorders>
              <w:top w:val="nil"/>
              <w:left w:val="nil"/>
              <w:bottom w:val="single" w:sz="8" w:space="0" w:color="auto"/>
              <w:right w:val="single" w:sz="8" w:space="0" w:color="auto"/>
            </w:tcBorders>
            <w:shd w:val="clear" w:color="auto" w:fill="auto"/>
            <w:noWrap/>
            <w:vAlign w:val="center"/>
            <w:hideMark/>
          </w:tcPr>
          <w:p w14:paraId="5011C105" w14:textId="77777777" w:rsidR="000966EF" w:rsidRPr="000966EF" w:rsidRDefault="000966EF" w:rsidP="000966EF">
            <w:pPr>
              <w:spacing w:after="0" w:line="240" w:lineRule="auto"/>
              <w:jc w:val="right"/>
              <w:rPr>
                <w:rFonts w:ascii="Arial" w:eastAsia="Times New Roman" w:hAnsi="Arial" w:cs="Arial"/>
                <w:b/>
                <w:bCs/>
                <w:color w:val="000000"/>
                <w:kern w:val="0"/>
                <w:sz w:val="18"/>
                <w:szCs w:val="18"/>
                <w:lang w:eastAsia="pt-BR"/>
                <w14:ligatures w14:val="none"/>
              </w:rPr>
            </w:pPr>
            <w:r w:rsidRPr="000966EF">
              <w:rPr>
                <w:rFonts w:ascii="Arial" w:eastAsia="Times New Roman" w:hAnsi="Arial" w:cs="Arial"/>
                <w:b/>
                <w:bCs/>
                <w:color w:val="000000"/>
                <w:kern w:val="0"/>
                <w:sz w:val="18"/>
                <w:szCs w:val="18"/>
                <w:lang w:eastAsia="pt-BR"/>
                <w14:ligatures w14:val="none"/>
              </w:rPr>
              <w:t xml:space="preserve">                    2.598 </w:t>
            </w:r>
          </w:p>
        </w:tc>
        <w:tc>
          <w:tcPr>
            <w:tcW w:w="943" w:type="pct"/>
            <w:tcBorders>
              <w:top w:val="nil"/>
              <w:left w:val="nil"/>
              <w:bottom w:val="single" w:sz="8" w:space="0" w:color="auto"/>
              <w:right w:val="single" w:sz="8" w:space="0" w:color="auto"/>
            </w:tcBorders>
            <w:shd w:val="clear" w:color="auto" w:fill="auto"/>
            <w:noWrap/>
            <w:vAlign w:val="center"/>
            <w:hideMark/>
          </w:tcPr>
          <w:p w14:paraId="5426B049" w14:textId="77777777" w:rsidR="000966EF" w:rsidRPr="000966EF" w:rsidRDefault="000966EF" w:rsidP="000966EF">
            <w:pPr>
              <w:spacing w:after="0" w:line="240" w:lineRule="auto"/>
              <w:jc w:val="right"/>
              <w:rPr>
                <w:rFonts w:ascii="Arial" w:eastAsia="Times New Roman" w:hAnsi="Arial" w:cs="Arial"/>
                <w:b/>
                <w:bCs/>
                <w:color w:val="000000"/>
                <w:kern w:val="0"/>
                <w:sz w:val="18"/>
                <w:szCs w:val="18"/>
                <w:lang w:eastAsia="pt-BR"/>
                <w14:ligatures w14:val="none"/>
              </w:rPr>
            </w:pPr>
            <w:r w:rsidRPr="000966EF">
              <w:rPr>
                <w:rFonts w:ascii="Arial" w:eastAsia="Times New Roman" w:hAnsi="Arial" w:cs="Arial"/>
                <w:b/>
                <w:bCs/>
                <w:color w:val="000000"/>
                <w:kern w:val="0"/>
                <w:sz w:val="18"/>
                <w:szCs w:val="18"/>
                <w:lang w:eastAsia="pt-BR"/>
                <w14:ligatures w14:val="none"/>
              </w:rPr>
              <w:t xml:space="preserve">                               - </w:t>
            </w:r>
          </w:p>
        </w:tc>
      </w:tr>
      <w:tr w:rsidR="000966EF" w:rsidRPr="000966EF" w14:paraId="7795175B" w14:textId="77777777" w:rsidTr="00446A14">
        <w:trPr>
          <w:trHeight w:val="238"/>
        </w:trPr>
        <w:tc>
          <w:tcPr>
            <w:tcW w:w="3200" w:type="pct"/>
            <w:tcBorders>
              <w:top w:val="nil"/>
              <w:left w:val="single" w:sz="8" w:space="0" w:color="auto"/>
              <w:bottom w:val="single" w:sz="8" w:space="0" w:color="auto"/>
              <w:right w:val="single" w:sz="8" w:space="0" w:color="auto"/>
            </w:tcBorders>
            <w:shd w:val="clear" w:color="auto" w:fill="auto"/>
            <w:noWrap/>
            <w:vAlign w:val="center"/>
            <w:hideMark/>
          </w:tcPr>
          <w:p w14:paraId="6F0AD612" w14:textId="77777777" w:rsidR="000966EF" w:rsidRPr="000966EF" w:rsidRDefault="000966EF" w:rsidP="000966EF">
            <w:pPr>
              <w:spacing w:after="0" w:line="240" w:lineRule="auto"/>
              <w:ind w:firstLineChars="100" w:firstLine="180"/>
              <w:rPr>
                <w:rFonts w:ascii="Arial" w:eastAsia="Times New Roman" w:hAnsi="Arial" w:cs="Arial"/>
                <w:color w:val="000000"/>
                <w:kern w:val="0"/>
                <w:sz w:val="18"/>
                <w:szCs w:val="18"/>
                <w:lang w:eastAsia="pt-BR"/>
                <w14:ligatures w14:val="none"/>
              </w:rPr>
            </w:pPr>
            <w:r w:rsidRPr="000966EF">
              <w:rPr>
                <w:rFonts w:ascii="Arial" w:eastAsia="Times New Roman" w:hAnsi="Arial" w:cs="Arial"/>
                <w:color w:val="000000"/>
                <w:kern w:val="0"/>
                <w:sz w:val="18"/>
                <w:szCs w:val="18"/>
                <w:lang w:eastAsia="pt-BR"/>
                <w14:ligatures w14:val="none"/>
              </w:rPr>
              <w:t xml:space="preserve">Petróleo Brasileiro </w:t>
            </w:r>
            <w:proofErr w:type="gramStart"/>
            <w:r w:rsidRPr="000966EF">
              <w:rPr>
                <w:rFonts w:ascii="Arial" w:eastAsia="Times New Roman" w:hAnsi="Arial" w:cs="Arial"/>
                <w:color w:val="000000"/>
                <w:kern w:val="0"/>
                <w:sz w:val="18"/>
                <w:szCs w:val="18"/>
                <w:lang w:eastAsia="pt-BR"/>
                <w14:ligatures w14:val="none"/>
              </w:rPr>
              <w:t>S.A</w:t>
            </w:r>
            <w:proofErr w:type="gramEnd"/>
          </w:p>
        </w:tc>
        <w:tc>
          <w:tcPr>
            <w:tcW w:w="856" w:type="pct"/>
            <w:tcBorders>
              <w:top w:val="nil"/>
              <w:left w:val="nil"/>
              <w:bottom w:val="single" w:sz="8" w:space="0" w:color="auto"/>
              <w:right w:val="single" w:sz="8" w:space="0" w:color="auto"/>
            </w:tcBorders>
            <w:shd w:val="clear" w:color="auto" w:fill="auto"/>
            <w:noWrap/>
            <w:vAlign w:val="center"/>
            <w:hideMark/>
          </w:tcPr>
          <w:p w14:paraId="0DC36BA6" w14:textId="77777777" w:rsidR="000966EF" w:rsidRPr="000966EF" w:rsidRDefault="000966EF" w:rsidP="000966EF">
            <w:pPr>
              <w:spacing w:after="0" w:line="240" w:lineRule="auto"/>
              <w:jc w:val="right"/>
              <w:rPr>
                <w:rFonts w:ascii="Arial" w:eastAsia="Times New Roman" w:hAnsi="Arial" w:cs="Arial"/>
                <w:color w:val="000000"/>
                <w:kern w:val="0"/>
                <w:sz w:val="18"/>
                <w:szCs w:val="18"/>
                <w:lang w:eastAsia="pt-BR"/>
                <w14:ligatures w14:val="none"/>
              </w:rPr>
            </w:pPr>
            <w:r w:rsidRPr="000966EF">
              <w:rPr>
                <w:rFonts w:ascii="Arial" w:eastAsia="Times New Roman" w:hAnsi="Arial" w:cs="Arial"/>
                <w:color w:val="000000"/>
                <w:kern w:val="0"/>
                <w:sz w:val="18"/>
                <w:szCs w:val="18"/>
                <w:lang w:eastAsia="pt-BR"/>
                <w14:ligatures w14:val="none"/>
              </w:rPr>
              <w:t xml:space="preserve">                    2.455 </w:t>
            </w:r>
          </w:p>
        </w:tc>
        <w:tc>
          <w:tcPr>
            <w:tcW w:w="943" w:type="pct"/>
            <w:tcBorders>
              <w:top w:val="nil"/>
              <w:left w:val="nil"/>
              <w:bottom w:val="single" w:sz="8" w:space="0" w:color="auto"/>
              <w:right w:val="single" w:sz="8" w:space="0" w:color="auto"/>
            </w:tcBorders>
            <w:shd w:val="clear" w:color="auto" w:fill="auto"/>
            <w:noWrap/>
            <w:vAlign w:val="center"/>
            <w:hideMark/>
          </w:tcPr>
          <w:p w14:paraId="1D058391" w14:textId="77777777" w:rsidR="000966EF" w:rsidRPr="000966EF" w:rsidRDefault="000966EF" w:rsidP="000966EF">
            <w:pPr>
              <w:spacing w:after="0" w:line="240" w:lineRule="auto"/>
              <w:jc w:val="right"/>
              <w:rPr>
                <w:rFonts w:ascii="Arial" w:eastAsia="Times New Roman" w:hAnsi="Arial" w:cs="Arial"/>
                <w:color w:val="000000"/>
                <w:kern w:val="0"/>
                <w:sz w:val="18"/>
                <w:szCs w:val="18"/>
                <w:lang w:eastAsia="pt-BR"/>
                <w14:ligatures w14:val="none"/>
              </w:rPr>
            </w:pPr>
            <w:r w:rsidRPr="000966EF">
              <w:rPr>
                <w:rFonts w:ascii="Arial" w:eastAsia="Times New Roman" w:hAnsi="Arial" w:cs="Arial"/>
                <w:color w:val="000000"/>
                <w:kern w:val="0"/>
                <w:sz w:val="18"/>
                <w:szCs w:val="18"/>
                <w:lang w:eastAsia="pt-BR"/>
                <w14:ligatures w14:val="none"/>
              </w:rPr>
              <w:t> </w:t>
            </w:r>
          </w:p>
        </w:tc>
      </w:tr>
      <w:tr w:rsidR="000966EF" w:rsidRPr="000966EF" w14:paraId="4F630D18" w14:textId="77777777" w:rsidTr="00446A14">
        <w:trPr>
          <w:trHeight w:val="238"/>
        </w:trPr>
        <w:tc>
          <w:tcPr>
            <w:tcW w:w="3200" w:type="pct"/>
            <w:tcBorders>
              <w:top w:val="nil"/>
              <w:left w:val="single" w:sz="8" w:space="0" w:color="auto"/>
              <w:bottom w:val="single" w:sz="8" w:space="0" w:color="auto"/>
              <w:right w:val="single" w:sz="8" w:space="0" w:color="auto"/>
            </w:tcBorders>
            <w:shd w:val="clear" w:color="auto" w:fill="auto"/>
            <w:noWrap/>
            <w:vAlign w:val="center"/>
            <w:hideMark/>
          </w:tcPr>
          <w:p w14:paraId="2DADFB6A" w14:textId="77777777" w:rsidR="000966EF" w:rsidRPr="000966EF" w:rsidRDefault="000966EF" w:rsidP="000966EF">
            <w:pPr>
              <w:spacing w:after="0" w:line="240" w:lineRule="auto"/>
              <w:ind w:firstLineChars="100" w:firstLine="180"/>
              <w:rPr>
                <w:rFonts w:ascii="Arial" w:eastAsia="Times New Roman" w:hAnsi="Arial" w:cs="Arial"/>
                <w:color w:val="000000"/>
                <w:kern w:val="0"/>
                <w:sz w:val="18"/>
                <w:szCs w:val="18"/>
                <w:lang w:eastAsia="pt-BR"/>
                <w14:ligatures w14:val="none"/>
              </w:rPr>
            </w:pPr>
            <w:r w:rsidRPr="000966EF">
              <w:rPr>
                <w:rFonts w:ascii="Arial" w:eastAsia="Times New Roman" w:hAnsi="Arial" w:cs="Arial"/>
                <w:color w:val="000000"/>
                <w:kern w:val="0"/>
                <w:sz w:val="18"/>
                <w:szCs w:val="18"/>
                <w:lang w:eastAsia="pt-BR"/>
                <w14:ligatures w14:val="none"/>
              </w:rPr>
              <w:t xml:space="preserve">Banco do Brasil </w:t>
            </w:r>
            <w:proofErr w:type="gramStart"/>
            <w:r w:rsidRPr="000966EF">
              <w:rPr>
                <w:rFonts w:ascii="Arial" w:eastAsia="Times New Roman" w:hAnsi="Arial" w:cs="Arial"/>
                <w:color w:val="000000"/>
                <w:kern w:val="0"/>
                <w:sz w:val="18"/>
                <w:szCs w:val="18"/>
                <w:lang w:eastAsia="pt-BR"/>
                <w14:ligatures w14:val="none"/>
              </w:rPr>
              <w:t>S.A</w:t>
            </w:r>
            <w:proofErr w:type="gramEnd"/>
          </w:p>
        </w:tc>
        <w:tc>
          <w:tcPr>
            <w:tcW w:w="856" w:type="pct"/>
            <w:tcBorders>
              <w:top w:val="nil"/>
              <w:left w:val="nil"/>
              <w:bottom w:val="single" w:sz="8" w:space="0" w:color="auto"/>
              <w:right w:val="single" w:sz="8" w:space="0" w:color="auto"/>
            </w:tcBorders>
            <w:shd w:val="clear" w:color="auto" w:fill="auto"/>
            <w:noWrap/>
            <w:vAlign w:val="center"/>
            <w:hideMark/>
          </w:tcPr>
          <w:p w14:paraId="0692E701" w14:textId="77777777" w:rsidR="000966EF" w:rsidRPr="000966EF" w:rsidRDefault="000966EF" w:rsidP="000966EF">
            <w:pPr>
              <w:spacing w:after="0" w:line="240" w:lineRule="auto"/>
              <w:jc w:val="right"/>
              <w:rPr>
                <w:rFonts w:ascii="Arial" w:eastAsia="Times New Roman" w:hAnsi="Arial" w:cs="Arial"/>
                <w:color w:val="000000"/>
                <w:kern w:val="0"/>
                <w:sz w:val="18"/>
                <w:szCs w:val="18"/>
                <w:lang w:eastAsia="pt-BR"/>
                <w14:ligatures w14:val="none"/>
              </w:rPr>
            </w:pPr>
            <w:r w:rsidRPr="000966EF">
              <w:rPr>
                <w:rFonts w:ascii="Arial" w:eastAsia="Times New Roman" w:hAnsi="Arial" w:cs="Arial"/>
                <w:color w:val="000000"/>
                <w:kern w:val="0"/>
                <w:sz w:val="18"/>
                <w:szCs w:val="18"/>
                <w:lang w:eastAsia="pt-BR"/>
                <w14:ligatures w14:val="none"/>
              </w:rPr>
              <w:t xml:space="preserve">                       143 </w:t>
            </w:r>
          </w:p>
        </w:tc>
        <w:tc>
          <w:tcPr>
            <w:tcW w:w="943" w:type="pct"/>
            <w:tcBorders>
              <w:top w:val="nil"/>
              <w:left w:val="nil"/>
              <w:bottom w:val="single" w:sz="8" w:space="0" w:color="auto"/>
              <w:right w:val="single" w:sz="8" w:space="0" w:color="auto"/>
            </w:tcBorders>
            <w:shd w:val="clear" w:color="auto" w:fill="auto"/>
            <w:noWrap/>
            <w:vAlign w:val="center"/>
            <w:hideMark/>
          </w:tcPr>
          <w:p w14:paraId="4CB4CE81" w14:textId="77777777" w:rsidR="000966EF" w:rsidRPr="000966EF" w:rsidRDefault="000966EF" w:rsidP="000966EF">
            <w:pPr>
              <w:spacing w:after="0" w:line="240" w:lineRule="auto"/>
              <w:jc w:val="right"/>
              <w:rPr>
                <w:rFonts w:ascii="Arial" w:eastAsia="Times New Roman" w:hAnsi="Arial" w:cs="Arial"/>
                <w:color w:val="000000"/>
                <w:kern w:val="0"/>
                <w:sz w:val="18"/>
                <w:szCs w:val="18"/>
                <w:lang w:eastAsia="pt-BR"/>
                <w14:ligatures w14:val="none"/>
              </w:rPr>
            </w:pPr>
            <w:r w:rsidRPr="000966EF">
              <w:rPr>
                <w:rFonts w:ascii="Arial" w:eastAsia="Times New Roman" w:hAnsi="Arial" w:cs="Arial"/>
                <w:color w:val="000000"/>
                <w:kern w:val="0"/>
                <w:sz w:val="18"/>
                <w:szCs w:val="18"/>
                <w:lang w:eastAsia="pt-BR"/>
                <w14:ligatures w14:val="none"/>
              </w:rPr>
              <w:t xml:space="preserve">                               - </w:t>
            </w:r>
          </w:p>
        </w:tc>
      </w:tr>
      <w:tr w:rsidR="000966EF" w:rsidRPr="000966EF" w14:paraId="7DEDCAFA" w14:textId="77777777" w:rsidTr="00446A14">
        <w:trPr>
          <w:trHeight w:val="238"/>
        </w:trPr>
        <w:tc>
          <w:tcPr>
            <w:tcW w:w="3200" w:type="pct"/>
            <w:tcBorders>
              <w:top w:val="nil"/>
              <w:left w:val="single" w:sz="8" w:space="0" w:color="auto"/>
              <w:bottom w:val="single" w:sz="8" w:space="0" w:color="auto"/>
              <w:right w:val="single" w:sz="8" w:space="0" w:color="auto"/>
            </w:tcBorders>
            <w:shd w:val="clear" w:color="auto" w:fill="auto"/>
            <w:vAlign w:val="center"/>
            <w:hideMark/>
          </w:tcPr>
          <w:p w14:paraId="25FA3094" w14:textId="77777777" w:rsidR="000966EF" w:rsidRPr="000966EF" w:rsidRDefault="000966EF" w:rsidP="000966EF">
            <w:pPr>
              <w:spacing w:after="0" w:line="240" w:lineRule="auto"/>
              <w:rPr>
                <w:rFonts w:ascii="Arial" w:eastAsia="Times New Roman" w:hAnsi="Arial" w:cs="Arial"/>
                <w:b/>
                <w:bCs/>
                <w:color w:val="000000"/>
                <w:kern w:val="0"/>
                <w:sz w:val="18"/>
                <w:szCs w:val="18"/>
                <w:lang w:eastAsia="pt-BR"/>
                <w14:ligatures w14:val="none"/>
              </w:rPr>
            </w:pPr>
            <w:r w:rsidRPr="000966EF">
              <w:rPr>
                <w:rFonts w:ascii="Arial" w:eastAsia="Times New Roman" w:hAnsi="Arial" w:cs="Arial"/>
                <w:b/>
                <w:bCs/>
                <w:color w:val="000000"/>
                <w:kern w:val="0"/>
                <w:sz w:val="18"/>
                <w:szCs w:val="18"/>
                <w:lang w:eastAsia="pt-BR"/>
                <w14:ligatures w14:val="none"/>
              </w:rPr>
              <w:t xml:space="preserve">f) Empréstimos </w:t>
            </w:r>
          </w:p>
        </w:tc>
        <w:tc>
          <w:tcPr>
            <w:tcW w:w="856" w:type="pct"/>
            <w:tcBorders>
              <w:top w:val="nil"/>
              <w:left w:val="nil"/>
              <w:bottom w:val="single" w:sz="8" w:space="0" w:color="auto"/>
              <w:right w:val="single" w:sz="8" w:space="0" w:color="auto"/>
            </w:tcBorders>
            <w:shd w:val="clear" w:color="auto" w:fill="auto"/>
            <w:noWrap/>
            <w:vAlign w:val="center"/>
            <w:hideMark/>
          </w:tcPr>
          <w:p w14:paraId="0A2675F6" w14:textId="77777777" w:rsidR="000966EF" w:rsidRPr="000966EF" w:rsidRDefault="000966EF" w:rsidP="000966EF">
            <w:pPr>
              <w:spacing w:after="0" w:line="240" w:lineRule="auto"/>
              <w:jc w:val="right"/>
              <w:rPr>
                <w:rFonts w:ascii="Arial" w:eastAsia="Times New Roman" w:hAnsi="Arial" w:cs="Arial"/>
                <w:b/>
                <w:bCs/>
                <w:color w:val="000000"/>
                <w:kern w:val="0"/>
                <w:sz w:val="18"/>
                <w:szCs w:val="18"/>
                <w:lang w:eastAsia="pt-BR"/>
                <w14:ligatures w14:val="none"/>
              </w:rPr>
            </w:pPr>
            <w:r w:rsidRPr="000966EF">
              <w:rPr>
                <w:rFonts w:ascii="Arial" w:eastAsia="Times New Roman" w:hAnsi="Arial" w:cs="Arial"/>
                <w:b/>
                <w:bCs/>
                <w:color w:val="000000"/>
                <w:kern w:val="0"/>
                <w:sz w:val="18"/>
                <w:szCs w:val="18"/>
                <w:lang w:eastAsia="pt-BR"/>
                <w14:ligatures w14:val="none"/>
              </w:rPr>
              <w:t xml:space="preserve">                104.117 </w:t>
            </w:r>
          </w:p>
        </w:tc>
        <w:tc>
          <w:tcPr>
            <w:tcW w:w="943" w:type="pct"/>
            <w:tcBorders>
              <w:top w:val="nil"/>
              <w:left w:val="nil"/>
              <w:bottom w:val="single" w:sz="8" w:space="0" w:color="auto"/>
              <w:right w:val="single" w:sz="8" w:space="0" w:color="auto"/>
            </w:tcBorders>
            <w:shd w:val="clear" w:color="auto" w:fill="auto"/>
            <w:noWrap/>
            <w:vAlign w:val="center"/>
            <w:hideMark/>
          </w:tcPr>
          <w:p w14:paraId="008809D4" w14:textId="77777777" w:rsidR="000966EF" w:rsidRPr="000966EF" w:rsidRDefault="000966EF" w:rsidP="000966EF">
            <w:pPr>
              <w:spacing w:after="0" w:line="240" w:lineRule="auto"/>
              <w:jc w:val="right"/>
              <w:rPr>
                <w:rFonts w:ascii="Arial" w:eastAsia="Times New Roman" w:hAnsi="Arial" w:cs="Arial"/>
                <w:b/>
                <w:bCs/>
                <w:color w:val="000000"/>
                <w:kern w:val="0"/>
                <w:sz w:val="18"/>
                <w:szCs w:val="18"/>
                <w:lang w:eastAsia="pt-BR"/>
                <w14:ligatures w14:val="none"/>
              </w:rPr>
            </w:pPr>
            <w:r w:rsidRPr="000966EF">
              <w:rPr>
                <w:rFonts w:ascii="Arial" w:eastAsia="Times New Roman" w:hAnsi="Arial" w:cs="Arial"/>
                <w:b/>
                <w:bCs/>
                <w:color w:val="000000"/>
                <w:kern w:val="0"/>
                <w:sz w:val="18"/>
                <w:szCs w:val="18"/>
                <w:lang w:eastAsia="pt-BR"/>
                <w14:ligatures w14:val="none"/>
              </w:rPr>
              <w:t xml:space="preserve">                   136.810 </w:t>
            </w:r>
          </w:p>
        </w:tc>
      </w:tr>
      <w:tr w:rsidR="000966EF" w:rsidRPr="000966EF" w14:paraId="54DCD625" w14:textId="77777777" w:rsidTr="00446A14">
        <w:trPr>
          <w:trHeight w:val="238"/>
        </w:trPr>
        <w:tc>
          <w:tcPr>
            <w:tcW w:w="3200" w:type="pct"/>
            <w:tcBorders>
              <w:top w:val="nil"/>
              <w:left w:val="single" w:sz="8" w:space="0" w:color="auto"/>
              <w:bottom w:val="single" w:sz="8" w:space="0" w:color="auto"/>
              <w:right w:val="single" w:sz="8" w:space="0" w:color="auto"/>
            </w:tcBorders>
            <w:shd w:val="clear" w:color="auto" w:fill="auto"/>
            <w:vAlign w:val="center"/>
            <w:hideMark/>
          </w:tcPr>
          <w:p w14:paraId="2690C52B" w14:textId="77777777" w:rsidR="000966EF" w:rsidRPr="000966EF" w:rsidRDefault="000966EF" w:rsidP="000966EF">
            <w:pPr>
              <w:spacing w:after="0" w:line="240" w:lineRule="auto"/>
              <w:ind w:firstLineChars="100" w:firstLine="180"/>
              <w:rPr>
                <w:rFonts w:ascii="Arial" w:eastAsia="Times New Roman" w:hAnsi="Arial" w:cs="Arial"/>
                <w:color w:val="000000"/>
                <w:kern w:val="0"/>
                <w:sz w:val="18"/>
                <w:szCs w:val="18"/>
                <w:lang w:eastAsia="pt-BR"/>
                <w14:ligatures w14:val="none"/>
              </w:rPr>
            </w:pPr>
            <w:r w:rsidRPr="000966EF">
              <w:rPr>
                <w:rFonts w:ascii="Arial" w:eastAsia="Times New Roman" w:hAnsi="Arial" w:cs="Arial"/>
                <w:color w:val="000000"/>
                <w:kern w:val="0"/>
                <w:sz w:val="18"/>
                <w:szCs w:val="18"/>
                <w:lang w:eastAsia="pt-BR"/>
                <w14:ligatures w14:val="none"/>
              </w:rPr>
              <w:t>Financiadora de Estudos e Projetos – FINEP</w:t>
            </w:r>
          </w:p>
        </w:tc>
        <w:tc>
          <w:tcPr>
            <w:tcW w:w="856" w:type="pct"/>
            <w:tcBorders>
              <w:top w:val="nil"/>
              <w:left w:val="nil"/>
              <w:bottom w:val="single" w:sz="8" w:space="0" w:color="auto"/>
              <w:right w:val="single" w:sz="8" w:space="0" w:color="auto"/>
            </w:tcBorders>
            <w:shd w:val="clear" w:color="auto" w:fill="auto"/>
            <w:noWrap/>
            <w:vAlign w:val="center"/>
            <w:hideMark/>
          </w:tcPr>
          <w:p w14:paraId="1AE8DAAA" w14:textId="77777777" w:rsidR="000966EF" w:rsidRPr="000966EF" w:rsidRDefault="000966EF" w:rsidP="000966EF">
            <w:pPr>
              <w:spacing w:after="0" w:line="240" w:lineRule="auto"/>
              <w:jc w:val="right"/>
              <w:rPr>
                <w:rFonts w:ascii="Arial" w:eastAsia="Times New Roman" w:hAnsi="Arial" w:cs="Arial"/>
                <w:color w:val="000000"/>
                <w:kern w:val="0"/>
                <w:sz w:val="18"/>
                <w:szCs w:val="18"/>
                <w:lang w:eastAsia="pt-BR"/>
                <w14:ligatures w14:val="none"/>
              </w:rPr>
            </w:pPr>
            <w:r w:rsidRPr="000966EF">
              <w:rPr>
                <w:rFonts w:ascii="Arial" w:eastAsia="Times New Roman" w:hAnsi="Arial" w:cs="Arial"/>
                <w:color w:val="000000"/>
                <w:kern w:val="0"/>
                <w:sz w:val="18"/>
                <w:szCs w:val="18"/>
                <w:lang w:eastAsia="pt-BR"/>
                <w14:ligatures w14:val="none"/>
              </w:rPr>
              <w:t xml:space="preserve">                104.117 </w:t>
            </w:r>
          </w:p>
        </w:tc>
        <w:tc>
          <w:tcPr>
            <w:tcW w:w="943" w:type="pct"/>
            <w:tcBorders>
              <w:top w:val="nil"/>
              <w:left w:val="nil"/>
              <w:bottom w:val="single" w:sz="8" w:space="0" w:color="auto"/>
              <w:right w:val="single" w:sz="8" w:space="0" w:color="auto"/>
            </w:tcBorders>
            <w:shd w:val="clear" w:color="auto" w:fill="auto"/>
            <w:noWrap/>
            <w:vAlign w:val="center"/>
            <w:hideMark/>
          </w:tcPr>
          <w:p w14:paraId="72196FA4" w14:textId="77777777" w:rsidR="000966EF" w:rsidRPr="000966EF" w:rsidRDefault="000966EF" w:rsidP="000966EF">
            <w:pPr>
              <w:spacing w:after="0" w:line="240" w:lineRule="auto"/>
              <w:jc w:val="right"/>
              <w:rPr>
                <w:rFonts w:ascii="Arial" w:eastAsia="Times New Roman" w:hAnsi="Arial" w:cs="Arial"/>
                <w:color w:val="000000"/>
                <w:kern w:val="0"/>
                <w:sz w:val="18"/>
                <w:szCs w:val="18"/>
                <w:lang w:eastAsia="pt-BR"/>
                <w14:ligatures w14:val="none"/>
              </w:rPr>
            </w:pPr>
            <w:r w:rsidRPr="000966EF">
              <w:rPr>
                <w:rFonts w:ascii="Arial" w:eastAsia="Times New Roman" w:hAnsi="Arial" w:cs="Arial"/>
                <w:color w:val="000000"/>
                <w:kern w:val="0"/>
                <w:sz w:val="18"/>
                <w:szCs w:val="18"/>
                <w:lang w:eastAsia="pt-BR"/>
                <w14:ligatures w14:val="none"/>
              </w:rPr>
              <w:t xml:space="preserve">                   136.810 </w:t>
            </w:r>
          </w:p>
        </w:tc>
      </w:tr>
      <w:tr w:rsidR="000966EF" w:rsidRPr="000966EF" w14:paraId="0A58BC45" w14:textId="77777777" w:rsidTr="00446A14">
        <w:trPr>
          <w:trHeight w:val="238"/>
        </w:trPr>
        <w:tc>
          <w:tcPr>
            <w:tcW w:w="3200" w:type="pct"/>
            <w:tcBorders>
              <w:top w:val="nil"/>
              <w:left w:val="single" w:sz="8" w:space="0" w:color="auto"/>
              <w:bottom w:val="single" w:sz="8" w:space="0" w:color="auto"/>
              <w:right w:val="single" w:sz="8" w:space="0" w:color="auto"/>
            </w:tcBorders>
            <w:shd w:val="clear" w:color="auto" w:fill="auto"/>
            <w:vAlign w:val="center"/>
            <w:hideMark/>
          </w:tcPr>
          <w:p w14:paraId="3710351D" w14:textId="77777777" w:rsidR="000966EF" w:rsidRPr="000966EF" w:rsidRDefault="000966EF" w:rsidP="000966EF">
            <w:pPr>
              <w:spacing w:after="0" w:line="240" w:lineRule="auto"/>
              <w:rPr>
                <w:rFonts w:ascii="Arial" w:eastAsia="Times New Roman" w:hAnsi="Arial" w:cs="Arial"/>
                <w:b/>
                <w:bCs/>
                <w:color w:val="000000"/>
                <w:kern w:val="0"/>
                <w:sz w:val="18"/>
                <w:szCs w:val="18"/>
                <w:lang w:eastAsia="pt-BR"/>
                <w14:ligatures w14:val="none"/>
              </w:rPr>
            </w:pPr>
            <w:r w:rsidRPr="000966EF">
              <w:rPr>
                <w:rFonts w:ascii="Arial" w:eastAsia="Times New Roman" w:hAnsi="Arial" w:cs="Arial"/>
                <w:b/>
                <w:bCs/>
                <w:color w:val="000000"/>
                <w:kern w:val="0"/>
                <w:sz w:val="18"/>
                <w:szCs w:val="18"/>
                <w:lang w:eastAsia="pt-BR"/>
                <w14:ligatures w14:val="none"/>
              </w:rPr>
              <w:t>g) Receitas Diferidas</w:t>
            </w:r>
          </w:p>
        </w:tc>
        <w:tc>
          <w:tcPr>
            <w:tcW w:w="856" w:type="pct"/>
            <w:tcBorders>
              <w:top w:val="nil"/>
              <w:left w:val="nil"/>
              <w:bottom w:val="single" w:sz="8" w:space="0" w:color="auto"/>
              <w:right w:val="single" w:sz="8" w:space="0" w:color="auto"/>
            </w:tcBorders>
            <w:shd w:val="clear" w:color="auto" w:fill="auto"/>
            <w:noWrap/>
            <w:vAlign w:val="center"/>
            <w:hideMark/>
          </w:tcPr>
          <w:p w14:paraId="03D2740D" w14:textId="77777777" w:rsidR="000966EF" w:rsidRPr="000966EF" w:rsidRDefault="000966EF" w:rsidP="000966EF">
            <w:pPr>
              <w:spacing w:after="0" w:line="240" w:lineRule="auto"/>
              <w:jc w:val="right"/>
              <w:rPr>
                <w:rFonts w:ascii="Arial" w:eastAsia="Times New Roman" w:hAnsi="Arial" w:cs="Arial"/>
                <w:b/>
                <w:bCs/>
                <w:color w:val="000000"/>
                <w:kern w:val="0"/>
                <w:sz w:val="18"/>
                <w:szCs w:val="18"/>
                <w:lang w:eastAsia="pt-BR"/>
                <w14:ligatures w14:val="none"/>
              </w:rPr>
            </w:pPr>
            <w:r w:rsidRPr="000966EF">
              <w:rPr>
                <w:rFonts w:ascii="Arial" w:eastAsia="Times New Roman" w:hAnsi="Arial" w:cs="Arial"/>
                <w:b/>
                <w:bCs/>
                <w:color w:val="000000"/>
                <w:kern w:val="0"/>
                <w:sz w:val="18"/>
                <w:szCs w:val="18"/>
                <w:lang w:eastAsia="pt-BR"/>
                <w14:ligatures w14:val="none"/>
              </w:rPr>
              <w:t xml:space="preserve">                372.897 </w:t>
            </w:r>
          </w:p>
        </w:tc>
        <w:tc>
          <w:tcPr>
            <w:tcW w:w="943" w:type="pct"/>
            <w:tcBorders>
              <w:top w:val="nil"/>
              <w:left w:val="nil"/>
              <w:bottom w:val="single" w:sz="8" w:space="0" w:color="auto"/>
              <w:right w:val="single" w:sz="8" w:space="0" w:color="auto"/>
            </w:tcBorders>
            <w:shd w:val="clear" w:color="auto" w:fill="auto"/>
            <w:noWrap/>
            <w:vAlign w:val="center"/>
            <w:hideMark/>
          </w:tcPr>
          <w:p w14:paraId="3BBADA62" w14:textId="77777777" w:rsidR="000966EF" w:rsidRPr="000966EF" w:rsidRDefault="000966EF" w:rsidP="000966EF">
            <w:pPr>
              <w:spacing w:after="0" w:line="240" w:lineRule="auto"/>
              <w:jc w:val="right"/>
              <w:rPr>
                <w:rFonts w:ascii="Arial" w:eastAsia="Times New Roman" w:hAnsi="Arial" w:cs="Arial"/>
                <w:b/>
                <w:bCs/>
                <w:color w:val="000000"/>
                <w:kern w:val="0"/>
                <w:sz w:val="18"/>
                <w:szCs w:val="18"/>
                <w:lang w:eastAsia="pt-BR"/>
                <w14:ligatures w14:val="none"/>
              </w:rPr>
            </w:pPr>
            <w:r w:rsidRPr="000966EF">
              <w:rPr>
                <w:rFonts w:ascii="Arial" w:eastAsia="Times New Roman" w:hAnsi="Arial" w:cs="Arial"/>
                <w:b/>
                <w:bCs/>
                <w:color w:val="000000"/>
                <w:kern w:val="0"/>
                <w:sz w:val="18"/>
                <w:szCs w:val="18"/>
                <w:lang w:eastAsia="pt-BR"/>
                <w14:ligatures w14:val="none"/>
              </w:rPr>
              <w:t xml:space="preserve">                   456.623 </w:t>
            </w:r>
          </w:p>
        </w:tc>
      </w:tr>
      <w:tr w:rsidR="000966EF" w:rsidRPr="000966EF" w14:paraId="4DB90E03" w14:textId="77777777" w:rsidTr="00446A14">
        <w:trPr>
          <w:trHeight w:val="238"/>
        </w:trPr>
        <w:tc>
          <w:tcPr>
            <w:tcW w:w="3200" w:type="pct"/>
            <w:tcBorders>
              <w:top w:val="nil"/>
              <w:left w:val="single" w:sz="8" w:space="0" w:color="auto"/>
              <w:bottom w:val="single" w:sz="8" w:space="0" w:color="auto"/>
              <w:right w:val="single" w:sz="8" w:space="0" w:color="auto"/>
            </w:tcBorders>
            <w:shd w:val="clear" w:color="auto" w:fill="auto"/>
            <w:noWrap/>
            <w:vAlign w:val="center"/>
            <w:hideMark/>
          </w:tcPr>
          <w:p w14:paraId="093B4E4E" w14:textId="77777777" w:rsidR="000966EF" w:rsidRPr="000966EF" w:rsidRDefault="000966EF" w:rsidP="000966EF">
            <w:pPr>
              <w:spacing w:after="0" w:line="240" w:lineRule="auto"/>
              <w:ind w:firstLineChars="200" w:firstLine="360"/>
              <w:rPr>
                <w:rFonts w:ascii="Arial" w:eastAsia="Times New Roman" w:hAnsi="Arial" w:cs="Arial"/>
                <w:color w:val="000000"/>
                <w:kern w:val="0"/>
                <w:sz w:val="18"/>
                <w:szCs w:val="18"/>
                <w:lang w:eastAsia="pt-BR"/>
                <w14:ligatures w14:val="none"/>
              </w:rPr>
            </w:pPr>
            <w:r w:rsidRPr="000966EF">
              <w:rPr>
                <w:rFonts w:ascii="Arial" w:eastAsia="Times New Roman" w:hAnsi="Arial" w:cs="Arial"/>
                <w:color w:val="000000"/>
                <w:kern w:val="0"/>
                <w:sz w:val="18"/>
                <w:szCs w:val="18"/>
                <w:lang w:eastAsia="pt-BR"/>
                <w14:ligatures w14:val="none"/>
              </w:rPr>
              <w:t>Ministérios</w:t>
            </w:r>
          </w:p>
        </w:tc>
        <w:tc>
          <w:tcPr>
            <w:tcW w:w="856" w:type="pct"/>
            <w:tcBorders>
              <w:top w:val="nil"/>
              <w:left w:val="nil"/>
              <w:bottom w:val="single" w:sz="8" w:space="0" w:color="auto"/>
              <w:right w:val="single" w:sz="8" w:space="0" w:color="auto"/>
            </w:tcBorders>
            <w:shd w:val="clear" w:color="auto" w:fill="auto"/>
            <w:noWrap/>
            <w:vAlign w:val="center"/>
            <w:hideMark/>
          </w:tcPr>
          <w:p w14:paraId="4337B265" w14:textId="77777777" w:rsidR="000966EF" w:rsidRPr="000966EF" w:rsidRDefault="000966EF" w:rsidP="000966EF">
            <w:pPr>
              <w:spacing w:after="0" w:line="240" w:lineRule="auto"/>
              <w:jc w:val="right"/>
              <w:rPr>
                <w:rFonts w:ascii="Arial" w:eastAsia="Times New Roman" w:hAnsi="Arial" w:cs="Arial"/>
                <w:color w:val="000000"/>
                <w:kern w:val="0"/>
                <w:sz w:val="18"/>
                <w:szCs w:val="18"/>
                <w:lang w:eastAsia="pt-BR"/>
                <w14:ligatures w14:val="none"/>
              </w:rPr>
            </w:pPr>
            <w:r w:rsidRPr="000966EF">
              <w:rPr>
                <w:rFonts w:ascii="Arial" w:eastAsia="Times New Roman" w:hAnsi="Arial" w:cs="Arial"/>
                <w:color w:val="000000"/>
                <w:kern w:val="0"/>
                <w:sz w:val="18"/>
                <w:szCs w:val="18"/>
                <w:lang w:eastAsia="pt-BR"/>
                <w14:ligatures w14:val="none"/>
              </w:rPr>
              <w:t xml:space="preserve">                372.897 </w:t>
            </w:r>
          </w:p>
        </w:tc>
        <w:tc>
          <w:tcPr>
            <w:tcW w:w="943" w:type="pct"/>
            <w:tcBorders>
              <w:top w:val="nil"/>
              <w:left w:val="nil"/>
              <w:bottom w:val="single" w:sz="8" w:space="0" w:color="auto"/>
              <w:right w:val="single" w:sz="8" w:space="0" w:color="auto"/>
            </w:tcBorders>
            <w:shd w:val="clear" w:color="auto" w:fill="auto"/>
            <w:noWrap/>
            <w:vAlign w:val="center"/>
            <w:hideMark/>
          </w:tcPr>
          <w:p w14:paraId="4AC39F0A" w14:textId="77777777" w:rsidR="000966EF" w:rsidRPr="000966EF" w:rsidRDefault="000966EF" w:rsidP="000966EF">
            <w:pPr>
              <w:spacing w:after="0" w:line="240" w:lineRule="auto"/>
              <w:jc w:val="right"/>
              <w:rPr>
                <w:rFonts w:ascii="Arial" w:eastAsia="Times New Roman" w:hAnsi="Arial" w:cs="Arial"/>
                <w:color w:val="000000"/>
                <w:kern w:val="0"/>
                <w:sz w:val="18"/>
                <w:szCs w:val="18"/>
                <w:lang w:eastAsia="pt-BR"/>
                <w14:ligatures w14:val="none"/>
              </w:rPr>
            </w:pPr>
            <w:r w:rsidRPr="000966EF">
              <w:rPr>
                <w:rFonts w:ascii="Arial" w:eastAsia="Times New Roman" w:hAnsi="Arial" w:cs="Arial"/>
                <w:color w:val="000000"/>
                <w:kern w:val="0"/>
                <w:sz w:val="18"/>
                <w:szCs w:val="18"/>
                <w:lang w:eastAsia="pt-BR"/>
                <w14:ligatures w14:val="none"/>
              </w:rPr>
              <w:t xml:space="preserve">                   456.623 </w:t>
            </w:r>
          </w:p>
        </w:tc>
      </w:tr>
      <w:tr w:rsidR="000966EF" w:rsidRPr="000966EF" w14:paraId="3346DE58" w14:textId="77777777" w:rsidTr="00446A14">
        <w:trPr>
          <w:trHeight w:val="238"/>
        </w:trPr>
        <w:tc>
          <w:tcPr>
            <w:tcW w:w="3200" w:type="pct"/>
            <w:tcBorders>
              <w:top w:val="nil"/>
              <w:left w:val="single" w:sz="8" w:space="0" w:color="auto"/>
              <w:bottom w:val="single" w:sz="8" w:space="0" w:color="auto"/>
              <w:right w:val="single" w:sz="8" w:space="0" w:color="auto"/>
            </w:tcBorders>
            <w:shd w:val="clear" w:color="auto" w:fill="auto"/>
            <w:noWrap/>
            <w:vAlign w:val="center"/>
            <w:hideMark/>
          </w:tcPr>
          <w:p w14:paraId="4F5B5897" w14:textId="77777777" w:rsidR="000966EF" w:rsidRPr="000966EF" w:rsidRDefault="000966EF" w:rsidP="000966EF">
            <w:pPr>
              <w:spacing w:after="0" w:line="240" w:lineRule="auto"/>
              <w:rPr>
                <w:rFonts w:ascii="Arial" w:eastAsia="Times New Roman" w:hAnsi="Arial" w:cs="Arial"/>
                <w:b/>
                <w:bCs/>
                <w:color w:val="000000"/>
                <w:kern w:val="0"/>
                <w:sz w:val="18"/>
                <w:szCs w:val="18"/>
                <w:lang w:eastAsia="pt-BR"/>
                <w14:ligatures w14:val="none"/>
              </w:rPr>
            </w:pPr>
            <w:r w:rsidRPr="000966EF">
              <w:rPr>
                <w:rFonts w:ascii="Arial" w:eastAsia="Times New Roman" w:hAnsi="Arial" w:cs="Arial"/>
                <w:b/>
                <w:bCs/>
                <w:color w:val="000000"/>
                <w:kern w:val="0"/>
                <w:sz w:val="18"/>
                <w:szCs w:val="18"/>
                <w:lang w:eastAsia="pt-BR"/>
                <w14:ligatures w14:val="none"/>
              </w:rPr>
              <w:t>h) Recursos Capitalizáveis - AFAC</w:t>
            </w:r>
          </w:p>
        </w:tc>
        <w:tc>
          <w:tcPr>
            <w:tcW w:w="856" w:type="pct"/>
            <w:tcBorders>
              <w:top w:val="nil"/>
              <w:left w:val="nil"/>
              <w:bottom w:val="single" w:sz="8" w:space="0" w:color="auto"/>
              <w:right w:val="single" w:sz="8" w:space="0" w:color="auto"/>
            </w:tcBorders>
            <w:shd w:val="clear" w:color="auto" w:fill="auto"/>
            <w:noWrap/>
            <w:vAlign w:val="center"/>
            <w:hideMark/>
          </w:tcPr>
          <w:p w14:paraId="7E6267FA" w14:textId="77777777" w:rsidR="000966EF" w:rsidRPr="000966EF" w:rsidRDefault="000966EF" w:rsidP="000966EF">
            <w:pPr>
              <w:spacing w:after="0" w:line="240" w:lineRule="auto"/>
              <w:jc w:val="right"/>
              <w:rPr>
                <w:rFonts w:ascii="Arial" w:eastAsia="Times New Roman" w:hAnsi="Arial" w:cs="Arial"/>
                <w:b/>
                <w:bCs/>
                <w:color w:val="000000"/>
                <w:kern w:val="0"/>
                <w:sz w:val="18"/>
                <w:szCs w:val="18"/>
                <w:lang w:eastAsia="pt-BR"/>
                <w14:ligatures w14:val="none"/>
              </w:rPr>
            </w:pPr>
            <w:r w:rsidRPr="000966EF">
              <w:rPr>
                <w:rFonts w:ascii="Arial" w:eastAsia="Times New Roman" w:hAnsi="Arial" w:cs="Arial"/>
                <w:b/>
                <w:bCs/>
                <w:color w:val="000000"/>
                <w:kern w:val="0"/>
                <w:sz w:val="18"/>
                <w:szCs w:val="18"/>
                <w:lang w:eastAsia="pt-BR"/>
                <w14:ligatures w14:val="none"/>
              </w:rPr>
              <w:t xml:space="preserve">             1.740.318 </w:t>
            </w:r>
          </w:p>
        </w:tc>
        <w:tc>
          <w:tcPr>
            <w:tcW w:w="943" w:type="pct"/>
            <w:tcBorders>
              <w:top w:val="nil"/>
              <w:left w:val="nil"/>
              <w:bottom w:val="single" w:sz="8" w:space="0" w:color="auto"/>
              <w:right w:val="single" w:sz="8" w:space="0" w:color="auto"/>
            </w:tcBorders>
            <w:shd w:val="clear" w:color="auto" w:fill="auto"/>
            <w:noWrap/>
            <w:vAlign w:val="center"/>
            <w:hideMark/>
          </w:tcPr>
          <w:p w14:paraId="203BDAD5" w14:textId="77777777" w:rsidR="000966EF" w:rsidRPr="000966EF" w:rsidRDefault="000966EF" w:rsidP="000966EF">
            <w:pPr>
              <w:spacing w:after="0" w:line="240" w:lineRule="auto"/>
              <w:jc w:val="right"/>
              <w:rPr>
                <w:rFonts w:ascii="Arial" w:eastAsia="Times New Roman" w:hAnsi="Arial" w:cs="Arial"/>
                <w:b/>
                <w:bCs/>
                <w:color w:val="000000"/>
                <w:kern w:val="0"/>
                <w:sz w:val="18"/>
                <w:szCs w:val="18"/>
                <w:lang w:eastAsia="pt-BR"/>
                <w14:ligatures w14:val="none"/>
              </w:rPr>
            </w:pPr>
            <w:r w:rsidRPr="000966EF">
              <w:rPr>
                <w:rFonts w:ascii="Arial" w:eastAsia="Times New Roman" w:hAnsi="Arial" w:cs="Arial"/>
                <w:b/>
                <w:bCs/>
                <w:color w:val="000000"/>
                <w:kern w:val="0"/>
                <w:sz w:val="18"/>
                <w:szCs w:val="18"/>
                <w:lang w:eastAsia="pt-BR"/>
                <w14:ligatures w14:val="none"/>
              </w:rPr>
              <w:t xml:space="preserve">1.497.496 </w:t>
            </w:r>
          </w:p>
        </w:tc>
      </w:tr>
      <w:tr w:rsidR="000966EF" w:rsidRPr="000966EF" w14:paraId="35245CE9" w14:textId="77777777" w:rsidTr="00446A14">
        <w:trPr>
          <w:trHeight w:val="238"/>
        </w:trPr>
        <w:tc>
          <w:tcPr>
            <w:tcW w:w="3200" w:type="pct"/>
            <w:tcBorders>
              <w:top w:val="nil"/>
              <w:left w:val="single" w:sz="8" w:space="0" w:color="auto"/>
              <w:bottom w:val="single" w:sz="8" w:space="0" w:color="auto"/>
              <w:right w:val="single" w:sz="8" w:space="0" w:color="auto"/>
            </w:tcBorders>
            <w:shd w:val="clear" w:color="auto" w:fill="auto"/>
            <w:noWrap/>
            <w:vAlign w:val="center"/>
            <w:hideMark/>
          </w:tcPr>
          <w:p w14:paraId="40CC9BF4" w14:textId="77777777" w:rsidR="000966EF" w:rsidRPr="000966EF" w:rsidRDefault="000966EF" w:rsidP="000966EF">
            <w:pPr>
              <w:spacing w:after="0" w:line="240" w:lineRule="auto"/>
              <w:ind w:firstLineChars="100" w:firstLine="180"/>
              <w:rPr>
                <w:rFonts w:ascii="Arial" w:eastAsia="Times New Roman" w:hAnsi="Arial" w:cs="Arial"/>
                <w:color w:val="000000"/>
                <w:kern w:val="0"/>
                <w:sz w:val="18"/>
                <w:szCs w:val="18"/>
                <w:lang w:eastAsia="pt-BR"/>
                <w14:ligatures w14:val="none"/>
              </w:rPr>
            </w:pPr>
            <w:r w:rsidRPr="000966EF">
              <w:rPr>
                <w:rFonts w:ascii="Arial" w:eastAsia="Times New Roman" w:hAnsi="Arial" w:cs="Arial"/>
                <w:color w:val="000000"/>
                <w:kern w:val="0"/>
                <w:sz w:val="18"/>
                <w:szCs w:val="18"/>
                <w:lang w:eastAsia="pt-BR"/>
                <w14:ligatures w14:val="none"/>
              </w:rPr>
              <w:lastRenderedPageBreak/>
              <w:t>União Federal</w:t>
            </w:r>
          </w:p>
        </w:tc>
        <w:tc>
          <w:tcPr>
            <w:tcW w:w="856" w:type="pct"/>
            <w:tcBorders>
              <w:top w:val="nil"/>
              <w:left w:val="nil"/>
              <w:bottom w:val="single" w:sz="8" w:space="0" w:color="auto"/>
              <w:right w:val="single" w:sz="8" w:space="0" w:color="auto"/>
            </w:tcBorders>
            <w:shd w:val="clear" w:color="auto" w:fill="auto"/>
            <w:noWrap/>
            <w:vAlign w:val="center"/>
            <w:hideMark/>
          </w:tcPr>
          <w:p w14:paraId="0487AC25" w14:textId="77777777" w:rsidR="000966EF" w:rsidRPr="000966EF" w:rsidRDefault="000966EF" w:rsidP="000966EF">
            <w:pPr>
              <w:spacing w:after="0" w:line="240" w:lineRule="auto"/>
              <w:jc w:val="right"/>
              <w:rPr>
                <w:rFonts w:ascii="Arial" w:eastAsia="Times New Roman" w:hAnsi="Arial" w:cs="Arial"/>
                <w:color w:val="000000"/>
                <w:kern w:val="0"/>
                <w:sz w:val="18"/>
                <w:szCs w:val="18"/>
                <w:lang w:eastAsia="pt-BR"/>
                <w14:ligatures w14:val="none"/>
              </w:rPr>
            </w:pPr>
            <w:r w:rsidRPr="000966EF">
              <w:rPr>
                <w:rFonts w:ascii="Arial" w:eastAsia="Times New Roman" w:hAnsi="Arial" w:cs="Arial"/>
                <w:color w:val="000000"/>
                <w:kern w:val="0"/>
                <w:sz w:val="18"/>
                <w:szCs w:val="18"/>
                <w:lang w:eastAsia="pt-BR"/>
                <w14:ligatures w14:val="none"/>
              </w:rPr>
              <w:t xml:space="preserve">             1.740.318 </w:t>
            </w:r>
          </w:p>
        </w:tc>
        <w:tc>
          <w:tcPr>
            <w:tcW w:w="943" w:type="pct"/>
            <w:tcBorders>
              <w:top w:val="nil"/>
              <w:left w:val="nil"/>
              <w:bottom w:val="single" w:sz="8" w:space="0" w:color="auto"/>
              <w:right w:val="single" w:sz="8" w:space="0" w:color="auto"/>
            </w:tcBorders>
            <w:shd w:val="clear" w:color="auto" w:fill="auto"/>
            <w:noWrap/>
            <w:vAlign w:val="center"/>
            <w:hideMark/>
          </w:tcPr>
          <w:p w14:paraId="63E3CC60" w14:textId="77777777" w:rsidR="000966EF" w:rsidRPr="000966EF" w:rsidRDefault="000966EF" w:rsidP="000966EF">
            <w:pPr>
              <w:spacing w:after="0" w:line="240" w:lineRule="auto"/>
              <w:jc w:val="right"/>
              <w:rPr>
                <w:rFonts w:ascii="Arial" w:eastAsia="Times New Roman" w:hAnsi="Arial" w:cs="Arial"/>
                <w:color w:val="000000"/>
                <w:kern w:val="0"/>
                <w:sz w:val="18"/>
                <w:szCs w:val="18"/>
                <w:lang w:eastAsia="pt-BR"/>
                <w14:ligatures w14:val="none"/>
              </w:rPr>
            </w:pPr>
            <w:r w:rsidRPr="000966EF">
              <w:rPr>
                <w:rFonts w:ascii="Arial" w:eastAsia="Times New Roman" w:hAnsi="Arial" w:cs="Arial"/>
                <w:color w:val="000000"/>
                <w:kern w:val="0"/>
                <w:sz w:val="18"/>
                <w:szCs w:val="18"/>
                <w:lang w:eastAsia="pt-BR"/>
                <w14:ligatures w14:val="none"/>
              </w:rPr>
              <w:t xml:space="preserve">                1.497.496 </w:t>
            </w:r>
          </w:p>
        </w:tc>
      </w:tr>
    </w:tbl>
    <w:p w14:paraId="6F6F75FA" w14:textId="77777777" w:rsidR="00195A83" w:rsidRDefault="00195A83" w:rsidP="00195A83">
      <w:pPr>
        <w:autoSpaceDE w:val="0"/>
        <w:autoSpaceDN w:val="0"/>
        <w:adjustRightInd w:val="0"/>
        <w:spacing w:after="0" w:line="240" w:lineRule="auto"/>
        <w:jc w:val="both"/>
        <w:rPr>
          <w:rFonts w:ascii="Calibri" w:eastAsia="Times New Roman" w:hAnsi="Calibri" w:cs="Calibri"/>
          <w:iCs/>
          <w:color w:val="002060"/>
          <w:kern w:val="0"/>
          <w14:ligatures w14:val="none"/>
        </w:rPr>
      </w:pPr>
    </w:p>
    <w:tbl>
      <w:tblPr>
        <w:tblW w:w="5000" w:type="pct"/>
        <w:tblCellMar>
          <w:left w:w="70" w:type="dxa"/>
          <w:right w:w="70" w:type="dxa"/>
        </w:tblCellMar>
        <w:tblLook w:val="04A0" w:firstRow="1" w:lastRow="0" w:firstColumn="1" w:lastColumn="0" w:noHBand="0" w:noVBand="1"/>
      </w:tblPr>
      <w:tblGrid>
        <w:gridCol w:w="6292"/>
        <w:gridCol w:w="1652"/>
        <w:gridCol w:w="1817"/>
      </w:tblGrid>
      <w:tr w:rsidR="00C65B3C" w:rsidRPr="00C65B3C" w14:paraId="444C4122" w14:textId="77777777" w:rsidTr="00C65B3C">
        <w:trPr>
          <w:trHeight w:val="238"/>
          <w:tblHeader/>
        </w:trPr>
        <w:tc>
          <w:tcPr>
            <w:tcW w:w="3223" w:type="pct"/>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420AAD18" w14:textId="77777777" w:rsidR="00C65B3C" w:rsidRPr="00C65B3C" w:rsidRDefault="00C65B3C" w:rsidP="00C65B3C">
            <w:pPr>
              <w:spacing w:after="0" w:line="240" w:lineRule="auto"/>
              <w:rPr>
                <w:rFonts w:ascii="Arial" w:eastAsia="Times New Roman" w:hAnsi="Arial" w:cs="Arial"/>
                <w:b/>
                <w:bCs/>
                <w:color w:val="000000"/>
                <w:kern w:val="0"/>
                <w:sz w:val="18"/>
                <w:szCs w:val="18"/>
                <w:lang w:eastAsia="pt-BR"/>
                <w14:ligatures w14:val="none"/>
              </w:rPr>
            </w:pPr>
            <w:r w:rsidRPr="00C65B3C">
              <w:rPr>
                <w:rFonts w:ascii="Arial" w:eastAsia="Times New Roman" w:hAnsi="Arial" w:cs="Arial"/>
                <w:b/>
                <w:bCs/>
                <w:color w:val="000000"/>
                <w:kern w:val="0"/>
                <w:sz w:val="18"/>
                <w:szCs w:val="18"/>
                <w:lang w:eastAsia="pt-BR"/>
                <w14:ligatures w14:val="none"/>
              </w:rPr>
              <w:t>Demonstração do Resultado do Exercício - DRE</w:t>
            </w:r>
          </w:p>
        </w:tc>
        <w:tc>
          <w:tcPr>
            <w:tcW w:w="846" w:type="pct"/>
            <w:tcBorders>
              <w:top w:val="single" w:sz="8" w:space="0" w:color="auto"/>
              <w:left w:val="nil"/>
              <w:bottom w:val="single" w:sz="8" w:space="0" w:color="auto"/>
              <w:right w:val="single" w:sz="8" w:space="0" w:color="auto"/>
            </w:tcBorders>
            <w:shd w:val="clear" w:color="000000" w:fill="D9D9D9"/>
            <w:vAlign w:val="center"/>
            <w:hideMark/>
          </w:tcPr>
          <w:p w14:paraId="2E9F4617" w14:textId="77777777" w:rsidR="00C65B3C" w:rsidRPr="00C65B3C" w:rsidRDefault="00C65B3C" w:rsidP="00C65B3C">
            <w:pPr>
              <w:spacing w:after="0" w:line="240" w:lineRule="auto"/>
              <w:jc w:val="center"/>
              <w:rPr>
                <w:rFonts w:ascii="Arial" w:eastAsia="Times New Roman" w:hAnsi="Arial" w:cs="Arial"/>
                <w:b/>
                <w:bCs/>
                <w:color w:val="000000"/>
                <w:kern w:val="0"/>
                <w:sz w:val="18"/>
                <w:szCs w:val="18"/>
                <w:lang w:eastAsia="pt-BR"/>
                <w14:ligatures w14:val="none"/>
              </w:rPr>
            </w:pPr>
            <w:r w:rsidRPr="00C65B3C">
              <w:rPr>
                <w:rFonts w:ascii="Arial" w:eastAsia="Times New Roman" w:hAnsi="Arial" w:cs="Arial"/>
                <w:b/>
                <w:bCs/>
                <w:color w:val="000000"/>
                <w:kern w:val="0"/>
                <w:sz w:val="18"/>
                <w:szCs w:val="18"/>
                <w:lang w:eastAsia="pt-BR"/>
                <w14:ligatures w14:val="none"/>
              </w:rPr>
              <w:t>31/12/2023</w:t>
            </w:r>
          </w:p>
        </w:tc>
        <w:tc>
          <w:tcPr>
            <w:tcW w:w="931" w:type="pct"/>
            <w:tcBorders>
              <w:top w:val="single" w:sz="8" w:space="0" w:color="auto"/>
              <w:left w:val="nil"/>
              <w:bottom w:val="single" w:sz="8" w:space="0" w:color="auto"/>
              <w:right w:val="single" w:sz="8" w:space="0" w:color="auto"/>
            </w:tcBorders>
            <w:shd w:val="clear" w:color="000000" w:fill="D9D9D9"/>
            <w:vAlign w:val="center"/>
            <w:hideMark/>
          </w:tcPr>
          <w:p w14:paraId="2F50A810" w14:textId="77777777" w:rsidR="00C65B3C" w:rsidRPr="00C65B3C" w:rsidRDefault="00C65B3C" w:rsidP="00C65B3C">
            <w:pPr>
              <w:spacing w:after="0" w:line="240" w:lineRule="auto"/>
              <w:jc w:val="center"/>
              <w:rPr>
                <w:rFonts w:ascii="Arial" w:eastAsia="Times New Roman" w:hAnsi="Arial" w:cs="Arial"/>
                <w:b/>
                <w:bCs/>
                <w:color w:val="000000"/>
                <w:kern w:val="0"/>
                <w:sz w:val="18"/>
                <w:szCs w:val="18"/>
                <w:lang w:eastAsia="pt-BR"/>
                <w14:ligatures w14:val="none"/>
              </w:rPr>
            </w:pPr>
            <w:r w:rsidRPr="00C65B3C">
              <w:rPr>
                <w:rFonts w:ascii="Arial" w:eastAsia="Times New Roman" w:hAnsi="Arial" w:cs="Arial"/>
                <w:b/>
                <w:bCs/>
                <w:color w:val="000000"/>
                <w:kern w:val="0"/>
                <w:sz w:val="18"/>
                <w:szCs w:val="18"/>
                <w:lang w:eastAsia="pt-BR"/>
                <w14:ligatures w14:val="none"/>
              </w:rPr>
              <w:t xml:space="preserve">31/12/2022 </w:t>
            </w:r>
            <w:r w:rsidRPr="00C65B3C">
              <w:rPr>
                <w:rFonts w:ascii="Arial" w:eastAsia="Times New Roman" w:hAnsi="Arial" w:cs="Arial"/>
                <w:b/>
                <w:bCs/>
                <w:color w:val="000000"/>
                <w:kern w:val="0"/>
                <w:sz w:val="14"/>
                <w:szCs w:val="14"/>
                <w:lang w:eastAsia="pt-BR"/>
                <w14:ligatures w14:val="none"/>
              </w:rPr>
              <w:t>Reapresentado</w:t>
            </w:r>
          </w:p>
        </w:tc>
      </w:tr>
      <w:tr w:rsidR="00C65B3C" w:rsidRPr="00C65B3C" w14:paraId="4325CDEF" w14:textId="77777777" w:rsidTr="00C65B3C">
        <w:trPr>
          <w:trHeight w:val="238"/>
        </w:trPr>
        <w:tc>
          <w:tcPr>
            <w:tcW w:w="3223" w:type="pct"/>
            <w:tcBorders>
              <w:top w:val="nil"/>
              <w:left w:val="single" w:sz="8" w:space="0" w:color="auto"/>
              <w:bottom w:val="single" w:sz="8" w:space="0" w:color="auto"/>
              <w:right w:val="single" w:sz="8" w:space="0" w:color="auto"/>
            </w:tcBorders>
            <w:shd w:val="clear" w:color="000000" w:fill="D9D9D9"/>
            <w:noWrap/>
            <w:vAlign w:val="center"/>
            <w:hideMark/>
          </w:tcPr>
          <w:p w14:paraId="3C6B8E97" w14:textId="77777777" w:rsidR="00C65B3C" w:rsidRPr="00C65B3C" w:rsidRDefault="00C65B3C" w:rsidP="00C65B3C">
            <w:pPr>
              <w:spacing w:after="0" w:line="240" w:lineRule="auto"/>
              <w:rPr>
                <w:rFonts w:ascii="Arial" w:eastAsia="Times New Roman" w:hAnsi="Arial" w:cs="Arial"/>
                <w:b/>
                <w:bCs/>
                <w:color w:val="000000"/>
                <w:kern w:val="0"/>
                <w:sz w:val="18"/>
                <w:szCs w:val="18"/>
                <w:lang w:eastAsia="pt-BR"/>
                <w14:ligatures w14:val="none"/>
              </w:rPr>
            </w:pPr>
            <w:r w:rsidRPr="00C65B3C">
              <w:rPr>
                <w:rFonts w:ascii="Arial" w:eastAsia="Times New Roman" w:hAnsi="Arial" w:cs="Arial"/>
                <w:b/>
                <w:bCs/>
                <w:color w:val="000000"/>
                <w:kern w:val="0"/>
                <w:sz w:val="18"/>
                <w:szCs w:val="18"/>
                <w:lang w:eastAsia="pt-BR"/>
                <w14:ligatures w14:val="none"/>
              </w:rPr>
              <w:t>Despesas</w:t>
            </w:r>
          </w:p>
        </w:tc>
        <w:tc>
          <w:tcPr>
            <w:tcW w:w="846" w:type="pct"/>
            <w:tcBorders>
              <w:top w:val="nil"/>
              <w:left w:val="nil"/>
              <w:bottom w:val="single" w:sz="8" w:space="0" w:color="auto"/>
              <w:right w:val="single" w:sz="8" w:space="0" w:color="auto"/>
            </w:tcBorders>
            <w:shd w:val="clear" w:color="000000" w:fill="D9D9D9"/>
            <w:noWrap/>
            <w:vAlign w:val="center"/>
            <w:hideMark/>
          </w:tcPr>
          <w:p w14:paraId="054A1D83" w14:textId="77777777" w:rsidR="00C65B3C" w:rsidRPr="00C65B3C" w:rsidRDefault="00C65B3C" w:rsidP="00C65B3C">
            <w:pPr>
              <w:spacing w:after="0" w:line="240" w:lineRule="auto"/>
              <w:jc w:val="right"/>
              <w:rPr>
                <w:rFonts w:ascii="Arial" w:eastAsia="Times New Roman" w:hAnsi="Arial" w:cs="Arial"/>
                <w:b/>
                <w:bCs/>
                <w:color w:val="000000"/>
                <w:kern w:val="0"/>
                <w:sz w:val="18"/>
                <w:szCs w:val="18"/>
                <w:lang w:eastAsia="pt-BR"/>
                <w14:ligatures w14:val="none"/>
              </w:rPr>
            </w:pPr>
            <w:r w:rsidRPr="00C65B3C">
              <w:rPr>
                <w:rFonts w:ascii="Arial" w:eastAsia="Times New Roman" w:hAnsi="Arial" w:cs="Arial"/>
                <w:b/>
                <w:bCs/>
                <w:color w:val="000000"/>
                <w:kern w:val="0"/>
                <w:sz w:val="18"/>
                <w:szCs w:val="18"/>
                <w:lang w:eastAsia="pt-BR"/>
                <w14:ligatures w14:val="none"/>
              </w:rPr>
              <w:t xml:space="preserve">              (235.465)</w:t>
            </w:r>
          </w:p>
        </w:tc>
        <w:tc>
          <w:tcPr>
            <w:tcW w:w="931" w:type="pct"/>
            <w:tcBorders>
              <w:top w:val="nil"/>
              <w:left w:val="nil"/>
              <w:bottom w:val="single" w:sz="8" w:space="0" w:color="auto"/>
              <w:right w:val="single" w:sz="8" w:space="0" w:color="auto"/>
            </w:tcBorders>
            <w:shd w:val="clear" w:color="000000" w:fill="D9D9D9"/>
            <w:noWrap/>
            <w:vAlign w:val="center"/>
            <w:hideMark/>
          </w:tcPr>
          <w:p w14:paraId="075AD83A" w14:textId="77777777" w:rsidR="00C65B3C" w:rsidRPr="00C65B3C" w:rsidRDefault="00C65B3C" w:rsidP="00C65B3C">
            <w:pPr>
              <w:spacing w:after="0" w:line="240" w:lineRule="auto"/>
              <w:jc w:val="right"/>
              <w:rPr>
                <w:rFonts w:ascii="Arial" w:eastAsia="Times New Roman" w:hAnsi="Arial" w:cs="Arial"/>
                <w:b/>
                <w:bCs/>
                <w:color w:val="000000"/>
                <w:kern w:val="0"/>
                <w:sz w:val="18"/>
                <w:szCs w:val="18"/>
                <w:lang w:eastAsia="pt-BR"/>
                <w14:ligatures w14:val="none"/>
              </w:rPr>
            </w:pPr>
            <w:r w:rsidRPr="00C65B3C">
              <w:rPr>
                <w:rFonts w:ascii="Arial" w:eastAsia="Times New Roman" w:hAnsi="Arial" w:cs="Arial"/>
                <w:b/>
                <w:bCs/>
                <w:color w:val="000000"/>
                <w:kern w:val="0"/>
                <w:sz w:val="18"/>
                <w:szCs w:val="18"/>
                <w:lang w:eastAsia="pt-BR"/>
                <w14:ligatures w14:val="none"/>
              </w:rPr>
              <w:t xml:space="preserve">                 (225.199)</w:t>
            </w:r>
          </w:p>
        </w:tc>
      </w:tr>
      <w:tr w:rsidR="00C65B3C" w:rsidRPr="00C65B3C" w14:paraId="18F5A40B" w14:textId="77777777" w:rsidTr="00C65B3C">
        <w:trPr>
          <w:trHeight w:val="238"/>
        </w:trPr>
        <w:tc>
          <w:tcPr>
            <w:tcW w:w="3223" w:type="pct"/>
            <w:tcBorders>
              <w:top w:val="nil"/>
              <w:left w:val="single" w:sz="8" w:space="0" w:color="auto"/>
              <w:bottom w:val="single" w:sz="8" w:space="0" w:color="auto"/>
              <w:right w:val="single" w:sz="8" w:space="0" w:color="auto"/>
            </w:tcBorders>
            <w:shd w:val="clear" w:color="auto" w:fill="auto"/>
            <w:noWrap/>
            <w:vAlign w:val="center"/>
            <w:hideMark/>
          </w:tcPr>
          <w:p w14:paraId="1C5A31C1" w14:textId="77777777" w:rsidR="00C65B3C" w:rsidRPr="00C65B3C" w:rsidRDefault="00C65B3C" w:rsidP="00C65B3C">
            <w:pPr>
              <w:spacing w:after="0" w:line="240" w:lineRule="auto"/>
              <w:rPr>
                <w:rFonts w:ascii="Arial" w:eastAsia="Times New Roman" w:hAnsi="Arial" w:cs="Arial"/>
                <w:b/>
                <w:bCs/>
                <w:color w:val="000000"/>
                <w:kern w:val="0"/>
                <w:sz w:val="18"/>
                <w:szCs w:val="18"/>
                <w:lang w:eastAsia="pt-BR"/>
                <w14:ligatures w14:val="none"/>
              </w:rPr>
            </w:pPr>
            <w:r w:rsidRPr="00C65B3C">
              <w:rPr>
                <w:rFonts w:ascii="Arial" w:eastAsia="Times New Roman" w:hAnsi="Arial" w:cs="Arial"/>
                <w:b/>
                <w:bCs/>
                <w:color w:val="000000"/>
                <w:kern w:val="0"/>
                <w:sz w:val="18"/>
                <w:szCs w:val="18"/>
                <w:lang w:eastAsia="pt-BR"/>
                <w14:ligatures w14:val="none"/>
              </w:rPr>
              <w:t>i) Compartilhamento de Instalações</w:t>
            </w:r>
          </w:p>
        </w:tc>
        <w:tc>
          <w:tcPr>
            <w:tcW w:w="846" w:type="pct"/>
            <w:tcBorders>
              <w:top w:val="nil"/>
              <w:left w:val="nil"/>
              <w:bottom w:val="single" w:sz="8" w:space="0" w:color="auto"/>
              <w:right w:val="single" w:sz="8" w:space="0" w:color="auto"/>
            </w:tcBorders>
            <w:shd w:val="clear" w:color="auto" w:fill="auto"/>
            <w:noWrap/>
            <w:vAlign w:val="center"/>
            <w:hideMark/>
          </w:tcPr>
          <w:p w14:paraId="4B336A1E" w14:textId="77777777" w:rsidR="00C65B3C" w:rsidRPr="00C65B3C" w:rsidRDefault="00C65B3C" w:rsidP="00C65B3C">
            <w:pPr>
              <w:spacing w:after="0" w:line="240" w:lineRule="auto"/>
              <w:jc w:val="right"/>
              <w:rPr>
                <w:rFonts w:ascii="Arial" w:eastAsia="Times New Roman" w:hAnsi="Arial" w:cs="Arial"/>
                <w:b/>
                <w:bCs/>
                <w:color w:val="000000"/>
                <w:kern w:val="0"/>
                <w:sz w:val="18"/>
                <w:szCs w:val="18"/>
                <w:lang w:eastAsia="pt-BR"/>
                <w14:ligatures w14:val="none"/>
              </w:rPr>
            </w:pPr>
            <w:r w:rsidRPr="00C65B3C">
              <w:rPr>
                <w:rFonts w:ascii="Arial" w:eastAsia="Times New Roman" w:hAnsi="Arial" w:cs="Arial"/>
                <w:b/>
                <w:bCs/>
                <w:color w:val="000000"/>
                <w:kern w:val="0"/>
                <w:sz w:val="18"/>
                <w:szCs w:val="18"/>
                <w:lang w:eastAsia="pt-BR"/>
                <w14:ligatures w14:val="none"/>
              </w:rPr>
              <w:t xml:space="preserve">                  (1.033)</w:t>
            </w:r>
          </w:p>
        </w:tc>
        <w:tc>
          <w:tcPr>
            <w:tcW w:w="931" w:type="pct"/>
            <w:tcBorders>
              <w:top w:val="nil"/>
              <w:left w:val="nil"/>
              <w:bottom w:val="single" w:sz="8" w:space="0" w:color="auto"/>
              <w:right w:val="single" w:sz="8" w:space="0" w:color="auto"/>
            </w:tcBorders>
            <w:shd w:val="clear" w:color="auto" w:fill="auto"/>
            <w:noWrap/>
            <w:vAlign w:val="center"/>
            <w:hideMark/>
          </w:tcPr>
          <w:p w14:paraId="0E7AD2CC" w14:textId="77777777" w:rsidR="00C65B3C" w:rsidRPr="00C65B3C" w:rsidRDefault="00C65B3C" w:rsidP="00C65B3C">
            <w:pPr>
              <w:spacing w:after="0" w:line="240" w:lineRule="auto"/>
              <w:jc w:val="right"/>
              <w:rPr>
                <w:rFonts w:ascii="Arial" w:eastAsia="Times New Roman" w:hAnsi="Arial" w:cs="Arial"/>
                <w:b/>
                <w:bCs/>
                <w:color w:val="000000"/>
                <w:kern w:val="0"/>
                <w:sz w:val="18"/>
                <w:szCs w:val="18"/>
                <w:lang w:eastAsia="pt-BR"/>
                <w14:ligatures w14:val="none"/>
              </w:rPr>
            </w:pPr>
            <w:r w:rsidRPr="00C65B3C">
              <w:rPr>
                <w:rFonts w:ascii="Arial" w:eastAsia="Times New Roman" w:hAnsi="Arial" w:cs="Arial"/>
                <w:b/>
                <w:bCs/>
                <w:color w:val="000000"/>
                <w:kern w:val="0"/>
                <w:sz w:val="18"/>
                <w:szCs w:val="18"/>
                <w:lang w:eastAsia="pt-BR"/>
                <w14:ligatures w14:val="none"/>
              </w:rPr>
              <w:t xml:space="preserve">                     (1.065)</w:t>
            </w:r>
          </w:p>
        </w:tc>
      </w:tr>
      <w:tr w:rsidR="00C65B3C" w:rsidRPr="00C65B3C" w14:paraId="2CD98DE5" w14:textId="77777777" w:rsidTr="00C65B3C">
        <w:trPr>
          <w:trHeight w:val="238"/>
        </w:trPr>
        <w:tc>
          <w:tcPr>
            <w:tcW w:w="3223" w:type="pct"/>
            <w:tcBorders>
              <w:top w:val="nil"/>
              <w:left w:val="single" w:sz="8" w:space="0" w:color="auto"/>
              <w:bottom w:val="single" w:sz="8" w:space="0" w:color="auto"/>
              <w:right w:val="single" w:sz="8" w:space="0" w:color="auto"/>
            </w:tcBorders>
            <w:shd w:val="clear" w:color="auto" w:fill="auto"/>
            <w:noWrap/>
            <w:vAlign w:val="center"/>
            <w:hideMark/>
          </w:tcPr>
          <w:p w14:paraId="22A2FBDC" w14:textId="77777777" w:rsidR="00C65B3C" w:rsidRPr="00C65B3C" w:rsidRDefault="00C65B3C" w:rsidP="00C65B3C">
            <w:pPr>
              <w:spacing w:after="0" w:line="240" w:lineRule="auto"/>
              <w:ind w:firstLineChars="100" w:firstLine="180"/>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Petróleo Brasileiro S. A</w:t>
            </w:r>
          </w:p>
        </w:tc>
        <w:tc>
          <w:tcPr>
            <w:tcW w:w="846" w:type="pct"/>
            <w:tcBorders>
              <w:top w:val="nil"/>
              <w:left w:val="nil"/>
              <w:bottom w:val="single" w:sz="8" w:space="0" w:color="auto"/>
              <w:right w:val="single" w:sz="8" w:space="0" w:color="auto"/>
            </w:tcBorders>
            <w:shd w:val="clear" w:color="auto" w:fill="auto"/>
            <w:noWrap/>
            <w:vAlign w:val="center"/>
            <w:hideMark/>
          </w:tcPr>
          <w:p w14:paraId="61A4F3CC"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xml:space="preserve">                  (1.033)</w:t>
            </w:r>
          </w:p>
        </w:tc>
        <w:tc>
          <w:tcPr>
            <w:tcW w:w="931" w:type="pct"/>
            <w:tcBorders>
              <w:top w:val="nil"/>
              <w:left w:val="nil"/>
              <w:bottom w:val="single" w:sz="8" w:space="0" w:color="auto"/>
              <w:right w:val="single" w:sz="8" w:space="0" w:color="auto"/>
            </w:tcBorders>
            <w:shd w:val="clear" w:color="auto" w:fill="auto"/>
            <w:noWrap/>
            <w:vAlign w:val="center"/>
            <w:hideMark/>
          </w:tcPr>
          <w:p w14:paraId="1029C0E3"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xml:space="preserve">                     (1.065)</w:t>
            </w:r>
          </w:p>
        </w:tc>
      </w:tr>
      <w:tr w:rsidR="00C65B3C" w:rsidRPr="00C65B3C" w14:paraId="61D7B091" w14:textId="77777777" w:rsidTr="00C65B3C">
        <w:trPr>
          <w:trHeight w:val="238"/>
        </w:trPr>
        <w:tc>
          <w:tcPr>
            <w:tcW w:w="3223" w:type="pct"/>
            <w:tcBorders>
              <w:top w:val="nil"/>
              <w:left w:val="single" w:sz="8" w:space="0" w:color="auto"/>
              <w:bottom w:val="single" w:sz="8" w:space="0" w:color="auto"/>
              <w:right w:val="single" w:sz="8" w:space="0" w:color="auto"/>
            </w:tcBorders>
            <w:shd w:val="clear" w:color="auto" w:fill="auto"/>
            <w:noWrap/>
            <w:vAlign w:val="center"/>
            <w:hideMark/>
          </w:tcPr>
          <w:p w14:paraId="31256455" w14:textId="77777777" w:rsidR="00C65B3C" w:rsidRPr="00C65B3C" w:rsidRDefault="00C65B3C" w:rsidP="00C65B3C">
            <w:pPr>
              <w:spacing w:after="0" w:line="240" w:lineRule="auto"/>
              <w:rPr>
                <w:rFonts w:ascii="Arial" w:eastAsia="Times New Roman" w:hAnsi="Arial" w:cs="Arial"/>
                <w:b/>
                <w:bCs/>
                <w:color w:val="000000"/>
                <w:kern w:val="0"/>
                <w:sz w:val="18"/>
                <w:szCs w:val="18"/>
                <w:lang w:eastAsia="pt-BR"/>
                <w14:ligatures w14:val="none"/>
              </w:rPr>
            </w:pPr>
            <w:r w:rsidRPr="00C65B3C">
              <w:rPr>
                <w:rFonts w:ascii="Arial" w:eastAsia="Times New Roman" w:hAnsi="Arial" w:cs="Arial"/>
                <w:b/>
                <w:bCs/>
                <w:color w:val="000000"/>
                <w:kern w:val="0"/>
                <w:sz w:val="18"/>
                <w:szCs w:val="18"/>
                <w:lang w:eastAsia="pt-BR"/>
                <w14:ligatures w14:val="none"/>
              </w:rPr>
              <w:t>j) Meios de conexão e Transmissão</w:t>
            </w:r>
          </w:p>
        </w:tc>
        <w:tc>
          <w:tcPr>
            <w:tcW w:w="846" w:type="pct"/>
            <w:tcBorders>
              <w:top w:val="nil"/>
              <w:left w:val="nil"/>
              <w:bottom w:val="single" w:sz="8" w:space="0" w:color="auto"/>
              <w:right w:val="single" w:sz="8" w:space="0" w:color="auto"/>
            </w:tcBorders>
            <w:shd w:val="clear" w:color="auto" w:fill="auto"/>
            <w:noWrap/>
            <w:vAlign w:val="center"/>
            <w:hideMark/>
          </w:tcPr>
          <w:p w14:paraId="0286D811" w14:textId="77777777" w:rsidR="00C65B3C" w:rsidRPr="00C65B3C" w:rsidRDefault="00C65B3C" w:rsidP="00C65B3C">
            <w:pPr>
              <w:spacing w:after="0" w:line="240" w:lineRule="auto"/>
              <w:jc w:val="right"/>
              <w:rPr>
                <w:rFonts w:ascii="Arial" w:eastAsia="Times New Roman" w:hAnsi="Arial" w:cs="Arial"/>
                <w:b/>
                <w:bCs/>
                <w:color w:val="000000"/>
                <w:kern w:val="0"/>
                <w:sz w:val="18"/>
                <w:szCs w:val="18"/>
                <w:lang w:eastAsia="pt-BR"/>
                <w14:ligatures w14:val="none"/>
              </w:rPr>
            </w:pPr>
            <w:r w:rsidRPr="00C65B3C">
              <w:rPr>
                <w:rFonts w:ascii="Arial" w:eastAsia="Times New Roman" w:hAnsi="Arial" w:cs="Arial"/>
                <w:b/>
                <w:bCs/>
                <w:color w:val="000000"/>
                <w:kern w:val="0"/>
                <w:sz w:val="18"/>
                <w:szCs w:val="18"/>
                <w:lang w:eastAsia="pt-BR"/>
                <w14:ligatures w14:val="none"/>
              </w:rPr>
              <w:t xml:space="preserve">                (17.184)</w:t>
            </w:r>
          </w:p>
        </w:tc>
        <w:tc>
          <w:tcPr>
            <w:tcW w:w="931" w:type="pct"/>
            <w:tcBorders>
              <w:top w:val="nil"/>
              <w:left w:val="nil"/>
              <w:bottom w:val="single" w:sz="8" w:space="0" w:color="auto"/>
              <w:right w:val="single" w:sz="8" w:space="0" w:color="auto"/>
            </w:tcBorders>
            <w:shd w:val="clear" w:color="auto" w:fill="auto"/>
            <w:noWrap/>
            <w:vAlign w:val="center"/>
            <w:hideMark/>
          </w:tcPr>
          <w:p w14:paraId="0A1BA6B9" w14:textId="77777777" w:rsidR="00C65B3C" w:rsidRPr="00C65B3C" w:rsidRDefault="00C65B3C" w:rsidP="00C65B3C">
            <w:pPr>
              <w:spacing w:after="0" w:line="240" w:lineRule="auto"/>
              <w:jc w:val="right"/>
              <w:rPr>
                <w:rFonts w:ascii="Arial" w:eastAsia="Times New Roman" w:hAnsi="Arial" w:cs="Arial"/>
                <w:b/>
                <w:bCs/>
                <w:color w:val="000000"/>
                <w:kern w:val="0"/>
                <w:sz w:val="18"/>
                <w:szCs w:val="18"/>
                <w:lang w:eastAsia="pt-BR"/>
                <w14:ligatures w14:val="none"/>
              </w:rPr>
            </w:pPr>
            <w:r w:rsidRPr="00C65B3C">
              <w:rPr>
                <w:rFonts w:ascii="Arial" w:eastAsia="Times New Roman" w:hAnsi="Arial" w:cs="Arial"/>
                <w:b/>
                <w:bCs/>
                <w:color w:val="000000"/>
                <w:kern w:val="0"/>
                <w:sz w:val="18"/>
                <w:szCs w:val="18"/>
                <w:lang w:eastAsia="pt-BR"/>
                <w14:ligatures w14:val="none"/>
              </w:rPr>
              <w:t xml:space="preserve">                   (18.074)</w:t>
            </w:r>
          </w:p>
        </w:tc>
      </w:tr>
      <w:tr w:rsidR="00C65B3C" w:rsidRPr="00C65B3C" w14:paraId="5EDECA45" w14:textId="77777777" w:rsidTr="00C65B3C">
        <w:trPr>
          <w:trHeight w:val="238"/>
        </w:trPr>
        <w:tc>
          <w:tcPr>
            <w:tcW w:w="3223" w:type="pct"/>
            <w:tcBorders>
              <w:top w:val="nil"/>
              <w:left w:val="single" w:sz="8" w:space="0" w:color="auto"/>
              <w:bottom w:val="single" w:sz="8" w:space="0" w:color="auto"/>
              <w:right w:val="single" w:sz="8" w:space="0" w:color="auto"/>
            </w:tcBorders>
            <w:shd w:val="clear" w:color="auto" w:fill="auto"/>
            <w:noWrap/>
            <w:vAlign w:val="center"/>
            <w:hideMark/>
          </w:tcPr>
          <w:p w14:paraId="2A9DA5B3" w14:textId="77777777" w:rsidR="00C65B3C" w:rsidRPr="00C65B3C" w:rsidRDefault="00C65B3C" w:rsidP="00C65B3C">
            <w:pPr>
              <w:spacing w:after="0" w:line="240" w:lineRule="auto"/>
              <w:ind w:firstLineChars="100" w:firstLine="180"/>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Petróleo Brasileiro S. A</w:t>
            </w:r>
          </w:p>
        </w:tc>
        <w:tc>
          <w:tcPr>
            <w:tcW w:w="846" w:type="pct"/>
            <w:tcBorders>
              <w:top w:val="nil"/>
              <w:left w:val="nil"/>
              <w:bottom w:val="single" w:sz="8" w:space="0" w:color="auto"/>
              <w:right w:val="single" w:sz="8" w:space="0" w:color="auto"/>
            </w:tcBorders>
            <w:shd w:val="clear" w:color="auto" w:fill="auto"/>
            <w:noWrap/>
            <w:vAlign w:val="center"/>
            <w:hideMark/>
          </w:tcPr>
          <w:p w14:paraId="7CEA9851"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xml:space="preserve">                (17.184)</w:t>
            </w:r>
          </w:p>
        </w:tc>
        <w:tc>
          <w:tcPr>
            <w:tcW w:w="931" w:type="pct"/>
            <w:tcBorders>
              <w:top w:val="nil"/>
              <w:left w:val="nil"/>
              <w:bottom w:val="single" w:sz="8" w:space="0" w:color="auto"/>
              <w:right w:val="single" w:sz="8" w:space="0" w:color="auto"/>
            </w:tcBorders>
            <w:shd w:val="clear" w:color="auto" w:fill="auto"/>
            <w:noWrap/>
            <w:vAlign w:val="center"/>
            <w:hideMark/>
          </w:tcPr>
          <w:p w14:paraId="4EE268E4"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xml:space="preserve">                   (18.074)</w:t>
            </w:r>
          </w:p>
        </w:tc>
      </w:tr>
      <w:tr w:rsidR="00C65B3C" w:rsidRPr="00C65B3C" w14:paraId="5757477F" w14:textId="77777777" w:rsidTr="00C65B3C">
        <w:trPr>
          <w:trHeight w:val="238"/>
        </w:trPr>
        <w:tc>
          <w:tcPr>
            <w:tcW w:w="3223" w:type="pct"/>
            <w:tcBorders>
              <w:top w:val="nil"/>
              <w:left w:val="single" w:sz="8" w:space="0" w:color="auto"/>
              <w:bottom w:val="single" w:sz="8" w:space="0" w:color="auto"/>
              <w:right w:val="single" w:sz="8" w:space="0" w:color="auto"/>
            </w:tcBorders>
            <w:shd w:val="clear" w:color="auto" w:fill="auto"/>
            <w:noWrap/>
            <w:vAlign w:val="center"/>
            <w:hideMark/>
          </w:tcPr>
          <w:p w14:paraId="240291EF" w14:textId="77777777" w:rsidR="00C65B3C" w:rsidRPr="00C65B3C" w:rsidRDefault="00C65B3C" w:rsidP="00C65B3C">
            <w:pPr>
              <w:spacing w:after="0" w:line="240" w:lineRule="auto"/>
              <w:rPr>
                <w:rFonts w:ascii="Arial" w:eastAsia="Times New Roman" w:hAnsi="Arial" w:cs="Arial"/>
                <w:b/>
                <w:bCs/>
                <w:color w:val="000000"/>
                <w:kern w:val="0"/>
                <w:sz w:val="18"/>
                <w:szCs w:val="18"/>
                <w:lang w:eastAsia="pt-BR"/>
                <w14:ligatures w14:val="none"/>
              </w:rPr>
            </w:pPr>
            <w:r w:rsidRPr="00C65B3C">
              <w:rPr>
                <w:rFonts w:ascii="Arial" w:eastAsia="Times New Roman" w:hAnsi="Arial" w:cs="Arial"/>
                <w:b/>
                <w:bCs/>
                <w:color w:val="000000"/>
                <w:kern w:val="0"/>
                <w:sz w:val="18"/>
                <w:szCs w:val="18"/>
                <w:lang w:eastAsia="pt-BR"/>
                <w14:ligatures w14:val="none"/>
              </w:rPr>
              <w:t>k) Garantia Estendida</w:t>
            </w:r>
          </w:p>
        </w:tc>
        <w:tc>
          <w:tcPr>
            <w:tcW w:w="846" w:type="pct"/>
            <w:tcBorders>
              <w:top w:val="nil"/>
              <w:left w:val="nil"/>
              <w:bottom w:val="single" w:sz="8" w:space="0" w:color="auto"/>
              <w:right w:val="single" w:sz="8" w:space="0" w:color="auto"/>
            </w:tcBorders>
            <w:shd w:val="clear" w:color="auto" w:fill="auto"/>
            <w:noWrap/>
            <w:vAlign w:val="center"/>
            <w:hideMark/>
          </w:tcPr>
          <w:p w14:paraId="11A541A3" w14:textId="77777777" w:rsidR="00C65B3C" w:rsidRPr="00C65B3C" w:rsidRDefault="00C65B3C" w:rsidP="00C65B3C">
            <w:pPr>
              <w:spacing w:after="0" w:line="240" w:lineRule="auto"/>
              <w:jc w:val="right"/>
              <w:rPr>
                <w:rFonts w:ascii="Arial" w:eastAsia="Times New Roman" w:hAnsi="Arial" w:cs="Arial"/>
                <w:b/>
                <w:bCs/>
                <w:color w:val="000000"/>
                <w:kern w:val="0"/>
                <w:sz w:val="18"/>
                <w:szCs w:val="18"/>
                <w:lang w:eastAsia="pt-BR"/>
                <w14:ligatures w14:val="none"/>
              </w:rPr>
            </w:pPr>
            <w:r w:rsidRPr="00C65B3C">
              <w:rPr>
                <w:rFonts w:ascii="Arial" w:eastAsia="Times New Roman" w:hAnsi="Arial" w:cs="Arial"/>
                <w:b/>
                <w:bCs/>
                <w:color w:val="000000"/>
                <w:kern w:val="0"/>
                <w:sz w:val="18"/>
                <w:szCs w:val="18"/>
                <w:lang w:eastAsia="pt-BR"/>
                <w14:ligatures w14:val="none"/>
              </w:rPr>
              <w:t xml:space="preserve">                (13.338)</w:t>
            </w:r>
          </w:p>
        </w:tc>
        <w:tc>
          <w:tcPr>
            <w:tcW w:w="931" w:type="pct"/>
            <w:tcBorders>
              <w:top w:val="nil"/>
              <w:left w:val="nil"/>
              <w:bottom w:val="single" w:sz="8" w:space="0" w:color="auto"/>
              <w:right w:val="single" w:sz="8" w:space="0" w:color="auto"/>
            </w:tcBorders>
            <w:shd w:val="clear" w:color="auto" w:fill="auto"/>
            <w:noWrap/>
            <w:vAlign w:val="center"/>
            <w:hideMark/>
          </w:tcPr>
          <w:p w14:paraId="0BD3CC74" w14:textId="77777777" w:rsidR="00C65B3C" w:rsidRPr="00C65B3C" w:rsidRDefault="00C65B3C" w:rsidP="00C65B3C">
            <w:pPr>
              <w:spacing w:after="0" w:line="240" w:lineRule="auto"/>
              <w:jc w:val="right"/>
              <w:rPr>
                <w:rFonts w:ascii="Arial" w:eastAsia="Times New Roman" w:hAnsi="Arial" w:cs="Arial"/>
                <w:b/>
                <w:bCs/>
                <w:color w:val="000000"/>
                <w:kern w:val="0"/>
                <w:sz w:val="18"/>
                <w:szCs w:val="18"/>
                <w:lang w:eastAsia="pt-BR"/>
                <w14:ligatures w14:val="none"/>
              </w:rPr>
            </w:pPr>
            <w:r w:rsidRPr="00C65B3C">
              <w:rPr>
                <w:rFonts w:ascii="Arial" w:eastAsia="Times New Roman" w:hAnsi="Arial" w:cs="Arial"/>
                <w:b/>
                <w:bCs/>
                <w:color w:val="000000"/>
                <w:kern w:val="0"/>
                <w:sz w:val="18"/>
                <w:szCs w:val="18"/>
                <w:lang w:eastAsia="pt-BR"/>
                <w14:ligatures w14:val="none"/>
              </w:rPr>
              <w:t xml:space="preserve">                   (13.586)</w:t>
            </w:r>
          </w:p>
        </w:tc>
      </w:tr>
      <w:tr w:rsidR="00C65B3C" w:rsidRPr="00C65B3C" w14:paraId="65B00A6F" w14:textId="77777777" w:rsidTr="00C65B3C">
        <w:trPr>
          <w:trHeight w:val="238"/>
        </w:trPr>
        <w:tc>
          <w:tcPr>
            <w:tcW w:w="3223" w:type="pct"/>
            <w:tcBorders>
              <w:top w:val="nil"/>
              <w:left w:val="single" w:sz="8" w:space="0" w:color="auto"/>
              <w:bottom w:val="single" w:sz="8" w:space="0" w:color="auto"/>
              <w:right w:val="single" w:sz="8" w:space="0" w:color="auto"/>
            </w:tcBorders>
            <w:shd w:val="clear" w:color="auto" w:fill="auto"/>
            <w:vAlign w:val="center"/>
            <w:hideMark/>
          </w:tcPr>
          <w:p w14:paraId="4A5EA64F" w14:textId="77777777" w:rsidR="00C65B3C" w:rsidRPr="00C65B3C" w:rsidRDefault="00C65B3C" w:rsidP="00C65B3C">
            <w:pPr>
              <w:spacing w:after="0" w:line="240" w:lineRule="auto"/>
              <w:ind w:firstLineChars="100" w:firstLine="180"/>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Visiona Internacional BV</w:t>
            </w:r>
          </w:p>
        </w:tc>
        <w:tc>
          <w:tcPr>
            <w:tcW w:w="846" w:type="pct"/>
            <w:tcBorders>
              <w:top w:val="nil"/>
              <w:left w:val="nil"/>
              <w:bottom w:val="single" w:sz="8" w:space="0" w:color="auto"/>
              <w:right w:val="single" w:sz="8" w:space="0" w:color="auto"/>
            </w:tcBorders>
            <w:shd w:val="clear" w:color="auto" w:fill="auto"/>
            <w:noWrap/>
            <w:vAlign w:val="center"/>
            <w:hideMark/>
          </w:tcPr>
          <w:p w14:paraId="2C1EF001"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xml:space="preserve">                (13.338)</w:t>
            </w:r>
          </w:p>
        </w:tc>
        <w:tc>
          <w:tcPr>
            <w:tcW w:w="931" w:type="pct"/>
            <w:tcBorders>
              <w:top w:val="nil"/>
              <w:left w:val="nil"/>
              <w:bottom w:val="single" w:sz="8" w:space="0" w:color="auto"/>
              <w:right w:val="single" w:sz="8" w:space="0" w:color="auto"/>
            </w:tcBorders>
            <w:shd w:val="clear" w:color="auto" w:fill="auto"/>
            <w:noWrap/>
            <w:vAlign w:val="center"/>
            <w:hideMark/>
          </w:tcPr>
          <w:p w14:paraId="39EA1EE5"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xml:space="preserve">                   (13.586)</w:t>
            </w:r>
          </w:p>
        </w:tc>
      </w:tr>
      <w:tr w:rsidR="00C65B3C" w:rsidRPr="00C65B3C" w14:paraId="19A265C3" w14:textId="77777777" w:rsidTr="00C65B3C">
        <w:trPr>
          <w:trHeight w:val="238"/>
        </w:trPr>
        <w:tc>
          <w:tcPr>
            <w:tcW w:w="3223" w:type="pct"/>
            <w:tcBorders>
              <w:top w:val="nil"/>
              <w:left w:val="single" w:sz="8" w:space="0" w:color="auto"/>
              <w:bottom w:val="single" w:sz="8" w:space="0" w:color="auto"/>
              <w:right w:val="single" w:sz="8" w:space="0" w:color="auto"/>
            </w:tcBorders>
            <w:shd w:val="clear" w:color="auto" w:fill="auto"/>
            <w:noWrap/>
            <w:vAlign w:val="center"/>
            <w:hideMark/>
          </w:tcPr>
          <w:p w14:paraId="2D8D3CF6" w14:textId="77777777" w:rsidR="00C65B3C" w:rsidRPr="00C65B3C" w:rsidRDefault="00C65B3C" w:rsidP="00C65B3C">
            <w:pPr>
              <w:spacing w:after="0" w:line="240" w:lineRule="auto"/>
              <w:rPr>
                <w:rFonts w:ascii="Arial" w:eastAsia="Times New Roman" w:hAnsi="Arial" w:cs="Arial"/>
                <w:b/>
                <w:bCs/>
                <w:color w:val="000000"/>
                <w:kern w:val="0"/>
                <w:sz w:val="18"/>
                <w:szCs w:val="18"/>
                <w:lang w:eastAsia="pt-BR"/>
                <w14:ligatures w14:val="none"/>
              </w:rPr>
            </w:pPr>
            <w:r w:rsidRPr="00C65B3C">
              <w:rPr>
                <w:rFonts w:ascii="Arial" w:eastAsia="Times New Roman" w:hAnsi="Arial" w:cs="Arial"/>
                <w:b/>
                <w:bCs/>
                <w:color w:val="000000"/>
                <w:kern w:val="0"/>
                <w:sz w:val="18"/>
                <w:szCs w:val="18"/>
                <w:lang w:eastAsia="pt-BR"/>
                <w14:ligatures w14:val="none"/>
              </w:rPr>
              <w:t>l) Despesas financeiras</w:t>
            </w:r>
          </w:p>
        </w:tc>
        <w:tc>
          <w:tcPr>
            <w:tcW w:w="846" w:type="pct"/>
            <w:tcBorders>
              <w:top w:val="nil"/>
              <w:left w:val="nil"/>
              <w:bottom w:val="single" w:sz="8" w:space="0" w:color="auto"/>
              <w:right w:val="single" w:sz="8" w:space="0" w:color="auto"/>
            </w:tcBorders>
            <w:shd w:val="clear" w:color="auto" w:fill="auto"/>
            <w:noWrap/>
            <w:vAlign w:val="center"/>
            <w:hideMark/>
          </w:tcPr>
          <w:p w14:paraId="1E686DC7" w14:textId="77777777" w:rsidR="00C65B3C" w:rsidRPr="00C65B3C" w:rsidRDefault="00C65B3C" w:rsidP="00C65B3C">
            <w:pPr>
              <w:spacing w:after="0" w:line="240" w:lineRule="auto"/>
              <w:jc w:val="right"/>
              <w:rPr>
                <w:rFonts w:ascii="Arial" w:eastAsia="Times New Roman" w:hAnsi="Arial" w:cs="Arial"/>
                <w:b/>
                <w:bCs/>
                <w:color w:val="000000"/>
                <w:kern w:val="0"/>
                <w:sz w:val="18"/>
                <w:szCs w:val="18"/>
                <w:lang w:eastAsia="pt-BR"/>
                <w14:ligatures w14:val="none"/>
              </w:rPr>
            </w:pPr>
            <w:r w:rsidRPr="00C65B3C">
              <w:rPr>
                <w:rFonts w:ascii="Arial" w:eastAsia="Times New Roman" w:hAnsi="Arial" w:cs="Arial"/>
                <w:b/>
                <w:bCs/>
                <w:color w:val="000000"/>
                <w:kern w:val="0"/>
                <w:sz w:val="18"/>
                <w:szCs w:val="18"/>
                <w:lang w:eastAsia="pt-BR"/>
                <w14:ligatures w14:val="none"/>
              </w:rPr>
              <w:t xml:space="preserve">              (203.910)</w:t>
            </w:r>
          </w:p>
        </w:tc>
        <w:tc>
          <w:tcPr>
            <w:tcW w:w="931" w:type="pct"/>
            <w:tcBorders>
              <w:top w:val="nil"/>
              <w:left w:val="nil"/>
              <w:bottom w:val="single" w:sz="8" w:space="0" w:color="auto"/>
              <w:right w:val="single" w:sz="8" w:space="0" w:color="auto"/>
            </w:tcBorders>
            <w:shd w:val="clear" w:color="auto" w:fill="auto"/>
            <w:noWrap/>
            <w:vAlign w:val="center"/>
            <w:hideMark/>
          </w:tcPr>
          <w:p w14:paraId="27483EEA" w14:textId="77777777" w:rsidR="00C65B3C" w:rsidRPr="00C65B3C" w:rsidRDefault="00C65B3C" w:rsidP="00C65B3C">
            <w:pPr>
              <w:spacing w:after="0" w:line="240" w:lineRule="auto"/>
              <w:jc w:val="right"/>
              <w:rPr>
                <w:rFonts w:ascii="Arial" w:eastAsia="Times New Roman" w:hAnsi="Arial" w:cs="Arial"/>
                <w:b/>
                <w:bCs/>
                <w:color w:val="000000"/>
                <w:kern w:val="0"/>
                <w:sz w:val="18"/>
                <w:szCs w:val="18"/>
                <w:lang w:eastAsia="pt-BR"/>
                <w14:ligatures w14:val="none"/>
              </w:rPr>
            </w:pPr>
            <w:r w:rsidRPr="00C65B3C">
              <w:rPr>
                <w:rFonts w:ascii="Arial" w:eastAsia="Times New Roman" w:hAnsi="Arial" w:cs="Arial"/>
                <w:b/>
                <w:bCs/>
                <w:color w:val="000000"/>
                <w:kern w:val="0"/>
                <w:sz w:val="18"/>
                <w:szCs w:val="18"/>
                <w:lang w:eastAsia="pt-BR"/>
                <w14:ligatures w14:val="none"/>
              </w:rPr>
              <w:t xml:space="preserve">                 (192.474)</w:t>
            </w:r>
          </w:p>
        </w:tc>
      </w:tr>
      <w:tr w:rsidR="00C65B3C" w:rsidRPr="00C65B3C" w14:paraId="73FD3C3E" w14:textId="77777777" w:rsidTr="00C65B3C">
        <w:trPr>
          <w:trHeight w:val="238"/>
        </w:trPr>
        <w:tc>
          <w:tcPr>
            <w:tcW w:w="3223" w:type="pct"/>
            <w:tcBorders>
              <w:top w:val="nil"/>
              <w:left w:val="single" w:sz="8" w:space="0" w:color="auto"/>
              <w:bottom w:val="single" w:sz="8" w:space="0" w:color="auto"/>
              <w:right w:val="single" w:sz="8" w:space="0" w:color="auto"/>
            </w:tcBorders>
            <w:shd w:val="clear" w:color="auto" w:fill="auto"/>
            <w:noWrap/>
            <w:vAlign w:val="center"/>
            <w:hideMark/>
          </w:tcPr>
          <w:p w14:paraId="062699A6" w14:textId="77777777" w:rsidR="00C65B3C" w:rsidRPr="00C65B3C" w:rsidRDefault="00C65B3C" w:rsidP="00C65B3C">
            <w:pPr>
              <w:spacing w:after="0" w:line="240" w:lineRule="auto"/>
              <w:ind w:firstLineChars="100" w:firstLine="180"/>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União Federal - AFAC</w:t>
            </w:r>
          </w:p>
        </w:tc>
        <w:tc>
          <w:tcPr>
            <w:tcW w:w="846" w:type="pct"/>
            <w:tcBorders>
              <w:top w:val="nil"/>
              <w:left w:val="nil"/>
              <w:bottom w:val="single" w:sz="8" w:space="0" w:color="auto"/>
              <w:right w:val="single" w:sz="8" w:space="0" w:color="auto"/>
            </w:tcBorders>
            <w:shd w:val="clear" w:color="auto" w:fill="auto"/>
            <w:noWrap/>
            <w:vAlign w:val="center"/>
            <w:hideMark/>
          </w:tcPr>
          <w:p w14:paraId="11E12470"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xml:space="preserve">              (198.436)</w:t>
            </w:r>
          </w:p>
        </w:tc>
        <w:tc>
          <w:tcPr>
            <w:tcW w:w="931" w:type="pct"/>
            <w:tcBorders>
              <w:top w:val="nil"/>
              <w:left w:val="nil"/>
              <w:bottom w:val="single" w:sz="8" w:space="0" w:color="auto"/>
              <w:right w:val="single" w:sz="8" w:space="0" w:color="auto"/>
            </w:tcBorders>
            <w:shd w:val="clear" w:color="auto" w:fill="auto"/>
            <w:noWrap/>
            <w:vAlign w:val="center"/>
            <w:hideMark/>
          </w:tcPr>
          <w:p w14:paraId="053F99D5"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xml:space="preserve">                 (185.767)</w:t>
            </w:r>
          </w:p>
        </w:tc>
      </w:tr>
      <w:tr w:rsidR="00C65B3C" w:rsidRPr="00C65B3C" w14:paraId="65B3CE99" w14:textId="77777777" w:rsidTr="00C65B3C">
        <w:trPr>
          <w:trHeight w:val="238"/>
        </w:trPr>
        <w:tc>
          <w:tcPr>
            <w:tcW w:w="3223" w:type="pct"/>
            <w:tcBorders>
              <w:top w:val="nil"/>
              <w:left w:val="single" w:sz="8" w:space="0" w:color="auto"/>
              <w:bottom w:val="single" w:sz="8" w:space="0" w:color="auto"/>
              <w:right w:val="single" w:sz="8" w:space="0" w:color="auto"/>
            </w:tcBorders>
            <w:shd w:val="clear" w:color="auto" w:fill="auto"/>
            <w:vAlign w:val="center"/>
            <w:hideMark/>
          </w:tcPr>
          <w:p w14:paraId="54FD1BBF" w14:textId="77777777" w:rsidR="00C65B3C" w:rsidRPr="00C65B3C" w:rsidRDefault="00C65B3C" w:rsidP="00C65B3C">
            <w:pPr>
              <w:spacing w:after="0" w:line="240" w:lineRule="auto"/>
              <w:ind w:firstLineChars="100" w:firstLine="180"/>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Financiadora de Estudos e Projetos – FINEP</w:t>
            </w:r>
          </w:p>
        </w:tc>
        <w:tc>
          <w:tcPr>
            <w:tcW w:w="846" w:type="pct"/>
            <w:tcBorders>
              <w:top w:val="nil"/>
              <w:left w:val="nil"/>
              <w:bottom w:val="single" w:sz="8" w:space="0" w:color="auto"/>
              <w:right w:val="single" w:sz="8" w:space="0" w:color="auto"/>
            </w:tcBorders>
            <w:shd w:val="clear" w:color="auto" w:fill="auto"/>
            <w:noWrap/>
            <w:vAlign w:val="center"/>
            <w:hideMark/>
          </w:tcPr>
          <w:p w14:paraId="0D1E46BB"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xml:space="preserve">                  (5.474)</w:t>
            </w:r>
          </w:p>
        </w:tc>
        <w:tc>
          <w:tcPr>
            <w:tcW w:w="931" w:type="pct"/>
            <w:tcBorders>
              <w:top w:val="nil"/>
              <w:left w:val="nil"/>
              <w:bottom w:val="single" w:sz="8" w:space="0" w:color="auto"/>
              <w:right w:val="single" w:sz="8" w:space="0" w:color="auto"/>
            </w:tcBorders>
            <w:shd w:val="clear" w:color="auto" w:fill="auto"/>
            <w:noWrap/>
            <w:vAlign w:val="center"/>
            <w:hideMark/>
          </w:tcPr>
          <w:p w14:paraId="5D8C2D54"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xml:space="preserve">                     (6.707)</w:t>
            </w:r>
          </w:p>
        </w:tc>
      </w:tr>
      <w:tr w:rsidR="00C65B3C" w:rsidRPr="00C65B3C" w14:paraId="2EFA32D2" w14:textId="77777777" w:rsidTr="00C65B3C">
        <w:trPr>
          <w:trHeight w:val="238"/>
        </w:trPr>
        <w:tc>
          <w:tcPr>
            <w:tcW w:w="3223" w:type="pct"/>
            <w:tcBorders>
              <w:top w:val="nil"/>
              <w:left w:val="single" w:sz="8" w:space="0" w:color="auto"/>
              <w:bottom w:val="single" w:sz="8" w:space="0" w:color="auto"/>
              <w:right w:val="single" w:sz="8" w:space="0" w:color="auto"/>
            </w:tcBorders>
            <w:shd w:val="clear" w:color="000000" w:fill="D9D9D9"/>
            <w:noWrap/>
            <w:vAlign w:val="center"/>
            <w:hideMark/>
          </w:tcPr>
          <w:p w14:paraId="3E09B0AE" w14:textId="77777777" w:rsidR="00C65B3C" w:rsidRPr="00C65B3C" w:rsidRDefault="00C65B3C" w:rsidP="00C65B3C">
            <w:pPr>
              <w:spacing w:after="0" w:line="240" w:lineRule="auto"/>
              <w:ind w:firstLineChars="100" w:firstLine="181"/>
              <w:rPr>
                <w:rFonts w:ascii="Arial" w:eastAsia="Times New Roman" w:hAnsi="Arial" w:cs="Arial"/>
                <w:b/>
                <w:bCs/>
                <w:color w:val="000000"/>
                <w:kern w:val="0"/>
                <w:sz w:val="18"/>
                <w:szCs w:val="18"/>
                <w:lang w:eastAsia="pt-BR"/>
                <w14:ligatures w14:val="none"/>
              </w:rPr>
            </w:pPr>
            <w:r w:rsidRPr="00C65B3C">
              <w:rPr>
                <w:rFonts w:ascii="Arial" w:eastAsia="Times New Roman" w:hAnsi="Arial" w:cs="Arial"/>
                <w:b/>
                <w:bCs/>
                <w:color w:val="000000"/>
                <w:kern w:val="0"/>
                <w:sz w:val="18"/>
                <w:szCs w:val="18"/>
                <w:lang w:eastAsia="pt-BR"/>
                <w14:ligatures w14:val="none"/>
              </w:rPr>
              <w:t>Receitas</w:t>
            </w:r>
          </w:p>
        </w:tc>
        <w:tc>
          <w:tcPr>
            <w:tcW w:w="846" w:type="pct"/>
            <w:tcBorders>
              <w:top w:val="nil"/>
              <w:left w:val="nil"/>
              <w:bottom w:val="single" w:sz="8" w:space="0" w:color="auto"/>
              <w:right w:val="single" w:sz="8" w:space="0" w:color="auto"/>
            </w:tcBorders>
            <w:shd w:val="clear" w:color="000000" w:fill="D9D9D9"/>
            <w:noWrap/>
            <w:vAlign w:val="center"/>
            <w:hideMark/>
          </w:tcPr>
          <w:p w14:paraId="14CBC8AC" w14:textId="77777777" w:rsidR="00C65B3C" w:rsidRPr="00C65B3C" w:rsidRDefault="00C65B3C" w:rsidP="00C65B3C">
            <w:pPr>
              <w:spacing w:after="0" w:line="240" w:lineRule="auto"/>
              <w:jc w:val="right"/>
              <w:rPr>
                <w:rFonts w:ascii="Arial" w:eastAsia="Times New Roman" w:hAnsi="Arial" w:cs="Arial"/>
                <w:b/>
                <w:bCs/>
                <w:color w:val="000000"/>
                <w:kern w:val="0"/>
                <w:sz w:val="18"/>
                <w:szCs w:val="18"/>
                <w:lang w:eastAsia="pt-BR"/>
                <w14:ligatures w14:val="none"/>
              </w:rPr>
            </w:pPr>
            <w:r w:rsidRPr="00C65B3C">
              <w:rPr>
                <w:rFonts w:ascii="Arial" w:eastAsia="Times New Roman" w:hAnsi="Arial" w:cs="Arial"/>
                <w:b/>
                <w:bCs/>
                <w:color w:val="000000"/>
                <w:kern w:val="0"/>
                <w:sz w:val="18"/>
                <w:szCs w:val="18"/>
                <w:lang w:eastAsia="pt-BR"/>
                <w14:ligatures w14:val="none"/>
              </w:rPr>
              <w:t xml:space="preserve">                365.905 </w:t>
            </w:r>
          </w:p>
        </w:tc>
        <w:tc>
          <w:tcPr>
            <w:tcW w:w="931" w:type="pct"/>
            <w:tcBorders>
              <w:top w:val="nil"/>
              <w:left w:val="nil"/>
              <w:bottom w:val="single" w:sz="8" w:space="0" w:color="auto"/>
              <w:right w:val="single" w:sz="8" w:space="0" w:color="auto"/>
            </w:tcBorders>
            <w:shd w:val="clear" w:color="000000" w:fill="D9D9D9"/>
            <w:noWrap/>
            <w:vAlign w:val="center"/>
            <w:hideMark/>
          </w:tcPr>
          <w:p w14:paraId="68DE3092" w14:textId="77777777" w:rsidR="00C65B3C" w:rsidRPr="00C65B3C" w:rsidRDefault="00C65B3C" w:rsidP="00C65B3C">
            <w:pPr>
              <w:spacing w:after="0" w:line="240" w:lineRule="auto"/>
              <w:jc w:val="right"/>
              <w:rPr>
                <w:rFonts w:ascii="Arial" w:eastAsia="Times New Roman" w:hAnsi="Arial" w:cs="Arial"/>
                <w:b/>
                <w:bCs/>
                <w:color w:val="000000"/>
                <w:kern w:val="0"/>
                <w:sz w:val="18"/>
                <w:szCs w:val="18"/>
                <w:lang w:eastAsia="pt-BR"/>
                <w14:ligatures w14:val="none"/>
              </w:rPr>
            </w:pPr>
            <w:r w:rsidRPr="00C65B3C">
              <w:rPr>
                <w:rFonts w:ascii="Arial" w:eastAsia="Times New Roman" w:hAnsi="Arial" w:cs="Arial"/>
                <w:b/>
                <w:bCs/>
                <w:color w:val="000000"/>
                <w:kern w:val="0"/>
                <w:sz w:val="18"/>
                <w:szCs w:val="18"/>
                <w:lang w:eastAsia="pt-BR"/>
                <w14:ligatures w14:val="none"/>
              </w:rPr>
              <w:t xml:space="preserve">                   328.299 </w:t>
            </w:r>
          </w:p>
        </w:tc>
      </w:tr>
      <w:tr w:rsidR="00C65B3C" w:rsidRPr="00C65B3C" w14:paraId="450B04A7" w14:textId="77777777" w:rsidTr="00C65B3C">
        <w:trPr>
          <w:trHeight w:val="238"/>
        </w:trPr>
        <w:tc>
          <w:tcPr>
            <w:tcW w:w="3223" w:type="pct"/>
            <w:tcBorders>
              <w:top w:val="nil"/>
              <w:left w:val="single" w:sz="8" w:space="0" w:color="auto"/>
              <w:bottom w:val="single" w:sz="8" w:space="0" w:color="auto"/>
              <w:right w:val="single" w:sz="8" w:space="0" w:color="auto"/>
            </w:tcBorders>
            <w:shd w:val="clear" w:color="auto" w:fill="auto"/>
            <w:noWrap/>
            <w:vAlign w:val="center"/>
            <w:hideMark/>
          </w:tcPr>
          <w:p w14:paraId="4F7C7DB3" w14:textId="77777777" w:rsidR="00C65B3C" w:rsidRPr="00C65B3C" w:rsidRDefault="00C65B3C" w:rsidP="00C65B3C">
            <w:pPr>
              <w:spacing w:after="0" w:line="240" w:lineRule="auto"/>
              <w:rPr>
                <w:rFonts w:ascii="Arial" w:eastAsia="Times New Roman" w:hAnsi="Arial" w:cs="Arial"/>
                <w:b/>
                <w:bCs/>
                <w:color w:val="000000"/>
                <w:kern w:val="0"/>
                <w:sz w:val="18"/>
                <w:szCs w:val="18"/>
                <w:lang w:eastAsia="pt-BR"/>
                <w14:ligatures w14:val="none"/>
              </w:rPr>
            </w:pPr>
            <w:r w:rsidRPr="00C65B3C">
              <w:rPr>
                <w:rFonts w:ascii="Arial" w:eastAsia="Times New Roman" w:hAnsi="Arial" w:cs="Arial"/>
                <w:b/>
                <w:bCs/>
                <w:color w:val="000000"/>
                <w:kern w:val="0"/>
                <w:sz w:val="18"/>
                <w:szCs w:val="18"/>
                <w:lang w:eastAsia="pt-BR"/>
                <w14:ligatures w14:val="none"/>
              </w:rPr>
              <w:t>m) Receitas de Serviços - SCM</w:t>
            </w:r>
          </w:p>
        </w:tc>
        <w:tc>
          <w:tcPr>
            <w:tcW w:w="846" w:type="pct"/>
            <w:tcBorders>
              <w:top w:val="nil"/>
              <w:left w:val="nil"/>
              <w:bottom w:val="single" w:sz="8" w:space="0" w:color="auto"/>
              <w:right w:val="single" w:sz="8" w:space="0" w:color="auto"/>
            </w:tcBorders>
            <w:shd w:val="clear" w:color="auto" w:fill="auto"/>
            <w:noWrap/>
            <w:vAlign w:val="center"/>
            <w:hideMark/>
          </w:tcPr>
          <w:p w14:paraId="75EF2CF1" w14:textId="77777777" w:rsidR="00C65B3C" w:rsidRPr="00C65B3C" w:rsidRDefault="00C65B3C" w:rsidP="00C65B3C">
            <w:pPr>
              <w:spacing w:after="0" w:line="240" w:lineRule="auto"/>
              <w:jc w:val="right"/>
              <w:rPr>
                <w:rFonts w:ascii="Arial" w:eastAsia="Times New Roman" w:hAnsi="Arial" w:cs="Arial"/>
                <w:b/>
                <w:bCs/>
                <w:color w:val="000000"/>
                <w:kern w:val="0"/>
                <w:sz w:val="18"/>
                <w:szCs w:val="18"/>
                <w:lang w:eastAsia="pt-BR"/>
                <w14:ligatures w14:val="none"/>
              </w:rPr>
            </w:pPr>
            <w:r w:rsidRPr="00C65B3C">
              <w:rPr>
                <w:rFonts w:ascii="Arial" w:eastAsia="Times New Roman" w:hAnsi="Arial" w:cs="Arial"/>
                <w:b/>
                <w:bCs/>
                <w:color w:val="000000"/>
                <w:kern w:val="0"/>
                <w:sz w:val="18"/>
                <w:szCs w:val="18"/>
                <w:lang w:eastAsia="pt-BR"/>
                <w14:ligatures w14:val="none"/>
              </w:rPr>
              <w:t xml:space="preserve">                303.538 </w:t>
            </w:r>
          </w:p>
        </w:tc>
        <w:tc>
          <w:tcPr>
            <w:tcW w:w="931" w:type="pct"/>
            <w:tcBorders>
              <w:top w:val="nil"/>
              <w:left w:val="nil"/>
              <w:bottom w:val="single" w:sz="8" w:space="0" w:color="auto"/>
              <w:right w:val="single" w:sz="8" w:space="0" w:color="auto"/>
            </w:tcBorders>
            <w:shd w:val="clear" w:color="auto" w:fill="auto"/>
            <w:noWrap/>
            <w:vAlign w:val="center"/>
            <w:hideMark/>
          </w:tcPr>
          <w:p w14:paraId="739C0F7C" w14:textId="77777777" w:rsidR="00C65B3C" w:rsidRPr="00C65B3C" w:rsidRDefault="00C65B3C" w:rsidP="00C65B3C">
            <w:pPr>
              <w:spacing w:after="0" w:line="240" w:lineRule="auto"/>
              <w:jc w:val="right"/>
              <w:rPr>
                <w:rFonts w:ascii="Arial" w:eastAsia="Times New Roman" w:hAnsi="Arial" w:cs="Arial"/>
                <w:b/>
                <w:bCs/>
                <w:color w:val="000000"/>
                <w:kern w:val="0"/>
                <w:sz w:val="18"/>
                <w:szCs w:val="18"/>
                <w:lang w:eastAsia="pt-BR"/>
                <w14:ligatures w14:val="none"/>
              </w:rPr>
            </w:pPr>
            <w:r w:rsidRPr="00C65B3C">
              <w:rPr>
                <w:rFonts w:ascii="Arial" w:eastAsia="Times New Roman" w:hAnsi="Arial" w:cs="Arial"/>
                <w:b/>
                <w:bCs/>
                <w:color w:val="000000"/>
                <w:kern w:val="0"/>
                <w:sz w:val="18"/>
                <w:szCs w:val="18"/>
                <w:lang w:eastAsia="pt-BR"/>
                <w14:ligatures w14:val="none"/>
              </w:rPr>
              <w:t xml:space="preserve">                   281.875 </w:t>
            </w:r>
          </w:p>
        </w:tc>
      </w:tr>
      <w:tr w:rsidR="00C65B3C" w:rsidRPr="00C65B3C" w14:paraId="5BCBB983" w14:textId="77777777" w:rsidTr="00C65B3C">
        <w:trPr>
          <w:trHeight w:val="238"/>
        </w:trPr>
        <w:tc>
          <w:tcPr>
            <w:tcW w:w="3223" w:type="pct"/>
            <w:tcBorders>
              <w:top w:val="nil"/>
              <w:left w:val="single" w:sz="8" w:space="0" w:color="auto"/>
              <w:bottom w:val="single" w:sz="8" w:space="0" w:color="auto"/>
              <w:right w:val="single" w:sz="8" w:space="0" w:color="auto"/>
            </w:tcBorders>
            <w:shd w:val="clear" w:color="auto" w:fill="auto"/>
            <w:noWrap/>
            <w:vAlign w:val="center"/>
            <w:hideMark/>
          </w:tcPr>
          <w:p w14:paraId="52BE5734" w14:textId="77777777" w:rsidR="00C65B3C" w:rsidRPr="00C65B3C" w:rsidRDefault="00C65B3C" w:rsidP="00C65B3C">
            <w:pPr>
              <w:spacing w:after="0" w:line="240" w:lineRule="auto"/>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xml:space="preserve">  Entidades Governamentais:</w:t>
            </w:r>
          </w:p>
        </w:tc>
        <w:tc>
          <w:tcPr>
            <w:tcW w:w="846" w:type="pct"/>
            <w:tcBorders>
              <w:top w:val="nil"/>
              <w:left w:val="nil"/>
              <w:bottom w:val="single" w:sz="8" w:space="0" w:color="auto"/>
              <w:right w:val="single" w:sz="8" w:space="0" w:color="auto"/>
            </w:tcBorders>
            <w:shd w:val="clear" w:color="auto" w:fill="auto"/>
            <w:noWrap/>
            <w:vAlign w:val="center"/>
            <w:hideMark/>
          </w:tcPr>
          <w:p w14:paraId="6B244C3E"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xml:space="preserve">                236.767 </w:t>
            </w:r>
          </w:p>
        </w:tc>
        <w:tc>
          <w:tcPr>
            <w:tcW w:w="931" w:type="pct"/>
            <w:tcBorders>
              <w:top w:val="nil"/>
              <w:left w:val="nil"/>
              <w:bottom w:val="single" w:sz="8" w:space="0" w:color="auto"/>
              <w:right w:val="single" w:sz="8" w:space="0" w:color="auto"/>
            </w:tcBorders>
            <w:shd w:val="clear" w:color="auto" w:fill="auto"/>
            <w:noWrap/>
            <w:vAlign w:val="center"/>
            <w:hideMark/>
          </w:tcPr>
          <w:p w14:paraId="6A8DC501"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xml:space="preserve">                   190.007 </w:t>
            </w:r>
          </w:p>
        </w:tc>
      </w:tr>
      <w:tr w:rsidR="00C65B3C" w:rsidRPr="00C65B3C" w14:paraId="077662AD" w14:textId="77777777" w:rsidTr="00C65B3C">
        <w:trPr>
          <w:trHeight w:val="238"/>
        </w:trPr>
        <w:tc>
          <w:tcPr>
            <w:tcW w:w="3223" w:type="pct"/>
            <w:tcBorders>
              <w:top w:val="nil"/>
              <w:left w:val="single" w:sz="8" w:space="0" w:color="auto"/>
              <w:bottom w:val="single" w:sz="8" w:space="0" w:color="auto"/>
              <w:right w:val="single" w:sz="8" w:space="0" w:color="auto"/>
            </w:tcBorders>
            <w:shd w:val="clear" w:color="auto" w:fill="auto"/>
            <w:noWrap/>
            <w:vAlign w:val="center"/>
            <w:hideMark/>
          </w:tcPr>
          <w:p w14:paraId="3198C3FD" w14:textId="77777777" w:rsidR="00C65B3C" w:rsidRPr="00C65B3C" w:rsidRDefault="00C65B3C" w:rsidP="00C65B3C">
            <w:pPr>
              <w:spacing w:after="0" w:line="240" w:lineRule="auto"/>
              <w:ind w:firstLineChars="200" w:firstLine="360"/>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Ministérios</w:t>
            </w:r>
          </w:p>
        </w:tc>
        <w:tc>
          <w:tcPr>
            <w:tcW w:w="846" w:type="pct"/>
            <w:tcBorders>
              <w:top w:val="nil"/>
              <w:left w:val="nil"/>
              <w:bottom w:val="single" w:sz="8" w:space="0" w:color="auto"/>
              <w:right w:val="single" w:sz="8" w:space="0" w:color="auto"/>
            </w:tcBorders>
            <w:shd w:val="clear" w:color="auto" w:fill="auto"/>
            <w:noWrap/>
            <w:vAlign w:val="center"/>
            <w:hideMark/>
          </w:tcPr>
          <w:p w14:paraId="4CA37BE1"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xml:space="preserve">                214.049 </w:t>
            </w:r>
          </w:p>
        </w:tc>
        <w:tc>
          <w:tcPr>
            <w:tcW w:w="931" w:type="pct"/>
            <w:tcBorders>
              <w:top w:val="nil"/>
              <w:left w:val="nil"/>
              <w:bottom w:val="single" w:sz="8" w:space="0" w:color="auto"/>
              <w:right w:val="single" w:sz="8" w:space="0" w:color="auto"/>
            </w:tcBorders>
            <w:shd w:val="clear" w:color="auto" w:fill="auto"/>
            <w:noWrap/>
            <w:vAlign w:val="center"/>
            <w:hideMark/>
          </w:tcPr>
          <w:p w14:paraId="36D43EB4"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xml:space="preserve">                   168.155 </w:t>
            </w:r>
          </w:p>
        </w:tc>
      </w:tr>
      <w:tr w:rsidR="00C65B3C" w:rsidRPr="00C65B3C" w14:paraId="65E3E55B" w14:textId="77777777" w:rsidTr="00C65B3C">
        <w:trPr>
          <w:trHeight w:val="238"/>
        </w:trPr>
        <w:tc>
          <w:tcPr>
            <w:tcW w:w="3223" w:type="pct"/>
            <w:tcBorders>
              <w:top w:val="nil"/>
              <w:left w:val="single" w:sz="8" w:space="0" w:color="auto"/>
              <w:bottom w:val="single" w:sz="8" w:space="0" w:color="auto"/>
              <w:right w:val="single" w:sz="8" w:space="0" w:color="auto"/>
            </w:tcBorders>
            <w:shd w:val="clear" w:color="auto" w:fill="auto"/>
            <w:noWrap/>
            <w:vAlign w:val="center"/>
            <w:hideMark/>
          </w:tcPr>
          <w:p w14:paraId="63B42DCF" w14:textId="77777777" w:rsidR="00C65B3C" w:rsidRPr="00C65B3C" w:rsidRDefault="00C65B3C" w:rsidP="00C65B3C">
            <w:pPr>
              <w:spacing w:after="0" w:line="240" w:lineRule="auto"/>
              <w:ind w:firstLineChars="200" w:firstLine="360"/>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Demais Entidades (i)</w:t>
            </w:r>
          </w:p>
        </w:tc>
        <w:tc>
          <w:tcPr>
            <w:tcW w:w="846" w:type="pct"/>
            <w:tcBorders>
              <w:top w:val="nil"/>
              <w:left w:val="nil"/>
              <w:bottom w:val="single" w:sz="8" w:space="0" w:color="auto"/>
              <w:right w:val="single" w:sz="8" w:space="0" w:color="auto"/>
            </w:tcBorders>
            <w:shd w:val="clear" w:color="auto" w:fill="auto"/>
            <w:noWrap/>
            <w:vAlign w:val="center"/>
            <w:hideMark/>
          </w:tcPr>
          <w:p w14:paraId="124E496D"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xml:space="preserve">                  22.718 </w:t>
            </w:r>
          </w:p>
        </w:tc>
        <w:tc>
          <w:tcPr>
            <w:tcW w:w="931" w:type="pct"/>
            <w:tcBorders>
              <w:top w:val="nil"/>
              <w:left w:val="nil"/>
              <w:bottom w:val="single" w:sz="8" w:space="0" w:color="auto"/>
              <w:right w:val="single" w:sz="8" w:space="0" w:color="auto"/>
            </w:tcBorders>
            <w:shd w:val="clear" w:color="auto" w:fill="auto"/>
            <w:noWrap/>
            <w:vAlign w:val="center"/>
            <w:hideMark/>
          </w:tcPr>
          <w:p w14:paraId="60638B4D"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xml:space="preserve">                     21.852 </w:t>
            </w:r>
          </w:p>
        </w:tc>
      </w:tr>
      <w:tr w:rsidR="00C65B3C" w:rsidRPr="00C65B3C" w14:paraId="2301A4EE" w14:textId="77777777" w:rsidTr="00C65B3C">
        <w:trPr>
          <w:trHeight w:val="238"/>
        </w:trPr>
        <w:tc>
          <w:tcPr>
            <w:tcW w:w="3223" w:type="pct"/>
            <w:tcBorders>
              <w:top w:val="nil"/>
              <w:left w:val="single" w:sz="8" w:space="0" w:color="auto"/>
              <w:bottom w:val="single" w:sz="8" w:space="0" w:color="auto"/>
              <w:right w:val="single" w:sz="8" w:space="0" w:color="auto"/>
            </w:tcBorders>
            <w:shd w:val="clear" w:color="auto" w:fill="auto"/>
            <w:noWrap/>
            <w:vAlign w:val="center"/>
            <w:hideMark/>
          </w:tcPr>
          <w:p w14:paraId="72E2D2D6" w14:textId="77777777" w:rsidR="00C65B3C" w:rsidRPr="00C65B3C" w:rsidRDefault="00C65B3C" w:rsidP="00C65B3C">
            <w:pPr>
              <w:spacing w:after="0" w:line="240" w:lineRule="auto"/>
              <w:ind w:firstLineChars="100" w:firstLine="180"/>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Empresas de Tecnologia da Informação da Prev. Social - Dataprev</w:t>
            </w:r>
          </w:p>
        </w:tc>
        <w:tc>
          <w:tcPr>
            <w:tcW w:w="846" w:type="pct"/>
            <w:tcBorders>
              <w:top w:val="nil"/>
              <w:left w:val="nil"/>
              <w:bottom w:val="single" w:sz="8" w:space="0" w:color="auto"/>
              <w:right w:val="single" w:sz="8" w:space="0" w:color="auto"/>
            </w:tcBorders>
            <w:shd w:val="clear" w:color="auto" w:fill="auto"/>
            <w:noWrap/>
            <w:vAlign w:val="center"/>
            <w:hideMark/>
          </w:tcPr>
          <w:p w14:paraId="02BF4279"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xml:space="preserve">                  44.187 </w:t>
            </w:r>
          </w:p>
        </w:tc>
        <w:tc>
          <w:tcPr>
            <w:tcW w:w="931" w:type="pct"/>
            <w:tcBorders>
              <w:top w:val="nil"/>
              <w:left w:val="nil"/>
              <w:bottom w:val="single" w:sz="8" w:space="0" w:color="auto"/>
              <w:right w:val="single" w:sz="8" w:space="0" w:color="auto"/>
            </w:tcBorders>
            <w:shd w:val="clear" w:color="auto" w:fill="auto"/>
            <w:noWrap/>
            <w:vAlign w:val="center"/>
            <w:hideMark/>
          </w:tcPr>
          <w:p w14:paraId="7E65D0A1"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xml:space="preserve">                     91.724 </w:t>
            </w:r>
          </w:p>
        </w:tc>
      </w:tr>
      <w:tr w:rsidR="00C65B3C" w:rsidRPr="00C65B3C" w14:paraId="50992FB9" w14:textId="77777777" w:rsidTr="00C65B3C">
        <w:trPr>
          <w:trHeight w:val="238"/>
        </w:trPr>
        <w:tc>
          <w:tcPr>
            <w:tcW w:w="3223" w:type="pct"/>
            <w:tcBorders>
              <w:top w:val="nil"/>
              <w:left w:val="single" w:sz="8" w:space="0" w:color="auto"/>
              <w:bottom w:val="single" w:sz="8" w:space="0" w:color="auto"/>
              <w:right w:val="single" w:sz="8" w:space="0" w:color="auto"/>
            </w:tcBorders>
            <w:shd w:val="clear" w:color="auto" w:fill="auto"/>
            <w:noWrap/>
            <w:vAlign w:val="center"/>
            <w:hideMark/>
          </w:tcPr>
          <w:p w14:paraId="1121135C" w14:textId="77777777" w:rsidR="00C65B3C" w:rsidRPr="00C65B3C" w:rsidRDefault="00C65B3C" w:rsidP="00C65B3C">
            <w:pPr>
              <w:spacing w:after="0" w:line="240" w:lineRule="auto"/>
              <w:ind w:firstLineChars="100" w:firstLine="180"/>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Instituto Nacional do Seguro Social - INSS</w:t>
            </w:r>
          </w:p>
        </w:tc>
        <w:tc>
          <w:tcPr>
            <w:tcW w:w="846" w:type="pct"/>
            <w:tcBorders>
              <w:top w:val="nil"/>
              <w:left w:val="nil"/>
              <w:bottom w:val="single" w:sz="8" w:space="0" w:color="auto"/>
              <w:right w:val="single" w:sz="8" w:space="0" w:color="auto"/>
            </w:tcBorders>
            <w:shd w:val="clear" w:color="auto" w:fill="auto"/>
            <w:noWrap/>
            <w:vAlign w:val="center"/>
            <w:hideMark/>
          </w:tcPr>
          <w:p w14:paraId="3CF05C2E"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xml:space="preserve">                  22.584 </w:t>
            </w:r>
          </w:p>
        </w:tc>
        <w:tc>
          <w:tcPr>
            <w:tcW w:w="931" w:type="pct"/>
            <w:tcBorders>
              <w:top w:val="nil"/>
              <w:left w:val="nil"/>
              <w:bottom w:val="single" w:sz="8" w:space="0" w:color="auto"/>
              <w:right w:val="single" w:sz="8" w:space="0" w:color="auto"/>
            </w:tcBorders>
            <w:shd w:val="clear" w:color="auto" w:fill="auto"/>
            <w:noWrap/>
            <w:vAlign w:val="center"/>
            <w:hideMark/>
          </w:tcPr>
          <w:p w14:paraId="6C0D2D8B"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xml:space="preserve">                               - </w:t>
            </w:r>
          </w:p>
        </w:tc>
      </w:tr>
      <w:tr w:rsidR="00C65B3C" w:rsidRPr="00C65B3C" w14:paraId="2034FA48" w14:textId="77777777" w:rsidTr="00C65B3C">
        <w:trPr>
          <w:trHeight w:val="238"/>
        </w:trPr>
        <w:tc>
          <w:tcPr>
            <w:tcW w:w="3223" w:type="pct"/>
            <w:tcBorders>
              <w:top w:val="nil"/>
              <w:left w:val="single" w:sz="8" w:space="0" w:color="auto"/>
              <w:bottom w:val="single" w:sz="8" w:space="0" w:color="auto"/>
              <w:right w:val="single" w:sz="8" w:space="0" w:color="auto"/>
            </w:tcBorders>
            <w:shd w:val="clear" w:color="auto" w:fill="auto"/>
            <w:noWrap/>
            <w:vAlign w:val="center"/>
            <w:hideMark/>
          </w:tcPr>
          <w:p w14:paraId="1FC89A5C" w14:textId="77777777" w:rsidR="00C65B3C" w:rsidRPr="00C65B3C" w:rsidRDefault="00C65B3C" w:rsidP="00C65B3C">
            <w:pPr>
              <w:spacing w:after="0" w:line="240" w:lineRule="auto"/>
              <w:ind w:firstLineChars="100" w:firstLine="180"/>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Empresa Brasileira de Hemoderivados e Biotecnologia - Hemobrás</w:t>
            </w:r>
          </w:p>
        </w:tc>
        <w:tc>
          <w:tcPr>
            <w:tcW w:w="846" w:type="pct"/>
            <w:tcBorders>
              <w:top w:val="nil"/>
              <w:left w:val="nil"/>
              <w:bottom w:val="single" w:sz="8" w:space="0" w:color="auto"/>
              <w:right w:val="single" w:sz="8" w:space="0" w:color="auto"/>
            </w:tcBorders>
            <w:shd w:val="clear" w:color="auto" w:fill="auto"/>
            <w:noWrap/>
            <w:vAlign w:val="center"/>
            <w:hideMark/>
          </w:tcPr>
          <w:p w14:paraId="6DD68034"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xml:space="preserve">                            - </w:t>
            </w:r>
          </w:p>
        </w:tc>
        <w:tc>
          <w:tcPr>
            <w:tcW w:w="931" w:type="pct"/>
            <w:tcBorders>
              <w:top w:val="nil"/>
              <w:left w:val="nil"/>
              <w:bottom w:val="single" w:sz="8" w:space="0" w:color="auto"/>
              <w:right w:val="single" w:sz="8" w:space="0" w:color="auto"/>
            </w:tcBorders>
            <w:shd w:val="clear" w:color="auto" w:fill="auto"/>
            <w:noWrap/>
            <w:vAlign w:val="center"/>
            <w:hideMark/>
          </w:tcPr>
          <w:p w14:paraId="5901415A"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xml:space="preserve">                            13 </w:t>
            </w:r>
          </w:p>
        </w:tc>
      </w:tr>
      <w:tr w:rsidR="00C65B3C" w:rsidRPr="00C65B3C" w14:paraId="1BB6F7C2" w14:textId="77777777" w:rsidTr="00C65B3C">
        <w:trPr>
          <w:trHeight w:val="238"/>
        </w:trPr>
        <w:tc>
          <w:tcPr>
            <w:tcW w:w="3223" w:type="pct"/>
            <w:tcBorders>
              <w:top w:val="nil"/>
              <w:left w:val="single" w:sz="8" w:space="0" w:color="auto"/>
              <w:bottom w:val="single" w:sz="8" w:space="0" w:color="auto"/>
              <w:right w:val="single" w:sz="8" w:space="0" w:color="auto"/>
            </w:tcBorders>
            <w:shd w:val="clear" w:color="auto" w:fill="auto"/>
            <w:noWrap/>
            <w:vAlign w:val="center"/>
            <w:hideMark/>
          </w:tcPr>
          <w:p w14:paraId="2B7254CE" w14:textId="77777777" w:rsidR="00C65B3C" w:rsidRPr="00C65B3C" w:rsidRDefault="00C65B3C" w:rsidP="00C65B3C">
            <w:pPr>
              <w:spacing w:after="0" w:line="240" w:lineRule="auto"/>
              <w:ind w:firstLineChars="100" w:firstLine="180"/>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Serviço Federal de Processamento de Dados (SERPRO)</w:t>
            </w:r>
          </w:p>
        </w:tc>
        <w:tc>
          <w:tcPr>
            <w:tcW w:w="846" w:type="pct"/>
            <w:tcBorders>
              <w:top w:val="nil"/>
              <w:left w:val="nil"/>
              <w:bottom w:val="single" w:sz="8" w:space="0" w:color="auto"/>
              <w:right w:val="single" w:sz="8" w:space="0" w:color="auto"/>
            </w:tcBorders>
            <w:shd w:val="clear" w:color="auto" w:fill="auto"/>
            <w:noWrap/>
            <w:vAlign w:val="center"/>
            <w:hideMark/>
          </w:tcPr>
          <w:p w14:paraId="5C2C2299"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xml:space="preserve">                            - </w:t>
            </w:r>
          </w:p>
        </w:tc>
        <w:tc>
          <w:tcPr>
            <w:tcW w:w="931" w:type="pct"/>
            <w:tcBorders>
              <w:top w:val="nil"/>
              <w:left w:val="nil"/>
              <w:bottom w:val="single" w:sz="8" w:space="0" w:color="auto"/>
              <w:right w:val="single" w:sz="8" w:space="0" w:color="auto"/>
            </w:tcBorders>
            <w:shd w:val="clear" w:color="auto" w:fill="auto"/>
            <w:noWrap/>
            <w:vAlign w:val="center"/>
            <w:hideMark/>
          </w:tcPr>
          <w:p w14:paraId="24383787"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xml:space="preserve">                          131 </w:t>
            </w:r>
          </w:p>
        </w:tc>
      </w:tr>
      <w:tr w:rsidR="00C65B3C" w:rsidRPr="00C65B3C" w14:paraId="2F1D4F64" w14:textId="77777777" w:rsidTr="00C65B3C">
        <w:trPr>
          <w:trHeight w:val="238"/>
        </w:trPr>
        <w:tc>
          <w:tcPr>
            <w:tcW w:w="3223" w:type="pct"/>
            <w:tcBorders>
              <w:top w:val="nil"/>
              <w:left w:val="single" w:sz="8" w:space="0" w:color="auto"/>
              <w:bottom w:val="single" w:sz="8" w:space="0" w:color="auto"/>
              <w:right w:val="single" w:sz="8" w:space="0" w:color="auto"/>
            </w:tcBorders>
            <w:shd w:val="clear" w:color="auto" w:fill="auto"/>
            <w:noWrap/>
            <w:vAlign w:val="center"/>
            <w:hideMark/>
          </w:tcPr>
          <w:p w14:paraId="554B8C6A" w14:textId="77777777" w:rsidR="00C65B3C" w:rsidRPr="00C65B3C" w:rsidRDefault="00C65B3C" w:rsidP="00C65B3C">
            <w:pPr>
              <w:spacing w:after="0" w:line="240" w:lineRule="auto"/>
              <w:rPr>
                <w:rFonts w:ascii="Arial" w:eastAsia="Times New Roman" w:hAnsi="Arial" w:cs="Arial"/>
                <w:b/>
                <w:bCs/>
                <w:color w:val="000000"/>
                <w:kern w:val="0"/>
                <w:sz w:val="18"/>
                <w:szCs w:val="18"/>
                <w:lang w:eastAsia="pt-BR"/>
                <w14:ligatures w14:val="none"/>
              </w:rPr>
            </w:pPr>
            <w:r w:rsidRPr="00C65B3C">
              <w:rPr>
                <w:rFonts w:ascii="Arial" w:eastAsia="Times New Roman" w:hAnsi="Arial" w:cs="Arial"/>
                <w:b/>
                <w:bCs/>
                <w:color w:val="000000"/>
                <w:kern w:val="0"/>
                <w:sz w:val="18"/>
                <w:szCs w:val="18"/>
                <w:lang w:eastAsia="pt-BR"/>
                <w14:ligatures w14:val="none"/>
              </w:rPr>
              <w:t xml:space="preserve">n) </w:t>
            </w:r>
            <w:proofErr w:type="gramStart"/>
            <w:r w:rsidRPr="00C65B3C">
              <w:rPr>
                <w:rFonts w:ascii="Arial" w:eastAsia="Times New Roman" w:hAnsi="Arial" w:cs="Arial"/>
                <w:b/>
                <w:bCs/>
                <w:color w:val="000000"/>
                <w:kern w:val="0"/>
                <w:sz w:val="18"/>
                <w:szCs w:val="18"/>
                <w:lang w:eastAsia="pt-BR"/>
                <w14:ligatures w14:val="none"/>
              </w:rPr>
              <w:t>Alugueis</w:t>
            </w:r>
            <w:proofErr w:type="gramEnd"/>
            <w:r w:rsidRPr="00C65B3C">
              <w:rPr>
                <w:rFonts w:ascii="Arial" w:eastAsia="Times New Roman" w:hAnsi="Arial" w:cs="Arial"/>
                <w:b/>
                <w:bCs/>
                <w:color w:val="000000"/>
                <w:kern w:val="0"/>
                <w:sz w:val="18"/>
                <w:szCs w:val="18"/>
                <w:lang w:eastAsia="pt-BR"/>
                <w14:ligatures w14:val="none"/>
              </w:rPr>
              <w:t xml:space="preserve"> e Locações</w:t>
            </w:r>
          </w:p>
        </w:tc>
        <w:tc>
          <w:tcPr>
            <w:tcW w:w="846" w:type="pct"/>
            <w:tcBorders>
              <w:top w:val="nil"/>
              <w:left w:val="nil"/>
              <w:bottom w:val="single" w:sz="8" w:space="0" w:color="auto"/>
              <w:right w:val="single" w:sz="8" w:space="0" w:color="auto"/>
            </w:tcBorders>
            <w:shd w:val="clear" w:color="auto" w:fill="auto"/>
            <w:noWrap/>
            <w:vAlign w:val="center"/>
            <w:hideMark/>
          </w:tcPr>
          <w:p w14:paraId="4E56AE86" w14:textId="77777777" w:rsidR="00C65B3C" w:rsidRPr="00C65B3C" w:rsidRDefault="00C65B3C" w:rsidP="00C65B3C">
            <w:pPr>
              <w:spacing w:after="0" w:line="240" w:lineRule="auto"/>
              <w:jc w:val="right"/>
              <w:rPr>
                <w:rFonts w:ascii="Arial" w:eastAsia="Times New Roman" w:hAnsi="Arial" w:cs="Arial"/>
                <w:b/>
                <w:bCs/>
                <w:color w:val="000000"/>
                <w:kern w:val="0"/>
                <w:sz w:val="18"/>
                <w:szCs w:val="18"/>
                <w:lang w:eastAsia="pt-BR"/>
                <w14:ligatures w14:val="none"/>
              </w:rPr>
            </w:pPr>
            <w:r w:rsidRPr="00C65B3C">
              <w:rPr>
                <w:rFonts w:ascii="Arial" w:eastAsia="Times New Roman" w:hAnsi="Arial" w:cs="Arial"/>
                <w:b/>
                <w:bCs/>
                <w:color w:val="000000"/>
                <w:kern w:val="0"/>
                <w:sz w:val="18"/>
                <w:szCs w:val="18"/>
                <w:lang w:eastAsia="pt-BR"/>
                <w14:ligatures w14:val="none"/>
              </w:rPr>
              <w:t xml:space="preserve">                  47.871 </w:t>
            </w:r>
          </w:p>
        </w:tc>
        <w:tc>
          <w:tcPr>
            <w:tcW w:w="931" w:type="pct"/>
            <w:tcBorders>
              <w:top w:val="nil"/>
              <w:left w:val="nil"/>
              <w:bottom w:val="single" w:sz="8" w:space="0" w:color="auto"/>
              <w:right w:val="single" w:sz="8" w:space="0" w:color="auto"/>
            </w:tcBorders>
            <w:shd w:val="clear" w:color="auto" w:fill="auto"/>
            <w:noWrap/>
            <w:vAlign w:val="center"/>
            <w:hideMark/>
          </w:tcPr>
          <w:p w14:paraId="6E7239B9" w14:textId="77777777" w:rsidR="00C65B3C" w:rsidRPr="00C65B3C" w:rsidRDefault="00C65B3C" w:rsidP="00C65B3C">
            <w:pPr>
              <w:spacing w:after="0" w:line="240" w:lineRule="auto"/>
              <w:jc w:val="right"/>
              <w:rPr>
                <w:rFonts w:ascii="Arial" w:eastAsia="Times New Roman" w:hAnsi="Arial" w:cs="Arial"/>
                <w:b/>
                <w:bCs/>
                <w:color w:val="000000"/>
                <w:kern w:val="0"/>
                <w:sz w:val="18"/>
                <w:szCs w:val="18"/>
                <w:lang w:eastAsia="pt-BR"/>
                <w14:ligatures w14:val="none"/>
              </w:rPr>
            </w:pPr>
            <w:r w:rsidRPr="00C65B3C">
              <w:rPr>
                <w:rFonts w:ascii="Arial" w:eastAsia="Times New Roman" w:hAnsi="Arial" w:cs="Arial"/>
                <w:b/>
                <w:bCs/>
                <w:color w:val="000000"/>
                <w:kern w:val="0"/>
                <w:sz w:val="18"/>
                <w:szCs w:val="18"/>
                <w:lang w:eastAsia="pt-BR"/>
                <w14:ligatures w14:val="none"/>
              </w:rPr>
              <w:t xml:space="preserve">                     39.536 </w:t>
            </w:r>
          </w:p>
        </w:tc>
      </w:tr>
      <w:tr w:rsidR="00C65B3C" w:rsidRPr="00C65B3C" w14:paraId="1397B6DD" w14:textId="77777777" w:rsidTr="00C65B3C">
        <w:trPr>
          <w:trHeight w:val="238"/>
        </w:trPr>
        <w:tc>
          <w:tcPr>
            <w:tcW w:w="3223" w:type="pct"/>
            <w:tcBorders>
              <w:top w:val="nil"/>
              <w:left w:val="single" w:sz="8" w:space="0" w:color="auto"/>
              <w:bottom w:val="single" w:sz="8" w:space="0" w:color="auto"/>
              <w:right w:val="single" w:sz="8" w:space="0" w:color="auto"/>
            </w:tcBorders>
            <w:shd w:val="clear" w:color="auto" w:fill="auto"/>
            <w:noWrap/>
            <w:vAlign w:val="center"/>
            <w:hideMark/>
          </w:tcPr>
          <w:p w14:paraId="127B796F" w14:textId="77777777" w:rsidR="00C65B3C" w:rsidRPr="00C65B3C" w:rsidRDefault="00C65B3C" w:rsidP="00C65B3C">
            <w:pPr>
              <w:spacing w:after="0" w:line="240" w:lineRule="auto"/>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xml:space="preserve">  Entidades Governamentais:</w:t>
            </w:r>
          </w:p>
        </w:tc>
        <w:tc>
          <w:tcPr>
            <w:tcW w:w="846" w:type="pct"/>
            <w:tcBorders>
              <w:top w:val="nil"/>
              <w:left w:val="nil"/>
              <w:bottom w:val="single" w:sz="8" w:space="0" w:color="auto"/>
              <w:right w:val="single" w:sz="8" w:space="0" w:color="auto"/>
            </w:tcBorders>
            <w:shd w:val="clear" w:color="auto" w:fill="auto"/>
            <w:noWrap/>
            <w:vAlign w:val="center"/>
            <w:hideMark/>
          </w:tcPr>
          <w:p w14:paraId="25EE6374"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xml:space="preserve">                  36.504 </w:t>
            </w:r>
          </w:p>
        </w:tc>
        <w:tc>
          <w:tcPr>
            <w:tcW w:w="931" w:type="pct"/>
            <w:tcBorders>
              <w:top w:val="nil"/>
              <w:left w:val="nil"/>
              <w:bottom w:val="single" w:sz="8" w:space="0" w:color="auto"/>
              <w:right w:val="single" w:sz="8" w:space="0" w:color="auto"/>
            </w:tcBorders>
            <w:shd w:val="clear" w:color="auto" w:fill="auto"/>
            <w:noWrap/>
            <w:vAlign w:val="center"/>
            <w:hideMark/>
          </w:tcPr>
          <w:p w14:paraId="456A2199"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xml:space="preserve">                     29.659 </w:t>
            </w:r>
          </w:p>
        </w:tc>
      </w:tr>
      <w:tr w:rsidR="00C65B3C" w:rsidRPr="00C65B3C" w14:paraId="630AD928" w14:textId="77777777" w:rsidTr="00C65B3C">
        <w:trPr>
          <w:trHeight w:val="238"/>
        </w:trPr>
        <w:tc>
          <w:tcPr>
            <w:tcW w:w="3223" w:type="pct"/>
            <w:tcBorders>
              <w:top w:val="nil"/>
              <w:left w:val="single" w:sz="8" w:space="0" w:color="auto"/>
              <w:bottom w:val="single" w:sz="8" w:space="0" w:color="auto"/>
              <w:right w:val="single" w:sz="8" w:space="0" w:color="auto"/>
            </w:tcBorders>
            <w:shd w:val="clear" w:color="auto" w:fill="auto"/>
            <w:noWrap/>
            <w:vAlign w:val="center"/>
            <w:hideMark/>
          </w:tcPr>
          <w:p w14:paraId="3E4EEC51" w14:textId="77777777" w:rsidR="00C65B3C" w:rsidRPr="00C65B3C" w:rsidRDefault="00C65B3C" w:rsidP="00C65B3C">
            <w:pPr>
              <w:spacing w:after="0" w:line="240" w:lineRule="auto"/>
              <w:ind w:firstLineChars="200" w:firstLine="360"/>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Ministérios</w:t>
            </w:r>
          </w:p>
        </w:tc>
        <w:tc>
          <w:tcPr>
            <w:tcW w:w="846" w:type="pct"/>
            <w:tcBorders>
              <w:top w:val="nil"/>
              <w:left w:val="nil"/>
              <w:bottom w:val="single" w:sz="8" w:space="0" w:color="auto"/>
              <w:right w:val="single" w:sz="8" w:space="0" w:color="auto"/>
            </w:tcBorders>
            <w:shd w:val="clear" w:color="auto" w:fill="auto"/>
            <w:noWrap/>
            <w:vAlign w:val="center"/>
            <w:hideMark/>
          </w:tcPr>
          <w:p w14:paraId="74CCA375"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xml:space="preserve">                  36.496 </w:t>
            </w:r>
          </w:p>
        </w:tc>
        <w:tc>
          <w:tcPr>
            <w:tcW w:w="931" w:type="pct"/>
            <w:tcBorders>
              <w:top w:val="nil"/>
              <w:left w:val="nil"/>
              <w:bottom w:val="single" w:sz="8" w:space="0" w:color="auto"/>
              <w:right w:val="single" w:sz="8" w:space="0" w:color="auto"/>
            </w:tcBorders>
            <w:shd w:val="clear" w:color="auto" w:fill="auto"/>
            <w:noWrap/>
            <w:vAlign w:val="center"/>
            <w:hideMark/>
          </w:tcPr>
          <w:p w14:paraId="69A7BD02"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xml:space="preserve">                     29.645 </w:t>
            </w:r>
          </w:p>
        </w:tc>
      </w:tr>
      <w:tr w:rsidR="00C65B3C" w:rsidRPr="00C65B3C" w14:paraId="78B6CA4E" w14:textId="77777777" w:rsidTr="00C65B3C">
        <w:trPr>
          <w:trHeight w:val="238"/>
        </w:trPr>
        <w:tc>
          <w:tcPr>
            <w:tcW w:w="3223" w:type="pct"/>
            <w:tcBorders>
              <w:top w:val="nil"/>
              <w:left w:val="single" w:sz="8" w:space="0" w:color="auto"/>
              <w:bottom w:val="single" w:sz="8" w:space="0" w:color="auto"/>
              <w:right w:val="single" w:sz="8" w:space="0" w:color="auto"/>
            </w:tcBorders>
            <w:shd w:val="clear" w:color="auto" w:fill="auto"/>
            <w:noWrap/>
            <w:vAlign w:val="center"/>
            <w:hideMark/>
          </w:tcPr>
          <w:p w14:paraId="3239AECC" w14:textId="77777777" w:rsidR="00C65B3C" w:rsidRPr="00C65B3C" w:rsidRDefault="00C65B3C" w:rsidP="00C65B3C">
            <w:pPr>
              <w:spacing w:after="0" w:line="240" w:lineRule="auto"/>
              <w:ind w:firstLineChars="200" w:firstLine="360"/>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Demais Entidades (i)</w:t>
            </w:r>
          </w:p>
        </w:tc>
        <w:tc>
          <w:tcPr>
            <w:tcW w:w="846" w:type="pct"/>
            <w:tcBorders>
              <w:top w:val="nil"/>
              <w:left w:val="nil"/>
              <w:bottom w:val="single" w:sz="8" w:space="0" w:color="auto"/>
              <w:right w:val="single" w:sz="8" w:space="0" w:color="auto"/>
            </w:tcBorders>
            <w:shd w:val="clear" w:color="auto" w:fill="auto"/>
            <w:noWrap/>
            <w:vAlign w:val="center"/>
            <w:hideMark/>
          </w:tcPr>
          <w:p w14:paraId="69F384B9"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xml:space="preserve">                           8 </w:t>
            </w:r>
          </w:p>
        </w:tc>
        <w:tc>
          <w:tcPr>
            <w:tcW w:w="931" w:type="pct"/>
            <w:tcBorders>
              <w:top w:val="nil"/>
              <w:left w:val="nil"/>
              <w:bottom w:val="single" w:sz="8" w:space="0" w:color="auto"/>
              <w:right w:val="single" w:sz="8" w:space="0" w:color="auto"/>
            </w:tcBorders>
            <w:shd w:val="clear" w:color="auto" w:fill="auto"/>
            <w:noWrap/>
            <w:vAlign w:val="center"/>
            <w:hideMark/>
          </w:tcPr>
          <w:p w14:paraId="3E37AB63"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xml:space="preserve">                            14 </w:t>
            </w:r>
          </w:p>
        </w:tc>
      </w:tr>
      <w:tr w:rsidR="00C65B3C" w:rsidRPr="00C65B3C" w14:paraId="1A626086" w14:textId="77777777" w:rsidTr="00C65B3C">
        <w:trPr>
          <w:trHeight w:val="238"/>
        </w:trPr>
        <w:tc>
          <w:tcPr>
            <w:tcW w:w="3223" w:type="pct"/>
            <w:tcBorders>
              <w:top w:val="nil"/>
              <w:left w:val="single" w:sz="8" w:space="0" w:color="auto"/>
              <w:bottom w:val="single" w:sz="8" w:space="0" w:color="auto"/>
              <w:right w:val="single" w:sz="8" w:space="0" w:color="auto"/>
            </w:tcBorders>
            <w:shd w:val="clear" w:color="auto" w:fill="auto"/>
            <w:noWrap/>
            <w:vAlign w:val="center"/>
            <w:hideMark/>
          </w:tcPr>
          <w:p w14:paraId="177C0E45" w14:textId="77777777" w:rsidR="00C65B3C" w:rsidRPr="00C65B3C" w:rsidRDefault="00C65B3C" w:rsidP="00C65B3C">
            <w:pPr>
              <w:spacing w:after="0" w:line="240" w:lineRule="auto"/>
              <w:ind w:firstLineChars="100" w:firstLine="180"/>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Empresas de Tecnologia da Informação da Prev. Social - Dataprev</w:t>
            </w:r>
          </w:p>
        </w:tc>
        <w:tc>
          <w:tcPr>
            <w:tcW w:w="846" w:type="pct"/>
            <w:tcBorders>
              <w:top w:val="nil"/>
              <w:left w:val="nil"/>
              <w:bottom w:val="single" w:sz="8" w:space="0" w:color="auto"/>
              <w:right w:val="single" w:sz="8" w:space="0" w:color="auto"/>
            </w:tcBorders>
            <w:shd w:val="clear" w:color="auto" w:fill="auto"/>
            <w:noWrap/>
            <w:vAlign w:val="center"/>
            <w:hideMark/>
          </w:tcPr>
          <w:p w14:paraId="0D3C3154"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xml:space="preserve">                    5.408 </w:t>
            </w:r>
          </w:p>
        </w:tc>
        <w:tc>
          <w:tcPr>
            <w:tcW w:w="931" w:type="pct"/>
            <w:tcBorders>
              <w:top w:val="nil"/>
              <w:left w:val="nil"/>
              <w:bottom w:val="single" w:sz="8" w:space="0" w:color="auto"/>
              <w:right w:val="single" w:sz="8" w:space="0" w:color="auto"/>
            </w:tcBorders>
            <w:shd w:val="clear" w:color="auto" w:fill="auto"/>
            <w:noWrap/>
            <w:vAlign w:val="center"/>
            <w:hideMark/>
          </w:tcPr>
          <w:p w14:paraId="593D2933"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xml:space="preserve">                       9.876 </w:t>
            </w:r>
          </w:p>
        </w:tc>
      </w:tr>
      <w:tr w:rsidR="00C65B3C" w:rsidRPr="00C65B3C" w14:paraId="2F82486B" w14:textId="77777777" w:rsidTr="00C65B3C">
        <w:trPr>
          <w:trHeight w:val="238"/>
        </w:trPr>
        <w:tc>
          <w:tcPr>
            <w:tcW w:w="3223" w:type="pct"/>
            <w:tcBorders>
              <w:top w:val="nil"/>
              <w:left w:val="single" w:sz="8" w:space="0" w:color="auto"/>
              <w:bottom w:val="single" w:sz="8" w:space="0" w:color="auto"/>
              <w:right w:val="single" w:sz="8" w:space="0" w:color="auto"/>
            </w:tcBorders>
            <w:shd w:val="clear" w:color="auto" w:fill="auto"/>
            <w:noWrap/>
            <w:vAlign w:val="center"/>
            <w:hideMark/>
          </w:tcPr>
          <w:p w14:paraId="4B1DA3BC" w14:textId="77777777" w:rsidR="00C65B3C" w:rsidRPr="00C65B3C" w:rsidRDefault="00C65B3C" w:rsidP="00C65B3C">
            <w:pPr>
              <w:spacing w:after="0" w:line="240" w:lineRule="auto"/>
              <w:ind w:firstLineChars="100" w:firstLine="180"/>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Empresa Brasileira de Hemoderivados e Biotecnologia – Hemobrás</w:t>
            </w:r>
          </w:p>
        </w:tc>
        <w:tc>
          <w:tcPr>
            <w:tcW w:w="846" w:type="pct"/>
            <w:tcBorders>
              <w:top w:val="nil"/>
              <w:left w:val="nil"/>
              <w:bottom w:val="single" w:sz="8" w:space="0" w:color="auto"/>
              <w:right w:val="single" w:sz="8" w:space="0" w:color="auto"/>
            </w:tcBorders>
            <w:shd w:val="clear" w:color="auto" w:fill="auto"/>
            <w:noWrap/>
            <w:vAlign w:val="center"/>
            <w:hideMark/>
          </w:tcPr>
          <w:p w14:paraId="4B1F3FD5"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xml:space="preserve">                            - </w:t>
            </w:r>
          </w:p>
        </w:tc>
        <w:tc>
          <w:tcPr>
            <w:tcW w:w="931" w:type="pct"/>
            <w:tcBorders>
              <w:top w:val="nil"/>
              <w:left w:val="nil"/>
              <w:bottom w:val="single" w:sz="8" w:space="0" w:color="auto"/>
              <w:right w:val="single" w:sz="8" w:space="0" w:color="auto"/>
            </w:tcBorders>
            <w:shd w:val="clear" w:color="auto" w:fill="auto"/>
            <w:noWrap/>
            <w:vAlign w:val="center"/>
            <w:hideMark/>
          </w:tcPr>
          <w:p w14:paraId="08E0B4BC"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xml:space="preserve">                              1 </w:t>
            </w:r>
          </w:p>
        </w:tc>
      </w:tr>
      <w:tr w:rsidR="00C65B3C" w:rsidRPr="00C65B3C" w14:paraId="59A6765F" w14:textId="77777777" w:rsidTr="00C65B3C">
        <w:trPr>
          <w:trHeight w:val="238"/>
        </w:trPr>
        <w:tc>
          <w:tcPr>
            <w:tcW w:w="3223" w:type="pct"/>
            <w:tcBorders>
              <w:top w:val="nil"/>
              <w:left w:val="single" w:sz="8" w:space="0" w:color="auto"/>
              <w:bottom w:val="single" w:sz="8" w:space="0" w:color="auto"/>
              <w:right w:val="single" w:sz="8" w:space="0" w:color="auto"/>
            </w:tcBorders>
            <w:shd w:val="clear" w:color="auto" w:fill="auto"/>
            <w:noWrap/>
            <w:vAlign w:val="center"/>
            <w:hideMark/>
          </w:tcPr>
          <w:p w14:paraId="34210C96" w14:textId="77777777" w:rsidR="00C65B3C" w:rsidRPr="00C65B3C" w:rsidRDefault="00C65B3C" w:rsidP="00C65B3C">
            <w:pPr>
              <w:spacing w:after="0" w:line="240" w:lineRule="auto"/>
              <w:ind w:firstLineChars="100" w:firstLine="180"/>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Instituto Nacional do Seguro Social - INSS</w:t>
            </w:r>
          </w:p>
        </w:tc>
        <w:tc>
          <w:tcPr>
            <w:tcW w:w="846" w:type="pct"/>
            <w:tcBorders>
              <w:top w:val="nil"/>
              <w:left w:val="nil"/>
              <w:bottom w:val="single" w:sz="8" w:space="0" w:color="auto"/>
              <w:right w:val="single" w:sz="8" w:space="0" w:color="auto"/>
            </w:tcBorders>
            <w:shd w:val="clear" w:color="auto" w:fill="auto"/>
            <w:noWrap/>
            <w:vAlign w:val="center"/>
            <w:hideMark/>
          </w:tcPr>
          <w:p w14:paraId="72EC968E"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xml:space="preserve">                    5.959 </w:t>
            </w:r>
          </w:p>
        </w:tc>
        <w:tc>
          <w:tcPr>
            <w:tcW w:w="931" w:type="pct"/>
            <w:tcBorders>
              <w:top w:val="nil"/>
              <w:left w:val="nil"/>
              <w:bottom w:val="single" w:sz="8" w:space="0" w:color="auto"/>
              <w:right w:val="single" w:sz="8" w:space="0" w:color="auto"/>
            </w:tcBorders>
            <w:shd w:val="clear" w:color="auto" w:fill="auto"/>
            <w:noWrap/>
            <w:vAlign w:val="center"/>
            <w:hideMark/>
          </w:tcPr>
          <w:p w14:paraId="7958AB09"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xml:space="preserve">                             -   </w:t>
            </w:r>
          </w:p>
        </w:tc>
      </w:tr>
      <w:tr w:rsidR="00C65B3C" w:rsidRPr="00C65B3C" w14:paraId="390A1A5B" w14:textId="77777777" w:rsidTr="00C65B3C">
        <w:trPr>
          <w:trHeight w:val="238"/>
        </w:trPr>
        <w:tc>
          <w:tcPr>
            <w:tcW w:w="3223" w:type="pct"/>
            <w:tcBorders>
              <w:top w:val="nil"/>
              <w:left w:val="single" w:sz="8" w:space="0" w:color="auto"/>
              <w:bottom w:val="single" w:sz="8" w:space="0" w:color="auto"/>
              <w:right w:val="single" w:sz="8" w:space="0" w:color="auto"/>
            </w:tcBorders>
            <w:shd w:val="clear" w:color="auto" w:fill="auto"/>
            <w:noWrap/>
            <w:vAlign w:val="center"/>
            <w:hideMark/>
          </w:tcPr>
          <w:p w14:paraId="62180F53" w14:textId="77777777" w:rsidR="00C65B3C" w:rsidRPr="00C65B3C" w:rsidRDefault="00C65B3C" w:rsidP="00C65B3C">
            <w:pPr>
              <w:spacing w:after="0" w:line="240" w:lineRule="auto"/>
              <w:rPr>
                <w:rFonts w:ascii="Arial" w:eastAsia="Times New Roman" w:hAnsi="Arial" w:cs="Arial"/>
                <w:b/>
                <w:bCs/>
                <w:color w:val="000000"/>
                <w:kern w:val="0"/>
                <w:sz w:val="18"/>
                <w:szCs w:val="18"/>
                <w:lang w:eastAsia="pt-BR"/>
                <w14:ligatures w14:val="none"/>
              </w:rPr>
            </w:pPr>
            <w:r w:rsidRPr="00C65B3C">
              <w:rPr>
                <w:rFonts w:ascii="Arial" w:eastAsia="Times New Roman" w:hAnsi="Arial" w:cs="Arial"/>
                <w:b/>
                <w:bCs/>
                <w:color w:val="000000"/>
                <w:kern w:val="0"/>
                <w:sz w:val="18"/>
                <w:szCs w:val="18"/>
                <w:lang w:eastAsia="pt-BR"/>
                <w14:ligatures w14:val="none"/>
              </w:rPr>
              <w:t>o) Outras Receitas</w:t>
            </w:r>
          </w:p>
        </w:tc>
        <w:tc>
          <w:tcPr>
            <w:tcW w:w="846" w:type="pct"/>
            <w:tcBorders>
              <w:top w:val="nil"/>
              <w:left w:val="nil"/>
              <w:bottom w:val="single" w:sz="8" w:space="0" w:color="auto"/>
              <w:right w:val="single" w:sz="8" w:space="0" w:color="auto"/>
            </w:tcBorders>
            <w:shd w:val="clear" w:color="auto" w:fill="auto"/>
            <w:noWrap/>
            <w:vAlign w:val="center"/>
            <w:hideMark/>
          </w:tcPr>
          <w:p w14:paraId="5010C3CF" w14:textId="77777777" w:rsidR="00C65B3C" w:rsidRPr="00C65B3C" w:rsidRDefault="00C65B3C" w:rsidP="00C65B3C">
            <w:pPr>
              <w:spacing w:after="0" w:line="240" w:lineRule="auto"/>
              <w:jc w:val="right"/>
              <w:rPr>
                <w:rFonts w:ascii="Arial" w:eastAsia="Times New Roman" w:hAnsi="Arial" w:cs="Arial"/>
                <w:b/>
                <w:bCs/>
                <w:color w:val="000000"/>
                <w:kern w:val="0"/>
                <w:sz w:val="18"/>
                <w:szCs w:val="18"/>
                <w:lang w:eastAsia="pt-BR"/>
                <w14:ligatures w14:val="none"/>
              </w:rPr>
            </w:pPr>
            <w:r w:rsidRPr="00C65B3C">
              <w:rPr>
                <w:rFonts w:ascii="Arial" w:eastAsia="Times New Roman" w:hAnsi="Arial" w:cs="Arial"/>
                <w:b/>
                <w:bCs/>
                <w:color w:val="000000"/>
                <w:kern w:val="0"/>
                <w:sz w:val="18"/>
                <w:szCs w:val="18"/>
                <w:lang w:eastAsia="pt-BR"/>
                <w14:ligatures w14:val="none"/>
              </w:rPr>
              <w:t xml:space="preserve">                  14.496 </w:t>
            </w:r>
          </w:p>
        </w:tc>
        <w:tc>
          <w:tcPr>
            <w:tcW w:w="931" w:type="pct"/>
            <w:tcBorders>
              <w:top w:val="nil"/>
              <w:left w:val="nil"/>
              <w:bottom w:val="single" w:sz="8" w:space="0" w:color="auto"/>
              <w:right w:val="single" w:sz="8" w:space="0" w:color="auto"/>
            </w:tcBorders>
            <w:shd w:val="clear" w:color="auto" w:fill="auto"/>
            <w:noWrap/>
            <w:vAlign w:val="center"/>
            <w:hideMark/>
          </w:tcPr>
          <w:p w14:paraId="2E34C22E" w14:textId="77777777" w:rsidR="00C65B3C" w:rsidRPr="00C65B3C" w:rsidRDefault="00C65B3C" w:rsidP="00C65B3C">
            <w:pPr>
              <w:spacing w:after="0" w:line="240" w:lineRule="auto"/>
              <w:jc w:val="right"/>
              <w:rPr>
                <w:rFonts w:ascii="Arial" w:eastAsia="Times New Roman" w:hAnsi="Arial" w:cs="Arial"/>
                <w:b/>
                <w:bCs/>
                <w:color w:val="000000"/>
                <w:kern w:val="0"/>
                <w:sz w:val="18"/>
                <w:szCs w:val="18"/>
                <w:lang w:eastAsia="pt-BR"/>
                <w14:ligatures w14:val="none"/>
              </w:rPr>
            </w:pPr>
            <w:r w:rsidRPr="00C65B3C">
              <w:rPr>
                <w:rFonts w:ascii="Arial" w:eastAsia="Times New Roman" w:hAnsi="Arial" w:cs="Arial"/>
                <w:b/>
                <w:bCs/>
                <w:color w:val="000000"/>
                <w:kern w:val="0"/>
                <w:sz w:val="18"/>
                <w:szCs w:val="18"/>
                <w:lang w:eastAsia="pt-BR"/>
                <w14:ligatures w14:val="none"/>
              </w:rPr>
              <w:t xml:space="preserve">                       6.888 </w:t>
            </w:r>
          </w:p>
        </w:tc>
      </w:tr>
      <w:tr w:rsidR="00C65B3C" w:rsidRPr="00C65B3C" w14:paraId="6F5A2B1A" w14:textId="77777777" w:rsidTr="00C65B3C">
        <w:trPr>
          <w:trHeight w:val="238"/>
        </w:trPr>
        <w:tc>
          <w:tcPr>
            <w:tcW w:w="3223" w:type="pct"/>
            <w:tcBorders>
              <w:top w:val="nil"/>
              <w:left w:val="single" w:sz="8" w:space="0" w:color="auto"/>
              <w:bottom w:val="single" w:sz="8" w:space="0" w:color="auto"/>
              <w:right w:val="single" w:sz="8" w:space="0" w:color="auto"/>
            </w:tcBorders>
            <w:shd w:val="clear" w:color="auto" w:fill="auto"/>
            <w:noWrap/>
            <w:vAlign w:val="center"/>
            <w:hideMark/>
          </w:tcPr>
          <w:p w14:paraId="53A1DF03" w14:textId="77777777" w:rsidR="00C65B3C" w:rsidRPr="00C65B3C" w:rsidRDefault="00C65B3C" w:rsidP="00C65B3C">
            <w:pPr>
              <w:spacing w:after="0" w:line="240" w:lineRule="auto"/>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xml:space="preserve">   Ministérios</w:t>
            </w:r>
          </w:p>
        </w:tc>
        <w:tc>
          <w:tcPr>
            <w:tcW w:w="846" w:type="pct"/>
            <w:tcBorders>
              <w:top w:val="nil"/>
              <w:left w:val="nil"/>
              <w:bottom w:val="single" w:sz="8" w:space="0" w:color="auto"/>
              <w:right w:val="single" w:sz="8" w:space="0" w:color="auto"/>
            </w:tcBorders>
            <w:shd w:val="clear" w:color="auto" w:fill="auto"/>
            <w:noWrap/>
            <w:vAlign w:val="center"/>
            <w:hideMark/>
          </w:tcPr>
          <w:p w14:paraId="03F55AA6"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xml:space="preserve">                  14.496 </w:t>
            </w:r>
          </w:p>
        </w:tc>
        <w:tc>
          <w:tcPr>
            <w:tcW w:w="931" w:type="pct"/>
            <w:tcBorders>
              <w:top w:val="nil"/>
              <w:left w:val="nil"/>
              <w:bottom w:val="single" w:sz="8" w:space="0" w:color="auto"/>
              <w:right w:val="single" w:sz="8" w:space="0" w:color="auto"/>
            </w:tcBorders>
            <w:shd w:val="clear" w:color="auto" w:fill="auto"/>
            <w:noWrap/>
            <w:vAlign w:val="center"/>
            <w:hideMark/>
          </w:tcPr>
          <w:p w14:paraId="76A33CA3"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xml:space="preserve">                       6.888 </w:t>
            </w:r>
          </w:p>
        </w:tc>
      </w:tr>
    </w:tbl>
    <w:p w14:paraId="6173A8C8" w14:textId="77777777" w:rsidR="00C65B3C" w:rsidRPr="00C65B3C" w:rsidRDefault="00C65B3C" w:rsidP="00C65B3C">
      <w:pPr>
        <w:spacing w:after="0" w:line="276" w:lineRule="auto"/>
        <w:jc w:val="both"/>
        <w:rPr>
          <w:rFonts w:ascii="Arial" w:eastAsia="Times New Roman" w:hAnsi="Arial" w:cs="Arial"/>
          <w:kern w:val="0"/>
          <w:sz w:val="18"/>
          <w:szCs w:val="18"/>
          <w:lang w:eastAsia="pt-BR"/>
          <w14:ligatures w14:val="none"/>
        </w:rPr>
      </w:pPr>
      <w:r w:rsidRPr="00C65B3C">
        <w:rPr>
          <w:rFonts w:ascii="Arial" w:eastAsia="Times New Roman" w:hAnsi="Arial" w:cs="Arial"/>
          <w:kern w:val="0"/>
          <w:sz w:val="18"/>
          <w:szCs w:val="18"/>
          <w:lang w:eastAsia="pt-BR"/>
          <w14:ligatures w14:val="none"/>
        </w:rPr>
        <w:t>(i) Demais Entidades Governamentais incluem: Universidades, Institutos Federais de Educação, Entidades Militares ligadas às Forças Armadas, Secretarias vinculadas à União Federal e outros.</w:t>
      </w:r>
    </w:p>
    <w:p w14:paraId="06DE817D" w14:textId="77777777" w:rsidR="00C65B3C" w:rsidRPr="00C65B3C" w:rsidRDefault="00C65B3C" w:rsidP="00C65B3C">
      <w:pPr>
        <w:autoSpaceDE w:val="0"/>
        <w:autoSpaceDN w:val="0"/>
        <w:adjustRightInd w:val="0"/>
        <w:spacing w:after="0" w:line="240" w:lineRule="auto"/>
        <w:jc w:val="both"/>
        <w:rPr>
          <w:rFonts w:ascii="Calibri" w:eastAsia="Times New Roman" w:hAnsi="Calibri" w:cs="Calibri"/>
          <w:iCs/>
          <w:color w:val="002060"/>
          <w:kern w:val="0"/>
          <w14:ligatures w14:val="none"/>
        </w:rPr>
      </w:pPr>
      <w:r w:rsidRPr="00C65B3C">
        <w:rPr>
          <w:rFonts w:ascii="Calibri" w:eastAsia="Times New Roman" w:hAnsi="Calibri" w:cs="Calibri"/>
          <w:iCs/>
          <w:color w:val="002060"/>
          <w:kern w:val="0"/>
          <w14:ligatures w14:val="none"/>
        </w:rPr>
        <w:t>a) Representa os valores a receber pela prestação do Serviço de Comunicação Multimídia (Internet) e pelos Aluguéis e Locações de equipamentos a ministérios, entidades governamentais e empresas das quais a União é o controlador. Os preços cobrados pelos serviços são equivalentes aos praticados no mercado.</w:t>
      </w:r>
    </w:p>
    <w:p w14:paraId="07938403" w14:textId="77777777" w:rsidR="00C65B3C" w:rsidRPr="00C65B3C" w:rsidRDefault="00C65B3C" w:rsidP="00C65B3C">
      <w:pPr>
        <w:autoSpaceDE w:val="0"/>
        <w:autoSpaceDN w:val="0"/>
        <w:adjustRightInd w:val="0"/>
        <w:spacing w:after="0" w:line="240" w:lineRule="auto"/>
        <w:jc w:val="both"/>
        <w:rPr>
          <w:rFonts w:ascii="Calibri" w:eastAsia="Times New Roman" w:hAnsi="Calibri" w:cs="Calibri"/>
          <w:iCs/>
          <w:color w:val="002060"/>
          <w:kern w:val="0"/>
          <w14:ligatures w14:val="none"/>
        </w:rPr>
      </w:pPr>
      <w:r w:rsidRPr="00C65B3C">
        <w:rPr>
          <w:rFonts w:ascii="Calibri" w:eastAsia="Times New Roman" w:hAnsi="Calibri" w:cs="Calibri"/>
          <w:iCs/>
          <w:color w:val="002060"/>
          <w:kern w:val="0"/>
          <w14:ligatures w14:val="none"/>
        </w:rPr>
        <w:t>b) Trata-se de cauções realizadas junto a órgãos públicos para prestação de serviços, conforme contratos firmados.</w:t>
      </w:r>
    </w:p>
    <w:p w14:paraId="3BCB07B7" w14:textId="439EC92C" w:rsidR="00C65B3C" w:rsidRPr="00C65B3C" w:rsidRDefault="00C65B3C" w:rsidP="00C65B3C">
      <w:pPr>
        <w:autoSpaceDE w:val="0"/>
        <w:autoSpaceDN w:val="0"/>
        <w:adjustRightInd w:val="0"/>
        <w:spacing w:after="0" w:line="240" w:lineRule="auto"/>
        <w:jc w:val="both"/>
        <w:rPr>
          <w:rFonts w:ascii="Calibri" w:eastAsia="Times New Roman" w:hAnsi="Calibri" w:cs="Calibri"/>
          <w:iCs/>
          <w:color w:val="002060"/>
          <w:kern w:val="0"/>
          <w14:ligatures w14:val="none"/>
        </w:rPr>
      </w:pPr>
      <w:r w:rsidRPr="00C65B3C">
        <w:rPr>
          <w:rFonts w:ascii="Calibri" w:eastAsia="Times New Roman" w:hAnsi="Calibri" w:cs="Calibri"/>
          <w:iCs/>
          <w:color w:val="002060"/>
          <w:kern w:val="0"/>
          <w14:ligatures w14:val="none"/>
        </w:rPr>
        <w:t>c) Refere-se de dividendos a receber referente à participação societária na coligada VISIONA.</w:t>
      </w:r>
    </w:p>
    <w:p w14:paraId="03C8DBEC" w14:textId="77777777" w:rsidR="00C65B3C" w:rsidRPr="00C65B3C" w:rsidRDefault="00C65B3C" w:rsidP="00C65B3C">
      <w:pPr>
        <w:autoSpaceDE w:val="0"/>
        <w:autoSpaceDN w:val="0"/>
        <w:adjustRightInd w:val="0"/>
        <w:spacing w:after="0" w:line="240" w:lineRule="auto"/>
        <w:jc w:val="both"/>
        <w:rPr>
          <w:rFonts w:ascii="Calibri" w:eastAsia="Times New Roman" w:hAnsi="Calibri" w:cs="Calibri"/>
          <w:iCs/>
          <w:color w:val="002060"/>
          <w:kern w:val="0"/>
          <w14:ligatures w14:val="none"/>
        </w:rPr>
      </w:pPr>
      <w:r w:rsidRPr="00C65B3C">
        <w:rPr>
          <w:rFonts w:ascii="Calibri" w:eastAsia="Times New Roman" w:hAnsi="Calibri" w:cs="Calibri"/>
          <w:iCs/>
          <w:color w:val="002060"/>
          <w:kern w:val="0"/>
          <w14:ligatures w14:val="none"/>
        </w:rPr>
        <w:t xml:space="preserve">d) Refere-se à contratação de garantia estendida dos equipamentos vinculados ao projeto SGDC. Em dezembro de 2023, a Telebras firmou novo contrato de garantia estendida, com um período de cobertura de 09 de dezembro de 2023 a 30 junho de 2025 e o valor contratado foi de R$ 15.927. </w:t>
      </w:r>
    </w:p>
    <w:p w14:paraId="42FBA5BE" w14:textId="77777777" w:rsidR="00C65B3C" w:rsidRPr="00C65B3C" w:rsidRDefault="00C65B3C" w:rsidP="00C65B3C">
      <w:pPr>
        <w:autoSpaceDE w:val="0"/>
        <w:autoSpaceDN w:val="0"/>
        <w:adjustRightInd w:val="0"/>
        <w:spacing w:after="0" w:line="240" w:lineRule="auto"/>
        <w:jc w:val="both"/>
        <w:rPr>
          <w:rFonts w:ascii="Calibri" w:eastAsia="Times New Roman" w:hAnsi="Calibri" w:cs="Calibri"/>
          <w:iCs/>
          <w:color w:val="002060"/>
          <w:kern w:val="0"/>
          <w14:ligatures w14:val="none"/>
        </w:rPr>
      </w:pPr>
      <w:r w:rsidRPr="00C65B3C">
        <w:rPr>
          <w:rFonts w:ascii="Calibri" w:eastAsia="Times New Roman" w:hAnsi="Calibri" w:cs="Calibri"/>
          <w:iCs/>
          <w:color w:val="002060"/>
          <w:kern w:val="0"/>
          <w14:ligatures w14:val="none"/>
        </w:rPr>
        <w:t xml:space="preserve">Durante o ano de 2023, ainda havia a cobertura do contrato anterior, cujo prazo contratual era de dois anos e tinha vigência de 08 de dezembro de 2021 a 08 de dezembro de 2023. O valor contratado pelo serviço foi de R$ 27.171. </w:t>
      </w:r>
    </w:p>
    <w:p w14:paraId="1494A00D" w14:textId="77777777" w:rsidR="00C65B3C" w:rsidRPr="00C65B3C" w:rsidRDefault="00C65B3C" w:rsidP="00C65B3C">
      <w:pPr>
        <w:autoSpaceDE w:val="0"/>
        <w:autoSpaceDN w:val="0"/>
        <w:adjustRightInd w:val="0"/>
        <w:spacing w:after="0" w:line="240" w:lineRule="auto"/>
        <w:jc w:val="both"/>
        <w:rPr>
          <w:rFonts w:ascii="Calibri" w:eastAsia="Times New Roman" w:hAnsi="Calibri" w:cs="Calibri"/>
          <w:iCs/>
          <w:color w:val="002060"/>
          <w:kern w:val="0"/>
          <w14:ligatures w14:val="none"/>
        </w:rPr>
      </w:pPr>
      <w:r w:rsidRPr="00C65B3C">
        <w:rPr>
          <w:rFonts w:ascii="Calibri" w:eastAsia="Times New Roman" w:hAnsi="Calibri" w:cs="Calibri"/>
          <w:iCs/>
          <w:color w:val="002060"/>
          <w:kern w:val="0"/>
          <w14:ligatures w14:val="none"/>
        </w:rPr>
        <w:t xml:space="preserve">e) Representa valores a pagar a fornecedores de bens e serviços.  </w:t>
      </w:r>
    </w:p>
    <w:p w14:paraId="5DDF6F94" w14:textId="77777777" w:rsidR="00C65B3C" w:rsidRPr="00C65B3C" w:rsidRDefault="00C65B3C" w:rsidP="00C65B3C">
      <w:pPr>
        <w:autoSpaceDE w:val="0"/>
        <w:autoSpaceDN w:val="0"/>
        <w:adjustRightInd w:val="0"/>
        <w:spacing w:after="0" w:line="240" w:lineRule="auto"/>
        <w:jc w:val="both"/>
        <w:rPr>
          <w:rFonts w:ascii="Calibri" w:eastAsia="Times New Roman" w:hAnsi="Calibri" w:cs="Calibri"/>
          <w:iCs/>
          <w:color w:val="002060"/>
          <w:kern w:val="0"/>
          <w14:ligatures w14:val="none"/>
        </w:rPr>
      </w:pPr>
      <w:r w:rsidRPr="00C65B3C">
        <w:rPr>
          <w:rFonts w:ascii="Calibri" w:eastAsia="Times New Roman" w:hAnsi="Calibri" w:cs="Calibri"/>
          <w:iCs/>
          <w:color w:val="002060"/>
          <w:kern w:val="0"/>
          <w14:ligatures w14:val="none"/>
        </w:rPr>
        <w:t>f) Refere-se à captação de financiamento realizado junto à Financiadora de Estudos e Projetos – FINEP, no valor original de R$ 240.380 (R$ 90.602 em 31 de dezembro de 2023). O objetivo do financiamento foi de custear, parcialmente, as despesas incorridas na elaboração e execução do Plano Estratégico de Inovação (Satélite Geoestacionário de Defesa e Comunicações Estratégicas (SGDC). (Nota Explicativa 24.1)</w:t>
      </w:r>
    </w:p>
    <w:p w14:paraId="3A0F99BE" w14:textId="77777777" w:rsidR="00C65B3C" w:rsidRDefault="00C65B3C" w:rsidP="00C65B3C">
      <w:pPr>
        <w:autoSpaceDE w:val="0"/>
        <w:autoSpaceDN w:val="0"/>
        <w:adjustRightInd w:val="0"/>
        <w:spacing w:after="0" w:line="240" w:lineRule="auto"/>
        <w:jc w:val="both"/>
        <w:rPr>
          <w:rFonts w:ascii="Calibri" w:eastAsia="Times New Roman" w:hAnsi="Calibri" w:cs="Calibri"/>
          <w:iCs/>
          <w:color w:val="002060"/>
          <w:kern w:val="0"/>
          <w14:ligatures w14:val="none"/>
        </w:rPr>
      </w:pPr>
      <w:r w:rsidRPr="00C65B3C">
        <w:rPr>
          <w:rFonts w:ascii="Calibri" w:eastAsia="Times New Roman" w:hAnsi="Calibri" w:cs="Calibri"/>
          <w:iCs/>
          <w:color w:val="002060"/>
          <w:kern w:val="0"/>
          <w14:ligatures w14:val="none"/>
        </w:rPr>
        <w:t xml:space="preserve">Sobre o principal da dívida incide a Taxa Referencial </w:t>
      </w:r>
      <w:r w:rsidRPr="00C65B3C">
        <w:rPr>
          <w:rFonts w:ascii="Calibri" w:eastAsia="Times New Roman" w:hAnsi="Calibri" w:cs="Calibri"/>
          <w:i/>
          <w:iCs/>
          <w:color w:val="002060"/>
          <w:kern w:val="0"/>
          <w14:ligatures w14:val="none"/>
        </w:rPr>
        <w:t>pro rata tempore</w:t>
      </w:r>
      <w:r w:rsidRPr="00C65B3C">
        <w:rPr>
          <w:rFonts w:ascii="Calibri" w:eastAsia="Times New Roman" w:hAnsi="Calibri" w:cs="Calibri"/>
          <w:iCs/>
          <w:color w:val="002060"/>
          <w:kern w:val="0"/>
          <w14:ligatures w14:val="none"/>
        </w:rPr>
        <w:t xml:space="preserve"> (TR), divulgada pelo Banco Central do Brasil, acrescida do </w:t>
      </w:r>
      <w:r w:rsidRPr="00C65B3C">
        <w:rPr>
          <w:rFonts w:ascii="Calibri" w:eastAsia="Times New Roman" w:hAnsi="Calibri" w:cs="Calibri"/>
          <w:i/>
          <w:iCs/>
          <w:color w:val="002060"/>
          <w:kern w:val="0"/>
          <w14:ligatures w14:val="none"/>
        </w:rPr>
        <w:t>spread</w:t>
      </w:r>
      <w:r w:rsidRPr="00C65B3C">
        <w:rPr>
          <w:rFonts w:ascii="Calibri" w:eastAsia="Times New Roman" w:hAnsi="Calibri" w:cs="Calibri"/>
          <w:iCs/>
          <w:color w:val="002060"/>
          <w:kern w:val="0"/>
          <w14:ligatures w14:val="none"/>
        </w:rPr>
        <w:t xml:space="preserve"> de 5% (cinco por cento) ao ano.</w:t>
      </w:r>
    </w:p>
    <w:p w14:paraId="16FFE675" w14:textId="1C3BB807" w:rsidR="00C65B3C" w:rsidRPr="00C65B3C" w:rsidRDefault="00C65B3C" w:rsidP="00C65B3C">
      <w:pPr>
        <w:autoSpaceDE w:val="0"/>
        <w:autoSpaceDN w:val="0"/>
        <w:adjustRightInd w:val="0"/>
        <w:spacing w:after="0" w:line="240" w:lineRule="auto"/>
        <w:jc w:val="both"/>
        <w:rPr>
          <w:rFonts w:ascii="Calibri" w:eastAsia="Times New Roman" w:hAnsi="Calibri" w:cs="Calibri"/>
          <w:iCs/>
          <w:color w:val="002060"/>
          <w:kern w:val="0"/>
          <w14:ligatures w14:val="none"/>
        </w:rPr>
      </w:pPr>
      <w:r w:rsidRPr="00C65B3C">
        <w:rPr>
          <w:rFonts w:ascii="Calibri" w:eastAsia="Times New Roman" w:hAnsi="Calibri" w:cs="Calibri"/>
          <w:iCs/>
          <w:color w:val="002060"/>
          <w:kern w:val="0"/>
          <w14:ligatures w14:val="none"/>
        </w:rPr>
        <w:lastRenderedPageBreak/>
        <w:t>Os encargos contratuais serão reduzidos em 2% (dois por cento) ao ano, não havendo inadimplência, resultando em juros de TR + 3% (três por cento) ao ano.</w:t>
      </w:r>
    </w:p>
    <w:p w14:paraId="07087B1A" w14:textId="77777777" w:rsidR="00C65B3C" w:rsidRPr="00C65B3C" w:rsidRDefault="00C65B3C" w:rsidP="00C65B3C">
      <w:pPr>
        <w:autoSpaceDE w:val="0"/>
        <w:autoSpaceDN w:val="0"/>
        <w:adjustRightInd w:val="0"/>
        <w:spacing w:after="0" w:line="240" w:lineRule="auto"/>
        <w:jc w:val="both"/>
        <w:rPr>
          <w:rFonts w:ascii="Calibri" w:eastAsia="Times New Roman" w:hAnsi="Calibri" w:cs="Calibri"/>
          <w:iCs/>
          <w:color w:val="002060"/>
          <w:kern w:val="0"/>
          <w14:ligatures w14:val="none"/>
        </w:rPr>
      </w:pPr>
      <w:r w:rsidRPr="00C65B3C">
        <w:rPr>
          <w:rFonts w:ascii="Calibri" w:eastAsia="Times New Roman" w:hAnsi="Calibri" w:cs="Calibri"/>
          <w:iCs/>
          <w:color w:val="002060"/>
          <w:kern w:val="0"/>
          <w14:ligatures w14:val="none"/>
        </w:rPr>
        <w:t>O financiamento possui três aditivos, cujo teor se refere ao alongamento do prazo para início da amortização do principal e suspensão do pagamento de juros, alteração do vencimento do contrato e estabelecimento de compensação financeira em função da prorrogação. (Nota Explicativa 24.1)</w:t>
      </w:r>
    </w:p>
    <w:p w14:paraId="744A79E3" w14:textId="77777777" w:rsidR="00C65B3C" w:rsidRPr="00C65B3C" w:rsidRDefault="00C65B3C" w:rsidP="00C65B3C">
      <w:pPr>
        <w:autoSpaceDE w:val="0"/>
        <w:autoSpaceDN w:val="0"/>
        <w:adjustRightInd w:val="0"/>
        <w:spacing w:after="0" w:line="240" w:lineRule="auto"/>
        <w:jc w:val="both"/>
        <w:rPr>
          <w:rFonts w:ascii="Calibri" w:eastAsia="Times New Roman" w:hAnsi="Calibri" w:cs="Calibri"/>
          <w:iCs/>
          <w:color w:val="002060"/>
          <w:kern w:val="0"/>
          <w14:ligatures w14:val="none"/>
        </w:rPr>
      </w:pPr>
      <w:r w:rsidRPr="00C65B3C">
        <w:rPr>
          <w:rFonts w:ascii="Calibri" w:eastAsia="Times New Roman" w:hAnsi="Calibri" w:cs="Calibri"/>
          <w:iCs/>
          <w:color w:val="002060"/>
          <w:kern w:val="0"/>
          <w14:ligatures w14:val="none"/>
        </w:rPr>
        <w:t>g) Representa receitas recebidas antecipadamente de órgãos governamentais (Ministério da Defesa e Ministério das Comunicações) por serviços a serem prestados pela Telebras, conforme acordos contratuais.</w:t>
      </w:r>
    </w:p>
    <w:p w14:paraId="041D03D7" w14:textId="77777777" w:rsidR="00C65B3C" w:rsidRPr="00C65B3C" w:rsidRDefault="00C65B3C" w:rsidP="00C65B3C">
      <w:pPr>
        <w:autoSpaceDE w:val="0"/>
        <w:autoSpaceDN w:val="0"/>
        <w:adjustRightInd w:val="0"/>
        <w:spacing w:after="0" w:line="240" w:lineRule="auto"/>
        <w:jc w:val="both"/>
        <w:rPr>
          <w:rFonts w:ascii="Calibri" w:eastAsia="Times New Roman" w:hAnsi="Calibri" w:cs="Calibri"/>
          <w:iCs/>
          <w:color w:val="002060"/>
          <w:kern w:val="0"/>
          <w14:ligatures w14:val="none"/>
        </w:rPr>
      </w:pPr>
      <w:r w:rsidRPr="00C65B3C">
        <w:rPr>
          <w:rFonts w:ascii="Calibri" w:eastAsia="Times New Roman" w:hAnsi="Calibri" w:cs="Calibri"/>
          <w:iCs/>
          <w:color w:val="002060"/>
          <w:kern w:val="0"/>
          <w14:ligatures w14:val="none"/>
        </w:rPr>
        <w:t>h) Trata-se dos recursos repassados pela União Federal sob a forma de Adiantamento para Futuro Aumento de Capital (AFAC) da Companhia. Estes recursos foram aplicados na expansão e melhorias da Rede Terrestre, Construção do Satélite Geoestacionário de Defesa e Comunicações Estratégicas (SGDC) e Projeto de Cabos Submarinos.</w:t>
      </w:r>
    </w:p>
    <w:p w14:paraId="09AAF06A" w14:textId="77777777" w:rsidR="00C65B3C" w:rsidRPr="00C65B3C" w:rsidRDefault="00C65B3C" w:rsidP="00C65B3C">
      <w:pPr>
        <w:autoSpaceDE w:val="0"/>
        <w:autoSpaceDN w:val="0"/>
        <w:adjustRightInd w:val="0"/>
        <w:spacing w:after="0" w:line="240" w:lineRule="auto"/>
        <w:jc w:val="both"/>
        <w:rPr>
          <w:rFonts w:ascii="Calibri" w:eastAsia="Times New Roman" w:hAnsi="Calibri" w:cs="Calibri"/>
          <w:iCs/>
          <w:color w:val="002060"/>
          <w:kern w:val="0"/>
          <w14:ligatures w14:val="none"/>
        </w:rPr>
      </w:pPr>
      <w:r w:rsidRPr="00C65B3C">
        <w:rPr>
          <w:rFonts w:ascii="Calibri" w:eastAsia="Times New Roman" w:hAnsi="Calibri" w:cs="Calibri"/>
          <w:iCs/>
          <w:color w:val="002060"/>
          <w:kern w:val="0"/>
          <w14:ligatures w14:val="none"/>
        </w:rPr>
        <w:t>i) Representa os custos com compartilhamento de instalações. Estes custos incluem: Cessão de Fibras, Postes e Espaços Físicos, que se encontram vinculados a prestações dos serviços.</w:t>
      </w:r>
    </w:p>
    <w:p w14:paraId="0E46F8A5" w14:textId="0389E685" w:rsidR="00C65B3C" w:rsidRPr="00C65B3C" w:rsidRDefault="00C65B3C" w:rsidP="00C65B3C">
      <w:pPr>
        <w:autoSpaceDE w:val="0"/>
        <w:autoSpaceDN w:val="0"/>
        <w:adjustRightInd w:val="0"/>
        <w:spacing w:after="0" w:line="240" w:lineRule="auto"/>
        <w:jc w:val="both"/>
        <w:rPr>
          <w:rFonts w:ascii="Calibri" w:eastAsia="Times New Roman" w:hAnsi="Calibri" w:cs="Calibri"/>
          <w:iCs/>
          <w:color w:val="002060"/>
          <w:kern w:val="0"/>
          <w14:ligatures w14:val="none"/>
        </w:rPr>
      </w:pPr>
      <w:r w:rsidRPr="00C65B3C">
        <w:rPr>
          <w:rFonts w:ascii="Calibri" w:eastAsia="Times New Roman" w:hAnsi="Calibri" w:cs="Calibri"/>
          <w:iCs/>
          <w:color w:val="002060"/>
          <w:kern w:val="0"/>
          <w14:ligatures w14:val="none"/>
        </w:rPr>
        <w:t xml:space="preserve"> j) Trata-se de custos com Meios de Conexão e Transmissão necessários à prestação dos serviços. Estes custos incluem: Exploração Industrial de Linha Dedicada (EILD), Locação de Postes, Locação de Dutos e Condutos e </w:t>
      </w:r>
      <w:r w:rsidRPr="00C65B3C">
        <w:rPr>
          <w:rFonts w:ascii="Calibri" w:eastAsia="Times New Roman" w:hAnsi="Calibri" w:cs="Calibri"/>
          <w:i/>
          <w:iCs/>
          <w:color w:val="002060"/>
          <w:kern w:val="0"/>
          <w14:ligatures w14:val="none"/>
        </w:rPr>
        <w:t>Backbone</w:t>
      </w:r>
      <w:r w:rsidRPr="00C65B3C">
        <w:rPr>
          <w:rFonts w:ascii="Calibri" w:eastAsia="Times New Roman" w:hAnsi="Calibri" w:cs="Calibri"/>
          <w:iCs/>
          <w:color w:val="002060"/>
          <w:kern w:val="0"/>
          <w14:ligatures w14:val="none"/>
        </w:rPr>
        <w:t>.</w:t>
      </w:r>
    </w:p>
    <w:p w14:paraId="270ABEAF" w14:textId="77777777" w:rsidR="00C65B3C" w:rsidRPr="00C65B3C" w:rsidRDefault="00C65B3C" w:rsidP="00C65B3C">
      <w:pPr>
        <w:autoSpaceDE w:val="0"/>
        <w:autoSpaceDN w:val="0"/>
        <w:adjustRightInd w:val="0"/>
        <w:spacing w:after="0" w:line="240" w:lineRule="auto"/>
        <w:jc w:val="both"/>
        <w:rPr>
          <w:rFonts w:ascii="Calibri" w:eastAsia="Times New Roman" w:hAnsi="Calibri" w:cs="Calibri"/>
          <w:iCs/>
          <w:color w:val="002060"/>
          <w:kern w:val="0"/>
          <w14:ligatures w14:val="none"/>
        </w:rPr>
      </w:pPr>
      <w:r w:rsidRPr="00C65B3C">
        <w:rPr>
          <w:rFonts w:ascii="Calibri" w:eastAsia="Times New Roman" w:hAnsi="Calibri" w:cs="Calibri"/>
          <w:iCs/>
          <w:color w:val="002060"/>
          <w:kern w:val="0"/>
          <w14:ligatures w14:val="none"/>
        </w:rPr>
        <w:t>k) Representa a apropriação mensal dos custos incorridos com a contratação da garantia estendida para cobertura dos equipamentos do projeto SGDC, conforme item “e”.</w:t>
      </w:r>
    </w:p>
    <w:p w14:paraId="1C2F10AF" w14:textId="77777777" w:rsidR="00C65B3C" w:rsidRPr="00C65B3C" w:rsidRDefault="00C65B3C" w:rsidP="00C65B3C">
      <w:pPr>
        <w:autoSpaceDE w:val="0"/>
        <w:autoSpaceDN w:val="0"/>
        <w:adjustRightInd w:val="0"/>
        <w:spacing w:after="0" w:line="240" w:lineRule="auto"/>
        <w:jc w:val="both"/>
        <w:rPr>
          <w:rFonts w:ascii="Calibri" w:eastAsia="Times New Roman" w:hAnsi="Calibri" w:cs="Calibri"/>
          <w:iCs/>
          <w:color w:val="002060"/>
          <w:kern w:val="0"/>
          <w14:ligatures w14:val="none"/>
        </w:rPr>
      </w:pPr>
      <w:r w:rsidRPr="00C65B3C">
        <w:rPr>
          <w:rFonts w:ascii="Calibri" w:eastAsia="Times New Roman" w:hAnsi="Calibri" w:cs="Calibri"/>
          <w:iCs/>
          <w:color w:val="002060"/>
          <w:kern w:val="0"/>
          <w14:ligatures w14:val="none"/>
        </w:rPr>
        <w:t xml:space="preserve">l) Refere-se a despesas financeiras sobre as parcelas dos recursos repassados pela União Federal sob a forma de Adiantamentos para Futuro Aumento de Capital (AFAC) da Companhia e sobre os empréstimos e financiamentos captados junto à Financiadora de Estudos e Projetos (FINEP), para aplicação no projeto SGDC. Sobre o financiamento FINEP incidem encargos financeiros com base na Taxa Referencial </w:t>
      </w:r>
      <w:r w:rsidRPr="00C65B3C">
        <w:rPr>
          <w:rFonts w:ascii="Calibri" w:eastAsia="Times New Roman" w:hAnsi="Calibri" w:cs="Calibri"/>
          <w:i/>
          <w:iCs/>
          <w:color w:val="002060"/>
          <w:kern w:val="0"/>
          <w14:ligatures w14:val="none"/>
        </w:rPr>
        <w:t>pro rata tempore</w:t>
      </w:r>
      <w:r w:rsidRPr="00C65B3C">
        <w:rPr>
          <w:rFonts w:ascii="Calibri" w:eastAsia="Times New Roman" w:hAnsi="Calibri" w:cs="Calibri"/>
          <w:iCs/>
          <w:color w:val="002060"/>
          <w:kern w:val="0"/>
          <w14:ligatures w14:val="none"/>
        </w:rPr>
        <w:t xml:space="preserve"> (TR), divulgada pelo Banco Central do Brasil, acrescida do </w:t>
      </w:r>
      <w:r w:rsidRPr="00C65B3C">
        <w:rPr>
          <w:rFonts w:ascii="Calibri" w:eastAsia="Times New Roman" w:hAnsi="Calibri" w:cs="Calibri"/>
          <w:i/>
          <w:iCs/>
          <w:color w:val="002060"/>
          <w:kern w:val="0"/>
          <w14:ligatures w14:val="none"/>
        </w:rPr>
        <w:t>spread</w:t>
      </w:r>
      <w:r w:rsidRPr="00C65B3C">
        <w:rPr>
          <w:rFonts w:ascii="Calibri" w:eastAsia="Times New Roman" w:hAnsi="Calibri" w:cs="Calibri"/>
          <w:iCs/>
          <w:color w:val="002060"/>
          <w:kern w:val="0"/>
          <w14:ligatures w14:val="none"/>
        </w:rPr>
        <w:t xml:space="preserve"> de 5% (cinco por cento) ao ano e com possibilidade de redução em 2% (dois por cento) ao ano, em caso de não haver inadimplência. Os recursos de AFAC têm como indexador a SELIC. </w:t>
      </w:r>
    </w:p>
    <w:p w14:paraId="10665EEA" w14:textId="77777777" w:rsidR="00C65B3C" w:rsidRPr="00C65B3C" w:rsidRDefault="00C65B3C" w:rsidP="00C65B3C">
      <w:pPr>
        <w:autoSpaceDE w:val="0"/>
        <w:autoSpaceDN w:val="0"/>
        <w:adjustRightInd w:val="0"/>
        <w:spacing w:after="0" w:line="240" w:lineRule="auto"/>
        <w:jc w:val="both"/>
        <w:rPr>
          <w:rFonts w:ascii="Calibri" w:eastAsia="Times New Roman" w:hAnsi="Calibri" w:cs="Calibri"/>
          <w:iCs/>
          <w:color w:val="002060"/>
          <w:kern w:val="0"/>
          <w14:ligatures w14:val="none"/>
        </w:rPr>
      </w:pPr>
      <w:r w:rsidRPr="00C65B3C">
        <w:rPr>
          <w:rFonts w:ascii="Calibri" w:eastAsia="Times New Roman" w:hAnsi="Calibri" w:cs="Calibri"/>
          <w:iCs/>
          <w:color w:val="002060"/>
          <w:kern w:val="0"/>
          <w14:ligatures w14:val="none"/>
        </w:rPr>
        <w:t>m) Representa a receita obtida com a prestação dos Serviços de Comunicação Multimídia (Internet). Os preços cobrados pelos serviços são equivalentes aos praticados no mercado.</w:t>
      </w:r>
    </w:p>
    <w:p w14:paraId="28182B91" w14:textId="77777777" w:rsidR="00C65B3C" w:rsidRPr="00C65B3C" w:rsidRDefault="00C65B3C" w:rsidP="00C65B3C">
      <w:pPr>
        <w:autoSpaceDE w:val="0"/>
        <w:autoSpaceDN w:val="0"/>
        <w:adjustRightInd w:val="0"/>
        <w:spacing w:after="0" w:line="240" w:lineRule="auto"/>
        <w:jc w:val="both"/>
        <w:rPr>
          <w:rFonts w:ascii="Calibri" w:eastAsia="Times New Roman" w:hAnsi="Calibri" w:cs="Calibri"/>
          <w:iCs/>
          <w:color w:val="002060"/>
          <w:kern w:val="0"/>
          <w14:ligatures w14:val="none"/>
        </w:rPr>
      </w:pPr>
      <w:r w:rsidRPr="00C65B3C">
        <w:rPr>
          <w:rFonts w:ascii="Calibri" w:eastAsia="Times New Roman" w:hAnsi="Calibri" w:cs="Calibri"/>
          <w:iCs/>
          <w:color w:val="002060"/>
          <w:kern w:val="0"/>
          <w14:ligatures w14:val="none"/>
        </w:rPr>
        <w:t>n) Refere-se à receita obtida com a prestação dos Serviços de Aluguéis e Locações de Equipamento e Capacidade Satelital. Os preços cobrados pelos serviços são equivalentes aos praticados no mercado.</w:t>
      </w:r>
    </w:p>
    <w:p w14:paraId="7CA6CB8F" w14:textId="77777777" w:rsidR="00C65B3C" w:rsidRPr="00C65B3C" w:rsidRDefault="00C65B3C" w:rsidP="00C65B3C">
      <w:pPr>
        <w:autoSpaceDE w:val="0"/>
        <w:autoSpaceDN w:val="0"/>
        <w:adjustRightInd w:val="0"/>
        <w:spacing w:after="0" w:line="240" w:lineRule="auto"/>
        <w:jc w:val="both"/>
        <w:rPr>
          <w:rFonts w:ascii="Calibri" w:eastAsia="Times New Roman" w:hAnsi="Calibri" w:cs="Calibri"/>
          <w:iCs/>
          <w:color w:val="002060"/>
          <w:kern w:val="0"/>
          <w14:ligatures w14:val="none"/>
        </w:rPr>
      </w:pPr>
      <w:r w:rsidRPr="00C65B3C">
        <w:rPr>
          <w:rFonts w:ascii="Calibri" w:eastAsia="Times New Roman" w:hAnsi="Calibri" w:cs="Calibri"/>
          <w:iCs/>
          <w:color w:val="002060"/>
          <w:kern w:val="0"/>
          <w14:ligatures w14:val="none"/>
        </w:rPr>
        <w:t xml:space="preserve">o) Trata-se da receita dos serviços prestado ao Ministério das Comunicações relativas ao programa Wi </w:t>
      </w:r>
      <w:proofErr w:type="spellStart"/>
      <w:r w:rsidRPr="00C65B3C">
        <w:rPr>
          <w:rFonts w:ascii="Calibri" w:eastAsia="Times New Roman" w:hAnsi="Calibri" w:cs="Calibri"/>
          <w:iCs/>
          <w:color w:val="002060"/>
          <w:kern w:val="0"/>
          <w14:ligatures w14:val="none"/>
        </w:rPr>
        <w:t>Fi</w:t>
      </w:r>
      <w:proofErr w:type="spellEnd"/>
      <w:r w:rsidRPr="00C65B3C">
        <w:rPr>
          <w:rFonts w:ascii="Calibri" w:eastAsia="Times New Roman" w:hAnsi="Calibri" w:cs="Calibri"/>
          <w:iCs/>
          <w:color w:val="002060"/>
          <w:kern w:val="0"/>
          <w14:ligatures w14:val="none"/>
        </w:rPr>
        <w:t xml:space="preserve"> Brasil.</w:t>
      </w:r>
    </w:p>
    <w:p w14:paraId="63300AD3" w14:textId="0A2FC5CA" w:rsidR="00C65B3C" w:rsidRPr="00C65B3C" w:rsidRDefault="00C65B3C" w:rsidP="00C65B3C">
      <w:pPr>
        <w:autoSpaceDE w:val="0"/>
        <w:autoSpaceDN w:val="0"/>
        <w:adjustRightInd w:val="0"/>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33.3. </w:t>
      </w:r>
      <w:r w:rsidRPr="00C65B3C">
        <w:rPr>
          <w:rFonts w:ascii="Calibri" w:eastAsia="Times New Roman" w:hAnsi="Calibri" w:cs="Calibri"/>
          <w:b/>
          <w:bCs/>
          <w:iCs/>
          <w:color w:val="002060"/>
          <w:kern w:val="0"/>
          <w14:ligatures w14:val="none"/>
        </w:rPr>
        <w:t>Remuneração de dirigentes e empregados</w:t>
      </w:r>
    </w:p>
    <w:p w14:paraId="67166D0F" w14:textId="77777777" w:rsidR="00C65B3C" w:rsidRPr="00C65B3C" w:rsidRDefault="00C65B3C" w:rsidP="00C65B3C">
      <w:pPr>
        <w:autoSpaceDE w:val="0"/>
        <w:autoSpaceDN w:val="0"/>
        <w:adjustRightInd w:val="0"/>
        <w:spacing w:after="0" w:line="240" w:lineRule="auto"/>
        <w:jc w:val="both"/>
        <w:rPr>
          <w:rFonts w:ascii="Calibri" w:eastAsia="Times New Roman" w:hAnsi="Calibri" w:cs="Calibri"/>
          <w:iCs/>
          <w:color w:val="002060"/>
          <w:kern w:val="0"/>
          <w14:ligatures w14:val="none"/>
        </w:rPr>
      </w:pPr>
      <w:r w:rsidRPr="00C65B3C">
        <w:rPr>
          <w:rFonts w:ascii="Calibri" w:eastAsia="Times New Roman" w:hAnsi="Calibri" w:cs="Calibri"/>
          <w:iCs/>
          <w:color w:val="002060"/>
          <w:kern w:val="0"/>
          <w14:ligatures w14:val="none"/>
        </w:rPr>
        <w:t>A remuneração paga a dirigentes e empregados segue os critérios estabelecidos na legislação vigente e no Plano de Salários e Benefícios, aprovado pela Telebras, em rigorosa observância ao que determina a Resolução nº 3, de 31 de dezembro de 2010, da Comissão Interministerial de Governança Corporativa e de Administração de Participações Societárias da União – CGPAR.</w:t>
      </w:r>
    </w:p>
    <w:p w14:paraId="003EC879" w14:textId="77777777" w:rsidR="00C65B3C" w:rsidRDefault="00C65B3C" w:rsidP="00C65B3C">
      <w:pPr>
        <w:autoSpaceDE w:val="0"/>
        <w:autoSpaceDN w:val="0"/>
        <w:adjustRightInd w:val="0"/>
        <w:spacing w:after="0" w:line="240" w:lineRule="auto"/>
        <w:jc w:val="both"/>
        <w:rPr>
          <w:rFonts w:ascii="Calibri" w:eastAsia="Times New Roman" w:hAnsi="Calibri" w:cs="Calibri"/>
          <w:iCs/>
          <w:color w:val="002060"/>
          <w:kern w:val="0"/>
          <w14:ligatures w14:val="none"/>
        </w:rPr>
      </w:pPr>
      <w:r w:rsidRPr="00C65B3C">
        <w:rPr>
          <w:rFonts w:ascii="Calibri" w:eastAsia="Times New Roman" w:hAnsi="Calibri" w:cs="Calibri"/>
          <w:iCs/>
          <w:color w:val="002060"/>
          <w:kern w:val="0"/>
          <w14:ligatures w14:val="none"/>
        </w:rPr>
        <w:t>A remuneração paga aos Colaboradores, Dirigentes e Conselheiros em 31 de dezembro de 2023 foi a seguinte:</w:t>
      </w:r>
    </w:p>
    <w:tbl>
      <w:tblPr>
        <w:tblW w:w="5000" w:type="pct"/>
        <w:tblCellMar>
          <w:left w:w="70" w:type="dxa"/>
          <w:right w:w="70" w:type="dxa"/>
        </w:tblCellMar>
        <w:tblLook w:val="04A0" w:firstRow="1" w:lastRow="0" w:firstColumn="1" w:lastColumn="0" w:noHBand="0" w:noVBand="1"/>
      </w:tblPr>
      <w:tblGrid>
        <w:gridCol w:w="7316"/>
        <w:gridCol w:w="1163"/>
        <w:gridCol w:w="1292"/>
      </w:tblGrid>
      <w:tr w:rsidR="00C65B3C" w:rsidRPr="00C65B3C" w14:paraId="3704ADF5" w14:textId="77777777" w:rsidTr="00446A14">
        <w:trPr>
          <w:trHeight w:val="238"/>
          <w:tblHeader/>
        </w:trPr>
        <w:tc>
          <w:tcPr>
            <w:tcW w:w="3744"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766C41B" w14:textId="77777777" w:rsidR="00C65B3C" w:rsidRPr="00C65B3C" w:rsidRDefault="00C65B3C" w:rsidP="00C65B3C">
            <w:pPr>
              <w:spacing w:after="0" w:line="240" w:lineRule="auto"/>
              <w:rPr>
                <w:rFonts w:ascii="Arial" w:eastAsia="Times New Roman" w:hAnsi="Arial" w:cs="Arial"/>
                <w:b/>
                <w:bCs/>
                <w:color w:val="000000"/>
                <w:kern w:val="0"/>
                <w:sz w:val="18"/>
                <w:szCs w:val="18"/>
                <w:lang w:eastAsia="pt-BR"/>
                <w14:ligatures w14:val="none"/>
              </w:rPr>
            </w:pPr>
            <w:r w:rsidRPr="00C65B3C">
              <w:rPr>
                <w:rFonts w:ascii="Arial" w:eastAsia="Times New Roman" w:hAnsi="Arial" w:cs="Arial"/>
                <w:b/>
                <w:bCs/>
                <w:color w:val="000000"/>
                <w:kern w:val="0"/>
                <w:sz w:val="18"/>
                <w:szCs w:val="18"/>
                <w:lang w:eastAsia="pt-BR"/>
                <w14:ligatures w14:val="none"/>
              </w:rPr>
              <w:t> Remuneração:</w:t>
            </w:r>
          </w:p>
        </w:tc>
        <w:tc>
          <w:tcPr>
            <w:tcW w:w="595" w:type="pct"/>
            <w:tcBorders>
              <w:top w:val="single" w:sz="4" w:space="0" w:color="auto"/>
              <w:left w:val="nil"/>
              <w:bottom w:val="single" w:sz="4" w:space="0" w:color="auto"/>
              <w:right w:val="single" w:sz="4" w:space="0" w:color="auto"/>
            </w:tcBorders>
            <w:shd w:val="clear" w:color="auto" w:fill="auto"/>
            <w:noWrap/>
            <w:vAlign w:val="center"/>
            <w:hideMark/>
          </w:tcPr>
          <w:p w14:paraId="2C7E0EDC" w14:textId="77777777" w:rsidR="00C65B3C" w:rsidRPr="00C65B3C" w:rsidRDefault="00C65B3C" w:rsidP="00C65B3C">
            <w:pPr>
              <w:spacing w:after="0" w:line="240" w:lineRule="auto"/>
              <w:jc w:val="right"/>
              <w:rPr>
                <w:rFonts w:ascii="Arial" w:eastAsia="Times New Roman" w:hAnsi="Arial" w:cs="Arial"/>
                <w:b/>
                <w:bCs/>
                <w:color w:val="000000"/>
                <w:kern w:val="0"/>
                <w:sz w:val="18"/>
                <w:szCs w:val="18"/>
                <w:lang w:eastAsia="pt-BR"/>
                <w14:ligatures w14:val="none"/>
              </w:rPr>
            </w:pPr>
            <w:r w:rsidRPr="00C65B3C">
              <w:rPr>
                <w:rFonts w:ascii="Arial" w:eastAsia="Times New Roman" w:hAnsi="Arial" w:cs="Arial"/>
                <w:b/>
                <w:bCs/>
                <w:color w:val="000000"/>
                <w:kern w:val="0"/>
                <w:sz w:val="18"/>
                <w:szCs w:val="18"/>
                <w:lang w:eastAsia="pt-BR"/>
                <w14:ligatures w14:val="none"/>
              </w:rPr>
              <w:t>31/12/2023</w:t>
            </w:r>
          </w:p>
        </w:tc>
        <w:tc>
          <w:tcPr>
            <w:tcW w:w="661" w:type="pct"/>
            <w:tcBorders>
              <w:top w:val="single" w:sz="4" w:space="0" w:color="auto"/>
              <w:left w:val="nil"/>
              <w:bottom w:val="single" w:sz="4" w:space="0" w:color="auto"/>
              <w:right w:val="single" w:sz="4" w:space="0" w:color="auto"/>
            </w:tcBorders>
            <w:shd w:val="clear" w:color="auto" w:fill="auto"/>
            <w:noWrap/>
            <w:vAlign w:val="center"/>
            <w:hideMark/>
          </w:tcPr>
          <w:p w14:paraId="7B0CD999" w14:textId="77777777" w:rsidR="00C65B3C" w:rsidRPr="00C65B3C" w:rsidRDefault="00C65B3C" w:rsidP="00C65B3C">
            <w:pPr>
              <w:spacing w:after="0" w:line="240" w:lineRule="auto"/>
              <w:jc w:val="center"/>
              <w:rPr>
                <w:rFonts w:ascii="Arial" w:eastAsia="Times New Roman" w:hAnsi="Arial" w:cs="Arial"/>
                <w:b/>
                <w:bCs/>
                <w:color w:val="000000"/>
                <w:kern w:val="0"/>
                <w:sz w:val="18"/>
                <w:szCs w:val="18"/>
                <w:lang w:eastAsia="pt-BR"/>
                <w14:ligatures w14:val="none"/>
              </w:rPr>
            </w:pPr>
            <w:r w:rsidRPr="00C65B3C">
              <w:rPr>
                <w:rFonts w:ascii="Arial" w:eastAsia="Times New Roman" w:hAnsi="Arial" w:cs="Arial"/>
                <w:b/>
                <w:bCs/>
                <w:color w:val="000000"/>
                <w:kern w:val="0"/>
                <w:sz w:val="18"/>
                <w:szCs w:val="18"/>
                <w:lang w:eastAsia="pt-BR"/>
                <w14:ligatures w14:val="none"/>
              </w:rPr>
              <w:t>31/12/2022</w:t>
            </w:r>
          </w:p>
        </w:tc>
      </w:tr>
      <w:tr w:rsidR="00C65B3C" w:rsidRPr="00C65B3C" w14:paraId="5BD8A36B" w14:textId="77777777" w:rsidTr="00446A14">
        <w:trPr>
          <w:trHeight w:val="238"/>
        </w:trPr>
        <w:tc>
          <w:tcPr>
            <w:tcW w:w="3744" w:type="pct"/>
            <w:tcBorders>
              <w:top w:val="nil"/>
              <w:left w:val="single" w:sz="4" w:space="0" w:color="auto"/>
              <w:bottom w:val="single" w:sz="4" w:space="0" w:color="auto"/>
              <w:right w:val="single" w:sz="4" w:space="0" w:color="auto"/>
            </w:tcBorders>
            <w:shd w:val="clear" w:color="auto" w:fill="auto"/>
            <w:noWrap/>
            <w:vAlign w:val="center"/>
            <w:hideMark/>
          </w:tcPr>
          <w:p w14:paraId="49924EB8" w14:textId="77777777" w:rsidR="00C65B3C" w:rsidRPr="00C65B3C" w:rsidRDefault="00C65B3C" w:rsidP="00C65B3C">
            <w:pPr>
              <w:spacing w:after="0" w:line="240" w:lineRule="auto"/>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Colaboradores - Maior Remuneração</w:t>
            </w:r>
          </w:p>
        </w:tc>
        <w:tc>
          <w:tcPr>
            <w:tcW w:w="595" w:type="pct"/>
            <w:tcBorders>
              <w:top w:val="nil"/>
              <w:left w:val="nil"/>
              <w:bottom w:val="single" w:sz="4" w:space="0" w:color="auto"/>
              <w:right w:val="single" w:sz="4" w:space="0" w:color="auto"/>
            </w:tcBorders>
            <w:shd w:val="clear" w:color="auto" w:fill="auto"/>
            <w:noWrap/>
            <w:vAlign w:val="center"/>
            <w:hideMark/>
          </w:tcPr>
          <w:p w14:paraId="0CE2C3F6"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33.764,65</w:t>
            </w:r>
          </w:p>
        </w:tc>
        <w:tc>
          <w:tcPr>
            <w:tcW w:w="661" w:type="pct"/>
            <w:tcBorders>
              <w:top w:val="nil"/>
              <w:left w:val="nil"/>
              <w:bottom w:val="single" w:sz="4" w:space="0" w:color="auto"/>
              <w:right w:val="single" w:sz="4" w:space="0" w:color="auto"/>
            </w:tcBorders>
            <w:shd w:val="clear" w:color="auto" w:fill="auto"/>
            <w:noWrap/>
            <w:vAlign w:val="center"/>
            <w:hideMark/>
          </w:tcPr>
          <w:p w14:paraId="7284630B"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27.448,82</w:t>
            </w:r>
          </w:p>
        </w:tc>
      </w:tr>
      <w:tr w:rsidR="00C65B3C" w:rsidRPr="00C65B3C" w14:paraId="780A9E5D" w14:textId="77777777" w:rsidTr="00446A14">
        <w:trPr>
          <w:trHeight w:val="238"/>
        </w:trPr>
        <w:tc>
          <w:tcPr>
            <w:tcW w:w="3744" w:type="pct"/>
            <w:tcBorders>
              <w:top w:val="nil"/>
              <w:left w:val="single" w:sz="4" w:space="0" w:color="auto"/>
              <w:bottom w:val="single" w:sz="4" w:space="0" w:color="auto"/>
              <w:right w:val="single" w:sz="4" w:space="0" w:color="auto"/>
            </w:tcBorders>
            <w:shd w:val="clear" w:color="auto" w:fill="auto"/>
            <w:noWrap/>
            <w:vAlign w:val="center"/>
            <w:hideMark/>
          </w:tcPr>
          <w:p w14:paraId="2102149E" w14:textId="77777777" w:rsidR="00C65B3C" w:rsidRPr="00C65B3C" w:rsidRDefault="00C65B3C" w:rsidP="00C65B3C">
            <w:pPr>
              <w:spacing w:after="0" w:line="240" w:lineRule="auto"/>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Colaboradores - Menor Remuneração</w:t>
            </w:r>
          </w:p>
        </w:tc>
        <w:tc>
          <w:tcPr>
            <w:tcW w:w="595" w:type="pct"/>
            <w:tcBorders>
              <w:top w:val="nil"/>
              <w:left w:val="nil"/>
              <w:bottom w:val="single" w:sz="4" w:space="0" w:color="auto"/>
              <w:right w:val="single" w:sz="4" w:space="0" w:color="auto"/>
            </w:tcBorders>
            <w:shd w:val="clear" w:color="auto" w:fill="auto"/>
            <w:noWrap/>
            <w:vAlign w:val="center"/>
            <w:hideMark/>
          </w:tcPr>
          <w:p w14:paraId="67DDB595"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4.121,07</w:t>
            </w:r>
          </w:p>
        </w:tc>
        <w:tc>
          <w:tcPr>
            <w:tcW w:w="661" w:type="pct"/>
            <w:tcBorders>
              <w:top w:val="nil"/>
              <w:left w:val="nil"/>
              <w:bottom w:val="single" w:sz="4" w:space="0" w:color="auto"/>
              <w:right w:val="single" w:sz="4" w:space="0" w:color="auto"/>
            </w:tcBorders>
            <w:shd w:val="clear" w:color="auto" w:fill="auto"/>
            <w:noWrap/>
            <w:vAlign w:val="center"/>
            <w:hideMark/>
          </w:tcPr>
          <w:p w14:paraId="3F8BFA35"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3.404,40</w:t>
            </w:r>
          </w:p>
        </w:tc>
      </w:tr>
      <w:tr w:rsidR="00C65B3C" w:rsidRPr="00C65B3C" w14:paraId="3427EE9B" w14:textId="77777777" w:rsidTr="00446A14">
        <w:trPr>
          <w:trHeight w:val="238"/>
        </w:trPr>
        <w:tc>
          <w:tcPr>
            <w:tcW w:w="3744" w:type="pct"/>
            <w:tcBorders>
              <w:top w:val="nil"/>
              <w:left w:val="single" w:sz="4" w:space="0" w:color="auto"/>
              <w:bottom w:val="single" w:sz="4" w:space="0" w:color="auto"/>
              <w:right w:val="single" w:sz="4" w:space="0" w:color="auto"/>
            </w:tcBorders>
            <w:shd w:val="clear" w:color="auto" w:fill="auto"/>
            <w:noWrap/>
            <w:vAlign w:val="center"/>
            <w:hideMark/>
          </w:tcPr>
          <w:p w14:paraId="4A6A5131" w14:textId="77777777" w:rsidR="00C65B3C" w:rsidRPr="00C65B3C" w:rsidRDefault="00C65B3C" w:rsidP="00C65B3C">
            <w:pPr>
              <w:spacing w:after="0" w:line="240" w:lineRule="auto"/>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Colaboradores - Remuneração Média</w:t>
            </w:r>
          </w:p>
        </w:tc>
        <w:tc>
          <w:tcPr>
            <w:tcW w:w="595" w:type="pct"/>
            <w:tcBorders>
              <w:top w:val="nil"/>
              <w:left w:val="nil"/>
              <w:bottom w:val="single" w:sz="4" w:space="0" w:color="auto"/>
              <w:right w:val="single" w:sz="4" w:space="0" w:color="auto"/>
            </w:tcBorders>
            <w:shd w:val="clear" w:color="auto" w:fill="auto"/>
            <w:noWrap/>
            <w:vAlign w:val="center"/>
            <w:hideMark/>
          </w:tcPr>
          <w:p w14:paraId="6BB9A4EE"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14.062,55</w:t>
            </w:r>
          </w:p>
        </w:tc>
        <w:tc>
          <w:tcPr>
            <w:tcW w:w="661" w:type="pct"/>
            <w:tcBorders>
              <w:top w:val="nil"/>
              <w:left w:val="nil"/>
              <w:bottom w:val="single" w:sz="4" w:space="0" w:color="auto"/>
              <w:right w:val="single" w:sz="4" w:space="0" w:color="auto"/>
            </w:tcBorders>
            <w:shd w:val="clear" w:color="auto" w:fill="auto"/>
            <w:noWrap/>
            <w:vAlign w:val="center"/>
            <w:hideMark/>
          </w:tcPr>
          <w:p w14:paraId="4BF94063"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12.027,19</w:t>
            </w:r>
          </w:p>
        </w:tc>
      </w:tr>
      <w:tr w:rsidR="00C65B3C" w:rsidRPr="00C65B3C" w14:paraId="0D2061D9" w14:textId="77777777" w:rsidTr="00446A14">
        <w:trPr>
          <w:trHeight w:val="238"/>
        </w:trPr>
        <w:tc>
          <w:tcPr>
            <w:tcW w:w="3744" w:type="pct"/>
            <w:tcBorders>
              <w:top w:val="nil"/>
              <w:left w:val="single" w:sz="4" w:space="0" w:color="auto"/>
              <w:bottom w:val="single" w:sz="4" w:space="0" w:color="auto"/>
              <w:right w:val="single" w:sz="4" w:space="0" w:color="auto"/>
            </w:tcBorders>
            <w:shd w:val="clear" w:color="auto" w:fill="auto"/>
            <w:noWrap/>
            <w:vAlign w:val="center"/>
            <w:hideMark/>
          </w:tcPr>
          <w:p w14:paraId="7AF98593" w14:textId="77777777" w:rsidR="00C65B3C" w:rsidRPr="00C65B3C" w:rsidRDefault="00C65B3C" w:rsidP="00C65B3C">
            <w:pPr>
              <w:spacing w:after="0" w:line="240" w:lineRule="auto"/>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Dirigentes - Maior Remuneração</w:t>
            </w:r>
          </w:p>
        </w:tc>
        <w:tc>
          <w:tcPr>
            <w:tcW w:w="595" w:type="pct"/>
            <w:tcBorders>
              <w:top w:val="nil"/>
              <w:left w:val="nil"/>
              <w:bottom w:val="single" w:sz="4" w:space="0" w:color="auto"/>
              <w:right w:val="single" w:sz="4" w:space="0" w:color="auto"/>
            </w:tcBorders>
            <w:shd w:val="clear" w:color="auto" w:fill="auto"/>
            <w:noWrap/>
            <w:vAlign w:val="center"/>
            <w:hideMark/>
          </w:tcPr>
          <w:p w14:paraId="51864D5D"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42.236,17</w:t>
            </w:r>
          </w:p>
        </w:tc>
        <w:tc>
          <w:tcPr>
            <w:tcW w:w="661" w:type="pct"/>
            <w:tcBorders>
              <w:top w:val="nil"/>
              <w:left w:val="nil"/>
              <w:bottom w:val="single" w:sz="4" w:space="0" w:color="auto"/>
              <w:right w:val="single" w:sz="4" w:space="0" w:color="auto"/>
            </w:tcBorders>
            <w:shd w:val="clear" w:color="auto" w:fill="auto"/>
            <w:noWrap/>
            <w:vAlign w:val="center"/>
            <w:hideMark/>
          </w:tcPr>
          <w:p w14:paraId="2852D775"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38.748,78</w:t>
            </w:r>
          </w:p>
        </w:tc>
      </w:tr>
      <w:tr w:rsidR="00C65B3C" w:rsidRPr="00C65B3C" w14:paraId="00B44B20" w14:textId="77777777" w:rsidTr="00446A14">
        <w:trPr>
          <w:trHeight w:val="238"/>
        </w:trPr>
        <w:tc>
          <w:tcPr>
            <w:tcW w:w="3744" w:type="pct"/>
            <w:tcBorders>
              <w:top w:val="nil"/>
              <w:left w:val="single" w:sz="4" w:space="0" w:color="auto"/>
              <w:bottom w:val="single" w:sz="4" w:space="0" w:color="auto"/>
              <w:right w:val="single" w:sz="4" w:space="0" w:color="auto"/>
            </w:tcBorders>
            <w:shd w:val="clear" w:color="auto" w:fill="auto"/>
            <w:noWrap/>
            <w:vAlign w:val="center"/>
            <w:hideMark/>
          </w:tcPr>
          <w:p w14:paraId="2E567A1B" w14:textId="77777777" w:rsidR="00C65B3C" w:rsidRPr="00C65B3C" w:rsidRDefault="00C65B3C" w:rsidP="00C65B3C">
            <w:pPr>
              <w:spacing w:after="0" w:line="240" w:lineRule="auto"/>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Dirigentes - Menor Remuneração</w:t>
            </w:r>
          </w:p>
        </w:tc>
        <w:tc>
          <w:tcPr>
            <w:tcW w:w="595" w:type="pct"/>
            <w:tcBorders>
              <w:top w:val="nil"/>
              <w:left w:val="nil"/>
              <w:bottom w:val="single" w:sz="4" w:space="0" w:color="auto"/>
              <w:right w:val="single" w:sz="4" w:space="0" w:color="auto"/>
            </w:tcBorders>
            <w:shd w:val="clear" w:color="auto" w:fill="auto"/>
            <w:noWrap/>
            <w:vAlign w:val="center"/>
            <w:hideMark/>
          </w:tcPr>
          <w:p w14:paraId="46972118"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38.396,51</w:t>
            </w:r>
          </w:p>
        </w:tc>
        <w:tc>
          <w:tcPr>
            <w:tcW w:w="661" w:type="pct"/>
            <w:tcBorders>
              <w:top w:val="nil"/>
              <w:left w:val="nil"/>
              <w:bottom w:val="single" w:sz="4" w:space="0" w:color="auto"/>
              <w:right w:val="single" w:sz="4" w:space="0" w:color="auto"/>
            </w:tcBorders>
            <w:shd w:val="clear" w:color="auto" w:fill="auto"/>
            <w:noWrap/>
            <w:vAlign w:val="center"/>
            <w:hideMark/>
          </w:tcPr>
          <w:p w14:paraId="2EDD73E8"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35.226,16</w:t>
            </w:r>
          </w:p>
        </w:tc>
      </w:tr>
      <w:tr w:rsidR="00C65B3C" w:rsidRPr="00C65B3C" w14:paraId="695FA51C" w14:textId="77777777" w:rsidTr="00446A14">
        <w:trPr>
          <w:trHeight w:val="238"/>
        </w:trPr>
        <w:tc>
          <w:tcPr>
            <w:tcW w:w="3744" w:type="pct"/>
            <w:tcBorders>
              <w:top w:val="nil"/>
              <w:left w:val="single" w:sz="4" w:space="0" w:color="auto"/>
              <w:bottom w:val="single" w:sz="4" w:space="0" w:color="auto"/>
              <w:right w:val="single" w:sz="4" w:space="0" w:color="auto"/>
            </w:tcBorders>
            <w:shd w:val="clear" w:color="auto" w:fill="auto"/>
            <w:noWrap/>
            <w:vAlign w:val="center"/>
            <w:hideMark/>
          </w:tcPr>
          <w:p w14:paraId="1FB2B4D0" w14:textId="77777777" w:rsidR="00C65B3C" w:rsidRPr="00C65B3C" w:rsidRDefault="00C65B3C" w:rsidP="00C65B3C">
            <w:pPr>
              <w:spacing w:after="0" w:line="240" w:lineRule="auto"/>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Dirigentes - Remuneração Média</w:t>
            </w:r>
          </w:p>
        </w:tc>
        <w:tc>
          <w:tcPr>
            <w:tcW w:w="595" w:type="pct"/>
            <w:tcBorders>
              <w:top w:val="nil"/>
              <w:left w:val="nil"/>
              <w:bottom w:val="single" w:sz="4" w:space="0" w:color="auto"/>
              <w:right w:val="single" w:sz="4" w:space="0" w:color="auto"/>
            </w:tcBorders>
            <w:shd w:val="clear" w:color="auto" w:fill="auto"/>
            <w:noWrap/>
            <w:vAlign w:val="center"/>
            <w:hideMark/>
          </w:tcPr>
          <w:p w14:paraId="25CF4D28"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39.164,44</w:t>
            </w:r>
          </w:p>
        </w:tc>
        <w:tc>
          <w:tcPr>
            <w:tcW w:w="661" w:type="pct"/>
            <w:tcBorders>
              <w:top w:val="nil"/>
              <w:left w:val="nil"/>
              <w:bottom w:val="single" w:sz="4" w:space="0" w:color="auto"/>
              <w:right w:val="single" w:sz="4" w:space="0" w:color="auto"/>
            </w:tcBorders>
            <w:shd w:val="clear" w:color="auto" w:fill="auto"/>
            <w:noWrap/>
            <w:vAlign w:val="center"/>
            <w:hideMark/>
          </w:tcPr>
          <w:p w14:paraId="1CCFC25A"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35.930,68</w:t>
            </w:r>
          </w:p>
        </w:tc>
      </w:tr>
      <w:tr w:rsidR="00C65B3C" w:rsidRPr="00C65B3C" w14:paraId="18205C3C" w14:textId="77777777" w:rsidTr="00446A14">
        <w:trPr>
          <w:trHeight w:val="238"/>
        </w:trPr>
        <w:tc>
          <w:tcPr>
            <w:tcW w:w="3744" w:type="pct"/>
            <w:tcBorders>
              <w:top w:val="nil"/>
              <w:left w:val="single" w:sz="4" w:space="0" w:color="auto"/>
              <w:bottom w:val="single" w:sz="4" w:space="0" w:color="auto"/>
              <w:right w:val="single" w:sz="4" w:space="0" w:color="auto"/>
            </w:tcBorders>
            <w:shd w:val="clear" w:color="auto" w:fill="auto"/>
            <w:noWrap/>
            <w:vAlign w:val="center"/>
            <w:hideMark/>
          </w:tcPr>
          <w:p w14:paraId="154E2463" w14:textId="77777777" w:rsidR="00C65B3C" w:rsidRPr="00C65B3C" w:rsidRDefault="00C65B3C" w:rsidP="00C65B3C">
            <w:pPr>
              <w:spacing w:after="0" w:line="240" w:lineRule="auto"/>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Conselheiro de Administração - Maior Remuneração</w:t>
            </w:r>
          </w:p>
        </w:tc>
        <w:tc>
          <w:tcPr>
            <w:tcW w:w="595" w:type="pct"/>
            <w:tcBorders>
              <w:top w:val="nil"/>
              <w:left w:val="nil"/>
              <w:bottom w:val="single" w:sz="4" w:space="0" w:color="auto"/>
              <w:right w:val="single" w:sz="4" w:space="0" w:color="auto"/>
            </w:tcBorders>
            <w:shd w:val="clear" w:color="auto" w:fill="auto"/>
            <w:noWrap/>
            <w:vAlign w:val="center"/>
            <w:hideMark/>
          </w:tcPr>
          <w:p w14:paraId="71D6B9D6"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4.242,81</w:t>
            </w:r>
          </w:p>
        </w:tc>
        <w:tc>
          <w:tcPr>
            <w:tcW w:w="661" w:type="pct"/>
            <w:tcBorders>
              <w:top w:val="nil"/>
              <w:left w:val="nil"/>
              <w:bottom w:val="single" w:sz="4" w:space="0" w:color="auto"/>
              <w:right w:val="single" w:sz="4" w:space="0" w:color="auto"/>
            </w:tcBorders>
            <w:shd w:val="clear" w:color="auto" w:fill="auto"/>
            <w:noWrap/>
            <w:vAlign w:val="center"/>
            <w:hideMark/>
          </w:tcPr>
          <w:p w14:paraId="55A438B5"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3.892,49</w:t>
            </w:r>
          </w:p>
        </w:tc>
      </w:tr>
      <w:tr w:rsidR="00C65B3C" w:rsidRPr="00C65B3C" w14:paraId="3FC28A30" w14:textId="77777777" w:rsidTr="00446A14">
        <w:trPr>
          <w:trHeight w:val="238"/>
        </w:trPr>
        <w:tc>
          <w:tcPr>
            <w:tcW w:w="3744" w:type="pct"/>
            <w:tcBorders>
              <w:top w:val="nil"/>
              <w:left w:val="single" w:sz="4" w:space="0" w:color="auto"/>
              <w:bottom w:val="single" w:sz="4" w:space="0" w:color="auto"/>
              <w:right w:val="single" w:sz="4" w:space="0" w:color="auto"/>
            </w:tcBorders>
            <w:shd w:val="clear" w:color="auto" w:fill="auto"/>
            <w:noWrap/>
            <w:vAlign w:val="center"/>
            <w:hideMark/>
          </w:tcPr>
          <w:p w14:paraId="2C7F3387" w14:textId="77777777" w:rsidR="00C65B3C" w:rsidRPr="00C65B3C" w:rsidRDefault="00C65B3C" w:rsidP="00C65B3C">
            <w:pPr>
              <w:spacing w:after="0" w:line="240" w:lineRule="auto"/>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Conselheiro de Administração - Menor Remuneração</w:t>
            </w:r>
          </w:p>
        </w:tc>
        <w:tc>
          <w:tcPr>
            <w:tcW w:w="595" w:type="pct"/>
            <w:tcBorders>
              <w:top w:val="nil"/>
              <w:left w:val="nil"/>
              <w:bottom w:val="single" w:sz="4" w:space="0" w:color="auto"/>
              <w:right w:val="single" w:sz="4" w:space="0" w:color="auto"/>
            </w:tcBorders>
            <w:shd w:val="clear" w:color="auto" w:fill="auto"/>
            <w:noWrap/>
            <w:vAlign w:val="center"/>
            <w:hideMark/>
          </w:tcPr>
          <w:p w14:paraId="26E891B2"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4.242,81</w:t>
            </w:r>
          </w:p>
        </w:tc>
        <w:tc>
          <w:tcPr>
            <w:tcW w:w="661" w:type="pct"/>
            <w:tcBorders>
              <w:top w:val="nil"/>
              <w:left w:val="nil"/>
              <w:bottom w:val="single" w:sz="4" w:space="0" w:color="auto"/>
              <w:right w:val="single" w:sz="4" w:space="0" w:color="auto"/>
            </w:tcBorders>
            <w:shd w:val="clear" w:color="auto" w:fill="auto"/>
            <w:noWrap/>
            <w:vAlign w:val="center"/>
            <w:hideMark/>
          </w:tcPr>
          <w:p w14:paraId="432A105D"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3.892,49</w:t>
            </w:r>
          </w:p>
        </w:tc>
      </w:tr>
      <w:tr w:rsidR="00C65B3C" w:rsidRPr="00C65B3C" w14:paraId="2895CC50" w14:textId="77777777" w:rsidTr="00446A14">
        <w:trPr>
          <w:trHeight w:val="238"/>
        </w:trPr>
        <w:tc>
          <w:tcPr>
            <w:tcW w:w="3744" w:type="pct"/>
            <w:tcBorders>
              <w:top w:val="nil"/>
              <w:left w:val="single" w:sz="4" w:space="0" w:color="auto"/>
              <w:bottom w:val="single" w:sz="4" w:space="0" w:color="auto"/>
              <w:right w:val="single" w:sz="4" w:space="0" w:color="auto"/>
            </w:tcBorders>
            <w:shd w:val="clear" w:color="auto" w:fill="auto"/>
            <w:noWrap/>
            <w:vAlign w:val="center"/>
            <w:hideMark/>
          </w:tcPr>
          <w:p w14:paraId="253C3B71" w14:textId="77777777" w:rsidR="00C65B3C" w:rsidRPr="00C65B3C" w:rsidRDefault="00C65B3C" w:rsidP="00C65B3C">
            <w:pPr>
              <w:spacing w:after="0" w:line="240" w:lineRule="auto"/>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Conselheiro de Administração - Remuneração Média</w:t>
            </w:r>
          </w:p>
        </w:tc>
        <w:tc>
          <w:tcPr>
            <w:tcW w:w="595" w:type="pct"/>
            <w:tcBorders>
              <w:top w:val="nil"/>
              <w:left w:val="nil"/>
              <w:bottom w:val="single" w:sz="4" w:space="0" w:color="auto"/>
              <w:right w:val="single" w:sz="4" w:space="0" w:color="auto"/>
            </w:tcBorders>
            <w:shd w:val="clear" w:color="auto" w:fill="auto"/>
            <w:noWrap/>
            <w:vAlign w:val="center"/>
            <w:hideMark/>
          </w:tcPr>
          <w:p w14:paraId="12C11606"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4.242,81</w:t>
            </w:r>
          </w:p>
        </w:tc>
        <w:tc>
          <w:tcPr>
            <w:tcW w:w="661" w:type="pct"/>
            <w:tcBorders>
              <w:top w:val="nil"/>
              <w:left w:val="nil"/>
              <w:bottom w:val="single" w:sz="4" w:space="0" w:color="auto"/>
              <w:right w:val="single" w:sz="4" w:space="0" w:color="auto"/>
            </w:tcBorders>
            <w:shd w:val="clear" w:color="auto" w:fill="auto"/>
            <w:noWrap/>
            <w:vAlign w:val="center"/>
            <w:hideMark/>
          </w:tcPr>
          <w:p w14:paraId="1476B1F5"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3.892,49</w:t>
            </w:r>
          </w:p>
        </w:tc>
      </w:tr>
      <w:tr w:rsidR="00C65B3C" w:rsidRPr="00C65B3C" w14:paraId="66EB77B2" w14:textId="77777777" w:rsidTr="00446A14">
        <w:trPr>
          <w:trHeight w:val="238"/>
        </w:trPr>
        <w:tc>
          <w:tcPr>
            <w:tcW w:w="3744" w:type="pct"/>
            <w:tcBorders>
              <w:top w:val="nil"/>
              <w:left w:val="single" w:sz="4" w:space="0" w:color="auto"/>
              <w:bottom w:val="single" w:sz="4" w:space="0" w:color="auto"/>
              <w:right w:val="single" w:sz="4" w:space="0" w:color="auto"/>
            </w:tcBorders>
            <w:shd w:val="clear" w:color="auto" w:fill="auto"/>
            <w:noWrap/>
            <w:vAlign w:val="center"/>
            <w:hideMark/>
          </w:tcPr>
          <w:p w14:paraId="15CBD768" w14:textId="77777777" w:rsidR="00C65B3C" w:rsidRPr="00C65B3C" w:rsidRDefault="00C65B3C" w:rsidP="00C65B3C">
            <w:pPr>
              <w:spacing w:after="0" w:line="240" w:lineRule="auto"/>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Conselheiro de Fiscal - Maior Remuneração</w:t>
            </w:r>
          </w:p>
        </w:tc>
        <w:tc>
          <w:tcPr>
            <w:tcW w:w="595" w:type="pct"/>
            <w:tcBorders>
              <w:top w:val="nil"/>
              <w:left w:val="nil"/>
              <w:bottom w:val="single" w:sz="4" w:space="0" w:color="auto"/>
              <w:right w:val="single" w:sz="4" w:space="0" w:color="auto"/>
            </w:tcBorders>
            <w:shd w:val="clear" w:color="auto" w:fill="auto"/>
            <w:noWrap/>
            <w:vAlign w:val="center"/>
            <w:hideMark/>
          </w:tcPr>
          <w:p w14:paraId="4813690D"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4.242,81</w:t>
            </w:r>
          </w:p>
        </w:tc>
        <w:tc>
          <w:tcPr>
            <w:tcW w:w="661" w:type="pct"/>
            <w:tcBorders>
              <w:top w:val="nil"/>
              <w:left w:val="nil"/>
              <w:bottom w:val="single" w:sz="4" w:space="0" w:color="auto"/>
              <w:right w:val="single" w:sz="4" w:space="0" w:color="auto"/>
            </w:tcBorders>
            <w:shd w:val="clear" w:color="auto" w:fill="auto"/>
            <w:noWrap/>
            <w:vAlign w:val="center"/>
            <w:hideMark/>
          </w:tcPr>
          <w:p w14:paraId="2BB20160"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3.892,49</w:t>
            </w:r>
          </w:p>
        </w:tc>
      </w:tr>
      <w:tr w:rsidR="00C65B3C" w:rsidRPr="00C65B3C" w14:paraId="6AAA5C72" w14:textId="77777777" w:rsidTr="00446A14">
        <w:trPr>
          <w:trHeight w:val="238"/>
        </w:trPr>
        <w:tc>
          <w:tcPr>
            <w:tcW w:w="3744" w:type="pct"/>
            <w:tcBorders>
              <w:top w:val="nil"/>
              <w:left w:val="single" w:sz="4" w:space="0" w:color="auto"/>
              <w:bottom w:val="single" w:sz="4" w:space="0" w:color="auto"/>
              <w:right w:val="single" w:sz="4" w:space="0" w:color="auto"/>
            </w:tcBorders>
            <w:shd w:val="clear" w:color="auto" w:fill="auto"/>
            <w:noWrap/>
            <w:vAlign w:val="center"/>
            <w:hideMark/>
          </w:tcPr>
          <w:p w14:paraId="725BCDDD" w14:textId="77777777" w:rsidR="00C65B3C" w:rsidRPr="00C65B3C" w:rsidRDefault="00C65B3C" w:rsidP="00C65B3C">
            <w:pPr>
              <w:spacing w:after="0" w:line="240" w:lineRule="auto"/>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Conselheiro de Fiscal - Menor Remuneração</w:t>
            </w:r>
          </w:p>
        </w:tc>
        <w:tc>
          <w:tcPr>
            <w:tcW w:w="595" w:type="pct"/>
            <w:tcBorders>
              <w:top w:val="nil"/>
              <w:left w:val="nil"/>
              <w:bottom w:val="single" w:sz="4" w:space="0" w:color="auto"/>
              <w:right w:val="single" w:sz="4" w:space="0" w:color="auto"/>
            </w:tcBorders>
            <w:shd w:val="clear" w:color="auto" w:fill="auto"/>
            <w:noWrap/>
            <w:vAlign w:val="center"/>
            <w:hideMark/>
          </w:tcPr>
          <w:p w14:paraId="46F58E32"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4.242,81</w:t>
            </w:r>
          </w:p>
        </w:tc>
        <w:tc>
          <w:tcPr>
            <w:tcW w:w="661" w:type="pct"/>
            <w:tcBorders>
              <w:top w:val="nil"/>
              <w:left w:val="nil"/>
              <w:bottom w:val="single" w:sz="4" w:space="0" w:color="auto"/>
              <w:right w:val="single" w:sz="4" w:space="0" w:color="auto"/>
            </w:tcBorders>
            <w:shd w:val="clear" w:color="auto" w:fill="auto"/>
            <w:noWrap/>
            <w:vAlign w:val="center"/>
            <w:hideMark/>
          </w:tcPr>
          <w:p w14:paraId="555CF831"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3.892,49</w:t>
            </w:r>
          </w:p>
        </w:tc>
      </w:tr>
      <w:tr w:rsidR="00C65B3C" w:rsidRPr="00C65B3C" w14:paraId="1F2E9335" w14:textId="77777777" w:rsidTr="00446A14">
        <w:trPr>
          <w:trHeight w:val="238"/>
        </w:trPr>
        <w:tc>
          <w:tcPr>
            <w:tcW w:w="3744" w:type="pct"/>
            <w:tcBorders>
              <w:top w:val="nil"/>
              <w:left w:val="single" w:sz="4" w:space="0" w:color="auto"/>
              <w:bottom w:val="single" w:sz="4" w:space="0" w:color="auto"/>
              <w:right w:val="single" w:sz="4" w:space="0" w:color="auto"/>
            </w:tcBorders>
            <w:shd w:val="clear" w:color="auto" w:fill="auto"/>
            <w:noWrap/>
            <w:vAlign w:val="center"/>
            <w:hideMark/>
          </w:tcPr>
          <w:p w14:paraId="24A969CB" w14:textId="77777777" w:rsidR="00C65B3C" w:rsidRPr="00C65B3C" w:rsidRDefault="00C65B3C" w:rsidP="00C65B3C">
            <w:pPr>
              <w:spacing w:after="0" w:line="240" w:lineRule="auto"/>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Conselheiro de Fiscal - Remuneração Média</w:t>
            </w:r>
          </w:p>
        </w:tc>
        <w:tc>
          <w:tcPr>
            <w:tcW w:w="595" w:type="pct"/>
            <w:tcBorders>
              <w:top w:val="nil"/>
              <w:left w:val="nil"/>
              <w:bottom w:val="single" w:sz="4" w:space="0" w:color="auto"/>
              <w:right w:val="single" w:sz="4" w:space="0" w:color="auto"/>
            </w:tcBorders>
            <w:shd w:val="clear" w:color="auto" w:fill="auto"/>
            <w:noWrap/>
            <w:vAlign w:val="center"/>
            <w:hideMark/>
          </w:tcPr>
          <w:p w14:paraId="124C4533"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4.242,81</w:t>
            </w:r>
          </w:p>
        </w:tc>
        <w:tc>
          <w:tcPr>
            <w:tcW w:w="661" w:type="pct"/>
            <w:tcBorders>
              <w:top w:val="nil"/>
              <w:left w:val="nil"/>
              <w:bottom w:val="single" w:sz="4" w:space="0" w:color="auto"/>
              <w:right w:val="single" w:sz="4" w:space="0" w:color="auto"/>
            </w:tcBorders>
            <w:shd w:val="clear" w:color="auto" w:fill="auto"/>
            <w:noWrap/>
            <w:vAlign w:val="center"/>
            <w:hideMark/>
          </w:tcPr>
          <w:p w14:paraId="13076EB3"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        3.892,49</w:t>
            </w:r>
          </w:p>
        </w:tc>
      </w:tr>
    </w:tbl>
    <w:p w14:paraId="23A5A59A" w14:textId="77777777" w:rsidR="00C65B3C" w:rsidRPr="00C65B3C" w:rsidRDefault="00C65B3C" w:rsidP="00C65B3C">
      <w:pPr>
        <w:autoSpaceDE w:val="0"/>
        <w:autoSpaceDN w:val="0"/>
        <w:adjustRightInd w:val="0"/>
        <w:spacing w:after="0" w:line="240" w:lineRule="auto"/>
        <w:jc w:val="both"/>
        <w:rPr>
          <w:rFonts w:ascii="Calibri" w:eastAsia="Times New Roman" w:hAnsi="Calibri" w:cs="Calibri"/>
          <w:iCs/>
          <w:color w:val="002060"/>
          <w:kern w:val="0"/>
          <w14:ligatures w14:val="none"/>
        </w:rPr>
      </w:pPr>
      <w:r w:rsidRPr="00C65B3C">
        <w:rPr>
          <w:rFonts w:ascii="Calibri" w:eastAsia="Times New Roman" w:hAnsi="Calibri" w:cs="Calibri"/>
          <w:iCs/>
          <w:color w:val="002060"/>
          <w:kern w:val="0"/>
          <w14:ligatures w14:val="none"/>
        </w:rPr>
        <w:t>Devido à caracterização como estatal dependente do Orçamento Fiscal e da Seguridade Social e em atendimento à Lei Complementar nº 101/2000 (Lei de Responsabilidade Fiscal), a Telebras aplica a seus empregados e dirigentes o teto remuneratório constitucional previsto no art. 37, inciso XI e § 9º, da Constituição Federal.</w:t>
      </w:r>
    </w:p>
    <w:p w14:paraId="63273D3E" w14:textId="77777777" w:rsidR="00C65B3C" w:rsidRDefault="00C65B3C" w:rsidP="00C65B3C">
      <w:pPr>
        <w:autoSpaceDE w:val="0"/>
        <w:autoSpaceDN w:val="0"/>
        <w:adjustRightInd w:val="0"/>
        <w:spacing w:after="0" w:line="240" w:lineRule="auto"/>
        <w:jc w:val="both"/>
        <w:rPr>
          <w:rFonts w:ascii="Calibri" w:eastAsia="Times New Roman" w:hAnsi="Calibri" w:cs="Calibri"/>
          <w:b/>
          <w:bCs/>
          <w:iCs/>
          <w:color w:val="002060"/>
          <w:kern w:val="0"/>
          <w14:ligatures w14:val="none"/>
        </w:rPr>
      </w:pPr>
      <w:r>
        <w:rPr>
          <w:rFonts w:ascii="Calibri" w:eastAsia="Times New Roman" w:hAnsi="Calibri" w:cs="Calibri"/>
          <w:b/>
          <w:bCs/>
          <w:iCs/>
          <w:color w:val="002060"/>
          <w:kern w:val="0"/>
          <w14:ligatures w14:val="none"/>
        </w:rPr>
        <w:t xml:space="preserve">34. </w:t>
      </w:r>
      <w:r w:rsidRPr="00C65B3C">
        <w:rPr>
          <w:rFonts w:ascii="Calibri" w:eastAsia="Times New Roman" w:hAnsi="Calibri" w:cs="Calibri"/>
          <w:b/>
          <w:bCs/>
          <w:iCs/>
          <w:color w:val="002060"/>
          <w:kern w:val="0"/>
          <w14:ligatures w14:val="none"/>
        </w:rPr>
        <w:t>TRANSAÇÕES NÃO ENVOLVENDO CAIXA</w:t>
      </w:r>
    </w:p>
    <w:p w14:paraId="44BF8C85" w14:textId="5B5190A7" w:rsidR="00C65B3C" w:rsidRPr="00C65B3C" w:rsidRDefault="00C65B3C" w:rsidP="00C65B3C">
      <w:pPr>
        <w:autoSpaceDE w:val="0"/>
        <w:autoSpaceDN w:val="0"/>
        <w:adjustRightInd w:val="0"/>
        <w:spacing w:after="0" w:line="240" w:lineRule="auto"/>
        <w:jc w:val="both"/>
        <w:rPr>
          <w:rFonts w:ascii="Calibri" w:eastAsia="Times New Roman" w:hAnsi="Calibri" w:cs="Calibri"/>
          <w:b/>
          <w:bCs/>
          <w:iCs/>
          <w:color w:val="002060"/>
          <w:kern w:val="0"/>
          <w14:ligatures w14:val="none"/>
        </w:rPr>
      </w:pPr>
      <w:r w:rsidRPr="00C65B3C">
        <w:rPr>
          <w:rFonts w:ascii="Calibri" w:eastAsia="Times New Roman" w:hAnsi="Calibri" w:cs="Calibri"/>
          <w:iCs/>
          <w:color w:val="002060"/>
          <w:kern w:val="0"/>
          <w14:ligatures w14:val="none"/>
        </w:rPr>
        <w:lastRenderedPageBreak/>
        <w:t>Nos exercícios de 2023 e 2022, a Companhia realizou as seguintes operações não envolvendo caixa; portanto, estas não estão refletidas na demonstração dos fluxos de caixa:</w:t>
      </w:r>
    </w:p>
    <w:tbl>
      <w:tblPr>
        <w:tblW w:w="5000" w:type="pct"/>
        <w:tblCellMar>
          <w:left w:w="70" w:type="dxa"/>
          <w:right w:w="70" w:type="dxa"/>
        </w:tblCellMar>
        <w:tblLook w:val="04A0" w:firstRow="1" w:lastRow="0" w:firstColumn="1" w:lastColumn="0" w:noHBand="0" w:noVBand="1"/>
      </w:tblPr>
      <w:tblGrid>
        <w:gridCol w:w="6791"/>
        <w:gridCol w:w="1486"/>
        <w:gridCol w:w="1484"/>
      </w:tblGrid>
      <w:tr w:rsidR="00C65B3C" w:rsidRPr="00C65B3C" w14:paraId="1A8AD616" w14:textId="77777777" w:rsidTr="00446A14">
        <w:trPr>
          <w:trHeight w:val="238"/>
        </w:trPr>
        <w:tc>
          <w:tcPr>
            <w:tcW w:w="3479" w:type="pct"/>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45AC8681" w14:textId="77777777" w:rsidR="00C65B3C" w:rsidRPr="00C65B3C" w:rsidRDefault="00C65B3C" w:rsidP="00C65B3C">
            <w:pPr>
              <w:spacing w:after="0" w:line="240" w:lineRule="auto"/>
              <w:rPr>
                <w:rFonts w:ascii="Arial" w:eastAsia="Times New Roman" w:hAnsi="Arial" w:cs="Arial"/>
                <w:b/>
                <w:bCs/>
                <w:color w:val="000000"/>
                <w:kern w:val="0"/>
                <w:sz w:val="18"/>
                <w:szCs w:val="18"/>
                <w:lang w:eastAsia="pt-BR"/>
                <w14:ligatures w14:val="none"/>
              </w:rPr>
            </w:pPr>
            <w:r w:rsidRPr="00C65B3C">
              <w:rPr>
                <w:rFonts w:ascii="Arial" w:eastAsia="Times New Roman" w:hAnsi="Arial" w:cs="Arial"/>
                <w:b/>
                <w:bCs/>
                <w:color w:val="000000"/>
                <w:kern w:val="0"/>
                <w:sz w:val="18"/>
                <w:szCs w:val="18"/>
                <w:lang w:eastAsia="pt-BR"/>
                <w14:ligatures w14:val="none"/>
              </w:rPr>
              <w:t> Transações:</w:t>
            </w:r>
          </w:p>
        </w:tc>
        <w:tc>
          <w:tcPr>
            <w:tcW w:w="761" w:type="pct"/>
            <w:tcBorders>
              <w:top w:val="single" w:sz="8" w:space="0" w:color="auto"/>
              <w:left w:val="nil"/>
              <w:bottom w:val="single" w:sz="8" w:space="0" w:color="auto"/>
              <w:right w:val="single" w:sz="8" w:space="0" w:color="auto"/>
            </w:tcBorders>
            <w:shd w:val="clear" w:color="auto" w:fill="auto"/>
            <w:noWrap/>
            <w:vAlign w:val="center"/>
            <w:hideMark/>
          </w:tcPr>
          <w:p w14:paraId="06B0EA7E" w14:textId="77777777" w:rsidR="00C65B3C" w:rsidRPr="00C65B3C" w:rsidRDefault="00C65B3C" w:rsidP="00C65B3C">
            <w:pPr>
              <w:spacing w:after="0" w:line="240" w:lineRule="auto"/>
              <w:jc w:val="right"/>
              <w:rPr>
                <w:rFonts w:ascii="Arial" w:eastAsia="Times New Roman" w:hAnsi="Arial" w:cs="Arial"/>
                <w:b/>
                <w:bCs/>
                <w:color w:val="000000"/>
                <w:kern w:val="0"/>
                <w:sz w:val="18"/>
                <w:szCs w:val="18"/>
                <w:lang w:eastAsia="pt-BR"/>
                <w14:ligatures w14:val="none"/>
              </w:rPr>
            </w:pPr>
            <w:r w:rsidRPr="00C65B3C">
              <w:rPr>
                <w:rFonts w:ascii="Arial" w:eastAsia="Times New Roman" w:hAnsi="Arial" w:cs="Arial"/>
                <w:b/>
                <w:bCs/>
                <w:color w:val="000000"/>
                <w:kern w:val="0"/>
                <w:sz w:val="18"/>
                <w:szCs w:val="18"/>
                <w:lang w:eastAsia="pt-BR"/>
                <w14:ligatures w14:val="none"/>
              </w:rPr>
              <w:t>31/12/2023</w:t>
            </w:r>
          </w:p>
        </w:tc>
        <w:tc>
          <w:tcPr>
            <w:tcW w:w="760" w:type="pct"/>
            <w:tcBorders>
              <w:top w:val="single" w:sz="8" w:space="0" w:color="auto"/>
              <w:left w:val="nil"/>
              <w:bottom w:val="single" w:sz="8" w:space="0" w:color="auto"/>
              <w:right w:val="single" w:sz="8" w:space="0" w:color="auto"/>
            </w:tcBorders>
            <w:shd w:val="clear" w:color="auto" w:fill="auto"/>
            <w:noWrap/>
            <w:vAlign w:val="center"/>
            <w:hideMark/>
          </w:tcPr>
          <w:p w14:paraId="4C209F44" w14:textId="77777777" w:rsidR="00C65B3C" w:rsidRPr="00C65B3C" w:rsidRDefault="00C65B3C" w:rsidP="00C65B3C">
            <w:pPr>
              <w:spacing w:after="0" w:line="240" w:lineRule="auto"/>
              <w:jc w:val="right"/>
              <w:rPr>
                <w:rFonts w:ascii="Arial" w:eastAsia="Times New Roman" w:hAnsi="Arial" w:cs="Arial"/>
                <w:b/>
                <w:bCs/>
                <w:color w:val="000000"/>
                <w:kern w:val="0"/>
                <w:sz w:val="18"/>
                <w:szCs w:val="18"/>
                <w:lang w:eastAsia="pt-BR"/>
                <w14:ligatures w14:val="none"/>
              </w:rPr>
            </w:pPr>
            <w:r w:rsidRPr="00C65B3C">
              <w:rPr>
                <w:rFonts w:ascii="Arial" w:eastAsia="Times New Roman" w:hAnsi="Arial" w:cs="Arial"/>
                <w:b/>
                <w:bCs/>
                <w:color w:val="000000"/>
                <w:kern w:val="0"/>
                <w:sz w:val="18"/>
                <w:szCs w:val="18"/>
                <w:lang w:eastAsia="pt-BR"/>
                <w14:ligatures w14:val="none"/>
              </w:rPr>
              <w:t>31/12/2022</w:t>
            </w:r>
          </w:p>
        </w:tc>
      </w:tr>
      <w:tr w:rsidR="00C65B3C" w:rsidRPr="00C65B3C" w14:paraId="16D8F23F" w14:textId="77777777" w:rsidTr="00446A14">
        <w:trPr>
          <w:trHeight w:val="238"/>
        </w:trPr>
        <w:tc>
          <w:tcPr>
            <w:tcW w:w="3479" w:type="pct"/>
            <w:tcBorders>
              <w:top w:val="nil"/>
              <w:left w:val="single" w:sz="8" w:space="0" w:color="auto"/>
              <w:bottom w:val="single" w:sz="8" w:space="0" w:color="auto"/>
              <w:right w:val="single" w:sz="8" w:space="0" w:color="auto"/>
            </w:tcBorders>
            <w:shd w:val="clear" w:color="auto" w:fill="auto"/>
            <w:noWrap/>
            <w:vAlign w:val="center"/>
            <w:hideMark/>
          </w:tcPr>
          <w:p w14:paraId="5B43D06C" w14:textId="77777777" w:rsidR="00C65B3C" w:rsidRPr="00C65B3C" w:rsidRDefault="00C65B3C" w:rsidP="00C65B3C">
            <w:pPr>
              <w:spacing w:after="0" w:line="240" w:lineRule="auto"/>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Pagamento de Tributos Federais/Estaduais através de Compensação de Créditos</w:t>
            </w:r>
          </w:p>
        </w:tc>
        <w:tc>
          <w:tcPr>
            <w:tcW w:w="761" w:type="pct"/>
            <w:tcBorders>
              <w:top w:val="nil"/>
              <w:left w:val="nil"/>
              <w:bottom w:val="single" w:sz="8" w:space="0" w:color="auto"/>
              <w:right w:val="single" w:sz="8" w:space="0" w:color="auto"/>
            </w:tcBorders>
            <w:shd w:val="clear" w:color="auto" w:fill="auto"/>
            <w:noWrap/>
            <w:vAlign w:val="center"/>
            <w:hideMark/>
          </w:tcPr>
          <w:p w14:paraId="539FB58C"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38.488</w:t>
            </w:r>
          </w:p>
        </w:tc>
        <w:tc>
          <w:tcPr>
            <w:tcW w:w="760" w:type="pct"/>
            <w:tcBorders>
              <w:top w:val="nil"/>
              <w:left w:val="nil"/>
              <w:bottom w:val="single" w:sz="8" w:space="0" w:color="auto"/>
              <w:right w:val="single" w:sz="8" w:space="0" w:color="auto"/>
            </w:tcBorders>
            <w:shd w:val="clear" w:color="auto" w:fill="auto"/>
            <w:noWrap/>
            <w:vAlign w:val="center"/>
            <w:hideMark/>
          </w:tcPr>
          <w:p w14:paraId="31048E6E"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31.815</w:t>
            </w:r>
          </w:p>
        </w:tc>
      </w:tr>
      <w:tr w:rsidR="00C65B3C" w:rsidRPr="00C65B3C" w14:paraId="6074A5CB" w14:textId="77777777" w:rsidTr="00446A14">
        <w:trPr>
          <w:trHeight w:val="238"/>
        </w:trPr>
        <w:tc>
          <w:tcPr>
            <w:tcW w:w="3479" w:type="pct"/>
            <w:tcBorders>
              <w:top w:val="nil"/>
              <w:left w:val="single" w:sz="8" w:space="0" w:color="auto"/>
              <w:bottom w:val="single" w:sz="8" w:space="0" w:color="auto"/>
              <w:right w:val="single" w:sz="8" w:space="0" w:color="auto"/>
            </w:tcBorders>
            <w:shd w:val="clear" w:color="auto" w:fill="auto"/>
            <w:noWrap/>
            <w:vAlign w:val="center"/>
            <w:hideMark/>
          </w:tcPr>
          <w:p w14:paraId="1BD21E06" w14:textId="77777777" w:rsidR="00C65B3C" w:rsidRPr="00C65B3C" w:rsidRDefault="00C65B3C" w:rsidP="00C65B3C">
            <w:pPr>
              <w:spacing w:after="0" w:line="240" w:lineRule="auto"/>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Permutas não monetárias entre a Telebras e Empresas Parceiras</w:t>
            </w:r>
          </w:p>
        </w:tc>
        <w:tc>
          <w:tcPr>
            <w:tcW w:w="761" w:type="pct"/>
            <w:tcBorders>
              <w:top w:val="nil"/>
              <w:left w:val="nil"/>
              <w:bottom w:val="single" w:sz="8" w:space="0" w:color="auto"/>
              <w:right w:val="single" w:sz="8" w:space="0" w:color="auto"/>
            </w:tcBorders>
            <w:shd w:val="clear" w:color="auto" w:fill="auto"/>
            <w:noWrap/>
            <w:vAlign w:val="center"/>
            <w:hideMark/>
          </w:tcPr>
          <w:p w14:paraId="66D69C6D"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24.701</w:t>
            </w:r>
          </w:p>
        </w:tc>
        <w:tc>
          <w:tcPr>
            <w:tcW w:w="760" w:type="pct"/>
            <w:tcBorders>
              <w:top w:val="nil"/>
              <w:left w:val="nil"/>
              <w:bottom w:val="single" w:sz="8" w:space="0" w:color="auto"/>
              <w:right w:val="single" w:sz="8" w:space="0" w:color="auto"/>
            </w:tcBorders>
            <w:shd w:val="clear" w:color="auto" w:fill="auto"/>
            <w:noWrap/>
            <w:vAlign w:val="center"/>
            <w:hideMark/>
          </w:tcPr>
          <w:p w14:paraId="523BF00B" w14:textId="77777777" w:rsidR="00C65B3C" w:rsidRPr="00C65B3C" w:rsidRDefault="00C65B3C" w:rsidP="00C65B3C">
            <w:pPr>
              <w:spacing w:after="0" w:line="240" w:lineRule="auto"/>
              <w:jc w:val="right"/>
              <w:rPr>
                <w:rFonts w:ascii="Arial" w:eastAsia="Times New Roman" w:hAnsi="Arial" w:cs="Arial"/>
                <w:color w:val="000000"/>
                <w:kern w:val="0"/>
                <w:sz w:val="18"/>
                <w:szCs w:val="18"/>
                <w:lang w:eastAsia="pt-BR"/>
                <w14:ligatures w14:val="none"/>
              </w:rPr>
            </w:pPr>
            <w:r w:rsidRPr="00C65B3C">
              <w:rPr>
                <w:rFonts w:ascii="Arial" w:eastAsia="Times New Roman" w:hAnsi="Arial" w:cs="Arial"/>
                <w:color w:val="000000"/>
                <w:kern w:val="0"/>
                <w:sz w:val="18"/>
                <w:szCs w:val="18"/>
                <w:lang w:eastAsia="pt-BR"/>
                <w14:ligatures w14:val="none"/>
              </w:rPr>
              <w:t>21.483</w:t>
            </w:r>
          </w:p>
        </w:tc>
      </w:tr>
    </w:tbl>
    <w:p w14:paraId="2E6DCC38" w14:textId="77777777" w:rsidR="00C65B3C" w:rsidRPr="00C65B3C" w:rsidRDefault="00C65B3C" w:rsidP="00C65B3C">
      <w:pPr>
        <w:spacing w:after="0" w:line="240" w:lineRule="auto"/>
        <w:jc w:val="both"/>
        <w:rPr>
          <w:rFonts w:ascii="Arial" w:eastAsia="Times New Roman" w:hAnsi="Arial" w:cs="Arial"/>
          <w:kern w:val="0"/>
          <w:lang w:eastAsia="pt-BR"/>
          <w14:ligatures w14:val="none"/>
        </w:rPr>
      </w:pPr>
    </w:p>
    <w:p w14:paraId="45403E16" w14:textId="77777777" w:rsidR="00C65B3C" w:rsidRPr="00C65B3C" w:rsidRDefault="00C65B3C" w:rsidP="00C65B3C">
      <w:pPr>
        <w:keepLines/>
        <w:tabs>
          <w:tab w:val="left" w:pos="851"/>
        </w:tabs>
        <w:spacing w:after="0" w:line="240" w:lineRule="auto"/>
        <w:rPr>
          <w:rFonts w:ascii="Arial" w:eastAsia="Times New Roman" w:hAnsi="Arial" w:cs="Arial"/>
          <w:b/>
          <w:kern w:val="0"/>
          <w:sz w:val="2"/>
          <w:szCs w:val="2"/>
          <w:lang w:eastAsia="pt-BR"/>
          <w14:ligatures w14:val="none"/>
        </w:rPr>
      </w:pPr>
    </w:p>
    <w:p w14:paraId="2AD73A7B" w14:textId="2DD3212D" w:rsidR="00C65B3C" w:rsidRPr="00C65B3C" w:rsidRDefault="00C65B3C" w:rsidP="00C65B3C">
      <w:pPr>
        <w:keepLines/>
        <w:tabs>
          <w:tab w:val="left" w:pos="851"/>
        </w:tabs>
        <w:spacing w:after="0" w:line="240" w:lineRule="auto"/>
        <w:jc w:val="center"/>
        <w:rPr>
          <w:rFonts w:ascii="Calibri" w:eastAsia="Times New Roman" w:hAnsi="Calibri" w:cs="Calibri"/>
          <w:b/>
          <w:kern w:val="0"/>
          <w:sz w:val="16"/>
          <w:szCs w:val="16"/>
          <w:lang w:eastAsia="pt-BR"/>
          <w14:ligatures w14:val="none"/>
        </w:rPr>
      </w:pPr>
      <w:r w:rsidRPr="00C65B3C">
        <w:rPr>
          <w:rFonts w:ascii="Calibri" w:eastAsia="Times New Roman" w:hAnsi="Calibri" w:cs="Calibri"/>
          <w:b/>
          <w:kern w:val="0"/>
          <w:sz w:val="16"/>
          <w:szCs w:val="16"/>
          <w:lang w:eastAsia="pt-BR"/>
          <w14:ligatures w14:val="none"/>
        </w:rPr>
        <w:t>Brasília DF, 05 março de 2024</w:t>
      </w:r>
    </w:p>
    <w:p w14:paraId="1DEB5CB3" w14:textId="77777777" w:rsidR="00C65B3C" w:rsidRPr="00C65B3C" w:rsidRDefault="00C65B3C" w:rsidP="00C65B3C">
      <w:pPr>
        <w:keepLines/>
        <w:tabs>
          <w:tab w:val="left" w:pos="851"/>
        </w:tabs>
        <w:spacing w:after="0" w:line="240" w:lineRule="auto"/>
        <w:jc w:val="center"/>
        <w:rPr>
          <w:rFonts w:ascii="Calibri" w:eastAsia="Times New Roman" w:hAnsi="Calibri" w:cs="Calibri"/>
          <w:b/>
          <w:kern w:val="0"/>
          <w:sz w:val="16"/>
          <w:szCs w:val="16"/>
          <w:lang w:eastAsia="pt-BR"/>
          <w14:ligatures w14:val="none"/>
        </w:rPr>
      </w:pPr>
      <w:r w:rsidRPr="00C65B3C">
        <w:rPr>
          <w:rFonts w:ascii="Calibri" w:eastAsia="Times New Roman" w:hAnsi="Calibri" w:cs="Calibri"/>
          <w:b/>
          <w:kern w:val="0"/>
          <w:sz w:val="16"/>
          <w:szCs w:val="16"/>
          <w:lang w:eastAsia="pt-BR"/>
          <w14:ligatures w14:val="none"/>
        </w:rPr>
        <w:t>FREDERICO DE SIQUEIRA FILHO</w:t>
      </w:r>
    </w:p>
    <w:p w14:paraId="28F48B2B" w14:textId="17AC799E" w:rsidR="00C65B3C" w:rsidRPr="00C65B3C" w:rsidRDefault="00C65B3C" w:rsidP="00C65B3C">
      <w:pPr>
        <w:keepLines/>
        <w:tabs>
          <w:tab w:val="left" w:pos="851"/>
        </w:tabs>
        <w:spacing w:after="0" w:line="240" w:lineRule="auto"/>
        <w:jc w:val="center"/>
        <w:rPr>
          <w:rFonts w:ascii="Calibri" w:eastAsia="Times New Roman" w:hAnsi="Calibri" w:cs="Calibri"/>
          <w:kern w:val="0"/>
          <w:sz w:val="16"/>
          <w:szCs w:val="16"/>
          <w:lang w:eastAsia="pt-BR"/>
          <w14:ligatures w14:val="none"/>
        </w:rPr>
      </w:pPr>
      <w:r w:rsidRPr="00C65B3C">
        <w:rPr>
          <w:rFonts w:ascii="Calibri" w:eastAsia="Times New Roman" w:hAnsi="Calibri" w:cs="Calibri"/>
          <w:kern w:val="0"/>
          <w:sz w:val="16"/>
          <w:szCs w:val="16"/>
          <w:lang w:eastAsia="pt-BR"/>
          <w14:ligatures w14:val="none"/>
        </w:rPr>
        <w:t>Presidente</w:t>
      </w:r>
    </w:p>
    <w:tbl>
      <w:tblPr>
        <w:tblStyle w:val="Tabelacomgrade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961"/>
      </w:tblGrid>
      <w:tr w:rsidR="00C65B3C" w:rsidRPr="00C65B3C" w14:paraId="0379B2FB" w14:textId="77777777" w:rsidTr="00446A14">
        <w:tc>
          <w:tcPr>
            <w:tcW w:w="4962" w:type="dxa"/>
          </w:tcPr>
          <w:p w14:paraId="488BCAD6" w14:textId="77777777" w:rsidR="00C65B3C" w:rsidRPr="00C65B3C" w:rsidRDefault="00C65B3C" w:rsidP="00C65B3C">
            <w:pPr>
              <w:rPr>
                <w:rFonts w:ascii="Calibri" w:hAnsi="Calibri" w:cs="Calibri"/>
                <w:b/>
                <w:sz w:val="16"/>
                <w:szCs w:val="16"/>
              </w:rPr>
            </w:pPr>
            <w:r w:rsidRPr="00C65B3C">
              <w:rPr>
                <w:rFonts w:ascii="Calibri" w:hAnsi="Calibri" w:cs="Calibri"/>
                <w:b/>
                <w:sz w:val="16"/>
                <w:szCs w:val="16"/>
              </w:rPr>
              <w:t xml:space="preserve">                NAURO LUIZ SCHEUFLER</w:t>
            </w:r>
          </w:p>
        </w:tc>
        <w:tc>
          <w:tcPr>
            <w:tcW w:w="4961" w:type="dxa"/>
          </w:tcPr>
          <w:p w14:paraId="35F141E5" w14:textId="77777777" w:rsidR="00C65B3C" w:rsidRPr="00C65B3C" w:rsidRDefault="00C65B3C" w:rsidP="00C65B3C">
            <w:pPr>
              <w:keepLines/>
              <w:tabs>
                <w:tab w:val="left" w:pos="851"/>
              </w:tabs>
              <w:jc w:val="center"/>
              <w:rPr>
                <w:rFonts w:ascii="Calibri" w:hAnsi="Calibri" w:cs="Calibri"/>
                <w:b/>
                <w:sz w:val="16"/>
                <w:szCs w:val="16"/>
              </w:rPr>
            </w:pPr>
            <w:r w:rsidRPr="00C65B3C">
              <w:rPr>
                <w:rFonts w:ascii="Calibri" w:hAnsi="Calibri" w:cs="Calibri"/>
                <w:sz w:val="16"/>
                <w:szCs w:val="16"/>
              </w:rPr>
              <w:t xml:space="preserve">     </w:t>
            </w:r>
            <w:r w:rsidRPr="00C65B3C">
              <w:rPr>
                <w:rFonts w:ascii="Calibri" w:hAnsi="Calibri" w:cs="Calibri"/>
                <w:b/>
                <w:sz w:val="16"/>
                <w:szCs w:val="16"/>
              </w:rPr>
              <w:t>TATIANA RÚBIA MELO MIRANDA</w:t>
            </w:r>
          </w:p>
        </w:tc>
      </w:tr>
      <w:tr w:rsidR="00C65B3C" w:rsidRPr="00C65B3C" w14:paraId="2BA85AC8" w14:textId="77777777" w:rsidTr="00446A14">
        <w:tc>
          <w:tcPr>
            <w:tcW w:w="4962" w:type="dxa"/>
          </w:tcPr>
          <w:p w14:paraId="6ED3F0EB" w14:textId="77777777" w:rsidR="00C65B3C" w:rsidRPr="00C65B3C" w:rsidRDefault="00C65B3C" w:rsidP="00C65B3C">
            <w:pPr>
              <w:keepLines/>
              <w:tabs>
                <w:tab w:val="left" w:pos="851"/>
              </w:tabs>
              <w:jc w:val="center"/>
              <w:rPr>
                <w:rFonts w:ascii="Calibri" w:hAnsi="Calibri" w:cs="Calibri"/>
                <w:sz w:val="16"/>
                <w:szCs w:val="16"/>
              </w:rPr>
            </w:pPr>
            <w:r w:rsidRPr="00C65B3C">
              <w:rPr>
                <w:rFonts w:ascii="Calibri" w:hAnsi="Calibri" w:cs="Calibri"/>
                <w:sz w:val="16"/>
                <w:szCs w:val="16"/>
              </w:rPr>
              <w:t>Diretoria Técnico-Operacional</w:t>
            </w:r>
          </w:p>
        </w:tc>
        <w:tc>
          <w:tcPr>
            <w:tcW w:w="4961" w:type="dxa"/>
          </w:tcPr>
          <w:p w14:paraId="53CE47E1" w14:textId="77777777" w:rsidR="00C65B3C" w:rsidRPr="00C65B3C" w:rsidRDefault="00C65B3C" w:rsidP="00C65B3C">
            <w:pPr>
              <w:keepLines/>
              <w:tabs>
                <w:tab w:val="left" w:pos="851"/>
              </w:tabs>
              <w:jc w:val="center"/>
              <w:rPr>
                <w:rFonts w:ascii="Calibri" w:hAnsi="Calibri" w:cs="Calibri"/>
                <w:sz w:val="16"/>
                <w:szCs w:val="16"/>
              </w:rPr>
            </w:pPr>
            <w:r w:rsidRPr="00C65B3C">
              <w:rPr>
                <w:rFonts w:ascii="Calibri" w:hAnsi="Calibri" w:cs="Calibri"/>
                <w:sz w:val="16"/>
                <w:szCs w:val="16"/>
              </w:rPr>
              <w:t xml:space="preserve">       Diretoria Administrativo-Financeira e de Relações com Investidores</w:t>
            </w:r>
          </w:p>
        </w:tc>
      </w:tr>
    </w:tbl>
    <w:p w14:paraId="279F25B3" w14:textId="77777777" w:rsidR="00C65B3C" w:rsidRPr="00C65B3C" w:rsidRDefault="00C65B3C" w:rsidP="00C65B3C">
      <w:pPr>
        <w:keepLines/>
        <w:tabs>
          <w:tab w:val="left" w:pos="851"/>
        </w:tabs>
        <w:spacing w:after="0" w:line="240" w:lineRule="auto"/>
        <w:jc w:val="both"/>
        <w:rPr>
          <w:rFonts w:ascii="Calibri" w:eastAsia="Times New Roman" w:hAnsi="Calibri" w:cs="Calibri"/>
          <w:kern w:val="0"/>
          <w:sz w:val="16"/>
          <w:szCs w:val="16"/>
          <w:lang w:eastAsia="pt-BR"/>
          <w14:ligatures w14:val="none"/>
        </w:rPr>
      </w:pPr>
    </w:p>
    <w:tbl>
      <w:tblPr>
        <w:tblStyle w:val="Tabelacomgrade2"/>
        <w:tblpPr w:leftFromText="141" w:rightFromText="141" w:vertAnchor="text" w:horzAnchor="margin" w:tblpY="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0"/>
        <w:gridCol w:w="4721"/>
      </w:tblGrid>
      <w:tr w:rsidR="00C65B3C" w:rsidRPr="00C65B3C" w14:paraId="5E7A12C2" w14:textId="77777777" w:rsidTr="00446A14">
        <w:trPr>
          <w:trHeight w:val="183"/>
        </w:trPr>
        <w:tc>
          <w:tcPr>
            <w:tcW w:w="4720" w:type="dxa"/>
          </w:tcPr>
          <w:p w14:paraId="1F761E8B" w14:textId="77777777" w:rsidR="00C65B3C" w:rsidRPr="00C65B3C" w:rsidRDefault="00C65B3C" w:rsidP="00C65B3C">
            <w:pPr>
              <w:jc w:val="center"/>
              <w:rPr>
                <w:rFonts w:ascii="Calibri" w:hAnsi="Calibri" w:cs="Calibri"/>
                <w:b/>
                <w:sz w:val="16"/>
                <w:szCs w:val="16"/>
              </w:rPr>
            </w:pPr>
            <w:r w:rsidRPr="00C65B3C">
              <w:rPr>
                <w:rFonts w:ascii="Calibri" w:hAnsi="Calibri" w:cs="Calibri"/>
                <w:b/>
                <w:sz w:val="16"/>
                <w:szCs w:val="16"/>
              </w:rPr>
              <w:t>LEVI PEREIRA FIGUEIREDO NETO</w:t>
            </w:r>
            <w:r w:rsidRPr="00C65B3C">
              <w:rPr>
                <w:rFonts w:ascii="Calibri" w:hAnsi="Calibri" w:cs="Calibri"/>
                <w:sz w:val="16"/>
                <w:szCs w:val="16"/>
              </w:rPr>
              <w:t xml:space="preserve">                                                                                                                                                                                       Diretoria Comercial</w:t>
            </w:r>
          </w:p>
        </w:tc>
        <w:tc>
          <w:tcPr>
            <w:tcW w:w="4721" w:type="dxa"/>
          </w:tcPr>
          <w:p w14:paraId="117E7E29" w14:textId="77777777" w:rsidR="00C65B3C" w:rsidRPr="00C65B3C" w:rsidRDefault="00C65B3C" w:rsidP="00C65B3C">
            <w:pPr>
              <w:keepLines/>
              <w:tabs>
                <w:tab w:val="left" w:pos="851"/>
              </w:tabs>
              <w:jc w:val="center"/>
              <w:rPr>
                <w:rFonts w:ascii="Calibri" w:hAnsi="Calibri" w:cs="Calibri"/>
                <w:b/>
                <w:sz w:val="16"/>
                <w:szCs w:val="16"/>
              </w:rPr>
            </w:pPr>
            <w:r w:rsidRPr="00C65B3C">
              <w:rPr>
                <w:rFonts w:ascii="Calibri" w:hAnsi="Calibri" w:cs="Calibri"/>
                <w:b/>
                <w:sz w:val="16"/>
                <w:szCs w:val="16"/>
              </w:rPr>
              <w:t>WALLYSON LEMOS DOS REIS OLIVEIRA</w:t>
            </w:r>
          </w:p>
          <w:p w14:paraId="3CBA9F32" w14:textId="77777777" w:rsidR="00C65B3C" w:rsidRPr="00C65B3C" w:rsidRDefault="00C65B3C" w:rsidP="00C65B3C">
            <w:pPr>
              <w:keepLines/>
              <w:tabs>
                <w:tab w:val="left" w:pos="851"/>
              </w:tabs>
              <w:jc w:val="center"/>
              <w:rPr>
                <w:rFonts w:ascii="Calibri" w:hAnsi="Calibri" w:cs="Calibri"/>
                <w:b/>
                <w:sz w:val="16"/>
                <w:szCs w:val="16"/>
              </w:rPr>
            </w:pPr>
            <w:r w:rsidRPr="00C65B3C">
              <w:rPr>
                <w:rFonts w:ascii="Calibri" w:hAnsi="Calibri" w:cs="Calibri"/>
                <w:sz w:val="16"/>
                <w:szCs w:val="16"/>
              </w:rPr>
              <w:t>Diretoria de Governança</w:t>
            </w:r>
          </w:p>
        </w:tc>
      </w:tr>
      <w:tr w:rsidR="00C65B3C" w:rsidRPr="00C65B3C" w14:paraId="76B11450" w14:textId="77777777" w:rsidTr="00446A14">
        <w:trPr>
          <w:trHeight w:val="366"/>
        </w:trPr>
        <w:tc>
          <w:tcPr>
            <w:tcW w:w="4720" w:type="dxa"/>
          </w:tcPr>
          <w:p w14:paraId="0C2E9544" w14:textId="77777777" w:rsidR="00C65B3C" w:rsidRPr="00C65B3C" w:rsidRDefault="00C65B3C" w:rsidP="00C65B3C">
            <w:pPr>
              <w:keepLines/>
              <w:tabs>
                <w:tab w:val="left" w:pos="851"/>
              </w:tabs>
              <w:rPr>
                <w:rFonts w:ascii="Calibri" w:hAnsi="Calibri" w:cs="Calibri"/>
                <w:sz w:val="16"/>
                <w:szCs w:val="16"/>
              </w:rPr>
            </w:pPr>
            <w:r w:rsidRPr="00C65B3C">
              <w:rPr>
                <w:rFonts w:ascii="Calibri" w:hAnsi="Calibri" w:cs="Calibri"/>
                <w:sz w:val="16"/>
                <w:szCs w:val="16"/>
              </w:rPr>
              <w:t xml:space="preserve">         </w:t>
            </w:r>
          </w:p>
        </w:tc>
        <w:tc>
          <w:tcPr>
            <w:tcW w:w="4721" w:type="dxa"/>
          </w:tcPr>
          <w:p w14:paraId="7220FDAF" w14:textId="77777777" w:rsidR="00C65B3C" w:rsidRPr="00C65B3C" w:rsidRDefault="00C65B3C" w:rsidP="00D046B4">
            <w:pPr>
              <w:keepLines/>
              <w:tabs>
                <w:tab w:val="left" w:pos="851"/>
              </w:tabs>
              <w:rPr>
                <w:rFonts w:ascii="Calibri" w:hAnsi="Calibri" w:cs="Calibri"/>
                <w:sz w:val="16"/>
                <w:szCs w:val="16"/>
              </w:rPr>
            </w:pPr>
          </w:p>
        </w:tc>
      </w:tr>
    </w:tbl>
    <w:p w14:paraId="7FFEB109" w14:textId="77777777" w:rsidR="00C65B3C" w:rsidRPr="00C65B3C" w:rsidRDefault="00C65B3C" w:rsidP="00C65B3C">
      <w:pPr>
        <w:keepLines/>
        <w:tabs>
          <w:tab w:val="left" w:pos="851"/>
        </w:tabs>
        <w:spacing w:after="0" w:line="240" w:lineRule="auto"/>
        <w:jc w:val="both"/>
        <w:rPr>
          <w:rFonts w:ascii="Calibri" w:eastAsia="Times New Roman" w:hAnsi="Calibri" w:cs="Calibri"/>
          <w:kern w:val="0"/>
          <w:sz w:val="16"/>
          <w:szCs w:val="16"/>
          <w:lang w:eastAsia="pt-BR"/>
          <w14:ligatures w14:val="none"/>
        </w:rPr>
      </w:pPr>
    </w:p>
    <w:p w14:paraId="68DA9E01" w14:textId="77777777" w:rsidR="00C65B3C" w:rsidRPr="00C65B3C" w:rsidRDefault="00C65B3C" w:rsidP="00C65B3C">
      <w:pPr>
        <w:keepLines/>
        <w:tabs>
          <w:tab w:val="left" w:pos="851"/>
        </w:tabs>
        <w:spacing w:after="0" w:line="240" w:lineRule="auto"/>
        <w:jc w:val="center"/>
        <w:rPr>
          <w:rFonts w:ascii="Calibri" w:eastAsia="Times New Roman" w:hAnsi="Calibri" w:cs="Calibri"/>
          <w:b/>
          <w:kern w:val="0"/>
          <w:sz w:val="16"/>
          <w:szCs w:val="16"/>
          <w:lang w:eastAsia="pt-BR"/>
          <w14:ligatures w14:val="none"/>
        </w:rPr>
      </w:pPr>
      <w:r w:rsidRPr="00C65B3C">
        <w:rPr>
          <w:rFonts w:ascii="Calibri" w:eastAsia="Times New Roman" w:hAnsi="Calibri" w:cs="Calibri"/>
          <w:b/>
          <w:kern w:val="0"/>
          <w:sz w:val="16"/>
          <w:szCs w:val="16"/>
          <w:lang w:eastAsia="pt-BR"/>
          <w14:ligatures w14:val="none"/>
        </w:rPr>
        <w:t>ARTUR JOSÉ SIMÃO PEDREIRA</w:t>
      </w:r>
    </w:p>
    <w:p w14:paraId="25EC8753" w14:textId="77777777" w:rsidR="00C65B3C" w:rsidRPr="00C65B3C" w:rsidRDefault="00C65B3C" w:rsidP="00C65B3C">
      <w:pPr>
        <w:keepLines/>
        <w:tabs>
          <w:tab w:val="left" w:pos="851"/>
        </w:tabs>
        <w:spacing w:after="0" w:line="240" w:lineRule="auto"/>
        <w:jc w:val="center"/>
        <w:rPr>
          <w:rFonts w:ascii="Calibri" w:eastAsia="Times New Roman" w:hAnsi="Calibri" w:cs="Calibri"/>
          <w:kern w:val="0"/>
          <w:sz w:val="16"/>
          <w:szCs w:val="16"/>
          <w:lang w:eastAsia="pt-BR"/>
          <w14:ligatures w14:val="none"/>
        </w:rPr>
      </w:pPr>
      <w:r w:rsidRPr="00C65B3C">
        <w:rPr>
          <w:rFonts w:ascii="Calibri" w:eastAsia="Times New Roman" w:hAnsi="Calibri" w:cs="Calibri"/>
          <w:kern w:val="0"/>
          <w:sz w:val="16"/>
          <w:szCs w:val="16"/>
          <w:lang w:eastAsia="pt-BR"/>
          <w14:ligatures w14:val="none"/>
        </w:rPr>
        <w:t>Contador CRC/DF 008412/0-9</w:t>
      </w:r>
    </w:p>
    <w:p w14:paraId="5BBB8EFA" w14:textId="77777777" w:rsidR="00E24769" w:rsidRPr="00240448" w:rsidRDefault="00E24769" w:rsidP="00240448">
      <w:pPr>
        <w:autoSpaceDE w:val="0"/>
        <w:autoSpaceDN w:val="0"/>
        <w:adjustRightInd w:val="0"/>
        <w:spacing w:after="0" w:line="240" w:lineRule="auto"/>
        <w:jc w:val="both"/>
        <w:rPr>
          <w:rFonts w:ascii="Calibri" w:eastAsia="Times New Roman" w:hAnsi="Calibri" w:cs="Calibri"/>
          <w:iCs/>
          <w:color w:val="002060"/>
          <w:kern w:val="0"/>
          <w14:ligatures w14:val="none"/>
        </w:rPr>
      </w:pPr>
    </w:p>
    <w:tbl>
      <w:tblPr>
        <w:tblStyle w:val="Tabelacomgrade"/>
        <w:tblW w:w="9776" w:type="dxa"/>
        <w:tblLook w:val="04A0" w:firstRow="1" w:lastRow="0" w:firstColumn="1" w:lastColumn="0" w:noHBand="0" w:noVBand="1"/>
      </w:tblPr>
      <w:tblGrid>
        <w:gridCol w:w="9776"/>
      </w:tblGrid>
      <w:tr w:rsidR="00094DD9" w14:paraId="47792532" w14:textId="77777777" w:rsidTr="009729C8">
        <w:trPr>
          <w:trHeight w:val="1182"/>
        </w:trPr>
        <w:tc>
          <w:tcPr>
            <w:tcW w:w="9776" w:type="dxa"/>
            <w:shd w:val="clear" w:color="auto" w:fill="215E99" w:themeFill="text2" w:themeFillTint="BF"/>
          </w:tcPr>
          <w:p w14:paraId="11C798BE" w14:textId="77777777" w:rsidR="00094DD9" w:rsidRPr="00701971" w:rsidRDefault="00094DD9" w:rsidP="00446A14">
            <w:pPr>
              <w:tabs>
                <w:tab w:val="left" w:pos="851"/>
              </w:tabs>
              <w:jc w:val="center"/>
              <w:rPr>
                <w:rFonts w:ascii="Calibri" w:eastAsia="Times New Roman" w:hAnsi="Calibri" w:cs="Arial"/>
                <w:b/>
                <w:bCs/>
                <w:color w:val="FFFFFF" w:themeColor="background1"/>
                <w:kern w:val="0"/>
                <w14:ligatures w14:val="none"/>
              </w:rPr>
            </w:pPr>
          </w:p>
          <w:p w14:paraId="0CBB52C8" w14:textId="004D9E7E" w:rsidR="00094DD9" w:rsidRPr="00094DD9" w:rsidRDefault="00094DD9" w:rsidP="00094DD9">
            <w:pPr>
              <w:tabs>
                <w:tab w:val="left" w:pos="851"/>
              </w:tabs>
              <w:jc w:val="center"/>
              <w:rPr>
                <w:rFonts w:ascii="Calibri" w:eastAsia="Times New Roman" w:hAnsi="Calibri" w:cs="Arial"/>
                <w:b/>
                <w:bCs/>
                <w:color w:val="FFFFFF" w:themeColor="background1"/>
                <w:kern w:val="0"/>
                <w:sz w:val="24"/>
                <w:szCs w:val="24"/>
                <w14:ligatures w14:val="none"/>
              </w:rPr>
            </w:pPr>
            <w:r w:rsidRPr="00094DD9">
              <w:rPr>
                <w:rFonts w:ascii="Calibri" w:eastAsia="Times New Roman" w:hAnsi="Calibri" w:cs="Arial"/>
                <w:b/>
                <w:bCs/>
                <w:color w:val="FFFFFF" w:themeColor="background1"/>
                <w:kern w:val="0"/>
                <w:sz w:val="24"/>
                <w:szCs w:val="24"/>
                <w14:ligatures w14:val="none"/>
              </w:rPr>
              <w:t xml:space="preserve">Telecomunicações Brasileiras S.A </w:t>
            </w:r>
            <w:r>
              <w:rPr>
                <w:rFonts w:ascii="Calibri" w:eastAsia="Times New Roman" w:hAnsi="Calibri" w:cs="Arial"/>
                <w:b/>
                <w:bCs/>
                <w:color w:val="FFFFFF" w:themeColor="background1"/>
                <w:kern w:val="0"/>
                <w:sz w:val="24"/>
                <w:szCs w:val="24"/>
                <w14:ligatures w14:val="none"/>
              </w:rPr>
              <w:t>–</w:t>
            </w:r>
            <w:r w:rsidRPr="00094DD9">
              <w:rPr>
                <w:rFonts w:ascii="Calibri" w:eastAsia="Times New Roman" w:hAnsi="Calibri" w:cs="Arial"/>
                <w:b/>
                <w:bCs/>
                <w:color w:val="FFFFFF" w:themeColor="background1"/>
                <w:kern w:val="0"/>
                <w:sz w:val="24"/>
                <w:szCs w:val="24"/>
                <w14:ligatures w14:val="none"/>
              </w:rPr>
              <w:t xml:space="preserve"> Telebras</w:t>
            </w:r>
            <w:r>
              <w:rPr>
                <w:rFonts w:ascii="Calibri" w:eastAsia="Times New Roman" w:hAnsi="Calibri" w:cs="Arial"/>
                <w:b/>
                <w:bCs/>
                <w:color w:val="FFFFFF" w:themeColor="background1"/>
                <w:kern w:val="0"/>
                <w:sz w:val="24"/>
                <w:szCs w:val="24"/>
                <w14:ligatures w14:val="none"/>
              </w:rPr>
              <w:t xml:space="preserve"> - </w:t>
            </w:r>
            <w:r w:rsidRPr="00094DD9">
              <w:rPr>
                <w:rFonts w:ascii="Calibri" w:eastAsia="Times New Roman" w:hAnsi="Calibri" w:cs="Arial"/>
                <w:b/>
                <w:bCs/>
                <w:color w:val="FFFFFF" w:themeColor="background1"/>
                <w:kern w:val="0"/>
                <w:sz w:val="24"/>
                <w:szCs w:val="24"/>
                <w14:ligatures w14:val="none"/>
              </w:rPr>
              <w:t>Comentários de Desempenho</w:t>
            </w:r>
          </w:p>
          <w:p w14:paraId="5F7931D2" w14:textId="1FA8FAFD" w:rsidR="00094DD9" w:rsidRPr="009729C8" w:rsidRDefault="00094DD9" w:rsidP="009729C8">
            <w:pPr>
              <w:tabs>
                <w:tab w:val="left" w:pos="851"/>
              </w:tabs>
              <w:jc w:val="center"/>
              <w:rPr>
                <w:rFonts w:ascii="Calibri" w:eastAsia="Times New Roman" w:hAnsi="Calibri" w:cs="Arial"/>
                <w:b/>
                <w:bCs/>
                <w:color w:val="FFFFFF" w:themeColor="background1"/>
                <w:kern w:val="0"/>
                <w:sz w:val="24"/>
                <w:szCs w:val="24"/>
                <w14:ligatures w14:val="none"/>
              </w:rPr>
            </w:pPr>
            <w:r w:rsidRPr="00094DD9">
              <w:rPr>
                <w:rFonts w:ascii="Calibri" w:eastAsia="Times New Roman" w:hAnsi="Calibri" w:cs="Arial"/>
                <w:b/>
                <w:bCs/>
                <w:color w:val="FFFFFF" w:themeColor="background1"/>
                <w:kern w:val="0"/>
                <w:sz w:val="24"/>
                <w:szCs w:val="24"/>
                <w14:ligatures w14:val="none"/>
              </w:rPr>
              <w:t>4º Trimestre de 2023</w:t>
            </w:r>
          </w:p>
        </w:tc>
      </w:tr>
    </w:tbl>
    <w:p w14:paraId="48809728" w14:textId="77777777" w:rsidR="003F7395" w:rsidRDefault="003F7395" w:rsidP="003F7395">
      <w:pPr>
        <w:tabs>
          <w:tab w:val="left" w:pos="851"/>
        </w:tabs>
        <w:spacing w:after="0" w:line="240" w:lineRule="auto"/>
        <w:jc w:val="both"/>
        <w:rPr>
          <w:rFonts w:ascii="Calibri" w:eastAsia="Times New Roman" w:hAnsi="Calibri" w:cs="Calibri"/>
          <w:iCs/>
          <w:color w:val="002060"/>
          <w:kern w:val="0"/>
          <w14:ligatures w14:val="none"/>
        </w:rPr>
      </w:pPr>
      <w:r w:rsidRPr="003F7395">
        <w:rPr>
          <w:rFonts w:ascii="Calibri" w:eastAsia="Times New Roman" w:hAnsi="Calibri" w:cs="Calibri"/>
          <w:b/>
          <w:bCs/>
          <w:iCs/>
          <w:color w:val="002060"/>
          <w:kern w:val="0"/>
          <w14:ligatures w14:val="none"/>
        </w:rPr>
        <w:t xml:space="preserve">Informação Pública - </w:t>
      </w:r>
      <w:r w:rsidRPr="003F7395">
        <w:rPr>
          <w:rFonts w:ascii="Calibri" w:eastAsia="Times New Roman" w:hAnsi="Calibri" w:cs="Calibri"/>
          <w:iCs/>
          <w:color w:val="002060"/>
          <w:kern w:val="0"/>
          <w14:ligatures w14:val="none"/>
        </w:rPr>
        <w:t>A Telecomunicações Brasileiras S.A. - Telebras (B3: TELB3 e TELB4) divulga nesse documento os comentários de desempenho dos resultados do quarto trimestre do exercício de 2023 (4T23), bem como os resultados dos doze meses de 2023 (2023). As informações operacionais, econômicas e financeiras da Companhia, exceto quando indicado de outra forma, são apresentadas com base em números não consolidados e em Reais, em conformidade com as práticas contábeis adotadas no Brasil (BR GAAP), de acordo com os IFRS, bem como estão alinhados com o IAS – “</w:t>
      </w:r>
      <w:proofErr w:type="spellStart"/>
      <w:r w:rsidRPr="003F7395">
        <w:rPr>
          <w:rFonts w:ascii="Calibri" w:eastAsia="Times New Roman" w:hAnsi="Calibri" w:cs="Calibri"/>
          <w:i/>
          <w:iCs/>
          <w:color w:val="002060"/>
          <w:kern w:val="0"/>
          <w14:ligatures w14:val="none"/>
        </w:rPr>
        <w:t>International</w:t>
      </w:r>
      <w:proofErr w:type="spellEnd"/>
      <w:r w:rsidRPr="003F7395">
        <w:rPr>
          <w:rFonts w:ascii="Calibri" w:eastAsia="Times New Roman" w:hAnsi="Calibri" w:cs="Calibri"/>
          <w:i/>
          <w:iCs/>
          <w:color w:val="002060"/>
          <w:kern w:val="0"/>
          <w14:ligatures w14:val="none"/>
        </w:rPr>
        <w:t xml:space="preserve"> </w:t>
      </w:r>
      <w:proofErr w:type="spellStart"/>
      <w:r w:rsidRPr="003F7395">
        <w:rPr>
          <w:rFonts w:ascii="Calibri" w:eastAsia="Times New Roman" w:hAnsi="Calibri" w:cs="Calibri"/>
          <w:i/>
          <w:iCs/>
          <w:color w:val="002060"/>
          <w:kern w:val="0"/>
          <w14:ligatures w14:val="none"/>
        </w:rPr>
        <w:t>Accounting</w:t>
      </w:r>
      <w:proofErr w:type="spellEnd"/>
      <w:r w:rsidRPr="003F7395">
        <w:rPr>
          <w:rFonts w:ascii="Calibri" w:eastAsia="Times New Roman" w:hAnsi="Calibri" w:cs="Calibri"/>
          <w:i/>
          <w:iCs/>
          <w:color w:val="002060"/>
          <w:kern w:val="0"/>
          <w14:ligatures w14:val="none"/>
        </w:rPr>
        <w:t xml:space="preserve"> Standards” </w:t>
      </w:r>
      <w:r w:rsidRPr="003F7395">
        <w:rPr>
          <w:rFonts w:ascii="Calibri" w:eastAsia="Times New Roman" w:hAnsi="Calibri" w:cs="Calibri"/>
          <w:iCs/>
          <w:color w:val="002060"/>
          <w:kern w:val="0"/>
          <w14:ligatures w14:val="none"/>
        </w:rPr>
        <w:t xml:space="preserve">nº 34 e com o pronunciamento técnico emitido pelo CPC – Comitê de Pronunciamentos Contábeis nº 21 (R1), que tratam das informações contábeis intermediárias. As comparações realizadas neste comunicado levam em consideração o quarto trimestre de 2022 (4T22) e o terceiro trimestre de 2023 (3T23) </w:t>
      </w:r>
      <w:proofErr w:type="gramStart"/>
      <w:r w:rsidRPr="003F7395">
        <w:rPr>
          <w:rFonts w:ascii="Calibri" w:eastAsia="Times New Roman" w:hAnsi="Calibri" w:cs="Calibri"/>
          <w:iCs/>
          <w:color w:val="002060"/>
          <w:kern w:val="0"/>
          <w14:ligatures w14:val="none"/>
        </w:rPr>
        <w:t>e também</w:t>
      </w:r>
      <w:proofErr w:type="gramEnd"/>
      <w:r w:rsidRPr="003F7395">
        <w:rPr>
          <w:rFonts w:ascii="Calibri" w:eastAsia="Times New Roman" w:hAnsi="Calibri" w:cs="Calibri"/>
          <w:iCs/>
          <w:color w:val="002060"/>
          <w:kern w:val="0"/>
          <w14:ligatures w14:val="none"/>
        </w:rPr>
        <w:t xml:space="preserve"> os doze meses de 2022 (2022), exceto quando especificado em contrário. As informações relativas ao exercício de 2022 estão reapresentadas devido à alteração da política contábil para o reconhecimento dos recursos orçamentários recebidos para aplicação no ativo imobilizado.</w:t>
      </w:r>
    </w:p>
    <w:p w14:paraId="5662BD10" w14:textId="426219B2" w:rsidR="003F7395" w:rsidRPr="003F7395" w:rsidRDefault="003F7395" w:rsidP="003F7395">
      <w:pPr>
        <w:tabs>
          <w:tab w:val="left" w:pos="851"/>
        </w:tabs>
        <w:spacing w:after="0" w:line="240" w:lineRule="auto"/>
        <w:jc w:val="both"/>
        <w:rPr>
          <w:rFonts w:ascii="Calibri" w:eastAsia="Times New Roman" w:hAnsi="Calibri" w:cs="Arial"/>
          <w:color w:val="FFFFFF" w:themeColor="background1"/>
          <w:kern w:val="0"/>
          <w:sz w:val="24"/>
          <w:szCs w:val="24"/>
          <w14:ligatures w14:val="none"/>
        </w:rPr>
      </w:pPr>
      <w:r w:rsidRPr="003F7395">
        <w:rPr>
          <w:rFonts w:ascii="Calibri" w:eastAsia="Times New Roman" w:hAnsi="Calibri" w:cs="Calibri"/>
          <w:b/>
          <w:bCs/>
          <w:color w:val="002060"/>
          <w:kern w:val="0"/>
          <w:u w:val="single"/>
          <w14:ligatures w14:val="none"/>
        </w:rPr>
        <w:t xml:space="preserve">Reclassificação dos Recursos Orçamentários Recebidos para Investimento (Aplicação no Ativo Imobilizado) e Reapresentação das Demonstrações Contábeis dos Exercícios de 2020,2021 e 2022. </w:t>
      </w:r>
    </w:p>
    <w:p w14:paraId="6F192056" w14:textId="77777777" w:rsidR="003F7395" w:rsidRPr="003F7395" w:rsidRDefault="003F7395" w:rsidP="003F7395">
      <w:pPr>
        <w:spacing w:after="0" w:line="240" w:lineRule="auto"/>
        <w:jc w:val="both"/>
        <w:rPr>
          <w:rFonts w:ascii="Calibri" w:eastAsia="Times New Roman" w:hAnsi="Calibri" w:cs="Calibri"/>
          <w:color w:val="002060"/>
          <w:kern w:val="0"/>
          <w14:ligatures w14:val="none"/>
        </w:rPr>
      </w:pPr>
      <w:r w:rsidRPr="003F7395">
        <w:rPr>
          <w:rFonts w:ascii="Calibri" w:eastAsia="Times New Roman" w:hAnsi="Calibri" w:cs="Calibri"/>
          <w:color w:val="002060"/>
          <w:kern w:val="0"/>
          <w14:ligatures w14:val="none"/>
        </w:rPr>
        <w:t xml:space="preserve">Em fato relevante divulgado em 18 de dezembro de 2019 (Aprovação do Projeto de Lei do Orçamento anual 2020 pelo Congresso Nacional), a Telecomunicações Brasileiras S.A. (“Telebras” ou “Companhia”) (B3: TELB3 &amp; TELB4) informou ao mercado que passaria à condição de empresa estatal dependente do Orçamento Fiscal e da Seguridade Social (OFSS). </w:t>
      </w:r>
    </w:p>
    <w:p w14:paraId="72803EEF" w14:textId="363CF4F7" w:rsidR="003F7395" w:rsidRPr="003F7395" w:rsidRDefault="003F7395" w:rsidP="003F7395">
      <w:pPr>
        <w:spacing w:after="0" w:line="240" w:lineRule="auto"/>
        <w:jc w:val="both"/>
        <w:rPr>
          <w:rFonts w:ascii="Calibri" w:eastAsia="Times New Roman" w:hAnsi="Calibri" w:cs="Calibri"/>
          <w:color w:val="002060"/>
          <w:kern w:val="0"/>
          <w14:ligatures w14:val="none"/>
        </w:rPr>
      </w:pPr>
      <w:r w:rsidRPr="003F7395">
        <w:rPr>
          <w:rFonts w:ascii="Calibri" w:eastAsia="Times New Roman" w:hAnsi="Calibri" w:cs="Calibri"/>
          <w:color w:val="002060"/>
          <w:kern w:val="0"/>
          <w14:ligatures w14:val="none"/>
        </w:rPr>
        <w:t xml:space="preserve"> Em 2020, em observância à Lei Orçamentária Anual, às Leis números 4.320/64, 6.404/76, 13.303/16, a companhia informou ao Acionista Controlador, sem que houvesse contraposição, que, na condição de empresa estatal dependente, contabilizaria os recursos orçamentários recebidos como Outras Receitas Operacionais, nos termos da Norma nº 07 do Comitê de pronunciamentos Contábeis (CPC 07).  </w:t>
      </w:r>
    </w:p>
    <w:p w14:paraId="10356581" w14:textId="77777777" w:rsidR="003F7395" w:rsidRPr="003F7395" w:rsidRDefault="003F7395" w:rsidP="003F7395">
      <w:pPr>
        <w:spacing w:after="0" w:line="240" w:lineRule="auto"/>
        <w:jc w:val="both"/>
        <w:rPr>
          <w:rFonts w:ascii="Calibri" w:eastAsia="Times New Roman" w:hAnsi="Calibri" w:cs="Calibri"/>
          <w:color w:val="002060"/>
          <w:kern w:val="0"/>
          <w14:ligatures w14:val="none"/>
        </w:rPr>
      </w:pPr>
      <w:r w:rsidRPr="003F7395">
        <w:rPr>
          <w:rFonts w:ascii="Calibri" w:eastAsia="Times New Roman" w:hAnsi="Calibri" w:cs="Calibri"/>
          <w:color w:val="002060"/>
          <w:kern w:val="0"/>
          <w14:ligatures w14:val="none"/>
        </w:rPr>
        <w:t xml:space="preserve">Assim, em novo Fato Relevante publicado em 25 de maio de 2020, a Telebras comunicou ao mercado que os recursos recebidos na forma de subvenções orçamentárias seriam reconhecidos de acordo com a norma contábil CPC 07, ou sejam, no resultado da Companhia, como Outras Receitas Operacionais. </w:t>
      </w:r>
    </w:p>
    <w:p w14:paraId="2830824F" w14:textId="77777777" w:rsidR="003F7395" w:rsidRDefault="003F7395" w:rsidP="003F7395">
      <w:pPr>
        <w:spacing w:after="0" w:line="240" w:lineRule="auto"/>
        <w:jc w:val="both"/>
        <w:rPr>
          <w:rFonts w:ascii="Calibri" w:eastAsia="Times New Roman" w:hAnsi="Calibri" w:cs="Calibri"/>
          <w:color w:val="002060"/>
          <w:kern w:val="0"/>
          <w14:ligatures w14:val="none"/>
        </w:rPr>
      </w:pPr>
      <w:r w:rsidRPr="003F7395">
        <w:rPr>
          <w:rFonts w:ascii="Calibri" w:eastAsia="Times New Roman" w:hAnsi="Calibri" w:cs="Calibri"/>
          <w:color w:val="002060"/>
          <w:kern w:val="0"/>
          <w14:ligatures w14:val="none"/>
        </w:rPr>
        <w:t>Todavia, no ano de 2023, a União, na qualidade de Acionista Controlador, por meio do parecer da Secretaria de Tesouro Nacional que aprovou as Demonstrações Contábeis referente ao exercício social de 2022, recomendou, para fins de adequação da contabilidade societária e garantir maior precisão na caracterização dos repasses, que a Companhia passasse a reconhecer os recursos orçamentários transferidos para fins de investimentos (transferências de capital – ativo imobilizado) como Adiantamentos para Futuro Aumento de</w:t>
      </w:r>
    </w:p>
    <w:p w14:paraId="3886A37A" w14:textId="00F73ECA" w:rsidR="003F7395" w:rsidRPr="003F7395" w:rsidRDefault="003F7395" w:rsidP="003F7395">
      <w:pPr>
        <w:spacing w:after="0" w:line="240" w:lineRule="auto"/>
        <w:jc w:val="both"/>
        <w:rPr>
          <w:rFonts w:ascii="Calibri" w:eastAsia="Times New Roman" w:hAnsi="Calibri" w:cs="Calibri"/>
          <w:color w:val="002060"/>
          <w:kern w:val="0"/>
          <w14:ligatures w14:val="none"/>
        </w:rPr>
      </w:pPr>
      <w:r w:rsidRPr="003F7395">
        <w:rPr>
          <w:rFonts w:ascii="Calibri" w:eastAsia="Times New Roman" w:hAnsi="Calibri" w:cs="Calibri"/>
          <w:color w:val="002060"/>
          <w:kern w:val="0"/>
          <w14:ligatures w14:val="none"/>
        </w:rPr>
        <w:lastRenderedPageBreak/>
        <w:t>Capital – AFAC. A alteração resultará em uma informação mais confiável e mais relevante nas demonstrações contábeis, uma vez que, esta forma de reconhecimento apresenta de forma mais adequada a essência da operação para a Companhia.</w:t>
      </w:r>
    </w:p>
    <w:p w14:paraId="75C6B63E" w14:textId="77777777" w:rsidR="003F7395" w:rsidRPr="003F7395" w:rsidRDefault="003F7395" w:rsidP="003F7395">
      <w:pPr>
        <w:spacing w:after="0" w:line="240" w:lineRule="auto"/>
        <w:jc w:val="both"/>
        <w:rPr>
          <w:rFonts w:ascii="Calibri" w:eastAsia="Times New Roman" w:hAnsi="Calibri" w:cs="Calibri"/>
          <w:color w:val="002060"/>
          <w:kern w:val="0"/>
          <w14:ligatures w14:val="none"/>
        </w:rPr>
      </w:pPr>
      <w:r w:rsidRPr="003F7395">
        <w:rPr>
          <w:rFonts w:ascii="Calibri" w:eastAsia="Times New Roman" w:hAnsi="Calibri" w:cs="Calibri"/>
          <w:color w:val="002060"/>
          <w:kern w:val="0"/>
          <w14:ligatures w14:val="none"/>
        </w:rPr>
        <w:t xml:space="preserve">Em decorrência dos eventos acima relatados e após análise da Administração, esta decidiu por alterar a política contábil relativa aos recebimentos dos recursos orçamentários destinados à aplicação no pagamento de bens do ativo imobilizado (Subvenções para Investimento), que até o terceiro trimestre de 2023 vinham sendo reconhecidos no resultado da Telebras. Tais recebimentos passaram então a ser reconhecidos como Adiantamento para Futuro Aumento de Capital no “Passivo Exigível”. As demais transferências correntes para o pagamento de pessoal e outros custeios, continuarão sendo classificadas como “Outras Receitas Operacionais”. </w:t>
      </w:r>
    </w:p>
    <w:p w14:paraId="35649E90" w14:textId="77777777" w:rsidR="003F7395" w:rsidRPr="003F7395" w:rsidRDefault="003F7395" w:rsidP="003F7395">
      <w:pPr>
        <w:spacing w:after="0" w:line="240" w:lineRule="auto"/>
        <w:jc w:val="both"/>
        <w:rPr>
          <w:rFonts w:ascii="Calibri" w:eastAsia="Times New Roman" w:hAnsi="Calibri" w:cs="Calibri"/>
          <w:color w:val="002060"/>
          <w:kern w:val="0"/>
          <w14:ligatures w14:val="none"/>
        </w:rPr>
      </w:pPr>
      <w:r w:rsidRPr="003F7395">
        <w:rPr>
          <w:rFonts w:ascii="Calibri" w:eastAsia="Times New Roman" w:hAnsi="Calibri" w:cs="Calibri"/>
          <w:color w:val="002060"/>
          <w:kern w:val="0"/>
          <w14:ligatures w14:val="none"/>
        </w:rPr>
        <w:t xml:space="preserve">Considerando o exposto e a recomendação de modificação da política contábil anteriormente adotada, a Companhia informa que fará a reapresentação retrospectiva das demonstrações financeiras dos exercícios de 2020, 2021 e 2022 nas Demonstrações Contábeis do encerramento de 2023, conforme determina o CPC 23, que trata de Políticas Contábeis, Mudança de Estimativa e Retificação de Erro, de forma a atender as Características qualitativas da informação contábil financeira útil e o melhor entendimento das operações da Companhia. </w:t>
      </w:r>
    </w:p>
    <w:p w14:paraId="745BA614" w14:textId="12B2D802" w:rsidR="003F7395" w:rsidRDefault="003F7395" w:rsidP="003F7395">
      <w:pPr>
        <w:spacing w:after="0" w:line="240" w:lineRule="auto"/>
        <w:jc w:val="both"/>
        <w:rPr>
          <w:rFonts w:ascii="Calibri" w:eastAsia="Times New Roman" w:hAnsi="Calibri" w:cs="Calibri"/>
          <w:color w:val="002060"/>
          <w:kern w:val="0"/>
          <w14:ligatures w14:val="none"/>
        </w:rPr>
      </w:pPr>
      <w:r w:rsidRPr="003F7395">
        <w:rPr>
          <w:rFonts w:ascii="Calibri" w:eastAsia="Times New Roman" w:hAnsi="Calibri" w:cs="Calibri"/>
          <w:color w:val="002060"/>
          <w:kern w:val="0"/>
          <w14:ligatures w14:val="none"/>
        </w:rPr>
        <w:t>O impacto financeiro da reapresentação das demonstrações contábeis, que afetarão o passivo exigível não circulante e o patrimônio líquido está apresentado no quadro a seguir.</w:t>
      </w:r>
    </w:p>
    <w:tbl>
      <w:tblPr>
        <w:tblW w:w="5000" w:type="pct"/>
        <w:tblCellMar>
          <w:left w:w="70" w:type="dxa"/>
          <w:right w:w="70" w:type="dxa"/>
        </w:tblCellMar>
        <w:tblLook w:val="04A0" w:firstRow="1" w:lastRow="0" w:firstColumn="1" w:lastColumn="0" w:noHBand="0" w:noVBand="1"/>
      </w:tblPr>
      <w:tblGrid>
        <w:gridCol w:w="9771"/>
      </w:tblGrid>
      <w:tr w:rsidR="003F7395" w:rsidRPr="003F7395" w14:paraId="5342FCEC" w14:textId="77777777" w:rsidTr="00446A14">
        <w:trPr>
          <w:trHeight w:val="238"/>
        </w:trPr>
        <w:tc>
          <w:tcPr>
            <w:tcW w:w="25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6C0D32" w14:textId="77777777" w:rsidR="003F7395" w:rsidRPr="003F7395" w:rsidRDefault="003F7395" w:rsidP="003F7395">
            <w:pPr>
              <w:spacing w:after="0" w:line="240" w:lineRule="auto"/>
              <w:rPr>
                <w:rFonts w:ascii="Arial" w:eastAsia="Times New Roman" w:hAnsi="Arial" w:cs="Arial"/>
                <w:b/>
                <w:color w:val="000000"/>
                <w:kern w:val="0"/>
                <w:sz w:val="18"/>
                <w:szCs w:val="18"/>
                <w:lang w:eastAsia="pt-BR"/>
                <w14:ligatures w14:val="none"/>
              </w:rPr>
            </w:pPr>
            <w:r w:rsidRPr="003F7395">
              <w:rPr>
                <w:rFonts w:ascii="Arial" w:eastAsia="Times New Roman" w:hAnsi="Arial" w:cs="Arial"/>
                <w:b/>
                <w:color w:val="000000"/>
                <w:kern w:val="0"/>
                <w:sz w:val="18"/>
                <w:szCs w:val="18"/>
                <w:lang w:eastAsia="pt-BR"/>
                <w14:ligatures w14:val="none"/>
              </w:rPr>
              <w:t>Rubricas do Balanço Patrimonial</w:t>
            </w:r>
          </w:p>
        </w:tc>
      </w:tr>
      <w:tr w:rsidR="003F7395" w:rsidRPr="003F7395" w14:paraId="7C12C8F5" w14:textId="77777777" w:rsidTr="00446A14">
        <w:trPr>
          <w:trHeight w:val="238"/>
        </w:trPr>
        <w:tc>
          <w:tcPr>
            <w:tcW w:w="2542" w:type="pct"/>
            <w:tcBorders>
              <w:top w:val="nil"/>
              <w:left w:val="single" w:sz="4" w:space="0" w:color="auto"/>
              <w:bottom w:val="single" w:sz="4" w:space="0" w:color="auto"/>
              <w:right w:val="single" w:sz="4" w:space="0" w:color="auto"/>
            </w:tcBorders>
            <w:shd w:val="clear" w:color="auto" w:fill="auto"/>
            <w:noWrap/>
            <w:vAlign w:val="bottom"/>
            <w:hideMark/>
          </w:tcPr>
          <w:p w14:paraId="4BEDC7B2" w14:textId="77777777" w:rsidR="003F7395" w:rsidRPr="003F7395" w:rsidRDefault="003F7395" w:rsidP="003F7395">
            <w:pPr>
              <w:spacing w:after="0" w:line="240" w:lineRule="auto"/>
              <w:rPr>
                <w:rFonts w:ascii="Arial" w:eastAsia="Times New Roman" w:hAnsi="Arial" w:cs="Arial"/>
                <w:color w:val="000000"/>
                <w:kern w:val="0"/>
                <w:sz w:val="18"/>
                <w:szCs w:val="18"/>
                <w:lang w:eastAsia="pt-BR"/>
                <w14:ligatures w14:val="none"/>
              </w:rPr>
            </w:pPr>
            <w:r w:rsidRPr="003F7395">
              <w:rPr>
                <w:rFonts w:ascii="Arial" w:eastAsia="Times New Roman" w:hAnsi="Arial" w:cs="Arial"/>
                <w:color w:val="000000"/>
                <w:kern w:val="0"/>
                <w:sz w:val="18"/>
                <w:szCs w:val="18"/>
                <w:lang w:eastAsia="pt-BR"/>
                <w14:ligatures w14:val="none"/>
              </w:rPr>
              <w:t>Passivo Exigível Não Circulante e Patrimônio Líquido</w:t>
            </w:r>
          </w:p>
        </w:tc>
      </w:tr>
    </w:tbl>
    <w:p w14:paraId="4B354AB8" w14:textId="77777777" w:rsidR="003F7395" w:rsidRPr="003F7395" w:rsidRDefault="003F7395" w:rsidP="003F7395">
      <w:pPr>
        <w:spacing w:after="0" w:line="240" w:lineRule="auto"/>
        <w:jc w:val="both"/>
        <w:rPr>
          <w:rFonts w:ascii="Calibri" w:eastAsia="Times New Roman" w:hAnsi="Calibri" w:cs="Calibri"/>
          <w:b/>
          <w:bCs/>
          <w:color w:val="002060"/>
          <w:kern w:val="0"/>
          <w:u w:val="single"/>
          <w14:ligatures w14:val="none"/>
        </w:rPr>
      </w:pPr>
      <w:r w:rsidRPr="003F7395">
        <w:rPr>
          <w:rFonts w:ascii="Calibri" w:eastAsia="Times New Roman" w:hAnsi="Calibri" w:cs="Calibri"/>
          <w:b/>
          <w:bCs/>
          <w:color w:val="002060"/>
          <w:kern w:val="0"/>
          <w:u w:val="single"/>
          <w14:ligatures w14:val="none"/>
        </w:rPr>
        <w:t>Reforma Tributária no Brasil</w:t>
      </w:r>
    </w:p>
    <w:p w14:paraId="13D5DB8F" w14:textId="77777777" w:rsidR="003F7395" w:rsidRPr="003F7395" w:rsidRDefault="003F7395" w:rsidP="003F7395">
      <w:pPr>
        <w:spacing w:after="0" w:line="240" w:lineRule="auto"/>
        <w:jc w:val="both"/>
        <w:rPr>
          <w:rFonts w:ascii="Calibri" w:eastAsia="Times New Roman" w:hAnsi="Calibri" w:cs="Calibri"/>
          <w:color w:val="002060"/>
          <w:kern w:val="0"/>
          <w14:ligatures w14:val="none"/>
        </w:rPr>
      </w:pPr>
      <w:r w:rsidRPr="003F7395">
        <w:rPr>
          <w:rFonts w:ascii="Calibri" w:eastAsia="Times New Roman" w:hAnsi="Calibri" w:cs="Calibri"/>
          <w:color w:val="002060"/>
          <w:kern w:val="0"/>
          <w14:ligatures w14:val="none"/>
        </w:rPr>
        <w:t>A Reforma Tributária Brasileira foi recentemente aprovada e promulgada em dezembro de 2023 no Congresso Nacional com um objetivo de simplificar os tributos sobre consumo, acabar com a cumulatividade e unificar a legislação dos novos tributos, sendo um dos pilares da reforma a simplificação e harmonização dos tributos existentes.</w:t>
      </w:r>
    </w:p>
    <w:p w14:paraId="0E54BA78" w14:textId="77777777" w:rsidR="003F7395" w:rsidRPr="003F7395" w:rsidRDefault="003F7395" w:rsidP="003F7395">
      <w:pPr>
        <w:spacing w:after="0" w:line="240" w:lineRule="auto"/>
        <w:jc w:val="both"/>
        <w:rPr>
          <w:rFonts w:ascii="Calibri" w:eastAsia="Times New Roman" w:hAnsi="Calibri" w:cs="Calibri"/>
          <w:color w:val="002060"/>
          <w:kern w:val="0"/>
          <w14:ligatures w14:val="none"/>
        </w:rPr>
      </w:pPr>
      <w:r w:rsidRPr="003F7395">
        <w:rPr>
          <w:rFonts w:ascii="Calibri" w:eastAsia="Times New Roman" w:hAnsi="Calibri" w:cs="Calibri"/>
          <w:color w:val="002060"/>
          <w:kern w:val="0"/>
          <w14:ligatures w14:val="none"/>
        </w:rPr>
        <w:t xml:space="preserve">A unificação de impostos federais, estaduais e municipais busca reduzir a burocracia, eliminando redundâncias e facilitando o cumprimento das obrigações fiscais. A mudança substitui 5 (cinco) tributos vigentes por um Imposto sobre Valor Agregado (IVA dual) composto por: i) Imposto sobre Bens e Serviços, o IBS, de gestão compartilhada entre estados e municípios; </w:t>
      </w:r>
      <w:proofErr w:type="spellStart"/>
      <w:r w:rsidRPr="003F7395">
        <w:rPr>
          <w:rFonts w:ascii="Calibri" w:eastAsia="Times New Roman" w:hAnsi="Calibri" w:cs="Calibri"/>
          <w:color w:val="002060"/>
          <w:kern w:val="0"/>
          <w14:ligatures w14:val="none"/>
        </w:rPr>
        <w:t>ii</w:t>
      </w:r>
      <w:proofErr w:type="spellEnd"/>
      <w:r w:rsidRPr="003F7395">
        <w:rPr>
          <w:rFonts w:ascii="Calibri" w:eastAsia="Times New Roman" w:hAnsi="Calibri" w:cs="Calibri"/>
          <w:color w:val="002060"/>
          <w:kern w:val="0"/>
          <w14:ligatures w14:val="none"/>
        </w:rPr>
        <w:t>) Contribuição sobre Bens e Serviços, a CBS é de competência da União. Além disso, cria-se o Imposto Seletivo, IS, que não tem função arrecadatória, pretende desestimular o consumo de produtos e serviços que façam mal à saúde e ao meio ambiente.</w:t>
      </w:r>
    </w:p>
    <w:p w14:paraId="516FB55E" w14:textId="72328955" w:rsidR="003F7395" w:rsidRPr="003F7395" w:rsidRDefault="003F7395" w:rsidP="003F7395">
      <w:pPr>
        <w:spacing w:after="0" w:line="240" w:lineRule="auto"/>
        <w:jc w:val="both"/>
        <w:rPr>
          <w:rFonts w:ascii="Calibri" w:eastAsia="Times New Roman" w:hAnsi="Calibri" w:cs="Calibri"/>
          <w:color w:val="002060"/>
          <w:kern w:val="0"/>
          <w14:ligatures w14:val="none"/>
        </w:rPr>
      </w:pPr>
      <w:r w:rsidRPr="003F7395">
        <w:rPr>
          <w:rFonts w:ascii="Calibri" w:eastAsia="Times New Roman" w:hAnsi="Calibri" w:cs="Calibri"/>
          <w:color w:val="002060"/>
          <w:kern w:val="0"/>
          <w14:ligatures w14:val="none"/>
        </w:rPr>
        <w:t>Embora as alíquotas ainda não estejam completamente definidas, isso será feito por Lei Complementar. No entanto, de acordo com um estudo do Ministério da Fazenda, a alíquota padrão está estimada em 27%. O IBS e CBS devem ser regulamentados por Lei Complementar ainda em discussão no Congresso Nacional. Sendo assim, para o ano de 2024, a Companhia não terá alterações efetivas na forma de apuração e cálculo dos tributos e ainda não é possível estimar os possíveis impactos nos resultados futuros da Companhia como resultado da Reforma Tributária.</w:t>
      </w:r>
    </w:p>
    <w:p w14:paraId="458DAA9E" w14:textId="77777777" w:rsidR="003F7395" w:rsidRPr="003F7395" w:rsidRDefault="003F7395" w:rsidP="003F7395">
      <w:pPr>
        <w:spacing w:after="0" w:line="240" w:lineRule="auto"/>
        <w:jc w:val="both"/>
        <w:rPr>
          <w:rFonts w:ascii="Calibri" w:eastAsia="Times New Roman" w:hAnsi="Calibri" w:cs="Calibri"/>
          <w:b/>
          <w:bCs/>
          <w:color w:val="002060"/>
          <w:kern w:val="0"/>
          <w:u w:val="single"/>
          <w14:ligatures w14:val="none"/>
        </w:rPr>
      </w:pPr>
      <w:r w:rsidRPr="003F7395">
        <w:rPr>
          <w:rFonts w:ascii="Calibri" w:eastAsia="Times New Roman" w:hAnsi="Calibri" w:cs="Calibri"/>
          <w:b/>
          <w:bCs/>
          <w:color w:val="002060"/>
          <w:kern w:val="0"/>
          <w:u w:val="single"/>
          <w14:ligatures w14:val="none"/>
        </w:rPr>
        <w:t>Desempenho Econômico-Financeiro</w:t>
      </w:r>
    </w:p>
    <w:p w14:paraId="0867B74F" w14:textId="4A8EAD76" w:rsidR="003F7395" w:rsidRPr="003F7395" w:rsidRDefault="003F7395" w:rsidP="003F7395">
      <w:pPr>
        <w:spacing w:after="0" w:line="240" w:lineRule="auto"/>
        <w:jc w:val="both"/>
        <w:rPr>
          <w:rFonts w:ascii="Calibri" w:eastAsia="Times New Roman" w:hAnsi="Calibri" w:cs="Calibri"/>
          <w:b/>
          <w:bCs/>
          <w:color w:val="002060"/>
          <w:kern w:val="0"/>
          <w:u w:val="single"/>
          <w14:ligatures w14:val="none"/>
        </w:rPr>
      </w:pPr>
      <w:r w:rsidRPr="003F7395">
        <w:rPr>
          <w:rFonts w:ascii="Calibri" w:eastAsia="Times New Roman" w:hAnsi="Calibri" w:cs="Calibri"/>
          <w:b/>
          <w:bCs/>
          <w:color w:val="002060"/>
          <w:kern w:val="0"/>
          <w:u w:val="single"/>
          <w14:ligatures w14:val="none"/>
        </w:rPr>
        <w:t>Receita Operacional Líquida</w:t>
      </w:r>
    </w:p>
    <w:tbl>
      <w:tblPr>
        <w:tblW w:w="5000" w:type="pct"/>
        <w:tblCellMar>
          <w:left w:w="70" w:type="dxa"/>
          <w:right w:w="70" w:type="dxa"/>
        </w:tblCellMar>
        <w:tblLook w:val="04A0" w:firstRow="1" w:lastRow="0" w:firstColumn="1" w:lastColumn="0" w:noHBand="0" w:noVBand="1"/>
      </w:tblPr>
      <w:tblGrid>
        <w:gridCol w:w="2773"/>
        <w:gridCol w:w="825"/>
        <w:gridCol w:w="825"/>
        <w:gridCol w:w="825"/>
        <w:gridCol w:w="146"/>
        <w:gridCol w:w="683"/>
        <w:gridCol w:w="772"/>
        <w:gridCol w:w="146"/>
        <w:gridCol w:w="825"/>
        <w:gridCol w:w="1092"/>
        <w:gridCol w:w="146"/>
        <w:gridCol w:w="723"/>
      </w:tblGrid>
      <w:tr w:rsidR="003F7395" w:rsidRPr="003F7395" w14:paraId="3B5BD91E" w14:textId="77777777" w:rsidTr="00446A14">
        <w:trPr>
          <w:trHeight w:val="227"/>
        </w:trPr>
        <w:tc>
          <w:tcPr>
            <w:tcW w:w="1423" w:type="pct"/>
            <w:tcBorders>
              <w:top w:val="nil"/>
              <w:left w:val="nil"/>
              <w:bottom w:val="nil"/>
              <w:right w:val="nil"/>
            </w:tcBorders>
            <w:shd w:val="clear" w:color="auto" w:fill="auto"/>
            <w:noWrap/>
            <w:vAlign w:val="bottom"/>
            <w:hideMark/>
          </w:tcPr>
          <w:p w14:paraId="10895BAA" w14:textId="77777777" w:rsidR="003F7395" w:rsidRPr="003F7395" w:rsidRDefault="003F7395" w:rsidP="003F7395">
            <w:pPr>
              <w:spacing w:after="0" w:line="240" w:lineRule="auto"/>
              <w:rPr>
                <w:rFonts w:ascii="Times New Roman" w:eastAsia="Times New Roman" w:hAnsi="Times New Roman" w:cs="Times New Roman"/>
                <w:kern w:val="0"/>
                <w:sz w:val="20"/>
                <w:szCs w:val="20"/>
                <w:lang w:eastAsia="pt-BR"/>
                <w14:ligatures w14:val="none"/>
              </w:rPr>
            </w:pPr>
          </w:p>
        </w:tc>
        <w:tc>
          <w:tcPr>
            <w:tcW w:w="2073" w:type="pct"/>
            <w:gridSpan w:val="6"/>
            <w:tcBorders>
              <w:top w:val="nil"/>
              <w:left w:val="nil"/>
              <w:bottom w:val="single" w:sz="8" w:space="0" w:color="auto"/>
              <w:right w:val="nil"/>
            </w:tcBorders>
            <w:shd w:val="clear" w:color="auto" w:fill="auto"/>
            <w:noWrap/>
            <w:vAlign w:val="center"/>
            <w:hideMark/>
          </w:tcPr>
          <w:p w14:paraId="008E3113" w14:textId="77777777" w:rsidR="003F7395" w:rsidRPr="003F7395" w:rsidRDefault="003F7395" w:rsidP="003F7395">
            <w:pPr>
              <w:spacing w:after="0" w:line="240" w:lineRule="auto"/>
              <w:jc w:val="center"/>
              <w:rPr>
                <w:rFonts w:ascii="Arial" w:eastAsia="Times New Roman" w:hAnsi="Arial" w:cs="Arial"/>
                <w:b/>
                <w:bCs/>
                <w:color w:val="000000"/>
                <w:kern w:val="0"/>
                <w:sz w:val="16"/>
                <w:szCs w:val="16"/>
                <w:lang w:eastAsia="pt-BR"/>
                <w14:ligatures w14:val="none"/>
              </w:rPr>
            </w:pPr>
            <w:r w:rsidRPr="003F7395">
              <w:rPr>
                <w:rFonts w:ascii="Arial" w:eastAsia="Times New Roman" w:hAnsi="Arial" w:cs="Arial"/>
                <w:b/>
                <w:bCs/>
                <w:color w:val="000000"/>
                <w:kern w:val="0"/>
                <w:sz w:val="16"/>
                <w:szCs w:val="16"/>
                <w:lang w:eastAsia="pt-BR"/>
                <w14:ligatures w14:val="none"/>
              </w:rPr>
              <w:t>Trimestres</w:t>
            </w:r>
          </w:p>
        </w:tc>
        <w:tc>
          <w:tcPr>
            <w:tcW w:w="77" w:type="pct"/>
            <w:tcBorders>
              <w:top w:val="nil"/>
              <w:left w:val="nil"/>
              <w:bottom w:val="nil"/>
              <w:right w:val="nil"/>
            </w:tcBorders>
            <w:shd w:val="clear" w:color="auto" w:fill="auto"/>
            <w:noWrap/>
            <w:vAlign w:val="bottom"/>
            <w:hideMark/>
          </w:tcPr>
          <w:p w14:paraId="69FD4EBC" w14:textId="77777777" w:rsidR="003F7395" w:rsidRPr="003F7395" w:rsidRDefault="003F7395" w:rsidP="003F7395">
            <w:pPr>
              <w:spacing w:after="0" w:line="240" w:lineRule="auto"/>
              <w:jc w:val="center"/>
              <w:rPr>
                <w:rFonts w:ascii="Arial" w:eastAsia="Times New Roman" w:hAnsi="Arial" w:cs="Arial"/>
                <w:b/>
                <w:bCs/>
                <w:color w:val="000000"/>
                <w:kern w:val="0"/>
                <w:sz w:val="16"/>
                <w:szCs w:val="16"/>
                <w:lang w:eastAsia="pt-BR"/>
                <w14:ligatures w14:val="none"/>
              </w:rPr>
            </w:pPr>
          </w:p>
        </w:tc>
        <w:tc>
          <w:tcPr>
            <w:tcW w:w="411" w:type="pct"/>
            <w:tcBorders>
              <w:top w:val="nil"/>
              <w:left w:val="nil"/>
              <w:bottom w:val="nil"/>
              <w:right w:val="nil"/>
            </w:tcBorders>
            <w:shd w:val="clear" w:color="auto" w:fill="auto"/>
            <w:noWrap/>
            <w:vAlign w:val="bottom"/>
            <w:hideMark/>
          </w:tcPr>
          <w:p w14:paraId="35C28247" w14:textId="77777777" w:rsidR="003F7395" w:rsidRPr="003F7395" w:rsidRDefault="003F7395" w:rsidP="003F7395">
            <w:pPr>
              <w:spacing w:after="0" w:line="240" w:lineRule="auto"/>
              <w:rPr>
                <w:rFonts w:ascii="Times New Roman" w:eastAsia="Times New Roman" w:hAnsi="Times New Roman" w:cs="Times New Roman"/>
                <w:kern w:val="0"/>
                <w:sz w:val="20"/>
                <w:szCs w:val="20"/>
                <w:lang w:eastAsia="pt-BR"/>
                <w14:ligatures w14:val="none"/>
              </w:rPr>
            </w:pPr>
          </w:p>
        </w:tc>
        <w:tc>
          <w:tcPr>
            <w:tcW w:w="527" w:type="pct"/>
            <w:tcBorders>
              <w:top w:val="nil"/>
              <w:left w:val="nil"/>
              <w:bottom w:val="nil"/>
              <w:right w:val="nil"/>
            </w:tcBorders>
            <w:shd w:val="clear" w:color="auto" w:fill="auto"/>
            <w:noWrap/>
            <w:vAlign w:val="bottom"/>
            <w:hideMark/>
          </w:tcPr>
          <w:p w14:paraId="020CA607" w14:textId="77777777" w:rsidR="003F7395" w:rsidRPr="003F7395" w:rsidRDefault="003F7395" w:rsidP="003F7395">
            <w:pPr>
              <w:spacing w:after="0" w:line="240" w:lineRule="auto"/>
              <w:rPr>
                <w:rFonts w:ascii="Times New Roman" w:eastAsia="Times New Roman" w:hAnsi="Times New Roman" w:cs="Times New Roman"/>
                <w:kern w:val="0"/>
                <w:sz w:val="20"/>
                <w:szCs w:val="20"/>
                <w:lang w:eastAsia="pt-BR"/>
                <w14:ligatures w14:val="none"/>
              </w:rPr>
            </w:pPr>
          </w:p>
        </w:tc>
        <w:tc>
          <w:tcPr>
            <w:tcW w:w="77" w:type="pct"/>
            <w:tcBorders>
              <w:top w:val="nil"/>
              <w:left w:val="nil"/>
              <w:bottom w:val="nil"/>
              <w:right w:val="nil"/>
            </w:tcBorders>
            <w:shd w:val="clear" w:color="auto" w:fill="auto"/>
            <w:noWrap/>
            <w:vAlign w:val="bottom"/>
            <w:hideMark/>
          </w:tcPr>
          <w:p w14:paraId="3A4A11EA" w14:textId="77777777" w:rsidR="003F7395" w:rsidRPr="003F7395" w:rsidRDefault="003F7395" w:rsidP="003F7395">
            <w:pPr>
              <w:spacing w:after="0" w:line="240" w:lineRule="auto"/>
              <w:rPr>
                <w:rFonts w:ascii="Times New Roman" w:eastAsia="Times New Roman" w:hAnsi="Times New Roman" w:cs="Times New Roman"/>
                <w:kern w:val="0"/>
                <w:sz w:val="20"/>
                <w:szCs w:val="20"/>
                <w:lang w:eastAsia="pt-BR"/>
                <w14:ligatures w14:val="none"/>
              </w:rPr>
            </w:pPr>
          </w:p>
        </w:tc>
        <w:tc>
          <w:tcPr>
            <w:tcW w:w="411" w:type="pct"/>
            <w:tcBorders>
              <w:top w:val="nil"/>
              <w:left w:val="nil"/>
              <w:bottom w:val="nil"/>
              <w:right w:val="nil"/>
            </w:tcBorders>
            <w:shd w:val="clear" w:color="auto" w:fill="auto"/>
            <w:noWrap/>
            <w:vAlign w:val="bottom"/>
            <w:hideMark/>
          </w:tcPr>
          <w:p w14:paraId="469E20C4" w14:textId="77777777" w:rsidR="003F7395" w:rsidRPr="003F7395" w:rsidRDefault="003F7395" w:rsidP="003F7395">
            <w:pPr>
              <w:spacing w:after="0" w:line="240" w:lineRule="auto"/>
              <w:rPr>
                <w:rFonts w:ascii="Times New Roman" w:eastAsia="Times New Roman" w:hAnsi="Times New Roman" w:cs="Times New Roman"/>
                <w:kern w:val="0"/>
                <w:sz w:val="20"/>
                <w:szCs w:val="20"/>
                <w:lang w:eastAsia="pt-BR"/>
                <w14:ligatures w14:val="none"/>
              </w:rPr>
            </w:pPr>
          </w:p>
        </w:tc>
      </w:tr>
      <w:tr w:rsidR="003F7395" w:rsidRPr="003F7395" w14:paraId="140230FD" w14:textId="77777777" w:rsidTr="00446A14">
        <w:trPr>
          <w:trHeight w:val="40"/>
        </w:trPr>
        <w:tc>
          <w:tcPr>
            <w:tcW w:w="1423" w:type="pct"/>
            <w:tcBorders>
              <w:top w:val="nil"/>
              <w:left w:val="nil"/>
              <w:bottom w:val="nil"/>
              <w:right w:val="nil"/>
            </w:tcBorders>
            <w:shd w:val="clear" w:color="auto" w:fill="auto"/>
            <w:noWrap/>
            <w:vAlign w:val="bottom"/>
            <w:hideMark/>
          </w:tcPr>
          <w:p w14:paraId="4DA52C8A" w14:textId="77777777" w:rsidR="003F7395" w:rsidRPr="003F7395" w:rsidRDefault="003F7395" w:rsidP="003F7395">
            <w:pPr>
              <w:spacing w:after="0" w:line="240" w:lineRule="auto"/>
              <w:rPr>
                <w:rFonts w:ascii="Times New Roman" w:eastAsia="Times New Roman" w:hAnsi="Times New Roman" w:cs="Times New Roman"/>
                <w:kern w:val="0"/>
                <w:sz w:val="20"/>
                <w:szCs w:val="20"/>
                <w:lang w:eastAsia="pt-BR"/>
                <w14:ligatures w14:val="none"/>
              </w:rPr>
            </w:pPr>
          </w:p>
        </w:tc>
        <w:tc>
          <w:tcPr>
            <w:tcW w:w="410" w:type="pct"/>
            <w:tcBorders>
              <w:top w:val="nil"/>
              <w:left w:val="nil"/>
              <w:bottom w:val="nil"/>
              <w:right w:val="nil"/>
            </w:tcBorders>
            <w:shd w:val="clear" w:color="auto" w:fill="auto"/>
            <w:noWrap/>
            <w:vAlign w:val="bottom"/>
            <w:hideMark/>
          </w:tcPr>
          <w:p w14:paraId="54AA7F66" w14:textId="77777777" w:rsidR="003F7395" w:rsidRPr="003F7395" w:rsidRDefault="003F7395" w:rsidP="003F7395">
            <w:pPr>
              <w:spacing w:after="0" w:line="240" w:lineRule="auto"/>
              <w:rPr>
                <w:rFonts w:ascii="Times New Roman" w:eastAsia="Times New Roman" w:hAnsi="Times New Roman" w:cs="Times New Roman"/>
                <w:kern w:val="0"/>
                <w:sz w:val="20"/>
                <w:szCs w:val="20"/>
                <w:lang w:eastAsia="pt-BR"/>
                <w14:ligatures w14:val="none"/>
              </w:rPr>
            </w:pPr>
          </w:p>
        </w:tc>
        <w:tc>
          <w:tcPr>
            <w:tcW w:w="410" w:type="pct"/>
            <w:tcBorders>
              <w:top w:val="nil"/>
              <w:left w:val="nil"/>
              <w:bottom w:val="nil"/>
              <w:right w:val="nil"/>
            </w:tcBorders>
            <w:shd w:val="clear" w:color="auto" w:fill="auto"/>
            <w:noWrap/>
            <w:vAlign w:val="bottom"/>
            <w:hideMark/>
          </w:tcPr>
          <w:p w14:paraId="2BE66105" w14:textId="77777777" w:rsidR="003F7395" w:rsidRPr="003F7395" w:rsidRDefault="003F7395" w:rsidP="003F7395">
            <w:pPr>
              <w:spacing w:after="0" w:line="240" w:lineRule="auto"/>
              <w:rPr>
                <w:rFonts w:ascii="Times New Roman" w:eastAsia="Times New Roman" w:hAnsi="Times New Roman" w:cs="Times New Roman"/>
                <w:kern w:val="0"/>
                <w:sz w:val="20"/>
                <w:szCs w:val="20"/>
                <w:lang w:eastAsia="pt-BR"/>
                <w14:ligatures w14:val="none"/>
              </w:rPr>
            </w:pPr>
          </w:p>
        </w:tc>
        <w:tc>
          <w:tcPr>
            <w:tcW w:w="410" w:type="pct"/>
            <w:tcBorders>
              <w:top w:val="nil"/>
              <w:left w:val="nil"/>
              <w:bottom w:val="nil"/>
              <w:right w:val="nil"/>
            </w:tcBorders>
            <w:shd w:val="clear" w:color="auto" w:fill="auto"/>
            <w:noWrap/>
            <w:vAlign w:val="bottom"/>
            <w:hideMark/>
          </w:tcPr>
          <w:p w14:paraId="4024C50C" w14:textId="77777777" w:rsidR="003F7395" w:rsidRPr="003F7395" w:rsidRDefault="003F7395" w:rsidP="003F7395">
            <w:pPr>
              <w:spacing w:after="0" w:line="240" w:lineRule="auto"/>
              <w:rPr>
                <w:rFonts w:ascii="Times New Roman" w:eastAsia="Times New Roman" w:hAnsi="Times New Roman" w:cs="Times New Roman"/>
                <w:kern w:val="0"/>
                <w:sz w:val="20"/>
                <w:szCs w:val="20"/>
                <w:lang w:eastAsia="pt-BR"/>
                <w14:ligatures w14:val="none"/>
              </w:rPr>
            </w:pPr>
          </w:p>
        </w:tc>
        <w:tc>
          <w:tcPr>
            <w:tcW w:w="77" w:type="pct"/>
            <w:tcBorders>
              <w:top w:val="nil"/>
              <w:left w:val="nil"/>
              <w:bottom w:val="nil"/>
              <w:right w:val="nil"/>
            </w:tcBorders>
            <w:shd w:val="clear" w:color="auto" w:fill="auto"/>
            <w:noWrap/>
            <w:vAlign w:val="bottom"/>
            <w:hideMark/>
          </w:tcPr>
          <w:p w14:paraId="5DA83B18" w14:textId="77777777" w:rsidR="003F7395" w:rsidRPr="003F7395" w:rsidRDefault="003F7395" w:rsidP="003F7395">
            <w:pPr>
              <w:spacing w:after="0" w:line="240" w:lineRule="auto"/>
              <w:rPr>
                <w:rFonts w:ascii="Times New Roman" w:eastAsia="Times New Roman" w:hAnsi="Times New Roman" w:cs="Times New Roman"/>
                <w:kern w:val="0"/>
                <w:sz w:val="20"/>
                <w:szCs w:val="20"/>
                <w:lang w:eastAsia="pt-BR"/>
                <w14:ligatures w14:val="none"/>
              </w:rPr>
            </w:pPr>
          </w:p>
        </w:tc>
        <w:tc>
          <w:tcPr>
            <w:tcW w:w="360" w:type="pct"/>
            <w:tcBorders>
              <w:top w:val="nil"/>
              <w:left w:val="nil"/>
              <w:bottom w:val="nil"/>
              <w:right w:val="nil"/>
            </w:tcBorders>
            <w:shd w:val="clear" w:color="auto" w:fill="auto"/>
            <w:noWrap/>
            <w:vAlign w:val="bottom"/>
            <w:hideMark/>
          </w:tcPr>
          <w:p w14:paraId="19EFEA7A" w14:textId="77777777" w:rsidR="003F7395" w:rsidRPr="003F7395" w:rsidRDefault="003F7395" w:rsidP="003F7395">
            <w:pPr>
              <w:spacing w:after="0" w:line="240" w:lineRule="auto"/>
              <w:rPr>
                <w:rFonts w:ascii="Times New Roman" w:eastAsia="Times New Roman" w:hAnsi="Times New Roman" w:cs="Times New Roman"/>
                <w:kern w:val="0"/>
                <w:sz w:val="20"/>
                <w:szCs w:val="20"/>
                <w:lang w:eastAsia="pt-BR"/>
                <w14:ligatures w14:val="none"/>
              </w:rPr>
            </w:pPr>
          </w:p>
        </w:tc>
        <w:tc>
          <w:tcPr>
            <w:tcW w:w="407" w:type="pct"/>
            <w:tcBorders>
              <w:top w:val="nil"/>
              <w:left w:val="nil"/>
              <w:bottom w:val="nil"/>
              <w:right w:val="nil"/>
            </w:tcBorders>
            <w:shd w:val="clear" w:color="auto" w:fill="auto"/>
            <w:noWrap/>
            <w:vAlign w:val="bottom"/>
            <w:hideMark/>
          </w:tcPr>
          <w:p w14:paraId="24030D3C" w14:textId="77777777" w:rsidR="003F7395" w:rsidRPr="003F7395" w:rsidRDefault="003F7395" w:rsidP="003F7395">
            <w:pPr>
              <w:spacing w:after="0" w:line="240" w:lineRule="auto"/>
              <w:rPr>
                <w:rFonts w:ascii="Times New Roman" w:eastAsia="Times New Roman" w:hAnsi="Times New Roman" w:cs="Times New Roman"/>
                <w:kern w:val="0"/>
                <w:sz w:val="20"/>
                <w:szCs w:val="20"/>
                <w:lang w:eastAsia="pt-BR"/>
                <w14:ligatures w14:val="none"/>
              </w:rPr>
            </w:pPr>
          </w:p>
        </w:tc>
        <w:tc>
          <w:tcPr>
            <w:tcW w:w="77" w:type="pct"/>
            <w:tcBorders>
              <w:top w:val="nil"/>
              <w:left w:val="nil"/>
              <w:bottom w:val="nil"/>
              <w:right w:val="nil"/>
            </w:tcBorders>
            <w:shd w:val="clear" w:color="auto" w:fill="auto"/>
            <w:noWrap/>
            <w:vAlign w:val="bottom"/>
            <w:hideMark/>
          </w:tcPr>
          <w:p w14:paraId="241F7224" w14:textId="77777777" w:rsidR="003F7395" w:rsidRPr="003F7395" w:rsidRDefault="003F7395" w:rsidP="003F7395">
            <w:pPr>
              <w:spacing w:after="0" w:line="240" w:lineRule="auto"/>
              <w:rPr>
                <w:rFonts w:ascii="Times New Roman" w:eastAsia="Times New Roman" w:hAnsi="Times New Roman" w:cs="Times New Roman"/>
                <w:kern w:val="0"/>
                <w:sz w:val="20"/>
                <w:szCs w:val="20"/>
                <w:lang w:eastAsia="pt-BR"/>
                <w14:ligatures w14:val="none"/>
              </w:rPr>
            </w:pPr>
          </w:p>
        </w:tc>
        <w:tc>
          <w:tcPr>
            <w:tcW w:w="411" w:type="pct"/>
            <w:tcBorders>
              <w:top w:val="nil"/>
              <w:left w:val="nil"/>
              <w:bottom w:val="nil"/>
              <w:right w:val="nil"/>
            </w:tcBorders>
            <w:shd w:val="clear" w:color="auto" w:fill="auto"/>
            <w:noWrap/>
            <w:vAlign w:val="bottom"/>
            <w:hideMark/>
          </w:tcPr>
          <w:p w14:paraId="656AA385" w14:textId="77777777" w:rsidR="003F7395" w:rsidRPr="003F7395" w:rsidRDefault="003F7395" w:rsidP="003F7395">
            <w:pPr>
              <w:spacing w:after="0" w:line="240" w:lineRule="auto"/>
              <w:rPr>
                <w:rFonts w:ascii="Times New Roman" w:eastAsia="Times New Roman" w:hAnsi="Times New Roman" w:cs="Times New Roman"/>
                <w:kern w:val="0"/>
                <w:sz w:val="20"/>
                <w:szCs w:val="20"/>
                <w:lang w:eastAsia="pt-BR"/>
                <w14:ligatures w14:val="none"/>
              </w:rPr>
            </w:pPr>
          </w:p>
        </w:tc>
        <w:tc>
          <w:tcPr>
            <w:tcW w:w="527" w:type="pct"/>
            <w:tcBorders>
              <w:top w:val="nil"/>
              <w:left w:val="nil"/>
              <w:bottom w:val="nil"/>
              <w:right w:val="nil"/>
            </w:tcBorders>
            <w:shd w:val="clear" w:color="auto" w:fill="auto"/>
            <w:noWrap/>
            <w:vAlign w:val="bottom"/>
            <w:hideMark/>
          </w:tcPr>
          <w:p w14:paraId="47101A5B" w14:textId="77777777" w:rsidR="003F7395" w:rsidRPr="003F7395" w:rsidRDefault="003F7395" w:rsidP="003F7395">
            <w:pPr>
              <w:spacing w:after="0" w:line="240" w:lineRule="auto"/>
              <w:rPr>
                <w:rFonts w:ascii="Times New Roman" w:eastAsia="Times New Roman" w:hAnsi="Times New Roman" w:cs="Times New Roman"/>
                <w:kern w:val="0"/>
                <w:sz w:val="20"/>
                <w:szCs w:val="20"/>
                <w:lang w:eastAsia="pt-BR"/>
                <w14:ligatures w14:val="none"/>
              </w:rPr>
            </w:pPr>
          </w:p>
        </w:tc>
        <w:tc>
          <w:tcPr>
            <w:tcW w:w="77" w:type="pct"/>
            <w:tcBorders>
              <w:top w:val="nil"/>
              <w:left w:val="nil"/>
              <w:bottom w:val="nil"/>
              <w:right w:val="nil"/>
            </w:tcBorders>
            <w:shd w:val="clear" w:color="auto" w:fill="auto"/>
            <w:noWrap/>
            <w:vAlign w:val="bottom"/>
            <w:hideMark/>
          </w:tcPr>
          <w:p w14:paraId="4FCFE442" w14:textId="77777777" w:rsidR="003F7395" w:rsidRPr="003F7395" w:rsidRDefault="003F7395" w:rsidP="003F7395">
            <w:pPr>
              <w:spacing w:after="0" w:line="240" w:lineRule="auto"/>
              <w:rPr>
                <w:rFonts w:ascii="Times New Roman" w:eastAsia="Times New Roman" w:hAnsi="Times New Roman" w:cs="Times New Roman"/>
                <w:kern w:val="0"/>
                <w:sz w:val="20"/>
                <w:szCs w:val="20"/>
                <w:lang w:eastAsia="pt-BR"/>
                <w14:ligatures w14:val="none"/>
              </w:rPr>
            </w:pPr>
          </w:p>
        </w:tc>
        <w:tc>
          <w:tcPr>
            <w:tcW w:w="411" w:type="pct"/>
            <w:tcBorders>
              <w:top w:val="nil"/>
              <w:left w:val="nil"/>
              <w:bottom w:val="nil"/>
              <w:right w:val="nil"/>
            </w:tcBorders>
            <w:shd w:val="clear" w:color="auto" w:fill="auto"/>
            <w:noWrap/>
            <w:vAlign w:val="bottom"/>
            <w:hideMark/>
          </w:tcPr>
          <w:p w14:paraId="75749196" w14:textId="77777777" w:rsidR="003F7395" w:rsidRPr="003F7395" w:rsidRDefault="003F7395" w:rsidP="003F7395">
            <w:pPr>
              <w:spacing w:after="0" w:line="240" w:lineRule="auto"/>
              <w:rPr>
                <w:rFonts w:ascii="Times New Roman" w:eastAsia="Times New Roman" w:hAnsi="Times New Roman" w:cs="Times New Roman"/>
                <w:kern w:val="0"/>
                <w:sz w:val="20"/>
                <w:szCs w:val="20"/>
                <w:lang w:eastAsia="pt-BR"/>
                <w14:ligatures w14:val="none"/>
              </w:rPr>
            </w:pPr>
          </w:p>
        </w:tc>
      </w:tr>
      <w:tr w:rsidR="003F7395" w:rsidRPr="003F7395" w14:paraId="44595623" w14:textId="77777777" w:rsidTr="00446A14">
        <w:trPr>
          <w:trHeight w:val="227"/>
        </w:trPr>
        <w:tc>
          <w:tcPr>
            <w:tcW w:w="1423" w:type="pct"/>
            <w:tcBorders>
              <w:top w:val="nil"/>
              <w:left w:val="nil"/>
              <w:bottom w:val="nil"/>
              <w:right w:val="nil"/>
            </w:tcBorders>
            <w:shd w:val="clear" w:color="000000" w:fill="75F6F9"/>
            <w:noWrap/>
            <w:vAlign w:val="bottom"/>
            <w:hideMark/>
          </w:tcPr>
          <w:p w14:paraId="331E1960" w14:textId="77777777" w:rsidR="003F7395" w:rsidRPr="003F7395" w:rsidRDefault="003F7395" w:rsidP="003F7395">
            <w:pPr>
              <w:spacing w:after="0" w:line="240" w:lineRule="auto"/>
              <w:rPr>
                <w:rFonts w:ascii="Arial" w:eastAsia="Times New Roman" w:hAnsi="Arial" w:cs="Arial"/>
                <w:b/>
                <w:bCs/>
                <w:color w:val="000000"/>
                <w:kern w:val="0"/>
                <w:sz w:val="16"/>
                <w:szCs w:val="16"/>
                <w:lang w:eastAsia="pt-BR"/>
                <w14:ligatures w14:val="none"/>
              </w:rPr>
            </w:pPr>
            <w:r w:rsidRPr="003F7395">
              <w:rPr>
                <w:rFonts w:ascii="Arial" w:eastAsia="Times New Roman" w:hAnsi="Arial" w:cs="Arial"/>
                <w:b/>
                <w:bCs/>
                <w:color w:val="000000"/>
                <w:kern w:val="0"/>
                <w:sz w:val="16"/>
                <w:szCs w:val="16"/>
                <w:lang w:eastAsia="pt-BR"/>
                <w14:ligatures w14:val="none"/>
              </w:rPr>
              <w:t>R$ mil</w:t>
            </w:r>
          </w:p>
        </w:tc>
        <w:tc>
          <w:tcPr>
            <w:tcW w:w="410" w:type="pct"/>
            <w:tcBorders>
              <w:top w:val="nil"/>
              <w:left w:val="nil"/>
              <w:bottom w:val="nil"/>
              <w:right w:val="nil"/>
            </w:tcBorders>
            <w:shd w:val="clear" w:color="000000" w:fill="75F6F9"/>
            <w:noWrap/>
            <w:vAlign w:val="center"/>
            <w:hideMark/>
          </w:tcPr>
          <w:p w14:paraId="24C04BF2" w14:textId="77777777" w:rsidR="003F7395" w:rsidRPr="003F7395" w:rsidRDefault="003F7395" w:rsidP="003F7395">
            <w:pPr>
              <w:spacing w:after="0" w:line="240" w:lineRule="auto"/>
              <w:jc w:val="center"/>
              <w:rPr>
                <w:rFonts w:ascii="Arial" w:eastAsia="Times New Roman" w:hAnsi="Arial" w:cs="Arial"/>
                <w:b/>
                <w:bCs/>
                <w:color w:val="000000"/>
                <w:kern w:val="0"/>
                <w:sz w:val="16"/>
                <w:szCs w:val="16"/>
                <w:lang w:eastAsia="pt-BR"/>
                <w14:ligatures w14:val="none"/>
              </w:rPr>
            </w:pPr>
            <w:r w:rsidRPr="003F7395">
              <w:rPr>
                <w:rFonts w:ascii="Arial" w:eastAsia="Times New Roman" w:hAnsi="Arial" w:cs="Arial"/>
                <w:b/>
                <w:bCs/>
                <w:color w:val="000000"/>
                <w:kern w:val="0"/>
                <w:sz w:val="16"/>
                <w:szCs w:val="16"/>
                <w:lang w:eastAsia="pt-BR"/>
                <w14:ligatures w14:val="none"/>
              </w:rPr>
              <w:t>4T23</w:t>
            </w:r>
          </w:p>
        </w:tc>
        <w:tc>
          <w:tcPr>
            <w:tcW w:w="410" w:type="pct"/>
            <w:tcBorders>
              <w:top w:val="nil"/>
              <w:left w:val="nil"/>
              <w:bottom w:val="nil"/>
              <w:right w:val="nil"/>
            </w:tcBorders>
            <w:shd w:val="clear" w:color="000000" w:fill="75F6F9"/>
            <w:noWrap/>
            <w:vAlign w:val="center"/>
            <w:hideMark/>
          </w:tcPr>
          <w:p w14:paraId="002E551D" w14:textId="77777777" w:rsidR="003F7395" w:rsidRPr="003F7395" w:rsidRDefault="003F7395" w:rsidP="003F7395">
            <w:pPr>
              <w:spacing w:after="0" w:line="240" w:lineRule="auto"/>
              <w:jc w:val="center"/>
              <w:rPr>
                <w:rFonts w:ascii="Arial" w:eastAsia="Times New Roman" w:hAnsi="Arial" w:cs="Arial"/>
                <w:b/>
                <w:bCs/>
                <w:color w:val="000000"/>
                <w:kern w:val="0"/>
                <w:sz w:val="16"/>
                <w:szCs w:val="16"/>
                <w:lang w:eastAsia="pt-BR"/>
                <w14:ligatures w14:val="none"/>
              </w:rPr>
            </w:pPr>
            <w:r w:rsidRPr="003F7395">
              <w:rPr>
                <w:rFonts w:ascii="Arial" w:eastAsia="Times New Roman" w:hAnsi="Arial" w:cs="Arial"/>
                <w:b/>
                <w:bCs/>
                <w:color w:val="000000"/>
                <w:kern w:val="0"/>
                <w:sz w:val="16"/>
                <w:szCs w:val="16"/>
                <w:lang w:eastAsia="pt-BR"/>
                <w14:ligatures w14:val="none"/>
              </w:rPr>
              <w:t>4T22</w:t>
            </w:r>
          </w:p>
        </w:tc>
        <w:tc>
          <w:tcPr>
            <w:tcW w:w="410" w:type="pct"/>
            <w:tcBorders>
              <w:top w:val="nil"/>
              <w:left w:val="nil"/>
              <w:bottom w:val="nil"/>
              <w:right w:val="nil"/>
            </w:tcBorders>
            <w:shd w:val="clear" w:color="000000" w:fill="75F6F9"/>
            <w:noWrap/>
            <w:vAlign w:val="center"/>
            <w:hideMark/>
          </w:tcPr>
          <w:p w14:paraId="0C83F6FB" w14:textId="77777777" w:rsidR="003F7395" w:rsidRPr="003F7395" w:rsidRDefault="003F7395" w:rsidP="003F7395">
            <w:pPr>
              <w:spacing w:after="0" w:line="240" w:lineRule="auto"/>
              <w:jc w:val="center"/>
              <w:rPr>
                <w:rFonts w:ascii="Arial" w:eastAsia="Times New Roman" w:hAnsi="Arial" w:cs="Arial"/>
                <w:b/>
                <w:bCs/>
                <w:color w:val="000000"/>
                <w:kern w:val="0"/>
                <w:sz w:val="16"/>
                <w:szCs w:val="16"/>
                <w:lang w:eastAsia="pt-BR"/>
                <w14:ligatures w14:val="none"/>
              </w:rPr>
            </w:pPr>
            <w:r w:rsidRPr="003F7395">
              <w:rPr>
                <w:rFonts w:ascii="Arial" w:eastAsia="Times New Roman" w:hAnsi="Arial" w:cs="Arial"/>
                <w:b/>
                <w:bCs/>
                <w:color w:val="000000"/>
                <w:kern w:val="0"/>
                <w:sz w:val="16"/>
                <w:szCs w:val="16"/>
                <w:lang w:eastAsia="pt-BR"/>
                <w14:ligatures w14:val="none"/>
              </w:rPr>
              <w:t>3T23</w:t>
            </w:r>
          </w:p>
        </w:tc>
        <w:tc>
          <w:tcPr>
            <w:tcW w:w="77" w:type="pct"/>
            <w:tcBorders>
              <w:top w:val="nil"/>
              <w:left w:val="nil"/>
              <w:bottom w:val="nil"/>
              <w:right w:val="nil"/>
            </w:tcBorders>
            <w:shd w:val="clear" w:color="auto" w:fill="auto"/>
            <w:noWrap/>
            <w:vAlign w:val="bottom"/>
            <w:hideMark/>
          </w:tcPr>
          <w:p w14:paraId="3DA6AC90" w14:textId="77777777" w:rsidR="003F7395" w:rsidRPr="003F7395" w:rsidRDefault="003F7395" w:rsidP="003F7395">
            <w:pPr>
              <w:spacing w:after="0" w:line="240" w:lineRule="auto"/>
              <w:jc w:val="center"/>
              <w:rPr>
                <w:rFonts w:ascii="Arial" w:eastAsia="Times New Roman" w:hAnsi="Arial" w:cs="Arial"/>
                <w:b/>
                <w:bCs/>
                <w:color w:val="000000"/>
                <w:kern w:val="0"/>
                <w:sz w:val="16"/>
                <w:szCs w:val="16"/>
                <w:lang w:eastAsia="pt-BR"/>
                <w14:ligatures w14:val="none"/>
              </w:rPr>
            </w:pPr>
          </w:p>
        </w:tc>
        <w:tc>
          <w:tcPr>
            <w:tcW w:w="360" w:type="pct"/>
            <w:tcBorders>
              <w:top w:val="nil"/>
              <w:left w:val="nil"/>
              <w:bottom w:val="nil"/>
              <w:right w:val="nil"/>
            </w:tcBorders>
            <w:shd w:val="clear" w:color="000000" w:fill="75F6F9"/>
            <w:noWrap/>
            <w:vAlign w:val="center"/>
            <w:hideMark/>
          </w:tcPr>
          <w:p w14:paraId="3E36ED11" w14:textId="77777777" w:rsidR="003F7395" w:rsidRPr="003F7395" w:rsidRDefault="003F7395" w:rsidP="003F7395">
            <w:pPr>
              <w:spacing w:after="0" w:line="240" w:lineRule="auto"/>
              <w:jc w:val="center"/>
              <w:rPr>
                <w:rFonts w:ascii="Arial" w:eastAsia="Times New Roman" w:hAnsi="Arial" w:cs="Arial"/>
                <w:b/>
                <w:bCs/>
                <w:color w:val="000000"/>
                <w:kern w:val="0"/>
                <w:sz w:val="16"/>
                <w:szCs w:val="16"/>
                <w:lang w:eastAsia="pt-BR"/>
                <w14:ligatures w14:val="none"/>
              </w:rPr>
            </w:pPr>
            <w:r w:rsidRPr="003F7395">
              <w:rPr>
                <w:rFonts w:ascii="Arial" w:eastAsia="Times New Roman" w:hAnsi="Arial" w:cs="Arial"/>
                <w:b/>
                <w:bCs/>
                <w:color w:val="000000"/>
                <w:kern w:val="0"/>
                <w:sz w:val="16"/>
                <w:szCs w:val="16"/>
                <w:lang w:eastAsia="pt-BR"/>
                <w14:ligatures w14:val="none"/>
              </w:rPr>
              <w:t>Δ Ano</w:t>
            </w:r>
          </w:p>
        </w:tc>
        <w:tc>
          <w:tcPr>
            <w:tcW w:w="407" w:type="pct"/>
            <w:tcBorders>
              <w:top w:val="nil"/>
              <w:left w:val="nil"/>
              <w:bottom w:val="nil"/>
              <w:right w:val="nil"/>
            </w:tcBorders>
            <w:shd w:val="clear" w:color="000000" w:fill="75F6F9"/>
            <w:vAlign w:val="center"/>
            <w:hideMark/>
          </w:tcPr>
          <w:p w14:paraId="5C316AC8" w14:textId="77777777" w:rsidR="003F7395" w:rsidRPr="003F7395" w:rsidRDefault="003F7395" w:rsidP="003F7395">
            <w:pPr>
              <w:spacing w:after="0" w:line="240" w:lineRule="auto"/>
              <w:jc w:val="center"/>
              <w:rPr>
                <w:rFonts w:ascii="Arial" w:eastAsia="Times New Roman" w:hAnsi="Arial" w:cs="Arial"/>
                <w:b/>
                <w:bCs/>
                <w:color w:val="000000"/>
                <w:kern w:val="0"/>
                <w:sz w:val="16"/>
                <w:szCs w:val="16"/>
                <w:lang w:eastAsia="pt-BR"/>
                <w14:ligatures w14:val="none"/>
              </w:rPr>
            </w:pPr>
            <w:r w:rsidRPr="003F7395">
              <w:rPr>
                <w:rFonts w:ascii="Arial" w:eastAsia="Times New Roman" w:hAnsi="Arial" w:cs="Arial"/>
                <w:b/>
                <w:bCs/>
                <w:color w:val="000000"/>
                <w:kern w:val="0"/>
                <w:sz w:val="16"/>
                <w:szCs w:val="16"/>
                <w:lang w:eastAsia="pt-BR"/>
                <w14:ligatures w14:val="none"/>
              </w:rPr>
              <w:t>Δ Trim.</w:t>
            </w:r>
          </w:p>
        </w:tc>
        <w:tc>
          <w:tcPr>
            <w:tcW w:w="77" w:type="pct"/>
            <w:tcBorders>
              <w:top w:val="nil"/>
              <w:left w:val="nil"/>
              <w:bottom w:val="nil"/>
              <w:right w:val="nil"/>
            </w:tcBorders>
            <w:shd w:val="clear" w:color="auto" w:fill="auto"/>
            <w:noWrap/>
            <w:vAlign w:val="bottom"/>
            <w:hideMark/>
          </w:tcPr>
          <w:p w14:paraId="6EDA710A" w14:textId="77777777" w:rsidR="003F7395" w:rsidRPr="003F7395" w:rsidRDefault="003F7395" w:rsidP="003F7395">
            <w:pPr>
              <w:spacing w:after="0" w:line="240" w:lineRule="auto"/>
              <w:jc w:val="center"/>
              <w:rPr>
                <w:rFonts w:ascii="Arial" w:eastAsia="Times New Roman" w:hAnsi="Arial" w:cs="Arial"/>
                <w:b/>
                <w:bCs/>
                <w:color w:val="000000"/>
                <w:kern w:val="0"/>
                <w:sz w:val="16"/>
                <w:szCs w:val="16"/>
                <w:lang w:eastAsia="pt-BR"/>
                <w14:ligatures w14:val="none"/>
              </w:rPr>
            </w:pPr>
          </w:p>
        </w:tc>
        <w:tc>
          <w:tcPr>
            <w:tcW w:w="411" w:type="pct"/>
            <w:tcBorders>
              <w:top w:val="nil"/>
              <w:left w:val="nil"/>
              <w:bottom w:val="nil"/>
              <w:right w:val="nil"/>
            </w:tcBorders>
            <w:shd w:val="clear" w:color="000000" w:fill="75F6F9"/>
            <w:noWrap/>
            <w:vAlign w:val="center"/>
            <w:hideMark/>
          </w:tcPr>
          <w:p w14:paraId="4D2F8C89" w14:textId="77777777" w:rsidR="003F7395" w:rsidRPr="003F7395" w:rsidRDefault="003F7395" w:rsidP="003F7395">
            <w:pPr>
              <w:spacing w:after="0" w:line="240" w:lineRule="auto"/>
              <w:jc w:val="center"/>
              <w:rPr>
                <w:rFonts w:ascii="Arial" w:eastAsia="Times New Roman" w:hAnsi="Arial" w:cs="Arial"/>
                <w:b/>
                <w:bCs/>
                <w:color w:val="000000"/>
                <w:kern w:val="0"/>
                <w:sz w:val="16"/>
                <w:szCs w:val="16"/>
                <w:lang w:eastAsia="pt-BR"/>
                <w14:ligatures w14:val="none"/>
              </w:rPr>
            </w:pPr>
            <w:r w:rsidRPr="003F7395">
              <w:rPr>
                <w:rFonts w:ascii="Arial" w:eastAsia="Times New Roman" w:hAnsi="Arial" w:cs="Arial"/>
                <w:b/>
                <w:bCs/>
                <w:color w:val="000000"/>
                <w:kern w:val="0"/>
                <w:sz w:val="16"/>
                <w:szCs w:val="16"/>
                <w:lang w:eastAsia="pt-BR"/>
                <w14:ligatures w14:val="none"/>
              </w:rPr>
              <w:t>2023</w:t>
            </w:r>
          </w:p>
        </w:tc>
        <w:tc>
          <w:tcPr>
            <w:tcW w:w="527" w:type="pct"/>
            <w:tcBorders>
              <w:top w:val="nil"/>
              <w:left w:val="nil"/>
              <w:bottom w:val="nil"/>
              <w:right w:val="nil"/>
            </w:tcBorders>
            <w:shd w:val="clear" w:color="000000" w:fill="75F6F9"/>
            <w:noWrap/>
            <w:vAlign w:val="center"/>
            <w:hideMark/>
          </w:tcPr>
          <w:p w14:paraId="342F4002" w14:textId="77777777" w:rsidR="003F7395" w:rsidRPr="003F7395" w:rsidRDefault="003F7395" w:rsidP="003F7395">
            <w:pPr>
              <w:spacing w:after="0" w:line="240" w:lineRule="auto"/>
              <w:jc w:val="center"/>
              <w:rPr>
                <w:rFonts w:ascii="Arial" w:eastAsia="Times New Roman" w:hAnsi="Arial" w:cs="Arial"/>
                <w:b/>
                <w:bCs/>
                <w:color w:val="000000"/>
                <w:kern w:val="0"/>
                <w:sz w:val="16"/>
                <w:szCs w:val="16"/>
                <w:lang w:eastAsia="pt-BR"/>
                <w14:ligatures w14:val="none"/>
              </w:rPr>
            </w:pPr>
            <w:r w:rsidRPr="003F7395">
              <w:rPr>
                <w:rFonts w:ascii="Arial" w:eastAsia="Times New Roman" w:hAnsi="Arial" w:cs="Arial"/>
                <w:b/>
                <w:bCs/>
                <w:color w:val="000000"/>
                <w:kern w:val="0"/>
                <w:sz w:val="16"/>
                <w:szCs w:val="16"/>
                <w:lang w:eastAsia="pt-BR"/>
                <w14:ligatures w14:val="none"/>
              </w:rPr>
              <w:t>2022</w:t>
            </w:r>
          </w:p>
        </w:tc>
        <w:tc>
          <w:tcPr>
            <w:tcW w:w="77" w:type="pct"/>
            <w:tcBorders>
              <w:top w:val="nil"/>
              <w:left w:val="nil"/>
              <w:bottom w:val="nil"/>
              <w:right w:val="nil"/>
            </w:tcBorders>
            <w:shd w:val="clear" w:color="auto" w:fill="auto"/>
            <w:noWrap/>
            <w:vAlign w:val="center"/>
            <w:hideMark/>
          </w:tcPr>
          <w:p w14:paraId="13B75735" w14:textId="77777777" w:rsidR="003F7395" w:rsidRPr="003F7395" w:rsidRDefault="003F7395" w:rsidP="003F7395">
            <w:pPr>
              <w:spacing w:after="0" w:line="240" w:lineRule="auto"/>
              <w:jc w:val="center"/>
              <w:rPr>
                <w:rFonts w:ascii="Arial" w:eastAsia="Times New Roman" w:hAnsi="Arial" w:cs="Arial"/>
                <w:b/>
                <w:bCs/>
                <w:color w:val="000000"/>
                <w:kern w:val="0"/>
                <w:sz w:val="16"/>
                <w:szCs w:val="16"/>
                <w:lang w:eastAsia="pt-BR"/>
                <w14:ligatures w14:val="none"/>
              </w:rPr>
            </w:pPr>
          </w:p>
        </w:tc>
        <w:tc>
          <w:tcPr>
            <w:tcW w:w="411" w:type="pct"/>
            <w:tcBorders>
              <w:top w:val="nil"/>
              <w:left w:val="nil"/>
              <w:bottom w:val="nil"/>
              <w:right w:val="nil"/>
            </w:tcBorders>
            <w:shd w:val="clear" w:color="000000" w:fill="75F6F9"/>
            <w:noWrap/>
            <w:vAlign w:val="center"/>
            <w:hideMark/>
          </w:tcPr>
          <w:p w14:paraId="7B9954DB" w14:textId="77777777" w:rsidR="003F7395" w:rsidRPr="003F7395" w:rsidRDefault="003F7395" w:rsidP="003F7395">
            <w:pPr>
              <w:spacing w:after="0" w:line="240" w:lineRule="auto"/>
              <w:jc w:val="center"/>
              <w:rPr>
                <w:rFonts w:ascii="Arial" w:eastAsia="Times New Roman" w:hAnsi="Arial" w:cs="Arial"/>
                <w:b/>
                <w:bCs/>
                <w:color w:val="000000"/>
                <w:kern w:val="0"/>
                <w:sz w:val="16"/>
                <w:szCs w:val="16"/>
                <w:lang w:eastAsia="pt-BR"/>
                <w14:ligatures w14:val="none"/>
              </w:rPr>
            </w:pPr>
            <w:r w:rsidRPr="003F7395">
              <w:rPr>
                <w:rFonts w:ascii="Arial" w:eastAsia="Times New Roman" w:hAnsi="Arial" w:cs="Arial"/>
                <w:b/>
                <w:bCs/>
                <w:color w:val="000000"/>
                <w:kern w:val="0"/>
                <w:sz w:val="16"/>
                <w:szCs w:val="16"/>
                <w:lang w:eastAsia="pt-BR"/>
                <w14:ligatures w14:val="none"/>
              </w:rPr>
              <w:t>Δ Ano</w:t>
            </w:r>
          </w:p>
        </w:tc>
      </w:tr>
      <w:tr w:rsidR="003F7395" w:rsidRPr="003F7395" w14:paraId="08FE5A94" w14:textId="77777777" w:rsidTr="00446A14">
        <w:trPr>
          <w:trHeight w:val="227"/>
        </w:trPr>
        <w:tc>
          <w:tcPr>
            <w:tcW w:w="1423" w:type="pct"/>
            <w:tcBorders>
              <w:top w:val="nil"/>
              <w:left w:val="nil"/>
              <w:bottom w:val="nil"/>
              <w:right w:val="nil"/>
            </w:tcBorders>
            <w:shd w:val="clear" w:color="auto" w:fill="auto"/>
            <w:noWrap/>
            <w:vAlign w:val="bottom"/>
            <w:hideMark/>
          </w:tcPr>
          <w:p w14:paraId="324A4ADE" w14:textId="77777777" w:rsidR="003F7395" w:rsidRPr="003F7395" w:rsidRDefault="003F7395" w:rsidP="003F7395">
            <w:pPr>
              <w:spacing w:after="0" w:line="240" w:lineRule="auto"/>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Serviços de Comunicação Multimídia</w:t>
            </w:r>
          </w:p>
        </w:tc>
        <w:tc>
          <w:tcPr>
            <w:tcW w:w="410" w:type="pct"/>
            <w:tcBorders>
              <w:top w:val="nil"/>
              <w:left w:val="nil"/>
              <w:bottom w:val="nil"/>
              <w:right w:val="nil"/>
            </w:tcBorders>
            <w:shd w:val="clear" w:color="000000" w:fill="D9E1F2"/>
            <w:noWrap/>
            <w:vAlign w:val="bottom"/>
            <w:hideMark/>
          </w:tcPr>
          <w:p w14:paraId="6726EB6E"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 xml:space="preserve">    86.104 </w:t>
            </w:r>
          </w:p>
        </w:tc>
        <w:tc>
          <w:tcPr>
            <w:tcW w:w="410" w:type="pct"/>
            <w:tcBorders>
              <w:top w:val="nil"/>
              <w:left w:val="nil"/>
              <w:bottom w:val="nil"/>
              <w:right w:val="nil"/>
            </w:tcBorders>
            <w:shd w:val="clear" w:color="auto" w:fill="auto"/>
            <w:noWrap/>
            <w:vAlign w:val="center"/>
            <w:hideMark/>
          </w:tcPr>
          <w:p w14:paraId="5B22D16C"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 xml:space="preserve">    81.130 </w:t>
            </w:r>
          </w:p>
        </w:tc>
        <w:tc>
          <w:tcPr>
            <w:tcW w:w="410" w:type="pct"/>
            <w:tcBorders>
              <w:top w:val="nil"/>
              <w:left w:val="nil"/>
              <w:bottom w:val="nil"/>
              <w:right w:val="nil"/>
            </w:tcBorders>
            <w:shd w:val="clear" w:color="auto" w:fill="auto"/>
            <w:noWrap/>
            <w:vAlign w:val="bottom"/>
            <w:hideMark/>
          </w:tcPr>
          <w:p w14:paraId="61C8FCBE"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 xml:space="preserve">    95.544 </w:t>
            </w:r>
          </w:p>
        </w:tc>
        <w:tc>
          <w:tcPr>
            <w:tcW w:w="77" w:type="pct"/>
            <w:tcBorders>
              <w:top w:val="nil"/>
              <w:left w:val="nil"/>
              <w:bottom w:val="nil"/>
              <w:right w:val="nil"/>
            </w:tcBorders>
            <w:shd w:val="clear" w:color="auto" w:fill="auto"/>
            <w:noWrap/>
            <w:vAlign w:val="bottom"/>
            <w:hideMark/>
          </w:tcPr>
          <w:p w14:paraId="7694DD10"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p>
        </w:tc>
        <w:tc>
          <w:tcPr>
            <w:tcW w:w="360" w:type="pct"/>
            <w:tcBorders>
              <w:top w:val="nil"/>
              <w:left w:val="nil"/>
              <w:bottom w:val="nil"/>
              <w:right w:val="nil"/>
            </w:tcBorders>
            <w:shd w:val="clear" w:color="auto" w:fill="auto"/>
            <w:vAlign w:val="center"/>
            <w:hideMark/>
          </w:tcPr>
          <w:p w14:paraId="47F19910"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6,1%</w:t>
            </w:r>
          </w:p>
        </w:tc>
        <w:tc>
          <w:tcPr>
            <w:tcW w:w="407" w:type="pct"/>
            <w:tcBorders>
              <w:top w:val="nil"/>
              <w:left w:val="nil"/>
              <w:bottom w:val="nil"/>
              <w:right w:val="nil"/>
            </w:tcBorders>
            <w:shd w:val="clear" w:color="auto" w:fill="auto"/>
            <w:vAlign w:val="center"/>
            <w:hideMark/>
          </w:tcPr>
          <w:p w14:paraId="1A89C42B"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-9,9%</w:t>
            </w:r>
          </w:p>
        </w:tc>
        <w:tc>
          <w:tcPr>
            <w:tcW w:w="77" w:type="pct"/>
            <w:tcBorders>
              <w:top w:val="nil"/>
              <w:left w:val="nil"/>
              <w:bottom w:val="nil"/>
              <w:right w:val="nil"/>
            </w:tcBorders>
            <w:shd w:val="clear" w:color="auto" w:fill="auto"/>
            <w:noWrap/>
            <w:vAlign w:val="bottom"/>
            <w:hideMark/>
          </w:tcPr>
          <w:p w14:paraId="323778CB"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p>
        </w:tc>
        <w:tc>
          <w:tcPr>
            <w:tcW w:w="411" w:type="pct"/>
            <w:tcBorders>
              <w:top w:val="nil"/>
              <w:left w:val="nil"/>
              <w:bottom w:val="nil"/>
              <w:right w:val="nil"/>
            </w:tcBorders>
            <w:shd w:val="clear" w:color="000000" w:fill="D9E1F2"/>
            <w:noWrap/>
            <w:vAlign w:val="bottom"/>
            <w:hideMark/>
          </w:tcPr>
          <w:p w14:paraId="1521CF0D"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 xml:space="preserve">  356.511 </w:t>
            </w:r>
          </w:p>
        </w:tc>
        <w:tc>
          <w:tcPr>
            <w:tcW w:w="527" w:type="pct"/>
            <w:tcBorders>
              <w:top w:val="nil"/>
              <w:left w:val="nil"/>
              <w:bottom w:val="nil"/>
              <w:right w:val="nil"/>
            </w:tcBorders>
            <w:shd w:val="clear" w:color="auto" w:fill="auto"/>
            <w:noWrap/>
            <w:vAlign w:val="bottom"/>
            <w:hideMark/>
          </w:tcPr>
          <w:p w14:paraId="4D10EE41"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 xml:space="preserve">       322.614 </w:t>
            </w:r>
          </w:p>
        </w:tc>
        <w:tc>
          <w:tcPr>
            <w:tcW w:w="77" w:type="pct"/>
            <w:tcBorders>
              <w:top w:val="nil"/>
              <w:left w:val="nil"/>
              <w:bottom w:val="nil"/>
              <w:right w:val="nil"/>
            </w:tcBorders>
            <w:shd w:val="clear" w:color="auto" w:fill="auto"/>
            <w:noWrap/>
            <w:vAlign w:val="bottom"/>
            <w:hideMark/>
          </w:tcPr>
          <w:p w14:paraId="1D9106DC"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p>
        </w:tc>
        <w:tc>
          <w:tcPr>
            <w:tcW w:w="411" w:type="pct"/>
            <w:tcBorders>
              <w:top w:val="nil"/>
              <w:left w:val="nil"/>
              <w:bottom w:val="nil"/>
              <w:right w:val="nil"/>
            </w:tcBorders>
            <w:shd w:val="clear" w:color="auto" w:fill="auto"/>
            <w:vAlign w:val="center"/>
            <w:hideMark/>
          </w:tcPr>
          <w:p w14:paraId="5FC0F831"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10,5%</w:t>
            </w:r>
          </w:p>
        </w:tc>
      </w:tr>
      <w:tr w:rsidR="003F7395" w:rsidRPr="003F7395" w14:paraId="7E03C2E9" w14:textId="77777777" w:rsidTr="00446A14">
        <w:trPr>
          <w:trHeight w:val="227"/>
        </w:trPr>
        <w:tc>
          <w:tcPr>
            <w:tcW w:w="1423" w:type="pct"/>
            <w:tcBorders>
              <w:top w:val="nil"/>
              <w:left w:val="nil"/>
              <w:bottom w:val="nil"/>
              <w:right w:val="nil"/>
            </w:tcBorders>
            <w:shd w:val="clear" w:color="auto" w:fill="auto"/>
            <w:noWrap/>
            <w:vAlign w:val="bottom"/>
            <w:hideMark/>
          </w:tcPr>
          <w:p w14:paraId="20E58D06" w14:textId="77777777" w:rsidR="003F7395" w:rsidRPr="003F7395" w:rsidRDefault="003F7395" w:rsidP="003F7395">
            <w:pPr>
              <w:spacing w:after="0" w:line="240" w:lineRule="auto"/>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Locação de Capacidade Satelital</w:t>
            </w:r>
          </w:p>
        </w:tc>
        <w:tc>
          <w:tcPr>
            <w:tcW w:w="410" w:type="pct"/>
            <w:tcBorders>
              <w:top w:val="nil"/>
              <w:left w:val="nil"/>
              <w:bottom w:val="nil"/>
              <w:right w:val="nil"/>
            </w:tcBorders>
            <w:shd w:val="clear" w:color="000000" w:fill="D9E1F2"/>
            <w:noWrap/>
            <w:vAlign w:val="bottom"/>
            <w:hideMark/>
          </w:tcPr>
          <w:p w14:paraId="215FEDEE"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 xml:space="preserve">      9.121 </w:t>
            </w:r>
          </w:p>
        </w:tc>
        <w:tc>
          <w:tcPr>
            <w:tcW w:w="410" w:type="pct"/>
            <w:tcBorders>
              <w:top w:val="nil"/>
              <w:left w:val="nil"/>
              <w:bottom w:val="nil"/>
              <w:right w:val="nil"/>
            </w:tcBorders>
            <w:shd w:val="clear" w:color="auto" w:fill="auto"/>
            <w:noWrap/>
            <w:vAlign w:val="center"/>
            <w:hideMark/>
          </w:tcPr>
          <w:p w14:paraId="783799A0"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 xml:space="preserve">      9.121 </w:t>
            </w:r>
          </w:p>
        </w:tc>
        <w:tc>
          <w:tcPr>
            <w:tcW w:w="410" w:type="pct"/>
            <w:tcBorders>
              <w:top w:val="nil"/>
              <w:left w:val="nil"/>
              <w:bottom w:val="nil"/>
              <w:right w:val="nil"/>
            </w:tcBorders>
            <w:shd w:val="clear" w:color="auto" w:fill="auto"/>
            <w:noWrap/>
            <w:vAlign w:val="bottom"/>
            <w:hideMark/>
          </w:tcPr>
          <w:p w14:paraId="080D8AFC"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 xml:space="preserve">      9.120 </w:t>
            </w:r>
          </w:p>
        </w:tc>
        <w:tc>
          <w:tcPr>
            <w:tcW w:w="77" w:type="pct"/>
            <w:tcBorders>
              <w:top w:val="nil"/>
              <w:left w:val="nil"/>
              <w:bottom w:val="nil"/>
              <w:right w:val="nil"/>
            </w:tcBorders>
            <w:shd w:val="clear" w:color="auto" w:fill="auto"/>
            <w:noWrap/>
            <w:vAlign w:val="bottom"/>
            <w:hideMark/>
          </w:tcPr>
          <w:p w14:paraId="0A99A2C4"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p>
        </w:tc>
        <w:tc>
          <w:tcPr>
            <w:tcW w:w="360" w:type="pct"/>
            <w:tcBorders>
              <w:top w:val="nil"/>
              <w:left w:val="nil"/>
              <w:bottom w:val="nil"/>
              <w:right w:val="nil"/>
            </w:tcBorders>
            <w:shd w:val="clear" w:color="auto" w:fill="auto"/>
            <w:vAlign w:val="center"/>
            <w:hideMark/>
          </w:tcPr>
          <w:p w14:paraId="4305FC0A"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0,0%</w:t>
            </w:r>
          </w:p>
        </w:tc>
        <w:tc>
          <w:tcPr>
            <w:tcW w:w="407" w:type="pct"/>
            <w:tcBorders>
              <w:top w:val="nil"/>
              <w:left w:val="nil"/>
              <w:bottom w:val="nil"/>
              <w:right w:val="nil"/>
            </w:tcBorders>
            <w:shd w:val="clear" w:color="auto" w:fill="auto"/>
            <w:vAlign w:val="center"/>
            <w:hideMark/>
          </w:tcPr>
          <w:p w14:paraId="57A2E65F"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0,0%</w:t>
            </w:r>
          </w:p>
        </w:tc>
        <w:tc>
          <w:tcPr>
            <w:tcW w:w="77" w:type="pct"/>
            <w:tcBorders>
              <w:top w:val="nil"/>
              <w:left w:val="nil"/>
              <w:bottom w:val="nil"/>
              <w:right w:val="nil"/>
            </w:tcBorders>
            <w:shd w:val="clear" w:color="auto" w:fill="auto"/>
            <w:noWrap/>
            <w:vAlign w:val="bottom"/>
            <w:hideMark/>
          </w:tcPr>
          <w:p w14:paraId="1F6CA314"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p>
        </w:tc>
        <w:tc>
          <w:tcPr>
            <w:tcW w:w="411" w:type="pct"/>
            <w:tcBorders>
              <w:top w:val="nil"/>
              <w:left w:val="nil"/>
              <w:bottom w:val="nil"/>
              <w:right w:val="nil"/>
            </w:tcBorders>
            <w:shd w:val="clear" w:color="000000" w:fill="D9E1F2"/>
            <w:noWrap/>
            <w:vAlign w:val="bottom"/>
            <w:hideMark/>
          </w:tcPr>
          <w:p w14:paraId="25B90491"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 xml:space="preserve">    36.481 </w:t>
            </w:r>
          </w:p>
        </w:tc>
        <w:tc>
          <w:tcPr>
            <w:tcW w:w="527" w:type="pct"/>
            <w:tcBorders>
              <w:top w:val="nil"/>
              <w:left w:val="nil"/>
              <w:bottom w:val="nil"/>
              <w:right w:val="nil"/>
            </w:tcBorders>
            <w:shd w:val="clear" w:color="auto" w:fill="auto"/>
            <w:noWrap/>
            <w:vAlign w:val="bottom"/>
            <w:hideMark/>
          </w:tcPr>
          <w:p w14:paraId="45F10166"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 xml:space="preserve">          36.481 </w:t>
            </w:r>
          </w:p>
        </w:tc>
        <w:tc>
          <w:tcPr>
            <w:tcW w:w="77" w:type="pct"/>
            <w:tcBorders>
              <w:top w:val="nil"/>
              <w:left w:val="nil"/>
              <w:bottom w:val="nil"/>
              <w:right w:val="nil"/>
            </w:tcBorders>
            <w:shd w:val="clear" w:color="auto" w:fill="auto"/>
            <w:noWrap/>
            <w:vAlign w:val="bottom"/>
            <w:hideMark/>
          </w:tcPr>
          <w:p w14:paraId="49CF6DE9"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p>
        </w:tc>
        <w:tc>
          <w:tcPr>
            <w:tcW w:w="411" w:type="pct"/>
            <w:tcBorders>
              <w:top w:val="nil"/>
              <w:left w:val="nil"/>
              <w:bottom w:val="nil"/>
              <w:right w:val="nil"/>
            </w:tcBorders>
            <w:shd w:val="clear" w:color="auto" w:fill="auto"/>
            <w:vAlign w:val="center"/>
            <w:hideMark/>
          </w:tcPr>
          <w:p w14:paraId="35B864E7"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0,0%</w:t>
            </w:r>
          </w:p>
        </w:tc>
      </w:tr>
      <w:tr w:rsidR="003F7395" w:rsidRPr="003F7395" w14:paraId="7A8B7D35" w14:textId="77777777" w:rsidTr="00446A14">
        <w:trPr>
          <w:trHeight w:val="227"/>
        </w:trPr>
        <w:tc>
          <w:tcPr>
            <w:tcW w:w="1423" w:type="pct"/>
            <w:tcBorders>
              <w:top w:val="nil"/>
              <w:left w:val="nil"/>
              <w:bottom w:val="nil"/>
              <w:right w:val="nil"/>
            </w:tcBorders>
            <w:shd w:val="clear" w:color="auto" w:fill="auto"/>
            <w:noWrap/>
            <w:vAlign w:val="bottom"/>
            <w:hideMark/>
          </w:tcPr>
          <w:p w14:paraId="71597268" w14:textId="77777777" w:rsidR="003F7395" w:rsidRPr="003F7395" w:rsidRDefault="003F7395" w:rsidP="003F7395">
            <w:pPr>
              <w:spacing w:after="0" w:line="240" w:lineRule="auto"/>
              <w:rPr>
                <w:rFonts w:ascii="Arial" w:eastAsia="Times New Roman" w:hAnsi="Arial" w:cs="Arial"/>
                <w:color w:val="000000"/>
                <w:kern w:val="0"/>
                <w:sz w:val="16"/>
                <w:szCs w:val="16"/>
                <w:lang w:eastAsia="pt-BR"/>
                <w14:ligatures w14:val="none"/>
              </w:rPr>
            </w:pPr>
            <w:proofErr w:type="gramStart"/>
            <w:r w:rsidRPr="003F7395">
              <w:rPr>
                <w:rFonts w:ascii="Arial" w:eastAsia="Times New Roman" w:hAnsi="Arial" w:cs="Arial"/>
                <w:color w:val="000000"/>
                <w:kern w:val="0"/>
                <w:sz w:val="16"/>
                <w:szCs w:val="16"/>
                <w:lang w:eastAsia="pt-BR"/>
                <w14:ligatures w14:val="none"/>
              </w:rPr>
              <w:t>Alugueis</w:t>
            </w:r>
            <w:proofErr w:type="gramEnd"/>
            <w:r w:rsidRPr="003F7395">
              <w:rPr>
                <w:rFonts w:ascii="Arial" w:eastAsia="Times New Roman" w:hAnsi="Arial" w:cs="Arial"/>
                <w:color w:val="000000"/>
                <w:kern w:val="0"/>
                <w:sz w:val="16"/>
                <w:szCs w:val="16"/>
                <w:lang w:eastAsia="pt-BR"/>
                <w14:ligatures w14:val="none"/>
              </w:rPr>
              <w:t xml:space="preserve"> e Locações - Outras</w:t>
            </w:r>
          </w:p>
        </w:tc>
        <w:tc>
          <w:tcPr>
            <w:tcW w:w="410" w:type="pct"/>
            <w:tcBorders>
              <w:top w:val="nil"/>
              <w:left w:val="nil"/>
              <w:bottom w:val="nil"/>
              <w:right w:val="nil"/>
            </w:tcBorders>
            <w:shd w:val="clear" w:color="000000" w:fill="D9E1F2"/>
            <w:noWrap/>
            <w:vAlign w:val="bottom"/>
            <w:hideMark/>
          </w:tcPr>
          <w:p w14:paraId="0F86F319"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 xml:space="preserve">      5.675 </w:t>
            </w:r>
          </w:p>
        </w:tc>
        <w:tc>
          <w:tcPr>
            <w:tcW w:w="410" w:type="pct"/>
            <w:tcBorders>
              <w:top w:val="nil"/>
              <w:left w:val="nil"/>
              <w:bottom w:val="nil"/>
              <w:right w:val="nil"/>
            </w:tcBorders>
            <w:shd w:val="clear" w:color="auto" w:fill="auto"/>
            <w:noWrap/>
            <w:vAlign w:val="center"/>
            <w:hideMark/>
          </w:tcPr>
          <w:p w14:paraId="4728CE8A"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 xml:space="preserve">      5.488 </w:t>
            </w:r>
          </w:p>
        </w:tc>
        <w:tc>
          <w:tcPr>
            <w:tcW w:w="410" w:type="pct"/>
            <w:tcBorders>
              <w:top w:val="nil"/>
              <w:left w:val="nil"/>
              <w:bottom w:val="nil"/>
              <w:right w:val="nil"/>
            </w:tcBorders>
            <w:shd w:val="clear" w:color="auto" w:fill="auto"/>
            <w:noWrap/>
            <w:vAlign w:val="bottom"/>
            <w:hideMark/>
          </w:tcPr>
          <w:p w14:paraId="0388506A"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 xml:space="preserve">      6.863 </w:t>
            </w:r>
          </w:p>
        </w:tc>
        <w:tc>
          <w:tcPr>
            <w:tcW w:w="77" w:type="pct"/>
            <w:tcBorders>
              <w:top w:val="nil"/>
              <w:left w:val="nil"/>
              <w:bottom w:val="nil"/>
              <w:right w:val="nil"/>
            </w:tcBorders>
            <w:shd w:val="clear" w:color="auto" w:fill="auto"/>
            <w:noWrap/>
            <w:vAlign w:val="bottom"/>
            <w:hideMark/>
          </w:tcPr>
          <w:p w14:paraId="1F81A28A"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p>
        </w:tc>
        <w:tc>
          <w:tcPr>
            <w:tcW w:w="360" w:type="pct"/>
            <w:tcBorders>
              <w:top w:val="nil"/>
              <w:left w:val="nil"/>
              <w:bottom w:val="nil"/>
              <w:right w:val="nil"/>
            </w:tcBorders>
            <w:shd w:val="clear" w:color="auto" w:fill="auto"/>
            <w:vAlign w:val="center"/>
            <w:hideMark/>
          </w:tcPr>
          <w:p w14:paraId="4B454C2B"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3,4%</w:t>
            </w:r>
          </w:p>
        </w:tc>
        <w:tc>
          <w:tcPr>
            <w:tcW w:w="407" w:type="pct"/>
            <w:tcBorders>
              <w:top w:val="nil"/>
              <w:left w:val="nil"/>
              <w:bottom w:val="nil"/>
              <w:right w:val="nil"/>
            </w:tcBorders>
            <w:shd w:val="clear" w:color="auto" w:fill="auto"/>
            <w:vAlign w:val="center"/>
            <w:hideMark/>
          </w:tcPr>
          <w:p w14:paraId="3C87E4C3"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-17,3%</w:t>
            </w:r>
          </w:p>
        </w:tc>
        <w:tc>
          <w:tcPr>
            <w:tcW w:w="77" w:type="pct"/>
            <w:tcBorders>
              <w:top w:val="nil"/>
              <w:left w:val="nil"/>
              <w:bottom w:val="nil"/>
              <w:right w:val="nil"/>
            </w:tcBorders>
            <w:shd w:val="clear" w:color="auto" w:fill="auto"/>
            <w:noWrap/>
            <w:vAlign w:val="bottom"/>
            <w:hideMark/>
          </w:tcPr>
          <w:p w14:paraId="445FF032"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p>
        </w:tc>
        <w:tc>
          <w:tcPr>
            <w:tcW w:w="411" w:type="pct"/>
            <w:tcBorders>
              <w:top w:val="nil"/>
              <w:left w:val="nil"/>
              <w:bottom w:val="nil"/>
              <w:right w:val="nil"/>
            </w:tcBorders>
            <w:shd w:val="clear" w:color="000000" w:fill="D9E1F2"/>
            <w:noWrap/>
            <w:vAlign w:val="bottom"/>
            <w:hideMark/>
          </w:tcPr>
          <w:p w14:paraId="2F8E8276"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 xml:space="preserve">    24.851 </w:t>
            </w:r>
          </w:p>
        </w:tc>
        <w:tc>
          <w:tcPr>
            <w:tcW w:w="527" w:type="pct"/>
            <w:tcBorders>
              <w:top w:val="nil"/>
              <w:left w:val="nil"/>
              <w:bottom w:val="nil"/>
              <w:right w:val="nil"/>
            </w:tcBorders>
            <w:shd w:val="clear" w:color="auto" w:fill="auto"/>
            <w:noWrap/>
            <w:vAlign w:val="bottom"/>
            <w:hideMark/>
          </w:tcPr>
          <w:p w14:paraId="092FA99C"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 xml:space="preserve">          22.056 </w:t>
            </w:r>
          </w:p>
        </w:tc>
        <w:tc>
          <w:tcPr>
            <w:tcW w:w="77" w:type="pct"/>
            <w:tcBorders>
              <w:top w:val="nil"/>
              <w:left w:val="nil"/>
              <w:bottom w:val="nil"/>
              <w:right w:val="nil"/>
            </w:tcBorders>
            <w:shd w:val="clear" w:color="auto" w:fill="auto"/>
            <w:noWrap/>
            <w:vAlign w:val="bottom"/>
            <w:hideMark/>
          </w:tcPr>
          <w:p w14:paraId="048A76C1"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p>
        </w:tc>
        <w:tc>
          <w:tcPr>
            <w:tcW w:w="411" w:type="pct"/>
            <w:tcBorders>
              <w:top w:val="nil"/>
              <w:left w:val="nil"/>
              <w:bottom w:val="nil"/>
              <w:right w:val="nil"/>
            </w:tcBorders>
            <w:shd w:val="clear" w:color="auto" w:fill="auto"/>
            <w:vAlign w:val="center"/>
            <w:hideMark/>
          </w:tcPr>
          <w:p w14:paraId="4EFA7C9D"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12,7%</w:t>
            </w:r>
          </w:p>
        </w:tc>
      </w:tr>
      <w:tr w:rsidR="003F7395" w:rsidRPr="003F7395" w14:paraId="7930FE16" w14:textId="77777777" w:rsidTr="00446A14">
        <w:trPr>
          <w:trHeight w:val="227"/>
        </w:trPr>
        <w:tc>
          <w:tcPr>
            <w:tcW w:w="1423" w:type="pct"/>
            <w:tcBorders>
              <w:top w:val="nil"/>
              <w:left w:val="nil"/>
              <w:bottom w:val="nil"/>
              <w:right w:val="nil"/>
            </w:tcBorders>
            <w:shd w:val="clear" w:color="auto" w:fill="auto"/>
            <w:noWrap/>
            <w:vAlign w:val="bottom"/>
            <w:hideMark/>
          </w:tcPr>
          <w:p w14:paraId="544F42DA" w14:textId="77777777" w:rsidR="003F7395" w:rsidRPr="003F7395" w:rsidRDefault="003F7395" w:rsidP="003F7395">
            <w:pPr>
              <w:spacing w:after="0" w:line="240" w:lineRule="auto"/>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Compartilhamento de Receita</w:t>
            </w:r>
          </w:p>
        </w:tc>
        <w:tc>
          <w:tcPr>
            <w:tcW w:w="410" w:type="pct"/>
            <w:tcBorders>
              <w:top w:val="nil"/>
              <w:left w:val="nil"/>
              <w:bottom w:val="nil"/>
              <w:right w:val="nil"/>
            </w:tcBorders>
            <w:shd w:val="clear" w:color="000000" w:fill="D9E1F2"/>
            <w:noWrap/>
            <w:vAlign w:val="bottom"/>
            <w:hideMark/>
          </w:tcPr>
          <w:p w14:paraId="7FC494E9"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 xml:space="preserve">      2.078 </w:t>
            </w:r>
          </w:p>
        </w:tc>
        <w:tc>
          <w:tcPr>
            <w:tcW w:w="410" w:type="pct"/>
            <w:tcBorders>
              <w:top w:val="nil"/>
              <w:left w:val="nil"/>
              <w:bottom w:val="nil"/>
              <w:right w:val="nil"/>
            </w:tcBorders>
            <w:shd w:val="clear" w:color="auto" w:fill="auto"/>
            <w:noWrap/>
            <w:vAlign w:val="center"/>
            <w:hideMark/>
          </w:tcPr>
          <w:p w14:paraId="3391A82E"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 xml:space="preserve">      3.633 </w:t>
            </w:r>
          </w:p>
        </w:tc>
        <w:tc>
          <w:tcPr>
            <w:tcW w:w="410" w:type="pct"/>
            <w:tcBorders>
              <w:top w:val="nil"/>
              <w:left w:val="nil"/>
              <w:bottom w:val="nil"/>
              <w:right w:val="nil"/>
            </w:tcBorders>
            <w:shd w:val="clear" w:color="auto" w:fill="auto"/>
            <w:noWrap/>
            <w:vAlign w:val="bottom"/>
            <w:hideMark/>
          </w:tcPr>
          <w:p w14:paraId="75EDB829"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 xml:space="preserve">      5.994 </w:t>
            </w:r>
          </w:p>
        </w:tc>
        <w:tc>
          <w:tcPr>
            <w:tcW w:w="77" w:type="pct"/>
            <w:tcBorders>
              <w:top w:val="nil"/>
              <w:left w:val="nil"/>
              <w:bottom w:val="nil"/>
              <w:right w:val="nil"/>
            </w:tcBorders>
            <w:shd w:val="clear" w:color="auto" w:fill="auto"/>
            <w:noWrap/>
            <w:vAlign w:val="bottom"/>
            <w:hideMark/>
          </w:tcPr>
          <w:p w14:paraId="3BBEF9BA"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p>
        </w:tc>
        <w:tc>
          <w:tcPr>
            <w:tcW w:w="360" w:type="pct"/>
            <w:tcBorders>
              <w:top w:val="nil"/>
              <w:left w:val="nil"/>
              <w:bottom w:val="nil"/>
              <w:right w:val="nil"/>
            </w:tcBorders>
            <w:shd w:val="clear" w:color="auto" w:fill="auto"/>
            <w:vAlign w:val="center"/>
            <w:hideMark/>
          </w:tcPr>
          <w:p w14:paraId="287F1FBA"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-42,8%</w:t>
            </w:r>
          </w:p>
        </w:tc>
        <w:tc>
          <w:tcPr>
            <w:tcW w:w="407" w:type="pct"/>
            <w:tcBorders>
              <w:top w:val="nil"/>
              <w:left w:val="nil"/>
              <w:bottom w:val="nil"/>
              <w:right w:val="nil"/>
            </w:tcBorders>
            <w:shd w:val="clear" w:color="auto" w:fill="auto"/>
            <w:vAlign w:val="center"/>
            <w:hideMark/>
          </w:tcPr>
          <w:p w14:paraId="2FF0DD2A"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-65,3%</w:t>
            </w:r>
          </w:p>
        </w:tc>
        <w:tc>
          <w:tcPr>
            <w:tcW w:w="77" w:type="pct"/>
            <w:tcBorders>
              <w:top w:val="nil"/>
              <w:left w:val="nil"/>
              <w:bottom w:val="nil"/>
              <w:right w:val="nil"/>
            </w:tcBorders>
            <w:shd w:val="clear" w:color="auto" w:fill="auto"/>
            <w:noWrap/>
            <w:vAlign w:val="bottom"/>
            <w:hideMark/>
          </w:tcPr>
          <w:p w14:paraId="46616FBF"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p>
        </w:tc>
        <w:tc>
          <w:tcPr>
            <w:tcW w:w="411" w:type="pct"/>
            <w:tcBorders>
              <w:top w:val="nil"/>
              <w:left w:val="nil"/>
              <w:bottom w:val="nil"/>
              <w:right w:val="nil"/>
            </w:tcBorders>
            <w:shd w:val="clear" w:color="000000" w:fill="D9E1F2"/>
            <w:noWrap/>
            <w:vAlign w:val="bottom"/>
            <w:hideMark/>
          </w:tcPr>
          <w:p w14:paraId="2308C3E9"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 xml:space="preserve">    19.640 </w:t>
            </w:r>
          </w:p>
        </w:tc>
        <w:tc>
          <w:tcPr>
            <w:tcW w:w="527" w:type="pct"/>
            <w:tcBorders>
              <w:top w:val="nil"/>
              <w:left w:val="nil"/>
              <w:bottom w:val="nil"/>
              <w:right w:val="nil"/>
            </w:tcBorders>
            <w:shd w:val="clear" w:color="auto" w:fill="auto"/>
            <w:noWrap/>
            <w:vAlign w:val="bottom"/>
            <w:hideMark/>
          </w:tcPr>
          <w:p w14:paraId="22508D19"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 xml:space="preserve">          15.463 </w:t>
            </w:r>
          </w:p>
        </w:tc>
        <w:tc>
          <w:tcPr>
            <w:tcW w:w="77" w:type="pct"/>
            <w:tcBorders>
              <w:top w:val="nil"/>
              <w:left w:val="nil"/>
              <w:bottom w:val="nil"/>
              <w:right w:val="nil"/>
            </w:tcBorders>
            <w:shd w:val="clear" w:color="auto" w:fill="auto"/>
            <w:noWrap/>
            <w:vAlign w:val="bottom"/>
            <w:hideMark/>
          </w:tcPr>
          <w:p w14:paraId="0741CE8E"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p>
        </w:tc>
        <w:tc>
          <w:tcPr>
            <w:tcW w:w="411" w:type="pct"/>
            <w:tcBorders>
              <w:top w:val="nil"/>
              <w:left w:val="nil"/>
              <w:bottom w:val="nil"/>
              <w:right w:val="nil"/>
            </w:tcBorders>
            <w:shd w:val="clear" w:color="auto" w:fill="auto"/>
            <w:vAlign w:val="center"/>
            <w:hideMark/>
          </w:tcPr>
          <w:p w14:paraId="029DC23B"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27,0%</w:t>
            </w:r>
          </w:p>
        </w:tc>
      </w:tr>
      <w:tr w:rsidR="003F7395" w:rsidRPr="003F7395" w14:paraId="320C2252" w14:textId="77777777" w:rsidTr="00446A14">
        <w:trPr>
          <w:trHeight w:val="227"/>
        </w:trPr>
        <w:tc>
          <w:tcPr>
            <w:tcW w:w="1423" w:type="pct"/>
            <w:tcBorders>
              <w:top w:val="nil"/>
              <w:left w:val="nil"/>
              <w:bottom w:val="nil"/>
              <w:right w:val="nil"/>
            </w:tcBorders>
            <w:shd w:val="clear" w:color="auto" w:fill="auto"/>
            <w:noWrap/>
            <w:vAlign w:val="bottom"/>
            <w:hideMark/>
          </w:tcPr>
          <w:p w14:paraId="67909C16" w14:textId="77777777" w:rsidR="003F7395" w:rsidRPr="003F7395" w:rsidRDefault="003F7395" w:rsidP="003F7395">
            <w:pPr>
              <w:spacing w:after="0" w:line="240" w:lineRule="auto"/>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Serviços de Valor Adicionado</w:t>
            </w:r>
          </w:p>
        </w:tc>
        <w:tc>
          <w:tcPr>
            <w:tcW w:w="410" w:type="pct"/>
            <w:tcBorders>
              <w:top w:val="nil"/>
              <w:left w:val="nil"/>
              <w:bottom w:val="nil"/>
              <w:right w:val="nil"/>
            </w:tcBorders>
            <w:shd w:val="clear" w:color="000000" w:fill="D9E1F2"/>
            <w:noWrap/>
            <w:vAlign w:val="bottom"/>
            <w:hideMark/>
          </w:tcPr>
          <w:p w14:paraId="31C0DFC5"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 xml:space="preserve">    12.185 </w:t>
            </w:r>
          </w:p>
        </w:tc>
        <w:tc>
          <w:tcPr>
            <w:tcW w:w="410" w:type="pct"/>
            <w:tcBorders>
              <w:top w:val="nil"/>
              <w:left w:val="nil"/>
              <w:bottom w:val="nil"/>
              <w:right w:val="nil"/>
            </w:tcBorders>
            <w:shd w:val="clear" w:color="auto" w:fill="auto"/>
            <w:noWrap/>
            <w:vAlign w:val="center"/>
            <w:hideMark/>
          </w:tcPr>
          <w:p w14:paraId="4F5551FF"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 xml:space="preserve">             -   </w:t>
            </w:r>
          </w:p>
        </w:tc>
        <w:tc>
          <w:tcPr>
            <w:tcW w:w="410" w:type="pct"/>
            <w:tcBorders>
              <w:top w:val="nil"/>
              <w:left w:val="nil"/>
              <w:bottom w:val="nil"/>
              <w:right w:val="nil"/>
            </w:tcBorders>
            <w:shd w:val="clear" w:color="auto" w:fill="auto"/>
            <w:noWrap/>
            <w:vAlign w:val="bottom"/>
            <w:hideMark/>
          </w:tcPr>
          <w:p w14:paraId="17377DC7"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 xml:space="preserve">         987 </w:t>
            </w:r>
          </w:p>
        </w:tc>
        <w:tc>
          <w:tcPr>
            <w:tcW w:w="77" w:type="pct"/>
            <w:tcBorders>
              <w:top w:val="nil"/>
              <w:left w:val="nil"/>
              <w:bottom w:val="nil"/>
              <w:right w:val="nil"/>
            </w:tcBorders>
            <w:shd w:val="clear" w:color="auto" w:fill="auto"/>
            <w:noWrap/>
            <w:vAlign w:val="bottom"/>
            <w:hideMark/>
          </w:tcPr>
          <w:p w14:paraId="46E1027A"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p>
        </w:tc>
        <w:tc>
          <w:tcPr>
            <w:tcW w:w="360" w:type="pct"/>
            <w:tcBorders>
              <w:top w:val="nil"/>
              <w:left w:val="nil"/>
              <w:bottom w:val="nil"/>
              <w:right w:val="nil"/>
            </w:tcBorders>
            <w:shd w:val="clear" w:color="auto" w:fill="auto"/>
            <w:vAlign w:val="center"/>
            <w:hideMark/>
          </w:tcPr>
          <w:p w14:paraId="4128CB3A"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100,0%</w:t>
            </w:r>
          </w:p>
        </w:tc>
        <w:tc>
          <w:tcPr>
            <w:tcW w:w="407" w:type="pct"/>
            <w:tcBorders>
              <w:top w:val="nil"/>
              <w:left w:val="nil"/>
              <w:bottom w:val="nil"/>
              <w:right w:val="nil"/>
            </w:tcBorders>
            <w:shd w:val="clear" w:color="auto" w:fill="auto"/>
            <w:vAlign w:val="center"/>
            <w:hideMark/>
          </w:tcPr>
          <w:p w14:paraId="55093FCB"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1134,5%</w:t>
            </w:r>
          </w:p>
        </w:tc>
        <w:tc>
          <w:tcPr>
            <w:tcW w:w="77" w:type="pct"/>
            <w:tcBorders>
              <w:top w:val="nil"/>
              <w:left w:val="nil"/>
              <w:bottom w:val="nil"/>
              <w:right w:val="nil"/>
            </w:tcBorders>
            <w:shd w:val="clear" w:color="auto" w:fill="auto"/>
            <w:noWrap/>
            <w:vAlign w:val="bottom"/>
            <w:hideMark/>
          </w:tcPr>
          <w:p w14:paraId="5EE132C6"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p>
        </w:tc>
        <w:tc>
          <w:tcPr>
            <w:tcW w:w="411" w:type="pct"/>
            <w:tcBorders>
              <w:top w:val="nil"/>
              <w:left w:val="nil"/>
              <w:bottom w:val="nil"/>
              <w:right w:val="nil"/>
            </w:tcBorders>
            <w:shd w:val="clear" w:color="000000" w:fill="D9E1F2"/>
            <w:noWrap/>
            <w:vAlign w:val="bottom"/>
            <w:hideMark/>
          </w:tcPr>
          <w:p w14:paraId="0065C294"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 xml:space="preserve">    18.073 </w:t>
            </w:r>
          </w:p>
        </w:tc>
        <w:tc>
          <w:tcPr>
            <w:tcW w:w="527" w:type="pct"/>
            <w:tcBorders>
              <w:top w:val="nil"/>
              <w:left w:val="nil"/>
              <w:bottom w:val="nil"/>
              <w:right w:val="nil"/>
            </w:tcBorders>
            <w:shd w:val="clear" w:color="auto" w:fill="auto"/>
            <w:noWrap/>
            <w:vAlign w:val="bottom"/>
            <w:hideMark/>
          </w:tcPr>
          <w:p w14:paraId="5AE669C7"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 xml:space="preserve">                 -    </w:t>
            </w:r>
          </w:p>
        </w:tc>
        <w:tc>
          <w:tcPr>
            <w:tcW w:w="77" w:type="pct"/>
            <w:tcBorders>
              <w:top w:val="nil"/>
              <w:left w:val="nil"/>
              <w:bottom w:val="nil"/>
              <w:right w:val="nil"/>
            </w:tcBorders>
            <w:shd w:val="clear" w:color="auto" w:fill="auto"/>
            <w:noWrap/>
            <w:vAlign w:val="bottom"/>
            <w:hideMark/>
          </w:tcPr>
          <w:p w14:paraId="5474D21B"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p>
        </w:tc>
        <w:tc>
          <w:tcPr>
            <w:tcW w:w="411" w:type="pct"/>
            <w:tcBorders>
              <w:top w:val="nil"/>
              <w:left w:val="nil"/>
              <w:bottom w:val="nil"/>
              <w:right w:val="nil"/>
            </w:tcBorders>
            <w:shd w:val="clear" w:color="auto" w:fill="auto"/>
            <w:vAlign w:val="center"/>
            <w:hideMark/>
          </w:tcPr>
          <w:p w14:paraId="20AD43BB"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100,0%</w:t>
            </w:r>
          </w:p>
        </w:tc>
      </w:tr>
      <w:tr w:rsidR="003F7395" w:rsidRPr="003F7395" w14:paraId="5D662FD1" w14:textId="77777777" w:rsidTr="00446A14">
        <w:trPr>
          <w:trHeight w:val="227"/>
        </w:trPr>
        <w:tc>
          <w:tcPr>
            <w:tcW w:w="1423" w:type="pct"/>
            <w:tcBorders>
              <w:top w:val="nil"/>
              <w:left w:val="nil"/>
              <w:bottom w:val="nil"/>
              <w:right w:val="nil"/>
            </w:tcBorders>
            <w:shd w:val="clear" w:color="auto" w:fill="auto"/>
            <w:noWrap/>
            <w:vAlign w:val="bottom"/>
            <w:hideMark/>
          </w:tcPr>
          <w:p w14:paraId="168D5EE9" w14:textId="77777777" w:rsidR="003F7395" w:rsidRPr="003F7395" w:rsidRDefault="003F7395" w:rsidP="003F7395">
            <w:pPr>
              <w:spacing w:after="0" w:line="240" w:lineRule="auto"/>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Outras Receitas</w:t>
            </w:r>
          </w:p>
        </w:tc>
        <w:tc>
          <w:tcPr>
            <w:tcW w:w="410" w:type="pct"/>
            <w:tcBorders>
              <w:top w:val="nil"/>
              <w:left w:val="nil"/>
              <w:bottom w:val="nil"/>
              <w:right w:val="nil"/>
            </w:tcBorders>
            <w:shd w:val="clear" w:color="000000" w:fill="D9E1F2"/>
            <w:noWrap/>
            <w:vAlign w:val="bottom"/>
            <w:hideMark/>
          </w:tcPr>
          <w:p w14:paraId="487ED02F"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 xml:space="preserve">      6.665 </w:t>
            </w:r>
          </w:p>
        </w:tc>
        <w:tc>
          <w:tcPr>
            <w:tcW w:w="410" w:type="pct"/>
            <w:tcBorders>
              <w:top w:val="nil"/>
              <w:left w:val="nil"/>
              <w:bottom w:val="nil"/>
              <w:right w:val="nil"/>
            </w:tcBorders>
            <w:shd w:val="clear" w:color="auto" w:fill="auto"/>
            <w:noWrap/>
            <w:vAlign w:val="center"/>
            <w:hideMark/>
          </w:tcPr>
          <w:p w14:paraId="4405761D"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 xml:space="preserve">      1.854 </w:t>
            </w:r>
          </w:p>
        </w:tc>
        <w:tc>
          <w:tcPr>
            <w:tcW w:w="410" w:type="pct"/>
            <w:tcBorders>
              <w:top w:val="nil"/>
              <w:left w:val="nil"/>
              <w:bottom w:val="nil"/>
              <w:right w:val="nil"/>
            </w:tcBorders>
            <w:shd w:val="clear" w:color="auto" w:fill="auto"/>
            <w:noWrap/>
            <w:vAlign w:val="bottom"/>
            <w:hideMark/>
          </w:tcPr>
          <w:p w14:paraId="2091049D"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 xml:space="preserve">      3.064 </w:t>
            </w:r>
          </w:p>
        </w:tc>
        <w:tc>
          <w:tcPr>
            <w:tcW w:w="77" w:type="pct"/>
            <w:tcBorders>
              <w:top w:val="nil"/>
              <w:left w:val="nil"/>
              <w:bottom w:val="nil"/>
              <w:right w:val="nil"/>
            </w:tcBorders>
            <w:shd w:val="clear" w:color="auto" w:fill="auto"/>
            <w:noWrap/>
            <w:vAlign w:val="bottom"/>
            <w:hideMark/>
          </w:tcPr>
          <w:p w14:paraId="766AB8D9"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p>
        </w:tc>
        <w:tc>
          <w:tcPr>
            <w:tcW w:w="360" w:type="pct"/>
            <w:tcBorders>
              <w:top w:val="nil"/>
              <w:left w:val="nil"/>
              <w:bottom w:val="nil"/>
              <w:right w:val="nil"/>
            </w:tcBorders>
            <w:shd w:val="clear" w:color="auto" w:fill="auto"/>
            <w:vAlign w:val="center"/>
            <w:hideMark/>
          </w:tcPr>
          <w:p w14:paraId="77425769"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259,5%</w:t>
            </w:r>
          </w:p>
        </w:tc>
        <w:tc>
          <w:tcPr>
            <w:tcW w:w="407" w:type="pct"/>
            <w:tcBorders>
              <w:top w:val="nil"/>
              <w:left w:val="nil"/>
              <w:bottom w:val="nil"/>
              <w:right w:val="nil"/>
            </w:tcBorders>
            <w:shd w:val="clear" w:color="auto" w:fill="auto"/>
            <w:vAlign w:val="center"/>
            <w:hideMark/>
          </w:tcPr>
          <w:p w14:paraId="47205DA4"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117,5%</w:t>
            </w:r>
          </w:p>
        </w:tc>
        <w:tc>
          <w:tcPr>
            <w:tcW w:w="77" w:type="pct"/>
            <w:tcBorders>
              <w:top w:val="nil"/>
              <w:left w:val="nil"/>
              <w:bottom w:val="nil"/>
              <w:right w:val="nil"/>
            </w:tcBorders>
            <w:shd w:val="clear" w:color="auto" w:fill="auto"/>
            <w:noWrap/>
            <w:vAlign w:val="bottom"/>
            <w:hideMark/>
          </w:tcPr>
          <w:p w14:paraId="3FB53837"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p>
        </w:tc>
        <w:tc>
          <w:tcPr>
            <w:tcW w:w="411" w:type="pct"/>
            <w:tcBorders>
              <w:top w:val="nil"/>
              <w:left w:val="nil"/>
              <w:bottom w:val="nil"/>
              <w:right w:val="nil"/>
            </w:tcBorders>
            <w:shd w:val="clear" w:color="000000" w:fill="D9E1F2"/>
            <w:noWrap/>
            <w:vAlign w:val="bottom"/>
            <w:hideMark/>
          </w:tcPr>
          <w:p w14:paraId="263A7571"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 xml:space="preserve">    14.496 </w:t>
            </w:r>
          </w:p>
        </w:tc>
        <w:tc>
          <w:tcPr>
            <w:tcW w:w="527" w:type="pct"/>
            <w:tcBorders>
              <w:top w:val="nil"/>
              <w:left w:val="nil"/>
              <w:bottom w:val="nil"/>
              <w:right w:val="nil"/>
            </w:tcBorders>
            <w:shd w:val="clear" w:color="auto" w:fill="auto"/>
            <w:noWrap/>
            <w:vAlign w:val="bottom"/>
            <w:hideMark/>
          </w:tcPr>
          <w:p w14:paraId="2BB83343"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 xml:space="preserve">            6.888 </w:t>
            </w:r>
          </w:p>
        </w:tc>
        <w:tc>
          <w:tcPr>
            <w:tcW w:w="77" w:type="pct"/>
            <w:tcBorders>
              <w:top w:val="nil"/>
              <w:left w:val="nil"/>
              <w:bottom w:val="nil"/>
              <w:right w:val="nil"/>
            </w:tcBorders>
            <w:shd w:val="clear" w:color="auto" w:fill="auto"/>
            <w:noWrap/>
            <w:vAlign w:val="bottom"/>
            <w:hideMark/>
          </w:tcPr>
          <w:p w14:paraId="5493688E"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p>
        </w:tc>
        <w:tc>
          <w:tcPr>
            <w:tcW w:w="411" w:type="pct"/>
            <w:tcBorders>
              <w:top w:val="nil"/>
              <w:left w:val="nil"/>
              <w:bottom w:val="nil"/>
              <w:right w:val="nil"/>
            </w:tcBorders>
            <w:shd w:val="clear" w:color="auto" w:fill="auto"/>
            <w:vAlign w:val="center"/>
            <w:hideMark/>
          </w:tcPr>
          <w:p w14:paraId="361EF9E9" w14:textId="77777777" w:rsidR="003F7395" w:rsidRPr="003F7395" w:rsidRDefault="003F7395" w:rsidP="003F7395">
            <w:pPr>
              <w:spacing w:after="0" w:line="240" w:lineRule="auto"/>
              <w:jc w:val="right"/>
              <w:rPr>
                <w:rFonts w:ascii="Arial" w:eastAsia="Times New Roman" w:hAnsi="Arial" w:cs="Arial"/>
                <w:color w:val="000000"/>
                <w:kern w:val="0"/>
                <w:sz w:val="16"/>
                <w:szCs w:val="16"/>
                <w:lang w:eastAsia="pt-BR"/>
                <w14:ligatures w14:val="none"/>
              </w:rPr>
            </w:pPr>
            <w:r w:rsidRPr="003F7395">
              <w:rPr>
                <w:rFonts w:ascii="Arial" w:eastAsia="Times New Roman" w:hAnsi="Arial" w:cs="Arial"/>
                <w:color w:val="000000"/>
                <w:kern w:val="0"/>
                <w:sz w:val="16"/>
                <w:szCs w:val="16"/>
                <w:lang w:eastAsia="pt-BR"/>
                <w14:ligatures w14:val="none"/>
              </w:rPr>
              <w:t>110,5%</w:t>
            </w:r>
          </w:p>
        </w:tc>
      </w:tr>
      <w:tr w:rsidR="003F7395" w:rsidRPr="003F7395" w14:paraId="4DC09B48" w14:textId="77777777" w:rsidTr="00446A14">
        <w:trPr>
          <w:trHeight w:val="227"/>
        </w:trPr>
        <w:tc>
          <w:tcPr>
            <w:tcW w:w="1423" w:type="pct"/>
            <w:tcBorders>
              <w:top w:val="nil"/>
              <w:left w:val="nil"/>
              <w:bottom w:val="nil"/>
              <w:right w:val="nil"/>
            </w:tcBorders>
            <w:shd w:val="clear" w:color="000000" w:fill="75F6F9"/>
            <w:noWrap/>
            <w:vAlign w:val="bottom"/>
            <w:hideMark/>
          </w:tcPr>
          <w:p w14:paraId="34454C67" w14:textId="77777777" w:rsidR="003F7395" w:rsidRPr="003F7395" w:rsidRDefault="003F7395" w:rsidP="003F7395">
            <w:pPr>
              <w:spacing w:after="0" w:line="240" w:lineRule="auto"/>
              <w:rPr>
                <w:rFonts w:ascii="Arial" w:eastAsia="Times New Roman" w:hAnsi="Arial" w:cs="Arial"/>
                <w:b/>
                <w:bCs/>
                <w:color w:val="000000"/>
                <w:kern w:val="0"/>
                <w:sz w:val="16"/>
                <w:szCs w:val="16"/>
                <w:lang w:eastAsia="pt-BR"/>
                <w14:ligatures w14:val="none"/>
              </w:rPr>
            </w:pPr>
            <w:r w:rsidRPr="003F7395">
              <w:rPr>
                <w:rFonts w:ascii="Arial" w:eastAsia="Times New Roman" w:hAnsi="Arial" w:cs="Arial"/>
                <w:b/>
                <w:bCs/>
                <w:color w:val="000000"/>
                <w:kern w:val="0"/>
                <w:sz w:val="16"/>
                <w:szCs w:val="16"/>
                <w:lang w:eastAsia="pt-BR"/>
                <w14:ligatures w14:val="none"/>
              </w:rPr>
              <w:t>Receita Operacional Bruta</w:t>
            </w:r>
          </w:p>
        </w:tc>
        <w:tc>
          <w:tcPr>
            <w:tcW w:w="410" w:type="pct"/>
            <w:tcBorders>
              <w:top w:val="nil"/>
              <w:left w:val="nil"/>
              <w:bottom w:val="nil"/>
              <w:right w:val="nil"/>
            </w:tcBorders>
            <w:shd w:val="clear" w:color="000000" w:fill="75F6F9"/>
            <w:noWrap/>
            <w:vAlign w:val="bottom"/>
            <w:hideMark/>
          </w:tcPr>
          <w:p w14:paraId="6190DF56" w14:textId="77777777" w:rsidR="003F7395" w:rsidRPr="003F7395" w:rsidRDefault="003F7395" w:rsidP="003F7395">
            <w:pPr>
              <w:spacing w:after="0" w:line="240" w:lineRule="auto"/>
              <w:jc w:val="right"/>
              <w:rPr>
                <w:rFonts w:ascii="Arial" w:eastAsia="Times New Roman" w:hAnsi="Arial" w:cs="Arial"/>
                <w:b/>
                <w:bCs/>
                <w:color w:val="000000"/>
                <w:kern w:val="0"/>
                <w:sz w:val="16"/>
                <w:szCs w:val="16"/>
                <w:lang w:eastAsia="pt-BR"/>
                <w14:ligatures w14:val="none"/>
              </w:rPr>
            </w:pPr>
            <w:r w:rsidRPr="003F7395">
              <w:rPr>
                <w:rFonts w:ascii="Arial" w:eastAsia="Times New Roman" w:hAnsi="Arial" w:cs="Arial"/>
                <w:b/>
                <w:bCs/>
                <w:color w:val="000000"/>
                <w:kern w:val="0"/>
                <w:sz w:val="16"/>
                <w:szCs w:val="16"/>
                <w:lang w:eastAsia="pt-BR"/>
                <w14:ligatures w14:val="none"/>
              </w:rPr>
              <w:t xml:space="preserve">  121.828 </w:t>
            </w:r>
          </w:p>
        </w:tc>
        <w:tc>
          <w:tcPr>
            <w:tcW w:w="410" w:type="pct"/>
            <w:tcBorders>
              <w:top w:val="nil"/>
              <w:left w:val="nil"/>
              <w:bottom w:val="nil"/>
              <w:right w:val="nil"/>
            </w:tcBorders>
            <w:shd w:val="clear" w:color="000000" w:fill="75F6F9"/>
            <w:noWrap/>
            <w:vAlign w:val="bottom"/>
            <w:hideMark/>
          </w:tcPr>
          <w:p w14:paraId="0DD4D0DE" w14:textId="77777777" w:rsidR="003F7395" w:rsidRPr="003F7395" w:rsidRDefault="003F7395" w:rsidP="003F7395">
            <w:pPr>
              <w:spacing w:after="0" w:line="240" w:lineRule="auto"/>
              <w:jc w:val="right"/>
              <w:rPr>
                <w:rFonts w:ascii="Arial" w:eastAsia="Times New Roman" w:hAnsi="Arial" w:cs="Arial"/>
                <w:b/>
                <w:bCs/>
                <w:color w:val="000000"/>
                <w:kern w:val="0"/>
                <w:sz w:val="16"/>
                <w:szCs w:val="16"/>
                <w:lang w:eastAsia="pt-BR"/>
                <w14:ligatures w14:val="none"/>
              </w:rPr>
            </w:pPr>
            <w:r w:rsidRPr="003F7395">
              <w:rPr>
                <w:rFonts w:ascii="Arial" w:eastAsia="Times New Roman" w:hAnsi="Arial" w:cs="Arial"/>
                <w:b/>
                <w:bCs/>
                <w:color w:val="000000"/>
                <w:kern w:val="0"/>
                <w:sz w:val="16"/>
                <w:szCs w:val="16"/>
                <w:lang w:eastAsia="pt-BR"/>
                <w14:ligatures w14:val="none"/>
              </w:rPr>
              <w:t xml:space="preserve">  101.226 </w:t>
            </w:r>
          </w:p>
        </w:tc>
        <w:tc>
          <w:tcPr>
            <w:tcW w:w="410" w:type="pct"/>
            <w:tcBorders>
              <w:top w:val="nil"/>
              <w:left w:val="nil"/>
              <w:bottom w:val="nil"/>
              <w:right w:val="nil"/>
            </w:tcBorders>
            <w:shd w:val="clear" w:color="000000" w:fill="75F6F9"/>
            <w:noWrap/>
            <w:vAlign w:val="bottom"/>
            <w:hideMark/>
          </w:tcPr>
          <w:p w14:paraId="385D9A55" w14:textId="77777777" w:rsidR="003F7395" w:rsidRPr="003F7395" w:rsidRDefault="003F7395" w:rsidP="003F7395">
            <w:pPr>
              <w:spacing w:after="0" w:line="240" w:lineRule="auto"/>
              <w:jc w:val="right"/>
              <w:rPr>
                <w:rFonts w:ascii="Arial" w:eastAsia="Times New Roman" w:hAnsi="Arial" w:cs="Arial"/>
                <w:b/>
                <w:bCs/>
                <w:color w:val="000000"/>
                <w:kern w:val="0"/>
                <w:sz w:val="16"/>
                <w:szCs w:val="16"/>
                <w:lang w:eastAsia="pt-BR"/>
                <w14:ligatures w14:val="none"/>
              </w:rPr>
            </w:pPr>
            <w:r w:rsidRPr="003F7395">
              <w:rPr>
                <w:rFonts w:ascii="Arial" w:eastAsia="Times New Roman" w:hAnsi="Arial" w:cs="Arial"/>
                <w:b/>
                <w:bCs/>
                <w:color w:val="000000"/>
                <w:kern w:val="0"/>
                <w:sz w:val="16"/>
                <w:szCs w:val="16"/>
                <w:lang w:eastAsia="pt-BR"/>
                <w14:ligatures w14:val="none"/>
              </w:rPr>
              <w:t xml:space="preserve">  121.572 </w:t>
            </w:r>
          </w:p>
        </w:tc>
        <w:tc>
          <w:tcPr>
            <w:tcW w:w="77" w:type="pct"/>
            <w:tcBorders>
              <w:top w:val="nil"/>
              <w:left w:val="nil"/>
              <w:bottom w:val="nil"/>
              <w:right w:val="nil"/>
            </w:tcBorders>
            <w:shd w:val="clear" w:color="auto" w:fill="auto"/>
            <w:noWrap/>
            <w:vAlign w:val="bottom"/>
            <w:hideMark/>
          </w:tcPr>
          <w:p w14:paraId="79F685DE" w14:textId="77777777" w:rsidR="003F7395" w:rsidRPr="003F7395" w:rsidRDefault="003F7395" w:rsidP="003F7395">
            <w:pPr>
              <w:spacing w:after="0" w:line="240" w:lineRule="auto"/>
              <w:jc w:val="right"/>
              <w:rPr>
                <w:rFonts w:ascii="Arial" w:eastAsia="Times New Roman" w:hAnsi="Arial" w:cs="Arial"/>
                <w:b/>
                <w:bCs/>
                <w:color w:val="000000"/>
                <w:kern w:val="0"/>
                <w:sz w:val="16"/>
                <w:szCs w:val="16"/>
                <w:lang w:eastAsia="pt-BR"/>
                <w14:ligatures w14:val="none"/>
              </w:rPr>
            </w:pPr>
          </w:p>
        </w:tc>
        <w:tc>
          <w:tcPr>
            <w:tcW w:w="360" w:type="pct"/>
            <w:tcBorders>
              <w:top w:val="nil"/>
              <w:left w:val="nil"/>
              <w:bottom w:val="nil"/>
              <w:right w:val="nil"/>
            </w:tcBorders>
            <w:shd w:val="clear" w:color="000000" w:fill="75F6F9"/>
            <w:vAlign w:val="center"/>
            <w:hideMark/>
          </w:tcPr>
          <w:p w14:paraId="017A916F" w14:textId="77777777" w:rsidR="003F7395" w:rsidRPr="003F7395" w:rsidRDefault="003F7395" w:rsidP="003F7395">
            <w:pPr>
              <w:spacing w:after="0" w:line="240" w:lineRule="auto"/>
              <w:jc w:val="right"/>
              <w:rPr>
                <w:rFonts w:ascii="Arial" w:eastAsia="Times New Roman" w:hAnsi="Arial" w:cs="Arial"/>
                <w:b/>
                <w:bCs/>
                <w:color w:val="000000"/>
                <w:kern w:val="0"/>
                <w:sz w:val="16"/>
                <w:szCs w:val="16"/>
                <w:lang w:eastAsia="pt-BR"/>
                <w14:ligatures w14:val="none"/>
              </w:rPr>
            </w:pPr>
            <w:r w:rsidRPr="003F7395">
              <w:rPr>
                <w:rFonts w:ascii="Arial" w:eastAsia="Times New Roman" w:hAnsi="Arial" w:cs="Arial"/>
                <w:b/>
                <w:bCs/>
                <w:color w:val="000000"/>
                <w:kern w:val="0"/>
                <w:sz w:val="16"/>
                <w:szCs w:val="16"/>
                <w:lang w:eastAsia="pt-BR"/>
                <w14:ligatures w14:val="none"/>
              </w:rPr>
              <w:t>20,4%</w:t>
            </w:r>
          </w:p>
        </w:tc>
        <w:tc>
          <w:tcPr>
            <w:tcW w:w="407" w:type="pct"/>
            <w:tcBorders>
              <w:top w:val="nil"/>
              <w:left w:val="nil"/>
              <w:bottom w:val="nil"/>
              <w:right w:val="nil"/>
            </w:tcBorders>
            <w:shd w:val="clear" w:color="000000" w:fill="75F6F9"/>
            <w:vAlign w:val="center"/>
            <w:hideMark/>
          </w:tcPr>
          <w:p w14:paraId="562A057F" w14:textId="77777777" w:rsidR="003F7395" w:rsidRPr="003F7395" w:rsidRDefault="003F7395" w:rsidP="003F7395">
            <w:pPr>
              <w:spacing w:after="0" w:line="240" w:lineRule="auto"/>
              <w:jc w:val="right"/>
              <w:rPr>
                <w:rFonts w:ascii="Arial" w:eastAsia="Times New Roman" w:hAnsi="Arial" w:cs="Arial"/>
                <w:b/>
                <w:bCs/>
                <w:color w:val="000000"/>
                <w:kern w:val="0"/>
                <w:sz w:val="16"/>
                <w:szCs w:val="16"/>
                <w:lang w:eastAsia="pt-BR"/>
                <w14:ligatures w14:val="none"/>
              </w:rPr>
            </w:pPr>
            <w:r w:rsidRPr="003F7395">
              <w:rPr>
                <w:rFonts w:ascii="Arial" w:eastAsia="Times New Roman" w:hAnsi="Arial" w:cs="Arial"/>
                <w:b/>
                <w:bCs/>
                <w:color w:val="000000"/>
                <w:kern w:val="0"/>
                <w:sz w:val="16"/>
                <w:szCs w:val="16"/>
                <w:lang w:eastAsia="pt-BR"/>
                <w14:ligatures w14:val="none"/>
              </w:rPr>
              <w:t>0,2%</w:t>
            </w:r>
          </w:p>
        </w:tc>
        <w:tc>
          <w:tcPr>
            <w:tcW w:w="77" w:type="pct"/>
            <w:tcBorders>
              <w:top w:val="nil"/>
              <w:left w:val="nil"/>
              <w:bottom w:val="nil"/>
              <w:right w:val="nil"/>
            </w:tcBorders>
            <w:shd w:val="clear" w:color="auto" w:fill="auto"/>
            <w:noWrap/>
            <w:vAlign w:val="bottom"/>
            <w:hideMark/>
          </w:tcPr>
          <w:p w14:paraId="2521BF7E" w14:textId="77777777" w:rsidR="003F7395" w:rsidRPr="003F7395" w:rsidRDefault="003F7395" w:rsidP="003F7395">
            <w:pPr>
              <w:spacing w:after="0" w:line="240" w:lineRule="auto"/>
              <w:jc w:val="right"/>
              <w:rPr>
                <w:rFonts w:ascii="Arial" w:eastAsia="Times New Roman" w:hAnsi="Arial" w:cs="Arial"/>
                <w:b/>
                <w:bCs/>
                <w:color w:val="000000"/>
                <w:kern w:val="0"/>
                <w:sz w:val="16"/>
                <w:szCs w:val="16"/>
                <w:lang w:eastAsia="pt-BR"/>
                <w14:ligatures w14:val="none"/>
              </w:rPr>
            </w:pPr>
          </w:p>
        </w:tc>
        <w:tc>
          <w:tcPr>
            <w:tcW w:w="411" w:type="pct"/>
            <w:tcBorders>
              <w:top w:val="nil"/>
              <w:left w:val="nil"/>
              <w:bottom w:val="nil"/>
              <w:right w:val="nil"/>
            </w:tcBorders>
            <w:shd w:val="clear" w:color="000000" w:fill="75F6F9"/>
            <w:noWrap/>
            <w:vAlign w:val="bottom"/>
            <w:hideMark/>
          </w:tcPr>
          <w:p w14:paraId="1ABC085D" w14:textId="77777777" w:rsidR="003F7395" w:rsidRPr="003F7395" w:rsidRDefault="003F7395" w:rsidP="003F7395">
            <w:pPr>
              <w:spacing w:after="0" w:line="240" w:lineRule="auto"/>
              <w:jc w:val="right"/>
              <w:rPr>
                <w:rFonts w:ascii="Arial" w:eastAsia="Times New Roman" w:hAnsi="Arial" w:cs="Arial"/>
                <w:b/>
                <w:bCs/>
                <w:color w:val="000000"/>
                <w:kern w:val="0"/>
                <w:sz w:val="16"/>
                <w:szCs w:val="16"/>
                <w:lang w:eastAsia="pt-BR"/>
                <w14:ligatures w14:val="none"/>
              </w:rPr>
            </w:pPr>
            <w:r w:rsidRPr="003F7395">
              <w:rPr>
                <w:rFonts w:ascii="Arial" w:eastAsia="Times New Roman" w:hAnsi="Arial" w:cs="Arial"/>
                <w:b/>
                <w:bCs/>
                <w:color w:val="000000"/>
                <w:kern w:val="0"/>
                <w:sz w:val="16"/>
                <w:szCs w:val="16"/>
                <w:lang w:eastAsia="pt-BR"/>
                <w14:ligatures w14:val="none"/>
              </w:rPr>
              <w:t xml:space="preserve">  470.052 </w:t>
            </w:r>
          </w:p>
        </w:tc>
        <w:tc>
          <w:tcPr>
            <w:tcW w:w="527" w:type="pct"/>
            <w:tcBorders>
              <w:top w:val="nil"/>
              <w:left w:val="nil"/>
              <w:bottom w:val="nil"/>
              <w:right w:val="nil"/>
            </w:tcBorders>
            <w:shd w:val="clear" w:color="000000" w:fill="75F6F9"/>
            <w:noWrap/>
            <w:vAlign w:val="bottom"/>
            <w:hideMark/>
          </w:tcPr>
          <w:p w14:paraId="3A99851E" w14:textId="77777777" w:rsidR="003F7395" w:rsidRPr="003F7395" w:rsidRDefault="003F7395" w:rsidP="003F7395">
            <w:pPr>
              <w:spacing w:after="0" w:line="240" w:lineRule="auto"/>
              <w:jc w:val="right"/>
              <w:rPr>
                <w:rFonts w:ascii="Arial" w:eastAsia="Times New Roman" w:hAnsi="Arial" w:cs="Arial"/>
                <w:b/>
                <w:bCs/>
                <w:color w:val="000000"/>
                <w:kern w:val="0"/>
                <w:sz w:val="16"/>
                <w:szCs w:val="16"/>
                <w:lang w:eastAsia="pt-BR"/>
                <w14:ligatures w14:val="none"/>
              </w:rPr>
            </w:pPr>
            <w:r w:rsidRPr="003F7395">
              <w:rPr>
                <w:rFonts w:ascii="Arial" w:eastAsia="Times New Roman" w:hAnsi="Arial" w:cs="Arial"/>
                <w:b/>
                <w:bCs/>
                <w:color w:val="000000"/>
                <w:kern w:val="0"/>
                <w:sz w:val="16"/>
                <w:szCs w:val="16"/>
                <w:lang w:eastAsia="pt-BR"/>
                <w14:ligatures w14:val="none"/>
              </w:rPr>
              <w:t xml:space="preserve">       403.502 </w:t>
            </w:r>
          </w:p>
        </w:tc>
        <w:tc>
          <w:tcPr>
            <w:tcW w:w="77" w:type="pct"/>
            <w:tcBorders>
              <w:top w:val="nil"/>
              <w:left w:val="nil"/>
              <w:bottom w:val="nil"/>
              <w:right w:val="nil"/>
            </w:tcBorders>
            <w:shd w:val="clear" w:color="auto" w:fill="auto"/>
            <w:noWrap/>
            <w:vAlign w:val="bottom"/>
            <w:hideMark/>
          </w:tcPr>
          <w:p w14:paraId="2E94A59E" w14:textId="77777777" w:rsidR="003F7395" w:rsidRPr="003F7395" w:rsidRDefault="003F7395" w:rsidP="003F7395">
            <w:pPr>
              <w:spacing w:after="0" w:line="240" w:lineRule="auto"/>
              <w:jc w:val="right"/>
              <w:rPr>
                <w:rFonts w:ascii="Arial" w:eastAsia="Times New Roman" w:hAnsi="Arial" w:cs="Arial"/>
                <w:b/>
                <w:bCs/>
                <w:color w:val="000000"/>
                <w:kern w:val="0"/>
                <w:sz w:val="16"/>
                <w:szCs w:val="16"/>
                <w:lang w:eastAsia="pt-BR"/>
                <w14:ligatures w14:val="none"/>
              </w:rPr>
            </w:pPr>
          </w:p>
        </w:tc>
        <w:tc>
          <w:tcPr>
            <w:tcW w:w="411" w:type="pct"/>
            <w:tcBorders>
              <w:top w:val="nil"/>
              <w:left w:val="nil"/>
              <w:bottom w:val="nil"/>
              <w:right w:val="nil"/>
            </w:tcBorders>
            <w:shd w:val="clear" w:color="000000" w:fill="75F6F9"/>
            <w:vAlign w:val="center"/>
            <w:hideMark/>
          </w:tcPr>
          <w:p w14:paraId="17A27073" w14:textId="77777777" w:rsidR="003F7395" w:rsidRPr="003F7395" w:rsidRDefault="003F7395" w:rsidP="003F7395">
            <w:pPr>
              <w:spacing w:after="0" w:line="240" w:lineRule="auto"/>
              <w:jc w:val="right"/>
              <w:rPr>
                <w:rFonts w:ascii="Arial" w:eastAsia="Times New Roman" w:hAnsi="Arial" w:cs="Arial"/>
                <w:b/>
                <w:bCs/>
                <w:color w:val="000000"/>
                <w:kern w:val="0"/>
                <w:sz w:val="16"/>
                <w:szCs w:val="16"/>
                <w:lang w:eastAsia="pt-BR"/>
                <w14:ligatures w14:val="none"/>
              </w:rPr>
            </w:pPr>
            <w:r w:rsidRPr="003F7395">
              <w:rPr>
                <w:rFonts w:ascii="Arial" w:eastAsia="Times New Roman" w:hAnsi="Arial" w:cs="Arial"/>
                <w:b/>
                <w:bCs/>
                <w:color w:val="000000"/>
                <w:kern w:val="0"/>
                <w:sz w:val="16"/>
                <w:szCs w:val="16"/>
                <w:lang w:eastAsia="pt-BR"/>
                <w14:ligatures w14:val="none"/>
              </w:rPr>
              <w:t>16,5%</w:t>
            </w:r>
          </w:p>
        </w:tc>
      </w:tr>
      <w:tr w:rsidR="003F7395" w:rsidRPr="003F7395" w14:paraId="6B67DA32" w14:textId="77777777" w:rsidTr="00446A14">
        <w:trPr>
          <w:trHeight w:val="227"/>
        </w:trPr>
        <w:tc>
          <w:tcPr>
            <w:tcW w:w="1423" w:type="pct"/>
            <w:tcBorders>
              <w:top w:val="single" w:sz="8" w:space="0" w:color="D9E1F2"/>
              <w:left w:val="nil"/>
              <w:bottom w:val="single" w:sz="8" w:space="0" w:color="D9E1F2"/>
              <w:right w:val="nil"/>
            </w:tcBorders>
            <w:shd w:val="clear" w:color="000000" w:fill="75F6F9"/>
            <w:noWrap/>
            <w:vAlign w:val="bottom"/>
            <w:hideMark/>
          </w:tcPr>
          <w:p w14:paraId="7111F923" w14:textId="77777777" w:rsidR="003F7395" w:rsidRPr="003F7395" w:rsidRDefault="003F7395" w:rsidP="003F7395">
            <w:pPr>
              <w:spacing w:after="0" w:line="240" w:lineRule="auto"/>
              <w:rPr>
                <w:rFonts w:ascii="Arial" w:eastAsia="Times New Roman" w:hAnsi="Arial" w:cs="Arial"/>
                <w:b/>
                <w:bCs/>
                <w:color w:val="000000"/>
                <w:kern w:val="0"/>
                <w:sz w:val="16"/>
                <w:szCs w:val="16"/>
                <w:lang w:eastAsia="pt-BR"/>
                <w14:ligatures w14:val="none"/>
              </w:rPr>
            </w:pPr>
            <w:r w:rsidRPr="003F7395">
              <w:rPr>
                <w:rFonts w:ascii="Arial" w:eastAsia="Times New Roman" w:hAnsi="Arial" w:cs="Arial"/>
                <w:b/>
                <w:bCs/>
                <w:color w:val="000000"/>
                <w:kern w:val="0"/>
                <w:sz w:val="16"/>
                <w:szCs w:val="16"/>
                <w:lang w:eastAsia="pt-BR"/>
                <w14:ligatures w14:val="none"/>
              </w:rPr>
              <w:t xml:space="preserve">Deduções da Receita </w:t>
            </w:r>
          </w:p>
        </w:tc>
        <w:tc>
          <w:tcPr>
            <w:tcW w:w="410" w:type="pct"/>
            <w:tcBorders>
              <w:top w:val="single" w:sz="8" w:space="0" w:color="D9E1F2"/>
              <w:left w:val="nil"/>
              <w:bottom w:val="single" w:sz="8" w:space="0" w:color="D9E1F2"/>
              <w:right w:val="nil"/>
            </w:tcBorders>
            <w:shd w:val="clear" w:color="000000" w:fill="75F6F9"/>
            <w:noWrap/>
            <w:vAlign w:val="bottom"/>
            <w:hideMark/>
          </w:tcPr>
          <w:p w14:paraId="598FA7B4" w14:textId="77777777" w:rsidR="003F7395" w:rsidRPr="003F7395" w:rsidRDefault="003F7395" w:rsidP="003F7395">
            <w:pPr>
              <w:spacing w:after="0" w:line="240" w:lineRule="auto"/>
              <w:jc w:val="right"/>
              <w:rPr>
                <w:rFonts w:ascii="Arial" w:eastAsia="Times New Roman" w:hAnsi="Arial" w:cs="Arial"/>
                <w:b/>
                <w:bCs/>
                <w:color w:val="000000"/>
                <w:kern w:val="0"/>
                <w:sz w:val="16"/>
                <w:szCs w:val="16"/>
                <w:lang w:eastAsia="pt-BR"/>
                <w14:ligatures w14:val="none"/>
              </w:rPr>
            </w:pPr>
            <w:r w:rsidRPr="003F7395">
              <w:rPr>
                <w:rFonts w:ascii="Arial" w:eastAsia="Times New Roman" w:hAnsi="Arial" w:cs="Arial"/>
                <w:b/>
                <w:bCs/>
                <w:color w:val="000000"/>
                <w:kern w:val="0"/>
                <w:sz w:val="16"/>
                <w:szCs w:val="16"/>
                <w:lang w:eastAsia="pt-BR"/>
                <w14:ligatures w14:val="none"/>
              </w:rPr>
              <w:t xml:space="preserve">  (12.016)</w:t>
            </w:r>
          </w:p>
        </w:tc>
        <w:tc>
          <w:tcPr>
            <w:tcW w:w="410" w:type="pct"/>
            <w:tcBorders>
              <w:top w:val="single" w:sz="8" w:space="0" w:color="D9E1F2"/>
              <w:left w:val="nil"/>
              <w:bottom w:val="single" w:sz="8" w:space="0" w:color="D9E1F2"/>
              <w:right w:val="nil"/>
            </w:tcBorders>
            <w:shd w:val="clear" w:color="000000" w:fill="75F6F9"/>
            <w:noWrap/>
            <w:vAlign w:val="bottom"/>
            <w:hideMark/>
          </w:tcPr>
          <w:p w14:paraId="7721851F" w14:textId="77777777" w:rsidR="003F7395" w:rsidRPr="003F7395" w:rsidRDefault="003F7395" w:rsidP="003F7395">
            <w:pPr>
              <w:spacing w:after="0" w:line="240" w:lineRule="auto"/>
              <w:jc w:val="right"/>
              <w:rPr>
                <w:rFonts w:ascii="Arial" w:eastAsia="Times New Roman" w:hAnsi="Arial" w:cs="Arial"/>
                <w:b/>
                <w:bCs/>
                <w:color w:val="000000"/>
                <w:kern w:val="0"/>
                <w:sz w:val="16"/>
                <w:szCs w:val="16"/>
                <w:lang w:eastAsia="pt-BR"/>
                <w14:ligatures w14:val="none"/>
              </w:rPr>
            </w:pPr>
            <w:r w:rsidRPr="003F7395">
              <w:rPr>
                <w:rFonts w:ascii="Arial" w:eastAsia="Times New Roman" w:hAnsi="Arial" w:cs="Arial"/>
                <w:b/>
                <w:bCs/>
                <w:color w:val="000000"/>
                <w:kern w:val="0"/>
                <w:sz w:val="16"/>
                <w:szCs w:val="16"/>
                <w:lang w:eastAsia="pt-BR"/>
                <w14:ligatures w14:val="none"/>
              </w:rPr>
              <w:t xml:space="preserve">  (10.858)</w:t>
            </w:r>
          </w:p>
        </w:tc>
        <w:tc>
          <w:tcPr>
            <w:tcW w:w="410" w:type="pct"/>
            <w:tcBorders>
              <w:top w:val="single" w:sz="8" w:space="0" w:color="D9E1F2"/>
              <w:left w:val="nil"/>
              <w:bottom w:val="single" w:sz="8" w:space="0" w:color="D9E1F2"/>
              <w:right w:val="nil"/>
            </w:tcBorders>
            <w:shd w:val="clear" w:color="000000" w:fill="75F6F9"/>
            <w:noWrap/>
            <w:vAlign w:val="bottom"/>
            <w:hideMark/>
          </w:tcPr>
          <w:p w14:paraId="5BFCE335" w14:textId="77777777" w:rsidR="003F7395" w:rsidRPr="003F7395" w:rsidRDefault="003F7395" w:rsidP="003F7395">
            <w:pPr>
              <w:spacing w:after="0" w:line="240" w:lineRule="auto"/>
              <w:jc w:val="right"/>
              <w:rPr>
                <w:rFonts w:ascii="Arial" w:eastAsia="Times New Roman" w:hAnsi="Arial" w:cs="Arial"/>
                <w:b/>
                <w:bCs/>
                <w:color w:val="000000"/>
                <w:kern w:val="0"/>
                <w:sz w:val="16"/>
                <w:szCs w:val="16"/>
                <w:lang w:eastAsia="pt-BR"/>
                <w14:ligatures w14:val="none"/>
              </w:rPr>
            </w:pPr>
            <w:r w:rsidRPr="003F7395">
              <w:rPr>
                <w:rFonts w:ascii="Arial" w:eastAsia="Times New Roman" w:hAnsi="Arial" w:cs="Arial"/>
                <w:b/>
                <w:bCs/>
                <w:color w:val="000000"/>
                <w:kern w:val="0"/>
                <w:sz w:val="16"/>
                <w:szCs w:val="16"/>
                <w:lang w:eastAsia="pt-BR"/>
                <w14:ligatures w14:val="none"/>
              </w:rPr>
              <w:t xml:space="preserve">  (12.821)</w:t>
            </w:r>
          </w:p>
        </w:tc>
        <w:tc>
          <w:tcPr>
            <w:tcW w:w="77" w:type="pct"/>
            <w:tcBorders>
              <w:top w:val="nil"/>
              <w:left w:val="nil"/>
              <w:bottom w:val="nil"/>
              <w:right w:val="nil"/>
            </w:tcBorders>
            <w:shd w:val="clear" w:color="auto" w:fill="auto"/>
            <w:noWrap/>
            <w:vAlign w:val="bottom"/>
            <w:hideMark/>
          </w:tcPr>
          <w:p w14:paraId="0FA5464B" w14:textId="77777777" w:rsidR="003F7395" w:rsidRPr="003F7395" w:rsidRDefault="003F7395" w:rsidP="003F7395">
            <w:pPr>
              <w:spacing w:after="0" w:line="240" w:lineRule="auto"/>
              <w:jc w:val="right"/>
              <w:rPr>
                <w:rFonts w:ascii="Arial" w:eastAsia="Times New Roman" w:hAnsi="Arial" w:cs="Arial"/>
                <w:b/>
                <w:bCs/>
                <w:color w:val="000000"/>
                <w:kern w:val="0"/>
                <w:sz w:val="16"/>
                <w:szCs w:val="16"/>
                <w:lang w:eastAsia="pt-BR"/>
                <w14:ligatures w14:val="none"/>
              </w:rPr>
            </w:pPr>
          </w:p>
        </w:tc>
        <w:tc>
          <w:tcPr>
            <w:tcW w:w="360" w:type="pct"/>
            <w:tcBorders>
              <w:top w:val="single" w:sz="8" w:space="0" w:color="D9E1F2"/>
              <w:left w:val="nil"/>
              <w:bottom w:val="single" w:sz="8" w:space="0" w:color="D9E1F2"/>
              <w:right w:val="nil"/>
            </w:tcBorders>
            <w:shd w:val="clear" w:color="000000" w:fill="75F6F9"/>
            <w:vAlign w:val="center"/>
            <w:hideMark/>
          </w:tcPr>
          <w:p w14:paraId="52865D26" w14:textId="77777777" w:rsidR="003F7395" w:rsidRPr="003F7395" w:rsidRDefault="003F7395" w:rsidP="003F7395">
            <w:pPr>
              <w:spacing w:after="0" w:line="240" w:lineRule="auto"/>
              <w:jc w:val="right"/>
              <w:rPr>
                <w:rFonts w:ascii="Arial" w:eastAsia="Times New Roman" w:hAnsi="Arial" w:cs="Arial"/>
                <w:b/>
                <w:bCs/>
                <w:color w:val="000000"/>
                <w:kern w:val="0"/>
                <w:sz w:val="16"/>
                <w:szCs w:val="16"/>
                <w:lang w:eastAsia="pt-BR"/>
                <w14:ligatures w14:val="none"/>
              </w:rPr>
            </w:pPr>
            <w:r w:rsidRPr="003F7395">
              <w:rPr>
                <w:rFonts w:ascii="Arial" w:eastAsia="Times New Roman" w:hAnsi="Arial" w:cs="Arial"/>
                <w:b/>
                <w:bCs/>
                <w:color w:val="000000"/>
                <w:kern w:val="0"/>
                <w:sz w:val="16"/>
                <w:szCs w:val="16"/>
                <w:lang w:eastAsia="pt-BR"/>
                <w14:ligatures w14:val="none"/>
              </w:rPr>
              <w:t>10,7%</w:t>
            </w:r>
          </w:p>
        </w:tc>
        <w:tc>
          <w:tcPr>
            <w:tcW w:w="407" w:type="pct"/>
            <w:tcBorders>
              <w:top w:val="single" w:sz="8" w:space="0" w:color="D9E1F2"/>
              <w:left w:val="nil"/>
              <w:bottom w:val="single" w:sz="8" w:space="0" w:color="D9E1F2"/>
              <w:right w:val="nil"/>
            </w:tcBorders>
            <w:shd w:val="clear" w:color="000000" w:fill="75F6F9"/>
            <w:vAlign w:val="center"/>
            <w:hideMark/>
          </w:tcPr>
          <w:p w14:paraId="07B05399" w14:textId="77777777" w:rsidR="003F7395" w:rsidRPr="003F7395" w:rsidRDefault="003F7395" w:rsidP="003F7395">
            <w:pPr>
              <w:spacing w:after="0" w:line="240" w:lineRule="auto"/>
              <w:jc w:val="right"/>
              <w:rPr>
                <w:rFonts w:ascii="Arial" w:eastAsia="Times New Roman" w:hAnsi="Arial" w:cs="Arial"/>
                <w:b/>
                <w:bCs/>
                <w:color w:val="000000"/>
                <w:kern w:val="0"/>
                <w:sz w:val="16"/>
                <w:szCs w:val="16"/>
                <w:lang w:eastAsia="pt-BR"/>
                <w14:ligatures w14:val="none"/>
              </w:rPr>
            </w:pPr>
            <w:r w:rsidRPr="003F7395">
              <w:rPr>
                <w:rFonts w:ascii="Arial" w:eastAsia="Times New Roman" w:hAnsi="Arial" w:cs="Arial"/>
                <w:b/>
                <w:bCs/>
                <w:color w:val="000000"/>
                <w:kern w:val="0"/>
                <w:sz w:val="16"/>
                <w:szCs w:val="16"/>
                <w:lang w:eastAsia="pt-BR"/>
                <w14:ligatures w14:val="none"/>
              </w:rPr>
              <w:t>-6,3%</w:t>
            </w:r>
          </w:p>
        </w:tc>
        <w:tc>
          <w:tcPr>
            <w:tcW w:w="77" w:type="pct"/>
            <w:tcBorders>
              <w:top w:val="nil"/>
              <w:left w:val="nil"/>
              <w:bottom w:val="nil"/>
              <w:right w:val="nil"/>
            </w:tcBorders>
            <w:shd w:val="clear" w:color="auto" w:fill="auto"/>
            <w:noWrap/>
            <w:vAlign w:val="bottom"/>
            <w:hideMark/>
          </w:tcPr>
          <w:p w14:paraId="1283D16D" w14:textId="77777777" w:rsidR="003F7395" w:rsidRPr="003F7395" w:rsidRDefault="003F7395" w:rsidP="003F7395">
            <w:pPr>
              <w:spacing w:after="0" w:line="240" w:lineRule="auto"/>
              <w:jc w:val="right"/>
              <w:rPr>
                <w:rFonts w:ascii="Arial" w:eastAsia="Times New Roman" w:hAnsi="Arial" w:cs="Arial"/>
                <w:b/>
                <w:bCs/>
                <w:color w:val="000000"/>
                <w:kern w:val="0"/>
                <w:sz w:val="16"/>
                <w:szCs w:val="16"/>
                <w:lang w:eastAsia="pt-BR"/>
                <w14:ligatures w14:val="none"/>
              </w:rPr>
            </w:pPr>
          </w:p>
        </w:tc>
        <w:tc>
          <w:tcPr>
            <w:tcW w:w="411" w:type="pct"/>
            <w:tcBorders>
              <w:top w:val="single" w:sz="8" w:space="0" w:color="D9E1F2"/>
              <w:left w:val="nil"/>
              <w:bottom w:val="single" w:sz="8" w:space="0" w:color="D9E1F2"/>
              <w:right w:val="nil"/>
            </w:tcBorders>
            <w:shd w:val="clear" w:color="000000" w:fill="75F6F9"/>
            <w:noWrap/>
            <w:vAlign w:val="bottom"/>
            <w:hideMark/>
          </w:tcPr>
          <w:p w14:paraId="660608F4" w14:textId="77777777" w:rsidR="003F7395" w:rsidRPr="003F7395" w:rsidRDefault="003F7395" w:rsidP="003F7395">
            <w:pPr>
              <w:spacing w:after="0" w:line="240" w:lineRule="auto"/>
              <w:jc w:val="right"/>
              <w:rPr>
                <w:rFonts w:ascii="Arial" w:eastAsia="Times New Roman" w:hAnsi="Arial" w:cs="Arial"/>
                <w:b/>
                <w:bCs/>
                <w:color w:val="000000"/>
                <w:kern w:val="0"/>
                <w:sz w:val="16"/>
                <w:szCs w:val="16"/>
                <w:lang w:eastAsia="pt-BR"/>
                <w14:ligatures w14:val="none"/>
              </w:rPr>
            </w:pPr>
            <w:r w:rsidRPr="003F7395">
              <w:rPr>
                <w:rFonts w:ascii="Arial" w:eastAsia="Times New Roman" w:hAnsi="Arial" w:cs="Arial"/>
                <w:b/>
                <w:bCs/>
                <w:color w:val="000000"/>
                <w:kern w:val="0"/>
                <w:sz w:val="16"/>
                <w:szCs w:val="16"/>
                <w:lang w:eastAsia="pt-BR"/>
                <w14:ligatures w14:val="none"/>
              </w:rPr>
              <w:t xml:space="preserve">  (53.212)</w:t>
            </w:r>
          </w:p>
        </w:tc>
        <w:tc>
          <w:tcPr>
            <w:tcW w:w="527" w:type="pct"/>
            <w:tcBorders>
              <w:top w:val="single" w:sz="8" w:space="0" w:color="D9E1F2"/>
              <w:left w:val="nil"/>
              <w:bottom w:val="single" w:sz="8" w:space="0" w:color="D9E1F2"/>
              <w:right w:val="nil"/>
            </w:tcBorders>
            <w:shd w:val="clear" w:color="000000" w:fill="75F6F9"/>
            <w:noWrap/>
            <w:vAlign w:val="bottom"/>
            <w:hideMark/>
          </w:tcPr>
          <w:p w14:paraId="109267FD" w14:textId="77777777" w:rsidR="003F7395" w:rsidRPr="003F7395" w:rsidRDefault="003F7395" w:rsidP="003F7395">
            <w:pPr>
              <w:spacing w:after="0" w:line="240" w:lineRule="auto"/>
              <w:jc w:val="right"/>
              <w:rPr>
                <w:rFonts w:ascii="Arial" w:eastAsia="Times New Roman" w:hAnsi="Arial" w:cs="Arial"/>
                <w:b/>
                <w:bCs/>
                <w:color w:val="000000"/>
                <w:kern w:val="0"/>
                <w:sz w:val="16"/>
                <w:szCs w:val="16"/>
                <w:lang w:eastAsia="pt-BR"/>
                <w14:ligatures w14:val="none"/>
              </w:rPr>
            </w:pPr>
            <w:r w:rsidRPr="003F7395">
              <w:rPr>
                <w:rFonts w:ascii="Arial" w:eastAsia="Times New Roman" w:hAnsi="Arial" w:cs="Arial"/>
                <w:b/>
                <w:bCs/>
                <w:color w:val="000000"/>
                <w:kern w:val="0"/>
                <w:sz w:val="16"/>
                <w:szCs w:val="16"/>
                <w:lang w:eastAsia="pt-BR"/>
                <w14:ligatures w14:val="none"/>
              </w:rPr>
              <w:t xml:space="preserve">        (55.662)</w:t>
            </w:r>
          </w:p>
        </w:tc>
        <w:tc>
          <w:tcPr>
            <w:tcW w:w="77" w:type="pct"/>
            <w:tcBorders>
              <w:top w:val="nil"/>
              <w:left w:val="nil"/>
              <w:bottom w:val="nil"/>
              <w:right w:val="nil"/>
            </w:tcBorders>
            <w:shd w:val="clear" w:color="auto" w:fill="auto"/>
            <w:noWrap/>
            <w:vAlign w:val="bottom"/>
            <w:hideMark/>
          </w:tcPr>
          <w:p w14:paraId="5BAC053D" w14:textId="77777777" w:rsidR="003F7395" w:rsidRPr="003F7395" w:rsidRDefault="003F7395" w:rsidP="003F7395">
            <w:pPr>
              <w:spacing w:after="0" w:line="240" w:lineRule="auto"/>
              <w:jc w:val="right"/>
              <w:rPr>
                <w:rFonts w:ascii="Arial" w:eastAsia="Times New Roman" w:hAnsi="Arial" w:cs="Arial"/>
                <w:b/>
                <w:bCs/>
                <w:color w:val="000000"/>
                <w:kern w:val="0"/>
                <w:sz w:val="16"/>
                <w:szCs w:val="16"/>
                <w:lang w:eastAsia="pt-BR"/>
                <w14:ligatures w14:val="none"/>
              </w:rPr>
            </w:pPr>
          </w:p>
        </w:tc>
        <w:tc>
          <w:tcPr>
            <w:tcW w:w="411" w:type="pct"/>
            <w:tcBorders>
              <w:top w:val="single" w:sz="8" w:space="0" w:color="D9E1F2"/>
              <w:left w:val="nil"/>
              <w:bottom w:val="single" w:sz="8" w:space="0" w:color="D9E1F2"/>
              <w:right w:val="nil"/>
            </w:tcBorders>
            <w:shd w:val="clear" w:color="000000" w:fill="75F6F9"/>
            <w:vAlign w:val="center"/>
            <w:hideMark/>
          </w:tcPr>
          <w:p w14:paraId="7151D511" w14:textId="77777777" w:rsidR="003F7395" w:rsidRPr="003F7395" w:rsidRDefault="003F7395" w:rsidP="003F7395">
            <w:pPr>
              <w:spacing w:after="0" w:line="240" w:lineRule="auto"/>
              <w:jc w:val="right"/>
              <w:rPr>
                <w:rFonts w:ascii="Arial" w:eastAsia="Times New Roman" w:hAnsi="Arial" w:cs="Arial"/>
                <w:b/>
                <w:bCs/>
                <w:color w:val="000000"/>
                <w:kern w:val="0"/>
                <w:sz w:val="16"/>
                <w:szCs w:val="16"/>
                <w:lang w:eastAsia="pt-BR"/>
                <w14:ligatures w14:val="none"/>
              </w:rPr>
            </w:pPr>
            <w:r w:rsidRPr="003F7395">
              <w:rPr>
                <w:rFonts w:ascii="Arial" w:eastAsia="Times New Roman" w:hAnsi="Arial" w:cs="Arial"/>
                <w:b/>
                <w:bCs/>
                <w:color w:val="000000"/>
                <w:kern w:val="0"/>
                <w:sz w:val="16"/>
                <w:szCs w:val="16"/>
                <w:lang w:eastAsia="pt-BR"/>
                <w14:ligatures w14:val="none"/>
              </w:rPr>
              <w:t>-4,4%</w:t>
            </w:r>
          </w:p>
        </w:tc>
      </w:tr>
      <w:tr w:rsidR="003F7395" w:rsidRPr="003F7395" w14:paraId="64129F6C" w14:textId="77777777" w:rsidTr="00446A14">
        <w:trPr>
          <w:trHeight w:val="227"/>
        </w:trPr>
        <w:tc>
          <w:tcPr>
            <w:tcW w:w="1423" w:type="pct"/>
            <w:tcBorders>
              <w:top w:val="nil"/>
              <w:left w:val="nil"/>
              <w:bottom w:val="nil"/>
              <w:right w:val="nil"/>
            </w:tcBorders>
            <w:shd w:val="clear" w:color="000000" w:fill="75F6F9"/>
            <w:noWrap/>
            <w:vAlign w:val="bottom"/>
            <w:hideMark/>
          </w:tcPr>
          <w:p w14:paraId="0A2A9519" w14:textId="77777777" w:rsidR="003F7395" w:rsidRPr="003F7395" w:rsidRDefault="003F7395" w:rsidP="003F7395">
            <w:pPr>
              <w:spacing w:after="0" w:line="240" w:lineRule="auto"/>
              <w:rPr>
                <w:rFonts w:ascii="Arial" w:eastAsia="Times New Roman" w:hAnsi="Arial" w:cs="Arial"/>
                <w:b/>
                <w:bCs/>
                <w:color w:val="000000"/>
                <w:kern w:val="0"/>
                <w:sz w:val="16"/>
                <w:szCs w:val="16"/>
                <w:lang w:eastAsia="pt-BR"/>
                <w14:ligatures w14:val="none"/>
              </w:rPr>
            </w:pPr>
            <w:r w:rsidRPr="003F7395">
              <w:rPr>
                <w:rFonts w:ascii="Arial" w:eastAsia="Times New Roman" w:hAnsi="Arial" w:cs="Arial"/>
                <w:b/>
                <w:bCs/>
                <w:color w:val="000000"/>
                <w:kern w:val="0"/>
                <w:sz w:val="16"/>
                <w:szCs w:val="16"/>
                <w:lang w:eastAsia="pt-BR"/>
                <w14:ligatures w14:val="none"/>
              </w:rPr>
              <w:t>Receita Operacional Líquida</w:t>
            </w:r>
          </w:p>
        </w:tc>
        <w:tc>
          <w:tcPr>
            <w:tcW w:w="410" w:type="pct"/>
            <w:tcBorders>
              <w:top w:val="nil"/>
              <w:left w:val="nil"/>
              <w:bottom w:val="nil"/>
              <w:right w:val="nil"/>
            </w:tcBorders>
            <w:shd w:val="clear" w:color="000000" w:fill="75F6F9"/>
            <w:noWrap/>
            <w:vAlign w:val="bottom"/>
            <w:hideMark/>
          </w:tcPr>
          <w:p w14:paraId="1EA686F9" w14:textId="77777777" w:rsidR="003F7395" w:rsidRPr="003F7395" w:rsidRDefault="003F7395" w:rsidP="003F7395">
            <w:pPr>
              <w:spacing w:after="0" w:line="240" w:lineRule="auto"/>
              <w:jc w:val="right"/>
              <w:rPr>
                <w:rFonts w:ascii="Arial" w:eastAsia="Times New Roman" w:hAnsi="Arial" w:cs="Arial"/>
                <w:b/>
                <w:bCs/>
                <w:color w:val="000000"/>
                <w:kern w:val="0"/>
                <w:sz w:val="16"/>
                <w:szCs w:val="16"/>
                <w:lang w:eastAsia="pt-BR"/>
                <w14:ligatures w14:val="none"/>
              </w:rPr>
            </w:pPr>
            <w:r w:rsidRPr="003F7395">
              <w:rPr>
                <w:rFonts w:ascii="Arial" w:eastAsia="Times New Roman" w:hAnsi="Arial" w:cs="Arial"/>
                <w:b/>
                <w:bCs/>
                <w:color w:val="000000"/>
                <w:kern w:val="0"/>
                <w:sz w:val="16"/>
                <w:szCs w:val="16"/>
                <w:lang w:eastAsia="pt-BR"/>
                <w14:ligatures w14:val="none"/>
              </w:rPr>
              <w:t xml:space="preserve">  109.812 </w:t>
            </w:r>
          </w:p>
        </w:tc>
        <w:tc>
          <w:tcPr>
            <w:tcW w:w="410" w:type="pct"/>
            <w:tcBorders>
              <w:top w:val="nil"/>
              <w:left w:val="nil"/>
              <w:bottom w:val="nil"/>
              <w:right w:val="nil"/>
            </w:tcBorders>
            <w:shd w:val="clear" w:color="000000" w:fill="75F6F9"/>
            <w:noWrap/>
            <w:vAlign w:val="bottom"/>
            <w:hideMark/>
          </w:tcPr>
          <w:p w14:paraId="7594BC58" w14:textId="77777777" w:rsidR="003F7395" w:rsidRPr="003F7395" w:rsidRDefault="003F7395" w:rsidP="003F7395">
            <w:pPr>
              <w:spacing w:after="0" w:line="240" w:lineRule="auto"/>
              <w:jc w:val="right"/>
              <w:rPr>
                <w:rFonts w:ascii="Arial" w:eastAsia="Times New Roman" w:hAnsi="Arial" w:cs="Arial"/>
                <w:b/>
                <w:bCs/>
                <w:color w:val="000000"/>
                <w:kern w:val="0"/>
                <w:sz w:val="16"/>
                <w:szCs w:val="16"/>
                <w:lang w:eastAsia="pt-BR"/>
                <w14:ligatures w14:val="none"/>
              </w:rPr>
            </w:pPr>
            <w:r w:rsidRPr="003F7395">
              <w:rPr>
                <w:rFonts w:ascii="Arial" w:eastAsia="Times New Roman" w:hAnsi="Arial" w:cs="Arial"/>
                <w:b/>
                <w:bCs/>
                <w:color w:val="000000"/>
                <w:kern w:val="0"/>
                <w:sz w:val="16"/>
                <w:szCs w:val="16"/>
                <w:lang w:eastAsia="pt-BR"/>
                <w14:ligatures w14:val="none"/>
              </w:rPr>
              <w:t xml:space="preserve">    90.368 </w:t>
            </w:r>
          </w:p>
        </w:tc>
        <w:tc>
          <w:tcPr>
            <w:tcW w:w="410" w:type="pct"/>
            <w:tcBorders>
              <w:top w:val="nil"/>
              <w:left w:val="nil"/>
              <w:bottom w:val="nil"/>
              <w:right w:val="nil"/>
            </w:tcBorders>
            <w:shd w:val="clear" w:color="000000" w:fill="75F6F9"/>
            <w:noWrap/>
            <w:vAlign w:val="bottom"/>
            <w:hideMark/>
          </w:tcPr>
          <w:p w14:paraId="660A7D85" w14:textId="77777777" w:rsidR="003F7395" w:rsidRPr="003F7395" w:rsidRDefault="003F7395" w:rsidP="003F7395">
            <w:pPr>
              <w:spacing w:after="0" w:line="240" w:lineRule="auto"/>
              <w:jc w:val="right"/>
              <w:rPr>
                <w:rFonts w:ascii="Arial" w:eastAsia="Times New Roman" w:hAnsi="Arial" w:cs="Arial"/>
                <w:b/>
                <w:bCs/>
                <w:color w:val="000000"/>
                <w:kern w:val="0"/>
                <w:sz w:val="16"/>
                <w:szCs w:val="16"/>
                <w:lang w:eastAsia="pt-BR"/>
                <w14:ligatures w14:val="none"/>
              </w:rPr>
            </w:pPr>
            <w:r w:rsidRPr="003F7395">
              <w:rPr>
                <w:rFonts w:ascii="Arial" w:eastAsia="Times New Roman" w:hAnsi="Arial" w:cs="Arial"/>
                <w:b/>
                <w:bCs/>
                <w:color w:val="000000"/>
                <w:kern w:val="0"/>
                <w:sz w:val="16"/>
                <w:szCs w:val="16"/>
                <w:lang w:eastAsia="pt-BR"/>
                <w14:ligatures w14:val="none"/>
              </w:rPr>
              <w:t xml:space="preserve">  108.751 </w:t>
            </w:r>
          </w:p>
        </w:tc>
        <w:tc>
          <w:tcPr>
            <w:tcW w:w="77" w:type="pct"/>
            <w:tcBorders>
              <w:top w:val="nil"/>
              <w:left w:val="nil"/>
              <w:bottom w:val="nil"/>
              <w:right w:val="nil"/>
            </w:tcBorders>
            <w:shd w:val="clear" w:color="auto" w:fill="auto"/>
            <w:noWrap/>
            <w:vAlign w:val="bottom"/>
            <w:hideMark/>
          </w:tcPr>
          <w:p w14:paraId="3B7E3367" w14:textId="77777777" w:rsidR="003F7395" w:rsidRPr="003F7395" w:rsidRDefault="003F7395" w:rsidP="003F7395">
            <w:pPr>
              <w:spacing w:after="0" w:line="240" w:lineRule="auto"/>
              <w:jc w:val="right"/>
              <w:rPr>
                <w:rFonts w:ascii="Arial" w:eastAsia="Times New Roman" w:hAnsi="Arial" w:cs="Arial"/>
                <w:b/>
                <w:bCs/>
                <w:color w:val="000000"/>
                <w:kern w:val="0"/>
                <w:sz w:val="16"/>
                <w:szCs w:val="16"/>
                <w:lang w:eastAsia="pt-BR"/>
                <w14:ligatures w14:val="none"/>
              </w:rPr>
            </w:pPr>
          </w:p>
        </w:tc>
        <w:tc>
          <w:tcPr>
            <w:tcW w:w="360" w:type="pct"/>
            <w:tcBorders>
              <w:top w:val="nil"/>
              <w:left w:val="nil"/>
              <w:bottom w:val="nil"/>
              <w:right w:val="nil"/>
            </w:tcBorders>
            <w:shd w:val="clear" w:color="000000" w:fill="75F6F9"/>
            <w:vAlign w:val="center"/>
            <w:hideMark/>
          </w:tcPr>
          <w:p w14:paraId="7386D952" w14:textId="77777777" w:rsidR="003F7395" w:rsidRPr="003F7395" w:rsidRDefault="003F7395" w:rsidP="003F7395">
            <w:pPr>
              <w:spacing w:after="0" w:line="240" w:lineRule="auto"/>
              <w:jc w:val="right"/>
              <w:rPr>
                <w:rFonts w:ascii="Arial" w:eastAsia="Times New Roman" w:hAnsi="Arial" w:cs="Arial"/>
                <w:b/>
                <w:bCs/>
                <w:color w:val="000000"/>
                <w:kern w:val="0"/>
                <w:sz w:val="16"/>
                <w:szCs w:val="16"/>
                <w:lang w:eastAsia="pt-BR"/>
                <w14:ligatures w14:val="none"/>
              </w:rPr>
            </w:pPr>
            <w:r w:rsidRPr="003F7395">
              <w:rPr>
                <w:rFonts w:ascii="Arial" w:eastAsia="Times New Roman" w:hAnsi="Arial" w:cs="Arial"/>
                <w:b/>
                <w:bCs/>
                <w:color w:val="000000"/>
                <w:kern w:val="0"/>
                <w:sz w:val="16"/>
                <w:szCs w:val="16"/>
                <w:lang w:eastAsia="pt-BR"/>
                <w14:ligatures w14:val="none"/>
              </w:rPr>
              <w:t>21,5%</w:t>
            </w:r>
          </w:p>
        </w:tc>
        <w:tc>
          <w:tcPr>
            <w:tcW w:w="407" w:type="pct"/>
            <w:tcBorders>
              <w:top w:val="nil"/>
              <w:left w:val="nil"/>
              <w:bottom w:val="nil"/>
              <w:right w:val="nil"/>
            </w:tcBorders>
            <w:shd w:val="clear" w:color="000000" w:fill="75F6F9"/>
            <w:noWrap/>
            <w:vAlign w:val="center"/>
            <w:hideMark/>
          </w:tcPr>
          <w:p w14:paraId="174C1601" w14:textId="77777777" w:rsidR="003F7395" w:rsidRPr="003F7395" w:rsidRDefault="003F7395" w:rsidP="003F7395">
            <w:pPr>
              <w:spacing w:after="0" w:line="240" w:lineRule="auto"/>
              <w:jc w:val="right"/>
              <w:rPr>
                <w:rFonts w:ascii="Arial" w:eastAsia="Times New Roman" w:hAnsi="Arial" w:cs="Arial"/>
                <w:b/>
                <w:bCs/>
                <w:color w:val="000000"/>
                <w:kern w:val="0"/>
                <w:sz w:val="16"/>
                <w:szCs w:val="16"/>
                <w:lang w:eastAsia="pt-BR"/>
                <w14:ligatures w14:val="none"/>
              </w:rPr>
            </w:pPr>
            <w:r w:rsidRPr="003F7395">
              <w:rPr>
                <w:rFonts w:ascii="Arial" w:eastAsia="Times New Roman" w:hAnsi="Arial" w:cs="Arial"/>
                <w:b/>
                <w:bCs/>
                <w:color w:val="000000"/>
                <w:kern w:val="0"/>
                <w:sz w:val="16"/>
                <w:szCs w:val="16"/>
                <w:lang w:eastAsia="pt-BR"/>
                <w14:ligatures w14:val="none"/>
              </w:rPr>
              <w:t>1,0%</w:t>
            </w:r>
          </w:p>
        </w:tc>
        <w:tc>
          <w:tcPr>
            <w:tcW w:w="77" w:type="pct"/>
            <w:tcBorders>
              <w:top w:val="nil"/>
              <w:left w:val="nil"/>
              <w:bottom w:val="nil"/>
              <w:right w:val="nil"/>
            </w:tcBorders>
            <w:shd w:val="clear" w:color="auto" w:fill="auto"/>
            <w:noWrap/>
            <w:vAlign w:val="bottom"/>
            <w:hideMark/>
          </w:tcPr>
          <w:p w14:paraId="5CF4D78A" w14:textId="77777777" w:rsidR="003F7395" w:rsidRPr="003F7395" w:rsidRDefault="003F7395" w:rsidP="003F7395">
            <w:pPr>
              <w:spacing w:after="0" w:line="240" w:lineRule="auto"/>
              <w:jc w:val="right"/>
              <w:rPr>
                <w:rFonts w:ascii="Arial" w:eastAsia="Times New Roman" w:hAnsi="Arial" w:cs="Arial"/>
                <w:b/>
                <w:bCs/>
                <w:color w:val="000000"/>
                <w:kern w:val="0"/>
                <w:sz w:val="16"/>
                <w:szCs w:val="16"/>
                <w:lang w:eastAsia="pt-BR"/>
                <w14:ligatures w14:val="none"/>
              </w:rPr>
            </w:pPr>
          </w:p>
        </w:tc>
        <w:tc>
          <w:tcPr>
            <w:tcW w:w="411" w:type="pct"/>
            <w:tcBorders>
              <w:top w:val="nil"/>
              <w:left w:val="nil"/>
              <w:bottom w:val="nil"/>
              <w:right w:val="nil"/>
            </w:tcBorders>
            <w:shd w:val="clear" w:color="000000" w:fill="75F6F9"/>
            <w:noWrap/>
            <w:vAlign w:val="bottom"/>
            <w:hideMark/>
          </w:tcPr>
          <w:p w14:paraId="37FDA54C" w14:textId="77777777" w:rsidR="003F7395" w:rsidRPr="003F7395" w:rsidRDefault="003F7395" w:rsidP="003F7395">
            <w:pPr>
              <w:spacing w:after="0" w:line="240" w:lineRule="auto"/>
              <w:jc w:val="right"/>
              <w:rPr>
                <w:rFonts w:ascii="Arial" w:eastAsia="Times New Roman" w:hAnsi="Arial" w:cs="Arial"/>
                <w:b/>
                <w:bCs/>
                <w:color w:val="000000"/>
                <w:kern w:val="0"/>
                <w:sz w:val="16"/>
                <w:szCs w:val="16"/>
                <w:lang w:eastAsia="pt-BR"/>
                <w14:ligatures w14:val="none"/>
              </w:rPr>
            </w:pPr>
            <w:r w:rsidRPr="003F7395">
              <w:rPr>
                <w:rFonts w:ascii="Arial" w:eastAsia="Times New Roman" w:hAnsi="Arial" w:cs="Arial"/>
                <w:b/>
                <w:bCs/>
                <w:color w:val="000000"/>
                <w:kern w:val="0"/>
                <w:sz w:val="16"/>
                <w:szCs w:val="16"/>
                <w:lang w:eastAsia="pt-BR"/>
                <w14:ligatures w14:val="none"/>
              </w:rPr>
              <w:t xml:space="preserve">  416.840 </w:t>
            </w:r>
          </w:p>
        </w:tc>
        <w:tc>
          <w:tcPr>
            <w:tcW w:w="527" w:type="pct"/>
            <w:tcBorders>
              <w:top w:val="nil"/>
              <w:left w:val="nil"/>
              <w:bottom w:val="nil"/>
              <w:right w:val="nil"/>
            </w:tcBorders>
            <w:shd w:val="clear" w:color="000000" w:fill="75F6F9"/>
            <w:noWrap/>
            <w:vAlign w:val="bottom"/>
            <w:hideMark/>
          </w:tcPr>
          <w:p w14:paraId="18BB181F" w14:textId="77777777" w:rsidR="003F7395" w:rsidRPr="003F7395" w:rsidRDefault="003F7395" w:rsidP="003F7395">
            <w:pPr>
              <w:spacing w:after="0" w:line="240" w:lineRule="auto"/>
              <w:jc w:val="right"/>
              <w:rPr>
                <w:rFonts w:ascii="Arial" w:eastAsia="Times New Roman" w:hAnsi="Arial" w:cs="Arial"/>
                <w:b/>
                <w:bCs/>
                <w:color w:val="000000"/>
                <w:kern w:val="0"/>
                <w:sz w:val="16"/>
                <w:szCs w:val="16"/>
                <w:lang w:eastAsia="pt-BR"/>
                <w14:ligatures w14:val="none"/>
              </w:rPr>
            </w:pPr>
            <w:r w:rsidRPr="003F7395">
              <w:rPr>
                <w:rFonts w:ascii="Arial" w:eastAsia="Times New Roman" w:hAnsi="Arial" w:cs="Arial"/>
                <w:b/>
                <w:bCs/>
                <w:color w:val="000000"/>
                <w:kern w:val="0"/>
                <w:sz w:val="16"/>
                <w:szCs w:val="16"/>
                <w:lang w:eastAsia="pt-BR"/>
                <w14:ligatures w14:val="none"/>
              </w:rPr>
              <w:t xml:space="preserve">       347.840 </w:t>
            </w:r>
          </w:p>
        </w:tc>
        <w:tc>
          <w:tcPr>
            <w:tcW w:w="77" w:type="pct"/>
            <w:tcBorders>
              <w:top w:val="nil"/>
              <w:left w:val="nil"/>
              <w:bottom w:val="nil"/>
              <w:right w:val="nil"/>
            </w:tcBorders>
            <w:shd w:val="clear" w:color="auto" w:fill="auto"/>
            <w:noWrap/>
            <w:vAlign w:val="bottom"/>
            <w:hideMark/>
          </w:tcPr>
          <w:p w14:paraId="5C9929FD" w14:textId="77777777" w:rsidR="003F7395" w:rsidRPr="003F7395" w:rsidRDefault="003F7395" w:rsidP="003F7395">
            <w:pPr>
              <w:spacing w:after="0" w:line="240" w:lineRule="auto"/>
              <w:jc w:val="right"/>
              <w:rPr>
                <w:rFonts w:ascii="Arial" w:eastAsia="Times New Roman" w:hAnsi="Arial" w:cs="Arial"/>
                <w:b/>
                <w:bCs/>
                <w:color w:val="000000"/>
                <w:kern w:val="0"/>
                <w:sz w:val="16"/>
                <w:szCs w:val="16"/>
                <w:lang w:eastAsia="pt-BR"/>
                <w14:ligatures w14:val="none"/>
              </w:rPr>
            </w:pPr>
          </w:p>
        </w:tc>
        <w:tc>
          <w:tcPr>
            <w:tcW w:w="411" w:type="pct"/>
            <w:tcBorders>
              <w:top w:val="nil"/>
              <w:left w:val="nil"/>
              <w:bottom w:val="single" w:sz="8" w:space="0" w:color="D9E1F2"/>
              <w:right w:val="nil"/>
            </w:tcBorders>
            <w:shd w:val="clear" w:color="000000" w:fill="75F6F9"/>
            <w:vAlign w:val="center"/>
            <w:hideMark/>
          </w:tcPr>
          <w:p w14:paraId="7AECA8BF" w14:textId="77777777" w:rsidR="003F7395" w:rsidRPr="003F7395" w:rsidRDefault="003F7395" w:rsidP="003F7395">
            <w:pPr>
              <w:spacing w:after="0" w:line="240" w:lineRule="auto"/>
              <w:jc w:val="right"/>
              <w:rPr>
                <w:rFonts w:ascii="Arial" w:eastAsia="Times New Roman" w:hAnsi="Arial" w:cs="Arial"/>
                <w:b/>
                <w:bCs/>
                <w:color w:val="000000"/>
                <w:kern w:val="0"/>
                <w:sz w:val="16"/>
                <w:szCs w:val="16"/>
                <w:lang w:eastAsia="pt-BR"/>
                <w14:ligatures w14:val="none"/>
              </w:rPr>
            </w:pPr>
            <w:r w:rsidRPr="003F7395">
              <w:rPr>
                <w:rFonts w:ascii="Arial" w:eastAsia="Times New Roman" w:hAnsi="Arial" w:cs="Arial"/>
                <w:b/>
                <w:bCs/>
                <w:color w:val="000000"/>
                <w:kern w:val="0"/>
                <w:sz w:val="16"/>
                <w:szCs w:val="16"/>
                <w:lang w:eastAsia="pt-BR"/>
                <w14:ligatures w14:val="none"/>
              </w:rPr>
              <w:t>19,8%</w:t>
            </w:r>
          </w:p>
        </w:tc>
      </w:tr>
    </w:tbl>
    <w:p w14:paraId="323552A5" w14:textId="77777777" w:rsidR="003F7395" w:rsidRDefault="003F7395" w:rsidP="003F7395">
      <w:pPr>
        <w:spacing w:after="0" w:line="240" w:lineRule="auto"/>
        <w:jc w:val="both"/>
        <w:rPr>
          <w:rFonts w:ascii="Calibri" w:eastAsia="Times New Roman" w:hAnsi="Calibri" w:cs="Calibri"/>
          <w:color w:val="002060"/>
          <w:kern w:val="0"/>
          <w14:ligatures w14:val="none"/>
        </w:rPr>
      </w:pPr>
      <w:r w:rsidRPr="003F7395">
        <w:rPr>
          <w:rFonts w:ascii="Calibri" w:eastAsia="Times New Roman" w:hAnsi="Calibri" w:cs="Calibri"/>
          <w:color w:val="002060"/>
          <w:kern w:val="0"/>
          <w14:ligatures w14:val="none"/>
        </w:rPr>
        <w:t>No 4T23, a Receita Operacional Líquida atingiu R$ 109,8 milhões, 21,5%, ou R$ 19,4 milhões superior à receita reconhecida no 4T22, que foi de R$ 90,4 milhões. Com relação ao 3T23, a receita apresentou crescimento de 1,0% (R$ 108,8 milhões no 2T23). No acumulado dos 12M23 a Receita Operacional Líquida totalizou R$ 416,8</w:t>
      </w:r>
      <w:r>
        <w:rPr>
          <w:rFonts w:ascii="Calibri" w:eastAsia="Times New Roman" w:hAnsi="Calibri" w:cs="Calibri"/>
          <w:color w:val="002060"/>
          <w:kern w:val="0"/>
          <w14:ligatures w14:val="none"/>
        </w:rPr>
        <w:t xml:space="preserve"> </w:t>
      </w:r>
      <w:r w:rsidRPr="003F7395">
        <w:rPr>
          <w:rFonts w:ascii="Calibri" w:eastAsia="Times New Roman" w:hAnsi="Calibri" w:cs="Calibri"/>
          <w:color w:val="002060"/>
          <w:kern w:val="0"/>
          <w14:ligatures w14:val="none"/>
        </w:rPr>
        <w:lastRenderedPageBreak/>
        <w:t xml:space="preserve">milhões, 19,8% superior à receita apresentada nos 12M22 (R$ 347,8 milhões). O comportamento da receita bruta por serviço nos 12M23 em relação aos 12M22 foi o seguinte: </w:t>
      </w:r>
    </w:p>
    <w:p w14:paraId="58311A7C" w14:textId="77777777" w:rsidR="003F7395" w:rsidRDefault="003F7395" w:rsidP="003F7395">
      <w:pPr>
        <w:spacing w:after="0" w:line="240" w:lineRule="auto"/>
        <w:jc w:val="both"/>
        <w:rPr>
          <w:rFonts w:ascii="Calibri" w:eastAsia="Times New Roman" w:hAnsi="Calibri" w:cs="Calibri"/>
          <w:color w:val="002060"/>
          <w:kern w:val="0"/>
          <w14:ligatures w14:val="none"/>
        </w:rPr>
      </w:pPr>
      <w:r w:rsidRPr="003F7395">
        <w:rPr>
          <w:rFonts w:ascii="Calibri" w:eastAsia="Times New Roman" w:hAnsi="Calibri" w:cs="Calibri"/>
          <w:color w:val="002060"/>
          <w:kern w:val="0"/>
          <w14:ligatures w14:val="none"/>
        </w:rPr>
        <w:t xml:space="preserve">Serviço de Comunicação Multimídia (SCM): Nos 12M23, esta receita apresentou crescimento de 10,5% na comparação aos 12M22, explicado pelos seguintes eventos: i) aumento dos circuitos/pontos vinculados à geração de receita; </w:t>
      </w:r>
      <w:proofErr w:type="spellStart"/>
      <w:r w:rsidRPr="003F7395">
        <w:rPr>
          <w:rFonts w:ascii="Calibri" w:eastAsia="Times New Roman" w:hAnsi="Calibri" w:cs="Calibri"/>
          <w:color w:val="002060"/>
          <w:kern w:val="0"/>
          <w14:ligatures w14:val="none"/>
        </w:rPr>
        <w:t>ii</w:t>
      </w:r>
      <w:proofErr w:type="spellEnd"/>
      <w:r w:rsidRPr="003F7395">
        <w:rPr>
          <w:rFonts w:ascii="Calibri" w:eastAsia="Times New Roman" w:hAnsi="Calibri" w:cs="Calibri"/>
          <w:color w:val="002060"/>
          <w:kern w:val="0"/>
          <w14:ligatures w14:val="none"/>
        </w:rPr>
        <w:t xml:space="preserve">) crescimento da banda larga faturada no período; e </w:t>
      </w:r>
      <w:proofErr w:type="spellStart"/>
      <w:r w:rsidRPr="003F7395">
        <w:rPr>
          <w:rFonts w:ascii="Calibri" w:eastAsia="Times New Roman" w:hAnsi="Calibri" w:cs="Calibri"/>
          <w:color w:val="002060"/>
          <w:kern w:val="0"/>
          <w14:ligatures w14:val="none"/>
        </w:rPr>
        <w:t>iii</w:t>
      </w:r>
      <w:proofErr w:type="spellEnd"/>
      <w:r w:rsidRPr="003F7395">
        <w:rPr>
          <w:rFonts w:ascii="Calibri" w:eastAsia="Times New Roman" w:hAnsi="Calibri" w:cs="Calibri"/>
          <w:color w:val="002060"/>
          <w:kern w:val="0"/>
          <w14:ligatures w14:val="none"/>
        </w:rPr>
        <w:t xml:space="preserve">) pelo efeito de reajustes dos contratos no decorrer do exercício de 2022 e 2023. </w:t>
      </w:r>
    </w:p>
    <w:p w14:paraId="331D7512" w14:textId="77777777" w:rsidR="003F7395" w:rsidRDefault="003F7395" w:rsidP="003F7395">
      <w:pPr>
        <w:spacing w:after="0" w:line="240" w:lineRule="auto"/>
        <w:jc w:val="both"/>
        <w:rPr>
          <w:rFonts w:ascii="Calibri" w:eastAsia="Times New Roman" w:hAnsi="Calibri" w:cs="Calibri"/>
          <w:color w:val="002060"/>
          <w:kern w:val="0"/>
          <w14:ligatures w14:val="none"/>
        </w:rPr>
      </w:pPr>
      <w:r w:rsidRPr="003F7395">
        <w:rPr>
          <w:rFonts w:ascii="Calibri" w:eastAsia="Times New Roman" w:hAnsi="Calibri" w:cs="Calibri"/>
          <w:color w:val="002060"/>
          <w:kern w:val="0"/>
          <w14:ligatures w14:val="none"/>
        </w:rPr>
        <w:t>Locação de Capacidade Satelital: este produto permaneceu estável na comparação entre os 12M23 e os 12M22, com receita de R$ 36,5 milhões.</w:t>
      </w:r>
    </w:p>
    <w:p w14:paraId="5C406FB4" w14:textId="77777777" w:rsidR="003F7395" w:rsidRDefault="003F7395" w:rsidP="003F7395">
      <w:pPr>
        <w:spacing w:after="0" w:line="240" w:lineRule="auto"/>
        <w:jc w:val="both"/>
        <w:rPr>
          <w:rFonts w:ascii="Calibri" w:eastAsia="Times New Roman" w:hAnsi="Calibri" w:cs="Calibri"/>
          <w:color w:val="002060"/>
          <w:kern w:val="0"/>
          <w14:ligatures w14:val="none"/>
        </w:rPr>
      </w:pPr>
      <w:r w:rsidRPr="003F7395">
        <w:rPr>
          <w:rFonts w:ascii="Calibri" w:eastAsia="Times New Roman" w:hAnsi="Calibri" w:cs="Calibri"/>
          <w:color w:val="002060"/>
          <w:kern w:val="0"/>
          <w14:ligatures w14:val="none"/>
        </w:rPr>
        <w:t xml:space="preserve">Aluguéis e Locações – Outras:  compreende o aluguel de cabos ópticos, locação de roteadores e aluguel de infraestrutura do segmento satelital (contrato de parceria com a </w:t>
      </w:r>
      <w:proofErr w:type="spellStart"/>
      <w:r w:rsidRPr="003F7395">
        <w:rPr>
          <w:rFonts w:ascii="Calibri" w:eastAsia="Times New Roman" w:hAnsi="Calibri" w:cs="Calibri"/>
          <w:color w:val="002060"/>
          <w:kern w:val="0"/>
          <w14:ligatures w14:val="none"/>
        </w:rPr>
        <w:t>Viasat</w:t>
      </w:r>
      <w:proofErr w:type="spellEnd"/>
      <w:r w:rsidRPr="003F7395">
        <w:rPr>
          <w:rFonts w:ascii="Calibri" w:eastAsia="Times New Roman" w:hAnsi="Calibri" w:cs="Calibri"/>
          <w:color w:val="002060"/>
          <w:kern w:val="0"/>
          <w14:ligatures w14:val="none"/>
        </w:rPr>
        <w:t>). Nos 12M23, a receita reconhecida nessa rubrica totalizou R$ 24,5 milhões (R$ 22,1 milhões nos 12M22), aumento de 12,7%.</w:t>
      </w:r>
    </w:p>
    <w:p w14:paraId="5658A283" w14:textId="77777777" w:rsidR="003F7395" w:rsidRDefault="003F7395" w:rsidP="003F7395">
      <w:pPr>
        <w:spacing w:after="0" w:line="240" w:lineRule="auto"/>
        <w:jc w:val="both"/>
        <w:rPr>
          <w:rFonts w:ascii="Calibri" w:eastAsia="Times New Roman" w:hAnsi="Calibri" w:cs="Calibri"/>
          <w:color w:val="002060"/>
          <w:kern w:val="0"/>
          <w14:ligatures w14:val="none"/>
        </w:rPr>
      </w:pPr>
      <w:r w:rsidRPr="003F7395">
        <w:rPr>
          <w:rFonts w:ascii="Calibri" w:eastAsia="Times New Roman" w:hAnsi="Calibri" w:cs="Calibri"/>
          <w:color w:val="002060"/>
          <w:kern w:val="0"/>
          <w14:ligatures w14:val="none"/>
        </w:rPr>
        <w:t xml:space="preserve">Compartilhamento de Receitas: No acumulado dos 12M23, a Telebras reconheceu o montante de R$ 19,6 milhões (R$ 15,5 milhões nos 12M22). O crescimento é explicado pelo maior volume de recursos recebidos da </w:t>
      </w:r>
      <w:proofErr w:type="spellStart"/>
      <w:r w:rsidRPr="003F7395">
        <w:rPr>
          <w:rFonts w:ascii="Calibri" w:eastAsia="Times New Roman" w:hAnsi="Calibri" w:cs="Calibri"/>
          <w:color w:val="002060"/>
          <w:kern w:val="0"/>
          <w14:ligatures w14:val="none"/>
        </w:rPr>
        <w:t>Viasat</w:t>
      </w:r>
      <w:proofErr w:type="spellEnd"/>
      <w:r w:rsidRPr="003F7395">
        <w:rPr>
          <w:rFonts w:ascii="Calibri" w:eastAsia="Times New Roman" w:hAnsi="Calibri" w:cs="Calibri"/>
          <w:color w:val="002060"/>
          <w:kern w:val="0"/>
          <w14:ligatures w14:val="none"/>
        </w:rPr>
        <w:t xml:space="preserve"> no período, devido ao crescimento do faturamento da empresa parceira. </w:t>
      </w:r>
    </w:p>
    <w:p w14:paraId="09B444C4" w14:textId="77777777" w:rsidR="003F7395" w:rsidRDefault="003F7395" w:rsidP="003F7395">
      <w:pPr>
        <w:spacing w:after="0" w:line="240" w:lineRule="auto"/>
        <w:jc w:val="both"/>
        <w:rPr>
          <w:rFonts w:ascii="Calibri" w:eastAsia="Times New Roman" w:hAnsi="Calibri" w:cs="Calibri"/>
          <w:color w:val="002060"/>
          <w:kern w:val="0"/>
          <w14:ligatures w14:val="none"/>
        </w:rPr>
      </w:pPr>
      <w:r w:rsidRPr="003F7395">
        <w:rPr>
          <w:rFonts w:ascii="Calibri" w:eastAsia="Times New Roman" w:hAnsi="Calibri" w:cs="Calibri"/>
          <w:color w:val="002060"/>
          <w:kern w:val="0"/>
          <w14:ligatures w14:val="none"/>
        </w:rPr>
        <w:t xml:space="preserve">Serviço de Valor Adicionado: Nos 12M23, a Companhia reconheceu o montante de R$ 18,1 milhões de receita de SVA relativa ao contrato de prestação de serviços firmado com o INSS </w:t>
      </w:r>
      <w:proofErr w:type="gramStart"/>
      <w:r w:rsidRPr="003F7395">
        <w:rPr>
          <w:rFonts w:ascii="Calibri" w:eastAsia="Times New Roman" w:hAnsi="Calibri" w:cs="Calibri"/>
          <w:color w:val="002060"/>
          <w:kern w:val="0"/>
          <w14:ligatures w14:val="none"/>
        </w:rPr>
        <w:t>e também</w:t>
      </w:r>
      <w:proofErr w:type="gramEnd"/>
      <w:r w:rsidRPr="003F7395">
        <w:rPr>
          <w:rFonts w:ascii="Calibri" w:eastAsia="Times New Roman" w:hAnsi="Calibri" w:cs="Calibri"/>
          <w:color w:val="002060"/>
          <w:kern w:val="0"/>
          <w14:ligatures w14:val="none"/>
        </w:rPr>
        <w:t xml:space="preserve"> referente à participação da Telebras na receita de serviço da </w:t>
      </w:r>
      <w:proofErr w:type="spellStart"/>
      <w:r w:rsidRPr="003F7395">
        <w:rPr>
          <w:rFonts w:ascii="Calibri" w:eastAsia="Times New Roman" w:hAnsi="Calibri" w:cs="Calibri"/>
          <w:color w:val="002060"/>
          <w:kern w:val="0"/>
          <w14:ligatures w14:val="none"/>
        </w:rPr>
        <w:t>Viasat</w:t>
      </w:r>
      <w:proofErr w:type="spellEnd"/>
      <w:r w:rsidRPr="003F7395">
        <w:rPr>
          <w:rFonts w:ascii="Calibri" w:eastAsia="Times New Roman" w:hAnsi="Calibri" w:cs="Calibri"/>
          <w:color w:val="002060"/>
          <w:kern w:val="0"/>
          <w14:ligatures w14:val="none"/>
        </w:rPr>
        <w:t xml:space="preserve"> sobre os serviços de disponibilização de aplicativo de acesso a livros, jornais, revistas e streamings.</w:t>
      </w:r>
    </w:p>
    <w:p w14:paraId="03713EDC" w14:textId="628B010D" w:rsidR="003F7395" w:rsidRDefault="003F7395" w:rsidP="003F7395">
      <w:pPr>
        <w:spacing w:after="0" w:line="240" w:lineRule="auto"/>
        <w:jc w:val="both"/>
        <w:rPr>
          <w:rFonts w:ascii="Calibri" w:eastAsia="Times New Roman" w:hAnsi="Calibri" w:cs="Calibri"/>
          <w:color w:val="002060"/>
          <w:kern w:val="0"/>
          <w14:ligatures w14:val="none"/>
        </w:rPr>
      </w:pPr>
      <w:r w:rsidRPr="003F7395">
        <w:rPr>
          <w:rFonts w:ascii="Calibri" w:eastAsia="Times New Roman" w:hAnsi="Calibri" w:cs="Calibri"/>
          <w:color w:val="002060"/>
          <w:kern w:val="0"/>
          <w14:ligatures w14:val="none"/>
        </w:rPr>
        <w:t xml:space="preserve">Outras Receitas: Representa o valor reconhecido relativo aos serviços prestados de instalação e manutenção do programa Wi-Fi Brasil. O montante reconhecido nos 12M23 foi de R$ 14,5 milhões (R$ 6,9 milhões nos 12M22), crescimento de 110,5% explicado pelo aumento dos pontos instalados. </w:t>
      </w:r>
    </w:p>
    <w:p w14:paraId="42CAE0D1" w14:textId="77777777" w:rsidR="003F7395" w:rsidRPr="003F7395" w:rsidRDefault="003F7395" w:rsidP="003F7395">
      <w:pPr>
        <w:spacing w:after="0" w:line="240" w:lineRule="auto"/>
        <w:jc w:val="both"/>
        <w:rPr>
          <w:rFonts w:ascii="Calibri" w:eastAsia="Times New Roman" w:hAnsi="Calibri" w:cs="Calibri"/>
          <w:color w:val="002060"/>
          <w:kern w:val="0"/>
          <w14:ligatures w14:val="none"/>
        </w:rPr>
      </w:pPr>
      <w:r w:rsidRPr="003F7395">
        <w:rPr>
          <w:rFonts w:ascii="Calibri" w:eastAsia="Times New Roman" w:hAnsi="Calibri" w:cs="Calibri"/>
          <w:b/>
          <w:bCs/>
          <w:color w:val="002060"/>
          <w:kern w:val="0"/>
          <w:u w:val="single"/>
          <w14:ligatures w14:val="none"/>
        </w:rPr>
        <w:t>Deduções da Receita Operacional Bruta</w:t>
      </w:r>
      <w:r w:rsidRPr="003F7395">
        <w:rPr>
          <w:rFonts w:ascii="Calibri" w:eastAsia="Times New Roman" w:hAnsi="Calibri" w:cs="Calibri"/>
          <w:color w:val="002060"/>
          <w:kern w:val="0"/>
          <w14:ligatures w14:val="none"/>
        </w:rPr>
        <w:t xml:space="preserve"> </w:t>
      </w:r>
    </w:p>
    <w:p w14:paraId="60BA95F4" w14:textId="33AD546B" w:rsidR="003F7395" w:rsidRPr="003F7395" w:rsidRDefault="003F7395" w:rsidP="003F7395">
      <w:pPr>
        <w:spacing w:after="0" w:line="240" w:lineRule="auto"/>
        <w:jc w:val="both"/>
        <w:rPr>
          <w:rFonts w:ascii="Calibri" w:eastAsia="Times New Roman" w:hAnsi="Calibri" w:cs="Calibri"/>
          <w:bCs/>
          <w:color w:val="002060"/>
          <w:kern w:val="0"/>
          <w14:ligatures w14:val="none"/>
        </w:rPr>
      </w:pPr>
      <w:r w:rsidRPr="003F7395">
        <w:rPr>
          <w:rFonts w:ascii="Calibri" w:eastAsia="Times New Roman" w:hAnsi="Calibri" w:cs="Calibri"/>
          <w:bCs/>
          <w:color w:val="002060"/>
          <w:kern w:val="0"/>
          <w14:ligatures w14:val="none"/>
        </w:rPr>
        <w:t xml:space="preserve">Nos 12M23, as Deduções da Receita Operacional Bruta, que incluem tributos, descontos e cancelamentos sobre a Receita Operacional Bruta, </w:t>
      </w:r>
      <w:proofErr w:type="spellStart"/>
      <w:r w:rsidRPr="003F7395">
        <w:rPr>
          <w:rFonts w:ascii="Calibri" w:eastAsia="Times New Roman" w:hAnsi="Calibri" w:cs="Calibri"/>
          <w:bCs/>
          <w:color w:val="002060"/>
          <w:kern w:val="0"/>
          <w14:ligatures w14:val="none"/>
        </w:rPr>
        <w:t>apres</w:t>
      </w:r>
      <w:r>
        <w:rPr>
          <w:rFonts w:ascii="Calibri" w:eastAsia="Times New Roman" w:hAnsi="Calibri" w:cs="Calibri"/>
          <w:bCs/>
          <w:color w:val="002060"/>
          <w:kern w:val="0"/>
          <w14:ligatures w14:val="none"/>
        </w:rPr>
        <w:t>c</w:t>
      </w:r>
      <w:r w:rsidRPr="003F7395">
        <w:rPr>
          <w:rFonts w:ascii="Calibri" w:eastAsia="Times New Roman" w:hAnsi="Calibri" w:cs="Calibri"/>
          <w:bCs/>
          <w:color w:val="002060"/>
          <w:kern w:val="0"/>
          <w14:ligatures w14:val="none"/>
        </w:rPr>
        <w:t>entaram</w:t>
      </w:r>
      <w:proofErr w:type="spellEnd"/>
      <w:r w:rsidRPr="003F7395">
        <w:rPr>
          <w:rFonts w:ascii="Calibri" w:eastAsia="Times New Roman" w:hAnsi="Calibri" w:cs="Calibri"/>
          <w:bCs/>
          <w:color w:val="002060"/>
          <w:kern w:val="0"/>
          <w14:ligatures w14:val="none"/>
        </w:rPr>
        <w:t xml:space="preserve"> redução de 4,4% em relação aos 12M22. A diminuição é explicada pelo menor volume de receitas tributadas pelo ICMS.</w:t>
      </w:r>
    </w:p>
    <w:p w14:paraId="688D827C" w14:textId="32D0F0E3" w:rsidR="009124E8" w:rsidRDefault="003F7395" w:rsidP="003F7395">
      <w:pPr>
        <w:spacing w:after="0" w:line="240" w:lineRule="auto"/>
        <w:jc w:val="both"/>
        <w:rPr>
          <w:rFonts w:ascii="Calibri" w:eastAsia="Times New Roman" w:hAnsi="Calibri" w:cs="Calibri"/>
          <w:b/>
          <w:bCs/>
          <w:color w:val="002060"/>
          <w:kern w:val="0"/>
          <w:u w:val="single"/>
          <w14:ligatures w14:val="none"/>
        </w:rPr>
      </w:pPr>
      <w:r w:rsidRPr="003F7395">
        <w:rPr>
          <w:rFonts w:ascii="Calibri" w:eastAsia="Times New Roman" w:hAnsi="Calibri" w:cs="Calibri"/>
          <w:b/>
          <w:bCs/>
          <w:color w:val="002060"/>
          <w:kern w:val="0"/>
          <w:u w:val="single"/>
          <w14:ligatures w14:val="none"/>
        </w:rPr>
        <w:t>Comportamento da Receita Líquida Operacional – R$ mil</w:t>
      </w:r>
    </w:p>
    <w:p w14:paraId="2F3D43FB" w14:textId="736A63BD" w:rsidR="009124E8" w:rsidRPr="003F7395" w:rsidRDefault="009124E8" w:rsidP="003F7395">
      <w:pPr>
        <w:spacing w:after="0" w:line="240" w:lineRule="auto"/>
        <w:jc w:val="both"/>
        <w:rPr>
          <w:rFonts w:ascii="Calibri" w:eastAsia="Times New Roman" w:hAnsi="Calibri" w:cs="Calibri"/>
          <w:b/>
          <w:bCs/>
          <w:color w:val="002060"/>
          <w:kern w:val="0"/>
          <w:u w:val="single"/>
          <w14:ligatures w14:val="none"/>
        </w:rPr>
      </w:pPr>
      <w:r>
        <w:rPr>
          <w:noProof/>
        </w:rPr>
        <w:drawing>
          <wp:inline distT="0" distB="0" distL="0" distR="0" wp14:anchorId="538137A8" wp14:editId="1CB68106">
            <wp:extent cx="6210935" cy="1870207"/>
            <wp:effectExtent l="0" t="0" r="0" b="0"/>
            <wp:docPr id="22" name="Gráfico 22">
              <a:extLst xmlns:a="http://schemas.openxmlformats.org/drawingml/2006/main">
                <a:ext uri="{FF2B5EF4-FFF2-40B4-BE49-F238E27FC236}">
                  <a16:creationId xmlns:a16="http://schemas.microsoft.com/office/drawing/2014/main" id="{E854046A-5752-4FC9-8821-1BD41DC8E3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DCC0DE1" w14:textId="77777777" w:rsidR="00871656" w:rsidRDefault="00871656" w:rsidP="00871656">
      <w:pPr>
        <w:spacing w:after="0" w:line="240" w:lineRule="auto"/>
        <w:jc w:val="both"/>
        <w:rPr>
          <w:rFonts w:ascii="Calibri" w:eastAsia="Times New Roman" w:hAnsi="Calibri" w:cs="Calibri"/>
          <w:b/>
          <w:bCs/>
          <w:color w:val="002060"/>
          <w:kern w:val="0"/>
          <w:u w:val="single"/>
          <w14:ligatures w14:val="none"/>
        </w:rPr>
      </w:pPr>
    </w:p>
    <w:p w14:paraId="14B5F8CD" w14:textId="39424133" w:rsidR="00871656" w:rsidRPr="00871656" w:rsidRDefault="00871656" w:rsidP="00871656">
      <w:pPr>
        <w:spacing w:after="0" w:line="240" w:lineRule="auto"/>
        <w:jc w:val="both"/>
        <w:rPr>
          <w:rFonts w:ascii="Calibri" w:eastAsia="Times New Roman" w:hAnsi="Calibri" w:cs="Calibri"/>
          <w:b/>
          <w:bCs/>
          <w:color w:val="002060"/>
          <w:kern w:val="0"/>
          <w:u w:val="single"/>
          <w14:ligatures w14:val="none"/>
        </w:rPr>
      </w:pPr>
      <w:r w:rsidRPr="00871656">
        <w:rPr>
          <w:rFonts w:ascii="Calibri" w:eastAsia="Times New Roman" w:hAnsi="Calibri" w:cs="Calibri"/>
          <w:b/>
          <w:bCs/>
          <w:color w:val="002060"/>
          <w:kern w:val="0"/>
          <w:u w:val="single"/>
          <w14:ligatures w14:val="none"/>
        </w:rPr>
        <w:t>Evolução da Receita Operacional Bruta 2022 – 2023 – R$ mil</w:t>
      </w:r>
    </w:p>
    <w:p w14:paraId="48C4D923" w14:textId="77777777" w:rsidR="003F7395" w:rsidRPr="003F7395" w:rsidRDefault="003F7395" w:rsidP="003F7395">
      <w:pPr>
        <w:spacing w:after="0" w:line="240" w:lineRule="auto"/>
        <w:jc w:val="both"/>
        <w:rPr>
          <w:rFonts w:ascii="Calibri" w:eastAsia="Times New Roman" w:hAnsi="Calibri" w:cs="Calibri"/>
          <w:color w:val="002060"/>
          <w:kern w:val="0"/>
          <w14:ligatures w14:val="none"/>
        </w:rPr>
      </w:pPr>
    </w:p>
    <w:p w14:paraId="2A8541BC" w14:textId="5145BDB0" w:rsidR="003F7395" w:rsidRDefault="00871656" w:rsidP="003F7395">
      <w:pPr>
        <w:jc w:val="both"/>
        <w:rPr>
          <w:rFonts w:ascii="Calibri" w:eastAsia="Times New Roman" w:hAnsi="Calibri" w:cs="Calibri"/>
          <w:color w:val="002060"/>
          <w:kern w:val="0"/>
          <w14:ligatures w14:val="none"/>
        </w:rPr>
      </w:pPr>
      <w:r>
        <w:rPr>
          <w:noProof/>
        </w:rPr>
        <w:drawing>
          <wp:inline distT="0" distB="0" distL="0" distR="0" wp14:anchorId="7B8ADF1A" wp14:editId="64BCC6BB">
            <wp:extent cx="6210935" cy="2271992"/>
            <wp:effectExtent l="0" t="0" r="0" b="0"/>
            <wp:docPr id="23" name="Gráfico 23">
              <a:extLst xmlns:a="http://schemas.openxmlformats.org/drawingml/2006/main">
                <a:ext uri="{FF2B5EF4-FFF2-40B4-BE49-F238E27FC236}">
                  <a16:creationId xmlns:a16="http://schemas.microsoft.com/office/drawing/2014/main" id="{F635489A-4D91-4F86-80BA-52ACCEF7B4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5378B88" w14:textId="0AFAAE63" w:rsidR="003F7395" w:rsidRPr="003F7395" w:rsidRDefault="00871656" w:rsidP="003F7395">
      <w:pPr>
        <w:jc w:val="both"/>
        <w:rPr>
          <w:rFonts w:ascii="Calibri" w:eastAsia="Times New Roman" w:hAnsi="Calibri" w:cs="Calibri"/>
          <w:color w:val="002060"/>
          <w:kern w:val="0"/>
          <w14:ligatures w14:val="none"/>
        </w:rPr>
      </w:pPr>
      <w:r w:rsidRPr="00871656">
        <w:rPr>
          <w:rFonts w:ascii="Calibri" w:eastAsia="Times New Roman" w:hAnsi="Calibri" w:cs="Calibri"/>
          <w:b/>
          <w:bCs/>
          <w:color w:val="002060"/>
          <w:kern w:val="0"/>
          <w:u w:val="single"/>
          <w14:ligatures w14:val="none"/>
        </w:rPr>
        <w:lastRenderedPageBreak/>
        <w:t>Custos e Despesas Operacionais Vinculadas às Funções: Custo dos Serviços Prestados, Comercialização dos Serviços e Despesas Geras e Administrativa (Exceto Depreciação e Amortização</w:t>
      </w:r>
      <w:r>
        <w:rPr>
          <w:rFonts w:ascii="Calibri" w:eastAsia="Times New Roman" w:hAnsi="Calibri" w:cs="Calibri"/>
          <w:b/>
          <w:bCs/>
          <w:color w:val="002060"/>
          <w:kern w:val="0"/>
          <w:u w:val="single"/>
          <w14:ligatures w14:val="none"/>
        </w:rPr>
        <w:t>)</w:t>
      </w:r>
    </w:p>
    <w:tbl>
      <w:tblPr>
        <w:tblW w:w="5000" w:type="pct"/>
        <w:tblCellMar>
          <w:left w:w="70" w:type="dxa"/>
          <w:right w:w="70" w:type="dxa"/>
        </w:tblCellMar>
        <w:tblLook w:val="04A0" w:firstRow="1" w:lastRow="0" w:firstColumn="1" w:lastColumn="0" w:noHBand="0" w:noVBand="1"/>
      </w:tblPr>
      <w:tblGrid>
        <w:gridCol w:w="2547"/>
        <w:gridCol w:w="907"/>
        <w:gridCol w:w="908"/>
        <w:gridCol w:w="908"/>
        <w:gridCol w:w="146"/>
        <w:gridCol w:w="679"/>
        <w:gridCol w:w="679"/>
        <w:gridCol w:w="146"/>
        <w:gridCol w:w="908"/>
        <w:gridCol w:w="1128"/>
        <w:gridCol w:w="146"/>
        <w:gridCol w:w="679"/>
      </w:tblGrid>
      <w:tr w:rsidR="00871656" w:rsidRPr="00871656" w14:paraId="62CC0741" w14:textId="77777777" w:rsidTr="00446A14">
        <w:trPr>
          <w:trHeight w:val="227"/>
        </w:trPr>
        <w:tc>
          <w:tcPr>
            <w:tcW w:w="1322" w:type="pct"/>
            <w:tcBorders>
              <w:top w:val="nil"/>
              <w:left w:val="nil"/>
              <w:bottom w:val="nil"/>
              <w:right w:val="nil"/>
            </w:tcBorders>
            <w:shd w:val="clear" w:color="auto" w:fill="auto"/>
            <w:noWrap/>
            <w:vAlign w:val="bottom"/>
            <w:hideMark/>
          </w:tcPr>
          <w:p w14:paraId="129C3743" w14:textId="77777777" w:rsidR="00871656" w:rsidRPr="00871656" w:rsidRDefault="00871656" w:rsidP="00871656">
            <w:pPr>
              <w:spacing w:after="0" w:line="240" w:lineRule="auto"/>
              <w:rPr>
                <w:rFonts w:ascii="Times New Roman" w:eastAsia="Times New Roman" w:hAnsi="Times New Roman" w:cs="Times New Roman"/>
                <w:kern w:val="0"/>
                <w:sz w:val="20"/>
                <w:szCs w:val="20"/>
                <w:lang w:eastAsia="pt-BR"/>
                <w14:ligatures w14:val="none"/>
              </w:rPr>
            </w:pPr>
            <w:bookmarkStart w:id="440" w:name="_Hlk162368831"/>
          </w:p>
        </w:tc>
        <w:tc>
          <w:tcPr>
            <w:tcW w:w="2144" w:type="pct"/>
            <w:gridSpan w:val="6"/>
            <w:tcBorders>
              <w:top w:val="nil"/>
              <w:left w:val="nil"/>
              <w:bottom w:val="single" w:sz="8" w:space="0" w:color="auto"/>
              <w:right w:val="nil"/>
            </w:tcBorders>
            <w:shd w:val="clear" w:color="auto" w:fill="auto"/>
            <w:noWrap/>
            <w:vAlign w:val="center"/>
            <w:hideMark/>
          </w:tcPr>
          <w:p w14:paraId="0E00C99A" w14:textId="77777777" w:rsidR="00871656" w:rsidRPr="00871656" w:rsidRDefault="00871656" w:rsidP="00871656">
            <w:pPr>
              <w:spacing w:after="0" w:line="240" w:lineRule="auto"/>
              <w:jc w:val="center"/>
              <w:rPr>
                <w:rFonts w:ascii="Arial" w:eastAsia="Times New Roman" w:hAnsi="Arial" w:cs="Arial"/>
                <w:b/>
                <w:bCs/>
                <w:color w:val="000000"/>
                <w:kern w:val="0"/>
                <w:sz w:val="16"/>
                <w:szCs w:val="16"/>
                <w:lang w:eastAsia="pt-BR"/>
                <w14:ligatures w14:val="none"/>
              </w:rPr>
            </w:pPr>
            <w:r w:rsidRPr="00871656">
              <w:rPr>
                <w:rFonts w:ascii="Arial" w:eastAsia="Times New Roman" w:hAnsi="Arial" w:cs="Arial"/>
                <w:b/>
                <w:bCs/>
                <w:color w:val="000000"/>
                <w:kern w:val="0"/>
                <w:sz w:val="16"/>
                <w:szCs w:val="16"/>
                <w:lang w:eastAsia="pt-BR"/>
                <w14:ligatures w14:val="none"/>
              </w:rPr>
              <w:t>Trimestres</w:t>
            </w:r>
          </w:p>
        </w:tc>
        <w:tc>
          <w:tcPr>
            <w:tcW w:w="77" w:type="pct"/>
            <w:tcBorders>
              <w:top w:val="nil"/>
              <w:left w:val="nil"/>
              <w:bottom w:val="nil"/>
              <w:right w:val="nil"/>
            </w:tcBorders>
            <w:shd w:val="clear" w:color="auto" w:fill="auto"/>
            <w:noWrap/>
            <w:vAlign w:val="bottom"/>
            <w:hideMark/>
          </w:tcPr>
          <w:p w14:paraId="4F42DEA1" w14:textId="77777777" w:rsidR="00871656" w:rsidRPr="00871656" w:rsidRDefault="00871656" w:rsidP="00871656">
            <w:pPr>
              <w:spacing w:after="0" w:line="240" w:lineRule="auto"/>
              <w:jc w:val="center"/>
              <w:rPr>
                <w:rFonts w:ascii="Arial" w:eastAsia="Times New Roman" w:hAnsi="Arial" w:cs="Arial"/>
                <w:b/>
                <w:bCs/>
                <w:color w:val="000000"/>
                <w:kern w:val="0"/>
                <w:sz w:val="16"/>
                <w:szCs w:val="16"/>
                <w:lang w:eastAsia="pt-BR"/>
                <w14:ligatures w14:val="none"/>
              </w:rPr>
            </w:pPr>
          </w:p>
        </w:tc>
        <w:tc>
          <w:tcPr>
            <w:tcW w:w="433" w:type="pct"/>
            <w:tcBorders>
              <w:top w:val="nil"/>
              <w:left w:val="nil"/>
              <w:bottom w:val="nil"/>
              <w:right w:val="nil"/>
            </w:tcBorders>
            <w:shd w:val="clear" w:color="auto" w:fill="auto"/>
            <w:noWrap/>
            <w:vAlign w:val="bottom"/>
            <w:hideMark/>
          </w:tcPr>
          <w:p w14:paraId="53639D7B" w14:textId="77777777" w:rsidR="00871656" w:rsidRPr="00871656" w:rsidRDefault="00871656" w:rsidP="00871656">
            <w:pPr>
              <w:spacing w:after="0" w:line="240" w:lineRule="auto"/>
              <w:rPr>
                <w:rFonts w:ascii="Times New Roman" w:eastAsia="Times New Roman" w:hAnsi="Times New Roman" w:cs="Times New Roman"/>
                <w:kern w:val="0"/>
                <w:sz w:val="20"/>
                <w:szCs w:val="20"/>
                <w:lang w:eastAsia="pt-BR"/>
                <w14:ligatures w14:val="none"/>
              </w:rPr>
            </w:pPr>
          </w:p>
        </w:tc>
        <w:tc>
          <w:tcPr>
            <w:tcW w:w="538" w:type="pct"/>
            <w:tcBorders>
              <w:top w:val="nil"/>
              <w:left w:val="nil"/>
              <w:bottom w:val="nil"/>
              <w:right w:val="nil"/>
            </w:tcBorders>
            <w:shd w:val="clear" w:color="auto" w:fill="auto"/>
            <w:noWrap/>
            <w:vAlign w:val="bottom"/>
            <w:hideMark/>
          </w:tcPr>
          <w:p w14:paraId="2F9D4D1A" w14:textId="77777777" w:rsidR="00871656" w:rsidRPr="00871656" w:rsidRDefault="00871656" w:rsidP="00871656">
            <w:pPr>
              <w:spacing w:after="0" w:line="240" w:lineRule="auto"/>
              <w:rPr>
                <w:rFonts w:ascii="Times New Roman" w:eastAsia="Times New Roman" w:hAnsi="Times New Roman" w:cs="Times New Roman"/>
                <w:kern w:val="0"/>
                <w:sz w:val="20"/>
                <w:szCs w:val="20"/>
                <w:lang w:eastAsia="pt-BR"/>
                <w14:ligatures w14:val="none"/>
              </w:rPr>
            </w:pPr>
          </w:p>
        </w:tc>
        <w:tc>
          <w:tcPr>
            <w:tcW w:w="77" w:type="pct"/>
            <w:tcBorders>
              <w:top w:val="nil"/>
              <w:left w:val="nil"/>
              <w:bottom w:val="nil"/>
              <w:right w:val="nil"/>
            </w:tcBorders>
            <w:shd w:val="clear" w:color="auto" w:fill="auto"/>
            <w:noWrap/>
            <w:vAlign w:val="bottom"/>
            <w:hideMark/>
          </w:tcPr>
          <w:p w14:paraId="40A3BAFB" w14:textId="77777777" w:rsidR="00871656" w:rsidRPr="00871656" w:rsidRDefault="00871656" w:rsidP="00871656">
            <w:pPr>
              <w:spacing w:after="0" w:line="240" w:lineRule="auto"/>
              <w:rPr>
                <w:rFonts w:ascii="Times New Roman" w:eastAsia="Times New Roman" w:hAnsi="Times New Roman" w:cs="Times New Roman"/>
                <w:kern w:val="0"/>
                <w:sz w:val="20"/>
                <w:szCs w:val="20"/>
                <w:lang w:eastAsia="pt-BR"/>
                <w14:ligatures w14:val="none"/>
              </w:rPr>
            </w:pPr>
          </w:p>
        </w:tc>
        <w:tc>
          <w:tcPr>
            <w:tcW w:w="409" w:type="pct"/>
            <w:tcBorders>
              <w:top w:val="nil"/>
              <w:left w:val="nil"/>
              <w:bottom w:val="nil"/>
              <w:right w:val="nil"/>
            </w:tcBorders>
            <w:shd w:val="clear" w:color="auto" w:fill="auto"/>
            <w:noWrap/>
            <w:vAlign w:val="bottom"/>
            <w:hideMark/>
          </w:tcPr>
          <w:p w14:paraId="64491589" w14:textId="77777777" w:rsidR="00871656" w:rsidRPr="00871656" w:rsidRDefault="00871656" w:rsidP="00871656">
            <w:pPr>
              <w:spacing w:after="0" w:line="240" w:lineRule="auto"/>
              <w:rPr>
                <w:rFonts w:ascii="Times New Roman" w:eastAsia="Times New Roman" w:hAnsi="Times New Roman" w:cs="Times New Roman"/>
                <w:kern w:val="0"/>
                <w:sz w:val="20"/>
                <w:szCs w:val="20"/>
                <w:lang w:eastAsia="pt-BR"/>
                <w14:ligatures w14:val="none"/>
              </w:rPr>
            </w:pPr>
          </w:p>
        </w:tc>
      </w:tr>
      <w:tr w:rsidR="00871656" w:rsidRPr="00871656" w14:paraId="6EAAC05C" w14:textId="77777777" w:rsidTr="00446A14">
        <w:trPr>
          <w:trHeight w:val="40"/>
        </w:trPr>
        <w:tc>
          <w:tcPr>
            <w:tcW w:w="1322" w:type="pct"/>
            <w:tcBorders>
              <w:top w:val="nil"/>
              <w:left w:val="nil"/>
              <w:bottom w:val="nil"/>
              <w:right w:val="nil"/>
            </w:tcBorders>
            <w:shd w:val="clear" w:color="auto" w:fill="auto"/>
            <w:noWrap/>
            <w:vAlign w:val="bottom"/>
            <w:hideMark/>
          </w:tcPr>
          <w:p w14:paraId="483F2453" w14:textId="77777777" w:rsidR="00871656" w:rsidRPr="00871656" w:rsidRDefault="00871656" w:rsidP="00871656">
            <w:pPr>
              <w:spacing w:after="0" w:line="240" w:lineRule="auto"/>
              <w:rPr>
                <w:rFonts w:ascii="Times New Roman" w:eastAsia="Times New Roman" w:hAnsi="Times New Roman" w:cs="Times New Roman"/>
                <w:kern w:val="0"/>
                <w:sz w:val="20"/>
                <w:szCs w:val="20"/>
                <w:lang w:eastAsia="pt-BR"/>
                <w14:ligatures w14:val="none"/>
              </w:rPr>
            </w:pPr>
          </w:p>
        </w:tc>
        <w:tc>
          <w:tcPr>
            <w:tcW w:w="448" w:type="pct"/>
            <w:tcBorders>
              <w:top w:val="nil"/>
              <w:left w:val="nil"/>
              <w:bottom w:val="nil"/>
              <w:right w:val="nil"/>
            </w:tcBorders>
            <w:shd w:val="clear" w:color="auto" w:fill="auto"/>
            <w:noWrap/>
            <w:vAlign w:val="bottom"/>
            <w:hideMark/>
          </w:tcPr>
          <w:p w14:paraId="39616A94" w14:textId="77777777" w:rsidR="00871656" w:rsidRPr="00871656" w:rsidRDefault="00871656" w:rsidP="00871656">
            <w:pPr>
              <w:spacing w:after="0" w:line="240" w:lineRule="auto"/>
              <w:rPr>
                <w:rFonts w:ascii="Times New Roman" w:eastAsia="Times New Roman" w:hAnsi="Times New Roman" w:cs="Times New Roman"/>
                <w:kern w:val="0"/>
                <w:sz w:val="20"/>
                <w:szCs w:val="20"/>
                <w:lang w:eastAsia="pt-BR"/>
                <w14:ligatures w14:val="none"/>
              </w:rPr>
            </w:pPr>
          </w:p>
        </w:tc>
        <w:tc>
          <w:tcPr>
            <w:tcW w:w="448" w:type="pct"/>
            <w:tcBorders>
              <w:top w:val="nil"/>
              <w:left w:val="nil"/>
              <w:bottom w:val="nil"/>
              <w:right w:val="nil"/>
            </w:tcBorders>
            <w:shd w:val="clear" w:color="auto" w:fill="auto"/>
            <w:noWrap/>
            <w:vAlign w:val="bottom"/>
            <w:hideMark/>
          </w:tcPr>
          <w:p w14:paraId="69429537" w14:textId="77777777" w:rsidR="00871656" w:rsidRPr="00871656" w:rsidRDefault="00871656" w:rsidP="00871656">
            <w:pPr>
              <w:spacing w:after="0" w:line="240" w:lineRule="auto"/>
              <w:rPr>
                <w:rFonts w:ascii="Times New Roman" w:eastAsia="Times New Roman" w:hAnsi="Times New Roman" w:cs="Times New Roman"/>
                <w:kern w:val="0"/>
                <w:sz w:val="20"/>
                <w:szCs w:val="20"/>
                <w:lang w:eastAsia="pt-BR"/>
                <w14:ligatures w14:val="none"/>
              </w:rPr>
            </w:pPr>
          </w:p>
        </w:tc>
        <w:tc>
          <w:tcPr>
            <w:tcW w:w="448" w:type="pct"/>
            <w:tcBorders>
              <w:top w:val="nil"/>
              <w:left w:val="nil"/>
              <w:bottom w:val="nil"/>
              <w:right w:val="nil"/>
            </w:tcBorders>
            <w:shd w:val="clear" w:color="auto" w:fill="auto"/>
            <w:noWrap/>
            <w:vAlign w:val="bottom"/>
            <w:hideMark/>
          </w:tcPr>
          <w:p w14:paraId="3A635CF0" w14:textId="77777777" w:rsidR="00871656" w:rsidRPr="00871656" w:rsidRDefault="00871656" w:rsidP="00871656">
            <w:pPr>
              <w:spacing w:after="0" w:line="240" w:lineRule="auto"/>
              <w:rPr>
                <w:rFonts w:ascii="Times New Roman" w:eastAsia="Times New Roman" w:hAnsi="Times New Roman" w:cs="Times New Roman"/>
                <w:kern w:val="0"/>
                <w:sz w:val="20"/>
                <w:szCs w:val="20"/>
                <w:lang w:eastAsia="pt-BR"/>
                <w14:ligatures w14:val="none"/>
              </w:rPr>
            </w:pPr>
          </w:p>
        </w:tc>
        <w:tc>
          <w:tcPr>
            <w:tcW w:w="77" w:type="pct"/>
            <w:tcBorders>
              <w:top w:val="nil"/>
              <w:left w:val="nil"/>
              <w:bottom w:val="nil"/>
              <w:right w:val="nil"/>
            </w:tcBorders>
            <w:shd w:val="clear" w:color="auto" w:fill="auto"/>
            <w:noWrap/>
            <w:vAlign w:val="bottom"/>
            <w:hideMark/>
          </w:tcPr>
          <w:p w14:paraId="10F123A1" w14:textId="77777777" w:rsidR="00871656" w:rsidRPr="00871656" w:rsidRDefault="00871656" w:rsidP="00871656">
            <w:pPr>
              <w:spacing w:after="0" w:line="240" w:lineRule="auto"/>
              <w:rPr>
                <w:rFonts w:ascii="Times New Roman" w:eastAsia="Times New Roman" w:hAnsi="Times New Roman" w:cs="Times New Roman"/>
                <w:kern w:val="0"/>
                <w:sz w:val="20"/>
                <w:szCs w:val="20"/>
                <w:lang w:eastAsia="pt-BR"/>
                <w14:ligatures w14:val="none"/>
              </w:rPr>
            </w:pPr>
          </w:p>
        </w:tc>
        <w:tc>
          <w:tcPr>
            <w:tcW w:w="358" w:type="pct"/>
            <w:tcBorders>
              <w:top w:val="nil"/>
              <w:left w:val="nil"/>
              <w:bottom w:val="nil"/>
              <w:right w:val="nil"/>
            </w:tcBorders>
            <w:shd w:val="clear" w:color="auto" w:fill="auto"/>
            <w:noWrap/>
            <w:vAlign w:val="bottom"/>
            <w:hideMark/>
          </w:tcPr>
          <w:p w14:paraId="0DF0930F" w14:textId="77777777" w:rsidR="00871656" w:rsidRPr="00871656" w:rsidRDefault="00871656" w:rsidP="00871656">
            <w:pPr>
              <w:spacing w:after="0" w:line="240" w:lineRule="auto"/>
              <w:rPr>
                <w:rFonts w:ascii="Times New Roman" w:eastAsia="Times New Roman" w:hAnsi="Times New Roman" w:cs="Times New Roman"/>
                <w:kern w:val="0"/>
                <w:sz w:val="20"/>
                <w:szCs w:val="20"/>
                <w:lang w:eastAsia="pt-BR"/>
                <w14:ligatures w14:val="none"/>
              </w:rPr>
            </w:pPr>
          </w:p>
        </w:tc>
        <w:tc>
          <w:tcPr>
            <w:tcW w:w="366" w:type="pct"/>
            <w:tcBorders>
              <w:top w:val="nil"/>
              <w:left w:val="nil"/>
              <w:bottom w:val="nil"/>
              <w:right w:val="nil"/>
            </w:tcBorders>
            <w:shd w:val="clear" w:color="auto" w:fill="auto"/>
            <w:noWrap/>
            <w:vAlign w:val="bottom"/>
            <w:hideMark/>
          </w:tcPr>
          <w:p w14:paraId="6146696F" w14:textId="77777777" w:rsidR="00871656" w:rsidRPr="00871656" w:rsidRDefault="00871656" w:rsidP="00871656">
            <w:pPr>
              <w:spacing w:after="0" w:line="240" w:lineRule="auto"/>
              <w:rPr>
                <w:rFonts w:ascii="Times New Roman" w:eastAsia="Times New Roman" w:hAnsi="Times New Roman" w:cs="Times New Roman"/>
                <w:kern w:val="0"/>
                <w:sz w:val="20"/>
                <w:szCs w:val="20"/>
                <w:lang w:eastAsia="pt-BR"/>
                <w14:ligatures w14:val="none"/>
              </w:rPr>
            </w:pPr>
          </w:p>
        </w:tc>
        <w:tc>
          <w:tcPr>
            <w:tcW w:w="77" w:type="pct"/>
            <w:tcBorders>
              <w:top w:val="nil"/>
              <w:left w:val="nil"/>
              <w:bottom w:val="nil"/>
              <w:right w:val="nil"/>
            </w:tcBorders>
            <w:shd w:val="clear" w:color="auto" w:fill="auto"/>
            <w:noWrap/>
            <w:vAlign w:val="bottom"/>
            <w:hideMark/>
          </w:tcPr>
          <w:p w14:paraId="6547AFFF" w14:textId="77777777" w:rsidR="00871656" w:rsidRPr="00871656" w:rsidRDefault="00871656" w:rsidP="00871656">
            <w:pPr>
              <w:spacing w:after="0" w:line="240" w:lineRule="auto"/>
              <w:rPr>
                <w:rFonts w:ascii="Times New Roman" w:eastAsia="Times New Roman" w:hAnsi="Times New Roman" w:cs="Times New Roman"/>
                <w:kern w:val="0"/>
                <w:sz w:val="20"/>
                <w:szCs w:val="20"/>
                <w:lang w:eastAsia="pt-BR"/>
                <w14:ligatures w14:val="none"/>
              </w:rPr>
            </w:pPr>
          </w:p>
        </w:tc>
        <w:tc>
          <w:tcPr>
            <w:tcW w:w="433" w:type="pct"/>
            <w:tcBorders>
              <w:top w:val="nil"/>
              <w:left w:val="nil"/>
              <w:bottom w:val="nil"/>
              <w:right w:val="nil"/>
            </w:tcBorders>
            <w:shd w:val="clear" w:color="auto" w:fill="auto"/>
            <w:noWrap/>
            <w:vAlign w:val="bottom"/>
            <w:hideMark/>
          </w:tcPr>
          <w:p w14:paraId="0A37C054" w14:textId="77777777" w:rsidR="00871656" w:rsidRPr="00871656" w:rsidRDefault="00871656" w:rsidP="00871656">
            <w:pPr>
              <w:spacing w:after="0" w:line="240" w:lineRule="auto"/>
              <w:rPr>
                <w:rFonts w:ascii="Times New Roman" w:eastAsia="Times New Roman" w:hAnsi="Times New Roman" w:cs="Times New Roman"/>
                <w:kern w:val="0"/>
                <w:sz w:val="20"/>
                <w:szCs w:val="20"/>
                <w:lang w:eastAsia="pt-BR"/>
                <w14:ligatures w14:val="none"/>
              </w:rPr>
            </w:pPr>
          </w:p>
        </w:tc>
        <w:tc>
          <w:tcPr>
            <w:tcW w:w="538" w:type="pct"/>
            <w:tcBorders>
              <w:top w:val="nil"/>
              <w:left w:val="nil"/>
              <w:bottom w:val="nil"/>
              <w:right w:val="nil"/>
            </w:tcBorders>
            <w:shd w:val="clear" w:color="auto" w:fill="auto"/>
            <w:noWrap/>
            <w:vAlign w:val="bottom"/>
            <w:hideMark/>
          </w:tcPr>
          <w:p w14:paraId="17D9FF34" w14:textId="77777777" w:rsidR="00871656" w:rsidRPr="00871656" w:rsidRDefault="00871656" w:rsidP="00871656">
            <w:pPr>
              <w:spacing w:after="0" w:line="240" w:lineRule="auto"/>
              <w:rPr>
                <w:rFonts w:ascii="Times New Roman" w:eastAsia="Times New Roman" w:hAnsi="Times New Roman" w:cs="Times New Roman"/>
                <w:kern w:val="0"/>
                <w:sz w:val="20"/>
                <w:szCs w:val="20"/>
                <w:lang w:eastAsia="pt-BR"/>
                <w14:ligatures w14:val="none"/>
              </w:rPr>
            </w:pPr>
          </w:p>
        </w:tc>
        <w:tc>
          <w:tcPr>
            <w:tcW w:w="77" w:type="pct"/>
            <w:tcBorders>
              <w:top w:val="nil"/>
              <w:left w:val="nil"/>
              <w:bottom w:val="nil"/>
              <w:right w:val="nil"/>
            </w:tcBorders>
            <w:shd w:val="clear" w:color="auto" w:fill="auto"/>
            <w:noWrap/>
            <w:vAlign w:val="bottom"/>
            <w:hideMark/>
          </w:tcPr>
          <w:p w14:paraId="21203992" w14:textId="77777777" w:rsidR="00871656" w:rsidRPr="00871656" w:rsidRDefault="00871656" w:rsidP="00871656">
            <w:pPr>
              <w:spacing w:after="0" w:line="240" w:lineRule="auto"/>
              <w:rPr>
                <w:rFonts w:ascii="Times New Roman" w:eastAsia="Times New Roman" w:hAnsi="Times New Roman" w:cs="Times New Roman"/>
                <w:kern w:val="0"/>
                <w:sz w:val="20"/>
                <w:szCs w:val="20"/>
                <w:lang w:eastAsia="pt-BR"/>
                <w14:ligatures w14:val="none"/>
              </w:rPr>
            </w:pPr>
          </w:p>
        </w:tc>
        <w:tc>
          <w:tcPr>
            <w:tcW w:w="409" w:type="pct"/>
            <w:tcBorders>
              <w:top w:val="nil"/>
              <w:left w:val="nil"/>
              <w:bottom w:val="nil"/>
              <w:right w:val="nil"/>
            </w:tcBorders>
            <w:shd w:val="clear" w:color="auto" w:fill="auto"/>
            <w:noWrap/>
            <w:vAlign w:val="bottom"/>
            <w:hideMark/>
          </w:tcPr>
          <w:p w14:paraId="6C4D5B0C" w14:textId="77777777" w:rsidR="00871656" w:rsidRPr="00871656" w:rsidRDefault="00871656" w:rsidP="00871656">
            <w:pPr>
              <w:spacing w:after="0" w:line="240" w:lineRule="auto"/>
              <w:rPr>
                <w:rFonts w:ascii="Times New Roman" w:eastAsia="Times New Roman" w:hAnsi="Times New Roman" w:cs="Times New Roman"/>
                <w:kern w:val="0"/>
                <w:sz w:val="20"/>
                <w:szCs w:val="20"/>
                <w:lang w:eastAsia="pt-BR"/>
                <w14:ligatures w14:val="none"/>
              </w:rPr>
            </w:pPr>
          </w:p>
        </w:tc>
      </w:tr>
      <w:tr w:rsidR="00871656" w:rsidRPr="00871656" w14:paraId="7A5EE218" w14:textId="77777777" w:rsidTr="00446A14">
        <w:trPr>
          <w:trHeight w:val="227"/>
        </w:trPr>
        <w:tc>
          <w:tcPr>
            <w:tcW w:w="1322" w:type="pct"/>
            <w:tcBorders>
              <w:top w:val="nil"/>
              <w:left w:val="nil"/>
              <w:bottom w:val="nil"/>
              <w:right w:val="nil"/>
            </w:tcBorders>
            <w:shd w:val="clear" w:color="000000" w:fill="75F6F9"/>
            <w:noWrap/>
            <w:vAlign w:val="bottom"/>
            <w:hideMark/>
          </w:tcPr>
          <w:p w14:paraId="27A283EE" w14:textId="77777777" w:rsidR="00871656" w:rsidRPr="00871656" w:rsidRDefault="00871656" w:rsidP="00871656">
            <w:pPr>
              <w:spacing w:after="0" w:line="240" w:lineRule="auto"/>
              <w:rPr>
                <w:rFonts w:ascii="Arial" w:eastAsia="Times New Roman" w:hAnsi="Arial" w:cs="Arial"/>
                <w:b/>
                <w:bCs/>
                <w:color w:val="000000"/>
                <w:kern w:val="0"/>
                <w:sz w:val="16"/>
                <w:szCs w:val="16"/>
                <w:lang w:eastAsia="pt-BR"/>
                <w14:ligatures w14:val="none"/>
              </w:rPr>
            </w:pPr>
            <w:r w:rsidRPr="00871656">
              <w:rPr>
                <w:rFonts w:ascii="Arial" w:eastAsia="Times New Roman" w:hAnsi="Arial" w:cs="Arial"/>
                <w:b/>
                <w:bCs/>
                <w:color w:val="000000"/>
                <w:kern w:val="0"/>
                <w:sz w:val="16"/>
                <w:szCs w:val="16"/>
                <w:lang w:eastAsia="pt-BR"/>
                <w14:ligatures w14:val="none"/>
              </w:rPr>
              <w:t>R$ mil</w:t>
            </w:r>
          </w:p>
        </w:tc>
        <w:tc>
          <w:tcPr>
            <w:tcW w:w="448" w:type="pct"/>
            <w:tcBorders>
              <w:top w:val="nil"/>
              <w:left w:val="nil"/>
              <w:bottom w:val="nil"/>
              <w:right w:val="nil"/>
            </w:tcBorders>
            <w:shd w:val="clear" w:color="000000" w:fill="75F6F9"/>
            <w:noWrap/>
            <w:vAlign w:val="center"/>
            <w:hideMark/>
          </w:tcPr>
          <w:p w14:paraId="20AC1AB4" w14:textId="77777777" w:rsidR="00871656" w:rsidRPr="00871656" w:rsidRDefault="00871656" w:rsidP="00871656">
            <w:pPr>
              <w:spacing w:after="0" w:line="240" w:lineRule="auto"/>
              <w:jc w:val="center"/>
              <w:rPr>
                <w:rFonts w:ascii="Arial" w:eastAsia="Times New Roman" w:hAnsi="Arial" w:cs="Arial"/>
                <w:b/>
                <w:bCs/>
                <w:color w:val="000000"/>
                <w:kern w:val="0"/>
                <w:sz w:val="16"/>
                <w:szCs w:val="16"/>
                <w:lang w:eastAsia="pt-BR"/>
                <w14:ligatures w14:val="none"/>
              </w:rPr>
            </w:pPr>
            <w:r w:rsidRPr="00871656">
              <w:rPr>
                <w:rFonts w:ascii="Arial" w:eastAsia="Times New Roman" w:hAnsi="Arial" w:cs="Arial"/>
                <w:b/>
                <w:bCs/>
                <w:color w:val="000000"/>
                <w:kern w:val="0"/>
                <w:sz w:val="16"/>
                <w:szCs w:val="16"/>
                <w:lang w:eastAsia="pt-BR"/>
                <w14:ligatures w14:val="none"/>
              </w:rPr>
              <w:t>4T23</w:t>
            </w:r>
          </w:p>
        </w:tc>
        <w:tc>
          <w:tcPr>
            <w:tcW w:w="448" w:type="pct"/>
            <w:tcBorders>
              <w:top w:val="nil"/>
              <w:left w:val="nil"/>
              <w:bottom w:val="nil"/>
              <w:right w:val="nil"/>
            </w:tcBorders>
            <w:shd w:val="clear" w:color="000000" w:fill="75F6F9"/>
            <w:noWrap/>
            <w:vAlign w:val="center"/>
            <w:hideMark/>
          </w:tcPr>
          <w:p w14:paraId="05892BAF" w14:textId="77777777" w:rsidR="00871656" w:rsidRPr="00871656" w:rsidRDefault="00871656" w:rsidP="00871656">
            <w:pPr>
              <w:spacing w:after="0" w:line="240" w:lineRule="auto"/>
              <w:jc w:val="center"/>
              <w:rPr>
                <w:rFonts w:ascii="Arial" w:eastAsia="Times New Roman" w:hAnsi="Arial" w:cs="Arial"/>
                <w:b/>
                <w:bCs/>
                <w:color w:val="000000"/>
                <w:kern w:val="0"/>
                <w:sz w:val="16"/>
                <w:szCs w:val="16"/>
                <w:lang w:eastAsia="pt-BR"/>
                <w14:ligatures w14:val="none"/>
              </w:rPr>
            </w:pPr>
            <w:r w:rsidRPr="00871656">
              <w:rPr>
                <w:rFonts w:ascii="Arial" w:eastAsia="Times New Roman" w:hAnsi="Arial" w:cs="Arial"/>
                <w:b/>
                <w:bCs/>
                <w:color w:val="000000"/>
                <w:kern w:val="0"/>
                <w:sz w:val="16"/>
                <w:szCs w:val="16"/>
                <w:lang w:eastAsia="pt-BR"/>
                <w14:ligatures w14:val="none"/>
              </w:rPr>
              <w:t>4T22</w:t>
            </w:r>
          </w:p>
        </w:tc>
        <w:tc>
          <w:tcPr>
            <w:tcW w:w="448" w:type="pct"/>
            <w:tcBorders>
              <w:top w:val="nil"/>
              <w:left w:val="nil"/>
              <w:bottom w:val="nil"/>
              <w:right w:val="nil"/>
            </w:tcBorders>
            <w:shd w:val="clear" w:color="000000" w:fill="75F6F9"/>
            <w:noWrap/>
            <w:vAlign w:val="center"/>
            <w:hideMark/>
          </w:tcPr>
          <w:p w14:paraId="7A5D8634" w14:textId="77777777" w:rsidR="00871656" w:rsidRPr="00871656" w:rsidRDefault="00871656" w:rsidP="00871656">
            <w:pPr>
              <w:spacing w:after="0" w:line="240" w:lineRule="auto"/>
              <w:jc w:val="center"/>
              <w:rPr>
                <w:rFonts w:ascii="Arial" w:eastAsia="Times New Roman" w:hAnsi="Arial" w:cs="Arial"/>
                <w:b/>
                <w:bCs/>
                <w:color w:val="000000"/>
                <w:kern w:val="0"/>
                <w:sz w:val="16"/>
                <w:szCs w:val="16"/>
                <w:lang w:eastAsia="pt-BR"/>
                <w14:ligatures w14:val="none"/>
              </w:rPr>
            </w:pPr>
            <w:r w:rsidRPr="00871656">
              <w:rPr>
                <w:rFonts w:ascii="Arial" w:eastAsia="Times New Roman" w:hAnsi="Arial" w:cs="Arial"/>
                <w:b/>
                <w:bCs/>
                <w:color w:val="000000"/>
                <w:kern w:val="0"/>
                <w:sz w:val="16"/>
                <w:szCs w:val="16"/>
                <w:lang w:eastAsia="pt-BR"/>
                <w14:ligatures w14:val="none"/>
              </w:rPr>
              <w:t>3T23</w:t>
            </w:r>
          </w:p>
        </w:tc>
        <w:tc>
          <w:tcPr>
            <w:tcW w:w="77" w:type="pct"/>
            <w:tcBorders>
              <w:top w:val="nil"/>
              <w:left w:val="nil"/>
              <w:bottom w:val="nil"/>
              <w:right w:val="nil"/>
            </w:tcBorders>
            <w:shd w:val="clear" w:color="auto" w:fill="auto"/>
            <w:noWrap/>
            <w:vAlign w:val="bottom"/>
            <w:hideMark/>
          </w:tcPr>
          <w:p w14:paraId="70F26A7B" w14:textId="77777777" w:rsidR="00871656" w:rsidRPr="00871656" w:rsidRDefault="00871656" w:rsidP="00871656">
            <w:pPr>
              <w:spacing w:after="0" w:line="240" w:lineRule="auto"/>
              <w:jc w:val="center"/>
              <w:rPr>
                <w:rFonts w:ascii="Arial" w:eastAsia="Times New Roman" w:hAnsi="Arial" w:cs="Arial"/>
                <w:b/>
                <w:bCs/>
                <w:color w:val="000000"/>
                <w:kern w:val="0"/>
                <w:sz w:val="16"/>
                <w:szCs w:val="16"/>
                <w:lang w:eastAsia="pt-BR"/>
                <w14:ligatures w14:val="none"/>
              </w:rPr>
            </w:pPr>
          </w:p>
        </w:tc>
        <w:tc>
          <w:tcPr>
            <w:tcW w:w="358" w:type="pct"/>
            <w:tcBorders>
              <w:top w:val="nil"/>
              <w:left w:val="nil"/>
              <w:bottom w:val="nil"/>
              <w:right w:val="nil"/>
            </w:tcBorders>
            <w:shd w:val="clear" w:color="000000" w:fill="75F6F9"/>
            <w:vAlign w:val="center"/>
            <w:hideMark/>
          </w:tcPr>
          <w:p w14:paraId="1EEBD89D" w14:textId="77777777" w:rsidR="00871656" w:rsidRPr="00871656" w:rsidRDefault="00871656" w:rsidP="00871656">
            <w:pPr>
              <w:spacing w:after="0" w:line="240" w:lineRule="auto"/>
              <w:jc w:val="center"/>
              <w:rPr>
                <w:rFonts w:ascii="Arial" w:eastAsia="Times New Roman" w:hAnsi="Arial" w:cs="Arial"/>
                <w:b/>
                <w:bCs/>
                <w:color w:val="000000"/>
                <w:kern w:val="0"/>
                <w:sz w:val="16"/>
                <w:szCs w:val="16"/>
                <w:lang w:eastAsia="pt-BR"/>
                <w14:ligatures w14:val="none"/>
              </w:rPr>
            </w:pPr>
            <w:r w:rsidRPr="00871656">
              <w:rPr>
                <w:rFonts w:ascii="Arial" w:eastAsia="Times New Roman" w:hAnsi="Arial" w:cs="Arial"/>
                <w:b/>
                <w:bCs/>
                <w:color w:val="000000"/>
                <w:kern w:val="0"/>
                <w:sz w:val="16"/>
                <w:szCs w:val="16"/>
                <w:lang w:eastAsia="pt-BR"/>
                <w14:ligatures w14:val="none"/>
              </w:rPr>
              <w:t>Δ Ano</w:t>
            </w:r>
          </w:p>
        </w:tc>
        <w:tc>
          <w:tcPr>
            <w:tcW w:w="366" w:type="pct"/>
            <w:tcBorders>
              <w:top w:val="nil"/>
              <w:left w:val="nil"/>
              <w:bottom w:val="nil"/>
              <w:right w:val="nil"/>
            </w:tcBorders>
            <w:shd w:val="clear" w:color="000000" w:fill="75F6F9"/>
            <w:vAlign w:val="center"/>
            <w:hideMark/>
          </w:tcPr>
          <w:p w14:paraId="58E1B01D" w14:textId="77777777" w:rsidR="00871656" w:rsidRPr="00871656" w:rsidRDefault="00871656" w:rsidP="00871656">
            <w:pPr>
              <w:spacing w:after="0" w:line="240" w:lineRule="auto"/>
              <w:jc w:val="center"/>
              <w:rPr>
                <w:rFonts w:ascii="Arial" w:eastAsia="Times New Roman" w:hAnsi="Arial" w:cs="Arial"/>
                <w:b/>
                <w:bCs/>
                <w:color w:val="000000"/>
                <w:kern w:val="0"/>
                <w:sz w:val="16"/>
                <w:szCs w:val="16"/>
                <w:lang w:eastAsia="pt-BR"/>
                <w14:ligatures w14:val="none"/>
              </w:rPr>
            </w:pPr>
            <w:r w:rsidRPr="00871656">
              <w:rPr>
                <w:rFonts w:ascii="Arial" w:eastAsia="Times New Roman" w:hAnsi="Arial" w:cs="Arial"/>
                <w:b/>
                <w:bCs/>
                <w:color w:val="000000"/>
                <w:kern w:val="0"/>
                <w:sz w:val="16"/>
                <w:szCs w:val="16"/>
                <w:lang w:eastAsia="pt-BR"/>
                <w14:ligatures w14:val="none"/>
              </w:rPr>
              <w:t>Δ Trim.</w:t>
            </w:r>
          </w:p>
        </w:tc>
        <w:tc>
          <w:tcPr>
            <w:tcW w:w="77" w:type="pct"/>
            <w:tcBorders>
              <w:top w:val="nil"/>
              <w:left w:val="nil"/>
              <w:bottom w:val="nil"/>
              <w:right w:val="nil"/>
            </w:tcBorders>
            <w:shd w:val="clear" w:color="auto" w:fill="auto"/>
            <w:noWrap/>
            <w:vAlign w:val="bottom"/>
            <w:hideMark/>
          </w:tcPr>
          <w:p w14:paraId="652E2166" w14:textId="77777777" w:rsidR="00871656" w:rsidRPr="00871656" w:rsidRDefault="00871656" w:rsidP="00871656">
            <w:pPr>
              <w:spacing w:after="0" w:line="240" w:lineRule="auto"/>
              <w:jc w:val="center"/>
              <w:rPr>
                <w:rFonts w:ascii="Arial" w:eastAsia="Times New Roman" w:hAnsi="Arial" w:cs="Arial"/>
                <w:b/>
                <w:bCs/>
                <w:color w:val="000000"/>
                <w:kern w:val="0"/>
                <w:sz w:val="16"/>
                <w:szCs w:val="16"/>
                <w:lang w:eastAsia="pt-BR"/>
                <w14:ligatures w14:val="none"/>
              </w:rPr>
            </w:pPr>
          </w:p>
        </w:tc>
        <w:tc>
          <w:tcPr>
            <w:tcW w:w="433" w:type="pct"/>
            <w:tcBorders>
              <w:top w:val="nil"/>
              <w:left w:val="nil"/>
              <w:bottom w:val="nil"/>
              <w:right w:val="nil"/>
            </w:tcBorders>
            <w:shd w:val="clear" w:color="000000" w:fill="75F6F9"/>
            <w:noWrap/>
            <w:vAlign w:val="center"/>
            <w:hideMark/>
          </w:tcPr>
          <w:p w14:paraId="35C4303B" w14:textId="77777777" w:rsidR="00871656" w:rsidRPr="00871656" w:rsidRDefault="00871656" w:rsidP="00871656">
            <w:pPr>
              <w:spacing w:after="0" w:line="240" w:lineRule="auto"/>
              <w:jc w:val="center"/>
              <w:rPr>
                <w:rFonts w:ascii="Arial" w:eastAsia="Times New Roman" w:hAnsi="Arial" w:cs="Arial"/>
                <w:b/>
                <w:bCs/>
                <w:color w:val="000000"/>
                <w:kern w:val="0"/>
                <w:sz w:val="16"/>
                <w:szCs w:val="16"/>
                <w:lang w:eastAsia="pt-BR"/>
                <w14:ligatures w14:val="none"/>
              </w:rPr>
            </w:pPr>
            <w:r w:rsidRPr="00871656">
              <w:rPr>
                <w:rFonts w:ascii="Arial" w:eastAsia="Times New Roman" w:hAnsi="Arial" w:cs="Arial"/>
                <w:b/>
                <w:bCs/>
                <w:color w:val="000000"/>
                <w:kern w:val="0"/>
                <w:sz w:val="16"/>
                <w:szCs w:val="16"/>
                <w:lang w:eastAsia="pt-BR"/>
                <w14:ligatures w14:val="none"/>
              </w:rPr>
              <w:t>2023</w:t>
            </w:r>
          </w:p>
        </w:tc>
        <w:tc>
          <w:tcPr>
            <w:tcW w:w="538" w:type="pct"/>
            <w:tcBorders>
              <w:top w:val="nil"/>
              <w:left w:val="nil"/>
              <w:bottom w:val="nil"/>
              <w:right w:val="nil"/>
            </w:tcBorders>
            <w:shd w:val="clear" w:color="000000" w:fill="75F6F9"/>
            <w:noWrap/>
            <w:vAlign w:val="center"/>
            <w:hideMark/>
          </w:tcPr>
          <w:p w14:paraId="427B09AC" w14:textId="77777777" w:rsidR="00871656" w:rsidRPr="00871656" w:rsidRDefault="00871656" w:rsidP="00871656">
            <w:pPr>
              <w:spacing w:after="0" w:line="240" w:lineRule="auto"/>
              <w:jc w:val="center"/>
              <w:rPr>
                <w:rFonts w:ascii="Arial" w:eastAsia="Times New Roman" w:hAnsi="Arial" w:cs="Arial"/>
                <w:b/>
                <w:bCs/>
                <w:color w:val="000000"/>
                <w:kern w:val="0"/>
                <w:sz w:val="16"/>
                <w:szCs w:val="16"/>
                <w:lang w:eastAsia="pt-BR"/>
                <w14:ligatures w14:val="none"/>
              </w:rPr>
            </w:pPr>
            <w:r w:rsidRPr="00871656">
              <w:rPr>
                <w:rFonts w:ascii="Arial" w:eastAsia="Times New Roman" w:hAnsi="Arial" w:cs="Arial"/>
                <w:b/>
                <w:bCs/>
                <w:color w:val="000000"/>
                <w:kern w:val="0"/>
                <w:sz w:val="16"/>
                <w:szCs w:val="16"/>
                <w:lang w:eastAsia="pt-BR"/>
                <w14:ligatures w14:val="none"/>
              </w:rPr>
              <w:t>2022</w:t>
            </w:r>
          </w:p>
        </w:tc>
        <w:tc>
          <w:tcPr>
            <w:tcW w:w="77" w:type="pct"/>
            <w:tcBorders>
              <w:top w:val="nil"/>
              <w:left w:val="nil"/>
              <w:bottom w:val="nil"/>
              <w:right w:val="nil"/>
            </w:tcBorders>
            <w:shd w:val="clear" w:color="auto" w:fill="auto"/>
            <w:noWrap/>
            <w:vAlign w:val="center"/>
            <w:hideMark/>
          </w:tcPr>
          <w:p w14:paraId="052ED4D8" w14:textId="77777777" w:rsidR="00871656" w:rsidRPr="00871656" w:rsidRDefault="00871656" w:rsidP="00871656">
            <w:pPr>
              <w:spacing w:after="0" w:line="240" w:lineRule="auto"/>
              <w:jc w:val="center"/>
              <w:rPr>
                <w:rFonts w:ascii="Arial" w:eastAsia="Times New Roman" w:hAnsi="Arial" w:cs="Arial"/>
                <w:b/>
                <w:bCs/>
                <w:color w:val="000000"/>
                <w:kern w:val="0"/>
                <w:sz w:val="16"/>
                <w:szCs w:val="16"/>
                <w:lang w:eastAsia="pt-BR"/>
                <w14:ligatures w14:val="none"/>
              </w:rPr>
            </w:pPr>
          </w:p>
        </w:tc>
        <w:tc>
          <w:tcPr>
            <w:tcW w:w="409" w:type="pct"/>
            <w:tcBorders>
              <w:top w:val="nil"/>
              <w:left w:val="nil"/>
              <w:bottom w:val="nil"/>
              <w:right w:val="nil"/>
            </w:tcBorders>
            <w:shd w:val="clear" w:color="000000" w:fill="75F6F9"/>
            <w:noWrap/>
            <w:vAlign w:val="center"/>
            <w:hideMark/>
          </w:tcPr>
          <w:p w14:paraId="70A80F46" w14:textId="77777777" w:rsidR="00871656" w:rsidRPr="00871656" w:rsidRDefault="00871656" w:rsidP="00871656">
            <w:pPr>
              <w:spacing w:after="0" w:line="240" w:lineRule="auto"/>
              <w:jc w:val="center"/>
              <w:rPr>
                <w:rFonts w:ascii="Arial" w:eastAsia="Times New Roman" w:hAnsi="Arial" w:cs="Arial"/>
                <w:b/>
                <w:bCs/>
                <w:color w:val="000000"/>
                <w:kern w:val="0"/>
                <w:sz w:val="16"/>
                <w:szCs w:val="16"/>
                <w:lang w:eastAsia="pt-BR"/>
                <w14:ligatures w14:val="none"/>
              </w:rPr>
            </w:pPr>
            <w:r w:rsidRPr="00871656">
              <w:rPr>
                <w:rFonts w:ascii="Arial" w:eastAsia="Times New Roman" w:hAnsi="Arial" w:cs="Arial"/>
                <w:b/>
                <w:bCs/>
                <w:color w:val="000000"/>
                <w:kern w:val="0"/>
                <w:sz w:val="16"/>
                <w:szCs w:val="16"/>
                <w:lang w:eastAsia="pt-BR"/>
                <w14:ligatures w14:val="none"/>
              </w:rPr>
              <w:t>Δ Ano</w:t>
            </w:r>
          </w:p>
        </w:tc>
      </w:tr>
      <w:tr w:rsidR="00871656" w:rsidRPr="00871656" w14:paraId="535FFB04" w14:textId="77777777" w:rsidTr="00446A14">
        <w:trPr>
          <w:trHeight w:val="227"/>
        </w:trPr>
        <w:tc>
          <w:tcPr>
            <w:tcW w:w="1322" w:type="pct"/>
            <w:tcBorders>
              <w:top w:val="nil"/>
              <w:left w:val="nil"/>
              <w:bottom w:val="nil"/>
              <w:right w:val="nil"/>
            </w:tcBorders>
            <w:shd w:val="clear" w:color="auto" w:fill="auto"/>
            <w:noWrap/>
            <w:vAlign w:val="bottom"/>
            <w:hideMark/>
          </w:tcPr>
          <w:p w14:paraId="2514A1B1" w14:textId="77777777" w:rsidR="00871656" w:rsidRPr="00871656" w:rsidRDefault="00871656" w:rsidP="00871656">
            <w:pPr>
              <w:spacing w:after="0" w:line="240" w:lineRule="auto"/>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Serviços de Terceiros</w:t>
            </w:r>
          </w:p>
        </w:tc>
        <w:tc>
          <w:tcPr>
            <w:tcW w:w="448" w:type="pct"/>
            <w:tcBorders>
              <w:top w:val="nil"/>
              <w:left w:val="nil"/>
              <w:bottom w:val="nil"/>
              <w:right w:val="nil"/>
            </w:tcBorders>
            <w:shd w:val="clear" w:color="000000" w:fill="D9E1F2"/>
            <w:noWrap/>
            <w:vAlign w:val="bottom"/>
            <w:hideMark/>
          </w:tcPr>
          <w:p w14:paraId="238BB73A"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(41.406)</w:t>
            </w:r>
          </w:p>
        </w:tc>
        <w:tc>
          <w:tcPr>
            <w:tcW w:w="448" w:type="pct"/>
            <w:tcBorders>
              <w:top w:val="nil"/>
              <w:left w:val="nil"/>
              <w:bottom w:val="nil"/>
              <w:right w:val="nil"/>
            </w:tcBorders>
            <w:shd w:val="clear" w:color="auto" w:fill="auto"/>
            <w:noWrap/>
            <w:vAlign w:val="center"/>
            <w:hideMark/>
          </w:tcPr>
          <w:p w14:paraId="42010130"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(28.819)</w:t>
            </w:r>
          </w:p>
        </w:tc>
        <w:tc>
          <w:tcPr>
            <w:tcW w:w="448" w:type="pct"/>
            <w:tcBorders>
              <w:top w:val="nil"/>
              <w:left w:val="nil"/>
              <w:bottom w:val="nil"/>
              <w:right w:val="nil"/>
            </w:tcBorders>
            <w:shd w:val="clear" w:color="auto" w:fill="auto"/>
            <w:noWrap/>
            <w:vAlign w:val="bottom"/>
            <w:hideMark/>
          </w:tcPr>
          <w:p w14:paraId="3B977577"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(32.287)</w:t>
            </w:r>
          </w:p>
        </w:tc>
        <w:tc>
          <w:tcPr>
            <w:tcW w:w="77" w:type="pct"/>
            <w:tcBorders>
              <w:top w:val="nil"/>
              <w:left w:val="nil"/>
              <w:bottom w:val="nil"/>
              <w:right w:val="nil"/>
            </w:tcBorders>
            <w:shd w:val="clear" w:color="auto" w:fill="auto"/>
            <w:noWrap/>
            <w:vAlign w:val="bottom"/>
            <w:hideMark/>
          </w:tcPr>
          <w:p w14:paraId="3C8226B4"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p>
        </w:tc>
        <w:tc>
          <w:tcPr>
            <w:tcW w:w="358" w:type="pct"/>
            <w:tcBorders>
              <w:top w:val="nil"/>
              <w:left w:val="nil"/>
              <w:bottom w:val="nil"/>
              <w:right w:val="nil"/>
            </w:tcBorders>
            <w:shd w:val="clear" w:color="auto" w:fill="auto"/>
            <w:vAlign w:val="center"/>
            <w:hideMark/>
          </w:tcPr>
          <w:p w14:paraId="6813A460"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43,7%</w:t>
            </w:r>
          </w:p>
        </w:tc>
        <w:tc>
          <w:tcPr>
            <w:tcW w:w="366" w:type="pct"/>
            <w:tcBorders>
              <w:top w:val="nil"/>
              <w:left w:val="nil"/>
              <w:bottom w:val="nil"/>
              <w:right w:val="nil"/>
            </w:tcBorders>
            <w:shd w:val="clear" w:color="auto" w:fill="auto"/>
            <w:vAlign w:val="center"/>
            <w:hideMark/>
          </w:tcPr>
          <w:p w14:paraId="5495E0AC"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28,2%</w:t>
            </w:r>
          </w:p>
        </w:tc>
        <w:tc>
          <w:tcPr>
            <w:tcW w:w="77" w:type="pct"/>
            <w:tcBorders>
              <w:top w:val="nil"/>
              <w:left w:val="nil"/>
              <w:bottom w:val="nil"/>
              <w:right w:val="nil"/>
            </w:tcBorders>
            <w:shd w:val="clear" w:color="auto" w:fill="auto"/>
            <w:noWrap/>
            <w:vAlign w:val="bottom"/>
            <w:hideMark/>
          </w:tcPr>
          <w:p w14:paraId="14D9129C"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p>
        </w:tc>
        <w:tc>
          <w:tcPr>
            <w:tcW w:w="433" w:type="pct"/>
            <w:tcBorders>
              <w:top w:val="nil"/>
              <w:left w:val="nil"/>
              <w:bottom w:val="nil"/>
              <w:right w:val="nil"/>
            </w:tcBorders>
            <w:shd w:val="clear" w:color="000000" w:fill="D9E1F2"/>
            <w:noWrap/>
            <w:vAlign w:val="bottom"/>
            <w:hideMark/>
          </w:tcPr>
          <w:p w14:paraId="66ABA244"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(159.570)</w:t>
            </w:r>
          </w:p>
        </w:tc>
        <w:tc>
          <w:tcPr>
            <w:tcW w:w="538" w:type="pct"/>
            <w:tcBorders>
              <w:top w:val="nil"/>
              <w:left w:val="nil"/>
              <w:bottom w:val="nil"/>
              <w:right w:val="nil"/>
            </w:tcBorders>
            <w:shd w:val="clear" w:color="auto" w:fill="auto"/>
            <w:noWrap/>
            <w:vAlign w:val="bottom"/>
            <w:hideMark/>
          </w:tcPr>
          <w:p w14:paraId="617D025D"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(109.165)</w:t>
            </w:r>
          </w:p>
        </w:tc>
        <w:tc>
          <w:tcPr>
            <w:tcW w:w="77" w:type="pct"/>
            <w:tcBorders>
              <w:top w:val="nil"/>
              <w:left w:val="nil"/>
              <w:bottom w:val="nil"/>
              <w:right w:val="nil"/>
            </w:tcBorders>
            <w:shd w:val="clear" w:color="auto" w:fill="auto"/>
            <w:noWrap/>
            <w:vAlign w:val="bottom"/>
            <w:hideMark/>
          </w:tcPr>
          <w:p w14:paraId="13D086B3"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p>
        </w:tc>
        <w:tc>
          <w:tcPr>
            <w:tcW w:w="409" w:type="pct"/>
            <w:tcBorders>
              <w:top w:val="nil"/>
              <w:left w:val="nil"/>
              <w:bottom w:val="nil"/>
              <w:right w:val="nil"/>
            </w:tcBorders>
            <w:shd w:val="clear" w:color="auto" w:fill="auto"/>
            <w:vAlign w:val="center"/>
            <w:hideMark/>
          </w:tcPr>
          <w:p w14:paraId="41CC3D7F"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46,2%</w:t>
            </w:r>
          </w:p>
        </w:tc>
      </w:tr>
      <w:tr w:rsidR="00871656" w:rsidRPr="00871656" w14:paraId="18F16A96" w14:textId="77777777" w:rsidTr="00446A14">
        <w:trPr>
          <w:trHeight w:val="227"/>
        </w:trPr>
        <w:tc>
          <w:tcPr>
            <w:tcW w:w="1322" w:type="pct"/>
            <w:tcBorders>
              <w:top w:val="nil"/>
              <w:left w:val="nil"/>
              <w:bottom w:val="nil"/>
              <w:right w:val="nil"/>
            </w:tcBorders>
            <w:shd w:val="clear" w:color="auto" w:fill="auto"/>
            <w:noWrap/>
            <w:vAlign w:val="bottom"/>
            <w:hideMark/>
          </w:tcPr>
          <w:p w14:paraId="242DA60A" w14:textId="77777777" w:rsidR="00871656" w:rsidRPr="00871656" w:rsidRDefault="00871656" w:rsidP="00871656">
            <w:pPr>
              <w:spacing w:after="0" w:line="240" w:lineRule="auto"/>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Meios de Conexão e Transmissão</w:t>
            </w:r>
          </w:p>
        </w:tc>
        <w:tc>
          <w:tcPr>
            <w:tcW w:w="448" w:type="pct"/>
            <w:tcBorders>
              <w:top w:val="nil"/>
              <w:left w:val="nil"/>
              <w:bottom w:val="nil"/>
              <w:right w:val="nil"/>
            </w:tcBorders>
            <w:shd w:val="clear" w:color="000000" w:fill="D9E1F2"/>
            <w:noWrap/>
            <w:vAlign w:val="bottom"/>
            <w:hideMark/>
          </w:tcPr>
          <w:p w14:paraId="0647A275"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(30.481)</w:t>
            </w:r>
          </w:p>
        </w:tc>
        <w:tc>
          <w:tcPr>
            <w:tcW w:w="448" w:type="pct"/>
            <w:tcBorders>
              <w:top w:val="nil"/>
              <w:left w:val="nil"/>
              <w:bottom w:val="nil"/>
              <w:right w:val="nil"/>
            </w:tcBorders>
            <w:shd w:val="clear" w:color="auto" w:fill="auto"/>
            <w:noWrap/>
            <w:vAlign w:val="center"/>
            <w:hideMark/>
          </w:tcPr>
          <w:p w14:paraId="0530074C"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(32.214)</w:t>
            </w:r>
          </w:p>
        </w:tc>
        <w:tc>
          <w:tcPr>
            <w:tcW w:w="448" w:type="pct"/>
            <w:tcBorders>
              <w:top w:val="nil"/>
              <w:left w:val="nil"/>
              <w:bottom w:val="nil"/>
              <w:right w:val="nil"/>
            </w:tcBorders>
            <w:shd w:val="clear" w:color="auto" w:fill="auto"/>
            <w:noWrap/>
            <w:vAlign w:val="bottom"/>
            <w:hideMark/>
          </w:tcPr>
          <w:p w14:paraId="1E94A935"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(41.098)</w:t>
            </w:r>
          </w:p>
        </w:tc>
        <w:tc>
          <w:tcPr>
            <w:tcW w:w="77" w:type="pct"/>
            <w:tcBorders>
              <w:top w:val="nil"/>
              <w:left w:val="nil"/>
              <w:bottom w:val="nil"/>
              <w:right w:val="nil"/>
            </w:tcBorders>
            <w:shd w:val="clear" w:color="auto" w:fill="auto"/>
            <w:noWrap/>
            <w:vAlign w:val="bottom"/>
            <w:hideMark/>
          </w:tcPr>
          <w:p w14:paraId="482C0B61"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p>
        </w:tc>
        <w:tc>
          <w:tcPr>
            <w:tcW w:w="358" w:type="pct"/>
            <w:tcBorders>
              <w:top w:val="nil"/>
              <w:left w:val="nil"/>
              <w:bottom w:val="nil"/>
              <w:right w:val="nil"/>
            </w:tcBorders>
            <w:shd w:val="clear" w:color="auto" w:fill="auto"/>
            <w:vAlign w:val="center"/>
            <w:hideMark/>
          </w:tcPr>
          <w:p w14:paraId="5CBD59C2"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-5,4%</w:t>
            </w:r>
          </w:p>
        </w:tc>
        <w:tc>
          <w:tcPr>
            <w:tcW w:w="366" w:type="pct"/>
            <w:tcBorders>
              <w:top w:val="nil"/>
              <w:left w:val="nil"/>
              <w:bottom w:val="nil"/>
              <w:right w:val="nil"/>
            </w:tcBorders>
            <w:shd w:val="clear" w:color="auto" w:fill="auto"/>
            <w:vAlign w:val="center"/>
            <w:hideMark/>
          </w:tcPr>
          <w:p w14:paraId="6729594A"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-25,8%</w:t>
            </w:r>
          </w:p>
        </w:tc>
        <w:tc>
          <w:tcPr>
            <w:tcW w:w="77" w:type="pct"/>
            <w:tcBorders>
              <w:top w:val="nil"/>
              <w:left w:val="nil"/>
              <w:bottom w:val="nil"/>
              <w:right w:val="nil"/>
            </w:tcBorders>
            <w:shd w:val="clear" w:color="auto" w:fill="auto"/>
            <w:noWrap/>
            <w:vAlign w:val="bottom"/>
            <w:hideMark/>
          </w:tcPr>
          <w:p w14:paraId="385368B7"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p>
        </w:tc>
        <w:tc>
          <w:tcPr>
            <w:tcW w:w="433" w:type="pct"/>
            <w:tcBorders>
              <w:top w:val="nil"/>
              <w:left w:val="nil"/>
              <w:bottom w:val="nil"/>
              <w:right w:val="nil"/>
            </w:tcBorders>
            <w:shd w:val="clear" w:color="000000" w:fill="D9E1F2"/>
            <w:noWrap/>
            <w:vAlign w:val="bottom"/>
            <w:hideMark/>
          </w:tcPr>
          <w:p w14:paraId="72E4FF7B"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(136.851)</w:t>
            </w:r>
          </w:p>
        </w:tc>
        <w:tc>
          <w:tcPr>
            <w:tcW w:w="538" w:type="pct"/>
            <w:tcBorders>
              <w:top w:val="nil"/>
              <w:left w:val="nil"/>
              <w:bottom w:val="nil"/>
              <w:right w:val="nil"/>
            </w:tcBorders>
            <w:shd w:val="clear" w:color="auto" w:fill="auto"/>
            <w:noWrap/>
            <w:vAlign w:val="bottom"/>
            <w:hideMark/>
          </w:tcPr>
          <w:p w14:paraId="562A0B11"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(127.727)</w:t>
            </w:r>
          </w:p>
        </w:tc>
        <w:tc>
          <w:tcPr>
            <w:tcW w:w="77" w:type="pct"/>
            <w:tcBorders>
              <w:top w:val="nil"/>
              <w:left w:val="nil"/>
              <w:bottom w:val="nil"/>
              <w:right w:val="nil"/>
            </w:tcBorders>
            <w:shd w:val="clear" w:color="auto" w:fill="auto"/>
            <w:noWrap/>
            <w:vAlign w:val="bottom"/>
            <w:hideMark/>
          </w:tcPr>
          <w:p w14:paraId="25F76EE8"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p>
        </w:tc>
        <w:tc>
          <w:tcPr>
            <w:tcW w:w="409" w:type="pct"/>
            <w:tcBorders>
              <w:top w:val="nil"/>
              <w:left w:val="nil"/>
              <w:bottom w:val="nil"/>
              <w:right w:val="nil"/>
            </w:tcBorders>
            <w:shd w:val="clear" w:color="auto" w:fill="auto"/>
            <w:vAlign w:val="center"/>
            <w:hideMark/>
          </w:tcPr>
          <w:p w14:paraId="20668B0E"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7,1%</w:t>
            </w:r>
          </w:p>
        </w:tc>
      </w:tr>
      <w:tr w:rsidR="00871656" w:rsidRPr="00871656" w14:paraId="003114E3" w14:textId="77777777" w:rsidTr="00446A14">
        <w:trPr>
          <w:trHeight w:val="227"/>
        </w:trPr>
        <w:tc>
          <w:tcPr>
            <w:tcW w:w="1322" w:type="pct"/>
            <w:tcBorders>
              <w:top w:val="nil"/>
              <w:left w:val="nil"/>
              <w:bottom w:val="nil"/>
              <w:right w:val="nil"/>
            </w:tcBorders>
            <w:shd w:val="clear" w:color="auto" w:fill="auto"/>
            <w:noWrap/>
            <w:vAlign w:val="bottom"/>
            <w:hideMark/>
          </w:tcPr>
          <w:p w14:paraId="0092AF73" w14:textId="77777777" w:rsidR="00871656" w:rsidRPr="00871656" w:rsidRDefault="00871656" w:rsidP="00871656">
            <w:pPr>
              <w:spacing w:after="0" w:line="240" w:lineRule="auto"/>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Pessoal</w:t>
            </w:r>
          </w:p>
        </w:tc>
        <w:tc>
          <w:tcPr>
            <w:tcW w:w="448" w:type="pct"/>
            <w:tcBorders>
              <w:top w:val="nil"/>
              <w:left w:val="nil"/>
              <w:bottom w:val="nil"/>
              <w:right w:val="nil"/>
            </w:tcBorders>
            <w:shd w:val="clear" w:color="000000" w:fill="D9E1F2"/>
            <w:noWrap/>
            <w:vAlign w:val="bottom"/>
            <w:hideMark/>
          </w:tcPr>
          <w:p w14:paraId="16616FAC"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(27.768)</w:t>
            </w:r>
          </w:p>
        </w:tc>
        <w:tc>
          <w:tcPr>
            <w:tcW w:w="448" w:type="pct"/>
            <w:tcBorders>
              <w:top w:val="nil"/>
              <w:left w:val="nil"/>
              <w:bottom w:val="nil"/>
              <w:right w:val="nil"/>
            </w:tcBorders>
            <w:shd w:val="clear" w:color="auto" w:fill="auto"/>
            <w:noWrap/>
            <w:vAlign w:val="center"/>
            <w:hideMark/>
          </w:tcPr>
          <w:p w14:paraId="3305E95C"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(25.469)</w:t>
            </w:r>
          </w:p>
        </w:tc>
        <w:tc>
          <w:tcPr>
            <w:tcW w:w="448" w:type="pct"/>
            <w:tcBorders>
              <w:top w:val="nil"/>
              <w:left w:val="nil"/>
              <w:bottom w:val="nil"/>
              <w:right w:val="nil"/>
            </w:tcBorders>
            <w:shd w:val="clear" w:color="auto" w:fill="auto"/>
            <w:noWrap/>
            <w:vAlign w:val="bottom"/>
            <w:hideMark/>
          </w:tcPr>
          <w:p w14:paraId="04D64588"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(30.645)</w:t>
            </w:r>
          </w:p>
        </w:tc>
        <w:tc>
          <w:tcPr>
            <w:tcW w:w="77" w:type="pct"/>
            <w:tcBorders>
              <w:top w:val="nil"/>
              <w:left w:val="nil"/>
              <w:bottom w:val="nil"/>
              <w:right w:val="nil"/>
            </w:tcBorders>
            <w:shd w:val="clear" w:color="auto" w:fill="auto"/>
            <w:noWrap/>
            <w:vAlign w:val="bottom"/>
            <w:hideMark/>
          </w:tcPr>
          <w:p w14:paraId="2B3618BC"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p>
        </w:tc>
        <w:tc>
          <w:tcPr>
            <w:tcW w:w="358" w:type="pct"/>
            <w:tcBorders>
              <w:top w:val="nil"/>
              <w:left w:val="nil"/>
              <w:bottom w:val="nil"/>
              <w:right w:val="nil"/>
            </w:tcBorders>
            <w:shd w:val="clear" w:color="auto" w:fill="auto"/>
            <w:vAlign w:val="center"/>
            <w:hideMark/>
          </w:tcPr>
          <w:p w14:paraId="555FA778"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9,0%</w:t>
            </w:r>
          </w:p>
        </w:tc>
        <w:tc>
          <w:tcPr>
            <w:tcW w:w="366" w:type="pct"/>
            <w:tcBorders>
              <w:top w:val="nil"/>
              <w:left w:val="nil"/>
              <w:bottom w:val="nil"/>
              <w:right w:val="nil"/>
            </w:tcBorders>
            <w:shd w:val="clear" w:color="auto" w:fill="auto"/>
            <w:vAlign w:val="center"/>
            <w:hideMark/>
          </w:tcPr>
          <w:p w14:paraId="51A88D82"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-9,4%</w:t>
            </w:r>
          </w:p>
        </w:tc>
        <w:tc>
          <w:tcPr>
            <w:tcW w:w="77" w:type="pct"/>
            <w:tcBorders>
              <w:top w:val="nil"/>
              <w:left w:val="nil"/>
              <w:bottom w:val="nil"/>
              <w:right w:val="nil"/>
            </w:tcBorders>
            <w:shd w:val="clear" w:color="auto" w:fill="auto"/>
            <w:noWrap/>
            <w:vAlign w:val="bottom"/>
            <w:hideMark/>
          </w:tcPr>
          <w:p w14:paraId="4A498D64"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p>
        </w:tc>
        <w:tc>
          <w:tcPr>
            <w:tcW w:w="433" w:type="pct"/>
            <w:tcBorders>
              <w:top w:val="nil"/>
              <w:left w:val="nil"/>
              <w:bottom w:val="nil"/>
              <w:right w:val="nil"/>
            </w:tcBorders>
            <w:shd w:val="clear" w:color="000000" w:fill="D9E1F2"/>
            <w:noWrap/>
            <w:vAlign w:val="bottom"/>
            <w:hideMark/>
          </w:tcPr>
          <w:p w14:paraId="02C21504"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(106.908)</w:t>
            </w:r>
          </w:p>
        </w:tc>
        <w:tc>
          <w:tcPr>
            <w:tcW w:w="538" w:type="pct"/>
            <w:tcBorders>
              <w:top w:val="nil"/>
              <w:left w:val="nil"/>
              <w:bottom w:val="nil"/>
              <w:right w:val="nil"/>
            </w:tcBorders>
            <w:shd w:val="clear" w:color="auto" w:fill="auto"/>
            <w:noWrap/>
            <w:vAlign w:val="bottom"/>
            <w:hideMark/>
          </w:tcPr>
          <w:p w14:paraId="6AACEC34"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(97.129)</w:t>
            </w:r>
          </w:p>
        </w:tc>
        <w:tc>
          <w:tcPr>
            <w:tcW w:w="77" w:type="pct"/>
            <w:tcBorders>
              <w:top w:val="nil"/>
              <w:left w:val="nil"/>
              <w:bottom w:val="nil"/>
              <w:right w:val="nil"/>
            </w:tcBorders>
            <w:shd w:val="clear" w:color="auto" w:fill="auto"/>
            <w:noWrap/>
            <w:vAlign w:val="bottom"/>
            <w:hideMark/>
          </w:tcPr>
          <w:p w14:paraId="06EE781D"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p>
        </w:tc>
        <w:tc>
          <w:tcPr>
            <w:tcW w:w="409" w:type="pct"/>
            <w:tcBorders>
              <w:top w:val="nil"/>
              <w:left w:val="nil"/>
              <w:bottom w:val="nil"/>
              <w:right w:val="nil"/>
            </w:tcBorders>
            <w:shd w:val="clear" w:color="auto" w:fill="auto"/>
            <w:vAlign w:val="center"/>
            <w:hideMark/>
          </w:tcPr>
          <w:p w14:paraId="0582A643"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10,1%</w:t>
            </w:r>
          </w:p>
        </w:tc>
      </w:tr>
      <w:tr w:rsidR="00871656" w:rsidRPr="00871656" w14:paraId="6D59C247" w14:textId="77777777" w:rsidTr="00446A14">
        <w:trPr>
          <w:trHeight w:val="227"/>
        </w:trPr>
        <w:tc>
          <w:tcPr>
            <w:tcW w:w="1322" w:type="pct"/>
            <w:tcBorders>
              <w:top w:val="nil"/>
              <w:left w:val="nil"/>
              <w:bottom w:val="nil"/>
              <w:right w:val="nil"/>
            </w:tcBorders>
            <w:shd w:val="clear" w:color="auto" w:fill="auto"/>
            <w:noWrap/>
            <w:vAlign w:val="bottom"/>
            <w:hideMark/>
          </w:tcPr>
          <w:p w14:paraId="75FAF2F2" w14:textId="77777777" w:rsidR="00871656" w:rsidRPr="00871656" w:rsidRDefault="00871656" w:rsidP="00871656">
            <w:pPr>
              <w:spacing w:after="0" w:line="240" w:lineRule="auto"/>
              <w:rPr>
                <w:rFonts w:ascii="Arial" w:eastAsia="Times New Roman" w:hAnsi="Arial" w:cs="Arial"/>
                <w:color w:val="000000"/>
                <w:kern w:val="0"/>
                <w:sz w:val="16"/>
                <w:szCs w:val="16"/>
                <w:lang w:eastAsia="pt-BR"/>
                <w14:ligatures w14:val="none"/>
              </w:rPr>
            </w:pPr>
            <w:proofErr w:type="gramStart"/>
            <w:r w:rsidRPr="00871656">
              <w:rPr>
                <w:rFonts w:ascii="Arial" w:eastAsia="Times New Roman" w:hAnsi="Arial" w:cs="Arial"/>
                <w:color w:val="000000"/>
                <w:kern w:val="0"/>
                <w:sz w:val="16"/>
                <w:szCs w:val="16"/>
                <w:lang w:eastAsia="pt-BR"/>
                <w14:ligatures w14:val="none"/>
              </w:rPr>
              <w:t>Alugueis</w:t>
            </w:r>
            <w:proofErr w:type="gramEnd"/>
            <w:r w:rsidRPr="00871656">
              <w:rPr>
                <w:rFonts w:ascii="Arial" w:eastAsia="Times New Roman" w:hAnsi="Arial" w:cs="Arial"/>
                <w:color w:val="000000"/>
                <w:kern w:val="0"/>
                <w:sz w:val="16"/>
                <w:szCs w:val="16"/>
                <w:lang w:eastAsia="pt-BR"/>
                <w14:ligatures w14:val="none"/>
              </w:rPr>
              <w:t>, Locações e Seguros</w:t>
            </w:r>
          </w:p>
        </w:tc>
        <w:tc>
          <w:tcPr>
            <w:tcW w:w="448" w:type="pct"/>
            <w:tcBorders>
              <w:top w:val="nil"/>
              <w:left w:val="nil"/>
              <w:bottom w:val="nil"/>
              <w:right w:val="nil"/>
            </w:tcBorders>
            <w:shd w:val="clear" w:color="000000" w:fill="D9E1F2"/>
            <w:noWrap/>
            <w:vAlign w:val="bottom"/>
            <w:hideMark/>
          </w:tcPr>
          <w:p w14:paraId="37472DBE"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(11.561)</w:t>
            </w:r>
          </w:p>
        </w:tc>
        <w:tc>
          <w:tcPr>
            <w:tcW w:w="448" w:type="pct"/>
            <w:tcBorders>
              <w:top w:val="nil"/>
              <w:left w:val="nil"/>
              <w:bottom w:val="nil"/>
              <w:right w:val="nil"/>
            </w:tcBorders>
            <w:shd w:val="clear" w:color="auto" w:fill="auto"/>
            <w:noWrap/>
            <w:vAlign w:val="center"/>
            <w:hideMark/>
          </w:tcPr>
          <w:p w14:paraId="40B2B59A"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(13.287)</w:t>
            </w:r>
          </w:p>
        </w:tc>
        <w:tc>
          <w:tcPr>
            <w:tcW w:w="448" w:type="pct"/>
            <w:tcBorders>
              <w:top w:val="nil"/>
              <w:left w:val="nil"/>
              <w:bottom w:val="nil"/>
              <w:right w:val="nil"/>
            </w:tcBorders>
            <w:shd w:val="clear" w:color="auto" w:fill="auto"/>
            <w:noWrap/>
            <w:vAlign w:val="bottom"/>
            <w:hideMark/>
          </w:tcPr>
          <w:p w14:paraId="22EDBE26"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(12.293)</w:t>
            </w:r>
          </w:p>
        </w:tc>
        <w:tc>
          <w:tcPr>
            <w:tcW w:w="77" w:type="pct"/>
            <w:tcBorders>
              <w:top w:val="nil"/>
              <w:left w:val="nil"/>
              <w:bottom w:val="nil"/>
              <w:right w:val="nil"/>
            </w:tcBorders>
            <w:shd w:val="clear" w:color="auto" w:fill="auto"/>
            <w:noWrap/>
            <w:vAlign w:val="bottom"/>
            <w:hideMark/>
          </w:tcPr>
          <w:p w14:paraId="15A46C2F"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p>
        </w:tc>
        <w:tc>
          <w:tcPr>
            <w:tcW w:w="358" w:type="pct"/>
            <w:tcBorders>
              <w:top w:val="nil"/>
              <w:left w:val="nil"/>
              <w:bottom w:val="nil"/>
              <w:right w:val="nil"/>
            </w:tcBorders>
            <w:shd w:val="clear" w:color="auto" w:fill="auto"/>
            <w:vAlign w:val="center"/>
            <w:hideMark/>
          </w:tcPr>
          <w:p w14:paraId="5FD6F946"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-13,0%</w:t>
            </w:r>
          </w:p>
        </w:tc>
        <w:tc>
          <w:tcPr>
            <w:tcW w:w="366" w:type="pct"/>
            <w:tcBorders>
              <w:top w:val="nil"/>
              <w:left w:val="nil"/>
              <w:bottom w:val="nil"/>
              <w:right w:val="nil"/>
            </w:tcBorders>
            <w:shd w:val="clear" w:color="auto" w:fill="auto"/>
            <w:vAlign w:val="center"/>
            <w:hideMark/>
          </w:tcPr>
          <w:p w14:paraId="5525E718"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-6,0%</w:t>
            </w:r>
          </w:p>
        </w:tc>
        <w:tc>
          <w:tcPr>
            <w:tcW w:w="77" w:type="pct"/>
            <w:tcBorders>
              <w:top w:val="nil"/>
              <w:left w:val="nil"/>
              <w:bottom w:val="nil"/>
              <w:right w:val="nil"/>
            </w:tcBorders>
            <w:shd w:val="clear" w:color="auto" w:fill="auto"/>
            <w:noWrap/>
            <w:vAlign w:val="bottom"/>
            <w:hideMark/>
          </w:tcPr>
          <w:p w14:paraId="2A1F5671"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p>
        </w:tc>
        <w:tc>
          <w:tcPr>
            <w:tcW w:w="433" w:type="pct"/>
            <w:tcBorders>
              <w:top w:val="nil"/>
              <w:left w:val="nil"/>
              <w:bottom w:val="nil"/>
              <w:right w:val="nil"/>
            </w:tcBorders>
            <w:shd w:val="clear" w:color="000000" w:fill="D9E1F2"/>
            <w:noWrap/>
            <w:vAlign w:val="bottom"/>
            <w:hideMark/>
          </w:tcPr>
          <w:p w14:paraId="0F43F4E9"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(50.936)</w:t>
            </w:r>
          </w:p>
        </w:tc>
        <w:tc>
          <w:tcPr>
            <w:tcW w:w="538" w:type="pct"/>
            <w:tcBorders>
              <w:top w:val="nil"/>
              <w:left w:val="nil"/>
              <w:bottom w:val="nil"/>
              <w:right w:val="nil"/>
            </w:tcBorders>
            <w:shd w:val="clear" w:color="auto" w:fill="auto"/>
            <w:noWrap/>
            <w:vAlign w:val="bottom"/>
            <w:hideMark/>
          </w:tcPr>
          <w:p w14:paraId="3D17498A"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(48.463)</w:t>
            </w:r>
          </w:p>
        </w:tc>
        <w:tc>
          <w:tcPr>
            <w:tcW w:w="77" w:type="pct"/>
            <w:tcBorders>
              <w:top w:val="nil"/>
              <w:left w:val="nil"/>
              <w:bottom w:val="nil"/>
              <w:right w:val="nil"/>
            </w:tcBorders>
            <w:shd w:val="clear" w:color="auto" w:fill="auto"/>
            <w:noWrap/>
            <w:vAlign w:val="bottom"/>
            <w:hideMark/>
          </w:tcPr>
          <w:p w14:paraId="416D0421"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p>
        </w:tc>
        <w:tc>
          <w:tcPr>
            <w:tcW w:w="409" w:type="pct"/>
            <w:tcBorders>
              <w:top w:val="nil"/>
              <w:left w:val="nil"/>
              <w:bottom w:val="nil"/>
              <w:right w:val="nil"/>
            </w:tcBorders>
            <w:shd w:val="clear" w:color="auto" w:fill="auto"/>
            <w:vAlign w:val="center"/>
            <w:hideMark/>
          </w:tcPr>
          <w:p w14:paraId="0E444D65"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5,1%</w:t>
            </w:r>
          </w:p>
        </w:tc>
      </w:tr>
      <w:tr w:rsidR="00871656" w:rsidRPr="00871656" w14:paraId="524F4B1E" w14:textId="77777777" w:rsidTr="00446A14">
        <w:trPr>
          <w:trHeight w:val="227"/>
        </w:trPr>
        <w:tc>
          <w:tcPr>
            <w:tcW w:w="1322" w:type="pct"/>
            <w:tcBorders>
              <w:top w:val="nil"/>
              <w:left w:val="nil"/>
              <w:bottom w:val="nil"/>
              <w:right w:val="nil"/>
            </w:tcBorders>
            <w:shd w:val="clear" w:color="auto" w:fill="auto"/>
            <w:noWrap/>
            <w:vAlign w:val="bottom"/>
            <w:hideMark/>
          </w:tcPr>
          <w:p w14:paraId="277F0C8A" w14:textId="77777777" w:rsidR="00871656" w:rsidRPr="00871656" w:rsidRDefault="00871656" w:rsidP="00871656">
            <w:pPr>
              <w:spacing w:after="0" w:line="240" w:lineRule="auto"/>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Compartilhamento de Instalações</w:t>
            </w:r>
          </w:p>
        </w:tc>
        <w:tc>
          <w:tcPr>
            <w:tcW w:w="448" w:type="pct"/>
            <w:tcBorders>
              <w:top w:val="nil"/>
              <w:left w:val="nil"/>
              <w:bottom w:val="nil"/>
              <w:right w:val="nil"/>
            </w:tcBorders>
            <w:shd w:val="clear" w:color="000000" w:fill="D9E1F2"/>
            <w:noWrap/>
            <w:vAlign w:val="bottom"/>
            <w:hideMark/>
          </w:tcPr>
          <w:p w14:paraId="5010CF97"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(1.999)</w:t>
            </w:r>
          </w:p>
        </w:tc>
        <w:tc>
          <w:tcPr>
            <w:tcW w:w="448" w:type="pct"/>
            <w:tcBorders>
              <w:top w:val="nil"/>
              <w:left w:val="nil"/>
              <w:bottom w:val="nil"/>
              <w:right w:val="nil"/>
            </w:tcBorders>
            <w:shd w:val="clear" w:color="auto" w:fill="auto"/>
            <w:noWrap/>
            <w:vAlign w:val="center"/>
            <w:hideMark/>
          </w:tcPr>
          <w:p w14:paraId="2FF8BC4F"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(1.109)</w:t>
            </w:r>
          </w:p>
        </w:tc>
        <w:tc>
          <w:tcPr>
            <w:tcW w:w="448" w:type="pct"/>
            <w:tcBorders>
              <w:top w:val="nil"/>
              <w:left w:val="nil"/>
              <w:bottom w:val="nil"/>
              <w:right w:val="nil"/>
            </w:tcBorders>
            <w:shd w:val="clear" w:color="auto" w:fill="auto"/>
            <w:noWrap/>
            <w:vAlign w:val="bottom"/>
            <w:hideMark/>
          </w:tcPr>
          <w:p w14:paraId="745CDE1D"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(792)</w:t>
            </w:r>
          </w:p>
        </w:tc>
        <w:tc>
          <w:tcPr>
            <w:tcW w:w="77" w:type="pct"/>
            <w:tcBorders>
              <w:top w:val="nil"/>
              <w:left w:val="nil"/>
              <w:bottom w:val="nil"/>
              <w:right w:val="nil"/>
            </w:tcBorders>
            <w:shd w:val="clear" w:color="auto" w:fill="auto"/>
            <w:noWrap/>
            <w:vAlign w:val="bottom"/>
            <w:hideMark/>
          </w:tcPr>
          <w:p w14:paraId="29C20050"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p>
        </w:tc>
        <w:tc>
          <w:tcPr>
            <w:tcW w:w="358" w:type="pct"/>
            <w:tcBorders>
              <w:top w:val="nil"/>
              <w:left w:val="nil"/>
              <w:bottom w:val="nil"/>
              <w:right w:val="nil"/>
            </w:tcBorders>
            <w:shd w:val="clear" w:color="auto" w:fill="auto"/>
            <w:vAlign w:val="center"/>
            <w:hideMark/>
          </w:tcPr>
          <w:p w14:paraId="1292C79F"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80,3%</w:t>
            </w:r>
          </w:p>
        </w:tc>
        <w:tc>
          <w:tcPr>
            <w:tcW w:w="366" w:type="pct"/>
            <w:tcBorders>
              <w:top w:val="nil"/>
              <w:left w:val="nil"/>
              <w:bottom w:val="nil"/>
              <w:right w:val="nil"/>
            </w:tcBorders>
            <w:shd w:val="clear" w:color="auto" w:fill="auto"/>
            <w:vAlign w:val="center"/>
            <w:hideMark/>
          </w:tcPr>
          <w:p w14:paraId="2400C7F9"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152,4%</w:t>
            </w:r>
          </w:p>
        </w:tc>
        <w:tc>
          <w:tcPr>
            <w:tcW w:w="77" w:type="pct"/>
            <w:tcBorders>
              <w:top w:val="nil"/>
              <w:left w:val="nil"/>
              <w:bottom w:val="nil"/>
              <w:right w:val="nil"/>
            </w:tcBorders>
            <w:shd w:val="clear" w:color="auto" w:fill="auto"/>
            <w:noWrap/>
            <w:vAlign w:val="bottom"/>
            <w:hideMark/>
          </w:tcPr>
          <w:p w14:paraId="4D04718D"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p>
        </w:tc>
        <w:tc>
          <w:tcPr>
            <w:tcW w:w="433" w:type="pct"/>
            <w:tcBorders>
              <w:top w:val="nil"/>
              <w:left w:val="nil"/>
              <w:bottom w:val="nil"/>
              <w:right w:val="nil"/>
            </w:tcBorders>
            <w:shd w:val="clear" w:color="000000" w:fill="D9E1F2"/>
            <w:noWrap/>
            <w:vAlign w:val="bottom"/>
            <w:hideMark/>
          </w:tcPr>
          <w:p w14:paraId="3E84FCBF"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(5.379)</w:t>
            </w:r>
          </w:p>
        </w:tc>
        <w:tc>
          <w:tcPr>
            <w:tcW w:w="538" w:type="pct"/>
            <w:tcBorders>
              <w:top w:val="nil"/>
              <w:left w:val="nil"/>
              <w:bottom w:val="nil"/>
              <w:right w:val="nil"/>
            </w:tcBorders>
            <w:shd w:val="clear" w:color="auto" w:fill="auto"/>
            <w:noWrap/>
            <w:vAlign w:val="bottom"/>
            <w:hideMark/>
          </w:tcPr>
          <w:p w14:paraId="0EE11304"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(4.345)</w:t>
            </w:r>
          </w:p>
        </w:tc>
        <w:tc>
          <w:tcPr>
            <w:tcW w:w="77" w:type="pct"/>
            <w:tcBorders>
              <w:top w:val="nil"/>
              <w:left w:val="nil"/>
              <w:bottom w:val="nil"/>
              <w:right w:val="nil"/>
            </w:tcBorders>
            <w:shd w:val="clear" w:color="auto" w:fill="auto"/>
            <w:noWrap/>
            <w:vAlign w:val="bottom"/>
            <w:hideMark/>
          </w:tcPr>
          <w:p w14:paraId="6BA33BF2"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p>
        </w:tc>
        <w:tc>
          <w:tcPr>
            <w:tcW w:w="409" w:type="pct"/>
            <w:tcBorders>
              <w:top w:val="nil"/>
              <w:left w:val="nil"/>
              <w:bottom w:val="nil"/>
              <w:right w:val="nil"/>
            </w:tcBorders>
            <w:shd w:val="clear" w:color="auto" w:fill="auto"/>
            <w:vAlign w:val="center"/>
            <w:hideMark/>
          </w:tcPr>
          <w:p w14:paraId="703F954B"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23,8%</w:t>
            </w:r>
          </w:p>
        </w:tc>
      </w:tr>
      <w:tr w:rsidR="00871656" w:rsidRPr="00871656" w14:paraId="73845758" w14:textId="77777777" w:rsidTr="00446A14">
        <w:trPr>
          <w:trHeight w:val="227"/>
        </w:trPr>
        <w:tc>
          <w:tcPr>
            <w:tcW w:w="1322" w:type="pct"/>
            <w:tcBorders>
              <w:top w:val="nil"/>
              <w:left w:val="nil"/>
              <w:bottom w:val="nil"/>
              <w:right w:val="nil"/>
            </w:tcBorders>
            <w:shd w:val="clear" w:color="auto" w:fill="auto"/>
            <w:noWrap/>
            <w:vAlign w:val="bottom"/>
            <w:hideMark/>
          </w:tcPr>
          <w:p w14:paraId="470194E4" w14:textId="77777777" w:rsidR="00871656" w:rsidRPr="00871656" w:rsidRDefault="00871656" w:rsidP="00871656">
            <w:pPr>
              <w:spacing w:after="0" w:line="240" w:lineRule="auto"/>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Tributos</w:t>
            </w:r>
          </w:p>
        </w:tc>
        <w:tc>
          <w:tcPr>
            <w:tcW w:w="448" w:type="pct"/>
            <w:tcBorders>
              <w:top w:val="nil"/>
              <w:left w:val="nil"/>
              <w:bottom w:val="nil"/>
              <w:right w:val="nil"/>
            </w:tcBorders>
            <w:shd w:val="clear" w:color="000000" w:fill="D9E1F2"/>
            <w:noWrap/>
            <w:vAlign w:val="bottom"/>
            <w:hideMark/>
          </w:tcPr>
          <w:p w14:paraId="22B9C440"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(1.190)</w:t>
            </w:r>
          </w:p>
        </w:tc>
        <w:tc>
          <w:tcPr>
            <w:tcW w:w="448" w:type="pct"/>
            <w:tcBorders>
              <w:top w:val="nil"/>
              <w:left w:val="nil"/>
              <w:bottom w:val="nil"/>
              <w:right w:val="nil"/>
            </w:tcBorders>
            <w:shd w:val="clear" w:color="auto" w:fill="auto"/>
            <w:noWrap/>
            <w:vAlign w:val="center"/>
            <w:hideMark/>
          </w:tcPr>
          <w:p w14:paraId="4BAA816C"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(1.163)</w:t>
            </w:r>
          </w:p>
        </w:tc>
        <w:tc>
          <w:tcPr>
            <w:tcW w:w="448" w:type="pct"/>
            <w:tcBorders>
              <w:top w:val="nil"/>
              <w:left w:val="nil"/>
              <w:bottom w:val="nil"/>
              <w:right w:val="nil"/>
            </w:tcBorders>
            <w:shd w:val="clear" w:color="auto" w:fill="auto"/>
            <w:noWrap/>
            <w:vAlign w:val="bottom"/>
            <w:hideMark/>
          </w:tcPr>
          <w:p w14:paraId="6733F296"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(1.274)</w:t>
            </w:r>
          </w:p>
        </w:tc>
        <w:tc>
          <w:tcPr>
            <w:tcW w:w="77" w:type="pct"/>
            <w:tcBorders>
              <w:top w:val="nil"/>
              <w:left w:val="nil"/>
              <w:bottom w:val="nil"/>
              <w:right w:val="nil"/>
            </w:tcBorders>
            <w:shd w:val="clear" w:color="auto" w:fill="auto"/>
            <w:noWrap/>
            <w:vAlign w:val="bottom"/>
            <w:hideMark/>
          </w:tcPr>
          <w:p w14:paraId="4EEE42FA"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p>
        </w:tc>
        <w:tc>
          <w:tcPr>
            <w:tcW w:w="358" w:type="pct"/>
            <w:tcBorders>
              <w:top w:val="nil"/>
              <w:left w:val="nil"/>
              <w:bottom w:val="nil"/>
              <w:right w:val="nil"/>
            </w:tcBorders>
            <w:shd w:val="clear" w:color="auto" w:fill="auto"/>
            <w:vAlign w:val="center"/>
            <w:hideMark/>
          </w:tcPr>
          <w:p w14:paraId="258C4C89"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2,3%</w:t>
            </w:r>
          </w:p>
        </w:tc>
        <w:tc>
          <w:tcPr>
            <w:tcW w:w="366" w:type="pct"/>
            <w:tcBorders>
              <w:top w:val="nil"/>
              <w:left w:val="nil"/>
              <w:bottom w:val="nil"/>
              <w:right w:val="nil"/>
            </w:tcBorders>
            <w:shd w:val="clear" w:color="auto" w:fill="auto"/>
            <w:vAlign w:val="center"/>
            <w:hideMark/>
          </w:tcPr>
          <w:p w14:paraId="1260E3D6"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-6,6%</w:t>
            </w:r>
          </w:p>
        </w:tc>
        <w:tc>
          <w:tcPr>
            <w:tcW w:w="77" w:type="pct"/>
            <w:tcBorders>
              <w:top w:val="nil"/>
              <w:left w:val="nil"/>
              <w:bottom w:val="nil"/>
              <w:right w:val="nil"/>
            </w:tcBorders>
            <w:shd w:val="clear" w:color="auto" w:fill="auto"/>
            <w:noWrap/>
            <w:vAlign w:val="bottom"/>
            <w:hideMark/>
          </w:tcPr>
          <w:p w14:paraId="2A1147D5"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p>
        </w:tc>
        <w:tc>
          <w:tcPr>
            <w:tcW w:w="433" w:type="pct"/>
            <w:tcBorders>
              <w:top w:val="nil"/>
              <w:left w:val="nil"/>
              <w:bottom w:val="nil"/>
              <w:right w:val="nil"/>
            </w:tcBorders>
            <w:shd w:val="clear" w:color="000000" w:fill="D9E1F2"/>
            <w:noWrap/>
            <w:vAlign w:val="bottom"/>
            <w:hideMark/>
          </w:tcPr>
          <w:p w14:paraId="73FD8DF8"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(5.296)</w:t>
            </w:r>
          </w:p>
        </w:tc>
        <w:tc>
          <w:tcPr>
            <w:tcW w:w="538" w:type="pct"/>
            <w:tcBorders>
              <w:top w:val="nil"/>
              <w:left w:val="nil"/>
              <w:bottom w:val="nil"/>
              <w:right w:val="nil"/>
            </w:tcBorders>
            <w:shd w:val="clear" w:color="auto" w:fill="auto"/>
            <w:noWrap/>
            <w:vAlign w:val="bottom"/>
            <w:hideMark/>
          </w:tcPr>
          <w:p w14:paraId="613C49E5"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(4.791)</w:t>
            </w:r>
          </w:p>
        </w:tc>
        <w:tc>
          <w:tcPr>
            <w:tcW w:w="77" w:type="pct"/>
            <w:tcBorders>
              <w:top w:val="nil"/>
              <w:left w:val="nil"/>
              <w:bottom w:val="nil"/>
              <w:right w:val="nil"/>
            </w:tcBorders>
            <w:shd w:val="clear" w:color="auto" w:fill="auto"/>
            <w:noWrap/>
            <w:vAlign w:val="bottom"/>
            <w:hideMark/>
          </w:tcPr>
          <w:p w14:paraId="60EBB81F"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p>
        </w:tc>
        <w:tc>
          <w:tcPr>
            <w:tcW w:w="409" w:type="pct"/>
            <w:tcBorders>
              <w:top w:val="nil"/>
              <w:left w:val="nil"/>
              <w:bottom w:val="nil"/>
              <w:right w:val="nil"/>
            </w:tcBorders>
            <w:shd w:val="clear" w:color="auto" w:fill="auto"/>
            <w:vAlign w:val="center"/>
            <w:hideMark/>
          </w:tcPr>
          <w:p w14:paraId="4E03669C"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10,5%</w:t>
            </w:r>
          </w:p>
        </w:tc>
      </w:tr>
      <w:tr w:rsidR="00871656" w:rsidRPr="00871656" w14:paraId="22FC2492" w14:textId="77777777" w:rsidTr="00446A14">
        <w:trPr>
          <w:trHeight w:val="227"/>
        </w:trPr>
        <w:tc>
          <w:tcPr>
            <w:tcW w:w="1322" w:type="pct"/>
            <w:tcBorders>
              <w:top w:val="nil"/>
              <w:left w:val="nil"/>
              <w:bottom w:val="nil"/>
              <w:right w:val="nil"/>
            </w:tcBorders>
            <w:shd w:val="clear" w:color="auto" w:fill="auto"/>
            <w:noWrap/>
            <w:vAlign w:val="bottom"/>
            <w:hideMark/>
          </w:tcPr>
          <w:p w14:paraId="3717C1A8" w14:textId="77777777" w:rsidR="00871656" w:rsidRPr="00871656" w:rsidRDefault="00871656" w:rsidP="00871656">
            <w:pPr>
              <w:spacing w:after="0" w:line="240" w:lineRule="auto"/>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Materiais </w:t>
            </w:r>
          </w:p>
        </w:tc>
        <w:tc>
          <w:tcPr>
            <w:tcW w:w="448" w:type="pct"/>
            <w:tcBorders>
              <w:top w:val="nil"/>
              <w:left w:val="nil"/>
              <w:bottom w:val="nil"/>
              <w:right w:val="nil"/>
            </w:tcBorders>
            <w:shd w:val="clear" w:color="000000" w:fill="D9E1F2"/>
            <w:noWrap/>
            <w:vAlign w:val="bottom"/>
            <w:hideMark/>
          </w:tcPr>
          <w:p w14:paraId="256D1915"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(430)</w:t>
            </w:r>
          </w:p>
        </w:tc>
        <w:tc>
          <w:tcPr>
            <w:tcW w:w="448" w:type="pct"/>
            <w:tcBorders>
              <w:top w:val="nil"/>
              <w:left w:val="nil"/>
              <w:bottom w:val="nil"/>
              <w:right w:val="nil"/>
            </w:tcBorders>
            <w:shd w:val="clear" w:color="auto" w:fill="auto"/>
            <w:noWrap/>
            <w:vAlign w:val="center"/>
            <w:hideMark/>
          </w:tcPr>
          <w:p w14:paraId="6568064E"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(101)</w:t>
            </w:r>
          </w:p>
        </w:tc>
        <w:tc>
          <w:tcPr>
            <w:tcW w:w="448" w:type="pct"/>
            <w:tcBorders>
              <w:top w:val="nil"/>
              <w:left w:val="nil"/>
              <w:bottom w:val="nil"/>
              <w:right w:val="nil"/>
            </w:tcBorders>
            <w:shd w:val="clear" w:color="auto" w:fill="auto"/>
            <w:noWrap/>
            <w:vAlign w:val="bottom"/>
            <w:hideMark/>
          </w:tcPr>
          <w:p w14:paraId="62C6C9B5"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(288)</w:t>
            </w:r>
          </w:p>
        </w:tc>
        <w:tc>
          <w:tcPr>
            <w:tcW w:w="77" w:type="pct"/>
            <w:tcBorders>
              <w:top w:val="nil"/>
              <w:left w:val="nil"/>
              <w:bottom w:val="nil"/>
              <w:right w:val="nil"/>
            </w:tcBorders>
            <w:shd w:val="clear" w:color="auto" w:fill="auto"/>
            <w:noWrap/>
            <w:vAlign w:val="bottom"/>
            <w:hideMark/>
          </w:tcPr>
          <w:p w14:paraId="7F3509C1"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p>
        </w:tc>
        <w:tc>
          <w:tcPr>
            <w:tcW w:w="358" w:type="pct"/>
            <w:tcBorders>
              <w:top w:val="nil"/>
              <w:left w:val="nil"/>
              <w:bottom w:val="nil"/>
              <w:right w:val="nil"/>
            </w:tcBorders>
            <w:shd w:val="clear" w:color="auto" w:fill="auto"/>
            <w:vAlign w:val="center"/>
            <w:hideMark/>
          </w:tcPr>
          <w:p w14:paraId="30C42B9F"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325,7%</w:t>
            </w:r>
          </w:p>
        </w:tc>
        <w:tc>
          <w:tcPr>
            <w:tcW w:w="366" w:type="pct"/>
            <w:tcBorders>
              <w:top w:val="nil"/>
              <w:left w:val="nil"/>
              <w:bottom w:val="nil"/>
              <w:right w:val="nil"/>
            </w:tcBorders>
            <w:shd w:val="clear" w:color="auto" w:fill="auto"/>
            <w:vAlign w:val="center"/>
            <w:hideMark/>
          </w:tcPr>
          <w:p w14:paraId="70CA4C00"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49,3%</w:t>
            </w:r>
          </w:p>
        </w:tc>
        <w:tc>
          <w:tcPr>
            <w:tcW w:w="77" w:type="pct"/>
            <w:tcBorders>
              <w:top w:val="nil"/>
              <w:left w:val="nil"/>
              <w:bottom w:val="nil"/>
              <w:right w:val="nil"/>
            </w:tcBorders>
            <w:shd w:val="clear" w:color="auto" w:fill="auto"/>
            <w:noWrap/>
            <w:vAlign w:val="bottom"/>
            <w:hideMark/>
          </w:tcPr>
          <w:p w14:paraId="1BD282A8"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p>
        </w:tc>
        <w:tc>
          <w:tcPr>
            <w:tcW w:w="433" w:type="pct"/>
            <w:tcBorders>
              <w:top w:val="nil"/>
              <w:left w:val="nil"/>
              <w:bottom w:val="nil"/>
              <w:right w:val="nil"/>
            </w:tcBorders>
            <w:shd w:val="clear" w:color="000000" w:fill="D9E1F2"/>
            <w:noWrap/>
            <w:vAlign w:val="bottom"/>
            <w:hideMark/>
          </w:tcPr>
          <w:p w14:paraId="75EB14CF"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(2.181)</w:t>
            </w:r>
          </w:p>
        </w:tc>
        <w:tc>
          <w:tcPr>
            <w:tcW w:w="538" w:type="pct"/>
            <w:tcBorders>
              <w:top w:val="nil"/>
              <w:left w:val="nil"/>
              <w:bottom w:val="nil"/>
              <w:right w:val="nil"/>
            </w:tcBorders>
            <w:shd w:val="clear" w:color="auto" w:fill="auto"/>
            <w:noWrap/>
            <w:vAlign w:val="bottom"/>
            <w:hideMark/>
          </w:tcPr>
          <w:p w14:paraId="568A48BA"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(2.018)</w:t>
            </w:r>
          </w:p>
        </w:tc>
        <w:tc>
          <w:tcPr>
            <w:tcW w:w="77" w:type="pct"/>
            <w:tcBorders>
              <w:top w:val="nil"/>
              <w:left w:val="nil"/>
              <w:bottom w:val="nil"/>
              <w:right w:val="nil"/>
            </w:tcBorders>
            <w:shd w:val="clear" w:color="auto" w:fill="auto"/>
            <w:noWrap/>
            <w:vAlign w:val="bottom"/>
            <w:hideMark/>
          </w:tcPr>
          <w:p w14:paraId="1214E768"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p>
        </w:tc>
        <w:tc>
          <w:tcPr>
            <w:tcW w:w="409" w:type="pct"/>
            <w:tcBorders>
              <w:top w:val="nil"/>
              <w:left w:val="nil"/>
              <w:bottom w:val="nil"/>
              <w:right w:val="nil"/>
            </w:tcBorders>
            <w:shd w:val="clear" w:color="auto" w:fill="auto"/>
            <w:vAlign w:val="center"/>
            <w:hideMark/>
          </w:tcPr>
          <w:p w14:paraId="46FE4078"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8,1%</w:t>
            </w:r>
          </w:p>
        </w:tc>
      </w:tr>
      <w:tr w:rsidR="00871656" w:rsidRPr="00871656" w14:paraId="126B579D" w14:textId="77777777" w:rsidTr="00446A14">
        <w:trPr>
          <w:trHeight w:val="227"/>
        </w:trPr>
        <w:tc>
          <w:tcPr>
            <w:tcW w:w="1322" w:type="pct"/>
            <w:tcBorders>
              <w:top w:val="nil"/>
              <w:left w:val="nil"/>
              <w:bottom w:val="nil"/>
              <w:right w:val="nil"/>
            </w:tcBorders>
            <w:shd w:val="clear" w:color="auto" w:fill="auto"/>
            <w:noWrap/>
            <w:vAlign w:val="bottom"/>
            <w:hideMark/>
          </w:tcPr>
          <w:p w14:paraId="3E13BADF" w14:textId="77777777" w:rsidR="00871656" w:rsidRPr="00871656" w:rsidRDefault="00871656" w:rsidP="00871656">
            <w:pPr>
              <w:spacing w:after="0" w:line="240" w:lineRule="auto"/>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PECLD</w:t>
            </w:r>
            <w:r w:rsidRPr="00871656">
              <w:rPr>
                <w:rFonts w:ascii="Arial" w:eastAsia="Times New Roman" w:hAnsi="Arial" w:cs="Arial"/>
                <w:color w:val="000000"/>
                <w:kern w:val="0"/>
                <w:sz w:val="16"/>
                <w:szCs w:val="16"/>
                <w:vertAlign w:val="superscript"/>
                <w:lang w:eastAsia="pt-BR"/>
                <w14:ligatures w14:val="none"/>
              </w:rPr>
              <w:footnoteReference w:id="1"/>
            </w:r>
          </w:p>
        </w:tc>
        <w:tc>
          <w:tcPr>
            <w:tcW w:w="448" w:type="pct"/>
            <w:tcBorders>
              <w:top w:val="nil"/>
              <w:left w:val="nil"/>
              <w:bottom w:val="nil"/>
              <w:right w:val="nil"/>
            </w:tcBorders>
            <w:shd w:val="clear" w:color="000000" w:fill="D9E1F2"/>
            <w:noWrap/>
            <w:vAlign w:val="bottom"/>
            <w:hideMark/>
          </w:tcPr>
          <w:p w14:paraId="15F4E1F1"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6.228 </w:t>
            </w:r>
          </w:p>
        </w:tc>
        <w:tc>
          <w:tcPr>
            <w:tcW w:w="448" w:type="pct"/>
            <w:tcBorders>
              <w:top w:val="nil"/>
              <w:left w:val="nil"/>
              <w:bottom w:val="nil"/>
              <w:right w:val="nil"/>
            </w:tcBorders>
            <w:shd w:val="clear" w:color="auto" w:fill="auto"/>
            <w:noWrap/>
            <w:vAlign w:val="center"/>
            <w:hideMark/>
          </w:tcPr>
          <w:p w14:paraId="6E8CA7B9"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2.486 </w:t>
            </w:r>
          </w:p>
        </w:tc>
        <w:tc>
          <w:tcPr>
            <w:tcW w:w="448" w:type="pct"/>
            <w:tcBorders>
              <w:top w:val="nil"/>
              <w:left w:val="nil"/>
              <w:bottom w:val="nil"/>
              <w:right w:val="nil"/>
            </w:tcBorders>
            <w:shd w:val="clear" w:color="auto" w:fill="auto"/>
            <w:noWrap/>
            <w:vAlign w:val="bottom"/>
            <w:hideMark/>
          </w:tcPr>
          <w:p w14:paraId="250B67DC"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(3.629)</w:t>
            </w:r>
          </w:p>
        </w:tc>
        <w:tc>
          <w:tcPr>
            <w:tcW w:w="77" w:type="pct"/>
            <w:tcBorders>
              <w:top w:val="nil"/>
              <w:left w:val="nil"/>
              <w:bottom w:val="nil"/>
              <w:right w:val="nil"/>
            </w:tcBorders>
            <w:shd w:val="clear" w:color="auto" w:fill="auto"/>
            <w:noWrap/>
            <w:vAlign w:val="bottom"/>
            <w:hideMark/>
          </w:tcPr>
          <w:p w14:paraId="419C1BF1"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p>
        </w:tc>
        <w:tc>
          <w:tcPr>
            <w:tcW w:w="358" w:type="pct"/>
            <w:tcBorders>
              <w:top w:val="nil"/>
              <w:left w:val="nil"/>
              <w:bottom w:val="nil"/>
              <w:right w:val="nil"/>
            </w:tcBorders>
            <w:shd w:val="clear" w:color="auto" w:fill="auto"/>
            <w:vAlign w:val="center"/>
            <w:hideMark/>
          </w:tcPr>
          <w:p w14:paraId="1CE8CF29"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150,5%</w:t>
            </w:r>
          </w:p>
        </w:tc>
        <w:tc>
          <w:tcPr>
            <w:tcW w:w="366" w:type="pct"/>
            <w:tcBorders>
              <w:top w:val="nil"/>
              <w:left w:val="nil"/>
              <w:bottom w:val="nil"/>
              <w:right w:val="nil"/>
            </w:tcBorders>
            <w:shd w:val="clear" w:color="auto" w:fill="auto"/>
            <w:vAlign w:val="center"/>
            <w:hideMark/>
          </w:tcPr>
          <w:p w14:paraId="2A600CDF"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-271,6%</w:t>
            </w:r>
          </w:p>
        </w:tc>
        <w:tc>
          <w:tcPr>
            <w:tcW w:w="77" w:type="pct"/>
            <w:tcBorders>
              <w:top w:val="nil"/>
              <w:left w:val="nil"/>
              <w:bottom w:val="nil"/>
              <w:right w:val="nil"/>
            </w:tcBorders>
            <w:shd w:val="clear" w:color="auto" w:fill="auto"/>
            <w:noWrap/>
            <w:vAlign w:val="bottom"/>
            <w:hideMark/>
          </w:tcPr>
          <w:p w14:paraId="41DA8A99"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p>
        </w:tc>
        <w:tc>
          <w:tcPr>
            <w:tcW w:w="433" w:type="pct"/>
            <w:tcBorders>
              <w:top w:val="nil"/>
              <w:left w:val="nil"/>
              <w:bottom w:val="nil"/>
              <w:right w:val="nil"/>
            </w:tcBorders>
            <w:shd w:val="clear" w:color="000000" w:fill="D9E1F2"/>
            <w:noWrap/>
            <w:vAlign w:val="bottom"/>
            <w:hideMark/>
          </w:tcPr>
          <w:p w14:paraId="7803E346"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(1.314)</w:t>
            </w:r>
          </w:p>
        </w:tc>
        <w:tc>
          <w:tcPr>
            <w:tcW w:w="538" w:type="pct"/>
            <w:tcBorders>
              <w:top w:val="nil"/>
              <w:left w:val="nil"/>
              <w:bottom w:val="nil"/>
              <w:right w:val="nil"/>
            </w:tcBorders>
            <w:shd w:val="clear" w:color="auto" w:fill="auto"/>
            <w:noWrap/>
            <w:vAlign w:val="bottom"/>
            <w:hideMark/>
          </w:tcPr>
          <w:p w14:paraId="4832F083"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1.042 </w:t>
            </w:r>
          </w:p>
        </w:tc>
        <w:tc>
          <w:tcPr>
            <w:tcW w:w="77" w:type="pct"/>
            <w:tcBorders>
              <w:top w:val="nil"/>
              <w:left w:val="nil"/>
              <w:bottom w:val="nil"/>
              <w:right w:val="nil"/>
            </w:tcBorders>
            <w:shd w:val="clear" w:color="auto" w:fill="auto"/>
            <w:noWrap/>
            <w:vAlign w:val="bottom"/>
            <w:hideMark/>
          </w:tcPr>
          <w:p w14:paraId="6541A3A2"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p>
        </w:tc>
        <w:tc>
          <w:tcPr>
            <w:tcW w:w="409" w:type="pct"/>
            <w:tcBorders>
              <w:top w:val="nil"/>
              <w:left w:val="nil"/>
              <w:bottom w:val="nil"/>
              <w:right w:val="nil"/>
            </w:tcBorders>
            <w:shd w:val="clear" w:color="auto" w:fill="auto"/>
            <w:vAlign w:val="center"/>
            <w:hideMark/>
          </w:tcPr>
          <w:p w14:paraId="222F7A16"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-226,1%</w:t>
            </w:r>
          </w:p>
        </w:tc>
      </w:tr>
      <w:tr w:rsidR="00871656" w:rsidRPr="00871656" w14:paraId="5829310E" w14:textId="77777777" w:rsidTr="00446A14">
        <w:trPr>
          <w:trHeight w:val="227"/>
        </w:trPr>
        <w:tc>
          <w:tcPr>
            <w:tcW w:w="1322" w:type="pct"/>
            <w:tcBorders>
              <w:top w:val="nil"/>
              <w:left w:val="nil"/>
              <w:bottom w:val="nil"/>
              <w:right w:val="nil"/>
            </w:tcBorders>
            <w:shd w:val="clear" w:color="auto" w:fill="auto"/>
            <w:noWrap/>
            <w:vAlign w:val="bottom"/>
            <w:hideMark/>
          </w:tcPr>
          <w:p w14:paraId="3B0CEFA9" w14:textId="77777777" w:rsidR="00871656" w:rsidRPr="00871656" w:rsidRDefault="00871656" w:rsidP="00871656">
            <w:pPr>
              <w:spacing w:after="0" w:line="240" w:lineRule="auto"/>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PISP</w:t>
            </w:r>
            <w:r w:rsidRPr="00871656">
              <w:rPr>
                <w:rFonts w:ascii="Arial" w:eastAsia="Times New Roman" w:hAnsi="Arial" w:cs="Arial"/>
                <w:color w:val="000000"/>
                <w:kern w:val="0"/>
                <w:sz w:val="16"/>
                <w:szCs w:val="16"/>
                <w:vertAlign w:val="superscript"/>
                <w:lang w:eastAsia="pt-BR"/>
                <w14:ligatures w14:val="none"/>
              </w:rPr>
              <w:footnoteReference w:id="2"/>
            </w:r>
          </w:p>
        </w:tc>
        <w:tc>
          <w:tcPr>
            <w:tcW w:w="448" w:type="pct"/>
            <w:tcBorders>
              <w:top w:val="nil"/>
              <w:left w:val="nil"/>
              <w:bottom w:val="nil"/>
              <w:right w:val="nil"/>
            </w:tcBorders>
            <w:shd w:val="clear" w:color="000000" w:fill="D9E1F2"/>
            <w:noWrap/>
            <w:vAlign w:val="bottom"/>
            <w:hideMark/>
          </w:tcPr>
          <w:p w14:paraId="7A530720"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(318)</w:t>
            </w:r>
          </w:p>
        </w:tc>
        <w:tc>
          <w:tcPr>
            <w:tcW w:w="448" w:type="pct"/>
            <w:tcBorders>
              <w:top w:val="nil"/>
              <w:left w:val="nil"/>
              <w:bottom w:val="nil"/>
              <w:right w:val="nil"/>
            </w:tcBorders>
            <w:shd w:val="clear" w:color="auto" w:fill="auto"/>
            <w:noWrap/>
            <w:vAlign w:val="center"/>
            <w:hideMark/>
          </w:tcPr>
          <w:p w14:paraId="5E454392"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474 </w:t>
            </w:r>
          </w:p>
        </w:tc>
        <w:tc>
          <w:tcPr>
            <w:tcW w:w="448" w:type="pct"/>
            <w:tcBorders>
              <w:top w:val="nil"/>
              <w:left w:val="nil"/>
              <w:bottom w:val="nil"/>
              <w:right w:val="nil"/>
            </w:tcBorders>
            <w:shd w:val="clear" w:color="auto" w:fill="auto"/>
            <w:noWrap/>
            <w:vAlign w:val="bottom"/>
            <w:hideMark/>
          </w:tcPr>
          <w:p w14:paraId="223E1614"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(838)</w:t>
            </w:r>
          </w:p>
        </w:tc>
        <w:tc>
          <w:tcPr>
            <w:tcW w:w="77" w:type="pct"/>
            <w:tcBorders>
              <w:top w:val="nil"/>
              <w:left w:val="nil"/>
              <w:bottom w:val="nil"/>
              <w:right w:val="nil"/>
            </w:tcBorders>
            <w:shd w:val="clear" w:color="auto" w:fill="auto"/>
            <w:noWrap/>
            <w:vAlign w:val="bottom"/>
            <w:hideMark/>
          </w:tcPr>
          <w:p w14:paraId="42E1AF2B"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p>
        </w:tc>
        <w:tc>
          <w:tcPr>
            <w:tcW w:w="358" w:type="pct"/>
            <w:tcBorders>
              <w:top w:val="nil"/>
              <w:left w:val="nil"/>
              <w:bottom w:val="nil"/>
              <w:right w:val="nil"/>
            </w:tcBorders>
            <w:shd w:val="clear" w:color="auto" w:fill="auto"/>
            <w:vAlign w:val="center"/>
            <w:hideMark/>
          </w:tcPr>
          <w:p w14:paraId="6709DD69"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-167,1%</w:t>
            </w:r>
          </w:p>
        </w:tc>
        <w:tc>
          <w:tcPr>
            <w:tcW w:w="366" w:type="pct"/>
            <w:tcBorders>
              <w:top w:val="nil"/>
              <w:left w:val="nil"/>
              <w:bottom w:val="nil"/>
              <w:right w:val="nil"/>
            </w:tcBorders>
            <w:shd w:val="clear" w:color="auto" w:fill="auto"/>
            <w:vAlign w:val="center"/>
            <w:hideMark/>
          </w:tcPr>
          <w:p w14:paraId="007FE85B"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-62,1%</w:t>
            </w:r>
          </w:p>
        </w:tc>
        <w:tc>
          <w:tcPr>
            <w:tcW w:w="77" w:type="pct"/>
            <w:tcBorders>
              <w:top w:val="nil"/>
              <w:left w:val="nil"/>
              <w:bottom w:val="nil"/>
              <w:right w:val="nil"/>
            </w:tcBorders>
            <w:shd w:val="clear" w:color="auto" w:fill="auto"/>
            <w:noWrap/>
            <w:vAlign w:val="bottom"/>
            <w:hideMark/>
          </w:tcPr>
          <w:p w14:paraId="46018B0E"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p>
        </w:tc>
        <w:tc>
          <w:tcPr>
            <w:tcW w:w="433" w:type="pct"/>
            <w:tcBorders>
              <w:top w:val="nil"/>
              <w:left w:val="nil"/>
              <w:bottom w:val="nil"/>
              <w:right w:val="nil"/>
            </w:tcBorders>
            <w:shd w:val="clear" w:color="000000" w:fill="D9E1F2"/>
            <w:noWrap/>
            <w:vAlign w:val="bottom"/>
            <w:hideMark/>
          </w:tcPr>
          <w:p w14:paraId="44406111"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(1.231)</w:t>
            </w:r>
          </w:p>
        </w:tc>
        <w:tc>
          <w:tcPr>
            <w:tcW w:w="538" w:type="pct"/>
            <w:tcBorders>
              <w:top w:val="nil"/>
              <w:left w:val="nil"/>
              <w:bottom w:val="nil"/>
              <w:right w:val="nil"/>
            </w:tcBorders>
            <w:shd w:val="clear" w:color="auto" w:fill="auto"/>
            <w:noWrap/>
            <w:vAlign w:val="bottom"/>
            <w:hideMark/>
          </w:tcPr>
          <w:p w14:paraId="74D8AB54"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(1.361)</w:t>
            </w:r>
          </w:p>
        </w:tc>
        <w:tc>
          <w:tcPr>
            <w:tcW w:w="77" w:type="pct"/>
            <w:tcBorders>
              <w:top w:val="nil"/>
              <w:left w:val="nil"/>
              <w:bottom w:val="nil"/>
              <w:right w:val="nil"/>
            </w:tcBorders>
            <w:shd w:val="clear" w:color="auto" w:fill="auto"/>
            <w:noWrap/>
            <w:vAlign w:val="bottom"/>
            <w:hideMark/>
          </w:tcPr>
          <w:p w14:paraId="3731B3C5"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p>
        </w:tc>
        <w:tc>
          <w:tcPr>
            <w:tcW w:w="409" w:type="pct"/>
            <w:tcBorders>
              <w:top w:val="nil"/>
              <w:left w:val="nil"/>
              <w:bottom w:val="nil"/>
              <w:right w:val="nil"/>
            </w:tcBorders>
            <w:shd w:val="clear" w:color="auto" w:fill="auto"/>
            <w:vAlign w:val="center"/>
            <w:hideMark/>
          </w:tcPr>
          <w:p w14:paraId="08CA68F5"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-9,6%</w:t>
            </w:r>
          </w:p>
        </w:tc>
      </w:tr>
      <w:tr w:rsidR="00871656" w:rsidRPr="00871656" w14:paraId="099B33EE" w14:textId="77777777" w:rsidTr="00446A14">
        <w:trPr>
          <w:trHeight w:val="227"/>
        </w:trPr>
        <w:tc>
          <w:tcPr>
            <w:tcW w:w="1322" w:type="pct"/>
            <w:tcBorders>
              <w:top w:val="nil"/>
              <w:left w:val="nil"/>
              <w:bottom w:val="nil"/>
              <w:right w:val="nil"/>
            </w:tcBorders>
            <w:shd w:val="clear" w:color="000000" w:fill="75F6F9"/>
            <w:noWrap/>
            <w:vAlign w:val="bottom"/>
            <w:hideMark/>
          </w:tcPr>
          <w:p w14:paraId="3F4BCCD0" w14:textId="77777777" w:rsidR="00871656" w:rsidRPr="00871656" w:rsidRDefault="00871656" w:rsidP="00871656">
            <w:pPr>
              <w:spacing w:after="0" w:line="240" w:lineRule="auto"/>
              <w:rPr>
                <w:rFonts w:ascii="Arial" w:eastAsia="Times New Roman" w:hAnsi="Arial" w:cs="Arial"/>
                <w:b/>
                <w:bCs/>
                <w:color w:val="000000"/>
                <w:kern w:val="0"/>
                <w:sz w:val="16"/>
                <w:szCs w:val="16"/>
                <w:lang w:eastAsia="pt-BR"/>
                <w14:ligatures w14:val="none"/>
              </w:rPr>
            </w:pPr>
            <w:r w:rsidRPr="00871656">
              <w:rPr>
                <w:rFonts w:ascii="Arial" w:eastAsia="Times New Roman" w:hAnsi="Arial" w:cs="Arial"/>
                <w:b/>
                <w:bCs/>
                <w:color w:val="000000"/>
                <w:kern w:val="0"/>
                <w:sz w:val="16"/>
                <w:szCs w:val="16"/>
                <w:lang w:eastAsia="pt-BR"/>
                <w14:ligatures w14:val="none"/>
              </w:rPr>
              <w:t>Total</w:t>
            </w:r>
          </w:p>
        </w:tc>
        <w:tc>
          <w:tcPr>
            <w:tcW w:w="448" w:type="pct"/>
            <w:tcBorders>
              <w:top w:val="nil"/>
              <w:left w:val="nil"/>
              <w:bottom w:val="nil"/>
              <w:right w:val="nil"/>
            </w:tcBorders>
            <w:shd w:val="clear" w:color="000000" w:fill="75F6F9"/>
            <w:noWrap/>
            <w:vAlign w:val="bottom"/>
            <w:hideMark/>
          </w:tcPr>
          <w:p w14:paraId="59FD2286" w14:textId="77777777" w:rsidR="00871656" w:rsidRPr="00871656" w:rsidRDefault="00871656" w:rsidP="00871656">
            <w:pPr>
              <w:spacing w:after="0" w:line="240" w:lineRule="auto"/>
              <w:jc w:val="right"/>
              <w:rPr>
                <w:rFonts w:ascii="Arial" w:eastAsia="Times New Roman" w:hAnsi="Arial" w:cs="Arial"/>
                <w:b/>
                <w:bCs/>
                <w:color w:val="000000"/>
                <w:kern w:val="0"/>
                <w:sz w:val="16"/>
                <w:szCs w:val="16"/>
                <w:lang w:eastAsia="pt-BR"/>
                <w14:ligatures w14:val="none"/>
              </w:rPr>
            </w:pPr>
            <w:r w:rsidRPr="00871656">
              <w:rPr>
                <w:rFonts w:ascii="Arial" w:eastAsia="Times New Roman" w:hAnsi="Arial" w:cs="Arial"/>
                <w:b/>
                <w:bCs/>
                <w:color w:val="000000"/>
                <w:kern w:val="0"/>
                <w:sz w:val="16"/>
                <w:szCs w:val="16"/>
                <w:lang w:eastAsia="pt-BR"/>
                <w14:ligatures w14:val="none"/>
              </w:rPr>
              <w:t xml:space="preserve"> (108.925)</w:t>
            </w:r>
          </w:p>
        </w:tc>
        <w:tc>
          <w:tcPr>
            <w:tcW w:w="448" w:type="pct"/>
            <w:tcBorders>
              <w:top w:val="nil"/>
              <w:left w:val="nil"/>
              <w:bottom w:val="nil"/>
              <w:right w:val="nil"/>
            </w:tcBorders>
            <w:shd w:val="clear" w:color="000000" w:fill="75F6F9"/>
            <w:noWrap/>
            <w:vAlign w:val="bottom"/>
            <w:hideMark/>
          </w:tcPr>
          <w:p w14:paraId="5F225C26" w14:textId="77777777" w:rsidR="00871656" w:rsidRPr="00871656" w:rsidRDefault="00871656" w:rsidP="00871656">
            <w:pPr>
              <w:spacing w:after="0" w:line="240" w:lineRule="auto"/>
              <w:jc w:val="right"/>
              <w:rPr>
                <w:rFonts w:ascii="Arial" w:eastAsia="Times New Roman" w:hAnsi="Arial" w:cs="Arial"/>
                <w:b/>
                <w:bCs/>
                <w:color w:val="000000"/>
                <w:kern w:val="0"/>
                <w:sz w:val="16"/>
                <w:szCs w:val="16"/>
                <w:lang w:eastAsia="pt-BR"/>
                <w14:ligatures w14:val="none"/>
              </w:rPr>
            </w:pPr>
            <w:r w:rsidRPr="00871656">
              <w:rPr>
                <w:rFonts w:ascii="Arial" w:eastAsia="Times New Roman" w:hAnsi="Arial" w:cs="Arial"/>
                <w:b/>
                <w:bCs/>
                <w:color w:val="000000"/>
                <w:kern w:val="0"/>
                <w:sz w:val="16"/>
                <w:szCs w:val="16"/>
                <w:lang w:eastAsia="pt-BR"/>
                <w14:ligatures w14:val="none"/>
              </w:rPr>
              <w:t xml:space="preserve">    (99.202)</w:t>
            </w:r>
          </w:p>
        </w:tc>
        <w:tc>
          <w:tcPr>
            <w:tcW w:w="448" w:type="pct"/>
            <w:tcBorders>
              <w:top w:val="nil"/>
              <w:left w:val="nil"/>
              <w:bottom w:val="nil"/>
              <w:right w:val="nil"/>
            </w:tcBorders>
            <w:shd w:val="clear" w:color="000000" w:fill="75F6F9"/>
            <w:noWrap/>
            <w:vAlign w:val="bottom"/>
            <w:hideMark/>
          </w:tcPr>
          <w:p w14:paraId="4436061B" w14:textId="77777777" w:rsidR="00871656" w:rsidRPr="00871656" w:rsidRDefault="00871656" w:rsidP="00871656">
            <w:pPr>
              <w:spacing w:after="0" w:line="240" w:lineRule="auto"/>
              <w:jc w:val="right"/>
              <w:rPr>
                <w:rFonts w:ascii="Arial" w:eastAsia="Times New Roman" w:hAnsi="Arial" w:cs="Arial"/>
                <w:b/>
                <w:bCs/>
                <w:color w:val="000000"/>
                <w:kern w:val="0"/>
                <w:sz w:val="16"/>
                <w:szCs w:val="16"/>
                <w:lang w:eastAsia="pt-BR"/>
                <w14:ligatures w14:val="none"/>
              </w:rPr>
            </w:pPr>
            <w:r w:rsidRPr="00871656">
              <w:rPr>
                <w:rFonts w:ascii="Arial" w:eastAsia="Times New Roman" w:hAnsi="Arial" w:cs="Arial"/>
                <w:b/>
                <w:bCs/>
                <w:color w:val="000000"/>
                <w:kern w:val="0"/>
                <w:sz w:val="16"/>
                <w:szCs w:val="16"/>
                <w:lang w:eastAsia="pt-BR"/>
                <w14:ligatures w14:val="none"/>
              </w:rPr>
              <w:t xml:space="preserve"> (123.144)</w:t>
            </w:r>
          </w:p>
        </w:tc>
        <w:tc>
          <w:tcPr>
            <w:tcW w:w="77" w:type="pct"/>
            <w:tcBorders>
              <w:top w:val="nil"/>
              <w:left w:val="nil"/>
              <w:bottom w:val="nil"/>
              <w:right w:val="nil"/>
            </w:tcBorders>
            <w:shd w:val="clear" w:color="auto" w:fill="auto"/>
            <w:noWrap/>
            <w:vAlign w:val="bottom"/>
            <w:hideMark/>
          </w:tcPr>
          <w:p w14:paraId="67950DA7" w14:textId="77777777" w:rsidR="00871656" w:rsidRPr="00871656" w:rsidRDefault="00871656" w:rsidP="00871656">
            <w:pPr>
              <w:spacing w:after="0" w:line="240" w:lineRule="auto"/>
              <w:jc w:val="right"/>
              <w:rPr>
                <w:rFonts w:ascii="Arial" w:eastAsia="Times New Roman" w:hAnsi="Arial" w:cs="Arial"/>
                <w:b/>
                <w:bCs/>
                <w:color w:val="000000"/>
                <w:kern w:val="0"/>
                <w:sz w:val="16"/>
                <w:szCs w:val="16"/>
                <w:lang w:eastAsia="pt-BR"/>
                <w14:ligatures w14:val="none"/>
              </w:rPr>
            </w:pPr>
          </w:p>
        </w:tc>
        <w:tc>
          <w:tcPr>
            <w:tcW w:w="358" w:type="pct"/>
            <w:tcBorders>
              <w:top w:val="nil"/>
              <w:left w:val="nil"/>
              <w:bottom w:val="nil"/>
              <w:right w:val="nil"/>
            </w:tcBorders>
            <w:shd w:val="clear" w:color="000000" w:fill="75F6F9"/>
            <w:vAlign w:val="center"/>
            <w:hideMark/>
          </w:tcPr>
          <w:p w14:paraId="5C39A352" w14:textId="77777777" w:rsidR="00871656" w:rsidRPr="00871656" w:rsidRDefault="00871656" w:rsidP="00871656">
            <w:pPr>
              <w:spacing w:after="0" w:line="240" w:lineRule="auto"/>
              <w:jc w:val="right"/>
              <w:rPr>
                <w:rFonts w:ascii="Arial" w:eastAsia="Times New Roman" w:hAnsi="Arial" w:cs="Arial"/>
                <w:b/>
                <w:bCs/>
                <w:color w:val="000000"/>
                <w:kern w:val="0"/>
                <w:sz w:val="16"/>
                <w:szCs w:val="16"/>
                <w:lang w:eastAsia="pt-BR"/>
                <w14:ligatures w14:val="none"/>
              </w:rPr>
            </w:pPr>
            <w:r w:rsidRPr="00871656">
              <w:rPr>
                <w:rFonts w:ascii="Arial" w:eastAsia="Times New Roman" w:hAnsi="Arial" w:cs="Arial"/>
                <w:b/>
                <w:bCs/>
                <w:color w:val="000000"/>
                <w:kern w:val="0"/>
                <w:sz w:val="16"/>
                <w:szCs w:val="16"/>
                <w:lang w:eastAsia="pt-BR"/>
                <w14:ligatures w14:val="none"/>
              </w:rPr>
              <w:t>9,8%</w:t>
            </w:r>
          </w:p>
        </w:tc>
        <w:tc>
          <w:tcPr>
            <w:tcW w:w="366" w:type="pct"/>
            <w:tcBorders>
              <w:top w:val="nil"/>
              <w:left w:val="nil"/>
              <w:bottom w:val="nil"/>
              <w:right w:val="nil"/>
            </w:tcBorders>
            <w:shd w:val="clear" w:color="000000" w:fill="75F6F9"/>
            <w:noWrap/>
            <w:vAlign w:val="center"/>
            <w:hideMark/>
          </w:tcPr>
          <w:p w14:paraId="2A3B70F5" w14:textId="77777777" w:rsidR="00871656" w:rsidRPr="00871656" w:rsidRDefault="00871656" w:rsidP="00871656">
            <w:pPr>
              <w:spacing w:after="0" w:line="240" w:lineRule="auto"/>
              <w:jc w:val="right"/>
              <w:rPr>
                <w:rFonts w:ascii="Arial" w:eastAsia="Times New Roman" w:hAnsi="Arial" w:cs="Arial"/>
                <w:b/>
                <w:bCs/>
                <w:color w:val="000000"/>
                <w:kern w:val="0"/>
                <w:sz w:val="16"/>
                <w:szCs w:val="16"/>
                <w:lang w:eastAsia="pt-BR"/>
                <w14:ligatures w14:val="none"/>
              </w:rPr>
            </w:pPr>
            <w:r w:rsidRPr="00871656">
              <w:rPr>
                <w:rFonts w:ascii="Arial" w:eastAsia="Times New Roman" w:hAnsi="Arial" w:cs="Arial"/>
                <w:b/>
                <w:bCs/>
                <w:color w:val="000000"/>
                <w:kern w:val="0"/>
                <w:sz w:val="16"/>
                <w:szCs w:val="16"/>
                <w:lang w:eastAsia="pt-BR"/>
                <w14:ligatures w14:val="none"/>
              </w:rPr>
              <w:t>-11,5%</w:t>
            </w:r>
          </w:p>
        </w:tc>
        <w:tc>
          <w:tcPr>
            <w:tcW w:w="77" w:type="pct"/>
            <w:tcBorders>
              <w:top w:val="nil"/>
              <w:left w:val="nil"/>
              <w:bottom w:val="nil"/>
              <w:right w:val="nil"/>
            </w:tcBorders>
            <w:shd w:val="clear" w:color="auto" w:fill="auto"/>
            <w:noWrap/>
            <w:vAlign w:val="bottom"/>
            <w:hideMark/>
          </w:tcPr>
          <w:p w14:paraId="45693D9F" w14:textId="77777777" w:rsidR="00871656" w:rsidRPr="00871656" w:rsidRDefault="00871656" w:rsidP="00871656">
            <w:pPr>
              <w:spacing w:after="0" w:line="240" w:lineRule="auto"/>
              <w:jc w:val="right"/>
              <w:rPr>
                <w:rFonts w:ascii="Arial" w:eastAsia="Times New Roman" w:hAnsi="Arial" w:cs="Arial"/>
                <w:b/>
                <w:bCs/>
                <w:color w:val="000000"/>
                <w:kern w:val="0"/>
                <w:sz w:val="16"/>
                <w:szCs w:val="16"/>
                <w:lang w:eastAsia="pt-BR"/>
                <w14:ligatures w14:val="none"/>
              </w:rPr>
            </w:pPr>
          </w:p>
        </w:tc>
        <w:tc>
          <w:tcPr>
            <w:tcW w:w="433" w:type="pct"/>
            <w:tcBorders>
              <w:top w:val="nil"/>
              <w:left w:val="nil"/>
              <w:bottom w:val="nil"/>
              <w:right w:val="nil"/>
            </w:tcBorders>
            <w:shd w:val="clear" w:color="000000" w:fill="75F6F9"/>
            <w:noWrap/>
            <w:vAlign w:val="bottom"/>
            <w:hideMark/>
          </w:tcPr>
          <w:p w14:paraId="716DD5B3" w14:textId="77777777" w:rsidR="00871656" w:rsidRPr="00871656" w:rsidRDefault="00871656" w:rsidP="00871656">
            <w:pPr>
              <w:spacing w:after="0" w:line="240" w:lineRule="auto"/>
              <w:jc w:val="right"/>
              <w:rPr>
                <w:rFonts w:ascii="Arial" w:eastAsia="Times New Roman" w:hAnsi="Arial" w:cs="Arial"/>
                <w:b/>
                <w:bCs/>
                <w:color w:val="000000"/>
                <w:kern w:val="0"/>
                <w:sz w:val="16"/>
                <w:szCs w:val="16"/>
                <w:lang w:eastAsia="pt-BR"/>
                <w14:ligatures w14:val="none"/>
              </w:rPr>
            </w:pPr>
            <w:r w:rsidRPr="00871656">
              <w:rPr>
                <w:rFonts w:ascii="Arial" w:eastAsia="Times New Roman" w:hAnsi="Arial" w:cs="Arial"/>
                <w:b/>
                <w:bCs/>
                <w:color w:val="000000"/>
                <w:kern w:val="0"/>
                <w:sz w:val="16"/>
                <w:szCs w:val="16"/>
                <w:lang w:eastAsia="pt-BR"/>
                <w14:ligatures w14:val="none"/>
              </w:rPr>
              <w:t xml:space="preserve"> (469.666)</w:t>
            </w:r>
          </w:p>
        </w:tc>
        <w:tc>
          <w:tcPr>
            <w:tcW w:w="538" w:type="pct"/>
            <w:tcBorders>
              <w:top w:val="nil"/>
              <w:left w:val="nil"/>
              <w:bottom w:val="nil"/>
              <w:right w:val="nil"/>
            </w:tcBorders>
            <w:shd w:val="clear" w:color="000000" w:fill="75F6F9"/>
            <w:noWrap/>
            <w:vAlign w:val="bottom"/>
            <w:hideMark/>
          </w:tcPr>
          <w:p w14:paraId="1DAC252C" w14:textId="77777777" w:rsidR="00871656" w:rsidRPr="00871656" w:rsidRDefault="00871656" w:rsidP="00871656">
            <w:pPr>
              <w:spacing w:after="0" w:line="240" w:lineRule="auto"/>
              <w:jc w:val="right"/>
              <w:rPr>
                <w:rFonts w:ascii="Arial" w:eastAsia="Times New Roman" w:hAnsi="Arial" w:cs="Arial"/>
                <w:b/>
                <w:bCs/>
                <w:color w:val="000000"/>
                <w:kern w:val="0"/>
                <w:sz w:val="16"/>
                <w:szCs w:val="16"/>
                <w:lang w:eastAsia="pt-BR"/>
                <w14:ligatures w14:val="none"/>
              </w:rPr>
            </w:pPr>
            <w:r w:rsidRPr="00871656">
              <w:rPr>
                <w:rFonts w:ascii="Arial" w:eastAsia="Times New Roman" w:hAnsi="Arial" w:cs="Arial"/>
                <w:b/>
                <w:bCs/>
                <w:color w:val="000000"/>
                <w:kern w:val="0"/>
                <w:sz w:val="16"/>
                <w:szCs w:val="16"/>
                <w:lang w:eastAsia="pt-BR"/>
                <w14:ligatures w14:val="none"/>
              </w:rPr>
              <w:t xml:space="preserve">      (393.957)</w:t>
            </w:r>
          </w:p>
        </w:tc>
        <w:tc>
          <w:tcPr>
            <w:tcW w:w="77" w:type="pct"/>
            <w:tcBorders>
              <w:top w:val="nil"/>
              <w:left w:val="nil"/>
              <w:bottom w:val="nil"/>
              <w:right w:val="nil"/>
            </w:tcBorders>
            <w:shd w:val="clear" w:color="auto" w:fill="auto"/>
            <w:noWrap/>
            <w:vAlign w:val="bottom"/>
            <w:hideMark/>
          </w:tcPr>
          <w:p w14:paraId="701AC73F" w14:textId="77777777" w:rsidR="00871656" w:rsidRPr="00871656" w:rsidRDefault="00871656" w:rsidP="00871656">
            <w:pPr>
              <w:spacing w:after="0" w:line="240" w:lineRule="auto"/>
              <w:jc w:val="right"/>
              <w:rPr>
                <w:rFonts w:ascii="Arial" w:eastAsia="Times New Roman" w:hAnsi="Arial" w:cs="Arial"/>
                <w:b/>
                <w:bCs/>
                <w:color w:val="000000"/>
                <w:kern w:val="0"/>
                <w:sz w:val="16"/>
                <w:szCs w:val="16"/>
                <w:lang w:eastAsia="pt-BR"/>
                <w14:ligatures w14:val="none"/>
              </w:rPr>
            </w:pPr>
          </w:p>
        </w:tc>
        <w:tc>
          <w:tcPr>
            <w:tcW w:w="409" w:type="pct"/>
            <w:tcBorders>
              <w:top w:val="nil"/>
              <w:left w:val="nil"/>
              <w:bottom w:val="nil"/>
              <w:right w:val="nil"/>
            </w:tcBorders>
            <w:shd w:val="clear" w:color="000000" w:fill="75F6F9"/>
            <w:vAlign w:val="center"/>
            <w:hideMark/>
          </w:tcPr>
          <w:p w14:paraId="4E5AB9EA" w14:textId="77777777" w:rsidR="00871656" w:rsidRPr="00871656" w:rsidRDefault="00871656" w:rsidP="00871656">
            <w:pPr>
              <w:spacing w:after="0" w:line="240" w:lineRule="auto"/>
              <w:jc w:val="right"/>
              <w:rPr>
                <w:rFonts w:ascii="Arial" w:eastAsia="Times New Roman" w:hAnsi="Arial" w:cs="Arial"/>
                <w:b/>
                <w:bCs/>
                <w:color w:val="000000"/>
                <w:kern w:val="0"/>
                <w:sz w:val="16"/>
                <w:szCs w:val="16"/>
                <w:lang w:eastAsia="pt-BR"/>
                <w14:ligatures w14:val="none"/>
              </w:rPr>
            </w:pPr>
            <w:r w:rsidRPr="00871656">
              <w:rPr>
                <w:rFonts w:ascii="Arial" w:eastAsia="Times New Roman" w:hAnsi="Arial" w:cs="Arial"/>
                <w:b/>
                <w:bCs/>
                <w:color w:val="000000"/>
                <w:kern w:val="0"/>
                <w:sz w:val="16"/>
                <w:szCs w:val="16"/>
                <w:lang w:eastAsia="pt-BR"/>
                <w14:ligatures w14:val="none"/>
              </w:rPr>
              <w:t>19,2%</w:t>
            </w:r>
          </w:p>
        </w:tc>
      </w:tr>
    </w:tbl>
    <w:p w14:paraId="03AE14BB" w14:textId="77777777" w:rsidR="00871656" w:rsidRDefault="00871656" w:rsidP="00871656">
      <w:pPr>
        <w:rPr>
          <w:rFonts w:ascii="Calibri" w:eastAsia="Times New Roman" w:hAnsi="Calibri" w:cs="Calibri"/>
          <w:b/>
          <w:bCs/>
          <w:u w:val="single"/>
        </w:rPr>
      </w:pPr>
      <w:bookmarkStart w:id="441" w:name="_Hlk162368859"/>
      <w:bookmarkEnd w:id="440"/>
    </w:p>
    <w:p w14:paraId="0471A3B5" w14:textId="6D02135F" w:rsidR="00871656" w:rsidRDefault="00871656" w:rsidP="00871656">
      <w:pPr>
        <w:jc w:val="both"/>
        <w:rPr>
          <w:rFonts w:ascii="Calibri" w:eastAsia="Times New Roman" w:hAnsi="Calibri" w:cs="Calibri"/>
          <w:b/>
          <w:bCs/>
          <w:color w:val="002060"/>
          <w:kern w:val="0"/>
          <w:u w:val="single"/>
          <w14:ligatures w14:val="none"/>
        </w:rPr>
      </w:pPr>
      <w:r w:rsidRPr="00871656">
        <w:rPr>
          <w:rFonts w:ascii="Calibri" w:eastAsia="Times New Roman" w:hAnsi="Calibri" w:cs="Calibri"/>
          <w:b/>
          <w:bCs/>
          <w:color w:val="002060"/>
          <w:kern w:val="0"/>
          <w:u w:val="single"/>
          <w14:ligatures w14:val="none"/>
        </w:rPr>
        <w:t>Evolução 2022 – 2023 - R$ mil</w:t>
      </w:r>
    </w:p>
    <w:p w14:paraId="44DA07D3" w14:textId="4C84105F" w:rsidR="00871656" w:rsidRPr="00871656" w:rsidRDefault="00871656" w:rsidP="00871656">
      <w:pPr>
        <w:jc w:val="both"/>
        <w:rPr>
          <w:rFonts w:ascii="Calibri" w:eastAsia="Times New Roman" w:hAnsi="Calibri" w:cs="Calibri"/>
          <w:b/>
          <w:bCs/>
          <w:color w:val="002060"/>
          <w:kern w:val="0"/>
          <w:u w:val="single"/>
          <w14:ligatures w14:val="none"/>
        </w:rPr>
      </w:pPr>
      <w:r>
        <w:rPr>
          <w:noProof/>
        </w:rPr>
        <w:drawing>
          <wp:inline distT="0" distB="0" distL="0" distR="0" wp14:anchorId="0174D7AB" wp14:editId="675F7F8E">
            <wp:extent cx="6210935" cy="2219912"/>
            <wp:effectExtent l="0" t="0" r="0" b="0"/>
            <wp:docPr id="24" name="Gráfico 24">
              <a:extLst xmlns:a="http://schemas.openxmlformats.org/drawingml/2006/main">
                <a:ext uri="{FF2B5EF4-FFF2-40B4-BE49-F238E27FC236}">
                  <a16:creationId xmlns:a16="http://schemas.microsoft.com/office/drawing/2014/main" id="{9A81C213-815B-4768-93D9-B4CEB71E40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bookmarkEnd w:id="441"/>
    <w:p w14:paraId="16F8E6F4" w14:textId="77777777" w:rsidR="00871656" w:rsidRPr="00871656" w:rsidRDefault="00871656" w:rsidP="00871656">
      <w:pPr>
        <w:spacing w:after="0" w:line="240" w:lineRule="auto"/>
        <w:jc w:val="both"/>
        <w:rPr>
          <w:rFonts w:ascii="Calibri" w:eastAsia="Times New Roman" w:hAnsi="Calibri" w:cs="Calibri"/>
          <w:color w:val="002060"/>
          <w:kern w:val="0"/>
          <w14:ligatures w14:val="none"/>
        </w:rPr>
      </w:pPr>
      <w:r w:rsidRPr="00871656">
        <w:rPr>
          <w:rFonts w:ascii="Calibri" w:eastAsia="Times New Roman" w:hAnsi="Calibri" w:cs="Calibri"/>
          <w:color w:val="002060"/>
          <w:kern w:val="0"/>
          <w14:ligatures w14:val="none"/>
        </w:rPr>
        <w:t>Os Custos e Despesas Operacionais (Exceto Depreciação e Amortização) totalizaram R$ 108,9 milhões no 4T23, crescimento de 9,8% na comparação com o 4T22 (R$ 99,2 milhões). Com relação ao 3T23, ocorreu uma redução de 11,5% (R$ 123,1 milhões). No acumulado dos 12M23 o crescimento foi de 19,2%, atingindo o montante de R$ 469,7 milhões (R$ 394,0 milhões nos 12M22).</w:t>
      </w:r>
    </w:p>
    <w:p w14:paraId="34D031F7" w14:textId="77777777" w:rsidR="00871656" w:rsidRPr="00871656" w:rsidRDefault="00871656" w:rsidP="00871656">
      <w:pPr>
        <w:spacing w:after="0" w:line="240" w:lineRule="auto"/>
        <w:jc w:val="both"/>
        <w:rPr>
          <w:rFonts w:ascii="Calibri" w:eastAsia="Times New Roman" w:hAnsi="Calibri" w:cs="Calibri"/>
          <w:color w:val="002060"/>
          <w:kern w:val="0"/>
          <w14:ligatures w14:val="none"/>
        </w:rPr>
      </w:pPr>
      <w:r w:rsidRPr="00871656">
        <w:rPr>
          <w:rFonts w:ascii="Calibri" w:eastAsia="Times New Roman" w:hAnsi="Calibri" w:cs="Calibri"/>
          <w:color w:val="002060"/>
          <w:kern w:val="0"/>
          <w14:ligatures w14:val="none"/>
        </w:rPr>
        <w:t>As principais ocorrências no período referentes aos itens de Custos e Despesas Operacionais foram as seguintes:</w:t>
      </w:r>
    </w:p>
    <w:p w14:paraId="196D25DB" w14:textId="77777777" w:rsidR="00871656" w:rsidRPr="00871656" w:rsidRDefault="00871656" w:rsidP="00871656">
      <w:pPr>
        <w:spacing w:after="0" w:line="240" w:lineRule="auto"/>
        <w:jc w:val="both"/>
        <w:rPr>
          <w:rFonts w:ascii="Calibri" w:eastAsia="Times New Roman" w:hAnsi="Calibri" w:cs="Calibri"/>
          <w:color w:val="002060"/>
          <w:kern w:val="0"/>
          <w14:ligatures w14:val="none"/>
        </w:rPr>
      </w:pPr>
      <w:r w:rsidRPr="00871656">
        <w:rPr>
          <w:rFonts w:ascii="Calibri" w:eastAsia="Times New Roman" w:hAnsi="Calibri" w:cs="Calibri"/>
          <w:color w:val="002060"/>
          <w:kern w:val="0"/>
          <w14:ligatures w14:val="none"/>
        </w:rPr>
        <w:t xml:space="preserve">Meios de Conexão e Transmissão: apresentou aumento de 7,1% em relação aos 12M22. Esse aumento foi impactado principalmente pelo serviço de Linha dedicada Industrial (EILD), devido aos reajustes de preços dos serviços contratados </w:t>
      </w:r>
      <w:proofErr w:type="gramStart"/>
      <w:r w:rsidRPr="00871656">
        <w:rPr>
          <w:rFonts w:ascii="Calibri" w:eastAsia="Times New Roman" w:hAnsi="Calibri" w:cs="Calibri"/>
          <w:color w:val="002060"/>
          <w:kern w:val="0"/>
          <w14:ligatures w14:val="none"/>
        </w:rPr>
        <w:t>e também</w:t>
      </w:r>
      <w:proofErr w:type="gramEnd"/>
      <w:r w:rsidRPr="00871656">
        <w:rPr>
          <w:rFonts w:ascii="Calibri" w:eastAsia="Times New Roman" w:hAnsi="Calibri" w:cs="Calibri"/>
          <w:color w:val="002060"/>
          <w:kern w:val="0"/>
          <w14:ligatures w14:val="none"/>
        </w:rPr>
        <w:t xml:space="preserve"> pelos novos contratos para atender as novas demandas. Os principais serviços que compõem essa rubrica são a Linha dedicada Industrial (EILD), que teve aumento de 17,8% e o serviço de Backbone, que teve queda de 1,3%.</w:t>
      </w:r>
    </w:p>
    <w:p w14:paraId="0B52150F" w14:textId="77777777" w:rsidR="00871656" w:rsidRPr="00871656" w:rsidRDefault="00871656" w:rsidP="00871656">
      <w:pPr>
        <w:spacing w:after="0" w:line="240" w:lineRule="auto"/>
        <w:jc w:val="both"/>
        <w:rPr>
          <w:rFonts w:ascii="Calibri" w:eastAsia="Times New Roman" w:hAnsi="Calibri" w:cs="Calibri"/>
          <w:color w:val="002060"/>
          <w:kern w:val="0"/>
          <w14:ligatures w14:val="none"/>
        </w:rPr>
      </w:pPr>
    </w:p>
    <w:p w14:paraId="66FE9366" w14:textId="77777777" w:rsidR="00871656" w:rsidRPr="00871656" w:rsidRDefault="00871656" w:rsidP="00871656">
      <w:pPr>
        <w:spacing w:after="0" w:line="240" w:lineRule="auto"/>
        <w:jc w:val="both"/>
        <w:rPr>
          <w:rFonts w:ascii="Calibri" w:eastAsia="Times New Roman" w:hAnsi="Calibri" w:cs="Calibri"/>
          <w:color w:val="002060"/>
          <w:kern w:val="0"/>
          <w14:ligatures w14:val="none"/>
        </w:rPr>
      </w:pPr>
      <w:r w:rsidRPr="00871656">
        <w:rPr>
          <w:rFonts w:ascii="Calibri" w:eastAsia="Times New Roman" w:hAnsi="Calibri" w:cs="Calibri"/>
          <w:color w:val="002060"/>
          <w:kern w:val="0"/>
          <w14:ligatures w14:val="none"/>
        </w:rPr>
        <w:lastRenderedPageBreak/>
        <w:t>Pessoal: Nos 12M23, os custos e despesas com Pessoal tiveram aumento de 10,1% em relação ao mesmo período do ano anterior. O acréscimo é reflexo da contratação de novos colaboradores para reposição da força de trabalho, que foram aprovados em concurso público.</w:t>
      </w:r>
    </w:p>
    <w:p w14:paraId="21D2C5B9" w14:textId="77777777" w:rsidR="00871656" w:rsidRPr="00871656" w:rsidRDefault="00871656" w:rsidP="00871656">
      <w:pPr>
        <w:spacing w:after="0" w:line="240" w:lineRule="auto"/>
        <w:jc w:val="both"/>
        <w:rPr>
          <w:rFonts w:ascii="Calibri" w:eastAsia="Times New Roman" w:hAnsi="Calibri" w:cs="Calibri"/>
          <w:color w:val="002060"/>
          <w:kern w:val="0"/>
          <w14:ligatures w14:val="none"/>
        </w:rPr>
      </w:pPr>
      <w:r w:rsidRPr="00871656">
        <w:rPr>
          <w:rFonts w:ascii="Calibri" w:eastAsia="Times New Roman" w:hAnsi="Calibri" w:cs="Calibri"/>
          <w:color w:val="002060"/>
          <w:kern w:val="0"/>
          <w14:ligatures w14:val="none"/>
        </w:rPr>
        <w:t xml:space="preserve">Serviços de Terceiros: Nos 12M23, os custos e despesas com Serviços de Terceiros apresentaram crescimento de 46,2% na comparação com os 12M22. Esse comportamento é justificado pelos seguintes fatos: i) aumento do contrato de manutenção da planta de rede de telecomunicações da Telebras, devido ao novo processo de licitação, que teve os preços majorados em relação ao contrato anterior; e </w:t>
      </w:r>
      <w:proofErr w:type="spellStart"/>
      <w:r w:rsidRPr="00871656">
        <w:rPr>
          <w:rFonts w:ascii="Calibri" w:eastAsia="Times New Roman" w:hAnsi="Calibri" w:cs="Calibri"/>
          <w:color w:val="002060"/>
          <w:kern w:val="0"/>
          <w14:ligatures w14:val="none"/>
        </w:rPr>
        <w:t>ii</w:t>
      </w:r>
      <w:proofErr w:type="spellEnd"/>
      <w:r w:rsidRPr="00871656">
        <w:rPr>
          <w:rFonts w:ascii="Calibri" w:eastAsia="Times New Roman" w:hAnsi="Calibri" w:cs="Calibri"/>
          <w:color w:val="002060"/>
          <w:kern w:val="0"/>
          <w14:ligatures w14:val="none"/>
        </w:rPr>
        <w:t>) crescimento dos custos de manutenção da infraestrutura satelital em decorrência do aumento dos pontos de conexão ao satélite SGDC.</w:t>
      </w:r>
    </w:p>
    <w:p w14:paraId="21698A9B" w14:textId="77777777" w:rsidR="00871656" w:rsidRPr="00871656" w:rsidRDefault="00871656" w:rsidP="00871656">
      <w:pPr>
        <w:spacing w:after="0" w:line="240" w:lineRule="auto"/>
        <w:jc w:val="both"/>
        <w:rPr>
          <w:rFonts w:ascii="Calibri" w:eastAsia="Times New Roman" w:hAnsi="Calibri" w:cs="Calibri"/>
          <w:color w:val="002060"/>
          <w:kern w:val="0"/>
          <w14:ligatures w14:val="none"/>
        </w:rPr>
      </w:pPr>
      <w:r w:rsidRPr="00871656">
        <w:rPr>
          <w:rFonts w:ascii="Calibri" w:eastAsia="Times New Roman" w:hAnsi="Calibri" w:cs="Calibri"/>
          <w:color w:val="002060"/>
          <w:kern w:val="0"/>
          <w14:ligatures w14:val="none"/>
        </w:rPr>
        <w:t>Aluguéis, Locações e Seguros: O crescimento de 5,1% em relação aos 12M22 é justificado principalmente pelo aumento dos custos de locação de equipamentos de conexão satelital, devido ao aumento dos pontos de conexão ao satélite SGDC para prestação dos serviços vinculados ao programa GESAC. Esse crescimento foi parcialmente amortizado pela redução de 18,5% da rubrica de seguro, devido à redução do prêmio de seguro e da garantia estendida do satélite quando da renovação da apólice e do contrato de garantia.</w:t>
      </w:r>
    </w:p>
    <w:p w14:paraId="6B6FC94E" w14:textId="77777777" w:rsidR="00871656" w:rsidRPr="00871656" w:rsidRDefault="00871656" w:rsidP="00871656">
      <w:pPr>
        <w:spacing w:after="0" w:line="240" w:lineRule="auto"/>
        <w:jc w:val="both"/>
        <w:rPr>
          <w:rFonts w:ascii="Calibri" w:eastAsia="Times New Roman" w:hAnsi="Calibri" w:cs="Calibri"/>
          <w:b/>
          <w:bCs/>
          <w:color w:val="002060"/>
          <w:kern w:val="0"/>
          <w:u w:val="single"/>
          <w14:ligatures w14:val="none"/>
        </w:rPr>
      </w:pPr>
      <w:r w:rsidRPr="00871656">
        <w:rPr>
          <w:rFonts w:ascii="Calibri" w:eastAsia="Times New Roman" w:hAnsi="Calibri" w:cs="Calibri"/>
          <w:b/>
          <w:bCs/>
          <w:color w:val="002060"/>
          <w:kern w:val="0"/>
          <w:u w:val="single"/>
          <w14:ligatures w14:val="none"/>
        </w:rPr>
        <w:t>Depreciação e Amortização</w:t>
      </w:r>
    </w:p>
    <w:tbl>
      <w:tblPr>
        <w:tblW w:w="5000" w:type="pct"/>
        <w:tblCellMar>
          <w:left w:w="70" w:type="dxa"/>
          <w:right w:w="70" w:type="dxa"/>
        </w:tblCellMar>
        <w:tblLook w:val="04A0" w:firstRow="1" w:lastRow="0" w:firstColumn="1" w:lastColumn="0" w:noHBand="0" w:noVBand="1"/>
      </w:tblPr>
      <w:tblGrid>
        <w:gridCol w:w="2567"/>
        <w:gridCol w:w="914"/>
        <w:gridCol w:w="914"/>
        <w:gridCol w:w="914"/>
        <w:gridCol w:w="146"/>
        <w:gridCol w:w="612"/>
        <w:gridCol w:w="706"/>
        <w:gridCol w:w="147"/>
        <w:gridCol w:w="871"/>
        <w:gridCol w:w="1092"/>
        <w:gridCol w:w="147"/>
        <w:gridCol w:w="751"/>
      </w:tblGrid>
      <w:tr w:rsidR="00871656" w:rsidRPr="00871656" w14:paraId="7AC62520" w14:textId="77777777" w:rsidTr="00871656">
        <w:trPr>
          <w:trHeight w:val="227"/>
        </w:trPr>
        <w:tc>
          <w:tcPr>
            <w:tcW w:w="1313" w:type="pct"/>
            <w:tcBorders>
              <w:top w:val="nil"/>
              <w:left w:val="nil"/>
              <w:bottom w:val="nil"/>
              <w:right w:val="nil"/>
            </w:tcBorders>
            <w:shd w:val="clear" w:color="auto" w:fill="auto"/>
            <w:noWrap/>
            <w:vAlign w:val="bottom"/>
            <w:hideMark/>
          </w:tcPr>
          <w:p w14:paraId="147E0B77" w14:textId="77777777" w:rsidR="00871656" w:rsidRPr="00871656" w:rsidRDefault="00871656" w:rsidP="00871656">
            <w:pPr>
              <w:spacing w:after="0" w:line="240" w:lineRule="auto"/>
              <w:rPr>
                <w:rFonts w:ascii="Times New Roman" w:eastAsia="Times New Roman" w:hAnsi="Times New Roman" w:cs="Times New Roman"/>
                <w:kern w:val="0"/>
                <w:sz w:val="20"/>
                <w:szCs w:val="20"/>
                <w:lang w:eastAsia="pt-BR"/>
                <w14:ligatures w14:val="none"/>
              </w:rPr>
            </w:pPr>
          </w:p>
        </w:tc>
        <w:tc>
          <w:tcPr>
            <w:tcW w:w="2150" w:type="pct"/>
            <w:gridSpan w:val="6"/>
            <w:tcBorders>
              <w:top w:val="nil"/>
              <w:left w:val="nil"/>
              <w:bottom w:val="single" w:sz="8" w:space="0" w:color="auto"/>
              <w:right w:val="nil"/>
            </w:tcBorders>
            <w:shd w:val="clear" w:color="auto" w:fill="auto"/>
            <w:noWrap/>
            <w:vAlign w:val="center"/>
            <w:hideMark/>
          </w:tcPr>
          <w:p w14:paraId="428A81F0" w14:textId="77777777" w:rsidR="00871656" w:rsidRPr="00871656" w:rsidRDefault="00871656" w:rsidP="00871656">
            <w:pPr>
              <w:spacing w:after="0" w:line="240" w:lineRule="auto"/>
              <w:jc w:val="center"/>
              <w:rPr>
                <w:rFonts w:ascii="Arial" w:eastAsia="Times New Roman" w:hAnsi="Arial" w:cs="Arial"/>
                <w:b/>
                <w:bCs/>
                <w:color w:val="000000"/>
                <w:kern w:val="0"/>
                <w:sz w:val="16"/>
                <w:szCs w:val="16"/>
                <w:lang w:eastAsia="pt-BR"/>
                <w14:ligatures w14:val="none"/>
              </w:rPr>
            </w:pPr>
            <w:r w:rsidRPr="00871656">
              <w:rPr>
                <w:rFonts w:ascii="Arial" w:eastAsia="Times New Roman" w:hAnsi="Arial" w:cs="Arial"/>
                <w:b/>
                <w:bCs/>
                <w:color w:val="000000"/>
                <w:kern w:val="0"/>
                <w:sz w:val="16"/>
                <w:szCs w:val="16"/>
                <w:lang w:eastAsia="pt-BR"/>
                <w14:ligatures w14:val="none"/>
              </w:rPr>
              <w:t>Trimestres</w:t>
            </w:r>
          </w:p>
        </w:tc>
        <w:tc>
          <w:tcPr>
            <w:tcW w:w="75" w:type="pct"/>
            <w:tcBorders>
              <w:top w:val="nil"/>
              <w:left w:val="nil"/>
              <w:bottom w:val="nil"/>
              <w:right w:val="nil"/>
            </w:tcBorders>
            <w:shd w:val="clear" w:color="auto" w:fill="auto"/>
            <w:noWrap/>
            <w:vAlign w:val="bottom"/>
            <w:hideMark/>
          </w:tcPr>
          <w:p w14:paraId="56A7A662" w14:textId="77777777" w:rsidR="00871656" w:rsidRPr="00871656" w:rsidRDefault="00871656" w:rsidP="00871656">
            <w:pPr>
              <w:spacing w:after="0" w:line="240" w:lineRule="auto"/>
              <w:jc w:val="center"/>
              <w:rPr>
                <w:rFonts w:ascii="Arial" w:eastAsia="Times New Roman" w:hAnsi="Arial" w:cs="Arial"/>
                <w:b/>
                <w:bCs/>
                <w:color w:val="000000"/>
                <w:kern w:val="0"/>
                <w:sz w:val="16"/>
                <w:szCs w:val="16"/>
                <w:lang w:eastAsia="pt-BR"/>
                <w14:ligatures w14:val="none"/>
              </w:rPr>
            </w:pPr>
          </w:p>
        </w:tc>
        <w:tc>
          <w:tcPr>
            <w:tcW w:w="1078" w:type="pct"/>
            <w:gridSpan w:val="3"/>
            <w:tcBorders>
              <w:top w:val="nil"/>
              <w:left w:val="nil"/>
              <w:bottom w:val="nil"/>
              <w:right w:val="nil"/>
            </w:tcBorders>
            <w:shd w:val="clear" w:color="auto" w:fill="auto"/>
            <w:noWrap/>
            <w:vAlign w:val="bottom"/>
            <w:hideMark/>
          </w:tcPr>
          <w:p w14:paraId="78A6E167" w14:textId="77777777" w:rsidR="00871656" w:rsidRPr="00871656" w:rsidRDefault="00871656" w:rsidP="00871656">
            <w:pPr>
              <w:spacing w:after="0" w:line="240" w:lineRule="auto"/>
              <w:rPr>
                <w:rFonts w:ascii="Times New Roman" w:eastAsia="Times New Roman" w:hAnsi="Times New Roman" w:cs="Times New Roman"/>
                <w:kern w:val="0"/>
                <w:sz w:val="20"/>
                <w:szCs w:val="20"/>
                <w:lang w:eastAsia="pt-BR"/>
                <w14:ligatures w14:val="none"/>
              </w:rPr>
            </w:pPr>
          </w:p>
        </w:tc>
        <w:tc>
          <w:tcPr>
            <w:tcW w:w="385" w:type="pct"/>
            <w:tcBorders>
              <w:top w:val="nil"/>
              <w:left w:val="nil"/>
              <w:bottom w:val="nil"/>
              <w:right w:val="nil"/>
            </w:tcBorders>
            <w:shd w:val="clear" w:color="auto" w:fill="auto"/>
            <w:noWrap/>
            <w:vAlign w:val="bottom"/>
            <w:hideMark/>
          </w:tcPr>
          <w:p w14:paraId="35222A86" w14:textId="77777777" w:rsidR="00871656" w:rsidRPr="00871656" w:rsidRDefault="00871656" w:rsidP="00871656">
            <w:pPr>
              <w:spacing w:after="0" w:line="240" w:lineRule="auto"/>
              <w:rPr>
                <w:rFonts w:ascii="Times New Roman" w:eastAsia="Times New Roman" w:hAnsi="Times New Roman" w:cs="Times New Roman"/>
                <w:kern w:val="0"/>
                <w:sz w:val="20"/>
                <w:szCs w:val="20"/>
                <w:lang w:eastAsia="pt-BR"/>
                <w14:ligatures w14:val="none"/>
              </w:rPr>
            </w:pPr>
          </w:p>
        </w:tc>
      </w:tr>
      <w:tr w:rsidR="00871656" w:rsidRPr="00871656" w14:paraId="4D84325D" w14:textId="77777777" w:rsidTr="00871656">
        <w:trPr>
          <w:trHeight w:val="40"/>
        </w:trPr>
        <w:tc>
          <w:tcPr>
            <w:tcW w:w="1313" w:type="pct"/>
            <w:tcBorders>
              <w:top w:val="nil"/>
              <w:left w:val="nil"/>
              <w:bottom w:val="nil"/>
              <w:right w:val="nil"/>
            </w:tcBorders>
            <w:shd w:val="clear" w:color="auto" w:fill="auto"/>
            <w:noWrap/>
            <w:vAlign w:val="bottom"/>
            <w:hideMark/>
          </w:tcPr>
          <w:p w14:paraId="1E8B43A6" w14:textId="77777777" w:rsidR="00871656" w:rsidRPr="00871656" w:rsidRDefault="00871656" w:rsidP="00871656">
            <w:pPr>
              <w:spacing w:after="0" w:line="240" w:lineRule="auto"/>
              <w:rPr>
                <w:rFonts w:ascii="Times New Roman" w:eastAsia="Times New Roman" w:hAnsi="Times New Roman" w:cs="Times New Roman"/>
                <w:kern w:val="0"/>
                <w:sz w:val="20"/>
                <w:szCs w:val="20"/>
                <w:lang w:eastAsia="pt-BR"/>
                <w14:ligatures w14:val="none"/>
              </w:rPr>
            </w:pPr>
          </w:p>
        </w:tc>
        <w:tc>
          <w:tcPr>
            <w:tcW w:w="467" w:type="pct"/>
            <w:tcBorders>
              <w:top w:val="nil"/>
              <w:left w:val="nil"/>
              <w:bottom w:val="nil"/>
              <w:right w:val="nil"/>
            </w:tcBorders>
            <w:shd w:val="clear" w:color="auto" w:fill="auto"/>
            <w:noWrap/>
            <w:vAlign w:val="bottom"/>
            <w:hideMark/>
          </w:tcPr>
          <w:p w14:paraId="5FAEF711" w14:textId="77777777" w:rsidR="00871656" w:rsidRPr="00871656" w:rsidRDefault="00871656" w:rsidP="00871656">
            <w:pPr>
              <w:spacing w:after="0" w:line="240" w:lineRule="auto"/>
              <w:rPr>
                <w:rFonts w:ascii="Times New Roman" w:eastAsia="Times New Roman" w:hAnsi="Times New Roman" w:cs="Times New Roman"/>
                <w:kern w:val="0"/>
                <w:sz w:val="20"/>
                <w:szCs w:val="20"/>
                <w:lang w:eastAsia="pt-BR"/>
                <w14:ligatures w14:val="none"/>
              </w:rPr>
            </w:pPr>
          </w:p>
        </w:tc>
        <w:tc>
          <w:tcPr>
            <w:tcW w:w="467" w:type="pct"/>
            <w:tcBorders>
              <w:top w:val="nil"/>
              <w:left w:val="nil"/>
              <w:bottom w:val="nil"/>
              <w:right w:val="nil"/>
            </w:tcBorders>
            <w:shd w:val="clear" w:color="auto" w:fill="auto"/>
            <w:noWrap/>
            <w:vAlign w:val="bottom"/>
            <w:hideMark/>
          </w:tcPr>
          <w:p w14:paraId="5649371E" w14:textId="77777777" w:rsidR="00871656" w:rsidRPr="00871656" w:rsidRDefault="00871656" w:rsidP="00871656">
            <w:pPr>
              <w:spacing w:after="0" w:line="240" w:lineRule="auto"/>
              <w:rPr>
                <w:rFonts w:ascii="Times New Roman" w:eastAsia="Times New Roman" w:hAnsi="Times New Roman" w:cs="Times New Roman"/>
                <w:kern w:val="0"/>
                <w:sz w:val="20"/>
                <w:szCs w:val="20"/>
                <w:lang w:eastAsia="pt-BR"/>
                <w14:ligatures w14:val="none"/>
              </w:rPr>
            </w:pPr>
          </w:p>
        </w:tc>
        <w:tc>
          <w:tcPr>
            <w:tcW w:w="467" w:type="pct"/>
            <w:tcBorders>
              <w:top w:val="nil"/>
              <w:left w:val="nil"/>
              <w:bottom w:val="nil"/>
              <w:right w:val="nil"/>
            </w:tcBorders>
            <w:shd w:val="clear" w:color="auto" w:fill="auto"/>
            <w:noWrap/>
            <w:vAlign w:val="bottom"/>
            <w:hideMark/>
          </w:tcPr>
          <w:p w14:paraId="51D461F9" w14:textId="77777777" w:rsidR="00871656" w:rsidRPr="00871656" w:rsidRDefault="00871656" w:rsidP="00871656">
            <w:pPr>
              <w:spacing w:after="0" w:line="240" w:lineRule="auto"/>
              <w:rPr>
                <w:rFonts w:ascii="Times New Roman" w:eastAsia="Times New Roman" w:hAnsi="Times New Roman" w:cs="Times New Roman"/>
                <w:kern w:val="0"/>
                <w:sz w:val="20"/>
                <w:szCs w:val="20"/>
                <w:lang w:eastAsia="pt-BR"/>
                <w14:ligatures w14:val="none"/>
              </w:rPr>
            </w:pPr>
          </w:p>
        </w:tc>
        <w:tc>
          <w:tcPr>
            <w:tcW w:w="75" w:type="pct"/>
            <w:tcBorders>
              <w:top w:val="nil"/>
              <w:left w:val="nil"/>
              <w:bottom w:val="nil"/>
              <w:right w:val="nil"/>
            </w:tcBorders>
            <w:shd w:val="clear" w:color="auto" w:fill="auto"/>
            <w:noWrap/>
            <w:vAlign w:val="bottom"/>
            <w:hideMark/>
          </w:tcPr>
          <w:p w14:paraId="5BBF72C2" w14:textId="77777777" w:rsidR="00871656" w:rsidRPr="00871656" w:rsidRDefault="00871656" w:rsidP="00871656">
            <w:pPr>
              <w:spacing w:after="0" w:line="240" w:lineRule="auto"/>
              <w:rPr>
                <w:rFonts w:ascii="Times New Roman" w:eastAsia="Times New Roman" w:hAnsi="Times New Roman" w:cs="Times New Roman"/>
                <w:kern w:val="0"/>
                <w:sz w:val="20"/>
                <w:szCs w:val="20"/>
                <w:lang w:eastAsia="pt-BR"/>
                <w14:ligatures w14:val="none"/>
              </w:rPr>
            </w:pPr>
          </w:p>
        </w:tc>
        <w:tc>
          <w:tcPr>
            <w:tcW w:w="313" w:type="pct"/>
            <w:tcBorders>
              <w:top w:val="nil"/>
              <w:left w:val="nil"/>
              <w:bottom w:val="nil"/>
              <w:right w:val="nil"/>
            </w:tcBorders>
            <w:shd w:val="clear" w:color="auto" w:fill="auto"/>
            <w:noWrap/>
            <w:vAlign w:val="bottom"/>
            <w:hideMark/>
          </w:tcPr>
          <w:p w14:paraId="5AA26C7E" w14:textId="77777777" w:rsidR="00871656" w:rsidRPr="00871656" w:rsidRDefault="00871656" w:rsidP="00871656">
            <w:pPr>
              <w:spacing w:after="0" w:line="240" w:lineRule="auto"/>
              <w:rPr>
                <w:rFonts w:ascii="Times New Roman" w:eastAsia="Times New Roman" w:hAnsi="Times New Roman" w:cs="Times New Roman"/>
                <w:kern w:val="0"/>
                <w:sz w:val="20"/>
                <w:szCs w:val="20"/>
                <w:lang w:eastAsia="pt-BR"/>
                <w14:ligatures w14:val="none"/>
              </w:rPr>
            </w:pPr>
          </w:p>
        </w:tc>
        <w:tc>
          <w:tcPr>
            <w:tcW w:w="360" w:type="pct"/>
            <w:tcBorders>
              <w:top w:val="nil"/>
              <w:left w:val="nil"/>
              <w:bottom w:val="nil"/>
              <w:right w:val="nil"/>
            </w:tcBorders>
            <w:shd w:val="clear" w:color="auto" w:fill="auto"/>
            <w:noWrap/>
            <w:vAlign w:val="bottom"/>
            <w:hideMark/>
          </w:tcPr>
          <w:p w14:paraId="24290CD2" w14:textId="77777777" w:rsidR="00871656" w:rsidRPr="00871656" w:rsidRDefault="00871656" w:rsidP="00871656">
            <w:pPr>
              <w:spacing w:after="0" w:line="240" w:lineRule="auto"/>
              <w:rPr>
                <w:rFonts w:ascii="Times New Roman" w:eastAsia="Times New Roman" w:hAnsi="Times New Roman" w:cs="Times New Roman"/>
                <w:kern w:val="0"/>
                <w:sz w:val="20"/>
                <w:szCs w:val="20"/>
                <w:lang w:eastAsia="pt-BR"/>
                <w14:ligatures w14:val="none"/>
              </w:rPr>
            </w:pPr>
          </w:p>
        </w:tc>
        <w:tc>
          <w:tcPr>
            <w:tcW w:w="75" w:type="pct"/>
            <w:tcBorders>
              <w:top w:val="nil"/>
              <w:left w:val="nil"/>
              <w:bottom w:val="nil"/>
              <w:right w:val="nil"/>
            </w:tcBorders>
            <w:shd w:val="clear" w:color="auto" w:fill="auto"/>
            <w:noWrap/>
            <w:vAlign w:val="bottom"/>
            <w:hideMark/>
          </w:tcPr>
          <w:p w14:paraId="55DD8F1B" w14:textId="77777777" w:rsidR="00871656" w:rsidRPr="00871656" w:rsidRDefault="00871656" w:rsidP="00871656">
            <w:pPr>
              <w:spacing w:after="0" w:line="240" w:lineRule="auto"/>
              <w:rPr>
                <w:rFonts w:ascii="Times New Roman" w:eastAsia="Times New Roman" w:hAnsi="Times New Roman" w:cs="Times New Roman"/>
                <w:kern w:val="0"/>
                <w:sz w:val="20"/>
                <w:szCs w:val="20"/>
                <w:lang w:eastAsia="pt-BR"/>
                <w14:ligatures w14:val="none"/>
              </w:rPr>
            </w:pPr>
          </w:p>
        </w:tc>
        <w:tc>
          <w:tcPr>
            <w:tcW w:w="445" w:type="pct"/>
            <w:tcBorders>
              <w:top w:val="nil"/>
              <w:left w:val="nil"/>
              <w:bottom w:val="nil"/>
              <w:right w:val="nil"/>
            </w:tcBorders>
            <w:shd w:val="clear" w:color="auto" w:fill="auto"/>
            <w:noWrap/>
            <w:vAlign w:val="bottom"/>
            <w:hideMark/>
          </w:tcPr>
          <w:p w14:paraId="2FC7EF34" w14:textId="77777777" w:rsidR="00871656" w:rsidRPr="00871656" w:rsidRDefault="00871656" w:rsidP="00871656">
            <w:pPr>
              <w:spacing w:after="0" w:line="240" w:lineRule="auto"/>
              <w:rPr>
                <w:rFonts w:ascii="Times New Roman" w:eastAsia="Times New Roman" w:hAnsi="Times New Roman" w:cs="Times New Roman"/>
                <w:kern w:val="0"/>
                <w:sz w:val="20"/>
                <w:szCs w:val="20"/>
                <w:lang w:eastAsia="pt-BR"/>
                <w14:ligatures w14:val="none"/>
              </w:rPr>
            </w:pPr>
          </w:p>
        </w:tc>
        <w:tc>
          <w:tcPr>
            <w:tcW w:w="558" w:type="pct"/>
            <w:tcBorders>
              <w:top w:val="nil"/>
              <w:left w:val="nil"/>
              <w:bottom w:val="nil"/>
              <w:right w:val="nil"/>
            </w:tcBorders>
            <w:shd w:val="clear" w:color="auto" w:fill="auto"/>
            <w:noWrap/>
            <w:vAlign w:val="bottom"/>
            <w:hideMark/>
          </w:tcPr>
          <w:p w14:paraId="2430630D" w14:textId="77777777" w:rsidR="00871656" w:rsidRPr="00871656" w:rsidRDefault="00871656" w:rsidP="00871656">
            <w:pPr>
              <w:spacing w:after="0" w:line="240" w:lineRule="auto"/>
              <w:rPr>
                <w:rFonts w:ascii="Times New Roman" w:eastAsia="Times New Roman" w:hAnsi="Times New Roman" w:cs="Times New Roman"/>
                <w:kern w:val="0"/>
                <w:sz w:val="20"/>
                <w:szCs w:val="20"/>
                <w:lang w:eastAsia="pt-BR"/>
                <w14:ligatures w14:val="none"/>
              </w:rPr>
            </w:pPr>
          </w:p>
        </w:tc>
        <w:tc>
          <w:tcPr>
            <w:tcW w:w="75" w:type="pct"/>
            <w:tcBorders>
              <w:top w:val="nil"/>
              <w:left w:val="nil"/>
              <w:bottom w:val="nil"/>
              <w:right w:val="nil"/>
            </w:tcBorders>
            <w:shd w:val="clear" w:color="auto" w:fill="auto"/>
            <w:noWrap/>
            <w:vAlign w:val="bottom"/>
            <w:hideMark/>
          </w:tcPr>
          <w:p w14:paraId="6F54B64C" w14:textId="77777777" w:rsidR="00871656" w:rsidRPr="00871656" w:rsidRDefault="00871656" w:rsidP="00871656">
            <w:pPr>
              <w:spacing w:after="0" w:line="240" w:lineRule="auto"/>
              <w:rPr>
                <w:rFonts w:ascii="Times New Roman" w:eastAsia="Times New Roman" w:hAnsi="Times New Roman" w:cs="Times New Roman"/>
                <w:kern w:val="0"/>
                <w:sz w:val="20"/>
                <w:szCs w:val="20"/>
                <w:lang w:eastAsia="pt-BR"/>
                <w14:ligatures w14:val="none"/>
              </w:rPr>
            </w:pPr>
          </w:p>
        </w:tc>
        <w:tc>
          <w:tcPr>
            <w:tcW w:w="385" w:type="pct"/>
            <w:tcBorders>
              <w:top w:val="nil"/>
              <w:left w:val="nil"/>
              <w:bottom w:val="nil"/>
              <w:right w:val="nil"/>
            </w:tcBorders>
            <w:shd w:val="clear" w:color="auto" w:fill="auto"/>
            <w:noWrap/>
            <w:vAlign w:val="bottom"/>
            <w:hideMark/>
          </w:tcPr>
          <w:p w14:paraId="1FE273E1" w14:textId="77777777" w:rsidR="00871656" w:rsidRPr="00871656" w:rsidRDefault="00871656" w:rsidP="00871656">
            <w:pPr>
              <w:spacing w:after="0" w:line="240" w:lineRule="auto"/>
              <w:rPr>
                <w:rFonts w:ascii="Times New Roman" w:eastAsia="Times New Roman" w:hAnsi="Times New Roman" w:cs="Times New Roman"/>
                <w:kern w:val="0"/>
                <w:sz w:val="20"/>
                <w:szCs w:val="20"/>
                <w:lang w:eastAsia="pt-BR"/>
                <w14:ligatures w14:val="none"/>
              </w:rPr>
            </w:pPr>
          </w:p>
        </w:tc>
      </w:tr>
      <w:tr w:rsidR="00871656" w:rsidRPr="00871656" w14:paraId="243237B9" w14:textId="77777777" w:rsidTr="00871656">
        <w:trPr>
          <w:trHeight w:val="227"/>
        </w:trPr>
        <w:tc>
          <w:tcPr>
            <w:tcW w:w="1313" w:type="pct"/>
            <w:tcBorders>
              <w:top w:val="nil"/>
              <w:left w:val="nil"/>
              <w:bottom w:val="nil"/>
              <w:right w:val="nil"/>
            </w:tcBorders>
            <w:shd w:val="clear" w:color="000000" w:fill="75F6F9"/>
            <w:vAlign w:val="center"/>
            <w:hideMark/>
          </w:tcPr>
          <w:p w14:paraId="638CF964" w14:textId="77777777" w:rsidR="00871656" w:rsidRPr="00871656" w:rsidRDefault="00871656" w:rsidP="00871656">
            <w:pPr>
              <w:spacing w:after="0" w:line="240" w:lineRule="auto"/>
              <w:rPr>
                <w:rFonts w:ascii="Arial" w:eastAsia="Times New Roman" w:hAnsi="Arial" w:cs="Arial"/>
                <w:b/>
                <w:bCs/>
                <w:color w:val="000000"/>
                <w:kern w:val="0"/>
                <w:sz w:val="16"/>
                <w:szCs w:val="16"/>
                <w:lang w:eastAsia="pt-BR"/>
                <w14:ligatures w14:val="none"/>
              </w:rPr>
            </w:pPr>
            <w:r w:rsidRPr="00871656">
              <w:rPr>
                <w:rFonts w:ascii="Arial" w:eastAsia="Times New Roman" w:hAnsi="Arial" w:cs="Arial"/>
                <w:b/>
                <w:bCs/>
                <w:color w:val="000000"/>
                <w:kern w:val="0"/>
                <w:sz w:val="16"/>
                <w:szCs w:val="16"/>
                <w:lang w:eastAsia="pt-BR"/>
                <w14:ligatures w14:val="none"/>
              </w:rPr>
              <w:t>R$ mil</w:t>
            </w:r>
          </w:p>
        </w:tc>
        <w:tc>
          <w:tcPr>
            <w:tcW w:w="467" w:type="pct"/>
            <w:tcBorders>
              <w:top w:val="nil"/>
              <w:left w:val="nil"/>
              <w:bottom w:val="nil"/>
              <w:right w:val="nil"/>
            </w:tcBorders>
            <w:shd w:val="clear" w:color="000000" w:fill="75F6F9"/>
            <w:noWrap/>
            <w:vAlign w:val="center"/>
            <w:hideMark/>
          </w:tcPr>
          <w:p w14:paraId="324868D7" w14:textId="77777777" w:rsidR="00871656" w:rsidRPr="00871656" w:rsidRDefault="00871656" w:rsidP="00871656">
            <w:pPr>
              <w:spacing w:after="0" w:line="240" w:lineRule="auto"/>
              <w:jc w:val="center"/>
              <w:rPr>
                <w:rFonts w:ascii="Arial" w:eastAsia="Times New Roman" w:hAnsi="Arial" w:cs="Arial"/>
                <w:b/>
                <w:bCs/>
                <w:color w:val="000000"/>
                <w:kern w:val="0"/>
                <w:sz w:val="16"/>
                <w:szCs w:val="16"/>
                <w:lang w:eastAsia="pt-BR"/>
                <w14:ligatures w14:val="none"/>
              </w:rPr>
            </w:pPr>
            <w:r w:rsidRPr="00871656">
              <w:rPr>
                <w:rFonts w:ascii="Arial" w:eastAsia="Times New Roman" w:hAnsi="Arial" w:cs="Arial"/>
                <w:b/>
                <w:bCs/>
                <w:color w:val="000000"/>
                <w:kern w:val="0"/>
                <w:sz w:val="16"/>
                <w:szCs w:val="16"/>
                <w:lang w:eastAsia="pt-BR"/>
                <w14:ligatures w14:val="none"/>
              </w:rPr>
              <w:t>4T23</w:t>
            </w:r>
          </w:p>
        </w:tc>
        <w:tc>
          <w:tcPr>
            <w:tcW w:w="467" w:type="pct"/>
            <w:tcBorders>
              <w:top w:val="nil"/>
              <w:left w:val="nil"/>
              <w:bottom w:val="nil"/>
              <w:right w:val="nil"/>
            </w:tcBorders>
            <w:shd w:val="clear" w:color="000000" w:fill="75F6F9"/>
            <w:noWrap/>
            <w:vAlign w:val="center"/>
            <w:hideMark/>
          </w:tcPr>
          <w:p w14:paraId="1EEACF15" w14:textId="77777777" w:rsidR="00871656" w:rsidRPr="00871656" w:rsidRDefault="00871656" w:rsidP="00871656">
            <w:pPr>
              <w:spacing w:after="0" w:line="240" w:lineRule="auto"/>
              <w:jc w:val="center"/>
              <w:rPr>
                <w:rFonts w:ascii="Arial" w:eastAsia="Times New Roman" w:hAnsi="Arial" w:cs="Arial"/>
                <w:b/>
                <w:bCs/>
                <w:color w:val="000000"/>
                <w:kern w:val="0"/>
                <w:sz w:val="16"/>
                <w:szCs w:val="16"/>
                <w:lang w:eastAsia="pt-BR"/>
                <w14:ligatures w14:val="none"/>
              </w:rPr>
            </w:pPr>
            <w:r w:rsidRPr="00871656">
              <w:rPr>
                <w:rFonts w:ascii="Arial" w:eastAsia="Times New Roman" w:hAnsi="Arial" w:cs="Arial"/>
                <w:b/>
                <w:bCs/>
                <w:color w:val="000000"/>
                <w:kern w:val="0"/>
                <w:sz w:val="16"/>
                <w:szCs w:val="16"/>
                <w:lang w:eastAsia="pt-BR"/>
                <w14:ligatures w14:val="none"/>
              </w:rPr>
              <w:t>4T22</w:t>
            </w:r>
          </w:p>
        </w:tc>
        <w:tc>
          <w:tcPr>
            <w:tcW w:w="467" w:type="pct"/>
            <w:tcBorders>
              <w:top w:val="nil"/>
              <w:left w:val="nil"/>
              <w:bottom w:val="nil"/>
              <w:right w:val="nil"/>
            </w:tcBorders>
            <w:shd w:val="clear" w:color="000000" w:fill="75F6F9"/>
            <w:noWrap/>
            <w:vAlign w:val="center"/>
            <w:hideMark/>
          </w:tcPr>
          <w:p w14:paraId="31171D57" w14:textId="77777777" w:rsidR="00871656" w:rsidRPr="00871656" w:rsidRDefault="00871656" w:rsidP="00871656">
            <w:pPr>
              <w:spacing w:after="0" w:line="240" w:lineRule="auto"/>
              <w:jc w:val="center"/>
              <w:rPr>
                <w:rFonts w:ascii="Arial" w:eastAsia="Times New Roman" w:hAnsi="Arial" w:cs="Arial"/>
                <w:b/>
                <w:bCs/>
                <w:color w:val="000000"/>
                <w:kern w:val="0"/>
                <w:sz w:val="16"/>
                <w:szCs w:val="16"/>
                <w:lang w:eastAsia="pt-BR"/>
                <w14:ligatures w14:val="none"/>
              </w:rPr>
            </w:pPr>
            <w:r w:rsidRPr="00871656">
              <w:rPr>
                <w:rFonts w:ascii="Arial" w:eastAsia="Times New Roman" w:hAnsi="Arial" w:cs="Arial"/>
                <w:b/>
                <w:bCs/>
                <w:color w:val="000000"/>
                <w:kern w:val="0"/>
                <w:sz w:val="16"/>
                <w:szCs w:val="16"/>
                <w:lang w:eastAsia="pt-BR"/>
                <w14:ligatures w14:val="none"/>
              </w:rPr>
              <w:t>3T23</w:t>
            </w:r>
          </w:p>
        </w:tc>
        <w:tc>
          <w:tcPr>
            <w:tcW w:w="75" w:type="pct"/>
            <w:tcBorders>
              <w:top w:val="nil"/>
              <w:left w:val="nil"/>
              <w:bottom w:val="nil"/>
              <w:right w:val="nil"/>
            </w:tcBorders>
            <w:shd w:val="clear" w:color="auto" w:fill="auto"/>
            <w:vAlign w:val="center"/>
            <w:hideMark/>
          </w:tcPr>
          <w:p w14:paraId="5ECD5BBC" w14:textId="77777777" w:rsidR="00871656" w:rsidRPr="00871656" w:rsidRDefault="00871656" w:rsidP="00871656">
            <w:pPr>
              <w:spacing w:after="0" w:line="240" w:lineRule="auto"/>
              <w:jc w:val="center"/>
              <w:rPr>
                <w:rFonts w:ascii="Arial" w:eastAsia="Times New Roman" w:hAnsi="Arial" w:cs="Arial"/>
                <w:b/>
                <w:bCs/>
                <w:color w:val="000000"/>
                <w:kern w:val="0"/>
                <w:sz w:val="16"/>
                <w:szCs w:val="16"/>
                <w:lang w:eastAsia="pt-BR"/>
                <w14:ligatures w14:val="none"/>
              </w:rPr>
            </w:pPr>
          </w:p>
        </w:tc>
        <w:tc>
          <w:tcPr>
            <w:tcW w:w="313" w:type="pct"/>
            <w:tcBorders>
              <w:top w:val="nil"/>
              <w:left w:val="nil"/>
              <w:bottom w:val="nil"/>
              <w:right w:val="nil"/>
            </w:tcBorders>
            <w:shd w:val="clear" w:color="000000" w:fill="75F6F9"/>
            <w:noWrap/>
            <w:vAlign w:val="center"/>
            <w:hideMark/>
          </w:tcPr>
          <w:p w14:paraId="07451FEE" w14:textId="77777777" w:rsidR="00871656" w:rsidRPr="00871656" w:rsidRDefault="00871656" w:rsidP="00871656">
            <w:pPr>
              <w:spacing w:after="0" w:line="240" w:lineRule="auto"/>
              <w:jc w:val="center"/>
              <w:rPr>
                <w:rFonts w:ascii="Arial" w:eastAsia="Times New Roman" w:hAnsi="Arial" w:cs="Arial"/>
                <w:b/>
                <w:bCs/>
                <w:color w:val="000000"/>
                <w:kern w:val="0"/>
                <w:sz w:val="16"/>
                <w:szCs w:val="16"/>
                <w:lang w:eastAsia="pt-BR"/>
                <w14:ligatures w14:val="none"/>
              </w:rPr>
            </w:pPr>
            <w:r w:rsidRPr="00871656">
              <w:rPr>
                <w:rFonts w:ascii="Arial" w:eastAsia="Times New Roman" w:hAnsi="Arial" w:cs="Arial"/>
                <w:b/>
                <w:bCs/>
                <w:color w:val="000000"/>
                <w:kern w:val="0"/>
                <w:sz w:val="16"/>
                <w:szCs w:val="16"/>
                <w:lang w:eastAsia="pt-BR"/>
                <w14:ligatures w14:val="none"/>
              </w:rPr>
              <w:t>Δ Ano</w:t>
            </w:r>
          </w:p>
        </w:tc>
        <w:tc>
          <w:tcPr>
            <w:tcW w:w="360" w:type="pct"/>
            <w:tcBorders>
              <w:top w:val="nil"/>
              <w:left w:val="nil"/>
              <w:bottom w:val="nil"/>
              <w:right w:val="nil"/>
            </w:tcBorders>
            <w:shd w:val="clear" w:color="000000" w:fill="75F6F9"/>
            <w:noWrap/>
            <w:vAlign w:val="center"/>
            <w:hideMark/>
          </w:tcPr>
          <w:p w14:paraId="01E69EC5" w14:textId="77777777" w:rsidR="00871656" w:rsidRPr="00871656" w:rsidRDefault="00871656" w:rsidP="00871656">
            <w:pPr>
              <w:spacing w:after="0" w:line="240" w:lineRule="auto"/>
              <w:jc w:val="center"/>
              <w:rPr>
                <w:rFonts w:ascii="Arial" w:eastAsia="Times New Roman" w:hAnsi="Arial" w:cs="Arial"/>
                <w:b/>
                <w:bCs/>
                <w:color w:val="000000"/>
                <w:kern w:val="0"/>
                <w:sz w:val="16"/>
                <w:szCs w:val="16"/>
                <w:lang w:eastAsia="pt-BR"/>
                <w14:ligatures w14:val="none"/>
              </w:rPr>
            </w:pPr>
            <w:r w:rsidRPr="00871656">
              <w:rPr>
                <w:rFonts w:ascii="Arial" w:eastAsia="Times New Roman" w:hAnsi="Arial" w:cs="Arial"/>
                <w:b/>
                <w:bCs/>
                <w:color w:val="000000"/>
                <w:kern w:val="0"/>
                <w:sz w:val="16"/>
                <w:szCs w:val="16"/>
                <w:lang w:eastAsia="pt-BR"/>
                <w14:ligatures w14:val="none"/>
              </w:rPr>
              <w:t>Δ Trim.</w:t>
            </w:r>
          </w:p>
        </w:tc>
        <w:tc>
          <w:tcPr>
            <w:tcW w:w="75" w:type="pct"/>
            <w:tcBorders>
              <w:top w:val="nil"/>
              <w:left w:val="nil"/>
              <w:bottom w:val="nil"/>
              <w:right w:val="nil"/>
            </w:tcBorders>
            <w:shd w:val="clear" w:color="auto" w:fill="auto"/>
            <w:noWrap/>
            <w:vAlign w:val="bottom"/>
            <w:hideMark/>
          </w:tcPr>
          <w:p w14:paraId="07658C9D" w14:textId="77777777" w:rsidR="00871656" w:rsidRPr="00871656" w:rsidRDefault="00871656" w:rsidP="00871656">
            <w:pPr>
              <w:spacing w:after="0" w:line="240" w:lineRule="auto"/>
              <w:jc w:val="center"/>
              <w:rPr>
                <w:rFonts w:ascii="Arial" w:eastAsia="Times New Roman" w:hAnsi="Arial" w:cs="Arial"/>
                <w:b/>
                <w:bCs/>
                <w:color w:val="000000"/>
                <w:kern w:val="0"/>
                <w:sz w:val="16"/>
                <w:szCs w:val="16"/>
                <w:lang w:eastAsia="pt-BR"/>
                <w14:ligatures w14:val="none"/>
              </w:rPr>
            </w:pPr>
          </w:p>
        </w:tc>
        <w:tc>
          <w:tcPr>
            <w:tcW w:w="445" w:type="pct"/>
            <w:tcBorders>
              <w:top w:val="nil"/>
              <w:left w:val="nil"/>
              <w:bottom w:val="nil"/>
              <w:right w:val="nil"/>
            </w:tcBorders>
            <w:shd w:val="clear" w:color="000000" w:fill="75F6F9"/>
            <w:noWrap/>
            <w:vAlign w:val="center"/>
            <w:hideMark/>
          </w:tcPr>
          <w:p w14:paraId="5DD01A7C" w14:textId="77777777" w:rsidR="00871656" w:rsidRPr="00871656" w:rsidRDefault="00871656" w:rsidP="00871656">
            <w:pPr>
              <w:spacing w:after="0" w:line="240" w:lineRule="auto"/>
              <w:jc w:val="center"/>
              <w:rPr>
                <w:rFonts w:ascii="Arial" w:eastAsia="Times New Roman" w:hAnsi="Arial" w:cs="Arial"/>
                <w:b/>
                <w:bCs/>
                <w:color w:val="000000"/>
                <w:kern w:val="0"/>
                <w:sz w:val="16"/>
                <w:szCs w:val="16"/>
                <w:lang w:eastAsia="pt-BR"/>
                <w14:ligatures w14:val="none"/>
              </w:rPr>
            </w:pPr>
            <w:r w:rsidRPr="00871656">
              <w:rPr>
                <w:rFonts w:ascii="Arial" w:eastAsia="Times New Roman" w:hAnsi="Arial" w:cs="Arial"/>
                <w:b/>
                <w:bCs/>
                <w:color w:val="000000"/>
                <w:kern w:val="0"/>
                <w:sz w:val="16"/>
                <w:szCs w:val="16"/>
                <w:lang w:eastAsia="pt-BR"/>
                <w14:ligatures w14:val="none"/>
              </w:rPr>
              <w:t>2023</w:t>
            </w:r>
          </w:p>
        </w:tc>
        <w:tc>
          <w:tcPr>
            <w:tcW w:w="558" w:type="pct"/>
            <w:tcBorders>
              <w:top w:val="nil"/>
              <w:left w:val="nil"/>
              <w:bottom w:val="nil"/>
              <w:right w:val="nil"/>
            </w:tcBorders>
            <w:shd w:val="clear" w:color="000000" w:fill="75F6F9"/>
            <w:noWrap/>
            <w:vAlign w:val="center"/>
            <w:hideMark/>
          </w:tcPr>
          <w:p w14:paraId="1394E167" w14:textId="77777777" w:rsidR="00871656" w:rsidRPr="00871656" w:rsidRDefault="00871656" w:rsidP="00871656">
            <w:pPr>
              <w:spacing w:after="0" w:line="240" w:lineRule="auto"/>
              <w:jc w:val="center"/>
              <w:rPr>
                <w:rFonts w:ascii="Arial" w:eastAsia="Times New Roman" w:hAnsi="Arial" w:cs="Arial"/>
                <w:b/>
                <w:bCs/>
                <w:color w:val="000000"/>
                <w:kern w:val="0"/>
                <w:sz w:val="16"/>
                <w:szCs w:val="16"/>
                <w:lang w:eastAsia="pt-BR"/>
                <w14:ligatures w14:val="none"/>
              </w:rPr>
            </w:pPr>
            <w:r w:rsidRPr="00871656">
              <w:rPr>
                <w:rFonts w:ascii="Arial" w:eastAsia="Times New Roman" w:hAnsi="Arial" w:cs="Arial"/>
                <w:b/>
                <w:bCs/>
                <w:color w:val="000000"/>
                <w:kern w:val="0"/>
                <w:sz w:val="16"/>
                <w:szCs w:val="16"/>
                <w:lang w:eastAsia="pt-BR"/>
                <w14:ligatures w14:val="none"/>
              </w:rPr>
              <w:t>2022</w:t>
            </w:r>
          </w:p>
        </w:tc>
        <w:tc>
          <w:tcPr>
            <w:tcW w:w="75" w:type="pct"/>
            <w:tcBorders>
              <w:top w:val="nil"/>
              <w:left w:val="nil"/>
              <w:bottom w:val="nil"/>
              <w:right w:val="nil"/>
            </w:tcBorders>
            <w:shd w:val="clear" w:color="auto" w:fill="auto"/>
            <w:noWrap/>
            <w:vAlign w:val="bottom"/>
            <w:hideMark/>
          </w:tcPr>
          <w:p w14:paraId="5197F938" w14:textId="77777777" w:rsidR="00871656" w:rsidRPr="00871656" w:rsidRDefault="00871656" w:rsidP="00871656">
            <w:pPr>
              <w:spacing w:after="0" w:line="240" w:lineRule="auto"/>
              <w:jc w:val="center"/>
              <w:rPr>
                <w:rFonts w:ascii="Arial" w:eastAsia="Times New Roman" w:hAnsi="Arial" w:cs="Arial"/>
                <w:b/>
                <w:bCs/>
                <w:color w:val="000000"/>
                <w:kern w:val="0"/>
                <w:sz w:val="16"/>
                <w:szCs w:val="16"/>
                <w:lang w:eastAsia="pt-BR"/>
                <w14:ligatures w14:val="none"/>
              </w:rPr>
            </w:pPr>
          </w:p>
        </w:tc>
        <w:tc>
          <w:tcPr>
            <w:tcW w:w="385" w:type="pct"/>
            <w:tcBorders>
              <w:top w:val="nil"/>
              <w:left w:val="nil"/>
              <w:bottom w:val="nil"/>
              <w:right w:val="nil"/>
            </w:tcBorders>
            <w:shd w:val="clear" w:color="000000" w:fill="75F6F9"/>
            <w:noWrap/>
            <w:vAlign w:val="center"/>
            <w:hideMark/>
          </w:tcPr>
          <w:p w14:paraId="4E40BA27" w14:textId="77777777" w:rsidR="00871656" w:rsidRPr="00871656" w:rsidRDefault="00871656" w:rsidP="00871656">
            <w:pPr>
              <w:spacing w:after="0" w:line="240" w:lineRule="auto"/>
              <w:jc w:val="center"/>
              <w:rPr>
                <w:rFonts w:ascii="Arial" w:eastAsia="Times New Roman" w:hAnsi="Arial" w:cs="Arial"/>
                <w:b/>
                <w:bCs/>
                <w:color w:val="000000"/>
                <w:kern w:val="0"/>
                <w:sz w:val="16"/>
                <w:szCs w:val="16"/>
                <w:lang w:eastAsia="pt-BR"/>
                <w14:ligatures w14:val="none"/>
              </w:rPr>
            </w:pPr>
            <w:r w:rsidRPr="00871656">
              <w:rPr>
                <w:rFonts w:ascii="Arial" w:eastAsia="Times New Roman" w:hAnsi="Arial" w:cs="Arial"/>
                <w:b/>
                <w:bCs/>
                <w:color w:val="000000"/>
                <w:kern w:val="0"/>
                <w:sz w:val="16"/>
                <w:szCs w:val="16"/>
                <w:lang w:eastAsia="pt-BR"/>
                <w14:ligatures w14:val="none"/>
              </w:rPr>
              <w:t>Δ Ano</w:t>
            </w:r>
          </w:p>
        </w:tc>
      </w:tr>
      <w:tr w:rsidR="00871656" w:rsidRPr="00871656" w14:paraId="26939E33" w14:textId="77777777" w:rsidTr="00871656">
        <w:trPr>
          <w:trHeight w:val="227"/>
        </w:trPr>
        <w:tc>
          <w:tcPr>
            <w:tcW w:w="1313" w:type="pct"/>
            <w:tcBorders>
              <w:top w:val="nil"/>
              <w:left w:val="nil"/>
              <w:bottom w:val="single" w:sz="8" w:space="0" w:color="75F6F9"/>
              <w:right w:val="nil"/>
            </w:tcBorders>
            <w:shd w:val="clear" w:color="auto" w:fill="auto"/>
            <w:noWrap/>
            <w:vAlign w:val="center"/>
            <w:hideMark/>
          </w:tcPr>
          <w:p w14:paraId="3590679C" w14:textId="77777777" w:rsidR="00871656" w:rsidRPr="00871656" w:rsidRDefault="00871656" w:rsidP="00871656">
            <w:pPr>
              <w:spacing w:after="0" w:line="240" w:lineRule="auto"/>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Depreciação e Amortização</w:t>
            </w:r>
          </w:p>
        </w:tc>
        <w:tc>
          <w:tcPr>
            <w:tcW w:w="467" w:type="pct"/>
            <w:tcBorders>
              <w:top w:val="nil"/>
              <w:left w:val="nil"/>
              <w:bottom w:val="nil"/>
              <w:right w:val="nil"/>
            </w:tcBorders>
            <w:shd w:val="clear" w:color="000000" w:fill="D9E1F2"/>
            <w:noWrap/>
            <w:vAlign w:val="bottom"/>
            <w:hideMark/>
          </w:tcPr>
          <w:p w14:paraId="7FE3965F"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(66.586)</w:t>
            </w:r>
          </w:p>
        </w:tc>
        <w:tc>
          <w:tcPr>
            <w:tcW w:w="467" w:type="pct"/>
            <w:tcBorders>
              <w:top w:val="nil"/>
              <w:left w:val="nil"/>
              <w:bottom w:val="single" w:sz="8" w:space="0" w:color="75F6F9"/>
              <w:right w:val="nil"/>
            </w:tcBorders>
            <w:shd w:val="clear" w:color="auto" w:fill="auto"/>
            <w:noWrap/>
            <w:vAlign w:val="bottom"/>
            <w:hideMark/>
          </w:tcPr>
          <w:p w14:paraId="590CBE62"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(60.833)</w:t>
            </w:r>
          </w:p>
        </w:tc>
        <w:tc>
          <w:tcPr>
            <w:tcW w:w="467" w:type="pct"/>
            <w:tcBorders>
              <w:top w:val="nil"/>
              <w:left w:val="nil"/>
              <w:bottom w:val="single" w:sz="8" w:space="0" w:color="75F6F9"/>
              <w:right w:val="nil"/>
            </w:tcBorders>
            <w:shd w:val="clear" w:color="auto" w:fill="auto"/>
            <w:noWrap/>
            <w:vAlign w:val="bottom"/>
            <w:hideMark/>
          </w:tcPr>
          <w:p w14:paraId="58F0A9D0"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(65.194)</w:t>
            </w:r>
          </w:p>
        </w:tc>
        <w:tc>
          <w:tcPr>
            <w:tcW w:w="75" w:type="pct"/>
            <w:tcBorders>
              <w:top w:val="nil"/>
              <w:left w:val="nil"/>
              <w:bottom w:val="nil"/>
              <w:right w:val="nil"/>
            </w:tcBorders>
            <w:shd w:val="clear" w:color="auto" w:fill="auto"/>
            <w:noWrap/>
            <w:vAlign w:val="bottom"/>
            <w:hideMark/>
          </w:tcPr>
          <w:p w14:paraId="23AF8634"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p>
        </w:tc>
        <w:tc>
          <w:tcPr>
            <w:tcW w:w="313" w:type="pct"/>
            <w:tcBorders>
              <w:top w:val="nil"/>
              <w:left w:val="nil"/>
              <w:bottom w:val="single" w:sz="8" w:space="0" w:color="75F6F9"/>
              <w:right w:val="nil"/>
            </w:tcBorders>
            <w:shd w:val="clear" w:color="auto" w:fill="auto"/>
            <w:vAlign w:val="bottom"/>
            <w:hideMark/>
          </w:tcPr>
          <w:p w14:paraId="1FBC331D"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9,5%</w:t>
            </w:r>
          </w:p>
        </w:tc>
        <w:tc>
          <w:tcPr>
            <w:tcW w:w="360" w:type="pct"/>
            <w:tcBorders>
              <w:top w:val="nil"/>
              <w:left w:val="nil"/>
              <w:bottom w:val="single" w:sz="8" w:space="0" w:color="75F6F9"/>
              <w:right w:val="nil"/>
            </w:tcBorders>
            <w:shd w:val="clear" w:color="auto" w:fill="auto"/>
            <w:vAlign w:val="bottom"/>
            <w:hideMark/>
          </w:tcPr>
          <w:p w14:paraId="1201982F"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2,1%</w:t>
            </w:r>
          </w:p>
        </w:tc>
        <w:tc>
          <w:tcPr>
            <w:tcW w:w="75" w:type="pct"/>
            <w:tcBorders>
              <w:top w:val="nil"/>
              <w:left w:val="nil"/>
              <w:bottom w:val="nil"/>
              <w:right w:val="nil"/>
            </w:tcBorders>
            <w:shd w:val="clear" w:color="auto" w:fill="auto"/>
            <w:noWrap/>
            <w:vAlign w:val="bottom"/>
            <w:hideMark/>
          </w:tcPr>
          <w:p w14:paraId="623802D6"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p>
        </w:tc>
        <w:tc>
          <w:tcPr>
            <w:tcW w:w="445" w:type="pct"/>
            <w:tcBorders>
              <w:top w:val="nil"/>
              <w:left w:val="nil"/>
              <w:bottom w:val="nil"/>
              <w:right w:val="nil"/>
            </w:tcBorders>
            <w:shd w:val="clear" w:color="000000" w:fill="D9E1F2"/>
            <w:noWrap/>
            <w:vAlign w:val="bottom"/>
            <w:hideMark/>
          </w:tcPr>
          <w:p w14:paraId="19D1BBB0"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(253.540)</w:t>
            </w:r>
          </w:p>
        </w:tc>
        <w:tc>
          <w:tcPr>
            <w:tcW w:w="558" w:type="pct"/>
            <w:tcBorders>
              <w:top w:val="nil"/>
              <w:left w:val="nil"/>
              <w:bottom w:val="single" w:sz="8" w:space="0" w:color="75F6F9"/>
              <w:right w:val="nil"/>
            </w:tcBorders>
            <w:shd w:val="clear" w:color="auto" w:fill="auto"/>
            <w:noWrap/>
            <w:vAlign w:val="bottom"/>
            <w:hideMark/>
          </w:tcPr>
          <w:p w14:paraId="1E1A10A7"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(242.087)</w:t>
            </w:r>
          </w:p>
        </w:tc>
        <w:tc>
          <w:tcPr>
            <w:tcW w:w="75" w:type="pct"/>
            <w:tcBorders>
              <w:top w:val="nil"/>
              <w:left w:val="nil"/>
              <w:bottom w:val="nil"/>
              <w:right w:val="nil"/>
            </w:tcBorders>
            <w:shd w:val="clear" w:color="auto" w:fill="auto"/>
            <w:noWrap/>
            <w:vAlign w:val="bottom"/>
            <w:hideMark/>
          </w:tcPr>
          <w:p w14:paraId="68FD959B"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p>
        </w:tc>
        <w:tc>
          <w:tcPr>
            <w:tcW w:w="385" w:type="pct"/>
            <w:tcBorders>
              <w:top w:val="nil"/>
              <w:left w:val="nil"/>
              <w:bottom w:val="single" w:sz="8" w:space="0" w:color="75F6F9"/>
              <w:right w:val="nil"/>
            </w:tcBorders>
            <w:shd w:val="clear" w:color="auto" w:fill="auto"/>
            <w:noWrap/>
            <w:vAlign w:val="bottom"/>
            <w:hideMark/>
          </w:tcPr>
          <w:p w14:paraId="63614B53"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4,7%</w:t>
            </w:r>
          </w:p>
        </w:tc>
      </w:tr>
    </w:tbl>
    <w:p w14:paraId="63D9CF27" w14:textId="77777777" w:rsidR="00871656" w:rsidRDefault="00871656" w:rsidP="00871656">
      <w:pPr>
        <w:spacing w:after="0" w:line="240" w:lineRule="auto"/>
        <w:jc w:val="both"/>
        <w:rPr>
          <w:rFonts w:ascii="Arial" w:eastAsia="Times New Roman" w:hAnsi="Arial" w:cs="Arial"/>
          <w:kern w:val="0"/>
          <w:sz w:val="18"/>
          <w:szCs w:val="18"/>
          <w:lang w:eastAsia="pt-BR"/>
          <w14:ligatures w14:val="none"/>
        </w:rPr>
      </w:pPr>
    </w:p>
    <w:p w14:paraId="0791A7B2" w14:textId="224B7D67" w:rsidR="00871656" w:rsidRDefault="00871656" w:rsidP="00871656">
      <w:pPr>
        <w:spacing w:after="0" w:line="240" w:lineRule="auto"/>
        <w:jc w:val="both"/>
        <w:rPr>
          <w:rFonts w:ascii="Arial" w:eastAsia="Times New Roman" w:hAnsi="Arial" w:cs="Arial"/>
          <w:kern w:val="0"/>
          <w:sz w:val="18"/>
          <w:szCs w:val="18"/>
          <w:lang w:eastAsia="pt-BR"/>
          <w14:ligatures w14:val="none"/>
        </w:rPr>
      </w:pPr>
      <w:r w:rsidRPr="00871656">
        <w:rPr>
          <w:rFonts w:ascii="Arial" w:eastAsia="Times New Roman" w:hAnsi="Arial" w:cs="Arial"/>
          <w:kern w:val="0"/>
          <w:sz w:val="18"/>
          <w:szCs w:val="18"/>
          <w:lang w:eastAsia="pt-BR"/>
          <w14:ligatures w14:val="none"/>
        </w:rPr>
        <w:t xml:space="preserve">A rubrica de Depreciação e Amortização apresentou crescimento de 4,7% na comparação com os 12M23. O aumento é explicado pelas transferências de bens da condição de “em andamento” para a condição de “em serviço”, ocorrida nos 12M23, no montante de R$ 156,1 milhões. </w:t>
      </w:r>
    </w:p>
    <w:p w14:paraId="2F7759C4" w14:textId="77777777" w:rsidR="00871656" w:rsidRPr="00871656" w:rsidRDefault="00871656" w:rsidP="00871656">
      <w:pPr>
        <w:spacing w:after="0" w:line="240" w:lineRule="auto"/>
        <w:jc w:val="both"/>
        <w:rPr>
          <w:rFonts w:ascii="Arial" w:eastAsia="Times New Roman" w:hAnsi="Arial" w:cs="Arial"/>
          <w:b/>
          <w:bCs/>
          <w:kern w:val="0"/>
          <w:sz w:val="18"/>
          <w:szCs w:val="18"/>
          <w:u w:val="single"/>
          <w:lang w:eastAsia="pt-BR"/>
          <w14:ligatures w14:val="none"/>
        </w:rPr>
      </w:pPr>
      <w:r w:rsidRPr="00871656">
        <w:rPr>
          <w:rFonts w:ascii="Calibri" w:eastAsia="Times New Roman" w:hAnsi="Calibri" w:cs="Calibri"/>
          <w:b/>
          <w:bCs/>
          <w:color w:val="002060"/>
          <w:kern w:val="0"/>
          <w:u w:val="single"/>
          <w14:ligatures w14:val="none"/>
        </w:rPr>
        <w:t>Resultado de Equivalência Patrimonial</w:t>
      </w:r>
    </w:p>
    <w:tbl>
      <w:tblPr>
        <w:tblW w:w="5000" w:type="pct"/>
        <w:tblCellMar>
          <w:left w:w="70" w:type="dxa"/>
          <w:right w:w="70" w:type="dxa"/>
        </w:tblCellMar>
        <w:tblLook w:val="04A0" w:firstRow="1" w:lastRow="0" w:firstColumn="1" w:lastColumn="0" w:noHBand="0" w:noVBand="1"/>
      </w:tblPr>
      <w:tblGrid>
        <w:gridCol w:w="2790"/>
        <w:gridCol w:w="888"/>
        <w:gridCol w:w="888"/>
        <w:gridCol w:w="888"/>
        <w:gridCol w:w="146"/>
        <w:gridCol w:w="595"/>
        <w:gridCol w:w="673"/>
        <w:gridCol w:w="146"/>
        <w:gridCol w:w="888"/>
        <w:gridCol w:w="1103"/>
        <w:gridCol w:w="146"/>
        <w:gridCol w:w="630"/>
      </w:tblGrid>
      <w:tr w:rsidR="00871656" w:rsidRPr="00871656" w14:paraId="5CD18291" w14:textId="77777777" w:rsidTr="00871656">
        <w:trPr>
          <w:trHeight w:val="227"/>
        </w:trPr>
        <w:tc>
          <w:tcPr>
            <w:tcW w:w="1426" w:type="pct"/>
            <w:tcBorders>
              <w:top w:val="nil"/>
              <w:left w:val="nil"/>
              <w:bottom w:val="nil"/>
              <w:right w:val="nil"/>
            </w:tcBorders>
            <w:shd w:val="clear" w:color="auto" w:fill="auto"/>
            <w:noWrap/>
            <w:vAlign w:val="bottom"/>
            <w:hideMark/>
          </w:tcPr>
          <w:p w14:paraId="6A13D240" w14:textId="77777777" w:rsidR="00871656" w:rsidRPr="00871656" w:rsidRDefault="00871656" w:rsidP="00871656">
            <w:pPr>
              <w:spacing w:after="0" w:line="240" w:lineRule="auto"/>
              <w:rPr>
                <w:rFonts w:ascii="Times New Roman" w:eastAsia="Times New Roman" w:hAnsi="Times New Roman" w:cs="Times New Roman"/>
                <w:kern w:val="0"/>
                <w:sz w:val="20"/>
                <w:szCs w:val="20"/>
                <w:lang w:eastAsia="pt-BR"/>
                <w14:ligatures w14:val="none"/>
              </w:rPr>
            </w:pPr>
          </w:p>
        </w:tc>
        <w:tc>
          <w:tcPr>
            <w:tcW w:w="2085" w:type="pct"/>
            <w:gridSpan w:val="6"/>
            <w:tcBorders>
              <w:top w:val="nil"/>
              <w:left w:val="nil"/>
              <w:bottom w:val="single" w:sz="8" w:space="0" w:color="auto"/>
              <w:right w:val="nil"/>
            </w:tcBorders>
            <w:shd w:val="clear" w:color="auto" w:fill="auto"/>
            <w:noWrap/>
            <w:vAlign w:val="center"/>
            <w:hideMark/>
          </w:tcPr>
          <w:p w14:paraId="1575C030" w14:textId="77777777" w:rsidR="00871656" w:rsidRPr="00871656" w:rsidRDefault="00871656" w:rsidP="00871656">
            <w:pPr>
              <w:spacing w:after="0" w:line="240" w:lineRule="auto"/>
              <w:jc w:val="center"/>
              <w:rPr>
                <w:rFonts w:ascii="Arial" w:eastAsia="Times New Roman" w:hAnsi="Arial" w:cs="Arial"/>
                <w:b/>
                <w:bCs/>
                <w:color w:val="000000"/>
                <w:kern w:val="0"/>
                <w:sz w:val="16"/>
                <w:szCs w:val="16"/>
                <w:lang w:eastAsia="pt-BR"/>
                <w14:ligatures w14:val="none"/>
              </w:rPr>
            </w:pPr>
            <w:r w:rsidRPr="00871656">
              <w:rPr>
                <w:rFonts w:ascii="Arial" w:eastAsia="Times New Roman" w:hAnsi="Arial" w:cs="Arial"/>
                <w:b/>
                <w:bCs/>
                <w:color w:val="000000"/>
                <w:kern w:val="0"/>
                <w:sz w:val="16"/>
                <w:szCs w:val="16"/>
                <w:lang w:eastAsia="pt-BR"/>
                <w14:ligatures w14:val="none"/>
              </w:rPr>
              <w:t>Trimestres</w:t>
            </w:r>
          </w:p>
        </w:tc>
        <w:tc>
          <w:tcPr>
            <w:tcW w:w="75" w:type="pct"/>
            <w:tcBorders>
              <w:top w:val="nil"/>
              <w:left w:val="nil"/>
              <w:bottom w:val="nil"/>
              <w:right w:val="nil"/>
            </w:tcBorders>
            <w:shd w:val="clear" w:color="auto" w:fill="auto"/>
            <w:noWrap/>
            <w:vAlign w:val="bottom"/>
            <w:hideMark/>
          </w:tcPr>
          <w:p w14:paraId="615AAA3B" w14:textId="77777777" w:rsidR="00871656" w:rsidRPr="00871656" w:rsidRDefault="00871656" w:rsidP="00871656">
            <w:pPr>
              <w:spacing w:after="0" w:line="240" w:lineRule="auto"/>
              <w:jc w:val="center"/>
              <w:rPr>
                <w:rFonts w:ascii="Arial" w:eastAsia="Times New Roman" w:hAnsi="Arial" w:cs="Arial"/>
                <w:b/>
                <w:bCs/>
                <w:color w:val="000000"/>
                <w:kern w:val="0"/>
                <w:sz w:val="16"/>
                <w:szCs w:val="16"/>
                <w:lang w:eastAsia="pt-BR"/>
                <w14:ligatures w14:val="none"/>
              </w:rPr>
            </w:pPr>
          </w:p>
        </w:tc>
        <w:tc>
          <w:tcPr>
            <w:tcW w:w="1092" w:type="pct"/>
            <w:gridSpan w:val="3"/>
            <w:tcBorders>
              <w:top w:val="nil"/>
              <w:left w:val="nil"/>
              <w:bottom w:val="nil"/>
              <w:right w:val="nil"/>
            </w:tcBorders>
            <w:shd w:val="clear" w:color="auto" w:fill="auto"/>
            <w:noWrap/>
            <w:vAlign w:val="bottom"/>
            <w:hideMark/>
          </w:tcPr>
          <w:p w14:paraId="6E418D7F" w14:textId="77777777" w:rsidR="00871656" w:rsidRPr="00871656" w:rsidRDefault="00871656" w:rsidP="00871656">
            <w:pPr>
              <w:spacing w:after="0" w:line="240" w:lineRule="auto"/>
              <w:rPr>
                <w:rFonts w:ascii="Times New Roman" w:eastAsia="Times New Roman" w:hAnsi="Times New Roman" w:cs="Times New Roman"/>
                <w:kern w:val="0"/>
                <w:sz w:val="20"/>
                <w:szCs w:val="20"/>
                <w:lang w:eastAsia="pt-BR"/>
                <w14:ligatures w14:val="none"/>
              </w:rPr>
            </w:pPr>
          </w:p>
        </w:tc>
        <w:tc>
          <w:tcPr>
            <w:tcW w:w="322" w:type="pct"/>
            <w:tcBorders>
              <w:top w:val="nil"/>
              <w:left w:val="nil"/>
              <w:bottom w:val="nil"/>
              <w:right w:val="nil"/>
            </w:tcBorders>
            <w:shd w:val="clear" w:color="auto" w:fill="auto"/>
            <w:noWrap/>
            <w:vAlign w:val="bottom"/>
            <w:hideMark/>
          </w:tcPr>
          <w:p w14:paraId="63DE28D6" w14:textId="77777777" w:rsidR="00871656" w:rsidRPr="00871656" w:rsidRDefault="00871656" w:rsidP="00871656">
            <w:pPr>
              <w:spacing w:after="0" w:line="240" w:lineRule="auto"/>
              <w:rPr>
                <w:rFonts w:ascii="Times New Roman" w:eastAsia="Times New Roman" w:hAnsi="Times New Roman" w:cs="Times New Roman"/>
                <w:kern w:val="0"/>
                <w:sz w:val="20"/>
                <w:szCs w:val="20"/>
                <w:lang w:eastAsia="pt-BR"/>
                <w14:ligatures w14:val="none"/>
              </w:rPr>
            </w:pPr>
          </w:p>
        </w:tc>
      </w:tr>
      <w:tr w:rsidR="00871656" w:rsidRPr="00871656" w14:paraId="4DCD29D4" w14:textId="77777777" w:rsidTr="00871656">
        <w:trPr>
          <w:trHeight w:val="40"/>
        </w:trPr>
        <w:tc>
          <w:tcPr>
            <w:tcW w:w="1426" w:type="pct"/>
            <w:tcBorders>
              <w:top w:val="nil"/>
              <w:left w:val="nil"/>
              <w:bottom w:val="nil"/>
              <w:right w:val="nil"/>
            </w:tcBorders>
            <w:shd w:val="clear" w:color="auto" w:fill="auto"/>
            <w:noWrap/>
            <w:vAlign w:val="bottom"/>
            <w:hideMark/>
          </w:tcPr>
          <w:p w14:paraId="6C8AD2EF" w14:textId="77777777" w:rsidR="00871656" w:rsidRPr="00871656" w:rsidRDefault="00871656" w:rsidP="00871656">
            <w:pPr>
              <w:spacing w:after="0" w:line="240" w:lineRule="auto"/>
              <w:rPr>
                <w:rFonts w:ascii="Times New Roman" w:eastAsia="Times New Roman" w:hAnsi="Times New Roman" w:cs="Times New Roman"/>
                <w:kern w:val="0"/>
                <w:sz w:val="20"/>
                <w:szCs w:val="20"/>
                <w:lang w:eastAsia="pt-BR"/>
                <w14:ligatures w14:val="none"/>
              </w:rPr>
            </w:pPr>
          </w:p>
        </w:tc>
        <w:tc>
          <w:tcPr>
            <w:tcW w:w="454" w:type="pct"/>
            <w:tcBorders>
              <w:top w:val="nil"/>
              <w:left w:val="nil"/>
              <w:bottom w:val="nil"/>
              <w:right w:val="nil"/>
            </w:tcBorders>
            <w:shd w:val="clear" w:color="auto" w:fill="auto"/>
            <w:noWrap/>
            <w:vAlign w:val="bottom"/>
            <w:hideMark/>
          </w:tcPr>
          <w:p w14:paraId="24CB07FF" w14:textId="77777777" w:rsidR="00871656" w:rsidRPr="00871656" w:rsidRDefault="00871656" w:rsidP="00871656">
            <w:pPr>
              <w:spacing w:after="0" w:line="240" w:lineRule="auto"/>
              <w:rPr>
                <w:rFonts w:ascii="Times New Roman" w:eastAsia="Times New Roman" w:hAnsi="Times New Roman" w:cs="Times New Roman"/>
                <w:kern w:val="0"/>
                <w:sz w:val="20"/>
                <w:szCs w:val="20"/>
                <w:lang w:eastAsia="pt-BR"/>
                <w14:ligatures w14:val="none"/>
              </w:rPr>
            </w:pPr>
          </w:p>
        </w:tc>
        <w:tc>
          <w:tcPr>
            <w:tcW w:w="454" w:type="pct"/>
            <w:tcBorders>
              <w:top w:val="nil"/>
              <w:left w:val="nil"/>
              <w:bottom w:val="nil"/>
              <w:right w:val="nil"/>
            </w:tcBorders>
            <w:shd w:val="clear" w:color="auto" w:fill="auto"/>
            <w:noWrap/>
            <w:vAlign w:val="bottom"/>
            <w:hideMark/>
          </w:tcPr>
          <w:p w14:paraId="1BFE8E24" w14:textId="77777777" w:rsidR="00871656" w:rsidRPr="00871656" w:rsidRDefault="00871656" w:rsidP="00871656">
            <w:pPr>
              <w:spacing w:after="0" w:line="240" w:lineRule="auto"/>
              <w:rPr>
                <w:rFonts w:ascii="Times New Roman" w:eastAsia="Times New Roman" w:hAnsi="Times New Roman" w:cs="Times New Roman"/>
                <w:kern w:val="0"/>
                <w:sz w:val="20"/>
                <w:szCs w:val="20"/>
                <w:lang w:eastAsia="pt-BR"/>
                <w14:ligatures w14:val="none"/>
              </w:rPr>
            </w:pPr>
          </w:p>
        </w:tc>
        <w:tc>
          <w:tcPr>
            <w:tcW w:w="454" w:type="pct"/>
            <w:tcBorders>
              <w:top w:val="nil"/>
              <w:left w:val="nil"/>
              <w:bottom w:val="nil"/>
              <w:right w:val="nil"/>
            </w:tcBorders>
            <w:shd w:val="clear" w:color="auto" w:fill="auto"/>
            <w:noWrap/>
            <w:vAlign w:val="bottom"/>
            <w:hideMark/>
          </w:tcPr>
          <w:p w14:paraId="0F9FC004" w14:textId="77777777" w:rsidR="00871656" w:rsidRPr="00871656" w:rsidRDefault="00871656" w:rsidP="00871656">
            <w:pPr>
              <w:spacing w:after="0" w:line="240" w:lineRule="auto"/>
              <w:rPr>
                <w:rFonts w:ascii="Times New Roman" w:eastAsia="Times New Roman" w:hAnsi="Times New Roman" w:cs="Times New Roman"/>
                <w:kern w:val="0"/>
                <w:sz w:val="20"/>
                <w:szCs w:val="20"/>
                <w:lang w:eastAsia="pt-BR"/>
                <w14:ligatures w14:val="none"/>
              </w:rPr>
            </w:pPr>
          </w:p>
        </w:tc>
        <w:tc>
          <w:tcPr>
            <w:tcW w:w="75" w:type="pct"/>
            <w:tcBorders>
              <w:top w:val="nil"/>
              <w:left w:val="nil"/>
              <w:bottom w:val="nil"/>
              <w:right w:val="nil"/>
            </w:tcBorders>
            <w:shd w:val="clear" w:color="auto" w:fill="auto"/>
            <w:noWrap/>
            <w:vAlign w:val="bottom"/>
            <w:hideMark/>
          </w:tcPr>
          <w:p w14:paraId="7E96111F" w14:textId="77777777" w:rsidR="00871656" w:rsidRPr="00871656" w:rsidRDefault="00871656" w:rsidP="00871656">
            <w:pPr>
              <w:spacing w:after="0" w:line="240" w:lineRule="auto"/>
              <w:rPr>
                <w:rFonts w:ascii="Times New Roman" w:eastAsia="Times New Roman" w:hAnsi="Times New Roman" w:cs="Times New Roman"/>
                <w:kern w:val="0"/>
                <w:sz w:val="20"/>
                <w:szCs w:val="20"/>
                <w:lang w:eastAsia="pt-BR"/>
                <w14:ligatures w14:val="none"/>
              </w:rPr>
            </w:pPr>
          </w:p>
        </w:tc>
        <w:tc>
          <w:tcPr>
            <w:tcW w:w="304" w:type="pct"/>
            <w:tcBorders>
              <w:top w:val="nil"/>
              <w:left w:val="nil"/>
              <w:bottom w:val="nil"/>
              <w:right w:val="nil"/>
            </w:tcBorders>
            <w:shd w:val="clear" w:color="auto" w:fill="auto"/>
            <w:noWrap/>
            <w:vAlign w:val="bottom"/>
            <w:hideMark/>
          </w:tcPr>
          <w:p w14:paraId="5E1BD0E4" w14:textId="77777777" w:rsidR="00871656" w:rsidRPr="00871656" w:rsidRDefault="00871656" w:rsidP="00871656">
            <w:pPr>
              <w:spacing w:after="0" w:line="240" w:lineRule="auto"/>
              <w:rPr>
                <w:rFonts w:ascii="Times New Roman" w:eastAsia="Times New Roman" w:hAnsi="Times New Roman" w:cs="Times New Roman"/>
                <w:kern w:val="0"/>
                <w:sz w:val="20"/>
                <w:szCs w:val="20"/>
                <w:lang w:eastAsia="pt-BR"/>
                <w14:ligatures w14:val="none"/>
              </w:rPr>
            </w:pPr>
          </w:p>
        </w:tc>
        <w:tc>
          <w:tcPr>
            <w:tcW w:w="344" w:type="pct"/>
            <w:tcBorders>
              <w:top w:val="nil"/>
              <w:left w:val="nil"/>
              <w:bottom w:val="nil"/>
              <w:right w:val="nil"/>
            </w:tcBorders>
            <w:shd w:val="clear" w:color="auto" w:fill="auto"/>
            <w:noWrap/>
            <w:vAlign w:val="bottom"/>
            <w:hideMark/>
          </w:tcPr>
          <w:p w14:paraId="6C2993C4" w14:textId="77777777" w:rsidR="00871656" w:rsidRPr="00871656" w:rsidRDefault="00871656" w:rsidP="00871656">
            <w:pPr>
              <w:spacing w:after="0" w:line="240" w:lineRule="auto"/>
              <w:rPr>
                <w:rFonts w:ascii="Times New Roman" w:eastAsia="Times New Roman" w:hAnsi="Times New Roman" w:cs="Times New Roman"/>
                <w:kern w:val="0"/>
                <w:sz w:val="20"/>
                <w:szCs w:val="20"/>
                <w:lang w:eastAsia="pt-BR"/>
                <w14:ligatures w14:val="none"/>
              </w:rPr>
            </w:pPr>
          </w:p>
        </w:tc>
        <w:tc>
          <w:tcPr>
            <w:tcW w:w="75" w:type="pct"/>
            <w:tcBorders>
              <w:top w:val="nil"/>
              <w:left w:val="nil"/>
              <w:bottom w:val="nil"/>
              <w:right w:val="nil"/>
            </w:tcBorders>
            <w:shd w:val="clear" w:color="auto" w:fill="auto"/>
            <w:noWrap/>
            <w:vAlign w:val="bottom"/>
            <w:hideMark/>
          </w:tcPr>
          <w:p w14:paraId="1216B759" w14:textId="77777777" w:rsidR="00871656" w:rsidRPr="00871656" w:rsidRDefault="00871656" w:rsidP="00871656">
            <w:pPr>
              <w:spacing w:after="0" w:line="240" w:lineRule="auto"/>
              <w:rPr>
                <w:rFonts w:ascii="Times New Roman" w:eastAsia="Times New Roman" w:hAnsi="Times New Roman" w:cs="Times New Roman"/>
                <w:kern w:val="0"/>
                <w:sz w:val="20"/>
                <w:szCs w:val="20"/>
                <w:lang w:eastAsia="pt-BR"/>
                <w14:ligatures w14:val="none"/>
              </w:rPr>
            </w:pPr>
          </w:p>
        </w:tc>
        <w:tc>
          <w:tcPr>
            <w:tcW w:w="454" w:type="pct"/>
            <w:tcBorders>
              <w:top w:val="nil"/>
              <w:left w:val="nil"/>
              <w:bottom w:val="nil"/>
              <w:right w:val="nil"/>
            </w:tcBorders>
            <w:shd w:val="clear" w:color="auto" w:fill="auto"/>
            <w:noWrap/>
            <w:vAlign w:val="bottom"/>
            <w:hideMark/>
          </w:tcPr>
          <w:p w14:paraId="0C848F9A" w14:textId="77777777" w:rsidR="00871656" w:rsidRPr="00871656" w:rsidRDefault="00871656" w:rsidP="00871656">
            <w:pPr>
              <w:spacing w:after="0" w:line="240" w:lineRule="auto"/>
              <w:rPr>
                <w:rFonts w:ascii="Times New Roman" w:eastAsia="Times New Roman" w:hAnsi="Times New Roman" w:cs="Times New Roman"/>
                <w:kern w:val="0"/>
                <w:sz w:val="20"/>
                <w:szCs w:val="20"/>
                <w:lang w:eastAsia="pt-BR"/>
                <w14:ligatures w14:val="none"/>
              </w:rPr>
            </w:pPr>
          </w:p>
        </w:tc>
        <w:tc>
          <w:tcPr>
            <w:tcW w:w="564" w:type="pct"/>
            <w:tcBorders>
              <w:top w:val="nil"/>
              <w:left w:val="nil"/>
              <w:bottom w:val="nil"/>
              <w:right w:val="nil"/>
            </w:tcBorders>
            <w:shd w:val="clear" w:color="auto" w:fill="auto"/>
            <w:noWrap/>
            <w:vAlign w:val="bottom"/>
            <w:hideMark/>
          </w:tcPr>
          <w:p w14:paraId="5485B83F" w14:textId="77777777" w:rsidR="00871656" w:rsidRPr="00871656" w:rsidRDefault="00871656" w:rsidP="00871656">
            <w:pPr>
              <w:spacing w:after="0" w:line="240" w:lineRule="auto"/>
              <w:rPr>
                <w:rFonts w:ascii="Times New Roman" w:eastAsia="Times New Roman" w:hAnsi="Times New Roman" w:cs="Times New Roman"/>
                <w:kern w:val="0"/>
                <w:sz w:val="20"/>
                <w:szCs w:val="20"/>
                <w:lang w:eastAsia="pt-BR"/>
                <w14:ligatures w14:val="none"/>
              </w:rPr>
            </w:pPr>
          </w:p>
        </w:tc>
        <w:tc>
          <w:tcPr>
            <w:tcW w:w="75" w:type="pct"/>
            <w:tcBorders>
              <w:top w:val="nil"/>
              <w:left w:val="nil"/>
              <w:bottom w:val="nil"/>
              <w:right w:val="nil"/>
            </w:tcBorders>
            <w:shd w:val="clear" w:color="auto" w:fill="auto"/>
            <w:noWrap/>
            <w:vAlign w:val="bottom"/>
            <w:hideMark/>
          </w:tcPr>
          <w:p w14:paraId="28FA36A9" w14:textId="77777777" w:rsidR="00871656" w:rsidRPr="00871656" w:rsidRDefault="00871656" w:rsidP="00871656">
            <w:pPr>
              <w:spacing w:after="0" w:line="240" w:lineRule="auto"/>
              <w:rPr>
                <w:rFonts w:ascii="Times New Roman" w:eastAsia="Times New Roman" w:hAnsi="Times New Roman" w:cs="Times New Roman"/>
                <w:kern w:val="0"/>
                <w:sz w:val="20"/>
                <w:szCs w:val="20"/>
                <w:lang w:eastAsia="pt-BR"/>
                <w14:ligatures w14:val="none"/>
              </w:rPr>
            </w:pPr>
          </w:p>
        </w:tc>
        <w:tc>
          <w:tcPr>
            <w:tcW w:w="322" w:type="pct"/>
            <w:tcBorders>
              <w:top w:val="nil"/>
              <w:left w:val="nil"/>
              <w:bottom w:val="nil"/>
              <w:right w:val="nil"/>
            </w:tcBorders>
            <w:shd w:val="clear" w:color="auto" w:fill="auto"/>
            <w:noWrap/>
            <w:vAlign w:val="bottom"/>
            <w:hideMark/>
          </w:tcPr>
          <w:p w14:paraId="220FA8D8" w14:textId="77777777" w:rsidR="00871656" w:rsidRPr="00871656" w:rsidRDefault="00871656" w:rsidP="00871656">
            <w:pPr>
              <w:spacing w:after="0" w:line="240" w:lineRule="auto"/>
              <w:rPr>
                <w:rFonts w:ascii="Times New Roman" w:eastAsia="Times New Roman" w:hAnsi="Times New Roman" w:cs="Times New Roman"/>
                <w:kern w:val="0"/>
                <w:sz w:val="20"/>
                <w:szCs w:val="20"/>
                <w:lang w:eastAsia="pt-BR"/>
                <w14:ligatures w14:val="none"/>
              </w:rPr>
            </w:pPr>
          </w:p>
        </w:tc>
      </w:tr>
      <w:tr w:rsidR="00871656" w:rsidRPr="00871656" w14:paraId="3E4EAD4F" w14:textId="77777777" w:rsidTr="00871656">
        <w:trPr>
          <w:trHeight w:val="227"/>
        </w:trPr>
        <w:tc>
          <w:tcPr>
            <w:tcW w:w="1426" w:type="pct"/>
            <w:tcBorders>
              <w:top w:val="nil"/>
              <w:left w:val="nil"/>
              <w:bottom w:val="nil"/>
              <w:right w:val="nil"/>
            </w:tcBorders>
            <w:shd w:val="clear" w:color="000000" w:fill="75F6F9"/>
            <w:vAlign w:val="center"/>
            <w:hideMark/>
          </w:tcPr>
          <w:p w14:paraId="52CA8F2B" w14:textId="77777777" w:rsidR="00871656" w:rsidRPr="00871656" w:rsidRDefault="00871656" w:rsidP="00871656">
            <w:pPr>
              <w:spacing w:after="0" w:line="240" w:lineRule="auto"/>
              <w:rPr>
                <w:rFonts w:ascii="Arial" w:eastAsia="Times New Roman" w:hAnsi="Arial" w:cs="Arial"/>
                <w:b/>
                <w:bCs/>
                <w:color w:val="000000"/>
                <w:kern w:val="0"/>
                <w:sz w:val="16"/>
                <w:szCs w:val="16"/>
                <w:lang w:eastAsia="pt-BR"/>
                <w14:ligatures w14:val="none"/>
              </w:rPr>
            </w:pPr>
            <w:r w:rsidRPr="00871656">
              <w:rPr>
                <w:rFonts w:ascii="Arial" w:eastAsia="Times New Roman" w:hAnsi="Arial" w:cs="Arial"/>
                <w:b/>
                <w:bCs/>
                <w:color w:val="000000"/>
                <w:kern w:val="0"/>
                <w:sz w:val="16"/>
                <w:szCs w:val="16"/>
                <w:lang w:eastAsia="pt-BR"/>
                <w14:ligatures w14:val="none"/>
              </w:rPr>
              <w:t>R$ mil</w:t>
            </w:r>
          </w:p>
        </w:tc>
        <w:tc>
          <w:tcPr>
            <w:tcW w:w="454" w:type="pct"/>
            <w:tcBorders>
              <w:top w:val="nil"/>
              <w:left w:val="nil"/>
              <w:bottom w:val="nil"/>
              <w:right w:val="nil"/>
            </w:tcBorders>
            <w:shd w:val="clear" w:color="000000" w:fill="75F6F9"/>
            <w:noWrap/>
            <w:vAlign w:val="center"/>
            <w:hideMark/>
          </w:tcPr>
          <w:p w14:paraId="3FE346B4" w14:textId="77777777" w:rsidR="00871656" w:rsidRPr="00871656" w:rsidRDefault="00871656" w:rsidP="00871656">
            <w:pPr>
              <w:spacing w:after="0" w:line="240" w:lineRule="auto"/>
              <w:jc w:val="center"/>
              <w:rPr>
                <w:rFonts w:ascii="Arial" w:eastAsia="Times New Roman" w:hAnsi="Arial" w:cs="Arial"/>
                <w:b/>
                <w:bCs/>
                <w:color w:val="000000"/>
                <w:kern w:val="0"/>
                <w:sz w:val="16"/>
                <w:szCs w:val="16"/>
                <w:lang w:eastAsia="pt-BR"/>
                <w14:ligatures w14:val="none"/>
              </w:rPr>
            </w:pPr>
            <w:r w:rsidRPr="00871656">
              <w:rPr>
                <w:rFonts w:ascii="Arial" w:eastAsia="Times New Roman" w:hAnsi="Arial" w:cs="Arial"/>
                <w:b/>
                <w:bCs/>
                <w:color w:val="000000"/>
                <w:kern w:val="0"/>
                <w:sz w:val="16"/>
                <w:szCs w:val="16"/>
                <w:lang w:eastAsia="pt-BR"/>
                <w14:ligatures w14:val="none"/>
              </w:rPr>
              <w:t>4T23</w:t>
            </w:r>
          </w:p>
        </w:tc>
        <w:tc>
          <w:tcPr>
            <w:tcW w:w="454" w:type="pct"/>
            <w:tcBorders>
              <w:top w:val="nil"/>
              <w:left w:val="nil"/>
              <w:bottom w:val="nil"/>
              <w:right w:val="nil"/>
            </w:tcBorders>
            <w:shd w:val="clear" w:color="000000" w:fill="75F6F9"/>
            <w:noWrap/>
            <w:vAlign w:val="center"/>
            <w:hideMark/>
          </w:tcPr>
          <w:p w14:paraId="0D1C3851" w14:textId="77777777" w:rsidR="00871656" w:rsidRPr="00871656" w:rsidRDefault="00871656" w:rsidP="00871656">
            <w:pPr>
              <w:spacing w:after="0" w:line="240" w:lineRule="auto"/>
              <w:jc w:val="center"/>
              <w:rPr>
                <w:rFonts w:ascii="Arial" w:eastAsia="Times New Roman" w:hAnsi="Arial" w:cs="Arial"/>
                <w:b/>
                <w:bCs/>
                <w:color w:val="000000"/>
                <w:kern w:val="0"/>
                <w:sz w:val="16"/>
                <w:szCs w:val="16"/>
                <w:lang w:eastAsia="pt-BR"/>
                <w14:ligatures w14:val="none"/>
              </w:rPr>
            </w:pPr>
            <w:r w:rsidRPr="00871656">
              <w:rPr>
                <w:rFonts w:ascii="Arial" w:eastAsia="Times New Roman" w:hAnsi="Arial" w:cs="Arial"/>
                <w:b/>
                <w:bCs/>
                <w:color w:val="000000"/>
                <w:kern w:val="0"/>
                <w:sz w:val="16"/>
                <w:szCs w:val="16"/>
                <w:lang w:eastAsia="pt-BR"/>
                <w14:ligatures w14:val="none"/>
              </w:rPr>
              <w:t>4T22</w:t>
            </w:r>
          </w:p>
        </w:tc>
        <w:tc>
          <w:tcPr>
            <w:tcW w:w="454" w:type="pct"/>
            <w:tcBorders>
              <w:top w:val="nil"/>
              <w:left w:val="nil"/>
              <w:bottom w:val="nil"/>
              <w:right w:val="nil"/>
            </w:tcBorders>
            <w:shd w:val="clear" w:color="000000" w:fill="75F6F9"/>
            <w:noWrap/>
            <w:vAlign w:val="center"/>
            <w:hideMark/>
          </w:tcPr>
          <w:p w14:paraId="0EA93580" w14:textId="77777777" w:rsidR="00871656" w:rsidRPr="00871656" w:rsidRDefault="00871656" w:rsidP="00871656">
            <w:pPr>
              <w:spacing w:after="0" w:line="240" w:lineRule="auto"/>
              <w:jc w:val="center"/>
              <w:rPr>
                <w:rFonts w:ascii="Arial" w:eastAsia="Times New Roman" w:hAnsi="Arial" w:cs="Arial"/>
                <w:b/>
                <w:bCs/>
                <w:color w:val="000000"/>
                <w:kern w:val="0"/>
                <w:sz w:val="16"/>
                <w:szCs w:val="16"/>
                <w:lang w:eastAsia="pt-BR"/>
                <w14:ligatures w14:val="none"/>
              </w:rPr>
            </w:pPr>
            <w:r w:rsidRPr="00871656">
              <w:rPr>
                <w:rFonts w:ascii="Arial" w:eastAsia="Times New Roman" w:hAnsi="Arial" w:cs="Arial"/>
                <w:b/>
                <w:bCs/>
                <w:color w:val="000000"/>
                <w:kern w:val="0"/>
                <w:sz w:val="16"/>
                <w:szCs w:val="16"/>
                <w:lang w:eastAsia="pt-BR"/>
                <w14:ligatures w14:val="none"/>
              </w:rPr>
              <w:t>3T23</w:t>
            </w:r>
          </w:p>
        </w:tc>
        <w:tc>
          <w:tcPr>
            <w:tcW w:w="75" w:type="pct"/>
            <w:tcBorders>
              <w:top w:val="nil"/>
              <w:left w:val="nil"/>
              <w:bottom w:val="nil"/>
              <w:right w:val="nil"/>
            </w:tcBorders>
            <w:shd w:val="clear" w:color="auto" w:fill="auto"/>
            <w:vAlign w:val="center"/>
            <w:hideMark/>
          </w:tcPr>
          <w:p w14:paraId="0C761A36" w14:textId="77777777" w:rsidR="00871656" w:rsidRPr="00871656" w:rsidRDefault="00871656" w:rsidP="00871656">
            <w:pPr>
              <w:spacing w:after="0" w:line="240" w:lineRule="auto"/>
              <w:jc w:val="center"/>
              <w:rPr>
                <w:rFonts w:ascii="Arial" w:eastAsia="Times New Roman" w:hAnsi="Arial" w:cs="Arial"/>
                <w:b/>
                <w:bCs/>
                <w:color w:val="000000"/>
                <w:kern w:val="0"/>
                <w:sz w:val="16"/>
                <w:szCs w:val="16"/>
                <w:lang w:eastAsia="pt-BR"/>
                <w14:ligatures w14:val="none"/>
              </w:rPr>
            </w:pPr>
          </w:p>
        </w:tc>
        <w:tc>
          <w:tcPr>
            <w:tcW w:w="304" w:type="pct"/>
            <w:tcBorders>
              <w:top w:val="nil"/>
              <w:left w:val="nil"/>
              <w:bottom w:val="nil"/>
              <w:right w:val="nil"/>
            </w:tcBorders>
            <w:shd w:val="clear" w:color="000000" w:fill="75F6F9"/>
            <w:noWrap/>
            <w:vAlign w:val="center"/>
            <w:hideMark/>
          </w:tcPr>
          <w:p w14:paraId="29D851A0" w14:textId="77777777" w:rsidR="00871656" w:rsidRPr="00871656" w:rsidRDefault="00871656" w:rsidP="00871656">
            <w:pPr>
              <w:spacing w:after="0" w:line="240" w:lineRule="auto"/>
              <w:jc w:val="center"/>
              <w:rPr>
                <w:rFonts w:ascii="Arial" w:eastAsia="Times New Roman" w:hAnsi="Arial" w:cs="Arial"/>
                <w:b/>
                <w:bCs/>
                <w:color w:val="000000"/>
                <w:kern w:val="0"/>
                <w:sz w:val="16"/>
                <w:szCs w:val="16"/>
                <w:lang w:eastAsia="pt-BR"/>
                <w14:ligatures w14:val="none"/>
              </w:rPr>
            </w:pPr>
            <w:r w:rsidRPr="00871656">
              <w:rPr>
                <w:rFonts w:ascii="Arial" w:eastAsia="Times New Roman" w:hAnsi="Arial" w:cs="Arial"/>
                <w:b/>
                <w:bCs/>
                <w:color w:val="000000"/>
                <w:kern w:val="0"/>
                <w:sz w:val="16"/>
                <w:szCs w:val="16"/>
                <w:lang w:eastAsia="pt-BR"/>
                <w14:ligatures w14:val="none"/>
              </w:rPr>
              <w:t>Δ Ano</w:t>
            </w:r>
          </w:p>
        </w:tc>
        <w:tc>
          <w:tcPr>
            <w:tcW w:w="344" w:type="pct"/>
            <w:tcBorders>
              <w:top w:val="nil"/>
              <w:left w:val="nil"/>
              <w:bottom w:val="nil"/>
              <w:right w:val="nil"/>
            </w:tcBorders>
            <w:shd w:val="clear" w:color="000000" w:fill="75F6F9"/>
            <w:noWrap/>
            <w:vAlign w:val="center"/>
            <w:hideMark/>
          </w:tcPr>
          <w:p w14:paraId="6AC02FF4" w14:textId="77777777" w:rsidR="00871656" w:rsidRPr="00871656" w:rsidRDefault="00871656" w:rsidP="00871656">
            <w:pPr>
              <w:spacing w:after="0" w:line="240" w:lineRule="auto"/>
              <w:jc w:val="center"/>
              <w:rPr>
                <w:rFonts w:ascii="Arial" w:eastAsia="Times New Roman" w:hAnsi="Arial" w:cs="Arial"/>
                <w:b/>
                <w:bCs/>
                <w:color w:val="000000"/>
                <w:kern w:val="0"/>
                <w:sz w:val="16"/>
                <w:szCs w:val="16"/>
                <w:lang w:eastAsia="pt-BR"/>
                <w14:ligatures w14:val="none"/>
              </w:rPr>
            </w:pPr>
            <w:r w:rsidRPr="00871656">
              <w:rPr>
                <w:rFonts w:ascii="Arial" w:eastAsia="Times New Roman" w:hAnsi="Arial" w:cs="Arial"/>
                <w:b/>
                <w:bCs/>
                <w:color w:val="000000"/>
                <w:kern w:val="0"/>
                <w:sz w:val="16"/>
                <w:szCs w:val="16"/>
                <w:lang w:eastAsia="pt-BR"/>
                <w14:ligatures w14:val="none"/>
              </w:rPr>
              <w:t>Δ Trim.</w:t>
            </w:r>
          </w:p>
        </w:tc>
        <w:tc>
          <w:tcPr>
            <w:tcW w:w="75" w:type="pct"/>
            <w:tcBorders>
              <w:top w:val="nil"/>
              <w:left w:val="nil"/>
              <w:bottom w:val="nil"/>
              <w:right w:val="nil"/>
            </w:tcBorders>
            <w:shd w:val="clear" w:color="auto" w:fill="auto"/>
            <w:noWrap/>
            <w:vAlign w:val="bottom"/>
            <w:hideMark/>
          </w:tcPr>
          <w:p w14:paraId="69FC92C2" w14:textId="77777777" w:rsidR="00871656" w:rsidRPr="00871656" w:rsidRDefault="00871656" w:rsidP="00871656">
            <w:pPr>
              <w:spacing w:after="0" w:line="240" w:lineRule="auto"/>
              <w:jc w:val="center"/>
              <w:rPr>
                <w:rFonts w:ascii="Arial" w:eastAsia="Times New Roman" w:hAnsi="Arial" w:cs="Arial"/>
                <w:b/>
                <w:bCs/>
                <w:color w:val="000000"/>
                <w:kern w:val="0"/>
                <w:sz w:val="16"/>
                <w:szCs w:val="16"/>
                <w:lang w:eastAsia="pt-BR"/>
                <w14:ligatures w14:val="none"/>
              </w:rPr>
            </w:pPr>
          </w:p>
        </w:tc>
        <w:tc>
          <w:tcPr>
            <w:tcW w:w="454" w:type="pct"/>
            <w:tcBorders>
              <w:top w:val="nil"/>
              <w:left w:val="nil"/>
              <w:bottom w:val="nil"/>
              <w:right w:val="nil"/>
            </w:tcBorders>
            <w:shd w:val="clear" w:color="000000" w:fill="75F6F9"/>
            <w:noWrap/>
            <w:vAlign w:val="center"/>
            <w:hideMark/>
          </w:tcPr>
          <w:p w14:paraId="199704A1" w14:textId="77777777" w:rsidR="00871656" w:rsidRPr="00871656" w:rsidRDefault="00871656" w:rsidP="00871656">
            <w:pPr>
              <w:spacing w:after="0" w:line="240" w:lineRule="auto"/>
              <w:jc w:val="center"/>
              <w:rPr>
                <w:rFonts w:ascii="Arial" w:eastAsia="Times New Roman" w:hAnsi="Arial" w:cs="Arial"/>
                <w:b/>
                <w:bCs/>
                <w:color w:val="000000"/>
                <w:kern w:val="0"/>
                <w:sz w:val="16"/>
                <w:szCs w:val="16"/>
                <w:lang w:eastAsia="pt-BR"/>
                <w14:ligatures w14:val="none"/>
              </w:rPr>
            </w:pPr>
            <w:r w:rsidRPr="00871656">
              <w:rPr>
                <w:rFonts w:ascii="Arial" w:eastAsia="Times New Roman" w:hAnsi="Arial" w:cs="Arial"/>
                <w:b/>
                <w:bCs/>
                <w:color w:val="000000"/>
                <w:kern w:val="0"/>
                <w:sz w:val="16"/>
                <w:szCs w:val="16"/>
                <w:lang w:eastAsia="pt-BR"/>
                <w14:ligatures w14:val="none"/>
              </w:rPr>
              <w:t>2023</w:t>
            </w:r>
          </w:p>
        </w:tc>
        <w:tc>
          <w:tcPr>
            <w:tcW w:w="564" w:type="pct"/>
            <w:tcBorders>
              <w:top w:val="nil"/>
              <w:left w:val="nil"/>
              <w:bottom w:val="nil"/>
              <w:right w:val="nil"/>
            </w:tcBorders>
            <w:shd w:val="clear" w:color="000000" w:fill="75F6F9"/>
            <w:noWrap/>
            <w:vAlign w:val="center"/>
            <w:hideMark/>
          </w:tcPr>
          <w:p w14:paraId="51995A65" w14:textId="77777777" w:rsidR="00871656" w:rsidRPr="00871656" w:rsidRDefault="00871656" w:rsidP="00871656">
            <w:pPr>
              <w:spacing w:after="0" w:line="240" w:lineRule="auto"/>
              <w:jc w:val="center"/>
              <w:rPr>
                <w:rFonts w:ascii="Arial" w:eastAsia="Times New Roman" w:hAnsi="Arial" w:cs="Arial"/>
                <w:b/>
                <w:bCs/>
                <w:color w:val="000000"/>
                <w:kern w:val="0"/>
                <w:sz w:val="16"/>
                <w:szCs w:val="16"/>
                <w:lang w:eastAsia="pt-BR"/>
                <w14:ligatures w14:val="none"/>
              </w:rPr>
            </w:pPr>
            <w:r w:rsidRPr="00871656">
              <w:rPr>
                <w:rFonts w:ascii="Arial" w:eastAsia="Times New Roman" w:hAnsi="Arial" w:cs="Arial"/>
                <w:b/>
                <w:bCs/>
                <w:color w:val="000000"/>
                <w:kern w:val="0"/>
                <w:sz w:val="16"/>
                <w:szCs w:val="16"/>
                <w:lang w:eastAsia="pt-BR"/>
                <w14:ligatures w14:val="none"/>
              </w:rPr>
              <w:t>2022</w:t>
            </w:r>
          </w:p>
        </w:tc>
        <w:tc>
          <w:tcPr>
            <w:tcW w:w="75" w:type="pct"/>
            <w:tcBorders>
              <w:top w:val="nil"/>
              <w:left w:val="nil"/>
              <w:bottom w:val="nil"/>
              <w:right w:val="nil"/>
            </w:tcBorders>
            <w:shd w:val="clear" w:color="auto" w:fill="auto"/>
            <w:noWrap/>
            <w:vAlign w:val="bottom"/>
            <w:hideMark/>
          </w:tcPr>
          <w:p w14:paraId="032DC098" w14:textId="77777777" w:rsidR="00871656" w:rsidRPr="00871656" w:rsidRDefault="00871656" w:rsidP="00871656">
            <w:pPr>
              <w:spacing w:after="0" w:line="240" w:lineRule="auto"/>
              <w:jc w:val="center"/>
              <w:rPr>
                <w:rFonts w:ascii="Arial" w:eastAsia="Times New Roman" w:hAnsi="Arial" w:cs="Arial"/>
                <w:b/>
                <w:bCs/>
                <w:color w:val="000000"/>
                <w:kern w:val="0"/>
                <w:sz w:val="16"/>
                <w:szCs w:val="16"/>
                <w:lang w:eastAsia="pt-BR"/>
                <w14:ligatures w14:val="none"/>
              </w:rPr>
            </w:pPr>
          </w:p>
        </w:tc>
        <w:tc>
          <w:tcPr>
            <w:tcW w:w="322" w:type="pct"/>
            <w:tcBorders>
              <w:top w:val="nil"/>
              <w:left w:val="nil"/>
              <w:bottom w:val="nil"/>
              <w:right w:val="nil"/>
            </w:tcBorders>
            <w:shd w:val="clear" w:color="000000" w:fill="75F6F9"/>
            <w:noWrap/>
            <w:vAlign w:val="center"/>
            <w:hideMark/>
          </w:tcPr>
          <w:p w14:paraId="0D4229EA" w14:textId="77777777" w:rsidR="00871656" w:rsidRPr="00871656" w:rsidRDefault="00871656" w:rsidP="00871656">
            <w:pPr>
              <w:spacing w:after="0" w:line="240" w:lineRule="auto"/>
              <w:jc w:val="center"/>
              <w:rPr>
                <w:rFonts w:ascii="Arial" w:eastAsia="Times New Roman" w:hAnsi="Arial" w:cs="Arial"/>
                <w:b/>
                <w:bCs/>
                <w:color w:val="000000"/>
                <w:kern w:val="0"/>
                <w:sz w:val="16"/>
                <w:szCs w:val="16"/>
                <w:lang w:eastAsia="pt-BR"/>
                <w14:ligatures w14:val="none"/>
              </w:rPr>
            </w:pPr>
            <w:r w:rsidRPr="00871656">
              <w:rPr>
                <w:rFonts w:ascii="Arial" w:eastAsia="Times New Roman" w:hAnsi="Arial" w:cs="Arial"/>
                <w:b/>
                <w:bCs/>
                <w:color w:val="000000"/>
                <w:kern w:val="0"/>
                <w:sz w:val="16"/>
                <w:szCs w:val="16"/>
                <w:lang w:eastAsia="pt-BR"/>
                <w14:ligatures w14:val="none"/>
              </w:rPr>
              <w:t>Δ Ano</w:t>
            </w:r>
          </w:p>
        </w:tc>
      </w:tr>
      <w:tr w:rsidR="00871656" w:rsidRPr="00871656" w14:paraId="143E0B73" w14:textId="77777777" w:rsidTr="00871656">
        <w:trPr>
          <w:trHeight w:val="227"/>
        </w:trPr>
        <w:tc>
          <w:tcPr>
            <w:tcW w:w="1426" w:type="pct"/>
            <w:tcBorders>
              <w:top w:val="nil"/>
              <w:left w:val="nil"/>
              <w:bottom w:val="single" w:sz="8" w:space="0" w:color="75F6F9"/>
              <w:right w:val="nil"/>
            </w:tcBorders>
            <w:shd w:val="clear" w:color="auto" w:fill="auto"/>
            <w:noWrap/>
            <w:vAlign w:val="center"/>
            <w:hideMark/>
          </w:tcPr>
          <w:p w14:paraId="6B5B7C1D" w14:textId="77777777" w:rsidR="00871656" w:rsidRPr="00871656" w:rsidRDefault="00871656" w:rsidP="00871656">
            <w:pPr>
              <w:spacing w:after="0" w:line="240" w:lineRule="auto"/>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Resultado de Equivalência Patrimonial</w:t>
            </w:r>
          </w:p>
        </w:tc>
        <w:tc>
          <w:tcPr>
            <w:tcW w:w="454" w:type="pct"/>
            <w:tcBorders>
              <w:top w:val="nil"/>
              <w:left w:val="nil"/>
              <w:bottom w:val="nil"/>
              <w:right w:val="nil"/>
            </w:tcBorders>
            <w:shd w:val="clear" w:color="000000" w:fill="D9E1F2"/>
            <w:noWrap/>
            <w:vAlign w:val="bottom"/>
            <w:hideMark/>
          </w:tcPr>
          <w:p w14:paraId="2FB55FF2"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(198)</w:t>
            </w:r>
          </w:p>
        </w:tc>
        <w:tc>
          <w:tcPr>
            <w:tcW w:w="454" w:type="pct"/>
            <w:tcBorders>
              <w:top w:val="nil"/>
              <w:left w:val="nil"/>
              <w:bottom w:val="single" w:sz="8" w:space="0" w:color="75F6F9"/>
              <w:right w:val="nil"/>
            </w:tcBorders>
            <w:shd w:val="clear" w:color="auto" w:fill="auto"/>
            <w:noWrap/>
            <w:vAlign w:val="bottom"/>
            <w:hideMark/>
          </w:tcPr>
          <w:p w14:paraId="5C2E80AF"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(1.240)</w:t>
            </w:r>
          </w:p>
        </w:tc>
        <w:tc>
          <w:tcPr>
            <w:tcW w:w="454" w:type="pct"/>
            <w:tcBorders>
              <w:top w:val="nil"/>
              <w:left w:val="nil"/>
              <w:bottom w:val="single" w:sz="8" w:space="0" w:color="75F6F9"/>
              <w:right w:val="nil"/>
            </w:tcBorders>
            <w:shd w:val="clear" w:color="auto" w:fill="auto"/>
            <w:noWrap/>
            <w:vAlign w:val="bottom"/>
            <w:hideMark/>
          </w:tcPr>
          <w:p w14:paraId="7F0B9522"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(234)</w:t>
            </w:r>
          </w:p>
        </w:tc>
        <w:tc>
          <w:tcPr>
            <w:tcW w:w="75" w:type="pct"/>
            <w:tcBorders>
              <w:top w:val="nil"/>
              <w:left w:val="nil"/>
              <w:bottom w:val="nil"/>
              <w:right w:val="nil"/>
            </w:tcBorders>
            <w:shd w:val="clear" w:color="auto" w:fill="auto"/>
            <w:noWrap/>
            <w:vAlign w:val="bottom"/>
            <w:hideMark/>
          </w:tcPr>
          <w:p w14:paraId="7A653834"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p>
        </w:tc>
        <w:tc>
          <w:tcPr>
            <w:tcW w:w="304" w:type="pct"/>
            <w:tcBorders>
              <w:top w:val="nil"/>
              <w:left w:val="nil"/>
              <w:bottom w:val="single" w:sz="8" w:space="0" w:color="75F6F9"/>
              <w:right w:val="nil"/>
            </w:tcBorders>
            <w:shd w:val="clear" w:color="auto" w:fill="auto"/>
            <w:vAlign w:val="bottom"/>
            <w:hideMark/>
          </w:tcPr>
          <w:p w14:paraId="182A10AA"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-84,0%</w:t>
            </w:r>
          </w:p>
        </w:tc>
        <w:tc>
          <w:tcPr>
            <w:tcW w:w="344" w:type="pct"/>
            <w:tcBorders>
              <w:top w:val="nil"/>
              <w:left w:val="nil"/>
              <w:bottom w:val="single" w:sz="8" w:space="0" w:color="75F6F9"/>
              <w:right w:val="nil"/>
            </w:tcBorders>
            <w:shd w:val="clear" w:color="auto" w:fill="auto"/>
            <w:vAlign w:val="bottom"/>
            <w:hideMark/>
          </w:tcPr>
          <w:p w14:paraId="20CE0148"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-15,4%</w:t>
            </w:r>
          </w:p>
        </w:tc>
        <w:tc>
          <w:tcPr>
            <w:tcW w:w="75" w:type="pct"/>
            <w:tcBorders>
              <w:top w:val="nil"/>
              <w:left w:val="nil"/>
              <w:bottom w:val="nil"/>
              <w:right w:val="nil"/>
            </w:tcBorders>
            <w:shd w:val="clear" w:color="auto" w:fill="auto"/>
            <w:noWrap/>
            <w:vAlign w:val="bottom"/>
            <w:hideMark/>
          </w:tcPr>
          <w:p w14:paraId="1A13F17D"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p>
        </w:tc>
        <w:tc>
          <w:tcPr>
            <w:tcW w:w="454" w:type="pct"/>
            <w:tcBorders>
              <w:top w:val="nil"/>
              <w:left w:val="nil"/>
              <w:bottom w:val="nil"/>
              <w:right w:val="nil"/>
            </w:tcBorders>
            <w:shd w:val="clear" w:color="000000" w:fill="D9E1F2"/>
            <w:noWrap/>
            <w:vAlign w:val="bottom"/>
            <w:hideMark/>
          </w:tcPr>
          <w:p w14:paraId="0A240315"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(2.254)</w:t>
            </w:r>
          </w:p>
        </w:tc>
        <w:tc>
          <w:tcPr>
            <w:tcW w:w="564" w:type="pct"/>
            <w:tcBorders>
              <w:top w:val="nil"/>
              <w:left w:val="nil"/>
              <w:bottom w:val="single" w:sz="8" w:space="0" w:color="75F6F9"/>
              <w:right w:val="nil"/>
            </w:tcBorders>
            <w:shd w:val="clear" w:color="auto" w:fill="auto"/>
            <w:noWrap/>
            <w:vAlign w:val="bottom"/>
            <w:hideMark/>
          </w:tcPr>
          <w:p w14:paraId="2296F8B9"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 xml:space="preserve">           (6.500)</w:t>
            </w:r>
          </w:p>
        </w:tc>
        <w:tc>
          <w:tcPr>
            <w:tcW w:w="75" w:type="pct"/>
            <w:tcBorders>
              <w:top w:val="nil"/>
              <w:left w:val="nil"/>
              <w:bottom w:val="nil"/>
              <w:right w:val="nil"/>
            </w:tcBorders>
            <w:shd w:val="clear" w:color="auto" w:fill="auto"/>
            <w:noWrap/>
            <w:vAlign w:val="bottom"/>
            <w:hideMark/>
          </w:tcPr>
          <w:p w14:paraId="14D09E9C"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p>
        </w:tc>
        <w:tc>
          <w:tcPr>
            <w:tcW w:w="322" w:type="pct"/>
            <w:tcBorders>
              <w:top w:val="nil"/>
              <w:left w:val="nil"/>
              <w:bottom w:val="single" w:sz="8" w:space="0" w:color="75F6F9"/>
              <w:right w:val="nil"/>
            </w:tcBorders>
            <w:shd w:val="clear" w:color="auto" w:fill="auto"/>
            <w:noWrap/>
            <w:vAlign w:val="bottom"/>
            <w:hideMark/>
          </w:tcPr>
          <w:p w14:paraId="22619280" w14:textId="77777777" w:rsidR="00871656" w:rsidRPr="00871656" w:rsidRDefault="00871656" w:rsidP="00871656">
            <w:pPr>
              <w:spacing w:after="0" w:line="240" w:lineRule="auto"/>
              <w:jc w:val="right"/>
              <w:rPr>
                <w:rFonts w:ascii="Arial" w:eastAsia="Times New Roman" w:hAnsi="Arial" w:cs="Arial"/>
                <w:color w:val="000000"/>
                <w:kern w:val="0"/>
                <w:sz w:val="16"/>
                <w:szCs w:val="16"/>
                <w:lang w:eastAsia="pt-BR"/>
                <w14:ligatures w14:val="none"/>
              </w:rPr>
            </w:pPr>
            <w:r w:rsidRPr="00871656">
              <w:rPr>
                <w:rFonts w:ascii="Arial" w:eastAsia="Times New Roman" w:hAnsi="Arial" w:cs="Arial"/>
                <w:color w:val="000000"/>
                <w:kern w:val="0"/>
                <w:sz w:val="16"/>
                <w:szCs w:val="16"/>
                <w:lang w:eastAsia="pt-BR"/>
                <w14:ligatures w14:val="none"/>
              </w:rPr>
              <w:t>-65,3%</w:t>
            </w:r>
          </w:p>
        </w:tc>
      </w:tr>
    </w:tbl>
    <w:p w14:paraId="694CB278" w14:textId="77777777" w:rsidR="00871656" w:rsidRPr="00871656" w:rsidRDefault="00871656" w:rsidP="00871656">
      <w:pPr>
        <w:spacing w:after="0" w:line="240" w:lineRule="auto"/>
        <w:jc w:val="both"/>
        <w:rPr>
          <w:rFonts w:ascii="Arial" w:eastAsia="Times New Roman" w:hAnsi="Arial" w:cs="Arial"/>
          <w:kern w:val="0"/>
          <w:sz w:val="18"/>
          <w:szCs w:val="18"/>
          <w:lang w:eastAsia="pt-BR"/>
          <w14:ligatures w14:val="none"/>
        </w:rPr>
      </w:pPr>
      <w:r w:rsidRPr="00871656">
        <w:rPr>
          <w:rFonts w:ascii="Arial" w:eastAsia="Times New Roman" w:hAnsi="Arial" w:cs="Arial"/>
          <w:kern w:val="0"/>
          <w:sz w:val="18"/>
          <w:szCs w:val="18"/>
          <w:lang w:eastAsia="pt-BR"/>
          <w14:ligatures w14:val="none"/>
        </w:rPr>
        <w:t xml:space="preserve">O Resultado Negativo de Equivalência Patrimonial nos 12M23 reflete a participação da Telebras (49%) no resultado negativo obtido nos 12M23 pela Coligada Visiona. Nesse período, a coligada apresentou um prejuízo líquido de R$ 4,6 milhões (R$ 13,3 milhões nos 12M22). </w:t>
      </w:r>
    </w:p>
    <w:p w14:paraId="53C716CC" w14:textId="77777777" w:rsidR="00AA1F87" w:rsidRDefault="00AA1F87" w:rsidP="00AA1F87">
      <w:pPr>
        <w:spacing w:after="0" w:line="240" w:lineRule="auto"/>
        <w:jc w:val="both"/>
        <w:rPr>
          <w:rFonts w:ascii="Calibri" w:eastAsia="Times New Roman" w:hAnsi="Calibri" w:cs="Calibri"/>
          <w:b/>
          <w:bCs/>
          <w:color w:val="002060"/>
          <w:kern w:val="0"/>
          <w:u w:val="single"/>
          <w14:ligatures w14:val="none"/>
        </w:rPr>
      </w:pPr>
      <w:r w:rsidRPr="00AA1F87">
        <w:rPr>
          <w:rFonts w:ascii="Calibri" w:eastAsia="Times New Roman" w:hAnsi="Calibri" w:cs="Calibri"/>
          <w:b/>
          <w:bCs/>
          <w:color w:val="002060"/>
          <w:kern w:val="0"/>
          <w:u w:val="single"/>
          <w14:ligatures w14:val="none"/>
        </w:rPr>
        <w:t>Outras Receitas / (Despesas) Operacionais</w:t>
      </w:r>
    </w:p>
    <w:tbl>
      <w:tblPr>
        <w:tblW w:w="5000" w:type="pct"/>
        <w:tblCellMar>
          <w:left w:w="70" w:type="dxa"/>
          <w:right w:w="70" w:type="dxa"/>
        </w:tblCellMar>
        <w:tblLook w:val="04A0" w:firstRow="1" w:lastRow="0" w:firstColumn="1" w:lastColumn="0" w:noHBand="0" w:noVBand="1"/>
      </w:tblPr>
      <w:tblGrid>
        <w:gridCol w:w="3514"/>
        <w:gridCol w:w="680"/>
        <w:gridCol w:w="680"/>
        <w:gridCol w:w="761"/>
        <w:gridCol w:w="146"/>
        <w:gridCol w:w="713"/>
        <w:gridCol w:w="841"/>
        <w:gridCol w:w="146"/>
        <w:gridCol w:w="761"/>
        <w:gridCol w:w="761"/>
        <w:gridCol w:w="146"/>
        <w:gridCol w:w="632"/>
      </w:tblGrid>
      <w:tr w:rsidR="00AA1F87" w:rsidRPr="00AA1F87" w14:paraId="32AC0AB0" w14:textId="77777777" w:rsidTr="00AA1F87">
        <w:trPr>
          <w:trHeight w:val="227"/>
        </w:trPr>
        <w:tc>
          <w:tcPr>
            <w:tcW w:w="1796" w:type="pct"/>
            <w:tcBorders>
              <w:top w:val="nil"/>
              <w:left w:val="nil"/>
              <w:bottom w:val="nil"/>
              <w:right w:val="nil"/>
            </w:tcBorders>
            <w:shd w:val="clear" w:color="auto" w:fill="auto"/>
            <w:noWrap/>
            <w:vAlign w:val="bottom"/>
            <w:hideMark/>
          </w:tcPr>
          <w:p w14:paraId="050A4E98"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1953" w:type="pct"/>
            <w:gridSpan w:val="6"/>
            <w:tcBorders>
              <w:top w:val="nil"/>
              <w:left w:val="nil"/>
              <w:bottom w:val="single" w:sz="8" w:space="0" w:color="auto"/>
              <w:right w:val="nil"/>
            </w:tcBorders>
            <w:shd w:val="clear" w:color="auto" w:fill="auto"/>
            <w:noWrap/>
            <w:vAlign w:val="center"/>
            <w:hideMark/>
          </w:tcPr>
          <w:p w14:paraId="7775DD0E" w14:textId="77777777" w:rsidR="00AA1F87" w:rsidRPr="00AA1F87" w:rsidRDefault="00AA1F87" w:rsidP="00AA1F87">
            <w:pPr>
              <w:spacing w:after="0" w:line="240" w:lineRule="auto"/>
              <w:jc w:val="center"/>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Trimestres</w:t>
            </w:r>
          </w:p>
        </w:tc>
        <w:tc>
          <w:tcPr>
            <w:tcW w:w="75" w:type="pct"/>
            <w:tcBorders>
              <w:top w:val="nil"/>
              <w:left w:val="nil"/>
              <w:bottom w:val="nil"/>
              <w:right w:val="nil"/>
            </w:tcBorders>
            <w:shd w:val="clear" w:color="auto" w:fill="auto"/>
            <w:noWrap/>
            <w:vAlign w:val="bottom"/>
            <w:hideMark/>
          </w:tcPr>
          <w:p w14:paraId="7FAE58FE" w14:textId="77777777" w:rsidR="00AA1F87" w:rsidRPr="00AA1F87" w:rsidRDefault="00AA1F87" w:rsidP="00AA1F87">
            <w:pPr>
              <w:spacing w:after="0" w:line="240" w:lineRule="auto"/>
              <w:jc w:val="center"/>
              <w:rPr>
                <w:rFonts w:ascii="Arial" w:eastAsia="Times New Roman" w:hAnsi="Arial" w:cs="Arial"/>
                <w:b/>
                <w:bCs/>
                <w:color w:val="000000"/>
                <w:kern w:val="0"/>
                <w:sz w:val="16"/>
                <w:szCs w:val="16"/>
                <w:lang w:eastAsia="pt-BR"/>
                <w14:ligatures w14:val="none"/>
              </w:rPr>
            </w:pPr>
          </w:p>
        </w:tc>
        <w:tc>
          <w:tcPr>
            <w:tcW w:w="389" w:type="pct"/>
            <w:tcBorders>
              <w:top w:val="nil"/>
              <w:left w:val="nil"/>
              <w:bottom w:val="nil"/>
              <w:right w:val="nil"/>
            </w:tcBorders>
            <w:shd w:val="clear" w:color="auto" w:fill="auto"/>
            <w:noWrap/>
            <w:vAlign w:val="bottom"/>
            <w:hideMark/>
          </w:tcPr>
          <w:p w14:paraId="5E9912AA"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389" w:type="pct"/>
            <w:tcBorders>
              <w:top w:val="nil"/>
              <w:left w:val="nil"/>
              <w:bottom w:val="nil"/>
              <w:right w:val="nil"/>
            </w:tcBorders>
            <w:shd w:val="clear" w:color="auto" w:fill="auto"/>
            <w:noWrap/>
            <w:vAlign w:val="bottom"/>
            <w:hideMark/>
          </w:tcPr>
          <w:p w14:paraId="316DF07B"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75" w:type="pct"/>
            <w:tcBorders>
              <w:top w:val="nil"/>
              <w:left w:val="nil"/>
              <w:bottom w:val="nil"/>
              <w:right w:val="nil"/>
            </w:tcBorders>
            <w:shd w:val="clear" w:color="auto" w:fill="auto"/>
            <w:noWrap/>
            <w:vAlign w:val="bottom"/>
            <w:hideMark/>
          </w:tcPr>
          <w:p w14:paraId="61AF67A9"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323" w:type="pct"/>
            <w:tcBorders>
              <w:top w:val="nil"/>
              <w:left w:val="nil"/>
              <w:bottom w:val="nil"/>
              <w:right w:val="nil"/>
            </w:tcBorders>
            <w:shd w:val="clear" w:color="auto" w:fill="auto"/>
            <w:noWrap/>
            <w:vAlign w:val="bottom"/>
            <w:hideMark/>
          </w:tcPr>
          <w:p w14:paraId="2128BB74"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r>
      <w:tr w:rsidR="00AA1F87" w:rsidRPr="00AA1F87" w14:paraId="2B36D277" w14:textId="77777777" w:rsidTr="00AA1F87">
        <w:trPr>
          <w:trHeight w:val="63"/>
        </w:trPr>
        <w:tc>
          <w:tcPr>
            <w:tcW w:w="1796" w:type="pct"/>
            <w:tcBorders>
              <w:top w:val="nil"/>
              <w:left w:val="nil"/>
              <w:bottom w:val="nil"/>
              <w:right w:val="nil"/>
            </w:tcBorders>
            <w:shd w:val="clear" w:color="auto" w:fill="auto"/>
            <w:noWrap/>
            <w:vAlign w:val="bottom"/>
            <w:hideMark/>
          </w:tcPr>
          <w:p w14:paraId="0D22C899"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348" w:type="pct"/>
            <w:tcBorders>
              <w:top w:val="nil"/>
              <w:left w:val="nil"/>
              <w:bottom w:val="nil"/>
              <w:right w:val="nil"/>
            </w:tcBorders>
            <w:shd w:val="clear" w:color="auto" w:fill="auto"/>
            <w:noWrap/>
            <w:vAlign w:val="bottom"/>
            <w:hideMark/>
          </w:tcPr>
          <w:p w14:paraId="0A765413"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348" w:type="pct"/>
            <w:tcBorders>
              <w:top w:val="nil"/>
              <w:left w:val="nil"/>
              <w:bottom w:val="nil"/>
              <w:right w:val="nil"/>
            </w:tcBorders>
            <w:shd w:val="clear" w:color="auto" w:fill="auto"/>
            <w:noWrap/>
            <w:vAlign w:val="bottom"/>
            <w:hideMark/>
          </w:tcPr>
          <w:p w14:paraId="7884231B"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389" w:type="pct"/>
            <w:tcBorders>
              <w:top w:val="nil"/>
              <w:left w:val="nil"/>
              <w:bottom w:val="nil"/>
              <w:right w:val="nil"/>
            </w:tcBorders>
            <w:shd w:val="clear" w:color="auto" w:fill="auto"/>
            <w:noWrap/>
            <w:vAlign w:val="bottom"/>
            <w:hideMark/>
          </w:tcPr>
          <w:p w14:paraId="0043CA95"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75" w:type="pct"/>
            <w:tcBorders>
              <w:top w:val="nil"/>
              <w:left w:val="nil"/>
              <w:bottom w:val="nil"/>
              <w:right w:val="nil"/>
            </w:tcBorders>
            <w:shd w:val="clear" w:color="auto" w:fill="auto"/>
            <w:noWrap/>
            <w:vAlign w:val="bottom"/>
            <w:hideMark/>
          </w:tcPr>
          <w:p w14:paraId="43BF6EB3"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364" w:type="pct"/>
            <w:tcBorders>
              <w:top w:val="nil"/>
              <w:left w:val="nil"/>
              <w:bottom w:val="nil"/>
              <w:right w:val="nil"/>
            </w:tcBorders>
            <w:shd w:val="clear" w:color="auto" w:fill="auto"/>
            <w:noWrap/>
            <w:vAlign w:val="bottom"/>
            <w:hideMark/>
          </w:tcPr>
          <w:p w14:paraId="2206A831"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430" w:type="pct"/>
            <w:tcBorders>
              <w:top w:val="nil"/>
              <w:left w:val="nil"/>
              <w:bottom w:val="nil"/>
              <w:right w:val="nil"/>
            </w:tcBorders>
            <w:shd w:val="clear" w:color="auto" w:fill="auto"/>
            <w:noWrap/>
            <w:vAlign w:val="bottom"/>
            <w:hideMark/>
          </w:tcPr>
          <w:p w14:paraId="746F1586"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75" w:type="pct"/>
            <w:tcBorders>
              <w:top w:val="nil"/>
              <w:left w:val="nil"/>
              <w:bottom w:val="nil"/>
              <w:right w:val="nil"/>
            </w:tcBorders>
            <w:shd w:val="clear" w:color="auto" w:fill="auto"/>
            <w:noWrap/>
            <w:vAlign w:val="bottom"/>
            <w:hideMark/>
          </w:tcPr>
          <w:p w14:paraId="64999895"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389" w:type="pct"/>
            <w:tcBorders>
              <w:top w:val="nil"/>
              <w:left w:val="nil"/>
              <w:bottom w:val="nil"/>
              <w:right w:val="nil"/>
            </w:tcBorders>
            <w:shd w:val="clear" w:color="auto" w:fill="auto"/>
            <w:noWrap/>
            <w:vAlign w:val="bottom"/>
            <w:hideMark/>
          </w:tcPr>
          <w:p w14:paraId="737F8356"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389" w:type="pct"/>
            <w:tcBorders>
              <w:top w:val="nil"/>
              <w:left w:val="nil"/>
              <w:bottom w:val="nil"/>
              <w:right w:val="nil"/>
            </w:tcBorders>
            <w:shd w:val="clear" w:color="auto" w:fill="auto"/>
            <w:noWrap/>
            <w:vAlign w:val="bottom"/>
            <w:hideMark/>
          </w:tcPr>
          <w:p w14:paraId="7DDE7A11"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75" w:type="pct"/>
            <w:tcBorders>
              <w:top w:val="nil"/>
              <w:left w:val="nil"/>
              <w:bottom w:val="nil"/>
              <w:right w:val="nil"/>
            </w:tcBorders>
            <w:shd w:val="clear" w:color="auto" w:fill="auto"/>
            <w:noWrap/>
            <w:vAlign w:val="bottom"/>
            <w:hideMark/>
          </w:tcPr>
          <w:p w14:paraId="5AFDD9E2"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323" w:type="pct"/>
            <w:tcBorders>
              <w:top w:val="nil"/>
              <w:left w:val="nil"/>
              <w:bottom w:val="nil"/>
              <w:right w:val="nil"/>
            </w:tcBorders>
            <w:shd w:val="clear" w:color="auto" w:fill="auto"/>
            <w:noWrap/>
            <w:vAlign w:val="bottom"/>
            <w:hideMark/>
          </w:tcPr>
          <w:p w14:paraId="579C88BE"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r>
      <w:tr w:rsidR="00AA1F87" w:rsidRPr="00AA1F87" w14:paraId="70E1660D" w14:textId="77777777" w:rsidTr="00AA1F87">
        <w:trPr>
          <w:trHeight w:val="227"/>
        </w:trPr>
        <w:tc>
          <w:tcPr>
            <w:tcW w:w="1796" w:type="pct"/>
            <w:tcBorders>
              <w:top w:val="nil"/>
              <w:left w:val="nil"/>
              <w:bottom w:val="nil"/>
              <w:right w:val="nil"/>
            </w:tcBorders>
            <w:shd w:val="clear" w:color="000000" w:fill="75F6F9"/>
            <w:noWrap/>
            <w:vAlign w:val="center"/>
            <w:hideMark/>
          </w:tcPr>
          <w:p w14:paraId="7134F937" w14:textId="77777777" w:rsidR="00AA1F87" w:rsidRPr="00AA1F87" w:rsidRDefault="00AA1F87" w:rsidP="00AA1F87">
            <w:pPr>
              <w:spacing w:after="0" w:line="240" w:lineRule="auto"/>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R$ mil</w:t>
            </w:r>
          </w:p>
        </w:tc>
        <w:tc>
          <w:tcPr>
            <w:tcW w:w="348" w:type="pct"/>
            <w:tcBorders>
              <w:top w:val="nil"/>
              <w:left w:val="nil"/>
              <w:bottom w:val="nil"/>
              <w:right w:val="nil"/>
            </w:tcBorders>
            <w:shd w:val="clear" w:color="000000" w:fill="75F6F9"/>
            <w:noWrap/>
            <w:vAlign w:val="center"/>
            <w:hideMark/>
          </w:tcPr>
          <w:p w14:paraId="1849B8F4" w14:textId="77777777" w:rsidR="00AA1F87" w:rsidRPr="00AA1F87" w:rsidRDefault="00AA1F87" w:rsidP="00AA1F87">
            <w:pPr>
              <w:spacing w:after="0" w:line="240" w:lineRule="auto"/>
              <w:jc w:val="center"/>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4T23</w:t>
            </w:r>
          </w:p>
        </w:tc>
        <w:tc>
          <w:tcPr>
            <w:tcW w:w="348" w:type="pct"/>
            <w:tcBorders>
              <w:top w:val="nil"/>
              <w:left w:val="nil"/>
              <w:bottom w:val="nil"/>
              <w:right w:val="nil"/>
            </w:tcBorders>
            <w:shd w:val="clear" w:color="000000" w:fill="75F6F9"/>
            <w:noWrap/>
            <w:vAlign w:val="center"/>
            <w:hideMark/>
          </w:tcPr>
          <w:p w14:paraId="5F4939C9" w14:textId="77777777" w:rsidR="00AA1F87" w:rsidRPr="00AA1F87" w:rsidRDefault="00AA1F87" w:rsidP="00AA1F87">
            <w:pPr>
              <w:spacing w:after="0" w:line="240" w:lineRule="auto"/>
              <w:jc w:val="center"/>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4T22</w:t>
            </w:r>
          </w:p>
        </w:tc>
        <w:tc>
          <w:tcPr>
            <w:tcW w:w="389" w:type="pct"/>
            <w:tcBorders>
              <w:top w:val="nil"/>
              <w:left w:val="nil"/>
              <w:bottom w:val="nil"/>
              <w:right w:val="nil"/>
            </w:tcBorders>
            <w:shd w:val="clear" w:color="000000" w:fill="75F6F9"/>
            <w:noWrap/>
            <w:vAlign w:val="center"/>
            <w:hideMark/>
          </w:tcPr>
          <w:p w14:paraId="173AC95C" w14:textId="77777777" w:rsidR="00AA1F87" w:rsidRPr="00AA1F87" w:rsidRDefault="00AA1F87" w:rsidP="00AA1F87">
            <w:pPr>
              <w:spacing w:after="0" w:line="240" w:lineRule="auto"/>
              <w:jc w:val="center"/>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3T23</w:t>
            </w:r>
          </w:p>
        </w:tc>
        <w:tc>
          <w:tcPr>
            <w:tcW w:w="75" w:type="pct"/>
            <w:tcBorders>
              <w:top w:val="nil"/>
              <w:left w:val="nil"/>
              <w:bottom w:val="nil"/>
              <w:right w:val="nil"/>
            </w:tcBorders>
            <w:shd w:val="clear" w:color="auto" w:fill="auto"/>
            <w:noWrap/>
            <w:vAlign w:val="bottom"/>
            <w:hideMark/>
          </w:tcPr>
          <w:p w14:paraId="454B9322" w14:textId="77777777" w:rsidR="00AA1F87" w:rsidRPr="00AA1F87" w:rsidRDefault="00AA1F87" w:rsidP="00AA1F87">
            <w:pPr>
              <w:spacing w:after="0" w:line="240" w:lineRule="auto"/>
              <w:jc w:val="center"/>
              <w:rPr>
                <w:rFonts w:ascii="Arial" w:eastAsia="Times New Roman" w:hAnsi="Arial" w:cs="Arial"/>
                <w:b/>
                <w:bCs/>
                <w:color w:val="000000"/>
                <w:kern w:val="0"/>
                <w:sz w:val="15"/>
                <w:szCs w:val="15"/>
                <w:lang w:eastAsia="pt-BR"/>
                <w14:ligatures w14:val="none"/>
              </w:rPr>
            </w:pPr>
          </w:p>
        </w:tc>
        <w:tc>
          <w:tcPr>
            <w:tcW w:w="364" w:type="pct"/>
            <w:tcBorders>
              <w:top w:val="nil"/>
              <w:left w:val="nil"/>
              <w:bottom w:val="nil"/>
              <w:right w:val="nil"/>
            </w:tcBorders>
            <w:shd w:val="clear" w:color="000000" w:fill="75F6F9"/>
            <w:vAlign w:val="center"/>
            <w:hideMark/>
          </w:tcPr>
          <w:p w14:paraId="7F58487A" w14:textId="77777777" w:rsidR="00AA1F87" w:rsidRPr="00AA1F87" w:rsidRDefault="00AA1F87" w:rsidP="00AA1F87">
            <w:pPr>
              <w:spacing w:after="0" w:line="240" w:lineRule="auto"/>
              <w:jc w:val="center"/>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Δ Ano</w:t>
            </w:r>
          </w:p>
        </w:tc>
        <w:tc>
          <w:tcPr>
            <w:tcW w:w="430" w:type="pct"/>
            <w:tcBorders>
              <w:top w:val="nil"/>
              <w:left w:val="nil"/>
              <w:bottom w:val="nil"/>
              <w:right w:val="nil"/>
            </w:tcBorders>
            <w:shd w:val="clear" w:color="000000" w:fill="75F6F9"/>
            <w:noWrap/>
            <w:vAlign w:val="center"/>
            <w:hideMark/>
          </w:tcPr>
          <w:p w14:paraId="78E17B4F" w14:textId="77777777" w:rsidR="00AA1F87" w:rsidRPr="00AA1F87" w:rsidRDefault="00AA1F87" w:rsidP="00AA1F87">
            <w:pPr>
              <w:spacing w:after="0" w:line="240" w:lineRule="auto"/>
              <w:jc w:val="center"/>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Δ Trim.</w:t>
            </w:r>
          </w:p>
        </w:tc>
        <w:tc>
          <w:tcPr>
            <w:tcW w:w="75" w:type="pct"/>
            <w:tcBorders>
              <w:top w:val="nil"/>
              <w:left w:val="nil"/>
              <w:bottom w:val="nil"/>
              <w:right w:val="nil"/>
            </w:tcBorders>
            <w:shd w:val="clear" w:color="auto" w:fill="auto"/>
            <w:noWrap/>
            <w:vAlign w:val="bottom"/>
            <w:hideMark/>
          </w:tcPr>
          <w:p w14:paraId="7D4483CD" w14:textId="77777777" w:rsidR="00AA1F87" w:rsidRPr="00AA1F87" w:rsidRDefault="00AA1F87" w:rsidP="00AA1F87">
            <w:pPr>
              <w:spacing w:after="0" w:line="240" w:lineRule="auto"/>
              <w:jc w:val="center"/>
              <w:rPr>
                <w:rFonts w:ascii="Arial" w:eastAsia="Times New Roman" w:hAnsi="Arial" w:cs="Arial"/>
                <w:b/>
                <w:bCs/>
                <w:color w:val="000000"/>
                <w:kern w:val="0"/>
                <w:sz w:val="15"/>
                <w:szCs w:val="15"/>
                <w:lang w:eastAsia="pt-BR"/>
                <w14:ligatures w14:val="none"/>
              </w:rPr>
            </w:pPr>
          </w:p>
        </w:tc>
        <w:tc>
          <w:tcPr>
            <w:tcW w:w="389" w:type="pct"/>
            <w:tcBorders>
              <w:top w:val="nil"/>
              <w:left w:val="nil"/>
              <w:bottom w:val="nil"/>
              <w:right w:val="nil"/>
            </w:tcBorders>
            <w:shd w:val="clear" w:color="000000" w:fill="75F6F9"/>
            <w:noWrap/>
            <w:vAlign w:val="center"/>
            <w:hideMark/>
          </w:tcPr>
          <w:p w14:paraId="48814449" w14:textId="77777777" w:rsidR="00AA1F87" w:rsidRPr="00AA1F87" w:rsidRDefault="00AA1F87" w:rsidP="00AA1F87">
            <w:pPr>
              <w:spacing w:after="0" w:line="240" w:lineRule="auto"/>
              <w:jc w:val="center"/>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2023</w:t>
            </w:r>
          </w:p>
        </w:tc>
        <w:tc>
          <w:tcPr>
            <w:tcW w:w="389" w:type="pct"/>
            <w:tcBorders>
              <w:top w:val="nil"/>
              <w:left w:val="nil"/>
              <w:bottom w:val="nil"/>
              <w:right w:val="nil"/>
            </w:tcBorders>
            <w:shd w:val="clear" w:color="000000" w:fill="75F6F9"/>
            <w:noWrap/>
            <w:vAlign w:val="center"/>
            <w:hideMark/>
          </w:tcPr>
          <w:p w14:paraId="22258541" w14:textId="77777777" w:rsidR="00AA1F87" w:rsidRPr="00AA1F87" w:rsidRDefault="00AA1F87" w:rsidP="00AA1F87">
            <w:pPr>
              <w:spacing w:after="0" w:line="240" w:lineRule="auto"/>
              <w:jc w:val="center"/>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2022</w:t>
            </w:r>
          </w:p>
        </w:tc>
        <w:tc>
          <w:tcPr>
            <w:tcW w:w="75" w:type="pct"/>
            <w:tcBorders>
              <w:top w:val="nil"/>
              <w:left w:val="nil"/>
              <w:bottom w:val="nil"/>
              <w:right w:val="nil"/>
            </w:tcBorders>
            <w:shd w:val="clear" w:color="auto" w:fill="auto"/>
            <w:noWrap/>
            <w:vAlign w:val="center"/>
            <w:hideMark/>
          </w:tcPr>
          <w:p w14:paraId="1475D533" w14:textId="77777777" w:rsidR="00AA1F87" w:rsidRPr="00AA1F87" w:rsidRDefault="00AA1F87" w:rsidP="00AA1F87">
            <w:pPr>
              <w:spacing w:after="0" w:line="240" w:lineRule="auto"/>
              <w:jc w:val="center"/>
              <w:rPr>
                <w:rFonts w:ascii="Arial" w:eastAsia="Times New Roman" w:hAnsi="Arial" w:cs="Arial"/>
                <w:b/>
                <w:bCs/>
                <w:color w:val="000000"/>
                <w:kern w:val="0"/>
                <w:sz w:val="15"/>
                <w:szCs w:val="15"/>
                <w:lang w:eastAsia="pt-BR"/>
                <w14:ligatures w14:val="none"/>
              </w:rPr>
            </w:pPr>
          </w:p>
        </w:tc>
        <w:tc>
          <w:tcPr>
            <w:tcW w:w="323" w:type="pct"/>
            <w:tcBorders>
              <w:top w:val="nil"/>
              <w:left w:val="nil"/>
              <w:bottom w:val="nil"/>
              <w:right w:val="nil"/>
            </w:tcBorders>
            <w:shd w:val="clear" w:color="000000" w:fill="75F6F9"/>
            <w:noWrap/>
            <w:vAlign w:val="center"/>
            <w:hideMark/>
          </w:tcPr>
          <w:p w14:paraId="0780BD0E" w14:textId="77777777" w:rsidR="00AA1F87" w:rsidRPr="00AA1F87" w:rsidRDefault="00AA1F87" w:rsidP="00AA1F87">
            <w:pPr>
              <w:spacing w:after="0" w:line="240" w:lineRule="auto"/>
              <w:jc w:val="center"/>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Δ Ano</w:t>
            </w:r>
          </w:p>
        </w:tc>
      </w:tr>
      <w:tr w:rsidR="00AA1F87" w:rsidRPr="00AA1F87" w14:paraId="6D7D756B" w14:textId="77777777" w:rsidTr="00AA1F87">
        <w:trPr>
          <w:trHeight w:val="227"/>
        </w:trPr>
        <w:tc>
          <w:tcPr>
            <w:tcW w:w="1796" w:type="pct"/>
            <w:tcBorders>
              <w:top w:val="nil"/>
              <w:left w:val="nil"/>
              <w:bottom w:val="nil"/>
              <w:right w:val="nil"/>
            </w:tcBorders>
            <w:shd w:val="clear" w:color="auto" w:fill="auto"/>
            <w:noWrap/>
            <w:vAlign w:val="center"/>
            <w:hideMark/>
          </w:tcPr>
          <w:p w14:paraId="1214E1C2" w14:textId="77777777" w:rsidR="00AA1F87" w:rsidRPr="00AA1F87" w:rsidRDefault="00AA1F87" w:rsidP="00AA1F87">
            <w:pPr>
              <w:spacing w:after="0" w:line="240" w:lineRule="auto"/>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Outras Receitas Operacionais</w:t>
            </w:r>
          </w:p>
        </w:tc>
        <w:tc>
          <w:tcPr>
            <w:tcW w:w="348" w:type="pct"/>
            <w:tcBorders>
              <w:top w:val="nil"/>
              <w:left w:val="nil"/>
              <w:bottom w:val="nil"/>
              <w:right w:val="nil"/>
            </w:tcBorders>
            <w:shd w:val="clear" w:color="000000" w:fill="D9E1F2"/>
            <w:noWrap/>
            <w:vAlign w:val="center"/>
            <w:hideMark/>
          </w:tcPr>
          <w:p w14:paraId="46258BA5" w14:textId="77777777" w:rsidR="00AA1F87" w:rsidRPr="00AA1F87" w:rsidRDefault="00AA1F87" w:rsidP="00AA1F87">
            <w:pPr>
              <w:spacing w:after="0" w:line="240" w:lineRule="auto"/>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w:t>
            </w:r>
          </w:p>
        </w:tc>
        <w:tc>
          <w:tcPr>
            <w:tcW w:w="348" w:type="pct"/>
            <w:tcBorders>
              <w:top w:val="nil"/>
              <w:left w:val="nil"/>
              <w:bottom w:val="nil"/>
              <w:right w:val="nil"/>
            </w:tcBorders>
            <w:shd w:val="clear" w:color="auto" w:fill="auto"/>
            <w:noWrap/>
            <w:vAlign w:val="center"/>
            <w:hideMark/>
          </w:tcPr>
          <w:p w14:paraId="296B0D50" w14:textId="77777777" w:rsidR="00AA1F87" w:rsidRPr="00AA1F87" w:rsidRDefault="00AA1F87" w:rsidP="00AA1F87">
            <w:pPr>
              <w:spacing w:after="0" w:line="240" w:lineRule="auto"/>
              <w:rPr>
                <w:rFonts w:ascii="Arial" w:eastAsia="Times New Roman" w:hAnsi="Arial" w:cs="Arial"/>
                <w:color w:val="000000"/>
                <w:kern w:val="0"/>
                <w:sz w:val="15"/>
                <w:szCs w:val="15"/>
                <w:lang w:eastAsia="pt-BR"/>
                <w14:ligatures w14:val="none"/>
              </w:rPr>
            </w:pPr>
          </w:p>
        </w:tc>
        <w:tc>
          <w:tcPr>
            <w:tcW w:w="389" w:type="pct"/>
            <w:tcBorders>
              <w:top w:val="nil"/>
              <w:left w:val="nil"/>
              <w:bottom w:val="nil"/>
              <w:right w:val="nil"/>
            </w:tcBorders>
            <w:shd w:val="clear" w:color="auto" w:fill="auto"/>
            <w:noWrap/>
            <w:vAlign w:val="bottom"/>
            <w:hideMark/>
          </w:tcPr>
          <w:p w14:paraId="0AEA7DC6"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75" w:type="pct"/>
            <w:tcBorders>
              <w:top w:val="nil"/>
              <w:left w:val="nil"/>
              <w:bottom w:val="nil"/>
              <w:right w:val="nil"/>
            </w:tcBorders>
            <w:shd w:val="clear" w:color="auto" w:fill="auto"/>
            <w:noWrap/>
            <w:vAlign w:val="bottom"/>
            <w:hideMark/>
          </w:tcPr>
          <w:p w14:paraId="60E7C1E3"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364" w:type="pct"/>
            <w:tcBorders>
              <w:top w:val="nil"/>
              <w:left w:val="nil"/>
              <w:bottom w:val="nil"/>
              <w:right w:val="nil"/>
            </w:tcBorders>
            <w:shd w:val="clear" w:color="auto" w:fill="auto"/>
            <w:vAlign w:val="center"/>
            <w:hideMark/>
          </w:tcPr>
          <w:p w14:paraId="3605FAB5" w14:textId="77777777" w:rsidR="00AA1F87" w:rsidRPr="00AA1F87" w:rsidRDefault="00AA1F87" w:rsidP="00AA1F87">
            <w:pPr>
              <w:spacing w:after="0" w:line="240" w:lineRule="auto"/>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w:t>
            </w:r>
          </w:p>
        </w:tc>
        <w:tc>
          <w:tcPr>
            <w:tcW w:w="430" w:type="pct"/>
            <w:tcBorders>
              <w:top w:val="nil"/>
              <w:left w:val="nil"/>
              <w:bottom w:val="nil"/>
              <w:right w:val="nil"/>
            </w:tcBorders>
            <w:shd w:val="clear" w:color="auto" w:fill="auto"/>
            <w:vAlign w:val="center"/>
            <w:hideMark/>
          </w:tcPr>
          <w:p w14:paraId="1E6FB20B" w14:textId="77777777" w:rsidR="00AA1F87" w:rsidRPr="00AA1F87" w:rsidRDefault="00AA1F87" w:rsidP="00AA1F87">
            <w:pPr>
              <w:spacing w:after="0" w:line="240" w:lineRule="auto"/>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w:t>
            </w:r>
          </w:p>
        </w:tc>
        <w:tc>
          <w:tcPr>
            <w:tcW w:w="75" w:type="pct"/>
            <w:tcBorders>
              <w:top w:val="nil"/>
              <w:left w:val="nil"/>
              <w:bottom w:val="nil"/>
              <w:right w:val="nil"/>
            </w:tcBorders>
            <w:shd w:val="clear" w:color="auto" w:fill="auto"/>
            <w:noWrap/>
            <w:vAlign w:val="bottom"/>
            <w:hideMark/>
          </w:tcPr>
          <w:p w14:paraId="3E0E23FE" w14:textId="77777777" w:rsidR="00AA1F87" w:rsidRPr="00AA1F87" w:rsidRDefault="00AA1F87" w:rsidP="00AA1F87">
            <w:pPr>
              <w:spacing w:after="0" w:line="240" w:lineRule="auto"/>
              <w:rPr>
                <w:rFonts w:ascii="Arial" w:eastAsia="Times New Roman" w:hAnsi="Arial" w:cs="Arial"/>
                <w:color w:val="000000"/>
                <w:kern w:val="0"/>
                <w:sz w:val="15"/>
                <w:szCs w:val="15"/>
                <w:lang w:eastAsia="pt-BR"/>
                <w14:ligatures w14:val="none"/>
              </w:rPr>
            </w:pPr>
          </w:p>
        </w:tc>
        <w:tc>
          <w:tcPr>
            <w:tcW w:w="389" w:type="pct"/>
            <w:tcBorders>
              <w:top w:val="nil"/>
              <w:left w:val="nil"/>
              <w:bottom w:val="nil"/>
              <w:right w:val="nil"/>
            </w:tcBorders>
            <w:shd w:val="clear" w:color="000000" w:fill="D9E1F2"/>
            <w:noWrap/>
            <w:vAlign w:val="center"/>
            <w:hideMark/>
          </w:tcPr>
          <w:p w14:paraId="3F879280" w14:textId="77777777" w:rsidR="00AA1F87" w:rsidRPr="00AA1F87" w:rsidRDefault="00AA1F87" w:rsidP="00AA1F87">
            <w:pPr>
              <w:spacing w:after="0" w:line="240" w:lineRule="auto"/>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w:t>
            </w:r>
          </w:p>
        </w:tc>
        <w:tc>
          <w:tcPr>
            <w:tcW w:w="389" w:type="pct"/>
            <w:tcBorders>
              <w:top w:val="nil"/>
              <w:left w:val="nil"/>
              <w:bottom w:val="nil"/>
              <w:right w:val="nil"/>
            </w:tcBorders>
            <w:shd w:val="clear" w:color="auto" w:fill="auto"/>
            <w:noWrap/>
            <w:vAlign w:val="bottom"/>
            <w:hideMark/>
          </w:tcPr>
          <w:p w14:paraId="4F0C206D" w14:textId="77777777" w:rsidR="00AA1F87" w:rsidRPr="00AA1F87" w:rsidRDefault="00AA1F87" w:rsidP="00AA1F87">
            <w:pPr>
              <w:spacing w:after="0" w:line="240" w:lineRule="auto"/>
              <w:rPr>
                <w:rFonts w:ascii="Arial" w:eastAsia="Times New Roman" w:hAnsi="Arial" w:cs="Arial"/>
                <w:color w:val="000000"/>
                <w:kern w:val="0"/>
                <w:sz w:val="15"/>
                <w:szCs w:val="15"/>
                <w:lang w:eastAsia="pt-BR"/>
                <w14:ligatures w14:val="none"/>
              </w:rPr>
            </w:pPr>
          </w:p>
        </w:tc>
        <w:tc>
          <w:tcPr>
            <w:tcW w:w="75" w:type="pct"/>
            <w:tcBorders>
              <w:top w:val="nil"/>
              <w:left w:val="nil"/>
              <w:bottom w:val="nil"/>
              <w:right w:val="nil"/>
            </w:tcBorders>
            <w:shd w:val="clear" w:color="auto" w:fill="auto"/>
            <w:noWrap/>
            <w:vAlign w:val="bottom"/>
            <w:hideMark/>
          </w:tcPr>
          <w:p w14:paraId="1F44CCF7"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323" w:type="pct"/>
            <w:tcBorders>
              <w:top w:val="nil"/>
              <w:left w:val="nil"/>
              <w:bottom w:val="nil"/>
              <w:right w:val="nil"/>
            </w:tcBorders>
            <w:shd w:val="clear" w:color="auto" w:fill="auto"/>
            <w:noWrap/>
            <w:vAlign w:val="center"/>
            <w:hideMark/>
          </w:tcPr>
          <w:p w14:paraId="2D77F1A1" w14:textId="77777777" w:rsidR="00AA1F87" w:rsidRPr="00AA1F87" w:rsidRDefault="00AA1F87" w:rsidP="00AA1F87">
            <w:pPr>
              <w:spacing w:after="0" w:line="240" w:lineRule="auto"/>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w:t>
            </w:r>
          </w:p>
        </w:tc>
      </w:tr>
      <w:tr w:rsidR="00AA1F87" w:rsidRPr="00AA1F87" w14:paraId="3640D490" w14:textId="77777777" w:rsidTr="00AA1F87">
        <w:trPr>
          <w:trHeight w:val="227"/>
        </w:trPr>
        <w:tc>
          <w:tcPr>
            <w:tcW w:w="1796" w:type="pct"/>
            <w:tcBorders>
              <w:top w:val="nil"/>
              <w:left w:val="nil"/>
              <w:bottom w:val="nil"/>
              <w:right w:val="nil"/>
            </w:tcBorders>
            <w:shd w:val="clear" w:color="auto" w:fill="auto"/>
            <w:noWrap/>
            <w:vAlign w:val="center"/>
            <w:hideMark/>
          </w:tcPr>
          <w:p w14:paraId="010E721A" w14:textId="77777777" w:rsidR="00AA1F87" w:rsidRPr="00AA1F87" w:rsidRDefault="00AA1F87" w:rsidP="00AA1F87">
            <w:pPr>
              <w:spacing w:after="0" w:line="240" w:lineRule="auto"/>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Subvenções Orçamentária Recebidas (i)</w:t>
            </w:r>
          </w:p>
        </w:tc>
        <w:tc>
          <w:tcPr>
            <w:tcW w:w="348" w:type="pct"/>
            <w:tcBorders>
              <w:top w:val="nil"/>
              <w:left w:val="nil"/>
              <w:bottom w:val="nil"/>
              <w:right w:val="nil"/>
            </w:tcBorders>
            <w:shd w:val="clear" w:color="000000" w:fill="D9E1F2"/>
            <w:noWrap/>
            <w:vAlign w:val="center"/>
            <w:hideMark/>
          </w:tcPr>
          <w:p w14:paraId="223BF609"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31.387</w:t>
            </w:r>
          </w:p>
        </w:tc>
        <w:tc>
          <w:tcPr>
            <w:tcW w:w="348" w:type="pct"/>
            <w:tcBorders>
              <w:top w:val="nil"/>
              <w:left w:val="nil"/>
              <w:bottom w:val="nil"/>
              <w:right w:val="nil"/>
            </w:tcBorders>
            <w:shd w:val="clear" w:color="auto" w:fill="auto"/>
            <w:noWrap/>
            <w:vAlign w:val="center"/>
            <w:hideMark/>
          </w:tcPr>
          <w:p w14:paraId="715A7FA6"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91.763</w:t>
            </w:r>
          </w:p>
        </w:tc>
        <w:tc>
          <w:tcPr>
            <w:tcW w:w="389" w:type="pct"/>
            <w:tcBorders>
              <w:top w:val="nil"/>
              <w:left w:val="nil"/>
              <w:bottom w:val="nil"/>
              <w:right w:val="nil"/>
            </w:tcBorders>
            <w:shd w:val="clear" w:color="auto" w:fill="auto"/>
            <w:noWrap/>
            <w:vAlign w:val="center"/>
            <w:hideMark/>
          </w:tcPr>
          <w:p w14:paraId="37DFFA7B"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31.513</w:t>
            </w:r>
          </w:p>
        </w:tc>
        <w:tc>
          <w:tcPr>
            <w:tcW w:w="75" w:type="pct"/>
            <w:tcBorders>
              <w:top w:val="nil"/>
              <w:left w:val="nil"/>
              <w:bottom w:val="nil"/>
              <w:right w:val="nil"/>
            </w:tcBorders>
            <w:shd w:val="clear" w:color="auto" w:fill="auto"/>
            <w:noWrap/>
            <w:vAlign w:val="bottom"/>
            <w:hideMark/>
          </w:tcPr>
          <w:p w14:paraId="26990399"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64" w:type="pct"/>
            <w:tcBorders>
              <w:top w:val="nil"/>
              <w:left w:val="nil"/>
              <w:bottom w:val="nil"/>
              <w:right w:val="nil"/>
            </w:tcBorders>
            <w:shd w:val="clear" w:color="auto" w:fill="auto"/>
            <w:vAlign w:val="center"/>
            <w:hideMark/>
          </w:tcPr>
          <w:p w14:paraId="572BBFED"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-65,8%</w:t>
            </w:r>
          </w:p>
        </w:tc>
        <w:tc>
          <w:tcPr>
            <w:tcW w:w="430" w:type="pct"/>
            <w:tcBorders>
              <w:top w:val="nil"/>
              <w:left w:val="nil"/>
              <w:bottom w:val="nil"/>
              <w:right w:val="nil"/>
            </w:tcBorders>
            <w:shd w:val="clear" w:color="auto" w:fill="auto"/>
            <w:vAlign w:val="center"/>
            <w:hideMark/>
          </w:tcPr>
          <w:p w14:paraId="446EBB8B"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-0,4%</w:t>
            </w:r>
          </w:p>
        </w:tc>
        <w:tc>
          <w:tcPr>
            <w:tcW w:w="75" w:type="pct"/>
            <w:tcBorders>
              <w:top w:val="nil"/>
              <w:left w:val="nil"/>
              <w:bottom w:val="nil"/>
              <w:right w:val="nil"/>
            </w:tcBorders>
            <w:shd w:val="clear" w:color="auto" w:fill="auto"/>
            <w:noWrap/>
            <w:vAlign w:val="bottom"/>
            <w:hideMark/>
          </w:tcPr>
          <w:p w14:paraId="671D922B"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89" w:type="pct"/>
            <w:tcBorders>
              <w:top w:val="nil"/>
              <w:left w:val="nil"/>
              <w:bottom w:val="nil"/>
              <w:right w:val="nil"/>
            </w:tcBorders>
            <w:shd w:val="clear" w:color="000000" w:fill="D9E1F2"/>
            <w:noWrap/>
            <w:vAlign w:val="center"/>
            <w:hideMark/>
          </w:tcPr>
          <w:p w14:paraId="747D712E"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240.187</w:t>
            </w:r>
          </w:p>
        </w:tc>
        <w:tc>
          <w:tcPr>
            <w:tcW w:w="389" w:type="pct"/>
            <w:tcBorders>
              <w:top w:val="nil"/>
              <w:left w:val="nil"/>
              <w:bottom w:val="nil"/>
              <w:right w:val="nil"/>
            </w:tcBorders>
            <w:shd w:val="clear" w:color="auto" w:fill="auto"/>
            <w:noWrap/>
            <w:vAlign w:val="center"/>
            <w:hideMark/>
          </w:tcPr>
          <w:p w14:paraId="0B6BF1B1"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241.525</w:t>
            </w:r>
          </w:p>
        </w:tc>
        <w:tc>
          <w:tcPr>
            <w:tcW w:w="75" w:type="pct"/>
            <w:tcBorders>
              <w:top w:val="nil"/>
              <w:left w:val="nil"/>
              <w:bottom w:val="nil"/>
              <w:right w:val="nil"/>
            </w:tcBorders>
            <w:shd w:val="clear" w:color="auto" w:fill="auto"/>
            <w:noWrap/>
            <w:vAlign w:val="bottom"/>
            <w:hideMark/>
          </w:tcPr>
          <w:p w14:paraId="4723D011"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23" w:type="pct"/>
            <w:tcBorders>
              <w:top w:val="nil"/>
              <w:left w:val="nil"/>
              <w:bottom w:val="nil"/>
              <w:right w:val="nil"/>
            </w:tcBorders>
            <w:shd w:val="clear" w:color="auto" w:fill="auto"/>
            <w:noWrap/>
            <w:vAlign w:val="center"/>
            <w:hideMark/>
          </w:tcPr>
          <w:p w14:paraId="43F201EE"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-0,6%</w:t>
            </w:r>
          </w:p>
        </w:tc>
      </w:tr>
      <w:tr w:rsidR="00AA1F87" w:rsidRPr="00AA1F87" w14:paraId="156B3BD9" w14:textId="77777777" w:rsidTr="00AA1F87">
        <w:trPr>
          <w:trHeight w:val="227"/>
        </w:trPr>
        <w:tc>
          <w:tcPr>
            <w:tcW w:w="1796" w:type="pct"/>
            <w:tcBorders>
              <w:top w:val="nil"/>
              <w:left w:val="nil"/>
              <w:bottom w:val="nil"/>
              <w:right w:val="nil"/>
            </w:tcBorders>
            <w:shd w:val="clear" w:color="auto" w:fill="auto"/>
            <w:noWrap/>
            <w:vAlign w:val="center"/>
            <w:hideMark/>
          </w:tcPr>
          <w:p w14:paraId="70276EA1" w14:textId="77777777" w:rsidR="00AA1F87" w:rsidRPr="00AA1F87" w:rsidRDefault="00AA1F87" w:rsidP="00AA1F87">
            <w:pPr>
              <w:spacing w:after="0" w:line="240" w:lineRule="auto"/>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Fundo de Previdência Privada Fechado (</w:t>
            </w:r>
            <w:proofErr w:type="spellStart"/>
            <w:r w:rsidRPr="00AA1F87">
              <w:rPr>
                <w:rFonts w:ascii="Arial" w:eastAsia="Times New Roman" w:hAnsi="Arial" w:cs="Arial"/>
                <w:color w:val="000000"/>
                <w:kern w:val="0"/>
                <w:sz w:val="15"/>
                <w:szCs w:val="15"/>
                <w:lang w:eastAsia="pt-BR"/>
                <w14:ligatures w14:val="none"/>
              </w:rPr>
              <w:t>ii</w:t>
            </w:r>
            <w:proofErr w:type="spellEnd"/>
            <w:r w:rsidRPr="00AA1F87">
              <w:rPr>
                <w:rFonts w:ascii="Arial" w:eastAsia="Times New Roman" w:hAnsi="Arial" w:cs="Arial"/>
                <w:color w:val="000000"/>
                <w:kern w:val="0"/>
                <w:sz w:val="15"/>
                <w:szCs w:val="15"/>
                <w:lang w:eastAsia="pt-BR"/>
                <w14:ligatures w14:val="none"/>
              </w:rPr>
              <w:t>)</w:t>
            </w:r>
          </w:p>
        </w:tc>
        <w:tc>
          <w:tcPr>
            <w:tcW w:w="348" w:type="pct"/>
            <w:tcBorders>
              <w:top w:val="nil"/>
              <w:left w:val="nil"/>
              <w:bottom w:val="nil"/>
              <w:right w:val="nil"/>
            </w:tcBorders>
            <w:shd w:val="clear" w:color="000000" w:fill="D9E1F2"/>
            <w:noWrap/>
            <w:vAlign w:val="center"/>
            <w:hideMark/>
          </w:tcPr>
          <w:p w14:paraId="33CBF9EB"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7.421 </w:t>
            </w:r>
          </w:p>
        </w:tc>
        <w:tc>
          <w:tcPr>
            <w:tcW w:w="348" w:type="pct"/>
            <w:tcBorders>
              <w:top w:val="nil"/>
              <w:left w:val="nil"/>
              <w:bottom w:val="nil"/>
              <w:right w:val="nil"/>
            </w:tcBorders>
            <w:shd w:val="clear" w:color="auto" w:fill="auto"/>
            <w:noWrap/>
            <w:vAlign w:val="center"/>
            <w:hideMark/>
          </w:tcPr>
          <w:p w14:paraId="333F87B6"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      </w:t>
            </w:r>
          </w:p>
        </w:tc>
        <w:tc>
          <w:tcPr>
            <w:tcW w:w="389" w:type="pct"/>
            <w:tcBorders>
              <w:top w:val="nil"/>
              <w:left w:val="nil"/>
              <w:bottom w:val="nil"/>
              <w:right w:val="nil"/>
            </w:tcBorders>
            <w:shd w:val="clear" w:color="auto" w:fill="auto"/>
            <w:noWrap/>
            <w:vAlign w:val="center"/>
            <w:hideMark/>
          </w:tcPr>
          <w:p w14:paraId="274614B4"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      </w:t>
            </w:r>
          </w:p>
        </w:tc>
        <w:tc>
          <w:tcPr>
            <w:tcW w:w="75" w:type="pct"/>
            <w:tcBorders>
              <w:top w:val="nil"/>
              <w:left w:val="nil"/>
              <w:bottom w:val="nil"/>
              <w:right w:val="nil"/>
            </w:tcBorders>
            <w:shd w:val="clear" w:color="auto" w:fill="auto"/>
            <w:noWrap/>
            <w:vAlign w:val="bottom"/>
            <w:hideMark/>
          </w:tcPr>
          <w:p w14:paraId="46951116"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64" w:type="pct"/>
            <w:tcBorders>
              <w:top w:val="nil"/>
              <w:left w:val="nil"/>
              <w:bottom w:val="nil"/>
              <w:right w:val="nil"/>
            </w:tcBorders>
            <w:shd w:val="clear" w:color="auto" w:fill="auto"/>
            <w:vAlign w:val="center"/>
            <w:hideMark/>
          </w:tcPr>
          <w:p w14:paraId="5FBD4EB5"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100,0%</w:t>
            </w:r>
          </w:p>
        </w:tc>
        <w:tc>
          <w:tcPr>
            <w:tcW w:w="430" w:type="pct"/>
            <w:tcBorders>
              <w:top w:val="nil"/>
              <w:left w:val="nil"/>
              <w:bottom w:val="nil"/>
              <w:right w:val="nil"/>
            </w:tcBorders>
            <w:shd w:val="clear" w:color="auto" w:fill="auto"/>
            <w:vAlign w:val="center"/>
            <w:hideMark/>
          </w:tcPr>
          <w:p w14:paraId="7C816E29"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-100,0%</w:t>
            </w:r>
          </w:p>
        </w:tc>
        <w:tc>
          <w:tcPr>
            <w:tcW w:w="75" w:type="pct"/>
            <w:tcBorders>
              <w:top w:val="nil"/>
              <w:left w:val="nil"/>
              <w:bottom w:val="nil"/>
              <w:right w:val="nil"/>
            </w:tcBorders>
            <w:shd w:val="clear" w:color="auto" w:fill="auto"/>
            <w:noWrap/>
            <w:vAlign w:val="bottom"/>
            <w:hideMark/>
          </w:tcPr>
          <w:p w14:paraId="0C6C1721"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89" w:type="pct"/>
            <w:tcBorders>
              <w:top w:val="nil"/>
              <w:left w:val="nil"/>
              <w:bottom w:val="nil"/>
              <w:right w:val="nil"/>
            </w:tcBorders>
            <w:shd w:val="clear" w:color="000000" w:fill="D9E1F2"/>
            <w:noWrap/>
            <w:vAlign w:val="center"/>
            <w:hideMark/>
          </w:tcPr>
          <w:p w14:paraId="29C006C2"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33.912 </w:t>
            </w:r>
          </w:p>
        </w:tc>
        <w:tc>
          <w:tcPr>
            <w:tcW w:w="389" w:type="pct"/>
            <w:tcBorders>
              <w:top w:val="nil"/>
              <w:left w:val="nil"/>
              <w:bottom w:val="nil"/>
              <w:right w:val="nil"/>
            </w:tcBorders>
            <w:shd w:val="clear" w:color="auto" w:fill="auto"/>
            <w:noWrap/>
            <w:vAlign w:val="center"/>
            <w:hideMark/>
          </w:tcPr>
          <w:p w14:paraId="46D01C0A"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      </w:t>
            </w:r>
          </w:p>
        </w:tc>
        <w:tc>
          <w:tcPr>
            <w:tcW w:w="75" w:type="pct"/>
            <w:tcBorders>
              <w:top w:val="nil"/>
              <w:left w:val="nil"/>
              <w:bottom w:val="nil"/>
              <w:right w:val="nil"/>
            </w:tcBorders>
            <w:shd w:val="clear" w:color="auto" w:fill="auto"/>
            <w:noWrap/>
            <w:vAlign w:val="bottom"/>
            <w:hideMark/>
          </w:tcPr>
          <w:p w14:paraId="38D08420"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23" w:type="pct"/>
            <w:tcBorders>
              <w:top w:val="nil"/>
              <w:left w:val="nil"/>
              <w:bottom w:val="nil"/>
              <w:right w:val="nil"/>
            </w:tcBorders>
            <w:shd w:val="clear" w:color="auto" w:fill="auto"/>
            <w:noWrap/>
            <w:vAlign w:val="center"/>
            <w:hideMark/>
          </w:tcPr>
          <w:p w14:paraId="326986F5"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100,0%</w:t>
            </w:r>
          </w:p>
        </w:tc>
      </w:tr>
      <w:tr w:rsidR="00AA1F87" w:rsidRPr="00AA1F87" w14:paraId="5CD10321" w14:textId="77777777" w:rsidTr="00AA1F87">
        <w:trPr>
          <w:trHeight w:val="227"/>
        </w:trPr>
        <w:tc>
          <w:tcPr>
            <w:tcW w:w="1796" w:type="pct"/>
            <w:tcBorders>
              <w:top w:val="nil"/>
              <w:left w:val="nil"/>
              <w:bottom w:val="nil"/>
              <w:right w:val="nil"/>
            </w:tcBorders>
            <w:shd w:val="clear" w:color="auto" w:fill="auto"/>
            <w:noWrap/>
            <w:vAlign w:val="center"/>
            <w:hideMark/>
          </w:tcPr>
          <w:p w14:paraId="4DE3BB50" w14:textId="77777777" w:rsidR="00AA1F87" w:rsidRPr="00AA1F87" w:rsidRDefault="00AA1F87" w:rsidP="00AA1F87">
            <w:pPr>
              <w:spacing w:after="0" w:line="240" w:lineRule="auto"/>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Recuperação de Tributos</w:t>
            </w:r>
          </w:p>
        </w:tc>
        <w:tc>
          <w:tcPr>
            <w:tcW w:w="348" w:type="pct"/>
            <w:tcBorders>
              <w:top w:val="nil"/>
              <w:left w:val="nil"/>
              <w:bottom w:val="nil"/>
              <w:right w:val="nil"/>
            </w:tcBorders>
            <w:shd w:val="clear" w:color="000000" w:fill="D9E1F2"/>
            <w:noWrap/>
            <w:vAlign w:val="center"/>
            <w:hideMark/>
          </w:tcPr>
          <w:p w14:paraId="3495D0D8"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4.764</w:t>
            </w:r>
          </w:p>
        </w:tc>
        <w:tc>
          <w:tcPr>
            <w:tcW w:w="348" w:type="pct"/>
            <w:tcBorders>
              <w:top w:val="nil"/>
              <w:left w:val="nil"/>
              <w:bottom w:val="nil"/>
              <w:right w:val="nil"/>
            </w:tcBorders>
            <w:shd w:val="clear" w:color="auto" w:fill="auto"/>
            <w:noWrap/>
            <w:vAlign w:val="center"/>
            <w:hideMark/>
          </w:tcPr>
          <w:p w14:paraId="7279ADB5"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656</w:t>
            </w:r>
          </w:p>
        </w:tc>
        <w:tc>
          <w:tcPr>
            <w:tcW w:w="389" w:type="pct"/>
            <w:tcBorders>
              <w:top w:val="nil"/>
              <w:left w:val="nil"/>
              <w:bottom w:val="nil"/>
              <w:right w:val="nil"/>
            </w:tcBorders>
            <w:shd w:val="clear" w:color="auto" w:fill="auto"/>
            <w:noWrap/>
            <w:vAlign w:val="center"/>
            <w:hideMark/>
          </w:tcPr>
          <w:p w14:paraId="4109DE48"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2.510</w:t>
            </w:r>
          </w:p>
        </w:tc>
        <w:tc>
          <w:tcPr>
            <w:tcW w:w="75" w:type="pct"/>
            <w:tcBorders>
              <w:top w:val="nil"/>
              <w:left w:val="nil"/>
              <w:bottom w:val="nil"/>
              <w:right w:val="nil"/>
            </w:tcBorders>
            <w:shd w:val="clear" w:color="auto" w:fill="auto"/>
            <w:noWrap/>
            <w:vAlign w:val="bottom"/>
            <w:hideMark/>
          </w:tcPr>
          <w:p w14:paraId="32A14ECB"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64" w:type="pct"/>
            <w:tcBorders>
              <w:top w:val="nil"/>
              <w:left w:val="nil"/>
              <w:bottom w:val="nil"/>
              <w:right w:val="nil"/>
            </w:tcBorders>
            <w:shd w:val="clear" w:color="auto" w:fill="auto"/>
            <w:vAlign w:val="center"/>
            <w:hideMark/>
          </w:tcPr>
          <w:p w14:paraId="71588507"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99,8%</w:t>
            </w:r>
          </w:p>
        </w:tc>
        <w:tc>
          <w:tcPr>
            <w:tcW w:w="430" w:type="pct"/>
            <w:tcBorders>
              <w:top w:val="nil"/>
              <w:left w:val="nil"/>
              <w:bottom w:val="nil"/>
              <w:right w:val="nil"/>
            </w:tcBorders>
            <w:shd w:val="clear" w:color="auto" w:fill="auto"/>
            <w:vAlign w:val="center"/>
            <w:hideMark/>
          </w:tcPr>
          <w:p w14:paraId="6BF46217"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101,8%</w:t>
            </w:r>
          </w:p>
        </w:tc>
        <w:tc>
          <w:tcPr>
            <w:tcW w:w="75" w:type="pct"/>
            <w:tcBorders>
              <w:top w:val="nil"/>
              <w:left w:val="nil"/>
              <w:bottom w:val="nil"/>
              <w:right w:val="nil"/>
            </w:tcBorders>
            <w:shd w:val="clear" w:color="auto" w:fill="auto"/>
            <w:noWrap/>
            <w:vAlign w:val="bottom"/>
            <w:hideMark/>
          </w:tcPr>
          <w:p w14:paraId="1963F2A3"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89" w:type="pct"/>
            <w:tcBorders>
              <w:top w:val="nil"/>
              <w:left w:val="nil"/>
              <w:bottom w:val="nil"/>
              <w:right w:val="nil"/>
            </w:tcBorders>
            <w:shd w:val="clear" w:color="000000" w:fill="D9E1F2"/>
            <w:noWrap/>
            <w:vAlign w:val="center"/>
            <w:hideMark/>
          </w:tcPr>
          <w:p w14:paraId="2A600872"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9.450</w:t>
            </w:r>
          </w:p>
        </w:tc>
        <w:tc>
          <w:tcPr>
            <w:tcW w:w="389" w:type="pct"/>
            <w:tcBorders>
              <w:top w:val="nil"/>
              <w:left w:val="nil"/>
              <w:bottom w:val="nil"/>
              <w:right w:val="nil"/>
            </w:tcBorders>
            <w:shd w:val="clear" w:color="auto" w:fill="auto"/>
            <w:noWrap/>
            <w:vAlign w:val="center"/>
            <w:hideMark/>
          </w:tcPr>
          <w:p w14:paraId="4130BDDA"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3.041</w:t>
            </w:r>
          </w:p>
        </w:tc>
        <w:tc>
          <w:tcPr>
            <w:tcW w:w="75" w:type="pct"/>
            <w:tcBorders>
              <w:top w:val="nil"/>
              <w:left w:val="nil"/>
              <w:bottom w:val="nil"/>
              <w:right w:val="nil"/>
            </w:tcBorders>
            <w:shd w:val="clear" w:color="auto" w:fill="auto"/>
            <w:noWrap/>
            <w:vAlign w:val="bottom"/>
            <w:hideMark/>
          </w:tcPr>
          <w:p w14:paraId="05F03621"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23" w:type="pct"/>
            <w:tcBorders>
              <w:top w:val="nil"/>
              <w:left w:val="nil"/>
              <w:bottom w:val="nil"/>
              <w:right w:val="nil"/>
            </w:tcBorders>
            <w:shd w:val="clear" w:color="auto" w:fill="auto"/>
            <w:noWrap/>
            <w:vAlign w:val="center"/>
            <w:hideMark/>
          </w:tcPr>
          <w:p w14:paraId="6B5952F9"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210,8%</w:t>
            </w:r>
          </w:p>
        </w:tc>
      </w:tr>
      <w:tr w:rsidR="00AA1F87" w:rsidRPr="00AA1F87" w14:paraId="51F6F1EB" w14:textId="77777777" w:rsidTr="00AA1F87">
        <w:trPr>
          <w:trHeight w:val="227"/>
        </w:trPr>
        <w:tc>
          <w:tcPr>
            <w:tcW w:w="1796" w:type="pct"/>
            <w:tcBorders>
              <w:top w:val="nil"/>
              <w:left w:val="nil"/>
              <w:bottom w:val="nil"/>
              <w:right w:val="nil"/>
            </w:tcBorders>
            <w:shd w:val="clear" w:color="auto" w:fill="auto"/>
            <w:noWrap/>
            <w:vAlign w:val="center"/>
            <w:hideMark/>
          </w:tcPr>
          <w:p w14:paraId="5971FFC0" w14:textId="77777777" w:rsidR="00AA1F87" w:rsidRPr="00AA1F87" w:rsidRDefault="00AA1F87" w:rsidP="00AA1F87">
            <w:pPr>
              <w:spacing w:after="0" w:line="240" w:lineRule="auto"/>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Rever. de Prov. p/ Riscos Trab., Cíveis, </w:t>
            </w:r>
            <w:proofErr w:type="gramStart"/>
            <w:r w:rsidRPr="00AA1F87">
              <w:rPr>
                <w:rFonts w:ascii="Arial" w:eastAsia="Times New Roman" w:hAnsi="Arial" w:cs="Arial"/>
                <w:color w:val="000000"/>
                <w:kern w:val="0"/>
                <w:sz w:val="16"/>
                <w:szCs w:val="16"/>
                <w:lang w:eastAsia="pt-BR"/>
                <w14:ligatures w14:val="none"/>
              </w:rPr>
              <w:t>Fiscais</w:t>
            </w:r>
            <w:proofErr w:type="gramEnd"/>
          </w:p>
        </w:tc>
        <w:tc>
          <w:tcPr>
            <w:tcW w:w="348" w:type="pct"/>
            <w:tcBorders>
              <w:top w:val="nil"/>
              <w:left w:val="nil"/>
              <w:bottom w:val="nil"/>
              <w:right w:val="nil"/>
            </w:tcBorders>
            <w:shd w:val="clear" w:color="000000" w:fill="D9E1F2"/>
            <w:noWrap/>
            <w:vAlign w:val="center"/>
            <w:hideMark/>
          </w:tcPr>
          <w:p w14:paraId="056D3EC6"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1.772</w:t>
            </w:r>
          </w:p>
        </w:tc>
        <w:tc>
          <w:tcPr>
            <w:tcW w:w="348" w:type="pct"/>
            <w:tcBorders>
              <w:top w:val="nil"/>
              <w:left w:val="nil"/>
              <w:bottom w:val="nil"/>
              <w:right w:val="nil"/>
            </w:tcBorders>
            <w:shd w:val="clear" w:color="auto" w:fill="auto"/>
            <w:noWrap/>
            <w:vAlign w:val="center"/>
            <w:hideMark/>
          </w:tcPr>
          <w:p w14:paraId="4B0DD31F"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3.274</w:t>
            </w:r>
          </w:p>
        </w:tc>
        <w:tc>
          <w:tcPr>
            <w:tcW w:w="389" w:type="pct"/>
            <w:tcBorders>
              <w:top w:val="nil"/>
              <w:left w:val="nil"/>
              <w:bottom w:val="nil"/>
              <w:right w:val="nil"/>
            </w:tcBorders>
            <w:shd w:val="clear" w:color="auto" w:fill="auto"/>
            <w:noWrap/>
            <w:vAlign w:val="center"/>
            <w:hideMark/>
          </w:tcPr>
          <w:p w14:paraId="6C693802"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6.650</w:t>
            </w:r>
          </w:p>
        </w:tc>
        <w:tc>
          <w:tcPr>
            <w:tcW w:w="75" w:type="pct"/>
            <w:tcBorders>
              <w:top w:val="nil"/>
              <w:left w:val="nil"/>
              <w:bottom w:val="nil"/>
              <w:right w:val="nil"/>
            </w:tcBorders>
            <w:shd w:val="clear" w:color="auto" w:fill="auto"/>
            <w:noWrap/>
            <w:vAlign w:val="bottom"/>
            <w:hideMark/>
          </w:tcPr>
          <w:p w14:paraId="1B968636"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64" w:type="pct"/>
            <w:tcBorders>
              <w:top w:val="nil"/>
              <w:left w:val="nil"/>
              <w:bottom w:val="nil"/>
              <w:right w:val="nil"/>
            </w:tcBorders>
            <w:shd w:val="clear" w:color="auto" w:fill="auto"/>
            <w:vAlign w:val="center"/>
            <w:hideMark/>
          </w:tcPr>
          <w:p w14:paraId="78A7853A"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8317,7%</w:t>
            </w:r>
          </w:p>
        </w:tc>
        <w:tc>
          <w:tcPr>
            <w:tcW w:w="430" w:type="pct"/>
            <w:tcBorders>
              <w:top w:val="nil"/>
              <w:left w:val="nil"/>
              <w:bottom w:val="nil"/>
              <w:right w:val="nil"/>
            </w:tcBorders>
            <w:shd w:val="clear" w:color="auto" w:fill="auto"/>
            <w:vAlign w:val="center"/>
            <w:hideMark/>
          </w:tcPr>
          <w:p w14:paraId="4DAF0A70"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100,0%</w:t>
            </w:r>
          </w:p>
        </w:tc>
        <w:tc>
          <w:tcPr>
            <w:tcW w:w="75" w:type="pct"/>
            <w:tcBorders>
              <w:top w:val="nil"/>
              <w:left w:val="nil"/>
              <w:bottom w:val="nil"/>
              <w:right w:val="nil"/>
            </w:tcBorders>
            <w:shd w:val="clear" w:color="auto" w:fill="auto"/>
            <w:noWrap/>
            <w:vAlign w:val="bottom"/>
            <w:hideMark/>
          </w:tcPr>
          <w:p w14:paraId="4F305B01"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89" w:type="pct"/>
            <w:tcBorders>
              <w:top w:val="nil"/>
              <w:left w:val="nil"/>
              <w:bottom w:val="nil"/>
              <w:right w:val="nil"/>
            </w:tcBorders>
            <w:shd w:val="clear" w:color="000000" w:fill="D9E1F2"/>
            <w:noWrap/>
            <w:vAlign w:val="center"/>
            <w:hideMark/>
          </w:tcPr>
          <w:p w14:paraId="0D2019EC"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9.213</w:t>
            </w:r>
          </w:p>
        </w:tc>
        <w:tc>
          <w:tcPr>
            <w:tcW w:w="389" w:type="pct"/>
            <w:tcBorders>
              <w:top w:val="nil"/>
              <w:left w:val="nil"/>
              <w:bottom w:val="nil"/>
              <w:right w:val="nil"/>
            </w:tcBorders>
            <w:shd w:val="clear" w:color="auto" w:fill="auto"/>
            <w:noWrap/>
            <w:vAlign w:val="center"/>
            <w:hideMark/>
          </w:tcPr>
          <w:p w14:paraId="238F1D12"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8.550</w:t>
            </w:r>
          </w:p>
        </w:tc>
        <w:tc>
          <w:tcPr>
            <w:tcW w:w="75" w:type="pct"/>
            <w:tcBorders>
              <w:top w:val="nil"/>
              <w:left w:val="nil"/>
              <w:bottom w:val="nil"/>
              <w:right w:val="nil"/>
            </w:tcBorders>
            <w:shd w:val="clear" w:color="auto" w:fill="auto"/>
            <w:noWrap/>
            <w:vAlign w:val="bottom"/>
            <w:hideMark/>
          </w:tcPr>
          <w:p w14:paraId="445B0711"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23" w:type="pct"/>
            <w:tcBorders>
              <w:top w:val="nil"/>
              <w:left w:val="nil"/>
              <w:bottom w:val="nil"/>
              <w:right w:val="nil"/>
            </w:tcBorders>
            <w:shd w:val="clear" w:color="auto" w:fill="auto"/>
            <w:noWrap/>
            <w:vAlign w:val="center"/>
            <w:hideMark/>
          </w:tcPr>
          <w:p w14:paraId="732AF49C"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7,8%</w:t>
            </w:r>
          </w:p>
        </w:tc>
      </w:tr>
      <w:tr w:rsidR="00AA1F87" w:rsidRPr="00AA1F87" w14:paraId="3FF2789E" w14:textId="77777777" w:rsidTr="00AA1F87">
        <w:trPr>
          <w:trHeight w:val="227"/>
        </w:trPr>
        <w:tc>
          <w:tcPr>
            <w:tcW w:w="1796" w:type="pct"/>
            <w:tcBorders>
              <w:top w:val="nil"/>
              <w:left w:val="nil"/>
              <w:bottom w:val="nil"/>
              <w:right w:val="nil"/>
            </w:tcBorders>
            <w:shd w:val="clear" w:color="auto" w:fill="auto"/>
            <w:noWrap/>
            <w:vAlign w:val="center"/>
            <w:hideMark/>
          </w:tcPr>
          <w:p w14:paraId="09AB97EB" w14:textId="77777777" w:rsidR="00AA1F87" w:rsidRPr="00AA1F87" w:rsidRDefault="00AA1F87" w:rsidP="00AA1F87">
            <w:pPr>
              <w:spacing w:after="0" w:line="240" w:lineRule="auto"/>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Outras Receitas Operacionais</w:t>
            </w:r>
          </w:p>
        </w:tc>
        <w:tc>
          <w:tcPr>
            <w:tcW w:w="348" w:type="pct"/>
            <w:tcBorders>
              <w:top w:val="nil"/>
              <w:left w:val="nil"/>
              <w:bottom w:val="nil"/>
              <w:right w:val="nil"/>
            </w:tcBorders>
            <w:shd w:val="clear" w:color="000000" w:fill="D9E1F2"/>
            <w:noWrap/>
            <w:vAlign w:val="center"/>
            <w:hideMark/>
          </w:tcPr>
          <w:p w14:paraId="16EFDA28"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43</w:t>
            </w:r>
          </w:p>
        </w:tc>
        <w:tc>
          <w:tcPr>
            <w:tcW w:w="348" w:type="pct"/>
            <w:tcBorders>
              <w:top w:val="nil"/>
              <w:left w:val="nil"/>
              <w:bottom w:val="nil"/>
              <w:right w:val="nil"/>
            </w:tcBorders>
            <w:shd w:val="clear" w:color="auto" w:fill="auto"/>
            <w:noWrap/>
            <w:vAlign w:val="center"/>
            <w:hideMark/>
          </w:tcPr>
          <w:p w14:paraId="0A90E476"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262</w:t>
            </w:r>
          </w:p>
        </w:tc>
        <w:tc>
          <w:tcPr>
            <w:tcW w:w="389" w:type="pct"/>
            <w:tcBorders>
              <w:top w:val="nil"/>
              <w:left w:val="nil"/>
              <w:bottom w:val="nil"/>
              <w:right w:val="nil"/>
            </w:tcBorders>
            <w:shd w:val="clear" w:color="auto" w:fill="auto"/>
            <w:noWrap/>
            <w:vAlign w:val="center"/>
            <w:hideMark/>
          </w:tcPr>
          <w:p w14:paraId="7399319F"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1.237</w:t>
            </w:r>
          </w:p>
        </w:tc>
        <w:tc>
          <w:tcPr>
            <w:tcW w:w="75" w:type="pct"/>
            <w:tcBorders>
              <w:top w:val="nil"/>
              <w:left w:val="nil"/>
              <w:bottom w:val="nil"/>
              <w:right w:val="nil"/>
            </w:tcBorders>
            <w:shd w:val="clear" w:color="auto" w:fill="auto"/>
            <w:noWrap/>
            <w:vAlign w:val="bottom"/>
            <w:hideMark/>
          </w:tcPr>
          <w:p w14:paraId="571187C9"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64" w:type="pct"/>
            <w:tcBorders>
              <w:top w:val="nil"/>
              <w:left w:val="nil"/>
              <w:bottom w:val="nil"/>
              <w:right w:val="nil"/>
            </w:tcBorders>
            <w:shd w:val="clear" w:color="auto" w:fill="auto"/>
            <w:vAlign w:val="center"/>
            <w:hideMark/>
          </w:tcPr>
          <w:p w14:paraId="569320EE"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5,1%</w:t>
            </w:r>
          </w:p>
        </w:tc>
        <w:tc>
          <w:tcPr>
            <w:tcW w:w="430" w:type="pct"/>
            <w:tcBorders>
              <w:top w:val="nil"/>
              <w:left w:val="nil"/>
              <w:bottom w:val="nil"/>
              <w:right w:val="nil"/>
            </w:tcBorders>
            <w:shd w:val="clear" w:color="auto" w:fill="auto"/>
            <w:vAlign w:val="center"/>
            <w:hideMark/>
          </w:tcPr>
          <w:p w14:paraId="65632E6A"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37,3%</w:t>
            </w:r>
          </w:p>
        </w:tc>
        <w:tc>
          <w:tcPr>
            <w:tcW w:w="75" w:type="pct"/>
            <w:tcBorders>
              <w:top w:val="nil"/>
              <w:left w:val="nil"/>
              <w:bottom w:val="nil"/>
              <w:right w:val="nil"/>
            </w:tcBorders>
            <w:shd w:val="clear" w:color="auto" w:fill="auto"/>
            <w:noWrap/>
            <w:vAlign w:val="bottom"/>
            <w:hideMark/>
          </w:tcPr>
          <w:p w14:paraId="28F87E30"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89" w:type="pct"/>
            <w:tcBorders>
              <w:top w:val="nil"/>
              <w:left w:val="nil"/>
              <w:bottom w:val="nil"/>
              <w:right w:val="nil"/>
            </w:tcBorders>
            <w:shd w:val="clear" w:color="000000" w:fill="D9E1F2"/>
            <w:noWrap/>
            <w:vAlign w:val="center"/>
            <w:hideMark/>
          </w:tcPr>
          <w:p w14:paraId="600DBD92"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4.110</w:t>
            </w:r>
          </w:p>
        </w:tc>
        <w:tc>
          <w:tcPr>
            <w:tcW w:w="389" w:type="pct"/>
            <w:tcBorders>
              <w:top w:val="nil"/>
              <w:left w:val="nil"/>
              <w:bottom w:val="nil"/>
              <w:right w:val="nil"/>
            </w:tcBorders>
            <w:shd w:val="clear" w:color="auto" w:fill="auto"/>
            <w:noWrap/>
            <w:vAlign w:val="center"/>
            <w:hideMark/>
          </w:tcPr>
          <w:p w14:paraId="0A2E647B"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2.339</w:t>
            </w:r>
          </w:p>
        </w:tc>
        <w:tc>
          <w:tcPr>
            <w:tcW w:w="75" w:type="pct"/>
            <w:tcBorders>
              <w:top w:val="nil"/>
              <w:left w:val="nil"/>
              <w:bottom w:val="nil"/>
              <w:right w:val="nil"/>
            </w:tcBorders>
            <w:shd w:val="clear" w:color="auto" w:fill="auto"/>
            <w:noWrap/>
            <w:vAlign w:val="bottom"/>
            <w:hideMark/>
          </w:tcPr>
          <w:p w14:paraId="30D17F60"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23" w:type="pct"/>
            <w:tcBorders>
              <w:top w:val="nil"/>
              <w:left w:val="nil"/>
              <w:bottom w:val="nil"/>
              <w:right w:val="nil"/>
            </w:tcBorders>
            <w:shd w:val="clear" w:color="auto" w:fill="auto"/>
            <w:noWrap/>
            <w:vAlign w:val="center"/>
            <w:hideMark/>
          </w:tcPr>
          <w:p w14:paraId="701064A8"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75,7%</w:t>
            </w:r>
          </w:p>
        </w:tc>
      </w:tr>
      <w:tr w:rsidR="00AA1F87" w:rsidRPr="00AA1F87" w14:paraId="169A46C9" w14:textId="77777777" w:rsidTr="00AA1F87">
        <w:trPr>
          <w:trHeight w:val="227"/>
        </w:trPr>
        <w:tc>
          <w:tcPr>
            <w:tcW w:w="1796" w:type="pct"/>
            <w:tcBorders>
              <w:top w:val="nil"/>
              <w:left w:val="nil"/>
              <w:bottom w:val="nil"/>
              <w:right w:val="nil"/>
            </w:tcBorders>
            <w:shd w:val="clear" w:color="000000" w:fill="75F6F9"/>
            <w:noWrap/>
            <w:vAlign w:val="center"/>
            <w:hideMark/>
          </w:tcPr>
          <w:p w14:paraId="540A1B57" w14:textId="77777777" w:rsidR="00AA1F87" w:rsidRPr="00AA1F87" w:rsidRDefault="00AA1F87" w:rsidP="00AA1F87">
            <w:pPr>
              <w:spacing w:after="0" w:line="240" w:lineRule="auto"/>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Total</w:t>
            </w:r>
          </w:p>
        </w:tc>
        <w:tc>
          <w:tcPr>
            <w:tcW w:w="348" w:type="pct"/>
            <w:tcBorders>
              <w:top w:val="nil"/>
              <w:left w:val="nil"/>
              <w:bottom w:val="nil"/>
              <w:right w:val="nil"/>
            </w:tcBorders>
            <w:shd w:val="clear" w:color="000000" w:fill="75F6F9"/>
            <w:noWrap/>
            <w:vAlign w:val="center"/>
            <w:hideMark/>
          </w:tcPr>
          <w:p w14:paraId="22C7BF8F"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 xml:space="preserve">  45.387 </w:t>
            </w:r>
          </w:p>
        </w:tc>
        <w:tc>
          <w:tcPr>
            <w:tcW w:w="348" w:type="pct"/>
            <w:tcBorders>
              <w:top w:val="nil"/>
              <w:left w:val="nil"/>
              <w:bottom w:val="nil"/>
              <w:right w:val="nil"/>
            </w:tcBorders>
            <w:shd w:val="clear" w:color="000000" w:fill="75F6F9"/>
            <w:noWrap/>
            <w:vAlign w:val="center"/>
            <w:hideMark/>
          </w:tcPr>
          <w:p w14:paraId="640C9A74"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 xml:space="preserve">  95.955 </w:t>
            </w:r>
          </w:p>
        </w:tc>
        <w:tc>
          <w:tcPr>
            <w:tcW w:w="389" w:type="pct"/>
            <w:tcBorders>
              <w:top w:val="nil"/>
              <w:left w:val="nil"/>
              <w:bottom w:val="nil"/>
              <w:right w:val="nil"/>
            </w:tcBorders>
            <w:shd w:val="clear" w:color="000000" w:fill="75F6F9"/>
            <w:noWrap/>
            <w:vAlign w:val="center"/>
            <w:hideMark/>
          </w:tcPr>
          <w:p w14:paraId="528E353F"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 xml:space="preserve">   41.910 </w:t>
            </w:r>
          </w:p>
        </w:tc>
        <w:tc>
          <w:tcPr>
            <w:tcW w:w="75" w:type="pct"/>
            <w:tcBorders>
              <w:top w:val="nil"/>
              <w:left w:val="nil"/>
              <w:bottom w:val="nil"/>
              <w:right w:val="nil"/>
            </w:tcBorders>
            <w:shd w:val="clear" w:color="auto" w:fill="auto"/>
            <w:noWrap/>
            <w:vAlign w:val="bottom"/>
            <w:hideMark/>
          </w:tcPr>
          <w:p w14:paraId="349D9B50"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p>
        </w:tc>
        <w:tc>
          <w:tcPr>
            <w:tcW w:w="364" w:type="pct"/>
            <w:tcBorders>
              <w:top w:val="nil"/>
              <w:left w:val="nil"/>
              <w:bottom w:val="nil"/>
              <w:right w:val="nil"/>
            </w:tcBorders>
            <w:shd w:val="clear" w:color="000000" w:fill="75F6F9"/>
            <w:vAlign w:val="center"/>
            <w:hideMark/>
          </w:tcPr>
          <w:p w14:paraId="1D5C1558"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-52,7%</w:t>
            </w:r>
          </w:p>
        </w:tc>
        <w:tc>
          <w:tcPr>
            <w:tcW w:w="430" w:type="pct"/>
            <w:tcBorders>
              <w:top w:val="nil"/>
              <w:left w:val="nil"/>
              <w:bottom w:val="nil"/>
              <w:right w:val="nil"/>
            </w:tcBorders>
            <w:shd w:val="clear" w:color="000000" w:fill="75F6F9"/>
            <w:noWrap/>
            <w:vAlign w:val="center"/>
            <w:hideMark/>
          </w:tcPr>
          <w:p w14:paraId="70AB9D2B"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8,3%</w:t>
            </w:r>
          </w:p>
        </w:tc>
        <w:tc>
          <w:tcPr>
            <w:tcW w:w="75" w:type="pct"/>
            <w:tcBorders>
              <w:top w:val="nil"/>
              <w:left w:val="nil"/>
              <w:bottom w:val="nil"/>
              <w:right w:val="nil"/>
            </w:tcBorders>
            <w:shd w:val="clear" w:color="auto" w:fill="auto"/>
            <w:noWrap/>
            <w:vAlign w:val="bottom"/>
            <w:hideMark/>
          </w:tcPr>
          <w:p w14:paraId="02B9706A"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p>
        </w:tc>
        <w:tc>
          <w:tcPr>
            <w:tcW w:w="389" w:type="pct"/>
            <w:tcBorders>
              <w:top w:val="nil"/>
              <w:left w:val="nil"/>
              <w:bottom w:val="nil"/>
              <w:right w:val="nil"/>
            </w:tcBorders>
            <w:shd w:val="clear" w:color="000000" w:fill="75F6F9"/>
            <w:noWrap/>
            <w:vAlign w:val="center"/>
            <w:hideMark/>
          </w:tcPr>
          <w:p w14:paraId="1F1A344E"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 xml:space="preserve">  296.872 </w:t>
            </w:r>
          </w:p>
        </w:tc>
        <w:tc>
          <w:tcPr>
            <w:tcW w:w="389" w:type="pct"/>
            <w:tcBorders>
              <w:top w:val="nil"/>
              <w:left w:val="nil"/>
              <w:bottom w:val="nil"/>
              <w:right w:val="nil"/>
            </w:tcBorders>
            <w:shd w:val="clear" w:color="000000" w:fill="75F6F9"/>
            <w:noWrap/>
            <w:vAlign w:val="center"/>
            <w:hideMark/>
          </w:tcPr>
          <w:p w14:paraId="4B5544BE"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 xml:space="preserve">  255.455 </w:t>
            </w:r>
          </w:p>
        </w:tc>
        <w:tc>
          <w:tcPr>
            <w:tcW w:w="75" w:type="pct"/>
            <w:tcBorders>
              <w:top w:val="nil"/>
              <w:left w:val="nil"/>
              <w:bottom w:val="nil"/>
              <w:right w:val="nil"/>
            </w:tcBorders>
            <w:shd w:val="clear" w:color="auto" w:fill="auto"/>
            <w:noWrap/>
            <w:vAlign w:val="bottom"/>
            <w:hideMark/>
          </w:tcPr>
          <w:p w14:paraId="213B048B"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p>
        </w:tc>
        <w:tc>
          <w:tcPr>
            <w:tcW w:w="323" w:type="pct"/>
            <w:tcBorders>
              <w:top w:val="nil"/>
              <w:left w:val="nil"/>
              <w:bottom w:val="nil"/>
              <w:right w:val="nil"/>
            </w:tcBorders>
            <w:shd w:val="clear" w:color="000000" w:fill="75F6F9"/>
            <w:vAlign w:val="center"/>
            <w:hideMark/>
          </w:tcPr>
          <w:p w14:paraId="702A01F7"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16,2%</w:t>
            </w:r>
          </w:p>
        </w:tc>
      </w:tr>
      <w:tr w:rsidR="00AA1F87" w:rsidRPr="00AA1F87" w14:paraId="3070A102" w14:textId="77777777" w:rsidTr="00AA1F87">
        <w:trPr>
          <w:trHeight w:val="227"/>
        </w:trPr>
        <w:tc>
          <w:tcPr>
            <w:tcW w:w="1796" w:type="pct"/>
            <w:tcBorders>
              <w:top w:val="nil"/>
              <w:left w:val="nil"/>
              <w:bottom w:val="nil"/>
              <w:right w:val="nil"/>
            </w:tcBorders>
            <w:shd w:val="clear" w:color="auto" w:fill="auto"/>
            <w:noWrap/>
            <w:vAlign w:val="center"/>
            <w:hideMark/>
          </w:tcPr>
          <w:p w14:paraId="379A4FC8" w14:textId="77777777" w:rsidR="00AA1F87" w:rsidRPr="00AA1F87" w:rsidRDefault="00AA1F87" w:rsidP="00AA1F87">
            <w:pPr>
              <w:spacing w:after="0" w:line="240" w:lineRule="auto"/>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 xml:space="preserve">Outras Despesas Operacionais </w:t>
            </w:r>
          </w:p>
        </w:tc>
        <w:tc>
          <w:tcPr>
            <w:tcW w:w="348" w:type="pct"/>
            <w:tcBorders>
              <w:top w:val="nil"/>
              <w:left w:val="nil"/>
              <w:bottom w:val="nil"/>
              <w:right w:val="nil"/>
            </w:tcBorders>
            <w:shd w:val="clear" w:color="000000" w:fill="D9E1F2"/>
            <w:noWrap/>
            <w:vAlign w:val="center"/>
            <w:hideMark/>
          </w:tcPr>
          <w:p w14:paraId="35F37F6D"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w:t>
            </w:r>
          </w:p>
        </w:tc>
        <w:tc>
          <w:tcPr>
            <w:tcW w:w="348" w:type="pct"/>
            <w:tcBorders>
              <w:top w:val="nil"/>
              <w:left w:val="nil"/>
              <w:bottom w:val="nil"/>
              <w:right w:val="nil"/>
            </w:tcBorders>
            <w:shd w:val="clear" w:color="auto" w:fill="auto"/>
            <w:noWrap/>
            <w:vAlign w:val="bottom"/>
            <w:hideMark/>
          </w:tcPr>
          <w:p w14:paraId="596C5548"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89" w:type="pct"/>
            <w:tcBorders>
              <w:top w:val="nil"/>
              <w:left w:val="nil"/>
              <w:bottom w:val="nil"/>
              <w:right w:val="nil"/>
            </w:tcBorders>
            <w:shd w:val="clear" w:color="auto" w:fill="auto"/>
            <w:noWrap/>
            <w:vAlign w:val="bottom"/>
            <w:hideMark/>
          </w:tcPr>
          <w:p w14:paraId="2C109F72"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75" w:type="pct"/>
            <w:tcBorders>
              <w:top w:val="nil"/>
              <w:left w:val="nil"/>
              <w:bottom w:val="nil"/>
              <w:right w:val="nil"/>
            </w:tcBorders>
            <w:shd w:val="clear" w:color="auto" w:fill="auto"/>
            <w:noWrap/>
            <w:vAlign w:val="bottom"/>
            <w:hideMark/>
          </w:tcPr>
          <w:p w14:paraId="14C1AEA9"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364" w:type="pct"/>
            <w:tcBorders>
              <w:top w:val="nil"/>
              <w:left w:val="nil"/>
              <w:bottom w:val="nil"/>
              <w:right w:val="nil"/>
            </w:tcBorders>
            <w:shd w:val="clear" w:color="auto" w:fill="auto"/>
            <w:vAlign w:val="center"/>
            <w:hideMark/>
          </w:tcPr>
          <w:p w14:paraId="65563F7E"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 xml:space="preserve"> </w:t>
            </w:r>
          </w:p>
        </w:tc>
        <w:tc>
          <w:tcPr>
            <w:tcW w:w="430" w:type="pct"/>
            <w:tcBorders>
              <w:top w:val="nil"/>
              <w:left w:val="nil"/>
              <w:bottom w:val="nil"/>
              <w:right w:val="nil"/>
            </w:tcBorders>
            <w:shd w:val="clear" w:color="auto" w:fill="auto"/>
            <w:vAlign w:val="center"/>
            <w:hideMark/>
          </w:tcPr>
          <w:p w14:paraId="38CEA428"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 xml:space="preserve"> </w:t>
            </w:r>
          </w:p>
        </w:tc>
        <w:tc>
          <w:tcPr>
            <w:tcW w:w="75" w:type="pct"/>
            <w:tcBorders>
              <w:top w:val="nil"/>
              <w:left w:val="nil"/>
              <w:bottom w:val="nil"/>
              <w:right w:val="nil"/>
            </w:tcBorders>
            <w:shd w:val="clear" w:color="auto" w:fill="auto"/>
            <w:noWrap/>
            <w:vAlign w:val="bottom"/>
            <w:hideMark/>
          </w:tcPr>
          <w:p w14:paraId="6A7C7522"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p>
        </w:tc>
        <w:tc>
          <w:tcPr>
            <w:tcW w:w="389" w:type="pct"/>
            <w:tcBorders>
              <w:top w:val="nil"/>
              <w:left w:val="nil"/>
              <w:bottom w:val="nil"/>
              <w:right w:val="nil"/>
            </w:tcBorders>
            <w:shd w:val="clear" w:color="000000" w:fill="D9E1F2"/>
            <w:noWrap/>
            <w:vAlign w:val="center"/>
            <w:hideMark/>
          </w:tcPr>
          <w:p w14:paraId="43A69B0D"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w:t>
            </w:r>
          </w:p>
        </w:tc>
        <w:tc>
          <w:tcPr>
            <w:tcW w:w="389" w:type="pct"/>
            <w:tcBorders>
              <w:top w:val="nil"/>
              <w:left w:val="nil"/>
              <w:bottom w:val="nil"/>
              <w:right w:val="nil"/>
            </w:tcBorders>
            <w:shd w:val="clear" w:color="auto" w:fill="auto"/>
            <w:noWrap/>
            <w:vAlign w:val="bottom"/>
            <w:hideMark/>
          </w:tcPr>
          <w:p w14:paraId="69972BAB"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75" w:type="pct"/>
            <w:tcBorders>
              <w:top w:val="nil"/>
              <w:left w:val="nil"/>
              <w:bottom w:val="nil"/>
              <w:right w:val="nil"/>
            </w:tcBorders>
            <w:shd w:val="clear" w:color="auto" w:fill="auto"/>
            <w:noWrap/>
            <w:vAlign w:val="bottom"/>
            <w:hideMark/>
          </w:tcPr>
          <w:p w14:paraId="6773392D"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323" w:type="pct"/>
            <w:tcBorders>
              <w:top w:val="nil"/>
              <w:left w:val="nil"/>
              <w:bottom w:val="nil"/>
              <w:right w:val="nil"/>
            </w:tcBorders>
            <w:shd w:val="clear" w:color="auto" w:fill="auto"/>
            <w:noWrap/>
            <w:vAlign w:val="bottom"/>
            <w:hideMark/>
          </w:tcPr>
          <w:p w14:paraId="4A656F6E"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r>
      <w:tr w:rsidR="00AA1F87" w:rsidRPr="00AA1F87" w14:paraId="22B01300" w14:textId="77777777" w:rsidTr="00AA1F87">
        <w:trPr>
          <w:trHeight w:val="227"/>
        </w:trPr>
        <w:tc>
          <w:tcPr>
            <w:tcW w:w="1796" w:type="pct"/>
            <w:tcBorders>
              <w:top w:val="nil"/>
              <w:left w:val="nil"/>
              <w:bottom w:val="nil"/>
              <w:right w:val="nil"/>
            </w:tcBorders>
            <w:shd w:val="clear" w:color="auto" w:fill="auto"/>
            <w:noWrap/>
            <w:vAlign w:val="center"/>
            <w:hideMark/>
          </w:tcPr>
          <w:p w14:paraId="6BDD9F98" w14:textId="77777777" w:rsidR="00AA1F87" w:rsidRPr="00AA1F87" w:rsidRDefault="00AA1F87" w:rsidP="00AA1F87">
            <w:pPr>
              <w:spacing w:after="0" w:line="240" w:lineRule="auto"/>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Multas sobre Contas a Receber – Contratos (</w:t>
            </w:r>
            <w:proofErr w:type="spellStart"/>
            <w:r w:rsidRPr="00AA1F87">
              <w:rPr>
                <w:rFonts w:ascii="Arial" w:eastAsia="Times New Roman" w:hAnsi="Arial" w:cs="Arial"/>
                <w:color w:val="000000"/>
                <w:kern w:val="0"/>
                <w:sz w:val="15"/>
                <w:szCs w:val="15"/>
                <w:lang w:eastAsia="pt-BR"/>
                <w14:ligatures w14:val="none"/>
              </w:rPr>
              <w:t>iii</w:t>
            </w:r>
            <w:proofErr w:type="spellEnd"/>
            <w:r w:rsidRPr="00AA1F87">
              <w:rPr>
                <w:rFonts w:ascii="Arial" w:eastAsia="Times New Roman" w:hAnsi="Arial" w:cs="Arial"/>
                <w:color w:val="000000"/>
                <w:kern w:val="0"/>
                <w:sz w:val="15"/>
                <w:szCs w:val="15"/>
                <w:lang w:eastAsia="pt-BR"/>
                <w14:ligatures w14:val="none"/>
              </w:rPr>
              <w:t>)</w:t>
            </w:r>
          </w:p>
        </w:tc>
        <w:tc>
          <w:tcPr>
            <w:tcW w:w="348" w:type="pct"/>
            <w:tcBorders>
              <w:top w:val="nil"/>
              <w:left w:val="nil"/>
              <w:bottom w:val="nil"/>
              <w:right w:val="nil"/>
            </w:tcBorders>
            <w:shd w:val="clear" w:color="000000" w:fill="D9E1F2"/>
            <w:noWrap/>
            <w:vAlign w:val="center"/>
            <w:hideMark/>
          </w:tcPr>
          <w:p w14:paraId="30406A34"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44 </w:t>
            </w:r>
          </w:p>
        </w:tc>
        <w:tc>
          <w:tcPr>
            <w:tcW w:w="348" w:type="pct"/>
            <w:tcBorders>
              <w:top w:val="nil"/>
              <w:left w:val="nil"/>
              <w:bottom w:val="nil"/>
              <w:right w:val="nil"/>
            </w:tcBorders>
            <w:shd w:val="clear" w:color="auto" w:fill="auto"/>
            <w:noWrap/>
            <w:vAlign w:val="center"/>
            <w:hideMark/>
          </w:tcPr>
          <w:p w14:paraId="32371A98"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   </w:t>
            </w:r>
          </w:p>
        </w:tc>
        <w:tc>
          <w:tcPr>
            <w:tcW w:w="389" w:type="pct"/>
            <w:tcBorders>
              <w:top w:val="nil"/>
              <w:left w:val="nil"/>
              <w:bottom w:val="nil"/>
              <w:right w:val="nil"/>
            </w:tcBorders>
            <w:shd w:val="clear" w:color="auto" w:fill="auto"/>
            <w:noWrap/>
            <w:vAlign w:val="center"/>
            <w:hideMark/>
          </w:tcPr>
          <w:p w14:paraId="0703FA8F"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(39.396)</w:t>
            </w:r>
          </w:p>
        </w:tc>
        <w:tc>
          <w:tcPr>
            <w:tcW w:w="75" w:type="pct"/>
            <w:tcBorders>
              <w:top w:val="nil"/>
              <w:left w:val="nil"/>
              <w:bottom w:val="nil"/>
              <w:right w:val="nil"/>
            </w:tcBorders>
            <w:shd w:val="clear" w:color="auto" w:fill="auto"/>
            <w:noWrap/>
            <w:vAlign w:val="bottom"/>
            <w:hideMark/>
          </w:tcPr>
          <w:p w14:paraId="3EB00269"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64" w:type="pct"/>
            <w:tcBorders>
              <w:top w:val="nil"/>
              <w:left w:val="nil"/>
              <w:bottom w:val="nil"/>
              <w:right w:val="nil"/>
            </w:tcBorders>
            <w:shd w:val="clear" w:color="auto" w:fill="auto"/>
            <w:vAlign w:val="center"/>
            <w:hideMark/>
          </w:tcPr>
          <w:p w14:paraId="01595469"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100,0%</w:t>
            </w:r>
          </w:p>
        </w:tc>
        <w:tc>
          <w:tcPr>
            <w:tcW w:w="430" w:type="pct"/>
            <w:tcBorders>
              <w:top w:val="nil"/>
              <w:left w:val="nil"/>
              <w:bottom w:val="nil"/>
              <w:right w:val="nil"/>
            </w:tcBorders>
            <w:shd w:val="clear" w:color="auto" w:fill="auto"/>
            <w:vAlign w:val="center"/>
            <w:hideMark/>
          </w:tcPr>
          <w:p w14:paraId="5B07E096"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-100,1%</w:t>
            </w:r>
          </w:p>
        </w:tc>
        <w:tc>
          <w:tcPr>
            <w:tcW w:w="75" w:type="pct"/>
            <w:tcBorders>
              <w:top w:val="nil"/>
              <w:left w:val="nil"/>
              <w:bottom w:val="nil"/>
              <w:right w:val="nil"/>
            </w:tcBorders>
            <w:shd w:val="clear" w:color="auto" w:fill="auto"/>
            <w:noWrap/>
            <w:vAlign w:val="bottom"/>
            <w:hideMark/>
          </w:tcPr>
          <w:p w14:paraId="583FCD48"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89" w:type="pct"/>
            <w:tcBorders>
              <w:top w:val="nil"/>
              <w:left w:val="nil"/>
              <w:bottom w:val="nil"/>
              <w:right w:val="nil"/>
            </w:tcBorders>
            <w:shd w:val="clear" w:color="000000" w:fill="D9E1F2"/>
            <w:noWrap/>
            <w:vAlign w:val="center"/>
            <w:hideMark/>
          </w:tcPr>
          <w:p w14:paraId="22B332F4"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(40.034)</w:t>
            </w:r>
          </w:p>
        </w:tc>
        <w:tc>
          <w:tcPr>
            <w:tcW w:w="389" w:type="pct"/>
            <w:tcBorders>
              <w:top w:val="nil"/>
              <w:left w:val="nil"/>
              <w:bottom w:val="nil"/>
              <w:right w:val="nil"/>
            </w:tcBorders>
            <w:shd w:val="clear" w:color="auto" w:fill="auto"/>
            <w:noWrap/>
            <w:vAlign w:val="center"/>
            <w:hideMark/>
          </w:tcPr>
          <w:p w14:paraId="4FB66E6A"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   </w:t>
            </w:r>
          </w:p>
        </w:tc>
        <w:tc>
          <w:tcPr>
            <w:tcW w:w="75" w:type="pct"/>
            <w:tcBorders>
              <w:top w:val="nil"/>
              <w:left w:val="nil"/>
              <w:bottom w:val="nil"/>
              <w:right w:val="nil"/>
            </w:tcBorders>
            <w:shd w:val="clear" w:color="auto" w:fill="auto"/>
            <w:noWrap/>
            <w:vAlign w:val="bottom"/>
            <w:hideMark/>
          </w:tcPr>
          <w:p w14:paraId="24B6C60E"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23" w:type="pct"/>
            <w:tcBorders>
              <w:top w:val="nil"/>
              <w:left w:val="nil"/>
              <w:bottom w:val="nil"/>
              <w:right w:val="nil"/>
            </w:tcBorders>
            <w:shd w:val="clear" w:color="auto" w:fill="auto"/>
            <w:noWrap/>
            <w:vAlign w:val="center"/>
            <w:hideMark/>
          </w:tcPr>
          <w:p w14:paraId="12D8CFFF"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100,0%</w:t>
            </w:r>
          </w:p>
        </w:tc>
      </w:tr>
      <w:tr w:rsidR="00AA1F87" w:rsidRPr="00AA1F87" w14:paraId="0A1AD502" w14:textId="77777777" w:rsidTr="00AA1F87">
        <w:trPr>
          <w:trHeight w:val="227"/>
        </w:trPr>
        <w:tc>
          <w:tcPr>
            <w:tcW w:w="1796" w:type="pct"/>
            <w:tcBorders>
              <w:top w:val="nil"/>
              <w:left w:val="nil"/>
              <w:bottom w:val="nil"/>
              <w:right w:val="nil"/>
            </w:tcBorders>
            <w:shd w:val="clear" w:color="auto" w:fill="auto"/>
            <w:noWrap/>
            <w:vAlign w:val="center"/>
            <w:hideMark/>
          </w:tcPr>
          <w:p w14:paraId="57D5A4AA" w14:textId="77777777" w:rsidR="00AA1F87" w:rsidRPr="00AA1F87" w:rsidRDefault="00AA1F87" w:rsidP="00AA1F87">
            <w:pPr>
              <w:spacing w:after="0" w:line="240" w:lineRule="auto"/>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Tributos</w:t>
            </w:r>
          </w:p>
        </w:tc>
        <w:tc>
          <w:tcPr>
            <w:tcW w:w="348" w:type="pct"/>
            <w:tcBorders>
              <w:top w:val="nil"/>
              <w:left w:val="nil"/>
              <w:bottom w:val="nil"/>
              <w:right w:val="nil"/>
            </w:tcBorders>
            <w:shd w:val="clear" w:color="000000" w:fill="D9E1F2"/>
            <w:noWrap/>
            <w:vAlign w:val="center"/>
            <w:hideMark/>
          </w:tcPr>
          <w:p w14:paraId="3A1AFA68"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(2.013)</w:t>
            </w:r>
          </w:p>
        </w:tc>
        <w:tc>
          <w:tcPr>
            <w:tcW w:w="348" w:type="pct"/>
            <w:tcBorders>
              <w:top w:val="nil"/>
              <w:left w:val="nil"/>
              <w:bottom w:val="nil"/>
              <w:right w:val="nil"/>
            </w:tcBorders>
            <w:shd w:val="clear" w:color="auto" w:fill="auto"/>
            <w:noWrap/>
            <w:vAlign w:val="center"/>
            <w:hideMark/>
          </w:tcPr>
          <w:p w14:paraId="380529CB"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(1.055)</w:t>
            </w:r>
          </w:p>
        </w:tc>
        <w:tc>
          <w:tcPr>
            <w:tcW w:w="389" w:type="pct"/>
            <w:tcBorders>
              <w:top w:val="nil"/>
              <w:left w:val="nil"/>
              <w:bottom w:val="nil"/>
              <w:right w:val="nil"/>
            </w:tcBorders>
            <w:shd w:val="clear" w:color="auto" w:fill="auto"/>
            <w:noWrap/>
            <w:vAlign w:val="center"/>
            <w:hideMark/>
          </w:tcPr>
          <w:p w14:paraId="39212B8F"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(1.215)</w:t>
            </w:r>
          </w:p>
        </w:tc>
        <w:tc>
          <w:tcPr>
            <w:tcW w:w="75" w:type="pct"/>
            <w:tcBorders>
              <w:top w:val="nil"/>
              <w:left w:val="nil"/>
              <w:bottom w:val="nil"/>
              <w:right w:val="nil"/>
            </w:tcBorders>
            <w:shd w:val="clear" w:color="auto" w:fill="auto"/>
            <w:noWrap/>
            <w:vAlign w:val="bottom"/>
            <w:hideMark/>
          </w:tcPr>
          <w:p w14:paraId="4890EC7C"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64" w:type="pct"/>
            <w:tcBorders>
              <w:top w:val="nil"/>
              <w:left w:val="nil"/>
              <w:bottom w:val="nil"/>
              <w:right w:val="nil"/>
            </w:tcBorders>
            <w:shd w:val="clear" w:color="auto" w:fill="auto"/>
            <w:vAlign w:val="center"/>
            <w:hideMark/>
          </w:tcPr>
          <w:p w14:paraId="7ACD1B39"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90,8%</w:t>
            </w:r>
          </w:p>
        </w:tc>
        <w:tc>
          <w:tcPr>
            <w:tcW w:w="430" w:type="pct"/>
            <w:tcBorders>
              <w:top w:val="nil"/>
              <w:left w:val="nil"/>
              <w:bottom w:val="nil"/>
              <w:right w:val="nil"/>
            </w:tcBorders>
            <w:shd w:val="clear" w:color="auto" w:fill="auto"/>
            <w:vAlign w:val="center"/>
            <w:hideMark/>
          </w:tcPr>
          <w:p w14:paraId="299A532B"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65,7%</w:t>
            </w:r>
          </w:p>
        </w:tc>
        <w:tc>
          <w:tcPr>
            <w:tcW w:w="75" w:type="pct"/>
            <w:tcBorders>
              <w:top w:val="nil"/>
              <w:left w:val="nil"/>
              <w:bottom w:val="nil"/>
              <w:right w:val="nil"/>
            </w:tcBorders>
            <w:shd w:val="clear" w:color="auto" w:fill="auto"/>
            <w:noWrap/>
            <w:vAlign w:val="bottom"/>
            <w:hideMark/>
          </w:tcPr>
          <w:p w14:paraId="20755D08"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89" w:type="pct"/>
            <w:tcBorders>
              <w:top w:val="nil"/>
              <w:left w:val="nil"/>
              <w:bottom w:val="nil"/>
              <w:right w:val="nil"/>
            </w:tcBorders>
            <w:shd w:val="clear" w:color="000000" w:fill="D9E1F2"/>
            <w:noWrap/>
            <w:vAlign w:val="center"/>
            <w:hideMark/>
          </w:tcPr>
          <w:p w14:paraId="517ECF87"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(10.835)</w:t>
            </w:r>
          </w:p>
        </w:tc>
        <w:tc>
          <w:tcPr>
            <w:tcW w:w="389" w:type="pct"/>
            <w:tcBorders>
              <w:top w:val="nil"/>
              <w:left w:val="nil"/>
              <w:bottom w:val="nil"/>
              <w:right w:val="nil"/>
            </w:tcBorders>
            <w:shd w:val="clear" w:color="auto" w:fill="auto"/>
            <w:noWrap/>
            <w:vAlign w:val="center"/>
            <w:hideMark/>
          </w:tcPr>
          <w:p w14:paraId="08EC3CCC"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(5.397)</w:t>
            </w:r>
          </w:p>
        </w:tc>
        <w:tc>
          <w:tcPr>
            <w:tcW w:w="75" w:type="pct"/>
            <w:tcBorders>
              <w:top w:val="nil"/>
              <w:left w:val="nil"/>
              <w:bottom w:val="nil"/>
              <w:right w:val="nil"/>
            </w:tcBorders>
            <w:shd w:val="clear" w:color="auto" w:fill="auto"/>
            <w:noWrap/>
            <w:vAlign w:val="bottom"/>
            <w:hideMark/>
          </w:tcPr>
          <w:p w14:paraId="69E50DE9"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23" w:type="pct"/>
            <w:tcBorders>
              <w:top w:val="nil"/>
              <w:left w:val="nil"/>
              <w:bottom w:val="nil"/>
              <w:right w:val="nil"/>
            </w:tcBorders>
            <w:shd w:val="clear" w:color="auto" w:fill="auto"/>
            <w:noWrap/>
            <w:vAlign w:val="center"/>
            <w:hideMark/>
          </w:tcPr>
          <w:p w14:paraId="13539F81"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100,8%</w:t>
            </w:r>
          </w:p>
        </w:tc>
      </w:tr>
      <w:tr w:rsidR="00AA1F87" w:rsidRPr="00AA1F87" w14:paraId="7CBFEBAE" w14:textId="77777777" w:rsidTr="00AA1F87">
        <w:trPr>
          <w:trHeight w:val="227"/>
        </w:trPr>
        <w:tc>
          <w:tcPr>
            <w:tcW w:w="1796" w:type="pct"/>
            <w:tcBorders>
              <w:top w:val="nil"/>
              <w:left w:val="nil"/>
              <w:bottom w:val="nil"/>
              <w:right w:val="nil"/>
            </w:tcBorders>
            <w:shd w:val="clear" w:color="auto" w:fill="auto"/>
            <w:noWrap/>
            <w:vAlign w:val="center"/>
            <w:hideMark/>
          </w:tcPr>
          <w:p w14:paraId="426A6998" w14:textId="77777777" w:rsidR="00AA1F87" w:rsidRPr="00AA1F87" w:rsidRDefault="00AA1F87" w:rsidP="00AA1F87">
            <w:pPr>
              <w:spacing w:after="0" w:line="240" w:lineRule="auto"/>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Provisão p/ Riscos Trabalhistas, Cíveis, </w:t>
            </w:r>
            <w:proofErr w:type="gramStart"/>
            <w:r w:rsidRPr="00AA1F87">
              <w:rPr>
                <w:rFonts w:ascii="Arial" w:eastAsia="Times New Roman" w:hAnsi="Arial" w:cs="Arial"/>
                <w:color w:val="000000"/>
                <w:kern w:val="0"/>
                <w:sz w:val="15"/>
                <w:szCs w:val="15"/>
                <w:lang w:eastAsia="pt-BR"/>
                <w14:ligatures w14:val="none"/>
              </w:rPr>
              <w:t>Fiscais</w:t>
            </w:r>
            <w:proofErr w:type="gramEnd"/>
          </w:p>
        </w:tc>
        <w:tc>
          <w:tcPr>
            <w:tcW w:w="348" w:type="pct"/>
            <w:tcBorders>
              <w:top w:val="nil"/>
              <w:left w:val="nil"/>
              <w:bottom w:val="nil"/>
              <w:right w:val="nil"/>
            </w:tcBorders>
            <w:shd w:val="clear" w:color="000000" w:fill="D9E1F2"/>
            <w:noWrap/>
            <w:vAlign w:val="center"/>
            <w:hideMark/>
          </w:tcPr>
          <w:p w14:paraId="0761CB15"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(200)</w:t>
            </w:r>
          </w:p>
        </w:tc>
        <w:tc>
          <w:tcPr>
            <w:tcW w:w="348" w:type="pct"/>
            <w:tcBorders>
              <w:top w:val="nil"/>
              <w:left w:val="nil"/>
              <w:bottom w:val="nil"/>
              <w:right w:val="nil"/>
            </w:tcBorders>
            <w:shd w:val="clear" w:color="auto" w:fill="auto"/>
            <w:noWrap/>
            <w:vAlign w:val="center"/>
            <w:hideMark/>
          </w:tcPr>
          <w:p w14:paraId="4DB89675"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(1.639)</w:t>
            </w:r>
          </w:p>
        </w:tc>
        <w:tc>
          <w:tcPr>
            <w:tcW w:w="389" w:type="pct"/>
            <w:tcBorders>
              <w:top w:val="nil"/>
              <w:left w:val="nil"/>
              <w:bottom w:val="nil"/>
              <w:right w:val="nil"/>
            </w:tcBorders>
            <w:shd w:val="clear" w:color="auto" w:fill="auto"/>
            <w:noWrap/>
            <w:vAlign w:val="center"/>
            <w:hideMark/>
          </w:tcPr>
          <w:p w14:paraId="3D70D853"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(116)</w:t>
            </w:r>
          </w:p>
        </w:tc>
        <w:tc>
          <w:tcPr>
            <w:tcW w:w="75" w:type="pct"/>
            <w:tcBorders>
              <w:top w:val="nil"/>
              <w:left w:val="nil"/>
              <w:bottom w:val="nil"/>
              <w:right w:val="nil"/>
            </w:tcBorders>
            <w:shd w:val="clear" w:color="auto" w:fill="auto"/>
            <w:noWrap/>
            <w:vAlign w:val="bottom"/>
            <w:hideMark/>
          </w:tcPr>
          <w:p w14:paraId="2D27CF7B"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64" w:type="pct"/>
            <w:tcBorders>
              <w:top w:val="nil"/>
              <w:left w:val="nil"/>
              <w:bottom w:val="nil"/>
              <w:right w:val="nil"/>
            </w:tcBorders>
            <w:shd w:val="clear" w:color="auto" w:fill="auto"/>
            <w:vAlign w:val="center"/>
            <w:hideMark/>
          </w:tcPr>
          <w:p w14:paraId="6B4F67AA"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-87,8%</w:t>
            </w:r>
          </w:p>
        </w:tc>
        <w:tc>
          <w:tcPr>
            <w:tcW w:w="430" w:type="pct"/>
            <w:tcBorders>
              <w:top w:val="nil"/>
              <w:left w:val="nil"/>
              <w:bottom w:val="nil"/>
              <w:right w:val="nil"/>
            </w:tcBorders>
            <w:shd w:val="clear" w:color="auto" w:fill="auto"/>
            <w:vAlign w:val="center"/>
            <w:hideMark/>
          </w:tcPr>
          <w:p w14:paraId="6048D79F"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72,4%</w:t>
            </w:r>
          </w:p>
        </w:tc>
        <w:tc>
          <w:tcPr>
            <w:tcW w:w="75" w:type="pct"/>
            <w:tcBorders>
              <w:top w:val="nil"/>
              <w:left w:val="nil"/>
              <w:bottom w:val="nil"/>
              <w:right w:val="nil"/>
            </w:tcBorders>
            <w:shd w:val="clear" w:color="auto" w:fill="auto"/>
            <w:noWrap/>
            <w:vAlign w:val="bottom"/>
            <w:hideMark/>
          </w:tcPr>
          <w:p w14:paraId="6584DA22"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89" w:type="pct"/>
            <w:tcBorders>
              <w:top w:val="nil"/>
              <w:left w:val="nil"/>
              <w:bottom w:val="nil"/>
              <w:right w:val="nil"/>
            </w:tcBorders>
            <w:shd w:val="clear" w:color="000000" w:fill="D9E1F2"/>
            <w:noWrap/>
            <w:vAlign w:val="center"/>
            <w:hideMark/>
          </w:tcPr>
          <w:p w14:paraId="34B12F5B"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(962)</w:t>
            </w:r>
          </w:p>
        </w:tc>
        <w:tc>
          <w:tcPr>
            <w:tcW w:w="389" w:type="pct"/>
            <w:tcBorders>
              <w:top w:val="nil"/>
              <w:left w:val="nil"/>
              <w:bottom w:val="nil"/>
              <w:right w:val="nil"/>
            </w:tcBorders>
            <w:shd w:val="clear" w:color="auto" w:fill="auto"/>
            <w:noWrap/>
            <w:vAlign w:val="center"/>
            <w:hideMark/>
          </w:tcPr>
          <w:p w14:paraId="0C728A35"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(5.189)</w:t>
            </w:r>
          </w:p>
        </w:tc>
        <w:tc>
          <w:tcPr>
            <w:tcW w:w="75" w:type="pct"/>
            <w:tcBorders>
              <w:top w:val="nil"/>
              <w:left w:val="nil"/>
              <w:bottom w:val="nil"/>
              <w:right w:val="nil"/>
            </w:tcBorders>
            <w:shd w:val="clear" w:color="auto" w:fill="auto"/>
            <w:noWrap/>
            <w:vAlign w:val="bottom"/>
            <w:hideMark/>
          </w:tcPr>
          <w:p w14:paraId="212CC60F"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23" w:type="pct"/>
            <w:tcBorders>
              <w:top w:val="nil"/>
              <w:left w:val="nil"/>
              <w:bottom w:val="nil"/>
              <w:right w:val="nil"/>
            </w:tcBorders>
            <w:shd w:val="clear" w:color="auto" w:fill="auto"/>
            <w:noWrap/>
            <w:vAlign w:val="center"/>
            <w:hideMark/>
          </w:tcPr>
          <w:p w14:paraId="4DB6E6C5"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-81,5%</w:t>
            </w:r>
          </w:p>
        </w:tc>
      </w:tr>
      <w:tr w:rsidR="00AA1F87" w:rsidRPr="00AA1F87" w14:paraId="1028D11F" w14:textId="77777777" w:rsidTr="00AA1F87">
        <w:trPr>
          <w:trHeight w:val="227"/>
        </w:trPr>
        <w:tc>
          <w:tcPr>
            <w:tcW w:w="1796" w:type="pct"/>
            <w:tcBorders>
              <w:top w:val="nil"/>
              <w:left w:val="nil"/>
              <w:bottom w:val="nil"/>
              <w:right w:val="nil"/>
            </w:tcBorders>
            <w:shd w:val="clear" w:color="auto" w:fill="auto"/>
            <w:noWrap/>
            <w:vAlign w:val="center"/>
            <w:hideMark/>
          </w:tcPr>
          <w:p w14:paraId="69C1636D" w14:textId="77777777" w:rsidR="00AA1F87" w:rsidRPr="00AA1F87" w:rsidRDefault="00AA1F87" w:rsidP="00AA1F87">
            <w:pPr>
              <w:spacing w:after="0" w:line="240" w:lineRule="auto"/>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Baixa de Bens do Ativo Imobilizado (</w:t>
            </w:r>
            <w:proofErr w:type="spellStart"/>
            <w:r w:rsidRPr="00AA1F87">
              <w:rPr>
                <w:rFonts w:ascii="Arial" w:eastAsia="Times New Roman" w:hAnsi="Arial" w:cs="Arial"/>
                <w:color w:val="000000"/>
                <w:kern w:val="0"/>
                <w:sz w:val="15"/>
                <w:szCs w:val="15"/>
                <w:lang w:eastAsia="pt-BR"/>
                <w14:ligatures w14:val="none"/>
              </w:rPr>
              <w:t>iv</w:t>
            </w:r>
            <w:proofErr w:type="spellEnd"/>
            <w:r w:rsidRPr="00AA1F87">
              <w:rPr>
                <w:rFonts w:ascii="Arial" w:eastAsia="Times New Roman" w:hAnsi="Arial" w:cs="Arial"/>
                <w:color w:val="000000"/>
                <w:kern w:val="0"/>
                <w:sz w:val="15"/>
                <w:szCs w:val="15"/>
                <w:lang w:eastAsia="pt-BR"/>
                <w14:ligatures w14:val="none"/>
              </w:rPr>
              <w:t>)</w:t>
            </w:r>
          </w:p>
        </w:tc>
        <w:tc>
          <w:tcPr>
            <w:tcW w:w="348" w:type="pct"/>
            <w:tcBorders>
              <w:top w:val="nil"/>
              <w:left w:val="nil"/>
              <w:bottom w:val="nil"/>
              <w:right w:val="nil"/>
            </w:tcBorders>
            <w:shd w:val="clear" w:color="000000" w:fill="D9E1F2"/>
            <w:noWrap/>
            <w:vAlign w:val="center"/>
            <w:hideMark/>
          </w:tcPr>
          <w:p w14:paraId="3B10381F"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   </w:t>
            </w:r>
          </w:p>
        </w:tc>
        <w:tc>
          <w:tcPr>
            <w:tcW w:w="348" w:type="pct"/>
            <w:tcBorders>
              <w:top w:val="nil"/>
              <w:left w:val="nil"/>
              <w:bottom w:val="nil"/>
              <w:right w:val="nil"/>
            </w:tcBorders>
            <w:shd w:val="clear" w:color="auto" w:fill="auto"/>
            <w:noWrap/>
            <w:vAlign w:val="center"/>
            <w:hideMark/>
          </w:tcPr>
          <w:p w14:paraId="7845C9D6"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   </w:t>
            </w:r>
          </w:p>
        </w:tc>
        <w:tc>
          <w:tcPr>
            <w:tcW w:w="389" w:type="pct"/>
            <w:tcBorders>
              <w:top w:val="nil"/>
              <w:left w:val="nil"/>
              <w:bottom w:val="nil"/>
              <w:right w:val="nil"/>
            </w:tcBorders>
            <w:shd w:val="clear" w:color="auto" w:fill="auto"/>
            <w:noWrap/>
            <w:vAlign w:val="center"/>
            <w:hideMark/>
          </w:tcPr>
          <w:p w14:paraId="285D0902"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(383)</w:t>
            </w:r>
          </w:p>
        </w:tc>
        <w:tc>
          <w:tcPr>
            <w:tcW w:w="75" w:type="pct"/>
            <w:tcBorders>
              <w:top w:val="nil"/>
              <w:left w:val="nil"/>
              <w:bottom w:val="nil"/>
              <w:right w:val="nil"/>
            </w:tcBorders>
            <w:shd w:val="clear" w:color="auto" w:fill="auto"/>
            <w:noWrap/>
            <w:vAlign w:val="bottom"/>
            <w:hideMark/>
          </w:tcPr>
          <w:p w14:paraId="142F6BB8"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64" w:type="pct"/>
            <w:tcBorders>
              <w:top w:val="nil"/>
              <w:left w:val="nil"/>
              <w:bottom w:val="nil"/>
              <w:right w:val="nil"/>
            </w:tcBorders>
            <w:shd w:val="clear" w:color="auto" w:fill="auto"/>
            <w:vAlign w:val="center"/>
            <w:hideMark/>
          </w:tcPr>
          <w:p w14:paraId="7A442B16"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w:t>
            </w:r>
          </w:p>
        </w:tc>
        <w:tc>
          <w:tcPr>
            <w:tcW w:w="430" w:type="pct"/>
            <w:tcBorders>
              <w:top w:val="nil"/>
              <w:left w:val="nil"/>
              <w:bottom w:val="nil"/>
              <w:right w:val="nil"/>
            </w:tcBorders>
            <w:shd w:val="clear" w:color="auto" w:fill="auto"/>
            <w:vAlign w:val="center"/>
            <w:hideMark/>
          </w:tcPr>
          <w:p w14:paraId="2435E281"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-100,0%</w:t>
            </w:r>
          </w:p>
        </w:tc>
        <w:tc>
          <w:tcPr>
            <w:tcW w:w="75" w:type="pct"/>
            <w:tcBorders>
              <w:top w:val="nil"/>
              <w:left w:val="nil"/>
              <w:bottom w:val="nil"/>
              <w:right w:val="nil"/>
            </w:tcBorders>
            <w:shd w:val="clear" w:color="auto" w:fill="auto"/>
            <w:noWrap/>
            <w:vAlign w:val="bottom"/>
            <w:hideMark/>
          </w:tcPr>
          <w:p w14:paraId="423F3DEA"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89" w:type="pct"/>
            <w:tcBorders>
              <w:top w:val="nil"/>
              <w:left w:val="nil"/>
              <w:bottom w:val="nil"/>
              <w:right w:val="nil"/>
            </w:tcBorders>
            <w:shd w:val="clear" w:color="000000" w:fill="D9E1F2"/>
            <w:noWrap/>
            <w:vAlign w:val="center"/>
            <w:hideMark/>
          </w:tcPr>
          <w:p w14:paraId="0F3705B0"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(383)</w:t>
            </w:r>
          </w:p>
        </w:tc>
        <w:tc>
          <w:tcPr>
            <w:tcW w:w="389" w:type="pct"/>
            <w:tcBorders>
              <w:top w:val="nil"/>
              <w:left w:val="nil"/>
              <w:bottom w:val="nil"/>
              <w:right w:val="nil"/>
            </w:tcBorders>
            <w:shd w:val="clear" w:color="auto" w:fill="auto"/>
            <w:noWrap/>
            <w:vAlign w:val="center"/>
            <w:hideMark/>
          </w:tcPr>
          <w:p w14:paraId="4CE1F5F2"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(16.643)</w:t>
            </w:r>
          </w:p>
        </w:tc>
        <w:tc>
          <w:tcPr>
            <w:tcW w:w="75" w:type="pct"/>
            <w:tcBorders>
              <w:top w:val="nil"/>
              <w:left w:val="nil"/>
              <w:bottom w:val="nil"/>
              <w:right w:val="nil"/>
            </w:tcBorders>
            <w:shd w:val="clear" w:color="auto" w:fill="auto"/>
            <w:noWrap/>
            <w:vAlign w:val="bottom"/>
            <w:hideMark/>
          </w:tcPr>
          <w:p w14:paraId="13A529EC"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23" w:type="pct"/>
            <w:tcBorders>
              <w:top w:val="nil"/>
              <w:left w:val="nil"/>
              <w:bottom w:val="nil"/>
              <w:right w:val="nil"/>
            </w:tcBorders>
            <w:shd w:val="clear" w:color="auto" w:fill="auto"/>
            <w:noWrap/>
            <w:vAlign w:val="center"/>
            <w:hideMark/>
          </w:tcPr>
          <w:p w14:paraId="4245F084"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-97,7%</w:t>
            </w:r>
          </w:p>
        </w:tc>
      </w:tr>
      <w:tr w:rsidR="00AA1F87" w:rsidRPr="00AA1F87" w14:paraId="0EF46CE7" w14:textId="77777777" w:rsidTr="00AA1F87">
        <w:trPr>
          <w:trHeight w:val="227"/>
        </w:trPr>
        <w:tc>
          <w:tcPr>
            <w:tcW w:w="1796" w:type="pct"/>
            <w:tcBorders>
              <w:top w:val="nil"/>
              <w:left w:val="nil"/>
              <w:bottom w:val="nil"/>
              <w:right w:val="nil"/>
            </w:tcBorders>
            <w:shd w:val="clear" w:color="auto" w:fill="auto"/>
            <w:noWrap/>
            <w:vAlign w:val="center"/>
            <w:hideMark/>
          </w:tcPr>
          <w:p w14:paraId="08EB4B96" w14:textId="77777777" w:rsidR="00AA1F87" w:rsidRPr="00AA1F87" w:rsidRDefault="00AA1F87" w:rsidP="00AA1F87">
            <w:pPr>
              <w:spacing w:after="0" w:line="240" w:lineRule="auto"/>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Outras Despesas Operacionais </w:t>
            </w:r>
          </w:p>
        </w:tc>
        <w:tc>
          <w:tcPr>
            <w:tcW w:w="348" w:type="pct"/>
            <w:tcBorders>
              <w:top w:val="nil"/>
              <w:left w:val="nil"/>
              <w:bottom w:val="nil"/>
              <w:right w:val="nil"/>
            </w:tcBorders>
            <w:shd w:val="clear" w:color="000000" w:fill="D9E1F2"/>
            <w:noWrap/>
            <w:vAlign w:val="center"/>
            <w:hideMark/>
          </w:tcPr>
          <w:p w14:paraId="45BF6B3F"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(1.512)</w:t>
            </w:r>
          </w:p>
        </w:tc>
        <w:tc>
          <w:tcPr>
            <w:tcW w:w="348" w:type="pct"/>
            <w:tcBorders>
              <w:top w:val="nil"/>
              <w:left w:val="nil"/>
              <w:bottom w:val="nil"/>
              <w:right w:val="nil"/>
            </w:tcBorders>
            <w:shd w:val="clear" w:color="auto" w:fill="auto"/>
            <w:noWrap/>
            <w:vAlign w:val="center"/>
            <w:hideMark/>
          </w:tcPr>
          <w:p w14:paraId="5B821ABD"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(275)</w:t>
            </w:r>
          </w:p>
        </w:tc>
        <w:tc>
          <w:tcPr>
            <w:tcW w:w="389" w:type="pct"/>
            <w:tcBorders>
              <w:top w:val="nil"/>
              <w:left w:val="nil"/>
              <w:bottom w:val="nil"/>
              <w:right w:val="nil"/>
            </w:tcBorders>
            <w:shd w:val="clear" w:color="auto" w:fill="auto"/>
            <w:noWrap/>
            <w:vAlign w:val="center"/>
            <w:hideMark/>
          </w:tcPr>
          <w:p w14:paraId="2948B01C"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(973)</w:t>
            </w:r>
          </w:p>
        </w:tc>
        <w:tc>
          <w:tcPr>
            <w:tcW w:w="75" w:type="pct"/>
            <w:tcBorders>
              <w:top w:val="nil"/>
              <w:left w:val="nil"/>
              <w:bottom w:val="nil"/>
              <w:right w:val="nil"/>
            </w:tcBorders>
            <w:shd w:val="clear" w:color="auto" w:fill="auto"/>
            <w:noWrap/>
            <w:vAlign w:val="bottom"/>
            <w:hideMark/>
          </w:tcPr>
          <w:p w14:paraId="6498E7C7"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64" w:type="pct"/>
            <w:tcBorders>
              <w:top w:val="nil"/>
              <w:left w:val="nil"/>
              <w:bottom w:val="nil"/>
              <w:right w:val="nil"/>
            </w:tcBorders>
            <w:shd w:val="clear" w:color="auto" w:fill="auto"/>
            <w:vAlign w:val="center"/>
            <w:hideMark/>
          </w:tcPr>
          <w:p w14:paraId="5900B3AE"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449,8%</w:t>
            </w:r>
          </w:p>
        </w:tc>
        <w:tc>
          <w:tcPr>
            <w:tcW w:w="430" w:type="pct"/>
            <w:tcBorders>
              <w:top w:val="nil"/>
              <w:left w:val="nil"/>
              <w:bottom w:val="nil"/>
              <w:right w:val="nil"/>
            </w:tcBorders>
            <w:shd w:val="clear" w:color="auto" w:fill="auto"/>
            <w:vAlign w:val="center"/>
            <w:hideMark/>
          </w:tcPr>
          <w:p w14:paraId="0AF9F3C1"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55,4%</w:t>
            </w:r>
          </w:p>
        </w:tc>
        <w:tc>
          <w:tcPr>
            <w:tcW w:w="75" w:type="pct"/>
            <w:tcBorders>
              <w:top w:val="nil"/>
              <w:left w:val="nil"/>
              <w:bottom w:val="nil"/>
              <w:right w:val="nil"/>
            </w:tcBorders>
            <w:shd w:val="clear" w:color="auto" w:fill="auto"/>
            <w:noWrap/>
            <w:vAlign w:val="bottom"/>
            <w:hideMark/>
          </w:tcPr>
          <w:p w14:paraId="3208E8EA"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89" w:type="pct"/>
            <w:tcBorders>
              <w:top w:val="nil"/>
              <w:left w:val="nil"/>
              <w:bottom w:val="nil"/>
              <w:right w:val="nil"/>
            </w:tcBorders>
            <w:shd w:val="clear" w:color="000000" w:fill="D9E1F2"/>
            <w:noWrap/>
            <w:vAlign w:val="center"/>
            <w:hideMark/>
          </w:tcPr>
          <w:p w14:paraId="1ADC1C85"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(3.445)</w:t>
            </w:r>
          </w:p>
        </w:tc>
        <w:tc>
          <w:tcPr>
            <w:tcW w:w="389" w:type="pct"/>
            <w:tcBorders>
              <w:top w:val="nil"/>
              <w:left w:val="nil"/>
              <w:bottom w:val="nil"/>
              <w:right w:val="nil"/>
            </w:tcBorders>
            <w:shd w:val="clear" w:color="auto" w:fill="auto"/>
            <w:noWrap/>
            <w:vAlign w:val="center"/>
            <w:hideMark/>
          </w:tcPr>
          <w:p w14:paraId="093EE70C"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(1.833)</w:t>
            </w:r>
          </w:p>
        </w:tc>
        <w:tc>
          <w:tcPr>
            <w:tcW w:w="75" w:type="pct"/>
            <w:tcBorders>
              <w:top w:val="nil"/>
              <w:left w:val="nil"/>
              <w:bottom w:val="nil"/>
              <w:right w:val="nil"/>
            </w:tcBorders>
            <w:shd w:val="clear" w:color="auto" w:fill="auto"/>
            <w:noWrap/>
            <w:vAlign w:val="bottom"/>
            <w:hideMark/>
          </w:tcPr>
          <w:p w14:paraId="4D326AD6"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23" w:type="pct"/>
            <w:tcBorders>
              <w:top w:val="nil"/>
              <w:left w:val="nil"/>
              <w:bottom w:val="nil"/>
              <w:right w:val="nil"/>
            </w:tcBorders>
            <w:shd w:val="clear" w:color="auto" w:fill="auto"/>
            <w:noWrap/>
            <w:vAlign w:val="center"/>
            <w:hideMark/>
          </w:tcPr>
          <w:p w14:paraId="2239656B"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87,9%</w:t>
            </w:r>
          </w:p>
        </w:tc>
      </w:tr>
      <w:tr w:rsidR="00AA1F87" w:rsidRPr="00AA1F87" w14:paraId="168BB638" w14:textId="77777777" w:rsidTr="00AA1F87">
        <w:trPr>
          <w:trHeight w:val="227"/>
        </w:trPr>
        <w:tc>
          <w:tcPr>
            <w:tcW w:w="1796" w:type="pct"/>
            <w:tcBorders>
              <w:top w:val="nil"/>
              <w:left w:val="nil"/>
              <w:bottom w:val="nil"/>
              <w:right w:val="nil"/>
            </w:tcBorders>
            <w:shd w:val="clear" w:color="000000" w:fill="75F6F9"/>
            <w:noWrap/>
            <w:vAlign w:val="center"/>
            <w:hideMark/>
          </w:tcPr>
          <w:p w14:paraId="520281C7" w14:textId="77777777" w:rsidR="00AA1F87" w:rsidRPr="00AA1F87" w:rsidRDefault="00AA1F87" w:rsidP="00AA1F87">
            <w:pPr>
              <w:spacing w:after="0" w:line="240" w:lineRule="auto"/>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Total</w:t>
            </w:r>
          </w:p>
        </w:tc>
        <w:tc>
          <w:tcPr>
            <w:tcW w:w="348" w:type="pct"/>
            <w:tcBorders>
              <w:top w:val="nil"/>
              <w:left w:val="nil"/>
              <w:bottom w:val="nil"/>
              <w:right w:val="nil"/>
            </w:tcBorders>
            <w:shd w:val="clear" w:color="000000" w:fill="75F6F9"/>
            <w:noWrap/>
            <w:vAlign w:val="center"/>
            <w:hideMark/>
          </w:tcPr>
          <w:p w14:paraId="4539A169"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 xml:space="preserve">  (3.681)</w:t>
            </w:r>
          </w:p>
        </w:tc>
        <w:tc>
          <w:tcPr>
            <w:tcW w:w="348" w:type="pct"/>
            <w:tcBorders>
              <w:top w:val="nil"/>
              <w:left w:val="nil"/>
              <w:bottom w:val="nil"/>
              <w:right w:val="nil"/>
            </w:tcBorders>
            <w:shd w:val="clear" w:color="000000" w:fill="75F6F9"/>
            <w:noWrap/>
            <w:vAlign w:val="center"/>
            <w:hideMark/>
          </w:tcPr>
          <w:p w14:paraId="4EF2051F"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 xml:space="preserve">  (2.969)</w:t>
            </w:r>
          </w:p>
        </w:tc>
        <w:tc>
          <w:tcPr>
            <w:tcW w:w="389" w:type="pct"/>
            <w:tcBorders>
              <w:top w:val="nil"/>
              <w:left w:val="nil"/>
              <w:bottom w:val="nil"/>
              <w:right w:val="nil"/>
            </w:tcBorders>
            <w:shd w:val="clear" w:color="000000" w:fill="75F6F9"/>
            <w:noWrap/>
            <w:vAlign w:val="center"/>
            <w:hideMark/>
          </w:tcPr>
          <w:p w14:paraId="35BB5725"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 xml:space="preserve">  (42.083)</w:t>
            </w:r>
          </w:p>
        </w:tc>
        <w:tc>
          <w:tcPr>
            <w:tcW w:w="75" w:type="pct"/>
            <w:tcBorders>
              <w:top w:val="nil"/>
              <w:left w:val="nil"/>
              <w:bottom w:val="nil"/>
              <w:right w:val="nil"/>
            </w:tcBorders>
            <w:shd w:val="clear" w:color="auto" w:fill="auto"/>
            <w:noWrap/>
            <w:vAlign w:val="bottom"/>
            <w:hideMark/>
          </w:tcPr>
          <w:p w14:paraId="6F0AFAF5"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p>
        </w:tc>
        <w:tc>
          <w:tcPr>
            <w:tcW w:w="364" w:type="pct"/>
            <w:tcBorders>
              <w:top w:val="nil"/>
              <w:left w:val="nil"/>
              <w:bottom w:val="nil"/>
              <w:right w:val="nil"/>
            </w:tcBorders>
            <w:shd w:val="clear" w:color="000000" w:fill="75F6F9"/>
            <w:noWrap/>
            <w:vAlign w:val="center"/>
            <w:hideMark/>
          </w:tcPr>
          <w:p w14:paraId="134A8503"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24,0%</w:t>
            </w:r>
          </w:p>
        </w:tc>
        <w:tc>
          <w:tcPr>
            <w:tcW w:w="430" w:type="pct"/>
            <w:tcBorders>
              <w:top w:val="nil"/>
              <w:left w:val="nil"/>
              <w:bottom w:val="nil"/>
              <w:right w:val="nil"/>
            </w:tcBorders>
            <w:shd w:val="clear" w:color="000000" w:fill="75F6F9"/>
            <w:noWrap/>
            <w:vAlign w:val="center"/>
            <w:hideMark/>
          </w:tcPr>
          <w:p w14:paraId="2CDD8F3F"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-91,3%</w:t>
            </w:r>
          </w:p>
        </w:tc>
        <w:tc>
          <w:tcPr>
            <w:tcW w:w="75" w:type="pct"/>
            <w:tcBorders>
              <w:top w:val="nil"/>
              <w:left w:val="nil"/>
              <w:bottom w:val="nil"/>
              <w:right w:val="nil"/>
            </w:tcBorders>
            <w:shd w:val="clear" w:color="auto" w:fill="auto"/>
            <w:noWrap/>
            <w:vAlign w:val="bottom"/>
            <w:hideMark/>
          </w:tcPr>
          <w:p w14:paraId="4ACD1E7B"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p>
        </w:tc>
        <w:tc>
          <w:tcPr>
            <w:tcW w:w="389" w:type="pct"/>
            <w:tcBorders>
              <w:top w:val="nil"/>
              <w:left w:val="nil"/>
              <w:bottom w:val="nil"/>
              <w:right w:val="nil"/>
            </w:tcBorders>
            <w:shd w:val="clear" w:color="000000" w:fill="75F6F9"/>
            <w:noWrap/>
            <w:vAlign w:val="center"/>
            <w:hideMark/>
          </w:tcPr>
          <w:p w14:paraId="3A17302C"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 xml:space="preserve">  (55.659)</w:t>
            </w:r>
          </w:p>
        </w:tc>
        <w:tc>
          <w:tcPr>
            <w:tcW w:w="389" w:type="pct"/>
            <w:tcBorders>
              <w:top w:val="nil"/>
              <w:left w:val="nil"/>
              <w:bottom w:val="nil"/>
              <w:right w:val="nil"/>
            </w:tcBorders>
            <w:shd w:val="clear" w:color="000000" w:fill="75F6F9"/>
            <w:noWrap/>
            <w:vAlign w:val="center"/>
            <w:hideMark/>
          </w:tcPr>
          <w:p w14:paraId="269FD982"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 xml:space="preserve">  (29.062)</w:t>
            </w:r>
          </w:p>
        </w:tc>
        <w:tc>
          <w:tcPr>
            <w:tcW w:w="75" w:type="pct"/>
            <w:tcBorders>
              <w:top w:val="nil"/>
              <w:left w:val="nil"/>
              <w:bottom w:val="nil"/>
              <w:right w:val="nil"/>
            </w:tcBorders>
            <w:shd w:val="clear" w:color="auto" w:fill="auto"/>
            <w:noWrap/>
            <w:vAlign w:val="bottom"/>
            <w:hideMark/>
          </w:tcPr>
          <w:p w14:paraId="5D681BAE"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p>
        </w:tc>
        <w:tc>
          <w:tcPr>
            <w:tcW w:w="323" w:type="pct"/>
            <w:tcBorders>
              <w:top w:val="nil"/>
              <w:left w:val="nil"/>
              <w:bottom w:val="nil"/>
              <w:right w:val="nil"/>
            </w:tcBorders>
            <w:shd w:val="clear" w:color="000000" w:fill="75F6F9"/>
            <w:vAlign w:val="center"/>
            <w:hideMark/>
          </w:tcPr>
          <w:p w14:paraId="7DFAB8AD"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91,5%</w:t>
            </w:r>
          </w:p>
        </w:tc>
      </w:tr>
      <w:tr w:rsidR="00AA1F87" w:rsidRPr="00AA1F87" w14:paraId="6ABD5A32" w14:textId="77777777" w:rsidTr="00AA1F87">
        <w:trPr>
          <w:trHeight w:val="227"/>
        </w:trPr>
        <w:tc>
          <w:tcPr>
            <w:tcW w:w="1796" w:type="pct"/>
            <w:tcBorders>
              <w:top w:val="single" w:sz="8" w:space="0" w:color="D9E1F2"/>
              <w:left w:val="nil"/>
              <w:bottom w:val="nil"/>
              <w:right w:val="nil"/>
            </w:tcBorders>
            <w:shd w:val="clear" w:color="000000" w:fill="75F6F9"/>
            <w:noWrap/>
            <w:vAlign w:val="center"/>
            <w:hideMark/>
          </w:tcPr>
          <w:p w14:paraId="08DA2F14" w14:textId="77777777" w:rsidR="00AA1F87" w:rsidRPr="00AA1F87" w:rsidRDefault="00AA1F87" w:rsidP="00AA1F87">
            <w:pPr>
              <w:spacing w:after="0" w:line="240" w:lineRule="auto"/>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 xml:space="preserve">Outras Receitas/Despesas Operacionais, </w:t>
            </w:r>
            <w:proofErr w:type="gramStart"/>
            <w:r w:rsidRPr="00AA1F87">
              <w:rPr>
                <w:rFonts w:ascii="Arial" w:eastAsia="Times New Roman" w:hAnsi="Arial" w:cs="Arial"/>
                <w:b/>
                <w:bCs/>
                <w:color w:val="000000"/>
                <w:kern w:val="0"/>
                <w:sz w:val="15"/>
                <w:szCs w:val="15"/>
                <w:lang w:eastAsia="pt-BR"/>
                <w14:ligatures w14:val="none"/>
              </w:rPr>
              <w:t>Líquida</w:t>
            </w:r>
            <w:proofErr w:type="gramEnd"/>
          </w:p>
        </w:tc>
        <w:tc>
          <w:tcPr>
            <w:tcW w:w="348" w:type="pct"/>
            <w:tcBorders>
              <w:top w:val="single" w:sz="8" w:space="0" w:color="D9E1F2"/>
              <w:left w:val="nil"/>
              <w:bottom w:val="nil"/>
              <w:right w:val="nil"/>
            </w:tcBorders>
            <w:shd w:val="clear" w:color="000000" w:fill="75F6F9"/>
            <w:noWrap/>
            <w:vAlign w:val="center"/>
            <w:hideMark/>
          </w:tcPr>
          <w:p w14:paraId="354CD69A"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41.706</w:t>
            </w:r>
          </w:p>
        </w:tc>
        <w:tc>
          <w:tcPr>
            <w:tcW w:w="348" w:type="pct"/>
            <w:tcBorders>
              <w:top w:val="single" w:sz="8" w:space="0" w:color="D9E1F2"/>
              <w:left w:val="nil"/>
              <w:bottom w:val="nil"/>
              <w:right w:val="nil"/>
            </w:tcBorders>
            <w:shd w:val="clear" w:color="000000" w:fill="75F6F9"/>
            <w:noWrap/>
            <w:vAlign w:val="center"/>
            <w:hideMark/>
          </w:tcPr>
          <w:p w14:paraId="5FD19E98"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92.986</w:t>
            </w:r>
          </w:p>
        </w:tc>
        <w:tc>
          <w:tcPr>
            <w:tcW w:w="389" w:type="pct"/>
            <w:tcBorders>
              <w:top w:val="single" w:sz="8" w:space="0" w:color="D9E1F2"/>
              <w:left w:val="nil"/>
              <w:bottom w:val="nil"/>
              <w:right w:val="nil"/>
            </w:tcBorders>
            <w:shd w:val="clear" w:color="000000" w:fill="75F6F9"/>
            <w:noWrap/>
            <w:vAlign w:val="center"/>
            <w:hideMark/>
          </w:tcPr>
          <w:p w14:paraId="07BE2675"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-173</w:t>
            </w:r>
          </w:p>
        </w:tc>
        <w:tc>
          <w:tcPr>
            <w:tcW w:w="75" w:type="pct"/>
            <w:tcBorders>
              <w:top w:val="nil"/>
              <w:left w:val="nil"/>
              <w:bottom w:val="nil"/>
              <w:right w:val="nil"/>
            </w:tcBorders>
            <w:shd w:val="clear" w:color="auto" w:fill="auto"/>
            <w:noWrap/>
            <w:vAlign w:val="bottom"/>
            <w:hideMark/>
          </w:tcPr>
          <w:p w14:paraId="24D605EF"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p>
        </w:tc>
        <w:tc>
          <w:tcPr>
            <w:tcW w:w="364" w:type="pct"/>
            <w:tcBorders>
              <w:top w:val="single" w:sz="8" w:space="0" w:color="D9E1F2"/>
              <w:left w:val="nil"/>
              <w:bottom w:val="nil"/>
              <w:right w:val="nil"/>
            </w:tcBorders>
            <w:shd w:val="clear" w:color="000000" w:fill="75F6F9"/>
            <w:noWrap/>
            <w:vAlign w:val="center"/>
            <w:hideMark/>
          </w:tcPr>
          <w:p w14:paraId="41AE7AD7"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-55,1%</w:t>
            </w:r>
          </w:p>
        </w:tc>
        <w:tc>
          <w:tcPr>
            <w:tcW w:w="430" w:type="pct"/>
            <w:tcBorders>
              <w:top w:val="single" w:sz="8" w:space="0" w:color="D9E1F2"/>
              <w:left w:val="nil"/>
              <w:bottom w:val="nil"/>
              <w:right w:val="nil"/>
            </w:tcBorders>
            <w:shd w:val="clear" w:color="000000" w:fill="75F6F9"/>
            <w:noWrap/>
            <w:vAlign w:val="center"/>
            <w:hideMark/>
          </w:tcPr>
          <w:p w14:paraId="5DAB5BDA"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-24207,5%</w:t>
            </w:r>
          </w:p>
        </w:tc>
        <w:tc>
          <w:tcPr>
            <w:tcW w:w="75" w:type="pct"/>
            <w:tcBorders>
              <w:top w:val="nil"/>
              <w:left w:val="nil"/>
              <w:bottom w:val="nil"/>
              <w:right w:val="nil"/>
            </w:tcBorders>
            <w:shd w:val="clear" w:color="auto" w:fill="auto"/>
            <w:noWrap/>
            <w:vAlign w:val="bottom"/>
            <w:hideMark/>
          </w:tcPr>
          <w:p w14:paraId="11EF9A8E"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p>
        </w:tc>
        <w:tc>
          <w:tcPr>
            <w:tcW w:w="389" w:type="pct"/>
            <w:tcBorders>
              <w:top w:val="single" w:sz="8" w:space="0" w:color="D9E1F2"/>
              <w:left w:val="nil"/>
              <w:bottom w:val="nil"/>
              <w:right w:val="nil"/>
            </w:tcBorders>
            <w:shd w:val="clear" w:color="000000" w:fill="75F6F9"/>
            <w:noWrap/>
            <w:vAlign w:val="center"/>
            <w:hideMark/>
          </w:tcPr>
          <w:p w14:paraId="300903B1"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 xml:space="preserve">  241.213 </w:t>
            </w:r>
          </w:p>
        </w:tc>
        <w:tc>
          <w:tcPr>
            <w:tcW w:w="389" w:type="pct"/>
            <w:tcBorders>
              <w:top w:val="single" w:sz="8" w:space="0" w:color="D9E1F2"/>
              <w:left w:val="nil"/>
              <w:bottom w:val="nil"/>
              <w:right w:val="nil"/>
            </w:tcBorders>
            <w:shd w:val="clear" w:color="000000" w:fill="75F6F9"/>
            <w:noWrap/>
            <w:vAlign w:val="center"/>
            <w:hideMark/>
          </w:tcPr>
          <w:p w14:paraId="64DF696D"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 xml:space="preserve">  226.393 </w:t>
            </w:r>
          </w:p>
        </w:tc>
        <w:tc>
          <w:tcPr>
            <w:tcW w:w="75" w:type="pct"/>
            <w:tcBorders>
              <w:top w:val="nil"/>
              <w:left w:val="nil"/>
              <w:bottom w:val="nil"/>
              <w:right w:val="nil"/>
            </w:tcBorders>
            <w:shd w:val="clear" w:color="auto" w:fill="auto"/>
            <w:noWrap/>
            <w:vAlign w:val="bottom"/>
            <w:hideMark/>
          </w:tcPr>
          <w:p w14:paraId="69DC696A"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p>
        </w:tc>
        <w:tc>
          <w:tcPr>
            <w:tcW w:w="323" w:type="pct"/>
            <w:tcBorders>
              <w:top w:val="single" w:sz="8" w:space="0" w:color="D9E1F2"/>
              <w:left w:val="nil"/>
              <w:bottom w:val="nil"/>
              <w:right w:val="nil"/>
            </w:tcBorders>
            <w:shd w:val="clear" w:color="000000" w:fill="75F6F9"/>
            <w:noWrap/>
            <w:vAlign w:val="center"/>
            <w:hideMark/>
          </w:tcPr>
          <w:p w14:paraId="47C4FA26"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6,5%</w:t>
            </w:r>
          </w:p>
        </w:tc>
      </w:tr>
    </w:tbl>
    <w:p w14:paraId="11964C07" w14:textId="77777777" w:rsidR="00AA1F87" w:rsidRDefault="00AA1F87" w:rsidP="00AA1F87">
      <w:pPr>
        <w:spacing w:after="0" w:line="240" w:lineRule="auto"/>
        <w:jc w:val="both"/>
        <w:rPr>
          <w:rFonts w:ascii="Calibri" w:eastAsia="Times New Roman" w:hAnsi="Calibri" w:cs="Calibri"/>
          <w:color w:val="002060"/>
          <w:kern w:val="0"/>
          <w14:ligatures w14:val="none"/>
        </w:rPr>
      </w:pPr>
    </w:p>
    <w:p w14:paraId="65C416F0" w14:textId="774AF497" w:rsidR="00AA1F87" w:rsidRPr="00AA1F87" w:rsidRDefault="00AA1F87" w:rsidP="00AA1F87">
      <w:pPr>
        <w:spacing w:after="0" w:line="240" w:lineRule="auto"/>
        <w:jc w:val="both"/>
        <w:rPr>
          <w:rFonts w:ascii="Calibri" w:eastAsia="Times New Roman" w:hAnsi="Calibri" w:cs="Calibri"/>
          <w:color w:val="002060"/>
          <w:kern w:val="0"/>
          <w14:ligatures w14:val="none"/>
        </w:rPr>
      </w:pPr>
      <w:r w:rsidRPr="00AA1F87">
        <w:rPr>
          <w:rFonts w:ascii="Calibri" w:eastAsia="Times New Roman" w:hAnsi="Calibri" w:cs="Calibri"/>
          <w:color w:val="002060"/>
          <w:kern w:val="0"/>
          <w14:ligatures w14:val="none"/>
        </w:rPr>
        <w:t xml:space="preserve">No 4T23, o resultado da rubrica de Outras Receitas Operacionais deduzidas de Outras Despesas Operacionais foi positivo no montante de R$ 41,7 mil (R$ 93,0 milhões no 4T22). No acumulado dos 12M23 o resultado foi positivo no valor de R$ 241,2 milhões (R$ 226,4 milhões nos 12M22), aumento de 6,5% em relação ao mesmo período do ano anterior. As principais variações ocorreram nas seguintes rubricas: </w:t>
      </w:r>
    </w:p>
    <w:p w14:paraId="2EB0DD57" w14:textId="77777777" w:rsidR="00AA1F87" w:rsidRPr="00AA1F87" w:rsidRDefault="00AA1F87" w:rsidP="00AA1F87">
      <w:pPr>
        <w:spacing w:after="0" w:line="240" w:lineRule="auto"/>
        <w:jc w:val="both"/>
        <w:rPr>
          <w:rFonts w:ascii="Calibri" w:eastAsia="Times New Roman" w:hAnsi="Calibri" w:cs="Calibri"/>
          <w:color w:val="002060"/>
          <w:kern w:val="0"/>
          <w14:ligatures w14:val="none"/>
        </w:rPr>
      </w:pPr>
    </w:p>
    <w:p w14:paraId="56F2E7FA" w14:textId="520CFCFE" w:rsidR="00AA1F87" w:rsidRPr="00AA1F87" w:rsidRDefault="00AA1F87" w:rsidP="00AA1F87">
      <w:pPr>
        <w:spacing w:after="0" w:line="240" w:lineRule="auto"/>
        <w:jc w:val="both"/>
        <w:rPr>
          <w:rFonts w:ascii="Calibri" w:eastAsia="Times New Roman" w:hAnsi="Calibri" w:cs="Calibri"/>
          <w:color w:val="002060"/>
          <w:kern w:val="0"/>
          <w14:ligatures w14:val="none"/>
        </w:rPr>
      </w:pPr>
      <w:r w:rsidRPr="00AA1F87">
        <w:rPr>
          <w:rFonts w:ascii="Calibri" w:eastAsia="Times New Roman" w:hAnsi="Calibri" w:cs="Calibri"/>
          <w:color w:val="002060"/>
          <w:kern w:val="0"/>
          <w14:ligatures w14:val="none"/>
        </w:rPr>
        <w:t>i) Subvenções Orçamentárias Recebidas:  A partir de 1 de janeiro de 2020, a Telebras passou a ser classificada como uma Empresa Estatal Dependente, e, dessa forma, passou a receber recursos orçamentários para o pagamento dos gastos com pessoal, outros custeios e investimentos. Os recursos recebidos para pagamento de pessoal e outros custeios são reconhecidos no resultado da Companhia com base no CPC 07 – Subvenções e Assistência Governamentais, os recursos de investimento são contabilizados no passivo exigível (não circulante) como Adiantamento para Futuro Aumento de Capital (AFAC). Nos 12M23, a Telebras reconheceu o montante de R$ 240,2 milhões no resultado da Companhia (R$ 241,5 milhões nos 12M22), sendo composto da seguinte forma:</w:t>
      </w:r>
    </w:p>
    <w:tbl>
      <w:tblPr>
        <w:tblW w:w="5000" w:type="pct"/>
        <w:tblCellMar>
          <w:left w:w="70" w:type="dxa"/>
          <w:right w:w="70" w:type="dxa"/>
        </w:tblCellMar>
        <w:tblLook w:val="04A0" w:firstRow="1" w:lastRow="0" w:firstColumn="1" w:lastColumn="0" w:noHBand="0" w:noVBand="1"/>
      </w:tblPr>
      <w:tblGrid>
        <w:gridCol w:w="2292"/>
        <w:gridCol w:w="867"/>
        <w:gridCol w:w="719"/>
        <w:gridCol w:w="910"/>
        <w:gridCol w:w="146"/>
        <w:gridCol w:w="767"/>
        <w:gridCol w:w="1052"/>
        <w:gridCol w:w="146"/>
        <w:gridCol w:w="899"/>
        <w:gridCol w:w="808"/>
        <w:gridCol w:w="258"/>
        <w:gridCol w:w="917"/>
      </w:tblGrid>
      <w:tr w:rsidR="00AA1F87" w:rsidRPr="00AA1F87" w14:paraId="3B38C4C9" w14:textId="77777777" w:rsidTr="00446A14">
        <w:trPr>
          <w:trHeight w:val="227"/>
        </w:trPr>
        <w:tc>
          <w:tcPr>
            <w:tcW w:w="1175" w:type="pct"/>
            <w:tcBorders>
              <w:top w:val="nil"/>
              <w:left w:val="nil"/>
              <w:bottom w:val="nil"/>
              <w:right w:val="nil"/>
            </w:tcBorders>
            <w:shd w:val="clear" w:color="auto" w:fill="auto"/>
            <w:noWrap/>
            <w:vAlign w:val="bottom"/>
            <w:hideMark/>
          </w:tcPr>
          <w:p w14:paraId="0A0E3E5C"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2273" w:type="pct"/>
            <w:gridSpan w:val="6"/>
            <w:tcBorders>
              <w:top w:val="nil"/>
              <w:left w:val="nil"/>
              <w:bottom w:val="single" w:sz="8" w:space="0" w:color="auto"/>
              <w:right w:val="nil"/>
            </w:tcBorders>
            <w:shd w:val="clear" w:color="auto" w:fill="auto"/>
            <w:noWrap/>
            <w:vAlign w:val="center"/>
            <w:hideMark/>
          </w:tcPr>
          <w:p w14:paraId="5F7B0CA3" w14:textId="77777777" w:rsidR="00AA1F87" w:rsidRPr="00AA1F87" w:rsidRDefault="00AA1F87" w:rsidP="00AA1F87">
            <w:pPr>
              <w:spacing w:after="0" w:line="240" w:lineRule="auto"/>
              <w:jc w:val="center"/>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Trimestres</w:t>
            </w:r>
          </w:p>
        </w:tc>
        <w:tc>
          <w:tcPr>
            <w:tcW w:w="76" w:type="pct"/>
            <w:tcBorders>
              <w:top w:val="nil"/>
              <w:left w:val="nil"/>
              <w:bottom w:val="nil"/>
              <w:right w:val="nil"/>
            </w:tcBorders>
            <w:shd w:val="clear" w:color="auto" w:fill="auto"/>
            <w:noWrap/>
            <w:vAlign w:val="bottom"/>
            <w:hideMark/>
          </w:tcPr>
          <w:p w14:paraId="0EA0B26B" w14:textId="77777777" w:rsidR="00AA1F87" w:rsidRPr="00AA1F87" w:rsidRDefault="00AA1F87" w:rsidP="00AA1F87">
            <w:pPr>
              <w:spacing w:after="0" w:line="240" w:lineRule="auto"/>
              <w:jc w:val="center"/>
              <w:rPr>
                <w:rFonts w:ascii="Arial" w:eastAsia="Times New Roman" w:hAnsi="Arial" w:cs="Arial"/>
                <w:b/>
                <w:bCs/>
                <w:color w:val="000000"/>
                <w:kern w:val="0"/>
                <w:sz w:val="16"/>
                <w:szCs w:val="16"/>
                <w:lang w:eastAsia="pt-BR"/>
                <w14:ligatures w14:val="none"/>
              </w:rPr>
            </w:pPr>
          </w:p>
        </w:tc>
        <w:tc>
          <w:tcPr>
            <w:tcW w:w="464" w:type="pct"/>
            <w:tcBorders>
              <w:top w:val="nil"/>
              <w:left w:val="nil"/>
              <w:bottom w:val="nil"/>
              <w:right w:val="nil"/>
            </w:tcBorders>
            <w:shd w:val="clear" w:color="auto" w:fill="auto"/>
            <w:noWrap/>
            <w:vAlign w:val="bottom"/>
            <w:hideMark/>
          </w:tcPr>
          <w:p w14:paraId="45E9673F"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405" w:type="pct"/>
            <w:tcBorders>
              <w:top w:val="nil"/>
              <w:left w:val="nil"/>
              <w:bottom w:val="nil"/>
              <w:right w:val="nil"/>
            </w:tcBorders>
            <w:shd w:val="clear" w:color="auto" w:fill="auto"/>
            <w:noWrap/>
            <w:vAlign w:val="bottom"/>
            <w:hideMark/>
          </w:tcPr>
          <w:p w14:paraId="262AB474"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135" w:type="pct"/>
            <w:tcBorders>
              <w:top w:val="nil"/>
              <w:left w:val="nil"/>
              <w:bottom w:val="nil"/>
              <w:right w:val="nil"/>
            </w:tcBorders>
            <w:shd w:val="clear" w:color="auto" w:fill="auto"/>
            <w:noWrap/>
            <w:vAlign w:val="bottom"/>
            <w:hideMark/>
          </w:tcPr>
          <w:p w14:paraId="4F599471"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472" w:type="pct"/>
            <w:tcBorders>
              <w:top w:val="nil"/>
              <w:left w:val="nil"/>
              <w:bottom w:val="nil"/>
              <w:right w:val="nil"/>
            </w:tcBorders>
            <w:shd w:val="clear" w:color="auto" w:fill="auto"/>
            <w:noWrap/>
            <w:vAlign w:val="bottom"/>
            <w:hideMark/>
          </w:tcPr>
          <w:p w14:paraId="3AA085C6"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r>
      <w:tr w:rsidR="00AA1F87" w:rsidRPr="00AA1F87" w14:paraId="149CDA68" w14:textId="77777777" w:rsidTr="00446A14">
        <w:trPr>
          <w:trHeight w:val="40"/>
        </w:trPr>
        <w:tc>
          <w:tcPr>
            <w:tcW w:w="1175" w:type="pct"/>
            <w:tcBorders>
              <w:top w:val="nil"/>
              <w:left w:val="nil"/>
              <w:bottom w:val="nil"/>
              <w:right w:val="nil"/>
            </w:tcBorders>
            <w:shd w:val="clear" w:color="auto" w:fill="auto"/>
            <w:noWrap/>
            <w:vAlign w:val="bottom"/>
            <w:hideMark/>
          </w:tcPr>
          <w:p w14:paraId="0BE23448"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447" w:type="pct"/>
            <w:tcBorders>
              <w:top w:val="nil"/>
              <w:left w:val="nil"/>
              <w:bottom w:val="nil"/>
              <w:right w:val="nil"/>
            </w:tcBorders>
            <w:shd w:val="clear" w:color="auto" w:fill="auto"/>
            <w:noWrap/>
            <w:vAlign w:val="bottom"/>
            <w:hideMark/>
          </w:tcPr>
          <w:p w14:paraId="7FFC58C9"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343" w:type="pct"/>
            <w:tcBorders>
              <w:top w:val="nil"/>
              <w:left w:val="nil"/>
              <w:bottom w:val="nil"/>
              <w:right w:val="nil"/>
            </w:tcBorders>
            <w:shd w:val="clear" w:color="auto" w:fill="auto"/>
            <w:noWrap/>
            <w:vAlign w:val="bottom"/>
            <w:hideMark/>
          </w:tcPr>
          <w:p w14:paraId="0EE724CA"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469" w:type="pct"/>
            <w:tcBorders>
              <w:top w:val="nil"/>
              <w:left w:val="nil"/>
              <w:bottom w:val="nil"/>
              <w:right w:val="nil"/>
            </w:tcBorders>
            <w:shd w:val="clear" w:color="auto" w:fill="auto"/>
            <w:noWrap/>
            <w:vAlign w:val="bottom"/>
            <w:hideMark/>
          </w:tcPr>
          <w:p w14:paraId="547AFFF8"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75" w:type="pct"/>
            <w:tcBorders>
              <w:top w:val="nil"/>
              <w:left w:val="nil"/>
              <w:bottom w:val="nil"/>
              <w:right w:val="nil"/>
            </w:tcBorders>
            <w:shd w:val="clear" w:color="auto" w:fill="auto"/>
            <w:noWrap/>
            <w:vAlign w:val="bottom"/>
            <w:hideMark/>
          </w:tcPr>
          <w:p w14:paraId="0DBABBD7"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398" w:type="pct"/>
            <w:tcBorders>
              <w:top w:val="nil"/>
              <w:left w:val="nil"/>
              <w:bottom w:val="nil"/>
              <w:right w:val="nil"/>
            </w:tcBorders>
            <w:shd w:val="clear" w:color="auto" w:fill="auto"/>
            <w:noWrap/>
            <w:vAlign w:val="bottom"/>
            <w:hideMark/>
          </w:tcPr>
          <w:p w14:paraId="4FC4EC6A"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541" w:type="pct"/>
            <w:tcBorders>
              <w:top w:val="nil"/>
              <w:left w:val="nil"/>
              <w:bottom w:val="nil"/>
              <w:right w:val="nil"/>
            </w:tcBorders>
            <w:shd w:val="clear" w:color="auto" w:fill="auto"/>
            <w:noWrap/>
            <w:vAlign w:val="bottom"/>
            <w:hideMark/>
          </w:tcPr>
          <w:p w14:paraId="50AE7905"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76" w:type="pct"/>
            <w:tcBorders>
              <w:top w:val="nil"/>
              <w:left w:val="nil"/>
              <w:bottom w:val="nil"/>
              <w:right w:val="nil"/>
            </w:tcBorders>
            <w:shd w:val="clear" w:color="auto" w:fill="auto"/>
            <w:noWrap/>
            <w:vAlign w:val="bottom"/>
            <w:hideMark/>
          </w:tcPr>
          <w:p w14:paraId="50659ED7"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464" w:type="pct"/>
            <w:tcBorders>
              <w:top w:val="nil"/>
              <w:left w:val="nil"/>
              <w:bottom w:val="nil"/>
              <w:right w:val="nil"/>
            </w:tcBorders>
            <w:shd w:val="clear" w:color="auto" w:fill="auto"/>
            <w:noWrap/>
            <w:vAlign w:val="bottom"/>
            <w:hideMark/>
          </w:tcPr>
          <w:p w14:paraId="658B78C4"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405" w:type="pct"/>
            <w:tcBorders>
              <w:top w:val="nil"/>
              <w:left w:val="nil"/>
              <w:bottom w:val="nil"/>
              <w:right w:val="nil"/>
            </w:tcBorders>
            <w:shd w:val="clear" w:color="auto" w:fill="auto"/>
            <w:noWrap/>
            <w:vAlign w:val="bottom"/>
            <w:hideMark/>
          </w:tcPr>
          <w:p w14:paraId="32A4EF2A"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135" w:type="pct"/>
            <w:tcBorders>
              <w:top w:val="nil"/>
              <w:left w:val="nil"/>
              <w:bottom w:val="nil"/>
              <w:right w:val="nil"/>
            </w:tcBorders>
            <w:shd w:val="clear" w:color="auto" w:fill="auto"/>
            <w:noWrap/>
            <w:vAlign w:val="bottom"/>
            <w:hideMark/>
          </w:tcPr>
          <w:p w14:paraId="7C77F0AD"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472" w:type="pct"/>
            <w:tcBorders>
              <w:top w:val="nil"/>
              <w:left w:val="nil"/>
              <w:bottom w:val="nil"/>
              <w:right w:val="nil"/>
            </w:tcBorders>
            <w:shd w:val="clear" w:color="auto" w:fill="auto"/>
            <w:noWrap/>
            <w:vAlign w:val="bottom"/>
            <w:hideMark/>
          </w:tcPr>
          <w:p w14:paraId="2059158F"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r>
      <w:tr w:rsidR="00AA1F87" w:rsidRPr="00AA1F87" w14:paraId="3EFF00CF" w14:textId="77777777" w:rsidTr="00446A14">
        <w:trPr>
          <w:trHeight w:val="227"/>
        </w:trPr>
        <w:tc>
          <w:tcPr>
            <w:tcW w:w="1175" w:type="pct"/>
            <w:tcBorders>
              <w:top w:val="nil"/>
              <w:left w:val="nil"/>
              <w:bottom w:val="nil"/>
              <w:right w:val="nil"/>
            </w:tcBorders>
            <w:shd w:val="clear" w:color="000000" w:fill="75F6F9"/>
            <w:vAlign w:val="center"/>
            <w:hideMark/>
          </w:tcPr>
          <w:p w14:paraId="607377E2" w14:textId="77777777" w:rsidR="00AA1F87" w:rsidRPr="00AA1F87" w:rsidRDefault="00AA1F87" w:rsidP="00AA1F87">
            <w:pPr>
              <w:spacing w:after="0" w:line="240" w:lineRule="auto"/>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R$ mil</w:t>
            </w:r>
          </w:p>
        </w:tc>
        <w:tc>
          <w:tcPr>
            <w:tcW w:w="447" w:type="pct"/>
            <w:tcBorders>
              <w:top w:val="nil"/>
              <w:left w:val="nil"/>
              <w:bottom w:val="nil"/>
              <w:right w:val="nil"/>
            </w:tcBorders>
            <w:shd w:val="clear" w:color="000000" w:fill="75F6F9"/>
            <w:noWrap/>
            <w:vAlign w:val="center"/>
            <w:hideMark/>
          </w:tcPr>
          <w:p w14:paraId="48CB0A78" w14:textId="77777777" w:rsidR="00AA1F87" w:rsidRPr="00AA1F87" w:rsidRDefault="00AA1F87" w:rsidP="00AA1F87">
            <w:pPr>
              <w:spacing w:after="0" w:line="240" w:lineRule="auto"/>
              <w:jc w:val="center"/>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4T23</w:t>
            </w:r>
          </w:p>
        </w:tc>
        <w:tc>
          <w:tcPr>
            <w:tcW w:w="343" w:type="pct"/>
            <w:tcBorders>
              <w:top w:val="nil"/>
              <w:left w:val="nil"/>
              <w:bottom w:val="nil"/>
              <w:right w:val="nil"/>
            </w:tcBorders>
            <w:shd w:val="clear" w:color="000000" w:fill="75F6F9"/>
            <w:noWrap/>
            <w:vAlign w:val="center"/>
            <w:hideMark/>
          </w:tcPr>
          <w:p w14:paraId="305D709E" w14:textId="77777777" w:rsidR="00AA1F87" w:rsidRPr="00AA1F87" w:rsidRDefault="00AA1F87" w:rsidP="00AA1F87">
            <w:pPr>
              <w:spacing w:after="0" w:line="240" w:lineRule="auto"/>
              <w:jc w:val="center"/>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4T22</w:t>
            </w:r>
          </w:p>
        </w:tc>
        <w:tc>
          <w:tcPr>
            <w:tcW w:w="469" w:type="pct"/>
            <w:tcBorders>
              <w:top w:val="nil"/>
              <w:left w:val="nil"/>
              <w:bottom w:val="nil"/>
              <w:right w:val="nil"/>
            </w:tcBorders>
            <w:shd w:val="clear" w:color="000000" w:fill="75F6F9"/>
            <w:noWrap/>
            <w:vAlign w:val="center"/>
            <w:hideMark/>
          </w:tcPr>
          <w:p w14:paraId="0BB61AC5" w14:textId="77777777" w:rsidR="00AA1F87" w:rsidRPr="00AA1F87" w:rsidRDefault="00AA1F87" w:rsidP="00AA1F87">
            <w:pPr>
              <w:spacing w:after="0" w:line="240" w:lineRule="auto"/>
              <w:jc w:val="center"/>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3T23</w:t>
            </w:r>
          </w:p>
        </w:tc>
        <w:tc>
          <w:tcPr>
            <w:tcW w:w="75" w:type="pct"/>
            <w:tcBorders>
              <w:top w:val="nil"/>
              <w:left w:val="nil"/>
              <w:bottom w:val="nil"/>
              <w:right w:val="nil"/>
            </w:tcBorders>
            <w:shd w:val="clear" w:color="auto" w:fill="auto"/>
            <w:noWrap/>
            <w:vAlign w:val="bottom"/>
            <w:hideMark/>
          </w:tcPr>
          <w:p w14:paraId="642DA1F9" w14:textId="77777777" w:rsidR="00AA1F87" w:rsidRPr="00AA1F87" w:rsidRDefault="00AA1F87" w:rsidP="00AA1F87">
            <w:pPr>
              <w:spacing w:after="0" w:line="240" w:lineRule="auto"/>
              <w:jc w:val="center"/>
              <w:rPr>
                <w:rFonts w:ascii="Arial" w:eastAsia="Times New Roman" w:hAnsi="Arial" w:cs="Arial"/>
                <w:b/>
                <w:bCs/>
                <w:color w:val="000000"/>
                <w:kern w:val="0"/>
                <w:sz w:val="16"/>
                <w:szCs w:val="16"/>
                <w:lang w:eastAsia="pt-BR"/>
                <w14:ligatures w14:val="none"/>
              </w:rPr>
            </w:pPr>
          </w:p>
        </w:tc>
        <w:tc>
          <w:tcPr>
            <w:tcW w:w="398" w:type="pct"/>
            <w:tcBorders>
              <w:top w:val="nil"/>
              <w:left w:val="nil"/>
              <w:bottom w:val="nil"/>
              <w:right w:val="nil"/>
            </w:tcBorders>
            <w:shd w:val="clear" w:color="000000" w:fill="75F6F9"/>
            <w:noWrap/>
            <w:vAlign w:val="center"/>
            <w:hideMark/>
          </w:tcPr>
          <w:p w14:paraId="45ABC651" w14:textId="77777777" w:rsidR="00AA1F87" w:rsidRPr="00AA1F87" w:rsidRDefault="00AA1F87" w:rsidP="00AA1F87">
            <w:pPr>
              <w:spacing w:after="0" w:line="240" w:lineRule="auto"/>
              <w:jc w:val="center"/>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Δ Ano</w:t>
            </w:r>
          </w:p>
        </w:tc>
        <w:tc>
          <w:tcPr>
            <w:tcW w:w="541" w:type="pct"/>
            <w:tcBorders>
              <w:top w:val="nil"/>
              <w:left w:val="nil"/>
              <w:bottom w:val="nil"/>
              <w:right w:val="nil"/>
            </w:tcBorders>
            <w:shd w:val="clear" w:color="000000" w:fill="75F6F9"/>
            <w:noWrap/>
            <w:vAlign w:val="center"/>
            <w:hideMark/>
          </w:tcPr>
          <w:p w14:paraId="69E3EABD" w14:textId="77777777" w:rsidR="00AA1F87" w:rsidRPr="00AA1F87" w:rsidRDefault="00AA1F87" w:rsidP="00AA1F87">
            <w:pPr>
              <w:spacing w:after="0" w:line="240" w:lineRule="auto"/>
              <w:jc w:val="center"/>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Δ Trim.</w:t>
            </w:r>
          </w:p>
        </w:tc>
        <w:tc>
          <w:tcPr>
            <w:tcW w:w="76" w:type="pct"/>
            <w:tcBorders>
              <w:top w:val="nil"/>
              <w:left w:val="nil"/>
              <w:bottom w:val="nil"/>
              <w:right w:val="nil"/>
            </w:tcBorders>
            <w:shd w:val="clear" w:color="auto" w:fill="auto"/>
            <w:noWrap/>
            <w:vAlign w:val="bottom"/>
            <w:hideMark/>
          </w:tcPr>
          <w:p w14:paraId="67B14247" w14:textId="77777777" w:rsidR="00AA1F87" w:rsidRPr="00AA1F87" w:rsidRDefault="00AA1F87" w:rsidP="00AA1F87">
            <w:pPr>
              <w:spacing w:after="0" w:line="240" w:lineRule="auto"/>
              <w:jc w:val="center"/>
              <w:rPr>
                <w:rFonts w:ascii="Arial" w:eastAsia="Times New Roman" w:hAnsi="Arial" w:cs="Arial"/>
                <w:b/>
                <w:bCs/>
                <w:color w:val="000000"/>
                <w:kern w:val="0"/>
                <w:sz w:val="16"/>
                <w:szCs w:val="16"/>
                <w:lang w:eastAsia="pt-BR"/>
                <w14:ligatures w14:val="none"/>
              </w:rPr>
            </w:pPr>
          </w:p>
        </w:tc>
        <w:tc>
          <w:tcPr>
            <w:tcW w:w="464" w:type="pct"/>
            <w:tcBorders>
              <w:top w:val="nil"/>
              <w:left w:val="nil"/>
              <w:bottom w:val="nil"/>
              <w:right w:val="nil"/>
            </w:tcBorders>
            <w:shd w:val="clear" w:color="000000" w:fill="75F6F9"/>
            <w:noWrap/>
            <w:vAlign w:val="center"/>
            <w:hideMark/>
          </w:tcPr>
          <w:p w14:paraId="16489408" w14:textId="77777777" w:rsidR="00AA1F87" w:rsidRPr="00AA1F87" w:rsidRDefault="00AA1F87" w:rsidP="00AA1F87">
            <w:pPr>
              <w:spacing w:after="0" w:line="240" w:lineRule="auto"/>
              <w:jc w:val="center"/>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2023</w:t>
            </w:r>
          </w:p>
        </w:tc>
        <w:tc>
          <w:tcPr>
            <w:tcW w:w="405" w:type="pct"/>
            <w:tcBorders>
              <w:top w:val="nil"/>
              <w:left w:val="nil"/>
              <w:bottom w:val="nil"/>
              <w:right w:val="nil"/>
            </w:tcBorders>
            <w:shd w:val="clear" w:color="000000" w:fill="75F6F9"/>
            <w:noWrap/>
            <w:vAlign w:val="center"/>
            <w:hideMark/>
          </w:tcPr>
          <w:p w14:paraId="7963C281" w14:textId="77777777" w:rsidR="00AA1F87" w:rsidRPr="00AA1F87" w:rsidRDefault="00AA1F87" w:rsidP="00AA1F87">
            <w:pPr>
              <w:spacing w:after="0" w:line="240" w:lineRule="auto"/>
              <w:jc w:val="center"/>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2022</w:t>
            </w:r>
          </w:p>
        </w:tc>
        <w:tc>
          <w:tcPr>
            <w:tcW w:w="135" w:type="pct"/>
            <w:tcBorders>
              <w:top w:val="nil"/>
              <w:left w:val="nil"/>
              <w:bottom w:val="nil"/>
              <w:right w:val="nil"/>
            </w:tcBorders>
            <w:shd w:val="clear" w:color="auto" w:fill="auto"/>
            <w:noWrap/>
            <w:vAlign w:val="bottom"/>
            <w:hideMark/>
          </w:tcPr>
          <w:p w14:paraId="0329D9A2" w14:textId="77777777" w:rsidR="00AA1F87" w:rsidRPr="00AA1F87" w:rsidRDefault="00AA1F87" w:rsidP="00AA1F87">
            <w:pPr>
              <w:spacing w:after="0" w:line="240" w:lineRule="auto"/>
              <w:jc w:val="center"/>
              <w:rPr>
                <w:rFonts w:ascii="Arial" w:eastAsia="Times New Roman" w:hAnsi="Arial" w:cs="Arial"/>
                <w:b/>
                <w:bCs/>
                <w:color w:val="000000"/>
                <w:kern w:val="0"/>
                <w:sz w:val="16"/>
                <w:szCs w:val="16"/>
                <w:lang w:eastAsia="pt-BR"/>
                <w14:ligatures w14:val="none"/>
              </w:rPr>
            </w:pPr>
          </w:p>
        </w:tc>
        <w:tc>
          <w:tcPr>
            <w:tcW w:w="472" w:type="pct"/>
            <w:tcBorders>
              <w:top w:val="nil"/>
              <w:left w:val="nil"/>
              <w:bottom w:val="nil"/>
              <w:right w:val="nil"/>
            </w:tcBorders>
            <w:shd w:val="clear" w:color="000000" w:fill="75F6F9"/>
            <w:noWrap/>
            <w:vAlign w:val="center"/>
            <w:hideMark/>
          </w:tcPr>
          <w:p w14:paraId="778EDE9C" w14:textId="77777777" w:rsidR="00AA1F87" w:rsidRPr="00AA1F87" w:rsidRDefault="00AA1F87" w:rsidP="00AA1F87">
            <w:pPr>
              <w:spacing w:after="0" w:line="240" w:lineRule="auto"/>
              <w:jc w:val="center"/>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Δ Ano</w:t>
            </w:r>
          </w:p>
        </w:tc>
      </w:tr>
      <w:tr w:rsidR="00AA1F87" w:rsidRPr="00AA1F87" w14:paraId="748D1812" w14:textId="77777777" w:rsidTr="00446A14">
        <w:trPr>
          <w:trHeight w:val="227"/>
        </w:trPr>
        <w:tc>
          <w:tcPr>
            <w:tcW w:w="1175" w:type="pct"/>
            <w:tcBorders>
              <w:top w:val="nil"/>
              <w:left w:val="nil"/>
              <w:bottom w:val="nil"/>
              <w:right w:val="nil"/>
            </w:tcBorders>
            <w:shd w:val="clear" w:color="auto" w:fill="auto"/>
            <w:noWrap/>
            <w:vAlign w:val="center"/>
            <w:hideMark/>
          </w:tcPr>
          <w:p w14:paraId="57CED299" w14:textId="77777777" w:rsidR="00AA1F87" w:rsidRPr="00AA1F87" w:rsidRDefault="00AA1F87" w:rsidP="00AA1F87">
            <w:pPr>
              <w:spacing w:after="0" w:line="240" w:lineRule="auto"/>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Outros Custeios </w:t>
            </w:r>
          </w:p>
        </w:tc>
        <w:tc>
          <w:tcPr>
            <w:tcW w:w="447" w:type="pct"/>
            <w:tcBorders>
              <w:top w:val="nil"/>
              <w:left w:val="nil"/>
              <w:bottom w:val="nil"/>
              <w:right w:val="nil"/>
            </w:tcBorders>
            <w:shd w:val="clear" w:color="000000" w:fill="D9E1F2"/>
            <w:noWrap/>
            <w:vAlign w:val="center"/>
            <w:hideMark/>
          </w:tcPr>
          <w:p w14:paraId="347229C6"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49.341 </w:t>
            </w:r>
          </w:p>
        </w:tc>
        <w:tc>
          <w:tcPr>
            <w:tcW w:w="343" w:type="pct"/>
            <w:tcBorders>
              <w:top w:val="nil"/>
              <w:left w:val="nil"/>
              <w:bottom w:val="nil"/>
              <w:right w:val="nil"/>
            </w:tcBorders>
            <w:shd w:val="clear" w:color="auto" w:fill="auto"/>
            <w:noWrap/>
            <w:vAlign w:val="center"/>
            <w:hideMark/>
          </w:tcPr>
          <w:p w14:paraId="1AB963E1"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65.235 </w:t>
            </w:r>
          </w:p>
        </w:tc>
        <w:tc>
          <w:tcPr>
            <w:tcW w:w="469" w:type="pct"/>
            <w:tcBorders>
              <w:top w:val="nil"/>
              <w:left w:val="nil"/>
              <w:bottom w:val="nil"/>
              <w:right w:val="nil"/>
            </w:tcBorders>
            <w:shd w:val="clear" w:color="auto" w:fill="auto"/>
            <w:noWrap/>
            <w:vAlign w:val="center"/>
            <w:hideMark/>
          </w:tcPr>
          <w:p w14:paraId="55396523"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20.166</w:t>
            </w:r>
          </w:p>
        </w:tc>
        <w:tc>
          <w:tcPr>
            <w:tcW w:w="75" w:type="pct"/>
            <w:tcBorders>
              <w:top w:val="nil"/>
              <w:left w:val="nil"/>
              <w:bottom w:val="nil"/>
              <w:right w:val="nil"/>
            </w:tcBorders>
            <w:shd w:val="clear" w:color="auto" w:fill="auto"/>
            <w:noWrap/>
            <w:vAlign w:val="center"/>
            <w:hideMark/>
          </w:tcPr>
          <w:p w14:paraId="15E9C49D"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p>
        </w:tc>
        <w:tc>
          <w:tcPr>
            <w:tcW w:w="398" w:type="pct"/>
            <w:tcBorders>
              <w:top w:val="nil"/>
              <w:left w:val="nil"/>
              <w:bottom w:val="nil"/>
              <w:right w:val="nil"/>
            </w:tcBorders>
            <w:shd w:val="clear" w:color="auto" w:fill="auto"/>
            <w:vAlign w:val="center"/>
            <w:hideMark/>
          </w:tcPr>
          <w:p w14:paraId="442866CB"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-24,4%</w:t>
            </w:r>
          </w:p>
        </w:tc>
        <w:tc>
          <w:tcPr>
            <w:tcW w:w="541" w:type="pct"/>
            <w:tcBorders>
              <w:top w:val="nil"/>
              <w:left w:val="nil"/>
              <w:bottom w:val="nil"/>
              <w:right w:val="nil"/>
            </w:tcBorders>
            <w:shd w:val="clear" w:color="auto" w:fill="auto"/>
            <w:vAlign w:val="center"/>
            <w:hideMark/>
          </w:tcPr>
          <w:p w14:paraId="5CFC5695"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144,7%</w:t>
            </w:r>
          </w:p>
        </w:tc>
        <w:tc>
          <w:tcPr>
            <w:tcW w:w="76" w:type="pct"/>
            <w:tcBorders>
              <w:top w:val="nil"/>
              <w:left w:val="nil"/>
              <w:bottom w:val="nil"/>
              <w:right w:val="nil"/>
            </w:tcBorders>
            <w:shd w:val="clear" w:color="auto" w:fill="auto"/>
            <w:noWrap/>
            <w:vAlign w:val="bottom"/>
            <w:hideMark/>
          </w:tcPr>
          <w:p w14:paraId="57926DFD"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p>
        </w:tc>
        <w:tc>
          <w:tcPr>
            <w:tcW w:w="464" w:type="pct"/>
            <w:tcBorders>
              <w:top w:val="nil"/>
              <w:left w:val="nil"/>
              <w:bottom w:val="nil"/>
              <w:right w:val="nil"/>
            </w:tcBorders>
            <w:shd w:val="clear" w:color="000000" w:fill="D9E1F2"/>
            <w:noWrap/>
            <w:vAlign w:val="center"/>
            <w:hideMark/>
          </w:tcPr>
          <w:p w14:paraId="27927747"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175.077 </w:t>
            </w:r>
          </w:p>
        </w:tc>
        <w:tc>
          <w:tcPr>
            <w:tcW w:w="405" w:type="pct"/>
            <w:tcBorders>
              <w:top w:val="nil"/>
              <w:left w:val="nil"/>
              <w:bottom w:val="nil"/>
              <w:right w:val="nil"/>
            </w:tcBorders>
            <w:shd w:val="clear" w:color="auto" w:fill="auto"/>
            <w:noWrap/>
            <w:vAlign w:val="center"/>
            <w:hideMark/>
          </w:tcPr>
          <w:p w14:paraId="38F695A4"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134.237 </w:t>
            </w:r>
          </w:p>
        </w:tc>
        <w:tc>
          <w:tcPr>
            <w:tcW w:w="135" w:type="pct"/>
            <w:tcBorders>
              <w:top w:val="nil"/>
              <w:left w:val="nil"/>
              <w:bottom w:val="nil"/>
              <w:right w:val="nil"/>
            </w:tcBorders>
            <w:shd w:val="clear" w:color="auto" w:fill="auto"/>
            <w:noWrap/>
            <w:vAlign w:val="bottom"/>
            <w:hideMark/>
          </w:tcPr>
          <w:p w14:paraId="66D78CEB"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p>
        </w:tc>
        <w:tc>
          <w:tcPr>
            <w:tcW w:w="472" w:type="pct"/>
            <w:tcBorders>
              <w:top w:val="nil"/>
              <w:left w:val="nil"/>
              <w:bottom w:val="nil"/>
              <w:right w:val="nil"/>
            </w:tcBorders>
            <w:shd w:val="clear" w:color="auto" w:fill="auto"/>
            <w:vAlign w:val="center"/>
            <w:hideMark/>
          </w:tcPr>
          <w:p w14:paraId="7645F320"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63,2%</w:t>
            </w:r>
          </w:p>
        </w:tc>
      </w:tr>
      <w:tr w:rsidR="00AA1F87" w:rsidRPr="00AA1F87" w14:paraId="7C970721" w14:textId="77777777" w:rsidTr="00446A14">
        <w:trPr>
          <w:trHeight w:val="227"/>
        </w:trPr>
        <w:tc>
          <w:tcPr>
            <w:tcW w:w="1175" w:type="pct"/>
            <w:tcBorders>
              <w:top w:val="nil"/>
              <w:left w:val="nil"/>
              <w:bottom w:val="nil"/>
              <w:right w:val="nil"/>
            </w:tcBorders>
            <w:shd w:val="clear" w:color="auto" w:fill="auto"/>
            <w:noWrap/>
            <w:vAlign w:val="center"/>
            <w:hideMark/>
          </w:tcPr>
          <w:p w14:paraId="63E157B5" w14:textId="77777777" w:rsidR="00AA1F87" w:rsidRPr="00AA1F87" w:rsidRDefault="00AA1F87" w:rsidP="00AA1F87">
            <w:pPr>
              <w:spacing w:after="0" w:line="240" w:lineRule="auto"/>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Pessoal</w:t>
            </w:r>
          </w:p>
        </w:tc>
        <w:tc>
          <w:tcPr>
            <w:tcW w:w="447" w:type="pct"/>
            <w:tcBorders>
              <w:top w:val="nil"/>
              <w:left w:val="nil"/>
              <w:bottom w:val="nil"/>
              <w:right w:val="nil"/>
            </w:tcBorders>
            <w:shd w:val="clear" w:color="000000" w:fill="D9E1F2"/>
            <w:noWrap/>
            <w:vAlign w:val="center"/>
            <w:hideMark/>
          </w:tcPr>
          <w:p w14:paraId="56EEAD9E"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2.937 </w:t>
            </w:r>
          </w:p>
        </w:tc>
        <w:tc>
          <w:tcPr>
            <w:tcW w:w="343" w:type="pct"/>
            <w:tcBorders>
              <w:top w:val="nil"/>
              <w:left w:val="nil"/>
              <w:bottom w:val="nil"/>
              <w:right w:val="nil"/>
            </w:tcBorders>
            <w:shd w:val="clear" w:color="auto" w:fill="auto"/>
            <w:noWrap/>
            <w:vAlign w:val="center"/>
            <w:hideMark/>
          </w:tcPr>
          <w:p w14:paraId="1D8771B3"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26.528 </w:t>
            </w:r>
          </w:p>
        </w:tc>
        <w:tc>
          <w:tcPr>
            <w:tcW w:w="469" w:type="pct"/>
            <w:tcBorders>
              <w:top w:val="nil"/>
              <w:left w:val="nil"/>
              <w:bottom w:val="nil"/>
              <w:right w:val="nil"/>
            </w:tcBorders>
            <w:shd w:val="clear" w:color="auto" w:fill="auto"/>
            <w:noWrap/>
            <w:vAlign w:val="center"/>
            <w:hideMark/>
          </w:tcPr>
          <w:p w14:paraId="702197B2"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19.106</w:t>
            </w:r>
          </w:p>
        </w:tc>
        <w:tc>
          <w:tcPr>
            <w:tcW w:w="75" w:type="pct"/>
            <w:tcBorders>
              <w:top w:val="nil"/>
              <w:left w:val="nil"/>
              <w:bottom w:val="nil"/>
              <w:right w:val="nil"/>
            </w:tcBorders>
            <w:shd w:val="clear" w:color="auto" w:fill="auto"/>
            <w:noWrap/>
            <w:vAlign w:val="center"/>
            <w:hideMark/>
          </w:tcPr>
          <w:p w14:paraId="53C5864B"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p>
        </w:tc>
        <w:tc>
          <w:tcPr>
            <w:tcW w:w="398" w:type="pct"/>
            <w:tcBorders>
              <w:top w:val="nil"/>
              <w:left w:val="nil"/>
              <w:bottom w:val="nil"/>
              <w:right w:val="nil"/>
            </w:tcBorders>
            <w:shd w:val="clear" w:color="auto" w:fill="auto"/>
            <w:vAlign w:val="center"/>
            <w:hideMark/>
          </w:tcPr>
          <w:p w14:paraId="5BBDC42F"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-88,9%</w:t>
            </w:r>
          </w:p>
        </w:tc>
        <w:tc>
          <w:tcPr>
            <w:tcW w:w="541" w:type="pct"/>
            <w:tcBorders>
              <w:top w:val="nil"/>
              <w:left w:val="nil"/>
              <w:bottom w:val="nil"/>
              <w:right w:val="nil"/>
            </w:tcBorders>
            <w:shd w:val="clear" w:color="auto" w:fill="auto"/>
            <w:vAlign w:val="center"/>
            <w:hideMark/>
          </w:tcPr>
          <w:p w14:paraId="1A1C3038"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-84,6%</w:t>
            </w:r>
          </w:p>
        </w:tc>
        <w:tc>
          <w:tcPr>
            <w:tcW w:w="76" w:type="pct"/>
            <w:tcBorders>
              <w:top w:val="nil"/>
              <w:left w:val="nil"/>
              <w:bottom w:val="nil"/>
              <w:right w:val="nil"/>
            </w:tcBorders>
            <w:shd w:val="clear" w:color="auto" w:fill="auto"/>
            <w:noWrap/>
            <w:vAlign w:val="bottom"/>
            <w:hideMark/>
          </w:tcPr>
          <w:p w14:paraId="46729276"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p>
        </w:tc>
        <w:tc>
          <w:tcPr>
            <w:tcW w:w="464" w:type="pct"/>
            <w:tcBorders>
              <w:top w:val="nil"/>
              <w:left w:val="nil"/>
              <w:bottom w:val="nil"/>
              <w:right w:val="nil"/>
            </w:tcBorders>
            <w:shd w:val="clear" w:color="000000" w:fill="D9E1F2"/>
            <w:noWrap/>
            <w:vAlign w:val="center"/>
            <w:hideMark/>
          </w:tcPr>
          <w:p w14:paraId="34698299"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65.110 </w:t>
            </w:r>
          </w:p>
        </w:tc>
        <w:tc>
          <w:tcPr>
            <w:tcW w:w="405" w:type="pct"/>
            <w:tcBorders>
              <w:top w:val="nil"/>
              <w:left w:val="nil"/>
              <w:bottom w:val="nil"/>
              <w:right w:val="nil"/>
            </w:tcBorders>
            <w:shd w:val="clear" w:color="auto" w:fill="auto"/>
            <w:noWrap/>
            <w:vAlign w:val="center"/>
            <w:hideMark/>
          </w:tcPr>
          <w:p w14:paraId="4EC3F73B"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107.288 </w:t>
            </w:r>
          </w:p>
        </w:tc>
        <w:tc>
          <w:tcPr>
            <w:tcW w:w="135" w:type="pct"/>
            <w:tcBorders>
              <w:top w:val="nil"/>
              <w:left w:val="nil"/>
              <w:bottom w:val="nil"/>
              <w:right w:val="nil"/>
            </w:tcBorders>
            <w:shd w:val="clear" w:color="auto" w:fill="auto"/>
            <w:noWrap/>
            <w:vAlign w:val="bottom"/>
            <w:hideMark/>
          </w:tcPr>
          <w:p w14:paraId="4EF06F7E"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p>
        </w:tc>
        <w:tc>
          <w:tcPr>
            <w:tcW w:w="472" w:type="pct"/>
            <w:tcBorders>
              <w:top w:val="nil"/>
              <w:left w:val="nil"/>
              <w:bottom w:val="nil"/>
              <w:right w:val="nil"/>
            </w:tcBorders>
            <w:shd w:val="clear" w:color="auto" w:fill="auto"/>
            <w:vAlign w:val="center"/>
            <w:hideMark/>
          </w:tcPr>
          <w:p w14:paraId="78F2258A"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-39,3%</w:t>
            </w:r>
          </w:p>
        </w:tc>
      </w:tr>
      <w:tr w:rsidR="00AA1F87" w:rsidRPr="00AA1F87" w14:paraId="048F6082" w14:textId="77777777" w:rsidTr="00446A14">
        <w:trPr>
          <w:trHeight w:val="227"/>
        </w:trPr>
        <w:tc>
          <w:tcPr>
            <w:tcW w:w="1175" w:type="pct"/>
            <w:tcBorders>
              <w:top w:val="nil"/>
              <w:left w:val="nil"/>
              <w:bottom w:val="nil"/>
              <w:right w:val="nil"/>
            </w:tcBorders>
            <w:shd w:val="clear" w:color="auto" w:fill="auto"/>
            <w:noWrap/>
            <w:vAlign w:val="center"/>
            <w:hideMark/>
          </w:tcPr>
          <w:p w14:paraId="48F981B0" w14:textId="77777777" w:rsidR="00AA1F87" w:rsidRPr="00AA1F87" w:rsidRDefault="00AA1F87" w:rsidP="00AA1F87">
            <w:pPr>
              <w:spacing w:after="0" w:line="240" w:lineRule="auto"/>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Investimentos</w:t>
            </w:r>
          </w:p>
        </w:tc>
        <w:tc>
          <w:tcPr>
            <w:tcW w:w="447" w:type="pct"/>
            <w:tcBorders>
              <w:top w:val="nil"/>
              <w:left w:val="nil"/>
              <w:bottom w:val="nil"/>
              <w:right w:val="nil"/>
            </w:tcBorders>
            <w:shd w:val="clear" w:color="000000" w:fill="D9E1F2"/>
            <w:noWrap/>
            <w:vAlign w:val="center"/>
            <w:hideMark/>
          </w:tcPr>
          <w:p w14:paraId="26F10ACA"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(20.891)</w:t>
            </w:r>
          </w:p>
        </w:tc>
        <w:tc>
          <w:tcPr>
            <w:tcW w:w="343" w:type="pct"/>
            <w:tcBorders>
              <w:top w:val="nil"/>
              <w:left w:val="nil"/>
              <w:bottom w:val="nil"/>
              <w:right w:val="nil"/>
            </w:tcBorders>
            <w:shd w:val="clear" w:color="auto" w:fill="auto"/>
            <w:noWrap/>
            <w:vAlign w:val="center"/>
            <w:hideMark/>
          </w:tcPr>
          <w:p w14:paraId="0837B6A9"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      </w:t>
            </w:r>
          </w:p>
        </w:tc>
        <w:tc>
          <w:tcPr>
            <w:tcW w:w="469" w:type="pct"/>
            <w:tcBorders>
              <w:top w:val="nil"/>
              <w:left w:val="nil"/>
              <w:bottom w:val="nil"/>
              <w:right w:val="nil"/>
            </w:tcBorders>
            <w:shd w:val="clear" w:color="auto" w:fill="auto"/>
            <w:noWrap/>
            <w:vAlign w:val="center"/>
            <w:hideMark/>
          </w:tcPr>
          <w:p w14:paraId="5C672B9D"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(7.759)</w:t>
            </w:r>
          </w:p>
        </w:tc>
        <w:tc>
          <w:tcPr>
            <w:tcW w:w="75" w:type="pct"/>
            <w:tcBorders>
              <w:top w:val="nil"/>
              <w:left w:val="nil"/>
              <w:bottom w:val="nil"/>
              <w:right w:val="nil"/>
            </w:tcBorders>
            <w:shd w:val="clear" w:color="auto" w:fill="auto"/>
            <w:noWrap/>
            <w:vAlign w:val="center"/>
            <w:hideMark/>
          </w:tcPr>
          <w:p w14:paraId="7D01050A"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p>
        </w:tc>
        <w:tc>
          <w:tcPr>
            <w:tcW w:w="398" w:type="pct"/>
            <w:tcBorders>
              <w:top w:val="nil"/>
              <w:left w:val="nil"/>
              <w:bottom w:val="nil"/>
              <w:right w:val="nil"/>
            </w:tcBorders>
            <w:shd w:val="clear" w:color="auto" w:fill="auto"/>
            <w:vAlign w:val="center"/>
            <w:hideMark/>
          </w:tcPr>
          <w:p w14:paraId="2B2B5D20"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100,0%</w:t>
            </w:r>
          </w:p>
        </w:tc>
        <w:tc>
          <w:tcPr>
            <w:tcW w:w="541" w:type="pct"/>
            <w:tcBorders>
              <w:top w:val="nil"/>
              <w:left w:val="nil"/>
              <w:bottom w:val="nil"/>
              <w:right w:val="nil"/>
            </w:tcBorders>
            <w:shd w:val="clear" w:color="auto" w:fill="auto"/>
            <w:vAlign w:val="center"/>
            <w:hideMark/>
          </w:tcPr>
          <w:p w14:paraId="39A05E48"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169,2%</w:t>
            </w:r>
          </w:p>
        </w:tc>
        <w:tc>
          <w:tcPr>
            <w:tcW w:w="76" w:type="pct"/>
            <w:tcBorders>
              <w:top w:val="nil"/>
              <w:left w:val="nil"/>
              <w:bottom w:val="nil"/>
              <w:right w:val="nil"/>
            </w:tcBorders>
            <w:shd w:val="clear" w:color="auto" w:fill="auto"/>
            <w:noWrap/>
            <w:vAlign w:val="bottom"/>
            <w:hideMark/>
          </w:tcPr>
          <w:p w14:paraId="584DB8D6"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p>
        </w:tc>
        <w:tc>
          <w:tcPr>
            <w:tcW w:w="464" w:type="pct"/>
            <w:tcBorders>
              <w:top w:val="nil"/>
              <w:left w:val="nil"/>
              <w:bottom w:val="nil"/>
              <w:right w:val="nil"/>
            </w:tcBorders>
            <w:shd w:val="clear" w:color="000000" w:fill="D9E1F2"/>
            <w:noWrap/>
            <w:vAlign w:val="center"/>
            <w:hideMark/>
          </w:tcPr>
          <w:p w14:paraId="38B8CAED"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      </w:t>
            </w:r>
          </w:p>
        </w:tc>
        <w:tc>
          <w:tcPr>
            <w:tcW w:w="405" w:type="pct"/>
            <w:tcBorders>
              <w:top w:val="nil"/>
              <w:left w:val="nil"/>
              <w:bottom w:val="nil"/>
              <w:right w:val="nil"/>
            </w:tcBorders>
            <w:shd w:val="clear" w:color="auto" w:fill="auto"/>
            <w:noWrap/>
            <w:vAlign w:val="center"/>
            <w:hideMark/>
          </w:tcPr>
          <w:p w14:paraId="244DB021"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      </w:t>
            </w:r>
          </w:p>
        </w:tc>
        <w:tc>
          <w:tcPr>
            <w:tcW w:w="135" w:type="pct"/>
            <w:tcBorders>
              <w:top w:val="nil"/>
              <w:left w:val="nil"/>
              <w:bottom w:val="nil"/>
              <w:right w:val="nil"/>
            </w:tcBorders>
            <w:shd w:val="clear" w:color="auto" w:fill="auto"/>
            <w:noWrap/>
            <w:vAlign w:val="bottom"/>
            <w:hideMark/>
          </w:tcPr>
          <w:p w14:paraId="536AA725"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p>
        </w:tc>
        <w:tc>
          <w:tcPr>
            <w:tcW w:w="472" w:type="pct"/>
            <w:tcBorders>
              <w:top w:val="nil"/>
              <w:left w:val="nil"/>
              <w:bottom w:val="nil"/>
              <w:right w:val="nil"/>
            </w:tcBorders>
            <w:shd w:val="clear" w:color="auto" w:fill="auto"/>
            <w:vAlign w:val="center"/>
            <w:hideMark/>
          </w:tcPr>
          <w:p w14:paraId="3D9B2962"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w:t>
            </w:r>
          </w:p>
        </w:tc>
      </w:tr>
      <w:tr w:rsidR="00AA1F87" w:rsidRPr="00AA1F87" w14:paraId="7A6D332F" w14:textId="77777777" w:rsidTr="00446A14">
        <w:trPr>
          <w:trHeight w:val="227"/>
        </w:trPr>
        <w:tc>
          <w:tcPr>
            <w:tcW w:w="1175" w:type="pct"/>
            <w:tcBorders>
              <w:top w:val="nil"/>
              <w:left w:val="nil"/>
              <w:bottom w:val="nil"/>
              <w:right w:val="nil"/>
            </w:tcBorders>
            <w:shd w:val="clear" w:color="000000" w:fill="75F6F9"/>
            <w:vAlign w:val="center"/>
            <w:hideMark/>
          </w:tcPr>
          <w:p w14:paraId="0B760EC8" w14:textId="77777777" w:rsidR="00AA1F87" w:rsidRPr="00AA1F87" w:rsidRDefault="00AA1F87" w:rsidP="00AA1F87">
            <w:pPr>
              <w:spacing w:after="0" w:line="240" w:lineRule="auto"/>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EBITDA</w:t>
            </w:r>
          </w:p>
        </w:tc>
        <w:tc>
          <w:tcPr>
            <w:tcW w:w="447" w:type="pct"/>
            <w:tcBorders>
              <w:top w:val="nil"/>
              <w:left w:val="nil"/>
              <w:bottom w:val="nil"/>
              <w:right w:val="nil"/>
            </w:tcBorders>
            <w:shd w:val="clear" w:color="000000" w:fill="75F6F9"/>
            <w:noWrap/>
            <w:vAlign w:val="center"/>
            <w:hideMark/>
          </w:tcPr>
          <w:p w14:paraId="4B21C0EF"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 xml:space="preserve">   31.387 </w:t>
            </w:r>
          </w:p>
        </w:tc>
        <w:tc>
          <w:tcPr>
            <w:tcW w:w="343" w:type="pct"/>
            <w:tcBorders>
              <w:top w:val="nil"/>
              <w:left w:val="nil"/>
              <w:bottom w:val="nil"/>
              <w:right w:val="nil"/>
            </w:tcBorders>
            <w:shd w:val="clear" w:color="000000" w:fill="75F6F9"/>
            <w:noWrap/>
            <w:vAlign w:val="center"/>
            <w:hideMark/>
          </w:tcPr>
          <w:p w14:paraId="68F36617"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 xml:space="preserve">  91.763 </w:t>
            </w:r>
          </w:p>
        </w:tc>
        <w:tc>
          <w:tcPr>
            <w:tcW w:w="469" w:type="pct"/>
            <w:tcBorders>
              <w:top w:val="nil"/>
              <w:left w:val="nil"/>
              <w:bottom w:val="nil"/>
              <w:right w:val="nil"/>
            </w:tcBorders>
            <w:shd w:val="clear" w:color="000000" w:fill="75F6F9"/>
            <w:noWrap/>
            <w:vAlign w:val="center"/>
            <w:hideMark/>
          </w:tcPr>
          <w:p w14:paraId="5CA07551"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 xml:space="preserve">  31.513 </w:t>
            </w:r>
          </w:p>
        </w:tc>
        <w:tc>
          <w:tcPr>
            <w:tcW w:w="75" w:type="pct"/>
            <w:tcBorders>
              <w:top w:val="nil"/>
              <w:left w:val="nil"/>
              <w:bottom w:val="nil"/>
              <w:right w:val="nil"/>
            </w:tcBorders>
            <w:shd w:val="clear" w:color="auto" w:fill="auto"/>
            <w:noWrap/>
            <w:vAlign w:val="center"/>
            <w:hideMark/>
          </w:tcPr>
          <w:p w14:paraId="12C19306"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p>
        </w:tc>
        <w:tc>
          <w:tcPr>
            <w:tcW w:w="398" w:type="pct"/>
            <w:tcBorders>
              <w:top w:val="nil"/>
              <w:left w:val="nil"/>
              <w:bottom w:val="nil"/>
              <w:right w:val="nil"/>
            </w:tcBorders>
            <w:shd w:val="clear" w:color="000000" w:fill="75F6F9"/>
            <w:vAlign w:val="center"/>
            <w:hideMark/>
          </w:tcPr>
          <w:p w14:paraId="2732048E"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-65,8%</w:t>
            </w:r>
          </w:p>
        </w:tc>
        <w:tc>
          <w:tcPr>
            <w:tcW w:w="541" w:type="pct"/>
            <w:tcBorders>
              <w:top w:val="nil"/>
              <w:left w:val="nil"/>
              <w:bottom w:val="nil"/>
              <w:right w:val="nil"/>
            </w:tcBorders>
            <w:shd w:val="clear" w:color="000000" w:fill="75F6F9"/>
            <w:vAlign w:val="center"/>
            <w:hideMark/>
          </w:tcPr>
          <w:p w14:paraId="44E577FA"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-0,4%</w:t>
            </w:r>
          </w:p>
        </w:tc>
        <w:tc>
          <w:tcPr>
            <w:tcW w:w="76" w:type="pct"/>
            <w:tcBorders>
              <w:top w:val="nil"/>
              <w:left w:val="nil"/>
              <w:bottom w:val="nil"/>
              <w:right w:val="nil"/>
            </w:tcBorders>
            <w:shd w:val="clear" w:color="auto" w:fill="auto"/>
            <w:noWrap/>
            <w:vAlign w:val="bottom"/>
            <w:hideMark/>
          </w:tcPr>
          <w:p w14:paraId="32389B19"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p>
        </w:tc>
        <w:tc>
          <w:tcPr>
            <w:tcW w:w="464" w:type="pct"/>
            <w:tcBorders>
              <w:top w:val="nil"/>
              <w:left w:val="nil"/>
              <w:bottom w:val="nil"/>
              <w:right w:val="nil"/>
            </w:tcBorders>
            <w:shd w:val="clear" w:color="000000" w:fill="75F6F9"/>
            <w:noWrap/>
            <w:vAlign w:val="bottom"/>
            <w:hideMark/>
          </w:tcPr>
          <w:p w14:paraId="40A2C96D"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 xml:space="preserve">  240.187 </w:t>
            </w:r>
          </w:p>
        </w:tc>
        <w:tc>
          <w:tcPr>
            <w:tcW w:w="405" w:type="pct"/>
            <w:tcBorders>
              <w:top w:val="nil"/>
              <w:left w:val="nil"/>
              <w:bottom w:val="nil"/>
              <w:right w:val="nil"/>
            </w:tcBorders>
            <w:shd w:val="clear" w:color="000000" w:fill="75F6F9"/>
            <w:noWrap/>
            <w:vAlign w:val="bottom"/>
            <w:hideMark/>
          </w:tcPr>
          <w:p w14:paraId="40162F0B"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 xml:space="preserve">  241.525 </w:t>
            </w:r>
          </w:p>
        </w:tc>
        <w:tc>
          <w:tcPr>
            <w:tcW w:w="135" w:type="pct"/>
            <w:tcBorders>
              <w:top w:val="nil"/>
              <w:left w:val="nil"/>
              <w:bottom w:val="nil"/>
              <w:right w:val="nil"/>
            </w:tcBorders>
            <w:shd w:val="clear" w:color="auto" w:fill="auto"/>
            <w:noWrap/>
            <w:vAlign w:val="bottom"/>
            <w:hideMark/>
          </w:tcPr>
          <w:p w14:paraId="2E1787AC"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p>
        </w:tc>
        <w:tc>
          <w:tcPr>
            <w:tcW w:w="472" w:type="pct"/>
            <w:tcBorders>
              <w:top w:val="nil"/>
              <w:left w:val="nil"/>
              <w:bottom w:val="nil"/>
              <w:right w:val="nil"/>
            </w:tcBorders>
            <w:shd w:val="clear" w:color="000000" w:fill="75F6F9"/>
            <w:vAlign w:val="center"/>
            <w:hideMark/>
          </w:tcPr>
          <w:p w14:paraId="57BCA0AF"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-0,6%</w:t>
            </w:r>
          </w:p>
        </w:tc>
      </w:tr>
    </w:tbl>
    <w:p w14:paraId="3A8AB863" w14:textId="77777777" w:rsidR="00871656" w:rsidRDefault="00871656" w:rsidP="00871656">
      <w:pPr>
        <w:spacing w:after="0" w:line="240" w:lineRule="auto"/>
        <w:jc w:val="both"/>
        <w:rPr>
          <w:rFonts w:ascii="Calibri" w:eastAsia="Times New Roman" w:hAnsi="Calibri" w:cs="Calibri"/>
          <w:color w:val="002060"/>
          <w:kern w:val="0"/>
          <w14:ligatures w14:val="none"/>
        </w:rPr>
      </w:pPr>
    </w:p>
    <w:p w14:paraId="5E16375E" w14:textId="77777777" w:rsidR="00AA1F87" w:rsidRPr="00AA1F87" w:rsidRDefault="00AA1F87" w:rsidP="00AA1F87">
      <w:pPr>
        <w:spacing w:after="0" w:line="240" w:lineRule="auto"/>
        <w:jc w:val="both"/>
        <w:rPr>
          <w:rFonts w:ascii="Calibri" w:eastAsia="Times New Roman" w:hAnsi="Calibri" w:cs="Calibri"/>
          <w:color w:val="002060"/>
          <w:kern w:val="0"/>
          <w14:ligatures w14:val="none"/>
        </w:rPr>
      </w:pPr>
      <w:proofErr w:type="spellStart"/>
      <w:r w:rsidRPr="00AA1F87">
        <w:rPr>
          <w:rFonts w:ascii="Calibri" w:eastAsia="Times New Roman" w:hAnsi="Calibri" w:cs="Calibri"/>
          <w:b/>
          <w:color w:val="002060"/>
          <w:kern w:val="0"/>
          <w14:ligatures w14:val="none"/>
        </w:rPr>
        <w:t>ii</w:t>
      </w:r>
      <w:proofErr w:type="spellEnd"/>
      <w:r w:rsidRPr="00AA1F87">
        <w:rPr>
          <w:rFonts w:ascii="Calibri" w:eastAsia="Times New Roman" w:hAnsi="Calibri" w:cs="Calibri"/>
          <w:b/>
          <w:color w:val="002060"/>
          <w:kern w:val="0"/>
          <w14:ligatures w14:val="none"/>
        </w:rPr>
        <w:t>) Superávit de Previdência Privada:</w:t>
      </w:r>
      <w:r w:rsidRPr="00AA1F87">
        <w:rPr>
          <w:rFonts w:ascii="Calibri" w:eastAsia="Times New Roman" w:hAnsi="Calibri" w:cs="Calibri"/>
          <w:color w:val="002060"/>
          <w:kern w:val="0"/>
          <w14:ligatures w14:val="none"/>
        </w:rPr>
        <w:t xml:space="preserve"> Trata-se do reconhecimento do superávit relativo aos planos PBS-A e PBS-Telebras distribuídos pela Sistel e que serão recebidos pela Telebras em 36 parcelas mensais.</w:t>
      </w:r>
    </w:p>
    <w:p w14:paraId="450E403A" w14:textId="77777777" w:rsidR="00AA1F87" w:rsidRPr="00AA1F87" w:rsidRDefault="00AA1F87" w:rsidP="00AA1F87">
      <w:pPr>
        <w:spacing w:after="0" w:line="240" w:lineRule="auto"/>
        <w:jc w:val="both"/>
        <w:rPr>
          <w:rFonts w:ascii="Calibri" w:eastAsia="Times New Roman" w:hAnsi="Calibri" w:cs="Calibri"/>
          <w:b/>
          <w:color w:val="002060"/>
          <w:kern w:val="0"/>
          <w14:ligatures w14:val="none"/>
        </w:rPr>
      </w:pPr>
      <w:proofErr w:type="spellStart"/>
      <w:r w:rsidRPr="00AA1F87">
        <w:rPr>
          <w:rFonts w:ascii="Calibri" w:eastAsia="Times New Roman" w:hAnsi="Calibri" w:cs="Calibri"/>
          <w:b/>
          <w:color w:val="002060"/>
          <w:kern w:val="0"/>
          <w14:ligatures w14:val="none"/>
        </w:rPr>
        <w:t>iii</w:t>
      </w:r>
      <w:proofErr w:type="spellEnd"/>
      <w:r w:rsidRPr="00AA1F87">
        <w:rPr>
          <w:rFonts w:ascii="Calibri" w:eastAsia="Times New Roman" w:hAnsi="Calibri" w:cs="Calibri"/>
          <w:b/>
          <w:color w:val="002060"/>
          <w:kern w:val="0"/>
          <w14:ligatures w14:val="none"/>
        </w:rPr>
        <w:t>) Multas sobre Contas a Receber – Contratos:</w:t>
      </w:r>
      <w:r w:rsidRPr="00AA1F87">
        <w:rPr>
          <w:rFonts w:ascii="Calibri" w:eastAsia="Times New Roman" w:hAnsi="Calibri" w:cs="Calibri"/>
          <w:color w:val="002060"/>
          <w:kern w:val="0"/>
          <w14:ligatures w14:val="none"/>
        </w:rPr>
        <w:t xml:space="preserve"> No ano de 2023, a Companhia reconheceu no resultado do período o valor relativo às multas aplicadas pela Dataprev sobre o contrato de prestação de serviços em decorrência de penalidades aplicadas na execução dos serviços. A Telebras vinha mantendo conversações com a Dataprev, no sentido de reverter tais penalidades, mas não obteve sucesso. O montante dessas multas foi de R$ 39,4 milhões.</w:t>
      </w:r>
    </w:p>
    <w:p w14:paraId="4EC2BBB3" w14:textId="77777777" w:rsidR="00AA1F87" w:rsidRPr="00AA1F87" w:rsidRDefault="00AA1F87" w:rsidP="00AA1F87">
      <w:pPr>
        <w:spacing w:after="0" w:line="240" w:lineRule="auto"/>
        <w:jc w:val="both"/>
        <w:rPr>
          <w:rFonts w:ascii="Calibri" w:eastAsia="Times New Roman" w:hAnsi="Calibri" w:cs="Calibri"/>
          <w:color w:val="002060"/>
          <w:kern w:val="0"/>
          <w14:ligatures w14:val="none"/>
        </w:rPr>
      </w:pPr>
      <w:proofErr w:type="spellStart"/>
      <w:r w:rsidRPr="00AA1F87">
        <w:rPr>
          <w:rFonts w:ascii="Calibri" w:eastAsia="Times New Roman" w:hAnsi="Calibri" w:cs="Calibri"/>
          <w:b/>
          <w:color w:val="002060"/>
          <w:kern w:val="0"/>
          <w14:ligatures w14:val="none"/>
        </w:rPr>
        <w:t>iv</w:t>
      </w:r>
      <w:proofErr w:type="spellEnd"/>
      <w:r w:rsidRPr="00AA1F87">
        <w:rPr>
          <w:rFonts w:ascii="Calibri" w:eastAsia="Times New Roman" w:hAnsi="Calibri" w:cs="Calibri"/>
          <w:b/>
          <w:color w:val="002060"/>
          <w:kern w:val="0"/>
          <w14:ligatures w14:val="none"/>
        </w:rPr>
        <w:t>) Baixa de Ativos por Perdas – Tributos:</w:t>
      </w:r>
      <w:r w:rsidRPr="00AA1F87">
        <w:rPr>
          <w:rFonts w:ascii="Calibri" w:eastAsia="Times New Roman" w:hAnsi="Calibri" w:cs="Calibri"/>
          <w:color w:val="002060"/>
          <w:kern w:val="0"/>
          <w14:ligatures w14:val="none"/>
        </w:rPr>
        <w:t xml:space="preserve"> Representa o valor baixado dos créditos de ICMS por impossibilidade de recuperabilidade.</w:t>
      </w:r>
    </w:p>
    <w:p w14:paraId="7B94EB02" w14:textId="77777777" w:rsidR="00AA1F87" w:rsidRPr="00AA1F87" w:rsidRDefault="00AA1F87" w:rsidP="00AA1F87">
      <w:pPr>
        <w:spacing w:after="0" w:line="240" w:lineRule="auto"/>
        <w:jc w:val="both"/>
        <w:rPr>
          <w:rFonts w:ascii="Calibri" w:eastAsia="Times New Roman" w:hAnsi="Calibri" w:cs="Calibri"/>
          <w:color w:val="002060"/>
          <w:kern w:val="0"/>
          <w14:ligatures w14:val="none"/>
        </w:rPr>
      </w:pPr>
      <w:r w:rsidRPr="00AA1F87">
        <w:rPr>
          <w:rFonts w:ascii="Calibri" w:eastAsia="Times New Roman" w:hAnsi="Calibri" w:cs="Calibri"/>
          <w:b/>
          <w:color w:val="002060"/>
          <w:kern w:val="0"/>
          <w14:ligatures w14:val="none"/>
        </w:rPr>
        <w:t>v) Baixa de Bens do Ativo Imobilizado:</w:t>
      </w:r>
      <w:r w:rsidRPr="00AA1F87">
        <w:rPr>
          <w:rFonts w:ascii="Calibri" w:eastAsia="Times New Roman" w:hAnsi="Calibri" w:cs="Calibri"/>
          <w:color w:val="002060"/>
          <w:kern w:val="0"/>
          <w14:ligatures w14:val="none"/>
        </w:rPr>
        <w:t xml:space="preserve"> A redução de 97,7% é explicada pelo maior volume de baixas realizadas nos 12M22 devido ao resultado do inventário dos bens da Telebras concluído naquele período.</w:t>
      </w:r>
    </w:p>
    <w:p w14:paraId="3514EE17" w14:textId="77777777" w:rsidR="00AA1F87" w:rsidRPr="00AA1F87" w:rsidRDefault="00AA1F87" w:rsidP="00AA1F87">
      <w:pPr>
        <w:spacing w:after="0" w:line="240" w:lineRule="auto"/>
        <w:jc w:val="both"/>
        <w:rPr>
          <w:rFonts w:ascii="Calibri" w:eastAsia="Times New Roman" w:hAnsi="Calibri" w:cs="Calibri"/>
          <w:b/>
          <w:bCs/>
          <w:color w:val="002060"/>
          <w:kern w:val="0"/>
          <w:u w:val="single"/>
          <w14:ligatures w14:val="none"/>
        </w:rPr>
      </w:pPr>
      <w:r w:rsidRPr="00AA1F87">
        <w:rPr>
          <w:rFonts w:ascii="Calibri" w:eastAsia="Times New Roman" w:hAnsi="Calibri" w:cs="Calibri"/>
          <w:b/>
          <w:bCs/>
          <w:color w:val="002060"/>
          <w:kern w:val="0"/>
          <w:u w:val="single"/>
          <w14:ligatures w14:val="none"/>
        </w:rPr>
        <w:t>Resultado Financeiro</w:t>
      </w:r>
    </w:p>
    <w:tbl>
      <w:tblPr>
        <w:tblW w:w="5000" w:type="pct"/>
        <w:tblCellMar>
          <w:left w:w="70" w:type="dxa"/>
          <w:right w:w="70" w:type="dxa"/>
        </w:tblCellMar>
        <w:tblLook w:val="04A0" w:firstRow="1" w:lastRow="0" w:firstColumn="1" w:lastColumn="0" w:noHBand="0" w:noVBand="1"/>
      </w:tblPr>
      <w:tblGrid>
        <w:gridCol w:w="3692"/>
        <w:gridCol w:w="737"/>
        <w:gridCol w:w="738"/>
        <w:gridCol w:w="738"/>
        <w:gridCol w:w="146"/>
        <w:gridCol w:w="581"/>
        <w:gridCol w:w="656"/>
        <w:gridCol w:w="146"/>
        <w:gridCol w:w="810"/>
        <w:gridCol w:w="810"/>
        <w:gridCol w:w="146"/>
        <w:gridCol w:w="581"/>
      </w:tblGrid>
      <w:tr w:rsidR="00AA1F87" w:rsidRPr="00AA1F87" w14:paraId="26BC7872" w14:textId="77777777" w:rsidTr="00446A14">
        <w:trPr>
          <w:trHeight w:val="227"/>
        </w:trPr>
        <w:tc>
          <w:tcPr>
            <w:tcW w:w="1877" w:type="pct"/>
            <w:tcBorders>
              <w:top w:val="nil"/>
              <w:left w:val="nil"/>
              <w:bottom w:val="nil"/>
              <w:right w:val="nil"/>
            </w:tcBorders>
            <w:shd w:val="clear" w:color="auto" w:fill="auto"/>
            <w:noWrap/>
            <w:vAlign w:val="bottom"/>
            <w:hideMark/>
          </w:tcPr>
          <w:p w14:paraId="01A5AF0F"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1875" w:type="pct"/>
            <w:gridSpan w:val="6"/>
            <w:tcBorders>
              <w:top w:val="nil"/>
              <w:left w:val="nil"/>
              <w:bottom w:val="single" w:sz="8" w:space="0" w:color="auto"/>
              <w:right w:val="nil"/>
            </w:tcBorders>
            <w:shd w:val="clear" w:color="auto" w:fill="auto"/>
            <w:noWrap/>
            <w:vAlign w:val="center"/>
            <w:hideMark/>
          </w:tcPr>
          <w:p w14:paraId="4C3970DF" w14:textId="77777777" w:rsidR="00AA1F87" w:rsidRPr="00AA1F87" w:rsidRDefault="00AA1F87" w:rsidP="00AA1F87">
            <w:pPr>
              <w:spacing w:after="0" w:line="240" w:lineRule="auto"/>
              <w:jc w:val="center"/>
              <w:rPr>
                <w:rFonts w:ascii="Arial" w:eastAsia="Times New Roman" w:hAnsi="Arial" w:cs="Arial"/>
                <w:b/>
                <w:bCs/>
                <w:color w:val="000000"/>
                <w:kern w:val="0"/>
                <w:sz w:val="14"/>
                <w:szCs w:val="14"/>
                <w:lang w:eastAsia="pt-BR"/>
                <w14:ligatures w14:val="none"/>
              </w:rPr>
            </w:pPr>
            <w:r w:rsidRPr="00AA1F87">
              <w:rPr>
                <w:rFonts w:ascii="Arial" w:eastAsia="Times New Roman" w:hAnsi="Arial" w:cs="Arial"/>
                <w:b/>
                <w:bCs/>
                <w:color w:val="000000"/>
                <w:kern w:val="0"/>
                <w:sz w:val="14"/>
                <w:szCs w:val="14"/>
                <w:lang w:eastAsia="pt-BR"/>
                <w14:ligatures w14:val="none"/>
              </w:rPr>
              <w:t>Trimestres</w:t>
            </w:r>
          </w:p>
        </w:tc>
        <w:tc>
          <w:tcPr>
            <w:tcW w:w="70" w:type="pct"/>
            <w:tcBorders>
              <w:top w:val="nil"/>
              <w:left w:val="nil"/>
              <w:bottom w:val="nil"/>
              <w:right w:val="nil"/>
            </w:tcBorders>
            <w:shd w:val="clear" w:color="auto" w:fill="auto"/>
            <w:noWrap/>
            <w:vAlign w:val="bottom"/>
            <w:hideMark/>
          </w:tcPr>
          <w:p w14:paraId="52ABEB1C" w14:textId="77777777" w:rsidR="00AA1F87" w:rsidRPr="00AA1F87" w:rsidRDefault="00AA1F87" w:rsidP="00AA1F87">
            <w:pPr>
              <w:spacing w:after="0" w:line="240" w:lineRule="auto"/>
              <w:jc w:val="center"/>
              <w:rPr>
                <w:rFonts w:ascii="Arial" w:eastAsia="Times New Roman" w:hAnsi="Arial" w:cs="Arial"/>
                <w:b/>
                <w:bCs/>
                <w:color w:val="000000"/>
                <w:kern w:val="0"/>
                <w:sz w:val="14"/>
                <w:szCs w:val="14"/>
                <w:lang w:eastAsia="pt-BR"/>
                <w14:ligatures w14:val="none"/>
              </w:rPr>
            </w:pPr>
          </w:p>
        </w:tc>
        <w:tc>
          <w:tcPr>
            <w:tcW w:w="408" w:type="pct"/>
            <w:tcBorders>
              <w:top w:val="nil"/>
              <w:left w:val="nil"/>
              <w:bottom w:val="nil"/>
              <w:right w:val="nil"/>
            </w:tcBorders>
            <w:shd w:val="clear" w:color="auto" w:fill="auto"/>
            <w:noWrap/>
            <w:vAlign w:val="bottom"/>
            <w:hideMark/>
          </w:tcPr>
          <w:p w14:paraId="28677D25"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408" w:type="pct"/>
            <w:tcBorders>
              <w:top w:val="nil"/>
              <w:left w:val="nil"/>
              <w:bottom w:val="nil"/>
              <w:right w:val="nil"/>
            </w:tcBorders>
            <w:shd w:val="clear" w:color="auto" w:fill="auto"/>
            <w:noWrap/>
            <w:vAlign w:val="bottom"/>
            <w:hideMark/>
          </w:tcPr>
          <w:p w14:paraId="2538C477"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70" w:type="pct"/>
            <w:tcBorders>
              <w:top w:val="nil"/>
              <w:left w:val="nil"/>
              <w:bottom w:val="nil"/>
              <w:right w:val="nil"/>
            </w:tcBorders>
            <w:shd w:val="clear" w:color="auto" w:fill="auto"/>
            <w:noWrap/>
            <w:vAlign w:val="bottom"/>
            <w:hideMark/>
          </w:tcPr>
          <w:p w14:paraId="0DD5E2C6"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291" w:type="pct"/>
            <w:tcBorders>
              <w:top w:val="nil"/>
              <w:left w:val="nil"/>
              <w:bottom w:val="nil"/>
              <w:right w:val="nil"/>
            </w:tcBorders>
            <w:shd w:val="clear" w:color="auto" w:fill="auto"/>
            <w:noWrap/>
            <w:vAlign w:val="bottom"/>
            <w:hideMark/>
          </w:tcPr>
          <w:p w14:paraId="61697BBA"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r>
      <w:tr w:rsidR="00AA1F87" w:rsidRPr="00AA1F87" w14:paraId="1E97F6A3" w14:textId="77777777" w:rsidTr="00446A14">
        <w:trPr>
          <w:trHeight w:val="92"/>
        </w:trPr>
        <w:tc>
          <w:tcPr>
            <w:tcW w:w="1877" w:type="pct"/>
            <w:tcBorders>
              <w:top w:val="nil"/>
              <w:left w:val="nil"/>
              <w:bottom w:val="nil"/>
              <w:right w:val="nil"/>
            </w:tcBorders>
            <w:shd w:val="clear" w:color="auto" w:fill="auto"/>
            <w:noWrap/>
            <w:vAlign w:val="bottom"/>
            <w:hideMark/>
          </w:tcPr>
          <w:p w14:paraId="27657A24"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442" w:type="pct"/>
            <w:tcBorders>
              <w:top w:val="nil"/>
              <w:left w:val="nil"/>
              <w:bottom w:val="nil"/>
              <w:right w:val="nil"/>
            </w:tcBorders>
            <w:shd w:val="clear" w:color="auto" w:fill="auto"/>
            <w:noWrap/>
            <w:vAlign w:val="bottom"/>
            <w:hideMark/>
          </w:tcPr>
          <w:p w14:paraId="7B0B90EA"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371" w:type="pct"/>
            <w:tcBorders>
              <w:top w:val="nil"/>
              <w:left w:val="nil"/>
              <w:bottom w:val="nil"/>
              <w:right w:val="nil"/>
            </w:tcBorders>
            <w:shd w:val="clear" w:color="auto" w:fill="auto"/>
            <w:noWrap/>
            <w:vAlign w:val="bottom"/>
            <w:hideMark/>
          </w:tcPr>
          <w:p w14:paraId="05C3590C"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371" w:type="pct"/>
            <w:tcBorders>
              <w:top w:val="nil"/>
              <w:left w:val="nil"/>
              <w:bottom w:val="nil"/>
              <w:right w:val="nil"/>
            </w:tcBorders>
            <w:shd w:val="clear" w:color="auto" w:fill="auto"/>
            <w:noWrap/>
            <w:vAlign w:val="bottom"/>
            <w:hideMark/>
          </w:tcPr>
          <w:p w14:paraId="323BD489"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70" w:type="pct"/>
            <w:tcBorders>
              <w:top w:val="nil"/>
              <w:left w:val="nil"/>
              <w:bottom w:val="nil"/>
              <w:right w:val="nil"/>
            </w:tcBorders>
            <w:shd w:val="clear" w:color="auto" w:fill="auto"/>
            <w:noWrap/>
            <w:vAlign w:val="bottom"/>
            <w:hideMark/>
          </w:tcPr>
          <w:p w14:paraId="3C5567EF"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291" w:type="pct"/>
            <w:tcBorders>
              <w:top w:val="nil"/>
              <w:left w:val="nil"/>
              <w:bottom w:val="nil"/>
              <w:right w:val="nil"/>
            </w:tcBorders>
            <w:shd w:val="clear" w:color="auto" w:fill="auto"/>
            <w:noWrap/>
            <w:vAlign w:val="bottom"/>
            <w:hideMark/>
          </w:tcPr>
          <w:p w14:paraId="3380FF56"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329" w:type="pct"/>
            <w:tcBorders>
              <w:top w:val="nil"/>
              <w:left w:val="nil"/>
              <w:bottom w:val="nil"/>
              <w:right w:val="nil"/>
            </w:tcBorders>
            <w:shd w:val="clear" w:color="auto" w:fill="auto"/>
            <w:noWrap/>
            <w:vAlign w:val="bottom"/>
            <w:hideMark/>
          </w:tcPr>
          <w:p w14:paraId="76D052F7"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70" w:type="pct"/>
            <w:tcBorders>
              <w:top w:val="nil"/>
              <w:left w:val="nil"/>
              <w:bottom w:val="nil"/>
              <w:right w:val="nil"/>
            </w:tcBorders>
            <w:shd w:val="clear" w:color="auto" w:fill="auto"/>
            <w:noWrap/>
            <w:vAlign w:val="bottom"/>
            <w:hideMark/>
          </w:tcPr>
          <w:p w14:paraId="310BCDEF"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408" w:type="pct"/>
            <w:tcBorders>
              <w:top w:val="nil"/>
              <w:left w:val="nil"/>
              <w:bottom w:val="nil"/>
              <w:right w:val="nil"/>
            </w:tcBorders>
            <w:shd w:val="clear" w:color="auto" w:fill="auto"/>
            <w:noWrap/>
            <w:vAlign w:val="bottom"/>
            <w:hideMark/>
          </w:tcPr>
          <w:p w14:paraId="2CE81B93"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408" w:type="pct"/>
            <w:tcBorders>
              <w:top w:val="nil"/>
              <w:left w:val="nil"/>
              <w:bottom w:val="nil"/>
              <w:right w:val="nil"/>
            </w:tcBorders>
            <w:shd w:val="clear" w:color="auto" w:fill="auto"/>
            <w:noWrap/>
            <w:vAlign w:val="bottom"/>
            <w:hideMark/>
          </w:tcPr>
          <w:p w14:paraId="5F769065"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70" w:type="pct"/>
            <w:tcBorders>
              <w:top w:val="nil"/>
              <w:left w:val="nil"/>
              <w:bottom w:val="nil"/>
              <w:right w:val="nil"/>
            </w:tcBorders>
            <w:shd w:val="clear" w:color="auto" w:fill="auto"/>
            <w:noWrap/>
            <w:vAlign w:val="bottom"/>
            <w:hideMark/>
          </w:tcPr>
          <w:p w14:paraId="628E6328"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291" w:type="pct"/>
            <w:tcBorders>
              <w:top w:val="nil"/>
              <w:left w:val="nil"/>
              <w:bottom w:val="nil"/>
              <w:right w:val="nil"/>
            </w:tcBorders>
            <w:shd w:val="clear" w:color="auto" w:fill="auto"/>
            <w:noWrap/>
            <w:vAlign w:val="bottom"/>
            <w:hideMark/>
          </w:tcPr>
          <w:p w14:paraId="0B7EE806"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r>
      <w:tr w:rsidR="00AA1F87" w:rsidRPr="00AA1F87" w14:paraId="2610129B" w14:textId="77777777" w:rsidTr="00446A14">
        <w:trPr>
          <w:trHeight w:val="227"/>
        </w:trPr>
        <w:tc>
          <w:tcPr>
            <w:tcW w:w="1877" w:type="pct"/>
            <w:tcBorders>
              <w:top w:val="nil"/>
              <w:left w:val="nil"/>
              <w:bottom w:val="nil"/>
              <w:right w:val="nil"/>
            </w:tcBorders>
            <w:shd w:val="clear" w:color="000000" w:fill="75F6F9"/>
            <w:noWrap/>
            <w:vAlign w:val="center"/>
            <w:hideMark/>
          </w:tcPr>
          <w:p w14:paraId="46DD977E" w14:textId="77777777" w:rsidR="00AA1F87" w:rsidRPr="00AA1F87" w:rsidRDefault="00AA1F87" w:rsidP="00AA1F87">
            <w:pPr>
              <w:spacing w:after="0" w:line="240" w:lineRule="auto"/>
              <w:rPr>
                <w:rFonts w:ascii="Arial" w:eastAsia="Times New Roman" w:hAnsi="Arial" w:cs="Arial"/>
                <w:b/>
                <w:bCs/>
                <w:color w:val="000000"/>
                <w:kern w:val="0"/>
                <w:sz w:val="14"/>
                <w:szCs w:val="14"/>
                <w:lang w:eastAsia="pt-BR"/>
                <w14:ligatures w14:val="none"/>
              </w:rPr>
            </w:pPr>
            <w:r w:rsidRPr="00AA1F87">
              <w:rPr>
                <w:rFonts w:ascii="Arial" w:eastAsia="Times New Roman" w:hAnsi="Arial" w:cs="Arial"/>
                <w:b/>
                <w:bCs/>
                <w:color w:val="000000"/>
                <w:kern w:val="0"/>
                <w:sz w:val="14"/>
                <w:szCs w:val="14"/>
                <w:lang w:eastAsia="pt-BR"/>
                <w14:ligatures w14:val="none"/>
              </w:rPr>
              <w:t>R$ mil</w:t>
            </w:r>
          </w:p>
        </w:tc>
        <w:tc>
          <w:tcPr>
            <w:tcW w:w="442" w:type="pct"/>
            <w:tcBorders>
              <w:top w:val="nil"/>
              <w:left w:val="nil"/>
              <w:bottom w:val="nil"/>
              <w:right w:val="nil"/>
            </w:tcBorders>
            <w:shd w:val="clear" w:color="000000" w:fill="75F6F9"/>
            <w:noWrap/>
            <w:vAlign w:val="center"/>
            <w:hideMark/>
          </w:tcPr>
          <w:p w14:paraId="3E09932B" w14:textId="77777777" w:rsidR="00AA1F87" w:rsidRPr="00AA1F87" w:rsidRDefault="00AA1F87" w:rsidP="00AA1F87">
            <w:pPr>
              <w:spacing w:after="0" w:line="240" w:lineRule="auto"/>
              <w:jc w:val="center"/>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4T23</w:t>
            </w:r>
          </w:p>
        </w:tc>
        <w:tc>
          <w:tcPr>
            <w:tcW w:w="371" w:type="pct"/>
            <w:tcBorders>
              <w:top w:val="nil"/>
              <w:left w:val="nil"/>
              <w:bottom w:val="nil"/>
              <w:right w:val="nil"/>
            </w:tcBorders>
            <w:shd w:val="clear" w:color="000000" w:fill="75F6F9"/>
            <w:noWrap/>
            <w:vAlign w:val="center"/>
            <w:hideMark/>
          </w:tcPr>
          <w:p w14:paraId="105F9CA9" w14:textId="77777777" w:rsidR="00AA1F87" w:rsidRPr="00AA1F87" w:rsidRDefault="00AA1F87" w:rsidP="00AA1F87">
            <w:pPr>
              <w:spacing w:after="0" w:line="240" w:lineRule="auto"/>
              <w:jc w:val="center"/>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4T22</w:t>
            </w:r>
          </w:p>
        </w:tc>
        <w:tc>
          <w:tcPr>
            <w:tcW w:w="371" w:type="pct"/>
            <w:tcBorders>
              <w:top w:val="nil"/>
              <w:left w:val="nil"/>
              <w:bottom w:val="nil"/>
              <w:right w:val="nil"/>
            </w:tcBorders>
            <w:shd w:val="clear" w:color="000000" w:fill="75F6F9"/>
            <w:noWrap/>
            <w:vAlign w:val="center"/>
            <w:hideMark/>
          </w:tcPr>
          <w:p w14:paraId="3F09B02C" w14:textId="77777777" w:rsidR="00AA1F87" w:rsidRPr="00AA1F87" w:rsidRDefault="00AA1F87" w:rsidP="00AA1F87">
            <w:pPr>
              <w:spacing w:after="0" w:line="240" w:lineRule="auto"/>
              <w:jc w:val="center"/>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3T23</w:t>
            </w:r>
          </w:p>
        </w:tc>
        <w:tc>
          <w:tcPr>
            <w:tcW w:w="70" w:type="pct"/>
            <w:tcBorders>
              <w:top w:val="nil"/>
              <w:left w:val="nil"/>
              <w:bottom w:val="nil"/>
              <w:right w:val="nil"/>
            </w:tcBorders>
            <w:shd w:val="clear" w:color="auto" w:fill="auto"/>
            <w:noWrap/>
            <w:vAlign w:val="bottom"/>
            <w:hideMark/>
          </w:tcPr>
          <w:p w14:paraId="71B86B56" w14:textId="77777777" w:rsidR="00AA1F87" w:rsidRPr="00AA1F87" w:rsidRDefault="00AA1F87" w:rsidP="00AA1F87">
            <w:pPr>
              <w:spacing w:after="0" w:line="240" w:lineRule="auto"/>
              <w:jc w:val="center"/>
              <w:rPr>
                <w:rFonts w:ascii="Arial" w:eastAsia="Times New Roman" w:hAnsi="Arial" w:cs="Arial"/>
                <w:b/>
                <w:bCs/>
                <w:color w:val="000000"/>
                <w:kern w:val="0"/>
                <w:sz w:val="16"/>
                <w:szCs w:val="16"/>
                <w:lang w:eastAsia="pt-BR"/>
                <w14:ligatures w14:val="none"/>
              </w:rPr>
            </w:pPr>
          </w:p>
        </w:tc>
        <w:tc>
          <w:tcPr>
            <w:tcW w:w="291" w:type="pct"/>
            <w:tcBorders>
              <w:top w:val="nil"/>
              <w:left w:val="nil"/>
              <w:bottom w:val="nil"/>
              <w:right w:val="nil"/>
            </w:tcBorders>
            <w:shd w:val="clear" w:color="000000" w:fill="75F6F9"/>
            <w:noWrap/>
            <w:vAlign w:val="center"/>
            <w:hideMark/>
          </w:tcPr>
          <w:p w14:paraId="4AFABCE6" w14:textId="77777777" w:rsidR="00AA1F87" w:rsidRPr="00AA1F87" w:rsidRDefault="00AA1F87" w:rsidP="00AA1F87">
            <w:pPr>
              <w:spacing w:after="0" w:line="240" w:lineRule="auto"/>
              <w:jc w:val="center"/>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Δ Ano</w:t>
            </w:r>
          </w:p>
        </w:tc>
        <w:tc>
          <w:tcPr>
            <w:tcW w:w="329" w:type="pct"/>
            <w:tcBorders>
              <w:top w:val="nil"/>
              <w:left w:val="nil"/>
              <w:bottom w:val="nil"/>
              <w:right w:val="nil"/>
            </w:tcBorders>
            <w:shd w:val="clear" w:color="000000" w:fill="75F6F9"/>
            <w:noWrap/>
            <w:vAlign w:val="center"/>
            <w:hideMark/>
          </w:tcPr>
          <w:p w14:paraId="102DAABC" w14:textId="77777777" w:rsidR="00AA1F87" w:rsidRPr="00AA1F87" w:rsidRDefault="00AA1F87" w:rsidP="00AA1F87">
            <w:pPr>
              <w:spacing w:after="0" w:line="240" w:lineRule="auto"/>
              <w:jc w:val="center"/>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Δ Trim.</w:t>
            </w:r>
          </w:p>
        </w:tc>
        <w:tc>
          <w:tcPr>
            <w:tcW w:w="70" w:type="pct"/>
            <w:tcBorders>
              <w:top w:val="nil"/>
              <w:left w:val="nil"/>
              <w:bottom w:val="nil"/>
              <w:right w:val="nil"/>
            </w:tcBorders>
            <w:shd w:val="clear" w:color="auto" w:fill="auto"/>
            <w:noWrap/>
            <w:vAlign w:val="bottom"/>
            <w:hideMark/>
          </w:tcPr>
          <w:p w14:paraId="42FBA658" w14:textId="77777777" w:rsidR="00AA1F87" w:rsidRPr="00AA1F87" w:rsidRDefault="00AA1F87" w:rsidP="00AA1F87">
            <w:pPr>
              <w:spacing w:after="0" w:line="240" w:lineRule="auto"/>
              <w:jc w:val="center"/>
              <w:rPr>
                <w:rFonts w:ascii="Arial" w:eastAsia="Times New Roman" w:hAnsi="Arial" w:cs="Arial"/>
                <w:b/>
                <w:bCs/>
                <w:color w:val="000000"/>
                <w:kern w:val="0"/>
                <w:sz w:val="16"/>
                <w:szCs w:val="16"/>
                <w:lang w:eastAsia="pt-BR"/>
                <w14:ligatures w14:val="none"/>
              </w:rPr>
            </w:pPr>
          </w:p>
        </w:tc>
        <w:tc>
          <w:tcPr>
            <w:tcW w:w="408" w:type="pct"/>
            <w:tcBorders>
              <w:top w:val="nil"/>
              <w:left w:val="nil"/>
              <w:bottom w:val="nil"/>
              <w:right w:val="nil"/>
            </w:tcBorders>
            <w:shd w:val="clear" w:color="000000" w:fill="75F6F9"/>
            <w:noWrap/>
            <w:vAlign w:val="center"/>
            <w:hideMark/>
          </w:tcPr>
          <w:p w14:paraId="4B2952B6" w14:textId="77777777" w:rsidR="00AA1F87" w:rsidRPr="00AA1F87" w:rsidRDefault="00AA1F87" w:rsidP="00AA1F87">
            <w:pPr>
              <w:spacing w:after="0" w:line="240" w:lineRule="auto"/>
              <w:jc w:val="center"/>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2023</w:t>
            </w:r>
          </w:p>
        </w:tc>
        <w:tc>
          <w:tcPr>
            <w:tcW w:w="408" w:type="pct"/>
            <w:tcBorders>
              <w:top w:val="nil"/>
              <w:left w:val="nil"/>
              <w:bottom w:val="nil"/>
              <w:right w:val="nil"/>
            </w:tcBorders>
            <w:shd w:val="clear" w:color="000000" w:fill="75F6F9"/>
            <w:noWrap/>
            <w:vAlign w:val="center"/>
            <w:hideMark/>
          </w:tcPr>
          <w:p w14:paraId="0B56FAAB" w14:textId="77777777" w:rsidR="00AA1F87" w:rsidRPr="00AA1F87" w:rsidRDefault="00AA1F87" w:rsidP="00AA1F87">
            <w:pPr>
              <w:spacing w:after="0" w:line="240" w:lineRule="auto"/>
              <w:jc w:val="center"/>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2022</w:t>
            </w:r>
          </w:p>
        </w:tc>
        <w:tc>
          <w:tcPr>
            <w:tcW w:w="70" w:type="pct"/>
            <w:tcBorders>
              <w:top w:val="nil"/>
              <w:left w:val="nil"/>
              <w:bottom w:val="nil"/>
              <w:right w:val="nil"/>
            </w:tcBorders>
            <w:shd w:val="clear" w:color="auto" w:fill="auto"/>
            <w:noWrap/>
            <w:vAlign w:val="bottom"/>
            <w:hideMark/>
          </w:tcPr>
          <w:p w14:paraId="22DB30D7" w14:textId="77777777" w:rsidR="00AA1F87" w:rsidRPr="00AA1F87" w:rsidRDefault="00AA1F87" w:rsidP="00AA1F87">
            <w:pPr>
              <w:spacing w:after="0" w:line="240" w:lineRule="auto"/>
              <w:jc w:val="center"/>
              <w:rPr>
                <w:rFonts w:ascii="Arial" w:eastAsia="Times New Roman" w:hAnsi="Arial" w:cs="Arial"/>
                <w:b/>
                <w:bCs/>
                <w:color w:val="000000"/>
                <w:kern w:val="0"/>
                <w:sz w:val="16"/>
                <w:szCs w:val="16"/>
                <w:lang w:eastAsia="pt-BR"/>
                <w14:ligatures w14:val="none"/>
              </w:rPr>
            </w:pPr>
          </w:p>
        </w:tc>
        <w:tc>
          <w:tcPr>
            <w:tcW w:w="291" w:type="pct"/>
            <w:tcBorders>
              <w:top w:val="nil"/>
              <w:left w:val="nil"/>
              <w:bottom w:val="nil"/>
              <w:right w:val="nil"/>
            </w:tcBorders>
            <w:shd w:val="clear" w:color="000000" w:fill="75F6F9"/>
            <w:noWrap/>
            <w:vAlign w:val="center"/>
            <w:hideMark/>
          </w:tcPr>
          <w:p w14:paraId="4DED5CDB" w14:textId="77777777" w:rsidR="00AA1F87" w:rsidRPr="00AA1F87" w:rsidRDefault="00AA1F87" w:rsidP="00AA1F87">
            <w:pPr>
              <w:spacing w:after="0" w:line="240" w:lineRule="auto"/>
              <w:jc w:val="center"/>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Δ Ano</w:t>
            </w:r>
          </w:p>
        </w:tc>
      </w:tr>
      <w:tr w:rsidR="00AA1F87" w:rsidRPr="00AA1F87" w14:paraId="292858A9" w14:textId="77777777" w:rsidTr="00446A14">
        <w:trPr>
          <w:trHeight w:val="227"/>
        </w:trPr>
        <w:tc>
          <w:tcPr>
            <w:tcW w:w="1877" w:type="pct"/>
            <w:tcBorders>
              <w:top w:val="nil"/>
              <w:left w:val="nil"/>
              <w:bottom w:val="nil"/>
              <w:right w:val="nil"/>
            </w:tcBorders>
            <w:shd w:val="clear" w:color="auto" w:fill="auto"/>
            <w:noWrap/>
            <w:vAlign w:val="center"/>
            <w:hideMark/>
          </w:tcPr>
          <w:p w14:paraId="51A67E01" w14:textId="77777777" w:rsidR="00AA1F87" w:rsidRPr="00AA1F87" w:rsidRDefault="00AA1F87" w:rsidP="00AA1F87">
            <w:pPr>
              <w:spacing w:after="0" w:line="240" w:lineRule="auto"/>
              <w:rPr>
                <w:rFonts w:ascii="Arial" w:eastAsia="Times New Roman" w:hAnsi="Arial" w:cs="Arial"/>
                <w:b/>
                <w:bCs/>
                <w:color w:val="000000"/>
                <w:kern w:val="0"/>
                <w:sz w:val="14"/>
                <w:szCs w:val="14"/>
                <w:lang w:eastAsia="pt-BR"/>
                <w14:ligatures w14:val="none"/>
              </w:rPr>
            </w:pPr>
            <w:r w:rsidRPr="00AA1F87">
              <w:rPr>
                <w:rFonts w:ascii="Arial" w:eastAsia="Times New Roman" w:hAnsi="Arial" w:cs="Arial"/>
                <w:b/>
                <w:bCs/>
                <w:color w:val="000000"/>
                <w:kern w:val="0"/>
                <w:sz w:val="14"/>
                <w:szCs w:val="14"/>
                <w:lang w:eastAsia="pt-BR"/>
                <w14:ligatures w14:val="none"/>
              </w:rPr>
              <w:t>Receitas Financeiras</w:t>
            </w:r>
          </w:p>
        </w:tc>
        <w:tc>
          <w:tcPr>
            <w:tcW w:w="442" w:type="pct"/>
            <w:tcBorders>
              <w:top w:val="nil"/>
              <w:left w:val="nil"/>
              <w:bottom w:val="nil"/>
              <w:right w:val="nil"/>
            </w:tcBorders>
            <w:shd w:val="clear" w:color="000000" w:fill="D9E1F2"/>
            <w:noWrap/>
            <w:vAlign w:val="center"/>
            <w:hideMark/>
          </w:tcPr>
          <w:p w14:paraId="7B3CC0F4" w14:textId="77777777" w:rsidR="00AA1F87" w:rsidRPr="00AA1F87" w:rsidRDefault="00AA1F87" w:rsidP="00AA1F87">
            <w:pPr>
              <w:spacing w:after="0" w:line="240" w:lineRule="auto"/>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w:t>
            </w:r>
          </w:p>
        </w:tc>
        <w:tc>
          <w:tcPr>
            <w:tcW w:w="371" w:type="pct"/>
            <w:tcBorders>
              <w:top w:val="nil"/>
              <w:left w:val="nil"/>
              <w:bottom w:val="nil"/>
              <w:right w:val="nil"/>
            </w:tcBorders>
            <w:shd w:val="clear" w:color="auto" w:fill="auto"/>
            <w:noWrap/>
            <w:vAlign w:val="center"/>
            <w:hideMark/>
          </w:tcPr>
          <w:p w14:paraId="64C3539D" w14:textId="77777777" w:rsidR="00AA1F87" w:rsidRPr="00AA1F87" w:rsidRDefault="00AA1F87" w:rsidP="00AA1F87">
            <w:pPr>
              <w:spacing w:after="0" w:line="240" w:lineRule="auto"/>
              <w:rPr>
                <w:rFonts w:ascii="Arial" w:eastAsia="Times New Roman" w:hAnsi="Arial" w:cs="Arial"/>
                <w:color w:val="000000"/>
                <w:kern w:val="0"/>
                <w:sz w:val="14"/>
                <w:szCs w:val="14"/>
                <w:lang w:eastAsia="pt-BR"/>
                <w14:ligatures w14:val="none"/>
              </w:rPr>
            </w:pPr>
          </w:p>
        </w:tc>
        <w:tc>
          <w:tcPr>
            <w:tcW w:w="371" w:type="pct"/>
            <w:tcBorders>
              <w:top w:val="nil"/>
              <w:left w:val="nil"/>
              <w:bottom w:val="nil"/>
              <w:right w:val="nil"/>
            </w:tcBorders>
            <w:shd w:val="clear" w:color="auto" w:fill="auto"/>
            <w:noWrap/>
            <w:vAlign w:val="bottom"/>
            <w:hideMark/>
          </w:tcPr>
          <w:p w14:paraId="346B9B5B"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70" w:type="pct"/>
            <w:tcBorders>
              <w:top w:val="nil"/>
              <w:left w:val="nil"/>
              <w:bottom w:val="nil"/>
              <w:right w:val="nil"/>
            </w:tcBorders>
            <w:shd w:val="clear" w:color="auto" w:fill="auto"/>
            <w:noWrap/>
            <w:vAlign w:val="bottom"/>
            <w:hideMark/>
          </w:tcPr>
          <w:p w14:paraId="1F33CC6D"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291" w:type="pct"/>
            <w:tcBorders>
              <w:top w:val="nil"/>
              <w:left w:val="nil"/>
              <w:bottom w:val="nil"/>
              <w:right w:val="nil"/>
            </w:tcBorders>
            <w:shd w:val="clear" w:color="auto" w:fill="auto"/>
            <w:vAlign w:val="center"/>
            <w:hideMark/>
          </w:tcPr>
          <w:p w14:paraId="21362753" w14:textId="77777777" w:rsidR="00AA1F87" w:rsidRPr="00AA1F87" w:rsidRDefault="00AA1F87" w:rsidP="00AA1F87">
            <w:pPr>
              <w:spacing w:after="0" w:line="240" w:lineRule="auto"/>
              <w:rPr>
                <w:rFonts w:ascii="Arial" w:eastAsia="Times New Roman" w:hAnsi="Arial" w:cs="Arial"/>
                <w:b/>
                <w:bCs/>
                <w:color w:val="000000"/>
                <w:kern w:val="0"/>
                <w:sz w:val="14"/>
                <w:szCs w:val="14"/>
                <w:lang w:eastAsia="pt-BR"/>
                <w14:ligatures w14:val="none"/>
              </w:rPr>
            </w:pPr>
            <w:r w:rsidRPr="00AA1F87">
              <w:rPr>
                <w:rFonts w:ascii="Arial" w:eastAsia="Times New Roman" w:hAnsi="Arial" w:cs="Arial"/>
                <w:b/>
                <w:bCs/>
                <w:color w:val="000000"/>
                <w:kern w:val="0"/>
                <w:sz w:val="14"/>
                <w:szCs w:val="14"/>
                <w:lang w:eastAsia="pt-BR"/>
                <w14:ligatures w14:val="none"/>
              </w:rPr>
              <w:t xml:space="preserve"> </w:t>
            </w:r>
          </w:p>
        </w:tc>
        <w:tc>
          <w:tcPr>
            <w:tcW w:w="329" w:type="pct"/>
            <w:tcBorders>
              <w:top w:val="nil"/>
              <w:left w:val="nil"/>
              <w:bottom w:val="nil"/>
              <w:right w:val="nil"/>
            </w:tcBorders>
            <w:shd w:val="clear" w:color="auto" w:fill="auto"/>
            <w:vAlign w:val="center"/>
            <w:hideMark/>
          </w:tcPr>
          <w:p w14:paraId="358F57B2" w14:textId="77777777" w:rsidR="00AA1F87" w:rsidRPr="00AA1F87" w:rsidRDefault="00AA1F87" w:rsidP="00AA1F87">
            <w:pPr>
              <w:spacing w:after="0" w:line="240" w:lineRule="auto"/>
              <w:rPr>
                <w:rFonts w:ascii="Arial" w:eastAsia="Times New Roman" w:hAnsi="Arial" w:cs="Arial"/>
                <w:b/>
                <w:bCs/>
                <w:color w:val="000000"/>
                <w:kern w:val="0"/>
                <w:sz w:val="14"/>
                <w:szCs w:val="14"/>
                <w:lang w:eastAsia="pt-BR"/>
                <w14:ligatures w14:val="none"/>
              </w:rPr>
            </w:pPr>
            <w:r w:rsidRPr="00AA1F87">
              <w:rPr>
                <w:rFonts w:ascii="Arial" w:eastAsia="Times New Roman" w:hAnsi="Arial" w:cs="Arial"/>
                <w:b/>
                <w:bCs/>
                <w:color w:val="000000"/>
                <w:kern w:val="0"/>
                <w:sz w:val="14"/>
                <w:szCs w:val="14"/>
                <w:lang w:eastAsia="pt-BR"/>
                <w14:ligatures w14:val="none"/>
              </w:rPr>
              <w:t xml:space="preserve"> </w:t>
            </w:r>
          </w:p>
        </w:tc>
        <w:tc>
          <w:tcPr>
            <w:tcW w:w="70" w:type="pct"/>
            <w:tcBorders>
              <w:top w:val="nil"/>
              <w:left w:val="nil"/>
              <w:bottom w:val="nil"/>
              <w:right w:val="nil"/>
            </w:tcBorders>
            <w:shd w:val="clear" w:color="auto" w:fill="auto"/>
            <w:noWrap/>
            <w:vAlign w:val="bottom"/>
            <w:hideMark/>
          </w:tcPr>
          <w:p w14:paraId="57241883" w14:textId="77777777" w:rsidR="00AA1F87" w:rsidRPr="00AA1F87" w:rsidRDefault="00AA1F87" w:rsidP="00AA1F87">
            <w:pPr>
              <w:spacing w:after="0" w:line="240" w:lineRule="auto"/>
              <w:rPr>
                <w:rFonts w:ascii="Arial" w:eastAsia="Times New Roman" w:hAnsi="Arial" w:cs="Arial"/>
                <w:b/>
                <w:bCs/>
                <w:color w:val="000000"/>
                <w:kern w:val="0"/>
                <w:sz w:val="14"/>
                <w:szCs w:val="14"/>
                <w:lang w:eastAsia="pt-BR"/>
                <w14:ligatures w14:val="none"/>
              </w:rPr>
            </w:pPr>
          </w:p>
        </w:tc>
        <w:tc>
          <w:tcPr>
            <w:tcW w:w="408" w:type="pct"/>
            <w:tcBorders>
              <w:top w:val="nil"/>
              <w:left w:val="nil"/>
              <w:bottom w:val="nil"/>
              <w:right w:val="nil"/>
            </w:tcBorders>
            <w:shd w:val="clear" w:color="000000" w:fill="D9E1F2"/>
            <w:noWrap/>
            <w:vAlign w:val="center"/>
            <w:hideMark/>
          </w:tcPr>
          <w:p w14:paraId="1ECD330E" w14:textId="77777777" w:rsidR="00AA1F87" w:rsidRPr="00AA1F87" w:rsidRDefault="00AA1F87" w:rsidP="00AA1F87">
            <w:pPr>
              <w:spacing w:after="0" w:line="240" w:lineRule="auto"/>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w:t>
            </w:r>
          </w:p>
        </w:tc>
        <w:tc>
          <w:tcPr>
            <w:tcW w:w="408" w:type="pct"/>
            <w:tcBorders>
              <w:top w:val="nil"/>
              <w:left w:val="nil"/>
              <w:bottom w:val="nil"/>
              <w:right w:val="nil"/>
            </w:tcBorders>
            <w:shd w:val="clear" w:color="auto" w:fill="auto"/>
            <w:noWrap/>
            <w:vAlign w:val="bottom"/>
            <w:hideMark/>
          </w:tcPr>
          <w:p w14:paraId="412C7548" w14:textId="77777777" w:rsidR="00AA1F87" w:rsidRPr="00AA1F87" w:rsidRDefault="00AA1F87" w:rsidP="00AA1F87">
            <w:pPr>
              <w:spacing w:after="0" w:line="240" w:lineRule="auto"/>
              <w:rPr>
                <w:rFonts w:ascii="Arial" w:eastAsia="Times New Roman" w:hAnsi="Arial" w:cs="Arial"/>
                <w:color w:val="000000"/>
                <w:kern w:val="0"/>
                <w:sz w:val="14"/>
                <w:szCs w:val="14"/>
                <w:lang w:eastAsia="pt-BR"/>
                <w14:ligatures w14:val="none"/>
              </w:rPr>
            </w:pPr>
          </w:p>
        </w:tc>
        <w:tc>
          <w:tcPr>
            <w:tcW w:w="70" w:type="pct"/>
            <w:tcBorders>
              <w:top w:val="nil"/>
              <w:left w:val="nil"/>
              <w:bottom w:val="nil"/>
              <w:right w:val="nil"/>
            </w:tcBorders>
            <w:shd w:val="clear" w:color="auto" w:fill="auto"/>
            <w:noWrap/>
            <w:vAlign w:val="bottom"/>
            <w:hideMark/>
          </w:tcPr>
          <w:p w14:paraId="619C12C9"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291" w:type="pct"/>
            <w:tcBorders>
              <w:top w:val="nil"/>
              <w:left w:val="nil"/>
              <w:bottom w:val="nil"/>
              <w:right w:val="nil"/>
            </w:tcBorders>
            <w:shd w:val="clear" w:color="auto" w:fill="auto"/>
            <w:noWrap/>
            <w:vAlign w:val="bottom"/>
            <w:hideMark/>
          </w:tcPr>
          <w:p w14:paraId="3B899BBC"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r>
      <w:tr w:rsidR="00AA1F87" w:rsidRPr="00AA1F87" w14:paraId="67363775" w14:textId="77777777" w:rsidTr="00446A14">
        <w:trPr>
          <w:trHeight w:val="227"/>
        </w:trPr>
        <w:tc>
          <w:tcPr>
            <w:tcW w:w="1877" w:type="pct"/>
            <w:tcBorders>
              <w:top w:val="nil"/>
              <w:left w:val="nil"/>
              <w:bottom w:val="nil"/>
              <w:right w:val="nil"/>
            </w:tcBorders>
            <w:shd w:val="clear" w:color="auto" w:fill="auto"/>
            <w:noWrap/>
            <w:vAlign w:val="center"/>
            <w:hideMark/>
          </w:tcPr>
          <w:p w14:paraId="0BDE0B50" w14:textId="77777777" w:rsidR="00AA1F87" w:rsidRPr="00AA1F87" w:rsidRDefault="00AA1F87" w:rsidP="00AA1F87">
            <w:pPr>
              <w:spacing w:after="0" w:line="240" w:lineRule="auto"/>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Juros sobre Disponibilidades</w:t>
            </w:r>
          </w:p>
        </w:tc>
        <w:tc>
          <w:tcPr>
            <w:tcW w:w="442" w:type="pct"/>
            <w:tcBorders>
              <w:top w:val="nil"/>
              <w:left w:val="nil"/>
              <w:bottom w:val="nil"/>
              <w:right w:val="nil"/>
            </w:tcBorders>
            <w:shd w:val="clear" w:color="000000" w:fill="D9E1F2"/>
            <w:noWrap/>
            <w:vAlign w:val="center"/>
            <w:hideMark/>
          </w:tcPr>
          <w:p w14:paraId="6064AD37"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34.111 </w:t>
            </w:r>
          </w:p>
        </w:tc>
        <w:tc>
          <w:tcPr>
            <w:tcW w:w="371" w:type="pct"/>
            <w:tcBorders>
              <w:top w:val="nil"/>
              <w:left w:val="nil"/>
              <w:bottom w:val="nil"/>
              <w:right w:val="nil"/>
            </w:tcBorders>
            <w:shd w:val="clear" w:color="auto" w:fill="auto"/>
            <w:noWrap/>
            <w:vAlign w:val="center"/>
            <w:hideMark/>
          </w:tcPr>
          <w:p w14:paraId="1155F6D1"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28.527 </w:t>
            </w:r>
          </w:p>
        </w:tc>
        <w:tc>
          <w:tcPr>
            <w:tcW w:w="371" w:type="pct"/>
            <w:tcBorders>
              <w:top w:val="nil"/>
              <w:left w:val="nil"/>
              <w:bottom w:val="nil"/>
              <w:right w:val="nil"/>
            </w:tcBorders>
            <w:shd w:val="clear" w:color="auto" w:fill="auto"/>
            <w:noWrap/>
            <w:vAlign w:val="center"/>
            <w:hideMark/>
          </w:tcPr>
          <w:p w14:paraId="29EA6F9E"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36.369 </w:t>
            </w:r>
          </w:p>
        </w:tc>
        <w:tc>
          <w:tcPr>
            <w:tcW w:w="70" w:type="pct"/>
            <w:tcBorders>
              <w:top w:val="nil"/>
              <w:left w:val="nil"/>
              <w:bottom w:val="nil"/>
              <w:right w:val="nil"/>
            </w:tcBorders>
            <w:shd w:val="clear" w:color="auto" w:fill="auto"/>
            <w:noWrap/>
            <w:vAlign w:val="bottom"/>
            <w:hideMark/>
          </w:tcPr>
          <w:p w14:paraId="21C8C303"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p>
        </w:tc>
        <w:tc>
          <w:tcPr>
            <w:tcW w:w="291" w:type="pct"/>
            <w:tcBorders>
              <w:top w:val="nil"/>
              <w:left w:val="nil"/>
              <w:bottom w:val="nil"/>
              <w:right w:val="nil"/>
            </w:tcBorders>
            <w:shd w:val="clear" w:color="auto" w:fill="auto"/>
            <w:vAlign w:val="center"/>
            <w:hideMark/>
          </w:tcPr>
          <w:p w14:paraId="2DEE0FED"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19,6%</w:t>
            </w:r>
          </w:p>
        </w:tc>
        <w:tc>
          <w:tcPr>
            <w:tcW w:w="329" w:type="pct"/>
            <w:tcBorders>
              <w:top w:val="nil"/>
              <w:left w:val="nil"/>
              <w:bottom w:val="nil"/>
              <w:right w:val="nil"/>
            </w:tcBorders>
            <w:shd w:val="clear" w:color="auto" w:fill="auto"/>
            <w:vAlign w:val="center"/>
            <w:hideMark/>
          </w:tcPr>
          <w:p w14:paraId="20E5B5AA"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-6,2%</w:t>
            </w:r>
          </w:p>
        </w:tc>
        <w:tc>
          <w:tcPr>
            <w:tcW w:w="70" w:type="pct"/>
            <w:tcBorders>
              <w:top w:val="nil"/>
              <w:left w:val="nil"/>
              <w:bottom w:val="nil"/>
              <w:right w:val="nil"/>
            </w:tcBorders>
            <w:shd w:val="clear" w:color="auto" w:fill="auto"/>
            <w:noWrap/>
            <w:vAlign w:val="bottom"/>
            <w:hideMark/>
          </w:tcPr>
          <w:p w14:paraId="277707F0"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p>
        </w:tc>
        <w:tc>
          <w:tcPr>
            <w:tcW w:w="408" w:type="pct"/>
            <w:tcBorders>
              <w:top w:val="nil"/>
              <w:left w:val="nil"/>
              <w:bottom w:val="nil"/>
              <w:right w:val="nil"/>
            </w:tcBorders>
            <w:shd w:val="clear" w:color="000000" w:fill="D9E1F2"/>
            <w:noWrap/>
            <w:vAlign w:val="center"/>
            <w:hideMark/>
          </w:tcPr>
          <w:p w14:paraId="1C78391D"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146.374 </w:t>
            </w:r>
          </w:p>
        </w:tc>
        <w:tc>
          <w:tcPr>
            <w:tcW w:w="408" w:type="pct"/>
            <w:tcBorders>
              <w:top w:val="nil"/>
              <w:left w:val="nil"/>
              <w:bottom w:val="nil"/>
              <w:right w:val="nil"/>
            </w:tcBorders>
            <w:shd w:val="clear" w:color="auto" w:fill="auto"/>
            <w:noWrap/>
            <w:vAlign w:val="center"/>
            <w:hideMark/>
          </w:tcPr>
          <w:p w14:paraId="4B33C67B"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100.644 </w:t>
            </w:r>
          </w:p>
        </w:tc>
        <w:tc>
          <w:tcPr>
            <w:tcW w:w="70" w:type="pct"/>
            <w:tcBorders>
              <w:top w:val="nil"/>
              <w:left w:val="nil"/>
              <w:bottom w:val="nil"/>
              <w:right w:val="nil"/>
            </w:tcBorders>
            <w:shd w:val="clear" w:color="auto" w:fill="auto"/>
            <w:noWrap/>
            <w:vAlign w:val="bottom"/>
            <w:hideMark/>
          </w:tcPr>
          <w:p w14:paraId="1C523853"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p>
        </w:tc>
        <w:tc>
          <w:tcPr>
            <w:tcW w:w="291" w:type="pct"/>
            <w:tcBorders>
              <w:top w:val="nil"/>
              <w:left w:val="nil"/>
              <w:bottom w:val="nil"/>
              <w:right w:val="nil"/>
            </w:tcBorders>
            <w:shd w:val="clear" w:color="auto" w:fill="auto"/>
            <w:vAlign w:val="center"/>
            <w:hideMark/>
          </w:tcPr>
          <w:p w14:paraId="19478140" w14:textId="77777777" w:rsidR="00AA1F87" w:rsidRPr="00AA1F87" w:rsidRDefault="00AA1F87" w:rsidP="00AA1F87">
            <w:pPr>
              <w:spacing w:after="0" w:line="240" w:lineRule="auto"/>
              <w:jc w:val="right"/>
              <w:rPr>
                <w:rFonts w:ascii="Arial" w:eastAsia="Times New Roman" w:hAnsi="Arial" w:cs="Arial"/>
                <w:color w:val="000000"/>
                <w:kern w:val="0"/>
                <w:sz w:val="13"/>
                <w:szCs w:val="13"/>
                <w:lang w:eastAsia="pt-BR"/>
                <w14:ligatures w14:val="none"/>
              </w:rPr>
            </w:pPr>
            <w:r w:rsidRPr="00AA1F87">
              <w:rPr>
                <w:rFonts w:ascii="Arial" w:eastAsia="Times New Roman" w:hAnsi="Arial" w:cs="Arial"/>
                <w:color w:val="000000"/>
                <w:kern w:val="0"/>
                <w:sz w:val="13"/>
                <w:szCs w:val="13"/>
                <w:lang w:eastAsia="pt-BR"/>
                <w14:ligatures w14:val="none"/>
              </w:rPr>
              <w:t>45,4%</w:t>
            </w:r>
          </w:p>
        </w:tc>
      </w:tr>
      <w:tr w:rsidR="00AA1F87" w:rsidRPr="00AA1F87" w14:paraId="43D6FA92" w14:textId="77777777" w:rsidTr="00446A14">
        <w:trPr>
          <w:trHeight w:val="227"/>
        </w:trPr>
        <w:tc>
          <w:tcPr>
            <w:tcW w:w="1877" w:type="pct"/>
            <w:tcBorders>
              <w:top w:val="nil"/>
              <w:left w:val="nil"/>
              <w:bottom w:val="nil"/>
              <w:right w:val="nil"/>
            </w:tcBorders>
            <w:shd w:val="clear" w:color="auto" w:fill="auto"/>
            <w:noWrap/>
            <w:vAlign w:val="center"/>
            <w:hideMark/>
          </w:tcPr>
          <w:p w14:paraId="25FA8116" w14:textId="77777777" w:rsidR="00AA1F87" w:rsidRPr="00AA1F87" w:rsidRDefault="00AA1F87" w:rsidP="00AA1F87">
            <w:pPr>
              <w:spacing w:after="0" w:line="240" w:lineRule="auto"/>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Juros sobre Tributos</w:t>
            </w:r>
          </w:p>
        </w:tc>
        <w:tc>
          <w:tcPr>
            <w:tcW w:w="442" w:type="pct"/>
            <w:tcBorders>
              <w:top w:val="nil"/>
              <w:left w:val="nil"/>
              <w:bottom w:val="nil"/>
              <w:right w:val="nil"/>
            </w:tcBorders>
            <w:shd w:val="clear" w:color="000000" w:fill="D9E1F2"/>
            <w:noWrap/>
            <w:vAlign w:val="center"/>
            <w:hideMark/>
          </w:tcPr>
          <w:p w14:paraId="1636ECF4"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2.192 </w:t>
            </w:r>
          </w:p>
        </w:tc>
        <w:tc>
          <w:tcPr>
            <w:tcW w:w="371" w:type="pct"/>
            <w:tcBorders>
              <w:top w:val="nil"/>
              <w:left w:val="nil"/>
              <w:bottom w:val="nil"/>
              <w:right w:val="nil"/>
            </w:tcBorders>
            <w:shd w:val="clear" w:color="auto" w:fill="auto"/>
            <w:noWrap/>
            <w:vAlign w:val="center"/>
            <w:hideMark/>
          </w:tcPr>
          <w:p w14:paraId="542D1CD0"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2.011 </w:t>
            </w:r>
          </w:p>
        </w:tc>
        <w:tc>
          <w:tcPr>
            <w:tcW w:w="371" w:type="pct"/>
            <w:tcBorders>
              <w:top w:val="nil"/>
              <w:left w:val="nil"/>
              <w:bottom w:val="nil"/>
              <w:right w:val="nil"/>
            </w:tcBorders>
            <w:shd w:val="clear" w:color="auto" w:fill="auto"/>
            <w:noWrap/>
            <w:vAlign w:val="center"/>
            <w:hideMark/>
          </w:tcPr>
          <w:p w14:paraId="61B73F09"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3.195 </w:t>
            </w:r>
          </w:p>
        </w:tc>
        <w:tc>
          <w:tcPr>
            <w:tcW w:w="70" w:type="pct"/>
            <w:tcBorders>
              <w:top w:val="nil"/>
              <w:left w:val="nil"/>
              <w:bottom w:val="nil"/>
              <w:right w:val="nil"/>
            </w:tcBorders>
            <w:shd w:val="clear" w:color="auto" w:fill="auto"/>
            <w:noWrap/>
            <w:vAlign w:val="bottom"/>
            <w:hideMark/>
          </w:tcPr>
          <w:p w14:paraId="4DFA368D"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p>
        </w:tc>
        <w:tc>
          <w:tcPr>
            <w:tcW w:w="291" w:type="pct"/>
            <w:tcBorders>
              <w:top w:val="nil"/>
              <w:left w:val="nil"/>
              <w:bottom w:val="nil"/>
              <w:right w:val="nil"/>
            </w:tcBorders>
            <w:shd w:val="clear" w:color="auto" w:fill="auto"/>
            <w:vAlign w:val="center"/>
            <w:hideMark/>
          </w:tcPr>
          <w:p w14:paraId="130BA9D9"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9,0%</w:t>
            </w:r>
          </w:p>
        </w:tc>
        <w:tc>
          <w:tcPr>
            <w:tcW w:w="329" w:type="pct"/>
            <w:tcBorders>
              <w:top w:val="nil"/>
              <w:left w:val="nil"/>
              <w:bottom w:val="nil"/>
              <w:right w:val="nil"/>
            </w:tcBorders>
            <w:shd w:val="clear" w:color="auto" w:fill="auto"/>
            <w:vAlign w:val="center"/>
            <w:hideMark/>
          </w:tcPr>
          <w:p w14:paraId="417FAF84"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-31,4%</w:t>
            </w:r>
          </w:p>
        </w:tc>
        <w:tc>
          <w:tcPr>
            <w:tcW w:w="70" w:type="pct"/>
            <w:tcBorders>
              <w:top w:val="nil"/>
              <w:left w:val="nil"/>
              <w:bottom w:val="nil"/>
              <w:right w:val="nil"/>
            </w:tcBorders>
            <w:shd w:val="clear" w:color="auto" w:fill="auto"/>
            <w:noWrap/>
            <w:vAlign w:val="bottom"/>
            <w:hideMark/>
          </w:tcPr>
          <w:p w14:paraId="5A7D31F2"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p>
        </w:tc>
        <w:tc>
          <w:tcPr>
            <w:tcW w:w="408" w:type="pct"/>
            <w:tcBorders>
              <w:top w:val="nil"/>
              <w:left w:val="nil"/>
              <w:bottom w:val="nil"/>
              <w:right w:val="nil"/>
            </w:tcBorders>
            <w:shd w:val="clear" w:color="000000" w:fill="D9E1F2"/>
            <w:noWrap/>
            <w:vAlign w:val="center"/>
            <w:hideMark/>
          </w:tcPr>
          <w:p w14:paraId="0FF1E656"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12.221 </w:t>
            </w:r>
          </w:p>
        </w:tc>
        <w:tc>
          <w:tcPr>
            <w:tcW w:w="408" w:type="pct"/>
            <w:tcBorders>
              <w:top w:val="nil"/>
              <w:left w:val="nil"/>
              <w:bottom w:val="nil"/>
              <w:right w:val="nil"/>
            </w:tcBorders>
            <w:shd w:val="clear" w:color="auto" w:fill="auto"/>
            <w:noWrap/>
            <w:vAlign w:val="center"/>
            <w:hideMark/>
          </w:tcPr>
          <w:p w14:paraId="4E1E276A"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8.743 </w:t>
            </w:r>
          </w:p>
        </w:tc>
        <w:tc>
          <w:tcPr>
            <w:tcW w:w="70" w:type="pct"/>
            <w:tcBorders>
              <w:top w:val="nil"/>
              <w:left w:val="nil"/>
              <w:bottom w:val="nil"/>
              <w:right w:val="nil"/>
            </w:tcBorders>
            <w:shd w:val="clear" w:color="auto" w:fill="auto"/>
            <w:noWrap/>
            <w:vAlign w:val="bottom"/>
            <w:hideMark/>
          </w:tcPr>
          <w:p w14:paraId="75DAF3DB"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p>
        </w:tc>
        <w:tc>
          <w:tcPr>
            <w:tcW w:w="291" w:type="pct"/>
            <w:tcBorders>
              <w:top w:val="nil"/>
              <w:left w:val="nil"/>
              <w:bottom w:val="nil"/>
              <w:right w:val="nil"/>
            </w:tcBorders>
            <w:shd w:val="clear" w:color="auto" w:fill="auto"/>
            <w:vAlign w:val="center"/>
            <w:hideMark/>
          </w:tcPr>
          <w:p w14:paraId="6BCA1D67" w14:textId="77777777" w:rsidR="00AA1F87" w:rsidRPr="00AA1F87" w:rsidRDefault="00AA1F87" w:rsidP="00AA1F87">
            <w:pPr>
              <w:spacing w:after="0" w:line="240" w:lineRule="auto"/>
              <w:jc w:val="right"/>
              <w:rPr>
                <w:rFonts w:ascii="Arial" w:eastAsia="Times New Roman" w:hAnsi="Arial" w:cs="Arial"/>
                <w:color w:val="000000"/>
                <w:kern w:val="0"/>
                <w:sz w:val="13"/>
                <w:szCs w:val="13"/>
                <w:lang w:eastAsia="pt-BR"/>
                <w14:ligatures w14:val="none"/>
              </w:rPr>
            </w:pPr>
            <w:r w:rsidRPr="00AA1F87">
              <w:rPr>
                <w:rFonts w:ascii="Arial" w:eastAsia="Times New Roman" w:hAnsi="Arial" w:cs="Arial"/>
                <w:color w:val="000000"/>
                <w:kern w:val="0"/>
                <w:sz w:val="13"/>
                <w:szCs w:val="13"/>
                <w:lang w:eastAsia="pt-BR"/>
                <w14:ligatures w14:val="none"/>
              </w:rPr>
              <w:t>39,8%</w:t>
            </w:r>
          </w:p>
        </w:tc>
      </w:tr>
      <w:tr w:rsidR="00AA1F87" w:rsidRPr="00AA1F87" w14:paraId="594E63E9" w14:textId="77777777" w:rsidTr="00446A14">
        <w:trPr>
          <w:trHeight w:val="227"/>
        </w:trPr>
        <w:tc>
          <w:tcPr>
            <w:tcW w:w="1877" w:type="pct"/>
            <w:tcBorders>
              <w:top w:val="nil"/>
              <w:left w:val="nil"/>
              <w:bottom w:val="nil"/>
              <w:right w:val="nil"/>
            </w:tcBorders>
            <w:shd w:val="clear" w:color="auto" w:fill="auto"/>
            <w:noWrap/>
            <w:vAlign w:val="center"/>
            <w:hideMark/>
          </w:tcPr>
          <w:p w14:paraId="29577A26" w14:textId="77777777" w:rsidR="00AA1F87" w:rsidRPr="00AA1F87" w:rsidRDefault="00AA1F87" w:rsidP="00AA1F87">
            <w:pPr>
              <w:spacing w:after="0" w:line="240" w:lineRule="auto"/>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Juros sobre Aplicação Financeira - Garantias</w:t>
            </w:r>
          </w:p>
        </w:tc>
        <w:tc>
          <w:tcPr>
            <w:tcW w:w="442" w:type="pct"/>
            <w:tcBorders>
              <w:top w:val="nil"/>
              <w:left w:val="nil"/>
              <w:bottom w:val="nil"/>
              <w:right w:val="nil"/>
            </w:tcBorders>
            <w:shd w:val="clear" w:color="000000" w:fill="D9E1F2"/>
            <w:noWrap/>
            <w:vAlign w:val="center"/>
            <w:hideMark/>
          </w:tcPr>
          <w:p w14:paraId="1BF5C5BE"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2.156 </w:t>
            </w:r>
          </w:p>
        </w:tc>
        <w:tc>
          <w:tcPr>
            <w:tcW w:w="371" w:type="pct"/>
            <w:tcBorders>
              <w:top w:val="nil"/>
              <w:left w:val="nil"/>
              <w:bottom w:val="nil"/>
              <w:right w:val="nil"/>
            </w:tcBorders>
            <w:shd w:val="clear" w:color="auto" w:fill="auto"/>
            <w:noWrap/>
            <w:vAlign w:val="center"/>
            <w:hideMark/>
          </w:tcPr>
          <w:p w14:paraId="3EAFDDDE"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2.148 </w:t>
            </w:r>
          </w:p>
        </w:tc>
        <w:tc>
          <w:tcPr>
            <w:tcW w:w="371" w:type="pct"/>
            <w:tcBorders>
              <w:top w:val="nil"/>
              <w:left w:val="nil"/>
              <w:bottom w:val="nil"/>
              <w:right w:val="nil"/>
            </w:tcBorders>
            <w:shd w:val="clear" w:color="auto" w:fill="auto"/>
            <w:noWrap/>
            <w:vAlign w:val="center"/>
            <w:hideMark/>
          </w:tcPr>
          <w:p w14:paraId="7BDF714D"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2.339 </w:t>
            </w:r>
          </w:p>
        </w:tc>
        <w:tc>
          <w:tcPr>
            <w:tcW w:w="70" w:type="pct"/>
            <w:tcBorders>
              <w:top w:val="nil"/>
              <w:left w:val="nil"/>
              <w:bottom w:val="nil"/>
              <w:right w:val="nil"/>
            </w:tcBorders>
            <w:shd w:val="clear" w:color="auto" w:fill="auto"/>
            <w:noWrap/>
            <w:vAlign w:val="bottom"/>
            <w:hideMark/>
          </w:tcPr>
          <w:p w14:paraId="460A8724"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p>
        </w:tc>
        <w:tc>
          <w:tcPr>
            <w:tcW w:w="291" w:type="pct"/>
            <w:tcBorders>
              <w:top w:val="nil"/>
              <w:left w:val="nil"/>
              <w:bottom w:val="nil"/>
              <w:right w:val="nil"/>
            </w:tcBorders>
            <w:shd w:val="clear" w:color="auto" w:fill="auto"/>
            <w:vAlign w:val="center"/>
            <w:hideMark/>
          </w:tcPr>
          <w:p w14:paraId="1CEF46C6"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0,4%</w:t>
            </w:r>
          </w:p>
        </w:tc>
        <w:tc>
          <w:tcPr>
            <w:tcW w:w="329" w:type="pct"/>
            <w:tcBorders>
              <w:top w:val="nil"/>
              <w:left w:val="nil"/>
              <w:bottom w:val="nil"/>
              <w:right w:val="nil"/>
            </w:tcBorders>
            <w:shd w:val="clear" w:color="auto" w:fill="auto"/>
            <w:vAlign w:val="center"/>
            <w:hideMark/>
          </w:tcPr>
          <w:p w14:paraId="227AD37A"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-7,8%</w:t>
            </w:r>
          </w:p>
        </w:tc>
        <w:tc>
          <w:tcPr>
            <w:tcW w:w="70" w:type="pct"/>
            <w:tcBorders>
              <w:top w:val="nil"/>
              <w:left w:val="nil"/>
              <w:bottom w:val="nil"/>
              <w:right w:val="nil"/>
            </w:tcBorders>
            <w:shd w:val="clear" w:color="auto" w:fill="auto"/>
            <w:noWrap/>
            <w:vAlign w:val="bottom"/>
            <w:hideMark/>
          </w:tcPr>
          <w:p w14:paraId="5D0FB5FA"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p>
        </w:tc>
        <w:tc>
          <w:tcPr>
            <w:tcW w:w="408" w:type="pct"/>
            <w:tcBorders>
              <w:top w:val="nil"/>
              <w:left w:val="nil"/>
              <w:bottom w:val="nil"/>
              <w:right w:val="nil"/>
            </w:tcBorders>
            <w:shd w:val="clear" w:color="000000" w:fill="D9E1F2"/>
            <w:noWrap/>
            <w:vAlign w:val="center"/>
            <w:hideMark/>
          </w:tcPr>
          <w:p w14:paraId="3EC51CAD"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9.008 </w:t>
            </w:r>
          </w:p>
        </w:tc>
        <w:tc>
          <w:tcPr>
            <w:tcW w:w="408" w:type="pct"/>
            <w:tcBorders>
              <w:top w:val="nil"/>
              <w:left w:val="nil"/>
              <w:bottom w:val="nil"/>
              <w:right w:val="nil"/>
            </w:tcBorders>
            <w:shd w:val="clear" w:color="auto" w:fill="auto"/>
            <w:noWrap/>
            <w:vAlign w:val="center"/>
            <w:hideMark/>
          </w:tcPr>
          <w:p w14:paraId="2AE9DF0F"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7.704 </w:t>
            </w:r>
          </w:p>
        </w:tc>
        <w:tc>
          <w:tcPr>
            <w:tcW w:w="70" w:type="pct"/>
            <w:tcBorders>
              <w:top w:val="nil"/>
              <w:left w:val="nil"/>
              <w:bottom w:val="nil"/>
              <w:right w:val="nil"/>
            </w:tcBorders>
            <w:shd w:val="clear" w:color="auto" w:fill="auto"/>
            <w:noWrap/>
            <w:vAlign w:val="bottom"/>
            <w:hideMark/>
          </w:tcPr>
          <w:p w14:paraId="691EFD7E"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p>
        </w:tc>
        <w:tc>
          <w:tcPr>
            <w:tcW w:w="291" w:type="pct"/>
            <w:tcBorders>
              <w:top w:val="nil"/>
              <w:left w:val="nil"/>
              <w:bottom w:val="nil"/>
              <w:right w:val="nil"/>
            </w:tcBorders>
            <w:shd w:val="clear" w:color="auto" w:fill="auto"/>
            <w:vAlign w:val="center"/>
            <w:hideMark/>
          </w:tcPr>
          <w:p w14:paraId="64EFA9B5" w14:textId="77777777" w:rsidR="00AA1F87" w:rsidRPr="00AA1F87" w:rsidRDefault="00AA1F87" w:rsidP="00AA1F87">
            <w:pPr>
              <w:spacing w:after="0" w:line="240" w:lineRule="auto"/>
              <w:jc w:val="right"/>
              <w:rPr>
                <w:rFonts w:ascii="Arial" w:eastAsia="Times New Roman" w:hAnsi="Arial" w:cs="Arial"/>
                <w:color w:val="000000"/>
                <w:kern w:val="0"/>
                <w:sz w:val="13"/>
                <w:szCs w:val="13"/>
                <w:lang w:eastAsia="pt-BR"/>
                <w14:ligatures w14:val="none"/>
              </w:rPr>
            </w:pPr>
            <w:r w:rsidRPr="00AA1F87">
              <w:rPr>
                <w:rFonts w:ascii="Arial" w:eastAsia="Times New Roman" w:hAnsi="Arial" w:cs="Arial"/>
                <w:color w:val="000000"/>
                <w:kern w:val="0"/>
                <w:sz w:val="13"/>
                <w:szCs w:val="13"/>
                <w:lang w:eastAsia="pt-BR"/>
                <w14:ligatures w14:val="none"/>
              </w:rPr>
              <w:t>16,9%</w:t>
            </w:r>
          </w:p>
        </w:tc>
      </w:tr>
      <w:tr w:rsidR="00AA1F87" w:rsidRPr="00AA1F87" w14:paraId="0E2B837E" w14:textId="77777777" w:rsidTr="00446A14">
        <w:trPr>
          <w:trHeight w:val="227"/>
        </w:trPr>
        <w:tc>
          <w:tcPr>
            <w:tcW w:w="1877" w:type="pct"/>
            <w:tcBorders>
              <w:top w:val="nil"/>
              <w:left w:val="nil"/>
              <w:bottom w:val="nil"/>
              <w:right w:val="nil"/>
            </w:tcBorders>
            <w:shd w:val="clear" w:color="auto" w:fill="auto"/>
            <w:noWrap/>
            <w:vAlign w:val="center"/>
            <w:hideMark/>
          </w:tcPr>
          <w:p w14:paraId="2F5BD5B6" w14:textId="77777777" w:rsidR="00AA1F87" w:rsidRPr="00AA1F87" w:rsidRDefault="00AA1F87" w:rsidP="00AA1F87">
            <w:pPr>
              <w:spacing w:after="0" w:line="240" w:lineRule="auto"/>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Juros sobre Depósitos Judiciais</w:t>
            </w:r>
          </w:p>
        </w:tc>
        <w:tc>
          <w:tcPr>
            <w:tcW w:w="442" w:type="pct"/>
            <w:tcBorders>
              <w:top w:val="nil"/>
              <w:left w:val="nil"/>
              <w:bottom w:val="nil"/>
              <w:right w:val="nil"/>
            </w:tcBorders>
            <w:shd w:val="clear" w:color="000000" w:fill="D9E1F2"/>
            <w:noWrap/>
            <w:vAlign w:val="center"/>
            <w:hideMark/>
          </w:tcPr>
          <w:p w14:paraId="71226874"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910 </w:t>
            </w:r>
          </w:p>
        </w:tc>
        <w:tc>
          <w:tcPr>
            <w:tcW w:w="371" w:type="pct"/>
            <w:tcBorders>
              <w:top w:val="nil"/>
              <w:left w:val="nil"/>
              <w:bottom w:val="nil"/>
              <w:right w:val="nil"/>
            </w:tcBorders>
            <w:shd w:val="clear" w:color="auto" w:fill="auto"/>
            <w:noWrap/>
            <w:vAlign w:val="center"/>
            <w:hideMark/>
          </w:tcPr>
          <w:p w14:paraId="500E12F7"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887 </w:t>
            </w:r>
          </w:p>
        </w:tc>
        <w:tc>
          <w:tcPr>
            <w:tcW w:w="371" w:type="pct"/>
            <w:tcBorders>
              <w:top w:val="nil"/>
              <w:left w:val="nil"/>
              <w:bottom w:val="nil"/>
              <w:right w:val="nil"/>
            </w:tcBorders>
            <w:shd w:val="clear" w:color="auto" w:fill="auto"/>
            <w:noWrap/>
            <w:vAlign w:val="center"/>
            <w:hideMark/>
          </w:tcPr>
          <w:p w14:paraId="46FA6C11"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1.199 </w:t>
            </w:r>
          </w:p>
        </w:tc>
        <w:tc>
          <w:tcPr>
            <w:tcW w:w="70" w:type="pct"/>
            <w:tcBorders>
              <w:top w:val="nil"/>
              <w:left w:val="nil"/>
              <w:bottom w:val="nil"/>
              <w:right w:val="nil"/>
            </w:tcBorders>
            <w:shd w:val="clear" w:color="auto" w:fill="auto"/>
            <w:noWrap/>
            <w:vAlign w:val="bottom"/>
            <w:hideMark/>
          </w:tcPr>
          <w:p w14:paraId="101095F4"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p>
        </w:tc>
        <w:tc>
          <w:tcPr>
            <w:tcW w:w="291" w:type="pct"/>
            <w:tcBorders>
              <w:top w:val="nil"/>
              <w:left w:val="nil"/>
              <w:bottom w:val="nil"/>
              <w:right w:val="nil"/>
            </w:tcBorders>
            <w:shd w:val="clear" w:color="auto" w:fill="auto"/>
            <w:vAlign w:val="center"/>
            <w:hideMark/>
          </w:tcPr>
          <w:p w14:paraId="675579F2"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2,6%</w:t>
            </w:r>
          </w:p>
        </w:tc>
        <w:tc>
          <w:tcPr>
            <w:tcW w:w="329" w:type="pct"/>
            <w:tcBorders>
              <w:top w:val="nil"/>
              <w:left w:val="nil"/>
              <w:bottom w:val="nil"/>
              <w:right w:val="nil"/>
            </w:tcBorders>
            <w:shd w:val="clear" w:color="auto" w:fill="auto"/>
            <w:vAlign w:val="center"/>
            <w:hideMark/>
          </w:tcPr>
          <w:p w14:paraId="55341D9E"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-24,1%</w:t>
            </w:r>
          </w:p>
        </w:tc>
        <w:tc>
          <w:tcPr>
            <w:tcW w:w="70" w:type="pct"/>
            <w:tcBorders>
              <w:top w:val="nil"/>
              <w:left w:val="nil"/>
              <w:bottom w:val="nil"/>
              <w:right w:val="nil"/>
            </w:tcBorders>
            <w:shd w:val="clear" w:color="auto" w:fill="auto"/>
            <w:noWrap/>
            <w:vAlign w:val="bottom"/>
            <w:hideMark/>
          </w:tcPr>
          <w:p w14:paraId="4B611508"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p>
        </w:tc>
        <w:tc>
          <w:tcPr>
            <w:tcW w:w="408" w:type="pct"/>
            <w:tcBorders>
              <w:top w:val="nil"/>
              <w:left w:val="nil"/>
              <w:bottom w:val="nil"/>
              <w:right w:val="nil"/>
            </w:tcBorders>
            <w:shd w:val="clear" w:color="000000" w:fill="D9E1F2"/>
            <w:noWrap/>
            <w:vAlign w:val="center"/>
            <w:hideMark/>
          </w:tcPr>
          <w:p w14:paraId="6670BD8E"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4.142 </w:t>
            </w:r>
          </w:p>
        </w:tc>
        <w:tc>
          <w:tcPr>
            <w:tcW w:w="408" w:type="pct"/>
            <w:tcBorders>
              <w:top w:val="nil"/>
              <w:left w:val="nil"/>
              <w:bottom w:val="nil"/>
              <w:right w:val="nil"/>
            </w:tcBorders>
            <w:shd w:val="clear" w:color="auto" w:fill="auto"/>
            <w:noWrap/>
            <w:vAlign w:val="center"/>
            <w:hideMark/>
          </w:tcPr>
          <w:p w14:paraId="0E24CEC6"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3.467 </w:t>
            </w:r>
          </w:p>
        </w:tc>
        <w:tc>
          <w:tcPr>
            <w:tcW w:w="70" w:type="pct"/>
            <w:tcBorders>
              <w:top w:val="nil"/>
              <w:left w:val="nil"/>
              <w:bottom w:val="nil"/>
              <w:right w:val="nil"/>
            </w:tcBorders>
            <w:shd w:val="clear" w:color="auto" w:fill="auto"/>
            <w:noWrap/>
            <w:vAlign w:val="bottom"/>
            <w:hideMark/>
          </w:tcPr>
          <w:p w14:paraId="351D41C5"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p>
        </w:tc>
        <w:tc>
          <w:tcPr>
            <w:tcW w:w="291" w:type="pct"/>
            <w:tcBorders>
              <w:top w:val="nil"/>
              <w:left w:val="nil"/>
              <w:bottom w:val="nil"/>
              <w:right w:val="nil"/>
            </w:tcBorders>
            <w:shd w:val="clear" w:color="auto" w:fill="auto"/>
            <w:vAlign w:val="center"/>
            <w:hideMark/>
          </w:tcPr>
          <w:p w14:paraId="3E70F31D" w14:textId="77777777" w:rsidR="00AA1F87" w:rsidRPr="00AA1F87" w:rsidRDefault="00AA1F87" w:rsidP="00AA1F87">
            <w:pPr>
              <w:spacing w:after="0" w:line="240" w:lineRule="auto"/>
              <w:jc w:val="right"/>
              <w:rPr>
                <w:rFonts w:ascii="Arial" w:eastAsia="Times New Roman" w:hAnsi="Arial" w:cs="Arial"/>
                <w:color w:val="000000"/>
                <w:kern w:val="0"/>
                <w:sz w:val="13"/>
                <w:szCs w:val="13"/>
                <w:lang w:eastAsia="pt-BR"/>
                <w14:ligatures w14:val="none"/>
              </w:rPr>
            </w:pPr>
            <w:r w:rsidRPr="00AA1F87">
              <w:rPr>
                <w:rFonts w:ascii="Arial" w:eastAsia="Times New Roman" w:hAnsi="Arial" w:cs="Arial"/>
                <w:color w:val="000000"/>
                <w:kern w:val="0"/>
                <w:sz w:val="13"/>
                <w:szCs w:val="13"/>
                <w:lang w:eastAsia="pt-BR"/>
                <w14:ligatures w14:val="none"/>
              </w:rPr>
              <w:t>19,5%</w:t>
            </w:r>
          </w:p>
        </w:tc>
      </w:tr>
      <w:tr w:rsidR="00AA1F87" w:rsidRPr="00AA1F87" w14:paraId="6CC6DA22" w14:textId="77777777" w:rsidTr="00446A14">
        <w:trPr>
          <w:trHeight w:val="227"/>
        </w:trPr>
        <w:tc>
          <w:tcPr>
            <w:tcW w:w="1877" w:type="pct"/>
            <w:tcBorders>
              <w:top w:val="nil"/>
              <w:left w:val="nil"/>
              <w:bottom w:val="nil"/>
              <w:right w:val="nil"/>
            </w:tcBorders>
            <w:shd w:val="clear" w:color="auto" w:fill="auto"/>
            <w:noWrap/>
            <w:vAlign w:val="center"/>
            <w:hideMark/>
          </w:tcPr>
          <w:p w14:paraId="36603817" w14:textId="77777777" w:rsidR="00AA1F87" w:rsidRPr="00AA1F87" w:rsidRDefault="00AA1F87" w:rsidP="00AA1F87">
            <w:pPr>
              <w:spacing w:after="0" w:line="240" w:lineRule="auto"/>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Outras Receitas Financeiras</w:t>
            </w:r>
          </w:p>
        </w:tc>
        <w:tc>
          <w:tcPr>
            <w:tcW w:w="442" w:type="pct"/>
            <w:tcBorders>
              <w:top w:val="nil"/>
              <w:left w:val="nil"/>
              <w:bottom w:val="nil"/>
              <w:right w:val="nil"/>
            </w:tcBorders>
            <w:shd w:val="clear" w:color="000000" w:fill="D9E1F2"/>
            <w:noWrap/>
            <w:vAlign w:val="center"/>
            <w:hideMark/>
          </w:tcPr>
          <w:p w14:paraId="2454907E"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786 </w:t>
            </w:r>
          </w:p>
        </w:tc>
        <w:tc>
          <w:tcPr>
            <w:tcW w:w="371" w:type="pct"/>
            <w:tcBorders>
              <w:top w:val="nil"/>
              <w:left w:val="nil"/>
              <w:bottom w:val="nil"/>
              <w:right w:val="nil"/>
            </w:tcBorders>
            <w:shd w:val="clear" w:color="auto" w:fill="auto"/>
            <w:noWrap/>
            <w:vAlign w:val="center"/>
            <w:hideMark/>
          </w:tcPr>
          <w:p w14:paraId="5B37E5D9"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(1.372)</w:t>
            </w:r>
          </w:p>
        </w:tc>
        <w:tc>
          <w:tcPr>
            <w:tcW w:w="371" w:type="pct"/>
            <w:tcBorders>
              <w:top w:val="nil"/>
              <w:left w:val="nil"/>
              <w:bottom w:val="nil"/>
              <w:right w:val="nil"/>
            </w:tcBorders>
            <w:shd w:val="clear" w:color="auto" w:fill="auto"/>
            <w:noWrap/>
            <w:vAlign w:val="center"/>
            <w:hideMark/>
          </w:tcPr>
          <w:p w14:paraId="0A7998E4"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514 </w:t>
            </w:r>
          </w:p>
        </w:tc>
        <w:tc>
          <w:tcPr>
            <w:tcW w:w="70" w:type="pct"/>
            <w:tcBorders>
              <w:top w:val="nil"/>
              <w:left w:val="nil"/>
              <w:bottom w:val="nil"/>
              <w:right w:val="nil"/>
            </w:tcBorders>
            <w:shd w:val="clear" w:color="auto" w:fill="auto"/>
            <w:noWrap/>
            <w:vAlign w:val="bottom"/>
            <w:hideMark/>
          </w:tcPr>
          <w:p w14:paraId="75EB1B3F"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p>
        </w:tc>
        <w:tc>
          <w:tcPr>
            <w:tcW w:w="291" w:type="pct"/>
            <w:tcBorders>
              <w:top w:val="nil"/>
              <w:left w:val="nil"/>
              <w:bottom w:val="nil"/>
              <w:right w:val="nil"/>
            </w:tcBorders>
            <w:shd w:val="clear" w:color="auto" w:fill="auto"/>
            <w:vAlign w:val="center"/>
            <w:hideMark/>
          </w:tcPr>
          <w:p w14:paraId="57813779" w14:textId="77777777" w:rsidR="00AA1F87" w:rsidRPr="00AA1F87" w:rsidRDefault="00AA1F87" w:rsidP="00AA1F87">
            <w:pPr>
              <w:spacing w:after="0" w:line="240" w:lineRule="auto"/>
              <w:jc w:val="right"/>
              <w:rPr>
                <w:rFonts w:ascii="Arial" w:eastAsia="Times New Roman" w:hAnsi="Arial" w:cs="Arial"/>
                <w:color w:val="000000"/>
                <w:kern w:val="0"/>
                <w:sz w:val="12"/>
                <w:szCs w:val="12"/>
                <w:lang w:eastAsia="pt-BR"/>
                <w14:ligatures w14:val="none"/>
              </w:rPr>
            </w:pPr>
            <w:r w:rsidRPr="00AA1F87">
              <w:rPr>
                <w:rFonts w:ascii="Arial" w:eastAsia="Times New Roman" w:hAnsi="Arial" w:cs="Arial"/>
                <w:color w:val="000000"/>
                <w:kern w:val="0"/>
                <w:sz w:val="12"/>
                <w:szCs w:val="12"/>
                <w:lang w:eastAsia="pt-BR"/>
                <w14:ligatures w14:val="none"/>
              </w:rPr>
              <w:t>-157,3%</w:t>
            </w:r>
          </w:p>
        </w:tc>
        <w:tc>
          <w:tcPr>
            <w:tcW w:w="329" w:type="pct"/>
            <w:tcBorders>
              <w:top w:val="nil"/>
              <w:left w:val="nil"/>
              <w:bottom w:val="nil"/>
              <w:right w:val="nil"/>
            </w:tcBorders>
            <w:shd w:val="clear" w:color="auto" w:fill="auto"/>
            <w:vAlign w:val="center"/>
            <w:hideMark/>
          </w:tcPr>
          <w:p w14:paraId="1339F2E7"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52,9%</w:t>
            </w:r>
          </w:p>
        </w:tc>
        <w:tc>
          <w:tcPr>
            <w:tcW w:w="70" w:type="pct"/>
            <w:tcBorders>
              <w:top w:val="nil"/>
              <w:left w:val="nil"/>
              <w:bottom w:val="nil"/>
              <w:right w:val="nil"/>
            </w:tcBorders>
            <w:shd w:val="clear" w:color="auto" w:fill="auto"/>
            <w:noWrap/>
            <w:vAlign w:val="bottom"/>
            <w:hideMark/>
          </w:tcPr>
          <w:p w14:paraId="31284882"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p>
        </w:tc>
        <w:tc>
          <w:tcPr>
            <w:tcW w:w="408" w:type="pct"/>
            <w:tcBorders>
              <w:top w:val="nil"/>
              <w:left w:val="nil"/>
              <w:bottom w:val="nil"/>
              <w:right w:val="nil"/>
            </w:tcBorders>
            <w:shd w:val="clear" w:color="000000" w:fill="D9E1F2"/>
            <w:noWrap/>
            <w:vAlign w:val="center"/>
            <w:hideMark/>
          </w:tcPr>
          <w:p w14:paraId="71726CBB"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1.733 </w:t>
            </w:r>
          </w:p>
        </w:tc>
        <w:tc>
          <w:tcPr>
            <w:tcW w:w="408" w:type="pct"/>
            <w:tcBorders>
              <w:top w:val="nil"/>
              <w:left w:val="nil"/>
              <w:bottom w:val="nil"/>
              <w:right w:val="nil"/>
            </w:tcBorders>
            <w:shd w:val="clear" w:color="auto" w:fill="auto"/>
            <w:noWrap/>
            <w:vAlign w:val="center"/>
            <w:hideMark/>
          </w:tcPr>
          <w:p w14:paraId="4DC2230A"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4.481 </w:t>
            </w:r>
          </w:p>
        </w:tc>
        <w:tc>
          <w:tcPr>
            <w:tcW w:w="70" w:type="pct"/>
            <w:tcBorders>
              <w:top w:val="nil"/>
              <w:left w:val="nil"/>
              <w:bottom w:val="nil"/>
              <w:right w:val="nil"/>
            </w:tcBorders>
            <w:shd w:val="clear" w:color="auto" w:fill="auto"/>
            <w:noWrap/>
            <w:vAlign w:val="bottom"/>
            <w:hideMark/>
          </w:tcPr>
          <w:p w14:paraId="2BC7200F"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p>
        </w:tc>
        <w:tc>
          <w:tcPr>
            <w:tcW w:w="291" w:type="pct"/>
            <w:tcBorders>
              <w:top w:val="nil"/>
              <w:left w:val="nil"/>
              <w:bottom w:val="nil"/>
              <w:right w:val="nil"/>
            </w:tcBorders>
            <w:shd w:val="clear" w:color="auto" w:fill="auto"/>
            <w:vAlign w:val="center"/>
            <w:hideMark/>
          </w:tcPr>
          <w:p w14:paraId="1125A8BB" w14:textId="77777777" w:rsidR="00AA1F87" w:rsidRPr="00AA1F87" w:rsidRDefault="00AA1F87" w:rsidP="00AA1F87">
            <w:pPr>
              <w:spacing w:after="0" w:line="240" w:lineRule="auto"/>
              <w:jc w:val="right"/>
              <w:rPr>
                <w:rFonts w:ascii="Arial" w:eastAsia="Times New Roman" w:hAnsi="Arial" w:cs="Arial"/>
                <w:color w:val="000000"/>
                <w:kern w:val="0"/>
                <w:sz w:val="13"/>
                <w:szCs w:val="13"/>
                <w:lang w:eastAsia="pt-BR"/>
                <w14:ligatures w14:val="none"/>
              </w:rPr>
            </w:pPr>
            <w:r w:rsidRPr="00AA1F87">
              <w:rPr>
                <w:rFonts w:ascii="Arial" w:eastAsia="Times New Roman" w:hAnsi="Arial" w:cs="Arial"/>
                <w:color w:val="000000"/>
                <w:kern w:val="0"/>
                <w:sz w:val="13"/>
                <w:szCs w:val="13"/>
                <w:lang w:eastAsia="pt-BR"/>
                <w14:ligatures w14:val="none"/>
              </w:rPr>
              <w:t>-61,3%</w:t>
            </w:r>
          </w:p>
        </w:tc>
      </w:tr>
      <w:tr w:rsidR="00AA1F87" w:rsidRPr="00AA1F87" w14:paraId="0D4E5132" w14:textId="77777777" w:rsidTr="00446A14">
        <w:trPr>
          <w:trHeight w:val="227"/>
        </w:trPr>
        <w:tc>
          <w:tcPr>
            <w:tcW w:w="1877" w:type="pct"/>
            <w:tcBorders>
              <w:top w:val="nil"/>
              <w:left w:val="nil"/>
              <w:bottom w:val="nil"/>
              <w:right w:val="nil"/>
            </w:tcBorders>
            <w:shd w:val="clear" w:color="auto" w:fill="auto"/>
            <w:noWrap/>
            <w:vAlign w:val="center"/>
            <w:hideMark/>
          </w:tcPr>
          <w:p w14:paraId="23AB4024" w14:textId="77777777" w:rsidR="00AA1F87" w:rsidRPr="00AA1F87" w:rsidRDefault="00AA1F87" w:rsidP="00AA1F87">
            <w:pPr>
              <w:spacing w:after="0" w:line="240" w:lineRule="auto"/>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Tributos sobre Receitas Financeiras</w:t>
            </w:r>
          </w:p>
        </w:tc>
        <w:tc>
          <w:tcPr>
            <w:tcW w:w="442" w:type="pct"/>
            <w:tcBorders>
              <w:top w:val="nil"/>
              <w:left w:val="nil"/>
              <w:bottom w:val="nil"/>
              <w:right w:val="nil"/>
            </w:tcBorders>
            <w:shd w:val="clear" w:color="000000" w:fill="D9E1F2"/>
            <w:noWrap/>
            <w:vAlign w:val="center"/>
            <w:hideMark/>
          </w:tcPr>
          <w:p w14:paraId="7BC86D3B"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(1.800)</w:t>
            </w:r>
          </w:p>
        </w:tc>
        <w:tc>
          <w:tcPr>
            <w:tcW w:w="371" w:type="pct"/>
            <w:tcBorders>
              <w:top w:val="nil"/>
              <w:left w:val="nil"/>
              <w:bottom w:val="nil"/>
              <w:right w:val="nil"/>
            </w:tcBorders>
            <w:shd w:val="clear" w:color="auto" w:fill="auto"/>
            <w:noWrap/>
            <w:vAlign w:val="center"/>
            <w:hideMark/>
          </w:tcPr>
          <w:p w14:paraId="53136D90"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(1.456)</w:t>
            </w:r>
          </w:p>
        </w:tc>
        <w:tc>
          <w:tcPr>
            <w:tcW w:w="371" w:type="pct"/>
            <w:tcBorders>
              <w:top w:val="nil"/>
              <w:left w:val="nil"/>
              <w:bottom w:val="nil"/>
              <w:right w:val="nil"/>
            </w:tcBorders>
            <w:shd w:val="clear" w:color="auto" w:fill="auto"/>
            <w:noWrap/>
            <w:vAlign w:val="center"/>
            <w:hideMark/>
          </w:tcPr>
          <w:p w14:paraId="2B5F1457"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(1.928)</w:t>
            </w:r>
          </w:p>
        </w:tc>
        <w:tc>
          <w:tcPr>
            <w:tcW w:w="70" w:type="pct"/>
            <w:tcBorders>
              <w:top w:val="nil"/>
              <w:left w:val="nil"/>
              <w:bottom w:val="nil"/>
              <w:right w:val="nil"/>
            </w:tcBorders>
            <w:shd w:val="clear" w:color="auto" w:fill="auto"/>
            <w:noWrap/>
            <w:vAlign w:val="bottom"/>
            <w:hideMark/>
          </w:tcPr>
          <w:p w14:paraId="799C1E13"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p>
        </w:tc>
        <w:tc>
          <w:tcPr>
            <w:tcW w:w="291" w:type="pct"/>
            <w:tcBorders>
              <w:top w:val="nil"/>
              <w:left w:val="nil"/>
              <w:bottom w:val="nil"/>
              <w:right w:val="nil"/>
            </w:tcBorders>
            <w:shd w:val="clear" w:color="auto" w:fill="auto"/>
            <w:vAlign w:val="center"/>
            <w:hideMark/>
          </w:tcPr>
          <w:p w14:paraId="753AC240"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23,6%</w:t>
            </w:r>
          </w:p>
        </w:tc>
        <w:tc>
          <w:tcPr>
            <w:tcW w:w="329" w:type="pct"/>
            <w:tcBorders>
              <w:top w:val="nil"/>
              <w:left w:val="nil"/>
              <w:bottom w:val="nil"/>
              <w:right w:val="nil"/>
            </w:tcBorders>
            <w:shd w:val="clear" w:color="auto" w:fill="auto"/>
            <w:vAlign w:val="center"/>
            <w:hideMark/>
          </w:tcPr>
          <w:p w14:paraId="6A3AFB1F"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-6,6%</w:t>
            </w:r>
          </w:p>
        </w:tc>
        <w:tc>
          <w:tcPr>
            <w:tcW w:w="70" w:type="pct"/>
            <w:tcBorders>
              <w:top w:val="nil"/>
              <w:left w:val="nil"/>
              <w:bottom w:val="nil"/>
              <w:right w:val="nil"/>
            </w:tcBorders>
            <w:shd w:val="clear" w:color="auto" w:fill="auto"/>
            <w:noWrap/>
            <w:vAlign w:val="bottom"/>
            <w:hideMark/>
          </w:tcPr>
          <w:p w14:paraId="73C0C76C"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p>
        </w:tc>
        <w:tc>
          <w:tcPr>
            <w:tcW w:w="408" w:type="pct"/>
            <w:tcBorders>
              <w:top w:val="nil"/>
              <w:left w:val="nil"/>
              <w:bottom w:val="nil"/>
              <w:right w:val="nil"/>
            </w:tcBorders>
            <w:shd w:val="clear" w:color="000000" w:fill="D9E1F2"/>
            <w:noWrap/>
            <w:vAlign w:val="center"/>
            <w:hideMark/>
          </w:tcPr>
          <w:p w14:paraId="45AF8168"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(7.840)</w:t>
            </w:r>
          </w:p>
        </w:tc>
        <w:tc>
          <w:tcPr>
            <w:tcW w:w="408" w:type="pct"/>
            <w:tcBorders>
              <w:top w:val="nil"/>
              <w:left w:val="nil"/>
              <w:bottom w:val="nil"/>
              <w:right w:val="nil"/>
            </w:tcBorders>
            <w:shd w:val="clear" w:color="auto" w:fill="auto"/>
            <w:noWrap/>
            <w:vAlign w:val="center"/>
            <w:hideMark/>
          </w:tcPr>
          <w:p w14:paraId="79044054"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(5.667)</w:t>
            </w:r>
          </w:p>
        </w:tc>
        <w:tc>
          <w:tcPr>
            <w:tcW w:w="70" w:type="pct"/>
            <w:tcBorders>
              <w:top w:val="nil"/>
              <w:left w:val="nil"/>
              <w:bottom w:val="nil"/>
              <w:right w:val="nil"/>
            </w:tcBorders>
            <w:shd w:val="clear" w:color="auto" w:fill="auto"/>
            <w:noWrap/>
            <w:vAlign w:val="bottom"/>
            <w:hideMark/>
          </w:tcPr>
          <w:p w14:paraId="3324D6A5"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p>
        </w:tc>
        <w:tc>
          <w:tcPr>
            <w:tcW w:w="291" w:type="pct"/>
            <w:tcBorders>
              <w:top w:val="nil"/>
              <w:left w:val="nil"/>
              <w:bottom w:val="nil"/>
              <w:right w:val="nil"/>
            </w:tcBorders>
            <w:shd w:val="clear" w:color="auto" w:fill="auto"/>
            <w:vAlign w:val="center"/>
            <w:hideMark/>
          </w:tcPr>
          <w:p w14:paraId="274B42CC" w14:textId="77777777" w:rsidR="00AA1F87" w:rsidRPr="00AA1F87" w:rsidRDefault="00AA1F87" w:rsidP="00AA1F87">
            <w:pPr>
              <w:spacing w:after="0" w:line="240" w:lineRule="auto"/>
              <w:jc w:val="right"/>
              <w:rPr>
                <w:rFonts w:ascii="Arial" w:eastAsia="Times New Roman" w:hAnsi="Arial" w:cs="Arial"/>
                <w:color w:val="000000"/>
                <w:kern w:val="0"/>
                <w:sz w:val="13"/>
                <w:szCs w:val="13"/>
                <w:lang w:eastAsia="pt-BR"/>
                <w14:ligatures w14:val="none"/>
              </w:rPr>
            </w:pPr>
            <w:r w:rsidRPr="00AA1F87">
              <w:rPr>
                <w:rFonts w:ascii="Arial" w:eastAsia="Times New Roman" w:hAnsi="Arial" w:cs="Arial"/>
                <w:color w:val="000000"/>
                <w:kern w:val="0"/>
                <w:sz w:val="13"/>
                <w:szCs w:val="13"/>
                <w:lang w:eastAsia="pt-BR"/>
                <w14:ligatures w14:val="none"/>
              </w:rPr>
              <w:t>38,3%</w:t>
            </w:r>
          </w:p>
        </w:tc>
      </w:tr>
      <w:tr w:rsidR="00AA1F87" w:rsidRPr="00AA1F87" w14:paraId="43011B77" w14:textId="77777777" w:rsidTr="00446A14">
        <w:trPr>
          <w:trHeight w:val="227"/>
        </w:trPr>
        <w:tc>
          <w:tcPr>
            <w:tcW w:w="1877" w:type="pct"/>
            <w:tcBorders>
              <w:top w:val="nil"/>
              <w:left w:val="nil"/>
              <w:bottom w:val="nil"/>
              <w:right w:val="nil"/>
            </w:tcBorders>
            <w:shd w:val="clear" w:color="000000" w:fill="75F6F9"/>
            <w:noWrap/>
            <w:vAlign w:val="center"/>
            <w:hideMark/>
          </w:tcPr>
          <w:p w14:paraId="108DB0C7" w14:textId="77777777" w:rsidR="00AA1F87" w:rsidRPr="00AA1F87" w:rsidRDefault="00AA1F87" w:rsidP="00AA1F87">
            <w:pPr>
              <w:spacing w:after="0" w:line="240" w:lineRule="auto"/>
              <w:rPr>
                <w:rFonts w:ascii="Arial" w:eastAsia="Times New Roman" w:hAnsi="Arial" w:cs="Arial"/>
                <w:b/>
                <w:bCs/>
                <w:color w:val="000000"/>
                <w:kern w:val="0"/>
                <w:sz w:val="14"/>
                <w:szCs w:val="14"/>
                <w:lang w:eastAsia="pt-BR"/>
                <w14:ligatures w14:val="none"/>
              </w:rPr>
            </w:pPr>
            <w:r w:rsidRPr="00AA1F87">
              <w:rPr>
                <w:rFonts w:ascii="Arial" w:eastAsia="Times New Roman" w:hAnsi="Arial" w:cs="Arial"/>
                <w:b/>
                <w:bCs/>
                <w:color w:val="000000"/>
                <w:kern w:val="0"/>
                <w:sz w:val="14"/>
                <w:szCs w:val="14"/>
                <w:lang w:eastAsia="pt-BR"/>
                <w14:ligatures w14:val="none"/>
              </w:rPr>
              <w:t>Total</w:t>
            </w:r>
          </w:p>
        </w:tc>
        <w:tc>
          <w:tcPr>
            <w:tcW w:w="442" w:type="pct"/>
            <w:tcBorders>
              <w:top w:val="nil"/>
              <w:left w:val="nil"/>
              <w:bottom w:val="nil"/>
              <w:right w:val="nil"/>
            </w:tcBorders>
            <w:shd w:val="clear" w:color="000000" w:fill="75F6F9"/>
            <w:noWrap/>
            <w:vAlign w:val="center"/>
            <w:hideMark/>
          </w:tcPr>
          <w:p w14:paraId="26C36BF4" w14:textId="77777777" w:rsidR="00AA1F87" w:rsidRPr="00AA1F87" w:rsidRDefault="00AA1F87" w:rsidP="00AA1F87">
            <w:pPr>
              <w:spacing w:after="0" w:line="240" w:lineRule="auto"/>
              <w:jc w:val="right"/>
              <w:rPr>
                <w:rFonts w:ascii="Arial" w:eastAsia="Times New Roman" w:hAnsi="Arial" w:cs="Arial"/>
                <w:b/>
                <w:bCs/>
                <w:color w:val="000000"/>
                <w:kern w:val="0"/>
                <w:sz w:val="14"/>
                <w:szCs w:val="14"/>
                <w:lang w:eastAsia="pt-BR"/>
                <w14:ligatures w14:val="none"/>
              </w:rPr>
            </w:pPr>
            <w:r w:rsidRPr="00AA1F87">
              <w:rPr>
                <w:rFonts w:ascii="Arial" w:eastAsia="Times New Roman" w:hAnsi="Arial" w:cs="Arial"/>
                <w:b/>
                <w:bCs/>
                <w:color w:val="000000"/>
                <w:kern w:val="0"/>
                <w:sz w:val="14"/>
                <w:szCs w:val="14"/>
                <w:lang w:eastAsia="pt-BR"/>
                <w14:ligatures w14:val="none"/>
              </w:rPr>
              <w:t xml:space="preserve">     38.355 </w:t>
            </w:r>
          </w:p>
        </w:tc>
        <w:tc>
          <w:tcPr>
            <w:tcW w:w="371" w:type="pct"/>
            <w:tcBorders>
              <w:top w:val="nil"/>
              <w:left w:val="nil"/>
              <w:bottom w:val="nil"/>
              <w:right w:val="nil"/>
            </w:tcBorders>
            <w:shd w:val="clear" w:color="000000" w:fill="75F6F9"/>
            <w:noWrap/>
            <w:vAlign w:val="center"/>
            <w:hideMark/>
          </w:tcPr>
          <w:p w14:paraId="3211492E" w14:textId="77777777" w:rsidR="00AA1F87" w:rsidRPr="00AA1F87" w:rsidRDefault="00AA1F87" w:rsidP="00AA1F87">
            <w:pPr>
              <w:spacing w:after="0" w:line="240" w:lineRule="auto"/>
              <w:jc w:val="right"/>
              <w:rPr>
                <w:rFonts w:ascii="Arial" w:eastAsia="Times New Roman" w:hAnsi="Arial" w:cs="Arial"/>
                <w:b/>
                <w:bCs/>
                <w:color w:val="000000"/>
                <w:kern w:val="0"/>
                <w:sz w:val="14"/>
                <w:szCs w:val="14"/>
                <w:lang w:eastAsia="pt-BR"/>
                <w14:ligatures w14:val="none"/>
              </w:rPr>
            </w:pPr>
            <w:r w:rsidRPr="00AA1F87">
              <w:rPr>
                <w:rFonts w:ascii="Arial" w:eastAsia="Times New Roman" w:hAnsi="Arial" w:cs="Arial"/>
                <w:b/>
                <w:bCs/>
                <w:color w:val="000000"/>
                <w:kern w:val="0"/>
                <w:sz w:val="14"/>
                <w:szCs w:val="14"/>
                <w:lang w:eastAsia="pt-BR"/>
                <w14:ligatures w14:val="none"/>
              </w:rPr>
              <w:t xml:space="preserve">     30.745 </w:t>
            </w:r>
          </w:p>
        </w:tc>
        <w:tc>
          <w:tcPr>
            <w:tcW w:w="371" w:type="pct"/>
            <w:tcBorders>
              <w:top w:val="nil"/>
              <w:left w:val="nil"/>
              <w:bottom w:val="nil"/>
              <w:right w:val="nil"/>
            </w:tcBorders>
            <w:shd w:val="clear" w:color="000000" w:fill="75F6F9"/>
            <w:noWrap/>
            <w:vAlign w:val="center"/>
            <w:hideMark/>
          </w:tcPr>
          <w:p w14:paraId="5C3145DF" w14:textId="77777777" w:rsidR="00AA1F87" w:rsidRPr="00AA1F87" w:rsidRDefault="00AA1F87" w:rsidP="00AA1F87">
            <w:pPr>
              <w:spacing w:after="0" w:line="240" w:lineRule="auto"/>
              <w:jc w:val="right"/>
              <w:rPr>
                <w:rFonts w:ascii="Arial" w:eastAsia="Times New Roman" w:hAnsi="Arial" w:cs="Arial"/>
                <w:b/>
                <w:bCs/>
                <w:color w:val="000000"/>
                <w:kern w:val="0"/>
                <w:sz w:val="14"/>
                <w:szCs w:val="14"/>
                <w:lang w:eastAsia="pt-BR"/>
                <w14:ligatures w14:val="none"/>
              </w:rPr>
            </w:pPr>
            <w:r w:rsidRPr="00AA1F87">
              <w:rPr>
                <w:rFonts w:ascii="Arial" w:eastAsia="Times New Roman" w:hAnsi="Arial" w:cs="Arial"/>
                <w:b/>
                <w:bCs/>
                <w:color w:val="000000"/>
                <w:kern w:val="0"/>
                <w:sz w:val="14"/>
                <w:szCs w:val="14"/>
                <w:lang w:eastAsia="pt-BR"/>
                <w14:ligatures w14:val="none"/>
              </w:rPr>
              <w:t xml:space="preserve">     41.688 </w:t>
            </w:r>
          </w:p>
        </w:tc>
        <w:tc>
          <w:tcPr>
            <w:tcW w:w="70" w:type="pct"/>
            <w:tcBorders>
              <w:top w:val="nil"/>
              <w:left w:val="nil"/>
              <w:bottom w:val="nil"/>
              <w:right w:val="nil"/>
            </w:tcBorders>
            <w:shd w:val="clear" w:color="auto" w:fill="auto"/>
            <w:noWrap/>
            <w:vAlign w:val="bottom"/>
            <w:hideMark/>
          </w:tcPr>
          <w:p w14:paraId="695265E2" w14:textId="77777777" w:rsidR="00AA1F87" w:rsidRPr="00AA1F87" w:rsidRDefault="00AA1F87" w:rsidP="00AA1F87">
            <w:pPr>
              <w:spacing w:after="0" w:line="240" w:lineRule="auto"/>
              <w:jc w:val="right"/>
              <w:rPr>
                <w:rFonts w:ascii="Arial" w:eastAsia="Times New Roman" w:hAnsi="Arial" w:cs="Arial"/>
                <w:b/>
                <w:bCs/>
                <w:color w:val="000000"/>
                <w:kern w:val="0"/>
                <w:sz w:val="14"/>
                <w:szCs w:val="14"/>
                <w:lang w:eastAsia="pt-BR"/>
                <w14:ligatures w14:val="none"/>
              </w:rPr>
            </w:pPr>
          </w:p>
        </w:tc>
        <w:tc>
          <w:tcPr>
            <w:tcW w:w="291" w:type="pct"/>
            <w:tcBorders>
              <w:top w:val="nil"/>
              <w:left w:val="nil"/>
              <w:bottom w:val="nil"/>
              <w:right w:val="nil"/>
            </w:tcBorders>
            <w:shd w:val="clear" w:color="000000" w:fill="75F6F9"/>
            <w:vAlign w:val="center"/>
            <w:hideMark/>
          </w:tcPr>
          <w:p w14:paraId="191B8232" w14:textId="77777777" w:rsidR="00AA1F87" w:rsidRPr="00AA1F87" w:rsidRDefault="00AA1F87" w:rsidP="00AA1F87">
            <w:pPr>
              <w:spacing w:after="0" w:line="240" w:lineRule="auto"/>
              <w:jc w:val="right"/>
              <w:rPr>
                <w:rFonts w:ascii="Arial" w:eastAsia="Times New Roman" w:hAnsi="Arial" w:cs="Arial"/>
                <w:b/>
                <w:bCs/>
                <w:color w:val="000000"/>
                <w:kern w:val="0"/>
                <w:sz w:val="14"/>
                <w:szCs w:val="14"/>
                <w:lang w:eastAsia="pt-BR"/>
                <w14:ligatures w14:val="none"/>
              </w:rPr>
            </w:pPr>
            <w:r w:rsidRPr="00AA1F87">
              <w:rPr>
                <w:rFonts w:ascii="Arial" w:eastAsia="Times New Roman" w:hAnsi="Arial" w:cs="Arial"/>
                <w:b/>
                <w:bCs/>
                <w:color w:val="000000"/>
                <w:kern w:val="0"/>
                <w:sz w:val="14"/>
                <w:szCs w:val="14"/>
                <w:lang w:eastAsia="pt-BR"/>
                <w14:ligatures w14:val="none"/>
              </w:rPr>
              <w:t>24,8%</w:t>
            </w:r>
          </w:p>
        </w:tc>
        <w:tc>
          <w:tcPr>
            <w:tcW w:w="329" w:type="pct"/>
            <w:tcBorders>
              <w:top w:val="nil"/>
              <w:left w:val="nil"/>
              <w:bottom w:val="nil"/>
              <w:right w:val="nil"/>
            </w:tcBorders>
            <w:shd w:val="clear" w:color="000000" w:fill="75F6F9"/>
            <w:noWrap/>
            <w:vAlign w:val="center"/>
            <w:hideMark/>
          </w:tcPr>
          <w:p w14:paraId="4F5E6BA4" w14:textId="77777777" w:rsidR="00AA1F87" w:rsidRPr="00AA1F87" w:rsidRDefault="00AA1F87" w:rsidP="00AA1F87">
            <w:pPr>
              <w:spacing w:after="0" w:line="240" w:lineRule="auto"/>
              <w:jc w:val="right"/>
              <w:rPr>
                <w:rFonts w:ascii="Arial" w:eastAsia="Times New Roman" w:hAnsi="Arial" w:cs="Arial"/>
                <w:b/>
                <w:bCs/>
                <w:color w:val="000000"/>
                <w:kern w:val="0"/>
                <w:sz w:val="14"/>
                <w:szCs w:val="14"/>
                <w:lang w:eastAsia="pt-BR"/>
                <w14:ligatures w14:val="none"/>
              </w:rPr>
            </w:pPr>
            <w:r w:rsidRPr="00AA1F87">
              <w:rPr>
                <w:rFonts w:ascii="Arial" w:eastAsia="Times New Roman" w:hAnsi="Arial" w:cs="Arial"/>
                <w:b/>
                <w:bCs/>
                <w:color w:val="000000"/>
                <w:kern w:val="0"/>
                <w:sz w:val="14"/>
                <w:szCs w:val="14"/>
                <w:lang w:eastAsia="pt-BR"/>
                <w14:ligatures w14:val="none"/>
              </w:rPr>
              <w:t>-8,0%</w:t>
            </w:r>
          </w:p>
        </w:tc>
        <w:tc>
          <w:tcPr>
            <w:tcW w:w="70" w:type="pct"/>
            <w:tcBorders>
              <w:top w:val="nil"/>
              <w:left w:val="nil"/>
              <w:bottom w:val="nil"/>
              <w:right w:val="nil"/>
            </w:tcBorders>
            <w:shd w:val="clear" w:color="auto" w:fill="auto"/>
            <w:noWrap/>
            <w:vAlign w:val="bottom"/>
            <w:hideMark/>
          </w:tcPr>
          <w:p w14:paraId="7454443F" w14:textId="77777777" w:rsidR="00AA1F87" w:rsidRPr="00AA1F87" w:rsidRDefault="00AA1F87" w:rsidP="00AA1F87">
            <w:pPr>
              <w:spacing w:after="0" w:line="240" w:lineRule="auto"/>
              <w:jc w:val="right"/>
              <w:rPr>
                <w:rFonts w:ascii="Arial" w:eastAsia="Times New Roman" w:hAnsi="Arial" w:cs="Arial"/>
                <w:b/>
                <w:bCs/>
                <w:color w:val="000000"/>
                <w:kern w:val="0"/>
                <w:sz w:val="14"/>
                <w:szCs w:val="14"/>
                <w:lang w:eastAsia="pt-BR"/>
                <w14:ligatures w14:val="none"/>
              </w:rPr>
            </w:pPr>
          </w:p>
        </w:tc>
        <w:tc>
          <w:tcPr>
            <w:tcW w:w="408" w:type="pct"/>
            <w:tcBorders>
              <w:top w:val="nil"/>
              <w:left w:val="nil"/>
              <w:bottom w:val="nil"/>
              <w:right w:val="nil"/>
            </w:tcBorders>
            <w:shd w:val="clear" w:color="000000" w:fill="75F6F9"/>
            <w:noWrap/>
            <w:vAlign w:val="center"/>
            <w:hideMark/>
          </w:tcPr>
          <w:p w14:paraId="5FCB24A3" w14:textId="77777777" w:rsidR="00AA1F87" w:rsidRPr="00AA1F87" w:rsidRDefault="00AA1F87" w:rsidP="00AA1F87">
            <w:pPr>
              <w:spacing w:after="0" w:line="240" w:lineRule="auto"/>
              <w:jc w:val="right"/>
              <w:rPr>
                <w:rFonts w:ascii="Arial" w:eastAsia="Times New Roman" w:hAnsi="Arial" w:cs="Arial"/>
                <w:b/>
                <w:bCs/>
                <w:color w:val="000000"/>
                <w:kern w:val="0"/>
                <w:sz w:val="14"/>
                <w:szCs w:val="14"/>
                <w:lang w:eastAsia="pt-BR"/>
                <w14:ligatures w14:val="none"/>
              </w:rPr>
            </w:pPr>
            <w:r w:rsidRPr="00AA1F87">
              <w:rPr>
                <w:rFonts w:ascii="Arial" w:eastAsia="Times New Roman" w:hAnsi="Arial" w:cs="Arial"/>
                <w:b/>
                <w:bCs/>
                <w:color w:val="000000"/>
                <w:kern w:val="0"/>
                <w:sz w:val="14"/>
                <w:szCs w:val="14"/>
                <w:lang w:eastAsia="pt-BR"/>
                <w14:ligatures w14:val="none"/>
              </w:rPr>
              <w:t xml:space="preserve">     165.638 </w:t>
            </w:r>
          </w:p>
        </w:tc>
        <w:tc>
          <w:tcPr>
            <w:tcW w:w="408" w:type="pct"/>
            <w:tcBorders>
              <w:top w:val="nil"/>
              <w:left w:val="nil"/>
              <w:bottom w:val="nil"/>
              <w:right w:val="nil"/>
            </w:tcBorders>
            <w:shd w:val="clear" w:color="000000" w:fill="75F6F9"/>
            <w:noWrap/>
            <w:vAlign w:val="center"/>
            <w:hideMark/>
          </w:tcPr>
          <w:p w14:paraId="0F4975E2" w14:textId="77777777" w:rsidR="00AA1F87" w:rsidRPr="00AA1F87" w:rsidRDefault="00AA1F87" w:rsidP="00AA1F87">
            <w:pPr>
              <w:spacing w:after="0" w:line="240" w:lineRule="auto"/>
              <w:jc w:val="right"/>
              <w:rPr>
                <w:rFonts w:ascii="Arial" w:eastAsia="Times New Roman" w:hAnsi="Arial" w:cs="Arial"/>
                <w:b/>
                <w:bCs/>
                <w:color w:val="000000"/>
                <w:kern w:val="0"/>
                <w:sz w:val="14"/>
                <w:szCs w:val="14"/>
                <w:lang w:eastAsia="pt-BR"/>
                <w14:ligatures w14:val="none"/>
              </w:rPr>
            </w:pPr>
            <w:r w:rsidRPr="00AA1F87">
              <w:rPr>
                <w:rFonts w:ascii="Arial" w:eastAsia="Times New Roman" w:hAnsi="Arial" w:cs="Arial"/>
                <w:b/>
                <w:bCs/>
                <w:color w:val="000000"/>
                <w:kern w:val="0"/>
                <w:sz w:val="14"/>
                <w:szCs w:val="14"/>
                <w:lang w:eastAsia="pt-BR"/>
                <w14:ligatures w14:val="none"/>
              </w:rPr>
              <w:t xml:space="preserve">     119.372 </w:t>
            </w:r>
          </w:p>
        </w:tc>
        <w:tc>
          <w:tcPr>
            <w:tcW w:w="70" w:type="pct"/>
            <w:tcBorders>
              <w:top w:val="nil"/>
              <w:left w:val="nil"/>
              <w:bottom w:val="nil"/>
              <w:right w:val="nil"/>
            </w:tcBorders>
            <w:shd w:val="clear" w:color="auto" w:fill="auto"/>
            <w:noWrap/>
            <w:vAlign w:val="bottom"/>
            <w:hideMark/>
          </w:tcPr>
          <w:p w14:paraId="103C0B76" w14:textId="77777777" w:rsidR="00AA1F87" w:rsidRPr="00AA1F87" w:rsidRDefault="00AA1F87" w:rsidP="00AA1F87">
            <w:pPr>
              <w:spacing w:after="0" w:line="240" w:lineRule="auto"/>
              <w:jc w:val="right"/>
              <w:rPr>
                <w:rFonts w:ascii="Arial" w:eastAsia="Times New Roman" w:hAnsi="Arial" w:cs="Arial"/>
                <w:b/>
                <w:bCs/>
                <w:color w:val="000000"/>
                <w:kern w:val="0"/>
                <w:sz w:val="14"/>
                <w:szCs w:val="14"/>
                <w:lang w:eastAsia="pt-BR"/>
                <w14:ligatures w14:val="none"/>
              </w:rPr>
            </w:pPr>
          </w:p>
        </w:tc>
        <w:tc>
          <w:tcPr>
            <w:tcW w:w="291" w:type="pct"/>
            <w:tcBorders>
              <w:top w:val="nil"/>
              <w:left w:val="nil"/>
              <w:bottom w:val="nil"/>
              <w:right w:val="nil"/>
            </w:tcBorders>
            <w:shd w:val="clear" w:color="000000" w:fill="75F6F9"/>
            <w:vAlign w:val="center"/>
            <w:hideMark/>
          </w:tcPr>
          <w:p w14:paraId="6A9075B9" w14:textId="77777777" w:rsidR="00AA1F87" w:rsidRPr="00AA1F87" w:rsidRDefault="00AA1F87" w:rsidP="00AA1F87">
            <w:pPr>
              <w:spacing w:after="0" w:line="240" w:lineRule="auto"/>
              <w:jc w:val="right"/>
              <w:rPr>
                <w:rFonts w:ascii="Arial" w:eastAsia="Times New Roman" w:hAnsi="Arial" w:cs="Arial"/>
                <w:b/>
                <w:bCs/>
                <w:color w:val="000000"/>
                <w:kern w:val="0"/>
                <w:sz w:val="13"/>
                <w:szCs w:val="13"/>
                <w:lang w:eastAsia="pt-BR"/>
                <w14:ligatures w14:val="none"/>
              </w:rPr>
            </w:pPr>
            <w:r w:rsidRPr="00AA1F87">
              <w:rPr>
                <w:rFonts w:ascii="Arial" w:eastAsia="Times New Roman" w:hAnsi="Arial" w:cs="Arial"/>
                <w:b/>
                <w:bCs/>
                <w:color w:val="000000"/>
                <w:kern w:val="0"/>
                <w:sz w:val="13"/>
                <w:szCs w:val="13"/>
                <w:lang w:eastAsia="pt-BR"/>
                <w14:ligatures w14:val="none"/>
              </w:rPr>
              <w:t>38,8%</w:t>
            </w:r>
          </w:p>
        </w:tc>
      </w:tr>
      <w:tr w:rsidR="00AA1F87" w:rsidRPr="00AA1F87" w14:paraId="520D1C44" w14:textId="77777777" w:rsidTr="00446A14">
        <w:trPr>
          <w:trHeight w:val="227"/>
        </w:trPr>
        <w:tc>
          <w:tcPr>
            <w:tcW w:w="1877" w:type="pct"/>
            <w:tcBorders>
              <w:top w:val="single" w:sz="8" w:space="0" w:color="D9E1F2"/>
              <w:left w:val="nil"/>
              <w:bottom w:val="nil"/>
              <w:right w:val="nil"/>
            </w:tcBorders>
            <w:shd w:val="clear" w:color="auto" w:fill="auto"/>
            <w:noWrap/>
            <w:vAlign w:val="center"/>
            <w:hideMark/>
          </w:tcPr>
          <w:p w14:paraId="1C87753B" w14:textId="77777777" w:rsidR="00AA1F87" w:rsidRPr="00AA1F87" w:rsidRDefault="00AA1F87" w:rsidP="00AA1F87">
            <w:pPr>
              <w:spacing w:after="0" w:line="240" w:lineRule="auto"/>
              <w:rPr>
                <w:rFonts w:ascii="Arial" w:eastAsia="Times New Roman" w:hAnsi="Arial" w:cs="Arial"/>
                <w:b/>
                <w:bCs/>
                <w:color w:val="000000"/>
                <w:kern w:val="0"/>
                <w:sz w:val="14"/>
                <w:szCs w:val="14"/>
                <w:lang w:eastAsia="pt-BR"/>
                <w14:ligatures w14:val="none"/>
              </w:rPr>
            </w:pPr>
            <w:r w:rsidRPr="00AA1F87">
              <w:rPr>
                <w:rFonts w:ascii="Arial" w:eastAsia="Times New Roman" w:hAnsi="Arial" w:cs="Arial"/>
                <w:b/>
                <w:bCs/>
                <w:color w:val="000000"/>
                <w:kern w:val="0"/>
                <w:sz w:val="14"/>
                <w:szCs w:val="14"/>
                <w:lang w:eastAsia="pt-BR"/>
                <w14:ligatures w14:val="none"/>
              </w:rPr>
              <w:t>Despesas Financeiras</w:t>
            </w:r>
          </w:p>
        </w:tc>
        <w:tc>
          <w:tcPr>
            <w:tcW w:w="442" w:type="pct"/>
            <w:tcBorders>
              <w:top w:val="nil"/>
              <w:left w:val="nil"/>
              <w:bottom w:val="nil"/>
              <w:right w:val="nil"/>
            </w:tcBorders>
            <w:shd w:val="clear" w:color="000000" w:fill="D9E1F2"/>
            <w:noWrap/>
            <w:vAlign w:val="center"/>
            <w:hideMark/>
          </w:tcPr>
          <w:p w14:paraId="13A91979"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w:t>
            </w:r>
          </w:p>
        </w:tc>
        <w:tc>
          <w:tcPr>
            <w:tcW w:w="371" w:type="pct"/>
            <w:tcBorders>
              <w:top w:val="nil"/>
              <w:left w:val="nil"/>
              <w:bottom w:val="nil"/>
              <w:right w:val="nil"/>
            </w:tcBorders>
            <w:shd w:val="clear" w:color="auto" w:fill="auto"/>
            <w:noWrap/>
            <w:vAlign w:val="bottom"/>
            <w:hideMark/>
          </w:tcPr>
          <w:p w14:paraId="594303E8"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p>
        </w:tc>
        <w:tc>
          <w:tcPr>
            <w:tcW w:w="371" w:type="pct"/>
            <w:tcBorders>
              <w:top w:val="nil"/>
              <w:left w:val="nil"/>
              <w:bottom w:val="nil"/>
              <w:right w:val="nil"/>
            </w:tcBorders>
            <w:shd w:val="clear" w:color="auto" w:fill="auto"/>
            <w:noWrap/>
            <w:vAlign w:val="bottom"/>
            <w:hideMark/>
          </w:tcPr>
          <w:p w14:paraId="7AF9CA06" w14:textId="77777777" w:rsidR="00AA1F87" w:rsidRPr="00AA1F87" w:rsidRDefault="00AA1F87" w:rsidP="00AA1F87">
            <w:pPr>
              <w:spacing w:after="0" w:line="240" w:lineRule="auto"/>
              <w:jc w:val="right"/>
              <w:rPr>
                <w:rFonts w:ascii="Times New Roman" w:eastAsia="Times New Roman" w:hAnsi="Times New Roman" w:cs="Times New Roman"/>
                <w:kern w:val="0"/>
                <w:sz w:val="20"/>
                <w:szCs w:val="20"/>
                <w:lang w:eastAsia="pt-BR"/>
                <w14:ligatures w14:val="none"/>
              </w:rPr>
            </w:pPr>
          </w:p>
        </w:tc>
        <w:tc>
          <w:tcPr>
            <w:tcW w:w="70" w:type="pct"/>
            <w:tcBorders>
              <w:top w:val="nil"/>
              <w:left w:val="nil"/>
              <w:bottom w:val="nil"/>
              <w:right w:val="nil"/>
            </w:tcBorders>
            <w:shd w:val="clear" w:color="auto" w:fill="auto"/>
            <w:noWrap/>
            <w:vAlign w:val="bottom"/>
            <w:hideMark/>
          </w:tcPr>
          <w:p w14:paraId="5BC833DA" w14:textId="77777777" w:rsidR="00AA1F87" w:rsidRPr="00AA1F87" w:rsidRDefault="00AA1F87" w:rsidP="00AA1F87">
            <w:pPr>
              <w:spacing w:after="0" w:line="240" w:lineRule="auto"/>
              <w:jc w:val="right"/>
              <w:rPr>
                <w:rFonts w:ascii="Times New Roman" w:eastAsia="Times New Roman" w:hAnsi="Times New Roman" w:cs="Times New Roman"/>
                <w:kern w:val="0"/>
                <w:sz w:val="20"/>
                <w:szCs w:val="20"/>
                <w:lang w:eastAsia="pt-BR"/>
                <w14:ligatures w14:val="none"/>
              </w:rPr>
            </w:pPr>
          </w:p>
        </w:tc>
        <w:tc>
          <w:tcPr>
            <w:tcW w:w="291" w:type="pct"/>
            <w:tcBorders>
              <w:top w:val="nil"/>
              <w:left w:val="nil"/>
              <w:bottom w:val="nil"/>
              <w:right w:val="nil"/>
            </w:tcBorders>
            <w:shd w:val="clear" w:color="auto" w:fill="auto"/>
            <w:vAlign w:val="center"/>
            <w:hideMark/>
          </w:tcPr>
          <w:p w14:paraId="2A7A0CC9" w14:textId="77777777" w:rsidR="00AA1F87" w:rsidRPr="00AA1F87" w:rsidRDefault="00AA1F87" w:rsidP="00AA1F87">
            <w:pPr>
              <w:spacing w:after="0" w:line="240" w:lineRule="auto"/>
              <w:jc w:val="right"/>
              <w:rPr>
                <w:rFonts w:ascii="Arial" w:eastAsia="Times New Roman" w:hAnsi="Arial" w:cs="Arial"/>
                <w:b/>
                <w:bCs/>
                <w:color w:val="000000"/>
                <w:kern w:val="0"/>
                <w:sz w:val="14"/>
                <w:szCs w:val="14"/>
                <w:lang w:eastAsia="pt-BR"/>
                <w14:ligatures w14:val="none"/>
              </w:rPr>
            </w:pPr>
            <w:r w:rsidRPr="00AA1F87">
              <w:rPr>
                <w:rFonts w:ascii="Arial" w:eastAsia="Times New Roman" w:hAnsi="Arial" w:cs="Arial"/>
                <w:b/>
                <w:bCs/>
                <w:color w:val="000000"/>
                <w:kern w:val="0"/>
                <w:sz w:val="14"/>
                <w:szCs w:val="14"/>
                <w:lang w:eastAsia="pt-BR"/>
                <w14:ligatures w14:val="none"/>
              </w:rPr>
              <w:t xml:space="preserve"> </w:t>
            </w:r>
          </w:p>
        </w:tc>
        <w:tc>
          <w:tcPr>
            <w:tcW w:w="329" w:type="pct"/>
            <w:tcBorders>
              <w:top w:val="nil"/>
              <w:left w:val="nil"/>
              <w:bottom w:val="nil"/>
              <w:right w:val="nil"/>
            </w:tcBorders>
            <w:shd w:val="clear" w:color="auto" w:fill="auto"/>
            <w:vAlign w:val="center"/>
            <w:hideMark/>
          </w:tcPr>
          <w:p w14:paraId="274945A6" w14:textId="77777777" w:rsidR="00AA1F87" w:rsidRPr="00AA1F87" w:rsidRDefault="00AA1F87" w:rsidP="00AA1F87">
            <w:pPr>
              <w:spacing w:after="0" w:line="240" w:lineRule="auto"/>
              <w:jc w:val="right"/>
              <w:rPr>
                <w:rFonts w:ascii="Arial" w:eastAsia="Times New Roman" w:hAnsi="Arial" w:cs="Arial"/>
                <w:b/>
                <w:bCs/>
                <w:color w:val="000000"/>
                <w:kern w:val="0"/>
                <w:sz w:val="14"/>
                <w:szCs w:val="14"/>
                <w:lang w:eastAsia="pt-BR"/>
                <w14:ligatures w14:val="none"/>
              </w:rPr>
            </w:pPr>
            <w:r w:rsidRPr="00AA1F87">
              <w:rPr>
                <w:rFonts w:ascii="Arial" w:eastAsia="Times New Roman" w:hAnsi="Arial" w:cs="Arial"/>
                <w:b/>
                <w:bCs/>
                <w:color w:val="000000"/>
                <w:kern w:val="0"/>
                <w:sz w:val="14"/>
                <w:szCs w:val="14"/>
                <w:lang w:eastAsia="pt-BR"/>
                <w14:ligatures w14:val="none"/>
              </w:rPr>
              <w:t xml:space="preserve"> </w:t>
            </w:r>
          </w:p>
        </w:tc>
        <w:tc>
          <w:tcPr>
            <w:tcW w:w="70" w:type="pct"/>
            <w:tcBorders>
              <w:top w:val="nil"/>
              <w:left w:val="nil"/>
              <w:bottom w:val="nil"/>
              <w:right w:val="nil"/>
            </w:tcBorders>
            <w:shd w:val="clear" w:color="auto" w:fill="auto"/>
            <w:noWrap/>
            <w:vAlign w:val="bottom"/>
            <w:hideMark/>
          </w:tcPr>
          <w:p w14:paraId="4101C7D9" w14:textId="77777777" w:rsidR="00AA1F87" w:rsidRPr="00AA1F87" w:rsidRDefault="00AA1F87" w:rsidP="00AA1F87">
            <w:pPr>
              <w:spacing w:after="0" w:line="240" w:lineRule="auto"/>
              <w:jc w:val="right"/>
              <w:rPr>
                <w:rFonts w:ascii="Arial" w:eastAsia="Times New Roman" w:hAnsi="Arial" w:cs="Arial"/>
                <w:b/>
                <w:bCs/>
                <w:color w:val="000000"/>
                <w:kern w:val="0"/>
                <w:sz w:val="14"/>
                <w:szCs w:val="14"/>
                <w:lang w:eastAsia="pt-BR"/>
                <w14:ligatures w14:val="none"/>
              </w:rPr>
            </w:pPr>
          </w:p>
        </w:tc>
        <w:tc>
          <w:tcPr>
            <w:tcW w:w="408" w:type="pct"/>
            <w:tcBorders>
              <w:top w:val="nil"/>
              <w:left w:val="nil"/>
              <w:bottom w:val="nil"/>
              <w:right w:val="nil"/>
            </w:tcBorders>
            <w:shd w:val="clear" w:color="000000" w:fill="D9E1F2"/>
            <w:noWrap/>
            <w:vAlign w:val="center"/>
            <w:hideMark/>
          </w:tcPr>
          <w:p w14:paraId="7C5CA1CD"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w:t>
            </w:r>
          </w:p>
        </w:tc>
        <w:tc>
          <w:tcPr>
            <w:tcW w:w="408" w:type="pct"/>
            <w:tcBorders>
              <w:top w:val="nil"/>
              <w:left w:val="nil"/>
              <w:bottom w:val="nil"/>
              <w:right w:val="nil"/>
            </w:tcBorders>
            <w:shd w:val="clear" w:color="auto" w:fill="auto"/>
            <w:noWrap/>
            <w:vAlign w:val="bottom"/>
            <w:hideMark/>
          </w:tcPr>
          <w:p w14:paraId="08B82ABD"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p>
        </w:tc>
        <w:tc>
          <w:tcPr>
            <w:tcW w:w="70" w:type="pct"/>
            <w:tcBorders>
              <w:top w:val="nil"/>
              <w:left w:val="nil"/>
              <w:bottom w:val="nil"/>
              <w:right w:val="nil"/>
            </w:tcBorders>
            <w:shd w:val="clear" w:color="auto" w:fill="auto"/>
            <w:noWrap/>
            <w:vAlign w:val="bottom"/>
            <w:hideMark/>
          </w:tcPr>
          <w:p w14:paraId="1C4C527A" w14:textId="77777777" w:rsidR="00AA1F87" w:rsidRPr="00AA1F87" w:rsidRDefault="00AA1F87" w:rsidP="00AA1F87">
            <w:pPr>
              <w:spacing w:after="0" w:line="240" w:lineRule="auto"/>
              <w:jc w:val="right"/>
              <w:rPr>
                <w:rFonts w:ascii="Times New Roman" w:eastAsia="Times New Roman" w:hAnsi="Times New Roman" w:cs="Times New Roman"/>
                <w:kern w:val="0"/>
                <w:sz w:val="20"/>
                <w:szCs w:val="20"/>
                <w:lang w:eastAsia="pt-BR"/>
                <w14:ligatures w14:val="none"/>
              </w:rPr>
            </w:pPr>
          </w:p>
        </w:tc>
        <w:tc>
          <w:tcPr>
            <w:tcW w:w="291" w:type="pct"/>
            <w:tcBorders>
              <w:top w:val="nil"/>
              <w:left w:val="nil"/>
              <w:bottom w:val="nil"/>
              <w:right w:val="nil"/>
            </w:tcBorders>
            <w:shd w:val="clear" w:color="auto" w:fill="auto"/>
            <w:noWrap/>
            <w:vAlign w:val="bottom"/>
            <w:hideMark/>
          </w:tcPr>
          <w:p w14:paraId="3704E68A" w14:textId="77777777" w:rsidR="00AA1F87" w:rsidRPr="00AA1F87" w:rsidRDefault="00AA1F87" w:rsidP="00AA1F87">
            <w:pPr>
              <w:spacing w:after="0" w:line="240" w:lineRule="auto"/>
              <w:jc w:val="right"/>
              <w:rPr>
                <w:rFonts w:ascii="Times New Roman" w:eastAsia="Times New Roman" w:hAnsi="Times New Roman" w:cs="Times New Roman"/>
                <w:kern w:val="0"/>
                <w:sz w:val="20"/>
                <w:szCs w:val="20"/>
                <w:lang w:eastAsia="pt-BR"/>
                <w14:ligatures w14:val="none"/>
              </w:rPr>
            </w:pPr>
          </w:p>
        </w:tc>
      </w:tr>
      <w:tr w:rsidR="00AA1F87" w:rsidRPr="00AA1F87" w14:paraId="526B7ACE" w14:textId="77777777" w:rsidTr="00446A14">
        <w:trPr>
          <w:trHeight w:val="227"/>
        </w:trPr>
        <w:tc>
          <w:tcPr>
            <w:tcW w:w="1877" w:type="pct"/>
            <w:tcBorders>
              <w:top w:val="nil"/>
              <w:left w:val="nil"/>
              <w:bottom w:val="nil"/>
              <w:right w:val="nil"/>
            </w:tcBorders>
            <w:shd w:val="clear" w:color="auto" w:fill="auto"/>
            <w:noWrap/>
            <w:vAlign w:val="center"/>
            <w:hideMark/>
          </w:tcPr>
          <w:p w14:paraId="5C023844" w14:textId="77777777" w:rsidR="00AA1F87" w:rsidRPr="00AA1F87" w:rsidRDefault="00AA1F87" w:rsidP="00AA1F87">
            <w:pPr>
              <w:spacing w:after="0" w:line="240" w:lineRule="auto"/>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Juros sobre Adiantamento/Cauções e Retenções</w:t>
            </w:r>
          </w:p>
        </w:tc>
        <w:tc>
          <w:tcPr>
            <w:tcW w:w="442" w:type="pct"/>
            <w:tcBorders>
              <w:top w:val="nil"/>
              <w:left w:val="nil"/>
              <w:bottom w:val="nil"/>
              <w:right w:val="nil"/>
            </w:tcBorders>
            <w:shd w:val="clear" w:color="000000" w:fill="D9E1F2"/>
            <w:noWrap/>
            <w:vAlign w:val="center"/>
            <w:hideMark/>
          </w:tcPr>
          <w:p w14:paraId="5C356131"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(60.106)</w:t>
            </w:r>
          </w:p>
        </w:tc>
        <w:tc>
          <w:tcPr>
            <w:tcW w:w="371" w:type="pct"/>
            <w:tcBorders>
              <w:top w:val="nil"/>
              <w:left w:val="nil"/>
              <w:bottom w:val="nil"/>
              <w:right w:val="nil"/>
            </w:tcBorders>
            <w:shd w:val="clear" w:color="auto" w:fill="auto"/>
            <w:noWrap/>
            <w:vAlign w:val="center"/>
            <w:hideMark/>
          </w:tcPr>
          <w:p w14:paraId="06DE8280"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(46.298)</w:t>
            </w:r>
          </w:p>
        </w:tc>
        <w:tc>
          <w:tcPr>
            <w:tcW w:w="371" w:type="pct"/>
            <w:tcBorders>
              <w:top w:val="nil"/>
              <w:left w:val="nil"/>
              <w:bottom w:val="nil"/>
              <w:right w:val="nil"/>
            </w:tcBorders>
            <w:shd w:val="clear" w:color="auto" w:fill="auto"/>
            <w:noWrap/>
            <w:vAlign w:val="center"/>
            <w:hideMark/>
          </w:tcPr>
          <w:p w14:paraId="214118FB"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(47.915)</w:t>
            </w:r>
          </w:p>
        </w:tc>
        <w:tc>
          <w:tcPr>
            <w:tcW w:w="70" w:type="pct"/>
            <w:tcBorders>
              <w:top w:val="nil"/>
              <w:left w:val="nil"/>
              <w:bottom w:val="nil"/>
              <w:right w:val="nil"/>
            </w:tcBorders>
            <w:shd w:val="clear" w:color="auto" w:fill="auto"/>
            <w:noWrap/>
            <w:vAlign w:val="bottom"/>
            <w:hideMark/>
          </w:tcPr>
          <w:p w14:paraId="59681CAA"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p>
        </w:tc>
        <w:tc>
          <w:tcPr>
            <w:tcW w:w="291" w:type="pct"/>
            <w:tcBorders>
              <w:top w:val="nil"/>
              <w:left w:val="nil"/>
              <w:bottom w:val="nil"/>
              <w:right w:val="nil"/>
            </w:tcBorders>
            <w:shd w:val="clear" w:color="auto" w:fill="auto"/>
            <w:vAlign w:val="center"/>
            <w:hideMark/>
          </w:tcPr>
          <w:p w14:paraId="0A208A8A"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29,8%</w:t>
            </w:r>
          </w:p>
        </w:tc>
        <w:tc>
          <w:tcPr>
            <w:tcW w:w="329" w:type="pct"/>
            <w:tcBorders>
              <w:top w:val="nil"/>
              <w:left w:val="nil"/>
              <w:bottom w:val="nil"/>
              <w:right w:val="nil"/>
            </w:tcBorders>
            <w:shd w:val="clear" w:color="auto" w:fill="auto"/>
            <w:vAlign w:val="center"/>
            <w:hideMark/>
          </w:tcPr>
          <w:p w14:paraId="1D6F8F60"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25,4%</w:t>
            </w:r>
          </w:p>
        </w:tc>
        <w:tc>
          <w:tcPr>
            <w:tcW w:w="70" w:type="pct"/>
            <w:tcBorders>
              <w:top w:val="nil"/>
              <w:left w:val="nil"/>
              <w:bottom w:val="nil"/>
              <w:right w:val="nil"/>
            </w:tcBorders>
            <w:shd w:val="clear" w:color="auto" w:fill="auto"/>
            <w:noWrap/>
            <w:vAlign w:val="bottom"/>
            <w:hideMark/>
          </w:tcPr>
          <w:p w14:paraId="5BDC150A"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p>
        </w:tc>
        <w:tc>
          <w:tcPr>
            <w:tcW w:w="408" w:type="pct"/>
            <w:tcBorders>
              <w:top w:val="nil"/>
              <w:left w:val="nil"/>
              <w:bottom w:val="nil"/>
              <w:right w:val="nil"/>
            </w:tcBorders>
            <w:shd w:val="clear" w:color="000000" w:fill="D9E1F2"/>
            <w:noWrap/>
            <w:vAlign w:val="center"/>
            <w:hideMark/>
          </w:tcPr>
          <w:p w14:paraId="251FFF32"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(198.416)</w:t>
            </w:r>
          </w:p>
        </w:tc>
        <w:tc>
          <w:tcPr>
            <w:tcW w:w="408" w:type="pct"/>
            <w:tcBorders>
              <w:top w:val="nil"/>
              <w:left w:val="nil"/>
              <w:bottom w:val="nil"/>
              <w:right w:val="nil"/>
            </w:tcBorders>
            <w:shd w:val="clear" w:color="auto" w:fill="auto"/>
            <w:noWrap/>
            <w:vAlign w:val="center"/>
            <w:hideMark/>
          </w:tcPr>
          <w:p w14:paraId="578DDD7B"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(185.767)</w:t>
            </w:r>
          </w:p>
        </w:tc>
        <w:tc>
          <w:tcPr>
            <w:tcW w:w="70" w:type="pct"/>
            <w:tcBorders>
              <w:top w:val="nil"/>
              <w:left w:val="nil"/>
              <w:bottom w:val="nil"/>
              <w:right w:val="nil"/>
            </w:tcBorders>
            <w:shd w:val="clear" w:color="auto" w:fill="auto"/>
            <w:noWrap/>
            <w:vAlign w:val="bottom"/>
            <w:hideMark/>
          </w:tcPr>
          <w:p w14:paraId="787699FD"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p>
        </w:tc>
        <w:tc>
          <w:tcPr>
            <w:tcW w:w="291" w:type="pct"/>
            <w:tcBorders>
              <w:top w:val="nil"/>
              <w:left w:val="nil"/>
              <w:bottom w:val="nil"/>
              <w:right w:val="nil"/>
            </w:tcBorders>
            <w:shd w:val="clear" w:color="auto" w:fill="auto"/>
            <w:vAlign w:val="bottom"/>
            <w:hideMark/>
          </w:tcPr>
          <w:p w14:paraId="78FE64BC" w14:textId="77777777" w:rsidR="00AA1F87" w:rsidRPr="00AA1F87" w:rsidRDefault="00AA1F87" w:rsidP="00AA1F87">
            <w:pPr>
              <w:spacing w:after="0" w:line="240" w:lineRule="auto"/>
              <w:jc w:val="right"/>
              <w:rPr>
                <w:rFonts w:ascii="Arial" w:eastAsia="Times New Roman" w:hAnsi="Arial" w:cs="Arial"/>
                <w:color w:val="000000"/>
                <w:kern w:val="0"/>
                <w:sz w:val="13"/>
                <w:szCs w:val="13"/>
                <w:lang w:eastAsia="pt-BR"/>
                <w14:ligatures w14:val="none"/>
              </w:rPr>
            </w:pPr>
            <w:r w:rsidRPr="00AA1F87">
              <w:rPr>
                <w:rFonts w:ascii="Arial" w:eastAsia="Times New Roman" w:hAnsi="Arial" w:cs="Arial"/>
                <w:color w:val="000000"/>
                <w:kern w:val="0"/>
                <w:sz w:val="13"/>
                <w:szCs w:val="13"/>
                <w:lang w:eastAsia="pt-BR"/>
                <w14:ligatures w14:val="none"/>
              </w:rPr>
              <w:t>6,8%</w:t>
            </w:r>
          </w:p>
        </w:tc>
      </w:tr>
      <w:tr w:rsidR="00AA1F87" w:rsidRPr="00AA1F87" w14:paraId="1E53E9EC" w14:textId="77777777" w:rsidTr="00446A14">
        <w:trPr>
          <w:trHeight w:val="227"/>
        </w:trPr>
        <w:tc>
          <w:tcPr>
            <w:tcW w:w="1877" w:type="pct"/>
            <w:tcBorders>
              <w:top w:val="nil"/>
              <w:left w:val="nil"/>
              <w:bottom w:val="nil"/>
              <w:right w:val="nil"/>
            </w:tcBorders>
            <w:shd w:val="clear" w:color="auto" w:fill="auto"/>
            <w:noWrap/>
            <w:vAlign w:val="center"/>
            <w:hideMark/>
          </w:tcPr>
          <w:p w14:paraId="00530A14" w14:textId="77777777" w:rsidR="00AA1F87" w:rsidRPr="00AA1F87" w:rsidRDefault="00AA1F87" w:rsidP="00AA1F87">
            <w:pPr>
              <w:spacing w:after="0" w:line="240" w:lineRule="auto"/>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Juros e Variação Monetária de Acordos Judiciais</w:t>
            </w:r>
          </w:p>
        </w:tc>
        <w:tc>
          <w:tcPr>
            <w:tcW w:w="442" w:type="pct"/>
            <w:tcBorders>
              <w:top w:val="nil"/>
              <w:left w:val="nil"/>
              <w:bottom w:val="nil"/>
              <w:right w:val="nil"/>
            </w:tcBorders>
            <w:shd w:val="clear" w:color="000000" w:fill="D9E1F2"/>
            <w:noWrap/>
            <w:vAlign w:val="center"/>
            <w:hideMark/>
          </w:tcPr>
          <w:p w14:paraId="0CB6618F"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(3.030)</w:t>
            </w:r>
          </w:p>
        </w:tc>
        <w:tc>
          <w:tcPr>
            <w:tcW w:w="371" w:type="pct"/>
            <w:tcBorders>
              <w:top w:val="nil"/>
              <w:left w:val="nil"/>
              <w:bottom w:val="nil"/>
              <w:right w:val="nil"/>
            </w:tcBorders>
            <w:shd w:val="clear" w:color="auto" w:fill="auto"/>
            <w:noWrap/>
            <w:vAlign w:val="center"/>
            <w:hideMark/>
          </w:tcPr>
          <w:p w14:paraId="4BC95895"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(4.487)</w:t>
            </w:r>
          </w:p>
        </w:tc>
        <w:tc>
          <w:tcPr>
            <w:tcW w:w="371" w:type="pct"/>
            <w:tcBorders>
              <w:top w:val="nil"/>
              <w:left w:val="nil"/>
              <w:bottom w:val="nil"/>
              <w:right w:val="nil"/>
            </w:tcBorders>
            <w:shd w:val="clear" w:color="auto" w:fill="auto"/>
            <w:noWrap/>
            <w:vAlign w:val="center"/>
            <w:hideMark/>
          </w:tcPr>
          <w:p w14:paraId="065825BD"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(2.391)</w:t>
            </w:r>
          </w:p>
        </w:tc>
        <w:tc>
          <w:tcPr>
            <w:tcW w:w="70" w:type="pct"/>
            <w:tcBorders>
              <w:top w:val="nil"/>
              <w:left w:val="nil"/>
              <w:bottom w:val="nil"/>
              <w:right w:val="nil"/>
            </w:tcBorders>
            <w:shd w:val="clear" w:color="auto" w:fill="auto"/>
            <w:noWrap/>
            <w:vAlign w:val="bottom"/>
            <w:hideMark/>
          </w:tcPr>
          <w:p w14:paraId="7EAC7123"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p>
        </w:tc>
        <w:tc>
          <w:tcPr>
            <w:tcW w:w="291" w:type="pct"/>
            <w:tcBorders>
              <w:top w:val="nil"/>
              <w:left w:val="nil"/>
              <w:bottom w:val="nil"/>
              <w:right w:val="nil"/>
            </w:tcBorders>
            <w:shd w:val="clear" w:color="auto" w:fill="auto"/>
            <w:vAlign w:val="center"/>
            <w:hideMark/>
          </w:tcPr>
          <w:p w14:paraId="387D55BC"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-32,5%</w:t>
            </w:r>
          </w:p>
        </w:tc>
        <w:tc>
          <w:tcPr>
            <w:tcW w:w="329" w:type="pct"/>
            <w:tcBorders>
              <w:top w:val="nil"/>
              <w:left w:val="nil"/>
              <w:bottom w:val="nil"/>
              <w:right w:val="nil"/>
            </w:tcBorders>
            <w:shd w:val="clear" w:color="auto" w:fill="auto"/>
            <w:vAlign w:val="center"/>
            <w:hideMark/>
          </w:tcPr>
          <w:p w14:paraId="3B4ED740"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26,7%</w:t>
            </w:r>
          </w:p>
        </w:tc>
        <w:tc>
          <w:tcPr>
            <w:tcW w:w="70" w:type="pct"/>
            <w:tcBorders>
              <w:top w:val="nil"/>
              <w:left w:val="nil"/>
              <w:bottom w:val="nil"/>
              <w:right w:val="nil"/>
            </w:tcBorders>
            <w:shd w:val="clear" w:color="auto" w:fill="auto"/>
            <w:noWrap/>
            <w:vAlign w:val="bottom"/>
            <w:hideMark/>
          </w:tcPr>
          <w:p w14:paraId="5AA496CD"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p>
        </w:tc>
        <w:tc>
          <w:tcPr>
            <w:tcW w:w="408" w:type="pct"/>
            <w:tcBorders>
              <w:top w:val="nil"/>
              <w:left w:val="nil"/>
              <w:bottom w:val="nil"/>
              <w:right w:val="nil"/>
            </w:tcBorders>
            <w:shd w:val="clear" w:color="000000" w:fill="D9E1F2"/>
            <w:noWrap/>
            <w:vAlign w:val="center"/>
            <w:hideMark/>
          </w:tcPr>
          <w:p w14:paraId="773A2D88"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(13.678)</w:t>
            </w:r>
          </w:p>
        </w:tc>
        <w:tc>
          <w:tcPr>
            <w:tcW w:w="408" w:type="pct"/>
            <w:tcBorders>
              <w:top w:val="nil"/>
              <w:left w:val="nil"/>
              <w:bottom w:val="nil"/>
              <w:right w:val="nil"/>
            </w:tcBorders>
            <w:shd w:val="clear" w:color="auto" w:fill="auto"/>
            <w:noWrap/>
            <w:vAlign w:val="center"/>
            <w:hideMark/>
          </w:tcPr>
          <w:p w14:paraId="0DF1AC4D"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(18.483)</w:t>
            </w:r>
          </w:p>
        </w:tc>
        <w:tc>
          <w:tcPr>
            <w:tcW w:w="70" w:type="pct"/>
            <w:tcBorders>
              <w:top w:val="nil"/>
              <w:left w:val="nil"/>
              <w:bottom w:val="nil"/>
              <w:right w:val="nil"/>
            </w:tcBorders>
            <w:shd w:val="clear" w:color="auto" w:fill="auto"/>
            <w:noWrap/>
            <w:vAlign w:val="bottom"/>
            <w:hideMark/>
          </w:tcPr>
          <w:p w14:paraId="0B6BBD0C"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p>
        </w:tc>
        <w:tc>
          <w:tcPr>
            <w:tcW w:w="291" w:type="pct"/>
            <w:tcBorders>
              <w:top w:val="nil"/>
              <w:left w:val="nil"/>
              <w:bottom w:val="nil"/>
              <w:right w:val="nil"/>
            </w:tcBorders>
            <w:shd w:val="clear" w:color="auto" w:fill="auto"/>
            <w:vAlign w:val="bottom"/>
            <w:hideMark/>
          </w:tcPr>
          <w:p w14:paraId="3F403C3E" w14:textId="77777777" w:rsidR="00AA1F87" w:rsidRPr="00AA1F87" w:rsidRDefault="00AA1F87" w:rsidP="00AA1F87">
            <w:pPr>
              <w:spacing w:after="0" w:line="240" w:lineRule="auto"/>
              <w:jc w:val="right"/>
              <w:rPr>
                <w:rFonts w:ascii="Arial" w:eastAsia="Times New Roman" w:hAnsi="Arial" w:cs="Arial"/>
                <w:color w:val="000000"/>
                <w:kern w:val="0"/>
                <w:sz w:val="13"/>
                <w:szCs w:val="13"/>
                <w:lang w:eastAsia="pt-BR"/>
                <w14:ligatures w14:val="none"/>
              </w:rPr>
            </w:pPr>
            <w:r w:rsidRPr="00AA1F87">
              <w:rPr>
                <w:rFonts w:ascii="Arial" w:eastAsia="Times New Roman" w:hAnsi="Arial" w:cs="Arial"/>
                <w:color w:val="000000"/>
                <w:kern w:val="0"/>
                <w:sz w:val="13"/>
                <w:szCs w:val="13"/>
                <w:lang w:eastAsia="pt-BR"/>
                <w14:ligatures w14:val="none"/>
              </w:rPr>
              <w:t>-26,0%</w:t>
            </w:r>
          </w:p>
        </w:tc>
      </w:tr>
      <w:tr w:rsidR="00AA1F87" w:rsidRPr="00AA1F87" w14:paraId="0E2EB8C7" w14:textId="77777777" w:rsidTr="00446A14">
        <w:trPr>
          <w:trHeight w:val="227"/>
        </w:trPr>
        <w:tc>
          <w:tcPr>
            <w:tcW w:w="1877" w:type="pct"/>
            <w:tcBorders>
              <w:top w:val="nil"/>
              <w:left w:val="nil"/>
              <w:bottom w:val="nil"/>
              <w:right w:val="nil"/>
            </w:tcBorders>
            <w:shd w:val="clear" w:color="auto" w:fill="auto"/>
            <w:noWrap/>
            <w:vAlign w:val="center"/>
            <w:hideMark/>
          </w:tcPr>
          <w:p w14:paraId="1441BC95" w14:textId="77777777" w:rsidR="00AA1F87" w:rsidRPr="00AA1F87" w:rsidRDefault="00AA1F87" w:rsidP="00AA1F87">
            <w:pPr>
              <w:spacing w:after="0" w:line="240" w:lineRule="auto"/>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Juros/VM s/ Provisão p/ Riscos Trabalhistas, Cíveis e Fiscais</w:t>
            </w:r>
          </w:p>
        </w:tc>
        <w:tc>
          <w:tcPr>
            <w:tcW w:w="442" w:type="pct"/>
            <w:tcBorders>
              <w:top w:val="nil"/>
              <w:left w:val="nil"/>
              <w:bottom w:val="nil"/>
              <w:right w:val="nil"/>
            </w:tcBorders>
            <w:shd w:val="clear" w:color="000000" w:fill="D9E1F2"/>
            <w:noWrap/>
            <w:vAlign w:val="center"/>
            <w:hideMark/>
          </w:tcPr>
          <w:p w14:paraId="38EC5C4C"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(1.629)</w:t>
            </w:r>
          </w:p>
        </w:tc>
        <w:tc>
          <w:tcPr>
            <w:tcW w:w="371" w:type="pct"/>
            <w:tcBorders>
              <w:top w:val="nil"/>
              <w:left w:val="nil"/>
              <w:bottom w:val="nil"/>
              <w:right w:val="nil"/>
            </w:tcBorders>
            <w:shd w:val="clear" w:color="auto" w:fill="auto"/>
            <w:noWrap/>
            <w:vAlign w:val="center"/>
            <w:hideMark/>
          </w:tcPr>
          <w:p w14:paraId="5E9DA3FA"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(1.480)</w:t>
            </w:r>
          </w:p>
        </w:tc>
        <w:tc>
          <w:tcPr>
            <w:tcW w:w="371" w:type="pct"/>
            <w:tcBorders>
              <w:top w:val="nil"/>
              <w:left w:val="nil"/>
              <w:bottom w:val="nil"/>
              <w:right w:val="nil"/>
            </w:tcBorders>
            <w:shd w:val="clear" w:color="auto" w:fill="auto"/>
            <w:noWrap/>
            <w:vAlign w:val="center"/>
            <w:hideMark/>
          </w:tcPr>
          <w:p w14:paraId="60A89BE3"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(1.083)</w:t>
            </w:r>
          </w:p>
        </w:tc>
        <w:tc>
          <w:tcPr>
            <w:tcW w:w="70" w:type="pct"/>
            <w:tcBorders>
              <w:top w:val="nil"/>
              <w:left w:val="nil"/>
              <w:bottom w:val="nil"/>
              <w:right w:val="nil"/>
            </w:tcBorders>
            <w:shd w:val="clear" w:color="auto" w:fill="auto"/>
            <w:noWrap/>
            <w:vAlign w:val="bottom"/>
            <w:hideMark/>
          </w:tcPr>
          <w:p w14:paraId="3F714D26"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p>
        </w:tc>
        <w:tc>
          <w:tcPr>
            <w:tcW w:w="291" w:type="pct"/>
            <w:tcBorders>
              <w:top w:val="nil"/>
              <w:left w:val="nil"/>
              <w:bottom w:val="nil"/>
              <w:right w:val="nil"/>
            </w:tcBorders>
            <w:shd w:val="clear" w:color="auto" w:fill="auto"/>
            <w:vAlign w:val="center"/>
            <w:hideMark/>
          </w:tcPr>
          <w:p w14:paraId="78A9840B"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10,1%</w:t>
            </w:r>
          </w:p>
        </w:tc>
        <w:tc>
          <w:tcPr>
            <w:tcW w:w="329" w:type="pct"/>
            <w:tcBorders>
              <w:top w:val="nil"/>
              <w:left w:val="nil"/>
              <w:bottom w:val="nil"/>
              <w:right w:val="nil"/>
            </w:tcBorders>
            <w:shd w:val="clear" w:color="auto" w:fill="auto"/>
            <w:vAlign w:val="center"/>
            <w:hideMark/>
          </w:tcPr>
          <w:p w14:paraId="1A3B80A7"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50,4%</w:t>
            </w:r>
          </w:p>
        </w:tc>
        <w:tc>
          <w:tcPr>
            <w:tcW w:w="70" w:type="pct"/>
            <w:tcBorders>
              <w:top w:val="nil"/>
              <w:left w:val="nil"/>
              <w:bottom w:val="nil"/>
              <w:right w:val="nil"/>
            </w:tcBorders>
            <w:shd w:val="clear" w:color="auto" w:fill="auto"/>
            <w:noWrap/>
            <w:vAlign w:val="bottom"/>
            <w:hideMark/>
          </w:tcPr>
          <w:p w14:paraId="77C33472"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p>
        </w:tc>
        <w:tc>
          <w:tcPr>
            <w:tcW w:w="408" w:type="pct"/>
            <w:tcBorders>
              <w:top w:val="nil"/>
              <w:left w:val="nil"/>
              <w:bottom w:val="nil"/>
              <w:right w:val="nil"/>
            </w:tcBorders>
            <w:shd w:val="clear" w:color="000000" w:fill="D9E1F2"/>
            <w:noWrap/>
            <w:vAlign w:val="center"/>
            <w:hideMark/>
          </w:tcPr>
          <w:p w14:paraId="16BFF8F2"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(6.775)</w:t>
            </w:r>
          </w:p>
        </w:tc>
        <w:tc>
          <w:tcPr>
            <w:tcW w:w="408" w:type="pct"/>
            <w:tcBorders>
              <w:top w:val="nil"/>
              <w:left w:val="nil"/>
              <w:bottom w:val="nil"/>
              <w:right w:val="nil"/>
            </w:tcBorders>
            <w:shd w:val="clear" w:color="auto" w:fill="auto"/>
            <w:noWrap/>
            <w:vAlign w:val="center"/>
            <w:hideMark/>
          </w:tcPr>
          <w:p w14:paraId="5DBE1562"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(7.544)</w:t>
            </w:r>
          </w:p>
        </w:tc>
        <w:tc>
          <w:tcPr>
            <w:tcW w:w="70" w:type="pct"/>
            <w:tcBorders>
              <w:top w:val="nil"/>
              <w:left w:val="nil"/>
              <w:bottom w:val="nil"/>
              <w:right w:val="nil"/>
            </w:tcBorders>
            <w:shd w:val="clear" w:color="auto" w:fill="auto"/>
            <w:noWrap/>
            <w:vAlign w:val="bottom"/>
            <w:hideMark/>
          </w:tcPr>
          <w:p w14:paraId="604736A7"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p>
        </w:tc>
        <w:tc>
          <w:tcPr>
            <w:tcW w:w="291" w:type="pct"/>
            <w:tcBorders>
              <w:top w:val="nil"/>
              <w:left w:val="nil"/>
              <w:bottom w:val="nil"/>
              <w:right w:val="nil"/>
            </w:tcBorders>
            <w:shd w:val="clear" w:color="auto" w:fill="auto"/>
            <w:vAlign w:val="bottom"/>
            <w:hideMark/>
          </w:tcPr>
          <w:p w14:paraId="27088DA5" w14:textId="77777777" w:rsidR="00AA1F87" w:rsidRPr="00AA1F87" w:rsidRDefault="00AA1F87" w:rsidP="00AA1F87">
            <w:pPr>
              <w:spacing w:after="0" w:line="240" w:lineRule="auto"/>
              <w:jc w:val="right"/>
              <w:rPr>
                <w:rFonts w:ascii="Arial" w:eastAsia="Times New Roman" w:hAnsi="Arial" w:cs="Arial"/>
                <w:color w:val="000000"/>
                <w:kern w:val="0"/>
                <w:sz w:val="13"/>
                <w:szCs w:val="13"/>
                <w:lang w:eastAsia="pt-BR"/>
                <w14:ligatures w14:val="none"/>
              </w:rPr>
            </w:pPr>
            <w:r w:rsidRPr="00AA1F87">
              <w:rPr>
                <w:rFonts w:ascii="Arial" w:eastAsia="Times New Roman" w:hAnsi="Arial" w:cs="Arial"/>
                <w:color w:val="000000"/>
                <w:kern w:val="0"/>
                <w:sz w:val="13"/>
                <w:szCs w:val="13"/>
                <w:lang w:eastAsia="pt-BR"/>
                <w14:ligatures w14:val="none"/>
              </w:rPr>
              <w:t>-10,2%</w:t>
            </w:r>
          </w:p>
        </w:tc>
      </w:tr>
      <w:tr w:rsidR="00AA1F87" w:rsidRPr="00AA1F87" w14:paraId="2807A9D3" w14:textId="77777777" w:rsidTr="00446A14">
        <w:trPr>
          <w:trHeight w:val="227"/>
        </w:trPr>
        <w:tc>
          <w:tcPr>
            <w:tcW w:w="1877" w:type="pct"/>
            <w:tcBorders>
              <w:top w:val="nil"/>
              <w:left w:val="nil"/>
              <w:bottom w:val="nil"/>
              <w:right w:val="nil"/>
            </w:tcBorders>
            <w:shd w:val="clear" w:color="auto" w:fill="auto"/>
            <w:noWrap/>
            <w:vAlign w:val="center"/>
            <w:hideMark/>
          </w:tcPr>
          <w:p w14:paraId="317368DC" w14:textId="77777777" w:rsidR="00AA1F87" w:rsidRPr="00AA1F87" w:rsidRDefault="00AA1F87" w:rsidP="00AA1F87">
            <w:pPr>
              <w:spacing w:after="0" w:line="240" w:lineRule="auto"/>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Juros/V.M sobre Empréstimos e Financiamentos</w:t>
            </w:r>
          </w:p>
        </w:tc>
        <w:tc>
          <w:tcPr>
            <w:tcW w:w="442" w:type="pct"/>
            <w:tcBorders>
              <w:top w:val="nil"/>
              <w:left w:val="nil"/>
              <w:bottom w:val="nil"/>
              <w:right w:val="nil"/>
            </w:tcBorders>
            <w:shd w:val="clear" w:color="000000" w:fill="D9E1F2"/>
            <w:noWrap/>
            <w:vAlign w:val="center"/>
            <w:hideMark/>
          </w:tcPr>
          <w:p w14:paraId="338A8D19"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(1.007)</w:t>
            </w:r>
          </w:p>
        </w:tc>
        <w:tc>
          <w:tcPr>
            <w:tcW w:w="371" w:type="pct"/>
            <w:tcBorders>
              <w:top w:val="nil"/>
              <w:left w:val="nil"/>
              <w:bottom w:val="nil"/>
              <w:right w:val="nil"/>
            </w:tcBorders>
            <w:shd w:val="clear" w:color="auto" w:fill="auto"/>
            <w:noWrap/>
            <w:vAlign w:val="center"/>
            <w:hideMark/>
          </w:tcPr>
          <w:p w14:paraId="6553D55E"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(1.761)</w:t>
            </w:r>
          </w:p>
        </w:tc>
        <w:tc>
          <w:tcPr>
            <w:tcW w:w="371" w:type="pct"/>
            <w:tcBorders>
              <w:top w:val="nil"/>
              <w:left w:val="nil"/>
              <w:bottom w:val="nil"/>
              <w:right w:val="nil"/>
            </w:tcBorders>
            <w:shd w:val="clear" w:color="auto" w:fill="auto"/>
            <w:noWrap/>
            <w:vAlign w:val="center"/>
            <w:hideMark/>
          </w:tcPr>
          <w:p w14:paraId="5C2D5675"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(1.386)</w:t>
            </w:r>
          </w:p>
        </w:tc>
        <w:tc>
          <w:tcPr>
            <w:tcW w:w="70" w:type="pct"/>
            <w:tcBorders>
              <w:top w:val="nil"/>
              <w:left w:val="nil"/>
              <w:bottom w:val="nil"/>
              <w:right w:val="nil"/>
            </w:tcBorders>
            <w:shd w:val="clear" w:color="auto" w:fill="auto"/>
            <w:noWrap/>
            <w:vAlign w:val="bottom"/>
            <w:hideMark/>
          </w:tcPr>
          <w:p w14:paraId="525AA224"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p>
        </w:tc>
        <w:tc>
          <w:tcPr>
            <w:tcW w:w="291" w:type="pct"/>
            <w:tcBorders>
              <w:top w:val="nil"/>
              <w:left w:val="nil"/>
              <w:bottom w:val="nil"/>
              <w:right w:val="nil"/>
            </w:tcBorders>
            <w:shd w:val="clear" w:color="auto" w:fill="auto"/>
            <w:vAlign w:val="center"/>
            <w:hideMark/>
          </w:tcPr>
          <w:p w14:paraId="7A0B1E89"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-42,8%</w:t>
            </w:r>
          </w:p>
        </w:tc>
        <w:tc>
          <w:tcPr>
            <w:tcW w:w="329" w:type="pct"/>
            <w:tcBorders>
              <w:top w:val="nil"/>
              <w:left w:val="nil"/>
              <w:bottom w:val="nil"/>
              <w:right w:val="nil"/>
            </w:tcBorders>
            <w:shd w:val="clear" w:color="auto" w:fill="auto"/>
            <w:vAlign w:val="center"/>
            <w:hideMark/>
          </w:tcPr>
          <w:p w14:paraId="179F5759"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-27,3%</w:t>
            </w:r>
          </w:p>
        </w:tc>
        <w:tc>
          <w:tcPr>
            <w:tcW w:w="70" w:type="pct"/>
            <w:tcBorders>
              <w:top w:val="nil"/>
              <w:left w:val="nil"/>
              <w:bottom w:val="nil"/>
              <w:right w:val="nil"/>
            </w:tcBorders>
            <w:shd w:val="clear" w:color="auto" w:fill="auto"/>
            <w:noWrap/>
            <w:vAlign w:val="bottom"/>
            <w:hideMark/>
          </w:tcPr>
          <w:p w14:paraId="56E6A242"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p>
        </w:tc>
        <w:tc>
          <w:tcPr>
            <w:tcW w:w="408" w:type="pct"/>
            <w:tcBorders>
              <w:top w:val="nil"/>
              <w:left w:val="nil"/>
              <w:bottom w:val="nil"/>
              <w:right w:val="nil"/>
            </w:tcBorders>
            <w:shd w:val="clear" w:color="000000" w:fill="D9E1F2"/>
            <w:noWrap/>
            <w:vAlign w:val="center"/>
            <w:hideMark/>
          </w:tcPr>
          <w:p w14:paraId="68EBAF44"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(5.474)</w:t>
            </w:r>
          </w:p>
        </w:tc>
        <w:tc>
          <w:tcPr>
            <w:tcW w:w="408" w:type="pct"/>
            <w:tcBorders>
              <w:top w:val="nil"/>
              <w:left w:val="nil"/>
              <w:bottom w:val="nil"/>
              <w:right w:val="nil"/>
            </w:tcBorders>
            <w:shd w:val="clear" w:color="auto" w:fill="auto"/>
            <w:noWrap/>
            <w:vAlign w:val="center"/>
            <w:hideMark/>
          </w:tcPr>
          <w:p w14:paraId="34AFB61F"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(6.707)</w:t>
            </w:r>
          </w:p>
        </w:tc>
        <w:tc>
          <w:tcPr>
            <w:tcW w:w="70" w:type="pct"/>
            <w:tcBorders>
              <w:top w:val="nil"/>
              <w:left w:val="nil"/>
              <w:bottom w:val="nil"/>
              <w:right w:val="nil"/>
            </w:tcBorders>
            <w:shd w:val="clear" w:color="auto" w:fill="auto"/>
            <w:noWrap/>
            <w:vAlign w:val="bottom"/>
            <w:hideMark/>
          </w:tcPr>
          <w:p w14:paraId="53EA84C0"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p>
        </w:tc>
        <w:tc>
          <w:tcPr>
            <w:tcW w:w="291" w:type="pct"/>
            <w:tcBorders>
              <w:top w:val="nil"/>
              <w:left w:val="nil"/>
              <w:bottom w:val="nil"/>
              <w:right w:val="nil"/>
            </w:tcBorders>
            <w:shd w:val="clear" w:color="auto" w:fill="auto"/>
            <w:vAlign w:val="bottom"/>
            <w:hideMark/>
          </w:tcPr>
          <w:p w14:paraId="66F38A25" w14:textId="77777777" w:rsidR="00AA1F87" w:rsidRPr="00AA1F87" w:rsidRDefault="00AA1F87" w:rsidP="00AA1F87">
            <w:pPr>
              <w:spacing w:after="0" w:line="240" w:lineRule="auto"/>
              <w:jc w:val="right"/>
              <w:rPr>
                <w:rFonts w:ascii="Arial" w:eastAsia="Times New Roman" w:hAnsi="Arial" w:cs="Arial"/>
                <w:color w:val="000000"/>
                <w:kern w:val="0"/>
                <w:sz w:val="13"/>
                <w:szCs w:val="13"/>
                <w:lang w:eastAsia="pt-BR"/>
                <w14:ligatures w14:val="none"/>
              </w:rPr>
            </w:pPr>
            <w:r w:rsidRPr="00AA1F87">
              <w:rPr>
                <w:rFonts w:ascii="Arial" w:eastAsia="Times New Roman" w:hAnsi="Arial" w:cs="Arial"/>
                <w:color w:val="000000"/>
                <w:kern w:val="0"/>
                <w:sz w:val="13"/>
                <w:szCs w:val="13"/>
                <w:lang w:eastAsia="pt-BR"/>
                <w14:ligatures w14:val="none"/>
              </w:rPr>
              <w:t>-18,4%</w:t>
            </w:r>
          </w:p>
        </w:tc>
      </w:tr>
      <w:tr w:rsidR="00AA1F87" w:rsidRPr="00AA1F87" w14:paraId="7207FE8D" w14:textId="77777777" w:rsidTr="00446A14">
        <w:trPr>
          <w:trHeight w:val="227"/>
        </w:trPr>
        <w:tc>
          <w:tcPr>
            <w:tcW w:w="1877" w:type="pct"/>
            <w:tcBorders>
              <w:top w:val="nil"/>
              <w:left w:val="nil"/>
              <w:bottom w:val="nil"/>
              <w:right w:val="nil"/>
            </w:tcBorders>
            <w:shd w:val="clear" w:color="auto" w:fill="auto"/>
            <w:noWrap/>
            <w:vAlign w:val="center"/>
            <w:hideMark/>
          </w:tcPr>
          <w:p w14:paraId="490ACB35" w14:textId="77777777" w:rsidR="00AA1F87" w:rsidRPr="00AA1F87" w:rsidRDefault="00AA1F87" w:rsidP="00AA1F87">
            <w:pPr>
              <w:spacing w:after="0" w:line="240" w:lineRule="auto"/>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Outras Despesas Financeiras</w:t>
            </w:r>
          </w:p>
        </w:tc>
        <w:tc>
          <w:tcPr>
            <w:tcW w:w="442" w:type="pct"/>
            <w:tcBorders>
              <w:top w:val="nil"/>
              <w:left w:val="nil"/>
              <w:bottom w:val="nil"/>
              <w:right w:val="nil"/>
            </w:tcBorders>
            <w:shd w:val="clear" w:color="000000" w:fill="D9E1F2"/>
            <w:noWrap/>
            <w:vAlign w:val="center"/>
            <w:hideMark/>
          </w:tcPr>
          <w:p w14:paraId="3E229C00"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(498)</w:t>
            </w:r>
          </w:p>
        </w:tc>
        <w:tc>
          <w:tcPr>
            <w:tcW w:w="371" w:type="pct"/>
            <w:tcBorders>
              <w:top w:val="nil"/>
              <w:left w:val="nil"/>
              <w:bottom w:val="nil"/>
              <w:right w:val="nil"/>
            </w:tcBorders>
            <w:shd w:val="clear" w:color="auto" w:fill="auto"/>
            <w:noWrap/>
            <w:vAlign w:val="center"/>
            <w:hideMark/>
          </w:tcPr>
          <w:p w14:paraId="50C78D7B"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(287)</w:t>
            </w:r>
          </w:p>
        </w:tc>
        <w:tc>
          <w:tcPr>
            <w:tcW w:w="371" w:type="pct"/>
            <w:tcBorders>
              <w:top w:val="nil"/>
              <w:left w:val="nil"/>
              <w:bottom w:val="nil"/>
              <w:right w:val="nil"/>
            </w:tcBorders>
            <w:shd w:val="clear" w:color="auto" w:fill="auto"/>
            <w:noWrap/>
            <w:vAlign w:val="center"/>
            <w:hideMark/>
          </w:tcPr>
          <w:p w14:paraId="128B8D97"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(221)</w:t>
            </w:r>
          </w:p>
        </w:tc>
        <w:tc>
          <w:tcPr>
            <w:tcW w:w="70" w:type="pct"/>
            <w:tcBorders>
              <w:top w:val="nil"/>
              <w:left w:val="nil"/>
              <w:bottom w:val="nil"/>
              <w:right w:val="nil"/>
            </w:tcBorders>
            <w:shd w:val="clear" w:color="auto" w:fill="auto"/>
            <w:noWrap/>
            <w:vAlign w:val="bottom"/>
            <w:hideMark/>
          </w:tcPr>
          <w:p w14:paraId="0EC38E89"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p>
        </w:tc>
        <w:tc>
          <w:tcPr>
            <w:tcW w:w="291" w:type="pct"/>
            <w:tcBorders>
              <w:top w:val="nil"/>
              <w:left w:val="nil"/>
              <w:bottom w:val="nil"/>
              <w:right w:val="nil"/>
            </w:tcBorders>
            <w:shd w:val="clear" w:color="auto" w:fill="auto"/>
            <w:vAlign w:val="center"/>
            <w:hideMark/>
          </w:tcPr>
          <w:p w14:paraId="7F3FC57A"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73,5%</w:t>
            </w:r>
          </w:p>
        </w:tc>
        <w:tc>
          <w:tcPr>
            <w:tcW w:w="329" w:type="pct"/>
            <w:tcBorders>
              <w:top w:val="nil"/>
              <w:left w:val="nil"/>
              <w:bottom w:val="nil"/>
              <w:right w:val="nil"/>
            </w:tcBorders>
            <w:shd w:val="clear" w:color="auto" w:fill="auto"/>
            <w:vAlign w:val="center"/>
            <w:hideMark/>
          </w:tcPr>
          <w:p w14:paraId="4C87E3DD"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125,3%</w:t>
            </w:r>
          </w:p>
        </w:tc>
        <w:tc>
          <w:tcPr>
            <w:tcW w:w="70" w:type="pct"/>
            <w:tcBorders>
              <w:top w:val="nil"/>
              <w:left w:val="nil"/>
              <w:bottom w:val="nil"/>
              <w:right w:val="nil"/>
            </w:tcBorders>
            <w:shd w:val="clear" w:color="auto" w:fill="auto"/>
            <w:noWrap/>
            <w:vAlign w:val="bottom"/>
            <w:hideMark/>
          </w:tcPr>
          <w:p w14:paraId="143D6995"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p>
        </w:tc>
        <w:tc>
          <w:tcPr>
            <w:tcW w:w="408" w:type="pct"/>
            <w:tcBorders>
              <w:top w:val="nil"/>
              <w:left w:val="nil"/>
              <w:bottom w:val="nil"/>
              <w:right w:val="nil"/>
            </w:tcBorders>
            <w:shd w:val="clear" w:color="000000" w:fill="D9E1F2"/>
            <w:noWrap/>
            <w:vAlign w:val="center"/>
            <w:hideMark/>
          </w:tcPr>
          <w:p w14:paraId="130839DF"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(1.245)</w:t>
            </w:r>
          </w:p>
        </w:tc>
        <w:tc>
          <w:tcPr>
            <w:tcW w:w="408" w:type="pct"/>
            <w:tcBorders>
              <w:top w:val="nil"/>
              <w:left w:val="nil"/>
              <w:bottom w:val="nil"/>
              <w:right w:val="nil"/>
            </w:tcBorders>
            <w:shd w:val="clear" w:color="auto" w:fill="auto"/>
            <w:noWrap/>
            <w:vAlign w:val="center"/>
            <w:hideMark/>
          </w:tcPr>
          <w:p w14:paraId="3DA0D117"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r w:rsidRPr="00AA1F87">
              <w:rPr>
                <w:rFonts w:ascii="Arial" w:eastAsia="Times New Roman" w:hAnsi="Arial" w:cs="Arial"/>
                <w:color w:val="000000"/>
                <w:kern w:val="0"/>
                <w:sz w:val="14"/>
                <w:szCs w:val="14"/>
                <w:lang w:eastAsia="pt-BR"/>
                <w14:ligatures w14:val="none"/>
              </w:rPr>
              <w:t xml:space="preserve">       (1.019)</w:t>
            </w:r>
          </w:p>
        </w:tc>
        <w:tc>
          <w:tcPr>
            <w:tcW w:w="70" w:type="pct"/>
            <w:tcBorders>
              <w:top w:val="nil"/>
              <w:left w:val="nil"/>
              <w:bottom w:val="nil"/>
              <w:right w:val="nil"/>
            </w:tcBorders>
            <w:shd w:val="clear" w:color="auto" w:fill="auto"/>
            <w:noWrap/>
            <w:vAlign w:val="bottom"/>
            <w:hideMark/>
          </w:tcPr>
          <w:p w14:paraId="5D823838" w14:textId="77777777" w:rsidR="00AA1F87" w:rsidRPr="00AA1F87" w:rsidRDefault="00AA1F87" w:rsidP="00AA1F87">
            <w:pPr>
              <w:spacing w:after="0" w:line="240" w:lineRule="auto"/>
              <w:jc w:val="right"/>
              <w:rPr>
                <w:rFonts w:ascii="Arial" w:eastAsia="Times New Roman" w:hAnsi="Arial" w:cs="Arial"/>
                <w:color w:val="000000"/>
                <w:kern w:val="0"/>
                <w:sz w:val="14"/>
                <w:szCs w:val="14"/>
                <w:lang w:eastAsia="pt-BR"/>
                <w14:ligatures w14:val="none"/>
              </w:rPr>
            </w:pPr>
          </w:p>
        </w:tc>
        <w:tc>
          <w:tcPr>
            <w:tcW w:w="291" w:type="pct"/>
            <w:tcBorders>
              <w:top w:val="nil"/>
              <w:left w:val="nil"/>
              <w:bottom w:val="nil"/>
              <w:right w:val="nil"/>
            </w:tcBorders>
            <w:shd w:val="clear" w:color="auto" w:fill="auto"/>
            <w:vAlign w:val="bottom"/>
            <w:hideMark/>
          </w:tcPr>
          <w:p w14:paraId="67B3A684" w14:textId="77777777" w:rsidR="00AA1F87" w:rsidRPr="00AA1F87" w:rsidRDefault="00AA1F87" w:rsidP="00AA1F87">
            <w:pPr>
              <w:spacing w:after="0" w:line="240" w:lineRule="auto"/>
              <w:jc w:val="right"/>
              <w:rPr>
                <w:rFonts w:ascii="Arial" w:eastAsia="Times New Roman" w:hAnsi="Arial" w:cs="Arial"/>
                <w:color w:val="000000"/>
                <w:kern w:val="0"/>
                <w:sz w:val="13"/>
                <w:szCs w:val="13"/>
                <w:lang w:eastAsia="pt-BR"/>
                <w14:ligatures w14:val="none"/>
              </w:rPr>
            </w:pPr>
            <w:r w:rsidRPr="00AA1F87">
              <w:rPr>
                <w:rFonts w:ascii="Arial" w:eastAsia="Times New Roman" w:hAnsi="Arial" w:cs="Arial"/>
                <w:color w:val="000000"/>
                <w:kern w:val="0"/>
                <w:sz w:val="13"/>
                <w:szCs w:val="13"/>
                <w:lang w:eastAsia="pt-BR"/>
                <w14:ligatures w14:val="none"/>
              </w:rPr>
              <w:t>22,2%</w:t>
            </w:r>
          </w:p>
        </w:tc>
      </w:tr>
      <w:tr w:rsidR="00AA1F87" w:rsidRPr="00AA1F87" w14:paraId="26E641A2" w14:textId="77777777" w:rsidTr="00446A14">
        <w:trPr>
          <w:trHeight w:val="227"/>
        </w:trPr>
        <w:tc>
          <w:tcPr>
            <w:tcW w:w="1877" w:type="pct"/>
            <w:tcBorders>
              <w:top w:val="nil"/>
              <w:left w:val="nil"/>
              <w:bottom w:val="nil"/>
              <w:right w:val="nil"/>
            </w:tcBorders>
            <w:shd w:val="clear" w:color="000000" w:fill="75F6F9"/>
            <w:noWrap/>
            <w:vAlign w:val="center"/>
            <w:hideMark/>
          </w:tcPr>
          <w:p w14:paraId="37BD56F1" w14:textId="77777777" w:rsidR="00AA1F87" w:rsidRPr="00AA1F87" w:rsidRDefault="00AA1F87" w:rsidP="00AA1F87">
            <w:pPr>
              <w:spacing w:after="0" w:line="240" w:lineRule="auto"/>
              <w:rPr>
                <w:rFonts w:ascii="Arial" w:eastAsia="Times New Roman" w:hAnsi="Arial" w:cs="Arial"/>
                <w:b/>
                <w:bCs/>
                <w:color w:val="000000"/>
                <w:kern w:val="0"/>
                <w:sz w:val="14"/>
                <w:szCs w:val="14"/>
                <w:lang w:eastAsia="pt-BR"/>
                <w14:ligatures w14:val="none"/>
              </w:rPr>
            </w:pPr>
            <w:r w:rsidRPr="00AA1F87">
              <w:rPr>
                <w:rFonts w:ascii="Arial" w:eastAsia="Times New Roman" w:hAnsi="Arial" w:cs="Arial"/>
                <w:b/>
                <w:bCs/>
                <w:color w:val="000000"/>
                <w:kern w:val="0"/>
                <w:sz w:val="14"/>
                <w:szCs w:val="14"/>
                <w:lang w:eastAsia="pt-BR"/>
                <w14:ligatures w14:val="none"/>
              </w:rPr>
              <w:t>Total</w:t>
            </w:r>
          </w:p>
        </w:tc>
        <w:tc>
          <w:tcPr>
            <w:tcW w:w="442" w:type="pct"/>
            <w:tcBorders>
              <w:top w:val="nil"/>
              <w:left w:val="nil"/>
              <w:bottom w:val="nil"/>
              <w:right w:val="nil"/>
            </w:tcBorders>
            <w:shd w:val="clear" w:color="000000" w:fill="75F6F9"/>
            <w:noWrap/>
            <w:vAlign w:val="center"/>
            <w:hideMark/>
          </w:tcPr>
          <w:p w14:paraId="75BD2ECB" w14:textId="77777777" w:rsidR="00AA1F87" w:rsidRPr="00AA1F87" w:rsidRDefault="00AA1F87" w:rsidP="00AA1F87">
            <w:pPr>
              <w:spacing w:after="0" w:line="240" w:lineRule="auto"/>
              <w:jc w:val="right"/>
              <w:rPr>
                <w:rFonts w:ascii="Arial" w:eastAsia="Times New Roman" w:hAnsi="Arial" w:cs="Arial"/>
                <w:b/>
                <w:bCs/>
                <w:color w:val="000000"/>
                <w:kern w:val="0"/>
                <w:sz w:val="14"/>
                <w:szCs w:val="14"/>
                <w:lang w:eastAsia="pt-BR"/>
                <w14:ligatures w14:val="none"/>
              </w:rPr>
            </w:pPr>
            <w:r w:rsidRPr="00AA1F87">
              <w:rPr>
                <w:rFonts w:ascii="Arial" w:eastAsia="Times New Roman" w:hAnsi="Arial" w:cs="Arial"/>
                <w:b/>
                <w:bCs/>
                <w:color w:val="000000"/>
                <w:kern w:val="0"/>
                <w:sz w:val="14"/>
                <w:szCs w:val="14"/>
                <w:lang w:eastAsia="pt-BR"/>
                <w14:ligatures w14:val="none"/>
              </w:rPr>
              <w:t xml:space="preserve">   (66.270)</w:t>
            </w:r>
          </w:p>
        </w:tc>
        <w:tc>
          <w:tcPr>
            <w:tcW w:w="371" w:type="pct"/>
            <w:tcBorders>
              <w:top w:val="nil"/>
              <w:left w:val="nil"/>
              <w:bottom w:val="nil"/>
              <w:right w:val="nil"/>
            </w:tcBorders>
            <w:shd w:val="clear" w:color="000000" w:fill="75F6F9"/>
            <w:noWrap/>
            <w:vAlign w:val="center"/>
            <w:hideMark/>
          </w:tcPr>
          <w:p w14:paraId="75B91A61" w14:textId="77777777" w:rsidR="00AA1F87" w:rsidRPr="00AA1F87" w:rsidRDefault="00AA1F87" w:rsidP="00AA1F87">
            <w:pPr>
              <w:spacing w:after="0" w:line="240" w:lineRule="auto"/>
              <w:jc w:val="right"/>
              <w:rPr>
                <w:rFonts w:ascii="Arial" w:eastAsia="Times New Roman" w:hAnsi="Arial" w:cs="Arial"/>
                <w:b/>
                <w:bCs/>
                <w:color w:val="000000"/>
                <w:kern w:val="0"/>
                <w:sz w:val="14"/>
                <w:szCs w:val="14"/>
                <w:lang w:eastAsia="pt-BR"/>
                <w14:ligatures w14:val="none"/>
              </w:rPr>
            </w:pPr>
            <w:r w:rsidRPr="00AA1F87">
              <w:rPr>
                <w:rFonts w:ascii="Arial" w:eastAsia="Times New Roman" w:hAnsi="Arial" w:cs="Arial"/>
                <w:b/>
                <w:bCs/>
                <w:color w:val="000000"/>
                <w:kern w:val="0"/>
                <w:sz w:val="14"/>
                <w:szCs w:val="14"/>
                <w:lang w:eastAsia="pt-BR"/>
                <w14:ligatures w14:val="none"/>
              </w:rPr>
              <w:t xml:space="preserve">   (54.313)</w:t>
            </w:r>
          </w:p>
        </w:tc>
        <w:tc>
          <w:tcPr>
            <w:tcW w:w="371" w:type="pct"/>
            <w:tcBorders>
              <w:top w:val="nil"/>
              <w:left w:val="nil"/>
              <w:bottom w:val="nil"/>
              <w:right w:val="nil"/>
            </w:tcBorders>
            <w:shd w:val="clear" w:color="000000" w:fill="75F6F9"/>
            <w:noWrap/>
            <w:vAlign w:val="center"/>
            <w:hideMark/>
          </w:tcPr>
          <w:p w14:paraId="5935E629" w14:textId="77777777" w:rsidR="00AA1F87" w:rsidRPr="00AA1F87" w:rsidRDefault="00AA1F87" w:rsidP="00AA1F87">
            <w:pPr>
              <w:spacing w:after="0" w:line="240" w:lineRule="auto"/>
              <w:jc w:val="right"/>
              <w:rPr>
                <w:rFonts w:ascii="Arial" w:eastAsia="Times New Roman" w:hAnsi="Arial" w:cs="Arial"/>
                <w:b/>
                <w:bCs/>
                <w:color w:val="000000"/>
                <w:kern w:val="0"/>
                <w:sz w:val="14"/>
                <w:szCs w:val="14"/>
                <w:lang w:eastAsia="pt-BR"/>
                <w14:ligatures w14:val="none"/>
              </w:rPr>
            </w:pPr>
            <w:r w:rsidRPr="00AA1F87">
              <w:rPr>
                <w:rFonts w:ascii="Arial" w:eastAsia="Times New Roman" w:hAnsi="Arial" w:cs="Arial"/>
                <w:b/>
                <w:bCs/>
                <w:color w:val="000000"/>
                <w:kern w:val="0"/>
                <w:sz w:val="14"/>
                <w:szCs w:val="14"/>
                <w:lang w:eastAsia="pt-BR"/>
                <w14:ligatures w14:val="none"/>
              </w:rPr>
              <w:t xml:space="preserve">   (52.996)</w:t>
            </w:r>
          </w:p>
        </w:tc>
        <w:tc>
          <w:tcPr>
            <w:tcW w:w="70" w:type="pct"/>
            <w:tcBorders>
              <w:top w:val="nil"/>
              <w:left w:val="nil"/>
              <w:bottom w:val="nil"/>
              <w:right w:val="nil"/>
            </w:tcBorders>
            <w:shd w:val="clear" w:color="auto" w:fill="auto"/>
            <w:noWrap/>
            <w:vAlign w:val="bottom"/>
            <w:hideMark/>
          </w:tcPr>
          <w:p w14:paraId="03CB9488" w14:textId="77777777" w:rsidR="00AA1F87" w:rsidRPr="00AA1F87" w:rsidRDefault="00AA1F87" w:rsidP="00AA1F87">
            <w:pPr>
              <w:spacing w:after="0" w:line="240" w:lineRule="auto"/>
              <w:jc w:val="right"/>
              <w:rPr>
                <w:rFonts w:ascii="Arial" w:eastAsia="Times New Roman" w:hAnsi="Arial" w:cs="Arial"/>
                <w:b/>
                <w:bCs/>
                <w:color w:val="000000"/>
                <w:kern w:val="0"/>
                <w:sz w:val="14"/>
                <w:szCs w:val="14"/>
                <w:lang w:eastAsia="pt-BR"/>
                <w14:ligatures w14:val="none"/>
              </w:rPr>
            </w:pPr>
          </w:p>
        </w:tc>
        <w:tc>
          <w:tcPr>
            <w:tcW w:w="291" w:type="pct"/>
            <w:tcBorders>
              <w:top w:val="nil"/>
              <w:left w:val="nil"/>
              <w:bottom w:val="nil"/>
              <w:right w:val="nil"/>
            </w:tcBorders>
            <w:shd w:val="clear" w:color="000000" w:fill="75F6F9"/>
            <w:vAlign w:val="center"/>
            <w:hideMark/>
          </w:tcPr>
          <w:p w14:paraId="340DCC85" w14:textId="77777777" w:rsidR="00AA1F87" w:rsidRPr="00AA1F87" w:rsidRDefault="00AA1F87" w:rsidP="00AA1F87">
            <w:pPr>
              <w:spacing w:after="0" w:line="240" w:lineRule="auto"/>
              <w:jc w:val="right"/>
              <w:rPr>
                <w:rFonts w:ascii="Arial" w:eastAsia="Times New Roman" w:hAnsi="Arial" w:cs="Arial"/>
                <w:b/>
                <w:bCs/>
                <w:color w:val="000000"/>
                <w:kern w:val="0"/>
                <w:sz w:val="14"/>
                <w:szCs w:val="14"/>
                <w:lang w:eastAsia="pt-BR"/>
                <w14:ligatures w14:val="none"/>
              </w:rPr>
            </w:pPr>
            <w:r w:rsidRPr="00AA1F87">
              <w:rPr>
                <w:rFonts w:ascii="Arial" w:eastAsia="Times New Roman" w:hAnsi="Arial" w:cs="Arial"/>
                <w:b/>
                <w:bCs/>
                <w:color w:val="000000"/>
                <w:kern w:val="0"/>
                <w:sz w:val="14"/>
                <w:szCs w:val="14"/>
                <w:lang w:eastAsia="pt-BR"/>
                <w14:ligatures w14:val="none"/>
              </w:rPr>
              <w:t>22,0%</w:t>
            </w:r>
          </w:p>
        </w:tc>
        <w:tc>
          <w:tcPr>
            <w:tcW w:w="329" w:type="pct"/>
            <w:tcBorders>
              <w:top w:val="nil"/>
              <w:left w:val="nil"/>
              <w:bottom w:val="nil"/>
              <w:right w:val="nil"/>
            </w:tcBorders>
            <w:shd w:val="clear" w:color="000000" w:fill="75F6F9"/>
            <w:noWrap/>
            <w:vAlign w:val="center"/>
            <w:hideMark/>
          </w:tcPr>
          <w:p w14:paraId="106BDD1E" w14:textId="77777777" w:rsidR="00AA1F87" w:rsidRPr="00AA1F87" w:rsidRDefault="00AA1F87" w:rsidP="00AA1F87">
            <w:pPr>
              <w:spacing w:after="0" w:line="240" w:lineRule="auto"/>
              <w:jc w:val="right"/>
              <w:rPr>
                <w:rFonts w:ascii="Arial" w:eastAsia="Times New Roman" w:hAnsi="Arial" w:cs="Arial"/>
                <w:b/>
                <w:bCs/>
                <w:color w:val="000000"/>
                <w:kern w:val="0"/>
                <w:sz w:val="14"/>
                <w:szCs w:val="14"/>
                <w:lang w:eastAsia="pt-BR"/>
                <w14:ligatures w14:val="none"/>
              </w:rPr>
            </w:pPr>
            <w:r w:rsidRPr="00AA1F87">
              <w:rPr>
                <w:rFonts w:ascii="Arial" w:eastAsia="Times New Roman" w:hAnsi="Arial" w:cs="Arial"/>
                <w:b/>
                <w:bCs/>
                <w:color w:val="000000"/>
                <w:kern w:val="0"/>
                <w:sz w:val="14"/>
                <w:szCs w:val="14"/>
                <w:lang w:eastAsia="pt-BR"/>
                <w14:ligatures w14:val="none"/>
              </w:rPr>
              <w:t>25,0%</w:t>
            </w:r>
          </w:p>
        </w:tc>
        <w:tc>
          <w:tcPr>
            <w:tcW w:w="70" w:type="pct"/>
            <w:tcBorders>
              <w:top w:val="nil"/>
              <w:left w:val="nil"/>
              <w:bottom w:val="nil"/>
              <w:right w:val="nil"/>
            </w:tcBorders>
            <w:shd w:val="clear" w:color="auto" w:fill="auto"/>
            <w:noWrap/>
            <w:vAlign w:val="bottom"/>
            <w:hideMark/>
          </w:tcPr>
          <w:p w14:paraId="150E705D" w14:textId="77777777" w:rsidR="00AA1F87" w:rsidRPr="00AA1F87" w:rsidRDefault="00AA1F87" w:rsidP="00AA1F87">
            <w:pPr>
              <w:spacing w:after="0" w:line="240" w:lineRule="auto"/>
              <w:jc w:val="right"/>
              <w:rPr>
                <w:rFonts w:ascii="Arial" w:eastAsia="Times New Roman" w:hAnsi="Arial" w:cs="Arial"/>
                <w:b/>
                <w:bCs/>
                <w:color w:val="000000"/>
                <w:kern w:val="0"/>
                <w:sz w:val="14"/>
                <w:szCs w:val="14"/>
                <w:lang w:eastAsia="pt-BR"/>
                <w14:ligatures w14:val="none"/>
              </w:rPr>
            </w:pPr>
          </w:p>
        </w:tc>
        <w:tc>
          <w:tcPr>
            <w:tcW w:w="408" w:type="pct"/>
            <w:tcBorders>
              <w:top w:val="nil"/>
              <w:left w:val="nil"/>
              <w:bottom w:val="nil"/>
              <w:right w:val="nil"/>
            </w:tcBorders>
            <w:shd w:val="clear" w:color="000000" w:fill="75F6F9"/>
            <w:noWrap/>
            <w:vAlign w:val="center"/>
            <w:hideMark/>
          </w:tcPr>
          <w:p w14:paraId="65F9568E" w14:textId="77777777" w:rsidR="00AA1F87" w:rsidRPr="00AA1F87" w:rsidRDefault="00AA1F87" w:rsidP="00AA1F87">
            <w:pPr>
              <w:spacing w:after="0" w:line="240" w:lineRule="auto"/>
              <w:jc w:val="right"/>
              <w:rPr>
                <w:rFonts w:ascii="Arial" w:eastAsia="Times New Roman" w:hAnsi="Arial" w:cs="Arial"/>
                <w:b/>
                <w:bCs/>
                <w:color w:val="000000"/>
                <w:kern w:val="0"/>
                <w:sz w:val="14"/>
                <w:szCs w:val="14"/>
                <w:lang w:eastAsia="pt-BR"/>
                <w14:ligatures w14:val="none"/>
              </w:rPr>
            </w:pPr>
            <w:r w:rsidRPr="00AA1F87">
              <w:rPr>
                <w:rFonts w:ascii="Arial" w:eastAsia="Times New Roman" w:hAnsi="Arial" w:cs="Arial"/>
                <w:b/>
                <w:bCs/>
                <w:color w:val="000000"/>
                <w:kern w:val="0"/>
                <w:sz w:val="14"/>
                <w:szCs w:val="14"/>
                <w:lang w:eastAsia="pt-BR"/>
                <w14:ligatures w14:val="none"/>
              </w:rPr>
              <w:t xml:space="preserve">   (225.588)</w:t>
            </w:r>
          </w:p>
        </w:tc>
        <w:tc>
          <w:tcPr>
            <w:tcW w:w="408" w:type="pct"/>
            <w:tcBorders>
              <w:top w:val="nil"/>
              <w:left w:val="nil"/>
              <w:bottom w:val="nil"/>
              <w:right w:val="nil"/>
            </w:tcBorders>
            <w:shd w:val="clear" w:color="000000" w:fill="75F6F9"/>
            <w:noWrap/>
            <w:vAlign w:val="center"/>
            <w:hideMark/>
          </w:tcPr>
          <w:p w14:paraId="297A7D53" w14:textId="77777777" w:rsidR="00AA1F87" w:rsidRPr="00AA1F87" w:rsidRDefault="00AA1F87" w:rsidP="00AA1F87">
            <w:pPr>
              <w:spacing w:after="0" w:line="240" w:lineRule="auto"/>
              <w:jc w:val="right"/>
              <w:rPr>
                <w:rFonts w:ascii="Arial" w:eastAsia="Times New Roman" w:hAnsi="Arial" w:cs="Arial"/>
                <w:b/>
                <w:bCs/>
                <w:color w:val="000000"/>
                <w:kern w:val="0"/>
                <w:sz w:val="14"/>
                <w:szCs w:val="14"/>
                <w:lang w:eastAsia="pt-BR"/>
                <w14:ligatures w14:val="none"/>
              </w:rPr>
            </w:pPr>
            <w:r w:rsidRPr="00AA1F87">
              <w:rPr>
                <w:rFonts w:ascii="Arial" w:eastAsia="Times New Roman" w:hAnsi="Arial" w:cs="Arial"/>
                <w:b/>
                <w:bCs/>
                <w:color w:val="000000"/>
                <w:kern w:val="0"/>
                <w:sz w:val="14"/>
                <w:szCs w:val="14"/>
                <w:lang w:eastAsia="pt-BR"/>
                <w14:ligatures w14:val="none"/>
              </w:rPr>
              <w:t xml:space="preserve">   (219.520)</w:t>
            </w:r>
          </w:p>
        </w:tc>
        <w:tc>
          <w:tcPr>
            <w:tcW w:w="70" w:type="pct"/>
            <w:tcBorders>
              <w:top w:val="nil"/>
              <w:left w:val="nil"/>
              <w:bottom w:val="nil"/>
              <w:right w:val="nil"/>
            </w:tcBorders>
            <w:shd w:val="clear" w:color="auto" w:fill="auto"/>
            <w:noWrap/>
            <w:vAlign w:val="bottom"/>
            <w:hideMark/>
          </w:tcPr>
          <w:p w14:paraId="5B2696AB" w14:textId="77777777" w:rsidR="00AA1F87" w:rsidRPr="00AA1F87" w:rsidRDefault="00AA1F87" w:rsidP="00AA1F87">
            <w:pPr>
              <w:spacing w:after="0" w:line="240" w:lineRule="auto"/>
              <w:jc w:val="right"/>
              <w:rPr>
                <w:rFonts w:ascii="Arial" w:eastAsia="Times New Roman" w:hAnsi="Arial" w:cs="Arial"/>
                <w:b/>
                <w:bCs/>
                <w:color w:val="000000"/>
                <w:kern w:val="0"/>
                <w:sz w:val="14"/>
                <w:szCs w:val="14"/>
                <w:lang w:eastAsia="pt-BR"/>
                <w14:ligatures w14:val="none"/>
              </w:rPr>
            </w:pPr>
          </w:p>
        </w:tc>
        <w:tc>
          <w:tcPr>
            <w:tcW w:w="291" w:type="pct"/>
            <w:tcBorders>
              <w:top w:val="nil"/>
              <w:left w:val="nil"/>
              <w:bottom w:val="nil"/>
              <w:right w:val="nil"/>
            </w:tcBorders>
            <w:shd w:val="clear" w:color="000000" w:fill="75F6F9"/>
            <w:vAlign w:val="center"/>
            <w:hideMark/>
          </w:tcPr>
          <w:p w14:paraId="726EFCD4" w14:textId="77777777" w:rsidR="00AA1F87" w:rsidRPr="00AA1F87" w:rsidRDefault="00AA1F87" w:rsidP="00AA1F87">
            <w:pPr>
              <w:spacing w:after="0" w:line="240" w:lineRule="auto"/>
              <w:jc w:val="right"/>
              <w:rPr>
                <w:rFonts w:ascii="Arial" w:eastAsia="Times New Roman" w:hAnsi="Arial" w:cs="Arial"/>
                <w:b/>
                <w:bCs/>
                <w:color w:val="000000"/>
                <w:kern w:val="0"/>
                <w:sz w:val="13"/>
                <w:szCs w:val="13"/>
                <w:lang w:eastAsia="pt-BR"/>
                <w14:ligatures w14:val="none"/>
              </w:rPr>
            </w:pPr>
            <w:r w:rsidRPr="00AA1F87">
              <w:rPr>
                <w:rFonts w:ascii="Arial" w:eastAsia="Times New Roman" w:hAnsi="Arial" w:cs="Arial"/>
                <w:b/>
                <w:bCs/>
                <w:color w:val="000000"/>
                <w:kern w:val="0"/>
                <w:sz w:val="13"/>
                <w:szCs w:val="13"/>
                <w:lang w:eastAsia="pt-BR"/>
                <w14:ligatures w14:val="none"/>
              </w:rPr>
              <w:t>2,8%</w:t>
            </w:r>
          </w:p>
        </w:tc>
      </w:tr>
      <w:tr w:rsidR="00AA1F87" w:rsidRPr="00AA1F87" w14:paraId="34A280D8" w14:textId="77777777" w:rsidTr="00446A14">
        <w:trPr>
          <w:trHeight w:val="227"/>
        </w:trPr>
        <w:tc>
          <w:tcPr>
            <w:tcW w:w="1877" w:type="pct"/>
            <w:tcBorders>
              <w:top w:val="single" w:sz="8" w:space="0" w:color="D9D9D9"/>
              <w:left w:val="nil"/>
              <w:bottom w:val="nil"/>
              <w:right w:val="nil"/>
            </w:tcBorders>
            <w:shd w:val="clear" w:color="000000" w:fill="75F6F9"/>
            <w:noWrap/>
            <w:vAlign w:val="center"/>
            <w:hideMark/>
          </w:tcPr>
          <w:p w14:paraId="6A70BDFD" w14:textId="77777777" w:rsidR="00AA1F87" w:rsidRPr="00AA1F87" w:rsidRDefault="00AA1F87" w:rsidP="00AA1F87">
            <w:pPr>
              <w:spacing w:after="0" w:line="240" w:lineRule="auto"/>
              <w:rPr>
                <w:rFonts w:ascii="Arial" w:eastAsia="Times New Roman" w:hAnsi="Arial" w:cs="Arial"/>
                <w:b/>
                <w:bCs/>
                <w:color w:val="000000"/>
                <w:kern w:val="0"/>
                <w:sz w:val="14"/>
                <w:szCs w:val="14"/>
                <w:lang w:eastAsia="pt-BR"/>
                <w14:ligatures w14:val="none"/>
              </w:rPr>
            </w:pPr>
            <w:r w:rsidRPr="00AA1F87">
              <w:rPr>
                <w:rFonts w:ascii="Arial" w:eastAsia="Times New Roman" w:hAnsi="Arial" w:cs="Arial"/>
                <w:b/>
                <w:bCs/>
                <w:color w:val="000000"/>
                <w:kern w:val="0"/>
                <w:sz w:val="14"/>
                <w:szCs w:val="14"/>
                <w:lang w:eastAsia="pt-BR"/>
                <w14:ligatures w14:val="none"/>
              </w:rPr>
              <w:t>Resultado Financeiro</w:t>
            </w:r>
          </w:p>
        </w:tc>
        <w:tc>
          <w:tcPr>
            <w:tcW w:w="442" w:type="pct"/>
            <w:tcBorders>
              <w:top w:val="single" w:sz="8" w:space="0" w:color="D9D9D9"/>
              <w:left w:val="nil"/>
              <w:bottom w:val="nil"/>
              <w:right w:val="nil"/>
            </w:tcBorders>
            <w:shd w:val="clear" w:color="000000" w:fill="75F6F9"/>
            <w:noWrap/>
            <w:vAlign w:val="center"/>
            <w:hideMark/>
          </w:tcPr>
          <w:p w14:paraId="02358076" w14:textId="77777777" w:rsidR="00AA1F87" w:rsidRPr="00AA1F87" w:rsidRDefault="00AA1F87" w:rsidP="00AA1F87">
            <w:pPr>
              <w:spacing w:after="0" w:line="240" w:lineRule="auto"/>
              <w:jc w:val="right"/>
              <w:rPr>
                <w:rFonts w:ascii="Arial" w:eastAsia="Times New Roman" w:hAnsi="Arial" w:cs="Arial"/>
                <w:b/>
                <w:bCs/>
                <w:color w:val="000000"/>
                <w:kern w:val="0"/>
                <w:sz w:val="14"/>
                <w:szCs w:val="14"/>
                <w:lang w:eastAsia="pt-BR"/>
                <w14:ligatures w14:val="none"/>
              </w:rPr>
            </w:pPr>
            <w:r w:rsidRPr="00AA1F87">
              <w:rPr>
                <w:rFonts w:ascii="Arial" w:eastAsia="Times New Roman" w:hAnsi="Arial" w:cs="Arial"/>
                <w:b/>
                <w:bCs/>
                <w:color w:val="000000"/>
                <w:kern w:val="0"/>
                <w:sz w:val="14"/>
                <w:szCs w:val="14"/>
                <w:lang w:eastAsia="pt-BR"/>
                <w14:ligatures w14:val="none"/>
              </w:rPr>
              <w:t xml:space="preserve">   (27.915)</w:t>
            </w:r>
          </w:p>
        </w:tc>
        <w:tc>
          <w:tcPr>
            <w:tcW w:w="371" w:type="pct"/>
            <w:tcBorders>
              <w:top w:val="single" w:sz="8" w:space="0" w:color="D9D9D9"/>
              <w:left w:val="nil"/>
              <w:bottom w:val="nil"/>
              <w:right w:val="nil"/>
            </w:tcBorders>
            <w:shd w:val="clear" w:color="000000" w:fill="75F6F9"/>
            <w:noWrap/>
            <w:vAlign w:val="center"/>
            <w:hideMark/>
          </w:tcPr>
          <w:p w14:paraId="598DD168" w14:textId="77777777" w:rsidR="00AA1F87" w:rsidRPr="00AA1F87" w:rsidRDefault="00AA1F87" w:rsidP="00AA1F87">
            <w:pPr>
              <w:spacing w:after="0" w:line="240" w:lineRule="auto"/>
              <w:jc w:val="right"/>
              <w:rPr>
                <w:rFonts w:ascii="Arial" w:eastAsia="Times New Roman" w:hAnsi="Arial" w:cs="Arial"/>
                <w:b/>
                <w:bCs/>
                <w:color w:val="000000"/>
                <w:kern w:val="0"/>
                <w:sz w:val="14"/>
                <w:szCs w:val="14"/>
                <w:lang w:eastAsia="pt-BR"/>
                <w14:ligatures w14:val="none"/>
              </w:rPr>
            </w:pPr>
            <w:r w:rsidRPr="00AA1F87">
              <w:rPr>
                <w:rFonts w:ascii="Arial" w:eastAsia="Times New Roman" w:hAnsi="Arial" w:cs="Arial"/>
                <w:b/>
                <w:bCs/>
                <w:color w:val="000000"/>
                <w:kern w:val="0"/>
                <w:sz w:val="14"/>
                <w:szCs w:val="14"/>
                <w:lang w:eastAsia="pt-BR"/>
                <w14:ligatures w14:val="none"/>
              </w:rPr>
              <w:t xml:space="preserve">   (23.568)</w:t>
            </w:r>
          </w:p>
        </w:tc>
        <w:tc>
          <w:tcPr>
            <w:tcW w:w="371" w:type="pct"/>
            <w:tcBorders>
              <w:top w:val="single" w:sz="8" w:space="0" w:color="D9D9D9"/>
              <w:left w:val="nil"/>
              <w:bottom w:val="nil"/>
              <w:right w:val="nil"/>
            </w:tcBorders>
            <w:shd w:val="clear" w:color="000000" w:fill="75F6F9"/>
            <w:noWrap/>
            <w:vAlign w:val="center"/>
            <w:hideMark/>
          </w:tcPr>
          <w:p w14:paraId="30A778DF" w14:textId="77777777" w:rsidR="00AA1F87" w:rsidRPr="00AA1F87" w:rsidRDefault="00AA1F87" w:rsidP="00AA1F87">
            <w:pPr>
              <w:spacing w:after="0" w:line="240" w:lineRule="auto"/>
              <w:jc w:val="right"/>
              <w:rPr>
                <w:rFonts w:ascii="Arial" w:eastAsia="Times New Roman" w:hAnsi="Arial" w:cs="Arial"/>
                <w:b/>
                <w:bCs/>
                <w:color w:val="000000"/>
                <w:kern w:val="0"/>
                <w:sz w:val="14"/>
                <w:szCs w:val="14"/>
                <w:lang w:eastAsia="pt-BR"/>
                <w14:ligatures w14:val="none"/>
              </w:rPr>
            </w:pPr>
            <w:r w:rsidRPr="00AA1F87">
              <w:rPr>
                <w:rFonts w:ascii="Arial" w:eastAsia="Times New Roman" w:hAnsi="Arial" w:cs="Arial"/>
                <w:b/>
                <w:bCs/>
                <w:color w:val="000000"/>
                <w:kern w:val="0"/>
                <w:sz w:val="14"/>
                <w:szCs w:val="14"/>
                <w:lang w:eastAsia="pt-BR"/>
                <w14:ligatures w14:val="none"/>
              </w:rPr>
              <w:t xml:space="preserve">   (11.308)</w:t>
            </w:r>
          </w:p>
        </w:tc>
        <w:tc>
          <w:tcPr>
            <w:tcW w:w="70" w:type="pct"/>
            <w:tcBorders>
              <w:top w:val="nil"/>
              <w:left w:val="nil"/>
              <w:bottom w:val="nil"/>
              <w:right w:val="nil"/>
            </w:tcBorders>
            <w:shd w:val="clear" w:color="auto" w:fill="auto"/>
            <w:noWrap/>
            <w:vAlign w:val="bottom"/>
            <w:hideMark/>
          </w:tcPr>
          <w:p w14:paraId="23D4D7AF" w14:textId="77777777" w:rsidR="00AA1F87" w:rsidRPr="00AA1F87" w:rsidRDefault="00AA1F87" w:rsidP="00AA1F87">
            <w:pPr>
              <w:spacing w:after="0" w:line="240" w:lineRule="auto"/>
              <w:jc w:val="right"/>
              <w:rPr>
                <w:rFonts w:ascii="Arial" w:eastAsia="Times New Roman" w:hAnsi="Arial" w:cs="Arial"/>
                <w:b/>
                <w:bCs/>
                <w:color w:val="000000"/>
                <w:kern w:val="0"/>
                <w:sz w:val="14"/>
                <w:szCs w:val="14"/>
                <w:lang w:eastAsia="pt-BR"/>
                <w14:ligatures w14:val="none"/>
              </w:rPr>
            </w:pPr>
          </w:p>
        </w:tc>
        <w:tc>
          <w:tcPr>
            <w:tcW w:w="291" w:type="pct"/>
            <w:tcBorders>
              <w:top w:val="single" w:sz="8" w:space="0" w:color="D9D9D9"/>
              <w:left w:val="nil"/>
              <w:bottom w:val="nil"/>
              <w:right w:val="nil"/>
            </w:tcBorders>
            <w:shd w:val="clear" w:color="000000" w:fill="75F6F9"/>
            <w:vAlign w:val="center"/>
            <w:hideMark/>
          </w:tcPr>
          <w:p w14:paraId="376311CB" w14:textId="77777777" w:rsidR="00AA1F87" w:rsidRPr="00AA1F87" w:rsidRDefault="00AA1F87" w:rsidP="00AA1F87">
            <w:pPr>
              <w:spacing w:after="0" w:line="240" w:lineRule="auto"/>
              <w:jc w:val="right"/>
              <w:rPr>
                <w:rFonts w:ascii="Arial" w:eastAsia="Times New Roman" w:hAnsi="Arial" w:cs="Arial"/>
                <w:b/>
                <w:bCs/>
                <w:color w:val="000000"/>
                <w:kern w:val="0"/>
                <w:sz w:val="14"/>
                <w:szCs w:val="14"/>
                <w:lang w:eastAsia="pt-BR"/>
                <w14:ligatures w14:val="none"/>
              </w:rPr>
            </w:pPr>
            <w:r w:rsidRPr="00AA1F87">
              <w:rPr>
                <w:rFonts w:ascii="Arial" w:eastAsia="Times New Roman" w:hAnsi="Arial" w:cs="Arial"/>
                <w:b/>
                <w:bCs/>
                <w:color w:val="000000"/>
                <w:kern w:val="0"/>
                <w:sz w:val="14"/>
                <w:szCs w:val="14"/>
                <w:lang w:eastAsia="pt-BR"/>
                <w14:ligatures w14:val="none"/>
              </w:rPr>
              <w:t>18,4%</w:t>
            </w:r>
          </w:p>
        </w:tc>
        <w:tc>
          <w:tcPr>
            <w:tcW w:w="329" w:type="pct"/>
            <w:tcBorders>
              <w:top w:val="single" w:sz="8" w:space="0" w:color="D9D9D9"/>
              <w:left w:val="nil"/>
              <w:bottom w:val="nil"/>
              <w:right w:val="nil"/>
            </w:tcBorders>
            <w:shd w:val="clear" w:color="000000" w:fill="75F6F9"/>
            <w:noWrap/>
            <w:vAlign w:val="center"/>
            <w:hideMark/>
          </w:tcPr>
          <w:p w14:paraId="6EAE5B94" w14:textId="77777777" w:rsidR="00AA1F87" w:rsidRPr="00AA1F87" w:rsidRDefault="00AA1F87" w:rsidP="00AA1F87">
            <w:pPr>
              <w:spacing w:after="0" w:line="240" w:lineRule="auto"/>
              <w:jc w:val="right"/>
              <w:rPr>
                <w:rFonts w:ascii="Arial" w:eastAsia="Times New Roman" w:hAnsi="Arial" w:cs="Arial"/>
                <w:b/>
                <w:bCs/>
                <w:color w:val="000000"/>
                <w:kern w:val="0"/>
                <w:sz w:val="14"/>
                <w:szCs w:val="14"/>
                <w:lang w:eastAsia="pt-BR"/>
                <w14:ligatures w14:val="none"/>
              </w:rPr>
            </w:pPr>
            <w:r w:rsidRPr="00AA1F87">
              <w:rPr>
                <w:rFonts w:ascii="Arial" w:eastAsia="Times New Roman" w:hAnsi="Arial" w:cs="Arial"/>
                <w:b/>
                <w:bCs/>
                <w:color w:val="000000"/>
                <w:kern w:val="0"/>
                <w:sz w:val="14"/>
                <w:szCs w:val="14"/>
                <w:lang w:eastAsia="pt-BR"/>
                <w14:ligatures w14:val="none"/>
              </w:rPr>
              <w:t>146,9%</w:t>
            </w:r>
          </w:p>
        </w:tc>
        <w:tc>
          <w:tcPr>
            <w:tcW w:w="70" w:type="pct"/>
            <w:tcBorders>
              <w:top w:val="nil"/>
              <w:left w:val="nil"/>
              <w:bottom w:val="nil"/>
              <w:right w:val="nil"/>
            </w:tcBorders>
            <w:shd w:val="clear" w:color="auto" w:fill="auto"/>
            <w:noWrap/>
            <w:vAlign w:val="bottom"/>
            <w:hideMark/>
          </w:tcPr>
          <w:p w14:paraId="31FC3DDE" w14:textId="77777777" w:rsidR="00AA1F87" w:rsidRPr="00AA1F87" w:rsidRDefault="00AA1F87" w:rsidP="00AA1F87">
            <w:pPr>
              <w:spacing w:after="0" w:line="240" w:lineRule="auto"/>
              <w:jc w:val="right"/>
              <w:rPr>
                <w:rFonts w:ascii="Arial" w:eastAsia="Times New Roman" w:hAnsi="Arial" w:cs="Arial"/>
                <w:b/>
                <w:bCs/>
                <w:color w:val="000000"/>
                <w:kern w:val="0"/>
                <w:sz w:val="14"/>
                <w:szCs w:val="14"/>
                <w:lang w:eastAsia="pt-BR"/>
                <w14:ligatures w14:val="none"/>
              </w:rPr>
            </w:pPr>
          </w:p>
        </w:tc>
        <w:tc>
          <w:tcPr>
            <w:tcW w:w="408" w:type="pct"/>
            <w:tcBorders>
              <w:top w:val="single" w:sz="8" w:space="0" w:color="D9D9D9"/>
              <w:left w:val="nil"/>
              <w:bottom w:val="nil"/>
              <w:right w:val="nil"/>
            </w:tcBorders>
            <w:shd w:val="clear" w:color="000000" w:fill="75F6F9"/>
            <w:noWrap/>
            <w:vAlign w:val="center"/>
            <w:hideMark/>
          </w:tcPr>
          <w:p w14:paraId="34DE464A" w14:textId="77777777" w:rsidR="00AA1F87" w:rsidRPr="00AA1F87" w:rsidRDefault="00AA1F87" w:rsidP="00AA1F87">
            <w:pPr>
              <w:spacing w:after="0" w:line="240" w:lineRule="auto"/>
              <w:jc w:val="right"/>
              <w:rPr>
                <w:rFonts w:ascii="Arial" w:eastAsia="Times New Roman" w:hAnsi="Arial" w:cs="Arial"/>
                <w:b/>
                <w:bCs/>
                <w:color w:val="000000"/>
                <w:kern w:val="0"/>
                <w:sz w:val="14"/>
                <w:szCs w:val="14"/>
                <w:lang w:eastAsia="pt-BR"/>
                <w14:ligatures w14:val="none"/>
              </w:rPr>
            </w:pPr>
            <w:r w:rsidRPr="00AA1F87">
              <w:rPr>
                <w:rFonts w:ascii="Arial" w:eastAsia="Times New Roman" w:hAnsi="Arial" w:cs="Arial"/>
                <w:b/>
                <w:bCs/>
                <w:color w:val="000000"/>
                <w:kern w:val="0"/>
                <w:sz w:val="14"/>
                <w:szCs w:val="14"/>
                <w:lang w:eastAsia="pt-BR"/>
                <w14:ligatures w14:val="none"/>
              </w:rPr>
              <w:t xml:space="preserve">     (59.950)</w:t>
            </w:r>
          </w:p>
        </w:tc>
        <w:tc>
          <w:tcPr>
            <w:tcW w:w="408" w:type="pct"/>
            <w:tcBorders>
              <w:top w:val="single" w:sz="8" w:space="0" w:color="D9D9D9"/>
              <w:left w:val="nil"/>
              <w:bottom w:val="nil"/>
              <w:right w:val="nil"/>
            </w:tcBorders>
            <w:shd w:val="clear" w:color="000000" w:fill="75F6F9"/>
            <w:noWrap/>
            <w:vAlign w:val="center"/>
            <w:hideMark/>
          </w:tcPr>
          <w:p w14:paraId="4E3B5A27" w14:textId="77777777" w:rsidR="00AA1F87" w:rsidRPr="00AA1F87" w:rsidRDefault="00AA1F87" w:rsidP="00AA1F87">
            <w:pPr>
              <w:spacing w:after="0" w:line="240" w:lineRule="auto"/>
              <w:jc w:val="right"/>
              <w:rPr>
                <w:rFonts w:ascii="Arial" w:eastAsia="Times New Roman" w:hAnsi="Arial" w:cs="Arial"/>
                <w:b/>
                <w:bCs/>
                <w:color w:val="000000"/>
                <w:kern w:val="0"/>
                <w:sz w:val="14"/>
                <w:szCs w:val="14"/>
                <w:lang w:eastAsia="pt-BR"/>
                <w14:ligatures w14:val="none"/>
              </w:rPr>
            </w:pPr>
            <w:r w:rsidRPr="00AA1F87">
              <w:rPr>
                <w:rFonts w:ascii="Arial" w:eastAsia="Times New Roman" w:hAnsi="Arial" w:cs="Arial"/>
                <w:b/>
                <w:bCs/>
                <w:color w:val="000000"/>
                <w:kern w:val="0"/>
                <w:sz w:val="14"/>
                <w:szCs w:val="14"/>
                <w:lang w:eastAsia="pt-BR"/>
                <w14:ligatures w14:val="none"/>
              </w:rPr>
              <w:t xml:space="preserve">   (100.148)</w:t>
            </w:r>
          </w:p>
        </w:tc>
        <w:tc>
          <w:tcPr>
            <w:tcW w:w="70" w:type="pct"/>
            <w:tcBorders>
              <w:top w:val="nil"/>
              <w:left w:val="nil"/>
              <w:bottom w:val="nil"/>
              <w:right w:val="nil"/>
            </w:tcBorders>
            <w:shd w:val="clear" w:color="auto" w:fill="auto"/>
            <w:noWrap/>
            <w:vAlign w:val="bottom"/>
            <w:hideMark/>
          </w:tcPr>
          <w:p w14:paraId="55FE58C4" w14:textId="77777777" w:rsidR="00AA1F87" w:rsidRPr="00AA1F87" w:rsidRDefault="00AA1F87" w:rsidP="00AA1F87">
            <w:pPr>
              <w:spacing w:after="0" w:line="240" w:lineRule="auto"/>
              <w:jc w:val="right"/>
              <w:rPr>
                <w:rFonts w:ascii="Arial" w:eastAsia="Times New Roman" w:hAnsi="Arial" w:cs="Arial"/>
                <w:b/>
                <w:bCs/>
                <w:color w:val="000000"/>
                <w:kern w:val="0"/>
                <w:sz w:val="14"/>
                <w:szCs w:val="14"/>
                <w:lang w:eastAsia="pt-BR"/>
                <w14:ligatures w14:val="none"/>
              </w:rPr>
            </w:pPr>
          </w:p>
        </w:tc>
        <w:tc>
          <w:tcPr>
            <w:tcW w:w="291" w:type="pct"/>
            <w:tcBorders>
              <w:top w:val="single" w:sz="8" w:space="0" w:color="D9D9D9"/>
              <w:left w:val="nil"/>
              <w:bottom w:val="nil"/>
              <w:right w:val="nil"/>
            </w:tcBorders>
            <w:shd w:val="clear" w:color="000000" w:fill="75F6F9"/>
            <w:noWrap/>
            <w:vAlign w:val="center"/>
            <w:hideMark/>
          </w:tcPr>
          <w:p w14:paraId="19A045CD" w14:textId="77777777" w:rsidR="00AA1F87" w:rsidRPr="00AA1F87" w:rsidRDefault="00AA1F87" w:rsidP="00AA1F87">
            <w:pPr>
              <w:spacing w:after="0" w:line="240" w:lineRule="auto"/>
              <w:jc w:val="right"/>
              <w:rPr>
                <w:rFonts w:ascii="Arial" w:eastAsia="Times New Roman" w:hAnsi="Arial" w:cs="Arial"/>
                <w:b/>
                <w:bCs/>
                <w:color w:val="000000"/>
                <w:kern w:val="0"/>
                <w:sz w:val="13"/>
                <w:szCs w:val="13"/>
                <w:lang w:eastAsia="pt-BR"/>
                <w14:ligatures w14:val="none"/>
              </w:rPr>
            </w:pPr>
            <w:r w:rsidRPr="00AA1F87">
              <w:rPr>
                <w:rFonts w:ascii="Arial" w:eastAsia="Times New Roman" w:hAnsi="Arial" w:cs="Arial"/>
                <w:b/>
                <w:bCs/>
                <w:color w:val="000000"/>
                <w:kern w:val="0"/>
                <w:sz w:val="13"/>
                <w:szCs w:val="13"/>
                <w:lang w:eastAsia="pt-BR"/>
                <w14:ligatures w14:val="none"/>
              </w:rPr>
              <w:t>-40,1%</w:t>
            </w:r>
          </w:p>
        </w:tc>
      </w:tr>
    </w:tbl>
    <w:p w14:paraId="1413AAFB" w14:textId="77777777" w:rsidR="00AA1F87" w:rsidRDefault="00AA1F87" w:rsidP="00871656">
      <w:pPr>
        <w:spacing w:after="0" w:line="240" w:lineRule="auto"/>
        <w:jc w:val="both"/>
        <w:rPr>
          <w:rFonts w:ascii="Calibri" w:eastAsia="Times New Roman" w:hAnsi="Calibri" w:cs="Calibri"/>
          <w:color w:val="002060"/>
          <w:kern w:val="0"/>
          <w14:ligatures w14:val="none"/>
        </w:rPr>
      </w:pPr>
    </w:p>
    <w:p w14:paraId="6DB433EB" w14:textId="77777777" w:rsidR="00AA1F87" w:rsidRDefault="00AA1F87" w:rsidP="00AA1F87">
      <w:pPr>
        <w:spacing w:after="0" w:line="240" w:lineRule="auto"/>
        <w:jc w:val="both"/>
        <w:rPr>
          <w:rFonts w:ascii="Calibri" w:eastAsia="Times New Roman" w:hAnsi="Calibri" w:cs="Calibri"/>
          <w:color w:val="002060"/>
          <w:kern w:val="0"/>
          <w14:ligatures w14:val="none"/>
        </w:rPr>
      </w:pPr>
      <w:r w:rsidRPr="00AA1F87">
        <w:rPr>
          <w:rFonts w:ascii="Calibri" w:eastAsia="Times New Roman" w:hAnsi="Calibri" w:cs="Calibri"/>
          <w:color w:val="002060"/>
          <w:kern w:val="0"/>
          <w14:ligatures w14:val="none"/>
        </w:rPr>
        <w:t>Nos 12M23, o resultado financeiro foi negativo no montante de R$ 60,0 milhões (R$ 100,1 milhões nos 12M22). Os principais eventos que impactaram esse resultado foram: i) crescimento de 4,3% nos juros sobre</w:t>
      </w:r>
    </w:p>
    <w:p w14:paraId="3E870087" w14:textId="04CDFECA" w:rsidR="00AA1F87" w:rsidRPr="00AA1F87" w:rsidRDefault="00AA1F87" w:rsidP="00AA1F87">
      <w:pPr>
        <w:spacing w:after="0" w:line="240" w:lineRule="auto"/>
        <w:jc w:val="both"/>
        <w:rPr>
          <w:rFonts w:ascii="Calibri" w:eastAsia="Times New Roman" w:hAnsi="Calibri" w:cs="Calibri"/>
          <w:color w:val="002060"/>
          <w:kern w:val="0"/>
          <w14:ligatures w14:val="none"/>
        </w:rPr>
      </w:pPr>
      <w:r w:rsidRPr="00AA1F87">
        <w:rPr>
          <w:rFonts w:ascii="Calibri" w:eastAsia="Times New Roman" w:hAnsi="Calibri" w:cs="Calibri"/>
          <w:color w:val="002060"/>
          <w:kern w:val="0"/>
          <w14:ligatures w14:val="none"/>
        </w:rPr>
        <w:lastRenderedPageBreak/>
        <w:t>AFAC</w:t>
      </w:r>
      <w:r w:rsidRPr="00AA1F87">
        <w:rPr>
          <w:rFonts w:ascii="Calibri" w:eastAsia="Times New Roman" w:hAnsi="Calibri" w:cs="Calibri"/>
          <w:color w:val="002060"/>
          <w:kern w:val="0"/>
          <w:vertAlign w:val="superscript"/>
          <w14:ligatures w14:val="none"/>
        </w:rPr>
        <w:footnoteReference w:id="3"/>
      </w:r>
      <w:r w:rsidRPr="00AA1F87">
        <w:rPr>
          <w:rFonts w:ascii="Calibri" w:eastAsia="Times New Roman" w:hAnsi="Calibri" w:cs="Calibri"/>
          <w:color w:val="002060"/>
          <w:kern w:val="0"/>
          <w14:ligatures w14:val="none"/>
        </w:rPr>
        <w:t xml:space="preserve">, em função do aumento da taxa SELIC e novos aportes recebidos; </w:t>
      </w:r>
      <w:proofErr w:type="spellStart"/>
      <w:r w:rsidRPr="00AA1F87">
        <w:rPr>
          <w:rFonts w:ascii="Calibri" w:eastAsia="Times New Roman" w:hAnsi="Calibri" w:cs="Calibri"/>
          <w:color w:val="002060"/>
          <w:kern w:val="0"/>
          <w14:ligatures w14:val="none"/>
        </w:rPr>
        <w:t>ii</w:t>
      </w:r>
      <w:proofErr w:type="spellEnd"/>
      <w:r w:rsidRPr="00AA1F87">
        <w:rPr>
          <w:rFonts w:ascii="Calibri" w:eastAsia="Times New Roman" w:hAnsi="Calibri" w:cs="Calibri"/>
          <w:color w:val="002060"/>
          <w:kern w:val="0"/>
          <w14:ligatures w14:val="none"/>
        </w:rPr>
        <w:t xml:space="preserve">) redução de 26,0% dos encargos financeiros da dívida com Acordos Judiciais (PREVI e FUNCEF), devido à amortização da dívida e redução dos níveis inflacionários; e </w:t>
      </w:r>
      <w:proofErr w:type="spellStart"/>
      <w:r w:rsidRPr="00AA1F87">
        <w:rPr>
          <w:rFonts w:ascii="Calibri" w:eastAsia="Times New Roman" w:hAnsi="Calibri" w:cs="Calibri"/>
          <w:color w:val="002060"/>
          <w:kern w:val="0"/>
          <w14:ligatures w14:val="none"/>
        </w:rPr>
        <w:t>iii</w:t>
      </w:r>
      <w:proofErr w:type="spellEnd"/>
      <w:r w:rsidRPr="00AA1F87">
        <w:rPr>
          <w:rFonts w:ascii="Calibri" w:eastAsia="Times New Roman" w:hAnsi="Calibri" w:cs="Calibri"/>
          <w:color w:val="002060"/>
          <w:kern w:val="0"/>
          <w14:ligatures w14:val="none"/>
        </w:rPr>
        <w:t xml:space="preserve">) aumento de 45,4% dos rendimentos de aplicações financeiras no período, devido à melhora da rentabilidade. </w:t>
      </w:r>
    </w:p>
    <w:p w14:paraId="236065CF" w14:textId="77777777" w:rsidR="00AA1F87" w:rsidRDefault="00AA1F87" w:rsidP="00AA1F87">
      <w:pPr>
        <w:spacing w:after="0" w:line="240" w:lineRule="auto"/>
        <w:jc w:val="both"/>
        <w:rPr>
          <w:rFonts w:ascii="Calibri" w:eastAsia="Times New Roman" w:hAnsi="Calibri" w:cs="Calibri"/>
          <w:b/>
          <w:bCs/>
          <w:color w:val="002060"/>
          <w:kern w:val="0"/>
          <w:u w:val="single"/>
          <w14:ligatures w14:val="none"/>
        </w:rPr>
      </w:pPr>
      <w:r w:rsidRPr="00AA1F87">
        <w:rPr>
          <w:rFonts w:ascii="Calibri" w:eastAsia="Times New Roman" w:hAnsi="Calibri" w:cs="Calibri"/>
          <w:b/>
          <w:bCs/>
          <w:color w:val="002060"/>
          <w:kern w:val="0"/>
          <w:u w:val="single"/>
          <w14:ligatures w14:val="none"/>
        </w:rPr>
        <w:t>EBITDA (LAJIDA)</w:t>
      </w:r>
    </w:p>
    <w:tbl>
      <w:tblPr>
        <w:tblW w:w="5000" w:type="pct"/>
        <w:tblCellMar>
          <w:left w:w="70" w:type="dxa"/>
          <w:right w:w="70" w:type="dxa"/>
        </w:tblCellMar>
        <w:tblLook w:val="04A0" w:firstRow="1" w:lastRow="0" w:firstColumn="1" w:lastColumn="0" w:noHBand="0" w:noVBand="1"/>
      </w:tblPr>
      <w:tblGrid>
        <w:gridCol w:w="3313"/>
        <w:gridCol w:w="847"/>
        <w:gridCol w:w="847"/>
        <w:gridCol w:w="726"/>
        <w:gridCol w:w="146"/>
        <w:gridCol w:w="718"/>
        <w:gridCol w:w="644"/>
        <w:gridCol w:w="146"/>
        <w:gridCol w:w="806"/>
        <w:gridCol w:w="806"/>
        <w:gridCol w:w="146"/>
        <w:gridCol w:w="636"/>
      </w:tblGrid>
      <w:tr w:rsidR="00AA1F87" w:rsidRPr="00AA1F87" w14:paraId="7B183FA6" w14:textId="77777777" w:rsidTr="00446A14">
        <w:trPr>
          <w:trHeight w:val="198"/>
        </w:trPr>
        <w:tc>
          <w:tcPr>
            <w:tcW w:w="1619" w:type="pct"/>
            <w:tcBorders>
              <w:top w:val="nil"/>
              <w:left w:val="nil"/>
              <w:bottom w:val="nil"/>
              <w:right w:val="nil"/>
            </w:tcBorders>
            <w:shd w:val="clear" w:color="auto" w:fill="auto"/>
            <w:noWrap/>
            <w:vAlign w:val="bottom"/>
            <w:hideMark/>
          </w:tcPr>
          <w:p w14:paraId="49632AD7"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2146" w:type="pct"/>
            <w:gridSpan w:val="6"/>
            <w:tcBorders>
              <w:top w:val="nil"/>
              <w:left w:val="nil"/>
              <w:bottom w:val="single" w:sz="8" w:space="0" w:color="auto"/>
              <w:right w:val="nil"/>
            </w:tcBorders>
            <w:shd w:val="clear" w:color="auto" w:fill="auto"/>
            <w:noWrap/>
            <w:vAlign w:val="center"/>
            <w:hideMark/>
          </w:tcPr>
          <w:p w14:paraId="7C6F5C2F" w14:textId="77777777" w:rsidR="00AA1F87" w:rsidRPr="00AA1F87" w:rsidRDefault="00AA1F87" w:rsidP="00AA1F87">
            <w:pPr>
              <w:spacing w:after="0" w:line="240" w:lineRule="auto"/>
              <w:jc w:val="center"/>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Trimestres</w:t>
            </w:r>
          </w:p>
        </w:tc>
        <w:tc>
          <w:tcPr>
            <w:tcW w:w="70" w:type="pct"/>
            <w:tcBorders>
              <w:top w:val="nil"/>
              <w:left w:val="nil"/>
              <w:bottom w:val="nil"/>
              <w:right w:val="nil"/>
            </w:tcBorders>
            <w:shd w:val="clear" w:color="auto" w:fill="auto"/>
            <w:noWrap/>
            <w:vAlign w:val="bottom"/>
            <w:hideMark/>
          </w:tcPr>
          <w:p w14:paraId="57306E5C" w14:textId="77777777" w:rsidR="00AA1F87" w:rsidRPr="00AA1F87" w:rsidRDefault="00AA1F87" w:rsidP="00AA1F87">
            <w:pPr>
              <w:spacing w:after="0" w:line="240" w:lineRule="auto"/>
              <w:jc w:val="center"/>
              <w:rPr>
                <w:rFonts w:ascii="Arial" w:eastAsia="Times New Roman" w:hAnsi="Arial" w:cs="Arial"/>
                <w:b/>
                <w:bCs/>
                <w:color w:val="000000"/>
                <w:kern w:val="0"/>
                <w:sz w:val="15"/>
                <w:szCs w:val="15"/>
                <w:lang w:eastAsia="pt-BR"/>
                <w14:ligatures w14:val="none"/>
              </w:rPr>
            </w:pPr>
          </w:p>
        </w:tc>
        <w:tc>
          <w:tcPr>
            <w:tcW w:w="393" w:type="pct"/>
            <w:tcBorders>
              <w:top w:val="nil"/>
              <w:left w:val="nil"/>
              <w:bottom w:val="nil"/>
              <w:right w:val="nil"/>
            </w:tcBorders>
            <w:shd w:val="clear" w:color="auto" w:fill="auto"/>
            <w:noWrap/>
            <w:vAlign w:val="bottom"/>
            <w:hideMark/>
          </w:tcPr>
          <w:p w14:paraId="78069FDA"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393" w:type="pct"/>
            <w:tcBorders>
              <w:top w:val="nil"/>
              <w:left w:val="nil"/>
              <w:bottom w:val="nil"/>
              <w:right w:val="nil"/>
            </w:tcBorders>
            <w:shd w:val="clear" w:color="auto" w:fill="auto"/>
            <w:noWrap/>
            <w:vAlign w:val="bottom"/>
            <w:hideMark/>
          </w:tcPr>
          <w:p w14:paraId="312F65A2"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70" w:type="pct"/>
            <w:tcBorders>
              <w:top w:val="nil"/>
              <w:left w:val="nil"/>
              <w:bottom w:val="nil"/>
              <w:right w:val="nil"/>
            </w:tcBorders>
            <w:shd w:val="clear" w:color="auto" w:fill="auto"/>
            <w:noWrap/>
            <w:vAlign w:val="bottom"/>
            <w:hideMark/>
          </w:tcPr>
          <w:p w14:paraId="025AC003"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309" w:type="pct"/>
            <w:tcBorders>
              <w:top w:val="nil"/>
              <w:left w:val="nil"/>
              <w:bottom w:val="nil"/>
              <w:right w:val="nil"/>
            </w:tcBorders>
            <w:shd w:val="clear" w:color="auto" w:fill="auto"/>
            <w:noWrap/>
            <w:vAlign w:val="bottom"/>
            <w:hideMark/>
          </w:tcPr>
          <w:p w14:paraId="6E84E37E"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r>
      <w:tr w:rsidR="00AA1F87" w:rsidRPr="00AA1F87" w14:paraId="3D9D0BFB" w14:textId="77777777" w:rsidTr="00446A14">
        <w:trPr>
          <w:trHeight w:val="43"/>
        </w:trPr>
        <w:tc>
          <w:tcPr>
            <w:tcW w:w="1619" w:type="pct"/>
            <w:tcBorders>
              <w:top w:val="nil"/>
              <w:left w:val="nil"/>
              <w:bottom w:val="nil"/>
              <w:right w:val="nil"/>
            </w:tcBorders>
            <w:shd w:val="clear" w:color="auto" w:fill="auto"/>
            <w:noWrap/>
            <w:vAlign w:val="bottom"/>
            <w:hideMark/>
          </w:tcPr>
          <w:p w14:paraId="6C4EC334"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413" w:type="pct"/>
            <w:tcBorders>
              <w:top w:val="nil"/>
              <w:left w:val="nil"/>
              <w:bottom w:val="nil"/>
              <w:right w:val="nil"/>
            </w:tcBorders>
            <w:shd w:val="clear" w:color="auto" w:fill="auto"/>
            <w:noWrap/>
            <w:vAlign w:val="bottom"/>
            <w:hideMark/>
          </w:tcPr>
          <w:p w14:paraId="24A3A47E"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413" w:type="pct"/>
            <w:tcBorders>
              <w:top w:val="nil"/>
              <w:left w:val="nil"/>
              <w:bottom w:val="nil"/>
              <w:right w:val="nil"/>
            </w:tcBorders>
            <w:shd w:val="clear" w:color="auto" w:fill="auto"/>
            <w:noWrap/>
            <w:vAlign w:val="bottom"/>
            <w:hideMark/>
          </w:tcPr>
          <w:p w14:paraId="34EA4054"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393" w:type="pct"/>
            <w:tcBorders>
              <w:top w:val="nil"/>
              <w:left w:val="nil"/>
              <w:bottom w:val="nil"/>
              <w:right w:val="nil"/>
            </w:tcBorders>
            <w:shd w:val="clear" w:color="auto" w:fill="auto"/>
            <w:noWrap/>
            <w:vAlign w:val="bottom"/>
            <w:hideMark/>
          </w:tcPr>
          <w:p w14:paraId="19B2A618"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76" w:type="pct"/>
            <w:tcBorders>
              <w:top w:val="nil"/>
              <w:left w:val="nil"/>
              <w:bottom w:val="nil"/>
              <w:right w:val="nil"/>
            </w:tcBorders>
            <w:shd w:val="clear" w:color="auto" w:fill="auto"/>
            <w:noWrap/>
            <w:vAlign w:val="bottom"/>
            <w:hideMark/>
          </w:tcPr>
          <w:p w14:paraId="759A9672"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398" w:type="pct"/>
            <w:tcBorders>
              <w:top w:val="nil"/>
              <w:left w:val="nil"/>
              <w:bottom w:val="nil"/>
              <w:right w:val="nil"/>
            </w:tcBorders>
            <w:shd w:val="clear" w:color="auto" w:fill="auto"/>
            <w:noWrap/>
            <w:vAlign w:val="bottom"/>
            <w:hideMark/>
          </w:tcPr>
          <w:p w14:paraId="468A884D"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453" w:type="pct"/>
            <w:tcBorders>
              <w:top w:val="nil"/>
              <w:left w:val="nil"/>
              <w:bottom w:val="nil"/>
              <w:right w:val="nil"/>
            </w:tcBorders>
            <w:shd w:val="clear" w:color="auto" w:fill="auto"/>
            <w:noWrap/>
            <w:vAlign w:val="bottom"/>
            <w:hideMark/>
          </w:tcPr>
          <w:p w14:paraId="4B9BD999"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70" w:type="pct"/>
            <w:tcBorders>
              <w:top w:val="nil"/>
              <w:left w:val="nil"/>
              <w:bottom w:val="nil"/>
              <w:right w:val="nil"/>
            </w:tcBorders>
            <w:shd w:val="clear" w:color="auto" w:fill="auto"/>
            <w:noWrap/>
            <w:vAlign w:val="bottom"/>
            <w:hideMark/>
          </w:tcPr>
          <w:p w14:paraId="34F7A470"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393" w:type="pct"/>
            <w:tcBorders>
              <w:top w:val="nil"/>
              <w:left w:val="nil"/>
              <w:bottom w:val="nil"/>
              <w:right w:val="nil"/>
            </w:tcBorders>
            <w:shd w:val="clear" w:color="auto" w:fill="auto"/>
            <w:noWrap/>
            <w:vAlign w:val="bottom"/>
            <w:hideMark/>
          </w:tcPr>
          <w:p w14:paraId="1B6C3F12"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393" w:type="pct"/>
            <w:tcBorders>
              <w:top w:val="nil"/>
              <w:left w:val="nil"/>
              <w:bottom w:val="nil"/>
              <w:right w:val="nil"/>
            </w:tcBorders>
            <w:shd w:val="clear" w:color="auto" w:fill="auto"/>
            <w:noWrap/>
            <w:vAlign w:val="bottom"/>
            <w:hideMark/>
          </w:tcPr>
          <w:p w14:paraId="22BC5BF9"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70" w:type="pct"/>
            <w:tcBorders>
              <w:top w:val="nil"/>
              <w:left w:val="nil"/>
              <w:bottom w:val="nil"/>
              <w:right w:val="nil"/>
            </w:tcBorders>
            <w:shd w:val="clear" w:color="auto" w:fill="auto"/>
            <w:noWrap/>
            <w:vAlign w:val="bottom"/>
            <w:hideMark/>
          </w:tcPr>
          <w:p w14:paraId="2F212F68"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309" w:type="pct"/>
            <w:tcBorders>
              <w:top w:val="nil"/>
              <w:left w:val="nil"/>
              <w:bottom w:val="nil"/>
              <w:right w:val="nil"/>
            </w:tcBorders>
            <w:shd w:val="clear" w:color="auto" w:fill="auto"/>
            <w:noWrap/>
            <w:vAlign w:val="bottom"/>
            <w:hideMark/>
          </w:tcPr>
          <w:p w14:paraId="27247B5B"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r>
      <w:tr w:rsidR="00AA1F87" w:rsidRPr="00AA1F87" w14:paraId="28294732" w14:textId="77777777" w:rsidTr="00446A14">
        <w:trPr>
          <w:trHeight w:val="198"/>
        </w:trPr>
        <w:tc>
          <w:tcPr>
            <w:tcW w:w="1619" w:type="pct"/>
            <w:tcBorders>
              <w:top w:val="nil"/>
              <w:left w:val="nil"/>
              <w:bottom w:val="nil"/>
              <w:right w:val="nil"/>
            </w:tcBorders>
            <w:shd w:val="clear" w:color="000000" w:fill="75F6F9"/>
            <w:vAlign w:val="center"/>
            <w:hideMark/>
          </w:tcPr>
          <w:p w14:paraId="4CE15F52" w14:textId="77777777" w:rsidR="00AA1F87" w:rsidRPr="00AA1F87" w:rsidRDefault="00AA1F87" w:rsidP="00AA1F87">
            <w:pPr>
              <w:spacing w:after="0" w:line="240" w:lineRule="auto"/>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R$ mil</w:t>
            </w:r>
          </w:p>
        </w:tc>
        <w:tc>
          <w:tcPr>
            <w:tcW w:w="413" w:type="pct"/>
            <w:tcBorders>
              <w:top w:val="nil"/>
              <w:left w:val="nil"/>
              <w:bottom w:val="nil"/>
              <w:right w:val="nil"/>
            </w:tcBorders>
            <w:shd w:val="clear" w:color="000000" w:fill="75F6F9"/>
            <w:noWrap/>
            <w:vAlign w:val="center"/>
            <w:hideMark/>
          </w:tcPr>
          <w:p w14:paraId="7D129D09" w14:textId="77777777" w:rsidR="00AA1F87" w:rsidRPr="00AA1F87" w:rsidRDefault="00AA1F87" w:rsidP="00AA1F87">
            <w:pPr>
              <w:spacing w:after="0" w:line="240" w:lineRule="auto"/>
              <w:jc w:val="center"/>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4T23</w:t>
            </w:r>
          </w:p>
        </w:tc>
        <w:tc>
          <w:tcPr>
            <w:tcW w:w="413" w:type="pct"/>
            <w:tcBorders>
              <w:top w:val="nil"/>
              <w:left w:val="nil"/>
              <w:bottom w:val="nil"/>
              <w:right w:val="nil"/>
            </w:tcBorders>
            <w:shd w:val="clear" w:color="000000" w:fill="75F6F9"/>
            <w:noWrap/>
            <w:vAlign w:val="center"/>
            <w:hideMark/>
          </w:tcPr>
          <w:p w14:paraId="4E1F50B7" w14:textId="77777777" w:rsidR="00AA1F87" w:rsidRPr="00AA1F87" w:rsidRDefault="00AA1F87" w:rsidP="00AA1F87">
            <w:pPr>
              <w:spacing w:after="0" w:line="240" w:lineRule="auto"/>
              <w:jc w:val="center"/>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4T22</w:t>
            </w:r>
          </w:p>
        </w:tc>
        <w:tc>
          <w:tcPr>
            <w:tcW w:w="393" w:type="pct"/>
            <w:tcBorders>
              <w:top w:val="nil"/>
              <w:left w:val="nil"/>
              <w:bottom w:val="nil"/>
              <w:right w:val="nil"/>
            </w:tcBorders>
            <w:shd w:val="clear" w:color="000000" w:fill="75F6F9"/>
            <w:noWrap/>
            <w:vAlign w:val="center"/>
            <w:hideMark/>
          </w:tcPr>
          <w:p w14:paraId="22684C6E" w14:textId="77777777" w:rsidR="00AA1F87" w:rsidRPr="00AA1F87" w:rsidRDefault="00AA1F87" w:rsidP="00AA1F87">
            <w:pPr>
              <w:spacing w:after="0" w:line="240" w:lineRule="auto"/>
              <w:jc w:val="center"/>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3T23</w:t>
            </w:r>
          </w:p>
        </w:tc>
        <w:tc>
          <w:tcPr>
            <w:tcW w:w="76" w:type="pct"/>
            <w:tcBorders>
              <w:top w:val="nil"/>
              <w:left w:val="nil"/>
              <w:bottom w:val="nil"/>
              <w:right w:val="nil"/>
            </w:tcBorders>
            <w:shd w:val="clear" w:color="auto" w:fill="auto"/>
            <w:noWrap/>
            <w:vAlign w:val="bottom"/>
            <w:hideMark/>
          </w:tcPr>
          <w:p w14:paraId="1648EA89" w14:textId="77777777" w:rsidR="00AA1F87" w:rsidRPr="00AA1F87" w:rsidRDefault="00AA1F87" w:rsidP="00AA1F87">
            <w:pPr>
              <w:spacing w:after="0" w:line="240" w:lineRule="auto"/>
              <w:jc w:val="center"/>
              <w:rPr>
                <w:rFonts w:ascii="Arial" w:eastAsia="Times New Roman" w:hAnsi="Arial" w:cs="Arial"/>
                <w:b/>
                <w:bCs/>
                <w:color w:val="000000"/>
                <w:kern w:val="0"/>
                <w:sz w:val="15"/>
                <w:szCs w:val="15"/>
                <w:lang w:eastAsia="pt-BR"/>
                <w14:ligatures w14:val="none"/>
              </w:rPr>
            </w:pPr>
          </w:p>
        </w:tc>
        <w:tc>
          <w:tcPr>
            <w:tcW w:w="398" w:type="pct"/>
            <w:tcBorders>
              <w:top w:val="nil"/>
              <w:left w:val="nil"/>
              <w:bottom w:val="nil"/>
              <w:right w:val="nil"/>
            </w:tcBorders>
            <w:shd w:val="clear" w:color="000000" w:fill="75F6F9"/>
            <w:noWrap/>
            <w:vAlign w:val="center"/>
            <w:hideMark/>
          </w:tcPr>
          <w:p w14:paraId="065A43B1" w14:textId="77777777" w:rsidR="00AA1F87" w:rsidRPr="00AA1F87" w:rsidRDefault="00AA1F87" w:rsidP="00AA1F87">
            <w:pPr>
              <w:spacing w:after="0" w:line="240" w:lineRule="auto"/>
              <w:jc w:val="center"/>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Δ Ano</w:t>
            </w:r>
          </w:p>
        </w:tc>
        <w:tc>
          <w:tcPr>
            <w:tcW w:w="453" w:type="pct"/>
            <w:tcBorders>
              <w:top w:val="nil"/>
              <w:left w:val="nil"/>
              <w:bottom w:val="nil"/>
              <w:right w:val="nil"/>
            </w:tcBorders>
            <w:shd w:val="clear" w:color="000000" w:fill="75F6F9"/>
            <w:noWrap/>
            <w:vAlign w:val="center"/>
            <w:hideMark/>
          </w:tcPr>
          <w:p w14:paraId="4FE3A070" w14:textId="77777777" w:rsidR="00AA1F87" w:rsidRPr="00AA1F87" w:rsidRDefault="00AA1F87" w:rsidP="00AA1F87">
            <w:pPr>
              <w:spacing w:after="0" w:line="240" w:lineRule="auto"/>
              <w:jc w:val="center"/>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Δ Trim.</w:t>
            </w:r>
          </w:p>
        </w:tc>
        <w:tc>
          <w:tcPr>
            <w:tcW w:w="70" w:type="pct"/>
            <w:tcBorders>
              <w:top w:val="nil"/>
              <w:left w:val="nil"/>
              <w:bottom w:val="nil"/>
              <w:right w:val="nil"/>
            </w:tcBorders>
            <w:shd w:val="clear" w:color="auto" w:fill="auto"/>
            <w:noWrap/>
            <w:vAlign w:val="bottom"/>
            <w:hideMark/>
          </w:tcPr>
          <w:p w14:paraId="6A8EB8EF" w14:textId="77777777" w:rsidR="00AA1F87" w:rsidRPr="00AA1F87" w:rsidRDefault="00AA1F87" w:rsidP="00AA1F87">
            <w:pPr>
              <w:spacing w:after="0" w:line="240" w:lineRule="auto"/>
              <w:jc w:val="center"/>
              <w:rPr>
                <w:rFonts w:ascii="Arial" w:eastAsia="Times New Roman" w:hAnsi="Arial" w:cs="Arial"/>
                <w:b/>
                <w:bCs/>
                <w:color w:val="000000"/>
                <w:kern w:val="0"/>
                <w:sz w:val="15"/>
                <w:szCs w:val="15"/>
                <w:lang w:eastAsia="pt-BR"/>
                <w14:ligatures w14:val="none"/>
              </w:rPr>
            </w:pPr>
          </w:p>
        </w:tc>
        <w:tc>
          <w:tcPr>
            <w:tcW w:w="393" w:type="pct"/>
            <w:tcBorders>
              <w:top w:val="nil"/>
              <w:left w:val="nil"/>
              <w:bottom w:val="nil"/>
              <w:right w:val="nil"/>
            </w:tcBorders>
            <w:shd w:val="clear" w:color="000000" w:fill="75F6F9"/>
            <w:noWrap/>
            <w:vAlign w:val="center"/>
            <w:hideMark/>
          </w:tcPr>
          <w:p w14:paraId="00599746" w14:textId="77777777" w:rsidR="00AA1F87" w:rsidRPr="00AA1F87" w:rsidRDefault="00AA1F87" w:rsidP="00AA1F87">
            <w:pPr>
              <w:spacing w:after="0" w:line="240" w:lineRule="auto"/>
              <w:jc w:val="center"/>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2023</w:t>
            </w:r>
          </w:p>
        </w:tc>
        <w:tc>
          <w:tcPr>
            <w:tcW w:w="393" w:type="pct"/>
            <w:tcBorders>
              <w:top w:val="nil"/>
              <w:left w:val="nil"/>
              <w:bottom w:val="nil"/>
              <w:right w:val="nil"/>
            </w:tcBorders>
            <w:shd w:val="clear" w:color="000000" w:fill="75F6F9"/>
            <w:noWrap/>
            <w:vAlign w:val="center"/>
            <w:hideMark/>
          </w:tcPr>
          <w:p w14:paraId="080D01DE" w14:textId="77777777" w:rsidR="00AA1F87" w:rsidRPr="00AA1F87" w:rsidRDefault="00AA1F87" w:rsidP="00AA1F87">
            <w:pPr>
              <w:spacing w:after="0" w:line="240" w:lineRule="auto"/>
              <w:jc w:val="center"/>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2022</w:t>
            </w:r>
          </w:p>
        </w:tc>
        <w:tc>
          <w:tcPr>
            <w:tcW w:w="70" w:type="pct"/>
            <w:tcBorders>
              <w:top w:val="nil"/>
              <w:left w:val="nil"/>
              <w:bottom w:val="nil"/>
              <w:right w:val="nil"/>
            </w:tcBorders>
            <w:shd w:val="clear" w:color="auto" w:fill="auto"/>
            <w:noWrap/>
            <w:vAlign w:val="bottom"/>
            <w:hideMark/>
          </w:tcPr>
          <w:p w14:paraId="760D6648" w14:textId="77777777" w:rsidR="00AA1F87" w:rsidRPr="00AA1F87" w:rsidRDefault="00AA1F87" w:rsidP="00AA1F87">
            <w:pPr>
              <w:spacing w:after="0" w:line="240" w:lineRule="auto"/>
              <w:jc w:val="center"/>
              <w:rPr>
                <w:rFonts w:ascii="Arial" w:eastAsia="Times New Roman" w:hAnsi="Arial" w:cs="Arial"/>
                <w:b/>
                <w:bCs/>
                <w:color w:val="000000"/>
                <w:kern w:val="0"/>
                <w:sz w:val="15"/>
                <w:szCs w:val="15"/>
                <w:lang w:eastAsia="pt-BR"/>
                <w14:ligatures w14:val="none"/>
              </w:rPr>
            </w:pPr>
          </w:p>
        </w:tc>
        <w:tc>
          <w:tcPr>
            <w:tcW w:w="309" w:type="pct"/>
            <w:tcBorders>
              <w:top w:val="nil"/>
              <w:left w:val="nil"/>
              <w:bottom w:val="nil"/>
              <w:right w:val="nil"/>
            </w:tcBorders>
            <w:shd w:val="clear" w:color="000000" w:fill="75F6F9"/>
            <w:noWrap/>
            <w:vAlign w:val="center"/>
            <w:hideMark/>
          </w:tcPr>
          <w:p w14:paraId="7B19CF0E" w14:textId="77777777" w:rsidR="00AA1F87" w:rsidRPr="00AA1F87" w:rsidRDefault="00AA1F87" w:rsidP="00AA1F87">
            <w:pPr>
              <w:spacing w:after="0" w:line="240" w:lineRule="auto"/>
              <w:jc w:val="center"/>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Δ Ano</w:t>
            </w:r>
          </w:p>
        </w:tc>
      </w:tr>
      <w:tr w:rsidR="00AA1F87" w:rsidRPr="00AA1F87" w14:paraId="075B8CE9" w14:textId="77777777" w:rsidTr="00446A14">
        <w:trPr>
          <w:trHeight w:val="198"/>
        </w:trPr>
        <w:tc>
          <w:tcPr>
            <w:tcW w:w="1619" w:type="pct"/>
            <w:tcBorders>
              <w:top w:val="nil"/>
              <w:left w:val="nil"/>
              <w:bottom w:val="nil"/>
              <w:right w:val="nil"/>
            </w:tcBorders>
            <w:shd w:val="clear" w:color="auto" w:fill="auto"/>
            <w:noWrap/>
            <w:vAlign w:val="center"/>
            <w:hideMark/>
          </w:tcPr>
          <w:p w14:paraId="529D0D6C" w14:textId="77777777" w:rsidR="00AA1F87" w:rsidRPr="00AA1F87" w:rsidRDefault="00AA1F87" w:rsidP="00AA1F87">
            <w:pPr>
              <w:spacing w:after="0" w:line="240" w:lineRule="auto"/>
              <w:rPr>
                <w:rFonts w:ascii="Arial" w:eastAsia="Times New Roman" w:hAnsi="Arial" w:cs="Arial"/>
                <w:color w:val="000000"/>
                <w:kern w:val="0"/>
                <w:sz w:val="15"/>
                <w:szCs w:val="15"/>
                <w:lang w:eastAsia="pt-BR"/>
                <w14:ligatures w14:val="none"/>
              </w:rPr>
            </w:pPr>
            <w:proofErr w:type="gramStart"/>
            <w:r w:rsidRPr="00AA1F87">
              <w:rPr>
                <w:rFonts w:ascii="Arial" w:eastAsia="Times New Roman" w:hAnsi="Arial" w:cs="Arial"/>
                <w:color w:val="000000"/>
                <w:kern w:val="0"/>
                <w:sz w:val="15"/>
                <w:szCs w:val="15"/>
                <w:lang w:eastAsia="pt-BR"/>
                <w14:ligatures w14:val="none"/>
              </w:rPr>
              <w:t>Prejuízo  Líquido</w:t>
            </w:r>
            <w:proofErr w:type="gramEnd"/>
            <w:r w:rsidRPr="00AA1F87">
              <w:rPr>
                <w:rFonts w:ascii="Arial" w:eastAsia="Times New Roman" w:hAnsi="Arial" w:cs="Arial"/>
                <w:color w:val="000000"/>
                <w:kern w:val="0"/>
                <w:sz w:val="15"/>
                <w:szCs w:val="15"/>
                <w:lang w:eastAsia="pt-BR"/>
                <w14:ligatures w14:val="none"/>
              </w:rPr>
              <w:t xml:space="preserve"> do Período</w:t>
            </w:r>
          </w:p>
        </w:tc>
        <w:tc>
          <w:tcPr>
            <w:tcW w:w="413" w:type="pct"/>
            <w:tcBorders>
              <w:top w:val="nil"/>
              <w:left w:val="nil"/>
              <w:bottom w:val="nil"/>
              <w:right w:val="nil"/>
            </w:tcBorders>
            <w:shd w:val="clear" w:color="000000" w:fill="D9E1F2"/>
            <w:noWrap/>
            <w:vAlign w:val="center"/>
            <w:hideMark/>
          </w:tcPr>
          <w:p w14:paraId="6E18D447"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(52.106)</w:t>
            </w:r>
          </w:p>
        </w:tc>
        <w:tc>
          <w:tcPr>
            <w:tcW w:w="413" w:type="pct"/>
            <w:tcBorders>
              <w:top w:val="nil"/>
              <w:left w:val="nil"/>
              <w:bottom w:val="nil"/>
              <w:right w:val="nil"/>
            </w:tcBorders>
            <w:shd w:val="clear" w:color="auto" w:fill="auto"/>
            <w:noWrap/>
            <w:vAlign w:val="center"/>
            <w:hideMark/>
          </w:tcPr>
          <w:p w14:paraId="4994A526"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(1.489)</w:t>
            </w:r>
          </w:p>
        </w:tc>
        <w:tc>
          <w:tcPr>
            <w:tcW w:w="393" w:type="pct"/>
            <w:tcBorders>
              <w:top w:val="nil"/>
              <w:left w:val="nil"/>
              <w:bottom w:val="nil"/>
              <w:right w:val="nil"/>
            </w:tcBorders>
            <w:shd w:val="clear" w:color="auto" w:fill="auto"/>
            <w:noWrap/>
            <w:vAlign w:val="center"/>
            <w:hideMark/>
          </w:tcPr>
          <w:p w14:paraId="6690784C"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(91.302)</w:t>
            </w:r>
          </w:p>
        </w:tc>
        <w:tc>
          <w:tcPr>
            <w:tcW w:w="76" w:type="pct"/>
            <w:tcBorders>
              <w:top w:val="nil"/>
              <w:left w:val="nil"/>
              <w:bottom w:val="nil"/>
              <w:right w:val="nil"/>
            </w:tcBorders>
            <w:shd w:val="clear" w:color="auto" w:fill="auto"/>
            <w:noWrap/>
            <w:vAlign w:val="center"/>
            <w:hideMark/>
          </w:tcPr>
          <w:p w14:paraId="4F63DF1D"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98" w:type="pct"/>
            <w:tcBorders>
              <w:top w:val="nil"/>
              <w:left w:val="nil"/>
              <w:bottom w:val="nil"/>
              <w:right w:val="nil"/>
            </w:tcBorders>
            <w:shd w:val="clear" w:color="auto" w:fill="auto"/>
            <w:vAlign w:val="center"/>
            <w:hideMark/>
          </w:tcPr>
          <w:p w14:paraId="45733DC4"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3399,4%</w:t>
            </w:r>
          </w:p>
        </w:tc>
        <w:tc>
          <w:tcPr>
            <w:tcW w:w="453" w:type="pct"/>
            <w:tcBorders>
              <w:top w:val="nil"/>
              <w:left w:val="nil"/>
              <w:bottom w:val="nil"/>
              <w:right w:val="nil"/>
            </w:tcBorders>
            <w:shd w:val="clear" w:color="auto" w:fill="auto"/>
            <w:vAlign w:val="center"/>
            <w:hideMark/>
          </w:tcPr>
          <w:p w14:paraId="7115670F"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-42,9%</w:t>
            </w:r>
          </w:p>
        </w:tc>
        <w:tc>
          <w:tcPr>
            <w:tcW w:w="70" w:type="pct"/>
            <w:tcBorders>
              <w:top w:val="nil"/>
              <w:left w:val="nil"/>
              <w:bottom w:val="nil"/>
              <w:right w:val="nil"/>
            </w:tcBorders>
            <w:shd w:val="clear" w:color="auto" w:fill="auto"/>
            <w:noWrap/>
            <w:vAlign w:val="bottom"/>
            <w:hideMark/>
          </w:tcPr>
          <w:p w14:paraId="5D1FA900"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93" w:type="pct"/>
            <w:tcBorders>
              <w:top w:val="nil"/>
              <w:left w:val="nil"/>
              <w:bottom w:val="nil"/>
              <w:right w:val="nil"/>
            </w:tcBorders>
            <w:shd w:val="clear" w:color="000000" w:fill="D9E1F2"/>
            <w:noWrap/>
            <w:vAlign w:val="center"/>
            <w:hideMark/>
          </w:tcPr>
          <w:p w14:paraId="22A35D43"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(127.357)</w:t>
            </w:r>
          </w:p>
        </w:tc>
        <w:tc>
          <w:tcPr>
            <w:tcW w:w="393" w:type="pct"/>
            <w:tcBorders>
              <w:top w:val="nil"/>
              <w:left w:val="nil"/>
              <w:bottom w:val="nil"/>
              <w:right w:val="nil"/>
            </w:tcBorders>
            <w:shd w:val="clear" w:color="auto" w:fill="auto"/>
            <w:noWrap/>
            <w:vAlign w:val="center"/>
            <w:hideMark/>
          </w:tcPr>
          <w:p w14:paraId="703D9B45"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(168.459)</w:t>
            </w:r>
          </w:p>
        </w:tc>
        <w:tc>
          <w:tcPr>
            <w:tcW w:w="70" w:type="pct"/>
            <w:tcBorders>
              <w:top w:val="nil"/>
              <w:left w:val="nil"/>
              <w:bottom w:val="nil"/>
              <w:right w:val="nil"/>
            </w:tcBorders>
            <w:shd w:val="clear" w:color="auto" w:fill="auto"/>
            <w:noWrap/>
            <w:vAlign w:val="bottom"/>
            <w:hideMark/>
          </w:tcPr>
          <w:p w14:paraId="067A8E4C"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09" w:type="pct"/>
            <w:tcBorders>
              <w:top w:val="nil"/>
              <w:left w:val="nil"/>
              <w:bottom w:val="nil"/>
              <w:right w:val="nil"/>
            </w:tcBorders>
            <w:shd w:val="clear" w:color="auto" w:fill="auto"/>
            <w:vAlign w:val="center"/>
            <w:hideMark/>
          </w:tcPr>
          <w:p w14:paraId="26B1A033"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-24,4%</w:t>
            </w:r>
          </w:p>
        </w:tc>
      </w:tr>
      <w:tr w:rsidR="00AA1F87" w:rsidRPr="00AA1F87" w14:paraId="362F5BBC" w14:textId="77777777" w:rsidTr="00446A14">
        <w:trPr>
          <w:trHeight w:val="198"/>
        </w:trPr>
        <w:tc>
          <w:tcPr>
            <w:tcW w:w="1619" w:type="pct"/>
            <w:tcBorders>
              <w:top w:val="nil"/>
              <w:left w:val="nil"/>
              <w:bottom w:val="nil"/>
              <w:right w:val="nil"/>
            </w:tcBorders>
            <w:shd w:val="clear" w:color="auto" w:fill="auto"/>
            <w:noWrap/>
            <w:vAlign w:val="center"/>
            <w:hideMark/>
          </w:tcPr>
          <w:p w14:paraId="5E398BF4" w14:textId="77777777" w:rsidR="00AA1F87" w:rsidRPr="00AA1F87" w:rsidRDefault="00AA1F87" w:rsidP="00AA1F87">
            <w:pPr>
              <w:spacing w:after="0" w:line="240" w:lineRule="auto"/>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Resultado Financeiro</w:t>
            </w:r>
          </w:p>
        </w:tc>
        <w:tc>
          <w:tcPr>
            <w:tcW w:w="413" w:type="pct"/>
            <w:tcBorders>
              <w:top w:val="nil"/>
              <w:left w:val="nil"/>
              <w:bottom w:val="nil"/>
              <w:right w:val="nil"/>
            </w:tcBorders>
            <w:shd w:val="clear" w:color="000000" w:fill="D9E1F2"/>
            <w:noWrap/>
            <w:vAlign w:val="center"/>
            <w:hideMark/>
          </w:tcPr>
          <w:p w14:paraId="60BAEA27"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27.915 </w:t>
            </w:r>
          </w:p>
        </w:tc>
        <w:tc>
          <w:tcPr>
            <w:tcW w:w="413" w:type="pct"/>
            <w:tcBorders>
              <w:top w:val="nil"/>
              <w:left w:val="nil"/>
              <w:bottom w:val="nil"/>
              <w:right w:val="nil"/>
            </w:tcBorders>
            <w:shd w:val="clear" w:color="auto" w:fill="auto"/>
            <w:noWrap/>
            <w:vAlign w:val="center"/>
            <w:hideMark/>
          </w:tcPr>
          <w:p w14:paraId="7DB5C430"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23.568 </w:t>
            </w:r>
          </w:p>
        </w:tc>
        <w:tc>
          <w:tcPr>
            <w:tcW w:w="393" w:type="pct"/>
            <w:tcBorders>
              <w:top w:val="nil"/>
              <w:left w:val="nil"/>
              <w:bottom w:val="nil"/>
              <w:right w:val="nil"/>
            </w:tcBorders>
            <w:shd w:val="clear" w:color="auto" w:fill="auto"/>
            <w:noWrap/>
            <w:vAlign w:val="center"/>
            <w:hideMark/>
          </w:tcPr>
          <w:p w14:paraId="41346677"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11.308 </w:t>
            </w:r>
          </w:p>
        </w:tc>
        <w:tc>
          <w:tcPr>
            <w:tcW w:w="76" w:type="pct"/>
            <w:tcBorders>
              <w:top w:val="nil"/>
              <w:left w:val="nil"/>
              <w:bottom w:val="nil"/>
              <w:right w:val="nil"/>
            </w:tcBorders>
            <w:shd w:val="clear" w:color="auto" w:fill="auto"/>
            <w:noWrap/>
            <w:vAlign w:val="center"/>
            <w:hideMark/>
          </w:tcPr>
          <w:p w14:paraId="124BB4FB"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98" w:type="pct"/>
            <w:tcBorders>
              <w:top w:val="nil"/>
              <w:left w:val="nil"/>
              <w:bottom w:val="nil"/>
              <w:right w:val="nil"/>
            </w:tcBorders>
            <w:shd w:val="clear" w:color="auto" w:fill="auto"/>
            <w:vAlign w:val="center"/>
            <w:hideMark/>
          </w:tcPr>
          <w:p w14:paraId="7D6ABB2D"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18,4%</w:t>
            </w:r>
          </w:p>
        </w:tc>
        <w:tc>
          <w:tcPr>
            <w:tcW w:w="453" w:type="pct"/>
            <w:tcBorders>
              <w:top w:val="nil"/>
              <w:left w:val="nil"/>
              <w:bottom w:val="nil"/>
              <w:right w:val="nil"/>
            </w:tcBorders>
            <w:shd w:val="clear" w:color="auto" w:fill="auto"/>
            <w:vAlign w:val="center"/>
            <w:hideMark/>
          </w:tcPr>
          <w:p w14:paraId="029B9DD2"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146,9%</w:t>
            </w:r>
          </w:p>
        </w:tc>
        <w:tc>
          <w:tcPr>
            <w:tcW w:w="70" w:type="pct"/>
            <w:tcBorders>
              <w:top w:val="nil"/>
              <w:left w:val="nil"/>
              <w:bottom w:val="nil"/>
              <w:right w:val="nil"/>
            </w:tcBorders>
            <w:shd w:val="clear" w:color="auto" w:fill="auto"/>
            <w:noWrap/>
            <w:vAlign w:val="bottom"/>
            <w:hideMark/>
          </w:tcPr>
          <w:p w14:paraId="27022721"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93" w:type="pct"/>
            <w:tcBorders>
              <w:top w:val="nil"/>
              <w:left w:val="nil"/>
              <w:bottom w:val="nil"/>
              <w:right w:val="nil"/>
            </w:tcBorders>
            <w:shd w:val="clear" w:color="000000" w:fill="D9E1F2"/>
            <w:noWrap/>
            <w:vAlign w:val="center"/>
            <w:hideMark/>
          </w:tcPr>
          <w:p w14:paraId="18A3EC6B"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59.950 </w:t>
            </w:r>
          </w:p>
        </w:tc>
        <w:tc>
          <w:tcPr>
            <w:tcW w:w="393" w:type="pct"/>
            <w:tcBorders>
              <w:top w:val="nil"/>
              <w:left w:val="nil"/>
              <w:bottom w:val="nil"/>
              <w:right w:val="nil"/>
            </w:tcBorders>
            <w:shd w:val="clear" w:color="auto" w:fill="auto"/>
            <w:noWrap/>
            <w:vAlign w:val="center"/>
            <w:hideMark/>
          </w:tcPr>
          <w:p w14:paraId="63B17DAA"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100.148 </w:t>
            </w:r>
          </w:p>
        </w:tc>
        <w:tc>
          <w:tcPr>
            <w:tcW w:w="70" w:type="pct"/>
            <w:tcBorders>
              <w:top w:val="nil"/>
              <w:left w:val="nil"/>
              <w:bottom w:val="nil"/>
              <w:right w:val="nil"/>
            </w:tcBorders>
            <w:shd w:val="clear" w:color="auto" w:fill="auto"/>
            <w:noWrap/>
            <w:vAlign w:val="bottom"/>
            <w:hideMark/>
          </w:tcPr>
          <w:p w14:paraId="2B2ED6D3"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09" w:type="pct"/>
            <w:tcBorders>
              <w:top w:val="nil"/>
              <w:left w:val="nil"/>
              <w:bottom w:val="nil"/>
              <w:right w:val="nil"/>
            </w:tcBorders>
            <w:shd w:val="clear" w:color="auto" w:fill="auto"/>
            <w:vAlign w:val="center"/>
            <w:hideMark/>
          </w:tcPr>
          <w:p w14:paraId="3EF41DFD"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-40,1%</w:t>
            </w:r>
          </w:p>
        </w:tc>
      </w:tr>
      <w:tr w:rsidR="00AA1F87" w:rsidRPr="00AA1F87" w14:paraId="38306BF6" w14:textId="77777777" w:rsidTr="00446A14">
        <w:trPr>
          <w:trHeight w:val="198"/>
        </w:trPr>
        <w:tc>
          <w:tcPr>
            <w:tcW w:w="1619" w:type="pct"/>
            <w:tcBorders>
              <w:top w:val="nil"/>
              <w:left w:val="nil"/>
              <w:bottom w:val="nil"/>
              <w:right w:val="nil"/>
            </w:tcBorders>
            <w:shd w:val="clear" w:color="auto" w:fill="auto"/>
            <w:noWrap/>
            <w:vAlign w:val="center"/>
            <w:hideMark/>
          </w:tcPr>
          <w:p w14:paraId="51DF198E" w14:textId="77777777" w:rsidR="00AA1F87" w:rsidRPr="00AA1F87" w:rsidRDefault="00AA1F87" w:rsidP="00AA1F87">
            <w:pPr>
              <w:spacing w:after="0" w:line="240" w:lineRule="auto"/>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Depreciação e Amortização</w:t>
            </w:r>
          </w:p>
        </w:tc>
        <w:tc>
          <w:tcPr>
            <w:tcW w:w="413" w:type="pct"/>
            <w:tcBorders>
              <w:top w:val="nil"/>
              <w:left w:val="nil"/>
              <w:bottom w:val="nil"/>
              <w:right w:val="nil"/>
            </w:tcBorders>
            <w:shd w:val="clear" w:color="000000" w:fill="D9E1F2"/>
            <w:noWrap/>
            <w:vAlign w:val="center"/>
            <w:hideMark/>
          </w:tcPr>
          <w:p w14:paraId="76E449C1"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66.586 </w:t>
            </w:r>
          </w:p>
        </w:tc>
        <w:tc>
          <w:tcPr>
            <w:tcW w:w="413" w:type="pct"/>
            <w:tcBorders>
              <w:top w:val="nil"/>
              <w:left w:val="nil"/>
              <w:bottom w:val="nil"/>
              <w:right w:val="nil"/>
            </w:tcBorders>
            <w:shd w:val="clear" w:color="auto" w:fill="auto"/>
            <w:noWrap/>
            <w:vAlign w:val="center"/>
            <w:hideMark/>
          </w:tcPr>
          <w:p w14:paraId="2EEE63E8"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60.833 </w:t>
            </w:r>
          </w:p>
        </w:tc>
        <w:tc>
          <w:tcPr>
            <w:tcW w:w="393" w:type="pct"/>
            <w:tcBorders>
              <w:top w:val="nil"/>
              <w:left w:val="nil"/>
              <w:bottom w:val="nil"/>
              <w:right w:val="nil"/>
            </w:tcBorders>
            <w:shd w:val="clear" w:color="auto" w:fill="auto"/>
            <w:noWrap/>
            <w:vAlign w:val="center"/>
            <w:hideMark/>
          </w:tcPr>
          <w:p w14:paraId="0A7B7940"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65.194 </w:t>
            </w:r>
          </w:p>
        </w:tc>
        <w:tc>
          <w:tcPr>
            <w:tcW w:w="76" w:type="pct"/>
            <w:tcBorders>
              <w:top w:val="nil"/>
              <w:left w:val="nil"/>
              <w:bottom w:val="nil"/>
              <w:right w:val="nil"/>
            </w:tcBorders>
            <w:shd w:val="clear" w:color="auto" w:fill="auto"/>
            <w:noWrap/>
            <w:vAlign w:val="center"/>
            <w:hideMark/>
          </w:tcPr>
          <w:p w14:paraId="3DE7480B"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98" w:type="pct"/>
            <w:tcBorders>
              <w:top w:val="nil"/>
              <w:left w:val="nil"/>
              <w:bottom w:val="nil"/>
              <w:right w:val="nil"/>
            </w:tcBorders>
            <w:shd w:val="clear" w:color="auto" w:fill="auto"/>
            <w:vAlign w:val="center"/>
            <w:hideMark/>
          </w:tcPr>
          <w:p w14:paraId="6CC3A5E2"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9,5%</w:t>
            </w:r>
          </w:p>
        </w:tc>
        <w:tc>
          <w:tcPr>
            <w:tcW w:w="453" w:type="pct"/>
            <w:tcBorders>
              <w:top w:val="nil"/>
              <w:left w:val="nil"/>
              <w:bottom w:val="nil"/>
              <w:right w:val="nil"/>
            </w:tcBorders>
            <w:shd w:val="clear" w:color="auto" w:fill="auto"/>
            <w:vAlign w:val="center"/>
            <w:hideMark/>
          </w:tcPr>
          <w:p w14:paraId="28BFD1C7"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2,1%</w:t>
            </w:r>
          </w:p>
        </w:tc>
        <w:tc>
          <w:tcPr>
            <w:tcW w:w="70" w:type="pct"/>
            <w:tcBorders>
              <w:top w:val="nil"/>
              <w:left w:val="nil"/>
              <w:bottom w:val="nil"/>
              <w:right w:val="nil"/>
            </w:tcBorders>
            <w:shd w:val="clear" w:color="auto" w:fill="auto"/>
            <w:noWrap/>
            <w:vAlign w:val="bottom"/>
            <w:hideMark/>
          </w:tcPr>
          <w:p w14:paraId="61DF90BD"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93" w:type="pct"/>
            <w:tcBorders>
              <w:top w:val="nil"/>
              <w:left w:val="nil"/>
              <w:bottom w:val="nil"/>
              <w:right w:val="nil"/>
            </w:tcBorders>
            <w:shd w:val="clear" w:color="000000" w:fill="D9E1F2"/>
            <w:noWrap/>
            <w:vAlign w:val="center"/>
            <w:hideMark/>
          </w:tcPr>
          <w:p w14:paraId="58C08D82"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253.540 </w:t>
            </w:r>
          </w:p>
        </w:tc>
        <w:tc>
          <w:tcPr>
            <w:tcW w:w="393" w:type="pct"/>
            <w:tcBorders>
              <w:top w:val="nil"/>
              <w:left w:val="nil"/>
              <w:bottom w:val="nil"/>
              <w:right w:val="nil"/>
            </w:tcBorders>
            <w:shd w:val="clear" w:color="auto" w:fill="auto"/>
            <w:noWrap/>
            <w:vAlign w:val="center"/>
            <w:hideMark/>
          </w:tcPr>
          <w:p w14:paraId="6E018ED0"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242.087 </w:t>
            </w:r>
          </w:p>
        </w:tc>
        <w:tc>
          <w:tcPr>
            <w:tcW w:w="70" w:type="pct"/>
            <w:tcBorders>
              <w:top w:val="nil"/>
              <w:left w:val="nil"/>
              <w:bottom w:val="nil"/>
              <w:right w:val="nil"/>
            </w:tcBorders>
            <w:shd w:val="clear" w:color="auto" w:fill="auto"/>
            <w:noWrap/>
            <w:vAlign w:val="bottom"/>
            <w:hideMark/>
          </w:tcPr>
          <w:p w14:paraId="4CD0B28E"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09" w:type="pct"/>
            <w:tcBorders>
              <w:top w:val="nil"/>
              <w:left w:val="nil"/>
              <w:bottom w:val="nil"/>
              <w:right w:val="nil"/>
            </w:tcBorders>
            <w:shd w:val="clear" w:color="auto" w:fill="auto"/>
            <w:vAlign w:val="center"/>
            <w:hideMark/>
          </w:tcPr>
          <w:p w14:paraId="7D5EC820"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4,7%</w:t>
            </w:r>
          </w:p>
        </w:tc>
      </w:tr>
      <w:tr w:rsidR="00AA1F87" w:rsidRPr="00AA1F87" w14:paraId="56147F58" w14:textId="77777777" w:rsidTr="00446A14">
        <w:trPr>
          <w:trHeight w:val="198"/>
        </w:trPr>
        <w:tc>
          <w:tcPr>
            <w:tcW w:w="1619" w:type="pct"/>
            <w:tcBorders>
              <w:top w:val="nil"/>
              <w:left w:val="nil"/>
              <w:bottom w:val="nil"/>
              <w:right w:val="nil"/>
            </w:tcBorders>
            <w:shd w:val="clear" w:color="000000" w:fill="75F6F9"/>
            <w:vAlign w:val="center"/>
            <w:hideMark/>
          </w:tcPr>
          <w:p w14:paraId="34AA8B6B" w14:textId="77777777" w:rsidR="00AA1F87" w:rsidRPr="00AA1F87" w:rsidRDefault="00AA1F87" w:rsidP="00AA1F87">
            <w:pPr>
              <w:spacing w:after="0" w:line="240" w:lineRule="auto"/>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EBITDA</w:t>
            </w:r>
          </w:p>
        </w:tc>
        <w:tc>
          <w:tcPr>
            <w:tcW w:w="413" w:type="pct"/>
            <w:tcBorders>
              <w:top w:val="nil"/>
              <w:left w:val="nil"/>
              <w:bottom w:val="nil"/>
              <w:right w:val="nil"/>
            </w:tcBorders>
            <w:shd w:val="clear" w:color="000000" w:fill="75F6F9"/>
            <w:noWrap/>
            <w:vAlign w:val="center"/>
            <w:hideMark/>
          </w:tcPr>
          <w:p w14:paraId="0DB3538D"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 xml:space="preserve">      42.395 </w:t>
            </w:r>
          </w:p>
        </w:tc>
        <w:tc>
          <w:tcPr>
            <w:tcW w:w="413" w:type="pct"/>
            <w:tcBorders>
              <w:top w:val="nil"/>
              <w:left w:val="nil"/>
              <w:bottom w:val="nil"/>
              <w:right w:val="nil"/>
            </w:tcBorders>
            <w:shd w:val="clear" w:color="000000" w:fill="75F6F9"/>
            <w:noWrap/>
            <w:vAlign w:val="center"/>
            <w:hideMark/>
          </w:tcPr>
          <w:p w14:paraId="33990D3C"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 xml:space="preserve">      82.912 </w:t>
            </w:r>
          </w:p>
        </w:tc>
        <w:tc>
          <w:tcPr>
            <w:tcW w:w="393" w:type="pct"/>
            <w:tcBorders>
              <w:top w:val="nil"/>
              <w:left w:val="nil"/>
              <w:bottom w:val="nil"/>
              <w:right w:val="nil"/>
            </w:tcBorders>
            <w:shd w:val="clear" w:color="000000" w:fill="75F6F9"/>
            <w:noWrap/>
            <w:vAlign w:val="center"/>
            <w:hideMark/>
          </w:tcPr>
          <w:p w14:paraId="119D7571"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 xml:space="preserve"> (14.800)</w:t>
            </w:r>
          </w:p>
        </w:tc>
        <w:tc>
          <w:tcPr>
            <w:tcW w:w="76" w:type="pct"/>
            <w:tcBorders>
              <w:top w:val="nil"/>
              <w:left w:val="nil"/>
              <w:bottom w:val="nil"/>
              <w:right w:val="nil"/>
            </w:tcBorders>
            <w:shd w:val="clear" w:color="auto" w:fill="auto"/>
            <w:noWrap/>
            <w:vAlign w:val="center"/>
            <w:hideMark/>
          </w:tcPr>
          <w:p w14:paraId="60AF1DD5"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p>
        </w:tc>
        <w:tc>
          <w:tcPr>
            <w:tcW w:w="398" w:type="pct"/>
            <w:tcBorders>
              <w:top w:val="nil"/>
              <w:left w:val="nil"/>
              <w:bottom w:val="nil"/>
              <w:right w:val="nil"/>
            </w:tcBorders>
            <w:shd w:val="clear" w:color="000000" w:fill="75F6F9"/>
            <w:vAlign w:val="center"/>
            <w:hideMark/>
          </w:tcPr>
          <w:p w14:paraId="39184D8B"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-48,9%</w:t>
            </w:r>
          </w:p>
        </w:tc>
        <w:tc>
          <w:tcPr>
            <w:tcW w:w="453" w:type="pct"/>
            <w:tcBorders>
              <w:top w:val="nil"/>
              <w:left w:val="nil"/>
              <w:bottom w:val="nil"/>
              <w:right w:val="nil"/>
            </w:tcBorders>
            <w:shd w:val="clear" w:color="000000" w:fill="75F6F9"/>
            <w:vAlign w:val="center"/>
            <w:hideMark/>
          </w:tcPr>
          <w:p w14:paraId="7463AD2D"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-386,5%</w:t>
            </w:r>
          </w:p>
        </w:tc>
        <w:tc>
          <w:tcPr>
            <w:tcW w:w="70" w:type="pct"/>
            <w:tcBorders>
              <w:top w:val="nil"/>
              <w:left w:val="nil"/>
              <w:bottom w:val="nil"/>
              <w:right w:val="nil"/>
            </w:tcBorders>
            <w:shd w:val="clear" w:color="auto" w:fill="auto"/>
            <w:noWrap/>
            <w:vAlign w:val="bottom"/>
            <w:hideMark/>
          </w:tcPr>
          <w:p w14:paraId="2EF795D4"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p>
        </w:tc>
        <w:tc>
          <w:tcPr>
            <w:tcW w:w="393" w:type="pct"/>
            <w:tcBorders>
              <w:top w:val="nil"/>
              <w:left w:val="nil"/>
              <w:bottom w:val="nil"/>
              <w:right w:val="nil"/>
            </w:tcBorders>
            <w:shd w:val="clear" w:color="000000" w:fill="75F6F9"/>
            <w:noWrap/>
            <w:vAlign w:val="center"/>
            <w:hideMark/>
          </w:tcPr>
          <w:p w14:paraId="6B3BB0DE"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 xml:space="preserve">   186.133 </w:t>
            </w:r>
          </w:p>
        </w:tc>
        <w:tc>
          <w:tcPr>
            <w:tcW w:w="393" w:type="pct"/>
            <w:tcBorders>
              <w:top w:val="nil"/>
              <w:left w:val="nil"/>
              <w:bottom w:val="nil"/>
              <w:right w:val="nil"/>
            </w:tcBorders>
            <w:shd w:val="clear" w:color="000000" w:fill="75F6F9"/>
            <w:noWrap/>
            <w:vAlign w:val="center"/>
            <w:hideMark/>
          </w:tcPr>
          <w:p w14:paraId="6BFD2018"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 xml:space="preserve">   173.776 </w:t>
            </w:r>
          </w:p>
        </w:tc>
        <w:tc>
          <w:tcPr>
            <w:tcW w:w="70" w:type="pct"/>
            <w:tcBorders>
              <w:top w:val="nil"/>
              <w:left w:val="nil"/>
              <w:bottom w:val="nil"/>
              <w:right w:val="nil"/>
            </w:tcBorders>
            <w:shd w:val="clear" w:color="auto" w:fill="auto"/>
            <w:noWrap/>
            <w:vAlign w:val="bottom"/>
            <w:hideMark/>
          </w:tcPr>
          <w:p w14:paraId="68C524D7"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p>
        </w:tc>
        <w:tc>
          <w:tcPr>
            <w:tcW w:w="309" w:type="pct"/>
            <w:tcBorders>
              <w:top w:val="nil"/>
              <w:left w:val="nil"/>
              <w:bottom w:val="nil"/>
              <w:right w:val="nil"/>
            </w:tcBorders>
            <w:shd w:val="clear" w:color="000000" w:fill="75F6F9"/>
            <w:vAlign w:val="center"/>
            <w:hideMark/>
          </w:tcPr>
          <w:p w14:paraId="6E232A23"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7,1%</w:t>
            </w:r>
          </w:p>
        </w:tc>
      </w:tr>
      <w:tr w:rsidR="00AA1F87" w:rsidRPr="00AA1F87" w14:paraId="750C846B" w14:textId="77777777" w:rsidTr="00446A14">
        <w:trPr>
          <w:trHeight w:val="198"/>
        </w:trPr>
        <w:tc>
          <w:tcPr>
            <w:tcW w:w="1619" w:type="pct"/>
            <w:tcBorders>
              <w:top w:val="nil"/>
              <w:left w:val="nil"/>
              <w:bottom w:val="nil"/>
              <w:right w:val="nil"/>
            </w:tcBorders>
            <w:shd w:val="clear" w:color="auto" w:fill="auto"/>
            <w:noWrap/>
            <w:vAlign w:val="center"/>
            <w:hideMark/>
          </w:tcPr>
          <w:p w14:paraId="6B662BE8" w14:textId="77777777" w:rsidR="00AA1F87" w:rsidRPr="00AA1F87" w:rsidRDefault="00AA1F87" w:rsidP="00AA1F87">
            <w:pPr>
              <w:spacing w:after="0" w:line="240" w:lineRule="auto"/>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Ajustes:</w:t>
            </w:r>
          </w:p>
        </w:tc>
        <w:tc>
          <w:tcPr>
            <w:tcW w:w="413" w:type="pct"/>
            <w:tcBorders>
              <w:top w:val="nil"/>
              <w:left w:val="nil"/>
              <w:bottom w:val="nil"/>
              <w:right w:val="nil"/>
            </w:tcBorders>
            <w:shd w:val="clear" w:color="000000" w:fill="D9E1F2"/>
            <w:noWrap/>
            <w:vAlign w:val="center"/>
            <w:hideMark/>
          </w:tcPr>
          <w:p w14:paraId="49AF546C"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 </w:t>
            </w:r>
          </w:p>
        </w:tc>
        <w:tc>
          <w:tcPr>
            <w:tcW w:w="413" w:type="pct"/>
            <w:tcBorders>
              <w:top w:val="nil"/>
              <w:left w:val="nil"/>
              <w:bottom w:val="nil"/>
              <w:right w:val="nil"/>
            </w:tcBorders>
            <w:shd w:val="clear" w:color="auto" w:fill="auto"/>
            <w:noWrap/>
            <w:vAlign w:val="center"/>
            <w:hideMark/>
          </w:tcPr>
          <w:p w14:paraId="664697DC"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p>
        </w:tc>
        <w:tc>
          <w:tcPr>
            <w:tcW w:w="393" w:type="pct"/>
            <w:tcBorders>
              <w:top w:val="nil"/>
              <w:left w:val="nil"/>
              <w:bottom w:val="nil"/>
              <w:right w:val="nil"/>
            </w:tcBorders>
            <w:shd w:val="clear" w:color="auto" w:fill="auto"/>
            <w:noWrap/>
            <w:vAlign w:val="center"/>
            <w:hideMark/>
          </w:tcPr>
          <w:p w14:paraId="3D3CD0F4"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76" w:type="pct"/>
            <w:tcBorders>
              <w:top w:val="nil"/>
              <w:left w:val="nil"/>
              <w:bottom w:val="nil"/>
              <w:right w:val="nil"/>
            </w:tcBorders>
            <w:shd w:val="clear" w:color="auto" w:fill="auto"/>
            <w:noWrap/>
            <w:vAlign w:val="center"/>
            <w:hideMark/>
          </w:tcPr>
          <w:p w14:paraId="6128E80C"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398" w:type="pct"/>
            <w:tcBorders>
              <w:top w:val="nil"/>
              <w:left w:val="nil"/>
              <w:bottom w:val="nil"/>
              <w:right w:val="nil"/>
            </w:tcBorders>
            <w:shd w:val="clear" w:color="auto" w:fill="auto"/>
            <w:vAlign w:val="center"/>
            <w:hideMark/>
          </w:tcPr>
          <w:p w14:paraId="795AF22B"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 xml:space="preserve"> </w:t>
            </w:r>
          </w:p>
        </w:tc>
        <w:tc>
          <w:tcPr>
            <w:tcW w:w="453" w:type="pct"/>
            <w:tcBorders>
              <w:top w:val="nil"/>
              <w:left w:val="nil"/>
              <w:bottom w:val="nil"/>
              <w:right w:val="nil"/>
            </w:tcBorders>
            <w:shd w:val="clear" w:color="auto" w:fill="auto"/>
            <w:vAlign w:val="center"/>
            <w:hideMark/>
          </w:tcPr>
          <w:p w14:paraId="31094559"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 xml:space="preserve"> </w:t>
            </w:r>
          </w:p>
        </w:tc>
        <w:tc>
          <w:tcPr>
            <w:tcW w:w="70" w:type="pct"/>
            <w:tcBorders>
              <w:top w:val="nil"/>
              <w:left w:val="nil"/>
              <w:bottom w:val="nil"/>
              <w:right w:val="nil"/>
            </w:tcBorders>
            <w:shd w:val="clear" w:color="auto" w:fill="auto"/>
            <w:noWrap/>
            <w:vAlign w:val="bottom"/>
            <w:hideMark/>
          </w:tcPr>
          <w:p w14:paraId="4BB62632"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p>
        </w:tc>
        <w:tc>
          <w:tcPr>
            <w:tcW w:w="393" w:type="pct"/>
            <w:tcBorders>
              <w:top w:val="nil"/>
              <w:left w:val="nil"/>
              <w:bottom w:val="nil"/>
              <w:right w:val="nil"/>
            </w:tcBorders>
            <w:shd w:val="clear" w:color="000000" w:fill="D9E1F2"/>
            <w:noWrap/>
            <w:vAlign w:val="center"/>
            <w:hideMark/>
          </w:tcPr>
          <w:p w14:paraId="25E43537"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w:t>
            </w:r>
          </w:p>
        </w:tc>
        <w:tc>
          <w:tcPr>
            <w:tcW w:w="393" w:type="pct"/>
            <w:tcBorders>
              <w:top w:val="nil"/>
              <w:left w:val="nil"/>
              <w:bottom w:val="nil"/>
              <w:right w:val="nil"/>
            </w:tcBorders>
            <w:shd w:val="clear" w:color="auto" w:fill="auto"/>
            <w:noWrap/>
            <w:vAlign w:val="bottom"/>
            <w:hideMark/>
          </w:tcPr>
          <w:p w14:paraId="3EDA4BC8"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70" w:type="pct"/>
            <w:tcBorders>
              <w:top w:val="nil"/>
              <w:left w:val="nil"/>
              <w:bottom w:val="nil"/>
              <w:right w:val="nil"/>
            </w:tcBorders>
            <w:shd w:val="clear" w:color="auto" w:fill="auto"/>
            <w:noWrap/>
            <w:vAlign w:val="bottom"/>
            <w:hideMark/>
          </w:tcPr>
          <w:p w14:paraId="579A1876" w14:textId="77777777" w:rsidR="00AA1F87" w:rsidRPr="00AA1F87" w:rsidRDefault="00AA1F87" w:rsidP="00AA1F87">
            <w:pPr>
              <w:spacing w:after="0" w:line="240" w:lineRule="auto"/>
              <w:rPr>
                <w:rFonts w:ascii="Times New Roman" w:eastAsia="Times New Roman" w:hAnsi="Times New Roman" w:cs="Times New Roman"/>
                <w:kern w:val="0"/>
                <w:sz w:val="20"/>
                <w:szCs w:val="20"/>
                <w:lang w:eastAsia="pt-BR"/>
                <w14:ligatures w14:val="none"/>
              </w:rPr>
            </w:pPr>
          </w:p>
        </w:tc>
        <w:tc>
          <w:tcPr>
            <w:tcW w:w="309" w:type="pct"/>
            <w:tcBorders>
              <w:top w:val="nil"/>
              <w:left w:val="nil"/>
              <w:bottom w:val="nil"/>
              <w:right w:val="nil"/>
            </w:tcBorders>
            <w:shd w:val="clear" w:color="auto" w:fill="auto"/>
            <w:noWrap/>
            <w:vAlign w:val="center"/>
            <w:hideMark/>
          </w:tcPr>
          <w:p w14:paraId="4DA95AC8"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w:t>
            </w:r>
          </w:p>
        </w:tc>
      </w:tr>
      <w:tr w:rsidR="00AA1F87" w:rsidRPr="00AA1F87" w14:paraId="53F9561A" w14:textId="77777777" w:rsidTr="00446A14">
        <w:trPr>
          <w:trHeight w:val="198"/>
        </w:trPr>
        <w:tc>
          <w:tcPr>
            <w:tcW w:w="1619" w:type="pct"/>
            <w:tcBorders>
              <w:top w:val="nil"/>
              <w:left w:val="nil"/>
              <w:bottom w:val="nil"/>
              <w:right w:val="nil"/>
            </w:tcBorders>
            <w:shd w:val="clear" w:color="auto" w:fill="auto"/>
            <w:noWrap/>
            <w:vAlign w:val="center"/>
            <w:hideMark/>
          </w:tcPr>
          <w:p w14:paraId="7C40EDEF" w14:textId="77777777" w:rsidR="00AA1F87" w:rsidRPr="00AA1F87" w:rsidRDefault="00AA1F87" w:rsidP="00AA1F87">
            <w:pPr>
              <w:spacing w:after="0" w:line="240" w:lineRule="auto"/>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Equivalência Patrimonial</w:t>
            </w:r>
          </w:p>
        </w:tc>
        <w:tc>
          <w:tcPr>
            <w:tcW w:w="413" w:type="pct"/>
            <w:tcBorders>
              <w:top w:val="nil"/>
              <w:left w:val="nil"/>
              <w:bottom w:val="nil"/>
              <w:right w:val="nil"/>
            </w:tcBorders>
            <w:shd w:val="clear" w:color="000000" w:fill="D9E1F2"/>
            <w:noWrap/>
            <w:vAlign w:val="center"/>
            <w:hideMark/>
          </w:tcPr>
          <w:p w14:paraId="61F4EDC5"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198 </w:t>
            </w:r>
          </w:p>
        </w:tc>
        <w:tc>
          <w:tcPr>
            <w:tcW w:w="413" w:type="pct"/>
            <w:tcBorders>
              <w:top w:val="nil"/>
              <w:left w:val="nil"/>
              <w:bottom w:val="nil"/>
              <w:right w:val="nil"/>
            </w:tcBorders>
            <w:shd w:val="clear" w:color="auto" w:fill="auto"/>
            <w:noWrap/>
            <w:vAlign w:val="center"/>
            <w:hideMark/>
          </w:tcPr>
          <w:p w14:paraId="0C5299D4"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1.240 </w:t>
            </w:r>
          </w:p>
        </w:tc>
        <w:tc>
          <w:tcPr>
            <w:tcW w:w="393" w:type="pct"/>
            <w:tcBorders>
              <w:top w:val="nil"/>
              <w:left w:val="nil"/>
              <w:bottom w:val="nil"/>
              <w:right w:val="nil"/>
            </w:tcBorders>
            <w:shd w:val="clear" w:color="auto" w:fill="auto"/>
            <w:noWrap/>
            <w:vAlign w:val="center"/>
            <w:hideMark/>
          </w:tcPr>
          <w:p w14:paraId="57E405C6"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234 </w:t>
            </w:r>
          </w:p>
        </w:tc>
        <w:tc>
          <w:tcPr>
            <w:tcW w:w="76" w:type="pct"/>
            <w:tcBorders>
              <w:top w:val="nil"/>
              <w:left w:val="nil"/>
              <w:bottom w:val="nil"/>
              <w:right w:val="nil"/>
            </w:tcBorders>
            <w:shd w:val="clear" w:color="auto" w:fill="auto"/>
            <w:noWrap/>
            <w:vAlign w:val="center"/>
            <w:hideMark/>
          </w:tcPr>
          <w:p w14:paraId="61BE59C4"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98" w:type="pct"/>
            <w:tcBorders>
              <w:top w:val="nil"/>
              <w:left w:val="nil"/>
              <w:bottom w:val="nil"/>
              <w:right w:val="nil"/>
            </w:tcBorders>
            <w:shd w:val="clear" w:color="auto" w:fill="auto"/>
            <w:vAlign w:val="center"/>
            <w:hideMark/>
          </w:tcPr>
          <w:p w14:paraId="5E869010"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-84,0%</w:t>
            </w:r>
          </w:p>
        </w:tc>
        <w:tc>
          <w:tcPr>
            <w:tcW w:w="453" w:type="pct"/>
            <w:tcBorders>
              <w:top w:val="nil"/>
              <w:left w:val="nil"/>
              <w:bottom w:val="nil"/>
              <w:right w:val="nil"/>
            </w:tcBorders>
            <w:shd w:val="clear" w:color="auto" w:fill="auto"/>
            <w:vAlign w:val="center"/>
            <w:hideMark/>
          </w:tcPr>
          <w:p w14:paraId="6B51AA2C"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-15,4%</w:t>
            </w:r>
          </w:p>
        </w:tc>
        <w:tc>
          <w:tcPr>
            <w:tcW w:w="70" w:type="pct"/>
            <w:tcBorders>
              <w:top w:val="nil"/>
              <w:left w:val="nil"/>
              <w:bottom w:val="nil"/>
              <w:right w:val="nil"/>
            </w:tcBorders>
            <w:shd w:val="clear" w:color="auto" w:fill="auto"/>
            <w:noWrap/>
            <w:vAlign w:val="bottom"/>
            <w:hideMark/>
          </w:tcPr>
          <w:p w14:paraId="36FA5D8F"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93" w:type="pct"/>
            <w:tcBorders>
              <w:top w:val="nil"/>
              <w:left w:val="nil"/>
              <w:bottom w:val="nil"/>
              <w:right w:val="nil"/>
            </w:tcBorders>
            <w:shd w:val="clear" w:color="000000" w:fill="D9E1F2"/>
            <w:noWrap/>
            <w:vAlign w:val="center"/>
            <w:hideMark/>
          </w:tcPr>
          <w:p w14:paraId="3DE40F4A"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2.254 </w:t>
            </w:r>
          </w:p>
        </w:tc>
        <w:tc>
          <w:tcPr>
            <w:tcW w:w="393" w:type="pct"/>
            <w:tcBorders>
              <w:top w:val="nil"/>
              <w:left w:val="nil"/>
              <w:bottom w:val="nil"/>
              <w:right w:val="nil"/>
            </w:tcBorders>
            <w:shd w:val="clear" w:color="auto" w:fill="auto"/>
            <w:noWrap/>
            <w:vAlign w:val="center"/>
            <w:hideMark/>
          </w:tcPr>
          <w:p w14:paraId="712B69A3"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6.500 </w:t>
            </w:r>
          </w:p>
        </w:tc>
        <w:tc>
          <w:tcPr>
            <w:tcW w:w="70" w:type="pct"/>
            <w:tcBorders>
              <w:top w:val="nil"/>
              <w:left w:val="nil"/>
              <w:bottom w:val="nil"/>
              <w:right w:val="nil"/>
            </w:tcBorders>
            <w:shd w:val="clear" w:color="auto" w:fill="auto"/>
            <w:noWrap/>
            <w:vAlign w:val="bottom"/>
            <w:hideMark/>
          </w:tcPr>
          <w:p w14:paraId="298097AA"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09" w:type="pct"/>
            <w:tcBorders>
              <w:top w:val="nil"/>
              <w:left w:val="nil"/>
              <w:bottom w:val="nil"/>
              <w:right w:val="nil"/>
            </w:tcBorders>
            <w:shd w:val="clear" w:color="auto" w:fill="auto"/>
            <w:vAlign w:val="center"/>
            <w:hideMark/>
          </w:tcPr>
          <w:p w14:paraId="45471B91"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-65,3%</w:t>
            </w:r>
          </w:p>
        </w:tc>
      </w:tr>
      <w:tr w:rsidR="00AA1F87" w:rsidRPr="00AA1F87" w14:paraId="403E6D2F" w14:textId="77777777" w:rsidTr="00446A14">
        <w:trPr>
          <w:trHeight w:val="198"/>
        </w:trPr>
        <w:tc>
          <w:tcPr>
            <w:tcW w:w="1619" w:type="pct"/>
            <w:tcBorders>
              <w:top w:val="nil"/>
              <w:left w:val="nil"/>
              <w:bottom w:val="nil"/>
              <w:right w:val="nil"/>
            </w:tcBorders>
            <w:shd w:val="clear" w:color="auto" w:fill="auto"/>
            <w:noWrap/>
            <w:vAlign w:val="center"/>
            <w:hideMark/>
          </w:tcPr>
          <w:p w14:paraId="1F6907C7" w14:textId="77777777" w:rsidR="00AA1F87" w:rsidRPr="00AA1F87" w:rsidRDefault="00AA1F87" w:rsidP="00AA1F87">
            <w:pPr>
              <w:spacing w:after="0" w:line="240" w:lineRule="auto"/>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Superávit de Previdência Privada</w:t>
            </w:r>
          </w:p>
        </w:tc>
        <w:tc>
          <w:tcPr>
            <w:tcW w:w="413" w:type="pct"/>
            <w:tcBorders>
              <w:top w:val="nil"/>
              <w:left w:val="nil"/>
              <w:bottom w:val="nil"/>
              <w:right w:val="nil"/>
            </w:tcBorders>
            <w:shd w:val="clear" w:color="000000" w:fill="D9E1F2"/>
            <w:noWrap/>
            <w:vAlign w:val="center"/>
            <w:hideMark/>
          </w:tcPr>
          <w:p w14:paraId="1B5C1917"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(7.421)</w:t>
            </w:r>
          </w:p>
        </w:tc>
        <w:tc>
          <w:tcPr>
            <w:tcW w:w="413" w:type="pct"/>
            <w:tcBorders>
              <w:top w:val="nil"/>
              <w:left w:val="nil"/>
              <w:bottom w:val="nil"/>
              <w:right w:val="nil"/>
            </w:tcBorders>
            <w:shd w:val="clear" w:color="auto" w:fill="auto"/>
            <w:noWrap/>
            <w:vAlign w:val="center"/>
            <w:hideMark/>
          </w:tcPr>
          <w:p w14:paraId="373B38E2"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      </w:t>
            </w:r>
          </w:p>
        </w:tc>
        <w:tc>
          <w:tcPr>
            <w:tcW w:w="393" w:type="pct"/>
            <w:tcBorders>
              <w:top w:val="nil"/>
              <w:left w:val="nil"/>
              <w:bottom w:val="nil"/>
              <w:right w:val="nil"/>
            </w:tcBorders>
            <w:shd w:val="clear" w:color="auto" w:fill="auto"/>
            <w:noWrap/>
            <w:vAlign w:val="center"/>
            <w:hideMark/>
          </w:tcPr>
          <w:p w14:paraId="76021269"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      </w:t>
            </w:r>
          </w:p>
        </w:tc>
        <w:tc>
          <w:tcPr>
            <w:tcW w:w="76" w:type="pct"/>
            <w:tcBorders>
              <w:top w:val="nil"/>
              <w:left w:val="nil"/>
              <w:bottom w:val="nil"/>
              <w:right w:val="nil"/>
            </w:tcBorders>
            <w:shd w:val="clear" w:color="auto" w:fill="auto"/>
            <w:noWrap/>
            <w:vAlign w:val="center"/>
            <w:hideMark/>
          </w:tcPr>
          <w:p w14:paraId="48893DF4"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98" w:type="pct"/>
            <w:tcBorders>
              <w:top w:val="nil"/>
              <w:left w:val="nil"/>
              <w:bottom w:val="nil"/>
              <w:right w:val="nil"/>
            </w:tcBorders>
            <w:shd w:val="clear" w:color="auto" w:fill="auto"/>
            <w:vAlign w:val="center"/>
            <w:hideMark/>
          </w:tcPr>
          <w:p w14:paraId="541AA490"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100,0%</w:t>
            </w:r>
          </w:p>
        </w:tc>
        <w:tc>
          <w:tcPr>
            <w:tcW w:w="453" w:type="pct"/>
            <w:tcBorders>
              <w:top w:val="nil"/>
              <w:left w:val="nil"/>
              <w:bottom w:val="nil"/>
              <w:right w:val="nil"/>
            </w:tcBorders>
            <w:shd w:val="clear" w:color="auto" w:fill="auto"/>
            <w:vAlign w:val="center"/>
            <w:hideMark/>
          </w:tcPr>
          <w:p w14:paraId="1D2809DF"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100,0%</w:t>
            </w:r>
          </w:p>
        </w:tc>
        <w:tc>
          <w:tcPr>
            <w:tcW w:w="70" w:type="pct"/>
            <w:tcBorders>
              <w:top w:val="nil"/>
              <w:left w:val="nil"/>
              <w:bottom w:val="nil"/>
              <w:right w:val="nil"/>
            </w:tcBorders>
            <w:shd w:val="clear" w:color="auto" w:fill="auto"/>
            <w:noWrap/>
            <w:vAlign w:val="bottom"/>
            <w:hideMark/>
          </w:tcPr>
          <w:p w14:paraId="240F7685"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93" w:type="pct"/>
            <w:tcBorders>
              <w:top w:val="nil"/>
              <w:left w:val="nil"/>
              <w:bottom w:val="nil"/>
              <w:right w:val="nil"/>
            </w:tcBorders>
            <w:shd w:val="clear" w:color="000000" w:fill="D9E1F2"/>
            <w:noWrap/>
            <w:vAlign w:val="center"/>
            <w:hideMark/>
          </w:tcPr>
          <w:p w14:paraId="0042A33D"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(33.912)</w:t>
            </w:r>
          </w:p>
        </w:tc>
        <w:tc>
          <w:tcPr>
            <w:tcW w:w="393" w:type="pct"/>
            <w:tcBorders>
              <w:top w:val="nil"/>
              <w:left w:val="nil"/>
              <w:bottom w:val="nil"/>
              <w:right w:val="nil"/>
            </w:tcBorders>
            <w:shd w:val="clear" w:color="auto" w:fill="auto"/>
            <w:noWrap/>
            <w:vAlign w:val="center"/>
            <w:hideMark/>
          </w:tcPr>
          <w:p w14:paraId="177D0340"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      </w:t>
            </w:r>
          </w:p>
        </w:tc>
        <w:tc>
          <w:tcPr>
            <w:tcW w:w="70" w:type="pct"/>
            <w:tcBorders>
              <w:top w:val="nil"/>
              <w:left w:val="nil"/>
              <w:bottom w:val="nil"/>
              <w:right w:val="nil"/>
            </w:tcBorders>
            <w:shd w:val="clear" w:color="auto" w:fill="auto"/>
            <w:noWrap/>
            <w:vAlign w:val="bottom"/>
            <w:hideMark/>
          </w:tcPr>
          <w:p w14:paraId="31F2688C"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09" w:type="pct"/>
            <w:tcBorders>
              <w:top w:val="nil"/>
              <w:left w:val="nil"/>
              <w:bottom w:val="nil"/>
              <w:right w:val="nil"/>
            </w:tcBorders>
            <w:shd w:val="clear" w:color="auto" w:fill="auto"/>
            <w:vAlign w:val="center"/>
            <w:hideMark/>
          </w:tcPr>
          <w:p w14:paraId="3BA190D7"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100,0%</w:t>
            </w:r>
          </w:p>
        </w:tc>
      </w:tr>
      <w:tr w:rsidR="00AA1F87" w:rsidRPr="00AA1F87" w14:paraId="5B5D8A32" w14:textId="77777777" w:rsidTr="00446A14">
        <w:trPr>
          <w:trHeight w:val="198"/>
        </w:trPr>
        <w:tc>
          <w:tcPr>
            <w:tcW w:w="1619" w:type="pct"/>
            <w:tcBorders>
              <w:top w:val="nil"/>
              <w:left w:val="nil"/>
              <w:bottom w:val="nil"/>
              <w:right w:val="nil"/>
            </w:tcBorders>
            <w:shd w:val="clear" w:color="auto" w:fill="auto"/>
            <w:noWrap/>
            <w:vAlign w:val="center"/>
            <w:hideMark/>
          </w:tcPr>
          <w:p w14:paraId="35EF7F30" w14:textId="77777777" w:rsidR="00AA1F87" w:rsidRPr="00AA1F87" w:rsidRDefault="00AA1F87" w:rsidP="00AA1F87">
            <w:pPr>
              <w:spacing w:after="0" w:line="240" w:lineRule="auto"/>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Tributos s/ Superávit de Previdência Privada</w:t>
            </w:r>
          </w:p>
        </w:tc>
        <w:tc>
          <w:tcPr>
            <w:tcW w:w="413" w:type="pct"/>
            <w:tcBorders>
              <w:top w:val="nil"/>
              <w:left w:val="nil"/>
              <w:bottom w:val="nil"/>
              <w:right w:val="nil"/>
            </w:tcBorders>
            <w:shd w:val="clear" w:color="000000" w:fill="D9E1F2"/>
            <w:noWrap/>
            <w:vAlign w:val="center"/>
            <w:hideMark/>
          </w:tcPr>
          <w:p w14:paraId="3FEF297B"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686 </w:t>
            </w:r>
          </w:p>
        </w:tc>
        <w:tc>
          <w:tcPr>
            <w:tcW w:w="413" w:type="pct"/>
            <w:tcBorders>
              <w:top w:val="nil"/>
              <w:left w:val="nil"/>
              <w:bottom w:val="nil"/>
              <w:right w:val="nil"/>
            </w:tcBorders>
            <w:shd w:val="clear" w:color="auto" w:fill="auto"/>
            <w:noWrap/>
            <w:vAlign w:val="center"/>
            <w:hideMark/>
          </w:tcPr>
          <w:p w14:paraId="551733BE"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      </w:t>
            </w:r>
          </w:p>
        </w:tc>
        <w:tc>
          <w:tcPr>
            <w:tcW w:w="393" w:type="pct"/>
            <w:tcBorders>
              <w:top w:val="nil"/>
              <w:left w:val="nil"/>
              <w:bottom w:val="nil"/>
              <w:right w:val="nil"/>
            </w:tcBorders>
            <w:shd w:val="clear" w:color="auto" w:fill="auto"/>
            <w:noWrap/>
            <w:vAlign w:val="center"/>
            <w:hideMark/>
          </w:tcPr>
          <w:p w14:paraId="7628D49D"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      </w:t>
            </w:r>
          </w:p>
        </w:tc>
        <w:tc>
          <w:tcPr>
            <w:tcW w:w="76" w:type="pct"/>
            <w:tcBorders>
              <w:top w:val="nil"/>
              <w:left w:val="nil"/>
              <w:bottom w:val="nil"/>
              <w:right w:val="nil"/>
            </w:tcBorders>
            <w:shd w:val="clear" w:color="auto" w:fill="auto"/>
            <w:noWrap/>
            <w:vAlign w:val="center"/>
            <w:hideMark/>
          </w:tcPr>
          <w:p w14:paraId="17718E03"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98" w:type="pct"/>
            <w:tcBorders>
              <w:top w:val="nil"/>
              <w:left w:val="nil"/>
              <w:bottom w:val="nil"/>
              <w:right w:val="nil"/>
            </w:tcBorders>
            <w:shd w:val="clear" w:color="auto" w:fill="auto"/>
            <w:vAlign w:val="center"/>
            <w:hideMark/>
          </w:tcPr>
          <w:p w14:paraId="7A61D00B"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100,0%</w:t>
            </w:r>
          </w:p>
        </w:tc>
        <w:tc>
          <w:tcPr>
            <w:tcW w:w="453" w:type="pct"/>
            <w:tcBorders>
              <w:top w:val="nil"/>
              <w:left w:val="nil"/>
              <w:bottom w:val="nil"/>
              <w:right w:val="nil"/>
            </w:tcBorders>
            <w:shd w:val="clear" w:color="auto" w:fill="auto"/>
            <w:vAlign w:val="center"/>
            <w:hideMark/>
          </w:tcPr>
          <w:p w14:paraId="157736BA"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100,0%</w:t>
            </w:r>
          </w:p>
        </w:tc>
        <w:tc>
          <w:tcPr>
            <w:tcW w:w="70" w:type="pct"/>
            <w:tcBorders>
              <w:top w:val="nil"/>
              <w:left w:val="nil"/>
              <w:bottom w:val="nil"/>
              <w:right w:val="nil"/>
            </w:tcBorders>
            <w:shd w:val="clear" w:color="auto" w:fill="auto"/>
            <w:noWrap/>
            <w:vAlign w:val="bottom"/>
            <w:hideMark/>
          </w:tcPr>
          <w:p w14:paraId="197B3372"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93" w:type="pct"/>
            <w:tcBorders>
              <w:top w:val="nil"/>
              <w:left w:val="nil"/>
              <w:bottom w:val="nil"/>
              <w:right w:val="nil"/>
            </w:tcBorders>
            <w:shd w:val="clear" w:color="000000" w:fill="D9E1F2"/>
            <w:noWrap/>
            <w:vAlign w:val="center"/>
            <w:hideMark/>
          </w:tcPr>
          <w:p w14:paraId="267166E5"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3.137 </w:t>
            </w:r>
          </w:p>
        </w:tc>
        <w:tc>
          <w:tcPr>
            <w:tcW w:w="393" w:type="pct"/>
            <w:tcBorders>
              <w:top w:val="nil"/>
              <w:left w:val="nil"/>
              <w:bottom w:val="nil"/>
              <w:right w:val="nil"/>
            </w:tcBorders>
            <w:shd w:val="clear" w:color="auto" w:fill="auto"/>
            <w:noWrap/>
            <w:vAlign w:val="center"/>
            <w:hideMark/>
          </w:tcPr>
          <w:p w14:paraId="678527CB"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      </w:t>
            </w:r>
          </w:p>
        </w:tc>
        <w:tc>
          <w:tcPr>
            <w:tcW w:w="70" w:type="pct"/>
            <w:tcBorders>
              <w:top w:val="nil"/>
              <w:left w:val="nil"/>
              <w:bottom w:val="nil"/>
              <w:right w:val="nil"/>
            </w:tcBorders>
            <w:shd w:val="clear" w:color="auto" w:fill="auto"/>
            <w:noWrap/>
            <w:vAlign w:val="bottom"/>
            <w:hideMark/>
          </w:tcPr>
          <w:p w14:paraId="7A549752"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09" w:type="pct"/>
            <w:tcBorders>
              <w:top w:val="nil"/>
              <w:left w:val="nil"/>
              <w:bottom w:val="nil"/>
              <w:right w:val="nil"/>
            </w:tcBorders>
            <w:shd w:val="clear" w:color="auto" w:fill="auto"/>
            <w:vAlign w:val="center"/>
            <w:hideMark/>
          </w:tcPr>
          <w:p w14:paraId="1A3E194E"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100,0%</w:t>
            </w:r>
          </w:p>
        </w:tc>
      </w:tr>
      <w:tr w:rsidR="00AA1F87" w:rsidRPr="00AA1F87" w14:paraId="3691D1D6" w14:textId="77777777" w:rsidTr="00446A14">
        <w:trPr>
          <w:trHeight w:val="198"/>
        </w:trPr>
        <w:tc>
          <w:tcPr>
            <w:tcW w:w="1619" w:type="pct"/>
            <w:tcBorders>
              <w:top w:val="nil"/>
              <w:left w:val="nil"/>
              <w:bottom w:val="nil"/>
              <w:right w:val="nil"/>
            </w:tcBorders>
            <w:shd w:val="clear" w:color="auto" w:fill="auto"/>
            <w:noWrap/>
            <w:vAlign w:val="center"/>
            <w:hideMark/>
          </w:tcPr>
          <w:p w14:paraId="2E8B773B" w14:textId="77777777" w:rsidR="00AA1F87" w:rsidRPr="00AA1F87" w:rsidRDefault="00AA1F87" w:rsidP="00AA1F87">
            <w:pPr>
              <w:spacing w:after="0" w:line="240" w:lineRule="auto"/>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Depreciação - CPC 6(R2) / IFRS 16</w:t>
            </w:r>
          </w:p>
        </w:tc>
        <w:tc>
          <w:tcPr>
            <w:tcW w:w="413" w:type="pct"/>
            <w:tcBorders>
              <w:top w:val="nil"/>
              <w:left w:val="nil"/>
              <w:bottom w:val="nil"/>
              <w:right w:val="nil"/>
            </w:tcBorders>
            <w:shd w:val="clear" w:color="000000" w:fill="D9E1F2"/>
            <w:noWrap/>
            <w:vAlign w:val="center"/>
            <w:hideMark/>
          </w:tcPr>
          <w:p w14:paraId="3769EED2"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(1.299)</w:t>
            </w:r>
          </w:p>
        </w:tc>
        <w:tc>
          <w:tcPr>
            <w:tcW w:w="413" w:type="pct"/>
            <w:tcBorders>
              <w:top w:val="nil"/>
              <w:left w:val="nil"/>
              <w:bottom w:val="nil"/>
              <w:right w:val="nil"/>
            </w:tcBorders>
            <w:shd w:val="clear" w:color="auto" w:fill="auto"/>
            <w:noWrap/>
            <w:vAlign w:val="center"/>
            <w:hideMark/>
          </w:tcPr>
          <w:p w14:paraId="75FBC6B4"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(1.267)</w:t>
            </w:r>
          </w:p>
        </w:tc>
        <w:tc>
          <w:tcPr>
            <w:tcW w:w="393" w:type="pct"/>
            <w:tcBorders>
              <w:top w:val="nil"/>
              <w:left w:val="nil"/>
              <w:bottom w:val="nil"/>
              <w:right w:val="nil"/>
            </w:tcBorders>
            <w:shd w:val="clear" w:color="auto" w:fill="auto"/>
            <w:noWrap/>
            <w:vAlign w:val="center"/>
            <w:hideMark/>
          </w:tcPr>
          <w:p w14:paraId="5702CE1E"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(1.294)</w:t>
            </w:r>
          </w:p>
        </w:tc>
        <w:tc>
          <w:tcPr>
            <w:tcW w:w="76" w:type="pct"/>
            <w:tcBorders>
              <w:top w:val="nil"/>
              <w:left w:val="nil"/>
              <w:bottom w:val="nil"/>
              <w:right w:val="nil"/>
            </w:tcBorders>
            <w:shd w:val="clear" w:color="auto" w:fill="auto"/>
            <w:noWrap/>
            <w:vAlign w:val="center"/>
            <w:hideMark/>
          </w:tcPr>
          <w:p w14:paraId="21AA2FF0"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98" w:type="pct"/>
            <w:tcBorders>
              <w:top w:val="nil"/>
              <w:left w:val="nil"/>
              <w:bottom w:val="nil"/>
              <w:right w:val="nil"/>
            </w:tcBorders>
            <w:shd w:val="clear" w:color="auto" w:fill="auto"/>
            <w:vAlign w:val="center"/>
            <w:hideMark/>
          </w:tcPr>
          <w:p w14:paraId="18FDD844"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2,5%</w:t>
            </w:r>
          </w:p>
        </w:tc>
        <w:tc>
          <w:tcPr>
            <w:tcW w:w="453" w:type="pct"/>
            <w:tcBorders>
              <w:top w:val="nil"/>
              <w:left w:val="nil"/>
              <w:bottom w:val="nil"/>
              <w:right w:val="nil"/>
            </w:tcBorders>
            <w:shd w:val="clear" w:color="auto" w:fill="auto"/>
            <w:vAlign w:val="center"/>
            <w:hideMark/>
          </w:tcPr>
          <w:p w14:paraId="5D5E6684"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0,4%</w:t>
            </w:r>
          </w:p>
        </w:tc>
        <w:tc>
          <w:tcPr>
            <w:tcW w:w="70" w:type="pct"/>
            <w:tcBorders>
              <w:top w:val="nil"/>
              <w:left w:val="nil"/>
              <w:bottom w:val="nil"/>
              <w:right w:val="nil"/>
            </w:tcBorders>
            <w:shd w:val="clear" w:color="auto" w:fill="auto"/>
            <w:noWrap/>
            <w:vAlign w:val="bottom"/>
            <w:hideMark/>
          </w:tcPr>
          <w:p w14:paraId="098FD08A"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93" w:type="pct"/>
            <w:tcBorders>
              <w:top w:val="nil"/>
              <w:left w:val="nil"/>
              <w:bottom w:val="nil"/>
              <w:right w:val="nil"/>
            </w:tcBorders>
            <w:shd w:val="clear" w:color="000000" w:fill="D9E1F2"/>
            <w:noWrap/>
            <w:vAlign w:val="center"/>
            <w:hideMark/>
          </w:tcPr>
          <w:p w14:paraId="6D3FF7E6"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(5.175)</w:t>
            </w:r>
          </w:p>
        </w:tc>
        <w:tc>
          <w:tcPr>
            <w:tcW w:w="393" w:type="pct"/>
            <w:tcBorders>
              <w:top w:val="nil"/>
              <w:left w:val="nil"/>
              <w:bottom w:val="nil"/>
              <w:right w:val="nil"/>
            </w:tcBorders>
            <w:shd w:val="clear" w:color="auto" w:fill="auto"/>
            <w:noWrap/>
            <w:vAlign w:val="center"/>
            <w:hideMark/>
          </w:tcPr>
          <w:p w14:paraId="4A16347B"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(5.006)</w:t>
            </w:r>
          </w:p>
        </w:tc>
        <w:tc>
          <w:tcPr>
            <w:tcW w:w="70" w:type="pct"/>
            <w:tcBorders>
              <w:top w:val="nil"/>
              <w:left w:val="nil"/>
              <w:bottom w:val="nil"/>
              <w:right w:val="nil"/>
            </w:tcBorders>
            <w:shd w:val="clear" w:color="auto" w:fill="auto"/>
            <w:noWrap/>
            <w:vAlign w:val="bottom"/>
            <w:hideMark/>
          </w:tcPr>
          <w:p w14:paraId="50E82B53"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09" w:type="pct"/>
            <w:tcBorders>
              <w:top w:val="nil"/>
              <w:left w:val="nil"/>
              <w:bottom w:val="nil"/>
              <w:right w:val="nil"/>
            </w:tcBorders>
            <w:shd w:val="clear" w:color="auto" w:fill="auto"/>
            <w:vAlign w:val="center"/>
            <w:hideMark/>
          </w:tcPr>
          <w:p w14:paraId="75D2E46B"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3,4%</w:t>
            </w:r>
          </w:p>
        </w:tc>
      </w:tr>
      <w:tr w:rsidR="00AA1F87" w:rsidRPr="00AA1F87" w14:paraId="238B103F" w14:textId="77777777" w:rsidTr="00446A14">
        <w:trPr>
          <w:trHeight w:val="198"/>
        </w:trPr>
        <w:tc>
          <w:tcPr>
            <w:tcW w:w="1619" w:type="pct"/>
            <w:tcBorders>
              <w:top w:val="nil"/>
              <w:left w:val="nil"/>
              <w:bottom w:val="nil"/>
              <w:right w:val="nil"/>
            </w:tcBorders>
            <w:shd w:val="clear" w:color="auto" w:fill="auto"/>
            <w:noWrap/>
            <w:vAlign w:val="center"/>
            <w:hideMark/>
          </w:tcPr>
          <w:p w14:paraId="132BC70D" w14:textId="77777777" w:rsidR="00AA1F87" w:rsidRPr="00AA1F87" w:rsidRDefault="00AA1F87" w:rsidP="00AA1F87">
            <w:pPr>
              <w:spacing w:after="0" w:line="240" w:lineRule="auto"/>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Despesas Financeiras - CPC 6(R2) / IFRS 16</w:t>
            </w:r>
          </w:p>
        </w:tc>
        <w:tc>
          <w:tcPr>
            <w:tcW w:w="413" w:type="pct"/>
            <w:tcBorders>
              <w:top w:val="nil"/>
              <w:left w:val="nil"/>
              <w:bottom w:val="nil"/>
              <w:right w:val="nil"/>
            </w:tcBorders>
            <w:shd w:val="clear" w:color="000000" w:fill="D9E1F2"/>
            <w:noWrap/>
            <w:vAlign w:val="center"/>
            <w:hideMark/>
          </w:tcPr>
          <w:p w14:paraId="117FFC11"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(329)</w:t>
            </w:r>
          </w:p>
        </w:tc>
        <w:tc>
          <w:tcPr>
            <w:tcW w:w="413" w:type="pct"/>
            <w:tcBorders>
              <w:top w:val="nil"/>
              <w:left w:val="nil"/>
              <w:bottom w:val="nil"/>
              <w:right w:val="nil"/>
            </w:tcBorders>
            <w:shd w:val="clear" w:color="auto" w:fill="auto"/>
            <w:noWrap/>
            <w:vAlign w:val="center"/>
            <w:hideMark/>
          </w:tcPr>
          <w:p w14:paraId="75F5D072"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(242)</w:t>
            </w:r>
          </w:p>
        </w:tc>
        <w:tc>
          <w:tcPr>
            <w:tcW w:w="393" w:type="pct"/>
            <w:tcBorders>
              <w:top w:val="nil"/>
              <w:left w:val="nil"/>
              <w:bottom w:val="nil"/>
              <w:right w:val="nil"/>
            </w:tcBorders>
            <w:shd w:val="clear" w:color="auto" w:fill="auto"/>
            <w:noWrap/>
            <w:vAlign w:val="center"/>
            <w:hideMark/>
          </w:tcPr>
          <w:p w14:paraId="724A8F0F"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(221)</w:t>
            </w:r>
          </w:p>
        </w:tc>
        <w:tc>
          <w:tcPr>
            <w:tcW w:w="76" w:type="pct"/>
            <w:tcBorders>
              <w:top w:val="nil"/>
              <w:left w:val="nil"/>
              <w:bottom w:val="nil"/>
              <w:right w:val="nil"/>
            </w:tcBorders>
            <w:shd w:val="clear" w:color="auto" w:fill="auto"/>
            <w:noWrap/>
            <w:vAlign w:val="center"/>
            <w:hideMark/>
          </w:tcPr>
          <w:p w14:paraId="315F3726"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98" w:type="pct"/>
            <w:tcBorders>
              <w:top w:val="nil"/>
              <w:left w:val="nil"/>
              <w:bottom w:val="nil"/>
              <w:right w:val="nil"/>
            </w:tcBorders>
            <w:shd w:val="clear" w:color="auto" w:fill="auto"/>
            <w:vAlign w:val="center"/>
            <w:hideMark/>
          </w:tcPr>
          <w:p w14:paraId="2CD37AA8"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36,0%</w:t>
            </w:r>
          </w:p>
        </w:tc>
        <w:tc>
          <w:tcPr>
            <w:tcW w:w="453" w:type="pct"/>
            <w:tcBorders>
              <w:top w:val="nil"/>
              <w:left w:val="nil"/>
              <w:bottom w:val="nil"/>
              <w:right w:val="nil"/>
            </w:tcBorders>
            <w:shd w:val="clear" w:color="auto" w:fill="auto"/>
            <w:vAlign w:val="center"/>
            <w:hideMark/>
          </w:tcPr>
          <w:p w14:paraId="48154E4E"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48,9%</w:t>
            </w:r>
          </w:p>
        </w:tc>
        <w:tc>
          <w:tcPr>
            <w:tcW w:w="70" w:type="pct"/>
            <w:tcBorders>
              <w:top w:val="nil"/>
              <w:left w:val="nil"/>
              <w:bottom w:val="nil"/>
              <w:right w:val="nil"/>
            </w:tcBorders>
            <w:shd w:val="clear" w:color="auto" w:fill="auto"/>
            <w:noWrap/>
            <w:vAlign w:val="bottom"/>
            <w:hideMark/>
          </w:tcPr>
          <w:p w14:paraId="7469E6EA"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93" w:type="pct"/>
            <w:tcBorders>
              <w:top w:val="nil"/>
              <w:left w:val="nil"/>
              <w:bottom w:val="nil"/>
              <w:right w:val="nil"/>
            </w:tcBorders>
            <w:shd w:val="clear" w:color="000000" w:fill="D9E1F2"/>
            <w:noWrap/>
            <w:vAlign w:val="center"/>
            <w:hideMark/>
          </w:tcPr>
          <w:p w14:paraId="1DCCA462"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(1.034)</w:t>
            </w:r>
          </w:p>
        </w:tc>
        <w:tc>
          <w:tcPr>
            <w:tcW w:w="393" w:type="pct"/>
            <w:tcBorders>
              <w:top w:val="nil"/>
              <w:left w:val="nil"/>
              <w:bottom w:val="nil"/>
              <w:right w:val="nil"/>
            </w:tcBorders>
            <w:shd w:val="clear" w:color="auto" w:fill="auto"/>
            <w:noWrap/>
            <w:vAlign w:val="center"/>
            <w:hideMark/>
          </w:tcPr>
          <w:p w14:paraId="4ECB035D"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(939)</w:t>
            </w:r>
          </w:p>
        </w:tc>
        <w:tc>
          <w:tcPr>
            <w:tcW w:w="70" w:type="pct"/>
            <w:tcBorders>
              <w:top w:val="nil"/>
              <w:left w:val="nil"/>
              <w:bottom w:val="nil"/>
              <w:right w:val="nil"/>
            </w:tcBorders>
            <w:shd w:val="clear" w:color="auto" w:fill="auto"/>
            <w:noWrap/>
            <w:vAlign w:val="bottom"/>
            <w:hideMark/>
          </w:tcPr>
          <w:p w14:paraId="5D4CF6BA"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09" w:type="pct"/>
            <w:tcBorders>
              <w:top w:val="nil"/>
              <w:left w:val="nil"/>
              <w:bottom w:val="nil"/>
              <w:right w:val="nil"/>
            </w:tcBorders>
            <w:shd w:val="clear" w:color="auto" w:fill="auto"/>
            <w:vAlign w:val="center"/>
            <w:hideMark/>
          </w:tcPr>
          <w:p w14:paraId="6CA225A5"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10,1%</w:t>
            </w:r>
          </w:p>
        </w:tc>
      </w:tr>
      <w:tr w:rsidR="00AA1F87" w:rsidRPr="00AA1F87" w14:paraId="01207421" w14:textId="77777777" w:rsidTr="00446A14">
        <w:trPr>
          <w:trHeight w:val="198"/>
        </w:trPr>
        <w:tc>
          <w:tcPr>
            <w:tcW w:w="1619" w:type="pct"/>
            <w:tcBorders>
              <w:top w:val="nil"/>
              <w:left w:val="nil"/>
              <w:bottom w:val="nil"/>
              <w:right w:val="nil"/>
            </w:tcBorders>
            <w:shd w:val="clear" w:color="auto" w:fill="auto"/>
            <w:noWrap/>
            <w:vAlign w:val="center"/>
            <w:hideMark/>
          </w:tcPr>
          <w:p w14:paraId="28FB0A8B" w14:textId="77777777" w:rsidR="00AA1F87" w:rsidRPr="00AA1F87" w:rsidRDefault="00AA1F87" w:rsidP="00AA1F87">
            <w:pPr>
              <w:spacing w:after="0" w:line="240" w:lineRule="auto"/>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Ganho sobre Passivos</w:t>
            </w:r>
          </w:p>
        </w:tc>
        <w:tc>
          <w:tcPr>
            <w:tcW w:w="413" w:type="pct"/>
            <w:tcBorders>
              <w:top w:val="nil"/>
              <w:left w:val="nil"/>
              <w:bottom w:val="nil"/>
              <w:right w:val="nil"/>
            </w:tcBorders>
            <w:shd w:val="clear" w:color="000000" w:fill="D9E1F2"/>
            <w:noWrap/>
            <w:vAlign w:val="center"/>
            <w:hideMark/>
          </w:tcPr>
          <w:p w14:paraId="41D03F2D"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         </w:t>
            </w:r>
          </w:p>
        </w:tc>
        <w:tc>
          <w:tcPr>
            <w:tcW w:w="413" w:type="pct"/>
            <w:tcBorders>
              <w:top w:val="nil"/>
              <w:left w:val="nil"/>
              <w:bottom w:val="nil"/>
              <w:right w:val="nil"/>
            </w:tcBorders>
            <w:shd w:val="clear" w:color="auto" w:fill="auto"/>
            <w:noWrap/>
            <w:vAlign w:val="center"/>
            <w:hideMark/>
          </w:tcPr>
          <w:p w14:paraId="6D148287"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3 </w:t>
            </w:r>
          </w:p>
        </w:tc>
        <w:tc>
          <w:tcPr>
            <w:tcW w:w="393" w:type="pct"/>
            <w:tcBorders>
              <w:top w:val="nil"/>
              <w:left w:val="nil"/>
              <w:bottom w:val="nil"/>
              <w:right w:val="nil"/>
            </w:tcBorders>
            <w:shd w:val="clear" w:color="auto" w:fill="auto"/>
            <w:noWrap/>
            <w:vAlign w:val="center"/>
            <w:hideMark/>
          </w:tcPr>
          <w:p w14:paraId="46E0656F" w14:textId="77777777" w:rsidR="00AA1F87" w:rsidRPr="00AA1F87" w:rsidRDefault="00AA1F87" w:rsidP="00AA1F87">
            <w:pPr>
              <w:spacing w:after="0" w:line="240" w:lineRule="auto"/>
              <w:jc w:val="center"/>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 </w:t>
            </w:r>
          </w:p>
        </w:tc>
        <w:tc>
          <w:tcPr>
            <w:tcW w:w="76" w:type="pct"/>
            <w:tcBorders>
              <w:top w:val="nil"/>
              <w:left w:val="nil"/>
              <w:bottom w:val="nil"/>
              <w:right w:val="nil"/>
            </w:tcBorders>
            <w:shd w:val="clear" w:color="auto" w:fill="auto"/>
            <w:noWrap/>
            <w:vAlign w:val="center"/>
            <w:hideMark/>
          </w:tcPr>
          <w:p w14:paraId="29A03ED9" w14:textId="77777777" w:rsidR="00AA1F87" w:rsidRPr="00AA1F87" w:rsidRDefault="00AA1F87" w:rsidP="00AA1F87">
            <w:pPr>
              <w:spacing w:after="0" w:line="240" w:lineRule="auto"/>
              <w:jc w:val="center"/>
              <w:rPr>
                <w:rFonts w:ascii="Arial" w:eastAsia="Times New Roman" w:hAnsi="Arial" w:cs="Arial"/>
                <w:color w:val="000000"/>
                <w:kern w:val="0"/>
                <w:sz w:val="15"/>
                <w:szCs w:val="15"/>
                <w:lang w:eastAsia="pt-BR"/>
                <w14:ligatures w14:val="none"/>
              </w:rPr>
            </w:pPr>
          </w:p>
        </w:tc>
        <w:tc>
          <w:tcPr>
            <w:tcW w:w="398" w:type="pct"/>
            <w:tcBorders>
              <w:top w:val="nil"/>
              <w:left w:val="nil"/>
              <w:bottom w:val="nil"/>
              <w:right w:val="nil"/>
            </w:tcBorders>
            <w:shd w:val="clear" w:color="auto" w:fill="auto"/>
            <w:vAlign w:val="center"/>
            <w:hideMark/>
          </w:tcPr>
          <w:p w14:paraId="0397D76A"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w:t>
            </w:r>
          </w:p>
        </w:tc>
        <w:tc>
          <w:tcPr>
            <w:tcW w:w="453" w:type="pct"/>
            <w:tcBorders>
              <w:top w:val="nil"/>
              <w:left w:val="nil"/>
              <w:bottom w:val="nil"/>
              <w:right w:val="nil"/>
            </w:tcBorders>
            <w:shd w:val="clear" w:color="auto" w:fill="auto"/>
            <w:vAlign w:val="center"/>
            <w:hideMark/>
          </w:tcPr>
          <w:p w14:paraId="732FA30B"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w:t>
            </w:r>
          </w:p>
        </w:tc>
        <w:tc>
          <w:tcPr>
            <w:tcW w:w="70" w:type="pct"/>
            <w:tcBorders>
              <w:top w:val="nil"/>
              <w:left w:val="nil"/>
              <w:bottom w:val="nil"/>
              <w:right w:val="nil"/>
            </w:tcBorders>
            <w:shd w:val="clear" w:color="auto" w:fill="auto"/>
            <w:noWrap/>
            <w:vAlign w:val="bottom"/>
            <w:hideMark/>
          </w:tcPr>
          <w:p w14:paraId="058EDD47"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93" w:type="pct"/>
            <w:tcBorders>
              <w:top w:val="nil"/>
              <w:left w:val="nil"/>
              <w:bottom w:val="nil"/>
              <w:right w:val="nil"/>
            </w:tcBorders>
            <w:shd w:val="clear" w:color="000000" w:fill="D9E1F2"/>
            <w:noWrap/>
            <w:vAlign w:val="center"/>
            <w:hideMark/>
          </w:tcPr>
          <w:p w14:paraId="54CB9F12"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(417)</w:t>
            </w:r>
          </w:p>
        </w:tc>
        <w:tc>
          <w:tcPr>
            <w:tcW w:w="393" w:type="pct"/>
            <w:tcBorders>
              <w:top w:val="nil"/>
              <w:left w:val="nil"/>
              <w:bottom w:val="nil"/>
              <w:right w:val="nil"/>
            </w:tcBorders>
            <w:shd w:val="clear" w:color="auto" w:fill="auto"/>
            <w:noWrap/>
            <w:vAlign w:val="center"/>
            <w:hideMark/>
          </w:tcPr>
          <w:p w14:paraId="22A24ACF"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(474)</w:t>
            </w:r>
          </w:p>
        </w:tc>
        <w:tc>
          <w:tcPr>
            <w:tcW w:w="70" w:type="pct"/>
            <w:tcBorders>
              <w:top w:val="nil"/>
              <w:left w:val="nil"/>
              <w:bottom w:val="nil"/>
              <w:right w:val="nil"/>
            </w:tcBorders>
            <w:shd w:val="clear" w:color="auto" w:fill="auto"/>
            <w:noWrap/>
            <w:vAlign w:val="bottom"/>
            <w:hideMark/>
          </w:tcPr>
          <w:p w14:paraId="471CB5CD"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09" w:type="pct"/>
            <w:tcBorders>
              <w:top w:val="nil"/>
              <w:left w:val="nil"/>
              <w:bottom w:val="nil"/>
              <w:right w:val="nil"/>
            </w:tcBorders>
            <w:shd w:val="clear" w:color="auto" w:fill="auto"/>
            <w:vAlign w:val="center"/>
            <w:hideMark/>
          </w:tcPr>
          <w:p w14:paraId="337741B4"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-12,0%</w:t>
            </w:r>
          </w:p>
        </w:tc>
      </w:tr>
      <w:tr w:rsidR="00AA1F87" w:rsidRPr="00AA1F87" w14:paraId="60FC0103" w14:textId="77777777" w:rsidTr="00446A14">
        <w:trPr>
          <w:trHeight w:val="198"/>
        </w:trPr>
        <w:tc>
          <w:tcPr>
            <w:tcW w:w="1619" w:type="pct"/>
            <w:tcBorders>
              <w:top w:val="nil"/>
              <w:left w:val="nil"/>
              <w:bottom w:val="nil"/>
              <w:right w:val="nil"/>
            </w:tcBorders>
            <w:shd w:val="clear" w:color="auto" w:fill="auto"/>
            <w:noWrap/>
            <w:vAlign w:val="center"/>
            <w:hideMark/>
          </w:tcPr>
          <w:p w14:paraId="5513D261" w14:textId="77777777" w:rsidR="00AA1F87" w:rsidRPr="00AA1F87" w:rsidRDefault="00AA1F87" w:rsidP="00AA1F87">
            <w:pPr>
              <w:spacing w:after="0" w:line="240" w:lineRule="auto"/>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Baixa de Bens do Ativo Imobilizado</w:t>
            </w:r>
          </w:p>
        </w:tc>
        <w:tc>
          <w:tcPr>
            <w:tcW w:w="413" w:type="pct"/>
            <w:tcBorders>
              <w:top w:val="nil"/>
              <w:left w:val="nil"/>
              <w:bottom w:val="nil"/>
              <w:right w:val="nil"/>
            </w:tcBorders>
            <w:shd w:val="clear" w:color="000000" w:fill="D9E1F2"/>
            <w:noWrap/>
            <w:vAlign w:val="center"/>
            <w:hideMark/>
          </w:tcPr>
          <w:p w14:paraId="747ABC83"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    </w:t>
            </w:r>
          </w:p>
        </w:tc>
        <w:tc>
          <w:tcPr>
            <w:tcW w:w="413" w:type="pct"/>
            <w:tcBorders>
              <w:top w:val="nil"/>
              <w:left w:val="nil"/>
              <w:bottom w:val="nil"/>
              <w:right w:val="nil"/>
            </w:tcBorders>
            <w:shd w:val="clear" w:color="auto" w:fill="auto"/>
            <w:noWrap/>
            <w:vAlign w:val="center"/>
            <w:hideMark/>
          </w:tcPr>
          <w:p w14:paraId="239EDAC3"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    </w:t>
            </w:r>
          </w:p>
        </w:tc>
        <w:tc>
          <w:tcPr>
            <w:tcW w:w="393" w:type="pct"/>
            <w:tcBorders>
              <w:top w:val="nil"/>
              <w:left w:val="nil"/>
              <w:bottom w:val="nil"/>
              <w:right w:val="nil"/>
            </w:tcBorders>
            <w:shd w:val="clear" w:color="auto" w:fill="auto"/>
            <w:noWrap/>
            <w:vAlign w:val="center"/>
            <w:hideMark/>
          </w:tcPr>
          <w:p w14:paraId="203B3758"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383 </w:t>
            </w:r>
          </w:p>
        </w:tc>
        <w:tc>
          <w:tcPr>
            <w:tcW w:w="76" w:type="pct"/>
            <w:tcBorders>
              <w:top w:val="nil"/>
              <w:left w:val="nil"/>
              <w:bottom w:val="nil"/>
              <w:right w:val="nil"/>
            </w:tcBorders>
            <w:shd w:val="clear" w:color="auto" w:fill="auto"/>
            <w:noWrap/>
            <w:vAlign w:val="center"/>
            <w:hideMark/>
          </w:tcPr>
          <w:p w14:paraId="1AC6EFE8"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98" w:type="pct"/>
            <w:tcBorders>
              <w:top w:val="nil"/>
              <w:left w:val="nil"/>
              <w:bottom w:val="nil"/>
              <w:right w:val="nil"/>
            </w:tcBorders>
            <w:shd w:val="clear" w:color="auto" w:fill="auto"/>
            <w:vAlign w:val="center"/>
            <w:hideMark/>
          </w:tcPr>
          <w:p w14:paraId="5CEE4EF4"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w:t>
            </w:r>
          </w:p>
        </w:tc>
        <w:tc>
          <w:tcPr>
            <w:tcW w:w="453" w:type="pct"/>
            <w:tcBorders>
              <w:top w:val="nil"/>
              <w:left w:val="nil"/>
              <w:bottom w:val="nil"/>
              <w:right w:val="nil"/>
            </w:tcBorders>
            <w:shd w:val="clear" w:color="auto" w:fill="auto"/>
            <w:vAlign w:val="center"/>
            <w:hideMark/>
          </w:tcPr>
          <w:p w14:paraId="3D57BEE8" w14:textId="77777777" w:rsidR="00AA1F87" w:rsidRPr="00AA1F87" w:rsidRDefault="00AA1F87" w:rsidP="00AA1F87">
            <w:pPr>
              <w:spacing w:after="0" w:line="240" w:lineRule="auto"/>
              <w:jc w:val="right"/>
              <w:rPr>
                <w:rFonts w:ascii="Arial" w:eastAsia="Times New Roman" w:hAnsi="Arial" w:cs="Arial"/>
                <w:color w:val="000000"/>
                <w:kern w:val="0"/>
                <w:sz w:val="13"/>
                <w:szCs w:val="13"/>
                <w:lang w:eastAsia="pt-BR"/>
                <w14:ligatures w14:val="none"/>
              </w:rPr>
            </w:pPr>
            <w:r w:rsidRPr="00AA1F87">
              <w:rPr>
                <w:rFonts w:ascii="Arial" w:eastAsia="Times New Roman" w:hAnsi="Arial" w:cs="Arial"/>
                <w:color w:val="000000"/>
                <w:kern w:val="0"/>
                <w:sz w:val="13"/>
                <w:szCs w:val="13"/>
                <w:lang w:eastAsia="pt-BR"/>
                <w14:ligatures w14:val="none"/>
              </w:rPr>
              <w:t>-100,0%</w:t>
            </w:r>
          </w:p>
        </w:tc>
        <w:tc>
          <w:tcPr>
            <w:tcW w:w="70" w:type="pct"/>
            <w:tcBorders>
              <w:top w:val="nil"/>
              <w:left w:val="nil"/>
              <w:bottom w:val="nil"/>
              <w:right w:val="nil"/>
            </w:tcBorders>
            <w:shd w:val="clear" w:color="auto" w:fill="auto"/>
            <w:noWrap/>
            <w:vAlign w:val="bottom"/>
            <w:hideMark/>
          </w:tcPr>
          <w:p w14:paraId="6A43A312" w14:textId="77777777" w:rsidR="00AA1F87" w:rsidRPr="00AA1F87" w:rsidRDefault="00AA1F87" w:rsidP="00AA1F87">
            <w:pPr>
              <w:spacing w:after="0" w:line="240" w:lineRule="auto"/>
              <w:jc w:val="right"/>
              <w:rPr>
                <w:rFonts w:ascii="Arial" w:eastAsia="Times New Roman" w:hAnsi="Arial" w:cs="Arial"/>
                <w:color w:val="000000"/>
                <w:kern w:val="0"/>
                <w:sz w:val="13"/>
                <w:szCs w:val="13"/>
                <w:lang w:eastAsia="pt-BR"/>
                <w14:ligatures w14:val="none"/>
              </w:rPr>
            </w:pPr>
          </w:p>
        </w:tc>
        <w:tc>
          <w:tcPr>
            <w:tcW w:w="393" w:type="pct"/>
            <w:tcBorders>
              <w:top w:val="nil"/>
              <w:left w:val="nil"/>
              <w:bottom w:val="nil"/>
              <w:right w:val="nil"/>
            </w:tcBorders>
            <w:shd w:val="clear" w:color="000000" w:fill="D9E1F2"/>
            <w:noWrap/>
            <w:vAlign w:val="center"/>
            <w:hideMark/>
          </w:tcPr>
          <w:p w14:paraId="3FD3CCBF"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383 </w:t>
            </w:r>
          </w:p>
        </w:tc>
        <w:tc>
          <w:tcPr>
            <w:tcW w:w="393" w:type="pct"/>
            <w:tcBorders>
              <w:top w:val="nil"/>
              <w:left w:val="nil"/>
              <w:bottom w:val="nil"/>
              <w:right w:val="nil"/>
            </w:tcBorders>
            <w:shd w:val="clear" w:color="auto" w:fill="auto"/>
            <w:noWrap/>
            <w:vAlign w:val="center"/>
            <w:hideMark/>
          </w:tcPr>
          <w:p w14:paraId="3B6281BF"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16.643 </w:t>
            </w:r>
          </w:p>
        </w:tc>
        <w:tc>
          <w:tcPr>
            <w:tcW w:w="70" w:type="pct"/>
            <w:tcBorders>
              <w:top w:val="nil"/>
              <w:left w:val="nil"/>
              <w:bottom w:val="nil"/>
              <w:right w:val="nil"/>
            </w:tcBorders>
            <w:shd w:val="clear" w:color="auto" w:fill="auto"/>
            <w:noWrap/>
            <w:vAlign w:val="bottom"/>
            <w:hideMark/>
          </w:tcPr>
          <w:p w14:paraId="4D18455E"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09" w:type="pct"/>
            <w:tcBorders>
              <w:top w:val="nil"/>
              <w:left w:val="nil"/>
              <w:bottom w:val="nil"/>
              <w:right w:val="nil"/>
            </w:tcBorders>
            <w:shd w:val="clear" w:color="auto" w:fill="auto"/>
            <w:vAlign w:val="center"/>
            <w:hideMark/>
          </w:tcPr>
          <w:p w14:paraId="3729FDD7"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-97,7%</w:t>
            </w:r>
          </w:p>
        </w:tc>
      </w:tr>
      <w:tr w:rsidR="00AA1F87" w:rsidRPr="00AA1F87" w14:paraId="1DA2776D" w14:textId="77777777" w:rsidTr="00446A14">
        <w:trPr>
          <w:trHeight w:val="198"/>
        </w:trPr>
        <w:tc>
          <w:tcPr>
            <w:tcW w:w="1619" w:type="pct"/>
            <w:tcBorders>
              <w:top w:val="nil"/>
              <w:left w:val="nil"/>
              <w:bottom w:val="nil"/>
              <w:right w:val="nil"/>
            </w:tcBorders>
            <w:shd w:val="clear" w:color="auto" w:fill="auto"/>
            <w:noWrap/>
            <w:vAlign w:val="center"/>
            <w:hideMark/>
          </w:tcPr>
          <w:p w14:paraId="3EBFBD1C" w14:textId="77777777" w:rsidR="00AA1F87" w:rsidRPr="00AA1F87" w:rsidRDefault="00AA1F87" w:rsidP="00AA1F87">
            <w:pPr>
              <w:spacing w:after="0" w:line="240" w:lineRule="auto"/>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Multas Contratuais - Dataprev</w:t>
            </w:r>
          </w:p>
        </w:tc>
        <w:tc>
          <w:tcPr>
            <w:tcW w:w="413" w:type="pct"/>
            <w:tcBorders>
              <w:top w:val="nil"/>
              <w:left w:val="nil"/>
              <w:bottom w:val="nil"/>
              <w:right w:val="nil"/>
            </w:tcBorders>
            <w:shd w:val="clear" w:color="000000" w:fill="D9E1F2"/>
            <w:noWrap/>
            <w:vAlign w:val="center"/>
            <w:hideMark/>
          </w:tcPr>
          <w:p w14:paraId="5CC6C006"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(44)</w:t>
            </w:r>
          </w:p>
        </w:tc>
        <w:tc>
          <w:tcPr>
            <w:tcW w:w="413" w:type="pct"/>
            <w:tcBorders>
              <w:top w:val="nil"/>
              <w:left w:val="nil"/>
              <w:bottom w:val="nil"/>
              <w:right w:val="nil"/>
            </w:tcBorders>
            <w:shd w:val="clear" w:color="auto" w:fill="auto"/>
            <w:noWrap/>
            <w:vAlign w:val="center"/>
            <w:hideMark/>
          </w:tcPr>
          <w:p w14:paraId="4FC192C0"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    </w:t>
            </w:r>
          </w:p>
        </w:tc>
        <w:tc>
          <w:tcPr>
            <w:tcW w:w="393" w:type="pct"/>
            <w:tcBorders>
              <w:top w:val="nil"/>
              <w:left w:val="nil"/>
              <w:bottom w:val="nil"/>
              <w:right w:val="nil"/>
            </w:tcBorders>
            <w:shd w:val="clear" w:color="auto" w:fill="auto"/>
            <w:noWrap/>
            <w:vAlign w:val="center"/>
            <w:hideMark/>
          </w:tcPr>
          <w:p w14:paraId="5027B128"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39.396 </w:t>
            </w:r>
          </w:p>
        </w:tc>
        <w:tc>
          <w:tcPr>
            <w:tcW w:w="76" w:type="pct"/>
            <w:tcBorders>
              <w:top w:val="nil"/>
              <w:left w:val="nil"/>
              <w:bottom w:val="nil"/>
              <w:right w:val="nil"/>
            </w:tcBorders>
            <w:shd w:val="clear" w:color="auto" w:fill="auto"/>
            <w:noWrap/>
            <w:vAlign w:val="center"/>
            <w:hideMark/>
          </w:tcPr>
          <w:p w14:paraId="1DC42A78"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98" w:type="pct"/>
            <w:tcBorders>
              <w:top w:val="nil"/>
              <w:left w:val="nil"/>
              <w:bottom w:val="nil"/>
              <w:right w:val="nil"/>
            </w:tcBorders>
            <w:shd w:val="clear" w:color="auto" w:fill="auto"/>
            <w:vAlign w:val="center"/>
            <w:hideMark/>
          </w:tcPr>
          <w:p w14:paraId="099DF665"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100,0%</w:t>
            </w:r>
          </w:p>
        </w:tc>
        <w:tc>
          <w:tcPr>
            <w:tcW w:w="453" w:type="pct"/>
            <w:tcBorders>
              <w:top w:val="nil"/>
              <w:left w:val="nil"/>
              <w:bottom w:val="nil"/>
              <w:right w:val="nil"/>
            </w:tcBorders>
            <w:shd w:val="clear" w:color="auto" w:fill="auto"/>
            <w:vAlign w:val="center"/>
            <w:hideMark/>
          </w:tcPr>
          <w:p w14:paraId="0C022808" w14:textId="77777777" w:rsidR="00AA1F87" w:rsidRPr="00AA1F87" w:rsidRDefault="00AA1F87" w:rsidP="00AA1F87">
            <w:pPr>
              <w:spacing w:after="0" w:line="240" w:lineRule="auto"/>
              <w:jc w:val="right"/>
              <w:rPr>
                <w:rFonts w:ascii="Arial" w:eastAsia="Times New Roman" w:hAnsi="Arial" w:cs="Arial"/>
                <w:color w:val="000000"/>
                <w:kern w:val="0"/>
                <w:sz w:val="13"/>
                <w:szCs w:val="13"/>
                <w:lang w:eastAsia="pt-BR"/>
                <w14:ligatures w14:val="none"/>
              </w:rPr>
            </w:pPr>
            <w:r w:rsidRPr="00AA1F87">
              <w:rPr>
                <w:rFonts w:ascii="Arial" w:eastAsia="Times New Roman" w:hAnsi="Arial" w:cs="Arial"/>
                <w:color w:val="000000"/>
                <w:kern w:val="0"/>
                <w:sz w:val="13"/>
                <w:szCs w:val="13"/>
                <w:lang w:eastAsia="pt-BR"/>
                <w14:ligatures w14:val="none"/>
              </w:rPr>
              <w:t>-100,1%</w:t>
            </w:r>
          </w:p>
        </w:tc>
        <w:tc>
          <w:tcPr>
            <w:tcW w:w="70" w:type="pct"/>
            <w:tcBorders>
              <w:top w:val="nil"/>
              <w:left w:val="nil"/>
              <w:bottom w:val="nil"/>
              <w:right w:val="nil"/>
            </w:tcBorders>
            <w:shd w:val="clear" w:color="auto" w:fill="auto"/>
            <w:noWrap/>
            <w:vAlign w:val="bottom"/>
            <w:hideMark/>
          </w:tcPr>
          <w:p w14:paraId="49C67C3E" w14:textId="77777777" w:rsidR="00AA1F87" w:rsidRPr="00AA1F87" w:rsidRDefault="00AA1F87" w:rsidP="00AA1F87">
            <w:pPr>
              <w:spacing w:after="0" w:line="240" w:lineRule="auto"/>
              <w:jc w:val="right"/>
              <w:rPr>
                <w:rFonts w:ascii="Arial" w:eastAsia="Times New Roman" w:hAnsi="Arial" w:cs="Arial"/>
                <w:color w:val="000000"/>
                <w:kern w:val="0"/>
                <w:sz w:val="13"/>
                <w:szCs w:val="13"/>
                <w:lang w:eastAsia="pt-BR"/>
                <w14:ligatures w14:val="none"/>
              </w:rPr>
            </w:pPr>
          </w:p>
        </w:tc>
        <w:tc>
          <w:tcPr>
            <w:tcW w:w="393" w:type="pct"/>
            <w:tcBorders>
              <w:top w:val="nil"/>
              <w:left w:val="nil"/>
              <w:bottom w:val="nil"/>
              <w:right w:val="nil"/>
            </w:tcBorders>
            <w:shd w:val="clear" w:color="000000" w:fill="D9E1F2"/>
            <w:noWrap/>
            <w:vAlign w:val="center"/>
            <w:hideMark/>
          </w:tcPr>
          <w:p w14:paraId="5E993F59"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39.352 </w:t>
            </w:r>
          </w:p>
        </w:tc>
        <w:tc>
          <w:tcPr>
            <w:tcW w:w="393" w:type="pct"/>
            <w:tcBorders>
              <w:top w:val="nil"/>
              <w:left w:val="nil"/>
              <w:bottom w:val="nil"/>
              <w:right w:val="nil"/>
            </w:tcBorders>
            <w:shd w:val="clear" w:color="auto" w:fill="auto"/>
            <w:noWrap/>
            <w:vAlign w:val="center"/>
            <w:hideMark/>
          </w:tcPr>
          <w:p w14:paraId="38201798"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 </w:t>
            </w:r>
          </w:p>
        </w:tc>
        <w:tc>
          <w:tcPr>
            <w:tcW w:w="70" w:type="pct"/>
            <w:tcBorders>
              <w:top w:val="nil"/>
              <w:left w:val="nil"/>
              <w:bottom w:val="nil"/>
              <w:right w:val="nil"/>
            </w:tcBorders>
            <w:shd w:val="clear" w:color="auto" w:fill="auto"/>
            <w:noWrap/>
            <w:vAlign w:val="bottom"/>
            <w:hideMark/>
          </w:tcPr>
          <w:p w14:paraId="4235E907"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09" w:type="pct"/>
            <w:tcBorders>
              <w:top w:val="nil"/>
              <w:left w:val="nil"/>
              <w:bottom w:val="nil"/>
              <w:right w:val="nil"/>
            </w:tcBorders>
            <w:shd w:val="clear" w:color="auto" w:fill="auto"/>
            <w:vAlign w:val="center"/>
            <w:hideMark/>
          </w:tcPr>
          <w:p w14:paraId="29397DF9"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100,0%</w:t>
            </w:r>
          </w:p>
        </w:tc>
      </w:tr>
      <w:tr w:rsidR="00AA1F87" w:rsidRPr="00AA1F87" w14:paraId="78E44B31" w14:textId="77777777" w:rsidTr="00446A14">
        <w:trPr>
          <w:trHeight w:val="198"/>
        </w:trPr>
        <w:tc>
          <w:tcPr>
            <w:tcW w:w="1619" w:type="pct"/>
            <w:tcBorders>
              <w:top w:val="nil"/>
              <w:left w:val="nil"/>
              <w:bottom w:val="nil"/>
              <w:right w:val="nil"/>
            </w:tcBorders>
            <w:shd w:val="clear" w:color="auto" w:fill="auto"/>
            <w:noWrap/>
            <w:vAlign w:val="center"/>
            <w:hideMark/>
          </w:tcPr>
          <w:p w14:paraId="7CCC4C63" w14:textId="77777777" w:rsidR="00AA1F87" w:rsidRPr="00AA1F87" w:rsidRDefault="00AA1F87" w:rsidP="00AA1F87">
            <w:pPr>
              <w:spacing w:after="0" w:line="240" w:lineRule="auto"/>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Baixa de Créditos Tributários</w:t>
            </w:r>
          </w:p>
        </w:tc>
        <w:tc>
          <w:tcPr>
            <w:tcW w:w="413" w:type="pct"/>
            <w:tcBorders>
              <w:top w:val="nil"/>
              <w:left w:val="nil"/>
              <w:bottom w:val="nil"/>
              <w:right w:val="nil"/>
            </w:tcBorders>
            <w:shd w:val="clear" w:color="000000" w:fill="D9E1F2"/>
            <w:noWrap/>
            <w:vAlign w:val="center"/>
            <w:hideMark/>
          </w:tcPr>
          <w:p w14:paraId="449B7038"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         </w:t>
            </w:r>
          </w:p>
        </w:tc>
        <w:tc>
          <w:tcPr>
            <w:tcW w:w="413" w:type="pct"/>
            <w:tcBorders>
              <w:top w:val="nil"/>
              <w:left w:val="nil"/>
              <w:bottom w:val="nil"/>
              <w:right w:val="nil"/>
            </w:tcBorders>
            <w:shd w:val="clear" w:color="auto" w:fill="auto"/>
            <w:noWrap/>
            <w:vAlign w:val="center"/>
            <w:hideMark/>
          </w:tcPr>
          <w:p w14:paraId="1A2CF0BC"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         </w:t>
            </w:r>
          </w:p>
        </w:tc>
        <w:tc>
          <w:tcPr>
            <w:tcW w:w="393" w:type="pct"/>
            <w:tcBorders>
              <w:top w:val="nil"/>
              <w:left w:val="nil"/>
              <w:bottom w:val="nil"/>
              <w:right w:val="nil"/>
            </w:tcBorders>
            <w:shd w:val="clear" w:color="auto" w:fill="auto"/>
            <w:noWrap/>
            <w:vAlign w:val="center"/>
            <w:hideMark/>
          </w:tcPr>
          <w:p w14:paraId="491C0E59" w14:textId="77777777" w:rsidR="00AA1F87" w:rsidRPr="00AA1F87" w:rsidRDefault="00AA1F87" w:rsidP="00AA1F87">
            <w:pPr>
              <w:spacing w:after="0" w:line="240" w:lineRule="auto"/>
              <w:jc w:val="center"/>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 </w:t>
            </w:r>
          </w:p>
        </w:tc>
        <w:tc>
          <w:tcPr>
            <w:tcW w:w="76" w:type="pct"/>
            <w:tcBorders>
              <w:top w:val="nil"/>
              <w:left w:val="nil"/>
              <w:bottom w:val="nil"/>
              <w:right w:val="nil"/>
            </w:tcBorders>
            <w:shd w:val="clear" w:color="auto" w:fill="auto"/>
            <w:noWrap/>
            <w:vAlign w:val="center"/>
            <w:hideMark/>
          </w:tcPr>
          <w:p w14:paraId="545F530F" w14:textId="77777777" w:rsidR="00AA1F87" w:rsidRPr="00AA1F87" w:rsidRDefault="00AA1F87" w:rsidP="00AA1F87">
            <w:pPr>
              <w:spacing w:after="0" w:line="240" w:lineRule="auto"/>
              <w:jc w:val="center"/>
              <w:rPr>
                <w:rFonts w:ascii="Arial" w:eastAsia="Times New Roman" w:hAnsi="Arial" w:cs="Arial"/>
                <w:color w:val="000000"/>
                <w:kern w:val="0"/>
                <w:sz w:val="15"/>
                <w:szCs w:val="15"/>
                <w:lang w:eastAsia="pt-BR"/>
                <w14:ligatures w14:val="none"/>
              </w:rPr>
            </w:pPr>
          </w:p>
        </w:tc>
        <w:tc>
          <w:tcPr>
            <w:tcW w:w="398" w:type="pct"/>
            <w:tcBorders>
              <w:top w:val="nil"/>
              <w:left w:val="nil"/>
              <w:bottom w:val="nil"/>
              <w:right w:val="nil"/>
            </w:tcBorders>
            <w:shd w:val="clear" w:color="auto" w:fill="auto"/>
            <w:vAlign w:val="center"/>
            <w:hideMark/>
          </w:tcPr>
          <w:p w14:paraId="68024169"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w:t>
            </w:r>
          </w:p>
        </w:tc>
        <w:tc>
          <w:tcPr>
            <w:tcW w:w="453" w:type="pct"/>
            <w:tcBorders>
              <w:top w:val="nil"/>
              <w:left w:val="nil"/>
              <w:bottom w:val="nil"/>
              <w:right w:val="nil"/>
            </w:tcBorders>
            <w:shd w:val="clear" w:color="auto" w:fill="auto"/>
            <w:vAlign w:val="center"/>
            <w:hideMark/>
          </w:tcPr>
          <w:p w14:paraId="3994469E"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w:t>
            </w:r>
          </w:p>
        </w:tc>
        <w:tc>
          <w:tcPr>
            <w:tcW w:w="70" w:type="pct"/>
            <w:tcBorders>
              <w:top w:val="nil"/>
              <w:left w:val="nil"/>
              <w:bottom w:val="nil"/>
              <w:right w:val="nil"/>
            </w:tcBorders>
            <w:shd w:val="clear" w:color="auto" w:fill="auto"/>
            <w:noWrap/>
            <w:vAlign w:val="bottom"/>
            <w:hideMark/>
          </w:tcPr>
          <w:p w14:paraId="0865DD57"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93" w:type="pct"/>
            <w:tcBorders>
              <w:top w:val="nil"/>
              <w:left w:val="nil"/>
              <w:bottom w:val="nil"/>
              <w:right w:val="nil"/>
            </w:tcBorders>
            <w:shd w:val="clear" w:color="000000" w:fill="D9E1F2"/>
            <w:noWrap/>
            <w:vAlign w:val="center"/>
            <w:hideMark/>
          </w:tcPr>
          <w:p w14:paraId="46E90016"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7.183 </w:t>
            </w:r>
          </w:p>
        </w:tc>
        <w:tc>
          <w:tcPr>
            <w:tcW w:w="393" w:type="pct"/>
            <w:tcBorders>
              <w:top w:val="nil"/>
              <w:left w:val="nil"/>
              <w:bottom w:val="nil"/>
              <w:right w:val="nil"/>
            </w:tcBorders>
            <w:shd w:val="clear" w:color="auto" w:fill="auto"/>
            <w:noWrap/>
            <w:vAlign w:val="center"/>
            <w:hideMark/>
          </w:tcPr>
          <w:p w14:paraId="73B52FA5"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 </w:t>
            </w:r>
          </w:p>
        </w:tc>
        <w:tc>
          <w:tcPr>
            <w:tcW w:w="70" w:type="pct"/>
            <w:tcBorders>
              <w:top w:val="nil"/>
              <w:left w:val="nil"/>
              <w:bottom w:val="nil"/>
              <w:right w:val="nil"/>
            </w:tcBorders>
            <w:shd w:val="clear" w:color="auto" w:fill="auto"/>
            <w:noWrap/>
            <w:vAlign w:val="bottom"/>
            <w:hideMark/>
          </w:tcPr>
          <w:p w14:paraId="08F1BD1D"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09" w:type="pct"/>
            <w:tcBorders>
              <w:top w:val="nil"/>
              <w:left w:val="nil"/>
              <w:bottom w:val="nil"/>
              <w:right w:val="nil"/>
            </w:tcBorders>
            <w:shd w:val="clear" w:color="auto" w:fill="auto"/>
            <w:vAlign w:val="center"/>
            <w:hideMark/>
          </w:tcPr>
          <w:p w14:paraId="3CF0B1DD"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100,0%</w:t>
            </w:r>
          </w:p>
        </w:tc>
      </w:tr>
      <w:tr w:rsidR="00AA1F87" w:rsidRPr="00AA1F87" w14:paraId="77AE59F7" w14:textId="77777777" w:rsidTr="00446A14">
        <w:trPr>
          <w:trHeight w:val="198"/>
        </w:trPr>
        <w:tc>
          <w:tcPr>
            <w:tcW w:w="1619" w:type="pct"/>
            <w:tcBorders>
              <w:top w:val="nil"/>
              <w:left w:val="nil"/>
              <w:bottom w:val="nil"/>
              <w:right w:val="nil"/>
            </w:tcBorders>
            <w:shd w:val="clear" w:color="000000" w:fill="75F6F9"/>
            <w:vAlign w:val="center"/>
            <w:hideMark/>
          </w:tcPr>
          <w:p w14:paraId="692583D2" w14:textId="77777777" w:rsidR="00AA1F87" w:rsidRPr="00AA1F87" w:rsidRDefault="00AA1F87" w:rsidP="00AA1F87">
            <w:pPr>
              <w:spacing w:after="0" w:line="240" w:lineRule="auto"/>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EBITDA Ajustado</w:t>
            </w:r>
          </w:p>
        </w:tc>
        <w:tc>
          <w:tcPr>
            <w:tcW w:w="413" w:type="pct"/>
            <w:tcBorders>
              <w:top w:val="nil"/>
              <w:left w:val="nil"/>
              <w:bottom w:val="nil"/>
              <w:right w:val="nil"/>
            </w:tcBorders>
            <w:shd w:val="clear" w:color="000000" w:fill="75F6F9"/>
            <w:noWrap/>
            <w:vAlign w:val="center"/>
            <w:hideMark/>
          </w:tcPr>
          <w:p w14:paraId="5F3EF437"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 xml:space="preserve">      34.186 </w:t>
            </w:r>
          </w:p>
        </w:tc>
        <w:tc>
          <w:tcPr>
            <w:tcW w:w="413" w:type="pct"/>
            <w:tcBorders>
              <w:top w:val="nil"/>
              <w:left w:val="nil"/>
              <w:bottom w:val="nil"/>
              <w:right w:val="nil"/>
            </w:tcBorders>
            <w:shd w:val="clear" w:color="000000" w:fill="75F6F9"/>
            <w:noWrap/>
            <w:vAlign w:val="center"/>
            <w:hideMark/>
          </w:tcPr>
          <w:p w14:paraId="0D2BD586"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 xml:space="preserve">      82.646 </w:t>
            </w:r>
          </w:p>
        </w:tc>
        <w:tc>
          <w:tcPr>
            <w:tcW w:w="393" w:type="pct"/>
            <w:tcBorders>
              <w:top w:val="nil"/>
              <w:left w:val="nil"/>
              <w:bottom w:val="nil"/>
              <w:right w:val="nil"/>
            </w:tcBorders>
            <w:shd w:val="clear" w:color="000000" w:fill="75F6F9"/>
            <w:noWrap/>
            <w:vAlign w:val="center"/>
            <w:hideMark/>
          </w:tcPr>
          <w:p w14:paraId="65AB2C9A"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 xml:space="preserve">   23.698 </w:t>
            </w:r>
          </w:p>
        </w:tc>
        <w:tc>
          <w:tcPr>
            <w:tcW w:w="76" w:type="pct"/>
            <w:tcBorders>
              <w:top w:val="nil"/>
              <w:left w:val="nil"/>
              <w:bottom w:val="nil"/>
              <w:right w:val="nil"/>
            </w:tcBorders>
            <w:shd w:val="clear" w:color="auto" w:fill="auto"/>
            <w:noWrap/>
            <w:vAlign w:val="center"/>
            <w:hideMark/>
          </w:tcPr>
          <w:p w14:paraId="72DAEF40"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p>
        </w:tc>
        <w:tc>
          <w:tcPr>
            <w:tcW w:w="398" w:type="pct"/>
            <w:tcBorders>
              <w:top w:val="nil"/>
              <w:left w:val="nil"/>
              <w:bottom w:val="nil"/>
              <w:right w:val="nil"/>
            </w:tcBorders>
            <w:shd w:val="clear" w:color="000000" w:fill="75F6F9"/>
            <w:vAlign w:val="center"/>
            <w:hideMark/>
          </w:tcPr>
          <w:p w14:paraId="54196C40"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-59,5%</w:t>
            </w:r>
          </w:p>
        </w:tc>
        <w:tc>
          <w:tcPr>
            <w:tcW w:w="453" w:type="pct"/>
            <w:tcBorders>
              <w:top w:val="nil"/>
              <w:left w:val="nil"/>
              <w:bottom w:val="nil"/>
              <w:right w:val="nil"/>
            </w:tcBorders>
            <w:shd w:val="clear" w:color="000000" w:fill="75F6F9"/>
            <w:vAlign w:val="center"/>
            <w:hideMark/>
          </w:tcPr>
          <w:p w14:paraId="6E5AB2C8"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41,4%</w:t>
            </w:r>
          </w:p>
        </w:tc>
        <w:tc>
          <w:tcPr>
            <w:tcW w:w="70" w:type="pct"/>
            <w:tcBorders>
              <w:top w:val="nil"/>
              <w:left w:val="nil"/>
              <w:bottom w:val="nil"/>
              <w:right w:val="nil"/>
            </w:tcBorders>
            <w:shd w:val="clear" w:color="auto" w:fill="auto"/>
            <w:noWrap/>
            <w:vAlign w:val="bottom"/>
            <w:hideMark/>
          </w:tcPr>
          <w:p w14:paraId="28899333"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p>
        </w:tc>
        <w:tc>
          <w:tcPr>
            <w:tcW w:w="393" w:type="pct"/>
            <w:tcBorders>
              <w:top w:val="nil"/>
              <w:left w:val="nil"/>
              <w:bottom w:val="nil"/>
              <w:right w:val="nil"/>
            </w:tcBorders>
            <w:shd w:val="clear" w:color="000000" w:fill="75F6F9"/>
            <w:noWrap/>
            <w:vAlign w:val="center"/>
            <w:hideMark/>
          </w:tcPr>
          <w:p w14:paraId="40E0DEC6"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 xml:space="preserve">   197.904 </w:t>
            </w:r>
          </w:p>
        </w:tc>
        <w:tc>
          <w:tcPr>
            <w:tcW w:w="393" w:type="pct"/>
            <w:tcBorders>
              <w:top w:val="nil"/>
              <w:left w:val="nil"/>
              <w:bottom w:val="nil"/>
              <w:right w:val="nil"/>
            </w:tcBorders>
            <w:shd w:val="clear" w:color="000000" w:fill="75F6F9"/>
            <w:noWrap/>
            <w:vAlign w:val="center"/>
            <w:hideMark/>
          </w:tcPr>
          <w:p w14:paraId="0DCF2434"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 xml:space="preserve">   190.500 </w:t>
            </w:r>
          </w:p>
        </w:tc>
        <w:tc>
          <w:tcPr>
            <w:tcW w:w="70" w:type="pct"/>
            <w:tcBorders>
              <w:top w:val="nil"/>
              <w:left w:val="nil"/>
              <w:bottom w:val="nil"/>
              <w:right w:val="nil"/>
            </w:tcBorders>
            <w:shd w:val="clear" w:color="auto" w:fill="auto"/>
            <w:noWrap/>
            <w:vAlign w:val="bottom"/>
            <w:hideMark/>
          </w:tcPr>
          <w:p w14:paraId="5EACA34C"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p>
        </w:tc>
        <w:tc>
          <w:tcPr>
            <w:tcW w:w="309" w:type="pct"/>
            <w:tcBorders>
              <w:top w:val="nil"/>
              <w:left w:val="nil"/>
              <w:bottom w:val="nil"/>
              <w:right w:val="nil"/>
            </w:tcBorders>
            <w:shd w:val="clear" w:color="000000" w:fill="75F6F9"/>
            <w:vAlign w:val="center"/>
            <w:hideMark/>
          </w:tcPr>
          <w:p w14:paraId="20019498"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3,9%</w:t>
            </w:r>
          </w:p>
        </w:tc>
      </w:tr>
      <w:tr w:rsidR="00AA1F87" w:rsidRPr="00AA1F87" w14:paraId="4EA677FA" w14:textId="77777777" w:rsidTr="00446A14">
        <w:trPr>
          <w:trHeight w:val="198"/>
        </w:trPr>
        <w:tc>
          <w:tcPr>
            <w:tcW w:w="1619" w:type="pct"/>
            <w:tcBorders>
              <w:top w:val="nil"/>
              <w:left w:val="nil"/>
              <w:bottom w:val="nil"/>
              <w:right w:val="nil"/>
            </w:tcBorders>
            <w:shd w:val="clear" w:color="000000" w:fill="D9E1F2"/>
            <w:noWrap/>
            <w:vAlign w:val="center"/>
            <w:hideMark/>
          </w:tcPr>
          <w:p w14:paraId="76BE5542" w14:textId="77777777" w:rsidR="00AA1F87" w:rsidRPr="00AA1F87" w:rsidRDefault="00AA1F87" w:rsidP="00AA1F87">
            <w:pPr>
              <w:spacing w:after="0" w:line="240" w:lineRule="auto"/>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Margem EBITDA</w:t>
            </w:r>
          </w:p>
        </w:tc>
        <w:tc>
          <w:tcPr>
            <w:tcW w:w="413" w:type="pct"/>
            <w:tcBorders>
              <w:top w:val="nil"/>
              <w:left w:val="nil"/>
              <w:bottom w:val="nil"/>
              <w:right w:val="nil"/>
            </w:tcBorders>
            <w:shd w:val="clear" w:color="000000" w:fill="D9E1F2"/>
            <w:noWrap/>
            <w:vAlign w:val="center"/>
            <w:hideMark/>
          </w:tcPr>
          <w:p w14:paraId="7ED9C0FB"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38,6%</w:t>
            </w:r>
          </w:p>
        </w:tc>
        <w:tc>
          <w:tcPr>
            <w:tcW w:w="413" w:type="pct"/>
            <w:tcBorders>
              <w:top w:val="nil"/>
              <w:left w:val="nil"/>
              <w:bottom w:val="nil"/>
              <w:right w:val="nil"/>
            </w:tcBorders>
            <w:shd w:val="clear" w:color="000000" w:fill="D9E1F2"/>
            <w:noWrap/>
            <w:vAlign w:val="center"/>
            <w:hideMark/>
          </w:tcPr>
          <w:p w14:paraId="02CD4EB4"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91,7%</w:t>
            </w:r>
          </w:p>
        </w:tc>
        <w:tc>
          <w:tcPr>
            <w:tcW w:w="393" w:type="pct"/>
            <w:tcBorders>
              <w:top w:val="nil"/>
              <w:left w:val="nil"/>
              <w:bottom w:val="nil"/>
              <w:right w:val="nil"/>
            </w:tcBorders>
            <w:shd w:val="clear" w:color="000000" w:fill="D9E1F2"/>
            <w:noWrap/>
            <w:vAlign w:val="center"/>
            <w:hideMark/>
          </w:tcPr>
          <w:p w14:paraId="19510A10"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-13,6%</w:t>
            </w:r>
          </w:p>
        </w:tc>
        <w:tc>
          <w:tcPr>
            <w:tcW w:w="76" w:type="pct"/>
            <w:tcBorders>
              <w:top w:val="nil"/>
              <w:left w:val="nil"/>
              <w:bottom w:val="nil"/>
              <w:right w:val="nil"/>
            </w:tcBorders>
            <w:shd w:val="clear" w:color="auto" w:fill="auto"/>
            <w:noWrap/>
            <w:vAlign w:val="bottom"/>
            <w:hideMark/>
          </w:tcPr>
          <w:p w14:paraId="54FBC3E8"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p>
        </w:tc>
        <w:tc>
          <w:tcPr>
            <w:tcW w:w="398" w:type="pct"/>
            <w:tcBorders>
              <w:top w:val="nil"/>
              <w:left w:val="nil"/>
              <w:bottom w:val="nil"/>
              <w:right w:val="nil"/>
            </w:tcBorders>
            <w:shd w:val="clear" w:color="000000" w:fill="D9E1F2"/>
            <w:vAlign w:val="center"/>
            <w:hideMark/>
          </w:tcPr>
          <w:p w14:paraId="59977FAF"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-57,9%</w:t>
            </w:r>
          </w:p>
        </w:tc>
        <w:tc>
          <w:tcPr>
            <w:tcW w:w="453" w:type="pct"/>
            <w:tcBorders>
              <w:top w:val="nil"/>
              <w:left w:val="nil"/>
              <w:bottom w:val="nil"/>
              <w:right w:val="nil"/>
            </w:tcBorders>
            <w:shd w:val="clear" w:color="000000" w:fill="D9E1F2"/>
            <w:vAlign w:val="center"/>
            <w:hideMark/>
          </w:tcPr>
          <w:p w14:paraId="240A45B3"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-383,7%</w:t>
            </w:r>
          </w:p>
        </w:tc>
        <w:tc>
          <w:tcPr>
            <w:tcW w:w="70" w:type="pct"/>
            <w:tcBorders>
              <w:top w:val="nil"/>
              <w:left w:val="nil"/>
              <w:bottom w:val="nil"/>
              <w:right w:val="nil"/>
            </w:tcBorders>
            <w:shd w:val="clear" w:color="auto" w:fill="auto"/>
            <w:noWrap/>
            <w:vAlign w:val="bottom"/>
            <w:hideMark/>
          </w:tcPr>
          <w:p w14:paraId="3920B7CC"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p>
        </w:tc>
        <w:tc>
          <w:tcPr>
            <w:tcW w:w="393" w:type="pct"/>
            <w:tcBorders>
              <w:top w:val="nil"/>
              <w:left w:val="nil"/>
              <w:bottom w:val="nil"/>
              <w:right w:val="nil"/>
            </w:tcBorders>
            <w:shd w:val="clear" w:color="000000" w:fill="D9E1F2"/>
            <w:noWrap/>
            <w:vAlign w:val="center"/>
            <w:hideMark/>
          </w:tcPr>
          <w:p w14:paraId="3737E9CC"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44,7%</w:t>
            </w:r>
          </w:p>
        </w:tc>
        <w:tc>
          <w:tcPr>
            <w:tcW w:w="393" w:type="pct"/>
            <w:tcBorders>
              <w:top w:val="nil"/>
              <w:left w:val="nil"/>
              <w:bottom w:val="nil"/>
              <w:right w:val="nil"/>
            </w:tcBorders>
            <w:shd w:val="clear" w:color="000000" w:fill="D9E1F2"/>
            <w:noWrap/>
            <w:vAlign w:val="center"/>
            <w:hideMark/>
          </w:tcPr>
          <w:p w14:paraId="77110508"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50,0%</w:t>
            </w:r>
          </w:p>
        </w:tc>
        <w:tc>
          <w:tcPr>
            <w:tcW w:w="70" w:type="pct"/>
            <w:tcBorders>
              <w:top w:val="nil"/>
              <w:left w:val="nil"/>
              <w:bottom w:val="nil"/>
              <w:right w:val="nil"/>
            </w:tcBorders>
            <w:shd w:val="clear" w:color="auto" w:fill="auto"/>
            <w:noWrap/>
            <w:vAlign w:val="bottom"/>
            <w:hideMark/>
          </w:tcPr>
          <w:p w14:paraId="62FB0083"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p>
        </w:tc>
        <w:tc>
          <w:tcPr>
            <w:tcW w:w="309" w:type="pct"/>
            <w:tcBorders>
              <w:top w:val="nil"/>
              <w:left w:val="nil"/>
              <w:bottom w:val="nil"/>
              <w:right w:val="nil"/>
            </w:tcBorders>
            <w:shd w:val="clear" w:color="000000" w:fill="D9E1F2"/>
            <w:noWrap/>
            <w:vAlign w:val="center"/>
            <w:hideMark/>
          </w:tcPr>
          <w:p w14:paraId="524F7E20"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-10,6%</w:t>
            </w:r>
          </w:p>
        </w:tc>
      </w:tr>
      <w:tr w:rsidR="00AA1F87" w:rsidRPr="00AA1F87" w14:paraId="32F93902" w14:textId="77777777" w:rsidTr="00446A14">
        <w:trPr>
          <w:trHeight w:val="198"/>
        </w:trPr>
        <w:tc>
          <w:tcPr>
            <w:tcW w:w="1619" w:type="pct"/>
            <w:tcBorders>
              <w:top w:val="nil"/>
              <w:left w:val="nil"/>
              <w:bottom w:val="nil"/>
              <w:right w:val="nil"/>
            </w:tcBorders>
            <w:shd w:val="clear" w:color="000000" w:fill="75F6F9"/>
            <w:vAlign w:val="center"/>
            <w:hideMark/>
          </w:tcPr>
          <w:p w14:paraId="6355904E" w14:textId="77777777" w:rsidR="00AA1F87" w:rsidRPr="00AA1F87" w:rsidRDefault="00AA1F87" w:rsidP="00AA1F87">
            <w:pPr>
              <w:spacing w:after="0" w:line="240" w:lineRule="auto"/>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 xml:space="preserve">Margem EBITDA Ajustado </w:t>
            </w:r>
          </w:p>
        </w:tc>
        <w:tc>
          <w:tcPr>
            <w:tcW w:w="413" w:type="pct"/>
            <w:tcBorders>
              <w:top w:val="nil"/>
              <w:left w:val="nil"/>
              <w:bottom w:val="nil"/>
              <w:right w:val="nil"/>
            </w:tcBorders>
            <w:shd w:val="clear" w:color="000000" w:fill="75F6F9"/>
            <w:noWrap/>
            <w:vAlign w:val="center"/>
            <w:hideMark/>
          </w:tcPr>
          <w:p w14:paraId="648DDC0C"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31,1%</w:t>
            </w:r>
          </w:p>
        </w:tc>
        <w:tc>
          <w:tcPr>
            <w:tcW w:w="413" w:type="pct"/>
            <w:tcBorders>
              <w:top w:val="nil"/>
              <w:left w:val="nil"/>
              <w:bottom w:val="nil"/>
              <w:right w:val="nil"/>
            </w:tcBorders>
            <w:shd w:val="clear" w:color="000000" w:fill="75F6F9"/>
            <w:noWrap/>
            <w:vAlign w:val="center"/>
            <w:hideMark/>
          </w:tcPr>
          <w:p w14:paraId="313F9ECA"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91,5%</w:t>
            </w:r>
          </w:p>
        </w:tc>
        <w:tc>
          <w:tcPr>
            <w:tcW w:w="393" w:type="pct"/>
            <w:tcBorders>
              <w:top w:val="nil"/>
              <w:left w:val="nil"/>
              <w:bottom w:val="nil"/>
              <w:right w:val="nil"/>
            </w:tcBorders>
            <w:shd w:val="clear" w:color="000000" w:fill="75F6F9"/>
            <w:noWrap/>
            <w:vAlign w:val="center"/>
            <w:hideMark/>
          </w:tcPr>
          <w:p w14:paraId="70BB6A78"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21,8%</w:t>
            </w:r>
          </w:p>
        </w:tc>
        <w:tc>
          <w:tcPr>
            <w:tcW w:w="76" w:type="pct"/>
            <w:tcBorders>
              <w:top w:val="nil"/>
              <w:left w:val="nil"/>
              <w:bottom w:val="nil"/>
              <w:right w:val="nil"/>
            </w:tcBorders>
            <w:shd w:val="clear" w:color="auto" w:fill="auto"/>
            <w:noWrap/>
            <w:vAlign w:val="bottom"/>
            <w:hideMark/>
          </w:tcPr>
          <w:p w14:paraId="60F07B8C"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p>
        </w:tc>
        <w:tc>
          <w:tcPr>
            <w:tcW w:w="398" w:type="pct"/>
            <w:tcBorders>
              <w:top w:val="nil"/>
              <w:left w:val="nil"/>
              <w:bottom w:val="nil"/>
              <w:right w:val="nil"/>
            </w:tcBorders>
            <w:shd w:val="clear" w:color="000000" w:fill="75F6F9"/>
            <w:vAlign w:val="center"/>
            <w:hideMark/>
          </w:tcPr>
          <w:p w14:paraId="04C090BD"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-66,0%</w:t>
            </w:r>
          </w:p>
        </w:tc>
        <w:tc>
          <w:tcPr>
            <w:tcW w:w="453" w:type="pct"/>
            <w:tcBorders>
              <w:top w:val="nil"/>
              <w:left w:val="nil"/>
              <w:bottom w:val="nil"/>
              <w:right w:val="nil"/>
            </w:tcBorders>
            <w:shd w:val="clear" w:color="000000" w:fill="75F6F9"/>
            <w:vAlign w:val="center"/>
            <w:hideMark/>
          </w:tcPr>
          <w:p w14:paraId="6A7D6532"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42,9%</w:t>
            </w:r>
          </w:p>
        </w:tc>
        <w:tc>
          <w:tcPr>
            <w:tcW w:w="70" w:type="pct"/>
            <w:tcBorders>
              <w:top w:val="nil"/>
              <w:left w:val="nil"/>
              <w:bottom w:val="nil"/>
              <w:right w:val="nil"/>
            </w:tcBorders>
            <w:shd w:val="clear" w:color="auto" w:fill="auto"/>
            <w:noWrap/>
            <w:vAlign w:val="bottom"/>
            <w:hideMark/>
          </w:tcPr>
          <w:p w14:paraId="67A01464"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p>
        </w:tc>
        <w:tc>
          <w:tcPr>
            <w:tcW w:w="393" w:type="pct"/>
            <w:tcBorders>
              <w:top w:val="nil"/>
              <w:left w:val="nil"/>
              <w:bottom w:val="nil"/>
              <w:right w:val="nil"/>
            </w:tcBorders>
            <w:shd w:val="clear" w:color="000000" w:fill="75F6F9"/>
            <w:noWrap/>
            <w:vAlign w:val="center"/>
            <w:hideMark/>
          </w:tcPr>
          <w:p w14:paraId="033B2962"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47,5%</w:t>
            </w:r>
          </w:p>
        </w:tc>
        <w:tc>
          <w:tcPr>
            <w:tcW w:w="393" w:type="pct"/>
            <w:tcBorders>
              <w:top w:val="nil"/>
              <w:left w:val="nil"/>
              <w:bottom w:val="nil"/>
              <w:right w:val="nil"/>
            </w:tcBorders>
            <w:shd w:val="clear" w:color="000000" w:fill="75F6F9"/>
            <w:noWrap/>
            <w:vAlign w:val="center"/>
            <w:hideMark/>
          </w:tcPr>
          <w:p w14:paraId="0FAF3B0B"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54,8%</w:t>
            </w:r>
          </w:p>
        </w:tc>
        <w:tc>
          <w:tcPr>
            <w:tcW w:w="70" w:type="pct"/>
            <w:tcBorders>
              <w:top w:val="nil"/>
              <w:left w:val="nil"/>
              <w:bottom w:val="nil"/>
              <w:right w:val="nil"/>
            </w:tcBorders>
            <w:shd w:val="clear" w:color="auto" w:fill="auto"/>
            <w:noWrap/>
            <w:vAlign w:val="bottom"/>
            <w:hideMark/>
          </w:tcPr>
          <w:p w14:paraId="5078CF71"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p>
        </w:tc>
        <w:tc>
          <w:tcPr>
            <w:tcW w:w="309" w:type="pct"/>
            <w:tcBorders>
              <w:top w:val="nil"/>
              <w:left w:val="nil"/>
              <w:bottom w:val="nil"/>
              <w:right w:val="nil"/>
            </w:tcBorders>
            <w:shd w:val="clear" w:color="000000" w:fill="75F6F9"/>
            <w:vAlign w:val="center"/>
            <w:hideMark/>
          </w:tcPr>
          <w:p w14:paraId="45BB069B"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-13,3%</w:t>
            </w:r>
          </w:p>
        </w:tc>
      </w:tr>
    </w:tbl>
    <w:p w14:paraId="58BDEF92" w14:textId="77777777" w:rsidR="00AA1F87" w:rsidRPr="00AA1F87" w:rsidRDefault="00AA1F87" w:rsidP="00AA1F87">
      <w:pPr>
        <w:spacing w:after="0" w:line="240" w:lineRule="auto"/>
        <w:jc w:val="both"/>
        <w:rPr>
          <w:rFonts w:ascii="Calibri" w:eastAsia="Times New Roman" w:hAnsi="Calibri" w:cs="Calibri"/>
          <w:b/>
          <w:bCs/>
          <w:color w:val="002060"/>
          <w:kern w:val="0"/>
          <w:u w:val="single"/>
          <w14:ligatures w14:val="none"/>
        </w:rPr>
      </w:pPr>
    </w:p>
    <w:p w14:paraId="4BD43D8F" w14:textId="77777777" w:rsidR="00AA1F87" w:rsidRPr="00AA1F87" w:rsidRDefault="00AA1F87" w:rsidP="00AA1F87">
      <w:pPr>
        <w:spacing w:after="0" w:line="240" w:lineRule="auto"/>
        <w:jc w:val="both"/>
        <w:rPr>
          <w:rFonts w:ascii="Calibri" w:eastAsia="Times New Roman" w:hAnsi="Calibri" w:cs="Calibri"/>
          <w:b/>
          <w:bCs/>
          <w:color w:val="002060"/>
          <w:kern w:val="0"/>
          <w:u w:val="single"/>
          <w14:ligatures w14:val="none"/>
        </w:rPr>
      </w:pPr>
      <w:r w:rsidRPr="00AA1F87">
        <w:rPr>
          <w:rFonts w:ascii="Calibri" w:eastAsia="Times New Roman" w:hAnsi="Calibri" w:cs="Calibri"/>
          <w:b/>
          <w:bCs/>
          <w:color w:val="002060"/>
          <w:kern w:val="0"/>
          <w:u w:val="single"/>
          <w14:ligatures w14:val="none"/>
        </w:rPr>
        <w:t>Evolução do EBITDA Ajustado: 2022 – 2023 – R$ mil</w:t>
      </w:r>
    </w:p>
    <w:p w14:paraId="6B1D351B" w14:textId="327F63E2" w:rsidR="00871656" w:rsidRPr="00871656" w:rsidRDefault="00AA1F87" w:rsidP="00871656">
      <w:pPr>
        <w:spacing w:after="0" w:line="240" w:lineRule="auto"/>
        <w:jc w:val="both"/>
        <w:rPr>
          <w:rFonts w:ascii="Calibri" w:eastAsia="Times New Roman" w:hAnsi="Calibri" w:cs="Calibri"/>
          <w:color w:val="002060"/>
          <w:kern w:val="0"/>
          <w14:ligatures w14:val="none"/>
        </w:rPr>
      </w:pPr>
      <w:r>
        <w:rPr>
          <w:noProof/>
        </w:rPr>
        <w:drawing>
          <wp:inline distT="0" distB="0" distL="0" distR="0" wp14:anchorId="5C2794CA" wp14:editId="2208B769">
            <wp:extent cx="6210935" cy="2078602"/>
            <wp:effectExtent l="0" t="0" r="0" b="0"/>
            <wp:docPr id="1" name="Gráfico 1">
              <a:extLst xmlns:a="http://schemas.openxmlformats.org/drawingml/2006/main">
                <a:ext uri="{FF2B5EF4-FFF2-40B4-BE49-F238E27FC236}">
                  <a16:creationId xmlns:a16="http://schemas.microsoft.com/office/drawing/2014/main" id="{38695CB7-2CC5-42BE-95BE-8D27E4CF5D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CCE6125" w14:textId="77777777" w:rsidR="00871656" w:rsidRPr="00871656" w:rsidRDefault="00871656" w:rsidP="00871656">
      <w:pPr>
        <w:spacing w:after="0" w:line="240" w:lineRule="auto"/>
        <w:jc w:val="both"/>
        <w:rPr>
          <w:rFonts w:ascii="Calibri" w:eastAsia="Times New Roman" w:hAnsi="Calibri" w:cs="Calibri"/>
          <w:color w:val="002060"/>
          <w:kern w:val="0"/>
          <w14:ligatures w14:val="none"/>
        </w:rPr>
      </w:pPr>
    </w:p>
    <w:p w14:paraId="3B4290DF" w14:textId="77777777" w:rsidR="00AA1F87" w:rsidRDefault="00AA1F87" w:rsidP="00AA1F87">
      <w:pPr>
        <w:spacing w:after="0" w:line="240" w:lineRule="auto"/>
        <w:jc w:val="both"/>
        <w:rPr>
          <w:rFonts w:ascii="Calibri" w:eastAsia="Times New Roman" w:hAnsi="Calibri" w:cs="Calibri"/>
          <w:color w:val="002060"/>
          <w:kern w:val="0"/>
          <w14:ligatures w14:val="none"/>
        </w:rPr>
      </w:pPr>
      <w:r w:rsidRPr="00AA1F87">
        <w:rPr>
          <w:rFonts w:ascii="Calibri" w:eastAsia="Times New Roman" w:hAnsi="Calibri" w:cs="Calibri"/>
          <w:color w:val="002060"/>
          <w:kern w:val="0"/>
          <w14:ligatures w14:val="none"/>
        </w:rPr>
        <w:t xml:space="preserve">O EBITDA não é uma medida definida pelas práticas contábeis internacionais (IFRS) e representa o lucro / (prejuízo) antes do pagamento de juros, imposto de renda e contribuição social, depreciação e amortização. A Companhia divulga seu EBITDA Ajustado, conforme Instrução CVM N° 527, de 4 de outubro de 2012, e estes ajustes incluem a adição/exclusão do Resultado de Equivalência Patrimonial, da Depreciação e das Despesas Financeiras originadas das alterações do CPC 6(R2) / IFRS 16 – Operações de Arrendamento Mercantil e Outros Eventos não Recorrentes que possam vir a ocorrer no curso dos negócios da Companhia, para proporcionar </w:t>
      </w:r>
      <w:r w:rsidRPr="00AA1F87">
        <w:rPr>
          <w:rFonts w:ascii="Calibri" w:eastAsia="Times New Roman" w:hAnsi="Calibri" w:cs="Calibri"/>
          <w:color w:val="002060"/>
          <w:kern w:val="0"/>
          <w14:ligatures w14:val="none"/>
        </w:rPr>
        <w:lastRenderedPageBreak/>
        <w:t>melhores informações sobre sua capacidade de pagamento de dívidas, manutenção de seus investimentos e possibilidade de cobertura de suas necessidades de capital de giro. Ambas as medidas desse agregado (EBITDA e EBITDA Ajustado) não devem ser consideradas como alternativas ao Lucro Operacional e ao Fluxo de Caixa Operacional, quando utilizados como indicador de liquidez. Destaca</w:t>
      </w:r>
      <w:r>
        <w:rPr>
          <w:rFonts w:ascii="Calibri" w:eastAsia="Times New Roman" w:hAnsi="Calibri" w:cs="Calibri"/>
          <w:color w:val="002060"/>
          <w:kern w:val="0"/>
          <w14:ligatures w14:val="none"/>
        </w:rPr>
        <w:t>-se ainda</w:t>
      </w:r>
      <w:r w:rsidRPr="00AA1F87">
        <w:rPr>
          <w:rFonts w:ascii="Calibri" w:eastAsia="Times New Roman" w:hAnsi="Calibri" w:cs="Calibri"/>
          <w:color w:val="002060"/>
          <w:kern w:val="0"/>
          <w14:ligatures w14:val="none"/>
        </w:rPr>
        <w:t xml:space="preserve"> que o EBITDA Ajustado pode não ser comparável com o mesmo indicador divulgado por outras empresas.</w:t>
      </w:r>
    </w:p>
    <w:p w14:paraId="3CEA48B2" w14:textId="30AB6B5D" w:rsidR="00AA1F87" w:rsidRPr="00AA1F87" w:rsidRDefault="00AA1F87" w:rsidP="00AA1F87">
      <w:pPr>
        <w:spacing w:after="0" w:line="240" w:lineRule="auto"/>
        <w:jc w:val="both"/>
        <w:rPr>
          <w:rFonts w:ascii="Calibri" w:eastAsia="Times New Roman" w:hAnsi="Calibri" w:cs="Calibri"/>
          <w:color w:val="002060"/>
          <w:kern w:val="0"/>
          <w14:ligatures w14:val="none"/>
        </w:rPr>
      </w:pPr>
      <w:r w:rsidRPr="00AA1F87">
        <w:rPr>
          <w:rFonts w:ascii="Calibri" w:eastAsia="Times New Roman" w:hAnsi="Calibri" w:cs="Calibri"/>
          <w:color w:val="002060"/>
          <w:kern w:val="0"/>
          <w14:ligatures w14:val="none"/>
        </w:rPr>
        <w:t xml:space="preserve">Nos 12M23, o EBITDA Ajustado foi de R$ 197,9 milhões, acréscimo de 3,9% em relação aos 12M22 (R$ 190,5 milhões). O crescimento em relação aos 12M22 é explicado: i) pelo incremento da Receita Operacional Líquida (19,8%); </w:t>
      </w:r>
      <w:proofErr w:type="spellStart"/>
      <w:r w:rsidRPr="00AA1F87">
        <w:rPr>
          <w:rFonts w:ascii="Calibri" w:eastAsia="Times New Roman" w:hAnsi="Calibri" w:cs="Calibri"/>
          <w:color w:val="002060"/>
          <w:kern w:val="0"/>
          <w14:ligatures w14:val="none"/>
        </w:rPr>
        <w:t>ii</w:t>
      </w:r>
      <w:proofErr w:type="spellEnd"/>
      <w:r w:rsidRPr="00AA1F87">
        <w:rPr>
          <w:rFonts w:ascii="Calibri" w:eastAsia="Times New Roman" w:hAnsi="Calibri" w:cs="Calibri"/>
          <w:color w:val="002060"/>
          <w:kern w:val="0"/>
          <w14:ligatures w14:val="none"/>
        </w:rPr>
        <w:t xml:space="preserve">) pelo recebimento de Subvenções Orçamentárias no período; e </w:t>
      </w:r>
      <w:proofErr w:type="spellStart"/>
      <w:r w:rsidRPr="00AA1F87">
        <w:rPr>
          <w:rFonts w:ascii="Calibri" w:eastAsia="Times New Roman" w:hAnsi="Calibri" w:cs="Calibri"/>
          <w:color w:val="002060"/>
          <w:kern w:val="0"/>
          <w14:ligatures w14:val="none"/>
        </w:rPr>
        <w:t>iii</w:t>
      </w:r>
      <w:proofErr w:type="spellEnd"/>
      <w:r w:rsidRPr="00AA1F87">
        <w:rPr>
          <w:rFonts w:ascii="Calibri" w:eastAsia="Times New Roman" w:hAnsi="Calibri" w:cs="Calibri"/>
          <w:color w:val="002060"/>
          <w:kern w:val="0"/>
          <w14:ligatures w14:val="none"/>
        </w:rPr>
        <w:t xml:space="preserve">) pelo recebimento do reconhecimento do Superávit de Previdência Privada ocorrido no exercício corrente. Esses eventos positivos foram parcialmente amortizados pelo crescimento dos Custos e Despesas Operacionais (19,2%). </w:t>
      </w:r>
    </w:p>
    <w:p w14:paraId="57133836" w14:textId="77777777" w:rsidR="00AA1F87" w:rsidRPr="00AA1F87" w:rsidRDefault="00AA1F87" w:rsidP="00AA1F87">
      <w:pPr>
        <w:spacing w:after="0" w:line="240" w:lineRule="auto"/>
        <w:jc w:val="both"/>
        <w:rPr>
          <w:rFonts w:ascii="Calibri" w:eastAsia="Times New Roman" w:hAnsi="Calibri" w:cs="Calibri"/>
          <w:color w:val="002060"/>
          <w:kern w:val="0"/>
          <w14:ligatures w14:val="none"/>
        </w:rPr>
      </w:pPr>
      <w:r w:rsidRPr="00AA1F87">
        <w:rPr>
          <w:rFonts w:ascii="Calibri" w:eastAsia="Times New Roman" w:hAnsi="Calibri" w:cs="Calibri"/>
          <w:color w:val="002060"/>
          <w:kern w:val="0"/>
          <w14:ligatures w14:val="none"/>
        </w:rPr>
        <w:t xml:space="preserve">A Margem EBITDA Ajustada nos 12M23 foi de 47,5% (54,8% nos 12M22), demonstrando uma estabilidade da margem. </w:t>
      </w:r>
    </w:p>
    <w:p w14:paraId="63CC77BB" w14:textId="77777777" w:rsidR="00AA1F87" w:rsidRDefault="00AA1F87" w:rsidP="00AA1F87">
      <w:pPr>
        <w:spacing w:after="0" w:line="240" w:lineRule="auto"/>
        <w:jc w:val="both"/>
        <w:rPr>
          <w:rFonts w:ascii="Calibri" w:eastAsia="Times New Roman" w:hAnsi="Calibri" w:cs="Calibri"/>
          <w:color w:val="002060"/>
          <w:kern w:val="0"/>
          <w14:ligatures w14:val="none"/>
        </w:rPr>
      </w:pPr>
      <w:r w:rsidRPr="00AA1F87">
        <w:rPr>
          <w:rFonts w:ascii="Calibri" w:eastAsia="Times New Roman" w:hAnsi="Calibri" w:cs="Calibri"/>
          <w:color w:val="002060"/>
          <w:kern w:val="0"/>
          <w14:ligatures w14:val="none"/>
        </w:rPr>
        <w:t xml:space="preserve">Desconsiderando o efeito das Subvenções Orçamentárias Recebidas (R$ 240,2 milhões nos 12M23 – R$ 241,5 milhões nos 12M22) do cálculo do EBITDA Ajustado, teríamos um EBITDA negativo nos 12M23 de R$ 42,3 milhões (R$ 51,0 milhões negativo nos 12M22), e uma Margem EBITIDA Ajustada de -10,1% e -14,7%, respectivamente. </w:t>
      </w:r>
    </w:p>
    <w:p w14:paraId="52D0DA13" w14:textId="77777777" w:rsidR="00AA1F87" w:rsidRDefault="00AA1F87" w:rsidP="00AA1F87">
      <w:pPr>
        <w:spacing w:after="0" w:line="240" w:lineRule="auto"/>
        <w:jc w:val="both"/>
        <w:rPr>
          <w:rFonts w:ascii="Calibri" w:eastAsia="Times New Roman" w:hAnsi="Calibri" w:cs="Calibri"/>
          <w:b/>
          <w:bCs/>
          <w:color w:val="002060"/>
          <w:kern w:val="0"/>
          <w:u w:val="single"/>
          <w14:ligatures w14:val="none"/>
        </w:rPr>
      </w:pPr>
      <w:r w:rsidRPr="00AA1F87">
        <w:rPr>
          <w:rFonts w:ascii="Calibri" w:eastAsia="Times New Roman" w:hAnsi="Calibri" w:cs="Calibri"/>
          <w:b/>
          <w:bCs/>
          <w:color w:val="002060"/>
          <w:kern w:val="0"/>
          <w:u w:val="single"/>
          <w14:ligatures w14:val="none"/>
        </w:rPr>
        <w:t>Prejuízo Líquido do Período Ajustado</w:t>
      </w:r>
    </w:p>
    <w:tbl>
      <w:tblPr>
        <w:tblW w:w="5002" w:type="pct"/>
        <w:tblLayout w:type="fixed"/>
        <w:tblCellMar>
          <w:left w:w="70" w:type="dxa"/>
          <w:right w:w="70" w:type="dxa"/>
        </w:tblCellMar>
        <w:tblLook w:val="04A0" w:firstRow="1" w:lastRow="0" w:firstColumn="1" w:lastColumn="0" w:noHBand="0" w:noVBand="1"/>
      </w:tblPr>
      <w:tblGrid>
        <w:gridCol w:w="2686"/>
        <w:gridCol w:w="922"/>
        <w:gridCol w:w="922"/>
        <w:gridCol w:w="881"/>
        <w:gridCol w:w="160"/>
        <w:gridCol w:w="697"/>
        <w:gridCol w:w="718"/>
        <w:gridCol w:w="160"/>
        <w:gridCol w:w="888"/>
        <w:gridCol w:w="965"/>
        <w:gridCol w:w="160"/>
        <w:gridCol w:w="626"/>
      </w:tblGrid>
      <w:tr w:rsidR="00AA1F87" w:rsidRPr="00AA1F87" w14:paraId="58F7FB37" w14:textId="77777777" w:rsidTr="00AA1F87">
        <w:trPr>
          <w:trHeight w:val="227"/>
        </w:trPr>
        <w:tc>
          <w:tcPr>
            <w:tcW w:w="1372" w:type="pct"/>
            <w:tcBorders>
              <w:top w:val="nil"/>
              <w:left w:val="nil"/>
              <w:bottom w:val="nil"/>
              <w:right w:val="nil"/>
            </w:tcBorders>
            <w:shd w:val="clear" w:color="auto" w:fill="auto"/>
            <w:noWrap/>
            <w:vAlign w:val="bottom"/>
            <w:hideMark/>
          </w:tcPr>
          <w:p w14:paraId="2E0B95E3" w14:textId="77777777" w:rsidR="00AA1F87" w:rsidRPr="00AA1F87" w:rsidRDefault="00AA1F87" w:rsidP="00AA1F87">
            <w:pPr>
              <w:spacing w:after="0" w:line="240" w:lineRule="auto"/>
              <w:rPr>
                <w:rFonts w:ascii="Times New Roman" w:eastAsia="Times New Roman" w:hAnsi="Times New Roman" w:cs="Times New Roman"/>
                <w:kern w:val="0"/>
                <w:sz w:val="15"/>
                <w:szCs w:val="15"/>
                <w:lang w:eastAsia="pt-BR"/>
                <w14:ligatures w14:val="none"/>
              </w:rPr>
            </w:pPr>
          </w:p>
        </w:tc>
        <w:tc>
          <w:tcPr>
            <w:tcW w:w="2197" w:type="pct"/>
            <w:gridSpan w:val="6"/>
            <w:tcBorders>
              <w:top w:val="nil"/>
              <w:left w:val="nil"/>
              <w:bottom w:val="single" w:sz="8" w:space="0" w:color="auto"/>
              <w:right w:val="nil"/>
            </w:tcBorders>
            <w:shd w:val="clear" w:color="auto" w:fill="auto"/>
            <w:noWrap/>
            <w:vAlign w:val="center"/>
            <w:hideMark/>
          </w:tcPr>
          <w:p w14:paraId="0D81F1E5" w14:textId="77777777" w:rsidR="00AA1F87" w:rsidRPr="00AA1F87" w:rsidRDefault="00AA1F87" w:rsidP="00AA1F87">
            <w:pPr>
              <w:spacing w:after="0" w:line="240" w:lineRule="auto"/>
              <w:jc w:val="center"/>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Trimestres</w:t>
            </w:r>
          </w:p>
        </w:tc>
        <w:tc>
          <w:tcPr>
            <w:tcW w:w="82" w:type="pct"/>
            <w:tcBorders>
              <w:top w:val="nil"/>
              <w:left w:val="nil"/>
              <w:bottom w:val="nil"/>
              <w:right w:val="nil"/>
            </w:tcBorders>
            <w:shd w:val="clear" w:color="auto" w:fill="auto"/>
            <w:noWrap/>
            <w:vAlign w:val="bottom"/>
            <w:hideMark/>
          </w:tcPr>
          <w:p w14:paraId="4D299C28" w14:textId="77777777" w:rsidR="00AA1F87" w:rsidRPr="00AA1F87" w:rsidRDefault="00AA1F87" w:rsidP="00AA1F87">
            <w:pPr>
              <w:spacing w:after="0" w:line="240" w:lineRule="auto"/>
              <w:jc w:val="center"/>
              <w:rPr>
                <w:rFonts w:ascii="Arial" w:eastAsia="Times New Roman" w:hAnsi="Arial" w:cs="Arial"/>
                <w:b/>
                <w:bCs/>
                <w:color w:val="000000"/>
                <w:kern w:val="0"/>
                <w:sz w:val="15"/>
                <w:szCs w:val="15"/>
                <w:lang w:eastAsia="pt-BR"/>
                <w14:ligatures w14:val="none"/>
              </w:rPr>
            </w:pPr>
          </w:p>
        </w:tc>
        <w:tc>
          <w:tcPr>
            <w:tcW w:w="454" w:type="pct"/>
            <w:tcBorders>
              <w:top w:val="nil"/>
              <w:left w:val="nil"/>
              <w:bottom w:val="nil"/>
              <w:right w:val="nil"/>
            </w:tcBorders>
            <w:shd w:val="clear" w:color="auto" w:fill="auto"/>
            <w:noWrap/>
            <w:vAlign w:val="bottom"/>
            <w:hideMark/>
          </w:tcPr>
          <w:p w14:paraId="50588CB0" w14:textId="77777777" w:rsidR="00AA1F87" w:rsidRPr="00AA1F87" w:rsidRDefault="00AA1F87" w:rsidP="00AA1F87">
            <w:pPr>
              <w:spacing w:after="0" w:line="240" w:lineRule="auto"/>
              <w:rPr>
                <w:rFonts w:ascii="Times New Roman" w:eastAsia="Times New Roman" w:hAnsi="Times New Roman" w:cs="Times New Roman"/>
                <w:kern w:val="0"/>
                <w:sz w:val="15"/>
                <w:szCs w:val="15"/>
                <w:lang w:eastAsia="pt-BR"/>
                <w14:ligatures w14:val="none"/>
              </w:rPr>
            </w:pPr>
          </w:p>
        </w:tc>
        <w:tc>
          <w:tcPr>
            <w:tcW w:w="493" w:type="pct"/>
            <w:tcBorders>
              <w:top w:val="nil"/>
              <w:left w:val="nil"/>
              <w:bottom w:val="nil"/>
              <w:right w:val="nil"/>
            </w:tcBorders>
            <w:shd w:val="clear" w:color="auto" w:fill="auto"/>
            <w:noWrap/>
            <w:vAlign w:val="bottom"/>
            <w:hideMark/>
          </w:tcPr>
          <w:p w14:paraId="701A13D3" w14:textId="77777777" w:rsidR="00AA1F87" w:rsidRPr="00AA1F87" w:rsidRDefault="00AA1F87" w:rsidP="00AA1F87">
            <w:pPr>
              <w:spacing w:after="0" w:line="240" w:lineRule="auto"/>
              <w:rPr>
                <w:rFonts w:ascii="Times New Roman" w:eastAsia="Times New Roman" w:hAnsi="Times New Roman" w:cs="Times New Roman"/>
                <w:kern w:val="0"/>
                <w:sz w:val="15"/>
                <w:szCs w:val="15"/>
                <w:lang w:eastAsia="pt-BR"/>
                <w14:ligatures w14:val="none"/>
              </w:rPr>
            </w:pPr>
          </w:p>
        </w:tc>
        <w:tc>
          <w:tcPr>
            <w:tcW w:w="82" w:type="pct"/>
            <w:tcBorders>
              <w:top w:val="nil"/>
              <w:left w:val="nil"/>
              <w:bottom w:val="nil"/>
              <w:right w:val="nil"/>
            </w:tcBorders>
            <w:shd w:val="clear" w:color="auto" w:fill="auto"/>
            <w:noWrap/>
            <w:vAlign w:val="bottom"/>
            <w:hideMark/>
          </w:tcPr>
          <w:p w14:paraId="33778854" w14:textId="77777777" w:rsidR="00AA1F87" w:rsidRPr="00AA1F87" w:rsidRDefault="00AA1F87" w:rsidP="00AA1F87">
            <w:pPr>
              <w:spacing w:after="0" w:line="240" w:lineRule="auto"/>
              <w:rPr>
                <w:rFonts w:ascii="Times New Roman" w:eastAsia="Times New Roman" w:hAnsi="Times New Roman" w:cs="Times New Roman"/>
                <w:kern w:val="0"/>
                <w:sz w:val="15"/>
                <w:szCs w:val="15"/>
                <w:lang w:eastAsia="pt-BR"/>
                <w14:ligatures w14:val="none"/>
              </w:rPr>
            </w:pPr>
          </w:p>
        </w:tc>
        <w:tc>
          <w:tcPr>
            <w:tcW w:w="320" w:type="pct"/>
            <w:tcBorders>
              <w:top w:val="nil"/>
              <w:left w:val="nil"/>
              <w:bottom w:val="nil"/>
              <w:right w:val="nil"/>
            </w:tcBorders>
            <w:shd w:val="clear" w:color="auto" w:fill="auto"/>
            <w:noWrap/>
            <w:vAlign w:val="bottom"/>
            <w:hideMark/>
          </w:tcPr>
          <w:p w14:paraId="0BB5CFF7" w14:textId="77777777" w:rsidR="00AA1F87" w:rsidRPr="00AA1F87" w:rsidRDefault="00AA1F87" w:rsidP="00AA1F87">
            <w:pPr>
              <w:spacing w:after="0" w:line="240" w:lineRule="auto"/>
              <w:rPr>
                <w:rFonts w:ascii="Times New Roman" w:eastAsia="Times New Roman" w:hAnsi="Times New Roman" w:cs="Times New Roman"/>
                <w:kern w:val="0"/>
                <w:sz w:val="15"/>
                <w:szCs w:val="15"/>
                <w:lang w:eastAsia="pt-BR"/>
                <w14:ligatures w14:val="none"/>
              </w:rPr>
            </w:pPr>
          </w:p>
        </w:tc>
      </w:tr>
      <w:tr w:rsidR="00AA1F87" w:rsidRPr="00AA1F87" w14:paraId="26D4829E" w14:textId="77777777" w:rsidTr="00AA1F87">
        <w:trPr>
          <w:trHeight w:val="55"/>
        </w:trPr>
        <w:tc>
          <w:tcPr>
            <w:tcW w:w="1372" w:type="pct"/>
            <w:tcBorders>
              <w:top w:val="nil"/>
              <w:left w:val="nil"/>
              <w:bottom w:val="nil"/>
              <w:right w:val="nil"/>
            </w:tcBorders>
            <w:shd w:val="clear" w:color="auto" w:fill="auto"/>
            <w:noWrap/>
            <w:vAlign w:val="bottom"/>
            <w:hideMark/>
          </w:tcPr>
          <w:p w14:paraId="3C6D4792" w14:textId="77777777" w:rsidR="00AA1F87" w:rsidRPr="00AA1F87" w:rsidRDefault="00AA1F87" w:rsidP="00AA1F87">
            <w:pPr>
              <w:spacing w:after="0" w:line="240" w:lineRule="auto"/>
              <w:rPr>
                <w:rFonts w:ascii="Times New Roman" w:eastAsia="Times New Roman" w:hAnsi="Times New Roman" w:cs="Times New Roman"/>
                <w:kern w:val="0"/>
                <w:sz w:val="15"/>
                <w:szCs w:val="15"/>
                <w:lang w:eastAsia="pt-BR"/>
                <w14:ligatures w14:val="none"/>
              </w:rPr>
            </w:pPr>
          </w:p>
        </w:tc>
        <w:tc>
          <w:tcPr>
            <w:tcW w:w="471" w:type="pct"/>
            <w:tcBorders>
              <w:top w:val="nil"/>
              <w:left w:val="nil"/>
              <w:bottom w:val="nil"/>
              <w:right w:val="nil"/>
            </w:tcBorders>
            <w:shd w:val="clear" w:color="auto" w:fill="auto"/>
            <w:noWrap/>
            <w:vAlign w:val="bottom"/>
            <w:hideMark/>
          </w:tcPr>
          <w:p w14:paraId="475F76AB" w14:textId="77777777" w:rsidR="00AA1F87" w:rsidRPr="00AA1F87" w:rsidRDefault="00AA1F87" w:rsidP="00AA1F87">
            <w:pPr>
              <w:spacing w:after="0" w:line="240" w:lineRule="auto"/>
              <w:rPr>
                <w:rFonts w:ascii="Times New Roman" w:eastAsia="Times New Roman" w:hAnsi="Times New Roman" w:cs="Times New Roman"/>
                <w:kern w:val="0"/>
                <w:sz w:val="15"/>
                <w:szCs w:val="15"/>
                <w:lang w:eastAsia="pt-BR"/>
                <w14:ligatures w14:val="none"/>
              </w:rPr>
            </w:pPr>
          </w:p>
        </w:tc>
        <w:tc>
          <w:tcPr>
            <w:tcW w:w="471" w:type="pct"/>
            <w:tcBorders>
              <w:top w:val="nil"/>
              <w:left w:val="nil"/>
              <w:bottom w:val="nil"/>
              <w:right w:val="nil"/>
            </w:tcBorders>
            <w:shd w:val="clear" w:color="auto" w:fill="auto"/>
            <w:noWrap/>
            <w:vAlign w:val="bottom"/>
            <w:hideMark/>
          </w:tcPr>
          <w:p w14:paraId="345854AA" w14:textId="77777777" w:rsidR="00AA1F87" w:rsidRPr="00AA1F87" w:rsidRDefault="00AA1F87" w:rsidP="00AA1F87">
            <w:pPr>
              <w:spacing w:after="0" w:line="240" w:lineRule="auto"/>
              <w:rPr>
                <w:rFonts w:ascii="Times New Roman" w:eastAsia="Times New Roman" w:hAnsi="Times New Roman" w:cs="Times New Roman"/>
                <w:kern w:val="0"/>
                <w:sz w:val="15"/>
                <w:szCs w:val="15"/>
                <w:lang w:eastAsia="pt-BR"/>
                <w14:ligatures w14:val="none"/>
              </w:rPr>
            </w:pPr>
          </w:p>
        </w:tc>
        <w:tc>
          <w:tcPr>
            <w:tcW w:w="450" w:type="pct"/>
            <w:tcBorders>
              <w:top w:val="nil"/>
              <w:left w:val="nil"/>
              <w:bottom w:val="nil"/>
              <w:right w:val="nil"/>
            </w:tcBorders>
            <w:shd w:val="clear" w:color="auto" w:fill="auto"/>
            <w:noWrap/>
            <w:vAlign w:val="bottom"/>
            <w:hideMark/>
          </w:tcPr>
          <w:p w14:paraId="3BB4CFBB" w14:textId="77777777" w:rsidR="00AA1F87" w:rsidRPr="00AA1F87" w:rsidRDefault="00AA1F87" w:rsidP="00AA1F87">
            <w:pPr>
              <w:spacing w:after="0" w:line="240" w:lineRule="auto"/>
              <w:rPr>
                <w:rFonts w:ascii="Times New Roman" w:eastAsia="Times New Roman" w:hAnsi="Times New Roman" w:cs="Times New Roman"/>
                <w:kern w:val="0"/>
                <w:sz w:val="15"/>
                <w:szCs w:val="15"/>
                <w:lang w:eastAsia="pt-BR"/>
                <w14:ligatures w14:val="none"/>
              </w:rPr>
            </w:pPr>
          </w:p>
        </w:tc>
        <w:tc>
          <w:tcPr>
            <w:tcW w:w="82" w:type="pct"/>
            <w:tcBorders>
              <w:top w:val="nil"/>
              <w:left w:val="nil"/>
              <w:bottom w:val="nil"/>
              <w:right w:val="nil"/>
            </w:tcBorders>
            <w:shd w:val="clear" w:color="auto" w:fill="auto"/>
            <w:noWrap/>
            <w:vAlign w:val="bottom"/>
            <w:hideMark/>
          </w:tcPr>
          <w:p w14:paraId="229207D6" w14:textId="77777777" w:rsidR="00AA1F87" w:rsidRPr="00AA1F87" w:rsidRDefault="00AA1F87" w:rsidP="00AA1F87">
            <w:pPr>
              <w:spacing w:after="0" w:line="240" w:lineRule="auto"/>
              <w:rPr>
                <w:rFonts w:ascii="Times New Roman" w:eastAsia="Times New Roman" w:hAnsi="Times New Roman" w:cs="Times New Roman"/>
                <w:kern w:val="0"/>
                <w:sz w:val="15"/>
                <w:szCs w:val="15"/>
                <w:lang w:eastAsia="pt-BR"/>
                <w14:ligatures w14:val="none"/>
              </w:rPr>
            </w:pPr>
          </w:p>
        </w:tc>
        <w:tc>
          <w:tcPr>
            <w:tcW w:w="356" w:type="pct"/>
            <w:tcBorders>
              <w:top w:val="nil"/>
              <w:left w:val="nil"/>
              <w:bottom w:val="nil"/>
              <w:right w:val="nil"/>
            </w:tcBorders>
            <w:shd w:val="clear" w:color="auto" w:fill="auto"/>
            <w:noWrap/>
            <w:vAlign w:val="bottom"/>
            <w:hideMark/>
          </w:tcPr>
          <w:p w14:paraId="57435A7B" w14:textId="77777777" w:rsidR="00AA1F87" w:rsidRPr="00AA1F87" w:rsidRDefault="00AA1F87" w:rsidP="00AA1F87">
            <w:pPr>
              <w:spacing w:after="0" w:line="240" w:lineRule="auto"/>
              <w:rPr>
                <w:rFonts w:ascii="Times New Roman" w:eastAsia="Times New Roman" w:hAnsi="Times New Roman" w:cs="Times New Roman"/>
                <w:kern w:val="0"/>
                <w:sz w:val="15"/>
                <w:szCs w:val="15"/>
                <w:lang w:eastAsia="pt-BR"/>
                <w14:ligatures w14:val="none"/>
              </w:rPr>
            </w:pPr>
          </w:p>
        </w:tc>
        <w:tc>
          <w:tcPr>
            <w:tcW w:w="367" w:type="pct"/>
            <w:tcBorders>
              <w:top w:val="nil"/>
              <w:left w:val="nil"/>
              <w:bottom w:val="nil"/>
              <w:right w:val="nil"/>
            </w:tcBorders>
            <w:shd w:val="clear" w:color="auto" w:fill="auto"/>
            <w:noWrap/>
            <w:vAlign w:val="bottom"/>
            <w:hideMark/>
          </w:tcPr>
          <w:p w14:paraId="4DF3144C" w14:textId="77777777" w:rsidR="00AA1F87" w:rsidRPr="00AA1F87" w:rsidRDefault="00AA1F87" w:rsidP="00AA1F87">
            <w:pPr>
              <w:spacing w:after="0" w:line="240" w:lineRule="auto"/>
              <w:rPr>
                <w:rFonts w:ascii="Times New Roman" w:eastAsia="Times New Roman" w:hAnsi="Times New Roman" w:cs="Times New Roman"/>
                <w:kern w:val="0"/>
                <w:sz w:val="15"/>
                <w:szCs w:val="15"/>
                <w:lang w:eastAsia="pt-BR"/>
                <w14:ligatures w14:val="none"/>
              </w:rPr>
            </w:pPr>
          </w:p>
        </w:tc>
        <w:tc>
          <w:tcPr>
            <w:tcW w:w="82" w:type="pct"/>
            <w:tcBorders>
              <w:top w:val="nil"/>
              <w:left w:val="nil"/>
              <w:bottom w:val="nil"/>
              <w:right w:val="nil"/>
            </w:tcBorders>
            <w:shd w:val="clear" w:color="auto" w:fill="auto"/>
            <w:noWrap/>
            <w:vAlign w:val="bottom"/>
            <w:hideMark/>
          </w:tcPr>
          <w:p w14:paraId="015E8BDE" w14:textId="77777777" w:rsidR="00AA1F87" w:rsidRPr="00AA1F87" w:rsidRDefault="00AA1F87" w:rsidP="00AA1F87">
            <w:pPr>
              <w:spacing w:after="0" w:line="240" w:lineRule="auto"/>
              <w:rPr>
                <w:rFonts w:ascii="Times New Roman" w:eastAsia="Times New Roman" w:hAnsi="Times New Roman" w:cs="Times New Roman"/>
                <w:kern w:val="0"/>
                <w:sz w:val="15"/>
                <w:szCs w:val="15"/>
                <w:lang w:eastAsia="pt-BR"/>
                <w14:ligatures w14:val="none"/>
              </w:rPr>
            </w:pPr>
          </w:p>
        </w:tc>
        <w:tc>
          <w:tcPr>
            <w:tcW w:w="454" w:type="pct"/>
            <w:tcBorders>
              <w:top w:val="nil"/>
              <w:left w:val="nil"/>
              <w:bottom w:val="nil"/>
              <w:right w:val="nil"/>
            </w:tcBorders>
            <w:shd w:val="clear" w:color="auto" w:fill="auto"/>
            <w:noWrap/>
            <w:vAlign w:val="bottom"/>
            <w:hideMark/>
          </w:tcPr>
          <w:p w14:paraId="2328787A" w14:textId="77777777" w:rsidR="00AA1F87" w:rsidRPr="00AA1F87" w:rsidRDefault="00AA1F87" w:rsidP="00AA1F87">
            <w:pPr>
              <w:spacing w:after="0" w:line="240" w:lineRule="auto"/>
              <w:rPr>
                <w:rFonts w:ascii="Times New Roman" w:eastAsia="Times New Roman" w:hAnsi="Times New Roman" w:cs="Times New Roman"/>
                <w:kern w:val="0"/>
                <w:sz w:val="15"/>
                <w:szCs w:val="15"/>
                <w:lang w:eastAsia="pt-BR"/>
                <w14:ligatures w14:val="none"/>
              </w:rPr>
            </w:pPr>
          </w:p>
        </w:tc>
        <w:tc>
          <w:tcPr>
            <w:tcW w:w="493" w:type="pct"/>
            <w:tcBorders>
              <w:top w:val="nil"/>
              <w:left w:val="nil"/>
              <w:bottom w:val="nil"/>
              <w:right w:val="nil"/>
            </w:tcBorders>
            <w:shd w:val="clear" w:color="auto" w:fill="auto"/>
            <w:noWrap/>
            <w:vAlign w:val="bottom"/>
            <w:hideMark/>
          </w:tcPr>
          <w:p w14:paraId="62A295F8" w14:textId="77777777" w:rsidR="00AA1F87" w:rsidRPr="00AA1F87" w:rsidRDefault="00AA1F87" w:rsidP="00AA1F87">
            <w:pPr>
              <w:spacing w:after="0" w:line="240" w:lineRule="auto"/>
              <w:rPr>
                <w:rFonts w:ascii="Times New Roman" w:eastAsia="Times New Roman" w:hAnsi="Times New Roman" w:cs="Times New Roman"/>
                <w:kern w:val="0"/>
                <w:sz w:val="15"/>
                <w:szCs w:val="15"/>
                <w:lang w:eastAsia="pt-BR"/>
                <w14:ligatures w14:val="none"/>
              </w:rPr>
            </w:pPr>
          </w:p>
        </w:tc>
        <w:tc>
          <w:tcPr>
            <w:tcW w:w="82" w:type="pct"/>
            <w:tcBorders>
              <w:top w:val="nil"/>
              <w:left w:val="nil"/>
              <w:bottom w:val="nil"/>
              <w:right w:val="nil"/>
            </w:tcBorders>
            <w:shd w:val="clear" w:color="auto" w:fill="auto"/>
            <w:noWrap/>
            <w:vAlign w:val="bottom"/>
            <w:hideMark/>
          </w:tcPr>
          <w:p w14:paraId="12603289" w14:textId="77777777" w:rsidR="00AA1F87" w:rsidRPr="00AA1F87" w:rsidRDefault="00AA1F87" w:rsidP="00AA1F87">
            <w:pPr>
              <w:spacing w:after="0" w:line="240" w:lineRule="auto"/>
              <w:rPr>
                <w:rFonts w:ascii="Times New Roman" w:eastAsia="Times New Roman" w:hAnsi="Times New Roman" w:cs="Times New Roman"/>
                <w:kern w:val="0"/>
                <w:sz w:val="15"/>
                <w:szCs w:val="15"/>
                <w:lang w:eastAsia="pt-BR"/>
                <w14:ligatures w14:val="none"/>
              </w:rPr>
            </w:pPr>
          </w:p>
        </w:tc>
        <w:tc>
          <w:tcPr>
            <w:tcW w:w="320" w:type="pct"/>
            <w:tcBorders>
              <w:top w:val="nil"/>
              <w:left w:val="nil"/>
              <w:bottom w:val="nil"/>
              <w:right w:val="nil"/>
            </w:tcBorders>
            <w:shd w:val="clear" w:color="auto" w:fill="auto"/>
            <w:noWrap/>
            <w:vAlign w:val="bottom"/>
            <w:hideMark/>
          </w:tcPr>
          <w:p w14:paraId="0F7F6F10" w14:textId="77777777" w:rsidR="00AA1F87" w:rsidRPr="00AA1F87" w:rsidRDefault="00AA1F87" w:rsidP="00AA1F87">
            <w:pPr>
              <w:spacing w:after="0" w:line="240" w:lineRule="auto"/>
              <w:rPr>
                <w:rFonts w:ascii="Times New Roman" w:eastAsia="Times New Roman" w:hAnsi="Times New Roman" w:cs="Times New Roman"/>
                <w:kern w:val="0"/>
                <w:sz w:val="15"/>
                <w:szCs w:val="15"/>
                <w:lang w:eastAsia="pt-BR"/>
                <w14:ligatures w14:val="none"/>
              </w:rPr>
            </w:pPr>
          </w:p>
        </w:tc>
      </w:tr>
      <w:tr w:rsidR="00AA1F87" w:rsidRPr="00AA1F87" w14:paraId="1E62DB47" w14:textId="77777777" w:rsidTr="00AA1F87">
        <w:trPr>
          <w:trHeight w:val="227"/>
        </w:trPr>
        <w:tc>
          <w:tcPr>
            <w:tcW w:w="1372" w:type="pct"/>
            <w:tcBorders>
              <w:top w:val="nil"/>
              <w:left w:val="nil"/>
              <w:bottom w:val="nil"/>
              <w:right w:val="nil"/>
            </w:tcBorders>
            <w:shd w:val="clear" w:color="000000" w:fill="75F6F9"/>
            <w:vAlign w:val="center"/>
            <w:hideMark/>
          </w:tcPr>
          <w:p w14:paraId="41A3BE04" w14:textId="77777777" w:rsidR="00AA1F87" w:rsidRPr="00AA1F87" w:rsidRDefault="00AA1F87" w:rsidP="00AA1F87">
            <w:pPr>
              <w:spacing w:after="0" w:line="240" w:lineRule="auto"/>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R$ Mil</w:t>
            </w:r>
          </w:p>
        </w:tc>
        <w:tc>
          <w:tcPr>
            <w:tcW w:w="471" w:type="pct"/>
            <w:tcBorders>
              <w:top w:val="nil"/>
              <w:left w:val="nil"/>
              <w:bottom w:val="nil"/>
              <w:right w:val="nil"/>
            </w:tcBorders>
            <w:shd w:val="clear" w:color="000000" w:fill="75F6F9"/>
            <w:noWrap/>
            <w:vAlign w:val="center"/>
            <w:hideMark/>
          </w:tcPr>
          <w:p w14:paraId="41BD7865" w14:textId="77777777" w:rsidR="00AA1F87" w:rsidRPr="00AA1F87" w:rsidRDefault="00AA1F87" w:rsidP="00AA1F87">
            <w:pPr>
              <w:spacing w:after="0" w:line="240" w:lineRule="auto"/>
              <w:jc w:val="center"/>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4T23</w:t>
            </w:r>
          </w:p>
        </w:tc>
        <w:tc>
          <w:tcPr>
            <w:tcW w:w="471" w:type="pct"/>
            <w:tcBorders>
              <w:top w:val="nil"/>
              <w:left w:val="nil"/>
              <w:bottom w:val="nil"/>
              <w:right w:val="nil"/>
            </w:tcBorders>
            <w:shd w:val="clear" w:color="000000" w:fill="75F6F9"/>
            <w:noWrap/>
            <w:vAlign w:val="center"/>
            <w:hideMark/>
          </w:tcPr>
          <w:p w14:paraId="1CC08579" w14:textId="77777777" w:rsidR="00AA1F87" w:rsidRPr="00AA1F87" w:rsidRDefault="00AA1F87" w:rsidP="00AA1F87">
            <w:pPr>
              <w:spacing w:after="0" w:line="240" w:lineRule="auto"/>
              <w:jc w:val="center"/>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4T22</w:t>
            </w:r>
          </w:p>
        </w:tc>
        <w:tc>
          <w:tcPr>
            <w:tcW w:w="450" w:type="pct"/>
            <w:tcBorders>
              <w:top w:val="nil"/>
              <w:left w:val="nil"/>
              <w:bottom w:val="nil"/>
              <w:right w:val="nil"/>
            </w:tcBorders>
            <w:shd w:val="clear" w:color="000000" w:fill="75F6F9"/>
            <w:noWrap/>
            <w:vAlign w:val="center"/>
            <w:hideMark/>
          </w:tcPr>
          <w:p w14:paraId="20CD3113" w14:textId="77777777" w:rsidR="00AA1F87" w:rsidRPr="00AA1F87" w:rsidRDefault="00AA1F87" w:rsidP="00AA1F87">
            <w:pPr>
              <w:spacing w:after="0" w:line="240" w:lineRule="auto"/>
              <w:jc w:val="center"/>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3T23</w:t>
            </w:r>
          </w:p>
        </w:tc>
        <w:tc>
          <w:tcPr>
            <w:tcW w:w="82" w:type="pct"/>
            <w:tcBorders>
              <w:top w:val="nil"/>
              <w:left w:val="nil"/>
              <w:bottom w:val="nil"/>
              <w:right w:val="nil"/>
            </w:tcBorders>
            <w:shd w:val="clear" w:color="auto" w:fill="auto"/>
            <w:noWrap/>
            <w:vAlign w:val="center"/>
            <w:hideMark/>
          </w:tcPr>
          <w:p w14:paraId="7AE06FA1" w14:textId="77777777" w:rsidR="00AA1F87" w:rsidRPr="00AA1F87" w:rsidRDefault="00AA1F87" w:rsidP="00AA1F87">
            <w:pPr>
              <w:spacing w:after="0" w:line="240" w:lineRule="auto"/>
              <w:jc w:val="center"/>
              <w:rPr>
                <w:rFonts w:ascii="Arial" w:eastAsia="Times New Roman" w:hAnsi="Arial" w:cs="Arial"/>
                <w:b/>
                <w:bCs/>
                <w:color w:val="000000"/>
                <w:kern w:val="0"/>
                <w:sz w:val="15"/>
                <w:szCs w:val="15"/>
                <w:lang w:eastAsia="pt-BR"/>
                <w14:ligatures w14:val="none"/>
              </w:rPr>
            </w:pPr>
          </w:p>
        </w:tc>
        <w:tc>
          <w:tcPr>
            <w:tcW w:w="356" w:type="pct"/>
            <w:tcBorders>
              <w:top w:val="nil"/>
              <w:left w:val="nil"/>
              <w:bottom w:val="nil"/>
              <w:right w:val="nil"/>
            </w:tcBorders>
            <w:shd w:val="clear" w:color="000000" w:fill="75F6F9"/>
            <w:noWrap/>
            <w:vAlign w:val="center"/>
            <w:hideMark/>
          </w:tcPr>
          <w:p w14:paraId="0F276981" w14:textId="77777777" w:rsidR="00AA1F87" w:rsidRPr="00AA1F87" w:rsidRDefault="00AA1F87" w:rsidP="00AA1F87">
            <w:pPr>
              <w:spacing w:after="0" w:line="240" w:lineRule="auto"/>
              <w:jc w:val="center"/>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Δ Ano</w:t>
            </w:r>
          </w:p>
        </w:tc>
        <w:tc>
          <w:tcPr>
            <w:tcW w:w="367" w:type="pct"/>
            <w:tcBorders>
              <w:top w:val="nil"/>
              <w:left w:val="nil"/>
              <w:bottom w:val="nil"/>
              <w:right w:val="nil"/>
            </w:tcBorders>
            <w:shd w:val="clear" w:color="000000" w:fill="75F6F9"/>
            <w:noWrap/>
            <w:vAlign w:val="center"/>
            <w:hideMark/>
          </w:tcPr>
          <w:p w14:paraId="760730A2" w14:textId="77777777" w:rsidR="00AA1F87" w:rsidRPr="00AA1F87" w:rsidRDefault="00AA1F87" w:rsidP="00AA1F87">
            <w:pPr>
              <w:spacing w:after="0" w:line="240" w:lineRule="auto"/>
              <w:jc w:val="center"/>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Δ Trim.</w:t>
            </w:r>
          </w:p>
        </w:tc>
        <w:tc>
          <w:tcPr>
            <w:tcW w:w="82" w:type="pct"/>
            <w:tcBorders>
              <w:top w:val="nil"/>
              <w:left w:val="nil"/>
              <w:bottom w:val="nil"/>
              <w:right w:val="nil"/>
            </w:tcBorders>
            <w:shd w:val="clear" w:color="auto" w:fill="auto"/>
            <w:noWrap/>
            <w:vAlign w:val="bottom"/>
            <w:hideMark/>
          </w:tcPr>
          <w:p w14:paraId="0CE1AE97" w14:textId="77777777" w:rsidR="00AA1F87" w:rsidRPr="00AA1F87" w:rsidRDefault="00AA1F87" w:rsidP="00AA1F87">
            <w:pPr>
              <w:spacing w:after="0" w:line="240" w:lineRule="auto"/>
              <w:jc w:val="center"/>
              <w:rPr>
                <w:rFonts w:ascii="Arial" w:eastAsia="Times New Roman" w:hAnsi="Arial" w:cs="Arial"/>
                <w:b/>
                <w:bCs/>
                <w:color w:val="000000"/>
                <w:kern w:val="0"/>
                <w:sz w:val="15"/>
                <w:szCs w:val="15"/>
                <w:lang w:eastAsia="pt-BR"/>
                <w14:ligatures w14:val="none"/>
              </w:rPr>
            </w:pPr>
          </w:p>
        </w:tc>
        <w:tc>
          <w:tcPr>
            <w:tcW w:w="454" w:type="pct"/>
            <w:tcBorders>
              <w:top w:val="nil"/>
              <w:left w:val="nil"/>
              <w:bottom w:val="nil"/>
              <w:right w:val="nil"/>
            </w:tcBorders>
            <w:shd w:val="clear" w:color="000000" w:fill="75F6F9"/>
            <w:noWrap/>
            <w:vAlign w:val="center"/>
            <w:hideMark/>
          </w:tcPr>
          <w:p w14:paraId="48F39485" w14:textId="77777777" w:rsidR="00AA1F87" w:rsidRPr="00AA1F87" w:rsidRDefault="00AA1F87" w:rsidP="00AA1F87">
            <w:pPr>
              <w:spacing w:after="0" w:line="240" w:lineRule="auto"/>
              <w:jc w:val="center"/>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2023</w:t>
            </w:r>
          </w:p>
        </w:tc>
        <w:tc>
          <w:tcPr>
            <w:tcW w:w="493" w:type="pct"/>
            <w:tcBorders>
              <w:top w:val="nil"/>
              <w:left w:val="nil"/>
              <w:bottom w:val="nil"/>
              <w:right w:val="nil"/>
            </w:tcBorders>
            <w:shd w:val="clear" w:color="000000" w:fill="75F6F9"/>
            <w:noWrap/>
            <w:vAlign w:val="center"/>
            <w:hideMark/>
          </w:tcPr>
          <w:p w14:paraId="43959EF6" w14:textId="77777777" w:rsidR="00AA1F87" w:rsidRPr="00AA1F87" w:rsidRDefault="00AA1F87" w:rsidP="00AA1F87">
            <w:pPr>
              <w:spacing w:after="0" w:line="240" w:lineRule="auto"/>
              <w:jc w:val="center"/>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2022</w:t>
            </w:r>
          </w:p>
        </w:tc>
        <w:tc>
          <w:tcPr>
            <w:tcW w:w="82" w:type="pct"/>
            <w:tcBorders>
              <w:top w:val="nil"/>
              <w:left w:val="nil"/>
              <w:bottom w:val="nil"/>
              <w:right w:val="nil"/>
            </w:tcBorders>
            <w:shd w:val="clear" w:color="auto" w:fill="auto"/>
            <w:noWrap/>
            <w:vAlign w:val="bottom"/>
            <w:hideMark/>
          </w:tcPr>
          <w:p w14:paraId="5E002BBE" w14:textId="77777777" w:rsidR="00AA1F87" w:rsidRPr="00AA1F87" w:rsidRDefault="00AA1F87" w:rsidP="00AA1F87">
            <w:pPr>
              <w:spacing w:after="0" w:line="240" w:lineRule="auto"/>
              <w:jc w:val="center"/>
              <w:rPr>
                <w:rFonts w:ascii="Arial" w:eastAsia="Times New Roman" w:hAnsi="Arial" w:cs="Arial"/>
                <w:b/>
                <w:bCs/>
                <w:color w:val="000000"/>
                <w:kern w:val="0"/>
                <w:sz w:val="15"/>
                <w:szCs w:val="15"/>
                <w:lang w:eastAsia="pt-BR"/>
                <w14:ligatures w14:val="none"/>
              </w:rPr>
            </w:pPr>
          </w:p>
        </w:tc>
        <w:tc>
          <w:tcPr>
            <w:tcW w:w="320" w:type="pct"/>
            <w:tcBorders>
              <w:top w:val="nil"/>
              <w:left w:val="nil"/>
              <w:bottom w:val="nil"/>
              <w:right w:val="nil"/>
            </w:tcBorders>
            <w:shd w:val="clear" w:color="000000" w:fill="75F6F9"/>
            <w:noWrap/>
            <w:vAlign w:val="center"/>
            <w:hideMark/>
          </w:tcPr>
          <w:p w14:paraId="479AF2D6" w14:textId="77777777" w:rsidR="00AA1F87" w:rsidRPr="00AA1F87" w:rsidRDefault="00AA1F87" w:rsidP="00AA1F87">
            <w:pPr>
              <w:spacing w:after="0" w:line="240" w:lineRule="auto"/>
              <w:jc w:val="center"/>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Δ Ano</w:t>
            </w:r>
          </w:p>
        </w:tc>
      </w:tr>
      <w:tr w:rsidR="00AA1F87" w:rsidRPr="00AA1F87" w14:paraId="6C0E9A42" w14:textId="77777777" w:rsidTr="00AA1F87">
        <w:trPr>
          <w:trHeight w:val="227"/>
        </w:trPr>
        <w:tc>
          <w:tcPr>
            <w:tcW w:w="1372" w:type="pct"/>
            <w:tcBorders>
              <w:top w:val="nil"/>
              <w:left w:val="nil"/>
              <w:bottom w:val="nil"/>
              <w:right w:val="nil"/>
            </w:tcBorders>
            <w:shd w:val="clear" w:color="auto" w:fill="auto"/>
            <w:noWrap/>
            <w:vAlign w:val="center"/>
            <w:hideMark/>
          </w:tcPr>
          <w:p w14:paraId="5182FCF9" w14:textId="77777777" w:rsidR="00AA1F87" w:rsidRPr="00AA1F87" w:rsidRDefault="00AA1F87" w:rsidP="00AA1F87">
            <w:pPr>
              <w:spacing w:after="0" w:line="240" w:lineRule="auto"/>
              <w:rPr>
                <w:rFonts w:ascii="Arial" w:eastAsia="Times New Roman" w:hAnsi="Arial" w:cs="Arial"/>
                <w:b/>
                <w:bCs/>
                <w:color w:val="000000"/>
                <w:kern w:val="0"/>
                <w:sz w:val="15"/>
                <w:szCs w:val="15"/>
                <w:lang w:eastAsia="pt-BR"/>
                <w14:ligatures w14:val="none"/>
              </w:rPr>
            </w:pPr>
            <w:proofErr w:type="gramStart"/>
            <w:r w:rsidRPr="00AA1F87">
              <w:rPr>
                <w:rFonts w:ascii="Arial" w:eastAsia="Times New Roman" w:hAnsi="Arial" w:cs="Arial"/>
                <w:b/>
                <w:bCs/>
                <w:color w:val="000000"/>
                <w:kern w:val="0"/>
                <w:sz w:val="15"/>
                <w:szCs w:val="15"/>
                <w:lang w:eastAsia="pt-BR"/>
                <w14:ligatures w14:val="none"/>
              </w:rPr>
              <w:t>Prejuízo  Líquido</w:t>
            </w:r>
            <w:proofErr w:type="gramEnd"/>
            <w:r w:rsidRPr="00AA1F87">
              <w:rPr>
                <w:rFonts w:ascii="Arial" w:eastAsia="Times New Roman" w:hAnsi="Arial" w:cs="Arial"/>
                <w:b/>
                <w:bCs/>
                <w:color w:val="000000"/>
                <w:kern w:val="0"/>
                <w:sz w:val="15"/>
                <w:szCs w:val="15"/>
                <w:lang w:eastAsia="pt-BR"/>
                <w14:ligatures w14:val="none"/>
              </w:rPr>
              <w:t xml:space="preserve"> do Período</w:t>
            </w:r>
          </w:p>
        </w:tc>
        <w:tc>
          <w:tcPr>
            <w:tcW w:w="471" w:type="pct"/>
            <w:tcBorders>
              <w:top w:val="nil"/>
              <w:left w:val="nil"/>
              <w:bottom w:val="nil"/>
              <w:right w:val="nil"/>
            </w:tcBorders>
            <w:shd w:val="clear" w:color="000000" w:fill="D9E1F2"/>
            <w:noWrap/>
            <w:vAlign w:val="center"/>
            <w:hideMark/>
          </w:tcPr>
          <w:p w14:paraId="292FAF8E"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 xml:space="preserve">     (52.106)</w:t>
            </w:r>
          </w:p>
        </w:tc>
        <w:tc>
          <w:tcPr>
            <w:tcW w:w="471" w:type="pct"/>
            <w:tcBorders>
              <w:top w:val="nil"/>
              <w:left w:val="nil"/>
              <w:bottom w:val="nil"/>
              <w:right w:val="nil"/>
            </w:tcBorders>
            <w:shd w:val="clear" w:color="auto" w:fill="auto"/>
            <w:noWrap/>
            <w:vAlign w:val="center"/>
            <w:hideMark/>
          </w:tcPr>
          <w:p w14:paraId="256E9EEC"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 xml:space="preserve">        (1.489)</w:t>
            </w:r>
          </w:p>
        </w:tc>
        <w:tc>
          <w:tcPr>
            <w:tcW w:w="450" w:type="pct"/>
            <w:tcBorders>
              <w:top w:val="nil"/>
              <w:left w:val="nil"/>
              <w:bottom w:val="nil"/>
              <w:right w:val="nil"/>
            </w:tcBorders>
            <w:shd w:val="clear" w:color="auto" w:fill="auto"/>
            <w:noWrap/>
            <w:vAlign w:val="center"/>
            <w:hideMark/>
          </w:tcPr>
          <w:p w14:paraId="1FD39063"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 xml:space="preserve">     (91.302)</w:t>
            </w:r>
          </w:p>
        </w:tc>
        <w:tc>
          <w:tcPr>
            <w:tcW w:w="82" w:type="pct"/>
            <w:tcBorders>
              <w:top w:val="nil"/>
              <w:left w:val="nil"/>
              <w:bottom w:val="nil"/>
              <w:right w:val="nil"/>
            </w:tcBorders>
            <w:shd w:val="clear" w:color="auto" w:fill="auto"/>
            <w:noWrap/>
            <w:vAlign w:val="bottom"/>
            <w:hideMark/>
          </w:tcPr>
          <w:p w14:paraId="1256F8D7"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p>
        </w:tc>
        <w:tc>
          <w:tcPr>
            <w:tcW w:w="356" w:type="pct"/>
            <w:tcBorders>
              <w:top w:val="nil"/>
              <w:left w:val="nil"/>
              <w:bottom w:val="nil"/>
              <w:right w:val="nil"/>
            </w:tcBorders>
            <w:shd w:val="clear" w:color="auto" w:fill="auto"/>
            <w:vAlign w:val="center"/>
            <w:hideMark/>
          </w:tcPr>
          <w:p w14:paraId="2D94FF89"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3399,4%</w:t>
            </w:r>
          </w:p>
        </w:tc>
        <w:tc>
          <w:tcPr>
            <w:tcW w:w="367" w:type="pct"/>
            <w:tcBorders>
              <w:top w:val="nil"/>
              <w:left w:val="nil"/>
              <w:bottom w:val="nil"/>
              <w:right w:val="nil"/>
            </w:tcBorders>
            <w:shd w:val="clear" w:color="auto" w:fill="auto"/>
            <w:vAlign w:val="center"/>
            <w:hideMark/>
          </w:tcPr>
          <w:p w14:paraId="481C03C9"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-42,9%</w:t>
            </w:r>
          </w:p>
        </w:tc>
        <w:tc>
          <w:tcPr>
            <w:tcW w:w="82" w:type="pct"/>
            <w:tcBorders>
              <w:top w:val="nil"/>
              <w:left w:val="nil"/>
              <w:bottom w:val="nil"/>
              <w:right w:val="nil"/>
            </w:tcBorders>
            <w:shd w:val="clear" w:color="auto" w:fill="auto"/>
            <w:noWrap/>
            <w:vAlign w:val="bottom"/>
            <w:hideMark/>
          </w:tcPr>
          <w:p w14:paraId="75CA07C3"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p>
        </w:tc>
        <w:tc>
          <w:tcPr>
            <w:tcW w:w="454" w:type="pct"/>
            <w:tcBorders>
              <w:top w:val="nil"/>
              <w:left w:val="nil"/>
              <w:bottom w:val="nil"/>
              <w:right w:val="nil"/>
            </w:tcBorders>
            <w:shd w:val="clear" w:color="000000" w:fill="D9E1F2"/>
            <w:noWrap/>
            <w:vAlign w:val="center"/>
            <w:hideMark/>
          </w:tcPr>
          <w:p w14:paraId="6298CA8F"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 xml:space="preserve">    (127.357)</w:t>
            </w:r>
          </w:p>
        </w:tc>
        <w:tc>
          <w:tcPr>
            <w:tcW w:w="493" w:type="pct"/>
            <w:tcBorders>
              <w:top w:val="nil"/>
              <w:left w:val="nil"/>
              <w:bottom w:val="nil"/>
              <w:right w:val="nil"/>
            </w:tcBorders>
            <w:shd w:val="clear" w:color="auto" w:fill="auto"/>
            <w:noWrap/>
            <w:vAlign w:val="center"/>
            <w:hideMark/>
          </w:tcPr>
          <w:p w14:paraId="1A9FC092"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 xml:space="preserve">    (168.459)</w:t>
            </w:r>
          </w:p>
        </w:tc>
        <w:tc>
          <w:tcPr>
            <w:tcW w:w="82" w:type="pct"/>
            <w:tcBorders>
              <w:top w:val="nil"/>
              <w:left w:val="nil"/>
              <w:bottom w:val="nil"/>
              <w:right w:val="nil"/>
            </w:tcBorders>
            <w:shd w:val="clear" w:color="auto" w:fill="auto"/>
            <w:noWrap/>
            <w:vAlign w:val="bottom"/>
            <w:hideMark/>
          </w:tcPr>
          <w:p w14:paraId="7DAB54BC"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p>
        </w:tc>
        <w:tc>
          <w:tcPr>
            <w:tcW w:w="320" w:type="pct"/>
            <w:tcBorders>
              <w:top w:val="nil"/>
              <w:left w:val="nil"/>
              <w:bottom w:val="nil"/>
              <w:right w:val="nil"/>
            </w:tcBorders>
            <w:shd w:val="clear" w:color="auto" w:fill="auto"/>
            <w:vAlign w:val="center"/>
            <w:hideMark/>
          </w:tcPr>
          <w:p w14:paraId="30DEBD3D"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-24,4%</w:t>
            </w:r>
          </w:p>
        </w:tc>
      </w:tr>
      <w:tr w:rsidR="00AA1F87" w:rsidRPr="00AA1F87" w14:paraId="0A65C932" w14:textId="77777777" w:rsidTr="00AA1F87">
        <w:trPr>
          <w:trHeight w:val="227"/>
        </w:trPr>
        <w:tc>
          <w:tcPr>
            <w:tcW w:w="1372" w:type="pct"/>
            <w:tcBorders>
              <w:top w:val="nil"/>
              <w:left w:val="nil"/>
              <w:bottom w:val="nil"/>
              <w:right w:val="nil"/>
            </w:tcBorders>
            <w:shd w:val="clear" w:color="auto" w:fill="auto"/>
            <w:noWrap/>
            <w:vAlign w:val="center"/>
            <w:hideMark/>
          </w:tcPr>
          <w:p w14:paraId="0740D2A9" w14:textId="77777777" w:rsidR="00AA1F87" w:rsidRPr="00AA1F87" w:rsidRDefault="00AA1F87" w:rsidP="00AA1F87">
            <w:pPr>
              <w:spacing w:after="0" w:line="240" w:lineRule="auto"/>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Ajuste de Eventos Não Recorrentes:</w:t>
            </w:r>
          </w:p>
        </w:tc>
        <w:tc>
          <w:tcPr>
            <w:tcW w:w="471" w:type="pct"/>
            <w:tcBorders>
              <w:top w:val="nil"/>
              <w:left w:val="nil"/>
              <w:bottom w:val="nil"/>
              <w:right w:val="nil"/>
            </w:tcBorders>
            <w:shd w:val="clear" w:color="000000" w:fill="D9E1F2"/>
            <w:noWrap/>
            <w:vAlign w:val="center"/>
            <w:hideMark/>
          </w:tcPr>
          <w:p w14:paraId="5CDE5A76"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 </w:t>
            </w:r>
          </w:p>
        </w:tc>
        <w:tc>
          <w:tcPr>
            <w:tcW w:w="471" w:type="pct"/>
            <w:tcBorders>
              <w:top w:val="nil"/>
              <w:left w:val="nil"/>
              <w:bottom w:val="nil"/>
              <w:right w:val="nil"/>
            </w:tcBorders>
            <w:shd w:val="clear" w:color="auto" w:fill="auto"/>
            <w:noWrap/>
            <w:vAlign w:val="center"/>
            <w:hideMark/>
          </w:tcPr>
          <w:p w14:paraId="59413C21"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p>
        </w:tc>
        <w:tc>
          <w:tcPr>
            <w:tcW w:w="450" w:type="pct"/>
            <w:tcBorders>
              <w:top w:val="nil"/>
              <w:left w:val="nil"/>
              <w:bottom w:val="nil"/>
              <w:right w:val="nil"/>
            </w:tcBorders>
            <w:shd w:val="clear" w:color="auto" w:fill="auto"/>
            <w:noWrap/>
            <w:vAlign w:val="center"/>
            <w:hideMark/>
          </w:tcPr>
          <w:p w14:paraId="36ACA0F8" w14:textId="77777777" w:rsidR="00AA1F87" w:rsidRPr="00AA1F87" w:rsidRDefault="00AA1F87" w:rsidP="00AA1F87">
            <w:pPr>
              <w:spacing w:after="0" w:line="240" w:lineRule="auto"/>
              <w:jc w:val="right"/>
              <w:rPr>
                <w:rFonts w:ascii="Times New Roman" w:eastAsia="Times New Roman" w:hAnsi="Times New Roman" w:cs="Times New Roman"/>
                <w:kern w:val="0"/>
                <w:sz w:val="15"/>
                <w:szCs w:val="15"/>
                <w:lang w:eastAsia="pt-BR"/>
                <w14:ligatures w14:val="none"/>
              </w:rPr>
            </w:pPr>
          </w:p>
        </w:tc>
        <w:tc>
          <w:tcPr>
            <w:tcW w:w="82" w:type="pct"/>
            <w:tcBorders>
              <w:top w:val="nil"/>
              <w:left w:val="nil"/>
              <w:bottom w:val="nil"/>
              <w:right w:val="nil"/>
            </w:tcBorders>
            <w:shd w:val="clear" w:color="auto" w:fill="auto"/>
            <w:noWrap/>
            <w:vAlign w:val="bottom"/>
            <w:hideMark/>
          </w:tcPr>
          <w:p w14:paraId="17A821EA" w14:textId="77777777" w:rsidR="00AA1F87" w:rsidRPr="00AA1F87" w:rsidRDefault="00AA1F87" w:rsidP="00AA1F87">
            <w:pPr>
              <w:spacing w:after="0" w:line="240" w:lineRule="auto"/>
              <w:jc w:val="right"/>
              <w:rPr>
                <w:rFonts w:ascii="Times New Roman" w:eastAsia="Times New Roman" w:hAnsi="Times New Roman" w:cs="Times New Roman"/>
                <w:kern w:val="0"/>
                <w:sz w:val="15"/>
                <w:szCs w:val="15"/>
                <w:lang w:eastAsia="pt-BR"/>
                <w14:ligatures w14:val="none"/>
              </w:rPr>
            </w:pPr>
          </w:p>
        </w:tc>
        <w:tc>
          <w:tcPr>
            <w:tcW w:w="356" w:type="pct"/>
            <w:tcBorders>
              <w:top w:val="nil"/>
              <w:left w:val="nil"/>
              <w:bottom w:val="nil"/>
              <w:right w:val="nil"/>
            </w:tcBorders>
            <w:shd w:val="clear" w:color="auto" w:fill="auto"/>
            <w:vAlign w:val="center"/>
            <w:hideMark/>
          </w:tcPr>
          <w:p w14:paraId="2829BCFD"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w:t>
            </w:r>
          </w:p>
        </w:tc>
        <w:tc>
          <w:tcPr>
            <w:tcW w:w="367" w:type="pct"/>
            <w:tcBorders>
              <w:top w:val="nil"/>
              <w:left w:val="nil"/>
              <w:bottom w:val="nil"/>
              <w:right w:val="nil"/>
            </w:tcBorders>
            <w:shd w:val="clear" w:color="auto" w:fill="auto"/>
            <w:vAlign w:val="center"/>
            <w:hideMark/>
          </w:tcPr>
          <w:p w14:paraId="64440B7A"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w:t>
            </w:r>
          </w:p>
        </w:tc>
        <w:tc>
          <w:tcPr>
            <w:tcW w:w="82" w:type="pct"/>
            <w:tcBorders>
              <w:top w:val="nil"/>
              <w:left w:val="nil"/>
              <w:bottom w:val="nil"/>
              <w:right w:val="nil"/>
            </w:tcBorders>
            <w:shd w:val="clear" w:color="auto" w:fill="auto"/>
            <w:noWrap/>
            <w:vAlign w:val="bottom"/>
            <w:hideMark/>
          </w:tcPr>
          <w:p w14:paraId="217931CC"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454" w:type="pct"/>
            <w:tcBorders>
              <w:top w:val="nil"/>
              <w:left w:val="nil"/>
              <w:bottom w:val="nil"/>
              <w:right w:val="nil"/>
            </w:tcBorders>
            <w:shd w:val="clear" w:color="000000" w:fill="D9E1F2"/>
            <w:noWrap/>
            <w:vAlign w:val="center"/>
            <w:hideMark/>
          </w:tcPr>
          <w:p w14:paraId="417816DB"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 </w:t>
            </w:r>
          </w:p>
        </w:tc>
        <w:tc>
          <w:tcPr>
            <w:tcW w:w="493" w:type="pct"/>
            <w:tcBorders>
              <w:top w:val="nil"/>
              <w:left w:val="nil"/>
              <w:bottom w:val="nil"/>
              <w:right w:val="nil"/>
            </w:tcBorders>
            <w:shd w:val="clear" w:color="auto" w:fill="auto"/>
            <w:noWrap/>
            <w:vAlign w:val="center"/>
            <w:hideMark/>
          </w:tcPr>
          <w:p w14:paraId="3711AECB"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p>
        </w:tc>
        <w:tc>
          <w:tcPr>
            <w:tcW w:w="82" w:type="pct"/>
            <w:tcBorders>
              <w:top w:val="nil"/>
              <w:left w:val="nil"/>
              <w:bottom w:val="nil"/>
              <w:right w:val="nil"/>
            </w:tcBorders>
            <w:shd w:val="clear" w:color="auto" w:fill="auto"/>
            <w:noWrap/>
            <w:vAlign w:val="bottom"/>
            <w:hideMark/>
          </w:tcPr>
          <w:p w14:paraId="3C6B766A" w14:textId="77777777" w:rsidR="00AA1F87" w:rsidRPr="00AA1F87" w:rsidRDefault="00AA1F87" w:rsidP="00AA1F87">
            <w:pPr>
              <w:spacing w:after="0" w:line="240" w:lineRule="auto"/>
              <w:jc w:val="right"/>
              <w:rPr>
                <w:rFonts w:ascii="Times New Roman" w:eastAsia="Times New Roman" w:hAnsi="Times New Roman" w:cs="Times New Roman"/>
                <w:kern w:val="0"/>
                <w:sz w:val="15"/>
                <w:szCs w:val="15"/>
                <w:lang w:eastAsia="pt-BR"/>
                <w14:ligatures w14:val="none"/>
              </w:rPr>
            </w:pPr>
          </w:p>
        </w:tc>
        <w:tc>
          <w:tcPr>
            <w:tcW w:w="320" w:type="pct"/>
            <w:tcBorders>
              <w:top w:val="nil"/>
              <w:left w:val="nil"/>
              <w:bottom w:val="nil"/>
              <w:right w:val="nil"/>
            </w:tcBorders>
            <w:shd w:val="clear" w:color="auto" w:fill="auto"/>
            <w:vAlign w:val="center"/>
            <w:hideMark/>
          </w:tcPr>
          <w:p w14:paraId="01AAA417"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 xml:space="preserve"> </w:t>
            </w:r>
          </w:p>
        </w:tc>
      </w:tr>
      <w:tr w:rsidR="00AA1F87" w:rsidRPr="00AA1F87" w14:paraId="21A43046" w14:textId="77777777" w:rsidTr="00AA1F87">
        <w:trPr>
          <w:trHeight w:val="227"/>
        </w:trPr>
        <w:tc>
          <w:tcPr>
            <w:tcW w:w="1372" w:type="pct"/>
            <w:tcBorders>
              <w:top w:val="nil"/>
              <w:left w:val="nil"/>
              <w:bottom w:val="nil"/>
              <w:right w:val="nil"/>
            </w:tcBorders>
            <w:shd w:val="clear" w:color="auto" w:fill="auto"/>
            <w:noWrap/>
            <w:vAlign w:val="center"/>
            <w:hideMark/>
          </w:tcPr>
          <w:p w14:paraId="7DE4378A" w14:textId="77777777" w:rsidR="00AA1F87" w:rsidRPr="00AA1F87" w:rsidRDefault="00AA1F87" w:rsidP="00AA1F87">
            <w:pPr>
              <w:spacing w:after="0" w:line="240" w:lineRule="auto"/>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Superávit de Previdência Privada</w:t>
            </w:r>
          </w:p>
        </w:tc>
        <w:tc>
          <w:tcPr>
            <w:tcW w:w="471" w:type="pct"/>
            <w:tcBorders>
              <w:top w:val="nil"/>
              <w:left w:val="nil"/>
              <w:bottom w:val="nil"/>
              <w:right w:val="nil"/>
            </w:tcBorders>
            <w:shd w:val="clear" w:color="000000" w:fill="D9E1F2"/>
            <w:noWrap/>
            <w:vAlign w:val="center"/>
            <w:hideMark/>
          </w:tcPr>
          <w:p w14:paraId="373398B1"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(7.421)</w:t>
            </w:r>
          </w:p>
        </w:tc>
        <w:tc>
          <w:tcPr>
            <w:tcW w:w="471" w:type="pct"/>
            <w:tcBorders>
              <w:top w:val="nil"/>
              <w:left w:val="nil"/>
              <w:bottom w:val="nil"/>
              <w:right w:val="nil"/>
            </w:tcBorders>
            <w:shd w:val="clear" w:color="auto" w:fill="auto"/>
            <w:noWrap/>
            <w:vAlign w:val="center"/>
            <w:hideMark/>
          </w:tcPr>
          <w:p w14:paraId="51759AB0"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      </w:t>
            </w:r>
          </w:p>
        </w:tc>
        <w:tc>
          <w:tcPr>
            <w:tcW w:w="450" w:type="pct"/>
            <w:tcBorders>
              <w:top w:val="nil"/>
              <w:left w:val="nil"/>
              <w:bottom w:val="nil"/>
              <w:right w:val="nil"/>
            </w:tcBorders>
            <w:shd w:val="clear" w:color="auto" w:fill="auto"/>
            <w:noWrap/>
            <w:vAlign w:val="center"/>
            <w:hideMark/>
          </w:tcPr>
          <w:p w14:paraId="27BC2A5B"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w:t>
            </w:r>
          </w:p>
        </w:tc>
        <w:tc>
          <w:tcPr>
            <w:tcW w:w="82" w:type="pct"/>
            <w:tcBorders>
              <w:top w:val="nil"/>
              <w:left w:val="nil"/>
              <w:bottom w:val="nil"/>
              <w:right w:val="nil"/>
            </w:tcBorders>
            <w:shd w:val="clear" w:color="auto" w:fill="auto"/>
            <w:noWrap/>
            <w:vAlign w:val="bottom"/>
            <w:hideMark/>
          </w:tcPr>
          <w:p w14:paraId="78B1A56B" w14:textId="77777777" w:rsidR="00AA1F87" w:rsidRPr="00AA1F87" w:rsidRDefault="00AA1F87" w:rsidP="00AA1F87">
            <w:pPr>
              <w:spacing w:after="0" w:line="240" w:lineRule="auto"/>
              <w:jc w:val="right"/>
              <w:rPr>
                <w:rFonts w:ascii="Times New Roman" w:eastAsia="Times New Roman" w:hAnsi="Times New Roman" w:cs="Times New Roman"/>
                <w:kern w:val="0"/>
                <w:sz w:val="15"/>
                <w:szCs w:val="15"/>
                <w:lang w:eastAsia="pt-BR"/>
                <w14:ligatures w14:val="none"/>
              </w:rPr>
            </w:pPr>
          </w:p>
        </w:tc>
        <w:tc>
          <w:tcPr>
            <w:tcW w:w="356" w:type="pct"/>
            <w:tcBorders>
              <w:top w:val="nil"/>
              <w:left w:val="nil"/>
              <w:bottom w:val="nil"/>
              <w:right w:val="nil"/>
            </w:tcBorders>
            <w:shd w:val="clear" w:color="auto" w:fill="auto"/>
            <w:vAlign w:val="center"/>
            <w:hideMark/>
          </w:tcPr>
          <w:p w14:paraId="5223FB32"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100,0%</w:t>
            </w:r>
          </w:p>
        </w:tc>
        <w:tc>
          <w:tcPr>
            <w:tcW w:w="367" w:type="pct"/>
            <w:tcBorders>
              <w:top w:val="nil"/>
              <w:left w:val="nil"/>
              <w:bottom w:val="nil"/>
              <w:right w:val="nil"/>
            </w:tcBorders>
            <w:shd w:val="clear" w:color="auto" w:fill="auto"/>
            <w:vAlign w:val="center"/>
            <w:hideMark/>
          </w:tcPr>
          <w:p w14:paraId="49689AC9"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w:t>
            </w:r>
          </w:p>
        </w:tc>
        <w:tc>
          <w:tcPr>
            <w:tcW w:w="82" w:type="pct"/>
            <w:tcBorders>
              <w:top w:val="nil"/>
              <w:left w:val="nil"/>
              <w:bottom w:val="nil"/>
              <w:right w:val="nil"/>
            </w:tcBorders>
            <w:shd w:val="clear" w:color="auto" w:fill="auto"/>
            <w:noWrap/>
            <w:vAlign w:val="bottom"/>
            <w:hideMark/>
          </w:tcPr>
          <w:p w14:paraId="4D06E0E5" w14:textId="77777777" w:rsidR="00AA1F87" w:rsidRPr="00AA1F87" w:rsidRDefault="00AA1F87" w:rsidP="00AA1F87">
            <w:pPr>
              <w:spacing w:after="0" w:line="240" w:lineRule="auto"/>
              <w:jc w:val="right"/>
              <w:rPr>
                <w:rFonts w:ascii="Times New Roman" w:eastAsia="Times New Roman" w:hAnsi="Times New Roman" w:cs="Times New Roman"/>
                <w:kern w:val="0"/>
                <w:sz w:val="15"/>
                <w:szCs w:val="15"/>
                <w:lang w:eastAsia="pt-BR"/>
                <w14:ligatures w14:val="none"/>
              </w:rPr>
            </w:pPr>
          </w:p>
        </w:tc>
        <w:tc>
          <w:tcPr>
            <w:tcW w:w="454" w:type="pct"/>
            <w:tcBorders>
              <w:top w:val="nil"/>
              <w:left w:val="nil"/>
              <w:bottom w:val="nil"/>
              <w:right w:val="nil"/>
            </w:tcBorders>
            <w:shd w:val="clear" w:color="000000" w:fill="D9E1F2"/>
            <w:noWrap/>
            <w:vAlign w:val="center"/>
            <w:hideMark/>
          </w:tcPr>
          <w:p w14:paraId="1BEE7CCC"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(33.912)</w:t>
            </w:r>
          </w:p>
        </w:tc>
        <w:tc>
          <w:tcPr>
            <w:tcW w:w="493" w:type="pct"/>
            <w:tcBorders>
              <w:top w:val="nil"/>
              <w:left w:val="nil"/>
              <w:bottom w:val="nil"/>
              <w:right w:val="nil"/>
            </w:tcBorders>
            <w:shd w:val="clear" w:color="auto" w:fill="auto"/>
            <w:noWrap/>
            <w:vAlign w:val="center"/>
            <w:hideMark/>
          </w:tcPr>
          <w:p w14:paraId="27365C27"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      </w:t>
            </w:r>
          </w:p>
        </w:tc>
        <w:tc>
          <w:tcPr>
            <w:tcW w:w="82" w:type="pct"/>
            <w:tcBorders>
              <w:top w:val="nil"/>
              <w:left w:val="nil"/>
              <w:bottom w:val="nil"/>
              <w:right w:val="nil"/>
            </w:tcBorders>
            <w:shd w:val="clear" w:color="auto" w:fill="auto"/>
            <w:noWrap/>
            <w:vAlign w:val="bottom"/>
            <w:hideMark/>
          </w:tcPr>
          <w:p w14:paraId="6B7A06ED"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20" w:type="pct"/>
            <w:tcBorders>
              <w:top w:val="nil"/>
              <w:left w:val="nil"/>
              <w:bottom w:val="nil"/>
              <w:right w:val="nil"/>
            </w:tcBorders>
            <w:shd w:val="clear" w:color="auto" w:fill="auto"/>
            <w:vAlign w:val="center"/>
            <w:hideMark/>
          </w:tcPr>
          <w:p w14:paraId="4368AC3B" w14:textId="77777777" w:rsidR="00AA1F87" w:rsidRPr="00AA1F87" w:rsidRDefault="00AA1F87" w:rsidP="00AA1F87">
            <w:pPr>
              <w:spacing w:after="0" w:line="240" w:lineRule="auto"/>
              <w:jc w:val="right"/>
              <w:rPr>
                <w:rFonts w:ascii="Arial" w:eastAsia="Times New Roman" w:hAnsi="Arial" w:cs="Arial"/>
                <w:bCs/>
                <w:color w:val="000000"/>
                <w:kern w:val="0"/>
                <w:sz w:val="15"/>
                <w:szCs w:val="15"/>
                <w:lang w:eastAsia="pt-BR"/>
                <w14:ligatures w14:val="none"/>
              </w:rPr>
            </w:pPr>
            <w:r w:rsidRPr="00AA1F87">
              <w:rPr>
                <w:rFonts w:ascii="Arial" w:eastAsia="Times New Roman" w:hAnsi="Arial" w:cs="Arial"/>
                <w:bCs/>
                <w:color w:val="000000"/>
                <w:kern w:val="0"/>
                <w:sz w:val="15"/>
                <w:szCs w:val="15"/>
                <w:lang w:eastAsia="pt-BR"/>
                <w14:ligatures w14:val="none"/>
              </w:rPr>
              <w:t>100,0%</w:t>
            </w:r>
          </w:p>
        </w:tc>
      </w:tr>
      <w:tr w:rsidR="00AA1F87" w:rsidRPr="00AA1F87" w14:paraId="6AD16B81" w14:textId="77777777" w:rsidTr="00AA1F87">
        <w:trPr>
          <w:trHeight w:val="227"/>
        </w:trPr>
        <w:tc>
          <w:tcPr>
            <w:tcW w:w="1372" w:type="pct"/>
            <w:tcBorders>
              <w:top w:val="nil"/>
              <w:left w:val="nil"/>
              <w:bottom w:val="nil"/>
              <w:right w:val="nil"/>
            </w:tcBorders>
            <w:shd w:val="clear" w:color="auto" w:fill="auto"/>
            <w:noWrap/>
            <w:vAlign w:val="center"/>
            <w:hideMark/>
          </w:tcPr>
          <w:p w14:paraId="32DCA2EE" w14:textId="77777777" w:rsidR="00AA1F87" w:rsidRPr="00AA1F87" w:rsidRDefault="00AA1F87" w:rsidP="00AA1F87">
            <w:pPr>
              <w:spacing w:after="0" w:line="240" w:lineRule="auto"/>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Tributos s/ Superávit de Previdência </w:t>
            </w:r>
          </w:p>
        </w:tc>
        <w:tc>
          <w:tcPr>
            <w:tcW w:w="471" w:type="pct"/>
            <w:tcBorders>
              <w:top w:val="nil"/>
              <w:left w:val="nil"/>
              <w:bottom w:val="nil"/>
              <w:right w:val="nil"/>
            </w:tcBorders>
            <w:shd w:val="clear" w:color="000000" w:fill="D9E1F2"/>
            <w:noWrap/>
            <w:vAlign w:val="center"/>
            <w:hideMark/>
          </w:tcPr>
          <w:p w14:paraId="55635276"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686 </w:t>
            </w:r>
          </w:p>
        </w:tc>
        <w:tc>
          <w:tcPr>
            <w:tcW w:w="471" w:type="pct"/>
            <w:tcBorders>
              <w:top w:val="nil"/>
              <w:left w:val="nil"/>
              <w:bottom w:val="nil"/>
              <w:right w:val="nil"/>
            </w:tcBorders>
            <w:shd w:val="clear" w:color="auto" w:fill="auto"/>
            <w:noWrap/>
            <w:vAlign w:val="center"/>
            <w:hideMark/>
          </w:tcPr>
          <w:p w14:paraId="5E5F5614"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      </w:t>
            </w:r>
          </w:p>
        </w:tc>
        <w:tc>
          <w:tcPr>
            <w:tcW w:w="450" w:type="pct"/>
            <w:tcBorders>
              <w:top w:val="nil"/>
              <w:left w:val="nil"/>
              <w:bottom w:val="nil"/>
              <w:right w:val="nil"/>
            </w:tcBorders>
            <w:shd w:val="clear" w:color="auto" w:fill="auto"/>
            <w:noWrap/>
            <w:vAlign w:val="center"/>
            <w:hideMark/>
          </w:tcPr>
          <w:p w14:paraId="0A76159C"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      </w:t>
            </w:r>
          </w:p>
        </w:tc>
        <w:tc>
          <w:tcPr>
            <w:tcW w:w="82" w:type="pct"/>
            <w:tcBorders>
              <w:top w:val="nil"/>
              <w:left w:val="nil"/>
              <w:bottom w:val="nil"/>
              <w:right w:val="nil"/>
            </w:tcBorders>
            <w:shd w:val="clear" w:color="auto" w:fill="auto"/>
            <w:noWrap/>
            <w:vAlign w:val="bottom"/>
            <w:hideMark/>
          </w:tcPr>
          <w:p w14:paraId="6F27BB10"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56" w:type="pct"/>
            <w:tcBorders>
              <w:top w:val="nil"/>
              <w:left w:val="nil"/>
              <w:bottom w:val="nil"/>
              <w:right w:val="nil"/>
            </w:tcBorders>
            <w:shd w:val="clear" w:color="auto" w:fill="auto"/>
            <w:vAlign w:val="center"/>
            <w:hideMark/>
          </w:tcPr>
          <w:p w14:paraId="62405A42"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100,0%</w:t>
            </w:r>
          </w:p>
        </w:tc>
        <w:tc>
          <w:tcPr>
            <w:tcW w:w="367" w:type="pct"/>
            <w:tcBorders>
              <w:top w:val="nil"/>
              <w:left w:val="nil"/>
              <w:bottom w:val="nil"/>
              <w:right w:val="nil"/>
            </w:tcBorders>
            <w:shd w:val="clear" w:color="auto" w:fill="auto"/>
            <w:vAlign w:val="center"/>
            <w:hideMark/>
          </w:tcPr>
          <w:p w14:paraId="59D38325"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w:t>
            </w:r>
          </w:p>
        </w:tc>
        <w:tc>
          <w:tcPr>
            <w:tcW w:w="82" w:type="pct"/>
            <w:tcBorders>
              <w:top w:val="nil"/>
              <w:left w:val="nil"/>
              <w:bottom w:val="nil"/>
              <w:right w:val="nil"/>
            </w:tcBorders>
            <w:shd w:val="clear" w:color="auto" w:fill="auto"/>
            <w:noWrap/>
            <w:vAlign w:val="bottom"/>
            <w:hideMark/>
          </w:tcPr>
          <w:p w14:paraId="225B153C" w14:textId="77777777" w:rsidR="00AA1F87" w:rsidRPr="00AA1F87" w:rsidRDefault="00AA1F87" w:rsidP="00AA1F87">
            <w:pPr>
              <w:spacing w:after="0" w:line="240" w:lineRule="auto"/>
              <w:jc w:val="right"/>
              <w:rPr>
                <w:rFonts w:ascii="Times New Roman" w:eastAsia="Times New Roman" w:hAnsi="Times New Roman" w:cs="Times New Roman"/>
                <w:kern w:val="0"/>
                <w:sz w:val="15"/>
                <w:szCs w:val="15"/>
                <w:lang w:eastAsia="pt-BR"/>
                <w14:ligatures w14:val="none"/>
              </w:rPr>
            </w:pPr>
          </w:p>
        </w:tc>
        <w:tc>
          <w:tcPr>
            <w:tcW w:w="454" w:type="pct"/>
            <w:tcBorders>
              <w:top w:val="nil"/>
              <w:left w:val="nil"/>
              <w:bottom w:val="nil"/>
              <w:right w:val="nil"/>
            </w:tcBorders>
            <w:shd w:val="clear" w:color="000000" w:fill="D9E1F2"/>
            <w:noWrap/>
            <w:vAlign w:val="center"/>
            <w:hideMark/>
          </w:tcPr>
          <w:p w14:paraId="1B4A5CC4"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3.137 </w:t>
            </w:r>
          </w:p>
        </w:tc>
        <w:tc>
          <w:tcPr>
            <w:tcW w:w="493" w:type="pct"/>
            <w:tcBorders>
              <w:top w:val="nil"/>
              <w:left w:val="nil"/>
              <w:bottom w:val="nil"/>
              <w:right w:val="nil"/>
            </w:tcBorders>
            <w:shd w:val="clear" w:color="auto" w:fill="auto"/>
            <w:noWrap/>
            <w:vAlign w:val="center"/>
            <w:hideMark/>
          </w:tcPr>
          <w:p w14:paraId="0ED58700"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      </w:t>
            </w:r>
          </w:p>
        </w:tc>
        <w:tc>
          <w:tcPr>
            <w:tcW w:w="82" w:type="pct"/>
            <w:tcBorders>
              <w:top w:val="nil"/>
              <w:left w:val="nil"/>
              <w:bottom w:val="nil"/>
              <w:right w:val="nil"/>
            </w:tcBorders>
            <w:shd w:val="clear" w:color="auto" w:fill="auto"/>
            <w:noWrap/>
            <w:vAlign w:val="bottom"/>
            <w:hideMark/>
          </w:tcPr>
          <w:p w14:paraId="30A8BC87"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20" w:type="pct"/>
            <w:tcBorders>
              <w:top w:val="nil"/>
              <w:left w:val="nil"/>
              <w:bottom w:val="nil"/>
              <w:right w:val="nil"/>
            </w:tcBorders>
            <w:shd w:val="clear" w:color="auto" w:fill="auto"/>
            <w:vAlign w:val="center"/>
            <w:hideMark/>
          </w:tcPr>
          <w:p w14:paraId="5455635B" w14:textId="77777777" w:rsidR="00AA1F87" w:rsidRPr="00AA1F87" w:rsidRDefault="00AA1F87" w:rsidP="00AA1F87">
            <w:pPr>
              <w:spacing w:after="0" w:line="240" w:lineRule="auto"/>
              <w:jc w:val="right"/>
              <w:rPr>
                <w:rFonts w:ascii="Arial" w:eastAsia="Times New Roman" w:hAnsi="Arial" w:cs="Arial"/>
                <w:bCs/>
                <w:color w:val="000000"/>
                <w:kern w:val="0"/>
                <w:sz w:val="15"/>
                <w:szCs w:val="15"/>
                <w:lang w:eastAsia="pt-BR"/>
                <w14:ligatures w14:val="none"/>
              </w:rPr>
            </w:pPr>
            <w:r w:rsidRPr="00AA1F87">
              <w:rPr>
                <w:rFonts w:ascii="Arial" w:eastAsia="Times New Roman" w:hAnsi="Arial" w:cs="Arial"/>
                <w:bCs/>
                <w:color w:val="000000"/>
                <w:kern w:val="0"/>
                <w:sz w:val="15"/>
                <w:szCs w:val="15"/>
                <w:lang w:eastAsia="pt-BR"/>
                <w14:ligatures w14:val="none"/>
              </w:rPr>
              <w:t>100,0%</w:t>
            </w:r>
          </w:p>
        </w:tc>
      </w:tr>
      <w:tr w:rsidR="00AA1F87" w:rsidRPr="00AA1F87" w14:paraId="4976C613" w14:textId="77777777" w:rsidTr="00AA1F87">
        <w:trPr>
          <w:trHeight w:val="227"/>
        </w:trPr>
        <w:tc>
          <w:tcPr>
            <w:tcW w:w="1372" w:type="pct"/>
            <w:tcBorders>
              <w:top w:val="nil"/>
              <w:left w:val="nil"/>
              <w:bottom w:val="nil"/>
              <w:right w:val="nil"/>
            </w:tcBorders>
            <w:shd w:val="clear" w:color="auto" w:fill="auto"/>
            <w:noWrap/>
            <w:vAlign w:val="center"/>
            <w:hideMark/>
          </w:tcPr>
          <w:p w14:paraId="7F161EB5" w14:textId="77777777" w:rsidR="00AA1F87" w:rsidRPr="00AA1F87" w:rsidRDefault="00AA1F87" w:rsidP="00AA1F87">
            <w:pPr>
              <w:spacing w:after="0" w:line="240" w:lineRule="auto"/>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Ganho sobre Passivos</w:t>
            </w:r>
          </w:p>
        </w:tc>
        <w:tc>
          <w:tcPr>
            <w:tcW w:w="471" w:type="pct"/>
            <w:tcBorders>
              <w:top w:val="nil"/>
              <w:left w:val="nil"/>
              <w:bottom w:val="nil"/>
              <w:right w:val="nil"/>
            </w:tcBorders>
            <w:shd w:val="clear" w:color="000000" w:fill="D9E1F2"/>
            <w:noWrap/>
            <w:vAlign w:val="center"/>
            <w:hideMark/>
          </w:tcPr>
          <w:p w14:paraId="0EA506DC"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      </w:t>
            </w:r>
          </w:p>
        </w:tc>
        <w:tc>
          <w:tcPr>
            <w:tcW w:w="471" w:type="pct"/>
            <w:tcBorders>
              <w:top w:val="nil"/>
              <w:left w:val="nil"/>
              <w:bottom w:val="nil"/>
              <w:right w:val="nil"/>
            </w:tcBorders>
            <w:shd w:val="clear" w:color="auto" w:fill="auto"/>
            <w:noWrap/>
            <w:vAlign w:val="center"/>
            <w:hideMark/>
          </w:tcPr>
          <w:p w14:paraId="6C04D832"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3 </w:t>
            </w:r>
          </w:p>
        </w:tc>
        <w:tc>
          <w:tcPr>
            <w:tcW w:w="450" w:type="pct"/>
            <w:tcBorders>
              <w:top w:val="nil"/>
              <w:left w:val="nil"/>
              <w:bottom w:val="nil"/>
              <w:right w:val="nil"/>
            </w:tcBorders>
            <w:shd w:val="clear" w:color="auto" w:fill="auto"/>
            <w:noWrap/>
            <w:vAlign w:val="center"/>
            <w:hideMark/>
          </w:tcPr>
          <w:p w14:paraId="10E6F1CD"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      </w:t>
            </w:r>
          </w:p>
        </w:tc>
        <w:tc>
          <w:tcPr>
            <w:tcW w:w="82" w:type="pct"/>
            <w:tcBorders>
              <w:top w:val="nil"/>
              <w:left w:val="nil"/>
              <w:bottom w:val="nil"/>
              <w:right w:val="nil"/>
            </w:tcBorders>
            <w:shd w:val="clear" w:color="auto" w:fill="auto"/>
            <w:noWrap/>
            <w:vAlign w:val="bottom"/>
            <w:hideMark/>
          </w:tcPr>
          <w:p w14:paraId="06D6EDDD"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56" w:type="pct"/>
            <w:tcBorders>
              <w:top w:val="nil"/>
              <w:left w:val="nil"/>
              <w:bottom w:val="nil"/>
              <w:right w:val="nil"/>
            </w:tcBorders>
            <w:shd w:val="clear" w:color="auto" w:fill="auto"/>
            <w:vAlign w:val="center"/>
            <w:hideMark/>
          </w:tcPr>
          <w:p w14:paraId="7E6FE716"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-100,0%</w:t>
            </w:r>
          </w:p>
        </w:tc>
        <w:tc>
          <w:tcPr>
            <w:tcW w:w="367" w:type="pct"/>
            <w:tcBorders>
              <w:top w:val="nil"/>
              <w:left w:val="nil"/>
              <w:bottom w:val="nil"/>
              <w:right w:val="nil"/>
            </w:tcBorders>
            <w:shd w:val="clear" w:color="auto" w:fill="auto"/>
            <w:vAlign w:val="center"/>
            <w:hideMark/>
          </w:tcPr>
          <w:p w14:paraId="260132DA"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w:t>
            </w:r>
          </w:p>
        </w:tc>
        <w:tc>
          <w:tcPr>
            <w:tcW w:w="82" w:type="pct"/>
            <w:tcBorders>
              <w:top w:val="nil"/>
              <w:left w:val="nil"/>
              <w:bottom w:val="nil"/>
              <w:right w:val="nil"/>
            </w:tcBorders>
            <w:shd w:val="clear" w:color="auto" w:fill="auto"/>
            <w:noWrap/>
            <w:vAlign w:val="bottom"/>
            <w:hideMark/>
          </w:tcPr>
          <w:p w14:paraId="1708926A" w14:textId="77777777" w:rsidR="00AA1F87" w:rsidRPr="00AA1F87" w:rsidRDefault="00AA1F87" w:rsidP="00AA1F87">
            <w:pPr>
              <w:spacing w:after="0" w:line="240" w:lineRule="auto"/>
              <w:jc w:val="right"/>
              <w:rPr>
                <w:rFonts w:ascii="Times New Roman" w:eastAsia="Times New Roman" w:hAnsi="Times New Roman" w:cs="Times New Roman"/>
                <w:kern w:val="0"/>
                <w:sz w:val="15"/>
                <w:szCs w:val="15"/>
                <w:lang w:eastAsia="pt-BR"/>
                <w14:ligatures w14:val="none"/>
              </w:rPr>
            </w:pPr>
          </w:p>
        </w:tc>
        <w:tc>
          <w:tcPr>
            <w:tcW w:w="454" w:type="pct"/>
            <w:tcBorders>
              <w:top w:val="nil"/>
              <w:left w:val="nil"/>
              <w:bottom w:val="nil"/>
              <w:right w:val="nil"/>
            </w:tcBorders>
            <w:shd w:val="clear" w:color="000000" w:fill="D9E1F2"/>
            <w:noWrap/>
            <w:vAlign w:val="center"/>
            <w:hideMark/>
          </w:tcPr>
          <w:p w14:paraId="3EE5AF58"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(417)</w:t>
            </w:r>
          </w:p>
        </w:tc>
        <w:tc>
          <w:tcPr>
            <w:tcW w:w="493" w:type="pct"/>
            <w:tcBorders>
              <w:top w:val="nil"/>
              <w:left w:val="nil"/>
              <w:bottom w:val="nil"/>
              <w:right w:val="nil"/>
            </w:tcBorders>
            <w:shd w:val="clear" w:color="auto" w:fill="auto"/>
            <w:noWrap/>
            <w:vAlign w:val="center"/>
            <w:hideMark/>
          </w:tcPr>
          <w:p w14:paraId="0C849DB6"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(474)</w:t>
            </w:r>
          </w:p>
        </w:tc>
        <w:tc>
          <w:tcPr>
            <w:tcW w:w="82" w:type="pct"/>
            <w:tcBorders>
              <w:top w:val="nil"/>
              <w:left w:val="nil"/>
              <w:bottom w:val="nil"/>
              <w:right w:val="nil"/>
            </w:tcBorders>
            <w:shd w:val="clear" w:color="auto" w:fill="auto"/>
            <w:noWrap/>
            <w:vAlign w:val="bottom"/>
            <w:hideMark/>
          </w:tcPr>
          <w:p w14:paraId="56A30151"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20" w:type="pct"/>
            <w:tcBorders>
              <w:top w:val="nil"/>
              <w:left w:val="nil"/>
              <w:bottom w:val="nil"/>
              <w:right w:val="nil"/>
            </w:tcBorders>
            <w:shd w:val="clear" w:color="auto" w:fill="auto"/>
            <w:vAlign w:val="center"/>
            <w:hideMark/>
          </w:tcPr>
          <w:p w14:paraId="46767517" w14:textId="77777777" w:rsidR="00AA1F87" w:rsidRPr="00AA1F87" w:rsidRDefault="00AA1F87" w:rsidP="00AA1F87">
            <w:pPr>
              <w:spacing w:after="0" w:line="240" w:lineRule="auto"/>
              <w:jc w:val="right"/>
              <w:rPr>
                <w:rFonts w:ascii="Arial" w:eastAsia="Times New Roman" w:hAnsi="Arial" w:cs="Arial"/>
                <w:bCs/>
                <w:color w:val="000000"/>
                <w:kern w:val="0"/>
                <w:sz w:val="15"/>
                <w:szCs w:val="15"/>
                <w:lang w:eastAsia="pt-BR"/>
                <w14:ligatures w14:val="none"/>
              </w:rPr>
            </w:pPr>
            <w:r w:rsidRPr="00AA1F87">
              <w:rPr>
                <w:rFonts w:ascii="Arial" w:eastAsia="Times New Roman" w:hAnsi="Arial" w:cs="Arial"/>
                <w:bCs/>
                <w:color w:val="000000"/>
                <w:kern w:val="0"/>
                <w:sz w:val="15"/>
                <w:szCs w:val="15"/>
                <w:lang w:eastAsia="pt-BR"/>
                <w14:ligatures w14:val="none"/>
              </w:rPr>
              <w:t>-12,0%</w:t>
            </w:r>
          </w:p>
        </w:tc>
      </w:tr>
      <w:tr w:rsidR="00AA1F87" w:rsidRPr="00AA1F87" w14:paraId="500C4988" w14:textId="77777777" w:rsidTr="00AA1F87">
        <w:trPr>
          <w:trHeight w:val="227"/>
        </w:trPr>
        <w:tc>
          <w:tcPr>
            <w:tcW w:w="1372" w:type="pct"/>
            <w:tcBorders>
              <w:top w:val="nil"/>
              <w:left w:val="nil"/>
              <w:bottom w:val="nil"/>
              <w:right w:val="nil"/>
            </w:tcBorders>
            <w:shd w:val="clear" w:color="auto" w:fill="auto"/>
            <w:noWrap/>
            <w:vAlign w:val="center"/>
            <w:hideMark/>
          </w:tcPr>
          <w:p w14:paraId="6C99B51F" w14:textId="77777777" w:rsidR="00AA1F87" w:rsidRPr="00AA1F87" w:rsidRDefault="00AA1F87" w:rsidP="00AA1F87">
            <w:pPr>
              <w:spacing w:after="0" w:line="240" w:lineRule="auto"/>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Baixa de Créditos Tributários</w:t>
            </w:r>
          </w:p>
        </w:tc>
        <w:tc>
          <w:tcPr>
            <w:tcW w:w="471" w:type="pct"/>
            <w:tcBorders>
              <w:top w:val="nil"/>
              <w:left w:val="nil"/>
              <w:bottom w:val="nil"/>
              <w:right w:val="nil"/>
            </w:tcBorders>
            <w:shd w:val="clear" w:color="000000" w:fill="D9E1F2"/>
            <w:noWrap/>
            <w:vAlign w:val="center"/>
            <w:hideMark/>
          </w:tcPr>
          <w:p w14:paraId="5FC64784"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      </w:t>
            </w:r>
          </w:p>
        </w:tc>
        <w:tc>
          <w:tcPr>
            <w:tcW w:w="471" w:type="pct"/>
            <w:tcBorders>
              <w:top w:val="nil"/>
              <w:left w:val="nil"/>
              <w:bottom w:val="nil"/>
              <w:right w:val="nil"/>
            </w:tcBorders>
            <w:shd w:val="clear" w:color="auto" w:fill="auto"/>
            <w:noWrap/>
            <w:vAlign w:val="center"/>
            <w:hideMark/>
          </w:tcPr>
          <w:p w14:paraId="54B28A76"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      </w:t>
            </w:r>
          </w:p>
        </w:tc>
        <w:tc>
          <w:tcPr>
            <w:tcW w:w="450" w:type="pct"/>
            <w:tcBorders>
              <w:top w:val="nil"/>
              <w:left w:val="nil"/>
              <w:bottom w:val="nil"/>
              <w:right w:val="nil"/>
            </w:tcBorders>
            <w:shd w:val="clear" w:color="auto" w:fill="auto"/>
            <w:noWrap/>
            <w:vAlign w:val="center"/>
            <w:hideMark/>
          </w:tcPr>
          <w:p w14:paraId="6076C634"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      </w:t>
            </w:r>
          </w:p>
        </w:tc>
        <w:tc>
          <w:tcPr>
            <w:tcW w:w="82" w:type="pct"/>
            <w:tcBorders>
              <w:top w:val="nil"/>
              <w:left w:val="nil"/>
              <w:bottom w:val="nil"/>
              <w:right w:val="nil"/>
            </w:tcBorders>
            <w:shd w:val="clear" w:color="auto" w:fill="auto"/>
            <w:noWrap/>
            <w:vAlign w:val="bottom"/>
            <w:hideMark/>
          </w:tcPr>
          <w:p w14:paraId="479EA3F7"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56" w:type="pct"/>
            <w:tcBorders>
              <w:top w:val="nil"/>
              <w:left w:val="nil"/>
              <w:bottom w:val="nil"/>
              <w:right w:val="nil"/>
            </w:tcBorders>
            <w:shd w:val="clear" w:color="auto" w:fill="auto"/>
            <w:vAlign w:val="center"/>
            <w:hideMark/>
          </w:tcPr>
          <w:p w14:paraId="2C0503DD"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w:t>
            </w:r>
          </w:p>
        </w:tc>
        <w:tc>
          <w:tcPr>
            <w:tcW w:w="367" w:type="pct"/>
            <w:tcBorders>
              <w:top w:val="nil"/>
              <w:left w:val="nil"/>
              <w:bottom w:val="nil"/>
              <w:right w:val="nil"/>
            </w:tcBorders>
            <w:shd w:val="clear" w:color="auto" w:fill="auto"/>
            <w:vAlign w:val="center"/>
            <w:hideMark/>
          </w:tcPr>
          <w:p w14:paraId="5771F38D"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w:t>
            </w:r>
          </w:p>
        </w:tc>
        <w:tc>
          <w:tcPr>
            <w:tcW w:w="82" w:type="pct"/>
            <w:tcBorders>
              <w:top w:val="nil"/>
              <w:left w:val="nil"/>
              <w:bottom w:val="nil"/>
              <w:right w:val="nil"/>
            </w:tcBorders>
            <w:shd w:val="clear" w:color="auto" w:fill="auto"/>
            <w:noWrap/>
            <w:vAlign w:val="bottom"/>
            <w:hideMark/>
          </w:tcPr>
          <w:p w14:paraId="49993FE3"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454" w:type="pct"/>
            <w:tcBorders>
              <w:top w:val="nil"/>
              <w:left w:val="nil"/>
              <w:bottom w:val="nil"/>
              <w:right w:val="nil"/>
            </w:tcBorders>
            <w:shd w:val="clear" w:color="000000" w:fill="D9E1F2"/>
            <w:noWrap/>
            <w:vAlign w:val="center"/>
            <w:hideMark/>
          </w:tcPr>
          <w:p w14:paraId="1734D53D"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7.183 </w:t>
            </w:r>
          </w:p>
        </w:tc>
        <w:tc>
          <w:tcPr>
            <w:tcW w:w="493" w:type="pct"/>
            <w:tcBorders>
              <w:top w:val="nil"/>
              <w:left w:val="nil"/>
              <w:bottom w:val="nil"/>
              <w:right w:val="nil"/>
            </w:tcBorders>
            <w:shd w:val="clear" w:color="auto" w:fill="auto"/>
            <w:noWrap/>
            <w:vAlign w:val="center"/>
            <w:hideMark/>
          </w:tcPr>
          <w:p w14:paraId="60E53C9B"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      </w:t>
            </w:r>
          </w:p>
        </w:tc>
        <w:tc>
          <w:tcPr>
            <w:tcW w:w="82" w:type="pct"/>
            <w:tcBorders>
              <w:top w:val="nil"/>
              <w:left w:val="nil"/>
              <w:bottom w:val="nil"/>
              <w:right w:val="nil"/>
            </w:tcBorders>
            <w:shd w:val="clear" w:color="auto" w:fill="auto"/>
            <w:noWrap/>
            <w:vAlign w:val="bottom"/>
            <w:hideMark/>
          </w:tcPr>
          <w:p w14:paraId="5552F008"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20" w:type="pct"/>
            <w:tcBorders>
              <w:top w:val="nil"/>
              <w:left w:val="nil"/>
              <w:bottom w:val="nil"/>
              <w:right w:val="nil"/>
            </w:tcBorders>
            <w:shd w:val="clear" w:color="auto" w:fill="auto"/>
            <w:vAlign w:val="center"/>
            <w:hideMark/>
          </w:tcPr>
          <w:p w14:paraId="69CF480F" w14:textId="77777777" w:rsidR="00AA1F87" w:rsidRPr="00AA1F87" w:rsidRDefault="00AA1F87" w:rsidP="00AA1F87">
            <w:pPr>
              <w:spacing w:after="0" w:line="240" w:lineRule="auto"/>
              <w:jc w:val="right"/>
              <w:rPr>
                <w:rFonts w:ascii="Arial" w:eastAsia="Times New Roman" w:hAnsi="Arial" w:cs="Arial"/>
                <w:bCs/>
                <w:color w:val="000000"/>
                <w:kern w:val="0"/>
                <w:sz w:val="15"/>
                <w:szCs w:val="15"/>
                <w:lang w:eastAsia="pt-BR"/>
                <w14:ligatures w14:val="none"/>
              </w:rPr>
            </w:pPr>
            <w:r w:rsidRPr="00AA1F87">
              <w:rPr>
                <w:rFonts w:ascii="Arial" w:eastAsia="Times New Roman" w:hAnsi="Arial" w:cs="Arial"/>
                <w:bCs/>
                <w:color w:val="000000"/>
                <w:kern w:val="0"/>
                <w:sz w:val="15"/>
                <w:szCs w:val="15"/>
                <w:lang w:eastAsia="pt-BR"/>
                <w14:ligatures w14:val="none"/>
              </w:rPr>
              <w:t>100,0%</w:t>
            </w:r>
          </w:p>
        </w:tc>
      </w:tr>
      <w:tr w:rsidR="00AA1F87" w:rsidRPr="00AA1F87" w14:paraId="2E97451C" w14:textId="77777777" w:rsidTr="00AA1F87">
        <w:trPr>
          <w:trHeight w:val="227"/>
        </w:trPr>
        <w:tc>
          <w:tcPr>
            <w:tcW w:w="1372" w:type="pct"/>
            <w:tcBorders>
              <w:top w:val="nil"/>
              <w:left w:val="nil"/>
              <w:bottom w:val="nil"/>
              <w:right w:val="nil"/>
            </w:tcBorders>
            <w:shd w:val="clear" w:color="auto" w:fill="auto"/>
            <w:noWrap/>
            <w:vAlign w:val="center"/>
            <w:hideMark/>
          </w:tcPr>
          <w:p w14:paraId="026DB755" w14:textId="77777777" w:rsidR="00AA1F87" w:rsidRPr="00AA1F87" w:rsidRDefault="00AA1F87" w:rsidP="00AA1F87">
            <w:pPr>
              <w:spacing w:after="0" w:line="240" w:lineRule="auto"/>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Baixa de Bens do Ativo Imobilizado</w:t>
            </w:r>
          </w:p>
        </w:tc>
        <w:tc>
          <w:tcPr>
            <w:tcW w:w="471" w:type="pct"/>
            <w:tcBorders>
              <w:top w:val="nil"/>
              <w:left w:val="nil"/>
              <w:bottom w:val="nil"/>
              <w:right w:val="nil"/>
            </w:tcBorders>
            <w:shd w:val="clear" w:color="000000" w:fill="D9E1F2"/>
            <w:noWrap/>
            <w:vAlign w:val="center"/>
            <w:hideMark/>
          </w:tcPr>
          <w:p w14:paraId="461EF1F3"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      </w:t>
            </w:r>
          </w:p>
        </w:tc>
        <w:tc>
          <w:tcPr>
            <w:tcW w:w="471" w:type="pct"/>
            <w:tcBorders>
              <w:top w:val="nil"/>
              <w:left w:val="nil"/>
              <w:bottom w:val="nil"/>
              <w:right w:val="nil"/>
            </w:tcBorders>
            <w:shd w:val="clear" w:color="auto" w:fill="auto"/>
            <w:noWrap/>
            <w:vAlign w:val="center"/>
            <w:hideMark/>
          </w:tcPr>
          <w:p w14:paraId="2C34C85B"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      </w:t>
            </w:r>
          </w:p>
        </w:tc>
        <w:tc>
          <w:tcPr>
            <w:tcW w:w="450" w:type="pct"/>
            <w:tcBorders>
              <w:top w:val="nil"/>
              <w:left w:val="nil"/>
              <w:bottom w:val="nil"/>
              <w:right w:val="nil"/>
            </w:tcBorders>
            <w:shd w:val="clear" w:color="auto" w:fill="auto"/>
            <w:noWrap/>
            <w:vAlign w:val="center"/>
            <w:hideMark/>
          </w:tcPr>
          <w:p w14:paraId="7FF703B3"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383 </w:t>
            </w:r>
          </w:p>
        </w:tc>
        <w:tc>
          <w:tcPr>
            <w:tcW w:w="82" w:type="pct"/>
            <w:tcBorders>
              <w:top w:val="nil"/>
              <w:left w:val="nil"/>
              <w:bottom w:val="nil"/>
              <w:right w:val="nil"/>
            </w:tcBorders>
            <w:shd w:val="clear" w:color="auto" w:fill="auto"/>
            <w:noWrap/>
            <w:vAlign w:val="bottom"/>
            <w:hideMark/>
          </w:tcPr>
          <w:p w14:paraId="4255F685"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56" w:type="pct"/>
            <w:tcBorders>
              <w:top w:val="nil"/>
              <w:left w:val="nil"/>
              <w:bottom w:val="nil"/>
              <w:right w:val="nil"/>
            </w:tcBorders>
            <w:shd w:val="clear" w:color="auto" w:fill="auto"/>
            <w:vAlign w:val="center"/>
            <w:hideMark/>
          </w:tcPr>
          <w:p w14:paraId="76DF15F8"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w:t>
            </w:r>
          </w:p>
        </w:tc>
        <w:tc>
          <w:tcPr>
            <w:tcW w:w="367" w:type="pct"/>
            <w:tcBorders>
              <w:top w:val="nil"/>
              <w:left w:val="nil"/>
              <w:bottom w:val="nil"/>
              <w:right w:val="nil"/>
            </w:tcBorders>
            <w:shd w:val="clear" w:color="auto" w:fill="auto"/>
            <w:vAlign w:val="center"/>
            <w:hideMark/>
          </w:tcPr>
          <w:p w14:paraId="675ABA23"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-100,0%</w:t>
            </w:r>
          </w:p>
        </w:tc>
        <w:tc>
          <w:tcPr>
            <w:tcW w:w="82" w:type="pct"/>
            <w:tcBorders>
              <w:top w:val="nil"/>
              <w:left w:val="nil"/>
              <w:bottom w:val="nil"/>
              <w:right w:val="nil"/>
            </w:tcBorders>
            <w:shd w:val="clear" w:color="auto" w:fill="auto"/>
            <w:noWrap/>
            <w:vAlign w:val="bottom"/>
            <w:hideMark/>
          </w:tcPr>
          <w:p w14:paraId="1EA3B20D"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454" w:type="pct"/>
            <w:tcBorders>
              <w:top w:val="nil"/>
              <w:left w:val="nil"/>
              <w:bottom w:val="nil"/>
              <w:right w:val="nil"/>
            </w:tcBorders>
            <w:shd w:val="clear" w:color="000000" w:fill="D9E1F2"/>
            <w:noWrap/>
            <w:vAlign w:val="center"/>
            <w:hideMark/>
          </w:tcPr>
          <w:p w14:paraId="08F24E54"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383 </w:t>
            </w:r>
          </w:p>
        </w:tc>
        <w:tc>
          <w:tcPr>
            <w:tcW w:w="493" w:type="pct"/>
            <w:tcBorders>
              <w:top w:val="nil"/>
              <w:left w:val="nil"/>
              <w:bottom w:val="nil"/>
              <w:right w:val="nil"/>
            </w:tcBorders>
            <w:shd w:val="clear" w:color="auto" w:fill="auto"/>
            <w:noWrap/>
            <w:vAlign w:val="center"/>
            <w:hideMark/>
          </w:tcPr>
          <w:p w14:paraId="52B3A96E"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16.643 </w:t>
            </w:r>
          </w:p>
        </w:tc>
        <w:tc>
          <w:tcPr>
            <w:tcW w:w="82" w:type="pct"/>
            <w:tcBorders>
              <w:top w:val="nil"/>
              <w:left w:val="nil"/>
              <w:bottom w:val="nil"/>
              <w:right w:val="nil"/>
            </w:tcBorders>
            <w:shd w:val="clear" w:color="auto" w:fill="auto"/>
            <w:noWrap/>
            <w:vAlign w:val="bottom"/>
            <w:hideMark/>
          </w:tcPr>
          <w:p w14:paraId="5177D4A6"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20" w:type="pct"/>
            <w:tcBorders>
              <w:top w:val="nil"/>
              <w:left w:val="nil"/>
              <w:bottom w:val="nil"/>
              <w:right w:val="nil"/>
            </w:tcBorders>
            <w:shd w:val="clear" w:color="auto" w:fill="auto"/>
            <w:vAlign w:val="center"/>
            <w:hideMark/>
          </w:tcPr>
          <w:p w14:paraId="7D25CF86" w14:textId="77777777" w:rsidR="00AA1F87" w:rsidRPr="00AA1F87" w:rsidRDefault="00AA1F87" w:rsidP="00AA1F87">
            <w:pPr>
              <w:spacing w:after="0" w:line="240" w:lineRule="auto"/>
              <w:jc w:val="right"/>
              <w:rPr>
                <w:rFonts w:ascii="Arial" w:eastAsia="Times New Roman" w:hAnsi="Arial" w:cs="Arial"/>
                <w:bCs/>
                <w:color w:val="000000"/>
                <w:kern w:val="0"/>
                <w:sz w:val="15"/>
                <w:szCs w:val="15"/>
                <w:lang w:eastAsia="pt-BR"/>
                <w14:ligatures w14:val="none"/>
              </w:rPr>
            </w:pPr>
            <w:r w:rsidRPr="00AA1F87">
              <w:rPr>
                <w:rFonts w:ascii="Arial" w:eastAsia="Times New Roman" w:hAnsi="Arial" w:cs="Arial"/>
                <w:bCs/>
                <w:color w:val="000000"/>
                <w:kern w:val="0"/>
                <w:sz w:val="15"/>
                <w:szCs w:val="15"/>
                <w:lang w:eastAsia="pt-BR"/>
                <w14:ligatures w14:val="none"/>
              </w:rPr>
              <w:t>-97,7%</w:t>
            </w:r>
          </w:p>
        </w:tc>
      </w:tr>
      <w:tr w:rsidR="00AA1F87" w:rsidRPr="00AA1F87" w14:paraId="540DE6D1" w14:textId="77777777" w:rsidTr="00AA1F87">
        <w:trPr>
          <w:trHeight w:val="227"/>
        </w:trPr>
        <w:tc>
          <w:tcPr>
            <w:tcW w:w="1372" w:type="pct"/>
            <w:tcBorders>
              <w:top w:val="nil"/>
              <w:left w:val="nil"/>
              <w:bottom w:val="nil"/>
              <w:right w:val="nil"/>
            </w:tcBorders>
            <w:shd w:val="clear" w:color="auto" w:fill="auto"/>
            <w:noWrap/>
            <w:vAlign w:val="center"/>
            <w:hideMark/>
          </w:tcPr>
          <w:p w14:paraId="7C431FB4" w14:textId="77777777" w:rsidR="00AA1F87" w:rsidRPr="00AA1F87" w:rsidRDefault="00AA1F87" w:rsidP="00AA1F87">
            <w:pPr>
              <w:spacing w:after="0" w:line="240" w:lineRule="auto"/>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Multas Contratuais - Dataprev</w:t>
            </w:r>
          </w:p>
        </w:tc>
        <w:tc>
          <w:tcPr>
            <w:tcW w:w="471" w:type="pct"/>
            <w:tcBorders>
              <w:top w:val="nil"/>
              <w:left w:val="nil"/>
              <w:bottom w:val="nil"/>
              <w:right w:val="nil"/>
            </w:tcBorders>
            <w:shd w:val="clear" w:color="000000" w:fill="D9E1F2"/>
            <w:noWrap/>
            <w:vAlign w:val="center"/>
            <w:hideMark/>
          </w:tcPr>
          <w:p w14:paraId="3624491B"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(44)</w:t>
            </w:r>
          </w:p>
        </w:tc>
        <w:tc>
          <w:tcPr>
            <w:tcW w:w="471" w:type="pct"/>
            <w:tcBorders>
              <w:top w:val="nil"/>
              <w:left w:val="nil"/>
              <w:bottom w:val="nil"/>
              <w:right w:val="nil"/>
            </w:tcBorders>
            <w:shd w:val="clear" w:color="auto" w:fill="auto"/>
            <w:noWrap/>
            <w:vAlign w:val="center"/>
            <w:hideMark/>
          </w:tcPr>
          <w:p w14:paraId="29156F72"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      </w:t>
            </w:r>
          </w:p>
        </w:tc>
        <w:tc>
          <w:tcPr>
            <w:tcW w:w="450" w:type="pct"/>
            <w:tcBorders>
              <w:top w:val="nil"/>
              <w:left w:val="nil"/>
              <w:bottom w:val="nil"/>
              <w:right w:val="nil"/>
            </w:tcBorders>
            <w:shd w:val="clear" w:color="auto" w:fill="auto"/>
            <w:noWrap/>
            <w:vAlign w:val="center"/>
            <w:hideMark/>
          </w:tcPr>
          <w:p w14:paraId="36612BB3"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39.396 </w:t>
            </w:r>
          </w:p>
        </w:tc>
        <w:tc>
          <w:tcPr>
            <w:tcW w:w="82" w:type="pct"/>
            <w:tcBorders>
              <w:top w:val="nil"/>
              <w:left w:val="nil"/>
              <w:bottom w:val="nil"/>
              <w:right w:val="nil"/>
            </w:tcBorders>
            <w:shd w:val="clear" w:color="auto" w:fill="auto"/>
            <w:noWrap/>
            <w:vAlign w:val="bottom"/>
            <w:hideMark/>
          </w:tcPr>
          <w:p w14:paraId="48D65036"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56" w:type="pct"/>
            <w:tcBorders>
              <w:top w:val="nil"/>
              <w:left w:val="nil"/>
              <w:bottom w:val="nil"/>
              <w:right w:val="nil"/>
            </w:tcBorders>
            <w:shd w:val="clear" w:color="auto" w:fill="auto"/>
            <w:vAlign w:val="center"/>
            <w:hideMark/>
          </w:tcPr>
          <w:p w14:paraId="60D00DD1"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100,0%</w:t>
            </w:r>
          </w:p>
        </w:tc>
        <w:tc>
          <w:tcPr>
            <w:tcW w:w="367" w:type="pct"/>
            <w:tcBorders>
              <w:top w:val="nil"/>
              <w:left w:val="nil"/>
              <w:bottom w:val="nil"/>
              <w:right w:val="nil"/>
            </w:tcBorders>
            <w:shd w:val="clear" w:color="auto" w:fill="auto"/>
            <w:vAlign w:val="center"/>
            <w:hideMark/>
          </w:tcPr>
          <w:p w14:paraId="28AF01D7"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100,1%</w:t>
            </w:r>
          </w:p>
        </w:tc>
        <w:tc>
          <w:tcPr>
            <w:tcW w:w="82" w:type="pct"/>
            <w:tcBorders>
              <w:top w:val="nil"/>
              <w:left w:val="nil"/>
              <w:bottom w:val="nil"/>
              <w:right w:val="nil"/>
            </w:tcBorders>
            <w:shd w:val="clear" w:color="auto" w:fill="auto"/>
            <w:noWrap/>
            <w:vAlign w:val="bottom"/>
            <w:hideMark/>
          </w:tcPr>
          <w:p w14:paraId="5CE652B2"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454" w:type="pct"/>
            <w:tcBorders>
              <w:top w:val="nil"/>
              <w:left w:val="nil"/>
              <w:bottom w:val="nil"/>
              <w:right w:val="nil"/>
            </w:tcBorders>
            <w:shd w:val="clear" w:color="000000" w:fill="D9E1F2"/>
            <w:noWrap/>
            <w:vAlign w:val="center"/>
            <w:hideMark/>
          </w:tcPr>
          <w:p w14:paraId="0AFF5C58"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39.352 </w:t>
            </w:r>
          </w:p>
        </w:tc>
        <w:tc>
          <w:tcPr>
            <w:tcW w:w="493" w:type="pct"/>
            <w:tcBorders>
              <w:top w:val="nil"/>
              <w:left w:val="nil"/>
              <w:bottom w:val="nil"/>
              <w:right w:val="nil"/>
            </w:tcBorders>
            <w:shd w:val="clear" w:color="auto" w:fill="auto"/>
            <w:noWrap/>
            <w:vAlign w:val="center"/>
            <w:hideMark/>
          </w:tcPr>
          <w:p w14:paraId="0186621B"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r w:rsidRPr="00AA1F87">
              <w:rPr>
                <w:rFonts w:ascii="Arial" w:eastAsia="Times New Roman" w:hAnsi="Arial" w:cs="Arial"/>
                <w:color w:val="000000"/>
                <w:kern w:val="0"/>
                <w:sz w:val="15"/>
                <w:szCs w:val="15"/>
                <w:lang w:eastAsia="pt-BR"/>
                <w14:ligatures w14:val="none"/>
              </w:rPr>
              <w:t xml:space="preserve">              -      </w:t>
            </w:r>
          </w:p>
        </w:tc>
        <w:tc>
          <w:tcPr>
            <w:tcW w:w="82" w:type="pct"/>
            <w:tcBorders>
              <w:top w:val="nil"/>
              <w:left w:val="nil"/>
              <w:bottom w:val="nil"/>
              <w:right w:val="nil"/>
            </w:tcBorders>
            <w:shd w:val="clear" w:color="auto" w:fill="auto"/>
            <w:noWrap/>
            <w:vAlign w:val="bottom"/>
            <w:hideMark/>
          </w:tcPr>
          <w:p w14:paraId="1B6E59E3" w14:textId="77777777" w:rsidR="00AA1F87" w:rsidRPr="00AA1F87" w:rsidRDefault="00AA1F87" w:rsidP="00AA1F87">
            <w:pPr>
              <w:spacing w:after="0" w:line="240" w:lineRule="auto"/>
              <w:jc w:val="right"/>
              <w:rPr>
                <w:rFonts w:ascii="Arial" w:eastAsia="Times New Roman" w:hAnsi="Arial" w:cs="Arial"/>
                <w:color w:val="000000"/>
                <w:kern w:val="0"/>
                <w:sz w:val="15"/>
                <w:szCs w:val="15"/>
                <w:lang w:eastAsia="pt-BR"/>
                <w14:ligatures w14:val="none"/>
              </w:rPr>
            </w:pPr>
          </w:p>
        </w:tc>
        <w:tc>
          <w:tcPr>
            <w:tcW w:w="320" w:type="pct"/>
            <w:tcBorders>
              <w:top w:val="nil"/>
              <w:left w:val="nil"/>
              <w:bottom w:val="nil"/>
              <w:right w:val="nil"/>
            </w:tcBorders>
            <w:shd w:val="clear" w:color="auto" w:fill="auto"/>
            <w:vAlign w:val="center"/>
            <w:hideMark/>
          </w:tcPr>
          <w:p w14:paraId="737B1628" w14:textId="77777777" w:rsidR="00AA1F87" w:rsidRPr="00AA1F87" w:rsidRDefault="00AA1F87" w:rsidP="00AA1F87">
            <w:pPr>
              <w:spacing w:after="0" w:line="240" w:lineRule="auto"/>
              <w:jc w:val="right"/>
              <w:rPr>
                <w:rFonts w:ascii="Arial" w:eastAsia="Times New Roman" w:hAnsi="Arial" w:cs="Arial"/>
                <w:bCs/>
                <w:color w:val="000000"/>
                <w:kern w:val="0"/>
                <w:sz w:val="15"/>
                <w:szCs w:val="15"/>
                <w:lang w:eastAsia="pt-BR"/>
                <w14:ligatures w14:val="none"/>
              </w:rPr>
            </w:pPr>
            <w:r w:rsidRPr="00AA1F87">
              <w:rPr>
                <w:rFonts w:ascii="Arial" w:eastAsia="Times New Roman" w:hAnsi="Arial" w:cs="Arial"/>
                <w:bCs/>
                <w:color w:val="000000"/>
                <w:kern w:val="0"/>
                <w:sz w:val="15"/>
                <w:szCs w:val="15"/>
                <w:lang w:eastAsia="pt-BR"/>
                <w14:ligatures w14:val="none"/>
              </w:rPr>
              <w:t>100,0%</w:t>
            </w:r>
          </w:p>
        </w:tc>
      </w:tr>
      <w:tr w:rsidR="00AA1F87" w:rsidRPr="00AA1F87" w14:paraId="0DA27590" w14:textId="77777777" w:rsidTr="00AA1F87">
        <w:trPr>
          <w:trHeight w:val="227"/>
        </w:trPr>
        <w:tc>
          <w:tcPr>
            <w:tcW w:w="1372" w:type="pct"/>
            <w:tcBorders>
              <w:top w:val="nil"/>
              <w:left w:val="nil"/>
              <w:bottom w:val="nil"/>
              <w:right w:val="nil"/>
            </w:tcBorders>
            <w:shd w:val="clear" w:color="auto" w:fill="auto"/>
            <w:noWrap/>
            <w:vAlign w:val="center"/>
            <w:hideMark/>
          </w:tcPr>
          <w:p w14:paraId="345CBFE9" w14:textId="77777777" w:rsidR="00AA1F87" w:rsidRPr="00AA1F87" w:rsidRDefault="00AA1F87" w:rsidP="00AA1F87">
            <w:pPr>
              <w:spacing w:after="0" w:line="240" w:lineRule="auto"/>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Prejuízo do Período Ajustado</w:t>
            </w:r>
          </w:p>
        </w:tc>
        <w:tc>
          <w:tcPr>
            <w:tcW w:w="471" w:type="pct"/>
            <w:tcBorders>
              <w:top w:val="nil"/>
              <w:left w:val="nil"/>
              <w:bottom w:val="nil"/>
              <w:right w:val="nil"/>
            </w:tcBorders>
            <w:shd w:val="clear" w:color="000000" w:fill="D9E1F2"/>
            <w:noWrap/>
            <w:vAlign w:val="center"/>
            <w:hideMark/>
          </w:tcPr>
          <w:p w14:paraId="653B1B45"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 xml:space="preserve">     (58.885)</w:t>
            </w:r>
          </w:p>
        </w:tc>
        <w:tc>
          <w:tcPr>
            <w:tcW w:w="471" w:type="pct"/>
            <w:tcBorders>
              <w:top w:val="nil"/>
              <w:left w:val="nil"/>
              <w:bottom w:val="nil"/>
              <w:right w:val="nil"/>
            </w:tcBorders>
            <w:shd w:val="clear" w:color="auto" w:fill="auto"/>
            <w:noWrap/>
            <w:vAlign w:val="center"/>
            <w:hideMark/>
          </w:tcPr>
          <w:p w14:paraId="279206CD"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 xml:space="preserve">        (1.486)</w:t>
            </w:r>
          </w:p>
        </w:tc>
        <w:tc>
          <w:tcPr>
            <w:tcW w:w="450" w:type="pct"/>
            <w:tcBorders>
              <w:top w:val="nil"/>
              <w:left w:val="nil"/>
              <w:bottom w:val="nil"/>
              <w:right w:val="nil"/>
            </w:tcBorders>
            <w:shd w:val="clear" w:color="auto" w:fill="auto"/>
            <w:noWrap/>
            <w:vAlign w:val="center"/>
            <w:hideMark/>
          </w:tcPr>
          <w:p w14:paraId="281BAD0F"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 xml:space="preserve">     (51.523)</w:t>
            </w:r>
          </w:p>
        </w:tc>
        <w:tc>
          <w:tcPr>
            <w:tcW w:w="82" w:type="pct"/>
            <w:tcBorders>
              <w:top w:val="nil"/>
              <w:left w:val="nil"/>
              <w:bottom w:val="nil"/>
              <w:right w:val="nil"/>
            </w:tcBorders>
            <w:shd w:val="clear" w:color="auto" w:fill="auto"/>
            <w:noWrap/>
            <w:vAlign w:val="bottom"/>
            <w:hideMark/>
          </w:tcPr>
          <w:p w14:paraId="48CACFF9"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p>
        </w:tc>
        <w:tc>
          <w:tcPr>
            <w:tcW w:w="356" w:type="pct"/>
            <w:tcBorders>
              <w:top w:val="nil"/>
              <w:left w:val="nil"/>
              <w:bottom w:val="nil"/>
              <w:right w:val="nil"/>
            </w:tcBorders>
            <w:shd w:val="clear" w:color="auto" w:fill="auto"/>
            <w:vAlign w:val="center"/>
            <w:hideMark/>
          </w:tcPr>
          <w:p w14:paraId="27994DCA"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3862,6%</w:t>
            </w:r>
          </w:p>
        </w:tc>
        <w:tc>
          <w:tcPr>
            <w:tcW w:w="367" w:type="pct"/>
            <w:tcBorders>
              <w:top w:val="nil"/>
              <w:left w:val="nil"/>
              <w:bottom w:val="nil"/>
              <w:right w:val="nil"/>
            </w:tcBorders>
            <w:shd w:val="clear" w:color="auto" w:fill="auto"/>
            <w:vAlign w:val="center"/>
            <w:hideMark/>
          </w:tcPr>
          <w:p w14:paraId="3F49F90D"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14,3%</w:t>
            </w:r>
          </w:p>
        </w:tc>
        <w:tc>
          <w:tcPr>
            <w:tcW w:w="82" w:type="pct"/>
            <w:tcBorders>
              <w:top w:val="nil"/>
              <w:left w:val="nil"/>
              <w:bottom w:val="nil"/>
              <w:right w:val="nil"/>
            </w:tcBorders>
            <w:shd w:val="clear" w:color="auto" w:fill="auto"/>
            <w:noWrap/>
            <w:vAlign w:val="bottom"/>
            <w:hideMark/>
          </w:tcPr>
          <w:p w14:paraId="13E44A2E"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p>
        </w:tc>
        <w:tc>
          <w:tcPr>
            <w:tcW w:w="454" w:type="pct"/>
            <w:tcBorders>
              <w:top w:val="nil"/>
              <w:left w:val="nil"/>
              <w:bottom w:val="nil"/>
              <w:right w:val="nil"/>
            </w:tcBorders>
            <w:shd w:val="clear" w:color="000000" w:fill="D9E1F2"/>
            <w:noWrap/>
            <w:vAlign w:val="center"/>
            <w:hideMark/>
          </w:tcPr>
          <w:p w14:paraId="37FE941D"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 xml:space="preserve">    (111.631)</w:t>
            </w:r>
          </w:p>
        </w:tc>
        <w:tc>
          <w:tcPr>
            <w:tcW w:w="493" w:type="pct"/>
            <w:tcBorders>
              <w:top w:val="nil"/>
              <w:left w:val="nil"/>
              <w:bottom w:val="nil"/>
              <w:right w:val="nil"/>
            </w:tcBorders>
            <w:shd w:val="clear" w:color="auto" w:fill="auto"/>
            <w:noWrap/>
            <w:vAlign w:val="center"/>
            <w:hideMark/>
          </w:tcPr>
          <w:p w14:paraId="3C84E85D"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 xml:space="preserve">    (152.290)</w:t>
            </w:r>
          </w:p>
        </w:tc>
        <w:tc>
          <w:tcPr>
            <w:tcW w:w="82" w:type="pct"/>
            <w:tcBorders>
              <w:top w:val="nil"/>
              <w:left w:val="nil"/>
              <w:bottom w:val="nil"/>
              <w:right w:val="nil"/>
            </w:tcBorders>
            <w:shd w:val="clear" w:color="auto" w:fill="auto"/>
            <w:noWrap/>
            <w:vAlign w:val="bottom"/>
            <w:hideMark/>
          </w:tcPr>
          <w:p w14:paraId="51D30ABB"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p>
        </w:tc>
        <w:tc>
          <w:tcPr>
            <w:tcW w:w="320" w:type="pct"/>
            <w:tcBorders>
              <w:top w:val="nil"/>
              <w:left w:val="nil"/>
              <w:bottom w:val="nil"/>
              <w:right w:val="nil"/>
            </w:tcBorders>
            <w:shd w:val="clear" w:color="auto" w:fill="auto"/>
            <w:vAlign w:val="center"/>
            <w:hideMark/>
          </w:tcPr>
          <w:p w14:paraId="284F84B2"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-26,7%</w:t>
            </w:r>
          </w:p>
        </w:tc>
      </w:tr>
      <w:tr w:rsidR="00AA1F87" w:rsidRPr="00AA1F87" w14:paraId="5C2C08C6" w14:textId="77777777" w:rsidTr="00AA1F87">
        <w:trPr>
          <w:trHeight w:val="227"/>
        </w:trPr>
        <w:tc>
          <w:tcPr>
            <w:tcW w:w="1372" w:type="pct"/>
            <w:tcBorders>
              <w:top w:val="nil"/>
              <w:left w:val="nil"/>
              <w:bottom w:val="nil"/>
              <w:right w:val="nil"/>
            </w:tcBorders>
            <w:shd w:val="clear" w:color="auto" w:fill="auto"/>
            <w:noWrap/>
            <w:vAlign w:val="center"/>
            <w:hideMark/>
          </w:tcPr>
          <w:p w14:paraId="2C84C112" w14:textId="77777777" w:rsidR="00AA1F87" w:rsidRPr="00AA1F87" w:rsidRDefault="00AA1F87" w:rsidP="00AA1F87">
            <w:pPr>
              <w:spacing w:after="0" w:line="240" w:lineRule="auto"/>
              <w:rPr>
                <w:rFonts w:ascii="Arial" w:eastAsia="Times New Roman" w:hAnsi="Arial" w:cs="Arial"/>
                <w:b/>
                <w:bCs/>
                <w:i/>
                <w:iCs/>
                <w:color w:val="000000"/>
                <w:kern w:val="0"/>
                <w:sz w:val="15"/>
                <w:szCs w:val="15"/>
                <w:lang w:eastAsia="pt-BR"/>
                <w14:ligatures w14:val="none"/>
              </w:rPr>
            </w:pPr>
            <w:r w:rsidRPr="00AA1F87">
              <w:rPr>
                <w:rFonts w:ascii="Arial" w:eastAsia="Times New Roman" w:hAnsi="Arial" w:cs="Arial"/>
                <w:b/>
                <w:bCs/>
                <w:i/>
                <w:iCs/>
                <w:color w:val="000000"/>
                <w:kern w:val="0"/>
                <w:sz w:val="15"/>
                <w:szCs w:val="15"/>
                <w:lang w:eastAsia="pt-BR"/>
                <w14:ligatures w14:val="none"/>
              </w:rPr>
              <w:t>Margem Líquida</w:t>
            </w:r>
          </w:p>
        </w:tc>
        <w:tc>
          <w:tcPr>
            <w:tcW w:w="471" w:type="pct"/>
            <w:tcBorders>
              <w:top w:val="nil"/>
              <w:left w:val="nil"/>
              <w:bottom w:val="nil"/>
              <w:right w:val="nil"/>
            </w:tcBorders>
            <w:shd w:val="clear" w:color="000000" w:fill="D9E1F2"/>
            <w:noWrap/>
            <w:vAlign w:val="center"/>
            <w:hideMark/>
          </w:tcPr>
          <w:p w14:paraId="7BEFAC5F" w14:textId="77777777" w:rsidR="00AA1F87" w:rsidRPr="00AA1F87" w:rsidRDefault="00AA1F87" w:rsidP="00AA1F87">
            <w:pPr>
              <w:spacing w:after="0" w:line="240" w:lineRule="auto"/>
              <w:jc w:val="right"/>
              <w:rPr>
                <w:rFonts w:ascii="Arial" w:eastAsia="Times New Roman" w:hAnsi="Arial" w:cs="Arial"/>
                <w:b/>
                <w:bCs/>
                <w:i/>
                <w:iCs/>
                <w:color w:val="000000"/>
                <w:kern w:val="0"/>
                <w:sz w:val="15"/>
                <w:szCs w:val="15"/>
                <w:lang w:eastAsia="pt-BR"/>
                <w14:ligatures w14:val="none"/>
              </w:rPr>
            </w:pPr>
            <w:r w:rsidRPr="00AA1F87">
              <w:rPr>
                <w:rFonts w:ascii="Arial" w:eastAsia="Times New Roman" w:hAnsi="Arial" w:cs="Arial"/>
                <w:b/>
                <w:bCs/>
                <w:i/>
                <w:iCs/>
                <w:color w:val="000000"/>
                <w:kern w:val="0"/>
                <w:sz w:val="15"/>
                <w:szCs w:val="15"/>
                <w:lang w:eastAsia="pt-BR"/>
                <w14:ligatures w14:val="none"/>
              </w:rPr>
              <w:t>-53,6%</w:t>
            </w:r>
          </w:p>
        </w:tc>
        <w:tc>
          <w:tcPr>
            <w:tcW w:w="471" w:type="pct"/>
            <w:tcBorders>
              <w:top w:val="nil"/>
              <w:left w:val="nil"/>
              <w:bottom w:val="nil"/>
              <w:right w:val="nil"/>
            </w:tcBorders>
            <w:shd w:val="clear" w:color="auto" w:fill="auto"/>
            <w:noWrap/>
            <w:vAlign w:val="center"/>
            <w:hideMark/>
          </w:tcPr>
          <w:p w14:paraId="34B4BABD" w14:textId="77777777" w:rsidR="00AA1F87" w:rsidRPr="00AA1F87" w:rsidRDefault="00AA1F87" w:rsidP="00AA1F87">
            <w:pPr>
              <w:spacing w:after="0" w:line="240" w:lineRule="auto"/>
              <w:jc w:val="right"/>
              <w:rPr>
                <w:rFonts w:ascii="Arial" w:eastAsia="Times New Roman" w:hAnsi="Arial" w:cs="Arial"/>
                <w:b/>
                <w:bCs/>
                <w:i/>
                <w:iCs/>
                <w:color w:val="000000"/>
                <w:kern w:val="0"/>
                <w:sz w:val="15"/>
                <w:szCs w:val="15"/>
                <w:lang w:eastAsia="pt-BR"/>
                <w14:ligatures w14:val="none"/>
              </w:rPr>
            </w:pPr>
            <w:r w:rsidRPr="00AA1F87">
              <w:rPr>
                <w:rFonts w:ascii="Arial" w:eastAsia="Times New Roman" w:hAnsi="Arial" w:cs="Arial"/>
                <w:b/>
                <w:bCs/>
                <w:i/>
                <w:iCs/>
                <w:color w:val="000000"/>
                <w:kern w:val="0"/>
                <w:sz w:val="15"/>
                <w:szCs w:val="15"/>
                <w:lang w:eastAsia="pt-BR"/>
                <w14:ligatures w14:val="none"/>
              </w:rPr>
              <w:t>-1,6%</w:t>
            </w:r>
          </w:p>
        </w:tc>
        <w:tc>
          <w:tcPr>
            <w:tcW w:w="450" w:type="pct"/>
            <w:tcBorders>
              <w:top w:val="nil"/>
              <w:left w:val="nil"/>
              <w:bottom w:val="nil"/>
              <w:right w:val="nil"/>
            </w:tcBorders>
            <w:shd w:val="clear" w:color="auto" w:fill="auto"/>
            <w:noWrap/>
            <w:vAlign w:val="center"/>
            <w:hideMark/>
          </w:tcPr>
          <w:p w14:paraId="146CB2D0" w14:textId="77777777" w:rsidR="00AA1F87" w:rsidRPr="00AA1F87" w:rsidRDefault="00AA1F87" w:rsidP="00AA1F87">
            <w:pPr>
              <w:spacing w:after="0" w:line="240" w:lineRule="auto"/>
              <w:jc w:val="right"/>
              <w:rPr>
                <w:rFonts w:ascii="Arial" w:eastAsia="Times New Roman" w:hAnsi="Arial" w:cs="Arial"/>
                <w:b/>
                <w:bCs/>
                <w:i/>
                <w:iCs/>
                <w:color w:val="000000"/>
                <w:kern w:val="0"/>
                <w:sz w:val="15"/>
                <w:szCs w:val="15"/>
                <w:lang w:eastAsia="pt-BR"/>
                <w14:ligatures w14:val="none"/>
              </w:rPr>
            </w:pPr>
            <w:r w:rsidRPr="00AA1F87">
              <w:rPr>
                <w:rFonts w:ascii="Arial" w:eastAsia="Times New Roman" w:hAnsi="Arial" w:cs="Arial"/>
                <w:b/>
                <w:bCs/>
                <w:i/>
                <w:iCs/>
                <w:color w:val="000000"/>
                <w:kern w:val="0"/>
                <w:sz w:val="15"/>
                <w:szCs w:val="15"/>
                <w:lang w:eastAsia="pt-BR"/>
                <w14:ligatures w14:val="none"/>
              </w:rPr>
              <w:t>-47,4%</w:t>
            </w:r>
          </w:p>
        </w:tc>
        <w:tc>
          <w:tcPr>
            <w:tcW w:w="82" w:type="pct"/>
            <w:tcBorders>
              <w:top w:val="nil"/>
              <w:left w:val="nil"/>
              <w:bottom w:val="nil"/>
              <w:right w:val="nil"/>
            </w:tcBorders>
            <w:shd w:val="clear" w:color="auto" w:fill="auto"/>
            <w:noWrap/>
            <w:vAlign w:val="bottom"/>
            <w:hideMark/>
          </w:tcPr>
          <w:p w14:paraId="29149A59" w14:textId="77777777" w:rsidR="00AA1F87" w:rsidRPr="00AA1F87" w:rsidRDefault="00AA1F87" w:rsidP="00AA1F87">
            <w:pPr>
              <w:spacing w:after="0" w:line="240" w:lineRule="auto"/>
              <w:jc w:val="right"/>
              <w:rPr>
                <w:rFonts w:ascii="Arial" w:eastAsia="Times New Roman" w:hAnsi="Arial" w:cs="Arial"/>
                <w:b/>
                <w:bCs/>
                <w:i/>
                <w:iCs/>
                <w:color w:val="000000"/>
                <w:kern w:val="0"/>
                <w:sz w:val="15"/>
                <w:szCs w:val="15"/>
                <w:lang w:eastAsia="pt-BR"/>
                <w14:ligatures w14:val="none"/>
              </w:rPr>
            </w:pPr>
          </w:p>
        </w:tc>
        <w:tc>
          <w:tcPr>
            <w:tcW w:w="356" w:type="pct"/>
            <w:tcBorders>
              <w:top w:val="nil"/>
              <w:left w:val="nil"/>
              <w:bottom w:val="nil"/>
              <w:right w:val="nil"/>
            </w:tcBorders>
            <w:shd w:val="clear" w:color="auto" w:fill="auto"/>
            <w:vAlign w:val="center"/>
            <w:hideMark/>
          </w:tcPr>
          <w:p w14:paraId="1672186F"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3161,0%</w:t>
            </w:r>
          </w:p>
        </w:tc>
        <w:tc>
          <w:tcPr>
            <w:tcW w:w="367" w:type="pct"/>
            <w:tcBorders>
              <w:top w:val="nil"/>
              <w:left w:val="nil"/>
              <w:bottom w:val="nil"/>
              <w:right w:val="nil"/>
            </w:tcBorders>
            <w:shd w:val="clear" w:color="auto" w:fill="auto"/>
            <w:vAlign w:val="center"/>
            <w:hideMark/>
          </w:tcPr>
          <w:p w14:paraId="32201478"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13,2%</w:t>
            </w:r>
          </w:p>
        </w:tc>
        <w:tc>
          <w:tcPr>
            <w:tcW w:w="82" w:type="pct"/>
            <w:tcBorders>
              <w:top w:val="nil"/>
              <w:left w:val="nil"/>
              <w:bottom w:val="nil"/>
              <w:right w:val="nil"/>
            </w:tcBorders>
            <w:shd w:val="clear" w:color="auto" w:fill="auto"/>
            <w:noWrap/>
            <w:vAlign w:val="bottom"/>
            <w:hideMark/>
          </w:tcPr>
          <w:p w14:paraId="13BE17A3"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p>
        </w:tc>
        <w:tc>
          <w:tcPr>
            <w:tcW w:w="454" w:type="pct"/>
            <w:tcBorders>
              <w:top w:val="nil"/>
              <w:left w:val="nil"/>
              <w:bottom w:val="nil"/>
              <w:right w:val="nil"/>
            </w:tcBorders>
            <w:shd w:val="clear" w:color="000000" w:fill="D9E1F2"/>
            <w:noWrap/>
            <w:vAlign w:val="center"/>
            <w:hideMark/>
          </w:tcPr>
          <w:p w14:paraId="7E9D8C19" w14:textId="77777777" w:rsidR="00AA1F87" w:rsidRPr="00AA1F87" w:rsidRDefault="00AA1F87" w:rsidP="00AA1F87">
            <w:pPr>
              <w:spacing w:after="0" w:line="240" w:lineRule="auto"/>
              <w:jc w:val="right"/>
              <w:rPr>
                <w:rFonts w:ascii="Arial" w:eastAsia="Times New Roman" w:hAnsi="Arial" w:cs="Arial"/>
                <w:b/>
                <w:bCs/>
                <w:i/>
                <w:iCs/>
                <w:color w:val="000000"/>
                <w:kern w:val="0"/>
                <w:sz w:val="15"/>
                <w:szCs w:val="15"/>
                <w:lang w:eastAsia="pt-BR"/>
                <w14:ligatures w14:val="none"/>
              </w:rPr>
            </w:pPr>
            <w:r w:rsidRPr="00AA1F87">
              <w:rPr>
                <w:rFonts w:ascii="Arial" w:eastAsia="Times New Roman" w:hAnsi="Arial" w:cs="Arial"/>
                <w:b/>
                <w:bCs/>
                <w:i/>
                <w:iCs/>
                <w:color w:val="000000"/>
                <w:kern w:val="0"/>
                <w:sz w:val="15"/>
                <w:szCs w:val="15"/>
                <w:lang w:eastAsia="pt-BR"/>
                <w14:ligatures w14:val="none"/>
              </w:rPr>
              <w:t>-26,8%</w:t>
            </w:r>
          </w:p>
        </w:tc>
        <w:tc>
          <w:tcPr>
            <w:tcW w:w="493" w:type="pct"/>
            <w:tcBorders>
              <w:top w:val="nil"/>
              <w:left w:val="nil"/>
              <w:bottom w:val="nil"/>
              <w:right w:val="nil"/>
            </w:tcBorders>
            <w:shd w:val="clear" w:color="auto" w:fill="auto"/>
            <w:noWrap/>
            <w:vAlign w:val="center"/>
            <w:hideMark/>
          </w:tcPr>
          <w:p w14:paraId="7D148AA6" w14:textId="77777777" w:rsidR="00AA1F87" w:rsidRPr="00AA1F87" w:rsidRDefault="00AA1F87" w:rsidP="00AA1F87">
            <w:pPr>
              <w:spacing w:after="0" w:line="240" w:lineRule="auto"/>
              <w:jc w:val="right"/>
              <w:rPr>
                <w:rFonts w:ascii="Arial" w:eastAsia="Times New Roman" w:hAnsi="Arial" w:cs="Arial"/>
                <w:b/>
                <w:bCs/>
                <w:i/>
                <w:iCs/>
                <w:color w:val="000000"/>
                <w:kern w:val="0"/>
                <w:sz w:val="15"/>
                <w:szCs w:val="15"/>
                <w:lang w:eastAsia="pt-BR"/>
                <w14:ligatures w14:val="none"/>
              </w:rPr>
            </w:pPr>
            <w:r w:rsidRPr="00AA1F87">
              <w:rPr>
                <w:rFonts w:ascii="Arial" w:eastAsia="Times New Roman" w:hAnsi="Arial" w:cs="Arial"/>
                <w:b/>
                <w:bCs/>
                <w:i/>
                <w:iCs/>
                <w:color w:val="000000"/>
                <w:kern w:val="0"/>
                <w:sz w:val="15"/>
                <w:szCs w:val="15"/>
                <w:lang w:eastAsia="pt-BR"/>
                <w14:ligatures w14:val="none"/>
              </w:rPr>
              <w:t>-43,8%</w:t>
            </w:r>
          </w:p>
        </w:tc>
        <w:tc>
          <w:tcPr>
            <w:tcW w:w="82" w:type="pct"/>
            <w:tcBorders>
              <w:top w:val="nil"/>
              <w:left w:val="nil"/>
              <w:bottom w:val="nil"/>
              <w:right w:val="nil"/>
            </w:tcBorders>
            <w:shd w:val="clear" w:color="auto" w:fill="auto"/>
            <w:noWrap/>
            <w:vAlign w:val="bottom"/>
            <w:hideMark/>
          </w:tcPr>
          <w:p w14:paraId="1817EDFB" w14:textId="77777777" w:rsidR="00AA1F87" w:rsidRPr="00AA1F87" w:rsidRDefault="00AA1F87" w:rsidP="00AA1F87">
            <w:pPr>
              <w:spacing w:after="0" w:line="240" w:lineRule="auto"/>
              <w:jc w:val="right"/>
              <w:rPr>
                <w:rFonts w:ascii="Arial" w:eastAsia="Times New Roman" w:hAnsi="Arial" w:cs="Arial"/>
                <w:b/>
                <w:bCs/>
                <w:i/>
                <w:iCs/>
                <w:color w:val="000000"/>
                <w:kern w:val="0"/>
                <w:sz w:val="15"/>
                <w:szCs w:val="15"/>
                <w:lang w:eastAsia="pt-BR"/>
                <w14:ligatures w14:val="none"/>
              </w:rPr>
            </w:pPr>
          </w:p>
        </w:tc>
        <w:tc>
          <w:tcPr>
            <w:tcW w:w="320" w:type="pct"/>
            <w:tcBorders>
              <w:top w:val="nil"/>
              <w:left w:val="nil"/>
              <w:bottom w:val="nil"/>
              <w:right w:val="nil"/>
            </w:tcBorders>
            <w:shd w:val="clear" w:color="auto" w:fill="auto"/>
            <w:vAlign w:val="center"/>
            <w:hideMark/>
          </w:tcPr>
          <w:p w14:paraId="69116A68"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-38,8%</w:t>
            </w:r>
          </w:p>
        </w:tc>
      </w:tr>
      <w:tr w:rsidR="00AA1F87" w:rsidRPr="00AA1F87" w14:paraId="454804D0" w14:textId="77777777" w:rsidTr="00AA1F87">
        <w:trPr>
          <w:trHeight w:val="227"/>
        </w:trPr>
        <w:tc>
          <w:tcPr>
            <w:tcW w:w="1372" w:type="pct"/>
            <w:tcBorders>
              <w:top w:val="nil"/>
              <w:left w:val="nil"/>
              <w:bottom w:val="single" w:sz="8" w:space="0" w:color="75F6F9"/>
              <w:right w:val="nil"/>
            </w:tcBorders>
            <w:shd w:val="clear" w:color="auto" w:fill="auto"/>
            <w:noWrap/>
            <w:vAlign w:val="center"/>
            <w:hideMark/>
          </w:tcPr>
          <w:p w14:paraId="20596A79" w14:textId="77777777" w:rsidR="00AA1F87" w:rsidRPr="00AA1F87" w:rsidRDefault="00AA1F87" w:rsidP="00AA1F87">
            <w:pPr>
              <w:spacing w:after="0" w:line="240" w:lineRule="auto"/>
              <w:rPr>
                <w:rFonts w:ascii="Arial" w:eastAsia="Times New Roman" w:hAnsi="Arial" w:cs="Arial"/>
                <w:b/>
                <w:bCs/>
                <w:i/>
                <w:iCs/>
                <w:color w:val="000000"/>
                <w:kern w:val="0"/>
                <w:sz w:val="15"/>
                <w:szCs w:val="15"/>
                <w:lang w:eastAsia="pt-BR"/>
                <w14:ligatures w14:val="none"/>
              </w:rPr>
            </w:pPr>
            <w:r w:rsidRPr="00AA1F87">
              <w:rPr>
                <w:rFonts w:ascii="Arial" w:eastAsia="Times New Roman" w:hAnsi="Arial" w:cs="Arial"/>
                <w:b/>
                <w:bCs/>
                <w:i/>
                <w:iCs/>
                <w:color w:val="000000"/>
                <w:kern w:val="0"/>
                <w:sz w:val="15"/>
                <w:szCs w:val="15"/>
                <w:lang w:eastAsia="pt-BR"/>
                <w14:ligatures w14:val="none"/>
              </w:rPr>
              <w:t>Prejuízo por Ação (R$)</w:t>
            </w:r>
          </w:p>
        </w:tc>
        <w:tc>
          <w:tcPr>
            <w:tcW w:w="471" w:type="pct"/>
            <w:tcBorders>
              <w:top w:val="nil"/>
              <w:left w:val="nil"/>
              <w:bottom w:val="single" w:sz="8" w:space="0" w:color="75F6F9"/>
              <w:right w:val="nil"/>
            </w:tcBorders>
            <w:shd w:val="clear" w:color="000000" w:fill="D9E1F2"/>
            <w:noWrap/>
            <w:vAlign w:val="center"/>
            <w:hideMark/>
          </w:tcPr>
          <w:p w14:paraId="215675EE" w14:textId="77777777" w:rsidR="00AA1F87" w:rsidRPr="00AA1F87" w:rsidRDefault="00AA1F87" w:rsidP="00AA1F87">
            <w:pPr>
              <w:spacing w:after="0" w:line="240" w:lineRule="auto"/>
              <w:jc w:val="right"/>
              <w:rPr>
                <w:rFonts w:ascii="Arial" w:eastAsia="Times New Roman" w:hAnsi="Arial" w:cs="Arial"/>
                <w:b/>
                <w:bCs/>
                <w:i/>
                <w:iCs/>
                <w:color w:val="000000"/>
                <w:kern w:val="0"/>
                <w:sz w:val="15"/>
                <w:szCs w:val="15"/>
                <w:lang w:eastAsia="pt-BR"/>
                <w14:ligatures w14:val="none"/>
              </w:rPr>
            </w:pPr>
            <w:r w:rsidRPr="00AA1F87">
              <w:rPr>
                <w:rFonts w:ascii="Arial" w:eastAsia="Times New Roman" w:hAnsi="Arial" w:cs="Arial"/>
                <w:b/>
                <w:bCs/>
                <w:i/>
                <w:iCs/>
                <w:color w:val="000000"/>
                <w:kern w:val="0"/>
                <w:sz w:val="15"/>
                <w:szCs w:val="15"/>
                <w:lang w:eastAsia="pt-BR"/>
                <w14:ligatures w14:val="none"/>
              </w:rPr>
              <w:t xml:space="preserve">  (0,68167)</w:t>
            </w:r>
          </w:p>
        </w:tc>
        <w:tc>
          <w:tcPr>
            <w:tcW w:w="471" w:type="pct"/>
            <w:tcBorders>
              <w:top w:val="nil"/>
              <w:left w:val="nil"/>
              <w:bottom w:val="single" w:sz="8" w:space="0" w:color="75F6F9"/>
              <w:right w:val="nil"/>
            </w:tcBorders>
            <w:shd w:val="clear" w:color="auto" w:fill="auto"/>
            <w:noWrap/>
            <w:vAlign w:val="center"/>
            <w:hideMark/>
          </w:tcPr>
          <w:p w14:paraId="0CF6FA5D" w14:textId="77777777" w:rsidR="00AA1F87" w:rsidRPr="00AA1F87" w:rsidRDefault="00AA1F87" w:rsidP="00AA1F87">
            <w:pPr>
              <w:spacing w:after="0" w:line="240" w:lineRule="auto"/>
              <w:jc w:val="right"/>
              <w:rPr>
                <w:rFonts w:ascii="Arial" w:eastAsia="Times New Roman" w:hAnsi="Arial" w:cs="Arial"/>
                <w:b/>
                <w:bCs/>
                <w:i/>
                <w:iCs/>
                <w:color w:val="000000"/>
                <w:kern w:val="0"/>
                <w:sz w:val="15"/>
                <w:szCs w:val="15"/>
                <w:lang w:eastAsia="pt-BR"/>
                <w14:ligatures w14:val="none"/>
              </w:rPr>
            </w:pPr>
            <w:r w:rsidRPr="00AA1F87">
              <w:rPr>
                <w:rFonts w:ascii="Arial" w:eastAsia="Times New Roman" w:hAnsi="Arial" w:cs="Arial"/>
                <w:b/>
                <w:bCs/>
                <w:i/>
                <w:iCs/>
                <w:color w:val="000000"/>
                <w:kern w:val="0"/>
                <w:sz w:val="15"/>
                <w:szCs w:val="15"/>
                <w:lang w:eastAsia="pt-BR"/>
                <w14:ligatures w14:val="none"/>
              </w:rPr>
              <w:t xml:space="preserve">  (0,01720)</w:t>
            </w:r>
          </w:p>
        </w:tc>
        <w:tc>
          <w:tcPr>
            <w:tcW w:w="450" w:type="pct"/>
            <w:tcBorders>
              <w:top w:val="nil"/>
              <w:left w:val="nil"/>
              <w:bottom w:val="single" w:sz="8" w:space="0" w:color="75F6F9"/>
              <w:right w:val="nil"/>
            </w:tcBorders>
            <w:shd w:val="clear" w:color="auto" w:fill="auto"/>
            <w:noWrap/>
            <w:vAlign w:val="center"/>
            <w:hideMark/>
          </w:tcPr>
          <w:p w14:paraId="79EF7F86" w14:textId="77777777" w:rsidR="00AA1F87" w:rsidRPr="00AA1F87" w:rsidRDefault="00AA1F87" w:rsidP="00AA1F87">
            <w:pPr>
              <w:spacing w:after="0" w:line="240" w:lineRule="auto"/>
              <w:jc w:val="right"/>
              <w:rPr>
                <w:rFonts w:ascii="Arial" w:eastAsia="Times New Roman" w:hAnsi="Arial" w:cs="Arial"/>
                <w:b/>
                <w:bCs/>
                <w:i/>
                <w:iCs/>
                <w:color w:val="000000"/>
                <w:kern w:val="0"/>
                <w:sz w:val="15"/>
                <w:szCs w:val="15"/>
                <w:lang w:eastAsia="pt-BR"/>
                <w14:ligatures w14:val="none"/>
              </w:rPr>
            </w:pPr>
            <w:r w:rsidRPr="00AA1F87">
              <w:rPr>
                <w:rFonts w:ascii="Arial" w:eastAsia="Times New Roman" w:hAnsi="Arial" w:cs="Arial"/>
                <w:b/>
                <w:bCs/>
                <w:i/>
                <w:iCs/>
                <w:color w:val="000000"/>
                <w:kern w:val="0"/>
                <w:sz w:val="15"/>
                <w:szCs w:val="15"/>
                <w:lang w:eastAsia="pt-BR"/>
                <w14:ligatures w14:val="none"/>
              </w:rPr>
              <w:t xml:space="preserve">  (0,59645)</w:t>
            </w:r>
          </w:p>
        </w:tc>
        <w:tc>
          <w:tcPr>
            <w:tcW w:w="82" w:type="pct"/>
            <w:tcBorders>
              <w:top w:val="nil"/>
              <w:left w:val="nil"/>
              <w:bottom w:val="nil"/>
              <w:right w:val="nil"/>
            </w:tcBorders>
            <w:shd w:val="clear" w:color="auto" w:fill="auto"/>
            <w:noWrap/>
            <w:vAlign w:val="bottom"/>
            <w:hideMark/>
          </w:tcPr>
          <w:p w14:paraId="73FC2B4B" w14:textId="77777777" w:rsidR="00AA1F87" w:rsidRPr="00AA1F87" w:rsidRDefault="00AA1F87" w:rsidP="00AA1F87">
            <w:pPr>
              <w:spacing w:after="0" w:line="240" w:lineRule="auto"/>
              <w:jc w:val="right"/>
              <w:rPr>
                <w:rFonts w:ascii="Arial" w:eastAsia="Times New Roman" w:hAnsi="Arial" w:cs="Arial"/>
                <w:b/>
                <w:bCs/>
                <w:i/>
                <w:iCs/>
                <w:color w:val="000000"/>
                <w:kern w:val="0"/>
                <w:sz w:val="15"/>
                <w:szCs w:val="15"/>
                <w:lang w:eastAsia="pt-BR"/>
                <w14:ligatures w14:val="none"/>
              </w:rPr>
            </w:pPr>
          </w:p>
        </w:tc>
        <w:tc>
          <w:tcPr>
            <w:tcW w:w="356" w:type="pct"/>
            <w:tcBorders>
              <w:top w:val="nil"/>
              <w:left w:val="nil"/>
              <w:bottom w:val="single" w:sz="8" w:space="0" w:color="75F6F9"/>
              <w:right w:val="nil"/>
            </w:tcBorders>
            <w:shd w:val="clear" w:color="auto" w:fill="auto"/>
            <w:vAlign w:val="center"/>
            <w:hideMark/>
          </w:tcPr>
          <w:p w14:paraId="2C15C094"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3862,6%</w:t>
            </w:r>
          </w:p>
        </w:tc>
        <w:tc>
          <w:tcPr>
            <w:tcW w:w="367" w:type="pct"/>
            <w:tcBorders>
              <w:top w:val="nil"/>
              <w:left w:val="nil"/>
              <w:bottom w:val="single" w:sz="8" w:space="0" w:color="75F6F9"/>
              <w:right w:val="nil"/>
            </w:tcBorders>
            <w:shd w:val="clear" w:color="auto" w:fill="auto"/>
            <w:vAlign w:val="center"/>
            <w:hideMark/>
          </w:tcPr>
          <w:p w14:paraId="5989A9A2"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r w:rsidRPr="00AA1F87">
              <w:rPr>
                <w:rFonts w:ascii="Arial" w:eastAsia="Times New Roman" w:hAnsi="Arial" w:cs="Arial"/>
                <w:b/>
                <w:bCs/>
                <w:color w:val="000000"/>
                <w:kern w:val="0"/>
                <w:sz w:val="15"/>
                <w:szCs w:val="15"/>
                <w:lang w:eastAsia="pt-BR"/>
                <w14:ligatures w14:val="none"/>
              </w:rPr>
              <w:t>14,3%</w:t>
            </w:r>
          </w:p>
        </w:tc>
        <w:tc>
          <w:tcPr>
            <w:tcW w:w="82" w:type="pct"/>
            <w:tcBorders>
              <w:top w:val="nil"/>
              <w:left w:val="nil"/>
              <w:bottom w:val="nil"/>
              <w:right w:val="nil"/>
            </w:tcBorders>
            <w:shd w:val="clear" w:color="auto" w:fill="auto"/>
            <w:noWrap/>
            <w:vAlign w:val="bottom"/>
            <w:hideMark/>
          </w:tcPr>
          <w:p w14:paraId="113D8AB7" w14:textId="77777777" w:rsidR="00AA1F87" w:rsidRPr="00AA1F87" w:rsidRDefault="00AA1F87" w:rsidP="00AA1F87">
            <w:pPr>
              <w:spacing w:after="0" w:line="240" w:lineRule="auto"/>
              <w:jc w:val="right"/>
              <w:rPr>
                <w:rFonts w:ascii="Arial" w:eastAsia="Times New Roman" w:hAnsi="Arial" w:cs="Arial"/>
                <w:b/>
                <w:bCs/>
                <w:color w:val="000000"/>
                <w:kern w:val="0"/>
                <w:sz w:val="15"/>
                <w:szCs w:val="15"/>
                <w:lang w:eastAsia="pt-BR"/>
                <w14:ligatures w14:val="none"/>
              </w:rPr>
            </w:pPr>
          </w:p>
        </w:tc>
        <w:tc>
          <w:tcPr>
            <w:tcW w:w="454" w:type="pct"/>
            <w:tcBorders>
              <w:top w:val="nil"/>
              <w:left w:val="nil"/>
              <w:bottom w:val="single" w:sz="8" w:space="0" w:color="75F6F9"/>
              <w:right w:val="nil"/>
            </w:tcBorders>
            <w:shd w:val="clear" w:color="000000" w:fill="D9E1F2"/>
            <w:noWrap/>
            <w:vAlign w:val="center"/>
            <w:hideMark/>
          </w:tcPr>
          <w:p w14:paraId="00FF4050" w14:textId="77777777" w:rsidR="00AA1F87" w:rsidRPr="00AA1F87" w:rsidRDefault="00AA1F87" w:rsidP="00AA1F87">
            <w:pPr>
              <w:spacing w:after="0" w:line="240" w:lineRule="auto"/>
              <w:jc w:val="right"/>
              <w:rPr>
                <w:rFonts w:ascii="Arial" w:eastAsia="Times New Roman" w:hAnsi="Arial" w:cs="Arial"/>
                <w:b/>
                <w:bCs/>
                <w:i/>
                <w:iCs/>
                <w:color w:val="000000"/>
                <w:kern w:val="0"/>
                <w:sz w:val="15"/>
                <w:szCs w:val="15"/>
                <w:lang w:eastAsia="pt-BR"/>
                <w14:ligatures w14:val="none"/>
              </w:rPr>
            </w:pPr>
            <w:r w:rsidRPr="00AA1F87">
              <w:rPr>
                <w:rFonts w:ascii="Arial" w:eastAsia="Times New Roman" w:hAnsi="Arial" w:cs="Arial"/>
                <w:b/>
                <w:bCs/>
                <w:i/>
                <w:iCs/>
                <w:color w:val="000000"/>
                <w:kern w:val="0"/>
                <w:sz w:val="15"/>
                <w:szCs w:val="15"/>
                <w:lang w:eastAsia="pt-BR"/>
                <w14:ligatures w14:val="none"/>
              </w:rPr>
              <w:t xml:space="preserve">   (1,29228)</w:t>
            </w:r>
          </w:p>
        </w:tc>
        <w:tc>
          <w:tcPr>
            <w:tcW w:w="493" w:type="pct"/>
            <w:tcBorders>
              <w:top w:val="nil"/>
              <w:left w:val="nil"/>
              <w:bottom w:val="single" w:sz="8" w:space="0" w:color="75F6F9"/>
              <w:right w:val="nil"/>
            </w:tcBorders>
            <w:shd w:val="clear" w:color="auto" w:fill="auto"/>
            <w:noWrap/>
            <w:vAlign w:val="center"/>
            <w:hideMark/>
          </w:tcPr>
          <w:p w14:paraId="5B52E885" w14:textId="77777777" w:rsidR="00AA1F87" w:rsidRPr="00AA1F87" w:rsidRDefault="00AA1F87" w:rsidP="00AA1F87">
            <w:pPr>
              <w:spacing w:after="0" w:line="240" w:lineRule="auto"/>
              <w:jc w:val="right"/>
              <w:rPr>
                <w:rFonts w:ascii="Arial" w:eastAsia="Times New Roman" w:hAnsi="Arial" w:cs="Arial"/>
                <w:b/>
                <w:bCs/>
                <w:i/>
                <w:iCs/>
                <w:color w:val="000000"/>
                <w:kern w:val="0"/>
                <w:sz w:val="15"/>
                <w:szCs w:val="15"/>
                <w:lang w:eastAsia="pt-BR"/>
                <w14:ligatures w14:val="none"/>
              </w:rPr>
            </w:pPr>
            <w:r w:rsidRPr="00AA1F87">
              <w:rPr>
                <w:rFonts w:ascii="Arial" w:eastAsia="Times New Roman" w:hAnsi="Arial" w:cs="Arial"/>
                <w:b/>
                <w:bCs/>
                <w:i/>
                <w:iCs/>
                <w:color w:val="000000"/>
                <w:kern w:val="0"/>
                <w:sz w:val="15"/>
                <w:szCs w:val="15"/>
                <w:lang w:eastAsia="pt-BR"/>
                <w14:ligatures w14:val="none"/>
              </w:rPr>
              <w:t xml:space="preserve">   (1,76296)</w:t>
            </w:r>
          </w:p>
        </w:tc>
        <w:tc>
          <w:tcPr>
            <w:tcW w:w="82" w:type="pct"/>
            <w:tcBorders>
              <w:top w:val="nil"/>
              <w:left w:val="nil"/>
              <w:bottom w:val="nil"/>
              <w:right w:val="nil"/>
            </w:tcBorders>
            <w:shd w:val="clear" w:color="auto" w:fill="auto"/>
            <w:noWrap/>
            <w:vAlign w:val="bottom"/>
            <w:hideMark/>
          </w:tcPr>
          <w:p w14:paraId="16AF1DA6" w14:textId="77777777" w:rsidR="00AA1F87" w:rsidRPr="00AA1F87" w:rsidRDefault="00AA1F87" w:rsidP="00AA1F87">
            <w:pPr>
              <w:spacing w:after="0" w:line="240" w:lineRule="auto"/>
              <w:jc w:val="right"/>
              <w:rPr>
                <w:rFonts w:ascii="Arial" w:eastAsia="Times New Roman" w:hAnsi="Arial" w:cs="Arial"/>
                <w:b/>
                <w:bCs/>
                <w:i/>
                <w:iCs/>
                <w:color w:val="000000"/>
                <w:kern w:val="0"/>
                <w:sz w:val="15"/>
                <w:szCs w:val="15"/>
                <w:lang w:eastAsia="pt-BR"/>
                <w14:ligatures w14:val="none"/>
              </w:rPr>
            </w:pPr>
          </w:p>
        </w:tc>
        <w:tc>
          <w:tcPr>
            <w:tcW w:w="320" w:type="pct"/>
            <w:tcBorders>
              <w:top w:val="nil"/>
              <w:left w:val="nil"/>
              <w:bottom w:val="single" w:sz="8" w:space="0" w:color="75F6F9"/>
              <w:right w:val="nil"/>
            </w:tcBorders>
            <w:shd w:val="clear" w:color="auto" w:fill="auto"/>
            <w:noWrap/>
            <w:vAlign w:val="center"/>
            <w:hideMark/>
          </w:tcPr>
          <w:p w14:paraId="57111463" w14:textId="77777777" w:rsidR="00AA1F87" w:rsidRPr="00AA1F87" w:rsidRDefault="00AA1F87" w:rsidP="00AA1F87">
            <w:pPr>
              <w:spacing w:after="0" w:line="240" w:lineRule="auto"/>
              <w:jc w:val="right"/>
              <w:rPr>
                <w:rFonts w:ascii="Arial" w:eastAsia="Times New Roman" w:hAnsi="Arial" w:cs="Arial"/>
                <w:b/>
                <w:bCs/>
                <w:i/>
                <w:iCs/>
                <w:color w:val="000000"/>
                <w:kern w:val="0"/>
                <w:sz w:val="15"/>
                <w:szCs w:val="15"/>
                <w:lang w:eastAsia="pt-BR"/>
                <w14:ligatures w14:val="none"/>
              </w:rPr>
            </w:pPr>
            <w:r w:rsidRPr="00AA1F87">
              <w:rPr>
                <w:rFonts w:ascii="Arial" w:eastAsia="Times New Roman" w:hAnsi="Arial" w:cs="Arial"/>
                <w:b/>
                <w:bCs/>
                <w:i/>
                <w:iCs/>
                <w:color w:val="000000"/>
                <w:kern w:val="0"/>
                <w:sz w:val="15"/>
                <w:szCs w:val="15"/>
                <w:lang w:eastAsia="pt-BR"/>
                <w14:ligatures w14:val="none"/>
              </w:rPr>
              <w:t>-26,7%</w:t>
            </w:r>
          </w:p>
        </w:tc>
      </w:tr>
    </w:tbl>
    <w:p w14:paraId="4F4CF1DC" w14:textId="77777777" w:rsidR="00AA1F87" w:rsidRPr="00AA1F87" w:rsidRDefault="00AA1F87" w:rsidP="00AA1F87">
      <w:pPr>
        <w:spacing w:after="4" w:line="240" w:lineRule="auto"/>
        <w:jc w:val="both"/>
        <w:rPr>
          <w:rFonts w:ascii="Arial" w:eastAsia="Times New Roman" w:hAnsi="Arial" w:cs="Arial"/>
          <w:color w:val="000000"/>
          <w:kern w:val="0"/>
          <w:sz w:val="20"/>
          <w:szCs w:val="20"/>
          <w:lang w:eastAsia="pt-BR"/>
          <w14:ligatures w14:val="none"/>
        </w:rPr>
      </w:pPr>
      <w:r w:rsidRPr="00AA1F87">
        <w:rPr>
          <w:rFonts w:ascii="Arial" w:eastAsia="Times New Roman" w:hAnsi="Arial" w:cs="Arial"/>
          <w:color w:val="000000"/>
          <w:kern w:val="0"/>
          <w:sz w:val="20"/>
          <w:szCs w:val="20"/>
          <w:lang w:eastAsia="pt-BR"/>
          <w14:ligatures w14:val="none"/>
        </w:rPr>
        <w:t xml:space="preserve">Nos 12M23, a Companhia teve um Prejuízo Líquido Ajustado de R$ 111,6 milhões (R$ 152,3 milhões nos 12M22, representado uma redução no prejuízo de 26,7%. </w:t>
      </w:r>
    </w:p>
    <w:p w14:paraId="09377919" w14:textId="77777777" w:rsidR="00AA1F87" w:rsidRDefault="00AA1F87" w:rsidP="00AA1F87">
      <w:pPr>
        <w:spacing w:after="0" w:line="240" w:lineRule="auto"/>
        <w:jc w:val="both"/>
        <w:rPr>
          <w:rFonts w:ascii="Calibri" w:eastAsia="Times New Roman" w:hAnsi="Calibri" w:cs="Calibri"/>
          <w:b/>
          <w:bCs/>
          <w:color w:val="002060"/>
          <w:kern w:val="0"/>
          <w:u w:val="single"/>
          <w14:ligatures w14:val="none"/>
        </w:rPr>
      </w:pPr>
    </w:p>
    <w:p w14:paraId="2652A3DB" w14:textId="77777777" w:rsidR="00AA1F87" w:rsidRPr="00AA1F87" w:rsidRDefault="00AA1F87" w:rsidP="00AA1F87">
      <w:pPr>
        <w:spacing w:after="0" w:line="240" w:lineRule="auto"/>
        <w:jc w:val="both"/>
        <w:rPr>
          <w:rFonts w:ascii="Calibri" w:eastAsia="Times New Roman" w:hAnsi="Calibri" w:cs="Calibri"/>
          <w:b/>
          <w:bCs/>
          <w:color w:val="002060"/>
          <w:kern w:val="0"/>
          <w:u w:val="single"/>
          <w14:ligatures w14:val="none"/>
        </w:rPr>
      </w:pPr>
      <w:r w:rsidRPr="00AA1F87">
        <w:rPr>
          <w:rFonts w:ascii="Calibri" w:eastAsia="Times New Roman" w:hAnsi="Calibri" w:cs="Calibri"/>
          <w:b/>
          <w:bCs/>
          <w:color w:val="002060"/>
          <w:kern w:val="0"/>
          <w:u w:val="single"/>
          <w14:ligatures w14:val="none"/>
        </w:rPr>
        <w:t>Outros Indicadores</w:t>
      </w:r>
    </w:p>
    <w:p w14:paraId="76D2C5CB" w14:textId="77777777" w:rsidR="00AA1F87" w:rsidRPr="00AA1F87" w:rsidRDefault="00AA1F87" w:rsidP="00AA1F87">
      <w:pPr>
        <w:spacing w:after="0" w:line="240" w:lineRule="auto"/>
        <w:jc w:val="both"/>
        <w:rPr>
          <w:rFonts w:ascii="Calibri" w:eastAsia="Times New Roman" w:hAnsi="Calibri" w:cs="Calibri"/>
          <w:b/>
          <w:bCs/>
          <w:color w:val="002060"/>
          <w:kern w:val="0"/>
          <w:u w:val="single"/>
          <w14:ligatures w14:val="none"/>
        </w:rPr>
      </w:pPr>
      <w:r w:rsidRPr="00AA1F87">
        <w:rPr>
          <w:rFonts w:ascii="Calibri" w:eastAsia="Times New Roman" w:hAnsi="Calibri" w:cs="Calibri"/>
          <w:b/>
          <w:bCs/>
          <w:color w:val="002060"/>
          <w:kern w:val="0"/>
          <w:u w:val="single"/>
          <w14:ligatures w14:val="none"/>
        </w:rPr>
        <w:t>Endividamento</w:t>
      </w:r>
    </w:p>
    <w:p w14:paraId="4EBDFCE7" w14:textId="77777777" w:rsidR="00AA1F87" w:rsidRPr="00AA1F87" w:rsidRDefault="00AA1F87" w:rsidP="00AA1F87">
      <w:pPr>
        <w:spacing w:after="0" w:line="240" w:lineRule="auto"/>
        <w:jc w:val="both"/>
        <w:rPr>
          <w:rFonts w:ascii="Calibri" w:eastAsia="Times New Roman" w:hAnsi="Calibri" w:cs="Calibri"/>
          <w:b/>
          <w:bCs/>
          <w:color w:val="002060"/>
          <w:kern w:val="0"/>
          <w:u w:val="single"/>
          <w14:ligatures w14:val="none"/>
        </w:rPr>
      </w:pPr>
      <w:r w:rsidRPr="00AA1F87">
        <w:rPr>
          <w:rFonts w:ascii="Calibri" w:eastAsia="Times New Roman" w:hAnsi="Calibri" w:cs="Calibri"/>
          <w:b/>
          <w:bCs/>
          <w:color w:val="002060"/>
          <w:kern w:val="0"/>
          <w:u w:val="single"/>
          <w14:ligatures w14:val="none"/>
        </w:rPr>
        <w:t>Dívida Líquida</w:t>
      </w:r>
      <w:r w:rsidRPr="00AA1F87">
        <w:rPr>
          <w:rFonts w:ascii="Calibri" w:eastAsia="Times New Roman" w:hAnsi="Calibri" w:cs="Calibri"/>
          <w:b/>
          <w:bCs/>
          <w:color w:val="002060"/>
          <w:kern w:val="0"/>
          <w:u w:val="single"/>
          <w:vertAlign w:val="superscript"/>
          <w14:ligatures w14:val="none"/>
        </w:rPr>
        <w:footnoteReference w:id="4"/>
      </w:r>
    </w:p>
    <w:tbl>
      <w:tblPr>
        <w:tblW w:w="5000" w:type="pct"/>
        <w:tblCellMar>
          <w:left w:w="70" w:type="dxa"/>
          <w:right w:w="70" w:type="dxa"/>
        </w:tblCellMar>
        <w:tblLook w:val="04A0" w:firstRow="1" w:lastRow="0" w:firstColumn="1" w:lastColumn="0" w:noHBand="0" w:noVBand="1"/>
      </w:tblPr>
      <w:tblGrid>
        <w:gridCol w:w="4632"/>
        <w:gridCol w:w="1080"/>
        <w:gridCol w:w="1080"/>
        <w:gridCol w:w="1080"/>
        <w:gridCol w:w="168"/>
        <w:gridCol w:w="872"/>
        <w:gridCol w:w="869"/>
      </w:tblGrid>
      <w:tr w:rsidR="00AA1F87" w:rsidRPr="00AA1F87" w14:paraId="5E8F33A4" w14:textId="77777777" w:rsidTr="00AA1F87">
        <w:trPr>
          <w:trHeight w:val="227"/>
        </w:trPr>
        <w:tc>
          <w:tcPr>
            <w:tcW w:w="2368" w:type="pct"/>
            <w:tcBorders>
              <w:top w:val="nil"/>
              <w:left w:val="nil"/>
              <w:bottom w:val="nil"/>
              <w:right w:val="nil"/>
            </w:tcBorders>
            <w:shd w:val="clear" w:color="000000" w:fill="75F6F9"/>
            <w:noWrap/>
            <w:vAlign w:val="center"/>
            <w:hideMark/>
          </w:tcPr>
          <w:p w14:paraId="6CD6D76D" w14:textId="77777777" w:rsidR="00AA1F87" w:rsidRPr="00AA1F87" w:rsidRDefault="00AA1F87" w:rsidP="00AA1F87">
            <w:pPr>
              <w:spacing w:after="0" w:line="240" w:lineRule="auto"/>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 R$ Mil</w:t>
            </w:r>
          </w:p>
        </w:tc>
        <w:tc>
          <w:tcPr>
            <w:tcW w:w="552" w:type="pct"/>
            <w:tcBorders>
              <w:top w:val="nil"/>
              <w:left w:val="nil"/>
              <w:bottom w:val="nil"/>
              <w:right w:val="nil"/>
            </w:tcBorders>
            <w:shd w:val="clear" w:color="000000" w:fill="75F6F9"/>
            <w:noWrap/>
            <w:vAlign w:val="center"/>
            <w:hideMark/>
          </w:tcPr>
          <w:p w14:paraId="09135D19" w14:textId="77777777" w:rsidR="00AA1F87" w:rsidRPr="00AA1F87" w:rsidRDefault="00AA1F87" w:rsidP="00AA1F87">
            <w:pPr>
              <w:spacing w:after="0" w:line="240" w:lineRule="auto"/>
              <w:jc w:val="center"/>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31/12/2023</w:t>
            </w:r>
          </w:p>
        </w:tc>
        <w:tc>
          <w:tcPr>
            <w:tcW w:w="552" w:type="pct"/>
            <w:tcBorders>
              <w:top w:val="nil"/>
              <w:left w:val="nil"/>
              <w:bottom w:val="nil"/>
              <w:right w:val="nil"/>
            </w:tcBorders>
            <w:shd w:val="clear" w:color="000000" w:fill="75F6F9"/>
            <w:noWrap/>
            <w:vAlign w:val="center"/>
            <w:hideMark/>
          </w:tcPr>
          <w:p w14:paraId="46E73C28" w14:textId="77777777" w:rsidR="00AA1F87" w:rsidRPr="00AA1F87" w:rsidRDefault="00AA1F87" w:rsidP="00AA1F87">
            <w:pPr>
              <w:spacing w:after="0" w:line="240" w:lineRule="auto"/>
              <w:jc w:val="center"/>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31/12/2022</w:t>
            </w:r>
          </w:p>
        </w:tc>
        <w:tc>
          <w:tcPr>
            <w:tcW w:w="552" w:type="pct"/>
            <w:tcBorders>
              <w:top w:val="nil"/>
              <w:left w:val="nil"/>
              <w:bottom w:val="nil"/>
              <w:right w:val="nil"/>
            </w:tcBorders>
            <w:shd w:val="clear" w:color="000000" w:fill="75F6F9"/>
            <w:noWrap/>
            <w:vAlign w:val="center"/>
            <w:hideMark/>
          </w:tcPr>
          <w:p w14:paraId="2FFBAD96" w14:textId="77777777" w:rsidR="00AA1F87" w:rsidRPr="00AA1F87" w:rsidRDefault="00AA1F87" w:rsidP="00AA1F87">
            <w:pPr>
              <w:spacing w:after="0" w:line="240" w:lineRule="auto"/>
              <w:jc w:val="center"/>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31/12/2021</w:t>
            </w:r>
          </w:p>
        </w:tc>
        <w:tc>
          <w:tcPr>
            <w:tcW w:w="86" w:type="pct"/>
            <w:tcBorders>
              <w:top w:val="nil"/>
              <w:left w:val="nil"/>
              <w:bottom w:val="nil"/>
              <w:right w:val="nil"/>
            </w:tcBorders>
            <w:shd w:val="clear" w:color="auto" w:fill="auto"/>
            <w:noWrap/>
            <w:vAlign w:val="center"/>
            <w:hideMark/>
          </w:tcPr>
          <w:p w14:paraId="653F3246" w14:textId="77777777" w:rsidR="00AA1F87" w:rsidRPr="00AA1F87" w:rsidRDefault="00AA1F87" w:rsidP="00AA1F87">
            <w:pPr>
              <w:spacing w:after="0" w:line="240" w:lineRule="auto"/>
              <w:jc w:val="center"/>
              <w:rPr>
                <w:rFonts w:ascii="Arial" w:eastAsia="Times New Roman" w:hAnsi="Arial" w:cs="Arial"/>
                <w:b/>
                <w:bCs/>
                <w:color w:val="000000"/>
                <w:kern w:val="0"/>
                <w:sz w:val="16"/>
                <w:szCs w:val="16"/>
                <w:lang w:eastAsia="pt-BR"/>
                <w14:ligatures w14:val="none"/>
              </w:rPr>
            </w:pPr>
          </w:p>
        </w:tc>
        <w:tc>
          <w:tcPr>
            <w:tcW w:w="446" w:type="pct"/>
            <w:tcBorders>
              <w:top w:val="nil"/>
              <w:left w:val="nil"/>
              <w:bottom w:val="nil"/>
              <w:right w:val="nil"/>
            </w:tcBorders>
            <w:shd w:val="clear" w:color="000000" w:fill="75F6F9"/>
            <w:vAlign w:val="center"/>
            <w:hideMark/>
          </w:tcPr>
          <w:p w14:paraId="44789F04" w14:textId="77777777" w:rsidR="00AA1F87" w:rsidRPr="00AA1F87" w:rsidRDefault="00AA1F87" w:rsidP="00AA1F87">
            <w:pPr>
              <w:spacing w:after="0" w:line="240" w:lineRule="auto"/>
              <w:jc w:val="center"/>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Δ   2023 / 2022</w:t>
            </w:r>
          </w:p>
        </w:tc>
        <w:tc>
          <w:tcPr>
            <w:tcW w:w="444" w:type="pct"/>
            <w:tcBorders>
              <w:top w:val="nil"/>
              <w:left w:val="nil"/>
              <w:bottom w:val="nil"/>
              <w:right w:val="nil"/>
            </w:tcBorders>
            <w:shd w:val="clear" w:color="000000" w:fill="75F6F9"/>
            <w:vAlign w:val="center"/>
            <w:hideMark/>
          </w:tcPr>
          <w:p w14:paraId="62793265" w14:textId="77777777" w:rsidR="00AA1F87" w:rsidRPr="00AA1F87" w:rsidRDefault="00AA1F87" w:rsidP="00AA1F87">
            <w:pPr>
              <w:spacing w:after="0" w:line="240" w:lineRule="auto"/>
              <w:jc w:val="center"/>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Δ 2023 / 2021</w:t>
            </w:r>
          </w:p>
        </w:tc>
      </w:tr>
      <w:tr w:rsidR="00AA1F87" w:rsidRPr="00AA1F87" w14:paraId="335DD694" w14:textId="77777777" w:rsidTr="00AA1F87">
        <w:trPr>
          <w:trHeight w:val="227"/>
        </w:trPr>
        <w:tc>
          <w:tcPr>
            <w:tcW w:w="2368" w:type="pct"/>
            <w:tcBorders>
              <w:top w:val="nil"/>
              <w:left w:val="nil"/>
              <w:bottom w:val="nil"/>
              <w:right w:val="nil"/>
            </w:tcBorders>
            <w:shd w:val="clear" w:color="auto" w:fill="auto"/>
            <w:noWrap/>
            <w:vAlign w:val="center"/>
            <w:hideMark/>
          </w:tcPr>
          <w:p w14:paraId="36BD0A72" w14:textId="77777777" w:rsidR="00AA1F87" w:rsidRPr="00AA1F87" w:rsidRDefault="00AA1F87" w:rsidP="00AA1F87">
            <w:pPr>
              <w:spacing w:after="0" w:line="240" w:lineRule="auto"/>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Empréstimos e Financiamentos - FINEP</w:t>
            </w:r>
          </w:p>
        </w:tc>
        <w:tc>
          <w:tcPr>
            <w:tcW w:w="552" w:type="pct"/>
            <w:tcBorders>
              <w:top w:val="nil"/>
              <w:left w:val="nil"/>
              <w:bottom w:val="nil"/>
              <w:right w:val="nil"/>
            </w:tcBorders>
            <w:shd w:val="clear" w:color="000000" w:fill="D9E1F2"/>
            <w:noWrap/>
            <w:vAlign w:val="center"/>
            <w:hideMark/>
          </w:tcPr>
          <w:p w14:paraId="0D469886"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 xml:space="preserve">       90.602 </w:t>
            </w:r>
          </w:p>
        </w:tc>
        <w:tc>
          <w:tcPr>
            <w:tcW w:w="552" w:type="pct"/>
            <w:tcBorders>
              <w:top w:val="nil"/>
              <w:left w:val="nil"/>
              <w:bottom w:val="nil"/>
              <w:right w:val="nil"/>
            </w:tcBorders>
            <w:shd w:val="clear" w:color="auto" w:fill="auto"/>
            <w:noWrap/>
            <w:vAlign w:val="center"/>
            <w:hideMark/>
          </w:tcPr>
          <w:p w14:paraId="68560FBD"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 xml:space="preserve">     136.810 </w:t>
            </w:r>
          </w:p>
        </w:tc>
        <w:tc>
          <w:tcPr>
            <w:tcW w:w="552" w:type="pct"/>
            <w:tcBorders>
              <w:top w:val="nil"/>
              <w:left w:val="nil"/>
              <w:bottom w:val="nil"/>
              <w:right w:val="nil"/>
            </w:tcBorders>
            <w:shd w:val="clear" w:color="auto" w:fill="auto"/>
            <w:noWrap/>
            <w:vAlign w:val="center"/>
            <w:hideMark/>
          </w:tcPr>
          <w:p w14:paraId="48A6B54E"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 xml:space="preserve">     209.054 </w:t>
            </w:r>
          </w:p>
        </w:tc>
        <w:tc>
          <w:tcPr>
            <w:tcW w:w="86" w:type="pct"/>
            <w:tcBorders>
              <w:top w:val="nil"/>
              <w:left w:val="nil"/>
              <w:bottom w:val="nil"/>
              <w:right w:val="nil"/>
            </w:tcBorders>
            <w:shd w:val="clear" w:color="auto" w:fill="auto"/>
            <w:noWrap/>
            <w:vAlign w:val="center"/>
            <w:hideMark/>
          </w:tcPr>
          <w:p w14:paraId="3E863D8A"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p>
        </w:tc>
        <w:tc>
          <w:tcPr>
            <w:tcW w:w="446" w:type="pct"/>
            <w:tcBorders>
              <w:top w:val="nil"/>
              <w:left w:val="nil"/>
              <w:bottom w:val="nil"/>
              <w:right w:val="nil"/>
            </w:tcBorders>
            <w:shd w:val="clear" w:color="auto" w:fill="auto"/>
            <w:noWrap/>
            <w:vAlign w:val="center"/>
            <w:hideMark/>
          </w:tcPr>
          <w:p w14:paraId="3EF3A68F"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-33,8%</w:t>
            </w:r>
          </w:p>
        </w:tc>
        <w:tc>
          <w:tcPr>
            <w:tcW w:w="444" w:type="pct"/>
            <w:tcBorders>
              <w:top w:val="nil"/>
              <w:left w:val="nil"/>
              <w:bottom w:val="nil"/>
              <w:right w:val="nil"/>
            </w:tcBorders>
            <w:shd w:val="clear" w:color="auto" w:fill="auto"/>
            <w:noWrap/>
            <w:vAlign w:val="center"/>
            <w:hideMark/>
          </w:tcPr>
          <w:p w14:paraId="2449841B"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-56,7%</w:t>
            </w:r>
          </w:p>
        </w:tc>
      </w:tr>
      <w:tr w:rsidR="00AA1F87" w:rsidRPr="00AA1F87" w14:paraId="502ABF7B" w14:textId="77777777" w:rsidTr="00AA1F87">
        <w:trPr>
          <w:trHeight w:val="227"/>
        </w:trPr>
        <w:tc>
          <w:tcPr>
            <w:tcW w:w="2368" w:type="pct"/>
            <w:tcBorders>
              <w:top w:val="nil"/>
              <w:left w:val="nil"/>
              <w:bottom w:val="nil"/>
              <w:right w:val="nil"/>
            </w:tcBorders>
            <w:shd w:val="clear" w:color="auto" w:fill="auto"/>
            <w:noWrap/>
            <w:vAlign w:val="center"/>
            <w:hideMark/>
          </w:tcPr>
          <w:p w14:paraId="31FDAC48" w14:textId="77777777" w:rsidR="00AA1F87" w:rsidRPr="00AA1F87" w:rsidRDefault="00AA1F87" w:rsidP="00AA1F87">
            <w:pPr>
              <w:spacing w:after="0" w:line="240" w:lineRule="auto"/>
              <w:rPr>
                <w:rFonts w:ascii="Arial" w:eastAsia="Times New Roman" w:hAnsi="Arial" w:cs="Arial"/>
                <w:i/>
                <w:iCs/>
                <w:color w:val="000000"/>
                <w:kern w:val="0"/>
                <w:sz w:val="16"/>
                <w:szCs w:val="16"/>
                <w:lang w:eastAsia="pt-BR"/>
                <w14:ligatures w14:val="none"/>
              </w:rPr>
            </w:pPr>
            <w:r w:rsidRPr="00AA1F87">
              <w:rPr>
                <w:rFonts w:ascii="Arial" w:eastAsia="Times New Roman" w:hAnsi="Arial" w:cs="Arial"/>
                <w:i/>
                <w:iCs/>
                <w:color w:val="000000"/>
                <w:kern w:val="0"/>
                <w:sz w:val="16"/>
                <w:szCs w:val="16"/>
                <w:lang w:eastAsia="pt-BR"/>
                <w14:ligatures w14:val="none"/>
              </w:rPr>
              <w:t xml:space="preserve">  Curto Prazo</w:t>
            </w:r>
          </w:p>
        </w:tc>
        <w:tc>
          <w:tcPr>
            <w:tcW w:w="552" w:type="pct"/>
            <w:tcBorders>
              <w:top w:val="nil"/>
              <w:left w:val="nil"/>
              <w:bottom w:val="nil"/>
              <w:right w:val="nil"/>
            </w:tcBorders>
            <w:shd w:val="clear" w:color="000000" w:fill="D9E1F2"/>
            <w:noWrap/>
            <w:vAlign w:val="center"/>
            <w:hideMark/>
          </w:tcPr>
          <w:p w14:paraId="6BC708B1" w14:textId="77777777" w:rsidR="00AA1F87" w:rsidRPr="00AA1F87" w:rsidRDefault="00AA1F87" w:rsidP="00AA1F87">
            <w:pPr>
              <w:spacing w:after="0" w:line="240" w:lineRule="auto"/>
              <w:jc w:val="right"/>
              <w:rPr>
                <w:rFonts w:ascii="Arial" w:eastAsia="Times New Roman" w:hAnsi="Arial" w:cs="Arial"/>
                <w:i/>
                <w:iCs/>
                <w:color w:val="000000"/>
                <w:kern w:val="0"/>
                <w:sz w:val="16"/>
                <w:szCs w:val="16"/>
                <w:lang w:eastAsia="pt-BR"/>
                <w14:ligatures w14:val="none"/>
              </w:rPr>
            </w:pPr>
            <w:r w:rsidRPr="00AA1F87">
              <w:rPr>
                <w:rFonts w:ascii="Arial" w:eastAsia="Times New Roman" w:hAnsi="Arial" w:cs="Arial"/>
                <w:i/>
                <w:iCs/>
                <w:color w:val="000000"/>
                <w:kern w:val="0"/>
                <w:sz w:val="16"/>
                <w:szCs w:val="16"/>
                <w:lang w:eastAsia="pt-BR"/>
                <w14:ligatures w14:val="none"/>
              </w:rPr>
              <w:t xml:space="preserve">      45.710 </w:t>
            </w:r>
          </w:p>
        </w:tc>
        <w:tc>
          <w:tcPr>
            <w:tcW w:w="552" w:type="pct"/>
            <w:tcBorders>
              <w:top w:val="nil"/>
              <w:left w:val="nil"/>
              <w:bottom w:val="nil"/>
              <w:right w:val="nil"/>
            </w:tcBorders>
            <w:shd w:val="clear" w:color="auto" w:fill="auto"/>
            <w:noWrap/>
            <w:vAlign w:val="center"/>
            <w:hideMark/>
          </w:tcPr>
          <w:p w14:paraId="4DA55387" w14:textId="77777777" w:rsidR="00AA1F87" w:rsidRPr="00AA1F87" w:rsidRDefault="00AA1F87" w:rsidP="00AA1F87">
            <w:pPr>
              <w:spacing w:after="0" w:line="240" w:lineRule="auto"/>
              <w:jc w:val="right"/>
              <w:rPr>
                <w:rFonts w:ascii="Arial" w:eastAsia="Times New Roman" w:hAnsi="Arial" w:cs="Arial"/>
                <w:i/>
                <w:iCs/>
                <w:color w:val="000000"/>
                <w:kern w:val="0"/>
                <w:sz w:val="16"/>
                <w:szCs w:val="16"/>
                <w:lang w:eastAsia="pt-BR"/>
                <w14:ligatures w14:val="none"/>
              </w:rPr>
            </w:pPr>
            <w:r w:rsidRPr="00AA1F87">
              <w:rPr>
                <w:rFonts w:ascii="Arial" w:eastAsia="Times New Roman" w:hAnsi="Arial" w:cs="Arial"/>
                <w:i/>
                <w:iCs/>
                <w:color w:val="000000"/>
                <w:kern w:val="0"/>
                <w:sz w:val="16"/>
                <w:szCs w:val="16"/>
                <w:lang w:eastAsia="pt-BR"/>
                <w14:ligatures w14:val="none"/>
              </w:rPr>
              <w:t xml:space="preserve">      47.175 </w:t>
            </w:r>
          </w:p>
        </w:tc>
        <w:tc>
          <w:tcPr>
            <w:tcW w:w="552" w:type="pct"/>
            <w:tcBorders>
              <w:top w:val="nil"/>
              <w:left w:val="nil"/>
              <w:bottom w:val="nil"/>
              <w:right w:val="nil"/>
            </w:tcBorders>
            <w:shd w:val="clear" w:color="auto" w:fill="auto"/>
            <w:noWrap/>
            <w:vAlign w:val="center"/>
            <w:hideMark/>
          </w:tcPr>
          <w:p w14:paraId="5A824B2B" w14:textId="77777777" w:rsidR="00AA1F87" w:rsidRPr="00AA1F87" w:rsidRDefault="00AA1F87" w:rsidP="00AA1F87">
            <w:pPr>
              <w:spacing w:after="0" w:line="240" w:lineRule="auto"/>
              <w:jc w:val="right"/>
              <w:rPr>
                <w:rFonts w:ascii="Arial" w:eastAsia="Times New Roman" w:hAnsi="Arial" w:cs="Arial"/>
                <w:i/>
                <w:iCs/>
                <w:color w:val="000000"/>
                <w:kern w:val="0"/>
                <w:sz w:val="16"/>
                <w:szCs w:val="16"/>
                <w:lang w:eastAsia="pt-BR"/>
                <w14:ligatures w14:val="none"/>
              </w:rPr>
            </w:pPr>
            <w:r w:rsidRPr="00AA1F87">
              <w:rPr>
                <w:rFonts w:ascii="Arial" w:eastAsia="Times New Roman" w:hAnsi="Arial" w:cs="Arial"/>
                <w:i/>
                <w:iCs/>
                <w:color w:val="000000"/>
                <w:kern w:val="0"/>
                <w:sz w:val="16"/>
                <w:szCs w:val="16"/>
                <w:lang w:eastAsia="pt-BR"/>
                <w14:ligatures w14:val="none"/>
              </w:rPr>
              <w:t xml:space="preserve">      53.179 </w:t>
            </w:r>
          </w:p>
        </w:tc>
        <w:tc>
          <w:tcPr>
            <w:tcW w:w="86" w:type="pct"/>
            <w:tcBorders>
              <w:top w:val="nil"/>
              <w:left w:val="nil"/>
              <w:bottom w:val="nil"/>
              <w:right w:val="nil"/>
            </w:tcBorders>
            <w:shd w:val="clear" w:color="auto" w:fill="auto"/>
            <w:noWrap/>
            <w:vAlign w:val="center"/>
            <w:hideMark/>
          </w:tcPr>
          <w:p w14:paraId="538A8464" w14:textId="77777777" w:rsidR="00AA1F87" w:rsidRPr="00AA1F87" w:rsidRDefault="00AA1F87" w:rsidP="00AA1F87">
            <w:pPr>
              <w:spacing w:after="0" w:line="240" w:lineRule="auto"/>
              <w:jc w:val="right"/>
              <w:rPr>
                <w:rFonts w:ascii="Arial" w:eastAsia="Times New Roman" w:hAnsi="Arial" w:cs="Arial"/>
                <w:i/>
                <w:iCs/>
                <w:color w:val="000000"/>
                <w:kern w:val="0"/>
                <w:sz w:val="16"/>
                <w:szCs w:val="16"/>
                <w:lang w:eastAsia="pt-BR"/>
                <w14:ligatures w14:val="none"/>
              </w:rPr>
            </w:pPr>
          </w:p>
        </w:tc>
        <w:tc>
          <w:tcPr>
            <w:tcW w:w="446" w:type="pct"/>
            <w:tcBorders>
              <w:top w:val="nil"/>
              <w:left w:val="nil"/>
              <w:bottom w:val="nil"/>
              <w:right w:val="nil"/>
            </w:tcBorders>
            <w:shd w:val="clear" w:color="auto" w:fill="auto"/>
            <w:noWrap/>
            <w:vAlign w:val="center"/>
            <w:hideMark/>
          </w:tcPr>
          <w:p w14:paraId="0405CD05" w14:textId="77777777" w:rsidR="00AA1F87" w:rsidRPr="00AA1F87" w:rsidRDefault="00AA1F87" w:rsidP="00AA1F87">
            <w:pPr>
              <w:spacing w:after="0" w:line="240" w:lineRule="auto"/>
              <w:jc w:val="right"/>
              <w:rPr>
                <w:rFonts w:ascii="Arial" w:eastAsia="Times New Roman" w:hAnsi="Arial" w:cs="Arial"/>
                <w:i/>
                <w:iCs/>
                <w:color w:val="000000"/>
                <w:kern w:val="0"/>
                <w:sz w:val="16"/>
                <w:szCs w:val="16"/>
                <w:lang w:eastAsia="pt-BR"/>
                <w14:ligatures w14:val="none"/>
              </w:rPr>
            </w:pPr>
            <w:r w:rsidRPr="00AA1F87">
              <w:rPr>
                <w:rFonts w:ascii="Arial" w:eastAsia="Times New Roman" w:hAnsi="Arial" w:cs="Arial"/>
                <w:i/>
                <w:iCs/>
                <w:color w:val="000000"/>
                <w:kern w:val="0"/>
                <w:sz w:val="16"/>
                <w:szCs w:val="16"/>
                <w:lang w:eastAsia="pt-BR"/>
                <w14:ligatures w14:val="none"/>
              </w:rPr>
              <w:t>-3,1%</w:t>
            </w:r>
          </w:p>
        </w:tc>
        <w:tc>
          <w:tcPr>
            <w:tcW w:w="444" w:type="pct"/>
            <w:tcBorders>
              <w:top w:val="nil"/>
              <w:left w:val="nil"/>
              <w:bottom w:val="nil"/>
              <w:right w:val="nil"/>
            </w:tcBorders>
            <w:shd w:val="clear" w:color="auto" w:fill="auto"/>
            <w:noWrap/>
            <w:vAlign w:val="center"/>
            <w:hideMark/>
          </w:tcPr>
          <w:p w14:paraId="6D96E060" w14:textId="77777777" w:rsidR="00AA1F87" w:rsidRPr="00AA1F87" w:rsidRDefault="00AA1F87" w:rsidP="00AA1F87">
            <w:pPr>
              <w:spacing w:after="0" w:line="240" w:lineRule="auto"/>
              <w:jc w:val="right"/>
              <w:rPr>
                <w:rFonts w:ascii="Arial" w:eastAsia="Times New Roman" w:hAnsi="Arial" w:cs="Arial"/>
                <w:i/>
                <w:iCs/>
                <w:color w:val="000000"/>
                <w:kern w:val="0"/>
                <w:sz w:val="16"/>
                <w:szCs w:val="16"/>
                <w:lang w:eastAsia="pt-BR"/>
                <w14:ligatures w14:val="none"/>
              </w:rPr>
            </w:pPr>
            <w:r w:rsidRPr="00AA1F87">
              <w:rPr>
                <w:rFonts w:ascii="Arial" w:eastAsia="Times New Roman" w:hAnsi="Arial" w:cs="Arial"/>
                <w:i/>
                <w:iCs/>
                <w:color w:val="000000"/>
                <w:kern w:val="0"/>
                <w:sz w:val="16"/>
                <w:szCs w:val="16"/>
                <w:lang w:eastAsia="pt-BR"/>
                <w14:ligatures w14:val="none"/>
              </w:rPr>
              <w:t>-14,0%</w:t>
            </w:r>
          </w:p>
        </w:tc>
      </w:tr>
      <w:tr w:rsidR="00AA1F87" w:rsidRPr="00AA1F87" w14:paraId="6520EAA1" w14:textId="77777777" w:rsidTr="00AA1F87">
        <w:trPr>
          <w:trHeight w:val="227"/>
        </w:trPr>
        <w:tc>
          <w:tcPr>
            <w:tcW w:w="2368" w:type="pct"/>
            <w:tcBorders>
              <w:top w:val="nil"/>
              <w:left w:val="nil"/>
              <w:bottom w:val="nil"/>
              <w:right w:val="nil"/>
            </w:tcBorders>
            <w:shd w:val="clear" w:color="auto" w:fill="auto"/>
            <w:noWrap/>
            <w:vAlign w:val="center"/>
            <w:hideMark/>
          </w:tcPr>
          <w:p w14:paraId="1300AE39" w14:textId="77777777" w:rsidR="00AA1F87" w:rsidRPr="00AA1F87" w:rsidRDefault="00AA1F87" w:rsidP="00AA1F87">
            <w:pPr>
              <w:spacing w:after="0" w:line="240" w:lineRule="auto"/>
              <w:rPr>
                <w:rFonts w:ascii="Arial" w:eastAsia="Times New Roman" w:hAnsi="Arial" w:cs="Arial"/>
                <w:i/>
                <w:iCs/>
                <w:color w:val="000000"/>
                <w:kern w:val="0"/>
                <w:sz w:val="16"/>
                <w:szCs w:val="16"/>
                <w:lang w:eastAsia="pt-BR"/>
                <w14:ligatures w14:val="none"/>
              </w:rPr>
            </w:pPr>
            <w:r w:rsidRPr="00AA1F87">
              <w:rPr>
                <w:rFonts w:ascii="Arial" w:eastAsia="Times New Roman" w:hAnsi="Arial" w:cs="Arial"/>
                <w:i/>
                <w:iCs/>
                <w:color w:val="000000"/>
                <w:kern w:val="0"/>
                <w:sz w:val="16"/>
                <w:szCs w:val="16"/>
                <w:lang w:eastAsia="pt-BR"/>
                <w14:ligatures w14:val="none"/>
              </w:rPr>
              <w:t xml:space="preserve">  Longo Prazo</w:t>
            </w:r>
          </w:p>
        </w:tc>
        <w:tc>
          <w:tcPr>
            <w:tcW w:w="552" w:type="pct"/>
            <w:tcBorders>
              <w:top w:val="nil"/>
              <w:left w:val="nil"/>
              <w:bottom w:val="nil"/>
              <w:right w:val="nil"/>
            </w:tcBorders>
            <w:shd w:val="clear" w:color="000000" w:fill="D9E1F2"/>
            <w:noWrap/>
            <w:vAlign w:val="center"/>
            <w:hideMark/>
          </w:tcPr>
          <w:p w14:paraId="1C2880B3" w14:textId="77777777" w:rsidR="00AA1F87" w:rsidRPr="00AA1F87" w:rsidRDefault="00AA1F87" w:rsidP="00AA1F87">
            <w:pPr>
              <w:spacing w:after="0" w:line="240" w:lineRule="auto"/>
              <w:jc w:val="right"/>
              <w:rPr>
                <w:rFonts w:ascii="Arial" w:eastAsia="Times New Roman" w:hAnsi="Arial" w:cs="Arial"/>
                <w:i/>
                <w:iCs/>
                <w:color w:val="000000"/>
                <w:kern w:val="0"/>
                <w:sz w:val="16"/>
                <w:szCs w:val="16"/>
                <w:lang w:eastAsia="pt-BR"/>
                <w14:ligatures w14:val="none"/>
              </w:rPr>
            </w:pPr>
            <w:r w:rsidRPr="00AA1F87">
              <w:rPr>
                <w:rFonts w:ascii="Arial" w:eastAsia="Times New Roman" w:hAnsi="Arial" w:cs="Arial"/>
                <w:i/>
                <w:iCs/>
                <w:color w:val="000000"/>
                <w:kern w:val="0"/>
                <w:sz w:val="16"/>
                <w:szCs w:val="16"/>
                <w:lang w:eastAsia="pt-BR"/>
                <w14:ligatures w14:val="none"/>
              </w:rPr>
              <w:t xml:space="preserve">      44.892 </w:t>
            </w:r>
          </w:p>
        </w:tc>
        <w:tc>
          <w:tcPr>
            <w:tcW w:w="552" w:type="pct"/>
            <w:tcBorders>
              <w:top w:val="nil"/>
              <w:left w:val="nil"/>
              <w:bottom w:val="nil"/>
              <w:right w:val="nil"/>
            </w:tcBorders>
            <w:shd w:val="clear" w:color="auto" w:fill="auto"/>
            <w:noWrap/>
            <w:vAlign w:val="center"/>
            <w:hideMark/>
          </w:tcPr>
          <w:p w14:paraId="58DE0B26" w14:textId="77777777" w:rsidR="00AA1F87" w:rsidRPr="00AA1F87" w:rsidRDefault="00AA1F87" w:rsidP="00AA1F87">
            <w:pPr>
              <w:spacing w:after="0" w:line="240" w:lineRule="auto"/>
              <w:jc w:val="right"/>
              <w:rPr>
                <w:rFonts w:ascii="Arial" w:eastAsia="Times New Roman" w:hAnsi="Arial" w:cs="Arial"/>
                <w:i/>
                <w:iCs/>
                <w:color w:val="000000"/>
                <w:kern w:val="0"/>
                <w:sz w:val="16"/>
                <w:szCs w:val="16"/>
                <w:lang w:eastAsia="pt-BR"/>
                <w14:ligatures w14:val="none"/>
              </w:rPr>
            </w:pPr>
            <w:r w:rsidRPr="00AA1F87">
              <w:rPr>
                <w:rFonts w:ascii="Arial" w:eastAsia="Times New Roman" w:hAnsi="Arial" w:cs="Arial"/>
                <w:i/>
                <w:iCs/>
                <w:color w:val="000000"/>
                <w:kern w:val="0"/>
                <w:sz w:val="16"/>
                <w:szCs w:val="16"/>
                <w:lang w:eastAsia="pt-BR"/>
                <w14:ligatures w14:val="none"/>
              </w:rPr>
              <w:t xml:space="preserve">      89.635 </w:t>
            </w:r>
          </w:p>
        </w:tc>
        <w:tc>
          <w:tcPr>
            <w:tcW w:w="552" w:type="pct"/>
            <w:tcBorders>
              <w:top w:val="nil"/>
              <w:left w:val="nil"/>
              <w:bottom w:val="nil"/>
              <w:right w:val="nil"/>
            </w:tcBorders>
            <w:shd w:val="clear" w:color="auto" w:fill="auto"/>
            <w:noWrap/>
            <w:vAlign w:val="center"/>
            <w:hideMark/>
          </w:tcPr>
          <w:p w14:paraId="595E8C84" w14:textId="77777777" w:rsidR="00AA1F87" w:rsidRPr="00AA1F87" w:rsidRDefault="00AA1F87" w:rsidP="00AA1F87">
            <w:pPr>
              <w:spacing w:after="0" w:line="240" w:lineRule="auto"/>
              <w:jc w:val="right"/>
              <w:rPr>
                <w:rFonts w:ascii="Arial" w:eastAsia="Times New Roman" w:hAnsi="Arial" w:cs="Arial"/>
                <w:i/>
                <w:iCs/>
                <w:color w:val="000000"/>
                <w:kern w:val="0"/>
                <w:sz w:val="16"/>
                <w:szCs w:val="16"/>
                <w:lang w:eastAsia="pt-BR"/>
                <w14:ligatures w14:val="none"/>
              </w:rPr>
            </w:pPr>
            <w:r w:rsidRPr="00AA1F87">
              <w:rPr>
                <w:rFonts w:ascii="Arial" w:eastAsia="Times New Roman" w:hAnsi="Arial" w:cs="Arial"/>
                <w:i/>
                <w:iCs/>
                <w:color w:val="000000"/>
                <w:kern w:val="0"/>
                <w:sz w:val="16"/>
                <w:szCs w:val="16"/>
                <w:lang w:eastAsia="pt-BR"/>
                <w14:ligatures w14:val="none"/>
              </w:rPr>
              <w:t xml:space="preserve">    155.875 </w:t>
            </w:r>
          </w:p>
        </w:tc>
        <w:tc>
          <w:tcPr>
            <w:tcW w:w="86" w:type="pct"/>
            <w:tcBorders>
              <w:top w:val="nil"/>
              <w:left w:val="nil"/>
              <w:bottom w:val="nil"/>
              <w:right w:val="nil"/>
            </w:tcBorders>
            <w:shd w:val="clear" w:color="auto" w:fill="auto"/>
            <w:noWrap/>
            <w:vAlign w:val="center"/>
            <w:hideMark/>
          </w:tcPr>
          <w:p w14:paraId="1B418A62" w14:textId="77777777" w:rsidR="00AA1F87" w:rsidRPr="00AA1F87" w:rsidRDefault="00AA1F87" w:rsidP="00AA1F87">
            <w:pPr>
              <w:spacing w:after="0" w:line="240" w:lineRule="auto"/>
              <w:jc w:val="right"/>
              <w:rPr>
                <w:rFonts w:ascii="Arial" w:eastAsia="Times New Roman" w:hAnsi="Arial" w:cs="Arial"/>
                <w:i/>
                <w:iCs/>
                <w:color w:val="000000"/>
                <w:kern w:val="0"/>
                <w:sz w:val="16"/>
                <w:szCs w:val="16"/>
                <w:lang w:eastAsia="pt-BR"/>
                <w14:ligatures w14:val="none"/>
              </w:rPr>
            </w:pPr>
          </w:p>
        </w:tc>
        <w:tc>
          <w:tcPr>
            <w:tcW w:w="446" w:type="pct"/>
            <w:tcBorders>
              <w:top w:val="nil"/>
              <w:left w:val="nil"/>
              <w:bottom w:val="nil"/>
              <w:right w:val="nil"/>
            </w:tcBorders>
            <w:shd w:val="clear" w:color="auto" w:fill="auto"/>
            <w:noWrap/>
            <w:vAlign w:val="center"/>
            <w:hideMark/>
          </w:tcPr>
          <w:p w14:paraId="3C6690B1" w14:textId="77777777" w:rsidR="00AA1F87" w:rsidRPr="00AA1F87" w:rsidRDefault="00AA1F87" w:rsidP="00AA1F87">
            <w:pPr>
              <w:spacing w:after="0" w:line="240" w:lineRule="auto"/>
              <w:jc w:val="right"/>
              <w:rPr>
                <w:rFonts w:ascii="Arial" w:eastAsia="Times New Roman" w:hAnsi="Arial" w:cs="Arial"/>
                <w:i/>
                <w:iCs/>
                <w:color w:val="000000"/>
                <w:kern w:val="0"/>
                <w:sz w:val="16"/>
                <w:szCs w:val="16"/>
                <w:lang w:eastAsia="pt-BR"/>
                <w14:ligatures w14:val="none"/>
              </w:rPr>
            </w:pPr>
            <w:r w:rsidRPr="00AA1F87">
              <w:rPr>
                <w:rFonts w:ascii="Arial" w:eastAsia="Times New Roman" w:hAnsi="Arial" w:cs="Arial"/>
                <w:i/>
                <w:iCs/>
                <w:color w:val="000000"/>
                <w:kern w:val="0"/>
                <w:sz w:val="16"/>
                <w:szCs w:val="16"/>
                <w:lang w:eastAsia="pt-BR"/>
                <w14:ligatures w14:val="none"/>
              </w:rPr>
              <w:t>-49,9%</w:t>
            </w:r>
          </w:p>
        </w:tc>
        <w:tc>
          <w:tcPr>
            <w:tcW w:w="444" w:type="pct"/>
            <w:tcBorders>
              <w:top w:val="nil"/>
              <w:left w:val="nil"/>
              <w:bottom w:val="nil"/>
              <w:right w:val="nil"/>
            </w:tcBorders>
            <w:shd w:val="clear" w:color="auto" w:fill="auto"/>
            <w:noWrap/>
            <w:vAlign w:val="center"/>
            <w:hideMark/>
          </w:tcPr>
          <w:p w14:paraId="45C9ADE4" w14:textId="77777777" w:rsidR="00AA1F87" w:rsidRPr="00AA1F87" w:rsidRDefault="00AA1F87" w:rsidP="00AA1F87">
            <w:pPr>
              <w:spacing w:after="0" w:line="240" w:lineRule="auto"/>
              <w:jc w:val="right"/>
              <w:rPr>
                <w:rFonts w:ascii="Arial" w:eastAsia="Times New Roman" w:hAnsi="Arial" w:cs="Arial"/>
                <w:i/>
                <w:iCs/>
                <w:color w:val="000000"/>
                <w:kern w:val="0"/>
                <w:sz w:val="16"/>
                <w:szCs w:val="16"/>
                <w:lang w:eastAsia="pt-BR"/>
                <w14:ligatures w14:val="none"/>
              </w:rPr>
            </w:pPr>
            <w:r w:rsidRPr="00AA1F87">
              <w:rPr>
                <w:rFonts w:ascii="Arial" w:eastAsia="Times New Roman" w:hAnsi="Arial" w:cs="Arial"/>
                <w:i/>
                <w:iCs/>
                <w:color w:val="000000"/>
                <w:kern w:val="0"/>
                <w:sz w:val="16"/>
                <w:szCs w:val="16"/>
                <w:lang w:eastAsia="pt-BR"/>
                <w14:ligatures w14:val="none"/>
              </w:rPr>
              <w:t>-71,2%</w:t>
            </w:r>
          </w:p>
        </w:tc>
      </w:tr>
      <w:tr w:rsidR="00AA1F87" w:rsidRPr="00AA1F87" w14:paraId="6D3F29E1" w14:textId="77777777" w:rsidTr="00AA1F87">
        <w:trPr>
          <w:trHeight w:val="227"/>
        </w:trPr>
        <w:tc>
          <w:tcPr>
            <w:tcW w:w="2368" w:type="pct"/>
            <w:tcBorders>
              <w:top w:val="nil"/>
              <w:left w:val="nil"/>
              <w:bottom w:val="nil"/>
              <w:right w:val="nil"/>
            </w:tcBorders>
            <w:shd w:val="clear" w:color="auto" w:fill="auto"/>
            <w:noWrap/>
            <w:vAlign w:val="center"/>
            <w:hideMark/>
          </w:tcPr>
          <w:p w14:paraId="3AD6046C" w14:textId="77777777" w:rsidR="00AA1F87" w:rsidRPr="00AA1F87" w:rsidRDefault="00AA1F87" w:rsidP="00AA1F87">
            <w:pPr>
              <w:spacing w:after="0" w:line="240" w:lineRule="auto"/>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Arrendamento Mercantil (Leasing)</w:t>
            </w:r>
          </w:p>
        </w:tc>
        <w:tc>
          <w:tcPr>
            <w:tcW w:w="552" w:type="pct"/>
            <w:tcBorders>
              <w:top w:val="nil"/>
              <w:left w:val="nil"/>
              <w:bottom w:val="nil"/>
              <w:right w:val="nil"/>
            </w:tcBorders>
            <w:shd w:val="clear" w:color="000000" w:fill="D9E1F2"/>
            <w:noWrap/>
            <w:vAlign w:val="center"/>
            <w:hideMark/>
          </w:tcPr>
          <w:p w14:paraId="3F746638"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 xml:space="preserve">       14.121 </w:t>
            </w:r>
          </w:p>
        </w:tc>
        <w:tc>
          <w:tcPr>
            <w:tcW w:w="552" w:type="pct"/>
            <w:tcBorders>
              <w:top w:val="nil"/>
              <w:left w:val="nil"/>
              <w:bottom w:val="nil"/>
              <w:right w:val="nil"/>
            </w:tcBorders>
            <w:shd w:val="clear" w:color="auto" w:fill="auto"/>
            <w:noWrap/>
            <w:vAlign w:val="center"/>
            <w:hideMark/>
          </w:tcPr>
          <w:p w14:paraId="6F825B04"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 xml:space="preserve">       16.657 </w:t>
            </w:r>
          </w:p>
        </w:tc>
        <w:tc>
          <w:tcPr>
            <w:tcW w:w="552" w:type="pct"/>
            <w:tcBorders>
              <w:top w:val="nil"/>
              <w:left w:val="nil"/>
              <w:bottom w:val="nil"/>
              <w:right w:val="nil"/>
            </w:tcBorders>
            <w:shd w:val="clear" w:color="auto" w:fill="auto"/>
            <w:noWrap/>
            <w:vAlign w:val="center"/>
            <w:hideMark/>
          </w:tcPr>
          <w:p w14:paraId="76EA9F23"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 xml:space="preserve">       15.352 </w:t>
            </w:r>
          </w:p>
        </w:tc>
        <w:tc>
          <w:tcPr>
            <w:tcW w:w="86" w:type="pct"/>
            <w:tcBorders>
              <w:top w:val="nil"/>
              <w:left w:val="nil"/>
              <w:bottom w:val="nil"/>
              <w:right w:val="nil"/>
            </w:tcBorders>
            <w:shd w:val="clear" w:color="auto" w:fill="auto"/>
            <w:noWrap/>
            <w:vAlign w:val="center"/>
            <w:hideMark/>
          </w:tcPr>
          <w:p w14:paraId="21E7F721"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p>
        </w:tc>
        <w:tc>
          <w:tcPr>
            <w:tcW w:w="446" w:type="pct"/>
            <w:tcBorders>
              <w:top w:val="nil"/>
              <w:left w:val="nil"/>
              <w:bottom w:val="nil"/>
              <w:right w:val="nil"/>
            </w:tcBorders>
            <w:shd w:val="clear" w:color="auto" w:fill="auto"/>
            <w:noWrap/>
            <w:vAlign w:val="center"/>
            <w:hideMark/>
          </w:tcPr>
          <w:p w14:paraId="5B0078BD" w14:textId="77777777" w:rsidR="00AA1F87" w:rsidRPr="00AA1F87" w:rsidRDefault="00AA1F87" w:rsidP="00AA1F87">
            <w:pPr>
              <w:spacing w:after="0" w:line="240" w:lineRule="auto"/>
              <w:jc w:val="right"/>
              <w:rPr>
                <w:rFonts w:ascii="Arial" w:eastAsia="Times New Roman" w:hAnsi="Arial" w:cs="Arial"/>
                <w:i/>
                <w:iCs/>
                <w:color w:val="000000"/>
                <w:kern w:val="0"/>
                <w:sz w:val="16"/>
                <w:szCs w:val="16"/>
                <w:lang w:eastAsia="pt-BR"/>
                <w14:ligatures w14:val="none"/>
              </w:rPr>
            </w:pPr>
            <w:r w:rsidRPr="00AA1F87">
              <w:rPr>
                <w:rFonts w:ascii="Arial" w:eastAsia="Times New Roman" w:hAnsi="Arial" w:cs="Arial"/>
                <w:i/>
                <w:iCs/>
                <w:color w:val="000000"/>
                <w:kern w:val="0"/>
                <w:sz w:val="16"/>
                <w:szCs w:val="16"/>
                <w:lang w:eastAsia="pt-BR"/>
                <w14:ligatures w14:val="none"/>
              </w:rPr>
              <w:t>-15,2%</w:t>
            </w:r>
          </w:p>
        </w:tc>
        <w:tc>
          <w:tcPr>
            <w:tcW w:w="444" w:type="pct"/>
            <w:tcBorders>
              <w:top w:val="nil"/>
              <w:left w:val="nil"/>
              <w:bottom w:val="nil"/>
              <w:right w:val="nil"/>
            </w:tcBorders>
            <w:shd w:val="clear" w:color="auto" w:fill="auto"/>
            <w:noWrap/>
            <w:vAlign w:val="center"/>
            <w:hideMark/>
          </w:tcPr>
          <w:p w14:paraId="3C24DD00" w14:textId="77777777" w:rsidR="00AA1F87" w:rsidRPr="00AA1F87" w:rsidRDefault="00AA1F87" w:rsidP="00AA1F87">
            <w:pPr>
              <w:spacing w:after="0" w:line="240" w:lineRule="auto"/>
              <w:jc w:val="right"/>
              <w:rPr>
                <w:rFonts w:ascii="Arial" w:eastAsia="Times New Roman" w:hAnsi="Arial" w:cs="Arial"/>
                <w:i/>
                <w:iCs/>
                <w:color w:val="000000"/>
                <w:kern w:val="0"/>
                <w:sz w:val="16"/>
                <w:szCs w:val="16"/>
                <w:lang w:eastAsia="pt-BR"/>
                <w14:ligatures w14:val="none"/>
              </w:rPr>
            </w:pPr>
            <w:r w:rsidRPr="00AA1F87">
              <w:rPr>
                <w:rFonts w:ascii="Arial" w:eastAsia="Times New Roman" w:hAnsi="Arial" w:cs="Arial"/>
                <w:i/>
                <w:iCs/>
                <w:color w:val="000000"/>
                <w:kern w:val="0"/>
                <w:sz w:val="16"/>
                <w:szCs w:val="16"/>
                <w:lang w:eastAsia="pt-BR"/>
                <w14:ligatures w14:val="none"/>
              </w:rPr>
              <w:t>-8,0%</w:t>
            </w:r>
          </w:p>
        </w:tc>
      </w:tr>
      <w:tr w:rsidR="00AA1F87" w:rsidRPr="00AA1F87" w14:paraId="000076A4" w14:textId="77777777" w:rsidTr="00AA1F87">
        <w:trPr>
          <w:trHeight w:val="227"/>
        </w:trPr>
        <w:tc>
          <w:tcPr>
            <w:tcW w:w="2368" w:type="pct"/>
            <w:tcBorders>
              <w:top w:val="nil"/>
              <w:left w:val="nil"/>
              <w:bottom w:val="nil"/>
              <w:right w:val="nil"/>
            </w:tcBorders>
            <w:shd w:val="clear" w:color="auto" w:fill="auto"/>
            <w:noWrap/>
            <w:vAlign w:val="center"/>
            <w:hideMark/>
          </w:tcPr>
          <w:p w14:paraId="2B36979F" w14:textId="77777777" w:rsidR="00AA1F87" w:rsidRPr="00AA1F87" w:rsidRDefault="00AA1F87" w:rsidP="00AA1F87">
            <w:pPr>
              <w:spacing w:after="0" w:line="240" w:lineRule="auto"/>
              <w:rPr>
                <w:rFonts w:ascii="Arial" w:eastAsia="Times New Roman" w:hAnsi="Arial" w:cs="Arial"/>
                <w:i/>
                <w:iCs/>
                <w:color w:val="000000"/>
                <w:kern w:val="0"/>
                <w:sz w:val="16"/>
                <w:szCs w:val="16"/>
                <w:lang w:eastAsia="pt-BR"/>
                <w14:ligatures w14:val="none"/>
              </w:rPr>
            </w:pPr>
            <w:r w:rsidRPr="00AA1F87">
              <w:rPr>
                <w:rFonts w:ascii="Arial" w:eastAsia="Times New Roman" w:hAnsi="Arial" w:cs="Arial"/>
                <w:i/>
                <w:iCs/>
                <w:color w:val="000000"/>
                <w:kern w:val="0"/>
                <w:sz w:val="16"/>
                <w:szCs w:val="16"/>
                <w:lang w:eastAsia="pt-BR"/>
                <w14:ligatures w14:val="none"/>
              </w:rPr>
              <w:t xml:space="preserve">  Curto Prazo</w:t>
            </w:r>
          </w:p>
        </w:tc>
        <w:tc>
          <w:tcPr>
            <w:tcW w:w="552" w:type="pct"/>
            <w:tcBorders>
              <w:top w:val="nil"/>
              <w:left w:val="nil"/>
              <w:bottom w:val="nil"/>
              <w:right w:val="nil"/>
            </w:tcBorders>
            <w:shd w:val="clear" w:color="000000" w:fill="D9E1F2"/>
            <w:noWrap/>
            <w:vAlign w:val="center"/>
            <w:hideMark/>
          </w:tcPr>
          <w:p w14:paraId="68638467" w14:textId="77777777" w:rsidR="00AA1F87" w:rsidRPr="00AA1F87" w:rsidRDefault="00AA1F87" w:rsidP="00AA1F87">
            <w:pPr>
              <w:spacing w:after="0" w:line="240" w:lineRule="auto"/>
              <w:jc w:val="right"/>
              <w:rPr>
                <w:rFonts w:ascii="Arial" w:eastAsia="Times New Roman" w:hAnsi="Arial" w:cs="Arial"/>
                <w:i/>
                <w:iCs/>
                <w:color w:val="000000"/>
                <w:kern w:val="0"/>
                <w:sz w:val="16"/>
                <w:szCs w:val="16"/>
                <w:lang w:eastAsia="pt-BR"/>
                <w14:ligatures w14:val="none"/>
              </w:rPr>
            </w:pPr>
            <w:r w:rsidRPr="00AA1F87">
              <w:rPr>
                <w:rFonts w:ascii="Arial" w:eastAsia="Times New Roman" w:hAnsi="Arial" w:cs="Arial"/>
                <w:i/>
                <w:iCs/>
                <w:color w:val="000000"/>
                <w:kern w:val="0"/>
                <w:sz w:val="16"/>
                <w:szCs w:val="16"/>
                <w:lang w:eastAsia="pt-BR"/>
                <w14:ligatures w14:val="none"/>
              </w:rPr>
              <w:t xml:space="preserve">         5.324 </w:t>
            </w:r>
          </w:p>
        </w:tc>
        <w:tc>
          <w:tcPr>
            <w:tcW w:w="552" w:type="pct"/>
            <w:tcBorders>
              <w:top w:val="nil"/>
              <w:left w:val="nil"/>
              <w:bottom w:val="nil"/>
              <w:right w:val="nil"/>
            </w:tcBorders>
            <w:shd w:val="clear" w:color="auto" w:fill="auto"/>
            <w:noWrap/>
            <w:vAlign w:val="center"/>
            <w:hideMark/>
          </w:tcPr>
          <w:p w14:paraId="4CDB54DC" w14:textId="77777777" w:rsidR="00AA1F87" w:rsidRPr="00AA1F87" w:rsidRDefault="00AA1F87" w:rsidP="00AA1F87">
            <w:pPr>
              <w:spacing w:after="0" w:line="240" w:lineRule="auto"/>
              <w:jc w:val="right"/>
              <w:rPr>
                <w:rFonts w:ascii="Arial" w:eastAsia="Times New Roman" w:hAnsi="Arial" w:cs="Arial"/>
                <w:i/>
                <w:iCs/>
                <w:color w:val="000000"/>
                <w:kern w:val="0"/>
                <w:sz w:val="16"/>
                <w:szCs w:val="16"/>
                <w:lang w:eastAsia="pt-BR"/>
                <w14:ligatures w14:val="none"/>
              </w:rPr>
            </w:pPr>
            <w:r w:rsidRPr="00AA1F87">
              <w:rPr>
                <w:rFonts w:ascii="Arial" w:eastAsia="Times New Roman" w:hAnsi="Arial" w:cs="Arial"/>
                <w:i/>
                <w:iCs/>
                <w:color w:val="000000"/>
                <w:kern w:val="0"/>
                <w:sz w:val="16"/>
                <w:szCs w:val="16"/>
                <w:lang w:eastAsia="pt-BR"/>
                <w14:ligatures w14:val="none"/>
              </w:rPr>
              <w:t xml:space="preserve">         4.788 </w:t>
            </w:r>
          </w:p>
        </w:tc>
        <w:tc>
          <w:tcPr>
            <w:tcW w:w="552" w:type="pct"/>
            <w:tcBorders>
              <w:top w:val="nil"/>
              <w:left w:val="nil"/>
              <w:bottom w:val="nil"/>
              <w:right w:val="nil"/>
            </w:tcBorders>
            <w:shd w:val="clear" w:color="auto" w:fill="auto"/>
            <w:noWrap/>
            <w:vAlign w:val="center"/>
            <w:hideMark/>
          </w:tcPr>
          <w:p w14:paraId="155355EA" w14:textId="77777777" w:rsidR="00AA1F87" w:rsidRPr="00AA1F87" w:rsidRDefault="00AA1F87" w:rsidP="00AA1F87">
            <w:pPr>
              <w:spacing w:after="0" w:line="240" w:lineRule="auto"/>
              <w:jc w:val="right"/>
              <w:rPr>
                <w:rFonts w:ascii="Arial" w:eastAsia="Times New Roman" w:hAnsi="Arial" w:cs="Arial"/>
                <w:i/>
                <w:iCs/>
                <w:color w:val="000000"/>
                <w:kern w:val="0"/>
                <w:sz w:val="16"/>
                <w:szCs w:val="16"/>
                <w:lang w:eastAsia="pt-BR"/>
                <w14:ligatures w14:val="none"/>
              </w:rPr>
            </w:pPr>
            <w:r w:rsidRPr="00AA1F87">
              <w:rPr>
                <w:rFonts w:ascii="Arial" w:eastAsia="Times New Roman" w:hAnsi="Arial" w:cs="Arial"/>
                <w:i/>
                <w:iCs/>
                <w:color w:val="000000"/>
                <w:kern w:val="0"/>
                <w:sz w:val="16"/>
                <w:szCs w:val="16"/>
                <w:lang w:eastAsia="pt-BR"/>
                <w14:ligatures w14:val="none"/>
              </w:rPr>
              <w:t xml:space="preserve">         4.246 </w:t>
            </w:r>
          </w:p>
        </w:tc>
        <w:tc>
          <w:tcPr>
            <w:tcW w:w="86" w:type="pct"/>
            <w:tcBorders>
              <w:top w:val="nil"/>
              <w:left w:val="nil"/>
              <w:bottom w:val="nil"/>
              <w:right w:val="nil"/>
            </w:tcBorders>
            <w:shd w:val="clear" w:color="auto" w:fill="auto"/>
            <w:noWrap/>
            <w:vAlign w:val="center"/>
            <w:hideMark/>
          </w:tcPr>
          <w:p w14:paraId="3913AB41" w14:textId="77777777" w:rsidR="00AA1F87" w:rsidRPr="00AA1F87" w:rsidRDefault="00AA1F87" w:rsidP="00AA1F87">
            <w:pPr>
              <w:spacing w:after="0" w:line="240" w:lineRule="auto"/>
              <w:jc w:val="right"/>
              <w:rPr>
                <w:rFonts w:ascii="Arial" w:eastAsia="Times New Roman" w:hAnsi="Arial" w:cs="Arial"/>
                <w:i/>
                <w:iCs/>
                <w:color w:val="000000"/>
                <w:kern w:val="0"/>
                <w:sz w:val="16"/>
                <w:szCs w:val="16"/>
                <w:lang w:eastAsia="pt-BR"/>
                <w14:ligatures w14:val="none"/>
              </w:rPr>
            </w:pPr>
          </w:p>
        </w:tc>
        <w:tc>
          <w:tcPr>
            <w:tcW w:w="446" w:type="pct"/>
            <w:tcBorders>
              <w:top w:val="nil"/>
              <w:left w:val="nil"/>
              <w:bottom w:val="nil"/>
              <w:right w:val="nil"/>
            </w:tcBorders>
            <w:shd w:val="clear" w:color="auto" w:fill="auto"/>
            <w:noWrap/>
            <w:vAlign w:val="center"/>
            <w:hideMark/>
          </w:tcPr>
          <w:p w14:paraId="429DADC3" w14:textId="77777777" w:rsidR="00AA1F87" w:rsidRPr="00AA1F87" w:rsidRDefault="00AA1F87" w:rsidP="00AA1F87">
            <w:pPr>
              <w:spacing w:after="0" w:line="240" w:lineRule="auto"/>
              <w:jc w:val="right"/>
              <w:rPr>
                <w:rFonts w:ascii="Arial" w:eastAsia="Times New Roman" w:hAnsi="Arial" w:cs="Arial"/>
                <w:i/>
                <w:iCs/>
                <w:color w:val="000000"/>
                <w:kern w:val="0"/>
                <w:sz w:val="16"/>
                <w:szCs w:val="16"/>
                <w:lang w:eastAsia="pt-BR"/>
                <w14:ligatures w14:val="none"/>
              </w:rPr>
            </w:pPr>
            <w:r w:rsidRPr="00AA1F87">
              <w:rPr>
                <w:rFonts w:ascii="Arial" w:eastAsia="Times New Roman" w:hAnsi="Arial" w:cs="Arial"/>
                <w:i/>
                <w:iCs/>
                <w:color w:val="000000"/>
                <w:kern w:val="0"/>
                <w:sz w:val="16"/>
                <w:szCs w:val="16"/>
                <w:lang w:eastAsia="pt-BR"/>
                <w14:ligatures w14:val="none"/>
              </w:rPr>
              <w:t>11,2%</w:t>
            </w:r>
          </w:p>
        </w:tc>
        <w:tc>
          <w:tcPr>
            <w:tcW w:w="444" w:type="pct"/>
            <w:tcBorders>
              <w:top w:val="nil"/>
              <w:left w:val="nil"/>
              <w:bottom w:val="nil"/>
              <w:right w:val="nil"/>
            </w:tcBorders>
            <w:shd w:val="clear" w:color="auto" w:fill="auto"/>
            <w:noWrap/>
            <w:vAlign w:val="center"/>
            <w:hideMark/>
          </w:tcPr>
          <w:p w14:paraId="361FE0D1" w14:textId="77777777" w:rsidR="00AA1F87" w:rsidRPr="00AA1F87" w:rsidRDefault="00AA1F87" w:rsidP="00AA1F87">
            <w:pPr>
              <w:spacing w:after="0" w:line="240" w:lineRule="auto"/>
              <w:jc w:val="right"/>
              <w:rPr>
                <w:rFonts w:ascii="Arial" w:eastAsia="Times New Roman" w:hAnsi="Arial" w:cs="Arial"/>
                <w:i/>
                <w:iCs/>
                <w:color w:val="000000"/>
                <w:kern w:val="0"/>
                <w:sz w:val="16"/>
                <w:szCs w:val="16"/>
                <w:lang w:eastAsia="pt-BR"/>
                <w14:ligatures w14:val="none"/>
              </w:rPr>
            </w:pPr>
            <w:r w:rsidRPr="00AA1F87">
              <w:rPr>
                <w:rFonts w:ascii="Arial" w:eastAsia="Times New Roman" w:hAnsi="Arial" w:cs="Arial"/>
                <w:i/>
                <w:iCs/>
                <w:color w:val="000000"/>
                <w:kern w:val="0"/>
                <w:sz w:val="16"/>
                <w:szCs w:val="16"/>
                <w:lang w:eastAsia="pt-BR"/>
                <w14:ligatures w14:val="none"/>
              </w:rPr>
              <w:t>25,4%</w:t>
            </w:r>
          </w:p>
        </w:tc>
      </w:tr>
      <w:tr w:rsidR="00AA1F87" w:rsidRPr="00AA1F87" w14:paraId="6A9EFE7C" w14:textId="77777777" w:rsidTr="00AA1F87">
        <w:trPr>
          <w:trHeight w:val="227"/>
        </w:trPr>
        <w:tc>
          <w:tcPr>
            <w:tcW w:w="2368" w:type="pct"/>
            <w:tcBorders>
              <w:top w:val="nil"/>
              <w:left w:val="nil"/>
              <w:bottom w:val="nil"/>
              <w:right w:val="nil"/>
            </w:tcBorders>
            <w:shd w:val="clear" w:color="auto" w:fill="auto"/>
            <w:noWrap/>
            <w:vAlign w:val="center"/>
            <w:hideMark/>
          </w:tcPr>
          <w:p w14:paraId="2CD41459" w14:textId="77777777" w:rsidR="00AA1F87" w:rsidRPr="00AA1F87" w:rsidRDefault="00AA1F87" w:rsidP="00AA1F87">
            <w:pPr>
              <w:spacing w:after="0" w:line="240" w:lineRule="auto"/>
              <w:rPr>
                <w:rFonts w:ascii="Arial" w:eastAsia="Times New Roman" w:hAnsi="Arial" w:cs="Arial"/>
                <w:i/>
                <w:iCs/>
                <w:color w:val="000000"/>
                <w:kern w:val="0"/>
                <w:sz w:val="16"/>
                <w:szCs w:val="16"/>
                <w:lang w:eastAsia="pt-BR"/>
                <w14:ligatures w14:val="none"/>
              </w:rPr>
            </w:pPr>
            <w:r w:rsidRPr="00AA1F87">
              <w:rPr>
                <w:rFonts w:ascii="Arial" w:eastAsia="Times New Roman" w:hAnsi="Arial" w:cs="Arial"/>
                <w:i/>
                <w:iCs/>
                <w:color w:val="000000"/>
                <w:kern w:val="0"/>
                <w:sz w:val="16"/>
                <w:szCs w:val="16"/>
                <w:lang w:eastAsia="pt-BR"/>
                <w14:ligatures w14:val="none"/>
              </w:rPr>
              <w:t xml:space="preserve">  Longo Prazo</w:t>
            </w:r>
          </w:p>
        </w:tc>
        <w:tc>
          <w:tcPr>
            <w:tcW w:w="552" w:type="pct"/>
            <w:tcBorders>
              <w:top w:val="nil"/>
              <w:left w:val="nil"/>
              <w:bottom w:val="nil"/>
              <w:right w:val="nil"/>
            </w:tcBorders>
            <w:shd w:val="clear" w:color="000000" w:fill="D9E1F2"/>
            <w:noWrap/>
            <w:vAlign w:val="center"/>
            <w:hideMark/>
          </w:tcPr>
          <w:p w14:paraId="5F1D5899" w14:textId="77777777" w:rsidR="00AA1F87" w:rsidRPr="00AA1F87" w:rsidRDefault="00AA1F87" w:rsidP="00AA1F87">
            <w:pPr>
              <w:spacing w:after="0" w:line="240" w:lineRule="auto"/>
              <w:jc w:val="right"/>
              <w:rPr>
                <w:rFonts w:ascii="Arial" w:eastAsia="Times New Roman" w:hAnsi="Arial" w:cs="Arial"/>
                <w:i/>
                <w:iCs/>
                <w:color w:val="000000"/>
                <w:kern w:val="0"/>
                <w:sz w:val="16"/>
                <w:szCs w:val="16"/>
                <w:lang w:eastAsia="pt-BR"/>
                <w14:ligatures w14:val="none"/>
              </w:rPr>
            </w:pPr>
            <w:r w:rsidRPr="00AA1F87">
              <w:rPr>
                <w:rFonts w:ascii="Arial" w:eastAsia="Times New Roman" w:hAnsi="Arial" w:cs="Arial"/>
                <w:i/>
                <w:iCs/>
                <w:color w:val="000000"/>
                <w:kern w:val="0"/>
                <w:sz w:val="16"/>
                <w:szCs w:val="16"/>
                <w:lang w:eastAsia="pt-BR"/>
                <w14:ligatures w14:val="none"/>
              </w:rPr>
              <w:t xml:space="preserve">         8.797 </w:t>
            </w:r>
          </w:p>
        </w:tc>
        <w:tc>
          <w:tcPr>
            <w:tcW w:w="552" w:type="pct"/>
            <w:tcBorders>
              <w:top w:val="nil"/>
              <w:left w:val="nil"/>
              <w:bottom w:val="nil"/>
              <w:right w:val="nil"/>
            </w:tcBorders>
            <w:shd w:val="clear" w:color="auto" w:fill="auto"/>
            <w:noWrap/>
            <w:vAlign w:val="center"/>
            <w:hideMark/>
          </w:tcPr>
          <w:p w14:paraId="03DCCB0A" w14:textId="77777777" w:rsidR="00AA1F87" w:rsidRPr="00AA1F87" w:rsidRDefault="00AA1F87" w:rsidP="00AA1F87">
            <w:pPr>
              <w:spacing w:after="0" w:line="240" w:lineRule="auto"/>
              <w:jc w:val="right"/>
              <w:rPr>
                <w:rFonts w:ascii="Arial" w:eastAsia="Times New Roman" w:hAnsi="Arial" w:cs="Arial"/>
                <w:i/>
                <w:iCs/>
                <w:color w:val="000000"/>
                <w:kern w:val="0"/>
                <w:sz w:val="16"/>
                <w:szCs w:val="16"/>
                <w:lang w:eastAsia="pt-BR"/>
                <w14:ligatures w14:val="none"/>
              </w:rPr>
            </w:pPr>
            <w:r w:rsidRPr="00AA1F87">
              <w:rPr>
                <w:rFonts w:ascii="Arial" w:eastAsia="Times New Roman" w:hAnsi="Arial" w:cs="Arial"/>
                <w:i/>
                <w:iCs/>
                <w:color w:val="000000"/>
                <w:kern w:val="0"/>
                <w:sz w:val="16"/>
                <w:szCs w:val="16"/>
                <w:lang w:eastAsia="pt-BR"/>
                <w14:ligatures w14:val="none"/>
              </w:rPr>
              <w:t xml:space="preserve">      11.869 </w:t>
            </w:r>
          </w:p>
        </w:tc>
        <w:tc>
          <w:tcPr>
            <w:tcW w:w="552" w:type="pct"/>
            <w:tcBorders>
              <w:top w:val="nil"/>
              <w:left w:val="nil"/>
              <w:bottom w:val="nil"/>
              <w:right w:val="nil"/>
            </w:tcBorders>
            <w:shd w:val="clear" w:color="auto" w:fill="auto"/>
            <w:noWrap/>
            <w:vAlign w:val="center"/>
            <w:hideMark/>
          </w:tcPr>
          <w:p w14:paraId="4865EFDC" w14:textId="77777777" w:rsidR="00AA1F87" w:rsidRPr="00AA1F87" w:rsidRDefault="00AA1F87" w:rsidP="00AA1F87">
            <w:pPr>
              <w:spacing w:after="0" w:line="240" w:lineRule="auto"/>
              <w:jc w:val="right"/>
              <w:rPr>
                <w:rFonts w:ascii="Arial" w:eastAsia="Times New Roman" w:hAnsi="Arial" w:cs="Arial"/>
                <w:i/>
                <w:iCs/>
                <w:color w:val="000000"/>
                <w:kern w:val="0"/>
                <w:sz w:val="16"/>
                <w:szCs w:val="16"/>
                <w:lang w:eastAsia="pt-BR"/>
                <w14:ligatures w14:val="none"/>
              </w:rPr>
            </w:pPr>
            <w:r w:rsidRPr="00AA1F87">
              <w:rPr>
                <w:rFonts w:ascii="Arial" w:eastAsia="Times New Roman" w:hAnsi="Arial" w:cs="Arial"/>
                <w:i/>
                <w:iCs/>
                <w:color w:val="000000"/>
                <w:kern w:val="0"/>
                <w:sz w:val="16"/>
                <w:szCs w:val="16"/>
                <w:lang w:eastAsia="pt-BR"/>
                <w14:ligatures w14:val="none"/>
              </w:rPr>
              <w:t xml:space="preserve">      11.106 </w:t>
            </w:r>
          </w:p>
        </w:tc>
        <w:tc>
          <w:tcPr>
            <w:tcW w:w="86" w:type="pct"/>
            <w:tcBorders>
              <w:top w:val="nil"/>
              <w:left w:val="nil"/>
              <w:bottom w:val="nil"/>
              <w:right w:val="nil"/>
            </w:tcBorders>
            <w:shd w:val="clear" w:color="auto" w:fill="auto"/>
            <w:noWrap/>
            <w:vAlign w:val="center"/>
            <w:hideMark/>
          </w:tcPr>
          <w:p w14:paraId="09AFB1BA" w14:textId="77777777" w:rsidR="00AA1F87" w:rsidRPr="00AA1F87" w:rsidRDefault="00AA1F87" w:rsidP="00AA1F87">
            <w:pPr>
              <w:spacing w:after="0" w:line="240" w:lineRule="auto"/>
              <w:jc w:val="right"/>
              <w:rPr>
                <w:rFonts w:ascii="Arial" w:eastAsia="Times New Roman" w:hAnsi="Arial" w:cs="Arial"/>
                <w:i/>
                <w:iCs/>
                <w:color w:val="000000"/>
                <w:kern w:val="0"/>
                <w:sz w:val="16"/>
                <w:szCs w:val="16"/>
                <w:lang w:eastAsia="pt-BR"/>
                <w14:ligatures w14:val="none"/>
              </w:rPr>
            </w:pPr>
          </w:p>
        </w:tc>
        <w:tc>
          <w:tcPr>
            <w:tcW w:w="446" w:type="pct"/>
            <w:tcBorders>
              <w:top w:val="nil"/>
              <w:left w:val="nil"/>
              <w:bottom w:val="nil"/>
              <w:right w:val="nil"/>
            </w:tcBorders>
            <w:shd w:val="clear" w:color="auto" w:fill="auto"/>
            <w:noWrap/>
            <w:vAlign w:val="center"/>
            <w:hideMark/>
          </w:tcPr>
          <w:p w14:paraId="3441E824" w14:textId="77777777" w:rsidR="00AA1F87" w:rsidRPr="00AA1F87" w:rsidRDefault="00AA1F87" w:rsidP="00AA1F87">
            <w:pPr>
              <w:spacing w:after="0" w:line="240" w:lineRule="auto"/>
              <w:jc w:val="right"/>
              <w:rPr>
                <w:rFonts w:ascii="Arial" w:eastAsia="Times New Roman" w:hAnsi="Arial" w:cs="Arial"/>
                <w:i/>
                <w:iCs/>
                <w:color w:val="000000"/>
                <w:kern w:val="0"/>
                <w:sz w:val="16"/>
                <w:szCs w:val="16"/>
                <w:lang w:eastAsia="pt-BR"/>
                <w14:ligatures w14:val="none"/>
              </w:rPr>
            </w:pPr>
            <w:r w:rsidRPr="00AA1F87">
              <w:rPr>
                <w:rFonts w:ascii="Arial" w:eastAsia="Times New Roman" w:hAnsi="Arial" w:cs="Arial"/>
                <w:i/>
                <w:iCs/>
                <w:color w:val="000000"/>
                <w:kern w:val="0"/>
                <w:sz w:val="16"/>
                <w:szCs w:val="16"/>
                <w:lang w:eastAsia="pt-BR"/>
                <w14:ligatures w14:val="none"/>
              </w:rPr>
              <w:t>-25,9%</w:t>
            </w:r>
          </w:p>
        </w:tc>
        <w:tc>
          <w:tcPr>
            <w:tcW w:w="444" w:type="pct"/>
            <w:tcBorders>
              <w:top w:val="nil"/>
              <w:left w:val="nil"/>
              <w:bottom w:val="nil"/>
              <w:right w:val="nil"/>
            </w:tcBorders>
            <w:shd w:val="clear" w:color="auto" w:fill="auto"/>
            <w:noWrap/>
            <w:vAlign w:val="center"/>
            <w:hideMark/>
          </w:tcPr>
          <w:p w14:paraId="5F737010" w14:textId="77777777" w:rsidR="00AA1F87" w:rsidRPr="00AA1F87" w:rsidRDefault="00AA1F87" w:rsidP="00AA1F87">
            <w:pPr>
              <w:spacing w:after="0" w:line="240" w:lineRule="auto"/>
              <w:jc w:val="right"/>
              <w:rPr>
                <w:rFonts w:ascii="Arial" w:eastAsia="Times New Roman" w:hAnsi="Arial" w:cs="Arial"/>
                <w:i/>
                <w:iCs/>
                <w:color w:val="000000"/>
                <w:kern w:val="0"/>
                <w:sz w:val="16"/>
                <w:szCs w:val="16"/>
                <w:lang w:eastAsia="pt-BR"/>
                <w14:ligatures w14:val="none"/>
              </w:rPr>
            </w:pPr>
            <w:r w:rsidRPr="00AA1F87">
              <w:rPr>
                <w:rFonts w:ascii="Arial" w:eastAsia="Times New Roman" w:hAnsi="Arial" w:cs="Arial"/>
                <w:i/>
                <w:iCs/>
                <w:color w:val="000000"/>
                <w:kern w:val="0"/>
                <w:sz w:val="16"/>
                <w:szCs w:val="16"/>
                <w:lang w:eastAsia="pt-BR"/>
                <w14:ligatures w14:val="none"/>
              </w:rPr>
              <w:t>-20,8%</w:t>
            </w:r>
          </w:p>
        </w:tc>
      </w:tr>
      <w:tr w:rsidR="00AA1F87" w:rsidRPr="00AA1F87" w14:paraId="471C1ABB" w14:textId="77777777" w:rsidTr="00AA1F87">
        <w:trPr>
          <w:trHeight w:val="227"/>
        </w:trPr>
        <w:tc>
          <w:tcPr>
            <w:tcW w:w="2368" w:type="pct"/>
            <w:tcBorders>
              <w:top w:val="nil"/>
              <w:left w:val="nil"/>
              <w:bottom w:val="nil"/>
              <w:right w:val="nil"/>
            </w:tcBorders>
            <w:shd w:val="clear" w:color="auto" w:fill="auto"/>
            <w:noWrap/>
            <w:vAlign w:val="center"/>
            <w:hideMark/>
          </w:tcPr>
          <w:p w14:paraId="7095D1BB" w14:textId="77777777" w:rsidR="00AA1F87" w:rsidRPr="00AA1F87" w:rsidRDefault="00AA1F87" w:rsidP="00AA1F87">
            <w:pPr>
              <w:spacing w:after="0" w:line="240" w:lineRule="auto"/>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Credores por Acordos Judiciais - PREVI e FUNCEF</w:t>
            </w:r>
          </w:p>
        </w:tc>
        <w:tc>
          <w:tcPr>
            <w:tcW w:w="552" w:type="pct"/>
            <w:tcBorders>
              <w:top w:val="nil"/>
              <w:left w:val="nil"/>
              <w:bottom w:val="nil"/>
              <w:right w:val="nil"/>
            </w:tcBorders>
            <w:shd w:val="clear" w:color="000000" w:fill="D9E1F2"/>
            <w:noWrap/>
            <w:vAlign w:val="center"/>
            <w:hideMark/>
          </w:tcPr>
          <w:p w14:paraId="3E9BE859"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 xml:space="preserve">     132.440 </w:t>
            </w:r>
          </w:p>
        </w:tc>
        <w:tc>
          <w:tcPr>
            <w:tcW w:w="552" w:type="pct"/>
            <w:tcBorders>
              <w:top w:val="nil"/>
              <w:left w:val="nil"/>
              <w:bottom w:val="nil"/>
              <w:right w:val="nil"/>
            </w:tcBorders>
            <w:shd w:val="clear" w:color="auto" w:fill="auto"/>
            <w:noWrap/>
            <w:vAlign w:val="center"/>
            <w:hideMark/>
          </w:tcPr>
          <w:p w14:paraId="7E2D6A15"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 xml:space="preserve">     154.423 </w:t>
            </w:r>
          </w:p>
        </w:tc>
        <w:tc>
          <w:tcPr>
            <w:tcW w:w="552" w:type="pct"/>
            <w:tcBorders>
              <w:top w:val="nil"/>
              <w:left w:val="nil"/>
              <w:bottom w:val="nil"/>
              <w:right w:val="nil"/>
            </w:tcBorders>
            <w:shd w:val="clear" w:color="auto" w:fill="auto"/>
            <w:noWrap/>
            <w:vAlign w:val="center"/>
            <w:hideMark/>
          </w:tcPr>
          <w:p w14:paraId="2F4B99F9"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 xml:space="preserve">     171.808 </w:t>
            </w:r>
          </w:p>
        </w:tc>
        <w:tc>
          <w:tcPr>
            <w:tcW w:w="86" w:type="pct"/>
            <w:tcBorders>
              <w:top w:val="nil"/>
              <w:left w:val="nil"/>
              <w:bottom w:val="nil"/>
              <w:right w:val="nil"/>
            </w:tcBorders>
            <w:shd w:val="clear" w:color="auto" w:fill="auto"/>
            <w:noWrap/>
            <w:vAlign w:val="center"/>
            <w:hideMark/>
          </w:tcPr>
          <w:p w14:paraId="025EA021"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p>
        </w:tc>
        <w:tc>
          <w:tcPr>
            <w:tcW w:w="446" w:type="pct"/>
            <w:tcBorders>
              <w:top w:val="nil"/>
              <w:left w:val="nil"/>
              <w:bottom w:val="nil"/>
              <w:right w:val="nil"/>
            </w:tcBorders>
            <w:shd w:val="clear" w:color="auto" w:fill="auto"/>
            <w:noWrap/>
            <w:vAlign w:val="center"/>
            <w:hideMark/>
          </w:tcPr>
          <w:p w14:paraId="0331CE16"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-14,2%</w:t>
            </w:r>
          </w:p>
        </w:tc>
        <w:tc>
          <w:tcPr>
            <w:tcW w:w="444" w:type="pct"/>
            <w:tcBorders>
              <w:top w:val="nil"/>
              <w:left w:val="nil"/>
              <w:bottom w:val="nil"/>
              <w:right w:val="nil"/>
            </w:tcBorders>
            <w:shd w:val="clear" w:color="auto" w:fill="auto"/>
            <w:noWrap/>
            <w:vAlign w:val="center"/>
            <w:hideMark/>
          </w:tcPr>
          <w:p w14:paraId="28BBC909"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-22,9%</w:t>
            </w:r>
          </w:p>
        </w:tc>
      </w:tr>
      <w:tr w:rsidR="00AA1F87" w:rsidRPr="00AA1F87" w14:paraId="06050E81" w14:textId="77777777" w:rsidTr="00AA1F87">
        <w:trPr>
          <w:trHeight w:val="227"/>
        </w:trPr>
        <w:tc>
          <w:tcPr>
            <w:tcW w:w="2368" w:type="pct"/>
            <w:tcBorders>
              <w:top w:val="nil"/>
              <w:left w:val="nil"/>
              <w:bottom w:val="nil"/>
              <w:right w:val="nil"/>
            </w:tcBorders>
            <w:shd w:val="clear" w:color="auto" w:fill="auto"/>
            <w:noWrap/>
            <w:vAlign w:val="center"/>
            <w:hideMark/>
          </w:tcPr>
          <w:p w14:paraId="1C3A6089" w14:textId="77777777" w:rsidR="00AA1F87" w:rsidRPr="00AA1F87" w:rsidRDefault="00AA1F87" w:rsidP="00AA1F87">
            <w:pPr>
              <w:spacing w:after="0" w:line="240" w:lineRule="auto"/>
              <w:rPr>
                <w:rFonts w:ascii="Arial" w:eastAsia="Times New Roman" w:hAnsi="Arial" w:cs="Arial"/>
                <w:i/>
                <w:iCs/>
                <w:color w:val="000000"/>
                <w:kern w:val="0"/>
                <w:sz w:val="16"/>
                <w:szCs w:val="16"/>
                <w:lang w:eastAsia="pt-BR"/>
                <w14:ligatures w14:val="none"/>
              </w:rPr>
            </w:pPr>
            <w:r w:rsidRPr="00AA1F87">
              <w:rPr>
                <w:rFonts w:ascii="Arial" w:eastAsia="Times New Roman" w:hAnsi="Arial" w:cs="Arial"/>
                <w:i/>
                <w:iCs/>
                <w:color w:val="000000"/>
                <w:kern w:val="0"/>
                <w:sz w:val="16"/>
                <w:szCs w:val="16"/>
                <w:lang w:eastAsia="pt-BR"/>
                <w14:ligatures w14:val="none"/>
              </w:rPr>
              <w:t xml:space="preserve">  Curto Prazo</w:t>
            </w:r>
          </w:p>
        </w:tc>
        <w:tc>
          <w:tcPr>
            <w:tcW w:w="552" w:type="pct"/>
            <w:tcBorders>
              <w:top w:val="nil"/>
              <w:left w:val="nil"/>
              <w:bottom w:val="nil"/>
              <w:right w:val="nil"/>
            </w:tcBorders>
            <w:shd w:val="clear" w:color="000000" w:fill="D9E1F2"/>
            <w:noWrap/>
            <w:vAlign w:val="center"/>
            <w:hideMark/>
          </w:tcPr>
          <w:p w14:paraId="06963121" w14:textId="77777777" w:rsidR="00AA1F87" w:rsidRPr="00AA1F87" w:rsidRDefault="00AA1F87" w:rsidP="00AA1F87">
            <w:pPr>
              <w:spacing w:after="0" w:line="240" w:lineRule="auto"/>
              <w:jc w:val="right"/>
              <w:rPr>
                <w:rFonts w:ascii="Arial" w:eastAsia="Times New Roman" w:hAnsi="Arial" w:cs="Arial"/>
                <w:i/>
                <w:iCs/>
                <w:color w:val="000000"/>
                <w:kern w:val="0"/>
                <w:sz w:val="16"/>
                <w:szCs w:val="16"/>
                <w:lang w:eastAsia="pt-BR"/>
                <w14:ligatures w14:val="none"/>
              </w:rPr>
            </w:pPr>
            <w:r w:rsidRPr="00AA1F87">
              <w:rPr>
                <w:rFonts w:ascii="Arial" w:eastAsia="Times New Roman" w:hAnsi="Arial" w:cs="Arial"/>
                <w:i/>
                <w:iCs/>
                <w:color w:val="000000"/>
                <w:kern w:val="0"/>
                <w:sz w:val="16"/>
                <w:szCs w:val="16"/>
                <w:lang w:eastAsia="pt-BR"/>
                <w14:ligatures w14:val="none"/>
              </w:rPr>
              <w:t xml:space="preserve">      16.436 </w:t>
            </w:r>
          </w:p>
        </w:tc>
        <w:tc>
          <w:tcPr>
            <w:tcW w:w="552" w:type="pct"/>
            <w:tcBorders>
              <w:top w:val="nil"/>
              <w:left w:val="nil"/>
              <w:bottom w:val="nil"/>
              <w:right w:val="nil"/>
            </w:tcBorders>
            <w:shd w:val="clear" w:color="auto" w:fill="auto"/>
            <w:noWrap/>
            <w:vAlign w:val="center"/>
            <w:hideMark/>
          </w:tcPr>
          <w:p w14:paraId="4AE76BCC" w14:textId="77777777" w:rsidR="00AA1F87" w:rsidRPr="00AA1F87" w:rsidRDefault="00AA1F87" w:rsidP="00AA1F87">
            <w:pPr>
              <w:spacing w:after="0" w:line="240" w:lineRule="auto"/>
              <w:jc w:val="right"/>
              <w:rPr>
                <w:rFonts w:ascii="Arial" w:eastAsia="Times New Roman" w:hAnsi="Arial" w:cs="Arial"/>
                <w:i/>
                <w:iCs/>
                <w:color w:val="000000"/>
                <w:kern w:val="0"/>
                <w:sz w:val="16"/>
                <w:szCs w:val="16"/>
                <w:lang w:eastAsia="pt-BR"/>
                <w14:ligatures w14:val="none"/>
              </w:rPr>
            </w:pPr>
            <w:r w:rsidRPr="00AA1F87">
              <w:rPr>
                <w:rFonts w:ascii="Arial" w:eastAsia="Times New Roman" w:hAnsi="Arial" w:cs="Arial"/>
                <w:i/>
                <w:iCs/>
                <w:color w:val="000000"/>
                <w:kern w:val="0"/>
                <w:sz w:val="16"/>
                <w:szCs w:val="16"/>
                <w:lang w:eastAsia="pt-BR"/>
                <w14:ligatures w14:val="none"/>
              </w:rPr>
              <w:t xml:space="preserve">      17.170 </w:t>
            </w:r>
          </w:p>
        </w:tc>
        <w:tc>
          <w:tcPr>
            <w:tcW w:w="552" w:type="pct"/>
            <w:tcBorders>
              <w:top w:val="nil"/>
              <w:left w:val="nil"/>
              <w:bottom w:val="nil"/>
              <w:right w:val="nil"/>
            </w:tcBorders>
            <w:shd w:val="clear" w:color="auto" w:fill="auto"/>
            <w:noWrap/>
            <w:vAlign w:val="center"/>
            <w:hideMark/>
          </w:tcPr>
          <w:p w14:paraId="2B1F3C6A" w14:textId="77777777" w:rsidR="00AA1F87" w:rsidRPr="00AA1F87" w:rsidRDefault="00AA1F87" w:rsidP="00AA1F87">
            <w:pPr>
              <w:spacing w:after="0" w:line="240" w:lineRule="auto"/>
              <w:jc w:val="right"/>
              <w:rPr>
                <w:rFonts w:ascii="Arial" w:eastAsia="Times New Roman" w:hAnsi="Arial" w:cs="Arial"/>
                <w:i/>
                <w:iCs/>
                <w:color w:val="000000"/>
                <w:kern w:val="0"/>
                <w:sz w:val="16"/>
                <w:szCs w:val="16"/>
                <w:lang w:eastAsia="pt-BR"/>
                <w14:ligatures w14:val="none"/>
              </w:rPr>
            </w:pPr>
            <w:r w:rsidRPr="00AA1F87">
              <w:rPr>
                <w:rFonts w:ascii="Arial" w:eastAsia="Times New Roman" w:hAnsi="Arial" w:cs="Arial"/>
                <w:i/>
                <w:iCs/>
                <w:color w:val="000000"/>
                <w:kern w:val="0"/>
                <w:sz w:val="16"/>
                <w:szCs w:val="16"/>
                <w:lang w:eastAsia="pt-BR"/>
                <w14:ligatures w14:val="none"/>
              </w:rPr>
              <w:t xml:space="preserve">      17.564 </w:t>
            </w:r>
          </w:p>
        </w:tc>
        <w:tc>
          <w:tcPr>
            <w:tcW w:w="86" w:type="pct"/>
            <w:tcBorders>
              <w:top w:val="nil"/>
              <w:left w:val="nil"/>
              <w:bottom w:val="nil"/>
              <w:right w:val="nil"/>
            </w:tcBorders>
            <w:shd w:val="clear" w:color="auto" w:fill="auto"/>
            <w:noWrap/>
            <w:vAlign w:val="center"/>
            <w:hideMark/>
          </w:tcPr>
          <w:p w14:paraId="685D7709" w14:textId="77777777" w:rsidR="00AA1F87" w:rsidRPr="00AA1F87" w:rsidRDefault="00AA1F87" w:rsidP="00AA1F87">
            <w:pPr>
              <w:spacing w:after="0" w:line="240" w:lineRule="auto"/>
              <w:jc w:val="right"/>
              <w:rPr>
                <w:rFonts w:ascii="Arial" w:eastAsia="Times New Roman" w:hAnsi="Arial" w:cs="Arial"/>
                <w:i/>
                <w:iCs/>
                <w:color w:val="000000"/>
                <w:kern w:val="0"/>
                <w:sz w:val="16"/>
                <w:szCs w:val="16"/>
                <w:lang w:eastAsia="pt-BR"/>
                <w14:ligatures w14:val="none"/>
              </w:rPr>
            </w:pPr>
          </w:p>
        </w:tc>
        <w:tc>
          <w:tcPr>
            <w:tcW w:w="446" w:type="pct"/>
            <w:tcBorders>
              <w:top w:val="nil"/>
              <w:left w:val="nil"/>
              <w:bottom w:val="nil"/>
              <w:right w:val="nil"/>
            </w:tcBorders>
            <w:shd w:val="clear" w:color="auto" w:fill="auto"/>
            <w:noWrap/>
            <w:vAlign w:val="center"/>
            <w:hideMark/>
          </w:tcPr>
          <w:p w14:paraId="64AC8DE0" w14:textId="77777777" w:rsidR="00AA1F87" w:rsidRPr="00AA1F87" w:rsidRDefault="00AA1F87" w:rsidP="00AA1F87">
            <w:pPr>
              <w:spacing w:after="0" w:line="240" w:lineRule="auto"/>
              <w:jc w:val="right"/>
              <w:rPr>
                <w:rFonts w:ascii="Arial" w:eastAsia="Times New Roman" w:hAnsi="Arial" w:cs="Arial"/>
                <w:i/>
                <w:iCs/>
                <w:color w:val="000000"/>
                <w:kern w:val="0"/>
                <w:sz w:val="16"/>
                <w:szCs w:val="16"/>
                <w:lang w:eastAsia="pt-BR"/>
                <w14:ligatures w14:val="none"/>
              </w:rPr>
            </w:pPr>
            <w:r w:rsidRPr="00AA1F87">
              <w:rPr>
                <w:rFonts w:ascii="Arial" w:eastAsia="Times New Roman" w:hAnsi="Arial" w:cs="Arial"/>
                <w:i/>
                <w:iCs/>
                <w:color w:val="000000"/>
                <w:kern w:val="0"/>
                <w:sz w:val="16"/>
                <w:szCs w:val="16"/>
                <w:lang w:eastAsia="pt-BR"/>
                <w14:ligatures w14:val="none"/>
              </w:rPr>
              <w:t>-4,3%</w:t>
            </w:r>
          </w:p>
        </w:tc>
        <w:tc>
          <w:tcPr>
            <w:tcW w:w="444" w:type="pct"/>
            <w:tcBorders>
              <w:top w:val="nil"/>
              <w:left w:val="nil"/>
              <w:bottom w:val="nil"/>
              <w:right w:val="nil"/>
            </w:tcBorders>
            <w:shd w:val="clear" w:color="auto" w:fill="auto"/>
            <w:noWrap/>
            <w:vAlign w:val="center"/>
            <w:hideMark/>
          </w:tcPr>
          <w:p w14:paraId="4ACBC302" w14:textId="77777777" w:rsidR="00AA1F87" w:rsidRPr="00AA1F87" w:rsidRDefault="00AA1F87" w:rsidP="00AA1F87">
            <w:pPr>
              <w:spacing w:after="0" w:line="240" w:lineRule="auto"/>
              <w:jc w:val="right"/>
              <w:rPr>
                <w:rFonts w:ascii="Arial" w:eastAsia="Times New Roman" w:hAnsi="Arial" w:cs="Arial"/>
                <w:i/>
                <w:iCs/>
                <w:color w:val="000000"/>
                <w:kern w:val="0"/>
                <w:sz w:val="16"/>
                <w:szCs w:val="16"/>
                <w:lang w:eastAsia="pt-BR"/>
                <w14:ligatures w14:val="none"/>
              </w:rPr>
            </w:pPr>
            <w:r w:rsidRPr="00AA1F87">
              <w:rPr>
                <w:rFonts w:ascii="Arial" w:eastAsia="Times New Roman" w:hAnsi="Arial" w:cs="Arial"/>
                <w:i/>
                <w:iCs/>
                <w:color w:val="000000"/>
                <w:kern w:val="0"/>
                <w:sz w:val="16"/>
                <w:szCs w:val="16"/>
                <w:lang w:eastAsia="pt-BR"/>
                <w14:ligatures w14:val="none"/>
              </w:rPr>
              <w:t>-6,4%</w:t>
            </w:r>
          </w:p>
        </w:tc>
      </w:tr>
      <w:tr w:rsidR="00AA1F87" w:rsidRPr="00AA1F87" w14:paraId="258C72ED" w14:textId="77777777" w:rsidTr="00AA1F87">
        <w:trPr>
          <w:trHeight w:val="227"/>
        </w:trPr>
        <w:tc>
          <w:tcPr>
            <w:tcW w:w="2368" w:type="pct"/>
            <w:tcBorders>
              <w:top w:val="nil"/>
              <w:left w:val="nil"/>
              <w:bottom w:val="nil"/>
              <w:right w:val="nil"/>
            </w:tcBorders>
            <w:shd w:val="clear" w:color="auto" w:fill="auto"/>
            <w:noWrap/>
            <w:vAlign w:val="center"/>
            <w:hideMark/>
          </w:tcPr>
          <w:p w14:paraId="0B0A1820" w14:textId="77777777" w:rsidR="00AA1F87" w:rsidRPr="00AA1F87" w:rsidRDefault="00AA1F87" w:rsidP="00AA1F87">
            <w:pPr>
              <w:spacing w:after="0" w:line="240" w:lineRule="auto"/>
              <w:rPr>
                <w:rFonts w:ascii="Arial" w:eastAsia="Times New Roman" w:hAnsi="Arial" w:cs="Arial"/>
                <w:i/>
                <w:iCs/>
                <w:color w:val="000000"/>
                <w:kern w:val="0"/>
                <w:sz w:val="16"/>
                <w:szCs w:val="16"/>
                <w:lang w:eastAsia="pt-BR"/>
                <w14:ligatures w14:val="none"/>
              </w:rPr>
            </w:pPr>
            <w:r w:rsidRPr="00AA1F87">
              <w:rPr>
                <w:rFonts w:ascii="Arial" w:eastAsia="Times New Roman" w:hAnsi="Arial" w:cs="Arial"/>
                <w:i/>
                <w:iCs/>
                <w:color w:val="000000"/>
                <w:kern w:val="0"/>
                <w:sz w:val="16"/>
                <w:szCs w:val="16"/>
                <w:lang w:eastAsia="pt-BR"/>
                <w14:ligatures w14:val="none"/>
              </w:rPr>
              <w:t xml:space="preserve">  Longo Prazo</w:t>
            </w:r>
          </w:p>
        </w:tc>
        <w:tc>
          <w:tcPr>
            <w:tcW w:w="552" w:type="pct"/>
            <w:tcBorders>
              <w:top w:val="nil"/>
              <w:left w:val="nil"/>
              <w:bottom w:val="nil"/>
              <w:right w:val="nil"/>
            </w:tcBorders>
            <w:shd w:val="clear" w:color="000000" w:fill="D9E1F2"/>
            <w:noWrap/>
            <w:vAlign w:val="center"/>
            <w:hideMark/>
          </w:tcPr>
          <w:p w14:paraId="1D4C2C04" w14:textId="77777777" w:rsidR="00AA1F87" w:rsidRPr="00AA1F87" w:rsidRDefault="00AA1F87" w:rsidP="00AA1F87">
            <w:pPr>
              <w:spacing w:after="0" w:line="240" w:lineRule="auto"/>
              <w:jc w:val="right"/>
              <w:rPr>
                <w:rFonts w:ascii="Arial" w:eastAsia="Times New Roman" w:hAnsi="Arial" w:cs="Arial"/>
                <w:i/>
                <w:iCs/>
                <w:color w:val="000000"/>
                <w:kern w:val="0"/>
                <w:sz w:val="16"/>
                <w:szCs w:val="16"/>
                <w:lang w:eastAsia="pt-BR"/>
                <w14:ligatures w14:val="none"/>
              </w:rPr>
            </w:pPr>
            <w:r w:rsidRPr="00AA1F87">
              <w:rPr>
                <w:rFonts w:ascii="Arial" w:eastAsia="Times New Roman" w:hAnsi="Arial" w:cs="Arial"/>
                <w:i/>
                <w:iCs/>
                <w:color w:val="000000"/>
                <w:kern w:val="0"/>
                <w:sz w:val="16"/>
                <w:szCs w:val="16"/>
                <w:lang w:eastAsia="pt-BR"/>
                <w14:ligatures w14:val="none"/>
              </w:rPr>
              <w:t xml:space="preserve">    116.004 </w:t>
            </w:r>
          </w:p>
        </w:tc>
        <w:tc>
          <w:tcPr>
            <w:tcW w:w="552" w:type="pct"/>
            <w:tcBorders>
              <w:top w:val="nil"/>
              <w:left w:val="nil"/>
              <w:bottom w:val="nil"/>
              <w:right w:val="nil"/>
            </w:tcBorders>
            <w:shd w:val="clear" w:color="auto" w:fill="auto"/>
            <w:noWrap/>
            <w:vAlign w:val="center"/>
            <w:hideMark/>
          </w:tcPr>
          <w:p w14:paraId="0E414543" w14:textId="77777777" w:rsidR="00AA1F87" w:rsidRPr="00AA1F87" w:rsidRDefault="00AA1F87" w:rsidP="00AA1F87">
            <w:pPr>
              <w:spacing w:after="0" w:line="240" w:lineRule="auto"/>
              <w:jc w:val="right"/>
              <w:rPr>
                <w:rFonts w:ascii="Arial" w:eastAsia="Times New Roman" w:hAnsi="Arial" w:cs="Arial"/>
                <w:i/>
                <w:iCs/>
                <w:color w:val="000000"/>
                <w:kern w:val="0"/>
                <w:sz w:val="16"/>
                <w:szCs w:val="16"/>
                <w:lang w:eastAsia="pt-BR"/>
                <w14:ligatures w14:val="none"/>
              </w:rPr>
            </w:pPr>
            <w:r w:rsidRPr="00AA1F87">
              <w:rPr>
                <w:rFonts w:ascii="Arial" w:eastAsia="Times New Roman" w:hAnsi="Arial" w:cs="Arial"/>
                <w:i/>
                <w:iCs/>
                <w:color w:val="000000"/>
                <w:kern w:val="0"/>
                <w:sz w:val="16"/>
                <w:szCs w:val="16"/>
                <w:lang w:eastAsia="pt-BR"/>
                <w14:ligatures w14:val="none"/>
              </w:rPr>
              <w:t xml:space="preserve">    137.253 </w:t>
            </w:r>
          </w:p>
        </w:tc>
        <w:tc>
          <w:tcPr>
            <w:tcW w:w="552" w:type="pct"/>
            <w:tcBorders>
              <w:top w:val="nil"/>
              <w:left w:val="nil"/>
              <w:bottom w:val="nil"/>
              <w:right w:val="nil"/>
            </w:tcBorders>
            <w:shd w:val="clear" w:color="auto" w:fill="auto"/>
            <w:noWrap/>
            <w:vAlign w:val="center"/>
            <w:hideMark/>
          </w:tcPr>
          <w:p w14:paraId="790ACA77" w14:textId="77777777" w:rsidR="00AA1F87" w:rsidRPr="00AA1F87" w:rsidRDefault="00AA1F87" w:rsidP="00AA1F87">
            <w:pPr>
              <w:spacing w:after="0" w:line="240" w:lineRule="auto"/>
              <w:jc w:val="right"/>
              <w:rPr>
                <w:rFonts w:ascii="Arial" w:eastAsia="Times New Roman" w:hAnsi="Arial" w:cs="Arial"/>
                <w:i/>
                <w:iCs/>
                <w:color w:val="000000"/>
                <w:kern w:val="0"/>
                <w:sz w:val="16"/>
                <w:szCs w:val="16"/>
                <w:lang w:eastAsia="pt-BR"/>
                <w14:ligatures w14:val="none"/>
              </w:rPr>
            </w:pPr>
            <w:r w:rsidRPr="00AA1F87">
              <w:rPr>
                <w:rFonts w:ascii="Arial" w:eastAsia="Times New Roman" w:hAnsi="Arial" w:cs="Arial"/>
                <w:i/>
                <w:iCs/>
                <w:color w:val="000000"/>
                <w:kern w:val="0"/>
                <w:sz w:val="16"/>
                <w:szCs w:val="16"/>
                <w:lang w:eastAsia="pt-BR"/>
                <w14:ligatures w14:val="none"/>
              </w:rPr>
              <w:t xml:space="preserve">    154.244 </w:t>
            </w:r>
          </w:p>
        </w:tc>
        <w:tc>
          <w:tcPr>
            <w:tcW w:w="86" w:type="pct"/>
            <w:tcBorders>
              <w:top w:val="nil"/>
              <w:left w:val="nil"/>
              <w:bottom w:val="nil"/>
              <w:right w:val="nil"/>
            </w:tcBorders>
            <w:shd w:val="clear" w:color="auto" w:fill="auto"/>
            <w:noWrap/>
            <w:vAlign w:val="center"/>
            <w:hideMark/>
          </w:tcPr>
          <w:p w14:paraId="2E06411A" w14:textId="77777777" w:rsidR="00AA1F87" w:rsidRPr="00AA1F87" w:rsidRDefault="00AA1F87" w:rsidP="00AA1F87">
            <w:pPr>
              <w:spacing w:after="0" w:line="240" w:lineRule="auto"/>
              <w:jc w:val="right"/>
              <w:rPr>
                <w:rFonts w:ascii="Arial" w:eastAsia="Times New Roman" w:hAnsi="Arial" w:cs="Arial"/>
                <w:i/>
                <w:iCs/>
                <w:color w:val="000000"/>
                <w:kern w:val="0"/>
                <w:sz w:val="16"/>
                <w:szCs w:val="16"/>
                <w:lang w:eastAsia="pt-BR"/>
                <w14:ligatures w14:val="none"/>
              </w:rPr>
            </w:pPr>
          </w:p>
        </w:tc>
        <w:tc>
          <w:tcPr>
            <w:tcW w:w="446" w:type="pct"/>
            <w:tcBorders>
              <w:top w:val="nil"/>
              <w:left w:val="nil"/>
              <w:bottom w:val="nil"/>
              <w:right w:val="nil"/>
            </w:tcBorders>
            <w:shd w:val="clear" w:color="auto" w:fill="auto"/>
            <w:noWrap/>
            <w:vAlign w:val="center"/>
            <w:hideMark/>
          </w:tcPr>
          <w:p w14:paraId="40FC3E50" w14:textId="77777777" w:rsidR="00AA1F87" w:rsidRPr="00AA1F87" w:rsidRDefault="00AA1F87" w:rsidP="00AA1F87">
            <w:pPr>
              <w:spacing w:after="0" w:line="240" w:lineRule="auto"/>
              <w:jc w:val="right"/>
              <w:rPr>
                <w:rFonts w:ascii="Arial" w:eastAsia="Times New Roman" w:hAnsi="Arial" w:cs="Arial"/>
                <w:i/>
                <w:iCs/>
                <w:color w:val="000000"/>
                <w:kern w:val="0"/>
                <w:sz w:val="16"/>
                <w:szCs w:val="16"/>
                <w:lang w:eastAsia="pt-BR"/>
                <w14:ligatures w14:val="none"/>
              </w:rPr>
            </w:pPr>
            <w:r w:rsidRPr="00AA1F87">
              <w:rPr>
                <w:rFonts w:ascii="Arial" w:eastAsia="Times New Roman" w:hAnsi="Arial" w:cs="Arial"/>
                <w:i/>
                <w:iCs/>
                <w:color w:val="000000"/>
                <w:kern w:val="0"/>
                <w:sz w:val="16"/>
                <w:szCs w:val="16"/>
                <w:lang w:eastAsia="pt-BR"/>
                <w14:ligatures w14:val="none"/>
              </w:rPr>
              <w:t>-15,5%</w:t>
            </w:r>
          </w:p>
        </w:tc>
        <w:tc>
          <w:tcPr>
            <w:tcW w:w="444" w:type="pct"/>
            <w:tcBorders>
              <w:top w:val="nil"/>
              <w:left w:val="nil"/>
              <w:bottom w:val="nil"/>
              <w:right w:val="nil"/>
            </w:tcBorders>
            <w:shd w:val="clear" w:color="auto" w:fill="auto"/>
            <w:noWrap/>
            <w:vAlign w:val="center"/>
            <w:hideMark/>
          </w:tcPr>
          <w:p w14:paraId="27EF61EC" w14:textId="77777777" w:rsidR="00AA1F87" w:rsidRPr="00AA1F87" w:rsidRDefault="00AA1F87" w:rsidP="00AA1F87">
            <w:pPr>
              <w:spacing w:after="0" w:line="240" w:lineRule="auto"/>
              <w:jc w:val="right"/>
              <w:rPr>
                <w:rFonts w:ascii="Arial" w:eastAsia="Times New Roman" w:hAnsi="Arial" w:cs="Arial"/>
                <w:i/>
                <w:iCs/>
                <w:color w:val="000000"/>
                <w:kern w:val="0"/>
                <w:sz w:val="16"/>
                <w:szCs w:val="16"/>
                <w:lang w:eastAsia="pt-BR"/>
                <w14:ligatures w14:val="none"/>
              </w:rPr>
            </w:pPr>
            <w:r w:rsidRPr="00AA1F87">
              <w:rPr>
                <w:rFonts w:ascii="Arial" w:eastAsia="Times New Roman" w:hAnsi="Arial" w:cs="Arial"/>
                <w:i/>
                <w:iCs/>
                <w:color w:val="000000"/>
                <w:kern w:val="0"/>
                <w:sz w:val="16"/>
                <w:szCs w:val="16"/>
                <w:lang w:eastAsia="pt-BR"/>
                <w14:ligatures w14:val="none"/>
              </w:rPr>
              <w:t>-24,8%</w:t>
            </w:r>
          </w:p>
        </w:tc>
      </w:tr>
      <w:tr w:rsidR="00AA1F87" w:rsidRPr="00AA1F87" w14:paraId="4D27AD86" w14:textId="77777777" w:rsidTr="00AA1F87">
        <w:trPr>
          <w:trHeight w:val="227"/>
        </w:trPr>
        <w:tc>
          <w:tcPr>
            <w:tcW w:w="2368" w:type="pct"/>
            <w:tcBorders>
              <w:top w:val="nil"/>
              <w:left w:val="nil"/>
              <w:bottom w:val="nil"/>
              <w:right w:val="nil"/>
            </w:tcBorders>
            <w:shd w:val="clear" w:color="000000" w:fill="75F6F9"/>
            <w:noWrap/>
            <w:vAlign w:val="center"/>
            <w:hideMark/>
          </w:tcPr>
          <w:p w14:paraId="1821BFEC" w14:textId="77777777" w:rsidR="00AA1F87" w:rsidRPr="00AA1F87" w:rsidRDefault="00AA1F87" w:rsidP="00AA1F87">
            <w:pPr>
              <w:spacing w:after="0" w:line="240" w:lineRule="auto"/>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Dívida Bruta</w:t>
            </w:r>
          </w:p>
        </w:tc>
        <w:tc>
          <w:tcPr>
            <w:tcW w:w="552" w:type="pct"/>
            <w:tcBorders>
              <w:top w:val="nil"/>
              <w:left w:val="nil"/>
              <w:bottom w:val="nil"/>
              <w:right w:val="nil"/>
            </w:tcBorders>
            <w:shd w:val="clear" w:color="000000" w:fill="75F6F9"/>
            <w:noWrap/>
            <w:vAlign w:val="center"/>
            <w:hideMark/>
          </w:tcPr>
          <w:p w14:paraId="61CC81B2"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 xml:space="preserve">     237.163 </w:t>
            </w:r>
          </w:p>
        </w:tc>
        <w:tc>
          <w:tcPr>
            <w:tcW w:w="552" w:type="pct"/>
            <w:tcBorders>
              <w:top w:val="nil"/>
              <w:left w:val="nil"/>
              <w:bottom w:val="nil"/>
              <w:right w:val="nil"/>
            </w:tcBorders>
            <w:shd w:val="clear" w:color="000000" w:fill="75F6F9"/>
            <w:noWrap/>
            <w:vAlign w:val="center"/>
            <w:hideMark/>
          </w:tcPr>
          <w:p w14:paraId="7D987602"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 xml:space="preserve">     307.890 </w:t>
            </w:r>
          </w:p>
        </w:tc>
        <w:tc>
          <w:tcPr>
            <w:tcW w:w="552" w:type="pct"/>
            <w:tcBorders>
              <w:top w:val="nil"/>
              <w:left w:val="nil"/>
              <w:bottom w:val="nil"/>
              <w:right w:val="nil"/>
            </w:tcBorders>
            <w:shd w:val="clear" w:color="000000" w:fill="75F6F9"/>
            <w:noWrap/>
            <w:vAlign w:val="center"/>
            <w:hideMark/>
          </w:tcPr>
          <w:p w14:paraId="5CF41D97"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 xml:space="preserve">     396.214 </w:t>
            </w:r>
          </w:p>
        </w:tc>
        <w:tc>
          <w:tcPr>
            <w:tcW w:w="86" w:type="pct"/>
            <w:tcBorders>
              <w:top w:val="nil"/>
              <w:left w:val="nil"/>
              <w:bottom w:val="nil"/>
              <w:right w:val="nil"/>
            </w:tcBorders>
            <w:shd w:val="clear" w:color="auto" w:fill="auto"/>
            <w:noWrap/>
            <w:vAlign w:val="center"/>
            <w:hideMark/>
          </w:tcPr>
          <w:p w14:paraId="1C20153B"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p>
        </w:tc>
        <w:tc>
          <w:tcPr>
            <w:tcW w:w="446" w:type="pct"/>
            <w:tcBorders>
              <w:top w:val="nil"/>
              <w:left w:val="nil"/>
              <w:bottom w:val="nil"/>
              <w:right w:val="nil"/>
            </w:tcBorders>
            <w:shd w:val="clear" w:color="000000" w:fill="75F6F9"/>
            <w:noWrap/>
            <w:vAlign w:val="center"/>
            <w:hideMark/>
          </w:tcPr>
          <w:p w14:paraId="15DB3714"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-23,0%</w:t>
            </w:r>
          </w:p>
        </w:tc>
        <w:tc>
          <w:tcPr>
            <w:tcW w:w="444" w:type="pct"/>
            <w:tcBorders>
              <w:top w:val="nil"/>
              <w:left w:val="nil"/>
              <w:bottom w:val="nil"/>
              <w:right w:val="nil"/>
            </w:tcBorders>
            <w:shd w:val="clear" w:color="000000" w:fill="75F6F9"/>
            <w:noWrap/>
            <w:vAlign w:val="center"/>
            <w:hideMark/>
          </w:tcPr>
          <w:p w14:paraId="15DCA80D"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-40,1%</w:t>
            </w:r>
          </w:p>
        </w:tc>
      </w:tr>
      <w:tr w:rsidR="00AA1F87" w:rsidRPr="00AA1F87" w14:paraId="52291288" w14:textId="77777777" w:rsidTr="00AA1F87">
        <w:trPr>
          <w:trHeight w:val="227"/>
        </w:trPr>
        <w:tc>
          <w:tcPr>
            <w:tcW w:w="2368" w:type="pct"/>
            <w:tcBorders>
              <w:top w:val="nil"/>
              <w:left w:val="nil"/>
              <w:bottom w:val="nil"/>
              <w:right w:val="nil"/>
            </w:tcBorders>
            <w:shd w:val="clear" w:color="auto" w:fill="auto"/>
            <w:noWrap/>
            <w:vAlign w:val="center"/>
            <w:hideMark/>
          </w:tcPr>
          <w:p w14:paraId="0638CD5E" w14:textId="77777777" w:rsidR="00AA1F87" w:rsidRPr="00AA1F87" w:rsidRDefault="00AA1F87" w:rsidP="00AA1F87">
            <w:pPr>
              <w:spacing w:after="0" w:line="240" w:lineRule="auto"/>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Aplicações Financeiras - (Garantias)</w:t>
            </w:r>
          </w:p>
        </w:tc>
        <w:tc>
          <w:tcPr>
            <w:tcW w:w="552" w:type="pct"/>
            <w:tcBorders>
              <w:top w:val="nil"/>
              <w:left w:val="nil"/>
              <w:bottom w:val="nil"/>
              <w:right w:val="nil"/>
            </w:tcBorders>
            <w:shd w:val="clear" w:color="000000" w:fill="D9E1F2"/>
            <w:noWrap/>
            <w:vAlign w:val="center"/>
            <w:hideMark/>
          </w:tcPr>
          <w:p w14:paraId="4C2B40E7"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77.976 </w:t>
            </w:r>
          </w:p>
        </w:tc>
        <w:tc>
          <w:tcPr>
            <w:tcW w:w="552" w:type="pct"/>
            <w:tcBorders>
              <w:top w:val="nil"/>
              <w:left w:val="nil"/>
              <w:bottom w:val="nil"/>
              <w:right w:val="nil"/>
            </w:tcBorders>
            <w:shd w:val="clear" w:color="auto" w:fill="auto"/>
            <w:noWrap/>
            <w:vAlign w:val="center"/>
            <w:hideMark/>
          </w:tcPr>
          <w:p w14:paraId="3265A8C6"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70.534 </w:t>
            </w:r>
          </w:p>
        </w:tc>
        <w:tc>
          <w:tcPr>
            <w:tcW w:w="552" w:type="pct"/>
            <w:tcBorders>
              <w:top w:val="nil"/>
              <w:left w:val="nil"/>
              <w:bottom w:val="nil"/>
              <w:right w:val="nil"/>
            </w:tcBorders>
            <w:shd w:val="clear" w:color="auto" w:fill="auto"/>
            <w:noWrap/>
            <w:vAlign w:val="center"/>
            <w:hideMark/>
          </w:tcPr>
          <w:p w14:paraId="01087905"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64.164 </w:t>
            </w:r>
          </w:p>
        </w:tc>
        <w:tc>
          <w:tcPr>
            <w:tcW w:w="86" w:type="pct"/>
            <w:tcBorders>
              <w:top w:val="nil"/>
              <w:left w:val="nil"/>
              <w:bottom w:val="nil"/>
              <w:right w:val="nil"/>
            </w:tcBorders>
            <w:shd w:val="clear" w:color="auto" w:fill="auto"/>
            <w:noWrap/>
            <w:vAlign w:val="center"/>
            <w:hideMark/>
          </w:tcPr>
          <w:p w14:paraId="3D175410"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p>
        </w:tc>
        <w:tc>
          <w:tcPr>
            <w:tcW w:w="446" w:type="pct"/>
            <w:tcBorders>
              <w:top w:val="nil"/>
              <w:left w:val="nil"/>
              <w:bottom w:val="nil"/>
              <w:right w:val="nil"/>
            </w:tcBorders>
            <w:shd w:val="clear" w:color="auto" w:fill="auto"/>
            <w:noWrap/>
            <w:vAlign w:val="center"/>
            <w:hideMark/>
          </w:tcPr>
          <w:p w14:paraId="4300B9D6"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10,6%</w:t>
            </w:r>
          </w:p>
        </w:tc>
        <w:tc>
          <w:tcPr>
            <w:tcW w:w="444" w:type="pct"/>
            <w:tcBorders>
              <w:top w:val="nil"/>
              <w:left w:val="nil"/>
              <w:bottom w:val="nil"/>
              <w:right w:val="nil"/>
            </w:tcBorders>
            <w:shd w:val="clear" w:color="auto" w:fill="auto"/>
            <w:noWrap/>
            <w:vAlign w:val="center"/>
            <w:hideMark/>
          </w:tcPr>
          <w:p w14:paraId="0DE62BC0"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21,5%</w:t>
            </w:r>
          </w:p>
        </w:tc>
      </w:tr>
      <w:tr w:rsidR="00AA1F87" w:rsidRPr="00AA1F87" w14:paraId="7CE9B843" w14:textId="77777777" w:rsidTr="00AA1F87">
        <w:trPr>
          <w:trHeight w:val="227"/>
        </w:trPr>
        <w:tc>
          <w:tcPr>
            <w:tcW w:w="2368" w:type="pct"/>
            <w:tcBorders>
              <w:top w:val="nil"/>
              <w:left w:val="nil"/>
              <w:bottom w:val="nil"/>
              <w:right w:val="nil"/>
            </w:tcBorders>
            <w:shd w:val="clear" w:color="auto" w:fill="auto"/>
            <w:noWrap/>
            <w:vAlign w:val="center"/>
            <w:hideMark/>
          </w:tcPr>
          <w:p w14:paraId="0CB8C493" w14:textId="77777777" w:rsidR="00AA1F87" w:rsidRPr="00AA1F87" w:rsidRDefault="00AA1F87" w:rsidP="00AA1F87">
            <w:pPr>
              <w:spacing w:after="0" w:line="240" w:lineRule="auto"/>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lastRenderedPageBreak/>
              <w:t xml:space="preserve">(-) Caixa Disponível </w:t>
            </w:r>
            <w:r w:rsidRPr="00AA1F87">
              <w:rPr>
                <w:rFonts w:ascii="Arial" w:eastAsia="Times New Roman" w:hAnsi="Arial" w:cs="Arial"/>
                <w:color w:val="000000"/>
                <w:kern w:val="0"/>
                <w:sz w:val="16"/>
                <w:szCs w:val="16"/>
                <w:vertAlign w:val="superscript"/>
                <w:lang w:eastAsia="pt-BR"/>
                <w14:ligatures w14:val="none"/>
              </w:rPr>
              <w:footnoteReference w:id="5"/>
            </w:r>
          </w:p>
        </w:tc>
        <w:tc>
          <w:tcPr>
            <w:tcW w:w="552" w:type="pct"/>
            <w:tcBorders>
              <w:top w:val="nil"/>
              <w:left w:val="nil"/>
              <w:bottom w:val="nil"/>
              <w:right w:val="nil"/>
            </w:tcBorders>
            <w:shd w:val="clear" w:color="000000" w:fill="D9E1F2"/>
            <w:noWrap/>
            <w:vAlign w:val="center"/>
            <w:hideMark/>
          </w:tcPr>
          <w:p w14:paraId="2759F4B9"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311.305 </w:t>
            </w:r>
          </w:p>
        </w:tc>
        <w:tc>
          <w:tcPr>
            <w:tcW w:w="552" w:type="pct"/>
            <w:tcBorders>
              <w:top w:val="nil"/>
              <w:left w:val="nil"/>
              <w:bottom w:val="nil"/>
              <w:right w:val="nil"/>
            </w:tcBorders>
            <w:shd w:val="clear" w:color="auto" w:fill="auto"/>
            <w:noWrap/>
            <w:vAlign w:val="center"/>
            <w:hideMark/>
          </w:tcPr>
          <w:p w14:paraId="410E3553"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312.875 </w:t>
            </w:r>
          </w:p>
        </w:tc>
        <w:tc>
          <w:tcPr>
            <w:tcW w:w="552" w:type="pct"/>
            <w:tcBorders>
              <w:top w:val="nil"/>
              <w:left w:val="nil"/>
              <w:bottom w:val="nil"/>
              <w:right w:val="nil"/>
            </w:tcBorders>
            <w:shd w:val="clear" w:color="auto" w:fill="auto"/>
            <w:noWrap/>
            <w:vAlign w:val="center"/>
            <w:hideMark/>
          </w:tcPr>
          <w:p w14:paraId="59207C01"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257.692 </w:t>
            </w:r>
          </w:p>
        </w:tc>
        <w:tc>
          <w:tcPr>
            <w:tcW w:w="86" w:type="pct"/>
            <w:tcBorders>
              <w:top w:val="nil"/>
              <w:left w:val="nil"/>
              <w:bottom w:val="nil"/>
              <w:right w:val="nil"/>
            </w:tcBorders>
            <w:shd w:val="clear" w:color="auto" w:fill="auto"/>
            <w:noWrap/>
            <w:vAlign w:val="center"/>
            <w:hideMark/>
          </w:tcPr>
          <w:p w14:paraId="4E421DCF"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p>
        </w:tc>
        <w:tc>
          <w:tcPr>
            <w:tcW w:w="446" w:type="pct"/>
            <w:tcBorders>
              <w:top w:val="nil"/>
              <w:left w:val="nil"/>
              <w:bottom w:val="nil"/>
              <w:right w:val="nil"/>
            </w:tcBorders>
            <w:shd w:val="clear" w:color="auto" w:fill="auto"/>
            <w:noWrap/>
            <w:vAlign w:val="center"/>
            <w:hideMark/>
          </w:tcPr>
          <w:p w14:paraId="597E7A2B"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-0,5%</w:t>
            </w:r>
          </w:p>
        </w:tc>
        <w:tc>
          <w:tcPr>
            <w:tcW w:w="444" w:type="pct"/>
            <w:tcBorders>
              <w:top w:val="nil"/>
              <w:left w:val="nil"/>
              <w:bottom w:val="nil"/>
              <w:right w:val="nil"/>
            </w:tcBorders>
            <w:shd w:val="clear" w:color="auto" w:fill="auto"/>
            <w:noWrap/>
            <w:vAlign w:val="center"/>
            <w:hideMark/>
          </w:tcPr>
          <w:p w14:paraId="6421BA02"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20,8%</w:t>
            </w:r>
          </w:p>
        </w:tc>
      </w:tr>
      <w:tr w:rsidR="00AA1F87" w:rsidRPr="00AA1F87" w14:paraId="7EE118BB" w14:textId="77777777" w:rsidTr="00AA1F87">
        <w:trPr>
          <w:trHeight w:val="227"/>
        </w:trPr>
        <w:tc>
          <w:tcPr>
            <w:tcW w:w="2368" w:type="pct"/>
            <w:tcBorders>
              <w:top w:val="nil"/>
              <w:left w:val="nil"/>
              <w:bottom w:val="nil"/>
              <w:right w:val="nil"/>
            </w:tcBorders>
            <w:shd w:val="clear" w:color="auto" w:fill="auto"/>
            <w:noWrap/>
            <w:vAlign w:val="center"/>
            <w:hideMark/>
          </w:tcPr>
          <w:p w14:paraId="2D4EE4DE" w14:textId="77777777" w:rsidR="00AA1F87" w:rsidRPr="00AA1F87" w:rsidRDefault="00AA1F87" w:rsidP="00AA1F87">
            <w:pPr>
              <w:spacing w:after="0" w:line="240" w:lineRule="auto"/>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Dívida Líquida</w:t>
            </w:r>
          </w:p>
        </w:tc>
        <w:tc>
          <w:tcPr>
            <w:tcW w:w="552" w:type="pct"/>
            <w:tcBorders>
              <w:top w:val="nil"/>
              <w:left w:val="nil"/>
              <w:bottom w:val="nil"/>
              <w:right w:val="nil"/>
            </w:tcBorders>
            <w:shd w:val="clear" w:color="000000" w:fill="D9E1F2"/>
            <w:noWrap/>
            <w:vAlign w:val="center"/>
            <w:hideMark/>
          </w:tcPr>
          <w:p w14:paraId="46AEDC4F"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 xml:space="preserve">   (152.118)</w:t>
            </w:r>
          </w:p>
        </w:tc>
        <w:tc>
          <w:tcPr>
            <w:tcW w:w="552" w:type="pct"/>
            <w:tcBorders>
              <w:top w:val="nil"/>
              <w:left w:val="nil"/>
              <w:bottom w:val="nil"/>
              <w:right w:val="nil"/>
            </w:tcBorders>
            <w:shd w:val="clear" w:color="auto" w:fill="auto"/>
            <w:noWrap/>
            <w:vAlign w:val="center"/>
            <w:hideMark/>
          </w:tcPr>
          <w:p w14:paraId="3D469D5D"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 xml:space="preserve">      (75.519)</w:t>
            </w:r>
          </w:p>
        </w:tc>
        <w:tc>
          <w:tcPr>
            <w:tcW w:w="552" w:type="pct"/>
            <w:tcBorders>
              <w:top w:val="nil"/>
              <w:left w:val="nil"/>
              <w:bottom w:val="nil"/>
              <w:right w:val="nil"/>
            </w:tcBorders>
            <w:shd w:val="clear" w:color="auto" w:fill="auto"/>
            <w:noWrap/>
            <w:vAlign w:val="center"/>
            <w:hideMark/>
          </w:tcPr>
          <w:p w14:paraId="590FCA62"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 xml:space="preserve">       74.358 </w:t>
            </w:r>
          </w:p>
        </w:tc>
        <w:tc>
          <w:tcPr>
            <w:tcW w:w="86" w:type="pct"/>
            <w:tcBorders>
              <w:top w:val="nil"/>
              <w:left w:val="nil"/>
              <w:bottom w:val="nil"/>
              <w:right w:val="nil"/>
            </w:tcBorders>
            <w:shd w:val="clear" w:color="auto" w:fill="auto"/>
            <w:noWrap/>
            <w:vAlign w:val="center"/>
            <w:hideMark/>
          </w:tcPr>
          <w:p w14:paraId="4DD3E406"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p>
        </w:tc>
        <w:tc>
          <w:tcPr>
            <w:tcW w:w="446" w:type="pct"/>
            <w:tcBorders>
              <w:top w:val="nil"/>
              <w:left w:val="nil"/>
              <w:bottom w:val="nil"/>
              <w:right w:val="nil"/>
            </w:tcBorders>
            <w:shd w:val="clear" w:color="auto" w:fill="auto"/>
            <w:noWrap/>
            <w:vAlign w:val="center"/>
            <w:hideMark/>
          </w:tcPr>
          <w:p w14:paraId="54DF8C86"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101,4%</w:t>
            </w:r>
          </w:p>
        </w:tc>
        <w:tc>
          <w:tcPr>
            <w:tcW w:w="444" w:type="pct"/>
            <w:tcBorders>
              <w:top w:val="nil"/>
              <w:left w:val="nil"/>
              <w:bottom w:val="nil"/>
              <w:right w:val="nil"/>
            </w:tcBorders>
            <w:shd w:val="clear" w:color="auto" w:fill="auto"/>
            <w:noWrap/>
            <w:vAlign w:val="center"/>
            <w:hideMark/>
          </w:tcPr>
          <w:p w14:paraId="1F1EE26C"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-304,6%</w:t>
            </w:r>
          </w:p>
        </w:tc>
      </w:tr>
      <w:tr w:rsidR="00AA1F87" w:rsidRPr="00AA1F87" w14:paraId="0BC0FB6D" w14:textId="77777777" w:rsidTr="00AA1F87">
        <w:trPr>
          <w:trHeight w:val="227"/>
        </w:trPr>
        <w:tc>
          <w:tcPr>
            <w:tcW w:w="2368" w:type="pct"/>
            <w:tcBorders>
              <w:top w:val="nil"/>
              <w:left w:val="nil"/>
              <w:bottom w:val="nil"/>
              <w:right w:val="nil"/>
            </w:tcBorders>
            <w:shd w:val="clear" w:color="auto" w:fill="auto"/>
            <w:noWrap/>
            <w:vAlign w:val="center"/>
            <w:hideMark/>
          </w:tcPr>
          <w:p w14:paraId="1C7EB36C" w14:textId="77777777" w:rsidR="00AA1F87" w:rsidRPr="00AA1F87" w:rsidRDefault="00AA1F87" w:rsidP="00AA1F87">
            <w:pPr>
              <w:spacing w:after="0" w:line="240" w:lineRule="auto"/>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EBITDA Anualizado</w:t>
            </w:r>
            <w:r w:rsidRPr="00AA1F87">
              <w:rPr>
                <w:rFonts w:ascii="Arial" w:eastAsia="Times New Roman" w:hAnsi="Arial" w:cs="Arial"/>
                <w:b/>
                <w:bCs/>
                <w:color w:val="000000"/>
                <w:kern w:val="0"/>
                <w:sz w:val="16"/>
                <w:szCs w:val="16"/>
                <w:vertAlign w:val="superscript"/>
                <w:lang w:eastAsia="pt-BR"/>
                <w14:ligatures w14:val="none"/>
              </w:rPr>
              <w:footnoteReference w:id="6"/>
            </w:r>
          </w:p>
        </w:tc>
        <w:tc>
          <w:tcPr>
            <w:tcW w:w="552" w:type="pct"/>
            <w:tcBorders>
              <w:top w:val="nil"/>
              <w:left w:val="nil"/>
              <w:bottom w:val="nil"/>
              <w:right w:val="nil"/>
            </w:tcBorders>
            <w:shd w:val="clear" w:color="000000" w:fill="D9E1F2"/>
            <w:noWrap/>
            <w:vAlign w:val="center"/>
            <w:hideMark/>
          </w:tcPr>
          <w:p w14:paraId="43B608E1"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 xml:space="preserve">     186.134 </w:t>
            </w:r>
          </w:p>
        </w:tc>
        <w:tc>
          <w:tcPr>
            <w:tcW w:w="552" w:type="pct"/>
            <w:tcBorders>
              <w:top w:val="nil"/>
              <w:left w:val="nil"/>
              <w:bottom w:val="nil"/>
              <w:right w:val="nil"/>
            </w:tcBorders>
            <w:shd w:val="clear" w:color="auto" w:fill="auto"/>
            <w:noWrap/>
            <w:vAlign w:val="center"/>
            <w:hideMark/>
          </w:tcPr>
          <w:p w14:paraId="397F86FD"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 xml:space="preserve">     204.365 </w:t>
            </w:r>
          </w:p>
        </w:tc>
        <w:tc>
          <w:tcPr>
            <w:tcW w:w="552" w:type="pct"/>
            <w:tcBorders>
              <w:top w:val="nil"/>
              <w:left w:val="nil"/>
              <w:bottom w:val="nil"/>
              <w:right w:val="nil"/>
            </w:tcBorders>
            <w:shd w:val="clear" w:color="auto" w:fill="auto"/>
            <w:noWrap/>
            <w:vAlign w:val="center"/>
            <w:hideMark/>
          </w:tcPr>
          <w:p w14:paraId="6C6A7D49"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 xml:space="preserve">     187.509 </w:t>
            </w:r>
          </w:p>
        </w:tc>
        <w:tc>
          <w:tcPr>
            <w:tcW w:w="86" w:type="pct"/>
            <w:tcBorders>
              <w:top w:val="nil"/>
              <w:left w:val="nil"/>
              <w:bottom w:val="nil"/>
              <w:right w:val="nil"/>
            </w:tcBorders>
            <w:shd w:val="clear" w:color="auto" w:fill="auto"/>
            <w:noWrap/>
            <w:vAlign w:val="center"/>
            <w:hideMark/>
          </w:tcPr>
          <w:p w14:paraId="4C555081"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p>
        </w:tc>
        <w:tc>
          <w:tcPr>
            <w:tcW w:w="446" w:type="pct"/>
            <w:tcBorders>
              <w:top w:val="nil"/>
              <w:left w:val="nil"/>
              <w:bottom w:val="nil"/>
              <w:right w:val="nil"/>
            </w:tcBorders>
            <w:shd w:val="clear" w:color="auto" w:fill="auto"/>
            <w:noWrap/>
            <w:vAlign w:val="center"/>
            <w:hideMark/>
          </w:tcPr>
          <w:p w14:paraId="7FFE4FC8"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-8,9%</w:t>
            </w:r>
          </w:p>
        </w:tc>
        <w:tc>
          <w:tcPr>
            <w:tcW w:w="444" w:type="pct"/>
            <w:tcBorders>
              <w:top w:val="nil"/>
              <w:left w:val="nil"/>
              <w:bottom w:val="nil"/>
              <w:right w:val="nil"/>
            </w:tcBorders>
            <w:shd w:val="clear" w:color="auto" w:fill="auto"/>
            <w:noWrap/>
            <w:vAlign w:val="center"/>
            <w:hideMark/>
          </w:tcPr>
          <w:p w14:paraId="5A47B393"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-0,7%</w:t>
            </w:r>
          </w:p>
        </w:tc>
      </w:tr>
      <w:tr w:rsidR="00AA1F87" w:rsidRPr="00AA1F87" w14:paraId="0F51C372" w14:textId="77777777" w:rsidTr="00AA1F87">
        <w:trPr>
          <w:trHeight w:val="227"/>
        </w:trPr>
        <w:tc>
          <w:tcPr>
            <w:tcW w:w="2368" w:type="pct"/>
            <w:tcBorders>
              <w:top w:val="nil"/>
              <w:left w:val="nil"/>
              <w:bottom w:val="single" w:sz="8" w:space="0" w:color="75F6F9"/>
              <w:right w:val="nil"/>
            </w:tcBorders>
            <w:shd w:val="clear" w:color="auto" w:fill="auto"/>
            <w:noWrap/>
            <w:vAlign w:val="center"/>
            <w:hideMark/>
          </w:tcPr>
          <w:p w14:paraId="057A4317" w14:textId="77777777" w:rsidR="00AA1F87" w:rsidRPr="00AA1F87" w:rsidRDefault="00AA1F87" w:rsidP="00AA1F87">
            <w:pPr>
              <w:spacing w:after="0" w:line="240" w:lineRule="auto"/>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 xml:space="preserve">Dívida Líquida / EBITDA </w:t>
            </w:r>
          </w:p>
        </w:tc>
        <w:tc>
          <w:tcPr>
            <w:tcW w:w="552" w:type="pct"/>
            <w:tcBorders>
              <w:top w:val="nil"/>
              <w:left w:val="nil"/>
              <w:bottom w:val="single" w:sz="8" w:space="0" w:color="75F6F9"/>
              <w:right w:val="nil"/>
            </w:tcBorders>
            <w:shd w:val="clear" w:color="000000" w:fill="D9E1F2"/>
            <w:noWrap/>
            <w:vAlign w:val="center"/>
            <w:hideMark/>
          </w:tcPr>
          <w:p w14:paraId="3E6C8F90"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 xml:space="preserve">                -   </w:t>
            </w:r>
          </w:p>
        </w:tc>
        <w:tc>
          <w:tcPr>
            <w:tcW w:w="552" w:type="pct"/>
            <w:tcBorders>
              <w:top w:val="nil"/>
              <w:left w:val="nil"/>
              <w:bottom w:val="single" w:sz="8" w:space="0" w:color="75F6F9"/>
              <w:right w:val="nil"/>
            </w:tcBorders>
            <w:shd w:val="clear" w:color="auto" w:fill="auto"/>
            <w:noWrap/>
            <w:vAlign w:val="center"/>
            <w:hideMark/>
          </w:tcPr>
          <w:p w14:paraId="65CC68B8"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 xml:space="preserve">                -   </w:t>
            </w:r>
          </w:p>
        </w:tc>
        <w:tc>
          <w:tcPr>
            <w:tcW w:w="552" w:type="pct"/>
            <w:tcBorders>
              <w:top w:val="nil"/>
              <w:left w:val="nil"/>
              <w:bottom w:val="single" w:sz="8" w:space="0" w:color="75F6F9"/>
              <w:right w:val="nil"/>
            </w:tcBorders>
            <w:shd w:val="clear" w:color="auto" w:fill="auto"/>
            <w:noWrap/>
            <w:vAlign w:val="center"/>
            <w:hideMark/>
          </w:tcPr>
          <w:p w14:paraId="6DDA39C7"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 xml:space="preserve">            0,40x </w:t>
            </w:r>
          </w:p>
        </w:tc>
        <w:tc>
          <w:tcPr>
            <w:tcW w:w="86" w:type="pct"/>
            <w:tcBorders>
              <w:top w:val="nil"/>
              <w:left w:val="nil"/>
              <w:bottom w:val="nil"/>
              <w:right w:val="nil"/>
            </w:tcBorders>
            <w:shd w:val="clear" w:color="auto" w:fill="auto"/>
            <w:noWrap/>
            <w:vAlign w:val="center"/>
            <w:hideMark/>
          </w:tcPr>
          <w:p w14:paraId="67E76673"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p>
        </w:tc>
        <w:tc>
          <w:tcPr>
            <w:tcW w:w="446" w:type="pct"/>
            <w:tcBorders>
              <w:top w:val="nil"/>
              <w:left w:val="nil"/>
              <w:bottom w:val="single" w:sz="8" w:space="0" w:color="75F6F9"/>
              <w:right w:val="nil"/>
            </w:tcBorders>
            <w:shd w:val="clear" w:color="auto" w:fill="auto"/>
            <w:noWrap/>
            <w:vAlign w:val="center"/>
            <w:hideMark/>
          </w:tcPr>
          <w:p w14:paraId="33523DFE"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w:t>
            </w:r>
          </w:p>
        </w:tc>
        <w:tc>
          <w:tcPr>
            <w:tcW w:w="444" w:type="pct"/>
            <w:tcBorders>
              <w:top w:val="nil"/>
              <w:left w:val="nil"/>
              <w:bottom w:val="single" w:sz="8" w:space="0" w:color="75F6F9"/>
              <w:right w:val="nil"/>
            </w:tcBorders>
            <w:shd w:val="clear" w:color="auto" w:fill="auto"/>
            <w:noWrap/>
            <w:vAlign w:val="center"/>
            <w:hideMark/>
          </w:tcPr>
          <w:p w14:paraId="7521088B"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w:t>
            </w:r>
          </w:p>
        </w:tc>
      </w:tr>
    </w:tbl>
    <w:p w14:paraId="34ADA776" w14:textId="45DC56E3" w:rsidR="00AA1F87" w:rsidRPr="00AA1F87" w:rsidRDefault="00AA1F87" w:rsidP="00AA1F87">
      <w:pPr>
        <w:spacing w:after="0" w:line="240" w:lineRule="auto"/>
        <w:jc w:val="both"/>
        <w:rPr>
          <w:rFonts w:ascii="Calibri" w:eastAsia="Times New Roman" w:hAnsi="Calibri" w:cs="Calibri"/>
          <w:color w:val="002060"/>
          <w:kern w:val="0"/>
          <w14:ligatures w14:val="none"/>
        </w:rPr>
      </w:pPr>
      <w:r w:rsidRPr="00AA1F87">
        <w:rPr>
          <w:rFonts w:ascii="Calibri" w:eastAsia="Times New Roman" w:hAnsi="Calibri" w:cs="Calibri"/>
          <w:color w:val="002060"/>
          <w:kern w:val="0"/>
          <w14:ligatures w14:val="none"/>
        </w:rPr>
        <w:t xml:space="preserve">Em dezembro de 2023, a Telebras apresentou dívida líquida negativa, ou seja, o valor da dívida foi inferior ao valor das disponibilidades e das aplicações financeiras, no valor de R$ 152,1 milhões (R$ 75,5 milhões negativa em dezembro de 2022 e R$ 74,4 milhões positiva em dezembro de 2021), acréscimo de 101,4% e redução de 304,6%, respectivamente, em relação a dezembro de 2022 e dezembro de 2021. O comportamento é explicado pela diminuição da dívida devido às amortizações e pela melhora das disponibilidades financeiras da Companhia. </w:t>
      </w:r>
    </w:p>
    <w:p w14:paraId="04FE36B5" w14:textId="77777777" w:rsidR="00AA1F87" w:rsidRPr="00AA1F87" w:rsidRDefault="00AA1F87" w:rsidP="00AA1F87">
      <w:pPr>
        <w:spacing w:after="0" w:line="240" w:lineRule="auto"/>
        <w:jc w:val="both"/>
        <w:rPr>
          <w:rFonts w:ascii="Calibri" w:eastAsia="Times New Roman" w:hAnsi="Calibri" w:cs="Calibri"/>
          <w:color w:val="002060"/>
          <w:kern w:val="0"/>
          <w14:ligatures w14:val="none"/>
        </w:rPr>
      </w:pPr>
      <w:r w:rsidRPr="00AA1F87">
        <w:rPr>
          <w:rFonts w:ascii="Calibri" w:eastAsia="Times New Roman" w:hAnsi="Calibri" w:cs="Calibri"/>
          <w:color w:val="002060"/>
          <w:kern w:val="0"/>
          <w14:ligatures w14:val="none"/>
        </w:rPr>
        <w:t xml:space="preserve">O indicador de Dívida Líquida vezes EBITDA em dezembro de 2023 e dezembro de 2022 não são apresentados em razão da dívida líquida negativa. Em dezembro de 2021 o indicador era de 0,40x. </w:t>
      </w:r>
    </w:p>
    <w:p w14:paraId="201AA7CD" w14:textId="433DBEBB" w:rsidR="00AA1F87" w:rsidRDefault="00AA1F87" w:rsidP="00AA1F87">
      <w:pPr>
        <w:spacing w:after="0" w:line="240" w:lineRule="auto"/>
        <w:jc w:val="both"/>
        <w:rPr>
          <w:rFonts w:ascii="Calibri" w:eastAsia="Times New Roman" w:hAnsi="Calibri" w:cs="Calibri"/>
          <w:b/>
          <w:bCs/>
          <w:color w:val="002060"/>
          <w:kern w:val="0"/>
          <w:u w:val="single"/>
          <w14:ligatures w14:val="none"/>
        </w:rPr>
      </w:pPr>
      <w:r w:rsidRPr="00AA1F87">
        <w:rPr>
          <w:rFonts w:ascii="Calibri" w:eastAsia="Times New Roman" w:hAnsi="Calibri" w:cs="Calibri"/>
          <w:b/>
          <w:bCs/>
          <w:color w:val="002060"/>
          <w:kern w:val="0"/>
          <w:u w:val="single"/>
          <w14:ligatures w14:val="none"/>
        </w:rPr>
        <w:t>Comportamento dos Componentes da Dívida Líquida – R$ mil</w:t>
      </w:r>
    </w:p>
    <w:p w14:paraId="2CBE1007" w14:textId="1F74A37F" w:rsidR="00AA1F87" w:rsidRDefault="00AA1F87" w:rsidP="00AA1F87">
      <w:pPr>
        <w:spacing w:after="0" w:line="240" w:lineRule="auto"/>
        <w:jc w:val="both"/>
        <w:rPr>
          <w:rFonts w:ascii="Calibri" w:eastAsia="Times New Roman" w:hAnsi="Calibri" w:cs="Calibri"/>
          <w:b/>
          <w:bCs/>
          <w:color w:val="002060"/>
          <w:kern w:val="0"/>
          <w:u w:val="single"/>
          <w14:ligatures w14:val="none"/>
        </w:rPr>
      </w:pPr>
      <w:r>
        <w:rPr>
          <w:noProof/>
        </w:rPr>
        <w:drawing>
          <wp:inline distT="0" distB="0" distL="0" distR="0" wp14:anchorId="58B0F1B6" wp14:editId="15333924">
            <wp:extent cx="6210935" cy="2230204"/>
            <wp:effectExtent l="0" t="0" r="0" b="0"/>
            <wp:docPr id="3" name="Gráfico 3">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F33FD13" w14:textId="77777777" w:rsidR="00AA1F87" w:rsidRPr="00AA1F87" w:rsidRDefault="00AA1F87" w:rsidP="00AA1F87">
      <w:pPr>
        <w:spacing w:after="0" w:line="240" w:lineRule="auto"/>
        <w:jc w:val="both"/>
        <w:rPr>
          <w:rFonts w:ascii="Calibri" w:eastAsia="Times New Roman" w:hAnsi="Calibri" w:cs="Calibri"/>
          <w:b/>
          <w:bCs/>
          <w:color w:val="002060"/>
          <w:kern w:val="0"/>
          <w:u w:val="single"/>
          <w14:ligatures w14:val="none"/>
        </w:rPr>
      </w:pPr>
      <w:r w:rsidRPr="00AA1F87">
        <w:rPr>
          <w:rFonts w:ascii="Calibri" w:eastAsia="Times New Roman" w:hAnsi="Calibri" w:cs="Calibri"/>
          <w:b/>
          <w:bCs/>
          <w:color w:val="002060"/>
          <w:kern w:val="0"/>
          <w:u w:val="single"/>
          <w14:ligatures w14:val="none"/>
        </w:rPr>
        <w:t>Cronograma de Amortização da Dívida – R$ mil</w:t>
      </w:r>
    </w:p>
    <w:p w14:paraId="1F12C0EE" w14:textId="0AE669AD" w:rsidR="00AA1F87" w:rsidRPr="00AA1F87" w:rsidRDefault="00AA1F87" w:rsidP="00AA1F87">
      <w:pPr>
        <w:spacing w:after="0" w:line="240" w:lineRule="auto"/>
        <w:jc w:val="both"/>
        <w:rPr>
          <w:rFonts w:ascii="Calibri" w:eastAsia="Times New Roman" w:hAnsi="Calibri" w:cs="Calibri"/>
          <w:b/>
          <w:bCs/>
          <w:color w:val="002060"/>
          <w:kern w:val="0"/>
          <w:u w:val="single"/>
          <w14:ligatures w14:val="none"/>
        </w:rPr>
      </w:pPr>
      <w:r>
        <w:rPr>
          <w:noProof/>
        </w:rPr>
        <w:drawing>
          <wp:inline distT="0" distB="0" distL="0" distR="0" wp14:anchorId="4470C506" wp14:editId="35435358">
            <wp:extent cx="6207125" cy="2722563"/>
            <wp:effectExtent l="0" t="0" r="0" b="1905"/>
            <wp:docPr id="21" name="Gráfico 21">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A6AB2D3" w14:textId="77777777" w:rsidR="00AA1F87" w:rsidRDefault="00AA1F87" w:rsidP="00AA1F87">
      <w:pPr>
        <w:spacing w:after="0" w:line="240" w:lineRule="auto"/>
        <w:jc w:val="both"/>
        <w:rPr>
          <w:rFonts w:ascii="Calibri" w:eastAsia="Times New Roman" w:hAnsi="Calibri" w:cs="Calibri"/>
          <w:b/>
          <w:bCs/>
          <w:color w:val="002060"/>
          <w:kern w:val="0"/>
          <w:u w:val="single"/>
          <w14:ligatures w14:val="none"/>
        </w:rPr>
      </w:pPr>
    </w:p>
    <w:tbl>
      <w:tblPr>
        <w:tblW w:w="5000" w:type="pct"/>
        <w:tblCellMar>
          <w:left w:w="70" w:type="dxa"/>
          <w:right w:w="70" w:type="dxa"/>
        </w:tblCellMar>
        <w:tblLook w:val="04A0" w:firstRow="1" w:lastRow="0" w:firstColumn="1" w:lastColumn="0" w:noHBand="0" w:noVBand="1"/>
      </w:tblPr>
      <w:tblGrid>
        <w:gridCol w:w="4469"/>
        <w:gridCol w:w="738"/>
        <w:gridCol w:w="737"/>
        <w:gridCol w:w="737"/>
        <w:gridCol w:w="737"/>
        <w:gridCol w:w="737"/>
        <w:gridCol w:w="781"/>
        <w:gridCol w:w="845"/>
      </w:tblGrid>
      <w:tr w:rsidR="00AA1F87" w:rsidRPr="00AA1F87" w14:paraId="55C631BD" w14:textId="77777777" w:rsidTr="00446A14">
        <w:trPr>
          <w:trHeight w:val="227"/>
        </w:trPr>
        <w:tc>
          <w:tcPr>
            <w:tcW w:w="2284" w:type="pct"/>
            <w:tcBorders>
              <w:top w:val="nil"/>
              <w:left w:val="nil"/>
              <w:bottom w:val="nil"/>
              <w:right w:val="nil"/>
            </w:tcBorders>
            <w:shd w:val="clear" w:color="000000" w:fill="75F6F9"/>
            <w:vAlign w:val="center"/>
            <w:hideMark/>
          </w:tcPr>
          <w:p w14:paraId="15A92765" w14:textId="77777777" w:rsidR="00AA1F87" w:rsidRPr="00AA1F87" w:rsidRDefault="00AA1F87" w:rsidP="00AA1F87">
            <w:pPr>
              <w:spacing w:after="0" w:line="240" w:lineRule="auto"/>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Cronograma de Amortização da Dívida Bruta - Moeda Nacional - R$ Mil</w:t>
            </w:r>
          </w:p>
        </w:tc>
        <w:tc>
          <w:tcPr>
            <w:tcW w:w="377" w:type="pct"/>
            <w:tcBorders>
              <w:top w:val="nil"/>
              <w:left w:val="nil"/>
              <w:bottom w:val="nil"/>
              <w:right w:val="nil"/>
            </w:tcBorders>
            <w:shd w:val="clear" w:color="000000" w:fill="75F6F9"/>
            <w:vAlign w:val="center"/>
            <w:hideMark/>
          </w:tcPr>
          <w:p w14:paraId="1558FBC6" w14:textId="77777777" w:rsidR="00AA1F87" w:rsidRPr="00AA1F87" w:rsidRDefault="00AA1F87" w:rsidP="00AA1F87">
            <w:pPr>
              <w:spacing w:after="0" w:line="240" w:lineRule="auto"/>
              <w:jc w:val="center"/>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2024</w:t>
            </w:r>
          </w:p>
        </w:tc>
        <w:tc>
          <w:tcPr>
            <w:tcW w:w="377" w:type="pct"/>
            <w:tcBorders>
              <w:top w:val="nil"/>
              <w:left w:val="nil"/>
              <w:bottom w:val="nil"/>
              <w:right w:val="nil"/>
            </w:tcBorders>
            <w:shd w:val="clear" w:color="000000" w:fill="75F6F9"/>
            <w:vAlign w:val="center"/>
            <w:hideMark/>
          </w:tcPr>
          <w:p w14:paraId="11BFA99C" w14:textId="77777777" w:rsidR="00AA1F87" w:rsidRPr="00AA1F87" w:rsidRDefault="00AA1F87" w:rsidP="00AA1F87">
            <w:pPr>
              <w:spacing w:after="0" w:line="240" w:lineRule="auto"/>
              <w:jc w:val="center"/>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2025</w:t>
            </w:r>
          </w:p>
        </w:tc>
        <w:tc>
          <w:tcPr>
            <w:tcW w:w="377" w:type="pct"/>
            <w:tcBorders>
              <w:top w:val="nil"/>
              <w:left w:val="nil"/>
              <w:bottom w:val="nil"/>
              <w:right w:val="nil"/>
            </w:tcBorders>
            <w:shd w:val="clear" w:color="000000" w:fill="75F6F9"/>
            <w:vAlign w:val="center"/>
            <w:hideMark/>
          </w:tcPr>
          <w:p w14:paraId="00DA6E83" w14:textId="77777777" w:rsidR="00AA1F87" w:rsidRPr="00AA1F87" w:rsidRDefault="00AA1F87" w:rsidP="00AA1F87">
            <w:pPr>
              <w:spacing w:after="0" w:line="240" w:lineRule="auto"/>
              <w:jc w:val="center"/>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2026</w:t>
            </w:r>
          </w:p>
        </w:tc>
        <w:tc>
          <w:tcPr>
            <w:tcW w:w="377" w:type="pct"/>
            <w:tcBorders>
              <w:top w:val="nil"/>
              <w:left w:val="nil"/>
              <w:bottom w:val="nil"/>
              <w:right w:val="nil"/>
            </w:tcBorders>
            <w:shd w:val="clear" w:color="000000" w:fill="75F6F9"/>
            <w:vAlign w:val="center"/>
            <w:hideMark/>
          </w:tcPr>
          <w:p w14:paraId="56CE4AD7" w14:textId="77777777" w:rsidR="00AA1F87" w:rsidRPr="00AA1F87" w:rsidRDefault="00AA1F87" w:rsidP="00AA1F87">
            <w:pPr>
              <w:spacing w:after="0" w:line="240" w:lineRule="auto"/>
              <w:jc w:val="center"/>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2027</w:t>
            </w:r>
          </w:p>
        </w:tc>
        <w:tc>
          <w:tcPr>
            <w:tcW w:w="377" w:type="pct"/>
            <w:tcBorders>
              <w:top w:val="nil"/>
              <w:left w:val="nil"/>
              <w:bottom w:val="nil"/>
              <w:right w:val="nil"/>
            </w:tcBorders>
            <w:shd w:val="clear" w:color="000000" w:fill="75F6F9"/>
            <w:vAlign w:val="center"/>
            <w:hideMark/>
          </w:tcPr>
          <w:p w14:paraId="4319FD3D" w14:textId="77777777" w:rsidR="00AA1F87" w:rsidRPr="00AA1F87" w:rsidRDefault="00AA1F87" w:rsidP="00AA1F87">
            <w:pPr>
              <w:spacing w:after="0" w:line="240" w:lineRule="auto"/>
              <w:jc w:val="center"/>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2028</w:t>
            </w:r>
          </w:p>
        </w:tc>
        <w:tc>
          <w:tcPr>
            <w:tcW w:w="399" w:type="pct"/>
            <w:tcBorders>
              <w:top w:val="nil"/>
              <w:left w:val="nil"/>
              <w:bottom w:val="nil"/>
              <w:right w:val="nil"/>
            </w:tcBorders>
            <w:shd w:val="clear" w:color="000000" w:fill="75F6F9"/>
            <w:vAlign w:val="center"/>
            <w:hideMark/>
          </w:tcPr>
          <w:p w14:paraId="5714D803" w14:textId="77777777" w:rsidR="00AA1F87" w:rsidRPr="00AA1F87" w:rsidRDefault="00AA1F87" w:rsidP="00AA1F87">
            <w:pPr>
              <w:spacing w:after="0" w:line="240" w:lineRule="auto"/>
              <w:jc w:val="center"/>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2029 em diante</w:t>
            </w:r>
          </w:p>
        </w:tc>
        <w:tc>
          <w:tcPr>
            <w:tcW w:w="432" w:type="pct"/>
            <w:tcBorders>
              <w:top w:val="nil"/>
              <w:left w:val="nil"/>
              <w:bottom w:val="nil"/>
              <w:right w:val="nil"/>
            </w:tcBorders>
            <w:shd w:val="clear" w:color="000000" w:fill="75F6F9"/>
            <w:vAlign w:val="center"/>
            <w:hideMark/>
          </w:tcPr>
          <w:p w14:paraId="55AFD689" w14:textId="77777777" w:rsidR="00AA1F87" w:rsidRPr="00AA1F87" w:rsidRDefault="00AA1F87" w:rsidP="00AA1F87">
            <w:pPr>
              <w:spacing w:after="0" w:line="240" w:lineRule="auto"/>
              <w:jc w:val="center"/>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Total</w:t>
            </w:r>
          </w:p>
        </w:tc>
      </w:tr>
      <w:tr w:rsidR="00AA1F87" w:rsidRPr="00AA1F87" w14:paraId="651BAEE5" w14:textId="77777777" w:rsidTr="00446A14">
        <w:trPr>
          <w:trHeight w:val="227"/>
        </w:trPr>
        <w:tc>
          <w:tcPr>
            <w:tcW w:w="2284" w:type="pct"/>
            <w:tcBorders>
              <w:top w:val="nil"/>
              <w:left w:val="nil"/>
              <w:bottom w:val="single" w:sz="8" w:space="0" w:color="75F6F9"/>
              <w:right w:val="nil"/>
            </w:tcBorders>
            <w:shd w:val="clear" w:color="auto" w:fill="auto"/>
            <w:noWrap/>
            <w:vAlign w:val="bottom"/>
            <w:hideMark/>
          </w:tcPr>
          <w:p w14:paraId="2F6F160C" w14:textId="77777777" w:rsidR="00AA1F87" w:rsidRPr="00AA1F87" w:rsidRDefault="00AA1F87" w:rsidP="00AA1F87">
            <w:pPr>
              <w:spacing w:after="0" w:line="240" w:lineRule="auto"/>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Empréstimos e Financiamentos - FINEP</w:t>
            </w:r>
          </w:p>
        </w:tc>
        <w:tc>
          <w:tcPr>
            <w:tcW w:w="377" w:type="pct"/>
            <w:tcBorders>
              <w:top w:val="nil"/>
              <w:left w:val="nil"/>
              <w:bottom w:val="single" w:sz="8" w:space="0" w:color="75F6F9"/>
              <w:right w:val="nil"/>
            </w:tcBorders>
            <w:shd w:val="clear" w:color="auto" w:fill="auto"/>
            <w:noWrap/>
            <w:vAlign w:val="bottom"/>
            <w:hideMark/>
          </w:tcPr>
          <w:p w14:paraId="53ADA3E6"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45.710 </w:t>
            </w:r>
          </w:p>
        </w:tc>
        <w:tc>
          <w:tcPr>
            <w:tcW w:w="377" w:type="pct"/>
            <w:tcBorders>
              <w:top w:val="single" w:sz="8" w:space="0" w:color="75F6F9"/>
              <w:left w:val="nil"/>
              <w:bottom w:val="single" w:sz="8" w:space="0" w:color="75F6F9"/>
              <w:right w:val="nil"/>
            </w:tcBorders>
            <w:shd w:val="clear" w:color="auto" w:fill="auto"/>
            <w:noWrap/>
            <w:vAlign w:val="bottom"/>
            <w:hideMark/>
          </w:tcPr>
          <w:p w14:paraId="47758AB7"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44.892 </w:t>
            </w:r>
          </w:p>
        </w:tc>
        <w:tc>
          <w:tcPr>
            <w:tcW w:w="377" w:type="pct"/>
            <w:tcBorders>
              <w:top w:val="single" w:sz="8" w:space="0" w:color="75F6F9"/>
              <w:left w:val="nil"/>
              <w:bottom w:val="single" w:sz="8" w:space="0" w:color="75F6F9"/>
              <w:right w:val="nil"/>
            </w:tcBorders>
            <w:shd w:val="clear" w:color="auto" w:fill="auto"/>
            <w:noWrap/>
            <w:vAlign w:val="bottom"/>
            <w:hideMark/>
          </w:tcPr>
          <w:p w14:paraId="0357785C"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   </w:t>
            </w:r>
          </w:p>
        </w:tc>
        <w:tc>
          <w:tcPr>
            <w:tcW w:w="377" w:type="pct"/>
            <w:tcBorders>
              <w:top w:val="single" w:sz="8" w:space="0" w:color="75F6F9"/>
              <w:left w:val="nil"/>
              <w:bottom w:val="single" w:sz="8" w:space="0" w:color="75F6F9"/>
              <w:right w:val="nil"/>
            </w:tcBorders>
            <w:shd w:val="clear" w:color="auto" w:fill="auto"/>
            <w:noWrap/>
            <w:vAlign w:val="bottom"/>
            <w:hideMark/>
          </w:tcPr>
          <w:p w14:paraId="4DB107C9"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   </w:t>
            </w:r>
          </w:p>
        </w:tc>
        <w:tc>
          <w:tcPr>
            <w:tcW w:w="377" w:type="pct"/>
            <w:tcBorders>
              <w:top w:val="single" w:sz="8" w:space="0" w:color="75F6F9"/>
              <w:left w:val="nil"/>
              <w:bottom w:val="single" w:sz="8" w:space="0" w:color="75F6F9"/>
              <w:right w:val="nil"/>
            </w:tcBorders>
            <w:shd w:val="clear" w:color="auto" w:fill="auto"/>
            <w:noWrap/>
            <w:vAlign w:val="bottom"/>
            <w:hideMark/>
          </w:tcPr>
          <w:p w14:paraId="1B8483DC"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   </w:t>
            </w:r>
          </w:p>
        </w:tc>
        <w:tc>
          <w:tcPr>
            <w:tcW w:w="399" w:type="pct"/>
            <w:tcBorders>
              <w:top w:val="single" w:sz="8" w:space="0" w:color="75F6F9"/>
              <w:left w:val="nil"/>
              <w:bottom w:val="single" w:sz="8" w:space="0" w:color="75F6F9"/>
              <w:right w:val="nil"/>
            </w:tcBorders>
            <w:shd w:val="clear" w:color="auto" w:fill="auto"/>
            <w:noWrap/>
            <w:vAlign w:val="bottom"/>
            <w:hideMark/>
          </w:tcPr>
          <w:p w14:paraId="45C36098"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   </w:t>
            </w:r>
          </w:p>
        </w:tc>
        <w:tc>
          <w:tcPr>
            <w:tcW w:w="432" w:type="pct"/>
            <w:tcBorders>
              <w:top w:val="nil"/>
              <w:left w:val="nil"/>
              <w:bottom w:val="single" w:sz="8" w:space="0" w:color="75F6F9"/>
              <w:right w:val="nil"/>
            </w:tcBorders>
            <w:shd w:val="clear" w:color="auto" w:fill="auto"/>
            <w:noWrap/>
            <w:vAlign w:val="bottom"/>
            <w:hideMark/>
          </w:tcPr>
          <w:p w14:paraId="735D809B"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 xml:space="preserve">    90.602 </w:t>
            </w:r>
          </w:p>
        </w:tc>
      </w:tr>
      <w:tr w:rsidR="00AA1F87" w:rsidRPr="00AA1F87" w14:paraId="545BE143" w14:textId="77777777" w:rsidTr="00446A14">
        <w:trPr>
          <w:trHeight w:val="227"/>
        </w:trPr>
        <w:tc>
          <w:tcPr>
            <w:tcW w:w="2284" w:type="pct"/>
            <w:tcBorders>
              <w:top w:val="nil"/>
              <w:left w:val="nil"/>
              <w:bottom w:val="single" w:sz="8" w:space="0" w:color="75F6F9"/>
              <w:right w:val="nil"/>
            </w:tcBorders>
            <w:shd w:val="clear" w:color="auto" w:fill="auto"/>
            <w:noWrap/>
            <w:vAlign w:val="bottom"/>
            <w:hideMark/>
          </w:tcPr>
          <w:p w14:paraId="7211794E" w14:textId="77777777" w:rsidR="00AA1F87" w:rsidRPr="00AA1F87" w:rsidRDefault="00AA1F87" w:rsidP="00AA1F87">
            <w:pPr>
              <w:spacing w:after="0" w:line="240" w:lineRule="auto"/>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Arrendamento Mercantil Financeiro</w:t>
            </w:r>
          </w:p>
        </w:tc>
        <w:tc>
          <w:tcPr>
            <w:tcW w:w="377" w:type="pct"/>
            <w:tcBorders>
              <w:top w:val="nil"/>
              <w:left w:val="nil"/>
              <w:bottom w:val="single" w:sz="8" w:space="0" w:color="75F6F9"/>
              <w:right w:val="nil"/>
            </w:tcBorders>
            <w:shd w:val="clear" w:color="auto" w:fill="auto"/>
            <w:noWrap/>
            <w:vAlign w:val="bottom"/>
            <w:hideMark/>
          </w:tcPr>
          <w:p w14:paraId="236797AE"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5.324 </w:t>
            </w:r>
          </w:p>
        </w:tc>
        <w:tc>
          <w:tcPr>
            <w:tcW w:w="377" w:type="pct"/>
            <w:tcBorders>
              <w:top w:val="nil"/>
              <w:left w:val="nil"/>
              <w:bottom w:val="single" w:sz="8" w:space="0" w:color="75F6F9"/>
              <w:right w:val="nil"/>
            </w:tcBorders>
            <w:shd w:val="clear" w:color="auto" w:fill="auto"/>
            <w:noWrap/>
            <w:vAlign w:val="bottom"/>
            <w:hideMark/>
          </w:tcPr>
          <w:p w14:paraId="5832A8E1"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5.205 </w:t>
            </w:r>
          </w:p>
        </w:tc>
        <w:tc>
          <w:tcPr>
            <w:tcW w:w="377" w:type="pct"/>
            <w:tcBorders>
              <w:top w:val="nil"/>
              <w:left w:val="nil"/>
              <w:bottom w:val="single" w:sz="8" w:space="0" w:color="75F6F9"/>
              <w:right w:val="nil"/>
            </w:tcBorders>
            <w:shd w:val="clear" w:color="auto" w:fill="auto"/>
            <w:noWrap/>
            <w:vAlign w:val="bottom"/>
            <w:hideMark/>
          </w:tcPr>
          <w:p w14:paraId="2A85A232"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1.948 </w:t>
            </w:r>
          </w:p>
        </w:tc>
        <w:tc>
          <w:tcPr>
            <w:tcW w:w="377" w:type="pct"/>
            <w:tcBorders>
              <w:top w:val="nil"/>
              <w:left w:val="nil"/>
              <w:bottom w:val="single" w:sz="8" w:space="0" w:color="75F6F9"/>
              <w:right w:val="nil"/>
            </w:tcBorders>
            <w:shd w:val="clear" w:color="auto" w:fill="auto"/>
            <w:noWrap/>
            <w:vAlign w:val="bottom"/>
            <w:hideMark/>
          </w:tcPr>
          <w:p w14:paraId="63AC2590"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1.220 </w:t>
            </w:r>
          </w:p>
        </w:tc>
        <w:tc>
          <w:tcPr>
            <w:tcW w:w="377" w:type="pct"/>
            <w:tcBorders>
              <w:top w:val="nil"/>
              <w:left w:val="nil"/>
              <w:bottom w:val="single" w:sz="8" w:space="0" w:color="75F6F9"/>
              <w:right w:val="nil"/>
            </w:tcBorders>
            <w:shd w:val="clear" w:color="auto" w:fill="auto"/>
            <w:noWrap/>
            <w:vAlign w:val="bottom"/>
            <w:hideMark/>
          </w:tcPr>
          <w:p w14:paraId="5E29F780"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303 </w:t>
            </w:r>
          </w:p>
        </w:tc>
        <w:tc>
          <w:tcPr>
            <w:tcW w:w="399" w:type="pct"/>
            <w:tcBorders>
              <w:top w:val="nil"/>
              <w:left w:val="nil"/>
              <w:bottom w:val="single" w:sz="8" w:space="0" w:color="75F6F9"/>
              <w:right w:val="nil"/>
            </w:tcBorders>
            <w:shd w:val="clear" w:color="auto" w:fill="auto"/>
            <w:noWrap/>
            <w:vAlign w:val="bottom"/>
            <w:hideMark/>
          </w:tcPr>
          <w:p w14:paraId="0B08E2D0"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121 </w:t>
            </w:r>
          </w:p>
        </w:tc>
        <w:tc>
          <w:tcPr>
            <w:tcW w:w="432" w:type="pct"/>
            <w:tcBorders>
              <w:top w:val="nil"/>
              <w:left w:val="nil"/>
              <w:bottom w:val="single" w:sz="8" w:space="0" w:color="75F6F9"/>
              <w:right w:val="nil"/>
            </w:tcBorders>
            <w:shd w:val="clear" w:color="auto" w:fill="auto"/>
            <w:noWrap/>
            <w:vAlign w:val="bottom"/>
            <w:hideMark/>
          </w:tcPr>
          <w:p w14:paraId="6EF1FBF5"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 xml:space="preserve">    14.121 </w:t>
            </w:r>
          </w:p>
        </w:tc>
      </w:tr>
      <w:tr w:rsidR="00AA1F87" w:rsidRPr="00AA1F87" w14:paraId="226942D9" w14:textId="77777777" w:rsidTr="00446A14">
        <w:trPr>
          <w:trHeight w:val="227"/>
        </w:trPr>
        <w:tc>
          <w:tcPr>
            <w:tcW w:w="2284" w:type="pct"/>
            <w:tcBorders>
              <w:top w:val="nil"/>
              <w:left w:val="nil"/>
              <w:bottom w:val="single" w:sz="8" w:space="0" w:color="75F6F9"/>
              <w:right w:val="nil"/>
            </w:tcBorders>
            <w:shd w:val="clear" w:color="auto" w:fill="auto"/>
            <w:noWrap/>
            <w:vAlign w:val="bottom"/>
            <w:hideMark/>
          </w:tcPr>
          <w:p w14:paraId="63DD9989" w14:textId="77777777" w:rsidR="00AA1F87" w:rsidRPr="00AA1F87" w:rsidRDefault="00AA1F87" w:rsidP="00AA1F87">
            <w:pPr>
              <w:spacing w:after="0" w:line="240" w:lineRule="auto"/>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Credores por Acordo Judiciais</w:t>
            </w:r>
          </w:p>
        </w:tc>
        <w:tc>
          <w:tcPr>
            <w:tcW w:w="377" w:type="pct"/>
            <w:tcBorders>
              <w:top w:val="nil"/>
              <w:left w:val="nil"/>
              <w:bottom w:val="single" w:sz="8" w:space="0" w:color="75F6F9"/>
              <w:right w:val="nil"/>
            </w:tcBorders>
            <w:shd w:val="clear" w:color="auto" w:fill="auto"/>
            <w:noWrap/>
            <w:vAlign w:val="bottom"/>
            <w:hideMark/>
          </w:tcPr>
          <w:p w14:paraId="47580093"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16.436 </w:t>
            </w:r>
          </w:p>
        </w:tc>
        <w:tc>
          <w:tcPr>
            <w:tcW w:w="377" w:type="pct"/>
            <w:tcBorders>
              <w:top w:val="nil"/>
              <w:left w:val="nil"/>
              <w:bottom w:val="single" w:sz="8" w:space="0" w:color="75F6F9"/>
              <w:right w:val="nil"/>
            </w:tcBorders>
            <w:shd w:val="clear" w:color="auto" w:fill="auto"/>
            <w:noWrap/>
            <w:vAlign w:val="bottom"/>
            <w:hideMark/>
          </w:tcPr>
          <w:p w14:paraId="161ADF25"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16.340 </w:t>
            </w:r>
          </w:p>
        </w:tc>
        <w:tc>
          <w:tcPr>
            <w:tcW w:w="377" w:type="pct"/>
            <w:tcBorders>
              <w:top w:val="nil"/>
              <w:left w:val="nil"/>
              <w:bottom w:val="single" w:sz="8" w:space="0" w:color="75F6F9"/>
              <w:right w:val="nil"/>
            </w:tcBorders>
            <w:shd w:val="clear" w:color="auto" w:fill="auto"/>
            <w:noWrap/>
            <w:vAlign w:val="bottom"/>
            <w:hideMark/>
          </w:tcPr>
          <w:p w14:paraId="1FEF5CD2"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16.340</w:t>
            </w:r>
          </w:p>
        </w:tc>
        <w:tc>
          <w:tcPr>
            <w:tcW w:w="377" w:type="pct"/>
            <w:tcBorders>
              <w:top w:val="nil"/>
              <w:left w:val="nil"/>
              <w:bottom w:val="single" w:sz="8" w:space="0" w:color="75F6F9"/>
              <w:right w:val="nil"/>
            </w:tcBorders>
            <w:shd w:val="clear" w:color="auto" w:fill="auto"/>
            <w:noWrap/>
            <w:vAlign w:val="bottom"/>
            <w:hideMark/>
          </w:tcPr>
          <w:p w14:paraId="3CC8979E"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16.340 </w:t>
            </w:r>
          </w:p>
        </w:tc>
        <w:tc>
          <w:tcPr>
            <w:tcW w:w="377" w:type="pct"/>
            <w:tcBorders>
              <w:top w:val="nil"/>
              <w:left w:val="nil"/>
              <w:bottom w:val="single" w:sz="8" w:space="0" w:color="75F6F9"/>
              <w:right w:val="nil"/>
            </w:tcBorders>
            <w:shd w:val="clear" w:color="auto" w:fill="auto"/>
            <w:noWrap/>
            <w:vAlign w:val="bottom"/>
            <w:hideMark/>
          </w:tcPr>
          <w:p w14:paraId="766D4C21"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16.340 </w:t>
            </w:r>
          </w:p>
        </w:tc>
        <w:tc>
          <w:tcPr>
            <w:tcW w:w="399" w:type="pct"/>
            <w:tcBorders>
              <w:top w:val="nil"/>
              <w:left w:val="nil"/>
              <w:bottom w:val="single" w:sz="8" w:space="0" w:color="75F6F9"/>
              <w:right w:val="nil"/>
            </w:tcBorders>
            <w:shd w:val="clear" w:color="auto" w:fill="auto"/>
            <w:noWrap/>
            <w:vAlign w:val="bottom"/>
            <w:hideMark/>
          </w:tcPr>
          <w:p w14:paraId="5A0E95FB"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50.644 </w:t>
            </w:r>
          </w:p>
        </w:tc>
        <w:tc>
          <w:tcPr>
            <w:tcW w:w="432" w:type="pct"/>
            <w:tcBorders>
              <w:top w:val="nil"/>
              <w:left w:val="nil"/>
              <w:bottom w:val="single" w:sz="8" w:space="0" w:color="75F6F9"/>
              <w:right w:val="nil"/>
            </w:tcBorders>
            <w:shd w:val="clear" w:color="auto" w:fill="auto"/>
            <w:noWrap/>
            <w:vAlign w:val="bottom"/>
            <w:hideMark/>
          </w:tcPr>
          <w:p w14:paraId="7C9CB218"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 xml:space="preserve">  132.440 </w:t>
            </w:r>
          </w:p>
        </w:tc>
      </w:tr>
      <w:tr w:rsidR="00AA1F87" w:rsidRPr="00AA1F87" w14:paraId="254500E7" w14:textId="77777777" w:rsidTr="00446A14">
        <w:trPr>
          <w:trHeight w:val="227"/>
        </w:trPr>
        <w:tc>
          <w:tcPr>
            <w:tcW w:w="2284" w:type="pct"/>
            <w:tcBorders>
              <w:top w:val="nil"/>
              <w:left w:val="nil"/>
              <w:bottom w:val="single" w:sz="8" w:space="0" w:color="75F6F9"/>
              <w:right w:val="nil"/>
            </w:tcBorders>
            <w:shd w:val="clear" w:color="auto" w:fill="auto"/>
            <w:noWrap/>
            <w:vAlign w:val="bottom"/>
            <w:hideMark/>
          </w:tcPr>
          <w:p w14:paraId="3B3649B0" w14:textId="77777777" w:rsidR="00AA1F87" w:rsidRPr="00AA1F87" w:rsidRDefault="00AA1F87" w:rsidP="00AA1F87">
            <w:pPr>
              <w:spacing w:after="0" w:line="240" w:lineRule="auto"/>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lastRenderedPageBreak/>
              <w:t>Total</w:t>
            </w:r>
          </w:p>
        </w:tc>
        <w:tc>
          <w:tcPr>
            <w:tcW w:w="377" w:type="pct"/>
            <w:tcBorders>
              <w:top w:val="nil"/>
              <w:left w:val="nil"/>
              <w:bottom w:val="single" w:sz="8" w:space="0" w:color="75F6F9"/>
              <w:right w:val="nil"/>
            </w:tcBorders>
            <w:shd w:val="clear" w:color="auto" w:fill="auto"/>
            <w:noWrap/>
            <w:vAlign w:val="bottom"/>
            <w:hideMark/>
          </w:tcPr>
          <w:p w14:paraId="2CB5AA06"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 xml:space="preserve">  67.470 </w:t>
            </w:r>
          </w:p>
        </w:tc>
        <w:tc>
          <w:tcPr>
            <w:tcW w:w="377" w:type="pct"/>
            <w:tcBorders>
              <w:top w:val="nil"/>
              <w:left w:val="nil"/>
              <w:bottom w:val="single" w:sz="8" w:space="0" w:color="75F6F9"/>
              <w:right w:val="nil"/>
            </w:tcBorders>
            <w:shd w:val="clear" w:color="auto" w:fill="auto"/>
            <w:noWrap/>
            <w:vAlign w:val="bottom"/>
            <w:hideMark/>
          </w:tcPr>
          <w:p w14:paraId="50486DCA"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 xml:space="preserve">  66.437 </w:t>
            </w:r>
          </w:p>
        </w:tc>
        <w:tc>
          <w:tcPr>
            <w:tcW w:w="377" w:type="pct"/>
            <w:tcBorders>
              <w:top w:val="nil"/>
              <w:left w:val="nil"/>
              <w:bottom w:val="single" w:sz="8" w:space="0" w:color="75F6F9"/>
              <w:right w:val="nil"/>
            </w:tcBorders>
            <w:shd w:val="clear" w:color="auto" w:fill="auto"/>
            <w:noWrap/>
            <w:vAlign w:val="bottom"/>
            <w:hideMark/>
          </w:tcPr>
          <w:p w14:paraId="05A8AE69"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 xml:space="preserve">  18.288 </w:t>
            </w:r>
          </w:p>
        </w:tc>
        <w:tc>
          <w:tcPr>
            <w:tcW w:w="377" w:type="pct"/>
            <w:tcBorders>
              <w:top w:val="nil"/>
              <w:left w:val="nil"/>
              <w:bottom w:val="single" w:sz="8" w:space="0" w:color="75F6F9"/>
              <w:right w:val="nil"/>
            </w:tcBorders>
            <w:shd w:val="clear" w:color="auto" w:fill="auto"/>
            <w:noWrap/>
            <w:vAlign w:val="bottom"/>
            <w:hideMark/>
          </w:tcPr>
          <w:p w14:paraId="3337A552"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 xml:space="preserve">  17.560 </w:t>
            </w:r>
          </w:p>
        </w:tc>
        <w:tc>
          <w:tcPr>
            <w:tcW w:w="377" w:type="pct"/>
            <w:tcBorders>
              <w:top w:val="nil"/>
              <w:left w:val="nil"/>
              <w:bottom w:val="single" w:sz="8" w:space="0" w:color="75F6F9"/>
              <w:right w:val="nil"/>
            </w:tcBorders>
            <w:shd w:val="clear" w:color="auto" w:fill="auto"/>
            <w:noWrap/>
            <w:vAlign w:val="bottom"/>
            <w:hideMark/>
          </w:tcPr>
          <w:p w14:paraId="78CE16F3"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 xml:space="preserve">  16.643 </w:t>
            </w:r>
          </w:p>
        </w:tc>
        <w:tc>
          <w:tcPr>
            <w:tcW w:w="399" w:type="pct"/>
            <w:tcBorders>
              <w:top w:val="nil"/>
              <w:left w:val="nil"/>
              <w:bottom w:val="single" w:sz="8" w:space="0" w:color="75F6F9"/>
              <w:right w:val="nil"/>
            </w:tcBorders>
            <w:shd w:val="clear" w:color="auto" w:fill="auto"/>
            <w:noWrap/>
            <w:vAlign w:val="bottom"/>
            <w:hideMark/>
          </w:tcPr>
          <w:p w14:paraId="15535227"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 xml:space="preserve">   50.765 </w:t>
            </w:r>
          </w:p>
        </w:tc>
        <w:tc>
          <w:tcPr>
            <w:tcW w:w="432" w:type="pct"/>
            <w:tcBorders>
              <w:top w:val="nil"/>
              <w:left w:val="nil"/>
              <w:bottom w:val="single" w:sz="8" w:space="0" w:color="75F6F9"/>
              <w:right w:val="nil"/>
            </w:tcBorders>
            <w:shd w:val="clear" w:color="auto" w:fill="auto"/>
            <w:noWrap/>
            <w:vAlign w:val="bottom"/>
            <w:hideMark/>
          </w:tcPr>
          <w:p w14:paraId="38836EF8"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 xml:space="preserve">  237.163 </w:t>
            </w:r>
          </w:p>
        </w:tc>
      </w:tr>
    </w:tbl>
    <w:p w14:paraId="2CAFE94A" w14:textId="77777777" w:rsidR="00AA1F87" w:rsidRDefault="00AA1F87" w:rsidP="00AA1F87">
      <w:pPr>
        <w:spacing w:after="0" w:line="240" w:lineRule="auto"/>
        <w:jc w:val="both"/>
        <w:rPr>
          <w:rFonts w:ascii="Calibri" w:eastAsia="Times New Roman" w:hAnsi="Calibri" w:cs="Calibri"/>
          <w:b/>
          <w:bCs/>
          <w:color w:val="002060"/>
          <w:kern w:val="0"/>
          <w:u w:val="single"/>
          <w14:ligatures w14:val="none"/>
        </w:rPr>
      </w:pPr>
    </w:p>
    <w:p w14:paraId="7F725EE5" w14:textId="77777777" w:rsidR="00AA1F87" w:rsidRDefault="00AA1F87" w:rsidP="00AA1F87">
      <w:pPr>
        <w:spacing w:after="0" w:line="240" w:lineRule="auto"/>
        <w:jc w:val="both"/>
        <w:rPr>
          <w:rFonts w:ascii="Calibri" w:eastAsia="Times New Roman" w:hAnsi="Calibri" w:cs="Calibri"/>
          <w:b/>
          <w:bCs/>
          <w:color w:val="002060"/>
          <w:kern w:val="0"/>
          <w:u w:val="single"/>
          <w14:ligatures w14:val="none"/>
        </w:rPr>
      </w:pPr>
      <w:r w:rsidRPr="00AA1F87">
        <w:rPr>
          <w:rFonts w:ascii="Calibri" w:eastAsia="Times New Roman" w:hAnsi="Calibri" w:cs="Calibri"/>
          <w:b/>
          <w:bCs/>
          <w:color w:val="002060"/>
          <w:kern w:val="0"/>
          <w:u w:val="single"/>
          <w14:ligatures w14:val="none"/>
        </w:rPr>
        <w:t>Movimentação dos Empréstimos e Financiamentos e Acordos de Dívidas</w:t>
      </w:r>
    </w:p>
    <w:tbl>
      <w:tblPr>
        <w:tblW w:w="5000" w:type="pct"/>
        <w:tblCellMar>
          <w:left w:w="70" w:type="dxa"/>
          <w:right w:w="70" w:type="dxa"/>
        </w:tblCellMar>
        <w:tblLook w:val="04A0" w:firstRow="1" w:lastRow="0" w:firstColumn="1" w:lastColumn="0" w:noHBand="0" w:noVBand="1"/>
      </w:tblPr>
      <w:tblGrid>
        <w:gridCol w:w="4433"/>
        <w:gridCol w:w="1782"/>
        <w:gridCol w:w="1782"/>
        <w:gridCol w:w="1784"/>
      </w:tblGrid>
      <w:tr w:rsidR="00AA1F87" w:rsidRPr="00AA1F87" w14:paraId="021840AE" w14:textId="77777777" w:rsidTr="00446A14">
        <w:trPr>
          <w:trHeight w:val="227"/>
        </w:trPr>
        <w:tc>
          <w:tcPr>
            <w:tcW w:w="2266" w:type="pct"/>
            <w:vMerge w:val="restart"/>
            <w:tcBorders>
              <w:top w:val="nil"/>
              <w:left w:val="nil"/>
              <w:bottom w:val="nil"/>
              <w:right w:val="nil"/>
            </w:tcBorders>
            <w:shd w:val="clear" w:color="000000" w:fill="75F6F9"/>
            <w:vAlign w:val="center"/>
            <w:hideMark/>
          </w:tcPr>
          <w:p w14:paraId="67CBB3E9" w14:textId="77777777" w:rsidR="00AA1F87" w:rsidRPr="00AA1F87" w:rsidRDefault="00AA1F87" w:rsidP="00AA1F87">
            <w:pPr>
              <w:spacing w:after="0" w:line="240" w:lineRule="auto"/>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R$ mil</w:t>
            </w:r>
          </w:p>
        </w:tc>
        <w:tc>
          <w:tcPr>
            <w:tcW w:w="2734" w:type="pct"/>
            <w:gridSpan w:val="3"/>
            <w:tcBorders>
              <w:top w:val="nil"/>
              <w:left w:val="nil"/>
              <w:bottom w:val="nil"/>
              <w:right w:val="nil"/>
            </w:tcBorders>
            <w:shd w:val="clear" w:color="000000" w:fill="D9E1F2"/>
            <w:noWrap/>
            <w:vAlign w:val="center"/>
            <w:hideMark/>
          </w:tcPr>
          <w:p w14:paraId="0CC1CE69" w14:textId="77777777" w:rsidR="00AA1F87" w:rsidRPr="00AA1F87" w:rsidRDefault="00AA1F87" w:rsidP="00AA1F87">
            <w:pPr>
              <w:spacing w:after="0" w:line="240" w:lineRule="auto"/>
              <w:jc w:val="center"/>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31/12/2023</w:t>
            </w:r>
          </w:p>
        </w:tc>
      </w:tr>
      <w:tr w:rsidR="00AA1F87" w:rsidRPr="00AA1F87" w14:paraId="661AE9CF" w14:textId="77777777" w:rsidTr="00217E7F">
        <w:trPr>
          <w:trHeight w:val="227"/>
        </w:trPr>
        <w:tc>
          <w:tcPr>
            <w:tcW w:w="2266" w:type="pct"/>
            <w:vMerge/>
            <w:tcBorders>
              <w:top w:val="nil"/>
              <w:left w:val="nil"/>
              <w:bottom w:val="nil"/>
              <w:right w:val="nil"/>
            </w:tcBorders>
            <w:vAlign w:val="center"/>
            <w:hideMark/>
          </w:tcPr>
          <w:p w14:paraId="7775FEF7" w14:textId="77777777" w:rsidR="00AA1F87" w:rsidRPr="00AA1F87" w:rsidRDefault="00AA1F87" w:rsidP="00AA1F87">
            <w:pPr>
              <w:spacing w:after="0" w:line="240" w:lineRule="auto"/>
              <w:rPr>
                <w:rFonts w:ascii="Arial" w:eastAsia="Times New Roman" w:hAnsi="Arial" w:cs="Arial"/>
                <w:b/>
                <w:bCs/>
                <w:color w:val="000000"/>
                <w:kern w:val="0"/>
                <w:sz w:val="16"/>
                <w:szCs w:val="16"/>
                <w:lang w:eastAsia="pt-BR"/>
                <w14:ligatures w14:val="none"/>
              </w:rPr>
            </w:pPr>
          </w:p>
        </w:tc>
        <w:tc>
          <w:tcPr>
            <w:tcW w:w="911" w:type="pct"/>
            <w:tcBorders>
              <w:top w:val="nil"/>
              <w:left w:val="nil"/>
              <w:bottom w:val="nil"/>
              <w:right w:val="nil"/>
            </w:tcBorders>
            <w:shd w:val="clear" w:color="000000" w:fill="75F6F9"/>
            <w:vAlign w:val="center"/>
            <w:hideMark/>
          </w:tcPr>
          <w:p w14:paraId="04C34CF0" w14:textId="77777777" w:rsidR="00AA1F87" w:rsidRPr="00AA1F87" w:rsidRDefault="00AA1F87" w:rsidP="00AA1F87">
            <w:pPr>
              <w:spacing w:after="0" w:line="240" w:lineRule="auto"/>
              <w:jc w:val="center"/>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Empréstimos e Financiamentos</w:t>
            </w:r>
          </w:p>
        </w:tc>
        <w:tc>
          <w:tcPr>
            <w:tcW w:w="911" w:type="pct"/>
            <w:tcBorders>
              <w:top w:val="nil"/>
              <w:left w:val="nil"/>
              <w:bottom w:val="nil"/>
              <w:right w:val="nil"/>
            </w:tcBorders>
            <w:shd w:val="clear" w:color="000000" w:fill="75F6F9"/>
            <w:vAlign w:val="center"/>
            <w:hideMark/>
          </w:tcPr>
          <w:p w14:paraId="536B3953" w14:textId="77777777" w:rsidR="00AA1F87" w:rsidRPr="00AA1F87" w:rsidRDefault="00AA1F87" w:rsidP="00AA1F87">
            <w:pPr>
              <w:spacing w:after="0" w:line="240" w:lineRule="auto"/>
              <w:jc w:val="center"/>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Arrendamento Mercantil Financeiro</w:t>
            </w:r>
          </w:p>
        </w:tc>
        <w:tc>
          <w:tcPr>
            <w:tcW w:w="912" w:type="pct"/>
            <w:tcBorders>
              <w:top w:val="nil"/>
              <w:left w:val="nil"/>
              <w:bottom w:val="nil"/>
              <w:right w:val="nil"/>
            </w:tcBorders>
            <w:shd w:val="clear" w:color="000000" w:fill="75F6F9"/>
            <w:vAlign w:val="center"/>
            <w:hideMark/>
          </w:tcPr>
          <w:p w14:paraId="53831073" w14:textId="77777777" w:rsidR="00AA1F87" w:rsidRPr="00AA1F87" w:rsidRDefault="00AA1F87" w:rsidP="00AA1F87">
            <w:pPr>
              <w:spacing w:after="0" w:line="240" w:lineRule="auto"/>
              <w:jc w:val="center"/>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Acordos Judiciais</w:t>
            </w:r>
          </w:p>
        </w:tc>
      </w:tr>
      <w:tr w:rsidR="00AA1F87" w:rsidRPr="00AA1F87" w14:paraId="2AA5330A" w14:textId="77777777" w:rsidTr="00217E7F">
        <w:trPr>
          <w:trHeight w:val="227"/>
        </w:trPr>
        <w:tc>
          <w:tcPr>
            <w:tcW w:w="2266" w:type="pct"/>
            <w:tcBorders>
              <w:top w:val="nil"/>
              <w:left w:val="nil"/>
              <w:bottom w:val="nil"/>
              <w:right w:val="nil"/>
            </w:tcBorders>
            <w:shd w:val="clear" w:color="auto" w:fill="auto"/>
            <w:noWrap/>
            <w:vAlign w:val="center"/>
            <w:hideMark/>
          </w:tcPr>
          <w:p w14:paraId="3188A8D4" w14:textId="77777777" w:rsidR="00AA1F87" w:rsidRPr="00AA1F87" w:rsidRDefault="00AA1F87" w:rsidP="00AA1F87">
            <w:pPr>
              <w:spacing w:after="0" w:line="240" w:lineRule="auto"/>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 xml:space="preserve">Saldos </w:t>
            </w:r>
            <w:proofErr w:type="gramStart"/>
            <w:r w:rsidRPr="00AA1F87">
              <w:rPr>
                <w:rFonts w:ascii="Arial" w:eastAsia="Times New Roman" w:hAnsi="Arial" w:cs="Arial"/>
                <w:b/>
                <w:bCs/>
                <w:color w:val="000000"/>
                <w:kern w:val="0"/>
                <w:sz w:val="16"/>
                <w:szCs w:val="16"/>
                <w:lang w:eastAsia="pt-BR"/>
                <w14:ligatures w14:val="none"/>
              </w:rPr>
              <w:t>Iniciais  em</w:t>
            </w:r>
            <w:proofErr w:type="gramEnd"/>
            <w:r w:rsidRPr="00AA1F87">
              <w:rPr>
                <w:rFonts w:ascii="Arial" w:eastAsia="Times New Roman" w:hAnsi="Arial" w:cs="Arial"/>
                <w:b/>
                <w:bCs/>
                <w:color w:val="000000"/>
                <w:kern w:val="0"/>
                <w:sz w:val="16"/>
                <w:szCs w:val="16"/>
                <w:lang w:eastAsia="pt-BR"/>
                <w14:ligatures w14:val="none"/>
              </w:rPr>
              <w:t xml:space="preserve"> 31 de dezembro de 2022</w:t>
            </w:r>
          </w:p>
        </w:tc>
        <w:tc>
          <w:tcPr>
            <w:tcW w:w="911" w:type="pct"/>
            <w:tcBorders>
              <w:top w:val="nil"/>
              <w:left w:val="nil"/>
              <w:bottom w:val="nil"/>
              <w:right w:val="nil"/>
            </w:tcBorders>
            <w:shd w:val="clear" w:color="auto" w:fill="auto"/>
            <w:noWrap/>
            <w:vAlign w:val="center"/>
            <w:hideMark/>
          </w:tcPr>
          <w:p w14:paraId="62C1A5CE"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 xml:space="preserve">                     136.810 </w:t>
            </w:r>
          </w:p>
        </w:tc>
        <w:tc>
          <w:tcPr>
            <w:tcW w:w="911" w:type="pct"/>
            <w:tcBorders>
              <w:top w:val="nil"/>
              <w:left w:val="nil"/>
              <w:bottom w:val="nil"/>
              <w:right w:val="nil"/>
            </w:tcBorders>
            <w:shd w:val="clear" w:color="auto" w:fill="auto"/>
            <w:noWrap/>
            <w:vAlign w:val="bottom"/>
            <w:hideMark/>
          </w:tcPr>
          <w:p w14:paraId="3A02B30B"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 xml:space="preserve">                        16.657 </w:t>
            </w:r>
          </w:p>
        </w:tc>
        <w:tc>
          <w:tcPr>
            <w:tcW w:w="912" w:type="pct"/>
            <w:tcBorders>
              <w:top w:val="nil"/>
              <w:left w:val="nil"/>
              <w:bottom w:val="nil"/>
              <w:right w:val="nil"/>
            </w:tcBorders>
            <w:shd w:val="clear" w:color="auto" w:fill="auto"/>
            <w:noWrap/>
            <w:vAlign w:val="bottom"/>
            <w:hideMark/>
          </w:tcPr>
          <w:p w14:paraId="149B735B"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 xml:space="preserve">                     154.423 </w:t>
            </w:r>
          </w:p>
        </w:tc>
      </w:tr>
      <w:tr w:rsidR="00AA1F87" w:rsidRPr="00AA1F87" w14:paraId="20ABEAFD" w14:textId="77777777" w:rsidTr="00217E7F">
        <w:trPr>
          <w:trHeight w:val="227"/>
        </w:trPr>
        <w:tc>
          <w:tcPr>
            <w:tcW w:w="2266" w:type="pct"/>
            <w:tcBorders>
              <w:top w:val="nil"/>
              <w:left w:val="nil"/>
              <w:bottom w:val="nil"/>
              <w:right w:val="nil"/>
            </w:tcBorders>
            <w:shd w:val="clear" w:color="auto" w:fill="auto"/>
            <w:noWrap/>
            <w:vAlign w:val="bottom"/>
            <w:hideMark/>
          </w:tcPr>
          <w:p w14:paraId="1EA3DD54" w14:textId="77777777" w:rsidR="00AA1F87" w:rsidRPr="00AA1F87" w:rsidRDefault="00AA1F87" w:rsidP="00AA1F87">
            <w:pPr>
              <w:spacing w:after="0" w:line="240" w:lineRule="auto"/>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Adições</w:t>
            </w:r>
          </w:p>
        </w:tc>
        <w:tc>
          <w:tcPr>
            <w:tcW w:w="911" w:type="pct"/>
            <w:tcBorders>
              <w:top w:val="nil"/>
              <w:left w:val="nil"/>
              <w:bottom w:val="nil"/>
              <w:right w:val="nil"/>
            </w:tcBorders>
            <w:shd w:val="clear" w:color="auto" w:fill="auto"/>
            <w:noWrap/>
            <w:vAlign w:val="center"/>
            <w:hideMark/>
          </w:tcPr>
          <w:p w14:paraId="0F6E9910"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      </w:t>
            </w:r>
          </w:p>
        </w:tc>
        <w:tc>
          <w:tcPr>
            <w:tcW w:w="911" w:type="pct"/>
            <w:tcBorders>
              <w:top w:val="nil"/>
              <w:left w:val="nil"/>
              <w:bottom w:val="nil"/>
              <w:right w:val="nil"/>
            </w:tcBorders>
            <w:shd w:val="clear" w:color="auto" w:fill="auto"/>
            <w:noWrap/>
            <w:vAlign w:val="bottom"/>
            <w:hideMark/>
          </w:tcPr>
          <w:p w14:paraId="20F2C179"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2.674 </w:t>
            </w:r>
          </w:p>
        </w:tc>
        <w:tc>
          <w:tcPr>
            <w:tcW w:w="912" w:type="pct"/>
            <w:tcBorders>
              <w:top w:val="nil"/>
              <w:left w:val="nil"/>
              <w:bottom w:val="nil"/>
              <w:right w:val="nil"/>
            </w:tcBorders>
            <w:shd w:val="clear" w:color="auto" w:fill="auto"/>
            <w:noWrap/>
            <w:vAlign w:val="bottom"/>
            <w:hideMark/>
          </w:tcPr>
          <w:p w14:paraId="1BF4FD73"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      </w:t>
            </w:r>
          </w:p>
        </w:tc>
      </w:tr>
      <w:tr w:rsidR="00AA1F87" w:rsidRPr="00AA1F87" w14:paraId="6E94A5AE" w14:textId="77777777" w:rsidTr="00217E7F">
        <w:trPr>
          <w:trHeight w:val="227"/>
        </w:trPr>
        <w:tc>
          <w:tcPr>
            <w:tcW w:w="2266" w:type="pct"/>
            <w:tcBorders>
              <w:top w:val="nil"/>
              <w:left w:val="nil"/>
              <w:bottom w:val="nil"/>
              <w:right w:val="nil"/>
            </w:tcBorders>
            <w:shd w:val="clear" w:color="auto" w:fill="auto"/>
            <w:noWrap/>
            <w:vAlign w:val="center"/>
            <w:hideMark/>
          </w:tcPr>
          <w:p w14:paraId="7E62A6F3" w14:textId="77777777" w:rsidR="00AA1F87" w:rsidRPr="00AA1F87" w:rsidRDefault="00AA1F87" w:rsidP="00AA1F87">
            <w:pPr>
              <w:spacing w:after="0" w:line="240" w:lineRule="auto"/>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Juros e Variação Monetária do Período</w:t>
            </w:r>
          </w:p>
        </w:tc>
        <w:tc>
          <w:tcPr>
            <w:tcW w:w="911" w:type="pct"/>
            <w:tcBorders>
              <w:top w:val="nil"/>
              <w:left w:val="nil"/>
              <w:bottom w:val="nil"/>
              <w:right w:val="nil"/>
            </w:tcBorders>
            <w:shd w:val="clear" w:color="auto" w:fill="auto"/>
            <w:noWrap/>
            <w:vAlign w:val="center"/>
            <w:hideMark/>
          </w:tcPr>
          <w:p w14:paraId="29ABBD94"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5.474 </w:t>
            </w:r>
          </w:p>
        </w:tc>
        <w:tc>
          <w:tcPr>
            <w:tcW w:w="911" w:type="pct"/>
            <w:tcBorders>
              <w:top w:val="nil"/>
              <w:left w:val="nil"/>
              <w:bottom w:val="nil"/>
              <w:right w:val="nil"/>
            </w:tcBorders>
            <w:shd w:val="clear" w:color="auto" w:fill="auto"/>
            <w:noWrap/>
            <w:vAlign w:val="bottom"/>
            <w:hideMark/>
          </w:tcPr>
          <w:p w14:paraId="3C948FA3"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1.034 </w:t>
            </w:r>
          </w:p>
        </w:tc>
        <w:tc>
          <w:tcPr>
            <w:tcW w:w="912" w:type="pct"/>
            <w:tcBorders>
              <w:top w:val="nil"/>
              <w:left w:val="nil"/>
              <w:bottom w:val="nil"/>
              <w:right w:val="nil"/>
            </w:tcBorders>
            <w:shd w:val="clear" w:color="auto" w:fill="auto"/>
            <w:noWrap/>
            <w:vAlign w:val="bottom"/>
            <w:hideMark/>
          </w:tcPr>
          <w:p w14:paraId="2A5734E3"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13.678 </w:t>
            </w:r>
          </w:p>
        </w:tc>
      </w:tr>
      <w:tr w:rsidR="00AA1F87" w:rsidRPr="00AA1F87" w14:paraId="523708B2" w14:textId="77777777" w:rsidTr="00217E7F">
        <w:trPr>
          <w:trHeight w:val="227"/>
        </w:trPr>
        <w:tc>
          <w:tcPr>
            <w:tcW w:w="2266" w:type="pct"/>
            <w:tcBorders>
              <w:top w:val="nil"/>
              <w:left w:val="nil"/>
              <w:bottom w:val="nil"/>
              <w:right w:val="nil"/>
            </w:tcBorders>
            <w:shd w:val="clear" w:color="auto" w:fill="auto"/>
            <w:noWrap/>
            <w:vAlign w:val="center"/>
            <w:hideMark/>
          </w:tcPr>
          <w:p w14:paraId="57A4ED69" w14:textId="77777777" w:rsidR="00AA1F87" w:rsidRPr="00AA1F87" w:rsidRDefault="00AA1F87" w:rsidP="00AA1F87">
            <w:pPr>
              <w:spacing w:after="0" w:line="240" w:lineRule="auto"/>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Juros Pagos</w:t>
            </w:r>
          </w:p>
        </w:tc>
        <w:tc>
          <w:tcPr>
            <w:tcW w:w="911" w:type="pct"/>
            <w:tcBorders>
              <w:top w:val="nil"/>
              <w:left w:val="nil"/>
              <w:bottom w:val="nil"/>
              <w:right w:val="nil"/>
            </w:tcBorders>
            <w:shd w:val="clear" w:color="auto" w:fill="auto"/>
            <w:noWrap/>
            <w:vAlign w:val="center"/>
            <w:hideMark/>
          </w:tcPr>
          <w:p w14:paraId="6D34AFE1"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(3.452)</w:t>
            </w:r>
          </w:p>
        </w:tc>
        <w:tc>
          <w:tcPr>
            <w:tcW w:w="911" w:type="pct"/>
            <w:tcBorders>
              <w:top w:val="nil"/>
              <w:left w:val="nil"/>
              <w:bottom w:val="nil"/>
              <w:right w:val="nil"/>
            </w:tcBorders>
            <w:shd w:val="clear" w:color="auto" w:fill="auto"/>
            <w:noWrap/>
            <w:vAlign w:val="bottom"/>
            <w:hideMark/>
          </w:tcPr>
          <w:p w14:paraId="194C49AB"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      </w:t>
            </w:r>
          </w:p>
        </w:tc>
        <w:tc>
          <w:tcPr>
            <w:tcW w:w="912" w:type="pct"/>
            <w:tcBorders>
              <w:top w:val="nil"/>
              <w:left w:val="nil"/>
              <w:bottom w:val="nil"/>
              <w:right w:val="nil"/>
            </w:tcBorders>
            <w:shd w:val="clear" w:color="auto" w:fill="auto"/>
            <w:noWrap/>
            <w:vAlign w:val="bottom"/>
            <w:hideMark/>
          </w:tcPr>
          <w:p w14:paraId="1EB2F393"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(13.833)</w:t>
            </w:r>
          </w:p>
        </w:tc>
      </w:tr>
      <w:tr w:rsidR="00AA1F87" w:rsidRPr="00AA1F87" w14:paraId="03F496AB" w14:textId="77777777" w:rsidTr="00217E7F">
        <w:trPr>
          <w:trHeight w:val="227"/>
        </w:trPr>
        <w:tc>
          <w:tcPr>
            <w:tcW w:w="2266" w:type="pct"/>
            <w:tcBorders>
              <w:top w:val="nil"/>
              <w:left w:val="nil"/>
              <w:bottom w:val="nil"/>
              <w:right w:val="nil"/>
            </w:tcBorders>
            <w:shd w:val="clear" w:color="auto" w:fill="auto"/>
            <w:noWrap/>
            <w:vAlign w:val="center"/>
            <w:hideMark/>
          </w:tcPr>
          <w:p w14:paraId="24557AA5" w14:textId="77777777" w:rsidR="00AA1F87" w:rsidRPr="00AA1F87" w:rsidRDefault="00AA1F87" w:rsidP="00AA1F87">
            <w:pPr>
              <w:spacing w:after="0" w:line="240" w:lineRule="auto"/>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Baixa para Resultado do Período</w:t>
            </w:r>
          </w:p>
        </w:tc>
        <w:tc>
          <w:tcPr>
            <w:tcW w:w="911" w:type="pct"/>
            <w:tcBorders>
              <w:top w:val="nil"/>
              <w:left w:val="nil"/>
              <w:bottom w:val="nil"/>
              <w:right w:val="nil"/>
            </w:tcBorders>
            <w:shd w:val="clear" w:color="auto" w:fill="auto"/>
            <w:noWrap/>
            <w:vAlign w:val="center"/>
            <w:hideMark/>
          </w:tcPr>
          <w:p w14:paraId="7E4EC795"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      </w:t>
            </w:r>
          </w:p>
        </w:tc>
        <w:tc>
          <w:tcPr>
            <w:tcW w:w="911" w:type="pct"/>
            <w:tcBorders>
              <w:top w:val="nil"/>
              <w:left w:val="nil"/>
              <w:bottom w:val="nil"/>
              <w:right w:val="nil"/>
            </w:tcBorders>
            <w:shd w:val="clear" w:color="auto" w:fill="auto"/>
            <w:noWrap/>
            <w:vAlign w:val="bottom"/>
            <w:hideMark/>
          </w:tcPr>
          <w:p w14:paraId="2F4B8F73"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(1.034)</w:t>
            </w:r>
          </w:p>
        </w:tc>
        <w:tc>
          <w:tcPr>
            <w:tcW w:w="912" w:type="pct"/>
            <w:tcBorders>
              <w:top w:val="nil"/>
              <w:left w:val="nil"/>
              <w:bottom w:val="nil"/>
              <w:right w:val="nil"/>
            </w:tcBorders>
            <w:shd w:val="clear" w:color="auto" w:fill="auto"/>
            <w:noWrap/>
            <w:vAlign w:val="bottom"/>
            <w:hideMark/>
          </w:tcPr>
          <w:p w14:paraId="00CAED0C"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      </w:t>
            </w:r>
          </w:p>
        </w:tc>
      </w:tr>
      <w:tr w:rsidR="00AA1F87" w:rsidRPr="00AA1F87" w14:paraId="1F6C5A0A" w14:textId="77777777" w:rsidTr="00217E7F">
        <w:trPr>
          <w:trHeight w:val="227"/>
        </w:trPr>
        <w:tc>
          <w:tcPr>
            <w:tcW w:w="2266" w:type="pct"/>
            <w:tcBorders>
              <w:top w:val="nil"/>
              <w:left w:val="nil"/>
              <w:bottom w:val="nil"/>
              <w:right w:val="nil"/>
            </w:tcBorders>
            <w:shd w:val="clear" w:color="auto" w:fill="auto"/>
            <w:noWrap/>
            <w:vAlign w:val="center"/>
            <w:hideMark/>
          </w:tcPr>
          <w:p w14:paraId="5944BF2A" w14:textId="77777777" w:rsidR="00AA1F87" w:rsidRPr="00AA1F87" w:rsidRDefault="00AA1F87" w:rsidP="00AA1F87">
            <w:pPr>
              <w:spacing w:after="0" w:line="240" w:lineRule="auto"/>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Amortizações de principal </w:t>
            </w:r>
          </w:p>
        </w:tc>
        <w:tc>
          <w:tcPr>
            <w:tcW w:w="911" w:type="pct"/>
            <w:tcBorders>
              <w:top w:val="nil"/>
              <w:left w:val="nil"/>
              <w:bottom w:val="nil"/>
              <w:right w:val="nil"/>
            </w:tcBorders>
            <w:shd w:val="clear" w:color="auto" w:fill="auto"/>
            <w:noWrap/>
            <w:vAlign w:val="center"/>
            <w:hideMark/>
          </w:tcPr>
          <w:p w14:paraId="3D669791"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(46.008)</w:t>
            </w:r>
          </w:p>
        </w:tc>
        <w:tc>
          <w:tcPr>
            <w:tcW w:w="911" w:type="pct"/>
            <w:tcBorders>
              <w:top w:val="nil"/>
              <w:left w:val="nil"/>
              <w:bottom w:val="nil"/>
              <w:right w:val="nil"/>
            </w:tcBorders>
            <w:shd w:val="clear" w:color="auto" w:fill="auto"/>
            <w:noWrap/>
            <w:vAlign w:val="bottom"/>
            <w:hideMark/>
          </w:tcPr>
          <w:p w14:paraId="23D16015"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(5.210)</w:t>
            </w:r>
          </w:p>
        </w:tc>
        <w:tc>
          <w:tcPr>
            <w:tcW w:w="912" w:type="pct"/>
            <w:tcBorders>
              <w:top w:val="nil"/>
              <w:left w:val="nil"/>
              <w:bottom w:val="nil"/>
              <w:right w:val="nil"/>
            </w:tcBorders>
            <w:shd w:val="clear" w:color="auto" w:fill="auto"/>
            <w:noWrap/>
            <w:vAlign w:val="bottom"/>
            <w:hideMark/>
          </w:tcPr>
          <w:p w14:paraId="325FC744"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(21.828)</w:t>
            </w:r>
          </w:p>
        </w:tc>
      </w:tr>
      <w:tr w:rsidR="00AA1F87" w:rsidRPr="00AA1F87" w14:paraId="6AEAE913" w14:textId="77777777" w:rsidTr="00217E7F">
        <w:trPr>
          <w:trHeight w:val="227"/>
        </w:trPr>
        <w:tc>
          <w:tcPr>
            <w:tcW w:w="2266" w:type="pct"/>
            <w:tcBorders>
              <w:top w:val="nil"/>
              <w:left w:val="nil"/>
              <w:bottom w:val="nil"/>
              <w:right w:val="nil"/>
            </w:tcBorders>
            <w:shd w:val="clear" w:color="auto" w:fill="auto"/>
            <w:noWrap/>
            <w:vAlign w:val="center"/>
            <w:hideMark/>
          </w:tcPr>
          <w:p w14:paraId="1AC6FF69" w14:textId="77777777" w:rsidR="00AA1F87" w:rsidRPr="00AA1F87" w:rsidRDefault="00AA1F87" w:rsidP="00AA1F87">
            <w:pPr>
              <w:spacing w:after="0" w:line="240" w:lineRule="auto"/>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Amortização de Compensação Financeira</w:t>
            </w:r>
          </w:p>
        </w:tc>
        <w:tc>
          <w:tcPr>
            <w:tcW w:w="911" w:type="pct"/>
            <w:tcBorders>
              <w:top w:val="nil"/>
              <w:left w:val="nil"/>
              <w:bottom w:val="nil"/>
              <w:right w:val="nil"/>
            </w:tcBorders>
            <w:shd w:val="clear" w:color="auto" w:fill="auto"/>
            <w:noWrap/>
            <w:vAlign w:val="center"/>
            <w:hideMark/>
          </w:tcPr>
          <w:p w14:paraId="5F412773"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(2.222)</w:t>
            </w:r>
          </w:p>
        </w:tc>
        <w:tc>
          <w:tcPr>
            <w:tcW w:w="911" w:type="pct"/>
            <w:tcBorders>
              <w:top w:val="nil"/>
              <w:left w:val="nil"/>
              <w:bottom w:val="nil"/>
              <w:right w:val="nil"/>
            </w:tcBorders>
            <w:shd w:val="clear" w:color="auto" w:fill="auto"/>
            <w:noWrap/>
            <w:vAlign w:val="bottom"/>
            <w:hideMark/>
          </w:tcPr>
          <w:p w14:paraId="61934B7B"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      </w:t>
            </w:r>
          </w:p>
        </w:tc>
        <w:tc>
          <w:tcPr>
            <w:tcW w:w="912" w:type="pct"/>
            <w:tcBorders>
              <w:top w:val="nil"/>
              <w:left w:val="nil"/>
              <w:bottom w:val="nil"/>
              <w:right w:val="nil"/>
            </w:tcBorders>
            <w:shd w:val="clear" w:color="auto" w:fill="auto"/>
            <w:noWrap/>
            <w:vAlign w:val="bottom"/>
            <w:hideMark/>
          </w:tcPr>
          <w:p w14:paraId="6AC38C51" w14:textId="77777777" w:rsidR="00AA1F87" w:rsidRPr="00AA1F87" w:rsidRDefault="00AA1F87" w:rsidP="00AA1F87">
            <w:pPr>
              <w:spacing w:after="0" w:line="240" w:lineRule="auto"/>
              <w:jc w:val="right"/>
              <w:rPr>
                <w:rFonts w:ascii="Arial" w:eastAsia="Times New Roman" w:hAnsi="Arial" w:cs="Arial"/>
                <w:color w:val="000000"/>
                <w:kern w:val="0"/>
                <w:sz w:val="16"/>
                <w:szCs w:val="16"/>
                <w:lang w:eastAsia="pt-BR"/>
                <w14:ligatures w14:val="none"/>
              </w:rPr>
            </w:pPr>
            <w:r w:rsidRPr="00AA1F87">
              <w:rPr>
                <w:rFonts w:ascii="Arial" w:eastAsia="Times New Roman" w:hAnsi="Arial" w:cs="Arial"/>
                <w:color w:val="000000"/>
                <w:kern w:val="0"/>
                <w:sz w:val="16"/>
                <w:szCs w:val="16"/>
                <w:lang w:eastAsia="pt-BR"/>
                <w14:ligatures w14:val="none"/>
              </w:rPr>
              <w:t xml:space="preserve">                              -      </w:t>
            </w:r>
          </w:p>
        </w:tc>
      </w:tr>
      <w:tr w:rsidR="00AA1F87" w:rsidRPr="00AA1F87" w14:paraId="70227E6B" w14:textId="77777777" w:rsidTr="00217E7F">
        <w:trPr>
          <w:trHeight w:val="227"/>
        </w:trPr>
        <w:tc>
          <w:tcPr>
            <w:tcW w:w="2266" w:type="pct"/>
            <w:tcBorders>
              <w:top w:val="nil"/>
              <w:left w:val="nil"/>
              <w:bottom w:val="nil"/>
              <w:right w:val="nil"/>
            </w:tcBorders>
            <w:shd w:val="clear" w:color="000000" w:fill="75F6F9"/>
            <w:noWrap/>
            <w:vAlign w:val="center"/>
            <w:hideMark/>
          </w:tcPr>
          <w:p w14:paraId="50FC5C16" w14:textId="77777777" w:rsidR="00AA1F87" w:rsidRPr="00AA1F87" w:rsidRDefault="00AA1F87" w:rsidP="00AA1F87">
            <w:pPr>
              <w:spacing w:after="0" w:line="240" w:lineRule="auto"/>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 xml:space="preserve"> Saldo em 31 de dezembro de 2023</w:t>
            </w:r>
          </w:p>
        </w:tc>
        <w:tc>
          <w:tcPr>
            <w:tcW w:w="911" w:type="pct"/>
            <w:tcBorders>
              <w:top w:val="nil"/>
              <w:left w:val="nil"/>
              <w:bottom w:val="nil"/>
              <w:right w:val="nil"/>
            </w:tcBorders>
            <w:shd w:val="clear" w:color="000000" w:fill="75F6F9"/>
            <w:noWrap/>
            <w:vAlign w:val="center"/>
            <w:hideMark/>
          </w:tcPr>
          <w:p w14:paraId="7C659E44"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 xml:space="preserve">                        90.602 </w:t>
            </w:r>
          </w:p>
        </w:tc>
        <w:tc>
          <w:tcPr>
            <w:tcW w:w="911" w:type="pct"/>
            <w:tcBorders>
              <w:top w:val="nil"/>
              <w:left w:val="nil"/>
              <w:bottom w:val="nil"/>
              <w:right w:val="nil"/>
            </w:tcBorders>
            <w:shd w:val="clear" w:color="000000" w:fill="75F6F9"/>
            <w:noWrap/>
            <w:vAlign w:val="center"/>
            <w:hideMark/>
          </w:tcPr>
          <w:p w14:paraId="61759495"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 xml:space="preserve">                        14.121 </w:t>
            </w:r>
          </w:p>
        </w:tc>
        <w:tc>
          <w:tcPr>
            <w:tcW w:w="912" w:type="pct"/>
            <w:tcBorders>
              <w:top w:val="nil"/>
              <w:left w:val="nil"/>
              <w:bottom w:val="nil"/>
              <w:right w:val="nil"/>
            </w:tcBorders>
            <w:shd w:val="clear" w:color="000000" w:fill="75F6F9"/>
            <w:noWrap/>
            <w:vAlign w:val="center"/>
            <w:hideMark/>
          </w:tcPr>
          <w:p w14:paraId="76D1F7F6" w14:textId="77777777" w:rsidR="00AA1F87" w:rsidRPr="00AA1F87" w:rsidRDefault="00AA1F87" w:rsidP="00AA1F87">
            <w:pPr>
              <w:spacing w:after="0" w:line="240" w:lineRule="auto"/>
              <w:jc w:val="right"/>
              <w:rPr>
                <w:rFonts w:ascii="Arial" w:eastAsia="Times New Roman" w:hAnsi="Arial" w:cs="Arial"/>
                <w:b/>
                <w:bCs/>
                <w:color w:val="000000"/>
                <w:kern w:val="0"/>
                <w:sz w:val="16"/>
                <w:szCs w:val="16"/>
                <w:lang w:eastAsia="pt-BR"/>
                <w14:ligatures w14:val="none"/>
              </w:rPr>
            </w:pPr>
            <w:r w:rsidRPr="00AA1F87">
              <w:rPr>
                <w:rFonts w:ascii="Arial" w:eastAsia="Times New Roman" w:hAnsi="Arial" w:cs="Arial"/>
                <w:b/>
                <w:bCs/>
                <w:color w:val="000000"/>
                <w:kern w:val="0"/>
                <w:sz w:val="16"/>
                <w:szCs w:val="16"/>
                <w:lang w:eastAsia="pt-BR"/>
                <w14:ligatures w14:val="none"/>
              </w:rPr>
              <w:t xml:space="preserve">                     132.440 </w:t>
            </w:r>
          </w:p>
        </w:tc>
      </w:tr>
    </w:tbl>
    <w:p w14:paraId="19E8D2B0" w14:textId="77777777" w:rsidR="00217E7F" w:rsidRDefault="00217E7F" w:rsidP="00217E7F">
      <w:pPr>
        <w:spacing w:after="0" w:line="240" w:lineRule="auto"/>
        <w:jc w:val="both"/>
        <w:rPr>
          <w:rFonts w:ascii="Calibri" w:eastAsia="Times New Roman" w:hAnsi="Calibri" w:cs="Calibri"/>
          <w:b/>
          <w:bCs/>
          <w:color w:val="002060"/>
          <w:kern w:val="0"/>
          <w:u w:val="single"/>
          <w14:ligatures w14:val="none"/>
        </w:rPr>
      </w:pPr>
    </w:p>
    <w:p w14:paraId="20BD318B" w14:textId="2EE4C867" w:rsidR="00217E7F" w:rsidRPr="00217E7F" w:rsidRDefault="00217E7F" w:rsidP="00217E7F">
      <w:pPr>
        <w:spacing w:after="0" w:line="240" w:lineRule="auto"/>
        <w:jc w:val="both"/>
        <w:rPr>
          <w:rFonts w:ascii="Calibri" w:eastAsia="Times New Roman" w:hAnsi="Calibri" w:cs="Calibri"/>
          <w:b/>
          <w:bCs/>
          <w:color w:val="002060"/>
          <w:kern w:val="0"/>
          <w:u w:val="single"/>
          <w14:ligatures w14:val="none"/>
        </w:rPr>
      </w:pPr>
      <w:r w:rsidRPr="00217E7F">
        <w:rPr>
          <w:rFonts w:ascii="Calibri" w:eastAsia="Times New Roman" w:hAnsi="Calibri" w:cs="Calibri"/>
          <w:b/>
          <w:bCs/>
          <w:color w:val="002060"/>
          <w:kern w:val="0"/>
          <w:u w:val="single"/>
          <w14:ligatures w14:val="none"/>
        </w:rPr>
        <w:t>Investimentos em Bens de Capital - CAPEX</w:t>
      </w:r>
    </w:p>
    <w:p w14:paraId="63BD8820" w14:textId="77777777" w:rsidR="00217E7F" w:rsidRPr="00217E7F" w:rsidRDefault="00217E7F" w:rsidP="00217E7F">
      <w:pPr>
        <w:spacing w:after="0" w:line="240" w:lineRule="auto"/>
        <w:jc w:val="both"/>
        <w:rPr>
          <w:rFonts w:ascii="Calibri" w:eastAsia="Times New Roman" w:hAnsi="Calibri" w:cs="Calibri"/>
          <w:b/>
          <w:bCs/>
          <w:color w:val="002060"/>
          <w:kern w:val="0"/>
          <w:u w:val="single"/>
          <w14:ligatures w14:val="none"/>
        </w:rPr>
      </w:pPr>
      <w:r w:rsidRPr="00217E7F">
        <w:rPr>
          <w:rFonts w:ascii="Calibri" w:eastAsia="Times New Roman" w:hAnsi="Calibri" w:cs="Calibri"/>
          <w:b/>
          <w:bCs/>
          <w:color w:val="002060"/>
          <w:kern w:val="0"/>
          <w:u w:val="single"/>
          <w14:ligatures w14:val="none"/>
        </w:rPr>
        <w:t>Distribuição do CAPEX</w:t>
      </w:r>
    </w:p>
    <w:tbl>
      <w:tblPr>
        <w:tblW w:w="5000" w:type="pct"/>
        <w:tblCellMar>
          <w:left w:w="70" w:type="dxa"/>
          <w:right w:w="70" w:type="dxa"/>
        </w:tblCellMar>
        <w:tblLook w:val="04A0" w:firstRow="1" w:lastRow="0" w:firstColumn="1" w:lastColumn="0" w:noHBand="0" w:noVBand="1"/>
      </w:tblPr>
      <w:tblGrid>
        <w:gridCol w:w="3167"/>
        <w:gridCol w:w="772"/>
        <w:gridCol w:w="825"/>
        <w:gridCol w:w="719"/>
        <w:gridCol w:w="146"/>
        <w:gridCol w:w="736"/>
        <w:gridCol w:w="736"/>
        <w:gridCol w:w="146"/>
        <w:gridCol w:w="808"/>
        <w:gridCol w:w="719"/>
        <w:gridCol w:w="146"/>
        <w:gridCol w:w="861"/>
      </w:tblGrid>
      <w:tr w:rsidR="00217E7F" w:rsidRPr="00217E7F" w14:paraId="2505B8EF" w14:textId="77777777" w:rsidTr="00446A14">
        <w:trPr>
          <w:trHeight w:val="238"/>
        </w:trPr>
        <w:tc>
          <w:tcPr>
            <w:tcW w:w="1690" w:type="pct"/>
            <w:tcBorders>
              <w:top w:val="nil"/>
              <w:left w:val="nil"/>
              <w:bottom w:val="nil"/>
              <w:right w:val="nil"/>
            </w:tcBorders>
            <w:shd w:val="clear" w:color="auto" w:fill="auto"/>
            <w:noWrap/>
            <w:vAlign w:val="bottom"/>
            <w:hideMark/>
          </w:tcPr>
          <w:p w14:paraId="07B54D91" w14:textId="77777777" w:rsidR="00217E7F" w:rsidRPr="00217E7F" w:rsidRDefault="00217E7F" w:rsidP="00217E7F">
            <w:pPr>
              <w:spacing w:after="0" w:line="240" w:lineRule="auto"/>
              <w:rPr>
                <w:rFonts w:ascii="Times New Roman" w:eastAsia="Times New Roman" w:hAnsi="Times New Roman" w:cs="Times New Roman"/>
                <w:kern w:val="0"/>
                <w:sz w:val="20"/>
                <w:szCs w:val="20"/>
                <w:lang w:eastAsia="pt-BR"/>
                <w14:ligatures w14:val="none"/>
              </w:rPr>
            </w:pPr>
          </w:p>
        </w:tc>
        <w:tc>
          <w:tcPr>
            <w:tcW w:w="1942" w:type="pct"/>
            <w:gridSpan w:val="6"/>
            <w:tcBorders>
              <w:top w:val="nil"/>
              <w:left w:val="nil"/>
              <w:bottom w:val="single" w:sz="8" w:space="0" w:color="auto"/>
              <w:right w:val="nil"/>
            </w:tcBorders>
            <w:shd w:val="clear" w:color="auto" w:fill="auto"/>
            <w:noWrap/>
            <w:vAlign w:val="center"/>
            <w:hideMark/>
          </w:tcPr>
          <w:p w14:paraId="516D66DA" w14:textId="77777777" w:rsidR="00217E7F" w:rsidRPr="00217E7F" w:rsidRDefault="00217E7F" w:rsidP="00217E7F">
            <w:pPr>
              <w:spacing w:after="0" w:line="240" w:lineRule="auto"/>
              <w:jc w:val="center"/>
              <w:rPr>
                <w:rFonts w:ascii="Arial" w:eastAsia="Times New Roman" w:hAnsi="Arial" w:cs="Arial"/>
                <w:b/>
                <w:bCs/>
                <w:color w:val="000000"/>
                <w:kern w:val="0"/>
                <w:sz w:val="16"/>
                <w:szCs w:val="16"/>
                <w:lang w:eastAsia="pt-BR"/>
                <w14:ligatures w14:val="none"/>
              </w:rPr>
            </w:pPr>
            <w:r w:rsidRPr="00217E7F">
              <w:rPr>
                <w:rFonts w:ascii="Arial" w:eastAsia="Times New Roman" w:hAnsi="Arial" w:cs="Arial"/>
                <w:b/>
                <w:bCs/>
                <w:color w:val="000000"/>
                <w:kern w:val="0"/>
                <w:sz w:val="16"/>
                <w:szCs w:val="16"/>
                <w:lang w:eastAsia="pt-BR"/>
                <w14:ligatures w14:val="none"/>
              </w:rPr>
              <w:t>Trimestres</w:t>
            </w:r>
          </w:p>
        </w:tc>
        <w:tc>
          <w:tcPr>
            <w:tcW w:w="70" w:type="pct"/>
            <w:tcBorders>
              <w:top w:val="nil"/>
              <w:left w:val="nil"/>
              <w:bottom w:val="nil"/>
              <w:right w:val="nil"/>
            </w:tcBorders>
            <w:shd w:val="clear" w:color="auto" w:fill="auto"/>
            <w:noWrap/>
            <w:vAlign w:val="bottom"/>
            <w:hideMark/>
          </w:tcPr>
          <w:p w14:paraId="6D0F955B" w14:textId="77777777" w:rsidR="00217E7F" w:rsidRPr="00217E7F" w:rsidRDefault="00217E7F" w:rsidP="00217E7F">
            <w:pPr>
              <w:spacing w:after="0" w:line="240" w:lineRule="auto"/>
              <w:jc w:val="center"/>
              <w:rPr>
                <w:rFonts w:ascii="Arial" w:eastAsia="Times New Roman" w:hAnsi="Arial" w:cs="Arial"/>
                <w:b/>
                <w:bCs/>
                <w:color w:val="000000"/>
                <w:kern w:val="0"/>
                <w:sz w:val="16"/>
                <w:szCs w:val="16"/>
                <w:lang w:eastAsia="pt-BR"/>
                <w14:ligatures w14:val="none"/>
              </w:rPr>
            </w:pPr>
          </w:p>
        </w:tc>
        <w:tc>
          <w:tcPr>
            <w:tcW w:w="888" w:type="pct"/>
            <w:gridSpan w:val="3"/>
            <w:tcBorders>
              <w:top w:val="nil"/>
              <w:left w:val="nil"/>
              <w:bottom w:val="nil"/>
              <w:right w:val="nil"/>
            </w:tcBorders>
            <w:shd w:val="clear" w:color="auto" w:fill="auto"/>
            <w:noWrap/>
            <w:vAlign w:val="bottom"/>
            <w:hideMark/>
          </w:tcPr>
          <w:p w14:paraId="09E1ADF0" w14:textId="77777777" w:rsidR="00217E7F" w:rsidRPr="00217E7F" w:rsidRDefault="00217E7F" w:rsidP="00217E7F">
            <w:pPr>
              <w:spacing w:after="0" w:line="240" w:lineRule="auto"/>
              <w:rPr>
                <w:rFonts w:ascii="Times New Roman" w:eastAsia="Times New Roman" w:hAnsi="Times New Roman" w:cs="Times New Roman"/>
                <w:kern w:val="0"/>
                <w:sz w:val="20"/>
                <w:szCs w:val="20"/>
                <w:lang w:eastAsia="pt-BR"/>
                <w14:ligatures w14:val="none"/>
              </w:rPr>
            </w:pPr>
          </w:p>
        </w:tc>
        <w:tc>
          <w:tcPr>
            <w:tcW w:w="410" w:type="pct"/>
            <w:tcBorders>
              <w:top w:val="nil"/>
              <w:left w:val="nil"/>
              <w:bottom w:val="nil"/>
              <w:right w:val="nil"/>
            </w:tcBorders>
            <w:shd w:val="clear" w:color="auto" w:fill="auto"/>
            <w:noWrap/>
            <w:vAlign w:val="bottom"/>
            <w:hideMark/>
          </w:tcPr>
          <w:p w14:paraId="31DA76A0" w14:textId="77777777" w:rsidR="00217E7F" w:rsidRPr="00217E7F" w:rsidRDefault="00217E7F" w:rsidP="00217E7F">
            <w:pPr>
              <w:spacing w:after="0" w:line="240" w:lineRule="auto"/>
              <w:rPr>
                <w:rFonts w:ascii="Times New Roman" w:eastAsia="Times New Roman" w:hAnsi="Times New Roman" w:cs="Times New Roman"/>
                <w:kern w:val="0"/>
                <w:sz w:val="20"/>
                <w:szCs w:val="20"/>
                <w:lang w:eastAsia="pt-BR"/>
                <w14:ligatures w14:val="none"/>
              </w:rPr>
            </w:pPr>
          </w:p>
        </w:tc>
      </w:tr>
      <w:tr w:rsidR="00217E7F" w:rsidRPr="00217E7F" w14:paraId="2968A7A6" w14:textId="77777777" w:rsidTr="00446A14">
        <w:trPr>
          <w:trHeight w:val="44"/>
        </w:trPr>
        <w:tc>
          <w:tcPr>
            <w:tcW w:w="1690" w:type="pct"/>
            <w:tcBorders>
              <w:top w:val="nil"/>
              <w:left w:val="nil"/>
              <w:bottom w:val="nil"/>
              <w:right w:val="nil"/>
            </w:tcBorders>
            <w:shd w:val="clear" w:color="auto" w:fill="auto"/>
            <w:noWrap/>
            <w:vAlign w:val="bottom"/>
            <w:hideMark/>
          </w:tcPr>
          <w:p w14:paraId="6794765F" w14:textId="77777777" w:rsidR="00217E7F" w:rsidRPr="00217E7F" w:rsidRDefault="00217E7F" w:rsidP="00217E7F">
            <w:pPr>
              <w:spacing w:after="0" w:line="240" w:lineRule="auto"/>
              <w:rPr>
                <w:rFonts w:ascii="Times New Roman" w:eastAsia="Times New Roman" w:hAnsi="Times New Roman" w:cs="Times New Roman"/>
                <w:kern w:val="0"/>
                <w:sz w:val="20"/>
                <w:szCs w:val="20"/>
                <w:lang w:eastAsia="pt-BR"/>
                <w14:ligatures w14:val="none"/>
              </w:rPr>
            </w:pPr>
          </w:p>
        </w:tc>
        <w:tc>
          <w:tcPr>
            <w:tcW w:w="435" w:type="pct"/>
            <w:tcBorders>
              <w:top w:val="nil"/>
              <w:left w:val="nil"/>
              <w:bottom w:val="nil"/>
              <w:right w:val="nil"/>
            </w:tcBorders>
            <w:shd w:val="clear" w:color="auto" w:fill="auto"/>
            <w:noWrap/>
            <w:vAlign w:val="bottom"/>
            <w:hideMark/>
          </w:tcPr>
          <w:p w14:paraId="458E1AA4" w14:textId="77777777" w:rsidR="00217E7F" w:rsidRPr="00217E7F" w:rsidRDefault="00217E7F" w:rsidP="00217E7F">
            <w:pPr>
              <w:spacing w:after="0" w:line="240" w:lineRule="auto"/>
              <w:rPr>
                <w:rFonts w:ascii="Times New Roman" w:eastAsia="Times New Roman" w:hAnsi="Times New Roman" w:cs="Times New Roman"/>
                <w:kern w:val="0"/>
                <w:sz w:val="20"/>
                <w:szCs w:val="20"/>
                <w:lang w:eastAsia="pt-BR"/>
                <w14:ligatures w14:val="none"/>
              </w:rPr>
            </w:pPr>
          </w:p>
        </w:tc>
        <w:tc>
          <w:tcPr>
            <w:tcW w:w="393" w:type="pct"/>
            <w:tcBorders>
              <w:top w:val="nil"/>
              <w:left w:val="nil"/>
              <w:bottom w:val="nil"/>
              <w:right w:val="nil"/>
            </w:tcBorders>
            <w:shd w:val="clear" w:color="auto" w:fill="auto"/>
            <w:noWrap/>
            <w:vAlign w:val="bottom"/>
            <w:hideMark/>
          </w:tcPr>
          <w:p w14:paraId="77A0D047" w14:textId="77777777" w:rsidR="00217E7F" w:rsidRPr="00217E7F" w:rsidRDefault="00217E7F" w:rsidP="00217E7F">
            <w:pPr>
              <w:spacing w:after="0" w:line="240" w:lineRule="auto"/>
              <w:rPr>
                <w:rFonts w:ascii="Times New Roman" w:eastAsia="Times New Roman" w:hAnsi="Times New Roman" w:cs="Times New Roman"/>
                <w:kern w:val="0"/>
                <w:sz w:val="20"/>
                <w:szCs w:val="20"/>
                <w:lang w:eastAsia="pt-BR"/>
                <w14:ligatures w14:val="none"/>
              </w:rPr>
            </w:pPr>
          </w:p>
        </w:tc>
        <w:tc>
          <w:tcPr>
            <w:tcW w:w="343" w:type="pct"/>
            <w:tcBorders>
              <w:top w:val="nil"/>
              <w:left w:val="nil"/>
              <w:bottom w:val="nil"/>
              <w:right w:val="nil"/>
            </w:tcBorders>
            <w:shd w:val="clear" w:color="auto" w:fill="auto"/>
            <w:noWrap/>
            <w:vAlign w:val="bottom"/>
            <w:hideMark/>
          </w:tcPr>
          <w:p w14:paraId="6F6337AA" w14:textId="77777777" w:rsidR="00217E7F" w:rsidRPr="00217E7F" w:rsidRDefault="00217E7F" w:rsidP="00217E7F">
            <w:pPr>
              <w:spacing w:after="0" w:line="240" w:lineRule="auto"/>
              <w:rPr>
                <w:rFonts w:ascii="Times New Roman" w:eastAsia="Times New Roman" w:hAnsi="Times New Roman" w:cs="Times New Roman"/>
                <w:kern w:val="0"/>
                <w:sz w:val="20"/>
                <w:szCs w:val="20"/>
                <w:lang w:eastAsia="pt-BR"/>
                <w14:ligatures w14:val="none"/>
              </w:rPr>
            </w:pPr>
          </w:p>
        </w:tc>
        <w:tc>
          <w:tcPr>
            <w:tcW w:w="70" w:type="pct"/>
            <w:tcBorders>
              <w:top w:val="nil"/>
              <w:left w:val="nil"/>
              <w:bottom w:val="nil"/>
              <w:right w:val="nil"/>
            </w:tcBorders>
            <w:shd w:val="clear" w:color="auto" w:fill="auto"/>
            <w:noWrap/>
            <w:vAlign w:val="bottom"/>
            <w:hideMark/>
          </w:tcPr>
          <w:p w14:paraId="4C5B68F9" w14:textId="77777777" w:rsidR="00217E7F" w:rsidRPr="00217E7F" w:rsidRDefault="00217E7F" w:rsidP="00217E7F">
            <w:pPr>
              <w:spacing w:after="0" w:line="240" w:lineRule="auto"/>
              <w:rPr>
                <w:rFonts w:ascii="Times New Roman" w:eastAsia="Times New Roman" w:hAnsi="Times New Roman" w:cs="Times New Roman"/>
                <w:kern w:val="0"/>
                <w:sz w:val="20"/>
                <w:szCs w:val="20"/>
                <w:lang w:eastAsia="pt-BR"/>
                <w14:ligatures w14:val="none"/>
              </w:rPr>
            </w:pPr>
          </w:p>
        </w:tc>
        <w:tc>
          <w:tcPr>
            <w:tcW w:w="351" w:type="pct"/>
            <w:tcBorders>
              <w:top w:val="nil"/>
              <w:left w:val="nil"/>
              <w:bottom w:val="nil"/>
              <w:right w:val="nil"/>
            </w:tcBorders>
            <w:shd w:val="clear" w:color="auto" w:fill="auto"/>
            <w:noWrap/>
            <w:vAlign w:val="bottom"/>
            <w:hideMark/>
          </w:tcPr>
          <w:p w14:paraId="69D6E7CE" w14:textId="77777777" w:rsidR="00217E7F" w:rsidRPr="00217E7F" w:rsidRDefault="00217E7F" w:rsidP="00217E7F">
            <w:pPr>
              <w:spacing w:after="0" w:line="240" w:lineRule="auto"/>
              <w:rPr>
                <w:rFonts w:ascii="Times New Roman" w:eastAsia="Times New Roman" w:hAnsi="Times New Roman" w:cs="Times New Roman"/>
                <w:kern w:val="0"/>
                <w:sz w:val="20"/>
                <w:szCs w:val="20"/>
                <w:lang w:eastAsia="pt-BR"/>
                <w14:ligatures w14:val="none"/>
              </w:rPr>
            </w:pPr>
          </w:p>
        </w:tc>
        <w:tc>
          <w:tcPr>
            <w:tcW w:w="351" w:type="pct"/>
            <w:tcBorders>
              <w:top w:val="nil"/>
              <w:left w:val="nil"/>
              <w:bottom w:val="nil"/>
              <w:right w:val="nil"/>
            </w:tcBorders>
            <w:shd w:val="clear" w:color="auto" w:fill="auto"/>
            <w:noWrap/>
            <w:vAlign w:val="bottom"/>
            <w:hideMark/>
          </w:tcPr>
          <w:p w14:paraId="7487B162" w14:textId="77777777" w:rsidR="00217E7F" w:rsidRPr="00217E7F" w:rsidRDefault="00217E7F" w:rsidP="00217E7F">
            <w:pPr>
              <w:spacing w:after="0" w:line="240" w:lineRule="auto"/>
              <w:rPr>
                <w:rFonts w:ascii="Times New Roman" w:eastAsia="Times New Roman" w:hAnsi="Times New Roman" w:cs="Times New Roman"/>
                <w:kern w:val="0"/>
                <w:sz w:val="20"/>
                <w:szCs w:val="20"/>
                <w:lang w:eastAsia="pt-BR"/>
                <w14:ligatures w14:val="none"/>
              </w:rPr>
            </w:pPr>
          </w:p>
        </w:tc>
        <w:tc>
          <w:tcPr>
            <w:tcW w:w="70" w:type="pct"/>
            <w:tcBorders>
              <w:top w:val="nil"/>
              <w:left w:val="nil"/>
              <w:bottom w:val="nil"/>
              <w:right w:val="nil"/>
            </w:tcBorders>
            <w:shd w:val="clear" w:color="auto" w:fill="auto"/>
            <w:noWrap/>
            <w:vAlign w:val="bottom"/>
            <w:hideMark/>
          </w:tcPr>
          <w:p w14:paraId="14ACFDDB" w14:textId="77777777" w:rsidR="00217E7F" w:rsidRPr="00217E7F" w:rsidRDefault="00217E7F" w:rsidP="00217E7F">
            <w:pPr>
              <w:spacing w:after="0" w:line="240" w:lineRule="auto"/>
              <w:rPr>
                <w:rFonts w:ascii="Times New Roman" w:eastAsia="Times New Roman" w:hAnsi="Times New Roman" w:cs="Times New Roman"/>
                <w:kern w:val="0"/>
                <w:sz w:val="20"/>
                <w:szCs w:val="20"/>
                <w:lang w:eastAsia="pt-BR"/>
                <w14:ligatures w14:val="none"/>
              </w:rPr>
            </w:pPr>
          </w:p>
        </w:tc>
        <w:tc>
          <w:tcPr>
            <w:tcW w:w="476" w:type="pct"/>
            <w:tcBorders>
              <w:top w:val="nil"/>
              <w:left w:val="nil"/>
              <w:bottom w:val="nil"/>
              <w:right w:val="nil"/>
            </w:tcBorders>
            <w:shd w:val="clear" w:color="auto" w:fill="auto"/>
            <w:noWrap/>
            <w:vAlign w:val="bottom"/>
            <w:hideMark/>
          </w:tcPr>
          <w:p w14:paraId="4B937AC6" w14:textId="77777777" w:rsidR="00217E7F" w:rsidRPr="00217E7F" w:rsidRDefault="00217E7F" w:rsidP="00217E7F">
            <w:pPr>
              <w:spacing w:after="0" w:line="240" w:lineRule="auto"/>
              <w:rPr>
                <w:rFonts w:ascii="Times New Roman" w:eastAsia="Times New Roman" w:hAnsi="Times New Roman" w:cs="Times New Roman"/>
                <w:kern w:val="0"/>
                <w:sz w:val="20"/>
                <w:szCs w:val="20"/>
                <w:lang w:eastAsia="pt-BR"/>
                <w14:ligatures w14:val="none"/>
              </w:rPr>
            </w:pPr>
          </w:p>
        </w:tc>
        <w:tc>
          <w:tcPr>
            <w:tcW w:w="343" w:type="pct"/>
            <w:tcBorders>
              <w:top w:val="nil"/>
              <w:left w:val="nil"/>
              <w:bottom w:val="nil"/>
              <w:right w:val="nil"/>
            </w:tcBorders>
            <w:shd w:val="clear" w:color="auto" w:fill="auto"/>
            <w:noWrap/>
            <w:vAlign w:val="bottom"/>
            <w:hideMark/>
          </w:tcPr>
          <w:p w14:paraId="73D9CAF4" w14:textId="77777777" w:rsidR="00217E7F" w:rsidRPr="00217E7F" w:rsidRDefault="00217E7F" w:rsidP="00217E7F">
            <w:pPr>
              <w:spacing w:after="0" w:line="240" w:lineRule="auto"/>
              <w:rPr>
                <w:rFonts w:ascii="Times New Roman" w:eastAsia="Times New Roman" w:hAnsi="Times New Roman" w:cs="Times New Roman"/>
                <w:kern w:val="0"/>
                <w:sz w:val="20"/>
                <w:szCs w:val="20"/>
                <w:lang w:eastAsia="pt-BR"/>
                <w14:ligatures w14:val="none"/>
              </w:rPr>
            </w:pPr>
          </w:p>
        </w:tc>
        <w:tc>
          <w:tcPr>
            <w:tcW w:w="70" w:type="pct"/>
            <w:tcBorders>
              <w:top w:val="nil"/>
              <w:left w:val="nil"/>
              <w:bottom w:val="nil"/>
              <w:right w:val="nil"/>
            </w:tcBorders>
            <w:shd w:val="clear" w:color="auto" w:fill="auto"/>
            <w:noWrap/>
            <w:vAlign w:val="bottom"/>
            <w:hideMark/>
          </w:tcPr>
          <w:p w14:paraId="054BE85B" w14:textId="77777777" w:rsidR="00217E7F" w:rsidRPr="00217E7F" w:rsidRDefault="00217E7F" w:rsidP="00217E7F">
            <w:pPr>
              <w:spacing w:after="0" w:line="240" w:lineRule="auto"/>
              <w:rPr>
                <w:rFonts w:ascii="Times New Roman" w:eastAsia="Times New Roman" w:hAnsi="Times New Roman" w:cs="Times New Roman"/>
                <w:kern w:val="0"/>
                <w:sz w:val="20"/>
                <w:szCs w:val="20"/>
                <w:lang w:eastAsia="pt-BR"/>
                <w14:ligatures w14:val="none"/>
              </w:rPr>
            </w:pPr>
          </w:p>
        </w:tc>
        <w:tc>
          <w:tcPr>
            <w:tcW w:w="410" w:type="pct"/>
            <w:tcBorders>
              <w:top w:val="nil"/>
              <w:left w:val="nil"/>
              <w:bottom w:val="nil"/>
              <w:right w:val="nil"/>
            </w:tcBorders>
            <w:shd w:val="clear" w:color="auto" w:fill="auto"/>
            <w:noWrap/>
            <w:vAlign w:val="bottom"/>
            <w:hideMark/>
          </w:tcPr>
          <w:p w14:paraId="4C1DAC52" w14:textId="77777777" w:rsidR="00217E7F" w:rsidRPr="00217E7F" w:rsidRDefault="00217E7F" w:rsidP="00217E7F">
            <w:pPr>
              <w:spacing w:after="0" w:line="240" w:lineRule="auto"/>
              <w:rPr>
                <w:rFonts w:ascii="Times New Roman" w:eastAsia="Times New Roman" w:hAnsi="Times New Roman" w:cs="Times New Roman"/>
                <w:kern w:val="0"/>
                <w:sz w:val="20"/>
                <w:szCs w:val="20"/>
                <w:lang w:eastAsia="pt-BR"/>
                <w14:ligatures w14:val="none"/>
              </w:rPr>
            </w:pPr>
          </w:p>
        </w:tc>
      </w:tr>
      <w:tr w:rsidR="00217E7F" w:rsidRPr="00217E7F" w14:paraId="4FA83DD8" w14:textId="77777777" w:rsidTr="00446A14">
        <w:trPr>
          <w:trHeight w:val="238"/>
        </w:trPr>
        <w:tc>
          <w:tcPr>
            <w:tcW w:w="1690" w:type="pct"/>
            <w:tcBorders>
              <w:top w:val="nil"/>
              <w:left w:val="nil"/>
              <w:bottom w:val="nil"/>
              <w:right w:val="nil"/>
            </w:tcBorders>
            <w:shd w:val="clear" w:color="000000" w:fill="75F6F9"/>
            <w:vAlign w:val="center"/>
            <w:hideMark/>
          </w:tcPr>
          <w:p w14:paraId="2EF44753" w14:textId="77777777" w:rsidR="00217E7F" w:rsidRPr="00217E7F" w:rsidRDefault="00217E7F" w:rsidP="00217E7F">
            <w:pPr>
              <w:spacing w:after="0" w:line="240" w:lineRule="auto"/>
              <w:rPr>
                <w:rFonts w:ascii="Arial" w:eastAsia="Times New Roman" w:hAnsi="Arial" w:cs="Arial"/>
                <w:b/>
                <w:bCs/>
                <w:color w:val="000000"/>
                <w:kern w:val="0"/>
                <w:sz w:val="16"/>
                <w:szCs w:val="16"/>
                <w:lang w:eastAsia="pt-BR"/>
                <w14:ligatures w14:val="none"/>
              </w:rPr>
            </w:pPr>
            <w:r w:rsidRPr="00217E7F">
              <w:rPr>
                <w:rFonts w:ascii="Arial" w:eastAsia="Times New Roman" w:hAnsi="Arial" w:cs="Arial"/>
                <w:b/>
                <w:bCs/>
                <w:color w:val="000000"/>
                <w:kern w:val="0"/>
                <w:sz w:val="16"/>
                <w:szCs w:val="16"/>
                <w:lang w:eastAsia="pt-BR"/>
                <w14:ligatures w14:val="none"/>
              </w:rPr>
              <w:t>R$ mil</w:t>
            </w:r>
          </w:p>
        </w:tc>
        <w:tc>
          <w:tcPr>
            <w:tcW w:w="435" w:type="pct"/>
            <w:tcBorders>
              <w:top w:val="nil"/>
              <w:left w:val="nil"/>
              <w:bottom w:val="nil"/>
              <w:right w:val="nil"/>
            </w:tcBorders>
            <w:shd w:val="clear" w:color="000000" w:fill="75F6F9"/>
            <w:noWrap/>
            <w:vAlign w:val="center"/>
            <w:hideMark/>
          </w:tcPr>
          <w:p w14:paraId="6C610195" w14:textId="77777777" w:rsidR="00217E7F" w:rsidRPr="00217E7F" w:rsidRDefault="00217E7F" w:rsidP="00217E7F">
            <w:pPr>
              <w:spacing w:after="0" w:line="240" w:lineRule="auto"/>
              <w:jc w:val="center"/>
              <w:rPr>
                <w:rFonts w:ascii="Arial" w:eastAsia="Times New Roman" w:hAnsi="Arial" w:cs="Arial"/>
                <w:b/>
                <w:bCs/>
                <w:color w:val="000000"/>
                <w:kern w:val="0"/>
                <w:sz w:val="16"/>
                <w:szCs w:val="16"/>
                <w:lang w:eastAsia="pt-BR"/>
                <w14:ligatures w14:val="none"/>
              </w:rPr>
            </w:pPr>
            <w:r w:rsidRPr="00217E7F">
              <w:rPr>
                <w:rFonts w:ascii="Arial" w:eastAsia="Times New Roman" w:hAnsi="Arial" w:cs="Arial"/>
                <w:b/>
                <w:bCs/>
                <w:color w:val="000000"/>
                <w:kern w:val="0"/>
                <w:sz w:val="16"/>
                <w:szCs w:val="16"/>
                <w:lang w:eastAsia="pt-BR"/>
                <w14:ligatures w14:val="none"/>
              </w:rPr>
              <w:t>4T23</w:t>
            </w:r>
          </w:p>
        </w:tc>
        <w:tc>
          <w:tcPr>
            <w:tcW w:w="393" w:type="pct"/>
            <w:tcBorders>
              <w:top w:val="nil"/>
              <w:left w:val="nil"/>
              <w:bottom w:val="nil"/>
              <w:right w:val="nil"/>
            </w:tcBorders>
            <w:shd w:val="clear" w:color="000000" w:fill="75F6F9"/>
            <w:noWrap/>
            <w:vAlign w:val="center"/>
            <w:hideMark/>
          </w:tcPr>
          <w:p w14:paraId="6086A770" w14:textId="77777777" w:rsidR="00217E7F" w:rsidRPr="00217E7F" w:rsidRDefault="00217E7F" w:rsidP="00217E7F">
            <w:pPr>
              <w:spacing w:after="0" w:line="240" w:lineRule="auto"/>
              <w:jc w:val="center"/>
              <w:rPr>
                <w:rFonts w:ascii="Arial" w:eastAsia="Times New Roman" w:hAnsi="Arial" w:cs="Arial"/>
                <w:b/>
                <w:bCs/>
                <w:color w:val="000000"/>
                <w:kern w:val="0"/>
                <w:sz w:val="16"/>
                <w:szCs w:val="16"/>
                <w:lang w:eastAsia="pt-BR"/>
                <w14:ligatures w14:val="none"/>
              </w:rPr>
            </w:pPr>
            <w:r w:rsidRPr="00217E7F">
              <w:rPr>
                <w:rFonts w:ascii="Arial" w:eastAsia="Times New Roman" w:hAnsi="Arial" w:cs="Arial"/>
                <w:b/>
                <w:bCs/>
                <w:color w:val="000000"/>
                <w:kern w:val="0"/>
                <w:sz w:val="16"/>
                <w:szCs w:val="16"/>
                <w:lang w:eastAsia="pt-BR"/>
                <w14:ligatures w14:val="none"/>
              </w:rPr>
              <w:t>4T22</w:t>
            </w:r>
          </w:p>
        </w:tc>
        <w:tc>
          <w:tcPr>
            <w:tcW w:w="343" w:type="pct"/>
            <w:tcBorders>
              <w:top w:val="nil"/>
              <w:left w:val="nil"/>
              <w:bottom w:val="nil"/>
              <w:right w:val="nil"/>
            </w:tcBorders>
            <w:shd w:val="clear" w:color="000000" w:fill="75F6F9"/>
            <w:noWrap/>
            <w:vAlign w:val="center"/>
            <w:hideMark/>
          </w:tcPr>
          <w:p w14:paraId="28D26CB3" w14:textId="77777777" w:rsidR="00217E7F" w:rsidRPr="00217E7F" w:rsidRDefault="00217E7F" w:rsidP="00217E7F">
            <w:pPr>
              <w:spacing w:after="0" w:line="240" w:lineRule="auto"/>
              <w:jc w:val="center"/>
              <w:rPr>
                <w:rFonts w:ascii="Arial" w:eastAsia="Times New Roman" w:hAnsi="Arial" w:cs="Arial"/>
                <w:b/>
                <w:bCs/>
                <w:color w:val="000000"/>
                <w:kern w:val="0"/>
                <w:sz w:val="16"/>
                <w:szCs w:val="16"/>
                <w:lang w:eastAsia="pt-BR"/>
                <w14:ligatures w14:val="none"/>
              </w:rPr>
            </w:pPr>
            <w:r w:rsidRPr="00217E7F">
              <w:rPr>
                <w:rFonts w:ascii="Arial" w:eastAsia="Times New Roman" w:hAnsi="Arial" w:cs="Arial"/>
                <w:b/>
                <w:bCs/>
                <w:color w:val="000000"/>
                <w:kern w:val="0"/>
                <w:sz w:val="16"/>
                <w:szCs w:val="16"/>
                <w:lang w:eastAsia="pt-BR"/>
                <w14:ligatures w14:val="none"/>
              </w:rPr>
              <w:t>3T23</w:t>
            </w:r>
          </w:p>
        </w:tc>
        <w:tc>
          <w:tcPr>
            <w:tcW w:w="70" w:type="pct"/>
            <w:tcBorders>
              <w:top w:val="nil"/>
              <w:left w:val="nil"/>
              <w:bottom w:val="nil"/>
              <w:right w:val="nil"/>
            </w:tcBorders>
            <w:shd w:val="clear" w:color="auto" w:fill="auto"/>
            <w:vAlign w:val="center"/>
            <w:hideMark/>
          </w:tcPr>
          <w:p w14:paraId="2BA0CFEB" w14:textId="77777777" w:rsidR="00217E7F" w:rsidRPr="00217E7F" w:rsidRDefault="00217E7F" w:rsidP="00217E7F">
            <w:pPr>
              <w:spacing w:after="0" w:line="240" w:lineRule="auto"/>
              <w:jc w:val="center"/>
              <w:rPr>
                <w:rFonts w:ascii="Arial" w:eastAsia="Times New Roman" w:hAnsi="Arial" w:cs="Arial"/>
                <w:b/>
                <w:bCs/>
                <w:color w:val="000000"/>
                <w:kern w:val="0"/>
                <w:sz w:val="16"/>
                <w:szCs w:val="16"/>
                <w:lang w:eastAsia="pt-BR"/>
                <w14:ligatures w14:val="none"/>
              </w:rPr>
            </w:pPr>
          </w:p>
        </w:tc>
        <w:tc>
          <w:tcPr>
            <w:tcW w:w="351" w:type="pct"/>
            <w:tcBorders>
              <w:top w:val="nil"/>
              <w:left w:val="nil"/>
              <w:bottom w:val="nil"/>
              <w:right w:val="nil"/>
            </w:tcBorders>
            <w:shd w:val="clear" w:color="000000" w:fill="75F6F9"/>
            <w:noWrap/>
            <w:vAlign w:val="center"/>
            <w:hideMark/>
          </w:tcPr>
          <w:p w14:paraId="53552963" w14:textId="77777777" w:rsidR="00217E7F" w:rsidRPr="00217E7F" w:rsidRDefault="00217E7F" w:rsidP="00217E7F">
            <w:pPr>
              <w:spacing w:after="0" w:line="240" w:lineRule="auto"/>
              <w:jc w:val="center"/>
              <w:rPr>
                <w:rFonts w:ascii="Arial" w:eastAsia="Times New Roman" w:hAnsi="Arial" w:cs="Arial"/>
                <w:b/>
                <w:bCs/>
                <w:color w:val="000000"/>
                <w:kern w:val="0"/>
                <w:sz w:val="16"/>
                <w:szCs w:val="16"/>
                <w:lang w:eastAsia="pt-BR"/>
                <w14:ligatures w14:val="none"/>
              </w:rPr>
            </w:pPr>
            <w:r w:rsidRPr="00217E7F">
              <w:rPr>
                <w:rFonts w:ascii="Arial" w:eastAsia="Times New Roman" w:hAnsi="Arial" w:cs="Arial"/>
                <w:b/>
                <w:bCs/>
                <w:color w:val="000000"/>
                <w:kern w:val="0"/>
                <w:sz w:val="16"/>
                <w:szCs w:val="16"/>
                <w:lang w:eastAsia="pt-BR"/>
                <w14:ligatures w14:val="none"/>
              </w:rPr>
              <w:t>Δ Ano</w:t>
            </w:r>
          </w:p>
        </w:tc>
        <w:tc>
          <w:tcPr>
            <w:tcW w:w="351" w:type="pct"/>
            <w:tcBorders>
              <w:top w:val="nil"/>
              <w:left w:val="nil"/>
              <w:bottom w:val="nil"/>
              <w:right w:val="nil"/>
            </w:tcBorders>
            <w:shd w:val="clear" w:color="000000" w:fill="75F6F9"/>
            <w:noWrap/>
            <w:vAlign w:val="center"/>
            <w:hideMark/>
          </w:tcPr>
          <w:p w14:paraId="05218B97" w14:textId="77777777" w:rsidR="00217E7F" w:rsidRPr="00217E7F" w:rsidRDefault="00217E7F" w:rsidP="00217E7F">
            <w:pPr>
              <w:spacing w:after="0" w:line="240" w:lineRule="auto"/>
              <w:jc w:val="center"/>
              <w:rPr>
                <w:rFonts w:ascii="Arial" w:eastAsia="Times New Roman" w:hAnsi="Arial" w:cs="Arial"/>
                <w:b/>
                <w:bCs/>
                <w:color w:val="000000"/>
                <w:kern w:val="0"/>
                <w:sz w:val="16"/>
                <w:szCs w:val="16"/>
                <w:lang w:eastAsia="pt-BR"/>
                <w14:ligatures w14:val="none"/>
              </w:rPr>
            </w:pPr>
            <w:r w:rsidRPr="00217E7F">
              <w:rPr>
                <w:rFonts w:ascii="Arial" w:eastAsia="Times New Roman" w:hAnsi="Arial" w:cs="Arial"/>
                <w:b/>
                <w:bCs/>
                <w:color w:val="000000"/>
                <w:kern w:val="0"/>
                <w:sz w:val="16"/>
                <w:szCs w:val="16"/>
                <w:lang w:eastAsia="pt-BR"/>
                <w14:ligatures w14:val="none"/>
              </w:rPr>
              <w:t>Δ Trim.</w:t>
            </w:r>
          </w:p>
        </w:tc>
        <w:tc>
          <w:tcPr>
            <w:tcW w:w="70" w:type="pct"/>
            <w:tcBorders>
              <w:top w:val="nil"/>
              <w:left w:val="nil"/>
              <w:bottom w:val="nil"/>
              <w:right w:val="nil"/>
            </w:tcBorders>
            <w:shd w:val="clear" w:color="auto" w:fill="auto"/>
            <w:noWrap/>
            <w:vAlign w:val="bottom"/>
            <w:hideMark/>
          </w:tcPr>
          <w:p w14:paraId="72F4E469" w14:textId="77777777" w:rsidR="00217E7F" w:rsidRPr="00217E7F" w:rsidRDefault="00217E7F" w:rsidP="00217E7F">
            <w:pPr>
              <w:spacing w:after="0" w:line="240" w:lineRule="auto"/>
              <w:jc w:val="center"/>
              <w:rPr>
                <w:rFonts w:ascii="Arial" w:eastAsia="Times New Roman" w:hAnsi="Arial" w:cs="Arial"/>
                <w:b/>
                <w:bCs/>
                <w:color w:val="000000"/>
                <w:kern w:val="0"/>
                <w:sz w:val="16"/>
                <w:szCs w:val="16"/>
                <w:lang w:eastAsia="pt-BR"/>
                <w14:ligatures w14:val="none"/>
              </w:rPr>
            </w:pPr>
          </w:p>
        </w:tc>
        <w:tc>
          <w:tcPr>
            <w:tcW w:w="476" w:type="pct"/>
            <w:tcBorders>
              <w:top w:val="nil"/>
              <w:left w:val="nil"/>
              <w:bottom w:val="nil"/>
              <w:right w:val="nil"/>
            </w:tcBorders>
            <w:shd w:val="clear" w:color="000000" w:fill="75F6F9"/>
            <w:noWrap/>
            <w:vAlign w:val="center"/>
            <w:hideMark/>
          </w:tcPr>
          <w:p w14:paraId="37EB9811" w14:textId="77777777" w:rsidR="00217E7F" w:rsidRPr="00217E7F" w:rsidRDefault="00217E7F" w:rsidP="00217E7F">
            <w:pPr>
              <w:spacing w:after="0" w:line="240" w:lineRule="auto"/>
              <w:jc w:val="center"/>
              <w:rPr>
                <w:rFonts w:ascii="Arial" w:eastAsia="Times New Roman" w:hAnsi="Arial" w:cs="Arial"/>
                <w:b/>
                <w:bCs/>
                <w:color w:val="000000"/>
                <w:kern w:val="0"/>
                <w:sz w:val="16"/>
                <w:szCs w:val="16"/>
                <w:lang w:eastAsia="pt-BR"/>
                <w14:ligatures w14:val="none"/>
              </w:rPr>
            </w:pPr>
            <w:r w:rsidRPr="00217E7F">
              <w:rPr>
                <w:rFonts w:ascii="Arial" w:eastAsia="Times New Roman" w:hAnsi="Arial" w:cs="Arial"/>
                <w:b/>
                <w:bCs/>
                <w:color w:val="000000"/>
                <w:kern w:val="0"/>
                <w:sz w:val="16"/>
                <w:szCs w:val="16"/>
                <w:lang w:eastAsia="pt-BR"/>
                <w14:ligatures w14:val="none"/>
              </w:rPr>
              <w:t>2023</w:t>
            </w:r>
          </w:p>
        </w:tc>
        <w:tc>
          <w:tcPr>
            <w:tcW w:w="343" w:type="pct"/>
            <w:tcBorders>
              <w:top w:val="nil"/>
              <w:left w:val="nil"/>
              <w:bottom w:val="nil"/>
              <w:right w:val="nil"/>
            </w:tcBorders>
            <w:shd w:val="clear" w:color="000000" w:fill="75F6F9"/>
            <w:noWrap/>
            <w:vAlign w:val="center"/>
            <w:hideMark/>
          </w:tcPr>
          <w:p w14:paraId="64358AD5" w14:textId="77777777" w:rsidR="00217E7F" w:rsidRPr="00217E7F" w:rsidRDefault="00217E7F" w:rsidP="00217E7F">
            <w:pPr>
              <w:spacing w:after="0" w:line="240" w:lineRule="auto"/>
              <w:jc w:val="center"/>
              <w:rPr>
                <w:rFonts w:ascii="Arial" w:eastAsia="Times New Roman" w:hAnsi="Arial" w:cs="Arial"/>
                <w:b/>
                <w:bCs/>
                <w:color w:val="000000"/>
                <w:kern w:val="0"/>
                <w:sz w:val="16"/>
                <w:szCs w:val="16"/>
                <w:lang w:eastAsia="pt-BR"/>
                <w14:ligatures w14:val="none"/>
              </w:rPr>
            </w:pPr>
            <w:r w:rsidRPr="00217E7F">
              <w:rPr>
                <w:rFonts w:ascii="Arial" w:eastAsia="Times New Roman" w:hAnsi="Arial" w:cs="Arial"/>
                <w:b/>
                <w:bCs/>
                <w:color w:val="000000"/>
                <w:kern w:val="0"/>
                <w:sz w:val="16"/>
                <w:szCs w:val="16"/>
                <w:lang w:eastAsia="pt-BR"/>
                <w14:ligatures w14:val="none"/>
              </w:rPr>
              <w:t>2022</w:t>
            </w:r>
          </w:p>
        </w:tc>
        <w:tc>
          <w:tcPr>
            <w:tcW w:w="70" w:type="pct"/>
            <w:tcBorders>
              <w:top w:val="nil"/>
              <w:left w:val="nil"/>
              <w:bottom w:val="nil"/>
              <w:right w:val="nil"/>
            </w:tcBorders>
            <w:shd w:val="clear" w:color="auto" w:fill="auto"/>
            <w:noWrap/>
            <w:vAlign w:val="bottom"/>
            <w:hideMark/>
          </w:tcPr>
          <w:p w14:paraId="751BF23B" w14:textId="77777777" w:rsidR="00217E7F" w:rsidRPr="00217E7F" w:rsidRDefault="00217E7F" w:rsidP="00217E7F">
            <w:pPr>
              <w:spacing w:after="0" w:line="240" w:lineRule="auto"/>
              <w:jc w:val="center"/>
              <w:rPr>
                <w:rFonts w:ascii="Arial" w:eastAsia="Times New Roman" w:hAnsi="Arial" w:cs="Arial"/>
                <w:b/>
                <w:bCs/>
                <w:color w:val="000000"/>
                <w:kern w:val="0"/>
                <w:sz w:val="16"/>
                <w:szCs w:val="16"/>
                <w:lang w:eastAsia="pt-BR"/>
                <w14:ligatures w14:val="none"/>
              </w:rPr>
            </w:pPr>
          </w:p>
        </w:tc>
        <w:tc>
          <w:tcPr>
            <w:tcW w:w="410" w:type="pct"/>
            <w:tcBorders>
              <w:top w:val="nil"/>
              <w:left w:val="nil"/>
              <w:bottom w:val="nil"/>
              <w:right w:val="nil"/>
            </w:tcBorders>
            <w:shd w:val="clear" w:color="000000" w:fill="75F6F9"/>
            <w:noWrap/>
            <w:vAlign w:val="center"/>
            <w:hideMark/>
          </w:tcPr>
          <w:p w14:paraId="4C28AE01" w14:textId="77777777" w:rsidR="00217E7F" w:rsidRPr="00217E7F" w:rsidRDefault="00217E7F" w:rsidP="00217E7F">
            <w:pPr>
              <w:spacing w:after="0" w:line="240" w:lineRule="auto"/>
              <w:jc w:val="center"/>
              <w:rPr>
                <w:rFonts w:ascii="Arial" w:eastAsia="Times New Roman" w:hAnsi="Arial" w:cs="Arial"/>
                <w:b/>
                <w:bCs/>
                <w:color w:val="000000"/>
                <w:kern w:val="0"/>
                <w:sz w:val="16"/>
                <w:szCs w:val="16"/>
                <w:lang w:eastAsia="pt-BR"/>
                <w14:ligatures w14:val="none"/>
              </w:rPr>
            </w:pPr>
            <w:r w:rsidRPr="00217E7F">
              <w:rPr>
                <w:rFonts w:ascii="Arial" w:eastAsia="Times New Roman" w:hAnsi="Arial" w:cs="Arial"/>
                <w:b/>
                <w:bCs/>
                <w:color w:val="000000"/>
                <w:kern w:val="0"/>
                <w:sz w:val="16"/>
                <w:szCs w:val="16"/>
                <w:lang w:eastAsia="pt-BR"/>
                <w14:ligatures w14:val="none"/>
              </w:rPr>
              <w:t>Δ Ano</w:t>
            </w:r>
          </w:p>
        </w:tc>
      </w:tr>
      <w:tr w:rsidR="00217E7F" w:rsidRPr="00217E7F" w14:paraId="343FE776" w14:textId="77777777" w:rsidTr="00446A14">
        <w:trPr>
          <w:trHeight w:val="238"/>
        </w:trPr>
        <w:tc>
          <w:tcPr>
            <w:tcW w:w="1690" w:type="pct"/>
            <w:tcBorders>
              <w:top w:val="nil"/>
              <w:left w:val="nil"/>
              <w:bottom w:val="nil"/>
              <w:right w:val="nil"/>
            </w:tcBorders>
            <w:shd w:val="clear" w:color="auto" w:fill="auto"/>
            <w:noWrap/>
            <w:vAlign w:val="bottom"/>
            <w:hideMark/>
          </w:tcPr>
          <w:p w14:paraId="04596D60" w14:textId="77777777" w:rsidR="00217E7F" w:rsidRPr="00217E7F" w:rsidRDefault="00217E7F" w:rsidP="00217E7F">
            <w:pPr>
              <w:spacing w:after="0" w:line="240" w:lineRule="auto"/>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Rede Terrestre</w:t>
            </w:r>
          </w:p>
        </w:tc>
        <w:tc>
          <w:tcPr>
            <w:tcW w:w="435" w:type="pct"/>
            <w:tcBorders>
              <w:top w:val="nil"/>
              <w:left w:val="nil"/>
              <w:bottom w:val="nil"/>
              <w:right w:val="nil"/>
            </w:tcBorders>
            <w:shd w:val="clear" w:color="000000" w:fill="DDEBF7"/>
            <w:noWrap/>
            <w:vAlign w:val="center"/>
            <w:hideMark/>
          </w:tcPr>
          <w:p w14:paraId="75C5B08C"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18.002</w:t>
            </w:r>
          </w:p>
        </w:tc>
        <w:tc>
          <w:tcPr>
            <w:tcW w:w="393" w:type="pct"/>
            <w:tcBorders>
              <w:top w:val="nil"/>
              <w:left w:val="nil"/>
              <w:bottom w:val="nil"/>
              <w:right w:val="nil"/>
            </w:tcBorders>
            <w:shd w:val="clear" w:color="auto" w:fill="auto"/>
            <w:noWrap/>
            <w:vAlign w:val="center"/>
            <w:hideMark/>
          </w:tcPr>
          <w:p w14:paraId="3C12DF4C" w14:textId="77777777" w:rsidR="00217E7F" w:rsidRPr="00217E7F" w:rsidRDefault="00217E7F" w:rsidP="00217E7F">
            <w:pPr>
              <w:spacing w:after="0" w:line="240" w:lineRule="auto"/>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 xml:space="preserve">  (48.145)</w:t>
            </w:r>
          </w:p>
        </w:tc>
        <w:tc>
          <w:tcPr>
            <w:tcW w:w="343" w:type="pct"/>
            <w:tcBorders>
              <w:top w:val="nil"/>
              <w:left w:val="nil"/>
              <w:bottom w:val="nil"/>
              <w:right w:val="nil"/>
            </w:tcBorders>
            <w:shd w:val="clear" w:color="auto" w:fill="auto"/>
            <w:noWrap/>
            <w:vAlign w:val="center"/>
            <w:hideMark/>
          </w:tcPr>
          <w:p w14:paraId="3B0D4AF0"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54.443</w:t>
            </w:r>
          </w:p>
        </w:tc>
        <w:tc>
          <w:tcPr>
            <w:tcW w:w="70" w:type="pct"/>
            <w:tcBorders>
              <w:top w:val="nil"/>
              <w:left w:val="nil"/>
              <w:bottom w:val="nil"/>
              <w:right w:val="nil"/>
            </w:tcBorders>
            <w:shd w:val="clear" w:color="auto" w:fill="auto"/>
            <w:noWrap/>
            <w:vAlign w:val="bottom"/>
            <w:hideMark/>
          </w:tcPr>
          <w:p w14:paraId="0800BB59"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p>
        </w:tc>
        <w:tc>
          <w:tcPr>
            <w:tcW w:w="351" w:type="pct"/>
            <w:tcBorders>
              <w:top w:val="nil"/>
              <w:left w:val="nil"/>
              <w:bottom w:val="nil"/>
              <w:right w:val="nil"/>
            </w:tcBorders>
            <w:shd w:val="clear" w:color="auto" w:fill="auto"/>
            <w:noWrap/>
            <w:vAlign w:val="center"/>
            <w:hideMark/>
          </w:tcPr>
          <w:p w14:paraId="1F1FF6DD"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-137,4%</w:t>
            </w:r>
          </w:p>
        </w:tc>
        <w:tc>
          <w:tcPr>
            <w:tcW w:w="351" w:type="pct"/>
            <w:tcBorders>
              <w:top w:val="nil"/>
              <w:left w:val="nil"/>
              <w:bottom w:val="nil"/>
              <w:right w:val="nil"/>
            </w:tcBorders>
            <w:shd w:val="clear" w:color="auto" w:fill="auto"/>
            <w:noWrap/>
            <w:vAlign w:val="center"/>
            <w:hideMark/>
          </w:tcPr>
          <w:p w14:paraId="284E323C"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-66,9%</w:t>
            </w:r>
          </w:p>
        </w:tc>
        <w:tc>
          <w:tcPr>
            <w:tcW w:w="70" w:type="pct"/>
            <w:tcBorders>
              <w:top w:val="nil"/>
              <w:left w:val="nil"/>
              <w:bottom w:val="nil"/>
              <w:right w:val="nil"/>
            </w:tcBorders>
            <w:shd w:val="clear" w:color="auto" w:fill="auto"/>
            <w:noWrap/>
            <w:vAlign w:val="bottom"/>
            <w:hideMark/>
          </w:tcPr>
          <w:p w14:paraId="5AE9F93E"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p>
        </w:tc>
        <w:tc>
          <w:tcPr>
            <w:tcW w:w="476" w:type="pct"/>
            <w:tcBorders>
              <w:top w:val="nil"/>
              <w:left w:val="nil"/>
              <w:bottom w:val="nil"/>
              <w:right w:val="nil"/>
            </w:tcBorders>
            <w:shd w:val="clear" w:color="000000" w:fill="DDEBF7"/>
            <w:noWrap/>
            <w:vAlign w:val="center"/>
            <w:hideMark/>
          </w:tcPr>
          <w:p w14:paraId="5D0BAA5F"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107.720</w:t>
            </w:r>
          </w:p>
        </w:tc>
        <w:tc>
          <w:tcPr>
            <w:tcW w:w="343" w:type="pct"/>
            <w:tcBorders>
              <w:top w:val="nil"/>
              <w:left w:val="nil"/>
              <w:bottom w:val="nil"/>
              <w:right w:val="nil"/>
            </w:tcBorders>
            <w:shd w:val="clear" w:color="auto" w:fill="auto"/>
            <w:noWrap/>
            <w:vAlign w:val="center"/>
            <w:hideMark/>
          </w:tcPr>
          <w:p w14:paraId="2393D91A"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11.198</w:t>
            </w:r>
          </w:p>
        </w:tc>
        <w:tc>
          <w:tcPr>
            <w:tcW w:w="70" w:type="pct"/>
            <w:tcBorders>
              <w:top w:val="nil"/>
              <w:left w:val="nil"/>
              <w:bottom w:val="nil"/>
              <w:right w:val="nil"/>
            </w:tcBorders>
            <w:shd w:val="clear" w:color="auto" w:fill="auto"/>
            <w:noWrap/>
            <w:vAlign w:val="bottom"/>
            <w:hideMark/>
          </w:tcPr>
          <w:p w14:paraId="79FC8512"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p>
        </w:tc>
        <w:tc>
          <w:tcPr>
            <w:tcW w:w="410" w:type="pct"/>
            <w:tcBorders>
              <w:top w:val="nil"/>
              <w:left w:val="nil"/>
              <w:bottom w:val="nil"/>
              <w:right w:val="nil"/>
            </w:tcBorders>
            <w:shd w:val="clear" w:color="auto" w:fill="auto"/>
            <w:noWrap/>
            <w:vAlign w:val="center"/>
            <w:hideMark/>
          </w:tcPr>
          <w:p w14:paraId="678A0071"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862,0%</w:t>
            </w:r>
          </w:p>
        </w:tc>
      </w:tr>
      <w:tr w:rsidR="00217E7F" w:rsidRPr="00217E7F" w14:paraId="4D870445" w14:textId="77777777" w:rsidTr="00446A14">
        <w:trPr>
          <w:trHeight w:val="238"/>
        </w:trPr>
        <w:tc>
          <w:tcPr>
            <w:tcW w:w="1690" w:type="pct"/>
            <w:tcBorders>
              <w:top w:val="nil"/>
              <w:left w:val="nil"/>
              <w:bottom w:val="nil"/>
              <w:right w:val="nil"/>
            </w:tcBorders>
            <w:shd w:val="clear" w:color="auto" w:fill="auto"/>
            <w:noWrap/>
            <w:vAlign w:val="bottom"/>
            <w:hideMark/>
          </w:tcPr>
          <w:p w14:paraId="129F6FBD" w14:textId="77777777" w:rsidR="00217E7F" w:rsidRPr="00217E7F" w:rsidRDefault="00217E7F" w:rsidP="00217E7F">
            <w:pPr>
              <w:spacing w:after="0" w:line="240" w:lineRule="auto"/>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Satélite SGDC</w:t>
            </w:r>
          </w:p>
        </w:tc>
        <w:tc>
          <w:tcPr>
            <w:tcW w:w="435" w:type="pct"/>
            <w:tcBorders>
              <w:top w:val="nil"/>
              <w:left w:val="nil"/>
              <w:bottom w:val="nil"/>
              <w:right w:val="nil"/>
            </w:tcBorders>
            <w:shd w:val="clear" w:color="000000" w:fill="DDEBF7"/>
            <w:noWrap/>
            <w:vAlign w:val="center"/>
            <w:hideMark/>
          </w:tcPr>
          <w:p w14:paraId="098E5F49"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377</w:t>
            </w:r>
          </w:p>
        </w:tc>
        <w:tc>
          <w:tcPr>
            <w:tcW w:w="393" w:type="pct"/>
            <w:tcBorders>
              <w:top w:val="nil"/>
              <w:left w:val="nil"/>
              <w:bottom w:val="nil"/>
              <w:right w:val="nil"/>
            </w:tcBorders>
            <w:shd w:val="clear" w:color="auto" w:fill="auto"/>
            <w:noWrap/>
            <w:vAlign w:val="center"/>
            <w:hideMark/>
          </w:tcPr>
          <w:p w14:paraId="35EA1AC8" w14:textId="77777777" w:rsidR="00217E7F" w:rsidRPr="00217E7F" w:rsidRDefault="00217E7F" w:rsidP="00217E7F">
            <w:pPr>
              <w:spacing w:after="0" w:line="240" w:lineRule="auto"/>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 xml:space="preserve">  111.930 </w:t>
            </w:r>
          </w:p>
        </w:tc>
        <w:tc>
          <w:tcPr>
            <w:tcW w:w="343" w:type="pct"/>
            <w:tcBorders>
              <w:top w:val="nil"/>
              <w:left w:val="nil"/>
              <w:bottom w:val="nil"/>
              <w:right w:val="nil"/>
            </w:tcBorders>
            <w:shd w:val="clear" w:color="auto" w:fill="auto"/>
            <w:noWrap/>
            <w:vAlign w:val="center"/>
            <w:hideMark/>
          </w:tcPr>
          <w:p w14:paraId="71124B63"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693</w:t>
            </w:r>
          </w:p>
        </w:tc>
        <w:tc>
          <w:tcPr>
            <w:tcW w:w="70" w:type="pct"/>
            <w:tcBorders>
              <w:top w:val="nil"/>
              <w:left w:val="nil"/>
              <w:bottom w:val="nil"/>
              <w:right w:val="nil"/>
            </w:tcBorders>
            <w:shd w:val="clear" w:color="auto" w:fill="auto"/>
            <w:noWrap/>
            <w:vAlign w:val="bottom"/>
            <w:hideMark/>
          </w:tcPr>
          <w:p w14:paraId="65E301E9"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p>
        </w:tc>
        <w:tc>
          <w:tcPr>
            <w:tcW w:w="351" w:type="pct"/>
            <w:tcBorders>
              <w:top w:val="nil"/>
              <w:left w:val="nil"/>
              <w:bottom w:val="nil"/>
              <w:right w:val="nil"/>
            </w:tcBorders>
            <w:shd w:val="clear" w:color="auto" w:fill="auto"/>
            <w:noWrap/>
            <w:vAlign w:val="center"/>
            <w:hideMark/>
          </w:tcPr>
          <w:p w14:paraId="50CD25AE"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100,0%</w:t>
            </w:r>
          </w:p>
        </w:tc>
        <w:tc>
          <w:tcPr>
            <w:tcW w:w="351" w:type="pct"/>
            <w:tcBorders>
              <w:top w:val="nil"/>
              <w:left w:val="nil"/>
              <w:bottom w:val="nil"/>
              <w:right w:val="nil"/>
            </w:tcBorders>
            <w:shd w:val="clear" w:color="auto" w:fill="auto"/>
            <w:noWrap/>
            <w:vAlign w:val="center"/>
            <w:hideMark/>
          </w:tcPr>
          <w:p w14:paraId="692B5C79"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-45,6%</w:t>
            </w:r>
          </w:p>
        </w:tc>
        <w:tc>
          <w:tcPr>
            <w:tcW w:w="70" w:type="pct"/>
            <w:tcBorders>
              <w:top w:val="nil"/>
              <w:left w:val="nil"/>
              <w:bottom w:val="nil"/>
              <w:right w:val="nil"/>
            </w:tcBorders>
            <w:shd w:val="clear" w:color="auto" w:fill="auto"/>
            <w:noWrap/>
            <w:vAlign w:val="bottom"/>
            <w:hideMark/>
          </w:tcPr>
          <w:p w14:paraId="3F878D1C"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p>
        </w:tc>
        <w:tc>
          <w:tcPr>
            <w:tcW w:w="476" w:type="pct"/>
            <w:tcBorders>
              <w:top w:val="nil"/>
              <w:left w:val="nil"/>
              <w:bottom w:val="nil"/>
              <w:right w:val="nil"/>
            </w:tcBorders>
            <w:shd w:val="clear" w:color="000000" w:fill="DDEBF7"/>
            <w:noWrap/>
            <w:vAlign w:val="center"/>
            <w:hideMark/>
          </w:tcPr>
          <w:p w14:paraId="4E3D4E60"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4.470</w:t>
            </w:r>
          </w:p>
        </w:tc>
        <w:tc>
          <w:tcPr>
            <w:tcW w:w="343" w:type="pct"/>
            <w:tcBorders>
              <w:top w:val="nil"/>
              <w:left w:val="nil"/>
              <w:bottom w:val="nil"/>
              <w:right w:val="nil"/>
            </w:tcBorders>
            <w:shd w:val="clear" w:color="auto" w:fill="auto"/>
            <w:noWrap/>
            <w:vAlign w:val="center"/>
            <w:hideMark/>
          </w:tcPr>
          <w:p w14:paraId="20F4A599"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116.686</w:t>
            </w:r>
          </w:p>
        </w:tc>
        <w:tc>
          <w:tcPr>
            <w:tcW w:w="70" w:type="pct"/>
            <w:tcBorders>
              <w:top w:val="nil"/>
              <w:left w:val="nil"/>
              <w:bottom w:val="nil"/>
              <w:right w:val="nil"/>
            </w:tcBorders>
            <w:shd w:val="clear" w:color="auto" w:fill="auto"/>
            <w:noWrap/>
            <w:vAlign w:val="bottom"/>
            <w:hideMark/>
          </w:tcPr>
          <w:p w14:paraId="6481A78F"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p>
        </w:tc>
        <w:tc>
          <w:tcPr>
            <w:tcW w:w="410" w:type="pct"/>
            <w:tcBorders>
              <w:top w:val="nil"/>
              <w:left w:val="nil"/>
              <w:bottom w:val="nil"/>
              <w:right w:val="nil"/>
            </w:tcBorders>
            <w:shd w:val="clear" w:color="auto" w:fill="auto"/>
            <w:noWrap/>
            <w:vAlign w:val="center"/>
            <w:hideMark/>
          </w:tcPr>
          <w:p w14:paraId="5D061601"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-96,2%</w:t>
            </w:r>
          </w:p>
        </w:tc>
      </w:tr>
      <w:tr w:rsidR="00217E7F" w:rsidRPr="00217E7F" w14:paraId="1704AA4B" w14:textId="77777777" w:rsidTr="00446A14">
        <w:trPr>
          <w:trHeight w:val="238"/>
        </w:trPr>
        <w:tc>
          <w:tcPr>
            <w:tcW w:w="1690" w:type="pct"/>
            <w:tcBorders>
              <w:top w:val="nil"/>
              <w:left w:val="nil"/>
              <w:bottom w:val="nil"/>
              <w:right w:val="nil"/>
            </w:tcBorders>
            <w:shd w:val="clear" w:color="auto" w:fill="auto"/>
            <w:noWrap/>
            <w:vAlign w:val="bottom"/>
            <w:hideMark/>
          </w:tcPr>
          <w:p w14:paraId="4FBBB816" w14:textId="77777777" w:rsidR="00217E7F" w:rsidRPr="00217E7F" w:rsidRDefault="00217E7F" w:rsidP="00217E7F">
            <w:pPr>
              <w:spacing w:after="0" w:line="240" w:lineRule="auto"/>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Ativos de Informática</w:t>
            </w:r>
          </w:p>
        </w:tc>
        <w:tc>
          <w:tcPr>
            <w:tcW w:w="435" w:type="pct"/>
            <w:tcBorders>
              <w:top w:val="nil"/>
              <w:left w:val="nil"/>
              <w:bottom w:val="nil"/>
              <w:right w:val="nil"/>
            </w:tcBorders>
            <w:shd w:val="clear" w:color="000000" w:fill="DDEBF7"/>
            <w:noWrap/>
            <w:vAlign w:val="center"/>
            <w:hideMark/>
          </w:tcPr>
          <w:p w14:paraId="6F9208D8"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1.265</w:t>
            </w:r>
          </w:p>
        </w:tc>
        <w:tc>
          <w:tcPr>
            <w:tcW w:w="393" w:type="pct"/>
            <w:tcBorders>
              <w:top w:val="nil"/>
              <w:left w:val="nil"/>
              <w:bottom w:val="nil"/>
              <w:right w:val="nil"/>
            </w:tcBorders>
            <w:shd w:val="clear" w:color="auto" w:fill="auto"/>
            <w:noWrap/>
            <w:vAlign w:val="center"/>
            <w:hideMark/>
          </w:tcPr>
          <w:p w14:paraId="506A330A" w14:textId="77777777" w:rsidR="00217E7F" w:rsidRPr="00217E7F" w:rsidRDefault="00217E7F" w:rsidP="00217E7F">
            <w:pPr>
              <w:spacing w:after="0" w:line="240" w:lineRule="auto"/>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 xml:space="preserve">      3.198 </w:t>
            </w:r>
          </w:p>
        </w:tc>
        <w:tc>
          <w:tcPr>
            <w:tcW w:w="343" w:type="pct"/>
            <w:tcBorders>
              <w:top w:val="nil"/>
              <w:left w:val="nil"/>
              <w:bottom w:val="nil"/>
              <w:right w:val="nil"/>
            </w:tcBorders>
            <w:shd w:val="clear" w:color="auto" w:fill="auto"/>
            <w:noWrap/>
            <w:vAlign w:val="center"/>
            <w:hideMark/>
          </w:tcPr>
          <w:p w14:paraId="1534E81E"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1.043</w:t>
            </w:r>
          </w:p>
        </w:tc>
        <w:tc>
          <w:tcPr>
            <w:tcW w:w="70" w:type="pct"/>
            <w:tcBorders>
              <w:top w:val="nil"/>
              <w:left w:val="nil"/>
              <w:bottom w:val="nil"/>
              <w:right w:val="nil"/>
            </w:tcBorders>
            <w:shd w:val="clear" w:color="auto" w:fill="auto"/>
            <w:noWrap/>
            <w:vAlign w:val="bottom"/>
            <w:hideMark/>
          </w:tcPr>
          <w:p w14:paraId="29B98670"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p>
        </w:tc>
        <w:tc>
          <w:tcPr>
            <w:tcW w:w="351" w:type="pct"/>
            <w:tcBorders>
              <w:top w:val="nil"/>
              <w:left w:val="nil"/>
              <w:bottom w:val="nil"/>
              <w:right w:val="nil"/>
            </w:tcBorders>
            <w:shd w:val="clear" w:color="auto" w:fill="auto"/>
            <w:noWrap/>
            <w:vAlign w:val="center"/>
            <w:hideMark/>
          </w:tcPr>
          <w:p w14:paraId="4D6751BA"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-60,4%</w:t>
            </w:r>
          </w:p>
        </w:tc>
        <w:tc>
          <w:tcPr>
            <w:tcW w:w="351" w:type="pct"/>
            <w:tcBorders>
              <w:top w:val="nil"/>
              <w:left w:val="nil"/>
              <w:bottom w:val="nil"/>
              <w:right w:val="nil"/>
            </w:tcBorders>
            <w:shd w:val="clear" w:color="auto" w:fill="auto"/>
            <w:noWrap/>
            <w:vAlign w:val="center"/>
            <w:hideMark/>
          </w:tcPr>
          <w:p w14:paraId="0FB71AA6"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21,3%</w:t>
            </w:r>
          </w:p>
        </w:tc>
        <w:tc>
          <w:tcPr>
            <w:tcW w:w="70" w:type="pct"/>
            <w:tcBorders>
              <w:top w:val="nil"/>
              <w:left w:val="nil"/>
              <w:bottom w:val="nil"/>
              <w:right w:val="nil"/>
            </w:tcBorders>
            <w:shd w:val="clear" w:color="auto" w:fill="auto"/>
            <w:noWrap/>
            <w:vAlign w:val="bottom"/>
            <w:hideMark/>
          </w:tcPr>
          <w:p w14:paraId="7E86101E"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p>
        </w:tc>
        <w:tc>
          <w:tcPr>
            <w:tcW w:w="476" w:type="pct"/>
            <w:tcBorders>
              <w:top w:val="nil"/>
              <w:left w:val="nil"/>
              <w:bottom w:val="nil"/>
              <w:right w:val="nil"/>
            </w:tcBorders>
            <w:shd w:val="clear" w:color="000000" w:fill="DDEBF7"/>
            <w:noWrap/>
            <w:vAlign w:val="center"/>
            <w:hideMark/>
          </w:tcPr>
          <w:p w14:paraId="7825497A"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4.069</w:t>
            </w:r>
          </w:p>
        </w:tc>
        <w:tc>
          <w:tcPr>
            <w:tcW w:w="343" w:type="pct"/>
            <w:tcBorders>
              <w:top w:val="nil"/>
              <w:left w:val="nil"/>
              <w:bottom w:val="nil"/>
              <w:right w:val="nil"/>
            </w:tcBorders>
            <w:shd w:val="clear" w:color="auto" w:fill="auto"/>
            <w:noWrap/>
            <w:vAlign w:val="center"/>
            <w:hideMark/>
          </w:tcPr>
          <w:p w14:paraId="4980D3D1"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3.714</w:t>
            </w:r>
          </w:p>
        </w:tc>
        <w:tc>
          <w:tcPr>
            <w:tcW w:w="70" w:type="pct"/>
            <w:tcBorders>
              <w:top w:val="nil"/>
              <w:left w:val="nil"/>
              <w:bottom w:val="nil"/>
              <w:right w:val="nil"/>
            </w:tcBorders>
            <w:shd w:val="clear" w:color="auto" w:fill="auto"/>
            <w:noWrap/>
            <w:vAlign w:val="bottom"/>
            <w:hideMark/>
          </w:tcPr>
          <w:p w14:paraId="6E4AD490"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p>
        </w:tc>
        <w:tc>
          <w:tcPr>
            <w:tcW w:w="410" w:type="pct"/>
            <w:tcBorders>
              <w:top w:val="nil"/>
              <w:left w:val="nil"/>
              <w:bottom w:val="nil"/>
              <w:right w:val="nil"/>
            </w:tcBorders>
            <w:shd w:val="clear" w:color="auto" w:fill="auto"/>
            <w:noWrap/>
            <w:vAlign w:val="center"/>
            <w:hideMark/>
          </w:tcPr>
          <w:p w14:paraId="47C977C5"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9,6%</w:t>
            </w:r>
          </w:p>
        </w:tc>
      </w:tr>
      <w:tr w:rsidR="00217E7F" w:rsidRPr="00217E7F" w14:paraId="13D94331" w14:textId="77777777" w:rsidTr="00446A14">
        <w:trPr>
          <w:trHeight w:val="238"/>
        </w:trPr>
        <w:tc>
          <w:tcPr>
            <w:tcW w:w="1690" w:type="pct"/>
            <w:tcBorders>
              <w:top w:val="nil"/>
              <w:left w:val="nil"/>
              <w:bottom w:val="nil"/>
              <w:right w:val="nil"/>
            </w:tcBorders>
            <w:shd w:val="clear" w:color="auto" w:fill="auto"/>
            <w:noWrap/>
            <w:vAlign w:val="bottom"/>
            <w:hideMark/>
          </w:tcPr>
          <w:p w14:paraId="2905BE0A" w14:textId="77777777" w:rsidR="00217E7F" w:rsidRPr="00217E7F" w:rsidRDefault="00217E7F" w:rsidP="00217E7F">
            <w:pPr>
              <w:spacing w:after="0" w:line="240" w:lineRule="auto"/>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Outros</w:t>
            </w:r>
          </w:p>
        </w:tc>
        <w:tc>
          <w:tcPr>
            <w:tcW w:w="435" w:type="pct"/>
            <w:tcBorders>
              <w:top w:val="nil"/>
              <w:left w:val="nil"/>
              <w:bottom w:val="nil"/>
              <w:right w:val="nil"/>
            </w:tcBorders>
            <w:shd w:val="clear" w:color="000000" w:fill="DDEBF7"/>
            <w:noWrap/>
            <w:vAlign w:val="center"/>
            <w:hideMark/>
          </w:tcPr>
          <w:p w14:paraId="5C584159" w14:textId="77777777" w:rsidR="00217E7F" w:rsidRPr="00217E7F" w:rsidRDefault="00217E7F" w:rsidP="00217E7F">
            <w:pPr>
              <w:spacing w:after="0" w:line="240" w:lineRule="auto"/>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 xml:space="preserve">             - </w:t>
            </w:r>
          </w:p>
        </w:tc>
        <w:tc>
          <w:tcPr>
            <w:tcW w:w="393" w:type="pct"/>
            <w:tcBorders>
              <w:top w:val="nil"/>
              <w:left w:val="nil"/>
              <w:bottom w:val="nil"/>
              <w:right w:val="nil"/>
            </w:tcBorders>
            <w:shd w:val="clear" w:color="auto" w:fill="auto"/>
            <w:noWrap/>
            <w:vAlign w:val="center"/>
            <w:hideMark/>
          </w:tcPr>
          <w:p w14:paraId="40CFEA9E" w14:textId="77777777" w:rsidR="00217E7F" w:rsidRPr="00217E7F" w:rsidRDefault="00217E7F" w:rsidP="00217E7F">
            <w:pPr>
              <w:spacing w:after="0" w:line="240" w:lineRule="auto"/>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 xml:space="preserve">             -   </w:t>
            </w:r>
          </w:p>
        </w:tc>
        <w:tc>
          <w:tcPr>
            <w:tcW w:w="343" w:type="pct"/>
            <w:tcBorders>
              <w:top w:val="nil"/>
              <w:left w:val="nil"/>
              <w:bottom w:val="nil"/>
              <w:right w:val="nil"/>
            </w:tcBorders>
            <w:shd w:val="clear" w:color="auto" w:fill="auto"/>
            <w:noWrap/>
            <w:vAlign w:val="center"/>
            <w:hideMark/>
          </w:tcPr>
          <w:p w14:paraId="03688FD6"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100</w:t>
            </w:r>
          </w:p>
        </w:tc>
        <w:tc>
          <w:tcPr>
            <w:tcW w:w="70" w:type="pct"/>
            <w:tcBorders>
              <w:top w:val="nil"/>
              <w:left w:val="nil"/>
              <w:bottom w:val="nil"/>
              <w:right w:val="nil"/>
            </w:tcBorders>
            <w:shd w:val="clear" w:color="auto" w:fill="auto"/>
            <w:noWrap/>
            <w:vAlign w:val="bottom"/>
            <w:hideMark/>
          </w:tcPr>
          <w:p w14:paraId="5D62AF73"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p>
        </w:tc>
        <w:tc>
          <w:tcPr>
            <w:tcW w:w="351" w:type="pct"/>
            <w:tcBorders>
              <w:top w:val="nil"/>
              <w:left w:val="nil"/>
              <w:bottom w:val="nil"/>
              <w:right w:val="nil"/>
            </w:tcBorders>
            <w:shd w:val="clear" w:color="auto" w:fill="auto"/>
            <w:noWrap/>
            <w:vAlign w:val="center"/>
            <w:hideMark/>
          </w:tcPr>
          <w:p w14:paraId="2DF1BD26"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w:t>
            </w:r>
          </w:p>
        </w:tc>
        <w:tc>
          <w:tcPr>
            <w:tcW w:w="351" w:type="pct"/>
            <w:tcBorders>
              <w:top w:val="nil"/>
              <w:left w:val="nil"/>
              <w:bottom w:val="nil"/>
              <w:right w:val="nil"/>
            </w:tcBorders>
            <w:shd w:val="clear" w:color="auto" w:fill="auto"/>
            <w:noWrap/>
            <w:vAlign w:val="center"/>
            <w:hideMark/>
          </w:tcPr>
          <w:p w14:paraId="2DF223A3"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-100,0%</w:t>
            </w:r>
          </w:p>
        </w:tc>
        <w:tc>
          <w:tcPr>
            <w:tcW w:w="70" w:type="pct"/>
            <w:tcBorders>
              <w:top w:val="nil"/>
              <w:left w:val="nil"/>
              <w:bottom w:val="nil"/>
              <w:right w:val="nil"/>
            </w:tcBorders>
            <w:shd w:val="clear" w:color="auto" w:fill="auto"/>
            <w:noWrap/>
            <w:vAlign w:val="bottom"/>
            <w:hideMark/>
          </w:tcPr>
          <w:p w14:paraId="3D4DECF9"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p>
        </w:tc>
        <w:tc>
          <w:tcPr>
            <w:tcW w:w="476" w:type="pct"/>
            <w:tcBorders>
              <w:top w:val="nil"/>
              <w:left w:val="nil"/>
              <w:bottom w:val="nil"/>
              <w:right w:val="nil"/>
            </w:tcBorders>
            <w:shd w:val="clear" w:color="000000" w:fill="DDEBF7"/>
            <w:noWrap/>
            <w:vAlign w:val="center"/>
            <w:hideMark/>
          </w:tcPr>
          <w:p w14:paraId="7188CE3E"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431</w:t>
            </w:r>
          </w:p>
        </w:tc>
        <w:tc>
          <w:tcPr>
            <w:tcW w:w="343" w:type="pct"/>
            <w:tcBorders>
              <w:top w:val="nil"/>
              <w:left w:val="nil"/>
              <w:bottom w:val="nil"/>
              <w:right w:val="nil"/>
            </w:tcBorders>
            <w:shd w:val="clear" w:color="auto" w:fill="auto"/>
            <w:noWrap/>
            <w:vAlign w:val="center"/>
            <w:hideMark/>
          </w:tcPr>
          <w:p w14:paraId="285D0CCC"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3</w:t>
            </w:r>
          </w:p>
        </w:tc>
        <w:tc>
          <w:tcPr>
            <w:tcW w:w="70" w:type="pct"/>
            <w:tcBorders>
              <w:top w:val="nil"/>
              <w:left w:val="nil"/>
              <w:bottom w:val="nil"/>
              <w:right w:val="nil"/>
            </w:tcBorders>
            <w:shd w:val="clear" w:color="auto" w:fill="auto"/>
            <w:noWrap/>
            <w:vAlign w:val="bottom"/>
            <w:hideMark/>
          </w:tcPr>
          <w:p w14:paraId="14C0B3B9"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p>
        </w:tc>
        <w:tc>
          <w:tcPr>
            <w:tcW w:w="410" w:type="pct"/>
            <w:tcBorders>
              <w:top w:val="nil"/>
              <w:left w:val="nil"/>
              <w:bottom w:val="nil"/>
              <w:right w:val="nil"/>
            </w:tcBorders>
            <w:shd w:val="clear" w:color="auto" w:fill="auto"/>
            <w:noWrap/>
            <w:vAlign w:val="center"/>
            <w:hideMark/>
          </w:tcPr>
          <w:p w14:paraId="3FBB69DE"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14266,7%</w:t>
            </w:r>
          </w:p>
        </w:tc>
      </w:tr>
      <w:tr w:rsidR="00217E7F" w:rsidRPr="00217E7F" w14:paraId="789C2842" w14:textId="77777777" w:rsidTr="00446A14">
        <w:trPr>
          <w:trHeight w:val="238"/>
        </w:trPr>
        <w:tc>
          <w:tcPr>
            <w:tcW w:w="1690" w:type="pct"/>
            <w:tcBorders>
              <w:top w:val="nil"/>
              <w:left w:val="nil"/>
              <w:bottom w:val="nil"/>
              <w:right w:val="nil"/>
            </w:tcBorders>
            <w:shd w:val="clear" w:color="000000" w:fill="75F6F9"/>
            <w:vAlign w:val="center"/>
            <w:hideMark/>
          </w:tcPr>
          <w:p w14:paraId="10F3649A" w14:textId="77777777" w:rsidR="00217E7F" w:rsidRPr="00217E7F" w:rsidRDefault="00217E7F" w:rsidP="00217E7F">
            <w:pPr>
              <w:spacing w:after="0" w:line="240" w:lineRule="auto"/>
              <w:rPr>
                <w:rFonts w:ascii="Arial" w:eastAsia="Times New Roman" w:hAnsi="Arial" w:cs="Arial"/>
                <w:b/>
                <w:bCs/>
                <w:color w:val="000000"/>
                <w:kern w:val="0"/>
                <w:sz w:val="16"/>
                <w:szCs w:val="16"/>
                <w:lang w:eastAsia="pt-BR"/>
                <w14:ligatures w14:val="none"/>
              </w:rPr>
            </w:pPr>
            <w:r w:rsidRPr="00217E7F">
              <w:rPr>
                <w:rFonts w:ascii="Arial" w:eastAsia="Times New Roman" w:hAnsi="Arial" w:cs="Arial"/>
                <w:b/>
                <w:bCs/>
                <w:color w:val="000000"/>
                <w:kern w:val="0"/>
                <w:sz w:val="16"/>
                <w:szCs w:val="16"/>
                <w:lang w:eastAsia="pt-BR"/>
                <w14:ligatures w14:val="none"/>
              </w:rPr>
              <w:t>Total</w:t>
            </w:r>
          </w:p>
        </w:tc>
        <w:tc>
          <w:tcPr>
            <w:tcW w:w="435" w:type="pct"/>
            <w:tcBorders>
              <w:top w:val="nil"/>
              <w:left w:val="nil"/>
              <w:bottom w:val="nil"/>
              <w:right w:val="nil"/>
            </w:tcBorders>
            <w:shd w:val="clear" w:color="000000" w:fill="75F6F9"/>
            <w:noWrap/>
            <w:vAlign w:val="center"/>
            <w:hideMark/>
          </w:tcPr>
          <w:p w14:paraId="64672B74" w14:textId="77777777" w:rsidR="00217E7F" w:rsidRPr="00217E7F" w:rsidRDefault="00217E7F" w:rsidP="00217E7F">
            <w:pPr>
              <w:spacing w:after="0" w:line="240" w:lineRule="auto"/>
              <w:jc w:val="center"/>
              <w:rPr>
                <w:rFonts w:ascii="Arial" w:eastAsia="Times New Roman" w:hAnsi="Arial" w:cs="Arial"/>
                <w:b/>
                <w:bCs/>
                <w:color w:val="000000"/>
                <w:kern w:val="0"/>
                <w:sz w:val="16"/>
                <w:szCs w:val="16"/>
                <w:lang w:eastAsia="pt-BR"/>
                <w14:ligatures w14:val="none"/>
              </w:rPr>
            </w:pPr>
            <w:r w:rsidRPr="00217E7F">
              <w:rPr>
                <w:rFonts w:ascii="Arial" w:eastAsia="Times New Roman" w:hAnsi="Arial" w:cs="Arial"/>
                <w:b/>
                <w:bCs/>
                <w:color w:val="000000"/>
                <w:kern w:val="0"/>
                <w:sz w:val="16"/>
                <w:szCs w:val="16"/>
                <w:lang w:eastAsia="pt-BR"/>
                <w14:ligatures w14:val="none"/>
              </w:rPr>
              <w:t xml:space="preserve">  19.644 </w:t>
            </w:r>
          </w:p>
        </w:tc>
        <w:tc>
          <w:tcPr>
            <w:tcW w:w="393" w:type="pct"/>
            <w:tcBorders>
              <w:top w:val="nil"/>
              <w:left w:val="nil"/>
              <w:bottom w:val="nil"/>
              <w:right w:val="nil"/>
            </w:tcBorders>
            <w:shd w:val="clear" w:color="000000" w:fill="75F6F9"/>
            <w:noWrap/>
            <w:vAlign w:val="center"/>
            <w:hideMark/>
          </w:tcPr>
          <w:p w14:paraId="64FAF43B" w14:textId="77777777" w:rsidR="00217E7F" w:rsidRPr="00217E7F" w:rsidRDefault="00217E7F" w:rsidP="00217E7F">
            <w:pPr>
              <w:spacing w:after="0" w:line="240" w:lineRule="auto"/>
              <w:jc w:val="center"/>
              <w:rPr>
                <w:rFonts w:ascii="Arial" w:eastAsia="Times New Roman" w:hAnsi="Arial" w:cs="Arial"/>
                <w:b/>
                <w:bCs/>
                <w:color w:val="000000"/>
                <w:kern w:val="0"/>
                <w:sz w:val="16"/>
                <w:szCs w:val="16"/>
                <w:lang w:eastAsia="pt-BR"/>
                <w14:ligatures w14:val="none"/>
              </w:rPr>
            </w:pPr>
            <w:r w:rsidRPr="00217E7F">
              <w:rPr>
                <w:rFonts w:ascii="Arial" w:eastAsia="Times New Roman" w:hAnsi="Arial" w:cs="Arial"/>
                <w:b/>
                <w:bCs/>
                <w:color w:val="000000"/>
                <w:kern w:val="0"/>
                <w:sz w:val="16"/>
                <w:szCs w:val="16"/>
                <w:lang w:eastAsia="pt-BR"/>
                <w14:ligatures w14:val="none"/>
              </w:rPr>
              <w:t xml:space="preserve">    66.983 </w:t>
            </w:r>
          </w:p>
        </w:tc>
        <w:tc>
          <w:tcPr>
            <w:tcW w:w="343" w:type="pct"/>
            <w:tcBorders>
              <w:top w:val="nil"/>
              <w:left w:val="nil"/>
              <w:bottom w:val="nil"/>
              <w:right w:val="nil"/>
            </w:tcBorders>
            <w:shd w:val="clear" w:color="000000" w:fill="75F6F9"/>
            <w:noWrap/>
            <w:vAlign w:val="center"/>
            <w:hideMark/>
          </w:tcPr>
          <w:p w14:paraId="0A785547" w14:textId="77777777" w:rsidR="00217E7F" w:rsidRPr="00217E7F" w:rsidRDefault="00217E7F" w:rsidP="00217E7F">
            <w:pPr>
              <w:spacing w:after="0" w:line="240" w:lineRule="auto"/>
              <w:jc w:val="center"/>
              <w:rPr>
                <w:rFonts w:ascii="Arial" w:eastAsia="Times New Roman" w:hAnsi="Arial" w:cs="Arial"/>
                <w:b/>
                <w:bCs/>
                <w:color w:val="000000"/>
                <w:kern w:val="0"/>
                <w:sz w:val="16"/>
                <w:szCs w:val="16"/>
                <w:lang w:eastAsia="pt-BR"/>
                <w14:ligatures w14:val="none"/>
              </w:rPr>
            </w:pPr>
            <w:r w:rsidRPr="00217E7F">
              <w:rPr>
                <w:rFonts w:ascii="Arial" w:eastAsia="Times New Roman" w:hAnsi="Arial" w:cs="Arial"/>
                <w:b/>
                <w:bCs/>
                <w:color w:val="000000"/>
                <w:kern w:val="0"/>
                <w:sz w:val="16"/>
                <w:szCs w:val="16"/>
                <w:lang w:eastAsia="pt-BR"/>
                <w14:ligatures w14:val="none"/>
              </w:rPr>
              <w:t xml:space="preserve">  56.279 </w:t>
            </w:r>
          </w:p>
        </w:tc>
        <w:tc>
          <w:tcPr>
            <w:tcW w:w="70" w:type="pct"/>
            <w:tcBorders>
              <w:top w:val="nil"/>
              <w:left w:val="nil"/>
              <w:bottom w:val="nil"/>
              <w:right w:val="nil"/>
            </w:tcBorders>
            <w:shd w:val="clear" w:color="auto" w:fill="auto"/>
            <w:noWrap/>
            <w:vAlign w:val="bottom"/>
            <w:hideMark/>
          </w:tcPr>
          <w:p w14:paraId="456C301A" w14:textId="77777777" w:rsidR="00217E7F" w:rsidRPr="00217E7F" w:rsidRDefault="00217E7F" w:rsidP="00217E7F">
            <w:pPr>
              <w:spacing w:after="0" w:line="240" w:lineRule="auto"/>
              <w:jc w:val="center"/>
              <w:rPr>
                <w:rFonts w:ascii="Arial" w:eastAsia="Times New Roman" w:hAnsi="Arial" w:cs="Arial"/>
                <w:b/>
                <w:bCs/>
                <w:color w:val="000000"/>
                <w:kern w:val="0"/>
                <w:sz w:val="16"/>
                <w:szCs w:val="16"/>
                <w:lang w:eastAsia="pt-BR"/>
                <w14:ligatures w14:val="none"/>
              </w:rPr>
            </w:pPr>
          </w:p>
        </w:tc>
        <w:tc>
          <w:tcPr>
            <w:tcW w:w="351" w:type="pct"/>
            <w:tcBorders>
              <w:top w:val="nil"/>
              <w:left w:val="nil"/>
              <w:bottom w:val="single" w:sz="8" w:space="0" w:color="75F6F9"/>
              <w:right w:val="nil"/>
            </w:tcBorders>
            <w:shd w:val="clear" w:color="000000" w:fill="75F6F9"/>
            <w:noWrap/>
            <w:vAlign w:val="center"/>
            <w:hideMark/>
          </w:tcPr>
          <w:p w14:paraId="627E2ED5" w14:textId="77777777" w:rsidR="00217E7F" w:rsidRPr="00217E7F" w:rsidRDefault="00217E7F" w:rsidP="00217E7F">
            <w:pPr>
              <w:spacing w:after="0" w:line="240" w:lineRule="auto"/>
              <w:jc w:val="right"/>
              <w:rPr>
                <w:rFonts w:ascii="Arial" w:eastAsia="Times New Roman" w:hAnsi="Arial" w:cs="Arial"/>
                <w:b/>
                <w:bCs/>
                <w:color w:val="000000"/>
                <w:kern w:val="0"/>
                <w:sz w:val="16"/>
                <w:szCs w:val="16"/>
                <w:lang w:eastAsia="pt-BR"/>
                <w14:ligatures w14:val="none"/>
              </w:rPr>
            </w:pPr>
            <w:r w:rsidRPr="00217E7F">
              <w:rPr>
                <w:rFonts w:ascii="Arial" w:eastAsia="Times New Roman" w:hAnsi="Arial" w:cs="Arial"/>
                <w:b/>
                <w:bCs/>
                <w:color w:val="000000"/>
                <w:kern w:val="0"/>
                <w:sz w:val="16"/>
                <w:szCs w:val="16"/>
                <w:lang w:eastAsia="pt-BR"/>
                <w14:ligatures w14:val="none"/>
              </w:rPr>
              <w:t>-70,7%</w:t>
            </w:r>
          </w:p>
        </w:tc>
        <w:tc>
          <w:tcPr>
            <w:tcW w:w="351" w:type="pct"/>
            <w:tcBorders>
              <w:top w:val="nil"/>
              <w:left w:val="nil"/>
              <w:bottom w:val="single" w:sz="8" w:space="0" w:color="75F6F9"/>
              <w:right w:val="nil"/>
            </w:tcBorders>
            <w:shd w:val="clear" w:color="000000" w:fill="75F6F9"/>
            <w:noWrap/>
            <w:vAlign w:val="center"/>
            <w:hideMark/>
          </w:tcPr>
          <w:p w14:paraId="1DD795F8" w14:textId="77777777" w:rsidR="00217E7F" w:rsidRPr="00217E7F" w:rsidRDefault="00217E7F" w:rsidP="00217E7F">
            <w:pPr>
              <w:spacing w:after="0" w:line="240" w:lineRule="auto"/>
              <w:jc w:val="right"/>
              <w:rPr>
                <w:rFonts w:ascii="Arial" w:eastAsia="Times New Roman" w:hAnsi="Arial" w:cs="Arial"/>
                <w:b/>
                <w:bCs/>
                <w:color w:val="000000"/>
                <w:kern w:val="0"/>
                <w:sz w:val="16"/>
                <w:szCs w:val="16"/>
                <w:lang w:eastAsia="pt-BR"/>
                <w14:ligatures w14:val="none"/>
              </w:rPr>
            </w:pPr>
            <w:r w:rsidRPr="00217E7F">
              <w:rPr>
                <w:rFonts w:ascii="Arial" w:eastAsia="Times New Roman" w:hAnsi="Arial" w:cs="Arial"/>
                <w:b/>
                <w:bCs/>
                <w:color w:val="000000"/>
                <w:kern w:val="0"/>
                <w:sz w:val="16"/>
                <w:szCs w:val="16"/>
                <w:lang w:eastAsia="pt-BR"/>
                <w14:ligatures w14:val="none"/>
              </w:rPr>
              <w:t>-65,1%</w:t>
            </w:r>
          </w:p>
        </w:tc>
        <w:tc>
          <w:tcPr>
            <w:tcW w:w="70" w:type="pct"/>
            <w:tcBorders>
              <w:top w:val="nil"/>
              <w:left w:val="nil"/>
              <w:bottom w:val="nil"/>
              <w:right w:val="nil"/>
            </w:tcBorders>
            <w:shd w:val="clear" w:color="auto" w:fill="auto"/>
            <w:noWrap/>
            <w:vAlign w:val="bottom"/>
            <w:hideMark/>
          </w:tcPr>
          <w:p w14:paraId="72A116D8" w14:textId="77777777" w:rsidR="00217E7F" w:rsidRPr="00217E7F" w:rsidRDefault="00217E7F" w:rsidP="00217E7F">
            <w:pPr>
              <w:spacing w:after="0" w:line="240" w:lineRule="auto"/>
              <w:jc w:val="right"/>
              <w:rPr>
                <w:rFonts w:ascii="Arial" w:eastAsia="Times New Roman" w:hAnsi="Arial" w:cs="Arial"/>
                <w:b/>
                <w:bCs/>
                <w:color w:val="000000"/>
                <w:kern w:val="0"/>
                <w:sz w:val="16"/>
                <w:szCs w:val="16"/>
                <w:lang w:eastAsia="pt-BR"/>
                <w14:ligatures w14:val="none"/>
              </w:rPr>
            </w:pPr>
          </w:p>
        </w:tc>
        <w:tc>
          <w:tcPr>
            <w:tcW w:w="476" w:type="pct"/>
            <w:tcBorders>
              <w:top w:val="nil"/>
              <w:left w:val="nil"/>
              <w:bottom w:val="nil"/>
              <w:right w:val="nil"/>
            </w:tcBorders>
            <w:shd w:val="clear" w:color="000000" w:fill="75F6F9"/>
            <w:noWrap/>
            <w:vAlign w:val="center"/>
            <w:hideMark/>
          </w:tcPr>
          <w:p w14:paraId="28F64ED0" w14:textId="77777777" w:rsidR="00217E7F" w:rsidRPr="00217E7F" w:rsidRDefault="00217E7F" w:rsidP="00217E7F">
            <w:pPr>
              <w:spacing w:after="0" w:line="240" w:lineRule="auto"/>
              <w:jc w:val="center"/>
              <w:rPr>
                <w:rFonts w:ascii="Arial" w:eastAsia="Times New Roman" w:hAnsi="Arial" w:cs="Arial"/>
                <w:b/>
                <w:bCs/>
                <w:color w:val="000000"/>
                <w:kern w:val="0"/>
                <w:sz w:val="16"/>
                <w:szCs w:val="16"/>
                <w:lang w:eastAsia="pt-BR"/>
                <w14:ligatures w14:val="none"/>
              </w:rPr>
            </w:pPr>
            <w:r w:rsidRPr="00217E7F">
              <w:rPr>
                <w:rFonts w:ascii="Arial" w:eastAsia="Times New Roman" w:hAnsi="Arial" w:cs="Arial"/>
                <w:b/>
                <w:bCs/>
                <w:color w:val="000000"/>
                <w:kern w:val="0"/>
                <w:sz w:val="16"/>
                <w:szCs w:val="16"/>
                <w:lang w:eastAsia="pt-BR"/>
                <w14:ligatures w14:val="none"/>
              </w:rPr>
              <w:t xml:space="preserve">  116.690 </w:t>
            </w:r>
          </w:p>
        </w:tc>
        <w:tc>
          <w:tcPr>
            <w:tcW w:w="343" w:type="pct"/>
            <w:tcBorders>
              <w:top w:val="nil"/>
              <w:left w:val="nil"/>
              <w:bottom w:val="nil"/>
              <w:right w:val="nil"/>
            </w:tcBorders>
            <w:shd w:val="clear" w:color="000000" w:fill="75F6F9"/>
            <w:noWrap/>
            <w:vAlign w:val="center"/>
            <w:hideMark/>
          </w:tcPr>
          <w:p w14:paraId="0C3A3C3C" w14:textId="77777777" w:rsidR="00217E7F" w:rsidRPr="00217E7F" w:rsidRDefault="00217E7F" w:rsidP="00217E7F">
            <w:pPr>
              <w:spacing w:after="0" w:line="240" w:lineRule="auto"/>
              <w:jc w:val="right"/>
              <w:rPr>
                <w:rFonts w:ascii="Arial" w:eastAsia="Times New Roman" w:hAnsi="Arial" w:cs="Arial"/>
                <w:b/>
                <w:bCs/>
                <w:color w:val="000000"/>
                <w:kern w:val="0"/>
                <w:sz w:val="16"/>
                <w:szCs w:val="16"/>
                <w:lang w:eastAsia="pt-BR"/>
                <w14:ligatures w14:val="none"/>
              </w:rPr>
            </w:pPr>
            <w:r w:rsidRPr="00217E7F">
              <w:rPr>
                <w:rFonts w:ascii="Arial" w:eastAsia="Times New Roman" w:hAnsi="Arial" w:cs="Arial"/>
                <w:b/>
                <w:bCs/>
                <w:color w:val="000000"/>
                <w:kern w:val="0"/>
                <w:sz w:val="16"/>
                <w:szCs w:val="16"/>
                <w:lang w:eastAsia="pt-BR"/>
                <w14:ligatures w14:val="none"/>
              </w:rPr>
              <w:t>131.601</w:t>
            </w:r>
          </w:p>
        </w:tc>
        <w:tc>
          <w:tcPr>
            <w:tcW w:w="70" w:type="pct"/>
            <w:tcBorders>
              <w:top w:val="nil"/>
              <w:left w:val="nil"/>
              <w:bottom w:val="nil"/>
              <w:right w:val="nil"/>
            </w:tcBorders>
            <w:shd w:val="clear" w:color="auto" w:fill="auto"/>
            <w:noWrap/>
            <w:vAlign w:val="bottom"/>
            <w:hideMark/>
          </w:tcPr>
          <w:p w14:paraId="312585E4" w14:textId="77777777" w:rsidR="00217E7F" w:rsidRPr="00217E7F" w:rsidRDefault="00217E7F" w:rsidP="00217E7F">
            <w:pPr>
              <w:spacing w:after="0" w:line="240" w:lineRule="auto"/>
              <w:jc w:val="right"/>
              <w:rPr>
                <w:rFonts w:ascii="Arial" w:eastAsia="Times New Roman" w:hAnsi="Arial" w:cs="Arial"/>
                <w:b/>
                <w:bCs/>
                <w:color w:val="000000"/>
                <w:kern w:val="0"/>
                <w:sz w:val="16"/>
                <w:szCs w:val="16"/>
                <w:lang w:eastAsia="pt-BR"/>
                <w14:ligatures w14:val="none"/>
              </w:rPr>
            </w:pPr>
          </w:p>
        </w:tc>
        <w:tc>
          <w:tcPr>
            <w:tcW w:w="410" w:type="pct"/>
            <w:tcBorders>
              <w:top w:val="nil"/>
              <w:left w:val="nil"/>
              <w:bottom w:val="nil"/>
              <w:right w:val="nil"/>
            </w:tcBorders>
            <w:shd w:val="clear" w:color="000000" w:fill="75F6F9"/>
            <w:noWrap/>
            <w:vAlign w:val="center"/>
            <w:hideMark/>
          </w:tcPr>
          <w:p w14:paraId="078E493C" w14:textId="77777777" w:rsidR="00217E7F" w:rsidRPr="00217E7F" w:rsidRDefault="00217E7F" w:rsidP="00217E7F">
            <w:pPr>
              <w:spacing w:after="0" w:line="240" w:lineRule="auto"/>
              <w:jc w:val="right"/>
              <w:rPr>
                <w:rFonts w:ascii="Arial" w:eastAsia="Times New Roman" w:hAnsi="Arial" w:cs="Arial"/>
                <w:b/>
                <w:bCs/>
                <w:color w:val="000000"/>
                <w:kern w:val="0"/>
                <w:sz w:val="16"/>
                <w:szCs w:val="16"/>
                <w:lang w:eastAsia="pt-BR"/>
                <w14:ligatures w14:val="none"/>
              </w:rPr>
            </w:pPr>
            <w:r w:rsidRPr="00217E7F">
              <w:rPr>
                <w:rFonts w:ascii="Arial" w:eastAsia="Times New Roman" w:hAnsi="Arial" w:cs="Arial"/>
                <w:b/>
                <w:bCs/>
                <w:color w:val="000000"/>
                <w:kern w:val="0"/>
                <w:sz w:val="16"/>
                <w:szCs w:val="16"/>
                <w:lang w:eastAsia="pt-BR"/>
                <w14:ligatures w14:val="none"/>
              </w:rPr>
              <w:t>-11,3%</w:t>
            </w:r>
          </w:p>
        </w:tc>
      </w:tr>
    </w:tbl>
    <w:p w14:paraId="46F43E1D" w14:textId="77777777" w:rsidR="00AA1F87" w:rsidRDefault="00AA1F87" w:rsidP="00AA1F87">
      <w:pPr>
        <w:spacing w:after="0" w:line="240" w:lineRule="auto"/>
        <w:jc w:val="both"/>
        <w:rPr>
          <w:rFonts w:ascii="Calibri" w:eastAsia="Times New Roman" w:hAnsi="Calibri" w:cs="Calibri"/>
          <w:b/>
          <w:bCs/>
          <w:color w:val="002060"/>
          <w:kern w:val="0"/>
          <w:u w:val="single"/>
          <w14:ligatures w14:val="none"/>
        </w:rPr>
      </w:pPr>
    </w:p>
    <w:p w14:paraId="71F2278B" w14:textId="71E3E253" w:rsidR="00217E7F" w:rsidRPr="00AA1F87" w:rsidRDefault="00217E7F" w:rsidP="00AA1F87">
      <w:pPr>
        <w:spacing w:after="0" w:line="240" w:lineRule="auto"/>
        <w:jc w:val="both"/>
        <w:rPr>
          <w:rFonts w:ascii="Calibri" w:eastAsia="Times New Roman" w:hAnsi="Calibri" w:cs="Calibri"/>
          <w:b/>
          <w:bCs/>
          <w:color w:val="002060"/>
          <w:kern w:val="0"/>
          <w:u w:val="single"/>
          <w14:ligatures w14:val="none"/>
        </w:rPr>
      </w:pPr>
      <w:r>
        <w:rPr>
          <w:noProof/>
        </w:rPr>
        <w:drawing>
          <wp:inline distT="0" distB="0" distL="0" distR="0" wp14:anchorId="4E6E7A78" wp14:editId="6A31D6B3">
            <wp:extent cx="6210935" cy="2476557"/>
            <wp:effectExtent l="0" t="0" r="0" b="0"/>
            <wp:docPr id="106702949" name="Gráfico 106702949">
              <a:extLst xmlns:a="http://schemas.openxmlformats.org/drawingml/2006/main">
                <a:ext uri="{FF2B5EF4-FFF2-40B4-BE49-F238E27FC236}">
                  <a16:creationId xmlns:a16="http://schemas.microsoft.com/office/drawing/2014/main" id="{00000000-0008-0000-09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6944E3D" w14:textId="77777777" w:rsidR="00217E7F" w:rsidRDefault="00217E7F" w:rsidP="00217E7F">
      <w:pPr>
        <w:spacing w:after="0" w:line="240" w:lineRule="auto"/>
        <w:jc w:val="both"/>
        <w:rPr>
          <w:rFonts w:ascii="Calibri" w:eastAsia="Times New Roman" w:hAnsi="Calibri" w:cs="Calibri"/>
          <w:color w:val="002060"/>
          <w:kern w:val="0"/>
          <w14:ligatures w14:val="none"/>
        </w:rPr>
      </w:pPr>
      <w:r w:rsidRPr="00217E7F">
        <w:rPr>
          <w:rFonts w:ascii="Calibri" w:eastAsia="Times New Roman" w:hAnsi="Calibri" w:cs="Calibri"/>
          <w:color w:val="002060"/>
          <w:kern w:val="0"/>
          <w14:ligatures w14:val="none"/>
        </w:rPr>
        <w:t>Nos 12M23, a Telebras realizou investimentos da ordem de R$ 116,7 milhões (R$ 131,6 milhões nos 12M22), queda de 11,32% em relação ao mesmo período do ano anterior. O montante investido nos 12M23 foi aplicado da seguinte forma: 3,8% no segmento satelital, 92,3% no segmento terrestre, 3,5% em ativos de informática.</w:t>
      </w:r>
    </w:p>
    <w:p w14:paraId="774613B6" w14:textId="2188C257" w:rsidR="00217E7F" w:rsidRDefault="00217E7F" w:rsidP="00217E7F">
      <w:pPr>
        <w:spacing w:after="0" w:line="240" w:lineRule="auto"/>
        <w:jc w:val="both"/>
        <w:rPr>
          <w:rFonts w:ascii="Calibri" w:eastAsia="Times New Roman" w:hAnsi="Calibri" w:cs="Calibri"/>
          <w:b/>
          <w:color w:val="002060"/>
          <w:kern w:val="0"/>
          <w:u w:val="single"/>
          <w14:ligatures w14:val="none"/>
        </w:rPr>
      </w:pPr>
      <w:r w:rsidRPr="00217E7F">
        <w:rPr>
          <w:rFonts w:ascii="Calibri" w:eastAsia="Times New Roman" w:hAnsi="Calibri" w:cs="Calibri"/>
          <w:b/>
          <w:color w:val="002060"/>
          <w:kern w:val="0"/>
          <w:u w:val="single"/>
          <w14:ligatures w14:val="none"/>
        </w:rPr>
        <w:t>Demonstração do Resultado do Exercício</w:t>
      </w:r>
    </w:p>
    <w:tbl>
      <w:tblPr>
        <w:tblW w:w="5000" w:type="pct"/>
        <w:tblCellMar>
          <w:left w:w="70" w:type="dxa"/>
          <w:right w:w="70" w:type="dxa"/>
        </w:tblCellMar>
        <w:tblLook w:val="04A0" w:firstRow="1" w:lastRow="0" w:firstColumn="1" w:lastColumn="0" w:noHBand="0" w:noVBand="1"/>
      </w:tblPr>
      <w:tblGrid>
        <w:gridCol w:w="4690"/>
        <w:gridCol w:w="1010"/>
        <w:gridCol w:w="1010"/>
        <w:gridCol w:w="1010"/>
        <w:gridCol w:w="198"/>
        <w:gridCol w:w="914"/>
        <w:gridCol w:w="949"/>
      </w:tblGrid>
      <w:tr w:rsidR="00217E7F" w:rsidRPr="00217E7F" w14:paraId="1C9A9028" w14:textId="77777777" w:rsidTr="00446A14">
        <w:trPr>
          <w:trHeight w:val="238"/>
        </w:trPr>
        <w:tc>
          <w:tcPr>
            <w:tcW w:w="2400" w:type="pct"/>
            <w:tcBorders>
              <w:top w:val="nil"/>
              <w:left w:val="nil"/>
              <w:bottom w:val="nil"/>
              <w:right w:val="nil"/>
            </w:tcBorders>
            <w:shd w:val="clear" w:color="auto" w:fill="auto"/>
            <w:noWrap/>
            <w:vAlign w:val="bottom"/>
            <w:hideMark/>
          </w:tcPr>
          <w:p w14:paraId="5C80BC14" w14:textId="77777777" w:rsidR="00217E7F" w:rsidRPr="00217E7F" w:rsidRDefault="00217E7F" w:rsidP="00217E7F">
            <w:pPr>
              <w:spacing w:after="0" w:line="240" w:lineRule="auto"/>
              <w:rPr>
                <w:rFonts w:ascii="Times New Roman" w:eastAsia="Times New Roman" w:hAnsi="Times New Roman" w:cs="Times New Roman"/>
                <w:kern w:val="0"/>
                <w:sz w:val="20"/>
                <w:szCs w:val="20"/>
                <w:lang w:eastAsia="pt-BR"/>
                <w14:ligatures w14:val="none"/>
              </w:rPr>
            </w:pPr>
          </w:p>
        </w:tc>
        <w:tc>
          <w:tcPr>
            <w:tcW w:w="1557" w:type="pct"/>
            <w:gridSpan w:val="3"/>
            <w:tcBorders>
              <w:top w:val="nil"/>
              <w:left w:val="nil"/>
              <w:bottom w:val="single" w:sz="8" w:space="0" w:color="auto"/>
              <w:right w:val="nil"/>
            </w:tcBorders>
            <w:shd w:val="clear" w:color="auto" w:fill="auto"/>
            <w:noWrap/>
            <w:vAlign w:val="center"/>
            <w:hideMark/>
          </w:tcPr>
          <w:p w14:paraId="51BC38E3" w14:textId="77777777" w:rsidR="00217E7F" w:rsidRPr="00217E7F" w:rsidRDefault="00217E7F" w:rsidP="00217E7F">
            <w:pPr>
              <w:spacing w:after="0" w:line="240" w:lineRule="auto"/>
              <w:jc w:val="center"/>
              <w:rPr>
                <w:rFonts w:ascii="Arial" w:eastAsia="Times New Roman" w:hAnsi="Arial" w:cs="Arial"/>
                <w:b/>
                <w:bCs/>
                <w:color w:val="000000"/>
                <w:kern w:val="0"/>
                <w:sz w:val="16"/>
                <w:szCs w:val="16"/>
                <w:lang w:eastAsia="pt-BR"/>
                <w14:ligatures w14:val="none"/>
              </w:rPr>
            </w:pPr>
            <w:r w:rsidRPr="00217E7F">
              <w:rPr>
                <w:rFonts w:ascii="Arial" w:eastAsia="Times New Roman" w:hAnsi="Arial" w:cs="Arial"/>
                <w:b/>
                <w:bCs/>
                <w:color w:val="000000"/>
                <w:kern w:val="0"/>
                <w:sz w:val="16"/>
                <w:szCs w:val="16"/>
                <w:lang w:eastAsia="pt-BR"/>
                <w14:ligatures w14:val="none"/>
              </w:rPr>
              <w:t>Trimestres</w:t>
            </w:r>
          </w:p>
        </w:tc>
        <w:tc>
          <w:tcPr>
            <w:tcW w:w="104" w:type="pct"/>
            <w:tcBorders>
              <w:top w:val="nil"/>
              <w:left w:val="nil"/>
              <w:bottom w:val="single" w:sz="8" w:space="0" w:color="auto"/>
              <w:right w:val="nil"/>
            </w:tcBorders>
            <w:shd w:val="clear" w:color="auto" w:fill="auto"/>
            <w:noWrap/>
            <w:vAlign w:val="center"/>
            <w:hideMark/>
          </w:tcPr>
          <w:p w14:paraId="3CDF2C57" w14:textId="77777777" w:rsidR="00217E7F" w:rsidRPr="00217E7F" w:rsidRDefault="00217E7F" w:rsidP="00217E7F">
            <w:pPr>
              <w:spacing w:after="0" w:line="240" w:lineRule="auto"/>
              <w:rPr>
                <w:rFonts w:ascii="Arial" w:eastAsia="Times New Roman" w:hAnsi="Arial" w:cs="Arial"/>
                <w:b/>
                <w:bCs/>
                <w:color w:val="000000"/>
                <w:kern w:val="0"/>
                <w:sz w:val="16"/>
                <w:szCs w:val="16"/>
                <w:lang w:eastAsia="pt-BR"/>
                <w14:ligatures w14:val="none"/>
              </w:rPr>
            </w:pPr>
            <w:r w:rsidRPr="00217E7F">
              <w:rPr>
                <w:rFonts w:ascii="Arial" w:eastAsia="Times New Roman" w:hAnsi="Arial" w:cs="Arial"/>
                <w:b/>
                <w:bCs/>
                <w:color w:val="000000"/>
                <w:kern w:val="0"/>
                <w:sz w:val="16"/>
                <w:szCs w:val="16"/>
                <w:lang w:eastAsia="pt-BR"/>
                <w14:ligatures w14:val="none"/>
              </w:rPr>
              <w:t> </w:t>
            </w:r>
          </w:p>
        </w:tc>
        <w:tc>
          <w:tcPr>
            <w:tcW w:w="465" w:type="pct"/>
            <w:tcBorders>
              <w:top w:val="nil"/>
              <w:left w:val="nil"/>
              <w:bottom w:val="nil"/>
              <w:right w:val="nil"/>
            </w:tcBorders>
            <w:shd w:val="clear" w:color="auto" w:fill="auto"/>
            <w:noWrap/>
            <w:vAlign w:val="center"/>
            <w:hideMark/>
          </w:tcPr>
          <w:p w14:paraId="58B4D135" w14:textId="77777777" w:rsidR="00217E7F" w:rsidRPr="00217E7F" w:rsidRDefault="00217E7F" w:rsidP="00217E7F">
            <w:pPr>
              <w:spacing w:after="0" w:line="240" w:lineRule="auto"/>
              <w:rPr>
                <w:rFonts w:ascii="Arial" w:eastAsia="Times New Roman" w:hAnsi="Arial" w:cs="Arial"/>
                <w:b/>
                <w:bCs/>
                <w:color w:val="000000"/>
                <w:kern w:val="0"/>
                <w:sz w:val="16"/>
                <w:szCs w:val="16"/>
                <w:lang w:eastAsia="pt-BR"/>
                <w14:ligatures w14:val="none"/>
              </w:rPr>
            </w:pPr>
          </w:p>
        </w:tc>
        <w:tc>
          <w:tcPr>
            <w:tcW w:w="473" w:type="pct"/>
            <w:tcBorders>
              <w:top w:val="nil"/>
              <w:left w:val="nil"/>
              <w:bottom w:val="nil"/>
              <w:right w:val="nil"/>
            </w:tcBorders>
            <w:shd w:val="clear" w:color="auto" w:fill="auto"/>
            <w:noWrap/>
            <w:vAlign w:val="center"/>
            <w:hideMark/>
          </w:tcPr>
          <w:p w14:paraId="2BCAC2A9" w14:textId="77777777" w:rsidR="00217E7F" w:rsidRPr="00217E7F" w:rsidRDefault="00217E7F" w:rsidP="00217E7F">
            <w:pPr>
              <w:spacing w:after="0" w:line="240" w:lineRule="auto"/>
              <w:rPr>
                <w:rFonts w:ascii="Times New Roman" w:eastAsia="Times New Roman" w:hAnsi="Times New Roman" w:cs="Times New Roman"/>
                <w:kern w:val="0"/>
                <w:sz w:val="20"/>
                <w:szCs w:val="20"/>
                <w:lang w:eastAsia="pt-BR"/>
                <w14:ligatures w14:val="none"/>
              </w:rPr>
            </w:pPr>
          </w:p>
        </w:tc>
      </w:tr>
      <w:tr w:rsidR="00217E7F" w:rsidRPr="00217E7F" w14:paraId="48E65A55" w14:textId="77777777" w:rsidTr="00446A14">
        <w:trPr>
          <w:trHeight w:val="90"/>
        </w:trPr>
        <w:tc>
          <w:tcPr>
            <w:tcW w:w="2400" w:type="pct"/>
            <w:tcBorders>
              <w:top w:val="nil"/>
              <w:left w:val="nil"/>
              <w:bottom w:val="nil"/>
              <w:right w:val="nil"/>
            </w:tcBorders>
            <w:shd w:val="clear" w:color="auto" w:fill="auto"/>
            <w:noWrap/>
            <w:vAlign w:val="bottom"/>
            <w:hideMark/>
          </w:tcPr>
          <w:p w14:paraId="7099224C" w14:textId="77777777" w:rsidR="00217E7F" w:rsidRPr="00217E7F" w:rsidRDefault="00217E7F" w:rsidP="00217E7F">
            <w:pPr>
              <w:spacing w:after="0" w:line="240" w:lineRule="auto"/>
              <w:rPr>
                <w:rFonts w:ascii="Times New Roman" w:eastAsia="Times New Roman" w:hAnsi="Times New Roman" w:cs="Times New Roman"/>
                <w:kern w:val="0"/>
                <w:sz w:val="20"/>
                <w:szCs w:val="20"/>
                <w:lang w:eastAsia="pt-BR"/>
                <w14:ligatures w14:val="none"/>
              </w:rPr>
            </w:pPr>
          </w:p>
        </w:tc>
        <w:tc>
          <w:tcPr>
            <w:tcW w:w="519" w:type="pct"/>
            <w:tcBorders>
              <w:top w:val="nil"/>
              <w:left w:val="nil"/>
              <w:bottom w:val="nil"/>
              <w:right w:val="nil"/>
            </w:tcBorders>
            <w:shd w:val="clear" w:color="auto" w:fill="auto"/>
            <w:noWrap/>
            <w:vAlign w:val="bottom"/>
            <w:hideMark/>
          </w:tcPr>
          <w:p w14:paraId="3DC5C0A9" w14:textId="77777777" w:rsidR="00217E7F" w:rsidRPr="00217E7F" w:rsidRDefault="00217E7F" w:rsidP="00217E7F">
            <w:pPr>
              <w:spacing w:after="0" w:line="240" w:lineRule="auto"/>
              <w:rPr>
                <w:rFonts w:ascii="Times New Roman" w:eastAsia="Times New Roman" w:hAnsi="Times New Roman" w:cs="Times New Roman"/>
                <w:kern w:val="0"/>
                <w:sz w:val="20"/>
                <w:szCs w:val="20"/>
                <w:lang w:eastAsia="pt-BR"/>
                <w14:ligatures w14:val="none"/>
              </w:rPr>
            </w:pPr>
          </w:p>
        </w:tc>
        <w:tc>
          <w:tcPr>
            <w:tcW w:w="519" w:type="pct"/>
            <w:tcBorders>
              <w:top w:val="nil"/>
              <w:left w:val="nil"/>
              <w:bottom w:val="nil"/>
              <w:right w:val="nil"/>
            </w:tcBorders>
            <w:shd w:val="clear" w:color="auto" w:fill="auto"/>
            <w:noWrap/>
            <w:vAlign w:val="bottom"/>
            <w:hideMark/>
          </w:tcPr>
          <w:p w14:paraId="667CE165" w14:textId="77777777" w:rsidR="00217E7F" w:rsidRPr="00217E7F" w:rsidRDefault="00217E7F" w:rsidP="00217E7F">
            <w:pPr>
              <w:spacing w:after="0" w:line="240" w:lineRule="auto"/>
              <w:rPr>
                <w:rFonts w:ascii="Times New Roman" w:eastAsia="Times New Roman" w:hAnsi="Times New Roman" w:cs="Times New Roman"/>
                <w:kern w:val="0"/>
                <w:sz w:val="20"/>
                <w:szCs w:val="20"/>
                <w:lang w:eastAsia="pt-BR"/>
                <w14:ligatures w14:val="none"/>
              </w:rPr>
            </w:pPr>
          </w:p>
        </w:tc>
        <w:tc>
          <w:tcPr>
            <w:tcW w:w="519" w:type="pct"/>
            <w:tcBorders>
              <w:top w:val="nil"/>
              <w:left w:val="nil"/>
              <w:bottom w:val="nil"/>
              <w:right w:val="nil"/>
            </w:tcBorders>
            <w:shd w:val="clear" w:color="auto" w:fill="auto"/>
            <w:noWrap/>
            <w:vAlign w:val="bottom"/>
            <w:hideMark/>
          </w:tcPr>
          <w:p w14:paraId="5FDFBCE7" w14:textId="77777777" w:rsidR="00217E7F" w:rsidRPr="00217E7F" w:rsidRDefault="00217E7F" w:rsidP="00217E7F">
            <w:pPr>
              <w:spacing w:after="0" w:line="240" w:lineRule="auto"/>
              <w:rPr>
                <w:rFonts w:ascii="Times New Roman" w:eastAsia="Times New Roman" w:hAnsi="Times New Roman" w:cs="Times New Roman"/>
                <w:kern w:val="0"/>
                <w:sz w:val="20"/>
                <w:szCs w:val="20"/>
                <w:lang w:eastAsia="pt-BR"/>
                <w14:ligatures w14:val="none"/>
              </w:rPr>
            </w:pPr>
          </w:p>
        </w:tc>
        <w:tc>
          <w:tcPr>
            <w:tcW w:w="104" w:type="pct"/>
            <w:tcBorders>
              <w:top w:val="nil"/>
              <w:left w:val="nil"/>
              <w:bottom w:val="nil"/>
              <w:right w:val="nil"/>
            </w:tcBorders>
            <w:shd w:val="clear" w:color="auto" w:fill="auto"/>
            <w:noWrap/>
            <w:vAlign w:val="bottom"/>
            <w:hideMark/>
          </w:tcPr>
          <w:p w14:paraId="255EC243" w14:textId="77777777" w:rsidR="00217E7F" w:rsidRPr="00217E7F" w:rsidRDefault="00217E7F" w:rsidP="00217E7F">
            <w:pPr>
              <w:spacing w:after="0" w:line="240" w:lineRule="auto"/>
              <w:rPr>
                <w:rFonts w:ascii="Times New Roman" w:eastAsia="Times New Roman" w:hAnsi="Times New Roman" w:cs="Times New Roman"/>
                <w:kern w:val="0"/>
                <w:sz w:val="20"/>
                <w:szCs w:val="20"/>
                <w:lang w:eastAsia="pt-BR"/>
                <w14:ligatures w14:val="none"/>
              </w:rPr>
            </w:pPr>
          </w:p>
        </w:tc>
        <w:tc>
          <w:tcPr>
            <w:tcW w:w="465" w:type="pct"/>
            <w:tcBorders>
              <w:top w:val="nil"/>
              <w:left w:val="nil"/>
              <w:bottom w:val="nil"/>
              <w:right w:val="nil"/>
            </w:tcBorders>
            <w:shd w:val="clear" w:color="auto" w:fill="auto"/>
            <w:noWrap/>
            <w:vAlign w:val="bottom"/>
            <w:hideMark/>
          </w:tcPr>
          <w:p w14:paraId="3F4F3DBC" w14:textId="77777777" w:rsidR="00217E7F" w:rsidRPr="00217E7F" w:rsidRDefault="00217E7F" w:rsidP="00217E7F">
            <w:pPr>
              <w:spacing w:after="0" w:line="240" w:lineRule="auto"/>
              <w:rPr>
                <w:rFonts w:ascii="Times New Roman" w:eastAsia="Times New Roman" w:hAnsi="Times New Roman" w:cs="Times New Roman"/>
                <w:kern w:val="0"/>
                <w:sz w:val="20"/>
                <w:szCs w:val="20"/>
                <w:lang w:eastAsia="pt-BR"/>
                <w14:ligatures w14:val="none"/>
              </w:rPr>
            </w:pPr>
          </w:p>
        </w:tc>
        <w:tc>
          <w:tcPr>
            <w:tcW w:w="473" w:type="pct"/>
            <w:tcBorders>
              <w:top w:val="nil"/>
              <w:left w:val="nil"/>
              <w:bottom w:val="nil"/>
              <w:right w:val="nil"/>
            </w:tcBorders>
            <w:shd w:val="clear" w:color="auto" w:fill="auto"/>
            <w:noWrap/>
            <w:vAlign w:val="bottom"/>
            <w:hideMark/>
          </w:tcPr>
          <w:p w14:paraId="5E003461" w14:textId="77777777" w:rsidR="00217E7F" w:rsidRPr="00217E7F" w:rsidRDefault="00217E7F" w:rsidP="00217E7F">
            <w:pPr>
              <w:spacing w:after="0" w:line="240" w:lineRule="auto"/>
              <w:rPr>
                <w:rFonts w:ascii="Times New Roman" w:eastAsia="Times New Roman" w:hAnsi="Times New Roman" w:cs="Times New Roman"/>
                <w:kern w:val="0"/>
                <w:sz w:val="20"/>
                <w:szCs w:val="20"/>
                <w:lang w:eastAsia="pt-BR"/>
                <w14:ligatures w14:val="none"/>
              </w:rPr>
            </w:pPr>
          </w:p>
        </w:tc>
      </w:tr>
      <w:tr w:rsidR="00217E7F" w:rsidRPr="00217E7F" w14:paraId="2A0D0A0C" w14:textId="77777777" w:rsidTr="00446A14">
        <w:trPr>
          <w:trHeight w:val="238"/>
        </w:trPr>
        <w:tc>
          <w:tcPr>
            <w:tcW w:w="2400" w:type="pct"/>
            <w:tcBorders>
              <w:top w:val="single" w:sz="4" w:space="0" w:color="3616F6"/>
              <w:left w:val="nil"/>
              <w:bottom w:val="single" w:sz="4" w:space="0" w:color="3616F6"/>
              <w:right w:val="nil"/>
            </w:tcBorders>
            <w:shd w:val="clear" w:color="000000" w:fill="75F6F9"/>
            <w:vAlign w:val="center"/>
            <w:hideMark/>
          </w:tcPr>
          <w:p w14:paraId="48245AB3" w14:textId="77777777" w:rsidR="00217E7F" w:rsidRPr="00217E7F" w:rsidRDefault="00217E7F" w:rsidP="00217E7F">
            <w:pPr>
              <w:spacing w:after="0" w:line="240" w:lineRule="auto"/>
              <w:rPr>
                <w:rFonts w:ascii="Arial" w:eastAsia="Times New Roman" w:hAnsi="Arial" w:cs="Arial"/>
                <w:b/>
                <w:bCs/>
                <w:color w:val="000000"/>
                <w:kern w:val="0"/>
                <w:sz w:val="16"/>
                <w:szCs w:val="16"/>
                <w:lang w:eastAsia="pt-BR"/>
                <w14:ligatures w14:val="none"/>
              </w:rPr>
            </w:pPr>
            <w:r w:rsidRPr="00217E7F">
              <w:rPr>
                <w:rFonts w:ascii="Arial" w:eastAsia="Times New Roman" w:hAnsi="Arial" w:cs="Arial"/>
                <w:b/>
                <w:bCs/>
                <w:color w:val="000000"/>
                <w:kern w:val="0"/>
                <w:sz w:val="16"/>
                <w:szCs w:val="16"/>
                <w:lang w:eastAsia="pt-BR"/>
                <w14:ligatures w14:val="none"/>
              </w:rPr>
              <w:t>R$ mil</w:t>
            </w:r>
          </w:p>
        </w:tc>
        <w:tc>
          <w:tcPr>
            <w:tcW w:w="519" w:type="pct"/>
            <w:tcBorders>
              <w:top w:val="single" w:sz="4" w:space="0" w:color="3616F6"/>
              <w:left w:val="nil"/>
              <w:bottom w:val="single" w:sz="4" w:space="0" w:color="3616F6"/>
              <w:right w:val="nil"/>
            </w:tcBorders>
            <w:shd w:val="clear" w:color="000000" w:fill="75F6F9"/>
            <w:vAlign w:val="center"/>
            <w:hideMark/>
          </w:tcPr>
          <w:p w14:paraId="35B86D7A" w14:textId="77777777" w:rsidR="00217E7F" w:rsidRPr="00217E7F" w:rsidRDefault="00217E7F" w:rsidP="00217E7F">
            <w:pPr>
              <w:spacing w:after="0" w:line="240" w:lineRule="auto"/>
              <w:jc w:val="center"/>
              <w:rPr>
                <w:rFonts w:ascii="Arial" w:eastAsia="Times New Roman" w:hAnsi="Arial" w:cs="Arial"/>
                <w:b/>
                <w:bCs/>
                <w:color w:val="000000"/>
                <w:kern w:val="0"/>
                <w:sz w:val="16"/>
                <w:szCs w:val="16"/>
                <w:lang w:eastAsia="pt-BR"/>
                <w14:ligatures w14:val="none"/>
              </w:rPr>
            </w:pPr>
            <w:r w:rsidRPr="00217E7F">
              <w:rPr>
                <w:rFonts w:ascii="Arial" w:eastAsia="Times New Roman" w:hAnsi="Arial" w:cs="Arial"/>
                <w:b/>
                <w:bCs/>
                <w:color w:val="000000"/>
                <w:kern w:val="0"/>
                <w:sz w:val="16"/>
                <w:szCs w:val="16"/>
                <w:lang w:eastAsia="pt-BR"/>
                <w14:ligatures w14:val="none"/>
              </w:rPr>
              <w:t>4T23</w:t>
            </w:r>
          </w:p>
        </w:tc>
        <w:tc>
          <w:tcPr>
            <w:tcW w:w="519" w:type="pct"/>
            <w:tcBorders>
              <w:top w:val="single" w:sz="4" w:space="0" w:color="3616F6"/>
              <w:left w:val="nil"/>
              <w:bottom w:val="single" w:sz="4" w:space="0" w:color="3616F6"/>
              <w:right w:val="nil"/>
            </w:tcBorders>
            <w:shd w:val="clear" w:color="000000" w:fill="75F6F9"/>
            <w:vAlign w:val="center"/>
            <w:hideMark/>
          </w:tcPr>
          <w:p w14:paraId="7F4CC319" w14:textId="77777777" w:rsidR="00217E7F" w:rsidRPr="00217E7F" w:rsidRDefault="00217E7F" w:rsidP="00217E7F">
            <w:pPr>
              <w:spacing w:after="0" w:line="240" w:lineRule="auto"/>
              <w:jc w:val="center"/>
              <w:rPr>
                <w:rFonts w:ascii="Arial" w:eastAsia="Times New Roman" w:hAnsi="Arial" w:cs="Arial"/>
                <w:b/>
                <w:bCs/>
                <w:color w:val="000000"/>
                <w:kern w:val="0"/>
                <w:sz w:val="16"/>
                <w:szCs w:val="16"/>
                <w:lang w:eastAsia="pt-BR"/>
                <w14:ligatures w14:val="none"/>
              </w:rPr>
            </w:pPr>
            <w:r w:rsidRPr="00217E7F">
              <w:rPr>
                <w:rFonts w:ascii="Arial" w:eastAsia="Times New Roman" w:hAnsi="Arial" w:cs="Arial"/>
                <w:b/>
                <w:bCs/>
                <w:color w:val="000000"/>
                <w:kern w:val="0"/>
                <w:sz w:val="16"/>
                <w:szCs w:val="16"/>
                <w:lang w:eastAsia="pt-BR"/>
                <w14:ligatures w14:val="none"/>
              </w:rPr>
              <w:t>4T22</w:t>
            </w:r>
          </w:p>
        </w:tc>
        <w:tc>
          <w:tcPr>
            <w:tcW w:w="519" w:type="pct"/>
            <w:tcBorders>
              <w:top w:val="single" w:sz="4" w:space="0" w:color="3616F6"/>
              <w:left w:val="nil"/>
              <w:bottom w:val="single" w:sz="4" w:space="0" w:color="3616F6"/>
              <w:right w:val="nil"/>
            </w:tcBorders>
            <w:shd w:val="clear" w:color="000000" w:fill="75F6F9"/>
            <w:vAlign w:val="center"/>
            <w:hideMark/>
          </w:tcPr>
          <w:p w14:paraId="3EE597DC" w14:textId="77777777" w:rsidR="00217E7F" w:rsidRPr="00217E7F" w:rsidRDefault="00217E7F" w:rsidP="00217E7F">
            <w:pPr>
              <w:spacing w:after="0" w:line="240" w:lineRule="auto"/>
              <w:jc w:val="center"/>
              <w:rPr>
                <w:rFonts w:ascii="Arial" w:eastAsia="Times New Roman" w:hAnsi="Arial" w:cs="Arial"/>
                <w:b/>
                <w:bCs/>
                <w:color w:val="000000"/>
                <w:kern w:val="0"/>
                <w:sz w:val="16"/>
                <w:szCs w:val="16"/>
                <w:lang w:eastAsia="pt-BR"/>
                <w14:ligatures w14:val="none"/>
              </w:rPr>
            </w:pPr>
            <w:r w:rsidRPr="00217E7F">
              <w:rPr>
                <w:rFonts w:ascii="Arial" w:eastAsia="Times New Roman" w:hAnsi="Arial" w:cs="Arial"/>
                <w:b/>
                <w:bCs/>
                <w:color w:val="000000"/>
                <w:kern w:val="0"/>
                <w:sz w:val="16"/>
                <w:szCs w:val="16"/>
                <w:lang w:eastAsia="pt-BR"/>
                <w14:ligatures w14:val="none"/>
              </w:rPr>
              <w:t>3T23</w:t>
            </w:r>
          </w:p>
        </w:tc>
        <w:tc>
          <w:tcPr>
            <w:tcW w:w="104" w:type="pct"/>
            <w:tcBorders>
              <w:top w:val="nil"/>
              <w:left w:val="nil"/>
              <w:bottom w:val="nil"/>
              <w:right w:val="nil"/>
            </w:tcBorders>
            <w:shd w:val="clear" w:color="auto" w:fill="auto"/>
            <w:vAlign w:val="center"/>
            <w:hideMark/>
          </w:tcPr>
          <w:p w14:paraId="08FF9D7B" w14:textId="77777777" w:rsidR="00217E7F" w:rsidRPr="00217E7F" w:rsidRDefault="00217E7F" w:rsidP="00217E7F">
            <w:pPr>
              <w:spacing w:after="0" w:line="240" w:lineRule="auto"/>
              <w:jc w:val="center"/>
              <w:rPr>
                <w:rFonts w:ascii="Arial" w:eastAsia="Times New Roman" w:hAnsi="Arial" w:cs="Arial"/>
                <w:b/>
                <w:bCs/>
                <w:color w:val="000000"/>
                <w:kern w:val="0"/>
                <w:sz w:val="16"/>
                <w:szCs w:val="16"/>
                <w:lang w:eastAsia="pt-BR"/>
                <w14:ligatures w14:val="none"/>
              </w:rPr>
            </w:pPr>
          </w:p>
        </w:tc>
        <w:tc>
          <w:tcPr>
            <w:tcW w:w="465" w:type="pct"/>
            <w:tcBorders>
              <w:top w:val="single" w:sz="4" w:space="0" w:color="3616F6"/>
              <w:left w:val="nil"/>
              <w:bottom w:val="single" w:sz="4" w:space="0" w:color="3616F6"/>
              <w:right w:val="nil"/>
            </w:tcBorders>
            <w:shd w:val="clear" w:color="000000" w:fill="75F6F9"/>
            <w:vAlign w:val="center"/>
            <w:hideMark/>
          </w:tcPr>
          <w:p w14:paraId="514920E5" w14:textId="77777777" w:rsidR="00217E7F" w:rsidRPr="00217E7F" w:rsidRDefault="00217E7F" w:rsidP="00217E7F">
            <w:pPr>
              <w:spacing w:after="0" w:line="240" w:lineRule="auto"/>
              <w:jc w:val="center"/>
              <w:rPr>
                <w:rFonts w:ascii="Arial" w:eastAsia="Times New Roman" w:hAnsi="Arial" w:cs="Arial"/>
                <w:b/>
                <w:bCs/>
                <w:color w:val="000000"/>
                <w:kern w:val="0"/>
                <w:sz w:val="16"/>
                <w:szCs w:val="16"/>
                <w:lang w:eastAsia="pt-BR"/>
                <w14:ligatures w14:val="none"/>
              </w:rPr>
            </w:pPr>
            <w:r w:rsidRPr="00217E7F">
              <w:rPr>
                <w:rFonts w:ascii="Arial" w:eastAsia="Times New Roman" w:hAnsi="Arial" w:cs="Arial"/>
                <w:b/>
                <w:bCs/>
                <w:color w:val="000000"/>
                <w:kern w:val="0"/>
                <w:sz w:val="16"/>
                <w:szCs w:val="16"/>
                <w:lang w:eastAsia="pt-BR"/>
                <w14:ligatures w14:val="none"/>
              </w:rPr>
              <w:t>2023</w:t>
            </w:r>
          </w:p>
        </w:tc>
        <w:tc>
          <w:tcPr>
            <w:tcW w:w="473" w:type="pct"/>
            <w:tcBorders>
              <w:top w:val="single" w:sz="4" w:space="0" w:color="3616F6"/>
              <w:left w:val="nil"/>
              <w:bottom w:val="single" w:sz="4" w:space="0" w:color="3616F6"/>
              <w:right w:val="nil"/>
            </w:tcBorders>
            <w:shd w:val="clear" w:color="000000" w:fill="75F6F9"/>
            <w:vAlign w:val="center"/>
            <w:hideMark/>
          </w:tcPr>
          <w:p w14:paraId="7D7FC748" w14:textId="77777777" w:rsidR="00217E7F" w:rsidRPr="00217E7F" w:rsidRDefault="00217E7F" w:rsidP="00217E7F">
            <w:pPr>
              <w:spacing w:after="0" w:line="240" w:lineRule="auto"/>
              <w:jc w:val="center"/>
              <w:rPr>
                <w:rFonts w:ascii="Arial" w:eastAsia="Times New Roman" w:hAnsi="Arial" w:cs="Arial"/>
                <w:b/>
                <w:bCs/>
                <w:color w:val="000000"/>
                <w:kern w:val="0"/>
                <w:sz w:val="16"/>
                <w:szCs w:val="16"/>
                <w:lang w:eastAsia="pt-BR"/>
                <w14:ligatures w14:val="none"/>
              </w:rPr>
            </w:pPr>
            <w:r w:rsidRPr="00217E7F">
              <w:rPr>
                <w:rFonts w:ascii="Arial" w:eastAsia="Times New Roman" w:hAnsi="Arial" w:cs="Arial"/>
                <w:b/>
                <w:bCs/>
                <w:color w:val="000000"/>
                <w:kern w:val="0"/>
                <w:sz w:val="16"/>
                <w:szCs w:val="16"/>
                <w:lang w:eastAsia="pt-BR"/>
                <w14:ligatures w14:val="none"/>
              </w:rPr>
              <w:t>2022</w:t>
            </w:r>
          </w:p>
        </w:tc>
      </w:tr>
      <w:tr w:rsidR="00217E7F" w:rsidRPr="00217E7F" w14:paraId="1C7B47D0" w14:textId="77777777" w:rsidTr="00446A14">
        <w:trPr>
          <w:trHeight w:val="238"/>
        </w:trPr>
        <w:tc>
          <w:tcPr>
            <w:tcW w:w="2400" w:type="pct"/>
            <w:tcBorders>
              <w:top w:val="nil"/>
              <w:left w:val="nil"/>
              <w:bottom w:val="single" w:sz="4" w:space="0" w:color="3616F6"/>
              <w:right w:val="nil"/>
            </w:tcBorders>
            <w:shd w:val="clear" w:color="auto" w:fill="auto"/>
            <w:noWrap/>
            <w:vAlign w:val="bottom"/>
            <w:hideMark/>
          </w:tcPr>
          <w:p w14:paraId="51472F9F" w14:textId="77777777" w:rsidR="00217E7F" w:rsidRPr="00217E7F" w:rsidRDefault="00217E7F" w:rsidP="00217E7F">
            <w:pPr>
              <w:spacing w:after="0" w:line="240" w:lineRule="auto"/>
              <w:rPr>
                <w:rFonts w:ascii="Arial" w:eastAsia="Times New Roman" w:hAnsi="Arial" w:cs="Arial"/>
                <w:b/>
                <w:bCs/>
                <w:kern w:val="0"/>
                <w:sz w:val="16"/>
                <w:szCs w:val="16"/>
                <w:lang w:eastAsia="pt-BR"/>
                <w14:ligatures w14:val="none"/>
              </w:rPr>
            </w:pPr>
            <w:r w:rsidRPr="00217E7F">
              <w:rPr>
                <w:rFonts w:ascii="Arial" w:eastAsia="Times New Roman" w:hAnsi="Arial" w:cs="Arial"/>
                <w:b/>
                <w:bCs/>
                <w:kern w:val="0"/>
                <w:sz w:val="16"/>
                <w:szCs w:val="16"/>
                <w:lang w:eastAsia="pt-BR"/>
                <w14:ligatures w14:val="none"/>
              </w:rPr>
              <w:t>RECEITA OPERACIONAL BRUTA</w:t>
            </w:r>
          </w:p>
        </w:tc>
        <w:tc>
          <w:tcPr>
            <w:tcW w:w="519" w:type="pct"/>
            <w:tcBorders>
              <w:top w:val="nil"/>
              <w:left w:val="single" w:sz="4" w:space="0" w:color="3616F6"/>
              <w:bottom w:val="single" w:sz="4" w:space="0" w:color="3616F6"/>
              <w:right w:val="single" w:sz="4" w:space="0" w:color="3616F6"/>
            </w:tcBorders>
            <w:shd w:val="clear" w:color="000000" w:fill="75F6F9"/>
            <w:vAlign w:val="center"/>
            <w:hideMark/>
          </w:tcPr>
          <w:p w14:paraId="32FAC89F" w14:textId="77777777" w:rsidR="00217E7F" w:rsidRPr="00217E7F" w:rsidRDefault="00217E7F" w:rsidP="00217E7F">
            <w:pPr>
              <w:spacing w:after="0" w:line="240" w:lineRule="auto"/>
              <w:jc w:val="right"/>
              <w:rPr>
                <w:rFonts w:ascii="Arial" w:eastAsia="Times New Roman" w:hAnsi="Arial" w:cs="Arial"/>
                <w:b/>
                <w:bCs/>
                <w:color w:val="000000"/>
                <w:kern w:val="0"/>
                <w:sz w:val="16"/>
                <w:szCs w:val="16"/>
                <w:lang w:eastAsia="pt-BR"/>
                <w14:ligatures w14:val="none"/>
              </w:rPr>
            </w:pPr>
            <w:r w:rsidRPr="00217E7F">
              <w:rPr>
                <w:rFonts w:ascii="Arial" w:eastAsia="Times New Roman" w:hAnsi="Arial" w:cs="Arial"/>
                <w:b/>
                <w:bCs/>
                <w:color w:val="000000"/>
                <w:kern w:val="0"/>
                <w:sz w:val="16"/>
                <w:szCs w:val="16"/>
                <w:lang w:eastAsia="pt-BR"/>
                <w14:ligatures w14:val="none"/>
              </w:rPr>
              <w:t xml:space="preserve">     121.828 </w:t>
            </w:r>
          </w:p>
        </w:tc>
        <w:tc>
          <w:tcPr>
            <w:tcW w:w="519" w:type="pct"/>
            <w:tcBorders>
              <w:top w:val="nil"/>
              <w:left w:val="nil"/>
              <w:bottom w:val="single" w:sz="4" w:space="0" w:color="3616F6"/>
              <w:right w:val="single" w:sz="4" w:space="0" w:color="3616F6"/>
            </w:tcBorders>
            <w:shd w:val="clear" w:color="auto" w:fill="auto"/>
            <w:noWrap/>
            <w:vAlign w:val="bottom"/>
            <w:hideMark/>
          </w:tcPr>
          <w:p w14:paraId="59EF37C7" w14:textId="77777777" w:rsidR="00217E7F" w:rsidRPr="00217E7F" w:rsidRDefault="00217E7F" w:rsidP="00217E7F">
            <w:pPr>
              <w:spacing w:after="0" w:line="240" w:lineRule="auto"/>
              <w:jc w:val="right"/>
              <w:rPr>
                <w:rFonts w:ascii="Arial" w:eastAsia="Times New Roman" w:hAnsi="Arial" w:cs="Arial"/>
                <w:b/>
                <w:bCs/>
                <w:kern w:val="0"/>
                <w:sz w:val="16"/>
                <w:szCs w:val="16"/>
                <w:lang w:eastAsia="pt-BR"/>
                <w14:ligatures w14:val="none"/>
              </w:rPr>
            </w:pPr>
            <w:r w:rsidRPr="00217E7F">
              <w:rPr>
                <w:rFonts w:ascii="Arial" w:eastAsia="Times New Roman" w:hAnsi="Arial" w:cs="Arial"/>
                <w:b/>
                <w:bCs/>
                <w:kern w:val="0"/>
                <w:sz w:val="16"/>
                <w:szCs w:val="16"/>
                <w:lang w:eastAsia="pt-BR"/>
                <w14:ligatures w14:val="none"/>
              </w:rPr>
              <w:t xml:space="preserve">     101.226 </w:t>
            </w:r>
          </w:p>
        </w:tc>
        <w:tc>
          <w:tcPr>
            <w:tcW w:w="519" w:type="pct"/>
            <w:tcBorders>
              <w:top w:val="nil"/>
              <w:left w:val="nil"/>
              <w:bottom w:val="single" w:sz="4" w:space="0" w:color="3616F6"/>
              <w:right w:val="nil"/>
            </w:tcBorders>
            <w:shd w:val="clear" w:color="auto" w:fill="auto"/>
            <w:noWrap/>
            <w:vAlign w:val="bottom"/>
            <w:hideMark/>
          </w:tcPr>
          <w:p w14:paraId="493BBA17" w14:textId="77777777" w:rsidR="00217E7F" w:rsidRPr="00217E7F" w:rsidRDefault="00217E7F" w:rsidP="00217E7F">
            <w:pPr>
              <w:spacing w:after="0" w:line="240" w:lineRule="auto"/>
              <w:jc w:val="right"/>
              <w:rPr>
                <w:rFonts w:ascii="Arial" w:eastAsia="Times New Roman" w:hAnsi="Arial" w:cs="Arial"/>
                <w:b/>
                <w:bCs/>
                <w:kern w:val="0"/>
                <w:sz w:val="16"/>
                <w:szCs w:val="16"/>
                <w:lang w:eastAsia="pt-BR"/>
                <w14:ligatures w14:val="none"/>
              </w:rPr>
            </w:pPr>
            <w:r w:rsidRPr="00217E7F">
              <w:rPr>
                <w:rFonts w:ascii="Arial" w:eastAsia="Times New Roman" w:hAnsi="Arial" w:cs="Arial"/>
                <w:b/>
                <w:bCs/>
                <w:kern w:val="0"/>
                <w:sz w:val="16"/>
                <w:szCs w:val="16"/>
                <w:lang w:eastAsia="pt-BR"/>
                <w14:ligatures w14:val="none"/>
              </w:rPr>
              <w:t xml:space="preserve">     121.572 </w:t>
            </w:r>
          </w:p>
        </w:tc>
        <w:tc>
          <w:tcPr>
            <w:tcW w:w="104" w:type="pct"/>
            <w:tcBorders>
              <w:top w:val="nil"/>
              <w:left w:val="nil"/>
              <w:bottom w:val="nil"/>
              <w:right w:val="nil"/>
            </w:tcBorders>
            <w:shd w:val="clear" w:color="auto" w:fill="auto"/>
            <w:noWrap/>
            <w:vAlign w:val="bottom"/>
            <w:hideMark/>
          </w:tcPr>
          <w:p w14:paraId="135ED44F" w14:textId="77777777" w:rsidR="00217E7F" w:rsidRPr="00217E7F" w:rsidRDefault="00217E7F" w:rsidP="00217E7F">
            <w:pPr>
              <w:spacing w:after="0" w:line="240" w:lineRule="auto"/>
              <w:jc w:val="right"/>
              <w:rPr>
                <w:rFonts w:ascii="Arial" w:eastAsia="Times New Roman" w:hAnsi="Arial" w:cs="Arial"/>
                <w:b/>
                <w:bCs/>
                <w:kern w:val="0"/>
                <w:sz w:val="16"/>
                <w:szCs w:val="16"/>
                <w:lang w:eastAsia="pt-BR"/>
                <w14:ligatures w14:val="none"/>
              </w:rPr>
            </w:pPr>
          </w:p>
        </w:tc>
        <w:tc>
          <w:tcPr>
            <w:tcW w:w="465" w:type="pct"/>
            <w:tcBorders>
              <w:top w:val="nil"/>
              <w:left w:val="nil"/>
              <w:bottom w:val="single" w:sz="4" w:space="0" w:color="3616F6"/>
              <w:right w:val="single" w:sz="4" w:space="0" w:color="3616F6"/>
            </w:tcBorders>
            <w:shd w:val="clear" w:color="auto" w:fill="auto"/>
            <w:noWrap/>
            <w:vAlign w:val="bottom"/>
            <w:hideMark/>
          </w:tcPr>
          <w:p w14:paraId="380386E8" w14:textId="77777777" w:rsidR="00217E7F" w:rsidRPr="00217E7F" w:rsidRDefault="00217E7F" w:rsidP="00217E7F">
            <w:pPr>
              <w:spacing w:after="0" w:line="240" w:lineRule="auto"/>
              <w:jc w:val="right"/>
              <w:rPr>
                <w:rFonts w:ascii="Arial" w:eastAsia="Times New Roman" w:hAnsi="Arial" w:cs="Arial"/>
                <w:b/>
                <w:bCs/>
                <w:kern w:val="0"/>
                <w:sz w:val="16"/>
                <w:szCs w:val="16"/>
                <w:lang w:eastAsia="pt-BR"/>
                <w14:ligatures w14:val="none"/>
              </w:rPr>
            </w:pPr>
            <w:r w:rsidRPr="00217E7F">
              <w:rPr>
                <w:rFonts w:ascii="Arial" w:eastAsia="Times New Roman" w:hAnsi="Arial" w:cs="Arial"/>
                <w:b/>
                <w:bCs/>
                <w:kern w:val="0"/>
                <w:sz w:val="16"/>
                <w:szCs w:val="16"/>
                <w:lang w:eastAsia="pt-BR"/>
                <w14:ligatures w14:val="none"/>
              </w:rPr>
              <w:t xml:space="preserve">   470.052 </w:t>
            </w:r>
          </w:p>
        </w:tc>
        <w:tc>
          <w:tcPr>
            <w:tcW w:w="473" w:type="pct"/>
            <w:tcBorders>
              <w:top w:val="nil"/>
              <w:left w:val="nil"/>
              <w:bottom w:val="single" w:sz="4" w:space="0" w:color="3616F6"/>
              <w:right w:val="nil"/>
            </w:tcBorders>
            <w:shd w:val="clear" w:color="auto" w:fill="auto"/>
            <w:noWrap/>
            <w:vAlign w:val="bottom"/>
            <w:hideMark/>
          </w:tcPr>
          <w:p w14:paraId="7A5B5290" w14:textId="77777777" w:rsidR="00217E7F" w:rsidRPr="00217E7F" w:rsidRDefault="00217E7F" w:rsidP="00217E7F">
            <w:pPr>
              <w:spacing w:after="0" w:line="240" w:lineRule="auto"/>
              <w:jc w:val="right"/>
              <w:rPr>
                <w:rFonts w:ascii="Arial" w:eastAsia="Times New Roman" w:hAnsi="Arial" w:cs="Arial"/>
                <w:b/>
                <w:bCs/>
                <w:kern w:val="0"/>
                <w:sz w:val="16"/>
                <w:szCs w:val="16"/>
                <w:lang w:eastAsia="pt-BR"/>
                <w14:ligatures w14:val="none"/>
              </w:rPr>
            </w:pPr>
            <w:r w:rsidRPr="00217E7F">
              <w:rPr>
                <w:rFonts w:ascii="Arial" w:eastAsia="Times New Roman" w:hAnsi="Arial" w:cs="Arial"/>
                <w:b/>
                <w:bCs/>
                <w:kern w:val="0"/>
                <w:sz w:val="16"/>
                <w:szCs w:val="16"/>
                <w:lang w:eastAsia="pt-BR"/>
                <w14:ligatures w14:val="none"/>
              </w:rPr>
              <w:t xml:space="preserve">   403.502 </w:t>
            </w:r>
          </w:p>
        </w:tc>
      </w:tr>
      <w:tr w:rsidR="00217E7F" w:rsidRPr="00217E7F" w14:paraId="715098B2" w14:textId="77777777" w:rsidTr="00446A14">
        <w:trPr>
          <w:trHeight w:val="238"/>
        </w:trPr>
        <w:tc>
          <w:tcPr>
            <w:tcW w:w="2400" w:type="pct"/>
            <w:tcBorders>
              <w:top w:val="nil"/>
              <w:left w:val="nil"/>
              <w:bottom w:val="nil"/>
              <w:right w:val="nil"/>
            </w:tcBorders>
            <w:shd w:val="clear" w:color="auto" w:fill="auto"/>
            <w:noWrap/>
            <w:vAlign w:val="center"/>
            <w:hideMark/>
          </w:tcPr>
          <w:p w14:paraId="407EC6D0" w14:textId="77777777" w:rsidR="00217E7F" w:rsidRPr="00217E7F" w:rsidRDefault="00217E7F" w:rsidP="00217E7F">
            <w:pPr>
              <w:spacing w:after="0" w:line="240" w:lineRule="auto"/>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Serviços de Comunicação Multimídia</w:t>
            </w:r>
          </w:p>
        </w:tc>
        <w:tc>
          <w:tcPr>
            <w:tcW w:w="519" w:type="pct"/>
            <w:tcBorders>
              <w:top w:val="nil"/>
              <w:left w:val="single" w:sz="4" w:space="0" w:color="3616F6"/>
              <w:bottom w:val="nil"/>
              <w:right w:val="single" w:sz="4" w:space="0" w:color="3616F6"/>
            </w:tcBorders>
            <w:shd w:val="clear" w:color="000000" w:fill="75F6F9"/>
            <w:vAlign w:val="center"/>
            <w:hideMark/>
          </w:tcPr>
          <w:p w14:paraId="5A9DE1A4"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 xml:space="preserve">       86.104 </w:t>
            </w:r>
          </w:p>
        </w:tc>
        <w:tc>
          <w:tcPr>
            <w:tcW w:w="519" w:type="pct"/>
            <w:tcBorders>
              <w:top w:val="nil"/>
              <w:left w:val="nil"/>
              <w:bottom w:val="nil"/>
              <w:right w:val="single" w:sz="4" w:space="0" w:color="3616F6"/>
            </w:tcBorders>
            <w:shd w:val="clear" w:color="auto" w:fill="auto"/>
            <w:noWrap/>
            <w:vAlign w:val="bottom"/>
            <w:hideMark/>
          </w:tcPr>
          <w:p w14:paraId="75E646BD"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81.130 </w:t>
            </w:r>
          </w:p>
        </w:tc>
        <w:tc>
          <w:tcPr>
            <w:tcW w:w="519" w:type="pct"/>
            <w:tcBorders>
              <w:top w:val="nil"/>
              <w:left w:val="nil"/>
              <w:bottom w:val="nil"/>
              <w:right w:val="nil"/>
            </w:tcBorders>
            <w:shd w:val="clear" w:color="auto" w:fill="auto"/>
            <w:noWrap/>
            <w:vAlign w:val="bottom"/>
            <w:hideMark/>
          </w:tcPr>
          <w:p w14:paraId="1E34ABA9"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95.544 </w:t>
            </w:r>
          </w:p>
        </w:tc>
        <w:tc>
          <w:tcPr>
            <w:tcW w:w="104" w:type="pct"/>
            <w:tcBorders>
              <w:top w:val="nil"/>
              <w:left w:val="nil"/>
              <w:bottom w:val="nil"/>
              <w:right w:val="nil"/>
            </w:tcBorders>
            <w:shd w:val="clear" w:color="auto" w:fill="auto"/>
            <w:noWrap/>
            <w:vAlign w:val="bottom"/>
            <w:hideMark/>
          </w:tcPr>
          <w:p w14:paraId="65AA348E"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p>
        </w:tc>
        <w:tc>
          <w:tcPr>
            <w:tcW w:w="465" w:type="pct"/>
            <w:tcBorders>
              <w:top w:val="nil"/>
              <w:left w:val="nil"/>
              <w:bottom w:val="nil"/>
              <w:right w:val="single" w:sz="4" w:space="0" w:color="3616F6"/>
            </w:tcBorders>
            <w:shd w:val="clear" w:color="auto" w:fill="auto"/>
            <w:noWrap/>
            <w:vAlign w:val="bottom"/>
            <w:hideMark/>
          </w:tcPr>
          <w:p w14:paraId="4DAF1456"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356.511 </w:t>
            </w:r>
          </w:p>
        </w:tc>
        <w:tc>
          <w:tcPr>
            <w:tcW w:w="473" w:type="pct"/>
            <w:tcBorders>
              <w:top w:val="nil"/>
              <w:left w:val="nil"/>
              <w:bottom w:val="nil"/>
              <w:right w:val="nil"/>
            </w:tcBorders>
            <w:shd w:val="clear" w:color="auto" w:fill="auto"/>
            <w:noWrap/>
            <w:vAlign w:val="bottom"/>
            <w:hideMark/>
          </w:tcPr>
          <w:p w14:paraId="50ABFE88"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322.614 </w:t>
            </w:r>
          </w:p>
        </w:tc>
      </w:tr>
      <w:tr w:rsidR="00217E7F" w:rsidRPr="00217E7F" w14:paraId="76963C1F" w14:textId="77777777" w:rsidTr="00446A14">
        <w:trPr>
          <w:trHeight w:val="238"/>
        </w:trPr>
        <w:tc>
          <w:tcPr>
            <w:tcW w:w="2400" w:type="pct"/>
            <w:tcBorders>
              <w:top w:val="nil"/>
              <w:left w:val="nil"/>
              <w:bottom w:val="nil"/>
              <w:right w:val="nil"/>
            </w:tcBorders>
            <w:shd w:val="clear" w:color="auto" w:fill="auto"/>
            <w:noWrap/>
            <w:vAlign w:val="center"/>
            <w:hideMark/>
          </w:tcPr>
          <w:p w14:paraId="3BFED715" w14:textId="77777777" w:rsidR="00217E7F" w:rsidRPr="00217E7F" w:rsidRDefault="00217E7F" w:rsidP="00217E7F">
            <w:pPr>
              <w:spacing w:after="0" w:line="240" w:lineRule="auto"/>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Locação de Capacidade Satelital</w:t>
            </w:r>
          </w:p>
        </w:tc>
        <w:tc>
          <w:tcPr>
            <w:tcW w:w="519" w:type="pct"/>
            <w:tcBorders>
              <w:top w:val="nil"/>
              <w:left w:val="single" w:sz="4" w:space="0" w:color="3616F6"/>
              <w:bottom w:val="nil"/>
              <w:right w:val="single" w:sz="4" w:space="0" w:color="3616F6"/>
            </w:tcBorders>
            <w:shd w:val="clear" w:color="000000" w:fill="75F6F9"/>
            <w:vAlign w:val="center"/>
            <w:hideMark/>
          </w:tcPr>
          <w:p w14:paraId="3A8E0231"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 xml:space="preserve">          9.121 </w:t>
            </w:r>
          </w:p>
        </w:tc>
        <w:tc>
          <w:tcPr>
            <w:tcW w:w="519" w:type="pct"/>
            <w:tcBorders>
              <w:top w:val="nil"/>
              <w:left w:val="nil"/>
              <w:bottom w:val="nil"/>
              <w:right w:val="single" w:sz="4" w:space="0" w:color="3616F6"/>
            </w:tcBorders>
            <w:shd w:val="clear" w:color="auto" w:fill="auto"/>
            <w:noWrap/>
            <w:vAlign w:val="bottom"/>
            <w:hideMark/>
          </w:tcPr>
          <w:p w14:paraId="74F6E92A"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9.121 </w:t>
            </w:r>
          </w:p>
        </w:tc>
        <w:tc>
          <w:tcPr>
            <w:tcW w:w="519" w:type="pct"/>
            <w:tcBorders>
              <w:top w:val="nil"/>
              <w:left w:val="nil"/>
              <w:bottom w:val="nil"/>
              <w:right w:val="nil"/>
            </w:tcBorders>
            <w:shd w:val="clear" w:color="auto" w:fill="auto"/>
            <w:noWrap/>
            <w:vAlign w:val="bottom"/>
            <w:hideMark/>
          </w:tcPr>
          <w:p w14:paraId="3F5BE885"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9.120 </w:t>
            </w:r>
          </w:p>
        </w:tc>
        <w:tc>
          <w:tcPr>
            <w:tcW w:w="104" w:type="pct"/>
            <w:tcBorders>
              <w:top w:val="nil"/>
              <w:left w:val="nil"/>
              <w:bottom w:val="nil"/>
              <w:right w:val="nil"/>
            </w:tcBorders>
            <w:shd w:val="clear" w:color="auto" w:fill="auto"/>
            <w:noWrap/>
            <w:vAlign w:val="bottom"/>
            <w:hideMark/>
          </w:tcPr>
          <w:p w14:paraId="43F3FE53"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p>
        </w:tc>
        <w:tc>
          <w:tcPr>
            <w:tcW w:w="465" w:type="pct"/>
            <w:tcBorders>
              <w:top w:val="nil"/>
              <w:left w:val="nil"/>
              <w:bottom w:val="nil"/>
              <w:right w:val="single" w:sz="4" w:space="0" w:color="3616F6"/>
            </w:tcBorders>
            <w:shd w:val="clear" w:color="auto" w:fill="auto"/>
            <w:noWrap/>
            <w:vAlign w:val="bottom"/>
            <w:hideMark/>
          </w:tcPr>
          <w:p w14:paraId="02707EFD"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36.481 </w:t>
            </w:r>
          </w:p>
        </w:tc>
        <w:tc>
          <w:tcPr>
            <w:tcW w:w="473" w:type="pct"/>
            <w:tcBorders>
              <w:top w:val="nil"/>
              <w:left w:val="nil"/>
              <w:bottom w:val="nil"/>
              <w:right w:val="nil"/>
            </w:tcBorders>
            <w:shd w:val="clear" w:color="auto" w:fill="auto"/>
            <w:noWrap/>
            <w:vAlign w:val="bottom"/>
            <w:hideMark/>
          </w:tcPr>
          <w:p w14:paraId="30C4524E"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36.481 </w:t>
            </w:r>
          </w:p>
        </w:tc>
      </w:tr>
      <w:tr w:rsidR="00217E7F" w:rsidRPr="00217E7F" w14:paraId="4FF729FF" w14:textId="77777777" w:rsidTr="00446A14">
        <w:trPr>
          <w:trHeight w:val="238"/>
        </w:trPr>
        <w:tc>
          <w:tcPr>
            <w:tcW w:w="2400" w:type="pct"/>
            <w:tcBorders>
              <w:top w:val="nil"/>
              <w:left w:val="nil"/>
              <w:bottom w:val="nil"/>
              <w:right w:val="nil"/>
            </w:tcBorders>
            <w:shd w:val="clear" w:color="auto" w:fill="auto"/>
            <w:noWrap/>
            <w:vAlign w:val="center"/>
            <w:hideMark/>
          </w:tcPr>
          <w:p w14:paraId="7C8D7488" w14:textId="77777777" w:rsidR="00217E7F" w:rsidRPr="00217E7F" w:rsidRDefault="00217E7F" w:rsidP="00217E7F">
            <w:pPr>
              <w:spacing w:after="0" w:line="240" w:lineRule="auto"/>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w:t>
            </w:r>
            <w:proofErr w:type="gramStart"/>
            <w:r w:rsidRPr="00217E7F">
              <w:rPr>
                <w:rFonts w:ascii="Arial" w:eastAsia="Times New Roman" w:hAnsi="Arial" w:cs="Arial"/>
                <w:kern w:val="0"/>
                <w:sz w:val="16"/>
                <w:szCs w:val="16"/>
                <w:lang w:eastAsia="pt-BR"/>
                <w14:ligatures w14:val="none"/>
              </w:rPr>
              <w:t>Alugueis</w:t>
            </w:r>
            <w:proofErr w:type="gramEnd"/>
            <w:r w:rsidRPr="00217E7F">
              <w:rPr>
                <w:rFonts w:ascii="Arial" w:eastAsia="Times New Roman" w:hAnsi="Arial" w:cs="Arial"/>
                <w:kern w:val="0"/>
                <w:sz w:val="16"/>
                <w:szCs w:val="16"/>
                <w:lang w:eastAsia="pt-BR"/>
                <w14:ligatures w14:val="none"/>
              </w:rPr>
              <w:t xml:space="preserve"> e Locações</w:t>
            </w:r>
          </w:p>
        </w:tc>
        <w:tc>
          <w:tcPr>
            <w:tcW w:w="519" w:type="pct"/>
            <w:tcBorders>
              <w:top w:val="nil"/>
              <w:left w:val="single" w:sz="4" w:space="0" w:color="3616F6"/>
              <w:bottom w:val="nil"/>
              <w:right w:val="single" w:sz="4" w:space="0" w:color="3616F6"/>
            </w:tcBorders>
            <w:shd w:val="clear" w:color="000000" w:fill="75F6F9"/>
            <w:vAlign w:val="center"/>
            <w:hideMark/>
          </w:tcPr>
          <w:p w14:paraId="59BC8E99"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 xml:space="preserve">          5.675 </w:t>
            </w:r>
          </w:p>
        </w:tc>
        <w:tc>
          <w:tcPr>
            <w:tcW w:w="519" w:type="pct"/>
            <w:tcBorders>
              <w:top w:val="nil"/>
              <w:left w:val="nil"/>
              <w:bottom w:val="nil"/>
              <w:right w:val="single" w:sz="4" w:space="0" w:color="3616F6"/>
            </w:tcBorders>
            <w:shd w:val="clear" w:color="auto" w:fill="auto"/>
            <w:noWrap/>
            <w:vAlign w:val="bottom"/>
            <w:hideMark/>
          </w:tcPr>
          <w:p w14:paraId="31B773E7"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5.488 </w:t>
            </w:r>
          </w:p>
        </w:tc>
        <w:tc>
          <w:tcPr>
            <w:tcW w:w="519" w:type="pct"/>
            <w:tcBorders>
              <w:top w:val="nil"/>
              <w:left w:val="nil"/>
              <w:bottom w:val="nil"/>
              <w:right w:val="nil"/>
            </w:tcBorders>
            <w:shd w:val="clear" w:color="auto" w:fill="auto"/>
            <w:noWrap/>
            <w:vAlign w:val="bottom"/>
            <w:hideMark/>
          </w:tcPr>
          <w:p w14:paraId="65E6231B"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6.863 </w:t>
            </w:r>
          </w:p>
        </w:tc>
        <w:tc>
          <w:tcPr>
            <w:tcW w:w="104" w:type="pct"/>
            <w:tcBorders>
              <w:top w:val="nil"/>
              <w:left w:val="nil"/>
              <w:bottom w:val="nil"/>
              <w:right w:val="nil"/>
            </w:tcBorders>
            <w:shd w:val="clear" w:color="auto" w:fill="auto"/>
            <w:noWrap/>
            <w:vAlign w:val="bottom"/>
            <w:hideMark/>
          </w:tcPr>
          <w:p w14:paraId="48DDB9DF"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p>
        </w:tc>
        <w:tc>
          <w:tcPr>
            <w:tcW w:w="465" w:type="pct"/>
            <w:tcBorders>
              <w:top w:val="nil"/>
              <w:left w:val="nil"/>
              <w:bottom w:val="nil"/>
              <w:right w:val="single" w:sz="4" w:space="0" w:color="3616F6"/>
            </w:tcBorders>
            <w:shd w:val="clear" w:color="auto" w:fill="auto"/>
            <w:noWrap/>
            <w:vAlign w:val="bottom"/>
            <w:hideMark/>
          </w:tcPr>
          <w:p w14:paraId="7D306B89"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24.851 </w:t>
            </w:r>
          </w:p>
        </w:tc>
        <w:tc>
          <w:tcPr>
            <w:tcW w:w="473" w:type="pct"/>
            <w:tcBorders>
              <w:top w:val="nil"/>
              <w:left w:val="nil"/>
              <w:bottom w:val="nil"/>
              <w:right w:val="nil"/>
            </w:tcBorders>
            <w:shd w:val="clear" w:color="auto" w:fill="auto"/>
            <w:noWrap/>
            <w:vAlign w:val="bottom"/>
            <w:hideMark/>
          </w:tcPr>
          <w:p w14:paraId="459A6A92"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22.056 </w:t>
            </w:r>
          </w:p>
        </w:tc>
      </w:tr>
      <w:tr w:rsidR="00217E7F" w:rsidRPr="00217E7F" w14:paraId="4365ED06" w14:textId="77777777" w:rsidTr="00446A14">
        <w:trPr>
          <w:trHeight w:val="238"/>
        </w:trPr>
        <w:tc>
          <w:tcPr>
            <w:tcW w:w="2400" w:type="pct"/>
            <w:tcBorders>
              <w:top w:val="nil"/>
              <w:left w:val="nil"/>
              <w:bottom w:val="nil"/>
              <w:right w:val="nil"/>
            </w:tcBorders>
            <w:shd w:val="clear" w:color="auto" w:fill="auto"/>
            <w:noWrap/>
            <w:vAlign w:val="center"/>
            <w:hideMark/>
          </w:tcPr>
          <w:p w14:paraId="5812F600" w14:textId="77777777" w:rsidR="00217E7F" w:rsidRPr="00217E7F" w:rsidRDefault="00217E7F" w:rsidP="00217E7F">
            <w:pPr>
              <w:spacing w:after="0" w:line="240" w:lineRule="auto"/>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Compartilhamento de Receita</w:t>
            </w:r>
          </w:p>
        </w:tc>
        <w:tc>
          <w:tcPr>
            <w:tcW w:w="519" w:type="pct"/>
            <w:tcBorders>
              <w:top w:val="nil"/>
              <w:left w:val="single" w:sz="4" w:space="0" w:color="3616F6"/>
              <w:bottom w:val="nil"/>
              <w:right w:val="single" w:sz="4" w:space="0" w:color="3616F6"/>
            </w:tcBorders>
            <w:shd w:val="clear" w:color="000000" w:fill="75F6F9"/>
            <w:vAlign w:val="center"/>
            <w:hideMark/>
          </w:tcPr>
          <w:p w14:paraId="6A743A16"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 xml:space="preserve">          2.078 </w:t>
            </w:r>
          </w:p>
        </w:tc>
        <w:tc>
          <w:tcPr>
            <w:tcW w:w="519" w:type="pct"/>
            <w:tcBorders>
              <w:top w:val="nil"/>
              <w:left w:val="nil"/>
              <w:bottom w:val="nil"/>
              <w:right w:val="single" w:sz="4" w:space="0" w:color="3616F6"/>
            </w:tcBorders>
            <w:shd w:val="clear" w:color="auto" w:fill="auto"/>
            <w:noWrap/>
            <w:vAlign w:val="bottom"/>
            <w:hideMark/>
          </w:tcPr>
          <w:p w14:paraId="07E540E7"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3.633 </w:t>
            </w:r>
          </w:p>
        </w:tc>
        <w:tc>
          <w:tcPr>
            <w:tcW w:w="519" w:type="pct"/>
            <w:tcBorders>
              <w:top w:val="nil"/>
              <w:left w:val="nil"/>
              <w:bottom w:val="nil"/>
              <w:right w:val="nil"/>
            </w:tcBorders>
            <w:shd w:val="clear" w:color="auto" w:fill="auto"/>
            <w:noWrap/>
            <w:vAlign w:val="bottom"/>
            <w:hideMark/>
          </w:tcPr>
          <w:p w14:paraId="00F78868"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5.994 </w:t>
            </w:r>
          </w:p>
        </w:tc>
        <w:tc>
          <w:tcPr>
            <w:tcW w:w="104" w:type="pct"/>
            <w:tcBorders>
              <w:top w:val="nil"/>
              <w:left w:val="nil"/>
              <w:bottom w:val="nil"/>
              <w:right w:val="nil"/>
            </w:tcBorders>
            <w:shd w:val="clear" w:color="auto" w:fill="auto"/>
            <w:noWrap/>
            <w:vAlign w:val="bottom"/>
            <w:hideMark/>
          </w:tcPr>
          <w:p w14:paraId="3338B0E2"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p>
        </w:tc>
        <w:tc>
          <w:tcPr>
            <w:tcW w:w="465" w:type="pct"/>
            <w:tcBorders>
              <w:top w:val="nil"/>
              <w:left w:val="nil"/>
              <w:bottom w:val="nil"/>
              <w:right w:val="single" w:sz="4" w:space="0" w:color="3616F6"/>
            </w:tcBorders>
            <w:shd w:val="clear" w:color="auto" w:fill="auto"/>
            <w:noWrap/>
            <w:vAlign w:val="bottom"/>
            <w:hideMark/>
          </w:tcPr>
          <w:p w14:paraId="20E6A34C"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19.640 </w:t>
            </w:r>
          </w:p>
        </w:tc>
        <w:tc>
          <w:tcPr>
            <w:tcW w:w="473" w:type="pct"/>
            <w:tcBorders>
              <w:top w:val="nil"/>
              <w:left w:val="nil"/>
              <w:bottom w:val="nil"/>
              <w:right w:val="nil"/>
            </w:tcBorders>
            <w:shd w:val="clear" w:color="auto" w:fill="auto"/>
            <w:noWrap/>
            <w:vAlign w:val="bottom"/>
            <w:hideMark/>
          </w:tcPr>
          <w:p w14:paraId="4B136DBE"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15.463 </w:t>
            </w:r>
          </w:p>
        </w:tc>
      </w:tr>
      <w:tr w:rsidR="00217E7F" w:rsidRPr="00217E7F" w14:paraId="5BF4B521" w14:textId="77777777" w:rsidTr="00446A14">
        <w:trPr>
          <w:trHeight w:val="238"/>
        </w:trPr>
        <w:tc>
          <w:tcPr>
            <w:tcW w:w="2400" w:type="pct"/>
            <w:tcBorders>
              <w:top w:val="nil"/>
              <w:left w:val="nil"/>
              <w:bottom w:val="nil"/>
              <w:right w:val="nil"/>
            </w:tcBorders>
            <w:shd w:val="clear" w:color="auto" w:fill="auto"/>
            <w:noWrap/>
            <w:vAlign w:val="center"/>
            <w:hideMark/>
          </w:tcPr>
          <w:p w14:paraId="3842DCFE" w14:textId="77777777" w:rsidR="00217E7F" w:rsidRPr="00217E7F" w:rsidRDefault="00217E7F" w:rsidP="00217E7F">
            <w:pPr>
              <w:spacing w:after="0" w:line="240" w:lineRule="auto"/>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Receita de Valor Adicionado</w:t>
            </w:r>
          </w:p>
        </w:tc>
        <w:tc>
          <w:tcPr>
            <w:tcW w:w="519" w:type="pct"/>
            <w:tcBorders>
              <w:top w:val="nil"/>
              <w:left w:val="single" w:sz="4" w:space="0" w:color="3616F6"/>
              <w:bottom w:val="nil"/>
              <w:right w:val="single" w:sz="4" w:space="0" w:color="3616F6"/>
            </w:tcBorders>
            <w:shd w:val="clear" w:color="000000" w:fill="75F6F9"/>
            <w:vAlign w:val="center"/>
            <w:hideMark/>
          </w:tcPr>
          <w:p w14:paraId="7824BFA2"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 xml:space="preserve">       12.185 </w:t>
            </w:r>
          </w:p>
        </w:tc>
        <w:tc>
          <w:tcPr>
            <w:tcW w:w="519" w:type="pct"/>
            <w:tcBorders>
              <w:top w:val="nil"/>
              <w:left w:val="nil"/>
              <w:bottom w:val="nil"/>
              <w:right w:val="single" w:sz="4" w:space="0" w:color="3616F6"/>
            </w:tcBorders>
            <w:shd w:val="clear" w:color="auto" w:fill="auto"/>
            <w:noWrap/>
            <w:vAlign w:val="bottom"/>
            <w:hideMark/>
          </w:tcPr>
          <w:p w14:paraId="34D88F01"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   </w:t>
            </w:r>
          </w:p>
        </w:tc>
        <w:tc>
          <w:tcPr>
            <w:tcW w:w="519" w:type="pct"/>
            <w:tcBorders>
              <w:top w:val="nil"/>
              <w:left w:val="nil"/>
              <w:bottom w:val="nil"/>
              <w:right w:val="nil"/>
            </w:tcBorders>
            <w:shd w:val="clear" w:color="auto" w:fill="auto"/>
            <w:noWrap/>
            <w:vAlign w:val="bottom"/>
            <w:hideMark/>
          </w:tcPr>
          <w:p w14:paraId="72F2FB97"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987 </w:t>
            </w:r>
          </w:p>
        </w:tc>
        <w:tc>
          <w:tcPr>
            <w:tcW w:w="104" w:type="pct"/>
            <w:tcBorders>
              <w:top w:val="nil"/>
              <w:left w:val="nil"/>
              <w:bottom w:val="nil"/>
              <w:right w:val="nil"/>
            </w:tcBorders>
            <w:shd w:val="clear" w:color="auto" w:fill="auto"/>
            <w:noWrap/>
            <w:vAlign w:val="bottom"/>
            <w:hideMark/>
          </w:tcPr>
          <w:p w14:paraId="6EAAD513"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p>
        </w:tc>
        <w:tc>
          <w:tcPr>
            <w:tcW w:w="465" w:type="pct"/>
            <w:tcBorders>
              <w:top w:val="nil"/>
              <w:left w:val="nil"/>
              <w:bottom w:val="nil"/>
              <w:right w:val="single" w:sz="4" w:space="0" w:color="3616F6"/>
            </w:tcBorders>
            <w:shd w:val="clear" w:color="auto" w:fill="auto"/>
            <w:noWrap/>
            <w:vAlign w:val="bottom"/>
            <w:hideMark/>
          </w:tcPr>
          <w:p w14:paraId="2ABD389C"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18.073 </w:t>
            </w:r>
          </w:p>
        </w:tc>
        <w:tc>
          <w:tcPr>
            <w:tcW w:w="473" w:type="pct"/>
            <w:tcBorders>
              <w:top w:val="nil"/>
              <w:left w:val="nil"/>
              <w:bottom w:val="nil"/>
              <w:right w:val="nil"/>
            </w:tcBorders>
            <w:shd w:val="clear" w:color="auto" w:fill="auto"/>
            <w:noWrap/>
            <w:vAlign w:val="bottom"/>
            <w:hideMark/>
          </w:tcPr>
          <w:p w14:paraId="38317225"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    </w:t>
            </w:r>
          </w:p>
        </w:tc>
      </w:tr>
      <w:tr w:rsidR="00217E7F" w:rsidRPr="00217E7F" w14:paraId="4676446A" w14:textId="77777777" w:rsidTr="00446A14">
        <w:trPr>
          <w:trHeight w:val="238"/>
        </w:trPr>
        <w:tc>
          <w:tcPr>
            <w:tcW w:w="2400" w:type="pct"/>
            <w:tcBorders>
              <w:top w:val="nil"/>
              <w:left w:val="nil"/>
              <w:bottom w:val="nil"/>
              <w:right w:val="nil"/>
            </w:tcBorders>
            <w:shd w:val="clear" w:color="auto" w:fill="auto"/>
            <w:noWrap/>
            <w:vAlign w:val="center"/>
            <w:hideMark/>
          </w:tcPr>
          <w:p w14:paraId="55D59BF6" w14:textId="77777777" w:rsidR="00217E7F" w:rsidRPr="00217E7F" w:rsidRDefault="00217E7F" w:rsidP="00217E7F">
            <w:pPr>
              <w:spacing w:after="0" w:line="240" w:lineRule="auto"/>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Outras Receitas</w:t>
            </w:r>
          </w:p>
        </w:tc>
        <w:tc>
          <w:tcPr>
            <w:tcW w:w="519" w:type="pct"/>
            <w:tcBorders>
              <w:top w:val="nil"/>
              <w:left w:val="single" w:sz="4" w:space="0" w:color="3616F6"/>
              <w:bottom w:val="single" w:sz="4" w:space="0" w:color="3616F6"/>
              <w:right w:val="single" w:sz="4" w:space="0" w:color="3616F6"/>
            </w:tcBorders>
            <w:shd w:val="clear" w:color="000000" w:fill="75F6F9"/>
            <w:vAlign w:val="center"/>
            <w:hideMark/>
          </w:tcPr>
          <w:p w14:paraId="7ECD188F"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 xml:space="preserve">          6.665 </w:t>
            </w:r>
          </w:p>
        </w:tc>
        <w:tc>
          <w:tcPr>
            <w:tcW w:w="519" w:type="pct"/>
            <w:tcBorders>
              <w:top w:val="nil"/>
              <w:left w:val="nil"/>
              <w:bottom w:val="nil"/>
              <w:right w:val="single" w:sz="4" w:space="0" w:color="3616F6"/>
            </w:tcBorders>
            <w:shd w:val="clear" w:color="auto" w:fill="auto"/>
            <w:noWrap/>
            <w:vAlign w:val="bottom"/>
            <w:hideMark/>
          </w:tcPr>
          <w:p w14:paraId="1D34313E"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1.854 </w:t>
            </w:r>
          </w:p>
        </w:tc>
        <w:tc>
          <w:tcPr>
            <w:tcW w:w="519" w:type="pct"/>
            <w:tcBorders>
              <w:top w:val="nil"/>
              <w:left w:val="nil"/>
              <w:bottom w:val="nil"/>
              <w:right w:val="nil"/>
            </w:tcBorders>
            <w:shd w:val="clear" w:color="auto" w:fill="auto"/>
            <w:noWrap/>
            <w:vAlign w:val="bottom"/>
            <w:hideMark/>
          </w:tcPr>
          <w:p w14:paraId="7651E4C6"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3.064 </w:t>
            </w:r>
          </w:p>
        </w:tc>
        <w:tc>
          <w:tcPr>
            <w:tcW w:w="104" w:type="pct"/>
            <w:tcBorders>
              <w:top w:val="nil"/>
              <w:left w:val="nil"/>
              <w:bottom w:val="nil"/>
              <w:right w:val="nil"/>
            </w:tcBorders>
            <w:shd w:val="clear" w:color="auto" w:fill="auto"/>
            <w:noWrap/>
            <w:vAlign w:val="bottom"/>
            <w:hideMark/>
          </w:tcPr>
          <w:p w14:paraId="3EC2642F"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p>
        </w:tc>
        <w:tc>
          <w:tcPr>
            <w:tcW w:w="465" w:type="pct"/>
            <w:tcBorders>
              <w:top w:val="nil"/>
              <w:left w:val="nil"/>
              <w:bottom w:val="nil"/>
              <w:right w:val="single" w:sz="4" w:space="0" w:color="3616F6"/>
            </w:tcBorders>
            <w:shd w:val="clear" w:color="auto" w:fill="auto"/>
            <w:noWrap/>
            <w:vAlign w:val="bottom"/>
            <w:hideMark/>
          </w:tcPr>
          <w:p w14:paraId="428A3A69"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14.496 </w:t>
            </w:r>
          </w:p>
        </w:tc>
        <w:tc>
          <w:tcPr>
            <w:tcW w:w="473" w:type="pct"/>
            <w:tcBorders>
              <w:top w:val="nil"/>
              <w:left w:val="nil"/>
              <w:bottom w:val="nil"/>
              <w:right w:val="nil"/>
            </w:tcBorders>
            <w:shd w:val="clear" w:color="auto" w:fill="auto"/>
            <w:noWrap/>
            <w:vAlign w:val="bottom"/>
            <w:hideMark/>
          </w:tcPr>
          <w:p w14:paraId="4BEFB818"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6.888 </w:t>
            </w:r>
          </w:p>
        </w:tc>
      </w:tr>
      <w:tr w:rsidR="00217E7F" w:rsidRPr="00217E7F" w14:paraId="7C4DB515" w14:textId="77777777" w:rsidTr="00446A14">
        <w:trPr>
          <w:trHeight w:val="238"/>
        </w:trPr>
        <w:tc>
          <w:tcPr>
            <w:tcW w:w="2400" w:type="pct"/>
            <w:tcBorders>
              <w:top w:val="single" w:sz="4" w:space="0" w:color="3616F6"/>
              <w:left w:val="nil"/>
              <w:bottom w:val="single" w:sz="4" w:space="0" w:color="3616F6"/>
              <w:right w:val="nil"/>
            </w:tcBorders>
            <w:shd w:val="clear" w:color="auto" w:fill="auto"/>
            <w:noWrap/>
            <w:vAlign w:val="bottom"/>
            <w:hideMark/>
          </w:tcPr>
          <w:p w14:paraId="422B6C3A" w14:textId="77777777" w:rsidR="00217E7F" w:rsidRPr="00217E7F" w:rsidRDefault="00217E7F" w:rsidP="00217E7F">
            <w:pPr>
              <w:spacing w:after="0" w:line="240" w:lineRule="auto"/>
              <w:rPr>
                <w:rFonts w:ascii="Arial" w:eastAsia="Times New Roman" w:hAnsi="Arial" w:cs="Arial"/>
                <w:b/>
                <w:bCs/>
                <w:kern w:val="0"/>
                <w:sz w:val="16"/>
                <w:szCs w:val="16"/>
                <w:lang w:eastAsia="pt-BR"/>
                <w14:ligatures w14:val="none"/>
              </w:rPr>
            </w:pPr>
            <w:r w:rsidRPr="00217E7F">
              <w:rPr>
                <w:rFonts w:ascii="Arial" w:eastAsia="Times New Roman" w:hAnsi="Arial" w:cs="Arial"/>
                <w:b/>
                <w:bCs/>
                <w:kern w:val="0"/>
                <w:sz w:val="16"/>
                <w:szCs w:val="16"/>
                <w:lang w:eastAsia="pt-BR"/>
                <w14:ligatures w14:val="none"/>
              </w:rPr>
              <w:t xml:space="preserve"> DEDUÇÕES DA RECEITA </w:t>
            </w:r>
            <w:proofErr w:type="gramStart"/>
            <w:r w:rsidRPr="00217E7F">
              <w:rPr>
                <w:rFonts w:ascii="Arial" w:eastAsia="Times New Roman" w:hAnsi="Arial" w:cs="Arial"/>
                <w:b/>
                <w:bCs/>
                <w:kern w:val="0"/>
                <w:sz w:val="16"/>
                <w:szCs w:val="16"/>
                <w:lang w:eastAsia="pt-BR"/>
                <w14:ligatures w14:val="none"/>
              </w:rPr>
              <w:t>OPERACIONAL  BRUTA</w:t>
            </w:r>
            <w:proofErr w:type="gramEnd"/>
            <w:r w:rsidRPr="00217E7F">
              <w:rPr>
                <w:rFonts w:ascii="Arial" w:eastAsia="Times New Roman" w:hAnsi="Arial" w:cs="Arial"/>
                <w:b/>
                <w:bCs/>
                <w:kern w:val="0"/>
                <w:sz w:val="16"/>
                <w:szCs w:val="16"/>
                <w:lang w:eastAsia="pt-BR"/>
                <w14:ligatures w14:val="none"/>
              </w:rPr>
              <w:t xml:space="preserve"> </w:t>
            </w:r>
          </w:p>
        </w:tc>
        <w:tc>
          <w:tcPr>
            <w:tcW w:w="519" w:type="pct"/>
            <w:tcBorders>
              <w:top w:val="nil"/>
              <w:left w:val="single" w:sz="4" w:space="0" w:color="3616F6"/>
              <w:bottom w:val="single" w:sz="4" w:space="0" w:color="3616F6"/>
              <w:right w:val="single" w:sz="4" w:space="0" w:color="3616F6"/>
            </w:tcBorders>
            <w:shd w:val="clear" w:color="000000" w:fill="75F6F9"/>
            <w:vAlign w:val="center"/>
            <w:hideMark/>
          </w:tcPr>
          <w:p w14:paraId="16E3BF1F" w14:textId="77777777" w:rsidR="00217E7F" w:rsidRPr="00217E7F" w:rsidRDefault="00217E7F" w:rsidP="00217E7F">
            <w:pPr>
              <w:spacing w:after="0" w:line="240" w:lineRule="auto"/>
              <w:jc w:val="right"/>
              <w:rPr>
                <w:rFonts w:ascii="Arial" w:eastAsia="Times New Roman" w:hAnsi="Arial" w:cs="Arial"/>
                <w:b/>
                <w:bCs/>
                <w:color w:val="000000"/>
                <w:kern w:val="0"/>
                <w:sz w:val="16"/>
                <w:szCs w:val="16"/>
                <w:lang w:eastAsia="pt-BR"/>
                <w14:ligatures w14:val="none"/>
              </w:rPr>
            </w:pPr>
            <w:r w:rsidRPr="00217E7F">
              <w:rPr>
                <w:rFonts w:ascii="Arial" w:eastAsia="Times New Roman" w:hAnsi="Arial" w:cs="Arial"/>
                <w:b/>
                <w:bCs/>
                <w:color w:val="000000"/>
                <w:kern w:val="0"/>
                <w:sz w:val="16"/>
                <w:szCs w:val="16"/>
                <w:lang w:eastAsia="pt-BR"/>
                <w14:ligatures w14:val="none"/>
              </w:rPr>
              <w:t xml:space="preserve">      (12.016)</w:t>
            </w:r>
          </w:p>
        </w:tc>
        <w:tc>
          <w:tcPr>
            <w:tcW w:w="519" w:type="pct"/>
            <w:tcBorders>
              <w:top w:val="single" w:sz="4" w:space="0" w:color="3616F6"/>
              <w:left w:val="nil"/>
              <w:bottom w:val="single" w:sz="4" w:space="0" w:color="3616F6"/>
              <w:right w:val="single" w:sz="4" w:space="0" w:color="3616F6"/>
            </w:tcBorders>
            <w:shd w:val="clear" w:color="auto" w:fill="auto"/>
            <w:noWrap/>
            <w:vAlign w:val="bottom"/>
            <w:hideMark/>
          </w:tcPr>
          <w:p w14:paraId="3A27B7C4" w14:textId="77777777" w:rsidR="00217E7F" w:rsidRPr="00217E7F" w:rsidRDefault="00217E7F" w:rsidP="00217E7F">
            <w:pPr>
              <w:spacing w:after="0" w:line="240" w:lineRule="auto"/>
              <w:jc w:val="right"/>
              <w:rPr>
                <w:rFonts w:ascii="Arial" w:eastAsia="Times New Roman" w:hAnsi="Arial" w:cs="Arial"/>
                <w:b/>
                <w:bCs/>
                <w:kern w:val="0"/>
                <w:sz w:val="16"/>
                <w:szCs w:val="16"/>
                <w:lang w:eastAsia="pt-BR"/>
                <w14:ligatures w14:val="none"/>
              </w:rPr>
            </w:pPr>
            <w:r w:rsidRPr="00217E7F">
              <w:rPr>
                <w:rFonts w:ascii="Arial" w:eastAsia="Times New Roman" w:hAnsi="Arial" w:cs="Arial"/>
                <w:b/>
                <w:bCs/>
                <w:kern w:val="0"/>
                <w:sz w:val="16"/>
                <w:szCs w:val="16"/>
                <w:lang w:eastAsia="pt-BR"/>
                <w14:ligatures w14:val="none"/>
              </w:rPr>
              <w:t xml:space="preserve">      (10.858)</w:t>
            </w:r>
          </w:p>
        </w:tc>
        <w:tc>
          <w:tcPr>
            <w:tcW w:w="519" w:type="pct"/>
            <w:tcBorders>
              <w:top w:val="single" w:sz="4" w:space="0" w:color="3616F6"/>
              <w:left w:val="nil"/>
              <w:bottom w:val="single" w:sz="4" w:space="0" w:color="3616F6"/>
              <w:right w:val="nil"/>
            </w:tcBorders>
            <w:shd w:val="clear" w:color="auto" w:fill="auto"/>
            <w:noWrap/>
            <w:vAlign w:val="bottom"/>
            <w:hideMark/>
          </w:tcPr>
          <w:p w14:paraId="20C1BA30" w14:textId="77777777" w:rsidR="00217E7F" w:rsidRPr="00217E7F" w:rsidRDefault="00217E7F" w:rsidP="00217E7F">
            <w:pPr>
              <w:spacing w:after="0" w:line="240" w:lineRule="auto"/>
              <w:jc w:val="right"/>
              <w:rPr>
                <w:rFonts w:ascii="Arial" w:eastAsia="Times New Roman" w:hAnsi="Arial" w:cs="Arial"/>
                <w:b/>
                <w:bCs/>
                <w:kern w:val="0"/>
                <w:sz w:val="16"/>
                <w:szCs w:val="16"/>
                <w:lang w:eastAsia="pt-BR"/>
                <w14:ligatures w14:val="none"/>
              </w:rPr>
            </w:pPr>
            <w:r w:rsidRPr="00217E7F">
              <w:rPr>
                <w:rFonts w:ascii="Arial" w:eastAsia="Times New Roman" w:hAnsi="Arial" w:cs="Arial"/>
                <w:b/>
                <w:bCs/>
                <w:kern w:val="0"/>
                <w:sz w:val="16"/>
                <w:szCs w:val="16"/>
                <w:lang w:eastAsia="pt-BR"/>
                <w14:ligatures w14:val="none"/>
              </w:rPr>
              <w:t xml:space="preserve">      (12.821)</w:t>
            </w:r>
          </w:p>
        </w:tc>
        <w:tc>
          <w:tcPr>
            <w:tcW w:w="104" w:type="pct"/>
            <w:tcBorders>
              <w:top w:val="nil"/>
              <w:left w:val="nil"/>
              <w:bottom w:val="nil"/>
              <w:right w:val="nil"/>
            </w:tcBorders>
            <w:shd w:val="clear" w:color="auto" w:fill="auto"/>
            <w:noWrap/>
            <w:vAlign w:val="bottom"/>
            <w:hideMark/>
          </w:tcPr>
          <w:p w14:paraId="43109110" w14:textId="77777777" w:rsidR="00217E7F" w:rsidRPr="00217E7F" w:rsidRDefault="00217E7F" w:rsidP="00217E7F">
            <w:pPr>
              <w:spacing w:after="0" w:line="240" w:lineRule="auto"/>
              <w:jc w:val="right"/>
              <w:rPr>
                <w:rFonts w:ascii="Arial" w:eastAsia="Times New Roman" w:hAnsi="Arial" w:cs="Arial"/>
                <w:b/>
                <w:bCs/>
                <w:kern w:val="0"/>
                <w:sz w:val="16"/>
                <w:szCs w:val="16"/>
                <w:lang w:eastAsia="pt-BR"/>
                <w14:ligatures w14:val="none"/>
              </w:rPr>
            </w:pPr>
          </w:p>
        </w:tc>
        <w:tc>
          <w:tcPr>
            <w:tcW w:w="465" w:type="pct"/>
            <w:tcBorders>
              <w:top w:val="single" w:sz="4" w:space="0" w:color="3616F6"/>
              <w:left w:val="nil"/>
              <w:bottom w:val="single" w:sz="4" w:space="0" w:color="3616F6"/>
              <w:right w:val="single" w:sz="4" w:space="0" w:color="3616F6"/>
            </w:tcBorders>
            <w:shd w:val="clear" w:color="auto" w:fill="auto"/>
            <w:noWrap/>
            <w:vAlign w:val="bottom"/>
            <w:hideMark/>
          </w:tcPr>
          <w:p w14:paraId="6D99F38B" w14:textId="77777777" w:rsidR="00217E7F" w:rsidRPr="00217E7F" w:rsidRDefault="00217E7F" w:rsidP="00217E7F">
            <w:pPr>
              <w:spacing w:after="0" w:line="240" w:lineRule="auto"/>
              <w:jc w:val="right"/>
              <w:rPr>
                <w:rFonts w:ascii="Arial" w:eastAsia="Times New Roman" w:hAnsi="Arial" w:cs="Arial"/>
                <w:b/>
                <w:bCs/>
                <w:kern w:val="0"/>
                <w:sz w:val="16"/>
                <w:szCs w:val="16"/>
                <w:lang w:eastAsia="pt-BR"/>
                <w14:ligatures w14:val="none"/>
              </w:rPr>
            </w:pPr>
            <w:r w:rsidRPr="00217E7F">
              <w:rPr>
                <w:rFonts w:ascii="Arial" w:eastAsia="Times New Roman" w:hAnsi="Arial" w:cs="Arial"/>
                <w:b/>
                <w:bCs/>
                <w:kern w:val="0"/>
                <w:sz w:val="16"/>
                <w:szCs w:val="16"/>
                <w:lang w:eastAsia="pt-BR"/>
                <w14:ligatures w14:val="none"/>
              </w:rPr>
              <w:t xml:space="preserve">    (53.212)</w:t>
            </w:r>
          </w:p>
        </w:tc>
        <w:tc>
          <w:tcPr>
            <w:tcW w:w="473" w:type="pct"/>
            <w:tcBorders>
              <w:top w:val="single" w:sz="4" w:space="0" w:color="3616F6"/>
              <w:left w:val="nil"/>
              <w:bottom w:val="single" w:sz="4" w:space="0" w:color="3616F6"/>
              <w:right w:val="nil"/>
            </w:tcBorders>
            <w:shd w:val="clear" w:color="auto" w:fill="auto"/>
            <w:noWrap/>
            <w:vAlign w:val="bottom"/>
            <w:hideMark/>
          </w:tcPr>
          <w:p w14:paraId="46210871" w14:textId="77777777" w:rsidR="00217E7F" w:rsidRPr="00217E7F" w:rsidRDefault="00217E7F" w:rsidP="00217E7F">
            <w:pPr>
              <w:spacing w:after="0" w:line="240" w:lineRule="auto"/>
              <w:jc w:val="right"/>
              <w:rPr>
                <w:rFonts w:ascii="Arial" w:eastAsia="Times New Roman" w:hAnsi="Arial" w:cs="Arial"/>
                <w:b/>
                <w:bCs/>
                <w:kern w:val="0"/>
                <w:sz w:val="16"/>
                <w:szCs w:val="16"/>
                <w:lang w:eastAsia="pt-BR"/>
                <w14:ligatures w14:val="none"/>
              </w:rPr>
            </w:pPr>
            <w:r w:rsidRPr="00217E7F">
              <w:rPr>
                <w:rFonts w:ascii="Arial" w:eastAsia="Times New Roman" w:hAnsi="Arial" w:cs="Arial"/>
                <w:b/>
                <w:bCs/>
                <w:kern w:val="0"/>
                <w:sz w:val="16"/>
                <w:szCs w:val="16"/>
                <w:lang w:eastAsia="pt-BR"/>
                <w14:ligatures w14:val="none"/>
              </w:rPr>
              <w:t xml:space="preserve">    (55.662)</w:t>
            </w:r>
          </w:p>
        </w:tc>
      </w:tr>
      <w:tr w:rsidR="00217E7F" w:rsidRPr="00217E7F" w14:paraId="0DEA08C0" w14:textId="77777777" w:rsidTr="00446A14">
        <w:trPr>
          <w:trHeight w:val="238"/>
        </w:trPr>
        <w:tc>
          <w:tcPr>
            <w:tcW w:w="2400" w:type="pct"/>
            <w:tcBorders>
              <w:top w:val="nil"/>
              <w:left w:val="nil"/>
              <w:bottom w:val="nil"/>
              <w:right w:val="nil"/>
            </w:tcBorders>
            <w:shd w:val="clear" w:color="auto" w:fill="auto"/>
            <w:noWrap/>
            <w:vAlign w:val="bottom"/>
            <w:hideMark/>
          </w:tcPr>
          <w:p w14:paraId="4C28E542" w14:textId="77777777" w:rsidR="00217E7F" w:rsidRPr="00217E7F" w:rsidRDefault="00217E7F" w:rsidP="00217E7F">
            <w:pPr>
              <w:spacing w:after="0" w:line="240" w:lineRule="auto"/>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Tributos s/ Receita Operacional Bruta</w:t>
            </w:r>
          </w:p>
        </w:tc>
        <w:tc>
          <w:tcPr>
            <w:tcW w:w="519" w:type="pct"/>
            <w:tcBorders>
              <w:top w:val="nil"/>
              <w:left w:val="single" w:sz="4" w:space="0" w:color="3616F6"/>
              <w:bottom w:val="nil"/>
              <w:right w:val="single" w:sz="4" w:space="0" w:color="3616F6"/>
            </w:tcBorders>
            <w:shd w:val="clear" w:color="000000" w:fill="75F6F9"/>
            <w:vAlign w:val="center"/>
            <w:hideMark/>
          </w:tcPr>
          <w:p w14:paraId="57EFEDEA"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 xml:space="preserve">      (11.754)</w:t>
            </w:r>
          </w:p>
        </w:tc>
        <w:tc>
          <w:tcPr>
            <w:tcW w:w="519" w:type="pct"/>
            <w:tcBorders>
              <w:top w:val="nil"/>
              <w:left w:val="nil"/>
              <w:bottom w:val="nil"/>
              <w:right w:val="single" w:sz="4" w:space="0" w:color="3616F6"/>
            </w:tcBorders>
            <w:shd w:val="clear" w:color="auto" w:fill="auto"/>
            <w:noWrap/>
            <w:vAlign w:val="bottom"/>
            <w:hideMark/>
          </w:tcPr>
          <w:p w14:paraId="2A871B27"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(10.858)</w:t>
            </w:r>
          </w:p>
        </w:tc>
        <w:tc>
          <w:tcPr>
            <w:tcW w:w="519" w:type="pct"/>
            <w:tcBorders>
              <w:top w:val="nil"/>
              <w:left w:val="nil"/>
              <w:bottom w:val="nil"/>
              <w:right w:val="nil"/>
            </w:tcBorders>
            <w:shd w:val="clear" w:color="auto" w:fill="auto"/>
            <w:noWrap/>
            <w:vAlign w:val="bottom"/>
            <w:hideMark/>
          </w:tcPr>
          <w:p w14:paraId="1C296549"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(12.821)</w:t>
            </w:r>
          </w:p>
        </w:tc>
        <w:tc>
          <w:tcPr>
            <w:tcW w:w="104" w:type="pct"/>
            <w:tcBorders>
              <w:top w:val="nil"/>
              <w:left w:val="nil"/>
              <w:bottom w:val="nil"/>
              <w:right w:val="nil"/>
            </w:tcBorders>
            <w:shd w:val="clear" w:color="auto" w:fill="auto"/>
            <w:noWrap/>
            <w:vAlign w:val="bottom"/>
            <w:hideMark/>
          </w:tcPr>
          <w:p w14:paraId="7B1F6B3F"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p>
        </w:tc>
        <w:tc>
          <w:tcPr>
            <w:tcW w:w="465" w:type="pct"/>
            <w:tcBorders>
              <w:top w:val="nil"/>
              <w:left w:val="nil"/>
              <w:bottom w:val="nil"/>
              <w:right w:val="single" w:sz="4" w:space="0" w:color="3616F6"/>
            </w:tcBorders>
            <w:shd w:val="clear" w:color="auto" w:fill="auto"/>
            <w:noWrap/>
            <w:vAlign w:val="bottom"/>
            <w:hideMark/>
          </w:tcPr>
          <w:p w14:paraId="7F6245E5"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(51.456)</w:t>
            </w:r>
          </w:p>
        </w:tc>
        <w:tc>
          <w:tcPr>
            <w:tcW w:w="473" w:type="pct"/>
            <w:tcBorders>
              <w:top w:val="nil"/>
              <w:left w:val="nil"/>
              <w:bottom w:val="nil"/>
              <w:right w:val="nil"/>
            </w:tcBorders>
            <w:shd w:val="clear" w:color="auto" w:fill="auto"/>
            <w:noWrap/>
            <w:vAlign w:val="bottom"/>
            <w:hideMark/>
          </w:tcPr>
          <w:p w14:paraId="782065B0"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(55.280)</w:t>
            </w:r>
          </w:p>
        </w:tc>
      </w:tr>
      <w:tr w:rsidR="00217E7F" w:rsidRPr="00217E7F" w14:paraId="20A50FA2" w14:textId="77777777" w:rsidTr="00446A14">
        <w:trPr>
          <w:trHeight w:val="238"/>
        </w:trPr>
        <w:tc>
          <w:tcPr>
            <w:tcW w:w="2400" w:type="pct"/>
            <w:tcBorders>
              <w:top w:val="nil"/>
              <w:left w:val="nil"/>
              <w:bottom w:val="nil"/>
              <w:right w:val="nil"/>
            </w:tcBorders>
            <w:shd w:val="clear" w:color="auto" w:fill="auto"/>
            <w:noWrap/>
            <w:vAlign w:val="bottom"/>
            <w:hideMark/>
          </w:tcPr>
          <w:p w14:paraId="665E724F" w14:textId="77777777" w:rsidR="00217E7F" w:rsidRPr="00217E7F" w:rsidRDefault="00217E7F" w:rsidP="00217E7F">
            <w:pPr>
              <w:spacing w:after="0" w:line="240" w:lineRule="auto"/>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Descontos Incondicionais</w:t>
            </w:r>
          </w:p>
        </w:tc>
        <w:tc>
          <w:tcPr>
            <w:tcW w:w="519" w:type="pct"/>
            <w:tcBorders>
              <w:top w:val="nil"/>
              <w:left w:val="single" w:sz="4" w:space="0" w:color="3616F6"/>
              <w:bottom w:val="single" w:sz="4" w:space="0" w:color="3616F6"/>
              <w:right w:val="single" w:sz="4" w:space="0" w:color="3616F6"/>
            </w:tcBorders>
            <w:shd w:val="clear" w:color="000000" w:fill="75F6F9"/>
            <w:vAlign w:val="center"/>
            <w:hideMark/>
          </w:tcPr>
          <w:p w14:paraId="50542241"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 xml:space="preserve">           (262)</w:t>
            </w:r>
          </w:p>
        </w:tc>
        <w:tc>
          <w:tcPr>
            <w:tcW w:w="519" w:type="pct"/>
            <w:tcBorders>
              <w:top w:val="nil"/>
              <w:left w:val="nil"/>
              <w:bottom w:val="nil"/>
              <w:right w:val="single" w:sz="4" w:space="0" w:color="3616F6"/>
            </w:tcBorders>
            <w:shd w:val="clear" w:color="auto" w:fill="auto"/>
            <w:noWrap/>
            <w:vAlign w:val="bottom"/>
            <w:hideMark/>
          </w:tcPr>
          <w:p w14:paraId="46B3047C"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   </w:t>
            </w:r>
          </w:p>
        </w:tc>
        <w:tc>
          <w:tcPr>
            <w:tcW w:w="519" w:type="pct"/>
            <w:tcBorders>
              <w:top w:val="nil"/>
              <w:left w:val="nil"/>
              <w:bottom w:val="nil"/>
              <w:right w:val="nil"/>
            </w:tcBorders>
            <w:shd w:val="clear" w:color="auto" w:fill="auto"/>
            <w:noWrap/>
            <w:vAlign w:val="bottom"/>
            <w:hideMark/>
          </w:tcPr>
          <w:p w14:paraId="5CBFDFF6"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   </w:t>
            </w:r>
          </w:p>
        </w:tc>
        <w:tc>
          <w:tcPr>
            <w:tcW w:w="104" w:type="pct"/>
            <w:tcBorders>
              <w:top w:val="nil"/>
              <w:left w:val="nil"/>
              <w:bottom w:val="nil"/>
              <w:right w:val="nil"/>
            </w:tcBorders>
            <w:shd w:val="clear" w:color="auto" w:fill="auto"/>
            <w:noWrap/>
            <w:vAlign w:val="bottom"/>
            <w:hideMark/>
          </w:tcPr>
          <w:p w14:paraId="47FFD52E"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p>
        </w:tc>
        <w:tc>
          <w:tcPr>
            <w:tcW w:w="465" w:type="pct"/>
            <w:tcBorders>
              <w:top w:val="nil"/>
              <w:left w:val="nil"/>
              <w:bottom w:val="nil"/>
              <w:right w:val="single" w:sz="4" w:space="0" w:color="3616F6"/>
            </w:tcBorders>
            <w:shd w:val="clear" w:color="auto" w:fill="auto"/>
            <w:noWrap/>
            <w:vAlign w:val="bottom"/>
            <w:hideMark/>
          </w:tcPr>
          <w:p w14:paraId="3CA2265E"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(1.756)</w:t>
            </w:r>
          </w:p>
        </w:tc>
        <w:tc>
          <w:tcPr>
            <w:tcW w:w="473" w:type="pct"/>
            <w:tcBorders>
              <w:top w:val="nil"/>
              <w:left w:val="nil"/>
              <w:bottom w:val="nil"/>
              <w:right w:val="nil"/>
            </w:tcBorders>
            <w:shd w:val="clear" w:color="auto" w:fill="auto"/>
            <w:noWrap/>
            <w:vAlign w:val="bottom"/>
            <w:hideMark/>
          </w:tcPr>
          <w:p w14:paraId="33A6CA20"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(382)</w:t>
            </w:r>
          </w:p>
        </w:tc>
      </w:tr>
      <w:tr w:rsidR="00217E7F" w:rsidRPr="00217E7F" w14:paraId="25DA3C0B" w14:textId="77777777" w:rsidTr="00446A14">
        <w:trPr>
          <w:trHeight w:val="238"/>
        </w:trPr>
        <w:tc>
          <w:tcPr>
            <w:tcW w:w="2400" w:type="pct"/>
            <w:tcBorders>
              <w:top w:val="single" w:sz="4" w:space="0" w:color="3616F6"/>
              <w:left w:val="nil"/>
              <w:bottom w:val="single" w:sz="4" w:space="0" w:color="3616F6"/>
              <w:right w:val="nil"/>
            </w:tcBorders>
            <w:shd w:val="clear" w:color="auto" w:fill="auto"/>
            <w:noWrap/>
            <w:vAlign w:val="bottom"/>
            <w:hideMark/>
          </w:tcPr>
          <w:p w14:paraId="775583CE" w14:textId="77777777" w:rsidR="00217E7F" w:rsidRPr="00217E7F" w:rsidRDefault="00217E7F" w:rsidP="00217E7F">
            <w:pPr>
              <w:spacing w:after="0" w:line="240" w:lineRule="auto"/>
              <w:rPr>
                <w:rFonts w:ascii="Arial" w:eastAsia="Times New Roman" w:hAnsi="Arial" w:cs="Arial"/>
                <w:b/>
                <w:bCs/>
                <w:kern w:val="0"/>
                <w:sz w:val="16"/>
                <w:szCs w:val="16"/>
                <w:lang w:eastAsia="pt-BR"/>
                <w14:ligatures w14:val="none"/>
              </w:rPr>
            </w:pPr>
            <w:r w:rsidRPr="00217E7F">
              <w:rPr>
                <w:rFonts w:ascii="Arial" w:eastAsia="Times New Roman" w:hAnsi="Arial" w:cs="Arial"/>
                <w:b/>
                <w:bCs/>
                <w:kern w:val="0"/>
                <w:sz w:val="16"/>
                <w:szCs w:val="16"/>
                <w:lang w:eastAsia="pt-BR"/>
                <w14:ligatures w14:val="none"/>
              </w:rPr>
              <w:t xml:space="preserve"> RECEITA OPERACIONAL LÍQUIDA</w:t>
            </w:r>
          </w:p>
        </w:tc>
        <w:tc>
          <w:tcPr>
            <w:tcW w:w="519" w:type="pct"/>
            <w:tcBorders>
              <w:top w:val="nil"/>
              <w:left w:val="single" w:sz="4" w:space="0" w:color="3616F6"/>
              <w:bottom w:val="single" w:sz="4" w:space="0" w:color="3616F6"/>
              <w:right w:val="single" w:sz="4" w:space="0" w:color="3616F6"/>
            </w:tcBorders>
            <w:shd w:val="clear" w:color="000000" w:fill="75F6F9"/>
            <w:vAlign w:val="center"/>
            <w:hideMark/>
          </w:tcPr>
          <w:p w14:paraId="26AE5A64" w14:textId="77777777" w:rsidR="00217E7F" w:rsidRPr="00217E7F" w:rsidRDefault="00217E7F" w:rsidP="00217E7F">
            <w:pPr>
              <w:spacing w:after="0" w:line="240" w:lineRule="auto"/>
              <w:jc w:val="right"/>
              <w:rPr>
                <w:rFonts w:ascii="Arial" w:eastAsia="Times New Roman" w:hAnsi="Arial" w:cs="Arial"/>
                <w:b/>
                <w:bCs/>
                <w:color w:val="000000"/>
                <w:kern w:val="0"/>
                <w:sz w:val="16"/>
                <w:szCs w:val="16"/>
                <w:lang w:eastAsia="pt-BR"/>
                <w14:ligatures w14:val="none"/>
              </w:rPr>
            </w:pPr>
            <w:r w:rsidRPr="00217E7F">
              <w:rPr>
                <w:rFonts w:ascii="Arial" w:eastAsia="Times New Roman" w:hAnsi="Arial" w:cs="Arial"/>
                <w:b/>
                <w:bCs/>
                <w:color w:val="000000"/>
                <w:kern w:val="0"/>
                <w:sz w:val="16"/>
                <w:szCs w:val="16"/>
                <w:lang w:eastAsia="pt-BR"/>
                <w14:ligatures w14:val="none"/>
              </w:rPr>
              <w:t xml:space="preserve">     109.812 </w:t>
            </w:r>
          </w:p>
        </w:tc>
        <w:tc>
          <w:tcPr>
            <w:tcW w:w="519" w:type="pct"/>
            <w:tcBorders>
              <w:top w:val="single" w:sz="4" w:space="0" w:color="3616F6"/>
              <w:left w:val="nil"/>
              <w:bottom w:val="single" w:sz="4" w:space="0" w:color="3616F6"/>
              <w:right w:val="single" w:sz="4" w:space="0" w:color="3616F6"/>
            </w:tcBorders>
            <w:shd w:val="clear" w:color="auto" w:fill="auto"/>
            <w:noWrap/>
            <w:vAlign w:val="bottom"/>
            <w:hideMark/>
          </w:tcPr>
          <w:p w14:paraId="09CE7F2E" w14:textId="77777777" w:rsidR="00217E7F" w:rsidRPr="00217E7F" w:rsidRDefault="00217E7F" w:rsidP="00217E7F">
            <w:pPr>
              <w:spacing w:after="0" w:line="240" w:lineRule="auto"/>
              <w:jc w:val="right"/>
              <w:rPr>
                <w:rFonts w:ascii="Arial" w:eastAsia="Times New Roman" w:hAnsi="Arial" w:cs="Arial"/>
                <w:b/>
                <w:bCs/>
                <w:kern w:val="0"/>
                <w:sz w:val="16"/>
                <w:szCs w:val="16"/>
                <w:lang w:eastAsia="pt-BR"/>
                <w14:ligatures w14:val="none"/>
              </w:rPr>
            </w:pPr>
            <w:r w:rsidRPr="00217E7F">
              <w:rPr>
                <w:rFonts w:ascii="Arial" w:eastAsia="Times New Roman" w:hAnsi="Arial" w:cs="Arial"/>
                <w:b/>
                <w:bCs/>
                <w:kern w:val="0"/>
                <w:sz w:val="16"/>
                <w:szCs w:val="16"/>
                <w:lang w:eastAsia="pt-BR"/>
                <w14:ligatures w14:val="none"/>
              </w:rPr>
              <w:t xml:space="preserve">       90.368 </w:t>
            </w:r>
          </w:p>
        </w:tc>
        <w:tc>
          <w:tcPr>
            <w:tcW w:w="519" w:type="pct"/>
            <w:tcBorders>
              <w:top w:val="single" w:sz="4" w:space="0" w:color="3616F6"/>
              <w:left w:val="nil"/>
              <w:bottom w:val="single" w:sz="4" w:space="0" w:color="3616F6"/>
              <w:right w:val="nil"/>
            </w:tcBorders>
            <w:shd w:val="clear" w:color="auto" w:fill="auto"/>
            <w:noWrap/>
            <w:vAlign w:val="bottom"/>
            <w:hideMark/>
          </w:tcPr>
          <w:p w14:paraId="51F1BAD0" w14:textId="77777777" w:rsidR="00217E7F" w:rsidRPr="00217E7F" w:rsidRDefault="00217E7F" w:rsidP="00217E7F">
            <w:pPr>
              <w:spacing w:after="0" w:line="240" w:lineRule="auto"/>
              <w:jc w:val="right"/>
              <w:rPr>
                <w:rFonts w:ascii="Arial" w:eastAsia="Times New Roman" w:hAnsi="Arial" w:cs="Arial"/>
                <w:b/>
                <w:bCs/>
                <w:kern w:val="0"/>
                <w:sz w:val="16"/>
                <w:szCs w:val="16"/>
                <w:lang w:eastAsia="pt-BR"/>
                <w14:ligatures w14:val="none"/>
              </w:rPr>
            </w:pPr>
            <w:r w:rsidRPr="00217E7F">
              <w:rPr>
                <w:rFonts w:ascii="Arial" w:eastAsia="Times New Roman" w:hAnsi="Arial" w:cs="Arial"/>
                <w:b/>
                <w:bCs/>
                <w:kern w:val="0"/>
                <w:sz w:val="16"/>
                <w:szCs w:val="16"/>
                <w:lang w:eastAsia="pt-BR"/>
                <w14:ligatures w14:val="none"/>
              </w:rPr>
              <w:t xml:space="preserve">     108.751 </w:t>
            </w:r>
          </w:p>
        </w:tc>
        <w:tc>
          <w:tcPr>
            <w:tcW w:w="104" w:type="pct"/>
            <w:tcBorders>
              <w:top w:val="nil"/>
              <w:left w:val="nil"/>
              <w:bottom w:val="nil"/>
              <w:right w:val="nil"/>
            </w:tcBorders>
            <w:shd w:val="clear" w:color="auto" w:fill="auto"/>
            <w:noWrap/>
            <w:vAlign w:val="bottom"/>
            <w:hideMark/>
          </w:tcPr>
          <w:p w14:paraId="419892C2" w14:textId="77777777" w:rsidR="00217E7F" w:rsidRPr="00217E7F" w:rsidRDefault="00217E7F" w:rsidP="00217E7F">
            <w:pPr>
              <w:spacing w:after="0" w:line="240" w:lineRule="auto"/>
              <w:jc w:val="right"/>
              <w:rPr>
                <w:rFonts w:ascii="Arial" w:eastAsia="Times New Roman" w:hAnsi="Arial" w:cs="Arial"/>
                <w:b/>
                <w:bCs/>
                <w:kern w:val="0"/>
                <w:sz w:val="16"/>
                <w:szCs w:val="16"/>
                <w:lang w:eastAsia="pt-BR"/>
                <w14:ligatures w14:val="none"/>
              </w:rPr>
            </w:pPr>
          </w:p>
        </w:tc>
        <w:tc>
          <w:tcPr>
            <w:tcW w:w="465" w:type="pct"/>
            <w:tcBorders>
              <w:top w:val="single" w:sz="4" w:space="0" w:color="3616F6"/>
              <w:left w:val="nil"/>
              <w:bottom w:val="single" w:sz="4" w:space="0" w:color="3616F6"/>
              <w:right w:val="single" w:sz="4" w:space="0" w:color="3616F6"/>
            </w:tcBorders>
            <w:shd w:val="clear" w:color="auto" w:fill="auto"/>
            <w:noWrap/>
            <w:vAlign w:val="bottom"/>
            <w:hideMark/>
          </w:tcPr>
          <w:p w14:paraId="1542E41C" w14:textId="77777777" w:rsidR="00217E7F" w:rsidRPr="00217E7F" w:rsidRDefault="00217E7F" w:rsidP="00217E7F">
            <w:pPr>
              <w:spacing w:after="0" w:line="240" w:lineRule="auto"/>
              <w:jc w:val="right"/>
              <w:rPr>
                <w:rFonts w:ascii="Arial" w:eastAsia="Times New Roman" w:hAnsi="Arial" w:cs="Arial"/>
                <w:b/>
                <w:bCs/>
                <w:kern w:val="0"/>
                <w:sz w:val="16"/>
                <w:szCs w:val="16"/>
                <w:lang w:eastAsia="pt-BR"/>
                <w14:ligatures w14:val="none"/>
              </w:rPr>
            </w:pPr>
            <w:r w:rsidRPr="00217E7F">
              <w:rPr>
                <w:rFonts w:ascii="Arial" w:eastAsia="Times New Roman" w:hAnsi="Arial" w:cs="Arial"/>
                <w:b/>
                <w:bCs/>
                <w:kern w:val="0"/>
                <w:sz w:val="16"/>
                <w:szCs w:val="16"/>
                <w:lang w:eastAsia="pt-BR"/>
                <w14:ligatures w14:val="none"/>
              </w:rPr>
              <w:t xml:space="preserve">   416.840 </w:t>
            </w:r>
          </w:p>
        </w:tc>
        <w:tc>
          <w:tcPr>
            <w:tcW w:w="473" w:type="pct"/>
            <w:tcBorders>
              <w:top w:val="single" w:sz="4" w:space="0" w:color="3616F6"/>
              <w:left w:val="nil"/>
              <w:bottom w:val="single" w:sz="4" w:space="0" w:color="3616F6"/>
              <w:right w:val="nil"/>
            </w:tcBorders>
            <w:shd w:val="clear" w:color="auto" w:fill="auto"/>
            <w:noWrap/>
            <w:vAlign w:val="bottom"/>
            <w:hideMark/>
          </w:tcPr>
          <w:p w14:paraId="4235D286" w14:textId="77777777" w:rsidR="00217E7F" w:rsidRPr="00217E7F" w:rsidRDefault="00217E7F" w:rsidP="00217E7F">
            <w:pPr>
              <w:spacing w:after="0" w:line="240" w:lineRule="auto"/>
              <w:jc w:val="right"/>
              <w:rPr>
                <w:rFonts w:ascii="Arial" w:eastAsia="Times New Roman" w:hAnsi="Arial" w:cs="Arial"/>
                <w:b/>
                <w:bCs/>
                <w:kern w:val="0"/>
                <w:sz w:val="16"/>
                <w:szCs w:val="16"/>
                <w:lang w:eastAsia="pt-BR"/>
                <w14:ligatures w14:val="none"/>
              </w:rPr>
            </w:pPr>
            <w:r w:rsidRPr="00217E7F">
              <w:rPr>
                <w:rFonts w:ascii="Arial" w:eastAsia="Times New Roman" w:hAnsi="Arial" w:cs="Arial"/>
                <w:b/>
                <w:bCs/>
                <w:kern w:val="0"/>
                <w:sz w:val="16"/>
                <w:szCs w:val="16"/>
                <w:lang w:eastAsia="pt-BR"/>
                <w14:ligatures w14:val="none"/>
              </w:rPr>
              <w:t xml:space="preserve">   347.840 </w:t>
            </w:r>
          </w:p>
        </w:tc>
      </w:tr>
      <w:tr w:rsidR="00217E7F" w:rsidRPr="00217E7F" w14:paraId="1CDC58FA" w14:textId="77777777" w:rsidTr="00446A14">
        <w:trPr>
          <w:trHeight w:val="238"/>
        </w:trPr>
        <w:tc>
          <w:tcPr>
            <w:tcW w:w="2400" w:type="pct"/>
            <w:tcBorders>
              <w:top w:val="nil"/>
              <w:left w:val="nil"/>
              <w:bottom w:val="single" w:sz="4" w:space="0" w:color="3616F6"/>
              <w:right w:val="nil"/>
            </w:tcBorders>
            <w:shd w:val="clear" w:color="auto" w:fill="auto"/>
            <w:noWrap/>
            <w:vAlign w:val="bottom"/>
            <w:hideMark/>
          </w:tcPr>
          <w:p w14:paraId="403E31E9" w14:textId="77777777" w:rsidR="00217E7F" w:rsidRPr="00217E7F" w:rsidRDefault="00217E7F" w:rsidP="00217E7F">
            <w:pPr>
              <w:spacing w:after="0" w:line="240" w:lineRule="auto"/>
              <w:rPr>
                <w:rFonts w:ascii="Arial" w:eastAsia="Times New Roman" w:hAnsi="Arial" w:cs="Arial"/>
                <w:b/>
                <w:bCs/>
                <w:kern w:val="0"/>
                <w:sz w:val="16"/>
                <w:szCs w:val="16"/>
                <w:lang w:eastAsia="pt-BR"/>
                <w14:ligatures w14:val="none"/>
              </w:rPr>
            </w:pPr>
            <w:r w:rsidRPr="00217E7F">
              <w:rPr>
                <w:rFonts w:ascii="Arial" w:eastAsia="Times New Roman" w:hAnsi="Arial" w:cs="Arial"/>
                <w:b/>
                <w:bCs/>
                <w:kern w:val="0"/>
                <w:sz w:val="16"/>
                <w:szCs w:val="16"/>
                <w:lang w:eastAsia="pt-BR"/>
                <w14:ligatures w14:val="none"/>
              </w:rPr>
              <w:lastRenderedPageBreak/>
              <w:t xml:space="preserve"> RECEITAS/(CUSTOS/DESPESAS) OPERACIONAIS</w:t>
            </w:r>
          </w:p>
        </w:tc>
        <w:tc>
          <w:tcPr>
            <w:tcW w:w="519" w:type="pct"/>
            <w:tcBorders>
              <w:top w:val="nil"/>
              <w:left w:val="single" w:sz="4" w:space="0" w:color="3616F6"/>
              <w:bottom w:val="single" w:sz="4" w:space="0" w:color="3616F6"/>
              <w:right w:val="single" w:sz="4" w:space="0" w:color="3616F6"/>
            </w:tcBorders>
            <w:shd w:val="clear" w:color="000000" w:fill="75F6F9"/>
            <w:vAlign w:val="center"/>
            <w:hideMark/>
          </w:tcPr>
          <w:p w14:paraId="2D0D8F2A" w14:textId="77777777" w:rsidR="00217E7F" w:rsidRPr="00217E7F" w:rsidRDefault="00217E7F" w:rsidP="00217E7F">
            <w:pPr>
              <w:spacing w:after="0" w:line="240" w:lineRule="auto"/>
              <w:jc w:val="right"/>
              <w:rPr>
                <w:rFonts w:ascii="Arial" w:eastAsia="Times New Roman" w:hAnsi="Arial" w:cs="Arial"/>
                <w:b/>
                <w:bCs/>
                <w:color w:val="000000"/>
                <w:kern w:val="0"/>
                <w:sz w:val="16"/>
                <w:szCs w:val="16"/>
                <w:lang w:eastAsia="pt-BR"/>
                <w14:ligatures w14:val="none"/>
              </w:rPr>
            </w:pPr>
            <w:r w:rsidRPr="00217E7F">
              <w:rPr>
                <w:rFonts w:ascii="Arial" w:eastAsia="Times New Roman" w:hAnsi="Arial" w:cs="Arial"/>
                <w:b/>
                <w:bCs/>
                <w:color w:val="000000"/>
                <w:kern w:val="0"/>
                <w:sz w:val="16"/>
                <w:szCs w:val="16"/>
                <w:lang w:eastAsia="pt-BR"/>
                <w14:ligatures w14:val="none"/>
              </w:rPr>
              <w:t xml:space="preserve">      (67.417)</w:t>
            </w:r>
          </w:p>
        </w:tc>
        <w:tc>
          <w:tcPr>
            <w:tcW w:w="519" w:type="pct"/>
            <w:tcBorders>
              <w:top w:val="nil"/>
              <w:left w:val="nil"/>
              <w:bottom w:val="single" w:sz="4" w:space="0" w:color="3616F6"/>
              <w:right w:val="single" w:sz="4" w:space="0" w:color="3616F6"/>
            </w:tcBorders>
            <w:shd w:val="clear" w:color="auto" w:fill="auto"/>
            <w:noWrap/>
            <w:vAlign w:val="bottom"/>
            <w:hideMark/>
          </w:tcPr>
          <w:p w14:paraId="7C39F7B9" w14:textId="77777777" w:rsidR="00217E7F" w:rsidRPr="00217E7F" w:rsidRDefault="00217E7F" w:rsidP="00217E7F">
            <w:pPr>
              <w:spacing w:after="0" w:line="240" w:lineRule="auto"/>
              <w:jc w:val="right"/>
              <w:rPr>
                <w:rFonts w:ascii="Arial" w:eastAsia="Times New Roman" w:hAnsi="Arial" w:cs="Arial"/>
                <w:b/>
                <w:bCs/>
                <w:kern w:val="0"/>
                <w:sz w:val="16"/>
                <w:szCs w:val="16"/>
                <w:lang w:eastAsia="pt-BR"/>
                <w14:ligatures w14:val="none"/>
              </w:rPr>
            </w:pPr>
            <w:r w:rsidRPr="00217E7F">
              <w:rPr>
                <w:rFonts w:ascii="Arial" w:eastAsia="Times New Roman" w:hAnsi="Arial" w:cs="Arial"/>
                <w:b/>
                <w:bCs/>
                <w:kern w:val="0"/>
                <w:sz w:val="16"/>
                <w:szCs w:val="16"/>
                <w:lang w:eastAsia="pt-BR"/>
                <w14:ligatures w14:val="none"/>
              </w:rPr>
              <w:t xml:space="preserve">        (7.456)</w:t>
            </w:r>
          </w:p>
        </w:tc>
        <w:tc>
          <w:tcPr>
            <w:tcW w:w="519" w:type="pct"/>
            <w:tcBorders>
              <w:top w:val="nil"/>
              <w:left w:val="nil"/>
              <w:bottom w:val="single" w:sz="4" w:space="0" w:color="3616F6"/>
              <w:right w:val="nil"/>
            </w:tcBorders>
            <w:shd w:val="clear" w:color="auto" w:fill="auto"/>
            <w:noWrap/>
            <w:vAlign w:val="bottom"/>
            <w:hideMark/>
          </w:tcPr>
          <w:p w14:paraId="56E1809F" w14:textId="77777777" w:rsidR="00217E7F" w:rsidRPr="00217E7F" w:rsidRDefault="00217E7F" w:rsidP="00217E7F">
            <w:pPr>
              <w:spacing w:after="0" w:line="240" w:lineRule="auto"/>
              <w:jc w:val="right"/>
              <w:rPr>
                <w:rFonts w:ascii="Arial" w:eastAsia="Times New Roman" w:hAnsi="Arial" w:cs="Arial"/>
                <w:b/>
                <w:bCs/>
                <w:kern w:val="0"/>
                <w:sz w:val="16"/>
                <w:szCs w:val="16"/>
                <w:lang w:eastAsia="pt-BR"/>
                <w14:ligatures w14:val="none"/>
              </w:rPr>
            </w:pPr>
            <w:r w:rsidRPr="00217E7F">
              <w:rPr>
                <w:rFonts w:ascii="Arial" w:eastAsia="Times New Roman" w:hAnsi="Arial" w:cs="Arial"/>
                <w:b/>
                <w:bCs/>
                <w:kern w:val="0"/>
                <w:sz w:val="16"/>
                <w:szCs w:val="16"/>
                <w:lang w:eastAsia="pt-BR"/>
                <w14:ligatures w14:val="none"/>
              </w:rPr>
              <w:t xml:space="preserve">    (123.551)</w:t>
            </w:r>
          </w:p>
        </w:tc>
        <w:tc>
          <w:tcPr>
            <w:tcW w:w="104" w:type="pct"/>
            <w:tcBorders>
              <w:top w:val="nil"/>
              <w:left w:val="nil"/>
              <w:bottom w:val="nil"/>
              <w:right w:val="nil"/>
            </w:tcBorders>
            <w:shd w:val="clear" w:color="auto" w:fill="auto"/>
            <w:noWrap/>
            <w:vAlign w:val="bottom"/>
            <w:hideMark/>
          </w:tcPr>
          <w:p w14:paraId="24103CE3" w14:textId="77777777" w:rsidR="00217E7F" w:rsidRPr="00217E7F" w:rsidRDefault="00217E7F" w:rsidP="00217E7F">
            <w:pPr>
              <w:spacing w:after="0" w:line="240" w:lineRule="auto"/>
              <w:jc w:val="right"/>
              <w:rPr>
                <w:rFonts w:ascii="Arial" w:eastAsia="Times New Roman" w:hAnsi="Arial" w:cs="Arial"/>
                <w:b/>
                <w:bCs/>
                <w:kern w:val="0"/>
                <w:sz w:val="16"/>
                <w:szCs w:val="16"/>
                <w:lang w:eastAsia="pt-BR"/>
                <w14:ligatures w14:val="none"/>
              </w:rPr>
            </w:pPr>
          </w:p>
        </w:tc>
        <w:tc>
          <w:tcPr>
            <w:tcW w:w="465" w:type="pct"/>
            <w:tcBorders>
              <w:top w:val="nil"/>
              <w:left w:val="nil"/>
              <w:bottom w:val="single" w:sz="4" w:space="0" w:color="3616F6"/>
              <w:right w:val="single" w:sz="4" w:space="0" w:color="3616F6"/>
            </w:tcBorders>
            <w:shd w:val="clear" w:color="auto" w:fill="auto"/>
            <w:noWrap/>
            <w:vAlign w:val="bottom"/>
            <w:hideMark/>
          </w:tcPr>
          <w:p w14:paraId="1DFCA43D" w14:textId="77777777" w:rsidR="00217E7F" w:rsidRPr="00217E7F" w:rsidRDefault="00217E7F" w:rsidP="00217E7F">
            <w:pPr>
              <w:spacing w:after="0" w:line="240" w:lineRule="auto"/>
              <w:jc w:val="right"/>
              <w:rPr>
                <w:rFonts w:ascii="Arial" w:eastAsia="Times New Roman" w:hAnsi="Arial" w:cs="Arial"/>
                <w:b/>
                <w:bCs/>
                <w:kern w:val="0"/>
                <w:sz w:val="16"/>
                <w:szCs w:val="16"/>
                <w:lang w:eastAsia="pt-BR"/>
                <w14:ligatures w14:val="none"/>
              </w:rPr>
            </w:pPr>
            <w:r w:rsidRPr="00217E7F">
              <w:rPr>
                <w:rFonts w:ascii="Arial" w:eastAsia="Times New Roman" w:hAnsi="Arial" w:cs="Arial"/>
                <w:b/>
                <w:bCs/>
                <w:kern w:val="0"/>
                <w:sz w:val="16"/>
                <w:szCs w:val="16"/>
                <w:lang w:eastAsia="pt-BR"/>
                <w14:ligatures w14:val="none"/>
              </w:rPr>
              <w:t xml:space="preserve"> (230.707)</w:t>
            </w:r>
          </w:p>
        </w:tc>
        <w:tc>
          <w:tcPr>
            <w:tcW w:w="473" w:type="pct"/>
            <w:tcBorders>
              <w:top w:val="nil"/>
              <w:left w:val="nil"/>
              <w:bottom w:val="single" w:sz="4" w:space="0" w:color="3616F6"/>
              <w:right w:val="nil"/>
            </w:tcBorders>
            <w:shd w:val="clear" w:color="auto" w:fill="auto"/>
            <w:noWrap/>
            <w:vAlign w:val="bottom"/>
            <w:hideMark/>
          </w:tcPr>
          <w:p w14:paraId="00356E7D" w14:textId="77777777" w:rsidR="00217E7F" w:rsidRPr="00217E7F" w:rsidRDefault="00217E7F" w:rsidP="00217E7F">
            <w:pPr>
              <w:spacing w:after="0" w:line="240" w:lineRule="auto"/>
              <w:jc w:val="right"/>
              <w:rPr>
                <w:rFonts w:ascii="Arial" w:eastAsia="Times New Roman" w:hAnsi="Arial" w:cs="Arial"/>
                <w:b/>
                <w:bCs/>
                <w:kern w:val="0"/>
                <w:sz w:val="16"/>
                <w:szCs w:val="16"/>
                <w:lang w:eastAsia="pt-BR"/>
                <w14:ligatures w14:val="none"/>
              </w:rPr>
            </w:pPr>
            <w:r w:rsidRPr="00217E7F">
              <w:rPr>
                <w:rFonts w:ascii="Arial" w:eastAsia="Times New Roman" w:hAnsi="Arial" w:cs="Arial"/>
                <w:b/>
                <w:bCs/>
                <w:kern w:val="0"/>
                <w:sz w:val="16"/>
                <w:szCs w:val="16"/>
                <w:lang w:eastAsia="pt-BR"/>
                <w14:ligatures w14:val="none"/>
              </w:rPr>
              <w:t xml:space="preserve"> (174.064)</w:t>
            </w:r>
          </w:p>
        </w:tc>
      </w:tr>
      <w:tr w:rsidR="00217E7F" w:rsidRPr="00217E7F" w14:paraId="4E2EFA5B" w14:textId="77777777" w:rsidTr="00446A14">
        <w:trPr>
          <w:trHeight w:val="238"/>
        </w:trPr>
        <w:tc>
          <w:tcPr>
            <w:tcW w:w="2400" w:type="pct"/>
            <w:tcBorders>
              <w:top w:val="nil"/>
              <w:left w:val="nil"/>
              <w:bottom w:val="nil"/>
              <w:right w:val="nil"/>
            </w:tcBorders>
            <w:shd w:val="clear" w:color="auto" w:fill="auto"/>
            <w:noWrap/>
            <w:vAlign w:val="bottom"/>
            <w:hideMark/>
          </w:tcPr>
          <w:p w14:paraId="4C4E1EB3" w14:textId="77777777" w:rsidR="00217E7F" w:rsidRPr="00217E7F" w:rsidRDefault="00217E7F" w:rsidP="00217E7F">
            <w:pPr>
              <w:spacing w:after="0" w:line="240" w:lineRule="auto"/>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Serviços de Terceiros</w:t>
            </w:r>
          </w:p>
        </w:tc>
        <w:tc>
          <w:tcPr>
            <w:tcW w:w="519" w:type="pct"/>
            <w:tcBorders>
              <w:top w:val="nil"/>
              <w:left w:val="single" w:sz="4" w:space="0" w:color="3616F6"/>
              <w:bottom w:val="nil"/>
              <w:right w:val="single" w:sz="4" w:space="0" w:color="3616F6"/>
            </w:tcBorders>
            <w:shd w:val="clear" w:color="000000" w:fill="75F6F9"/>
            <w:vAlign w:val="center"/>
            <w:hideMark/>
          </w:tcPr>
          <w:p w14:paraId="6BFCA3DF"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 xml:space="preserve">      (41.406)</w:t>
            </w:r>
          </w:p>
        </w:tc>
        <w:tc>
          <w:tcPr>
            <w:tcW w:w="519" w:type="pct"/>
            <w:tcBorders>
              <w:top w:val="nil"/>
              <w:left w:val="nil"/>
              <w:bottom w:val="nil"/>
              <w:right w:val="single" w:sz="4" w:space="0" w:color="3616F6"/>
            </w:tcBorders>
            <w:shd w:val="clear" w:color="auto" w:fill="auto"/>
            <w:noWrap/>
            <w:vAlign w:val="bottom"/>
            <w:hideMark/>
          </w:tcPr>
          <w:p w14:paraId="5627A2F6"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(28.819)</w:t>
            </w:r>
          </w:p>
        </w:tc>
        <w:tc>
          <w:tcPr>
            <w:tcW w:w="519" w:type="pct"/>
            <w:tcBorders>
              <w:top w:val="nil"/>
              <w:left w:val="nil"/>
              <w:bottom w:val="nil"/>
              <w:right w:val="nil"/>
            </w:tcBorders>
            <w:shd w:val="clear" w:color="auto" w:fill="auto"/>
            <w:noWrap/>
            <w:vAlign w:val="bottom"/>
            <w:hideMark/>
          </w:tcPr>
          <w:p w14:paraId="49A3A86F"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(32.287)</w:t>
            </w:r>
          </w:p>
        </w:tc>
        <w:tc>
          <w:tcPr>
            <w:tcW w:w="104" w:type="pct"/>
            <w:tcBorders>
              <w:top w:val="nil"/>
              <w:left w:val="nil"/>
              <w:bottom w:val="nil"/>
              <w:right w:val="nil"/>
            </w:tcBorders>
            <w:shd w:val="clear" w:color="auto" w:fill="auto"/>
            <w:noWrap/>
            <w:vAlign w:val="bottom"/>
            <w:hideMark/>
          </w:tcPr>
          <w:p w14:paraId="268187D6"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p>
        </w:tc>
        <w:tc>
          <w:tcPr>
            <w:tcW w:w="465" w:type="pct"/>
            <w:tcBorders>
              <w:top w:val="nil"/>
              <w:left w:val="nil"/>
              <w:bottom w:val="nil"/>
              <w:right w:val="single" w:sz="4" w:space="0" w:color="3616F6"/>
            </w:tcBorders>
            <w:shd w:val="clear" w:color="auto" w:fill="auto"/>
            <w:noWrap/>
            <w:vAlign w:val="bottom"/>
            <w:hideMark/>
          </w:tcPr>
          <w:p w14:paraId="5244EA98"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(159.570)</w:t>
            </w:r>
          </w:p>
        </w:tc>
        <w:tc>
          <w:tcPr>
            <w:tcW w:w="473" w:type="pct"/>
            <w:tcBorders>
              <w:top w:val="nil"/>
              <w:left w:val="nil"/>
              <w:bottom w:val="nil"/>
              <w:right w:val="nil"/>
            </w:tcBorders>
            <w:shd w:val="clear" w:color="auto" w:fill="auto"/>
            <w:noWrap/>
            <w:vAlign w:val="bottom"/>
            <w:hideMark/>
          </w:tcPr>
          <w:p w14:paraId="38E8987E"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(109.165)</w:t>
            </w:r>
          </w:p>
        </w:tc>
      </w:tr>
      <w:tr w:rsidR="00217E7F" w:rsidRPr="00217E7F" w14:paraId="4B63563E" w14:textId="77777777" w:rsidTr="00446A14">
        <w:trPr>
          <w:trHeight w:val="238"/>
        </w:trPr>
        <w:tc>
          <w:tcPr>
            <w:tcW w:w="2400" w:type="pct"/>
            <w:tcBorders>
              <w:top w:val="nil"/>
              <w:left w:val="nil"/>
              <w:bottom w:val="nil"/>
              <w:right w:val="nil"/>
            </w:tcBorders>
            <w:shd w:val="clear" w:color="auto" w:fill="auto"/>
            <w:noWrap/>
            <w:vAlign w:val="bottom"/>
            <w:hideMark/>
          </w:tcPr>
          <w:p w14:paraId="7B475410" w14:textId="77777777" w:rsidR="00217E7F" w:rsidRPr="00217E7F" w:rsidRDefault="00217E7F" w:rsidP="00217E7F">
            <w:pPr>
              <w:spacing w:after="0" w:line="240" w:lineRule="auto"/>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Meios de Conexão</w:t>
            </w:r>
          </w:p>
        </w:tc>
        <w:tc>
          <w:tcPr>
            <w:tcW w:w="519" w:type="pct"/>
            <w:tcBorders>
              <w:top w:val="nil"/>
              <w:left w:val="single" w:sz="4" w:space="0" w:color="3616F6"/>
              <w:bottom w:val="nil"/>
              <w:right w:val="single" w:sz="4" w:space="0" w:color="3616F6"/>
            </w:tcBorders>
            <w:shd w:val="clear" w:color="000000" w:fill="75F6F9"/>
            <w:vAlign w:val="center"/>
            <w:hideMark/>
          </w:tcPr>
          <w:p w14:paraId="7A70F64D"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 xml:space="preserve">      (30.481)</w:t>
            </w:r>
          </w:p>
        </w:tc>
        <w:tc>
          <w:tcPr>
            <w:tcW w:w="519" w:type="pct"/>
            <w:tcBorders>
              <w:top w:val="nil"/>
              <w:left w:val="nil"/>
              <w:bottom w:val="nil"/>
              <w:right w:val="single" w:sz="4" w:space="0" w:color="3616F6"/>
            </w:tcBorders>
            <w:shd w:val="clear" w:color="auto" w:fill="auto"/>
            <w:noWrap/>
            <w:vAlign w:val="bottom"/>
            <w:hideMark/>
          </w:tcPr>
          <w:p w14:paraId="5AA5D7FD"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(32.214)</w:t>
            </w:r>
          </w:p>
        </w:tc>
        <w:tc>
          <w:tcPr>
            <w:tcW w:w="519" w:type="pct"/>
            <w:tcBorders>
              <w:top w:val="nil"/>
              <w:left w:val="nil"/>
              <w:bottom w:val="nil"/>
              <w:right w:val="nil"/>
            </w:tcBorders>
            <w:shd w:val="clear" w:color="auto" w:fill="auto"/>
            <w:noWrap/>
            <w:vAlign w:val="bottom"/>
            <w:hideMark/>
          </w:tcPr>
          <w:p w14:paraId="275BF408"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(41.098)</w:t>
            </w:r>
          </w:p>
        </w:tc>
        <w:tc>
          <w:tcPr>
            <w:tcW w:w="104" w:type="pct"/>
            <w:tcBorders>
              <w:top w:val="nil"/>
              <w:left w:val="nil"/>
              <w:bottom w:val="nil"/>
              <w:right w:val="nil"/>
            </w:tcBorders>
            <w:shd w:val="clear" w:color="auto" w:fill="auto"/>
            <w:noWrap/>
            <w:vAlign w:val="bottom"/>
            <w:hideMark/>
          </w:tcPr>
          <w:p w14:paraId="0DAD98B2"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p>
        </w:tc>
        <w:tc>
          <w:tcPr>
            <w:tcW w:w="465" w:type="pct"/>
            <w:tcBorders>
              <w:top w:val="nil"/>
              <w:left w:val="nil"/>
              <w:bottom w:val="nil"/>
              <w:right w:val="single" w:sz="4" w:space="0" w:color="3616F6"/>
            </w:tcBorders>
            <w:shd w:val="clear" w:color="auto" w:fill="auto"/>
            <w:noWrap/>
            <w:vAlign w:val="bottom"/>
            <w:hideMark/>
          </w:tcPr>
          <w:p w14:paraId="57C7AA92"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(136.851)</w:t>
            </w:r>
          </w:p>
        </w:tc>
        <w:tc>
          <w:tcPr>
            <w:tcW w:w="473" w:type="pct"/>
            <w:tcBorders>
              <w:top w:val="nil"/>
              <w:left w:val="nil"/>
              <w:bottom w:val="nil"/>
              <w:right w:val="nil"/>
            </w:tcBorders>
            <w:shd w:val="clear" w:color="auto" w:fill="auto"/>
            <w:noWrap/>
            <w:vAlign w:val="bottom"/>
            <w:hideMark/>
          </w:tcPr>
          <w:p w14:paraId="21E78EF0"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(127.727)</w:t>
            </w:r>
          </w:p>
        </w:tc>
      </w:tr>
      <w:tr w:rsidR="00217E7F" w:rsidRPr="00217E7F" w14:paraId="0FA2651E" w14:textId="77777777" w:rsidTr="00446A14">
        <w:trPr>
          <w:trHeight w:val="238"/>
        </w:trPr>
        <w:tc>
          <w:tcPr>
            <w:tcW w:w="2400" w:type="pct"/>
            <w:tcBorders>
              <w:top w:val="nil"/>
              <w:left w:val="nil"/>
              <w:bottom w:val="nil"/>
              <w:right w:val="nil"/>
            </w:tcBorders>
            <w:shd w:val="clear" w:color="auto" w:fill="auto"/>
            <w:noWrap/>
            <w:vAlign w:val="bottom"/>
            <w:hideMark/>
          </w:tcPr>
          <w:p w14:paraId="3CF0662F" w14:textId="77777777" w:rsidR="00217E7F" w:rsidRPr="00217E7F" w:rsidRDefault="00217E7F" w:rsidP="00217E7F">
            <w:pPr>
              <w:spacing w:after="0" w:line="240" w:lineRule="auto"/>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Pessoal</w:t>
            </w:r>
          </w:p>
        </w:tc>
        <w:tc>
          <w:tcPr>
            <w:tcW w:w="519" w:type="pct"/>
            <w:tcBorders>
              <w:top w:val="nil"/>
              <w:left w:val="single" w:sz="4" w:space="0" w:color="3616F6"/>
              <w:bottom w:val="nil"/>
              <w:right w:val="single" w:sz="4" w:space="0" w:color="3616F6"/>
            </w:tcBorders>
            <w:shd w:val="clear" w:color="000000" w:fill="75F6F9"/>
            <w:vAlign w:val="center"/>
            <w:hideMark/>
          </w:tcPr>
          <w:p w14:paraId="6D8CF4DC"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 xml:space="preserve">      (27.768)</w:t>
            </w:r>
          </w:p>
        </w:tc>
        <w:tc>
          <w:tcPr>
            <w:tcW w:w="519" w:type="pct"/>
            <w:tcBorders>
              <w:top w:val="nil"/>
              <w:left w:val="nil"/>
              <w:bottom w:val="nil"/>
              <w:right w:val="single" w:sz="4" w:space="0" w:color="3616F6"/>
            </w:tcBorders>
            <w:shd w:val="clear" w:color="auto" w:fill="auto"/>
            <w:noWrap/>
            <w:vAlign w:val="bottom"/>
            <w:hideMark/>
          </w:tcPr>
          <w:p w14:paraId="539A8951"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(25.469)</w:t>
            </w:r>
          </w:p>
        </w:tc>
        <w:tc>
          <w:tcPr>
            <w:tcW w:w="519" w:type="pct"/>
            <w:tcBorders>
              <w:top w:val="nil"/>
              <w:left w:val="nil"/>
              <w:bottom w:val="nil"/>
              <w:right w:val="nil"/>
            </w:tcBorders>
            <w:shd w:val="clear" w:color="auto" w:fill="auto"/>
            <w:noWrap/>
            <w:vAlign w:val="bottom"/>
            <w:hideMark/>
          </w:tcPr>
          <w:p w14:paraId="6A92C9C1"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(30.645)</w:t>
            </w:r>
          </w:p>
        </w:tc>
        <w:tc>
          <w:tcPr>
            <w:tcW w:w="104" w:type="pct"/>
            <w:tcBorders>
              <w:top w:val="nil"/>
              <w:left w:val="nil"/>
              <w:bottom w:val="nil"/>
              <w:right w:val="nil"/>
            </w:tcBorders>
            <w:shd w:val="clear" w:color="auto" w:fill="auto"/>
            <w:noWrap/>
            <w:vAlign w:val="bottom"/>
            <w:hideMark/>
          </w:tcPr>
          <w:p w14:paraId="1C52EF72"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p>
        </w:tc>
        <w:tc>
          <w:tcPr>
            <w:tcW w:w="465" w:type="pct"/>
            <w:tcBorders>
              <w:top w:val="nil"/>
              <w:left w:val="nil"/>
              <w:bottom w:val="nil"/>
              <w:right w:val="single" w:sz="4" w:space="0" w:color="3616F6"/>
            </w:tcBorders>
            <w:shd w:val="clear" w:color="auto" w:fill="auto"/>
            <w:noWrap/>
            <w:vAlign w:val="bottom"/>
            <w:hideMark/>
          </w:tcPr>
          <w:p w14:paraId="34B8A555"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(106.908)</w:t>
            </w:r>
          </w:p>
        </w:tc>
        <w:tc>
          <w:tcPr>
            <w:tcW w:w="473" w:type="pct"/>
            <w:tcBorders>
              <w:top w:val="nil"/>
              <w:left w:val="nil"/>
              <w:bottom w:val="nil"/>
              <w:right w:val="nil"/>
            </w:tcBorders>
            <w:shd w:val="clear" w:color="auto" w:fill="auto"/>
            <w:noWrap/>
            <w:vAlign w:val="bottom"/>
            <w:hideMark/>
          </w:tcPr>
          <w:p w14:paraId="2AAB7B35"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(97.129)</w:t>
            </w:r>
          </w:p>
        </w:tc>
      </w:tr>
      <w:tr w:rsidR="00217E7F" w:rsidRPr="00217E7F" w14:paraId="0EFA7621" w14:textId="77777777" w:rsidTr="00446A14">
        <w:trPr>
          <w:trHeight w:val="238"/>
        </w:trPr>
        <w:tc>
          <w:tcPr>
            <w:tcW w:w="2400" w:type="pct"/>
            <w:tcBorders>
              <w:top w:val="nil"/>
              <w:left w:val="nil"/>
              <w:bottom w:val="nil"/>
              <w:right w:val="nil"/>
            </w:tcBorders>
            <w:shd w:val="clear" w:color="auto" w:fill="auto"/>
            <w:noWrap/>
            <w:vAlign w:val="bottom"/>
            <w:hideMark/>
          </w:tcPr>
          <w:p w14:paraId="640DE09A" w14:textId="77777777" w:rsidR="00217E7F" w:rsidRPr="00217E7F" w:rsidRDefault="00217E7F" w:rsidP="00217E7F">
            <w:pPr>
              <w:spacing w:after="0" w:line="240" w:lineRule="auto"/>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w:t>
            </w:r>
            <w:proofErr w:type="gramStart"/>
            <w:r w:rsidRPr="00217E7F">
              <w:rPr>
                <w:rFonts w:ascii="Arial" w:eastAsia="Times New Roman" w:hAnsi="Arial" w:cs="Arial"/>
                <w:kern w:val="0"/>
                <w:sz w:val="16"/>
                <w:szCs w:val="16"/>
                <w:lang w:eastAsia="pt-BR"/>
                <w14:ligatures w14:val="none"/>
              </w:rPr>
              <w:t>Alugueis</w:t>
            </w:r>
            <w:proofErr w:type="gramEnd"/>
            <w:r w:rsidRPr="00217E7F">
              <w:rPr>
                <w:rFonts w:ascii="Arial" w:eastAsia="Times New Roman" w:hAnsi="Arial" w:cs="Arial"/>
                <w:kern w:val="0"/>
                <w:sz w:val="16"/>
                <w:szCs w:val="16"/>
                <w:lang w:eastAsia="pt-BR"/>
                <w14:ligatures w14:val="none"/>
              </w:rPr>
              <w:t>, Locações e Seguros</w:t>
            </w:r>
          </w:p>
        </w:tc>
        <w:tc>
          <w:tcPr>
            <w:tcW w:w="519" w:type="pct"/>
            <w:tcBorders>
              <w:top w:val="nil"/>
              <w:left w:val="single" w:sz="4" w:space="0" w:color="3616F6"/>
              <w:bottom w:val="nil"/>
              <w:right w:val="single" w:sz="4" w:space="0" w:color="3616F6"/>
            </w:tcBorders>
            <w:shd w:val="clear" w:color="000000" w:fill="75F6F9"/>
            <w:vAlign w:val="center"/>
            <w:hideMark/>
          </w:tcPr>
          <w:p w14:paraId="036E5056"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 xml:space="preserve">      (11.561)</w:t>
            </w:r>
          </w:p>
        </w:tc>
        <w:tc>
          <w:tcPr>
            <w:tcW w:w="519" w:type="pct"/>
            <w:tcBorders>
              <w:top w:val="nil"/>
              <w:left w:val="nil"/>
              <w:bottom w:val="nil"/>
              <w:right w:val="single" w:sz="4" w:space="0" w:color="3616F6"/>
            </w:tcBorders>
            <w:shd w:val="clear" w:color="auto" w:fill="auto"/>
            <w:noWrap/>
            <w:vAlign w:val="bottom"/>
            <w:hideMark/>
          </w:tcPr>
          <w:p w14:paraId="3A0CA54C"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(13.287)</w:t>
            </w:r>
          </w:p>
        </w:tc>
        <w:tc>
          <w:tcPr>
            <w:tcW w:w="519" w:type="pct"/>
            <w:tcBorders>
              <w:top w:val="nil"/>
              <w:left w:val="nil"/>
              <w:bottom w:val="nil"/>
              <w:right w:val="nil"/>
            </w:tcBorders>
            <w:shd w:val="clear" w:color="auto" w:fill="auto"/>
            <w:noWrap/>
            <w:vAlign w:val="bottom"/>
            <w:hideMark/>
          </w:tcPr>
          <w:p w14:paraId="122E14FA"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(12.293)</w:t>
            </w:r>
          </w:p>
        </w:tc>
        <w:tc>
          <w:tcPr>
            <w:tcW w:w="104" w:type="pct"/>
            <w:tcBorders>
              <w:top w:val="nil"/>
              <w:left w:val="nil"/>
              <w:bottom w:val="nil"/>
              <w:right w:val="nil"/>
            </w:tcBorders>
            <w:shd w:val="clear" w:color="auto" w:fill="auto"/>
            <w:noWrap/>
            <w:vAlign w:val="bottom"/>
            <w:hideMark/>
          </w:tcPr>
          <w:p w14:paraId="0CE76F6C"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p>
        </w:tc>
        <w:tc>
          <w:tcPr>
            <w:tcW w:w="465" w:type="pct"/>
            <w:tcBorders>
              <w:top w:val="nil"/>
              <w:left w:val="nil"/>
              <w:bottom w:val="nil"/>
              <w:right w:val="single" w:sz="4" w:space="0" w:color="3616F6"/>
            </w:tcBorders>
            <w:shd w:val="clear" w:color="auto" w:fill="auto"/>
            <w:noWrap/>
            <w:vAlign w:val="bottom"/>
            <w:hideMark/>
          </w:tcPr>
          <w:p w14:paraId="25AA4958"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(50.936)</w:t>
            </w:r>
          </w:p>
        </w:tc>
        <w:tc>
          <w:tcPr>
            <w:tcW w:w="473" w:type="pct"/>
            <w:tcBorders>
              <w:top w:val="nil"/>
              <w:left w:val="nil"/>
              <w:bottom w:val="nil"/>
              <w:right w:val="nil"/>
            </w:tcBorders>
            <w:shd w:val="clear" w:color="auto" w:fill="auto"/>
            <w:noWrap/>
            <w:vAlign w:val="bottom"/>
            <w:hideMark/>
          </w:tcPr>
          <w:p w14:paraId="10CC76E9"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(48.463)</w:t>
            </w:r>
          </w:p>
        </w:tc>
      </w:tr>
      <w:tr w:rsidR="00217E7F" w:rsidRPr="00217E7F" w14:paraId="7D0C2C17" w14:textId="77777777" w:rsidTr="00446A14">
        <w:trPr>
          <w:trHeight w:val="238"/>
        </w:trPr>
        <w:tc>
          <w:tcPr>
            <w:tcW w:w="2400" w:type="pct"/>
            <w:tcBorders>
              <w:top w:val="nil"/>
              <w:left w:val="nil"/>
              <w:bottom w:val="nil"/>
              <w:right w:val="nil"/>
            </w:tcBorders>
            <w:shd w:val="clear" w:color="auto" w:fill="auto"/>
            <w:noWrap/>
            <w:vAlign w:val="bottom"/>
            <w:hideMark/>
          </w:tcPr>
          <w:p w14:paraId="39928D48" w14:textId="77777777" w:rsidR="00217E7F" w:rsidRPr="00217E7F" w:rsidRDefault="00217E7F" w:rsidP="00217E7F">
            <w:pPr>
              <w:spacing w:after="0" w:line="240" w:lineRule="auto"/>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Compartilhamento de Infraestrutura</w:t>
            </w:r>
          </w:p>
        </w:tc>
        <w:tc>
          <w:tcPr>
            <w:tcW w:w="519" w:type="pct"/>
            <w:tcBorders>
              <w:top w:val="nil"/>
              <w:left w:val="single" w:sz="4" w:space="0" w:color="3616F6"/>
              <w:bottom w:val="nil"/>
              <w:right w:val="single" w:sz="4" w:space="0" w:color="3616F6"/>
            </w:tcBorders>
            <w:shd w:val="clear" w:color="000000" w:fill="75F6F9"/>
            <w:vAlign w:val="center"/>
            <w:hideMark/>
          </w:tcPr>
          <w:p w14:paraId="4642CCF6"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 xml:space="preserve">        (1.999)</w:t>
            </w:r>
          </w:p>
        </w:tc>
        <w:tc>
          <w:tcPr>
            <w:tcW w:w="519" w:type="pct"/>
            <w:tcBorders>
              <w:top w:val="nil"/>
              <w:left w:val="nil"/>
              <w:bottom w:val="nil"/>
              <w:right w:val="single" w:sz="4" w:space="0" w:color="3616F6"/>
            </w:tcBorders>
            <w:shd w:val="clear" w:color="auto" w:fill="auto"/>
            <w:noWrap/>
            <w:vAlign w:val="bottom"/>
            <w:hideMark/>
          </w:tcPr>
          <w:p w14:paraId="0BBDCFFD"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(1.109)</w:t>
            </w:r>
          </w:p>
        </w:tc>
        <w:tc>
          <w:tcPr>
            <w:tcW w:w="519" w:type="pct"/>
            <w:tcBorders>
              <w:top w:val="nil"/>
              <w:left w:val="nil"/>
              <w:bottom w:val="nil"/>
              <w:right w:val="nil"/>
            </w:tcBorders>
            <w:shd w:val="clear" w:color="auto" w:fill="auto"/>
            <w:noWrap/>
            <w:vAlign w:val="bottom"/>
            <w:hideMark/>
          </w:tcPr>
          <w:p w14:paraId="0BE0CF7E"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(792)</w:t>
            </w:r>
          </w:p>
        </w:tc>
        <w:tc>
          <w:tcPr>
            <w:tcW w:w="104" w:type="pct"/>
            <w:tcBorders>
              <w:top w:val="nil"/>
              <w:left w:val="nil"/>
              <w:bottom w:val="nil"/>
              <w:right w:val="nil"/>
            </w:tcBorders>
            <w:shd w:val="clear" w:color="auto" w:fill="auto"/>
            <w:noWrap/>
            <w:vAlign w:val="bottom"/>
            <w:hideMark/>
          </w:tcPr>
          <w:p w14:paraId="4A84B930"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p>
        </w:tc>
        <w:tc>
          <w:tcPr>
            <w:tcW w:w="465" w:type="pct"/>
            <w:tcBorders>
              <w:top w:val="nil"/>
              <w:left w:val="nil"/>
              <w:bottom w:val="nil"/>
              <w:right w:val="single" w:sz="4" w:space="0" w:color="3616F6"/>
            </w:tcBorders>
            <w:shd w:val="clear" w:color="auto" w:fill="auto"/>
            <w:noWrap/>
            <w:vAlign w:val="bottom"/>
            <w:hideMark/>
          </w:tcPr>
          <w:p w14:paraId="60C14AEA"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(5.379)</w:t>
            </w:r>
          </w:p>
        </w:tc>
        <w:tc>
          <w:tcPr>
            <w:tcW w:w="473" w:type="pct"/>
            <w:tcBorders>
              <w:top w:val="nil"/>
              <w:left w:val="nil"/>
              <w:bottom w:val="nil"/>
              <w:right w:val="nil"/>
            </w:tcBorders>
            <w:shd w:val="clear" w:color="auto" w:fill="auto"/>
            <w:noWrap/>
            <w:vAlign w:val="bottom"/>
            <w:hideMark/>
          </w:tcPr>
          <w:p w14:paraId="7263E319"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(4.345)</w:t>
            </w:r>
          </w:p>
        </w:tc>
      </w:tr>
      <w:tr w:rsidR="00217E7F" w:rsidRPr="00217E7F" w14:paraId="6BB1D8E8" w14:textId="77777777" w:rsidTr="00446A14">
        <w:trPr>
          <w:trHeight w:val="238"/>
        </w:trPr>
        <w:tc>
          <w:tcPr>
            <w:tcW w:w="2400" w:type="pct"/>
            <w:tcBorders>
              <w:top w:val="nil"/>
              <w:left w:val="nil"/>
              <w:bottom w:val="nil"/>
              <w:right w:val="nil"/>
            </w:tcBorders>
            <w:shd w:val="clear" w:color="auto" w:fill="auto"/>
            <w:noWrap/>
            <w:vAlign w:val="bottom"/>
            <w:hideMark/>
          </w:tcPr>
          <w:p w14:paraId="570471DB" w14:textId="77777777" w:rsidR="00217E7F" w:rsidRPr="00217E7F" w:rsidRDefault="00217E7F" w:rsidP="00217E7F">
            <w:pPr>
              <w:spacing w:after="0" w:line="240" w:lineRule="auto"/>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Tributos</w:t>
            </w:r>
          </w:p>
        </w:tc>
        <w:tc>
          <w:tcPr>
            <w:tcW w:w="519" w:type="pct"/>
            <w:tcBorders>
              <w:top w:val="nil"/>
              <w:left w:val="single" w:sz="4" w:space="0" w:color="3616F6"/>
              <w:bottom w:val="nil"/>
              <w:right w:val="single" w:sz="4" w:space="0" w:color="3616F6"/>
            </w:tcBorders>
            <w:shd w:val="clear" w:color="000000" w:fill="75F6F9"/>
            <w:vAlign w:val="center"/>
            <w:hideMark/>
          </w:tcPr>
          <w:p w14:paraId="6090B001"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 xml:space="preserve">        (1.190)</w:t>
            </w:r>
          </w:p>
        </w:tc>
        <w:tc>
          <w:tcPr>
            <w:tcW w:w="519" w:type="pct"/>
            <w:tcBorders>
              <w:top w:val="nil"/>
              <w:left w:val="nil"/>
              <w:bottom w:val="nil"/>
              <w:right w:val="single" w:sz="4" w:space="0" w:color="3616F6"/>
            </w:tcBorders>
            <w:shd w:val="clear" w:color="auto" w:fill="auto"/>
            <w:noWrap/>
            <w:vAlign w:val="bottom"/>
            <w:hideMark/>
          </w:tcPr>
          <w:p w14:paraId="29BD0136"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(1.163)</w:t>
            </w:r>
          </w:p>
        </w:tc>
        <w:tc>
          <w:tcPr>
            <w:tcW w:w="519" w:type="pct"/>
            <w:tcBorders>
              <w:top w:val="nil"/>
              <w:left w:val="nil"/>
              <w:bottom w:val="nil"/>
              <w:right w:val="nil"/>
            </w:tcBorders>
            <w:shd w:val="clear" w:color="auto" w:fill="auto"/>
            <w:noWrap/>
            <w:vAlign w:val="bottom"/>
            <w:hideMark/>
          </w:tcPr>
          <w:p w14:paraId="52E44F34"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(1.274)</w:t>
            </w:r>
          </w:p>
        </w:tc>
        <w:tc>
          <w:tcPr>
            <w:tcW w:w="104" w:type="pct"/>
            <w:tcBorders>
              <w:top w:val="nil"/>
              <w:left w:val="nil"/>
              <w:bottom w:val="nil"/>
              <w:right w:val="nil"/>
            </w:tcBorders>
            <w:shd w:val="clear" w:color="auto" w:fill="auto"/>
            <w:noWrap/>
            <w:vAlign w:val="bottom"/>
            <w:hideMark/>
          </w:tcPr>
          <w:p w14:paraId="1BBF6EE3"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p>
        </w:tc>
        <w:tc>
          <w:tcPr>
            <w:tcW w:w="465" w:type="pct"/>
            <w:tcBorders>
              <w:top w:val="nil"/>
              <w:left w:val="nil"/>
              <w:bottom w:val="nil"/>
              <w:right w:val="single" w:sz="4" w:space="0" w:color="3616F6"/>
            </w:tcBorders>
            <w:shd w:val="clear" w:color="auto" w:fill="auto"/>
            <w:noWrap/>
            <w:vAlign w:val="bottom"/>
            <w:hideMark/>
          </w:tcPr>
          <w:p w14:paraId="1A0DAAA5"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(5.296)</w:t>
            </w:r>
          </w:p>
        </w:tc>
        <w:tc>
          <w:tcPr>
            <w:tcW w:w="473" w:type="pct"/>
            <w:tcBorders>
              <w:top w:val="nil"/>
              <w:left w:val="nil"/>
              <w:bottom w:val="nil"/>
              <w:right w:val="nil"/>
            </w:tcBorders>
            <w:shd w:val="clear" w:color="auto" w:fill="auto"/>
            <w:noWrap/>
            <w:vAlign w:val="bottom"/>
            <w:hideMark/>
          </w:tcPr>
          <w:p w14:paraId="19584DEA"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(4.791)</w:t>
            </w:r>
          </w:p>
        </w:tc>
      </w:tr>
      <w:tr w:rsidR="00217E7F" w:rsidRPr="00217E7F" w14:paraId="78DA0790" w14:textId="77777777" w:rsidTr="00446A14">
        <w:trPr>
          <w:trHeight w:val="238"/>
        </w:trPr>
        <w:tc>
          <w:tcPr>
            <w:tcW w:w="2400" w:type="pct"/>
            <w:tcBorders>
              <w:top w:val="nil"/>
              <w:left w:val="nil"/>
              <w:bottom w:val="nil"/>
              <w:right w:val="nil"/>
            </w:tcBorders>
            <w:shd w:val="clear" w:color="auto" w:fill="auto"/>
            <w:noWrap/>
            <w:vAlign w:val="bottom"/>
            <w:hideMark/>
          </w:tcPr>
          <w:p w14:paraId="20DB2063" w14:textId="77777777" w:rsidR="00217E7F" w:rsidRPr="00217E7F" w:rsidRDefault="00217E7F" w:rsidP="00217E7F">
            <w:pPr>
              <w:spacing w:after="0" w:line="240" w:lineRule="auto"/>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Equivalência Patrimonial</w:t>
            </w:r>
          </w:p>
        </w:tc>
        <w:tc>
          <w:tcPr>
            <w:tcW w:w="519" w:type="pct"/>
            <w:tcBorders>
              <w:top w:val="nil"/>
              <w:left w:val="single" w:sz="4" w:space="0" w:color="3616F6"/>
              <w:bottom w:val="nil"/>
              <w:right w:val="single" w:sz="4" w:space="0" w:color="3616F6"/>
            </w:tcBorders>
            <w:shd w:val="clear" w:color="000000" w:fill="75F6F9"/>
            <w:vAlign w:val="center"/>
            <w:hideMark/>
          </w:tcPr>
          <w:p w14:paraId="11764338"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 xml:space="preserve">           (198)</w:t>
            </w:r>
          </w:p>
        </w:tc>
        <w:tc>
          <w:tcPr>
            <w:tcW w:w="519" w:type="pct"/>
            <w:tcBorders>
              <w:top w:val="nil"/>
              <w:left w:val="nil"/>
              <w:bottom w:val="nil"/>
              <w:right w:val="single" w:sz="4" w:space="0" w:color="3616F6"/>
            </w:tcBorders>
            <w:shd w:val="clear" w:color="auto" w:fill="auto"/>
            <w:noWrap/>
            <w:vAlign w:val="bottom"/>
            <w:hideMark/>
          </w:tcPr>
          <w:p w14:paraId="00FD793D"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(1.240)</w:t>
            </w:r>
          </w:p>
        </w:tc>
        <w:tc>
          <w:tcPr>
            <w:tcW w:w="519" w:type="pct"/>
            <w:tcBorders>
              <w:top w:val="nil"/>
              <w:left w:val="nil"/>
              <w:bottom w:val="nil"/>
              <w:right w:val="nil"/>
            </w:tcBorders>
            <w:shd w:val="clear" w:color="auto" w:fill="auto"/>
            <w:noWrap/>
            <w:vAlign w:val="bottom"/>
            <w:hideMark/>
          </w:tcPr>
          <w:p w14:paraId="1720CDFD"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(234)</w:t>
            </w:r>
          </w:p>
        </w:tc>
        <w:tc>
          <w:tcPr>
            <w:tcW w:w="104" w:type="pct"/>
            <w:tcBorders>
              <w:top w:val="nil"/>
              <w:left w:val="nil"/>
              <w:bottom w:val="nil"/>
              <w:right w:val="nil"/>
            </w:tcBorders>
            <w:shd w:val="clear" w:color="auto" w:fill="auto"/>
            <w:noWrap/>
            <w:vAlign w:val="bottom"/>
            <w:hideMark/>
          </w:tcPr>
          <w:p w14:paraId="608B188F"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p>
        </w:tc>
        <w:tc>
          <w:tcPr>
            <w:tcW w:w="465" w:type="pct"/>
            <w:tcBorders>
              <w:top w:val="nil"/>
              <w:left w:val="nil"/>
              <w:bottom w:val="nil"/>
              <w:right w:val="single" w:sz="4" w:space="0" w:color="3616F6"/>
            </w:tcBorders>
            <w:shd w:val="clear" w:color="auto" w:fill="auto"/>
            <w:noWrap/>
            <w:vAlign w:val="bottom"/>
            <w:hideMark/>
          </w:tcPr>
          <w:p w14:paraId="533A0D63"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(2.254)</w:t>
            </w:r>
          </w:p>
        </w:tc>
        <w:tc>
          <w:tcPr>
            <w:tcW w:w="473" w:type="pct"/>
            <w:tcBorders>
              <w:top w:val="nil"/>
              <w:left w:val="nil"/>
              <w:bottom w:val="nil"/>
              <w:right w:val="nil"/>
            </w:tcBorders>
            <w:shd w:val="clear" w:color="auto" w:fill="auto"/>
            <w:noWrap/>
            <w:vAlign w:val="bottom"/>
            <w:hideMark/>
          </w:tcPr>
          <w:p w14:paraId="7520729E"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(6.500)</w:t>
            </w:r>
          </w:p>
        </w:tc>
      </w:tr>
      <w:tr w:rsidR="00217E7F" w:rsidRPr="00217E7F" w14:paraId="397030D2" w14:textId="77777777" w:rsidTr="00446A14">
        <w:trPr>
          <w:trHeight w:val="238"/>
        </w:trPr>
        <w:tc>
          <w:tcPr>
            <w:tcW w:w="2400" w:type="pct"/>
            <w:tcBorders>
              <w:top w:val="nil"/>
              <w:left w:val="nil"/>
              <w:bottom w:val="nil"/>
              <w:right w:val="nil"/>
            </w:tcBorders>
            <w:shd w:val="clear" w:color="auto" w:fill="auto"/>
            <w:noWrap/>
            <w:vAlign w:val="bottom"/>
            <w:hideMark/>
          </w:tcPr>
          <w:p w14:paraId="5F611C5E" w14:textId="77777777" w:rsidR="00217E7F" w:rsidRPr="00217E7F" w:rsidRDefault="00217E7F" w:rsidP="00217E7F">
            <w:pPr>
              <w:spacing w:after="0" w:line="240" w:lineRule="auto"/>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Material </w:t>
            </w:r>
          </w:p>
        </w:tc>
        <w:tc>
          <w:tcPr>
            <w:tcW w:w="519" w:type="pct"/>
            <w:tcBorders>
              <w:top w:val="nil"/>
              <w:left w:val="single" w:sz="4" w:space="0" w:color="3616F6"/>
              <w:bottom w:val="nil"/>
              <w:right w:val="single" w:sz="4" w:space="0" w:color="3616F6"/>
            </w:tcBorders>
            <w:shd w:val="clear" w:color="000000" w:fill="75F6F9"/>
            <w:vAlign w:val="center"/>
            <w:hideMark/>
          </w:tcPr>
          <w:p w14:paraId="2B8A2222"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 xml:space="preserve">           (430)</w:t>
            </w:r>
          </w:p>
        </w:tc>
        <w:tc>
          <w:tcPr>
            <w:tcW w:w="519" w:type="pct"/>
            <w:tcBorders>
              <w:top w:val="nil"/>
              <w:left w:val="nil"/>
              <w:bottom w:val="nil"/>
              <w:right w:val="single" w:sz="4" w:space="0" w:color="3616F6"/>
            </w:tcBorders>
            <w:shd w:val="clear" w:color="auto" w:fill="auto"/>
            <w:noWrap/>
            <w:vAlign w:val="bottom"/>
            <w:hideMark/>
          </w:tcPr>
          <w:p w14:paraId="6D4C3FFA"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(101)</w:t>
            </w:r>
          </w:p>
        </w:tc>
        <w:tc>
          <w:tcPr>
            <w:tcW w:w="519" w:type="pct"/>
            <w:tcBorders>
              <w:top w:val="nil"/>
              <w:left w:val="nil"/>
              <w:bottom w:val="nil"/>
              <w:right w:val="nil"/>
            </w:tcBorders>
            <w:shd w:val="clear" w:color="auto" w:fill="auto"/>
            <w:noWrap/>
            <w:vAlign w:val="bottom"/>
            <w:hideMark/>
          </w:tcPr>
          <w:p w14:paraId="213F3A8E"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(288)</w:t>
            </w:r>
          </w:p>
        </w:tc>
        <w:tc>
          <w:tcPr>
            <w:tcW w:w="104" w:type="pct"/>
            <w:tcBorders>
              <w:top w:val="nil"/>
              <w:left w:val="nil"/>
              <w:bottom w:val="nil"/>
              <w:right w:val="nil"/>
            </w:tcBorders>
            <w:shd w:val="clear" w:color="auto" w:fill="auto"/>
            <w:noWrap/>
            <w:vAlign w:val="bottom"/>
            <w:hideMark/>
          </w:tcPr>
          <w:p w14:paraId="11B6203F"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p>
        </w:tc>
        <w:tc>
          <w:tcPr>
            <w:tcW w:w="465" w:type="pct"/>
            <w:tcBorders>
              <w:top w:val="nil"/>
              <w:left w:val="nil"/>
              <w:bottom w:val="nil"/>
              <w:right w:val="single" w:sz="4" w:space="0" w:color="3616F6"/>
            </w:tcBorders>
            <w:shd w:val="clear" w:color="auto" w:fill="auto"/>
            <w:noWrap/>
            <w:vAlign w:val="bottom"/>
            <w:hideMark/>
          </w:tcPr>
          <w:p w14:paraId="12FFCF61"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(2.181)</w:t>
            </w:r>
          </w:p>
        </w:tc>
        <w:tc>
          <w:tcPr>
            <w:tcW w:w="473" w:type="pct"/>
            <w:tcBorders>
              <w:top w:val="nil"/>
              <w:left w:val="nil"/>
              <w:bottom w:val="nil"/>
              <w:right w:val="nil"/>
            </w:tcBorders>
            <w:shd w:val="clear" w:color="auto" w:fill="auto"/>
            <w:noWrap/>
            <w:vAlign w:val="bottom"/>
            <w:hideMark/>
          </w:tcPr>
          <w:p w14:paraId="7AC38271"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(2.018)</w:t>
            </w:r>
          </w:p>
        </w:tc>
      </w:tr>
      <w:tr w:rsidR="00217E7F" w:rsidRPr="00217E7F" w14:paraId="03A337E3" w14:textId="77777777" w:rsidTr="00446A14">
        <w:trPr>
          <w:trHeight w:val="238"/>
        </w:trPr>
        <w:tc>
          <w:tcPr>
            <w:tcW w:w="2400" w:type="pct"/>
            <w:tcBorders>
              <w:top w:val="nil"/>
              <w:left w:val="nil"/>
              <w:bottom w:val="nil"/>
              <w:right w:val="nil"/>
            </w:tcBorders>
            <w:shd w:val="clear" w:color="auto" w:fill="auto"/>
            <w:noWrap/>
            <w:vAlign w:val="bottom"/>
            <w:hideMark/>
          </w:tcPr>
          <w:p w14:paraId="200DC73A" w14:textId="77777777" w:rsidR="00217E7F" w:rsidRPr="00217E7F" w:rsidRDefault="00217E7F" w:rsidP="00217E7F">
            <w:pPr>
              <w:spacing w:after="0" w:line="240" w:lineRule="auto"/>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Perda Estimada com Crédito de Liquidação Duvidosa</w:t>
            </w:r>
          </w:p>
        </w:tc>
        <w:tc>
          <w:tcPr>
            <w:tcW w:w="519" w:type="pct"/>
            <w:tcBorders>
              <w:top w:val="nil"/>
              <w:left w:val="single" w:sz="4" w:space="0" w:color="3616F6"/>
              <w:bottom w:val="nil"/>
              <w:right w:val="single" w:sz="4" w:space="0" w:color="3616F6"/>
            </w:tcBorders>
            <w:shd w:val="clear" w:color="000000" w:fill="75F6F9"/>
            <w:vAlign w:val="center"/>
            <w:hideMark/>
          </w:tcPr>
          <w:p w14:paraId="4BA0B4DE"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 xml:space="preserve">          6.228 </w:t>
            </w:r>
          </w:p>
        </w:tc>
        <w:tc>
          <w:tcPr>
            <w:tcW w:w="519" w:type="pct"/>
            <w:tcBorders>
              <w:top w:val="nil"/>
              <w:left w:val="nil"/>
              <w:bottom w:val="nil"/>
              <w:right w:val="single" w:sz="4" w:space="0" w:color="3616F6"/>
            </w:tcBorders>
            <w:shd w:val="clear" w:color="auto" w:fill="auto"/>
            <w:noWrap/>
            <w:vAlign w:val="bottom"/>
            <w:hideMark/>
          </w:tcPr>
          <w:p w14:paraId="6F477659"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2.486 </w:t>
            </w:r>
          </w:p>
        </w:tc>
        <w:tc>
          <w:tcPr>
            <w:tcW w:w="519" w:type="pct"/>
            <w:tcBorders>
              <w:top w:val="nil"/>
              <w:left w:val="nil"/>
              <w:bottom w:val="nil"/>
              <w:right w:val="nil"/>
            </w:tcBorders>
            <w:shd w:val="clear" w:color="auto" w:fill="auto"/>
            <w:noWrap/>
            <w:vAlign w:val="bottom"/>
            <w:hideMark/>
          </w:tcPr>
          <w:p w14:paraId="23941C09"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(3.629)</w:t>
            </w:r>
          </w:p>
        </w:tc>
        <w:tc>
          <w:tcPr>
            <w:tcW w:w="104" w:type="pct"/>
            <w:tcBorders>
              <w:top w:val="nil"/>
              <w:left w:val="nil"/>
              <w:bottom w:val="nil"/>
              <w:right w:val="nil"/>
            </w:tcBorders>
            <w:shd w:val="clear" w:color="auto" w:fill="auto"/>
            <w:noWrap/>
            <w:vAlign w:val="bottom"/>
            <w:hideMark/>
          </w:tcPr>
          <w:p w14:paraId="040447BC"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p>
        </w:tc>
        <w:tc>
          <w:tcPr>
            <w:tcW w:w="465" w:type="pct"/>
            <w:tcBorders>
              <w:top w:val="nil"/>
              <w:left w:val="nil"/>
              <w:bottom w:val="nil"/>
              <w:right w:val="single" w:sz="4" w:space="0" w:color="3616F6"/>
            </w:tcBorders>
            <w:shd w:val="clear" w:color="auto" w:fill="auto"/>
            <w:noWrap/>
            <w:vAlign w:val="bottom"/>
            <w:hideMark/>
          </w:tcPr>
          <w:p w14:paraId="3340AF32"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(1.314)</w:t>
            </w:r>
          </w:p>
        </w:tc>
        <w:tc>
          <w:tcPr>
            <w:tcW w:w="473" w:type="pct"/>
            <w:tcBorders>
              <w:top w:val="nil"/>
              <w:left w:val="nil"/>
              <w:bottom w:val="nil"/>
              <w:right w:val="nil"/>
            </w:tcBorders>
            <w:shd w:val="clear" w:color="auto" w:fill="auto"/>
            <w:noWrap/>
            <w:vAlign w:val="bottom"/>
            <w:hideMark/>
          </w:tcPr>
          <w:p w14:paraId="538DD7F8"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1.042 </w:t>
            </w:r>
          </w:p>
        </w:tc>
      </w:tr>
      <w:tr w:rsidR="00217E7F" w:rsidRPr="00217E7F" w14:paraId="3CA8CB69" w14:textId="77777777" w:rsidTr="00446A14">
        <w:trPr>
          <w:trHeight w:val="238"/>
        </w:trPr>
        <w:tc>
          <w:tcPr>
            <w:tcW w:w="2400" w:type="pct"/>
            <w:tcBorders>
              <w:top w:val="nil"/>
              <w:left w:val="nil"/>
              <w:bottom w:val="nil"/>
              <w:right w:val="nil"/>
            </w:tcBorders>
            <w:shd w:val="clear" w:color="auto" w:fill="auto"/>
            <w:noWrap/>
            <w:vAlign w:val="bottom"/>
            <w:hideMark/>
          </w:tcPr>
          <w:p w14:paraId="27A3BD6F" w14:textId="77777777" w:rsidR="00217E7F" w:rsidRPr="00217E7F" w:rsidRDefault="00217E7F" w:rsidP="00217E7F">
            <w:pPr>
              <w:spacing w:after="0" w:line="240" w:lineRule="auto"/>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Programa de Indenização por Serviços Prestados (PISP)</w:t>
            </w:r>
          </w:p>
        </w:tc>
        <w:tc>
          <w:tcPr>
            <w:tcW w:w="519" w:type="pct"/>
            <w:tcBorders>
              <w:top w:val="nil"/>
              <w:left w:val="single" w:sz="4" w:space="0" w:color="3616F6"/>
              <w:bottom w:val="nil"/>
              <w:right w:val="single" w:sz="4" w:space="0" w:color="3616F6"/>
            </w:tcBorders>
            <w:shd w:val="clear" w:color="000000" w:fill="75F6F9"/>
            <w:vAlign w:val="center"/>
            <w:hideMark/>
          </w:tcPr>
          <w:p w14:paraId="4FA7071E"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 xml:space="preserve">           (318)</w:t>
            </w:r>
          </w:p>
        </w:tc>
        <w:tc>
          <w:tcPr>
            <w:tcW w:w="519" w:type="pct"/>
            <w:tcBorders>
              <w:top w:val="nil"/>
              <w:left w:val="nil"/>
              <w:bottom w:val="nil"/>
              <w:right w:val="single" w:sz="4" w:space="0" w:color="3616F6"/>
            </w:tcBorders>
            <w:shd w:val="clear" w:color="auto" w:fill="auto"/>
            <w:noWrap/>
            <w:vAlign w:val="bottom"/>
            <w:hideMark/>
          </w:tcPr>
          <w:p w14:paraId="55C8E1CA"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474 </w:t>
            </w:r>
          </w:p>
        </w:tc>
        <w:tc>
          <w:tcPr>
            <w:tcW w:w="519" w:type="pct"/>
            <w:tcBorders>
              <w:top w:val="nil"/>
              <w:left w:val="nil"/>
              <w:bottom w:val="nil"/>
              <w:right w:val="nil"/>
            </w:tcBorders>
            <w:shd w:val="clear" w:color="auto" w:fill="auto"/>
            <w:noWrap/>
            <w:vAlign w:val="bottom"/>
            <w:hideMark/>
          </w:tcPr>
          <w:p w14:paraId="168ADEB3"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(838)</w:t>
            </w:r>
          </w:p>
        </w:tc>
        <w:tc>
          <w:tcPr>
            <w:tcW w:w="104" w:type="pct"/>
            <w:tcBorders>
              <w:top w:val="nil"/>
              <w:left w:val="nil"/>
              <w:bottom w:val="nil"/>
              <w:right w:val="nil"/>
            </w:tcBorders>
            <w:shd w:val="clear" w:color="auto" w:fill="auto"/>
            <w:noWrap/>
            <w:vAlign w:val="bottom"/>
            <w:hideMark/>
          </w:tcPr>
          <w:p w14:paraId="688E241C"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p>
        </w:tc>
        <w:tc>
          <w:tcPr>
            <w:tcW w:w="465" w:type="pct"/>
            <w:tcBorders>
              <w:top w:val="nil"/>
              <w:left w:val="nil"/>
              <w:bottom w:val="nil"/>
              <w:right w:val="single" w:sz="4" w:space="0" w:color="3616F6"/>
            </w:tcBorders>
            <w:shd w:val="clear" w:color="auto" w:fill="auto"/>
            <w:noWrap/>
            <w:vAlign w:val="bottom"/>
            <w:hideMark/>
          </w:tcPr>
          <w:p w14:paraId="300C3105"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(1.231)</w:t>
            </w:r>
          </w:p>
        </w:tc>
        <w:tc>
          <w:tcPr>
            <w:tcW w:w="473" w:type="pct"/>
            <w:tcBorders>
              <w:top w:val="nil"/>
              <w:left w:val="nil"/>
              <w:bottom w:val="nil"/>
              <w:right w:val="nil"/>
            </w:tcBorders>
            <w:shd w:val="clear" w:color="auto" w:fill="auto"/>
            <w:noWrap/>
            <w:vAlign w:val="bottom"/>
            <w:hideMark/>
          </w:tcPr>
          <w:p w14:paraId="5EC16767"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(1.361)</w:t>
            </w:r>
          </w:p>
        </w:tc>
      </w:tr>
      <w:tr w:rsidR="00217E7F" w:rsidRPr="00217E7F" w14:paraId="7D4F3188" w14:textId="77777777" w:rsidTr="00446A14">
        <w:trPr>
          <w:trHeight w:val="238"/>
        </w:trPr>
        <w:tc>
          <w:tcPr>
            <w:tcW w:w="2400" w:type="pct"/>
            <w:tcBorders>
              <w:top w:val="nil"/>
              <w:left w:val="nil"/>
              <w:bottom w:val="nil"/>
              <w:right w:val="nil"/>
            </w:tcBorders>
            <w:shd w:val="clear" w:color="auto" w:fill="auto"/>
            <w:noWrap/>
            <w:vAlign w:val="bottom"/>
            <w:hideMark/>
          </w:tcPr>
          <w:p w14:paraId="329051B0" w14:textId="77777777" w:rsidR="00217E7F" w:rsidRPr="00217E7F" w:rsidRDefault="00217E7F" w:rsidP="00217E7F">
            <w:pPr>
              <w:spacing w:after="0" w:line="240" w:lineRule="auto"/>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Outras Despesas Operacionais</w:t>
            </w:r>
          </w:p>
        </w:tc>
        <w:tc>
          <w:tcPr>
            <w:tcW w:w="519" w:type="pct"/>
            <w:tcBorders>
              <w:top w:val="nil"/>
              <w:left w:val="single" w:sz="4" w:space="0" w:color="3616F6"/>
              <w:bottom w:val="nil"/>
              <w:right w:val="single" w:sz="4" w:space="0" w:color="3616F6"/>
            </w:tcBorders>
            <w:shd w:val="clear" w:color="000000" w:fill="75F6F9"/>
            <w:vAlign w:val="center"/>
            <w:hideMark/>
          </w:tcPr>
          <w:p w14:paraId="659A9EE8"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 xml:space="preserve">        (3.681)</w:t>
            </w:r>
          </w:p>
        </w:tc>
        <w:tc>
          <w:tcPr>
            <w:tcW w:w="519" w:type="pct"/>
            <w:tcBorders>
              <w:top w:val="nil"/>
              <w:left w:val="nil"/>
              <w:bottom w:val="nil"/>
              <w:right w:val="single" w:sz="4" w:space="0" w:color="3616F6"/>
            </w:tcBorders>
            <w:shd w:val="clear" w:color="auto" w:fill="auto"/>
            <w:noWrap/>
            <w:vAlign w:val="bottom"/>
            <w:hideMark/>
          </w:tcPr>
          <w:p w14:paraId="77CF1F8A"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(2.969)</w:t>
            </w:r>
          </w:p>
        </w:tc>
        <w:tc>
          <w:tcPr>
            <w:tcW w:w="519" w:type="pct"/>
            <w:tcBorders>
              <w:top w:val="nil"/>
              <w:left w:val="nil"/>
              <w:bottom w:val="nil"/>
              <w:right w:val="nil"/>
            </w:tcBorders>
            <w:shd w:val="clear" w:color="auto" w:fill="auto"/>
            <w:noWrap/>
            <w:vAlign w:val="bottom"/>
            <w:hideMark/>
          </w:tcPr>
          <w:p w14:paraId="5FF9FB99"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(42.083)</w:t>
            </w:r>
          </w:p>
        </w:tc>
        <w:tc>
          <w:tcPr>
            <w:tcW w:w="104" w:type="pct"/>
            <w:tcBorders>
              <w:top w:val="nil"/>
              <w:left w:val="nil"/>
              <w:bottom w:val="nil"/>
              <w:right w:val="nil"/>
            </w:tcBorders>
            <w:shd w:val="clear" w:color="auto" w:fill="auto"/>
            <w:noWrap/>
            <w:vAlign w:val="bottom"/>
            <w:hideMark/>
          </w:tcPr>
          <w:p w14:paraId="14361033"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p>
        </w:tc>
        <w:tc>
          <w:tcPr>
            <w:tcW w:w="465" w:type="pct"/>
            <w:tcBorders>
              <w:top w:val="nil"/>
              <w:left w:val="nil"/>
              <w:bottom w:val="nil"/>
              <w:right w:val="single" w:sz="4" w:space="0" w:color="3616F6"/>
            </w:tcBorders>
            <w:shd w:val="clear" w:color="auto" w:fill="auto"/>
            <w:noWrap/>
            <w:vAlign w:val="bottom"/>
            <w:hideMark/>
          </w:tcPr>
          <w:p w14:paraId="7918326A"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(55.659)</w:t>
            </w:r>
          </w:p>
        </w:tc>
        <w:tc>
          <w:tcPr>
            <w:tcW w:w="473" w:type="pct"/>
            <w:tcBorders>
              <w:top w:val="nil"/>
              <w:left w:val="nil"/>
              <w:bottom w:val="nil"/>
              <w:right w:val="nil"/>
            </w:tcBorders>
            <w:shd w:val="clear" w:color="auto" w:fill="auto"/>
            <w:noWrap/>
            <w:vAlign w:val="bottom"/>
            <w:hideMark/>
          </w:tcPr>
          <w:p w14:paraId="30530E0F"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(29.062)</w:t>
            </w:r>
          </w:p>
        </w:tc>
      </w:tr>
      <w:tr w:rsidR="00217E7F" w:rsidRPr="00217E7F" w14:paraId="51A7301A" w14:textId="77777777" w:rsidTr="00446A14">
        <w:trPr>
          <w:trHeight w:val="238"/>
        </w:trPr>
        <w:tc>
          <w:tcPr>
            <w:tcW w:w="2400" w:type="pct"/>
            <w:tcBorders>
              <w:top w:val="nil"/>
              <w:left w:val="nil"/>
              <w:bottom w:val="nil"/>
              <w:right w:val="nil"/>
            </w:tcBorders>
            <w:shd w:val="clear" w:color="auto" w:fill="auto"/>
            <w:noWrap/>
            <w:vAlign w:val="bottom"/>
            <w:hideMark/>
          </w:tcPr>
          <w:p w14:paraId="622C37AC" w14:textId="77777777" w:rsidR="00217E7F" w:rsidRPr="00217E7F" w:rsidRDefault="00217E7F" w:rsidP="00217E7F">
            <w:pPr>
              <w:spacing w:after="0" w:line="240" w:lineRule="auto"/>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Outras Receitas Operacionais</w:t>
            </w:r>
          </w:p>
        </w:tc>
        <w:tc>
          <w:tcPr>
            <w:tcW w:w="519" w:type="pct"/>
            <w:tcBorders>
              <w:top w:val="nil"/>
              <w:left w:val="single" w:sz="4" w:space="0" w:color="3616F6"/>
              <w:bottom w:val="single" w:sz="4" w:space="0" w:color="3616F6"/>
              <w:right w:val="single" w:sz="4" w:space="0" w:color="3616F6"/>
            </w:tcBorders>
            <w:shd w:val="clear" w:color="000000" w:fill="75F6F9"/>
            <w:vAlign w:val="center"/>
            <w:hideMark/>
          </w:tcPr>
          <w:p w14:paraId="5560B8B2"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 xml:space="preserve">       45.387 </w:t>
            </w:r>
          </w:p>
        </w:tc>
        <w:tc>
          <w:tcPr>
            <w:tcW w:w="519" w:type="pct"/>
            <w:tcBorders>
              <w:top w:val="nil"/>
              <w:left w:val="nil"/>
              <w:bottom w:val="nil"/>
              <w:right w:val="single" w:sz="4" w:space="0" w:color="3616F6"/>
            </w:tcBorders>
            <w:shd w:val="clear" w:color="auto" w:fill="auto"/>
            <w:noWrap/>
            <w:vAlign w:val="bottom"/>
            <w:hideMark/>
          </w:tcPr>
          <w:p w14:paraId="7A9A5E20"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95.955 </w:t>
            </w:r>
          </w:p>
        </w:tc>
        <w:tc>
          <w:tcPr>
            <w:tcW w:w="519" w:type="pct"/>
            <w:tcBorders>
              <w:top w:val="nil"/>
              <w:left w:val="nil"/>
              <w:bottom w:val="single" w:sz="4" w:space="0" w:color="3616F6"/>
              <w:right w:val="nil"/>
            </w:tcBorders>
            <w:shd w:val="clear" w:color="auto" w:fill="auto"/>
            <w:noWrap/>
            <w:vAlign w:val="bottom"/>
            <w:hideMark/>
          </w:tcPr>
          <w:p w14:paraId="0F19ED2F"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41.910 </w:t>
            </w:r>
          </w:p>
        </w:tc>
        <w:tc>
          <w:tcPr>
            <w:tcW w:w="104" w:type="pct"/>
            <w:tcBorders>
              <w:top w:val="nil"/>
              <w:left w:val="nil"/>
              <w:bottom w:val="nil"/>
              <w:right w:val="nil"/>
            </w:tcBorders>
            <w:shd w:val="clear" w:color="auto" w:fill="auto"/>
            <w:noWrap/>
            <w:vAlign w:val="bottom"/>
            <w:hideMark/>
          </w:tcPr>
          <w:p w14:paraId="70ACEBC7"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p>
        </w:tc>
        <w:tc>
          <w:tcPr>
            <w:tcW w:w="465" w:type="pct"/>
            <w:tcBorders>
              <w:top w:val="nil"/>
              <w:left w:val="nil"/>
              <w:bottom w:val="nil"/>
              <w:right w:val="single" w:sz="4" w:space="0" w:color="3616F6"/>
            </w:tcBorders>
            <w:shd w:val="clear" w:color="auto" w:fill="auto"/>
            <w:noWrap/>
            <w:vAlign w:val="bottom"/>
            <w:hideMark/>
          </w:tcPr>
          <w:p w14:paraId="34DE2AFA"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296.872 </w:t>
            </w:r>
          </w:p>
        </w:tc>
        <w:tc>
          <w:tcPr>
            <w:tcW w:w="473" w:type="pct"/>
            <w:tcBorders>
              <w:top w:val="nil"/>
              <w:left w:val="nil"/>
              <w:bottom w:val="nil"/>
              <w:right w:val="nil"/>
            </w:tcBorders>
            <w:shd w:val="clear" w:color="auto" w:fill="auto"/>
            <w:noWrap/>
            <w:vAlign w:val="bottom"/>
            <w:hideMark/>
          </w:tcPr>
          <w:p w14:paraId="4A23920F"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255.455 </w:t>
            </w:r>
          </w:p>
        </w:tc>
      </w:tr>
      <w:tr w:rsidR="00217E7F" w:rsidRPr="00217E7F" w14:paraId="3CFC4F49" w14:textId="77777777" w:rsidTr="00446A14">
        <w:trPr>
          <w:trHeight w:val="238"/>
        </w:trPr>
        <w:tc>
          <w:tcPr>
            <w:tcW w:w="2400" w:type="pct"/>
            <w:tcBorders>
              <w:top w:val="single" w:sz="4" w:space="0" w:color="3616F6"/>
              <w:left w:val="nil"/>
              <w:bottom w:val="single" w:sz="4" w:space="0" w:color="3616F6"/>
              <w:right w:val="nil"/>
            </w:tcBorders>
            <w:shd w:val="clear" w:color="auto" w:fill="auto"/>
            <w:noWrap/>
            <w:vAlign w:val="bottom"/>
            <w:hideMark/>
          </w:tcPr>
          <w:p w14:paraId="15ED2971" w14:textId="77777777" w:rsidR="00217E7F" w:rsidRPr="00217E7F" w:rsidRDefault="00217E7F" w:rsidP="00217E7F">
            <w:pPr>
              <w:spacing w:after="0" w:line="240" w:lineRule="auto"/>
              <w:rPr>
                <w:rFonts w:ascii="Arial" w:eastAsia="Times New Roman" w:hAnsi="Arial" w:cs="Arial"/>
                <w:b/>
                <w:bCs/>
                <w:kern w:val="0"/>
                <w:sz w:val="16"/>
                <w:szCs w:val="16"/>
                <w:lang w:eastAsia="pt-BR"/>
                <w14:ligatures w14:val="none"/>
              </w:rPr>
            </w:pPr>
            <w:r w:rsidRPr="00217E7F">
              <w:rPr>
                <w:rFonts w:ascii="Arial" w:eastAsia="Times New Roman" w:hAnsi="Arial" w:cs="Arial"/>
                <w:b/>
                <w:bCs/>
                <w:kern w:val="0"/>
                <w:sz w:val="16"/>
                <w:szCs w:val="16"/>
                <w:lang w:eastAsia="pt-BR"/>
                <w14:ligatures w14:val="none"/>
              </w:rPr>
              <w:t xml:space="preserve"> EBITDA</w:t>
            </w:r>
          </w:p>
        </w:tc>
        <w:tc>
          <w:tcPr>
            <w:tcW w:w="519" w:type="pct"/>
            <w:tcBorders>
              <w:top w:val="nil"/>
              <w:left w:val="single" w:sz="4" w:space="0" w:color="3616F6"/>
              <w:bottom w:val="single" w:sz="4" w:space="0" w:color="3616F6"/>
              <w:right w:val="single" w:sz="4" w:space="0" w:color="3616F6"/>
            </w:tcBorders>
            <w:shd w:val="clear" w:color="000000" w:fill="75F6F9"/>
            <w:vAlign w:val="center"/>
            <w:hideMark/>
          </w:tcPr>
          <w:p w14:paraId="465B9F47" w14:textId="77777777" w:rsidR="00217E7F" w:rsidRPr="00217E7F" w:rsidRDefault="00217E7F" w:rsidP="00217E7F">
            <w:pPr>
              <w:spacing w:after="0" w:line="240" w:lineRule="auto"/>
              <w:jc w:val="right"/>
              <w:rPr>
                <w:rFonts w:ascii="Arial" w:eastAsia="Times New Roman" w:hAnsi="Arial" w:cs="Arial"/>
                <w:b/>
                <w:bCs/>
                <w:color w:val="000000"/>
                <w:kern w:val="0"/>
                <w:sz w:val="16"/>
                <w:szCs w:val="16"/>
                <w:lang w:eastAsia="pt-BR"/>
                <w14:ligatures w14:val="none"/>
              </w:rPr>
            </w:pPr>
            <w:r w:rsidRPr="00217E7F">
              <w:rPr>
                <w:rFonts w:ascii="Arial" w:eastAsia="Times New Roman" w:hAnsi="Arial" w:cs="Arial"/>
                <w:b/>
                <w:bCs/>
                <w:color w:val="000000"/>
                <w:kern w:val="0"/>
                <w:sz w:val="16"/>
                <w:szCs w:val="16"/>
                <w:lang w:eastAsia="pt-BR"/>
                <w14:ligatures w14:val="none"/>
              </w:rPr>
              <w:t xml:space="preserve">       42.395 </w:t>
            </w:r>
          </w:p>
        </w:tc>
        <w:tc>
          <w:tcPr>
            <w:tcW w:w="519" w:type="pct"/>
            <w:tcBorders>
              <w:top w:val="single" w:sz="4" w:space="0" w:color="3616F6"/>
              <w:left w:val="nil"/>
              <w:bottom w:val="single" w:sz="4" w:space="0" w:color="3616F6"/>
              <w:right w:val="single" w:sz="4" w:space="0" w:color="3616F6"/>
            </w:tcBorders>
            <w:shd w:val="clear" w:color="auto" w:fill="auto"/>
            <w:noWrap/>
            <w:vAlign w:val="bottom"/>
            <w:hideMark/>
          </w:tcPr>
          <w:p w14:paraId="43FA4EB8" w14:textId="77777777" w:rsidR="00217E7F" w:rsidRPr="00217E7F" w:rsidRDefault="00217E7F" w:rsidP="00217E7F">
            <w:pPr>
              <w:spacing w:after="0" w:line="240" w:lineRule="auto"/>
              <w:jc w:val="right"/>
              <w:rPr>
                <w:rFonts w:ascii="Arial" w:eastAsia="Times New Roman" w:hAnsi="Arial" w:cs="Arial"/>
                <w:b/>
                <w:bCs/>
                <w:kern w:val="0"/>
                <w:sz w:val="16"/>
                <w:szCs w:val="16"/>
                <w:lang w:eastAsia="pt-BR"/>
                <w14:ligatures w14:val="none"/>
              </w:rPr>
            </w:pPr>
            <w:r w:rsidRPr="00217E7F">
              <w:rPr>
                <w:rFonts w:ascii="Arial" w:eastAsia="Times New Roman" w:hAnsi="Arial" w:cs="Arial"/>
                <w:b/>
                <w:bCs/>
                <w:kern w:val="0"/>
                <w:sz w:val="16"/>
                <w:szCs w:val="16"/>
                <w:lang w:eastAsia="pt-BR"/>
                <w14:ligatures w14:val="none"/>
              </w:rPr>
              <w:t xml:space="preserve">       82.912 </w:t>
            </w:r>
          </w:p>
        </w:tc>
        <w:tc>
          <w:tcPr>
            <w:tcW w:w="519" w:type="pct"/>
            <w:tcBorders>
              <w:top w:val="nil"/>
              <w:left w:val="nil"/>
              <w:bottom w:val="single" w:sz="4" w:space="0" w:color="3616F6"/>
              <w:right w:val="nil"/>
            </w:tcBorders>
            <w:shd w:val="clear" w:color="auto" w:fill="auto"/>
            <w:noWrap/>
            <w:vAlign w:val="bottom"/>
            <w:hideMark/>
          </w:tcPr>
          <w:p w14:paraId="74AAC035" w14:textId="77777777" w:rsidR="00217E7F" w:rsidRPr="00217E7F" w:rsidRDefault="00217E7F" w:rsidP="00217E7F">
            <w:pPr>
              <w:spacing w:after="0" w:line="240" w:lineRule="auto"/>
              <w:jc w:val="right"/>
              <w:rPr>
                <w:rFonts w:ascii="Arial" w:eastAsia="Times New Roman" w:hAnsi="Arial" w:cs="Arial"/>
                <w:b/>
                <w:bCs/>
                <w:kern w:val="0"/>
                <w:sz w:val="16"/>
                <w:szCs w:val="16"/>
                <w:lang w:eastAsia="pt-BR"/>
                <w14:ligatures w14:val="none"/>
              </w:rPr>
            </w:pPr>
            <w:r w:rsidRPr="00217E7F">
              <w:rPr>
                <w:rFonts w:ascii="Arial" w:eastAsia="Times New Roman" w:hAnsi="Arial" w:cs="Arial"/>
                <w:b/>
                <w:bCs/>
                <w:kern w:val="0"/>
                <w:sz w:val="16"/>
                <w:szCs w:val="16"/>
                <w:lang w:eastAsia="pt-BR"/>
                <w14:ligatures w14:val="none"/>
              </w:rPr>
              <w:t xml:space="preserve">      (14.800)</w:t>
            </w:r>
          </w:p>
        </w:tc>
        <w:tc>
          <w:tcPr>
            <w:tcW w:w="104" w:type="pct"/>
            <w:tcBorders>
              <w:top w:val="nil"/>
              <w:left w:val="nil"/>
              <w:bottom w:val="nil"/>
              <w:right w:val="nil"/>
            </w:tcBorders>
            <w:shd w:val="clear" w:color="auto" w:fill="auto"/>
            <w:noWrap/>
            <w:vAlign w:val="bottom"/>
            <w:hideMark/>
          </w:tcPr>
          <w:p w14:paraId="559CA983" w14:textId="77777777" w:rsidR="00217E7F" w:rsidRPr="00217E7F" w:rsidRDefault="00217E7F" w:rsidP="00217E7F">
            <w:pPr>
              <w:spacing w:after="0" w:line="240" w:lineRule="auto"/>
              <w:jc w:val="right"/>
              <w:rPr>
                <w:rFonts w:ascii="Arial" w:eastAsia="Times New Roman" w:hAnsi="Arial" w:cs="Arial"/>
                <w:b/>
                <w:bCs/>
                <w:kern w:val="0"/>
                <w:sz w:val="16"/>
                <w:szCs w:val="16"/>
                <w:lang w:eastAsia="pt-BR"/>
                <w14:ligatures w14:val="none"/>
              </w:rPr>
            </w:pPr>
          </w:p>
        </w:tc>
        <w:tc>
          <w:tcPr>
            <w:tcW w:w="465" w:type="pct"/>
            <w:tcBorders>
              <w:top w:val="single" w:sz="4" w:space="0" w:color="3616F6"/>
              <w:left w:val="nil"/>
              <w:bottom w:val="single" w:sz="4" w:space="0" w:color="3616F6"/>
              <w:right w:val="single" w:sz="4" w:space="0" w:color="3616F6"/>
            </w:tcBorders>
            <w:shd w:val="clear" w:color="auto" w:fill="auto"/>
            <w:noWrap/>
            <w:vAlign w:val="bottom"/>
            <w:hideMark/>
          </w:tcPr>
          <w:p w14:paraId="761FF4F5" w14:textId="77777777" w:rsidR="00217E7F" w:rsidRPr="00217E7F" w:rsidRDefault="00217E7F" w:rsidP="00217E7F">
            <w:pPr>
              <w:spacing w:after="0" w:line="240" w:lineRule="auto"/>
              <w:jc w:val="right"/>
              <w:rPr>
                <w:rFonts w:ascii="Arial" w:eastAsia="Times New Roman" w:hAnsi="Arial" w:cs="Arial"/>
                <w:b/>
                <w:bCs/>
                <w:kern w:val="0"/>
                <w:sz w:val="16"/>
                <w:szCs w:val="16"/>
                <w:lang w:eastAsia="pt-BR"/>
                <w14:ligatures w14:val="none"/>
              </w:rPr>
            </w:pPr>
            <w:r w:rsidRPr="00217E7F">
              <w:rPr>
                <w:rFonts w:ascii="Arial" w:eastAsia="Times New Roman" w:hAnsi="Arial" w:cs="Arial"/>
                <w:b/>
                <w:bCs/>
                <w:kern w:val="0"/>
                <w:sz w:val="16"/>
                <w:szCs w:val="16"/>
                <w:lang w:eastAsia="pt-BR"/>
                <w14:ligatures w14:val="none"/>
              </w:rPr>
              <w:t xml:space="preserve">   186.133 </w:t>
            </w:r>
          </w:p>
        </w:tc>
        <w:tc>
          <w:tcPr>
            <w:tcW w:w="473" w:type="pct"/>
            <w:tcBorders>
              <w:top w:val="single" w:sz="4" w:space="0" w:color="3616F6"/>
              <w:left w:val="nil"/>
              <w:bottom w:val="single" w:sz="4" w:space="0" w:color="3616F6"/>
              <w:right w:val="nil"/>
            </w:tcBorders>
            <w:shd w:val="clear" w:color="auto" w:fill="auto"/>
            <w:noWrap/>
            <w:vAlign w:val="bottom"/>
            <w:hideMark/>
          </w:tcPr>
          <w:p w14:paraId="43054A33" w14:textId="77777777" w:rsidR="00217E7F" w:rsidRPr="00217E7F" w:rsidRDefault="00217E7F" w:rsidP="00217E7F">
            <w:pPr>
              <w:spacing w:after="0" w:line="240" w:lineRule="auto"/>
              <w:jc w:val="right"/>
              <w:rPr>
                <w:rFonts w:ascii="Arial" w:eastAsia="Times New Roman" w:hAnsi="Arial" w:cs="Arial"/>
                <w:b/>
                <w:bCs/>
                <w:kern w:val="0"/>
                <w:sz w:val="16"/>
                <w:szCs w:val="16"/>
                <w:lang w:eastAsia="pt-BR"/>
                <w14:ligatures w14:val="none"/>
              </w:rPr>
            </w:pPr>
            <w:r w:rsidRPr="00217E7F">
              <w:rPr>
                <w:rFonts w:ascii="Arial" w:eastAsia="Times New Roman" w:hAnsi="Arial" w:cs="Arial"/>
                <w:b/>
                <w:bCs/>
                <w:kern w:val="0"/>
                <w:sz w:val="16"/>
                <w:szCs w:val="16"/>
                <w:lang w:eastAsia="pt-BR"/>
                <w14:ligatures w14:val="none"/>
              </w:rPr>
              <w:t xml:space="preserve">   173.776 </w:t>
            </w:r>
          </w:p>
        </w:tc>
      </w:tr>
      <w:tr w:rsidR="00217E7F" w:rsidRPr="00217E7F" w14:paraId="6A0405A2" w14:textId="77777777" w:rsidTr="00446A14">
        <w:trPr>
          <w:trHeight w:val="238"/>
        </w:trPr>
        <w:tc>
          <w:tcPr>
            <w:tcW w:w="2400" w:type="pct"/>
            <w:tcBorders>
              <w:top w:val="nil"/>
              <w:left w:val="nil"/>
              <w:bottom w:val="single" w:sz="4" w:space="0" w:color="3616F6"/>
              <w:right w:val="nil"/>
            </w:tcBorders>
            <w:shd w:val="clear" w:color="auto" w:fill="auto"/>
            <w:noWrap/>
            <w:vAlign w:val="bottom"/>
            <w:hideMark/>
          </w:tcPr>
          <w:p w14:paraId="367A654F" w14:textId="77777777" w:rsidR="00217E7F" w:rsidRPr="00217E7F" w:rsidRDefault="00217E7F" w:rsidP="00217E7F">
            <w:pPr>
              <w:spacing w:after="0" w:line="240" w:lineRule="auto"/>
              <w:rPr>
                <w:rFonts w:ascii="Arial" w:eastAsia="Times New Roman" w:hAnsi="Arial" w:cs="Arial"/>
                <w:b/>
                <w:bCs/>
                <w:i/>
                <w:iCs/>
                <w:kern w:val="0"/>
                <w:sz w:val="16"/>
                <w:szCs w:val="16"/>
                <w:lang w:eastAsia="pt-BR"/>
                <w14:ligatures w14:val="none"/>
              </w:rPr>
            </w:pPr>
            <w:r w:rsidRPr="00217E7F">
              <w:rPr>
                <w:rFonts w:ascii="Arial" w:eastAsia="Times New Roman" w:hAnsi="Arial" w:cs="Arial"/>
                <w:b/>
                <w:bCs/>
                <w:i/>
                <w:iCs/>
                <w:kern w:val="0"/>
                <w:sz w:val="16"/>
                <w:szCs w:val="16"/>
                <w:lang w:eastAsia="pt-BR"/>
                <w14:ligatures w14:val="none"/>
              </w:rPr>
              <w:t xml:space="preserve">    Margem EBITDA</w:t>
            </w:r>
          </w:p>
        </w:tc>
        <w:tc>
          <w:tcPr>
            <w:tcW w:w="519" w:type="pct"/>
            <w:tcBorders>
              <w:top w:val="nil"/>
              <w:left w:val="single" w:sz="4" w:space="0" w:color="3616F6"/>
              <w:bottom w:val="single" w:sz="4" w:space="0" w:color="3616F6"/>
              <w:right w:val="single" w:sz="4" w:space="0" w:color="3616F6"/>
            </w:tcBorders>
            <w:shd w:val="clear" w:color="000000" w:fill="75F6F9"/>
            <w:vAlign w:val="center"/>
            <w:hideMark/>
          </w:tcPr>
          <w:p w14:paraId="108D4D9C" w14:textId="77777777" w:rsidR="00217E7F" w:rsidRPr="00217E7F" w:rsidRDefault="00217E7F" w:rsidP="00217E7F">
            <w:pPr>
              <w:spacing w:after="0" w:line="240" w:lineRule="auto"/>
              <w:jc w:val="right"/>
              <w:rPr>
                <w:rFonts w:ascii="Arial" w:eastAsia="Times New Roman" w:hAnsi="Arial" w:cs="Arial"/>
                <w:b/>
                <w:bCs/>
                <w:i/>
                <w:iCs/>
                <w:color w:val="000000"/>
                <w:kern w:val="0"/>
                <w:sz w:val="16"/>
                <w:szCs w:val="16"/>
                <w:lang w:eastAsia="pt-BR"/>
                <w14:ligatures w14:val="none"/>
              </w:rPr>
            </w:pPr>
            <w:r w:rsidRPr="00217E7F">
              <w:rPr>
                <w:rFonts w:ascii="Arial" w:eastAsia="Times New Roman" w:hAnsi="Arial" w:cs="Arial"/>
                <w:b/>
                <w:bCs/>
                <w:i/>
                <w:iCs/>
                <w:color w:val="000000"/>
                <w:kern w:val="0"/>
                <w:sz w:val="16"/>
                <w:szCs w:val="16"/>
                <w:lang w:eastAsia="pt-BR"/>
                <w14:ligatures w14:val="none"/>
              </w:rPr>
              <w:t>38,6%</w:t>
            </w:r>
          </w:p>
        </w:tc>
        <w:tc>
          <w:tcPr>
            <w:tcW w:w="519" w:type="pct"/>
            <w:tcBorders>
              <w:top w:val="nil"/>
              <w:left w:val="nil"/>
              <w:bottom w:val="single" w:sz="4" w:space="0" w:color="3616F6"/>
              <w:right w:val="single" w:sz="4" w:space="0" w:color="3616F6"/>
            </w:tcBorders>
            <w:shd w:val="clear" w:color="auto" w:fill="auto"/>
            <w:noWrap/>
            <w:vAlign w:val="bottom"/>
            <w:hideMark/>
          </w:tcPr>
          <w:p w14:paraId="17E71F35" w14:textId="77777777" w:rsidR="00217E7F" w:rsidRPr="00217E7F" w:rsidRDefault="00217E7F" w:rsidP="00217E7F">
            <w:pPr>
              <w:spacing w:after="0" w:line="240" w:lineRule="auto"/>
              <w:jc w:val="right"/>
              <w:rPr>
                <w:rFonts w:ascii="Arial" w:eastAsia="Times New Roman" w:hAnsi="Arial" w:cs="Arial"/>
                <w:b/>
                <w:bCs/>
                <w:i/>
                <w:iCs/>
                <w:kern w:val="0"/>
                <w:sz w:val="16"/>
                <w:szCs w:val="16"/>
                <w:lang w:eastAsia="pt-BR"/>
                <w14:ligatures w14:val="none"/>
              </w:rPr>
            </w:pPr>
            <w:r w:rsidRPr="00217E7F">
              <w:rPr>
                <w:rFonts w:ascii="Arial" w:eastAsia="Times New Roman" w:hAnsi="Arial" w:cs="Arial"/>
                <w:b/>
                <w:bCs/>
                <w:i/>
                <w:iCs/>
                <w:kern w:val="0"/>
                <w:sz w:val="16"/>
                <w:szCs w:val="16"/>
                <w:lang w:eastAsia="pt-BR"/>
                <w14:ligatures w14:val="none"/>
              </w:rPr>
              <w:t>91,75%</w:t>
            </w:r>
          </w:p>
        </w:tc>
        <w:tc>
          <w:tcPr>
            <w:tcW w:w="519" w:type="pct"/>
            <w:tcBorders>
              <w:top w:val="nil"/>
              <w:left w:val="nil"/>
              <w:bottom w:val="single" w:sz="4" w:space="0" w:color="3616F6"/>
              <w:right w:val="nil"/>
            </w:tcBorders>
            <w:shd w:val="clear" w:color="auto" w:fill="auto"/>
            <w:noWrap/>
            <w:vAlign w:val="bottom"/>
            <w:hideMark/>
          </w:tcPr>
          <w:p w14:paraId="18A4FD50" w14:textId="77777777" w:rsidR="00217E7F" w:rsidRPr="00217E7F" w:rsidRDefault="00217E7F" w:rsidP="00217E7F">
            <w:pPr>
              <w:spacing w:after="0" w:line="240" w:lineRule="auto"/>
              <w:jc w:val="right"/>
              <w:rPr>
                <w:rFonts w:ascii="Arial" w:eastAsia="Times New Roman" w:hAnsi="Arial" w:cs="Arial"/>
                <w:b/>
                <w:bCs/>
                <w:i/>
                <w:iCs/>
                <w:kern w:val="0"/>
                <w:sz w:val="16"/>
                <w:szCs w:val="16"/>
                <w:lang w:eastAsia="pt-BR"/>
                <w14:ligatures w14:val="none"/>
              </w:rPr>
            </w:pPr>
            <w:r w:rsidRPr="00217E7F">
              <w:rPr>
                <w:rFonts w:ascii="Arial" w:eastAsia="Times New Roman" w:hAnsi="Arial" w:cs="Arial"/>
                <w:b/>
                <w:bCs/>
                <w:i/>
                <w:iCs/>
                <w:kern w:val="0"/>
                <w:sz w:val="16"/>
                <w:szCs w:val="16"/>
                <w:lang w:eastAsia="pt-BR"/>
                <w14:ligatures w14:val="none"/>
              </w:rPr>
              <w:t>-13,61%</w:t>
            </w:r>
          </w:p>
        </w:tc>
        <w:tc>
          <w:tcPr>
            <w:tcW w:w="104" w:type="pct"/>
            <w:tcBorders>
              <w:top w:val="nil"/>
              <w:left w:val="nil"/>
              <w:bottom w:val="nil"/>
              <w:right w:val="nil"/>
            </w:tcBorders>
            <w:shd w:val="clear" w:color="auto" w:fill="auto"/>
            <w:noWrap/>
            <w:vAlign w:val="bottom"/>
            <w:hideMark/>
          </w:tcPr>
          <w:p w14:paraId="0C969D5D" w14:textId="77777777" w:rsidR="00217E7F" w:rsidRPr="00217E7F" w:rsidRDefault="00217E7F" w:rsidP="00217E7F">
            <w:pPr>
              <w:spacing w:after="0" w:line="240" w:lineRule="auto"/>
              <w:jc w:val="right"/>
              <w:rPr>
                <w:rFonts w:ascii="Arial" w:eastAsia="Times New Roman" w:hAnsi="Arial" w:cs="Arial"/>
                <w:b/>
                <w:bCs/>
                <w:i/>
                <w:iCs/>
                <w:kern w:val="0"/>
                <w:sz w:val="16"/>
                <w:szCs w:val="16"/>
                <w:lang w:eastAsia="pt-BR"/>
                <w14:ligatures w14:val="none"/>
              </w:rPr>
            </w:pPr>
          </w:p>
        </w:tc>
        <w:tc>
          <w:tcPr>
            <w:tcW w:w="465" w:type="pct"/>
            <w:tcBorders>
              <w:top w:val="nil"/>
              <w:left w:val="nil"/>
              <w:bottom w:val="single" w:sz="4" w:space="0" w:color="3616F6"/>
              <w:right w:val="single" w:sz="4" w:space="0" w:color="3616F6"/>
            </w:tcBorders>
            <w:shd w:val="clear" w:color="auto" w:fill="auto"/>
            <w:noWrap/>
            <w:vAlign w:val="bottom"/>
            <w:hideMark/>
          </w:tcPr>
          <w:p w14:paraId="091FAE36" w14:textId="77777777" w:rsidR="00217E7F" w:rsidRPr="00217E7F" w:rsidRDefault="00217E7F" w:rsidP="00217E7F">
            <w:pPr>
              <w:spacing w:after="0" w:line="240" w:lineRule="auto"/>
              <w:jc w:val="right"/>
              <w:rPr>
                <w:rFonts w:ascii="Arial" w:eastAsia="Times New Roman" w:hAnsi="Arial" w:cs="Arial"/>
                <w:b/>
                <w:bCs/>
                <w:i/>
                <w:iCs/>
                <w:kern w:val="0"/>
                <w:sz w:val="16"/>
                <w:szCs w:val="16"/>
                <w:lang w:eastAsia="pt-BR"/>
                <w14:ligatures w14:val="none"/>
              </w:rPr>
            </w:pPr>
            <w:r w:rsidRPr="00217E7F">
              <w:rPr>
                <w:rFonts w:ascii="Arial" w:eastAsia="Times New Roman" w:hAnsi="Arial" w:cs="Arial"/>
                <w:b/>
                <w:bCs/>
                <w:i/>
                <w:iCs/>
                <w:kern w:val="0"/>
                <w:sz w:val="16"/>
                <w:szCs w:val="16"/>
                <w:lang w:eastAsia="pt-BR"/>
                <w14:ligatures w14:val="none"/>
              </w:rPr>
              <w:t>44,65%</w:t>
            </w:r>
          </w:p>
        </w:tc>
        <w:tc>
          <w:tcPr>
            <w:tcW w:w="473" w:type="pct"/>
            <w:tcBorders>
              <w:top w:val="nil"/>
              <w:left w:val="nil"/>
              <w:bottom w:val="single" w:sz="4" w:space="0" w:color="3616F6"/>
              <w:right w:val="nil"/>
            </w:tcBorders>
            <w:shd w:val="clear" w:color="auto" w:fill="auto"/>
            <w:noWrap/>
            <w:vAlign w:val="bottom"/>
            <w:hideMark/>
          </w:tcPr>
          <w:p w14:paraId="1F6B14A7" w14:textId="77777777" w:rsidR="00217E7F" w:rsidRPr="00217E7F" w:rsidRDefault="00217E7F" w:rsidP="00217E7F">
            <w:pPr>
              <w:spacing w:after="0" w:line="240" w:lineRule="auto"/>
              <w:jc w:val="right"/>
              <w:rPr>
                <w:rFonts w:ascii="Arial" w:eastAsia="Times New Roman" w:hAnsi="Arial" w:cs="Arial"/>
                <w:b/>
                <w:bCs/>
                <w:i/>
                <w:iCs/>
                <w:kern w:val="0"/>
                <w:sz w:val="16"/>
                <w:szCs w:val="16"/>
                <w:lang w:eastAsia="pt-BR"/>
                <w14:ligatures w14:val="none"/>
              </w:rPr>
            </w:pPr>
            <w:r w:rsidRPr="00217E7F">
              <w:rPr>
                <w:rFonts w:ascii="Arial" w:eastAsia="Times New Roman" w:hAnsi="Arial" w:cs="Arial"/>
                <w:b/>
                <w:bCs/>
                <w:i/>
                <w:iCs/>
                <w:kern w:val="0"/>
                <w:sz w:val="16"/>
                <w:szCs w:val="16"/>
                <w:lang w:eastAsia="pt-BR"/>
                <w14:ligatures w14:val="none"/>
              </w:rPr>
              <w:t>49,96%</w:t>
            </w:r>
          </w:p>
        </w:tc>
      </w:tr>
      <w:tr w:rsidR="00217E7F" w:rsidRPr="00217E7F" w14:paraId="5323957A" w14:textId="77777777" w:rsidTr="00446A14">
        <w:trPr>
          <w:trHeight w:val="238"/>
        </w:trPr>
        <w:tc>
          <w:tcPr>
            <w:tcW w:w="2400" w:type="pct"/>
            <w:tcBorders>
              <w:top w:val="nil"/>
              <w:left w:val="nil"/>
              <w:bottom w:val="nil"/>
              <w:right w:val="nil"/>
            </w:tcBorders>
            <w:shd w:val="clear" w:color="auto" w:fill="auto"/>
            <w:noWrap/>
            <w:vAlign w:val="bottom"/>
            <w:hideMark/>
          </w:tcPr>
          <w:p w14:paraId="3759162E" w14:textId="77777777" w:rsidR="00217E7F" w:rsidRPr="00217E7F" w:rsidRDefault="00217E7F" w:rsidP="00217E7F">
            <w:pPr>
              <w:spacing w:after="0" w:line="240" w:lineRule="auto"/>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Depreciação e Amortização</w:t>
            </w:r>
          </w:p>
        </w:tc>
        <w:tc>
          <w:tcPr>
            <w:tcW w:w="519" w:type="pct"/>
            <w:tcBorders>
              <w:top w:val="nil"/>
              <w:left w:val="single" w:sz="4" w:space="0" w:color="3616F6"/>
              <w:bottom w:val="single" w:sz="4" w:space="0" w:color="3616F6"/>
              <w:right w:val="single" w:sz="4" w:space="0" w:color="3616F6"/>
            </w:tcBorders>
            <w:shd w:val="clear" w:color="000000" w:fill="75F6F9"/>
            <w:vAlign w:val="center"/>
            <w:hideMark/>
          </w:tcPr>
          <w:p w14:paraId="6FB4C5FD"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 xml:space="preserve">      (66.586)</w:t>
            </w:r>
          </w:p>
        </w:tc>
        <w:tc>
          <w:tcPr>
            <w:tcW w:w="519" w:type="pct"/>
            <w:tcBorders>
              <w:top w:val="nil"/>
              <w:left w:val="nil"/>
              <w:bottom w:val="nil"/>
              <w:right w:val="single" w:sz="4" w:space="0" w:color="3616F6"/>
            </w:tcBorders>
            <w:shd w:val="clear" w:color="auto" w:fill="auto"/>
            <w:noWrap/>
            <w:vAlign w:val="bottom"/>
            <w:hideMark/>
          </w:tcPr>
          <w:p w14:paraId="051C6E9A"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(60.833)</w:t>
            </w:r>
          </w:p>
        </w:tc>
        <w:tc>
          <w:tcPr>
            <w:tcW w:w="519" w:type="pct"/>
            <w:tcBorders>
              <w:top w:val="nil"/>
              <w:left w:val="nil"/>
              <w:bottom w:val="nil"/>
              <w:right w:val="nil"/>
            </w:tcBorders>
            <w:shd w:val="clear" w:color="auto" w:fill="auto"/>
            <w:noWrap/>
            <w:vAlign w:val="bottom"/>
            <w:hideMark/>
          </w:tcPr>
          <w:p w14:paraId="2ECBCECE"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(65.194)</w:t>
            </w:r>
          </w:p>
        </w:tc>
        <w:tc>
          <w:tcPr>
            <w:tcW w:w="104" w:type="pct"/>
            <w:tcBorders>
              <w:top w:val="nil"/>
              <w:left w:val="nil"/>
              <w:bottom w:val="nil"/>
              <w:right w:val="nil"/>
            </w:tcBorders>
            <w:shd w:val="clear" w:color="auto" w:fill="auto"/>
            <w:noWrap/>
            <w:vAlign w:val="bottom"/>
            <w:hideMark/>
          </w:tcPr>
          <w:p w14:paraId="5BC98BE7"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p>
        </w:tc>
        <w:tc>
          <w:tcPr>
            <w:tcW w:w="465" w:type="pct"/>
            <w:tcBorders>
              <w:top w:val="nil"/>
              <w:left w:val="nil"/>
              <w:bottom w:val="nil"/>
              <w:right w:val="single" w:sz="4" w:space="0" w:color="3616F6"/>
            </w:tcBorders>
            <w:shd w:val="clear" w:color="auto" w:fill="auto"/>
            <w:noWrap/>
            <w:vAlign w:val="bottom"/>
            <w:hideMark/>
          </w:tcPr>
          <w:p w14:paraId="5E08F94E"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(253.540)</w:t>
            </w:r>
          </w:p>
        </w:tc>
        <w:tc>
          <w:tcPr>
            <w:tcW w:w="473" w:type="pct"/>
            <w:tcBorders>
              <w:top w:val="nil"/>
              <w:left w:val="nil"/>
              <w:bottom w:val="nil"/>
              <w:right w:val="nil"/>
            </w:tcBorders>
            <w:shd w:val="clear" w:color="auto" w:fill="auto"/>
            <w:noWrap/>
            <w:vAlign w:val="bottom"/>
            <w:hideMark/>
          </w:tcPr>
          <w:p w14:paraId="1950FDC1"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(242.087)</w:t>
            </w:r>
          </w:p>
        </w:tc>
      </w:tr>
      <w:tr w:rsidR="00217E7F" w:rsidRPr="00217E7F" w14:paraId="568C789D" w14:textId="77777777" w:rsidTr="00446A14">
        <w:trPr>
          <w:trHeight w:val="238"/>
        </w:trPr>
        <w:tc>
          <w:tcPr>
            <w:tcW w:w="2400" w:type="pct"/>
            <w:tcBorders>
              <w:top w:val="single" w:sz="4" w:space="0" w:color="3616F6"/>
              <w:left w:val="nil"/>
              <w:bottom w:val="single" w:sz="4" w:space="0" w:color="3616F6"/>
              <w:right w:val="nil"/>
            </w:tcBorders>
            <w:shd w:val="clear" w:color="auto" w:fill="auto"/>
            <w:noWrap/>
            <w:vAlign w:val="bottom"/>
            <w:hideMark/>
          </w:tcPr>
          <w:p w14:paraId="172A4449" w14:textId="77777777" w:rsidR="00217E7F" w:rsidRPr="00217E7F" w:rsidRDefault="00217E7F" w:rsidP="00217E7F">
            <w:pPr>
              <w:spacing w:after="0" w:line="240" w:lineRule="auto"/>
              <w:rPr>
                <w:rFonts w:ascii="Arial" w:eastAsia="Times New Roman" w:hAnsi="Arial" w:cs="Arial"/>
                <w:b/>
                <w:bCs/>
                <w:kern w:val="0"/>
                <w:sz w:val="16"/>
                <w:szCs w:val="16"/>
                <w:lang w:eastAsia="pt-BR"/>
                <w14:ligatures w14:val="none"/>
              </w:rPr>
            </w:pPr>
            <w:r w:rsidRPr="00217E7F">
              <w:rPr>
                <w:rFonts w:ascii="Arial" w:eastAsia="Times New Roman" w:hAnsi="Arial" w:cs="Arial"/>
                <w:b/>
                <w:bCs/>
                <w:kern w:val="0"/>
                <w:sz w:val="16"/>
                <w:szCs w:val="16"/>
                <w:lang w:eastAsia="pt-BR"/>
                <w14:ligatures w14:val="none"/>
              </w:rPr>
              <w:t xml:space="preserve"> EBIT</w:t>
            </w:r>
          </w:p>
        </w:tc>
        <w:tc>
          <w:tcPr>
            <w:tcW w:w="519" w:type="pct"/>
            <w:tcBorders>
              <w:top w:val="nil"/>
              <w:left w:val="single" w:sz="4" w:space="0" w:color="3616F6"/>
              <w:bottom w:val="single" w:sz="4" w:space="0" w:color="3616F6"/>
              <w:right w:val="single" w:sz="4" w:space="0" w:color="3616F6"/>
            </w:tcBorders>
            <w:shd w:val="clear" w:color="000000" w:fill="75F6F9"/>
            <w:vAlign w:val="center"/>
            <w:hideMark/>
          </w:tcPr>
          <w:p w14:paraId="4B8A6BA0" w14:textId="77777777" w:rsidR="00217E7F" w:rsidRPr="00217E7F" w:rsidRDefault="00217E7F" w:rsidP="00217E7F">
            <w:pPr>
              <w:spacing w:after="0" w:line="240" w:lineRule="auto"/>
              <w:jc w:val="right"/>
              <w:rPr>
                <w:rFonts w:ascii="Arial" w:eastAsia="Times New Roman" w:hAnsi="Arial" w:cs="Arial"/>
                <w:b/>
                <w:bCs/>
                <w:color w:val="000000"/>
                <w:kern w:val="0"/>
                <w:sz w:val="16"/>
                <w:szCs w:val="16"/>
                <w:lang w:eastAsia="pt-BR"/>
                <w14:ligatures w14:val="none"/>
              </w:rPr>
            </w:pPr>
            <w:r w:rsidRPr="00217E7F">
              <w:rPr>
                <w:rFonts w:ascii="Arial" w:eastAsia="Times New Roman" w:hAnsi="Arial" w:cs="Arial"/>
                <w:b/>
                <w:bCs/>
                <w:color w:val="000000"/>
                <w:kern w:val="0"/>
                <w:sz w:val="16"/>
                <w:szCs w:val="16"/>
                <w:lang w:eastAsia="pt-BR"/>
                <w14:ligatures w14:val="none"/>
              </w:rPr>
              <w:t xml:space="preserve">      (24.191)</w:t>
            </w:r>
          </w:p>
        </w:tc>
        <w:tc>
          <w:tcPr>
            <w:tcW w:w="519" w:type="pct"/>
            <w:tcBorders>
              <w:top w:val="single" w:sz="4" w:space="0" w:color="3616F6"/>
              <w:left w:val="nil"/>
              <w:bottom w:val="single" w:sz="4" w:space="0" w:color="3616F6"/>
              <w:right w:val="single" w:sz="4" w:space="0" w:color="3616F6"/>
            </w:tcBorders>
            <w:shd w:val="clear" w:color="auto" w:fill="auto"/>
            <w:noWrap/>
            <w:vAlign w:val="bottom"/>
            <w:hideMark/>
          </w:tcPr>
          <w:p w14:paraId="184FC16E" w14:textId="77777777" w:rsidR="00217E7F" w:rsidRPr="00217E7F" w:rsidRDefault="00217E7F" w:rsidP="00217E7F">
            <w:pPr>
              <w:spacing w:after="0" w:line="240" w:lineRule="auto"/>
              <w:jc w:val="right"/>
              <w:rPr>
                <w:rFonts w:ascii="Arial" w:eastAsia="Times New Roman" w:hAnsi="Arial" w:cs="Arial"/>
                <w:b/>
                <w:bCs/>
                <w:kern w:val="0"/>
                <w:sz w:val="16"/>
                <w:szCs w:val="16"/>
                <w:lang w:eastAsia="pt-BR"/>
                <w14:ligatures w14:val="none"/>
              </w:rPr>
            </w:pPr>
            <w:r w:rsidRPr="00217E7F">
              <w:rPr>
                <w:rFonts w:ascii="Arial" w:eastAsia="Times New Roman" w:hAnsi="Arial" w:cs="Arial"/>
                <w:b/>
                <w:bCs/>
                <w:kern w:val="0"/>
                <w:sz w:val="16"/>
                <w:szCs w:val="16"/>
                <w:lang w:eastAsia="pt-BR"/>
                <w14:ligatures w14:val="none"/>
              </w:rPr>
              <w:t xml:space="preserve">       22.079 </w:t>
            </w:r>
          </w:p>
        </w:tc>
        <w:tc>
          <w:tcPr>
            <w:tcW w:w="519" w:type="pct"/>
            <w:tcBorders>
              <w:top w:val="single" w:sz="4" w:space="0" w:color="3616F6"/>
              <w:left w:val="nil"/>
              <w:bottom w:val="single" w:sz="4" w:space="0" w:color="3616F6"/>
              <w:right w:val="nil"/>
            </w:tcBorders>
            <w:shd w:val="clear" w:color="auto" w:fill="auto"/>
            <w:noWrap/>
            <w:vAlign w:val="bottom"/>
            <w:hideMark/>
          </w:tcPr>
          <w:p w14:paraId="46BC4671" w14:textId="77777777" w:rsidR="00217E7F" w:rsidRPr="00217E7F" w:rsidRDefault="00217E7F" w:rsidP="00217E7F">
            <w:pPr>
              <w:spacing w:after="0" w:line="240" w:lineRule="auto"/>
              <w:jc w:val="right"/>
              <w:rPr>
                <w:rFonts w:ascii="Arial" w:eastAsia="Times New Roman" w:hAnsi="Arial" w:cs="Arial"/>
                <w:b/>
                <w:bCs/>
                <w:kern w:val="0"/>
                <w:sz w:val="16"/>
                <w:szCs w:val="16"/>
                <w:lang w:eastAsia="pt-BR"/>
                <w14:ligatures w14:val="none"/>
              </w:rPr>
            </w:pPr>
            <w:r w:rsidRPr="00217E7F">
              <w:rPr>
                <w:rFonts w:ascii="Arial" w:eastAsia="Times New Roman" w:hAnsi="Arial" w:cs="Arial"/>
                <w:b/>
                <w:bCs/>
                <w:kern w:val="0"/>
                <w:sz w:val="16"/>
                <w:szCs w:val="16"/>
                <w:lang w:eastAsia="pt-BR"/>
                <w14:ligatures w14:val="none"/>
              </w:rPr>
              <w:t xml:space="preserve">      (79.994)</w:t>
            </w:r>
          </w:p>
        </w:tc>
        <w:tc>
          <w:tcPr>
            <w:tcW w:w="104" w:type="pct"/>
            <w:tcBorders>
              <w:top w:val="nil"/>
              <w:left w:val="nil"/>
              <w:bottom w:val="nil"/>
              <w:right w:val="nil"/>
            </w:tcBorders>
            <w:shd w:val="clear" w:color="auto" w:fill="auto"/>
            <w:noWrap/>
            <w:vAlign w:val="bottom"/>
            <w:hideMark/>
          </w:tcPr>
          <w:p w14:paraId="3FE740B5" w14:textId="77777777" w:rsidR="00217E7F" w:rsidRPr="00217E7F" w:rsidRDefault="00217E7F" w:rsidP="00217E7F">
            <w:pPr>
              <w:spacing w:after="0" w:line="240" w:lineRule="auto"/>
              <w:jc w:val="right"/>
              <w:rPr>
                <w:rFonts w:ascii="Arial" w:eastAsia="Times New Roman" w:hAnsi="Arial" w:cs="Arial"/>
                <w:b/>
                <w:bCs/>
                <w:kern w:val="0"/>
                <w:sz w:val="16"/>
                <w:szCs w:val="16"/>
                <w:lang w:eastAsia="pt-BR"/>
                <w14:ligatures w14:val="none"/>
              </w:rPr>
            </w:pPr>
          </w:p>
        </w:tc>
        <w:tc>
          <w:tcPr>
            <w:tcW w:w="465" w:type="pct"/>
            <w:tcBorders>
              <w:top w:val="single" w:sz="4" w:space="0" w:color="3616F6"/>
              <w:left w:val="nil"/>
              <w:bottom w:val="single" w:sz="4" w:space="0" w:color="3616F6"/>
              <w:right w:val="single" w:sz="4" w:space="0" w:color="3616F6"/>
            </w:tcBorders>
            <w:shd w:val="clear" w:color="auto" w:fill="auto"/>
            <w:noWrap/>
            <w:vAlign w:val="bottom"/>
            <w:hideMark/>
          </w:tcPr>
          <w:p w14:paraId="25AA298F" w14:textId="77777777" w:rsidR="00217E7F" w:rsidRPr="00217E7F" w:rsidRDefault="00217E7F" w:rsidP="00217E7F">
            <w:pPr>
              <w:spacing w:after="0" w:line="240" w:lineRule="auto"/>
              <w:jc w:val="right"/>
              <w:rPr>
                <w:rFonts w:ascii="Arial" w:eastAsia="Times New Roman" w:hAnsi="Arial" w:cs="Arial"/>
                <w:b/>
                <w:bCs/>
                <w:kern w:val="0"/>
                <w:sz w:val="16"/>
                <w:szCs w:val="16"/>
                <w:lang w:eastAsia="pt-BR"/>
                <w14:ligatures w14:val="none"/>
              </w:rPr>
            </w:pPr>
            <w:r w:rsidRPr="00217E7F">
              <w:rPr>
                <w:rFonts w:ascii="Arial" w:eastAsia="Times New Roman" w:hAnsi="Arial" w:cs="Arial"/>
                <w:b/>
                <w:bCs/>
                <w:kern w:val="0"/>
                <w:sz w:val="16"/>
                <w:szCs w:val="16"/>
                <w:lang w:eastAsia="pt-BR"/>
                <w14:ligatures w14:val="none"/>
              </w:rPr>
              <w:t xml:space="preserve">    (67.407)</w:t>
            </w:r>
          </w:p>
        </w:tc>
        <w:tc>
          <w:tcPr>
            <w:tcW w:w="473" w:type="pct"/>
            <w:tcBorders>
              <w:top w:val="single" w:sz="4" w:space="0" w:color="3616F6"/>
              <w:left w:val="nil"/>
              <w:bottom w:val="single" w:sz="4" w:space="0" w:color="3616F6"/>
              <w:right w:val="nil"/>
            </w:tcBorders>
            <w:shd w:val="clear" w:color="auto" w:fill="auto"/>
            <w:noWrap/>
            <w:vAlign w:val="bottom"/>
            <w:hideMark/>
          </w:tcPr>
          <w:p w14:paraId="0C092992" w14:textId="77777777" w:rsidR="00217E7F" w:rsidRPr="00217E7F" w:rsidRDefault="00217E7F" w:rsidP="00217E7F">
            <w:pPr>
              <w:spacing w:after="0" w:line="240" w:lineRule="auto"/>
              <w:jc w:val="right"/>
              <w:rPr>
                <w:rFonts w:ascii="Arial" w:eastAsia="Times New Roman" w:hAnsi="Arial" w:cs="Arial"/>
                <w:b/>
                <w:bCs/>
                <w:kern w:val="0"/>
                <w:sz w:val="16"/>
                <w:szCs w:val="16"/>
                <w:lang w:eastAsia="pt-BR"/>
                <w14:ligatures w14:val="none"/>
              </w:rPr>
            </w:pPr>
            <w:r w:rsidRPr="00217E7F">
              <w:rPr>
                <w:rFonts w:ascii="Arial" w:eastAsia="Times New Roman" w:hAnsi="Arial" w:cs="Arial"/>
                <w:b/>
                <w:bCs/>
                <w:kern w:val="0"/>
                <w:sz w:val="16"/>
                <w:szCs w:val="16"/>
                <w:lang w:eastAsia="pt-BR"/>
                <w14:ligatures w14:val="none"/>
              </w:rPr>
              <w:t xml:space="preserve">    (68.311)</w:t>
            </w:r>
          </w:p>
        </w:tc>
      </w:tr>
      <w:tr w:rsidR="00217E7F" w:rsidRPr="00217E7F" w14:paraId="7CC01B11" w14:textId="77777777" w:rsidTr="00446A14">
        <w:trPr>
          <w:trHeight w:val="238"/>
        </w:trPr>
        <w:tc>
          <w:tcPr>
            <w:tcW w:w="2400" w:type="pct"/>
            <w:tcBorders>
              <w:top w:val="nil"/>
              <w:left w:val="nil"/>
              <w:bottom w:val="nil"/>
              <w:right w:val="nil"/>
            </w:tcBorders>
            <w:shd w:val="clear" w:color="auto" w:fill="auto"/>
            <w:noWrap/>
            <w:vAlign w:val="bottom"/>
            <w:hideMark/>
          </w:tcPr>
          <w:p w14:paraId="65FC102D" w14:textId="77777777" w:rsidR="00217E7F" w:rsidRPr="00217E7F" w:rsidRDefault="00217E7F" w:rsidP="00217E7F">
            <w:pPr>
              <w:spacing w:after="0" w:line="240" w:lineRule="auto"/>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Resultado Financeiro</w:t>
            </w:r>
          </w:p>
        </w:tc>
        <w:tc>
          <w:tcPr>
            <w:tcW w:w="519" w:type="pct"/>
            <w:tcBorders>
              <w:top w:val="nil"/>
              <w:left w:val="single" w:sz="4" w:space="0" w:color="3616F6"/>
              <w:bottom w:val="single" w:sz="4" w:space="0" w:color="3616F6"/>
              <w:right w:val="single" w:sz="4" w:space="0" w:color="3616F6"/>
            </w:tcBorders>
            <w:shd w:val="clear" w:color="000000" w:fill="75F6F9"/>
            <w:vAlign w:val="center"/>
            <w:hideMark/>
          </w:tcPr>
          <w:p w14:paraId="120572D4" w14:textId="77777777" w:rsidR="00217E7F" w:rsidRPr="00217E7F" w:rsidRDefault="00217E7F" w:rsidP="00217E7F">
            <w:pPr>
              <w:spacing w:after="0" w:line="240" w:lineRule="auto"/>
              <w:jc w:val="right"/>
              <w:rPr>
                <w:rFonts w:ascii="Arial" w:eastAsia="Times New Roman" w:hAnsi="Arial" w:cs="Arial"/>
                <w:color w:val="000000"/>
                <w:kern w:val="0"/>
                <w:sz w:val="16"/>
                <w:szCs w:val="16"/>
                <w:lang w:eastAsia="pt-BR"/>
                <w14:ligatures w14:val="none"/>
              </w:rPr>
            </w:pPr>
            <w:r w:rsidRPr="00217E7F">
              <w:rPr>
                <w:rFonts w:ascii="Arial" w:eastAsia="Times New Roman" w:hAnsi="Arial" w:cs="Arial"/>
                <w:color w:val="000000"/>
                <w:kern w:val="0"/>
                <w:sz w:val="16"/>
                <w:szCs w:val="16"/>
                <w:lang w:eastAsia="pt-BR"/>
                <w14:ligatures w14:val="none"/>
              </w:rPr>
              <w:t xml:space="preserve">      (27.915)</w:t>
            </w:r>
          </w:p>
        </w:tc>
        <w:tc>
          <w:tcPr>
            <w:tcW w:w="519" w:type="pct"/>
            <w:tcBorders>
              <w:top w:val="nil"/>
              <w:left w:val="nil"/>
              <w:bottom w:val="nil"/>
              <w:right w:val="single" w:sz="4" w:space="0" w:color="3616F6"/>
            </w:tcBorders>
            <w:shd w:val="clear" w:color="auto" w:fill="auto"/>
            <w:noWrap/>
            <w:vAlign w:val="bottom"/>
            <w:hideMark/>
          </w:tcPr>
          <w:p w14:paraId="7612F8BE"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(23.568)</w:t>
            </w:r>
          </w:p>
        </w:tc>
        <w:tc>
          <w:tcPr>
            <w:tcW w:w="519" w:type="pct"/>
            <w:tcBorders>
              <w:top w:val="nil"/>
              <w:left w:val="nil"/>
              <w:bottom w:val="nil"/>
              <w:right w:val="nil"/>
            </w:tcBorders>
            <w:shd w:val="clear" w:color="auto" w:fill="auto"/>
            <w:noWrap/>
            <w:vAlign w:val="bottom"/>
            <w:hideMark/>
          </w:tcPr>
          <w:p w14:paraId="50DD8709"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(11.308)</w:t>
            </w:r>
          </w:p>
        </w:tc>
        <w:tc>
          <w:tcPr>
            <w:tcW w:w="104" w:type="pct"/>
            <w:tcBorders>
              <w:top w:val="nil"/>
              <w:left w:val="nil"/>
              <w:bottom w:val="nil"/>
              <w:right w:val="nil"/>
            </w:tcBorders>
            <w:shd w:val="clear" w:color="auto" w:fill="auto"/>
            <w:noWrap/>
            <w:vAlign w:val="bottom"/>
            <w:hideMark/>
          </w:tcPr>
          <w:p w14:paraId="5D924167"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p>
        </w:tc>
        <w:tc>
          <w:tcPr>
            <w:tcW w:w="465" w:type="pct"/>
            <w:tcBorders>
              <w:top w:val="nil"/>
              <w:left w:val="nil"/>
              <w:bottom w:val="nil"/>
              <w:right w:val="single" w:sz="4" w:space="0" w:color="3616F6"/>
            </w:tcBorders>
            <w:shd w:val="clear" w:color="auto" w:fill="auto"/>
            <w:noWrap/>
            <w:vAlign w:val="bottom"/>
            <w:hideMark/>
          </w:tcPr>
          <w:p w14:paraId="4EE40427"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(59.950)</w:t>
            </w:r>
          </w:p>
        </w:tc>
        <w:tc>
          <w:tcPr>
            <w:tcW w:w="473" w:type="pct"/>
            <w:tcBorders>
              <w:top w:val="nil"/>
              <w:left w:val="nil"/>
              <w:bottom w:val="nil"/>
              <w:right w:val="nil"/>
            </w:tcBorders>
            <w:shd w:val="clear" w:color="auto" w:fill="auto"/>
            <w:noWrap/>
            <w:vAlign w:val="bottom"/>
            <w:hideMark/>
          </w:tcPr>
          <w:p w14:paraId="1C80300D" w14:textId="77777777" w:rsidR="00217E7F" w:rsidRPr="00217E7F" w:rsidRDefault="00217E7F" w:rsidP="00217E7F">
            <w:pPr>
              <w:spacing w:after="0" w:line="240" w:lineRule="auto"/>
              <w:jc w:val="right"/>
              <w:rPr>
                <w:rFonts w:ascii="Arial" w:eastAsia="Times New Roman" w:hAnsi="Arial" w:cs="Arial"/>
                <w:kern w:val="0"/>
                <w:sz w:val="16"/>
                <w:szCs w:val="16"/>
                <w:lang w:eastAsia="pt-BR"/>
                <w14:ligatures w14:val="none"/>
              </w:rPr>
            </w:pPr>
            <w:r w:rsidRPr="00217E7F">
              <w:rPr>
                <w:rFonts w:ascii="Arial" w:eastAsia="Times New Roman" w:hAnsi="Arial" w:cs="Arial"/>
                <w:kern w:val="0"/>
                <w:sz w:val="16"/>
                <w:szCs w:val="16"/>
                <w:lang w:eastAsia="pt-BR"/>
                <w14:ligatures w14:val="none"/>
              </w:rPr>
              <w:t xml:space="preserve"> (100.148)</w:t>
            </w:r>
          </w:p>
        </w:tc>
      </w:tr>
      <w:tr w:rsidR="00217E7F" w:rsidRPr="00217E7F" w14:paraId="4D601E6B" w14:textId="77777777" w:rsidTr="00446A14">
        <w:trPr>
          <w:trHeight w:val="238"/>
        </w:trPr>
        <w:tc>
          <w:tcPr>
            <w:tcW w:w="2400" w:type="pct"/>
            <w:tcBorders>
              <w:top w:val="single" w:sz="4" w:space="0" w:color="3616F6"/>
              <w:left w:val="nil"/>
              <w:bottom w:val="single" w:sz="4" w:space="0" w:color="3616F6"/>
              <w:right w:val="nil"/>
            </w:tcBorders>
            <w:shd w:val="clear" w:color="auto" w:fill="auto"/>
            <w:noWrap/>
            <w:vAlign w:val="bottom"/>
            <w:hideMark/>
          </w:tcPr>
          <w:p w14:paraId="70DB4BCA" w14:textId="77777777" w:rsidR="00217E7F" w:rsidRPr="00217E7F" w:rsidRDefault="00217E7F" w:rsidP="00217E7F">
            <w:pPr>
              <w:spacing w:after="0" w:line="240" w:lineRule="auto"/>
              <w:rPr>
                <w:rFonts w:ascii="Arial" w:eastAsia="Times New Roman" w:hAnsi="Arial" w:cs="Arial"/>
                <w:b/>
                <w:bCs/>
                <w:kern w:val="0"/>
                <w:sz w:val="16"/>
                <w:szCs w:val="16"/>
                <w:lang w:eastAsia="pt-BR"/>
                <w14:ligatures w14:val="none"/>
              </w:rPr>
            </w:pPr>
            <w:r w:rsidRPr="00217E7F">
              <w:rPr>
                <w:rFonts w:ascii="Arial" w:eastAsia="Times New Roman" w:hAnsi="Arial" w:cs="Arial"/>
                <w:b/>
                <w:bCs/>
                <w:kern w:val="0"/>
                <w:sz w:val="16"/>
                <w:szCs w:val="16"/>
                <w:lang w:eastAsia="pt-BR"/>
                <w14:ligatures w14:val="none"/>
              </w:rPr>
              <w:t xml:space="preserve"> PREJUÍZO DO EXERCÍCIO</w:t>
            </w:r>
          </w:p>
        </w:tc>
        <w:tc>
          <w:tcPr>
            <w:tcW w:w="519" w:type="pct"/>
            <w:tcBorders>
              <w:top w:val="nil"/>
              <w:left w:val="single" w:sz="4" w:space="0" w:color="3616F6"/>
              <w:bottom w:val="single" w:sz="4" w:space="0" w:color="3616F6"/>
              <w:right w:val="single" w:sz="4" w:space="0" w:color="3616F6"/>
            </w:tcBorders>
            <w:shd w:val="clear" w:color="000000" w:fill="75F6F9"/>
            <w:vAlign w:val="center"/>
            <w:hideMark/>
          </w:tcPr>
          <w:p w14:paraId="27F784E3" w14:textId="77777777" w:rsidR="00217E7F" w:rsidRPr="00217E7F" w:rsidRDefault="00217E7F" w:rsidP="00217E7F">
            <w:pPr>
              <w:spacing w:after="0" w:line="240" w:lineRule="auto"/>
              <w:jc w:val="right"/>
              <w:rPr>
                <w:rFonts w:ascii="Arial" w:eastAsia="Times New Roman" w:hAnsi="Arial" w:cs="Arial"/>
                <w:b/>
                <w:bCs/>
                <w:color w:val="000000"/>
                <w:kern w:val="0"/>
                <w:sz w:val="16"/>
                <w:szCs w:val="16"/>
                <w:lang w:eastAsia="pt-BR"/>
                <w14:ligatures w14:val="none"/>
              </w:rPr>
            </w:pPr>
            <w:r w:rsidRPr="00217E7F">
              <w:rPr>
                <w:rFonts w:ascii="Arial" w:eastAsia="Times New Roman" w:hAnsi="Arial" w:cs="Arial"/>
                <w:b/>
                <w:bCs/>
                <w:color w:val="000000"/>
                <w:kern w:val="0"/>
                <w:sz w:val="16"/>
                <w:szCs w:val="16"/>
                <w:lang w:eastAsia="pt-BR"/>
                <w14:ligatures w14:val="none"/>
              </w:rPr>
              <w:t xml:space="preserve">      (52.106)</w:t>
            </w:r>
          </w:p>
        </w:tc>
        <w:tc>
          <w:tcPr>
            <w:tcW w:w="519" w:type="pct"/>
            <w:tcBorders>
              <w:top w:val="single" w:sz="4" w:space="0" w:color="3616F6"/>
              <w:left w:val="nil"/>
              <w:bottom w:val="single" w:sz="4" w:space="0" w:color="3616F6"/>
              <w:right w:val="single" w:sz="4" w:space="0" w:color="3616F6"/>
            </w:tcBorders>
            <w:shd w:val="clear" w:color="auto" w:fill="auto"/>
            <w:noWrap/>
            <w:vAlign w:val="bottom"/>
            <w:hideMark/>
          </w:tcPr>
          <w:p w14:paraId="5DB1BFB8" w14:textId="77777777" w:rsidR="00217E7F" w:rsidRPr="00217E7F" w:rsidRDefault="00217E7F" w:rsidP="00217E7F">
            <w:pPr>
              <w:spacing w:after="0" w:line="240" w:lineRule="auto"/>
              <w:jc w:val="right"/>
              <w:rPr>
                <w:rFonts w:ascii="Arial" w:eastAsia="Times New Roman" w:hAnsi="Arial" w:cs="Arial"/>
                <w:b/>
                <w:bCs/>
                <w:kern w:val="0"/>
                <w:sz w:val="16"/>
                <w:szCs w:val="16"/>
                <w:lang w:eastAsia="pt-BR"/>
                <w14:ligatures w14:val="none"/>
              </w:rPr>
            </w:pPr>
            <w:r w:rsidRPr="00217E7F">
              <w:rPr>
                <w:rFonts w:ascii="Arial" w:eastAsia="Times New Roman" w:hAnsi="Arial" w:cs="Arial"/>
                <w:b/>
                <w:bCs/>
                <w:kern w:val="0"/>
                <w:sz w:val="16"/>
                <w:szCs w:val="16"/>
                <w:lang w:eastAsia="pt-BR"/>
                <w14:ligatures w14:val="none"/>
              </w:rPr>
              <w:t xml:space="preserve">        (1.489)</w:t>
            </w:r>
          </w:p>
        </w:tc>
        <w:tc>
          <w:tcPr>
            <w:tcW w:w="519" w:type="pct"/>
            <w:tcBorders>
              <w:top w:val="single" w:sz="4" w:space="0" w:color="3616F6"/>
              <w:left w:val="nil"/>
              <w:bottom w:val="single" w:sz="4" w:space="0" w:color="3616F6"/>
              <w:right w:val="nil"/>
            </w:tcBorders>
            <w:shd w:val="clear" w:color="auto" w:fill="auto"/>
            <w:noWrap/>
            <w:vAlign w:val="bottom"/>
            <w:hideMark/>
          </w:tcPr>
          <w:p w14:paraId="0714EC16" w14:textId="77777777" w:rsidR="00217E7F" w:rsidRPr="00217E7F" w:rsidRDefault="00217E7F" w:rsidP="00217E7F">
            <w:pPr>
              <w:spacing w:after="0" w:line="240" w:lineRule="auto"/>
              <w:jc w:val="right"/>
              <w:rPr>
                <w:rFonts w:ascii="Arial" w:eastAsia="Times New Roman" w:hAnsi="Arial" w:cs="Arial"/>
                <w:b/>
                <w:bCs/>
                <w:kern w:val="0"/>
                <w:sz w:val="16"/>
                <w:szCs w:val="16"/>
                <w:lang w:eastAsia="pt-BR"/>
                <w14:ligatures w14:val="none"/>
              </w:rPr>
            </w:pPr>
            <w:r w:rsidRPr="00217E7F">
              <w:rPr>
                <w:rFonts w:ascii="Arial" w:eastAsia="Times New Roman" w:hAnsi="Arial" w:cs="Arial"/>
                <w:b/>
                <w:bCs/>
                <w:kern w:val="0"/>
                <w:sz w:val="16"/>
                <w:szCs w:val="16"/>
                <w:lang w:eastAsia="pt-BR"/>
                <w14:ligatures w14:val="none"/>
              </w:rPr>
              <w:t xml:space="preserve">      (91.302)</w:t>
            </w:r>
          </w:p>
        </w:tc>
        <w:tc>
          <w:tcPr>
            <w:tcW w:w="104" w:type="pct"/>
            <w:tcBorders>
              <w:top w:val="nil"/>
              <w:left w:val="nil"/>
              <w:bottom w:val="nil"/>
              <w:right w:val="nil"/>
            </w:tcBorders>
            <w:shd w:val="clear" w:color="auto" w:fill="auto"/>
            <w:noWrap/>
            <w:vAlign w:val="bottom"/>
            <w:hideMark/>
          </w:tcPr>
          <w:p w14:paraId="48B1AD3B" w14:textId="77777777" w:rsidR="00217E7F" w:rsidRPr="00217E7F" w:rsidRDefault="00217E7F" w:rsidP="00217E7F">
            <w:pPr>
              <w:spacing w:after="0" w:line="240" w:lineRule="auto"/>
              <w:jc w:val="right"/>
              <w:rPr>
                <w:rFonts w:ascii="Arial" w:eastAsia="Times New Roman" w:hAnsi="Arial" w:cs="Arial"/>
                <w:b/>
                <w:bCs/>
                <w:kern w:val="0"/>
                <w:sz w:val="16"/>
                <w:szCs w:val="16"/>
                <w:lang w:eastAsia="pt-BR"/>
                <w14:ligatures w14:val="none"/>
              </w:rPr>
            </w:pPr>
          </w:p>
        </w:tc>
        <w:tc>
          <w:tcPr>
            <w:tcW w:w="465" w:type="pct"/>
            <w:tcBorders>
              <w:top w:val="single" w:sz="4" w:space="0" w:color="3616F6"/>
              <w:left w:val="nil"/>
              <w:bottom w:val="single" w:sz="4" w:space="0" w:color="3616F6"/>
              <w:right w:val="single" w:sz="4" w:space="0" w:color="3616F6"/>
            </w:tcBorders>
            <w:shd w:val="clear" w:color="auto" w:fill="auto"/>
            <w:noWrap/>
            <w:vAlign w:val="bottom"/>
            <w:hideMark/>
          </w:tcPr>
          <w:p w14:paraId="634F94D6" w14:textId="77777777" w:rsidR="00217E7F" w:rsidRPr="00217E7F" w:rsidRDefault="00217E7F" w:rsidP="00217E7F">
            <w:pPr>
              <w:spacing w:after="0" w:line="240" w:lineRule="auto"/>
              <w:jc w:val="right"/>
              <w:rPr>
                <w:rFonts w:ascii="Arial" w:eastAsia="Times New Roman" w:hAnsi="Arial" w:cs="Arial"/>
                <w:b/>
                <w:bCs/>
                <w:kern w:val="0"/>
                <w:sz w:val="16"/>
                <w:szCs w:val="16"/>
                <w:lang w:eastAsia="pt-BR"/>
                <w14:ligatures w14:val="none"/>
              </w:rPr>
            </w:pPr>
            <w:r w:rsidRPr="00217E7F">
              <w:rPr>
                <w:rFonts w:ascii="Arial" w:eastAsia="Times New Roman" w:hAnsi="Arial" w:cs="Arial"/>
                <w:b/>
                <w:bCs/>
                <w:kern w:val="0"/>
                <w:sz w:val="16"/>
                <w:szCs w:val="16"/>
                <w:lang w:eastAsia="pt-BR"/>
                <w14:ligatures w14:val="none"/>
              </w:rPr>
              <w:t xml:space="preserve"> (127.357)</w:t>
            </w:r>
          </w:p>
        </w:tc>
        <w:tc>
          <w:tcPr>
            <w:tcW w:w="473" w:type="pct"/>
            <w:tcBorders>
              <w:top w:val="single" w:sz="4" w:space="0" w:color="3616F6"/>
              <w:left w:val="nil"/>
              <w:bottom w:val="single" w:sz="4" w:space="0" w:color="3616F6"/>
              <w:right w:val="nil"/>
            </w:tcBorders>
            <w:shd w:val="clear" w:color="auto" w:fill="auto"/>
            <w:noWrap/>
            <w:vAlign w:val="bottom"/>
            <w:hideMark/>
          </w:tcPr>
          <w:p w14:paraId="7F0DBEDD" w14:textId="77777777" w:rsidR="00217E7F" w:rsidRPr="00217E7F" w:rsidRDefault="00217E7F" w:rsidP="00217E7F">
            <w:pPr>
              <w:spacing w:after="0" w:line="240" w:lineRule="auto"/>
              <w:jc w:val="right"/>
              <w:rPr>
                <w:rFonts w:ascii="Arial" w:eastAsia="Times New Roman" w:hAnsi="Arial" w:cs="Arial"/>
                <w:b/>
                <w:bCs/>
                <w:kern w:val="0"/>
                <w:sz w:val="16"/>
                <w:szCs w:val="16"/>
                <w:lang w:eastAsia="pt-BR"/>
                <w14:ligatures w14:val="none"/>
              </w:rPr>
            </w:pPr>
            <w:r w:rsidRPr="00217E7F">
              <w:rPr>
                <w:rFonts w:ascii="Arial" w:eastAsia="Times New Roman" w:hAnsi="Arial" w:cs="Arial"/>
                <w:b/>
                <w:bCs/>
                <w:kern w:val="0"/>
                <w:sz w:val="16"/>
                <w:szCs w:val="16"/>
                <w:lang w:eastAsia="pt-BR"/>
                <w14:ligatures w14:val="none"/>
              </w:rPr>
              <w:t xml:space="preserve"> (168.459)</w:t>
            </w:r>
          </w:p>
        </w:tc>
      </w:tr>
      <w:tr w:rsidR="00217E7F" w:rsidRPr="00217E7F" w14:paraId="688DC2F6" w14:textId="77777777" w:rsidTr="00446A14">
        <w:trPr>
          <w:trHeight w:val="238"/>
        </w:trPr>
        <w:tc>
          <w:tcPr>
            <w:tcW w:w="2400" w:type="pct"/>
            <w:tcBorders>
              <w:top w:val="nil"/>
              <w:left w:val="nil"/>
              <w:bottom w:val="single" w:sz="4" w:space="0" w:color="3616F6"/>
              <w:right w:val="nil"/>
            </w:tcBorders>
            <w:shd w:val="clear" w:color="auto" w:fill="auto"/>
            <w:noWrap/>
            <w:vAlign w:val="bottom"/>
            <w:hideMark/>
          </w:tcPr>
          <w:p w14:paraId="7B7BCBB4" w14:textId="77777777" w:rsidR="00217E7F" w:rsidRPr="00217E7F" w:rsidRDefault="00217E7F" w:rsidP="00217E7F">
            <w:pPr>
              <w:spacing w:after="0" w:line="240" w:lineRule="auto"/>
              <w:rPr>
                <w:rFonts w:ascii="Arial" w:eastAsia="Times New Roman" w:hAnsi="Arial" w:cs="Arial"/>
                <w:b/>
                <w:bCs/>
                <w:i/>
                <w:iCs/>
                <w:kern w:val="0"/>
                <w:sz w:val="16"/>
                <w:szCs w:val="16"/>
                <w:lang w:eastAsia="pt-BR"/>
                <w14:ligatures w14:val="none"/>
              </w:rPr>
            </w:pPr>
            <w:r w:rsidRPr="00217E7F">
              <w:rPr>
                <w:rFonts w:ascii="Arial" w:eastAsia="Times New Roman" w:hAnsi="Arial" w:cs="Arial"/>
                <w:b/>
                <w:bCs/>
                <w:i/>
                <w:iCs/>
                <w:kern w:val="0"/>
                <w:sz w:val="16"/>
                <w:szCs w:val="16"/>
                <w:lang w:eastAsia="pt-BR"/>
                <w14:ligatures w14:val="none"/>
              </w:rPr>
              <w:t>Prejuízo por Ação (R$)</w:t>
            </w:r>
          </w:p>
        </w:tc>
        <w:tc>
          <w:tcPr>
            <w:tcW w:w="519" w:type="pct"/>
            <w:tcBorders>
              <w:top w:val="nil"/>
              <w:left w:val="single" w:sz="4" w:space="0" w:color="3616F6"/>
              <w:bottom w:val="single" w:sz="4" w:space="0" w:color="3616F6"/>
              <w:right w:val="single" w:sz="4" w:space="0" w:color="3616F6"/>
            </w:tcBorders>
            <w:shd w:val="clear" w:color="000000" w:fill="75F6F9"/>
            <w:vAlign w:val="center"/>
            <w:hideMark/>
          </w:tcPr>
          <w:p w14:paraId="5742BA9D" w14:textId="77777777" w:rsidR="00217E7F" w:rsidRPr="00217E7F" w:rsidRDefault="00217E7F" w:rsidP="00217E7F">
            <w:pPr>
              <w:spacing w:after="0" w:line="240" w:lineRule="auto"/>
              <w:jc w:val="right"/>
              <w:rPr>
                <w:rFonts w:ascii="Arial" w:eastAsia="Times New Roman" w:hAnsi="Arial" w:cs="Arial"/>
                <w:b/>
                <w:bCs/>
                <w:i/>
                <w:iCs/>
                <w:color w:val="000000"/>
                <w:kern w:val="0"/>
                <w:sz w:val="16"/>
                <w:szCs w:val="16"/>
                <w:lang w:eastAsia="pt-BR"/>
                <w14:ligatures w14:val="none"/>
              </w:rPr>
            </w:pPr>
            <w:r w:rsidRPr="00217E7F">
              <w:rPr>
                <w:rFonts w:ascii="Arial" w:eastAsia="Times New Roman" w:hAnsi="Arial" w:cs="Arial"/>
                <w:b/>
                <w:bCs/>
                <w:i/>
                <w:iCs/>
                <w:color w:val="000000"/>
                <w:kern w:val="0"/>
                <w:sz w:val="16"/>
                <w:szCs w:val="16"/>
                <w:lang w:eastAsia="pt-BR"/>
                <w14:ligatures w14:val="none"/>
              </w:rPr>
              <w:t xml:space="preserve">     (0,6032)</w:t>
            </w:r>
          </w:p>
        </w:tc>
        <w:tc>
          <w:tcPr>
            <w:tcW w:w="519" w:type="pct"/>
            <w:tcBorders>
              <w:top w:val="nil"/>
              <w:left w:val="nil"/>
              <w:bottom w:val="single" w:sz="4" w:space="0" w:color="3616F6"/>
              <w:right w:val="single" w:sz="4" w:space="0" w:color="3616F6"/>
            </w:tcBorders>
            <w:shd w:val="clear" w:color="auto" w:fill="auto"/>
            <w:noWrap/>
            <w:vAlign w:val="bottom"/>
            <w:hideMark/>
          </w:tcPr>
          <w:p w14:paraId="35FE0D8D" w14:textId="77777777" w:rsidR="00217E7F" w:rsidRPr="00217E7F" w:rsidRDefault="00217E7F" w:rsidP="00217E7F">
            <w:pPr>
              <w:spacing w:after="0" w:line="240" w:lineRule="auto"/>
              <w:jc w:val="right"/>
              <w:rPr>
                <w:rFonts w:ascii="Arial" w:eastAsia="Times New Roman" w:hAnsi="Arial" w:cs="Arial"/>
                <w:b/>
                <w:bCs/>
                <w:i/>
                <w:iCs/>
                <w:kern w:val="0"/>
                <w:sz w:val="16"/>
                <w:szCs w:val="16"/>
                <w:lang w:eastAsia="pt-BR"/>
                <w14:ligatures w14:val="none"/>
              </w:rPr>
            </w:pPr>
            <w:r w:rsidRPr="00217E7F">
              <w:rPr>
                <w:rFonts w:ascii="Arial" w:eastAsia="Times New Roman" w:hAnsi="Arial" w:cs="Arial"/>
                <w:b/>
                <w:bCs/>
                <w:i/>
                <w:iCs/>
                <w:kern w:val="0"/>
                <w:sz w:val="16"/>
                <w:szCs w:val="16"/>
                <w:lang w:eastAsia="pt-BR"/>
                <w14:ligatures w14:val="none"/>
              </w:rPr>
              <w:t xml:space="preserve">     (0,0172)</w:t>
            </w:r>
          </w:p>
        </w:tc>
        <w:tc>
          <w:tcPr>
            <w:tcW w:w="519" w:type="pct"/>
            <w:tcBorders>
              <w:top w:val="nil"/>
              <w:left w:val="nil"/>
              <w:bottom w:val="single" w:sz="4" w:space="0" w:color="3616F6"/>
              <w:right w:val="nil"/>
            </w:tcBorders>
            <w:shd w:val="clear" w:color="auto" w:fill="auto"/>
            <w:noWrap/>
            <w:vAlign w:val="bottom"/>
            <w:hideMark/>
          </w:tcPr>
          <w:p w14:paraId="6E5A9F01" w14:textId="77777777" w:rsidR="00217E7F" w:rsidRPr="00217E7F" w:rsidRDefault="00217E7F" w:rsidP="00217E7F">
            <w:pPr>
              <w:spacing w:after="0" w:line="240" w:lineRule="auto"/>
              <w:jc w:val="right"/>
              <w:rPr>
                <w:rFonts w:ascii="Arial" w:eastAsia="Times New Roman" w:hAnsi="Arial" w:cs="Arial"/>
                <w:b/>
                <w:bCs/>
                <w:i/>
                <w:iCs/>
                <w:kern w:val="0"/>
                <w:sz w:val="16"/>
                <w:szCs w:val="16"/>
                <w:lang w:eastAsia="pt-BR"/>
                <w14:ligatures w14:val="none"/>
              </w:rPr>
            </w:pPr>
            <w:r w:rsidRPr="00217E7F">
              <w:rPr>
                <w:rFonts w:ascii="Arial" w:eastAsia="Times New Roman" w:hAnsi="Arial" w:cs="Arial"/>
                <w:b/>
                <w:bCs/>
                <w:i/>
                <w:iCs/>
                <w:kern w:val="0"/>
                <w:sz w:val="16"/>
                <w:szCs w:val="16"/>
                <w:lang w:eastAsia="pt-BR"/>
                <w14:ligatures w14:val="none"/>
              </w:rPr>
              <w:t xml:space="preserve">     (1,0569)</w:t>
            </w:r>
          </w:p>
        </w:tc>
        <w:tc>
          <w:tcPr>
            <w:tcW w:w="104" w:type="pct"/>
            <w:tcBorders>
              <w:top w:val="nil"/>
              <w:left w:val="nil"/>
              <w:bottom w:val="nil"/>
              <w:right w:val="nil"/>
            </w:tcBorders>
            <w:shd w:val="clear" w:color="auto" w:fill="auto"/>
            <w:noWrap/>
            <w:vAlign w:val="bottom"/>
            <w:hideMark/>
          </w:tcPr>
          <w:p w14:paraId="2592DFD4" w14:textId="77777777" w:rsidR="00217E7F" w:rsidRPr="00217E7F" w:rsidRDefault="00217E7F" w:rsidP="00217E7F">
            <w:pPr>
              <w:spacing w:after="0" w:line="240" w:lineRule="auto"/>
              <w:jc w:val="right"/>
              <w:rPr>
                <w:rFonts w:ascii="Arial" w:eastAsia="Times New Roman" w:hAnsi="Arial" w:cs="Arial"/>
                <w:b/>
                <w:bCs/>
                <w:i/>
                <w:iCs/>
                <w:kern w:val="0"/>
                <w:sz w:val="16"/>
                <w:szCs w:val="16"/>
                <w:lang w:eastAsia="pt-BR"/>
                <w14:ligatures w14:val="none"/>
              </w:rPr>
            </w:pPr>
          </w:p>
        </w:tc>
        <w:tc>
          <w:tcPr>
            <w:tcW w:w="465" w:type="pct"/>
            <w:tcBorders>
              <w:top w:val="nil"/>
              <w:left w:val="nil"/>
              <w:bottom w:val="single" w:sz="4" w:space="0" w:color="3616F6"/>
              <w:right w:val="single" w:sz="4" w:space="0" w:color="3616F6"/>
            </w:tcBorders>
            <w:shd w:val="clear" w:color="auto" w:fill="auto"/>
            <w:noWrap/>
            <w:vAlign w:val="bottom"/>
            <w:hideMark/>
          </w:tcPr>
          <w:p w14:paraId="0EA1823D" w14:textId="77777777" w:rsidR="00217E7F" w:rsidRPr="00217E7F" w:rsidRDefault="00217E7F" w:rsidP="00217E7F">
            <w:pPr>
              <w:spacing w:after="0" w:line="240" w:lineRule="auto"/>
              <w:jc w:val="right"/>
              <w:rPr>
                <w:rFonts w:ascii="Arial" w:eastAsia="Times New Roman" w:hAnsi="Arial" w:cs="Arial"/>
                <w:b/>
                <w:bCs/>
                <w:i/>
                <w:iCs/>
                <w:kern w:val="0"/>
                <w:sz w:val="16"/>
                <w:szCs w:val="16"/>
                <w:lang w:eastAsia="pt-BR"/>
                <w14:ligatures w14:val="none"/>
              </w:rPr>
            </w:pPr>
            <w:r w:rsidRPr="00217E7F">
              <w:rPr>
                <w:rFonts w:ascii="Arial" w:eastAsia="Times New Roman" w:hAnsi="Arial" w:cs="Arial"/>
                <w:b/>
                <w:bCs/>
                <w:i/>
                <w:iCs/>
                <w:kern w:val="0"/>
                <w:sz w:val="16"/>
                <w:szCs w:val="16"/>
                <w:lang w:eastAsia="pt-BR"/>
                <w14:ligatures w14:val="none"/>
              </w:rPr>
              <w:t xml:space="preserve">   (1,4743)</w:t>
            </w:r>
          </w:p>
        </w:tc>
        <w:tc>
          <w:tcPr>
            <w:tcW w:w="473" w:type="pct"/>
            <w:tcBorders>
              <w:top w:val="nil"/>
              <w:left w:val="nil"/>
              <w:bottom w:val="single" w:sz="4" w:space="0" w:color="3616F6"/>
              <w:right w:val="nil"/>
            </w:tcBorders>
            <w:shd w:val="clear" w:color="auto" w:fill="auto"/>
            <w:noWrap/>
            <w:vAlign w:val="bottom"/>
            <w:hideMark/>
          </w:tcPr>
          <w:p w14:paraId="650E16CE" w14:textId="77777777" w:rsidR="00217E7F" w:rsidRPr="00217E7F" w:rsidRDefault="00217E7F" w:rsidP="00217E7F">
            <w:pPr>
              <w:spacing w:after="0" w:line="240" w:lineRule="auto"/>
              <w:jc w:val="right"/>
              <w:rPr>
                <w:rFonts w:ascii="Arial" w:eastAsia="Times New Roman" w:hAnsi="Arial" w:cs="Arial"/>
                <w:b/>
                <w:bCs/>
                <w:i/>
                <w:iCs/>
                <w:kern w:val="0"/>
                <w:sz w:val="16"/>
                <w:szCs w:val="16"/>
                <w:lang w:eastAsia="pt-BR"/>
                <w14:ligatures w14:val="none"/>
              </w:rPr>
            </w:pPr>
            <w:r w:rsidRPr="00217E7F">
              <w:rPr>
                <w:rFonts w:ascii="Arial" w:eastAsia="Times New Roman" w:hAnsi="Arial" w:cs="Arial"/>
                <w:b/>
                <w:bCs/>
                <w:i/>
                <w:iCs/>
                <w:kern w:val="0"/>
                <w:sz w:val="16"/>
                <w:szCs w:val="16"/>
                <w:lang w:eastAsia="pt-BR"/>
                <w14:ligatures w14:val="none"/>
              </w:rPr>
              <w:t xml:space="preserve">   (1,9501)</w:t>
            </w:r>
          </w:p>
        </w:tc>
      </w:tr>
    </w:tbl>
    <w:p w14:paraId="54F043F7" w14:textId="77777777" w:rsidR="00217E7F" w:rsidRDefault="00217E7F" w:rsidP="00217E7F">
      <w:pPr>
        <w:spacing w:after="0" w:line="240" w:lineRule="auto"/>
        <w:jc w:val="both"/>
        <w:rPr>
          <w:rFonts w:ascii="Calibri" w:eastAsia="Times New Roman" w:hAnsi="Calibri" w:cs="Calibri"/>
          <w:color w:val="002060"/>
          <w:kern w:val="0"/>
          <w14:ligatures w14:val="none"/>
        </w:rPr>
      </w:pPr>
    </w:p>
    <w:p w14:paraId="63BC0013" w14:textId="77777777" w:rsidR="003712EB" w:rsidRDefault="003712EB" w:rsidP="003712EB">
      <w:pPr>
        <w:spacing w:after="0" w:line="240" w:lineRule="auto"/>
        <w:jc w:val="both"/>
        <w:rPr>
          <w:rFonts w:ascii="Calibri" w:eastAsia="Times New Roman" w:hAnsi="Calibri" w:cs="Calibri"/>
          <w:b/>
          <w:color w:val="002060"/>
          <w:kern w:val="0"/>
          <w:u w:val="single"/>
          <w14:ligatures w14:val="none"/>
        </w:rPr>
      </w:pPr>
      <w:r w:rsidRPr="003712EB">
        <w:rPr>
          <w:rFonts w:ascii="Calibri" w:eastAsia="Times New Roman" w:hAnsi="Calibri" w:cs="Calibri"/>
          <w:b/>
          <w:color w:val="002060"/>
          <w:kern w:val="0"/>
          <w:u w:val="single"/>
          <w14:ligatures w14:val="none"/>
        </w:rPr>
        <w:t>Balanço Patrimonial</w:t>
      </w:r>
    </w:p>
    <w:tbl>
      <w:tblPr>
        <w:tblW w:w="5000" w:type="pct"/>
        <w:tblCellMar>
          <w:left w:w="70" w:type="dxa"/>
          <w:right w:w="70" w:type="dxa"/>
        </w:tblCellMar>
        <w:tblLook w:val="04A0" w:firstRow="1" w:lastRow="0" w:firstColumn="1" w:lastColumn="0" w:noHBand="0" w:noVBand="1"/>
      </w:tblPr>
      <w:tblGrid>
        <w:gridCol w:w="5797"/>
        <w:gridCol w:w="1328"/>
        <w:gridCol w:w="1328"/>
        <w:gridCol w:w="1328"/>
      </w:tblGrid>
      <w:tr w:rsidR="003712EB" w:rsidRPr="003712EB" w14:paraId="08EB9FBD" w14:textId="77777777" w:rsidTr="00446A14">
        <w:trPr>
          <w:trHeight w:val="238"/>
        </w:trPr>
        <w:tc>
          <w:tcPr>
            <w:tcW w:w="2963" w:type="pct"/>
            <w:tcBorders>
              <w:top w:val="single" w:sz="4" w:space="0" w:color="3616F6"/>
              <w:left w:val="nil"/>
              <w:bottom w:val="single" w:sz="4" w:space="0" w:color="3616F6"/>
              <w:right w:val="nil"/>
            </w:tcBorders>
            <w:shd w:val="clear" w:color="000000" w:fill="75F6F9"/>
            <w:vAlign w:val="center"/>
            <w:hideMark/>
          </w:tcPr>
          <w:p w14:paraId="55C99E10" w14:textId="77777777" w:rsidR="003712EB" w:rsidRPr="003712EB" w:rsidRDefault="003712EB" w:rsidP="003712EB">
            <w:pPr>
              <w:spacing w:after="0" w:line="240" w:lineRule="auto"/>
              <w:rPr>
                <w:rFonts w:ascii="Arial" w:eastAsia="Times New Roman" w:hAnsi="Arial" w:cs="Arial"/>
                <w:b/>
                <w:bCs/>
                <w:color w:val="000000"/>
                <w:kern w:val="0"/>
                <w:sz w:val="16"/>
                <w:szCs w:val="16"/>
                <w:lang w:eastAsia="pt-BR"/>
                <w14:ligatures w14:val="none"/>
              </w:rPr>
            </w:pPr>
            <w:r w:rsidRPr="003712EB">
              <w:rPr>
                <w:rFonts w:ascii="Arial" w:eastAsia="Times New Roman" w:hAnsi="Arial" w:cs="Arial"/>
                <w:b/>
                <w:bCs/>
                <w:color w:val="000000"/>
                <w:kern w:val="0"/>
                <w:sz w:val="16"/>
                <w:szCs w:val="16"/>
                <w:lang w:eastAsia="pt-BR"/>
                <w14:ligatures w14:val="none"/>
              </w:rPr>
              <w:t>Balanço Patrimonial - R$ mil</w:t>
            </w:r>
          </w:p>
        </w:tc>
        <w:tc>
          <w:tcPr>
            <w:tcW w:w="679" w:type="pct"/>
            <w:tcBorders>
              <w:top w:val="single" w:sz="4" w:space="0" w:color="3616F6"/>
              <w:left w:val="nil"/>
              <w:bottom w:val="single" w:sz="4" w:space="0" w:color="3616F6"/>
              <w:right w:val="nil"/>
            </w:tcBorders>
            <w:shd w:val="clear" w:color="000000" w:fill="75F6F9"/>
            <w:vAlign w:val="center"/>
            <w:hideMark/>
          </w:tcPr>
          <w:p w14:paraId="32C1BD41" w14:textId="77777777" w:rsidR="003712EB" w:rsidRPr="003712EB" w:rsidRDefault="003712EB" w:rsidP="003712EB">
            <w:pPr>
              <w:spacing w:after="0" w:line="240" w:lineRule="auto"/>
              <w:jc w:val="right"/>
              <w:rPr>
                <w:rFonts w:ascii="Arial" w:eastAsia="Times New Roman" w:hAnsi="Arial" w:cs="Arial"/>
                <w:b/>
                <w:bCs/>
                <w:color w:val="000000"/>
                <w:kern w:val="0"/>
                <w:sz w:val="16"/>
                <w:szCs w:val="16"/>
                <w:lang w:eastAsia="pt-BR"/>
                <w14:ligatures w14:val="none"/>
              </w:rPr>
            </w:pPr>
            <w:r w:rsidRPr="003712EB">
              <w:rPr>
                <w:rFonts w:ascii="Arial" w:eastAsia="Times New Roman" w:hAnsi="Arial" w:cs="Arial"/>
                <w:b/>
                <w:bCs/>
                <w:color w:val="000000"/>
                <w:kern w:val="0"/>
                <w:sz w:val="16"/>
                <w:szCs w:val="16"/>
                <w:lang w:eastAsia="pt-BR"/>
                <w14:ligatures w14:val="none"/>
              </w:rPr>
              <w:t>31/12/2023</w:t>
            </w:r>
          </w:p>
        </w:tc>
        <w:tc>
          <w:tcPr>
            <w:tcW w:w="679" w:type="pct"/>
            <w:tcBorders>
              <w:top w:val="single" w:sz="4" w:space="0" w:color="3616F6"/>
              <w:left w:val="nil"/>
              <w:bottom w:val="single" w:sz="4" w:space="0" w:color="3616F6"/>
              <w:right w:val="nil"/>
            </w:tcBorders>
            <w:shd w:val="clear" w:color="000000" w:fill="75F6F9"/>
            <w:vAlign w:val="center"/>
            <w:hideMark/>
          </w:tcPr>
          <w:p w14:paraId="4D86409A" w14:textId="77777777" w:rsidR="003712EB" w:rsidRPr="003712EB" w:rsidRDefault="003712EB" w:rsidP="003712EB">
            <w:pPr>
              <w:spacing w:after="0" w:line="240" w:lineRule="auto"/>
              <w:jc w:val="right"/>
              <w:rPr>
                <w:rFonts w:ascii="Arial" w:eastAsia="Times New Roman" w:hAnsi="Arial" w:cs="Arial"/>
                <w:b/>
                <w:bCs/>
                <w:color w:val="000000"/>
                <w:kern w:val="0"/>
                <w:sz w:val="16"/>
                <w:szCs w:val="16"/>
                <w:lang w:eastAsia="pt-BR"/>
                <w14:ligatures w14:val="none"/>
              </w:rPr>
            </w:pPr>
            <w:r w:rsidRPr="003712EB">
              <w:rPr>
                <w:rFonts w:ascii="Arial" w:eastAsia="Times New Roman" w:hAnsi="Arial" w:cs="Arial"/>
                <w:b/>
                <w:bCs/>
                <w:color w:val="000000"/>
                <w:kern w:val="0"/>
                <w:sz w:val="16"/>
                <w:szCs w:val="16"/>
                <w:lang w:eastAsia="pt-BR"/>
                <w14:ligatures w14:val="none"/>
              </w:rPr>
              <w:t>31/12/2022</w:t>
            </w:r>
          </w:p>
        </w:tc>
        <w:tc>
          <w:tcPr>
            <w:tcW w:w="679" w:type="pct"/>
            <w:tcBorders>
              <w:top w:val="single" w:sz="4" w:space="0" w:color="3616F6"/>
              <w:left w:val="nil"/>
              <w:bottom w:val="single" w:sz="4" w:space="0" w:color="3616F6"/>
              <w:right w:val="nil"/>
            </w:tcBorders>
            <w:shd w:val="clear" w:color="000000" w:fill="75F6F9"/>
            <w:vAlign w:val="center"/>
            <w:hideMark/>
          </w:tcPr>
          <w:p w14:paraId="3269338E" w14:textId="77777777" w:rsidR="003712EB" w:rsidRPr="003712EB" w:rsidRDefault="003712EB" w:rsidP="003712EB">
            <w:pPr>
              <w:spacing w:after="0" w:line="240" w:lineRule="auto"/>
              <w:jc w:val="right"/>
              <w:rPr>
                <w:rFonts w:ascii="Arial" w:eastAsia="Times New Roman" w:hAnsi="Arial" w:cs="Arial"/>
                <w:b/>
                <w:bCs/>
                <w:color w:val="000000"/>
                <w:kern w:val="0"/>
                <w:sz w:val="16"/>
                <w:szCs w:val="16"/>
                <w:lang w:eastAsia="pt-BR"/>
                <w14:ligatures w14:val="none"/>
              </w:rPr>
            </w:pPr>
            <w:r w:rsidRPr="003712EB">
              <w:rPr>
                <w:rFonts w:ascii="Arial" w:eastAsia="Times New Roman" w:hAnsi="Arial" w:cs="Arial"/>
                <w:b/>
                <w:bCs/>
                <w:color w:val="000000"/>
                <w:kern w:val="0"/>
                <w:sz w:val="16"/>
                <w:szCs w:val="16"/>
                <w:lang w:eastAsia="pt-BR"/>
                <w14:ligatures w14:val="none"/>
              </w:rPr>
              <w:t>31/12/2021</w:t>
            </w:r>
          </w:p>
        </w:tc>
      </w:tr>
      <w:tr w:rsidR="003712EB" w:rsidRPr="003712EB" w14:paraId="07F69CC5" w14:textId="77777777" w:rsidTr="00446A14">
        <w:trPr>
          <w:trHeight w:val="238"/>
        </w:trPr>
        <w:tc>
          <w:tcPr>
            <w:tcW w:w="2963" w:type="pct"/>
            <w:tcBorders>
              <w:top w:val="nil"/>
              <w:left w:val="nil"/>
              <w:bottom w:val="nil"/>
              <w:right w:val="nil"/>
            </w:tcBorders>
            <w:shd w:val="clear" w:color="auto" w:fill="auto"/>
            <w:noWrap/>
            <w:vAlign w:val="bottom"/>
            <w:hideMark/>
          </w:tcPr>
          <w:p w14:paraId="525BBE45" w14:textId="77777777" w:rsidR="003712EB" w:rsidRPr="003712EB" w:rsidRDefault="003712EB" w:rsidP="003712EB">
            <w:pPr>
              <w:spacing w:after="0" w:line="240" w:lineRule="auto"/>
              <w:jc w:val="right"/>
              <w:rPr>
                <w:rFonts w:ascii="Arial" w:eastAsia="Times New Roman" w:hAnsi="Arial" w:cs="Arial"/>
                <w:b/>
                <w:bCs/>
                <w:color w:val="000000"/>
                <w:kern w:val="0"/>
                <w:sz w:val="16"/>
                <w:szCs w:val="16"/>
                <w:lang w:eastAsia="pt-BR"/>
                <w14:ligatures w14:val="none"/>
              </w:rPr>
            </w:pPr>
          </w:p>
        </w:tc>
        <w:tc>
          <w:tcPr>
            <w:tcW w:w="679" w:type="pct"/>
            <w:tcBorders>
              <w:top w:val="nil"/>
              <w:left w:val="nil"/>
              <w:bottom w:val="nil"/>
              <w:right w:val="nil"/>
            </w:tcBorders>
            <w:shd w:val="clear" w:color="auto" w:fill="auto"/>
            <w:noWrap/>
            <w:vAlign w:val="bottom"/>
            <w:hideMark/>
          </w:tcPr>
          <w:p w14:paraId="249F4824" w14:textId="77777777" w:rsidR="003712EB" w:rsidRPr="003712EB" w:rsidRDefault="003712EB" w:rsidP="003712EB">
            <w:pPr>
              <w:spacing w:after="0" w:line="240" w:lineRule="auto"/>
              <w:rPr>
                <w:rFonts w:ascii="Times New Roman" w:eastAsia="Times New Roman" w:hAnsi="Times New Roman" w:cs="Times New Roman"/>
                <w:kern w:val="0"/>
                <w:sz w:val="20"/>
                <w:szCs w:val="20"/>
                <w:lang w:eastAsia="pt-BR"/>
                <w14:ligatures w14:val="none"/>
              </w:rPr>
            </w:pPr>
          </w:p>
        </w:tc>
        <w:tc>
          <w:tcPr>
            <w:tcW w:w="679" w:type="pct"/>
            <w:tcBorders>
              <w:top w:val="nil"/>
              <w:left w:val="nil"/>
              <w:bottom w:val="nil"/>
              <w:right w:val="nil"/>
            </w:tcBorders>
            <w:shd w:val="clear" w:color="auto" w:fill="auto"/>
            <w:noWrap/>
            <w:vAlign w:val="bottom"/>
            <w:hideMark/>
          </w:tcPr>
          <w:p w14:paraId="0D9F5636" w14:textId="77777777" w:rsidR="003712EB" w:rsidRPr="003712EB" w:rsidRDefault="003712EB" w:rsidP="003712EB">
            <w:pPr>
              <w:spacing w:after="0" w:line="240" w:lineRule="auto"/>
              <w:rPr>
                <w:rFonts w:ascii="Times New Roman" w:eastAsia="Times New Roman" w:hAnsi="Times New Roman" w:cs="Times New Roman"/>
                <w:kern w:val="0"/>
                <w:sz w:val="20"/>
                <w:szCs w:val="20"/>
                <w:lang w:eastAsia="pt-BR"/>
                <w14:ligatures w14:val="none"/>
              </w:rPr>
            </w:pPr>
          </w:p>
        </w:tc>
        <w:tc>
          <w:tcPr>
            <w:tcW w:w="679" w:type="pct"/>
            <w:tcBorders>
              <w:top w:val="nil"/>
              <w:left w:val="nil"/>
              <w:bottom w:val="nil"/>
              <w:right w:val="nil"/>
            </w:tcBorders>
            <w:shd w:val="clear" w:color="auto" w:fill="auto"/>
            <w:noWrap/>
            <w:vAlign w:val="bottom"/>
            <w:hideMark/>
          </w:tcPr>
          <w:p w14:paraId="34BB13E2" w14:textId="77777777" w:rsidR="003712EB" w:rsidRPr="003712EB" w:rsidRDefault="003712EB" w:rsidP="003712EB">
            <w:pPr>
              <w:spacing w:after="0" w:line="240" w:lineRule="auto"/>
              <w:rPr>
                <w:rFonts w:ascii="Times New Roman" w:eastAsia="Times New Roman" w:hAnsi="Times New Roman" w:cs="Times New Roman"/>
                <w:kern w:val="0"/>
                <w:sz w:val="20"/>
                <w:szCs w:val="20"/>
                <w:lang w:eastAsia="pt-BR"/>
                <w14:ligatures w14:val="none"/>
              </w:rPr>
            </w:pPr>
          </w:p>
        </w:tc>
      </w:tr>
      <w:tr w:rsidR="003712EB" w:rsidRPr="003712EB" w14:paraId="5EA161B3" w14:textId="77777777" w:rsidTr="00446A14">
        <w:trPr>
          <w:trHeight w:val="238"/>
        </w:trPr>
        <w:tc>
          <w:tcPr>
            <w:tcW w:w="2963" w:type="pct"/>
            <w:tcBorders>
              <w:top w:val="single" w:sz="4" w:space="0" w:color="3616F6"/>
              <w:left w:val="nil"/>
              <w:bottom w:val="single" w:sz="4" w:space="0" w:color="3616F6"/>
              <w:right w:val="nil"/>
            </w:tcBorders>
            <w:shd w:val="clear" w:color="000000" w:fill="75F6F9"/>
            <w:vAlign w:val="center"/>
            <w:hideMark/>
          </w:tcPr>
          <w:p w14:paraId="1AE8F8FA" w14:textId="77777777" w:rsidR="003712EB" w:rsidRPr="003712EB" w:rsidRDefault="003712EB" w:rsidP="003712EB">
            <w:pPr>
              <w:spacing w:after="0" w:line="240" w:lineRule="auto"/>
              <w:rPr>
                <w:rFonts w:ascii="Arial" w:eastAsia="Times New Roman" w:hAnsi="Arial" w:cs="Arial"/>
                <w:b/>
                <w:bCs/>
                <w:color w:val="000000"/>
                <w:kern w:val="0"/>
                <w:sz w:val="16"/>
                <w:szCs w:val="16"/>
                <w:lang w:eastAsia="pt-BR"/>
                <w14:ligatures w14:val="none"/>
              </w:rPr>
            </w:pPr>
            <w:r w:rsidRPr="003712EB">
              <w:rPr>
                <w:rFonts w:ascii="Arial" w:eastAsia="Times New Roman" w:hAnsi="Arial" w:cs="Arial"/>
                <w:b/>
                <w:bCs/>
                <w:color w:val="000000"/>
                <w:kern w:val="0"/>
                <w:sz w:val="16"/>
                <w:szCs w:val="16"/>
                <w:lang w:eastAsia="pt-BR"/>
                <w14:ligatures w14:val="none"/>
              </w:rPr>
              <w:t>Total Ativo</w:t>
            </w:r>
          </w:p>
        </w:tc>
        <w:tc>
          <w:tcPr>
            <w:tcW w:w="679" w:type="pct"/>
            <w:tcBorders>
              <w:top w:val="single" w:sz="4" w:space="0" w:color="3616F6"/>
              <w:left w:val="single" w:sz="4" w:space="0" w:color="3616F6"/>
              <w:bottom w:val="single" w:sz="4" w:space="0" w:color="3616F6"/>
              <w:right w:val="single" w:sz="4" w:space="0" w:color="3616F6"/>
            </w:tcBorders>
            <w:shd w:val="clear" w:color="000000" w:fill="75F6F9"/>
            <w:vAlign w:val="center"/>
            <w:hideMark/>
          </w:tcPr>
          <w:p w14:paraId="76A44644" w14:textId="77777777" w:rsidR="003712EB" w:rsidRPr="003712EB" w:rsidRDefault="003712EB" w:rsidP="003712EB">
            <w:pPr>
              <w:spacing w:after="0" w:line="240" w:lineRule="auto"/>
              <w:jc w:val="right"/>
              <w:rPr>
                <w:rFonts w:ascii="Arial" w:eastAsia="Times New Roman" w:hAnsi="Arial" w:cs="Arial"/>
                <w:b/>
                <w:bCs/>
                <w:color w:val="000000"/>
                <w:kern w:val="0"/>
                <w:sz w:val="16"/>
                <w:szCs w:val="16"/>
                <w:lang w:eastAsia="pt-BR"/>
                <w14:ligatures w14:val="none"/>
              </w:rPr>
            </w:pPr>
            <w:r w:rsidRPr="003712EB">
              <w:rPr>
                <w:rFonts w:ascii="Arial" w:eastAsia="Times New Roman" w:hAnsi="Arial" w:cs="Arial"/>
                <w:b/>
                <w:bCs/>
                <w:color w:val="000000"/>
                <w:kern w:val="0"/>
                <w:sz w:val="16"/>
                <w:szCs w:val="16"/>
                <w:lang w:eastAsia="pt-BR"/>
                <w14:ligatures w14:val="none"/>
              </w:rPr>
              <w:t xml:space="preserve">   4.003.587 </w:t>
            </w:r>
          </w:p>
        </w:tc>
        <w:tc>
          <w:tcPr>
            <w:tcW w:w="679" w:type="pct"/>
            <w:tcBorders>
              <w:top w:val="single" w:sz="4" w:space="0" w:color="3616F6"/>
              <w:left w:val="nil"/>
              <w:bottom w:val="single" w:sz="4" w:space="0" w:color="3616F6"/>
              <w:right w:val="single" w:sz="4" w:space="0" w:color="3616F6"/>
            </w:tcBorders>
            <w:shd w:val="clear" w:color="000000" w:fill="75F6F9"/>
            <w:vAlign w:val="center"/>
            <w:hideMark/>
          </w:tcPr>
          <w:p w14:paraId="1728886E" w14:textId="77777777" w:rsidR="003712EB" w:rsidRPr="003712EB" w:rsidRDefault="003712EB" w:rsidP="003712EB">
            <w:pPr>
              <w:spacing w:after="0" w:line="240" w:lineRule="auto"/>
              <w:jc w:val="right"/>
              <w:rPr>
                <w:rFonts w:ascii="Arial" w:eastAsia="Times New Roman" w:hAnsi="Arial" w:cs="Arial"/>
                <w:b/>
                <w:bCs/>
                <w:color w:val="000000"/>
                <w:kern w:val="0"/>
                <w:sz w:val="16"/>
                <w:szCs w:val="16"/>
                <w:lang w:eastAsia="pt-BR"/>
                <w14:ligatures w14:val="none"/>
              </w:rPr>
            </w:pPr>
            <w:r w:rsidRPr="003712EB">
              <w:rPr>
                <w:rFonts w:ascii="Arial" w:eastAsia="Times New Roman" w:hAnsi="Arial" w:cs="Arial"/>
                <w:b/>
                <w:bCs/>
                <w:color w:val="000000"/>
                <w:kern w:val="0"/>
                <w:sz w:val="16"/>
                <w:szCs w:val="16"/>
                <w:lang w:eastAsia="pt-BR"/>
                <w14:ligatures w14:val="none"/>
              </w:rPr>
              <w:t xml:space="preserve">   4.035.411 </w:t>
            </w:r>
          </w:p>
        </w:tc>
        <w:tc>
          <w:tcPr>
            <w:tcW w:w="679" w:type="pct"/>
            <w:tcBorders>
              <w:top w:val="single" w:sz="4" w:space="0" w:color="3616F6"/>
              <w:left w:val="nil"/>
              <w:bottom w:val="single" w:sz="4" w:space="0" w:color="3616F6"/>
              <w:right w:val="nil"/>
            </w:tcBorders>
            <w:shd w:val="clear" w:color="000000" w:fill="75F6F9"/>
            <w:vAlign w:val="center"/>
            <w:hideMark/>
          </w:tcPr>
          <w:p w14:paraId="0906A2D4" w14:textId="77777777" w:rsidR="003712EB" w:rsidRPr="003712EB" w:rsidRDefault="003712EB" w:rsidP="003712EB">
            <w:pPr>
              <w:spacing w:after="0" w:line="240" w:lineRule="auto"/>
              <w:jc w:val="right"/>
              <w:rPr>
                <w:rFonts w:ascii="Arial" w:eastAsia="Times New Roman" w:hAnsi="Arial" w:cs="Arial"/>
                <w:b/>
                <w:bCs/>
                <w:color w:val="000000"/>
                <w:kern w:val="0"/>
                <w:sz w:val="16"/>
                <w:szCs w:val="16"/>
                <w:lang w:eastAsia="pt-BR"/>
                <w14:ligatures w14:val="none"/>
              </w:rPr>
            </w:pPr>
            <w:r w:rsidRPr="003712EB">
              <w:rPr>
                <w:rFonts w:ascii="Arial" w:eastAsia="Times New Roman" w:hAnsi="Arial" w:cs="Arial"/>
                <w:b/>
                <w:bCs/>
                <w:color w:val="000000"/>
                <w:kern w:val="0"/>
                <w:sz w:val="16"/>
                <w:szCs w:val="16"/>
                <w:lang w:eastAsia="pt-BR"/>
                <w14:ligatures w14:val="none"/>
              </w:rPr>
              <w:t xml:space="preserve">   4.099.054 </w:t>
            </w:r>
          </w:p>
        </w:tc>
      </w:tr>
      <w:tr w:rsidR="003712EB" w:rsidRPr="003712EB" w14:paraId="6A04E9A9" w14:textId="77777777" w:rsidTr="00446A14">
        <w:trPr>
          <w:trHeight w:val="238"/>
        </w:trPr>
        <w:tc>
          <w:tcPr>
            <w:tcW w:w="2963" w:type="pct"/>
            <w:tcBorders>
              <w:top w:val="nil"/>
              <w:left w:val="nil"/>
              <w:bottom w:val="single" w:sz="4" w:space="0" w:color="3616F6"/>
              <w:right w:val="nil"/>
            </w:tcBorders>
            <w:shd w:val="clear" w:color="auto" w:fill="auto"/>
            <w:noWrap/>
            <w:vAlign w:val="center"/>
            <w:hideMark/>
          </w:tcPr>
          <w:p w14:paraId="702E0331" w14:textId="77777777" w:rsidR="003712EB" w:rsidRPr="003712EB" w:rsidRDefault="003712EB" w:rsidP="003712EB">
            <w:pPr>
              <w:spacing w:after="0" w:line="240" w:lineRule="auto"/>
              <w:rPr>
                <w:rFonts w:ascii="Arial" w:eastAsia="Times New Roman" w:hAnsi="Arial" w:cs="Arial"/>
                <w:b/>
                <w:bCs/>
                <w:color w:val="000000"/>
                <w:kern w:val="0"/>
                <w:sz w:val="16"/>
                <w:szCs w:val="16"/>
                <w:lang w:eastAsia="pt-BR"/>
                <w14:ligatures w14:val="none"/>
              </w:rPr>
            </w:pPr>
            <w:r w:rsidRPr="003712EB">
              <w:rPr>
                <w:rFonts w:ascii="Arial" w:eastAsia="Times New Roman" w:hAnsi="Arial" w:cs="Arial"/>
                <w:b/>
                <w:bCs/>
                <w:color w:val="000000"/>
                <w:kern w:val="0"/>
                <w:sz w:val="16"/>
                <w:szCs w:val="16"/>
                <w:lang w:eastAsia="pt-BR"/>
                <w14:ligatures w14:val="none"/>
              </w:rPr>
              <w:t>Circulante</w:t>
            </w:r>
          </w:p>
        </w:tc>
        <w:tc>
          <w:tcPr>
            <w:tcW w:w="679" w:type="pct"/>
            <w:tcBorders>
              <w:top w:val="nil"/>
              <w:left w:val="single" w:sz="4" w:space="0" w:color="3616F6"/>
              <w:bottom w:val="single" w:sz="4" w:space="0" w:color="3616F6"/>
              <w:right w:val="nil"/>
            </w:tcBorders>
            <w:shd w:val="clear" w:color="000000" w:fill="75F6F9"/>
            <w:vAlign w:val="center"/>
            <w:hideMark/>
          </w:tcPr>
          <w:p w14:paraId="303D4F9C" w14:textId="77777777" w:rsidR="003712EB" w:rsidRPr="003712EB" w:rsidRDefault="003712EB" w:rsidP="003712EB">
            <w:pPr>
              <w:spacing w:after="0" w:line="240" w:lineRule="auto"/>
              <w:jc w:val="right"/>
              <w:rPr>
                <w:rFonts w:ascii="Arial" w:eastAsia="Times New Roman" w:hAnsi="Arial" w:cs="Arial"/>
                <w:b/>
                <w:bCs/>
                <w:color w:val="000000"/>
                <w:kern w:val="0"/>
                <w:sz w:val="16"/>
                <w:szCs w:val="16"/>
                <w:lang w:eastAsia="pt-BR"/>
                <w14:ligatures w14:val="none"/>
              </w:rPr>
            </w:pPr>
            <w:r w:rsidRPr="003712EB">
              <w:rPr>
                <w:rFonts w:ascii="Arial" w:eastAsia="Times New Roman" w:hAnsi="Arial" w:cs="Arial"/>
                <w:b/>
                <w:bCs/>
                <w:color w:val="000000"/>
                <w:kern w:val="0"/>
                <w:sz w:val="16"/>
                <w:szCs w:val="16"/>
                <w:lang w:eastAsia="pt-BR"/>
                <w14:ligatures w14:val="none"/>
              </w:rPr>
              <w:t xml:space="preserve">   1.607.349 </w:t>
            </w:r>
          </w:p>
        </w:tc>
        <w:tc>
          <w:tcPr>
            <w:tcW w:w="679" w:type="pct"/>
            <w:tcBorders>
              <w:top w:val="nil"/>
              <w:left w:val="single" w:sz="4" w:space="0" w:color="3616F6"/>
              <w:bottom w:val="single" w:sz="4" w:space="0" w:color="3616F6"/>
              <w:right w:val="single" w:sz="4" w:space="0" w:color="3616F6"/>
            </w:tcBorders>
            <w:shd w:val="clear" w:color="auto" w:fill="auto"/>
            <w:noWrap/>
            <w:vAlign w:val="center"/>
            <w:hideMark/>
          </w:tcPr>
          <w:p w14:paraId="3B23E139" w14:textId="77777777" w:rsidR="003712EB" w:rsidRPr="003712EB" w:rsidRDefault="003712EB" w:rsidP="003712EB">
            <w:pPr>
              <w:spacing w:after="0" w:line="240" w:lineRule="auto"/>
              <w:jc w:val="right"/>
              <w:rPr>
                <w:rFonts w:ascii="Arial" w:eastAsia="Times New Roman" w:hAnsi="Arial" w:cs="Arial"/>
                <w:b/>
                <w:bCs/>
                <w:color w:val="000000"/>
                <w:kern w:val="0"/>
                <w:sz w:val="16"/>
                <w:szCs w:val="16"/>
                <w:lang w:eastAsia="pt-BR"/>
                <w14:ligatures w14:val="none"/>
              </w:rPr>
            </w:pPr>
            <w:r w:rsidRPr="003712EB">
              <w:rPr>
                <w:rFonts w:ascii="Arial" w:eastAsia="Times New Roman" w:hAnsi="Arial" w:cs="Arial"/>
                <w:b/>
                <w:bCs/>
                <w:color w:val="000000"/>
                <w:kern w:val="0"/>
                <w:sz w:val="16"/>
                <w:szCs w:val="16"/>
                <w:lang w:eastAsia="pt-BR"/>
                <w14:ligatures w14:val="none"/>
              </w:rPr>
              <w:t xml:space="preserve">   1.528.710 </w:t>
            </w:r>
          </w:p>
        </w:tc>
        <w:tc>
          <w:tcPr>
            <w:tcW w:w="679" w:type="pct"/>
            <w:tcBorders>
              <w:top w:val="nil"/>
              <w:left w:val="nil"/>
              <w:bottom w:val="single" w:sz="4" w:space="0" w:color="3616F6"/>
              <w:right w:val="nil"/>
            </w:tcBorders>
            <w:shd w:val="clear" w:color="auto" w:fill="auto"/>
            <w:noWrap/>
            <w:vAlign w:val="center"/>
            <w:hideMark/>
          </w:tcPr>
          <w:p w14:paraId="6A842178" w14:textId="77777777" w:rsidR="003712EB" w:rsidRPr="003712EB" w:rsidRDefault="003712EB" w:rsidP="003712EB">
            <w:pPr>
              <w:spacing w:after="0" w:line="240" w:lineRule="auto"/>
              <w:jc w:val="right"/>
              <w:rPr>
                <w:rFonts w:ascii="Arial" w:eastAsia="Times New Roman" w:hAnsi="Arial" w:cs="Arial"/>
                <w:b/>
                <w:bCs/>
                <w:color w:val="000000"/>
                <w:kern w:val="0"/>
                <w:sz w:val="16"/>
                <w:szCs w:val="16"/>
                <w:lang w:eastAsia="pt-BR"/>
                <w14:ligatures w14:val="none"/>
              </w:rPr>
            </w:pPr>
            <w:r w:rsidRPr="003712EB">
              <w:rPr>
                <w:rFonts w:ascii="Arial" w:eastAsia="Times New Roman" w:hAnsi="Arial" w:cs="Arial"/>
                <w:b/>
                <w:bCs/>
                <w:color w:val="000000"/>
                <w:kern w:val="0"/>
                <w:sz w:val="16"/>
                <w:szCs w:val="16"/>
                <w:lang w:eastAsia="pt-BR"/>
                <w14:ligatures w14:val="none"/>
              </w:rPr>
              <w:t xml:space="preserve">   1.457.061 </w:t>
            </w:r>
          </w:p>
        </w:tc>
      </w:tr>
      <w:tr w:rsidR="003712EB" w:rsidRPr="003712EB" w14:paraId="70A34EC3" w14:textId="77777777" w:rsidTr="00446A14">
        <w:trPr>
          <w:trHeight w:val="238"/>
        </w:trPr>
        <w:tc>
          <w:tcPr>
            <w:tcW w:w="2963" w:type="pct"/>
            <w:tcBorders>
              <w:top w:val="nil"/>
              <w:left w:val="nil"/>
              <w:bottom w:val="nil"/>
              <w:right w:val="nil"/>
            </w:tcBorders>
            <w:shd w:val="clear" w:color="auto" w:fill="auto"/>
            <w:noWrap/>
            <w:vAlign w:val="center"/>
            <w:hideMark/>
          </w:tcPr>
          <w:p w14:paraId="5984D5E7" w14:textId="77777777" w:rsidR="003712EB" w:rsidRPr="003712EB" w:rsidRDefault="003712EB" w:rsidP="003712EB">
            <w:pPr>
              <w:spacing w:after="0" w:line="240" w:lineRule="auto"/>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Caixa e Equivalentes de Caixa</w:t>
            </w:r>
          </w:p>
        </w:tc>
        <w:tc>
          <w:tcPr>
            <w:tcW w:w="679" w:type="pct"/>
            <w:tcBorders>
              <w:top w:val="nil"/>
              <w:left w:val="single" w:sz="4" w:space="0" w:color="3616F6"/>
              <w:bottom w:val="nil"/>
              <w:right w:val="nil"/>
            </w:tcBorders>
            <w:shd w:val="clear" w:color="000000" w:fill="75F6F9"/>
            <w:vAlign w:val="center"/>
            <w:hideMark/>
          </w:tcPr>
          <w:p w14:paraId="580EF321"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380.712 </w:t>
            </w:r>
          </w:p>
        </w:tc>
        <w:tc>
          <w:tcPr>
            <w:tcW w:w="679" w:type="pct"/>
            <w:tcBorders>
              <w:top w:val="nil"/>
              <w:left w:val="single" w:sz="4" w:space="0" w:color="3616F6"/>
              <w:bottom w:val="nil"/>
              <w:right w:val="single" w:sz="4" w:space="0" w:color="3616F6"/>
            </w:tcBorders>
            <w:shd w:val="clear" w:color="auto" w:fill="auto"/>
            <w:vAlign w:val="center"/>
            <w:hideMark/>
          </w:tcPr>
          <w:p w14:paraId="50922EA0"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352.611 </w:t>
            </w:r>
          </w:p>
        </w:tc>
        <w:tc>
          <w:tcPr>
            <w:tcW w:w="679" w:type="pct"/>
            <w:tcBorders>
              <w:top w:val="nil"/>
              <w:left w:val="nil"/>
              <w:bottom w:val="nil"/>
              <w:right w:val="nil"/>
            </w:tcBorders>
            <w:shd w:val="clear" w:color="auto" w:fill="auto"/>
            <w:noWrap/>
            <w:vAlign w:val="center"/>
            <w:hideMark/>
          </w:tcPr>
          <w:p w14:paraId="131390B6"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272.839 </w:t>
            </w:r>
          </w:p>
        </w:tc>
      </w:tr>
      <w:tr w:rsidR="003712EB" w:rsidRPr="003712EB" w14:paraId="32C4CF37" w14:textId="77777777" w:rsidTr="00446A14">
        <w:trPr>
          <w:trHeight w:val="238"/>
        </w:trPr>
        <w:tc>
          <w:tcPr>
            <w:tcW w:w="2963" w:type="pct"/>
            <w:tcBorders>
              <w:top w:val="nil"/>
              <w:left w:val="nil"/>
              <w:bottom w:val="nil"/>
              <w:right w:val="nil"/>
            </w:tcBorders>
            <w:shd w:val="clear" w:color="auto" w:fill="auto"/>
            <w:noWrap/>
            <w:vAlign w:val="center"/>
            <w:hideMark/>
          </w:tcPr>
          <w:p w14:paraId="441174F8" w14:textId="77777777" w:rsidR="003712EB" w:rsidRPr="003712EB" w:rsidRDefault="003712EB" w:rsidP="003712EB">
            <w:pPr>
              <w:spacing w:after="0" w:line="240" w:lineRule="auto"/>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Contas a Receber de Clientes</w:t>
            </w:r>
          </w:p>
        </w:tc>
        <w:tc>
          <w:tcPr>
            <w:tcW w:w="679" w:type="pct"/>
            <w:tcBorders>
              <w:top w:val="nil"/>
              <w:left w:val="single" w:sz="4" w:space="0" w:color="3616F6"/>
              <w:bottom w:val="nil"/>
              <w:right w:val="nil"/>
            </w:tcBorders>
            <w:shd w:val="clear" w:color="000000" w:fill="75F6F9"/>
            <w:vAlign w:val="center"/>
            <w:hideMark/>
          </w:tcPr>
          <w:p w14:paraId="6CC117BF"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176.885 </w:t>
            </w:r>
          </w:p>
        </w:tc>
        <w:tc>
          <w:tcPr>
            <w:tcW w:w="679" w:type="pct"/>
            <w:tcBorders>
              <w:top w:val="nil"/>
              <w:left w:val="single" w:sz="4" w:space="0" w:color="3616F6"/>
              <w:bottom w:val="nil"/>
              <w:right w:val="single" w:sz="4" w:space="0" w:color="3616F6"/>
            </w:tcBorders>
            <w:shd w:val="clear" w:color="auto" w:fill="auto"/>
            <w:vAlign w:val="center"/>
            <w:hideMark/>
          </w:tcPr>
          <w:p w14:paraId="46B8E96E"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105.869 </w:t>
            </w:r>
          </w:p>
        </w:tc>
        <w:tc>
          <w:tcPr>
            <w:tcW w:w="679" w:type="pct"/>
            <w:tcBorders>
              <w:top w:val="nil"/>
              <w:left w:val="nil"/>
              <w:bottom w:val="nil"/>
              <w:right w:val="nil"/>
            </w:tcBorders>
            <w:shd w:val="clear" w:color="auto" w:fill="auto"/>
            <w:noWrap/>
            <w:vAlign w:val="center"/>
            <w:hideMark/>
          </w:tcPr>
          <w:p w14:paraId="3EE0024B"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86.437 </w:t>
            </w:r>
          </w:p>
        </w:tc>
      </w:tr>
      <w:tr w:rsidR="003712EB" w:rsidRPr="003712EB" w14:paraId="081525B7" w14:textId="77777777" w:rsidTr="00446A14">
        <w:trPr>
          <w:trHeight w:val="238"/>
        </w:trPr>
        <w:tc>
          <w:tcPr>
            <w:tcW w:w="2963" w:type="pct"/>
            <w:tcBorders>
              <w:top w:val="nil"/>
              <w:left w:val="nil"/>
              <w:bottom w:val="nil"/>
              <w:right w:val="nil"/>
            </w:tcBorders>
            <w:shd w:val="clear" w:color="auto" w:fill="auto"/>
            <w:noWrap/>
            <w:vAlign w:val="center"/>
            <w:hideMark/>
          </w:tcPr>
          <w:p w14:paraId="434E2DE6" w14:textId="77777777" w:rsidR="003712EB" w:rsidRPr="003712EB" w:rsidRDefault="003712EB" w:rsidP="003712EB">
            <w:pPr>
              <w:spacing w:after="0" w:line="240" w:lineRule="auto"/>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Tributos a Compensar/Recuperar</w:t>
            </w:r>
          </w:p>
        </w:tc>
        <w:tc>
          <w:tcPr>
            <w:tcW w:w="679" w:type="pct"/>
            <w:tcBorders>
              <w:top w:val="nil"/>
              <w:left w:val="single" w:sz="4" w:space="0" w:color="3616F6"/>
              <w:bottom w:val="nil"/>
              <w:right w:val="nil"/>
            </w:tcBorders>
            <w:shd w:val="clear" w:color="000000" w:fill="75F6F9"/>
            <w:vAlign w:val="center"/>
            <w:hideMark/>
          </w:tcPr>
          <w:p w14:paraId="29439DE2"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177.601 </w:t>
            </w:r>
          </w:p>
        </w:tc>
        <w:tc>
          <w:tcPr>
            <w:tcW w:w="679" w:type="pct"/>
            <w:tcBorders>
              <w:top w:val="nil"/>
              <w:left w:val="single" w:sz="4" w:space="0" w:color="3616F6"/>
              <w:bottom w:val="nil"/>
              <w:right w:val="single" w:sz="4" w:space="0" w:color="3616F6"/>
            </w:tcBorders>
            <w:shd w:val="clear" w:color="auto" w:fill="auto"/>
            <w:vAlign w:val="center"/>
            <w:hideMark/>
          </w:tcPr>
          <w:p w14:paraId="220CABF6"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169.089 </w:t>
            </w:r>
          </w:p>
        </w:tc>
        <w:tc>
          <w:tcPr>
            <w:tcW w:w="679" w:type="pct"/>
            <w:tcBorders>
              <w:top w:val="nil"/>
              <w:left w:val="nil"/>
              <w:bottom w:val="nil"/>
              <w:right w:val="nil"/>
            </w:tcBorders>
            <w:shd w:val="clear" w:color="auto" w:fill="auto"/>
            <w:noWrap/>
            <w:vAlign w:val="center"/>
            <w:hideMark/>
          </w:tcPr>
          <w:p w14:paraId="5B2DD36F"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145.659 </w:t>
            </w:r>
          </w:p>
        </w:tc>
      </w:tr>
      <w:tr w:rsidR="003712EB" w:rsidRPr="003712EB" w14:paraId="0CE6FD74" w14:textId="77777777" w:rsidTr="00446A14">
        <w:trPr>
          <w:trHeight w:val="238"/>
        </w:trPr>
        <w:tc>
          <w:tcPr>
            <w:tcW w:w="2963" w:type="pct"/>
            <w:tcBorders>
              <w:top w:val="nil"/>
              <w:left w:val="nil"/>
              <w:bottom w:val="nil"/>
              <w:right w:val="nil"/>
            </w:tcBorders>
            <w:shd w:val="clear" w:color="auto" w:fill="auto"/>
            <w:noWrap/>
            <w:vAlign w:val="center"/>
            <w:hideMark/>
          </w:tcPr>
          <w:p w14:paraId="2E548F89" w14:textId="77777777" w:rsidR="003712EB" w:rsidRPr="003712EB" w:rsidRDefault="003712EB" w:rsidP="003712EB">
            <w:pPr>
              <w:spacing w:after="0" w:line="240" w:lineRule="auto"/>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Depósitos Judiciais</w:t>
            </w:r>
          </w:p>
        </w:tc>
        <w:tc>
          <w:tcPr>
            <w:tcW w:w="679" w:type="pct"/>
            <w:tcBorders>
              <w:top w:val="nil"/>
              <w:left w:val="single" w:sz="4" w:space="0" w:color="3616F6"/>
              <w:bottom w:val="nil"/>
              <w:right w:val="nil"/>
            </w:tcBorders>
            <w:shd w:val="clear" w:color="000000" w:fill="75F6F9"/>
            <w:vAlign w:val="center"/>
            <w:hideMark/>
          </w:tcPr>
          <w:p w14:paraId="7D133B21"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6.903 </w:t>
            </w:r>
          </w:p>
        </w:tc>
        <w:tc>
          <w:tcPr>
            <w:tcW w:w="679" w:type="pct"/>
            <w:tcBorders>
              <w:top w:val="nil"/>
              <w:left w:val="single" w:sz="4" w:space="0" w:color="3616F6"/>
              <w:bottom w:val="nil"/>
              <w:right w:val="single" w:sz="4" w:space="0" w:color="3616F6"/>
            </w:tcBorders>
            <w:shd w:val="clear" w:color="auto" w:fill="auto"/>
            <w:vAlign w:val="center"/>
            <w:hideMark/>
          </w:tcPr>
          <w:p w14:paraId="65D06250"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7.114 </w:t>
            </w:r>
          </w:p>
        </w:tc>
        <w:tc>
          <w:tcPr>
            <w:tcW w:w="679" w:type="pct"/>
            <w:tcBorders>
              <w:top w:val="nil"/>
              <w:left w:val="nil"/>
              <w:bottom w:val="nil"/>
              <w:right w:val="nil"/>
            </w:tcBorders>
            <w:shd w:val="clear" w:color="auto" w:fill="auto"/>
            <w:noWrap/>
            <w:vAlign w:val="center"/>
            <w:hideMark/>
          </w:tcPr>
          <w:p w14:paraId="065884B0"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8.204 </w:t>
            </w:r>
          </w:p>
        </w:tc>
      </w:tr>
      <w:tr w:rsidR="003712EB" w:rsidRPr="003712EB" w14:paraId="4F9AE7BB" w14:textId="77777777" w:rsidTr="00446A14">
        <w:trPr>
          <w:trHeight w:val="238"/>
        </w:trPr>
        <w:tc>
          <w:tcPr>
            <w:tcW w:w="2963" w:type="pct"/>
            <w:tcBorders>
              <w:top w:val="nil"/>
              <w:left w:val="nil"/>
              <w:bottom w:val="nil"/>
              <w:right w:val="nil"/>
            </w:tcBorders>
            <w:shd w:val="clear" w:color="auto" w:fill="auto"/>
            <w:noWrap/>
            <w:vAlign w:val="bottom"/>
            <w:hideMark/>
          </w:tcPr>
          <w:p w14:paraId="1495F062" w14:textId="77777777" w:rsidR="003712EB" w:rsidRPr="003712EB" w:rsidRDefault="003712EB" w:rsidP="003712EB">
            <w:pPr>
              <w:spacing w:after="0" w:line="240" w:lineRule="auto"/>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Aplicações Financeiras</w:t>
            </w:r>
          </w:p>
        </w:tc>
        <w:tc>
          <w:tcPr>
            <w:tcW w:w="679" w:type="pct"/>
            <w:tcBorders>
              <w:top w:val="nil"/>
              <w:left w:val="single" w:sz="4" w:space="0" w:color="3616F6"/>
              <w:bottom w:val="nil"/>
              <w:right w:val="nil"/>
            </w:tcBorders>
            <w:shd w:val="clear" w:color="000000" w:fill="75F6F9"/>
            <w:vAlign w:val="center"/>
            <w:hideMark/>
          </w:tcPr>
          <w:p w14:paraId="57339DA4"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822.352 </w:t>
            </w:r>
          </w:p>
        </w:tc>
        <w:tc>
          <w:tcPr>
            <w:tcW w:w="679" w:type="pct"/>
            <w:tcBorders>
              <w:top w:val="nil"/>
              <w:left w:val="single" w:sz="4" w:space="0" w:color="3616F6"/>
              <w:bottom w:val="nil"/>
              <w:right w:val="single" w:sz="4" w:space="0" w:color="3616F6"/>
            </w:tcBorders>
            <w:shd w:val="clear" w:color="auto" w:fill="auto"/>
            <w:vAlign w:val="center"/>
            <w:hideMark/>
          </w:tcPr>
          <w:p w14:paraId="723385B3"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822.352 </w:t>
            </w:r>
          </w:p>
        </w:tc>
        <w:tc>
          <w:tcPr>
            <w:tcW w:w="679" w:type="pct"/>
            <w:tcBorders>
              <w:top w:val="nil"/>
              <w:left w:val="nil"/>
              <w:bottom w:val="nil"/>
              <w:right w:val="nil"/>
            </w:tcBorders>
            <w:shd w:val="clear" w:color="auto" w:fill="auto"/>
            <w:noWrap/>
            <w:vAlign w:val="center"/>
            <w:hideMark/>
          </w:tcPr>
          <w:p w14:paraId="3D9D1E29"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822.352 </w:t>
            </w:r>
          </w:p>
        </w:tc>
      </w:tr>
      <w:tr w:rsidR="003712EB" w:rsidRPr="003712EB" w14:paraId="537E3B4F" w14:textId="77777777" w:rsidTr="00446A14">
        <w:trPr>
          <w:trHeight w:val="238"/>
        </w:trPr>
        <w:tc>
          <w:tcPr>
            <w:tcW w:w="2963" w:type="pct"/>
            <w:tcBorders>
              <w:top w:val="nil"/>
              <w:left w:val="nil"/>
              <w:bottom w:val="nil"/>
              <w:right w:val="nil"/>
            </w:tcBorders>
            <w:shd w:val="clear" w:color="auto" w:fill="auto"/>
            <w:noWrap/>
            <w:vAlign w:val="center"/>
            <w:hideMark/>
          </w:tcPr>
          <w:p w14:paraId="04B8CCCD" w14:textId="77777777" w:rsidR="003712EB" w:rsidRPr="003712EB" w:rsidRDefault="003712EB" w:rsidP="003712EB">
            <w:pPr>
              <w:spacing w:after="0" w:line="240" w:lineRule="auto"/>
              <w:ind w:firstLineChars="100" w:firstLine="160"/>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Superávit - Previdência Privada</w:t>
            </w:r>
          </w:p>
        </w:tc>
        <w:tc>
          <w:tcPr>
            <w:tcW w:w="679" w:type="pct"/>
            <w:tcBorders>
              <w:top w:val="nil"/>
              <w:left w:val="single" w:sz="4" w:space="0" w:color="3616F6"/>
              <w:bottom w:val="nil"/>
              <w:right w:val="nil"/>
            </w:tcBorders>
            <w:shd w:val="clear" w:color="000000" w:fill="75F6F9"/>
            <w:vAlign w:val="center"/>
            <w:hideMark/>
          </w:tcPr>
          <w:p w14:paraId="40957C1C"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12.270 </w:t>
            </w:r>
          </w:p>
        </w:tc>
        <w:tc>
          <w:tcPr>
            <w:tcW w:w="679" w:type="pct"/>
            <w:tcBorders>
              <w:top w:val="nil"/>
              <w:left w:val="single" w:sz="4" w:space="0" w:color="3616F6"/>
              <w:bottom w:val="nil"/>
              <w:right w:val="single" w:sz="4" w:space="0" w:color="3616F6"/>
            </w:tcBorders>
            <w:shd w:val="clear" w:color="auto" w:fill="auto"/>
            <w:vAlign w:val="center"/>
            <w:hideMark/>
          </w:tcPr>
          <w:p w14:paraId="41C71B62"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      </w:t>
            </w:r>
          </w:p>
        </w:tc>
        <w:tc>
          <w:tcPr>
            <w:tcW w:w="679" w:type="pct"/>
            <w:tcBorders>
              <w:top w:val="nil"/>
              <w:left w:val="nil"/>
              <w:bottom w:val="nil"/>
              <w:right w:val="nil"/>
            </w:tcBorders>
            <w:shd w:val="clear" w:color="auto" w:fill="auto"/>
            <w:noWrap/>
            <w:vAlign w:val="center"/>
            <w:hideMark/>
          </w:tcPr>
          <w:p w14:paraId="0E7256F2"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82.966 </w:t>
            </w:r>
          </w:p>
        </w:tc>
      </w:tr>
      <w:tr w:rsidR="003712EB" w:rsidRPr="003712EB" w14:paraId="5DEF7831" w14:textId="77777777" w:rsidTr="00446A14">
        <w:trPr>
          <w:trHeight w:val="238"/>
        </w:trPr>
        <w:tc>
          <w:tcPr>
            <w:tcW w:w="2963" w:type="pct"/>
            <w:tcBorders>
              <w:top w:val="nil"/>
              <w:left w:val="nil"/>
              <w:bottom w:val="nil"/>
              <w:right w:val="nil"/>
            </w:tcBorders>
            <w:shd w:val="clear" w:color="auto" w:fill="auto"/>
            <w:noWrap/>
            <w:vAlign w:val="center"/>
            <w:hideMark/>
          </w:tcPr>
          <w:p w14:paraId="2CB624C9" w14:textId="77777777" w:rsidR="003712EB" w:rsidRPr="003712EB" w:rsidRDefault="003712EB" w:rsidP="003712EB">
            <w:pPr>
              <w:spacing w:after="0" w:line="240" w:lineRule="auto"/>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Valores a Receber de Colaboradores Cedidos</w:t>
            </w:r>
          </w:p>
        </w:tc>
        <w:tc>
          <w:tcPr>
            <w:tcW w:w="679" w:type="pct"/>
            <w:tcBorders>
              <w:top w:val="nil"/>
              <w:left w:val="single" w:sz="4" w:space="0" w:color="3616F6"/>
              <w:bottom w:val="nil"/>
              <w:right w:val="nil"/>
            </w:tcBorders>
            <w:shd w:val="clear" w:color="000000" w:fill="75F6F9"/>
            <w:vAlign w:val="center"/>
            <w:hideMark/>
          </w:tcPr>
          <w:p w14:paraId="62ADF9C0"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1.945 </w:t>
            </w:r>
          </w:p>
        </w:tc>
        <w:tc>
          <w:tcPr>
            <w:tcW w:w="679" w:type="pct"/>
            <w:tcBorders>
              <w:top w:val="nil"/>
              <w:left w:val="single" w:sz="4" w:space="0" w:color="3616F6"/>
              <w:bottom w:val="nil"/>
              <w:right w:val="single" w:sz="4" w:space="0" w:color="3616F6"/>
            </w:tcBorders>
            <w:shd w:val="clear" w:color="auto" w:fill="auto"/>
            <w:vAlign w:val="center"/>
            <w:hideMark/>
          </w:tcPr>
          <w:p w14:paraId="47532692"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1.945 </w:t>
            </w:r>
          </w:p>
        </w:tc>
        <w:tc>
          <w:tcPr>
            <w:tcW w:w="679" w:type="pct"/>
            <w:tcBorders>
              <w:top w:val="nil"/>
              <w:left w:val="nil"/>
              <w:bottom w:val="nil"/>
              <w:right w:val="nil"/>
            </w:tcBorders>
            <w:shd w:val="clear" w:color="auto" w:fill="auto"/>
            <w:noWrap/>
            <w:vAlign w:val="center"/>
            <w:hideMark/>
          </w:tcPr>
          <w:p w14:paraId="5BFB977D"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1.945 </w:t>
            </w:r>
          </w:p>
        </w:tc>
      </w:tr>
      <w:tr w:rsidR="003712EB" w:rsidRPr="003712EB" w14:paraId="304D9457" w14:textId="77777777" w:rsidTr="00446A14">
        <w:trPr>
          <w:trHeight w:val="238"/>
        </w:trPr>
        <w:tc>
          <w:tcPr>
            <w:tcW w:w="2963" w:type="pct"/>
            <w:tcBorders>
              <w:top w:val="nil"/>
              <w:left w:val="nil"/>
              <w:bottom w:val="nil"/>
              <w:right w:val="nil"/>
            </w:tcBorders>
            <w:shd w:val="clear" w:color="auto" w:fill="auto"/>
            <w:noWrap/>
            <w:vAlign w:val="center"/>
            <w:hideMark/>
          </w:tcPr>
          <w:p w14:paraId="46E2CB37" w14:textId="77777777" w:rsidR="003712EB" w:rsidRPr="003712EB" w:rsidRDefault="003712EB" w:rsidP="003712EB">
            <w:pPr>
              <w:spacing w:after="0" w:line="240" w:lineRule="auto"/>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Outros Ativos Realizáveis</w:t>
            </w:r>
          </w:p>
        </w:tc>
        <w:tc>
          <w:tcPr>
            <w:tcW w:w="679" w:type="pct"/>
            <w:tcBorders>
              <w:top w:val="nil"/>
              <w:left w:val="single" w:sz="4" w:space="0" w:color="3616F6"/>
              <w:bottom w:val="nil"/>
              <w:right w:val="nil"/>
            </w:tcBorders>
            <w:shd w:val="clear" w:color="000000" w:fill="75F6F9"/>
            <w:vAlign w:val="center"/>
            <w:hideMark/>
          </w:tcPr>
          <w:p w14:paraId="059AC78A"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28.681 </w:t>
            </w:r>
          </w:p>
        </w:tc>
        <w:tc>
          <w:tcPr>
            <w:tcW w:w="679" w:type="pct"/>
            <w:tcBorders>
              <w:top w:val="nil"/>
              <w:left w:val="single" w:sz="4" w:space="0" w:color="3616F6"/>
              <w:bottom w:val="nil"/>
              <w:right w:val="single" w:sz="4" w:space="0" w:color="3616F6"/>
            </w:tcBorders>
            <w:shd w:val="clear" w:color="auto" w:fill="auto"/>
            <w:vAlign w:val="center"/>
            <w:hideMark/>
          </w:tcPr>
          <w:p w14:paraId="1DE5A259"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69.730 </w:t>
            </w:r>
          </w:p>
        </w:tc>
        <w:tc>
          <w:tcPr>
            <w:tcW w:w="679" w:type="pct"/>
            <w:tcBorders>
              <w:top w:val="nil"/>
              <w:left w:val="nil"/>
              <w:bottom w:val="nil"/>
              <w:right w:val="nil"/>
            </w:tcBorders>
            <w:shd w:val="clear" w:color="auto" w:fill="auto"/>
            <w:noWrap/>
            <w:vAlign w:val="center"/>
            <w:hideMark/>
          </w:tcPr>
          <w:p w14:paraId="0D91E011"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36.659 </w:t>
            </w:r>
          </w:p>
        </w:tc>
      </w:tr>
      <w:tr w:rsidR="003712EB" w:rsidRPr="003712EB" w14:paraId="4CA7EFBD" w14:textId="77777777" w:rsidTr="00446A14">
        <w:trPr>
          <w:trHeight w:val="238"/>
        </w:trPr>
        <w:tc>
          <w:tcPr>
            <w:tcW w:w="2963" w:type="pct"/>
            <w:tcBorders>
              <w:top w:val="single" w:sz="4" w:space="0" w:color="3616F6"/>
              <w:left w:val="nil"/>
              <w:bottom w:val="single" w:sz="4" w:space="0" w:color="3616F6"/>
              <w:right w:val="nil"/>
            </w:tcBorders>
            <w:shd w:val="clear" w:color="auto" w:fill="auto"/>
            <w:noWrap/>
            <w:vAlign w:val="center"/>
            <w:hideMark/>
          </w:tcPr>
          <w:p w14:paraId="2B408EDF" w14:textId="77777777" w:rsidR="003712EB" w:rsidRPr="003712EB" w:rsidRDefault="003712EB" w:rsidP="003712EB">
            <w:pPr>
              <w:spacing w:after="0" w:line="240" w:lineRule="auto"/>
              <w:rPr>
                <w:rFonts w:ascii="Arial" w:eastAsia="Times New Roman" w:hAnsi="Arial" w:cs="Arial"/>
                <w:b/>
                <w:bCs/>
                <w:color w:val="000000"/>
                <w:kern w:val="0"/>
                <w:sz w:val="16"/>
                <w:szCs w:val="16"/>
                <w:lang w:eastAsia="pt-BR"/>
                <w14:ligatures w14:val="none"/>
              </w:rPr>
            </w:pPr>
            <w:r w:rsidRPr="003712EB">
              <w:rPr>
                <w:rFonts w:ascii="Arial" w:eastAsia="Times New Roman" w:hAnsi="Arial" w:cs="Arial"/>
                <w:b/>
                <w:bCs/>
                <w:color w:val="000000"/>
                <w:kern w:val="0"/>
                <w:sz w:val="16"/>
                <w:szCs w:val="16"/>
                <w:lang w:eastAsia="pt-BR"/>
                <w14:ligatures w14:val="none"/>
              </w:rPr>
              <w:t>Não Circulante</w:t>
            </w:r>
          </w:p>
        </w:tc>
        <w:tc>
          <w:tcPr>
            <w:tcW w:w="679" w:type="pct"/>
            <w:tcBorders>
              <w:top w:val="single" w:sz="4" w:space="0" w:color="3616F6"/>
              <w:left w:val="single" w:sz="4" w:space="0" w:color="3616F6"/>
              <w:bottom w:val="single" w:sz="4" w:space="0" w:color="3616F6"/>
              <w:right w:val="nil"/>
            </w:tcBorders>
            <w:shd w:val="clear" w:color="000000" w:fill="75F6F9"/>
            <w:vAlign w:val="center"/>
            <w:hideMark/>
          </w:tcPr>
          <w:p w14:paraId="66B5BC81" w14:textId="77777777" w:rsidR="003712EB" w:rsidRPr="003712EB" w:rsidRDefault="003712EB" w:rsidP="003712EB">
            <w:pPr>
              <w:spacing w:after="0" w:line="240" w:lineRule="auto"/>
              <w:jc w:val="right"/>
              <w:rPr>
                <w:rFonts w:ascii="Arial" w:eastAsia="Times New Roman" w:hAnsi="Arial" w:cs="Arial"/>
                <w:b/>
                <w:bCs/>
                <w:color w:val="000000"/>
                <w:kern w:val="0"/>
                <w:sz w:val="16"/>
                <w:szCs w:val="16"/>
                <w:lang w:eastAsia="pt-BR"/>
                <w14:ligatures w14:val="none"/>
              </w:rPr>
            </w:pPr>
            <w:r w:rsidRPr="003712EB">
              <w:rPr>
                <w:rFonts w:ascii="Arial" w:eastAsia="Times New Roman" w:hAnsi="Arial" w:cs="Arial"/>
                <w:b/>
                <w:bCs/>
                <w:color w:val="000000"/>
                <w:kern w:val="0"/>
                <w:sz w:val="16"/>
                <w:szCs w:val="16"/>
                <w:lang w:eastAsia="pt-BR"/>
                <w14:ligatures w14:val="none"/>
              </w:rPr>
              <w:t xml:space="preserve">   2.396.238 </w:t>
            </w:r>
          </w:p>
        </w:tc>
        <w:tc>
          <w:tcPr>
            <w:tcW w:w="679" w:type="pct"/>
            <w:tcBorders>
              <w:top w:val="single" w:sz="4" w:space="0" w:color="3616F6"/>
              <w:left w:val="single" w:sz="4" w:space="0" w:color="3616F6"/>
              <w:bottom w:val="single" w:sz="4" w:space="0" w:color="3616F6"/>
              <w:right w:val="single" w:sz="4" w:space="0" w:color="3616F6"/>
            </w:tcBorders>
            <w:shd w:val="clear" w:color="auto" w:fill="auto"/>
            <w:noWrap/>
            <w:vAlign w:val="center"/>
            <w:hideMark/>
          </w:tcPr>
          <w:p w14:paraId="650D833E" w14:textId="77777777" w:rsidR="003712EB" w:rsidRPr="003712EB" w:rsidRDefault="003712EB" w:rsidP="003712EB">
            <w:pPr>
              <w:spacing w:after="0" w:line="240" w:lineRule="auto"/>
              <w:jc w:val="right"/>
              <w:rPr>
                <w:rFonts w:ascii="Arial" w:eastAsia="Times New Roman" w:hAnsi="Arial" w:cs="Arial"/>
                <w:b/>
                <w:bCs/>
                <w:color w:val="000000"/>
                <w:kern w:val="0"/>
                <w:sz w:val="16"/>
                <w:szCs w:val="16"/>
                <w:lang w:eastAsia="pt-BR"/>
                <w14:ligatures w14:val="none"/>
              </w:rPr>
            </w:pPr>
            <w:r w:rsidRPr="003712EB">
              <w:rPr>
                <w:rFonts w:ascii="Arial" w:eastAsia="Times New Roman" w:hAnsi="Arial" w:cs="Arial"/>
                <w:b/>
                <w:bCs/>
                <w:color w:val="000000"/>
                <w:kern w:val="0"/>
                <w:sz w:val="16"/>
                <w:szCs w:val="16"/>
                <w:lang w:eastAsia="pt-BR"/>
                <w14:ligatures w14:val="none"/>
              </w:rPr>
              <w:t xml:space="preserve">   2.506.701 </w:t>
            </w:r>
          </w:p>
        </w:tc>
        <w:tc>
          <w:tcPr>
            <w:tcW w:w="679" w:type="pct"/>
            <w:tcBorders>
              <w:top w:val="single" w:sz="4" w:space="0" w:color="3616F6"/>
              <w:left w:val="nil"/>
              <w:bottom w:val="single" w:sz="4" w:space="0" w:color="3616F6"/>
              <w:right w:val="nil"/>
            </w:tcBorders>
            <w:shd w:val="clear" w:color="auto" w:fill="auto"/>
            <w:noWrap/>
            <w:vAlign w:val="center"/>
            <w:hideMark/>
          </w:tcPr>
          <w:p w14:paraId="5270CE52" w14:textId="77777777" w:rsidR="003712EB" w:rsidRPr="003712EB" w:rsidRDefault="003712EB" w:rsidP="003712EB">
            <w:pPr>
              <w:spacing w:after="0" w:line="240" w:lineRule="auto"/>
              <w:jc w:val="right"/>
              <w:rPr>
                <w:rFonts w:ascii="Arial" w:eastAsia="Times New Roman" w:hAnsi="Arial" w:cs="Arial"/>
                <w:b/>
                <w:bCs/>
                <w:color w:val="000000"/>
                <w:kern w:val="0"/>
                <w:sz w:val="16"/>
                <w:szCs w:val="16"/>
                <w:lang w:eastAsia="pt-BR"/>
                <w14:ligatures w14:val="none"/>
              </w:rPr>
            </w:pPr>
            <w:r w:rsidRPr="003712EB">
              <w:rPr>
                <w:rFonts w:ascii="Arial" w:eastAsia="Times New Roman" w:hAnsi="Arial" w:cs="Arial"/>
                <w:b/>
                <w:bCs/>
                <w:color w:val="000000"/>
                <w:kern w:val="0"/>
                <w:sz w:val="16"/>
                <w:szCs w:val="16"/>
                <w:lang w:eastAsia="pt-BR"/>
                <w14:ligatures w14:val="none"/>
              </w:rPr>
              <w:t xml:space="preserve">   2.641.993 </w:t>
            </w:r>
          </w:p>
        </w:tc>
      </w:tr>
      <w:tr w:rsidR="003712EB" w:rsidRPr="003712EB" w14:paraId="67E3CB67" w14:textId="77777777" w:rsidTr="00446A14">
        <w:trPr>
          <w:trHeight w:val="238"/>
        </w:trPr>
        <w:tc>
          <w:tcPr>
            <w:tcW w:w="2963" w:type="pct"/>
            <w:tcBorders>
              <w:top w:val="nil"/>
              <w:left w:val="nil"/>
              <w:bottom w:val="nil"/>
              <w:right w:val="nil"/>
            </w:tcBorders>
            <w:shd w:val="clear" w:color="auto" w:fill="auto"/>
            <w:noWrap/>
            <w:vAlign w:val="center"/>
            <w:hideMark/>
          </w:tcPr>
          <w:p w14:paraId="61A4F83B" w14:textId="77777777" w:rsidR="003712EB" w:rsidRPr="003712EB" w:rsidRDefault="003712EB" w:rsidP="003712EB">
            <w:pPr>
              <w:spacing w:after="0" w:line="240" w:lineRule="auto"/>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Aplicações Financeiras</w:t>
            </w:r>
          </w:p>
        </w:tc>
        <w:tc>
          <w:tcPr>
            <w:tcW w:w="679" w:type="pct"/>
            <w:tcBorders>
              <w:top w:val="nil"/>
              <w:left w:val="single" w:sz="4" w:space="0" w:color="3616F6"/>
              <w:bottom w:val="nil"/>
              <w:right w:val="nil"/>
            </w:tcBorders>
            <w:shd w:val="clear" w:color="000000" w:fill="75F6F9"/>
            <w:vAlign w:val="center"/>
            <w:hideMark/>
          </w:tcPr>
          <w:p w14:paraId="10D3CFB8"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80.682 </w:t>
            </w:r>
          </w:p>
        </w:tc>
        <w:tc>
          <w:tcPr>
            <w:tcW w:w="679" w:type="pct"/>
            <w:tcBorders>
              <w:top w:val="nil"/>
              <w:left w:val="single" w:sz="4" w:space="0" w:color="3616F6"/>
              <w:bottom w:val="nil"/>
              <w:right w:val="single" w:sz="4" w:space="0" w:color="3616F6"/>
            </w:tcBorders>
            <w:shd w:val="clear" w:color="auto" w:fill="auto"/>
            <w:vAlign w:val="center"/>
            <w:hideMark/>
          </w:tcPr>
          <w:p w14:paraId="28D488FB"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72.479 </w:t>
            </w:r>
          </w:p>
        </w:tc>
        <w:tc>
          <w:tcPr>
            <w:tcW w:w="679" w:type="pct"/>
            <w:tcBorders>
              <w:top w:val="nil"/>
              <w:left w:val="nil"/>
              <w:bottom w:val="nil"/>
              <w:right w:val="nil"/>
            </w:tcBorders>
            <w:shd w:val="clear" w:color="auto" w:fill="auto"/>
            <w:noWrap/>
            <w:vAlign w:val="center"/>
            <w:hideMark/>
          </w:tcPr>
          <w:p w14:paraId="7C97D56E"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66.459 </w:t>
            </w:r>
          </w:p>
        </w:tc>
      </w:tr>
      <w:tr w:rsidR="003712EB" w:rsidRPr="003712EB" w14:paraId="64DC4ACC" w14:textId="77777777" w:rsidTr="00446A14">
        <w:trPr>
          <w:trHeight w:val="238"/>
        </w:trPr>
        <w:tc>
          <w:tcPr>
            <w:tcW w:w="2963" w:type="pct"/>
            <w:tcBorders>
              <w:top w:val="nil"/>
              <w:left w:val="nil"/>
              <w:bottom w:val="nil"/>
              <w:right w:val="nil"/>
            </w:tcBorders>
            <w:shd w:val="clear" w:color="auto" w:fill="auto"/>
            <w:noWrap/>
            <w:vAlign w:val="center"/>
            <w:hideMark/>
          </w:tcPr>
          <w:p w14:paraId="28FF24BB" w14:textId="77777777" w:rsidR="003712EB" w:rsidRPr="003712EB" w:rsidRDefault="003712EB" w:rsidP="003712EB">
            <w:pPr>
              <w:spacing w:after="0" w:line="240" w:lineRule="auto"/>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Tributos a Compensar/Recuperar</w:t>
            </w:r>
          </w:p>
        </w:tc>
        <w:tc>
          <w:tcPr>
            <w:tcW w:w="679" w:type="pct"/>
            <w:tcBorders>
              <w:top w:val="nil"/>
              <w:left w:val="single" w:sz="4" w:space="0" w:color="3616F6"/>
              <w:bottom w:val="nil"/>
              <w:right w:val="nil"/>
            </w:tcBorders>
            <w:shd w:val="clear" w:color="000000" w:fill="75F6F9"/>
            <w:vAlign w:val="center"/>
            <w:hideMark/>
          </w:tcPr>
          <w:p w14:paraId="5F30EC81"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11.634 </w:t>
            </w:r>
          </w:p>
        </w:tc>
        <w:tc>
          <w:tcPr>
            <w:tcW w:w="679" w:type="pct"/>
            <w:tcBorders>
              <w:top w:val="nil"/>
              <w:left w:val="single" w:sz="4" w:space="0" w:color="3616F6"/>
              <w:bottom w:val="nil"/>
              <w:right w:val="single" w:sz="4" w:space="0" w:color="3616F6"/>
            </w:tcBorders>
            <w:shd w:val="clear" w:color="auto" w:fill="auto"/>
            <w:vAlign w:val="center"/>
            <w:hideMark/>
          </w:tcPr>
          <w:p w14:paraId="72EDF125"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9.225 </w:t>
            </w:r>
          </w:p>
        </w:tc>
        <w:tc>
          <w:tcPr>
            <w:tcW w:w="679" w:type="pct"/>
            <w:tcBorders>
              <w:top w:val="nil"/>
              <w:left w:val="nil"/>
              <w:bottom w:val="nil"/>
              <w:right w:val="nil"/>
            </w:tcBorders>
            <w:shd w:val="clear" w:color="auto" w:fill="auto"/>
            <w:noWrap/>
            <w:vAlign w:val="center"/>
            <w:hideMark/>
          </w:tcPr>
          <w:p w14:paraId="2D4901F1"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4.379 </w:t>
            </w:r>
          </w:p>
        </w:tc>
      </w:tr>
      <w:tr w:rsidR="003712EB" w:rsidRPr="003712EB" w14:paraId="066F5B53" w14:textId="77777777" w:rsidTr="00446A14">
        <w:trPr>
          <w:trHeight w:val="238"/>
        </w:trPr>
        <w:tc>
          <w:tcPr>
            <w:tcW w:w="2963" w:type="pct"/>
            <w:tcBorders>
              <w:top w:val="nil"/>
              <w:left w:val="nil"/>
              <w:bottom w:val="nil"/>
              <w:right w:val="nil"/>
            </w:tcBorders>
            <w:shd w:val="clear" w:color="auto" w:fill="auto"/>
            <w:noWrap/>
            <w:vAlign w:val="center"/>
            <w:hideMark/>
          </w:tcPr>
          <w:p w14:paraId="722E628D" w14:textId="77777777" w:rsidR="003712EB" w:rsidRPr="003712EB" w:rsidRDefault="003712EB" w:rsidP="003712EB">
            <w:pPr>
              <w:spacing w:after="0" w:line="240" w:lineRule="auto"/>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Dividendos a Receber</w:t>
            </w:r>
          </w:p>
        </w:tc>
        <w:tc>
          <w:tcPr>
            <w:tcW w:w="679" w:type="pct"/>
            <w:tcBorders>
              <w:top w:val="nil"/>
              <w:left w:val="single" w:sz="4" w:space="0" w:color="3616F6"/>
              <w:bottom w:val="nil"/>
              <w:right w:val="nil"/>
            </w:tcBorders>
            <w:shd w:val="clear" w:color="000000" w:fill="75F6F9"/>
            <w:vAlign w:val="center"/>
            <w:hideMark/>
          </w:tcPr>
          <w:p w14:paraId="7887B162"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5.456 </w:t>
            </w:r>
          </w:p>
        </w:tc>
        <w:tc>
          <w:tcPr>
            <w:tcW w:w="679" w:type="pct"/>
            <w:tcBorders>
              <w:top w:val="nil"/>
              <w:left w:val="single" w:sz="4" w:space="0" w:color="3616F6"/>
              <w:bottom w:val="nil"/>
              <w:right w:val="single" w:sz="4" w:space="0" w:color="3616F6"/>
            </w:tcBorders>
            <w:shd w:val="clear" w:color="auto" w:fill="auto"/>
            <w:vAlign w:val="center"/>
            <w:hideMark/>
          </w:tcPr>
          <w:p w14:paraId="08ACE7AE"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5.456 </w:t>
            </w:r>
          </w:p>
        </w:tc>
        <w:tc>
          <w:tcPr>
            <w:tcW w:w="679" w:type="pct"/>
            <w:tcBorders>
              <w:top w:val="nil"/>
              <w:left w:val="nil"/>
              <w:bottom w:val="nil"/>
              <w:right w:val="nil"/>
            </w:tcBorders>
            <w:shd w:val="clear" w:color="auto" w:fill="auto"/>
            <w:noWrap/>
            <w:vAlign w:val="center"/>
            <w:hideMark/>
          </w:tcPr>
          <w:p w14:paraId="6C40A10D"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5.456 </w:t>
            </w:r>
          </w:p>
        </w:tc>
      </w:tr>
      <w:tr w:rsidR="003712EB" w:rsidRPr="003712EB" w14:paraId="7F8193EC" w14:textId="77777777" w:rsidTr="00446A14">
        <w:trPr>
          <w:trHeight w:val="238"/>
        </w:trPr>
        <w:tc>
          <w:tcPr>
            <w:tcW w:w="2963" w:type="pct"/>
            <w:tcBorders>
              <w:top w:val="nil"/>
              <w:left w:val="nil"/>
              <w:bottom w:val="nil"/>
              <w:right w:val="nil"/>
            </w:tcBorders>
            <w:shd w:val="clear" w:color="auto" w:fill="auto"/>
            <w:noWrap/>
            <w:vAlign w:val="center"/>
            <w:hideMark/>
          </w:tcPr>
          <w:p w14:paraId="790F2C55" w14:textId="77777777" w:rsidR="003712EB" w:rsidRPr="003712EB" w:rsidRDefault="003712EB" w:rsidP="003712EB">
            <w:pPr>
              <w:spacing w:after="0" w:line="240" w:lineRule="auto"/>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Depósitos Judiciais</w:t>
            </w:r>
          </w:p>
        </w:tc>
        <w:tc>
          <w:tcPr>
            <w:tcW w:w="679" w:type="pct"/>
            <w:tcBorders>
              <w:top w:val="nil"/>
              <w:left w:val="single" w:sz="4" w:space="0" w:color="3616F6"/>
              <w:bottom w:val="nil"/>
              <w:right w:val="nil"/>
            </w:tcBorders>
            <w:shd w:val="clear" w:color="000000" w:fill="75F6F9"/>
            <w:vAlign w:val="center"/>
            <w:hideMark/>
          </w:tcPr>
          <w:p w14:paraId="5624A706"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45.542 </w:t>
            </w:r>
          </w:p>
        </w:tc>
        <w:tc>
          <w:tcPr>
            <w:tcW w:w="679" w:type="pct"/>
            <w:tcBorders>
              <w:top w:val="nil"/>
              <w:left w:val="single" w:sz="4" w:space="0" w:color="3616F6"/>
              <w:bottom w:val="nil"/>
              <w:right w:val="single" w:sz="4" w:space="0" w:color="3616F6"/>
            </w:tcBorders>
            <w:shd w:val="clear" w:color="auto" w:fill="auto"/>
            <w:vAlign w:val="center"/>
            <w:hideMark/>
          </w:tcPr>
          <w:p w14:paraId="57286B9E"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41.311 </w:t>
            </w:r>
          </w:p>
        </w:tc>
        <w:tc>
          <w:tcPr>
            <w:tcW w:w="679" w:type="pct"/>
            <w:tcBorders>
              <w:top w:val="nil"/>
              <w:left w:val="nil"/>
              <w:bottom w:val="nil"/>
              <w:right w:val="nil"/>
            </w:tcBorders>
            <w:shd w:val="clear" w:color="auto" w:fill="auto"/>
            <w:noWrap/>
            <w:vAlign w:val="center"/>
            <w:hideMark/>
          </w:tcPr>
          <w:p w14:paraId="44B56F74"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37.845 </w:t>
            </w:r>
          </w:p>
        </w:tc>
      </w:tr>
      <w:tr w:rsidR="003712EB" w:rsidRPr="003712EB" w14:paraId="2144E735" w14:textId="77777777" w:rsidTr="00446A14">
        <w:trPr>
          <w:trHeight w:val="238"/>
        </w:trPr>
        <w:tc>
          <w:tcPr>
            <w:tcW w:w="2963" w:type="pct"/>
            <w:tcBorders>
              <w:top w:val="nil"/>
              <w:left w:val="nil"/>
              <w:bottom w:val="nil"/>
              <w:right w:val="nil"/>
            </w:tcBorders>
            <w:shd w:val="clear" w:color="auto" w:fill="auto"/>
            <w:noWrap/>
            <w:vAlign w:val="center"/>
            <w:hideMark/>
          </w:tcPr>
          <w:p w14:paraId="2914BC52" w14:textId="77777777" w:rsidR="003712EB" w:rsidRPr="003712EB" w:rsidRDefault="003712EB" w:rsidP="003712EB">
            <w:pPr>
              <w:spacing w:after="0" w:line="240" w:lineRule="auto"/>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Outros Ativos Realizáveis</w:t>
            </w:r>
          </w:p>
        </w:tc>
        <w:tc>
          <w:tcPr>
            <w:tcW w:w="679" w:type="pct"/>
            <w:tcBorders>
              <w:top w:val="nil"/>
              <w:left w:val="single" w:sz="4" w:space="0" w:color="3616F6"/>
              <w:bottom w:val="nil"/>
              <w:right w:val="nil"/>
            </w:tcBorders>
            <w:shd w:val="clear" w:color="000000" w:fill="75F6F9"/>
            <w:vAlign w:val="center"/>
            <w:hideMark/>
          </w:tcPr>
          <w:p w14:paraId="1B896BBC"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22.569 </w:t>
            </w:r>
          </w:p>
        </w:tc>
        <w:tc>
          <w:tcPr>
            <w:tcW w:w="679" w:type="pct"/>
            <w:tcBorders>
              <w:top w:val="nil"/>
              <w:left w:val="single" w:sz="4" w:space="0" w:color="3616F6"/>
              <w:bottom w:val="nil"/>
              <w:right w:val="single" w:sz="4" w:space="0" w:color="3616F6"/>
            </w:tcBorders>
            <w:shd w:val="clear" w:color="auto" w:fill="auto"/>
            <w:vAlign w:val="center"/>
            <w:hideMark/>
          </w:tcPr>
          <w:p w14:paraId="01F6CBE4"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23.942 </w:t>
            </w:r>
          </w:p>
        </w:tc>
        <w:tc>
          <w:tcPr>
            <w:tcW w:w="679" w:type="pct"/>
            <w:tcBorders>
              <w:top w:val="nil"/>
              <w:left w:val="nil"/>
              <w:bottom w:val="nil"/>
              <w:right w:val="nil"/>
            </w:tcBorders>
            <w:shd w:val="clear" w:color="auto" w:fill="auto"/>
            <w:noWrap/>
            <w:vAlign w:val="center"/>
            <w:hideMark/>
          </w:tcPr>
          <w:p w14:paraId="73F88CF7"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39.633 </w:t>
            </w:r>
          </w:p>
        </w:tc>
      </w:tr>
      <w:tr w:rsidR="003712EB" w:rsidRPr="003712EB" w14:paraId="66D414C5" w14:textId="77777777" w:rsidTr="00446A14">
        <w:trPr>
          <w:trHeight w:val="238"/>
        </w:trPr>
        <w:tc>
          <w:tcPr>
            <w:tcW w:w="2963" w:type="pct"/>
            <w:tcBorders>
              <w:top w:val="nil"/>
              <w:left w:val="nil"/>
              <w:bottom w:val="nil"/>
              <w:right w:val="nil"/>
            </w:tcBorders>
            <w:shd w:val="clear" w:color="auto" w:fill="auto"/>
            <w:noWrap/>
            <w:vAlign w:val="center"/>
            <w:hideMark/>
          </w:tcPr>
          <w:p w14:paraId="6B669007" w14:textId="77777777" w:rsidR="003712EB" w:rsidRPr="003712EB" w:rsidRDefault="003712EB" w:rsidP="003712EB">
            <w:pPr>
              <w:spacing w:after="0" w:line="240" w:lineRule="auto"/>
              <w:rPr>
                <w:rFonts w:ascii="Arial" w:eastAsia="Times New Roman" w:hAnsi="Arial" w:cs="Arial"/>
                <w:b/>
                <w:bCs/>
                <w:color w:val="000000"/>
                <w:kern w:val="0"/>
                <w:sz w:val="16"/>
                <w:szCs w:val="16"/>
                <w:lang w:eastAsia="pt-BR"/>
                <w14:ligatures w14:val="none"/>
              </w:rPr>
            </w:pPr>
            <w:r w:rsidRPr="003712EB">
              <w:rPr>
                <w:rFonts w:ascii="Arial" w:eastAsia="Times New Roman" w:hAnsi="Arial" w:cs="Arial"/>
                <w:b/>
                <w:bCs/>
                <w:color w:val="000000"/>
                <w:kern w:val="0"/>
                <w:sz w:val="16"/>
                <w:szCs w:val="16"/>
                <w:lang w:eastAsia="pt-BR"/>
                <w14:ligatures w14:val="none"/>
              </w:rPr>
              <w:t xml:space="preserve">   Realizável a Longo Prazo</w:t>
            </w:r>
          </w:p>
        </w:tc>
        <w:tc>
          <w:tcPr>
            <w:tcW w:w="679" w:type="pct"/>
            <w:tcBorders>
              <w:top w:val="nil"/>
              <w:left w:val="single" w:sz="4" w:space="0" w:color="3616F6"/>
              <w:bottom w:val="nil"/>
              <w:right w:val="nil"/>
            </w:tcBorders>
            <w:shd w:val="clear" w:color="000000" w:fill="75F6F9"/>
            <w:vAlign w:val="center"/>
            <w:hideMark/>
          </w:tcPr>
          <w:p w14:paraId="58B04A16" w14:textId="77777777" w:rsidR="003712EB" w:rsidRPr="003712EB" w:rsidRDefault="003712EB" w:rsidP="003712EB">
            <w:pPr>
              <w:spacing w:after="0" w:line="240" w:lineRule="auto"/>
              <w:jc w:val="right"/>
              <w:rPr>
                <w:rFonts w:ascii="Arial" w:eastAsia="Times New Roman" w:hAnsi="Arial" w:cs="Arial"/>
                <w:b/>
                <w:bCs/>
                <w:color w:val="000000"/>
                <w:kern w:val="0"/>
                <w:sz w:val="16"/>
                <w:szCs w:val="16"/>
                <w:lang w:eastAsia="pt-BR"/>
                <w14:ligatures w14:val="none"/>
              </w:rPr>
            </w:pPr>
            <w:r w:rsidRPr="003712EB">
              <w:rPr>
                <w:rFonts w:ascii="Arial" w:eastAsia="Times New Roman" w:hAnsi="Arial" w:cs="Arial"/>
                <w:b/>
                <w:bCs/>
                <w:color w:val="000000"/>
                <w:kern w:val="0"/>
                <w:sz w:val="16"/>
                <w:szCs w:val="16"/>
                <w:lang w:eastAsia="pt-BR"/>
                <w14:ligatures w14:val="none"/>
              </w:rPr>
              <w:t xml:space="preserve">      181.609 </w:t>
            </w:r>
          </w:p>
        </w:tc>
        <w:tc>
          <w:tcPr>
            <w:tcW w:w="679" w:type="pct"/>
            <w:tcBorders>
              <w:top w:val="nil"/>
              <w:left w:val="single" w:sz="4" w:space="0" w:color="3616F6"/>
              <w:bottom w:val="nil"/>
              <w:right w:val="single" w:sz="4" w:space="0" w:color="3616F6"/>
            </w:tcBorders>
            <w:shd w:val="clear" w:color="auto" w:fill="auto"/>
            <w:noWrap/>
            <w:vAlign w:val="center"/>
            <w:hideMark/>
          </w:tcPr>
          <w:p w14:paraId="7E171D68" w14:textId="77777777" w:rsidR="003712EB" w:rsidRPr="003712EB" w:rsidRDefault="003712EB" w:rsidP="003712EB">
            <w:pPr>
              <w:spacing w:after="0" w:line="240" w:lineRule="auto"/>
              <w:jc w:val="right"/>
              <w:rPr>
                <w:rFonts w:ascii="Arial" w:eastAsia="Times New Roman" w:hAnsi="Arial" w:cs="Arial"/>
                <w:b/>
                <w:bCs/>
                <w:color w:val="000000"/>
                <w:kern w:val="0"/>
                <w:sz w:val="16"/>
                <w:szCs w:val="16"/>
                <w:lang w:eastAsia="pt-BR"/>
                <w14:ligatures w14:val="none"/>
              </w:rPr>
            </w:pPr>
            <w:r w:rsidRPr="003712EB">
              <w:rPr>
                <w:rFonts w:ascii="Arial" w:eastAsia="Times New Roman" w:hAnsi="Arial" w:cs="Arial"/>
                <w:b/>
                <w:bCs/>
                <w:color w:val="000000"/>
                <w:kern w:val="0"/>
                <w:sz w:val="16"/>
                <w:szCs w:val="16"/>
                <w:lang w:eastAsia="pt-BR"/>
                <w14:ligatures w14:val="none"/>
              </w:rPr>
              <w:t xml:space="preserve">      152.413 </w:t>
            </w:r>
          </w:p>
        </w:tc>
        <w:tc>
          <w:tcPr>
            <w:tcW w:w="679" w:type="pct"/>
            <w:tcBorders>
              <w:top w:val="nil"/>
              <w:left w:val="nil"/>
              <w:bottom w:val="nil"/>
              <w:right w:val="nil"/>
            </w:tcBorders>
            <w:shd w:val="clear" w:color="auto" w:fill="auto"/>
            <w:noWrap/>
            <w:vAlign w:val="center"/>
            <w:hideMark/>
          </w:tcPr>
          <w:p w14:paraId="57D022CE" w14:textId="77777777" w:rsidR="003712EB" w:rsidRPr="003712EB" w:rsidRDefault="003712EB" w:rsidP="003712EB">
            <w:pPr>
              <w:spacing w:after="0" w:line="240" w:lineRule="auto"/>
              <w:jc w:val="right"/>
              <w:rPr>
                <w:rFonts w:ascii="Arial" w:eastAsia="Times New Roman" w:hAnsi="Arial" w:cs="Arial"/>
                <w:b/>
                <w:bCs/>
                <w:color w:val="000000"/>
                <w:kern w:val="0"/>
                <w:sz w:val="16"/>
                <w:szCs w:val="16"/>
                <w:lang w:eastAsia="pt-BR"/>
                <w14:ligatures w14:val="none"/>
              </w:rPr>
            </w:pPr>
            <w:r w:rsidRPr="003712EB">
              <w:rPr>
                <w:rFonts w:ascii="Arial" w:eastAsia="Times New Roman" w:hAnsi="Arial" w:cs="Arial"/>
                <w:b/>
                <w:bCs/>
                <w:color w:val="000000"/>
                <w:kern w:val="0"/>
                <w:sz w:val="16"/>
                <w:szCs w:val="16"/>
                <w:lang w:eastAsia="pt-BR"/>
                <w14:ligatures w14:val="none"/>
              </w:rPr>
              <w:t xml:space="preserve">      153.772 </w:t>
            </w:r>
          </w:p>
        </w:tc>
      </w:tr>
      <w:tr w:rsidR="003712EB" w:rsidRPr="003712EB" w14:paraId="45740670" w14:textId="77777777" w:rsidTr="00446A14">
        <w:trPr>
          <w:trHeight w:val="238"/>
        </w:trPr>
        <w:tc>
          <w:tcPr>
            <w:tcW w:w="2963" w:type="pct"/>
            <w:tcBorders>
              <w:top w:val="nil"/>
              <w:left w:val="nil"/>
              <w:bottom w:val="nil"/>
              <w:right w:val="nil"/>
            </w:tcBorders>
            <w:shd w:val="clear" w:color="auto" w:fill="auto"/>
            <w:noWrap/>
            <w:vAlign w:val="center"/>
            <w:hideMark/>
          </w:tcPr>
          <w:p w14:paraId="712DC4E5" w14:textId="77777777" w:rsidR="003712EB" w:rsidRPr="003712EB" w:rsidRDefault="003712EB" w:rsidP="003712EB">
            <w:pPr>
              <w:spacing w:after="0" w:line="240" w:lineRule="auto"/>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Investimentos</w:t>
            </w:r>
          </w:p>
        </w:tc>
        <w:tc>
          <w:tcPr>
            <w:tcW w:w="679" w:type="pct"/>
            <w:tcBorders>
              <w:top w:val="nil"/>
              <w:left w:val="single" w:sz="4" w:space="0" w:color="3616F6"/>
              <w:bottom w:val="nil"/>
              <w:right w:val="nil"/>
            </w:tcBorders>
            <w:shd w:val="clear" w:color="000000" w:fill="75F6F9"/>
            <w:vAlign w:val="center"/>
            <w:hideMark/>
          </w:tcPr>
          <w:p w14:paraId="03E784A6"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70.084 </w:t>
            </w:r>
          </w:p>
        </w:tc>
        <w:tc>
          <w:tcPr>
            <w:tcW w:w="679" w:type="pct"/>
            <w:tcBorders>
              <w:top w:val="nil"/>
              <w:left w:val="single" w:sz="4" w:space="0" w:color="3616F6"/>
              <w:bottom w:val="nil"/>
              <w:right w:val="single" w:sz="4" w:space="0" w:color="3616F6"/>
            </w:tcBorders>
            <w:shd w:val="clear" w:color="auto" w:fill="auto"/>
            <w:vAlign w:val="center"/>
            <w:hideMark/>
          </w:tcPr>
          <w:p w14:paraId="63D886BB"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75.195 </w:t>
            </w:r>
          </w:p>
        </w:tc>
        <w:tc>
          <w:tcPr>
            <w:tcW w:w="679" w:type="pct"/>
            <w:tcBorders>
              <w:top w:val="nil"/>
              <w:left w:val="nil"/>
              <w:bottom w:val="nil"/>
              <w:right w:val="nil"/>
            </w:tcBorders>
            <w:shd w:val="clear" w:color="auto" w:fill="auto"/>
            <w:noWrap/>
            <w:vAlign w:val="center"/>
            <w:hideMark/>
          </w:tcPr>
          <w:p w14:paraId="04B59725"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88.152 </w:t>
            </w:r>
          </w:p>
        </w:tc>
      </w:tr>
      <w:tr w:rsidR="003712EB" w:rsidRPr="003712EB" w14:paraId="2DBEAAE5" w14:textId="77777777" w:rsidTr="00446A14">
        <w:trPr>
          <w:trHeight w:val="238"/>
        </w:trPr>
        <w:tc>
          <w:tcPr>
            <w:tcW w:w="2963" w:type="pct"/>
            <w:tcBorders>
              <w:top w:val="nil"/>
              <w:left w:val="nil"/>
              <w:bottom w:val="nil"/>
              <w:right w:val="nil"/>
            </w:tcBorders>
            <w:shd w:val="clear" w:color="auto" w:fill="auto"/>
            <w:noWrap/>
            <w:vAlign w:val="center"/>
            <w:hideMark/>
          </w:tcPr>
          <w:p w14:paraId="0F27BFAC" w14:textId="77777777" w:rsidR="003712EB" w:rsidRPr="003712EB" w:rsidRDefault="003712EB" w:rsidP="003712EB">
            <w:pPr>
              <w:spacing w:after="0" w:line="240" w:lineRule="auto"/>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Imobilizado </w:t>
            </w:r>
          </w:p>
        </w:tc>
        <w:tc>
          <w:tcPr>
            <w:tcW w:w="679" w:type="pct"/>
            <w:tcBorders>
              <w:top w:val="nil"/>
              <w:left w:val="single" w:sz="4" w:space="0" w:color="3616F6"/>
              <w:bottom w:val="nil"/>
              <w:right w:val="nil"/>
            </w:tcBorders>
            <w:shd w:val="clear" w:color="000000" w:fill="75F6F9"/>
            <w:vAlign w:val="center"/>
            <w:hideMark/>
          </w:tcPr>
          <w:p w14:paraId="02F0D9D1"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2.121.373 </w:t>
            </w:r>
          </w:p>
        </w:tc>
        <w:tc>
          <w:tcPr>
            <w:tcW w:w="679" w:type="pct"/>
            <w:tcBorders>
              <w:top w:val="nil"/>
              <w:left w:val="single" w:sz="4" w:space="0" w:color="3616F6"/>
              <w:bottom w:val="nil"/>
              <w:right w:val="single" w:sz="4" w:space="0" w:color="3616F6"/>
            </w:tcBorders>
            <w:shd w:val="clear" w:color="auto" w:fill="auto"/>
            <w:vAlign w:val="center"/>
            <w:hideMark/>
          </w:tcPr>
          <w:p w14:paraId="6CE0E078"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2.253.712 </w:t>
            </w:r>
          </w:p>
        </w:tc>
        <w:tc>
          <w:tcPr>
            <w:tcW w:w="679" w:type="pct"/>
            <w:tcBorders>
              <w:top w:val="nil"/>
              <w:left w:val="nil"/>
              <w:bottom w:val="nil"/>
              <w:right w:val="nil"/>
            </w:tcBorders>
            <w:shd w:val="clear" w:color="auto" w:fill="auto"/>
            <w:noWrap/>
            <w:vAlign w:val="center"/>
            <w:hideMark/>
          </w:tcPr>
          <w:p w14:paraId="0A10489F"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2.368.459 </w:t>
            </w:r>
          </w:p>
        </w:tc>
      </w:tr>
      <w:tr w:rsidR="003712EB" w:rsidRPr="003712EB" w14:paraId="70E593A4" w14:textId="77777777" w:rsidTr="00446A14">
        <w:trPr>
          <w:trHeight w:val="238"/>
        </w:trPr>
        <w:tc>
          <w:tcPr>
            <w:tcW w:w="2963" w:type="pct"/>
            <w:tcBorders>
              <w:top w:val="nil"/>
              <w:left w:val="nil"/>
              <w:bottom w:val="nil"/>
              <w:right w:val="nil"/>
            </w:tcBorders>
            <w:shd w:val="clear" w:color="auto" w:fill="auto"/>
            <w:noWrap/>
            <w:vAlign w:val="center"/>
            <w:hideMark/>
          </w:tcPr>
          <w:p w14:paraId="06AED056" w14:textId="77777777" w:rsidR="003712EB" w:rsidRPr="003712EB" w:rsidRDefault="003712EB" w:rsidP="003712EB">
            <w:pPr>
              <w:spacing w:after="0" w:line="240" w:lineRule="auto"/>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Intangível</w:t>
            </w:r>
          </w:p>
        </w:tc>
        <w:tc>
          <w:tcPr>
            <w:tcW w:w="679" w:type="pct"/>
            <w:tcBorders>
              <w:top w:val="nil"/>
              <w:left w:val="single" w:sz="4" w:space="0" w:color="3616F6"/>
              <w:bottom w:val="nil"/>
              <w:right w:val="nil"/>
            </w:tcBorders>
            <w:shd w:val="clear" w:color="000000" w:fill="75F6F9"/>
            <w:vAlign w:val="center"/>
            <w:hideMark/>
          </w:tcPr>
          <w:p w14:paraId="7B7B2F1B"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23.172 </w:t>
            </w:r>
          </w:p>
        </w:tc>
        <w:tc>
          <w:tcPr>
            <w:tcW w:w="679" w:type="pct"/>
            <w:tcBorders>
              <w:top w:val="nil"/>
              <w:left w:val="single" w:sz="4" w:space="0" w:color="3616F6"/>
              <w:bottom w:val="nil"/>
              <w:right w:val="single" w:sz="4" w:space="0" w:color="3616F6"/>
            </w:tcBorders>
            <w:shd w:val="clear" w:color="auto" w:fill="auto"/>
            <w:vAlign w:val="center"/>
            <w:hideMark/>
          </w:tcPr>
          <w:p w14:paraId="3FCB2408"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25.381 </w:t>
            </w:r>
          </w:p>
        </w:tc>
        <w:tc>
          <w:tcPr>
            <w:tcW w:w="679" w:type="pct"/>
            <w:tcBorders>
              <w:top w:val="nil"/>
              <w:left w:val="nil"/>
              <w:bottom w:val="nil"/>
              <w:right w:val="nil"/>
            </w:tcBorders>
            <w:shd w:val="clear" w:color="auto" w:fill="auto"/>
            <w:noWrap/>
            <w:vAlign w:val="center"/>
            <w:hideMark/>
          </w:tcPr>
          <w:p w14:paraId="6F321F3F"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31.610 </w:t>
            </w:r>
          </w:p>
        </w:tc>
      </w:tr>
      <w:tr w:rsidR="003712EB" w:rsidRPr="003712EB" w14:paraId="6C7D66BF" w14:textId="77777777" w:rsidTr="00446A14">
        <w:trPr>
          <w:trHeight w:val="238"/>
        </w:trPr>
        <w:tc>
          <w:tcPr>
            <w:tcW w:w="2963" w:type="pct"/>
            <w:tcBorders>
              <w:top w:val="single" w:sz="4" w:space="0" w:color="3616F6"/>
              <w:left w:val="nil"/>
              <w:bottom w:val="single" w:sz="4" w:space="0" w:color="3616F6"/>
              <w:right w:val="nil"/>
            </w:tcBorders>
            <w:shd w:val="clear" w:color="000000" w:fill="75F6F9"/>
            <w:vAlign w:val="center"/>
            <w:hideMark/>
          </w:tcPr>
          <w:p w14:paraId="325E002D" w14:textId="77777777" w:rsidR="003712EB" w:rsidRPr="003712EB" w:rsidRDefault="003712EB" w:rsidP="003712EB">
            <w:pPr>
              <w:spacing w:after="0" w:line="240" w:lineRule="auto"/>
              <w:rPr>
                <w:rFonts w:ascii="Arial" w:eastAsia="Times New Roman" w:hAnsi="Arial" w:cs="Arial"/>
                <w:b/>
                <w:bCs/>
                <w:color w:val="000000"/>
                <w:kern w:val="0"/>
                <w:sz w:val="16"/>
                <w:szCs w:val="16"/>
                <w:lang w:eastAsia="pt-BR"/>
                <w14:ligatures w14:val="none"/>
              </w:rPr>
            </w:pPr>
            <w:r w:rsidRPr="003712EB">
              <w:rPr>
                <w:rFonts w:ascii="Arial" w:eastAsia="Times New Roman" w:hAnsi="Arial" w:cs="Arial"/>
                <w:b/>
                <w:bCs/>
                <w:color w:val="000000"/>
                <w:kern w:val="0"/>
                <w:sz w:val="16"/>
                <w:szCs w:val="16"/>
                <w:lang w:eastAsia="pt-BR"/>
                <w14:ligatures w14:val="none"/>
              </w:rPr>
              <w:t>Total Passivo</w:t>
            </w:r>
          </w:p>
        </w:tc>
        <w:tc>
          <w:tcPr>
            <w:tcW w:w="679" w:type="pct"/>
            <w:tcBorders>
              <w:top w:val="single" w:sz="4" w:space="0" w:color="3616F6"/>
              <w:left w:val="single" w:sz="4" w:space="0" w:color="3616F6"/>
              <w:bottom w:val="single" w:sz="4" w:space="0" w:color="3616F6"/>
              <w:right w:val="nil"/>
            </w:tcBorders>
            <w:shd w:val="clear" w:color="000000" w:fill="75F6F9"/>
            <w:vAlign w:val="center"/>
            <w:hideMark/>
          </w:tcPr>
          <w:p w14:paraId="5B399317" w14:textId="77777777" w:rsidR="003712EB" w:rsidRPr="003712EB" w:rsidRDefault="003712EB" w:rsidP="003712EB">
            <w:pPr>
              <w:spacing w:after="0" w:line="240" w:lineRule="auto"/>
              <w:jc w:val="right"/>
              <w:rPr>
                <w:rFonts w:ascii="Arial" w:eastAsia="Times New Roman" w:hAnsi="Arial" w:cs="Arial"/>
                <w:b/>
                <w:bCs/>
                <w:color w:val="000000"/>
                <w:kern w:val="0"/>
                <w:sz w:val="16"/>
                <w:szCs w:val="16"/>
                <w:lang w:eastAsia="pt-BR"/>
                <w14:ligatures w14:val="none"/>
              </w:rPr>
            </w:pPr>
            <w:r w:rsidRPr="003712EB">
              <w:rPr>
                <w:rFonts w:ascii="Arial" w:eastAsia="Times New Roman" w:hAnsi="Arial" w:cs="Arial"/>
                <w:b/>
                <w:bCs/>
                <w:color w:val="000000"/>
                <w:kern w:val="0"/>
                <w:sz w:val="16"/>
                <w:szCs w:val="16"/>
                <w:lang w:eastAsia="pt-BR"/>
                <w14:ligatures w14:val="none"/>
              </w:rPr>
              <w:t xml:space="preserve">   4.003.587 </w:t>
            </w:r>
          </w:p>
        </w:tc>
        <w:tc>
          <w:tcPr>
            <w:tcW w:w="679" w:type="pct"/>
            <w:tcBorders>
              <w:top w:val="single" w:sz="4" w:space="0" w:color="3616F6"/>
              <w:left w:val="single" w:sz="4" w:space="0" w:color="3616F6"/>
              <w:bottom w:val="single" w:sz="4" w:space="0" w:color="3616F6"/>
              <w:right w:val="single" w:sz="4" w:space="0" w:color="3616F6"/>
            </w:tcBorders>
            <w:shd w:val="clear" w:color="000000" w:fill="75F6F9"/>
            <w:vAlign w:val="center"/>
            <w:hideMark/>
          </w:tcPr>
          <w:p w14:paraId="4ACCC3E7" w14:textId="77777777" w:rsidR="003712EB" w:rsidRPr="003712EB" w:rsidRDefault="003712EB" w:rsidP="003712EB">
            <w:pPr>
              <w:spacing w:after="0" w:line="240" w:lineRule="auto"/>
              <w:jc w:val="right"/>
              <w:rPr>
                <w:rFonts w:ascii="Arial" w:eastAsia="Times New Roman" w:hAnsi="Arial" w:cs="Arial"/>
                <w:b/>
                <w:bCs/>
                <w:color w:val="000000"/>
                <w:kern w:val="0"/>
                <w:sz w:val="16"/>
                <w:szCs w:val="16"/>
                <w:lang w:eastAsia="pt-BR"/>
                <w14:ligatures w14:val="none"/>
              </w:rPr>
            </w:pPr>
            <w:r w:rsidRPr="003712EB">
              <w:rPr>
                <w:rFonts w:ascii="Arial" w:eastAsia="Times New Roman" w:hAnsi="Arial" w:cs="Arial"/>
                <w:b/>
                <w:bCs/>
                <w:color w:val="000000"/>
                <w:kern w:val="0"/>
                <w:sz w:val="16"/>
                <w:szCs w:val="16"/>
                <w:lang w:eastAsia="pt-BR"/>
                <w14:ligatures w14:val="none"/>
              </w:rPr>
              <w:t xml:space="preserve">   4.035.411 </w:t>
            </w:r>
          </w:p>
        </w:tc>
        <w:tc>
          <w:tcPr>
            <w:tcW w:w="679" w:type="pct"/>
            <w:tcBorders>
              <w:top w:val="single" w:sz="4" w:space="0" w:color="3616F6"/>
              <w:left w:val="nil"/>
              <w:bottom w:val="single" w:sz="4" w:space="0" w:color="3616F6"/>
              <w:right w:val="nil"/>
            </w:tcBorders>
            <w:shd w:val="clear" w:color="000000" w:fill="75F6F9"/>
            <w:vAlign w:val="center"/>
            <w:hideMark/>
          </w:tcPr>
          <w:p w14:paraId="2C8459FF" w14:textId="77777777" w:rsidR="003712EB" w:rsidRPr="003712EB" w:rsidRDefault="003712EB" w:rsidP="003712EB">
            <w:pPr>
              <w:spacing w:after="0" w:line="240" w:lineRule="auto"/>
              <w:jc w:val="right"/>
              <w:rPr>
                <w:rFonts w:ascii="Arial" w:eastAsia="Times New Roman" w:hAnsi="Arial" w:cs="Arial"/>
                <w:b/>
                <w:bCs/>
                <w:color w:val="000000"/>
                <w:kern w:val="0"/>
                <w:sz w:val="16"/>
                <w:szCs w:val="16"/>
                <w:lang w:eastAsia="pt-BR"/>
                <w14:ligatures w14:val="none"/>
              </w:rPr>
            </w:pPr>
            <w:r w:rsidRPr="003712EB">
              <w:rPr>
                <w:rFonts w:ascii="Arial" w:eastAsia="Times New Roman" w:hAnsi="Arial" w:cs="Arial"/>
                <w:b/>
                <w:bCs/>
                <w:color w:val="000000"/>
                <w:kern w:val="0"/>
                <w:sz w:val="16"/>
                <w:szCs w:val="16"/>
                <w:lang w:eastAsia="pt-BR"/>
                <w14:ligatures w14:val="none"/>
              </w:rPr>
              <w:t xml:space="preserve">   4.099.054 </w:t>
            </w:r>
          </w:p>
        </w:tc>
      </w:tr>
      <w:tr w:rsidR="003712EB" w:rsidRPr="003712EB" w14:paraId="28FB5791" w14:textId="77777777" w:rsidTr="00446A14">
        <w:trPr>
          <w:trHeight w:val="238"/>
        </w:trPr>
        <w:tc>
          <w:tcPr>
            <w:tcW w:w="2963" w:type="pct"/>
            <w:tcBorders>
              <w:top w:val="nil"/>
              <w:left w:val="nil"/>
              <w:bottom w:val="single" w:sz="4" w:space="0" w:color="3616F6"/>
              <w:right w:val="nil"/>
            </w:tcBorders>
            <w:shd w:val="clear" w:color="auto" w:fill="auto"/>
            <w:noWrap/>
            <w:vAlign w:val="center"/>
            <w:hideMark/>
          </w:tcPr>
          <w:p w14:paraId="21DBA8CC" w14:textId="77777777" w:rsidR="003712EB" w:rsidRPr="003712EB" w:rsidRDefault="003712EB" w:rsidP="003712EB">
            <w:pPr>
              <w:spacing w:after="0" w:line="240" w:lineRule="auto"/>
              <w:rPr>
                <w:rFonts w:ascii="Arial" w:eastAsia="Times New Roman" w:hAnsi="Arial" w:cs="Arial"/>
                <w:b/>
                <w:bCs/>
                <w:color w:val="000000"/>
                <w:kern w:val="0"/>
                <w:sz w:val="16"/>
                <w:szCs w:val="16"/>
                <w:lang w:eastAsia="pt-BR"/>
                <w14:ligatures w14:val="none"/>
              </w:rPr>
            </w:pPr>
            <w:r w:rsidRPr="003712EB">
              <w:rPr>
                <w:rFonts w:ascii="Arial" w:eastAsia="Times New Roman" w:hAnsi="Arial" w:cs="Arial"/>
                <w:b/>
                <w:bCs/>
                <w:color w:val="000000"/>
                <w:kern w:val="0"/>
                <w:sz w:val="16"/>
                <w:szCs w:val="16"/>
                <w:lang w:eastAsia="pt-BR"/>
                <w14:ligatures w14:val="none"/>
              </w:rPr>
              <w:t>Circulante</w:t>
            </w:r>
          </w:p>
        </w:tc>
        <w:tc>
          <w:tcPr>
            <w:tcW w:w="679" w:type="pct"/>
            <w:tcBorders>
              <w:top w:val="nil"/>
              <w:left w:val="single" w:sz="4" w:space="0" w:color="3616F6"/>
              <w:bottom w:val="single" w:sz="4" w:space="0" w:color="3616F6"/>
              <w:right w:val="nil"/>
            </w:tcBorders>
            <w:shd w:val="clear" w:color="000000" w:fill="75F6F9"/>
            <w:vAlign w:val="center"/>
            <w:hideMark/>
          </w:tcPr>
          <w:p w14:paraId="02E753E2" w14:textId="77777777" w:rsidR="003712EB" w:rsidRPr="003712EB" w:rsidRDefault="003712EB" w:rsidP="003712EB">
            <w:pPr>
              <w:spacing w:after="0" w:line="240" w:lineRule="auto"/>
              <w:jc w:val="right"/>
              <w:rPr>
                <w:rFonts w:ascii="Arial" w:eastAsia="Times New Roman" w:hAnsi="Arial" w:cs="Arial"/>
                <w:b/>
                <w:bCs/>
                <w:color w:val="000000"/>
                <w:kern w:val="0"/>
                <w:sz w:val="16"/>
                <w:szCs w:val="16"/>
                <w:lang w:eastAsia="pt-BR"/>
                <w14:ligatures w14:val="none"/>
              </w:rPr>
            </w:pPr>
            <w:r w:rsidRPr="003712EB">
              <w:rPr>
                <w:rFonts w:ascii="Arial" w:eastAsia="Times New Roman" w:hAnsi="Arial" w:cs="Arial"/>
                <w:b/>
                <w:bCs/>
                <w:color w:val="000000"/>
                <w:kern w:val="0"/>
                <w:sz w:val="16"/>
                <w:szCs w:val="16"/>
                <w:lang w:eastAsia="pt-BR"/>
                <w14:ligatures w14:val="none"/>
              </w:rPr>
              <w:t xml:space="preserve">      280.660 </w:t>
            </w:r>
          </w:p>
        </w:tc>
        <w:tc>
          <w:tcPr>
            <w:tcW w:w="679" w:type="pct"/>
            <w:tcBorders>
              <w:top w:val="nil"/>
              <w:left w:val="single" w:sz="4" w:space="0" w:color="3616F6"/>
              <w:bottom w:val="single" w:sz="4" w:space="0" w:color="3616F6"/>
              <w:right w:val="single" w:sz="4" w:space="0" w:color="3616F6"/>
            </w:tcBorders>
            <w:shd w:val="clear" w:color="auto" w:fill="auto"/>
            <w:noWrap/>
            <w:vAlign w:val="center"/>
            <w:hideMark/>
          </w:tcPr>
          <w:p w14:paraId="7F89BA4C" w14:textId="77777777" w:rsidR="003712EB" w:rsidRPr="003712EB" w:rsidRDefault="003712EB" w:rsidP="003712EB">
            <w:pPr>
              <w:spacing w:after="0" w:line="240" w:lineRule="auto"/>
              <w:jc w:val="right"/>
              <w:rPr>
                <w:rFonts w:ascii="Arial" w:eastAsia="Times New Roman" w:hAnsi="Arial" w:cs="Arial"/>
                <w:b/>
                <w:bCs/>
                <w:color w:val="000000"/>
                <w:kern w:val="0"/>
                <w:sz w:val="16"/>
                <w:szCs w:val="16"/>
                <w:lang w:eastAsia="pt-BR"/>
                <w14:ligatures w14:val="none"/>
              </w:rPr>
            </w:pPr>
            <w:r w:rsidRPr="003712EB">
              <w:rPr>
                <w:rFonts w:ascii="Arial" w:eastAsia="Times New Roman" w:hAnsi="Arial" w:cs="Arial"/>
                <w:b/>
                <w:bCs/>
                <w:color w:val="000000"/>
                <w:kern w:val="0"/>
                <w:sz w:val="16"/>
                <w:szCs w:val="16"/>
                <w:lang w:eastAsia="pt-BR"/>
                <w14:ligatures w14:val="none"/>
              </w:rPr>
              <w:t xml:space="preserve">      321.615 </w:t>
            </w:r>
          </w:p>
        </w:tc>
        <w:tc>
          <w:tcPr>
            <w:tcW w:w="679" w:type="pct"/>
            <w:tcBorders>
              <w:top w:val="nil"/>
              <w:left w:val="nil"/>
              <w:bottom w:val="single" w:sz="4" w:space="0" w:color="3616F6"/>
              <w:right w:val="nil"/>
            </w:tcBorders>
            <w:shd w:val="clear" w:color="auto" w:fill="auto"/>
            <w:noWrap/>
            <w:vAlign w:val="center"/>
            <w:hideMark/>
          </w:tcPr>
          <w:p w14:paraId="61BCF477" w14:textId="77777777" w:rsidR="003712EB" w:rsidRPr="003712EB" w:rsidRDefault="003712EB" w:rsidP="003712EB">
            <w:pPr>
              <w:spacing w:after="0" w:line="240" w:lineRule="auto"/>
              <w:jc w:val="right"/>
              <w:rPr>
                <w:rFonts w:ascii="Arial" w:eastAsia="Times New Roman" w:hAnsi="Arial" w:cs="Arial"/>
                <w:b/>
                <w:bCs/>
                <w:color w:val="000000"/>
                <w:kern w:val="0"/>
                <w:sz w:val="16"/>
                <w:szCs w:val="16"/>
                <w:lang w:eastAsia="pt-BR"/>
                <w14:ligatures w14:val="none"/>
              </w:rPr>
            </w:pPr>
            <w:r w:rsidRPr="003712EB">
              <w:rPr>
                <w:rFonts w:ascii="Arial" w:eastAsia="Times New Roman" w:hAnsi="Arial" w:cs="Arial"/>
                <w:b/>
                <w:bCs/>
                <w:color w:val="000000"/>
                <w:kern w:val="0"/>
                <w:sz w:val="16"/>
                <w:szCs w:val="16"/>
                <w:lang w:eastAsia="pt-BR"/>
                <w14:ligatures w14:val="none"/>
              </w:rPr>
              <w:t xml:space="preserve">      323.710 </w:t>
            </w:r>
          </w:p>
        </w:tc>
      </w:tr>
      <w:tr w:rsidR="003712EB" w:rsidRPr="003712EB" w14:paraId="5F3CC30E" w14:textId="77777777" w:rsidTr="00446A14">
        <w:trPr>
          <w:trHeight w:val="238"/>
        </w:trPr>
        <w:tc>
          <w:tcPr>
            <w:tcW w:w="2963" w:type="pct"/>
            <w:tcBorders>
              <w:top w:val="nil"/>
              <w:left w:val="nil"/>
              <w:bottom w:val="nil"/>
              <w:right w:val="nil"/>
            </w:tcBorders>
            <w:shd w:val="clear" w:color="auto" w:fill="auto"/>
            <w:noWrap/>
            <w:vAlign w:val="center"/>
            <w:hideMark/>
          </w:tcPr>
          <w:p w14:paraId="4D5B2373" w14:textId="77777777" w:rsidR="003712EB" w:rsidRPr="003712EB" w:rsidRDefault="003712EB" w:rsidP="003712EB">
            <w:pPr>
              <w:spacing w:after="0" w:line="240" w:lineRule="auto"/>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Pessoal, Encargos e Benefícios Sociais</w:t>
            </w:r>
          </w:p>
        </w:tc>
        <w:tc>
          <w:tcPr>
            <w:tcW w:w="679" w:type="pct"/>
            <w:tcBorders>
              <w:top w:val="nil"/>
              <w:left w:val="single" w:sz="4" w:space="0" w:color="3616F6"/>
              <w:bottom w:val="nil"/>
              <w:right w:val="nil"/>
            </w:tcBorders>
            <w:shd w:val="clear" w:color="000000" w:fill="75F6F9"/>
            <w:vAlign w:val="center"/>
            <w:hideMark/>
          </w:tcPr>
          <w:p w14:paraId="3C6BE172"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13.114 </w:t>
            </w:r>
          </w:p>
        </w:tc>
        <w:tc>
          <w:tcPr>
            <w:tcW w:w="679" w:type="pct"/>
            <w:tcBorders>
              <w:top w:val="nil"/>
              <w:left w:val="single" w:sz="4" w:space="0" w:color="3616F6"/>
              <w:bottom w:val="nil"/>
              <w:right w:val="single" w:sz="4" w:space="0" w:color="3616F6"/>
            </w:tcBorders>
            <w:shd w:val="clear" w:color="auto" w:fill="auto"/>
            <w:vAlign w:val="center"/>
            <w:hideMark/>
          </w:tcPr>
          <w:p w14:paraId="11B4B71F"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12.418 </w:t>
            </w:r>
          </w:p>
        </w:tc>
        <w:tc>
          <w:tcPr>
            <w:tcW w:w="679" w:type="pct"/>
            <w:tcBorders>
              <w:top w:val="nil"/>
              <w:left w:val="nil"/>
              <w:bottom w:val="nil"/>
              <w:right w:val="nil"/>
            </w:tcBorders>
            <w:shd w:val="clear" w:color="auto" w:fill="auto"/>
            <w:noWrap/>
            <w:vAlign w:val="center"/>
            <w:hideMark/>
          </w:tcPr>
          <w:p w14:paraId="5CE1D888"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11.318 </w:t>
            </w:r>
          </w:p>
        </w:tc>
      </w:tr>
      <w:tr w:rsidR="003712EB" w:rsidRPr="003712EB" w14:paraId="1C4B4F97" w14:textId="77777777" w:rsidTr="00446A14">
        <w:trPr>
          <w:trHeight w:val="238"/>
        </w:trPr>
        <w:tc>
          <w:tcPr>
            <w:tcW w:w="2963" w:type="pct"/>
            <w:tcBorders>
              <w:top w:val="nil"/>
              <w:left w:val="nil"/>
              <w:bottom w:val="nil"/>
              <w:right w:val="nil"/>
            </w:tcBorders>
            <w:shd w:val="clear" w:color="auto" w:fill="auto"/>
            <w:noWrap/>
            <w:vAlign w:val="center"/>
            <w:hideMark/>
          </w:tcPr>
          <w:p w14:paraId="3913CE46" w14:textId="77777777" w:rsidR="003712EB" w:rsidRPr="003712EB" w:rsidRDefault="003712EB" w:rsidP="003712EB">
            <w:pPr>
              <w:spacing w:after="0" w:line="240" w:lineRule="auto"/>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Fornecedores</w:t>
            </w:r>
          </w:p>
        </w:tc>
        <w:tc>
          <w:tcPr>
            <w:tcW w:w="679" w:type="pct"/>
            <w:tcBorders>
              <w:top w:val="nil"/>
              <w:left w:val="single" w:sz="4" w:space="0" w:color="3616F6"/>
              <w:bottom w:val="nil"/>
              <w:right w:val="nil"/>
            </w:tcBorders>
            <w:shd w:val="clear" w:color="000000" w:fill="75F6F9"/>
            <w:vAlign w:val="center"/>
            <w:hideMark/>
          </w:tcPr>
          <w:p w14:paraId="47DD1345"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122.719 </w:t>
            </w:r>
          </w:p>
        </w:tc>
        <w:tc>
          <w:tcPr>
            <w:tcW w:w="679" w:type="pct"/>
            <w:tcBorders>
              <w:top w:val="nil"/>
              <w:left w:val="single" w:sz="4" w:space="0" w:color="3616F6"/>
              <w:bottom w:val="nil"/>
              <w:right w:val="single" w:sz="4" w:space="0" w:color="3616F6"/>
            </w:tcBorders>
            <w:shd w:val="clear" w:color="auto" w:fill="auto"/>
            <w:vAlign w:val="center"/>
            <w:hideMark/>
          </w:tcPr>
          <w:p w14:paraId="07390E9E"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106.843 </w:t>
            </w:r>
          </w:p>
        </w:tc>
        <w:tc>
          <w:tcPr>
            <w:tcW w:w="679" w:type="pct"/>
            <w:tcBorders>
              <w:top w:val="nil"/>
              <w:left w:val="nil"/>
              <w:bottom w:val="nil"/>
              <w:right w:val="nil"/>
            </w:tcBorders>
            <w:shd w:val="clear" w:color="auto" w:fill="auto"/>
            <w:noWrap/>
            <w:vAlign w:val="center"/>
            <w:hideMark/>
          </w:tcPr>
          <w:p w14:paraId="32F280FE"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58.790 </w:t>
            </w:r>
          </w:p>
        </w:tc>
      </w:tr>
      <w:tr w:rsidR="003712EB" w:rsidRPr="003712EB" w14:paraId="506DB8B7" w14:textId="77777777" w:rsidTr="00446A14">
        <w:trPr>
          <w:trHeight w:val="238"/>
        </w:trPr>
        <w:tc>
          <w:tcPr>
            <w:tcW w:w="2963" w:type="pct"/>
            <w:tcBorders>
              <w:top w:val="nil"/>
              <w:left w:val="nil"/>
              <w:bottom w:val="nil"/>
              <w:right w:val="nil"/>
            </w:tcBorders>
            <w:shd w:val="clear" w:color="auto" w:fill="auto"/>
            <w:noWrap/>
            <w:vAlign w:val="center"/>
            <w:hideMark/>
          </w:tcPr>
          <w:p w14:paraId="103919FE" w14:textId="77777777" w:rsidR="003712EB" w:rsidRPr="003712EB" w:rsidRDefault="003712EB" w:rsidP="003712EB">
            <w:pPr>
              <w:spacing w:after="0" w:line="240" w:lineRule="auto"/>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Tributos Indiretos</w:t>
            </w:r>
          </w:p>
        </w:tc>
        <w:tc>
          <w:tcPr>
            <w:tcW w:w="679" w:type="pct"/>
            <w:tcBorders>
              <w:top w:val="nil"/>
              <w:left w:val="single" w:sz="4" w:space="0" w:color="3616F6"/>
              <w:bottom w:val="nil"/>
              <w:right w:val="nil"/>
            </w:tcBorders>
            <w:shd w:val="clear" w:color="000000" w:fill="75F6F9"/>
            <w:vAlign w:val="center"/>
            <w:hideMark/>
          </w:tcPr>
          <w:p w14:paraId="79A6D958"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3.466 </w:t>
            </w:r>
          </w:p>
        </w:tc>
        <w:tc>
          <w:tcPr>
            <w:tcW w:w="679" w:type="pct"/>
            <w:tcBorders>
              <w:top w:val="nil"/>
              <w:left w:val="single" w:sz="4" w:space="0" w:color="3616F6"/>
              <w:bottom w:val="nil"/>
              <w:right w:val="single" w:sz="4" w:space="0" w:color="3616F6"/>
            </w:tcBorders>
            <w:shd w:val="clear" w:color="auto" w:fill="auto"/>
            <w:vAlign w:val="center"/>
            <w:hideMark/>
          </w:tcPr>
          <w:p w14:paraId="10ED0E64"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5.698 </w:t>
            </w:r>
          </w:p>
        </w:tc>
        <w:tc>
          <w:tcPr>
            <w:tcW w:w="679" w:type="pct"/>
            <w:tcBorders>
              <w:top w:val="nil"/>
              <w:left w:val="nil"/>
              <w:bottom w:val="nil"/>
              <w:right w:val="nil"/>
            </w:tcBorders>
            <w:shd w:val="clear" w:color="auto" w:fill="auto"/>
            <w:noWrap/>
            <w:vAlign w:val="center"/>
            <w:hideMark/>
          </w:tcPr>
          <w:p w14:paraId="714DCAE5"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10.671 </w:t>
            </w:r>
          </w:p>
        </w:tc>
      </w:tr>
      <w:tr w:rsidR="003712EB" w:rsidRPr="003712EB" w14:paraId="17ED729B" w14:textId="77777777" w:rsidTr="00446A14">
        <w:trPr>
          <w:trHeight w:val="238"/>
        </w:trPr>
        <w:tc>
          <w:tcPr>
            <w:tcW w:w="2963" w:type="pct"/>
            <w:tcBorders>
              <w:top w:val="nil"/>
              <w:left w:val="nil"/>
              <w:bottom w:val="nil"/>
              <w:right w:val="nil"/>
            </w:tcBorders>
            <w:shd w:val="clear" w:color="auto" w:fill="auto"/>
            <w:noWrap/>
            <w:vAlign w:val="center"/>
            <w:hideMark/>
          </w:tcPr>
          <w:p w14:paraId="1C541255" w14:textId="77777777" w:rsidR="003712EB" w:rsidRPr="003712EB" w:rsidRDefault="003712EB" w:rsidP="003712EB">
            <w:pPr>
              <w:spacing w:after="0" w:line="240" w:lineRule="auto"/>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Receitas Diferidas</w:t>
            </w:r>
          </w:p>
        </w:tc>
        <w:tc>
          <w:tcPr>
            <w:tcW w:w="679" w:type="pct"/>
            <w:tcBorders>
              <w:top w:val="nil"/>
              <w:left w:val="single" w:sz="4" w:space="0" w:color="3616F6"/>
              <w:bottom w:val="nil"/>
              <w:right w:val="nil"/>
            </w:tcBorders>
            <w:shd w:val="clear" w:color="000000" w:fill="75F6F9"/>
            <w:vAlign w:val="center"/>
            <w:hideMark/>
          </w:tcPr>
          <w:p w14:paraId="60501627"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62.812 </w:t>
            </w:r>
          </w:p>
        </w:tc>
        <w:tc>
          <w:tcPr>
            <w:tcW w:w="679" w:type="pct"/>
            <w:tcBorders>
              <w:top w:val="nil"/>
              <w:left w:val="single" w:sz="4" w:space="0" w:color="3616F6"/>
              <w:bottom w:val="nil"/>
              <w:right w:val="single" w:sz="4" w:space="0" w:color="3616F6"/>
            </w:tcBorders>
            <w:shd w:val="clear" w:color="auto" w:fill="auto"/>
            <w:vAlign w:val="center"/>
            <w:hideMark/>
          </w:tcPr>
          <w:p w14:paraId="7B6EB6BF"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110.057 </w:t>
            </w:r>
          </w:p>
        </w:tc>
        <w:tc>
          <w:tcPr>
            <w:tcW w:w="679" w:type="pct"/>
            <w:tcBorders>
              <w:top w:val="nil"/>
              <w:left w:val="nil"/>
              <w:bottom w:val="nil"/>
              <w:right w:val="nil"/>
            </w:tcBorders>
            <w:shd w:val="clear" w:color="auto" w:fill="auto"/>
            <w:noWrap/>
            <w:vAlign w:val="center"/>
            <w:hideMark/>
          </w:tcPr>
          <w:p w14:paraId="6165C2C2"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152.867 </w:t>
            </w:r>
          </w:p>
        </w:tc>
      </w:tr>
      <w:tr w:rsidR="003712EB" w:rsidRPr="003712EB" w14:paraId="58D806A6" w14:textId="77777777" w:rsidTr="00446A14">
        <w:trPr>
          <w:trHeight w:val="238"/>
        </w:trPr>
        <w:tc>
          <w:tcPr>
            <w:tcW w:w="2963" w:type="pct"/>
            <w:tcBorders>
              <w:top w:val="nil"/>
              <w:left w:val="nil"/>
              <w:bottom w:val="nil"/>
              <w:right w:val="nil"/>
            </w:tcBorders>
            <w:shd w:val="clear" w:color="auto" w:fill="auto"/>
            <w:noWrap/>
            <w:vAlign w:val="center"/>
            <w:hideMark/>
          </w:tcPr>
          <w:p w14:paraId="0B526DE4" w14:textId="77777777" w:rsidR="003712EB" w:rsidRPr="003712EB" w:rsidRDefault="003712EB" w:rsidP="003712EB">
            <w:pPr>
              <w:spacing w:after="0" w:line="240" w:lineRule="auto"/>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Empréstimos e Financiamentos</w:t>
            </w:r>
          </w:p>
        </w:tc>
        <w:tc>
          <w:tcPr>
            <w:tcW w:w="679" w:type="pct"/>
            <w:tcBorders>
              <w:top w:val="nil"/>
              <w:left w:val="single" w:sz="4" w:space="0" w:color="3616F6"/>
              <w:bottom w:val="nil"/>
              <w:right w:val="nil"/>
            </w:tcBorders>
            <w:shd w:val="clear" w:color="000000" w:fill="75F6F9"/>
            <w:vAlign w:val="center"/>
            <w:hideMark/>
          </w:tcPr>
          <w:p w14:paraId="744E858A"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51.034 </w:t>
            </w:r>
          </w:p>
        </w:tc>
        <w:tc>
          <w:tcPr>
            <w:tcW w:w="679" w:type="pct"/>
            <w:tcBorders>
              <w:top w:val="nil"/>
              <w:left w:val="single" w:sz="4" w:space="0" w:color="3616F6"/>
              <w:bottom w:val="nil"/>
              <w:right w:val="single" w:sz="4" w:space="0" w:color="3616F6"/>
            </w:tcBorders>
            <w:shd w:val="clear" w:color="auto" w:fill="auto"/>
            <w:vAlign w:val="center"/>
            <w:hideMark/>
          </w:tcPr>
          <w:p w14:paraId="0365E471"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51.963 </w:t>
            </w:r>
          </w:p>
        </w:tc>
        <w:tc>
          <w:tcPr>
            <w:tcW w:w="679" w:type="pct"/>
            <w:tcBorders>
              <w:top w:val="nil"/>
              <w:left w:val="nil"/>
              <w:bottom w:val="nil"/>
              <w:right w:val="nil"/>
            </w:tcBorders>
            <w:shd w:val="clear" w:color="auto" w:fill="auto"/>
            <w:vAlign w:val="center"/>
            <w:hideMark/>
          </w:tcPr>
          <w:p w14:paraId="76F96657"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53.179 </w:t>
            </w:r>
          </w:p>
        </w:tc>
      </w:tr>
      <w:tr w:rsidR="003712EB" w:rsidRPr="003712EB" w14:paraId="32ECAC96" w14:textId="77777777" w:rsidTr="00446A14">
        <w:trPr>
          <w:trHeight w:val="238"/>
        </w:trPr>
        <w:tc>
          <w:tcPr>
            <w:tcW w:w="2963" w:type="pct"/>
            <w:tcBorders>
              <w:top w:val="nil"/>
              <w:left w:val="nil"/>
              <w:bottom w:val="nil"/>
              <w:right w:val="nil"/>
            </w:tcBorders>
            <w:shd w:val="clear" w:color="auto" w:fill="auto"/>
            <w:noWrap/>
            <w:vAlign w:val="center"/>
            <w:hideMark/>
          </w:tcPr>
          <w:p w14:paraId="7283EFA2" w14:textId="77777777" w:rsidR="003712EB" w:rsidRPr="003712EB" w:rsidRDefault="003712EB" w:rsidP="003712EB">
            <w:pPr>
              <w:spacing w:after="0" w:line="240" w:lineRule="auto"/>
              <w:ind w:firstLineChars="300" w:firstLine="450"/>
              <w:rPr>
                <w:rFonts w:ascii="Arial" w:eastAsia="Times New Roman" w:hAnsi="Arial" w:cs="Arial"/>
                <w:i/>
                <w:iCs/>
                <w:color w:val="000000"/>
                <w:kern w:val="0"/>
                <w:sz w:val="15"/>
                <w:szCs w:val="15"/>
                <w:lang w:eastAsia="pt-BR"/>
                <w14:ligatures w14:val="none"/>
              </w:rPr>
            </w:pPr>
            <w:r w:rsidRPr="003712EB">
              <w:rPr>
                <w:rFonts w:ascii="Arial" w:eastAsia="Times New Roman" w:hAnsi="Arial" w:cs="Arial"/>
                <w:i/>
                <w:iCs/>
                <w:color w:val="000000"/>
                <w:kern w:val="0"/>
                <w:sz w:val="15"/>
                <w:szCs w:val="15"/>
                <w:lang w:eastAsia="pt-BR"/>
                <w14:ligatures w14:val="none"/>
              </w:rPr>
              <w:t>Financiamento FINEP</w:t>
            </w:r>
          </w:p>
        </w:tc>
        <w:tc>
          <w:tcPr>
            <w:tcW w:w="679" w:type="pct"/>
            <w:tcBorders>
              <w:top w:val="nil"/>
              <w:left w:val="single" w:sz="4" w:space="0" w:color="3616F6"/>
              <w:bottom w:val="nil"/>
              <w:right w:val="nil"/>
            </w:tcBorders>
            <w:shd w:val="clear" w:color="000000" w:fill="75F6F9"/>
            <w:vAlign w:val="center"/>
            <w:hideMark/>
          </w:tcPr>
          <w:p w14:paraId="4A8D182E" w14:textId="77777777" w:rsidR="003712EB" w:rsidRPr="003712EB" w:rsidRDefault="003712EB" w:rsidP="003712EB">
            <w:pPr>
              <w:spacing w:after="0" w:line="240" w:lineRule="auto"/>
              <w:jc w:val="right"/>
              <w:rPr>
                <w:rFonts w:ascii="Arial" w:eastAsia="Times New Roman" w:hAnsi="Arial" w:cs="Arial"/>
                <w:i/>
                <w:iCs/>
                <w:color w:val="000000"/>
                <w:kern w:val="0"/>
                <w:sz w:val="15"/>
                <w:szCs w:val="15"/>
                <w:lang w:eastAsia="pt-BR"/>
                <w14:ligatures w14:val="none"/>
              </w:rPr>
            </w:pPr>
            <w:r w:rsidRPr="003712EB">
              <w:rPr>
                <w:rFonts w:ascii="Arial" w:eastAsia="Times New Roman" w:hAnsi="Arial" w:cs="Arial"/>
                <w:i/>
                <w:iCs/>
                <w:color w:val="000000"/>
                <w:kern w:val="0"/>
                <w:sz w:val="15"/>
                <w:szCs w:val="15"/>
                <w:lang w:eastAsia="pt-BR"/>
                <w14:ligatures w14:val="none"/>
              </w:rPr>
              <w:t xml:space="preserve">       45.710 </w:t>
            </w:r>
          </w:p>
        </w:tc>
        <w:tc>
          <w:tcPr>
            <w:tcW w:w="679" w:type="pct"/>
            <w:tcBorders>
              <w:top w:val="nil"/>
              <w:left w:val="single" w:sz="4" w:space="0" w:color="3616F6"/>
              <w:bottom w:val="nil"/>
              <w:right w:val="single" w:sz="4" w:space="0" w:color="3616F6"/>
            </w:tcBorders>
            <w:shd w:val="clear" w:color="auto" w:fill="auto"/>
            <w:vAlign w:val="center"/>
            <w:hideMark/>
          </w:tcPr>
          <w:p w14:paraId="21E58025" w14:textId="77777777" w:rsidR="003712EB" w:rsidRPr="003712EB" w:rsidRDefault="003712EB" w:rsidP="003712EB">
            <w:pPr>
              <w:spacing w:after="0" w:line="240" w:lineRule="auto"/>
              <w:jc w:val="right"/>
              <w:rPr>
                <w:rFonts w:ascii="Arial" w:eastAsia="Times New Roman" w:hAnsi="Arial" w:cs="Arial"/>
                <w:i/>
                <w:iCs/>
                <w:color w:val="000000"/>
                <w:kern w:val="0"/>
                <w:sz w:val="15"/>
                <w:szCs w:val="15"/>
                <w:lang w:eastAsia="pt-BR"/>
                <w14:ligatures w14:val="none"/>
              </w:rPr>
            </w:pPr>
            <w:r w:rsidRPr="003712EB">
              <w:rPr>
                <w:rFonts w:ascii="Arial" w:eastAsia="Times New Roman" w:hAnsi="Arial" w:cs="Arial"/>
                <w:i/>
                <w:iCs/>
                <w:color w:val="000000"/>
                <w:kern w:val="0"/>
                <w:sz w:val="15"/>
                <w:szCs w:val="15"/>
                <w:lang w:eastAsia="pt-BR"/>
                <w14:ligatures w14:val="none"/>
              </w:rPr>
              <w:t xml:space="preserve">       47.175 </w:t>
            </w:r>
          </w:p>
        </w:tc>
        <w:tc>
          <w:tcPr>
            <w:tcW w:w="679" w:type="pct"/>
            <w:tcBorders>
              <w:top w:val="nil"/>
              <w:left w:val="nil"/>
              <w:bottom w:val="nil"/>
              <w:right w:val="nil"/>
            </w:tcBorders>
            <w:shd w:val="clear" w:color="auto" w:fill="auto"/>
            <w:noWrap/>
            <w:vAlign w:val="center"/>
            <w:hideMark/>
          </w:tcPr>
          <w:p w14:paraId="7C71C056" w14:textId="77777777" w:rsidR="003712EB" w:rsidRPr="003712EB" w:rsidRDefault="003712EB" w:rsidP="003712EB">
            <w:pPr>
              <w:spacing w:after="0" w:line="240" w:lineRule="auto"/>
              <w:jc w:val="right"/>
              <w:rPr>
                <w:rFonts w:ascii="Arial" w:eastAsia="Times New Roman" w:hAnsi="Arial" w:cs="Arial"/>
                <w:i/>
                <w:iCs/>
                <w:color w:val="000000"/>
                <w:kern w:val="0"/>
                <w:sz w:val="15"/>
                <w:szCs w:val="15"/>
                <w:lang w:eastAsia="pt-BR"/>
                <w14:ligatures w14:val="none"/>
              </w:rPr>
            </w:pPr>
            <w:r w:rsidRPr="003712EB">
              <w:rPr>
                <w:rFonts w:ascii="Arial" w:eastAsia="Times New Roman" w:hAnsi="Arial" w:cs="Arial"/>
                <w:i/>
                <w:iCs/>
                <w:color w:val="000000"/>
                <w:kern w:val="0"/>
                <w:sz w:val="15"/>
                <w:szCs w:val="15"/>
                <w:lang w:eastAsia="pt-BR"/>
                <w14:ligatures w14:val="none"/>
              </w:rPr>
              <w:t xml:space="preserve">        48.933 </w:t>
            </w:r>
          </w:p>
        </w:tc>
      </w:tr>
      <w:tr w:rsidR="003712EB" w:rsidRPr="003712EB" w14:paraId="5B4FB77F" w14:textId="77777777" w:rsidTr="00446A14">
        <w:trPr>
          <w:trHeight w:val="238"/>
        </w:trPr>
        <w:tc>
          <w:tcPr>
            <w:tcW w:w="2963" w:type="pct"/>
            <w:tcBorders>
              <w:top w:val="nil"/>
              <w:left w:val="nil"/>
              <w:bottom w:val="nil"/>
              <w:right w:val="nil"/>
            </w:tcBorders>
            <w:shd w:val="clear" w:color="auto" w:fill="auto"/>
            <w:noWrap/>
            <w:vAlign w:val="center"/>
            <w:hideMark/>
          </w:tcPr>
          <w:p w14:paraId="3CA5CE62" w14:textId="77777777" w:rsidR="003712EB" w:rsidRPr="003712EB" w:rsidRDefault="003712EB" w:rsidP="003712EB">
            <w:pPr>
              <w:spacing w:after="0" w:line="240" w:lineRule="auto"/>
              <w:ind w:firstLineChars="300" w:firstLine="450"/>
              <w:rPr>
                <w:rFonts w:ascii="Arial" w:eastAsia="Times New Roman" w:hAnsi="Arial" w:cs="Arial"/>
                <w:i/>
                <w:iCs/>
                <w:color w:val="000000"/>
                <w:kern w:val="0"/>
                <w:sz w:val="15"/>
                <w:szCs w:val="15"/>
                <w:lang w:eastAsia="pt-BR"/>
                <w14:ligatures w14:val="none"/>
              </w:rPr>
            </w:pPr>
            <w:r w:rsidRPr="003712EB">
              <w:rPr>
                <w:rFonts w:ascii="Arial" w:eastAsia="Times New Roman" w:hAnsi="Arial" w:cs="Arial"/>
                <w:i/>
                <w:iCs/>
                <w:color w:val="000000"/>
                <w:kern w:val="0"/>
                <w:sz w:val="15"/>
                <w:szCs w:val="15"/>
                <w:lang w:eastAsia="pt-BR"/>
                <w14:ligatures w14:val="none"/>
              </w:rPr>
              <w:t>Arrendamento Mercantil Financeiro</w:t>
            </w:r>
          </w:p>
        </w:tc>
        <w:tc>
          <w:tcPr>
            <w:tcW w:w="679" w:type="pct"/>
            <w:tcBorders>
              <w:top w:val="nil"/>
              <w:left w:val="single" w:sz="4" w:space="0" w:color="3616F6"/>
              <w:bottom w:val="nil"/>
              <w:right w:val="nil"/>
            </w:tcBorders>
            <w:shd w:val="clear" w:color="000000" w:fill="75F6F9"/>
            <w:vAlign w:val="center"/>
            <w:hideMark/>
          </w:tcPr>
          <w:p w14:paraId="3FEB61EA" w14:textId="77777777" w:rsidR="003712EB" w:rsidRPr="003712EB" w:rsidRDefault="003712EB" w:rsidP="003712EB">
            <w:pPr>
              <w:spacing w:after="0" w:line="240" w:lineRule="auto"/>
              <w:jc w:val="right"/>
              <w:rPr>
                <w:rFonts w:ascii="Arial" w:eastAsia="Times New Roman" w:hAnsi="Arial" w:cs="Arial"/>
                <w:i/>
                <w:iCs/>
                <w:color w:val="000000"/>
                <w:kern w:val="0"/>
                <w:sz w:val="15"/>
                <w:szCs w:val="15"/>
                <w:lang w:eastAsia="pt-BR"/>
                <w14:ligatures w14:val="none"/>
              </w:rPr>
            </w:pPr>
            <w:r w:rsidRPr="003712EB">
              <w:rPr>
                <w:rFonts w:ascii="Arial" w:eastAsia="Times New Roman" w:hAnsi="Arial" w:cs="Arial"/>
                <w:i/>
                <w:iCs/>
                <w:color w:val="000000"/>
                <w:kern w:val="0"/>
                <w:sz w:val="15"/>
                <w:szCs w:val="15"/>
                <w:lang w:eastAsia="pt-BR"/>
                <w14:ligatures w14:val="none"/>
              </w:rPr>
              <w:t xml:space="preserve">          5.324 </w:t>
            </w:r>
          </w:p>
        </w:tc>
        <w:tc>
          <w:tcPr>
            <w:tcW w:w="679" w:type="pct"/>
            <w:tcBorders>
              <w:top w:val="nil"/>
              <w:left w:val="single" w:sz="4" w:space="0" w:color="3616F6"/>
              <w:bottom w:val="nil"/>
              <w:right w:val="single" w:sz="4" w:space="0" w:color="3616F6"/>
            </w:tcBorders>
            <w:shd w:val="clear" w:color="auto" w:fill="auto"/>
            <w:vAlign w:val="center"/>
            <w:hideMark/>
          </w:tcPr>
          <w:p w14:paraId="44181F74" w14:textId="77777777" w:rsidR="003712EB" w:rsidRPr="003712EB" w:rsidRDefault="003712EB" w:rsidP="003712EB">
            <w:pPr>
              <w:spacing w:after="0" w:line="240" w:lineRule="auto"/>
              <w:jc w:val="right"/>
              <w:rPr>
                <w:rFonts w:ascii="Arial" w:eastAsia="Times New Roman" w:hAnsi="Arial" w:cs="Arial"/>
                <w:i/>
                <w:iCs/>
                <w:color w:val="000000"/>
                <w:kern w:val="0"/>
                <w:sz w:val="15"/>
                <w:szCs w:val="15"/>
                <w:lang w:eastAsia="pt-BR"/>
                <w14:ligatures w14:val="none"/>
              </w:rPr>
            </w:pPr>
            <w:r w:rsidRPr="003712EB">
              <w:rPr>
                <w:rFonts w:ascii="Arial" w:eastAsia="Times New Roman" w:hAnsi="Arial" w:cs="Arial"/>
                <w:i/>
                <w:iCs/>
                <w:color w:val="000000"/>
                <w:kern w:val="0"/>
                <w:sz w:val="15"/>
                <w:szCs w:val="15"/>
                <w:lang w:eastAsia="pt-BR"/>
                <w14:ligatures w14:val="none"/>
              </w:rPr>
              <w:t xml:space="preserve">          4.788 </w:t>
            </w:r>
          </w:p>
        </w:tc>
        <w:tc>
          <w:tcPr>
            <w:tcW w:w="679" w:type="pct"/>
            <w:tcBorders>
              <w:top w:val="nil"/>
              <w:left w:val="nil"/>
              <w:bottom w:val="nil"/>
              <w:right w:val="nil"/>
            </w:tcBorders>
            <w:shd w:val="clear" w:color="auto" w:fill="auto"/>
            <w:noWrap/>
            <w:vAlign w:val="center"/>
            <w:hideMark/>
          </w:tcPr>
          <w:p w14:paraId="6C7B8FFC" w14:textId="77777777" w:rsidR="003712EB" w:rsidRPr="003712EB" w:rsidRDefault="003712EB" w:rsidP="003712EB">
            <w:pPr>
              <w:spacing w:after="0" w:line="240" w:lineRule="auto"/>
              <w:jc w:val="right"/>
              <w:rPr>
                <w:rFonts w:ascii="Arial" w:eastAsia="Times New Roman" w:hAnsi="Arial" w:cs="Arial"/>
                <w:i/>
                <w:iCs/>
                <w:color w:val="000000"/>
                <w:kern w:val="0"/>
                <w:sz w:val="15"/>
                <w:szCs w:val="15"/>
                <w:lang w:eastAsia="pt-BR"/>
                <w14:ligatures w14:val="none"/>
              </w:rPr>
            </w:pPr>
            <w:r w:rsidRPr="003712EB">
              <w:rPr>
                <w:rFonts w:ascii="Arial" w:eastAsia="Times New Roman" w:hAnsi="Arial" w:cs="Arial"/>
                <w:i/>
                <w:iCs/>
                <w:color w:val="000000"/>
                <w:kern w:val="0"/>
                <w:sz w:val="15"/>
                <w:szCs w:val="15"/>
                <w:lang w:eastAsia="pt-BR"/>
                <w14:ligatures w14:val="none"/>
              </w:rPr>
              <w:t xml:space="preserve">          4.246 </w:t>
            </w:r>
          </w:p>
        </w:tc>
      </w:tr>
      <w:tr w:rsidR="003712EB" w:rsidRPr="003712EB" w14:paraId="417C9930" w14:textId="77777777" w:rsidTr="00446A14">
        <w:trPr>
          <w:trHeight w:val="238"/>
        </w:trPr>
        <w:tc>
          <w:tcPr>
            <w:tcW w:w="2963" w:type="pct"/>
            <w:tcBorders>
              <w:top w:val="nil"/>
              <w:left w:val="nil"/>
              <w:bottom w:val="nil"/>
              <w:right w:val="nil"/>
            </w:tcBorders>
            <w:shd w:val="clear" w:color="auto" w:fill="auto"/>
            <w:noWrap/>
            <w:vAlign w:val="center"/>
            <w:hideMark/>
          </w:tcPr>
          <w:p w14:paraId="1C3F7435" w14:textId="77777777" w:rsidR="003712EB" w:rsidRPr="003712EB" w:rsidRDefault="003712EB" w:rsidP="003712EB">
            <w:pPr>
              <w:spacing w:after="0" w:line="240" w:lineRule="auto"/>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Provisão para Riscos Trabalhistas, Cíveis e Fiscais</w:t>
            </w:r>
          </w:p>
        </w:tc>
        <w:tc>
          <w:tcPr>
            <w:tcW w:w="679" w:type="pct"/>
            <w:tcBorders>
              <w:top w:val="nil"/>
              <w:left w:val="single" w:sz="4" w:space="0" w:color="3616F6"/>
              <w:bottom w:val="nil"/>
              <w:right w:val="nil"/>
            </w:tcBorders>
            <w:shd w:val="clear" w:color="000000" w:fill="75F6F9"/>
            <w:vAlign w:val="center"/>
            <w:hideMark/>
          </w:tcPr>
          <w:p w14:paraId="4959CC67"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4.295 </w:t>
            </w:r>
          </w:p>
        </w:tc>
        <w:tc>
          <w:tcPr>
            <w:tcW w:w="679" w:type="pct"/>
            <w:tcBorders>
              <w:top w:val="nil"/>
              <w:left w:val="single" w:sz="4" w:space="0" w:color="3616F6"/>
              <w:bottom w:val="nil"/>
              <w:right w:val="single" w:sz="4" w:space="0" w:color="3616F6"/>
            </w:tcBorders>
            <w:shd w:val="clear" w:color="auto" w:fill="auto"/>
            <w:vAlign w:val="center"/>
            <w:hideMark/>
          </w:tcPr>
          <w:p w14:paraId="15035945"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12.565 </w:t>
            </w:r>
          </w:p>
        </w:tc>
        <w:tc>
          <w:tcPr>
            <w:tcW w:w="679" w:type="pct"/>
            <w:tcBorders>
              <w:top w:val="nil"/>
              <w:left w:val="nil"/>
              <w:bottom w:val="nil"/>
              <w:right w:val="nil"/>
            </w:tcBorders>
            <w:shd w:val="clear" w:color="auto" w:fill="auto"/>
            <w:noWrap/>
            <w:vAlign w:val="center"/>
            <w:hideMark/>
          </w:tcPr>
          <w:p w14:paraId="3C847B57"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14.284 </w:t>
            </w:r>
          </w:p>
        </w:tc>
      </w:tr>
      <w:tr w:rsidR="003712EB" w:rsidRPr="003712EB" w14:paraId="68B085DD" w14:textId="77777777" w:rsidTr="00446A14">
        <w:trPr>
          <w:trHeight w:val="238"/>
        </w:trPr>
        <w:tc>
          <w:tcPr>
            <w:tcW w:w="2963" w:type="pct"/>
            <w:tcBorders>
              <w:top w:val="nil"/>
              <w:left w:val="nil"/>
              <w:bottom w:val="nil"/>
              <w:right w:val="nil"/>
            </w:tcBorders>
            <w:shd w:val="clear" w:color="auto" w:fill="auto"/>
            <w:noWrap/>
            <w:vAlign w:val="center"/>
            <w:hideMark/>
          </w:tcPr>
          <w:p w14:paraId="640DA572" w14:textId="77777777" w:rsidR="003712EB" w:rsidRPr="003712EB" w:rsidRDefault="003712EB" w:rsidP="003712EB">
            <w:pPr>
              <w:spacing w:after="0" w:line="240" w:lineRule="auto"/>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Credores por Perdas Judiciais</w:t>
            </w:r>
          </w:p>
        </w:tc>
        <w:tc>
          <w:tcPr>
            <w:tcW w:w="679" w:type="pct"/>
            <w:tcBorders>
              <w:top w:val="nil"/>
              <w:left w:val="single" w:sz="4" w:space="0" w:color="3616F6"/>
              <w:bottom w:val="nil"/>
              <w:right w:val="nil"/>
            </w:tcBorders>
            <w:shd w:val="clear" w:color="000000" w:fill="75F6F9"/>
            <w:vAlign w:val="center"/>
            <w:hideMark/>
          </w:tcPr>
          <w:p w14:paraId="7A90EC8A"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16.436 </w:t>
            </w:r>
          </w:p>
        </w:tc>
        <w:tc>
          <w:tcPr>
            <w:tcW w:w="679" w:type="pct"/>
            <w:tcBorders>
              <w:top w:val="nil"/>
              <w:left w:val="single" w:sz="4" w:space="0" w:color="3616F6"/>
              <w:bottom w:val="nil"/>
              <w:right w:val="single" w:sz="4" w:space="0" w:color="3616F6"/>
            </w:tcBorders>
            <w:shd w:val="clear" w:color="auto" w:fill="auto"/>
            <w:vAlign w:val="center"/>
            <w:hideMark/>
          </w:tcPr>
          <w:p w14:paraId="24CF5A14"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17.170 </w:t>
            </w:r>
          </w:p>
        </w:tc>
        <w:tc>
          <w:tcPr>
            <w:tcW w:w="679" w:type="pct"/>
            <w:tcBorders>
              <w:top w:val="nil"/>
              <w:left w:val="nil"/>
              <w:bottom w:val="nil"/>
              <w:right w:val="nil"/>
            </w:tcBorders>
            <w:shd w:val="clear" w:color="auto" w:fill="auto"/>
            <w:noWrap/>
            <w:vAlign w:val="center"/>
            <w:hideMark/>
          </w:tcPr>
          <w:p w14:paraId="41BF7321"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17.564 </w:t>
            </w:r>
          </w:p>
        </w:tc>
      </w:tr>
      <w:tr w:rsidR="003712EB" w:rsidRPr="003712EB" w14:paraId="27A45C75" w14:textId="77777777" w:rsidTr="00446A14">
        <w:trPr>
          <w:trHeight w:val="238"/>
        </w:trPr>
        <w:tc>
          <w:tcPr>
            <w:tcW w:w="2963" w:type="pct"/>
            <w:tcBorders>
              <w:top w:val="nil"/>
              <w:left w:val="nil"/>
              <w:bottom w:val="nil"/>
              <w:right w:val="nil"/>
            </w:tcBorders>
            <w:shd w:val="clear" w:color="auto" w:fill="auto"/>
            <w:noWrap/>
            <w:vAlign w:val="center"/>
            <w:hideMark/>
          </w:tcPr>
          <w:p w14:paraId="570C570F" w14:textId="77777777" w:rsidR="003712EB" w:rsidRPr="003712EB" w:rsidRDefault="003712EB" w:rsidP="003712EB">
            <w:pPr>
              <w:spacing w:after="0" w:line="240" w:lineRule="auto"/>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Provisão Programa Indenização por Serviços Prestados</w:t>
            </w:r>
          </w:p>
        </w:tc>
        <w:tc>
          <w:tcPr>
            <w:tcW w:w="679" w:type="pct"/>
            <w:tcBorders>
              <w:top w:val="nil"/>
              <w:left w:val="single" w:sz="4" w:space="0" w:color="3616F6"/>
              <w:bottom w:val="nil"/>
              <w:right w:val="nil"/>
            </w:tcBorders>
            <w:shd w:val="clear" w:color="000000" w:fill="75F6F9"/>
            <w:vAlign w:val="center"/>
            <w:hideMark/>
          </w:tcPr>
          <w:p w14:paraId="0F74CA3F"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1.766 </w:t>
            </w:r>
          </w:p>
        </w:tc>
        <w:tc>
          <w:tcPr>
            <w:tcW w:w="679" w:type="pct"/>
            <w:tcBorders>
              <w:top w:val="nil"/>
              <w:left w:val="single" w:sz="4" w:space="0" w:color="3616F6"/>
              <w:bottom w:val="nil"/>
              <w:right w:val="single" w:sz="4" w:space="0" w:color="3616F6"/>
            </w:tcBorders>
            <w:shd w:val="clear" w:color="auto" w:fill="auto"/>
            <w:vAlign w:val="center"/>
            <w:hideMark/>
          </w:tcPr>
          <w:p w14:paraId="0E7F86AA"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1.747 </w:t>
            </w:r>
          </w:p>
        </w:tc>
        <w:tc>
          <w:tcPr>
            <w:tcW w:w="679" w:type="pct"/>
            <w:tcBorders>
              <w:top w:val="nil"/>
              <w:left w:val="nil"/>
              <w:bottom w:val="nil"/>
              <w:right w:val="nil"/>
            </w:tcBorders>
            <w:shd w:val="clear" w:color="auto" w:fill="auto"/>
            <w:noWrap/>
            <w:vAlign w:val="center"/>
            <w:hideMark/>
          </w:tcPr>
          <w:p w14:paraId="4D5DEEF0"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2.043 </w:t>
            </w:r>
          </w:p>
        </w:tc>
      </w:tr>
      <w:tr w:rsidR="003712EB" w:rsidRPr="003712EB" w14:paraId="249B99BB" w14:textId="77777777" w:rsidTr="00446A14">
        <w:trPr>
          <w:trHeight w:val="238"/>
        </w:trPr>
        <w:tc>
          <w:tcPr>
            <w:tcW w:w="2963" w:type="pct"/>
            <w:tcBorders>
              <w:top w:val="nil"/>
              <w:left w:val="nil"/>
              <w:bottom w:val="nil"/>
              <w:right w:val="nil"/>
            </w:tcBorders>
            <w:shd w:val="clear" w:color="auto" w:fill="auto"/>
            <w:noWrap/>
            <w:vAlign w:val="center"/>
            <w:hideMark/>
          </w:tcPr>
          <w:p w14:paraId="677BC43A" w14:textId="77777777" w:rsidR="003712EB" w:rsidRPr="003712EB" w:rsidRDefault="003712EB" w:rsidP="003712EB">
            <w:pPr>
              <w:spacing w:after="0" w:line="240" w:lineRule="auto"/>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Outras Obrigações</w:t>
            </w:r>
          </w:p>
        </w:tc>
        <w:tc>
          <w:tcPr>
            <w:tcW w:w="679" w:type="pct"/>
            <w:tcBorders>
              <w:top w:val="nil"/>
              <w:left w:val="single" w:sz="4" w:space="0" w:color="3616F6"/>
              <w:bottom w:val="nil"/>
              <w:right w:val="nil"/>
            </w:tcBorders>
            <w:shd w:val="clear" w:color="000000" w:fill="75F6F9"/>
            <w:vAlign w:val="center"/>
            <w:hideMark/>
          </w:tcPr>
          <w:p w14:paraId="1223C91A"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5.018 </w:t>
            </w:r>
          </w:p>
        </w:tc>
        <w:tc>
          <w:tcPr>
            <w:tcW w:w="679" w:type="pct"/>
            <w:tcBorders>
              <w:top w:val="nil"/>
              <w:left w:val="single" w:sz="4" w:space="0" w:color="3616F6"/>
              <w:bottom w:val="nil"/>
              <w:right w:val="single" w:sz="4" w:space="0" w:color="3616F6"/>
            </w:tcBorders>
            <w:shd w:val="clear" w:color="auto" w:fill="auto"/>
            <w:vAlign w:val="center"/>
            <w:hideMark/>
          </w:tcPr>
          <w:p w14:paraId="01E6B0BB"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3.154 </w:t>
            </w:r>
          </w:p>
        </w:tc>
        <w:tc>
          <w:tcPr>
            <w:tcW w:w="679" w:type="pct"/>
            <w:tcBorders>
              <w:top w:val="nil"/>
              <w:left w:val="nil"/>
              <w:bottom w:val="nil"/>
              <w:right w:val="nil"/>
            </w:tcBorders>
            <w:shd w:val="clear" w:color="auto" w:fill="auto"/>
            <w:noWrap/>
            <w:vAlign w:val="center"/>
            <w:hideMark/>
          </w:tcPr>
          <w:p w14:paraId="0A16B7F3"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2.994 </w:t>
            </w:r>
          </w:p>
        </w:tc>
      </w:tr>
      <w:tr w:rsidR="003712EB" w:rsidRPr="003712EB" w14:paraId="6B93AE28" w14:textId="77777777" w:rsidTr="00446A14">
        <w:trPr>
          <w:trHeight w:val="238"/>
        </w:trPr>
        <w:tc>
          <w:tcPr>
            <w:tcW w:w="2963" w:type="pct"/>
            <w:tcBorders>
              <w:top w:val="single" w:sz="4" w:space="0" w:color="3616F6"/>
              <w:left w:val="nil"/>
              <w:bottom w:val="single" w:sz="4" w:space="0" w:color="3616F6"/>
              <w:right w:val="nil"/>
            </w:tcBorders>
            <w:shd w:val="clear" w:color="auto" w:fill="auto"/>
            <w:noWrap/>
            <w:vAlign w:val="center"/>
            <w:hideMark/>
          </w:tcPr>
          <w:p w14:paraId="00656B1A" w14:textId="77777777" w:rsidR="003712EB" w:rsidRPr="003712EB" w:rsidRDefault="003712EB" w:rsidP="003712EB">
            <w:pPr>
              <w:spacing w:after="0" w:line="240" w:lineRule="auto"/>
              <w:rPr>
                <w:rFonts w:ascii="Arial" w:eastAsia="Times New Roman" w:hAnsi="Arial" w:cs="Arial"/>
                <w:b/>
                <w:bCs/>
                <w:color w:val="000000"/>
                <w:kern w:val="0"/>
                <w:sz w:val="16"/>
                <w:szCs w:val="16"/>
                <w:lang w:eastAsia="pt-BR"/>
                <w14:ligatures w14:val="none"/>
              </w:rPr>
            </w:pPr>
            <w:r w:rsidRPr="003712EB">
              <w:rPr>
                <w:rFonts w:ascii="Arial" w:eastAsia="Times New Roman" w:hAnsi="Arial" w:cs="Arial"/>
                <w:b/>
                <w:bCs/>
                <w:color w:val="000000"/>
                <w:kern w:val="0"/>
                <w:sz w:val="16"/>
                <w:szCs w:val="16"/>
                <w:lang w:eastAsia="pt-BR"/>
                <w14:ligatures w14:val="none"/>
              </w:rPr>
              <w:t>Não Circulante</w:t>
            </w:r>
          </w:p>
        </w:tc>
        <w:tc>
          <w:tcPr>
            <w:tcW w:w="679" w:type="pct"/>
            <w:tcBorders>
              <w:top w:val="single" w:sz="4" w:space="0" w:color="3616F6"/>
              <w:left w:val="single" w:sz="4" w:space="0" w:color="3616F6"/>
              <w:bottom w:val="single" w:sz="4" w:space="0" w:color="3616F6"/>
              <w:right w:val="nil"/>
            </w:tcBorders>
            <w:shd w:val="clear" w:color="000000" w:fill="75F6F9"/>
            <w:vAlign w:val="center"/>
            <w:hideMark/>
          </w:tcPr>
          <w:p w14:paraId="4DCA764F" w14:textId="77777777" w:rsidR="003712EB" w:rsidRPr="003712EB" w:rsidRDefault="003712EB" w:rsidP="003712EB">
            <w:pPr>
              <w:spacing w:after="0" w:line="240" w:lineRule="auto"/>
              <w:jc w:val="right"/>
              <w:rPr>
                <w:rFonts w:ascii="Arial" w:eastAsia="Times New Roman" w:hAnsi="Arial" w:cs="Arial"/>
                <w:b/>
                <w:bCs/>
                <w:color w:val="000000"/>
                <w:kern w:val="0"/>
                <w:sz w:val="16"/>
                <w:szCs w:val="16"/>
                <w:lang w:eastAsia="pt-BR"/>
                <w14:ligatures w14:val="none"/>
              </w:rPr>
            </w:pPr>
            <w:r w:rsidRPr="003712EB">
              <w:rPr>
                <w:rFonts w:ascii="Arial" w:eastAsia="Times New Roman" w:hAnsi="Arial" w:cs="Arial"/>
                <w:b/>
                <w:bCs/>
                <w:color w:val="000000"/>
                <w:kern w:val="0"/>
                <w:sz w:val="16"/>
                <w:szCs w:val="16"/>
                <w:lang w:eastAsia="pt-BR"/>
                <w14:ligatures w14:val="none"/>
              </w:rPr>
              <w:t xml:space="preserve">   2.297.276 </w:t>
            </w:r>
          </w:p>
        </w:tc>
        <w:tc>
          <w:tcPr>
            <w:tcW w:w="679" w:type="pct"/>
            <w:tcBorders>
              <w:top w:val="single" w:sz="4" w:space="0" w:color="3616F6"/>
              <w:left w:val="single" w:sz="4" w:space="0" w:color="3616F6"/>
              <w:bottom w:val="single" w:sz="4" w:space="0" w:color="3616F6"/>
              <w:right w:val="single" w:sz="4" w:space="0" w:color="3616F6"/>
            </w:tcBorders>
            <w:shd w:val="clear" w:color="auto" w:fill="auto"/>
            <w:noWrap/>
            <w:vAlign w:val="center"/>
            <w:hideMark/>
          </w:tcPr>
          <w:p w14:paraId="6B299D30" w14:textId="77777777" w:rsidR="003712EB" w:rsidRPr="003712EB" w:rsidRDefault="003712EB" w:rsidP="003712EB">
            <w:pPr>
              <w:spacing w:after="0" w:line="240" w:lineRule="auto"/>
              <w:jc w:val="right"/>
              <w:rPr>
                <w:rFonts w:ascii="Arial" w:eastAsia="Times New Roman" w:hAnsi="Arial" w:cs="Arial"/>
                <w:b/>
                <w:bCs/>
                <w:color w:val="000000"/>
                <w:kern w:val="0"/>
                <w:sz w:val="16"/>
                <w:szCs w:val="16"/>
                <w:lang w:eastAsia="pt-BR"/>
                <w14:ligatures w14:val="none"/>
              </w:rPr>
            </w:pPr>
            <w:r w:rsidRPr="003712EB">
              <w:rPr>
                <w:rFonts w:ascii="Arial" w:eastAsia="Times New Roman" w:hAnsi="Arial" w:cs="Arial"/>
                <w:b/>
                <w:bCs/>
                <w:color w:val="000000"/>
                <w:kern w:val="0"/>
                <w:sz w:val="16"/>
                <w:szCs w:val="16"/>
                <w:lang w:eastAsia="pt-BR"/>
                <w14:ligatures w14:val="none"/>
              </w:rPr>
              <w:t xml:space="preserve">   2.158.693 </w:t>
            </w:r>
          </w:p>
        </w:tc>
        <w:tc>
          <w:tcPr>
            <w:tcW w:w="679" w:type="pct"/>
            <w:tcBorders>
              <w:top w:val="single" w:sz="4" w:space="0" w:color="3616F6"/>
              <w:left w:val="nil"/>
              <w:bottom w:val="single" w:sz="4" w:space="0" w:color="3616F6"/>
              <w:right w:val="nil"/>
            </w:tcBorders>
            <w:shd w:val="clear" w:color="auto" w:fill="auto"/>
            <w:noWrap/>
            <w:vAlign w:val="center"/>
            <w:hideMark/>
          </w:tcPr>
          <w:p w14:paraId="36801ADF" w14:textId="77777777" w:rsidR="003712EB" w:rsidRPr="003712EB" w:rsidRDefault="003712EB" w:rsidP="003712EB">
            <w:pPr>
              <w:spacing w:after="0" w:line="240" w:lineRule="auto"/>
              <w:jc w:val="right"/>
              <w:rPr>
                <w:rFonts w:ascii="Arial" w:eastAsia="Times New Roman" w:hAnsi="Arial" w:cs="Arial"/>
                <w:b/>
                <w:bCs/>
                <w:color w:val="000000"/>
                <w:kern w:val="0"/>
                <w:sz w:val="16"/>
                <w:szCs w:val="16"/>
                <w:lang w:eastAsia="pt-BR"/>
                <w14:ligatures w14:val="none"/>
              </w:rPr>
            </w:pPr>
            <w:r w:rsidRPr="003712EB">
              <w:rPr>
                <w:rFonts w:ascii="Arial" w:eastAsia="Times New Roman" w:hAnsi="Arial" w:cs="Arial"/>
                <w:b/>
                <w:bCs/>
                <w:color w:val="000000"/>
                <w:kern w:val="0"/>
                <w:sz w:val="16"/>
                <w:szCs w:val="16"/>
                <w:lang w:eastAsia="pt-BR"/>
                <w14:ligatures w14:val="none"/>
              </w:rPr>
              <w:t xml:space="preserve">   2.378.331 </w:t>
            </w:r>
          </w:p>
        </w:tc>
      </w:tr>
      <w:tr w:rsidR="003712EB" w:rsidRPr="003712EB" w14:paraId="49D2A415" w14:textId="77777777" w:rsidTr="00446A14">
        <w:trPr>
          <w:trHeight w:val="238"/>
        </w:trPr>
        <w:tc>
          <w:tcPr>
            <w:tcW w:w="2963" w:type="pct"/>
            <w:tcBorders>
              <w:top w:val="nil"/>
              <w:left w:val="nil"/>
              <w:bottom w:val="nil"/>
              <w:right w:val="nil"/>
            </w:tcBorders>
            <w:shd w:val="clear" w:color="auto" w:fill="auto"/>
            <w:noWrap/>
            <w:vAlign w:val="center"/>
            <w:hideMark/>
          </w:tcPr>
          <w:p w14:paraId="1B8D29DF" w14:textId="77777777" w:rsidR="003712EB" w:rsidRPr="003712EB" w:rsidRDefault="003712EB" w:rsidP="003712EB">
            <w:pPr>
              <w:spacing w:after="0" w:line="240" w:lineRule="auto"/>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Empréstimos e Financiamentos</w:t>
            </w:r>
          </w:p>
        </w:tc>
        <w:tc>
          <w:tcPr>
            <w:tcW w:w="679" w:type="pct"/>
            <w:tcBorders>
              <w:top w:val="nil"/>
              <w:left w:val="single" w:sz="4" w:space="0" w:color="3616F6"/>
              <w:bottom w:val="nil"/>
              <w:right w:val="nil"/>
            </w:tcBorders>
            <w:shd w:val="clear" w:color="000000" w:fill="75F6F9"/>
            <w:vAlign w:val="center"/>
            <w:hideMark/>
          </w:tcPr>
          <w:p w14:paraId="118C14E0"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53.689 </w:t>
            </w:r>
          </w:p>
        </w:tc>
        <w:tc>
          <w:tcPr>
            <w:tcW w:w="679" w:type="pct"/>
            <w:tcBorders>
              <w:top w:val="nil"/>
              <w:left w:val="single" w:sz="4" w:space="0" w:color="3616F6"/>
              <w:bottom w:val="nil"/>
              <w:right w:val="single" w:sz="4" w:space="0" w:color="3616F6"/>
            </w:tcBorders>
            <w:shd w:val="clear" w:color="auto" w:fill="auto"/>
            <w:vAlign w:val="center"/>
            <w:hideMark/>
          </w:tcPr>
          <w:p w14:paraId="46098614"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101.504 </w:t>
            </w:r>
          </w:p>
        </w:tc>
        <w:tc>
          <w:tcPr>
            <w:tcW w:w="679" w:type="pct"/>
            <w:tcBorders>
              <w:top w:val="nil"/>
              <w:left w:val="nil"/>
              <w:bottom w:val="nil"/>
              <w:right w:val="nil"/>
            </w:tcBorders>
            <w:shd w:val="clear" w:color="auto" w:fill="auto"/>
            <w:noWrap/>
            <w:vAlign w:val="center"/>
            <w:hideMark/>
          </w:tcPr>
          <w:p w14:paraId="766989A6"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155.875 </w:t>
            </w:r>
          </w:p>
        </w:tc>
      </w:tr>
      <w:tr w:rsidR="003712EB" w:rsidRPr="003712EB" w14:paraId="07AFAF23" w14:textId="77777777" w:rsidTr="00446A14">
        <w:trPr>
          <w:trHeight w:val="238"/>
        </w:trPr>
        <w:tc>
          <w:tcPr>
            <w:tcW w:w="2963" w:type="pct"/>
            <w:tcBorders>
              <w:top w:val="nil"/>
              <w:left w:val="nil"/>
              <w:bottom w:val="nil"/>
              <w:right w:val="nil"/>
            </w:tcBorders>
            <w:shd w:val="clear" w:color="auto" w:fill="auto"/>
            <w:noWrap/>
            <w:vAlign w:val="center"/>
            <w:hideMark/>
          </w:tcPr>
          <w:p w14:paraId="30EDA05B" w14:textId="77777777" w:rsidR="003712EB" w:rsidRPr="003712EB" w:rsidRDefault="003712EB" w:rsidP="003712EB">
            <w:pPr>
              <w:spacing w:after="0" w:line="240" w:lineRule="auto"/>
              <w:ind w:firstLineChars="300" w:firstLine="450"/>
              <w:rPr>
                <w:rFonts w:ascii="Arial" w:eastAsia="Times New Roman" w:hAnsi="Arial" w:cs="Arial"/>
                <w:i/>
                <w:iCs/>
                <w:color w:val="000000"/>
                <w:kern w:val="0"/>
                <w:sz w:val="15"/>
                <w:szCs w:val="15"/>
                <w:lang w:eastAsia="pt-BR"/>
                <w14:ligatures w14:val="none"/>
              </w:rPr>
            </w:pPr>
            <w:r w:rsidRPr="003712EB">
              <w:rPr>
                <w:rFonts w:ascii="Arial" w:eastAsia="Times New Roman" w:hAnsi="Arial" w:cs="Arial"/>
                <w:i/>
                <w:iCs/>
                <w:color w:val="000000"/>
                <w:kern w:val="0"/>
                <w:sz w:val="15"/>
                <w:szCs w:val="15"/>
                <w:lang w:eastAsia="pt-BR"/>
                <w14:ligatures w14:val="none"/>
              </w:rPr>
              <w:lastRenderedPageBreak/>
              <w:t>Financiamento FINEP</w:t>
            </w:r>
          </w:p>
        </w:tc>
        <w:tc>
          <w:tcPr>
            <w:tcW w:w="679" w:type="pct"/>
            <w:tcBorders>
              <w:top w:val="nil"/>
              <w:left w:val="single" w:sz="4" w:space="0" w:color="3616F6"/>
              <w:bottom w:val="nil"/>
              <w:right w:val="nil"/>
            </w:tcBorders>
            <w:shd w:val="clear" w:color="000000" w:fill="75F6F9"/>
            <w:vAlign w:val="center"/>
            <w:hideMark/>
          </w:tcPr>
          <w:p w14:paraId="272D9E06" w14:textId="77777777" w:rsidR="003712EB" w:rsidRPr="003712EB" w:rsidRDefault="003712EB" w:rsidP="003712EB">
            <w:pPr>
              <w:spacing w:after="0" w:line="240" w:lineRule="auto"/>
              <w:jc w:val="right"/>
              <w:rPr>
                <w:rFonts w:ascii="Arial" w:eastAsia="Times New Roman" w:hAnsi="Arial" w:cs="Arial"/>
                <w:i/>
                <w:iCs/>
                <w:color w:val="000000"/>
                <w:kern w:val="0"/>
                <w:sz w:val="15"/>
                <w:szCs w:val="15"/>
                <w:lang w:eastAsia="pt-BR"/>
                <w14:ligatures w14:val="none"/>
              </w:rPr>
            </w:pPr>
            <w:r w:rsidRPr="003712EB">
              <w:rPr>
                <w:rFonts w:ascii="Arial" w:eastAsia="Times New Roman" w:hAnsi="Arial" w:cs="Arial"/>
                <w:i/>
                <w:iCs/>
                <w:color w:val="000000"/>
                <w:kern w:val="0"/>
                <w:sz w:val="15"/>
                <w:szCs w:val="15"/>
                <w:lang w:eastAsia="pt-BR"/>
                <w14:ligatures w14:val="none"/>
              </w:rPr>
              <w:t xml:space="preserve">       44.892 </w:t>
            </w:r>
          </w:p>
        </w:tc>
        <w:tc>
          <w:tcPr>
            <w:tcW w:w="679" w:type="pct"/>
            <w:tcBorders>
              <w:top w:val="nil"/>
              <w:left w:val="single" w:sz="4" w:space="0" w:color="3616F6"/>
              <w:bottom w:val="nil"/>
              <w:right w:val="single" w:sz="4" w:space="0" w:color="3616F6"/>
            </w:tcBorders>
            <w:shd w:val="clear" w:color="auto" w:fill="auto"/>
            <w:vAlign w:val="center"/>
            <w:hideMark/>
          </w:tcPr>
          <w:p w14:paraId="1C14134A" w14:textId="77777777" w:rsidR="003712EB" w:rsidRPr="003712EB" w:rsidRDefault="003712EB" w:rsidP="003712EB">
            <w:pPr>
              <w:spacing w:after="0" w:line="240" w:lineRule="auto"/>
              <w:jc w:val="right"/>
              <w:rPr>
                <w:rFonts w:ascii="Arial" w:eastAsia="Times New Roman" w:hAnsi="Arial" w:cs="Arial"/>
                <w:i/>
                <w:iCs/>
                <w:color w:val="000000"/>
                <w:kern w:val="0"/>
                <w:sz w:val="15"/>
                <w:szCs w:val="15"/>
                <w:lang w:eastAsia="pt-BR"/>
                <w14:ligatures w14:val="none"/>
              </w:rPr>
            </w:pPr>
            <w:r w:rsidRPr="003712EB">
              <w:rPr>
                <w:rFonts w:ascii="Arial" w:eastAsia="Times New Roman" w:hAnsi="Arial" w:cs="Arial"/>
                <w:i/>
                <w:iCs/>
                <w:color w:val="000000"/>
                <w:kern w:val="0"/>
                <w:sz w:val="15"/>
                <w:szCs w:val="15"/>
                <w:lang w:eastAsia="pt-BR"/>
                <w14:ligatures w14:val="none"/>
              </w:rPr>
              <w:t xml:space="preserve">       89.635 </w:t>
            </w:r>
          </w:p>
        </w:tc>
        <w:tc>
          <w:tcPr>
            <w:tcW w:w="679" w:type="pct"/>
            <w:tcBorders>
              <w:top w:val="nil"/>
              <w:left w:val="nil"/>
              <w:bottom w:val="nil"/>
              <w:right w:val="nil"/>
            </w:tcBorders>
            <w:shd w:val="clear" w:color="auto" w:fill="auto"/>
            <w:noWrap/>
            <w:vAlign w:val="center"/>
            <w:hideMark/>
          </w:tcPr>
          <w:p w14:paraId="4934BFD2" w14:textId="77777777" w:rsidR="003712EB" w:rsidRPr="003712EB" w:rsidRDefault="003712EB" w:rsidP="003712EB">
            <w:pPr>
              <w:spacing w:after="0" w:line="240" w:lineRule="auto"/>
              <w:jc w:val="right"/>
              <w:rPr>
                <w:rFonts w:ascii="Arial" w:eastAsia="Times New Roman" w:hAnsi="Arial" w:cs="Arial"/>
                <w:color w:val="000000"/>
                <w:kern w:val="0"/>
                <w:sz w:val="15"/>
                <w:szCs w:val="15"/>
                <w:lang w:eastAsia="pt-BR"/>
                <w14:ligatures w14:val="none"/>
              </w:rPr>
            </w:pPr>
            <w:r w:rsidRPr="003712EB">
              <w:rPr>
                <w:rFonts w:ascii="Arial" w:eastAsia="Times New Roman" w:hAnsi="Arial" w:cs="Arial"/>
                <w:color w:val="000000"/>
                <w:kern w:val="0"/>
                <w:sz w:val="15"/>
                <w:szCs w:val="15"/>
                <w:lang w:eastAsia="pt-BR"/>
                <w14:ligatures w14:val="none"/>
              </w:rPr>
              <w:t xml:space="preserve">      144.769 </w:t>
            </w:r>
          </w:p>
        </w:tc>
      </w:tr>
      <w:tr w:rsidR="003712EB" w:rsidRPr="003712EB" w14:paraId="4FCA61EE" w14:textId="77777777" w:rsidTr="00446A14">
        <w:trPr>
          <w:trHeight w:val="238"/>
        </w:trPr>
        <w:tc>
          <w:tcPr>
            <w:tcW w:w="2963" w:type="pct"/>
            <w:tcBorders>
              <w:top w:val="nil"/>
              <w:left w:val="nil"/>
              <w:bottom w:val="nil"/>
              <w:right w:val="nil"/>
            </w:tcBorders>
            <w:shd w:val="clear" w:color="auto" w:fill="auto"/>
            <w:noWrap/>
            <w:vAlign w:val="center"/>
            <w:hideMark/>
          </w:tcPr>
          <w:p w14:paraId="79DE8F01" w14:textId="77777777" w:rsidR="003712EB" w:rsidRPr="003712EB" w:rsidRDefault="003712EB" w:rsidP="003712EB">
            <w:pPr>
              <w:spacing w:after="0" w:line="240" w:lineRule="auto"/>
              <w:ind w:firstLineChars="300" w:firstLine="450"/>
              <w:rPr>
                <w:rFonts w:ascii="Arial" w:eastAsia="Times New Roman" w:hAnsi="Arial" w:cs="Arial"/>
                <w:i/>
                <w:iCs/>
                <w:color w:val="000000"/>
                <w:kern w:val="0"/>
                <w:sz w:val="15"/>
                <w:szCs w:val="15"/>
                <w:lang w:eastAsia="pt-BR"/>
                <w14:ligatures w14:val="none"/>
              </w:rPr>
            </w:pPr>
            <w:r w:rsidRPr="003712EB">
              <w:rPr>
                <w:rFonts w:ascii="Arial" w:eastAsia="Times New Roman" w:hAnsi="Arial" w:cs="Arial"/>
                <w:i/>
                <w:iCs/>
                <w:color w:val="000000"/>
                <w:kern w:val="0"/>
                <w:sz w:val="15"/>
                <w:szCs w:val="15"/>
                <w:lang w:eastAsia="pt-BR"/>
                <w14:ligatures w14:val="none"/>
              </w:rPr>
              <w:t>Arrendamento Mercantil Financeiro</w:t>
            </w:r>
          </w:p>
        </w:tc>
        <w:tc>
          <w:tcPr>
            <w:tcW w:w="679" w:type="pct"/>
            <w:tcBorders>
              <w:top w:val="nil"/>
              <w:left w:val="single" w:sz="4" w:space="0" w:color="3616F6"/>
              <w:bottom w:val="nil"/>
              <w:right w:val="nil"/>
            </w:tcBorders>
            <w:shd w:val="clear" w:color="000000" w:fill="75F6F9"/>
            <w:vAlign w:val="center"/>
            <w:hideMark/>
          </w:tcPr>
          <w:p w14:paraId="6A210987" w14:textId="77777777" w:rsidR="003712EB" w:rsidRPr="003712EB" w:rsidRDefault="003712EB" w:rsidP="003712EB">
            <w:pPr>
              <w:spacing w:after="0" w:line="240" w:lineRule="auto"/>
              <w:jc w:val="right"/>
              <w:rPr>
                <w:rFonts w:ascii="Arial" w:eastAsia="Times New Roman" w:hAnsi="Arial" w:cs="Arial"/>
                <w:i/>
                <w:iCs/>
                <w:color w:val="000000"/>
                <w:kern w:val="0"/>
                <w:sz w:val="15"/>
                <w:szCs w:val="15"/>
                <w:lang w:eastAsia="pt-BR"/>
                <w14:ligatures w14:val="none"/>
              </w:rPr>
            </w:pPr>
            <w:r w:rsidRPr="003712EB">
              <w:rPr>
                <w:rFonts w:ascii="Arial" w:eastAsia="Times New Roman" w:hAnsi="Arial" w:cs="Arial"/>
                <w:i/>
                <w:iCs/>
                <w:color w:val="000000"/>
                <w:kern w:val="0"/>
                <w:sz w:val="15"/>
                <w:szCs w:val="15"/>
                <w:lang w:eastAsia="pt-BR"/>
                <w14:ligatures w14:val="none"/>
              </w:rPr>
              <w:t xml:space="preserve">          8.797 </w:t>
            </w:r>
          </w:p>
        </w:tc>
        <w:tc>
          <w:tcPr>
            <w:tcW w:w="679" w:type="pct"/>
            <w:tcBorders>
              <w:top w:val="nil"/>
              <w:left w:val="single" w:sz="4" w:space="0" w:color="3616F6"/>
              <w:bottom w:val="nil"/>
              <w:right w:val="single" w:sz="4" w:space="0" w:color="3616F6"/>
            </w:tcBorders>
            <w:shd w:val="clear" w:color="auto" w:fill="auto"/>
            <w:vAlign w:val="center"/>
            <w:hideMark/>
          </w:tcPr>
          <w:p w14:paraId="10777D1A" w14:textId="77777777" w:rsidR="003712EB" w:rsidRPr="003712EB" w:rsidRDefault="003712EB" w:rsidP="003712EB">
            <w:pPr>
              <w:spacing w:after="0" w:line="240" w:lineRule="auto"/>
              <w:jc w:val="right"/>
              <w:rPr>
                <w:rFonts w:ascii="Arial" w:eastAsia="Times New Roman" w:hAnsi="Arial" w:cs="Arial"/>
                <w:i/>
                <w:iCs/>
                <w:color w:val="000000"/>
                <w:kern w:val="0"/>
                <w:sz w:val="15"/>
                <w:szCs w:val="15"/>
                <w:lang w:eastAsia="pt-BR"/>
                <w14:ligatures w14:val="none"/>
              </w:rPr>
            </w:pPr>
            <w:r w:rsidRPr="003712EB">
              <w:rPr>
                <w:rFonts w:ascii="Arial" w:eastAsia="Times New Roman" w:hAnsi="Arial" w:cs="Arial"/>
                <w:i/>
                <w:iCs/>
                <w:color w:val="000000"/>
                <w:kern w:val="0"/>
                <w:sz w:val="15"/>
                <w:szCs w:val="15"/>
                <w:lang w:eastAsia="pt-BR"/>
                <w14:ligatures w14:val="none"/>
              </w:rPr>
              <w:t xml:space="preserve">       11.869 </w:t>
            </w:r>
          </w:p>
        </w:tc>
        <w:tc>
          <w:tcPr>
            <w:tcW w:w="679" w:type="pct"/>
            <w:tcBorders>
              <w:top w:val="nil"/>
              <w:left w:val="nil"/>
              <w:bottom w:val="nil"/>
              <w:right w:val="nil"/>
            </w:tcBorders>
            <w:shd w:val="clear" w:color="auto" w:fill="auto"/>
            <w:noWrap/>
            <w:vAlign w:val="center"/>
            <w:hideMark/>
          </w:tcPr>
          <w:p w14:paraId="530707FD" w14:textId="77777777" w:rsidR="003712EB" w:rsidRPr="003712EB" w:rsidRDefault="003712EB" w:rsidP="003712EB">
            <w:pPr>
              <w:spacing w:after="0" w:line="240" w:lineRule="auto"/>
              <w:jc w:val="right"/>
              <w:rPr>
                <w:rFonts w:ascii="Arial" w:eastAsia="Times New Roman" w:hAnsi="Arial" w:cs="Arial"/>
                <w:color w:val="000000"/>
                <w:kern w:val="0"/>
                <w:sz w:val="15"/>
                <w:szCs w:val="15"/>
                <w:lang w:eastAsia="pt-BR"/>
                <w14:ligatures w14:val="none"/>
              </w:rPr>
            </w:pPr>
            <w:r w:rsidRPr="003712EB">
              <w:rPr>
                <w:rFonts w:ascii="Arial" w:eastAsia="Times New Roman" w:hAnsi="Arial" w:cs="Arial"/>
                <w:color w:val="000000"/>
                <w:kern w:val="0"/>
                <w:sz w:val="15"/>
                <w:szCs w:val="15"/>
                <w:lang w:eastAsia="pt-BR"/>
                <w14:ligatures w14:val="none"/>
              </w:rPr>
              <w:t xml:space="preserve">        11.106 </w:t>
            </w:r>
          </w:p>
        </w:tc>
      </w:tr>
      <w:tr w:rsidR="003712EB" w:rsidRPr="003712EB" w14:paraId="7A3EC4CD" w14:textId="77777777" w:rsidTr="00446A14">
        <w:trPr>
          <w:trHeight w:val="238"/>
        </w:trPr>
        <w:tc>
          <w:tcPr>
            <w:tcW w:w="2963" w:type="pct"/>
            <w:tcBorders>
              <w:top w:val="nil"/>
              <w:left w:val="nil"/>
              <w:bottom w:val="nil"/>
              <w:right w:val="nil"/>
            </w:tcBorders>
            <w:shd w:val="clear" w:color="auto" w:fill="auto"/>
            <w:noWrap/>
            <w:vAlign w:val="center"/>
            <w:hideMark/>
          </w:tcPr>
          <w:p w14:paraId="221BCC51" w14:textId="77777777" w:rsidR="003712EB" w:rsidRPr="003712EB" w:rsidRDefault="003712EB" w:rsidP="003712EB">
            <w:pPr>
              <w:spacing w:after="0" w:line="240" w:lineRule="auto"/>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Provisão para Riscos Trabalhistas, Cíveis e Fiscais</w:t>
            </w:r>
          </w:p>
        </w:tc>
        <w:tc>
          <w:tcPr>
            <w:tcW w:w="679" w:type="pct"/>
            <w:tcBorders>
              <w:top w:val="nil"/>
              <w:left w:val="single" w:sz="4" w:space="0" w:color="3616F6"/>
              <w:bottom w:val="nil"/>
              <w:right w:val="nil"/>
            </w:tcBorders>
            <w:shd w:val="clear" w:color="000000" w:fill="75F6F9"/>
            <w:vAlign w:val="center"/>
            <w:hideMark/>
          </w:tcPr>
          <w:p w14:paraId="1F7A05A3"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54.590 </w:t>
            </w:r>
          </w:p>
        </w:tc>
        <w:tc>
          <w:tcPr>
            <w:tcW w:w="679" w:type="pct"/>
            <w:tcBorders>
              <w:top w:val="nil"/>
              <w:left w:val="single" w:sz="4" w:space="0" w:color="3616F6"/>
              <w:bottom w:val="nil"/>
              <w:right w:val="single" w:sz="4" w:space="0" w:color="3616F6"/>
            </w:tcBorders>
            <w:shd w:val="clear" w:color="auto" w:fill="auto"/>
            <w:vAlign w:val="center"/>
            <w:hideMark/>
          </w:tcPr>
          <w:p w14:paraId="2736F943"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51.285 </w:t>
            </w:r>
          </w:p>
        </w:tc>
        <w:tc>
          <w:tcPr>
            <w:tcW w:w="679" w:type="pct"/>
            <w:tcBorders>
              <w:top w:val="nil"/>
              <w:left w:val="nil"/>
              <w:bottom w:val="nil"/>
              <w:right w:val="nil"/>
            </w:tcBorders>
            <w:shd w:val="clear" w:color="auto" w:fill="auto"/>
            <w:noWrap/>
            <w:vAlign w:val="center"/>
            <w:hideMark/>
          </w:tcPr>
          <w:p w14:paraId="030537EA"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47.448 </w:t>
            </w:r>
          </w:p>
        </w:tc>
      </w:tr>
      <w:tr w:rsidR="003712EB" w:rsidRPr="003712EB" w14:paraId="493B0768" w14:textId="77777777" w:rsidTr="00446A14">
        <w:trPr>
          <w:trHeight w:val="238"/>
        </w:trPr>
        <w:tc>
          <w:tcPr>
            <w:tcW w:w="2963" w:type="pct"/>
            <w:tcBorders>
              <w:top w:val="nil"/>
              <w:left w:val="nil"/>
              <w:bottom w:val="nil"/>
              <w:right w:val="nil"/>
            </w:tcBorders>
            <w:shd w:val="clear" w:color="auto" w:fill="auto"/>
            <w:noWrap/>
            <w:vAlign w:val="center"/>
            <w:hideMark/>
          </w:tcPr>
          <w:p w14:paraId="5510E08A" w14:textId="77777777" w:rsidR="003712EB" w:rsidRPr="003712EB" w:rsidRDefault="003712EB" w:rsidP="003712EB">
            <w:pPr>
              <w:spacing w:after="0" w:line="240" w:lineRule="auto"/>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Provisão Programa Indenização por Serviços Prestados</w:t>
            </w:r>
          </w:p>
        </w:tc>
        <w:tc>
          <w:tcPr>
            <w:tcW w:w="679" w:type="pct"/>
            <w:tcBorders>
              <w:top w:val="nil"/>
              <w:left w:val="single" w:sz="4" w:space="0" w:color="3616F6"/>
              <w:bottom w:val="nil"/>
              <w:right w:val="nil"/>
            </w:tcBorders>
            <w:shd w:val="clear" w:color="000000" w:fill="75F6F9"/>
            <w:vAlign w:val="center"/>
            <w:hideMark/>
          </w:tcPr>
          <w:p w14:paraId="0382E67A"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21.910 </w:t>
            </w:r>
          </w:p>
        </w:tc>
        <w:tc>
          <w:tcPr>
            <w:tcW w:w="679" w:type="pct"/>
            <w:tcBorders>
              <w:top w:val="nil"/>
              <w:left w:val="single" w:sz="4" w:space="0" w:color="3616F6"/>
              <w:bottom w:val="nil"/>
              <w:right w:val="single" w:sz="4" w:space="0" w:color="3616F6"/>
            </w:tcBorders>
            <w:shd w:val="clear" w:color="auto" w:fill="auto"/>
            <w:vAlign w:val="center"/>
            <w:hideMark/>
          </w:tcPr>
          <w:p w14:paraId="4FD08FB7"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23.909 </w:t>
            </w:r>
          </w:p>
        </w:tc>
        <w:tc>
          <w:tcPr>
            <w:tcW w:w="679" w:type="pct"/>
            <w:tcBorders>
              <w:top w:val="nil"/>
              <w:left w:val="nil"/>
              <w:bottom w:val="nil"/>
              <w:right w:val="nil"/>
            </w:tcBorders>
            <w:shd w:val="clear" w:color="auto" w:fill="auto"/>
            <w:noWrap/>
            <w:vAlign w:val="center"/>
            <w:hideMark/>
          </w:tcPr>
          <w:p w14:paraId="0F263E91"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22.813 </w:t>
            </w:r>
          </w:p>
        </w:tc>
      </w:tr>
      <w:tr w:rsidR="003712EB" w:rsidRPr="003712EB" w14:paraId="58F77FB7" w14:textId="77777777" w:rsidTr="00446A14">
        <w:trPr>
          <w:trHeight w:val="238"/>
        </w:trPr>
        <w:tc>
          <w:tcPr>
            <w:tcW w:w="2963" w:type="pct"/>
            <w:tcBorders>
              <w:top w:val="nil"/>
              <w:left w:val="nil"/>
              <w:bottom w:val="nil"/>
              <w:right w:val="nil"/>
            </w:tcBorders>
            <w:shd w:val="clear" w:color="auto" w:fill="auto"/>
            <w:noWrap/>
            <w:vAlign w:val="center"/>
            <w:hideMark/>
          </w:tcPr>
          <w:p w14:paraId="78980C9A" w14:textId="77777777" w:rsidR="003712EB" w:rsidRPr="003712EB" w:rsidRDefault="003712EB" w:rsidP="003712EB">
            <w:pPr>
              <w:spacing w:after="0" w:line="240" w:lineRule="auto"/>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Credores por Perdas Judiciais</w:t>
            </w:r>
          </w:p>
        </w:tc>
        <w:tc>
          <w:tcPr>
            <w:tcW w:w="679" w:type="pct"/>
            <w:tcBorders>
              <w:top w:val="nil"/>
              <w:left w:val="single" w:sz="4" w:space="0" w:color="3616F6"/>
              <w:bottom w:val="nil"/>
              <w:right w:val="nil"/>
            </w:tcBorders>
            <w:shd w:val="clear" w:color="000000" w:fill="75F6F9"/>
            <w:vAlign w:val="center"/>
            <w:hideMark/>
          </w:tcPr>
          <w:p w14:paraId="7C285864"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116.004 </w:t>
            </w:r>
          </w:p>
        </w:tc>
        <w:tc>
          <w:tcPr>
            <w:tcW w:w="679" w:type="pct"/>
            <w:tcBorders>
              <w:top w:val="nil"/>
              <w:left w:val="single" w:sz="4" w:space="0" w:color="3616F6"/>
              <w:bottom w:val="nil"/>
              <w:right w:val="single" w:sz="4" w:space="0" w:color="3616F6"/>
            </w:tcBorders>
            <w:shd w:val="clear" w:color="auto" w:fill="auto"/>
            <w:vAlign w:val="center"/>
            <w:hideMark/>
          </w:tcPr>
          <w:p w14:paraId="32D3FCA0"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137.253 </w:t>
            </w:r>
          </w:p>
        </w:tc>
        <w:tc>
          <w:tcPr>
            <w:tcW w:w="679" w:type="pct"/>
            <w:tcBorders>
              <w:top w:val="nil"/>
              <w:left w:val="nil"/>
              <w:bottom w:val="nil"/>
              <w:right w:val="nil"/>
            </w:tcBorders>
            <w:shd w:val="clear" w:color="auto" w:fill="auto"/>
            <w:noWrap/>
            <w:vAlign w:val="center"/>
            <w:hideMark/>
          </w:tcPr>
          <w:p w14:paraId="098F4931"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154.244 </w:t>
            </w:r>
          </w:p>
        </w:tc>
      </w:tr>
      <w:tr w:rsidR="003712EB" w:rsidRPr="003712EB" w14:paraId="1F7AE86A" w14:textId="77777777" w:rsidTr="00446A14">
        <w:trPr>
          <w:trHeight w:val="238"/>
        </w:trPr>
        <w:tc>
          <w:tcPr>
            <w:tcW w:w="2963" w:type="pct"/>
            <w:tcBorders>
              <w:top w:val="nil"/>
              <w:left w:val="nil"/>
              <w:bottom w:val="nil"/>
              <w:right w:val="nil"/>
            </w:tcBorders>
            <w:shd w:val="clear" w:color="auto" w:fill="auto"/>
            <w:noWrap/>
            <w:vAlign w:val="center"/>
            <w:hideMark/>
          </w:tcPr>
          <w:p w14:paraId="29EB820C" w14:textId="77777777" w:rsidR="003712EB" w:rsidRPr="003712EB" w:rsidRDefault="003712EB" w:rsidP="003712EB">
            <w:pPr>
              <w:spacing w:after="0" w:line="240" w:lineRule="auto"/>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Grupamento de Ações</w:t>
            </w:r>
          </w:p>
        </w:tc>
        <w:tc>
          <w:tcPr>
            <w:tcW w:w="679" w:type="pct"/>
            <w:tcBorders>
              <w:top w:val="nil"/>
              <w:left w:val="single" w:sz="4" w:space="0" w:color="3616F6"/>
              <w:bottom w:val="nil"/>
              <w:right w:val="nil"/>
            </w:tcBorders>
            <w:shd w:val="clear" w:color="000000" w:fill="75F6F9"/>
            <w:vAlign w:val="center"/>
            <w:hideMark/>
          </w:tcPr>
          <w:p w14:paraId="4AE8D5C8"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680 </w:t>
            </w:r>
          </w:p>
        </w:tc>
        <w:tc>
          <w:tcPr>
            <w:tcW w:w="679" w:type="pct"/>
            <w:tcBorders>
              <w:top w:val="nil"/>
              <w:left w:val="single" w:sz="4" w:space="0" w:color="3616F6"/>
              <w:bottom w:val="nil"/>
              <w:right w:val="single" w:sz="4" w:space="0" w:color="3616F6"/>
            </w:tcBorders>
            <w:shd w:val="clear" w:color="auto" w:fill="auto"/>
            <w:vAlign w:val="center"/>
            <w:hideMark/>
          </w:tcPr>
          <w:p w14:paraId="615E482C"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680 </w:t>
            </w:r>
          </w:p>
        </w:tc>
        <w:tc>
          <w:tcPr>
            <w:tcW w:w="679" w:type="pct"/>
            <w:tcBorders>
              <w:top w:val="nil"/>
              <w:left w:val="nil"/>
              <w:bottom w:val="nil"/>
              <w:right w:val="nil"/>
            </w:tcBorders>
            <w:shd w:val="clear" w:color="auto" w:fill="auto"/>
            <w:noWrap/>
            <w:vAlign w:val="center"/>
            <w:hideMark/>
          </w:tcPr>
          <w:p w14:paraId="7903BD1D"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680 </w:t>
            </w:r>
          </w:p>
        </w:tc>
      </w:tr>
      <w:tr w:rsidR="003712EB" w:rsidRPr="003712EB" w14:paraId="7295DE1E" w14:textId="77777777" w:rsidTr="00446A14">
        <w:trPr>
          <w:trHeight w:val="238"/>
        </w:trPr>
        <w:tc>
          <w:tcPr>
            <w:tcW w:w="2963" w:type="pct"/>
            <w:tcBorders>
              <w:top w:val="nil"/>
              <w:left w:val="nil"/>
              <w:bottom w:val="nil"/>
              <w:right w:val="nil"/>
            </w:tcBorders>
            <w:shd w:val="clear" w:color="auto" w:fill="auto"/>
            <w:noWrap/>
            <w:vAlign w:val="center"/>
            <w:hideMark/>
          </w:tcPr>
          <w:p w14:paraId="4932ED1E" w14:textId="77777777" w:rsidR="003712EB" w:rsidRPr="003712EB" w:rsidRDefault="003712EB" w:rsidP="003712EB">
            <w:pPr>
              <w:spacing w:after="0" w:line="240" w:lineRule="auto"/>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Recursos Capitalizáveis - AFAC</w:t>
            </w:r>
          </w:p>
        </w:tc>
        <w:tc>
          <w:tcPr>
            <w:tcW w:w="679" w:type="pct"/>
            <w:tcBorders>
              <w:top w:val="nil"/>
              <w:left w:val="single" w:sz="4" w:space="0" w:color="3616F6"/>
              <w:bottom w:val="nil"/>
              <w:right w:val="nil"/>
            </w:tcBorders>
            <w:shd w:val="clear" w:color="000000" w:fill="75F6F9"/>
            <w:vAlign w:val="center"/>
            <w:hideMark/>
          </w:tcPr>
          <w:p w14:paraId="41BF8418"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1.740.318 </w:t>
            </w:r>
          </w:p>
        </w:tc>
        <w:tc>
          <w:tcPr>
            <w:tcW w:w="679" w:type="pct"/>
            <w:tcBorders>
              <w:top w:val="nil"/>
              <w:left w:val="single" w:sz="4" w:space="0" w:color="3616F6"/>
              <w:bottom w:val="nil"/>
              <w:right w:val="single" w:sz="4" w:space="0" w:color="3616F6"/>
            </w:tcBorders>
            <w:shd w:val="clear" w:color="auto" w:fill="auto"/>
            <w:vAlign w:val="center"/>
            <w:hideMark/>
          </w:tcPr>
          <w:p w14:paraId="6B3B71A5"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1.497.496 </w:t>
            </w:r>
          </w:p>
        </w:tc>
        <w:tc>
          <w:tcPr>
            <w:tcW w:w="679" w:type="pct"/>
            <w:tcBorders>
              <w:top w:val="nil"/>
              <w:left w:val="nil"/>
              <w:bottom w:val="nil"/>
              <w:right w:val="nil"/>
            </w:tcBorders>
            <w:shd w:val="clear" w:color="auto" w:fill="auto"/>
            <w:noWrap/>
            <w:vAlign w:val="center"/>
            <w:hideMark/>
          </w:tcPr>
          <w:p w14:paraId="6283BA7B"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1.614.224 </w:t>
            </w:r>
          </w:p>
        </w:tc>
      </w:tr>
      <w:tr w:rsidR="003712EB" w:rsidRPr="003712EB" w14:paraId="13B140DE" w14:textId="77777777" w:rsidTr="00446A14">
        <w:trPr>
          <w:trHeight w:val="238"/>
        </w:trPr>
        <w:tc>
          <w:tcPr>
            <w:tcW w:w="2963" w:type="pct"/>
            <w:tcBorders>
              <w:top w:val="nil"/>
              <w:left w:val="nil"/>
              <w:bottom w:val="nil"/>
              <w:right w:val="nil"/>
            </w:tcBorders>
            <w:shd w:val="clear" w:color="auto" w:fill="auto"/>
            <w:noWrap/>
            <w:vAlign w:val="center"/>
            <w:hideMark/>
          </w:tcPr>
          <w:p w14:paraId="7A771224" w14:textId="77777777" w:rsidR="003712EB" w:rsidRPr="003712EB" w:rsidRDefault="003712EB" w:rsidP="003712EB">
            <w:pPr>
              <w:spacing w:after="0" w:line="240" w:lineRule="auto"/>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Receitas Diferidas</w:t>
            </w:r>
          </w:p>
        </w:tc>
        <w:tc>
          <w:tcPr>
            <w:tcW w:w="679" w:type="pct"/>
            <w:tcBorders>
              <w:top w:val="nil"/>
              <w:left w:val="single" w:sz="4" w:space="0" w:color="3616F6"/>
              <w:bottom w:val="nil"/>
              <w:right w:val="nil"/>
            </w:tcBorders>
            <w:shd w:val="clear" w:color="000000" w:fill="75F6F9"/>
            <w:vAlign w:val="center"/>
            <w:hideMark/>
          </w:tcPr>
          <w:p w14:paraId="44FFE8FD"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310.085 </w:t>
            </w:r>
          </w:p>
        </w:tc>
        <w:tc>
          <w:tcPr>
            <w:tcW w:w="679" w:type="pct"/>
            <w:tcBorders>
              <w:top w:val="nil"/>
              <w:left w:val="single" w:sz="4" w:space="0" w:color="3616F6"/>
              <w:bottom w:val="nil"/>
              <w:right w:val="single" w:sz="4" w:space="0" w:color="3616F6"/>
            </w:tcBorders>
            <w:shd w:val="clear" w:color="auto" w:fill="auto"/>
            <w:vAlign w:val="center"/>
            <w:hideMark/>
          </w:tcPr>
          <w:p w14:paraId="2899F9C5"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346.566 </w:t>
            </w:r>
          </w:p>
        </w:tc>
        <w:tc>
          <w:tcPr>
            <w:tcW w:w="679" w:type="pct"/>
            <w:tcBorders>
              <w:top w:val="nil"/>
              <w:left w:val="nil"/>
              <w:bottom w:val="nil"/>
              <w:right w:val="nil"/>
            </w:tcBorders>
            <w:shd w:val="clear" w:color="auto" w:fill="auto"/>
            <w:noWrap/>
            <w:vAlign w:val="center"/>
            <w:hideMark/>
          </w:tcPr>
          <w:p w14:paraId="360FB576"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383.047 </w:t>
            </w:r>
          </w:p>
        </w:tc>
      </w:tr>
      <w:tr w:rsidR="003712EB" w:rsidRPr="003712EB" w14:paraId="798146AF" w14:textId="77777777" w:rsidTr="00446A14">
        <w:trPr>
          <w:trHeight w:val="238"/>
        </w:trPr>
        <w:tc>
          <w:tcPr>
            <w:tcW w:w="2963" w:type="pct"/>
            <w:tcBorders>
              <w:top w:val="single" w:sz="4" w:space="0" w:color="3616F6"/>
              <w:left w:val="nil"/>
              <w:bottom w:val="single" w:sz="4" w:space="0" w:color="3616F6"/>
              <w:right w:val="nil"/>
            </w:tcBorders>
            <w:shd w:val="clear" w:color="auto" w:fill="auto"/>
            <w:noWrap/>
            <w:vAlign w:val="center"/>
            <w:hideMark/>
          </w:tcPr>
          <w:p w14:paraId="121245B0" w14:textId="77777777" w:rsidR="003712EB" w:rsidRPr="003712EB" w:rsidRDefault="003712EB" w:rsidP="003712EB">
            <w:pPr>
              <w:spacing w:after="0" w:line="240" w:lineRule="auto"/>
              <w:rPr>
                <w:rFonts w:ascii="Arial" w:eastAsia="Times New Roman" w:hAnsi="Arial" w:cs="Arial"/>
                <w:b/>
                <w:bCs/>
                <w:color w:val="000000"/>
                <w:kern w:val="0"/>
                <w:sz w:val="16"/>
                <w:szCs w:val="16"/>
                <w:lang w:eastAsia="pt-BR"/>
                <w14:ligatures w14:val="none"/>
              </w:rPr>
            </w:pPr>
            <w:r w:rsidRPr="003712EB">
              <w:rPr>
                <w:rFonts w:ascii="Arial" w:eastAsia="Times New Roman" w:hAnsi="Arial" w:cs="Arial"/>
                <w:b/>
                <w:bCs/>
                <w:color w:val="000000"/>
                <w:kern w:val="0"/>
                <w:sz w:val="16"/>
                <w:szCs w:val="16"/>
                <w:lang w:eastAsia="pt-BR"/>
                <w14:ligatures w14:val="none"/>
              </w:rPr>
              <w:t xml:space="preserve">Patrimônio Líquido </w:t>
            </w:r>
          </w:p>
        </w:tc>
        <w:tc>
          <w:tcPr>
            <w:tcW w:w="679" w:type="pct"/>
            <w:tcBorders>
              <w:top w:val="single" w:sz="4" w:space="0" w:color="3616F6"/>
              <w:left w:val="single" w:sz="4" w:space="0" w:color="3616F6"/>
              <w:bottom w:val="single" w:sz="4" w:space="0" w:color="3616F6"/>
              <w:right w:val="nil"/>
            </w:tcBorders>
            <w:shd w:val="clear" w:color="000000" w:fill="75F6F9"/>
            <w:vAlign w:val="center"/>
            <w:hideMark/>
          </w:tcPr>
          <w:p w14:paraId="62083DE3" w14:textId="77777777" w:rsidR="003712EB" w:rsidRPr="003712EB" w:rsidRDefault="003712EB" w:rsidP="003712EB">
            <w:pPr>
              <w:spacing w:after="0" w:line="240" w:lineRule="auto"/>
              <w:jc w:val="right"/>
              <w:rPr>
                <w:rFonts w:ascii="Arial" w:eastAsia="Times New Roman" w:hAnsi="Arial" w:cs="Arial"/>
                <w:b/>
                <w:bCs/>
                <w:color w:val="000000"/>
                <w:kern w:val="0"/>
                <w:sz w:val="16"/>
                <w:szCs w:val="16"/>
                <w:lang w:eastAsia="pt-BR"/>
                <w14:ligatures w14:val="none"/>
              </w:rPr>
            </w:pPr>
            <w:r w:rsidRPr="003712EB">
              <w:rPr>
                <w:rFonts w:ascii="Arial" w:eastAsia="Times New Roman" w:hAnsi="Arial" w:cs="Arial"/>
                <w:b/>
                <w:bCs/>
                <w:color w:val="000000"/>
                <w:kern w:val="0"/>
                <w:sz w:val="16"/>
                <w:szCs w:val="16"/>
                <w:lang w:eastAsia="pt-BR"/>
                <w14:ligatures w14:val="none"/>
              </w:rPr>
              <w:t xml:space="preserve">   1.425.651 </w:t>
            </w:r>
          </w:p>
        </w:tc>
        <w:tc>
          <w:tcPr>
            <w:tcW w:w="679" w:type="pct"/>
            <w:tcBorders>
              <w:top w:val="single" w:sz="4" w:space="0" w:color="3616F6"/>
              <w:left w:val="single" w:sz="4" w:space="0" w:color="3616F6"/>
              <w:bottom w:val="single" w:sz="4" w:space="0" w:color="3616F6"/>
              <w:right w:val="single" w:sz="4" w:space="0" w:color="3616F6"/>
            </w:tcBorders>
            <w:shd w:val="clear" w:color="auto" w:fill="auto"/>
            <w:noWrap/>
            <w:vAlign w:val="center"/>
            <w:hideMark/>
          </w:tcPr>
          <w:p w14:paraId="713B1C35" w14:textId="77777777" w:rsidR="003712EB" w:rsidRPr="003712EB" w:rsidRDefault="003712EB" w:rsidP="003712EB">
            <w:pPr>
              <w:spacing w:after="0" w:line="240" w:lineRule="auto"/>
              <w:jc w:val="right"/>
              <w:rPr>
                <w:rFonts w:ascii="Arial" w:eastAsia="Times New Roman" w:hAnsi="Arial" w:cs="Arial"/>
                <w:b/>
                <w:bCs/>
                <w:color w:val="000000"/>
                <w:kern w:val="0"/>
                <w:sz w:val="16"/>
                <w:szCs w:val="16"/>
                <w:lang w:eastAsia="pt-BR"/>
                <w14:ligatures w14:val="none"/>
              </w:rPr>
            </w:pPr>
            <w:r w:rsidRPr="003712EB">
              <w:rPr>
                <w:rFonts w:ascii="Arial" w:eastAsia="Times New Roman" w:hAnsi="Arial" w:cs="Arial"/>
                <w:b/>
                <w:bCs/>
                <w:color w:val="000000"/>
                <w:kern w:val="0"/>
                <w:sz w:val="16"/>
                <w:szCs w:val="16"/>
                <w:lang w:eastAsia="pt-BR"/>
                <w14:ligatures w14:val="none"/>
              </w:rPr>
              <w:t xml:space="preserve">   1.555.103 </w:t>
            </w:r>
          </w:p>
        </w:tc>
        <w:tc>
          <w:tcPr>
            <w:tcW w:w="679" w:type="pct"/>
            <w:tcBorders>
              <w:top w:val="single" w:sz="4" w:space="0" w:color="3616F6"/>
              <w:left w:val="nil"/>
              <w:bottom w:val="single" w:sz="4" w:space="0" w:color="3616F6"/>
              <w:right w:val="nil"/>
            </w:tcBorders>
            <w:shd w:val="clear" w:color="auto" w:fill="auto"/>
            <w:noWrap/>
            <w:vAlign w:val="center"/>
            <w:hideMark/>
          </w:tcPr>
          <w:p w14:paraId="03B608EE" w14:textId="77777777" w:rsidR="003712EB" w:rsidRPr="003712EB" w:rsidRDefault="003712EB" w:rsidP="003712EB">
            <w:pPr>
              <w:spacing w:after="0" w:line="240" w:lineRule="auto"/>
              <w:jc w:val="right"/>
              <w:rPr>
                <w:rFonts w:ascii="Arial" w:eastAsia="Times New Roman" w:hAnsi="Arial" w:cs="Arial"/>
                <w:b/>
                <w:bCs/>
                <w:color w:val="000000"/>
                <w:kern w:val="0"/>
                <w:sz w:val="16"/>
                <w:szCs w:val="16"/>
                <w:lang w:eastAsia="pt-BR"/>
                <w14:ligatures w14:val="none"/>
              </w:rPr>
            </w:pPr>
            <w:r w:rsidRPr="003712EB">
              <w:rPr>
                <w:rFonts w:ascii="Arial" w:eastAsia="Times New Roman" w:hAnsi="Arial" w:cs="Arial"/>
                <w:b/>
                <w:bCs/>
                <w:color w:val="000000"/>
                <w:kern w:val="0"/>
                <w:sz w:val="16"/>
                <w:szCs w:val="16"/>
                <w:lang w:eastAsia="pt-BR"/>
                <w14:ligatures w14:val="none"/>
              </w:rPr>
              <w:t xml:space="preserve">   1.397.013 </w:t>
            </w:r>
          </w:p>
        </w:tc>
      </w:tr>
      <w:tr w:rsidR="003712EB" w:rsidRPr="003712EB" w14:paraId="04CAFB27" w14:textId="77777777" w:rsidTr="00446A14">
        <w:trPr>
          <w:trHeight w:val="238"/>
        </w:trPr>
        <w:tc>
          <w:tcPr>
            <w:tcW w:w="2963" w:type="pct"/>
            <w:tcBorders>
              <w:top w:val="nil"/>
              <w:left w:val="nil"/>
              <w:bottom w:val="nil"/>
              <w:right w:val="nil"/>
            </w:tcBorders>
            <w:shd w:val="clear" w:color="auto" w:fill="auto"/>
            <w:noWrap/>
            <w:vAlign w:val="center"/>
            <w:hideMark/>
          </w:tcPr>
          <w:p w14:paraId="6F819890" w14:textId="77777777" w:rsidR="003712EB" w:rsidRPr="003712EB" w:rsidRDefault="003712EB" w:rsidP="003712EB">
            <w:pPr>
              <w:spacing w:after="0" w:line="240" w:lineRule="auto"/>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Capital Social</w:t>
            </w:r>
          </w:p>
        </w:tc>
        <w:tc>
          <w:tcPr>
            <w:tcW w:w="679" w:type="pct"/>
            <w:tcBorders>
              <w:top w:val="nil"/>
              <w:left w:val="single" w:sz="4" w:space="0" w:color="3616F6"/>
              <w:bottom w:val="nil"/>
              <w:right w:val="nil"/>
            </w:tcBorders>
            <w:shd w:val="clear" w:color="000000" w:fill="75F6F9"/>
            <w:vAlign w:val="center"/>
            <w:hideMark/>
          </w:tcPr>
          <w:p w14:paraId="59C6C937"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3.474.498 </w:t>
            </w:r>
          </w:p>
        </w:tc>
        <w:tc>
          <w:tcPr>
            <w:tcW w:w="679" w:type="pct"/>
            <w:tcBorders>
              <w:top w:val="nil"/>
              <w:left w:val="single" w:sz="4" w:space="0" w:color="3616F6"/>
              <w:bottom w:val="nil"/>
              <w:right w:val="single" w:sz="4" w:space="0" w:color="3616F6"/>
            </w:tcBorders>
            <w:shd w:val="clear" w:color="auto" w:fill="auto"/>
            <w:vAlign w:val="center"/>
            <w:hideMark/>
          </w:tcPr>
          <w:p w14:paraId="3A223B64"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3.474.498 </w:t>
            </w:r>
          </w:p>
        </w:tc>
        <w:tc>
          <w:tcPr>
            <w:tcW w:w="679" w:type="pct"/>
            <w:tcBorders>
              <w:top w:val="nil"/>
              <w:left w:val="nil"/>
              <w:bottom w:val="nil"/>
              <w:right w:val="nil"/>
            </w:tcBorders>
            <w:shd w:val="clear" w:color="auto" w:fill="auto"/>
            <w:noWrap/>
            <w:vAlign w:val="center"/>
            <w:hideMark/>
          </w:tcPr>
          <w:p w14:paraId="4E4D4132"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3.107.339 </w:t>
            </w:r>
          </w:p>
        </w:tc>
      </w:tr>
      <w:tr w:rsidR="003712EB" w:rsidRPr="003712EB" w14:paraId="3FE35B26" w14:textId="77777777" w:rsidTr="00446A14">
        <w:trPr>
          <w:trHeight w:val="238"/>
        </w:trPr>
        <w:tc>
          <w:tcPr>
            <w:tcW w:w="2963" w:type="pct"/>
            <w:tcBorders>
              <w:top w:val="nil"/>
              <w:left w:val="nil"/>
              <w:bottom w:val="nil"/>
              <w:right w:val="nil"/>
            </w:tcBorders>
            <w:shd w:val="clear" w:color="auto" w:fill="auto"/>
            <w:noWrap/>
            <w:vAlign w:val="center"/>
            <w:hideMark/>
          </w:tcPr>
          <w:p w14:paraId="7A11AE6D" w14:textId="77777777" w:rsidR="003712EB" w:rsidRPr="003712EB" w:rsidRDefault="003712EB" w:rsidP="003712EB">
            <w:pPr>
              <w:spacing w:after="0" w:line="240" w:lineRule="auto"/>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Prejuízos Acumulados</w:t>
            </w:r>
          </w:p>
        </w:tc>
        <w:tc>
          <w:tcPr>
            <w:tcW w:w="679" w:type="pct"/>
            <w:tcBorders>
              <w:top w:val="nil"/>
              <w:left w:val="single" w:sz="4" w:space="0" w:color="3616F6"/>
              <w:bottom w:val="nil"/>
              <w:right w:val="nil"/>
            </w:tcBorders>
            <w:shd w:val="clear" w:color="000000" w:fill="75F6F9"/>
            <w:vAlign w:val="center"/>
            <w:hideMark/>
          </w:tcPr>
          <w:p w14:paraId="135D92B2"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(2.073.212)</w:t>
            </w:r>
          </w:p>
        </w:tc>
        <w:tc>
          <w:tcPr>
            <w:tcW w:w="679" w:type="pct"/>
            <w:tcBorders>
              <w:top w:val="nil"/>
              <w:left w:val="single" w:sz="4" w:space="0" w:color="3616F6"/>
              <w:bottom w:val="nil"/>
              <w:right w:val="single" w:sz="4" w:space="0" w:color="3616F6"/>
            </w:tcBorders>
            <w:shd w:val="clear" w:color="auto" w:fill="auto"/>
            <w:vAlign w:val="center"/>
            <w:hideMark/>
          </w:tcPr>
          <w:p w14:paraId="07D17D53"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(1.945.855)</w:t>
            </w:r>
          </w:p>
        </w:tc>
        <w:tc>
          <w:tcPr>
            <w:tcW w:w="679" w:type="pct"/>
            <w:tcBorders>
              <w:top w:val="nil"/>
              <w:left w:val="nil"/>
              <w:right w:val="nil"/>
            </w:tcBorders>
            <w:shd w:val="clear" w:color="auto" w:fill="auto"/>
            <w:noWrap/>
            <w:vAlign w:val="center"/>
            <w:hideMark/>
          </w:tcPr>
          <w:p w14:paraId="0AC197A5"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(1.743.593)</w:t>
            </w:r>
          </w:p>
        </w:tc>
      </w:tr>
      <w:tr w:rsidR="003712EB" w:rsidRPr="003712EB" w14:paraId="038BEAAD" w14:textId="77777777" w:rsidTr="00446A14">
        <w:trPr>
          <w:trHeight w:val="238"/>
        </w:trPr>
        <w:tc>
          <w:tcPr>
            <w:tcW w:w="2963" w:type="pct"/>
            <w:tcBorders>
              <w:top w:val="nil"/>
              <w:left w:val="nil"/>
              <w:right w:val="nil"/>
            </w:tcBorders>
            <w:shd w:val="clear" w:color="auto" w:fill="auto"/>
            <w:noWrap/>
            <w:vAlign w:val="center"/>
            <w:hideMark/>
          </w:tcPr>
          <w:p w14:paraId="102CA237" w14:textId="77777777" w:rsidR="003712EB" w:rsidRPr="003712EB" w:rsidRDefault="003712EB" w:rsidP="003712EB">
            <w:pPr>
              <w:spacing w:after="0" w:line="240" w:lineRule="auto"/>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Ajustes de Avaliação Patrimonial</w:t>
            </w:r>
          </w:p>
        </w:tc>
        <w:tc>
          <w:tcPr>
            <w:tcW w:w="679" w:type="pct"/>
            <w:tcBorders>
              <w:top w:val="nil"/>
              <w:left w:val="single" w:sz="4" w:space="0" w:color="3616F6"/>
              <w:right w:val="nil"/>
            </w:tcBorders>
            <w:shd w:val="clear" w:color="000000" w:fill="75F6F9"/>
            <w:vAlign w:val="center"/>
            <w:hideMark/>
          </w:tcPr>
          <w:p w14:paraId="1B57D08E"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24.476 </w:t>
            </w:r>
          </w:p>
        </w:tc>
        <w:tc>
          <w:tcPr>
            <w:tcW w:w="679" w:type="pct"/>
            <w:tcBorders>
              <w:top w:val="nil"/>
              <w:left w:val="single" w:sz="4" w:space="0" w:color="3616F6"/>
              <w:right w:val="single" w:sz="4" w:space="0" w:color="3616F6"/>
            </w:tcBorders>
            <w:shd w:val="clear" w:color="auto" w:fill="auto"/>
            <w:vAlign w:val="center"/>
            <w:hideMark/>
          </w:tcPr>
          <w:p w14:paraId="12E89062"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26.571 </w:t>
            </w:r>
          </w:p>
        </w:tc>
        <w:tc>
          <w:tcPr>
            <w:tcW w:w="679" w:type="pct"/>
            <w:tcBorders>
              <w:top w:val="nil"/>
              <w:left w:val="nil"/>
            </w:tcBorders>
            <w:shd w:val="clear" w:color="auto" w:fill="auto"/>
            <w:noWrap/>
            <w:vAlign w:val="center"/>
            <w:hideMark/>
          </w:tcPr>
          <w:p w14:paraId="7EF7CD4C"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33.378 </w:t>
            </w:r>
          </w:p>
        </w:tc>
      </w:tr>
      <w:tr w:rsidR="003712EB" w:rsidRPr="003712EB" w14:paraId="13467B43" w14:textId="77777777" w:rsidTr="00446A14">
        <w:trPr>
          <w:trHeight w:val="238"/>
        </w:trPr>
        <w:tc>
          <w:tcPr>
            <w:tcW w:w="2963" w:type="pct"/>
            <w:tcBorders>
              <w:top w:val="nil"/>
              <w:left w:val="nil"/>
              <w:bottom w:val="dashed" w:sz="4" w:space="0" w:color="0000FF"/>
              <w:right w:val="nil"/>
            </w:tcBorders>
            <w:shd w:val="clear" w:color="auto" w:fill="auto"/>
            <w:noWrap/>
            <w:vAlign w:val="center"/>
            <w:hideMark/>
          </w:tcPr>
          <w:p w14:paraId="29B6B150" w14:textId="77777777" w:rsidR="003712EB" w:rsidRPr="003712EB" w:rsidRDefault="003712EB" w:rsidP="003712EB">
            <w:pPr>
              <w:spacing w:after="0" w:line="240" w:lineRule="auto"/>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Ações em Tesouraria</w:t>
            </w:r>
          </w:p>
        </w:tc>
        <w:tc>
          <w:tcPr>
            <w:tcW w:w="679" w:type="pct"/>
            <w:tcBorders>
              <w:top w:val="nil"/>
              <w:left w:val="single" w:sz="4" w:space="0" w:color="3616F6"/>
              <w:bottom w:val="dashed" w:sz="4" w:space="0" w:color="0000FF"/>
              <w:right w:val="nil"/>
            </w:tcBorders>
            <w:shd w:val="clear" w:color="000000" w:fill="75F6F9"/>
            <w:vAlign w:val="center"/>
            <w:hideMark/>
          </w:tcPr>
          <w:p w14:paraId="60BD01F5"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(111)</w:t>
            </w:r>
          </w:p>
        </w:tc>
        <w:tc>
          <w:tcPr>
            <w:tcW w:w="679" w:type="pct"/>
            <w:tcBorders>
              <w:top w:val="nil"/>
              <w:left w:val="single" w:sz="4" w:space="0" w:color="3616F6"/>
              <w:bottom w:val="dashed" w:sz="4" w:space="0" w:color="0000FF"/>
              <w:right w:val="single" w:sz="4" w:space="0" w:color="3616F6"/>
            </w:tcBorders>
            <w:shd w:val="clear" w:color="auto" w:fill="auto"/>
            <w:vAlign w:val="center"/>
            <w:hideMark/>
          </w:tcPr>
          <w:p w14:paraId="4E01012D"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(111)</w:t>
            </w:r>
          </w:p>
        </w:tc>
        <w:tc>
          <w:tcPr>
            <w:tcW w:w="679" w:type="pct"/>
            <w:tcBorders>
              <w:top w:val="nil"/>
              <w:left w:val="nil"/>
              <w:bottom w:val="dashed" w:sz="4" w:space="0" w:color="0000FF"/>
            </w:tcBorders>
            <w:shd w:val="clear" w:color="auto" w:fill="auto"/>
            <w:noWrap/>
            <w:vAlign w:val="center"/>
            <w:hideMark/>
          </w:tcPr>
          <w:p w14:paraId="1796E7C7" w14:textId="77777777" w:rsidR="003712EB" w:rsidRPr="003712EB" w:rsidRDefault="003712EB" w:rsidP="003712EB">
            <w:pPr>
              <w:spacing w:after="0" w:line="240" w:lineRule="auto"/>
              <w:jc w:val="right"/>
              <w:rPr>
                <w:rFonts w:ascii="Arial" w:eastAsia="Times New Roman" w:hAnsi="Arial" w:cs="Arial"/>
                <w:color w:val="000000"/>
                <w:kern w:val="0"/>
                <w:sz w:val="16"/>
                <w:szCs w:val="16"/>
                <w:lang w:eastAsia="pt-BR"/>
                <w14:ligatures w14:val="none"/>
              </w:rPr>
            </w:pPr>
            <w:r w:rsidRPr="003712EB">
              <w:rPr>
                <w:rFonts w:ascii="Arial" w:eastAsia="Times New Roman" w:hAnsi="Arial" w:cs="Arial"/>
                <w:color w:val="000000"/>
                <w:kern w:val="0"/>
                <w:sz w:val="16"/>
                <w:szCs w:val="16"/>
                <w:lang w:eastAsia="pt-BR"/>
                <w14:ligatures w14:val="none"/>
              </w:rPr>
              <w:t xml:space="preserve">            (111)</w:t>
            </w:r>
          </w:p>
        </w:tc>
      </w:tr>
    </w:tbl>
    <w:p w14:paraId="05964908" w14:textId="77777777" w:rsidR="003712EB" w:rsidRDefault="003712EB" w:rsidP="003712EB">
      <w:pPr>
        <w:spacing w:after="0" w:line="240" w:lineRule="auto"/>
        <w:jc w:val="both"/>
        <w:rPr>
          <w:rFonts w:ascii="Calibri" w:eastAsia="Times New Roman" w:hAnsi="Calibri" w:cs="Calibri"/>
          <w:b/>
          <w:color w:val="002060"/>
          <w:kern w:val="0"/>
          <w:u w:val="single"/>
          <w14:ligatures w14:val="none"/>
        </w:rPr>
      </w:pPr>
    </w:p>
    <w:p w14:paraId="55B2C4CB" w14:textId="64F2CF21" w:rsidR="003712EB" w:rsidRDefault="003712EB" w:rsidP="003712EB">
      <w:pPr>
        <w:spacing w:after="0" w:line="240" w:lineRule="auto"/>
        <w:jc w:val="both"/>
        <w:rPr>
          <w:rFonts w:ascii="Calibri" w:eastAsia="Times New Roman" w:hAnsi="Calibri" w:cs="Calibri"/>
          <w:b/>
          <w:color w:val="002060"/>
          <w:kern w:val="0"/>
          <w:u w:val="single"/>
          <w14:ligatures w14:val="none"/>
        </w:rPr>
      </w:pPr>
      <w:r w:rsidRPr="003712EB">
        <w:rPr>
          <w:rFonts w:ascii="Calibri" w:eastAsia="Times New Roman" w:hAnsi="Calibri" w:cs="Calibri"/>
          <w:b/>
          <w:color w:val="002060"/>
          <w:kern w:val="0"/>
          <w:u w:val="single"/>
          <w14:ligatures w14:val="none"/>
        </w:rPr>
        <w:t>Demonstração dos Fluxos de Caixa</w:t>
      </w:r>
    </w:p>
    <w:tbl>
      <w:tblPr>
        <w:tblW w:w="5000" w:type="pct"/>
        <w:tblCellMar>
          <w:left w:w="70" w:type="dxa"/>
          <w:right w:w="70" w:type="dxa"/>
        </w:tblCellMar>
        <w:tblLook w:val="04A0" w:firstRow="1" w:lastRow="0" w:firstColumn="1" w:lastColumn="0" w:noHBand="0" w:noVBand="1"/>
      </w:tblPr>
      <w:tblGrid>
        <w:gridCol w:w="5356"/>
        <w:gridCol w:w="901"/>
        <w:gridCol w:w="901"/>
        <w:gridCol w:w="901"/>
        <w:gridCol w:w="146"/>
        <w:gridCol w:w="788"/>
        <w:gridCol w:w="788"/>
      </w:tblGrid>
      <w:tr w:rsidR="003712EB" w:rsidRPr="003712EB" w14:paraId="0E25F26D" w14:textId="77777777" w:rsidTr="00446A14">
        <w:trPr>
          <w:trHeight w:val="198"/>
        </w:trPr>
        <w:tc>
          <w:tcPr>
            <w:tcW w:w="2835" w:type="pct"/>
            <w:tcBorders>
              <w:top w:val="nil"/>
              <w:left w:val="nil"/>
              <w:bottom w:val="nil"/>
              <w:right w:val="nil"/>
            </w:tcBorders>
            <w:shd w:val="clear" w:color="auto" w:fill="auto"/>
            <w:noWrap/>
            <w:vAlign w:val="bottom"/>
            <w:hideMark/>
          </w:tcPr>
          <w:p w14:paraId="1B0C3045" w14:textId="77777777" w:rsidR="003712EB" w:rsidRPr="003712EB" w:rsidRDefault="003712EB" w:rsidP="003712EB">
            <w:pPr>
              <w:spacing w:after="0" w:line="240" w:lineRule="auto"/>
              <w:rPr>
                <w:rFonts w:ascii="Times New Roman" w:eastAsia="Times New Roman" w:hAnsi="Times New Roman" w:cs="Times New Roman"/>
                <w:kern w:val="0"/>
                <w:sz w:val="14"/>
                <w:szCs w:val="14"/>
                <w:lang w:eastAsia="pt-BR"/>
                <w14:ligatures w14:val="none"/>
              </w:rPr>
            </w:pPr>
          </w:p>
        </w:tc>
        <w:tc>
          <w:tcPr>
            <w:tcW w:w="1324" w:type="pct"/>
            <w:gridSpan w:val="3"/>
            <w:tcBorders>
              <w:top w:val="nil"/>
              <w:left w:val="nil"/>
              <w:bottom w:val="single" w:sz="8" w:space="0" w:color="auto"/>
              <w:right w:val="nil"/>
            </w:tcBorders>
            <w:shd w:val="clear" w:color="auto" w:fill="auto"/>
            <w:noWrap/>
            <w:vAlign w:val="center"/>
            <w:hideMark/>
          </w:tcPr>
          <w:p w14:paraId="3DA4858F" w14:textId="77777777" w:rsidR="003712EB" w:rsidRPr="003712EB" w:rsidRDefault="003712EB" w:rsidP="003712EB">
            <w:pPr>
              <w:spacing w:after="0" w:line="240" w:lineRule="auto"/>
              <w:jc w:val="center"/>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Trimestres</w:t>
            </w:r>
          </w:p>
        </w:tc>
        <w:tc>
          <w:tcPr>
            <w:tcW w:w="70" w:type="pct"/>
            <w:tcBorders>
              <w:top w:val="nil"/>
              <w:left w:val="nil"/>
              <w:bottom w:val="nil"/>
              <w:right w:val="nil"/>
            </w:tcBorders>
            <w:shd w:val="clear" w:color="auto" w:fill="auto"/>
            <w:noWrap/>
            <w:vAlign w:val="center"/>
            <w:hideMark/>
          </w:tcPr>
          <w:p w14:paraId="6BA48528" w14:textId="77777777" w:rsidR="003712EB" w:rsidRPr="003712EB" w:rsidRDefault="003712EB" w:rsidP="003712EB">
            <w:pPr>
              <w:spacing w:after="0" w:line="240" w:lineRule="auto"/>
              <w:jc w:val="center"/>
              <w:rPr>
                <w:rFonts w:ascii="Arial" w:eastAsia="Times New Roman" w:hAnsi="Arial" w:cs="Arial"/>
                <w:b/>
                <w:bCs/>
                <w:color w:val="000000"/>
                <w:kern w:val="0"/>
                <w:sz w:val="14"/>
                <w:szCs w:val="14"/>
                <w:lang w:eastAsia="pt-BR"/>
                <w14:ligatures w14:val="none"/>
              </w:rPr>
            </w:pPr>
          </w:p>
        </w:tc>
        <w:tc>
          <w:tcPr>
            <w:tcW w:w="386" w:type="pct"/>
            <w:tcBorders>
              <w:top w:val="nil"/>
              <w:left w:val="nil"/>
              <w:bottom w:val="nil"/>
              <w:right w:val="nil"/>
            </w:tcBorders>
            <w:shd w:val="clear" w:color="auto" w:fill="auto"/>
            <w:noWrap/>
            <w:vAlign w:val="center"/>
            <w:hideMark/>
          </w:tcPr>
          <w:p w14:paraId="219530F1" w14:textId="77777777" w:rsidR="003712EB" w:rsidRPr="003712EB" w:rsidRDefault="003712EB" w:rsidP="003712EB">
            <w:pPr>
              <w:spacing w:after="0" w:line="240" w:lineRule="auto"/>
              <w:jc w:val="center"/>
              <w:rPr>
                <w:rFonts w:ascii="Times New Roman" w:eastAsia="Times New Roman" w:hAnsi="Times New Roman" w:cs="Times New Roman"/>
                <w:kern w:val="0"/>
                <w:sz w:val="14"/>
                <w:szCs w:val="14"/>
                <w:lang w:eastAsia="pt-BR"/>
                <w14:ligatures w14:val="none"/>
              </w:rPr>
            </w:pPr>
          </w:p>
        </w:tc>
        <w:tc>
          <w:tcPr>
            <w:tcW w:w="386" w:type="pct"/>
            <w:tcBorders>
              <w:top w:val="nil"/>
              <w:left w:val="nil"/>
              <w:bottom w:val="nil"/>
              <w:right w:val="nil"/>
            </w:tcBorders>
            <w:shd w:val="clear" w:color="auto" w:fill="auto"/>
            <w:noWrap/>
            <w:vAlign w:val="center"/>
            <w:hideMark/>
          </w:tcPr>
          <w:p w14:paraId="7383461E" w14:textId="77777777" w:rsidR="003712EB" w:rsidRPr="003712EB" w:rsidRDefault="003712EB" w:rsidP="003712EB">
            <w:pPr>
              <w:spacing w:after="0" w:line="240" w:lineRule="auto"/>
              <w:jc w:val="center"/>
              <w:rPr>
                <w:rFonts w:ascii="Times New Roman" w:eastAsia="Times New Roman" w:hAnsi="Times New Roman" w:cs="Times New Roman"/>
                <w:kern w:val="0"/>
                <w:sz w:val="14"/>
                <w:szCs w:val="14"/>
                <w:lang w:eastAsia="pt-BR"/>
                <w14:ligatures w14:val="none"/>
              </w:rPr>
            </w:pPr>
          </w:p>
        </w:tc>
      </w:tr>
      <w:tr w:rsidR="003712EB" w:rsidRPr="003712EB" w14:paraId="4680BEA3" w14:textId="77777777" w:rsidTr="00446A14">
        <w:trPr>
          <w:trHeight w:val="40"/>
        </w:trPr>
        <w:tc>
          <w:tcPr>
            <w:tcW w:w="2835" w:type="pct"/>
            <w:tcBorders>
              <w:top w:val="nil"/>
              <w:left w:val="nil"/>
              <w:bottom w:val="nil"/>
              <w:right w:val="nil"/>
            </w:tcBorders>
            <w:shd w:val="clear" w:color="auto" w:fill="auto"/>
            <w:noWrap/>
            <w:vAlign w:val="bottom"/>
            <w:hideMark/>
          </w:tcPr>
          <w:p w14:paraId="60D1E715" w14:textId="77777777" w:rsidR="003712EB" w:rsidRPr="003712EB" w:rsidRDefault="003712EB" w:rsidP="003712EB">
            <w:pPr>
              <w:spacing w:after="0" w:line="240" w:lineRule="auto"/>
              <w:jc w:val="center"/>
              <w:rPr>
                <w:rFonts w:ascii="Times New Roman" w:eastAsia="Times New Roman" w:hAnsi="Times New Roman" w:cs="Times New Roman"/>
                <w:kern w:val="0"/>
                <w:sz w:val="14"/>
                <w:szCs w:val="14"/>
                <w:lang w:eastAsia="pt-BR"/>
                <w14:ligatures w14:val="none"/>
              </w:rPr>
            </w:pPr>
          </w:p>
        </w:tc>
        <w:tc>
          <w:tcPr>
            <w:tcW w:w="441" w:type="pct"/>
            <w:tcBorders>
              <w:top w:val="nil"/>
              <w:left w:val="nil"/>
              <w:bottom w:val="nil"/>
              <w:right w:val="nil"/>
            </w:tcBorders>
            <w:shd w:val="clear" w:color="auto" w:fill="auto"/>
            <w:noWrap/>
            <w:vAlign w:val="bottom"/>
            <w:hideMark/>
          </w:tcPr>
          <w:p w14:paraId="6F9B0644" w14:textId="77777777" w:rsidR="003712EB" w:rsidRPr="003712EB" w:rsidRDefault="003712EB" w:rsidP="003712EB">
            <w:pPr>
              <w:spacing w:after="0" w:line="240" w:lineRule="auto"/>
              <w:rPr>
                <w:rFonts w:ascii="Times New Roman" w:eastAsia="Times New Roman" w:hAnsi="Times New Roman" w:cs="Times New Roman"/>
                <w:kern w:val="0"/>
                <w:sz w:val="14"/>
                <w:szCs w:val="14"/>
                <w:lang w:eastAsia="pt-BR"/>
                <w14:ligatures w14:val="none"/>
              </w:rPr>
            </w:pPr>
          </w:p>
        </w:tc>
        <w:tc>
          <w:tcPr>
            <w:tcW w:w="441" w:type="pct"/>
            <w:tcBorders>
              <w:top w:val="nil"/>
              <w:left w:val="nil"/>
              <w:bottom w:val="nil"/>
              <w:right w:val="nil"/>
            </w:tcBorders>
            <w:shd w:val="clear" w:color="auto" w:fill="auto"/>
            <w:noWrap/>
            <w:vAlign w:val="bottom"/>
            <w:hideMark/>
          </w:tcPr>
          <w:p w14:paraId="294C3F4A" w14:textId="77777777" w:rsidR="003712EB" w:rsidRPr="003712EB" w:rsidRDefault="003712EB" w:rsidP="003712EB">
            <w:pPr>
              <w:spacing w:after="0" w:line="240" w:lineRule="auto"/>
              <w:rPr>
                <w:rFonts w:ascii="Times New Roman" w:eastAsia="Times New Roman" w:hAnsi="Times New Roman" w:cs="Times New Roman"/>
                <w:kern w:val="0"/>
                <w:sz w:val="14"/>
                <w:szCs w:val="14"/>
                <w:lang w:eastAsia="pt-BR"/>
                <w14:ligatures w14:val="none"/>
              </w:rPr>
            </w:pPr>
          </w:p>
        </w:tc>
        <w:tc>
          <w:tcPr>
            <w:tcW w:w="441" w:type="pct"/>
            <w:tcBorders>
              <w:top w:val="nil"/>
              <w:left w:val="nil"/>
              <w:bottom w:val="nil"/>
              <w:right w:val="nil"/>
            </w:tcBorders>
            <w:shd w:val="clear" w:color="auto" w:fill="auto"/>
            <w:noWrap/>
            <w:vAlign w:val="bottom"/>
            <w:hideMark/>
          </w:tcPr>
          <w:p w14:paraId="6D24B29A" w14:textId="77777777" w:rsidR="003712EB" w:rsidRPr="003712EB" w:rsidRDefault="003712EB" w:rsidP="003712EB">
            <w:pPr>
              <w:spacing w:after="0" w:line="240" w:lineRule="auto"/>
              <w:rPr>
                <w:rFonts w:ascii="Times New Roman" w:eastAsia="Times New Roman" w:hAnsi="Times New Roman" w:cs="Times New Roman"/>
                <w:kern w:val="0"/>
                <w:sz w:val="14"/>
                <w:szCs w:val="14"/>
                <w:lang w:eastAsia="pt-BR"/>
                <w14:ligatures w14:val="none"/>
              </w:rPr>
            </w:pPr>
          </w:p>
        </w:tc>
        <w:tc>
          <w:tcPr>
            <w:tcW w:w="70" w:type="pct"/>
            <w:tcBorders>
              <w:top w:val="nil"/>
              <w:left w:val="nil"/>
              <w:bottom w:val="nil"/>
              <w:right w:val="nil"/>
            </w:tcBorders>
            <w:shd w:val="clear" w:color="auto" w:fill="auto"/>
            <w:noWrap/>
            <w:vAlign w:val="bottom"/>
            <w:hideMark/>
          </w:tcPr>
          <w:p w14:paraId="33E4AB0B" w14:textId="77777777" w:rsidR="003712EB" w:rsidRPr="003712EB" w:rsidRDefault="003712EB" w:rsidP="003712EB">
            <w:pPr>
              <w:spacing w:after="0" w:line="240" w:lineRule="auto"/>
              <w:rPr>
                <w:rFonts w:ascii="Times New Roman" w:eastAsia="Times New Roman" w:hAnsi="Times New Roman" w:cs="Times New Roman"/>
                <w:kern w:val="0"/>
                <w:sz w:val="14"/>
                <w:szCs w:val="14"/>
                <w:lang w:eastAsia="pt-BR"/>
                <w14:ligatures w14:val="none"/>
              </w:rPr>
            </w:pPr>
          </w:p>
        </w:tc>
        <w:tc>
          <w:tcPr>
            <w:tcW w:w="386" w:type="pct"/>
            <w:tcBorders>
              <w:top w:val="nil"/>
              <w:left w:val="nil"/>
              <w:bottom w:val="nil"/>
              <w:right w:val="nil"/>
            </w:tcBorders>
            <w:shd w:val="clear" w:color="auto" w:fill="auto"/>
            <w:noWrap/>
            <w:vAlign w:val="bottom"/>
            <w:hideMark/>
          </w:tcPr>
          <w:p w14:paraId="66828A74" w14:textId="77777777" w:rsidR="003712EB" w:rsidRPr="003712EB" w:rsidRDefault="003712EB" w:rsidP="003712EB">
            <w:pPr>
              <w:spacing w:after="0" w:line="240" w:lineRule="auto"/>
              <w:rPr>
                <w:rFonts w:ascii="Times New Roman" w:eastAsia="Times New Roman" w:hAnsi="Times New Roman" w:cs="Times New Roman"/>
                <w:kern w:val="0"/>
                <w:sz w:val="14"/>
                <w:szCs w:val="14"/>
                <w:lang w:eastAsia="pt-BR"/>
                <w14:ligatures w14:val="none"/>
              </w:rPr>
            </w:pPr>
          </w:p>
        </w:tc>
        <w:tc>
          <w:tcPr>
            <w:tcW w:w="386" w:type="pct"/>
            <w:tcBorders>
              <w:top w:val="nil"/>
              <w:left w:val="nil"/>
              <w:bottom w:val="nil"/>
              <w:right w:val="nil"/>
            </w:tcBorders>
            <w:shd w:val="clear" w:color="auto" w:fill="auto"/>
            <w:noWrap/>
            <w:vAlign w:val="bottom"/>
            <w:hideMark/>
          </w:tcPr>
          <w:p w14:paraId="39066C97" w14:textId="77777777" w:rsidR="003712EB" w:rsidRPr="003712EB" w:rsidRDefault="003712EB" w:rsidP="003712EB">
            <w:pPr>
              <w:spacing w:after="0" w:line="240" w:lineRule="auto"/>
              <w:rPr>
                <w:rFonts w:ascii="Times New Roman" w:eastAsia="Times New Roman" w:hAnsi="Times New Roman" w:cs="Times New Roman"/>
                <w:kern w:val="0"/>
                <w:sz w:val="14"/>
                <w:szCs w:val="14"/>
                <w:lang w:eastAsia="pt-BR"/>
                <w14:ligatures w14:val="none"/>
              </w:rPr>
            </w:pPr>
          </w:p>
        </w:tc>
      </w:tr>
      <w:tr w:rsidR="003712EB" w:rsidRPr="003712EB" w14:paraId="077D17F2" w14:textId="77777777" w:rsidTr="00446A14">
        <w:trPr>
          <w:trHeight w:val="198"/>
        </w:trPr>
        <w:tc>
          <w:tcPr>
            <w:tcW w:w="2835" w:type="pct"/>
            <w:tcBorders>
              <w:top w:val="single" w:sz="8" w:space="0" w:color="3616F6"/>
              <w:left w:val="nil"/>
              <w:bottom w:val="single" w:sz="8" w:space="0" w:color="3616F6"/>
              <w:right w:val="nil"/>
            </w:tcBorders>
            <w:shd w:val="clear" w:color="000000" w:fill="75F6F9"/>
            <w:noWrap/>
            <w:vAlign w:val="center"/>
            <w:hideMark/>
          </w:tcPr>
          <w:p w14:paraId="541E4EA0" w14:textId="77777777" w:rsidR="003712EB" w:rsidRPr="003712EB" w:rsidRDefault="003712EB" w:rsidP="003712EB">
            <w:pPr>
              <w:spacing w:after="0" w:line="240" w:lineRule="auto"/>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R$ mil</w:t>
            </w:r>
          </w:p>
        </w:tc>
        <w:tc>
          <w:tcPr>
            <w:tcW w:w="441" w:type="pct"/>
            <w:tcBorders>
              <w:top w:val="single" w:sz="8" w:space="0" w:color="3616F6"/>
              <w:left w:val="single" w:sz="8" w:space="0" w:color="3616F6"/>
              <w:bottom w:val="single" w:sz="8" w:space="0" w:color="3616F6"/>
              <w:right w:val="single" w:sz="8" w:space="0" w:color="3616F6"/>
            </w:tcBorders>
            <w:shd w:val="clear" w:color="000000" w:fill="75F6F9"/>
            <w:vAlign w:val="center"/>
            <w:hideMark/>
          </w:tcPr>
          <w:p w14:paraId="29BB410B" w14:textId="77777777" w:rsidR="003712EB" w:rsidRPr="003712EB" w:rsidRDefault="003712EB" w:rsidP="003712EB">
            <w:pPr>
              <w:spacing w:after="0" w:line="240" w:lineRule="auto"/>
              <w:jc w:val="center"/>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4T23</w:t>
            </w:r>
          </w:p>
        </w:tc>
        <w:tc>
          <w:tcPr>
            <w:tcW w:w="441" w:type="pct"/>
            <w:tcBorders>
              <w:top w:val="single" w:sz="8" w:space="0" w:color="3616F6"/>
              <w:left w:val="nil"/>
              <w:bottom w:val="single" w:sz="8" w:space="0" w:color="3616F6"/>
              <w:right w:val="single" w:sz="8" w:space="0" w:color="3616F6"/>
            </w:tcBorders>
            <w:shd w:val="clear" w:color="000000" w:fill="75F6F9"/>
            <w:vAlign w:val="center"/>
            <w:hideMark/>
          </w:tcPr>
          <w:p w14:paraId="0FBB1293" w14:textId="77777777" w:rsidR="003712EB" w:rsidRPr="003712EB" w:rsidRDefault="003712EB" w:rsidP="003712EB">
            <w:pPr>
              <w:spacing w:after="0" w:line="240" w:lineRule="auto"/>
              <w:jc w:val="center"/>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4T22</w:t>
            </w:r>
          </w:p>
        </w:tc>
        <w:tc>
          <w:tcPr>
            <w:tcW w:w="441" w:type="pct"/>
            <w:tcBorders>
              <w:top w:val="single" w:sz="8" w:space="0" w:color="3616F6"/>
              <w:left w:val="nil"/>
              <w:bottom w:val="single" w:sz="8" w:space="0" w:color="3616F6"/>
              <w:right w:val="nil"/>
            </w:tcBorders>
            <w:shd w:val="clear" w:color="000000" w:fill="75F6F9"/>
            <w:vAlign w:val="center"/>
            <w:hideMark/>
          </w:tcPr>
          <w:p w14:paraId="16C44122" w14:textId="77777777" w:rsidR="003712EB" w:rsidRPr="003712EB" w:rsidRDefault="003712EB" w:rsidP="003712EB">
            <w:pPr>
              <w:spacing w:after="0" w:line="240" w:lineRule="auto"/>
              <w:jc w:val="center"/>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3T23</w:t>
            </w:r>
          </w:p>
        </w:tc>
        <w:tc>
          <w:tcPr>
            <w:tcW w:w="70" w:type="pct"/>
            <w:tcBorders>
              <w:top w:val="nil"/>
              <w:left w:val="nil"/>
              <w:bottom w:val="nil"/>
              <w:right w:val="nil"/>
            </w:tcBorders>
            <w:shd w:val="clear" w:color="auto" w:fill="auto"/>
            <w:vAlign w:val="center"/>
            <w:hideMark/>
          </w:tcPr>
          <w:p w14:paraId="020383E1" w14:textId="77777777" w:rsidR="003712EB" w:rsidRPr="003712EB" w:rsidRDefault="003712EB" w:rsidP="003712EB">
            <w:pPr>
              <w:spacing w:after="0" w:line="240" w:lineRule="auto"/>
              <w:jc w:val="center"/>
              <w:rPr>
                <w:rFonts w:ascii="Arial" w:eastAsia="Times New Roman" w:hAnsi="Arial" w:cs="Arial"/>
                <w:b/>
                <w:bCs/>
                <w:color w:val="000000"/>
                <w:kern w:val="0"/>
                <w:sz w:val="14"/>
                <w:szCs w:val="14"/>
                <w:lang w:eastAsia="pt-BR"/>
                <w14:ligatures w14:val="none"/>
              </w:rPr>
            </w:pPr>
          </w:p>
        </w:tc>
        <w:tc>
          <w:tcPr>
            <w:tcW w:w="386" w:type="pct"/>
            <w:tcBorders>
              <w:top w:val="single" w:sz="8" w:space="0" w:color="3616F6"/>
              <w:left w:val="nil"/>
              <w:bottom w:val="single" w:sz="8" w:space="0" w:color="3616F6"/>
              <w:right w:val="single" w:sz="8" w:space="0" w:color="3616F6"/>
            </w:tcBorders>
            <w:shd w:val="clear" w:color="000000" w:fill="75F6F9"/>
            <w:vAlign w:val="center"/>
            <w:hideMark/>
          </w:tcPr>
          <w:p w14:paraId="5BE71000" w14:textId="77777777" w:rsidR="003712EB" w:rsidRPr="003712EB" w:rsidRDefault="003712EB" w:rsidP="003712EB">
            <w:pPr>
              <w:spacing w:after="0" w:line="240" w:lineRule="auto"/>
              <w:jc w:val="center"/>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2023</w:t>
            </w:r>
          </w:p>
        </w:tc>
        <w:tc>
          <w:tcPr>
            <w:tcW w:w="386" w:type="pct"/>
            <w:tcBorders>
              <w:top w:val="single" w:sz="8" w:space="0" w:color="3616F6"/>
              <w:left w:val="nil"/>
              <w:bottom w:val="single" w:sz="8" w:space="0" w:color="3616F6"/>
              <w:right w:val="nil"/>
            </w:tcBorders>
            <w:shd w:val="clear" w:color="000000" w:fill="75F6F9"/>
            <w:vAlign w:val="center"/>
            <w:hideMark/>
          </w:tcPr>
          <w:p w14:paraId="4A5DB1DC" w14:textId="77777777" w:rsidR="003712EB" w:rsidRPr="003712EB" w:rsidRDefault="003712EB" w:rsidP="003712EB">
            <w:pPr>
              <w:spacing w:after="0" w:line="240" w:lineRule="auto"/>
              <w:jc w:val="center"/>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2022</w:t>
            </w:r>
          </w:p>
        </w:tc>
      </w:tr>
      <w:tr w:rsidR="003712EB" w:rsidRPr="003712EB" w14:paraId="5B74F575" w14:textId="77777777" w:rsidTr="00446A14">
        <w:trPr>
          <w:trHeight w:val="198"/>
        </w:trPr>
        <w:tc>
          <w:tcPr>
            <w:tcW w:w="2835" w:type="pct"/>
            <w:tcBorders>
              <w:top w:val="nil"/>
              <w:left w:val="nil"/>
              <w:bottom w:val="nil"/>
              <w:right w:val="nil"/>
            </w:tcBorders>
            <w:shd w:val="clear" w:color="auto" w:fill="auto"/>
            <w:noWrap/>
            <w:vAlign w:val="center"/>
            <w:hideMark/>
          </w:tcPr>
          <w:p w14:paraId="650C5C47" w14:textId="77777777" w:rsidR="003712EB" w:rsidRPr="003712EB" w:rsidRDefault="003712EB" w:rsidP="003712EB">
            <w:pPr>
              <w:spacing w:after="0" w:line="240" w:lineRule="auto"/>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Fluxos de Caixa das Atividades Operacionais</w:t>
            </w:r>
          </w:p>
        </w:tc>
        <w:tc>
          <w:tcPr>
            <w:tcW w:w="441" w:type="pct"/>
            <w:tcBorders>
              <w:top w:val="nil"/>
              <w:left w:val="nil"/>
              <w:bottom w:val="nil"/>
              <w:right w:val="nil"/>
            </w:tcBorders>
            <w:shd w:val="clear" w:color="auto" w:fill="auto"/>
            <w:noWrap/>
            <w:vAlign w:val="bottom"/>
            <w:hideMark/>
          </w:tcPr>
          <w:p w14:paraId="263D06EE" w14:textId="77777777" w:rsidR="003712EB" w:rsidRPr="003712EB" w:rsidRDefault="003712EB" w:rsidP="003712EB">
            <w:pPr>
              <w:spacing w:after="0" w:line="240" w:lineRule="auto"/>
              <w:rPr>
                <w:rFonts w:ascii="Arial" w:eastAsia="Times New Roman" w:hAnsi="Arial" w:cs="Arial"/>
                <w:b/>
                <w:bCs/>
                <w:color w:val="000000"/>
                <w:kern w:val="0"/>
                <w:sz w:val="14"/>
                <w:szCs w:val="14"/>
                <w:lang w:eastAsia="pt-BR"/>
                <w14:ligatures w14:val="none"/>
              </w:rPr>
            </w:pPr>
          </w:p>
        </w:tc>
        <w:tc>
          <w:tcPr>
            <w:tcW w:w="441" w:type="pct"/>
            <w:tcBorders>
              <w:top w:val="nil"/>
              <w:left w:val="nil"/>
              <w:bottom w:val="nil"/>
              <w:right w:val="nil"/>
            </w:tcBorders>
            <w:shd w:val="clear" w:color="auto" w:fill="auto"/>
            <w:noWrap/>
            <w:vAlign w:val="bottom"/>
            <w:hideMark/>
          </w:tcPr>
          <w:p w14:paraId="0E3FAAF6" w14:textId="77777777" w:rsidR="003712EB" w:rsidRPr="003712EB" w:rsidRDefault="003712EB" w:rsidP="003712EB">
            <w:pPr>
              <w:spacing w:after="0" w:line="240" w:lineRule="auto"/>
              <w:rPr>
                <w:rFonts w:ascii="Times New Roman" w:eastAsia="Times New Roman" w:hAnsi="Times New Roman" w:cs="Times New Roman"/>
                <w:kern w:val="0"/>
                <w:sz w:val="14"/>
                <w:szCs w:val="14"/>
                <w:lang w:eastAsia="pt-BR"/>
                <w14:ligatures w14:val="none"/>
              </w:rPr>
            </w:pPr>
          </w:p>
        </w:tc>
        <w:tc>
          <w:tcPr>
            <w:tcW w:w="441" w:type="pct"/>
            <w:tcBorders>
              <w:top w:val="nil"/>
              <w:left w:val="nil"/>
              <w:bottom w:val="nil"/>
              <w:right w:val="nil"/>
            </w:tcBorders>
            <w:shd w:val="clear" w:color="auto" w:fill="auto"/>
            <w:noWrap/>
            <w:vAlign w:val="bottom"/>
            <w:hideMark/>
          </w:tcPr>
          <w:p w14:paraId="3B8E5252" w14:textId="77777777" w:rsidR="003712EB" w:rsidRPr="003712EB" w:rsidRDefault="003712EB" w:rsidP="003712EB">
            <w:pPr>
              <w:spacing w:after="0" w:line="240" w:lineRule="auto"/>
              <w:rPr>
                <w:rFonts w:ascii="Times New Roman" w:eastAsia="Times New Roman" w:hAnsi="Times New Roman" w:cs="Times New Roman"/>
                <w:kern w:val="0"/>
                <w:sz w:val="14"/>
                <w:szCs w:val="14"/>
                <w:lang w:eastAsia="pt-BR"/>
                <w14:ligatures w14:val="none"/>
              </w:rPr>
            </w:pPr>
          </w:p>
        </w:tc>
        <w:tc>
          <w:tcPr>
            <w:tcW w:w="70" w:type="pct"/>
            <w:tcBorders>
              <w:top w:val="nil"/>
              <w:left w:val="nil"/>
              <w:bottom w:val="nil"/>
              <w:right w:val="nil"/>
            </w:tcBorders>
            <w:shd w:val="clear" w:color="auto" w:fill="auto"/>
            <w:noWrap/>
            <w:vAlign w:val="bottom"/>
            <w:hideMark/>
          </w:tcPr>
          <w:p w14:paraId="5DF8DB0B" w14:textId="77777777" w:rsidR="003712EB" w:rsidRPr="003712EB" w:rsidRDefault="003712EB" w:rsidP="003712EB">
            <w:pPr>
              <w:spacing w:after="0" w:line="240" w:lineRule="auto"/>
              <w:rPr>
                <w:rFonts w:ascii="Times New Roman" w:eastAsia="Times New Roman" w:hAnsi="Times New Roman" w:cs="Times New Roman"/>
                <w:kern w:val="0"/>
                <w:sz w:val="14"/>
                <w:szCs w:val="14"/>
                <w:lang w:eastAsia="pt-BR"/>
                <w14:ligatures w14:val="none"/>
              </w:rPr>
            </w:pPr>
          </w:p>
        </w:tc>
        <w:tc>
          <w:tcPr>
            <w:tcW w:w="386" w:type="pct"/>
            <w:tcBorders>
              <w:top w:val="nil"/>
              <w:left w:val="nil"/>
              <w:bottom w:val="nil"/>
              <w:right w:val="nil"/>
            </w:tcBorders>
            <w:shd w:val="clear" w:color="auto" w:fill="auto"/>
            <w:noWrap/>
            <w:vAlign w:val="bottom"/>
            <w:hideMark/>
          </w:tcPr>
          <w:p w14:paraId="2EF82B3C" w14:textId="77777777" w:rsidR="003712EB" w:rsidRPr="003712EB" w:rsidRDefault="003712EB" w:rsidP="003712EB">
            <w:pPr>
              <w:spacing w:after="0" w:line="240" w:lineRule="auto"/>
              <w:rPr>
                <w:rFonts w:ascii="Times New Roman" w:eastAsia="Times New Roman" w:hAnsi="Times New Roman" w:cs="Times New Roman"/>
                <w:kern w:val="0"/>
                <w:sz w:val="14"/>
                <w:szCs w:val="14"/>
                <w:lang w:eastAsia="pt-BR"/>
                <w14:ligatures w14:val="none"/>
              </w:rPr>
            </w:pPr>
          </w:p>
        </w:tc>
        <w:tc>
          <w:tcPr>
            <w:tcW w:w="386" w:type="pct"/>
            <w:tcBorders>
              <w:top w:val="nil"/>
              <w:left w:val="nil"/>
              <w:bottom w:val="nil"/>
              <w:right w:val="nil"/>
            </w:tcBorders>
            <w:shd w:val="clear" w:color="auto" w:fill="auto"/>
            <w:noWrap/>
            <w:vAlign w:val="bottom"/>
            <w:hideMark/>
          </w:tcPr>
          <w:p w14:paraId="019F6867" w14:textId="77777777" w:rsidR="003712EB" w:rsidRPr="003712EB" w:rsidRDefault="003712EB" w:rsidP="003712EB">
            <w:pPr>
              <w:spacing w:after="0" w:line="240" w:lineRule="auto"/>
              <w:rPr>
                <w:rFonts w:ascii="Times New Roman" w:eastAsia="Times New Roman" w:hAnsi="Times New Roman" w:cs="Times New Roman"/>
                <w:kern w:val="0"/>
                <w:sz w:val="14"/>
                <w:szCs w:val="14"/>
                <w:lang w:eastAsia="pt-BR"/>
                <w14:ligatures w14:val="none"/>
              </w:rPr>
            </w:pPr>
          </w:p>
        </w:tc>
      </w:tr>
      <w:tr w:rsidR="003712EB" w:rsidRPr="003712EB" w14:paraId="0533CE50" w14:textId="77777777" w:rsidTr="00446A14">
        <w:trPr>
          <w:trHeight w:val="198"/>
        </w:trPr>
        <w:tc>
          <w:tcPr>
            <w:tcW w:w="2835" w:type="pct"/>
            <w:tcBorders>
              <w:top w:val="single" w:sz="8" w:space="0" w:color="0000FF"/>
              <w:left w:val="nil"/>
              <w:bottom w:val="single" w:sz="8" w:space="0" w:color="0000FF"/>
              <w:right w:val="nil"/>
            </w:tcBorders>
            <w:shd w:val="clear" w:color="auto" w:fill="auto"/>
            <w:noWrap/>
            <w:vAlign w:val="center"/>
            <w:hideMark/>
          </w:tcPr>
          <w:p w14:paraId="30F972A1" w14:textId="77777777" w:rsidR="003712EB" w:rsidRPr="003712EB" w:rsidRDefault="003712EB" w:rsidP="003712EB">
            <w:pPr>
              <w:spacing w:after="0" w:line="240" w:lineRule="auto"/>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Prejuízo antes do Imposto de Renda e Contribuição Social</w:t>
            </w:r>
          </w:p>
        </w:tc>
        <w:tc>
          <w:tcPr>
            <w:tcW w:w="441" w:type="pct"/>
            <w:tcBorders>
              <w:top w:val="single" w:sz="8" w:space="0" w:color="0000FF"/>
              <w:left w:val="single" w:sz="8" w:space="0" w:color="0000FF"/>
              <w:bottom w:val="single" w:sz="8" w:space="0" w:color="0000FF"/>
              <w:right w:val="single" w:sz="8" w:space="0" w:color="0000FF"/>
            </w:tcBorders>
            <w:shd w:val="clear" w:color="000000" w:fill="75F6F9"/>
            <w:noWrap/>
            <w:vAlign w:val="center"/>
            <w:hideMark/>
          </w:tcPr>
          <w:p w14:paraId="6CAF69B8"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(52.106)</w:t>
            </w:r>
          </w:p>
        </w:tc>
        <w:tc>
          <w:tcPr>
            <w:tcW w:w="441" w:type="pct"/>
            <w:tcBorders>
              <w:top w:val="single" w:sz="8" w:space="0" w:color="0000FF"/>
              <w:left w:val="nil"/>
              <w:bottom w:val="single" w:sz="8" w:space="0" w:color="0000FF"/>
              <w:right w:val="nil"/>
            </w:tcBorders>
            <w:shd w:val="clear" w:color="auto" w:fill="auto"/>
            <w:noWrap/>
            <w:vAlign w:val="center"/>
            <w:hideMark/>
          </w:tcPr>
          <w:p w14:paraId="2077B2E1"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(1.489)</w:t>
            </w:r>
          </w:p>
        </w:tc>
        <w:tc>
          <w:tcPr>
            <w:tcW w:w="441" w:type="pct"/>
            <w:tcBorders>
              <w:top w:val="single" w:sz="8" w:space="0" w:color="0000FF"/>
              <w:left w:val="single" w:sz="8" w:space="0" w:color="0000FF"/>
              <w:bottom w:val="single" w:sz="8" w:space="0" w:color="0000FF"/>
              <w:right w:val="nil"/>
            </w:tcBorders>
            <w:shd w:val="clear" w:color="auto" w:fill="auto"/>
            <w:noWrap/>
            <w:vAlign w:val="center"/>
            <w:hideMark/>
          </w:tcPr>
          <w:p w14:paraId="2B161F1B"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(91.302)</w:t>
            </w:r>
          </w:p>
        </w:tc>
        <w:tc>
          <w:tcPr>
            <w:tcW w:w="70" w:type="pct"/>
            <w:tcBorders>
              <w:top w:val="nil"/>
              <w:left w:val="nil"/>
              <w:bottom w:val="nil"/>
              <w:right w:val="nil"/>
            </w:tcBorders>
            <w:shd w:val="clear" w:color="auto" w:fill="auto"/>
            <w:noWrap/>
            <w:vAlign w:val="center"/>
            <w:hideMark/>
          </w:tcPr>
          <w:p w14:paraId="0AB41F96"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p>
        </w:tc>
        <w:tc>
          <w:tcPr>
            <w:tcW w:w="386" w:type="pct"/>
            <w:tcBorders>
              <w:top w:val="single" w:sz="8" w:space="0" w:color="0000FF"/>
              <w:left w:val="single" w:sz="8" w:space="0" w:color="0000FF"/>
              <w:bottom w:val="single" w:sz="8" w:space="0" w:color="0000FF"/>
              <w:right w:val="single" w:sz="8" w:space="0" w:color="0000FF"/>
            </w:tcBorders>
            <w:shd w:val="clear" w:color="000000" w:fill="75F6F9"/>
            <w:noWrap/>
            <w:vAlign w:val="center"/>
            <w:hideMark/>
          </w:tcPr>
          <w:p w14:paraId="3B2C69A0"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(127.357)</w:t>
            </w:r>
          </w:p>
        </w:tc>
        <w:tc>
          <w:tcPr>
            <w:tcW w:w="386" w:type="pct"/>
            <w:tcBorders>
              <w:top w:val="single" w:sz="8" w:space="0" w:color="0000FF"/>
              <w:left w:val="nil"/>
              <w:bottom w:val="single" w:sz="8" w:space="0" w:color="0000FF"/>
              <w:right w:val="nil"/>
            </w:tcBorders>
            <w:shd w:val="clear" w:color="auto" w:fill="auto"/>
            <w:noWrap/>
            <w:vAlign w:val="center"/>
            <w:hideMark/>
          </w:tcPr>
          <w:p w14:paraId="31DCF871"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(168.459)</w:t>
            </w:r>
          </w:p>
        </w:tc>
      </w:tr>
      <w:tr w:rsidR="003712EB" w:rsidRPr="003712EB" w14:paraId="2AB0F5F4" w14:textId="77777777" w:rsidTr="00446A14">
        <w:trPr>
          <w:trHeight w:val="198"/>
        </w:trPr>
        <w:tc>
          <w:tcPr>
            <w:tcW w:w="2835" w:type="pct"/>
            <w:tcBorders>
              <w:top w:val="nil"/>
              <w:left w:val="nil"/>
              <w:bottom w:val="nil"/>
              <w:right w:val="nil"/>
            </w:tcBorders>
            <w:shd w:val="clear" w:color="auto" w:fill="auto"/>
            <w:noWrap/>
            <w:vAlign w:val="center"/>
            <w:hideMark/>
          </w:tcPr>
          <w:p w14:paraId="2F7E7C93" w14:textId="77777777" w:rsidR="003712EB" w:rsidRPr="003712EB" w:rsidRDefault="003712EB" w:rsidP="003712EB">
            <w:pPr>
              <w:spacing w:after="0" w:line="240" w:lineRule="auto"/>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 xml:space="preserve"> Ajustes por: </w:t>
            </w:r>
          </w:p>
        </w:tc>
        <w:tc>
          <w:tcPr>
            <w:tcW w:w="441" w:type="pct"/>
            <w:tcBorders>
              <w:top w:val="nil"/>
              <w:left w:val="single" w:sz="8" w:space="0" w:color="0000FF"/>
              <w:bottom w:val="nil"/>
              <w:right w:val="single" w:sz="8" w:space="0" w:color="0000FF"/>
            </w:tcBorders>
            <w:shd w:val="clear" w:color="000000" w:fill="75F6F9"/>
            <w:noWrap/>
            <w:vAlign w:val="center"/>
            <w:hideMark/>
          </w:tcPr>
          <w:p w14:paraId="227DDF02"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 </w:t>
            </w:r>
          </w:p>
        </w:tc>
        <w:tc>
          <w:tcPr>
            <w:tcW w:w="441" w:type="pct"/>
            <w:tcBorders>
              <w:top w:val="nil"/>
              <w:left w:val="nil"/>
              <w:bottom w:val="nil"/>
              <w:right w:val="nil"/>
            </w:tcBorders>
            <w:shd w:val="clear" w:color="auto" w:fill="auto"/>
            <w:noWrap/>
            <w:vAlign w:val="center"/>
            <w:hideMark/>
          </w:tcPr>
          <w:p w14:paraId="51E10DC4"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 </w:t>
            </w:r>
          </w:p>
        </w:tc>
        <w:tc>
          <w:tcPr>
            <w:tcW w:w="441" w:type="pct"/>
            <w:tcBorders>
              <w:top w:val="nil"/>
              <w:left w:val="single" w:sz="8" w:space="0" w:color="0000FF"/>
              <w:bottom w:val="nil"/>
              <w:right w:val="nil"/>
            </w:tcBorders>
            <w:shd w:val="clear" w:color="auto" w:fill="auto"/>
            <w:noWrap/>
            <w:vAlign w:val="center"/>
            <w:hideMark/>
          </w:tcPr>
          <w:p w14:paraId="41DA0154"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 </w:t>
            </w:r>
          </w:p>
        </w:tc>
        <w:tc>
          <w:tcPr>
            <w:tcW w:w="70" w:type="pct"/>
            <w:tcBorders>
              <w:top w:val="nil"/>
              <w:left w:val="nil"/>
              <w:bottom w:val="nil"/>
              <w:right w:val="nil"/>
            </w:tcBorders>
            <w:shd w:val="clear" w:color="auto" w:fill="auto"/>
            <w:noWrap/>
            <w:vAlign w:val="bottom"/>
            <w:hideMark/>
          </w:tcPr>
          <w:p w14:paraId="6371C749"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p>
        </w:tc>
        <w:tc>
          <w:tcPr>
            <w:tcW w:w="386" w:type="pct"/>
            <w:tcBorders>
              <w:top w:val="nil"/>
              <w:left w:val="single" w:sz="8" w:space="0" w:color="0000FF"/>
              <w:bottom w:val="nil"/>
              <w:right w:val="single" w:sz="8" w:space="0" w:color="0000FF"/>
            </w:tcBorders>
            <w:shd w:val="clear" w:color="000000" w:fill="75F6F9"/>
            <w:noWrap/>
            <w:vAlign w:val="center"/>
            <w:hideMark/>
          </w:tcPr>
          <w:p w14:paraId="1EF71835"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 </w:t>
            </w:r>
          </w:p>
        </w:tc>
        <w:tc>
          <w:tcPr>
            <w:tcW w:w="386" w:type="pct"/>
            <w:tcBorders>
              <w:top w:val="nil"/>
              <w:left w:val="nil"/>
              <w:bottom w:val="nil"/>
              <w:right w:val="nil"/>
            </w:tcBorders>
            <w:shd w:val="clear" w:color="auto" w:fill="auto"/>
            <w:noWrap/>
            <w:vAlign w:val="center"/>
            <w:hideMark/>
          </w:tcPr>
          <w:p w14:paraId="0868772F"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 </w:t>
            </w:r>
          </w:p>
        </w:tc>
      </w:tr>
      <w:tr w:rsidR="003712EB" w:rsidRPr="003712EB" w14:paraId="5D8097CE" w14:textId="77777777" w:rsidTr="00446A14">
        <w:trPr>
          <w:trHeight w:val="198"/>
        </w:trPr>
        <w:tc>
          <w:tcPr>
            <w:tcW w:w="2835" w:type="pct"/>
            <w:tcBorders>
              <w:top w:val="nil"/>
              <w:left w:val="nil"/>
              <w:bottom w:val="nil"/>
              <w:right w:val="nil"/>
            </w:tcBorders>
            <w:shd w:val="clear" w:color="auto" w:fill="auto"/>
            <w:noWrap/>
            <w:vAlign w:val="center"/>
            <w:hideMark/>
          </w:tcPr>
          <w:p w14:paraId="61D86E1A" w14:textId="77777777" w:rsidR="003712EB" w:rsidRPr="003712EB" w:rsidRDefault="003712EB" w:rsidP="003712EB">
            <w:pPr>
              <w:spacing w:after="0" w:line="240" w:lineRule="auto"/>
              <w:ind w:firstLineChars="200" w:firstLine="280"/>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Depreciação e Amortização </w:t>
            </w:r>
          </w:p>
        </w:tc>
        <w:tc>
          <w:tcPr>
            <w:tcW w:w="441" w:type="pct"/>
            <w:tcBorders>
              <w:top w:val="nil"/>
              <w:left w:val="single" w:sz="8" w:space="0" w:color="0000FF"/>
              <w:bottom w:val="nil"/>
              <w:right w:val="single" w:sz="8" w:space="0" w:color="0000FF"/>
            </w:tcBorders>
            <w:shd w:val="clear" w:color="000000" w:fill="75F6F9"/>
            <w:noWrap/>
            <w:vAlign w:val="center"/>
            <w:hideMark/>
          </w:tcPr>
          <w:p w14:paraId="4704BAD4"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66.587</w:t>
            </w:r>
          </w:p>
        </w:tc>
        <w:tc>
          <w:tcPr>
            <w:tcW w:w="441" w:type="pct"/>
            <w:tcBorders>
              <w:top w:val="nil"/>
              <w:left w:val="nil"/>
              <w:bottom w:val="nil"/>
              <w:right w:val="single" w:sz="8" w:space="0" w:color="0000FF"/>
            </w:tcBorders>
            <w:shd w:val="clear" w:color="auto" w:fill="auto"/>
            <w:noWrap/>
            <w:vAlign w:val="center"/>
            <w:hideMark/>
          </w:tcPr>
          <w:p w14:paraId="1B8039A0"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60.833</w:t>
            </w:r>
          </w:p>
        </w:tc>
        <w:tc>
          <w:tcPr>
            <w:tcW w:w="441" w:type="pct"/>
            <w:tcBorders>
              <w:top w:val="nil"/>
              <w:left w:val="nil"/>
              <w:bottom w:val="nil"/>
              <w:right w:val="nil"/>
            </w:tcBorders>
            <w:shd w:val="clear" w:color="auto" w:fill="auto"/>
            <w:noWrap/>
            <w:vAlign w:val="center"/>
            <w:hideMark/>
          </w:tcPr>
          <w:p w14:paraId="212F641A"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65.193</w:t>
            </w:r>
          </w:p>
        </w:tc>
        <w:tc>
          <w:tcPr>
            <w:tcW w:w="70" w:type="pct"/>
            <w:tcBorders>
              <w:top w:val="nil"/>
              <w:left w:val="nil"/>
              <w:bottom w:val="nil"/>
              <w:right w:val="nil"/>
            </w:tcBorders>
            <w:shd w:val="clear" w:color="auto" w:fill="auto"/>
            <w:noWrap/>
            <w:vAlign w:val="center"/>
            <w:hideMark/>
          </w:tcPr>
          <w:p w14:paraId="321FFD08"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p>
        </w:tc>
        <w:tc>
          <w:tcPr>
            <w:tcW w:w="386" w:type="pct"/>
            <w:tcBorders>
              <w:top w:val="nil"/>
              <w:left w:val="single" w:sz="8" w:space="0" w:color="0000FF"/>
              <w:bottom w:val="nil"/>
              <w:right w:val="single" w:sz="8" w:space="0" w:color="0000FF"/>
            </w:tcBorders>
            <w:shd w:val="clear" w:color="000000" w:fill="75F6F9"/>
            <w:noWrap/>
            <w:vAlign w:val="center"/>
            <w:hideMark/>
          </w:tcPr>
          <w:p w14:paraId="103AEF9B"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253.541</w:t>
            </w:r>
          </w:p>
        </w:tc>
        <w:tc>
          <w:tcPr>
            <w:tcW w:w="386" w:type="pct"/>
            <w:tcBorders>
              <w:top w:val="nil"/>
              <w:left w:val="nil"/>
              <w:bottom w:val="nil"/>
              <w:right w:val="nil"/>
            </w:tcBorders>
            <w:shd w:val="clear" w:color="auto" w:fill="auto"/>
            <w:noWrap/>
            <w:vAlign w:val="center"/>
            <w:hideMark/>
          </w:tcPr>
          <w:p w14:paraId="4006BCAA"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242.087</w:t>
            </w:r>
          </w:p>
        </w:tc>
      </w:tr>
      <w:tr w:rsidR="003712EB" w:rsidRPr="003712EB" w14:paraId="600BE0AC" w14:textId="77777777" w:rsidTr="00446A14">
        <w:trPr>
          <w:trHeight w:val="198"/>
        </w:trPr>
        <w:tc>
          <w:tcPr>
            <w:tcW w:w="2835" w:type="pct"/>
            <w:tcBorders>
              <w:top w:val="nil"/>
              <w:left w:val="nil"/>
              <w:bottom w:val="nil"/>
              <w:right w:val="nil"/>
            </w:tcBorders>
            <w:shd w:val="clear" w:color="auto" w:fill="auto"/>
            <w:noWrap/>
            <w:vAlign w:val="center"/>
            <w:hideMark/>
          </w:tcPr>
          <w:p w14:paraId="294C8FB5" w14:textId="77777777" w:rsidR="003712EB" w:rsidRPr="003712EB" w:rsidRDefault="003712EB" w:rsidP="003712EB">
            <w:pPr>
              <w:spacing w:after="0" w:line="240" w:lineRule="auto"/>
              <w:ind w:firstLineChars="200" w:firstLine="280"/>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Provisão/Rever. para Riscos Prováveis Trabalhistas, Cíveis e Fiscais </w:t>
            </w:r>
          </w:p>
        </w:tc>
        <w:tc>
          <w:tcPr>
            <w:tcW w:w="441" w:type="pct"/>
            <w:tcBorders>
              <w:top w:val="nil"/>
              <w:left w:val="single" w:sz="8" w:space="0" w:color="0000FF"/>
              <w:bottom w:val="nil"/>
              <w:right w:val="single" w:sz="8" w:space="0" w:color="0000FF"/>
            </w:tcBorders>
            <w:shd w:val="clear" w:color="000000" w:fill="75F6F9"/>
            <w:noWrap/>
            <w:vAlign w:val="center"/>
            <w:hideMark/>
          </w:tcPr>
          <w:p w14:paraId="7931CC5F"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(1.572)</w:t>
            </w:r>
          </w:p>
        </w:tc>
        <w:tc>
          <w:tcPr>
            <w:tcW w:w="441" w:type="pct"/>
            <w:tcBorders>
              <w:top w:val="nil"/>
              <w:left w:val="nil"/>
              <w:bottom w:val="nil"/>
              <w:right w:val="single" w:sz="8" w:space="0" w:color="0000FF"/>
            </w:tcBorders>
            <w:shd w:val="clear" w:color="auto" w:fill="auto"/>
            <w:noWrap/>
            <w:vAlign w:val="center"/>
            <w:hideMark/>
          </w:tcPr>
          <w:p w14:paraId="067A4C81"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(1.635)</w:t>
            </w:r>
          </w:p>
        </w:tc>
        <w:tc>
          <w:tcPr>
            <w:tcW w:w="441" w:type="pct"/>
            <w:tcBorders>
              <w:top w:val="nil"/>
              <w:left w:val="nil"/>
              <w:bottom w:val="nil"/>
              <w:right w:val="nil"/>
            </w:tcBorders>
            <w:shd w:val="clear" w:color="auto" w:fill="auto"/>
            <w:noWrap/>
            <w:vAlign w:val="center"/>
            <w:hideMark/>
          </w:tcPr>
          <w:p w14:paraId="1CD5AB3C"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(6.534)</w:t>
            </w:r>
          </w:p>
        </w:tc>
        <w:tc>
          <w:tcPr>
            <w:tcW w:w="70" w:type="pct"/>
            <w:tcBorders>
              <w:top w:val="nil"/>
              <w:left w:val="nil"/>
              <w:bottom w:val="nil"/>
              <w:right w:val="nil"/>
            </w:tcBorders>
            <w:shd w:val="clear" w:color="auto" w:fill="auto"/>
            <w:noWrap/>
            <w:vAlign w:val="center"/>
            <w:hideMark/>
          </w:tcPr>
          <w:p w14:paraId="4C16E361"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p>
        </w:tc>
        <w:tc>
          <w:tcPr>
            <w:tcW w:w="386" w:type="pct"/>
            <w:tcBorders>
              <w:top w:val="nil"/>
              <w:left w:val="single" w:sz="8" w:space="0" w:color="0000FF"/>
              <w:bottom w:val="nil"/>
              <w:right w:val="single" w:sz="8" w:space="0" w:color="0000FF"/>
            </w:tcBorders>
            <w:shd w:val="clear" w:color="000000" w:fill="75F6F9"/>
            <w:noWrap/>
            <w:vAlign w:val="center"/>
            <w:hideMark/>
          </w:tcPr>
          <w:p w14:paraId="251DDE20"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(8.251)</w:t>
            </w:r>
          </w:p>
        </w:tc>
        <w:tc>
          <w:tcPr>
            <w:tcW w:w="386" w:type="pct"/>
            <w:tcBorders>
              <w:top w:val="nil"/>
              <w:left w:val="nil"/>
              <w:bottom w:val="nil"/>
              <w:right w:val="nil"/>
            </w:tcBorders>
            <w:shd w:val="clear" w:color="auto" w:fill="auto"/>
            <w:noWrap/>
            <w:vAlign w:val="center"/>
            <w:hideMark/>
          </w:tcPr>
          <w:p w14:paraId="05DF3BF5"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(3.361)</w:t>
            </w:r>
          </w:p>
        </w:tc>
      </w:tr>
      <w:tr w:rsidR="003712EB" w:rsidRPr="003712EB" w14:paraId="6D1BAD9E" w14:textId="77777777" w:rsidTr="00446A14">
        <w:trPr>
          <w:trHeight w:val="198"/>
        </w:trPr>
        <w:tc>
          <w:tcPr>
            <w:tcW w:w="2835" w:type="pct"/>
            <w:tcBorders>
              <w:top w:val="nil"/>
              <w:left w:val="nil"/>
              <w:bottom w:val="nil"/>
              <w:right w:val="nil"/>
            </w:tcBorders>
            <w:shd w:val="clear" w:color="auto" w:fill="auto"/>
            <w:noWrap/>
            <w:vAlign w:val="center"/>
            <w:hideMark/>
          </w:tcPr>
          <w:p w14:paraId="42B708F1" w14:textId="77777777" w:rsidR="003712EB" w:rsidRPr="003712EB" w:rsidRDefault="003712EB" w:rsidP="003712EB">
            <w:pPr>
              <w:spacing w:after="0" w:line="240" w:lineRule="auto"/>
              <w:ind w:firstLineChars="200" w:firstLine="280"/>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Variação Monetária de Prov. para Riscos Prováveis Trabalhistas, Cíveis e Fiscais </w:t>
            </w:r>
          </w:p>
        </w:tc>
        <w:tc>
          <w:tcPr>
            <w:tcW w:w="441" w:type="pct"/>
            <w:tcBorders>
              <w:top w:val="nil"/>
              <w:left w:val="single" w:sz="8" w:space="0" w:color="0000FF"/>
              <w:bottom w:val="nil"/>
              <w:right w:val="single" w:sz="8" w:space="0" w:color="0000FF"/>
            </w:tcBorders>
            <w:shd w:val="clear" w:color="000000" w:fill="75F6F9"/>
            <w:noWrap/>
            <w:vAlign w:val="center"/>
            <w:hideMark/>
          </w:tcPr>
          <w:p w14:paraId="02DED2F5"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1.629</w:t>
            </w:r>
          </w:p>
        </w:tc>
        <w:tc>
          <w:tcPr>
            <w:tcW w:w="441" w:type="pct"/>
            <w:tcBorders>
              <w:top w:val="nil"/>
              <w:left w:val="nil"/>
              <w:bottom w:val="nil"/>
              <w:right w:val="single" w:sz="8" w:space="0" w:color="0000FF"/>
            </w:tcBorders>
            <w:shd w:val="clear" w:color="auto" w:fill="auto"/>
            <w:noWrap/>
            <w:vAlign w:val="center"/>
            <w:hideMark/>
          </w:tcPr>
          <w:p w14:paraId="394FA678"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1.478</w:t>
            </w:r>
          </w:p>
        </w:tc>
        <w:tc>
          <w:tcPr>
            <w:tcW w:w="441" w:type="pct"/>
            <w:tcBorders>
              <w:top w:val="nil"/>
              <w:left w:val="nil"/>
              <w:bottom w:val="nil"/>
              <w:right w:val="nil"/>
            </w:tcBorders>
            <w:shd w:val="clear" w:color="auto" w:fill="auto"/>
            <w:noWrap/>
            <w:vAlign w:val="center"/>
            <w:hideMark/>
          </w:tcPr>
          <w:p w14:paraId="3FB21C8B"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1.083</w:t>
            </w:r>
          </w:p>
        </w:tc>
        <w:tc>
          <w:tcPr>
            <w:tcW w:w="70" w:type="pct"/>
            <w:tcBorders>
              <w:top w:val="nil"/>
              <w:left w:val="nil"/>
              <w:bottom w:val="nil"/>
              <w:right w:val="nil"/>
            </w:tcBorders>
            <w:shd w:val="clear" w:color="auto" w:fill="auto"/>
            <w:noWrap/>
            <w:vAlign w:val="center"/>
            <w:hideMark/>
          </w:tcPr>
          <w:p w14:paraId="2EFDCDE6"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p>
        </w:tc>
        <w:tc>
          <w:tcPr>
            <w:tcW w:w="386" w:type="pct"/>
            <w:tcBorders>
              <w:top w:val="nil"/>
              <w:left w:val="single" w:sz="8" w:space="0" w:color="0000FF"/>
              <w:bottom w:val="nil"/>
              <w:right w:val="single" w:sz="8" w:space="0" w:color="0000FF"/>
            </w:tcBorders>
            <w:shd w:val="clear" w:color="000000" w:fill="75F6F9"/>
            <w:noWrap/>
            <w:vAlign w:val="center"/>
            <w:hideMark/>
          </w:tcPr>
          <w:p w14:paraId="59D0BC62"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6.775</w:t>
            </w:r>
          </w:p>
        </w:tc>
        <w:tc>
          <w:tcPr>
            <w:tcW w:w="386" w:type="pct"/>
            <w:tcBorders>
              <w:top w:val="nil"/>
              <w:left w:val="nil"/>
              <w:bottom w:val="nil"/>
              <w:right w:val="nil"/>
            </w:tcBorders>
            <w:shd w:val="clear" w:color="auto" w:fill="auto"/>
            <w:noWrap/>
            <w:vAlign w:val="center"/>
            <w:hideMark/>
          </w:tcPr>
          <w:p w14:paraId="37D7CE8C"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7.542</w:t>
            </w:r>
          </w:p>
        </w:tc>
      </w:tr>
      <w:tr w:rsidR="003712EB" w:rsidRPr="003712EB" w14:paraId="1AEEE945" w14:textId="77777777" w:rsidTr="00446A14">
        <w:trPr>
          <w:trHeight w:val="198"/>
        </w:trPr>
        <w:tc>
          <w:tcPr>
            <w:tcW w:w="2835" w:type="pct"/>
            <w:tcBorders>
              <w:top w:val="nil"/>
              <w:left w:val="nil"/>
              <w:bottom w:val="nil"/>
              <w:right w:val="nil"/>
            </w:tcBorders>
            <w:shd w:val="clear" w:color="auto" w:fill="auto"/>
            <w:noWrap/>
            <w:vAlign w:val="center"/>
            <w:hideMark/>
          </w:tcPr>
          <w:p w14:paraId="59E081A7" w14:textId="77777777" w:rsidR="003712EB" w:rsidRPr="003712EB" w:rsidRDefault="003712EB" w:rsidP="003712EB">
            <w:pPr>
              <w:spacing w:after="0" w:line="240" w:lineRule="auto"/>
              <w:ind w:firstLineChars="200" w:firstLine="280"/>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Receitas Diferidas - Realizações </w:t>
            </w:r>
          </w:p>
        </w:tc>
        <w:tc>
          <w:tcPr>
            <w:tcW w:w="441" w:type="pct"/>
            <w:tcBorders>
              <w:top w:val="nil"/>
              <w:left w:val="single" w:sz="8" w:space="0" w:color="0000FF"/>
              <w:bottom w:val="nil"/>
              <w:right w:val="single" w:sz="8" w:space="0" w:color="0000FF"/>
            </w:tcBorders>
            <w:shd w:val="clear" w:color="000000" w:fill="75F6F9"/>
            <w:noWrap/>
            <w:vAlign w:val="center"/>
            <w:hideMark/>
          </w:tcPr>
          <w:p w14:paraId="14DADC3B"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(16.920)</w:t>
            </w:r>
          </w:p>
        </w:tc>
        <w:tc>
          <w:tcPr>
            <w:tcW w:w="441" w:type="pct"/>
            <w:tcBorders>
              <w:top w:val="nil"/>
              <w:left w:val="nil"/>
              <w:bottom w:val="nil"/>
              <w:right w:val="single" w:sz="8" w:space="0" w:color="0000FF"/>
            </w:tcBorders>
            <w:shd w:val="clear" w:color="auto" w:fill="auto"/>
            <w:noWrap/>
            <w:vAlign w:val="center"/>
            <w:hideMark/>
          </w:tcPr>
          <w:p w14:paraId="2B3F80E0"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(22.890)</w:t>
            </w:r>
          </w:p>
        </w:tc>
        <w:tc>
          <w:tcPr>
            <w:tcW w:w="441" w:type="pct"/>
            <w:tcBorders>
              <w:top w:val="nil"/>
              <w:left w:val="nil"/>
              <w:bottom w:val="nil"/>
              <w:right w:val="nil"/>
            </w:tcBorders>
            <w:shd w:val="clear" w:color="auto" w:fill="auto"/>
            <w:noWrap/>
            <w:vAlign w:val="center"/>
            <w:hideMark/>
          </w:tcPr>
          <w:p w14:paraId="3E3FE91E"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(10.823)</w:t>
            </w:r>
          </w:p>
        </w:tc>
        <w:tc>
          <w:tcPr>
            <w:tcW w:w="70" w:type="pct"/>
            <w:tcBorders>
              <w:top w:val="nil"/>
              <w:left w:val="nil"/>
              <w:bottom w:val="nil"/>
              <w:right w:val="nil"/>
            </w:tcBorders>
            <w:shd w:val="clear" w:color="auto" w:fill="auto"/>
            <w:noWrap/>
            <w:vAlign w:val="center"/>
            <w:hideMark/>
          </w:tcPr>
          <w:p w14:paraId="34DEF246"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p>
        </w:tc>
        <w:tc>
          <w:tcPr>
            <w:tcW w:w="386" w:type="pct"/>
            <w:tcBorders>
              <w:top w:val="nil"/>
              <w:left w:val="single" w:sz="8" w:space="0" w:color="0000FF"/>
              <w:bottom w:val="nil"/>
              <w:right w:val="single" w:sz="8" w:space="0" w:color="0000FF"/>
            </w:tcBorders>
            <w:shd w:val="clear" w:color="000000" w:fill="75F6F9"/>
            <w:noWrap/>
            <w:vAlign w:val="center"/>
            <w:hideMark/>
          </w:tcPr>
          <w:p w14:paraId="6801411E"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(83.726)</w:t>
            </w:r>
          </w:p>
        </w:tc>
        <w:tc>
          <w:tcPr>
            <w:tcW w:w="386" w:type="pct"/>
            <w:tcBorders>
              <w:top w:val="nil"/>
              <w:left w:val="nil"/>
              <w:bottom w:val="nil"/>
              <w:right w:val="nil"/>
            </w:tcBorders>
            <w:shd w:val="clear" w:color="auto" w:fill="auto"/>
            <w:noWrap/>
            <w:vAlign w:val="center"/>
            <w:hideMark/>
          </w:tcPr>
          <w:p w14:paraId="132C0600"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(106.458)</w:t>
            </w:r>
          </w:p>
        </w:tc>
      </w:tr>
      <w:tr w:rsidR="003712EB" w:rsidRPr="003712EB" w14:paraId="7BACDD1F" w14:textId="77777777" w:rsidTr="00446A14">
        <w:trPr>
          <w:trHeight w:val="198"/>
        </w:trPr>
        <w:tc>
          <w:tcPr>
            <w:tcW w:w="2835" w:type="pct"/>
            <w:tcBorders>
              <w:top w:val="nil"/>
              <w:left w:val="nil"/>
              <w:bottom w:val="nil"/>
              <w:right w:val="nil"/>
            </w:tcBorders>
            <w:shd w:val="clear" w:color="auto" w:fill="auto"/>
            <w:noWrap/>
            <w:vAlign w:val="center"/>
            <w:hideMark/>
          </w:tcPr>
          <w:p w14:paraId="5A77C98A" w14:textId="77777777" w:rsidR="003712EB" w:rsidRPr="003712EB" w:rsidRDefault="003712EB" w:rsidP="003712EB">
            <w:pPr>
              <w:spacing w:after="0" w:line="240" w:lineRule="auto"/>
              <w:ind w:firstLineChars="200" w:firstLine="280"/>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Equivalência Patrimonial </w:t>
            </w:r>
          </w:p>
        </w:tc>
        <w:tc>
          <w:tcPr>
            <w:tcW w:w="441" w:type="pct"/>
            <w:tcBorders>
              <w:top w:val="nil"/>
              <w:left w:val="single" w:sz="8" w:space="0" w:color="0000FF"/>
              <w:bottom w:val="nil"/>
              <w:right w:val="single" w:sz="8" w:space="0" w:color="0000FF"/>
            </w:tcBorders>
            <w:shd w:val="clear" w:color="000000" w:fill="75F6F9"/>
            <w:noWrap/>
            <w:vAlign w:val="center"/>
            <w:hideMark/>
          </w:tcPr>
          <w:p w14:paraId="407BAC4B"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198</w:t>
            </w:r>
          </w:p>
        </w:tc>
        <w:tc>
          <w:tcPr>
            <w:tcW w:w="441" w:type="pct"/>
            <w:tcBorders>
              <w:top w:val="nil"/>
              <w:left w:val="nil"/>
              <w:bottom w:val="nil"/>
              <w:right w:val="single" w:sz="8" w:space="0" w:color="0000FF"/>
            </w:tcBorders>
            <w:shd w:val="clear" w:color="auto" w:fill="auto"/>
            <w:noWrap/>
            <w:vAlign w:val="center"/>
            <w:hideMark/>
          </w:tcPr>
          <w:p w14:paraId="638D8812"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1.240</w:t>
            </w:r>
          </w:p>
        </w:tc>
        <w:tc>
          <w:tcPr>
            <w:tcW w:w="441" w:type="pct"/>
            <w:tcBorders>
              <w:top w:val="nil"/>
              <w:left w:val="nil"/>
              <w:bottom w:val="nil"/>
              <w:right w:val="nil"/>
            </w:tcBorders>
            <w:shd w:val="clear" w:color="auto" w:fill="auto"/>
            <w:noWrap/>
            <w:vAlign w:val="center"/>
            <w:hideMark/>
          </w:tcPr>
          <w:p w14:paraId="47A9F7AD"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234</w:t>
            </w:r>
          </w:p>
        </w:tc>
        <w:tc>
          <w:tcPr>
            <w:tcW w:w="70" w:type="pct"/>
            <w:tcBorders>
              <w:top w:val="nil"/>
              <w:left w:val="nil"/>
              <w:bottom w:val="nil"/>
              <w:right w:val="nil"/>
            </w:tcBorders>
            <w:shd w:val="clear" w:color="auto" w:fill="auto"/>
            <w:noWrap/>
            <w:vAlign w:val="center"/>
            <w:hideMark/>
          </w:tcPr>
          <w:p w14:paraId="5E8F7938"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p>
        </w:tc>
        <w:tc>
          <w:tcPr>
            <w:tcW w:w="386" w:type="pct"/>
            <w:tcBorders>
              <w:top w:val="nil"/>
              <w:left w:val="single" w:sz="8" w:space="0" w:color="0000FF"/>
              <w:bottom w:val="nil"/>
              <w:right w:val="single" w:sz="8" w:space="0" w:color="0000FF"/>
            </w:tcBorders>
            <w:shd w:val="clear" w:color="000000" w:fill="75F6F9"/>
            <w:noWrap/>
            <w:vAlign w:val="center"/>
            <w:hideMark/>
          </w:tcPr>
          <w:p w14:paraId="412A3D39"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2.254</w:t>
            </w:r>
          </w:p>
        </w:tc>
        <w:tc>
          <w:tcPr>
            <w:tcW w:w="386" w:type="pct"/>
            <w:tcBorders>
              <w:top w:val="nil"/>
              <w:left w:val="nil"/>
              <w:bottom w:val="nil"/>
              <w:right w:val="nil"/>
            </w:tcBorders>
            <w:shd w:val="clear" w:color="auto" w:fill="auto"/>
            <w:noWrap/>
            <w:vAlign w:val="center"/>
            <w:hideMark/>
          </w:tcPr>
          <w:p w14:paraId="0C7B926B"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6.500</w:t>
            </w:r>
          </w:p>
        </w:tc>
      </w:tr>
      <w:tr w:rsidR="003712EB" w:rsidRPr="003712EB" w14:paraId="1D79FD40" w14:textId="77777777" w:rsidTr="00446A14">
        <w:trPr>
          <w:trHeight w:val="198"/>
        </w:trPr>
        <w:tc>
          <w:tcPr>
            <w:tcW w:w="2835" w:type="pct"/>
            <w:tcBorders>
              <w:top w:val="nil"/>
              <w:left w:val="nil"/>
              <w:bottom w:val="nil"/>
              <w:right w:val="nil"/>
            </w:tcBorders>
            <w:shd w:val="clear" w:color="auto" w:fill="auto"/>
            <w:noWrap/>
            <w:vAlign w:val="center"/>
            <w:hideMark/>
          </w:tcPr>
          <w:p w14:paraId="31ABEEB1" w14:textId="77777777" w:rsidR="003712EB" w:rsidRPr="003712EB" w:rsidRDefault="003712EB" w:rsidP="003712EB">
            <w:pPr>
              <w:spacing w:after="0" w:line="240" w:lineRule="auto"/>
              <w:ind w:firstLineChars="200" w:firstLine="280"/>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Encargos Financeiros sobre Adiantamento para Aumento de Capital </w:t>
            </w:r>
          </w:p>
        </w:tc>
        <w:tc>
          <w:tcPr>
            <w:tcW w:w="441" w:type="pct"/>
            <w:tcBorders>
              <w:top w:val="nil"/>
              <w:left w:val="single" w:sz="8" w:space="0" w:color="0000FF"/>
              <w:bottom w:val="nil"/>
              <w:right w:val="single" w:sz="8" w:space="0" w:color="0000FF"/>
            </w:tcBorders>
            <w:shd w:val="clear" w:color="000000" w:fill="75F6F9"/>
            <w:noWrap/>
            <w:vAlign w:val="center"/>
            <w:hideMark/>
          </w:tcPr>
          <w:p w14:paraId="2BF0BCAA"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60.257</w:t>
            </w:r>
          </w:p>
        </w:tc>
        <w:tc>
          <w:tcPr>
            <w:tcW w:w="441" w:type="pct"/>
            <w:tcBorders>
              <w:top w:val="nil"/>
              <w:left w:val="nil"/>
              <w:bottom w:val="nil"/>
              <w:right w:val="single" w:sz="8" w:space="0" w:color="0000FF"/>
            </w:tcBorders>
            <w:shd w:val="clear" w:color="auto" w:fill="auto"/>
            <w:noWrap/>
            <w:vAlign w:val="center"/>
            <w:hideMark/>
          </w:tcPr>
          <w:p w14:paraId="4D82A0B8"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46.298</w:t>
            </w:r>
          </w:p>
        </w:tc>
        <w:tc>
          <w:tcPr>
            <w:tcW w:w="441" w:type="pct"/>
            <w:tcBorders>
              <w:top w:val="nil"/>
              <w:left w:val="nil"/>
              <w:bottom w:val="nil"/>
              <w:right w:val="nil"/>
            </w:tcBorders>
            <w:shd w:val="clear" w:color="auto" w:fill="auto"/>
            <w:noWrap/>
            <w:vAlign w:val="center"/>
            <w:hideMark/>
          </w:tcPr>
          <w:p w14:paraId="275CA051"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47.881</w:t>
            </w:r>
          </w:p>
        </w:tc>
        <w:tc>
          <w:tcPr>
            <w:tcW w:w="70" w:type="pct"/>
            <w:tcBorders>
              <w:top w:val="nil"/>
              <w:left w:val="nil"/>
              <w:bottom w:val="nil"/>
              <w:right w:val="nil"/>
            </w:tcBorders>
            <w:shd w:val="clear" w:color="auto" w:fill="auto"/>
            <w:noWrap/>
            <w:vAlign w:val="center"/>
            <w:hideMark/>
          </w:tcPr>
          <w:p w14:paraId="277F055D"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p>
        </w:tc>
        <w:tc>
          <w:tcPr>
            <w:tcW w:w="386" w:type="pct"/>
            <w:tcBorders>
              <w:top w:val="nil"/>
              <w:left w:val="single" w:sz="8" w:space="0" w:color="0000FF"/>
              <w:bottom w:val="nil"/>
              <w:right w:val="single" w:sz="8" w:space="0" w:color="0000FF"/>
            </w:tcBorders>
            <w:shd w:val="clear" w:color="000000" w:fill="75F6F9"/>
            <w:noWrap/>
            <w:vAlign w:val="center"/>
            <w:hideMark/>
          </w:tcPr>
          <w:p w14:paraId="4EFD94A1"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198.416</w:t>
            </w:r>
          </w:p>
        </w:tc>
        <w:tc>
          <w:tcPr>
            <w:tcW w:w="386" w:type="pct"/>
            <w:tcBorders>
              <w:top w:val="nil"/>
              <w:left w:val="nil"/>
              <w:bottom w:val="nil"/>
              <w:right w:val="nil"/>
            </w:tcBorders>
            <w:shd w:val="clear" w:color="auto" w:fill="auto"/>
            <w:noWrap/>
            <w:vAlign w:val="center"/>
            <w:hideMark/>
          </w:tcPr>
          <w:p w14:paraId="713BC824"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185.767</w:t>
            </w:r>
          </w:p>
        </w:tc>
      </w:tr>
      <w:tr w:rsidR="003712EB" w:rsidRPr="003712EB" w14:paraId="367172E5" w14:textId="77777777" w:rsidTr="00446A14">
        <w:trPr>
          <w:trHeight w:val="198"/>
        </w:trPr>
        <w:tc>
          <w:tcPr>
            <w:tcW w:w="2835" w:type="pct"/>
            <w:tcBorders>
              <w:top w:val="nil"/>
              <w:left w:val="nil"/>
              <w:bottom w:val="nil"/>
              <w:right w:val="nil"/>
            </w:tcBorders>
            <w:shd w:val="clear" w:color="auto" w:fill="auto"/>
            <w:noWrap/>
            <w:vAlign w:val="center"/>
            <w:hideMark/>
          </w:tcPr>
          <w:p w14:paraId="6BF53094" w14:textId="77777777" w:rsidR="003712EB" w:rsidRPr="003712EB" w:rsidRDefault="003712EB" w:rsidP="003712EB">
            <w:pPr>
              <w:spacing w:after="0" w:line="240" w:lineRule="auto"/>
              <w:ind w:firstLineChars="200" w:firstLine="280"/>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Encargos Financeiros sobre Empréstimos e Financiamentos </w:t>
            </w:r>
          </w:p>
        </w:tc>
        <w:tc>
          <w:tcPr>
            <w:tcW w:w="441" w:type="pct"/>
            <w:tcBorders>
              <w:top w:val="nil"/>
              <w:left w:val="single" w:sz="8" w:space="0" w:color="0000FF"/>
              <w:bottom w:val="nil"/>
              <w:right w:val="single" w:sz="8" w:space="0" w:color="0000FF"/>
            </w:tcBorders>
            <w:shd w:val="clear" w:color="000000" w:fill="75F6F9"/>
            <w:noWrap/>
            <w:vAlign w:val="center"/>
            <w:hideMark/>
          </w:tcPr>
          <w:p w14:paraId="38557DAD"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1.006</w:t>
            </w:r>
          </w:p>
        </w:tc>
        <w:tc>
          <w:tcPr>
            <w:tcW w:w="441" w:type="pct"/>
            <w:tcBorders>
              <w:top w:val="nil"/>
              <w:left w:val="nil"/>
              <w:bottom w:val="nil"/>
              <w:right w:val="single" w:sz="8" w:space="0" w:color="0000FF"/>
            </w:tcBorders>
            <w:shd w:val="clear" w:color="auto" w:fill="auto"/>
            <w:noWrap/>
            <w:vAlign w:val="center"/>
            <w:hideMark/>
          </w:tcPr>
          <w:p w14:paraId="42C31C81"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1.762</w:t>
            </w:r>
          </w:p>
        </w:tc>
        <w:tc>
          <w:tcPr>
            <w:tcW w:w="441" w:type="pct"/>
            <w:tcBorders>
              <w:top w:val="nil"/>
              <w:left w:val="nil"/>
              <w:bottom w:val="nil"/>
              <w:right w:val="nil"/>
            </w:tcBorders>
            <w:shd w:val="clear" w:color="auto" w:fill="auto"/>
            <w:noWrap/>
            <w:vAlign w:val="center"/>
            <w:hideMark/>
          </w:tcPr>
          <w:p w14:paraId="522965B7"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1.387</w:t>
            </w:r>
          </w:p>
        </w:tc>
        <w:tc>
          <w:tcPr>
            <w:tcW w:w="70" w:type="pct"/>
            <w:tcBorders>
              <w:top w:val="nil"/>
              <w:left w:val="nil"/>
              <w:bottom w:val="nil"/>
              <w:right w:val="nil"/>
            </w:tcBorders>
            <w:shd w:val="clear" w:color="auto" w:fill="auto"/>
            <w:noWrap/>
            <w:vAlign w:val="center"/>
            <w:hideMark/>
          </w:tcPr>
          <w:p w14:paraId="19300A0E"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p>
        </w:tc>
        <w:tc>
          <w:tcPr>
            <w:tcW w:w="386" w:type="pct"/>
            <w:tcBorders>
              <w:top w:val="nil"/>
              <w:left w:val="single" w:sz="8" w:space="0" w:color="0000FF"/>
              <w:bottom w:val="nil"/>
              <w:right w:val="single" w:sz="8" w:space="0" w:color="0000FF"/>
            </w:tcBorders>
            <w:shd w:val="clear" w:color="000000" w:fill="75F6F9"/>
            <w:noWrap/>
            <w:vAlign w:val="center"/>
            <w:hideMark/>
          </w:tcPr>
          <w:p w14:paraId="62FE7621"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5.474</w:t>
            </w:r>
          </w:p>
        </w:tc>
        <w:tc>
          <w:tcPr>
            <w:tcW w:w="386" w:type="pct"/>
            <w:tcBorders>
              <w:top w:val="nil"/>
              <w:left w:val="nil"/>
              <w:bottom w:val="nil"/>
              <w:right w:val="nil"/>
            </w:tcBorders>
            <w:shd w:val="clear" w:color="auto" w:fill="auto"/>
            <w:noWrap/>
            <w:vAlign w:val="center"/>
            <w:hideMark/>
          </w:tcPr>
          <w:p w14:paraId="5706AEEC"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6.708</w:t>
            </w:r>
          </w:p>
        </w:tc>
      </w:tr>
      <w:tr w:rsidR="003712EB" w:rsidRPr="003712EB" w14:paraId="06B37186" w14:textId="77777777" w:rsidTr="00446A14">
        <w:trPr>
          <w:trHeight w:val="198"/>
        </w:trPr>
        <w:tc>
          <w:tcPr>
            <w:tcW w:w="2835" w:type="pct"/>
            <w:tcBorders>
              <w:top w:val="nil"/>
              <w:left w:val="nil"/>
              <w:bottom w:val="nil"/>
              <w:right w:val="nil"/>
            </w:tcBorders>
            <w:shd w:val="clear" w:color="auto" w:fill="auto"/>
            <w:noWrap/>
            <w:vAlign w:val="center"/>
            <w:hideMark/>
          </w:tcPr>
          <w:p w14:paraId="395188E5" w14:textId="77777777" w:rsidR="003712EB" w:rsidRPr="003712EB" w:rsidRDefault="003712EB" w:rsidP="003712EB">
            <w:pPr>
              <w:spacing w:after="0" w:line="240" w:lineRule="auto"/>
              <w:ind w:firstLineChars="200" w:firstLine="280"/>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Provisão para Programa de Indenização por Serviços Prestados </w:t>
            </w:r>
          </w:p>
        </w:tc>
        <w:tc>
          <w:tcPr>
            <w:tcW w:w="441" w:type="pct"/>
            <w:tcBorders>
              <w:top w:val="nil"/>
              <w:left w:val="single" w:sz="8" w:space="0" w:color="0000FF"/>
              <w:bottom w:val="nil"/>
              <w:right w:val="single" w:sz="8" w:space="0" w:color="0000FF"/>
            </w:tcBorders>
            <w:shd w:val="clear" w:color="000000" w:fill="75F6F9"/>
            <w:noWrap/>
            <w:vAlign w:val="center"/>
            <w:hideMark/>
          </w:tcPr>
          <w:p w14:paraId="07FD7A88"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(5)</w:t>
            </w:r>
          </w:p>
        </w:tc>
        <w:tc>
          <w:tcPr>
            <w:tcW w:w="441" w:type="pct"/>
            <w:tcBorders>
              <w:top w:val="nil"/>
              <w:left w:val="nil"/>
              <w:bottom w:val="nil"/>
              <w:right w:val="single" w:sz="8" w:space="0" w:color="0000FF"/>
            </w:tcBorders>
            <w:shd w:val="clear" w:color="auto" w:fill="auto"/>
            <w:noWrap/>
            <w:vAlign w:val="center"/>
            <w:hideMark/>
          </w:tcPr>
          <w:p w14:paraId="225275DF"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(455)</w:t>
            </w:r>
          </w:p>
        </w:tc>
        <w:tc>
          <w:tcPr>
            <w:tcW w:w="441" w:type="pct"/>
            <w:tcBorders>
              <w:top w:val="nil"/>
              <w:left w:val="nil"/>
              <w:bottom w:val="nil"/>
              <w:right w:val="nil"/>
            </w:tcBorders>
            <w:shd w:val="clear" w:color="auto" w:fill="auto"/>
            <w:noWrap/>
            <w:vAlign w:val="center"/>
            <w:hideMark/>
          </w:tcPr>
          <w:p w14:paraId="5080A3E8"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1.382</w:t>
            </w:r>
          </w:p>
        </w:tc>
        <w:tc>
          <w:tcPr>
            <w:tcW w:w="70" w:type="pct"/>
            <w:tcBorders>
              <w:top w:val="nil"/>
              <w:left w:val="nil"/>
              <w:bottom w:val="nil"/>
              <w:right w:val="nil"/>
            </w:tcBorders>
            <w:shd w:val="clear" w:color="auto" w:fill="auto"/>
            <w:noWrap/>
            <w:vAlign w:val="center"/>
            <w:hideMark/>
          </w:tcPr>
          <w:p w14:paraId="721CE873"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p>
        </w:tc>
        <w:tc>
          <w:tcPr>
            <w:tcW w:w="386" w:type="pct"/>
            <w:tcBorders>
              <w:top w:val="nil"/>
              <w:left w:val="single" w:sz="8" w:space="0" w:color="0000FF"/>
              <w:bottom w:val="nil"/>
              <w:right w:val="single" w:sz="8" w:space="0" w:color="0000FF"/>
            </w:tcBorders>
            <w:shd w:val="clear" w:color="000000" w:fill="75F6F9"/>
            <w:noWrap/>
            <w:vAlign w:val="center"/>
            <w:hideMark/>
          </w:tcPr>
          <w:p w14:paraId="5A0E7691"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1.494</w:t>
            </w:r>
          </w:p>
        </w:tc>
        <w:tc>
          <w:tcPr>
            <w:tcW w:w="386" w:type="pct"/>
            <w:tcBorders>
              <w:top w:val="nil"/>
              <w:left w:val="nil"/>
              <w:bottom w:val="nil"/>
              <w:right w:val="nil"/>
            </w:tcBorders>
            <w:shd w:val="clear" w:color="auto" w:fill="auto"/>
            <w:noWrap/>
            <w:vAlign w:val="center"/>
            <w:hideMark/>
          </w:tcPr>
          <w:p w14:paraId="77E77D00"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2.332</w:t>
            </w:r>
          </w:p>
        </w:tc>
      </w:tr>
      <w:tr w:rsidR="003712EB" w:rsidRPr="003712EB" w14:paraId="0B248B47" w14:textId="77777777" w:rsidTr="00446A14">
        <w:trPr>
          <w:trHeight w:val="198"/>
        </w:trPr>
        <w:tc>
          <w:tcPr>
            <w:tcW w:w="2835" w:type="pct"/>
            <w:tcBorders>
              <w:top w:val="nil"/>
              <w:left w:val="nil"/>
              <w:bottom w:val="nil"/>
              <w:right w:val="nil"/>
            </w:tcBorders>
            <w:shd w:val="clear" w:color="auto" w:fill="auto"/>
            <w:noWrap/>
            <w:vAlign w:val="center"/>
            <w:hideMark/>
          </w:tcPr>
          <w:p w14:paraId="2D16D35C" w14:textId="77777777" w:rsidR="003712EB" w:rsidRPr="003712EB" w:rsidRDefault="003712EB" w:rsidP="003712EB">
            <w:pPr>
              <w:spacing w:after="0" w:line="240" w:lineRule="auto"/>
              <w:ind w:firstLineChars="200" w:firstLine="280"/>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Variação Monetária/Juros de Credores por Perdas Judiciais </w:t>
            </w:r>
          </w:p>
        </w:tc>
        <w:tc>
          <w:tcPr>
            <w:tcW w:w="441" w:type="pct"/>
            <w:tcBorders>
              <w:top w:val="nil"/>
              <w:left w:val="single" w:sz="8" w:space="0" w:color="0000FF"/>
              <w:bottom w:val="nil"/>
              <w:right w:val="single" w:sz="8" w:space="0" w:color="0000FF"/>
            </w:tcBorders>
            <w:shd w:val="clear" w:color="000000" w:fill="75F6F9"/>
            <w:noWrap/>
            <w:vAlign w:val="center"/>
            <w:hideMark/>
          </w:tcPr>
          <w:p w14:paraId="5FB7344E"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3.030</w:t>
            </w:r>
          </w:p>
        </w:tc>
        <w:tc>
          <w:tcPr>
            <w:tcW w:w="441" w:type="pct"/>
            <w:tcBorders>
              <w:top w:val="nil"/>
              <w:left w:val="nil"/>
              <w:bottom w:val="nil"/>
              <w:right w:val="single" w:sz="8" w:space="0" w:color="0000FF"/>
            </w:tcBorders>
            <w:shd w:val="clear" w:color="auto" w:fill="auto"/>
            <w:noWrap/>
            <w:vAlign w:val="center"/>
            <w:hideMark/>
          </w:tcPr>
          <w:p w14:paraId="125E83E8"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4.487</w:t>
            </w:r>
          </w:p>
        </w:tc>
        <w:tc>
          <w:tcPr>
            <w:tcW w:w="441" w:type="pct"/>
            <w:tcBorders>
              <w:top w:val="nil"/>
              <w:left w:val="nil"/>
              <w:bottom w:val="nil"/>
              <w:right w:val="nil"/>
            </w:tcBorders>
            <w:shd w:val="clear" w:color="auto" w:fill="auto"/>
            <w:noWrap/>
            <w:vAlign w:val="center"/>
            <w:hideMark/>
          </w:tcPr>
          <w:p w14:paraId="4EF72084"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2.391</w:t>
            </w:r>
          </w:p>
        </w:tc>
        <w:tc>
          <w:tcPr>
            <w:tcW w:w="70" w:type="pct"/>
            <w:tcBorders>
              <w:top w:val="nil"/>
              <w:left w:val="nil"/>
              <w:bottom w:val="nil"/>
              <w:right w:val="nil"/>
            </w:tcBorders>
            <w:shd w:val="clear" w:color="auto" w:fill="auto"/>
            <w:noWrap/>
            <w:vAlign w:val="center"/>
            <w:hideMark/>
          </w:tcPr>
          <w:p w14:paraId="79A73B7F"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p>
        </w:tc>
        <w:tc>
          <w:tcPr>
            <w:tcW w:w="386" w:type="pct"/>
            <w:tcBorders>
              <w:top w:val="nil"/>
              <w:left w:val="single" w:sz="8" w:space="0" w:color="0000FF"/>
              <w:bottom w:val="nil"/>
              <w:right w:val="single" w:sz="8" w:space="0" w:color="0000FF"/>
            </w:tcBorders>
            <w:shd w:val="clear" w:color="000000" w:fill="75F6F9"/>
            <w:noWrap/>
            <w:vAlign w:val="center"/>
            <w:hideMark/>
          </w:tcPr>
          <w:p w14:paraId="1FA26549"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13.678</w:t>
            </w:r>
          </w:p>
        </w:tc>
        <w:tc>
          <w:tcPr>
            <w:tcW w:w="386" w:type="pct"/>
            <w:tcBorders>
              <w:top w:val="nil"/>
              <w:left w:val="nil"/>
              <w:bottom w:val="nil"/>
              <w:right w:val="nil"/>
            </w:tcBorders>
            <w:shd w:val="clear" w:color="auto" w:fill="auto"/>
            <w:noWrap/>
            <w:vAlign w:val="center"/>
            <w:hideMark/>
          </w:tcPr>
          <w:p w14:paraId="34145599"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18.483</w:t>
            </w:r>
          </w:p>
        </w:tc>
      </w:tr>
      <w:tr w:rsidR="003712EB" w:rsidRPr="003712EB" w14:paraId="7A96A0FD" w14:textId="77777777" w:rsidTr="00446A14">
        <w:trPr>
          <w:trHeight w:val="198"/>
        </w:trPr>
        <w:tc>
          <w:tcPr>
            <w:tcW w:w="2835" w:type="pct"/>
            <w:tcBorders>
              <w:top w:val="nil"/>
              <w:left w:val="nil"/>
              <w:bottom w:val="nil"/>
              <w:right w:val="nil"/>
            </w:tcBorders>
            <w:shd w:val="clear" w:color="auto" w:fill="auto"/>
            <w:noWrap/>
            <w:vAlign w:val="center"/>
            <w:hideMark/>
          </w:tcPr>
          <w:p w14:paraId="13FFDB38" w14:textId="77777777" w:rsidR="003712EB" w:rsidRPr="003712EB" w:rsidRDefault="003712EB" w:rsidP="003712EB">
            <w:pPr>
              <w:spacing w:after="0" w:line="240" w:lineRule="auto"/>
              <w:ind w:firstLineChars="200" w:firstLine="280"/>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Variação Monetária de Depósitos Judiciais </w:t>
            </w:r>
          </w:p>
        </w:tc>
        <w:tc>
          <w:tcPr>
            <w:tcW w:w="441" w:type="pct"/>
            <w:tcBorders>
              <w:top w:val="nil"/>
              <w:left w:val="single" w:sz="8" w:space="0" w:color="0000FF"/>
              <w:bottom w:val="nil"/>
              <w:right w:val="single" w:sz="8" w:space="0" w:color="0000FF"/>
            </w:tcBorders>
            <w:shd w:val="clear" w:color="000000" w:fill="75F6F9"/>
            <w:noWrap/>
            <w:vAlign w:val="center"/>
            <w:hideMark/>
          </w:tcPr>
          <w:p w14:paraId="59899E34"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(910)</w:t>
            </w:r>
          </w:p>
        </w:tc>
        <w:tc>
          <w:tcPr>
            <w:tcW w:w="441" w:type="pct"/>
            <w:tcBorders>
              <w:top w:val="nil"/>
              <w:left w:val="nil"/>
              <w:bottom w:val="nil"/>
              <w:right w:val="single" w:sz="8" w:space="0" w:color="0000FF"/>
            </w:tcBorders>
            <w:shd w:val="clear" w:color="auto" w:fill="auto"/>
            <w:noWrap/>
            <w:vAlign w:val="center"/>
            <w:hideMark/>
          </w:tcPr>
          <w:p w14:paraId="0F8706D6"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(887)</w:t>
            </w:r>
          </w:p>
        </w:tc>
        <w:tc>
          <w:tcPr>
            <w:tcW w:w="441" w:type="pct"/>
            <w:tcBorders>
              <w:top w:val="nil"/>
              <w:left w:val="nil"/>
              <w:bottom w:val="nil"/>
              <w:right w:val="nil"/>
            </w:tcBorders>
            <w:shd w:val="clear" w:color="auto" w:fill="auto"/>
            <w:noWrap/>
            <w:vAlign w:val="center"/>
            <w:hideMark/>
          </w:tcPr>
          <w:p w14:paraId="4A1E0055"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(1.199)</w:t>
            </w:r>
          </w:p>
        </w:tc>
        <w:tc>
          <w:tcPr>
            <w:tcW w:w="70" w:type="pct"/>
            <w:tcBorders>
              <w:top w:val="nil"/>
              <w:left w:val="nil"/>
              <w:bottom w:val="nil"/>
              <w:right w:val="nil"/>
            </w:tcBorders>
            <w:shd w:val="clear" w:color="auto" w:fill="auto"/>
            <w:noWrap/>
            <w:vAlign w:val="center"/>
            <w:hideMark/>
          </w:tcPr>
          <w:p w14:paraId="7BFF8661"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p>
        </w:tc>
        <w:tc>
          <w:tcPr>
            <w:tcW w:w="386" w:type="pct"/>
            <w:tcBorders>
              <w:top w:val="nil"/>
              <w:left w:val="single" w:sz="8" w:space="0" w:color="0000FF"/>
              <w:bottom w:val="nil"/>
              <w:right w:val="single" w:sz="8" w:space="0" w:color="0000FF"/>
            </w:tcBorders>
            <w:shd w:val="clear" w:color="000000" w:fill="75F6F9"/>
            <w:noWrap/>
            <w:vAlign w:val="center"/>
            <w:hideMark/>
          </w:tcPr>
          <w:p w14:paraId="14D33EB6"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(4.142)</w:t>
            </w:r>
          </w:p>
        </w:tc>
        <w:tc>
          <w:tcPr>
            <w:tcW w:w="386" w:type="pct"/>
            <w:tcBorders>
              <w:top w:val="nil"/>
              <w:left w:val="nil"/>
              <w:bottom w:val="nil"/>
              <w:right w:val="nil"/>
            </w:tcBorders>
            <w:shd w:val="clear" w:color="auto" w:fill="auto"/>
            <w:noWrap/>
            <w:vAlign w:val="center"/>
            <w:hideMark/>
          </w:tcPr>
          <w:p w14:paraId="07198F2F"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(3.467)</w:t>
            </w:r>
          </w:p>
        </w:tc>
      </w:tr>
      <w:tr w:rsidR="003712EB" w:rsidRPr="003712EB" w14:paraId="34F2C7A8" w14:textId="77777777" w:rsidTr="00446A14">
        <w:trPr>
          <w:trHeight w:val="198"/>
        </w:trPr>
        <w:tc>
          <w:tcPr>
            <w:tcW w:w="2835" w:type="pct"/>
            <w:tcBorders>
              <w:top w:val="nil"/>
              <w:left w:val="nil"/>
              <w:bottom w:val="nil"/>
              <w:right w:val="nil"/>
            </w:tcBorders>
            <w:shd w:val="clear" w:color="auto" w:fill="auto"/>
            <w:noWrap/>
            <w:vAlign w:val="center"/>
            <w:hideMark/>
          </w:tcPr>
          <w:p w14:paraId="7FAAFC79" w14:textId="77777777" w:rsidR="003712EB" w:rsidRPr="003712EB" w:rsidRDefault="003712EB" w:rsidP="003712EB">
            <w:pPr>
              <w:spacing w:after="0" w:line="240" w:lineRule="auto"/>
              <w:ind w:firstLineChars="200" w:firstLine="280"/>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Perdas Estimadas com Créditos de Liquidação Duvidosa </w:t>
            </w:r>
          </w:p>
        </w:tc>
        <w:tc>
          <w:tcPr>
            <w:tcW w:w="441" w:type="pct"/>
            <w:tcBorders>
              <w:top w:val="nil"/>
              <w:left w:val="single" w:sz="8" w:space="0" w:color="0000FF"/>
              <w:bottom w:val="nil"/>
              <w:right w:val="single" w:sz="8" w:space="0" w:color="0000FF"/>
            </w:tcBorders>
            <w:shd w:val="clear" w:color="000000" w:fill="75F6F9"/>
            <w:noWrap/>
            <w:vAlign w:val="center"/>
            <w:hideMark/>
          </w:tcPr>
          <w:p w14:paraId="5DA4A3D1"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(6.228)</w:t>
            </w:r>
          </w:p>
        </w:tc>
        <w:tc>
          <w:tcPr>
            <w:tcW w:w="441" w:type="pct"/>
            <w:tcBorders>
              <w:top w:val="nil"/>
              <w:left w:val="nil"/>
              <w:bottom w:val="nil"/>
              <w:right w:val="single" w:sz="8" w:space="0" w:color="0000FF"/>
            </w:tcBorders>
            <w:shd w:val="clear" w:color="auto" w:fill="auto"/>
            <w:noWrap/>
            <w:vAlign w:val="center"/>
            <w:hideMark/>
          </w:tcPr>
          <w:p w14:paraId="102D7E7E"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(2.486)</w:t>
            </w:r>
          </w:p>
        </w:tc>
        <w:tc>
          <w:tcPr>
            <w:tcW w:w="441" w:type="pct"/>
            <w:tcBorders>
              <w:top w:val="nil"/>
              <w:left w:val="nil"/>
              <w:bottom w:val="nil"/>
              <w:right w:val="nil"/>
            </w:tcBorders>
            <w:shd w:val="clear" w:color="auto" w:fill="auto"/>
            <w:noWrap/>
            <w:vAlign w:val="center"/>
            <w:hideMark/>
          </w:tcPr>
          <w:p w14:paraId="3C5A5B06"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3.629</w:t>
            </w:r>
          </w:p>
        </w:tc>
        <w:tc>
          <w:tcPr>
            <w:tcW w:w="70" w:type="pct"/>
            <w:tcBorders>
              <w:top w:val="nil"/>
              <w:left w:val="nil"/>
              <w:bottom w:val="nil"/>
              <w:right w:val="nil"/>
            </w:tcBorders>
            <w:shd w:val="clear" w:color="auto" w:fill="auto"/>
            <w:noWrap/>
            <w:vAlign w:val="center"/>
            <w:hideMark/>
          </w:tcPr>
          <w:p w14:paraId="7162D84F"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p>
        </w:tc>
        <w:tc>
          <w:tcPr>
            <w:tcW w:w="386" w:type="pct"/>
            <w:tcBorders>
              <w:top w:val="nil"/>
              <w:left w:val="single" w:sz="8" w:space="0" w:color="0000FF"/>
              <w:bottom w:val="nil"/>
              <w:right w:val="single" w:sz="8" w:space="0" w:color="0000FF"/>
            </w:tcBorders>
            <w:shd w:val="clear" w:color="000000" w:fill="75F6F9"/>
            <w:noWrap/>
            <w:vAlign w:val="center"/>
            <w:hideMark/>
          </w:tcPr>
          <w:p w14:paraId="78113473"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1.314</w:t>
            </w:r>
          </w:p>
        </w:tc>
        <w:tc>
          <w:tcPr>
            <w:tcW w:w="386" w:type="pct"/>
            <w:tcBorders>
              <w:top w:val="nil"/>
              <w:left w:val="nil"/>
              <w:bottom w:val="nil"/>
              <w:right w:val="nil"/>
            </w:tcBorders>
            <w:shd w:val="clear" w:color="auto" w:fill="auto"/>
            <w:noWrap/>
            <w:vAlign w:val="center"/>
            <w:hideMark/>
          </w:tcPr>
          <w:p w14:paraId="47161364"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(1.042)</w:t>
            </w:r>
          </w:p>
        </w:tc>
      </w:tr>
      <w:tr w:rsidR="003712EB" w:rsidRPr="003712EB" w14:paraId="5610B02A" w14:textId="77777777" w:rsidTr="00446A14">
        <w:trPr>
          <w:trHeight w:val="198"/>
        </w:trPr>
        <w:tc>
          <w:tcPr>
            <w:tcW w:w="2835" w:type="pct"/>
            <w:tcBorders>
              <w:top w:val="nil"/>
              <w:left w:val="nil"/>
              <w:bottom w:val="nil"/>
              <w:right w:val="nil"/>
            </w:tcBorders>
            <w:shd w:val="clear" w:color="auto" w:fill="auto"/>
            <w:noWrap/>
            <w:vAlign w:val="center"/>
            <w:hideMark/>
          </w:tcPr>
          <w:p w14:paraId="60E25A30" w14:textId="77777777" w:rsidR="003712EB" w:rsidRPr="003712EB" w:rsidRDefault="003712EB" w:rsidP="003712EB">
            <w:pPr>
              <w:spacing w:after="0" w:line="240" w:lineRule="auto"/>
              <w:ind w:firstLineChars="200" w:firstLine="280"/>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Despesas Financeiras - Apropriação de Juros a Incorrer - IFRS 16 </w:t>
            </w:r>
          </w:p>
        </w:tc>
        <w:tc>
          <w:tcPr>
            <w:tcW w:w="441" w:type="pct"/>
            <w:tcBorders>
              <w:top w:val="nil"/>
              <w:left w:val="single" w:sz="8" w:space="0" w:color="0000FF"/>
              <w:bottom w:val="nil"/>
              <w:right w:val="single" w:sz="8" w:space="0" w:color="0000FF"/>
            </w:tcBorders>
            <w:shd w:val="clear" w:color="000000" w:fill="75F6F9"/>
            <w:noWrap/>
            <w:vAlign w:val="center"/>
            <w:hideMark/>
          </w:tcPr>
          <w:p w14:paraId="66AABB54"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329</w:t>
            </w:r>
          </w:p>
        </w:tc>
        <w:tc>
          <w:tcPr>
            <w:tcW w:w="441" w:type="pct"/>
            <w:tcBorders>
              <w:top w:val="nil"/>
              <w:left w:val="nil"/>
              <w:bottom w:val="nil"/>
              <w:right w:val="single" w:sz="8" w:space="0" w:color="0000FF"/>
            </w:tcBorders>
            <w:shd w:val="clear" w:color="auto" w:fill="auto"/>
            <w:noWrap/>
            <w:vAlign w:val="center"/>
            <w:hideMark/>
          </w:tcPr>
          <w:p w14:paraId="3EE161D4"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242</w:t>
            </w:r>
          </w:p>
        </w:tc>
        <w:tc>
          <w:tcPr>
            <w:tcW w:w="441" w:type="pct"/>
            <w:tcBorders>
              <w:top w:val="nil"/>
              <w:left w:val="nil"/>
              <w:bottom w:val="nil"/>
              <w:right w:val="nil"/>
            </w:tcBorders>
            <w:shd w:val="clear" w:color="auto" w:fill="auto"/>
            <w:noWrap/>
            <w:vAlign w:val="center"/>
            <w:hideMark/>
          </w:tcPr>
          <w:p w14:paraId="6772D376"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220</w:t>
            </w:r>
          </w:p>
        </w:tc>
        <w:tc>
          <w:tcPr>
            <w:tcW w:w="70" w:type="pct"/>
            <w:tcBorders>
              <w:top w:val="nil"/>
              <w:left w:val="nil"/>
              <w:bottom w:val="nil"/>
              <w:right w:val="nil"/>
            </w:tcBorders>
            <w:shd w:val="clear" w:color="auto" w:fill="auto"/>
            <w:noWrap/>
            <w:vAlign w:val="center"/>
            <w:hideMark/>
          </w:tcPr>
          <w:p w14:paraId="3B2740B7"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p>
        </w:tc>
        <w:tc>
          <w:tcPr>
            <w:tcW w:w="386" w:type="pct"/>
            <w:tcBorders>
              <w:top w:val="nil"/>
              <w:left w:val="single" w:sz="8" w:space="0" w:color="0000FF"/>
              <w:bottom w:val="nil"/>
              <w:right w:val="single" w:sz="8" w:space="0" w:color="0000FF"/>
            </w:tcBorders>
            <w:shd w:val="clear" w:color="000000" w:fill="75F6F9"/>
            <w:noWrap/>
            <w:vAlign w:val="center"/>
            <w:hideMark/>
          </w:tcPr>
          <w:p w14:paraId="6BEA8711"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1.034</w:t>
            </w:r>
          </w:p>
        </w:tc>
        <w:tc>
          <w:tcPr>
            <w:tcW w:w="386" w:type="pct"/>
            <w:tcBorders>
              <w:top w:val="nil"/>
              <w:left w:val="nil"/>
              <w:bottom w:val="nil"/>
              <w:right w:val="nil"/>
            </w:tcBorders>
            <w:shd w:val="clear" w:color="auto" w:fill="auto"/>
            <w:noWrap/>
            <w:vAlign w:val="center"/>
            <w:hideMark/>
          </w:tcPr>
          <w:p w14:paraId="1F4C882C"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939</w:t>
            </w:r>
          </w:p>
        </w:tc>
      </w:tr>
      <w:tr w:rsidR="003712EB" w:rsidRPr="003712EB" w14:paraId="275202BC" w14:textId="77777777" w:rsidTr="00446A14">
        <w:trPr>
          <w:trHeight w:val="198"/>
        </w:trPr>
        <w:tc>
          <w:tcPr>
            <w:tcW w:w="2835" w:type="pct"/>
            <w:tcBorders>
              <w:top w:val="nil"/>
              <w:left w:val="nil"/>
              <w:bottom w:val="nil"/>
              <w:right w:val="nil"/>
            </w:tcBorders>
            <w:shd w:val="clear" w:color="auto" w:fill="auto"/>
            <w:noWrap/>
            <w:vAlign w:val="center"/>
            <w:hideMark/>
          </w:tcPr>
          <w:p w14:paraId="59430D3A" w14:textId="77777777" w:rsidR="003712EB" w:rsidRPr="003712EB" w:rsidRDefault="003712EB" w:rsidP="003712EB">
            <w:pPr>
              <w:spacing w:after="0" w:line="240" w:lineRule="auto"/>
              <w:ind w:firstLineChars="200" w:firstLine="280"/>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Dividendos/Juros sobre Capital Próprio </w:t>
            </w:r>
          </w:p>
        </w:tc>
        <w:tc>
          <w:tcPr>
            <w:tcW w:w="441" w:type="pct"/>
            <w:tcBorders>
              <w:top w:val="nil"/>
              <w:left w:val="single" w:sz="8" w:space="0" w:color="0000FF"/>
              <w:bottom w:val="nil"/>
              <w:right w:val="single" w:sz="8" w:space="0" w:color="0000FF"/>
            </w:tcBorders>
            <w:shd w:val="clear" w:color="000000" w:fill="75F6F9"/>
            <w:noWrap/>
            <w:vAlign w:val="center"/>
            <w:hideMark/>
          </w:tcPr>
          <w:p w14:paraId="7C5F5F54"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 </w:t>
            </w:r>
          </w:p>
        </w:tc>
        <w:tc>
          <w:tcPr>
            <w:tcW w:w="441" w:type="pct"/>
            <w:tcBorders>
              <w:top w:val="nil"/>
              <w:left w:val="nil"/>
              <w:bottom w:val="nil"/>
              <w:right w:val="single" w:sz="8" w:space="0" w:color="0000FF"/>
            </w:tcBorders>
            <w:shd w:val="clear" w:color="auto" w:fill="auto"/>
            <w:noWrap/>
            <w:vAlign w:val="center"/>
            <w:hideMark/>
          </w:tcPr>
          <w:p w14:paraId="71D923FB"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 </w:t>
            </w:r>
          </w:p>
        </w:tc>
        <w:tc>
          <w:tcPr>
            <w:tcW w:w="441" w:type="pct"/>
            <w:tcBorders>
              <w:top w:val="nil"/>
              <w:left w:val="nil"/>
              <w:bottom w:val="nil"/>
              <w:right w:val="nil"/>
            </w:tcBorders>
            <w:shd w:val="clear" w:color="auto" w:fill="auto"/>
            <w:noWrap/>
            <w:vAlign w:val="center"/>
            <w:hideMark/>
          </w:tcPr>
          <w:p w14:paraId="324647CD"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 </w:t>
            </w:r>
          </w:p>
        </w:tc>
        <w:tc>
          <w:tcPr>
            <w:tcW w:w="70" w:type="pct"/>
            <w:tcBorders>
              <w:top w:val="nil"/>
              <w:left w:val="nil"/>
              <w:bottom w:val="nil"/>
              <w:right w:val="nil"/>
            </w:tcBorders>
            <w:shd w:val="clear" w:color="auto" w:fill="auto"/>
            <w:noWrap/>
            <w:vAlign w:val="center"/>
            <w:hideMark/>
          </w:tcPr>
          <w:p w14:paraId="4D3D4170"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p>
        </w:tc>
        <w:tc>
          <w:tcPr>
            <w:tcW w:w="386" w:type="pct"/>
            <w:tcBorders>
              <w:top w:val="nil"/>
              <w:left w:val="single" w:sz="8" w:space="0" w:color="0000FF"/>
              <w:bottom w:val="nil"/>
              <w:right w:val="single" w:sz="8" w:space="0" w:color="0000FF"/>
            </w:tcBorders>
            <w:shd w:val="clear" w:color="000000" w:fill="75F6F9"/>
            <w:noWrap/>
            <w:vAlign w:val="center"/>
            <w:hideMark/>
          </w:tcPr>
          <w:p w14:paraId="420447D8"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 </w:t>
            </w:r>
          </w:p>
        </w:tc>
        <w:tc>
          <w:tcPr>
            <w:tcW w:w="386" w:type="pct"/>
            <w:tcBorders>
              <w:top w:val="nil"/>
              <w:left w:val="nil"/>
              <w:bottom w:val="nil"/>
              <w:right w:val="nil"/>
            </w:tcBorders>
            <w:shd w:val="clear" w:color="auto" w:fill="auto"/>
            <w:noWrap/>
            <w:vAlign w:val="center"/>
            <w:hideMark/>
          </w:tcPr>
          <w:p w14:paraId="3945015C"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(63)</w:t>
            </w:r>
          </w:p>
        </w:tc>
      </w:tr>
      <w:tr w:rsidR="003712EB" w:rsidRPr="003712EB" w14:paraId="3B075477" w14:textId="77777777" w:rsidTr="00446A14">
        <w:trPr>
          <w:trHeight w:val="198"/>
        </w:trPr>
        <w:tc>
          <w:tcPr>
            <w:tcW w:w="2835" w:type="pct"/>
            <w:tcBorders>
              <w:top w:val="nil"/>
              <w:left w:val="nil"/>
              <w:bottom w:val="nil"/>
              <w:right w:val="nil"/>
            </w:tcBorders>
            <w:shd w:val="clear" w:color="auto" w:fill="auto"/>
            <w:noWrap/>
            <w:vAlign w:val="center"/>
            <w:hideMark/>
          </w:tcPr>
          <w:p w14:paraId="103FB7BF" w14:textId="77777777" w:rsidR="003712EB" w:rsidRPr="003712EB" w:rsidRDefault="003712EB" w:rsidP="003712EB">
            <w:pPr>
              <w:spacing w:after="0" w:line="240" w:lineRule="auto"/>
              <w:ind w:firstLineChars="200" w:firstLine="280"/>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Baixa de Bens do Ativo Imobilizado</w:t>
            </w:r>
          </w:p>
        </w:tc>
        <w:tc>
          <w:tcPr>
            <w:tcW w:w="441" w:type="pct"/>
            <w:tcBorders>
              <w:top w:val="nil"/>
              <w:left w:val="single" w:sz="8" w:space="0" w:color="0000FF"/>
              <w:bottom w:val="nil"/>
              <w:right w:val="single" w:sz="8" w:space="0" w:color="0000FF"/>
            </w:tcBorders>
            <w:shd w:val="clear" w:color="000000" w:fill="75F6F9"/>
            <w:noWrap/>
            <w:vAlign w:val="center"/>
            <w:hideMark/>
          </w:tcPr>
          <w:p w14:paraId="7778DEDE"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 </w:t>
            </w:r>
          </w:p>
        </w:tc>
        <w:tc>
          <w:tcPr>
            <w:tcW w:w="441" w:type="pct"/>
            <w:tcBorders>
              <w:top w:val="nil"/>
              <w:left w:val="nil"/>
              <w:bottom w:val="nil"/>
              <w:right w:val="single" w:sz="8" w:space="0" w:color="0000FF"/>
            </w:tcBorders>
            <w:shd w:val="clear" w:color="auto" w:fill="auto"/>
            <w:noWrap/>
            <w:vAlign w:val="center"/>
            <w:hideMark/>
          </w:tcPr>
          <w:p w14:paraId="730AEB99"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 </w:t>
            </w:r>
          </w:p>
        </w:tc>
        <w:tc>
          <w:tcPr>
            <w:tcW w:w="441" w:type="pct"/>
            <w:tcBorders>
              <w:top w:val="nil"/>
              <w:left w:val="nil"/>
              <w:bottom w:val="nil"/>
              <w:right w:val="nil"/>
            </w:tcBorders>
            <w:shd w:val="clear" w:color="auto" w:fill="auto"/>
            <w:noWrap/>
            <w:vAlign w:val="center"/>
            <w:hideMark/>
          </w:tcPr>
          <w:p w14:paraId="04FD3DA7"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383</w:t>
            </w:r>
          </w:p>
        </w:tc>
        <w:tc>
          <w:tcPr>
            <w:tcW w:w="70" w:type="pct"/>
            <w:tcBorders>
              <w:top w:val="nil"/>
              <w:left w:val="nil"/>
              <w:bottom w:val="nil"/>
              <w:right w:val="nil"/>
            </w:tcBorders>
            <w:shd w:val="clear" w:color="auto" w:fill="auto"/>
            <w:noWrap/>
            <w:vAlign w:val="center"/>
            <w:hideMark/>
          </w:tcPr>
          <w:p w14:paraId="0232E6E5"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p>
        </w:tc>
        <w:tc>
          <w:tcPr>
            <w:tcW w:w="386" w:type="pct"/>
            <w:tcBorders>
              <w:top w:val="nil"/>
              <w:left w:val="single" w:sz="8" w:space="0" w:color="0000FF"/>
              <w:bottom w:val="nil"/>
              <w:right w:val="single" w:sz="8" w:space="0" w:color="0000FF"/>
            </w:tcBorders>
            <w:shd w:val="clear" w:color="000000" w:fill="75F6F9"/>
            <w:noWrap/>
            <w:vAlign w:val="center"/>
            <w:hideMark/>
          </w:tcPr>
          <w:p w14:paraId="75D08DA5"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383</w:t>
            </w:r>
          </w:p>
        </w:tc>
        <w:tc>
          <w:tcPr>
            <w:tcW w:w="386" w:type="pct"/>
            <w:tcBorders>
              <w:top w:val="nil"/>
              <w:left w:val="nil"/>
              <w:bottom w:val="nil"/>
              <w:right w:val="nil"/>
            </w:tcBorders>
            <w:shd w:val="clear" w:color="auto" w:fill="auto"/>
            <w:noWrap/>
            <w:vAlign w:val="center"/>
            <w:hideMark/>
          </w:tcPr>
          <w:p w14:paraId="5CD6E475"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16.643</w:t>
            </w:r>
          </w:p>
        </w:tc>
      </w:tr>
      <w:tr w:rsidR="003712EB" w:rsidRPr="003712EB" w14:paraId="7F28BB3B" w14:textId="77777777" w:rsidTr="00446A14">
        <w:trPr>
          <w:trHeight w:val="198"/>
        </w:trPr>
        <w:tc>
          <w:tcPr>
            <w:tcW w:w="2835" w:type="pct"/>
            <w:tcBorders>
              <w:top w:val="nil"/>
              <w:left w:val="nil"/>
              <w:bottom w:val="nil"/>
              <w:right w:val="nil"/>
            </w:tcBorders>
            <w:shd w:val="clear" w:color="auto" w:fill="auto"/>
            <w:noWrap/>
            <w:vAlign w:val="center"/>
            <w:hideMark/>
          </w:tcPr>
          <w:p w14:paraId="23402BA7" w14:textId="77777777" w:rsidR="003712EB" w:rsidRPr="003712EB" w:rsidRDefault="003712EB" w:rsidP="003712EB">
            <w:pPr>
              <w:spacing w:after="0" w:line="240" w:lineRule="auto"/>
              <w:ind w:firstLineChars="200" w:firstLine="280"/>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Ganho na Baixa de Passivo </w:t>
            </w:r>
          </w:p>
        </w:tc>
        <w:tc>
          <w:tcPr>
            <w:tcW w:w="441" w:type="pct"/>
            <w:tcBorders>
              <w:top w:val="nil"/>
              <w:left w:val="single" w:sz="8" w:space="0" w:color="0000FF"/>
              <w:bottom w:val="nil"/>
              <w:right w:val="single" w:sz="8" w:space="0" w:color="0000FF"/>
            </w:tcBorders>
            <w:shd w:val="clear" w:color="000000" w:fill="75F6F9"/>
            <w:noWrap/>
            <w:vAlign w:val="center"/>
            <w:hideMark/>
          </w:tcPr>
          <w:p w14:paraId="6FD77803"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 </w:t>
            </w:r>
          </w:p>
        </w:tc>
        <w:tc>
          <w:tcPr>
            <w:tcW w:w="441" w:type="pct"/>
            <w:tcBorders>
              <w:top w:val="nil"/>
              <w:left w:val="nil"/>
              <w:bottom w:val="nil"/>
              <w:right w:val="single" w:sz="8" w:space="0" w:color="0000FF"/>
            </w:tcBorders>
            <w:shd w:val="clear" w:color="auto" w:fill="auto"/>
            <w:noWrap/>
            <w:vAlign w:val="center"/>
            <w:hideMark/>
          </w:tcPr>
          <w:p w14:paraId="3823FCD5"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 </w:t>
            </w:r>
          </w:p>
        </w:tc>
        <w:tc>
          <w:tcPr>
            <w:tcW w:w="441" w:type="pct"/>
            <w:tcBorders>
              <w:top w:val="nil"/>
              <w:left w:val="nil"/>
              <w:bottom w:val="nil"/>
              <w:right w:val="nil"/>
            </w:tcBorders>
            <w:shd w:val="clear" w:color="auto" w:fill="auto"/>
            <w:noWrap/>
            <w:vAlign w:val="center"/>
            <w:hideMark/>
          </w:tcPr>
          <w:p w14:paraId="57A74707"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 </w:t>
            </w:r>
          </w:p>
        </w:tc>
        <w:tc>
          <w:tcPr>
            <w:tcW w:w="70" w:type="pct"/>
            <w:tcBorders>
              <w:top w:val="nil"/>
              <w:left w:val="nil"/>
              <w:bottom w:val="nil"/>
              <w:right w:val="nil"/>
            </w:tcBorders>
            <w:shd w:val="clear" w:color="auto" w:fill="auto"/>
            <w:noWrap/>
            <w:vAlign w:val="center"/>
            <w:hideMark/>
          </w:tcPr>
          <w:p w14:paraId="475CB49B"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p>
        </w:tc>
        <w:tc>
          <w:tcPr>
            <w:tcW w:w="386" w:type="pct"/>
            <w:tcBorders>
              <w:top w:val="nil"/>
              <w:left w:val="single" w:sz="8" w:space="0" w:color="0000FF"/>
              <w:bottom w:val="nil"/>
              <w:right w:val="single" w:sz="8" w:space="0" w:color="0000FF"/>
            </w:tcBorders>
            <w:shd w:val="clear" w:color="000000" w:fill="75F6F9"/>
            <w:noWrap/>
            <w:vAlign w:val="center"/>
            <w:hideMark/>
          </w:tcPr>
          <w:p w14:paraId="4A8968B6"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(417)</w:t>
            </w:r>
          </w:p>
        </w:tc>
        <w:tc>
          <w:tcPr>
            <w:tcW w:w="386" w:type="pct"/>
            <w:tcBorders>
              <w:top w:val="nil"/>
              <w:left w:val="nil"/>
              <w:bottom w:val="nil"/>
              <w:right w:val="nil"/>
            </w:tcBorders>
            <w:shd w:val="clear" w:color="auto" w:fill="auto"/>
            <w:noWrap/>
            <w:vAlign w:val="center"/>
            <w:hideMark/>
          </w:tcPr>
          <w:p w14:paraId="1482F61F"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 </w:t>
            </w:r>
          </w:p>
        </w:tc>
      </w:tr>
      <w:tr w:rsidR="003712EB" w:rsidRPr="003712EB" w14:paraId="57798577" w14:textId="77777777" w:rsidTr="00446A14">
        <w:trPr>
          <w:trHeight w:val="198"/>
        </w:trPr>
        <w:tc>
          <w:tcPr>
            <w:tcW w:w="2835" w:type="pct"/>
            <w:tcBorders>
              <w:top w:val="nil"/>
              <w:left w:val="nil"/>
              <w:bottom w:val="nil"/>
              <w:right w:val="nil"/>
            </w:tcBorders>
            <w:shd w:val="clear" w:color="auto" w:fill="auto"/>
            <w:noWrap/>
            <w:hideMark/>
          </w:tcPr>
          <w:p w14:paraId="58A3BA92" w14:textId="77777777" w:rsidR="003712EB" w:rsidRPr="003712EB" w:rsidRDefault="003712EB" w:rsidP="003712EB">
            <w:pPr>
              <w:spacing w:after="0" w:line="240" w:lineRule="auto"/>
              <w:ind w:firstLineChars="200" w:firstLine="280"/>
              <w:rPr>
                <w:rFonts w:ascii="Arial" w:eastAsia="Times New Roman" w:hAnsi="Arial" w:cs="Arial"/>
                <w:kern w:val="0"/>
                <w:sz w:val="14"/>
                <w:szCs w:val="14"/>
                <w:lang w:eastAsia="pt-BR"/>
                <w14:ligatures w14:val="none"/>
              </w:rPr>
            </w:pPr>
            <w:r w:rsidRPr="003712EB">
              <w:rPr>
                <w:rFonts w:ascii="Arial" w:eastAsia="Times New Roman" w:hAnsi="Arial" w:cs="Arial"/>
                <w:kern w:val="0"/>
                <w:sz w:val="14"/>
                <w:szCs w:val="14"/>
                <w:lang w:eastAsia="pt-BR"/>
                <w14:ligatures w14:val="none"/>
              </w:rPr>
              <w:t xml:space="preserve"> Superávit de Previdência Privada </w:t>
            </w:r>
          </w:p>
        </w:tc>
        <w:tc>
          <w:tcPr>
            <w:tcW w:w="441" w:type="pct"/>
            <w:tcBorders>
              <w:top w:val="nil"/>
              <w:left w:val="single" w:sz="8" w:space="0" w:color="0000FF"/>
              <w:bottom w:val="nil"/>
              <w:right w:val="single" w:sz="8" w:space="0" w:color="0000FF"/>
            </w:tcBorders>
            <w:shd w:val="clear" w:color="000000" w:fill="75F6F9"/>
            <w:noWrap/>
            <w:vAlign w:val="center"/>
            <w:hideMark/>
          </w:tcPr>
          <w:p w14:paraId="1C3961DC"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(7.421)</w:t>
            </w:r>
          </w:p>
        </w:tc>
        <w:tc>
          <w:tcPr>
            <w:tcW w:w="441" w:type="pct"/>
            <w:tcBorders>
              <w:top w:val="nil"/>
              <w:left w:val="nil"/>
              <w:bottom w:val="nil"/>
              <w:right w:val="single" w:sz="8" w:space="0" w:color="0000FF"/>
            </w:tcBorders>
            <w:shd w:val="clear" w:color="auto" w:fill="auto"/>
            <w:noWrap/>
            <w:vAlign w:val="center"/>
            <w:hideMark/>
          </w:tcPr>
          <w:p w14:paraId="606C0132"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 </w:t>
            </w:r>
          </w:p>
        </w:tc>
        <w:tc>
          <w:tcPr>
            <w:tcW w:w="441" w:type="pct"/>
            <w:tcBorders>
              <w:top w:val="nil"/>
              <w:left w:val="nil"/>
              <w:bottom w:val="nil"/>
              <w:right w:val="nil"/>
            </w:tcBorders>
            <w:shd w:val="clear" w:color="auto" w:fill="auto"/>
            <w:noWrap/>
            <w:vAlign w:val="center"/>
            <w:hideMark/>
          </w:tcPr>
          <w:p w14:paraId="2A76D7EC"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 </w:t>
            </w:r>
          </w:p>
        </w:tc>
        <w:tc>
          <w:tcPr>
            <w:tcW w:w="70" w:type="pct"/>
            <w:tcBorders>
              <w:top w:val="nil"/>
              <w:left w:val="nil"/>
              <w:bottom w:val="nil"/>
              <w:right w:val="nil"/>
            </w:tcBorders>
            <w:shd w:val="clear" w:color="auto" w:fill="auto"/>
            <w:noWrap/>
            <w:vAlign w:val="center"/>
            <w:hideMark/>
          </w:tcPr>
          <w:p w14:paraId="2C463CC5"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p>
        </w:tc>
        <w:tc>
          <w:tcPr>
            <w:tcW w:w="386" w:type="pct"/>
            <w:tcBorders>
              <w:top w:val="nil"/>
              <w:left w:val="single" w:sz="8" w:space="0" w:color="0000FF"/>
              <w:bottom w:val="nil"/>
              <w:right w:val="single" w:sz="8" w:space="0" w:color="0000FF"/>
            </w:tcBorders>
            <w:shd w:val="clear" w:color="000000" w:fill="75F6F9"/>
            <w:noWrap/>
            <w:vAlign w:val="center"/>
            <w:hideMark/>
          </w:tcPr>
          <w:p w14:paraId="1D9628B6"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(33.912)</w:t>
            </w:r>
          </w:p>
        </w:tc>
        <w:tc>
          <w:tcPr>
            <w:tcW w:w="386" w:type="pct"/>
            <w:tcBorders>
              <w:top w:val="nil"/>
              <w:left w:val="nil"/>
              <w:bottom w:val="nil"/>
              <w:right w:val="nil"/>
            </w:tcBorders>
            <w:shd w:val="clear" w:color="auto" w:fill="auto"/>
            <w:noWrap/>
            <w:vAlign w:val="center"/>
            <w:hideMark/>
          </w:tcPr>
          <w:p w14:paraId="24A48B1C"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 </w:t>
            </w:r>
          </w:p>
        </w:tc>
      </w:tr>
      <w:tr w:rsidR="003712EB" w:rsidRPr="003712EB" w14:paraId="6D5C8F2D" w14:textId="77777777" w:rsidTr="00446A14">
        <w:trPr>
          <w:trHeight w:val="198"/>
        </w:trPr>
        <w:tc>
          <w:tcPr>
            <w:tcW w:w="2835" w:type="pct"/>
            <w:tcBorders>
              <w:top w:val="nil"/>
              <w:left w:val="nil"/>
              <w:bottom w:val="nil"/>
              <w:right w:val="nil"/>
            </w:tcBorders>
            <w:shd w:val="clear" w:color="auto" w:fill="auto"/>
            <w:noWrap/>
            <w:vAlign w:val="center"/>
            <w:hideMark/>
          </w:tcPr>
          <w:p w14:paraId="6C020D54" w14:textId="77777777" w:rsidR="003712EB" w:rsidRPr="003712EB" w:rsidRDefault="003712EB" w:rsidP="003712EB">
            <w:pPr>
              <w:spacing w:after="0" w:line="240" w:lineRule="auto"/>
              <w:ind w:firstLineChars="200" w:firstLine="280"/>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Perda na Baixa de Ativos - Tributos </w:t>
            </w:r>
          </w:p>
        </w:tc>
        <w:tc>
          <w:tcPr>
            <w:tcW w:w="441" w:type="pct"/>
            <w:tcBorders>
              <w:top w:val="nil"/>
              <w:left w:val="single" w:sz="8" w:space="0" w:color="0000FF"/>
              <w:bottom w:val="nil"/>
              <w:right w:val="single" w:sz="8" w:space="0" w:color="0000FF"/>
            </w:tcBorders>
            <w:shd w:val="clear" w:color="000000" w:fill="75F6F9"/>
            <w:noWrap/>
            <w:vAlign w:val="center"/>
            <w:hideMark/>
          </w:tcPr>
          <w:p w14:paraId="25C64D52"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 </w:t>
            </w:r>
          </w:p>
        </w:tc>
        <w:tc>
          <w:tcPr>
            <w:tcW w:w="441" w:type="pct"/>
            <w:tcBorders>
              <w:top w:val="nil"/>
              <w:left w:val="nil"/>
              <w:bottom w:val="nil"/>
              <w:right w:val="single" w:sz="8" w:space="0" w:color="0000FF"/>
            </w:tcBorders>
            <w:shd w:val="clear" w:color="auto" w:fill="auto"/>
            <w:noWrap/>
            <w:vAlign w:val="center"/>
            <w:hideMark/>
          </w:tcPr>
          <w:p w14:paraId="43911BBB"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 </w:t>
            </w:r>
          </w:p>
        </w:tc>
        <w:tc>
          <w:tcPr>
            <w:tcW w:w="441" w:type="pct"/>
            <w:tcBorders>
              <w:top w:val="nil"/>
              <w:left w:val="nil"/>
              <w:bottom w:val="nil"/>
              <w:right w:val="nil"/>
            </w:tcBorders>
            <w:shd w:val="clear" w:color="auto" w:fill="auto"/>
            <w:noWrap/>
            <w:vAlign w:val="center"/>
            <w:hideMark/>
          </w:tcPr>
          <w:p w14:paraId="30E19FB7"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 </w:t>
            </w:r>
          </w:p>
        </w:tc>
        <w:tc>
          <w:tcPr>
            <w:tcW w:w="70" w:type="pct"/>
            <w:tcBorders>
              <w:top w:val="nil"/>
              <w:left w:val="nil"/>
              <w:bottom w:val="nil"/>
              <w:right w:val="nil"/>
            </w:tcBorders>
            <w:shd w:val="clear" w:color="auto" w:fill="auto"/>
            <w:noWrap/>
            <w:vAlign w:val="center"/>
            <w:hideMark/>
          </w:tcPr>
          <w:p w14:paraId="5AB8ED98"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p>
        </w:tc>
        <w:tc>
          <w:tcPr>
            <w:tcW w:w="386" w:type="pct"/>
            <w:tcBorders>
              <w:top w:val="nil"/>
              <w:left w:val="single" w:sz="8" w:space="0" w:color="0000FF"/>
              <w:bottom w:val="nil"/>
              <w:right w:val="single" w:sz="8" w:space="0" w:color="0000FF"/>
            </w:tcBorders>
            <w:shd w:val="clear" w:color="000000" w:fill="75F6F9"/>
            <w:noWrap/>
            <w:vAlign w:val="center"/>
            <w:hideMark/>
          </w:tcPr>
          <w:p w14:paraId="037FD051"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7.183</w:t>
            </w:r>
          </w:p>
        </w:tc>
        <w:tc>
          <w:tcPr>
            <w:tcW w:w="386" w:type="pct"/>
            <w:tcBorders>
              <w:top w:val="nil"/>
              <w:left w:val="nil"/>
              <w:bottom w:val="nil"/>
              <w:right w:val="nil"/>
            </w:tcBorders>
            <w:shd w:val="clear" w:color="auto" w:fill="auto"/>
            <w:noWrap/>
            <w:vAlign w:val="center"/>
            <w:hideMark/>
          </w:tcPr>
          <w:p w14:paraId="59675CB6"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 </w:t>
            </w:r>
          </w:p>
        </w:tc>
      </w:tr>
      <w:tr w:rsidR="003712EB" w:rsidRPr="003712EB" w14:paraId="3131DAF8" w14:textId="77777777" w:rsidTr="00446A14">
        <w:trPr>
          <w:trHeight w:val="198"/>
        </w:trPr>
        <w:tc>
          <w:tcPr>
            <w:tcW w:w="2835" w:type="pct"/>
            <w:tcBorders>
              <w:top w:val="single" w:sz="8" w:space="0" w:color="0000FF"/>
              <w:left w:val="nil"/>
              <w:bottom w:val="single" w:sz="8" w:space="0" w:color="0000FF"/>
              <w:right w:val="nil"/>
            </w:tcBorders>
            <w:shd w:val="clear" w:color="auto" w:fill="auto"/>
            <w:noWrap/>
            <w:vAlign w:val="center"/>
            <w:hideMark/>
          </w:tcPr>
          <w:p w14:paraId="12EDA21E" w14:textId="77777777" w:rsidR="003712EB" w:rsidRPr="003712EB" w:rsidRDefault="003712EB" w:rsidP="003712EB">
            <w:pPr>
              <w:spacing w:after="0" w:line="240" w:lineRule="auto"/>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 xml:space="preserve">     Subtotal</w:t>
            </w:r>
          </w:p>
        </w:tc>
        <w:tc>
          <w:tcPr>
            <w:tcW w:w="441" w:type="pct"/>
            <w:tcBorders>
              <w:top w:val="single" w:sz="8" w:space="0" w:color="0000FF"/>
              <w:left w:val="single" w:sz="8" w:space="0" w:color="0000FF"/>
              <w:bottom w:val="single" w:sz="8" w:space="0" w:color="0000FF"/>
              <w:right w:val="single" w:sz="8" w:space="0" w:color="0000FF"/>
            </w:tcBorders>
            <w:shd w:val="clear" w:color="000000" w:fill="75F6F9"/>
            <w:noWrap/>
            <w:vAlign w:val="center"/>
            <w:hideMark/>
          </w:tcPr>
          <w:p w14:paraId="41711A9C"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99.980</w:t>
            </w:r>
          </w:p>
        </w:tc>
        <w:tc>
          <w:tcPr>
            <w:tcW w:w="441" w:type="pct"/>
            <w:tcBorders>
              <w:top w:val="single" w:sz="8" w:space="0" w:color="0000FF"/>
              <w:left w:val="nil"/>
              <w:bottom w:val="single" w:sz="8" w:space="0" w:color="0000FF"/>
              <w:right w:val="nil"/>
            </w:tcBorders>
            <w:shd w:val="clear" w:color="auto" w:fill="auto"/>
            <w:noWrap/>
            <w:vAlign w:val="center"/>
            <w:hideMark/>
          </w:tcPr>
          <w:p w14:paraId="2B16B7FA"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87.987</w:t>
            </w:r>
          </w:p>
        </w:tc>
        <w:tc>
          <w:tcPr>
            <w:tcW w:w="441" w:type="pct"/>
            <w:tcBorders>
              <w:top w:val="single" w:sz="8" w:space="0" w:color="0000FF"/>
              <w:left w:val="single" w:sz="8" w:space="0" w:color="0000FF"/>
              <w:bottom w:val="single" w:sz="8" w:space="0" w:color="0000FF"/>
              <w:right w:val="nil"/>
            </w:tcBorders>
            <w:shd w:val="clear" w:color="auto" w:fill="auto"/>
            <w:noWrap/>
            <w:vAlign w:val="center"/>
            <w:hideMark/>
          </w:tcPr>
          <w:p w14:paraId="219CBB7A"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105.227</w:t>
            </w:r>
          </w:p>
        </w:tc>
        <w:tc>
          <w:tcPr>
            <w:tcW w:w="70" w:type="pct"/>
            <w:tcBorders>
              <w:top w:val="nil"/>
              <w:left w:val="nil"/>
              <w:bottom w:val="nil"/>
              <w:right w:val="nil"/>
            </w:tcBorders>
            <w:shd w:val="clear" w:color="auto" w:fill="auto"/>
            <w:noWrap/>
            <w:vAlign w:val="center"/>
            <w:hideMark/>
          </w:tcPr>
          <w:p w14:paraId="14D10001"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p>
        </w:tc>
        <w:tc>
          <w:tcPr>
            <w:tcW w:w="386" w:type="pct"/>
            <w:tcBorders>
              <w:top w:val="single" w:sz="8" w:space="0" w:color="0000FF"/>
              <w:left w:val="single" w:sz="8" w:space="0" w:color="0000FF"/>
              <w:bottom w:val="single" w:sz="8" w:space="0" w:color="0000FF"/>
              <w:right w:val="single" w:sz="8" w:space="0" w:color="0000FF"/>
            </w:tcBorders>
            <w:shd w:val="clear" w:color="000000" w:fill="75F6F9"/>
            <w:noWrap/>
            <w:vAlign w:val="center"/>
            <w:hideMark/>
          </w:tcPr>
          <w:p w14:paraId="30F9E12F"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361.098</w:t>
            </w:r>
          </w:p>
        </w:tc>
        <w:tc>
          <w:tcPr>
            <w:tcW w:w="386" w:type="pct"/>
            <w:tcBorders>
              <w:top w:val="single" w:sz="8" w:space="0" w:color="0000FF"/>
              <w:left w:val="nil"/>
              <w:bottom w:val="single" w:sz="8" w:space="0" w:color="0000FF"/>
              <w:right w:val="nil"/>
            </w:tcBorders>
            <w:shd w:val="clear" w:color="auto" w:fill="auto"/>
            <w:noWrap/>
            <w:vAlign w:val="center"/>
            <w:hideMark/>
          </w:tcPr>
          <w:p w14:paraId="7D40921A"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372.610</w:t>
            </w:r>
          </w:p>
        </w:tc>
      </w:tr>
      <w:tr w:rsidR="003712EB" w:rsidRPr="003712EB" w14:paraId="7C31A01D" w14:textId="77777777" w:rsidTr="00446A14">
        <w:trPr>
          <w:trHeight w:val="198"/>
        </w:trPr>
        <w:tc>
          <w:tcPr>
            <w:tcW w:w="2835" w:type="pct"/>
            <w:tcBorders>
              <w:top w:val="nil"/>
              <w:left w:val="nil"/>
              <w:bottom w:val="nil"/>
              <w:right w:val="nil"/>
            </w:tcBorders>
            <w:shd w:val="clear" w:color="auto" w:fill="auto"/>
            <w:noWrap/>
            <w:vAlign w:val="center"/>
            <w:hideMark/>
          </w:tcPr>
          <w:p w14:paraId="60AA28BE" w14:textId="77777777" w:rsidR="003712EB" w:rsidRPr="003712EB" w:rsidRDefault="003712EB" w:rsidP="003712EB">
            <w:pPr>
              <w:spacing w:after="0" w:line="240" w:lineRule="auto"/>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Mutações Patrimoniais:</w:t>
            </w:r>
          </w:p>
        </w:tc>
        <w:tc>
          <w:tcPr>
            <w:tcW w:w="441" w:type="pct"/>
            <w:tcBorders>
              <w:top w:val="nil"/>
              <w:left w:val="single" w:sz="8" w:space="0" w:color="0000FF"/>
              <w:bottom w:val="nil"/>
              <w:right w:val="single" w:sz="8" w:space="0" w:color="0000FF"/>
            </w:tcBorders>
            <w:shd w:val="clear" w:color="000000" w:fill="75F6F9"/>
            <w:noWrap/>
            <w:vAlign w:val="center"/>
            <w:hideMark/>
          </w:tcPr>
          <w:p w14:paraId="7AE9FA41"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 </w:t>
            </w:r>
          </w:p>
        </w:tc>
        <w:tc>
          <w:tcPr>
            <w:tcW w:w="441" w:type="pct"/>
            <w:tcBorders>
              <w:top w:val="nil"/>
              <w:left w:val="nil"/>
              <w:bottom w:val="nil"/>
              <w:right w:val="nil"/>
            </w:tcBorders>
            <w:shd w:val="clear" w:color="auto" w:fill="auto"/>
            <w:noWrap/>
            <w:vAlign w:val="center"/>
            <w:hideMark/>
          </w:tcPr>
          <w:p w14:paraId="7D328BC4"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p>
        </w:tc>
        <w:tc>
          <w:tcPr>
            <w:tcW w:w="441" w:type="pct"/>
            <w:tcBorders>
              <w:top w:val="nil"/>
              <w:left w:val="single" w:sz="8" w:space="0" w:color="0000FF"/>
              <w:bottom w:val="nil"/>
              <w:right w:val="nil"/>
            </w:tcBorders>
            <w:shd w:val="clear" w:color="auto" w:fill="auto"/>
            <w:noWrap/>
            <w:vAlign w:val="center"/>
            <w:hideMark/>
          </w:tcPr>
          <w:p w14:paraId="1728DDA9"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 </w:t>
            </w:r>
          </w:p>
        </w:tc>
        <w:tc>
          <w:tcPr>
            <w:tcW w:w="70" w:type="pct"/>
            <w:tcBorders>
              <w:top w:val="nil"/>
              <w:left w:val="nil"/>
              <w:bottom w:val="nil"/>
              <w:right w:val="nil"/>
            </w:tcBorders>
            <w:shd w:val="clear" w:color="auto" w:fill="auto"/>
            <w:noWrap/>
            <w:vAlign w:val="center"/>
            <w:hideMark/>
          </w:tcPr>
          <w:p w14:paraId="15CC4ED3"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p>
        </w:tc>
        <w:tc>
          <w:tcPr>
            <w:tcW w:w="386" w:type="pct"/>
            <w:tcBorders>
              <w:top w:val="nil"/>
              <w:left w:val="single" w:sz="8" w:space="0" w:color="0000FF"/>
              <w:bottom w:val="nil"/>
              <w:right w:val="single" w:sz="8" w:space="0" w:color="0000FF"/>
            </w:tcBorders>
            <w:shd w:val="clear" w:color="000000" w:fill="75F6F9"/>
            <w:noWrap/>
            <w:vAlign w:val="center"/>
            <w:hideMark/>
          </w:tcPr>
          <w:p w14:paraId="59F8B17E"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 </w:t>
            </w:r>
          </w:p>
        </w:tc>
        <w:tc>
          <w:tcPr>
            <w:tcW w:w="386" w:type="pct"/>
            <w:tcBorders>
              <w:top w:val="nil"/>
              <w:left w:val="nil"/>
              <w:bottom w:val="nil"/>
              <w:right w:val="nil"/>
            </w:tcBorders>
            <w:shd w:val="clear" w:color="auto" w:fill="auto"/>
            <w:noWrap/>
            <w:vAlign w:val="center"/>
            <w:hideMark/>
          </w:tcPr>
          <w:p w14:paraId="34BE1B7F"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 </w:t>
            </w:r>
          </w:p>
        </w:tc>
      </w:tr>
      <w:tr w:rsidR="003712EB" w:rsidRPr="003712EB" w14:paraId="54F9A92A" w14:textId="77777777" w:rsidTr="00446A14">
        <w:trPr>
          <w:trHeight w:val="198"/>
        </w:trPr>
        <w:tc>
          <w:tcPr>
            <w:tcW w:w="2835" w:type="pct"/>
            <w:tcBorders>
              <w:top w:val="nil"/>
              <w:left w:val="nil"/>
              <w:bottom w:val="nil"/>
              <w:right w:val="nil"/>
            </w:tcBorders>
            <w:shd w:val="clear" w:color="auto" w:fill="auto"/>
            <w:noWrap/>
            <w:vAlign w:val="center"/>
            <w:hideMark/>
          </w:tcPr>
          <w:p w14:paraId="16D87598" w14:textId="77777777" w:rsidR="003712EB" w:rsidRPr="003712EB" w:rsidRDefault="003712EB" w:rsidP="003712EB">
            <w:pPr>
              <w:spacing w:after="0" w:line="240" w:lineRule="auto"/>
              <w:ind w:firstLineChars="200" w:firstLine="280"/>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Contas a Receber de Clientes </w:t>
            </w:r>
          </w:p>
        </w:tc>
        <w:tc>
          <w:tcPr>
            <w:tcW w:w="441" w:type="pct"/>
            <w:tcBorders>
              <w:top w:val="nil"/>
              <w:left w:val="single" w:sz="8" w:space="0" w:color="0000FF"/>
              <w:bottom w:val="nil"/>
              <w:right w:val="single" w:sz="8" w:space="0" w:color="0000FF"/>
            </w:tcBorders>
            <w:shd w:val="clear" w:color="000000" w:fill="75F6F9"/>
            <w:noWrap/>
            <w:vAlign w:val="center"/>
            <w:hideMark/>
          </w:tcPr>
          <w:p w14:paraId="092401D8"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(19.818)</w:t>
            </w:r>
          </w:p>
        </w:tc>
        <w:tc>
          <w:tcPr>
            <w:tcW w:w="441" w:type="pct"/>
            <w:tcBorders>
              <w:top w:val="nil"/>
              <w:left w:val="nil"/>
              <w:bottom w:val="nil"/>
              <w:right w:val="single" w:sz="8" w:space="0" w:color="0000FF"/>
            </w:tcBorders>
            <w:shd w:val="clear" w:color="auto" w:fill="auto"/>
            <w:noWrap/>
            <w:vAlign w:val="center"/>
            <w:hideMark/>
          </w:tcPr>
          <w:p w14:paraId="456762BB"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15.501</w:t>
            </w:r>
          </w:p>
        </w:tc>
        <w:tc>
          <w:tcPr>
            <w:tcW w:w="441" w:type="pct"/>
            <w:tcBorders>
              <w:top w:val="nil"/>
              <w:left w:val="nil"/>
              <w:bottom w:val="nil"/>
              <w:right w:val="nil"/>
            </w:tcBorders>
            <w:shd w:val="clear" w:color="auto" w:fill="auto"/>
            <w:noWrap/>
            <w:vAlign w:val="center"/>
            <w:hideMark/>
          </w:tcPr>
          <w:p w14:paraId="2A4380AB"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9.483</w:t>
            </w:r>
          </w:p>
        </w:tc>
        <w:tc>
          <w:tcPr>
            <w:tcW w:w="70" w:type="pct"/>
            <w:tcBorders>
              <w:top w:val="nil"/>
              <w:left w:val="nil"/>
              <w:bottom w:val="nil"/>
              <w:right w:val="nil"/>
            </w:tcBorders>
            <w:shd w:val="clear" w:color="auto" w:fill="auto"/>
            <w:noWrap/>
            <w:vAlign w:val="center"/>
            <w:hideMark/>
          </w:tcPr>
          <w:p w14:paraId="7AABE6B3"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p>
        </w:tc>
        <w:tc>
          <w:tcPr>
            <w:tcW w:w="386" w:type="pct"/>
            <w:tcBorders>
              <w:top w:val="nil"/>
              <w:left w:val="single" w:sz="8" w:space="0" w:color="0000FF"/>
              <w:bottom w:val="nil"/>
              <w:right w:val="single" w:sz="8" w:space="0" w:color="0000FF"/>
            </w:tcBorders>
            <w:shd w:val="clear" w:color="000000" w:fill="75F6F9"/>
            <w:noWrap/>
            <w:vAlign w:val="center"/>
            <w:hideMark/>
          </w:tcPr>
          <w:p w14:paraId="2FBE6547"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(72.330)</w:t>
            </w:r>
          </w:p>
        </w:tc>
        <w:tc>
          <w:tcPr>
            <w:tcW w:w="386" w:type="pct"/>
            <w:tcBorders>
              <w:top w:val="nil"/>
              <w:left w:val="nil"/>
              <w:bottom w:val="nil"/>
              <w:right w:val="nil"/>
            </w:tcBorders>
            <w:shd w:val="clear" w:color="auto" w:fill="auto"/>
            <w:noWrap/>
            <w:vAlign w:val="center"/>
            <w:hideMark/>
          </w:tcPr>
          <w:p w14:paraId="36401F33"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(18.390)</w:t>
            </w:r>
          </w:p>
        </w:tc>
      </w:tr>
      <w:tr w:rsidR="003712EB" w:rsidRPr="003712EB" w14:paraId="78BCBFEA" w14:textId="77777777" w:rsidTr="00446A14">
        <w:trPr>
          <w:trHeight w:val="198"/>
        </w:trPr>
        <w:tc>
          <w:tcPr>
            <w:tcW w:w="2835" w:type="pct"/>
            <w:tcBorders>
              <w:top w:val="nil"/>
              <w:left w:val="nil"/>
              <w:bottom w:val="nil"/>
              <w:right w:val="nil"/>
            </w:tcBorders>
            <w:shd w:val="clear" w:color="auto" w:fill="auto"/>
            <w:noWrap/>
            <w:vAlign w:val="center"/>
            <w:hideMark/>
          </w:tcPr>
          <w:p w14:paraId="08DB8E99" w14:textId="77777777" w:rsidR="003712EB" w:rsidRPr="003712EB" w:rsidRDefault="003712EB" w:rsidP="003712EB">
            <w:pPr>
              <w:spacing w:after="0" w:line="240" w:lineRule="auto"/>
              <w:ind w:firstLineChars="200" w:firstLine="280"/>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Tributos a Recuperar </w:t>
            </w:r>
          </w:p>
        </w:tc>
        <w:tc>
          <w:tcPr>
            <w:tcW w:w="441" w:type="pct"/>
            <w:tcBorders>
              <w:top w:val="nil"/>
              <w:left w:val="single" w:sz="8" w:space="0" w:color="0000FF"/>
              <w:bottom w:val="nil"/>
              <w:right w:val="single" w:sz="8" w:space="0" w:color="0000FF"/>
            </w:tcBorders>
            <w:shd w:val="clear" w:color="000000" w:fill="75F6F9"/>
            <w:noWrap/>
            <w:vAlign w:val="center"/>
            <w:hideMark/>
          </w:tcPr>
          <w:p w14:paraId="69FA2AFE"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(8.819)</w:t>
            </w:r>
          </w:p>
        </w:tc>
        <w:tc>
          <w:tcPr>
            <w:tcW w:w="441" w:type="pct"/>
            <w:tcBorders>
              <w:top w:val="nil"/>
              <w:left w:val="nil"/>
              <w:bottom w:val="nil"/>
              <w:right w:val="single" w:sz="8" w:space="0" w:color="0000FF"/>
            </w:tcBorders>
            <w:shd w:val="clear" w:color="auto" w:fill="auto"/>
            <w:noWrap/>
            <w:vAlign w:val="center"/>
            <w:hideMark/>
          </w:tcPr>
          <w:p w14:paraId="3D5040F1"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(14.013)</w:t>
            </w:r>
          </w:p>
        </w:tc>
        <w:tc>
          <w:tcPr>
            <w:tcW w:w="441" w:type="pct"/>
            <w:tcBorders>
              <w:top w:val="nil"/>
              <w:left w:val="nil"/>
              <w:bottom w:val="nil"/>
              <w:right w:val="nil"/>
            </w:tcBorders>
            <w:shd w:val="clear" w:color="auto" w:fill="auto"/>
            <w:noWrap/>
            <w:vAlign w:val="center"/>
            <w:hideMark/>
          </w:tcPr>
          <w:p w14:paraId="4AD84241"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10.101</w:t>
            </w:r>
          </w:p>
        </w:tc>
        <w:tc>
          <w:tcPr>
            <w:tcW w:w="70" w:type="pct"/>
            <w:tcBorders>
              <w:top w:val="nil"/>
              <w:left w:val="nil"/>
              <w:bottom w:val="nil"/>
              <w:right w:val="nil"/>
            </w:tcBorders>
            <w:shd w:val="clear" w:color="auto" w:fill="auto"/>
            <w:noWrap/>
            <w:vAlign w:val="center"/>
            <w:hideMark/>
          </w:tcPr>
          <w:p w14:paraId="6572963F"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p>
        </w:tc>
        <w:tc>
          <w:tcPr>
            <w:tcW w:w="386" w:type="pct"/>
            <w:tcBorders>
              <w:top w:val="nil"/>
              <w:left w:val="single" w:sz="8" w:space="0" w:color="0000FF"/>
              <w:bottom w:val="nil"/>
              <w:right w:val="single" w:sz="8" w:space="0" w:color="0000FF"/>
            </w:tcBorders>
            <w:shd w:val="clear" w:color="000000" w:fill="75F6F9"/>
            <w:noWrap/>
            <w:vAlign w:val="center"/>
            <w:hideMark/>
          </w:tcPr>
          <w:p w14:paraId="77FAD888"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(12.087)</w:t>
            </w:r>
          </w:p>
        </w:tc>
        <w:tc>
          <w:tcPr>
            <w:tcW w:w="386" w:type="pct"/>
            <w:tcBorders>
              <w:top w:val="nil"/>
              <w:left w:val="nil"/>
              <w:bottom w:val="nil"/>
              <w:right w:val="nil"/>
            </w:tcBorders>
            <w:shd w:val="clear" w:color="auto" w:fill="auto"/>
            <w:noWrap/>
            <w:vAlign w:val="center"/>
            <w:hideMark/>
          </w:tcPr>
          <w:p w14:paraId="6D51DDF4"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(28.276)</w:t>
            </w:r>
          </w:p>
        </w:tc>
      </w:tr>
      <w:tr w:rsidR="003712EB" w:rsidRPr="003712EB" w14:paraId="39B21F34" w14:textId="77777777" w:rsidTr="00446A14">
        <w:trPr>
          <w:trHeight w:val="198"/>
        </w:trPr>
        <w:tc>
          <w:tcPr>
            <w:tcW w:w="2835" w:type="pct"/>
            <w:tcBorders>
              <w:top w:val="nil"/>
              <w:left w:val="nil"/>
              <w:bottom w:val="nil"/>
              <w:right w:val="nil"/>
            </w:tcBorders>
            <w:shd w:val="clear" w:color="auto" w:fill="auto"/>
            <w:noWrap/>
            <w:vAlign w:val="center"/>
            <w:hideMark/>
          </w:tcPr>
          <w:p w14:paraId="7C1B71F5" w14:textId="77777777" w:rsidR="003712EB" w:rsidRPr="003712EB" w:rsidRDefault="003712EB" w:rsidP="003712EB">
            <w:pPr>
              <w:spacing w:after="0" w:line="240" w:lineRule="auto"/>
              <w:ind w:firstLineChars="200" w:firstLine="280"/>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Depósitos Judiciais </w:t>
            </w:r>
          </w:p>
        </w:tc>
        <w:tc>
          <w:tcPr>
            <w:tcW w:w="441" w:type="pct"/>
            <w:tcBorders>
              <w:top w:val="nil"/>
              <w:left w:val="single" w:sz="8" w:space="0" w:color="0000FF"/>
              <w:bottom w:val="nil"/>
              <w:right w:val="single" w:sz="8" w:space="0" w:color="0000FF"/>
            </w:tcBorders>
            <w:shd w:val="clear" w:color="000000" w:fill="75F6F9"/>
            <w:noWrap/>
            <w:vAlign w:val="center"/>
            <w:hideMark/>
          </w:tcPr>
          <w:p w14:paraId="43EFD13E"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206</w:t>
            </w:r>
          </w:p>
        </w:tc>
        <w:tc>
          <w:tcPr>
            <w:tcW w:w="441" w:type="pct"/>
            <w:tcBorders>
              <w:top w:val="nil"/>
              <w:left w:val="nil"/>
              <w:bottom w:val="nil"/>
              <w:right w:val="single" w:sz="8" w:space="0" w:color="0000FF"/>
            </w:tcBorders>
            <w:shd w:val="clear" w:color="auto" w:fill="auto"/>
            <w:noWrap/>
            <w:vAlign w:val="center"/>
            <w:hideMark/>
          </w:tcPr>
          <w:p w14:paraId="623B207F"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1.549</w:t>
            </w:r>
          </w:p>
        </w:tc>
        <w:tc>
          <w:tcPr>
            <w:tcW w:w="441" w:type="pct"/>
            <w:tcBorders>
              <w:top w:val="nil"/>
              <w:left w:val="nil"/>
              <w:bottom w:val="nil"/>
              <w:right w:val="nil"/>
            </w:tcBorders>
            <w:shd w:val="clear" w:color="auto" w:fill="auto"/>
            <w:noWrap/>
            <w:vAlign w:val="center"/>
            <w:hideMark/>
          </w:tcPr>
          <w:p w14:paraId="115A9456"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848</w:t>
            </w:r>
          </w:p>
        </w:tc>
        <w:tc>
          <w:tcPr>
            <w:tcW w:w="70" w:type="pct"/>
            <w:tcBorders>
              <w:top w:val="nil"/>
              <w:left w:val="nil"/>
              <w:bottom w:val="nil"/>
              <w:right w:val="nil"/>
            </w:tcBorders>
            <w:shd w:val="clear" w:color="auto" w:fill="auto"/>
            <w:noWrap/>
            <w:vAlign w:val="center"/>
            <w:hideMark/>
          </w:tcPr>
          <w:p w14:paraId="5AF965CE"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p>
        </w:tc>
        <w:tc>
          <w:tcPr>
            <w:tcW w:w="386" w:type="pct"/>
            <w:tcBorders>
              <w:top w:val="nil"/>
              <w:left w:val="single" w:sz="8" w:space="0" w:color="0000FF"/>
              <w:bottom w:val="nil"/>
              <w:right w:val="single" w:sz="8" w:space="0" w:color="0000FF"/>
            </w:tcBorders>
            <w:shd w:val="clear" w:color="000000" w:fill="75F6F9"/>
            <w:noWrap/>
            <w:vAlign w:val="center"/>
            <w:hideMark/>
          </w:tcPr>
          <w:p w14:paraId="2CC38360"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122</w:t>
            </w:r>
          </w:p>
        </w:tc>
        <w:tc>
          <w:tcPr>
            <w:tcW w:w="386" w:type="pct"/>
            <w:tcBorders>
              <w:top w:val="nil"/>
              <w:left w:val="nil"/>
              <w:bottom w:val="nil"/>
              <w:right w:val="nil"/>
            </w:tcBorders>
            <w:shd w:val="clear" w:color="auto" w:fill="auto"/>
            <w:noWrap/>
            <w:vAlign w:val="center"/>
            <w:hideMark/>
          </w:tcPr>
          <w:p w14:paraId="6393D729"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1.091</w:t>
            </w:r>
          </w:p>
        </w:tc>
      </w:tr>
      <w:tr w:rsidR="003712EB" w:rsidRPr="003712EB" w14:paraId="058F34C0" w14:textId="77777777" w:rsidTr="00446A14">
        <w:trPr>
          <w:trHeight w:val="198"/>
        </w:trPr>
        <w:tc>
          <w:tcPr>
            <w:tcW w:w="2835" w:type="pct"/>
            <w:tcBorders>
              <w:top w:val="nil"/>
              <w:left w:val="nil"/>
              <w:bottom w:val="nil"/>
              <w:right w:val="nil"/>
            </w:tcBorders>
            <w:shd w:val="clear" w:color="auto" w:fill="auto"/>
            <w:noWrap/>
            <w:vAlign w:val="center"/>
            <w:hideMark/>
          </w:tcPr>
          <w:p w14:paraId="0163E988" w14:textId="77777777" w:rsidR="003712EB" w:rsidRPr="003712EB" w:rsidRDefault="003712EB" w:rsidP="003712EB">
            <w:pPr>
              <w:spacing w:after="0" w:line="240" w:lineRule="auto"/>
              <w:ind w:firstLineChars="200" w:firstLine="280"/>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Pessoal, Encargos e Benefícios Sociais </w:t>
            </w:r>
          </w:p>
        </w:tc>
        <w:tc>
          <w:tcPr>
            <w:tcW w:w="441" w:type="pct"/>
            <w:tcBorders>
              <w:top w:val="nil"/>
              <w:left w:val="single" w:sz="8" w:space="0" w:color="0000FF"/>
              <w:bottom w:val="nil"/>
              <w:right w:val="single" w:sz="8" w:space="0" w:color="0000FF"/>
            </w:tcBorders>
            <w:shd w:val="clear" w:color="000000" w:fill="75F6F9"/>
            <w:noWrap/>
            <w:vAlign w:val="center"/>
            <w:hideMark/>
          </w:tcPr>
          <w:p w14:paraId="7102BF80"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(4.692)</w:t>
            </w:r>
          </w:p>
        </w:tc>
        <w:tc>
          <w:tcPr>
            <w:tcW w:w="441" w:type="pct"/>
            <w:tcBorders>
              <w:top w:val="nil"/>
              <w:left w:val="nil"/>
              <w:bottom w:val="nil"/>
              <w:right w:val="single" w:sz="8" w:space="0" w:color="0000FF"/>
            </w:tcBorders>
            <w:shd w:val="clear" w:color="auto" w:fill="auto"/>
            <w:noWrap/>
            <w:vAlign w:val="center"/>
            <w:hideMark/>
          </w:tcPr>
          <w:p w14:paraId="11797B14"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(4.823)</w:t>
            </w:r>
          </w:p>
        </w:tc>
        <w:tc>
          <w:tcPr>
            <w:tcW w:w="441" w:type="pct"/>
            <w:tcBorders>
              <w:top w:val="nil"/>
              <w:left w:val="nil"/>
              <w:bottom w:val="nil"/>
              <w:right w:val="nil"/>
            </w:tcBorders>
            <w:shd w:val="clear" w:color="auto" w:fill="auto"/>
            <w:noWrap/>
            <w:vAlign w:val="center"/>
            <w:hideMark/>
          </w:tcPr>
          <w:p w14:paraId="7C736ABB"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2.855</w:t>
            </w:r>
          </w:p>
        </w:tc>
        <w:tc>
          <w:tcPr>
            <w:tcW w:w="70" w:type="pct"/>
            <w:tcBorders>
              <w:top w:val="nil"/>
              <w:left w:val="nil"/>
              <w:bottom w:val="nil"/>
              <w:right w:val="nil"/>
            </w:tcBorders>
            <w:shd w:val="clear" w:color="auto" w:fill="auto"/>
            <w:noWrap/>
            <w:vAlign w:val="center"/>
            <w:hideMark/>
          </w:tcPr>
          <w:p w14:paraId="72D2782C"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p>
        </w:tc>
        <w:tc>
          <w:tcPr>
            <w:tcW w:w="386" w:type="pct"/>
            <w:tcBorders>
              <w:top w:val="nil"/>
              <w:left w:val="single" w:sz="8" w:space="0" w:color="0000FF"/>
              <w:bottom w:val="nil"/>
              <w:right w:val="single" w:sz="8" w:space="0" w:color="0000FF"/>
            </w:tcBorders>
            <w:shd w:val="clear" w:color="000000" w:fill="75F6F9"/>
            <w:noWrap/>
            <w:vAlign w:val="center"/>
            <w:hideMark/>
          </w:tcPr>
          <w:p w14:paraId="0F593416"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696</w:t>
            </w:r>
          </w:p>
        </w:tc>
        <w:tc>
          <w:tcPr>
            <w:tcW w:w="386" w:type="pct"/>
            <w:tcBorders>
              <w:top w:val="nil"/>
              <w:left w:val="nil"/>
              <w:bottom w:val="nil"/>
              <w:right w:val="nil"/>
            </w:tcBorders>
            <w:shd w:val="clear" w:color="auto" w:fill="auto"/>
            <w:noWrap/>
            <w:vAlign w:val="center"/>
            <w:hideMark/>
          </w:tcPr>
          <w:p w14:paraId="6C2FEC75"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1.100</w:t>
            </w:r>
          </w:p>
        </w:tc>
      </w:tr>
      <w:tr w:rsidR="003712EB" w:rsidRPr="003712EB" w14:paraId="6DDED92A" w14:textId="77777777" w:rsidTr="00446A14">
        <w:trPr>
          <w:trHeight w:val="198"/>
        </w:trPr>
        <w:tc>
          <w:tcPr>
            <w:tcW w:w="2835" w:type="pct"/>
            <w:tcBorders>
              <w:top w:val="nil"/>
              <w:left w:val="nil"/>
              <w:bottom w:val="nil"/>
              <w:right w:val="nil"/>
            </w:tcBorders>
            <w:shd w:val="clear" w:color="auto" w:fill="auto"/>
            <w:noWrap/>
            <w:vAlign w:val="center"/>
            <w:hideMark/>
          </w:tcPr>
          <w:p w14:paraId="61E7611F" w14:textId="77777777" w:rsidR="003712EB" w:rsidRPr="003712EB" w:rsidRDefault="003712EB" w:rsidP="003712EB">
            <w:pPr>
              <w:spacing w:after="0" w:line="240" w:lineRule="auto"/>
              <w:ind w:firstLineChars="200" w:firstLine="280"/>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Fornecedores </w:t>
            </w:r>
          </w:p>
        </w:tc>
        <w:tc>
          <w:tcPr>
            <w:tcW w:w="441" w:type="pct"/>
            <w:tcBorders>
              <w:top w:val="nil"/>
              <w:left w:val="single" w:sz="8" w:space="0" w:color="0000FF"/>
              <w:bottom w:val="nil"/>
              <w:right w:val="single" w:sz="8" w:space="0" w:color="0000FF"/>
            </w:tcBorders>
            <w:shd w:val="clear" w:color="000000" w:fill="75F6F9"/>
            <w:noWrap/>
            <w:vAlign w:val="center"/>
            <w:hideMark/>
          </w:tcPr>
          <w:p w14:paraId="0485C505"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18.345</w:t>
            </w:r>
          </w:p>
        </w:tc>
        <w:tc>
          <w:tcPr>
            <w:tcW w:w="441" w:type="pct"/>
            <w:tcBorders>
              <w:top w:val="nil"/>
              <w:left w:val="nil"/>
              <w:bottom w:val="nil"/>
              <w:right w:val="single" w:sz="8" w:space="0" w:color="0000FF"/>
            </w:tcBorders>
            <w:shd w:val="clear" w:color="auto" w:fill="auto"/>
            <w:noWrap/>
            <w:vAlign w:val="center"/>
            <w:hideMark/>
          </w:tcPr>
          <w:p w14:paraId="1AE413BB"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(27.934)</w:t>
            </w:r>
          </w:p>
        </w:tc>
        <w:tc>
          <w:tcPr>
            <w:tcW w:w="441" w:type="pct"/>
            <w:tcBorders>
              <w:top w:val="nil"/>
              <w:left w:val="nil"/>
              <w:bottom w:val="nil"/>
              <w:right w:val="nil"/>
            </w:tcBorders>
            <w:shd w:val="clear" w:color="auto" w:fill="auto"/>
            <w:noWrap/>
            <w:vAlign w:val="center"/>
            <w:hideMark/>
          </w:tcPr>
          <w:p w14:paraId="3AD5A847"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12.916</w:t>
            </w:r>
          </w:p>
        </w:tc>
        <w:tc>
          <w:tcPr>
            <w:tcW w:w="70" w:type="pct"/>
            <w:tcBorders>
              <w:top w:val="nil"/>
              <w:left w:val="nil"/>
              <w:bottom w:val="nil"/>
              <w:right w:val="nil"/>
            </w:tcBorders>
            <w:shd w:val="clear" w:color="auto" w:fill="auto"/>
            <w:noWrap/>
            <w:vAlign w:val="center"/>
            <w:hideMark/>
          </w:tcPr>
          <w:p w14:paraId="31A5803D"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p>
        </w:tc>
        <w:tc>
          <w:tcPr>
            <w:tcW w:w="386" w:type="pct"/>
            <w:tcBorders>
              <w:top w:val="nil"/>
              <w:left w:val="single" w:sz="8" w:space="0" w:color="0000FF"/>
              <w:bottom w:val="nil"/>
              <w:right w:val="single" w:sz="8" w:space="0" w:color="0000FF"/>
            </w:tcBorders>
            <w:shd w:val="clear" w:color="000000" w:fill="75F6F9"/>
            <w:noWrap/>
            <w:vAlign w:val="center"/>
            <w:hideMark/>
          </w:tcPr>
          <w:p w14:paraId="353572D6"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2.765</w:t>
            </w:r>
          </w:p>
        </w:tc>
        <w:tc>
          <w:tcPr>
            <w:tcW w:w="386" w:type="pct"/>
            <w:tcBorders>
              <w:top w:val="nil"/>
              <w:left w:val="nil"/>
              <w:bottom w:val="nil"/>
              <w:right w:val="nil"/>
            </w:tcBorders>
            <w:shd w:val="clear" w:color="auto" w:fill="auto"/>
            <w:noWrap/>
            <w:vAlign w:val="center"/>
            <w:hideMark/>
          </w:tcPr>
          <w:p w14:paraId="5E834AF1"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(38.491)</w:t>
            </w:r>
          </w:p>
        </w:tc>
      </w:tr>
      <w:tr w:rsidR="003712EB" w:rsidRPr="003712EB" w14:paraId="7DA199CF" w14:textId="77777777" w:rsidTr="00446A14">
        <w:trPr>
          <w:trHeight w:val="198"/>
        </w:trPr>
        <w:tc>
          <w:tcPr>
            <w:tcW w:w="2835" w:type="pct"/>
            <w:tcBorders>
              <w:top w:val="nil"/>
              <w:left w:val="nil"/>
              <w:bottom w:val="nil"/>
              <w:right w:val="nil"/>
            </w:tcBorders>
            <w:shd w:val="clear" w:color="auto" w:fill="auto"/>
            <w:noWrap/>
            <w:vAlign w:val="center"/>
            <w:hideMark/>
          </w:tcPr>
          <w:p w14:paraId="193E0364" w14:textId="77777777" w:rsidR="003712EB" w:rsidRPr="003712EB" w:rsidRDefault="003712EB" w:rsidP="003712EB">
            <w:pPr>
              <w:spacing w:after="0" w:line="240" w:lineRule="auto"/>
              <w:ind w:firstLineChars="200" w:firstLine="280"/>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Outras Contas Ativas e Passivas </w:t>
            </w:r>
          </w:p>
        </w:tc>
        <w:tc>
          <w:tcPr>
            <w:tcW w:w="441" w:type="pct"/>
            <w:tcBorders>
              <w:top w:val="nil"/>
              <w:left w:val="single" w:sz="8" w:space="0" w:color="0000FF"/>
              <w:bottom w:val="nil"/>
              <w:right w:val="single" w:sz="8" w:space="0" w:color="0000FF"/>
            </w:tcBorders>
            <w:shd w:val="clear" w:color="000000" w:fill="75F6F9"/>
            <w:noWrap/>
            <w:vAlign w:val="center"/>
            <w:hideMark/>
          </w:tcPr>
          <w:p w14:paraId="7B14D2CA"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(11.460)</w:t>
            </w:r>
          </w:p>
        </w:tc>
        <w:tc>
          <w:tcPr>
            <w:tcW w:w="441" w:type="pct"/>
            <w:tcBorders>
              <w:top w:val="nil"/>
              <w:left w:val="nil"/>
              <w:bottom w:val="nil"/>
              <w:right w:val="single" w:sz="8" w:space="0" w:color="0000FF"/>
            </w:tcBorders>
            <w:shd w:val="clear" w:color="auto" w:fill="auto"/>
            <w:noWrap/>
            <w:vAlign w:val="center"/>
            <w:hideMark/>
          </w:tcPr>
          <w:p w14:paraId="68E789D0"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2.864</w:t>
            </w:r>
          </w:p>
        </w:tc>
        <w:tc>
          <w:tcPr>
            <w:tcW w:w="441" w:type="pct"/>
            <w:tcBorders>
              <w:top w:val="nil"/>
              <w:left w:val="nil"/>
              <w:bottom w:val="nil"/>
              <w:right w:val="nil"/>
            </w:tcBorders>
            <w:shd w:val="clear" w:color="auto" w:fill="auto"/>
            <w:noWrap/>
            <w:vAlign w:val="center"/>
            <w:hideMark/>
          </w:tcPr>
          <w:p w14:paraId="159EE946"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25.104</w:t>
            </w:r>
          </w:p>
        </w:tc>
        <w:tc>
          <w:tcPr>
            <w:tcW w:w="70" w:type="pct"/>
            <w:tcBorders>
              <w:top w:val="nil"/>
              <w:left w:val="nil"/>
              <w:bottom w:val="nil"/>
              <w:right w:val="nil"/>
            </w:tcBorders>
            <w:shd w:val="clear" w:color="auto" w:fill="auto"/>
            <w:noWrap/>
            <w:vAlign w:val="center"/>
            <w:hideMark/>
          </w:tcPr>
          <w:p w14:paraId="0C67EDD0"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p>
        </w:tc>
        <w:tc>
          <w:tcPr>
            <w:tcW w:w="386" w:type="pct"/>
            <w:tcBorders>
              <w:top w:val="nil"/>
              <w:left w:val="single" w:sz="8" w:space="0" w:color="0000FF"/>
              <w:bottom w:val="nil"/>
              <w:right w:val="single" w:sz="8" w:space="0" w:color="0000FF"/>
            </w:tcBorders>
            <w:shd w:val="clear" w:color="000000" w:fill="75F6F9"/>
            <w:noWrap/>
            <w:vAlign w:val="center"/>
            <w:hideMark/>
          </w:tcPr>
          <w:p w14:paraId="0A1AEDB4"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42.978</w:t>
            </w:r>
          </w:p>
        </w:tc>
        <w:tc>
          <w:tcPr>
            <w:tcW w:w="386" w:type="pct"/>
            <w:tcBorders>
              <w:top w:val="nil"/>
              <w:left w:val="nil"/>
              <w:bottom w:val="nil"/>
              <w:right w:val="nil"/>
            </w:tcBorders>
            <w:shd w:val="clear" w:color="auto" w:fill="auto"/>
            <w:noWrap/>
            <w:vAlign w:val="center"/>
            <w:hideMark/>
          </w:tcPr>
          <w:p w14:paraId="461DBB27"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(24.499)</w:t>
            </w:r>
          </w:p>
        </w:tc>
      </w:tr>
      <w:tr w:rsidR="003712EB" w:rsidRPr="003712EB" w14:paraId="5B900A66" w14:textId="77777777" w:rsidTr="00446A14">
        <w:trPr>
          <w:trHeight w:val="198"/>
        </w:trPr>
        <w:tc>
          <w:tcPr>
            <w:tcW w:w="2835" w:type="pct"/>
            <w:tcBorders>
              <w:top w:val="single" w:sz="8" w:space="0" w:color="0000FF"/>
              <w:left w:val="nil"/>
              <w:bottom w:val="single" w:sz="8" w:space="0" w:color="0000FF"/>
              <w:right w:val="nil"/>
            </w:tcBorders>
            <w:shd w:val="clear" w:color="auto" w:fill="auto"/>
            <w:noWrap/>
            <w:vAlign w:val="center"/>
            <w:hideMark/>
          </w:tcPr>
          <w:p w14:paraId="3B96A7D0" w14:textId="77777777" w:rsidR="003712EB" w:rsidRPr="003712EB" w:rsidRDefault="003712EB" w:rsidP="003712EB">
            <w:pPr>
              <w:spacing w:after="0" w:line="240" w:lineRule="auto"/>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 xml:space="preserve">     Subtotal</w:t>
            </w:r>
          </w:p>
        </w:tc>
        <w:tc>
          <w:tcPr>
            <w:tcW w:w="441" w:type="pct"/>
            <w:tcBorders>
              <w:top w:val="single" w:sz="8" w:space="0" w:color="0000FF"/>
              <w:left w:val="single" w:sz="8" w:space="0" w:color="0000FF"/>
              <w:bottom w:val="single" w:sz="8" w:space="0" w:color="0000FF"/>
              <w:right w:val="single" w:sz="8" w:space="0" w:color="0000FF"/>
            </w:tcBorders>
            <w:shd w:val="clear" w:color="000000" w:fill="75F6F9"/>
            <w:noWrap/>
            <w:vAlign w:val="center"/>
            <w:hideMark/>
          </w:tcPr>
          <w:p w14:paraId="1DB0BC18"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(26.238)</w:t>
            </w:r>
          </w:p>
        </w:tc>
        <w:tc>
          <w:tcPr>
            <w:tcW w:w="441" w:type="pct"/>
            <w:tcBorders>
              <w:top w:val="single" w:sz="8" w:space="0" w:color="0000FF"/>
              <w:left w:val="nil"/>
              <w:bottom w:val="single" w:sz="8" w:space="0" w:color="0000FF"/>
              <w:right w:val="nil"/>
            </w:tcBorders>
            <w:shd w:val="clear" w:color="auto" w:fill="auto"/>
            <w:noWrap/>
            <w:vAlign w:val="center"/>
            <w:hideMark/>
          </w:tcPr>
          <w:p w14:paraId="202C9CEB"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(26.856)</w:t>
            </w:r>
          </w:p>
        </w:tc>
        <w:tc>
          <w:tcPr>
            <w:tcW w:w="441" w:type="pct"/>
            <w:tcBorders>
              <w:top w:val="single" w:sz="8" w:space="0" w:color="0000FF"/>
              <w:left w:val="single" w:sz="8" w:space="0" w:color="0000FF"/>
              <w:bottom w:val="single" w:sz="8" w:space="0" w:color="0000FF"/>
              <w:right w:val="nil"/>
            </w:tcBorders>
            <w:shd w:val="clear" w:color="auto" w:fill="auto"/>
            <w:noWrap/>
            <w:vAlign w:val="center"/>
            <w:hideMark/>
          </w:tcPr>
          <w:p w14:paraId="6A8C9FB0"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61.307</w:t>
            </w:r>
          </w:p>
        </w:tc>
        <w:tc>
          <w:tcPr>
            <w:tcW w:w="70" w:type="pct"/>
            <w:tcBorders>
              <w:top w:val="nil"/>
              <w:left w:val="nil"/>
              <w:bottom w:val="nil"/>
              <w:right w:val="nil"/>
            </w:tcBorders>
            <w:shd w:val="clear" w:color="auto" w:fill="auto"/>
            <w:noWrap/>
            <w:vAlign w:val="center"/>
            <w:hideMark/>
          </w:tcPr>
          <w:p w14:paraId="2FD7053F"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p>
        </w:tc>
        <w:tc>
          <w:tcPr>
            <w:tcW w:w="386" w:type="pct"/>
            <w:tcBorders>
              <w:top w:val="single" w:sz="8" w:space="0" w:color="0000FF"/>
              <w:left w:val="single" w:sz="8" w:space="0" w:color="0000FF"/>
              <w:bottom w:val="single" w:sz="8" w:space="0" w:color="0000FF"/>
              <w:right w:val="single" w:sz="8" w:space="0" w:color="0000FF"/>
            </w:tcBorders>
            <w:shd w:val="clear" w:color="000000" w:fill="75F6F9"/>
            <w:noWrap/>
            <w:vAlign w:val="center"/>
            <w:hideMark/>
          </w:tcPr>
          <w:p w14:paraId="66F10159"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(37.856)</w:t>
            </w:r>
          </w:p>
        </w:tc>
        <w:tc>
          <w:tcPr>
            <w:tcW w:w="386" w:type="pct"/>
            <w:tcBorders>
              <w:top w:val="single" w:sz="8" w:space="0" w:color="0000FF"/>
              <w:left w:val="nil"/>
              <w:bottom w:val="single" w:sz="8" w:space="0" w:color="0000FF"/>
              <w:right w:val="nil"/>
            </w:tcBorders>
            <w:shd w:val="clear" w:color="auto" w:fill="auto"/>
            <w:noWrap/>
            <w:vAlign w:val="center"/>
            <w:hideMark/>
          </w:tcPr>
          <w:p w14:paraId="46CDADC4"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(107.465)</w:t>
            </w:r>
          </w:p>
        </w:tc>
      </w:tr>
      <w:tr w:rsidR="003712EB" w:rsidRPr="003712EB" w14:paraId="7C214E42" w14:textId="77777777" w:rsidTr="00446A14">
        <w:trPr>
          <w:trHeight w:val="198"/>
        </w:trPr>
        <w:tc>
          <w:tcPr>
            <w:tcW w:w="2835" w:type="pct"/>
            <w:tcBorders>
              <w:top w:val="nil"/>
              <w:left w:val="nil"/>
              <w:bottom w:val="nil"/>
              <w:right w:val="nil"/>
            </w:tcBorders>
            <w:shd w:val="clear" w:color="auto" w:fill="auto"/>
            <w:noWrap/>
            <w:vAlign w:val="center"/>
            <w:hideMark/>
          </w:tcPr>
          <w:p w14:paraId="3FEBCEDC" w14:textId="77777777" w:rsidR="003712EB" w:rsidRPr="003712EB" w:rsidRDefault="003712EB" w:rsidP="003712EB">
            <w:pPr>
              <w:spacing w:after="0" w:line="240" w:lineRule="auto"/>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Caixa Proveniente das Atividades Operacionais</w:t>
            </w:r>
          </w:p>
        </w:tc>
        <w:tc>
          <w:tcPr>
            <w:tcW w:w="441" w:type="pct"/>
            <w:tcBorders>
              <w:top w:val="nil"/>
              <w:left w:val="single" w:sz="8" w:space="0" w:color="0000FF"/>
              <w:bottom w:val="nil"/>
              <w:right w:val="single" w:sz="8" w:space="0" w:color="0000FF"/>
            </w:tcBorders>
            <w:shd w:val="clear" w:color="000000" w:fill="75F6F9"/>
            <w:noWrap/>
            <w:vAlign w:val="center"/>
            <w:hideMark/>
          </w:tcPr>
          <w:p w14:paraId="546BA5A9"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 </w:t>
            </w:r>
          </w:p>
        </w:tc>
        <w:tc>
          <w:tcPr>
            <w:tcW w:w="441" w:type="pct"/>
            <w:tcBorders>
              <w:top w:val="nil"/>
              <w:left w:val="nil"/>
              <w:bottom w:val="nil"/>
              <w:right w:val="nil"/>
            </w:tcBorders>
            <w:shd w:val="clear" w:color="auto" w:fill="auto"/>
            <w:noWrap/>
            <w:vAlign w:val="center"/>
            <w:hideMark/>
          </w:tcPr>
          <w:p w14:paraId="40BF3922"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p>
        </w:tc>
        <w:tc>
          <w:tcPr>
            <w:tcW w:w="441" w:type="pct"/>
            <w:tcBorders>
              <w:top w:val="nil"/>
              <w:left w:val="single" w:sz="8" w:space="0" w:color="0000FF"/>
              <w:bottom w:val="nil"/>
              <w:right w:val="nil"/>
            </w:tcBorders>
            <w:shd w:val="clear" w:color="auto" w:fill="auto"/>
            <w:noWrap/>
            <w:vAlign w:val="center"/>
            <w:hideMark/>
          </w:tcPr>
          <w:p w14:paraId="02FFA70B"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 </w:t>
            </w:r>
          </w:p>
        </w:tc>
        <w:tc>
          <w:tcPr>
            <w:tcW w:w="70" w:type="pct"/>
            <w:tcBorders>
              <w:top w:val="nil"/>
              <w:left w:val="nil"/>
              <w:bottom w:val="nil"/>
              <w:right w:val="nil"/>
            </w:tcBorders>
            <w:shd w:val="clear" w:color="auto" w:fill="auto"/>
            <w:noWrap/>
            <w:vAlign w:val="center"/>
            <w:hideMark/>
          </w:tcPr>
          <w:p w14:paraId="24B814BC"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p>
        </w:tc>
        <w:tc>
          <w:tcPr>
            <w:tcW w:w="386" w:type="pct"/>
            <w:tcBorders>
              <w:top w:val="nil"/>
              <w:left w:val="single" w:sz="8" w:space="0" w:color="0000FF"/>
              <w:bottom w:val="nil"/>
              <w:right w:val="single" w:sz="8" w:space="0" w:color="0000FF"/>
            </w:tcBorders>
            <w:shd w:val="clear" w:color="000000" w:fill="75F6F9"/>
            <w:noWrap/>
            <w:vAlign w:val="center"/>
            <w:hideMark/>
          </w:tcPr>
          <w:p w14:paraId="45002B91"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 </w:t>
            </w:r>
          </w:p>
        </w:tc>
        <w:tc>
          <w:tcPr>
            <w:tcW w:w="386" w:type="pct"/>
            <w:tcBorders>
              <w:top w:val="nil"/>
              <w:left w:val="nil"/>
              <w:bottom w:val="nil"/>
              <w:right w:val="nil"/>
            </w:tcBorders>
            <w:shd w:val="clear" w:color="auto" w:fill="auto"/>
            <w:noWrap/>
            <w:vAlign w:val="center"/>
            <w:hideMark/>
          </w:tcPr>
          <w:p w14:paraId="32943E28"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 </w:t>
            </w:r>
          </w:p>
        </w:tc>
      </w:tr>
      <w:tr w:rsidR="003712EB" w:rsidRPr="003712EB" w14:paraId="7BBE07CA" w14:textId="77777777" w:rsidTr="00446A14">
        <w:trPr>
          <w:trHeight w:val="198"/>
        </w:trPr>
        <w:tc>
          <w:tcPr>
            <w:tcW w:w="2835" w:type="pct"/>
            <w:tcBorders>
              <w:top w:val="nil"/>
              <w:left w:val="nil"/>
              <w:bottom w:val="nil"/>
              <w:right w:val="nil"/>
            </w:tcBorders>
            <w:shd w:val="clear" w:color="auto" w:fill="auto"/>
            <w:noWrap/>
            <w:vAlign w:val="center"/>
            <w:hideMark/>
          </w:tcPr>
          <w:p w14:paraId="24C42FFE" w14:textId="77777777" w:rsidR="003712EB" w:rsidRPr="003712EB" w:rsidRDefault="003712EB" w:rsidP="003712EB">
            <w:pPr>
              <w:spacing w:after="0" w:line="240" w:lineRule="auto"/>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Dividendos / Juros sobre Capital Próprio Recebidos</w:t>
            </w:r>
          </w:p>
        </w:tc>
        <w:tc>
          <w:tcPr>
            <w:tcW w:w="441" w:type="pct"/>
            <w:tcBorders>
              <w:top w:val="nil"/>
              <w:left w:val="single" w:sz="8" w:space="0" w:color="0000FF"/>
              <w:bottom w:val="nil"/>
              <w:right w:val="single" w:sz="8" w:space="0" w:color="0000FF"/>
            </w:tcBorders>
            <w:shd w:val="clear" w:color="000000" w:fill="75F6F9"/>
            <w:noWrap/>
            <w:vAlign w:val="center"/>
            <w:hideMark/>
          </w:tcPr>
          <w:p w14:paraId="1571DA0D"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 </w:t>
            </w:r>
          </w:p>
        </w:tc>
        <w:tc>
          <w:tcPr>
            <w:tcW w:w="441" w:type="pct"/>
            <w:tcBorders>
              <w:top w:val="nil"/>
              <w:left w:val="nil"/>
              <w:bottom w:val="nil"/>
              <w:right w:val="single" w:sz="8" w:space="0" w:color="0000FF"/>
            </w:tcBorders>
            <w:shd w:val="clear" w:color="auto" w:fill="auto"/>
            <w:noWrap/>
            <w:vAlign w:val="center"/>
            <w:hideMark/>
          </w:tcPr>
          <w:p w14:paraId="4BC6CFBB"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 </w:t>
            </w:r>
          </w:p>
        </w:tc>
        <w:tc>
          <w:tcPr>
            <w:tcW w:w="441" w:type="pct"/>
            <w:tcBorders>
              <w:top w:val="nil"/>
              <w:left w:val="nil"/>
              <w:bottom w:val="nil"/>
              <w:right w:val="nil"/>
            </w:tcBorders>
            <w:shd w:val="clear" w:color="auto" w:fill="auto"/>
            <w:noWrap/>
            <w:vAlign w:val="center"/>
            <w:hideMark/>
          </w:tcPr>
          <w:p w14:paraId="251C1CD1"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 </w:t>
            </w:r>
          </w:p>
        </w:tc>
        <w:tc>
          <w:tcPr>
            <w:tcW w:w="70" w:type="pct"/>
            <w:tcBorders>
              <w:top w:val="nil"/>
              <w:left w:val="nil"/>
              <w:bottom w:val="nil"/>
              <w:right w:val="nil"/>
            </w:tcBorders>
            <w:shd w:val="clear" w:color="auto" w:fill="auto"/>
            <w:noWrap/>
            <w:vAlign w:val="center"/>
            <w:hideMark/>
          </w:tcPr>
          <w:p w14:paraId="428A3646"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p>
        </w:tc>
        <w:tc>
          <w:tcPr>
            <w:tcW w:w="386" w:type="pct"/>
            <w:tcBorders>
              <w:top w:val="nil"/>
              <w:left w:val="single" w:sz="8" w:space="0" w:color="0000FF"/>
              <w:bottom w:val="nil"/>
              <w:right w:val="single" w:sz="8" w:space="0" w:color="0000FF"/>
            </w:tcBorders>
            <w:shd w:val="clear" w:color="000000" w:fill="75F6F9"/>
            <w:noWrap/>
            <w:vAlign w:val="center"/>
            <w:hideMark/>
          </w:tcPr>
          <w:p w14:paraId="4B50E5AF"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 </w:t>
            </w:r>
          </w:p>
        </w:tc>
        <w:tc>
          <w:tcPr>
            <w:tcW w:w="386" w:type="pct"/>
            <w:tcBorders>
              <w:top w:val="nil"/>
              <w:left w:val="nil"/>
              <w:bottom w:val="nil"/>
              <w:right w:val="nil"/>
            </w:tcBorders>
            <w:shd w:val="clear" w:color="auto" w:fill="auto"/>
            <w:noWrap/>
            <w:vAlign w:val="center"/>
            <w:hideMark/>
          </w:tcPr>
          <w:p w14:paraId="798844A3"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63</w:t>
            </w:r>
          </w:p>
        </w:tc>
      </w:tr>
      <w:tr w:rsidR="003712EB" w:rsidRPr="003712EB" w14:paraId="7A0C7EEF" w14:textId="77777777" w:rsidTr="00446A14">
        <w:trPr>
          <w:trHeight w:val="198"/>
        </w:trPr>
        <w:tc>
          <w:tcPr>
            <w:tcW w:w="2835" w:type="pct"/>
            <w:tcBorders>
              <w:top w:val="nil"/>
              <w:left w:val="nil"/>
              <w:bottom w:val="nil"/>
              <w:right w:val="nil"/>
            </w:tcBorders>
            <w:shd w:val="clear" w:color="auto" w:fill="auto"/>
            <w:noWrap/>
            <w:vAlign w:val="center"/>
            <w:hideMark/>
          </w:tcPr>
          <w:p w14:paraId="443DC3D9" w14:textId="77777777" w:rsidR="003712EB" w:rsidRPr="003712EB" w:rsidRDefault="003712EB" w:rsidP="003712EB">
            <w:pPr>
              <w:spacing w:after="0" w:line="240" w:lineRule="auto"/>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Recebimento de Receitas Diferidas</w:t>
            </w:r>
          </w:p>
        </w:tc>
        <w:tc>
          <w:tcPr>
            <w:tcW w:w="441" w:type="pct"/>
            <w:tcBorders>
              <w:top w:val="nil"/>
              <w:left w:val="single" w:sz="8" w:space="0" w:color="0000FF"/>
              <w:bottom w:val="nil"/>
              <w:right w:val="single" w:sz="8" w:space="0" w:color="0000FF"/>
            </w:tcBorders>
            <w:shd w:val="clear" w:color="000000" w:fill="75F6F9"/>
            <w:noWrap/>
            <w:vAlign w:val="center"/>
            <w:hideMark/>
          </w:tcPr>
          <w:p w14:paraId="108F323A"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 </w:t>
            </w:r>
          </w:p>
        </w:tc>
        <w:tc>
          <w:tcPr>
            <w:tcW w:w="441" w:type="pct"/>
            <w:tcBorders>
              <w:top w:val="nil"/>
              <w:left w:val="nil"/>
              <w:bottom w:val="nil"/>
              <w:right w:val="single" w:sz="8" w:space="0" w:color="0000FF"/>
            </w:tcBorders>
            <w:shd w:val="clear" w:color="auto" w:fill="auto"/>
            <w:noWrap/>
            <w:vAlign w:val="center"/>
            <w:hideMark/>
          </w:tcPr>
          <w:p w14:paraId="60869F1B"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26.965</w:t>
            </w:r>
          </w:p>
        </w:tc>
        <w:tc>
          <w:tcPr>
            <w:tcW w:w="441" w:type="pct"/>
            <w:tcBorders>
              <w:top w:val="nil"/>
              <w:left w:val="nil"/>
              <w:bottom w:val="nil"/>
              <w:right w:val="nil"/>
            </w:tcBorders>
            <w:shd w:val="clear" w:color="auto" w:fill="auto"/>
            <w:noWrap/>
            <w:vAlign w:val="center"/>
            <w:hideMark/>
          </w:tcPr>
          <w:p w14:paraId="2792A5F4"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 </w:t>
            </w:r>
          </w:p>
        </w:tc>
        <w:tc>
          <w:tcPr>
            <w:tcW w:w="70" w:type="pct"/>
            <w:tcBorders>
              <w:top w:val="nil"/>
              <w:left w:val="nil"/>
              <w:bottom w:val="nil"/>
              <w:right w:val="nil"/>
            </w:tcBorders>
            <w:shd w:val="clear" w:color="auto" w:fill="auto"/>
            <w:noWrap/>
            <w:vAlign w:val="center"/>
            <w:hideMark/>
          </w:tcPr>
          <w:p w14:paraId="3FF53EA2"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p>
        </w:tc>
        <w:tc>
          <w:tcPr>
            <w:tcW w:w="386" w:type="pct"/>
            <w:tcBorders>
              <w:top w:val="nil"/>
              <w:left w:val="single" w:sz="8" w:space="0" w:color="0000FF"/>
              <w:bottom w:val="nil"/>
              <w:right w:val="single" w:sz="8" w:space="0" w:color="0000FF"/>
            </w:tcBorders>
            <w:shd w:val="clear" w:color="000000" w:fill="75F6F9"/>
            <w:noWrap/>
            <w:vAlign w:val="center"/>
            <w:hideMark/>
          </w:tcPr>
          <w:p w14:paraId="3E70A125"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 </w:t>
            </w:r>
          </w:p>
        </w:tc>
        <w:tc>
          <w:tcPr>
            <w:tcW w:w="386" w:type="pct"/>
            <w:tcBorders>
              <w:top w:val="nil"/>
              <w:left w:val="nil"/>
              <w:bottom w:val="nil"/>
              <w:right w:val="nil"/>
            </w:tcBorders>
            <w:shd w:val="clear" w:color="auto" w:fill="auto"/>
            <w:noWrap/>
            <w:vAlign w:val="center"/>
            <w:hideMark/>
          </w:tcPr>
          <w:p w14:paraId="01E2EF8C"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27.168</w:t>
            </w:r>
          </w:p>
        </w:tc>
      </w:tr>
      <w:tr w:rsidR="003712EB" w:rsidRPr="003712EB" w14:paraId="2749218E" w14:textId="77777777" w:rsidTr="00446A14">
        <w:trPr>
          <w:trHeight w:val="198"/>
        </w:trPr>
        <w:tc>
          <w:tcPr>
            <w:tcW w:w="2835" w:type="pct"/>
            <w:tcBorders>
              <w:top w:val="nil"/>
              <w:left w:val="nil"/>
              <w:bottom w:val="nil"/>
              <w:right w:val="nil"/>
            </w:tcBorders>
            <w:shd w:val="clear" w:color="auto" w:fill="auto"/>
            <w:noWrap/>
            <w:vAlign w:val="center"/>
            <w:hideMark/>
          </w:tcPr>
          <w:p w14:paraId="4C6E960E" w14:textId="77777777" w:rsidR="003712EB" w:rsidRPr="003712EB" w:rsidRDefault="003712EB" w:rsidP="003712EB">
            <w:pPr>
              <w:spacing w:after="0" w:line="240" w:lineRule="auto"/>
              <w:ind w:firstLineChars="100" w:firstLine="140"/>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Pagamento por Adesão ao </w:t>
            </w:r>
            <w:proofErr w:type="spellStart"/>
            <w:r w:rsidRPr="003712EB">
              <w:rPr>
                <w:rFonts w:ascii="Arial" w:eastAsia="Times New Roman" w:hAnsi="Arial" w:cs="Arial"/>
                <w:color w:val="000000"/>
                <w:kern w:val="0"/>
                <w:sz w:val="14"/>
                <w:szCs w:val="14"/>
                <w:lang w:eastAsia="pt-BR"/>
                <w14:ligatures w14:val="none"/>
              </w:rPr>
              <w:t>Prog</w:t>
            </w:r>
            <w:proofErr w:type="spellEnd"/>
            <w:r w:rsidRPr="003712EB">
              <w:rPr>
                <w:rFonts w:ascii="Arial" w:eastAsia="Times New Roman" w:hAnsi="Arial" w:cs="Arial"/>
                <w:color w:val="000000"/>
                <w:kern w:val="0"/>
                <w:sz w:val="14"/>
                <w:szCs w:val="14"/>
                <w:lang w:eastAsia="pt-BR"/>
                <w14:ligatures w14:val="none"/>
              </w:rPr>
              <w:t>. de Indenização por Serviços Prestados - PISP</w:t>
            </w:r>
          </w:p>
        </w:tc>
        <w:tc>
          <w:tcPr>
            <w:tcW w:w="441" w:type="pct"/>
            <w:tcBorders>
              <w:top w:val="nil"/>
              <w:left w:val="single" w:sz="8" w:space="0" w:color="0000FF"/>
              <w:bottom w:val="nil"/>
              <w:right w:val="single" w:sz="8" w:space="0" w:color="0000FF"/>
            </w:tcBorders>
            <w:shd w:val="clear" w:color="000000" w:fill="75F6F9"/>
            <w:noWrap/>
            <w:vAlign w:val="center"/>
            <w:hideMark/>
          </w:tcPr>
          <w:p w14:paraId="497F71F9"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(3.399)</w:t>
            </w:r>
          </w:p>
        </w:tc>
        <w:tc>
          <w:tcPr>
            <w:tcW w:w="441" w:type="pct"/>
            <w:tcBorders>
              <w:top w:val="nil"/>
              <w:left w:val="nil"/>
              <w:bottom w:val="nil"/>
              <w:right w:val="single" w:sz="8" w:space="0" w:color="0000FF"/>
            </w:tcBorders>
            <w:shd w:val="clear" w:color="auto" w:fill="auto"/>
            <w:noWrap/>
            <w:vAlign w:val="center"/>
            <w:hideMark/>
          </w:tcPr>
          <w:p w14:paraId="394443F6"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(1.271)</w:t>
            </w:r>
          </w:p>
        </w:tc>
        <w:tc>
          <w:tcPr>
            <w:tcW w:w="441" w:type="pct"/>
            <w:tcBorders>
              <w:top w:val="nil"/>
              <w:left w:val="nil"/>
              <w:bottom w:val="nil"/>
              <w:right w:val="nil"/>
            </w:tcBorders>
            <w:shd w:val="clear" w:color="auto" w:fill="auto"/>
            <w:noWrap/>
            <w:vAlign w:val="center"/>
            <w:hideMark/>
          </w:tcPr>
          <w:p w14:paraId="0AEFFA6E"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(76)</w:t>
            </w:r>
          </w:p>
        </w:tc>
        <w:tc>
          <w:tcPr>
            <w:tcW w:w="70" w:type="pct"/>
            <w:tcBorders>
              <w:top w:val="nil"/>
              <w:left w:val="nil"/>
              <w:bottom w:val="nil"/>
              <w:right w:val="nil"/>
            </w:tcBorders>
            <w:shd w:val="clear" w:color="auto" w:fill="auto"/>
            <w:noWrap/>
            <w:vAlign w:val="center"/>
            <w:hideMark/>
          </w:tcPr>
          <w:p w14:paraId="3366FB12"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p>
        </w:tc>
        <w:tc>
          <w:tcPr>
            <w:tcW w:w="386" w:type="pct"/>
            <w:tcBorders>
              <w:top w:val="nil"/>
              <w:left w:val="single" w:sz="8" w:space="0" w:color="0000FF"/>
              <w:bottom w:val="nil"/>
              <w:right w:val="single" w:sz="8" w:space="0" w:color="0000FF"/>
            </w:tcBorders>
            <w:shd w:val="clear" w:color="000000" w:fill="75F6F9"/>
            <w:noWrap/>
            <w:vAlign w:val="center"/>
            <w:hideMark/>
          </w:tcPr>
          <w:p w14:paraId="10BAA25B"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(3.475)</w:t>
            </w:r>
          </w:p>
        </w:tc>
        <w:tc>
          <w:tcPr>
            <w:tcW w:w="386" w:type="pct"/>
            <w:tcBorders>
              <w:top w:val="nil"/>
              <w:left w:val="nil"/>
              <w:bottom w:val="nil"/>
              <w:right w:val="nil"/>
            </w:tcBorders>
            <w:shd w:val="clear" w:color="auto" w:fill="auto"/>
            <w:noWrap/>
            <w:vAlign w:val="center"/>
            <w:hideMark/>
          </w:tcPr>
          <w:p w14:paraId="62F3351A"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(1.531)</w:t>
            </w:r>
          </w:p>
        </w:tc>
      </w:tr>
      <w:tr w:rsidR="003712EB" w:rsidRPr="003712EB" w14:paraId="6CB11891" w14:textId="77777777" w:rsidTr="00446A14">
        <w:trPr>
          <w:trHeight w:val="198"/>
        </w:trPr>
        <w:tc>
          <w:tcPr>
            <w:tcW w:w="2835" w:type="pct"/>
            <w:tcBorders>
              <w:top w:val="nil"/>
              <w:left w:val="nil"/>
              <w:bottom w:val="nil"/>
              <w:right w:val="nil"/>
            </w:tcBorders>
            <w:shd w:val="clear" w:color="auto" w:fill="auto"/>
            <w:noWrap/>
            <w:vAlign w:val="bottom"/>
            <w:hideMark/>
          </w:tcPr>
          <w:p w14:paraId="3B9908C5" w14:textId="77777777" w:rsidR="003712EB" w:rsidRPr="003712EB" w:rsidRDefault="003712EB" w:rsidP="003712EB">
            <w:pPr>
              <w:spacing w:after="0" w:line="240" w:lineRule="auto"/>
              <w:ind w:firstLineChars="100" w:firstLine="140"/>
              <w:rPr>
                <w:rFonts w:ascii="Arial" w:eastAsia="Times New Roman" w:hAnsi="Arial" w:cs="Arial"/>
                <w:kern w:val="0"/>
                <w:sz w:val="14"/>
                <w:szCs w:val="14"/>
                <w:lang w:eastAsia="pt-BR"/>
                <w14:ligatures w14:val="none"/>
              </w:rPr>
            </w:pPr>
            <w:r w:rsidRPr="003712EB">
              <w:rPr>
                <w:rFonts w:ascii="Arial" w:eastAsia="Times New Roman" w:hAnsi="Arial" w:cs="Arial"/>
                <w:kern w:val="0"/>
                <w:sz w:val="14"/>
                <w:szCs w:val="14"/>
                <w:lang w:eastAsia="pt-BR"/>
                <w14:ligatures w14:val="none"/>
              </w:rPr>
              <w:t xml:space="preserve">    Pagamento de IRPJ/CSLL Estimados</w:t>
            </w:r>
          </w:p>
        </w:tc>
        <w:tc>
          <w:tcPr>
            <w:tcW w:w="441" w:type="pct"/>
            <w:tcBorders>
              <w:top w:val="nil"/>
              <w:left w:val="single" w:sz="8" w:space="0" w:color="0000FF"/>
              <w:bottom w:val="nil"/>
              <w:right w:val="single" w:sz="8" w:space="0" w:color="0000FF"/>
            </w:tcBorders>
            <w:shd w:val="clear" w:color="000000" w:fill="75F6F9"/>
            <w:noWrap/>
            <w:vAlign w:val="center"/>
            <w:hideMark/>
          </w:tcPr>
          <w:p w14:paraId="78F252A4"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 </w:t>
            </w:r>
          </w:p>
        </w:tc>
        <w:tc>
          <w:tcPr>
            <w:tcW w:w="441" w:type="pct"/>
            <w:tcBorders>
              <w:top w:val="nil"/>
              <w:left w:val="nil"/>
              <w:bottom w:val="nil"/>
              <w:right w:val="single" w:sz="8" w:space="0" w:color="0000FF"/>
            </w:tcBorders>
            <w:shd w:val="clear" w:color="auto" w:fill="auto"/>
            <w:noWrap/>
            <w:vAlign w:val="center"/>
            <w:hideMark/>
          </w:tcPr>
          <w:p w14:paraId="03595F0F"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 </w:t>
            </w:r>
          </w:p>
        </w:tc>
        <w:tc>
          <w:tcPr>
            <w:tcW w:w="441" w:type="pct"/>
            <w:tcBorders>
              <w:top w:val="nil"/>
              <w:left w:val="nil"/>
              <w:bottom w:val="nil"/>
              <w:right w:val="nil"/>
            </w:tcBorders>
            <w:shd w:val="clear" w:color="auto" w:fill="auto"/>
            <w:noWrap/>
            <w:vAlign w:val="center"/>
            <w:hideMark/>
          </w:tcPr>
          <w:p w14:paraId="16A07122"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(0)</w:t>
            </w:r>
          </w:p>
        </w:tc>
        <w:tc>
          <w:tcPr>
            <w:tcW w:w="70" w:type="pct"/>
            <w:tcBorders>
              <w:top w:val="nil"/>
              <w:left w:val="nil"/>
              <w:bottom w:val="nil"/>
              <w:right w:val="nil"/>
            </w:tcBorders>
            <w:shd w:val="clear" w:color="auto" w:fill="auto"/>
            <w:noWrap/>
            <w:vAlign w:val="center"/>
            <w:hideMark/>
          </w:tcPr>
          <w:p w14:paraId="2420DF0C"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p>
        </w:tc>
        <w:tc>
          <w:tcPr>
            <w:tcW w:w="386" w:type="pct"/>
            <w:tcBorders>
              <w:top w:val="nil"/>
              <w:left w:val="single" w:sz="8" w:space="0" w:color="0000FF"/>
              <w:bottom w:val="nil"/>
              <w:right w:val="single" w:sz="8" w:space="0" w:color="0000FF"/>
            </w:tcBorders>
            <w:shd w:val="clear" w:color="000000" w:fill="75F6F9"/>
            <w:noWrap/>
            <w:vAlign w:val="center"/>
            <w:hideMark/>
          </w:tcPr>
          <w:p w14:paraId="1C19A3F5"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(6.017)</w:t>
            </w:r>
          </w:p>
        </w:tc>
        <w:tc>
          <w:tcPr>
            <w:tcW w:w="386" w:type="pct"/>
            <w:tcBorders>
              <w:top w:val="nil"/>
              <w:left w:val="nil"/>
              <w:bottom w:val="nil"/>
              <w:right w:val="nil"/>
            </w:tcBorders>
            <w:shd w:val="clear" w:color="auto" w:fill="auto"/>
            <w:noWrap/>
            <w:vAlign w:val="center"/>
            <w:hideMark/>
          </w:tcPr>
          <w:p w14:paraId="1EB3A441"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 </w:t>
            </w:r>
          </w:p>
        </w:tc>
      </w:tr>
      <w:tr w:rsidR="003712EB" w:rsidRPr="003712EB" w14:paraId="682C43A2" w14:textId="77777777" w:rsidTr="00446A14">
        <w:trPr>
          <w:trHeight w:val="198"/>
        </w:trPr>
        <w:tc>
          <w:tcPr>
            <w:tcW w:w="2835" w:type="pct"/>
            <w:tcBorders>
              <w:top w:val="nil"/>
              <w:left w:val="nil"/>
              <w:bottom w:val="nil"/>
              <w:right w:val="nil"/>
            </w:tcBorders>
            <w:shd w:val="clear" w:color="auto" w:fill="auto"/>
            <w:noWrap/>
            <w:vAlign w:val="center"/>
            <w:hideMark/>
          </w:tcPr>
          <w:p w14:paraId="61087367" w14:textId="77777777" w:rsidR="003712EB" w:rsidRPr="003712EB" w:rsidRDefault="003712EB" w:rsidP="003712EB">
            <w:pPr>
              <w:spacing w:after="0" w:line="240" w:lineRule="auto"/>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Pagamento de Juros de Empréstimos e Financiamentos</w:t>
            </w:r>
          </w:p>
        </w:tc>
        <w:tc>
          <w:tcPr>
            <w:tcW w:w="441" w:type="pct"/>
            <w:tcBorders>
              <w:top w:val="nil"/>
              <w:left w:val="single" w:sz="8" w:space="0" w:color="0000FF"/>
              <w:bottom w:val="nil"/>
              <w:right w:val="single" w:sz="8" w:space="0" w:color="0000FF"/>
            </w:tcBorders>
            <w:shd w:val="clear" w:color="000000" w:fill="75F6F9"/>
            <w:noWrap/>
            <w:vAlign w:val="center"/>
            <w:hideMark/>
          </w:tcPr>
          <w:p w14:paraId="1C4012A8"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(739)</w:t>
            </w:r>
          </w:p>
        </w:tc>
        <w:tc>
          <w:tcPr>
            <w:tcW w:w="441" w:type="pct"/>
            <w:tcBorders>
              <w:top w:val="nil"/>
              <w:left w:val="nil"/>
              <w:bottom w:val="nil"/>
              <w:right w:val="single" w:sz="8" w:space="0" w:color="0000FF"/>
            </w:tcBorders>
            <w:shd w:val="clear" w:color="auto" w:fill="auto"/>
            <w:noWrap/>
            <w:vAlign w:val="center"/>
            <w:hideMark/>
          </w:tcPr>
          <w:p w14:paraId="61188182"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(1.096)</w:t>
            </w:r>
          </w:p>
        </w:tc>
        <w:tc>
          <w:tcPr>
            <w:tcW w:w="441" w:type="pct"/>
            <w:tcBorders>
              <w:top w:val="nil"/>
              <w:left w:val="nil"/>
              <w:bottom w:val="nil"/>
              <w:right w:val="nil"/>
            </w:tcBorders>
            <w:shd w:val="clear" w:color="auto" w:fill="auto"/>
            <w:noWrap/>
            <w:vAlign w:val="center"/>
            <w:hideMark/>
          </w:tcPr>
          <w:p w14:paraId="042D4733"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(830)</w:t>
            </w:r>
          </w:p>
        </w:tc>
        <w:tc>
          <w:tcPr>
            <w:tcW w:w="70" w:type="pct"/>
            <w:tcBorders>
              <w:top w:val="nil"/>
              <w:left w:val="nil"/>
              <w:bottom w:val="nil"/>
              <w:right w:val="nil"/>
            </w:tcBorders>
            <w:shd w:val="clear" w:color="auto" w:fill="auto"/>
            <w:noWrap/>
            <w:vAlign w:val="center"/>
            <w:hideMark/>
          </w:tcPr>
          <w:p w14:paraId="58112360"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p>
        </w:tc>
        <w:tc>
          <w:tcPr>
            <w:tcW w:w="386" w:type="pct"/>
            <w:tcBorders>
              <w:top w:val="nil"/>
              <w:left w:val="single" w:sz="8" w:space="0" w:color="0000FF"/>
              <w:bottom w:val="nil"/>
              <w:right w:val="single" w:sz="8" w:space="0" w:color="0000FF"/>
            </w:tcBorders>
            <w:shd w:val="clear" w:color="000000" w:fill="75F6F9"/>
            <w:noWrap/>
            <w:vAlign w:val="center"/>
            <w:hideMark/>
          </w:tcPr>
          <w:p w14:paraId="24870E64"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(3.452)</w:t>
            </w:r>
          </w:p>
        </w:tc>
        <w:tc>
          <w:tcPr>
            <w:tcW w:w="386" w:type="pct"/>
            <w:tcBorders>
              <w:top w:val="nil"/>
              <w:left w:val="nil"/>
              <w:bottom w:val="nil"/>
              <w:right w:val="nil"/>
            </w:tcBorders>
            <w:shd w:val="clear" w:color="auto" w:fill="auto"/>
            <w:noWrap/>
            <w:vAlign w:val="center"/>
            <w:hideMark/>
          </w:tcPr>
          <w:p w14:paraId="6C3FD71C"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(4.878)</w:t>
            </w:r>
          </w:p>
        </w:tc>
      </w:tr>
      <w:tr w:rsidR="003712EB" w:rsidRPr="003712EB" w14:paraId="01E7C80E" w14:textId="77777777" w:rsidTr="00446A14">
        <w:trPr>
          <w:trHeight w:val="198"/>
        </w:trPr>
        <w:tc>
          <w:tcPr>
            <w:tcW w:w="2835" w:type="pct"/>
            <w:tcBorders>
              <w:top w:val="nil"/>
              <w:left w:val="nil"/>
              <w:bottom w:val="nil"/>
              <w:right w:val="nil"/>
            </w:tcBorders>
            <w:shd w:val="clear" w:color="auto" w:fill="auto"/>
            <w:noWrap/>
            <w:vAlign w:val="center"/>
            <w:hideMark/>
          </w:tcPr>
          <w:p w14:paraId="052B7E70" w14:textId="77777777" w:rsidR="003712EB" w:rsidRPr="003712EB" w:rsidRDefault="003712EB" w:rsidP="003712EB">
            <w:pPr>
              <w:spacing w:after="0" w:line="240" w:lineRule="auto"/>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Pagamento de Compensação Financeira - Financiamento FINEP</w:t>
            </w:r>
          </w:p>
        </w:tc>
        <w:tc>
          <w:tcPr>
            <w:tcW w:w="441" w:type="pct"/>
            <w:tcBorders>
              <w:top w:val="nil"/>
              <w:left w:val="single" w:sz="8" w:space="0" w:color="0000FF"/>
              <w:bottom w:val="nil"/>
              <w:right w:val="single" w:sz="8" w:space="0" w:color="0000FF"/>
            </w:tcBorders>
            <w:shd w:val="clear" w:color="000000" w:fill="75F6F9"/>
            <w:noWrap/>
            <w:vAlign w:val="center"/>
            <w:hideMark/>
          </w:tcPr>
          <w:p w14:paraId="709E4755"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(1.671)</w:t>
            </w:r>
          </w:p>
        </w:tc>
        <w:tc>
          <w:tcPr>
            <w:tcW w:w="441" w:type="pct"/>
            <w:tcBorders>
              <w:top w:val="nil"/>
              <w:left w:val="nil"/>
              <w:bottom w:val="nil"/>
              <w:right w:val="single" w:sz="8" w:space="0" w:color="0000FF"/>
            </w:tcBorders>
            <w:shd w:val="clear" w:color="auto" w:fill="auto"/>
            <w:noWrap/>
            <w:vAlign w:val="center"/>
            <w:hideMark/>
          </w:tcPr>
          <w:p w14:paraId="03236E03"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(7.447)</w:t>
            </w:r>
          </w:p>
        </w:tc>
        <w:tc>
          <w:tcPr>
            <w:tcW w:w="441" w:type="pct"/>
            <w:tcBorders>
              <w:top w:val="nil"/>
              <w:left w:val="nil"/>
              <w:bottom w:val="nil"/>
              <w:right w:val="nil"/>
            </w:tcBorders>
            <w:shd w:val="clear" w:color="auto" w:fill="auto"/>
            <w:noWrap/>
            <w:vAlign w:val="center"/>
            <w:hideMark/>
          </w:tcPr>
          <w:p w14:paraId="01400C63"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(185)</w:t>
            </w:r>
          </w:p>
        </w:tc>
        <w:tc>
          <w:tcPr>
            <w:tcW w:w="70" w:type="pct"/>
            <w:tcBorders>
              <w:top w:val="nil"/>
              <w:left w:val="nil"/>
              <w:bottom w:val="nil"/>
              <w:right w:val="nil"/>
            </w:tcBorders>
            <w:shd w:val="clear" w:color="auto" w:fill="auto"/>
            <w:noWrap/>
            <w:vAlign w:val="center"/>
            <w:hideMark/>
          </w:tcPr>
          <w:p w14:paraId="1127D44A"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p>
        </w:tc>
        <w:tc>
          <w:tcPr>
            <w:tcW w:w="386" w:type="pct"/>
            <w:tcBorders>
              <w:top w:val="nil"/>
              <w:left w:val="single" w:sz="8" w:space="0" w:color="0000FF"/>
              <w:bottom w:val="nil"/>
              <w:right w:val="single" w:sz="8" w:space="0" w:color="0000FF"/>
            </w:tcBorders>
            <w:shd w:val="clear" w:color="000000" w:fill="75F6F9"/>
            <w:noWrap/>
            <w:vAlign w:val="center"/>
            <w:hideMark/>
          </w:tcPr>
          <w:p w14:paraId="4007C656"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(2.222)</w:t>
            </w:r>
          </w:p>
        </w:tc>
        <w:tc>
          <w:tcPr>
            <w:tcW w:w="386" w:type="pct"/>
            <w:tcBorders>
              <w:top w:val="nil"/>
              <w:left w:val="nil"/>
              <w:bottom w:val="nil"/>
              <w:right w:val="nil"/>
            </w:tcBorders>
            <w:shd w:val="clear" w:color="auto" w:fill="auto"/>
            <w:noWrap/>
            <w:vAlign w:val="center"/>
            <w:hideMark/>
          </w:tcPr>
          <w:p w14:paraId="0550A572"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(8.322)</w:t>
            </w:r>
          </w:p>
        </w:tc>
      </w:tr>
      <w:tr w:rsidR="003712EB" w:rsidRPr="003712EB" w14:paraId="311AF0E2" w14:textId="77777777" w:rsidTr="00446A14">
        <w:trPr>
          <w:trHeight w:val="198"/>
        </w:trPr>
        <w:tc>
          <w:tcPr>
            <w:tcW w:w="2835" w:type="pct"/>
            <w:tcBorders>
              <w:top w:val="nil"/>
              <w:left w:val="nil"/>
              <w:bottom w:val="nil"/>
              <w:right w:val="nil"/>
            </w:tcBorders>
            <w:shd w:val="clear" w:color="auto" w:fill="auto"/>
            <w:noWrap/>
            <w:vAlign w:val="center"/>
            <w:hideMark/>
          </w:tcPr>
          <w:p w14:paraId="33F2790F" w14:textId="77777777" w:rsidR="003712EB" w:rsidRPr="003712EB" w:rsidRDefault="003712EB" w:rsidP="003712EB">
            <w:pPr>
              <w:spacing w:after="0" w:line="240" w:lineRule="auto"/>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Pagamento de Juros de Arrendamento Mercantil Financeiro - IFRS 16</w:t>
            </w:r>
          </w:p>
        </w:tc>
        <w:tc>
          <w:tcPr>
            <w:tcW w:w="441" w:type="pct"/>
            <w:tcBorders>
              <w:top w:val="nil"/>
              <w:left w:val="single" w:sz="8" w:space="0" w:color="0000FF"/>
              <w:bottom w:val="nil"/>
              <w:right w:val="single" w:sz="8" w:space="0" w:color="0000FF"/>
            </w:tcBorders>
            <w:shd w:val="clear" w:color="000000" w:fill="75F6F9"/>
            <w:noWrap/>
            <w:vAlign w:val="center"/>
            <w:hideMark/>
          </w:tcPr>
          <w:p w14:paraId="781B0239"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(329)</w:t>
            </w:r>
          </w:p>
        </w:tc>
        <w:tc>
          <w:tcPr>
            <w:tcW w:w="441" w:type="pct"/>
            <w:tcBorders>
              <w:top w:val="nil"/>
              <w:left w:val="nil"/>
              <w:bottom w:val="nil"/>
              <w:right w:val="single" w:sz="8" w:space="0" w:color="0000FF"/>
            </w:tcBorders>
            <w:shd w:val="clear" w:color="auto" w:fill="auto"/>
            <w:noWrap/>
            <w:vAlign w:val="center"/>
            <w:hideMark/>
          </w:tcPr>
          <w:p w14:paraId="3F314A61"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(242)</w:t>
            </w:r>
          </w:p>
        </w:tc>
        <w:tc>
          <w:tcPr>
            <w:tcW w:w="441" w:type="pct"/>
            <w:tcBorders>
              <w:top w:val="nil"/>
              <w:left w:val="nil"/>
              <w:bottom w:val="nil"/>
              <w:right w:val="nil"/>
            </w:tcBorders>
            <w:shd w:val="clear" w:color="auto" w:fill="auto"/>
            <w:noWrap/>
            <w:vAlign w:val="center"/>
            <w:hideMark/>
          </w:tcPr>
          <w:p w14:paraId="60FF46E0"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(220)</w:t>
            </w:r>
          </w:p>
        </w:tc>
        <w:tc>
          <w:tcPr>
            <w:tcW w:w="70" w:type="pct"/>
            <w:tcBorders>
              <w:top w:val="nil"/>
              <w:left w:val="nil"/>
              <w:bottom w:val="nil"/>
              <w:right w:val="nil"/>
            </w:tcBorders>
            <w:shd w:val="clear" w:color="auto" w:fill="auto"/>
            <w:noWrap/>
            <w:vAlign w:val="center"/>
            <w:hideMark/>
          </w:tcPr>
          <w:p w14:paraId="3C4EDED6"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p>
        </w:tc>
        <w:tc>
          <w:tcPr>
            <w:tcW w:w="386" w:type="pct"/>
            <w:tcBorders>
              <w:top w:val="nil"/>
              <w:left w:val="single" w:sz="8" w:space="0" w:color="0000FF"/>
              <w:bottom w:val="nil"/>
              <w:right w:val="single" w:sz="8" w:space="0" w:color="0000FF"/>
            </w:tcBorders>
            <w:shd w:val="clear" w:color="000000" w:fill="75F6F9"/>
            <w:noWrap/>
            <w:vAlign w:val="center"/>
            <w:hideMark/>
          </w:tcPr>
          <w:p w14:paraId="38C77AF4"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(1.034)</w:t>
            </w:r>
          </w:p>
        </w:tc>
        <w:tc>
          <w:tcPr>
            <w:tcW w:w="386" w:type="pct"/>
            <w:tcBorders>
              <w:top w:val="nil"/>
              <w:left w:val="nil"/>
              <w:bottom w:val="nil"/>
              <w:right w:val="nil"/>
            </w:tcBorders>
            <w:shd w:val="clear" w:color="auto" w:fill="auto"/>
            <w:noWrap/>
            <w:vAlign w:val="center"/>
            <w:hideMark/>
          </w:tcPr>
          <w:p w14:paraId="57C4B9DB"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(939)</w:t>
            </w:r>
          </w:p>
        </w:tc>
      </w:tr>
      <w:tr w:rsidR="003712EB" w:rsidRPr="003712EB" w14:paraId="12F9B314" w14:textId="77777777" w:rsidTr="00446A14">
        <w:trPr>
          <w:trHeight w:val="198"/>
        </w:trPr>
        <w:tc>
          <w:tcPr>
            <w:tcW w:w="2835" w:type="pct"/>
            <w:tcBorders>
              <w:top w:val="nil"/>
              <w:left w:val="nil"/>
              <w:bottom w:val="nil"/>
              <w:right w:val="nil"/>
            </w:tcBorders>
            <w:shd w:val="clear" w:color="auto" w:fill="auto"/>
            <w:noWrap/>
            <w:vAlign w:val="center"/>
            <w:hideMark/>
          </w:tcPr>
          <w:p w14:paraId="7197DE46" w14:textId="77777777" w:rsidR="003712EB" w:rsidRPr="003712EB" w:rsidRDefault="003712EB" w:rsidP="003712EB">
            <w:pPr>
              <w:spacing w:after="0" w:line="240" w:lineRule="auto"/>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Pagamento de Causas Judiciais - Trabalhistas, Cíveis e Tributárias</w:t>
            </w:r>
          </w:p>
        </w:tc>
        <w:tc>
          <w:tcPr>
            <w:tcW w:w="441" w:type="pct"/>
            <w:tcBorders>
              <w:top w:val="nil"/>
              <w:left w:val="single" w:sz="8" w:space="0" w:color="0000FF"/>
              <w:bottom w:val="nil"/>
              <w:right w:val="single" w:sz="8" w:space="0" w:color="0000FF"/>
            </w:tcBorders>
            <w:shd w:val="clear" w:color="000000" w:fill="75F6F9"/>
            <w:noWrap/>
            <w:vAlign w:val="center"/>
            <w:hideMark/>
          </w:tcPr>
          <w:p w14:paraId="6A370AE7"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(369)</w:t>
            </w:r>
          </w:p>
        </w:tc>
        <w:tc>
          <w:tcPr>
            <w:tcW w:w="441" w:type="pct"/>
            <w:tcBorders>
              <w:top w:val="nil"/>
              <w:left w:val="nil"/>
              <w:bottom w:val="nil"/>
              <w:right w:val="single" w:sz="8" w:space="0" w:color="0000FF"/>
            </w:tcBorders>
            <w:shd w:val="clear" w:color="auto" w:fill="auto"/>
            <w:noWrap/>
            <w:vAlign w:val="center"/>
            <w:hideMark/>
          </w:tcPr>
          <w:p w14:paraId="5CAA3A46"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(1.959)</w:t>
            </w:r>
          </w:p>
        </w:tc>
        <w:tc>
          <w:tcPr>
            <w:tcW w:w="441" w:type="pct"/>
            <w:tcBorders>
              <w:top w:val="nil"/>
              <w:left w:val="nil"/>
              <w:bottom w:val="nil"/>
              <w:right w:val="nil"/>
            </w:tcBorders>
            <w:shd w:val="clear" w:color="auto" w:fill="auto"/>
            <w:noWrap/>
            <w:vAlign w:val="center"/>
            <w:hideMark/>
          </w:tcPr>
          <w:p w14:paraId="098A8106"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(2.337)</w:t>
            </w:r>
          </w:p>
        </w:tc>
        <w:tc>
          <w:tcPr>
            <w:tcW w:w="70" w:type="pct"/>
            <w:tcBorders>
              <w:top w:val="nil"/>
              <w:left w:val="nil"/>
              <w:bottom w:val="nil"/>
              <w:right w:val="nil"/>
            </w:tcBorders>
            <w:shd w:val="clear" w:color="auto" w:fill="auto"/>
            <w:noWrap/>
            <w:vAlign w:val="center"/>
            <w:hideMark/>
          </w:tcPr>
          <w:p w14:paraId="218484BE"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p>
        </w:tc>
        <w:tc>
          <w:tcPr>
            <w:tcW w:w="386" w:type="pct"/>
            <w:tcBorders>
              <w:top w:val="nil"/>
              <w:left w:val="single" w:sz="8" w:space="0" w:color="0000FF"/>
              <w:bottom w:val="nil"/>
              <w:right w:val="single" w:sz="8" w:space="0" w:color="0000FF"/>
            </w:tcBorders>
            <w:shd w:val="clear" w:color="000000" w:fill="75F6F9"/>
            <w:noWrap/>
            <w:vAlign w:val="center"/>
            <w:hideMark/>
          </w:tcPr>
          <w:p w14:paraId="73E54463"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(3.489)</w:t>
            </w:r>
          </w:p>
        </w:tc>
        <w:tc>
          <w:tcPr>
            <w:tcW w:w="386" w:type="pct"/>
            <w:tcBorders>
              <w:top w:val="nil"/>
              <w:left w:val="nil"/>
              <w:bottom w:val="nil"/>
              <w:right w:val="nil"/>
            </w:tcBorders>
            <w:shd w:val="clear" w:color="auto" w:fill="auto"/>
            <w:noWrap/>
            <w:vAlign w:val="center"/>
            <w:hideMark/>
          </w:tcPr>
          <w:p w14:paraId="3D7D823A"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(2.063)</w:t>
            </w:r>
          </w:p>
        </w:tc>
      </w:tr>
      <w:tr w:rsidR="003712EB" w:rsidRPr="003712EB" w14:paraId="2433DF49" w14:textId="77777777" w:rsidTr="00446A14">
        <w:trPr>
          <w:trHeight w:val="198"/>
        </w:trPr>
        <w:tc>
          <w:tcPr>
            <w:tcW w:w="2835" w:type="pct"/>
            <w:tcBorders>
              <w:top w:val="nil"/>
              <w:left w:val="nil"/>
              <w:bottom w:val="nil"/>
              <w:right w:val="nil"/>
            </w:tcBorders>
            <w:shd w:val="clear" w:color="auto" w:fill="auto"/>
            <w:noWrap/>
            <w:vAlign w:val="center"/>
            <w:hideMark/>
          </w:tcPr>
          <w:p w14:paraId="1057CF19" w14:textId="77777777" w:rsidR="003712EB" w:rsidRPr="003712EB" w:rsidRDefault="003712EB" w:rsidP="003712EB">
            <w:pPr>
              <w:spacing w:after="0" w:line="240" w:lineRule="auto"/>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Pagamento de Acordos Judiciais - Encargos</w:t>
            </w:r>
          </w:p>
        </w:tc>
        <w:tc>
          <w:tcPr>
            <w:tcW w:w="441" w:type="pct"/>
            <w:tcBorders>
              <w:top w:val="nil"/>
              <w:left w:val="single" w:sz="8" w:space="0" w:color="0000FF"/>
              <w:bottom w:val="nil"/>
              <w:right w:val="single" w:sz="8" w:space="0" w:color="0000FF"/>
            </w:tcBorders>
            <w:shd w:val="clear" w:color="000000" w:fill="75F6F9"/>
            <w:noWrap/>
            <w:vAlign w:val="center"/>
            <w:hideMark/>
          </w:tcPr>
          <w:p w14:paraId="13B0BAD7"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(3.200)</w:t>
            </w:r>
          </w:p>
        </w:tc>
        <w:tc>
          <w:tcPr>
            <w:tcW w:w="441" w:type="pct"/>
            <w:tcBorders>
              <w:top w:val="nil"/>
              <w:left w:val="nil"/>
              <w:bottom w:val="nil"/>
              <w:right w:val="single" w:sz="8" w:space="0" w:color="0000FF"/>
            </w:tcBorders>
            <w:shd w:val="clear" w:color="auto" w:fill="auto"/>
            <w:noWrap/>
            <w:vAlign w:val="center"/>
            <w:hideMark/>
          </w:tcPr>
          <w:p w14:paraId="7DFC8BE4"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(7.014)</w:t>
            </w:r>
          </w:p>
        </w:tc>
        <w:tc>
          <w:tcPr>
            <w:tcW w:w="441" w:type="pct"/>
            <w:tcBorders>
              <w:top w:val="nil"/>
              <w:left w:val="nil"/>
              <w:bottom w:val="nil"/>
              <w:right w:val="nil"/>
            </w:tcBorders>
            <w:shd w:val="clear" w:color="auto" w:fill="auto"/>
            <w:noWrap/>
            <w:vAlign w:val="center"/>
            <w:hideMark/>
          </w:tcPr>
          <w:p w14:paraId="5C8F9619"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(2.312)</w:t>
            </w:r>
          </w:p>
        </w:tc>
        <w:tc>
          <w:tcPr>
            <w:tcW w:w="70" w:type="pct"/>
            <w:tcBorders>
              <w:top w:val="nil"/>
              <w:left w:val="nil"/>
              <w:bottom w:val="nil"/>
              <w:right w:val="nil"/>
            </w:tcBorders>
            <w:shd w:val="clear" w:color="auto" w:fill="auto"/>
            <w:noWrap/>
            <w:vAlign w:val="center"/>
            <w:hideMark/>
          </w:tcPr>
          <w:p w14:paraId="0B7E290F"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p>
        </w:tc>
        <w:tc>
          <w:tcPr>
            <w:tcW w:w="386" w:type="pct"/>
            <w:tcBorders>
              <w:top w:val="nil"/>
              <w:left w:val="single" w:sz="8" w:space="0" w:color="0000FF"/>
              <w:bottom w:val="nil"/>
              <w:right w:val="single" w:sz="8" w:space="0" w:color="0000FF"/>
            </w:tcBorders>
            <w:shd w:val="clear" w:color="000000" w:fill="75F6F9"/>
            <w:noWrap/>
            <w:vAlign w:val="center"/>
            <w:hideMark/>
          </w:tcPr>
          <w:p w14:paraId="01F9CE1D"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(13.833)</w:t>
            </w:r>
          </w:p>
        </w:tc>
        <w:tc>
          <w:tcPr>
            <w:tcW w:w="386" w:type="pct"/>
            <w:tcBorders>
              <w:top w:val="nil"/>
              <w:left w:val="nil"/>
              <w:bottom w:val="nil"/>
              <w:right w:val="nil"/>
            </w:tcBorders>
            <w:shd w:val="clear" w:color="auto" w:fill="auto"/>
            <w:noWrap/>
            <w:vAlign w:val="center"/>
            <w:hideMark/>
          </w:tcPr>
          <w:p w14:paraId="6764E1B6"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(19.670)</w:t>
            </w:r>
          </w:p>
        </w:tc>
      </w:tr>
      <w:tr w:rsidR="003712EB" w:rsidRPr="003712EB" w14:paraId="30B6F40A" w14:textId="77777777" w:rsidTr="00446A14">
        <w:trPr>
          <w:trHeight w:val="198"/>
        </w:trPr>
        <w:tc>
          <w:tcPr>
            <w:tcW w:w="2835" w:type="pct"/>
            <w:tcBorders>
              <w:top w:val="single" w:sz="8" w:space="0" w:color="0000FF"/>
              <w:left w:val="nil"/>
              <w:bottom w:val="single" w:sz="8" w:space="0" w:color="0000FF"/>
              <w:right w:val="nil"/>
            </w:tcBorders>
            <w:shd w:val="clear" w:color="auto" w:fill="auto"/>
            <w:noWrap/>
            <w:vAlign w:val="center"/>
            <w:hideMark/>
          </w:tcPr>
          <w:p w14:paraId="7509A7AB" w14:textId="77777777" w:rsidR="003712EB" w:rsidRPr="003712EB" w:rsidRDefault="003712EB" w:rsidP="003712EB">
            <w:pPr>
              <w:spacing w:after="0" w:line="240" w:lineRule="auto"/>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 xml:space="preserve">     Subtotal</w:t>
            </w:r>
          </w:p>
        </w:tc>
        <w:tc>
          <w:tcPr>
            <w:tcW w:w="441" w:type="pct"/>
            <w:tcBorders>
              <w:top w:val="single" w:sz="8" w:space="0" w:color="0000FF"/>
              <w:left w:val="single" w:sz="8" w:space="0" w:color="0000FF"/>
              <w:bottom w:val="single" w:sz="8" w:space="0" w:color="0000FF"/>
              <w:right w:val="single" w:sz="8" w:space="0" w:color="0000FF"/>
            </w:tcBorders>
            <w:shd w:val="clear" w:color="000000" w:fill="75F6F9"/>
            <w:noWrap/>
            <w:vAlign w:val="center"/>
            <w:hideMark/>
          </w:tcPr>
          <w:p w14:paraId="0E723526"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(9.707)</w:t>
            </w:r>
          </w:p>
        </w:tc>
        <w:tc>
          <w:tcPr>
            <w:tcW w:w="441" w:type="pct"/>
            <w:tcBorders>
              <w:top w:val="single" w:sz="8" w:space="0" w:color="0000FF"/>
              <w:left w:val="nil"/>
              <w:bottom w:val="single" w:sz="8" w:space="0" w:color="0000FF"/>
              <w:right w:val="nil"/>
            </w:tcBorders>
            <w:shd w:val="clear" w:color="auto" w:fill="auto"/>
            <w:noWrap/>
            <w:vAlign w:val="center"/>
            <w:hideMark/>
          </w:tcPr>
          <w:p w14:paraId="4E6DA72E"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7.936</w:t>
            </w:r>
          </w:p>
        </w:tc>
        <w:tc>
          <w:tcPr>
            <w:tcW w:w="441" w:type="pct"/>
            <w:tcBorders>
              <w:top w:val="single" w:sz="8" w:space="0" w:color="0000FF"/>
              <w:left w:val="single" w:sz="8" w:space="0" w:color="0000FF"/>
              <w:bottom w:val="single" w:sz="8" w:space="0" w:color="0000FF"/>
              <w:right w:val="nil"/>
            </w:tcBorders>
            <w:shd w:val="clear" w:color="auto" w:fill="auto"/>
            <w:noWrap/>
            <w:vAlign w:val="center"/>
            <w:hideMark/>
          </w:tcPr>
          <w:p w14:paraId="5FB36846"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(5.960)</w:t>
            </w:r>
          </w:p>
        </w:tc>
        <w:tc>
          <w:tcPr>
            <w:tcW w:w="70" w:type="pct"/>
            <w:tcBorders>
              <w:top w:val="nil"/>
              <w:left w:val="nil"/>
              <w:bottom w:val="nil"/>
              <w:right w:val="nil"/>
            </w:tcBorders>
            <w:shd w:val="clear" w:color="auto" w:fill="auto"/>
            <w:noWrap/>
            <w:vAlign w:val="center"/>
            <w:hideMark/>
          </w:tcPr>
          <w:p w14:paraId="00B43A19"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p>
        </w:tc>
        <w:tc>
          <w:tcPr>
            <w:tcW w:w="386" w:type="pct"/>
            <w:tcBorders>
              <w:top w:val="single" w:sz="8" w:space="0" w:color="0000FF"/>
              <w:left w:val="single" w:sz="8" w:space="0" w:color="0000FF"/>
              <w:bottom w:val="single" w:sz="8" w:space="0" w:color="0000FF"/>
              <w:right w:val="nil"/>
            </w:tcBorders>
            <w:shd w:val="clear" w:color="000000" w:fill="75F6F9"/>
            <w:noWrap/>
            <w:vAlign w:val="center"/>
            <w:hideMark/>
          </w:tcPr>
          <w:p w14:paraId="1D257D71"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(33.522)</w:t>
            </w:r>
          </w:p>
        </w:tc>
        <w:tc>
          <w:tcPr>
            <w:tcW w:w="386" w:type="pct"/>
            <w:tcBorders>
              <w:top w:val="single" w:sz="8" w:space="0" w:color="0000FF"/>
              <w:left w:val="single" w:sz="8" w:space="0" w:color="0000FF"/>
              <w:bottom w:val="single" w:sz="8" w:space="0" w:color="0000FF"/>
              <w:right w:val="nil"/>
            </w:tcBorders>
            <w:shd w:val="clear" w:color="auto" w:fill="auto"/>
            <w:noWrap/>
            <w:vAlign w:val="center"/>
            <w:hideMark/>
          </w:tcPr>
          <w:p w14:paraId="424A1FE9"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(10.172)</w:t>
            </w:r>
          </w:p>
        </w:tc>
      </w:tr>
      <w:tr w:rsidR="003712EB" w:rsidRPr="003712EB" w14:paraId="58397CA1" w14:textId="77777777" w:rsidTr="00446A14">
        <w:trPr>
          <w:trHeight w:val="198"/>
        </w:trPr>
        <w:tc>
          <w:tcPr>
            <w:tcW w:w="2835" w:type="pct"/>
            <w:tcBorders>
              <w:top w:val="nil"/>
              <w:left w:val="nil"/>
              <w:bottom w:val="single" w:sz="8" w:space="0" w:color="3616F6"/>
              <w:right w:val="nil"/>
            </w:tcBorders>
            <w:shd w:val="clear" w:color="000000" w:fill="75F6F9"/>
            <w:noWrap/>
            <w:vAlign w:val="center"/>
            <w:hideMark/>
          </w:tcPr>
          <w:p w14:paraId="75BD033D" w14:textId="77777777" w:rsidR="003712EB" w:rsidRPr="003712EB" w:rsidRDefault="003712EB" w:rsidP="003712EB">
            <w:pPr>
              <w:spacing w:after="0" w:line="240" w:lineRule="auto"/>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 xml:space="preserve">Caixa Líquido Gerado/(Consumido) pelas Atividades Operacionais </w:t>
            </w:r>
          </w:p>
        </w:tc>
        <w:tc>
          <w:tcPr>
            <w:tcW w:w="441" w:type="pct"/>
            <w:tcBorders>
              <w:top w:val="nil"/>
              <w:left w:val="single" w:sz="8" w:space="0" w:color="0000FF"/>
              <w:bottom w:val="single" w:sz="8" w:space="0" w:color="3616F6"/>
              <w:right w:val="single" w:sz="8" w:space="0" w:color="0000FF"/>
            </w:tcBorders>
            <w:shd w:val="clear" w:color="000000" w:fill="75F6F9"/>
            <w:vAlign w:val="center"/>
            <w:hideMark/>
          </w:tcPr>
          <w:p w14:paraId="6F3232AB"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11.929</w:t>
            </w:r>
          </w:p>
        </w:tc>
        <w:tc>
          <w:tcPr>
            <w:tcW w:w="441" w:type="pct"/>
            <w:tcBorders>
              <w:top w:val="nil"/>
              <w:left w:val="nil"/>
              <w:bottom w:val="single" w:sz="8" w:space="0" w:color="3616F6"/>
              <w:right w:val="nil"/>
            </w:tcBorders>
            <w:shd w:val="clear" w:color="000000" w:fill="75F6F9"/>
            <w:vAlign w:val="center"/>
            <w:hideMark/>
          </w:tcPr>
          <w:p w14:paraId="73CEBF88"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67.578</w:t>
            </w:r>
          </w:p>
        </w:tc>
        <w:tc>
          <w:tcPr>
            <w:tcW w:w="441" w:type="pct"/>
            <w:tcBorders>
              <w:top w:val="nil"/>
              <w:left w:val="single" w:sz="8" w:space="0" w:color="0000FF"/>
              <w:bottom w:val="single" w:sz="8" w:space="0" w:color="3616F6"/>
              <w:right w:val="nil"/>
            </w:tcBorders>
            <w:shd w:val="clear" w:color="000000" w:fill="75F6F9"/>
            <w:vAlign w:val="center"/>
            <w:hideMark/>
          </w:tcPr>
          <w:p w14:paraId="5D96B685"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69.273</w:t>
            </w:r>
          </w:p>
        </w:tc>
        <w:tc>
          <w:tcPr>
            <w:tcW w:w="70" w:type="pct"/>
            <w:tcBorders>
              <w:top w:val="nil"/>
              <w:left w:val="nil"/>
              <w:bottom w:val="nil"/>
              <w:right w:val="nil"/>
            </w:tcBorders>
            <w:shd w:val="clear" w:color="auto" w:fill="auto"/>
            <w:vAlign w:val="center"/>
            <w:hideMark/>
          </w:tcPr>
          <w:p w14:paraId="79E4FEBB"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p>
        </w:tc>
        <w:tc>
          <w:tcPr>
            <w:tcW w:w="386" w:type="pct"/>
            <w:tcBorders>
              <w:top w:val="nil"/>
              <w:left w:val="single" w:sz="8" w:space="0" w:color="0000FF"/>
              <w:bottom w:val="single" w:sz="8" w:space="0" w:color="3616F6"/>
              <w:right w:val="single" w:sz="8" w:space="0" w:color="0000FF"/>
            </w:tcBorders>
            <w:shd w:val="clear" w:color="000000" w:fill="75F6F9"/>
            <w:vAlign w:val="center"/>
            <w:hideMark/>
          </w:tcPr>
          <w:p w14:paraId="610D33C8"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162.363</w:t>
            </w:r>
          </w:p>
        </w:tc>
        <w:tc>
          <w:tcPr>
            <w:tcW w:w="386" w:type="pct"/>
            <w:tcBorders>
              <w:top w:val="nil"/>
              <w:left w:val="nil"/>
              <w:bottom w:val="single" w:sz="8" w:space="0" w:color="3616F6"/>
              <w:right w:val="nil"/>
            </w:tcBorders>
            <w:shd w:val="clear" w:color="auto" w:fill="auto"/>
            <w:vAlign w:val="center"/>
            <w:hideMark/>
          </w:tcPr>
          <w:p w14:paraId="52887691"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86.514</w:t>
            </w:r>
          </w:p>
        </w:tc>
      </w:tr>
      <w:tr w:rsidR="003712EB" w:rsidRPr="003712EB" w14:paraId="07AC5827" w14:textId="77777777" w:rsidTr="00446A14">
        <w:trPr>
          <w:trHeight w:val="198"/>
        </w:trPr>
        <w:tc>
          <w:tcPr>
            <w:tcW w:w="2835" w:type="pct"/>
            <w:tcBorders>
              <w:top w:val="nil"/>
              <w:left w:val="nil"/>
              <w:bottom w:val="nil"/>
              <w:right w:val="nil"/>
            </w:tcBorders>
            <w:shd w:val="clear" w:color="auto" w:fill="auto"/>
            <w:noWrap/>
            <w:vAlign w:val="center"/>
            <w:hideMark/>
          </w:tcPr>
          <w:p w14:paraId="306F122B" w14:textId="77777777" w:rsidR="003712EB" w:rsidRPr="003712EB" w:rsidRDefault="003712EB" w:rsidP="003712EB">
            <w:pPr>
              <w:spacing w:after="0" w:line="240" w:lineRule="auto"/>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Fluxos de Caixa das Atividades de Investimento</w:t>
            </w:r>
          </w:p>
        </w:tc>
        <w:tc>
          <w:tcPr>
            <w:tcW w:w="441" w:type="pct"/>
            <w:tcBorders>
              <w:top w:val="nil"/>
              <w:left w:val="single" w:sz="8" w:space="0" w:color="0000FF"/>
              <w:bottom w:val="nil"/>
              <w:right w:val="single" w:sz="8" w:space="0" w:color="0000FF"/>
            </w:tcBorders>
            <w:shd w:val="clear" w:color="000000" w:fill="75F6F9"/>
            <w:noWrap/>
            <w:vAlign w:val="center"/>
            <w:hideMark/>
          </w:tcPr>
          <w:p w14:paraId="3018C1C1"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 </w:t>
            </w:r>
          </w:p>
        </w:tc>
        <w:tc>
          <w:tcPr>
            <w:tcW w:w="441" w:type="pct"/>
            <w:tcBorders>
              <w:top w:val="nil"/>
              <w:left w:val="nil"/>
              <w:bottom w:val="nil"/>
              <w:right w:val="nil"/>
            </w:tcBorders>
            <w:shd w:val="clear" w:color="auto" w:fill="auto"/>
            <w:noWrap/>
            <w:vAlign w:val="center"/>
            <w:hideMark/>
          </w:tcPr>
          <w:p w14:paraId="40CDE38D"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p>
        </w:tc>
        <w:tc>
          <w:tcPr>
            <w:tcW w:w="441" w:type="pct"/>
            <w:tcBorders>
              <w:top w:val="nil"/>
              <w:left w:val="single" w:sz="8" w:space="0" w:color="0000FF"/>
              <w:bottom w:val="nil"/>
              <w:right w:val="nil"/>
            </w:tcBorders>
            <w:shd w:val="clear" w:color="auto" w:fill="auto"/>
            <w:noWrap/>
            <w:vAlign w:val="center"/>
            <w:hideMark/>
          </w:tcPr>
          <w:p w14:paraId="359F7B47"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w:t>
            </w:r>
          </w:p>
        </w:tc>
        <w:tc>
          <w:tcPr>
            <w:tcW w:w="70" w:type="pct"/>
            <w:tcBorders>
              <w:top w:val="nil"/>
              <w:left w:val="nil"/>
              <w:bottom w:val="nil"/>
              <w:right w:val="nil"/>
            </w:tcBorders>
            <w:shd w:val="clear" w:color="auto" w:fill="auto"/>
            <w:noWrap/>
            <w:vAlign w:val="bottom"/>
            <w:hideMark/>
          </w:tcPr>
          <w:p w14:paraId="42493194"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p>
        </w:tc>
        <w:tc>
          <w:tcPr>
            <w:tcW w:w="386" w:type="pct"/>
            <w:tcBorders>
              <w:top w:val="nil"/>
              <w:left w:val="single" w:sz="8" w:space="0" w:color="0000FF"/>
              <w:bottom w:val="nil"/>
              <w:right w:val="single" w:sz="8" w:space="0" w:color="0000FF"/>
            </w:tcBorders>
            <w:shd w:val="clear" w:color="000000" w:fill="75F6F9"/>
            <w:noWrap/>
            <w:vAlign w:val="center"/>
            <w:hideMark/>
          </w:tcPr>
          <w:p w14:paraId="0CFFCBFE"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 </w:t>
            </w:r>
          </w:p>
        </w:tc>
        <w:tc>
          <w:tcPr>
            <w:tcW w:w="386" w:type="pct"/>
            <w:tcBorders>
              <w:top w:val="nil"/>
              <w:left w:val="nil"/>
              <w:bottom w:val="nil"/>
              <w:right w:val="nil"/>
            </w:tcBorders>
            <w:shd w:val="clear" w:color="auto" w:fill="auto"/>
            <w:noWrap/>
            <w:vAlign w:val="center"/>
            <w:hideMark/>
          </w:tcPr>
          <w:p w14:paraId="4C417EDA"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 </w:t>
            </w:r>
          </w:p>
        </w:tc>
      </w:tr>
      <w:tr w:rsidR="003712EB" w:rsidRPr="003712EB" w14:paraId="639E0D98" w14:textId="77777777" w:rsidTr="00446A14">
        <w:trPr>
          <w:trHeight w:val="198"/>
        </w:trPr>
        <w:tc>
          <w:tcPr>
            <w:tcW w:w="2835" w:type="pct"/>
            <w:tcBorders>
              <w:top w:val="nil"/>
              <w:left w:val="nil"/>
              <w:bottom w:val="nil"/>
              <w:right w:val="nil"/>
            </w:tcBorders>
            <w:shd w:val="clear" w:color="auto" w:fill="auto"/>
            <w:noWrap/>
            <w:vAlign w:val="center"/>
            <w:hideMark/>
          </w:tcPr>
          <w:p w14:paraId="79BE734E" w14:textId="77777777" w:rsidR="003712EB" w:rsidRPr="003712EB" w:rsidRDefault="003712EB" w:rsidP="003712EB">
            <w:pPr>
              <w:spacing w:after="0" w:line="240" w:lineRule="auto"/>
              <w:ind w:firstLineChars="200" w:firstLine="280"/>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Aquisição de Imobilizado / Intangível </w:t>
            </w:r>
          </w:p>
        </w:tc>
        <w:tc>
          <w:tcPr>
            <w:tcW w:w="441" w:type="pct"/>
            <w:tcBorders>
              <w:top w:val="nil"/>
              <w:left w:val="single" w:sz="8" w:space="0" w:color="0000FF"/>
              <w:bottom w:val="nil"/>
              <w:right w:val="single" w:sz="8" w:space="0" w:color="0000FF"/>
            </w:tcBorders>
            <w:shd w:val="clear" w:color="000000" w:fill="75F6F9"/>
            <w:noWrap/>
            <w:vAlign w:val="center"/>
            <w:hideMark/>
          </w:tcPr>
          <w:p w14:paraId="1A5A7ECF"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(64.989)</w:t>
            </w:r>
          </w:p>
        </w:tc>
        <w:tc>
          <w:tcPr>
            <w:tcW w:w="441" w:type="pct"/>
            <w:tcBorders>
              <w:top w:val="nil"/>
              <w:left w:val="nil"/>
              <w:bottom w:val="nil"/>
              <w:right w:val="single" w:sz="8" w:space="0" w:color="0000FF"/>
            </w:tcBorders>
            <w:shd w:val="clear" w:color="auto" w:fill="auto"/>
            <w:noWrap/>
            <w:vAlign w:val="center"/>
            <w:hideMark/>
          </w:tcPr>
          <w:p w14:paraId="1CBF8E43"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(22.996)</w:t>
            </w:r>
          </w:p>
        </w:tc>
        <w:tc>
          <w:tcPr>
            <w:tcW w:w="441" w:type="pct"/>
            <w:tcBorders>
              <w:top w:val="nil"/>
              <w:left w:val="nil"/>
              <w:bottom w:val="nil"/>
              <w:right w:val="nil"/>
            </w:tcBorders>
            <w:shd w:val="clear" w:color="auto" w:fill="auto"/>
            <w:noWrap/>
            <w:vAlign w:val="center"/>
            <w:hideMark/>
          </w:tcPr>
          <w:p w14:paraId="7BC1699E"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(12.468)</w:t>
            </w:r>
          </w:p>
        </w:tc>
        <w:tc>
          <w:tcPr>
            <w:tcW w:w="70" w:type="pct"/>
            <w:tcBorders>
              <w:top w:val="nil"/>
              <w:left w:val="nil"/>
              <w:bottom w:val="nil"/>
              <w:right w:val="nil"/>
            </w:tcBorders>
            <w:shd w:val="clear" w:color="auto" w:fill="auto"/>
            <w:noWrap/>
            <w:vAlign w:val="center"/>
            <w:hideMark/>
          </w:tcPr>
          <w:p w14:paraId="45FDC4F7"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p>
        </w:tc>
        <w:tc>
          <w:tcPr>
            <w:tcW w:w="386" w:type="pct"/>
            <w:tcBorders>
              <w:top w:val="nil"/>
              <w:left w:val="single" w:sz="8" w:space="0" w:color="0000FF"/>
              <w:bottom w:val="nil"/>
              <w:right w:val="single" w:sz="8" w:space="0" w:color="0000FF"/>
            </w:tcBorders>
            <w:shd w:val="clear" w:color="000000" w:fill="75F6F9"/>
            <w:noWrap/>
            <w:vAlign w:val="center"/>
            <w:hideMark/>
          </w:tcPr>
          <w:p w14:paraId="337A073B"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(112.976)</w:t>
            </w:r>
          </w:p>
        </w:tc>
        <w:tc>
          <w:tcPr>
            <w:tcW w:w="386" w:type="pct"/>
            <w:tcBorders>
              <w:top w:val="nil"/>
              <w:left w:val="nil"/>
              <w:bottom w:val="nil"/>
              <w:right w:val="nil"/>
            </w:tcBorders>
            <w:shd w:val="clear" w:color="auto" w:fill="auto"/>
            <w:noWrap/>
            <w:vAlign w:val="center"/>
            <w:hideMark/>
          </w:tcPr>
          <w:p w14:paraId="6B74318E"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(53.270)</w:t>
            </w:r>
          </w:p>
        </w:tc>
      </w:tr>
      <w:tr w:rsidR="003712EB" w:rsidRPr="003712EB" w14:paraId="4E798789" w14:textId="77777777" w:rsidTr="00446A14">
        <w:trPr>
          <w:trHeight w:val="198"/>
        </w:trPr>
        <w:tc>
          <w:tcPr>
            <w:tcW w:w="2835" w:type="pct"/>
            <w:tcBorders>
              <w:top w:val="single" w:sz="8" w:space="0" w:color="3616F6"/>
              <w:left w:val="nil"/>
              <w:bottom w:val="single" w:sz="8" w:space="0" w:color="3616F6"/>
              <w:right w:val="nil"/>
            </w:tcBorders>
            <w:shd w:val="clear" w:color="000000" w:fill="75F6F9"/>
            <w:noWrap/>
            <w:vAlign w:val="center"/>
            <w:hideMark/>
          </w:tcPr>
          <w:p w14:paraId="417C678C" w14:textId="77777777" w:rsidR="003712EB" w:rsidRPr="003712EB" w:rsidRDefault="003712EB" w:rsidP="003712EB">
            <w:pPr>
              <w:spacing w:after="0" w:line="240" w:lineRule="auto"/>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 xml:space="preserve">Caixa Líquido Consumido pelas Atividades de Investimento </w:t>
            </w:r>
          </w:p>
        </w:tc>
        <w:tc>
          <w:tcPr>
            <w:tcW w:w="441" w:type="pct"/>
            <w:tcBorders>
              <w:top w:val="single" w:sz="8" w:space="0" w:color="3616F6"/>
              <w:left w:val="single" w:sz="8" w:space="0" w:color="0000FF"/>
              <w:bottom w:val="single" w:sz="8" w:space="0" w:color="3616F6"/>
              <w:right w:val="single" w:sz="8" w:space="0" w:color="0000FF"/>
            </w:tcBorders>
            <w:shd w:val="clear" w:color="000000" w:fill="75F6F9"/>
            <w:vAlign w:val="center"/>
            <w:hideMark/>
          </w:tcPr>
          <w:p w14:paraId="5C9D2BD7"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(64.989)</w:t>
            </w:r>
          </w:p>
        </w:tc>
        <w:tc>
          <w:tcPr>
            <w:tcW w:w="441" w:type="pct"/>
            <w:tcBorders>
              <w:top w:val="single" w:sz="8" w:space="0" w:color="3616F6"/>
              <w:left w:val="nil"/>
              <w:bottom w:val="single" w:sz="8" w:space="0" w:color="3616F6"/>
              <w:right w:val="nil"/>
            </w:tcBorders>
            <w:shd w:val="clear" w:color="000000" w:fill="75F6F9"/>
            <w:vAlign w:val="center"/>
            <w:hideMark/>
          </w:tcPr>
          <w:p w14:paraId="14A7C9F9"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(22.996)</w:t>
            </w:r>
          </w:p>
        </w:tc>
        <w:tc>
          <w:tcPr>
            <w:tcW w:w="441" w:type="pct"/>
            <w:tcBorders>
              <w:top w:val="single" w:sz="8" w:space="0" w:color="3616F6"/>
              <w:left w:val="single" w:sz="8" w:space="0" w:color="0000FF"/>
              <w:bottom w:val="single" w:sz="8" w:space="0" w:color="3616F6"/>
              <w:right w:val="nil"/>
            </w:tcBorders>
            <w:shd w:val="clear" w:color="000000" w:fill="75F6F9"/>
            <w:vAlign w:val="center"/>
            <w:hideMark/>
          </w:tcPr>
          <w:p w14:paraId="03FC1A65"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(12.468)</w:t>
            </w:r>
          </w:p>
        </w:tc>
        <w:tc>
          <w:tcPr>
            <w:tcW w:w="70" w:type="pct"/>
            <w:tcBorders>
              <w:top w:val="nil"/>
              <w:left w:val="nil"/>
              <w:bottom w:val="nil"/>
              <w:right w:val="nil"/>
            </w:tcBorders>
            <w:shd w:val="clear" w:color="auto" w:fill="auto"/>
            <w:vAlign w:val="center"/>
            <w:hideMark/>
          </w:tcPr>
          <w:p w14:paraId="798D4C5C"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p>
        </w:tc>
        <w:tc>
          <w:tcPr>
            <w:tcW w:w="386" w:type="pct"/>
            <w:tcBorders>
              <w:top w:val="single" w:sz="8" w:space="0" w:color="3616F6"/>
              <w:left w:val="single" w:sz="8" w:space="0" w:color="0000FF"/>
              <w:bottom w:val="single" w:sz="8" w:space="0" w:color="3616F6"/>
              <w:right w:val="single" w:sz="8" w:space="0" w:color="0000FF"/>
            </w:tcBorders>
            <w:shd w:val="clear" w:color="000000" w:fill="75F6F9"/>
            <w:vAlign w:val="center"/>
            <w:hideMark/>
          </w:tcPr>
          <w:p w14:paraId="3CB7640D"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(112.976)</w:t>
            </w:r>
          </w:p>
        </w:tc>
        <w:tc>
          <w:tcPr>
            <w:tcW w:w="386" w:type="pct"/>
            <w:tcBorders>
              <w:top w:val="single" w:sz="8" w:space="0" w:color="3616F6"/>
              <w:left w:val="nil"/>
              <w:bottom w:val="single" w:sz="8" w:space="0" w:color="3616F6"/>
              <w:right w:val="nil"/>
            </w:tcBorders>
            <w:shd w:val="clear" w:color="auto" w:fill="auto"/>
            <w:vAlign w:val="center"/>
            <w:hideMark/>
          </w:tcPr>
          <w:p w14:paraId="62861FA9"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(53.270)</w:t>
            </w:r>
          </w:p>
        </w:tc>
      </w:tr>
      <w:tr w:rsidR="003712EB" w:rsidRPr="003712EB" w14:paraId="2774FCA7" w14:textId="77777777" w:rsidTr="00446A14">
        <w:trPr>
          <w:trHeight w:val="198"/>
        </w:trPr>
        <w:tc>
          <w:tcPr>
            <w:tcW w:w="2835" w:type="pct"/>
            <w:tcBorders>
              <w:top w:val="nil"/>
              <w:left w:val="nil"/>
              <w:bottom w:val="nil"/>
              <w:right w:val="nil"/>
            </w:tcBorders>
            <w:shd w:val="clear" w:color="auto" w:fill="auto"/>
            <w:noWrap/>
            <w:vAlign w:val="center"/>
            <w:hideMark/>
          </w:tcPr>
          <w:p w14:paraId="27517740" w14:textId="77777777" w:rsidR="003712EB" w:rsidRPr="003712EB" w:rsidRDefault="003712EB" w:rsidP="003712EB">
            <w:pPr>
              <w:spacing w:after="0" w:line="240" w:lineRule="auto"/>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lastRenderedPageBreak/>
              <w:t>Fluxos de Caixa das Atividades de Financiamento</w:t>
            </w:r>
          </w:p>
        </w:tc>
        <w:tc>
          <w:tcPr>
            <w:tcW w:w="441" w:type="pct"/>
            <w:tcBorders>
              <w:top w:val="nil"/>
              <w:left w:val="single" w:sz="8" w:space="0" w:color="0000FF"/>
              <w:bottom w:val="nil"/>
              <w:right w:val="single" w:sz="8" w:space="0" w:color="0000FF"/>
            </w:tcBorders>
            <w:shd w:val="clear" w:color="000000" w:fill="75F6F9"/>
            <w:noWrap/>
            <w:vAlign w:val="center"/>
            <w:hideMark/>
          </w:tcPr>
          <w:p w14:paraId="7B589BFA"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 </w:t>
            </w:r>
          </w:p>
        </w:tc>
        <w:tc>
          <w:tcPr>
            <w:tcW w:w="441" w:type="pct"/>
            <w:tcBorders>
              <w:top w:val="nil"/>
              <w:left w:val="nil"/>
              <w:bottom w:val="nil"/>
              <w:right w:val="nil"/>
            </w:tcBorders>
            <w:shd w:val="clear" w:color="auto" w:fill="auto"/>
            <w:noWrap/>
            <w:vAlign w:val="center"/>
            <w:hideMark/>
          </w:tcPr>
          <w:p w14:paraId="1164BBD6"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p>
        </w:tc>
        <w:tc>
          <w:tcPr>
            <w:tcW w:w="441" w:type="pct"/>
            <w:tcBorders>
              <w:top w:val="nil"/>
              <w:left w:val="single" w:sz="8" w:space="0" w:color="0000FF"/>
              <w:bottom w:val="nil"/>
              <w:right w:val="nil"/>
            </w:tcBorders>
            <w:shd w:val="clear" w:color="auto" w:fill="auto"/>
            <w:noWrap/>
            <w:vAlign w:val="center"/>
            <w:hideMark/>
          </w:tcPr>
          <w:p w14:paraId="6086B783"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w:t>
            </w:r>
          </w:p>
        </w:tc>
        <w:tc>
          <w:tcPr>
            <w:tcW w:w="70" w:type="pct"/>
            <w:tcBorders>
              <w:top w:val="nil"/>
              <w:left w:val="nil"/>
              <w:bottom w:val="nil"/>
              <w:right w:val="nil"/>
            </w:tcBorders>
            <w:shd w:val="clear" w:color="auto" w:fill="auto"/>
            <w:noWrap/>
            <w:vAlign w:val="bottom"/>
            <w:hideMark/>
          </w:tcPr>
          <w:p w14:paraId="2B3B1454"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p>
        </w:tc>
        <w:tc>
          <w:tcPr>
            <w:tcW w:w="386" w:type="pct"/>
            <w:tcBorders>
              <w:top w:val="nil"/>
              <w:left w:val="single" w:sz="8" w:space="0" w:color="0000FF"/>
              <w:bottom w:val="nil"/>
              <w:right w:val="single" w:sz="8" w:space="0" w:color="0000FF"/>
            </w:tcBorders>
            <w:shd w:val="clear" w:color="000000" w:fill="75F6F9"/>
            <w:noWrap/>
            <w:vAlign w:val="center"/>
            <w:hideMark/>
          </w:tcPr>
          <w:p w14:paraId="14879809"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 </w:t>
            </w:r>
          </w:p>
        </w:tc>
        <w:tc>
          <w:tcPr>
            <w:tcW w:w="386" w:type="pct"/>
            <w:tcBorders>
              <w:top w:val="nil"/>
              <w:left w:val="nil"/>
              <w:bottom w:val="nil"/>
              <w:right w:val="nil"/>
            </w:tcBorders>
            <w:shd w:val="clear" w:color="auto" w:fill="auto"/>
            <w:noWrap/>
            <w:vAlign w:val="center"/>
            <w:hideMark/>
          </w:tcPr>
          <w:p w14:paraId="30E0499E"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 </w:t>
            </w:r>
          </w:p>
        </w:tc>
      </w:tr>
      <w:tr w:rsidR="003712EB" w:rsidRPr="003712EB" w14:paraId="59B538D7" w14:textId="77777777" w:rsidTr="00446A14">
        <w:trPr>
          <w:trHeight w:val="198"/>
        </w:trPr>
        <w:tc>
          <w:tcPr>
            <w:tcW w:w="2835" w:type="pct"/>
            <w:tcBorders>
              <w:top w:val="nil"/>
              <w:left w:val="nil"/>
              <w:bottom w:val="nil"/>
              <w:right w:val="nil"/>
            </w:tcBorders>
            <w:shd w:val="clear" w:color="auto" w:fill="auto"/>
            <w:noWrap/>
            <w:vAlign w:val="center"/>
            <w:hideMark/>
          </w:tcPr>
          <w:p w14:paraId="4E0D6CBB" w14:textId="77777777" w:rsidR="003712EB" w:rsidRPr="003712EB" w:rsidRDefault="003712EB" w:rsidP="003712EB">
            <w:pPr>
              <w:spacing w:after="0" w:line="240" w:lineRule="auto"/>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Pagamento de Credores por Perdas Judiciais - Principal</w:t>
            </w:r>
          </w:p>
        </w:tc>
        <w:tc>
          <w:tcPr>
            <w:tcW w:w="441" w:type="pct"/>
            <w:tcBorders>
              <w:top w:val="nil"/>
              <w:left w:val="single" w:sz="8" w:space="0" w:color="0000FF"/>
              <w:bottom w:val="nil"/>
              <w:right w:val="single" w:sz="8" w:space="0" w:color="0000FF"/>
            </w:tcBorders>
            <w:shd w:val="clear" w:color="000000" w:fill="75F6F9"/>
            <w:noWrap/>
            <w:vAlign w:val="center"/>
            <w:hideMark/>
          </w:tcPr>
          <w:p w14:paraId="74112882"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(14.871)</w:t>
            </w:r>
          </w:p>
        </w:tc>
        <w:tc>
          <w:tcPr>
            <w:tcW w:w="441" w:type="pct"/>
            <w:tcBorders>
              <w:top w:val="nil"/>
              <w:left w:val="nil"/>
              <w:bottom w:val="nil"/>
              <w:right w:val="single" w:sz="8" w:space="0" w:color="0000FF"/>
            </w:tcBorders>
            <w:shd w:val="clear" w:color="auto" w:fill="auto"/>
            <w:noWrap/>
            <w:vAlign w:val="center"/>
            <w:hideMark/>
          </w:tcPr>
          <w:p w14:paraId="514BF69E"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(9.637)</w:t>
            </w:r>
          </w:p>
        </w:tc>
        <w:tc>
          <w:tcPr>
            <w:tcW w:w="441" w:type="pct"/>
            <w:tcBorders>
              <w:top w:val="nil"/>
              <w:left w:val="nil"/>
              <w:bottom w:val="nil"/>
              <w:right w:val="nil"/>
            </w:tcBorders>
            <w:shd w:val="clear" w:color="auto" w:fill="auto"/>
            <w:noWrap/>
            <w:vAlign w:val="center"/>
            <w:hideMark/>
          </w:tcPr>
          <w:p w14:paraId="6A40DABF"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(1.739)</w:t>
            </w:r>
          </w:p>
        </w:tc>
        <w:tc>
          <w:tcPr>
            <w:tcW w:w="70" w:type="pct"/>
            <w:tcBorders>
              <w:top w:val="nil"/>
              <w:left w:val="nil"/>
              <w:bottom w:val="nil"/>
              <w:right w:val="nil"/>
            </w:tcBorders>
            <w:shd w:val="clear" w:color="auto" w:fill="auto"/>
            <w:noWrap/>
            <w:vAlign w:val="center"/>
            <w:hideMark/>
          </w:tcPr>
          <w:p w14:paraId="5514B8F0"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p>
        </w:tc>
        <w:tc>
          <w:tcPr>
            <w:tcW w:w="386" w:type="pct"/>
            <w:tcBorders>
              <w:top w:val="nil"/>
              <w:left w:val="single" w:sz="8" w:space="0" w:color="0000FF"/>
              <w:bottom w:val="nil"/>
              <w:right w:val="single" w:sz="8" w:space="0" w:color="0000FF"/>
            </w:tcBorders>
            <w:shd w:val="clear" w:color="000000" w:fill="75F6F9"/>
            <w:noWrap/>
            <w:vAlign w:val="center"/>
            <w:hideMark/>
          </w:tcPr>
          <w:p w14:paraId="1707AA14"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(21.828)</w:t>
            </w:r>
          </w:p>
        </w:tc>
        <w:tc>
          <w:tcPr>
            <w:tcW w:w="386" w:type="pct"/>
            <w:tcBorders>
              <w:top w:val="nil"/>
              <w:left w:val="nil"/>
              <w:bottom w:val="nil"/>
              <w:right w:val="nil"/>
            </w:tcBorders>
            <w:shd w:val="clear" w:color="auto" w:fill="auto"/>
            <w:noWrap/>
            <w:vAlign w:val="center"/>
            <w:hideMark/>
          </w:tcPr>
          <w:p w14:paraId="1C148168"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(16.199)</w:t>
            </w:r>
          </w:p>
        </w:tc>
      </w:tr>
      <w:tr w:rsidR="003712EB" w:rsidRPr="003712EB" w14:paraId="197C7200" w14:textId="77777777" w:rsidTr="00446A14">
        <w:trPr>
          <w:trHeight w:val="198"/>
        </w:trPr>
        <w:tc>
          <w:tcPr>
            <w:tcW w:w="2835" w:type="pct"/>
            <w:tcBorders>
              <w:top w:val="nil"/>
              <w:left w:val="nil"/>
              <w:bottom w:val="nil"/>
              <w:right w:val="nil"/>
            </w:tcBorders>
            <w:shd w:val="clear" w:color="auto" w:fill="auto"/>
            <w:noWrap/>
            <w:vAlign w:val="center"/>
            <w:hideMark/>
          </w:tcPr>
          <w:p w14:paraId="18526394" w14:textId="77777777" w:rsidR="003712EB" w:rsidRPr="003712EB" w:rsidRDefault="003712EB" w:rsidP="003712EB">
            <w:pPr>
              <w:spacing w:after="0" w:line="240" w:lineRule="auto"/>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Pagamentos - Financiamento - Finep - Principal </w:t>
            </w:r>
          </w:p>
        </w:tc>
        <w:tc>
          <w:tcPr>
            <w:tcW w:w="441" w:type="pct"/>
            <w:tcBorders>
              <w:top w:val="nil"/>
              <w:left w:val="single" w:sz="8" w:space="0" w:color="0000FF"/>
              <w:bottom w:val="nil"/>
              <w:right w:val="single" w:sz="8" w:space="0" w:color="0000FF"/>
            </w:tcBorders>
            <w:shd w:val="clear" w:color="000000" w:fill="75F6F9"/>
            <w:noWrap/>
            <w:vAlign w:val="center"/>
            <w:hideMark/>
          </w:tcPr>
          <w:p w14:paraId="2BC2E595"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(12.112)</w:t>
            </w:r>
          </w:p>
        </w:tc>
        <w:tc>
          <w:tcPr>
            <w:tcW w:w="441" w:type="pct"/>
            <w:tcBorders>
              <w:top w:val="nil"/>
              <w:left w:val="nil"/>
              <w:bottom w:val="nil"/>
              <w:right w:val="single" w:sz="8" w:space="0" w:color="0000FF"/>
            </w:tcBorders>
            <w:shd w:val="clear" w:color="auto" w:fill="auto"/>
            <w:noWrap/>
            <w:vAlign w:val="center"/>
            <w:hideMark/>
          </w:tcPr>
          <w:p w14:paraId="6EEE3D2C"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(16.038)</w:t>
            </w:r>
          </w:p>
        </w:tc>
        <w:tc>
          <w:tcPr>
            <w:tcW w:w="441" w:type="pct"/>
            <w:tcBorders>
              <w:top w:val="nil"/>
              <w:left w:val="nil"/>
              <w:bottom w:val="nil"/>
              <w:right w:val="nil"/>
            </w:tcBorders>
            <w:shd w:val="clear" w:color="auto" w:fill="auto"/>
            <w:noWrap/>
            <w:vAlign w:val="center"/>
            <w:hideMark/>
          </w:tcPr>
          <w:p w14:paraId="44ADBC17"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(11.356)</w:t>
            </w:r>
          </w:p>
        </w:tc>
        <w:tc>
          <w:tcPr>
            <w:tcW w:w="70" w:type="pct"/>
            <w:tcBorders>
              <w:top w:val="nil"/>
              <w:left w:val="nil"/>
              <w:bottom w:val="nil"/>
              <w:right w:val="nil"/>
            </w:tcBorders>
            <w:shd w:val="clear" w:color="auto" w:fill="auto"/>
            <w:noWrap/>
            <w:vAlign w:val="center"/>
            <w:hideMark/>
          </w:tcPr>
          <w:p w14:paraId="5815A8FA"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p>
        </w:tc>
        <w:tc>
          <w:tcPr>
            <w:tcW w:w="386" w:type="pct"/>
            <w:tcBorders>
              <w:top w:val="nil"/>
              <w:left w:val="single" w:sz="8" w:space="0" w:color="0000FF"/>
              <w:bottom w:val="nil"/>
              <w:right w:val="single" w:sz="8" w:space="0" w:color="0000FF"/>
            </w:tcBorders>
            <w:shd w:val="clear" w:color="000000" w:fill="75F6F9"/>
            <w:noWrap/>
            <w:vAlign w:val="center"/>
            <w:hideMark/>
          </w:tcPr>
          <w:p w14:paraId="52006ADE"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(46.008)</w:t>
            </w:r>
          </w:p>
        </w:tc>
        <w:tc>
          <w:tcPr>
            <w:tcW w:w="386" w:type="pct"/>
            <w:tcBorders>
              <w:top w:val="nil"/>
              <w:left w:val="nil"/>
              <w:bottom w:val="nil"/>
              <w:right w:val="nil"/>
            </w:tcBorders>
            <w:shd w:val="clear" w:color="auto" w:fill="auto"/>
            <w:noWrap/>
            <w:vAlign w:val="center"/>
            <w:hideMark/>
          </w:tcPr>
          <w:p w14:paraId="75109DA3"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(50.400)</w:t>
            </w:r>
          </w:p>
        </w:tc>
      </w:tr>
      <w:tr w:rsidR="003712EB" w:rsidRPr="003712EB" w14:paraId="7C058FA4" w14:textId="77777777" w:rsidTr="00446A14">
        <w:trPr>
          <w:trHeight w:val="198"/>
        </w:trPr>
        <w:tc>
          <w:tcPr>
            <w:tcW w:w="2835" w:type="pct"/>
            <w:tcBorders>
              <w:top w:val="nil"/>
              <w:left w:val="nil"/>
              <w:bottom w:val="nil"/>
              <w:right w:val="nil"/>
            </w:tcBorders>
            <w:shd w:val="clear" w:color="auto" w:fill="auto"/>
            <w:noWrap/>
            <w:vAlign w:val="center"/>
            <w:hideMark/>
          </w:tcPr>
          <w:p w14:paraId="562E202C" w14:textId="77777777" w:rsidR="003712EB" w:rsidRPr="003712EB" w:rsidRDefault="003712EB" w:rsidP="003712EB">
            <w:pPr>
              <w:spacing w:after="0" w:line="240" w:lineRule="auto"/>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Pagamentos - Financiamento de Arrendamento Mercantil Financeiro - IFRS 16 </w:t>
            </w:r>
          </w:p>
        </w:tc>
        <w:tc>
          <w:tcPr>
            <w:tcW w:w="441" w:type="pct"/>
            <w:tcBorders>
              <w:top w:val="nil"/>
              <w:left w:val="single" w:sz="8" w:space="0" w:color="0000FF"/>
              <w:bottom w:val="nil"/>
              <w:right w:val="single" w:sz="8" w:space="0" w:color="0000FF"/>
            </w:tcBorders>
            <w:shd w:val="clear" w:color="000000" w:fill="75F6F9"/>
            <w:noWrap/>
            <w:vAlign w:val="center"/>
            <w:hideMark/>
          </w:tcPr>
          <w:p w14:paraId="42951E56"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(1.441)</w:t>
            </w:r>
          </w:p>
        </w:tc>
        <w:tc>
          <w:tcPr>
            <w:tcW w:w="441" w:type="pct"/>
            <w:tcBorders>
              <w:top w:val="nil"/>
              <w:left w:val="nil"/>
              <w:bottom w:val="nil"/>
              <w:right w:val="single" w:sz="8" w:space="0" w:color="0000FF"/>
            </w:tcBorders>
            <w:shd w:val="clear" w:color="auto" w:fill="auto"/>
            <w:noWrap/>
            <w:vAlign w:val="center"/>
            <w:hideMark/>
          </w:tcPr>
          <w:p w14:paraId="6DB9A7B9"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(1.221)</w:t>
            </w:r>
          </w:p>
        </w:tc>
        <w:tc>
          <w:tcPr>
            <w:tcW w:w="441" w:type="pct"/>
            <w:tcBorders>
              <w:top w:val="nil"/>
              <w:left w:val="nil"/>
              <w:bottom w:val="nil"/>
              <w:right w:val="nil"/>
            </w:tcBorders>
            <w:shd w:val="clear" w:color="auto" w:fill="auto"/>
            <w:noWrap/>
            <w:vAlign w:val="center"/>
            <w:hideMark/>
          </w:tcPr>
          <w:p w14:paraId="06646649"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(1.273)</w:t>
            </w:r>
          </w:p>
        </w:tc>
        <w:tc>
          <w:tcPr>
            <w:tcW w:w="70" w:type="pct"/>
            <w:tcBorders>
              <w:top w:val="nil"/>
              <w:left w:val="nil"/>
              <w:bottom w:val="nil"/>
              <w:right w:val="nil"/>
            </w:tcBorders>
            <w:shd w:val="clear" w:color="auto" w:fill="auto"/>
            <w:noWrap/>
            <w:vAlign w:val="center"/>
            <w:hideMark/>
          </w:tcPr>
          <w:p w14:paraId="54B4BE95"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p>
        </w:tc>
        <w:tc>
          <w:tcPr>
            <w:tcW w:w="386" w:type="pct"/>
            <w:tcBorders>
              <w:top w:val="nil"/>
              <w:left w:val="single" w:sz="8" w:space="0" w:color="0000FF"/>
              <w:bottom w:val="nil"/>
              <w:right w:val="single" w:sz="8" w:space="0" w:color="0000FF"/>
            </w:tcBorders>
            <w:shd w:val="clear" w:color="000000" w:fill="75F6F9"/>
            <w:noWrap/>
            <w:vAlign w:val="center"/>
            <w:hideMark/>
          </w:tcPr>
          <w:p w14:paraId="35003F95"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(5.210)</w:t>
            </w:r>
          </w:p>
        </w:tc>
        <w:tc>
          <w:tcPr>
            <w:tcW w:w="386" w:type="pct"/>
            <w:tcBorders>
              <w:top w:val="nil"/>
              <w:left w:val="nil"/>
              <w:bottom w:val="nil"/>
              <w:right w:val="nil"/>
            </w:tcBorders>
            <w:shd w:val="clear" w:color="auto" w:fill="auto"/>
            <w:noWrap/>
            <w:vAlign w:val="center"/>
            <w:hideMark/>
          </w:tcPr>
          <w:p w14:paraId="65940EB8"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(4.832)</w:t>
            </w:r>
          </w:p>
        </w:tc>
      </w:tr>
      <w:tr w:rsidR="003712EB" w:rsidRPr="003712EB" w14:paraId="6DDEEA91" w14:textId="77777777" w:rsidTr="00446A14">
        <w:trPr>
          <w:trHeight w:val="198"/>
        </w:trPr>
        <w:tc>
          <w:tcPr>
            <w:tcW w:w="2835" w:type="pct"/>
            <w:tcBorders>
              <w:top w:val="nil"/>
              <w:left w:val="nil"/>
              <w:bottom w:val="nil"/>
              <w:right w:val="nil"/>
            </w:tcBorders>
            <w:shd w:val="clear" w:color="auto" w:fill="auto"/>
            <w:noWrap/>
            <w:vAlign w:val="center"/>
            <w:hideMark/>
          </w:tcPr>
          <w:p w14:paraId="7C648EDF" w14:textId="77777777" w:rsidR="003712EB" w:rsidRPr="003712EB" w:rsidRDefault="003712EB" w:rsidP="003712EB">
            <w:pPr>
              <w:spacing w:after="0" w:line="240" w:lineRule="auto"/>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Recebimento de Parcela de Superávit - Previdência Privada </w:t>
            </w:r>
          </w:p>
        </w:tc>
        <w:tc>
          <w:tcPr>
            <w:tcW w:w="441" w:type="pct"/>
            <w:tcBorders>
              <w:top w:val="nil"/>
              <w:left w:val="single" w:sz="8" w:space="0" w:color="0000FF"/>
              <w:bottom w:val="nil"/>
              <w:right w:val="single" w:sz="8" w:space="0" w:color="0000FF"/>
            </w:tcBorders>
            <w:shd w:val="clear" w:color="000000" w:fill="75F6F9"/>
            <w:noWrap/>
            <w:vAlign w:val="center"/>
            <w:hideMark/>
          </w:tcPr>
          <w:p w14:paraId="38C9EA70"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2.634</w:t>
            </w:r>
          </w:p>
        </w:tc>
        <w:tc>
          <w:tcPr>
            <w:tcW w:w="441" w:type="pct"/>
            <w:tcBorders>
              <w:top w:val="nil"/>
              <w:left w:val="nil"/>
              <w:bottom w:val="nil"/>
              <w:right w:val="single" w:sz="8" w:space="0" w:color="0000FF"/>
            </w:tcBorders>
            <w:shd w:val="clear" w:color="auto" w:fill="auto"/>
            <w:noWrap/>
            <w:vAlign w:val="center"/>
            <w:hideMark/>
          </w:tcPr>
          <w:p w14:paraId="3533940B"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16.986</w:t>
            </w:r>
          </w:p>
        </w:tc>
        <w:tc>
          <w:tcPr>
            <w:tcW w:w="441" w:type="pct"/>
            <w:tcBorders>
              <w:top w:val="nil"/>
              <w:left w:val="nil"/>
              <w:bottom w:val="nil"/>
              <w:right w:val="nil"/>
            </w:tcBorders>
            <w:shd w:val="clear" w:color="auto" w:fill="auto"/>
            <w:noWrap/>
            <w:vAlign w:val="center"/>
            <w:hideMark/>
          </w:tcPr>
          <w:p w14:paraId="16C33D2B"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2.374</w:t>
            </w:r>
          </w:p>
        </w:tc>
        <w:tc>
          <w:tcPr>
            <w:tcW w:w="70" w:type="pct"/>
            <w:tcBorders>
              <w:top w:val="nil"/>
              <w:left w:val="nil"/>
              <w:bottom w:val="nil"/>
              <w:right w:val="nil"/>
            </w:tcBorders>
            <w:shd w:val="clear" w:color="auto" w:fill="auto"/>
            <w:noWrap/>
            <w:vAlign w:val="center"/>
            <w:hideMark/>
          </w:tcPr>
          <w:p w14:paraId="5B0E65EC"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p>
        </w:tc>
        <w:tc>
          <w:tcPr>
            <w:tcW w:w="386" w:type="pct"/>
            <w:tcBorders>
              <w:top w:val="nil"/>
              <w:left w:val="single" w:sz="8" w:space="0" w:color="0000FF"/>
              <w:bottom w:val="nil"/>
              <w:right w:val="single" w:sz="8" w:space="0" w:color="0000FF"/>
            </w:tcBorders>
            <w:shd w:val="clear" w:color="000000" w:fill="75F6F9"/>
            <w:noWrap/>
            <w:vAlign w:val="center"/>
            <w:hideMark/>
          </w:tcPr>
          <w:p w14:paraId="5268FDA1"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7.354</w:t>
            </w:r>
          </w:p>
        </w:tc>
        <w:tc>
          <w:tcPr>
            <w:tcW w:w="386" w:type="pct"/>
            <w:tcBorders>
              <w:top w:val="nil"/>
              <w:left w:val="nil"/>
              <w:bottom w:val="nil"/>
              <w:right w:val="nil"/>
            </w:tcBorders>
            <w:shd w:val="clear" w:color="auto" w:fill="auto"/>
            <w:noWrap/>
            <w:vAlign w:val="center"/>
            <w:hideMark/>
          </w:tcPr>
          <w:p w14:paraId="20D6DCBC"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87.098</w:t>
            </w:r>
          </w:p>
        </w:tc>
      </w:tr>
      <w:tr w:rsidR="003712EB" w:rsidRPr="003712EB" w14:paraId="49B47ECA" w14:textId="77777777" w:rsidTr="00446A14">
        <w:trPr>
          <w:trHeight w:val="198"/>
        </w:trPr>
        <w:tc>
          <w:tcPr>
            <w:tcW w:w="2835" w:type="pct"/>
            <w:tcBorders>
              <w:top w:val="nil"/>
              <w:left w:val="nil"/>
              <w:bottom w:val="nil"/>
              <w:right w:val="nil"/>
            </w:tcBorders>
            <w:shd w:val="clear" w:color="auto" w:fill="auto"/>
            <w:noWrap/>
            <w:vAlign w:val="center"/>
            <w:hideMark/>
          </w:tcPr>
          <w:p w14:paraId="1BD9A773" w14:textId="77777777" w:rsidR="003712EB" w:rsidRPr="003712EB" w:rsidRDefault="003712EB" w:rsidP="003712EB">
            <w:pPr>
              <w:spacing w:after="0" w:line="240" w:lineRule="auto"/>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Recebimento de Subscrição - Acionistas não Controladores</w:t>
            </w:r>
          </w:p>
        </w:tc>
        <w:tc>
          <w:tcPr>
            <w:tcW w:w="441" w:type="pct"/>
            <w:tcBorders>
              <w:top w:val="nil"/>
              <w:left w:val="single" w:sz="8" w:space="0" w:color="0000FF"/>
              <w:bottom w:val="nil"/>
              <w:right w:val="single" w:sz="8" w:space="0" w:color="0000FF"/>
            </w:tcBorders>
            <w:shd w:val="clear" w:color="000000" w:fill="75F6F9"/>
            <w:noWrap/>
            <w:vAlign w:val="center"/>
            <w:hideMark/>
          </w:tcPr>
          <w:p w14:paraId="07F9BA7A"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 </w:t>
            </w:r>
          </w:p>
        </w:tc>
        <w:tc>
          <w:tcPr>
            <w:tcW w:w="441" w:type="pct"/>
            <w:tcBorders>
              <w:top w:val="nil"/>
              <w:left w:val="nil"/>
              <w:bottom w:val="nil"/>
              <w:right w:val="single" w:sz="8" w:space="0" w:color="0000FF"/>
            </w:tcBorders>
            <w:shd w:val="clear" w:color="auto" w:fill="auto"/>
            <w:noWrap/>
            <w:vAlign w:val="center"/>
            <w:hideMark/>
          </w:tcPr>
          <w:p w14:paraId="127389AE"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272</w:t>
            </w:r>
          </w:p>
        </w:tc>
        <w:tc>
          <w:tcPr>
            <w:tcW w:w="441" w:type="pct"/>
            <w:tcBorders>
              <w:top w:val="nil"/>
              <w:left w:val="nil"/>
              <w:bottom w:val="nil"/>
              <w:right w:val="nil"/>
            </w:tcBorders>
            <w:shd w:val="clear" w:color="auto" w:fill="auto"/>
            <w:noWrap/>
            <w:vAlign w:val="center"/>
            <w:hideMark/>
          </w:tcPr>
          <w:p w14:paraId="757583E4"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 </w:t>
            </w:r>
          </w:p>
        </w:tc>
        <w:tc>
          <w:tcPr>
            <w:tcW w:w="70" w:type="pct"/>
            <w:tcBorders>
              <w:top w:val="nil"/>
              <w:left w:val="nil"/>
              <w:bottom w:val="nil"/>
              <w:right w:val="nil"/>
            </w:tcBorders>
            <w:shd w:val="clear" w:color="auto" w:fill="auto"/>
            <w:noWrap/>
            <w:vAlign w:val="center"/>
            <w:hideMark/>
          </w:tcPr>
          <w:p w14:paraId="3851BE0F"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p>
        </w:tc>
        <w:tc>
          <w:tcPr>
            <w:tcW w:w="386" w:type="pct"/>
            <w:tcBorders>
              <w:top w:val="nil"/>
              <w:left w:val="single" w:sz="8" w:space="0" w:color="0000FF"/>
              <w:bottom w:val="nil"/>
              <w:right w:val="single" w:sz="8" w:space="0" w:color="0000FF"/>
            </w:tcBorders>
            <w:shd w:val="clear" w:color="000000" w:fill="75F6F9"/>
            <w:noWrap/>
            <w:vAlign w:val="center"/>
            <w:hideMark/>
          </w:tcPr>
          <w:p w14:paraId="32F52595"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 </w:t>
            </w:r>
          </w:p>
        </w:tc>
        <w:tc>
          <w:tcPr>
            <w:tcW w:w="386" w:type="pct"/>
            <w:tcBorders>
              <w:top w:val="nil"/>
              <w:left w:val="nil"/>
              <w:bottom w:val="nil"/>
              <w:right w:val="nil"/>
            </w:tcBorders>
            <w:shd w:val="clear" w:color="auto" w:fill="auto"/>
            <w:noWrap/>
            <w:vAlign w:val="center"/>
            <w:hideMark/>
          </w:tcPr>
          <w:p w14:paraId="01AFA0B2"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 </w:t>
            </w:r>
          </w:p>
        </w:tc>
      </w:tr>
      <w:tr w:rsidR="003712EB" w:rsidRPr="003712EB" w14:paraId="608C021F" w14:textId="77777777" w:rsidTr="00446A14">
        <w:trPr>
          <w:trHeight w:val="198"/>
        </w:trPr>
        <w:tc>
          <w:tcPr>
            <w:tcW w:w="2835" w:type="pct"/>
            <w:tcBorders>
              <w:top w:val="nil"/>
              <w:left w:val="nil"/>
              <w:bottom w:val="nil"/>
              <w:right w:val="nil"/>
            </w:tcBorders>
            <w:shd w:val="clear" w:color="auto" w:fill="auto"/>
            <w:noWrap/>
            <w:vAlign w:val="center"/>
            <w:hideMark/>
          </w:tcPr>
          <w:p w14:paraId="2C70F915" w14:textId="77777777" w:rsidR="003712EB" w:rsidRPr="003712EB" w:rsidRDefault="003712EB" w:rsidP="003712EB">
            <w:pPr>
              <w:spacing w:after="0" w:line="240" w:lineRule="auto"/>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Recebimento de Adiantamento p/ Futuro Aumento de Capital </w:t>
            </w:r>
          </w:p>
        </w:tc>
        <w:tc>
          <w:tcPr>
            <w:tcW w:w="441" w:type="pct"/>
            <w:tcBorders>
              <w:top w:val="nil"/>
              <w:left w:val="single" w:sz="8" w:space="0" w:color="0000FF"/>
              <w:bottom w:val="nil"/>
              <w:right w:val="single" w:sz="8" w:space="0" w:color="0000FF"/>
            </w:tcBorders>
            <w:shd w:val="clear" w:color="000000" w:fill="75F6F9"/>
            <w:noWrap/>
            <w:vAlign w:val="center"/>
            <w:hideMark/>
          </w:tcPr>
          <w:p w14:paraId="0510621D"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32.052</w:t>
            </w:r>
          </w:p>
        </w:tc>
        <w:tc>
          <w:tcPr>
            <w:tcW w:w="441" w:type="pct"/>
            <w:tcBorders>
              <w:top w:val="nil"/>
              <w:left w:val="nil"/>
              <w:bottom w:val="nil"/>
              <w:right w:val="single" w:sz="8" w:space="0" w:color="0000FF"/>
            </w:tcBorders>
            <w:shd w:val="clear" w:color="auto" w:fill="auto"/>
            <w:noWrap/>
            <w:vAlign w:val="center"/>
            <w:hideMark/>
          </w:tcPr>
          <w:p w14:paraId="6090B0F3"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5.320</w:t>
            </w:r>
          </w:p>
        </w:tc>
        <w:tc>
          <w:tcPr>
            <w:tcW w:w="441" w:type="pct"/>
            <w:tcBorders>
              <w:top w:val="nil"/>
              <w:left w:val="nil"/>
              <w:bottom w:val="nil"/>
              <w:right w:val="nil"/>
            </w:tcBorders>
            <w:shd w:val="clear" w:color="auto" w:fill="auto"/>
            <w:noWrap/>
            <w:vAlign w:val="center"/>
            <w:hideMark/>
          </w:tcPr>
          <w:p w14:paraId="29E13FE2"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12.354</w:t>
            </w:r>
          </w:p>
        </w:tc>
        <w:tc>
          <w:tcPr>
            <w:tcW w:w="70" w:type="pct"/>
            <w:tcBorders>
              <w:top w:val="nil"/>
              <w:left w:val="nil"/>
              <w:bottom w:val="nil"/>
              <w:right w:val="nil"/>
            </w:tcBorders>
            <w:shd w:val="clear" w:color="auto" w:fill="auto"/>
            <w:noWrap/>
            <w:vAlign w:val="center"/>
            <w:hideMark/>
          </w:tcPr>
          <w:p w14:paraId="415C8044"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p>
        </w:tc>
        <w:tc>
          <w:tcPr>
            <w:tcW w:w="386" w:type="pct"/>
            <w:tcBorders>
              <w:top w:val="nil"/>
              <w:left w:val="single" w:sz="8" w:space="0" w:color="0000FF"/>
              <w:bottom w:val="nil"/>
              <w:right w:val="single" w:sz="8" w:space="0" w:color="0000FF"/>
            </w:tcBorders>
            <w:shd w:val="clear" w:color="000000" w:fill="75F6F9"/>
            <w:noWrap/>
            <w:vAlign w:val="center"/>
            <w:hideMark/>
          </w:tcPr>
          <w:p w14:paraId="14B18F44"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44.406</w:t>
            </w:r>
          </w:p>
        </w:tc>
        <w:tc>
          <w:tcPr>
            <w:tcW w:w="386" w:type="pct"/>
            <w:tcBorders>
              <w:top w:val="nil"/>
              <w:left w:val="nil"/>
              <w:bottom w:val="nil"/>
              <w:right w:val="nil"/>
            </w:tcBorders>
            <w:shd w:val="clear" w:color="auto" w:fill="auto"/>
            <w:noWrap/>
            <w:vAlign w:val="center"/>
            <w:hideMark/>
          </w:tcPr>
          <w:p w14:paraId="7AD1E004"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30.861</w:t>
            </w:r>
          </w:p>
        </w:tc>
      </w:tr>
      <w:tr w:rsidR="003712EB" w:rsidRPr="003712EB" w14:paraId="2434E5F1" w14:textId="77777777" w:rsidTr="00446A14">
        <w:trPr>
          <w:trHeight w:val="198"/>
        </w:trPr>
        <w:tc>
          <w:tcPr>
            <w:tcW w:w="2835" w:type="pct"/>
            <w:tcBorders>
              <w:top w:val="single" w:sz="8" w:space="0" w:color="3616F6"/>
              <w:left w:val="nil"/>
              <w:bottom w:val="single" w:sz="8" w:space="0" w:color="3616F6"/>
              <w:right w:val="nil"/>
            </w:tcBorders>
            <w:shd w:val="clear" w:color="000000" w:fill="75F6F9"/>
            <w:noWrap/>
            <w:vAlign w:val="center"/>
            <w:hideMark/>
          </w:tcPr>
          <w:p w14:paraId="763A4516" w14:textId="77777777" w:rsidR="003712EB" w:rsidRPr="003712EB" w:rsidRDefault="003712EB" w:rsidP="003712EB">
            <w:pPr>
              <w:spacing w:after="0" w:line="240" w:lineRule="auto"/>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Caixa Líquido Gerado pelas Atividades de Financiamento</w:t>
            </w:r>
          </w:p>
        </w:tc>
        <w:tc>
          <w:tcPr>
            <w:tcW w:w="441" w:type="pct"/>
            <w:tcBorders>
              <w:top w:val="single" w:sz="8" w:space="0" w:color="3616F6"/>
              <w:left w:val="single" w:sz="8" w:space="0" w:color="0000FF"/>
              <w:bottom w:val="single" w:sz="8" w:space="0" w:color="3616F6"/>
              <w:right w:val="single" w:sz="8" w:space="0" w:color="0000FF"/>
            </w:tcBorders>
            <w:shd w:val="clear" w:color="000000" w:fill="75F6F9"/>
            <w:vAlign w:val="center"/>
            <w:hideMark/>
          </w:tcPr>
          <w:p w14:paraId="3479576D"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6.262</w:t>
            </w:r>
          </w:p>
        </w:tc>
        <w:tc>
          <w:tcPr>
            <w:tcW w:w="441" w:type="pct"/>
            <w:tcBorders>
              <w:top w:val="single" w:sz="8" w:space="0" w:color="3616F6"/>
              <w:left w:val="nil"/>
              <w:bottom w:val="single" w:sz="8" w:space="0" w:color="3616F6"/>
              <w:right w:val="single" w:sz="8" w:space="0" w:color="0000FF"/>
            </w:tcBorders>
            <w:shd w:val="clear" w:color="000000" w:fill="75F6F9"/>
            <w:vAlign w:val="center"/>
            <w:hideMark/>
          </w:tcPr>
          <w:p w14:paraId="2E1BC2F2"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(4.318)</w:t>
            </w:r>
          </w:p>
        </w:tc>
        <w:tc>
          <w:tcPr>
            <w:tcW w:w="441" w:type="pct"/>
            <w:tcBorders>
              <w:top w:val="single" w:sz="8" w:space="0" w:color="3616F6"/>
              <w:left w:val="nil"/>
              <w:bottom w:val="single" w:sz="8" w:space="0" w:color="3616F6"/>
              <w:right w:val="nil"/>
            </w:tcBorders>
            <w:shd w:val="clear" w:color="000000" w:fill="75F6F9"/>
            <w:vAlign w:val="center"/>
            <w:hideMark/>
          </w:tcPr>
          <w:p w14:paraId="7A12894A"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360</w:t>
            </w:r>
          </w:p>
        </w:tc>
        <w:tc>
          <w:tcPr>
            <w:tcW w:w="70" w:type="pct"/>
            <w:tcBorders>
              <w:top w:val="nil"/>
              <w:left w:val="nil"/>
              <w:bottom w:val="nil"/>
              <w:right w:val="nil"/>
            </w:tcBorders>
            <w:shd w:val="clear" w:color="auto" w:fill="auto"/>
            <w:vAlign w:val="center"/>
            <w:hideMark/>
          </w:tcPr>
          <w:p w14:paraId="3429D1BF"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p>
        </w:tc>
        <w:tc>
          <w:tcPr>
            <w:tcW w:w="386" w:type="pct"/>
            <w:tcBorders>
              <w:top w:val="single" w:sz="8" w:space="0" w:color="3616F6"/>
              <w:left w:val="single" w:sz="8" w:space="0" w:color="0000FF"/>
              <w:bottom w:val="single" w:sz="8" w:space="0" w:color="3616F6"/>
              <w:right w:val="single" w:sz="8" w:space="0" w:color="0000FF"/>
            </w:tcBorders>
            <w:shd w:val="clear" w:color="000000" w:fill="75F6F9"/>
            <w:vAlign w:val="center"/>
            <w:hideMark/>
          </w:tcPr>
          <w:p w14:paraId="43605B96"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(21.286)</w:t>
            </w:r>
          </w:p>
        </w:tc>
        <w:tc>
          <w:tcPr>
            <w:tcW w:w="386" w:type="pct"/>
            <w:tcBorders>
              <w:top w:val="single" w:sz="8" w:space="0" w:color="3616F6"/>
              <w:left w:val="nil"/>
              <w:bottom w:val="single" w:sz="8" w:space="0" w:color="3616F6"/>
              <w:right w:val="nil"/>
            </w:tcBorders>
            <w:shd w:val="clear" w:color="auto" w:fill="auto"/>
            <w:vAlign w:val="center"/>
            <w:hideMark/>
          </w:tcPr>
          <w:p w14:paraId="62A6631B"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46.528</w:t>
            </w:r>
          </w:p>
        </w:tc>
      </w:tr>
      <w:tr w:rsidR="003712EB" w:rsidRPr="003712EB" w14:paraId="6A2AE7C0" w14:textId="77777777" w:rsidTr="00446A14">
        <w:trPr>
          <w:trHeight w:val="198"/>
        </w:trPr>
        <w:tc>
          <w:tcPr>
            <w:tcW w:w="2835" w:type="pct"/>
            <w:tcBorders>
              <w:top w:val="nil"/>
              <w:left w:val="nil"/>
              <w:bottom w:val="nil"/>
              <w:right w:val="nil"/>
            </w:tcBorders>
            <w:shd w:val="clear" w:color="auto" w:fill="auto"/>
            <w:noWrap/>
            <w:vAlign w:val="bottom"/>
            <w:hideMark/>
          </w:tcPr>
          <w:p w14:paraId="1C660DF1"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p>
        </w:tc>
        <w:tc>
          <w:tcPr>
            <w:tcW w:w="441" w:type="pct"/>
            <w:tcBorders>
              <w:top w:val="nil"/>
              <w:left w:val="single" w:sz="8" w:space="0" w:color="0000FF"/>
              <w:bottom w:val="nil"/>
              <w:right w:val="single" w:sz="8" w:space="0" w:color="0000FF"/>
            </w:tcBorders>
            <w:shd w:val="clear" w:color="000000" w:fill="75F6F9"/>
            <w:noWrap/>
            <w:vAlign w:val="center"/>
            <w:hideMark/>
          </w:tcPr>
          <w:p w14:paraId="1231A3A8"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w:t>
            </w:r>
          </w:p>
        </w:tc>
        <w:tc>
          <w:tcPr>
            <w:tcW w:w="441" w:type="pct"/>
            <w:tcBorders>
              <w:top w:val="nil"/>
              <w:left w:val="nil"/>
              <w:bottom w:val="nil"/>
              <w:right w:val="nil"/>
            </w:tcBorders>
            <w:shd w:val="clear" w:color="auto" w:fill="auto"/>
            <w:noWrap/>
            <w:vAlign w:val="center"/>
            <w:hideMark/>
          </w:tcPr>
          <w:p w14:paraId="156013FD"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p>
        </w:tc>
        <w:tc>
          <w:tcPr>
            <w:tcW w:w="441" w:type="pct"/>
            <w:tcBorders>
              <w:top w:val="nil"/>
              <w:left w:val="single" w:sz="8" w:space="0" w:color="0000FF"/>
              <w:bottom w:val="nil"/>
              <w:right w:val="nil"/>
            </w:tcBorders>
            <w:shd w:val="clear" w:color="auto" w:fill="auto"/>
            <w:noWrap/>
            <w:vAlign w:val="center"/>
            <w:hideMark/>
          </w:tcPr>
          <w:p w14:paraId="21EB8DFB"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w:t>
            </w:r>
          </w:p>
        </w:tc>
        <w:tc>
          <w:tcPr>
            <w:tcW w:w="70" w:type="pct"/>
            <w:tcBorders>
              <w:top w:val="nil"/>
              <w:left w:val="nil"/>
              <w:bottom w:val="nil"/>
              <w:right w:val="nil"/>
            </w:tcBorders>
            <w:shd w:val="clear" w:color="auto" w:fill="auto"/>
            <w:noWrap/>
            <w:vAlign w:val="bottom"/>
            <w:hideMark/>
          </w:tcPr>
          <w:p w14:paraId="64B28B15"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p>
        </w:tc>
        <w:tc>
          <w:tcPr>
            <w:tcW w:w="386" w:type="pct"/>
            <w:tcBorders>
              <w:top w:val="nil"/>
              <w:left w:val="single" w:sz="8" w:space="0" w:color="0000FF"/>
              <w:bottom w:val="nil"/>
              <w:right w:val="single" w:sz="8" w:space="0" w:color="0000FF"/>
            </w:tcBorders>
            <w:shd w:val="clear" w:color="000000" w:fill="75F6F9"/>
            <w:noWrap/>
            <w:vAlign w:val="center"/>
            <w:hideMark/>
          </w:tcPr>
          <w:p w14:paraId="308E879C"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w:t>
            </w:r>
          </w:p>
        </w:tc>
        <w:tc>
          <w:tcPr>
            <w:tcW w:w="386" w:type="pct"/>
            <w:tcBorders>
              <w:top w:val="nil"/>
              <w:left w:val="nil"/>
              <w:bottom w:val="nil"/>
              <w:right w:val="nil"/>
            </w:tcBorders>
            <w:shd w:val="clear" w:color="auto" w:fill="auto"/>
            <w:noWrap/>
            <w:vAlign w:val="center"/>
            <w:hideMark/>
          </w:tcPr>
          <w:p w14:paraId="66F5437C"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w:t>
            </w:r>
          </w:p>
        </w:tc>
      </w:tr>
      <w:tr w:rsidR="003712EB" w:rsidRPr="003712EB" w14:paraId="16D97CCF" w14:textId="77777777" w:rsidTr="00446A14">
        <w:trPr>
          <w:trHeight w:val="198"/>
        </w:trPr>
        <w:tc>
          <w:tcPr>
            <w:tcW w:w="2835" w:type="pct"/>
            <w:tcBorders>
              <w:top w:val="single" w:sz="8" w:space="0" w:color="3616F6"/>
              <w:left w:val="nil"/>
              <w:bottom w:val="single" w:sz="8" w:space="0" w:color="3616F6"/>
              <w:right w:val="nil"/>
            </w:tcBorders>
            <w:shd w:val="clear" w:color="000000" w:fill="75F6F9"/>
            <w:noWrap/>
            <w:vAlign w:val="center"/>
            <w:hideMark/>
          </w:tcPr>
          <w:p w14:paraId="0B09ACAF" w14:textId="77777777" w:rsidR="003712EB" w:rsidRPr="003712EB" w:rsidRDefault="003712EB" w:rsidP="003712EB">
            <w:pPr>
              <w:spacing w:after="0" w:line="240" w:lineRule="auto"/>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Variação Líquida de Caixa e Equivalentes de Caixa</w:t>
            </w:r>
          </w:p>
        </w:tc>
        <w:tc>
          <w:tcPr>
            <w:tcW w:w="441" w:type="pct"/>
            <w:tcBorders>
              <w:top w:val="single" w:sz="8" w:space="0" w:color="3616F6"/>
              <w:left w:val="single" w:sz="8" w:space="0" w:color="0000FF"/>
              <w:bottom w:val="single" w:sz="8" w:space="0" w:color="3616F6"/>
              <w:right w:val="single" w:sz="8" w:space="0" w:color="0000FF"/>
            </w:tcBorders>
            <w:shd w:val="clear" w:color="000000" w:fill="75F6F9"/>
            <w:vAlign w:val="center"/>
            <w:hideMark/>
          </w:tcPr>
          <w:p w14:paraId="0D3279B0"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(46.798)</w:t>
            </w:r>
          </w:p>
        </w:tc>
        <w:tc>
          <w:tcPr>
            <w:tcW w:w="441" w:type="pct"/>
            <w:tcBorders>
              <w:top w:val="single" w:sz="8" w:space="0" w:color="3616F6"/>
              <w:left w:val="nil"/>
              <w:bottom w:val="single" w:sz="8" w:space="0" w:color="3616F6"/>
              <w:right w:val="nil"/>
            </w:tcBorders>
            <w:shd w:val="clear" w:color="000000" w:fill="75F6F9"/>
            <w:vAlign w:val="center"/>
            <w:hideMark/>
          </w:tcPr>
          <w:p w14:paraId="64730CAF"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40.264</w:t>
            </w:r>
          </w:p>
        </w:tc>
        <w:tc>
          <w:tcPr>
            <w:tcW w:w="441" w:type="pct"/>
            <w:tcBorders>
              <w:top w:val="single" w:sz="8" w:space="0" w:color="3616F6"/>
              <w:left w:val="single" w:sz="8" w:space="0" w:color="0000FF"/>
              <w:bottom w:val="single" w:sz="8" w:space="0" w:color="3616F6"/>
              <w:right w:val="nil"/>
            </w:tcBorders>
            <w:shd w:val="clear" w:color="000000" w:fill="75F6F9"/>
            <w:vAlign w:val="center"/>
            <w:hideMark/>
          </w:tcPr>
          <w:p w14:paraId="2CBA74CF"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57.165</w:t>
            </w:r>
          </w:p>
        </w:tc>
        <w:tc>
          <w:tcPr>
            <w:tcW w:w="70" w:type="pct"/>
            <w:tcBorders>
              <w:top w:val="nil"/>
              <w:left w:val="nil"/>
              <w:bottom w:val="nil"/>
              <w:right w:val="nil"/>
            </w:tcBorders>
            <w:shd w:val="clear" w:color="auto" w:fill="auto"/>
            <w:vAlign w:val="center"/>
            <w:hideMark/>
          </w:tcPr>
          <w:p w14:paraId="081FFDDF"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p>
        </w:tc>
        <w:tc>
          <w:tcPr>
            <w:tcW w:w="386" w:type="pct"/>
            <w:tcBorders>
              <w:top w:val="single" w:sz="8" w:space="0" w:color="3616F6"/>
              <w:left w:val="single" w:sz="8" w:space="0" w:color="0000FF"/>
              <w:bottom w:val="single" w:sz="8" w:space="0" w:color="3616F6"/>
              <w:right w:val="single" w:sz="8" w:space="0" w:color="0000FF"/>
            </w:tcBorders>
            <w:shd w:val="clear" w:color="000000" w:fill="75F6F9"/>
            <w:vAlign w:val="center"/>
            <w:hideMark/>
          </w:tcPr>
          <w:p w14:paraId="4E5B113A"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28.101</w:t>
            </w:r>
          </w:p>
        </w:tc>
        <w:tc>
          <w:tcPr>
            <w:tcW w:w="386" w:type="pct"/>
            <w:tcBorders>
              <w:top w:val="single" w:sz="8" w:space="0" w:color="3616F6"/>
              <w:left w:val="nil"/>
              <w:bottom w:val="single" w:sz="8" w:space="0" w:color="3616F6"/>
              <w:right w:val="nil"/>
            </w:tcBorders>
            <w:shd w:val="clear" w:color="auto" w:fill="auto"/>
            <w:vAlign w:val="center"/>
            <w:hideMark/>
          </w:tcPr>
          <w:p w14:paraId="16B0C746"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79.772</w:t>
            </w:r>
          </w:p>
        </w:tc>
      </w:tr>
      <w:tr w:rsidR="003712EB" w:rsidRPr="003712EB" w14:paraId="1D6036E8" w14:textId="77777777" w:rsidTr="00446A14">
        <w:trPr>
          <w:trHeight w:val="198"/>
        </w:trPr>
        <w:tc>
          <w:tcPr>
            <w:tcW w:w="2835" w:type="pct"/>
            <w:tcBorders>
              <w:top w:val="nil"/>
              <w:left w:val="nil"/>
              <w:bottom w:val="nil"/>
              <w:right w:val="nil"/>
            </w:tcBorders>
            <w:shd w:val="clear" w:color="auto" w:fill="auto"/>
            <w:noWrap/>
            <w:vAlign w:val="bottom"/>
            <w:hideMark/>
          </w:tcPr>
          <w:p w14:paraId="3095C367"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p>
        </w:tc>
        <w:tc>
          <w:tcPr>
            <w:tcW w:w="441" w:type="pct"/>
            <w:tcBorders>
              <w:top w:val="nil"/>
              <w:left w:val="single" w:sz="8" w:space="0" w:color="0000FF"/>
              <w:bottom w:val="nil"/>
              <w:right w:val="single" w:sz="8" w:space="0" w:color="0000FF"/>
            </w:tcBorders>
            <w:shd w:val="clear" w:color="000000" w:fill="75F6F9"/>
            <w:noWrap/>
            <w:vAlign w:val="center"/>
            <w:hideMark/>
          </w:tcPr>
          <w:p w14:paraId="7C7614B7"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 </w:t>
            </w:r>
          </w:p>
        </w:tc>
        <w:tc>
          <w:tcPr>
            <w:tcW w:w="441" w:type="pct"/>
            <w:tcBorders>
              <w:top w:val="nil"/>
              <w:left w:val="nil"/>
              <w:bottom w:val="nil"/>
              <w:right w:val="nil"/>
            </w:tcBorders>
            <w:shd w:val="clear" w:color="auto" w:fill="auto"/>
            <w:noWrap/>
            <w:vAlign w:val="center"/>
            <w:hideMark/>
          </w:tcPr>
          <w:p w14:paraId="5905A990"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p>
        </w:tc>
        <w:tc>
          <w:tcPr>
            <w:tcW w:w="441" w:type="pct"/>
            <w:tcBorders>
              <w:top w:val="nil"/>
              <w:left w:val="single" w:sz="8" w:space="0" w:color="0000FF"/>
              <w:bottom w:val="nil"/>
              <w:right w:val="nil"/>
            </w:tcBorders>
            <w:shd w:val="clear" w:color="auto" w:fill="auto"/>
            <w:noWrap/>
            <w:vAlign w:val="center"/>
            <w:hideMark/>
          </w:tcPr>
          <w:p w14:paraId="4946E788"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w:t>
            </w:r>
          </w:p>
        </w:tc>
        <w:tc>
          <w:tcPr>
            <w:tcW w:w="70" w:type="pct"/>
            <w:tcBorders>
              <w:top w:val="nil"/>
              <w:left w:val="nil"/>
              <w:bottom w:val="nil"/>
              <w:right w:val="nil"/>
            </w:tcBorders>
            <w:shd w:val="clear" w:color="auto" w:fill="auto"/>
            <w:noWrap/>
            <w:vAlign w:val="bottom"/>
            <w:hideMark/>
          </w:tcPr>
          <w:p w14:paraId="402D2DAA"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p>
        </w:tc>
        <w:tc>
          <w:tcPr>
            <w:tcW w:w="386" w:type="pct"/>
            <w:tcBorders>
              <w:top w:val="nil"/>
              <w:left w:val="single" w:sz="8" w:space="0" w:color="0000FF"/>
              <w:bottom w:val="nil"/>
              <w:right w:val="single" w:sz="8" w:space="0" w:color="0000FF"/>
            </w:tcBorders>
            <w:shd w:val="clear" w:color="000000" w:fill="75F6F9"/>
            <w:noWrap/>
            <w:vAlign w:val="center"/>
            <w:hideMark/>
          </w:tcPr>
          <w:p w14:paraId="203DA3C2"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 </w:t>
            </w:r>
          </w:p>
        </w:tc>
        <w:tc>
          <w:tcPr>
            <w:tcW w:w="386" w:type="pct"/>
            <w:tcBorders>
              <w:top w:val="nil"/>
              <w:left w:val="nil"/>
              <w:bottom w:val="nil"/>
              <w:right w:val="nil"/>
            </w:tcBorders>
            <w:shd w:val="clear" w:color="auto" w:fill="auto"/>
            <w:noWrap/>
            <w:vAlign w:val="center"/>
            <w:hideMark/>
          </w:tcPr>
          <w:p w14:paraId="77C00A83"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 </w:t>
            </w:r>
          </w:p>
        </w:tc>
      </w:tr>
      <w:tr w:rsidR="003712EB" w:rsidRPr="003712EB" w14:paraId="3AA1CE29" w14:textId="77777777" w:rsidTr="00446A14">
        <w:trPr>
          <w:trHeight w:val="198"/>
        </w:trPr>
        <w:tc>
          <w:tcPr>
            <w:tcW w:w="2835" w:type="pct"/>
            <w:tcBorders>
              <w:top w:val="nil"/>
              <w:left w:val="nil"/>
              <w:bottom w:val="nil"/>
              <w:right w:val="nil"/>
            </w:tcBorders>
            <w:shd w:val="clear" w:color="auto" w:fill="auto"/>
            <w:noWrap/>
            <w:vAlign w:val="center"/>
            <w:hideMark/>
          </w:tcPr>
          <w:p w14:paraId="0F272ABD" w14:textId="77777777" w:rsidR="003712EB" w:rsidRPr="003712EB" w:rsidRDefault="003712EB" w:rsidP="003712EB">
            <w:pPr>
              <w:spacing w:after="0" w:line="240" w:lineRule="auto"/>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Demonstração da Variação de Caixa e Equivalentes de Caixa</w:t>
            </w:r>
          </w:p>
        </w:tc>
        <w:tc>
          <w:tcPr>
            <w:tcW w:w="441" w:type="pct"/>
            <w:tcBorders>
              <w:top w:val="nil"/>
              <w:left w:val="single" w:sz="8" w:space="0" w:color="0000FF"/>
              <w:bottom w:val="nil"/>
              <w:right w:val="single" w:sz="8" w:space="0" w:color="0000FF"/>
            </w:tcBorders>
            <w:shd w:val="clear" w:color="000000" w:fill="75F6F9"/>
            <w:noWrap/>
            <w:vAlign w:val="center"/>
            <w:hideMark/>
          </w:tcPr>
          <w:p w14:paraId="6C9F60EF"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 </w:t>
            </w:r>
          </w:p>
        </w:tc>
        <w:tc>
          <w:tcPr>
            <w:tcW w:w="441" w:type="pct"/>
            <w:tcBorders>
              <w:top w:val="nil"/>
              <w:left w:val="nil"/>
              <w:bottom w:val="nil"/>
              <w:right w:val="nil"/>
            </w:tcBorders>
            <w:shd w:val="clear" w:color="auto" w:fill="auto"/>
            <w:noWrap/>
            <w:vAlign w:val="center"/>
            <w:hideMark/>
          </w:tcPr>
          <w:p w14:paraId="3956AD95"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p>
        </w:tc>
        <w:tc>
          <w:tcPr>
            <w:tcW w:w="441" w:type="pct"/>
            <w:tcBorders>
              <w:top w:val="nil"/>
              <w:left w:val="single" w:sz="8" w:space="0" w:color="0000FF"/>
              <w:bottom w:val="nil"/>
              <w:right w:val="nil"/>
            </w:tcBorders>
            <w:shd w:val="clear" w:color="auto" w:fill="auto"/>
            <w:noWrap/>
            <w:vAlign w:val="center"/>
            <w:hideMark/>
          </w:tcPr>
          <w:p w14:paraId="4D4DF13D"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w:t>
            </w:r>
          </w:p>
        </w:tc>
        <w:tc>
          <w:tcPr>
            <w:tcW w:w="70" w:type="pct"/>
            <w:tcBorders>
              <w:top w:val="nil"/>
              <w:left w:val="nil"/>
              <w:bottom w:val="nil"/>
              <w:right w:val="nil"/>
            </w:tcBorders>
            <w:shd w:val="clear" w:color="auto" w:fill="auto"/>
            <w:noWrap/>
            <w:vAlign w:val="bottom"/>
            <w:hideMark/>
          </w:tcPr>
          <w:p w14:paraId="422C8F45"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p>
        </w:tc>
        <w:tc>
          <w:tcPr>
            <w:tcW w:w="386" w:type="pct"/>
            <w:tcBorders>
              <w:top w:val="nil"/>
              <w:left w:val="single" w:sz="8" w:space="0" w:color="0000FF"/>
              <w:bottom w:val="nil"/>
              <w:right w:val="single" w:sz="8" w:space="0" w:color="0000FF"/>
            </w:tcBorders>
            <w:shd w:val="clear" w:color="000000" w:fill="75F6F9"/>
            <w:noWrap/>
            <w:vAlign w:val="center"/>
            <w:hideMark/>
          </w:tcPr>
          <w:p w14:paraId="4281294D"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 </w:t>
            </w:r>
          </w:p>
        </w:tc>
        <w:tc>
          <w:tcPr>
            <w:tcW w:w="386" w:type="pct"/>
            <w:tcBorders>
              <w:top w:val="nil"/>
              <w:left w:val="nil"/>
              <w:bottom w:val="nil"/>
              <w:right w:val="nil"/>
            </w:tcBorders>
            <w:shd w:val="clear" w:color="auto" w:fill="auto"/>
            <w:noWrap/>
            <w:vAlign w:val="center"/>
            <w:hideMark/>
          </w:tcPr>
          <w:p w14:paraId="701A43A4"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 </w:t>
            </w:r>
          </w:p>
        </w:tc>
      </w:tr>
      <w:tr w:rsidR="003712EB" w:rsidRPr="003712EB" w14:paraId="3A91C9BA" w14:textId="77777777" w:rsidTr="00446A14">
        <w:trPr>
          <w:trHeight w:val="198"/>
        </w:trPr>
        <w:tc>
          <w:tcPr>
            <w:tcW w:w="2835" w:type="pct"/>
            <w:tcBorders>
              <w:top w:val="nil"/>
              <w:left w:val="nil"/>
              <w:bottom w:val="nil"/>
              <w:right w:val="nil"/>
            </w:tcBorders>
            <w:shd w:val="clear" w:color="auto" w:fill="auto"/>
            <w:noWrap/>
            <w:vAlign w:val="center"/>
            <w:hideMark/>
          </w:tcPr>
          <w:p w14:paraId="6C6EBDCE" w14:textId="77777777" w:rsidR="003712EB" w:rsidRPr="003712EB" w:rsidRDefault="003712EB" w:rsidP="003712EB">
            <w:pPr>
              <w:spacing w:after="0" w:line="240" w:lineRule="auto"/>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Caixa e Equivalentes de Caixa no Final do Período</w:t>
            </w:r>
          </w:p>
        </w:tc>
        <w:tc>
          <w:tcPr>
            <w:tcW w:w="441" w:type="pct"/>
            <w:tcBorders>
              <w:top w:val="nil"/>
              <w:left w:val="single" w:sz="8" w:space="0" w:color="0000FF"/>
              <w:bottom w:val="nil"/>
              <w:right w:val="single" w:sz="8" w:space="0" w:color="0000FF"/>
            </w:tcBorders>
            <w:shd w:val="clear" w:color="000000" w:fill="75F6F9"/>
            <w:noWrap/>
            <w:vAlign w:val="center"/>
            <w:hideMark/>
          </w:tcPr>
          <w:p w14:paraId="6F74698A"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380.712</w:t>
            </w:r>
          </w:p>
        </w:tc>
        <w:tc>
          <w:tcPr>
            <w:tcW w:w="441" w:type="pct"/>
            <w:tcBorders>
              <w:top w:val="nil"/>
              <w:left w:val="nil"/>
              <w:bottom w:val="nil"/>
              <w:right w:val="single" w:sz="8" w:space="0" w:color="0000FF"/>
            </w:tcBorders>
            <w:shd w:val="clear" w:color="auto" w:fill="auto"/>
            <w:noWrap/>
            <w:vAlign w:val="center"/>
            <w:hideMark/>
          </w:tcPr>
          <w:p w14:paraId="6001CDF0"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352.611</w:t>
            </w:r>
          </w:p>
        </w:tc>
        <w:tc>
          <w:tcPr>
            <w:tcW w:w="441" w:type="pct"/>
            <w:tcBorders>
              <w:top w:val="nil"/>
              <w:left w:val="nil"/>
              <w:bottom w:val="nil"/>
              <w:right w:val="nil"/>
            </w:tcBorders>
            <w:shd w:val="clear" w:color="auto" w:fill="auto"/>
            <w:noWrap/>
            <w:vAlign w:val="center"/>
            <w:hideMark/>
          </w:tcPr>
          <w:p w14:paraId="4046654D"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427.510</w:t>
            </w:r>
          </w:p>
        </w:tc>
        <w:tc>
          <w:tcPr>
            <w:tcW w:w="70" w:type="pct"/>
            <w:tcBorders>
              <w:top w:val="nil"/>
              <w:left w:val="nil"/>
              <w:bottom w:val="nil"/>
              <w:right w:val="nil"/>
            </w:tcBorders>
            <w:shd w:val="clear" w:color="auto" w:fill="auto"/>
            <w:noWrap/>
            <w:vAlign w:val="center"/>
            <w:hideMark/>
          </w:tcPr>
          <w:p w14:paraId="67A91123"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p>
        </w:tc>
        <w:tc>
          <w:tcPr>
            <w:tcW w:w="386" w:type="pct"/>
            <w:tcBorders>
              <w:top w:val="nil"/>
              <w:left w:val="single" w:sz="8" w:space="0" w:color="0000FF"/>
              <w:bottom w:val="nil"/>
              <w:right w:val="single" w:sz="8" w:space="0" w:color="0000FF"/>
            </w:tcBorders>
            <w:shd w:val="clear" w:color="000000" w:fill="75F6F9"/>
            <w:noWrap/>
            <w:vAlign w:val="center"/>
            <w:hideMark/>
          </w:tcPr>
          <w:p w14:paraId="5C036792"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380.712</w:t>
            </w:r>
          </w:p>
        </w:tc>
        <w:tc>
          <w:tcPr>
            <w:tcW w:w="386" w:type="pct"/>
            <w:tcBorders>
              <w:top w:val="nil"/>
              <w:left w:val="nil"/>
              <w:bottom w:val="nil"/>
              <w:right w:val="nil"/>
            </w:tcBorders>
            <w:shd w:val="clear" w:color="auto" w:fill="auto"/>
            <w:noWrap/>
            <w:vAlign w:val="center"/>
            <w:hideMark/>
          </w:tcPr>
          <w:p w14:paraId="09A92F8C"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352.611</w:t>
            </w:r>
          </w:p>
        </w:tc>
      </w:tr>
      <w:tr w:rsidR="003712EB" w:rsidRPr="003712EB" w14:paraId="086074DF" w14:textId="77777777" w:rsidTr="00446A14">
        <w:trPr>
          <w:trHeight w:val="198"/>
        </w:trPr>
        <w:tc>
          <w:tcPr>
            <w:tcW w:w="2835" w:type="pct"/>
            <w:tcBorders>
              <w:top w:val="nil"/>
              <w:left w:val="nil"/>
              <w:bottom w:val="nil"/>
              <w:right w:val="nil"/>
            </w:tcBorders>
            <w:shd w:val="clear" w:color="auto" w:fill="auto"/>
            <w:noWrap/>
            <w:vAlign w:val="center"/>
            <w:hideMark/>
          </w:tcPr>
          <w:p w14:paraId="05F4C36F" w14:textId="77777777" w:rsidR="003712EB" w:rsidRPr="003712EB" w:rsidRDefault="003712EB" w:rsidP="003712EB">
            <w:pPr>
              <w:spacing w:after="0" w:line="240" w:lineRule="auto"/>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 xml:space="preserve">        Caixa e Equivalentes de Caixa no Início do Período</w:t>
            </w:r>
          </w:p>
        </w:tc>
        <w:tc>
          <w:tcPr>
            <w:tcW w:w="441" w:type="pct"/>
            <w:tcBorders>
              <w:top w:val="nil"/>
              <w:left w:val="single" w:sz="8" w:space="0" w:color="0000FF"/>
              <w:bottom w:val="nil"/>
              <w:right w:val="single" w:sz="8" w:space="0" w:color="0000FF"/>
            </w:tcBorders>
            <w:shd w:val="clear" w:color="000000" w:fill="75F6F9"/>
            <w:noWrap/>
            <w:vAlign w:val="center"/>
            <w:hideMark/>
          </w:tcPr>
          <w:p w14:paraId="19FA2B27"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427.510</w:t>
            </w:r>
          </w:p>
        </w:tc>
        <w:tc>
          <w:tcPr>
            <w:tcW w:w="441" w:type="pct"/>
            <w:tcBorders>
              <w:top w:val="nil"/>
              <w:left w:val="nil"/>
              <w:bottom w:val="nil"/>
              <w:right w:val="single" w:sz="8" w:space="0" w:color="0000FF"/>
            </w:tcBorders>
            <w:shd w:val="clear" w:color="auto" w:fill="auto"/>
            <w:noWrap/>
            <w:vAlign w:val="center"/>
            <w:hideMark/>
          </w:tcPr>
          <w:p w14:paraId="2D5648FE"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312.347</w:t>
            </w:r>
          </w:p>
        </w:tc>
        <w:tc>
          <w:tcPr>
            <w:tcW w:w="441" w:type="pct"/>
            <w:tcBorders>
              <w:top w:val="nil"/>
              <w:left w:val="nil"/>
              <w:bottom w:val="nil"/>
              <w:right w:val="nil"/>
            </w:tcBorders>
            <w:shd w:val="clear" w:color="auto" w:fill="auto"/>
            <w:noWrap/>
            <w:vAlign w:val="center"/>
            <w:hideMark/>
          </w:tcPr>
          <w:p w14:paraId="623AF93C"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370.345</w:t>
            </w:r>
          </w:p>
        </w:tc>
        <w:tc>
          <w:tcPr>
            <w:tcW w:w="70" w:type="pct"/>
            <w:tcBorders>
              <w:top w:val="nil"/>
              <w:left w:val="nil"/>
              <w:bottom w:val="nil"/>
              <w:right w:val="nil"/>
            </w:tcBorders>
            <w:shd w:val="clear" w:color="auto" w:fill="auto"/>
            <w:noWrap/>
            <w:vAlign w:val="center"/>
            <w:hideMark/>
          </w:tcPr>
          <w:p w14:paraId="0B785F26"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p>
        </w:tc>
        <w:tc>
          <w:tcPr>
            <w:tcW w:w="386" w:type="pct"/>
            <w:tcBorders>
              <w:top w:val="nil"/>
              <w:left w:val="single" w:sz="8" w:space="0" w:color="0000FF"/>
              <w:bottom w:val="nil"/>
              <w:right w:val="single" w:sz="8" w:space="0" w:color="0000FF"/>
            </w:tcBorders>
            <w:shd w:val="clear" w:color="000000" w:fill="75F6F9"/>
            <w:noWrap/>
            <w:vAlign w:val="center"/>
            <w:hideMark/>
          </w:tcPr>
          <w:p w14:paraId="23E6DAF2"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352.611</w:t>
            </w:r>
          </w:p>
        </w:tc>
        <w:tc>
          <w:tcPr>
            <w:tcW w:w="386" w:type="pct"/>
            <w:tcBorders>
              <w:top w:val="nil"/>
              <w:left w:val="nil"/>
              <w:bottom w:val="nil"/>
              <w:right w:val="nil"/>
            </w:tcBorders>
            <w:shd w:val="clear" w:color="auto" w:fill="auto"/>
            <w:noWrap/>
            <w:vAlign w:val="center"/>
            <w:hideMark/>
          </w:tcPr>
          <w:p w14:paraId="6A6A3AD9" w14:textId="77777777" w:rsidR="003712EB" w:rsidRPr="003712EB" w:rsidRDefault="003712EB" w:rsidP="003712EB">
            <w:pPr>
              <w:spacing w:after="0" w:line="240" w:lineRule="auto"/>
              <w:jc w:val="right"/>
              <w:rPr>
                <w:rFonts w:ascii="Arial" w:eastAsia="Times New Roman" w:hAnsi="Arial" w:cs="Arial"/>
                <w:color w:val="000000"/>
                <w:kern w:val="0"/>
                <w:sz w:val="14"/>
                <w:szCs w:val="14"/>
                <w:lang w:eastAsia="pt-BR"/>
                <w14:ligatures w14:val="none"/>
              </w:rPr>
            </w:pPr>
            <w:r w:rsidRPr="003712EB">
              <w:rPr>
                <w:rFonts w:ascii="Arial" w:eastAsia="Times New Roman" w:hAnsi="Arial" w:cs="Arial"/>
                <w:color w:val="000000"/>
                <w:kern w:val="0"/>
                <w:sz w:val="14"/>
                <w:szCs w:val="14"/>
                <w:lang w:eastAsia="pt-BR"/>
                <w14:ligatures w14:val="none"/>
              </w:rPr>
              <w:t>272.839</w:t>
            </w:r>
          </w:p>
        </w:tc>
      </w:tr>
      <w:tr w:rsidR="003712EB" w:rsidRPr="003712EB" w14:paraId="2E4D07EC" w14:textId="77777777" w:rsidTr="00446A14">
        <w:trPr>
          <w:trHeight w:val="198"/>
        </w:trPr>
        <w:tc>
          <w:tcPr>
            <w:tcW w:w="2835" w:type="pct"/>
            <w:tcBorders>
              <w:top w:val="single" w:sz="8" w:space="0" w:color="3616F6"/>
              <w:left w:val="nil"/>
              <w:bottom w:val="single" w:sz="8" w:space="0" w:color="3616F6"/>
              <w:right w:val="nil"/>
            </w:tcBorders>
            <w:shd w:val="clear" w:color="000000" w:fill="75F6F9"/>
            <w:noWrap/>
            <w:vAlign w:val="center"/>
            <w:hideMark/>
          </w:tcPr>
          <w:p w14:paraId="777040E9" w14:textId="77777777" w:rsidR="003712EB" w:rsidRPr="003712EB" w:rsidRDefault="003712EB" w:rsidP="003712EB">
            <w:pPr>
              <w:spacing w:after="0" w:line="240" w:lineRule="auto"/>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Variação de Caixa e Equivalentes de Caixa</w:t>
            </w:r>
          </w:p>
        </w:tc>
        <w:tc>
          <w:tcPr>
            <w:tcW w:w="441" w:type="pct"/>
            <w:tcBorders>
              <w:top w:val="single" w:sz="8" w:space="0" w:color="3616F6"/>
              <w:left w:val="single" w:sz="8" w:space="0" w:color="0000FF"/>
              <w:bottom w:val="single" w:sz="8" w:space="0" w:color="3616F6"/>
              <w:right w:val="single" w:sz="8" w:space="0" w:color="0000FF"/>
            </w:tcBorders>
            <w:shd w:val="clear" w:color="000000" w:fill="75F6F9"/>
            <w:vAlign w:val="center"/>
            <w:hideMark/>
          </w:tcPr>
          <w:p w14:paraId="287729CD"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(46.798)</w:t>
            </w:r>
          </w:p>
        </w:tc>
        <w:tc>
          <w:tcPr>
            <w:tcW w:w="441" w:type="pct"/>
            <w:tcBorders>
              <w:top w:val="single" w:sz="8" w:space="0" w:color="3616F6"/>
              <w:left w:val="nil"/>
              <w:bottom w:val="single" w:sz="8" w:space="0" w:color="3616F6"/>
              <w:right w:val="nil"/>
            </w:tcBorders>
            <w:shd w:val="clear" w:color="000000" w:fill="75F6F9"/>
            <w:vAlign w:val="center"/>
            <w:hideMark/>
          </w:tcPr>
          <w:p w14:paraId="7E8B5A63"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40.264</w:t>
            </w:r>
          </w:p>
        </w:tc>
        <w:tc>
          <w:tcPr>
            <w:tcW w:w="441" w:type="pct"/>
            <w:tcBorders>
              <w:top w:val="single" w:sz="8" w:space="0" w:color="3616F6"/>
              <w:left w:val="single" w:sz="8" w:space="0" w:color="0000FF"/>
              <w:bottom w:val="single" w:sz="8" w:space="0" w:color="3616F6"/>
              <w:right w:val="nil"/>
            </w:tcBorders>
            <w:shd w:val="clear" w:color="000000" w:fill="75F6F9"/>
            <w:vAlign w:val="center"/>
            <w:hideMark/>
          </w:tcPr>
          <w:p w14:paraId="43177BA7"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57.165</w:t>
            </w:r>
          </w:p>
        </w:tc>
        <w:tc>
          <w:tcPr>
            <w:tcW w:w="70" w:type="pct"/>
            <w:tcBorders>
              <w:top w:val="nil"/>
              <w:left w:val="nil"/>
              <w:bottom w:val="nil"/>
              <w:right w:val="nil"/>
            </w:tcBorders>
            <w:shd w:val="clear" w:color="auto" w:fill="auto"/>
            <w:vAlign w:val="center"/>
            <w:hideMark/>
          </w:tcPr>
          <w:p w14:paraId="76EFA0E3"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p>
        </w:tc>
        <w:tc>
          <w:tcPr>
            <w:tcW w:w="386" w:type="pct"/>
            <w:tcBorders>
              <w:top w:val="single" w:sz="8" w:space="0" w:color="3616F6"/>
              <w:left w:val="single" w:sz="8" w:space="0" w:color="0000FF"/>
              <w:bottom w:val="single" w:sz="8" w:space="0" w:color="3616F6"/>
              <w:right w:val="single" w:sz="8" w:space="0" w:color="0000FF"/>
            </w:tcBorders>
            <w:shd w:val="clear" w:color="000000" w:fill="75F6F9"/>
            <w:vAlign w:val="center"/>
            <w:hideMark/>
          </w:tcPr>
          <w:p w14:paraId="61FC21E5"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28.101</w:t>
            </w:r>
          </w:p>
        </w:tc>
        <w:tc>
          <w:tcPr>
            <w:tcW w:w="386" w:type="pct"/>
            <w:tcBorders>
              <w:top w:val="single" w:sz="8" w:space="0" w:color="3616F6"/>
              <w:left w:val="nil"/>
              <w:bottom w:val="single" w:sz="8" w:space="0" w:color="3616F6"/>
              <w:right w:val="nil"/>
            </w:tcBorders>
            <w:shd w:val="clear" w:color="auto" w:fill="auto"/>
            <w:vAlign w:val="center"/>
            <w:hideMark/>
          </w:tcPr>
          <w:p w14:paraId="20AD2ABB" w14:textId="77777777" w:rsidR="003712EB" w:rsidRPr="003712EB" w:rsidRDefault="003712EB" w:rsidP="003712EB">
            <w:pPr>
              <w:spacing w:after="0" w:line="240" w:lineRule="auto"/>
              <w:jc w:val="right"/>
              <w:rPr>
                <w:rFonts w:ascii="Arial" w:eastAsia="Times New Roman" w:hAnsi="Arial" w:cs="Arial"/>
                <w:b/>
                <w:bCs/>
                <w:color w:val="000000"/>
                <w:kern w:val="0"/>
                <w:sz w:val="14"/>
                <w:szCs w:val="14"/>
                <w:lang w:eastAsia="pt-BR"/>
                <w14:ligatures w14:val="none"/>
              </w:rPr>
            </w:pPr>
            <w:r w:rsidRPr="003712EB">
              <w:rPr>
                <w:rFonts w:ascii="Arial" w:eastAsia="Times New Roman" w:hAnsi="Arial" w:cs="Arial"/>
                <w:b/>
                <w:bCs/>
                <w:color w:val="000000"/>
                <w:kern w:val="0"/>
                <w:sz w:val="14"/>
                <w:szCs w:val="14"/>
                <w:lang w:eastAsia="pt-BR"/>
                <w14:ligatures w14:val="none"/>
              </w:rPr>
              <w:t>79.772</w:t>
            </w:r>
          </w:p>
        </w:tc>
      </w:tr>
    </w:tbl>
    <w:p w14:paraId="65E1D112" w14:textId="77777777" w:rsidR="003712EB" w:rsidRPr="003712EB" w:rsidRDefault="003712EB" w:rsidP="003712EB">
      <w:pPr>
        <w:keepLines/>
        <w:tabs>
          <w:tab w:val="left" w:pos="851"/>
        </w:tabs>
        <w:spacing w:after="0" w:line="240" w:lineRule="auto"/>
        <w:rPr>
          <w:rFonts w:ascii="Arial" w:eastAsia="Times New Roman" w:hAnsi="Arial" w:cs="Arial"/>
          <w:b/>
          <w:kern w:val="0"/>
          <w:sz w:val="16"/>
          <w:szCs w:val="16"/>
          <w:lang w:eastAsia="pt-BR"/>
          <w14:ligatures w14:val="none"/>
        </w:rPr>
      </w:pPr>
    </w:p>
    <w:p w14:paraId="231E84C5" w14:textId="77777777" w:rsidR="003712EB" w:rsidRPr="003712EB" w:rsidRDefault="003712EB" w:rsidP="003712EB">
      <w:pPr>
        <w:keepLines/>
        <w:tabs>
          <w:tab w:val="left" w:pos="851"/>
        </w:tabs>
        <w:spacing w:after="0" w:line="240" w:lineRule="auto"/>
        <w:jc w:val="center"/>
        <w:rPr>
          <w:rFonts w:ascii="Arial" w:eastAsia="Times New Roman" w:hAnsi="Arial" w:cs="Arial"/>
          <w:b/>
          <w:kern w:val="0"/>
          <w:sz w:val="16"/>
          <w:szCs w:val="16"/>
          <w:lang w:eastAsia="pt-BR"/>
          <w14:ligatures w14:val="none"/>
        </w:rPr>
      </w:pPr>
      <w:r w:rsidRPr="003712EB">
        <w:rPr>
          <w:rFonts w:ascii="Arial" w:eastAsia="Times New Roman" w:hAnsi="Arial" w:cs="Arial"/>
          <w:b/>
          <w:kern w:val="0"/>
          <w:sz w:val="16"/>
          <w:szCs w:val="16"/>
          <w:lang w:eastAsia="pt-BR"/>
          <w14:ligatures w14:val="none"/>
        </w:rPr>
        <w:t>FREDERICO DE SIQUEIRA FILHO</w:t>
      </w:r>
    </w:p>
    <w:p w14:paraId="568C566A" w14:textId="1D29B2E1" w:rsidR="003712EB" w:rsidRPr="003712EB" w:rsidRDefault="003712EB" w:rsidP="003712EB">
      <w:pPr>
        <w:keepLines/>
        <w:tabs>
          <w:tab w:val="left" w:pos="851"/>
        </w:tabs>
        <w:spacing w:after="0" w:line="240" w:lineRule="auto"/>
        <w:jc w:val="center"/>
        <w:rPr>
          <w:rFonts w:ascii="Arial" w:eastAsia="Times New Roman" w:hAnsi="Arial" w:cs="Arial"/>
          <w:bCs/>
          <w:kern w:val="0"/>
          <w:sz w:val="16"/>
          <w:szCs w:val="16"/>
          <w:lang w:eastAsia="pt-BR"/>
          <w14:ligatures w14:val="none"/>
        </w:rPr>
      </w:pPr>
      <w:r w:rsidRPr="003712EB">
        <w:rPr>
          <w:rFonts w:ascii="Arial" w:eastAsia="Times New Roman" w:hAnsi="Arial" w:cs="Arial"/>
          <w:bCs/>
          <w:kern w:val="0"/>
          <w:sz w:val="16"/>
          <w:szCs w:val="16"/>
          <w:lang w:eastAsia="pt-BR"/>
          <w14:ligatures w14:val="none"/>
        </w:rPr>
        <w:t>Presidente</w:t>
      </w:r>
    </w:p>
    <w:p w14:paraId="60DC0150" w14:textId="77777777" w:rsidR="003712EB" w:rsidRPr="003712EB" w:rsidRDefault="003712EB" w:rsidP="003712EB">
      <w:pPr>
        <w:keepLines/>
        <w:tabs>
          <w:tab w:val="left" w:pos="851"/>
        </w:tabs>
        <w:spacing w:after="0" w:line="240" w:lineRule="auto"/>
        <w:jc w:val="both"/>
        <w:rPr>
          <w:rFonts w:ascii="Arial" w:eastAsia="Times New Roman" w:hAnsi="Arial" w:cs="Arial"/>
          <w:kern w:val="0"/>
          <w:sz w:val="16"/>
          <w:szCs w:val="16"/>
          <w:lang w:eastAsia="pt-BR"/>
          <w14:ligatures w14:val="none"/>
        </w:rPr>
      </w:pPr>
    </w:p>
    <w:tbl>
      <w:tblPr>
        <w:tblStyle w:val="Tabelacomgrade3"/>
        <w:tblW w:w="10916"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954"/>
      </w:tblGrid>
      <w:tr w:rsidR="003712EB" w:rsidRPr="003712EB" w14:paraId="4C22CA58" w14:textId="77777777" w:rsidTr="00446A14">
        <w:tc>
          <w:tcPr>
            <w:tcW w:w="4962" w:type="dxa"/>
          </w:tcPr>
          <w:p w14:paraId="732B4DF9" w14:textId="77777777" w:rsidR="003712EB" w:rsidRPr="003712EB" w:rsidRDefault="003712EB" w:rsidP="003712EB">
            <w:pPr>
              <w:keepLines/>
              <w:tabs>
                <w:tab w:val="left" w:pos="851"/>
              </w:tabs>
              <w:jc w:val="center"/>
              <w:rPr>
                <w:rFonts w:ascii="Arial" w:hAnsi="Arial" w:cs="Arial"/>
                <w:b/>
                <w:sz w:val="16"/>
                <w:szCs w:val="16"/>
              </w:rPr>
            </w:pPr>
            <w:r w:rsidRPr="003712EB">
              <w:rPr>
                <w:rFonts w:ascii="Arial" w:hAnsi="Arial" w:cs="Arial"/>
                <w:b/>
                <w:sz w:val="16"/>
                <w:szCs w:val="16"/>
              </w:rPr>
              <w:t>NAURO LUIZ SCHEUFLER</w:t>
            </w:r>
          </w:p>
        </w:tc>
        <w:tc>
          <w:tcPr>
            <w:tcW w:w="5954" w:type="dxa"/>
          </w:tcPr>
          <w:p w14:paraId="5F5B4995" w14:textId="77777777" w:rsidR="003712EB" w:rsidRPr="003712EB" w:rsidRDefault="003712EB" w:rsidP="003712EB">
            <w:pPr>
              <w:keepLines/>
              <w:tabs>
                <w:tab w:val="left" w:pos="851"/>
              </w:tabs>
              <w:jc w:val="center"/>
              <w:rPr>
                <w:rFonts w:ascii="Arial" w:hAnsi="Arial" w:cs="Arial"/>
                <w:b/>
                <w:sz w:val="16"/>
                <w:szCs w:val="16"/>
              </w:rPr>
            </w:pPr>
            <w:r w:rsidRPr="003712EB">
              <w:rPr>
                <w:rFonts w:ascii="Arial" w:hAnsi="Arial" w:cs="Arial"/>
                <w:b/>
                <w:sz w:val="16"/>
                <w:szCs w:val="16"/>
              </w:rPr>
              <w:t xml:space="preserve">           TATIANA RÚBIA MELO MIRANDA</w:t>
            </w:r>
          </w:p>
        </w:tc>
      </w:tr>
      <w:tr w:rsidR="003712EB" w:rsidRPr="003712EB" w14:paraId="161639C9" w14:textId="77777777" w:rsidTr="00446A14">
        <w:tc>
          <w:tcPr>
            <w:tcW w:w="4962" w:type="dxa"/>
          </w:tcPr>
          <w:p w14:paraId="6DB97D6A" w14:textId="77777777" w:rsidR="003712EB" w:rsidRPr="003712EB" w:rsidRDefault="003712EB" w:rsidP="003712EB">
            <w:pPr>
              <w:keepLines/>
              <w:tabs>
                <w:tab w:val="left" w:pos="851"/>
              </w:tabs>
              <w:jc w:val="center"/>
              <w:rPr>
                <w:rFonts w:ascii="Arial" w:hAnsi="Arial" w:cs="Arial"/>
                <w:sz w:val="16"/>
                <w:szCs w:val="16"/>
              </w:rPr>
            </w:pPr>
            <w:r w:rsidRPr="003712EB">
              <w:rPr>
                <w:rFonts w:ascii="Arial" w:hAnsi="Arial" w:cs="Arial"/>
                <w:sz w:val="16"/>
                <w:szCs w:val="16"/>
              </w:rPr>
              <w:t xml:space="preserve">Diretoria Técnico-Operacional </w:t>
            </w:r>
          </w:p>
        </w:tc>
        <w:tc>
          <w:tcPr>
            <w:tcW w:w="5954" w:type="dxa"/>
          </w:tcPr>
          <w:p w14:paraId="000D377C" w14:textId="77777777" w:rsidR="003712EB" w:rsidRPr="003712EB" w:rsidRDefault="003712EB" w:rsidP="003712EB">
            <w:pPr>
              <w:keepLines/>
              <w:tabs>
                <w:tab w:val="left" w:pos="851"/>
              </w:tabs>
              <w:jc w:val="center"/>
              <w:rPr>
                <w:rFonts w:ascii="Arial" w:hAnsi="Arial" w:cs="Arial"/>
                <w:sz w:val="16"/>
                <w:szCs w:val="16"/>
              </w:rPr>
            </w:pPr>
            <w:r w:rsidRPr="003712EB">
              <w:rPr>
                <w:rFonts w:ascii="Arial" w:hAnsi="Arial" w:cs="Arial"/>
                <w:sz w:val="16"/>
                <w:szCs w:val="16"/>
              </w:rPr>
              <w:t xml:space="preserve">          Diretoria Administrativo-Financeira e de Relações com Investidores</w:t>
            </w:r>
          </w:p>
        </w:tc>
      </w:tr>
    </w:tbl>
    <w:p w14:paraId="1C61C6F5" w14:textId="77777777" w:rsidR="003712EB" w:rsidRPr="003712EB" w:rsidRDefault="003712EB" w:rsidP="003712EB">
      <w:pPr>
        <w:keepLines/>
        <w:tabs>
          <w:tab w:val="left" w:pos="851"/>
        </w:tabs>
        <w:spacing w:after="0" w:line="240" w:lineRule="auto"/>
        <w:jc w:val="both"/>
        <w:rPr>
          <w:rFonts w:ascii="Arial" w:eastAsia="Times New Roman" w:hAnsi="Arial" w:cs="Arial"/>
          <w:kern w:val="0"/>
          <w:sz w:val="16"/>
          <w:szCs w:val="16"/>
          <w:lang w:eastAsia="pt-BR"/>
          <w14:ligatures w14:val="none"/>
        </w:rPr>
      </w:pPr>
    </w:p>
    <w:p w14:paraId="6E1A636B" w14:textId="77777777" w:rsidR="003712EB" w:rsidRPr="003712EB" w:rsidRDefault="003712EB" w:rsidP="003712EB">
      <w:pPr>
        <w:keepLines/>
        <w:tabs>
          <w:tab w:val="left" w:pos="851"/>
        </w:tabs>
        <w:spacing w:after="0" w:line="240" w:lineRule="auto"/>
        <w:jc w:val="both"/>
        <w:rPr>
          <w:rFonts w:ascii="Arial" w:eastAsia="Times New Roman" w:hAnsi="Arial" w:cs="Arial"/>
          <w:kern w:val="0"/>
          <w:sz w:val="16"/>
          <w:szCs w:val="16"/>
          <w:lang w:eastAsia="pt-BR"/>
          <w14:ligatures w14:val="none"/>
        </w:rPr>
      </w:pPr>
    </w:p>
    <w:tbl>
      <w:tblPr>
        <w:tblStyle w:val="Tabelacomgrade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4744"/>
      </w:tblGrid>
      <w:tr w:rsidR="003712EB" w:rsidRPr="003712EB" w14:paraId="3A0ADBFD" w14:textId="77777777" w:rsidTr="00446A14">
        <w:tc>
          <w:tcPr>
            <w:tcW w:w="4743" w:type="dxa"/>
          </w:tcPr>
          <w:p w14:paraId="0564E57A" w14:textId="77777777" w:rsidR="003712EB" w:rsidRPr="003712EB" w:rsidRDefault="003712EB" w:rsidP="003712EB">
            <w:pPr>
              <w:keepLines/>
              <w:tabs>
                <w:tab w:val="left" w:pos="851"/>
              </w:tabs>
              <w:jc w:val="center"/>
              <w:rPr>
                <w:rFonts w:ascii="Arial" w:hAnsi="Arial" w:cs="Arial"/>
                <w:b/>
                <w:sz w:val="16"/>
                <w:szCs w:val="16"/>
              </w:rPr>
            </w:pPr>
            <w:r w:rsidRPr="003712EB">
              <w:rPr>
                <w:rFonts w:ascii="Arial" w:hAnsi="Arial" w:cs="Arial"/>
                <w:b/>
                <w:sz w:val="16"/>
                <w:szCs w:val="16"/>
              </w:rPr>
              <w:t>LEVI PEREIRA FIGUEIREDO NETO</w:t>
            </w:r>
          </w:p>
          <w:p w14:paraId="0AC4387D" w14:textId="77777777" w:rsidR="003712EB" w:rsidRPr="003712EB" w:rsidRDefault="003712EB" w:rsidP="003712EB">
            <w:pPr>
              <w:keepLines/>
              <w:tabs>
                <w:tab w:val="left" w:pos="851"/>
              </w:tabs>
              <w:jc w:val="center"/>
              <w:rPr>
                <w:rFonts w:ascii="Arial" w:hAnsi="Arial" w:cs="Arial"/>
                <w:sz w:val="16"/>
                <w:szCs w:val="16"/>
              </w:rPr>
            </w:pPr>
            <w:r w:rsidRPr="003712EB">
              <w:rPr>
                <w:rFonts w:ascii="Arial" w:hAnsi="Arial" w:cs="Arial"/>
                <w:sz w:val="16"/>
                <w:szCs w:val="16"/>
              </w:rPr>
              <w:t xml:space="preserve">Diretoria Comercial                                         </w:t>
            </w:r>
          </w:p>
        </w:tc>
        <w:tc>
          <w:tcPr>
            <w:tcW w:w="4744" w:type="dxa"/>
          </w:tcPr>
          <w:p w14:paraId="24B7CB9C" w14:textId="77777777" w:rsidR="003712EB" w:rsidRPr="003712EB" w:rsidRDefault="003712EB" w:rsidP="003712EB">
            <w:pPr>
              <w:keepLines/>
              <w:tabs>
                <w:tab w:val="left" w:pos="851"/>
              </w:tabs>
              <w:jc w:val="center"/>
              <w:rPr>
                <w:rFonts w:ascii="Arial" w:hAnsi="Arial" w:cs="Arial"/>
                <w:b/>
                <w:sz w:val="16"/>
                <w:szCs w:val="16"/>
              </w:rPr>
            </w:pPr>
            <w:r w:rsidRPr="003712EB">
              <w:rPr>
                <w:rFonts w:ascii="Arial" w:hAnsi="Arial" w:cs="Arial"/>
                <w:b/>
                <w:sz w:val="16"/>
                <w:szCs w:val="16"/>
              </w:rPr>
              <w:t>WALLYSON LEMOS DOS REIS OLIVEIRA</w:t>
            </w:r>
          </w:p>
        </w:tc>
      </w:tr>
      <w:tr w:rsidR="003712EB" w:rsidRPr="003712EB" w14:paraId="42D80345" w14:textId="77777777" w:rsidTr="00446A14">
        <w:tc>
          <w:tcPr>
            <w:tcW w:w="4743" w:type="dxa"/>
          </w:tcPr>
          <w:p w14:paraId="4DA65B37" w14:textId="77777777" w:rsidR="003712EB" w:rsidRPr="003712EB" w:rsidRDefault="003712EB" w:rsidP="003712EB">
            <w:pPr>
              <w:keepLines/>
              <w:tabs>
                <w:tab w:val="left" w:pos="851"/>
              </w:tabs>
              <w:jc w:val="center"/>
              <w:rPr>
                <w:rFonts w:ascii="Arial" w:hAnsi="Arial" w:cs="Arial"/>
                <w:sz w:val="16"/>
                <w:szCs w:val="16"/>
              </w:rPr>
            </w:pPr>
          </w:p>
        </w:tc>
        <w:tc>
          <w:tcPr>
            <w:tcW w:w="4744" w:type="dxa"/>
          </w:tcPr>
          <w:p w14:paraId="020632D0" w14:textId="77777777" w:rsidR="003712EB" w:rsidRPr="003712EB" w:rsidRDefault="003712EB" w:rsidP="003712EB">
            <w:pPr>
              <w:keepLines/>
              <w:tabs>
                <w:tab w:val="left" w:pos="851"/>
              </w:tabs>
              <w:jc w:val="center"/>
              <w:rPr>
                <w:rFonts w:ascii="Arial" w:hAnsi="Arial" w:cs="Arial"/>
                <w:sz w:val="16"/>
                <w:szCs w:val="16"/>
              </w:rPr>
            </w:pPr>
            <w:r w:rsidRPr="003712EB">
              <w:rPr>
                <w:rFonts w:ascii="Arial" w:hAnsi="Arial" w:cs="Arial"/>
                <w:sz w:val="16"/>
                <w:szCs w:val="16"/>
              </w:rPr>
              <w:t xml:space="preserve">Diretoria de Governança </w:t>
            </w:r>
          </w:p>
        </w:tc>
      </w:tr>
    </w:tbl>
    <w:p w14:paraId="5C31918E" w14:textId="77777777" w:rsidR="003712EB" w:rsidRPr="003712EB" w:rsidRDefault="003712EB" w:rsidP="003712EB">
      <w:pPr>
        <w:keepLines/>
        <w:tabs>
          <w:tab w:val="left" w:pos="851"/>
        </w:tabs>
        <w:spacing w:after="0" w:line="240" w:lineRule="auto"/>
        <w:jc w:val="both"/>
        <w:rPr>
          <w:rFonts w:ascii="Arial" w:eastAsia="Times New Roman" w:hAnsi="Arial" w:cs="Arial"/>
          <w:kern w:val="0"/>
          <w:sz w:val="16"/>
          <w:szCs w:val="16"/>
          <w:lang w:eastAsia="pt-BR"/>
          <w14:ligatures w14:val="none"/>
        </w:rPr>
      </w:pPr>
    </w:p>
    <w:p w14:paraId="74A9CAC0" w14:textId="77777777" w:rsidR="003712EB" w:rsidRPr="003712EB" w:rsidRDefault="003712EB" w:rsidP="003712EB">
      <w:pPr>
        <w:keepLines/>
        <w:tabs>
          <w:tab w:val="left" w:pos="851"/>
        </w:tabs>
        <w:spacing w:after="0" w:line="240" w:lineRule="auto"/>
        <w:jc w:val="center"/>
        <w:rPr>
          <w:rFonts w:ascii="Arial" w:eastAsia="Times New Roman" w:hAnsi="Arial" w:cs="Arial"/>
          <w:b/>
          <w:kern w:val="0"/>
          <w:sz w:val="16"/>
          <w:szCs w:val="16"/>
          <w:lang w:eastAsia="pt-BR"/>
          <w14:ligatures w14:val="none"/>
        </w:rPr>
      </w:pPr>
      <w:r w:rsidRPr="003712EB">
        <w:rPr>
          <w:rFonts w:ascii="Arial" w:eastAsia="Times New Roman" w:hAnsi="Arial" w:cs="Arial"/>
          <w:b/>
          <w:kern w:val="0"/>
          <w:sz w:val="16"/>
          <w:szCs w:val="16"/>
          <w:lang w:eastAsia="pt-BR"/>
          <w14:ligatures w14:val="none"/>
        </w:rPr>
        <w:t>ARTUR JOSÉ SIMÃO PEDREIRA</w:t>
      </w:r>
    </w:p>
    <w:p w14:paraId="6CBCE567" w14:textId="7D21D6C7" w:rsidR="00217E7F" w:rsidRDefault="003712EB" w:rsidP="009729C8">
      <w:pPr>
        <w:keepLines/>
        <w:tabs>
          <w:tab w:val="left" w:pos="851"/>
        </w:tabs>
        <w:spacing w:after="0" w:line="240" w:lineRule="auto"/>
        <w:jc w:val="center"/>
        <w:rPr>
          <w:rFonts w:ascii="Arial" w:eastAsia="Times New Roman" w:hAnsi="Arial" w:cs="Arial"/>
          <w:kern w:val="0"/>
          <w:sz w:val="16"/>
          <w:szCs w:val="16"/>
          <w:lang w:eastAsia="pt-BR"/>
          <w14:ligatures w14:val="none"/>
        </w:rPr>
      </w:pPr>
      <w:r w:rsidRPr="003712EB">
        <w:rPr>
          <w:rFonts w:ascii="Arial" w:eastAsia="Times New Roman" w:hAnsi="Arial" w:cs="Arial"/>
          <w:kern w:val="0"/>
          <w:sz w:val="16"/>
          <w:szCs w:val="16"/>
          <w:lang w:eastAsia="pt-BR"/>
          <w14:ligatures w14:val="none"/>
        </w:rPr>
        <w:t>Contador CRC/DF 008412/0-</w:t>
      </w:r>
    </w:p>
    <w:p w14:paraId="75DC210D" w14:textId="77777777" w:rsidR="009729C8" w:rsidRPr="00217E7F" w:rsidRDefault="009729C8" w:rsidP="003B7846">
      <w:pPr>
        <w:keepLines/>
        <w:tabs>
          <w:tab w:val="left" w:pos="851"/>
        </w:tabs>
        <w:spacing w:after="0" w:line="240" w:lineRule="auto"/>
        <w:rPr>
          <w:rFonts w:ascii="Arial" w:eastAsia="Times New Roman" w:hAnsi="Arial" w:cs="Arial"/>
          <w:kern w:val="0"/>
          <w:sz w:val="16"/>
          <w:szCs w:val="16"/>
          <w:lang w:eastAsia="pt-BR"/>
          <w14:ligatures w14:val="none"/>
        </w:rPr>
      </w:pPr>
    </w:p>
    <w:tbl>
      <w:tblPr>
        <w:tblStyle w:val="Tabelacomgrade"/>
        <w:tblW w:w="0" w:type="auto"/>
        <w:tblInd w:w="2122" w:type="dxa"/>
        <w:tblLook w:val="04A0" w:firstRow="1" w:lastRow="0" w:firstColumn="1" w:lastColumn="0" w:noHBand="0" w:noVBand="1"/>
      </w:tblPr>
      <w:tblGrid>
        <w:gridCol w:w="5528"/>
      </w:tblGrid>
      <w:tr w:rsidR="009729C8" w14:paraId="16068E59" w14:textId="77777777" w:rsidTr="009729C8">
        <w:trPr>
          <w:trHeight w:val="795"/>
        </w:trPr>
        <w:tc>
          <w:tcPr>
            <w:tcW w:w="5528" w:type="dxa"/>
            <w:shd w:val="clear" w:color="auto" w:fill="215E99" w:themeFill="text2" w:themeFillTint="BF"/>
            <w:vAlign w:val="bottom"/>
          </w:tcPr>
          <w:p w14:paraId="42CDBDEA" w14:textId="77777777" w:rsidR="009729C8" w:rsidRDefault="009729C8" w:rsidP="009729C8">
            <w:pPr>
              <w:jc w:val="center"/>
              <w:rPr>
                <w:rFonts w:ascii="Calibri" w:eastAsia="Times New Roman" w:hAnsi="Calibri" w:cs="Calibri"/>
                <w:b/>
                <w:bCs/>
                <w:color w:val="FFFFFF" w:themeColor="background1"/>
                <w:kern w:val="0"/>
                <w:sz w:val="28"/>
                <w:szCs w:val="28"/>
                <w14:ligatures w14:val="none"/>
              </w:rPr>
            </w:pPr>
          </w:p>
          <w:p w14:paraId="0D4F80F6" w14:textId="5F18504F" w:rsidR="009729C8" w:rsidRPr="009729C8" w:rsidRDefault="009729C8" w:rsidP="009729C8">
            <w:pPr>
              <w:jc w:val="center"/>
              <w:rPr>
                <w:rFonts w:ascii="Calibri" w:eastAsia="Times New Roman" w:hAnsi="Calibri" w:cs="Calibri"/>
                <w:b/>
                <w:bCs/>
                <w:color w:val="FFFFFF" w:themeColor="background1"/>
                <w:kern w:val="0"/>
                <w:sz w:val="28"/>
                <w:szCs w:val="28"/>
                <w14:ligatures w14:val="none"/>
              </w:rPr>
            </w:pPr>
            <w:r w:rsidRPr="009729C8">
              <w:rPr>
                <w:rFonts w:ascii="Calibri" w:eastAsia="Times New Roman" w:hAnsi="Calibri" w:cs="Calibri"/>
                <w:b/>
                <w:bCs/>
                <w:color w:val="FFFFFF" w:themeColor="background1"/>
                <w:kern w:val="0"/>
                <w:sz w:val="28"/>
                <w:szCs w:val="28"/>
                <w14:ligatures w14:val="none"/>
              </w:rPr>
              <w:t>Parecer do Conselho Fiscal</w:t>
            </w:r>
          </w:p>
          <w:p w14:paraId="66BDAF9A" w14:textId="7F5CE7DE" w:rsidR="009729C8" w:rsidRPr="009729C8" w:rsidRDefault="009729C8" w:rsidP="009729C8">
            <w:pPr>
              <w:jc w:val="center"/>
              <w:rPr>
                <w:rFonts w:ascii="Calibri" w:eastAsia="Times New Roman" w:hAnsi="Calibri" w:cs="Calibri"/>
                <w:b/>
                <w:bCs/>
                <w:color w:val="FFFFFF" w:themeColor="background1"/>
                <w:kern w:val="0"/>
                <w14:ligatures w14:val="none"/>
              </w:rPr>
            </w:pPr>
          </w:p>
        </w:tc>
      </w:tr>
    </w:tbl>
    <w:p w14:paraId="29B793B7" w14:textId="74953C39" w:rsidR="009729C8" w:rsidRPr="009729C8" w:rsidRDefault="009729C8" w:rsidP="009729C8">
      <w:pPr>
        <w:spacing w:after="0" w:line="240" w:lineRule="auto"/>
        <w:jc w:val="both"/>
        <w:rPr>
          <w:rFonts w:ascii="Calibri" w:eastAsia="Times New Roman" w:hAnsi="Calibri" w:cs="Calibri"/>
          <w:b/>
          <w:bCs/>
          <w:color w:val="002060"/>
          <w:kern w:val="0"/>
          <w14:ligatures w14:val="none"/>
        </w:rPr>
      </w:pPr>
      <w:r w:rsidRPr="009729C8">
        <w:rPr>
          <w:rFonts w:ascii="Calibri" w:eastAsia="Times New Roman" w:hAnsi="Calibri" w:cs="Calibri"/>
          <w:b/>
          <w:bCs/>
          <w:color w:val="002060"/>
          <w:kern w:val="0"/>
          <w14:ligatures w14:val="none"/>
        </w:rPr>
        <w:t>Relatório da Administração e Demonstrações Financeiras do Exercício Social de 2023</w:t>
      </w:r>
    </w:p>
    <w:p w14:paraId="02AA9040" w14:textId="77777777" w:rsidR="009729C8" w:rsidRPr="009729C8" w:rsidRDefault="009729C8" w:rsidP="009729C8">
      <w:pPr>
        <w:spacing w:after="0" w:line="240" w:lineRule="auto"/>
        <w:jc w:val="both"/>
        <w:rPr>
          <w:rFonts w:ascii="Calibri" w:eastAsia="Times New Roman" w:hAnsi="Calibri" w:cs="Calibri"/>
          <w:iCs/>
          <w:color w:val="002060"/>
          <w:kern w:val="0"/>
          <w14:ligatures w14:val="none"/>
        </w:rPr>
      </w:pPr>
      <w:r w:rsidRPr="009729C8">
        <w:rPr>
          <w:rFonts w:ascii="Calibri" w:eastAsia="Times New Roman" w:hAnsi="Calibri" w:cs="Calibri"/>
          <w:color w:val="002060"/>
          <w:kern w:val="0"/>
          <w14:ligatures w14:val="none"/>
        </w:rPr>
        <w:t>O Conselho Fiscal da Telecomunicações Brasileiras S.A. – Telebras, em cumprimento ao disposto no art. 163, incisos II e VII, da Lei nº 6.404, de 1976, e no art. 73, incisos II, do Estatuto Social da Companhia, examinou o Relatório da Administração e as Demonstrações Financeiras do exercício social de 2023</w:t>
      </w:r>
      <w:r w:rsidRPr="009729C8">
        <w:rPr>
          <w:rFonts w:ascii="Calibri" w:eastAsia="Times New Roman" w:hAnsi="Calibri" w:cs="Calibri"/>
          <w:bCs/>
          <w:iCs/>
          <w:color w:val="002060"/>
          <w:kern w:val="0"/>
          <w14:ligatures w14:val="none"/>
        </w:rPr>
        <w:t>, compostas pelos documentos: Relatório dos auditores independentes sobre as demonstrações contábeis individuais e consolidadas; o Parecer do Comitê de Auditoria Estatutário da Telebras (COAUD); Balanços patrimoniais; Demonstrações dos resultados; Demonstrações dos resultados abrangentes; Demonstrações das mutações do patrimônio líquido; Demonstrações dos fluxos de caixa; Demonstrações do Valor Adicionado, e Notas Explicativas às Demonstrações Contábeis.</w:t>
      </w:r>
      <w:r w:rsidRPr="009729C8">
        <w:rPr>
          <w:rFonts w:ascii="Calibri" w:eastAsia="Times New Roman" w:hAnsi="Calibri" w:cs="Calibri"/>
          <w:b/>
          <w:bCs/>
          <w:iCs/>
          <w:color w:val="002060"/>
          <w:kern w:val="0"/>
          <w14:ligatures w14:val="none"/>
        </w:rPr>
        <w:t xml:space="preserve"> </w:t>
      </w:r>
      <w:r w:rsidRPr="009729C8">
        <w:rPr>
          <w:rFonts w:ascii="Calibri" w:eastAsia="Times New Roman" w:hAnsi="Calibri" w:cs="Calibri"/>
          <w:iCs/>
          <w:color w:val="002060"/>
          <w:kern w:val="0"/>
          <w14:ligatures w14:val="none"/>
        </w:rPr>
        <w:t xml:space="preserve">Após análise e esclarecimentos apresentados pela Diretoria da Telebras e pelo representante da Auditoria Independente, e considerando, que: </w:t>
      </w:r>
      <w:r w:rsidRPr="009729C8">
        <w:rPr>
          <w:rFonts w:ascii="Calibri" w:eastAsia="Times New Roman" w:hAnsi="Calibri" w:cs="Calibri"/>
          <w:i/>
          <w:iCs/>
          <w:color w:val="002060"/>
          <w:kern w:val="0"/>
          <w14:ligatures w14:val="none"/>
        </w:rPr>
        <w:t>a)</w:t>
      </w:r>
      <w:r w:rsidRPr="009729C8">
        <w:rPr>
          <w:rFonts w:ascii="Calibri" w:eastAsia="Times New Roman" w:hAnsi="Calibri" w:cs="Calibri"/>
          <w:iCs/>
          <w:color w:val="002060"/>
          <w:kern w:val="0"/>
          <w14:ligatures w14:val="none"/>
        </w:rPr>
        <w:t xml:space="preserve"> O relatório dos auditores independentes </w:t>
      </w:r>
      <w:r w:rsidRPr="009729C8">
        <w:rPr>
          <w:rFonts w:ascii="Calibri" w:eastAsia="Times New Roman" w:hAnsi="Calibri" w:cs="Calibri"/>
          <w:b/>
          <w:iCs/>
          <w:color w:val="002060"/>
          <w:kern w:val="0"/>
          <w14:ligatures w14:val="none"/>
        </w:rPr>
        <w:t xml:space="preserve">- </w:t>
      </w:r>
      <w:r w:rsidRPr="009729C8">
        <w:rPr>
          <w:rFonts w:ascii="Calibri" w:eastAsia="Times New Roman" w:hAnsi="Calibri" w:cs="Calibri"/>
          <w:bCs/>
          <w:iCs/>
          <w:color w:val="002060"/>
          <w:kern w:val="0"/>
          <w14:ligatures w14:val="none"/>
        </w:rPr>
        <w:t>CONSULT</w:t>
      </w:r>
      <w:r w:rsidRPr="009729C8">
        <w:rPr>
          <w:rFonts w:ascii="Calibri" w:eastAsia="Times New Roman" w:hAnsi="Calibri" w:cs="Calibri"/>
          <w:bCs/>
          <w:color w:val="002060"/>
          <w:kern w:val="0"/>
          <w14:ligatures w14:val="none"/>
        </w:rPr>
        <w:t xml:space="preserve"> - </w:t>
      </w:r>
      <w:r w:rsidRPr="009729C8">
        <w:rPr>
          <w:rFonts w:ascii="Calibri" w:eastAsia="Times New Roman" w:hAnsi="Calibri" w:cs="Calibri"/>
          <w:bCs/>
          <w:iCs/>
          <w:color w:val="002060"/>
          <w:kern w:val="0"/>
          <w14:ligatures w14:val="none"/>
        </w:rPr>
        <w:t xml:space="preserve">Auditores Independentes </w:t>
      </w:r>
      <w:r w:rsidRPr="009729C8">
        <w:rPr>
          <w:rFonts w:ascii="Calibri" w:eastAsia="Times New Roman" w:hAnsi="Calibri" w:cs="Calibri"/>
          <w:iCs/>
          <w:color w:val="002060"/>
          <w:kern w:val="0"/>
          <w14:ligatures w14:val="none"/>
        </w:rPr>
        <w:t>opinando, sem ressalvas</w:t>
      </w:r>
      <w:r w:rsidRPr="009729C8">
        <w:rPr>
          <w:rFonts w:ascii="Calibri" w:eastAsia="Times New Roman" w:hAnsi="Calibri" w:cs="Calibri"/>
          <w:color w:val="002060"/>
          <w:kern w:val="0"/>
          <w14:ligatures w14:val="none"/>
        </w:rPr>
        <w:t xml:space="preserve">, </w:t>
      </w:r>
      <w:r w:rsidRPr="009729C8">
        <w:rPr>
          <w:rFonts w:ascii="Calibri" w:eastAsia="Times New Roman" w:hAnsi="Calibri" w:cs="Calibri"/>
          <w:iCs/>
          <w:color w:val="002060"/>
          <w:kern w:val="0"/>
          <w14:ligatures w14:val="none"/>
        </w:rPr>
        <w:t xml:space="preserve">que as referidas Demonstrações Financeiras refletem adequadamente, em todos os aspectos relevantes, as posições patrimonial e financeira da Companhia em 31 e dezembro de 2023; </w:t>
      </w:r>
      <w:r w:rsidRPr="009729C8">
        <w:rPr>
          <w:rFonts w:ascii="Calibri" w:eastAsia="Times New Roman" w:hAnsi="Calibri" w:cs="Calibri"/>
          <w:i/>
          <w:iCs/>
          <w:color w:val="002060"/>
          <w:kern w:val="0"/>
          <w14:ligatures w14:val="none"/>
        </w:rPr>
        <w:t>b)</w:t>
      </w:r>
      <w:r w:rsidRPr="009729C8">
        <w:rPr>
          <w:rFonts w:ascii="Calibri" w:eastAsia="Times New Roman" w:hAnsi="Calibri" w:cs="Calibri"/>
          <w:iCs/>
          <w:color w:val="002060"/>
          <w:kern w:val="0"/>
          <w14:ligatures w14:val="none"/>
        </w:rPr>
        <w:t xml:space="preserve"> O </w:t>
      </w:r>
      <w:r w:rsidRPr="009729C8">
        <w:rPr>
          <w:rFonts w:ascii="Calibri" w:eastAsia="Times New Roman" w:hAnsi="Calibri" w:cs="Calibri"/>
          <w:bCs/>
          <w:iCs/>
          <w:color w:val="002060"/>
          <w:kern w:val="0"/>
          <w14:ligatures w14:val="none"/>
        </w:rPr>
        <w:t xml:space="preserve">Parecer do COAUD suportando o relatório da CONSULT – Auditores Independentes e observando a ausência de ocorrências que pudessem comprometer a qualidade e integridade das informações das Demonstrações Financeiras do Exercício Social de 2023; e </w:t>
      </w:r>
      <w:r w:rsidRPr="009729C8">
        <w:rPr>
          <w:rFonts w:ascii="Calibri" w:eastAsia="Times New Roman" w:hAnsi="Calibri" w:cs="Calibri"/>
          <w:bCs/>
          <w:i/>
          <w:iCs/>
          <w:color w:val="002060"/>
          <w:kern w:val="0"/>
          <w14:ligatures w14:val="none"/>
        </w:rPr>
        <w:t>c)</w:t>
      </w:r>
      <w:r w:rsidRPr="009729C8">
        <w:rPr>
          <w:rFonts w:ascii="Calibri" w:eastAsia="Times New Roman" w:hAnsi="Calibri" w:cs="Calibri"/>
          <w:bCs/>
          <w:iCs/>
          <w:color w:val="002060"/>
          <w:kern w:val="0"/>
          <w14:ligatures w14:val="none"/>
        </w:rPr>
        <w:t xml:space="preserve"> A Proposta para Destinação do Resultado do Exercício Social de 2023 atende as previsões legais e estatutárias. </w:t>
      </w:r>
      <w:r w:rsidRPr="009729C8">
        <w:rPr>
          <w:rFonts w:ascii="Calibri" w:eastAsia="Times New Roman" w:hAnsi="Calibri" w:cs="Calibri"/>
          <w:iCs/>
          <w:color w:val="002060"/>
          <w:kern w:val="0"/>
          <w14:ligatures w14:val="none"/>
        </w:rPr>
        <w:t>O Conselho Fiscal manifesta-se, por unanimidade, favorável a submissão à Assembleia Geral dos Acionistas do Relatório da Administração, das Demonstrações Financeiras do Exercício Social de 2023 e da Proposta de Destinação do Resultado. Brasília-DF, 15 de março de 2024.</w:t>
      </w:r>
    </w:p>
    <w:p w14:paraId="793DEE0D" w14:textId="77777777" w:rsidR="003B7846" w:rsidRDefault="003B7846" w:rsidP="003B7846">
      <w:pPr>
        <w:autoSpaceDE w:val="0"/>
        <w:autoSpaceDN w:val="0"/>
        <w:adjustRightInd w:val="0"/>
        <w:spacing w:after="0" w:line="240" w:lineRule="auto"/>
        <w:rPr>
          <w:rFonts w:ascii="Calibri" w:eastAsia="Times New Roman" w:hAnsi="Calibri" w:cs="Calibri"/>
          <w:b/>
          <w:color w:val="002060"/>
          <w:kern w:val="0"/>
          <w14:ligatures w14:val="none"/>
        </w:rPr>
        <w:sectPr w:rsidR="003B7846" w:rsidSect="00425DB8">
          <w:footerReference w:type="default" r:id="rId69"/>
          <w:type w:val="continuous"/>
          <w:pgSz w:w="11906" w:h="16838" w:code="9"/>
          <w:pgMar w:top="848" w:right="849" w:bottom="993" w:left="1276" w:header="850" w:footer="1134" w:gutter="0"/>
          <w:cols w:space="708"/>
          <w:docGrid w:linePitch="360"/>
        </w:sectPr>
      </w:pPr>
    </w:p>
    <w:p w14:paraId="0B216541" w14:textId="77777777" w:rsidR="003B7846" w:rsidRDefault="003B7846" w:rsidP="003B7846">
      <w:pPr>
        <w:autoSpaceDE w:val="0"/>
        <w:autoSpaceDN w:val="0"/>
        <w:adjustRightInd w:val="0"/>
        <w:spacing w:after="0" w:line="240" w:lineRule="auto"/>
        <w:rPr>
          <w:rFonts w:ascii="Calibri" w:eastAsia="Times New Roman" w:hAnsi="Calibri" w:cs="Calibri"/>
          <w:b/>
          <w:color w:val="002060"/>
          <w:kern w:val="0"/>
          <w:sz w:val="16"/>
          <w:szCs w:val="16"/>
          <w14:ligatures w14:val="none"/>
        </w:rPr>
      </w:pPr>
    </w:p>
    <w:p w14:paraId="78721EA2" w14:textId="7476C2F0" w:rsidR="003B7846" w:rsidRPr="003B7846" w:rsidRDefault="003B7846" w:rsidP="003B7846">
      <w:pPr>
        <w:autoSpaceDE w:val="0"/>
        <w:autoSpaceDN w:val="0"/>
        <w:adjustRightInd w:val="0"/>
        <w:spacing w:after="0" w:line="240" w:lineRule="auto"/>
        <w:rPr>
          <w:rFonts w:ascii="Calibri" w:eastAsia="Times New Roman" w:hAnsi="Calibri" w:cs="Calibri"/>
          <w:b/>
          <w:color w:val="002060"/>
          <w:kern w:val="0"/>
          <w:sz w:val="16"/>
          <w:szCs w:val="16"/>
          <w14:ligatures w14:val="none"/>
        </w:rPr>
      </w:pPr>
      <w:r w:rsidRPr="003B7846">
        <w:rPr>
          <w:rFonts w:ascii="Calibri" w:eastAsia="Times New Roman" w:hAnsi="Calibri" w:cs="Calibri"/>
          <w:b/>
          <w:color w:val="002060"/>
          <w:kern w:val="0"/>
          <w:sz w:val="16"/>
          <w:szCs w:val="16"/>
          <w14:ligatures w14:val="none"/>
        </w:rPr>
        <w:t xml:space="preserve">André Luiz Greve Pereira </w:t>
      </w:r>
    </w:p>
    <w:p w14:paraId="3508820A" w14:textId="77777777" w:rsidR="003B7846" w:rsidRPr="003B7846" w:rsidRDefault="003B7846" w:rsidP="003B7846">
      <w:pPr>
        <w:autoSpaceDE w:val="0"/>
        <w:autoSpaceDN w:val="0"/>
        <w:adjustRightInd w:val="0"/>
        <w:spacing w:after="0" w:line="240" w:lineRule="auto"/>
        <w:rPr>
          <w:rFonts w:ascii="Calibri" w:eastAsia="Times New Roman" w:hAnsi="Calibri" w:cs="Calibri"/>
          <w:color w:val="002060"/>
          <w:kern w:val="0"/>
          <w:sz w:val="16"/>
          <w:szCs w:val="16"/>
          <w14:ligatures w14:val="none"/>
        </w:rPr>
      </w:pPr>
      <w:r w:rsidRPr="003B7846">
        <w:rPr>
          <w:rFonts w:ascii="Calibri" w:eastAsia="Times New Roman" w:hAnsi="Calibri" w:cs="Calibri"/>
          <w:color w:val="002060"/>
          <w:kern w:val="0"/>
          <w:sz w:val="16"/>
          <w:szCs w:val="16"/>
          <w14:ligatures w14:val="none"/>
        </w:rPr>
        <w:t>Presidente Representante do Tesouro Nacional</w:t>
      </w:r>
    </w:p>
    <w:p w14:paraId="692F3B7D" w14:textId="227184CA" w:rsidR="003B7846" w:rsidRPr="003B7846" w:rsidRDefault="003B7846" w:rsidP="003B7846">
      <w:pPr>
        <w:autoSpaceDE w:val="0"/>
        <w:autoSpaceDN w:val="0"/>
        <w:adjustRightInd w:val="0"/>
        <w:spacing w:after="0" w:line="240" w:lineRule="auto"/>
        <w:rPr>
          <w:rFonts w:ascii="Calibri" w:eastAsia="Times New Roman" w:hAnsi="Calibri" w:cs="Calibri"/>
          <w:color w:val="002060"/>
          <w:kern w:val="0"/>
          <w:sz w:val="16"/>
          <w:szCs w:val="16"/>
          <w14:ligatures w14:val="none"/>
        </w:rPr>
      </w:pPr>
      <w:r w:rsidRPr="003B7846">
        <w:rPr>
          <w:rFonts w:ascii="Calibri" w:eastAsia="Times New Roman" w:hAnsi="Calibri" w:cs="Calibri"/>
          <w:b/>
          <w:bCs/>
          <w:color w:val="002060"/>
          <w:kern w:val="0"/>
          <w:sz w:val="16"/>
          <w:szCs w:val="16"/>
          <w14:ligatures w14:val="none"/>
        </w:rPr>
        <w:t>Rafaela Calado e Silva Mello</w:t>
      </w:r>
    </w:p>
    <w:p w14:paraId="540A2A03" w14:textId="77777777" w:rsidR="003B7846" w:rsidRPr="003B7846" w:rsidRDefault="003B7846" w:rsidP="003B7846">
      <w:pPr>
        <w:autoSpaceDE w:val="0"/>
        <w:autoSpaceDN w:val="0"/>
        <w:adjustRightInd w:val="0"/>
        <w:spacing w:after="0" w:line="240" w:lineRule="auto"/>
        <w:rPr>
          <w:rFonts w:ascii="Calibri" w:eastAsia="Times New Roman" w:hAnsi="Calibri" w:cs="Calibri"/>
          <w:bCs/>
          <w:color w:val="002060"/>
          <w:kern w:val="0"/>
          <w:sz w:val="16"/>
          <w:szCs w:val="16"/>
          <w14:ligatures w14:val="none"/>
        </w:rPr>
      </w:pPr>
      <w:r w:rsidRPr="003B7846">
        <w:rPr>
          <w:rFonts w:ascii="Calibri" w:eastAsia="Times New Roman" w:hAnsi="Calibri" w:cs="Calibri"/>
          <w:bCs/>
          <w:color w:val="002060"/>
          <w:kern w:val="0"/>
          <w:sz w:val="16"/>
          <w:szCs w:val="16"/>
          <w14:ligatures w14:val="none"/>
        </w:rPr>
        <w:t>Conselheira Representante do Ministério das Comunicações</w:t>
      </w:r>
    </w:p>
    <w:p w14:paraId="78DF88EB" w14:textId="77777777" w:rsidR="003B7846" w:rsidRPr="003B7846" w:rsidRDefault="003B7846" w:rsidP="003B7846">
      <w:pPr>
        <w:autoSpaceDE w:val="0"/>
        <w:autoSpaceDN w:val="0"/>
        <w:adjustRightInd w:val="0"/>
        <w:spacing w:after="0" w:line="240" w:lineRule="auto"/>
        <w:rPr>
          <w:rFonts w:ascii="Calibri" w:eastAsia="Times New Roman" w:hAnsi="Calibri" w:cs="Calibri"/>
          <w:b/>
          <w:color w:val="002060"/>
          <w:kern w:val="0"/>
          <w:sz w:val="16"/>
          <w:szCs w:val="16"/>
          <w14:ligatures w14:val="none"/>
        </w:rPr>
      </w:pPr>
      <w:r w:rsidRPr="003B7846">
        <w:rPr>
          <w:rFonts w:ascii="Calibri" w:eastAsia="Times New Roman" w:hAnsi="Calibri" w:cs="Calibri"/>
          <w:b/>
          <w:bCs/>
          <w:color w:val="002060"/>
          <w:kern w:val="0"/>
          <w:sz w:val="16"/>
          <w:szCs w:val="16"/>
          <w14:ligatures w14:val="none"/>
        </w:rPr>
        <w:t>Alano Roberto Santiago Guedes</w:t>
      </w:r>
      <w:r w:rsidRPr="003B7846">
        <w:rPr>
          <w:rFonts w:ascii="Calibri" w:eastAsia="Times New Roman" w:hAnsi="Calibri" w:cs="Calibri"/>
          <w:b/>
          <w:color w:val="002060"/>
          <w:kern w:val="0"/>
          <w:sz w:val="16"/>
          <w:szCs w:val="16"/>
          <w14:ligatures w14:val="none"/>
        </w:rPr>
        <w:t xml:space="preserve"> </w:t>
      </w:r>
    </w:p>
    <w:p w14:paraId="32949D1A" w14:textId="5AB5D5CB" w:rsidR="003B7846" w:rsidRPr="003B7846" w:rsidRDefault="003B7846" w:rsidP="003B7846">
      <w:pPr>
        <w:autoSpaceDE w:val="0"/>
        <w:autoSpaceDN w:val="0"/>
        <w:adjustRightInd w:val="0"/>
        <w:spacing w:after="0" w:line="240" w:lineRule="auto"/>
        <w:rPr>
          <w:rFonts w:ascii="Calibri" w:eastAsia="Times New Roman" w:hAnsi="Calibri" w:cs="Calibri"/>
          <w:bCs/>
          <w:color w:val="002060"/>
          <w:kern w:val="0"/>
          <w:sz w:val="16"/>
          <w:szCs w:val="16"/>
          <w14:ligatures w14:val="none"/>
        </w:rPr>
      </w:pPr>
      <w:r w:rsidRPr="003B7846">
        <w:rPr>
          <w:rFonts w:ascii="Calibri" w:eastAsia="Times New Roman" w:hAnsi="Calibri" w:cs="Calibri"/>
          <w:bCs/>
          <w:color w:val="002060"/>
          <w:kern w:val="0"/>
          <w:sz w:val="16"/>
          <w:szCs w:val="16"/>
          <w14:ligatures w14:val="none"/>
        </w:rPr>
        <w:t>Conselheiro Suplente Representante do Ministério das Comunicações</w:t>
      </w:r>
    </w:p>
    <w:p w14:paraId="06C2A669" w14:textId="77777777" w:rsidR="003B7846" w:rsidRDefault="003B7846" w:rsidP="003B7846">
      <w:pPr>
        <w:autoSpaceDE w:val="0"/>
        <w:autoSpaceDN w:val="0"/>
        <w:adjustRightInd w:val="0"/>
        <w:spacing w:after="0" w:line="240" w:lineRule="auto"/>
        <w:rPr>
          <w:rFonts w:ascii="Calibri" w:eastAsia="Times New Roman" w:hAnsi="Calibri" w:cs="Calibri"/>
          <w:b/>
          <w:bCs/>
          <w:color w:val="002060"/>
          <w:kern w:val="0"/>
          <w:sz w:val="16"/>
          <w:szCs w:val="16"/>
          <w14:ligatures w14:val="none"/>
        </w:rPr>
      </w:pPr>
    </w:p>
    <w:p w14:paraId="65E40FC5" w14:textId="0E845BCE" w:rsidR="003B7846" w:rsidRPr="003B7846" w:rsidRDefault="003B7846" w:rsidP="003B7846">
      <w:pPr>
        <w:autoSpaceDE w:val="0"/>
        <w:autoSpaceDN w:val="0"/>
        <w:adjustRightInd w:val="0"/>
        <w:spacing w:after="0" w:line="240" w:lineRule="auto"/>
        <w:rPr>
          <w:rFonts w:ascii="Calibri" w:eastAsia="Times New Roman" w:hAnsi="Calibri" w:cs="Calibri"/>
          <w:b/>
          <w:bCs/>
          <w:color w:val="002060"/>
          <w:kern w:val="0"/>
          <w:sz w:val="16"/>
          <w:szCs w:val="16"/>
          <w14:ligatures w14:val="none"/>
        </w:rPr>
      </w:pPr>
      <w:r w:rsidRPr="003B7846">
        <w:rPr>
          <w:rFonts w:ascii="Calibri" w:eastAsia="Times New Roman" w:hAnsi="Calibri" w:cs="Calibri"/>
          <w:b/>
          <w:bCs/>
          <w:color w:val="002060"/>
          <w:kern w:val="0"/>
          <w:sz w:val="16"/>
          <w:szCs w:val="16"/>
          <w14:ligatures w14:val="none"/>
        </w:rPr>
        <w:t xml:space="preserve">Marcela </w:t>
      </w:r>
      <w:proofErr w:type="spellStart"/>
      <w:r w:rsidRPr="003B7846">
        <w:rPr>
          <w:rFonts w:ascii="Calibri" w:eastAsia="Times New Roman" w:hAnsi="Calibri" w:cs="Calibri"/>
          <w:b/>
          <w:bCs/>
          <w:color w:val="002060"/>
          <w:kern w:val="0"/>
          <w:sz w:val="16"/>
          <w:szCs w:val="16"/>
          <w14:ligatures w14:val="none"/>
        </w:rPr>
        <w:t>Camilher</w:t>
      </w:r>
      <w:proofErr w:type="spellEnd"/>
      <w:r w:rsidRPr="003B7846">
        <w:rPr>
          <w:rFonts w:ascii="Calibri" w:eastAsia="Times New Roman" w:hAnsi="Calibri" w:cs="Calibri"/>
          <w:b/>
          <w:bCs/>
          <w:color w:val="002060"/>
          <w:kern w:val="0"/>
          <w:sz w:val="16"/>
          <w:szCs w:val="16"/>
          <w14:ligatures w14:val="none"/>
        </w:rPr>
        <w:t xml:space="preserve"> Gomes Vidigal </w:t>
      </w:r>
    </w:p>
    <w:p w14:paraId="572392CA" w14:textId="2202F0FE" w:rsidR="003B7846" w:rsidRPr="003B7846" w:rsidRDefault="003B7846" w:rsidP="003B7846">
      <w:pPr>
        <w:autoSpaceDE w:val="0"/>
        <w:autoSpaceDN w:val="0"/>
        <w:adjustRightInd w:val="0"/>
        <w:spacing w:after="0" w:line="240" w:lineRule="auto"/>
        <w:rPr>
          <w:rFonts w:ascii="Calibri" w:eastAsia="Times New Roman" w:hAnsi="Calibri" w:cs="Calibri"/>
          <w:b/>
          <w:bCs/>
          <w:color w:val="002060"/>
          <w:kern w:val="0"/>
          <w:sz w:val="16"/>
          <w:szCs w:val="16"/>
          <w14:ligatures w14:val="none"/>
        </w:rPr>
      </w:pPr>
      <w:r w:rsidRPr="003B7846">
        <w:rPr>
          <w:rFonts w:ascii="Calibri" w:eastAsia="Times New Roman" w:hAnsi="Calibri" w:cs="Calibri"/>
          <w:color w:val="002060"/>
          <w:kern w:val="0"/>
          <w:sz w:val="16"/>
          <w:szCs w:val="16"/>
          <w14:ligatures w14:val="none"/>
        </w:rPr>
        <w:t>Conselheira Representante dos Acionistas Minoritário Preferencialistas</w:t>
      </w:r>
    </w:p>
    <w:p w14:paraId="3DCB3A58" w14:textId="77777777" w:rsidR="003B7846" w:rsidRPr="003B7846" w:rsidRDefault="003B7846" w:rsidP="003B7846">
      <w:pPr>
        <w:autoSpaceDE w:val="0"/>
        <w:autoSpaceDN w:val="0"/>
        <w:adjustRightInd w:val="0"/>
        <w:spacing w:after="0" w:line="240" w:lineRule="auto"/>
        <w:rPr>
          <w:rFonts w:ascii="Calibri" w:eastAsia="Times New Roman" w:hAnsi="Calibri" w:cs="Calibri"/>
          <w:bCs/>
          <w:iCs/>
          <w:color w:val="002060"/>
          <w:kern w:val="0"/>
          <w:sz w:val="16"/>
          <w:szCs w:val="16"/>
          <w14:ligatures w14:val="none"/>
        </w:rPr>
      </w:pPr>
      <w:r w:rsidRPr="003B7846">
        <w:rPr>
          <w:rFonts w:ascii="Calibri" w:eastAsia="Times New Roman" w:hAnsi="Calibri" w:cs="Calibri"/>
          <w:b/>
          <w:bCs/>
          <w:color w:val="002060"/>
          <w:kern w:val="0"/>
          <w:sz w:val="16"/>
          <w:szCs w:val="16"/>
          <w14:ligatures w14:val="none"/>
        </w:rPr>
        <w:t>Leonardo Peixoto Estevão</w:t>
      </w:r>
      <w:r w:rsidRPr="003B7846">
        <w:rPr>
          <w:rFonts w:ascii="Calibri" w:eastAsia="Times New Roman" w:hAnsi="Calibri" w:cs="Calibri"/>
          <w:color w:val="002060"/>
          <w:kern w:val="0"/>
          <w:sz w:val="16"/>
          <w:szCs w:val="16"/>
          <w14:ligatures w14:val="none"/>
        </w:rPr>
        <w:br/>
        <w:t xml:space="preserve">Conselheiro Representante dos Acionistas Minoritários </w:t>
      </w:r>
      <w:proofErr w:type="spellStart"/>
      <w:r w:rsidRPr="003B7846">
        <w:rPr>
          <w:rFonts w:ascii="Calibri" w:eastAsia="Times New Roman" w:hAnsi="Calibri" w:cs="Calibri"/>
          <w:color w:val="002060"/>
          <w:kern w:val="0"/>
          <w:sz w:val="16"/>
          <w:szCs w:val="16"/>
          <w14:ligatures w14:val="none"/>
        </w:rPr>
        <w:t>Ordinaristas</w:t>
      </w:r>
      <w:proofErr w:type="spellEnd"/>
    </w:p>
    <w:p w14:paraId="57E261BB" w14:textId="77777777" w:rsidR="003B7846" w:rsidRDefault="003B7846" w:rsidP="003B7846">
      <w:pPr>
        <w:autoSpaceDE w:val="0"/>
        <w:autoSpaceDN w:val="0"/>
        <w:adjustRightInd w:val="0"/>
        <w:jc w:val="center"/>
        <w:rPr>
          <w:rFonts w:ascii="Calibri" w:eastAsia="Times New Roman" w:hAnsi="Calibri" w:cs="Calibri"/>
          <w:color w:val="002060"/>
          <w:kern w:val="0"/>
          <w14:ligatures w14:val="none"/>
        </w:rPr>
        <w:sectPr w:rsidR="003B7846" w:rsidSect="003B7846">
          <w:type w:val="continuous"/>
          <w:pgSz w:w="11906" w:h="16838" w:code="9"/>
          <w:pgMar w:top="848" w:right="849" w:bottom="993" w:left="1276" w:header="850" w:footer="1134" w:gutter="0"/>
          <w:cols w:num="2" w:space="708"/>
          <w:docGrid w:linePitch="360"/>
        </w:sectPr>
      </w:pPr>
    </w:p>
    <w:p w14:paraId="0A48B9AE" w14:textId="77777777" w:rsidR="003B7846" w:rsidRDefault="003B7846" w:rsidP="003B7846">
      <w:pPr>
        <w:autoSpaceDE w:val="0"/>
        <w:autoSpaceDN w:val="0"/>
        <w:adjustRightInd w:val="0"/>
        <w:jc w:val="center"/>
        <w:rPr>
          <w:rFonts w:ascii="Calibri" w:eastAsia="Times New Roman" w:hAnsi="Calibri" w:cs="Calibri"/>
          <w:color w:val="002060"/>
          <w:kern w:val="0"/>
          <w14:ligatures w14:val="none"/>
        </w:rPr>
      </w:pPr>
    </w:p>
    <w:p w14:paraId="4FD177E0" w14:textId="77777777" w:rsidR="003B7846" w:rsidRDefault="003B7846" w:rsidP="0044731C">
      <w:pPr>
        <w:autoSpaceDE w:val="0"/>
        <w:autoSpaceDN w:val="0"/>
        <w:adjustRightInd w:val="0"/>
        <w:rPr>
          <w:rFonts w:ascii="Calibri" w:eastAsia="Times New Roman" w:hAnsi="Calibri" w:cs="Calibri"/>
          <w:color w:val="002060"/>
          <w:kern w:val="0"/>
          <w14:ligatures w14:val="none"/>
        </w:rPr>
        <w:sectPr w:rsidR="003B7846" w:rsidSect="00425DB8">
          <w:type w:val="continuous"/>
          <w:pgSz w:w="11906" w:h="16838" w:code="9"/>
          <w:pgMar w:top="848" w:right="849" w:bottom="993" w:left="1276" w:header="850" w:footer="1134" w:gutter="0"/>
          <w:cols w:space="708"/>
          <w:docGrid w:linePitch="360"/>
        </w:sectPr>
      </w:pPr>
    </w:p>
    <w:p w14:paraId="6C917B11" w14:textId="2308086D" w:rsidR="003B7846" w:rsidRPr="003B7846" w:rsidRDefault="00AA1F87" w:rsidP="0044731C">
      <w:pPr>
        <w:autoSpaceDE w:val="0"/>
        <w:autoSpaceDN w:val="0"/>
        <w:adjustRightInd w:val="0"/>
        <w:spacing w:after="0"/>
        <w:rPr>
          <w:rFonts w:ascii="Arial" w:eastAsia="Times New Roman" w:hAnsi="Arial" w:cs="Arial"/>
          <w:b/>
          <w:kern w:val="0"/>
          <w:sz w:val="14"/>
          <w:szCs w:val="14"/>
          <w:lang w:eastAsia="pt-BR"/>
          <w14:ligatures w14:val="none"/>
        </w:rPr>
      </w:pPr>
      <w:r>
        <w:rPr>
          <w:rFonts w:ascii="Calibri" w:eastAsia="Times New Roman" w:hAnsi="Calibri" w:cs="Calibri"/>
          <w:color w:val="002060"/>
          <w:kern w:val="0"/>
          <w14:ligatures w14:val="none"/>
        </w:rPr>
        <w:lastRenderedPageBreak/>
        <w:t xml:space="preserve"> </w:t>
      </w:r>
    </w:p>
    <w:p w14:paraId="0A8C323F" w14:textId="77777777" w:rsidR="00F51C06" w:rsidRDefault="00F51C06" w:rsidP="009729C8">
      <w:pPr>
        <w:spacing w:after="0" w:line="240" w:lineRule="auto"/>
        <w:jc w:val="both"/>
        <w:rPr>
          <w:rFonts w:ascii="Calibri" w:eastAsia="Times New Roman" w:hAnsi="Calibri" w:cs="Calibri"/>
          <w:color w:val="002060"/>
          <w:kern w:val="0"/>
          <w14:ligatures w14:val="none"/>
        </w:rPr>
      </w:pPr>
    </w:p>
    <w:tbl>
      <w:tblPr>
        <w:tblStyle w:val="Tabelacomgrade"/>
        <w:tblW w:w="0" w:type="auto"/>
        <w:tblLook w:val="04A0" w:firstRow="1" w:lastRow="0" w:firstColumn="1" w:lastColumn="0" w:noHBand="0" w:noVBand="1"/>
      </w:tblPr>
      <w:tblGrid>
        <w:gridCol w:w="9769"/>
      </w:tblGrid>
      <w:tr w:rsidR="001125FF" w14:paraId="0277C415" w14:textId="77777777" w:rsidTr="001125FF">
        <w:tc>
          <w:tcPr>
            <w:tcW w:w="9771" w:type="dxa"/>
            <w:shd w:val="clear" w:color="auto" w:fill="215E99" w:themeFill="text2" w:themeFillTint="BF"/>
          </w:tcPr>
          <w:p w14:paraId="6D2F8D95" w14:textId="77777777" w:rsidR="001125FF" w:rsidRPr="001125FF" w:rsidRDefault="001125FF" w:rsidP="001125FF">
            <w:pPr>
              <w:jc w:val="center"/>
              <w:rPr>
                <w:rFonts w:ascii="Calibri" w:eastAsia="Times New Roman" w:hAnsi="Calibri" w:cs="Calibri"/>
                <w:b/>
                <w:bCs/>
                <w:color w:val="FFFFFF" w:themeColor="background1"/>
                <w:kern w:val="0"/>
                <w14:ligatures w14:val="none"/>
              </w:rPr>
            </w:pPr>
            <w:bookmarkStart w:id="442" w:name="_Hlk162372062"/>
            <w:r w:rsidRPr="001125FF">
              <w:rPr>
                <w:rFonts w:ascii="Calibri" w:eastAsia="Times New Roman" w:hAnsi="Calibri" w:cs="Calibri"/>
                <w:b/>
                <w:bCs/>
                <w:color w:val="FFFFFF" w:themeColor="background1"/>
                <w:kern w:val="0"/>
                <w14:ligatures w14:val="none"/>
              </w:rPr>
              <w:t>DECLARAÇÃO nº TLB-DEC-2024/00095</w:t>
            </w:r>
          </w:p>
          <w:p w14:paraId="54577F78" w14:textId="77777777" w:rsidR="001125FF" w:rsidRPr="001125FF" w:rsidRDefault="001125FF" w:rsidP="001125FF">
            <w:pPr>
              <w:jc w:val="center"/>
              <w:rPr>
                <w:rFonts w:ascii="Calibri" w:eastAsia="Times New Roman" w:hAnsi="Calibri" w:cs="Calibri"/>
                <w:b/>
                <w:bCs/>
                <w:color w:val="FFFFFF" w:themeColor="background1"/>
                <w:kern w:val="0"/>
                <w14:ligatures w14:val="none"/>
              </w:rPr>
            </w:pPr>
            <w:r w:rsidRPr="001125FF">
              <w:rPr>
                <w:rFonts w:ascii="Calibri" w:eastAsia="Times New Roman" w:hAnsi="Calibri" w:cs="Calibri"/>
                <w:b/>
                <w:bCs/>
                <w:color w:val="FFFFFF" w:themeColor="background1"/>
                <w:kern w:val="0"/>
                <w14:ligatures w14:val="none"/>
              </w:rPr>
              <w:t>DECLARAÇÃO DOS DIRETORES SOBRE AS DEMONSTRAÇÕES CONTÁBEIS E SOBRE O RELATÓRIO DO AUDITOR INDEPENDENTE DO QUARTO TRIMESTRE DE 2023.</w:t>
            </w:r>
          </w:p>
          <w:p w14:paraId="3F38D608" w14:textId="77777777" w:rsidR="001125FF" w:rsidRDefault="001125FF" w:rsidP="009729C8">
            <w:pPr>
              <w:jc w:val="both"/>
              <w:rPr>
                <w:rFonts w:ascii="Calibri" w:eastAsia="Times New Roman" w:hAnsi="Calibri" w:cs="Calibri"/>
                <w:color w:val="002060"/>
                <w:kern w:val="0"/>
                <w14:ligatures w14:val="none"/>
              </w:rPr>
            </w:pPr>
          </w:p>
        </w:tc>
      </w:tr>
    </w:tbl>
    <w:bookmarkEnd w:id="442"/>
    <w:p w14:paraId="060B31D4" w14:textId="77777777" w:rsidR="001125FF" w:rsidRDefault="001125FF" w:rsidP="00F30274">
      <w:pPr>
        <w:spacing w:after="0" w:line="240" w:lineRule="auto"/>
        <w:jc w:val="both"/>
        <w:rPr>
          <w:rFonts w:ascii="Calibri" w:eastAsia="Times New Roman" w:hAnsi="Calibri" w:cs="Calibri"/>
          <w:color w:val="002060"/>
          <w:kern w:val="0"/>
          <w14:ligatures w14:val="none"/>
        </w:rPr>
      </w:pPr>
      <w:r w:rsidRPr="001125FF">
        <w:rPr>
          <w:rFonts w:ascii="Calibri" w:eastAsia="Times New Roman" w:hAnsi="Calibri" w:cs="Calibri"/>
          <w:color w:val="002060"/>
          <w:kern w:val="0"/>
          <w14:ligatures w14:val="none"/>
        </w:rPr>
        <w:t xml:space="preserve">Em atendimento ao disposto no art. 27, § 1º, incisos V e VI, da Instrução CVM nº 80, de 29 de março de 2022, os Diretores da Telecomunicações Brasileiras S.A. - Telebras, inscrita no CNPJ nº 00.336.701/0001 04, declaram que: </w:t>
      </w:r>
    </w:p>
    <w:p w14:paraId="1158F1FD" w14:textId="1912EC98" w:rsidR="001125FF" w:rsidRPr="001125FF" w:rsidRDefault="001125FF" w:rsidP="00F30274">
      <w:pPr>
        <w:spacing w:after="0" w:line="240" w:lineRule="auto"/>
        <w:jc w:val="both"/>
        <w:rPr>
          <w:rFonts w:ascii="Calibri" w:eastAsia="Times New Roman" w:hAnsi="Calibri" w:cs="Calibri"/>
          <w:color w:val="002060"/>
          <w:kern w:val="0"/>
          <w14:ligatures w14:val="none"/>
        </w:rPr>
      </w:pPr>
      <w:r w:rsidRPr="001125FF">
        <w:rPr>
          <w:rFonts w:ascii="Calibri" w:eastAsia="Times New Roman" w:hAnsi="Calibri" w:cs="Calibri"/>
          <w:i/>
          <w:iCs/>
          <w:color w:val="002060"/>
          <w:kern w:val="0"/>
          <w14:ligatures w14:val="none"/>
        </w:rPr>
        <w:t>(i)</w:t>
      </w:r>
      <w:r w:rsidRPr="001125FF">
        <w:rPr>
          <w:rFonts w:ascii="Calibri" w:eastAsia="Times New Roman" w:hAnsi="Calibri" w:cs="Calibri"/>
          <w:color w:val="002060"/>
          <w:kern w:val="0"/>
          <w14:ligatures w14:val="none"/>
        </w:rPr>
        <w:t xml:space="preserve"> reviram, discutiram e concordam com as opiniões expressas no parecer dos auditores independentes, CONSULT - Auditores Independentes, em relação às demonstrações contábeis do exercício social findo em 31 de dezembro de 2023 da Telebras, e; </w:t>
      </w:r>
    </w:p>
    <w:p w14:paraId="1B4C1E93" w14:textId="77777777" w:rsidR="001125FF" w:rsidRPr="001125FF" w:rsidRDefault="001125FF" w:rsidP="00F30274">
      <w:pPr>
        <w:spacing w:after="0" w:line="240" w:lineRule="auto"/>
        <w:jc w:val="both"/>
        <w:rPr>
          <w:rFonts w:ascii="Calibri" w:eastAsia="Times New Roman" w:hAnsi="Calibri" w:cs="Calibri"/>
          <w:color w:val="002060"/>
          <w:kern w:val="0"/>
          <w14:ligatures w14:val="none"/>
        </w:rPr>
      </w:pPr>
      <w:r w:rsidRPr="001125FF">
        <w:rPr>
          <w:rFonts w:ascii="Calibri" w:eastAsia="Times New Roman" w:hAnsi="Calibri" w:cs="Calibri"/>
          <w:i/>
          <w:iCs/>
          <w:color w:val="002060"/>
          <w:kern w:val="0"/>
          <w14:ligatures w14:val="none"/>
        </w:rPr>
        <w:t>(</w:t>
      </w:r>
      <w:proofErr w:type="spellStart"/>
      <w:r w:rsidRPr="001125FF">
        <w:rPr>
          <w:rFonts w:ascii="Calibri" w:eastAsia="Times New Roman" w:hAnsi="Calibri" w:cs="Calibri"/>
          <w:i/>
          <w:iCs/>
          <w:color w:val="002060"/>
          <w:kern w:val="0"/>
          <w14:ligatures w14:val="none"/>
        </w:rPr>
        <w:t>ii</w:t>
      </w:r>
      <w:proofErr w:type="spellEnd"/>
      <w:r w:rsidRPr="001125FF">
        <w:rPr>
          <w:rFonts w:ascii="Calibri" w:eastAsia="Times New Roman" w:hAnsi="Calibri" w:cs="Calibri"/>
          <w:i/>
          <w:iCs/>
          <w:color w:val="002060"/>
          <w:kern w:val="0"/>
          <w14:ligatures w14:val="none"/>
        </w:rPr>
        <w:t>)</w:t>
      </w:r>
      <w:r w:rsidRPr="001125FF">
        <w:rPr>
          <w:rFonts w:ascii="Calibri" w:eastAsia="Times New Roman" w:hAnsi="Calibri" w:cs="Calibri"/>
          <w:color w:val="002060"/>
          <w:kern w:val="0"/>
          <w14:ligatures w14:val="none"/>
        </w:rPr>
        <w:t xml:space="preserve"> reviram, discutiram e concordam com as demonstrações contábeis do exercício social findo em 31 de dezembro de 2023 da Telebras, na Reunião Ordinária da Diretoria Executiva 1757ª, realizada em 05 de março de 2024.</w:t>
      </w:r>
    </w:p>
    <w:p w14:paraId="2290BB0F" w14:textId="77777777" w:rsidR="001125FF" w:rsidRPr="001125FF" w:rsidRDefault="001125FF" w:rsidP="00B0285E">
      <w:pPr>
        <w:spacing w:after="0" w:line="240" w:lineRule="auto"/>
        <w:jc w:val="center"/>
        <w:rPr>
          <w:rFonts w:ascii="Calibri" w:eastAsia="Times New Roman" w:hAnsi="Calibri" w:cs="Calibri"/>
          <w:color w:val="002060"/>
          <w:kern w:val="0"/>
          <w:sz w:val="16"/>
          <w:szCs w:val="16"/>
          <w14:ligatures w14:val="none"/>
        </w:rPr>
      </w:pPr>
      <w:r w:rsidRPr="001125FF">
        <w:rPr>
          <w:rFonts w:ascii="Calibri" w:eastAsia="Times New Roman" w:hAnsi="Calibri" w:cs="Calibri"/>
          <w:color w:val="002060"/>
          <w:kern w:val="0"/>
          <w:sz w:val="16"/>
          <w:szCs w:val="16"/>
          <w14:ligatures w14:val="none"/>
        </w:rPr>
        <w:t>Brasília, 14 de março de 2024.</w:t>
      </w:r>
    </w:p>
    <w:p w14:paraId="2A9AEE81" w14:textId="77777777" w:rsidR="001125FF" w:rsidRPr="001125FF" w:rsidRDefault="001125FF" w:rsidP="00F30274">
      <w:pPr>
        <w:spacing w:after="0" w:line="240" w:lineRule="auto"/>
        <w:jc w:val="center"/>
        <w:rPr>
          <w:rFonts w:ascii="Calibri" w:eastAsia="Times New Roman" w:hAnsi="Calibri" w:cs="Calibri"/>
          <w:b/>
          <w:bCs/>
          <w:color w:val="002060"/>
          <w:kern w:val="0"/>
          <w:sz w:val="16"/>
          <w:szCs w:val="16"/>
          <w14:ligatures w14:val="none"/>
        </w:rPr>
      </w:pPr>
      <w:r w:rsidRPr="001125FF">
        <w:rPr>
          <w:rFonts w:ascii="Calibri" w:eastAsia="Times New Roman" w:hAnsi="Calibri" w:cs="Calibri"/>
          <w:b/>
          <w:bCs/>
          <w:color w:val="002060"/>
          <w:kern w:val="0"/>
          <w:sz w:val="16"/>
          <w:szCs w:val="16"/>
          <w14:ligatures w14:val="none"/>
        </w:rPr>
        <w:t>TATIANA RÚBIA MELO MIRANDA</w:t>
      </w:r>
    </w:p>
    <w:p w14:paraId="14BC8F5A" w14:textId="77777777" w:rsidR="001125FF" w:rsidRPr="001125FF" w:rsidRDefault="001125FF" w:rsidP="00F30274">
      <w:pPr>
        <w:spacing w:after="0" w:line="240" w:lineRule="auto"/>
        <w:jc w:val="center"/>
        <w:rPr>
          <w:rFonts w:ascii="Calibri" w:eastAsia="Times New Roman" w:hAnsi="Calibri" w:cs="Calibri"/>
          <w:color w:val="002060"/>
          <w:kern w:val="0"/>
          <w:sz w:val="16"/>
          <w:szCs w:val="16"/>
          <w14:ligatures w14:val="none"/>
        </w:rPr>
      </w:pPr>
      <w:r w:rsidRPr="001125FF">
        <w:rPr>
          <w:rFonts w:ascii="Calibri" w:eastAsia="Times New Roman" w:hAnsi="Calibri" w:cs="Calibri"/>
          <w:color w:val="002060"/>
          <w:kern w:val="0"/>
          <w:sz w:val="16"/>
          <w:szCs w:val="16"/>
          <w14:ligatures w14:val="none"/>
        </w:rPr>
        <w:t>Diretora</w:t>
      </w:r>
    </w:p>
    <w:p w14:paraId="13BEB7E3" w14:textId="5704AB04" w:rsidR="00B0285E" w:rsidRPr="00E96298" w:rsidRDefault="001125FF" w:rsidP="00F30274">
      <w:pPr>
        <w:spacing w:after="0" w:line="240" w:lineRule="auto"/>
        <w:jc w:val="center"/>
        <w:rPr>
          <w:rFonts w:ascii="Calibri" w:eastAsia="Times New Roman" w:hAnsi="Calibri" w:cs="Calibri"/>
          <w:color w:val="002060"/>
          <w:kern w:val="0"/>
          <w:sz w:val="16"/>
          <w:szCs w:val="16"/>
          <w14:ligatures w14:val="none"/>
        </w:rPr>
      </w:pPr>
      <w:r w:rsidRPr="001125FF">
        <w:rPr>
          <w:rFonts w:ascii="Calibri" w:eastAsia="Times New Roman" w:hAnsi="Calibri" w:cs="Calibri"/>
          <w:color w:val="002060"/>
          <w:kern w:val="0"/>
          <w:sz w:val="16"/>
          <w:szCs w:val="16"/>
          <w14:ligatures w14:val="none"/>
        </w:rPr>
        <w:t>Diretoria Administrativo-financeira e Relações com Investidores</w:t>
      </w:r>
    </w:p>
    <w:p w14:paraId="22EFC954" w14:textId="0B845384" w:rsidR="001125FF" w:rsidRPr="001125FF" w:rsidRDefault="001125FF" w:rsidP="00F30274">
      <w:pPr>
        <w:spacing w:after="0" w:line="240" w:lineRule="auto"/>
        <w:jc w:val="center"/>
        <w:rPr>
          <w:rFonts w:ascii="Calibri" w:eastAsia="Times New Roman" w:hAnsi="Calibri" w:cs="Calibri"/>
          <w:b/>
          <w:bCs/>
          <w:color w:val="002060"/>
          <w:kern w:val="0"/>
          <w:sz w:val="16"/>
          <w:szCs w:val="16"/>
          <w14:ligatures w14:val="none"/>
        </w:rPr>
      </w:pPr>
      <w:r w:rsidRPr="001125FF">
        <w:rPr>
          <w:rFonts w:ascii="Calibri" w:eastAsia="Times New Roman" w:hAnsi="Calibri" w:cs="Calibri"/>
          <w:b/>
          <w:bCs/>
          <w:color w:val="002060"/>
          <w:kern w:val="0"/>
          <w:sz w:val="16"/>
          <w:szCs w:val="16"/>
          <w14:ligatures w14:val="none"/>
        </w:rPr>
        <w:t>LEVI PEREIRA FIGUEIREDO NETO</w:t>
      </w:r>
    </w:p>
    <w:p w14:paraId="640B6D7C" w14:textId="6E84B59C" w:rsidR="001125FF" w:rsidRPr="001125FF" w:rsidRDefault="001125FF" w:rsidP="00F30274">
      <w:pPr>
        <w:spacing w:after="0" w:line="240" w:lineRule="auto"/>
        <w:jc w:val="center"/>
        <w:rPr>
          <w:rFonts w:ascii="Calibri" w:eastAsia="Times New Roman" w:hAnsi="Calibri" w:cs="Calibri"/>
          <w:color w:val="002060"/>
          <w:kern w:val="0"/>
          <w:sz w:val="16"/>
          <w:szCs w:val="16"/>
          <w14:ligatures w14:val="none"/>
        </w:rPr>
      </w:pPr>
      <w:r w:rsidRPr="001125FF">
        <w:rPr>
          <w:rFonts w:ascii="Calibri" w:eastAsia="Times New Roman" w:hAnsi="Calibri" w:cs="Calibri"/>
          <w:color w:val="002060"/>
          <w:kern w:val="0"/>
          <w:sz w:val="16"/>
          <w:szCs w:val="16"/>
          <w14:ligatures w14:val="none"/>
        </w:rPr>
        <w:t>Diretor</w:t>
      </w:r>
    </w:p>
    <w:p w14:paraId="433461D1" w14:textId="74380686" w:rsidR="00B0285E" w:rsidRPr="00E96298" w:rsidRDefault="001125FF" w:rsidP="00F30274">
      <w:pPr>
        <w:spacing w:after="0" w:line="240" w:lineRule="auto"/>
        <w:jc w:val="center"/>
        <w:rPr>
          <w:rFonts w:ascii="Calibri" w:eastAsia="Times New Roman" w:hAnsi="Calibri" w:cs="Calibri"/>
          <w:color w:val="002060"/>
          <w:kern w:val="0"/>
          <w:sz w:val="16"/>
          <w:szCs w:val="16"/>
          <w14:ligatures w14:val="none"/>
        </w:rPr>
      </w:pPr>
      <w:r w:rsidRPr="001125FF">
        <w:rPr>
          <w:rFonts w:ascii="Calibri" w:eastAsia="Times New Roman" w:hAnsi="Calibri" w:cs="Calibri"/>
          <w:color w:val="002060"/>
          <w:kern w:val="0"/>
          <w:sz w:val="16"/>
          <w:szCs w:val="16"/>
          <w14:ligatures w14:val="none"/>
        </w:rPr>
        <w:t>Diretoria Comercial</w:t>
      </w:r>
    </w:p>
    <w:p w14:paraId="61C9B916" w14:textId="245F2F67" w:rsidR="001125FF" w:rsidRPr="001125FF" w:rsidRDefault="001125FF" w:rsidP="00F30274">
      <w:pPr>
        <w:spacing w:after="0" w:line="240" w:lineRule="auto"/>
        <w:jc w:val="center"/>
        <w:rPr>
          <w:rFonts w:ascii="Calibri" w:eastAsia="Times New Roman" w:hAnsi="Calibri" w:cs="Calibri"/>
          <w:b/>
          <w:bCs/>
          <w:color w:val="002060"/>
          <w:kern w:val="0"/>
          <w:sz w:val="16"/>
          <w:szCs w:val="16"/>
          <w14:ligatures w14:val="none"/>
        </w:rPr>
      </w:pPr>
      <w:r w:rsidRPr="001125FF">
        <w:rPr>
          <w:rFonts w:ascii="Calibri" w:eastAsia="Times New Roman" w:hAnsi="Calibri" w:cs="Calibri"/>
          <w:b/>
          <w:bCs/>
          <w:color w:val="002060"/>
          <w:kern w:val="0"/>
          <w:sz w:val="16"/>
          <w:szCs w:val="16"/>
          <w14:ligatures w14:val="none"/>
        </w:rPr>
        <w:t>NAURO LUIZ SCHEUFLER</w:t>
      </w:r>
    </w:p>
    <w:p w14:paraId="12CE6553" w14:textId="72AA4B78" w:rsidR="001125FF" w:rsidRPr="001125FF" w:rsidRDefault="001125FF" w:rsidP="00F30274">
      <w:pPr>
        <w:spacing w:after="0" w:line="240" w:lineRule="auto"/>
        <w:jc w:val="center"/>
        <w:rPr>
          <w:rFonts w:ascii="Calibri" w:eastAsia="Times New Roman" w:hAnsi="Calibri" w:cs="Calibri"/>
          <w:color w:val="002060"/>
          <w:kern w:val="0"/>
          <w:sz w:val="16"/>
          <w:szCs w:val="16"/>
          <w14:ligatures w14:val="none"/>
        </w:rPr>
      </w:pPr>
      <w:r w:rsidRPr="001125FF">
        <w:rPr>
          <w:rFonts w:ascii="Calibri" w:eastAsia="Times New Roman" w:hAnsi="Calibri" w:cs="Calibri"/>
          <w:color w:val="002060"/>
          <w:kern w:val="0"/>
          <w:sz w:val="16"/>
          <w:szCs w:val="16"/>
          <w14:ligatures w14:val="none"/>
        </w:rPr>
        <w:t>Diretor</w:t>
      </w:r>
    </w:p>
    <w:p w14:paraId="1311DCF3" w14:textId="0A1E3E9F" w:rsidR="001125FF" w:rsidRPr="001125FF" w:rsidRDefault="001125FF" w:rsidP="00F30274">
      <w:pPr>
        <w:spacing w:after="0" w:line="240" w:lineRule="auto"/>
        <w:jc w:val="center"/>
        <w:rPr>
          <w:rFonts w:ascii="Calibri" w:eastAsia="Times New Roman" w:hAnsi="Calibri" w:cs="Calibri"/>
          <w:color w:val="002060"/>
          <w:kern w:val="0"/>
          <w:sz w:val="16"/>
          <w:szCs w:val="16"/>
          <w14:ligatures w14:val="none"/>
        </w:rPr>
      </w:pPr>
      <w:r w:rsidRPr="001125FF">
        <w:rPr>
          <w:rFonts w:ascii="Calibri" w:eastAsia="Times New Roman" w:hAnsi="Calibri" w:cs="Calibri"/>
          <w:color w:val="002060"/>
          <w:kern w:val="0"/>
          <w:sz w:val="16"/>
          <w:szCs w:val="16"/>
          <w14:ligatures w14:val="none"/>
        </w:rPr>
        <w:t>Diretoria Técnico-operacional</w:t>
      </w:r>
    </w:p>
    <w:p w14:paraId="12764627" w14:textId="45550F56" w:rsidR="001125FF" w:rsidRPr="001125FF" w:rsidRDefault="001125FF" w:rsidP="00F30274">
      <w:pPr>
        <w:spacing w:after="0" w:line="240" w:lineRule="auto"/>
        <w:jc w:val="center"/>
        <w:rPr>
          <w:rFonts w:ascii="Calibri" w:eastAsia="Times New Roman" w:hAnsi="Calibri" w:cs="Calibri"/>
          <w:b/>
          <w:bCs/>
          <w:color w:val="002060"/>
          <w:kern w:val="0"/>
          <w:sz w:val="16"/>
          <w:szCs w:val="16"/>
          <w14:ligatures w14:val="none"/>
        </w:rPr>
      </w:pPr>
      <w:r w:rsidRPr="001125FF">
        <w:rPr>
          <w:rFonts w:ascii="Calibri" w:eastAsia="Times New Roman" w:hAnsi="Calibri" w:cs="Calibri"/>
          <w:b/>
          <w:bCs/>
          <w:color w:val="002060"/>
          <w:kern w:val="0"/>
          <w:sz w:val="16"/>
          <w:szCs w:val="16"/>
          <w14:ligatures w14:val="none"/>
        </w:rPr>
        <w:t>WALLYSON LEMOS DOS REIS OLIVEIRA</w:t>
      </w:r>
    </w:p>
    <w:p w14:paraId="5E6DF140" w14:textId="6B3A2B35" w:rsidR="001125FF" w:rsidRPr="001125FF" w:rsidRDefault="001125FF" w:rsidP="00F30274">
      <w:pPr>
        <w:spacing w:after="0" w:line="240" w:lineRule="auto"/>
        <w:jc w:val="center"/>
        <w:rPr>
          <w:rFonts w:ascii="Calibri" w:eastAsia="Times New Roman" w:hAnsi="Calibri" w:cs="Calibri"/>
          <w:color w:val="002060"/>
          <w:kern w:val="0"/>
          <w:sz w:val="16"/>
          <w:szCs w:val="16"/>
          <w14:ligatures w14:val="none"/>
        </w:rPr>
      </w:pPr>
      <w:r w:rsidRPr="001125FF">
        <w:rPr>
          <w:rFonts w:ascii="Calibri" w:eastAsia="Times New Roman" w:hAnsi="Calibri" w:cs="Calibri"/>
          <w:color w:val="002060"/>
          <w:kern w:val="0"/>
          <w:sz w:val="16"/>
          <w:szCs w:val="16"/>
          <w14:ligatures w14:val="none"/>
        </w:rPr>
        <w:t>Diretor</w:t>
      </w:r>
    </w:p>
    <w:p w14:paraId="3ACD0F19" w14:textId="31988FB5" w:rsidR="001125FF" w:rsidRPr="001125FF" w:rsidRDefault="001125FF" w:rsidP="00F30274">
      <w:pPr>
        <w:spacing w:after="0" w:line="240" w:lineRule="auto"/>
        <w:jc w:val="center"/>
        <w:rPr>
          <w:rFonts w:ascii="Calibri" w:eastAsia="Times New Roman" w:hAnsi="Calibri" w:cs="Calibri"/>
          <w:color w:val="002060"/>
          <w:kern w:val="0"/>
          <w:sz w:val="16"/>
          <w:szCs w:val="16"/>
          <w14:ligatures w14:val="none"/>
        </w:rPr>
      </w:pPr>
      <w:r w:rsidRPr="001125FF">
        <w:rPr>
          <w:rFonts w:ascii="Calibri" w:eastAsia="Times New Roman" w:hAnsi="Calibri" w:cs="Calibri"/>
          <w:color w:val="002060"/>
          <w:kern w:val="0"/>
          <w:sz w:val="16"/>
          <w:szCs w:val="16"/>
          <w14:ligatures w14:val="none"/>
        </w:rPr>
        <w:t>Diretoria de Governança</w:t>
      </w:r>
    </w:p>
    <w:p w14:paraId="26F7ED1D" w14:textId="44CDEB8B" w:rsidR="001125FF" w:rsidRPr="001125FF" w:rsidRDefault="001125FF" w:rsidP="00F30274">
      <w:pPr>
        <w:spacing w:after="0" w:line="240" w:lineRule="auto"/>
        <w:jc w:val="center"/>
        <w:rPr>
          <w:rFonts w:ascii="Calibri" w:eastAsia="Times New Roman" w:hAnsi="Calibri" w:cs="Calibri"/>
          <w:b/>
          <w:bCs/>
          <w:color w:val="002060"/>
          <w:kern w:val="0"/>
          <w:sz w:val="16"/>
          <w:szCs w:val="16"/>
          <w14:ligatures w14:val="none"/>
        </w:rPr>
      </w:pPr>
      <w:r w:rsidRPr="001125FF">
        <w:rPr>
          <w:rFonts w:ascii="Calibri" w:eastAsia="Times New Roman" w:hAnsi="Calibri" w:cs="Calibri"/>
          <w:b/>
          <w:bCs/>
          <w:color w:val="002060"/>
          <w:kern w:val="0"/>
          <w:sz w:val="16"/>
          <w:szCs w:val="16"/>
          <w14:ligatures w14:val="none"/>
        </w:rPr>
        <w:t>FREDERICO DE SIQUEIRA FILHO</w:t>
      </w:r>
    </w:p>
    <w:p w14:paraId="10504815" w14:textId="2AD216B4" w:rsidR="001125FF" w:rsidRPr="001125FF" w:rsidRDefault="001125FF" w:rsidP="00F30274">
      <w:pPr>
        <w:spacing w:after="0" w:line="240" w:lineRule="auto"/>
        <w:jc w:val="center"/>
        <w:rPr>
          <w:rFonts w:ascii="Calibri" w:eastAsia="Times New Roman" w:hAnsi="Calibri" w:cs="Calibri"/>
          <w:color w:val="002060"/>
          <w:kern w:val="0"/>
          <w:sz w:val="16"/>
          <w:szCs w:val="16"/>
          <w14:ligatures w14:val="none"/>
        </w:rPr>
      </w:pPr>
      <w:r w:rsidRPr="001125FF">
        <w:rPr>
          <w:rFonts w:ascii="Calibri" w:eastAsia="Times New Roman" w:hAnsi="Calibri" w:cs="Calibri"/>
          <w:color w:val="002060"/>
          <w:kern w:val="0"/>
          <w:sz w:val="16"/>
          <w:szCs w:val="16"/>
          <w14:ligatures w14:val="none"/>
        </w:rPr>
        <w:t>Presidente</w:t>
      </w:r>
    </w:p>
    <w:p w14:paraId="72E9F93C" w14:textId="77777777" w:rsidR="001125FF" w:rsidRDefault="001125FF" w:rsidP="00F30274">
      <w:pPr>
        <w:spacing w:after="0" w:line="240" w:lineRule="auto"/>
        <w:jc w:val="center"/>
        <w:rPr>
          <w:rFonts w:ascii="Calibri" w:eastAsia="Times New Roman" w:hAnsi="Calibri" w:cs="Calibri"/>
          <w:color w:val="002060"/>
          <w:kern w:val="0"/>
          <w:sz w:val="16"/>
          <w:szCs w:val="16"/>
          <w14:ligatures w14:val="none"/>
        </w:rPr>
      </w:pPr>
      <w:r w:rsidRPr="001125FF">
        <w:rPr>
          <w:rFonts w:ascii="Calibri" w:eastAsia="Times New Roman" w:hAnsi="Calibri" w:cs="Calibri"/>
          <w:color w:val="002060"/>
          <w:kern w:val="0"/>
          <w:sz w:val="16"/>
          <w:szCs w:val="16"/>
          <w14:ligatures w14:val="none"/>
        </w:rPr>
        <w:t>Presidência</w:t>
      </w:r>
    </w:p>
    <w:p w14:paraId="06C72027" w14:textId="49DE67B7" w:rsidR="00E96298" w:rsidRPr="001125FF" w:rsidRDefault="00E96298" w:rsidP="00E96298">
      <w:pPr>
        <w:spacing w:after="0" w:line="240" w:lineRule="auto"/>
        <w:rPr>
          <w:rFonts w:ascii="Calibri" w:eastAsia="Times New Roman" w:hAnsi="Calibri" w:cs="Calibri"/>
          <w:b/>
          <w:bCs/>
          <w:color w:val="FFFFFF" w:themeColor="background1"/>
          <w:kern w:val="0"/>
          <w14:ligatures w14:val="none"/>
        </w:rPr>
      </w:pPr>
      <w:r w:rsidRPr="001125FF">
        <w:rPr>
          <w:rFonts w:ascii="Calibri" w:eastAsia="Times New Roman" w:hAnsi="Calibri" w:cs="Calibri"/>
          <w:b/>
          <w:bCs/>
          <w:color w:val="FFFFFF" w:themeColor="background1"/>
          <w:kern w:val="0"/>
          <w14:ligatures w14:val="none"/>
        </w:rPr>
        <w:t>STRAÇÕES CONTÁBEIS E SOBRE O RELATÓRIO DO AU</w:t>
      </w:r>
    </w:p>
    <w:tbl>
      <w:tblPr>
        <w:tblStyle w:val="Tabelacomgrade"/>
        <w:tblW w:w="0" w:type="auto"/>
        <w:tblLook w:val="04A0" w:firstRow="1" w:lastRow="0" w:firstColumn="1" w:lastColumn="0" w:noHBand="0" w:noVBand="1"/>
      </w:tblPr>
      <w:tblGrid>
        <w:gridCol w:w="9769"/>
      </w:tblGrid>
      <w:tr w:rsidR="00E96298" w14:paraId="2D1392E9" w14:textId="77777777" w:rsidTr="00446A14">
        <w:tc>
          <w:tcPr>
            <w:tcW w:w="9771" w:type="dxa"/>
            <w:shd w:val="clear" w:color="auto" w:fill="215E99" w:themeFill="text2" w:themeFillTint="BF"/>
          </w:tcPr>
          <w:p w14:paraId="5ABF94EF" w14:textId="6C0382EF" w:rsidR="00E96298" w:rsidRPr="00E96298" w:rsidRDefault="00E96298" w:rsidP="00622AA3">
            <w:pPr>
              <w:jc w:val="center"/>
              <w:rPr>
                <w:rFonts w:ascii="Calibri" w:hAnsi="Calibri" w:cs="Calibri"/>
                <w:b/>
                <w:bCs/>
                <w:color w:val="FFFFFF" w:themeColor="background1"/>
                <w:lang w:eastAsia="pt-BR"/>
              </w:rPr>
            </w:pPr>
            <w:r w:rsidRPr="00E96298">
              <w:rPr>
                <w:rFonts w:ascii="Calibri" w:hAnsi="Calibri" w:cs="Calibri"/>
                <w:b/>
                <w:bCs/>
                <w:color w:val="FFFFFF" w:themeColor="background1"/>
                <w:lang w:eastAsia="pt-BR"/>
              </w:rPr>
              <w:t>RELATÓRIO ANUAL RESUMIDO DO COMITÊ DE AUDITORIA ESTATUTÁRIO – COAUD/2023</w:t>
            </w:r>
          </w:p>
          <w:p w14:paraId="1116A70F" w14:textId="24D25A22" w:rsidR="00E96298" w:rsidRPr="00622AA3" w:rsidRDefault="00E96298" w:rsidP="00622AA3">
            <w:pPr>
              <w:jc w:val="center"/>
              <w:rPr>
                <w:rFonts w:ascii="Calibri" w:eastAsia="Times New Roman" w:hAnsi="Calibri" w:cs="Calibri"/>
                <w:b/>
                <w:bCs/>
                <w:color w:val="FFFFFF" w:themeColor="background1"/>
                <w:kern w:val="0"/>
                <w14:ligatures w14:val="none"/>
              </w:rPr>
            </w:pPr>
            <w:r w:rsidRPr="00E96298">
              <w:rPr>
                <w:rFonts w:ascii="Calibri" w:eastAsia="Times New Roman" w:hAnsi="Calibri" w:cs="Calibri"/>
                <w:b/>
                <w:bCs/>
                <w:color w:val="FFFFFF" w:themeColor="background1"/>
                <w:kern w:val="0"/>
                <w14:ligatures w14:val="none"/>
              </w:rPr>
              <w:t>Objeto: RELATÓRIO ANUAL RESUMIDO DO COMITÊ DE AUDITORIA ESTATUTÁRIO</w:t>
            </w:r>
          </w:p>
        </w:tc>
      </w:tr>
    </w:tbl>
    <w:p w14:paraId="158E36DD" w14:textId="77777777" w:rsidR="00E96298" w:rsidRDefault="00E96298" w:rsidP="00F30274">
      <w:pPr>
        <w:spacing w:after="0" w:line="240" w:lineRule="auto"/>
        <w:jc w:val="both"/>
        <w:rPr>
          <w:rFonts w:ascii="Calibri" w:eastAsia="Times New Roman" w:hAnsi="Calibri" w:cs="Calibri"/>
          <w:b/>
          <w:bCs/>
          <w:color w:val="FFFFFF" w:themeColor="background1"/>
          <w:kern w:val="0"/>
          <w14:ligatures w14:val="none"/>
        </w:rPr>
      </w:pPr>
      <w:r>
        <w:rPr>
          <w:rFonts w:ascii="Calibri" w:eastAsia="Times New Roman" w:hAnsi="Calibri" w:cs="Calibri"/>
          <w:b/>
          <w:bCs/>
          <w:color w:val="002060"/>
          <w:kern w:val="0"/>
          <w14:ligatures w14:val="none"/>
        </w:rPr>
        <w:t>1. I</w:t>
      </w:r>
      <w:r w:rsidRPr="00E96298">
        <w:rPr>
          <w:rFonts w:ascii="Calibri" w:eastAsia="Times New Roman" w:hAnsi="Calibri" w:cs="Calibri"/>
          <w:b/>
          <w:bCs/>
          <w:color w:val="002060"/>
          <w:kern w:val="0"/>
          <w14:ligatures w14:val="none"/>
        </w:rPr>
        <w:t>NTRODUÇÃO</w:t>
      </w:r>
    </w:p>
    <w:p w14:paraId="23C7D67A" w14:textId="711A35C8" w:rsidR="00E96298" w:rsidRPr="00E96298" w:rsidRDefault="00E96298" w:rsidP="00F30274">
      <w:pPr>
        <w:spacing w:after="0" w:line="240" w:lineRule="auto"/>
        <w:jc w:val="both"/>
        <w:rPr>
          <w:rFonts w:ascii="Calibri" w:eastAsia="Times New Roman" w:hAnsi="Calibri" w:cs="Calibri"/>
          <w:b/>
          <w:bCs/>
          <w:color w:val="FFFFFF" w:themeColor="background1"/>
          <w:kern w:val="0"/>
          <w14:ligatures w14:val="none"/>
        </w:rPr>
      </w:pPr>
      <w:r w:rsidRPr="00E96298">
        <w:rPr>
          <w:rFonts w:ascii="Calibri" w:eastAsia="Times New Roman" w:hAnsi="Calibri" w:cs="Calibri"/>
          <w:color w:val="002060"/>
          <w:kern w:val="0"/>
          <w14:ligatures w14:val="none"/>
        </w:rPr>
        <w:t>O Comitê de Auditoria, órgão estatutário da Telebras, foi instituído pela 435ª Reunião Ordinária do Conselho de Administração, realizada em 28/06/2018, em observância ao artigo 74 do Estatuto Social da Companhia e artigo 24 da Lei 13.303/2016.</w:t>
      </w:r>
    </w:p>
    <w:p w14:paraId="5B3D05A4" w14:textId="49D61EAD" w:rsidR="00E96298" w:rsidRPr="00E96298" w:rsidRDefault="00E96298" w:rsidP="00F30274">
      <w:pPr>
        <w:spacing w:after="0" w:line="240" w:lineRule="auto"/>
        <w:jc w:val="both"/>
        <w:rPr>
          <w:rFonts w:ascii="Calibri" w:eastAsia="Times New Roman" w:hAnsi="Calibri" w:cs="Calibri"/>
          <w:color w:val="002060"/>
          <w:kern w:val="0"/>
          <w14:ligatures w14:val="none"/>
        </w:rPr>
      </w:pPr>
      <w:r>
        <w:rPr>
          <w:rFonts w:ascii="Calibri" w:eastAsia="Times New Roman" w:hAnsi="Calibri" w:cs="Calibri"/>
          <w:b/>
          <w:bCs/>
          <w:color w:val="002060"/>
          <w:kern w:val="0"/>
          <w14:ligatures w14:val="none"/>
        </w:rPr>
        <w:t xml:space="preserve">2. </w:t>
      </w:r>
      <w:r w:rsidRPr="00E96298">
        <w:rPr>
          <w:rFonts w:ascii="Calibri" w:eastAsia="Times New Roman" w:hAnsi="Calibri" w:cs="Calibri"/>
          <w:b/>
          <w:bCs/>
          <w:color w:val="002060"/>
          <w:kern w:val="0"/>
          <w14:ligatures w14:val="none"/>
        </w:rPr>
        <w:t>FINALIDADE DO COMITÊ DE AUDITORIA</w:t>
      </w:r>
    </w:p>
    <w:p w14:paraId="4F0E41DD" w14:textId="77777777" w:rsidR="00E96298" w:rsidRPr="00E96298" w:rsidRDefault="00E96298" w:rsidP="00F30274">
      <w:pPr>
        <w:spacing w:after="0" w:line="240" w:lineRule="auto"/>
        <w:jc w:val="both"/>
        <w:rPr>
          <w:rFonts w:ascii="Calibri" w:eastAsia="Times New Roman" w:hAnsi="Calibri" w:cs="Calibri"/>
          <w:color w:val="002060"/>
          <w:kern w:val="0"/>
          <w14:ligatures w14:val="none"/>
        </w:rPr>
      </w:pPr>
      <w:r w:rsidRPr="00E96298">
        <w:rPr>
          <w:rFonts w:ascii="Calibri" w:eastAsia="Times New Roman" w:hAnsi="Calibri" w:cs="Calibri"/>
          <w:color w:val="002060"/>
          <w:kern w:val="0"/>
          <w14:ligatures w14:val="none"/>
        </w:rPr>
        <w:t xml:space="preserve">Assessorar o Conselho de Administração relativamente ao exercício das suas funções de auditoria e, dentre outras atribuições previstas em seu Regimento Interno supervisionar as atividades desenvolvidas nas áreas de controle interno e de elaboração das demonstrações financeiras e monitorar a qualidade e a integridade das demonstrações financeiras, bem como supervisionar as atividades dos auditores independentes, avaliando sua independência, a qualidade dos serviços prestados e a adequação de tais serviços as necessidades da Telebras. </w:t>
      </w:r>
    </w:p>
    <w:p w14:paraId="659494DB" w14:textId="3074155A" w:rsidR="00E96298" w:rsidRPr="00E96298" w:rsidRDefault="00E96298" w:rsidP="00F30274">
      <w:pPr>
        <w:spacing w:after="0" w:line="240" w:lineRule="auto"/>
        <w:jc w:val="both"/>
        <w:rPr>
          <w:rFonts w:ascii="Calibri" w:eastAsia="Times New Roman" w:hAnsi="Calibri" w:cs="Calibri"/>
          <w:b/>
          <w:bCs/>
          <w:color w:val="002060"/>
          <w:kern w:val="0"/>
          <w14:ligatures w14:val="none"/>
        </w:rPr>
      </w:pPr>
      <w:r w:rsidRPr="00E96298">
        <w:rPr>
          <w:rFonts w:ascii="Calibri" w:eastAsia="Times New Roman" w:hAnsi="Calibri" w:cs="Calibri"/>
          <w:b/>
          <w:bCs/>
          <w:color w:val="002060"/>
          <w:kern w:val="0"/>
          <w14:ligatures w14:val="none"/>
        </w:rPr>
        <w:t>3.</w:t>
      </w:r>
      <w:r>
        <w:rPr>
          <w:rFonts w:ascii="Calibri" w:eastAsia="Times New Roman" w:hAnsi="Calibri" w:cs="Calibri"/>
          <w:color w:val="002060"/>
          <w:kern w:val="0"/>
          <w14:ligatures w14:val="none"/>
        </w:rPr>
        <w:t xml:space="preserve"> </w:t>
      </w:r>
      <w:r w:rsidRPr="00E96298">
        <w:rPr>
          <w:rFonts w:ascii="Calibri" w:eastAsia="Times New Roman" w:hAnsi="Calibri" w:cs="Calibri"/>
          <w:b/>
          <w:bCs/>
          <w:color w:val="002060"/>
          <w:kern w:val="0"/>
          <w14:ligatures w14:val="none"/>
        </w:rPr>
        <w:t>COMPOSIÇÃO DO COMITÊ DE AUDITORIA</w:t>
      </w:r>
    </w:p>
    <w:p w14:paraId="101F7518" w14:textId="77777777" w:rsidR="00E96298" w:rsidRPr="00E96298" w:rsidRDefault="00E96298" w:rsidP="00F30274">
      <w:pPr>
        <w:spacing w:after="0" w:line="240" w:lineRule="auto"/>
        <w:jc w:val="both"/>
        <w:rPr>
          <w:rFonts w:ascii="Calibri" w:eastAsia="Times New Roman" w:hAnsi="Calibri" w:cs="Calibri"/>
          <w:color w:val="002060"/>
          <w:kern w:val="0"/>
          <w14:ligatures w14:val="none"/>
        </w:rPr>
      </w:pPr>
      <w:r w:rsidRPr="00E96298">
        <w:rPr>
          <w:rFonts w:ascii="Calibri" w:eastAsia="Times New Roman" w:hAnsi="Calibri" w:cs="Calibri"/>
          <w:color w:val="002060"/>
          <w:kern w:val="0"/>
          <w14:ligatures w14:val="none"/>
        </w:rPr>
        <w:t xml:space="preserve">O Comitê de Auditoria Estatutário (COAUD), em 31 de dezembro de 2023, era composto pelos seguintes membros: Jorge Ricardo Bittar (Presidente do Comitê e Conselheiro de Administração Independente), Paula Vicente da Silva (Especialista em Contabilidade Societária) e </w:t>
      </w:r>
      <w:proofErr w:type="spellStart"/>
      <w:r w:rsidRPr="00E96298">
        <w:rPr>
          <w:rFonts w:ascii="Calibri" w:eastAsia="Times New Roman" w:hAnsi="Calibri" w:cs="Calibri"/>
          <w:color w:val="002060"/>
          <w:kern w:val="0"/>
          <w14:ligatures w14:val="none"/>
        </w:rPr>
        <w:t>Glauben</w:t>
      </w:r>
      <w:proofErr w:type="spellEnd"/>
      <w:r w:rsidRPr="00E96298">
        <w:rPr>
          <w:rFonts w:ascii="Calibri" w:eastAsia="Times New Roman" w:hAnsi="Calibri" w:cs="Calibri"/>
          <w:color w:val="002060"/>
          <w:kern w:val="0"/>
          <w14:ligatures w14:val="none"/>
        </w:rPr>
        <w:t xml:space="preserve"> Teixeira de Carvalho.</w:t>
      </w:r>
    </w:p>
    <w:p w14:paraId="21DBE3E6" w14:textId="4D704FB5" w:rsidR="00E96298" w:rsidRPr="00E96298" w:rsidRDefault="00E96298" w:rsidP="00F30274">
      <w:pPr>
        <w:spacing w:after="0" w:line="240" w:lineRule="auto"/>
        <w:jc w:val="both"/>
        <w:rPr>
          <w:rFonts w:ascii="Calibri" w:eastAsia="Times New Roman" w:hAnsi="Calibri" w:cs="Calibri"/>
          <w:color w:val="002060"/>
          <w:kern w:val="0"/>
          <w14:ligatures w14:val="none"/>
        </w:rPr>
      </w:pPr>
      <w:r>
        <w:rPr>
          <w:rFonts w:ascii="Calibri" w:eastAsia="Times New Roman" w:hAnsi="Calibri" w:cs="Calibri"/>
          <w:b/>
          <w:bCs/>
          <w:color w:val="002060"/>
          <w:kern w:val="0"/>
          <w14:ligatures w14:val="none"/>
        </w:rPr>
        <w:t xml:space="preserve">4. </w:t>
      </w:r>
      <w:r w:rsidRPr="00E96298">
        <w:rPr>
          <w:rFonts w:ascii="Calibri" w:eastAsia="Times New Roman" w:hAnsi="Calibri" w:cs="Calibri"/>
          <w:b/>
          <w:bCs/>
          <w:color w:val="002060"/>
          <w:kern w:val="0"/>
          <w14:ligatures w14:val="none"/>
        </w:rPr>
        <w:t>ATIVIDADES EXERCIDAS NO ÂMBITO DE SUAS ATRIBUIÇÕES</w:t>
      </w:r>
    </w:p>
    <w:p w14:paraId="0BC2C1A7" w14:textId="77777777" w:rsidR="00E96298" w:rsidRPr="00E96298" w:rsidRDefault="00E96298" w:rsidP="00F30274">
      <w:pPr>
        <w:spacing w:after="0" w:line="240" w:lineRule="auto"/>
        <w:jc w:val="both"/>
        <w:rPr>
          <w:rFonts w:ascii="Calibri" w:eastAsia="Times New Roman" w:hAnsi="Calibri" w:cs="Calibri"/>
          <w:color w:val="002060"/>
          <w:kern w:val="0"/>
          <w14:ligatures w14:val="none"/>
        </w:rPr>
      </w:pPr>
      <w:r w:rsidRPr="00E96298">
        <w:rPr>
          <w:rFonts w:ascii="Calibri" w:eastAsia="Times New Roman" w:hAnsi="Calibri" w:cs="Calibri"/>
          <w:color w:val="002060"/>
          <w:kern w:val="0"/>
          <w14:ligatures w14:val="none"/>
        </w:rPr>
        <w:t>Durante o ano de 2023, o Comitê reuniu-se em 59 (cinquenta e nove) ocasiões.</w:t>
      </w:r>
    </w:p>
    <w:p w14:paraId="498BE801" w14:textId="77777777" w:rsidR="00E96298" w:rsidRPr="00E96298" w:rsidRDefault="00E96298" w:rsidP="00F30274">
      <w:pPr>
        <w:spacing w:after="0" w:line="240" w:lineRule="auto"/>
        <w:jc w:val="both"/>
        <w:rPr>
          <w:rFonts w:ascii="Calibri" w:eastAsia="Times New Roman" w:hAnsi="Calibri" w:cs="Calibri"/>
          <w:color w:val="002060"/>
          <w:kern w:val="0"/>
          <w14:ligatures w14:val="none"/>
        </w:rPr>
      </w:pPr>
      <w:r w:rsidRPr="00E96298">
        <w:rPr>
          <w:rFonts w:ascii="Calibri" w:eastAsia="Times New Roman" w:hAnsi="Calibri" w:cs="Calibri"/>
          <w:color w:val="002060"/>
          <w:kern w:val="0"/>
          <w14:ligatures w14:val="none"/>
        </w:rPr>
        <w:t>Em suas reuniões, o COAUD, após análise e debate com as áreas operacionais, emitiu sugestões, solicitações e recomendações para o aperfeiçoamento de processos conforme extratos constantes das atas de reuniões, a seguir.</w:t>
      </w:r>
    </w:p>
    <w:p w14:paraId="7BF4DB52" w14:textId="77777777" w:rsidR="00E96298" w:rsidRDefault="00E96298" w:rsidP="00F30274">
      <w:pPr>
        <w:spacing w:after="0" w:line="240" w:lineRule="auto"/>
        <w:jc w:val="both"/>
        <w:rPr>
          <w:rFonts w:ascii="Calibri" w:eastAsia="Times New Roman" w:hAnsi="Calibri" w:cs="Calibri"/>
          <w:b/>
          <w:bCs/>
          <w:color w:val="002060"/>
          <w:kern w:val="0"/>
          <w14:ligatures w14:val="none"/>
        </w:rPr>
      </w:pPr>
      <w:r w:rsidRPr="00E96298">
        <w:rPr>
          <w:rFonts w:ascii="Calibri" w:eastAsia="Times New Roman" w:hAnsi="Calibri" w:cs="Calibri"/>
          <w:b/>
          <w:bCs/>
          <w:color w:val="002060"/>
          <w:kern w:val="0"/>
          <w14:ligatures w14:val="none"/>
        </w:rPr>
        <w:t>Recomendações, Sugestões e Resultados:</w:t>
      </w:r>
    </w:p>
    <w:tbl>
      <w:tblPr>
        <w:tblW w:w="8552" w:type="dxa"/>
        <w:tblInd w:w="-10" w:type="dxa"/>
        <w:tblCellMar>
          <w:left w:w="70" w:type="dxa"/>
          <w:right w:w="70" w:type="dxa"/>
        </w:tblCellMar>
        <w:tblLook w:val="04A0" w:firstRow="1" w:lastRow="0" w:firstColumn="1" w:lastColumn="0" w:noHBand="0" w:noVBand="1"/>
      </w:tblPr>
      <w:tblGrid>
        <w:gridCol w:w="4124"/>
        <w:gridCol w:w="945"/>
        <w:gridCol w:w="1925"/>
        <w:gridCol w:w="1558"/>
      </w:tblGrid>
      <w:tr w:rsidR="00E96298" w:rsidRPr="00E96298" w14:paraId="3AC9B0AD" w14:textId="77777777" w:rsidTr="00446A14">
        <w:trPr>
          <w:trHeight w:val="182"/>
        </w:trPr>
        <w:tc>
          <w:tcPr>
            <w:tcW w:w="8552" w:type="dxa"/>
            <w:gridSpan w:val="4"/>
            <w:tcBorders>
              <w:top w:val="single" w:sz="8" w:space="0" w:color="auto"/>
              <w:left w:val="single" w:sz="8" w:space="0" w:color="auto"/>
              <w:bottom w:val="single" w:sz="8" w:space="0" w:color="auto"/>
              <w:right w:val="nil"/>
            </w:tcBorders>
            <w:shd w:val="clear" w:color="000000" w:fill="002060"/>
            <w:vAlign w:val="center"/>
            <w:hideMark/>
          </w:tcPr>
          <w:p w14:paraId="0F834A65" w14:textId="77777777" w:rsidR="00E96298" w:rsidRPr="00E96298" w:rsidRDefault="00E96298" w:rsidP="00E96298">
            <w:pPr>
              <w:suppressAutoHyphens/>
              <w:spacing w:after="0" w:line="276" w:lineRule="auto"/>
              <w:jc w:val="center"/>
              <w:rPr>
                <w:rFonts w:ascii="Calibri" w:eastAsia="Times New Roman" w:hAnsi="Calibri" w:cs="Calibri"/>
                <w:b/>
                <w:bCs/>
                <w:color w:val="FFFFFF"/>
                <w:kern w:val="0"/>
                <w:sz w:val="24"/>
                <w:szCs w:val="24"/>
                <w:lang w:eastAsia="pt-BR"/>
                <w14:ligatures w14:val="none"/>
              </w:rPr>
            </w:pPr>
            <w:r w:rsidRPr="00E96298">
              <w:rPr>
                <w:rFonts w:ascii="Calibri" w:eastAsia="Times New Roman" w:hAnsi="Calibri" w:cs="Calibri"/>
                <w:b/>
                <w:bCs/>
                <w:color w:val="FFFFFF"/>
                <w:kern w:val="0"/>
                <w:sz w:val="24"/>
                <w:szCs w:val="24"/>
                <w:lang w:eastAsia="pt-BR"/>
                <w14:ligatures w14:val="none"/>
              </w:rPr>
              <w:t xml:space="preserve">Período:  </w:t>
            </w:r>
            <w:proofErr w:type="gramStart"/>
            <w:r w:rsidRPr="00E96298">
              <w:rPr>
                <w:rFonts w:ascii="Calibri" w:eastAsia="Times New Roman" w:hAnsi="Calibri" w:cs="Calibri"/>
                <w:b/>
                <w:bCs/>
                <w:color w:val="FFFFFF"/>
                <w:kern w:val="0"/>
                <w:sz w:val="24"/>
                <w:szCs w:val="24"/>
                <w:lang w:eastAsia="pt-BR"/>
                <w14:ligatures w14:val="none"/>
              </w:rPr>
              <w:t>Janeiro</w:t>
            </w:r>
            <w:proofErr w:type="gramEnd"/>
            <w:r w:rsidRPr="00E96298">
              <w:rPr>
                <w:rFonts w:ascii="Calibri" w:eastAsia="Times New Roman" w:hAnsi="Calibri" w:cs="Calibri"/>
                <w:b/>
                <w:bCs/>
                <w:color w:val="FFFFFF"/>
                <w:kern w:val="0"/>
                <w:sz w:val="24"/>
                <w:szCs w:val="24"/>
                <w:lang w:eastAsia="pt-BR"/>
                <w14:ligatures w14:val="none"/>
              </w:rPr>
              <w:t>-Dezembro de 2023</w:t>
            </w:r>
          </w:p>
        </w:tc>
      </w:tr>
      <w:tr w:rsidR="00E96298" w:rsidRPr="00E96298" w14:paraId="3DA2E62B" w14:textId="77777777" w:rsidTr="00E96298">
        <w:trPr>
          <w:trHeight w:val="509"/>
        </w:trPr>
        <w:tc>
          <w:tcPr>
            <w:tcW w:w="4124" w:type="dxa"/>
            <w:tcBorders>
              <w:top w:val="nil"/>
              <w:left w:val="single" w:sz="8" w:space="0" w:color="auto"/>
              <w:bottom w:val="single" w:sz="8" w:space="0" w:color="auto"/>
              <w:right w:val="single" w:sz="8" w:space="0" w:color="auto"/>
            </w:tcBorders>
            <w:shd w:val="clear" w:color="000000" w:fill="1F4E78"/>
            <w:vAlign w:val="center"/>
            <w:hideMark/>
          </w:tcPr>
          <w:p w14:paraId="668BA839" w14:textId="77777777" w:rsidR="00E96298" w:rsidRPr="00E96298" w:rsidRDefault="00E96298" w:rsidP="00E96298">
            <w:pPr>
              <w:suppressAutoHyphens/>
              <w:spacing w:after="0" w:line="276" w:lineRule="auto"/>
              <w:jc w:val="center"/>
              <w:rPr>
                <w:rFonts w:ascii="Calibri" w:eastAsia="Times New Roman" w:hAnsi="Calibri" w:cs="Calibri"/>
                <w:b/>
                <w:bCs/>
                <w:color w:val="FFFFFF"/>
                <w:kern w:val="0"/>
                <w:sz w:val="24"/>
                <w:szCs w:val="24"/>
                <w:lang w:eastAsia="pt-BR"/>
                <w14:ligatures w14:val="none"/>
              </w:rPr>
            </w:pPr>
            <w:r w:rsidRPr="00E96298">
              <w:rPr>
                <w:rFonts w:ascii="Calibri" w:eastAsia="Times New Roman" w:hAnsi="Calibri" w:cs="Calibri"/>
                <w:b/>
                <w:bCs/>
                <w:color w:val="FFFFFF"/>
                <w:kern w:val="0"/>
                <w:sz w:val="24"/>
                <w:szCs w:val="24"/>
                <w:lang w:eastAsia="pt-BR"/>
                <w14:ligatures w14:val="none"/>
              </w:rPr>
              <w:lastRenderedPageBreak/>
              <w:t>Demanda</w:t>
            </w:r>
          </w:p>
        </w:tc>
        <w:tc>
          <w:tcPr>
            <w:tcW w:w="945" w:type="dxa"/>
            <w:tcBorders>
              <w:top w:val="nil"/>
              <w:left w:val="nil"/>
              <w:bottom w:val="single" w:sz="8" w:space="0" w:color="auto"/>
              <w:right w:val="single" w:sz="8" w:space="0" w:color="auto"/>
            </w:tcBorders>
            <w:shd w:val="clear" w:color="000000" w:fill="1F4E78"/>
            <w:vAlign w:val="center"/>
            <w:hideMark/>
          </w:tcPr>
          <w:p w14:paraId="16C18892" w14:textId="77777777" w:rsidR="00E96298" w:rsidRPr="00E96298" w:rsidRDefault="00E96298" w:rsidP="00E96298">
            <w:pPr>
              <w:suppressAutoHyphens/>
              <w:spacing w:after="0" w:line="276" w:lineRule="auto"/>
              <w:jc w:val="center"/>
              <w:rPr>
                <w:rFonts w:ascii="Calibri" w:eastAsia="Times New Roman" w:hAnsi="Calibri" w:cs="Calibri"/>
                <w:b/>
                <w:bCs/>
                <w:color w:val="FFFFFF"/>
                <w:kern w:val="0"/>
                <w:sz w:val="24"/>
                <w:szCs w:val="24"/>
                <w:lang w:eastAsia="pt-BR"/>
                <w14:ligatures w14:val="none"/>
              </w:rPr>
            </w:pPr>
            <w:r w:rsidRPr="00E96298">
              <w:rPr>
                <w:rFonts w:ascii="Calibri" w:eastAsia="Times New Roman" w:hAnsi="Calibri" w:cs="Calibri"/>
                <w:b/>
                <w:bCs/>
                <w:color w:val="FFFFFF"/>
                <w:kern w:val="0"/>
                <w:sz w:val="24"/>
                <w:szCs w:val="24"/>
                <w:lang w:eastAsia="pt-BR"/>
                <w14:ligatures w14:val="none"/>
              </w:rPr>
              <w:t>Total</w:t>
            </w:r>
          </w:p>
        </w:tc>
        <w:tc>
          <w:tcPr>
            <w:tcW w:w="1925" w:type="dxa"/>
            <w:tcBorders>
              <w:top w:val="nil"/>
              <w:left w:val="nil"/>
              <w:bottom w:val="single" w:sz="8" w:space="0" w:color="auto"/>
              <w:right w:val="single" w:sz="8" w:space="0" w:color="auto"/>
            </w:tcBorders>
            <w:shd w:val="clear" w:color="000000" w:fill="1F4E78"/>
            <w:vAlign w:val="center"/>
            <w:hideMark/>
          </w:tcPr>
          <w:p w14:paraId="19A1182A" w14:textId="77777777" w:rsidR="00E96298" w:rsidRPr="00E96298" w:rsidRDefault="00E96298" w:rsidP="00E96298">
            <w:pPr>
              <w:suppressAutoHyphens/>
              <w:spacing w:after="0" w:line="276" w:lineRule="auto"/>
              <w:jc w:val="center"/>
              <w:rPr>
                <w:rFonts w:ascii="Calibri" w:eastAsia="Times New Roman" w:hAnsi="Calibri" w:cs="Calibri"/>
                <w:b/>
                <w:bCs/>
                <w:color w:val="FFFFFF"/>
                <w:kern w:val="0"/>
                <w:sz w:val="24"/>
                <w:szCs w:val="24"/>
                <w:lang w:eastAsia="pt-BR"/>
                <w14:ligatures w14:val="none"/>
              </w:rPr>
            </w:pPr>
            <w:r w:rsidRPr="00E96298">
              <w:rPr>
                <w:rFonts w:ascii="Calibri" w:eastAsia="Times New Roman" w:hAnsi="Calibri" w:cs="Calibri"/>
                <w:b/>
                <w:bCs/>
                <w:color w:val="FFFFFF"/>
                <w:kern w:val="0"/>
                <w:sz w:val="24"/>
                <w:szCs w:val="24"/>
                <w:lang w:eastAsia="pt-BR"/>
                <w14:ligatures w14:val="none"/>
              </w:rPr>
              <w:t>Implementadas</w:t>
            </w:r>
          </w:p>
        </w:tc>
        <w:tc>
          <w:tcPr>
            <w:tcW w:w="1558" w:type="dxa"/>
            <w:tcBorders>
              <w:top w:val="nil"/>
              <w:left w:val="nil"/>
              <w:bottom w:val="single" w:sz="8" w:space="0" w:color="auto"/>
              <w:right w:val="single" w:sz="8" w:space="0" w:color="auto"/>
            </w:tcBorders>
            <w:shd w:val="clear" w:color="000000" w:fill="1F4E78"/>
            <w:vAlign w:val="center"/>
            <w:hideMark/>
          </w:tcPr>
          <w:p w14:paraId="5428D5E7" w14:textId="77777777" w:rsidR="00E96298" w:rsidRPr="00E96298" w:rsidRDefault="00E96298" w:rsidP="00E96298">
            <w:pPr>
              <w:suppressAutoHyphens/>
              <w:spacing w:after="0" w:line="276" w:lineRule="auto"/>
              <w:jc w:val="center"/>
              <w:rPr>
                <w:rFonts w:ascii="Calibri" w:eastAsia="Times New Roman" w:hAnsi="Calibri" w:cs="Calibri"/>
                <w:b/>
                <w:bCs/>
                <w:color w:val="FFFFFF"/>
                <w:kern w:val="0"/>
                <w:sz w:val="24"/>
                <w:szCs w:val="24"/>
                <w:lang w:eastAsia="pt-BR"/>
                <w14:ligatures w14:val="none"/>
              </w:rPr>
            </w:pPr>
            <w:r w:rsidRPr="00E96298">
              <w:rPr>
                <w:rFonts w:ascii="Calibri" w:eastAsia="Times New Roman" w:hAnsi="Calibri" w:cs="Calibri"/>
                <w:b/>
                <w:bCs/>
                <w:color w:val="FFFFFF"/>
                <w:kern w:val="0"/>
                <w:sz w:val="24"/>
                <w:szCs w:val="24"/>
                <w:lang w:eastAsia="pt-BR"/>
                <w14:ligatures w14:val="none"/>
              </w:rPr>
              <w:t>Em andamento</w:t>
            </w:r>
          </w:p>
        </w:tc>
      </w:tr>
      <w:tr w:rsidR="00E96298" w:rsidRPr="00E96298" w14:paraId="39A9E0DC" w14:textId="77777777" w:rsidTr="00E96298">
        <w:trPr>
          <w:trHeight w:val="175"/>
        </w:trPr>
        <w:tc>
          <w:tcPr>
            <w:tcW w:w="4124" w:type="dxa"/>
            <w:vMerge w:val="restart"/>
            <w:tcBorders>
              <w:top w:val="nil"/>
              <w:left w:val="single" w:sz="8" w:space="0" w:color="auto"/>
              <w:bottom w:val="single" w:sz="8" w:space="0" w:color="000000"/>
              <w:right w:val="single" w:sz="8" w:space="0" w:color="auto"/>
            </w:tcBorders>
            <w:shd w:val="clear" w:color="auto" w:fill="auto"/>
            <w:vAlign w:val="center"/>
            <w:hideMark/>
          </w:tcPr>
          <w:p w14:paraId="2D64E500" w14:textId="77777777" w:rsidR="00E96298" w:rsidRPr="00E96298" w:rsidRDefault="00E96298" w:rsidP="00E96298">
            <w:pPr>
              <w:suppressAutoHyphens/>
              <w:spacing w:after="0" w:line="276" w:lineRule="auto"/>
              <w:jc w:val="center"/>
              <w:rPr>
                <w:rFonts w:ascii="Calibri" w:eastAsia="Times New Roman" w:hAnsi="Calibri" w:cs="Calibri"/>
                <w:color w:val="000000"/>
                <w:kern w:val="0"/>
                <w:sz w:val="24"/>
                <w:szCs w:val="24"/>
                <w:lang w:eastAsia="pt-BR"/>
                <w14:ligatures w14:val="none"/>
              </w:rPr>
            </w:pPr>
            <w:r w:rsidRPr="00E96298">
              <w:rPr>
                <w:rFonts w:ascii="Calibri" w:eastAsia="Times New Roman" w:hAnsi="Calibri" w:cs="Calibri"/>
                <w:color w:val="000000"/>
                <w:kern w:val="0"/>
                <w:sz w:val="24"/>
                <w:szCs w:val="24"/>
                <w:lang w:eastAsia="pt-BR"/>
                <w14:ligatures w14:val="none"/>
              </w:rPr>
              <w:t>Recomendações</w:t>
            </w:r>
          </w:p>
        </w:tc>
        <w:tc>
          <w:tcPr>
            <w:tcW w:w="945" w:type="dxa"/>
            <w:tcBorders>
              <w:top w:val="nil"/>
              <w:left w:val="nil"/>
              <w:bottom w:val="single" w:sz="8" w:space="0" w:color="auto"/>
              <w:right w:val="single" w:sz="8" w:space="0" w:color="auto"/>
            </w:tcBorders>
            <w:shd w:val="clear" w:color="auto" w:fill="auto"/>
            <w:vAlign w:val="center"/>
            <w:hideMark/>
          </w:tcPr>
          <w:p w14:paraId="12B201A0" w14:textId="77777777" w:rsidR="00E96298" w:rsidRPr="00E96298" w:rsidRDefault="00E96298" w:rsidP="00E96298">
            <w:pPr>
              <w:suppressAutoHyphens/>
              <w:spacing w:after="0" w:line="276" w:lineRule="auto"/>
              <w:jc w:val="center"/>
              <w:rPr>
                <w:rFonts w:ascii="Calibri" w:eastAsia="Times New Roman" w:hAnsi="Calibri" w:cs="Calibri"/>
                <w:b/>
                <w:bCs/>
                <w:color w:val="000000"/>
                <w:kern w:val="0"/>
                <w:sz w:val="24"/>
                <w:szCs w:val="24"/>
                <w:lang w:eastAsia="pt-BR"/>
                <w14:ligatures w14:val="none"/>
              </w:rPr>
            </w:pPr>
            <w:r w:rsidRPr="00E96298">
              <w:rPr>
                <w:rFonts w:ascii="Calibri" w:eastAsia="Times New Roman" w:hAnsi="Calibri" w:cs="Calibri"/>
                <w:b/>
                <w:bCs/>
                <w:color w:val="000000"/>
                <w:kern w:val="0"/>
                <w:sz w:val="24"/>
                <w:szCs w:val="24"/>
                <w:lang w:eastAsia="pt-BR"/>
                <w14:ligatures w14:val="none"/>
              </w:rPr>
              <w:t>10</w:t>
            </w:r>
          </w:p>
        </w:tc>
        <w:tc>
          <w:tcPr>
            <w:tcW w:w="1925" w:type="dxa"/>
            <w:tcBorders>
              <w:top w:val="nil"/>
              <w:left w:val="nil"/>
              <w:bottom w:val="single" w:sz="8" w:space="0" w:color="auto"/>
              <w:right w:val="single" w:sz="8" w:space="0" w:color="auto"/>
            </w:tcBorders>
            <w:shd w:val="clear" w:color="auto" w:fill="auto"/>
            <w:vAlign w:val="center"/>
            <w:hideMark/>
          </w:tcPr>
          <w:p w14:paraId="51F51BAF" w14:textId="77777777" w:rsidR="00E96298" w:rsidRPr="00E96298" w:rsidRDefault="00E96298" w:rsidP="00E96298">
            <w:pPr>
              <w:suppressAutoHyphens/>
              <w:spacing w:after="0" w:line="276" w:lineRule="auto"/>
              <w:jc w:val="center"/>
              <w:rPr>
                <w:rFonts w:ascii="Calibri" w:eastAsia="Times New Roman" w:hAnsi="Calibri" w:cs="Calibri"/>
                <w:color w:val="000000"/>
                <w:kern w:val="0"/>
                <w:sz w:val="24"/>
                <w:szCs w:val="24"/>
                <w:lang w:eastAsia="pt-BR"/>
                <w14:ligatures w14:val="none"/>
              </w:rPr>
            </w:pPr>
            <w:r w:rsidRPr="00E96298">
              <w:rPr>
                <w:rFonts w:ascii="Calibri" w:eastAsia="Times New Roman" w:hAnsi="Calibri" w:cs="Calibri"/>
                <w:color w:val="000000"/>
                <w:kern w:val="0"/>
                <w:sz w:val="24"/>
                <w:szCs w:val="24"/>
                <w:lang w:eastAsia="pt-BR"/>
                <w14:ligatures w14:val="none"/>
              </w:rPr>
              <w:t>8</w:t>
            </w:r>
          </w:p>
        </w:tc>
        <w:tc>
          <w:tcPr>
            <w:tcW w:w="1558" w:type="dxa"/>
            <w:tcBorders>
              <w:top w:val="nil"/>
              <w:left w:val="nil"/>
              <w:bottom w:val="single" w:sz="8" w:space="0" w:color="auto"/>
              <w:right w:val="single" w:sz="8" w:space="0" w:color="auto"/>
            </w:tcBorders>
            <w:shd w:val="clear" w:color="auto" w:fill="auto"/>
            <w:vAlign w:val="center"/>
            <w:hideMark/>
          </w:tcPr>
          <w:p w14:paraId="4333EA22" w14:textId="77777777" w:rsidR="00E96298" w:rsidRPr="00E96298" w:rsidRDefault="00E96298" w:rsidP="00E96298">
            <w:pPr>
              <w:suppressAutoHyphens/>
              <w:spacing w:after="0" w:line="276" w:lineRule="auto"/>
              <w:jc w:val="center"/>
              <w:rPr>
                <w:rFonts w:ascii="Calibri" w:eastAsia="Times New Roman" w:hAnsi="Calibri" w:cs="Calibri"/>
                <w:color w:val="000000"/>
                <w:kern w:val="0"/>
                <w:sz w:val="24"/>
                <w:szCs w:val="24"/>
                <w:lang w:eastAsia="pt-BR"/>
                <w14:ligatures w14:val="none"/>
              </w:rPr>
            </w:pPr>
            <w:r w:rsidRPr="00E96298">
              <w:rPr>
                <w:rFonts w:ascii="Calibri" w:eastAsia="Times New Roman" w:hAnsi="Calibri" w:cs="Calibri"/>
                <w:color w:val="000000"/>
                <w:kern w:val="0"/>
                <w:sz w:val="24"/>
                <w:szCs w:val="24"/>
                <w:lang w:eastAsia="pt-BR"/>
                <w14:ligatures w14:val="none"/>
              </w:rPr>
              <w:t>2</w:t>
            </w:r>
          </w:p>
        </w:tc>
      </w:tr>
      <w:tr w:rsidR="00E96298" w:rsidRPr="00E96298" w14:paraId="02459496" w14:textId="77777777" w:rsidTr="00E96298">
        <w:trPr>
          <w:trHeight w:val="175"/>
        </w:trPr>
        <w:tc>
          <w:tcPr>
            <w:tcW w:w="4124" w:type="dxa"/>
            <w:vMerge/>
            <w:tcBorders>
              <w:top w:val="nil"/>
              <w:left w:val="single" w:sz="8" w:space="0" w:color="auto"/>
              <w:bottom w:val="single" w:sz="8" w:space="0" w:color="000000"/>
              <w:right w:val="single" w:sz="8" w:space="0" w:color="auto"/>
            </w:tcBorders>
            <w:vAlign w:val="center"/>
            <w:hideMark/>
          </w:tcPr>
          <w:p w14:paraId="45242ED7" w14:textId="77777777" w:rsidR="00E96298" w:rsidRPr="00E96298" w:rsidRDefault="00E96298" w:rsidP="00E96298">
            <w:pPr>
              <w:suppressAutoHyphens/>
              <w:spacing w:after="0" w:line="276" w:lineRule="auto"/>
              <w:rPr>
                <w:rFonts w:ascii="Calibri" w:eastAsia="Times New Roman" w:hAnsi="Calibri" w:cs="Calibri"/>
                <w:color w:val="000000"/>
                <w:kern w:val="0"/>
                <w:sz w:val="24"/>
                <w:szCs w:val="24"/>
                <w:lang w:eastAsia="pt-BR"/>
                <w14:ligatures w14:val="none"/>
              </w:rPr>
            </w:pPr>
          </w:p>
        </w:tc>
        <w:tc>
          <w:tcPr>
            <w:tcW w:w="945" w:type="dxa"/>
            <w:tcBorders>
              <w:top w:val="nil"/>
              <w:left w:val="nil"/>
              <w:bottom w:val="single" w:sz="8" w:space="0" w:color="auto"/>
              <w:right w:val="single" w:sz="8" w:space="0" w:color="auto"/>
            </w:tcBorders>
            <w:shd w:val="clear" w:color="auto" w:fill="auto"/>
            <w:vAlign w:val="center"/>
            <w:hideMark/>
          </w:tcPr>
          <w:p w14:paraId="1825BC8F" w14:textId="77777777" w:rsidR="00E96298" w:rsidRPr="00E96298" w:rsidRDefault="00E96298" w:rsidP="00E96298">
            <w:pPr>
              <w:suppressAutoHyphens/>
              <w:spacing w:after="0" w:line="276" w:lineRule="auto"/>
              <w:jc w:val="center"/>
              <w:rPr>
                <w:rFonts w:ascii="Calibri" w:eastAsia="Times New Roman" w:hAnsi="Calibri" w:cs="Calibri"/>
                <w:b/>
                <w:bCs/>
                <w:color w:val="000000"/>
                <w:kern w:val="0"/>
                <w:sz w:val="24"/>
                <w:szCs w:val="24"/>
                <w:lang w:eastAsia="pt-BR"/>
                <w14:ligatures w14:val="none"/>
              </w:rPr>
            </w:pPr>
            <w:r w:rsidRPr="00E96298">
              <w:rPr>
                <w:rFonts w:ascii="Calibri" w:eastAsia="Times New Roman" w:hAnsi="Calibri" w:cs="Calibri"/>
                <w:b/>
                <w:bCs/>
                <w:color w:val="000000"/>
                <w:kern w:val="0"/>
                <w:sz w:val="24"/>
                <w:szCs w:val="24"/>
                <w:lang w:eastAsia="pt-BR"/>
                <w14:ligatures w14:val="none"/>
              </w:rPr>
              <w:t>100%</w:t>
            </w:r>
          </w:p>
        </w:tc>
        <w:tc>
          <w:tcPr>
            <w:tcW w:w="1925" w:type="dxa"/>
            <w:tcBorders>
              <w:top w:val="nil"/>
              <w:left w:val="nil"/>
              <w:bottom w:val="single" w:sz="8" w:space="0" w:color="auto"/>
              <w:right w:val="single" w:sz="8" w:space="0" w:color="auto"/>
            </w:tcBorders>
            <w:shd w:val="clear" w:color="auto" w:fill="auto"/>
            <w:vAlign w:val="center"/>
            <w:hideMark/>
          </w:tcPr>
          <w:p w14:paraId="7ABF743D" w14:textId="77777777" w:rsidR="00E96298" w:rsidRPr="00E96298" w:rsidRDefault="00E96298" w:rsidP="00E96298">
            <w:pPr>
              <w:suppressAutoHyphens/>
              <w:spacing w:after="0" w:line="276" w:lineRule="auto"/>
              <w:jc w:val="center"/>
              <w:rPr>
                <w:rFonts w:ascii="Calibri" w:eastAsia="Times New Roman" w:hAnsi="Calibri" w:cs="Calibri"/>
                <w:color w:val="000000"/>
                <w:kern w:val="0"/>
                <w:sz w:val="24"/>
                <w:szCs w:val="24"/>
                <w:lang w:eastAsia="pt-BR"/>
                <w14:ligatures w14:val="none"/>
              </w:rPr>
            </w:pPr>
            <w:r w:rsidRPr="00E96298">
              <w:rPr>
                <w:rFonts w:ascii="Calibri" w:eastAsia="Times New Roman" w:hAnsi="Calibri" w:cs="Calibri"/>
                <w:color w:val="000000"/>
                <w:kern w:val="0"/>
                <w:sz w:val="24"/>
                <w:szCs w:val="24"/>
                <w:lang w:eastAsia="pt-BR"/>
                <w14:ligatures w14:val="none"/>
              </w:rPr>
              <w:t>80%</w:t>
            </w:r>
          </w:p>
        </w:tc>
        <w:tc>
          <w:tcPr>
            <w:tcW w:w="1558" w:type="dxa"/>
            <w:tcBorders>
              <w:top w:val="nil"/>
              <w:left w:val="nil"/>
              <w:bottom w:val="single" w:sz="8" w:space="0" w:color="auto"/>
              <w:right w:val="single" w:sz="8" w:space="0" w:color="auto"/>
            </w:tcBorders>
            <w:shd w:val="clear" w:color="auto" w:fill="auto"/>
            <w:vAlign w:val="center"/>
            <w:hideMark/>
          </w:tcPr>
          <w:p w14:paraId="1DDB5481" w14:textId="77777777" w:rsidR="00E96298" w:rsidRPr="00E96298" w:rsidRDefault="00E96298" w:rsidP="00E96298">
            <w:pPr>
              <w:suppressAutoHyphens/>
              <w:spacing w:after="0" w:line="276" w:lineRule="auto"/>
              <w:jc w:val="center"/>
              <w:rPr>
                <w:rFonts w:ascii="Calibri" w:eastAsia="Times New Roman" w:hAnsi="Calibri" w:cs="Calibri"/>
                <w:color w:val="000000"/>
                <w:kern w:val="0"/>
                <w:sz w:val="24"/>
                <w:szCs w:val="24"/>
                <w:lang w:eastAsia="pt-BR"/>
                <w14:ligatures w14:val="none"/>
              </w:rPr>
            </w:pPr>
            <w:r w:rsidRPr="00E96298">
              <w:rPr>
                <w:rFonts w:ascii="Calibri" w:eastAsia="Times New Roman" w:hAnsi="Calibri" w:cs="Calibri"/>
                <w:color w:val="000000"/>
                <w:kern w:val="0"/>
                <w:sz w:val="24"/>
                <w:szCs w:val="24"/>
                <w:lang w:eastAsia="pt-BR"/>
                <w14:ligatures w14:val="none"/>
              </w:rPr>
              <w:t>20%</w:t>
            </w:r>
          </w:p>
        </w:tc>
      </w:tr>
      <w:tr w:rsidR="00E96298" w:rsidRPr="00E96298" w14:paraId="5F5281B0" w14:textId="77777777" w:rsidTr="00E96298">
        <w:trPr>
          <w:trHeight w:val="175"/>
        </w:trPr>
        <w:tc>
          <w:tcPr>
            <w:tcW w:w="4124" w:type="dxa"/>
            <w:vMerge w:val="restart"/>
            <w:tcBorders>
              <w:top w:val="nil"/>
              <w:left w:val="single" w:sz="8" w:space="0" w:color="auto"/>
              <w:bottom w:val="single" w:sz="8" w:space="0" w:color="000000"/>
              <w:right w:val="single" w:sz="8" w:space="0" w:color="auto"/>
            </w:tcBorders>
            <w:shd w:val="clear" w:color="auto" w:fill="auto"/>
            <w:vAlign w:val="center"/>
            <w:hideMark/>
          </w:tcPr>
          <w:p w14:paraId="4261E90D" w14:textId="77777777" w:rsidR="00E96298" w:rsidRPr="00E96298" w:rsidRDefault="00E96298" w:rsidP="00E96298">
            <w:pPr>
              <w:suppressAutoHyphens/>
              <w:spacing w:after="0" w:line="276" w:lineRule="auto"/>
              <w:jc w:val="center"/>
              <w:rPr>
                <w:rFonts w:ascii="Calibri" w:eastAsia="Times New Roman" w:hAnsi="Calibri" w:cs="Calibri"/>
                <w:color w:val="000000"/>
                <w:kern w:val="0"/>
                <w:sz w:val="24"/>
                <w:szCs w:val="24"/>
                <w:lang w:eastAsia="pt-BR"/>
                <w14:ligatures w14:val="none"/>
              </w:rPr>
            </w:pPr>
            <w:r w:rsidRPr="00E96298">
              <w:rPr>
                <w:rFonts w:ascii="Calibri" w:eastAsia="Times New Roman" w:hAnsi="Calibri" w:cs="Calibri"/>
                <w:color w:val="000000"/>
                <w:kern w:val="0"/>
                <w:sz w:val="24"/>
                <w:szCs w:val="24"/>
                <w:lang w:eastAsia="pt-BR"/>
                <w14:ligatures w14:val="none"/>
              </w:rPr>
              <w:t>Sugestões</w:t>
            </w:r>
          </w:p>
        </w:tc>
        <w:tc>
          <w:tcPr>
            <w:tcW w:w="945" w:type="dxa"/>
            <w:tcBorders>
              <w:top w:val="nil"/>
              <w:left w:val="nil"/>
              <w:bottom w:val="single" w:sz="8" w:space="0" w:color="auto"/>
              <w:right w:val="single" w:sz="8" w:space="0" w:color="auto"/>
            </w:tcBorders>
            <w:shd w:val="clear" w:color="auto" w:fill="auto"/>
            <w:vAlign w:val="center"/>
            <w:hideMark/>
          </w:tcPr>
          <w:p w14:paraId="41367828" w14:textId="77777777" w:rsidR="00E96298" w:rsidRPr="00E96298" w:rsidRDefault="00E96298" w:rsidP="00E96298">
            <w:pPr>
              <w:suppressAutoHyphens/>
              <w:spacing w:after="0" w:line="276" w:lineRule="auto"/>
              <w:jc w:val="center"/>
              <w:rPr>
                <w:rFonts w:ascii="Calibri" w:eastAsia="Times New Roman" w:hAnsi="Calibri" w:cs="Calibri"/>
                <w:b/>
                <w:bCs/>
                <w:color w:val="000000"/>
                <w:kern w:val="0"/>
                <w:sz w:val="24"/>
                <w:szCs w:val="24"/>
                <w:lang w:eastAsia="pt-BR"/>
                <w14:ligatures w14:val="none"/>
              </w:rPr>
            </w:pPr>
            <w:r w:rsidRPr="00E96298">
              <w:rPr>
                <w:rFonts w:ascii="Calibri" w:eastAsia="Times New Roman" w:hAnsi="Calibri" w:cs="Calibri"/>
                <w:b/>
                <w:bCs/>
                <w:color w:val="000000"/>
                <w:kern w:val="0"/>
                <w:sz w:val="24"/>
                <w:szCs w:val="24"/>
                <w:lang w:eastAsia="pt-BR"/>
                <w14:ligatures w14:val="none"/>
              </w:rPr>
              <w:t>6</w:t>
            </w:r>
          </w:p>
        </w:tc>
        <w:tc>
          <w:tcPr>
            <w:tcW w:w="1925" w:type="dxa"/>
            <w:tcBorders>
              <w:top w:val="nil"/>
              <w:left w:val="nil"/>
              <w:bottom w:val="single" w:sz="8" w:space="0" w:color="auto"/>
              <w:right w:val="single" w:sz="8" w:space="0" w:color="auto"/>
            </w:tcBorders>
            <w:shd w:val="clear" w:color="auto" w:fill="auto"/>
            <w:vAlign w:val="center"/>
            <w:hideMark/>
          </w:tcPr>
          <w:p w14:paraId="61AC7E9B" w14:textId="77777777" w:rsidR="00E96298" w:rsidRPr="00E96298" w:rsidRDefault="00E96298" w:rsidP="00E96298">
            <w:pPr>
              <w:suppressAutoHyphens/>
              <w:spacing w:after="0" w:line="276" w:lineRule="auto"/>
              <w:jc w:val="center"/>
              <w:rPr>
                <w:rFonts w:ascii="Calibri" w:eastAsia="Times New Roman" w:hAnsi="Calibri" w:cs="Calibri"/>
                <w:color w:val="000000"/>
                <w:kern w:val="0"/>
                <w:sz w:val="24"/>
                <w:szCs w:val="24"/>
                <w:lang w:eastAsia="pt-BR"/>
                <w14:ligatures w14:val="none"/>
              </w:rPr>
            </w:pPr>
            <w:r w:rsidRPr="00E96298">
              <w:rPr>
                <w:rFonts w:ascii="Calibri" w:eastAsia="Times New Roman" w:hAnsi="Calibri" w:cs="Calibri"/>
                <w:color w:val="000000"/>
                <w:kern w:val="0"/>
                <w:sz w:val="24"/>
                <w:szCs w:val="24"/>
                <w:lang w:eastAsia="pt-BR"/>
                <w14:ligatures w14:val="none"/>
              </w:rPr>
              <w:t>5</w:t>
            </w:r>
          </w:p>
        </w:tc>
        <w:tc>
          <w:tcPr>
            <w:tcW w:w="1558" w:type="dxa"/>
            <w:tcBorders>
              <w:top w:val="nil"/>
              <w:left w:val="nil"/>
              <w:bottom w:val="single" w:sz="8" w:space="0" w:color="auto"/>
              <w:right w:val="single" w:sz="8" w:space="0" w:color="auto"/>
            </w:tcBorders>
            <w:shd w:val="clear" w:color="auto" w:fill="auto"/>
            <w:vAlign w:val="center"/>
            <w:hideMark/>
          </w:tcPr>
          <w:p w14:paraId="3181E59D" w14:textId="77777777" w:rsidR="00E96298" w:rsidRPr="00E96298" w:rsidRDefault="00E96298" w:rsidP="00E96298">
            <w:pPr>
              <w:suppressAutoHyphens/>
              <w:spacing w:after="0" w:line="276" w:lineRule="auto"/>
              <w:jc w:val="center"/>
              <w:rPr>
                <w:rFonts w:ascii="Calibri" w:eastAsia="Times New Roman" w:hAnsi="Calibri" w:cs="Calibri"/>
                <w:color w:val="000000"/>
                <w:kern w:val="0"/>
                <w:sz w:val="24"/>
                <w:szCs w:val="24"/>
                <w:lang w:eastAsia="pt-BR"/>
                <w14:ligatures w14:val="none"/>
              </w:rPr>
            </w:pPr>
            <w:r w:rsidRPr="00E96298">
              <w:rPr>
                <w:rFonts w:ascii="Calibri" w:eastAsia="Times New Roman" w:hAnsi="Calibri" w:cs="Calibri"/>
                <w:color w:val="000000"/>
                <w:kern w:val="0"/>
                <w:sz w:val="24"/>
                <w:szCs w:val="24"/>
                <w:lang w:eastAsia="pt-BR"/>
                <w14:ligatures w14:val="none"/>
              </w:rPr>
              <w:t>1</w:t>
            </w:r>
          </w:p>
        </w:tc>
      </w:tr>
      <w:tr w:rsidR="00E96298" w:rsidRPr="00E96298" w14:paraId="1E2B777B" w14:textId="77777777" w:rsidTr="00E96298">
        <w:trPr>
          <w:trHeight w:val="175"/>
        </w:trPr>
        <w:tc>
          <w:tcPr>
            <w:tcW w:w="4124" w:type="dxa"/>
            <w:vMerge/>
            <w:tcBorders>
              <w:top w:val="nil"/>
              <w:left w:val="single" w:sz="8" w:space="0" w:color="auto"/>
              <w:bottom w:val="single" w:sz="8" w:space="0" w:color="000000"/>
              <w:right w:val="single" w:sz="8" w:space="0" w:color="auto"/>
            </w:tcBorders>
            <w:vAlign w:val="center"/>
            <w:hideMark/>
          </w:tcPr>
          <w:p w14:paraId="7B462BFA" w14:textId="77777777" w:rsidR="00E96298" w:rsidRPr="00E96298" w:rsidRDefault="00E96298" w:rsidP="00E96298">
            <w:pPr>
              <w:suppressAutoHyphens/>
              <w:spacing w:after="0" w:line="276" w:lineRule="auto"/>
              <w:rPr>
                <w:rFonts w:ascii="Calibri" w:eastAsia="Times New Roman" w:hAnsi="Calibri" w:cs="Calibri"/>
                <w:color w:val="000000"/>
                <w:kern w:val="0"/>
                <w:sz w:val="24"/>
                <w:szCs w:val="24"/>
                <w:lang w:eastAsia="pt-BR"/>
                <w14:ligatures w14:val="none"/>
              </w:rPr>
            </w:pPr>
          </w:p>
        </w:tc>
        <w:tc>
          <w:tcPr>
            <w:tcW w:w="945" w:type="dxa"/>
            <w:tcBorders>
              <w:top w:val="nil"/>
              <w:left w:val="nil"/>
              <w:bottom w:val="single" w:sz="8" w:space="0" w:color="auto"/>
              <w:right w:val="single" w:sz="8" w:space="0" w:color="auto"/>
            </w:tcBorders>
            <w:shd w:val="clear" w:color="auto" w:fill="auto"/>
            <w:vAlign w:val="center"/>
            <w:hideMark/>
          </w:tcPr>
          <w:p w14:paraId="4E121D5D" w14:textId="77777777" w:rsidR="00E96298" w:rsidRPr="00E96298" w:rsidRDefault="00E96298" w:rsidP="00E96298">
            <w:pPr>
              <w:suppressAutoHyphens/>
              <w:spacing w:after="0" w:line="276" w:lineRule="auto"/>
              <w:jc w:val="center"/>
              <w:rPr>
                <w:rFonts w:ascii="Calibri" w:eastAsia="Times New Roman" w:hAnsi="Calibri" w:cs="Calibri"/>
                <w:b/>
                <w:bCs/>
                <w:color w:val="000000"/>
                <w:kern w:val="0"/>
                <w:sz w:val="24"/>
                <w:szCs w:val="24"/>
                <w:lang w:eastAsia="pt-BR"/>
                <w14:ligatures w14:val="none"/>
              </w:rPr>
            </w:pPr>
            <w:r w:rsidRPr="00E96298">
              <w:rPr>
                <w:rFonts w:ascii="Calibri" w:eastAsia="Times New Roman" w:hAnsi="Calibri" w:cs="Calibri"/>
                <w:b/>
                <w:bCs/>
                <w:color w:val="000000"/>
                <w:kern w:val="0"/>
                <w:sz w:val="24"/>
                <w:szCs w:val="24"/>
                <w:lang w:eastAsia="pt-BR"/>
                <w14:ligatures w14:val="none"/>
              </w:rPr>
              <w:t>100%</w:t>
            </w:r>
          </w:p>
        </w:tc>
        <w:tc>
          <w:tcPr>
            <w:tcW w:w="1925" w:type="dxa"/>
            <w:tcBorders>
              <w:top w:val="nil"/>
              <w:left w:val="nil"/>
              <w:bottom w:val="single" w:sz="8" w:space="0" w:color="auto"/>
              <w:right w:val="single" w:sz="8" w:space="0" w:color="auto"/>
            </w:tcBorders>
            <w:shd w:val="clear" w:color="auto" w:fill="auto"/>
            <w:vAlign w:val="center"/>
            <w:hideMark/>
          </w:tcPr>
          <w:p w14:paraId="27FD6941" w14:textId="77777777" w:rsidR="00E96298" w:rsidRPr="00E96298" w:rsidRDefault="00E96298" w:rsidP="00E96298">
            <w:pPr>
              <w:suppressAutoHyphens/>
              <w:spacing w:after="0" w:line="276" w:lineRule="auto"/>
              <w:jc w:val="center"/>
              <w:rPr>
                <w:rFonts w:ascii="Calibri" w:eastAsia="Times New Roman" w:hAnsi="Calibri" w:cs="Calibri"/>
                <w:color w:val="000000"/>
                <w:kern w:val="0"/>
                <w:sz w:val="24"/>
                <w:szCs w:val="24"/>
                <w:lang w:eastAsia="pt-BR"/>
                <w14:ligatures w14:val="none"/>
              </w:rPr>
            </w:pPr>
            <w:r w:rsidRPr="00E96298">
              <w:rPr>
                <w:rFonts w:ascii="Calibri" w:eastAsia="Times New Roman" w:hAnsi="Calibri" w:cs="Calibri"/>
                <w:color w:val="000000"/>
                <w:kern w:val="0"/>
                <w:sz w:val="24"/>
                <w:szCs w:val="24"/>
                <w:lang w:eastAsia="pt-BR"/>
                <w14:ligatures w14:val="none"/>
              </w:rPr>
              <w:t> 83%</w:t>
            </w:r>
          </w:p>
        </w:tc>
        <w:tc>
          <w:tcPr>
            <w:tcW w:w="1558" w:type="dxa"/>
            <w:tcBorders>
              <w:top w:val="nil"/>
              <w:left w:val="nil"/>
              <w:bottom w:val="single" w:sz="8" w:space="0" w:color="auto"/>
              <w:right w:val="single" w:sz="8" w:space="0" w:color="auto"/>
            </w:tcBorders>
            <w:shd w:val="clear" w:color="auto" w:fill="auto"/>
            <w:vAlign w:val="center"/>
            <w:hideMark/>
          </w:tcPr>
          <w:p w14:paraId="3FBBAEBE" w14:textId="77777777" w:rsidR="00E96298" w:rsidRPr="00E96298" w:rsidRDefault="00E96298" w:rsidP="00E96298">
            <w:pPr>
              <w:suppressAutoHyphens/>
              <w:spacing w:after="0" w:line="276" w:lineRule="auto"/>
              <w:jc w:val="center"/>
              <w:rPr>
                <w:rFonts w:ascii="Calibri" w:eastAsia="Times New Roman" w:hAnsi="Calibri" w:cs="Calibri"/>
                <w:color w:val="000000"/>
                <w:kern w:val="0"/>
                <w:sz w:val="24"/>
                <w:szCs w:val="24"/>
                <w:lang w:eastAsia="pt-BR"/>
                <w14:ligatures w14:val="none"/>
              </w:rPr>
            </w:pPr>
            <w:r w:rsidRPr="00E96298">
              <w:rPr>
                <w:rFonts w:ascii="Calibri" w:eastAsia="Times New Roman" w:hAnsi="Calibri" w:cs="Calibri"/>
                <w:color w:val="000000"/>
                <w:kern w:val="0"/>
                <w:sz w:val="24"/>
                <w:szCs w:val="24"/>
                <w:lang w:eastAsia="pt-BR"/>
                <w14:ligatures w14:val="none"/>
              </w:rPr>
              <w:t>17%</w:t>
            </w:r>
          </w:p>
        </w:tc>
      </w:tr>
      <w:tr w:rsidR="00E96298" w:rsidRPr="00E96298" w14:paraId="4AB5534F" w14:textId="77777777" w:rsidTr="00E96298">
        <w:trPr>
          <w:trHeight w:val="175"/>
        </w:trPr>
        <w:tc>
          <w:tcPr>
            <w:tcW w:w="4124" w:type="dxa"/>
            <w:vMerge w:val="restart"/>
            <w:tcBorders>
              <w:top w:val="nil"/>
              <w:left w:val="single" w:sz="8" w:space="0" w:color="auto"/>
              <w:bottom w:val="single" w:sz="8" w:space="0" w:color="000000"/>
              <w:right w:val="single" w:sz="8" w:space="0" w:color="auto"/>
            </w:tcBorders>
            <w:shd w:val="clear" w:color="auto" w:fill="auto"/>
            <w:vAlign w:val="center"/>
            <w:hideMark/>
          </w:tcPr>
          <w:p w14:paraId="049375F7" w14:textId="77777777" w:rsidR="00E96298" w:rsidRPr="00E96298" w:rsidRDefault="00E96298" w:rsidP="00E96298">
            <w:pPr>
              <w:suppressAutoHyphens/>
              <w:spacing w:after="0" w:line="276" w:lineRule="auto"/>
              <w:jc w:val="center"/>
              <w:rPr>
                <w:rFonts w:ascii="Calibri" w:eastAsia="Times New Roman" w:hAnsi="Calibri" w:cs="Calibri"/>
                <w:color w:val="000000"/>
                <w:kern w:val="0"/>
                <w:sz w:val="24"/>
                <w:szCs w:val="24"/>
                <w:lang w:eastAsia="pt-BR"/>
                <w14:ligatures w14:val="none"/>
              </w:rPr>
            </w:pPr>
            <w:r w:rsidRPr="00E96298">
              <w:rPr>
                <w:rFonts w:ascii="Calibri" w:eastAsia="Times New Roman" w:hAnsi="Calibri" w:cs="Calibri"/>
                <w:color w:val="000000"/>
                <w:kern w:val="0"/>
                <w:sz w:val="24"/>
                <w:szCs w:val="24"/>
                <w:lang w:eastAsia="pt-BR"/>
                <w14:ligatures w14:val="none"/>
              </w:rPr>
              <w:t>Solicitações</w:t>
            </w:r>
          </w:p>
        </w:tc>
        <w:tc>
          <w:tcPr>
            <w:tcW w:w="945" w:type="dxa"/>
            <w:tcBorders>
              <w:top w:val="nil"/>
              <w:left w:val="nil"/>
              <w:bottom w:val="single" w:sz="8" w:space="0" w:color="auto"/>
              <w:right w:val="single" w:sz="8" w:space="0" w:color="auto"/>
            </w:tcBorders>
            <w:shd w:val="clear" w:color="auto" w:fill="auto"/>
            <w:vAlign w:val="center"/>
            <w:hideMark/>
          </w:tcPr>
          <w:p w14:paraId="282134C3" w14:textId="77777777" w:rsidR="00E96298" w:rsidRPr="00E96298" w:rsidRDefault="00E96298" w:rsidP="00E96298">
            <w:pPr>
              <w:suppressAutoHyphens/>
              <w:spacing w:after="0" w:line="276" w:lineRule="auto"/>
              <w:jc w:val="center"/>
              <w:rPr>
                <w:rFonts w:ascii="Calibri" w:eastAsia="Times New Roman" w:hAnsi="Calibri" w:cs="Calibri"/>
                <w:b/>
                <w:bCs/>
                <w:color w:val="000000"/>
                <w:kern w:val="0"/>
                <w:sz w:val="24"/>
                <w:szCs w:val="24"/>
                <w:lang w:eastAsia="pt-BR"/>
                <w14:ligatures w14:val="none"/>
              </w:rPr>
            </w:pPr>
            <w:r w:rsidRPr="00E96298">
              <w:rPr>
                <w:rFonts w:ascii="Calibri" w:eastAsia="Times New Roman" w:hAnsi="Calibri" w:cs="Calibri"/>
                <w:b/>
                <w:bCs/>
                <w:color w:val="000000"/>
                <w:kern w:val="0"/>
                <w:sz w:val="24"/>
                <w:szCs w:val="24"/>
                <w:lang w:eastAsia="pt-BR"/>
                <w14:ligatures w14:val="none"/>
              </w:rPr>
              <w:t>30</w:t>
            </w:r>
          </w:p>
        </w:tc>
        <w:tc>
          <w:tcPr>
            <w:tcW w:w="1925" w:type="dxa"/>
            <w:tcBorders>
              <w:top w:val="nil"/>
              <w:left w:val="nil"/>
              <w:bottom w:val="single" w:sz="8" w:space="0" w:color="auto"/>
              <w:right w:val="single" w:sz="8" w:space="0" w:color="auto"/>
            </w:tcBorders>
            <w:shd w:val="clear" w:color="auto" w:fill="auto"/>
            <w:vAlign w:val="center"/>
            <w:hideMark/>
          </w:tcPr>
          <w:p w14:paraId="1CF1E0E1" w14:textId="77777777" w:rsidR="00E96298" w:rsidRPr="00E96298" w:rsidRDefault="00E96298" w:rsidP="00E96298">
            <w:pPr>
              <w:suppressAutoHyphens/>
              <w:spacing w:after="0" w:line="276" w:lineRule="auto"/>
              <w:jc w:val="center"/>
              <w:rPr>
                <w:rFonts w:ascii="Calibri" w:eastAsia="Times New Roman" w:hAnsi="Calibri" w:cs="Calibri"/>
                <w:color w:val="000000"/>
                <w:kern w:val="0"/>
                <w:sz w:val="24"/>
                <w:szCs w:val="24"/>
                <w:lang w:eastAsia="pt-BR"/>
                <w14:ligatures w14:val="none"/>
              </w:rPr>
            </w:pPr>
            <w:r w:rsidRPr="00E96298">
              <w:rPr>
                <w:rFonts w:ascii="Calibri" w:eastAsia="Times New Roman" w:hAnsi="Calibri" w:cs="Calibri"/>
                <w:color w:val="000000"/>
                <w:kern w:val="0"/>
                <w:sz w:val="24"/>
                <w:szCs w:val="24"/>
                <w:lang w:eastAsia="pt-BR"/>
                <w14:ligatures w14:val="none"/>
              </w:rPr>
              <w:t>27</w:t>
            </w:r>
          </w:p>
        </w:tc>
        <w:tc>
          <w:tcPr>
            <w:tcW w:w="1558" w:type="dxa"/>
            <w:tcBorders>
              <w:top w:val="nil"/>
              <w:left w:val="nil"/>
              <w:bottom w:val="single" w:sz="8" w:space="0" w:color="auto"/>
              <w:right w:val="single" w:sz="8" w:space="0" w:color="auto"/>
            </w:tcBorders>
            <w:shd w:val="clear" w:color="auto" w:fill="auto"/>
            <w:vAlign w:val="center"/>
            <w:hideMark/>
          </w:tcPr>
          <w:p w14:paraId="064CC885" w14:textId="77777777" w:rsidR="00E96298" w:rsidRPr="00E96298" w:rsidRDefault="00E96298" w:rsidP="00E96298">
            <w:pPr>
              <w:suppressAutoHyphens/>
              <w:spacing w:after="0" w:line="276" w:lineRule="auto"/>
              <w:jc w:val="center"/>
              <w:rPr>
                <w:rFonts w:ascii="Calibri" w:eastAsia="Times New Roman" w:hAnsi="Calibri" w:cs="Calibri"/>
                <w:color w:val="000000"/>
                <w:kern w:val="0"/>
                <w:sz w:val="24"/>
                <w:szCs w:val="24"/>
                <w:lang w:eastAsia="pt-BR"/>
                <w14:ligatures w14:val="none"/>
              </w:rPr>
            </w:pPr>
            <w:r w:rsidRPr="00E96298">
              <w:rPr>
                <w:rFonts w:ascii="Calibri" w:eastAsia="Times New Roman" w:hAnsi="Calibri" w:cs="Calibri"/>
                <w:color w:val="000000"/>
                <w:kern w:val="0"/>
                <w:sz w:val="24"/>
                <w:szCs w:val="24"/>
                <w:lang w:eastAsia="pt-BR"/>
                <w14:ligatures w14:val="none"/>
              </w:rPr>
              <w:t>3</w:t>
            </w:r>
          </w:p>
        </w:tc>
      </w:tr>
      <w:tr w:rsidR="00E96298" w:rsidRPr="00E96298" w14:paraId="47178B0E" w14:textId="77777777" w:rsidTr="00E96298">
        <w:trPr>
          <w:trHeight w:val="175"/>
        </w:trPr>
        <w:tc>
          <w:tcPr>
            <w:tcW w:w="4124" w:type="dxa"/>
            <w:vMerge/>
            <w:tcBorders>
              <w:top w:val="nil"/>
              <w:left w:val="single" w:sz="8" w:space="0" w:color="auto"/>
              <w:bottom w:val="single" w:sz="8" w:space="0" w:color="000000"/>
              <w:right w:val="single" w:sz="8" w:space="0" w:color="auto"/>
            </w:tcBorders>
            <w:vAlign w:val="center"/>
            <w:hideMark/>
          </w:tcPr>
          <w:p w14:paraId="2949D1FF" w14:textId="77777777" w:rsidR="00E96298" w:rsidRPr="00E96298" w:rsidRDefault="00E96298" w:rsidP="00E96298">
            <w:pPr>
              <w:suppressAutoHyphens/>
              <w:spacing w:after="0" w:line="276" w:lineRule="auto"/>
              <w:rPr>
                <w:rFonts w:ascii="Calibri" w:eastAsia="Times New Roman" w:hAnsi="Calibri" w:cs="Calibri"/>
                <w:color w:val="000000"/>
                <w:kern w:val="0"/>
                <w:sz w:val="24"/>
                <w:szCs w:val="24"/>
                <w:lang w:eastAsia="pt-BR"/>
                <w14:ligatures w14:val="none"/>
              </w:rPr>
            </w:pPr>
          </w:p>
        </w:tc>
        <w:tc>
          <w:tcPr>
            <w:tcW w:w="945" w:type="dxa"/>
            <w:tcBorders>
              <w:top w:val="nil"/>
              <w:left w:val="nil"/>
              <w:bottom w:val="single" w:sz="8" w:space="0" w:color="auto"/>
              <w:right w:val="single" w:sz="8" w:space="0" w:color="auto"/>
            </w:tcBorders>
            <w:shd w:val="clear" w:color="auto" w:fill="auto"/>
            <w:vAlign w:val="center"/>
            <w:hideMark/>
          </w:tcPr>
          <w:p w14:paraId="1009E461" w14:textId="77777777" w:rsidR="00E96298" w:rsidRPr="00E96298" w:rsidRDefault="00E96298" w:rsidP="00E96298">
            <w:pPr>
              <w:suppressAutoHyphens/>
              <w:spacing w:after="0" w:line="276" w:lineRule="auto"/>
              <w:jc w:val="center"/>
              <w:rPr>
                <w:rFonts w:ascii="Calibri" w:eastAsia="Times New Roman" w:hAnsi="Calibri" w:cs="Calibri"/>
                <w:b/>
                <w:bCs/>
                <w:color w:val="000000"/>
                <w:kern w:val="0"/>
                <w:sz w:val="24"/>
                <w:szCs w:val="24"/>
                <w:lang w:eastAsia="pt-BR"/>
                <w14:ligatures w14:val="none"/>
              </w:rPr>
            </w:pPr>
            <w:r w:rsidRPr="00E96298">
              <w:rPr>
                <w:rFonts w:ascii="Calibri" w:eastAsia="Times New Roman" w:hAnsi="Calibri" w:cs="Calibri"/>
                <w:b/>
                <w:bCs/>
                <w:color w:val="000000"/>
                <w:kern w:val="0"/>
                <w:sz w:val="24"/>
                <w:szCs w:val="24"/>
                <w:lang w:eastAsia="pt-BR"/>
                <w14:ligatures w14:val="none"/>
              </w:rPr>
              <w:t>100%</w:t>
            </w:r>
          </w:p>
        </w:tc>
        <w:tc>
          <w:tcPr>
            <w:tcW w:w="1925" w:type="dxa"/>
            <w:tcBorders>
              <w:top w:val="nil"/>
              <w:left w:val="nil"/>
              <w:bottom w:val="single" w:sz="8" w:space="0" w:color="auto"/>
              <w:right w:val="single" w:sz="8" w:space="0" w:color="auto"/>
            </w:tcBorders>
            <w:shd w:val="clear" w:color="auto" w:fill="auto"/>
            <w:vAlign w:val="center"/>
            <w:hideMark/>
          </w:tcPr>
          <w:p w14:paraId="668B0E50" w14:textId="77777777" w:rsidR="00E96298" w:rsidRPr="00E96298" w:rsidRDefault="00E96298" w:rsidP="00E96298">
            <w:pPr>
              <w:suppressAutoHyphens/>
              <w:spacing w:after="0" w:line="276" w:lineRule="auto"/>
              <w:jc w:val="center"/>
              <w:rPr>
                <w:rFonts w:ascii="Calibri" w:eastAsia="Times New Roman" w:hAnsi="Calibri" w:cs="Calibri"/>
                <w:color w:val="000000"/>
                <w:kern w:val="0"/>
                <w:sz w:val="24"/>
                <w:szCs w:val="24"/>
                <w:lang w:eastAsia="pt-BR"/>
                <w14:ligatures w14:val="none"/>
              </w:rPr>
            </w:pPr>
            <w:r w:rsidRPr="00E96298">
              <w:rPr>
                <w:rFonts w:ascii="Calibri" w:eastAsia="Times New Roman" w:hAnsi="Calibri" w:cs="Calibri"/>
                <w:color w:val="000000"/>
                <w:kern w:val="0"/>
                <w:sz w:val="24"/>
                <w:szCs w:val="24"/>
                <w:lang w:eastAsia="pt-BR"/>
                <w14:ligatures w14:val="none"/>
              </w:rPr>
              <w:t> 90%</w:t>
            </w:r>
          </w:p>
        </w:tc>
        <w:tc>
          <w:tcPr>
            <w:tcW w:w="1558" w:type="dxa"/>
            <w:tcBorders>
              <w:top w:val="nil"/>
              <w:left w:val="nil"/>
              <w:bottom w:val="single" w:sz="8" w:space="0" w:color="auto"/>
              <w:right w:val="single" w:sz="8" w:space="0" w:color="auto"/>
            </w:tcBorders>
            <w:shd w:val="clear" w:color="auto" w:fill="auto"/>
            <w:vAlign w:val="center"/>
            <w:hideMark/>
          </w:tcPr>
          <w:p w14:paraId="7FB1124A" w14:textId="77777777" w:rsidR="00E96298" w:rsidRPr="00E96298" w:rsidRDefault="00E96298" w:rsidP="00E96298">
            <w:pPr>
              <w:suppressAutoHyphens/>
              <w:spacing w:after="0" w:line="276" w:lineRule="auto"/>
              <w:jc w:val="center"/>
              <w:rPr>
                <w:rFonts w:ascii="Calibri" w:eastAsia="Times New Roman" w:hAnsi="Calibri" w:cs="Calibri"/>
                <w:color w:val="000000"/>
                <w:kern w:val="0"/>
                <w:sz w:val="24"/>
                <w:szCs w:val="24"/>
                <w:lang w:eastAsia="pt-BR"/>
                <w14:ligatures w14:val="none"/>
              </w:rPr>
            </w:pPr>
            <w:r w:rsidRPr="00E96298">
              <w:rPr>
                <w:rFonts w:ascii="Calibri" w:eastAsia="Times New Roman" w:hAnsi="Calibri" w:cs="Calibri"/>
                <w:color w:val="000000"/>
                <w:kern w:val="0"/>
                <w:sz w:val="24"/>
                <w:szCs w:val="24"/>
                <w:lang w:eastAsia="pt-BR"/>
                <w14:ligatures w14:val="none"/>
              </w:rPr>
              <w:t>10%</w:t>
            </w:r>
          </w:p>
        </w:tc>
      </w:tr>
    </w:tbl>
    <w:p w14:paraId="4B7C2478" w14:textId="40E35A6A" w:rsidR="00E96298" w:rsidRPr="00E96298" w:rsidRDefault="00F30274" w:rsidP="00F30274">
      <w:pPr>
        <w:spacing w:after="0" w:line="240" w:lineRule="auto"/>
        <w:jc w:val="both"/>
        <w:rPr>
          <w:rFonts w:ascii="Calibri" w:eastAsia="Times New Roman" w:hAnsi="Calibri" w:cs="Calibri"/>
          <w:color w:val="002060"/>
          <w:kern w:val="0"/>
          <w14:ligatures w14:val="none"/>
        </w:rPr>
      </w:pPr>
      <w:r>
        <w:rPr>
          <w:rFonts w:ascii="Calibri" w:eastAsia="Times New Roman" w:hAnsi="Calibri" w:cs="Calibri"/>
          <w:b/>
          <w:bCs/>
          <w:color w:val="002060"/>
          <w:kern w:val="0"/>
          <w14:ligatures w14:val="none"/>
        </w:rPr>
        <w:t xml:space="preserve">5. </w:t>
      </w:r>
      <w:r w:rsidR="00E96298" w:rsidRPr="00E96298">
        <w:rPr>
          <w:rFonts w:ascii="Calibri" w:eastAsia="Times New Roman" w:hAnsi="Calibri" w:cs="Calibri"/>
          <w:b/>
          <w:bCs/>
          <w:color w:val="002060"/>
          <w:kern w:val="0"/>
          <w14:ligatures w14:val="none"/>
        </w:rPr>
        <w:t>DESTAQUES</w:t>
      </w:r>
    </w:p>
    <w:p w14:paraId="4E23AE34" w14:textId="77777777" w:rsidR="00E96298" w:rsidRPr="00E96298" w:rsidRDefault="00E96298" w:rsidP="00F30274">
      <w:pPr>
        <w:spacing w:after="0" w:line="240" w:lineRule="auto"/>
        <w:jc w:val="both"/>
        <w:rPr>
          <w:rFonts w:ascii="Calibri" w:eastAsia="Times New Roman" w:hAnsi="Calibri" w:cs="Calibri"/>
          <w:color w:val="002060"/>
          <w:kern w:val="0"/>
          <w14:ligatures w14:val="none"/>
        </w:rPr>
      </w:pPr>
      <w:r w:rsidRPr="00E96298">
        <w:rPr>
          <w:rFonts w:ascii="Calibri" w:eastAsia="Times New Roman" w:hAnsi="Calibri" w:cs="Calibri"/>
          <w:color w:val="002060"/>
          <w:kern w:val="0"/>
          <w14:ligatures w14:val="none"/>
        </w:rPr>
        <w:t>Dentre os assuntos e trabalhos realizados entre janeiro de 2023 e dezembro de 2023 pelo COAUD destacam-se os seguintes:</w:t>
      </w:r>
    </w:p>
    <w:p w14:paraId="49DEF21B" w14:textId="77777777" w:rsidR="00E96298" w:rsidRPr="00E96298" w:rsidRDefault="00E96298" w:rsidP="00F30274">
      <w:pPr>
        <w:numPr>
          <w:ilvl w:val="0"/>
          <w:numId w:val="16"/>
        </w:numPr>
        <w:spacing w:after="0" w:line="240" w:lineRule="auto"/>
        <w:jc w:val="both"/>
        <w:rPr>
          <w:rFonts w:ascii="Calibri" w:eastAsia="Times New Roman" w:hAnsi="Calibri" w:cs="Calibri"/>
          <w:b/>
          <w:color w:val="002060"/>
          <w:kern w:val="0"/>
          <w14:ligatures w14:val="none"/>
        </w:rPr>
      </w:pPr>
      <w:r w:rsidRPr="00E96298">
        <w:rPr>
          <w:rFonts w:ascii="Calibri" w:eastAsia="Times New Roman" w:hAnsi="Calibri" w:cs="Calibri"/>
          <w:b/>
          <w:color w:val="002060"/>
          <w:kern w:val="0"/>
          <w14:ligatures w14:val="none"/>
        </w:rPr>
        <w:t>Das Demonstrações Financeiras</w:t>
      </w:r>
    </w:p>
    <w:p w14:paraId="08FAE142" w14:textId="77777777" w:rsidR="00E96298" w:rsidRPr="00E96298" w:rsidRDefault="00E96298" w:rsidP="00F30274">
      <w:pPr>
        <w:spacing w:after="0" w:line="240" w:lineRule="auto"/>
        <w:jc w:val="both"/>
        <w:rPr>
          <w:rFonts w:ascii="Calibri" w:eastAsia="Times New Roman" w:hAnsi="Calibri" w:cs="Calibri"/>
          <w:color w:val="002060"/>
          <w:kern w:val="0"/>
          <w14:ligatures w14:val="none"/>
        </w:rPr>
      </w:pPr>
      <w:r w:rsidRPr="00E96298">
        <w:rPr>
          <w:rFonts w:ascii="Calibri" w:eastAsia="Times New Roman" w:hAnsi="Calibri" w:cs="Calibri"/>
          <w:color w:val="002060"/>
          <w:kern w:val="0"/>
          <w14:ligatures w14:val="none"/>
        </w:rPr>
        <w:t>O Comitê acompanhou o processo de elaboração das Demonstrações Financeiras e notas explicativas relativas ao exercício findo em 31/12/2023 e procedeu à apreciação do Relatório da Administração, Relatório dos Auditores Independentes e demais documentos destinados à publicação. Tomou conhecimento das práticas contábeis adotadas pela Companhia durante as reuniões realizadas com os gestores responsáveis pela elaboração dos referidos documentos e com os auditores independentes.</w:t>
      </w:r>
    </w:p>
    <w:p w14:paraId="1BA06696" w14:textId="77777777" w:rsidR="00E96298" w:rsidRPr="00E96298" w:rsidRDefault="00E96298" w:rsidP="00F30274">
      <w:pPr>
        <w:spacing w:after="0" w:line="240" w:lineRule="auto"/>
        <w:jc w:val="both"/>
        <w:rPr>
          <w:rFonts w:ascii="Calibri" w:eastAsia="Times New Roman" w:hAnsi="Calibri" w:cs="Calibri"/>
          <w:color w:val="002060"/>
          <w:kern w:val="0"/>
          <w14:ligatures w14:val="none"/>
        </w:rPr>
      </w:pPr>
      <w:r w:rsidRPr="00E96298">
        <w:rPr>
          <w:rFonts w:ascii="Calibri" w:eastAsia="Times New Roman" w:hAnsi="Calibri" w:cs="Calibri"/>
          <w:color w:val="002060"/>
          <w:kern w:val="0"/>
          <w14:ligatures w14:val="none"/>
        </w:rPr>
        <w:t>O Comitê verificou que as práticas contábeis adotadas durante a elaboração das demonstrações financeiras estão alinhadas às normas contábeis adotadas no Brasil, bem como a legislação aplicada pelos órgãos de controle.</w:t>
      </w:r>
    </w:p>
    <w:p w14:paraId="738C5883" w14:textId="77777777" w:rsidR="00E96298" w:rsidRPr="00E96298" w:rsidRDefault="00E96298" w:rsidP="00F30274">
      <w:pPr>
        <w:numPr>
          <w:ilvl w:val="0"/>
          <w:numId w:val="16"/>
        </w:numPr>
        <w:spacing w:after="0" w:line="240" w:lineRule="auto"/>
        <w:jc w:val="both"/>
        <w:rPr>
          <w:rFonts w:ascii="Calibri" w:eastAsia="Times New Roman" w:hAnsi="Calibri" w:cs="Calibri"/>
          <w:b/>
          <w:color w:val="002060"/>
          <w:kern w:val="0"/>
          <w14:ligatures w14:val="none"/>
        </w:rPr>
      </w:pPr>
      <w:r w:rsidRPr="00E96298">
        <w:rPr>
          <w:rFonts w:ascii="Calibri" w:eastAsia="Times New Roman" w:hAnsi="Calibri" w:cs="Calibri"/>
          <w:b/>
          <w:color w:val="002060"/>
          <w:kern w:val="0"/>
          <w14:ligatures w14:val="none"/>
        </w:rPr>
        <w:t>Da Auditoria Independente</w:t>
      </w:r>
    </w:p>
    <w:p w14:paraId="6A2C997D" w14:textId="77777777" w:rsidR="00E96298" w:rsidRPr="00E96298" w:rsidRDefault="00E96298" w:rsidP="00F30274">
      <w:pPr>
        <w:spacing w:after="0" w:line="240" w:lineRule="auto"/>
        <w:jc w:val="both"/>
        <w:rPr>
          <w:rFonts w:ascii="Calibri" w:eastAsia="Times New Roman" w:hAnsi="Calibri" w:cs="Calibri"/>
          <w:color w:val="002060"/>
          <w:kern w:val="0"/>
          <w14:ligatures w14:val="none"/>
        </w:rPr>
      </w:pPr>
      <w:r w:rsidRPr="00E96298">
        <w:rPr>
          <w:rFonts w:ascii="Calibri" w:eastAsia="Times New Roman" w:hAnsi="Calibri" w:cs="Calibri"/>
          <w:color w:val="002060"/>
          <w:kern w:val="0"/>
          <w14:ligatures w14:val="none"/>
        </w:rPr>
        <w:t>O COAUD considera satisfatório o resultado dos trabalhos de Auditoria, não tendo sido identificadas situações que pudessem afetar a objetividade e a independência dos auditores externos.</w:t>
      </w:r>
    </w:p>
    <w:p w14:paraId="4C095302" w14:textId="77777777" w:rsidR="00E96298" w:rsidRPr="00E96298" w:rsidRDefault="00E96298" w:rsidP="00F30274">
      <w:pPr>
        <w:numPr>
          <w:ilvl w:val="0"/>
          <w:numId w:val="16"/>
        </w:numPr>
        <w:spacing w:after="0" w:line="240" w:lineRule="auto"/>
        <w:jc w:val="both"/>
        <w:rPr>
          <w:rFonts w:ascii="Calibri" w:eastAsia="Times New Roman" w:hAnsi="Calibri" w:cs="Calibri"/>
          <w:b/>
          <w:color w:val="002060"/>
          <w:kern w:val="0"/>
          <w14:ligatures w14:val="none"/>
        </w:rPr>
      </w:pPr>
      <w:r w:rsidRPr="00E96298">
        <w:rPr>
          <w:rFonts w:ascii="Calibri" w:eastAsia="Times New Roman" w:hAnsi="Calibri" w:cs="Calibri"/>
          <w:b/>
          <w:color w:val="002060"/>
          <w:kern w:val="0"/>
          <w14:ligatures w14:val="none"/>
        </w:rPr>
        <w:t>Autoavaliação</w:t>
      </w:r>
    </w:p>
    <w:p w14:paraId="1CC26492" w14:textId="77777777" w:rsidR="00E96298" w:rsidRPr="00E96298" w:rsidRDefault="00E96298" w:rsidP="00F30274">
      <w:pPr>
        <w:spacing w:after="0" w:line="240" w:lineRule="auto"/>
        <w:jc w:val="both"/>
        <w:rPr>
          <w:rFonts w:ascii="Calibri" w:eastAsia="Times New Roman" w:hAnsi="Calibri" w:cs="Calibri"/>
          <w:color w:val="002060"/>
          <w:kern w:val="0"/>
          <w14:ligatures w14:val="none"/>
        </w:rPr>
      </w:pPr>
      <w:r w:rsidRPr="00E96298">
        <w:rPr>
          <w:rFonts w:ascii="Calibri" w:eastAsia="Times New Roman" w:hAnsi="Calibri" w:cs="Calibri"/>
          <w:color w:val="002060"/>
          <w:kern w:val="0"/>
          <w14:ligatures w14:val="none"/>
        </w:rPr>
        <w:t>O Comitê procedeu com sua autoavaliação.</w:t>
      </w:r>
    </w:p>
    <w:p w14:paraId="6898FDA4" w14:textId="77777777" w:rsidR="00E96298" w:rsidRPr="00E96298" w:rsidRDefault="00E96298" w:rsidP="00F30274">
      <w:pPr>
        <w:numPr>
          <w:ilvl w:val="0"/>
          <w:numId w:val="16"/>
        </w:numPr>
        <w:spacing w:after="0" w:line="240" w:lineRule="auto"/>
        <w:jc w:val="both"/>
        <w:rPr>
          <w:rFonts w:ascii="Calibri" w:eastAsia="Times New Roman" w:hAnsi="Calibri" w:cs="Calibri"/>
          <w:color w:val="002060"/>
          <w:kern w:val="0"/>
          <w14:ligatures w14:val="none"/>
        </w:rPr>
      </w:pPr>
      <w:r w:rsidRPr="00E96298">
        <w:rPr>
          <w:rFonts w:ascii="Calibri" w:eastAsia="Times New Roman" w:hAnsi="Calibri" w:cs="Calibri"/>
          <w:b/>
          <w:bCs/>
          <w:color w:val="002060"/>
          <w:kern w:val="0"/>
          <w14:ligatures w14:val="none"/>
        </w:rPr>
        <w:t>Partes Relacionadas</w:t>
      </w:r>
    </w:p>
    <w:p w14:paraId="619935AE" w14:textId="1B3C6AD5" w:rsidR="00E96298" w:rsidRPr="00E96298" w:rsidRDefault="00E96298" w:rsidP="00F30274">
      <w:pPr>
        <w:numPr>
          <w:ilvl w:val="0"/>
          <w:numId w:val="16"/>
        </w:numPr>
        <w:spacing w:after="0" w:line="240" w:lineRule="auto"/>
        <w:jc w:val="both"/>
        <w:rPr>
          <w:rFonts w:ascii="Calibri" w:eastAsia="Times New Roman" w:hAnsi="Calibri" w:cs="Calibri"/>
          <w:color w:val="002060"/>
          <w:kern w:val="0"/>
          <w14:ligatures w14:val="none"/>
        </w:rPr>
      </w:pPr>
      <w:r w:rsidRPr="00E96298">
        <w:rPr>
          <w:rFonts w:ascii="Calibri" w:eastAsia="Times New Roman" w:hAnsi="Calibri" w:cs="Calibri"/>
          <w:color w:val="002060"/>
          <w:kern w:val="0"/>
          <w14:ligatures w14:val="none"/>
        </w:rPr>
        <w:t>O Comitê examinou os contratos com Partes Relacionadas conforme previsto no Estatuto Social e na Política com Partes Relacionadas da Telebras.</w:t>
      </w:r>
    </w:p>
    <w:p w14:paraId="4DAD3F5C" w14:textId="77777777" w:rsidR="00E96298" w:rsidRPr="00E96298" w:rsidRDefault="00E96298" w:rsidP="00F30274">
      <w:pPr>
        <w:numPr>
          <w:ilvl w:val="0"/>
          <w:numId w:val="16"/>
        </w:numPr>
        <w:spacing w:after="0" w:line="240" w:lineRule="auto"/>
        <w:jc w:val="both"/>
        <w:rPr>
          <w:rFonts w:ascii="Calibri" w:eastAsia="Times New Roman" w:hAnsi="Calibri" w:cs="Calibri"/>
          <w:color w:val="002060"/>
          <w:kern w:val="0"/>
          <w14:ligatures w14:val="none"/>
        </w:rPr>
      </w:pPr>
      <w:r w:rsidRPr="00E96298">
        <w:rPr>
          <w:rFonts w:ascii="Calibri" w:eastAsia="Times New Roman" w:hAnsi="Calibri" w:cs="Calibri"/>
          <w:b/>
          <w:bCs/>
          <w:color w:val="002060"/>
          <w:kern w:val="0"/>
          <w14:ligatures w14:val="none"/>
        </w:rPr>
        <w:t>Auditoria Interna</w:t>
      </w:r>
    </w:p>
    <w:p w14:paraId="0A647C86" w14:textId="77777777" w:rsidR="00E96298" w:rsidRPr="00E96298" w:rsidRDefault="00E96298" w:rsidP="00F30274">
      <w:pPr>
        <w:spacing w:after="0" w:line="240" w:lineRule="auto"/>
        <w:jc w:val="both"/>
        <w:rPr>
          <w:rFonts w:ascii="Calibri" w:eastAsia="Times New Roman" w:hAnsi="Calibri" w:cs="Calibri"/>
          <w:color w:val="002060"/>
          <w:kern w:val="0"/>
          <w14:ligatures w14:val="none"/>
        </w:rPr>
      </w:pPr>
      <w:r w:rsidRPr="00E96298">
        <w:rPr>
          <w:rFonts w:ascii="Calibri" w:eastAsia="Times New Roman" w:hAnsi="Calibri" w:cs="Calibri"/>
          <w:color w:val="002060"/>
          <w:kern w:val="0"/>
          <w14:ligatures w14:val="none"/>
        </w:rPr>
        <w:t>O Comitê acompanhou e supervisionou as atividades desenvolvidas pela Auditoria Interna, examinou o Plano Anual de Atividades da Auditoria Interna (PAINT-2024) e Relatório Anual de Atividades da Auditoria Interna (RAINT-2023), bem como recebeu, discutiu e acompanhou relatórios regulares da Auditoria Interna sobre os resultados de suas atividades, incluindo as respostas da Diretoria às recomendações feitas sobre controles e inconformidades.</w:t>
      </w:r>
    </w:p>
    <w:p w14:paraId="4C09DAD3" w14:textId="77777777" w:rsidR="00E96298" w:rsidRPr="00E96298" w:rsidRDefault="00E96298" w:rsidP="00F30274">
      <w:pPr>
        <w:numPr>
          <w:ilvl w:val="0"/>
          <w:numId w:val="16"/>
        </w:numPr>
        <w:spacing w:after="0" w:line="240" w:lineRule="auto"/>
        <w:jc w:val="both"/>
        <w:rPr>
          <w:rFonts w:ascii="Calibri" w:eastAsia="Times New Roman" w:hAnsi="Calibri" w:cs="Calibri"/>
          <w:color w:val="002060"/>
          <w:kern w:val="0"/>
          <w14:ligatures w14:val="none"/>
        </w:rPr>
      </w:pPr>
      <w:r w:rsidRPr="00E96298">
        <w:rPr>
          <w:rFonts w:ascii="Calibri" w:eastAsia="Times New Roman" w:hAnsi="Calibri" w:cs="Calibri"/>
          <w:b/>
          <w:bCs/>
          <w:color w:val="002060"/>
          <w:kern w:val="0"/>
          <w14:ligatures w14:val="none"/>
        </w:rPr>
        <w:t>Gestão de Riscos, Controles e Conformidade</w:t>
      </w:r>
    </w:p>
    <w:p w14:paraId="629D826D" w14:textId="77DB3741" w:rsidR="00E96298" w:rsidRPr="00E96298" w:rsidRDefault="00E96298" w:rsidP="00F30274">
      <w:pPr>
        <w:spacing w:after="0" w:line="240" w:lineRule="auto"/>
        <w:jc w:val="both"/>
        <w:rPr>
          <w:rFonts w:ascii="Calibri" w:eastAsia="Times New Roman" w:hAnsi="Calibri" w:cs="Calibri"/>
          <w:color w:val="002060"/>
          <w:kern w:val="0"/>
          <w14:ligatures w14:val="none"/>
        </w:rPr>
      </w:pPr>
      <w:r w:rsidRPr="00E96298">
        <w:rPr>
          <w:rFonts w:ascii="Calibri" w:eastAsia="Times New Roman" w:hAnsi="Calibri" w:cs="Calibri"/>
          <w:color w:val="002060"/>
          <w:kern w:val="0"/>
          <w14:ligatures w14:val="none"/>
        </w:rPr>
        <w:t>O Comitê acompanhou e monitorou a qualidade dos controles internos, da conformidade e do gerenciamento de riscos, recomendando ações para reduzir os riscos da Companhia e aumentar os controles internos, quando necessário</w:t>
      </w:r>
    </w:p>
    <w:p w14:paraId="4FA17B32" w14:textId="77777777" w:rsidR="00E96298" w:rsidRPr="00E96298" w:rsidRDefault="00E96298" w:rsidP="00F30274">
      <w:pPr>
        <w:numPr>
          <w:ilvl w:val="0"/>
          <w:numId w:val="16"/>
        </w:numPr>
        <w:spacing w:after="0" w:line="240" w:lineRule="auto"/>
        <w:jc w:val="both"/>
        <w:rPr>
          <w:rFonts w:ascii="Calibri" w:eastAsia="Times New Roman" w:hAnsi="Calibri" w:cs="Calibri"/>
          <w:color w:val="002060"/>
          <w:kern w:val="0"/>
          <w14:ligatures w14:val="none"/>
        </w:rPr>
      </w:pPr>
      <w:r w:rsidRPr="00E96298">
        <w:rPr>
          <w:rFonts w:ascii="Calibri" w:eastAsia="Times New Roman" w:hAnsi="Calibri" w:cs="Calibri"/>
          <w:b/>
          <w:bCs/>
          <w:color w:val="002060"/>
          <w:kern w:val="0"/>
          <w14:ligatures w14:val="none"/>
        </w:rPr>
        <w:t>Ouvidoria e Canal de Denúncia</w:t>
      </w:r>
    </w:p>
    <w:p w14:paraId="010000B7" w14:textId="77777777" w:rsidR="00E96298" w:rsidRPr="00E96298" w:rsidRDefault="00E96298" w:rsidP="00F30274">
      <w:pPr>
        <w:spacing w:after="0" w:line="240" w:lineRule="auto"/>
        <w:jc w:val="both"/>
        <w:rPr>
          <w:rFonts w:ascii="Calibri" w:eastAsia="Times New Roman" w:hAnsi="Calibri" w:cs="Calibri"/>
          <w:color w:val="002060"/>
          <w:kern w:val="0"/>
          <w14:ligatures w14:val="none"/>
        </w:rPr>
      </w:pPr>
      <w:r w:rsidRPr="00E96298">
        <w:rPr>
          <w:rFonts w:ascii="Calibri" w:eastAsia="Times New Roman" w:hAnsi="Calibri" w:cs="Calibri"/>
          <w:color w:val="002060"/>
          <w:kern w:val="0"/>
          <w14:ligatures w14:val="none"/>
        </w:rPr>
        <w:t>Respeitando as legislações vigentes e o Regimento Interno</w:t>
      </w:r>
      <w:r w:rsidRPr="00E96298">
        <w:rPr>
          <w:rFonts w:ascii="Calibri" w:eastAsia="Times New Roman" w:hAnsi="Calibri" w:cs="Calibri"/>
          <w:bCs/>
          <w:color w:val="002060"/>
          <w:kern w:val="0"/>
          <w14:ligatures w14:val="none"/>
        </w:rPr>
        <w:t>,</w:t>
      </w:r>
      <w:r w:rsidRPr="00E96298">
        <w:rPr>
          <w:rFonts w:ascii="Calibri" w:eastAsia="Times New Roman" w:hAnsi="Calibri" w:cs="Calibri"/>
          <w:color w:val="002060"/>
          <w:kern w:val="0"/>
          <w14:ligatures w14:val="none"/>
        </w:rPr>
        <w:t xml:space="preserve"> </w:t>
      </w:r>
      <w:r w:rsidRPr="00E96298">
        <w:rPr>
          <w:rFonts w:ascii="Calibri" w:eastAsia="Times New Roman" w:hAnsi="Calibri" w:cs="Calibri"/>
          <w:bCs/>
          <w:color w:val="002060"/>
          <w:kern w:val="0"/>
          <w14:ligatures w14:val="none"/>
        </w:rPr>
        <w:t>o COAUD acompanhou seu canal de denúncia e os trabalhos da Ouvidoria.</w:t>
      </w:r>
    </w:p>
    <w:p w14:paraId="78280DE5" w14:textId="2D98D669" w:rsidR="00E96298" w:rsidRPr="00E96298" w:rsidRDefault="00F30274" w:rsidP="00F30274">
      <w:pPr>
        <w:spacing w:after="0" w:line="240" w:lineRule="auto"/>
        <w:jc w:val="both"/>
        <w:rPr>
          <w:rFonts w:ascii="Calibri" w:eastAsia="Times New Roman" w:hAnsi="Calibri" w:cs="Calibri"/>
          <w:color w:val="002060"/>
          <w:kern w:val="0"/>
          <w14:ligatures w14:val="none"/>
        </w:rPr>
      </w:pPr>
      <w:r>
        <w:rPr>
          <w:rFonts w:ascii="Calibri" w:eastAsia="Times New Roman" w:hAnsi="Calibri" w:cs="Calibri"/>
          <w:b/>
          <w:bCs/>
          <w:color w:val="002060"/>
          <w:kern w:val="0"/>
          <w14:ligatures w14:val="none"/>
        </w:rPr>
        <w:t xml:space="preserve">6. </w:t>
      </w:r>
      <w:r w:rsidR="00E96298" w:rsidRPr="00E96298">
        <w:rPr>
          <w:rFonts w:ascii="Calibri" w:eastAsia="Times New Roman" w:hAnsi="Calibri" w:cs="Calibri"/>
          <w:b/>
          <w:bCs/>
          <w:color w:val="002060"/>
          <w:kern w:val="0"/>
          <w14:ligatures w14:val="none"/>
        </w:rPr>
        <w:t>CONCLUSÃO</w:t>
      </w:r>
    </w:p>
    <w:p w14:paraId="33AA0AD8" w14:textId="77777777" w:rsidR="00E96298" w:rsidRDefault="00E96298" w:rsidP="00F30274">
      <w:pPr>
        <w:spacing w:after="0" w:line="240" w:lineRule="auto"/>
        <w:jc w:val="both"/>
        <w:rPr>
          <w:rFonts w:ascii="Calibri" w:eastAsia="Times New Roman" w:hAnsi="Calibri" w:cs="Calibri"/>
          <w:color w:val="002060"/>
          <w:kern w:val="0"/>
          <w14:ligatures w14:val="none"/>
        </w:rPr>
      </w:pPr>
      <w:r w:rsidRPr="00E96298">
        <w:rPr>
          <w:rFonts w:ascii="Calibri" w:eastAsia="Times New Roman" w:hAnsi="Calibri" w:cs="Calibri"/>
          <w:color w:val="002060"/>
          <w:kern w:val="0"/>
          <w14:ligatures w14:val="none"/>
        </w:rPr>
        <w:t>O Comitê exerceu suas atribuições sem interferências da Administração, apresentando recomendações para o aperfeiçoamento de processos e procedeu ao acompanhamento das implementações de melhorias recomendadas pelas Auditorias interna e independente.</w:t>
      </w:r>
    </w:p>
    <w:p w14:paraId="4CA1DA5D" w14:textId="77777777" w:rsidR="00F30274" w:rsidRPr="00F30274" w:rsidRDefault="00F30274" w:rsidP="00F30274">
      <w:pPr>
        <w:spacing w:after="0" w:line="240" w:lineRule="auto"/>
        <w:jc w:val="center"/>
        <w:rPr>
          <w:rFonts w:ascii="Calibri" w:eastAsia="Times New Roman" w:hAnsi="Calibri" w:cs="Calibri"/>
          <w:color w:val="002060"/>
          <w:kern w:val="0"/>
          <w:sz w:val="16"/>
          <w:szCs w:val="16"/>
          <w14:ligatures w14:val="none"/>
        </w:rPr>
      </w:pPr>
      <w:r w:rsidRPr="00F30274">
        <w:rPr>
          <w:rFonts w:ascii="Calibri" w:eastAsia="Times New Roman" w:hAnsi="Calibri" w:cs="Calibri"/>
          <w:color w:val="002060"/>
          <w:kern w:val="0"/>
          <w:sz w:val="16"/>
          <w:szCs w:val="16"/>
          <w14:ligatures w14:val="none"/>
        </w:rPr>
        <w:t>Brasília, 14 de março de 2024.</w:t>
      </w:r>
    </w:p>
    <w:p w14:paraId="4DBCFCF6" w14:textId="5CC51359" w:rsidR="00F30274" w:rsidRPr="00F30274" w:rsidRDefault="00F30274" w:rsidP="00F30274">
      <w:pPr>
        <w:spacing w:after="0" w:line="240" w:lineRule="auto"/>
        <w:jc w:val="center"/>
        <w:rPr>
          <w:rFonts w:ascii="Calibri" w:eastAsia="Times New Roman" w:hAnsi="Calibri" w:cs="Calibri"/>
          <w:color w:val="002060"/>
          <w:kern w:val="0"/>
          <w:sz w:val="16"/>
          <w:szCs w:val="16"/>
          <w14:ligatures w14:val="none"/>
        </w:rPr>
      </w:pPr>
      <w:r w:rsidRPr="00F30274">
        <w:rPr>
          <w:rFonts w:ascii="Calibri" w:eastAsia="Times New Roman" w:hAnsi="Calibri" w:cs="Calibri"/>
          <w:b/>
          <w:color w:val="002060"/>
          <w:kern w:val="0"/>
          <w:sz w:val="16"/>
          <w:szCs w:val="16"/>
          <w14:ligatures w14:val="none"/>
        </w:rPr>
        <w:t>Jorge Ricardo Bittar</w:t>
      </w:r>
    </w:p>
    <w:p w14:paraId="664147ED" w14:textId="77777777" w:rsidR="00F30274" w:rsidRPr="00F30274" w:rsidRDefault="00F30274" w:rsidP="00F30274">
      <w:pPr>
        <w:spacing w:after="0" w:line="240" w:lineRule="auto"/>
        <w:jc w:val="center"/>
        <w:rPr>
          <w:rFonts w:ascii="Calibri" w:eastAsia="Times New Roman" w:hAnsi="Calibri" w:cs="Calibri"/>
          <w:color w:val="002060"/>
          <w:kern w:val="0"/>
          <w:sz w:val="16"/>
          <w:szCs w:val="16"/>
          <w14:ligatures w14:val="none"/>
        </w:rPr>
      </w:pPr>
      <w:r w:rsidRPr="00F30274">
        <w:rPr>
          <w:rFonts w:ascii="Calibri" w:eastAsia="Times New Roman" w:hAnsi="Calibri" w:cs="Calibri"/>
          <w:color w:val="002060"/>
          <w:kern w:val="0"/>
          <w:sz w:val="16"/>
          <w:szCs w:val="16"/>
          <w14:ligatures w14:val="none"/>
        </w:rPr>
        <w:t>Presidente do Comitê de Auditoria Estatutário</w:t>
      </w:r>
    </w:p>
    <w:p w14:paraId="785B8036" w14:textId="77777777" w:rsidR="00F30274" w:rsidRPr="00F30274" w:rsidRDefault="00F30274" w:rsidP="00F30274">
      <w:pPr>
        <w:spacing w:after="0" w:line="240" w:lineRule="auto"/>
        <w:jc w:val="center"/>
        <w:rPr>
          <w:rFonts w:ascii="Calibri" w:eastAsia="Times New Roman" w:hAnsi="Calibri" w:cs="Calibri"/>
          <w:color w:val="002060"/>
          <w:kern w:val="0"/>
          <w:sz w:val="16"/>
          <w:szCs w:val="16"/>
          <w14:ligatures w14:val="none"/>
        </w:rPr>
      </w:pPr>
      <w:r w:rsidRPr="00F30274">
        <w:rPr>
          <w:rFonts w:ascii="Calibri" w:eastAsia="Times New Roman" w:hAnsi="Calibri" w:cs="Calibri"/>
          <w:b/>
          <w:color w:val="002060"/>
          <w:kern w:val="0"/>
          <w:sz w:val="16"/>
          <w:szCs w:val="16"/>
          <w14:ligatures w14:val="none"/>
        </w:rPr>
        <w:t>Paula Vicente da Silva</w:t>
      </w:r>
    </w:p>
    <w:p w14:paraId="6952902D" w14:textId="77777777" w:rsidR="00F30274" w:rsidRPr="00F30274" w:rsidRDefault="00F30274" w:rsidP="00F30274">
      <w:pPr>
        <w:spacing w:after="0" w:line="240" w:lineRule="auto"/>
        <w:jc w:val="center"/>
        <w:rPr>
          <w:rFonts w:ascii="Calibri" w:eastAsia="Times New Roman" w:hAnsi="Calibri" w:cs="Calibri"/>
          <w:color w:val="002060"/>
          <w:kern w:val="0"/>
          <w:sz w:val="16"/>
          <w:szCs w:val="16"/>
          <w14:ligatures w14:val="none"/>
        </w:rPr>
      </w:pPr>
      <w:r w:rsidRPr="00F30274">
        <w:rPr>
          <w:rFonts w:ascii="Calibri" w:eastAsia="Times New Roman" w:hAnsi="Calibri" w:cs="Calibri"/>
          <w:color w:val="002060"/>
          <w:kern w:val="0"/>
          <w:sz w:val="16"/>
          <w:szCs w:val="16"/>
          <w14:ligatures w14:val="none"/>
        </w:rPr>
        <w:t>Membra do Comitê de Auditoria Estatutário - COAUD</w:t>
      </w:r>
    </w:p>
    <w:p w14:paraId="24B1D907" w14:textId="7A2F8167" w:rsidR="00F30274" w:rsidRPr="00F30274" w:rsidRDefault="00F30274" w:rsidP="00F30274">
      <w:pPr>
        <w:spacing w:after="0" w:line="240" w:lineRule="auto"/>
        <w:jc w:val="center"/>
        <w:rPr>
          <w:rFonts w:ascii="Calibri" w:eastAsia="Times New Roman" w:hAnsi="Calibri" w:cs="Calibri"/>
          <w:b/>
          <w:color w:val="002060"/>
          <w:kern w:val="0"/>
          <w:sz w:val="16"/>
          <w:szCs w:val="16"/>
          <w14:ligatures w14:val="none"/>
        </w:rPr>
      </w:pPr>
      <w:proofErr w:type="spellStart"/>
      <w:r w:rsidRPr="00F30274">
        <w:rPr>
          <w:rFonts w:ascii="Calibri" w:eastAsia="Times New Roman" w:hAnsi="Calibri" w:cs="Calibri"/>
          <w:b/>
          <w:color w:val="002060"/>
          <w:kern w:val="0"/>
          <w:sz w:val="16"/>
          <w:szCs w:val="16"/>
          <w14:ligatures w14:val="none"/>
        </w:rPr>
        <w:t>Glauben</w:t>
      </w:r>
      <w:proofErr w:type="spellEnd"/>
      <w:r w:rsidRPr="00F30274">
        <w:rPr>
          <w:rFonts w:ascii="Calibri" w:eastAsia="Times New Roman" w:hAnsi="Calibri" w:cs="Calibri"/>
          <w:b/>
          <w:color w:val="002060"/>
          <w:kern w:val="0"/>
          <w:sz w:val="16"/>
          <w:szCs w:val="16"/>
          <w14:ligatures w14:val="none"/>
        </w:rPr>
        <w:t xml:space="preserve"> Teixeira de Carvalho</w:t>
      </w:r>
    </w:p>
    <w:p w14:paraId="74250E48" w14:textId="17A673A8" w:rsidR="00F30274" w:rsidRPr="0044731C" w:rsidRDefault="00F30274" w:rsidP="0044731C">
      <w:pPr>
        <w:spacing w:after="0" w:line="240" w:lineRule="auto"/>
        <w:jc w:val="center"/>
        <w:rPr>
          <w:rFonts w:ascii="Calibri" w:eastAsia="Times New Roman" w:hAnsi="Calibri" w:cs="Calibri"/>
          <w:i/>
          <w:color w:val="002060"/>
          <w:kern w:val="0"/>
          <w:sz w:val="16"/>
          <w:szCs w:val="16"/>
          <w14:ligatures w14:val="none"/>
        </w:rPr>
      </w:pPr>
      <w:r w:rsidRPr="00F30274">
        <w:rPr>
          <w:rFonts w:ascii="Calibri" w:eastAsia="Times New Roman" w:hAnsi="Calibri" w:cs="Calibri"/>
          <w:color w:val="002060"/>
          <w:kern w:val="0"/>
          <w:sz w:val="16"/>
          <w:szCs w:val="16"/>
          <w14:ligatures w14:val="none"/>
        </w:rPr>
        <w:lastRenderedPageBreak/>
        <w:t>Membra do Comitê de Auditoria Estatutário</w:t>
      </w:r>
    </w:p>
    <w:p w14:paraId="3B15209E" w14:textId="77777777" w:rsidR="00E96298" w:rsidRDefault="00E96298" w:rsidP="00E96298">
      <w:pPr>
        <w:spacing w:after="0" w:line="240" w:lineRule="auto"/>
        <w:rPr>
          <w:rFonts w:ascii="Calibri" w:eastAsia="Times New Roman" w:hAnsi="Calibri" w:cs="Calibri"/>
          <w:color w:val="002060"/>
          <w:kern w:val="0"/>
          <w14:ligatures w14:val="none"/>
        </w:rPr>
      </w:pPr>
    </w:p>
    <w:tbl>
      <w:tblPr>
        <w:tblStyle w:val="Tabelacomgrade"/>
        <w:tblW w:w="10349" w:type="dxa"/>
        <w:tblInd w:w="-431" w:type="dxa"/>
        <w:tblLook w:val="04A0" w:firstRow="1" w:lastRow="0" w:firstColumn="1" w:lastColumn="0" w:noHBand="0" w:noVBand="1"/>
      </w:tblPr>
      <w:tblGrid>
        <w:gridCol w:w="10349"/>
      </w:tblGrid>
      <w:tr w:rsidR="00C732FC" w14:paraId="76840037" w14:textId="77777777" w:rsidTr="00C732FC">
        <w:tc>
          <w:tcPr>
            <w:tcW w:w="10349" w:type="dxa"/>
            <w:shd w:val="clear" w:color="auto" w:fill="215E99" w:themeFill="text2" w:themeFillTint="BF"/>
          </w:tcPr>
          <w:p w14:paraId="26F094AA" w14:textId="3259E911" w:rsidR="00C732FC" w:rsidRPr="00C732FC" w:rsidRDefault="00C732FC" w:rsidP="00C732FC">
            <w:pPr>
              <w:jc w:val="center"/>
              <w:rPr>
                <w:rFonts w:ascii="Calibri" w:hAnsi="Calibri" w:cs="Calibri"/>
                <w:b/>
                <w:color w:val="FFFFFF" w:themeColor="background1"/>
                <w:sz w:val="23"/>
                <w:szCs w:val="23"/>
              </w:rPr>
            </w:pPr>
            <w:r w:rsidRPr="00C732FC">
              <w:rPr>
                <w:rFonts w:ascii="Calibri" w:hAnsi="Calibri" w:cs="Calibri"/>
                <w:b/>
                <w:color w:val="FFFFFF" w:themeColor="background1"/>
                <w:sz w:val="23"/>
                <w:szCs w:val="23"/>
              </w:rPr>
              <w:t>PARECER DO COMITÊ DE AUDITORIA ESTATUTÁRIO DAS TELECOMUNICAÇÕES BRASILEIRAS S.A. - TELEBRAS, REFERENTE ÀS DEMONSTRAÇÕES FINANCEIRAS RELATIVAS AO EXERCÍCIO FINDO EM 31 DE DEZEMBRO DE 2023.</w:t>
            </w:r>
          </w:p>
        </w:tc>
      </w:tr>
    </w:tbl>
    <w:p w14:paraId="22EFD03F" w14:textId="77777777" w:rsidR="00C732FC" w:rsidRPr="00C732FC" w:rsidRDefault="00C732FC" w:rsidP="00A822E6">
      <w:pPr>
        <w:spacing w:after="0" w:line="240" w:lineRule="auto"/>
        <w:jc w:val="both"/>
        <w:rPr>
          <w:rFonts w:ascii="Calibri" w:eastAsia="Times New Roman" w:hAnsi="Calibri" w:cs="Calibri"/>
          <w:color w:val="002060"/>
          <w:kern w:val="0"/>
          <w14:ligatures w14:val="none"/>
        </w:rPr>
      </w:pPr>
      <w:r w:rsidRPr="00C732FC">
        <w:rPr>
          <w:rFonts w:ascii="Calibri" w:eastAsia="Times New Roman" w:hAnsi="Calibri" w:cs="Calibri"/>
          <w:color w:val="002060"/>
          <w:kern w:val="0"/>
          <w14:ligatures w14:val="none"/>
        </w:rPr>
        <w:t>O Comitê de Auditoria da Telecomunicações Brasileiras S.A - Telebras é órgão assessor estatutário do Conselho de Administração em cumprimento à Lei no 13.303/2016, Decreto no 8.945/2016, Estatuto Social e seu Regimento Interno.</w:t>
      </w:r>
    </w:p>
    <w:p w14:paraId="6BC1A71F" w14:textId="77777777" w:rsidR="00C732FC" w:rsidRPr="00C732FC" w:rsidRDefault="00C732FC" w:rsidP="00A822E6">
      <w:pPr>
        <w:spacing w:after="0" w:line="240" w:lineRule="auto"/>
        <w:jc w:val="both"/>
        <w:rPr>
          <w:rFonts w:ascii="Calibri" w:eastAsia="Times New Roman" w:hAnsi="Calibri" w:cs="Calibri"/>
          <w:color w:val="002060"/>
          <w:kern w:val="0"/>
          <w14:ligatures w14:val="none"/>
        </w:rPr>
      </w:pPr>
      <w:r w:rsidRPr="00C732FC">
        <w:rPr>
          <w:rFonts w:ascii="Calibri" w:eastAsia="Times New Roman" w:hAnsi="Calibri" w:cs="Calibri"/>
          <w:color w:val="002060"/>
          <w:kern w:val="0"/>
          <w14:ligatures w14:val="none"/>
        </w:rPr>
        <w:t xml:space="preserve">Considerando a execução do Plano de Trabalho Anual para o exercício de 2023, os debates realizados no transcorrer das reuniões e os trabalhos de acompanhamento e supervisão efetuados com a administração, a auditoria interna, a auditoria independente e os gestores das diversas áreas técnicas, tudo consubstanciado nos documentos e nas respectivas atas produzidas em poder da Companhia, resumidos no Relatório Anual de Atividades; </w:t>
      </w:r>
    </w:p>
    <w:p w14:paraId="36D36B3A" w14:textId="77777777" w:rsidR="00C732FC" w:rsidRPr="00C732FC" w:rsidRDefault="00C732FC" w:rsidP="00A822E6">
      <w:pPr>
        <w:spacing w:after="0" w:line="240" w:lineRule="auto"/>
        <w:jc w:val="both"/>
        <w:rPr>
          <w:rFonts w:ascii="Calibri" w:eastAsia="Times New Roman" w:hAnsi="Calibri" w:cs="Calibri"/>
          <w:color w:val="002060"/>
          <w:kern w:val="0"/>
          <w14:ligatures w14:val="none"/>
        </w:rPr>
      </w:pPr>
      <w:r w:rsidRPr="00C732FC">
        <w:rPr>
          <w:rFonts w:ascii="Calibri" w:eastAsia="Times New Roman" w:hAnsi="Calibri" w:cs="Calibri"/>
          <w:color w:val="002060"/>
          <w:kern w:val="0"/>
          <w14:ligatures w14:val="none"/>
        </w:rPr>
        <w:t xml:space="preserve">Considerando o exercício de suas atividades de supervisão e monitoramento das demonstrações financeiras e dos controles internos, tendo presente as limitações inerentes ao escopo de sua atuação; </w:t>
      </w:r>
    </w:p>
    <w:p w14:paraId="19047DC5" w14:textId="77777777" w:rsidR="00C732FC" w:rsidRPr="00C732FC" w:rsidRDefault="00C732FC" w:rsidP="00A822E6">
      <w:pPr>
        <w:spacing w:after="0" w:line="240" w:lineRule="auto"/>
        <w:jc w:val="both"/>
        <w:rPr>
          <w:rFonts w:ascii="Calibri" w:eastAsia="Times New Roman" w:hAnsi="Calibri" w:cs="Calibri"/>
          <w:color w:val="002060"/>
          <w:kern w:val="0"/>
          <w14:ligatures w14:val="none"/>
        </w:rPr>
      </w:pPr>
      <w:r w:rsidRPr="00C732FC">
        <w:rPr>
          <w:rFonts w:ascii="Calibri" w:eastAsia="Times New Roman" w:hAnsi="Calibri" w:cs="Calibri"/>
          <w:color w:val="002060"/>
          <w:kern w:val="0"/>
          <w14:ligatures w14:val="none"/>
        </w:rPr>
        <w:t xml:space="preserve">Considerando as Demonstrações Financeiras e respectivas Notas Explicativas relativas ao exercício findo em 31 de dezembro de 2023, o Relatório de Administração, suportadas pelo Relatório da CONSULT - Auditores Independentes, emitido com parágrafo de ênfase e sem ressalvas, em 15 de março de 2024; e </w:t>
      </w:r>
    </w:p>
    <w:p w14:paraId="793C688A" w14:textId="77777777" w:rsidR="00C732FC" w:rsidRPr="00C732FC" w:rsidRDefault="00C732FC" w:rsidP="00A822E6">
      <w:pPr>
        <w:spacing w:after="0" w:line="240" w:lineRule="auto"/>
        <w:jc w:val="both"/>
        <w:rPr>
          <w:rFonts w:ascii="Calibri" w:eastAsia="Times New Roman" w:hAnsi="Calibri" w:cs="Calibri"/>
          <w:color w:val="002060"/>
          <w:kern w:val="0"/>
          <w14:ligatures w14:val="none"/>
        </w:rPr>
      </w:pPr>
      <w:r w:rsidRPr="00C732FC">
        <w:rPr>
          <w:rFonts w:ascii="Calibri" w:eastAsia="Times New Roman" w:hAnsi="Calibri" w:cs="Calibri"/>
          <w:color w:val="002060"/>
          <w:kern w:val="0"/>
          <w14:ligatures w14:val="none"/>
        </w:rPr>
        <w:t>Considerando a Instrução da CVM nº 81/2022,</w:t>
      </w:r>
    </w:p>
    <w:p w14:paraId="56629E5E" w14:textId="77777777" w:rsidR="00C732FC" w:rsidRPr="00C732FC" w:rsidRDefault="00C732FC" w:rsidP="00A822E6">
      <w:pPr>
        <w:spacing w:after="0" w:line="240" w:lineRule="auto"/>
        <w:jc w:val="both"/>
        <w:rPr>
          <w:rFonts w:ascii="Calibri" w:eastAsia="Times New Roman" w:hAnsi="Calibri" w:cs="Calibri"/>
          <w:color w:val="002060"/>
          <w:kern w:val="0"/>
          <w14:ligatures w14:val="none"/>
        </w:rPr>
      </w:pPr>
      <w:r w:rsidRPr="00C732FC">
        <w:rPr>
          <w:rFonts w:ascii="Calibri" w:eastAsia="Times New Roman" w:hAnsi="Calibri" w:cs="Calibri"/>
          <w:color w:val="002060"/>
          <w:kern w:val="0"/>
          <w14:ligatures w14:val="none"/>
        </w:rPr>
        <w:t>O Comitê de Auditoria conclui que as Demonstrações Financeiras referentes ao exercício findo em 31 de dezembro de 2023 estão em condições de serem submetidas ao Conselho de Administração para deliberação.</w:t>
      </w:r>
    </w:p>
    <w:p w14:paraId="62387A26" w14:textId="77777777" w:rsidR="00C732FC" w:rsidRPr="00F30274" w:rsidRDefault="00C732FC" w:rsidP="00C732FC">
      <w:pPr>
        <w:spacing w:after="0" w:line="240" w:lineRule="auto"/>
        <w:jc w:val="center"/>
        <w:rPr>
          <w:rFonts w:ascii="Calibri" w:eastAsia="Times New Roman" w:hAnsi="Calibri" w:cs="Calibri"/>
          <w:color w:val="002060"/>
          <w:kern w:val="0"/>
          <w:sz w:val="16"/>
          <w:szCs w:val="16"/>
          <w14:ligatures w14:val="none"/>
        </w:rPr>
      </w:pPr>
      <w:r w:rsidRPr="00F30274">
        <w:rPr>
          <w:rFonts w:ascii="Calibri" w:eastAsia="Times New Roman" w:hAnsi="Calibri" w:cs="Calibri"/>
          <w:color w:val="002060"/>
          <w:kern w:val="0"/>
          <w:sz w:val="16"/>
          <w:szCs w:val="16"/>
          <w14:ligatures w14:val="none"/>
        </w:rPr>
        <w:t>Brasília, 14 de março de 2024.</w:t>
      </w:r>
    </w:p>
    <w:p w14:paraId="2BB2EEBB" w14:textId="77777777" w:rsidR="00C732FC" w:rsidRPr="00F30274" w:rsidRDefault="00C732FC" w:rsidP="00C732FC">
      <w:pPr>
        <w:spacing w:after="0" w:line="240" w:lineRule="auto"/>
        <w:jc w:val="center"/>
        <w:rPr>
          <w:rFonts w:ascii="Calibri" w:eastAsia="Times New Roman" w:hAnsi="Calibri" w:cs="Calibri"/>
          <w:color w:val="002060"/>
          <w:kern w:val="0"/>
          <w:sz w:val="16"/>
          <w:szCs w:val="16"/>
          <w14:ligatures w14:val="none"/>
        </w:rPr>
      </w:pPr>
      <w:r w:rsidRPr="00F30274">
        <w:rPr>
          <w:rFonts w:ascii="Calibri" w:eastAsia="Times New Roman" w:hAnsi="Calibri" w:cs="Calibri"/>
          <w:b/>
          <w:color w:val="002060"/>
          <w:kern w:val="0"/>
          <w:sz w:val="16"/>
          <w:szCs w:val="16"/>
          <w14:ligatures w14:val="none"/>
        </w:rPr>
        <w:t>Jorge Ricardo Bittar</w:t>
      </w:r>
    </w:p>
    <w:p w14:paraId="0A7D3721" w14:textId="77777777" w:rsidR="00C732FC" w:rsidRPr="00F30274" w:rsidRDefault="00C732FC" w:rsidP="00C732FC">
      <w:pPr>
        <w:spacing w:after="0" w:line="240" w:lineRule="auto"/>
        <w:jc w:val="center"/>
        <w:rPr>
          <w:rFonts w:ascii="Calibri" w:eastAsia="Times New Roman" w:hAnsi="Calibri" w:cs="Calibri"/>
          <w:color w:val="002060"/>
          <w:kern w:val="0"/>
          <w:sz w:val="16"/>
          <w:szCs w:val="16"/>
          <w14:ligatures w14:val="none"/>
        </w:rPr>
      </w:pPr>
      <w:r w:rsidRPr="00F30274">
        <w:rPr>
          <w:rFonts w:ascii="Calibri" w:eastAsia="Times New Roman" w:hAnsi="Calibri" w:cs="Calibri"/>
          <w:color w:val="002060"/>
          <w:kern w:val="0"/>
          <w:sz w:val="16"/>
          <w:szCs w:val="16"/>
          <w14:ligatures w14:val="none"/>
        </w:rPr>
        <w:t>Presidente do Comitê de Auditoria Estatutário</w:t>
      </w:r>
    </w:p>
    <w:p w14:paraId="00B8B380" w14:textId="77777777" w:rsidR="00C732FC" w:rsidRPr="00F30274" w:rsidRDefault="00C732FC" w:rsidP="00C732FC">
      <w:pPr>
        <w:spacing w:after="0" w:line="240" w:lineRule="auto"/>
        <w:jc w:val="center"/>
        <w:rPr>
          <w:rFonts w:ascii="Calibri" w:eastAsia="Times New Roman" w:hAnsi="Calibri" w:cs="Calibri"/>
          <w:color w:val="002060"/>
          <w:kern w:val="0"/>
          <w:sz w:val="16"/>
          <w:szCs w:val="16"/>
          <w14:ligatures w14:val="none"/>
        </w:rPr>
      </w:pPr>
      <w:r w:rsidRPr="00F30274">
        <w:rPr>
          <w:rFonts w:ascii="Calibri" w:eastAsia="Times New Roman" w:hAnsi="Calibri" w:cs="Calibri"/>
          <w:b/>
          <w:color w:val="002060"/>
          <w:kern w:val="0"/>
          <w:sz w:val="16"/>
          <w:szCs w:val="16"/>
          <w14:ligatures w14:val="none"/>
        </w:rPr>
        <w:t>Paula Vicente da Silva</w:t>
      </w:r>
    </w:p>
    <w:p w14:paraId="48CAE60E" w14:textId="77777777" w:rsidR="00C732FC" w:rsidRPr="00F30274" w:rsidRDefault="00C732FC" w:rsidP="00C732FC">
      <w:pPr>
        <w:spacing w:after="0" w:line="240" w:lineRule="auto"/>
        <w:jc w:val="center"/>
        <w:rPr>
          <w:rFonts w:ascii="Calibri" w:eastAsia="Times New Roman" w:hAnsi="Calibri" w:cs="Calibri"/>
          <w:color w:val="002060"/>
          <w:kern w:val="0"/>
          <w:sz w:val="16"/>
          <w:szCs w:val="16"/>
          <w14:ligatures w14:val="none"/>
        </w:rPr>
      </w:pPr>
      <w:r w:rsidRPr="00F30274">
        <w:rPr>
          <w:rFonts w:ascii="Calibri" w:eastAsia="Times New Roman" w:hAnsi="Calibri" w:cs="Calibri"/>
          <w:color w:val="002060"/>
          <w:kern w:val="0"/>
          <w:sz w:val="16"/>
          <w:szCs w:val="16"/>
          <w14:ligatures w14:val="none"/>
        </w:rPr>
        <w:t>Membra do Comitê de Auditoria Estatutário - COAUD</w:t>
      </w:r>
    </w:p>
    <w:p w14:paraId="2AE8758A" w14:textId="77777777" w:rsidR="00C732FC" w:rsidRPr="00F30274" w:rsidRDefault="00C732FC" w:rsidP="00C732FC">
      <w:pPr>
        <w:spacing w:after="0" w:line="240" w:lineRule="auto"/>
        <w:jc w:val="center"/>
        <w:rPr>
          <w:rFonts w:ascii="Calibri" w:eastAsia="Times New Roman" w:hAnsi="Calibri" w:cs="Calibri"/>
          <w:b/>
          <w:color w:val="002060"/>
          <w:kern w:val="0"/>
          <w:sz w:val="16"/>
          <w:szCs w:val="16"/>
          <w14:ligatures w14:val="none"/>
        </w:rPr>
      </w:pPr>
      <w:proofErr w:type="spellStart"/>
      <w:r w:rsidRPr="00F30274">
        <w:rPr>
          <w:rFonts w:ascii="Calibri" w:eastAsia="Times New Roman" w:hAnsi="Calibri" w:cs="Calibri"/>
          <w:b/>
          <w:color w:val="002060"/>
          <w:kern w:val="0"/>
          <w:sz w:val="16"/>
          <w:szCs w:val="16"/>
          <w14:ligatures w14:val="none"/>
        </w:rPr>
        <w:t>Glauben</w:t>
      </w:r>
      <w:proofErr w:type="spellEnd"/>
      <w:r w:rsidRPr="00F30274">
        <w:rPr>
          <w:rFonts w:ascii="Calibri" w:eastAsia="Times New Roman" w:hAnsi="Calibri" w:cs="Calibri"/>
          <w:b/>
          <w:color w:val="002060"/>
          <w:kern w:val="0"/>
          <w:sz w:val="16"/>
          <w:szCs w:val="16"/>
          <w14:ligatures w14:val="none"/>
        </w:rPr>
        <w:t xml:space="preserve"> Teixeira de Carvalho</w:t>
      </w:r>
    </w:p>
    <w:p w14:paraId="32F1F4E4" w14:textId="77777777" w:rsidR="00C732FC" w:rsidRPr="00F30274" w:rsidRDefault="00C732FC" w:rsidP="00C732FC">
      <w:pPr>
        <w:spacing w:after="0" w:line="240" w:lineRule="auto"/>
        <w:jc w:val="center"/>
        <w:rPr>
          <w:rFonts w:ascii="Calibri" w:eastAsia="Times New Roman" w:hAnsi="Calibri" w:cs="Calibri"/>
          <w:i/>
          <w:color w:val="002060"/>
          <w:kern w:val="0"/>
          <w:sz w:val="16"/>
          <w:szCs w:val="16"/>
          <w14:ligatures w14:val="none"/>
        </w:rPr>
      </w:pPr>
      <w:r w:rsidRPr="00F30274">
        <w:rPr>
          <w:rFonts w:ascii="Calibri" w:eastAsia="Times New Roman" w:hAnsi="Calibri" w:cs="Calibri"/>
          <w:color w:val="002060"/>
          <w:kern w:val="0"/>
          <w:sz w:val="16"/>
          <w:szCs w:val="16"/>
          <w14:ligatures w14:val="none"/>
        </w:rPr>
        <w:t>Membra do Comitê de Auditoria Estatutário</w:t>
      </w:r>
    </w:p>
    <w:p w14:paraId="20626DE4" w14:textId="77777777" w:rsidR="00C732FC" w:rsidRDefault="00C732FC" w:rsidP="00C732FC">
      <w:pPr>
        <w:spacing w:after="0" w:line="240" w:lineRule="auto"/>
        <w:rPr>
          <w:rFonts w:ascii="Calibri" w:eastAsia="Times New Roman" w:hAnsi="Calibri" w:cs="Calibri"/>
          <w:color w:val="002060"/>
          <w:kern w:val="0"/>
          <w14:ligatures w14:val="none"/>
        </w:rPr>
      </w:pPr>
    </w:p>
    <w:tbl>
      <w:tblPr>
        <w:tblStyle w:val="Tabelacomgrade"/>
        <w:tblW w:w="0" w:type="auto"/>
        <w:tblLook w:val="04A0" w:firstRow="1" w:lastRow="0" w:firstColumn="1" w:lastColumn="0" w:noHBand="0" w:noVBand="1"/>
      </w:tblPr>
      <w:tblGrid>
        <w:gridCol w:w="9769"/>
      </w:tblGrid>
      <w:tr w:rsidR="00622AA3" w14:paraId="1209CD52" w14:textId="77777777" w:rsidTr="00622AA3">
        <w:tc>
          <w:tcPr>
            <w:tcW w:w="9771" w:type="dxa"/>
            <w:shd w:val="clear" w:color="auto" w:fill="215E99" w:themeFill="text2" w:themeFillTint="BF"/>
          </w:tcPr>
          <w:p w14:paraId="6C36EC08" w14:textId="3DAE28D5" w:rsidR="00622AA3" w:rsidRPr="00622AA3" w:rsidRDefault="00622AA3" w:rsidP="00622AA3">
            <w:pPr>
              <w:jc w:val="center"/>
              <w:rPr>
                <w:rFonts w:ascii="Calibri" w:hAnsi="Calibri" w:cs="Calibri"/>
                <w:b/>
                <w:bCs/>
              </w:rPr>
            </w:pPr>
            <w:r w:rsidRPr="00622AA3">
              <w:rPr>
                <w:rFonts w:ascii="Calibri" w:hAnsi="Calibri" w:cs="Calibri"/>
                <w:b/>
                <w:bCs/>
                <w:color w:val="FFFFFF" w:themeColor="background1"/>
              </w:rPr>
              <w:t>PARECER DO CONSELHO DE ADMINISTRAÇÃO</w:t>
            </w:r>
          </w:p>
        </w:tc>
      </w:tr>
    </w:tbl>
    <w:p w14:paraId="5AA23667" w14:textId="298E238A" w:rsidR="00A822E6" w:rsidRPr="00A822E6" w:rsidRDefault="00A822E6" w:rsidP="0044731C">
      <w:pPr>
        <w:spacing w:after="0" w:line="240" w:lineRule="auto"/>
        <w:jc w:val="both"/>
        <w:rPr>
          <w:rFonts w:ascii="Calibri" w:eastAsia="Times New Roman" w:hAnsi="Calibri" w:cs="Calibri"/>
          <w:color w:val="002060"/>
          <w:kern w:val="0"/>
          <w14:ligatures w14:val="none"/>
        </w:rPr>
      </w:pPr>
      <w:r w:rsidRPr="00A822E6">
        <w:rPr>
          <w:rFonts w:ascii="Calibri" w:eastAsia="Times New Roman" w:hAnsi="Calibri" w:cs="Calibri"/>
          <w:color w:val="002060"/>
          <w:kern w:val="0"/>
          <w14:ligatures w14:val="none"/>
        </w:rPr>
        <w:t xml:space="preserve">Os membros do Conselho de Administração da Telecomunicações Brasileiras S.A. - Telebras, no exercício de suas atribuições e responsabilidades legais, estabelecidas no artigo 142, incisos V e VI, da Lei nº 6.404, de 1976, no artigo 56, inciso VIII, do Estatuto Social da Telebras e no artigo 5º, inciso VIII, do Regimento Interno do Conselho de Administração, procederam ao exame e análise das Demonstrações Contábeis, acompanhadas do Relatório dos Auditores Independentes, Parecer do Comitê de Auditoria Estatutário (COAUD) e do Relatório Anual da Administração, relativos ao exercício social encerrado em 31 de dezembro de 2023 (Demonstrações Contábeis Anuais de 2023). Com base no acima especificado e considerando ainda as informações prestadas pela Diretoria da Telebras e pelos Auditores Independentes (CONSULT Auditores Independentes), opinam, por unanimidade e sem ressalvas, que </w:t>
      </w:r>
      <w:proofErr w:type="gramStart"/>
      <w:r w:rsidRPr="00A822E6">
        <w:rPr>
          <w:rFonts w:ascii="Calibri" w:eastAsia="Times New Roman" w:hAnsi="Calibri" w:cs="Calibri"/>
          <w:color w:val="002060"/>
          <w:kern w:val="0"/>
          <w14:ligatures w14:val="none"/>
        </w:rPr>
        <w:t>os mesmos</w:t>
      </w:r>
      <w:proofErr w:type="gramEnd"/>
      <w:r w:rsidRPr="00A822E6">
        <w:rPr>
          <w:rFonts w:ascii="Calibri" w:eastAsia="Times New Roman" w:hAnsi="Calibri" w:cs="Calibri"/>
          <w:color w:val="002060"/>
          <w:kern w:val="0"/>
          <w14:ligatures w14:val="none"/>
        </w:rPr>
        <w:t xml:space="preserve"> refletem adequadamente, em todos os aspectos relevantes, as posições patrimonial e financeira da Companhia, e determinam o encaminhamento dos documentos para aprovação da Assembleia Geral de Acionistas da Companhia, na forma estatutária e regimental acima mencionado. Brasília-DF, 15 de março de 2024.</w:t>
      </w:r>
    </w:p>
    <w:p w14:paraId="1C0E0109" w14:textId="77777777" w:rsidR="00A822E6" w:rsidRPr="00A822E6" w:rsidRDefault="00A822E6" w:rsidP="00A822E6">
      <w:pPr>
        <w:spacing w:after="0" w:line="240" w:lineRule="auto"/>
        <w:jc w:val="center"/>
        <w:rPr>
          <w:rFonts w:ascii="Calibri" w:eastAsia="Times New Roman" w:hAnsi="Calibri" w:cs="Calibri"/>
          <w:b/>
          <w:bCs/>
          <w:color w:val="002060"/>
          <w:kern w:val="0"/>
          <w:sz w:val="16"/>
          <w:szCs w:val="16"/>
          <w14:ligatures w14:val="none"/>
        </w:rPr>
      </w:pPr>
      <w:r w:rsidRPr="00A822E6">
        <w:rPr>
          <w:rFonts w:ascii="Calibri" w:eastAsia="Times New Roman" w:hAnsi="Calibri" w:cs="Calibri"/>
          <w:b/>
          <w:bCs/>
          <w:color w:val="002060"/>
          <w:kern w:val="0"/>
          <w:sz w:val="16"/>
          <w:szCs w:val="16"/>
          <w14:ligatures w14:val="none"/>
        </w:rPr>
        <w:t xml:space="preserve">Maximiliano </w:t>
      </w:r>
      <w:proofErr w:type="spellStart"/>
      <w:r w:rsidRPr="00A822E6">
        <w:rPr>
          <w:rFonts w:ascii="Calibri" w:eastAsia="Times New Roman" w:hAnsi="Calibri" w:cs="Calibri"/>
          <w:b/>
          <w:bCs/>
          <w:color w:val="002060"/>
          <w:kern w:val="0"/>
          <w:sz w:val="16"/>
          <w:szCs w:val="16"/>
          <w14:ligatures w14:val="none"/>
        </w:rPr>
        <w:t>Salvadori</w:t>
      </w:r>
      <w:proofErr w:type="spellEnd"/>
      <w:r w:rsidRPr="00A822E6">
        <w:rPr>
          <w:rFonts w:ascii="Calibri" w:eastAsia="Times New Roman" w:hAnsi="Calibri" w:cs="Calibri"/>
          <w:b/>
          <w:bCs/>
          <w:color w:val="002060"/>
          <w:kern w:val="0"/>
          <w:sz w:val="16"/>
          <w:szCs w:val="16"/>
          <w14:ligatures w14:val="none"/>
        </w:rPr>
        <w:t xml:space="preserve"> </w:t>
      </w:r>
      <w:proofErr w:type="spellStart"/>
      <w:r w:rsidRPr="00A822E6">
        <w:rPr>
          <w:rFonts w:ascii="Calibri" w:eastAsia="Times New Roman" w:hAnsi="Calibri" w:cs="Calibri"/>
          <w:b/>
          <w:bCs/>
          <w:color w:val="002060"/>
          <w:kern w:val="0"/>
          <w:sz w:val="16"/>
          <w:szCs w:val="16"/>
          <w14:ligatures w14:val="none"/>
        </w:rPr>
        <w:t>Martinhão</w:t>
      </w:r>
      <w:proofErr w:type="spellEnd"/>
    </w:p>
    <w:p w14:paraId="604A7429" w14:textId="77777777" w:rsidR="00A822E6" w:rsidRPr="00A822E6" w:rsidRDefault="00A822E6" w:rsidP="00A822E6">
      <w:pPr>
        <w:spacing w:after="0" w:line="240" w:lineRule="auto"/>
        <w:jc w:val="center"/>
        <w:rPr>
          <w:rFonts w:ascii="Calibri" w:eastAsia="Times New Roman" w:hAnsi="Calibri" w:cs="Calibri"/>
          <w:color w:val="002060"/>
          <w:kern w:val="0"/>
          <w:sz w:val="16"/>
          <w:szCs w:val="16"/>
          <w14:ligatures w14:val="none"/>
        </w:rPr>
      </w:pPr>
      <w:r w:rsidRPr="00A822E6">
        <w:rPr>
          <w:rFonts w:ascii="Calibri" w:eastAsia="Times New Roman" w:hAnsi="Calibri" w:cs="Calibri"/>
          <w:color w:val="002060"/>
          <w:kern w:val="0"/>
          <w:sz w:val="16"/>
          <w:szCs w:val="16"/>
          <w14:ligatures w14:val="none"/>
        </w:rPr>
        <w:t xml:space="preserve">Presidente do Conselho de Administração </w:t>
      </w:r>
    </w:p>
    <w:p w14:paraId="611015A4" w14:textId="00EA48D9" w:rsidR="00A822E6" w:rsidRPr="00A822E6" w:rsidRDefault="00A822E6" w:rsidP="00A822E6">
      <w:pPr>
        <w:spacing w:after="0" w:line="240" w:lineRule="auto"/>
        <w:jc w:val="center"/>
        <w:rPr>
          <w:rFonts w:ascii="Calibri" w:eastAsia="Times New Roman" w:hAnsi="Calibri" w:cs="Calibri"/>
          <w:color w:val="002060"/>
          <w:kern w:val="0"/>
          <w:sz w:val="16"/>
          <w:szCs w:val="16"/>
          <w14:ligatures w14:val="none"/>
        </w:rPr>
      </w:pPr>
      <w:r w:rsidRPr="00A822E6">
        <w:rPr>
          <w:rFonts w:ascii="Calibri" w:eastAsia="Times New Roman" w:hAnsi="Calibri" w:cs="Calibri"/>
          <w:color w:val="002060"/>
          <w:kern w:val="0"/>
          <w:sz w:val="16"/>
          <w:szCs w:val="16"/>
          <w14:ligatures w14:val="none"/>
        </w:rPr>
        <w:t>Representante do Ministério das Comunicações</w:t>
      </w:r>
    </w:p>
    <w:p w14:paraId="411B1084" w14:textId="77777777" w:rsidR="00A822E6" w:rsidRPr="00A822E6" w:rsidRDefault="00A822E6" w:rsidP="00A822E6">
      <w:pPr>
        <w:spacing w:after="0" w:line="240" w:lineRule="auto"/>
        <w:jc w:val="center"/>
        <w:rPr>
          <w:rFonts w:ascii="Calibri" w:eastAsia="Times New Roman" w:hAnsi="Calibri" w:cs="Calibri"/>
          <w:b/>
          <w:bCs/>
          <w:color w:val="002060"/>
          <w:kern w:val="0"/>
          <w:sz w:val="16"/>
          <w:szCs w:val="16"/>
          <w14:ligatures w14:val="none"/>
        </w:rPr>
      </w:pPr>
      <w:r w:rsidRPr="00A822E6">
        <w:rPr>
          <w:rFonts w:ascii="Calibri" w:eastAsia="Times New Roman" w:hAnsi="Calibri" w:cs="Calibri"/>
          <w:b/>
          <w:bCs/>
          <w:color w:val="002060"/>
          <w:kern w:val="0"/>
          <w:sz w:val="16"/>
          <w:szCs w:val="16"/>
          <w14:ligatures w14:val="none"/>
        </w:rPr>
        <w:t>Gil Pinto Loja Neto</w:t>
      </w:r>
    </w:p>
    <w:p w14:paraId="564072D3" w14:textId="36F96CBF" w:rsidR="00A822E6" w:rsidRPr="00A822E6" w:rsidRDefault="00A822E6" w:rsidP="00A822E6">
      <w:pPr>
        <w:spacing w:after="0" w:line="240" w:lineRule="auto"/>
        <w:jc w:val="center"/>
        <w:rPr>
          <w:rFonts w:ascii="Calibri" w:eastAsia="Times New Roman" w:hAnsi="Calibri" w:cs="Calibri"/>
          <w:color w:val="002060"/>
          <w:kern w:val="0"/>
          <w:sz w:val="16"/>
          <w:szCs w:val="16"/>
          <w14:ligatures w14:val="none"/>
        </w:rPr>
      </w:pPr>
      <w:r w:rsidRPr="00A822E6">
        <w:rPr>
          <w:rFonts w:ascii="Calibri" w:eastAsia="Times New Roman" w:hAnsi="Calibri" w:cs="Calibri"/>
          <w:color w:val="002060"/>
          <w:kern w:val="0"/>
          <w:sz w:val="16"/>
          <w:szCs w:val="16"/>
          <w14:ligatures w14:val="none"/>
        </w:rPr>
        <w:t>Conselheiro Representante do Ministério das Comunicações</w:t>
      </w:r>
    </w:p>
    <w:p w14:paraId="0181E15F" w14:textId="77777777" w:rsidR="00A822E6" w:rsidRPr="00A822E6" w:rsidRDefault="00A822E6" w:rsidP="00A822E6">
      <w:pPr>
        <w:spacing w:after="0" w:line="240" w:lineRule="auto"/>
        <w:jc w:val="center"/>
        <w:rPr>
          <w:rFonts w:ascii="Calibri" w:eastAsia="Times New Roman" w:hAnsi="Calibri" w:cs="Calibri"/>
          <w:b/>
          <w:bCs/>
          <w:color w:val="002060"/>
          <w:kern w:val="0"/>
          <w:sz w:val="16"/>
          <w:szCs w:val="16"/>
          <w14:ligatures w14:val="none"/>
        </w:rPr>
      </w:pPr>
      <w:r w:rsidRPr="00A822E6">
        <w:rPr>
          <w:rFonts w:ascii="Calibri" w:eastAsia="Times New Roman" w:hAnsi="Calibri" w:cs="Calibri"/>
          <w:b/>
          <w:bCs/>
          <w:color w:val="002060"/>
          <w:kern w:val="0"/>
          <w:sz w:val="16"/>
          <w:szCs w:val="16"/>
          <w14:ligatures w14:val="none"/>
        </w:rPr>
        <w:t xml:space="preserve">Marco </w:t>
      </w:r>
      <w:proofErr w:type="spellStart"/>
      <w:r w:rsidRPr="00A822E6">
        <w:rPr>
          <w:rFonts w:ascii="Calibri" w:eastAsia="Times New Roman" w:hAnsi="Calibri" w:cs="Calibri"/>
          <w:b/>
          <w:bCs/>
          <w:color w:val="002060"/>
          <w:kern w:val="0"/>
          <w:sz w:val="16"/>
          <w:szCs w:val="16"/>
          <w14:ligatures w14:val="none"/>
        </w:rPr>
        <w:t>Norci</w:t>
      </w:r>
      <w:proofErr w:type="spellEnd"/>
      <w:r w:rsidRPr="00A822E6">
        <w:rPr>
          <w:rFonts w:ascii="Calibri" w:eastAsia="Times New Roman" w:hAnsi="Calibri" w:cs="Calibri"/>
          <w:b/>
          <w:bCs/>
          <w:color w:val="002060"/>
          <w:kern w:val="0"/>
          <w:sz w:val="16"/>
          <w:szCs w:val="16"/>
          <w14:ligatures w14:val="none"/>
        </w:rPr>
        <w:t xml:space="preserve"> Schroeder</w:t>
      </w:r>
    </w:p>
    <w:p w14:paraId="64E83371" w14:textId="19CDB2E8" w:rsidR="00A822E6" w:rsidRPr="00A822E6" w:rsidRDefault="00A822E6" w:rsidP="00A822E6">
      <w:pPr>
        <w:spacing w:after="0" w:line="240" w:lineRule="auto"/>
        <w:jc w:val="center"/>
        <w:rPr>
          <w:rFonts w:ascii="Calibri" w:eastAsia="Times New Roman" w:hAnsi="Calibri" w:cs="Calibri"/>
          <w:color w:val="002060"/>
          <w:kern w:val="0"/>
          <w:sz w:val="16"/>
          <w:szCs w:val="16"/>
          <w14:ligatures w14:val="none"/>
        </w:rPr>
      </w:pPr>
      <w:r w:rsidRPr="00A822E6">
        <w:rPr>
          <w:rFonts w:ascii="Calibri" w:eastAsia="Times New Roman" w:hAnsi="Calibri" w:cs="Calibri"/>
          <w:color w:val="002060"/>
          <w:kern w:val="0"/>
          <w:sz w:val="16"/>
          <w:szCs w:val="16"/>
          <w14:ligatures w14:val="none"/>
        </w:rPr>
        <w:t>Conselheiro Representante do Ministério das Comunicações</w:t>
      </w:r>
    </w:p>
    <w:p w14:paraId="3B0A708F" w14:textId="77777777" w:rsidR="00A822E6" w:rsidRPr="00A822E6" w:rsidRDefault="00A822E6" w:rsidP="00A822E6">
      <w:pPr>
        <w:spacing w:after="0" w:line="240" w:lineRule="auto"/>
        <w:jc w:val="center"/>
        <w:rPr>
          <w:rFonts w:ascii="Calibri" w:eastAsia="Times New Roman" w:hAnsi="Calibri" w:cs="Calibri"/>
          <w:b/>
          <w:bCs/>
          <w:color w:val="002060"/>
          <w:kern w:val="0"/>
          <w:sz w:val="16"/>
          <w:szCs w:val="16"/>
          <w14:ligatures w14:val="none"/>
        </w:rPr>
      </w:pPr>
      <w:r w:rsidRPr="00A822E6">
        <w:rPr>
          <w:rFonts w:ascii="Calibri" w:eastAsia="Times New Roman" w:hAnsi="Calibri" w:cs="Calibri"/>
          <w:b/>
          <w:bCs/>
          <w:color w:val="002060"/>
          <w:kern w:val="0"/>
          <w:sz w:val="16"/>
          <w:szCs w:val="16"/>
          <w14:ligatures w14:val="none"/>
        </w:rPr>
        <w:t xml:space="preserve">Jerônimo José Cabral Guedes </w:t>
      </w:r>
    </w:p>
    <w:p w14:paraId="2CF0F338" w14:textId="03553338" w:rsidR="00A822E6" w:rsidRPr="00A822E6" w:rsidRDefault="00A822E6" w:rsidP="00A822E6">
      <w:pPr>
        <w:spacing w:after="0" w:line="240" w:lineRule="auto"/>
        <w:jc w:val="center"/>
        <w:rPr>
          <w:rFonts w:ascii="Calibri" w:eastAsia="Times New Roman" w:hAnsi="Calibri" w:cs="Calibri"/>
          <w:color w:val="002060"/>
          <w:kern w:val="0"/>
          <w:sz w:val="16"/>
          <w:szCs w:val="16"/>
          <w14:ligatures w14:val="none"/>
        </w:rPr>
      </w:pPr>
      <w:r w:rsidRPr="00A822E6">
        <w:rPr>
          <w:rFonts w:ascii="Calibri" w:eastAsia="Times New Roman" w:hAnsi="Calibri" w:cs="Calibri"/>
          <w:color w:val="002060"/>
          <w:kern w:val="0"/>
          <w:sz w:val="16"/>
          <w:szCs w:val="16"/>
          <w14:ligatures w14:val="none"/>
        </w:rPr>
        <w:t>Conselheiro Representante do Ministério das Comunicações</w:t>
      </w:r>
    </w:p>
    <w:p w14:paraId="32AF8376" w14:textId="77777777" w:rsidR="00A822E6" w:rsidRPr="00A822E6" w:rsidRDefault="00A822E6" w:rsidP="00A822E6">
      <w:pPr>
        <w:spacing w:after="0" w:line="240" w:lineRule="auto"/>
        <w:jc w:val="center"/>
        <w:rPr>
          <w:rFonts w:ascii="Calibri" w:eastAsia="Times New Roman" w:hAnsi="Calibri" w:cs="Calibri"/>
          <w:b/>
          <w:bCs/>
          <w:color w:val="002060"/>
          <w:kern w:val="0"/>
          <w:sz w:val="16"/>
          <w:szCs w:val="16"/>
          <w14:ligatures w14:val="none"/>
        </w:rPr>
      </w:pPr>
      <w:r w:rsidRPr="00A822E6">
        <w:rPr>
          <w:rFonts w:ascii="Calibri" w:eastAsia="Times New Roman" w:hAnsi="Calibri" w:cs="Calibri"/>
          <w:b/>
          <w:bCs/>
          <w:color w:val="002060"/>
          <w:kern w:val="0"/>
          <w:sz w:val="16"/>
          <w:szCs w:val="16"/>
          <w14:ligatures w14:val="none"/>
        </w:rPr>
        <w:t>Jorge Ricardo Bittar</w:t>
      </w:r>
    </w:p>
    <w:p w14:paraId="17B54E4B" w14:textId="769AA303" w:rsidR="00A822E6" w:rsidRPr="00A822E6" w:rsidRDefault="00A822E6" w:rsidP="00A822E6">
      <w:pPr>
        <w:spacing w:after="0" w:line="240" w:lineRule="auto"/>
        <w:jc w:val="center"/>
        <w:rPr>
          <w:rFonts w:ascii="Calibri" w:eastAsia="Times New Roman" w:hAnsi="Calibri" w:cs="Calibri"/>
          <w:color w:val="002060"/>
          <w:kern w:val="0"/>
          <w:sz w:val="16"/>
          <w:szCs w:val="16"/>
          <w14:ligatures w14:val="none"/>
        </w:rPr>
      </w:pPr>
      <w:r w:rsidRPr="00A822E6">
        <w:rPr>
          <w:rFonts w:ascii="Calibri" w:eastAsia="Times New Roman" w:hAnsi="Calibri" w:cs="Calibri"/>
          <w:color w:val="002060"/>
          <w:kern w:val="0"/>
          <w:sz w:val="16"/>
          <w:szCs w:val="16"/>
          <w14:ligatures w14:val="none"/>
        </w:rPr>
        <w:t>Conselheiro Representante do Ministério das Comunicações</w:t>
      </w:r>
    </w:p>
    <w:p w14:paraId="218958DB" w14:textId="77777777" w:rsidR="00A822E6" w:rsidRPr="00A822E6" w:rsidRDefault="00A822E6" w:rsidP="00A822E6">
      <w:pPr>
        <w:spacing w:after="0" w:line="240" w:lineRule="auto"/>
        <w:jc w:val="center"/>
        <w:rPr>
          <w:rFonts w:ascii="Calibri" w:eastAsia="Times New Roman" w:hAnsi="Calibri" w:cs="Calibri"/>
          <w:b/>
          <w:bCs/>
          <w:color w:val="002060"/>
          <w:kern w:val="0"/>
          <w:sz w:val="16"/>
          <w:szCs w:val="16"/>
          <w14:ligatures w14:val="none"/>
        </w:rPr>
      </w:pPr>
      <w:r w:rsidRPr="00A822E6">
        <w:rPr>
          <w:rFonts w:ascii="Calibri" w:eastAsia="Times New Roman" w:hAnsi="Calibri" w:cs="Calibri"/>
          <w:b/>
          <w:bCs/>
          <w:color w:val="002060"/>
          <w:kern w:val="0"/>
          <w:sz w:val="16"/>
          <w:szCs w:val="16"/>
          <w14:ligatures w14:val="none"/>
        </w:rPr>
        <w:t xml:space="preserve">Isabela Aquino Schneider </w:t>
      </w:r>
    </w:p>
    <w:p w14:paraId="236AC2AC" w14:textId="256CA8B9" w:rsidR="00A822E6" w:rsidRPr="00A822E6" w:rsidRDefault="00A822E6" w:rsidP="00A822E6">
      <w:pPr>
        <w:spacing w:after="0" w:line="240" w:lineRule="auto"/>
        <w:jc w:val="center"/>
        <w:rPr>
          <w:rFonts w:ascii="Calibri" w:eastAsia="Times New Roman" w:hAnsi="Calibri" w:cs="Calibri"/>
          <w:color w:val="002060"/>
          <w:kern w:val="0"/>
          <w:sz w:val="16"/>
          <w:szCs w:val="16"/>
          <w14:ligatures w14:val="none"/>
        </w:rPr>
      </w:pPr>
      <w:r w:rsidRPr="00A822E6">
        <w:rPr>
          <w:rFonts w:ascii="Calibri" w:eastAsia="Times New Roman" w:hAnsi="Calibri" w:cs="Calibri"/>
          <w:color w:val="002060"/>
          <w:kern w:val="0"/>
          <w:sz w:val="16"/>
          <w:szCs w:val="16"/>
          <w14:ligatures w14:val="none"/>
        </w:rPr>
        <w:t>Conselheira Representante dos Empregados</w:t>
      </w:r>
    </w:p>
    <w:p w14:paraId="51BAF648" w14:textId="77777777" w:rsidR="00A822E6" w:rsidRPr="00A822E6" w:rsidRDefault="00A822E6" w:rsidP="00A822E6">
      <w:pPr>
        <w:spacing w:after="0" w:line="240" w:lineRule="auto"/>
        <w:jc w:val="center"/>
        <w:rPr>
          <w:rFonts w:ascii="Calibri" w:eastAsia="Times New Roman" w:hAnsi="Calibri" w:cs="Calibri"/>
          <w:b/>
          <w:bCs/>
          <w:color w:val="002060"/>
          <w:kern w:val="0"/>
          <w:sz w:val="16"/>
          <w:szCs w:val="16"/>
          <w14:ligatures w14:val="none"/>
        </w:rPr>
      </w:pPr>
      <w:r w:rsidRPr="00A822E6">
        <w:rPr>
          <w:rFonts w:ascii="Calibri" w:eastAsia="Times New Roman" w:hAnsi="Calibri" w:cs="Calibri"/>
          <w:b/>
          <w:bCs/>
          <w:color w:val="002060"/>
          <w:kern w:val="0"/>
          <w:sz w:val="16"/>
          <w:szCs w:val="16"/>
          <w14:ligatures w14:val="none"/>
        </w:rPr>
        <w:t xml:space="preserve">João Caldeira Brant Monteiro de Castro </w:t>
      </w:r>
    </w:p>
    <w:p w14:paraId="34CB89A2" w14:textId="54918AB6" w:rsidR="00A822E6" w:rsidRPr="00A822E6" w:rsidRDefault="00A822E6" w:rsidP="00A822E6">
      <w:pPr>
        <w:spacing w:after="0" w:line="240" w:lineRule="auto"/>
        <w:jc w:val="center"/>
        <w:rPr>
          <w:rFonts w:ascii="Calibri" w:eastAsia="Times New Roman" w:hAnsi="Calibri" w:cs="Calibri"/>
          <w:color w:val="002060"/>
          <w:kern w:val="0"/>
          <w:sz w:val="16"/>
          <w:szCs w:val="16"/>
          <w14:ligatures w14:val="none"/>
        </w:rPr>
      </w:pPr>
      <w:r w:rsidRPr="00A822E6">
        <w:rPr>
          <w:rFonts w:ascii="Calibri" w:eastAsia="Times New Roman" w:hAnsi="Calibri" w:cs="Calibri"/>
          <w:color w:val="002060"/>
          <w:kern w:val="0"/>
          <w:sz w:val="16"/>
          <w:szCs w:val="16"/>
          <w14:ligatures w14:val="none"/>
        </w:rPr>
        <w:t xml:space="preserve">Conselheiro Representante do Ministério da Gestão e da Inovação em Serviços Públicos </w:t>
      </w:r>
    </w:p>
    <w:p w14:paraId="7F6BE5B0" w14:textId="77777777" w:rsidR="00A822E6" w:rsidRPr="00A822E6" w:rsidRDefault="00A822E6" w:rsidP="00A822E6">
      <w:pPr>
        <w:spacing w:after="0" w:line="240" w:lineRule="auto"/>
        <w:jc w:val="center"/>
        <w:rPr>
          <w:rFonts w:ascii="Calibri" w:eastAsia="Times New Roman" w:hAnsi="Calibri" w:cs="Calibri"/>
          <w:b/>
          <w:bCs/>
          <w:color w:val="002060"/>
          <w:kern w:val="0"/>
          <w:sz w:val="16"/>
          <w:szCs w:val="16"/>
          <w14:ligatures w14:val="none"/>
        </w:rPr>
      </w:pPr>
      <w:r w:rsidRPr="00A822E6">
        <w:rPr>
          <w:rFonts w:ascii="Calibri" w:eastAsia="Times New Roman" w:hAnsi="Calibri" w:cs="Calibri"/>
          <w:b/>
          <w:bCs/>
          <w:color w:val="002060"/>
          <w:kern w:val="0"/>
          <w:sz w:val="16"/>
          <w:szCs w:val="16"/>
          <w14:ligatures w14:val="none"/>
        </w:rPr>
        <w:t xml:space="preserve">Lauro Arcangelo </w:t>
      </w:r>
      <w:proofErr w:type="spellStart"/>
      <w:r w:rsidRPr="00A822E6">
        <w:rPr>
          <w:rFonts w:ascii="Calibri" w:eastAsia="Times New Roman" w:hAnsi="Calibri" w:cs="Calibri"/>
          <w:b/>
          <w:bCs/>
          <w:color w:val="002060"/>
          <w:kern w:val="0"/>
          <w:sz w:val="16"/>
          <w:szCs w:val="16"/>
          <w14:ligatures w14:val="none"/>
        </w:rPr>
        <w:t>Zanol</w:t>
      </w:r>
      <w:proofErr w:type="spellEnd"/>
      <w:r w:rsidRPr="00A822E6">
        <w:rPr>
          <w:rFonts w:ascii="Calibri" w:eastAsia="Times New Roman" w:hAnsi="Calibri" w:cs="Calibri"/>
          <w:b/>
          <w:bCs/>
          <w:color w:val="002060"/>
          <w:kern w:val="0"/>
          <w:sz w:val="16"/>
          <w:szCs w:val="16"/>
          <w14:ligatures w14:val="none"/>
        </w:rPr>
        <w:t xml:space="preserve"> </w:t>
      </w:r>
    </w:p>
    <w:p w14:paraId="2E6DDAD3" w14:textId="4CF631C9" w:rsidR="0044731C" w:rsidRDefault="00A822E6" w:rsidP="0044731C">
      <w:pPr>
        <w:spacing w:after="0" w:line="240" w:lineRule="auto"/>
        <w:jc w:val="center"/>
        <w:rPr>
          <w:rFonts w:ascii="Calibri" w:eastAsia="Times New Roman" w:hAnsi="Calibri" w:cs="Calibri"/>
          <w:color w:val="002060"/>
          <w:kern w:val="0"/>
          <w:sz w:val="16"/>
          <w:szCs w:val="16"/>
          <w14:ligatures w14:val="none"/>
        </w:rPr>
      </w:pPr>
      <w:r w:rsidRPr="00A822E6">
        <w:rPr>
          <w:rFonts w:ascii="Calibri" w:eastAsia="Times New Roman" w:hAnsi="Calibri" w:cs="Calibri"/>
          <w:color w:val="002060"/>
          <w:kern w:val="0"/>
          <w:sz w:val="16"/>
          <w:szCs w:val="16"/>
          <w14:ligatures w14:val="none"/>
        </w:rPr>
        <w:t xml:space="preserve">Conselheiro Representante dos Acionistas Minoritários </w:t>
      </w:r>
      <w:proofErr w:type="spellStart"/>
      <w:r w:rsidRPr="00A822E6">
        <w:rPr>
          <w:rFonts w:ascii="Calibri" w:eastAsia="Times New Roman" w:hAnsi="Calibri" w:cs="Calibri"/>
          <w:color w:val="002060"/>
          <w:kern w:val="0"/>
          <w:sz w:val="16"/>
          <w:szCs w:val="16"/>
          <w14:ligatures w14:val="none"/>
        </w:rPr>
        <w:t>Ordinaris</w:t>
      </w:r>
      <w:r w:rsidR="00E50783">
        <w:rPr>
          <w:rFonts w:ascii="Calibri" w:eastAsia="Times New Roman" w:hAnsi="Calibri" w:cs="Calibri"/>
          <w:color w:val="002060"/>
          <w:kern w:val="0"/>
          <w:sz w:val="16"/>
          <w:szCs w:val="16"/>
          <w14:ligatures w14:val="none"/>
        </w:rPr>
        <w:t>t</w:t>
      </w:r>
      <w:r w:rsidR="0044731C">
        <w:rPr>
          <w:rFonts w:ascii="Calibri" w:eastAsia="Times New Roman" w:hAnsi="Calibri" w:cs="Calibri"/>
          <w:color w:val="002060"/>
          <w:kern w:val="0"/>
          <w:sz w:val="16"/>
          <w:szCs w:val="16"/>
          <w14:ligatures w14:val="none"/>
        </w:rPr>
        <w:t>a</w:t>
      </w:r>
      <w:proofErr w:type="spellEnd"/>
    </w:p>
    <w:sectPr w:rsidR="0044731C" w:rsidSect="0044731C">
      <w:footerReference w:type="default" r:id="rId70"/>
      <w:pgSz w:w="11906" w:h="16838" w:code="9"/>
      <w:pgMar w:top="851" w:right="851" w:bottom="992" w:left="1276"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D9321" w14:textId="77777777" w:rsidR="00F552AA" w:rsidRDefault="00F552AA" w:rsidP="00F552AA">
      <w:pPr>
        <w:spacing w:after="0" w:line="240" w:lineRule="auto"/>
      </w:pPr>
      <w:r>
        <w:separator/>
      </w:r>
    </w:p>
  </w:endnote>
  <w:endnote w:type="continuationSeparator" w:id="0">
    <w:p w14:paraId="5BE3C6F4" w14:textId="77777777" w:rsidR="00F552AA" w:rsidRDefault="00F552AA" w:rsidP="00F552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WenQuanYi Micro Hei">
    <w:altName w:val="MS Mincho"/>
    <w:panose1 w:val="00000000000000000000"/>
    <w:charset w:val="80"/>
    <w:family w:val="auto"/>
    <w:notTrueType/>
    <w:pitch w:val="variable"/>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OpenSymbol">
    <w:charset w:val="00"/>
    <w:family w:val="auto"/>
    <w:pitch w:val="variable"/>
    <w:sig w:usb0="800000AF" w:usb1="1001ECEA" w:usb2="00000000" w:usb3="00000000" w:csb0="00000001" w:csb1="00000000"/>
  </w:font>
  <w:font w:name="Cambria">
    <w:panose1 w:val="02040503050406030204"/>
    <w:charset w:val="00"/>
    <w:family w:val="roman"/>
    <w:pitch w:val="variable"/>
    <w:sig w:usb0="E00006FF" w:usb1="420024FF" w:usb2="02000000" w:usb3="00000000" w:csb0="0000019F" w:csb1="00000000"/>
  </w:font>
  <w:font w:name="Lohit Hindi">
    <w:altName w:val="MS Mincho"/>
    <w:charset w:val="80"/>
    <w:family w:val="auto"/>
    <w:pitch w:val="variable"/>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AF238" w14:textId="77777777" w:rsidR="00CD43C8" w:rsidRDefault="00CD43C8" w:rsidP="009D62AB">
    <w:pPr>
      <w:pStyle w:val="Rodap"/>
      <w:jc w:val="right"/>
      <w:rPr>
        <w:caps/>
        <w:color w:val="156082" w:themeColor="accent1"/>
      </w:rPr>
    </w:pPr>
    <w:r>
      <w:rPr>
        <w:caps/>
        <w:color w:val="156082" w:themeColor="accent1"/>
      </w:rPr>
      <w:fldChar w:fldCharType="begin"/>
    </w:r>
    <w:r>
      <w:rPr>
        <w:caps/>
        <w:color w:val="156082" w:themeColor="accent1"/>
      </w:rPr>
      <w:instrText>PAGE   \* MERGEFORMAT</w:instrText>
    </w:r>
    <w:r>
      <w:rPr>
        <w:caps/>
        <w:color w:val="156082" w:themeColor="accent1"/>
      </w:rPr>
      <w:fldChar w:fldCharType="separate"/>
    </w:r>
    <w:r>
      <w:rPr>
        <w:caps/>
        <w:noProof/>
        <w:color w:val="156082" w:themeColor="accent1"/>
      </w:rPr>
      <w:t>50</w:t>
    </w:r>
    <w:r>
      <w:rPr>
        <w:caps/>
        <w:color w:val="156082" w:themeColor="accent1"/>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2164397"/>
      <w:docPartObj>
        <w:docPartGallery w:val="Page Numbers (Bottom of Page)"/>
        <w:docPartUnique/>
      </w:docPartObj>
    </w:sdtPr>
    <w:sdtEndPr/>
    <w:sdtContent>
      <w:p w14:paraId="169C7289" w14:textId="77777777" w:rsidR="0092558B" w:rsidRDefault="0092558B" w:rsidP="00951A69">
        <w:pPr>
          <w:pStyle w:val="Rodap"/>
          <w:tabs>
            <w:tab w:val="left" w:pos="2715"/>
            <w:tab w:val="left" w:pos="3915"/>
          </w:tabs>
          <w:rPr>
            <w:rStyle w:val="Nmerodepgina"/>
            <w:rFonts w:ascii="Century Gothic" w:hAnsi="Century Gothic"/>
            <w:snapToGrid w:val="0"/>
            <w:sz w:val="18"/>
            <w:szCs w:val="16"/>
          </w:rPr>
        </w:pPr>
        <w:r>
          <w:rPr>
            <w:rStyle w:val="Nmerodepgina"/>
            <w:rFonts w:ascii="Century Gothic" w:hAnsi="Century Gothic"/>
            <w:snapToGrid w:val="0"/>
            <w:sz w:val="16"/>
            <w:szCs w:val="16"/>
          </w:rPr>
          <w:tab/>
        </w:r>
        <w:r>
          <w:rPr>
            <w:rStyle w:val="Nmerodepgina"/>
            <w:rFonts w:ascii="Century Gothic" w:hAnsi="Century Gothic"/>
            <w:snapToGrid w:val="0"/>
            <w:sz w:val="16"/>
            <w:szCs w:val="16"/>
          </w:rPr>
          <w:tab/>
          <w:t xml:space="preserve">      </w:t>
        </w:r>
        <w:r>
          <w:rPr>
            <w:rStyle w:val="Nmerodepgina"/>
            <w:rFonts w:ascii="Century Gothic" w:hAnsi="Century Gothic"/>
            <w:snapToGrid w:val="0"/>
            <w:sz w:val="18"/>
            <w:szCs w:val="16"/>
          </w:rPr>
          <w:t>4</w:t>
        </w:r>
      </w:p>
      <w:tbl>
        <w:tblPr>
          <w:tblStyle w:val="Tabelacomgrade"/>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6"/>
          <w:gridCol w:w="1407"/>
          <w:gridCol w:w="4144"/>
          <w:gridCol w:w="709"/>
        </w:tblGrid>
        <w:tr w:rsidR="0092558B" w:rsidRPr="00146F66" w14:paraId="027F311E" w14:textId="77777777" w:rsidTr="00047615">
          <w:tc>
            <w:tcPr>
              <w:tcW w:w="3516" w:type="dxa"/>
            </w:tcPr>
            <w:p w14:paraId="0AE2B249" w14:textId="77777777" w:rsidR="0092558B" w:rsidRPr="00146F66" w:rsidRDefault="0092558B" w:rsidP="00047615">
              <w:pPr>
                <w:pStyle w:val="Rodap"/>
                <w:rPr>
                  <w:rFonts w:cs="Arial"/>
                  <w:color w:val="3A3A3A" w:themeColor="background2" w:themeShade="40"/>
                  <w:sz w:val="14"/>
                  <w:szCs w:val="14"/>
                </w:rPr>
              </w:pPr>
            </w:p>
          </w:tc>
          <w:tc>
            <w:tcPr>
              <w:tcW w:w="1407" w:type="dxa"/>
            </w:tcPr>
            <w:p w14:paraId="35DE5D0F" w14:textId="77777777" w:rsidR="0092558B" w:rsidRPr="00146F66" w:rsidRDefault="0092558B" w:rsidP="00047615">
              <w:pPr>
                <w:pStyle w:val="Rodap"/>
                <w:jc w:val="right"/>
                <w:rPr>
                  <w:rFonts w:cs="Arial"/>
                  <w:sz w:val="14"/>
                  <w:szCs w:val="14"/>
                </w:rPr>
              </w:pPr>
            </w:p>
          </w:tc>
          <w:tc>
            <w:tcPr>
              <w:tcW w:w="4853" w:type="dxa"/>
              <w:gridSpan w:val="2"/>
            </w:tcPr>
            <w:p w14:paraId="2EA4C751" w14:textId="77777777" w:rsidR="0092558B" w:rsidRPr="00146F66" w:rsidRDefault="0092558B" w:rsidP="00047615">
              <w:pPr>
                <w:pStyle w:val="Rodap"/>
                <w:jc w:val="right"/>
                <w:rPr>
                  <w:rFonts w:cs="Arial"/>
                  <w:color w:val="3A3A3A" w:themeColor="background2" w:themeShade="40"/>
                  <w:sz w:val="14"/>
                  <w:szCs w:val="14"/>
                </w:rPr>
              </w:pPr>
            </w:p>
          </w:tc>
        </w:tr>
        <w:tr w:rsidR="0092558B" w:rsidRPr="00146F66" w14:paraId="74C49568" w14:textId="77777777" w:rsidTr="00047615">
          <w:tc>
            <w:tcPr>
              <w:tcW w:w="9067" w:type="dxa"/>
              <w:gridSpan w:val="3"/>
            </w:tcPr>
            <w:p w14:paraId="648BF256" w14:textId="77777777" w:rsidR="0092558B" w:rsidRPr="008D05D3" w:rsidRDefault="0092558B" w:rsidP="00047615">
              <w:pPr>
                <w:spacing w:line="180" w:lineRule="exact"/>
                <w:ind w:left="-108"/>
                <w:jc w:val="both"/>
                <w:rPr>
                  <w:rFonts w:cs="Arial"/>
                  <w:b/>
                  <w:bCs/>
                  <w:color w:val="000044"/>
                  <w:sz w:val="16"/>
                  <w:szCs w:val="16"/>
                </w:rPr>
              </w:pPr>
              <w:proofErr w:type="spellStart"/>
              <w:r w:rsidRPr="008D05D3">
                <w:rPr>
                  <w:rFonts w:cs="Arial"/>
                  <w:b/>
                  <w:bCs/>
                  <w:color w:val="000044"/>
                  <w:sz w:val="16"/>
                  <w:szCs w:val="16"/>
                </w:rPr>
                <w:t>Consult</w:t>
              </w:r>
              <w:proofErr w:type="spellEnd"/>
              <w:r w:rsidRPr="008D05D3">
                <w:rPr>
                  <w:rFonts w:cs="Arial"/>
                  <w:b/>
                  <w:bCs/>
                  <w:color w:val="000044"/>
                  <w:sz w:val="16"/>
                  <w:szCs w:val="16"/>
                </w:rPr>
                <w:t xml:space="preserve"> Auditores Independentes</w:t>
              </w:r>
            </w:p>
            <w:p w14:paraId="67DCAE0D" w14:textId="77777777" w:rsidR="0092558B" w:rsidRPr="00146F66" w:rsidRDefault="0092558B" w:rsidP="00047615">
              <w:pPr>
                <w:spacing w:line="140" w:lineRule="exact"/>
                <w:ind w:left="-115"/>
                <w:jc w:val="both"/>
                <w:rPr>
                  <w:rFonts w:cs="Arial"/>
                  <w:color w:val="000044"/>
                  <w:sz w:val="14"/>
                  <w:szCs w:val="14"/>
                </w:rPr>
              </w:pPr>
              <w:r w:rsidRPr="00146F66">
                <w:rPr>
                  <w:rFonts w:cs="Arial"/>
                  <w:color w:val="000044"/>
                  <w:sz w:val="14"/>
                  <w:szCs w:val="14"/>
                </w:rPr>
                <w:t>Rua Mateus Leme, 2004, Centro Cívico, Curitiba</w:t>
              </w:r>
            </w:p>
            <w:p w14:paraId="180E0D47" w14:textId="77777777" w:rsidR="0092558B" w:rsidRDefault="0092558B" w:rsidP="00047615">
              <w:pPr>
                <w:spacing w:line="140" w:lineRule="exact"/>
                <w:ind w:left="-115"/>
                <w:jc w:val="both"/>
                <w:rPr>
                  <w:rFonts w:cs="Arial"/>
                  <w:color w:val="000044"/>
                  <w:sz w:val="14"/>
                  <w:szCs w:val="14"/>
                </w:rPr>
              </w:pPr>
              <w:r w:rsidRPr="00146F66">
                <w:rPr>
                  <w:rFonts w:cs="Arial"/>
                  <w:color w:val="000044"/>
                  <w:sz w:val="14"/>
                  <w:szCs w:val="14"/>
                </w:rPr>
                <w:t>Estado do Paraná – Brasil | + 55 41 3350 60</w:t>
              </w:r>
              <w:r>
                <w:rPr>
                  <w:rFonts w:cs="Arial"/>
                  <w:color w:val="000044"/>
                  <w:sz w:val="14"/>
                  <w:szCs w:val="14"/>
                </w:rPr>
                <w:t>00</w:t>
              </w:r>
            </w:p>
            <w:p w14:paraId="6E202D7D" w14:textId="77777777" w:rsidR="0092558B" w:rsidRPr="00960185" w:rsidRDefault="0092558B" w:rsidP="00047615">
              <w:pPr>
                <w:spacing w:line="140" w:lineRule="exact"/>
                <w:ind w:left="-115"/>
                <w:jc w:val="both"/>
                <w:rPr>
                  <w:rFonts w:cs="Arial"/>
                  <w:color w:val="000044"/>
                  <w:sz w:val="14"/>
                  <w:szCs w:val="14"/>
                </w:rPr>
              </w:pPr>
              <w:r>
                <w:rPr>
                  <w:rFonts w:cs="Arial"/>
                  <w:color w:val="000044"/>
                  <w:sz w:val="14"/>
                  <w:szCs w:val="14"/>
                </w:rPr>
                <w:t>www.consultauditores.com.br</w:t>
              </w:r>
            </w:p>
          </w:tc>
          <w:tc>
            <w:tcPr>
              <w:tcW w:w="709" w:type="dxa"/>
            </w:tcPr>
            <w:p w14:paraId="637E064D" w14:textId="77777777" w:rsidR="0092558B" w:rsidRPr="00146F66" w:rsidRDefault="0092558B" w:rsidP="00047615">
              <w:pPr>
                <w:pStyle w:val="Rodap"/>
                <w:spacing w:before="120"/>
                <w:jc w:val="right"/>
                <w:rPr>
                  <w:rFonts w:cs="Arial"/>
                  <w:sz w:val="18"/>
                  <w:szCs w:val="18"/>
                </w:rPr>
              </w:pPr>
            </w:p>
          </w:tc>
        </w:tr>
      </w:tbl>
      <w:p w14:paraId="34A4A407" w14:textId="77777777" w:rsidR="0092558B" w:rsidRDefault="004449AB">
        <w:pPr>
          <w:pStyle w:val="Rodap"/>
          <w:jc w:val="right"/>
        </w:pPr>
      </w:p>
    </w:sdtContent>
  </w:sdt>
  <w:p w14:paraId="2B357417" w14:textId="77777777" w:rsidR="0092558B" w:rsidRPr="0027091B" w:rsidRDefault="0092558B" w:rsidP="003857B4">
    <w:pPr>
      <w:pStyle w:val="Rodap"/>
      <w:tabs>
        <w:tab w:val="left" w:pos="2715"/>
        <w:tab w:val="left" w:pos="3915"/>
      </w:tabs>
      <w:ind w:firstLine="142"/>
      <w:rPr>
        <w:rStyle w:val="Nmerodepgina"/>
        <w:rFonts w:ascii="Century Gothic" w:hAnsi="Century Gothic"/>
        <w:snapToGrid w:val="0"/>
        <w:sz w:val="16"/>
        <w:szCs w:val="1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821EA" w14:textId="77777777" w:rsidR="001D10E5" w:rsidRPr="0027091B" w:rsidRDefault="001D10E5" w:rsidP="003857B4">
    <w:pPr>
      <w:pStyle w:val="Rodap"/>
      <w:tabs>
        <w:tab w:val="left" w:pos="2715"/>
        <w:tab w:val="left" w:pos="3915"/>
      </w:tabs>
      <w:ind w:firstLine="142"/>
      <w:rPr>
        <w:rStyle w:val="Nmerodepgina"/>
        <w:rFonts w:ascii="Century Gothic" w:hAnsi="Century Gothic"/>
        <w:snapToGrid w:val="0"/>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5423598"/>
      <w:docPartObj>
        <w:docPartGallery w:val="Page Numbers (Bottom of Page)"/>
        <w:docPartUnique/>
      </w:docPartObj>
    </w:sdtPr>
    <w:sdtEndPr/>
    <w:sdtContent>
      <w:p w14:paraId="19C6AB3E" w14:textId="77777777" w:rsidR="0057278F" w:rsidRPr="007A5D5D" w:rsidRDefault="0057278F" w:rsidP="007A5D5D">
        <w:pPr>
          <w:pStyle w:val="Rodap"/>
          <w:jc w:val="right"/>
          <w:rPr>
            <w:color w:val="000044"/>
            <w:sz w:val="16"/>
            <w:szCs w:val="16"/>
          </w:rPr>
        </w:pPr>
        <w:r>
          <w:rPr>
            <w:rStyle w:val="Nmerodepgina"/>
            <w:snapToGrid w:val="0"/>
            <w:sz w:val="18"/>
            <w:szCs w:val="18"/>
          </w:rPr>
          <w:t>12</w:t>
        </w:r>
      </w:p>
      <w:p w14:paraId="75A42397" w14:textId="77777777" w:rsidR="0057278F" w:rsidRDefault="004449AB">
        <w:pPr>
          <w:pStyle w:val="Rodap"/>
          <w:jc w:val="right"/>
        </w:pPr>
      </w:p>
    </w:sdtContent>
  </w:sdt>
  <w:p w14:paraId="34F64F4B" w14:textId="77777777" w:rsidR="0057278F" w:rsidRPr="0027091B" w:rsidRDefault="0057278F" w:rsidP="003857B4">
    <w:pPr>
      <w:pStyle w:val="Rodap"/>
      <w:tabs>
        <w:tab w:val="left" w:pos="2715"/>
        <w:tab w:val="left" w:pos="3915"/>
      </w:tabs>
      <w:ind w:firstLine="142"/>
      <w:rPr>
        <w:rStyle w:val="Nmerodepgina"/>
        <w:rFonts w:ascii="Century Gothic" w:hAnsi="Century Gothic"/>
        <w:snapToGrid w:val="0"/>
        <w:sz w:val="16"/>
        <w:szCs w:val="16"/>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2679446"/>
      <w:docPartObj>
        <w:docPartGallery w:val="Page Numbers (Bottom of Page)"/>
        <w:docPartUnique/>
      </w:docPartObj>
    </w:sdtPr>
    <w:sdtEndPr/>
    <w:sdtContent>
      <w:p w14:paraId="624B1E2F" w14:textId="77777777" w:rsidR="0057278F" w:rsidRPr="007A5D5D" w:rsidRDefault="0057278F" w:rsidP="007A5D5D">
        <w:pPr>
          <w:pStyle w:val="Rodap"/>
          <w:jc w:val="right"/>
          <w:rPr>
            <w:color w:val="000044"/>
            <w:sz w:val="16"/>
            <w:szCs w:val="16"/>
          </w:rPr>
        </w:pPr>
        <w:r>
          <w:rPr>
            <w:rStyle w:val="Nmerodepgina"/>
            <w:snapToGrid w:val="0"/>
            <w:sz w:val="18"/>
            <w:szCs w:val="18"/>
          </w:rPr>
          <w:t>15</w:t>
        </w:r>
      </w:p>
      <w:p w14:paraId="76D1D7F3" w14:textId="77777777" w:rsidR="0057278F" w:rsidRDefault="004449AB">
        <w:pPr>
          <w:pStyle w:val="Rodap"/>
          <w:jc w:val="right"/>
        </w:pPr>
      </w:p>
    </w:sdtContent>
  </w:sdt>
  <w:p w14:paraId="6B566E2D" w14:textId="77777777" w:rsidR="0057278F" w:rsidRPr="0027091B" w:rsidRDefault="0057278F" w:rsidP="003857B4">
    <w:pPr>
      <w:pStyle w:val="Rodap"/>
      <w:tabs>
        <w:tab w:val="left" w:pos="2715"/>
        <w:tab w:val="left" w:pos="3915"/>
      </w:tabs>
      <w:ind w:firstLine="142"/>
      <w:rPr>
        <w:rStyle w:val="Nmerodepgina"/>
        <w:rFonts w:ascii="Century Gothic" w:hAnsi="Century Gothic"/>
        <w:snapToGrid w:val="0"/>
        <w:sz w:val="16"/>
        <w:szCs w:val="16"/>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9DA71" w14:textId="77777777" w:rsidR="00425DB8" w:rsidRDefault="00425DB8" w:rsidP="00873160">
    <w:pPr>
      <w:pStyle w:val="Rodap"/>
      <w:tabs>
        <w:tab w:val="left" w:pos="2715"/>
        <w:tab w:val="left" w:pos="3915"/>
        <w:tab w:val="right" w:pos="9781"/>
      </w:tabs>
      <w:ind w:firstLine="142"/>
      <w:rPr>
        <w:rStyle w:val="Nmerodepgina"/>
        <w:snapToGrid w:val="0"/>
        <w:sz w:val="18"/>
        <w:szCs w:val="18"/>
      </w:rPr>
    </w:pPr>
    <w:r>
      <w:rPr>
        <w:rStyle w:val="Nmerodepgina"/>
        <w:rFonts w:ascii="Century Gothic" w:hAnsi="Century Gothic"/>
        <w:snapToGrid w:val="0"/>
        <w:sz w:val="16"/>
        <w:szCs w:val="16"/>
      </w:rPr>
      <w:tab/>
    </w:r>
    <w:r>
      <w:rPr>
        <w:rStyle w:val="Nmerodepgina"/>
        <w:rFonts w:ascii="Century Gothic" w:hAnsi="Century Gothic"/>
        <w:snapToGrid w:val="0"/>
        <w:sz w:val="16"/>
        <w:szCs w:val="16"/>
      </w:rPr>
      <w:tab/>
    </w:r>
    <w:r>
      <w:rPr>
        <w:rStyle w:val="Nmerodepgina"/>
        <w:rFonts w:ascii="Century Gothic" w:hAnsi="Century Gothic"/>
        <w:snapToGrid w:val="0"/>
        <w:sz w:val="16"/>
        <w:szCs w:val="16"/>
      </w:rPr>
      <w:tab/>
    </w:r>
    <w:r>
      <w:rPr>
        <w:rStyle w:val="Nmerodepgina"/>
        <w:rFonts w:ascii="Century Gothic" w:hAnsi="Century Gothic"/>
        <w:snapToGrid w:val="0"/>
        <w:sz w:val="16"/>
        <w:szCs w:val="16"/>
      </w:rPr>
      <w:tab/>
      <w:t xml:space="preserve">  </w:t>
    </w:r>
    <w:r>
      <w:rPr>
        <w:rStyle w:val="Nmerodepgina"/>
        <w:snapToGrid w:val="0"/>
        <w:sz w:val="18"/>
        <w:szCs w:val="18"/>
      </w:rPr>
      <w:t>21</w:t>
    </w:r>
    <w:r>
      <w:rPr>
        <w:rStyle w:val="Nmerodepgina"/>
        <w:snapToGrid w:val="0"/>
        <w:sz w:val="18"/>
        <w:szCs w:val="18"/>
      </w:rP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7504404"/>
      <w:docPartObj>
        <w:docPartGallery w:val="Page Numbers (Bottom of Page)"/>
        <w:docPartUnique/>
      </w:docPartObj>
    </w:sdtPr>
    <w:sdtEndPr>
      <w:rPr>
        <w:sz w:val="18"/>
        <w:szCs w:val="18"/>
      </w:rPr>
    </w:sdtEndPr>
    <w:sdtContent>
      <w:p w14:paraId="5FB579DE" w14:textId="77777777" w:rsidR="00425DB8" w:rsidRPr="00F54F45" w:rsidRDefault="00425DB8">
        <w:pPr>
          <w:pStyle w:val="Rodap"/>
          <w:jc w:val="right"/>
          <w:rPr>
            <w:sz w:val="18"/>
            <w:szCs w:val="18"/>
          </w:rPr>
        </w:pPr>
        <w:r w:rsidRPr="00F54F45">
          <w:rPr>
            <w:sz w:val="18"/>
            <w:szCs w:val="18"/>
          </w:rPr>
          <w:fldChar w:fldCharType="begin"/>
        </w:r>
        <w:r w:rsidRPr="00F54F45">
          <w:rPr>
            <w:sz w:val="18"/>
            <w:szCs w:val="18"/>
          </w:rPr>
          <w:instrText>PAGE   \* MERGEFORMAT</w:instrText>
        </w:r>
        <w:r w:rsidRPr="00F54F45">
          <w:rPr>
            <w:sz w:val="18"/>
            <w:szCs w:val="18"/>
          </w:rPr>
          <w:fldChar w:fldCharType="separate"/>
        </w:r>
        <w:r>
          <w:rPr>
            <w:noProof/>
            <w:sz w:val="18"/>
            <w:szCs w:val="18"/>
          </w:rPr>
          <w:t>23</w:t>
        </w:r>
        <w:r w:rsidRPr="00F54F45">
          <w:rPr>
            <w:sz w:val="18"/>
            <w:szCs w:val="18"/>
          </w:rPr>
          <w:fldChar w:fldCharType="end"/>
        </w:r>
      </w:p>
    </w:sdtContent>
  </w:sdt>
  <w:p w14:paraId="501118E2" w14:textId="77777777" w:rsidR="00425DB8" w:rsidRPr="0027091B" w:rsidRDefault="00425DB8" w:rsidP="003857B4">
    <w:pPr>
      <w:pStyle w:val="Rodap"/>
      <w:tabs>
        <w:tab w:val="left" w:pos="2715"/>
        <w:tab w:val="left" w:pos="3915"/>
      </w:tabs>
      <w:ind w:firstLine="142"/>
      <w:rPr>
        <w:rStyle w:val="Nmerodepgina"/>
        <w:rFonts w:ascii="Century Gothic" w:hAnsi="Century Gothic"/>
        <w:snapToGrid w:val="0"/>
        <w:sz w:val="16"/>
        <w:szCs w:val="16"/>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3363507"/>
      <w:docPartObj>
        <w:docPartGallery w:val="Page Numbers (Bottom of Page)"/>
        <w:docPartUnique/>
      </w:docPartObj>
    </w:sdtPr>
    <w:sdtEndPr/>
    <w:sdtContent>
      <w:p w14:paraId="53D9C71D" w14:textId="77777777" w:rsidR="00425DB8" w:rsidRDefault="00425DB8">
        <w:pPr>
          <w:pStyle w:val="Rodap"/>
          <w:jc w:val="right"/>
        </w:pPr>
        <w:r w:rsidRPr="00F54F45">
          <w:rPr>
            <w:sz w:val="18"/>
            <w:szCs w:val="18"/>
          </w:rPr>
          <w:fldChar w:fldCharType="begin"/>
        </w:r>
        <w:r w:rsidRPr="00F54F45">
          <w:rPr>
            <w:sz w:val="18"/>
            <w:szCs w:val="18"/>
          </w:rPr>
          <w:instrText>PAGE   \* MERGEFORMAT</w:instrText>
        </w:r>
        <w:r w:rsidRPr="00F54F45">
          <w:rPr>
            <w:sz w:val="18"/>
            <w:szCs w:val="18"/>
          </w:rPr>
          <w:fldChar w:fldCharType="separate"/>
        </w:r>
        <w:r>
          <w:rPr>
            <w:noProof/>
            <w:sz w:val="18"/>
            <w:szCs w:val="18"/>
          </w:rPr>
          <w:t>24</w:t>
        </w:r>
        <w:r w:rsidRPr="00F54F45">
          <w:rPr>
            <w:sz w:val="18"/>
            <w:szCs w:val="18"/>
          </w:rPr>
          <w:fldChar w:fldCharType="end"/>
        </w:r>
      </w:p>
    </w:sdtContent>
  </w:sdt>
  <w:p w14:paraId="64B881DE" w14:textId="77777777" w:rsidR="00425DB8" w:rsidRPr="0027091B" w:rsidRDefault="00425DB8" w:rsidP="003857B4">
    <w:pPr>
      <w:pStyle w:val="Rodap"/>
      <w:tabs>
        <w:tab w:val="left" w:pos="2715"/>
        <w:tab w:val="left" w:pos="3915"/>
      </w:tabs>
      <w:ind w:firstLine="142"/>
      <w:rPr>
        <w:rStyle w:val="Nmerodepgina"/>
        <w:rFonts w:ascii="Century Gothic" w:hAnsi="Century Gothic"/>
        <w:snapToGrid w:val="0"/>
        <w:sz w:val="16"/>
        <w:szCs w:val="16"/>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3004457"/>
      <w:docPartObj>
        <w:docPartGallery w:val="Page Numbers (Bottom of Page)"/>
        <w:docPartUnique/>
      </w:docPartObj>
    </w:sdtPr>
    <w:sdtEndPr>
      <w:rPr>
        <w:sz w:val="18"/>
        <w:szCs w:val="18"/>
      </w:rPr>
    </w:sdtEndPr>
    <w:sdtContent>
      <w:p w14:paraId="56DD5C62" w14:textId="77777777" w:rsidR="00F22600" w:rsidRPr="00F54F45" w:rsidRDefault="00F22600">
        <w:pPr>
          <w:pStyle w:val="Rodap"/>
          <w:jc w:val="right"/>
          <w:rPr>
            <w:sz w:val="18"/>
            <w:szCs w:val="18"/>
          </w:rPr>
        </w:pPr>
        <w:r w:rsidRPr="00F54F45">
          <w:rPr>
            <w:sz w:val="18"/>
            <w:szCs w:val="18"/>
          </w:rPr>
          <w:fldChar w:fldCharType="begin"/>
        </w:r>
        <w:r w:rsidRPr="00F54F45">
          <w:rPr>
            <w:sz w:val="18"/>
            <w:szCs w:val="18"/>
          </w:rPr>
          <w:instrText>PAGE   \* MERGEFORMAT</w:instrText>
        </w:r>
        <w:r w:rsidRPr="00F54F45">
          <w:rPr>
            <w:sz w:val="18"/>
            <w:szCs w:val="18"/>
          </w:rPr>
          <w:fldChar w:fldCharType="separate"/>
        </w:r>
        <w:r>
          <w:rPr>
            <w:noProof/>
            <w:sz w:val="18"/>
            <w:szCs w:val="18"/>
          </w:rPr>
          <w:t>26</w:t>
        </w:r>
        <w:r w:rsidRPr="00F54F45">
          <w:rPr>
            <w:sz w:val="18"/>
            <w:szCs w:val="18"/>
          </w:rPr>
          <w:fldChar w:fldCharType="end"/>
        </w:r>
      </w:p>
    </w:sdtContent>
  </w:sdt>
  <w:p w14:paraId="052E0EB2" w14:textId="77777777" w:rsidR="00F22600" w:rsidRPr="0027091B" w:rsidRDefault="00F22600" w:rsidP="003857B4">
    <w:pPr>
      <w:pStyle w:val="Rodap"/>
      <w:tabs>
        <w:tab w:val="left" w:pos="2715"/>
        <w:tab w:val="left" w:pos="3915"/>
      </w:tabs>
      <w:ind w:firstLine="142"/>
      <w:rPr>
        <w:rStyle w:val="Nmerodepgina"/>
        <w:rFonts w:ascii="Century Gothic" w:hAnsi="Century Gothic"/>
        <w:snapToGrid w:val="0"/>
        <w:sz w:val="16"/>
        <w:szCs w:val="16"/>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466106"/>
      <w:docPartObj>
        <w:docPartGallery w:val="Page Numbers (Bottom of Page)"/>
        <w:docPartUnique/>
      </w:docPartObj>
    </w:sdtPr>
    <w:sdtEndPr/>
    <w:sdtContent>
      <w:p w14:paraId="3E6BA9E7" w14:textId="77777777" w:rsidR="00FF04A2" w:rsidRDefault="00FF04A2">
        <w:pPr>
          <w:pStyle w:val="Rodap"/>
          <w:jc w:val="right"/>
        </w:pPr>
        <w:r>
          <w:fldChar w:fldCharType="begin"/>
        </w:r>
        <w:r>
          <w:instrText>PAGE   \* MERGEFORMAT</w:instrText>
        </w:r>
        <w:r>
          <w:fldChar w:fldCharType="separate"/>
        </w:r>
        <w:r>
          <w:rPr>
            <w:noProof/>
          </w:rPr>
          <w:t>32</w:t>
        </w:r>
        <w:r>
          <w:fldChar w:fldCharType="end"/>
        </w:r>
      </w:p>
    </w:sdtContent>
  </w:sdt>
  <w:p w14:paraId="4361D018" w14:textId="77777777" w:rsidR="00FF04A2" w:rsidRPr="0027091B" w:rsidRDefault="00FF04A2" w:rsidP="003857B4">
    <w:pPr>
      <w:pStyle w:val="Rodap"/>
      <w:tabs>
        <w:tab w:val="left" w:pos="2715"/>
        <w:tab w:val="left" w:pos="3915"/>
      </w:tabs>
      <w:ind w:firstLine="142"/>
      <w:rPr>
        <w:rStyle w:val="Nmerodepgina"/>
        <w:rFonts w:ascii="Century Gothic" w:hAnsi="Century Gothic"/>
        <w:snapToGrid w:val="0"/>
        <w:sz w:val="16"/>
        <w:szCs w:val="16"/>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6221622"/>
      <w:docPartObj>
        <w:docPartGallery w:val="Page Numbers (Bottom of Page)"/>
        <w:docPartUnique/>
      </w:docPartObj>
    </w:sdtPr>
    <w:sdtEndPr/>
    <w:sdtContent>
      <w:p w14:paraId="49B59B0B" w14:textId="77777777" w:rsidR="008B5CCF" w:rsidRDefault="008B5CCF">
        <w:pPr>
          <w:pStyle w:val="Rodap"/>
          <w:jc w:val="right"/>
        </w:pPr>
        <w:r>
          <w:fldChar w:fldCharType="begin"/>
        </w:r>
        <w:r>
          <w:instrText>PAGE   \* MERGEFORMAT</w:instrText>
        </w:r>
        <w:r>
          <w:fldChar w:fldCharType="separate"/>
        </w:r>
        <w:r>
          <w:rPr>
            <w:noProof/>
          </w:rPr>
          <w:t>35</w:t>
        </w:r>
        <w:r>
          <w:fldChar w:fldCharType="end"/>
        </w:r>
      </w:p>
    </w:sdtContent>
  </w:sdt>
  <w:p w14:paraId="5709DEB8" w14:textId="77777777" w:rsidR="008B5CCF" w:rsidRPr="0027091B" w:rsidRDefault="008B5CCF" w:rsidP="003857B4">
    <w:pPr>
      <w:pStyle w:val="Rodap"/>
      <w:tabs>
        <w:tab w:val="left" w:pos="2715"/>
        <w:tab w:val="left" w:pos="3915"/>
      </w:tabs>
      <w:ind w:firstLine="142"/>
      <w:rPr>
        <w:rStyle w:val="Nmerodepgina"/>
        <w:rFonts w:ascii="Century Gothic" w:hAnsi="Century Gothic"/>
        <w:snapToGrid w:val="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6BFFC" w14:textId="77777777" w:rsidR="00CD43C8" w:rsidRDefault="00CD43C8" w:rsidP="009D62AB">
    <w:pPr>
      <w:pStyle w:val="Rodap"/>
      <w:jc w:val="right"/>
      <w:rPr>
        <w:caps/>
        <w:color w:val="156082" w:themeColor="accent1"/>
      </w:rPr>
    </w:pPr>
    <w:r>
      <w:rPr>
        <w:caps/>
        <w:color w:val="156082" w:themeColor="accent1"/>
      </w:rPr>
      <w:fldChar w:fldCharType="begin"/>
    </w:r>
    <w:r>
      <w:rPr>
        <w:caps/>
        <w:color w:val="156082" w:themeColor="accent1"/>
      </w:rPr>
      <w:instrText>PAGE   \* MERGEFORMAT</w:instrText>
    </w:r>
    <w:r>
      <w:rPr>
        <w:caps/>
        <w:color w:val="156082" w:themeColor="accent1"/>
      </w:rPr>
      <w:fldChar w:fldCharType="separate"/>
    </w:r>
    <w:r>
      <w:rPr>
        <w:caps/>
        <w:noProof/>
        <w:color w:val="156082" w:themeColor="accent1"/>
      </w:rPr>
      <w:t>48</w:t>
    </w:r>
    <w:r>
      <w:rPr>
        <w:caps/>
        <w:color w:val="156082" w:themeColor="accent1"/>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185613"/>
      <w:docPartObj>
        <w:docPartGallery w:val="Page Numbers (Bottom of Page)"/>
        <w:docPartUnique/>
      </w:docPartObj>
    </w:sdtPr>
    <w:sdtEndPr/>
    <w:sdtContent>
      <w:p w14:paraId="486923D2" w14:textId="77777777" w:rsidR="009C6488" w:rsidRDefault="009C6488">
        <w:pPr>
          <w:pStyle w:val="Rodap"/>
          <w:jc w:val="right"/>
        </w:pPr>
        <w:r>
          <w:fldChar w:fldCharType="begin"/>
        </w:r>
        <w:r>
          <w:instrText>PAGE   \* MERGEFORMAT</w:instrText>
        </w:r>
        <w:r>
          <w:fldChar w:fldCharType="separate"/>
        </w:r>
        <w:r>
          <w:rPr>
            <w:noProof/>
          </w:rPr>
          <w:t>53</w:t>
        </w:r>
        <w:r>
          <w:fldChar w:fldCharType="end"/>
        </w:r>
      </w:p>
    </w:sdtContent>
  </w:sdt>
  <w:p w14:paraId="04900922" w14:textId="77777777" w:rsidR="009C6488" w:rsidRPr="0027091B" w:rsidRDefault="009C6488" w:rsidP="003857B4">
    <w:pPr>
      <w:pStyle w:val="Rodap"/>
      <w:tabs>
        <w:tab w:val="left" w:pos="2715"/>
        <w:tab w:val="left" w:pos="3915"/>
      </w:tabs>
      <w:ind w:firstLine="142"/>
      <w:rPr>
        <w:rStyle w:val="Nmerodepgina"/>
        <w:rFonts w:ascii="Century Gothic" w:hAnsi="Century Gothic"/>
        <w:snapToGrid w:val="0"/>
        <w:sz w:val="16"/>
        <w:szCs w:val="16"/>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0147244"/>
      <w:docPartObj>
        <w:docPartGallery w:val="Page Numbers (Bottom of Page)"/>
        <w:docPartUnique/>
      </w:docPartObj>
    </w:sdtPr>
    <w:sdtEndPr/>
    <w:sdtContent>
      <w:p w14:paraId="552FEF32" w14:textId="77777777" w:rsidR="00445504" w:rsidRDefault="00445504">
        <w:pPr>
          <w:pStyle w:val="Rodap"/>
          <w:jc w:val="right"/>
        </w:pPr>
        <w:r>
          <w:fldChar w:fldCharType="begin"/>
        </w:r>
        <w:r>
          <w:instrText>PAGE   \* MERGEFORMAT</w:instrText>
        </w:r>
        <w:r>
          <w:fldChar w:fldCharType="separate"/>
        </w:r>
        <w:r>
          <w:rPr>
            <w:noProof/>
          </w:rPr>
          <w:t>57</w:t>
        </w:r>
        <w:r>
          <w:fldChar w:fldCharType="end"/>
        </w:r>
      </w:p>
    </w:sdtContent>
  </w:sdt>
  <w:p w14:paraId="2AF83592" w14:textId="77777777" w:rsidR="00445504" w:rsidRPr="0027091B" w:rsidRDefault="00445504" w:rsidP="003857B4">
    <w:pPr>
      <w:pStyle w:val="Rodap"/>
      <w:tabs>
        <w:tab w:val="left" w:pos="2715"/>
        <w:tab w:val="left" w:pos="3915"/>
      </w:tabs>
      <w:ind w:firstLine="142"/>
      <w:rPr>
        <w:rStyle w:val="Nmerodepgina"/>
        <w:rFonts w:ascii="Century Gothic" w:hAnsi="Century Gothic"/>
        <w:snapToGrid w:val="0"/>
        <w:sz w:val="16"/>
        <w:szCs w:val="16"/>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444718"/>
      <w:docPartObj>
        <w:docPartGallery w:val="Page Numbers (Bottom of Page)"/>
        <w:docPartUnique/>
      </w:docPartObj>
    </w:sdtPr>
    <w:sdtEndPr/>
    <w:sdtContent>
      <w:p w14:paraId="790F9332" w14:textId="77777777" w:rsidR="00411455" w:rsidRDefault="00411455">
        <w:pPr>
          <w:pStyle w:val="Rodap"/>
          <w:jc w:val="right"/>
        </w:pPr>
        <w:r>
          <w:fldChar w:fldCharType="begin"/>
        </w:r>
        <w:r>
          <w:instrText>PAGE   \* MERGEFORMAT</w:instrText>
        </w:r>
        <w:r>
          <w:fldChar w:fldCharType="separate"/>
        </w:r>
        <w:r>
          <w:rPr>
            <w:noProof/>
          </w:rPr>
          <w:t>66</w:t>
        </w:r>
        <w:r>
          <w:fldChar w:fldCharType="end"/>
        </w:r>
      </w:p>
    </w:sdtContent>
  </w:sdt>
  <w:p w14:paraId="658ED6AE" w14:textId="77777777" w:rsidR="00411455" w:rsidRPr="0027091B" w:rsidRDefault="00411455" w:rsidP="003857B4">
    <w:pPr>
      <w:pStyle w:val="Rodap"/>
      <w:tabs>
        <w:tab w:val="left" w:pos="2715"/>
        <w:tab w:val="left" w:pos="3915"/>
      </w:tabs>
      <w:ind w:firstLine="142"/>
      <w:rPr>
        <w:rStyle w:val="Nmerodepgina"/>
        <w:rFonts w:ascii="Century Gothic" w:hAnsi="Century Gothic"/>
        <w:snapToGrid w:val="0"/>
        <w:sz w:val="16"/>
        <w:szCs w:val="16"/>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502431"/>
      <w:docPartObj>
        <w:docPartGallery w:val="Page Numbers (Bottom of Page)"/>
        <w:docPartUnique/>
      </w:docPartObj>
    </w:sdtPr>
    <w:sdtEndPr/>
    <w:sdtContent>
      <w:p w14:paraId="00110143" w14:textId="77777777" w:rsidR="006772AA" w:rsidRDefault="006772AA">
        <w:pPr>
          <w:pStyle w:val="Rodap"/>
          <w:jc w:val="right"/>
        </w:pPr>
        <w:r>
          <w:fldChar w:fldCharType="begin"/>
        </w:r>
        <w:r>
          <w:instrText>PAGE   \* MERGEFORMAT</w:instrText>
        </w:r>
        <w:r>
          <w:fldChar w:fldCharType="separate"/>
        </w:r>
        <w:r>
          <w:rPr>
            <w:noProof/>
          </w:rPr>
          <w:t>74</w:t>
        </w:r>
        <w:r>
          <w:fldChar w:fldCharType="end"/>
        </w:r>
      </w:p>
    </w:sdtContent>
  </w:sdt>
  <w:p w14:paraId="276A1E44" w14:textId="77777777" w:rsidR="006772AA" w:rsidRPr="0027091B" w:rsidRDefault="006772AA" w:rsidP="003857B4">
    <w:pPr>
      <w:pStyle w:val="Rodap"/>
      <w:tabs>
        <w:tab w:val="left" w:pos="2715"/>
        <w:tab w:val="left" w:pos="3915"/>
      </w:tabs>
      <w:ind w:firstLine="142"/>
      <w:rPr>
        <w:rStyle w:val="Nmerodepgina"/>
        <w:rFonts w:ascii="Century Gothic" w:hAnsi="Century Gothic"/>
        <w:snapToGrid w:val="0"/>
        <w:sz w:val="16"/>
        <w:szCs w:val="16"/>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2165578"/>
      <w:docPartObj>
        <w:docPartGallery w:val="Page Numbers (Bottom of Page)"/>
        <w:docPartUnique/>
      </w:docPartObj>
    </w:sdtPr>
    <w:sdtEndPr/>
    <w:sdtContent>
      <w:p w14:paraId="52EAB9DF" w14:textId="77777777" w:rsidR="00240448" w:rsidRDefault="00240448">
        <w:pPr>
          <w:pStyle w:val="Rodap"/>
          <w:jc w:val="right"/>
        </w:pPr>
        <w:r>
          <w:fldChar w:fldCharType="begin"/>
        </w:r>
        <w:r>
          <w:instrText>PAGE   \* MERGEFORMAT</w:instrText>
        </w:r>
        <w:r>
          <w:fldChar w:fldCharType="separate"/>
        </w:r>
        <w:r>
          <w:rPr>
            <w:noProof/>
          </w:rPr>
          <w:t>82</w:t>
        </w:r>
        <w:r>
          <w:fldChar w:fldCharType="end"/>
        </w:r>
      </w:p>
    </w:sdtContent>
  </w:sdt>
  <w:p w14:paraId="11E98A57" w14:textId="77777777" w:rsidR="00240448" w:rsidRPr="0027091B" w:rsidRDefault="00240448" w:rsidP="003857B4">
    <w:pPr>
      <w:pStyle w:val="Rodap"/>
      <w:tabs>
        <w:tab w:val="left" w:pos="2715"/>
        <w:tab w:val="left" w:pos="3915"/>
      </w:tabs>
      <w:ind w:firstLine="142"/>
      <w:rPr>
        <w:rStyle w:val="Nmerodepgina"/>
        <w:rFonts w:ascii="Century Gothic" w:hAnsi="Century Gothic"/>
        <w:snapToGrid w:val="0"/>
        <w:sz w:val="16"/>
        <w:szCs w:val="16"/>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6730647"/>
      <w:docPartObj>
        <w:docPartGallery w:val="Page Numbers (Bottom of Page)"/>
        <w:docPartUnique/>
      </w:docPartObj>
    </w:sdtPr>
    <w:sdtEndPr/>
    <w:sdtContent>
      <w:p w14:paraId="6890CB99" w14:textId="77777777" w:rsidR="001D6F2B" w:rsidRDefault="001D6F2B">
        <w:pPr>
          <w:pStyle w:val="Rodap"/>
          <w:jc w:val="right"/>
        </w:pPr>
        <w:r>
          <w:fldChar w:fldCharType="begin"/>
        </w:r>
        <w:r>
          <w:instrText>PAGE   \* MERGEFORMAT</w:instrText>
        </w:r>
        <w:r>
          <w:fldChar w:fldCharType="separate"/>
        </w:r>
        <w:r>
          <w:rPr>
            <w:noProof/>
          </w:rPr>
          <w:t>88</w:t>
        </w:r>
        <w:r>
          <w:fldChar w:fldCharType="end"/>
        </w:r>
      </w:p>
    </w:sdtContent>
  </w:sdt>
  <w:p w14:paraId="15DFA033" w14:textId="77777777" w:rsidR="001D6F2B" w:rsidRPr="0027091B" w:rsidRDefault="001D6F2B" w:rsidP="003857B4">
    <w:pPr>
      <w:pStyle w:val="Rodap"/>
      <w:tabs>
        <w:tab w:val="left" w:pos="2715"/>
        <w:tab w:val="left" w:pos="3915"/>
      </w:tabs>
      <w:ind w:firstLine="142"/>
      <w:rPr>
        <w:rStyle w:val="Nmerodepgina"/>
        <w:rFonts w:ascii="Century Gothic" w:hAnsi="Century Gothic"/>
        <w:snapToGrid w:val="0"/>
        <w:sz w:val="16"/>
        <w:szCs w:val="16"/>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97656" w14:textId="77777777" w:rsidR="00425DB8" w:rsidRDefault="00425DB8" w:rsidP="00873160">
    <w:pPr>
      <w:pStyle w:val="Rodap"/>
      <w:tabs>
        <w:tab w:val="left" w:pos="2715"/>
        <w:tab w:val="left" w:pos="3915"/>
        <w:tab w:val="right" w:pos="9781"/>
      </w:tabs>
      <w:ind w:firstLine="142"/>
      <w:rPr>
        <w:rStyle w:val="Nmerodepgina"/>
        <w:snapToGrid w:val="0"/>
        <w:sz w:val="18"/>
        <w:szCs w:val="18"/>
      </w:rPr>
    </w:pPr>
    <w:r>
      <w:rPr>
        <w:rStyle w:val="Nmerodepgina"/>
        <w:rFonts w:ascii="Century Gothic" w:hAnsi="Century Gothic"/>
        <w:snapToGrid w:val="0"/>
        <w:sz w:val="16"/>
        <w:szCs w:val="16"/>
      </w:rPr>
      <w:tab/>
    </w:r>
    <w:r>
      <w:rPr>
        <w:rStyle w:val="Nmerodepgina"/>
        <w:rFonts w:ascii="Century Gothic" w:hAnsi="Century Gothic"/>
        <w:snapToGrid w:val="0"/>
        <w:sz w:val="16"/>
        <w:szCs w:val="16"/>
      </w:rPr>
      <w:tab/>
    </w:r>
    <w:r>
      <w:rPr>
        <w:rStyle w:val="Nmerodepgina"/>
        <w:rFonts w:ascii="Century Gothic" w:hAnsi="Century Gothic"/>
        <w:snapToGrid w:val="0"/>
        <w:sz w:val="16"/>
        <w:szCs w:val="16"/>
      </w:rPr>
      <w:tab/>
    </w:r>
    <w:r>
      <w:rPr>
        <w:rStyle w:val="Nmerodepgina"/>
        <w:rFonts w:ascii="Century Gothic" w:hAnsi="Century Gothic"/>
        <w:snapToGrid w:val="0"/>
        <w:sz w:val="16"/>
        <w:szCs w:val="16"/>
      </w:rPr>
      <w:tab/>
      <w:t xml:space="preserve">  </w:t>
    </w:r>
    <w:r>
      <w:rPr>
        <w:rStyle w:val="Nmerodepgina"/>
        <w:snapToGrid w:val="0"/>
        <w:sz w:val="18"/>
        <w:szCs w:val="18"/>
      </w:rPr>
      <w:t>22</w:t>
    </w:r>
    <w:r>
      <w:rPr>
        <w:rStyle w:val="Nmerodepgina"/>
        <w:snapToGrid w:val="0"/>
        <w:sz w:val="18"/>
        <w:szCs w:val="18"/>
      </w:rPr>
      <w:tab/>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9714332"/>
      <w:docPartObj>
        <w:docPartGallery w:val="Page Numbers (Bottom of Page)"/>
        <w:docPartUnique/>
      </w:docPartObj>
    </w:sdtPr>
    <w:sdtEndPr/>
    <w:sdtContent>
      <w:p w14:paraId="0F3A2181" w14:textId="77777777" w:rsidR="00162150" w:rsidRPr="007A5D5D" w:rsidRDefault="00162150" w:rsidP="007A5D5D">
        <w:pPr>
          <w:pStyle w:val="Rodap"/>
          <w:jc w:val="right"/>
          <w:rPr>
            <w:color w:val="000044"/>
            <w:sz w:val="16"/>
            <w:szCs w:val="16"/>
          </w:rPr>
        </w:pPr>
        <w:r>
          <w:rPr>
            <w:rStyle w:val="Nmerodepgina"/>
            <w:snapToGrid w:val="0"/>
            <w:sz w:val="18"/>
            <w:szCs w:val="18"/>
          </w:rPr>
          <w:t>15</w:t>
        </w:r>
      </w:p>
      <w:p w14:paraId="44241479" w14:textId="77777777" w:rsidR="00162150" w:rsidRDefault="004449AB">
        <w:pPr>
          <w:pStyle w:val="Rodap"/>
          <w:jc w:val="right"/>
        </w:pPr>
      </w:p>
    </w:sdtContent>
  </w:sdt>
  <w:p w14:paraId="37325228" w14:textId="77777777" w:rsidR="00162150" w:rsidRPr="0027091B" w:rsidRDefault="00162150" w:rsidP="003857B4">
    <w:pPr>
      <w:pStyle w:val="Rodap"/>
      <w:tabs>
        <w:tab w:val="left" w:pos="2715"/>
        <w:tab w:val="left" w:pos="3915"/>
      </w:tabs>
      <w:ind w:firstLine="142"/>
      <w:rPr>
        <w:rStyle w:val="Nmerodepgina"/>
        <w:rFonts w:ascii="Century Gothic" w:hAnsi="Century Gothic"/>
        <w:snapToGrid w:val="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4E518" w14:textId="77777777" w:rsidR="0092558B" w:rsidRPr="0027091B" w:rsidRDefault="0092558B" w:rsidP="003857B4">
    <w:pPr>
      <w:pStyle w:val="Rodap"/>
      <w:tabs>
        <w:tab w:val="left" w:pos="2715"/>
        <w:tab w:val="left" w:pos="3915"/>
      </w:tabs>
      <w:ind w:firstLine="142"/>
      <w:rPr>
        <w:rStyle w:val="Nmerodepgina"/>
        <w:rFonts w:ascii="Century Gothic" w:hAnsi="Century Gothic"/>
        <w:snapToGrid w:val="0"/>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4FB0C" w14:textId="77777777" w:rsidR="0092558B" w:rsidRPr="0027091B" w:rsidRDefault="0092558B" w:rsidP="003857B4">
    <w:pPr>
      <w:pStyle w:val="Rodap"/>
      <w:tabs>
        <w:tab w:val="left" w:pos="2715"/>
        <w:tab w:val="left" w:pos="3915"/>
      </w:tabs>
      <w:ind w:firstLine="142"/>
      <w:rPr>
        <w:rStyle w:val="Nmerodepgina"/>
        <w:rFonts w:ascii="Century Gothic" w:hAnsi="Century Gothic"/>
        <w:snapToGrid w:val="0"/>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1388128"/>
      <w:docPartObj>
        <w:docPartGallery w:val="Page Numbers (Bottom of Page)"/>
        <w:docPartUnique/>
      </w:docPartObj>
    </w:sdtPr>
    <w:sdtEndPr/>
    <w:sdtContent>
      <w:p w14:paraId="50EFAC9C" w14:textId="77777777" w:rsidR="0092558B" w:rsidRDefault="0092558B" w:rsidP="00D976BF">
        <w:pPr>
          <w:pStyle w:val="Rodap"/>
          <w:tabs>
            <w:tab w:val="left" w:pos="2715"/>
            <w:tab w:val="left" w:pos="3915"/>
          </w:tabs>
          <w:ind w:firstLine="142"/>
          <w:rPr>
            <w:rStyle w:val="Nmerodepgina"/>
            <w:rFonts w:ascii="Century Gothic" w:hAnsi="Century Gothic"/>
            <w:snapToGrid w:val="0"/>
            <w:sz w:val="18"/>
            <w:szCs w:val="16"/>
          </w:rPr>
        </w:pPr>
        <w:r>
          <w:rPr>
            <w:rStyle w:val="Nmerodepgina"/>
            <w:rFonts w:ascii="Century Gothic" w:hAnsi="Century Gothic"/>
            <w:snapToGrid w:val="0"/>
            <w:sz w:val="16"/>
            <w:szCs w:val="16"/>
          </w:rPr>
          <w:t>Reo 1-02</w:t>
        </w:r>
        <w:r w:rsidRPr="009E7854">
          <w:rPr>
            <w:rStyle w:val="Nmerodepgina"/>
            <w:rFonts w:ascii="Century Gothic" w:hAnsi="Century Gothic"/>
            <w:snapToGrid w:val="0"/>
            <w:sz w:val="16"/>
            <w:szCs w:val="16"/>
          </w:rPr>
          <w:t>/</w:t>
        </w:r>
        <w:r>
          <w:rPr>
            <w:rStyle w:val="Nmerodepgina"/>
            <w:rFonts w:ascii="Century Gothic" w:hAnsi="Century Gothic"/>
            <w:snapToGrid w:val="0"/>
            <w:sz w:val="16"/>
            <w:szCs w:val="16"/>
          </w:rPr>
          <w:t>21</w:t>
        </w:r>
        <w:r w:rsidRPr="009E7854">
          <w:rPr>
            <w:rStyle w:val="Nmerodepgina"/>
            <w:rFonts w:ascii="Century Gothic" w:hAnsi="Century Gothic"/>
            <w:snapToGrid w:val="0"/>
            <w:sz w:val="16"/>
            <w:szCs w:val="16"/>
          </w:rPr>
          <w:t xml:space="preserve"> OS N</w:t>
        </w:r>
        <w:r w:rsidRPr="009E7854">
          <w:rPr>
            <w:rStyle w:val="Nmerodepgina"/>
            <w:rFonts w:ascii="Century Gothic" w:hAnsi="Century Gothic"/>
            <w:snapToGrid w:val="0"/>
            <w:sz w:val="16"/>
            <w:szCs w:val="16"/>
            <w:u w:val="single"/>
            <w:vertAlign w:val="superscript"/>
          </w:rPr>
          <w:t>:</w:t>
        </w:r>
        <w:r>
          <w:rPr>
            <w:rStyle w:val="Nmerodepgina"/>
            <w:rFonts w:ascii="Century Gothic" w:hAnsi="Century Gothic"/>
            <w:snapToGrid w:val="0"/>
            <w:sz w:val="16"/>
            <w:szCs w:val="16"/>
          </w:rPr>
          <w:t xml:space="preserve"> 4969 </w:t>
        </w:r>
        <w:r>
          <w:rPr>
            <w:rStyle w:val="Nmerodepgina"/>
            <w:rFonts w:ascii="Century Gothic" w:hAnsi="Century Gothic"/>
            <w:snapToGrid w:val="0"/>
            <w:sz w:val="16"/>
            <w:szCs w:val="16"/>
          </w:rPr>
          <w:tab/>
        </w:r>
        <w:r>
          <w:rPr>
            <w:rStyle w:val="Nmerodepgina"/>
            <w:rFonts w:ascii="Century Gothic" w:hAnsi="Century Gothic"/>
            <w:snapToGrid w:val="0"/>
            <w:sz w:val="16"/>
            <w:szCs w:val="16"/>
          </w:rPr>
          <w:tab/>
          <w:t xml:space="preserve">      </w:t>
        </w:r>
        <w:r>
          <w:rPr>
            <w:rStyle w:val="Nmerodepgina"/>
            <w:rFonts w:ascii="Century Gothic" w:hAnsi="Century Gothic"/>
            <w:snapToGrid w:val="0"/>
            <w:sz w:val="18"/>
            <w:szCs w:val="16"/>
          </w:rPr>
          <w:t>5</w:t>
        </w:r>
      </w:p>
      <w:tbl>
        <w:tblPr>
          <w:tblStyle w:val="Tabelacomgrade"/>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6"/>
          <w:gridCol w:w="1407"/>
          <w:gridCol w:w="4144"/>
          <w:gridCol w:w="709"/>
        </w:tblGrid>
        <w:tr w:rsidR="0092558B" w:rsidRPr="00146F66" w14:paraId="6065D8DC" w14:textId="77777777" w:rsidTr="00D976BF">
          <w:tc>
            <w:tcPr>
              <w:tcW w:w="3516" w:type="dxa"/>
            </w:tcPr>
            <w:p w14:paraId="15BDC413" w14:textId="77777777" w:rsidR="0092558B" w:rsidRPr="00146F66" w:rsidRDefault="0092558B" w:rsidP="00D976BF">
              <w:pPr>
                <w:pStyle w:val="Rodap"/>
                <w:rPr>
                  <w:rFonts w:cs="Arial"/>
                  <w:color w:val="3A3A3A" w:themeColor="background2" w:themeShade="40"/>
                  <w:sz w:val="14"/>
                  <w:szCs w:val="14"/>
                </w:rPr>
              </w:pPr>
            </w:p>
          </w:tc>
          <w:tc>
            <w:tcPr>
              <w:tcW w:w="1407" w:type="dxa"/>
            </w:tcPr>
            <w:p w14:paraId="2C17D9DB" w14:textId="77777777" w:rsidR="0092558B" w:rsidRPr="00146F66" w:rsidRDefault="0092558B" w:rsidP="00D976BF">
              <w:pPr>
                <w:pStyle w:val="Rodap"/>
                <w:jc w:val="right"/>
                <w:rPr>
                  <w:rFonts w:cs="Arial"/>
                  <w:sz w:val="14"/>
                  <w:szCs w:val="14"/>
                </w:rPr>
              </w:pPr>
            </w:p>
          </w:tc>
          <w:tc>
            <w:tcPr>
              <w:tcW w:w="4853" w:type="dxa"/>
              <w:gridSpan w:val="2"/>
            </w:tcPr>
            <w:p w14:paraId="2A0D6EF1" w14:textId="77777777" w:rsidR="0092558B" w:rsidRPr="00146F66" w:rsidRDefault="0092558B" w:rsidP="00D976BF">
              <w:pPr>
                <w:pStyle w:val="Rodap"/>
                <w:jc w:val="right"/>
                <w:rPr>
                  <w:rFonts w:cs="Arial"/>
                  <w:color w:val="3A3A3A" w:themeColor="background2" w:themeShade="40"/>
                  <w:sz w:val="14"/>
                  <w:szCs w:val="14"/>
                </w:rPr>
              </w:pPr>
            </w:p>
          </w:tc>
        </w:tr>
        <w:tr w:rsidR="0092558B" w:rsidRPr="00146F66" w14:paraId="2F66CCB1" w14:textId="77777777" w:rsidTr="00D976BF">
          <w:tc>
            <w:tcPr>
              <w:tcW w:w="9067" w:type="dxa"/>
              <w:gridSpan w:val="3"/>
            </w:tcPr>
            <w:p w14:paraId="3E3D4A70" w14:textId="77777777" w:rsidR="0092558B" w:rsidRPr="008D05D3" w:rsidRDefault="0092558B" w:rsidP="00D976BF">
              <w:pPr>
                <w:spacing w:line="180" w:lineRule="exact"/>
                <w:ind w:left="-108"/>
                <w:jc w:val="both"/>
                <w:rPr>
                  <w:rFonts w:cs="Arial"/>
                  <w:b/>
                  <w:bCs/>
                  <w:color w:val="000044"/>
                  <w:sz w:val="16"/>
                  <w:szCs w:val="16"/>
                </w:rPr>
              </w:pPr>
              <w:proofErr w:type="spellStart"/>
              <w:r w:rsidRPr="008D05D3">
                <w:rPr>
                  <w:rFonts w:cs="Arial"/>
                  <w:b/>
                  <w:bCs/>
                  <w:color w:val="000044"/>
                  <w:sz w:val="16"/>
                  <w:szCs w:val="16"/>
                </w:rPr>
                <w:t>Consult</w:t>
              </w:r>
              <w:proofErr w:type="spellEnd"/>
              <w:r w:rsidRPr="008D05D3">
                <w:rPr>
                  <w:rFonts w:cs="Arial"/>
                  <w:b/>
                  <w:bCs/>
                  <w:color w:val="000044"/>
                  <w:sz w:val="16"/>
                  <w:szCs w:val="16"/>
                </w:rPr>
                <w:t xml:space="preserve"> Auditores Independentes</w:t>
              </w:r>
            </w:p>
            <w:p w14:paraId="505D6E59" w14:textId="77777777" w:rsidR="0092558B" w:rsidRPr="00146F66" w:rsidRDefault="0092558B" w:rsidP="00D976BF">
              <w:pPr>
                <w:spacing w:line="140" w:lineRule="exact"/>
                <w:ind w:left="-115"/>
                <w:jc w:val="both"/>
                <w:rPr>
                  <w:rFonts w:cs="Arial"/>
                  <w:color w:val="000044"/>
                  <w:sz w:val="14"/>
                  <w:szCs w:val="14"/>
                </w:rPr>
              </w:pPr>
              <w:r w:rsidRPr="00146F66">
                <w:rPr>
                  <w:rFonts w:cs="Arial"/>
                  <w:color w:val="000044"/>
                  <w:sz w:val="14"/>
                  <w:szCs w:val="14"/>
                </w:rPr>
                <w:t>Rua Mateus Leme, 2004, Centro Cívico, Curitiba</w:t>
              </w:r>
            </w:p>
            <w:p w14:paraId="2B5F26FF" w14:textId="77777777" w:rsidR="0092558B" w:rsidRDefault="0092558B" w:rsidP="00D976BF">
              <w:pPr>
                <w:spacing w:line="140" w:lineRule="exact"/>
                <w:ind w:left="-115"/>
                <w:jc w:val="both"/>
                <w:rPr>
                  <w:rFonts w:cs="Arial"/>
                  <w:color w:val="000044"/>
                  <w:sz w:val="14"/>
                  <w:szCs w:val="14"/>
                </w:rPr>
              </w:pPr>
              <w:r w:rsidRPr="00146F66">
                <w:rPr>
                  <w:rFonts w:cs="Arial"/>
                  <w:color w:val="000044"/>
                  <w:sz w:val="14"/>
                  <w:szCs w:val="14"/>
                </w:rPr>
                <w:t>Estado do Paraná – Brasil | + 55 41 3350 60</w:t>
              </w:r>
              <w:r>
                <w:rPr>
                  <w:rFonts w:cs="Arial"/>
                  <w:color w:val="000044"/>
                  <w:sz w:val="14"/>
                  <w:szCs w:val="14"/>
                </w:rPr>
                <w:t>00</w:t>
              </w:r>
            </w:p>
            <w:p w14:paraId="7C67D63B" w14:textId="77777777" w:rsidR="0092558B" w:rsidRPr="00960185" w:rsidRDefault="0092558B" w:rsidP="00D976BF">
              <w:pPr>
                <w:spacing w:line="140" w:lineRule="exact"/>
                <w:ind w:left="-115"/>
                <w:jc w:val="both"/>
                <w:rPr>
                  <w:rFonts w:cs="Arial"/>
                  <w:color w:val="000044"/>
                  <w:sz w:val="14"/>
                  <w:szCs w:val="14"/>
                </w:rPr>
              </w:pPr>
              <w:r>
                <w:rPr>
                  <w:rFonts w:cs="Arial"/>
                  <w:color w:val="000044"/>
                  <w:sz w:val="14"/>
                  <w:szCs w:val="14"/>
                </w:rPr>
                <w:t>www.consultauditores.com.br</w:t>
              </w:r>
            </w:p>
          </w:tc>
          <w:tc>
            <w:tcPr>
              <w:tcW w:w="709" w:type="dxa"/>
            </w:tcPr>
            <w:p w14:paraId="36928E38" w14:textId="77777777" w:rsidR="0092558B" w:rsidRPr="00146F66" w:rsidRDefault="0092558B" w:rsidP="00D976BF">
              <w:pPr>
                <w:pStyle w:val="Rodap"/>
                <w:spacing w:before="120"/>
                <w:jc w:val="right"/>
                <w:rPr>
                  <w:rFonts w:cs="Arial"/>
                  <w:sz w:val="18"/>
                  <w:szCs w:val="18"/>
                </w:rPr>
              </w:pPr>
            </w:p>
          </w:tc>
        </w:tr>
      </w:tbl>
      <w:p w14:paraId="15C76DAE" w14:textId="77777777" w:rsidR="0092558B" w:rsidRDefault="004449AB">
        <w:pPr>
          <w:pStyle w:val="Rodap"/>
          <w:jc w:val="right"/>
        </w:pPr>
      </w:p>
    </w:sdtContent>
  </w:sdt>
  <w:p w14:paraId="1EC77BB6" w14:textId="77777777" w:rsidR="0092558B" w:rsidRPr="0027091B" w:rsidRDefault="0092558B" w:rsidP="003857B4">
    <w:pPr>
      <w:pStyle w:val="Rodap"/>
      <w:tabs>
        <w:tab w:val="left" w:pos="2715"/>
        <w:tab w:val="left" w:pos="3915"/>
      </w:tabs>
      <w:ind w:firstLine="142"/>
      <w:rPr>
        <w:rStyle w:val="Nmerodepgina"/>
        <w:rFonts w:ascii="Century Gothic" w:hAnsi="Century Gothic"/>
        <w:snapToGrid w:val="0"/>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9584725"/>
      <w:docPartObj>
        <w:docPartGallery w:val="Page Numbers (Bottom of Page)"/>
        <w:docPartUnique/>
      </w:docPartObj>
    </w:sdtPr>
    <w:sdtEndPr/>
    <w:sdtContent>
      <w:p w14:paraId="2132512C" w14:textId="77777777" w:rsidR="0092558B" w:rsidRDefault="0092558B" w:rsidP="00D976BF">
        <w:pPr>
          <w:pStyle w:val="Rodap"/>
          <w:tabs>
            <w:tab w:val="left" w:pos="2715"/>
            <w:tab w:val="left" w:pos="3915"/>
          </w:tabs>
          <w:rPr>
            <w:rStyle w:val="Nmerodepgina"/>
            <w:rFonts w:ascii="Century Gothic" w:hAnsi="Century Gothic"/>
            <w:snapToGrid w:val="0"/>
            <w:sz w:val="18"/>
            <w:szCs w:val="16"/>
          </w:rPr>
        </w:pPr>
        <w:r>
          <w:rPr>
            <w:rStyle w:val="Nmerodepgina"/>
            <w:rFonts w:ascii="Century Gothic" w:hAnsi="Century Gothic"/>
            <w:snapToGrid w:val="0"/>
            <w:sz w:val="16"/>
            <w:szCs w:val="16"/>
          </w:rPr>
          <w:t>REO 1-03</w:t>
        </w:r>
        <w:r w:rsidRPr="009E7854">
          <w:rPr>
            <w:rStyle w:val="Nmerodepgina"/>
            <w:rFonts w:ascii="Century Gothic" w:hAnsi="Century Gothic"/>
            <w:snapToGrid w:val="0"/>
            <w:sz w:val="16"/>
            <w:szCs w:val="16"/>
          </w:rPr>
          <w:t>/</w:t>
        </w:r>
        <w:r>
          <w:rPr>
            <w:rStyle w:val="Nmerodepgina"/>
            <w:rFonts w:ascii="Century Gothic" w:hAnsi="Century Gothic"/>
            <w:snapToGrid w:val="0"/>
            <w:sz w:val="16"/>
            <w:szCs w:val="16"/>
          </w:rPr>
          <w:t>24</w:t>
        </w:r>
        <w:r>
          <w:rPr>
            <w:rStyle w:val="Nmerodepgina"/>
            <w:rFonts w:ascii="Century Gothic" w:hAnsi="Century Gothic"/>
            <w:snapToGrid w:val="0"/>
            <w:sz w:val="16"/>
            <w:szCs w:val="16"/>
          </w:rPr>
          <w:tab/>
        </w:r>
        <w:r>
          <w:rPr>
            <w:rStyle w:val="Nmerodepgina"/>
            <w:rFonts w:ascii="Century Gothic" w:hAnsi="Century Gothic"/>
            <w:snapToGrid w:val="0"/>
            <w:sz w:val="16"/>
            <w:szCs w:val="16"/>
          </w:rPr>
          <w:tab/>
          <w:t xml:space="preserve">      </w:t>
        </w:r>
        <w:r>
          <w:rPr>
            <w:rStyle w:val="Nmerodepgina"/>
            <w:rFonts w:ascii="Century Gothic" w:hAnsi="Century Gothic"/>
            <w:snapToGrid w:val="0"/>
            <w:sz w:val="18"/>
            <w:szCs w:val="16"/>
          </w:rPr>
          <w:t>5</w:t>
        </w:r>
      </w:p>
      <w:tbl>
        <w:tblPr>
          <w:tblStyle w:val="Tabelacomgrade"/>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6"/>
          <w:gridCol w:w="1407"/>
          <w:gridCol w:w="4144"/>
          <w:gridCol w:w="709"/>
        </w:tblGrid>
        <w:tr w:rsidR="0092558B" w:rsidRPr="00146F66" w14:paraId="71CB1A33" w14:textId="77777777" w:rsidTr="00D976BF">
          <w:tc>
            <w:tcPr>
              <w:tcW w:w="3516" w:type="dxa"/>
            </w:tcPr>
            <w:p w14:paraId="2260C5E0" w14:textId="77777777" w:rsidR="0092558B" w:rsidRPr="00146F66" w:rsidRDefault="0092558B" w:rsidP="00D976BF">
              <w:pPr>
                <w:pStyle w:val="Rodap"/>
                <w:rPr>
                  <w:rFonts w:cs="Arial"/>
                  <w:color w:val="3A3A3A" w:themeColor="background2" w:themeShade="40"/>
                  <w:sz w:val="14"/>
                  <w:szCs w:val="14"/>
                </w:rPr>
              </w:pPr>
            </w:p>
          </w:tc>
          <w:tc>
            <w:tcPr>
              <w:tcW w:w="1407" w:type="dxa"/>
            </w:tcPr>
            <w:p w14:paraId="7593E163" w14:textId="77777777" w:rsidR="0092558B" w:rsidRPr="00146F66" w:rsidRDefault="0092558B" w:rsidP="00D976BF">
              <w:pPr>
                <w:pStyle w:val="Rodap"/>
                <w:jc w:val="right"/>
                <w:rPr>
                  <w:rFonts w:cs="Arial"/>
                  <w:sz w:val="14"/>
                  <w:szCs w:val="14"/>
                </w:rPr>
              </w:pPr>
            </w:p>
          </w:tc>
          <w:tc>
            <w:tcPr>
              <w:tcW w:w="4853" w:type="dxa"/>
              <w:gridSpan w:val="2"/>
            </w:tcPr>
            <w:p w14:paraId="453A89F3" w14:textId="77777777" w:rsidR="0092558B" w:rsidRPr="00146F66" w:rsidRDefault="0092558B" w:rsidP="00D976BF">
              <w:pPr>
                <w:pStyle w:val="Rodap"/>
                <w:jc w:val="right"/>
                <w:rPr>
                  <w:rFonts w:cs="Arial"/>
                  <w:color w:val="3A3A3A" w:themeColor="background2" w:themeShade="40"/>
                  <w:sz w:val="14"/>
                  <w:szCs w:val="14"/>
                </w:rPr>
              </w:pPr>
            </w:p>
          </w:tc>
        </w:tr>
        <w:tr w:rsidR="0092558B" w:rsidRPr="00146F66" w14:paraId="10621E22" w14:textId="77777777" w:rsidTr="00D976BF">
          <w:tc>
            <w:tcPr>
              <w:tcW w:w="9067" w:type="dxa"/>
              <w:gridSpan w:val="3"/>
            </w:tcPr>
            <w:p w14:paraId="17B8F816" w14:textId="77777777" w:rsidR="0092558B" w:rsidRPr="008D05D3" w:rsidRDefault="0092558B" w:rsidP="00D976BF">
              <w:pPr>
                <w:spacing w:line="180" w:lineRule="exact"/>
                <w:ind w:left="-108"/>
                <w:jc w:val="both"/>
                <w:rPr>
                  <w:rFonts w:cs="Arial"/>
                  <w:b/>
                  <w:bCs/>
                  <w:color w:val="000044"/>
                  <w:sz w:val="16"/>
                  <w:szCs w:val="16"/>
                </w:rPr>
              </w:pPr>
              <w:proofErr w:type="spellStart"/>
              <w:r w:rsidRPr="008D05D3">
                <w:rPr>
                  <w:rFonts w:cs="Arial"/>
                  <w:b/>
                  <w:bCs/>
                  <w:color w:val="000044"/>
                  <w:sz w:val="16"/>
                  <w:szCs w:val="16"/>
                </w:rPr>
                <w:t>Consult</w:t>
              </w:r>
              <w:proofErr w:type="spellEnd"/>
              <w:r w:rsidRPr="008D05D3">
                <w:rPr>
                  <w:rFonts w:cs="Arial"/>
                  <w:b/>
                  <w:bCs/>
                  <w:color w:val="000044"/>
                  <w:sz w:val="16"/>
                  <w:szCs w:val="16"/>
                </w:rPr>
                <w:t xml:space="preserve"> Auditores Independentes</w:t>
              </w:r>
            </w:p>
            <w:p w14:paraId="2E122AA7" w14:textId="77777777" w:rsidR="0092558B" w:rsidRPr="00146F66" w:rsidRDefault="0092558B" w:rsidP="00D976BF">
              <w:pPr>
                <w:spacing w:line="140" w:lineRule="exact"/>
                <w:ind w:left="-115"/>
                <w:jc w:val="both"/>
                <w:rPr>
                  <w:rFonts w:cs="Arial"/>
                  <w:color w:val="000044"/>
                  <w:sz w:val="14"/>
                  <w:szCs w:val="14"/>
                </w:rPr>
              </w:pPr>
              <w:r w:rsidRPr="00146F66">
                <w:rPr>
                  <w:rFonts w:cs="Arial"/>
                  <w:color w:val="000044"/>
                  <w:sz w:val="14"/>
                  <w:szCs w:val="14"/>
                </w:rPr>
                <w:t>Rua Mateus Leme, 2004, Centro Cívico, Curitiba</w:t>
              </w:r>
            </w:p>
            <w:p w14:paraId="09FB0729" w14:textId="77777777" w:rsidR="0092558B" w:rsidRDefault="0092558B" w:rsidP="00D976BF">
              <w:pPr>
                <w:spacing w:line="140" w:lineRule="exact"/>
                <w:ind w:left="-115"/>
                <w:jc w:val="both"/>
                <w:rPr>
                  <w:rFonts w:cs="Arial"/>
                  <w:color w:val="000044"/>
                  <w:sz w:val="14"/>
                  <w:szCs w:val="14"/>
                </w:rPr>
              </w:pPr>
              <w:r w:rsidRPr="00146F66">
                <w:rPr>
                  <w:rFonts w:cs="Arial"/>
                  <w:color w:val="000044"/>
                  <w:sz w:val="14"/>
                  <w:szCs w:val="14"/>
                </w:rPr>
                <w:t>Estado do Paraná – Brasil | + 55 41 3350 60</w:t>
              </w:r>
              <w:r>
                <w:rPr>
                  <w:rFonts w:cs="Arial"/>
                  <w:color w:val="000044"/>
                  <w:sz w:val="14"/>
                  <w:szCs w:val="14"/>
                </w:rPr>
                <w:t>00</w:t>
              </w:r>
            </w:p>
            <w:p w14:paraId="7E4E7619" w14:textId="77777777" w:rsidR="0092558B" w:rsidRPr="00960185" w:rsidRDefault="0092558B" w:rsidP="00D976BF">
              <w:pPr>
                <w:spacing w:line="140" w:lineRule="exact"/>
                <w:ind w:left="-115"/>
                <w:jc w:val="both"/>
                <w:rPr>
                  <w:rFonts w:cs="Arial"/>
                  <w:color w:val="000044"/>
                  <w:sz w:val="14"/>
                  <w:szCs w:val="14"/>
                </w:rPr>
              </w:pPr>
              <w:r>
                <w:rPr>
                  <w:rFonts w:cs="Arial"/>
                  <w:color w:val="000044"/>
                  <w:sz w:val="14"/>
                  <w:szCs w:val="14"/>
                </w:rPr>
                <w:t>www.consultauditores.com.br</w:t>
              </w:r>
            </w:p>
          </w:tc>
          <w:tc>
            <w:tcPr>
              <w:tcW w:w="709" w:type="dxa"/>
            </w:tcPr>
            <w:p w14:paraId="2315A4DB" w14:textId="77777777" w:rsidR="0092558B" w:rsidRPr="00146F66" w:rsidRDefault="0092558B" w:rsidP="00D976BF">
              <w:pPr>
                <w:pStyle w:val="Rodap"/>
                <w:spacing w:before="120"/>
                <w:jc w:val="right"/>
                <w:rPr>
                  <w:rFonts w:cs="Arial"/>
                  <w:sz w:val="18"/>
                  <w:szCs w:val="18"/>
                </w:rPr>
              </w:pPr>
            </w:p>
          </w:tc>
        </w:tr>
      </w:tbl>
      <w:p w14:paraId="1F2AB726" w14:textId="77777777" w:rsidR="0092558B" w:rsidRDefault="004449AB">
        <w:pPr>
          <w:pStyle w:val="Rodap"/>
          <w:jc w:val="right"/>
        </w:pPr>
      </w:p>
    </w:sdtContent>
  </w:sdt>
  <w:p w14:paraId="44C0FA81" w14:textId="77777777" w:rsidR="0092558B" w:rsidRPr="0027091B" w:rsidRDefault="0092558B" w:rsidP="003857B4">
    <w:pPr>
      <w:pStyle w:val="Rodap"/>
      <w:tabs>
        <w:tab w:val="left" w:pos="2715"/>
        <w:tab w:val="left" w:pos="3915"/>
      </w:tabs>
      <w:ind w:firstLine="142"/>
      <w:rPr>
        <w:rStyle w:val="Nmerodepgina"/>
        <w:rFonts w:ascii="Century Gothic" w:hAnsi="Century Gothic"/>
        <w:snapToGrid w:val="0"/>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F6611" w14:textId="77777777" w:rsidR="0092558B" w:rsidRPr="0027091B" w:rsidRDefault="0092558B" w:rsidP="003857B4">
    <w:pPr>
      <w:pStyle w:val="Rodap"/>
      <w:tabs>
        <w:tab w:val="left" w:pos="2715"/>
        <w:tab w:val="left" w:pos="3915"/>
      </w:tabs>
      <w:ind w:firstLine="142"/>
      <w:rPr>
        <w:rStyle w:val="Nmerodepgina"/>
        <w:rFonts w:ascii="Century Gothic" w:hAnsi="Century Gothic"/>
        <w:snapToGrid w:val="0"/>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E7276" w14:textId="77777777" w:rsidR="0092558B" w:rsidRPr="0027091B" w:rsidRDefault="0092558B" w:rsidP="003857B4">
    <w:pPr>
      <w:pStyle w:val="Rodap"/>
      <w:tabs>
        <w:tab w:val="left" w:pos="2715"/>
        <w:tab w:val="left" w:pos="3915"/>
      </w:tabs>
      <w:ind w:firstLine="142"/>
      <w:rPr>
        <w:rStyle w:val="Nmerodepgina"/>
        <w:rFonts w:ascii="Century Gothic" w:hAnsi="Century Gothic"/>
        <w:snapToGrid w:val="0"/>
        <w:sz w:val="16"/>
        <w:szCs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1288569"/>
      <w:docPartObj>
        <w:docPartGallery w:val="Page Numbers (Bottom of Page)"/>
        <w:docPartUnique/>
      </w:docPartObj>
    </w:sdtPr>
    <w:sdtEndPr/>
    <w:sdtContent>
      <w:p w14:paraId="2F574935" w14:textId="77777777" w:rsidR="0092558B" w:rsidRDefault="0092558B" w:rsidP="00D976BF">
        <w:pPr>
          <w:pStyle w:val="Rodap"/>
          <w:tabs>
            <w:tab w:val="left" w:pos="2715"/>
            <w:tab w:val="left" w:pos="3915"/>
          </w:tabs>
          <w:ind w:firstLine="142"/>
          <w:rPr>
            <w:rStyle w:val="Nmerodepgina"/>
            <w:rFonts w:ascii="Century Gothic" w:hAnsi="Century Gothic"/>
            <w:snapToGrid w:val="0"/>
            <w:sz w:val="18"/>
            <w:szCs w:val="16"/>
          </w:rPr>
        </w:pPr>
        <w:r>
          <w:rPr>
            <w:rStyle w:val="Nmerodepgina"/>
            <w:rFonts w:ascii="Century Gothic" w:hAnsi="Century Gothic"/>
            <w:snapToGrid w:val="0"/>
            <w:sz w:val="16"/>
            <w:szCs w:val="16"/>
          </w:rPr>
          <w:t>Reo 1-02</w:t>
        </w:r>
        <w:r w:rsidRPr="009E7854">
          <w:rPr>
            <w:rStyle w:val="Nmerodepgina"/>
            <w:rFonts w:ascii="Century Gothic" w:hAnsi="Century Gothic"/>
            <w:snapToGrid w:val="0"/>
            <w:sz w:val="16"/>
            <w:szCs w:val="16"/>
          </w:rPr>
          <w:t>/</w:t>
        </w:r>
        <w:r>
          <w:rPr>
            <w:rStyle w:val="Nmerodepgina"/>
            <w:rFonts w:ascii="Century Gothic" w:hAnsi="Century Gothic"/>
            <w:snapToGrid w:val="0"/>
            <w:sz w:val="16"/>
            <w:szCs w:val="16"/>
          </w:rPr>
          <w:t>21</w:t>
        </w:r>
        <w:r w:rsidRPr="009E7854">
          <w:rPr>
            <w:rStyle w:val="Nmerodepgina"/>
            <w:rFonts w:ascii="Century Gothic" w:hAnsi="Century Gothic"/>
            <w:snapToGrid w:val="0"/>
            <w:sz w:val="16"/>
            <w:szCs w:val="16"/>
          </w:rPr>
          <w:t xml:space="preserve"> OS N</w:t>
        </w:r>
        <w:r w:rsidRPr="009E7854">
          <w:rPr>
            <w:rStyle w:val="Nmerodepgina"/>
            <w:rFonts w:ascii="Century Gothic" w:hAnsi="Century Gothic"/>
            <w:snapToGrid w:val="0"/>
            <w:sz w:val="16"/>
            <w:szCs w:val="16"/>
            <w:u w:val="single"/>
            <w:vertAlign w:val="superscript"/>
          </w:rPr>
          <w:t>:</w:t>
        </w:r>
        <w:r>
          <w:rPr>
            <w:rStyle w:val="Nmerodepgina"/>
            <w:rFonts w:ascii="Century Gothic" w:hAnsi="Century Gothic"/>
            <w:snapToGrid w:val="0"/>
            <w:sz w:val="16"/>
            <w:szCs w:val="16"/>
          </w:rPr>
          <w:t xml:space="preserve"> 4969 </w:t>
        </w:r>
        <w:r>
          <w:rPr>
            <w:rStyle w:val="Nmerodepgina"/>
            <w:rFonts w:ascii="Century Gothic" w:hAnsi="Century Gothic"/>
            <w:snapToGrid w:val="0"/>
            <w:sz w:val="16"/>
            <w:szCs w:val="16"/>
          </w:rPr>
          <w:tab/>
        </w:r>
        <w:r>
          <w:rPr>
            <w:rStyle w:val="Nmerodepgina"/>
            <w:rFonts w:ascii="Century Gothic" w:hAnsi="Century Gothic"/>
            <w:snapToGrid w:val="0"/>
            <w:sz w:val="16"/>
            <w:szCs w:val="16"/>
          </w:rPr>
          <w:tab/>
          <w:t xml:space="preserve">      </w:t>
        </w:r>
        <w:r>
          <w:rPr>
            <w:rStyle w:val="Nmerodepgina"/>
            <w:rFonts w:ascii="Century Gothic" w:hAnsi="Century Gothic"/>
            <w:snapToGrid w:val="0"/>
            <w:sz w:val="18"/>
            <w:szCs w:val="16"/>
          </w:rPr>
          <w:t>6</w:t>
        </w:r>
      </w:p>
      <w:tbl>
        <w:tblPr>
          <w:tblStyle w:val="Tabelacomgrade"/>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6"/>
          <w:gridCol w:w="1407"/>
          <w:gridCol w:w="4144"/>
          <w:gridCol w:w="709"/>
        </w:tblGrid>
        <w:tr w:rsidR="0092558B" w:rsidRPr="00146F66" w14:paraId="200C0DB1" w14:textId="77777777" w:rsidTr="00D976BF">
          <w:tc>
            <w:tcPr>
              <w:tcW w:w="3516" w:type="dxa"/>
            </w:tcPr>
            <w:p w14:paraId="42A050B1" w14:textId="77777777" w:rsidR="0092558B" w:rsidRPr="00146F66" w:rsidRDefault="0092558B" w:rsidP="00D976BF">
              <w:pPr>
                <w:pStyle w:val="Rodap"/>
                <w:rPr>
                  <w:rFonts w:cs="Arial"/>
                  <w:color w:val="3A3A3A" w:themeColor="background2" w:themeShade="40"/>
                  <w:sz w:val="14"/>
                  <w:szCs w:val="14"/>
                </w:rPr>
              </w:pPr>
            </w:p>
          </w:tc>
          <w:tc>
            <w:tcPr>
              <w:tcW w:w="1407" w:type="dxa"/>
            </w:tcPr>
            <w:p w14:paraId="1B44795C" w14:textId="77777777" w:rsidR="0092558B" w:rsidRPr="00146F66" w:rsidRDefault="0092558B" w:rsidP="00D976BF">
              <w:pPr>
                <w:pStyle w:val="Rodap"/>
                <w:jc w:val="right"/>
                <w:rPr>
                  <w:rFonts w:cs="Arial"/>
                  <w:sz w:val="14"/>
                  <w:szCs w:val="14"/>
                </w:rPr>
              </w:pPr>
            </w:p>
          </w:tc>
          <w:tc>
            <w:tcPr>
              <w:tcW w:w="4853" w:type="dxa"/>
              <w:gridSpan w:val="2"/>
            </w:tcPr>
            <w:p w14:paraId="2CF076D8" w14:textId="77777777" w:rsidR="0092558B" w:rsidRPr="00146F66" w:rsidRDefault="0092558B" w:rsidP="00D976BF">
              <w:pPr>
                <w:pStyle w:val="Rodap"/>
                <w:jc w:val="right"/>
                <w:rPr>
                  <w:rFonts w:cs="Arial"/>
                  <w:color w:val="3A3A3A" w:themeColor="background2" w:themeShade="40"/>
                  <w:sz w:val="14"/>
                  <w:szCs w:val="14"/>
                </w:rPr>
              </w:pPr>
            </w:p>
          </w:tc>
        </w:tr>
        <w:tr w:rsidR="0092558B" w:rsidRPr="00146F66" w14:paraId="5FDA1432" w14:textId="77777777" w:rsidTr="00D976BF">
          <w:tc>
            <w:tcPr>
              <w:tcW w:w="9067" w:type="dxa"/>
              <w:gridSpan w:val="3"/>
            </w:tcPr>
            <w:p w14:paraId="0976153F" w14:textId="77777777" w:rsidR="0092558B" w:rsidRPr="008D05D3" w:rsidRDefault="0092558B" w:rsidP="00D976BF">
              <w:pPr>
                <w:spacing w:line="180" w:lineRule="exact"/>
                <w:ind w:left="-108"/>
                <w:jc w:val="both"/>
                <w:rPr>
                  <w:rFonts w:cs="Arial"/>
                  <w:b/>
                  <w:bCs/>
                  <w:color w:val="000044"/>
                  <w:sz w:val="16"/>
                  <w:szCs w:val="16"/>
                </w:rPr>
              </w:pPr>
              <w:proofErr w:type="spellStart"/>
              <w:r w:rsidRPr="008D05D3">
                <w:rPr>
                  <w:rFonts w:cs="Arial"/>
                  <w:b/>
                  <w:bCs/>
                  <w:color w:val="000044"/>
                  <w:sz w:val="16"/>
                  <w:szCs w:val="16"/>
                </w:rPr>
                <w:t>Consult</w:t>
              </w:r>
              <w:proofErr w:type="spellEnd"/>
              <w:r w:rsidRPr="008D05D3">
                <w:rPr>
                  <w:rFonts w:cs="Arial"/>
                  <w:b/>
                  <w:bCs/>
                  <w:color w:val="000044"/>
                  <w:sz w:val="16"/>
                  <w:szCs w:val="16"/>
                </w:rPr>
                <w:t xml:space="preserve"> Auditores Independentes</w:t>
              </w:r>
            </w:p>
            <w:p w14:paraId="1219D27A" w14:textId="77777777" w:rsidR="0092558B" w:rsidRPr="00146F66" w:rsidRDefault="0092558B" w:rsidP="00D976BF">
              <w:pPr>
                <w:spacing w:line="140" w:lineRule="exact"/>
                <w:ind w:left="-115"/>
                <w:jc w:val="both"/>
                <w:rPr>
                  <w:rFonts w:cs="Arial"/>
                  <w:color w:val="000044"/>
                  <w:sz w:val="14"/>
                  <w:szCs w:val="14"/>
                </w:rPr>
              </w:pPr>
              <w:r w:rsidRPr="00146F66">
                <w:rPr>
                  <w:rFonts w:cs="Arial"/>
                  <w:color w:val="000044"/>
                  <w:sz w:val="14"/>
                  <w:szCs w:val="14"/>
                </w:rPr>
                <w:t>Rua Mateus Leme, 2004, Centro Cívico, Curitiba</w:t>
              </w:r>
            </w:p>
            <w:p w14:paraId="03AC5BD4" w14:textId="77777777" w:rsidR="0092558B" w:rsidRDefault="0092558B" w:rsidP="00D976BF">
              <w:pPr>
                <w:spacing w:line="140" w:lineRule="exact"/>
                <w:ind w:left="-115"/>
                <w:jc w:val="both"/>
                <w:rPr>
                  <w:rFonts w:cs="Arial"/>
                  <w:color w:val="000044"/>
                  <w:sz w:val="14"/>
                  <w:szCs w:val="14"/>
                </w:rPr>
              </w:pPr>
              <w:r w:rsidRPr="00146F66">
                <w:rPr>
                  <w:rFonts w:cs="Arial"/>
                  <w:color w:val="000044"/>
                  <w:sz w:val="14"/>
                  <w:szCs w:val="14"/>
                </w:rPr>
                <w:t>Estado do Paraná – Brasil | + 55 41 3350 60</w:t>
              </w:r>
              <w:r>
                <w:rPr>
                  <w:rFonts w:cs="Arial"/>
                  <w:color w:val="000044"/>
                  <w:sz w:val="14"/>
                  <w:szCs w:val="14"/>
                </w:rPr>
                <w:t>00</w:t>
              </w:r>
            </w:p>
            <w:p w14:paraId="064B8EC3" w14:textId="77777777" w:rsidR="0092558B" w:rsidRPr="00960185" w:rsidRDefault="0092558B" w:rsidP="00D976BF">
              <w:pPr>
                <w:spacing w:line="140" w:lineRule="exact"/>
                <w:ind w:left="-115"/>
                <w:jc w:val="both"/>
                <w:rPr>
                  <w:rFonts w:cs="Arial"/>
                  <w:color w:val="000044"/>
                  <w:sz w:val="14"/>
                  <w:szCs w:val="14"/>
                </w:rPr>
              </w:pPr>
              <w:r>
                <w:rPr>
                  <w:rFonts w:cs="Arial"/>
                  <w:color w:val="000044"/>
                  <w:sz w:val="14"/>
                  <w:szCs w:val="14"/>
                </w:rPr>
                <w:t>www.consultauditores.com.br</w:t>
              </w:r>
            </w:p>
          </w:tc>
          <w:tc>
            <w:tcPr>
              <w:tcW w:w="709" w:type="dxa"/>
            </w:tcPr>
            <w:p w14:paraId="1BB091E7" w14:textId="77777777" w:rsidR="0092558B" w:rsidRPr="00146F66" w:rsidRDefault="0092558B" w:rsidP="00D976BF">
              <w:pPr>
                <w:pStyle w:val="Rodap"/>
                <w:spacing w:before="120"/>
                <w:jc w:val="right"/>
                <w:rPr>
                  <w:rFonts w:cs="Arial"/>
                  <w:sz w:val="18"/>
                  <w:szCs w:val="18"/>
                </w:rPr>
              </w:pPr>
            </w:p>
          </w:tc>
        </w:tr>
      </w:tbl>
      <w:p w14:paraId="4C45B4BB" w14:textId="77777777" w:rsidR="0092558B" w:rsidRDefault="004449AB">
        <w:pPr>
          <w:pStyle w:val="Rodap"/>
          <w:jc w:val="right"/>
        </w:pPr>
      </w:p>
    </w:sdtContent>
  </w:sdt>
  <w:p w14:paraId="2933395C" w14:textId="77777777" w:rsidR="0092558B" w:rsidRPr="0027091B" w:rsidRDefault="0092558B" w:rsidP="003857B4">
    <w:pPr>
      <w:pStyle w:val="Rodap"/>
      <w:tabs>
        <w:tab w:val="left" w:pos="2715"/>
        <w:tab w:val="left" w:pos="3915"/>
      </w:tabs>
      <w:ind w:firstLine="142"/>
      <w:rPr>
        <w:rStyle w:val="Nmerodepgina"/>
        <w:rFonts w:ascii="Century Gothic" w:hAnsi="Century Gothic"/>
        <w:snapToGrid w:val="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0C43F" w14:textId="77777777" w:rsidR="00F552AA" w:rsidRDefault="00F552AA" w:rsidP="00F552AA">
      <w:pPr>
        <w:spacing w:after="0" w:line="240" w:lineRule="auto"/>
      </w:pPr>
      <w:r>
        <w:separator/>
      </w:r>
    </w:p>
  </w:footnote>
  <w:footnote w:type="continuationSeparator" w:id="0">
    <w:p w14:paraId="24EDEC1C" w14:textId="77777777" w:rsidR="00F552AA" w:rsidRDefault="00F552AA" w:rsidP="00F552AA">
      <w:pPr>
        <w:spacing w:after="0" w:line="240" w:lineRule="auto"/>
      </w:pPr>
      <w:r>
        <w:continuationSeparator/>
      </w:r>
    </w:p>
  </w:footnote>
  <w:footnote w:id="1">
    <w:p w14:paraId="2223F6D9" w14:textId="77777777" w:rsidR="00871656" w:rsidRPr="00871656" w:rsidRDefault="00871656" w:rsidP="00871656">
      <w:pPr>
        <w:pStyle w:val="Textodenotaderodap"/>
        <w:rPr>
          <w:sz w:val="16"/>
          <w:szCs w:val="16"/>
          <w:lang w:val="pt-BR"/>
        </w:rPr>
      </w:pPr>
      <w:r w:rsidRPr="00DA0A83">
        <w:rPr>
          <w:rStyle w:val="Refdenotaderodap"/>
          <w:sz w:val="16"/>
          <w:szCs w:val="16"/>
        </w:rPr>
        <w:footnoteRef/>
      </w:r>
      <w:r w:rsidRPr="00871656">
        <w:rPr>
          <w:sz w:val="16"/>
          <w:szCs w:val="16"/>
          <w:lang w:val="pt-BR"/>
        </w:rPr>
        <w:t xml:space="preserve"> Perdas com crédito de liquidação duvidosa.</w:t>
      </w:r>
    </w:p>
  </w:footnote>
  <w:footnote w:id="2">
    <w:p w14:paraId="58C19DF3" w14:textId="77777777" w:rsidR="00871656" w:rsidRPr="00871656" w:rsidRDefault="00871656" w:rsidP="00871656">
      <w:pPr>
        <w:pStyle w:val="Textodenotaderodap"/>
        <w:rPr>
          <w:sz w:val="16"/>
          <w:szCs w:val="16"/>
          <w:lang w:val="pt-BR"/>
        </w:rPr>
      </w:pPr>
      <w:r w:rsidRPr="00DA0A83">
        <w:rPr>
          <w:rStyle w:val="Refdenotaderodap"/>
          <w:sz w:val="16"/>
          <w:szCs w:val="16"/>
        </w:rPr>
        <w:footnoteRef/>
      </w:r>
      <w:r w:rsidRPr="00871656">
        <w:rPr>
          <w:sz w:val="16"/>
          <w:szCs w:val="16"/>
          <w:lang w:val="pt-BR"/>
        </w:rPr>
        <w:t xml:space="preserve"> Programa de indenização por serviços prestados.</w:t>
      </w:r>
    </w:p>
  </w:footnote>
  <w:footnote w:id="3">
    <w:p w14:paraId="442E7883" w14:textId="77777777" w:rsidR="00AA1F87" w:rsidRPr="00AA1F87" w:rsidRDefault="00AA1F87" w:rsidP="00AA1F87">
      <w:pPr>
        <w:pStyle w:val="Textodenotaderodap"/>
        <w:rPr>
          <w:lang w:val="pt-BR"/>
        </w:rPr>
      </w:pPr>
      <w:r>
        <w:rPr>
          <w:rStyle w:val="Refdenotaderodap"/>
        </w:rPr>
        <w:footnoteRef/>
      </w:r>
      <w:r w:rsidRPr="00AA1F87">
        <w:rPr>
          <w:lang w:val="pt-BR"/>
        </w:rPr>
        <w:t xml:space="preserve"> Adiantamento para Futuro Aumento de Capital.</w:t>
      </w:r>
    </w:p>
  </w:footnote>
  <w:footnote w:id="4">
    <w:p w14:paraId="699C0122" w14:textId="77777777" w:rsidR="00AA1F87" w:rsidRPr="00AA1F87" w:rsidRDefault="00AA1F87" w:rsidP="00AA1F87">
      <w:pPr>
        <w:pStyle w:val="Textodenotaderodap"/>
        <w:rPr>
          <w:rFonts w:ascii="Arial" w:hAnsi="Arial" w:cs="Arial"/>
          <w:sz w:val="16"/>
          <w:szCs w:val="16"/>
          <w:lang w:val="pt-BR"/>
        </w:rPr>
      </w:pPr>
      <w:r w:rsidRPr="00C07B0E">
        <w:rPr>
          <w:rStyle w:val="Refdenotaderodap"/>
          <w:rFonts w:ascii="Arial" w:hAnsi="Arial" w:cs="Arial"/>
          <w:sz w:val="16"/>
          <w:szCs w:val="16"/>
        </w:rPr>
        <w:footnoteRef/>
      </w:r>
      <w:r w:rsidRPr="00AA1F87">
        <w:rPr>
          <w:rFonts w:ascii="Arial" w:hAnsi="Arial" w:cs="Arial"/>
          <w:sz w:val="16"/>
          <w:szCs w:val="16"/>
          <w:lang w:val="pt-BR"/>
        </w:rPr>
        <w:t xml:space="preserve"> Dívida Líquida= Dívida bruta – (Caixa e Equivalentes de Caixa + Aplicações Financeiras de recursos vinculados a garantias de empréstimos e financiamentos e acordos judicias firmados com credores).</w:t>
      </w:r>
    </w:p>
  </w:footnote>
  <w:footnote w:id="5">
    <w:p w14:paraId="4EC3A522" w14:textId="77777777" w:rsidR="00AA1F87" w:rsidRPr="00AA1F87" w:rsidRDefault="00AA1F87" w:rsidP="00AA1F87">
      <w:pPr>
        <w:pStyle w:val="Textodenotaderodap"/>
        <w:rPr>
          <w:lang w:val="pt-BR"/>
        </w:rPr>
      </w:pPr>
      <w:r>
        <w:rPr>
          <w:rStyle w:val="Refdenotaderodap"/>
        </w:rPr>
        <w:footnoteRef/>
      </w:r>
      <w:r w:rsidRPr="00AA1F87">
        <w:rPr>
          <w:lang w:val="pt-BR"/>
        </w:rPr>
        <w:t xml:space="preserve"> </w:t>
      </w:r>
      <w:r w:rsidRPr="00AA1F87">
        <w:rPr>
          <w:rFonts w:ascii="Arial" w:hAnsi="Arial" w:cs="Arial"/>
          <w:sz w:val="16"/>
          <w:szCs w:val="16"/>
          <w:lang w:val="pt-BR"/>
        </w:rPr>
        <w:t>Exclui o valor das aplicações financeiras dos recursos recebidos a título de AFAC e registrado na rubrica de Disponibilidade, uma vez, que esse recurso não pode ser utilizado para a liquidação da Dívida Bruta.</w:t>
      </w:r>
    </w:p>
  </w:footnote>
  <w:footnote w:id="6">
    <w:p w14:paraId="42A2F673" w14:textId="77777777" w:rsidR="00AA1F87" w:rsidRPr="00AA1F87" w:rsidRDefault="00AA1F87" w:rsidP="00AA1F87">
      <w:pPr>
        <w:pStyle w:val="Textodenotaderodap"/>
        <w:rPr>
          <w:lang w:val="pt-BR"/>
        </w:rPr>
      </w:pPr>
      <w:r>
        <w:rPr>
          <w:rStyle w:val="Refdenotaderodap"/>
        </w:rPr>
        <w:footnoteRef/>
      </w:r>
      <w:r w:rsidRPr="00AA1F87">
        <w:rPr>
          <w:lang w:val="pt-BR"/>
        </w:rPr>
        <w:t xml:space="preserve"> </w:t>
      </w:r>
      <w:r w:rsidRPr="00AA1F87">
        <w:rPr>
          <w:rFonts w:ascii="Arial" w:hAnsi="Arial" w:cs="Arial"/>
          <w:bCs/>
          <w:sz w:val="16"/>
          <w:szCs w:val="16"/>
          <w:lang w:val="pt-BR"/>
        </w:rPr>
        <w:t>EBITDA anualizado: Representa o EBITDA do mês corrente somado ao EBITDA mensal dos onze meses anteriores.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990D6" w14:textId="77777777" w:rsidR="00CD43C8" w:rsidRDefault="00CD43C8" w:rsidP="008116AC">
    <w:pPr>
      <w:ind w:right="397"/>
      <w:jc w:val="right"/>
      <w:rPr>
        <w:b/>
        <w:color w:val="808080"/>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22DBE" w14:textId="77777777" w:rsidR="00CD43C8" w:rsidRDefault="00CD43C8" w:rsidP="003D4A07">
    <w:pPr>
      <w:pStyle w:val="Cabealho"/>
      <w:jc w:val="right"/>
    </w:pPr>
    <w:r w:rsidRPr="00B10669">
      <w:rPr>
        <w:noProof/>
        <w:lang w:eastAsia="pt-BR"/>
      </w:rPr>
      <mc:AlternateContent>
        <mc:Choice Requires="wps">
          <w:drawing>
            <wp:anchor distT="0" distB="0" distL="114300" distR="114300" simplePos="0" relativeHeight="251663360" behindDoc="0" locked="0" layoutInCell="1" allowOverlap="1" wp14:anchorId="4D50B5ED" wp14:editId="2C60181F">
              <wp:simplePos x="0" y="0"/>
              <wp:positionH relativeFrom="column">
                <wp:posOffset>-601345</wp:posOffset>
              </wp:positionH>
              <wp:positionV relativeFrom="paragraph">
                <wp:posOffset>410210</wp:posOffset>
              </wp:positionV>
              <wp:extent cx="7200900" cy="0"/>
              <wp:effectExtent l="0" t="0" r="0" b="0"/>
              <wp:wrapNone/>
              <wp:docPr id="448" name="Conector reto 448"/>
              <wp:cNvGraphicFramePr/>
              <a:graphic xmlns:a="http://schemas.openxmlformats.org/drawingml/2006/main">
                <a:graphicData uri="http://schemas.microsoft.com/office/word/2010/wordprocessingShape">
                  <wps:wsp>
                    <wps:cNvCnPr/>
                    <wps:spPr>
                      <a:xfrm>
                        <a:off x="0" y="0"/>
                        <a:ext cx="7200900" cy="0"/>
                      </a:xfrm>
                      <a:prstGeom prst="line">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A2544F" id="Conector reto 448"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35pt,32.3pt" to="519.6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" strokecolor="#45b0e1 [1940]" strokeweight="1.5pt">
              <v:stroke joinstyle="miter"/>
            </v:line>
          </w:pict>
        </mc:Fallback>
      </mc:AlternateContent>
    </w:r>
    <w:r w:rsidRPr="00B10669">
      <w:rPr>
        <w:noProof/>
        <w:lang w:eastAsia="pt-BR"/>
      </w:rPr>
      <mc:AlternateContent>
        <mc:Choice Requires="wps">
          <w:drawing>
            <wp:anchor distT="0" distB="0" distL="114300" distR="114300" simplePos="0" relativeHeight="251664384" behindDoc="0" locked="0" layoutInCell="1" allowOverlap="1" wp14:anchorId="7D8A1AA0" wp14:editId="362C6343">
              <wp:simplePos x="0" y="0"/>
              <wp:positionH relativeFrom="column">
                <wp:posOffset>-182245</wp:posOffset>
              </wp:positionH>
              <wp:positionV relativeFrom="paragraph">
                <wp:posOffset>444500</wp:posOffset>
              </wp:positionV>
              <wp:extent cx="6680200" cy="0"/>
              <wp:effectExtent l="0" t="0" r="0" b="0"/>
              <wp:wrapNone/>
              <wp:docPr id="449" name="Conector reto 449"/>
              <wp:cNvGraphicFramePr/>
              <a:graphic xmlns:a="http://schemas.openxmlformats.org/drawingml/2006/main">
                <a:graphicData uri="http://schemas.microsoft.com/office/word/2010/wordprocessingShape">
                  <wps:wsp>
                    <wps:cNvCnPr/>
                    <wps:spPr>
                      <a:xfrm>
                        <a:off x="0" y="0"/>
                        <a:ext cx="6680200" cy="0"/>
                      </a:xfrm>
                      <a:prstGeom prst="line">
                        <a:avLst/>
                      </a:prstGeom>
                      <a:ln w="190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8981DB" id="Conector reto 44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5pt,35pt" to="511.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" strokecolor="#4f1548 [1608]" strokeweight="1.5pt">
              <v:stroke joinstyle="miter"/>
            </v:line>
          </w:pict>
        </mc:Fallback>
      </mc:AlternateContent>
    </w:r>
    <w:r w:rsidRPr="00B10669">
      <w:rPr>
        <w:noProof/>
        <w:lang w:eastAsia="pt-BR"/>
      </w:rPr>
      <w:drawing>
        <wp:anchor distT="0" distB="0" distL="114300" distR="114300" simplePos="0" relativeHeight="251665408" behindDoc="0" locked="0" layoutInCell="1" allowOverlap="1" wp14:anchorId="5FE8D3FC" wp14:editId="021951CD">
          <wp:simplePos x="0" y="0"/>
          <wp:positionH relativeFrom="column">
            <wp:posOffset>5058888</wp:posOffset>
          </wp:positionH>
          <wp:positionV relativeFrom="paragraph">
            <wp:posOffset>0</wp:posOffset>
          </wp:positionV>
          <wp:extent cx="886587" cy="247650"/>
          <wp:effectExtent l="0" t="0" r="8890" b="0"/>
          <wp:wrapNone/>
          <wp:docPr id="1533612270" name="Imagem 153361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6587" cy="247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91AD82" w14:textId="77777777" w:rsidR="00CD43C8" w:rsidRDefault="00CD43C8" w:rsidP="00C279DD">
    <w:pPr>
      <w:ind w:right="397"/>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F5D30" w14:textId="77777777" w:rsidR="0057278F" w:rsidRDefault="0057278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C643F"/>
    <w:multiLevelType w:val="hybridMultilevel"/>
    <w:tmpl w:val="00B8CCA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90815F5"/>
    <w:multiLevelType w:val="hybridMultilevel"/>
    <w:tmpl w:val="D0D8647C"/>
    <w:lvl w:ilvl="0" w:tplc="660C2F2A">
      <w:start w:val="1"/>
      <w:numFmt w:val="lowerLetter"/>
      <w:lvlText w:val="%1)"/>
      <w:lvlJc w:val="left"/>
      <w:pPr>
        <w:ind w:left="1428" w:hanging="360"/>
      </w:pPr>
      <w:rPr>
        <w:rFonts w:ascii="Arial" w:eastAsia="Times New Roman" w:hAnsi="Arial" w:cs="Arial"/>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 w15:restartNumberingAfterBreak="0">
    <w:nsid w:val="1F0672A6"/>
    <w:multiLevelType w:val="hybridMultilevel"/>
    <w:tmpl w:val="B6C88D7C"/>
    <w:lvl w:ilvl="0" w:tplc="4D8C7D9E">
      <w:start w:val="1"/>
      <w:numFmt w:val="lowerRoman"/>
      <w:lvlText w:val="%1)"/>
      <w:lvlJc w:val="right"/>
      <w:pPr>
        <w:tabs>
          <w:tab w:val="num" w:pos="1429"/>
        </w:tabs>
        <w:ind w:left="1429" w:hanging="360"/>
      </w:pPr>
      <w:rPr>
        <w:rFonts w:ascii="Arial" w:eastAsia="Times New Roman" w:hAnsi="Arial" w:cs="Arial"/>
      </w:rPr>
    </w:lvl>
    <w:lvl w:ilvl="1" w:tplc="04160003" w:tentative="1">
      <w:start w:val="1"/>
      <w:numFmt w:val="bullet"/>
      <w:lvlText w:val="o"/>
      <w:lvlJc w:val="left"/>
      <w:pPr>
        <w:tabs>
          <w:tab w:val="num" w:pos="2149"/>
        </w:tabs>
        <w:ind w:left="2149" w:hanging="360"/>
      </w:pPr>
      <w:rPr>
        <w:rFonts w:ascii="Courier New" w:hAnsi="Courier New" w:cs="Courier New" w:hint="default"/>
      </w:rPr>
    </w:lvl>
    <w:lvl w:ilvl="2" w:tplc="04160005" w:tentative="1">
      <w:start w:val="1"/>
      <w:numFmt w:val="bullet"/>
      <w:lvlText w:val=""/>
      <w:lvlJc w:val="left"/>
      <w:pPr>
        <w:tabs>
          <w:tab w:val="num" w:pos="2869"/>
        </w:tabs>
        <w:ind w:left="2869" w:hanging="360"/>
      </w:pPr>
      <w:rPr>
        <w:rFonts w:ascii="Wingdings" w:hAnsi="Wingdings" w:hint="default"/>
      </w:rPr>
    </w:lvl>
    <w:lvl w:ilvl="3" w:tplc="04160001" w:tentative="1">
      <w:start w:val="1"/>
      <w:numFmt w:val="bullet"/>
      <w:lvlText w:val=""/>
      <w:lvlJc w:val="left"/>
      <w:pPr>
        <w:tabs>
          <w:tab w:val="num" w:pos="3589"/>
        </w:tabs>
        <w:ind w:left="3589" w:hanging="360"/>
      </w:pPr>
      <w:rPr>
        <w:rFonts w:ascii="Symbol" w:hAnsi="Symbol" w:hint="default"/>
      </w:rPr>
    </w:lvl>
    <w:lvl w:ilvl="4" w:tplc="04160003" w:tentative="1">
      <w:start w:val="1"/>
      <w:numFmt w:val="bullet"/>
      <w:lvlText w:val="o"/>
      <w:lvlJc w:val="left"/>
      <w:pPr>
        <w:tabs>
          <w:tab w:val="num" w:pos="4309"/>
        </w:tabs>
        <w:ind w:left="4309" w:hanging="360"/>
      </w:pPr>
      <w:rPr>
        <w:rFonts w:ascii="Courier New" w:hAnsi="Courier New" w:cs="Courier New" w:hint="default"/>
      </w:rPr>
    </w:lvl>
    <w:lvl w:ilvl="5" w:tplc="04160005" w:tentative="1">
      <w:start w:val="1"/>
      <w:numFmt w:val="bullet"/>
      <w:lvlText w:val=""/>
      <w:lvlJc w:val="left"/>
      <w:pPr>
        <w:tabs>
          <w:tab w:val="num" w:pos="5029"/>
        </w:tabs>
        <w:ind w:left="5029" w:hanging="360"/>
      </w:pPr>
      <w:rPr>
        <w:rFonts w:ascii="Wingdings" w:hAnsi="Wingdings" w:hint="default"/>
      </w:rPr>
    </w:lvl>
    <w:lvl w:ilvl="6" w:tplc="04160001" w:tentative="1">
      <w:start w:val="1"/>
      <w:numFmt w:val="bullet"/>
      <w:lvlText w:val=""/>
      <w:lvlJc w:val="left"/>
      <w:pPr>
        <w:tabs>
          <w:tab w:val="num" w:pos="5749"/>
        </w:tabs>
        <w:ind w:left="5749" w:hanging="360"/>
      </w:pPr>
      <w:rPr>
        <w:rFonts w:ascii="Symbol" w:hAnsi="Symbol" w:hint="default"/>
      </w:rPr>
    </w:lvl>
    <w:lvl w:ilvl="7" w:tplc="04160003" w:tentative="1">
      <w:start w:val="1"/>
      <w:numFmt w:val="bullet"/>
      <w:lvlText w:val="o"/>
      <w:lvlJc w:val="left"/>
      <w:pPr>
        <w:tabs>
          <w:tab w:val="num" w:pos="6469"/>
        </w:tabs>
        <w:ind w:left="6469" w:hanging="360"/>
      </w:pPr>
      <w:rPr>
        <w:rFonts w:ascii="Courier New" w:hAnsi="Courier New" w:cs="Courier New" w:hint="default"/>
      </w:rPr>
    </w:lvl>
    <w:lvl w:ilvl="8" w:tplc="04160005" w:tentative="1">
      <w:start w:val="1"/>
      <w:numFmt w:val="bullet"/>
      <w:lvlText w:val=""/>
      <w:lvlJc w:val="left"/>
      <w:pPr>
        <w:tabs>
          <w:tab w:val="num" w:pos="7189"/>
        </w:tabs>
        <w:ind w:left="7189" w:hanging="360"/>
      </w:pPr>
      <w:rPr>
        <w:rFonts w:ascii="Wingdings" w:hAnsi="Wingdings" w:hint="default"/>
      </w:rPr>
    </w:lvl>
  </w:abstractNum>
  <w:abstractNum w:abstractNumId="3" w15:restartNumberingAfterBreak="0">
    <w:nsid w:val="201166C2"/>
    <w:multiLevelType w:val="hybridMultilevel"/>
    <w:tmpl w:val="4B402A12"/>
    <w:lvl w:ilvl="0" w:tplc="9A88BF9C">
      <w:start w:val="1"/>
      <w:numFmt w:val="lowerRoman"/>
      <w:lvlText w:val="%1)"/>
      <w:lvlJc w:val="left"/>
      <w:pPr>
        <w:ind w:left="1003" w:hanging="720"/>
      </w:pPr>
      <w:rPr>
        <w:rFonts w:hint="default"/>
      </w:rPr>
    </w:lvl>
    <w:lvl w:ilvl="1" w:tplc="04160019" w:tentative="1">
      <w:start w:val="1"/>
      <w:numFmt w:val="lowerLetter"/>
      <w:lvlText w:val="%2."/>
      <w:lvlJc w:val="left"/>
      <w:pPr>
        <w:ind w:left="1363" w:hanging="360"/>
      </w:pPr>
    </w:lvl>
    <w:lvl w:ilvl="2" w:tplc="0416001B" w:tentative="1">
      <w:start w:val="1"/>
      <w:numFmt w:val="lowerRoman"/>
      <w:lvlText w:val="%3."/>
      <w:lvlJc w:val="right"/>
      <w:pPr>
        <w:ind w:left="2083" w:hanging="180"/>
      </w:pPr>
    </w:lvl>
    <w:lvl w:ilvl="3" w:tplc="0416000F" w:tentative="1">
      <w:start w:val="1"/>
      <w:numFmt w:val="decimal"/>
      <w:lvlText w:val="%4."/>
      <w:lvlJc w:val="left"/>
      <w:pPr>
        <w:ind w:left="2803" w:hanging="360"/>
      </w:pPr>
    </w:lvl>
    <w:lvl w:ilvl="4" w:tplc="04160019" w:tentative="1">
      <w:start w:val="1"/>
      <w:numFmt w:val="lowerLetter"/>
      <w:lvlText w:val="%5."/>
      <w:lvlJc w:val="left"/>
      <w:pPr>
        <w:ind w:left="3523" w:hanging="360"/>
      </w:pPr>
    </w:lvl>
    <w:lvl w:ilvl="5" w:tplc="0416001B" w:tentative="1">
      <w:start w:val="1"/>
      <w:numFmt w:val="lowerRoman"/>
      <w:lvlText w:val="%6."/>
      <w:lvlJc w:val="right"/>
      <w:pPr>
        <w:ind w:left="4243" w:hanging="180"/>
      </w:pPr>
    </w:lvl>
    <w:lvl w:ilvl="6" w:tplc="0416000F" w:tentative="1">
      <w:start w:val="1"/>
      <w:numFmt w:val="decimal"/>
      <w:lvlText w:val="%7."/>
      <w:lvlJc w:val="left"/>
      <w:pPr>
        <w:ind w:left="4963" w:hanging="360"/>
      </w:pPr>
    </w:lvl>
    <w:lvl w:ilvl="7" w:tplc="04160019" w:tentative="1">
      <w:start w:val="1"/>
      <w:numFmt w:val="lowerLetter"/>
      <w:lvlText w:val="%8."/>
      <w:lvlJc w:val="left"/>
      <w:pPr>
        <w:ind w:left="5683" w:hanging="360"/>
      </w:pPr>
    </w:lvl>
    <w:lvl w:ilvl="8" w:tplc="0416001B" w:tentative="1">
      <w:start w:val="1"/>
      <w:numFmt w:val="lowerRoman"/>
      <w:lvlText w:val="%9."/>
      <w:lvlJc w:val="right"/>
      <w:pPr>
        <w:ind w:left="6403" w:hanging="180"/>
      </w:pPr>
    </w:lvl>
  </w:abstractNum>
  <w:abstractNum w:abstractNumId="4" w15:restartNumberingAfterBreak="0">
    <w:nsid w:val="22154B0D"/>
    <w:multiLevelType w:val="hybridMultilevel"/>
    <w:tmpl w:val="61F211D8"/>
    <w:lvl w:ilvl="0" w:tplc="1E0AEBF2">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39E1885"/>
    <w:multiLevelType w:val="multilevel"/>
    <w:tmpl w:val="1E2CD840"/>
    <w:lvl w:ilvl="0">
      <w:start w:val="5"/>
      <w:numFmt w:val="decimal"/>
      <w:lvlText w:val="%1."/>
      <w:lvlJc w:val="left"/>
      <w:pPr>
        <w:ind w:left="360" w:hanging="36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2E2326C0"/>
    <w:multiLevelType w:val="hybridMultilevel"/>
    <w:tmpl w:val="9F723E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23E3DE0"/>
    <w:multiLevelType w:val="multilevel"/>
    <w:tmpl w:val="237A45DC"/>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448614DB"/>
    <w:multiLevelType w:val="hybridMultilevel"/>
    <w:tmpl w:val="B772236E"/>
    <w:lvl w:ilvl="0" w:tplc="91E6A224">
      <w:start w:val="1"/>
      <w:numFmt w:val="lowerRoman"/>
      <w:lvlText w:val="%1)"/>
      <w:lvlJc w:val="right"/>
      <w:pPr>
        <w:tabs>
          <w:tab w:val="num" w:pos="1068"/>
        </w:tabs>
        <w:ind w:left="1068" w:hanging="360"/>
      </w:pPr>
      <w:rPr>
        <w:rFonts w:ascii="Arial" w:eastAsia="Times New Roman" w:hAnsi="Arial" w:cs="Arial"/>
        <w:sz w:val="22"/>
        <w:szCs w:val="22"/>
      </w:rPr>
    </w:lvl>
    <w:lvl w:ilvl="1" w:tplc="0CC424E0" w:tentative="1">
      <w:start w:val="1"/>
      <w:numFmt w:val="bullet"/>
      <w:lvlText w:val="o"/>
      <w:lvlJc w:val="left"/>
      <w:pPr>
        <w:tabs>
          <w:tab w:val="num" w:pos="2148"/>
        </w:tabs>
        <w:ind w:left="2148" w:hanging="360"/>
      </w:pPr>
      <w:rPr>
        <w:rFonts w:ascii="Courier New" w:hAnsi="Courier New" w:hint="default"/>
      </w:rPr>
    </w:lvl>
    <w:lvl w:ilvl="2" w:tplc="1E2A92E6" w:tentative="1">
      <w:start w:val="1"/>
      <w:numFmt w:val="bullet"/>
      <w:lvlText w:val=""/>
      <w:lvlJc w:val="left"/>
      <w:pPr>
        <w:tabs>
          <w:tab w:val="num" w:pos="2868"/>
        </w:tabs>
        <w:ind w:left="2868" w:hanging="360"/>
      </w:pPr>
      <w:rPr>
        <w:rFonts w:ascii="Wingdings" w:hAnsi="Wingdings" w:hint="default"/>
      </w:rPr>
    </w:lvl>
    <w:lvl w:ilvl="3" w:tplc="FDA42ADC" w:tentative="1">
      <w:start w:val="1"/>
      <w:numFmt w:val="bullet"/>
      <w:lvlText w:val=""/>
      <w:lvlJc w:val="left"/>
      <w:pPr>
        <w:tabs>
          <w:tab w:val="num" w:pos="3588"/>
        </w:tabs>
        <w:ind w:left="3588" w:hanging="360"/>
      </w:pPr>
      <w:rPr>
        <w:rFonts w:ascii="Symbol" w:hAnsi="Symbol" w:hint="default"/>
      </w:rPr>
    </w:lvl>
    <w:lvl w:ilvl="4" w:tplc="9B9E7746" w:tentative="1">
      <w:start w:val="1"/>
      <w:numFmt w:val="bullet"/>
      <w:lvlText w:val="o"/>
      <w:lvlJc w:val="left"/>
      <w:pPr>
        <w:tabs>
          <w:tab w:val="num" w:pos="4308"/>
        </w:tabs>
        <w:ind w:left="4308" w:hanging="360"/>
      </w:pPr>
      <w:rPr>
        <w:rFonts w:ascii="Courier New" w:hAnsi="Courier New" w:hint="default"/>
      </w:rPr>
    </w:lvl>
    <w:lvl w:ilvl="5" w:tplc="28FA6D68" w:tentative="1">
      <w:start w:val="1"/>
      <w:numFmt w:val="bullet"/>
      <w:lvlText w:val=""/>
      <w:lvlJc w:val="left"/>
      <w:pPr>
        <w:tabs>
          <w:tab w:val="num" w:pos="5028"/>
        </w:tabs>
        <w:ind w:left="5028" w:hanging="360"/>
      </w:pPr>
      <w:rPr>
        <w:rFonts w:ascii="Wingdings" w:hAnsi="Wingdings" w:hint="default"/>
      </w:rPr>
    </w:lvl>
    <w:lvl w:ilvl="6" w:tplc="98600190" w:tentative="1">
      <w:start w:val="1"/>
      <w:numFmt w:val="bullet"/>
      <w:lvlText w:val=""/>
      <w:lvlJc w:val="left"/>
      <w:pPr>
        <w:tabs>
          <w:tab w:val="num" w:pos="5748"/>
        </w:tabs>
        <w:ind w:left="5748" w:hanging="360"/>
      </w:pPr>
      <w:rPr>
        <w:rFonts w:ascii="Symbol" w:hAnsi="Symbol" w:hint="default"/>
      </w:rPr>
    </w:lvl>
    <w:lvl w:ilvl="7" w:tplc="5FC6C550" w:tentative="1">
      <w:start w:val="1"/>
      <w:numFmt w:val="bullet"/>
      <w:lvlText w:val="o"/>
      <w:lvlJc w:val="left"/>
      <w:pPr>
        <w:tabs>
          <w:tab w:val="num" w:pos="6468"/>
        </w:tabs>
        <w:ind w:left="6468" w:hanging="360"/>
      </w:pPr>
      <w:rPr>
        <w:rFonts w:ascii="Courier New" w:hAnsi="Courier New" w:hint="default"/>
      </w:rPr>
    </w:lvl>
    <w:lvl w:ilvl="8" w:tplc="19D66B5C" w:tentative="1">
      <w:start w:val="1"/>
      <w:numFmt w:val="bullet"/>
      <w:lvlText w:val=""/>
      <w:lvlJc w:val="left"/>
      <w:pPr>
        <w:tabs>
          <w:tab w:val="num" w:pos="7188"/>
        </w:tabs>
        <w:ind w:left="7188" w:hanging="360"/>
      </w:pPr>
      <w:rPr>
        <w:rFonts w:ascii="Wingdings" w:hAnsi="Wingdings" w:hint="default"/>
      </w:rPr>
    </w:lvl>
  </w:abstractNum>
  <w:abstractNum w:abstractNumId="9" w15:restartNumberingAfterBreak="0">
    <w:nsid w:val="48430345"/>
    <w:multiLevelType w:val="multilevel"/>
    <w:tmpl w:val="A9548A06"/>
    <w:lvl w:ilvl="0">
      <w:start w:val="9"/>
      <w:numFmt w:val="decimal"/>
      <w:lvlText w:val="%1."/>
      <w:lvlJc w:val="left"/>
      <w:pPr>
        <w:ind w:left="1211" w:hanging="36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145" w:hanging="720"/>
      </w:pPr>
      <w:rPr>
        <w:rFonts w:ascii="Arial" w:hAnsi="Arial" w:cs="Arial"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505516E9"/>
    <w:multiLevelType w:val="multilevel"/>
    <w:tmpl w:val="C09E2690"/>
    <w:lvl w:ilvl="0">
      <w:start w:val="3"/>
      <w:numFmt w:val="decimal"/>
      <w:lvlText w:val="%1."/>
      <w:lvlJc w:val="left"/>
      <w:pPr>
        <w:ind w:left="502" w:hanging="36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518F1922"/>
    <w:multiLevelType w:val="hybridMultilevel"/>
    <w:tmpl w:val="9320C2B2"/>
    <w:lvl w:ilvl="0" w:tplc="7564F488">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52D763D"/>
    <w:multiLevelType w:val="hybridMultilevel"/>
    <w:tmpl w:val="9F3C3C84"/>
    <w:lvl w:ilvl="0" w:tplc="B6C65D0A">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7F80FAB"/>
    <w:multiLevelType w:val="hybridMultilevel"/>
    <w:tmpl w:val="8872ED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64DC1F12"/>
    <w:multiLevelType w:val="hybridMultilevel"/>
    <w:tmpl w:val="5CA6BDB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6D4C582A"/>
    <w:multiLevelType w:val="hybridMultilevel"/>
    <w:tmpl w:val="0BBC7468"/>
    <w:lvl w:ilvl="0" w:tplc="FD58CD42">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2130736763">
    <w:abstractNumId w:val="14"/>
  </w:num>
  <w:num w:numId="2" w16cid:durableId="2017884614">
    <w:abstractNumId w:val="0"/>
  </w:num>
  <w:num w:numId="3" w16cid:durableId="342825987">
    <w:abstractNumId w:val="6"/>
  </w:num>
  <w:num w:numId="4" w16cid:durableId="391579911">
    <w:abstractNumId w:val="10"/>
  </w:num>
  <w:num w:numId="5" w16cid:durableId="134570152">
    <w:abstractNumId w:val="5"/>
  </w:num>
  <w:num w:numId="6" w16cid:durableId="830364846">
    <w:abstractNumId w:val="7"/>
  </w:num>
  <w:num w:numId="7" w16cid:durableId="982273185">
    <w:abstractNumId w:val="9"/>
  </w:num>
  <w:num w:numId="8" w16cid:durableId="1304890036">
    <w:abstractNumId w:val="8"/>
  </w:num>
  <w:num w:numId="9" w16cid:durableId="1082869316">
    <w:abstractNumId w:val="2"/>
  </w:num>
  <w:num w:numId="10" w16cid:durableId="991560470">
    <w:abstractNumId w:val="4"/>
  </w:num>
  <w:num w:numId="11" w16cid:durableId="1043750487">
    <w:abstractNumId w:val="3"/>
  </w:num>
  <w:num w:numId="12" w16cid:durableId="1202674319">
    <w:abstractNumId w:val="1"/>
  </w:num>
  <w:num w:numId="13" w16cid:durableId="204801216">
    <w:abstractNumId w:val="15"/>
  </w:num>
  <w:num w:numId="14" w16cid:durableId="2008744498">
    <w:abstractNumId w:val="12"/>
  </w:num>
  <w:num w:numId="15" w16cid:durableId="279608495">
    <w:abstractNumId w:val="11"/>
  </w:num>
  <w:num w:numId="16" w16cid:durableId="1599020873">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AC2"/>
    <w:rsid w:val="000537D1"/>
    <w:rsid w:val="00094DD9"/>
    <w:rsid w:val="000966EF"/>
    <w:rsid w:val="00097048"/>
    <w:rsid w:val="000B4756"/>
    <w:rsid w:val="000E23DE"/>
    <w:rsid w:val="001053EF"/>
    <w:rsid w:val="001125FF"/>
    <w:rsid w:val="00162150"/>
    <w:rsid w:val="00170050"/>
    <w:rsid w:val="00175066"/>
    <w:rsid w:val="00176FFB"/>
    <w:rsid w:val="001820F7"/>
    <w:rsid w:val="00195A83"/>
    <w:rsid w:val="001D10E5"/>
    <w:rsid w:val="001D6F2B"/>
    <w:rsid w:val="001D7588"/>
    <w:rsid w:val="001F501D"/>
    <w:rsid w:val="00217E7F"/>
    <w:rsid w:val="00240448"/>
    <w:rsid w:val="00330AC4"/>
    <w:rsid w:val="00331FD8"/>
    <w:rsid w:val="003712EB"/>
    <w:rsid w:val="003B7846"/>
    <w:rsid w:val="003C2F67"/>
    <w:rsid w:val="003F7395"/>
    <w:rsid w:val="00411455"/>
    <w:rsid w:val="00425DB8"/>
    <w:rsid w:val="00442248"/>
    <w:rsid w:val="004449AB"/>
    <w:rsid w:val="00445504"/>
    <w:rsid w:val="0044731C"/>
    <w:rsid w:val="004866C0"/>
    <w:rsid w:val="00487B54"/>
    <w:rsid w:val="00490EAF"/>
    <w:rsid w:val="004F2B2E"/>
    <w:rsid w:val="00504D1A"/>
    <w:rsid w:val="0057278F"/>
    <w:rsid w:val="00622AA3"/>
    <w:rsid w:val="00622C25"/>
    <w:rsid w:val="006772AA"/>
    <w:rsid w:val="006B22F2"/>
    <w:rsid w:val="006C0704"/>
    <w:rsid w:val="006C518A"/>
    <w:rsid w:val="006C6302"/>
    <w:rsid w:val="00701971"/>
    <w:rsid w:val="007712BC"/>
    <w:rsid w:val="007A23F8"/>
    <w:rsid w:val="007C6A41"/>
    <w:rsid w:val="007E1FEC"/>
    <w:rsid w:val="00844149"/>
    <w:rsid w:val="00871656"/>
    <w:rsid w:val="00874AA4"/>
    <w:rsid w:val="008B5CCF"/>
    <w:rsid w:val="008C19BF"/>
    <w:rsid w:val="0091079A"/>
    <w:rsid w:val="009124E8"/>
    <w:rsid w:val="00920028"/>
    <w:rsid w:val="0092502C"/>
    <w:rsid w:val="0092558B"/>
    <w:rsid w:val="009729C8"/>
    <w:rsid w:val="009B3DBF"/>
    <w:rsid w:val="009C6488"/>
    <w:rsid w:val="00A15702"/>
    <w:rsid w:val="00A25C77"/>
    <w:rsid w:val="00A37AC4"/>
    <w:rsid w:val="00A556CC"/>
    <w:rsid w:val="00A81801"/>
    <w:rsid w:val="00A822E6"/>
    <w:rsid w:val="00A82656"/>
    <w:rsid w:val="00AA1F87"/>
    <w:rsid w:val="00AB442D"/>
    <w:rsid w:val="00B0285E"/>
    <w:rsid w:val="00B22B3C"/>
    <w:rsid w:val="00B56186"/>
    <w:rsid w:val="00BC54EC"/>
    <w:rsid w:val="00BD22FA"/>
    <w:rsid w:val="00C44EC0"/>
    <w:rsid w:val="00C65B3C"/>
    <w:rsid w:val="00C732FC"/>
    <w:rsid w:val="00CB7310"/>
    <w:rsid w:val="00CD43C8"/>
    <w:rsid w:val="00CE0AC2"/>
    <w:rsid w:val="00D046B4"/>
    <w:rsid w:val="00D202FD"/>
    <w:rsid w:val="00D25BCA"/>
    <w:rsid w:val="00D26B5F"/>
    <w:rsid w:val="00D86180"/>
    <w:rsid w:val="00DB6D63"/>
    <w:rsid w:val="00DF2493"/>
    <w:rsid w:val="00E15EF0"/>
    <w:rsid w:val="00E24769"/>
    <w:rsid w:val="00E50783"/>
    <w:rsid w:val="00E96298"/>
    <w:rsid w:val="00F07126"/>
    <w:rsid w:val="00F21D53"/>
    <w:rsid w:val="00F22600"/>
    <w:rsid w:val="00F30274"/>
    <w:rsid w:val="00F41043"/>
    <w:rsid w:val="00F51C06"/>
    <w:rsid w:val="00F552AA"/>
    <w:rsid w:val="00F716F2"/>
    <w:rsid w:val="00FD0218"/>
    <w:rsid w:val="00FF04A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75818CB"/>
  <w15:chartTrackingRefBased/>
  <w15:docId w15:val="{20913764-188C-47AA-8460-27D75251C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uiPriority="32"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DD9"/>
  </w:style>
  <w:style w:type="paragraph" w:styleId="Ttulo1">
    <w:name w:val="heading 1"/>
    <w:aliases w:val="«H1 Título»"/>
    <w:basedOn w:val="Normal"/>
    <w:next w:val="Normal"/>
    <w:link w:val="Ttulo1Char"/>
    <w:uiPriority w:val="99"/>
    <w:qFormat/>
    <w:rsid w:val="00CE0A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aliases w:val="«H2 Subtítulo»"/>
    <w:basedOn w:val="Normal"/>
    <w:next w:val="Normal"/>
    <w:link w:val="Ttulo2Char"/>
    <w:uiPriority w:val="99"/>
    <w:unhideWhenUsed/>
    <w:qFormat/>
    <w:rsid w:val="00CE0A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aliases w:val="«H3 Intertítulos»"/>
    <w:basedOn w:val="Normal"/>
    <w:next w:val="Normal"/>
    <w:link w:val="Ttulo3Char"/>
    <w:uiPriority w:val="99"/>
    <w:unhideWhenUsed/>
    <w:qFormat/>
    <w:rsid w:val="00CE0AC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aliases w:val="«H4 Intertítulo»"/>
    <w:basedOn w:val="Normal"/>
    <w:next w:val="Normal"/>
    <w:link w:val="Ttulo4Char"/>
    <w:uiPriority w:val="99"/>
    <w:unhideWhenUsed/>
    <w:qFormat/>
    <w:rsid w:val="00CE0AC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nhideWhenUsed/>
    <w:qFormat/>
    <w:rsid w:val="00CE0AC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nhideWhenUsed/>
    <w:qFormat/>
    <w:rsid w:val="00CE0AC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nhideWhenUsed/>
    <w:qFormat/>
    <w:rsid w:val="00CE0AC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nhideWhenUsed/>
    <w:qFormat/>
    <w:rsid w:val="00CE0AC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nhideWhenUsed/>
    <w:qFormat/>
    <w:rsid w:val="00CE0AC2"/>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H1 Título» Char"/>
    <w:basedOn w:val="Fontepargpadro"/>
    <w:link w:val="Ttulo1"/>
    <w:uiPriority w:val="99"/>
    <w:rsid w:val="00CE0AC2"/>
    <w:rPr>
      <w:rFonts w:asciiTheme="majorHAnsi" w:eastAsiaTheme="majorEastAsia" w:hAnsiTheme="majorHAnsi" w:cstheme="majorBidi"/>
      <w:color w:val="0F4761" w:themeColor="accent1" w:themeShade="BF"/>
      <w:sz w:val="40"/>
      <w:szCs w:val="40"/>
    </w:rPr>
  </w:style>
  <w:style w:type="character" w:customStyle="1" w:styleId="Ttulo2Char">
    <w:name w:val="Título 2 Char"/>
    <w:aliases w:val="«H2 Subtítulo» Char"/>
    <w:basedOn w:val="Fontepargpadro"/>
    <w:link w:val="Ttulo2"/>
    <w:uiPriority w:val="99"/>
    <w:rsid w:val="00CE0AC2"/>
    <w:rPr>
      <w:rFonts w:asciiTheme="majorHAnsi" w:eastAsiaTheme="majorEastAsia" w:hAnsiTheme="majorHAnsi" w:cstheme="majorBidi"/>
      <w:color w:val="0F4761" w:themeColor="accent1" w:themeShade="BF"/>
      <w:sz w:val="32"/>
      <w:szCs w:val="32"/>
    </w:rPr>
  </w:style>
  <w:style w:type="character" w:customStyle="1" w:styleId="Ttulo3Char">
    <w:name w:val="Título 3 Char"/>
    <w:aliases w:val="«H3 Intertítulos» Char"/>
    <w:basedOn w:val="Fontepargpadro"/>
    <w:link w:val="Ttulo3"/>
    <w:uiPriority w:val="99"/>
    <w:rsid w:val="00CE0AC2"/>
    <w:rPr>
      <w:rFonts w:eastAsiaTheme="majorEastAsia" w:cstheme="majorBidi"/>
      <w:color w:val="0F4761" w:themeColor="accent1" w:themeShade="BF"/>
      <w:sz w:val="28"/>
      <w:szCs w:val="28"/>
    </w:rPr>
  </w:style>
  <w:style w:type="character" w:customStyle="1" w:styleId="Ttulo4Char">
    <w:name w:val="Título 4 Char"/>
    <w:aliases w:val="«H4 Intertítulo» Char"/>
    <w:basedOn w:val="Fontepargpadro"/>
    <w:link w:val="Ttulo4"/>
    <w:uiPriority w:val="99"/>
    <w:rsid w:val="00CE0AC2"/>
    <w:rPr>
      <w:rFonts w:eastAsiaTheme="majorEastAsia" w:cstheme="majorBidi"/>
      <w:i/>
      <w:iCs/>
      <w:color w:val="0F4761" w:themeColor="accent1" w:themeShade="BF"/>
    </w:rPr>
  </w:style>
  <w:style w:type="character" w:customStyle="1" w:styleId="Ttulo5Char">
    <w:name w:val="Título 5 Char"/>
    <w:basedOn w:val="Fontepargpadro"/>
    <w:link w:val="Ttulo5"/>
    <w:uiPriority w:val="99"/>
    <w:rsid w:val="00CE0AC2"/>
    <w:rPr>
      <w:rFonts w:eastAsiaTheme="majorEastAsia" w:cstheme="majorBidi"/>
      <w:color w:val="0F4761" w:themeColor="accent1" w:themeShade="BF"/>
    </w:rPr>
  </w:style>
  <w:style w:type="character" w:customStyle="1" w:styleId="Ttulo6Char">
    <w:name w:val="Título 6 Char"/>
    <w:basedOn w:val="Fontepargpadro"/>
    <w:link w:val="Ttulo6"/>
    <w:rsid w:val="00CE0AC2"/>
    <w:rPr>
      <w:rFonts w:eastAsiaTheme="majorEastAsia" w:cstheme="majorBidi"/>
      <w:i/>
      <w:iCs/>
      <w:color w:val="595959" w:themeColor="text1" w:themeTint="A6"/>
    </w:rPr>
  </w:style>
  <w:style w:type="character" w:customStyle="1" w:styleId="Ttulo7Char">
    <w:name w:val="Título 7 Char"/>
    <w:basedOn w:val="Fontepargpadro"/>
    <w:link w:val="Ttulo7"/>
    <w:uiPriority w:val="99"/>
    <w:rsid w:val="00CE0AC2"/>
    <w:rPr>
      <w:rFonts w:eastAsiaTheme="majorEastAsia" w:cstheme="majorBidi"/>
      <w:color w:val="595959" w:themeColor="text1" w:themeTint="A6"/>
    </w:rPr>
  </w:style>
  <w:style w:type="character" w:customStyle="1" w:styleId="Ttulo8Char">
    <w:name w:val="Título 8 Char"/>
    <w:basedOn w:val="Fontepargpadro"/>
    <w:link w:val="Ttulo8"/>
    <w:uiPriority w:val="99"/>
    <w:rsid w:val="00CE0AC2"/>
    <w:rPr>
      <w:rFonts w:eastAsiaTheme="majorEastAsia" w:cstheme="majorBidi"/>
      <w:i/>
      <w:iCs/>
      <w:color w:val="272727" w:themeColor="text1" w:themeTint="D8"/>
    </w:rPr>
  </w:style>
  <w:style w:type="character" w:customStyle="1" w:styleId="Ttulo9Char">
    <w:name w:val="Título 9 Char"/>
    <w:basedOn w:val="Fontepargpadro"/>
    <w:link w:val="Ttulo9"/>
    <w:uiPriority w:val="99"/>
    <w:rsid w:val="00CE0AC2"/>
    <w:rPr>
      <w:rFonts w:eastAsiaTheme="majorEastAsia" w:cstheme="majorBidi"/>
      <w:color w:val="272727" w:themeColor="text1" w:themeTint="D8"/>
    </w:rPr>
  </w:style>
  <w:style w:type="paragraph" w:styleId="Ttulo">
    <w:name w:val="Title"/>
    <w:basedOn w:val="Normal"/>
    <w:next w:val="Normal"/>
    <w:link w:val="TtuloChar"/>
    <w:uiPriority w:val="10"/>
    <w:qFormat/>
    <w:rsid w:val="00CE0A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99"/>
    <w:rsid w:val="00CE0AC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qFormat/>
    <w:rsid w:val="00CE0AC2"/>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99"/>
    <w:rsid w:val="00CE0AC2"/>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99"/>
    <w:qFormat/>
    <w:rsid w:val="00CE0AC2"/>
    <w:pPr>
      <w:spacing w:before="160"/>
      <w:jc w:val="center"/>
    </w:pPr>
    <w:rPr>
      <w:i/>
      <w:iCs/>
      <w:color w:val="404040" w:themeColor="text1" w:themeTint="BF"/>
    </w:rPr>
  </w:style>
  <w:style w:type="character" w:customStyle="1" w:styleId="CitaoChar">
    <w:name w:val="Citação Char"/>
    <w:basedOn w:val="Fontepargpadro"/>
    <w:link w:val="Citao"/>
    <w:uiPriority w:val="99"/>
    <w:rsid w:val="00CE0AC2"/>
    <w:rPr>
      <w:i/>
      <w:iCs/>
      <w:color w:val="404040" w:themeColor="text1" w:themeTint="BF"/>
    </w:rPr>
  </w:style>
  <w:style w:type="paragraph" w:styleId="PargrafodaLista">
    <w:name w:val="List Paragraph"/>
    <w:basedOn w:val="Normal"/>
    <w:link w:val="PargrafodaListaChar"/>
    <w:uiPriority w:val="99"/>
    <w:qFormat/>
    <w:rsid w:val="00CE0AC2"/>
    <w:pPr>
      <w:ind w:left="720"/>
      <w:contextualSpacing/>
    </w:pPr>
  </w:style>
  <w:style w:type="character" w:styleId="nfaseIntensa">
    <w:name w:val="Intense Emphasis"/>
    <w:basedOn w:val="Fontepargpadro"/>
    <w:uiPriority w:val="99"/>
    <w:qFormat/>
    <w:rsid w:val="00CE0AC2"/>
    <w:rPr>
      <w:i/>
      <w:iCs/>
      <w:color w:val="0F4761" w:themeColor="accent1" w:themeShade="BF"/>
    </w:rPr>
  </w:style>
  <w:style w:type="paragraph" w:styleId="CitaoIntensa">
    <w:name w:val="Intense Quote"/>
    <w:basedOn w:val="Normal"/>
    <w:next w:val="Normal"/>
    <w:link w:val="CitaoIntensaChar"/>
    <w:uiPriority w:val="99"/>
    <w:qFormat/>
    <w:rsid w:val="00CE0A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99"/>
    <w:rsid w:val="00CE0AC2"/>
    <w:rPr>
      <w:i/>
      <w:iCs/>
      <w:color w:val="0F4761" w:themeColor="accent1" w:themeShade="BF"/>
    </w:rPr>
  </w:style>
  <w:style w:type="character" w:styleId="RefernciaIntensa">
    <w:name w:val="Intense Reference"/>
    <w:basedOn w:val="Fontepargpadro"/>
    <w:uiPriority w:val="32"/>
    <w:qFormat/>
    <w:rsid w:val="00CE0AC2"/>
    <w:rPr>
      <w:b/>
      <w:bCs/>
      <w:smallCaps/>
      <w:color w:val="0F4761" w:themeColor="accent1" w:themeShade="BF"/>
      <w:spacing w:val="5"/>
    </w:rPr>
  </w:style>
  <w:style w:type="table" w:styleId="Tabelacomgrade">
    <w:name w:val="Table Grid"/>
    <w:basedOn w:val="Tabelanormal"/>
    <w:uiPriority w:val="39"/>
    <w:rsid w:val="00F55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aliases w:val="even,EY Header"/>
    <w:basedOn w:val="Normal"/>
    <w:link w:val="CabealhoChar"/>
    <w:unhideWhenUsed/>
    <w:rsid w:val="00F552AA"/>
    <w:pPr>
      <w:tabs>
        <w:tab w:val="center" w:pos="4252"/>
        <w:tab w:val="right" w:pos="8504"/>
      </w:tabs>
      <w:spacing w:after="0" w:line="240" w:lineRule="auto"/>
    </w:pPr>
  </w:style>
  <w:style w:type="character" w:customStyle="1" w:styleId="CabealhoChar">
    <w:name w:val="Cabeçalho Char"/>
    <w:aliases w:val="even Char,EY Header Char"/>
    <w:basedOn w:val="Fontepargpadro"/>
    <w:link w:val="Cabealho"/>
    <w:rsid w:val="00F552AA"/>
  </w:style>
  <w:style w:type="paragraph" w:styleId="Rodap">
    <w:name w:val="footer"/>
    <w:basedOn w:val="Normal"/>
    <w:link w:val="RodapChar"/>
    <w:uiPriority w:val="99"/>
    <w:unhideWhenUsed/>
    <w:rsid w:val="00F552AA"/>
    <w:pPr>
      <w:tabs>
        <w:tab w:val="center" w:pos="4252"/>
        <w:tab w:val="right" w:pos="8504"/>
      </w:tabs>
      <w:spacing w:after="0" w:line="240" w:lineRule="auto"/>
    </w:pPr>
  </w:style>
  <w:style w:type="character" w:customStyle="1" w:styleId="RodapChar">
    <w:name w:val="Rodapé Char"/>
    <w:basedOn w:val="Fontepargpadro"/>
    <w:link w:val="Rodap"/>
    <w:uiPriority w:val="99"/>
    <w:rsid w:val="00F552AA"/>
  </w:style>
  <w:style w:type="paragraph" w:styleId="Legenda">
    <w:name w:val="caption"/>
    <w:basedOn w:val="Normal"/>
    <w:next w:val="Normal"/>
    <w:uiPriority w:val="99"/>
    <w:qFormat/>
    <w:rsid w:val="00A37AC4"/>
    <w:pPr>
      <w:tabs>
        <w:tab w:val="left" w:pos="851"/>
      </w:tabs>
      <w:spacing w:before="240" w:after="120" w:line="240" w:lineRule="auto"/>
      <w:ind w:left="1304" w:hanging="1304"/>
      <w:jc w:val="center"/>
    </w:pPr>
    <w:rPr>
      <w:rFonts w:eastAsia="Times New Roman" w:cs="Times New Roman"/>
      <w:bCs/>
      <w:color w:val="002060"/>
      <w:kern w:val="0"/>
      <w:sz w:val="16"/>
      <w:szCs w:val="24"/>
      <w14:ligatures w14:val="none"/>
    </w:rPr>
  </w:style>
  <w:style w:type="character" w:styleId="Nmerodepgina">
    <w:name w:val="page number"/>
    <w:basedOn w:val="Fontepargpadro"/>
    <w:rsid w:val="0092558B"/>
    <w:rPr>
      <w:rFonts w:cs="Times New Roman"/>
      <w:lang w:val="en-US"/>
    </w:rPr>
  </w:style>
  <w:style w:type="character" w:styleId="Hyperlink">
    <w:name w:val="Hyperlink"/>
    <w:basedOn w:val="Fontepargpadro"/>
    <w:uiPriority w:val="99"/>
    <w:unhideWhenUsed/>
    <w:rsid w:val="0057278F"/>
    <w:rPr>
      <w:color w:val="467886" w:themeColor="hyperlink"/>
      <w:u w:val="single"/>
    </w:rPr>
  </w:style>
  <w:style w:type="character" w:styleId="MenoPendente">
    <w:name w:val="Unresolved Mention"/>
    <w:basedOn w:val="Fontepargpadro"/>
    <w:uiPriority w:val="99"/>
    <w:semiHidden/>
    <w:unhideWhenUsed/>
    <w:rsid w:val="0057278F"/>
    <w:rPr>
      <w:color w:val="605E5C"/>
      <w:shd w:val="clear" w:color="auto" w:fill="E1DFDD"/>
    </w:rPr>
  </w:style>
  <w:style w:type="numbering" w:customStyle="1" w:styleId="Semlista1">
    <w:name w:val="Sem lista1"/>
    <w:next w:val="Semlista"/>
    <w:uiPriority w:val="99"/>
    <w:semiHidden/>
    <w:unhideWhenUsed/>
    <w:rsid w:val="00F41043"/>
  </w:style>
  <w:style w:type="paragraph" w:styleId="Corpodetexto">
    <w:name w:val="Body Text"/>
    <w:basedOn w:val="Normal"/>
    <w:link w:val="CorpodetextoChar"/>
    <w:uiPriority w:val="99"/>
    <w:rsid w:val="00F41043"/>
    <w:pPr>
      <w:keepLines/>
      <w:tabs>
        <w:tab w:val="left" w:pos="851"/>
      </w:tabs>
      <w:spacing w:before="120" w:after="120" w:line="240" w:lineRule="auto"/>
      <w:jc w:val="both"/>
    </w:pPr>
    <w:rPr>
      <w:rFonts w:ascii="Times New Roman" w:eastAsia="Times New Roman" w:hAnsi="Times New Roman" w:cs="Times New Roman"/>
      <w:kern w:val="0"/>
      <w:lang w:eastAsia="pt-BR"/>
      <w14:ligatures w14:val="none"/>
    </w:rPr>
  </w:style>
  <w:style w:type="character" w:customStyle="1" w:styleId="CorpodetextoChar">
    <w:name w:val="Corpo de texto Char"/>
    <w:basedOn w:val="Fontepargpadro"/>
    <w:link w:val="Corpodetexto"/>
    <w:uiPriority w:val="99"/>
    <w:rsid w:val="00F41043"/>
    <w:rPr>
      <w:rFonts w:ascii="Times New Roman" w:eastAsia="Times New Roman" w:hAnsi="Times New Roman" w:cs="Times New Roman"/>
      <w:kern w:val="0"/>
      <w:lang w:eastAsia="pt-BR"/>
      <w14:ligatures w14:val="none"/>
    </w:rPr>
  </w:style>
  <w:style w:type="paragraph" w:customStyle="1" w:styleId="CG-DblSp">
    <w:name w:val="CG-Dbl Sp"/>
    <w:aliases w:val="d1"/>
    <w:basedOn w:val="Normal"/>
    <w:uiPriority w:val="99"/>
    <w:rsid w:val="00F41043"/>
    <w:pPr>
      <w:tabs>
        <w:tab w:val="left" w:pos="340"/>
      </w:tabs>
      <w:spacing w:before="120" w:after="120" w:line="240" w:lineRule="auto"/>
    </w:pPr>
    <w:rPr>
      <w:rFonts w:ascii="Times New Roman" w:eastAsia="Times New Roman" w:hAnsi="Times New Roman" w:cs="Times New Roman"/>
      <w:kern w:val="0"/>
      <w:lang w:eastAsia="pt-BR"/>
      <w14:ligatures w14:val="none"/>
    </w:rPr>
  </w:style>
  <w:style w:type="character" w:customStyle="1" w:styleId="iManageFooter">
    <w:name w:val="iManage Footer"/>
    <w:basedOn w:val="Fontepargpadro"/>
    <w:uiPriority w:val="99"/>
    <w:rsid w:val="00F41043"/>
    <w:rPr>
      <w:rFonts w:cs="Times New Roman"/>
      <w:sz w:val="16"/>
      <w:szCs w:val="16"/>
      <w:lang w:val="en-US"/>
    </w:rPr>
  </w:style>
  <w:style w:type="character" w:customStyle="1" w:styleId="FooterRightSideText">
    <w:name w:val="FooterRightSideText"/>
    <w:basedOn w:val="Fontepargpadro"/>
    <w:uiPriority w:val="99"/>
    <w:rsid w:val="00F41043"/>
    <w:rPr>
      <w:rFonts w:cs="Times New Roman"/>
      <w:lang w:val="en-US"/>
    </w:rPr>
  </w:style>
  <w:style w:type="paragraph" w:customStyle="1" w:styleId="centerheadbold">
    <w:name w:val="center head bold"/>
    <w:basedOn w:val="Normal"/>
    <w:uiPriority w:val="99"/>
    <w:rsid w:val="00F41043"/>
    <w:pPr>
      <w:keepNext/>
      <w:widowControl w:val="0"/>
      <w:spacing w:after="240" w:line="240" w:lineRule="auto"/>
      <w:jc w:val="center"/>
    </w:pPr>
    <w:rPr>
      <w:rFonts w:ascii="Times New Roman" w:eastAsia="Times New Roman" w:hAnsi="Times New Roman" w:cs="Times New Roman"/>
      <w:b/>
      <w:bCs/>
      <w:kern w:val="0"/>
      <w:lang w:eastAsia="pt-BR"/>
      <w14:ligatures w14:val="none"/>
    </w:rPr>
  </w:style>
  <w:style w:type="paragraph" w:styleId="Textodecomentrio">
    <w:name w:val="annotation text"/>
    <w:basedOn w:val="Normal"/>
    <w:link w:val="TextodecomentrioChar"/>
    <w:uiPriority w:val="99"/>
    <w:semiHidden/>
    <w:rsid w:val="00F41043"/>
    <w:pPr>
      <w:spacing w:after="0" w:line="240" w:lineRule="auto"/>
    </w:pPr>
    <w:rPr>
      <w:rFonts w:ascii="Times New Roman" w:eastAsia="Times New Roman" w:hAnsi="Times New Roman" w:cs="Times New Roman"/>
      <w:kern w:val="0"/>
      <w:sz w:val="20"/>
      <w:szCs w:val="20"/>
      <w:lang w:eastAsia="pt-BR"/>
      <w14:ligatures w14:val="none"/>
    </w:rPr>
  </w:style>
  <w:style w:type="character" w:customStyle="1" w:styleId="TextodecomentrioChar">
    <w:name w:val="Texto de comentário Char"/>
    <w:basedOn w:val="Fontepargpadro"/>
    <w:link w:val="Textodecomentrio"/>
    <w:uiPriority w:val="99"/>
    <w:semiHidden/>
    <w:rsid w:val="00F41043"/>
    <w:rPr>
      <w:rFonts w:ascii="Times New Roman" w:eastAsia="Times New Roman" w:hAnsi="Times New Roman" w:cs="Times New Roman"/>
      <w:kern w:val="0"/>
      <w:sz w:val="20"/>
      <w:szCs w:val="20"/>
      <w:lang w:eastAsia="pt-BR"/>
      <w14:ligatures w14:val="none"/>
    </w:rPr>
  </w:style>
  <w:style w:type="table" w:customStyle="1" w:styleId="Tabelacomgrade1">
    <w:name w:val="Tabela com grade1"/>
    <w:basedOn w:val="Tabelanormal"/>
    <w:next w:val="Tabelacomgrade"/>
    <w:rsid w:val="00F41043"/>
    <w:pPr>
      <w:spacing w:after="0" w:line="240" w:lineRule="auto"/>
    </w:pPr>
    <w:rPr>
      <w:rFonts w:ascii="Times New Roman" w:eastAsia="Times New Roman" w:hAnsi="Times New Roman" w:cs="Times New Roman"/>
      <w:kern w:val="0"/>
      <w:sz w:val="20"/>
      <w:szCs w:val="2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9-ENDEREOCarta">
    <w:name w:val="09 - «ENDEREÇO» Carta"/>
    <w:basedOn w:val="Normal"/>
    <w:uiPriority w:val="99"/>
    <w:rsid w:val="00F41043"/>
    <w:pPr>
      <w:spacing w:after="0" w:line="260" w:lineRule="atLeast"/>
    </w:pPr>
    <w:rPr>
      <w:rFonts w:ascii="Times New Roman" w:eastAsia="Times New Roman" w:hAnsi="Times New Roman" w:cs="Times New Roman"/>
      <w:kern w:val="0"/>
      <w14:ligatures w14:val="none"/>
    </w:rPr>
  </w:style>
  <w:style w:type="paragraph" w:customStyle="1" w:styleId="17TEXTOcorpojustificado">
    <w:name w:val="17. «TEXTO» corpo justificado"/>
    <w:basedOn w:val="Normal"/>
    <w:uiPriority w:val="99"/>
    <w:rsid w:val="00F41043"/>
    <w:pPr>
      <w:spacing w:after="0" w:line="260" w:lineRule="atLeast"/>
      <w:jc w:val="both"/>
    </w:pPr>
    <w:rPr>
      <w:rFonts w:ascii="Times" w:eastAsia="Times New Roman" w:hAnsi="Times" w:cs="Times"/>
      <w:kern w:val="0"/>
      <w:lang w:eastAsia="pt-BR"/>
      <w14:ligatures w14:val="none"/>
    </w:rPr>
  </w:style>
  <w:style w:type="paragraph" w:customStyle="1" w:styleId="CG-Title-Left-Bold">
    <w:name w:val="CG-Title-Left-Bold"/>
    <w:aliases w:val="t3"/>
    <w:basedOn w:val="Normal"/>
    <w:next w:val="CG-SingleSp1"/>
    <w:uiPriority w:val="99"/>
    <w:rsid w:val="00F41043"/>
    <w:pPr>
      <w:keepNext/>
      <w:spacing w:after="120" w:line="240" w:lineRule="auto"/>
    </w:pPr>
    <w:rPr>
      <w:rFonts w:ascii="Times New Roman" w:eastAsia="Times New Roman" w:hAnsi="Times New Roman" w:cs="Times New Roman"/>
      <w:b/>
      <w:bCs/>
      <w:kern w:val="0"/>
      <w:lang w:eastAsia="pt-BR"/>
      <w14:ligatures w14:val="none"/>
    </w:rPr>
  </w:style>
  <w:style w:type="paragraph" w:customStyle="1" w:styleId="CG-SingleSp1">
    <w:name w:val="CG-Single Sp 1"/>
    <w:aliases w:val="s3"/>
    <w:basedOn w:val="Normal"/>
    <w:uiPriority w:val="99"/>
    <w:rsid w:val="00F41043"/>
    <w:pPr>
      <w:spacing w:after="240" w:line="240" w:lineRule="auto"/>
      <w:ind w:firstLine="1440"/>
    </w:pPr>
    <w:rPr>
      <w:rFonts w:ascii="Times New Roman" w:eastAsia="Times New Roman" w:hAnsi="Times New Roman" w:cs="Times New Roman"/>
      <w:kern w:val="0"/>
      <w:sz w:val="20"/>
      <w:szCs w:val="20"/>
      <w:lang w:eastAsia="pt-BR"/>
      <w14:ligatures w14:val="none"/>
    </w:rPr>
  </w:style>
  <w:style w:type="paragraph" w:customStyle="1" w:styleId="CG-Bullet">
    <w:name w:val="CG-Bullet"/>
    <w:aliases w:val="b1"/>
    <w:basedOn w:val="Normal"/>
    <w:uiPriority w:val="99"/>
    <w:rsid w:val="00F41043"/>
    <w:pPr>
      <w:tabs>
        <w:tab w:val="num" w:pos="360"/>
      </w:tabs>
      <w:spacing w:after="0" w:line="240" w:lineRule="auto"/>
      <w:ind w:left="360" w:hanging="360"/>
    </w:pPr>
    <w:rPr>
      <w:rFonts w:ascii="Times New Roman" w:eastAsia="Times New Roman" w:hAnsi="Times New Roman" w:cs="Times New Roman"/>
      <w:kern w:val="0"/>
      <w:sz w:val="20"/>
      <w:szCs w:val="20"/>
      <w:lang w:eastAsia="pt-BR"/>
      <w14:ligatures w14:val="none"/>
    </w:rPr>
  </w:style>
  <w:style w:type="paragraph" w:styleId="Corpodetexto2">
    <w:name w:val="Body Text 2"/>
    <w:basedOn w:val="Normal"/>
    <w:link w:val="Corpodetexto2Char"/>
    <w:uiPriority w:val="99"/>
    <w:rsid w:val="00F41043"/>
    <w:pPr>
      <w:spacing w:before="120" w:after="120" w:line="480" w:lineRule="auto"/>
    </w:pPr>
    <w:rPr>
      <w:rFonts w:ascii="Times New Roman" w:eastAsia="Times New Roman" w:hAnsi="Times New Roman" w:cs="Times New Roman"/>
      <w:kern w:val="0"/>
      <w:sz w:val="20"/>
      <w:szCs w:val="20"/>
      <w:lang w:eastAsia="pt-BR"/>
      <w14:ligatures w14:val="none"/>
    </w:rPr>
  </w:style>
  <w:style w:type="character" w:customStyle="1" w:styleId="Corpodetexto2Char">
    <w:name w:val="Corpo de texto 2 Char"/>
    <w:basedOn w:val="Fontepargpadro"/>
    <w:link w:val="Corpodetexto2"/>
    <w:uiPriority w:val="99"/>
    <w:rsid w:val="00F41043"/>
    <w:rPr>
      <w:rFonts w:ascii="Times New Roman" w:eastAsia="Times New Roman" w:hAnsi="Times New Roman" w:cs="Times New Roman"/>
      <w:kern w:val="0"/>
      <w:sz w:val="20"/>
      <w:szCs w:val="20"/>
      <w:lang w:eastAsia="pt-BR"/>
      <w14:ligatures w14:val="none"/>
    </w:rPr>
  </w:style>
  <w:style w:type="paragraph" w:styleId="Corpodetexto3">
    <w:name w:val="Body Text 3"/>
    <w:basedOn w:val="Normal"/>
    <w:link w:val="Corpodetexto3Char"/>
    <w:uiPriority w:val="99"/>
    <w:rsid w:val="00F41043"/>
    <w:pPr>
      <w:spacing w:after="120" w:line="240" w:lineRule="auto"/>
    </w:pPr>
    <w:rPr>
      <w:rFonts w:ascii="Times New Roman" w:eastAsia="Times New Roman" w:hAnsi="Times New Roman" w:cs="Times New Roman"/>
      <w:kern w:val="0"/>
      <w:sz w:val="16"/>
      <w:szCs w:val="16"/>
      <w:lang w:eastAsia="pt-BR"/>
      <w14:ligatures w14:val="none"/>
    </w:rPr>
  </w:style>
  <w:style w:type="character" w:customStyle="1" w:styleId="Corpodetexto3Char">
    <w:name w:val="Corpo de texto 3 Char"/>
    <w:basedOn w:val="Fontepargpadro"/>
    <w:link w:val="Corpodetexto3"/>
    <w:uiPriority w:val="99"/>
    <w:rsid w:val="00F41043"/>
    <w:rPr>
      <w:rFonts w:ascii="Times New Roman" w:eastAsia="Times New Roman" w:hAnsi="Times New Roman" w:cs="Times New Roman"/>
      <w:kern w:val="0"/>
      <w:sz w:val="16"/>
      <w:szCs w:val="16"/>
      <w:lang w:eastAsia="pt-BR"/>
      <w14:ligatures w14:val="none"/>
    </w:rPr>
  </w:style>
  <w:style w:type="paragraph" w:customStyle="1" w:styleId="16FOOTERrodap">
    <w:name w:val="16. «FOOTER» rodapé"/>
    <w:basedOn w:val="Normal"/>
    <w:uiPriority w:val="99"/>
    <w:rsid w:val="00F41043"/>
    <w:pPr>
      <w:tabs>
        <w:tab w:val="center" w:pos="4320"/>
      </w:tabs>
      <w:spacing w:before="260" w:after="0" w:line="240" w:lineRule="auto"/>
      <w:jc w:val="center"/>
    </w:pPr>
    <w:rPr>
      <w:rFonts w:ascii="Times" w:eastAsia="Times New Roman" w:hAnsi="Times" w:cs="Times"/>
      <w:kern w:val="0"/>
      <w:lang w:eastAsia="pt-BR"/>
      <w14:ligatures w14:val="none"/>
    </w:rPr>
  </w:style>
  <w:style w:type="paragraph" w:customStyle="1" w:styleId="CG-Title-Left-Underscore">
    <w:name w:val="CG-Title-Left-Underscore"/>
    <w:aliases w:val="t4"/>
    <w:basedOn w:val="Normal"/>
    <w:next w:val="Normal"/>
    <w:uiPriority w:val="99"/>
    <w:rsid w:val="00F41043"/>
    <w:pPr>
      <w:keepNext/>
      <w:spacing w:after="240" w:line="240" w:lineRule="auto"/>
    </w:pPr>
    <w:rPr>
      <w:rFonts w:ascii="Times New Roman" w:eastAsia="Times New Roman" w:hAnsi="Times New Roman" w:cs="Times New Roman"/>
      <w:kern w:val="0"/>
      <w:sz w:val="20"/>
      <w:szCs w:val="20"/>
      <w:u w:val="single"/>
      <w:lang w:eastAsia="pt-BR"/>
      <w14:ligatures w14:val="none"/>
    </w:rPr>
  </w:style>
  <w:style w:type="paragraph" w:customStyle="1" w:styleId="rulecutoff">
    <w:name w:val="rulecutoff"/>
    <w:basedOn w:val="Normal"/>
    <w:uiPriority w:val="99"/>
    <w:rsid w:val="00F41043"/>
    <w:pPr>
      <w:tabs>
        <w:tab w:val="left" w:leader="underscore" w:pos="1440"/>
      </w:tabs>
      <w:spacing w:after="180" w:line="240" w:lineRule="auto"/>
      <w:jc w:val="center"/>
    </w:pPr>
    <w:rPr>
      <w:rFonts w:ascii="Times New Roman" w:eastAsia="Times New Roman" w:hAnsi="Times New Roman" w:cs="Times New Roman"/>
      <w:kern w:val="0"/>
      <w:sz w:val="20"/>
      <w:szCs w:val="20"/>
      <w:lang w:eastAsia="pt-BR"/>
      <w14:ligatures w14:val="none"/>
    </w:rPr>
  </w:style>
  <w:style w:type="paragraph" w:customStyle="1" w:styleId="SingleSpace">
    <w:name w:val="SingleSpace"/>
    <w:basedOn w:val="Normal"/>
    <w:uiPriority w:val="99"/>
    <w:rsid w:val="00F41043"/>
    <w:pPr>
      <w:spacing w:after="240" w:line="240" w:lineRule="auto"/>
      <w:ind w:firstLine="720"/>
      <w:jc w:val="both"/>
    </w:pPr>
    <w:rPr>
      <w:rFonts w:ascii="Times New Roman" w:eastAsia="Times New Roman" w:hAnsi="Times New Roman" w:cs="Times New Roman"/>
      <w:kern w:val="0"/>
      <w:lang w:eastAsia="pt-BR"/>
      <w14:ligatures w14:val="none"/>
    </w:rPr>
  </w:style>
  <w:style w:type="paragraph" w:customStyle="1" w:styleId="Leftheading">
    <w:name w:val="Left heading"/>
    <w:basedOn w:val="Normal"/>
    <w:uiPriority w:val="99"/>
    <w:rsid w:val="00F41043"/>
    <w:pPr>
      <w:keepNext/>
      <w:widowControl w:val="0"/>
      <w:tabs>
        <w:tab w:val="left" w:pos="900"/>
      </w:tabs>
      <w:spacing w:after="120" w:line="240" w:lineRule="auto"/>
    </w:pPr>
    <w:rPr>
      <w:rFonts w:ascii="Times New Roman" w:eastAsia="Times New Roman" w:hAnsi="Times New Roman" w:cs="Times New Roman"/>
      <w:b/>
      <w:bCs/>
      <w:kern w:val="0"/>
      <w:lang w:eastAsia="pt-BR"/>
      <w14:ligatures w14:val="none"/>
    </w:rPr>
  </w:style>
  <w:style w:type="character" w:customStyle="1" w:styleId="Estilo11pt">
    <w:name w:val="Estilo 11 pt"/>
    <w:basedOn w:val="Fontepargpadro"/>
    <w:uiPriority w:val="99"/>
    <w:rsid w:val="00F41043"/>
    <w:rPr>
      <w:rFonts w:cs="Times New Roman"/>
      <w:sz w:val="24"/>
      <w:szCs w:val="24"/>
    </w:rPr>
  </w:style>
  <w:style w:type="paragraph" w:customStyle="1" w:styleId="EstiloCorpodetextoAntes0ptDepoisde0pt">
    <w:name w:val="Estilo Corpo de texto + Antes:  0 pt Depois de:  0 pt"/>
    <w:basedOn w:val="Corpodetexto"/>
    <w:uiPriority w:val="99"/>
    <w:rsid w:val="00F41043"/>
    <w:pPr>
      <w:spacing w:before="0" w:after="0"/>
    </w:pPr>
    <w:rPr>
      <w:sz w:val="24"/>
      <w:szCs w:val="24"/>
    </w:rPr>
  </w:style>
  <w:style w:type="paragraph" w:styleId="Textodebalo">
    <w:name w:val="Balloon Text"/>
    <w:basedOn w:val="Normal"/>
    <w:link w:val="TextodebaloChar"/>
    <w:uiPriority w:val="99"/>
    <w:rsid w:val="00F41043"/>
    <w:pPr>
      <w:spacing w:after="0" w:line="240" w:lineRule="auto"/>
    </w:pPr>
    <w:rPr>
      <w:rFonts w:ascii="Tahoma" w:eastAsia="Times New Roman" w:hAnsi="Tahoma" w:cs="Tahoma"/>
      <w:kern w:val="0"/>
      <w:sz w:val="16"/>
      <w:szCs w:val="16"/>
      <w:lang w:eastAsia="pt-BR"/>
      <w14:ligatures w14:val="none"/>
    </w:rPr>
  </w:style>
  <w:style w:type="character" w:customStyle="1" w:styleId="TextodebaloChar">
    <w:name w:val="Texto de balão Char"/>
    <w:basedOn w:val="Fontepargpadro"/>
    <w:link w:val="Textodebalo"/>
    <w:uiPriority w:val="99"/>
    <w:rsid w:val="00F41043"/>
    <w:rPr>
      <w:rFonts w:ascii="Tahoma" w:eastAsia="Times New Roman" w:hAnsi="Tahoma" w:cs="Tahoma"/>
      <w:kern w:val="0"/>
      <w:sz w:val="16"/>
      <w:szCs w:val="16"/>
      <w:lang w:eastAsia="pt-BR"/>
      <w14:ligatures w14:val="none"/>
    </w:rPr>
  </w:style>
  <w:style w:type="paragraph" w:customStyle="1" w:styleId="Default">
    <w:name w:val="Default"/>
    <w:rsid w:val="00F41043"/>
    <w:pPr>
      <w:autoSpaceDE w:val="0"/>
      <w:autoSpaceDN w:val="0"/>
      <w:adjustRightInd w:val="0"/>
      <w:spacing w:after="0" w:line="240" w:lineRule="auto"/>
    </w:pPr>
    <w:rPr>
      <w:rFonts w:ascii="Arial" w:eastAsia="Times New Roman" w:hAnsi="Arial" w:cs="Arial"/>
      <w:color w:val="000000"/>
      <w:kern w:val="0"/>
      <w:sz w:val="24"/>
      <w:szCs w:val="24"/>
      <w:lang w:eastAsia="pt-BR"/>
      <w14:ligatures w14:val="none"/>
    </w:rPr>
  </w:style>
  <w:style w:type="paragraph" w:customStyle="1" w:styleId="PargrafodaLista1">
    <w:name w:val="Parágrafo da Lista1"/>
    <w:basedOn w:val="Normal"/>
    <w:uiPriority w:val="99"/>
    <w:rsid w:val="00F41043"/>
    <w:pPr>
      <w:spacing w:after="0" w:line="240" w:lineRule="auto"/>
      <w:ind w:left="708"/>
    </w:pPr>
    <w:rPr>
      <w:rFonts w:ascii="Times New Roman" w:eastAsia="Times New Roman" w:hAnsi="Times New Roman" w:cs="Times New Roman"/>
      <w:kern w:val="0"/>
      <w:sz w:val="20"/>
      <w:szCs w:val="20"/>
      <w:lang w:eastAsia="pt-BR"/>
      <w14:ligatures w14:val="none"/>
    </w:rPr>
  </w:style>
  <w:style w:type="paragraph" w:customStyle="1" w:styleId="Normal1">
    <w:name w:val="Normal 1"/>
    <w:basedOn w:val="Normal"/>
    <w:uiPriority w:val="99"/>
    <w:rsid w:val="00F41043"/>
    <w:pPr>
      <w:spacing w:after="240" w:line="280" w:lineRule="atLeast"/>
      <w:ind w:left="454"/>
      <w:jc w:val="both"/>
    </w:pPr>
    <w:rPr>
      <w:rFonts w:ascii="Times New Roman" w:eastAsia="Times New Roman" w:hAnsi="Times New Roman" w:cs="Times New Roman"/>
      <w:kern w:val="0"/>
      <w:sz w:val="24"/>
      <w:szCs w:val="24"/>
      <w:lang w:val="en-US"/>
      <w14:ligatures w14:val="none"/>
    </w:rPr>
  </w:style>
  <w:style w:type="paragraph" w:styleId="Recuodecorpodetexto">
    <w:name w:val="Body Text Indent"/>
    <w:basedOn w:val="Normal"/>
    <w:link w:val="RecuodecorpodetextoChar"/>
    <w:uiPriority w:val="99"/>
    <w:rsid w:val="00F41043"/>
    <w:pPr>
      <w:spacing w:after="120" w:line="240" w:lineRule="auto"/>
      <w:ind w:left="283"/>
    </w:pPr>
    <w:rPr>
      <w:rFonts w:ascii="Times New Roman" w:eastAsia="Times New Roman" w:hAnsi="Times New Roman" w:cs="Times New Roman"/>
      <w:kern w:val="0"/>
      <w:sz w:val="20"/>
      <w:szCs w:val="20"/>
      <w:lang w:eastAsia="pt-BR"/>
      <w14:ligatures w14:val="none"/>
    </w:rPr>
  </w:style>
  <w:style w:type="character" w:customStyle="1" w:styleId="RecuodecorpodetextoChar">
    <w:name w:val="Recuo de corpo de texto Char"/>
    <w:basedOn w:val="Fontepargpadro"/>
    <w:link w:val="Recuodecorpodetexto"/>
    <w:uiPriority w:val="99"/>
    <w:rsid w:val="00F41043"/>
    <w:rPr>
      <w:rFonts w:ascii="Times New Roman" w:eastAsia="Times New Roman" w:hAnsi="Times New Roman" w:cs="Times New Roman"/>
      <w:kern w:val="0"/>
      <w:sz w:val="20"/>
      <w:szCs w:val="20"/>
      <w:lang w:eastAsia="pt-BR"/>
      <w14:ligatures w14:val="none"/>
    </w:rPr>
  </w:style>
  <w:style w:type="paragraph" w:styleId="Recuodecorpodetexto3">
    <w:name w:val="Body Text Indent 3"/>
    <w:basedOn w:val="Normal"/>
    <w:link w:val="Recuodecorpodetexto3Char"/>
    <w:uiPriority w:val="99"/>
    <w:rsid w:val="00F41043"/>
    <w:pPr>
      <w:spacing w:after="120" w:line="240" w:lineRule="auto"/>
      <w:ind w:left="283"/>
    </w:pPr>
    <w:rPr>
      <w:rFonts w:ascii="Times New Roman" w:eastAsia="Times New Roman" w:hAnsi="Times New Roman" w:cs="Times New Roman"/>
      <w:kern w:val="0"/>
      <w:sz w:val="16"/>
      <w:szCs w:val="16"/>
      <w:lang w:eastAsia="pt-BR"/>
      <w14:ligatures w14:val="none"/>
    </w:rPr>
  </w:style>
  <w:style w:type="character" w:customStyle="1" w:styleId="Recuodecorpodetexto3Char">
    <w:name w:val="Recuo de corpo de texto 3 Char"/>
    <w:basedOn w:val="Fontepargpadro"/>
    <w:link w:val="Recuodecorpodetexto3"/>
    <w:uiPriority w:val="99"/>
    <w:rsid w:val="00F41043"/>
    <w:rPr>
      <w:rFonts w:ascii="Times New Roman" w:eastAsia="Times New Roman" w:hAnsi="Times New Roman" w:cs="Times New Roman"/>
      <w:kern w:val="0"/>
      <w:sz w:val="16"/>
      <w:szCs w:val="16"/>
      <w:lang w:eastAsia="pt-BR"/>
      <w14:ligatures w14:val="none"/>
    </w:rPr>
  </w:style>
  <w:style w:type="paragraph" w:customStyle="1" w:styleId="Contedodetabela">
    <w:name w:val="Conteúdo de tabela"/>
    <w:basedOn w:val="Normal"/>
    <w:uiPriority w:val="99"/>
    <w:rsid w:val="00F41043"/>
    <w:pPr>
      <w:suppressLineNumbers/>
      <w:suppressAutoHyphens/>
      <w:spacing w:after="0" w:line="240" w:lineRule="auto"/>
    </w:pPr>
    <w:rPr>
      <w:rFonts w:ascii="Times New Roman" w:eastAsia="Times New Roman" w:hAnsi="Times New Roman" w:cs="Calibri"/>
      <w:kern w:val="0"/>
      <w:sz w:val="20"/>
      <w:szCs w:val="20"/>
      <w:lang w:eastAsia="ar-SA"/>
      <w14:ligatures w14:val="none"/>
    </w:rPr>
  </w:style>
  <w:style w:type="character" w:customStyle="1" w:styleId="H3InterttulosCharChar">
    <w:name w:val="«H3 Intertítulos» Char Char"/>
    <w:basedOn w:val="Fontepargpadro"/>
    <w:uiPriority w:val="99"/>
    <w:rsid w:val="00F41043"/>
    <w:rPr>
      <w:rFonts w:ascii="Arial" w:hAnsi="Arial" w:cs="Arial"/>
      <w:sz w:val="20"/>
      <w:szCs w:val="20"/>
    </w:rPr>
  </w:style>
  <w:style w:type="character" w:customStyle="1" w:styleId="Ttulo3Char1">
    <w:name w:val="Título 3 Char1"/>
    <w:basedOn w:val="Fontepargpadro"/>
    <w:uiPriority w:val="99"/>
    <w:locked/>
    <w:rsid w:val="00F41043"/>
    <w:rPr>
      <w:rFonts w:ascii="Arial" w:hAnsi="Arial" w:cs="Calibri"/>
      <w:bCs/>
      <w:sz w:val="24"/>
      <w:lang w:eastAsia="ar-SA" w:bidi="ar-SA"/>
    </w:rPr>
  </w:style>
  <w:style w:type="paragraph" w:customStyle="1" w:styleId="CorpodetextoLatimArial">
    <w:name w:val="Corpo de texto + (Latim) Arial"/>
    <w:aliases w:val="10 pt,Justificado,Primeira linha:  2,5 cm,..."/>
    <w:basedOn w:val="Corpodetexto"/>
    <w:uiPriority w:val="99"/>
    <w:rsid w:val="00F41043"/>
    <w:pPr>
      <w:keepLines w:val="0"/>
      <w:tabs>
        <w:tab w:val="clear" w:pos="851"/>
      </w:tabs>
      <w:suppressAutoHyphens/>
      <w:spacing w:before="0" w:after="0"/>
      <w:ind w:firstLine="1418"/>
    </w:pPr>
    <w:rPr>
      <w:rFonts w:ascii="Arial" w:hAnsi="Arial" w:cs="Arial"/>
      <w:sz w:val="20"/>
      <w:szCs w:val="20"/>
      <w:lang w:eastAsia="ar-SA"/>
    </w:rPr>
  </w:style>
  <w:style w:type="paragraph" w:customStyle="1" w:styleId="Standard">
    <w:name w:val="Standard"/>
    <w:uiPriority w:val="99"/>
    <w:rsid w:val="00F41043"/>
    <w:pPr>
      <w:widowControl w:val="0"/>
      <w:tabs>
        <w:tab w:val="left" w:pos="709"/>
      </w:tabs>
      <w:suppressAutoHyphens/>
      <w:spacing w:after="0" w:line="240" w:lineRule="auto"/>
    </w:pPr>
    <w:rPr>
      <w:rFonts w:ascii="Times New Roman" w:eastAsia="SimSun" w:hAnsi="Times New Roman" w:cs="Tahoma"/>
      <w:color w:val="00000A"/>
      <w:kern w:val="0"/>
      <w:sz w:val="24"/>
      <w:szCs w:val="24"/>
      <w:lang w:eastAsia="hi-IN" w:bidi="hi-IN"/>
      <w14:ligatures w14:val="none"/>
    </w:rPr>
  </w:style>
  <w:style w:type="paragraph" w:customStyle="1" w:styleId="estilocorpodetextoantes0ptdepoisde0pt0">
    <w:name w:val="estilocorpodetextoantes0ptdepoisde0pt"/>
    <w:basedOn w:val="Normal"/>
    <w:uiPriority w:val="99"/>
    <w:rsid w:val="00F41043"/>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padro">
    <w:name w:val="padro"/>
    <w:basedOn w:val="Normal"/>
    <w:uiPriority w:val="99"/>
    <w:rsid w:val="00F41043"/>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singlespace0">
    <w:name w:val="singlespace"/>
    <w:basedOn w:val="Normal"/>
    <w:uiPriority w:val="99"/>
    <w:rsid w:val="00F41043"/>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object">
    <w:name w:val="object"/>
    <w:basedOn w:val="Fontepargpadro"/>
    <w:rsid w:val="00F41043"/>
    <w:rPr>
      <w:rFonts w:cs="Times New Roman"/>
    </w:rPr>
  </w:style>
  <w:style w:type="character" w:styleId="Forte">
    <w:name w:val="Strong"/>
    <w:basedOn w:val="Fontepargpadro"/>
    <w:uiPriority w:val="22"/>
    <w:qFormat/>
    <w:rsid w:val="00F41043"/>
    <w:rPr>
      <w:rFonts w:cs="Times New Roman"/>
      <w:b/>
    </w:rPr>
  </w:style>
  <w:style w:type="paragraph" w:customStyle="1" w:styleId="Corpo-TR">
    <w:name w:val="Corpo-TR"/>
    <w:basedOn w:val="Normal"/>
    <w:uiPriority w:val="99"/>
    <w:rsid w:val="00F41043"/>
    <w:pPr>
      <w:widowControl w:val="0"/>
      <w:suppressAutoHyphens/>
      <w:spacing w:before="120" w:after="120" w:line="240" w:lineRule="auto"/>
      <w:ind w:firstLine="708"/>
      <w:jc w:val="both"/>
    </w:pPr>
    <w:rPr>
      <w:rFonts w:ascii="Verdana" w:eastAsia="WenQuanYi Micro Hei" w:hAnsi="Verdana" w:cs="Arial"/>
      <w:kern w:val="1"/>
      <w:sz w:val="24"/>
      <w:szCs w:val="24"/>
      <w:lang w:eastAsia="hi-IN" w:bidi="hi-IN"/>
      <w14:ligatures w14:val="none"/>
    </w:rPr>
  </w:style>
  <w:style w:type="paragraph" w:customStyle="1" w:styleId="TextodeTabela">
    <w:name w:val="Texto de Tabela"/>
    <w:basedOn w:val="Normal"/>
    <w:uiPriority w:val="99"/>
    <w:rsid w:val="00F41043"/>
    <w:pPr>
      <w:spacing w:before="40" w:after="40" w:line="240" w:lineRule="auto"/>
    </w:pPr>
    <w:rPr>
      <w:rFonts w:ascii="Arial" w:eastAsia="Times New Roman" w:hAnsi="Arial" w:cs="Arial"/>
      <w:kern w:val="0"/>
      <w:sz w:val="20"/>
      <w:szCs w:val="20"/>
      <w14:ligatures w14:val="none"/>
    </w:rPr>
  </w:style>
  <w:style w:type="paragraph" w:customStyle="1" w:styleId="TextodaTabela">
    <w:name w:val="Texto da Tabela"/>
    <w:basedOn w:val="Normal"/>
    <w:link w:val="TextodaTabelaChar"/>
    <w:uiPriority w:val="99"/>
    <w:rsid w:val="00F41043"/>
    <w:pPr>
      <w:spacing w:before="40" w:after="40" w:line="240" w:lineRule="auto"/>
    </w:pPr>
    <w:rPr>
      <w:rFonts w:ascii="Arial" w:eastAsia="Times New Roman" w:hAnsi="Arial" w:cs="Arial"/>
      <w:kern w:val="0"/>
      <w:szCs w:val="20"/>
      <w14:ligatures w14:val="none"/>
    </w:rPr>
  </w:style>
  <w:style w:type="character" w:customStyle="1" w:styleId="TextodaTabelaChar">
    <w:name w:val="Texto da Tabela Char"/>
    <w:basedOn w:val="Fontepargpadro"/>
    <w:link w:val="TextodaTabela"/>
    <w:uiPriority w:val="99"/>
    <w:locked/>
    <w:rsid w:val="00F41043"/>
    <w:rPr>
      <w:rFonts w:ascii="Arial" w:eastAsia="Times New Roman" w:hAnsi="Arial" w:cs="Arial"/>
      <w:kern w:val="0"/>
      <w:szCs w:val="20"/>
      <w14:ligatures w14:val="none"/>
    </w:rPr>
  </w:style>
  <w:style w:type="paragraph" w:customStyle="1" w:styleId="TextodoTtulodaTabela">
    <w:name w:val="Texto do Título da Tabela"/>
    <w:basedOn w:val="Normal"/>
    <w:uiPriority w:val="99"/>
    <w:rsid w:val="00F41043"/>
    <w:pPr>
      <w:spacing w:before="60" w:after="60" w:line="240" w:lineRule="auto"/>
    </w:pPr>
    <w:rPr>
      <w:rFonts w:ascii="Arial Black" w:eastAsia="Times New Roman" w:hAnsi="Arial Black" w:cs="Times New Roman"/>
      <w:kern w:val="0"/>
      <w:sz w:val="18"/>
      <w:szCs w:val="20"/>
      <w14:ligatures w14:val="none"/>
    </w:rPr>
  </w:style>
  <w:style w:type="character" w:customStyle="1" w:styleId="BaseChar">
    <w:name w:val="Base Char"/>
    <w:basedOn w:val="Fontepargpadro"/>
    <w:uiPriority w:val="99"/>
    <w:rsid w:val="00F41043"/>
    <w:rPr>
      <w:rFonts w:ascii="Arial" w:hAnsi="Arial" w:cs="Arial"/>
      <w:sz w:val="16"/>
      <w:lang w:val="pt-BR" w:eastAsia="en-US" w:bidi="ar-SA"/>
    </w:rPr>
  </w:style>
  <w:style w:type="character" w:customStyle="1" w:styleId="WW8Num2z1">
    <w:name w:val="WW8Num2z1"/>
    <w:uiPriority w:val="99"/>
    <w:rsid w:val="00F41043"/>
    <w:rPr>
      <w:rFonts w:ascii="Symbol" w:hAnsi="Symbol"/>
      <w:sz w:val="22"/>
    </w:rPr>
  </w:style>
  <w:style w:type="character" w:customStyle="1" w:styleId="WW8Num3z2">
    <w:name w:val="WW8Num3z2"/>
    <w:uiPriority w:val="99"/>
    <w:rsid w:val="00F41043"/>
    <w:rPr>
      <w:rFonts w:ascii="Times New Roman" w:hAnsi="Times New Roman"/>
      <w:b/>
      <w:i/>
    </w:rPr>
  </w:style>
  <w:style w:type="character" w:customStyle="1" w:styleId="WW8Num5z0">
    <w:name w:val="WW8Num5z0"/>
    <w:uiPriority w:val="99"/>
    <w:rsid w:val="00F41043"/>
    <w:rPr>
      <w:rFonts w:ascii="Symbol" w:hAnsi="Symbol"/>
    </w:rPr>
  </w:style>
  <w:style w:type="character" w:customStyle="1" w:styleId="WW8Num6z0">
    <w:name w:val="WW8Num6z0"/>
    <w:uiPriority w:val="99"/>
    <w:rsid w:val="00F41043"/>
    <w:rPr>
      <w:rFonts w:ascii="Symbol" w:hAnsi="Symbol"/>
    </w:rPr>
  </w:style>
  <w:style w:type="character" w:customStyle="1" w:styleId="Absatz-Standardschriftart">
    <w:name w:val="Absatz-Standardschriftart"/>
    <w:uiPriority w:val="99"/>
    <w:rsid w:val="00F41043"/>
  </w:style>
  <w:style w:type="character" w:customStyle="1" w:styleId="WW-Absatz-Standardschriftart">
    <w:name w:val="WW-Absatz-Standardschriftart"/>
    <w:uiPriority w:val="99"/>
    <w:rsid w:val="00F41043"/>
  </w:style>
  <w:style w:type="character" w:customStyle="1" w:styleId="WW-Absatz-Standardschriftart1">
    <w:name w:val="WW-Absatz-Standardschriftart1"/>
    <w:uiPriority w:val="99"/>
    <w:rsid w:val="00F41043"/>
  </w:style>
  <w:style w:type="character" w:customStyle="1" w:styleId="WW-Absatz-Standardschriftart11">
    <w:name w:val="WW-Absatz-Standardschriftart11"/>
    <w:uiPriority w:val="99"/>
    <w:rsid w:val="00F41043"/>
  </w:style>
  <w:style w:type="character" w:customStyle="1" w:styleId="WW-Absatz-Standardschriftart111">
    <w:name w:val="WW-Absatz-Standardschriftart111"/>
    <w:uiPriority w:val="99"/>
    <w:rsid w:val="00F41043"/>
  </w:style>
  <w:style w:type="character" w:customStyle="1" w:styleId="WW-Absatz-Standardschriftart1111">
    <w:name w:val="WW-Absatz-Standardschriftart1111"/>
    <w:uiPriority w:val="99"/>
    <w:rsid w:val="00F41043"/>
  </w:style>
  <w:style w:type="character" w:customStyle="1" w:styleId="WW-Absatz-Standardschriftart11111">
    <w:name w:val="WW-Absatz-Standardschriftart11111"/>
    <w:uiPriority w:val="99"/>
    <w:rsid w:val="00F41043"/>
  </w:style>
  <w:style w:type="character" w:customStyle="1" w:styleId="WW8Num2z0">
    <w:name w:val="WW8Num2z0"/>
    <w:uiPriority w:val="99"/>
    <w:rsid w:val="00F41043"/>
    <w:rPr>
      <w:rFonts w:ascii="Symbol" w:hAnsi="Symbol"/>
    </w:rPr>
  </w:style>
  <w:style w:type="character" w:customStyle="1" w:styleId="WW8Num3z0">
    <w:name w:val="WW8Num3z0"/>
    <w:uiPriority w:val="99"/>
    <w:rsid w:val="00F41043"/>
    <w:rPr>
      <w:rFonts w:ascii="Symbol" w:hAnsi="Symbol"/>
      <w:sz w:val="24"/>
    </w:rPr>
  </w:style>
  <w:style w:type="character" w:customStyle="1" w:styleId="WW8Num4z0">
    <w:name w:val="WW8Num4z0"/>
    <w:uiPriority w:val="99"/>
    <w:rsid w:val="00F41043"/>
    <w:rPr>
      <w:rFonts w:ascii="Symbol" w:hAnsi="Symbol"/>
    </w:rPr>
  </w:style>
  <w:style w:type="character" w:customStyle="1" w:styleId="WW8Num5z1">
    <w:name w:val="WW8Num5z1"/>
    <w:uiPriority w:val="99"/>
    <w:rsid w:val="00F41043"/>
    <w:rPr>
      <w:rFonts w:ascii="OpenSymbol" w:hAnsi="OpenSymbol"/>
    </w:rPr>
  </w:style>
  <w:style w:type="character" w:customStyle="1" w:styleId="WW8Num6z1">
    <w:name w:val="WW8Num6z1"/>
    <w:uiPriority w:val="99"/>
    <w:rsid w:val="00F41043"/>
    <w:rPr>
      <w:rFonts w:ascii="OpenSymbol" w:hAnsi="OpenSymbol"/>
    </w:rPr>
  </w:style>
  <w:style w:type="character" w:customStyle="1" w:styleId="WW8Num7z0">
    <w:name w:val="WW8Num7z0"/>
    <w:uiPriority w:val="99"/>
    <w:rsid w:val="00F41043"/>
    <w:rPr>
      <w:rFonts w:ascii="Symbol" w:hAnsi="Symbol"/>
    </w:rPr>
  </w:style>
  <w:style w:type="character" w:customStyle="1" w:styleId="WW8Num8z0">
    <w:name w:val="WW8Num8z0"/>
    <w:uiPriority w:val="99"/>
    <w:rsid w:val="00F41043"/>
    <w:rPr>
      <w:rFonts w:ascii="Symbol" w:hAnsi="Symbol"/>
    </w:rPr>
  </w:style>
  <w:style w:type="character" w:customStyle="1" w:styleId="WW8Num8z1">
    <w:name w:val="WW8Num8z1"/>
    <w:uiPriority w:val="99"/>
    <w:rsid w:val="00F41043"/>
    <w:rPr>
      <w:rFonts w:ascii="Courier New" w:hAnsi="Courier New"/>
    </w:rPr>
  </w:style>
  <w:style w:type="character" w:customStyle="1" w:styleId="WW8Num8z2">
    <w:name w:val="WW8Num8z2"/>
    <w:uiPriority w:val="99"/>
    <w:rsid w:val="00F41043"/>
    <w:rPr>
      <w:rFonts w:ascii="Wingdings" w:hAnsi="Wingdings"/>
    </w:rPr>
  </w:style>
  <w:style w:type="character" w:customStyle="1" w:styleId="WW8Num9z0">
    <w:name w:val="WW8Num9z0"/>
    <w:uiPriority w:val="99"/>
    <w:rsid w:val="00F41043"/>
    <w:rPr>
      <w:b/>
    </w:rPr>
  </w:style>
  <w:style w:type="character" w:customStyle="1" w:styleId="WW8Num10z0">
    <w:name w:val="WW8Num10z0"/>
    <w:uiPriority w:val="99"/>
    <w:rsid w:val="00F41043"/>
    <w:rPr>
      <w:rFonts w:ascii="Symbol" w:hAnsi="Symbol"/>
    </w:rPr>
  </w:style>
  <w:style w:type="character" w:customStyle="1" w:styleId="WW8Num10z1">
    <w:name w:val="WW8Num10z1"/>
    <w:uiPriority w:val="99"/>
    <w:rsid w:val="00F41043"/>
    <w:rPr>
      <w:rFonts w:ascii="Courier New" w:hAnsi="Courier New"/>
    </w:rPr>
  </w:style>
  <w:style w:type="character" w:customStyle="1" w:styleId="WW8Num10z2">
    <w:name w:val="WW8Num10z2"/>
    <w:uiPriority w:val="99"/>
    <w:rsid w:val="00F41043"/>
    <w:rPr>
      <w:rFonts w:ascii="Wingdings" w:hAnsi="Wingdings"/>
    </w:rPr>
  </w:style>
  <w:style w:type="character" w:customStyle="1" w:styleId="WW8Num11z0">
    <w:name w:val="WW8Num11z0"/>
    <w:uiPriority w:val="99"/>
    <w:rsid w:val="00F41043"/>
    <w:rPr>
      <w:b/>
    </w:rPr>
  </w:style>
  <w:style w:type="character" w:customStyle="1" w:styleId="WW8Num12z0">
    <w:name w:val="WW8Num12z0"/>
    <w:uiPriority w:val="99"/>
    <w:rsid w:val="00F41043"/>
    <w:rPr>
      <w:b/>
    </w:rPr>
  </w:style>
  <w:style w:type="character" w:customStyle="1" w:styleId="WW8Num13z1">
    <w:name w:val="WW8Num13z1"/>
    <w:uiPriority w:val="99"/>
    <w:rsid w:val="00F41043"/>
    <w:rPr>
      <w:rFonts w:ascii="Symbol" w:hAnsi="Symbol"/>
      <w:sz w:val="22"/>
    </w:rPr>
  </w:style>
  <w:style w:type="character" w:customStyle="1" w:styleId="WW8Num14z0">
    <w:name w:val="WW8Num14z0"/>
    <w:uiPriority w:val="99"/>
    <w:rsid w:val="00F41043"/>
    <w:rPr>
      <w:rFonts w:ascii="Symbol" w:hAnsi="Symbol"/>
    </w:rPr>
  </w:style>
  <w:style w:type="character" w:customStyle="1" w:styleId="WW8Num14z1">
    <w:name w:val="WW8Num14z1"/>
    <w:uiPriority w:val="99"/>
    <w:rsid w:val="00F41043"/>
    <w:rPr>
      <w:rFonts w:ascii="Courier New" w:hAnsi="Courier New"/>
    </w:rPr>
  </w:style>
  <w:style w:type="character" w:customStyle="1" w:styleId="WW8Num14z2">
    <w:name w:val="WW8Num14z2"/>
    <w:uiPriority w:val="99"/>
    <w:rsid w:val="00F41043"/>
    <w:rPr>
      <w:rFonts w:ascii="Wingdings" w:hAnsi="Wingdings"/>
    </w:rPr>
  </w:style>
  <w:style w:type="character" w:customStyle="1" w:styleId="WW8Num15z0">
    <w:name w:val="WW8Num15z0"/>
    <w:uiPriority w:val="99"/>
    <w:rsid w:val="00F41043"/>
    <w:rPr>
      <w:b/>
    </w:rPr>
  </w:style>
  <w:style w:type="character" w:customStyle="1" w:styleId="WW8Num17z0">
    <w:name w:val="WW8Num17z0"/>
    <w:uiPriority w:val="99"/>
    <w:rsid w:val="00F41043"/>
    <w:rPr>
      <w:rFonts w:ascii="Symbol" w:hAnsi="Symbol"/>
    </w:rPr>
  </w:style>
  <w:style w:type="character" w:customStyle="1" w:styleId="WW8Num17z1">
    <w:name w:val="WW8Num17z1"/>
    <w:uiPriority w:val="99"/>
    <w:rsid w:val="00F41043"/>
    <w:rPr>
      <w:rFonts w:ascii="Courier New" w:hAnsi="Courier New"/>
    </w:rPr>
  </w:style>
  <w:style w:type="character" w:customStyle="1" w:styleId="WW8Num17z2">
    <w:name w:val="WW8Num17z2"/>
    <w:uiPriority w:val="99"/>
    <w:rsid w:val="00F41043"/>
    <w:rPr>
      <w:rFonts w:ascii="Wingdings" w:hAnsi="Wingdings"/>
    </w:rPr>
  </w:style>
  <w:style w:type="character" w:customStyle="1" w:styleId="WW8Num18z0">
    <w:name w:val="WW8Num18z0"/>
    <w:uiPriority w:val="99"/>
    <w:rsid w:val="00F41043"/>
    <w:rPr>
      <w:rFonts w:ascii="Symbol" w:hAnsi="Symbol"/>
    </w:rPr>
  </w:style>
  <w:style w:type="character" w:customStyle="1" w:styleId="WW8Num19z0">
    <w:name w:val="WW8Num19z0"/>
    <w:uiPriority w:val="99"/>
    <w:rsid w:val="00F41043"/>
    <w:rPr>
      <w:rFonts w:ascii="Symbol" w:hAnsi="Symbol"/>
    </w:rPr>
  </w:style>
  <w:style w:type="character" w:customStyle="1" w:styleId="WW8Num19z1">
    <w:name w:val="WW8Num19z1"/>
    <w:uiPriority w:val="99"/>
    <w:rsid w:val="00F41043"/>
    <w:rPr>
      <w:rFonts w:ascii="Courier New" w:hAnsi="Courier New"/>
    </w:rPr>
  </w:style>
  <w:style w:type="character" w:customStyle="1" w:styleId="WW8Num19z2">
    <w:name w:val="WW8Num19z2"/>
    <w:uiPriority w:val="99"/>
    <w:rsid w:val="00F41043"/>
    <w:rPr>
      <w:rFonts w:ascii="Wingdings" w:hAnsi="Wingdings"/>
    </w:rPr>
  </w:style>
  <w:style w:type="character" w:customStyle="1" w:styleId="WW8Num20z0">
    <w:name w:val="WW8Num20z0"/>
    <w:uiPriority w:val="99"/>
    <w:rsid w:val="00F41043"/>
    <w:rPr>
      <w:rFonts w:ascii="Wingdings" w:hAnsi="Wingdings"/>
    </w:rPr>
  </w:style>
  <w:style w:type="character" w:customStyle="1" w:styleId="WW8Num22z0">
    <w:name w:val="WW8Num22z0"/>
    <w:uiPriority w:val="99"/>
    <w:rsid w:val="00F41043"/>
    <w:rPr>
      <w:rFonts w:ascii="Symbol" w:hAnsi="Symbol"/>
    </w:rPr>
  </w:style>
  <w:style w:type="character" w:customStyle="1" w:styleId="WW8Num23z0">
    <w:name w:val="WW8Num23z0"/>
    <w:uiPriority w:val="99"/>
    <w:rsid w:val="00F41043"/>
    <w:rPr>
      <w:rFonts w:ascii="Symbol" w:hAnsi="Symbol"/>
    </w:rPr>
  </w:style>
  <w:style w:type="character" w:customStyle="1" w:styleId="WW8Num23z1">
    <w:name w:val="WW8Num23z1"/>
    <w:uiPriority w:val="99"/>
    <w:rsid w:val="00F41043"/>
    <w:rPr>
      <w:rFonts w:ascii="Courier New" w:hAnsi="Courier New"/>
    </w:rPr>
  </w:style>
  <w:style w:type="character" w:customStyle="1" w:styleId="WW8Num23z2">
    <w:name w:val="WW8Num23z2"/>
    <w:uiPriority w:val="99"/>
    <w:rsid w:val="00F41043"/>
    <w:rPr>
      <w:rFonts w:ascii="Wingdings" w:hAnsi="Wingdings"/>
    </w:rPr>
  </w:style>
  <w:style w:type="character" w:customStyle="1" w:styleId="WW8Num24z0">
    <w:name w:val="WW8Num24z0"/>
    <w:uiPriority w:val="99"/>
    <w:rsid w:val="00F41043"/>
    <w:rPr>
      <w:rFonts w:ascii="Symbol" w:hAnsi="Symbol"/>
    </w:rPr>
  </w:style>
  <w:style w:type="character" w:customStyle="1" w:styleId="WW8Num24z1">
    <w:name w:val="WW8Num24z1"/>
    <w:uiPriority w:val="99"/>
    <w:rsid w:val="00F41043"/>
    <w:rPr>
      <w:rFonts w:ascii="Courier New" w:hAnsi="Courier New"/>
    </w:rPr>
  </w:style>
  <w:style w:type="character" w:customStyle="1" w:styleId="WW8Num24z2">
    <w:name w:val="WW8Num24z2"/>
    <w:uiPriority w:val="99"/>
    <w:rsid w:val="00F41043"/>
    <w:rPr>
      <w:rFonts w:ascii="Wingdings" w:hAnsi="Wingdings"/>
    </w:rPr>
  </w:style>
  <w:style w:type="character" w:customStyle="1" w:styleId="WW8Num25z0">
    <w:name w:val="WW8Num25z0"/>
    <w:uiPriority w:val="99"/>
    <w:rsid w:val="00F41043"/>
    <w:rPr>
      <w:b/>
    </w:rPr>
  </w:style>
  <w:style w:type="character" w:customStyle="1" w:styleId="WW8Num26z0">
    <w:name w:val="WW8Num26z0"/>
    <w:uiPriority w:val="99"/>
    <w:rsid w:val="00F41043"/>
    <w:rPr>
      <w:sz w:val="22"/>
    </w:rPr>
  </w:style>
  <w:style w:type="character" w:customStyle="1" w:styleId="WW8Num27z0">
    <w:name w:val="WW8Num27z0"/>
    <w:uiPriority w:val="99"/>
    <w:rsid w:val="00F41043"/>
    <w:rPr>
      <w:b/>
      <w:i/>
    </w:rPr>
  </w:style>
  <w:style w:type="character" w:customStyle="1" w:styleId="WW8Num28z0">
    <w:name w:val="WW8Num28z0"/>
    <w:uiPriority w:val="99"/>
    <w:rsid w:val="00F41043"/>
    <w:rPr>
      <w:rFonts w:ascii="Symbol" w:hAnsi="Symbol"/>
    </w:rPr>
  </w:style>
  <w:style w:type="character" w:customStyle="1" w:styleId="WW8Num28z1">
    <w:name w:val="WW8Num28z1"/>
    <w:uiPriority w:val="99"/>
    <w:rsid w:val="00F41043"/>
    <w:rPr>
      <w:rFonts w:ascii="Courier New" w:hAnsi="Courier New"/>
    </w:rPr>
  </w:style>
  <w:style w:type="character" w:customStyle="1" w:styleId="WW8Num28z2">
    <w:name w:val="WW8Num28z2"/>
    <w:uiPriority w:val="99"/>
    <w:rsid w:val="00F41043"/>
    <w:rPr>
      <w:rFonts w:ascii="Wingdings" w:hAnsi="Wingdings"/>
    </w:rPr>
  </w:style>
  <w:style w:type="character" w:customStyle="1" w:styleId="WW8Num29z0">
    <w:name w:val="WW8Num29z0"/>
    <w:uiPriority w:val="99"/>
    <w:rsid w:val="00F41043"/>
    <w:rPr>
      <w:b/>
    </w:rPr>
  </w:style>
  <w:style w:type="character" w:customStyle="1" w:styleId="WW8Num31z0">
    <w:name w:val="WW8Num31z0"/>
    <w:uiPriority w:val="99"/>
    <w:rsid w:val="00F41043"/>
    <w:rPr>
      <w:rFonts w:ascii="Symbol" w:hAnsi="Symbol"/>
      <w:sz w:val="24"/>
    </w:rPr>
  </w:style>
  <w:style w:type="character" w:customStyle="1" w:styleId="WW8Num32z0">
    <w:name w:val="WW8Num32z0"/>
    <w:uiPriority w:val="99"/>
    <w:rsid w:val="00F41043"/>
    <w:rPr>
      <w:rFonts w:ascii="Symbol" w:hAnsi="Symbol"/>
    </w:rPr>
  </w:style>
  <w:style w:type="character" w:customStyle="1" w:styleId="WW8Num32z1">
    <w:name w:val="WW8Num32z1"/>
    <w:uiPriority w:val="99"/>
    <w:rsid w:val="00F41043"/>
    <w:rPr>
      <w:rFonts w:ascii="Courier New" w:hAnsi="Courier New"/>
    </w:rPr>
  </w:style>
  <w:style w:type="character" w:customStyle="1" w:styleId="WW8Num32z2">
    <w:name w:val="WW8Num32z2"/>
    <w:uiPriority w:val="99"/>
    <w:rsid w:val="00F41043"/>
    <w:rPr>
      <w:rFonts w:ascii="Wingdings" w:hAnsi="Wingdings"/>
    </w:rPr>
  </w:style>
  <w:style w:type="character" w:customStyle="1" w:styleId="WW8Num33z0">
    <w:name w:val="WW8Num33z0"/>
    <w:uiPriority w:val="99"/>
    <w:rsid w:val="00F41043"/>
    <w:rPr>
      <w:rFonts w:ascii="Symbol" w:hAnsi="Symbol"/>
    </w:rPr>
  </w:style>
  <w:style w:type="character" w:customStyle="1" w:styleId="WW8Num33z1">
    <w:name w:val="WW8Num33z1"/>
    <w:uiPriority w:val="99"/>
    <w:rsid w:val="00F41043"/>
    <w:rPr>
      <w:rFonts w:ascii="Courier New" w:hAnsi="Courier New"/>
    </w:rPr>
  </w:style>
  <w:style w:type="character" w:customStyle="1" w:styleId="WW8Num33z2">
    <w:name w:val="WW8Num33z2"/>
    <w:uiPriority w:val="99"/>
    <w:rsid w:val="00F41043"/>
    <w:rPr>
      <w:rFonts w:ascii="Wingdings" w:hAnsi="Wingdings"/>
    </w:rPr>
  </w:style>
  <w:style w:type="character" w:customStyle="1" w:styleId="WW8Num34z2">
    <w:name w:val="WW8Num34z2"/>
    <w:uiPriority w:val="99"/>
    <w:rsid w:val="00F41043"/>
    <w:rPr>
      <w:rFonts w:ascii="Times New Roman" w:hAnsi="Times New Roman"/>
      <w:b/>
      <w:i/>
    </w:rPr>
  </w:style>
  <w:style w:type="character" w:customStyle="1" w:styleId="WW8Num36z0">
    <w:name w:val="WW8Num36z0"/>
    <w:uiPriority w:val="99"/>
    <w:rsid w:val="00F41043"/>
    <w:rPr>
      <w:rFonts w:ascii="Symbol" w:hAnsi="Symbol"/>
    </w:rPr>
  </w:style>
  <w:style w:type="character" w:customStyle="1" w:styleId="WW8Num36z1">
    <w:name w:val="WW8Num36z1"/>
    <w:uiPriority w:val="99"/>
    <w:rsid w:val="00F41043"/>
    <w:rPr>
      <w:rFonts w:ascii="Courier New" w:hAnsi="Courier New"/>
    </w:rPr>
  </w:style>
  <w:style w:type="character" w:customStyle="1" w:styleId="WW8Num36z2">
    <w:name w:val="WW8Num36z2"/>
    <w:uiPriority w:val="99"/>
    <w:rsid w:val="00F41043"/>
    <w:rPr>
      <w:rFonts w:ascii="Wingdings" w:hAnsi="Wingdings"/>
    </w:rPr>
  </w:style>
  <w:style w:type="character" w:customStyle="1" w:styleId="WW8Num37z0">
    <w:name w:val="WW8Num37z0"/>
    <w:uiPriority w:val="99"/>
    <w:rsid w:val="00F41043"/>
    <w:rPr>
      <w:rFonts w:ascii="Symbol" w:hAnsi="Symbol"/>
    </w:rPr>
  </w:style>
  <w:style w:type="character" w:customStyle="1" w:styleId="WW8Num38z0">
    <w:name w:val="WW8Num38z0"/>
    <w:uiPriority w:val="99"/>
    <w:rsid w:val="00F41043"/>
    <w:rPr>
      <w:rFonts w:ascii="Symbol" w:hAnsi="Symbol"/>
      <w:sz w:val="24"/>
    </w:rPr>
  </w:style>
  <w:style w:type="character" w:customStyle="1" w:styleId="WW8Num39z0">
    <w:name w:val="WW8Num39z0"/>
    <w:uiPriority w:val="99"/>
    <w:rsid w:val="00F41043"/>
    <w:rPr>
      <w:rFonts w:ascii="Symbol" w:hAnsi="Symbol"/>
    </w:rPr>
  </w:style>
  <w:style w:type="character" w:customStyle="1" w:styleId="WW8Num39z1">
    <w:name w:val="WW8Num39z1"/>
    <w:uiPriority w:val="99"/>
    <w:rsid w:val="00F41043"/>
    <w:rPr>
      <w:rFonts w:ascii="Courier New" w:hAnsi="Courier New"/>
    </w:rPr>
  </w:style>
  <w:style w:type="character" w:customStyle="1" w:styleId="WW8Num39z2">
    <w:name w:val="WW8Num39z2"/>
    <w:uiPriority w:val="99"/>
    <w:rsid w:val="00F41043"/>
    <w:rPr>
      <w:rFonts w:ascii="Wingdings" w:hAnsi="Wingdings"/>
    </w:rPr>
  </w:style>
  <w:style w:type="character" w:customStyle="1" w:styleId="WW8Num40z0">
    <w:name w:val="WW8Num40z0"/>
    <w:uiPriority w:val="99"/>
    <w:rsid w:val="00F41043"/>
    <w:rPr>
      <w:rFonts w:ascii="Symbol" w:hAnsi="Symbol"/>
    </w:rPr>
  </w:style>
  <w:style w:type="character" w:customStyle="1" w:styleId="WW8Num40z1">
    <w:name w:val="WW8Num40z1"/>
    <w:uiPriority w:val="99"/>
    <w:rsid w:val="00F41043"/>
    <w:rPr>
      <w:rFonts w:ascii="Courier New" w:hAnsi="Courier New"/>
    </w:rPr>
  </w:style>
  <w:style w:type="character" w:customStyle="1" w:styleId="WW8Num40z2">
    <w:name w:val="WW8Num40z2"/>
    <w:uiPriority w:val="99"/>
    <w:rsid w:val="00F41043"/>
    <w:rPr>
      <w:rFonts w:ascii="Wingdings" w:hAnsi="Wingdings"/>
    </w:rPr>
  </w:style>
  <w:style w:type="character" w:customStyle="1" w:styleId="WW8Num41z0">
    <w:name w:val="WW8Num41z0"/>
    <w:uiPriority w:val="99"/>
    <w:rsid w:val="00F41043"/>
    <w:rPr>
      <w:rFonts w:ascii="Symbol" w:hAnsi="Symbol"/>
    </w:rPr>
  </w:style>
  <w:style w:type="character" w:customStyle="1" w:styleId="WW8Num43z0">
    <w:name w:val="WW8Num43z0"/>
    <w:uiPriority w:val="99"/>
    <w:rsid w:val="00F41043"/>
    <w:rPr>
      <w:rFonts w:ascii="Symbol" w:hAnsi="Symbol"/>
    </w:rPr>
  </w:style>
  <w:style w:type="character" w:customStyle="1" w:styleId="WW8Num45z0">
    <w:name w:val="WW8Num45z0"/>
    <w:uiPriority w:val="99"/>
    <w:rsid w:val="00F41043"/>
    <w:rPr>
      <w:rFonts w:ascii="Symbol" w:hAnsi="Symbol"/>
    </w:rPr>
  </w:style>
  <w:style w:type="character" w:customStyle="1" w:styleId="WW8Num45z1">
    <w:name w:val="WW8Num45z1"/>
    <w:uiPriority w:val="99"/>
    <w:rsid w:val="00F41043"/>
    <w:rPr>
      <w:rFonts w:ascii="Courier New" w:hAnsi="Courier New"/>
    </w:rPr>
  </w:style>
  <w:style w:type="character" w:customStyle="1" w:styleId="WW8Num45z2">
    <w:name w:val="WW8Num45z2"/>
    <w:uiPriority w:val="99"/>
    <w:rsid w:val="00F41043"/>
    <w:rPr>
      <w:rFonts w:ascii="Wingdings" w:hAnsi="Wingdings"/>
    </w:rPr>
  </w:style>
  <w:style w:type="character" w:customStyle="1" w:styleId="WW8Num46z0">
    <w:name w:val="WW8Num46z0"/>
    <w:uiPriority w:val="99"/>
    <w:rsid w:val="00F41043"/>
    <w:rPr>
      <w:rFonts w:ascii="Symbol" w:hAnsi="Symbol"/>
    </w:rPr>
  </w:style>
  <w:style w:type="character" w:customStyle="1" w:styleId="WW8NumSt4z0">
    <w:name w:val="WW8NumSt4z0"/>
    <w:uiPriority w:val="99"/>
    <w:rsid w:val="00F41043"/>
    <w:rPr>
      <w:rFonts w:ascii="Symbol" w:hAnsi="Symbol"/>
    </w:rPr>
  </w:style>
  <w:style w:type="character" w:customStyle="1" w:styleId="WW8NumSt5z0">
    <w:name w:val="WW8NumSt5z0"/>
    <w:uiPriority w:val="99"/>
    <w:rsid w:val="00F41043"/>
    <w:rPr>
      <w:rFonts w:ascii="Symbol" w:hAnsi="Symbol"/>
    </w:rPr>
  </w:style>
  <w:style w:type="character" w:customStyle="1" w:styleId="Fontepargpadro1">
    <w:name w:val="Fonte parág. padrão1"/>
    <w:uiPriority w:val="99"/>
    <w:rsid w:val="00F41043"/>
  </w:style>
  <w:style w:type="character" w:customStyle="1" w:styleId="TextodenotaderodapChar">
    <w:name w:val="Texto de nota de rodapé Char"/>
    <w:basedOn w:val="Fontepargpadro1"/>
    <w:uiPriority w:val="99"/>
    <w:rsid w:val="00F41043"/>
    <w:rPr>
      <w:rFonts w:ascii="Times New Roman" w:hAnsi="Times New Roman" w:cs="Times New Roman"/>
      <w:sz w:val="20"/>
      <w:szCs w:val="20"/>
    </w:rPr>
  </w:style>
  <w:style w:type="character" w:customStyle="1" w:styleId="Caracteresdenotaderodap">
    <w:name w:val="Caracteres de nota de rodapé"/>
    <w:basedOn w:val="Fontepargpadro1"/>
    <w:uiPriority w:val="99"/>
    <w:rsid w:val="00F41043"/>
    <w:rPr>
      <w:rFonts w:cs="Times New Roman"/>
      <w:vertAlign w:val="superscript"/>
    </w:rPr>
  </w:style>
  <w:style w:type="character" w:customStyle="1" w:styleId="DeltaViewDeletion">
    <w:name w:val="DeltaView Deletion"/>
    <w:uiPriority w:val="99"/>
    <w:rsid w:val="00F41043"/>
    <w:rPr>
      <w:strike/>
      <w:color w:val="FF0000"/>
      <w:spacing w:val="0"/>
    </w:rPr>
  </w:style>
  <w:style w:type="character" w:styleId="nfase">
    <w:name w:val="Emphasis"/>
    <w:basedOn w:val="Fontepargpadro"/>
    <w:uiPriority w:val="20"/>
    <w:qFormat/>
    <w:rsid w:val="00F41043"/>
    <w:rPr>
      <w:rFonts w:ascii="Tahoma" w:hAnsi="Tahoma" w:cs="Times New Roman"/>
      <w:b/>
      <w:spacing w:val="10"/>
      <w:sz w:val="18"/>
    </w:rPr>
  </w:style>
  <w:style w:type="character" w:customStyle="1" w:styleId="Recuodecorpodetexto2Char">
    <w:name w:val="Recuo de corpo de texto 2 Char"/>
    <w:basedOn w:val="Fontepargpadro1"/>
    <w:uiPriority w:val="99"/>
    <w:rsid w:val="00F41043"/>
    <w:rPr>
      <w:rFonts w:ascii="Times New Roman" w:hAnsi="Times New Roman" w:cs="Times New Roman"/>
      <w:sz w:val="24"/>
      <w:szCs w:val="24"/>
    </w:rPr>
  </w:style>
  <w:style w:type="character" w:customStyle="1" w:styleId="DeltaViewInsertion">
    <w:name w:val="DeltaView Insertion"/>
    <w:uiPriority w:val="99"/>
    <w:rsid w:val="00F41043"/>
    <w:rPr>
      <w:b/>
      <w:color w:val="0000FF"/>
      <w:spacing w:val="0"/>
      <w:u w:val="double"/>
    </w:rPr>
  </w:style>
  <w:style w:type="character" w:customStyle="1" w:styleId="SemEspaamentoChar">
    <w:name w:val="Sem Espaçamento Char"/>
    <w:basedOn w:val="Fontepargpadro1"/>
    <w:uiPriority w:val="99"/>
    <w:rsid w:val="00F41043"/>
    <w:rPr>
      <w:rFonts w:cs="Times New Roman"/>
    </w:rPr>
  </w:style>
  <w:style w:type="character" w:styleId="nfaseSutil">
    <w:name w:val="Subtle Emphasis"/>
    <w:basedOn w:val="Fontepargpadro"/>
    <w:uiPriority w:val="99"/>
    <w:qFormat/>
    <w:rsid w:val="00F41043"/>
    <w:rPr>
      <w:rFonts w:cs="Times New Roman"/>
      <w:i/>
    </w:rPr>
  </w:style>
  <w:style w:type="character" w:styleId="RefernciaSutil">
    <w:name w:val="Subtle Reference"/>
    <w:basedOn w:val="Fontepargpadro"/>
    <w:uiPriority w:val="99"/>
    <w:qFormat/>
    <w:rsid w:val="00F41043"/>
    <w:rPr>
      <w:rFonts w:ascii="Tahoma" w:hAnsi="Tahoma" w:cs="Times New Roman"/>
      <w:b/>
      <w:sz w:val="18"/>
    </w:rPr>
  </w:style>
  <w:style w:type="character" w:styleId="TtulodoLivro">
    <w:name w:val="Book Title"/>
    <w:basedOn w:val="Fontepargpadro"/>
    <w:uiPriority w:val="99"/>
    <w:qFormat/>
    <w:rsid w:val="00F41043"/>
    <w:rPr>
      <w:rFonts w:ascii="Cambria" w:hAnsi="Cambria" w:cs="Times New Roman"/>
      <w:i/>
      <w:sz w:val="20"/>
    </w:rPr>
  </w:style>
  <w:style w:type="character" w:customStyle="1" w:styleId="Smbolosdenumerao">
    <w:name w:val="Símbolos de numeração"/>
    <w:uiPriority w:val="99"/>
    <w:rsid w:val="00F41043"/>
  </w:style>
  <w:style w:type="paragraph" w:customStyle="1" w:styleId="Ttulo10">
    <w:name w:val="Título1"/>
    <w:basedOn w:val="Normal"/>
    <w:next w:val="Normal"/>
    <w:uiPriority w:val="99"/>
    <w:rsid w:val="00F41043"/>
    <w:pPr>
      <w:suppressAutoHyphens/>
      <w:spacing w:after="200" w:line="240" w:lineRule="auto"/>
      <w:jc w:val="right"/>
    </w:pPr>
    <w:rPr>
      <w:rFonts w:ascii="Calibri" w:eastAsia="Times New Roman" w:hAnsi="Calibri" w:cs="Times New Roman"/>
      <w:smallCaps/>
      <w:kern w:val="0"/>
      <w:sz w:val="48"/>
      <w:szCs w:val="48"/>
      <w:lang w:val="en-US"/>
      <w14:ligatures w14:val="none"/>
    </w:rPr>
  </w:style>
  <w:style w:type="paragraph" w:styleId="Lista">
    <w:name w:val="List"/>
    <w:basedOn w:val="Corpodetexto"/>
    <w:uiPriority w:val="99"/>
    <w:rsid w:val="00F41043"/>
    <w:pPr>
      <w:keepLines w:val="0"/>
      <w:tabs>
        <w:tab w:val="clear" w:pos="851"/>
      </w:tabs>
      <w:suppressAutoHyphens/>
      <w:spacing w:before="0" w:after="200" w:line="312" w:lineRule="auto"/>
    </w:pPr>
    <w:rPr>
      <w:rFonts w:ascii="Calibri" w:hAnsi="Calibri" w:cs="Lohit Hindi"/>
      <w:sz w:val="20"/>
      <w:szCs w:val="20"/>
      <w:lang w:val="en-US" w:eastAsia="en-US"/>
    </w:rPr>
  </w:style>
  <w:style w:type="paragraph" w:customStyle="1" w:styleId="Legenda1">
    <w:name w:val="Legenda1"/>
    <w:basedOn w:val="Normal"/>
    <w:next w:val="Normal"/>
    <w:uiPriority w:val="99"/>
    <w:rsid w:val="00F41043"/>
    <w:pPr>
      <w:suppressAutoHyphens/>
      <w:spacing w:after="200" w:line="276" w:lineRule="auto"/>
      <w:jc w:val="both"/>
    </w:pPr>
    <w:rPr>
      <w:rFonts w:ascii="Calibri" w:eastAsia="Times New Roman" w:hAnsi="Calibri" w:cs="Times New Roman"/>
      <w:b/>
      <w:bCs/>
      <w:caps/>
      <w:kern w:val="0"/>
      <w:sz w:val="16"/>
      <w:szCs w:val="18"/>
      <w:lang w:val="en-US"/>
      <w14:ligatures w14:val="none"/>
    </w:rPr>
  </w:style>
  <w:style w:type="paragraph" w:customStyle="1" w:styleId="ndice">
    <w:name w:val="Índice"/>
    <w:basedOn w:val="Normal"/>
    <w:uiPriority w:val="99"/>
    <w:rsid w:val="00F41043"/>
    <w:pPr>
      <w:suppressLineNumbers/>
      <w:suppressAutoHyphens/>
      <w:spacing w:after="200" w:line="276" w:lineRule="auto"/>
      <w:jc w:val="both"/>
    </w:pPr>
    <w:rPr>
      <w:rFonts w:ascii="Calibri" w:eastAsia="Times New Roman" w:hAnsi="Calibri" w:cs="Lohit Hindi"/>
      <w:kern w:val="0"/>
      <w:sz w:val="20"/>
      <w:szCs w:val="20"/>
      <w:lang w:val="en-US"/>
      <w14:ligatures w14:val="none"/>
    </w:rPr>
  </w:style>
  <w:style w:type="paragraph" w:styleId="Textodenotaderodap">
    <w:name w:val="footnote text"/>
    <w:basedOn w:val="Normal"/>
    <w:link w:val="TextodenotaderodapChar1"/>
    <w:uiPriority w:val="99"/>
    <w:rsid w:val="00F41043"/>
    <w:pPr>
      <w:suppressAutoHyphens/>
      <w:spacing w:after="200" w:line="276" w:lineRule="auto"/>
      <w:jc w:val="both"/>
    </w:pPr>
    <w:rPr>
      <w:rFonts w:ascii="Calibri" w:eastAsia="Times New Roman" w:hAnsi="Calibri" w:cs="Times New Roman"/>
      <w:kern w:val="0"/>
      <w:sz w:val="20"/>
      <w:szCs w:val="20"/>
      <w:lang w:val="en-US"/>
      <w14:ligatures w14:val="none"/>
    </w:rPr>
  </w:style>
  <w:style w:type="character" w:customStyle="1" w:styleId="TextodenotaderodapChar1">
    <w:name w:val="Texto de nota de rodapé Char1"/>
    <w:basedOn w:val="Fontepargpadro"/>
    <w:link w:val="Textodenotaderodap"/>
    <w:uiPriority w:val="99"/>
    <w:rsid w:val="00F41043"/>
    <w:rPr>
      <w:rFonts w:ascii="Calibri" w:eastAsia="Times New Roman" w:hAnsi="Calibri" w:cs="Times New Roman"/>
      <w:kern w:val="0"/>
      <w:sz w:val="20"/>
      <w:szCs w:val="20"/>
      <w:lang w:val="en-US"/>
      <w14:ligatures w14:val="none"/>
    </w:rPr>
  </w:style>
  <w:style w:type="paragraph" w:styleId="NormalWeb">
    <w:name w:val="Normal (Web)"/>
    <w:basedOn w:val="Normal"/>
    <w:uiPriority w:val="99"/>
    <w:rsid w:val="00F41043"/>
    <w:pPr>
      <w:suppressAutoHyphens/>
      <w:spacing w:before="280" w:after="280" w:line="276" w:lineRule="auto"/>
      <w:jc w:val="both"/>
    </w:pPr>
    <w:rPr>
      <w:rFonts w:ascii="Arial Unicode MS" w:eastAsia="Arial Unicode MS" w:hAnsi="Arial Unicode MS" w:cs="Arial Unicode MS"/>
      <w:color w:val="000000"/>
      <w:kern w:val="0"/>
      <w:sz w:val="20"/>
      <w:szCs w:val="20"/>
      <w:lang w:val="en-US"/>
      <w14:ligatures w14:val="none"/>
    </w:rPr>
  </w:style>
  <w:style w:type="paragraph" w:customStyle="1" w:styleId="Recuodecorpodetexto31">
    <w:name w:val="Recuo de corpo de texto 31"/>
    <w:basedOn w:val="Normal"/>
    <w:uiPriority w:val="99"/>
    <w:rsid w:val="00F41043"/>
    <w:pPr>
      <w:suppressAutoHyphens/>
      <w:spacing w:after="120" w:line="276" w:lineRule="auto"/>
      <w:ind w:left="283"/>
      <w:jc w:val="both"/>
    </w:pPr>
    <w:rPr>
      <w:rFonts w:ascii="Calibri" w:eastAsia="Times New Roman" w:hAnsi="Calibri" w:cs="Times New Roman"/>
      <w:kern w:val="0"/>
      <w:sz w:val="16"/>
      <w:szCs w:val="16"/>
      <w:lang w:val="en-US"/>
      <w14:ligatures w14:val="none"/>
    </w:rPr>
  </w:style>
  <w:style w:type="paragraph" w:customStyle="1" w:styleId="Recuodecorpodetexto21">
    <w:name w:val="Recuo de corpo de texto 21"/>
    <w:basedOn w:val="Normal"/>
    <w:uiPriority w:val="99"/>
    <w:rsid w:val="00F41043"/>
    <w:pPr>
      <w:suppressAutoHyphens/>
      <w:spacing w:after="120" w:line="480" w:lineRule="auto"/>
      <w:ind w:left="360"/>
      <w:jc w:val="both"/>
    </w:pPr>
    <w:rPr>
      <w:rFonts w:ascii="Calibri" w:eastAsia="Times New Roman" w:hAnsi="Calibri" w:cs="Times New Roman"/>
      <w:kern w:val="0"/>
      <w:sz w:val="20"/>
      <w:szCs w:val="20"/>
      <w:lang w:val="en-US"/>
      <w14:ligatures w14:val="none"/>
    </w:rPr>
  </w:style>
  <w:style w:type="paragraph" w:customStyle="1" w:styleId="Normal10">
    <w:name w:val="Normal1"/>
    <w:rsid w:val="00F41043"/>
    <w:pPr>
      <w:suppressAutoHyphens/>
      <w:autoSpaceDE w:val="0"/>
      <w:spacing w:after="200" w:line="276" w:lineRule="auto"/>
      <w:jc w:val="both"/>
    </w:pPr>
    <w:rPr>
      <w:rFonts w:ascii="Times New Roman" w:eastAsia="Times New Roman" w:hAnsi="Times New Roman" w:cs="Times New Roman"/>
      <w:color w:val="000000"/>
      <w:kern w:val="0"/>
      <w:sz w:val="24"/>
      <w:szCs w:val="24"/>
      <w:lang w:val="en-US"/>
      <w14:ligatures w14:val="none"/>
    </w:rPr>
  </w:style>
  <w:style w:type="paragraph" w:customStyle="1" w:styleId="SDM">
    <w:name w:val="SDM"/>
    <w:basedOn w:val="Normal"/>
    <w:uiPriority w:val="99"/>
    <w:rsid w:val="00F41043"/>
    <w:pPr>
      <w:suppressAutoHyphens/>
      <w:spacing w:after="200" w:line="276" w:lineRule="auto"/>
      <w:jc w:val="both"/>
    </w:pPr>
    <w:rPr>
      <w:rFonts w:ascii="Calibri" w:eastAsia="Times New Roman" w:hAnsi="Calibri" w:cs="Times New Roman"/>
      <w:bCs/>
      <w:kern w:val="0"/>
      <w:sz w:val="20"/>
      <w:szCs w:val="20"/>
      <w:lang w:val="en-US"/>
      <w14:ligatures w14:val="none"/>
    </w:rPr>
  </w:style>
  <w:style w:type="paragraph" w:customStyle="1" w:styleId="Corpodetexto21">
    <w:name w:val="Corpo de texto 21"/>
    <w:basedOn w:val="Normal"/>
    <w:uiPriority w:val="99"/>
    <w:rsid w:val="00F41043"/>
    <w:pPr>
      <w:suppressAutoHyphens/>
      <w:spacing w:after="200" w:line="276" w:lineRule="auto"/>
      <w:jc w:val="center"/>
    </w:pPr>
    <w:rPr>
      <w:rFonts w:ascii="Calibri" w:eastAsia="Times New Roman" w:hAnsi="Calibri" w:cs="Times New Roman"/>
      <w:kern w:val="0"/>
      <w:sz w:val="20"/>
      <w:szCs w:val="20"/>
      <w:lang w:val="en-US"/>
      <w14:ligatures w14:val="none"/>
    </w:rPr>
  </w:style>
  <w:style w:type="paragraph" w:customStyle="1" w:styleId="Corpodetexto32">
    <w:name w:val="Corpo de texto 32"/>
    <w:basedOn w:val="Normal"/>
    <w:uiPriority w:val="99"/>
    <w:rsid w:val="00F41043"/>
    <w:pPr>
      <w:suppressAutoHyphens/>
      <w:spacing w:after="120" w:line="276" w:lineRule="auto"/>
      <w:jc w:val="both"/>
    </w:pPr>
    <w:rPr>
      <w:rFonts w:ascii="Calibri" w:eastAsia="Times New Roman" w:hAnsi="Calibri" w:cs="Times New Roman"/>
      <w:kern w:val="0"/>
      <w:sz w:val="16"/>
      <w:szCs w:val="16"/>
      <w:lang w:val="en-US"/>
      <w14:ligatures w14:val="none"/>
    </w:rPr>
  </w:style>
  <w:style w:type="paragraph" w:customStyle="1" w:styleId="NormalWeb0">
    <w:name w:val="Normal(Web)"/>
    <w:basedOn w:val="Normal"/>
    <w:uiPriority w:val="99"/>
    <w:rsid w:val="00F41043"/>
    <w:pPr>
      <w:widowControl w:val="0"/>
      <w:suppressAutoHyphens/>
      <w:autoSpaceDE w:val="0"/>
      <w:spacing w:before="280" w:after="280" w:line="276" w:lineRule="auto"/>
      <w:jc w:val="both"/>
    </w:pPr>
    <w:rPr>
      <w:rFonts w:ascii="Arial Unicode MS" w:eastAsia="Arial Unicode MS" w:hAnsi="Arial Unicode MS" w:cs="Arial Unicode MS"/>
      <w:color w:val="000000"/>
      <w:kern w:val="0"/>
      <w:sz w:val="20"/>
      <w:szCs w:val="20"/>
      <w:lang w:val="en-US"/>
      <w14:ligatures w14:val="none"/>
    </w:rPr>
  </w:style>
  <w:style w:type="paragraph" w:customStyle="1" w:styleId="pargrafodalista0">
    <w:name w:val="pargrafodalista"/>
    <w:basedOn w:val="Normal"/>
    <w:uiPriority w:val="99"/>
    <w:rsid w:val="00F41043"/>
    <w:pPr>
      <w:suppressAutoHyphens/>
      <w:spacing w:before="280" w:after="280" w:line="276" w:lineRule="auto"/>
      <w:jc w:val="both"/>
    </w:pPr>
    <w:rPr>
      <w:rFonts w:ascii="Arial Unicode MS" w:eastAsia="Arial Unicode MS" w:hAnsi="Arial Unicode MS" w:cs="Arial Unicode MS"/>
      <w:color w:val="000000"/>
      <w:kern w:val="0"/>
      <w:sz w:val="20"/>
      <w:szCs w:val="20"/>
      <w:lang w:val="en-US"/>
      <w14:ligatures w14:val="none"/>
    </w:rPr>
  </w:style>
  <w:style w:type="paragraph" w:customStyle="1" w:styleId="CG-SingleSps1">
    <w:name w:val="CG-Single Sp.s1"/>
    <w:basedOn w:val="Normal"/>
    <w:uiPriority w:val="99"/>
    <w:rsid w:val="00F41043"/>
    <w:pPr>
      <w:suppressAutoHyphens/>
      <w:spacing w:after="240" w:line="276" w:lineRule="auto"/>
      <w:jc w:val="both"/>
    </w:pPr>
    <w:rPr>
      <w:rFonts w:ascii="Calibri" w:eastAsia="Times New Roman" w:hAnsi="Calibri" w:cs="Times New Roman"/>
      <w:color w:val="000000"/>
      <w:kern w:val="0"/>
      <w:szCs w:val="20"/>
      <w:lang w:val="en-US"/>
      <w14:ligatures w14:val="none"/>
    </w:rPr>
  </w:style>
  <w:style w:type="paragraph" w:customStyle="1" w:styleId="CG-Title-Center-Boldt1">
    <w:name w:val="CG-Title-Center-Bold.t1"/>
    <w:basedOn w:val="Normal"/>
    <w:next w:val="Normal"/>
    <w:uiPriority w:val="99"/>
    <w:rsid w:val="00F41043"/>
    <w:pPr>
      <w:keepNext/>
      <w:suppressAutoHyphens/>
      <w:spacing w:after="240" w:line="276" w:lineRule="auto"/>
      <w:jc w:val="center"/>
    </w:pPr>
    <w:rPr>
      <w:rFonts w:ascii="Calibri" w:eastAsia="Times New Roman" w:hAnsi="Calibri" w:cs="Times New Roman"/>
      <w:b/>
      <w:color w:val="000000"/>
      <w:kern w:val="0"/>
      <w:sz w:val="20"/>
      <w:szCs w:val="20"/>
      <w:lang w:val="en-US"/>
      <w14:ligatures w14:val="none"/>
    </w:rPr>
  </w:style>
  <w:style w:type="paragraph" w:customStyle="1" w:styleId="CG-Title-Left-Italic">
    <w:name w:val="CG-Title-Left-Italic"/>
    <w:basedOn w:val="Normal"/>
    <w:next w:val="Normal"/>
    <w:uiPriority w:val="99"/>
    <w:rsid w:val="00F41043"/>
    <w:pPr>
      <w:keepNext/>
      <w:suppressAutoHyphens/>
      <w:spacing w:after="240" w:line="276" w:lineRule="auto"/>
      <w:jc w:val="both"/>
    </w:pPr>
    <w:rPr>
      <w:rFonts w:ascii="Calibri" w:eastAsia="Times New Roman" w:hAnsi="Calibri" w:cs="Times New Roman"/>
      <w:i/>
      <w:color w:val="000000"/>
      <w:kern w:val="0"/>
      <w:szCs w:val="20"/>
      <w:lang w:val="en-US"/>
      <w14:ligatures w14:val="none"/>
    </w:rPr>
  </w:style>
  <w:style w:type="paragraph" w:customStyle="1" w:styleId="CG-SingleSp05">
    <w:name w:val="CG-Single Sp 0.5"/>
    <w:basedOn w:val="Normal"/>
    <w:uiPriority w:val="99"/>
    <w:rsid w:val="00F41043"/>
    <w:pPr>
      <w:suppressAutoHyphens/>
      <w:spacing w:after="120" w:line="276" w:lineRule="auto"/>
      <w:ind w:firstLine="720"/>
      <w:jc w:val="both"/>
    </w:pPr>
    <w:rPr>
      <w:rFonts w:ascii="Calibri" w:eastAsia="Times New Roman" w:hAnsi="Calibri" w:cs="Times New Roman"/>
      <w:color w:val="000000"/>
      <w:kern w:val="0"/>
      <w:szCs w:val="20"/>
      <w:lang w:val="en-US"/>
      <w14:ligatures w14:val="none"/>
    </w:rPr>
  </w:style>
  <w:style w:type="paragraph" w:customStyle="1" w:styleId="SingleSpace1">
    <w:name w:val="Single Space"/>
    <w:basedOn w:val="Normal"/>
    <w:uiPriority w:val="99"/>
    <w:rsid w:val="00F41043"/>
    <w:pPr>
      <w:suppressAutoHyphens/>
      <w:spacing w:after="240" w:line="276" w:lineRule="auto"/>
      <w:ind w:firstLine="720"/>
      <w:jc w:val="both"/>
    </w:pPr>
    <w:rPr>
      <w:rFonts w:ascii="Calibri" w:eastAsia="Times New Roman" w:hAnsi="Calibri" w:cs="Times New Roman"/>
      <w:color w:val="000000"/>
      <w:kern w:val="0"/>
      <w:szCs w:val="20"/>
      <w:lang w:val="en-US"/>
      <w14:ligatures w14:val="none"/>
    </w:rPr>
  </w:style>
  <w:style w:type="paragraph" w:customStyle="1" w:styleId="leftheadbold">
    <w:name w:val="left head bold"/>
    <w:basedOn w:val="Normal"/>
    <w:next w:val="SingleSpace1"/>
    <w:uiPriority w:val="99"/>
    <w:rsid w:val="00F41043"/>
    <w:pPr>
      <w:keepNext/>
      <w:widowControl w:val="0"/>
      <w:suppressAutoHyphens/>
      <w:spacing w:after="240" w:line="276" w:lineRule="auto"/>
      <w:jc w:val="both"/>
    </w:pPr>
    <w:rPr>
      <w:rFonts w:ascii="Calibri" w:eastAsia="Times New Roman" w:hAnsi="Calibri" w:cs="Times New Roman"/>
      <w:b/>
      <w:color w:val="000000"/>
      <w:kern w:val="0"/>
      <w:sz w:val="20"/>
      <w:szCs w:val="20"/>
      <w:lang w:val="en-US"/>
      <w14:ligatures w14:val="none"/>
    </w:rPr>
  </w:style>
  <w:style w:type="paragraph" w:customStyle="1" w:styleId="Commarcadores41">
    <w:name w:val="Com marcadores 41"/>
    <w:basedOn w:val="Normal"/>
    <w:uiPriority w:val="99"/>
    <w:rsid w:val="00F41043"/>
    <w:pPr>
      <w:suppressAutoHyphens/>
      <w:spacing w:after="120" w:line="276" w:lineRule="auto"/>
      <w:ind w:firstLine="567"/>
      <w:jc w:val="both"/>
    </w:pPr>
    <w:rPr>
      <w:rFonts w:ascii="Calibri" w:eastAsia="Times New Roman" w:hAnsi="Calibri" w:cs="Times New Roman"/>
      <w:color w:val="000000"/>
      <w:kern w:val="0"/>
      <w:szCs w:val="20"/>
      <w14:ligatures w14:val="none"/>
    </w:rPr>
  </w:style>
  <w:style w:type="paragraph" w:customStyle="1" w:styleId="CG-Title-Center-Bold">
    <w:name w:val="CG-Title-Center-Bold"/>
    <w:basedOn w:val="Normal"/>
    <w:next w:val="Normal"/>
    <w:uiPriority w:val="99"/>
    <w:rsid w:val="00F41043"/>
    <w:pPr>
      <w:keepNext/>
      <w:suppressAutoHyphens/>
      <w:spacing w:after="240" w:line="276" w:lineRule="auto"/>
      <w:jc w:val="center"/>
    </w:pPr>
    <w:rPr>
      <w:rFonts w:ascii="Calibri" w:eastAsia="Times New Roman" w:hAnsi="Calibri" w:cs="Times New Roman"/>
      <w:b/>
      <w:color w:val="000000"/>
      <w:kern w:val="0"/>
      <w:sz w:val="20"/>
      <w:szCs w:val="20"/>
      <w:lang w:val="en-US"/>
      <w14:ligatures w14:val="none"/>
    </w:rPr>
  </w:style>
  <w:style w:type="paragraph" w:customStyle="1" w:styleId="CM104">
    <w:name w:val="CM104"/>
    <w:basedOn w:val="Normal10"/>
    <w:next w:val="Normal10"/>
    <w:uiPriority w:val="99"/>
    <w:rsid w:val="00F41043"/>
    <w:pPr>
      <w:widowControl w:val="0"/>
    </w:pPr>
    <w:rPr>
      <w:rFonts w:ascii="Tahoma" w:hAnsi="Tahoma" w:cs="Tahoma"/>
      <w:color w:val="auto"/>
    </w:rPr>
  </w:style>
  <w:style w:type="paragraph" w:customStyle="1" w:styleId="CM106">
    <w:name w:val="CM106"/>
    <w:basedOn w:val="Normal10"/>
    <w:next w:val="Normal10"/>
    <w:uiPriority w:val="99"/>
    <w:rsid w:val="00F41043"/>
    <w:pPr>
      <w:widowControl w:val="0"/>
    </w:pPr>
    <w:rPr>
      <w:rFonts w:ascii="Tahoma" w:hAnsi="Tahoma" w:cs="Tahoma"/>
      <w:color w:val="auto"/>
    </w:rPr>
  </w:style>
  <w:style w:type="paragraph" w:customStyle="1" w:styleId="CM103">
    <w:name w:val="CM103"/>
    <w:basedOn w:val="Normal10"/>
    <w:next w:val="Normal10"/>
    <w:uiPriority w:val="99"/>
    <w:rsid w:val="00F41043"/>
    <w:pPr>
      <w:widowControl w:val="0"/>
    </w:pPr>
    <w:rPr>
      <w:rFonts w:ascii="Tahoma" w:hAnsi="Tahoma" w:cs="Tahoma"/>
      <w:color w:val="auto"/>
    </w:rPr>
  </w:style>
  <w:style w:type="paragraph" w:customStyle="1" w:styleId="CM115">
    <w:name w:val="CM115"/>
    <w:basedOn w:val="Normal10"/>
    <w:next w:val="Normal10"/>
    <w:uiPriority w:val="99"/>
    <w:rsid w:val="00F41043"/>
    <w:pPr>
      <w:widowControl w:val="0"/>
    </w:pPr>
    <w:rPr>
      <w:rFonts w:ascii="Tahoma" w:hAnsi="Tahoma" w:cs="Tahoma"/>
      <w:color w:val="auto"/>
    </w:rPr>
  </w:style>
  <w:style w:type="paragraph" w:customStyle="1" w:styleId="CM14">
    <w:name w:val="CM14"/>
    <w:basedOn w:val="Normal10"/>
    <w:next w:val="Normal10"/>
    <w:uiPriority w:val="99"/>
    <w:rsid w:val="00F41043"/>
    <w:pPr>
      <w:widowControl w:val="0"/>
    </w:pPr>
    <w:rPr>
      <w:rFonts w:ascii="Tahoma" w:hAnsi="Tahoma" w:cs="Tahoma"/>
      <w:color w:val="auto"/>
    </w:rPr>
  </w:style>
  <w:style w:type="paragraph" w:customStyle="1" w:styleId="CM4">
    <w:name w:val="CM4"/>
    <w:basedOn w:val="Normal10"/>
    <w:next w:val="Normal10"/>
    <w:uiPriority w:val="99"/>
    <w:rsid w:val="00F41043"/>
    <w:pPr>
      <w:widowControl w:val="0"/>
      <w:spacing w:line="223" w:lineRule="atLeast"/>
    </w:pPr>
    <w:rPr>
      <w:rFonts w:ascii="Tahoma" w:hAnsi="Tahoma" w:cs="Tahoma"/>
      <w:color w:val="auto"/>
    </w:rPr>
  </w:style>
  <w:style w:type="paragraph" w:customStyle="1" w:styleId="CM102">
    <w:name w:val="CM102"/>
    <w:basedOn w:val="Normal10"/>
    <w:next w:val="Normal10"/>
    <w:uiPriority w:val="99"/>
    <w:rsid w:val="00F41043"/>
    <w:pPr>
      <w:widowControl w:val="0"/>
    </w:pPr>
    <w:rPr>
      <w:rFonts w:ascii="Tahoma" w:hAnsi="Tahoma" w:cs="Tahoma"/>
      <w:color w:val="auto"/>
    </w:rPr>
  </w:style>
  <w:style w:type="paragraph" w:customStyle="1" w:styleId="CM127">
    <w:name w:val="CM127"/>
    <w:basedOn w:val="Normal10"/>
    <w:next w:val="Normal10"/>
    <w:uiPriority w:val="99"/>
    <w:rsid w:val="00F41043"/>
    <w:pPr>
      <w:widowControl w:val="0"/>
    </w:pPr>
    <w:rPr>
      <w:rFonts w:ascii="Tahoma" w:hAnsi="Tahoma" w:cs="Tahoma"/>
      <w:color w:val="auto"/>
    </w:rPr>
  </w:style>
  <w:style w:type="paragraph" w:customStyle="1" w:styleId="CM105">
    <w:name w:val="CM105"/>
    <w:basedOn w:val="Normal10"/>
    <w:next w:val="Normal10"/>
    <w:uiPriority w:val="99"/>
    <w:rsid w:val="00F41043"/>
    <w:pPr>
      <w:widowControl w:val="0"/>
    </w:pPr>
    <w:rPr>
      <w:rFonts w:ascii="Tahoma" w:hAnsi="Tahoma" w:cs="Tahoma"/>
      <w:color w:val="auto"/>
    </w:rPr>
  </w:style>
  <w:style w:type="paragraph" w:customStyle="1" w:styleId="CM2">
    <w:name w:val="CM2"/>
    <w:basedOn w:val="Normal10"/>
    <w:next w:val="Normal10"/>
    <w:uiPriority w:val="99"/>
    <w:rsid w:val="00F41043"/>
    <w:pPr>
      <w:widowControl w:val="0"/>
      <w:spacing w:line="218" w:lineRule="atLeast"/>
    </w:pPr>
    <w:rPr>
      <w:rFonts w:ascii="Tahoma" w:hAnsi="Tahoma" w:cs="Tahoma"/>
      <w:color w:val="auto"/>
    </w:rPr>
  </w:style>
  <w:style w:type="paragraph" w:customStyle="1" w:styleId="CM107">
    <w:name w:val="CM107"/>
    <w:basedOn w:val="Normal10"/>
    <w:next w:val="Normal10"/>
    <w:uiPriority w:val="99"/>
    <w:rsid w:val="00F41043"/>
    <w:pPr>
      <w:widowControl w:val="0"/>
    </w:pPr>
    <w:rPr>
      <w:rFonts w:ascii="Tahoma" w:hAnsi="Tahoma" w:cs="Tahoma"/>
      <w:color w:val="auto"/>
    </w:rPr>
  </w:style>
  <w:style w:type="paragraph" w:customStyle="1" w:styleId="CM108">
    <w:name w:val="CM108"/>
    <w:basedOn w:val="Normal10"/>
    <w:next w:val="Normal10"/>
    <w:uiPriority w:val="99"/>
    <w:rsid w:val="00F41043"/>
    <w:pPr>
      <w:widowControl w:val="0"/>
    </w:pPr>
    <w:rPr>
      <w:rFonts w:ascii="Tahoma" w:hAnsi="Tahoma" w:cs="Tahoma"/>
      <w:color w:val="auto"/>
    </w:rPr>
  </w:style>
  <w:style w:type="paragraph" w:customStyle="1" w:styleId="CM111">
    <w:name w:val="CM111"/>
    <w:basedOn w:val="Normal10"/>
    <w:next w:val="Normal10"/>
    <w:uiPriority w:val="99"/>
    <w:rsid w:val="00F41043"/>
    <w:pPr>
      <w:widowControl w:val="0"/>
    </w:pPr>
    <w:rPr>
      <w:rFonts w:ascii="Tahoma" w:hAnsi="Tahoma" w:cs="Tahoma"/>
      <w:color w:val="auto"/>
    </w:rPr>
  </w:style>
  <w:style w:type="paragraph" w:customStyle="1" w:styleId="CM6">
    <w:name w:val="CM6"/>
    <w:basedOn w:val="Normal10"/>
    <w:next w:val="Normal10"/>
    <w:uiPriority w:val="99"/>
    <w:rsid w:val="00F41043"/>
    <w:pPr>
      <w:widowControl w:val="0"/>
      <w:spacing w:line="231" w:lineRule="atLeast"/>
    </w:pPr>
    <w:rPr>
      <w:rFonts w:ascii="Tahoma" w:hAnsi="Tahoma" w:cs="Tahoma"/>
      <w:color w:val="auto"/>
    </w:rPr>
  </w:style>
  <w:style w:type="paragraph" w:customStyle="1" w:styleId="CM124">
    <w:name w:val="CM124"/>
    <w:basedOn w:val="Normal10"/>
    <w:next w:val="Normal10"/>
    <w:uiPriority w:val="99"/>
    <w:rsid w:val="00F41043"/>
    <w:pPr>
      <w:widowControl w:val="0"/>
    </w:pPr>
    <w:rPr>
      <w:rFonts w:ascii="Tahoma" w:hAnsi="Tahoma" w:cs="Tahoma"/>
      <w:color w:val="auto"/>
    </w:rPr>
  </w:style>
  <w:style w:type="paragraph" w:customStyle="1" w:styleId="Ttulodendicedeautoridades1">
    <w:name w:val="Título de índice de autoridades1"/>
    <w:basedOn w:val="Normal"/>
    <w:next w:val="Normal"/>
    <w:uiPriority w:val="99"/>
    <w:rsid w:val="00F41043"/>
    <w:pPr>
      <w:suppressAutoHyphens/>
      <w:spacing w:before="120" w:after="200" w:line="276" w:lineRule="auto"/>
      <w:jc w:val="both"/>
    </w:pPr>
    <w:rPr>
      <w:rFonts w:ascii="Cambria" w:eastAsia="Times New Roman" w:hAnsi="Cambria" w:cs="Cambria"/>
      <w:b/>
      <w:bCs/>
      <w:kern w:val="0"/>
      <w:sz w:val="20"/>
      <w:szCs w:val="20"/>
      <w:lang w:val="en-US"/>
      <w14:ligatures w14:val="none"/>
    </w:rPr>
  </w:style>
  <w:style w:type="paragraph" w:styleId="CabealhodoSumrio">
    <w:name w:val="TOC Heading"/>
    <w:basedOn w:val="Ttulo1"/>
    <w:next w:val="Normal"/>
    <w:uiPriority w:val="99"/>
    <w:qFormat/>
    <w:rsid w:val="00F41043"/>
    <w:pPr>
      <w:keepNext w:val="0"/>
      <w:keepLines w:val="0"/>
      <w:suppressAutoHyphens/>
      <w:spacing w:before="300" w:after="40" w:line="276" w:lineRule="auto"/>
      <w:ind w:left="851"/>
    </w:pPr>
    <w:rPr>
      <w:rFonts w:ascii="Tahoma" w:eastAsia="Times New Roman" w:hAnsi="Tahoma" w:cs="Tahoma"/>
      <w:b/>
      <w:smallCaps/>
      <w:color w:val="auto"/>
      <w:spacing w:val="5"/>
      <w:kern w:val="0"/>
      <w:sz w:val="20"/>
      <w:szCs w:val="32"/>
      <w:lang w:val="en-US"/>
      <w14:ligatures w14:val="none"/>
    </w:rPr>
  </w:style>
  <w:style w:type="paragraph" w:customStyle="1" w:styleId="Sumrio11">
    <w:name w:val="Sumário 11"/>
    <w:basedOn w:val="Normal"/>
    <w:next w:val="Normal"/>
    <w:uiPriority w:val="99"/>
    <w:rsid w:val="00F41043"/>
    <w:pPr>
      <w:pBdr>
        <w:between w:val="double" w:sz="6" w:space="0" w:color="auto"/>
      </w:pBdr>
      <w:spacing w:before="120" w:after="120" w:line="240" w:lineRule="auto"/>
      <w:jc w:val="center"/>
    </w:pPr>
    <w:rPr>
      <w:rFonts w:eastAsia="Times New Roman" w:cs="Times New Roman"/>
      <w:b/>
      <w:bCs/>
      <w:i/>
      <w:iCs/>
      <w:kern w:val="0"/>
      <w:sz w:val="24"/>
      <w:szCs w:val="24"/>
      <w:lang w:eastAsia="pt-BR"/>
      <w14:ligatures w14:val="none"/>
    </w:rPr>
  </w:style>
  <w:style w:type="paragraph" w:customStyle="1" w:styleId="Sumrio31">
    <w:name w:val="Sumário 31"/>
    <w:basedOn w:val="Normal"/>
    <w:next w:val="Normal"/>
    <w:uiPriority w:val="99"/>
    <w:rsid w:val="00F41043"/>
    <w:pPr>
      <w:pBdr>
        <w:between w:val="double" w:sz="6" w:space="0" w:color="auto"/>
      </w:pBdr>
      <w:spacing w:before="120" w:after="120" w:line="240" w:lineRule="auto"/>
      <w:ind w:left="200"/>
      <w:jc w:val="center"/>
    </w:pPr>
    <w:rPr>
      <w:rFonts w:eastAsia="Times New Roman" w:cs="Times New Roman"/>
      <w:kern w:val="0"/>
      <w:sz w:val="20"/>
      <w:szCs w:val="20"/>
      <w:lang w:eastAsia="pt-BR"/>
      <w14:ligatures w14:val="none"/>
    </w:rPr>
  </w:style>
  <w:style w:type="paragraph" w:customStyle="1" w:styleId="Sumrio21">
    <w:name w:val="Sumário 21"/>
    <w:basedOn w:val="Normal"/>
    <w:next w:val="Normal"/>
    <w:uiPriority w:val="99"/>
    <w:rsid w:val="00F41043"/>
    <w:pPr>
      <w:pBdr>
        <w:between w:val="double" w:sz="6" w:space="0" w:color="auto"/>
      </w:pBdr>
      <w:spacing w:before="120" w:after="120" w:line="240" w:lineRule="auto"/>
      <w:jc w:val="center"/>
    </w:pPr>
    <w:rPr>
      <w:rFonts w:eastAsia="Times New Roman" w:cs="Times New Roman"/>
      <w:i/>
      <w:iCs/>
      <w:kern w:val="0"/>
      <w:sz w:val="20"/>
      <w:szCs w:val="20"/>
      <w:lang w:eastAsia="pt-BR"/>
      <w14:ligatures w14:val="none"/>
    </w:rPr>
  </w:style>
  <w:style w:type="paragraph" w:customStyle="1" w:styleId="Sumrio41">
    <w:name w:val="Sumário 41"/>
    <w:basedOn w:val="Normal"/>
    <w:next w:val="Normal"/>
    <w:uiPriority w:val="99"/>
    <w:rsid w:val="00F41043"/>
    <w:pPr>
      <w:pBdr>
        <w:between w:val="double" w:sz="6" w:space="0" w:color="auto"/>
      </w:pBdr>
      <w:spacing w:before="120" w:after="120" w:line="240" w:lineRule="auto"/>
      <w:ind w:left="400"/>
      <w:jc w:val="center"/>
    </w:pPr>
    <w:rPr>
      <w:rFonts w:eastAsia="Times New Roman" w:cs="Times New Roman"/>
      <w:kern w:val="0"/>
      <w:sz w:val="20"/>
      <w:szCs w:val="20"/>
      <w:lang w:eastAsia="pt-BR"/>
      <w14:ligatures w14:val="none"/>
    </w:rPr>
  </w:style>
  <w:style w:type="paragraph" w:customStyle="1" w:styleId="Sumrio51">
    <w:name w:val="Sumário 51"/>
    <w:basedOn w:val="Normal"/>
    <w:next w:val="Normal"/>
    <w:uiPriority w:val="99"/>
    <w:rsid w:val="00F41043"/>
    <w:pPr>
      <w:pBdr>
        <w:between w:val="double" w:sz="6" w:space="0" w:color="auto"/>
      </w:pBdr>
      <w:spacing w:before="120" w:after="120" w:line="240" w:lineRule="auto"/>
      <w:ind w:left="600"/>
      <w:jc w:val="center"/>
    </w:pPr>
    <w:rPr>
      <w:rFonts w:eastAsia="Times New Roman" w:cs="Times New Roman"/>
      <w:kern w:val="0"/>
      <w:sz w:val="20"/>
      <w:szCs w:val="20"/>
      <w:lang w:eastAsia="pt-BR"/>
      <w14:ligatures w14:val="none"/>
    </w:rPr>
  </w:style>
  <w:style w:type="paragraph" w:customStyle="1" w:styleId="Sumrio61">
    <w:name w:val="Sumário 61"/>
    <w:basedOn w:val="Normal"/>
    <w:next w:val="Normal"/>
    <w:uiPriority w:val="99"/>
    <w:rsid w:val="00F41043"/>
    <w:pPr>
      <w:pBdr>
        <w:between w:val="double" w:sz="6" w:space="0" w:color="auto"/>
      </w:pBdr>
      <w:spacing w:before="120" w:after="120" w:line="240" w:lineRule="auto"/>
      <w:ind w:left="800"/>
      <w:jc w:val="center"/>
    </w:pPr>
    <w:rPr>
      <w:rFonts w:eastAsia="Times New Roman" w:cs="Times New Roman"/>
      <w:kern w:val="0"/>
      <w:sz w:val="20"/>
      <w:szCs w:val="20"/>
      <w:lang w:eastAsia="pt-BR"/>
      <w14:ligatures w14:val="none"/>
    </w:rPr>
  </w:style>
  <w:style w:type="paragraph" w:customStyle="1" w:styleId="Sumrio71">
    <w:name w:val="Sumário 71"/>
    <w:basedOn w:val="Normal"/>
    <w:next w:val="Normal"/>
    <w:uiPriority w:val="99"/>
    <w:rsid w:val="00F41043"/>
    <w:pPr>
      <w:pBdr>
        <w:between w:val="double" w:sz="6" w:space="0" w:color="auto"/>
      </w:pBdr>
      <w:spacing w:before="120" w:after="120" w:line="240" w:lineRule="auto"/>
      <w:ind w:left="1000"/>
      <w:jc w:val="center"/>
    </w:pPr>
    <w:rPr>
      <w:rFonts w:eastAsia="Times New Roman" w:cs="Times New Roman"/>
      <w:kern w:val="0"/>
      <w:sz w:val="20"/>
      <w:szCs w:val="20"/>
      <w:lang w:eastAsia="pt-BR"/>
      <w14:ligatures w14:val="none"/>
    </w:rPr>
  </w:style>
  <w:style w:type="paragraph" w:customStyle="1" w:styleId="Sumrio81">
    <w:name w:val="Sumário 81"/>
    <w:basedOn w:val="Normal"/>
    <w:next w:val="Normal"/>
    <w:uiPriority w:val="99"/>
    <w:rsid w:val="00F41043"/>
    <w:pPr>
      <w:pBdr>
        <w:between w:val="double" w:sz="6" w:space="0" w:color="auto"/>
      </w:pBdr>
      <w:spacing w:before="120" w:after="120" w:line="240" w:lineRule="auto"/>
      <w:ind w:left="1200"/>
      <w:jc w:val="center"/>
    </w:pPr>
    <w:rPr>
      <w:rFonts w:eastAsia="Times New Roman" w:cs="Times New Roman"/>
      <w:kern w:val="0"/>
      <w:sz w:val="20"/>
      <w:szCs w:val="20"/>
      <w:lang w:eastAsia="pt-BR"/>
      <w14:ligatures w14:val="none"/>
    </w:rPr>
  </w:style>
  <w:style w:type="paragraph" w:customStyle="1" w:styleId="Sumrio91">
    <w:name w:val="Sumário 91"/>
    <w:basedOn w:val="Normal"/>
    <w:next w:val="Normal"/>
    <w:uiPriority w:val="99"/>
    <w:rsid w:val="00F41043"/>
    <w:pPr>
      <w:pBdr>
        <w:between w:val="double" w:sz="6" w:space="0" w:color="auto"/>
      </w:pBdr>
      <w:spacing w:before="120" w:after="120" w:line="240" w:lineRule="auto"/>
      <w:ind w:left="1400"/>
      <w:jc w:val="center"/>
    </w:pPr>
    <w:rPr>
      <w:rFonts w:eastAsia="Times New Roman" w:cs="Times New Roman"/>
      <w:kern w:val="0"/>
      <w:sz w:val="20"/>
      <w:szCs w:val="20"/>
      <w:lang w:eastAsia="pt-BR"/>
      <w14:ligatures w14:val="none"/>
    </w:rPr>
  </w:style>
  <w:style w:type="character" w:customStyle="1" w:styleId="SubttuloChar1">
    <w:name w:val="Subtítulo Char1"/>
    <w:basedOn w:val="Fontepargpadro"/>
    <w:uiPriority w:val="99"/>
    <w:locked/>
    <w:rsid w:val="00F41043"/>
    <w:rPr>
      <w:rFonts w:ascii="Cambria" w:hAnsi="Cambria" w:cs="Cambria"/>
      <w:sz w:val="20"/>
      <w:lang w:val="en-US"/>
    </w:rPr>
  </w:style>
  <w:style w:type="paragraph" w:styleId="SemEspaamento">
    <w:name w:val="No Spacing"/>
    <w:basedOn w:val="Normal"/>
    <w:uiPriority w:val="1"/>
    <w:qFormat/>
    <w:rsid w:val="00F41043"/>
    <w:pPr>
      <w:suppressAutoHyphens/>
      <w:spacing w:after="0" w:line="240" w:lineRule="auto"/>
      <w:jc w:val="both"/>
    </w:pPr>
    <w:rPr>
      <w:rFonts w:ascii="Calibri" w:eastAsia="Times New Roman" w:hAnsi="Calibri" w:cs="Times New Roman"/>
      <w:kern w:val="0"/>
      <w:sz w:val="20"/>
      <w:szCs w:val="20"/>
      <w:lang w:val="en-US"/>
      <w14:ligatures w14:val="none"/>
    </w:rPr>
  </w:style>
  <w:style w:type="character" w:customStyle="1" w:styleId="CitaoChar1">
    <w:name w:val="Citação Char1"/>
    <w:basedOn w:val="Fontepargpadro"/>
    <w:uiPriority w:val="99"/>
    <w:locked/>
    <w:rsid w:val="00F41043"/>
    <w:rPr>
      <w:rFonts w:ascii="Calibri" w:hAnsi="Calibri" w:cs="Times New Roman"/>
      <w:i/>
      <w:sz w:val="20"/>
      <w:szCs w:val="20"/>
      <w:lang w:val="en-US"/>
    </w:rPr>
  </w:style>
  <w:style w:type="character" w:customStyle="1" w:styleId="CitaoIntensaChar1">
    <w:name w:val="Citação Intensa Char1"/>
    <w:basedOn w:val="Fontepargpadro"/>
    <w:uiPriority w:val="99"/>
    <w:locked/>
    <w:rsid w:val="00F41043"/>
    <w:rPr>
      <w:rFonts w:ascii="Calibri" w:hAnsi="Calibri" w:cs="Times New Roman"/>
      <w:b/>
      <w:i/>
      <w:color w:val="FFFFFF"/>
      <w:sz w:val="20"/>
      <w:szCs w:val="20"/>
      <w:shd w:val="clear" w:color="auto" w:fill="C0504D"/>
      <w:lang w:val="en-US"/>
    </w:rPr>
  </w:style>
  <w:style w:type="paragraph" w:customStyle="1" w:styleId="Estilo1">
    <w:name w:val="Estilo1"/>
    <w:basedOn w:val="Ttulo2"/>
    <w:link w:val="Estilo1Char"/>
    <w:uiPriority w:val="99"/>
    <w:qFormat/>
    <w:rsid w:val="00F41043"/>
    <w:pPr>
      <w:keepNext w:val="0"/>
      <w:keepLines w:val="0"/>
      <w:suppressAutoHyphens/>
      <w:spacing w:before="240" w:after="240" w:line="276" w:lineRule="auto"/>
      <w:ind w:left="851"/>
    </w:pPr>
    <w:rPr>
      <w:rFonts w:ascii="Tahoma" w:eastAsia="Times New Roman" w:hAnsi="Tahoma" w:cs="Tahoma"/>
      <w:b/>
      <w:i/>
      <w:smallCaps/>
      <w:color w:val="auto"/>
      <w:spacing w:val="5"/>
      <w:kern w:val="0"/>
      <w:sz w:val="16"/>
      <w:szCs w:val="28"/>
      <w:lang w:val="en-US"/>
      <w14:ligatures w14:val="none"/>
    </w:rPr>
  </w:style>
  <w:style w:type="paragraph" w:customStyle="1" w:styleId="Textodecomentrio1">
    <w:name w:val="Texto de comentário1"/>
    <w:basedOn w:val="Normal"/>
    <w:uiPriority w:val="99"/>
    <w:rsid w:val="00F41043"/>
    <w:pPr>
      <w:suppressAutoHyphens/>
      <w:spacing w:after="0" w:line="240" w:lineRule="auto"/>
    </w:pPr>
    <w:rPr>
      <w:rFonts w:ascii="Times New Roman" w:eastAsia="Times New Roman" w:hAnsi="Times New Roman" w:cs="Times New Roman"/>
      <w:kern w:val="0"/>
      <w:sz w:val="20"/>
      <w:szCs w:val="20"/>
      <w:lang w:eastAsia="ar-SA"/>
      <w14:ligatures w14:val="none"/>
    </w:rPr>
  </w:style>
  <w:style w:type="paragraph" w:customStyle="1" w:styleId="PargrafodaLista11">
    <w:name w:val="Parágrafo da Lista11"/>
    <w:basedOn w:val="Normal"/>
    <w:uiPriority w:val="99"/>
    <w:rsid w:val="00F41043"/>
    <w:pPr>
      <w:suppressAutoHyphens/>
      <w:spacing w:after="0" w:line="240" w:lineRule="auto"/>
      <w:ind w:left="708"/>
    </w:pPr>
    <w:rPr>
      <w:rFonts w:ascii="Times New Roman" w:eastAsia="Times New Roman" w:hAnsi="Times New Roman" w:cs="Times New Roman"/>
      <w:kern w:val="0"/>
      <w:sz w:val="20"/>
      <w:szCs w:val="20"/>
      <w:lang w:eastAsia="ar-SA"/>
      <w14:ligatures w14:val="none"/>
    </w:rPr>
  </w:style>
  <w:style w:type="paragraph" w:customStyle="1" w:styleId="Corpodetexto31">
    <w:name w:val="Corpo de texto 31"/>
    <w:basedOn w:val="Normal"/>
    <w:uiPriority w:val="99"/>
    <w:rsid w:val="00F41043"/>
    <w:pPr>
      <w:suppressAutoHyphens/>
      <w:spacing w:after="0" w:line="240" w:lineRule="auto"/>
      <w:jc w:val="both"/>
    </w:pPr>
    <w:rPr>
      <w:rFonts w:ascii="Arial" w:eastAsia="Times New Roman" w:hAnsi="Arial" w:cs="Arial"/>
      <w:kern w:val="0"/>
      <w:sz w:val="20"/>
      <w:szCs w:val="24"/>
      <w:lang w:eastAsia="ar-SA"/>
      <w14:ligatures w14:val="none"/>
    </w:rPr>
  </w:style>
  <w:style w:type="paragraph" w:customStyle="1" w:styleId="Sumrio10">
    <w:name w:val="Sumário 10"/>
    <w:basedOn w:val="ndice"/>
    <w:uiPriority w:val="99"/>
    <w:rsid w:val="00F41043"/>
    <w:pPr>
      <w:tabs>
        <w:tab w:val="right" w:leader="dot" w:pos="7091"/>
      </w:tabs>
      <w:ind w:left="2547"/>
    </w:pPr>
  </w:style>
  <w:style w:type="paragraph" w:customStyle="1" w:styleId="Ttulodetabela">
    <w:name w:val="Título de tabela"/>
    <w:basedOn w:val="Contedodetabela"/>
    <w:uiPriority w:val="99"/>
    <w:rsid w:val="00F41043"/>
    <w:pPr>
      <w:jc w:val="center"/>
    </w:pPr>
    <w:rPr>
      <w:b/>
      <w:bCs/>
    </w:rPr>
  </w:style>
  <w:style w:type="paragraph" w:customStyle="1" w:styleId="PargrafodaLista2">
    <w:name w:val="Parágrafo da Lista2"/>
    <w:basedOn w:val="Normal"/>
    <w:uiPriority w:val="99"/>
    <w:rsid w:val="00F41043"/>
    <w:pPr>
      <w:spacing w:after="0" w:line="240" w:lineRule="auto"/>
      <w:ind w:left="708"/>
    </w:pPr>
    <w:rPr>
      <w:rFonts w:ascii="Times New Roman" w:eastAsia="Times New Roman" w:hAnsi="Times New Roman" w:cs="Times New Roman"/>
      <w:kern w:val="0"/>
      <w:sz w:val="20"/>
      <w:szCs w:val="20"/>
      <w:lang w:eastAsia="pt-BR"/>
      <w14:ligatures w14:val="none"/>
    </w:rPr>
  </w:style>
  <w:style w:type="paragraph" w:customStyle="1" w:styleId="PargrafodaLista3">
    <w:name w:val="Parágrafo da Lista3"/>
    <w:basedOn w:val="Normal"/>
    <w:uiPriority w:val="99"/>
    <w:rsid w:val="00F41043"/>
    <w:pPr>
      <w:spacing w:after="0" w:line="240" w:lineRule="auto"/>
      <w:ind w:left="708"/>
    </w:pPr>
    <w:rPr>
      <w:rFonts w:ascii="Times New Roman" w:eastAsia="Times New Roman" w:hAnsi="Times New Roman" w:cs="Times New Roman"/>
      <w:kern w:val="0"/>
      <w:sz w:val="20"/>
      <w:szCs w:val="20"/>
      <w:lang w:eastAsia="pt-BR"/>
      <w14:ligatures w14:val="none"/>
    </w:rPr>
  </w:style>
  <w:style w:type="paragraph" w:customStyle="1" w:styleId="tptexto">
    <w:name w:val="tptexto"/>
    <w:basedOn w:val="Normal"/>
    <w:uiPriority w:val="99"/>
    <w:rsid w:val="00F41043"/>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object3">
    <w:name w:val="object3"/>
    <w:basedOn w:val="Fontepargpadro"/>
    <w:uiPriority w:val="99"/>
    <w:rsid w:val="00F41043"/>
    <w:rPr>
      <w:rFonts w:cs="Times New Roman"/>
      <w:color w:val="00008B"/>
      <w:u w:val="none"/>
      <w:effect w:val="none"/>
    </w:rPr>
  </w:style>
  <w:style w:type="character" w:customStyle="1" w:styleId="object4">
    <w:name w:val="object4"/>
    <w:basedOn w:val="Fontepargpadro"/>
    <w:uiPriority w:val="99"/>
    <w:rsid w:val="00F41043"/>
    <w:rPr>
      <w:rFonts w:cs="Times New Roman"/>
      <w:color w:val="00008B"/>
      <w:u w:val="none"/>
      <w:effect w:val="none"/>
    </w:rPr>
  </w:style>
  <w:style w:type="character" w:customStyle="1" w:styleId="object5">
    <w:name w:val="object5"/>
    <w:basedOn w:val="Fontepargpadro"/>
    <w:uiPriority w:val="99"/>
    <w:rsid w:val="00F41043"/>
    <w:rPr>
      <w:rFonts w:cs="Times New Roman"/>
      <w:color w:val="00008B"/>
      <w:u w:val="none"/>
      <w:effect w:val="none"/>
    </w:rPr>
  </w:style>
  <w:style w:type="character" w:customStyle="1" w:styleId="object6">
    <w:name w:val="object6"/>
    <w:basedOn w:val="Fontepargpadro"/>
    <w:uiPriority w:val="99"/>
    <w:rsid w:val="00F41043"/>
    <w:rPr>
      <w:rFonts w:cs="Times New Roman"/>
      <w:color w:val="00008B"/>
      <w:u w:val="none"/>
      <w:effect w:val="none"/>
    </w:rPr>
  </w:style>
  <w:style w:type="character" w:customStyle="1" w:styleId="object7">
    <w:name w:val="object7"/>
    <w:basedOn w:val="Fontepargpadro"/>
    <w:uiPriority w:val="99"/>
    <w:rsid w:val="00F41043"/>
    <w:rPr>
      <w:rFonts w:cs="Times New Roman"/>
      <w:color w:val="00008B"/>
      <w:u w:val="none"/>
      <w:effect w:val="none"/>
    </w:rPr>
  </w:style>
  <w:style w:type="character" w:customStyle="1" w:styleId="object2">
    <w:name w:val="object2"/>
    <w:basedOn w:val="Fontepargpadro"/>
    <w:uiPriority w:val="99"/>
    <w:rsid w:val="00F41043"/>
    <w:rPr>
      <w:rFonts w:cs="Times New Roman"/>
      <w:color w:val="00008B"/>
      <w:u w:val="none"/>
      <w:effect w:val="none"/>
    </w:rPr>
  </w:style>
  <w:style w:type="paragraph" w:styleId="Reviso">
    <w:name w:val="Revision"/>
    <w:hidden/>
    <w:uiPriority w:val="99"/>
    <w:semiHidden/>
    <w:rsid w:val="00F41043"/>
    <w:pPr>
      <w:spacing w:after="0" w:line="240" w:lineRule="auto"/>
    </w:pPr>
    <w:rPr>
      <w:rFonts w:ascii="Times New Roman" w:eastAsia="Times New Roman" w:hAnsi="Times New Roman" w:cs="Times New Roman"/>
      <w:kern w:val="0"/>
      <w:sz w:val="20"/>
      <w:szCs w:val="20"/>
      <w:lang w:eastAsia="pt-BR"/>
      <w14:ligatures w14:val="none"/>
    </w:rPr>
  </w:style>
  <w:style w:type="paragraph" w:customStyle="1" w:styleId="standard0">
    <w:name w:val="standard"/>
    <w:basedOn w:val="Normal"/>
    <w:uiPriority w:val="99"/>
    <w:rsid w:val="00F41043"/>
    <w:pPr>
      <w:spacing w:before="100" w:beforeAutospacing="1" w:after="100" w:afterAutospacing="1" w:line="240" w:lineRule="auto"/>
      <w:jc w:val="both"/>
    </w:pPr>
    <w:rPr>
      <w:rFonts w:ascii="Arial" w:eastAsia="Times New Roman" w:hAnsi="Arial" w:cs="Times New Roman"/>
      <w:kern w:val="0"/>
      <w:szCs w:val="24"/>
      <w:lang w:eastAsia="pt-BR"/>
      <w14:ligatures w14:val="none"/>
    </w:rPr>
  </w:style>
  <w:style w:type="paragraph" w:customStyle="1" w:styleId="Style11ptFirstline125cm">
    <w:name w:val="Style 11 pt First line:  125 cm"/>
    <w:basedOn w:val="Normal"/>
    <w:uiPriority w:val="99"/>
    <w:rsid w:val="00F41043"/>
    <w:pPr>
      <w:spacing w:before="240" w:after="0" w:line="240" w:lineRule="auto"/>
      <w:ind w:firstLine="709"/>
      <w:jc w:val="both"/>
    </w:pPr>
    <w:rPr>
      <w:rFonts w:ascii="Arial" w:eastAsia="Times New Roman" w:hAnsi="Arial" w:cs="Times New Roman"/>
      <w:noProof/>
      <w:kern w:val="0"/>
      <w:szCs w:val="20"/>
      <w:lang w:eastAsia="pt-BR"/>
      <w14:ligatures w14:val="none"/>
    </w:rPr>
  </w:style>
  <w:style w:type="paragraph" w:customStyle="1" w:styleId="StyleFirstline102cm">
    <w:name w:val="Style First line:  102 cm"/>
    <w:basedOn w:val="Normal"/>
    <w:uiPriority w:val="99"/>
    <w:rsid w:val="00F41043"/>
    <w:pPr>
      <w:spacing w:before="120" w:after="0" w:line="240" w:lineRule="auto"/>
      <w:ind w:firstLine="576"/>
      <w:jc w:val="both"/>
    </w:pPr>
    <w:rPr>
      <w:rFonts w:ascii="Arial" w:eastAsia="Times New Roman" w:hAnsi="Arial" w:cs="Times New Roman"/>
      <w:noProof/>
      <w:kern w:val="0"/>
      <w:szCs w:val="20"/>
      <w:lang w:eastAsia="pt-BR"/>
      <w14:ligatures w14:val="none"/>
    </w:rPr>
  </w:style>
  <w:style w:type="character" w:styleId="Refdecomentrio">
    <w:name w:val="annotation reference"/>
    <w:basedOn w:val="Fontepargpadro"/>
    <w:uiPriority w:val="99"/>
    <w:semiHidden/>
    <w:unhideWhenUsed/>
    <w:rsid w:val="00F41043"/>
    <w:rPr>
      <w:sz w:val="16"/>
      <w:szCs w:val="16"/>
    </w:rPr>
  </w:style>
  <w:style w:type="paragraph" w:styleId="Assuntodocomentrio">
    <w:name w:val="annotation subject"/>
    <w:basedOn w:val="Textodecomentrio"/>
    <w:next w:val="Textodecomentrio"/>
    <w:link w:val="AssuntodocomentrioChar"/>
    <w:uiPriority w:val="99"/>
    <w:semiHidden/>
    <w:unhideWhenUsed/>
    <w:rsid w:val="00F41043"/>
    <w:rPr>
      <w:b/>
      <w:bCs/>
    </w:rPr>
  </w:style>
  <w:style w:type="character" w:customStyle="1" w:styleId="AssuntodocomentrioChar">
    <w:name w:val="Assunto do comentário Char"/>
    <w:basedOn w:val="TextodecomentrioChar"/>
    <w:link w:val="Assuntodocomentrio"/>
    <w:uiPriority w:val="99"/>
    <w:semiHidden/>
    <w:rsid w:val="00F41043"/>
    <w:rPr>
      <w:rFonts w:ascii="Times New Roman" w:eastAsia="Times New Roman" w:hAnsi="Times New Roman" w:cs="Times New Roman"/>
      <w:b/>
      <w:bCs/>
      <w:kern w:val="0"/>
      <w:sz w:val="20"/>
      <w:szCs w:val="20"/>
      <w:lang w:eastAsia="pt-BR"/>
      <w14:ligatures w14:val="none"/>
    </w:rPr>
  </w:style>
  <w:style w:type="character" w:customStyle="1" w:styleId="CorpodetextoChar1">
    <w:name w:val="Corpo de texto Char1"/>
    <w:basedOn w:val="Fontepargpadro"/>
    <w:uiPriority w:val="99"/>
    <w:locked/>
    <w:rsid w:val="00F41043"/>
    <w:rPr>
      <w:rFonts w:ascii="Times New Roman" w:hAnsi="Times New Roman" w:cs="Times New Roman"/>
      <w:sz w:val="20"/>
      <w:szCs w:val="20"/>
      <w:lang w:eastAsia="pt-BR"/>
    </w:rPr>
  </w:style>
  <w:style w:type="character" w:customStyle="1" w:styleId="st">
    <w:name w:val="st"/>
    <w:basedOn w:val="Fontepargpadro"/>
    <w:rsid w:val="00F41043"/>
  </w:style>
  <w:style w:type="paragraph" w:customStyle="1" w:styleId="textocrecuo">
    <w:name w:val="texto c/ recuo"/>
    <w:basedOn w:val="Normal"/>
    <w:qFormat/>
    <w:rsid w:val="00F410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uppressAutoHyphens/>
      <w:autoSpaceDN w:val="0"/>
      <w:spacing w:after="0" w:line="280" w:lineRule="atLeast"/>
      <w:textAlignment w:val="baseline"/>
    </w:pPr>
    <w:rPr>
      <w:rFonts w:ascii="Arial" w:eastAsia="Times New Roman" w:hAnsi="Arial" w:cs="Times New Roman"/>
      <w:color w:val="000000"/>
      <w:kern w:val="0"/>
      <w:szCs w:val="20"/>
      <w14:ligatures w14:val="none"/>
    </w:rPr>
  </w:style>
  <w:style w:type="character" w:customStyle="1" w:styleId="PargrafodaListaChar">
    <w:name w:val="Parágrafo da Lista Char"/>
    <w:basedOn w:val="Fontepargpadro"/>
    <w:link w:val="PargrafodaLista"/>
    <w:uiPriority w:val="99"/>
    <w:rsid w:val="00F41043"/>
  </w:style>
  <w:style w:type="paragraph" w:customStyle="1" w:styleId="corpodotextodf">
    <w:name w:val="corpo do texto df"/>
    <w:basedOn w:val="Normal"/>
    <w:uiPriority w:val="99"/>
    <w:rsid w:val="00F41043"/>
    <w:pPr>
      <w:keepLines/>
      <w:widowControl w:val="0"/>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after="0" w:line="240" w:lineRule="auto"/>
      <w:jc w:val="both"/>
    </w:pPr>
    <w:rPr>
      <w:rFonts w:ascii="Times New Roman" w:eastAsia="Times New Roman" w:hAnsi="Times New Roman" w:cs="Times New Roman"/>
      <w:kern w:val="0"/>
      <w14:ligatures w14:val="none"/>
    </w:rPr>
  </w:style>
  <w:style w:type="character" w:customStyle="1" w:styleId="Estilo1Char">
    <w:name w:val="Estilo1 Char"/>
    <w:basedOn w:val="Fontepargpadro"/>
    <w:link w:val="Estilo1"/>
    <w:uiPriority w:val="99"/>
    <w:rsid w:val="00F41043"/>
    <w:rPr>
      <w:rFonts w:ascii="Tahoma" w:eastAsia="Times New Roman" w:hAnsi="Tahoma" w:cs="Tahoma"/>
      <w:b/>
      <w:i/>
      <w:smallCaps/>
      <w:spacing w:val="5"/>
      <w:kern w:val="0"/>
      <w:sz w:val="16"/>
      <w:szCs w:val="28"/>
      <w:lang w:val="en-US"/>
      <w14:ligatures w14:val="none"/>
    </w:rPr>
  </w:style>
  <w:style w:type="paragraph" w:customStyle="1" w:styleId="MediumGrid1-Accent21">
    <w:name w:val="Medium Grid 1 - Accent 21"/>
    <w:basedOn w:val="Normal"/>
    <w:uiPriority w:val="99"/>
    <w:qFormat/>
    <w:rsid w:val="00F41043"/>
    <w:pPr>
      <w:suppressAutoHyphens/>
      <w:spacing w:after="200" w:line="276" w:lineRule="auto"/>
      <w:ind w:left="720"/>
      <w:jc w:val="both"/>
    </w:pPr>
    <w:rPr>
      <w:rFonts w:ascii="Calibri" w:eastAsia="Times New Roman" w:hAnsi="Calibri" w:cs="Times New Roman"/>
      <w:kern w:val="0"/>
      <w:sz w:val="20"/>
      <w:szCs w:val="20"/>
      <w:lang w:val="en-US"/>
      <w14:ligatures w14:val="none"/>
    </w:rPr>
  </w:style>
  <w:style w:type="paragraph" w:customStyle="1" w:styleId="MediumShading1-Accent11">
    <w:name w:val="Medium Shading 1 - Accent 11"/>
    <w:basedOn w:val="Normal"/>
    <w:uiPriority w:val="99"/>
    <w:qFormat/>
    <w:rsid w:val="00F41043"/>
    <w:pPr>
      <w:suppressAutoHyphens/>
      <w:spacing w:after="0" w:line="240" w:lineRule="auto"/>
      <w:jc w:val="both"/>
    </w:pPr>
    <w:rPr>
      <w:rFonts w:ascii="Calibri" w:eastAsia="Times New Roman" w:hAnsi="Calibri" w:cs="Times New Roman"/>
      <w:kern w:val="0"/>
      <w:sz w:val="20"/>
      <w:szCs w:val="20"/>
      <w:lang w:val="en-US"/>
      <w14:ligatures w14:val="none"/>
    </w:rPr>
  </w:style>
  <w:style w:type="paragraph" w:customStyle="1" w:styleId="MediumGrid2-Accent21">
    <w:name w:val="Medium Grid 2 - Accent 21"/>
    <w:basedOn w:val="Normal"/>
    <w:next w:val="Normal"/>
    <w:link w:val="MediumGrid2-Accent2Char"/>
    <w:uiPriority w:val="99"/>
    <w:qFormat/>
    <w:rsid w:val="00F41043"/>
    <w:pPr>
      <w:suppressAutoHyphens/>
      <w:spacing w:after="200" w:line="276" w:lineRule="auto"/>
      <w:jc w:val="both"/>
    </w:pPr>
    <w:rPr>
      <w:rFonts w:ascii="Calibri" w:eastAsia="Times New Roman" w:hAnsi="Calibri" w:cs="Times New Roman"/>
      <w:i/>
      <w:kern w:val="0"/>
      <w:sz w:val="20"/>
      <w:szCs w:val="20"/>
      <w:lang w:val="en-US"/>
      <w14:ligatures w14:val="none"/>
    </w:rPr>
  </w:style>
  <w:style w:type="character" w:customStyle="1" w:styleId="MediumGrid2-Accent2Char">
    <w:name w:val="Medium Grid 2 - Accent 2 Char"/>
    <w:link w:val="MediumGrid2-Accent21"/>
    <w:uiPriority w:val="99"/>
    <w:locked/>
    <w:rsid w:val="00F41043"/>
    <w:rPr>
      <w:rFonts w:ascii="Calibri" w:eastAsia="Times New Roman" w:hAnsi="Calibri" w:cs="Times New Roman"/>
      <w:i/>
      <w:kern w:val="0"/>
      <w:sz w:val="20"/>
      <w:szCs w:val="20"/>
      <w:lang w:val="en-US"/>
      <w14:ligatures w14:val="none"/>
    </w:rPr>
  </w:style>
  <w:style w:type="paragraph" w:customStyle="1" w:styleId="MediumGrid3-Accent21">
    <w:name w:val="Medium Grid 3 - Accent 21"/>
    <w:basedOn w:val="Normal"/>
    <w:next w:val="Normal"/>
    <w:link w:val="MediumGrid3-Accent2Char"/>
    <w:uiPriority w:val="99"/>
    <w:qFormat/>
    <w:rsid w:val="00F41043"/>
    <w:pPr>
      <w:shd w:val="clear" w:color="auto" w:fill="C0504D"/>
      <w:suppressAutoHyphens/>
      <w:spacing w:before="140" w:after="140" w:line="276" w:lineRule="auto"/>
      <w:ind w:left="1440" w:right="1440"/>
      <w:jc w:val="both"/>
    </w:pPr>
    <w:rPr>
      <w:rFonts w:ascii="Calibri" w:eastAsia="Times New Roman" w:hAnsi="Calibri" w:cs="Times New Roman"/>
      <w:b/>
      <w:i/>
      <w:color w:val="FFFFFF"/>
      <w:kern w:val="0"/>
      <w:sz w:val="20"/>
      <w:szCs w:val="20"/>
      <w:lang w:val="en-US"/>
      <w14:ligatures w14:val="none"/>
    </w:rPr>
  </w:style>
  <w:style w:type="character" w:customStyle="1" w:styleId="MediumGrid3-Accent2Char">
    <w:name w:val="Medium Grid 3 - Accent 2 Char"/>
    <w:link w:val="MediumGrid3-Accent21"/>
    <w:uiPriority w:val="99"/>
    <w:locked/>
    <w:rsid w:val="00F41043"/>
    <w:rPr>
      <w:rFonts w:ascii="Calibri" w:eastAsia="Times New Roman" w:hAnsi="Calibri" w:cs="Times New Roman"/>
      <w:b/>
      <w:i/>
      <w:color w:val="FFFFFF"/>
      <w:kern w:val="0"/>
      <w:sz w:val="20"/>
      <w:szCs w:val="20"/>
      <w:shd w:val="clear" w:color="auto" w:fill="C0504D"/>
      <w:lang w:val="en-US"/>
      <w14:ligatures w14:val="none"/>
    </w:rPr>
  </w:style>
  <w:style w:type="paragraph" w:customStyle="1" w:styleId="MediumList2-Accent21">
    <w:name w:val="Medium List 2 - Accent 21"/>
    <w:hidden/>
    <w:uiPriority w:val="99"/>
    <w:semiHidden/>
    <w:rsid w:val="00F41043"/>
    <w:pPr>
      <w:spacing w:after="0" w:line="240" w:lineRule="auto"/>
    </w:pPr>
    <w:rPr>
      <w:rFonts w:ascii="Times New Roman" w:eastAsia="Times New Roman" w:hAnsi="Times New Roman" w:cs="Times New Roman"/>
      <w:kern w:val="0"/>
      <w:sz w:val="20"/>
      <w:szCs w:val="20"/>
      <w:lang w:eastAsia="pt-BR"/>
      <w14:ligatures w14:val="none"/>
    </w:rPr>
  </w:style>
  <w:style w:type="paragraph" w:customStyle="1" w:styleId="ColorfulList-Accent11">
    <w:name w:val="Colorful List - Accent 11"/>
    <w:basedOn w:val="Normal"/>
    <w:uiPriority w:val="34"/>
    <w:qFormat/>
    <w:rsid w:val="00F41043"/>
    <w:pPr>
      <w:spacing w:after="200" w:line="276" w:lineRule="auto"/>
      <w:ind w:left="720"/>
      <w:contextualSpacing/>
    </w:pPr>
    <w:rPr>
      <w:rFonts w:ascii="Calibri" w:eastAsia="Calibri" w:hAnsi="Calibri" w:cs="Times New Roman"/>
      <w:kern w:val="0"/>
      <w14:ligatures w14:val="none"/>
    </w:rPr>
  </w:style>
  <w:style w:type="character" w:customStyle="1" w:styleId="apple-converted-space">
    <w:name w:val="apple-converted-space"/>
    <w:rsid w:val="00F41043"/>
  </w:style>
  <w:style w:type="table" w:customStyle="1" w:styleId="ListaMdia11">
    <w:name w:val="Lista Média 11"/>
    <w:basedOn w:val="Tabelanormal"/>
    <w:uiPriority w:val="60"/>
    <w:rsid w:val="00F41043"/>
    <w:pPr>
      <w:spacing w:after="0" w:line="240" w:lineRule="auto"/>
    </w:pPr>
    <w:rPr>
      <w:rFonts w:ascii="Calibri" w:eastAsia="Calibri" w:hAnsi="Calibri" w:cs="Times New Roman"/>
      <w:color w:val="000000"/>
      <w:kern w:val="0"/>
      <w:sz w:val="20"/>
      <w:szCs w:val="20"/>
      <w14:ligatures w14:val="none"/>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SombreamentoClaro-nfase11">
    <w:name w:val="Sombreamento Claro - Ênfase 11"/>
    <w:basedOn w:val="Tabelanormal"/>
    <w:next w:val="SombreamentoClaro-nfase1"/>
    <w:uiPriority w:val="30"/>
    <w:qFormat/>
    <w:rsid w:val="00F41043"/>
    <w:pPr>
      <w:spacing w:after="0" w:line="240" w:lineRule="auto"/>
    </w:pPr>
    <w:rPr>
      <w:rFonts w:ascii="Calibri" w:eastAsia="Calibri" w:hAnsi="Calibri" w:cs="Times New Roman"/>
      <w:color w:val="365F91"/>
      <w:kern w:val="0"/>
      <w:sz w:val="20"/>
      <w:szCs w:val="20"/>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NoSpacing1">
    <w:name w:val="No Spacing1"/>
    <w:qFormat/>
    <w:rsid w:val="00F41043"/>
    <w:pPr>
      <w:spacing w:after="0" w:line="240" w:lineRule="auto"/>
    </w:pPr>
    <w:rPr>
      <w:rFonts w:ascii="Calibri" w:eastAsia="SimSun" w:hAnsi="Calibri" w:cs="Calibri"/>
      <w:kern w:val="0"/>
      <w:lang w:eastAsia="pt-BR"/>
      <w14:ligatures w14:val="none"/>
    </w:rPr>
  </w:style>
  <w:style w:type="character" w:styleId="TextodoEspaoReservado">
    <w:name w:val="Placeholder Text"/>
    <w:basedOn w:val="Fontepargpadro"/>
    <w:uiPriority w:val="99"/>
    <w:semiHidden/>
    <w:rsid w:val="00F41043"/>
    <w:rPr>
      <w:color w:val="808080"/>
    </w:rPr>
  </w:style>
  <w:style w:type="paragraph" w:styleId="Recuodecorpodetexto2">
    <w:name w:val="Body Text Indent 2"/>
    <w:basedOn w:val="Normal"/>
    <w:link w:val="Recuodecorpodetexto2Char1"/>
    <w:uiPriority w:val="99"/>
    <w:semiHidden/>
    <w:unhideWhenUsed/>
    <w:rsid w:val="00F41043"/>
    <w:pPr>
      <w:spacing w:after="120" w:line="480" w:lineRule="auto"/>
      <w:ind w:left="283"/>
    </w:pPr>
    <w:rPr>
      <w:rFonts w:ascii="Times New Roman" w:eastAsia="Times New Roman" w:hAnsi="Times New Roman" w:cs="Times New Roman"/>
      <w:kern w:val="0"/>
      <w:sz w:val="20"/>
      <w:szCs w:val="20"/>
      <w:lang w:eastAsia="pt-BR"/>
      <w14:ligatures w14:val="none"/>
    </w:rPr>
  </w:style>
  <w:style w:type="character" w:customStyle="1" w:styleId="Recuodecorpodetexto2Char1">
    <w:name w:val="Recuo de corpo de texto 2 Char1"/>
    <w:basedOn w:val="Fontepargpadro"/>
    <w:link w:val="Recuodecorpodetexto2"/>
    <w:uiPriority w:val="99"/>
    <w:semiHidden/>
    <w:rsid w:val="00F41043"/>
    <w:rPr>
      <w:rFonts w:ascii="Times New Roman" w:eastAsia="Times New Roman" w:hAnsi="Times New Roman" w:cs="Times New Roman"/>
      <w:kern w:val="0"/>
      <w:sz w:val="20"/>
      <w:szCs w:val="20"/>
      <w:lang w:eastAsia="pt-BR"/>
      <w14:ligatures w14:val="none"/>
    </w:rPr>
  </w:style>
  <w:style w:type="paragraph" w:customStyle="1" w:styleId="western">
    <w:name w:val="western"/>
    <w:basedOn w:val="Normal"/>
    <w:rsid w:val="00F41043"/>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Body">
    <w:name w:val="Body"/>
    <w:basedOn w:val="Normal"/>
    <w:link w:val="BodyChar"/>
    <w:uiPriority w:val="99"/>
    <w:rsid w:val="00F41043"/>
    <w:pPr>
      <w:spacing w:before="130" w:after="130" w:line="260" w:lineRule="exact"/>
    </w:pPr>
    <w:rPr>
      <w:rFonts w:ascii="Times New Roman" w:eastAsia="Times New Roman" w:hAnsi="Times New Roman" w:cs="Times New Roman"/>
      <w:color w:val="000000"/>
      <w:kern w:val="0"/>
      <w:szCs w:val="20"/>
      <w:lang w:val="en-US" w:eastAsia="pt-BR"/>
      <w14:ligatures w14:val="none"/>
    </w:rPr>
  </w:style>
  <w:style w:type="character" w:customStyle="1" w:styleId="BodyChar">
    <w:name w:val="Body Char"/>
    <w:basedOn w:val="Fontepargpadro"/>
    <w:link w:val="Body"/>
    <w:uiPriority w:val="99"/>
    <w:rsid w:val="00F41043"/>
    <w:rPr>
      <w:rFonts w:ascii="Times New Roman" w:eastAsia="Times New Roman" w:hAnsi="Times New Roman" w:cs="Times New Roman"/>
      <w:color w:val="000000"/>
      <w:kern w:val="0"/>
      <w:szCs w:val="20"/>
      <w:lang w:val="en-US" w:eastAsia="pt-BR"/>
      <w14:ligatures w14:val="none"/>
    </w:rPr>
  </w:style>
  <w:style w:type="paragraph" w:customStyle="1" w:styleId="Style2">
    <w:name w:val="Style2"/>
    <w:basedOn w:val="Normal"/>
    <w:rsid w:val="00F41043"/>
    <w:pPr>
      <w:keepLines/>
      <w:tabs>
        <w:tab w:val="num"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40" w:lineRule="auto"/>
      <w:ind w:left="432" w:hanging="432"/>
      <w:outlineLvl w:val="0"/>
    </w:pPr>
    <w:rPr>
      <w:rFonts w:ascii="Arial" w:eastAsia="Times New Roman" w:hAnsi="Arial" w:cs="Times New Roman"/>
      <w:b/>
      <w:caps/>
      <w:kern w:val="0"/>
      <w:sz w:val="24"/>
      <w:szCs w:val="20"/>
      <w14:ligatures w14:val="none"/>
    </w:rPr>
  </w:style>
  <w:style w:type="character" w:styleId="Refdenotaderodap">
    <w:name w:val="footnote reference"/>
    <w:basedOn w:val="Fontepargpadro"/>
    <w:uiPriority w:val="99"/>
    <w:semiHidden/>
    <w:unhideWhenUsed/>
    <w:rsid w:val="00F41043"/>
    <w:rPr>
      <w:vertAlign w:val="superscript"/>
    </w:rPr>
  </w:style>
  <w:style w:type="paragraph" w:customStyle="1" w:styleId="style3">
    <w:name w:val="style3"/>
    <w:basedOn w:val="Normal"/>
    <w:rsid w:val="00F41043"/>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normaltextrun">
    <w:name w:val="normaltextrun"/>
    <w:basedOn w:val="Fontepargpadro"/>
    <w:rsid w:val="00F41043"/>
  </w:style>
  <w:style w:type="character" w:customStyle="1" w:styleId="markedcontent">
    <w:name w:val="markedcontent"/>
    <w:basedOn w:val="Fontepargpadro"/>
    <w:rsid w:val="00F41043"/>
  </w:style>
  <w:style w:type="character" w:customStyle="1" w:styleId="ui-provider">
    <w:name w:val="ui-provider"/>
    <w:basedOn w:val="Fontepargpadro"/>
    <w:rsid w:val="00F41043"/>
  </w:style>
  <w:style w:type="table" w:styleId="SombreamentoClaro-nfase1">
    <w:name w:val="Light Shading Accent 1"/>
    <w:basedOn w:val="Tabelanormal"/>
    <w:uiPriority w:val="60"/>
    <w:semiHidden/>
    <w:unhideWhenUsed/>
    <w:rsid w:val="00F41043"/>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customStyle="1" w:styleId="Tabelacomgrade2">
    <w:name w:val="Tabela com grade2"/>
    <w:basedOn w:val="Tabelanormal"/>
    <w:next w:val="Tabelacomgrade"/>
    <w:rsid w:val="00C65B3C"/>
    <w:pPr>
      <w:spacing w:after="0" w:line="240" w:lineRule="auto"/>
    </w:pPr>
    <w:rPr>
      <w:rFonts w:ascii="Times New Roman" w:eastAsia="Times New Roman" w:hAnsi="Times New Roman" w:cs="Times New Roman"/>
      <w:kern w:val="0"/>
      <w:sz w:val="20"/>
      <w:szCs w:val="2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59"/>
    <w:rsid w:val="003712EB"/>
    <w:pPr>
      <w:spacing w:after="0" w:line="240" w:lineRule="auto"/>
    </w:pPr>
    <w:rPr>
      <w:rFonts w:ascii="Times New Roman" w:eastAsia="Times New Roman" w:hAnsi="Times New Roman" w:cs="Times New Roman"/>
      <w:kern w:val="0"/>
      <w:sz w:val="20"/>
      <w:szCs w:val="2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image" Target="media/image14.emf"/><Relationship Id="rId42" Type="http://schemas.openxmlformats.org/officeDocument/2006/relationships/image" Target="media/image21.png"/><Relationship Id="rId47" Type="http://schemas.openxmlformats.org/officeDocument/2006/relationships/footer" Target="footer13.xml"/><Relationship Id="rId63" Type="http://schemas.openxmlformats.org/officeDocument/2006/relationships/chart" Target="charts/chart5.xml"/><Relationship Id="rId68" Type="http://schemas.openxmlformats.org/officeDocument/2006/relationships/chart" Target="charts/chart10.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footer" Target="footer1.xml"/><Relationship Id="rId11" Type="http://schemas.openxmlformats.org/officeDocument/2006/relationships/image" Target="media/image4.png"/><Relationship Id="rId24" Type="http://schemas.openxmlformats.org/officeDocument/2006/relationships/chart" Target="charts/chart2.xml"/><Relationship Id="rId32" Type="http://schemas.openxmlformats.org/officeDocument/2006/relationships/image" Target="media/image19.png"/><Relationship Id="rId37" Type="http://schemas.openxmlformats.org/officeDocument/2006/relationships/footer" Target="footer6.xml"/><Relationship Id="rId40" Type="http://schemas.openxmlformats.org/officeDocument/2006/relationships/footer" Target="footer9.xml"/><Relationship Id="rId45" Type="http://schemas.openxmlformats.org/officeDocument/2006/relationships/header" Target="header3.xml"/><Relationship Id="rId53" Type="http://schemas.openxmlformats.org/officeDocument/2006/relationships/footer" Target="footer18.xml"/><Relationship Id="rId58" Type="http://schemas.openxmlformats.org/officeDocument/2006/relationships/footer" Target="footer22.xml"/><Relationship Id="rId66" Type="http://schemas.openxmlformats.org/officeDocument/2006/relationships/chart" Target="charts/chart8.xml"/><Relationship Id="rId5" Type="http://schemas.openxmlformats.org/officeDocument/2006/relationships/webSettings" Target="webSettings.xml"/><Relationship Id="rId61" Type="http://schemas.openxmlformats.org/officeDocument/2006/relationships/footer" Target="footer25.xml"/><Relationship Id="rId19" Type="http://schemas.openxmlformats.org/officeDocument/2006/relationships/image" Target="media/image12.emf"/><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17.emf"/><Relationship Id="rId30" Type="http://schemas.openxmlformats.org/officeDocument/2006/relationships/header" Target="header2.xml"/><Relationship Id="rId35" Type="http://schemas.openxmlformats.org/officeDocument/2006/relationships/footer" Target="footer4.xml"/><Relationship Id="rId43" Type="http://schemas.openxmlformats.org/officeDocument/2006/relationships/footer" Target="footer11.xml"/><Relationship Id="rId48" Type="http://schemas.openxmlformats.org/officeDocument/2006/relationships/hyperlink" Target="https://teletime.com.br/03/02/2020/mctic-publica-portaria-do-leilao-de-5g/" TargetMode="External"/><Relationship Id="rId56" Type="http://schemas.openxmlformats.org/officeDocument/2006/relationships/footer" Target="footer21.xml"/><Relationship Id="rId64" Type="http://schemas.openxmlformats.org/officeDocument/2006/relationships/chart" Target="charts/chart6.xml"/><Relationship Id="rId69" Type="http://schemas.openxmlformats.org/officeDocument/2006/relationships/footer" Target="footer26.xml"/><Relationship Id="rId8" Type="http://schemas.openxmlformats.org/officeDocument/2006/relationships/image" Target="media/image1.emf"/><Relationship Id="rId51" Type="http://schemas.openxmlformats.org/officeDocument/2006/relationships/footer" Target="footer16.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jpg"/><Relationship Id="rId25" Type="http://schemas.openxmlformats.org/officeDocument/2006/relationships/image" Target="media/image16.emf"/><Relationship Id="rId33" Type="http://schemas.openxmlformats.org/officeDocument/2006/relationships/image" Target="media/image20.png"/><Relationship Id="rId38" Type="http://schemas.openxmlformats.org/officeDocument/2006/relationships/footer" Target="footer7.xml"/><Relationship Id="rId46" Type="http://schemas.openxmlformats.org/officeDocument/2006/relationships/footer" Target="footer12.xml"/><Relationship Id="rId59" Type="http://schemas.openxmlformats.org/officeDocument/2006/relationships/footer" Target="footer23.xml"/><Relationship Id="rId67" Type="http://schemas.openxmlformats.org/officeDocument/2006/relationships/chart" Target="charts/chart9.xml"/><Relationship Id="rId20" Type="http://schemas.openxmlformats.org/officeDocument/2006/relationships/image" Target="media/image13.png"/><Relationship Id="rId41" Type="http://schemas.openxmlformats.org/officeDocument/2006/relationships/footer" Target="footer10.xml"/><Relationship Id="rId54" Type="http://schemas.openxmlformats.org/officeDocument/2006/relationships/footer" Target="footer19.xml"/><Relationship Id="rId62" Type="http://schemas.openxmlformats.org/officeDocument/2006/relationships/chart" Target="charts/chart4.xml"/><Relationship Id="rId70" Type="http://schemas.openxmlformats.org/officeDocument/2006/relationships/footer" Target="footer2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hart" Target="charts/chart1.xml"/><Relationship Id="rId28" Type="http://schemas.openxmlformats.org/officeDocument/2006/relationships/header" Target="header1.xml"/><Relationship Id="rId36" Type="http://schemas.openxmlformats.org/officeDocument/2006/relationships/footer" Target="footer5.xml"/><Relationship Id="rId49" Type="http://schemas.openxmlformats.org/officeDocument/2006/relationships/footer" Target="footer14.xml"/><Relationship Id="rId57" Type="http://schemas.openxmlformats.org/officeDocument/2006/relationships/hyperlink" Target="callto:1010276-63.2018.4.01" TargetMode="External"/><Relationship Id="rId10" Type="http://schemas.openxmlformats.org/officeDocument/2006/relationships/image" Target="media/image3.png"/><Relationship Id="rId31" Type="http://schemas.openxmlformats.org/officeDocument/2006/relationships/footer" Target="footer2.xml"/><Relationship Id="rId44" Type="http://schemas.openxmlformats.org/officeDocument/2006/relationships/hyperlink" Target="http://www.telebras.com.br" TargetMode="External"/><Relationship Id="rId52" Type="http://schemas.openxmlformats.org/officeDocument/2006/relationships/footer" Target="footer17.xml"/><Relationship Id="rId60" Type="http://schemas.openxmlformats.org/officeDocument/2006/relationships/footer" Target="footer24.xml"/><Relationship Id="rId65"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footer" Target="footer8.xml"/><Relationship Id="rId34" Type="http://schemas.openxmlformats.org/officeDocument/2006/relationships/footer" Target="footer3.xml"/><Relationship Id="rId50" Type="http://schemas.openxmlformats.org/officeDocument/2006/relationships/footer" Target="footer15.xml"/><Relationship Id="rId55" Type="http://schemas.openxmlformats.org/officeDocument/2006/relationships/footer" Target="footer20.xml"/></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7.bin"/></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lex.rocha\Desktop\alex.rocha\Trabalhos%20GGE\Demandas\20240112%20-%20RAG\OK%20-%202%20-%20RAG%20Sintetico%20DEZEMBRO23%20-%20GORS%20-%20Planilha%20(1).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alex.rocha\Desktop\alex.rocha\Trabalhos%20GGE\Demandas\20240130%20-%20Relat&#243;rio%20da%20administra&#231;&#227;o\OK%20-%20GGP\Grafico%20Rel.%20Adm..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2.bin"/></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3.bin"/></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4.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5.bin"/></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embeddings/oleObject6.bin"/><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075655230368856E-2"/>
          <c:y val="2.3623558088177898E-2"/>
          <c:w val="0.92585276084706203"/>
          <c:h val="0.63879646160315662"/>
        </c:manualLayout>
      </c:layout>
      <c:barChart>
        <c:barDir val="col"/>
        <c:grouping val="clustered"/>
        <c:varyColors val="0"/>
        <c:ser>
          <c:idx val="0"/>
          <c:order val="0"/>
          <c:tx>
            <c:strRef>
              <c:f>'Relatório GEC'!$I$123</c:f>
              <c:strCache>
                <c:ptCount val="1"/>
                <c:pt idx="0">
                  <c:v>Instalados</c:v>
                </c:pt>
              </c:strCache>
            </c:strRef>
          </c:tx>
          <c:spPr>
            <a:solidFill>
              <a:srgbClr val="002060"/>
            </a:solidFill>
            <a:ln w="25400">
              <a:noFill/>
            </a:ln>
            <a:effectLst/>
          </c:spPr>
          <c:invertIfNegative val="0"/>
          <c:dLbls>
            <c:delete val="1"/>
          </c:dLbls>
          <c:cat>
            <c:strRef>
              <c:f>'Relatório GEC'!$H$124:$H$143</c:f>
              <c:strCache>
                <c:ptCount val="20"/>
                <c:pt idx="0">
                  <c:v>1º Trim 2019</c:v>
                </c:pt>
                <c:pt idx="1">
                  <c:v>2º Trim 2019</c:v>
                </c:pt>
                <c:pt idx="2">
                  <c:v>3º Trim 2019</c:v>
                </c:pt>
                <c:pt idx="3">
                  <c:v>4º Trim 2019</c:v>
                </c:pt>
                <c:pt idx="4">
                  <c:v>1º Trim 2020</c:v>
                </c:pt>
                <c:pt idx="5">
                  <c:v>2º Trim 2020</c:v>
                </c:pt>
                <c:pt idx="6">
                  <c:v>3º Trim 2020</c:v>
                </c:pt>
                <c:pt idx="7">
                  <c:v>4º Trim 2020</c:v>
                </c:pt>
                <c:pt idx="8">
                  <c:v>1º Trim 2021</c:v>
                </c:pt>
                <c:pt idx="9">
                  <c:v>2º Trim 2021</c:v>
                </c:pt>
                <c:pt idx="10">
                  <c:v>3º Trim 2021</c:v>
                </c:pt>
                <c:pt idx="11">
                  <c:v>4º Trim 2021</c:v>
                </c:pt>
                <c:pt idx="12">
                  <c:v>1º Trim 2022</c:v>
                </c:pt>
                <c:pt idx="13">
                  <c:v>2º Trim 2022</c:v>
                </c:pt>
                <c:pt idx="14">
                  <c:v>3º Trim 2022</c:v>
                </c:pt>
                <c:pt idx="15">
                  <c:v>4º Trim 2022</c:v>
                </c:pt>
                <c:pt idx="16">
                  <c:v>1º Trim 2023</c:v>
                </c:pt>
                <c:pt idx="17">
                  <c:v>2º Trim 2023</c:v>
                </c:pt>
                <c:pt idx="18">
                  <c:v>3º Trim 2023</c:v>
                </c:pt>
                <c:pt idx="19">
                  <c:v>4º Trim 2023</c:v>
                </c:pt>
              </c:strCache>
            </c:strRef>
          </c:cat>
          <c:val>
            <c:numRef>
              <c:f>'Relatório GEC'!$I$124:$I$143</c:f>
              <c:numCache>
                <c:formatCode>#,##0</c:formatCode>
                <c:ptCount val="20"/>
                <c:pt idx="0">
                  <c:v>2089</c:v>
                </c:pt>
                <c:pt idx="1">
                  <c:v>7217</c:v>
                </c:pt>
                <c:pt idx="2">
                  <c:v>9676</c:v>
                </c:pt>
                <c:pt idx="3">
                  <c:v>11112</c:v>
                </c:pt>
                <c:pt idx="4">
                  <c:v>11310</c:v>
                </c:pt>
                <c:pt idx="5">
                  <c:v>11748</c:v>
                </c:pt>
                <c:pt idx="6">
                  <c:v>12698</c:v>
                </c:pt>
                <c:pt idx="7">
                  <c:v>13024</c:v>
                </c:pt>
                <c:pt idx="8">
                  <c:v>13511</c:v>
                </c:pt>
                <c:pt idx="9">
                  <c:v>13956</c:v>
                </c:pt>
                <c:pt idx="10">
                  <c:v>14437</c:v>
                </c:pt>
                <c:pt idx="11">
                  <c:v>14980</c:v>
                </c:pt>
                <c:pt idx="12">
                  <c:v>16023</c:v>
                </c:pt>
                <c:pt idx="13">
                  <c:v>20172</c:v>
                </c:pt>
                <c:pt idx="14">
                  <c:v>23691</c:v>
                </c:pt>
                <c:pt idx="15">
                  <c:v>25524</c:v>
                </c:pt>
                <c:pt idx="16">
                  <c:v>25635</c:v>
                </c:pt>
                <c:pt idx="17">
                  <c:v>25701</c:v>
                </c:pt>
                <c:pt idx="18">
                  <c:v>25761</c:v>
                </c:pt>
                <c:pt idx="19">
                  <c:v>26026</c:v>
                </c:pt>
              </c:numCache>
            </c:numRef>
          </c:val>
          <c:extLst xmlns:c15="http://schemas.microsoft.com/office/drawing/2012/chart">
            <c:ext xmlns:c16="http://schemas.microsoft.com/office/drawing/2014/chart" uri="{C3380CC4-5D6E-409C-BE32-E72D297353CC}">
              <c16:uniqueId val="{00000000-B6DE-405F-A16B-187B0A9FFB0E}"/>
            </c:ext>
          </c:extLst>
        </c:ser>
        <c:ser>
          <c:idx val="4"/>
          <c:order val="1"/>
          <c:tx>
            <c:strRef>
              <c:f>'Relatório GEC'!$J$123</c:f>
              <c:strCache>
                <c:ptCount val="1"/>
                <c:pt idx="0">
                  <c:v>TIPP</c:v>
                </c:pt>
              </c:strCache>
            </c:strRef>
          </c:tx>
          <c:spPr>
            <a:solidFill>
              <a:srgbClr val="00B050"/>
            </a:solidFill>
            <a:ln w="25400">
              <a:noFill/>
            </a:ln>
            <a:effectLst/>
          </c:spPr>
          <c:invertIfNegative val="0"/>
          <c:dLbls>
            <c:delete val="1"/>
          </c:dLbls>
          <c:cat>
            <c:strRef>
              <c:f>'Relatório GEC'!$H$124:$H$143</c:f>
              <c:strCache>
                <c:ptCount val="20"/>
                <c:pt idx="0">
                  <c:v>1º Trim 2019</c:v>
                </c:pt>
                <c:pt idx="1">
                  <c:v>2º Trim 2019</c:v>
                </c:pt>
                <c:pt idx="2">
                  <c:v>3º Trim 2019</c:v>
                </c:pt>
                <c:pt idx="3">
                  <c:v>4º Trim 2019</c:v>
                </c:pt>
                <c:pt idx="4">
                  <c:v>1º Trim 2020</c:v>
                </c:pt>
                <c:pt idx="5">
                  <c:v>2º Trim 2020</c:v>
                </c:pt>
                <c:pt idx="6">
                  <c:v>3º Trim 2020</c:v>
                </c:pt>
                <c:pt idx="7">
                  <c:v>4º Trim 2020</c:v>
                </c:pt>
                <c:pt idx="8">
                  <c:v>1º Trim 2021</c:v>
                </c:pt>
                <c:pt idx="9">
                  <c:v>2º Trim 2021</c:v>
                </c:pt>
                <c:pt idx="10">
                  <c:v>3º Trim 2021</c:v>
                </c:pt>
                <c:pt idx="11">
                  <c:v>4º Trim 2021</c:v>
                </c:pt>
                <c:pt idx="12">
                  <c:v>1º Trim 2022</c:v>
                </c:pt>
                <c:pt idx="13">
                  <c:v>2º Trim 2022</c:v>
                </c:pt>
                <c:pt idx="14">
                  <c:v>3º Trim 2022</c:v>
                </c:pt>
                <c:pt idx="15">
                  <c:v>4º Trim 2022</c:v>
                </c:pt>
                <c:pt idx="16">
                  <c:v>1º Trim 2023</c:v>
                </c:pt>
                <c:pt idx="17">
                  <c:v>2º Trim 2023</c:v>
                </c:pt>
                <c:pt idx="18">
                  <c:v>3º Trim 2023</c:v>
                </c:pt>
                <c:pt idx="19">
                  <c:v>4º Trim 2023</c:v>
                </c:pt>
              </c:strCache>
            </c:strRef>
          </c:cat>
          <c:val>
            <c:numRef>
              <c:f>'Relatório GEC'!$J$124:$J$143</c:f>
              <c:numCache>
                <c:formatCode>#,##0</c:formatCode>
                <c:ptCount val="20"/>
                <c:pt idx="0">
                  <c:v>2052</c:v>
                </c:pt>
                <c:pt idx="1">
                  <c:v>7187</c:v>
                </c:pt>
                <c:pt idx="2">
                  <c:v>9640</c:v>
                </c:pt>
                <c:pt idx="3">
                  <c:v>11104</c:v>
                </c:pt>
                <c:pt idx="4">
                  <c:v>11308</c:v>
                </c:pt>
                <c:pt idx="5">
                  <c:v>11743</c:v>
                </c:pt>
                <c:pt idx="6">
                  <c:v>12692</c:v>
                </c:pt>
                <c:pt idx="7">
                  <c:v>13020</c:v>
                </c:pt>
                <c:pt idx="8">
                  <c:v>13507</c:v>
                </c:pt>
                <c:pt idx="9">
                  <c:v>13951</c:v>
                </c:pt>
                <c:pt idx="10">
                  <c:v>14430</c:v>
                </c:pt>
                <c:pt idx="11">
                  <c:v>14964</c:v>
                </c:pt>
                <c:pt idx="12">
                  <c:v>15962</c:v>
                </c:pt>
                <c:pt idx="13">
                  <c:v>18540</c:v>
                </c:pt>
                <c:pt idx="14">
                  <c:v>21735</c:v>
                </c:pt>
                <c:pt idx="15">
                  <c:v>24154</c:v>
                </c:pt>
                <c:pt idx="16">
                  <c:v>25134</c:v>
                </c:pt>
                <c:pt idx="17">
                  <c:v>25333</c:v>
                </c:pt>
                <c:pt idx="18">
                  <c:v>25518</c:v>
                </c:pt>
                <c:pt idx="19">
                  <c:v>24642</c:v>
                </c:pt>
              </c:numCache>
            </c:numRef>
          </c:val>
          <c:extLst xmlns:c15="http://schemas.microsoft.com/office/drawing/2012/chart">
            <c:ext xmlns:c16="http://schemas.microsoft.com/office/drawing/2014/chart" uri="{C3380CC4-5D6E-409C-BE32-E72D297353CC}">
              <c16:uniqueId val="{00000001-B6DE-405F-A16B-187B0A9FFB0E}"/>
            </c:ext>
          </c:extLst>
        </c:ser>
        <c:dLbls>
          <c:showLegendKey val="0"/>
          <c:showVal val="1"/>
          <c:showCatName val="0"/>
          <c:showSerName val="0"/>
          <c:showPercent val="0"/>
          <c:showBubbleSize val="0"/>
        </c:dLbls>
        <c:gapWidth val="150"/>
        <c:axId val="-638069808"/>
        <c:axId val="-638067632"/>
      </c:barChart>
      <c:dateAx>
        <c:axId val="-638069808"/>
        <c:scaling>
          <c:orientation val="minMax"/>
        </c:scaling>
        <c:delete val="1"/>
        <c:axPos val="b"/>
        <c:numFmt formatCode="General" sourceLinked="1"/>
        <c:majorTickMark val="out"/>
        <c:minorTickMark val="none"/>
        <c:tickLblPos val="nextTo"/>
        <c:crossAx val="-638067632"/>
        <c:crosses val="autoZero"/>
        <c:auto val="0"/>
        <c:lblOffset val="100"/>
        <c:baseTimeUnit val="months"/>
      </c:dateAx>
      <c:valAx>
        <c:axId val="-638067632"/>
        <c:scaling>
          <c:orientation val="minMax"/>
        </c:scaling>
        <c:delete val="1"/>
        <c:axPos val="l"/>
        <c:numFmt formatCode="#,##0" sourceLinked="1"/>
        <c:majorTickMark val="none"/>
        <c:minorTickMark val="none"/>
        <c:tickLblPos val="nextTo"/>
        <c:crossAx val="-6380698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600" b="0" i="0" u="none" strike="noStrike" kern="1200" baseline="0">
                <a:solidFill>
                  <a:schemeClr val="tx1">
                    <a:lumMod val="65000"/>
                    <a:lumOff val="35000"/>
                  </a:schemeClr>
                </a:solidFill>
                <a:latin typeface="+mn-lt"/>
                <a:ea typeface="+mn-ea"/>
                <a:cs typeface="+mn-cs"/>
              </a:defRPr>
            </a:pPr>
            <a:endParaRPr lang="pt-BR"/>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702856777605996"/>
          <c:y val="4.1666666666666664E-2"/>
          <c:w val="0.74064773866736977"/>
          <c:h val="0.79137394284047824"/>
        </c:manualLayout>
      </c:layout>
      <c:barChart>
        <c:barDir val="bar"/>
        <c:grouping val="clustered"/>
        <c:varyColors val="0"/>
        <c:ser>
          <c:idx val="0"/>
          <c:order val="0"/>
          <c:tx>
            <c:strRef>
              <c:f>'[Base das Informações do Relatório de Desempenho_4T23.xlsx]CAPEX ACC'!$F$52</c:f>
              <c:strCache>
                <c:ptCount val="1"/>
                <c:pt idx="0">
                  <c:v>2022</c:v>
                </c:pt>
              </c:strCache>
            </c:strRef>
          </c:tx>
          <c:spPr>
            <a:solidFill>
              <a:srgbClr val="75F6F9"/>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'[Base das Informações do Relatório de Desempenho_4T23.xlsx]CAPEX ACC'!$A$53:$A$56</c:f>
              <c:strCache>
                <c:ptCount val="4"/>
                <c:pt idx="0">
                  <c:v>Satélite (SGDC)</c:v>
                </c:pt>
                <c:pt idx="1">
                  <c:v>Rede Terrestre</c:v>
                </c:pt>
                <c:pt idx="2">
                  <c:v>Ativos de Informática</c:v>
                </c:pt>
                <c:pt idx="3">
                  <c:v>Outros</c:v>
                </c:pt>
              </c:strCache>
            </c:strRef>
          </c:cat>
          <c:val>
            <c:numRef>
              <c:f>'[Base das Informações do Relatório de Desempenho_4T23.xlsx]CAPEX ACC'!$F$53:$F$56</c:f>
              <c:numCache>
                <c:formatCode>0.0%</c:formatCode>
                <c:ptCount val="4"/>
                <c:pt idx="0">
                  <c:v>0.88666499494684692</c:v>
                </c:pt>
                <c:pt idx="1">
                  <c:v>8.5090538825692813E-2</c:v>
                </c:pt>
                <c:pt idx="2">
                  <c:v>2.8221670048099938E-2</c:v>
                </c:pt>
                <c:pt idx="3">
                  <c:v>2.2796179360339206E-5</c:v>
                </c:pt>
              </c:numCache>
            </c:numRef>
          </c:val>
          <c:extLst>
            <c:ext xmlns:c16="http://schemas.microsoft.com/office/drawing/2014/chart" uri="{C3380CC4-5D6E-409C-BE32-E72D297353CC}">
              <c16:uniqueId val="{00000000-EFB4-4359-9A20-F8FEBD640842}"/>
            </c:ext>
          </c:extLst>
        </c:ser>
        <c:ser>
          <c:idx val="1"/>
          <c:order val="1"/>
          <c:tx>
            <c:strRef>
              <c:f>'[Base das Informações do Relatório de Desempenho_4T23.xlsx]CAPEX ACC'!$G$52</c:f>
              <c:strCache>
                <c:ptCount val="1"/>
                <c:pt idx="0">
                  <c:v>2023</c:v>
                </c:pt>
              </c:strCache>
            </c:strRef>
          </c:tx>
          <c:spPr>
            <a:solidFill>
              <a:srgbClr val="0000FF"/>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'[Base das Informações do Relatório de Desempenho_4T23.xlsx]CAPEX ACC'!$A$53:$A$56</c:f>
              <c:strCache>
                <c:ptCount val="4"/>
                <c:pt idx="0">
                  <c:v>Satélite (SGDC)</c:v>
                </c:pt>
                <c:pt idx="1">
                  <c:v>Rede Terrestre</c:v>
                </c:pt>
                <c:pt idx="2">
                  <c:v>Ativos de Informática</c:v>
                </c:pt>
                <c:pt idx="3">
                  <c:v>Outros</c:v>
                </c:pt>
              </c:strCache>
            </c:strRef>
          </c:cat>
          <c:val>
            <c:numRef>
              <c:f>'[Base das Informações do Relatório de Desempenho_4T23.xlsx]CAPEX ACC'!$G$53:$G$56</c:f>
              <c:numCache>
                <c:formatCode>0.0%</c:formatCode>
                <c:ptCount val="4"/>
                <c:pt idx="0">
                  <c:v>3.830662438940783E-2</c:v>
                </c:pt>
                <c:pt idx="1">
                  <c:v>0.9231296597823293</c:v>
                </c:pt>
                <c:pt idx="2">
                  <c:v>3.4870168823378178E-2</c:v>
                </c:pt>
                <c:pt idx="3">
                  <c:v>3.6935470048847373E-3</c:v>
                </c:pt>
              </c:numCache>
            </c:numRef>
          </c:val>
          <c:extLst>
            <c:ext xmlns:c16="http://schemas.microsoft.com/office/drawing/2014/chart" uri="{C3380CC4-5D6E-409C-BE32-E72D297353CC}">
              <c16:uniqueId val="{00000001-EFB4-4359-9A20-F8FEBD640842}"/>
            </c:ext>
          </c:extLst>
        </c:ser>
        <c:dLbls>
          <c:showLegendKey val="0"/>
          <c:showVal val="1"/>
          <c:showCatName val="0"/>
          <c:showSerName val="0"/>
          <c:showPercent val="0"/>
          <c:showBubbleSize val="0"/>
        </c:dLbls>
        <c:gapWidth val="10"/>
        <c:overlap val="-25"/>
        <c:axId val="1045783024"/>
        <c:axId val="1000388656"/>
      </c:barChart>
      <c:catAx>
        <c:axId val="10457830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1000388656"/>
        <c:crosses val="autoZero"/>
        <c:auto val="1"/>
        <c:lblAlgn val="ctr"/>
        <c:lblOffset val="100"/>
        <c:noMultiLvlLbl val="0"/>
      </c:catAx>
      <c:valAx>
        <c:axId val="1000388656"/>
        <c:scaling>
          <c:orientation val="minMax"/>
        </c:scaling>
        <c:delete val="1"/>
        <c:axPos val="t"/>
        <c:numFmt formatCode="0.0%" sourceLinked="1"/>
        <c:majorTickMark val="none"/>
        <c:minorTickMark val="none"/>
        <c:tickLblPos val="nextTo"/>
        <c:crossAx val="1045783024"/>
        <c:crosses val="autoZero"/>
        <c:crossBetween val="between"/>
      </c:valAx>
      <c:spPr>
        <a:noFill/>
        <a:ln>
          <a:noFill/>
        </a:ln>
        <a:effectLst/>
      </c:spPr>
    </c:plotArea>
    <c:legend>
      <c:legendPos val="b"/>
      <c:layout>
        <c:manualLayout>
          <c:xMode val="edge"/>
          <c:yMode val="edge"/>
          <c:x val="0.23867510426227395"/>
          <c:y val="0.89409667541557303"/>
          <c:w val="0.62081574159058339"/>
          <c:h val="7.8996427529892096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legend>
    <c:plotVisOnly val="1"/>
    <c:dispBlanksAs val="gap"/>
    <c:showDLblsOverMax val="0"/>
  </c:chart>
  <c:spPr>
    <a:no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pt-B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702757916241"/>
          <c:y val="0.14247318254895694"/>
          <c:w val="0.84061850586453501"/>
          <c:h val="0.73320704267615833"/>
        </c:manualLayout>
      </c:layout>
      <c:barChart>
        <c:barDir val="col"/>
        <c:grouping val="stacked"/>
        <c:varyColors val="0"/>
        <c:ser>
          <c:idx val="0"/>
          <c:order val="0"/>
          <c:spPr>
            <a:solidFill>
              <a:srgbClr val="5B9BD5"/>
            </a:solidFill>
            <a:ln>
              <a:noFill/>
            </a:ln>
          </c:spPr>
          <c:invertIfNegative val="0"/>
          <c:dPt>
            <c:idx val="0"/>
            <c:invertIfNegative val="0"/>
            <c:bubble3D val="0"/>
            <c:extLst>
              <c:ext xmlns:c16="http://schemas.microsoft.com/office/drawing/2014/chart" uri="{C3380CC4-5D6E-409C-BE32-E72D297353CC}">
                <c16:uniqueId val="{00000000-D54C-460F-A2FD-BD944B90E198}"/>
              </c:ext>
            </c:extLst>
          </c:dPt>
          <c:dPt>
            <c:idx val="1"/>
            <c:invertIfNegative val="0"/>
            <c:bubble3D val="0"/>
            <c:extLst>
              <c:ext xmlns:c16="http://schemas.microsoft.com/office/drawing/2014/chart" uri="{C3380CC4-5D6E-409C-BE32-E72D297353CC}">
                <c16:uniqueId val="{00000001-D54C-460F-A2FD-BD944B90E198}"/>
              </c:ext>
            </c:extLst>
          </c:dPt>
          <c:dPt>
            <c:idx val="2"/>
            <c:invertIfNegative val="0"/>
            <c:bubble3D val="0"/>
            <c:extLst>
              <c:ext xmlns:c16="http://schemas.microsoft.com/office/drawing/2014/chart" uri="{C3380CC4-5D6E-409C-BE32-E72D297353CC}">
                <c16:uniqueId val="{00000002-D54C-460F-A2FD-BD944B90E198}"/>
              </c:ext>
            </c:extLst>
          </c:dPt>
          <c:dPt>
            <c:idx val="3"/>
            <c:invertIfNegative val="0"/>
            <c:bubble3D val="0"/>
            <c:extLst>
              <c:ext xmlns:c16="http://schemas.microsoft.com/office/drawing/2014/chart" uri="{C3380CC4-5D6E-409C-BE32-E72D297353CC}">
                <c16:uniqueId val="{00000003-D54C-460F-A2FD-BD944B90E198}"/>
              </c:ext>
            </c:extLst>
          </c:dPt>
          <c:dPt>
            <c:idx val="4"/>
            <c:invertIfNegative val="0"/>
            <c:bubble3D val="0"/>
            <c:extLst>
              <c:ext xmlns:c16="http://schemas.microsoft.com/office/drawing/2014/chart" uri="{C3380CC4-5D6E-409C-BE32-E72D297353CC}">
                <c16:uniqueId val="{00000004-D54C-460F-A2FD-BD944B90E198}"/>
              </c:ext>
            </c:extLst>
          </c:dPt>
          <c:dPt>
            <c:idx val="5"/>
            <c:invertIfNegative val="0"/>
            <c:bubble3D val="0"/>
            <c:extLst>
              <c:ext xmlns:c16="http://schemas.microsoft.com/office/drawing/2014/chart" uri="{C3380CC4-5D6E-409C-BE32-E72D297353CC}">
                <c16:uniqueId val="{00000005-D54C-460F-A2FD-BD944B90E198}"/>
              </c:ext>
            </c:extLst>
          </c:dPt>
          <c:dPt>
            <c:idx val="6"/>
            <c:invertIfNegative val="0"/>
            <c:bubble3D val="0"/>
            <c:extLst>
              <c:ext xmlns:c16="http://schemas.microsoft.com/office/drawing/2014/chart" uri="{C3380CC4-5D6E-409C-BE32-E72D297353CC}">
                <c16:uniqueId val="{00000006-D54C-460F-A2FD-BD944B90E198}"/>
              </c:ext>
            </c:extLst>
          </c:dPt>
          <c:dPt>
            <c:idx val="7"/>
            <c:invertIfNegative val="0"/>
            <c:bubble3D val="0"/>
            <c:extLst>
              <c:ext xmlns:c16="http://schemas.microsoft.com/office/drawing/2014/chart" uri="{C3380CC4-5D6E-409C-BE32-E72D297353CC}">
                <c16:uniqueId val="{00000007-D54C-460F-A2FD-BD944B90E198}"/>
              </c:ext>
            </c:extLst>
          </c:dPt>
          <c:dPt>
            <c:idx val="8"/>
            <c:invertIfNegative val="0"/>
            <c:bubble3D val="0"/>
            <c:extLst>
              <c:ext xmlns:c16="http://schemas.microsoft.com/office/drawing/2014/chart" uri="{C3380CC4-5D6E-409C-BE32-E72D297353CC}">
                <c16:uniqueId val="{00000008-D54C-460F-A2FD-BD944B90E198}"/>
              </c:ext>
            </c:extLst>
          </c:dPt>
          <c:dPt>
            <c:idx val="9"/>
            <c:invertIfNegative val="0"/>
            <c:bubble3D val="0"/>
            <c:extLst>
              <c:ext xmlns:c16="http://schemas.microsoft.com/office/drawing/2014/chart" uri="{C3380CC4-5D6E-409C-BE32-E72D297353CC}">
                <c16:uniqueId val="{00000009-D54C-460F-A2FD-BD944B90E198}"/>
              </c:ext>
            </c:extLst>
          </c:dPt>
          <c:dPt>
            <c:idx val="10"/>
            <c:invertIfNegative val="0"/>
            <c:bubble3D val="0"/>
            <c:extLst>
              <c:ext xmlns:c16="http://schemas.microsoft.com/office/drawing/2014/chart" uri="{C3380CC4-5D6E-409C-BE32-E72D297353CC}">
                <c16:uniqueId val="{0000000A-D54C-460F-A2FD-BD944B90E198}"/>
              </c:ext>
            </c:extLst>
          </c:dPt>
          <c:dPt>
            <c:idx val="11"/>
            <c:invertIfNegative val="0"/>
            <c:bubble3D val="0"/>
            <c:extLst>
              <c:ext xmlns:c16="http://schemas.microsoft.com/office/drawing/2014/chart" uri="{C3380CC4-5D6E-409C-BE32-E72D297353CC}">
                <c16:uniqueId val="{0000000B-D54C-460F-A2FD-BD944B90E198}"/>
              </c:ext>
            </c:extLst>
          </c:dPt>
          <c:dLbls>
            <c:dLbl>
              <c:idx val="0"/>
              <c:layout>
                <c:manualLayout>
                  <c:x val="0"/>
                  <c:y val="-0.42851010081651592"/>
                </c:manualLayout>
              </c:layout>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0-D54C-460F-A2FD-BD944B90E198}"/>
                </c:ext>
              </c:extLst>
            </c:dLbl>
            <c:dLbl>
              <c:idx val="1"/>
              <c:layout>
                <c:manualLayout>
                  <c:x val="-1.6930100812751485E-3"/>
                  <c:y val="-0.42543615896782067"/>
                </c:manualLayout>
              </c:layout>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D54C-460F-A2FD-BD944B90E198}"/>
                </c:ext>
              </c:extLst>
            </c:dLbl>
            <c:dLbl>
              <c:idx val="2"/>
              <c:layout>
                <c:manualLayout>
                  <c:x val="0"/>
                  <c:y val="-0.43162113156020965"/>
                </c:manualLayout>
              </c:layout>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2-D54C-460F-A2FD-BD944B90E198}"/>
                </c:ext>
              </c:extLst>
            </c:dLbl>
            <c:dLbl>
              <c:idx val="3"/>
              <c:layout>
                <c:manualLayout>
                  <c:x val="0"/>
                  <c:y val="-0.43081868494354014"/>
                </c:manualLayout>
              </c:layout>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3-D54C-460F-A2FD-BD944B90E198}"/>
                </c:ext>
              </c:extLst>
            </c:dLbl>
            <c:dLbl>
              <c:idx val="4"/>
              <c:layout>
                <c:manualLayout>
                  <c:x val="0"/>
                  <c:y val="-0.41831458703197566"/>
                </c:manualLayout>
              </c:layout>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4-D54C-460F-A2FD-BD944B90E198}"/>
                </c:ext>
              </c:extLst>
            </c:dLbl>
            <c:dLbl>
              <c:idx val="5"/>
              <c:layout>
                <c:manualLayout>
                  <c:x val="0"/>
                  <c:y val="-0.44220310038857447"/>
                </c:manualLayout>
              </c:layout>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5-D54C-460F-A2FD-BD944B90E198}"/>
                </c:ext>
              </c:extLst>
            </c:dLbl>
            <c:dLbl>
              <c:idx val="6"/>
              <c:layout>
                <c:manualLayout>
                  <c:x val="0"/>
                  <c:y val="-0.43455404125103209"/>
                </c:manualLayout>
              </c:layout>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6-D54C-460F-A2FD-BD944B90E198}"/>
                </c:ext>
              </c:extLst>
            </c:dLbl>
            <c:dLbl>
              <c:idx val="7"/>
              <c:layout>
                <c:manualLayout>
                  <c:x val="0"/>
                  <c:y val="-0.44018064083961622"/>
                </c:manualLayout>
              </c:layout>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7-D54C-460F-A2FD-BD944B90E198}"/>
                </c:ext>
              </c:extLst>
            </c:dLbl>
            <c:dLbl>
              <c:idx val="8"/>
              <c:layout>
                <c:manualLayout>
                  <c:x val="-3.386020162550297E-3"/>
                  <c:y val="-0.42205377632414964"/>
                </c:manualLayout>
              </c:layout>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8-D54C-460F-A2FD-BD944B90E198}"/>
                </c:ext>
              </c:extLst>
            </c:dLbl>
            <c:dLbl>
              <c:idx val="9"/>
              <c:layout>
                <c:manualLayout>
                  <c:x val="0"/>
                  <c:y val="-0.42962955781335888"/>
                </c:manualLayout>
              </c:layout>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9-D54C-460F-A2FD-BD944B90E198}"/>
                </c:ext>
              </c:extLst>
            </c:dLbl>
            <c:dLbl>
              <c:idx val="10"/>
              <c:layout>
                <c:manualLayout>
                  <c:x val="-6.772040325100594E-3"/>
                  <c:y val="-0.42699404263992535"/>
                </c:manualLayout>
              </c:layout>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A-D54C-460F-A2FD-BD944B90E198}"/>
                </c:ext>
              </c:extLst>
            </c:dLbl>
            <c:dLbl>
              <c:idx val="11"/>
              <c:layout>
                <c:manualLayout>
                  <c:x val="-1.6930100812750245E-3"/>
                  <c:y val="-0.42864876467413093"/>
                </c:manualLayout>
              </c:layout>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B-D54C-460F-A2FD-BD944B90E198}"/>
                </c:ext>
              </c:extLst>
            </c:dLbl>
            <c:dLbl>
              <c:idx val="12"/>
              <c:layout>
                <c:manualLayout>
                  <c:x val="-1.5171222558781545E-3"/>
                  <c:y val="-0.43414814469053398"/>
                </c:manualLayout>
              </c:layout>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C-D54C-460F-A2FD-BD944B90E198}"/>
                </c:ext>
              </c:extLst>
            </c:dLbl>
            <c:dLbl>
              <c:idx val="13"/>
              <c:layout>
                <c:manualLayout>
                  <c:x val="0"/>
                  <c:y val="-0.41810396317280335"/>
                </c:manualLayout>
              </c:layout>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D-D54C-460F-A2FD-BD944B90E198}"/>
                </c:ext>
              </c:extLst>
            </c:dLbl>
            <c:numFmt formatCode="0.00%" sourceLinked="0"/>
            <c:spPr>
              <a:noFill/>
              <a:ln>
                <a:noFill/>
              </a:ln>
              <a:effectLst/>
            </c:spPr>
            <c:txPr>
              <a:bodyPr rot="-5400000" vert="horz" anchor="ctr" anchorCtr="0"/>
              <a:lstStyle/>
              <a:p>
                <a:pPr>
                  <a:defRPr sz="1050" b="1">
                    <a:solidFill>
                      <a:sysClr val="windowText" lastClr="000000"/>
                    </a:solidFill>
                  </a:defRPr>
                </a:pPr>
                <a:endParaRPr lang="pt-BR"/>
              </a:p>
            </c:txPr>
            <c:dLblPos val="inEnd"/>
            <c:showLegendKey val="0"/>
            <c:showVal val="1"/>
            <c:showCatName val="0"/>
            <c:showSerName val="0"/>
            <c:showPercent val="0"/>
            <c:showBubbleSize val="1"/>
            <c:showLeaderLines val="0"/>
            <c:extLst>
              <c:ext xmlns:c15="http://schemas.microsoft.com/office/drawing/2012/chart" uri="{CE6537A1-D6FC-4f65-9D91-7224C49458BB}">
                <c15:showLeaderLines val="0"/>
              </c:ext>
            </c:extLst>
          </c:dLbls>
          <c:cat>
            <c:numRef>
              <c:f>'SLA Rede'!$A$8:$A$19</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'SLA Rede'!$B$8:$B$19</c:f>
              <c:numCache>
                <c:formatCode>0.00%</c:formatCode>
                <c:ptCount val="12"/>
                <c:pt idx="0">
                  <c:v>0.99860000000000004</c:v>
                </c:pt>
                <c:pt idx="1">
                  <c:v>0.98909999999999998</c:v>
                </c:pt>
                <c:pt idx="2">
                  <c:v>0.98319999999999996</c:v>
                </c:pt>
                <c:pt idx="3">
                  <c:v>0.99350000000000005</c:v>
                </c:pt>
                <c:pt idx="4">
                  <c:v>0.99780000000000002</c:v>
                </c:pt>
                <c:pt idx="5">
                  <c:v>0.99919999999999998</c:v>
                </c:pt>
                <c:pt idx="6">
                  <c:v>0.99880000000000002</c:v>
                </c:pt>
                <c:pt idx="7">
                  <c:v>0.99850000000000005</c:v>
                </c:pt>
                <c:pt idx="8">
                  <c:v>0.99860000000000004</c:v>
                </c:pt>
                <c:pt idx="9">
                  <c:v>0.99519999999999997</c:v>
                </c:pt>
                <c:pt idx="10">
                  <c:v>0.99160000000000004</c:v>
                </c:pt>
                <c:pt idx="11">
                  <c:v>0.99864050000000004</c:v>
                </c:pt>
              </c:numCache>
            </c:numRef>
          </c:val>
          <c:extLst>
            <c:ext xmlns:c16="http://schemas.microsoft.com/office/drawing/2014/chart" uri="{C3380CC4-5D6E-409C-BE32-E72D297353CC}">
              <c16:uniqueId val="{0000000E-D54C-460F-A2FD-BD944B90E198}"/>
            </c:ext>
          </c:extLst>
        </c:ser>
        <c:dLbls>
          <c:showLegendKey val="0"/>
          <c:showVal val="0"/>
          <c:showCatName val="0"/>
          <c:showSerName val="0"/>
          <c:showPercent val="0"/>
          <c:showBubbleSize val="0"/>
        </c:dLbls>
        <c:gapWidth val="150"/>
        <c:overlap val="100"/>
        <c:axId val="298408320"/>
        <c:axId val="298395264"/>
      </c:barChart>
      <c:dateAx>
        <c:axId val="298408320"/>
        <c:scaling>
          <c:orientation val="minMax"/>
        </c:scaling>
        <c:delete val="0"/>
        <c:axPos val="b"/>
        <c:numFmt formatCode="mmm\-yy" sourceLinked="1"/>
        <c:majorTickMark val="out"/>
        <c:minorTickMark val="none"/>
        <c:tickLblPos val="nextTo"/>
        <c:spPr>
          <a:ln w="9360">
            <a:solidFill>
              <a:srgbClr val="D9D9D9"/>
            </a:solidFill>
            <a:round/>
          </a:ln>
        </c:spPr>
        <c:txPr>
          <a:bodyPr/>
          <a:lstStyle/>
          <a:p>
            <a:pPr>
              <a:defRPr sz="900" b="0" strike="noStrike" spc="-1">
                <a:solidFill>
                  <a:srgbClr val="000000"/>
                </a:solidFill>
                <a:latin typeface="Calibri"/>
              </a:defRPr>
            </a:pPr>
            <a:endParaRPr lang="pt-BR"/>
          </a:p>
        </c:txPr>
        <c:crossAx val="298395264"/>
        <c:crossesAt val="0.9"/>
        <c:auto val="1"/>
        <c:lblOffset val="100"/>
        <c:baseTimeUnit val="months"/>
      </c:dateAx>
      <c:valAx>
        <c:axId val="298395264"/>
        <c:scaling>
          <c:orientation val="minMax"/>
          <c:max val="1"/>
          <c:min val="0.9"/>
        </c:scaling>
        <c:delete val="0"/>
        <c:axPos val="l"/>
        <c:title>
          <c:tx>
            <c:rich>
              <a:bodyPr rot="-5400000"/>
              <a:lstStyle/>
              <a:p>
                <a:pPr>
                  <a:defRPr sz="1000" b="1" strike="noStrike" spc="-1">
                    <a:solidFill>
                      <a:srgbClr val="000000"/>
                    </a:solidFill>
                    <a:latin typeface="Calibri"/>
                  </a:defRPr>
                </a:pPr>
                <a:r>
                  <a:rPr lang="pt-BR" sz="1000" b="1" strike="noStrike" spc="-1">
                    <a:solidFill>
                      <a:srgbClr val="000000"/>
                    </a:solidFill>
                    <a:latin typeface="Calibri"/>
                  </a:rPr>
                  <a:t>% SLA</a:t>
                </a:r>
              </a:p>
            </c:rich>
          </c:tx>
          <c:overlay val="0"/>
          <c:spPr>
            <a:noFill/>
            <a:ln>
              <a:noFill/>
            </a:ln>
          </c:spPr>
        </c:title>
        <c:numFmt formatCode="0.0%"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298408320"/>
        <c:crosses val="autoZero"/>
        <c:crossBetween val="between"/>
        <c:majorUnit val="5.000000000000001E-3"/>
      </c:valAx>
      <c:spPr>
        <a:noFill/>
        <a:ln>
          <a:noFill/>
        </a:ln>
      </c:spPr>
    </c:plotArea>
    <c:plotVisOnly val="1"/>
    <c:dispBlanksAs val="gap"/>
    <c:showDLblsOverMax val="1"/>
  </c:chart>
  <c:spPr>
    <a:solidFill>
      <a:srgbClr val="FFFFFF"/>
    </a:solidFill>
    <a:ln w="9360">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551001885242843E-2"/>
          <c:y val="0.18075245523845582"/>
          <c:w val="0.95885928609523385"/>
          <c:h val="0.70213682072795258"/>
        </c:manualLayout>
      </c:layout>
      <c:lineChart>
        <c:grouping val="stacked"/>
        <c:varyColors val="0"/>
        <c:ser>
          <c:idx val="0"/>
          <c:order val="0"/>
          <c:tx>
            <c:strRef>
              <c:f>'[Grafico Rel. Adm..xlsx]Gráfico 2'!$B$3:$B$4</c:f>
              <c:strCache>
                <c:ptCount val="2"/>
                <c:pt idx="0">
                  <c:v>Colaboradores</c:v>
                </c:pt>
                <c:pt idx="1">
                  <c:v>Quantidade</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'[Grafico Rel. Adm..xlsx]Gráfico 2'!$A$5:$A$16</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'[Grafico Rel. Adm..xlsx]Gráfico 2'!$B$5:$B$16</c:f>
              <c:numCache>
                <c:formatCode>General</c:formatCode>
                <c:ptCount val="12"/>
                <c:pt idx="0">
                  <c:v>474</c:v>
                </c:pt>
                <c:pt idx="1">
                  <c:v>475</c:v>
                </c:pt>
                <c:pt idx="2">
                  <c:v>477</c:v>
                </c:pt>
                <c:pt idx="3">
                  <c:v>473</c:v>
                </c:pt>
                <c:pt idx="4">
                  <c:v>472</c:v>
                </c:pt>
                <c:pt idx="5">
                  <c:v>474</c:v>
                </c:pt>
                <c:pt idx="6">
                  <c:v>474</c:v>
                </c:pt>
                <c:pt idx="7">
                  <c:v>471</c:v>
                </c:pt>
                <c:pt idx="8">
                  <c:v>469</c:v>
                </c:pt>
                <c:pt idx="9">
                  <c:v>472</c:v>
                </c:pt>
                <c:pt idx="10">
                  <c:v>470</c:v>
                </c:pt>
                <c:pt idx="11">
                  <c:v>467</c:v>
                </c:pt>
              </c:numCache>
            </c:numRef>
          </c:val>
          <c:smooth val="1"/>
          <c:extLst>
            <c:ext xmlns:c16="http://schemas.microsoft.com/office/drawing/2014/chart" uri="{C3380CC4-5D6E-409C-BE32-E72D297353CC}">
              <c16:uniqueId val="{00000000-8BC2-4D2E-B938-D5AE4BF6FDC0}"/>
            </c:ext>
          </c:extLst>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356525520"/>
        <c:axId val="356526080"/>
      </c:lineChart>
      <c:dateAx>
        <c:axId val="356525520"/>
        <c:scaling>
          <c:orientation val="minMax"/>
        </c:scaling>
        <c:delete val="0"/>
        <c:axPos val="b"/>
        <c:numFmt formatCode="mmm\-yy"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pt-BR"/>
          </a:p>
        </c:txPr>
        <c:crossAx val="356526080"/>
        <c:crosses val="autoZero"/>
        <c:auto val="1"/>
        <c:lblOffset val="100"/>
        <c:baseTimeUnit val="months"/>
      </c:dateAx>
      <c:valAx>
        <c:axId val="3565260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pt-BR"/>
          </a:p>
        </c:txPr>
        <c:crossAx val="356525520"/>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bg1"/>
      </a:solidFill>
      <a:round/>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0446096654275093E-2"/>
          <c:y val="3.669724770642202E-2"/>
          <c:w val="0.95910780669144979"/>
          <c:h val="0.82886850152905212"/>
        </c:manualLayout>
      </c:layout>
      <c:barChart>
        <c:barDir val="col"/>
        <c:grouping val="clustered"/>
        <c:varyColors val="0"/>
        <c:ser>
          <c:idx val="0"/>
          <c:order val="0"/>
          <c:spPr>
            <a:solidFill>
              <a:srgbClr val="0000CC"/>
            </a:solidFill>
            <a:ln>
              <a:noFill/>
            </a:ln>
            <a:effectLst/>
          </c:spPr>
          <c:invertIfNegative val="0"/>
          <c:dPt>
            <c:idx val="4"/>
            <c:invertIfNegative val="0"/>
            <c:bubble3D val="0"/>
            <c:spPr>
              <a:solidFill>
                <a:srgbClr val="00FFFF"/>
              </a:solidFill>
              <a:ln>
                <a:noFill/>
              </a:ln>
              <a:effectLst/>
            </c:spPr>
            <c:extLst>
              <c:ext xmlns:c16="http://schemas.microsoft.com/office/drawing/2014/chart" uri="{C3380CC4-5D6E-409C-BE32-E72D297353CC}">
                <c16:uniqueId val="{00000001-2DAD-451F-B908-A541A411D80C}"/>
              </c:ext>
            </c:extLst>
          </c:dPt>
          <c:dPt>
            <c:idx val="5"/>
            <c:invertIfNegative val="0"/>
            <c:bubble3D val="0"/>
            <c:spPr>
              <a:solidFill>
                <a:srgbClr val="00FFFF"/>
              </a:solidFill>
              <a:ln>
                <a:noFill/>
              </a:ln>
              <a:effectLst/>
            </c:spPr>
            <c:extLst>
              <c:ext xmlns:c16="http://schemas.microsoft.com/office/drawing/2014/chart" uri="{C3380CC4-5D6E-409C-BE32-E72D297353CC}">
                <c16:uniqueId val="{00000003-2DAD-451F-B908-A541A411D80C}"/>
              </c:ext>
            </c:extLst>
          </c:dPt>
          <c:dPt>
            <c:idx val="6"/>
            <c:invertIfNegative val="0"/>
            <c:bubble3D val="0"/>
            <c:spPr>
              <a:solidFill>
                <a:srgbClr val="00FFFF"/>
              </a:solidFill>
              <a:ln>
                <a:noFill/>
              </a:ln>
              <a:effectLst/>
            </c:spPr>
            <c:extLst>
              <c:ext xmlns:c16="http://schemas.microsoft.com/office/drawing/2014/chart" uri="{C3380CC4-5D6E-409C-BE32-E72D297353CC}">
                <c16:uniqueId val="{00000005-2DAD-451F-B908-A541A411D80C}"/>
              </c:ext>
            </c:extLst>
          </c:dPt>
          <c:dPt>
            <c:idx val="7"/>
            <c:invertIfNegative val="0"/>
            <c:bubble3D val="0"/>
            <c:spPr>
              <a:solidFill>
                <a:srgbClr val="00FFFF"/>
              </a:solidFill>
              <a:ln>
                <a:noFill/>
              </a:ln>
              <a:effectLst/>
            </c:spPr>
            <c:extLst>
              <c:ext xmlns:c16="http://schemas.microsoft.com/office/drawing/2014/chart" uri="{C3380CC4-5D6E-409C-BE32-E72D297353CC}">
                <c16:uniqueId val="{00000007-2DAD-451F-B908-A541A411D80C}"/>
              </c:ext>
            </c:extLst>
          </c:dPt>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 Evolução da Receita Líquida_4T23.xlsx]4T23'!$A$425:$A$432</c:f>
              <c:strCache>
                <c:ptCount val="8"/>
                <c:pt idx="0">
                  <c:v>1T22</c:v>
                </c:pt>
                <c:pt idx="1">
                  <c:v>2T22</c:v>
                </c:pt>
                <c:pt idx="2">
                  <c:v>3T22</c:v>
                </c:pt>
                <c:pt idx="3">
                  <c:v>4T22</c:v>
                </c:pt>
                <c:pt idx="4">
                  <c:v>1T23</c:v>
                </c:pt>
                <c:pt idx="5">
                  <c:v>2T23</c:v>
                </c:pt>
                <c:pt idx="6">
                  <c:v>3T23</c:v>
                </c:pt>
                <c:pt idx="7">
                  <c:v>4T23</c:v>
                </c:pt>
              </c:strCache>
            </c:strRef>
          </c:cat>
          <c:val>
            <c:numRef>
              <c:f>'[Gráfico Evolução da Receita Líquida_4T23.xlsx]4T23'!$B$425:$B$432</c:f>
              <c:numCache>
                <c:formatCode>_(* #,##0_);_(* \(#,##0\);_(* "-"??_);_(@_)</c:formatCode>
                <c:ptCount val="8"/>
                <c:pt idx="0">
                  <c:v>71171</c:v>
                </c:pt>
                <c:pt idx="1">
                  <c:v>84590</c:v>
                </c:pt>
                <c:pt idx="2">
                  <c:v>101711</c:v>
                </c:pt>
                <c:pt idx="3">
                  <c:v>90368</c:v>
                </c:pt>
                <c:pt idx="4">
                  <c:v>97079</c:v>
                </c:pt>
                <c:pt idx="5">
                  <c:v>101198</c:v>
                </c:pt>
                <c:pt idx="6">
                  <c:v>108751</c:v>
                </c:pt>
                <c:pt idx="7">
                  <c:v>109812</c:v>
                </c:pt>
              </c:numCache>
            </c:numRef>
          </c:val>
          <c:extLst>
            <c:ext xmlns:c16="http://schemas.microsoft.com/office/drawing/2014/chart" uri="{C3380CC4-5D6E-409C-BE32-E72D297353CC}">
              <c16:uniqueId val="{00000008-2DAD-451F-B908-A541A411D80C}"/>
            </c:ext>
          </c:extLst>
        </c:ser>
        <c:dLbls>
          <c:showLegendKey val="0"/>
          <c:showVal val="1"/>
          <c:showCatName val="0"/>
          <c:showSerName val="0"/>
          <c:showPercent val="0"/>
          <c:showBubbleSize val="0"/>
        </c:dLbls>
        <c:gapWidth val="150"/>
        <c:overlap val="-25"/>
        <c:axId val="1754163583"/>
        <c:axId val="1754154015"/>
      </c:barChart>
      <c:catAx>
        <c:axId val="1754163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crossAx val="1754154015"/>
        <c:crosses val="autoZero"/>
        <c:auto val="1"/>
        <c:lblAlgn val="ctr"/>
        <c:lblOffset val="100"/>
        <c:noMultiLvlLbl val="0"/>
      </c:catAx>
      <c:valAx>
        <c:axId val="1754154015"/>
        <c:scaling>
          <c:orientation val="minMax"/>
        </c:scaling>
        <c:delete val="1"/>
        <c:axPos val="l"/>
        <c:numFmt formatCode="_(* #,##0_);_(* \(#,##0\);_(* &quot;-&quot;??_);_(@_)" sourceLinked="1"/>
        <c:majorTickMark val="none"/>
        <c:minorTickMark val="none"/>
        <c:tickLblPos val="nextTo"/>
        <c:crossAx val="1754163583"/>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t-B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555555555555555E-2"/>
          <c:y val="4.8346851560354599E-2"/>
          <c:w val="0.93888888888888888"/>
          <c:h val="0.66128683914510689"/>
        </c:manualLayout>
      </c:layout>
      <c:barChart>
        <c:barDir val="col"/>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 Evolução da Receita Líquida_4T23.xlsx]4T23'!$B$250:$B$256</c:f>
              <c:strCache>
                <c:ptCount val="7"/>
                <c:pt idx="0">
                  <c:v>2022</c:v>
                </c:pt>
                <c:pt idx="1">
                  <c:v>SCM (Internet)</c:v>
                </c:pt>
                <c:pt idx="2">
                  <c:v>Alugueis e Locações</c:v>
                </c:pt>
                <c:pt idx="3">
                  <c:v>Compart. Receita</c:v>
                </c:pt>
                <c:pt idx="4">
                  <c:v>SVA</c:v>
                </c:pt>
                <c:pt idx="5">
                  <c:v>Outras Receitas</c:v>
                </c:pt>
                <c:pt idx="6">
                  <c:v>2023</c:v>
                </c:pt>
              </c:strCache>
            </c:strRef>
          </c:cat>
          <c:val>
            <c:numRef>
              <c:f>'[Gráfico Evolução da Receita Líquida_4T23.xlsx]4T23'!$C$250:$C$256</c:f>
              <c:numCache>
                <c:formatCode>General</c:formatCode>
                <c:ptCount val="7"/>
              </c:numCache>
            </c:numRef>
          </c:val>
          <c:extLst>
            <c:ext xmlns:c16="http://schemas.microsoft.com/office/drawing/2014/chart" uri="{C3380CC4-5D6E-409C-BE32-E72D297353CC}">
              <c16:uniqueId val="{00000000-D7F5-4CB0-9ADC-3CBFBDAABB10}"/>
            </c:ext>
          </c:extLst>
        </c:ser>
        <c:ser>
          <c:idx val="1"/>
          <c:order val="1"/>
          <c:spPr>
            <a:solidFill>
              <a:schemeClr val="accent2"/>
            </a:solidFill>
            <a:ln>
              <a:noFill/>
            </a:ln>
            <a:effectLst/>
          </c:spPr>
          <c:invertIfNegative val="0"/>
          <c:dPt>
            <c:idx val="0"/>
            <c:invertIfNegative val="0"/>
            <c:bubble3D val="0"/>
            <c:spPr>
              <a:solidFill>
                <a:srgbClr val="0000CC"/>
              </a:solidFill>
              <a:ln>
                <a:noFill/>
              </a:ln>
              <a:effectLst/>
            </c:spPr>
            <c:extLst>
              <c:ext xmlns:c16="http://schemas.microsoft.com/office/drawing/2014/chart" uri="{C3380CC4-5D6E-409C-BE32-E72D297353CC}">
                <c16:uniqueId val="{00000002-D7F5-4CB0-9ADC-3CBFBDAABB10}"/>
              </c:ext>
            </c:extLst>
          </c:dPt>
          <c:dPt>
            <c:idx val="1"/>
            <c:invertIfNegative val="0"/>
            <c:bubble3D val="0"/>
            <c:spPr>
              <a:noFill/>
              <a:ln>
                <a:noFill/>
              </a:ln>
              <a:effectLst/>
            </c:spPr>
            <c:extLst>
              <c:ext xmlns:c16="http://schemas.microsoft.com/office/drawing/2014/chart" uri="{C3380CC4-5D6E-409C-BE32-E72D297353CC}">
                <c16:uniqueId val="{00000004-D7F5-4CB0-9ADC-3CBFBDAABB10}"/>
              </c:ext>
            </c:extLst>
          </c:dPt>
          <c:dPt>
            <c:idx val="2"/>
            <c:invertIfNegative val="0"/>
            <c:bubble3D val="0"/>
            <c:spPr>
              <a:noFill/>
              <a:ln>
                <a:noFill/>
              </a:ln>
              <a:effectLst/>
            </c:spPr>
            <c:extLst>
              <c:ext xmlns:c16="http://schemas.microsoft.com/office/drawing/2014/chart" uri="{C3380CC4-5D6E-409C-BE32-E72D297353CC}">
                <c16:uniqueId val="{00000006-D7F5-4CB0-9ADC-3CBFBDAABB10}"/>
              </c:ext>
            </c:extLst>
          </c:dPt>
          <c:dPt>
            <c:idx val="3"/>
            <c:invertIfNegative val="0"/>
            <c:bubble3D val="0"/>
            <c:spPr>
              <a:noFill/>
              <a:ln>
                <a:noFill/>
              </a:ln>
              <a:effectLst/>
            </c:spPr>
            <c:extLst>
              <c:ext xmlns:c16="http://schemas.microsoft.com/office/drawing/2014/chart" uri="{C3380CC4-5D6E-409C-BE32-E72D297353CC}">
                <c16:uniqueId val="{00000008-D7F5-4CB0-9ADC-3CBFBDAABB10}"/>
              </c:ext>
            </c:extLst>
          </c:dPt>
          <c:dPt>
            <c:idx val="4"/>
            <c:invertIfNegative val="0"/>
            <c:bubble3D val="0"/>
            <c:spPr>
              <a:noFill/>
              <a:ln>
                <a:noFill/>
              </a:ln>
              <a:effectLst/>
            </c:spPr>
            <c:extLst>
              <c:ext xmlns:c16="http://schemas.microsoft.com/office/drawing/2014/chart" uri="{C3380CC4-5D6E-409C-BE32-E72D297353CC}">
                <c16:uniqueId val="{0000000A-D7F5-4CB0-9ADC-3CBFBDAABB10}"/>
              </c:ext>
            </c:extLst>
          </c:dPt>
          <c:dPt>
            <c:idx val="5"/>
            <c:invertIfNegative val="0"/>
            <c:bubble3D val="0"/>
            <c:spPr>
              <a:noFill/>
              <a:ln>
                <a:noFill/>
              </a:ln>
              <a:effectLst/>
            </c:spPr>
            <c:extLst>
              <c:ext xmlns:c16="http://schemas.microsoft.com/office/drawing/2014/chart" uri="{C3380CC4-5D6E-409C-BE32-E72D297353CC}">
                <c16:uniqueId val="{0000000C-D7F5-4CB0-9ADC-3CBFBDAABB10}"/>
              </c:ext>
            </c:extLst>
          </c:dPt>
          <c:dPt>
            <c:idx val="6"/>
            <c:invertIfNegative val="0"/>
            <c:bubble3D val="0"/>
            <c:spPr>
              <a:solidFill>
                <a:srgbClr val="0000CC"/>
              </a:solidFill>
              <a:ln>
                <a:noFill/>
              </a:ln>
              <a:effectLst/>
            </c:spPr>
            <c:extLst>
              <c:ext xmlns:c16="http://schemas.microsoft.com/office/drawing/2014/chart" uri="{C3380CC4-5D6E-409C-BE32-E72D297353CC}">
                <c16:uniqueId val="{0000000E-D7F5-4CB0-9ADC-3CBFBDAABB10}"/>
              </c:ext>
            </c:extLst>
          </c:dPt>
          <c:dLbls>
            <c:dLbl>
              <c:idx val="0"/>
              <c:layout>
                <c:manualLayout>
                  <c:x val="-2.7777184451947472E-3"/>
                  <c:y val="-0.320192877524860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F5-4CB0-9ADC-3CBFBDAABB10}"/>
                </c:ext>
              </c:extLst>
            </c:dLbl>
            <c:dLbl>
              <c:idx val="1"/>
              <c:delete val="1"/>
              <c:extLst>
                <c:ext xmlns:c15="http://schemas.microsoft.com/office/drawing/2012/chart" uri="{CE6537A1-D6FC-4f65-9D91-7224C49458BB}"/>
                <c:ext xmlns:c16="http://schemas.microsoft.com/office/drawing/2014/chart" uri="{C3380CC4-5D6E-409C-BE32-E72D297353CC}">
                  <c16:uniqueId val="{00000004-D7F5-4CB0-9ADC-3CBFBDAABB10}"/>
                </c:ext>
              </c:extLst>
            </c:dLbl>
            <c:dLbl>
              <c:idx val="2"/>
              <c:delete val="1"/>
              <c:extLst>
                <c:ext xmlns:c15="http://schemas.microsoft.com/office/drawing/2012/chart" uri="{CE6537A1-D6FC-4f65-9D91-7224C49458BB}"/>
                <c:ext xmlns:c16="http://schemas.microsoft.com/office/drawing/2014/chart" uri="{C3380CC4-5D6E-409C-BE32-E72D297353CC}">
                  <c16:uniqueId val="{00000006-D7F5-4CB0-9ADC-3CBFBDAABB10}"/>
                </c:ext>
              </c:extLst>
            </c:dLbl>
            <c:dLbl>
              <c:idx val="3"/>
              <c:delete val="1"/>
              <c:extLst>
                <c:ext xmlns:c15="http://schemas.microsoft.com/office/drawing/2012/chart" uri="{CE6537A1-D6FC-4f65-9D91-7224C49458BB}"/>
                <c:ext xmlns:c16="http://schemas.microsoft.com/office/drawing/2014/chart" uri="{C3380CC4-5D6E-409C-BE32-E72D297353CC}">
                  <c16:uniqueId val="{00000008-D7F5-4CB0-9ADC-3CBFBDAABB10}"/>
                </c:ext>
              </c:extLst>
            </c:dLbl>
            <c:dLbl>
              <c:idx val="4"/>
              <c:delete val="1"/>
              <c:extLst>
                <c:ext xmlns:c15="http://schemas.microsoft.com/office/drawing/2012/chart" uri="{CE6537A1-D6FC-4f65-9D91-7224C49458BB}"/>
                <c:ext xmlns:c16="http://schemas.microsoft.com/office/drawing/2014/chart" uri="{C3380CC4-5D6E-409C-BE32-E72D297353CC}">
                  <c16:uniqueId val="{0000000A-D7F5-4CB0-9ADC-3CBFBDAABB10}"/>
                </c:ext>
              </c:extLst>
            </c:dLbl>
            <c:dLbl>
              <c:idx val="5"/>
              <c:delete val="1"/>
              <c:extLst>
                <c:ext xmlns:c15="http://schemas.microsoft.com/office/drawing/2012/chart" uri="{CE6537A1-D6FC-4f65-9D91-7224C49458BB}"/>
                <c:ext xmlns:c16="http://schemas.microsoft.com/office/drawing/2014/chart" uri="{C3380CC4-5D6E-409C-BE32-E72D297353CC}">
                  <c16:uniqueId val="{0000000C-D7F5-4CB0-9ADC-3CBFBDAABB10}"/>
                </c:ext>
              </c:extLst>
            </c:dLbl>
            <c:dLbl>
              <c:idx val="6"/>
              <c:layout>
                <c:manualLayout>
                  <c:x val="-1.7761427352802444E-16"/>
                  <c:y val="-0.370363773114244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7F5-4CB0-9ADC-3CBFBDAABB1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'[Gráfico Evolução da Receita Líquida_4T23.xlsx]4T23'!$B$250:$B$256</c:f>
              <c:strCache>
                <c:ptCount val="7"/>
                <c:pt idx="0">
                  <c:v>2022</c:v>
                </c:pt>
                <c:pt idx="1">
                  <c:v>SCM (Internet)</c:v>
                </c:pt>
                <c:pt idx="2">
                  <c:v>Alugueis e Locações</c:v>
                </c:pt>
                <c:pt idx="3">
                  <c:v>Compart. Receita</c:v>
                </c:pt>
                <c:pt idx="4">
                  <c:v>SVA</c:v>
                </c:pt>
                <c:pt idx="5">
                  <c:v>Outras Receitas</c:v>
                </c:pt>
                <c:pt idx="6">
                  <c:v>2023</c:v>
                </c:pt>
              </c:strCache>
            </c:strRef>
          </c:cat>
          <c:val>
            <c:numRef>
              <c:f>'[Gráfico Evolução da Receita Líquida_4T23.xlsx]4T23'!$D$250:$D$256</c:f>
              <c:numCache>
                <c:formatCode>#,##0</c:formatCode>
                <c:ptCount val="7"/>
                <c:pt idx="0">
                  <c:v>403502</c:v>
                </c:pt>
                <c:pt idx="1">
                  <c:v>403502</c:v>
                </c:pt>
                <c:pt idx="2">
                  <c:v>437399</c:v>
                </c:pt>
                <c:pt idx="3">
                  <c:v>441576</c:v>
                </c:pt>
                <c:pt idx="4">
                  <c:v>459649</c:v>
                </c:pt>
                <c:pt idx="5">
                  <c:v>467257</c:v>
                </c:pt>
                <c:pt idx="6">
                  <c:v>470052</c:v>
                </c:pt>
              </c:numCache>
            </c:numRef>
          </c:val>
          <c:extLst>
            <c:ext xmlns:c16="http://schemas.microsoft.com/office/drawing/2014/chart" uri="{C3380CC4-5D6E-409C-BE32-E72D297353CC}">
              <c16:uniqueId val="{0000000F-D7F5-4CB0-9ADC-3CBFBDAABB10}"/>
            </c:ext>
          </c:extLst>
        </c:ser>
        <c:ser>
          <c:idx val="2"/>
          <c:order val="2"/>
          <c:spPr>
            <a:solidFill>
              <a:srgbClr val="0000CC"/>
            </a:solidFill>
            <a:ln>
              <a:noFill/>
            </a:ln>
            <a:effectLst/>
          </c:spPr>
          <c:invertIfNegative val="0"/>
          <c:dPt>
            <c:idx val="1"/>
            <c:invertIfNegative val="0"/>
            <c:bubble3D val="0"/>
            <c:spPr>
              <a:solidFill>
                <a:srgbClr val="0000CC"/>
              </a:solidFill>
              <a:ln>
                <a:noFill/>
              </a:ln>
              <a:effectLst/>
            </c:spPr>
            <c:extLst>
              <c:ext xmlns:c16="http://schemas.microsoft.com/office/drawing/2014/chart" uri="{C3380CC4-5D6E-409C-BE32-E72D297353CC}">
                <c16:uniqueId val="{00000011-D7F5-4CB0-9ADC-3CBFBDAABB10}"/>
              </c:ext>
            </c:extLst>
          </c:dPt>
          <c:dPt>
            <c:idx val="3"/>
            <c:invertIfNegative val="0"/>
            <c:bubble3D val="0"/>
            <c:spPr>
              <a:solidFill>
                <a:srgbClr val="0000CC"/>
              </a:solidFill>
              <a:ln>
                <a:noFill/>
              </a:ln>
              <a:effectLst/>
            </c:spPr>
            <c:extLst>
              <c:ext xmlns:c16="http://schemas.microsoft.com/office/drawing/2014/chart" uri="{C3380CC4-5D6E-409C-BE32-E72D297353CC}">
                <c16:uniqueId val="{00000013-D7F5-4CB0-9ADC-3CBFBDAABB10}"/>
              </c:ext>
            </c:extLst>
          </c:dPt>
          <c:dLbls>
            <c:dLbl>
              <c:idx val="1"/>
              <c:layout>
                <c:manualLayout>
                  <c:x val="-2.4220557085634863E-3"/>
                  <c:y val="-9.95429514910573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7F5-4CB0-9ADC-3CBFBDAABB10}"/>
                </c:ext>
              </c:extLst>
            </c:dLbl>
            <c:dLbl>
              <c:idx val="2"/>
              <c:layout>
                <c:manualLayout>
                  <c:x val="-8.8807136764012219E-17"/>
                  <c:y val="-3.7892250997375511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showLegendKey val="0"/>
              <c:showVal val="1"/>
              <c:showCatName val="0"/>
              <c:showSerName val="0"/>
              <c:showPercent val="0"/>
              <c:showBubbleSize val="0"/>
              <c:extLst>
                <c:ext xmlns:c15="http://schemas.microsoft.com/office/drawing/2012/chart" uri="{CE6537A1-D6FC-4f65-9D91-7224C49458BB}">
                  <c15:layout>
                    <c:manualLayout>
                      <c:w val="7.2697649972003495E-2"/>
                      <c:h val="0.10110144866998572"/>
                    </c:manualLayout>
                  </c15:layout>
                </c:ext>
                <c:ext xmlns:c16="http://schemas.microsoft.com/office/drawing/2014/chart" uri="{C3380CC4-5D6E-409C-BE32-E72D297353CC}">
                  <c16:uniqueId val="{00000014-D7F5-4CB0-9ADC-3CBFBDAABB10}"/>
                </c:ext>
              </c:extLst>
            </c:dLbl>
            <c:dLbl>
              <c:idx val="3"/>
              <c:layout>
                <c:manualLayout>
                  <c:x val="-8.8807136764012219E-17"/>
                  <c:y val="-3.67163231686872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7F5-4CB0-9ADC-3CBFBDAABB10}"/>
                </c:ext>
              </c:extLst>
            </c:dLbl>
            <c:dLbl>
              <c:idx val="4"/>
              <c:layout>
                <c:manualLayout>
                  <c:x val="-1.9880715705766867E-3"/>
                  <c:y val="-5.47008645177314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7F5-4CB0-9ADC-3CBFBDAABB10}"/>
                </c:ext>
              </c:extLst>
            </c:dLbl>
            <c:dLbl>
              <c:idx val="5"/>
              <c:layout>
                <c:manualLayout>
                  <c:x val="-8.8807136764012219E-17"/>
                  <c:y val="-4.86456690555392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7F5-4CB0-9ADC-3CBFBDAABB1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'[Gráfico Evolução da Receita Líquida_4T23.xlsx]4T23'!$B$250:$B$256</c:f>
              <c:strCache>
                <c:ptCount val="7"/>
                <c:pt idx="0">
                  <c:v>2022</c:v>
                </c:pt>
                <c:pt idx="1">
                  <c:v>SCM (Internet)</c:v>
                </c:pt>
                <c:pt idx="2">
                  <c:v>Alugueis e Locações</c:v>
                </c:pt>
                <c:pt idx="3">
                  <c:v>Compart. Receita</c:v>
                </c:pt>
                <c:pt idx="4">
                  <c:v>SVA</c:v>
                </c:pt>
                <c:pt idx="5">
                  <c:v>Outras Receitas</c:v>
                </c:pt>
                <c:pt idx="6">
                  <c:v>2023</c:v>
                </c:pt>
              </c:strCache>
            </c:strRef>
          </c:cat>
          <c:val>
            <c:numRef>
              <c:f>'[Gráfico Evolução da Receita Líquida_4T23.xlsx]4T23'!$E$250:$E$256</c:f>
              <c:numCache>
                <c:formatCode>#,##0</c:formatCode>
                <c:ptCount val="7"/>
                <c:pt idx="1">
                  <c:v>33897</c:v>
                </c:pt>
                <c:pt idx="2">
                  <c:v>2795</c:v>
                </c:pt>
                <c:pt idx="3">
                  <c:v>4177</c:v>
                </c:pt>
                <c:pt idx="4">
                  <c:v>18073</c:v>
                </c:pt>
                <c:pt idx="5">
                  <c:v>7608</c:v>
                </c:pt>
              </c:numCache>
            </c:numRef>
          </c:val>
          <c:extLst>
            <c:ext xmlns:c16="http://schemas.microsoft.com/office/drawing/2014/chart" uri="{C3380CC4-5D6E-409C-BE32-E72D297353CC}">
              <c16:uniqueId val="{00000017-D7F5-4CB0-9ADC-3CBFBDAABB10}"/>
            </c:ext>
          </c:extLst>
        </c:ser>
        <c:dLbls>
          <c:showLegendKey val="0"/>
          <c:showVal val="1"/>
          <c:showCatName val="0"/>
          <c:showSerName val="0"/>
          <c:showPercent val="0"/>
          <c:showBubbleSize val="0"/>
        </c:dLbls>
        <c:gapWidth val="95"/>
        <c:overlap val="100"/>
        <c:axId val="527318112"/>
        <c:axId val="751303696"/>
      </c:barChart>
      <c:catAx>
        <c:axId val="52731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751303696"/>
        <c:crosses val="autoZero"/>
        <c:auto val="1"/>
        <c:lblAlgn val="ctr"/>
        <c:lblOffset val="100"/>
        <c:noMultiLvlLbl val="0"/>
      </c:catAx>
      <c:valAx>
        <c:axId val="751303696"/>
        <c:scaling>
          <c:orientation val="minMax"/>
        </c:scaling>
        <c:delete val="1"/>
        <c:axPos val="l"/>
        <c:numFmt formatCode="General" sourceLinked="1"/>
        <c:majorTickMark val="none"/>
        <c:minorTickMark val="none"/>
        <c:tickLblPos val="nextTo"/>
        <c:crossAx val="5273181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t-B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spPr>
            <a:no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F241-4638-86C3-3D1121C118A2}"/>
              </c:ext>
            </c:extLst>
          </c:dPt>
          <c:dPt>
            <c:idx val="1"/>
            <c:invertIfNegative val="0"/>
            <c:bubble3D val="0"/>
            <c:spPr>
              <a:noFill/>
              <a:ln>
                <a:noFill/>
              </a:ln>
              <a:effectLst/>
            </c:spPr>
            <c:extLst>
              <c:ext xmlns:c16="http://schemas.microsoft.com/office/drawing/2014/chart" uri="{C3380CC4-5D6E-409C-BE32-E72D297353CC}">
                <c16:uniqueId val="{00000003-F241-4638-86C3-3D1121C118A2}"/>
              </c:ext>
            </c:extLst>
          </c:dPt>
          <c:dPt>
            <c:idx val="2"/>
            <c:invertIfNegative val="0"/>
            <c:bubble3D val="0"/>
            <c:spPr>
              <a:noFill/>
              <a:ln>
                <a:noFill/>
              </a:ln>
              <a:effectLst/>
            </c:spPr>
            <c:extLst>
              <c:ext xmlns:c16="http://schemas.microsoft.com/office/drawing/2014/chart" uri="{C3380CC4-5D6E-409C-BE32-E72D297353CC}">
                <c16:uniqueId val="{00000005-F241-4638-86C3-3D1121C118A2}"/>
              </c:ext>
            </c:extLst>
          </c:dPt>
          <c:dPt>
            <c:idx val="3"/>
            <c:invertIfNegative val="0"/>
            <c:bubble3D val="0"/>
            <c:spPr>
              <a:noFill/>
              <a:ln>
                <a:noFill/>
              </a:ln>
              <a:effectLst/>
            </c:spPr>
            <c:extLst>
              <c:ext xmlns:c16="http://schemas.microsoft.com/office/drawing/2014/chart" uri="{C3380CC4-5D6E-409C-BE32-E72D297353CC}">
                <c16:uniqueId val="{00000007-F241-4638-86C3-3D1121C118A2}"/>
              </c:ext>
            </c:extLst>
          </c:dPt>
          <c:dPt>
            <c:idx val="4"/>
            <c:invertIfNegative val="0"/>
            <c:bubble3D val="0"/>
            <c:spPr>
              <a:noFill/>
              <a:ln>
                <a:noFill/>
              </a:ln>
              <a:effectLst/>
            </c:spPr>
            <c:extLst>
              <c:ext xmlns:c16="http://schemas.microsoft.com/office/drawing/2014/chart" uri="{C3380CC4-5D6E-409C-BE32-E72D297353CC}">
                <c16:uniqueId val="{00000009-F241-4638-86C3-3D1121C118A2}"/>
              </c:ext>
            </c:extLst>
          </c:dPt>
          <c:dPt>
            <c:idx val="5"/>
            <c:invertIfNegative val="0"/>
            <c:bubble3D val="0"/>
            <c:spPr>
              <a:noFill/>
              <a:ln>
                <a:noFill/>
              </a:ln>
              <a:effectLst/>
            </c:spPr>
            <c:extLst>
              <c:ext xmlns:c16="http://schemas.microsoft.com/office/drawing/2014/chart" uri="{C3380CC4-5D6E-409C-BE32-E72D297353CC}">
                <c16:uniqueId val="{0000000B-F241-4638-86C3-3D1121C118A2}"/>
              </c:ext>
            </c:extLst>
          </c:dPt>
          <c:dPt>
            <c:idx val="6"/>
            <c:invertIfNegative val="0"/>
            <c:bubble3D val="0"/>
            <c:spPr>
              <a:solidFill>
                <a:srgbClr val="FF0000"/>
              </a:solidFill>
              <a:ln>
                <a:noFill/>
              </a:ln>
              <a:effectLst/>
            </c:spPr>
            <c:extLst>
              <c:ext xmlns:c16="http://schemas.microsoft.com/office/drawing/2014/chart" uri="{C3380CC4-5D6E-409C-BE32-E72D297353CC}">
                <c16:uniqueId val="{0000000D-F241-4638-86C3-3D1121C118A2}"/>
              </c:ext>
            </c:extLst>
          </c:dPt>
          <c:dLbls>
            <c:dLbl>
              <c:idx val="0"/>
              <c:layout>
                <c:manualLayout>
                  <c:x val="3.8797284190106693E-3"/>
                  <c:y val="-0.340792102479727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41-4638-86C3-3D1121C118A2}"/>
                </c:ext>
              </c:extLst>
            </c:dLbl>
            <c:dLbl>
              <c:idx val="6"/>
              <c:layout>
                <c:manualLayout>
                  <c:x val="0"/>
                  <c:y val="-0.367293240312396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241-4638-86C3-3D1121C118A2}"/>
                </c:ext>
              </c:extLst>
            </c:dLbl>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pt-BR"/>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'[Gráficos Gerais_4T23.xlsx]Custos_Desp_Op_3T23MM'!$C$84:$C$90</c:f>
              <c:strCache>
                <c:ptCount val="7"/>
                <c:pt idx="0">
                  <c:v>2022</c:v>
                </c:pt>
                <c:pt idx="1">
                  <c:v>Serviços de Terceiros</c:v>
                </c:pt>
                <c:pt idx="2">
                  <c:v>Meios de Conexão e Transmissão</c:v>
                </c:pt>
                <c:pt idx="3">
                  <c:v>Pessoal</c:v>
                </c:pt>
                <c:pt idx="4">
                  <c:v>Aluguel, Locações e Seguros</c:v>
                </c:pt>
                <c:pt idx="5">
                  <c:v>Outros Custos e Despesas</c:v>
                </c:pt>
                <c:pt idx="6">
                  <c:v>2023</c:v>
                </c:pt>
              </c:strCache>
            </c:strRef>
          </c:cat>
          <c:val>
            <c:numRef>
              <c:f>'[Gráficos Gerais_4T23.xlsx]Custos_Desp_Op_3T23MM'!$D$84:$D$90</c:f>
              <c:numCache>
                <c:formatCode>_-* #,##0_-;\-* #,##0_-;_-* "-"??_-;_-@_-</c:formatCode>
                <c:ptCount val="7"/>
                <c:pt idx="0">
                  <c:v>393957</c:v>
                </c:pt>
                <c:pt idx="1">
                  <c:v>393957</c:v>
                </c:pt>
                <c:pt idx="2">
                  <c:v>444362</c:v>
                </c:pt>
                <c:pt idx="3">
                  <c:v>453486</c:v>
                </c:pt>
                <c:pt idx="4">
                  <c:v>463265</c:v>
                </c:pt>
                <c:pt idx="5">
                  <c:v>465738</c:v>
                </c:pt>
                <c:pt idx="6">
                  <c:v>469666</c:v>
                </c:pt>
              </c:numCache>
            </c:numRef>
          </c:val>
          <c:extLst>
            <c:ext xmlns:c16="http://schemas.microsoft.com/office/drawing/2014/chart" uri="{C3380CC4-5D6E-409C-BE32-E72D297353CC}">
              <c16:uniqueId val="{0000000E-F241-4638-86C3-3D1121C118A2}"/>
            </c:ext>
          </c:extLst>
        </c:ser>
        <c:ser>
          <c:idx val="1"/>
          <c:order val="1"/>
          <c:spPr>
            <a:solidFill>
              <a:srgbClr val="FF0000"/>
            </a:solidFill>
            <a:ln>
              <a:noFill/>
            </a:ln>
            <a:effectLst/>
          </c:spPr>
          <c:invertIfNegative val="0"/>
          <c:dPt>
            <c:idx val="1"/>
            <c:invertIfNegative val="0"/>
            <c:bubble3D val="0"/>
            <c:spPr>
              <a:solidFill>
                <a:srgbClr val="FF0000"/>
              </a:solidFill>
              <a:ln>
                <a:noFill/>
              </a:ln>
              <a:effectLst/>
            </c:spPr>
            <c:extLst>
              <c:ext xmlns:c16="http://schemas.microsoft.com/office/drawing/2014/chart" uri="{C3380CC4-5D6E-409C-BE32-E72D297353CC}">
                <c16:uniqueId val="{00000010-F241-4638-86C3-3D1121C118A2}"/>
              </c:ext>
            </c:extLst>
          </c:dPt>
          <c:dPt>
            <c:idx val="2"/>
            <c:invertIfNegative val="0"/>
            <c:bubble3D val="0"/>
            <c:spPr>
              <a:solidFill>
                <a:srgbClr val="FF0000"/>
              </a:solidFill>
              <a:ln>
                <a:noFill/>
              </a:ln>
              <a:effectLst/>
            </c:spPr>
            <c:extLst>
              <c:ext xmlns:c16="http://schemas.microsoft.com/office/drawing/2014/chart" uri="{C3380CC4-5D6E-409C-BE32-E72D297353CC}">
                <c16:uniqueId val="{00000012-F241-4638-86C3-3D1121C118A2}"/>
              </c:ext>
            </c:extLst>
          </c:dPt>
          <c:dPt>
            <c:idx val="3"/>
            <c:invertIfNegative val="0"/>
            <c:bubble3D val="0"/>
            <c:spPr>
              <a:solidFill>
                <a:srgbClr val="FF0000"/>
              </a:solidFill>
              <a:ln>
                <a:noFill/>
              </a:ln>
              <a:effectLst/>
            </c:spPr>
            <c:extLst>
              <c:ext xmlns:c16="http://schemas.microsoft.com/office/drawing/2014/chart" uri="{C3380CC4-5D6E-409C-BE32-E72D297353CC}">
                <c16:uniqueId val="{00000014-F241-4638-86C3-3D1121C118A2}"/>
              </c:ext>
            </c:extLst>
          </c:dPt>
          <c:dPt>
            <c:idx val="4"/>
            <c:invertIfNegative val="0"/>
            <c:bubble3D val="0"/>
            <c:spPr>
              <a:solidFill>
                <a:srgbClr val="FF0000"/>
              </a:solidFill>
              <a:ln>
                <a:noFill/>
              </a:ln>
              <a:effectLst/>
            </c:spPr>
            <c:extLst>
              <c:ext xmlns:c16="http://schemas.microsoft.com/office/drawing/2014/chart" uri="{C3380CC4-5D6E-409C-BE32-E72D297353CC}">
                <c16:uniqueId val="{00000016-F241-4638-86C3-3D1121C118A2}"/>
              </c:ext>
            </c:extLst>
          </c:dPt>
          <c:dPt>
            <c:idx val="5"/>
            <c:invertIfNegative val="0"/>
            <c:bubble3D val="0"/>
            <c:spPr>
              <a:solidFill>
                <a:srgbClr val="FF0000"/>
              </a:solidFill>
              <a:ln>
                <a:noFill/>
              </a:ln>
              <a:effectLst/>
            </c:spPr>
            <c:extLst>
              <c:ext xmlns:c16="http://schemas.microsoft.com/office/drawing/2014/chart" uri="{C3380CC4-5D6E-409C-BE32-E72D297353CC}">
                <c16:uniqueId val="{00000018-F241-4638-86C3-3D1121C118A2}"/>
              </c:ext>
            </c:extLst>
          </c:dPt>
          <c:dLbls>
            <c:dLbl>
              <c:idx val="1"/>
              <c:layout>
                <c:manualLayout>
                  <c:x val="-4.7704233750745376E-3"/>
                  <c:y val="-6.50406504065041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241-4638-86C3-3D1121C118A2}"/>
                </c:ext>
              </c:extLst>
            </c:dLbl>
            <c:dLbl>
              <c:idx val="2"/>
              <c:layout>
                <c:manualLayout>
                  <c:x val="0"/>
                  <c:y val="-2.78745644599303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241-4638-86C3-3D1121C118A2}"/>
                </c:ext>
              </c:extLst>
            </c:dLbl>
            <c:dLbl>
              <c:idx val="3"/>
              <c:layout>
                <c:manualLayout>
                  <c:x val="0"/>
                  <c:y val="-2.78745644599303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241-4638-86C3-3D1121C118A2}"/>
                </c:ext>
              </c:extLst>
            </c:dLbl>
            <c:dLbl>
              <c:idx val="4"/>
              <c:layout>
                <c:manualLayout>
                  <c:x val="-8.7456751568509432E-17"/>
                  <c:y val="-2.78745644599303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241-4638-86C3-3D1121C118A2}"/>
                </c:ext>
              </c:extLst>
            </c:dLbl>
            <c:dLbl>
              <c:idx val="5"/>
              <c:layout>
                <c:manualLayout>
                  <c:x val="-8.7456751568509432E-17"/>
                  <c:y val="-4.18118466898955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F241-4638-86C3-3D1121C118A2}"/>
                </c:ext>
              </c:extLst>
            </c:dLbl>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'[Gráficos Gerais_4T23.xlsx]Custos_Desp_Op_3T23MM'!$C$84:$C$90</c:f>
              <c:strCache>
                <c:ptCount val="7"/>
                <c:pt idx="0">
                  <c:v>2022</c:v>
                </c:pt>
                <c:pt idx="1">
                  <c:v>Serviços de Terceiros</c:v>
                </c:pt>
                <c:pt idx="2">
                  <c:v>Meios de Conexão e Transmissão</c:v>
                </c:pt>
                <c:pt idx="3">
                  <c:v>Pessoal</c:v>
                </c:pt>
                <c:pt idx="4">
                  <c:v>Aluguel, Locações e Seguros</c:v>
                </c:pt>
                <c:pt idx="5">
                  <c:v>Outros Custos e Despesas</c:v>
                </c:pt>
                <c:pt idx="6">
                  <c:v>2023</c:v>
                </c:pt>
              </c:strCache>
            </c:strRef>
          </c:cat>
          <c:val>
            <c:numRef>
              <c:f>'[Gráficos Gerais_4T23.xlsx]Custos_Desp_Op_3T23MM'!$E$84:$E$90</c:f>
              <c:numCache>
                <c:formatCode>_-* #,##0_-;\-* #,##0_-;_-* "-"??_-;_-@_-</c:formatCode>
                <c:ptCount val="7"/>
                <c:pt idx="1">
                  <c:v>50405</c:v>
                </c:pt>
                <c:pt idx="2">
                  <c:v>9124</c:v>
                </c:pt>
                <c:pt idx="3">
                  <c:v>9779</c:v>
                </c:pt>
                <c:pt idx="4">
                  <c:v>2473</c:v>
                </c:pt>
                <c:pt idx="5">
                  <c:v>3928</c:v>
                </c:pt>
              </c:numCache>
            </c:numRef>
          </c:val>
          <c:extLst>
            <c:ext xmlns:c16="http://schemas.microsoft.com/office/drawing/2014/chart" uri="{C3380CC4-5D6E-409C-BE32-E72D297353CC}">
              <c16:uniqueId val="{00000019-F241-4638-86C3-3D1121C118A2}"/>
            </c:ext>
          </c:extLst>
        </c:ser>
        <c:dLbls>
          <c:showLegendKey val="0"/>
          <c:showVal val="1"/>
          <c:showCatName val="0"/>
          <c:showSerName val="0"/>
          <c:showPercent val="0"/>
          <c:showBubbleSize val="0"/>
        </c:dLbls>
        <c:gapWidth val="95"/>
        <c:overlap val="100"/>
        <c:axId val="774685088"/>
        <c:axId val="774685416"/>
      </c:barChart>
      <c:catAx>
        <c:axId val="77468508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pt-BR"/>
          </a:p>
        </c:txPr>
        <c:crossAx val="774685416"/>
        <c:crosses val="autoZero"/>
        <c:auto val="1"/>
        <c:lblAlgn val="ctr"/>
        <c:lblOffset val="100"/>
        <c:noMultiLvlLbl val="0"/>
      </c:catAx>
      <c:valAx>
        <c:axId val="774685416"/>
        <c:scaling>
          <c:orientation val="minMax"/>
          <c:min val="50"/>
        </c:scaling>
        <c:delete val="1"/>
        <c:axPos val="l"/>
        <c:numFmt formatCode="_-* #,##0_-;\-* #,##0_-;_-* &quot;-&quot;??_-;_-@_-" sourceLinked="1"/>
        <c:majorTickMark val="none"/>
        <c:minorTickMark val="none"/>
        <c:tickLblPos val="nextTo"/>
        <c:crossAx val="774685088"/>
        <c:crosses val="autoZero"/>
        <c:crossBetween val="between"/>
      </c:valAx>
      <c:spPr>
        <a:noFill/>
        <a:ln w="25400">
          <a:noFill/>
        </a:ln>
        <a:effectLst/>
      </c:spPr>
    </c:plotArea>
    <c:plotVisOnly val="1"/>
    <c:dispBlanksAs val="gap"/>
    <c:showDLblsOverMax val="0"/>
  </c:chart>
  <c:spPr>
    <a:solidFill>
      <a:schemeClr val="lt1"/>
    </a:solidFill>
    <a:ln w="9525" cap="flat" cmpd="sng" algn="ctr">
      <a:noFill/>
      <a:round/>
    </a:ln>
    <a:effectLst/>
  </c:spPr>
  <c:txPr>
    <a:bodyPr/>
    <a:lstStyle/>
    <a:p>
      <a:pPr>
        <a:defRPr b="1">
          <a:latin typeface="Arial" panose="020B0604020202020204" pitchFamily="34" charset="0"/>
          <a:cs typeface="Arial" panose="020B0604020202020204" pitchFamily="34" charset="0"/>
        </a:defRPr>
      </a:pPr>
      <a:endParaRPr lang="pt-B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619173050557786E-2"/>
          <c:y val="3.5139305666560365E-2"/>
          <c:w val="0.95773294908741591"/>
          <c:h val="0.74761113845144356"/>
        </c:manualLayout>
      </c:layout>
      <c:barChart>
        <c:barDir val="col"/>
        <c:grouping val="stacked"/>
        <c:varyColors val="0"/>
        <c:ser>
          <c:idx val="0"/>
          <c:order val="0"/>
          <c:spPr>
            <a:noFill/>
            <a:ln>
              <a:noFill/>
            </a:ln>
            <a:effectLst/>
          </c:spPr>
          <c:invertIfNegative val="0"/>
          <c:dLbls>
            <c:dLbl>
              <c:idx val="0"/>
              <c:layout>
                <c:manualLayout>
                  <c:x val="-3.1089564383795041E-3"/>
                  <c:y val="5.72916666666664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64-4B17-837B-AB60478F6BF3}"/>
                </c:ext>
              </c:extLst>
            </c:dLbl>
            <c:dLbl>
              <c:idx val="1"/>
              <c:delete val="1"/>
              <c:extLst>
                <c:ext xmlns:c15="http://schemas.microsoft.com/office/drawing/2012/chart" uri="{CE6537A1-D6FC-4f65-9D91-7224C49458BB}"/>
                <c:ext xmlns:c16="http://schemas.microsoft.com/office/drawing/2014/chart" uri="{C3380CC4-5D6E-409C-BE32-E72D297353CC}">
                  <c16:uniqueId val="{00000001-B364-4B17-837B-AB60478F6BF3}"/>
                </c:ext>
              </c:extLst>
            </c:dLbl>
            <c:dLbl>
              <c:idx val="2"/>
              <c:delete val="1"/>
              <c:extLst>
                <c:ext xmlns:c15="http://schemas.microsoft.com/office/drawing/2012/chart" uri="{CE6537A1-D6FC-4f65-9D91-7224C49458BB}"/>
                <c:ext xmlns:c16="http://schemas.microsoft.com/office/drawing/2014/chart" uri="{C3380CC4-5D6E-409C-BE32-E72D297353CC}">
                  <c16:uniqueId val="{00000002-B364-4B17-837B-AB60478F6BF3}"/>
                </c:ext>
              </c:extLst>
            </c:dLbl>
            <c:dLbl>
              <c:idx val="3"/>
              <c:delete val="1"/>
              <c:extLst>
                <c:ext xmlns:c15="http://schemas.microsoft.com/office/drawing/2012/chart" uri="{CE6537A1-D6FC-4f65-9D91-7224C49458BB}"/>
                <c:ext xmlns:c16="http://schemas.microsoft.com/office/drawing/2014/chart" uri="{C3380CC4-5D6E-409C-BE32-E72D297353CC}">
                  <c16:uniqueId val="{00000003-B364-4B17-837B-AB60478F6BF3}"/>
                </c:ext>
              </c:extLst>
            </c:dLbl>
            <c:dLbl>
              <c:idx val="4"/>
              <c:delete val="1"/>
              <c:extLst>
                <c:ext xmlns:c15="http://schemas.microsoft.com/office/drawing/2012/chart" uri="{CE6537A1-D6FC-4f65-9D91-7224C49458BB}"/>
                <c:ext xmlns:c16="http://schemas.microsoft.com/office/drawing/2014/chart" uri="{C3380CC4-5D6E-409C-BE32-E72D297353CC}">
                  <c16:uniqueId val="{00000004-B364-4B17-837B-AB60478F6BF3}"/>
                </c:ext>
              </c:extLst>
            </c:dLbl>
            <c:dLbl>
              <c:idx val="5"/>
              <c:delete val="1"/>
              <c:extLst>
                <c:ext xmlns:c15="http://schemas.microsoft.com/office/drawing/2012/chart" uri="{CE6537A1-D6FC-4f65-9D91-7224C49458BB}"/>
                <c:ext xmlns:c16="http://schemas.microsoft.com/office/drawing/2014/chart" uri="{C3380CC4-5D6E-409C-BE32-E72D297353CC}">
                  <c16:uniqueId val="{00000005-B364-4B17-837B-AB60478F6BF3}"/>
                </c:ext>
              </c:extLst>
            </c:dLbl>
            <c:dLbl>
              <c:idx val="6"/>
              <c:delete val="1"/>
              <c:extLst>
                <c:ext xmlns:c15="http://schemas.microsoft.com/office/drawing/2012/chart" uri="{CE6537A1-D6FC-4f65-9D91-7224C49458BB}"/>
                <c:ext xmlns:c16="http://schemas.microsoft.com/office/drawing/2014/chart" uri="{C3380CC4-5D6E-409C-BE32-E72D297353CC}">
                  <c16:uniqueId val="{00000006-B364-4B17-837B-AB60478F6BF3}"/>
                </c:ext>
              </c:extLst>
            </c:dLbl>
            <c:dLbl>
              <c:idx val="7"/>
              <c:delete val="1"/>
              <c:extLst>
                <c:ext xmlns:c15="http://schemas.microsoft.com/office/drawing/2012/chart" uri="{CE6537A1-D6FC-4f65-9D91-7224C49458BB}"/>
                <c:ext xmlns:c16="http://schemas.microsoft.com/office/drawing/2014/chart" uri="{C3380CC4-5D6E-409C-BE32-E72D297353CC}">
                  <c16:uniqueId val="{00000007-B364-4B17-837B-AB60478F6BF3}"/>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'43T23'!$A$51:$A$59</c:f>
              <c:strCache>
                <c:ptCount val="9"/>
                <c:pt idx="0">
                  <c:v>2022</c:v>
                </c:pt>
                <c:pt idx="1">
                  <c:v>Receita           Líquida</c:v>
                </c:pt>
                <c:pt idx="2">
                  <c:v>Subvenções Recebidas</c:v>
                </c:pt>
                <c:pt idx="3">
                  <c:v>Pessoal</c:v>
                </c:pt>
                <c:pt idx="4">
                  <c:v>Meios Conexão e Transmissão</c:v>
                </c:pt>
                <c:pt idx="5">
                  <c:v>Alugueis / Seguros</c:v>
                </c:pt>
                <c:pt idx="6">
                  <c:v>Serviços de         Terceiros</c:v>
                </c:pt>
                <c:pt idx="7">
                  <c:v>Outras                Despesas /          Receitas</c:v>
                </c:pt>
                <c:pt idx="8">
                  <c:v>2023</c:v>
                </c:pt>
              </c:strCache>
            </c:strRef>
          </c:cat>
          <c:val>
            <c:numRef>
              <c:f>'43T23'!$B$51:$B$59</c:f>
              <c:numCache>
                <c:formatCode>_(* #,##0_);_(* \(#,##0\);_(* "-"??_);_(@_)</c:formatCode>
                <c:ptCount val="9"/>
                <c:pt idx="1">
                  <c:v>190500</c:v>
                </c:pt>
                <c:pt idx="2">
                  <c:v>259500</c:v>
                </c:pt>
                <c:pt idx="3">
                  <c:v>251059</c:v>
                </c:pt>
                <c:pt idx="4">
                  <c:v>241935</c:v>
                </c:pt>
                <c:pt idx="5">
                  <c:v>232812.5</c:v>
                </c:pt>
                <c:pt idx="6">
                  <c:v>182407.5</c:v>
                </c:pt>
                <c:pt idx="7">
                  <c:v>182407.5</c:v>
                </c:pt>
              </c:numCache>
            </c:numRef>
          </c:val>
          <c:extLst>
            <c:ext xmlns:c16="http://schemas.microsoft.com/office/drawing/2014/chart" uri="{C3380CC4-5D6E-409C-BE32-E72D297353CC}">
              <c16:uniqueId val="{00000008-B364-4B17-837B-AB60478F6BF3}"/>
            </c:ext>
          </c:extLst>
        </c:ser>
        <c:ser>
          <c:idx val="1"/>
          <c:order val="1"/>
          <c:spPr>
            <a:solidFill>
              <a:srgbClr val="0000CC"/>
            </a:solidFill>
            <a:ln>
              <a:noFill/>
            </a:ln>
            <a:effectLst/>
          </c:spPr>
          <c:invertIfNegative val="0"/>
          <c:dPt>
            <c:idx val="0"/>
            <c:invertIfNegative val="0"/>
            <c:bubble3D val="0"/>
            <c:spPr>
              <a:solidFill>
                <a:srgbClr val="0000CC"/>
              </a:solidFill>
              <a:ln>
                <a:noFill/>
              </a:ln>
              <a:effectLst/>
            </c:spPr>
            <c:extLst>
              <c:ext xmlns:c16="http://schemas.microsoft.com/office/drawing/2014/chart" uri="{C3380CC4-5D6E-409C-BE32-E72D297353CC}">
                <c16:uniqueId val="{0000000A-B364-4B17-837B-AB60478F6BF3}"/>
              </c:ext>
            </c:extLst>
          </c:dPt>
          <c:dPt>
            <c:idx val="2"/>
            <c:invertIfNegative val="0"/>
            <c:bubble3D val="0"/>
            <c:spPr>
              <a:solidFill>
                <a:srgbClr val="FF0000"/>
              </a:solidFill>
              <a:ln>
                <a:noFill/>
              </a:ln>
              <a:effectLst/>
            </c:spPr>
            <c:extLst>
              <c:ext xmlns:c16="http://schemas.microsoft.com/office/drawing/2014/chart" uri="{C3380CC4-5D6E-409C-BE32-E72D297353CC}">
                <c16:uniqueId val="{0000000C-B364-4B17-837B-AB60478F6BF3}"/>
              </c:ext>
            </c:extLst>
          </c:dPt>
          <c:dPt>
            <c:idx val="3"/>
            <c:invertIfNegative val="0"/>
            <c:bubble3D val="0"/>
            <c:spPr>
              <a:solidFill>
                <a:srgbClr val="FF0000"/>
              </a:solidFill>
              <a:ln>
                <a:noFill/>
              </a:ln>
              <a:effectLst/>
            </c:spPr>
            <c:extLst>
              <c:ext xmlns:c16="http://schemas.microsoft.com/office/drawing/2014/chart" uri="{C3380CC4-5D6E-409C-BE32-E72D297353CC}">
                <c16:uniqueId val="{0000000E-B364-4B17-837B-AB60478F6BF3}"/>
              </c:ext>
            </c:extLst>
          </c:dPt>
          <c:dPt>
            <c:idx val="4"/>
            <c:invertIfNegative val="0"/>
            <c:bubble3D val="0"/>
            <c:spPr>
              <a:solidFill>
                <a:srgbClr val="FF0000"/>
              </a:solidFill>
              <a:ln>
                <a:noFill/>
              </a:ln>
              <a:effectLst/>
            </c:spPr>
            <c:extLst>
              <c:ext xmlns:c16="http://schemas.microsoft.com/office/drawing/2014/chart" uri="{C3380CC4-5D6E-409C-BE32-E72D297353CC}">
                <c16:uniqueId val="{00000010-B364-4B17-837B-AB60478F6BF3}"/>
              </c:ext>
            </c:extLst>
          </c:dPt>
          <c:dPt>
            <c:idx val="5"/>
            <c:invertIfNegative val="0"/>
            <c:bubble3D val="0"/>
            <c:spPr>
              <a:solidFill>
                <a:srgbClr val="FF0000"/>
              </a:solidFill>
              <a:ln>
                <a:noFill/>
              </a:ln>
              <a:effectLst/>
            </c:spPr>
            <c:extLst>
              <c:ext xmlns:c16="http://schemas.microsoft.com/office/drawing/2014/chart" uri="{C3380CC4-5D6E-409C-BE32-E72D297353CC}">
                <c16:uniqueId val="{00000012-B364-4B17-837B-AB60478F6BF3}"/>
              </c:ext>
            </c:extLst>
          </c:dPt>
          <c:dPt>
            <c:idx val="6"/>
            <c:invertIfNegative val="0"/>
            <c:bubble3D val="0"/>
            <c:spPr>
              <a:solidFill>
                <a:srgbClr val="FF0000"/>
              </a:solidFill>
              <a:ln>
                <a:noFill/>
              </a:ln>
              <a:effectLst/>
            </c:spPr>
            <c:extLst>
              <c:ext xmlns:c16="http://schemas.microsoft.com/office/drawing/2014/chart" uri="{C3380CC4-5D6E-409C-BE32-E72D297353CC}">
                <c16:uniqueId val="{00000014-B364-4B17-837B-AB60478F6BF3}"/>
              </c:ext>
            </c:extLst>
          </c:dPt>
          <c:dPt>
            <c:idx val="7"/>
            <c:invertIfNegative val="0"/>
            <c:bubble3D val="0"/>
            <c:spPr>
              <a:solidFill>
                <a:srgbClr val="0000CC"/>
              </a:solidFill>
              <a:ln>
                <a:noFill/>
              </a:ln>
              <a:effectLst/>
            </c:spPr>
            <c:extLst>
              <c:ext xmlns:c16="http://schemas.microsoft.com/office/drawing/2014/chart" uri="{C3380CC4-5D6E-409C-BE32-E72D297353CC}">
                <c16:uniqueId val="{00000016-B364-4B17-837B-AB60478F6BF3}"/>
              </c:ext>
            </c:extLst>
          </c:dPt>
          <c:dLbls>
            <c:dLbl>
              <c:idx val="0"/>
              <c:layout>
                <c:manualLayout>
                  <c:x val="5.5670013676313828E-4"/>
                  <c:y val="-0.278285197835829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364-4B17-837B-AB60478F6BF3}"/>
                </c:ext>
              </c:extLst>
            </c:dLbl>
            <c:dLbl>
              <c:idx val="1"/>
              <c:layout>
                <c:manualLayout>
                  <c:x val="2.9932649182438003E-3"/>
                  <c:y val="-0.119912746880464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B364-4B17-837B-AB60478F6BF3}"/>
                </c:ext>
              </c:extLst>
            </c:dLbl>
            <c:dLbl>
              <c:idx val="2"/>
              <c:layout>
                <c:manualLayout>
                  <c:x val="1.9069412662089658E-3"/>
                  <c:y val="-5.4070933441012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364-4B17-837B-AB60478F6BF3}"/>
                </c:ext>
              </c:extLst>
            </c:dLbl>
            <c:dLbl>
              <c:idx val="3"/>
              <c:layout>
                <c:manualLayout>
                  <c:x val="0"/>
                  <c:y val="-5.93088154648570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364-4B17-837B-AB60478F6BF3}"/>
                </c:ext>
              </c:extLst>
            </c:dLbl>
            <c:dLbl>
              <c:idx val="4"/>
              <c:layout>
                <c:manualLayout>
                  <c:x val="-5.7179319442945747E-17"/>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364-4B17-837B-AB60478F6BF3}"/>
                </c:ext>
              </c:extLst>
            </c:dLbl>
            <c:dLbl>
              <c:idx val="5"/>
              <c:layout>
                <c:manualLayout>
                  <c:x val="-9.9347227887942823E-6"/>
                  <c:y val="-5.51541962488008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364-4B17-837B-AB60478F6BF3}"/>
                </c:ext>
              </c:extLst>
            </c:dLbl>
            <c:dLbl>
              <c:idx val="6"/>
              <c:layout>
                <c:manualLayout>
                  <c:x val="0"/>
                  <c:y val="-0.100427126096417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364-4B17-837B-AB60478F6BF3}"/>
                </c:ext>
              </c:extLst>
            </c:dLbl>
            <c:dLbl>
              <c:idx val="7"/>
              <c:layout>
                <c:manualLayout>
                  <c:x val="1.9069412662088608E-3"/>
                  <c:y val="-6.1638961796442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364-4B17-837B-AB60478F6BF3}"/>
                </c:ext>
              </c:extLst>
            </c:dLbl>
            <c:dLbl>
              <c:idx val="8"/>
              <c:layout>
                <c:manualLayout>
                  <c:x val="0"/>
                  <c:y val="-0.291978374498059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B364-4B17-837B-AB60478F6BF3}"/>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'43T23'!$A$51:$A$59</c:f>
              <c:strCache>
                <c:ptCount val="9"/>
                <c:pt idx="0">
                  <c:v>2022</c:v>
                </c:pt>
                <c:pt idx="1">
                  <c:v>Receita           Líquida</c:v>
                </c:pt>
                <c:pt idx="2">
                  <c:v>Subvenções Recebidas</c:v>
                </c:pt>
                <c:pt idx="3">
                  <c:v>Pessoal</c:v>
                </c:pt>
                <c:pt idx="4">
                  <c:v>Meios Conexão e Transmissão</c:v>
                </c:pt>
                <c:pt idx="5">
                  <c:v>Alugueis / Seguros</c:v>
                </c:pt>
                <c:pt idx="6">
                  <c:v>Serviços de         Terceiros</c:v>
                </c:pt>
                <c:pt idx="7">
                  <c:v>Outras                Despesas /          Receitas</c:v>
                </c:pt>
                <c:pt idx="8">
                  <c:v>2023</c:v>
                </c:pt>
              </c:strCache>
            </c:strRef>
          </c:cat>
          <c:val>
            <c:numRef>
              <c:f>'43T23'!$C$51:$C$59</c:f>
              <c:numCache>
                <c:formatCode>_(* #,##0_);_(* \(#,##0\);_(* "-"??_);_(@_)</c:formatCode>
                <c:ptCount val="9"/>
                <c:pt idx="0">
                  <c:v>190500</c:v>
                </c:pt>
                <c:pt idx="1">
                  <c:v>69000</c:v>
                </c:pt>
                <c:pt idx="2">
                  <c:v>1338</c:v>
                </c:pt>
                <c:pt idx="3">
                  <c:v>9779</c:v>
                </c:pt>
                <c:pt idx="4">
                  <c:v>9124</c:v>
                </c:pt>
                <c:pt idx="5">
                  <c:v>2473</c:v>
                </c:pt>
                <c:pt idx="6">
                  <c:v>50405</c:v>
                </c:pt>
                <c:pt idx="7">
                  <c:v>11523</c:v>
                </c:pt>
                <c:pt idx="8">
                  <c:v>197904</c:v>
                </c:pt>
              </c:numCache>
            </c:numRef>
          </c:val>
          <c:extLst>
            <c:ext xmlns:c16="http://schemas.microsoft.com/office/drawing/2014/chart" uri="{C3380CC4-5D6E-409C-BE32-E72D297353CC}">
              <c16:uniqueId val="{00000019-B364-4B17-837B-AB60478F6BF3}"/>
            </c:ext>
          </c:extLst>
        </c:ser>
        <c:dLbls>
          <c:showLegendKey val="0"/>
          <c:showVal val="1"/>
          <c:showCatName val="0"/>
          <c:showSerName val="0"/>
          <c:showPercent val="0"/>
          <c:showBubbleSize val="0"/>
        </c:dLbls>
        <c:gapWidth val="95"/>
        <c:overlap val="100"/>
        <c:axId val="572863880"/>
        <c:axId val="572868800"/>
      </c:barChart>
      <c:catAx>
        <c:axId val="5728638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572868800"/>
        <c:crosses val="autoZero"/>
        <c:auto val="1"/>
        <c:lblAlgn val="ctr"/>
        <c:lblOffset val="100"/>
        <c:tickLblSkip val="1"/>
        <c:noMultiLvlLbl val="0"/>
      </c:catAx>
      <c:valAx>
        <c:axId val="572868800"/>
        <c:scaling>
          <c:orientation val="minMax"/>
        </c:scaling>
        <c:delete val="1"/>
        <c:axPos val="l"/>
        <c:numFmt formatCode="_(* #,##0_);_(* \(#,##0\);_(* &quot;-&quot;??_);_(@_)" sourceLinked="1"/>
        <c:majorTickMark val="none"/>
        <c:minorTickMark val="none"/>
        <c:tickLblPos val="nextTo"/>
        <c:crossAx val="57286388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pt-BR"/>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370478983382209E-2"/>
          <c:y val="9.768518518518518E-2"/>
          <c:w val="0.956989247311828"/>
          <c:h val="0.6713779527559055"/>
        </c:manualLayout>
      </c:layout>
      <c:lineChart>
        <c:grouping val="standard"/>
        <c:varyColors val="0"/>
        <c:ser>
          <c:idx val="0"/>
          <c:order val="0"/>
          <c:tx>
            <c:strRef>
              <c:f>'[Base das Informações do Relatório de Desempenho_4T23.xlsx]Dívida Líquida (2)'!$A$122</c:f>
              <c:strCache>
                <c:ptCount val="1"/>
                <c:pt idx="0">
                  <c:v>Dívida Bruta</c:v>
                </c:pt>
              </c:strCache>
            </c:strRef>
          </c:tx>
          <c:spPr>
            <a:ln w="28575" cap="rnd">
              <a:solidFill>
                <a:srgbClr val="FFC000"/>
              </a:solidFill>
              <a:round/>
            </a:ln>
            <a:effectLst/>
          </c:spPr>
          <c:marker>
            <c:symbol val="square"/>
            <c:size val="5"/>
            <c:spPr>
              <a:solidFill>
                <a:srgbClr val="FFC000"/>
              </a:solidFill>
              <a:ln w="9525">
                <a:solidFill>
                  <a:srgbClr val="FFC000"/>
                </a:solidFill>
              </a:ln>
              <a:effectLst/>
            </c:spPr>
          </c:marker>
          <c:dLbls>
            <c:dLbl>
              <c:idx val="0"/>
              <c:layout>
                <c:manualLayout>
                  <c:x val="-9.3841642228739003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BDF-40EA-9067-53FF5DF71FEF}"/>
                </c:ext>
              </c:extLst>
            </c:dLbl>
            <c:dLbl>
              <c:idx val="1"/>
              <c:layout>
                <c:manualLayout>
                  <c:x val="-6.7993417298810255E-2"/>
                  <c:y val="3.47259566531878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DF-40EA-9067-53FF5DF71FEF}"/>
                </c:ext>
              </c:extLst>
            </c:dLbl>
            <c:dLbl>
              <c:idx val="2"/>
              <c:layout>
                <c:manualLayout>
                  <c:x val="0"/>
                  <c:y val="-1.88902007083825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DF-40EA-9067-53FF5DF71FEF}"/>
                </c:ext>
              </c:extLst>
            </c:dLbl>
            <c:numFmt formatCode="#,##0_);\(#,##0\);_(* &quot;-&quot;_)" sourceLinked="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'[Base das Informações do Relatório de Desempenho_4T23.xlsx]Dívida Líquida (2)'!$B$121:$E$121</c:f>
              <c:strCache>
                <c:ptCount val="3"/>
                <c:pt idx="0">
                  <c:v>Dez/21</c:v>
                </c:pt>
                <c:pt idx="1">
                  <c:v>Dez/22</c:v>
                </c:pt>
                <c:pt idx="2">
                  <c:v>Dez/23</c:v>
                </c:pt>
              </c:strCache>
              <c:extLst/>
            </c:strRef>
          </c:cat>
          <c:val>
            <c:numRef>
              <c:f>'[Base das Informações do Relatório de Desempenho_4T23.xlsx]Dívida Líquida (2)'!$B$122:$E$122</c:f>
              <c:numCache>
                <c:formatCode>#,##0_);\(#,##0\);_(* "-"_)</c:formatCode>
                <c:ptCount val="3"/>
                <c:pt idx="0">
                  <c:v>396214</c:v>
                </c:pt>
                <c:pt idx="1">
                  <c:v>307890</c:v>
                </c:pt>
                <c:pt idx="2">
                  <c:v>237163</c:v>
                </c:pt>
              </c:numCache>
              <c:extLst/>
            </c:numRef>
          </c:val>
          <c:smooth val="0"/>
          <c:extLst>
            <c:ext xmlns:c16="http://schemas.microsoft.com/office/drawing/2014/chart" uri="{C3380CC4-5D6E-409C-BE32-E72D297353CC}">
              <c16:uniqueId val="{00000003-BBDF-40EA-9067-53FF5DF71FEF}"/>
            </c:ext>
          </c:extLst>
        </c:ser>
        <c:ser>
          <c:idx val="1"/>
          <c:order val="1"/>
          <c:tx>
            <c:strRef>
              <c:f>'[Base das Informações do Relatório de Desempenho_4T23.xlsx]Dívida Líquida (2)'!$A$123</c:f>
              <c:strCache>
                <c:ptCount val="1"/>
                <c:pt idx="0">
                  <c:v>Caixa e Equival. de Caixa e Aplic. Financeiras (Garantias)</c:v>
                </c:pt>
              </c:strCache>
            </c:strRef>
          </c:tx>
          <c:spPr>
            <a:ln w="28575" cap="rnd">
              <a:solidFill>
                <a:srgbClr val="75F6F9"/>
              </a:solidFill>
              <a:round/>
            </a:ln>
            <a:effectLst/>
          </c:spPr>
          <c:marker>
            <c:symbol val="square"/>
            <c:size val="5"/>
            <c:spPr>
              <a:solidFill>
                <a:srgbClr val="75F6F9"/>
              </a:solidFill>
              <a:ln w="9525">
                <a:solidFill>
                  <a:srgbClr val="75F6F9"/>
                </a:solidFill>
              </a:ln>
              <a:effectLst/>
            </c:spPr>
          </c:marker>
          <c:dLbls>
            <c:dLbl>
              <c:idx val="0"/>
              <c:layout>
                <c:manualLayout>
                  <c:x val="-9.5381534281508598E-2"/>
                  <c:y val="-4.53662300476903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BDF-40EA-9067-53FF5DF71FEF}"/>
                </c:ext>
              </c:extLst>
            </c:dLbl>
            <c:dLbl>
              <c:idx val="1"/>
              <c:layout>
                <c:manualLayout>
                  <c:x val="-6.3136979499184218E-2"/>
                  <c:y val="-4.6296296296296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BDF-40EA-9067-53FF5DF71FEF}"/>
                </c:ext>
              </c:extLst>
            </c:dLbl>
            <c:dLbl>
              <c:idx val="2"/>
              <c:layout>
                <c:manualLayout>
                  <c:x val="-5.7531384244625212E-3"/>
                  <c:y val="-1.02814007753163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BDF-40EA-9067-53FF5DF71FEF}"/>
                </c:ext>
              </c:extLst>
            </c:dLbl>
            <c:numFmt formatCode="#,##0_);\(#,##0\);_(* &quot;-&quot;_)" sourceLinked="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'[Base das Informações do Relatório de Desempenho_4T23.xlsx]Dívida Líquida (2)'!$B$121:$E$121</c:f>
              <c:strCache>
                <c:ptCount val="3"/>
                <c:pt idx="0">
                  <c:v>Dez/21</c:v>
                </c:pt>
                <c:pt idx="1">
                  <c:v>Dez/22</c:v>
                </c:pt>
                <c:pt idx="2">
                  <c:v>Dez/23</c:v>
                </c:pt>
              </c:strCache>
              <c:extLst/>
            </c:strRef>
          </c:cat>
          <c:val>
            <c:numRef>
              <c:f>'[Base das Informações do Relatório de Desempenho_4T23.xlsx]Dívida Líquida (2)'!$B$123:$E$123</c:f>
              <c:numCache>
                <c:formatCode>#,##0_);\(#,##0\);_(* "-"_)</c:formatCode>
                <c:ptCount val="3"/>
                <c:pt idx="0">
                  <c:v>321856</c:v>
                </c:pt>
                <c:pt idx="1">
                  <c:v>383409</c:v>
                </c:pt>
                <c:pt idx="2">
                  <c:v>389281</c:v>
                </c:pt>
              </c:numCache>
              <c:extLst/>
            </c:numRef>
          </c:val>
          <c:smooth val="0"/>
          <c:extLst>
            <c:ext xmlns:c16="http://schemas.microsoft.com/office/drawing/2014/chart" uri="{C3380CC4-5D6E-409C-BE32-E72D297353CC}">
              <c16:uniqueId val="{00000007-BBDF-40EA-9067-53FF5DF71FEF}"/>
            </c:ext>
          </c:extLst>
        </c:ser>
        <c:ser>
          <c:idx val="2"/>
          <c:order val="2"/>
          <c:tx>
            <c:strRef>
              <c:f>'[Base das Informações do Relatório de Desempenho_4T23.xlsx]Dívida Líquida (2)'!$A$124</c:f>
              <c:strCache>
                <c:ptCount val="1"/>
                <c:pt idx="0">
                  <c:v>Dívida Líquida </c:v>
                </c:pt>
              </c:strCache>
            </c:strRef>
          </c:tx>
          <c:spPr>
            <a:ln w="28575" cap="rnd">
              <a:solidFill>
                <a:srgbClr val="0000FF"/>
              </a:solidFill>
              <a:round/>
            </a:ln>
            <a:effectLst/>
          </c:spPr>
          <c:marker>
            <c:symbol val="square"/>
            <c:size val="5"/>
            <c:spPr>
              <a:solidFill>
                <a:srgbClr val="0000FF"/>
              </a:solidFill>
              <a:ln w="9525">
                <a:solidFill>
                  <a:srgbClr val="0000FF"/>
                </a:solidFill>
              </a:ln>
              <a:effectLst/>
            </c:spPr>
          </c:marker>
          <c:dLbls>
            <c:dLbl>
              <c:idx val="0"/>
              <c:layout>
                <c:manualLayout>
                  <c:x val="-9.0057204387913051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BDF-40EA-9067-53FF5DF71FEF}"/>
                </c:ext>
              </c:extLst>
            </c:dLbl>
            <c:dLbl>
              <c:idx val="1"/>
              <c:layout>
                <c:manualLayout>
                  <c:x val="-5.3974746399943249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BDF-40EA-9067-53FF5DF71FEF}"/>
                </c:ext>
              </c:extLst>
            </c:dLbl>
            <c:dLbl>
              <c:idx val="2"/>
              <c:layout>
                <c:manualLayout>
                  <c:x val="-1.8621973929236499E-3"/>
                  <c:y val="2.31481481481480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BDF-40EA-9067-53FF5DF71FEF}"/>
                </c:ext>
              </c:extLst>
            </c:dLbl>
            <c:numFmt formatCode="#,##0_);\(#,##0\);_(* &quot;-&quot;_)" sourceLinked="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'[Base das Informações do Relatório de Desempenho_4T23.xlsx]Dívida Líquida (2)'!$B$121:$E$121</c:f>
              <c:strCache>
                <c:ptCount val="3"/>
                <c:pt idx="0">
                  <c:v>Dez/21</c:v>
                </c:pt>
                <c:pt idx="1">
                  <c:v>Dez/22</c:v>
                </c:pt>
                <c:pt idx="2">
                  <c:v>Dez/23</c:v>
                </c:pt>
              </c:strCache>
              <c:extLst/>
            </c:strRef>
          </c:cat>
          <c:val>
            <c:numRef>
              <c:f>'[Base das Informações do Relatório de Desempenho_4T23.xlsx]Dívida Líquida (2)'!$B$124:$E$124</c:f>
              <c:numCache>
                <c:formatCode>#,##0_);\(#,##0\);_(* "-"_)</c:formatCode>
                <c:ptCount val="3"/>
                <c:pt idx="0">
                  <c:v>74358</c:v>
                </c:pt>
                <c:pt idx="1">
                  <c:v>-75519</c:v>
                </c:pt>
                <c:pt idx="2">
                  <c:v>-152118</c:v>
                </c:pt>
              </c:numCache>
              <c:extLst/>
            </c:numRef>
          </c:val>
          <c:smooth val="0"/>
          <c:extLst>
            <c:ext xmlns:c16="http://schemas.microsoft.com/office/drawing/2014/chart" uri="{C3380CC4-5D6E-409C-BE32-E72D297353CC}">
              <c16:uniqueId val="{0000000B-BBDF-40EA-9067-53FF5DF71FEF}"/>
            </c:ext>
          </c:extLst>
        </c:ser>
        <c:ser>
          <c:idx val="3"/>
          <c:order val="3"/>
          <c:tx>
            <c:strRef>
              <c:f>'[Base das Informações do Relatório de Desempenho_4T23.xlsx]Dívida Líquida (2)'!$A$125</c:f>
              <c:strCache>
                <c:ptCount val="1"/>
                <c:pt idx="0">
                  <c:v>EBITDA Anualizada</c:v>
                </c:pt>
              </c:strCache>
            </c:strRef>
          </c:tx>
          <c:spPr>
            <a:ln w="28575" cap="rnd">
              <a:solidFill>
                <a:srgbClr val="FF0000"/>
              </a:solidFill>
              <a:round/>
            </a:ln>
            <a:effectLst/>
          </c:spPr>
          <c:marker>
            <c:symbol val="square"/>
            <c:size val="5"/>
            <c:spPr>
              <a:solidFill>
                <a:srgbClr val="FF0000"/>
              </a:solidFill>
              <a:ln w="9525">
                <a:solidFill>
                  <a:srgbClr val="FF0000"/>
                </a:solidFill>
              </a:ln>
              <a:effectLst/>
            </c:spPr>
          </c:marker>
          <c:dLbls>
            <c:dLbl>
              <c:idx val="0"/>
              <c:layout>
                <c:manualLayout>
                  <c:x val="-9.7114421508122301E-2"/>
                  <c:y val="3.24074074074073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BDF-40EA-9067-53FF5DF71FEF}"/>
                </c:ext>
              </c:extLst>
            </c:dLbl>
            <c:dLbl>
              <c:idx val="1"/>
              <c:layout>
                <c:manualLayout>
                  <c:x val="-6.1706817540255979E-3"/>
                  <c:y val="4.6571687832701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BDF-40EA-9067-53FF5DF71FEF}"/>
                </c:ext>
              </c:extLst>
            </c:dLbl>
            <c:dLbl>
              <c:idx val="2"/>
              <c:layout>
                <c:manualLayout>
                  <c:x val="2.8616155918195687E-3"/>
                  <c:y val="3.78733650029283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BDF-40EA-9067-53FF5DF71FEF}"/>
                </c:ext>
              </c:extLst>
            </c:dLbl>
            <c:numFmt formatCode="#,##0_);\(#,##0\);_(* &quot;-&quot;_)" sourceLinked="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'[Base das Informações do Relatório de Desempenho_4T23.xlsx]Dívida Líquida (2)'!$B$121:$E$121</c:f>
              <c:strCache>
                <c:ptCount val="3"/>
                <c:pt idx="0">
                  <c:v>Dez/21</c:v>
                </c:pt>
                <c:pt idx="1">
                  <c:v>Dez/22</c:v>
                </c:pt>
                <c:pt idx="2">
                  <c:v>Dez/23</c:v>
                </c:pt>
              </c:strCache>
              <c:extLst/>
            </c:strRef>
          </c:cat>
          <c:val>
            <c:numRef>
              <c:f>'[Base das Informações do Relatório de Desempenho_4T23.xlsx]Dívida Líquida (2)'!$B$125:$E$125</c:f>
              <c:numCache>
                <c:formatCode>#,##0_);\(#,##0\);_(* "-"_)</c:formatCode>
                <c:ptCount val="3"/>
                <c:pt idx="0">
                  <c:v>187508.90643</c:v>
                </c:pt>
                <c:pt idx="1">
                  <c:v>204364.87417000002</c:v>
                </c:pt>
                <c:pt idx="2">
                  <c:v>186134.38619000002</c:v>
                </c:pt>
              </c:numCache>
              <c:extLst/>
            </c:numRef>
          </c:val>
          <c:smooth val="0"/>
          <c:extLst>
            <c:ext xmlns:c16="http://schemas.microsoft.com/office/drawing/2014/chart" uri="{C3380CC4-5D6E-409C-BE32-E72D297353CC}">
              <c16:uniqueId val="{0000000F-BBDF-40EA-9067-53FF5DF71FEF}"/>
            </c:ext>
          </c:extLst>
        </c:ser>
        <c:dLbls>
          <c:showLegendKey val="0"/>
          <c:showVal val="1"/>
          <c:showCatName val="0"/>
          <c:showSerName val="0"/>
          <c:showPercent val="0"/>
          <c:showBubbleSize val="0"/>
        </c:dLbls>
        <c:marker val="1"/>
        <c:smooth val="0"/>
        <c:axId val="948792112"/>
        <c:axId val="948792528"/>
      </c:lineChart>
      <c:catAx>
        <c:axId val="94879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948792528"/>
        <c:crosses val="autoZero"/>
        <c:auto val="1"/>
        <c:lblAlgn val="ctr"/>
        <c:lblOffset val="100"/>
        <c:noMultiLvlLbl val="0"/>
      </c:catAx>
      <c:valAx>
        <c:axId val="948792528"/>
        <c:scaling>
          <c:orientation val="minMax"/>
        </c:scaling>
        <c:delete val="1"/>
        <c:axPos val="l"/>
        <c:numFmt formatCode="#,##0_);\(#,##0\);_(* &quot;-&quot;_)" sourceLinked="1"/>
        <c:majorTickMark val="none"/>
        <c:minorTickMark val="none"/>
        <c:tickLblPos val="nextTo"/>
        <c:crossAx val="948792112"/>
        <c:crossesAt val="41640"/>
        <c:crossBetween val="between"/>
      </c:valAx>
      <c:spPr>
        <a:noFill/>
        <a:ln>
          <a:noFill/>
        </a:ln>
        <a:effectLst/>
      </c:spPr>
    </c:plotArea>
    <c:legend>
      <c:legendPos val="b"/>
      <c:layout>
        <c:manualLayout>
          <c:xMode val="edge"/>
          <c:yMode val="edge"/>
          <c:x val="1.3821014308695284E-2"/>
          <c:y val="0.75925707203266246"/>
          <c:w val="0.97524141593737734"/>
          <c:h val="0.21296515018955964"/>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pt-BR"/>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3616F6"/>
            </a:solidFill>
            <a:scene3d>
              <a:camera prst="orthographicFront"/>
              <a:lightRig rig="threePt" dir="t"/>
            </a:scene3d>
          </c:spPr>
          <c:invertIfNegative val="0"/>
          <c:dPt>
            <c:idx val="6"/>
            <c:invertIfNegative val="0"/>
            <c:bubble3D val="0"/>
            <c:spPr>
              <a:solidFill>
                <a:srgbClr val="00B0F0"/>
              </a:solidFill>
              <a:scene3d>
                <a:camera prst="orthographicFront"/>
                <a:lightRig rig="threePt" dir="t"/>
              </a:scene3d>
            </c:spPr>
            <c:extLst>
              <c:ext xmlns:c16="http://schemas.microsoft.com/office/drawing/2014/chart" uri="{C3380CC4-5D6E-409C-BE32-E72D297353CC}">
                <c16:uniqueId val="{00000001-E4E5-4E52-838C-CE25020BCDAD}"/>
              </c:ext>
            </c:extLst>
          </c:dPt>
          <c:dPt>
            <c:idx val="7"/>
            <c:invertIfNegative val="0"/>
            <c:bubble3D val="0"/>
            <c:spPr>
              <a:solidFill>
                <a:srgbClr val="00B0F0"/>
              </a:solidFill>
              <a:scene3d>
                <a:camera prst="orthographicFront"/>
                <a:lightRig rig="threePt" dir="t"/>
              </a:scene3d>
            </c:spPr>
            <c:extLst>
              <c:ext xmlns:c16="http://schemas.microsoft.com/office/drawing/2014/chart" uri="{C3380CC4-5D6E-409C-BE32-E72D297353CC}">
                <c16:uniqueId val="{00000003-E4E5-4E52-838C-CE25020BCDAD}"/>
              </c:ext>
            </c:extLst>
          </c:dPt>
          <c:dPt>
            <c:idx val="8"/>
            <c:invertIfNegative val="0"/>
            <c:bubble3D val="0"/>
            <c:spPr>
              <a:solidFill>
                <a:srgbClr val="00B0F0"/>
              </a:solidFill>
              <a:scene3d>
                <a:camera prst="orthographicFront"/>
                <a:lightRig rig="threePt" dir="t"/>
              </a:scene3d>
            </c:spPr>
            <c:extLst>
              <c:ext xmlns:c16="http://schemas.microsoft.com/office/drawing/2014/chart" uri="{C3380CC4-5D6E-409C-BE32-E72D297353CC}">
                <c16:uniqueId val="{00000005-E4E5-4E52-838C-CE25020BCDAD}"/>
              </c:ext>
            </c:extLst>
          </c:dPt>
          <c:dPt>
            <c:idx val="9"/>
            <c:invertIfNegative val="0"/>
            <c:bubble3D val="0"/>
            <c:spPr>
              <a:solidFill>
                <a:srgbClr val="00B0F0"/>
              </a:solidFill>
              <a:scene3d>
                <a:camera prst="orthographicFront"/>
                <a:lightRig rig="threePt" dir="t"/>
              </a:scene3d>
            </c:spPr>
            <c:extLst>
              <c:ext xmlns:c16="http://schemas.microsoft.com/office/drawing/2014/chart" uri="{C3380CC4-5D6E-409C-BE32-E72D297353CC}">
                <c16:uniqueId val="{00000007-E4E5-4E52-838C-CE25020BCDAD}"/>
              </c:ext>
            </c:extLst>
          </c:dPt>
          <c:dLbls>
            <c:dLbl>
              <c:idx val="5"/>
              <c:layout>
                <c:manualLayout>
                  <c:x val="-1.444043594956005E-2"/>
                  <c:y val="-4.62962962962967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4E5-4E52-838C-CE25020BCDAD}"/>
                </c:ext>
              </c:extLst>
            </c:dLbl>
            <c:numFmt formatCode="#,##0_);\(#,##0\);_(* &quot;-&quot;_)" sourceLinked="0"/>
            <c:spPr>
              <a:noFill/>
              <a:ln>
                <a:noFill/>
              </a:ln>
              <a:effectLst/>
            </c:spPr>
            <c:txPr>
              <a:bodyPr/>
              <a:lstStyle/>
              <a:p>
                <a:pPr>
                  <a:defRPr sz="900" b="1">
                    <a:latin typeface="Arial" panose="020B0604020202020204" pitchFamily="34" charset="0"/>
                    <a:cs typeface="Arial" panose="020B0604020202020204" pitchFamily="34"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'Dívida Líquida (2)'!$A$160:$A$170</c:f>
              <c:strCache>
                <c:ptCount val="11"/>
                <c:pt idx="0">
                  <c:v>2024</c:v>
                </c:pt>
                <c:pt idx="1">
                  <c:v>2025</c:v>
                </c:pt>
                <c:pt idx="2">
                  <c:v>2026</c:v>
                </c:pt>
                <c:pt idx="3">
                  <c:v>2027</c:v>
                </c:pt>
                <c:pt idx="4">
                  <c:v>2025</c:v>
                </c:pt>
                <c:pt idx="5">
                  <c:v>2029 em diante</c:v>
                </c:pt>
                <c:pt idx="6">
                  <c:v>FINEP</c:v>
                </c:pt>
                <c:pt idx="7">
                  <c:v>Arrend. Mercantil</c:v>
                </c:pt>
                <c:pt idx="8">
                  <c:v>Acordo Judicial PREVI</c:v>
                </c:pt>
                <c:pt idx="9">
                  <c:v>Acordo Judicial FUNCEF</c:v>
                </c:pt>
                <c:pt idx="10">
                  <c:v>Total</c:v>
                </c:pt>
              </c:strCache>
            </c:strRef>
          </c:cat>
          <c:val>
            <c:numRef>
              <c:f>'Dívida Líquida (2)'!$B$160:$B$170</c:f>
              <c:numCache>
                <c:formatCode>_(* #,##0_);_(* \(#,##0\);_(* "-"??_);_(@_)</c:formatCode>
                <c:ptCount val="11"/>
                <c:pt idx="0">
                  <c:v>67470</c:v>
                </c:pt>
                <c:pt idx="1">
                  <c:v>66437</c:v>
                </c:pt>
                <c:pt idx="2">
                  <c:v>18288</c:v>
                </c:pt>
                <c:pt idx="3">
                  <c:v>17560</c:v>
                </c:pt>
                <c:pt idx="4">
                  <c:v>16643</c:v>
                </c:pt>
                <c:pt idx="5">
                  <c:v>50765</c:v>
                </c:pt>
                <c:pt idx="6">
                  <c:v>90602</c:v>
                </c:pt>
                <c:pt idx="7">
                  <c:v>14121</c:v>
                </c:pt>
                <c:pt idx="8">
                  <c:v>72242</c:v>
                </c:pt>
                <c:pt idx="9">
                  <c:v>60198</c:v>
                </c:pt>
                <c:pt idx="10">
                  <c:v>237163</c:v>
                </c:pt>
              </c:numCache>
            </c:numRef>
          </c:val>
          <c:extLst>
            <c:ext xmlns:c16="http://schemas.microsoft.com/office/drawing/2014/chart" uri="{C3380CC4-5D6E-409C-BE32-E72D297353CC}">
              <c16:uniqueId val="{00000009-E4E5-4E52-838C-CE25020BCDAD}"/>
            </c:ext>
          </c:extLst>
        </c:ser>
        <c:dLbls>
          <c:showLegendKey val="0"/>
          <c:showVal val="1"/>
          <c:showCatName val="0"/>
          <c:showSerName val="0"/>
          <c:showPercent val="0"/>
          <c:showBubbleSize val="0"/>
        </c:dLbls>
        <c:gapWidth val="74"/>
        <c:axId val="210362368"/>
        <c:axId val="208915840"/>
      </c:barChart>
      <c:catAx>
        <c:axId val="210362368"/>
        <c:scaling>
          <c:orientation val="minMax"/>
        </c:scaling>
        <c:delete val="0"/>
        <c:axPos val="b"/>
        <c:numFmt formatCode="General" sourceLinked="0"/>
        <c:majorTickMark val="none"/>
        <c:minorTickMark val="none"/>
        <c:tickLblPos val="nextTo"/>
        <c:txPr>
          <a:bodyPr/>
          <a:lstStyle/>
          <a:p>
            <a:pPr>
              <a:defRPr sz="900" b="1">
                <a:latin typeface="Arial" panose="020B0604020202020204" pitchFamily="34" charset="0"/>
                <a:cs typeface="Arial" panose="020B0604020202020204" pitchFamily="34" charset="0"/>
              </a:defRPr>
            </a:pPr>
            <a:endParaRPr lang="pt-BR"/>
          </a:p>
        </c:txPr>
        <c:crossAx val="208915840"/>
        <c:crosses val="autoZero"/>
        <c:auto val="1"/>
        <c:lblAlgn val="ctr"/>
        <c:lblOffset val="100"/>
        <c:noMultiLvlLbl val="0"/>
      </c:catAx>
      <c:valAx>
        <c:axId val="208915840"/>
        <c:scaling>
          <c:orientation val="minMax"/>
        </c:scaling>
        <c:delete val="1"/>
        <c:axPos val="l"/>
        <c:numFmt formatCode="_(* #,##0_);_(* \(#,##0\);_(* &quot;-&quot;??_);_(@_)" sourceLinked="1"/>
        <c:majorTickMark val="out"/>
        <c:minorTickMark val="none"/>
        <c:tickLblPos val="nextTo"/>
        <c:crossAx val="210362368"/>
        <c:crosses val="autoZero"/>
        <c:crossBetween val="between"/>
      </c:valAx>
      <c:spPr>
        <a:noFill/>
      </c:spPr>
    </c:plotArea>
    <c:plotVisOnly val="1"/>
    <c:dispBlanksAs val="gap"/>
    <c:showDLblsOverMax val="0"/>
  </c:chart>
  <c:spPr>
    <a:noFill/>
    <a:ln>
      <a:noFill/>
    </a:ln>
  </c:sp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0.13178</cdr:x>
      <cdr:y>0.18296</cdr:y>
    </cdr:from>
    <cdr:to>
      <cdr:x>0.94891</cdr:x>
      <cdr:y>0.18759</cdr:y>
    </cdr:to>
    <cdr:cxnSp macro="">
      <cdr:nvCxnSpPr>
        <cdr:cNvPr id="3" name="Conector reto 2">
          <a:extLst xmlns:a="http://schemas.openxmlformats.org/drawingml/2006/main">
            <a:ext uri="{FF2B5EF4-FFF2-40B4-BE49-F238E27FC236}">
              <a16:creationId xmlns:a16="http://schemas.microsoft.com/office/drawing/2014/main" id="{5B2EF43B-5B17-4592-8DA9-27777770EDCD}"/>
            </a:ext>
          </a:extLst>
        </cdr:cNvPr>
        <cdr:cNvCxnSpPr/>
      </cdr:nvCxnSpPr>
      <cdr:spPr>
        <a:xfrm xmlns:a="http://schemas.openxmlformats.org/drawingml/2006/main" flipV="1">
          <a:off x="988563" y="885275"/>
          <a:ext cx="6129645" cy="22402"/>
        </a:xfrm>
        <a:prstGeom xmlns:a="http://schemas.openxmlformats.org/drawingml/2006/main" prst="line">
          <a:avLst/>
        </a:prstGeom>
        <a:ln xmlns:a="http://schemas.openxmlformats.org/drawingml/2006/main" w="22225">
          <a:solidFill>
            <a:srgbClr val="FFC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0.01026</cdr:x>
      <cdr:y>0.93974</cdr:y>
    </cdr:from>
    <cdr:to>
      <cdr:x>0.13216</cdr:x>
      <cdr:y>1</cdr:y>
    </cdr:to>
    <cdr:sp macro="" textlink="">
      <cdr:nvSpPr>
        <cdr:cNvPr id="6" name="CaixaDeTexto 5"/>
        <cdr:cNvSpPr txBox="1"/>
      </cdr:nvSpPr>
      <cdr:spPr>
        <a:xfrm xmlns:a="http://schemas.openxmlformats.org/drawingml/2006/main">
          <a:off x="59087" y="3470610"/>
          <a:ext cx="702232" cy="2225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t-BR" sz="1000" b="1"/>
            <a:t>Fonte: DTO</a:t>
          </a:r>
        </a:p>
      </cdr:txBody>
    </cdr:sp>
  </cdr:relSizeAnchor>
</c:userShapes>
</file>

<file path=word/drawings/drawing2.xml><?xml version="1.0" encoding="utf-8"?>
<c:userShapes xmlns:c="http://schemas.openxmlformats.org/drawingml/2006/chart">
  <cdr:relSizeAnchor xmlns:cdr="http://schemas.openxmlformats.org/drawingml/2006/chartDrawing">
    <cdr:from>
      <cdr:x>0.07581</cdr:x>
      <cdr:y>0.47049</cdr:y>
    </cdr:from>
    <cdr:to>
      <cdr:x>0.47292</cdr:x>
      <cdr:y>0.58507</cdr:y>
    </cdr:to>
    <cdr:sp macro="" textlink="">
      <cdr:nvSpPr>
        <cdr:cNvPr id="4" name="CaixaDeTexto 3"/>
        <cdr:cNvSpPr txBox="1"/>
      </cdr:nvSpPr>
      <cdr:spPr>
        <a:xfrm xmlns:a="http://schemas.openxmlformats.org/drawingml/2006/main">
          <a:off x="400050" y="1290638"/>
          <a:ext cx="2095500" cy="3143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t-BR" sz="1100"/>
        </a:p>
      </cdr:txBody>
    </cdr:sp>
  </cdr:relSizeAnchor>
  <cdr:relSizeAnchor xmlns:cdr="http://schemas.openxmlformats.org/drawingml/2006/chartDrawing">
    <cdr:from>
      <cdr:x>0.00962</cdr:x>
      <cdr:y>0.04836</cdr:y>
    </cdr:from>
    <cdr:to>
      <cdr:x>0.28031</cdr:x>
      <cdr:y>0.15253</cdr:y>
    </cdr:to>
    <cdr:sp macro="" textlink="">
      <cdr:nvSpPr>
        <cdr:cNvPr id="8" name="CaixaDeTexto 7"/>
        <cdr:cNvSpPr txBox="1"/>
      </cdr:nvSpPr>
      <cdr:spPr>
        <a:xfrm xmlns:a="http://schemas.openxmlformats.org/drawingml/2006/main">
          <a:off x="59709" y="131637"/>
          <a:ext cx="1680192" cy="283577"/>
        </a:xfrm>
        <a:prstGeom xmlns:a="http://schemas.openxmlformats.org/drawingml/2006/main" prst="rect">
          <a:avLst/>
        </a:prstGeom>
        <a:solidFill xmlns:a="http://schemas.openxmlformats.org/drawingml/2006/main">
          <a:srgbClr val="00B0F0"/>
        </a:solidFill>
        <a:ln xmlns:a="http://schemas.openxmlformats.org/drawingml/2006/main">
          <a:solidFill>
            <a:srgbClr val="00B0F0"/>
          </a:solidFill>
        </a:ln>
      </cdr:spPr>
      <cdr:style>
        <a:lnRef xmlns:a="http://schemas.openxmlformats.org/drawingml/2006/main" idx="1">
          <a:schemeClr val="accent2"/>
        </a:lnRef>
        <a:fillRef xmlns:a="http://schemas.openxmlformats.org/drawingml/2006/main" idx="3">
          <a:schemeClr val="accent2"/>
        </a:fillRef>
        <a:effectRef xmlns:a="http://schemas.openxmlformats.org/drawingml/2006/main" idx="2">
          <a:schemeClr val="accent2"/>
        </a:effectRef>
        <a:fontRef xmlns:a="http://schemas.openxmlformats.org/drawingml/2006/main" idx="minor">
          <a:schemeClr val="lt1"/>
        </a:fontRef>
      </cdr:style>
      <cdr:txBody>
        <a:bodyPr xmlns:a="http://schemas.openxmlformats.org/drawingml/2006/main" vertOverflow="clip" wrap="none" rtlCol="0"/>
        <a:lstStyle xmlns:a="http://schemas.openxmlformats.org/drawingml/2006/main"/>
        <a:p xmlns:a="http://schemas.openxmlformats.org/drawingml/2006/main">
          <a:r>
            <a:rPr lang="pt-BR" sz="1100" b="1" cap="small" baseline="0">
              <a:solidFill>
                <a:sysClr val="windowText" lastClr="000000"/>
              </a:solidFill>
            </a:rPr>
            <a:t>Cronograma de pagamento</a:t>
          </a:r>
        </a:p>
      </cdr:txBody>
    </cdr:sp>
  </cdr:relSizeAnchor>
  <cdr:relSizeAnchor xmlns:cdr="http://schemas.openxmlformats.org/drawingml/2006/chartDrawing">
    <cdr:from>
      <cdr:x>0.53922</cdr:x>
      <cdr:y>0.00521</cdr:y>
    </cdr:from>
    <cdr:to>
      <cdr:x>0.98375</cdr:x>
      <cdr:y>0.97942</cdr:y>
    </cdr:to>
    <cdr:sp macro="" textlink="">
      <cdr:nvSpPr>
        <cdr:cNvPr id="19" name="Retângulo 18"/>
        <cdr:cNvSpPr/>
      </cdr:nvSpPr>
      <cdr:spPr>
        <a:xfrm xmlns:a="http://schemas.openxmlformats.org/drawingml/2006/main">
          <a:off x="3143251" y="14466"/>
          <a:ext cx="2591324" cy="2704931"/>
        </a:xfrm>
        <a:prstGeom xmlns:a="http://schemas.openxmlformats.org/drawingml/2006/main" prst="rect">
          <a:avLst/>
        </a:prstGeom>
        <a:noFill xmlns:a="http://schemas.openxmlformats.org/drawingml/2006/main"/>
        <a:ln xmlns:a="http://schemas.openxmlformats.org/drawingml/2006/main" w="3175">
          <a:solidFill>
            <a:schemeClr val="accent1">
              <a:shade val="50000"/>
            </a:schemeClr>
          </a:solidFill>
          <a:prstDash val="sys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pt-BR"/>
        </a:p>
      </cdr:txBody>
    </cdr:sp>
  </cdr:relSizeAnchor>
  <cdr:relSizeAnchor xmlns:cdr="http://schemas.openxmlformats.org/drawingml/2006/chartDrawing">
    <cdr:from>
      <cdr:x>0.54952</cdr:x>
      <cdr:y>0.02562</cdr:y>
    </cdr:from>
    <cdr:to>
      <cdr:x>0.68031</cdr:x>
      <cdr:y>0.13529</cdr:y>
    </cdr:to>
    <cdr:sp macro="" textlink="">
      <cdr:nvSpPr>
        <cdr:cNvPr id="20" name="CaixaDeTexto 1"/>
        <cdr:cNvSpPr txBox="1"/>
      </cdr:nvSpPr>
      <cdr:spPr>
        <a:xfrm xmlns:a="http://schemas.openxmlformats.org/drawingml/2006/main">
          <a:off x="3410913" y="69732"/>
          <a:ext cx="811838" cy="298568"/>
        </a:xfrm>
        <a:prstGeom xmlns:a="http://schemas.openxmlformats.org/drawingml/2006/main" prst="rect">
          <a:avLst/>
        </a:prstGeom>
        <a:solidFill xmlns:a="http://schemas.openxmlformats.org/drawingml/2006/main">
          <a:srgbClr val="3616F6"/>
        </a:solidFill>
        <a:ln xmlns:a="http://schemas.openxmlformats.org/drawingml/2006/main">
          <a:solidFill>
            <a:srgbClr val="00B0F0"/>
          </a:solidFill>
        </a:ln>
      </cdr:spPr>
      <cdr:style>
        <a:lnRef xmlns:a="http://schemas.openxmlformats.org/drawingml/2006/main" idx="1">
          <a:schemeClr val="accent2"/>
        </a:lnRef>
        <a:fillRef xmlns:a="http://schemas.openxmlformats.org/drawingml/2006/main" idx="3">
          <a:schemeClr val="accent2"/>
        </a:fillRef>
        <a:effectRef xmlns:a="http://schemas.openxmlformats.org/drawingml/2006/main" idx="2">
          <a:schemeClr val="accent2"/>
        </a:effectRef>
        <a:fontRef xmlns:a="http://schemas.openxmlformats.org/drawingml/2006/main" idx="minor">
          <a:schemeClr val="lt1"/>
        </a:fontRef>
      </cdr:style>
      <cdr:txBody>
        <a:bodyPr xmlns:a="http://schemas.openxmlformats.org/drawingml/2006/main" wrap="none" rtlCol="0"/>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pt-BR" sz="1100" b="1" cap="small" baseline="0">
              <a:solidFill>
                <a:schemeClr val="bg1"/>
              </a:solidFill>
            </a:rPr>
            <a:t>Composição</a:t>
          </a:r>
        </a:p>
      </cdr:txBody>
    </cdr:sp>
  </cdr:relSizeAnchor>
</c:userShape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73BBA2-837A-4151-860B-8E0B508AE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833</TotalTime>
  <Pages>129</Pages>
  <Words>71533</Words>
  <Characters>386283</Characters>
  <Application>Microsoft Office Word</Application>
  <DocSecurity>0</DocSecurity>
  <Lines>3219</Lines>
  <Paragraphs>913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456903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Gogola Ferreira Carvalho</dc:creator>
  <cp:keywords/>
  <dc:description/>
  <cp:lastModifiedBy>Caroline Gogola Ferreira Carvalho</cp:lastModifiedBy>
  <cp:revision>56</cp:revision>
  <dcterms:created xsi:type="dcterms:W3CDTF">2024-03-25T15:06:00Z</dcterms:created>
  <dcterms:modified xsi:type="dcterms:W3CDTF">2024-03-28T21:16:00Z</dcterms:modified>
</cp:coreProperties>
</file>